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imes New Roman" w:hAnsi="Times New Roman" w:cs="Times New Roman"/>
          <w:bCs w:val="0"/>
          <w:caps w:val="0"/>
          <w:color w:val="auto"/>
          <w:sz w:val="22"/>
          <w:szCs w:val="22"/>
          <w:lang w:eastAsia="pt-BR"/>
        </w:rPr>
        <w:id w:val="34957594"/>
        <w:docPartObj>
          <w:docPartGallery w:val="Table of Contents"/>
          <w:docPartUnique/>
        </w:docPartObj>
      </w:sdtPr>
      <w:sdtEndPr/>
      <w:sdtContent>
        <w:p w:rsidR="007B04EA" w:rsidRDefault="007B04EA">
          <w:pPr>
            <w:pStyle w:val="CabealhodoSumrio"/>
          </w:pPr>
          <w:r>
            <w:t>Sumário</w:t>
          </w:r>
        </w:p>
        <w:p w:rsidR="006B3861" w:rsidRDefault="00291C73">
          <w:pPr>
            <w:pStyle w:val="Sumrio1"/>
            <w:tabs>
              <w:tab w:val="right" w:leader="dot" w:pos="9050"/>
            </w:tabs>
            <w:rPr>
              <w:rFonts w:asciiTheme="minorHAnsi" w:eastAsiaTheme="minorEastAsia" w:hAnsiTheme="minorHAnsi" w:cstheme="minorBidi"/>
              <w:noProof/>
            </w:rPr>
          </w:pPr>
          <w:r>
            <w:fldChar w:fldCharType="begin"/>
          </w:r>
          <w:r w:rsidR="007B04EA">
            <w:instrText xml:space="preserve"> TOC \o "1-1" \h \z \u </w:instrText>
          </w:r>
          <w:r>
            <w:fldChar w:fldCharType="separate"/>
          </w:r>
          <w:hyperlink w:anchor="_Toc442034718" w:history="1">
            <w:r w:rsidR="006B3861" w:rsidRPr="00AA051D">
              <w:rPr>
                <w:rStyle w:val="Hyperlink"/>
                <w:noProof/>
              </w:rPr>
              <w:t>Dêis Maria Lima Cunha Silva</w:t>
            </w:r>
            <w:r w:rsidR="006B3861">
              <w:rPr>
                <w:noProof/>
                <w:webHidden/>
              </w:rPr>
              <w:tab/>
            </w:r>
            <w:r w:rsidR="006B3861">
              <w:rPr>
                <w:noProof/>
                <w:webHidden/>
              </w:rPr>
              <w:fldChar w:fldCharType="begin"/>
            </w:r>
            <w:r w:rsidR="006B3861">
              <w:rPr>
                <w:noProof/>
                <w:webHidden/>
              </w:rPr>
              <w:instrText xml:space="preserve"> PAGEREF _Toc442034718 \h </w:instrText>
            </w:r>
            <w:r w:rsidR="006B3861">
              <w:rPr>
                <w:noProof/>
                <w:webHidden/>
              </w:rPr>
            </w:r>
            <w:r w:rsidR="006B3861">
              <w:rPr>
                <w:noProof/>
                <w:webHidden/>
              </w:rPr>
              <w:fldChar w:fldCharType="separate"/>
            </w:r>
            <w:r w:rsidR="006B3861">
              <w:rPr>
                <w:noProof/>
                <w:webHidden/>
              </w:rPr>
              <w:t>3</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19" w:history="1">
            <w:r w:rsidR="006B3861" w:rsidRPr="00AA051D">
              <w:rPr>
                <w:rStyle w:val="Hyperlink"/>
                <w:noProof/>
              </w:rPr>
              <w:t>Prof. Genivaldo Greggio</w:t>
            </w:r>
            <w:r w:rsidR="006B3861">
              <w:rPr>
                <w:noProof/>
                <w:webHidden/>
              </w:rPr>
              <w:tab/>
            </w:r>
            <w:r w:rsidR="006B3861">
              <w:rPr>
                <w:noProof/>
                <w:webHidden/>
              </w:rPr>
              <w:fldChar w:fldCharType="begin"/>
            </w:r>
            <w:r w:rsidR="006B3861">
              <w:rPr>
                <w:noProof/>
                <w:webHidden/>
              </w:rPr>
              <w:instrText xml:space="preserve"> PAGEREF _Toc442034719 \h </w:instrText>
            </w:r>
            <w:r w:rsidR="006B3861">
              <w:rPr>
                <w:noProof/>
                <w:webHidden/>
              </w:rPr>
            </w:r>
            <w:r w:rsidR="006B3861">
              <w:rPr>
                <w:noProof/>
                <w:webHidden/>
              </w:rPr>
              <w:fldChar w:fldCharType="separate"/>
            </w:r>
            <w:r w:rsidR="006B3861">
              <w:rPr>
                <w:noProof/>
                <w:webHidden/>
              </w:rPr>
              <w:t>18</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0" w:history="1">
            <w:r w:rsidR="006B3861" w:rsidRPr="00AA051D">
              <w:rPr>
                <w:rStyle w:val="Hyperlink"/>
                <w:noProof/>
                <w:lang w:val="en-US"/>
              </w:rPr>
              <w:t>Anne Kariny Lemos Rocha</w:t>
            </w:r>
            <w:r w:rsidR="006B3861" w:rsidRPr="00AA051D">
              <w:rPr>
                <w:rStyle w:val="Hyperlink"/>
                <w:noProof/>
                <w:vertAlign w:val="superscript"/>
                <w:lang w:val="en-US"/>
              </w:rPr>
              <w:t>1</w:t>
            </w:r>
            <w:r w:rsidR="006B3861">
              <w:rPr>
                <w:noProof/>
                <w:webHidden/>
              </w:rPr>
              <w:tab/>
            </w:r>
            <w:r w:rsidR="006B3861">
              <w:rPr>
                <w:noProof/>
                <w:webHidden/>
              </w:rPr>
              <w:fldChar w:fldCharType="begin"/>
            </w:r>
            <w:r w:rsidR="006B3861">
              <w:rPr>
                <w:noProof/>
                <w:webHidden/>
              </w:rPr>
              <w:instrText xml:space="preserve"> PAGEREF _Toc442034720 \h </w:instrText>
            </w:r>
            <w:r w:rsidR="006B3861">
              <w:rPr>
                <w:noProof/>
                <w:webHidden/>
              </w:rPr>
            </w:r>
            <w:r w:rsidR="006B3861">
              <w:rPr>
                <w:noProof/>
                <w:webHidden/>
              </w:rPr>
              <w:fldChar w:fldCharType="separate"/>
            </w:r>
            <w:r w:rsidR="006B3861">
              <w:rPr>
                <w:noProof/>
                <w:webHidden/>
              </w:rPr>
              <w:t>34</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1" w:history="1">
            <w:r w:rsidR="006B3861" w:rsidRPr="00AA051D">
              <w:rPr>
                <w:rStyle w:val="Hyperlink"/>
                <w:noProof/>
              </w:rPr>
              <w:t>João Ricardo Prestes Froes</w:t>
            </w:r>
            <w:r w:rsidR="006B3861">
              <w:rPr>
                <w:noProof/>
                <w:webHidden/>
              </w:rPr>
              <w:tab/>
            </w:r>
            <w:r w:rsidR="006B3861">
              <w:rPr>
                <w:noProof/>
                <w:webHidden/>
              </w:rPr>
              <w:fldChar w:fldCharType="begin"/>
            </w:r>
            <w:r w:rsidR="006B3861">
              <w:rPr>
                <w:noProof/>
                <w:webHidden/>
              </w:rPr>
              <w:instrText xml:space="preserve"> PAGEREF _Toc442034721 \h </w:instrText>
            </w:r>
            <w:r w:rsidR="006B3861">
              <w:rPr>
                <w:noProof/>
                <w:webHidden/>
              </w:rPr>
            </w:r>
            <w:r w:rsidR="006B3861">
              <w:rPr>
                <w:noProof/>
                <w:webHidden/>
              </w:rPr>
              <w:fldChar w:fldCharType="separate"/>
            </w:r>
            <w:r w:rsidR="006B3861">
              <w:rPr>
                <w:noProof/>
                <w:webHidden/>
              </w:rPr>
              <w:t>49</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2" w:history="1">
            <w:r w:rsidR="006B3861" w:rsidRPr="00AA051D">
              <w:rPr>
                <w:rStyle w:val="Hyperlink"/>
                <w:noProof/>
              </w:rPr>
              <w:t>Hélio Souza de Cristo</w:t>
            </w:r>
            <w:r w:rsidR="006B3861">
              <w:rPr>
                <w:noProof/>
                <w:webHidden/>
              </w:rPr>
              <w:tab/>
            </w:r>
            <w:r w:rsidR="006B3861">
              <w:rPr>
                <w:noProof/>
                <w:webHidden/>
              </w:rPr>
              <w:fldChar w:fldCharType="begin"/>
            </w:r>
            <w:r w:rsidR="006B3861">
              <w:rPr>
                <w:noProof/>
                <w:webHidden/>
              </w:rPr>
              <w:instrText xml:space="preserve"> PAGEREF _Toc442034722 \h </w:instrText>
            </w:r>
            <w:r w:rsidR="006B3861">
              <w:rPr>
                <w:noProof/>
                <w:webHidden/>
              </w:rPr>
            </w:r>
            <w:r w:rsidR="006B3861">
              <w:rPr>
                <w:noProof/>
                <w:webHidden/>
              </w:rPr>
              <w:fldChar w:fldCharType="separate"/>
            </w:r>
            <w:r w:rsidR="006B3861">
              <w:rPr>
                <w:noProof/>
                <w:webHidden/>
              </w:rPr>
              <w:t>64</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3" w:history="1">
            <w:r w:rsidR="006B3861" w:rsidRPr="00AA051D">
              <w:rPr>
                <w:rStyle w:val="Hyperlink"/>
                <w:rFonts w:eastAsia="Arial"/>
                <w:noProof/>
              </w:rPr>
              <w:t>Jailma de Jesus Santos</w:t>
            </w:r>
            <w:r w:rsidR="006B3861" w:rsidRPr="00AA051D">
              <w:rPr>
                <w:rStyle w:val="Hyperlink"/>
                <w:rFonts w:eastAsia="Arial"/>
                <w:noProof/>
                <w:vertAlign w:val="superscript"/>
              </w:rPr>
              <w:t>1</w:t>
            </w:r>
            <w:r w:rsidR="006B3861">
              <w:rPr>
                <w:noProof/>
                <w:webHidden/>
              </w:rPr>
              <w:tab/>
            </w:r>
            <w:r w:rsidR="006B3861">
              <w:rPr>
                <w:noProof/>
                <w:webHidden/>
              </w:rPr>
              <w:fldChar w:fldCharType="begin"/>
            </w:r>
            <w:r w:rsidR="006B3861">
              <w:rPr>
                <w:noProof/>
                <w:webHidden/>
              </w:rPr>
              <w:instrText xml:space="preserve"> PAGEREF _Toc442034723 \h </w:instrText>
            </w:r>
            <w:r w:rsidR="006B3861">
              <w:rPr>
                <w:noProof/>
                <w:webHidden/>
              </w:rPr>
            </w:r>
            <w:r w:rsidR="006B3861">
              <w:rPr>
                <w:noProof/>
                <w:webHidden/>
              </w:rPr>
              <w:fldChar w:fldCharType="separate"/>
            </w:r>
            <w:r w:rsidR="006B3861">
              <w:rPr>
                <w:noProof/>
                <w:webHidden/>
              </w:rPr>
              <w:t>83</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4" w:history="1">
            <w:r w:rsidR="006B3861" w:rsidRPr="00AA051D">
              <w:rPr>
                <w:rStyle w:val="Hyperlink"/>
                <w:noProof/>
              </w:rPr>
              <w:t>Autor: Camila Tinoco Pereira;</w:t>
            </w:r>
            <w:r w:rsidR="006B3861">
              <w:rPr>
                <w:noProof/>
                <w:webHidden/>
              </w:rPr>
              <w:tab/>
            </w:r>
            <w:r w:rsidR="006B3861">
              <w:rPr>
                <w:noProof/>
                <w:webHidden/>
              </w:rPr>
              <w:fldChar w:fldCharType="begin"/>
            </w:r>
            <w:r w:rsidR="006B3861">
              <w:rPr>
                <w:noProof/>
                <w:webHidden/>
              </w:rPr>
              <w:instrText xml:space="preserve"> PAGEREF _Toc442034724 \h </w:instrText>
            </w:r>
            <w:r w:rsidR="006B3861">
              <w:rPr>
                <w:noProof/>
                <w:webHidden/>
              </w:rPr>
            </w:r>
            <w:r w:rsidR="006B3861">
              <w:rPr>
                <w:noProof/>
                <w:webHidden/>
              </w:rPr>
              <w:fldChar w:fldCharType="separate"/>
            </w:r>
            <w:r w:rsidR="006B3861">
              <w:rPr>
                <w:noProof/>
                <w:webHidden/>
              </w:rPr>
              <w:t>96</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5" w:history="1">
            <w:r w:rsidR="006B3861" w:rsidRPr="00AA051D">
              <w:rPr>
                <w:rStyle w:val="Hyperlink"/>
                <w:noProof/>
              </w:rPr>
              <w:t>Thayana de Moraes Costa</w:t>
            </w:r>
            <w:r w:rsidR="006B3861">
              <w:rPr>
                <w:noProof/>
                <w:webHidden/>
              </w:rPr>
              <w:tab/>
            </w:r>
            <w:r w:rsidR="006B3861">
              <w:rPr>
                <w:noProof/>
                <w:webHidden/>
              </w:rPr>
              <w:fldChar w:fldCharType="begin"/>
            </w:r>
            <w:r w:rsidR="006B3861">
              <w:rPr>
                <w:noProof/>
                <w:webHidden/>
              </w:rPr>
              <w:instrText xml:space="preserve"> PAGEREF _Toc442034725 \h </w:instrText>
            </w:r>
            <w:r w:rsidR="006B3861">
              <w:rPr>
                <w:noProof/>
                <w:webHidden/>
              </w:rPr>
            </w:r>
            <w:r w:rsidR="006B3861">
              <w:rPr>
                <w:noProof/>
                <w:webHidden/>
              </w:rPr>
              <w:fldChar w:fldCharType="separate"/>
            </w:r>
            <w:r w:rsidR="006B3861">
              <w:rPr>
                <w:noProof/>
                <w:webHidden/>
              </w:rPr>
              <w:t>129</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6" w:history="1">
            <w:r w:rsidR="006B3861" w:rsidRPr="00AA051D">
              <w:rPr>
                <w:rStyle w:val="Hyperlink"/>
                <w:noProof/>
              </w:rPr>
              <w:t>Leonellea Pereira</w:t>
            </w:r>
            <w:r w:rsidR="006B3861">
              <w:rPr>
                <w:noProof/>
                <w:webHidden/>
              </w:rPr>
              <w:tab/>
            </w:r>
            <w:r w:rsidR="006B3861">
              <w:rPr>
                <w:noProof/>
                <w:webHidden/>
              </w:rPr>
              <w:fldChar w:fldCharType="begin"/>
            </w:r>
            <w:r w:rsidR="006B3861">
              <w:rPr>
                <w:noProof/>
                <w:webHidden/>
              </w:rPr>
              <w:instrText xml:space="preserve"> PAGEREF _Toc442034726 \h </w:instrText>
            </w:r>
            <w:r w:rsidR="006B3861">
              <w:rPr>
                <w:noProof/>
                <w:webHidden/>
              </w:rPr>
            </w:r>
            <w:r w:rsidR="006B3861">
              <w:rPr>
                <w:noProof/>
                <w:webHidden/>
              </w:rPr>
              <w:fldChar w:fldCharType="separate"/>
            </w:r>
            <w:r w:rsidR="006B3861">
              <w:rPr>
                <w:noProof/>
                <w:webHidden/>
              </w:rPr>
              <w:t>145</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7" w:history="1">
            <w:r w:rsidR="006B3861" w:rsidRPr="00AA051D">
              <w:rPr>
                <w:rStyle w:val="Hyperlink"/>
                <w:noProof/>
              </w:rPr>
              <w:t>Cecília Ordoñez</w:t>
            </w:r>
            <w:r w:rsidR="006B3861">
              <w:rPr>
                <w:noProof/>
                <w:webHidden/>
              </w:rPr>
              <w:tab/>
            </w:r>
            <w:r w:rsidR="006B3861">
              <w:rPr>
                <w:noProof/>
                <w:webHidden/>
              </w:rPr>
              <w:fldChar w:fldCharType="begin"/>
            </w:r>
            <w:r w:rsidR="006B3861">
              <w:rPr>
                <w:noProof/>
                <w:webHidden/>
              </w:rPr>
              <w:instrText xml:space="preserve"> PAGEREF _Toc442034727 \h </w:instrText>
            </w:r>
            <w:r w:rsidR="006B3861">
              <w:rPr>
                <w:noProof/>
                <w:webHidden/>
              </w:rPr>
            </w:r>
            <w:r w:rsidR="006B3861">
              <w:rPr>
                <w:noProof/>
                <w:webHidden/>
              </w:rPr>
              <w:fldChar w:fldCharType="separate"/>
            </w:r>
            <w:r w:rsidR="006B3861">
              <w:rPr>
                <w:noProof/>
                <w:webHidden/>
              </w:rPr>
              <w:t>162</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8" w:history="1">
            <w:r w:rsidR="006B3861" w:rsidRPr="00AA051D">
              <w:rPr>
                <w:rStyle w:val="Hyperlink"/>
                <w:noProof/>
              </w:rPr>
              <w:t>Maria de Jesus Martins de Andrade Cunha</w:t>
            </w:r>
            <w:r w:rsidR="006B3861">
              <w:rPr>
                <w:noProof/>
                <w:webHidden/>
              </w:rPr>
              <w:tab/>
            </w:r>
            <w:r w:rsidR="006B3861">
              <w:rPr>
                <w:noProof/>
                <w:webHidden/>
              </w:rPr>
              <w:fldChar w:fldCharType="begin"/>
            </w:r>
            <w:r w:rsidR="006B3861">
              <w:rPr>
                <w:noProof/>
                <w:webHidden/>
              </w:rPr>
              <w:instrText xml:space="preserve"> PAGEREF _Toc442034728 \h </w:instrText>
            </w:r>
            <w:r w:rsidR="006B3861">
              <w:rPr>
                <w:noProof/>
                <w:webHidden/>
              </w:rPr>
            </w:r>
            <w:r w:rsidR="006B3861">
              <w:rPr>
                <w:noProof/>
                <w:webHidden/>
              </w:rPr>
              <w:fldChar w:fldCharType="separate"/>
            </w:r>
            <w:r w:rsidR="006B3861">
              <w:rPr>
                <w:noProof/>
                <w:webHidden/>
              </w:rPr>
              <w:t>176</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29" w:history="1">
            <w:r w:rsidR="006B3861" w:rsidRPr="00AA051D">
              <w:rPr>
                <w:rStyle w:val="Hyperlink"/>
                <w:noProof/>
              </w:rPr>
              <w:t>Mirlana da Silva Cardoso</w:t>
            </w:r>
            <w:r w:rsidR="006B3861">
              <w:rPr>
                <w:noProof/>
                <w:webHidden/>
              </w:rPr>
              <w:tab/>
            </w:r>
            <w:r w:rsidR="006B3861">
              <w:rPr>
                <w:noProof/>
                <w:webHidden/>
              </w:rPr>
              <w:fldChar w:fldCharType="begin"/>
            </w:r>
            <w:r w:rsidR="006B3861">
              <w:rPr>
                <w:noProof/>
                <w:webHidden/>
              </w:rPr>
              <w:instrText xml:space="preserve"> PAGEREF _Toc442034729 \h </w:instrText>
            </w:r>
            <w:r w:rsidR="006B3861">
              <w:rPr>
                <w:noProof/>
                <w:webHidden/>
              </w:rPr>
            </w:r>
            <w:r w:rsidR="006B3861">
              <w:rPr>
                <w:noProof/>
                <w:webHidden/>
              </w:rPr>
              <w:fldChar w:fldCharType="separate"/>
            </w:r>
            <w:r w:rsidR="006B3861">
              <w:rPr>
                <w:noProof/>
                <w:webHidden/>
              </w:rPr>
              <w:t>191</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0" w:history="1">
            <w:r w:rsidR="006B3861" w:rsidRPr="00AA051D">
              <w:rPr>
                <w:rStyle w:val="Hyperlink"/>
                <w:noProof/>
              </w:rPr>
              <w:t>Carla de Paiva Bezerra</w:t>
            </w:r>
            <w:r w:rsidR="006B3861">
              <w:rPr>
                <w:noProof/>
                <w:webHidden/>
              </w:rPr>
              <w:tab/>
            </w:r>
            <w:r w:rsidR="006B3861">
              <w:rPr>
                <w:noProof/>
                <w:webHidden/>
              </w:rPr>
              <w:fldChar w:fldCharType="begin"/>
            </w:r>
            <w:r w:rsidR="006B3861">
              <w:rPr>
                <w:noProof/>
                <w:webHidden/>
              </w:rPr>
              <w:instrText xml:space="preserve"> PAGEREF _Toc442034730 \h </w:instrText>
            </w:r>
            <w:r w:rsidR="006B3861">
              <w:rPr>
                <w:noProof/>
                <w:webHidden/>
              </w:rPr>
            </w:r>
            <w:r w:rsidR="006B3861">
              <w:rPr>
                <w:noProof/>
                <w:webHidden/>
              </w:rPr>
              <w:fldChar w:fldCharType="separate"/>
            </w:r>
            <w:r w:rsidR="006B3861">
              <w:rPr>
                <w:noProof/>
                <w:webHidden/>
              </w:rPr>
              <w:t>210</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1" w:history="1">
            <w:r w:rsidR="006B3861" w:rsidRPr="00AA051D">
              <w:rPr>
                <w:rStyle w:val="Hyperlink"/>
                <w:rFonts w:eastAsia="Calibri"/>
                <w:noProof/>
              </w:rPr>
              <w:t>Bruna Tavares de Souza</w:t>
            </w:r>
            <w:r w:rsidR="006B3861">
              <w:rPr>
                <w:noProof/>
                <w:webHidden/>
              </w:rPr>
              <w:tab/>
            </w:r>
            <w:r w:rsidR="006B3861">
              <w:rPr>
                <w:noProof/>
                <w:webHidden/>
              </w:rPr>
              <w:fldChar w:fldCharType="begin"/>
            </w:r>
            <w:r w:rsidR="006B3861">
              <w:rPr>
                <w:noProof/>
                <w:webHidden/>
              </w:rPr>
              <w:instrText xml:space="preserve"> PAGEREF _Toc442034731 \h </w:instrText>
            </w:r>
            <w:r w:rsidR="006B3861">
              <w:rPr>
                <w:noProof/>
                <w:webHidden/>
              </w:rPr>
            </w:r>
            <w:r w:rsidR="006B3861">
              <w:rPr>
                <w:noProof/>
                <w:webHidden/>
              </w:rPr>
              <w:fldChar w:fldCharType="separate"/>
            </w:r>
            <w:r w:rsidR="006B3861">
              <w:rPr>
                <w:noProof/>
                <w:webHidden/>
              </w:rPr>
              <w:t>240</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2" w:history="1">
            <w:r w:rsidR="006B3861" w:rsidRPr="00AA051D">
              <w:rPr>
                <w:rStyle w:val="Hyperlink"/>
                <w:rFonts w:eastAsia="Arial"/>
                <w:noProof/>
              </w:rPr>
              <w:t>Denise Cristina Silva Rosa</w:t>
            </w:r>
            <w:r w:rsidR="006B3861" w:rsidRPr="00AA051D">
              <w:rPr>
                <w:rStyle w:val="Hyperlink"/>
                <w:rFonts w:eastAsia="Arial"/>
                <w:noProof/>
                <w:vertAlign w:val="superscript"/>
              </w:rPr>
              <w:t>i</w:t>
            </w:r>
            <w:r w:rsidR="006B3861">
              <w:rPr>
                <w:noProof/>
                <w:webHidden/>
              </w:rPr>
              <w:tab/>
            </w:r>
            <w:r w:rsidR="006B3861">
              <w:rPr>
                <w:noProof/>
                <w:webHidden/>
              </w:rPr>
              <w:fldChar w:fldCharType="begin"/>
            </w:r>
            <w:r w:rsidR="006B3861">
              <w:rPr>
                <w:noProof/>
                <w:webHidden/>
              </w:rPr>
              <w:instrText xml:space="preserve"> PAGEREF _Toc442034732 \h </w:instrText>
            </w:r>
            <w:r w:rsidR="006B3861">
              <w:rPr>
                <w:noProof/>
                <w:webHidden/>
              </w:rPr>
            </w:r>
            <w:r w:rsidR="006B3861">
              <w:rPr>
                <w:noProof/>
                <w:webHidden/>
              </w:rPr>
              <w:fldChar w:fldCharType="separate"/>
            </w:r>
            <w:r w:rsidR="006B3861">
              <w:rPr>
                <w:noProof/>
                <w:webHidden/>
              </w:rPr>
              <w:t>255</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3" w:history="1">
            <w:r w:rsidR="006B3861" w:rsidRPr="00AA051D">
              <w:rPr>
                <w:rStyle w:val="Hyperlink"/>
                <w:noProof/>
              </w:rPr>
              <w:t>Marina Grandi Giongo</w:t>
            </w:r>
            <w:r w:rsidR="006B3861">
              <w:rPr>
                <w:noProof/>
                <w:webHidden/>
              </w:rPr>
              <w:tab/>
            </w:r>
            <w:r w:rsidR="006B3861">
              <w:rPr>
                <w:noProof/>
                <w:webHidden/>
              </w:rPr>
              <w:fldChar w:fldCharType="begin"/>
            </w:r>
            <w:r w:rsidR="006B3861">
              <w:rPr>
                <w:noProof/>
                <w:webHidden/>
              </w:rPr>
              <w:instrText xml:space="preserve"> PAGEREF _Toc442034733 \h </w:instrText>
            </w:r>
            <w:r w:rsidR="006B3861">
              <w:rPr>
                <w:noProof/>
                <w:webHidden/>
              </w:rPr>
            </w:r>
            <w:r w:rsidR="006B3861">
              <w:rPr>
                <w:noProof/>
                <w:webHidden/>
              </w:rPr>
              <w:fldChar w:fldCharType="separate"/>
            </w:r>
            <w:r w:rsidR="006B3861">
              <w:rPr>
                <w:noProof/>
                <w:webHidden/>
              </w:rPr>
              <w:t>267</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4" w:history="1">
            <w:r w:rsidR="006B3861" w:rsidRPr="00AA051D">
              <w:rPr>
                <w:rStyle w:val="Hyperlink"/>
                <w:noProof/>
              </w:rPr>
              <w:t>Adriana Beserra Silva</w:t>
            </w:r>
            <w:r w:rsidR="006B3861">
              <w:rPr>
                <w:noProof/>
                <w:webHidden/>
              </w:rPr>
              <w:tab/>
            </w:r>
            <w:r w:rsidR="006B3861">
              <w:rPr>
                <w:noProof/>
                <w:webHidden/>
              </w:rPr>
              <w:fldChar w:fldCharType="begin"/>
            </w:r>
            <w:r w:rsidR="006B3861">
              <w:rPr>
                <w:noProof/>
                <w:webHidden/>
              </w:rPr>
              <w:instrText xml:space="preserve"> PAGEREF _Toc442034734 \h </w:instrText>
            </w:r>
            <w:r w:rsidR="006B3861">
              <w:rPr>
                <w:noProof/>
                <w:webHidden/>
              </w:rPr>
            </w:r>
            <w:r w:rsidR="006B3861">
              <w:rPr>
                <w:noProof/>
                <w:webHidden/>
              </w:rPr>
              <w:fldChar w:fldCharType="separate"/>
            </w:r>
            <w:r w:rsidR="006B3861">
              <w:rPr>
                <w:noProof/>
                <w:webHidden/>
              </w:rPr>
              <w:t>320</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5" w:history="1">
            <w:r w:rsidR="006B3861" w:rsidRPr="00AA051D">
              <w:rPr>
                <w:rStyle w:val="Hyperlink"/>
                <w:noProof/>
              </w:rPr>
              <w:t>Daniel Gomes da Fonseca</w:t>
            </w:r>
            <w:r w:rsidR="006B3861">
              <w:rPr>
                <w:noProof/>
                <w:webHidden/>
              </w:rPr>
              <w:tab/>
            </w:r>
            <w:r w:rsidR="006B3861">
              <w:rPr>
                <w:noProof/>
                <w:webHidden/>
              </w:rPr>
              <w:fldChar w:fldCharType="begin"/>
            </w:r>
            <w:r w:rsidR="006B3861">
              <w:rPr>
                <w:noProof/>
                <w:webHidden/>
              </w:rPr>
              <w:instrText xml:space="preserve"> PAGEREF _Toc442034735 \h </w:instrText>
            </w:r>
            <w:r w:rsidR="006B3861">
              <w:rPr>
                <w:noProof/>
                <w:webHidden/>
              </w:rPr>
            </w:r>
            <w:r w:rsidR="006B3861">
              <w:rPr>
                <w:noProof/>
                <w:webHidden/>
              </w:rPr>
              <w:fldChar w:fldCharType="separate"/>
            </w:r>
            <w:r w:rsidR="006B3861">
              <w:rPr>
                <w:noProof/>
                <w:webHidden/>
              </w:rPr>
              <w:t>332</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6" w:history="1">
            <w:r w:rsidR="006B3861" w:rsidRPr="00AA051D">
              <w:rPr>
                <w:rStyle w:val="Hyperlink"/>
                <w:noProof/>
              </w:rPr>
              <w:t>Marcos T. G. Paterra</w:t>
            </w:r>
            <w:r w:rsidR="006B3861">
              <w:rPr>
                <w:noProof/>
                <w:webHidden/>
              </w:rPr>
              <w:tab/>
            </w:r>
            <w:r w:rsidR="006B3861">
              <w:rPr>
                <w:noProof/>
                <w:webHidden/>
              </w:rPr>
              <w:fldChar w:fldCharType="begin"/>
            </w:r>
            <w:r w:rsidR="006B3861">
              <w:rPr>
                <w:noProof/>
                <w:webHidden/>
              </w:rPr>
              <w:instrText xml:space="preserve"> PAGEREF _Toc442034736 \h </w:instrText>
            </w:r>
            <w:r w:rsidR="006B3861">
              <w:rPr>
                <w:noProof/>
                <w:webHidden/>
              </w:rPr>
            </w:r>
            <w:r w:rsidR="006B3861">
              <w:rPr>
                <w:noProof/>
                <w:webHidden/>
              </w:rPr>
              <w:fldChar w:fldCharType="separate"/>
            </w:r>
            <w:r w:rsidR="006B3861">
              <w:rPr>
                <w:noProof/>
                <w:webHidden/>
              </w:rPr>
              <w:t>347</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7" w:history="1">
            <w:r w:rsidR="006B3861" w:rsidRPr="00AA051D">
              <w:rPr>
                <w:rStyle w:val="Hyperlink"/>
                <w:noProof/>
              </w:rPr>
              <w:t>Dalvan José de Sousa</w:t>
            </w:r>
            <w:r w:rsidR="006B3861">
              <w:rPr>
                <w:noProof/>
                <w:webHidden/>
              </w:rPr>
              <w:tab/>
            </w:r>
            <w:r w:rsidR="006B3861">
              <w:rPr>
                <w:noProof/>
                <w:webHidden/>
              </w:rPr>
              <w:fldChar w:fldCharType="begin"/>
            </w:r>
            <w:r w:rsidR="006B3861">
              <w:rPr>
                <w:noProof/>
                <w:webHidden/>
              </w:rPr>
              <w:instrText xml:space="preserve"> PAGEREF _Toc442034737 \h </w:instrText>
            </w:r>
            <w:r w:rsidR="006B3861">
              <w:rPr>
                <w:noProof/>
                <w:webHidden/>
              </w:rPr>
            </w:r>
            <w:r w:rsidR="006B3861">
              <w:rPr>
                <w:noProof/>
                <w:webHidden/>
              </w:rPr>
              <w:fldChar w:fldCharType="separate"/>
            </w:r>
            <w:r w:rsidR="006B3861">
              <w:rPr>
                <w:noProof/>
                <w:webHidden/>
              </w:rPr>
              <w:t>367</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8" w:history="1">
            <w:r w:rsidR="006B3861" w:rsidRPr="00AA051D">
              <w:rPr>
                <w:rStyle w:val="Hyperlink"/>
                <w:noProof/>
              </w:rPr>
              <w:t>Aline Alves Moraes</w:t>
            </w:r>
            <w:r w:rsidR="006B3861">
              <w:rPr>
                <w:noProof/>
                <w:webHidden/>
              </w:rPr>
              <w:tab/>
            </w:r>
            <w:r w:rsidR="006B3861">
              <w:rPr>
                <w:noProof/>
                <w:webHidden/>
              </w:rPr>
              <w:fldChar w:fldCharType="begin"/>
            </w:r>
            <w:r w:rsidR="006B3861">
              <w:rPr>
                <w:noProof/>
                <w:webHidden/>
              </w:rPr>
              <w:instrText xml:space="preserve"> PAGEREF _Toc442034738 \h </w:instrText>
            </w:r>
            <w:r w:rsidR="006B3861">
              <w:rPr>
                <w:noProof/>
                <w:webHidden/>
              </w:rPr>
            </w:r>
            <w:r w:rsidR="006B3861">
              <w:rPr>
                <w:noProof/>
                <w:webHidden/>
              </w:rPr>
              <w:fldChar w:fldCharType="separate"/>
            </w:r>
            <w:r w:rsidR="006B3861">
              <w:rPr>
                <w:noProof/>
                <w:webHidden/>
              </w:rPr>
              <w:t>376</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39" w:history="1">
            <w:r w:rsidR="006B3861" w:rsidRPr="00AA051D">
              <w:rPr>
                <w:rStyle w:val="Hyperlink"/>
                <w:noProof/>
              </w:rPr>
              <w:t>Alex Ribeiro Nunes</w:t>
            </w:r>
            <w:r w:rsidR="006B3861">
              <w:rPr>
                <w:noProof/>
                <w:webHidden/>
              </w:rPr>
              <w:tab/>
            </w:r>
            <w:r w:rsidR="006B3861">
              <w:rPr>
                <w:noProof/>
                <w:webHidden/>
              </w:rPr>
              <w:fldChar w:fldCharType="begin"/>
            </w:r>
            <w:r w:rsidR="006B3861">
              <w:rPr>
                <w:noProof/>
                <w:webHidden/>
              </w:rPr>
              <w:instrText xml:space="preserve"> PAGEREF _Toc442034739 \h </w:instrText>
            </w:r>
            <w:r w:rsidR="006B3861">
              <w:rPr>
                <w:noProof/>
                <w:webHidden/>
              </w:rPr>
            </w:r>
            <w:r w:rsidR="006B3861">
              <w:rPr>
                <w:noProof/>
                <w:webHidden/>
              </w:rPr>
              <w:fldChar w:fldCharType="separate"/>
            </w:r>
            <w:r w:rsidR="006B3861">
              <w:rPr>
                <w:noProof/>
                <w:webHidden/>
              </w:rPr>
              <w:t>389</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40" w:history="1">
            <w:r w:rsidR="006B3861" w:rsidRPr="00AA051D">
              <w:rPr>
                <w:rStyle w:val="Hyperlink"/>
                <w:noProof/>
              </w:rPr>
              <w:t>Maria Célia Macedo Araújo Melo</w:t>
            </w:r>
            <w:r w:rsidR="006B3861" w:rsidRPr="00AA051D">
              <w:rPr>
                <w:rStyle w:val="Hyperlink"/>
                <w:noProof/>
                <w:vertAlign w:val="superscript"/>
              </w:rPr>
              <w:t>1</w:t>
            </w:r>
            <w:r w:rsidR="006B3861">
              <w:rPr>
                <w:noProof/>
                <w:webHidden/>
              </w:rPr>
              <w:tab/>
            </w:r>
            <w:r w:rsidR="006B3861">
              <w:rPr>
                <w:noProof/>
                <w:webHidden/>
              </w:rPr>
              <w:fldChar w:fldCharType="begin"/>
            </w:r>
            <w:r w:rsidR="006B3861">
              <w:rPr>
                <w:noProof/>
                <w:webHidden/>
              </w:rPr>
              <w:instrText xml:space="preserve"> PAGEREF _Toc442034740 \h </w:instrText>
            </w:r>
            <w:r w:rsidR="006B3861">
              <w:rPr>
                <w:noProof/>
                <w:webHidden/>
              </w:rPr>
            </w:r>
            <w:r w:rsidR="006B3861">
              <w:rPr>
                <w:noProof/>
                <w:webHidden/>
              </w:rPr>
              <w:fldChar w:fldCharType="separate"/>
            </w:r>
            <w:r w:rsidR="006B3861">
              <w:rPr>
                <w:noProof/>
                <w:webHidden/>
              </w:rPr>
              <w:t>400</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41" w:history="1">
            <w:r w:rsidR="006B3861" w:rsidRPr="00AA051D">
              <w:rPr>
                <w:rStyle w:val="Hyperlink"/>
                <w:noProof/>
              </w:rPr>
              <w:t>Ana Claudia Santos Pinheiro</w:t>
            </w:r>
            <w:r w:rsidR="006B3861">
              <w:rPr>
                <w:noProof/>
                <w:webHidden/>
              </w:rPr>
              <w:tab/>
            </w:r>
            <w:r w:rsidR="006B3861">
              <w:rPr>
                <w:noProof/>
                <w:webHidden/>
              </w:rPr>
              <w:fldChar w:fldCharType="begin"/>
            </w:r>
            <w:r w:rsidR="006B3861">
              <w:rPr>
                <w:noProof/>
                <w:webHidden/>
              </w:rPr>
              <w:instrText xml:space="preserve"> PAGEREF _Toc442034741 \h </w:instrText>
            </w:r>
            <w:r w:rsidR="006B3861">
              <w:rPr>
                <w:noProof/>
                <w:webHidden/>
              </w:rPr>
            </w:r>
            <w:r w:rsidR="006B3861">
              <w:rPr>
                <w:noProof/>
                <w:webHidden/>
              </w:rPr>
              <w:fldChar w:fldCharType="separate"/>
            </w:r>
            <w:r w:rsidR="006B3861">
              <w:rPr>
                <w:noProof/>
                <w:webHidden/>
              </w:rPr>
              <w:t>415</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42" w:history="1">
            <w:r w:rsidR="006B3861" w:rsidRPr="00AA051D">
              <w:rPr>
                <w:rStyle w:val="Hyperlink"/>
                <w:rFonts w:eastAsia="Times"/>
                <w:noProof/>
              </w:rPr>
              <w:t>Adriana Almeida Gonçalves</w:t>
            </w:r>
            <w:r w:rsidR="006B3861">
              <w:rPr>
                <w:noProof/>
                <w:webHidden/>
              </w:rPr>
              <w:tab/>
            </w:r>
            <w:r w:rsidR="006B3861">
              <w:rPr>
                <w:noProof/>
                <w:webHidden/>
              </w:rPr>
              <w:fldChar w:fldCharType="begin"/>
            </w:r>
            <w:r w:rsidR="006B3861">
              <w:rPr>
                <w:noProof/>
                <w:webHidden/>
              </w:rPr>
              <w:instrText xml:space="preserve"> PAGEREF _Toc442034742 \h </w:instrText>
            </w:r>
            <w:r w:rsidR="006B3861">
              <w:rPr>
                <w:noProof/>
                <w:webHidden/>
              </w:rPr>
            </w:r>
            <w:r w:rsidR="006B3861">
              <w:rPr>
                <w:noProof/>
                <w:webHidden/>
              </w:rPr>
              <w:fldChar w:fldCharType="separate"/>
            </w:r>
            <w:r w:rsidR="006B3861">
              <w:rPr>
                <w:noProof/>
                <w:webHidden/>
              </w:rPr>
              <w:t>431</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43" w:history="1">
            <w:r w:rsidR="006B3861" w:rsidRPr="00AA051D">
              <w:rPr>
                <w:rStyle w:val="Hyperlink"/>
                <w:rFonts w:eastAsia="Arial"/>
                <w:noProof/>
              </w:rPr>
              <w:t>Fernanda Meneghini Machado</w:t>
            </w:r>
            <w:r w:rsidR="006B3861">
              <w:rPr>
                <w:noProof/>
                <w:webHidden/>
              </w:rPr>
              <w:tab/>
            </w:r>
            <w:r w:rsidR="006B3861">
              <w:rPr>
                <w:noProof/>
                <w:webHidden/>
              </w:rPr>
              <w:fldChar w:fldCharType="begin"/>
            </w:r>
            <w:r w:rsidR="006B3861">
              <w:rPr>
                <w:noProof/>
                <w:webHidden/>
              </w:rPr>
              <w:instrText xml:space="preserve"> PAGEREF _Toc442034743 \h </w:instrText>
            </w:r>
            <w:r w:rsidR="006B3861">
              <w:rPr>
                <w:noProof/>
                <w:webHidden/>
              </w:rPr>
            </w:r>
            <w:r w:rsidR="006B3861">
              <w:rPr>
                <w:noProof/>
                <w:webHidden/>
              </w:rPr>
              <w:fldChar w:fldCharType="separate"/>
            </w:r>
            <w:r w:rsidR="006B3861">
              <w:rPr>
                <w:noProof/>
                <w:webHidden/>
              </w:rPr>
              <w:t>445</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44" w:history="1">
            <w:r w:rsidR="006B3861" w:rsidRPr="00AA051D">
              <w:rPr>
                <w:rStyle w:val="Hyperlink"/>
                <w:noProof/>
              </w:rPr>
              <w:t>Maira Deníce Gonçalves de Almeida</w:t>
            </w:r>
            <w:r w:rsidR="006B3861">
              <w:rPr>
                <w:noProof/>
                <w:webHidden/>
              </w:rPr>
              <w:tab/>
            </w:r>
            <w:r w:rsidR="006B3861">
              <w:rPr>
                <w:noProof/>
                <w:webHidden/>
              </w:rPr>
              <w:fldChar w:fldCharType="begin"/>
            </w:r>
            <w:r w:rsidR="006B3861">
              <w:rPr>
                <w:noProof/>
                <w:webHidden/>
              </w:rPr>
              <w:instrText xml:space="preserve"> PAGEREF _Toc442034744 \h </w:instrText>
            </w:r>
            <w:r w:rsidR="006B3861">
              <w:rPr>
                <w:noProof/>
                <w:webHidden/>
              </w:rPr>
            </w:r>
            <w:r w:rsidR="006B3861">
              <w:rPr>
                <w:noProof/>
                <w:webHidden/>
              </w:rPr>
              <w:fldChar w:fldCharType="separate"/>
            </w:r>
            <w:r w:rsidR="006B3861">
              <w:rPr>
                <w:noProof/>
                <w:webHidden/>
              </w:rPr>
              <w:t>461</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45" w:history="1">
            <w:r w:rsidR="006B3861" w:rsidRPr="00AA051D">
              <w:rPr>
                <w:rStyle w:val="Hyperlink"/>
                <w:noProof/>
              </w:rPr>
              <w:t>Katiuscia Angélica Micaela de Oliveira</w:t>
            </w:r>
            <w:r w:rsidR="006B3861" w:rsidRPr="00AA051D">
              <w:rPr>
                <w:rStyle w:val="Hyperlink"/>
                <w:noProof/>
                <w:vertAlign w:val="superscript"/>
              </w:rPr>
              <w:t>1</w:t>
            </w:r>
            <w:r w:rsidR="006B3861">
              <w:rPr>
                <w:noProof/>
                <w:webHidden/>
              </w:rPr>
              <w:tab/>
            </w:r>
            <w:r w:rsidR="006B3861">
              <w:rPr>
                <w:noProof/>
                <w:webHidden/>
              </w:rPr>
              <w:fldChar w:fldCharType="begin"/>
            </w:r>
            <w:r w:rsidR="006B3861">
              <w:rPr>
                <w:noProof/>
                <w:webHidden/>
              </w:rPr>
              <w:instrText xml:space="preserve"> PAGEREF _Toc442034745 \h </w:instrText>
            </w:r>
            <w:r w:rsidR="006B3861">
              <w:rPr>
                <w:noProof/>
                <w:webHidden/>
              </w:rPr>
            </w:r>
            <w:r w:rsidR="006B3861">
              <w:rPr>
                <w:noProof/>
                <w:webHidden/>
              </w:rPr>
              <w:fldChar w:fldCharType="separate"/>
            </w:r>
            <w:r w:rsidR="006B3861">
              <w:rPr>
                <w:noProof/>
                <w:webHidden/>
              </w:rPr>
              <w:t>479</w:t>
            </w:r>
            <w:r w:rsidR="006B3861">
              <w:rPr>
                <w:noProof/>
                <w:webHidden/>
              </w:rPr>
              <w:fldChar w:fldCharType="end"/>
            </w:r>
          </w:hyperlink>
        </w:p>
        <w:p w:rsidR="006B3861" w:rsidRDefault="006B3861">
          <w:pPr>
            <w:pStyle w:val="Sumrio1"/>
            <w:tabs>
              <w:tab w:val="right" w:leader="dot" w:pos="9050"/>
            </w:tabs>
            <w:rPr>
              <w:rFonts w:asciiTheme="minorHAnsi" w:eastAsiaTheme="minorEastAsia" w:hAnsiTheme="minorHAnsi" w:cstheme="minorBidi"/>
              <w:noProof/>
            </w:rPr>
          </w:pPr>
          <w:hyperlink w:anchor="_Toc442034746" w:history="1">
            <w:r w:rsidRPr="00AA051D">
              <w:rPr>
                <w:rStyle w:val="Hyperlink"/>
                <w:noProof/>
              </w:rPr>
              <w:t>Suelen Siqueira Julio</w:t>
            </w:r>
            <w:r>
              <w:rPr>
                <w:noProof/>
                <w:webHidden/>
              </w:rPr>
              <w:tab/>
            </w:r>
            <w:r>
              <w:rPr>
                <w:noProof/>
                <w:webHidden/>
              </w:rPr>
              <w:fldChar w:fldCharType="begin"/>
            </w:r>
            <w:r>
              <w:rPr>
                <w:noProof/>
                <w:webHidden/>
              </w:rPr>
              <w:instrText xml:space="preserve"> PAGEREF _Toc442034746 \h </w:instrText>
            </w:r>
            <w:r>
              <w:rPr>
                <w:noProof/>
                <w:webHidden/>
              </w:rPr>
            </w:r>
            <w:r>
              <w:rPr>
                <w:noProof/>
                <w:webHidden/>
              </w:rPr>
              <w:fldChar w:fldCharType="separate"/>
            </w:r>
            <w:r>
              <w:rPr>
                <w:noProof/>
                <w:webHidden/>
              </w:rPr>
              <w:t>494</w:t>
            </w:r>
            <w:r>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47" w:history="1">
            <w:r w:rsidR="006B3861" w:rsidRPr="00AA051D">
              <w:rPr>
                <w:rStyle w:val="Hyperlink"/>
                <w:noProof/>
              </w:rPr>
              <w:t>Juliana Saldanha Romanus</w:t>
            </w:r>
            <w:r w:rsidR="006B3861">
              <w:rPr>
                <w:noProof/>
                <w:webHidden/>
              </w:rPr>
              <w:tab/>
            </w:r>
            <w:r w:rsidR="006B3861">
              <w:rPr>
                <w:noProof/>
                <w:webHidden/>
              </w:rPr>
              <w:fldChar w:fldCharType="begin"/>
            </w:r>
            <w:r w:rsidR="006B3861">
              <w:rPr>
                <w:noProof/>
                <w:webHidden/>
              </w:rPr>
              <w:instrText xml:space="preserve"> PAGEREF _Toc442034747 \h </w:instrText>
            </w:r>
            <w:r w:rsidR="006B3861">
              <w:rPr>
                <w:noProof/>
                <w:webHidden/>
              </w:rPr>
            </w:r>
            <w:r w:rsidR="006B3861">
              <w:rPr>
                <w:noProof/>
                <w:webHidden/>
              </w:rPr>
              <w:fldChar w:fldCharType="separate"/>
            </w:r>
            <w:r w:rsidR="006B3861">
              <w:rPr>
                <w:noProof/>
                <w:webHidden/>
              </w:rPr>
              <w:t>510</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48" w:history="1">
            <w:r w:rsidR="006B3861" w:rsidRPr="00AA051D">
              <w:rPr>
                <w:rStyle w:val="Hyperlink"/>
                <w:noProof/>
              </w:rPr>
              <w:t>Alexsandra Flávia Bezerra de Oliveira</w:t>
            </w:r>
            <w:r w:rsidR="006B3861">
              <w:rPr>
                <w:noProof/>
                <w:webHidden/>
              </w:rPr>
              <w:tab/>
            </w:r>
            <w:r w:rsidR="006B3861">
              <w:rPr>
                <w:noProof/>
                <w:webHidden/>
              </w:rPr>
              <w:fldChar w:fldCharType="begin"/>
            </w:r>
            <w:r w:rsidR="006B3861">
              <w:rPr>
                <w:noProof/>
                <w:webHidden/>
              </w:rPr>
              <w:instrText xml:space="preserve"> PAGEREF _Toc442034748 \h </w:instrText>
            </w:r>
            <w:r w:rsidR="006B3861">
              <w:rPr>
                <w:noProof/>
                <w:webHidden/>
              </w:rPr>
            </w:r>
            <w:r w:rsidR="006B3861">
              <w:rPr>
                <w:noProof/>
                <w:webHidden/>
              </w:rPr>
              <w:fldChar w:fldCharType="separate"/>
            </w:r>
            <w:r w:rsidR="006B3861">
              <w:rPr>
                <w:noProof/>
                <w:webHidden/>
              </w:rPr>
              <w:t>540</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49" w:history="1">
            <w:r w:rsidR="006B3861" w:rsidRPr="00AA051D">
              <w:rPr>
                <w:rStyle w:val="Hyperlink"/>
                <w:noProof/>
              </w:rPr>
              <w:t>Cristiane Soares de Oliveira</w:t>
            </w:r>
            <w:r w:rsidR="006B3861">
              <w:rPr>
                <w:noProof/>
                <w:webHidden/>
              </w:rPr>
              <w:tab/>
            </w:r>
            <w:r w:rsidR="006B3861">
              <w:rPr>
                <w:noProof/>
                <w:webHidden/>
              </w:rPr>
              <w:fldChar w:fldCharType="begin"/>
            </w:r>
            <w:r w:rsidR="006B3861">
              <w:rPr>
                <w:noProof/>
                <w:webHidden/>
              </w:rPr>
              <w:instrText xml:space="preserve"> PAGEREF _Toc442034749 \h </w:instrText>
            </w:r>
            <w:r w:rsidR="006B3861">
              <w:rPr>
                <w:noProof/>
                <w:webHidden/>
              </w:rPr>
            </w:r>
            <w:r w:rsidR="006B3861">
              <w:rPr>
                <w:noProof/>
                <w:webHidden/>
              </w:rPr>
              <w:fldChar w:fldCharType="separate"/>
            </w:r>
            <w:r w:rsidR="006B3861">
              <w:rPr>
                <w:noProof/>
                <w:webHidden/>
              </w:rPr>
              <w:t>575</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50" w:history="1">
            <w:r w:rsidR="006B3861" w:rsidRPr="00AA051D">
              <w:rPr>
                <w:rStyle w:val="Hyperlink"/>
                <w:noProof/>
              </w:rPr>
              <w:t>Lílian Lima Gonçalves dos Prazeres</w:t>
            </w:r>
            <w:r w:rsidR="006B3861">
              <w:rPr>
                <w:noProof/>
                <w:webHidden/>
              </w:rPr>
              <w:tab/>
            </w:r>
            <w:r w:rsidR="006B3861">
              <w:rPr>
                <w:noProof/>
                <w:webHidden/>
              </w:rPr>
              <w:fldChar w:fldCharType="begin"/>
            </w:r>
            <w:r w:rsidR="006B3861">
              <w:rPr>
                <w:noProof/>
                <w:webHidden/>
              </w:rPr>
              <w:instrText xml:space="preserve"> PAGEREF _Toc442034750 \h </w:instrText>
            </w:r>
            <w:r w:rsidR="006B3861">
              <w:rPr>
                <w:noProof/>
                <w:webHidden/>
              </w:rPr>
            </w:r>
            <w:r w:rsidR="006B3861">
              <w:rPr>
                <w:noProof/>
                <w:webHidden/>
              </w:rPr>
              <w:fldChar w:fldCharType="separate"/>
            </w:r>
            <w:r w:rsidR="006B3861">
              <w:rPr>
                <w:noProof/>
                <w:webHidden/>
              </w:rPr>
              <w:t>594</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51" w:history="1">
            <w:r w:rsidR="006B3861" w:rsidRPr="00AA051D">
              <w:rPr>
                <w:rStyle w:val="Hyperlink"/>
                <w:noProof/>
              </w:rPr>
              <w:t>Débora Seben</w:t>
            </w:r>
            <w:r w:rsidR="006B3861">
              <w:rPr>
                <w:noProof/>
                <w:webHidden/>
              </w:rPr>
              <w:tab/>
            </w:r>
            <w:r w:rsidR="006B3861">
              <w:rPr>
                <w:noProof/>
                <w:webHidden/>
              </w:rPr>
              <w:fldChar w:fldCharType="begin"/>
            </w:r>
            <w:r w:rsidR="006B3861">
              <w:rPr>
                <w:noProof/>
                <w:webHidden/>
              </w:rPr>
              <w:instrText xml:space="preserve"> PAGEREF _Toc442034751 \h </w:instrText>
            </w:r>
            <w:r w:rsidR="006B3861">
              <w:rPr>
                <w:noProof/>
                <w:webHidden/>
              </w:rPr>
            </w:r>
            <w:r w:rsidR="006B3861">
              <w:rPr>
                <w:noProof/>
                <w:webHidden/>
              </w:rPr>
              <w:fldChar w:fldCharType="separate"/>
            </w:r>
            <w:r w:rsidR="006B3861">
              <w:rPr>
                <w:noProof/>
                <w:webHidden/>
              </w:rPr>
              <w:t>611</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52" w:history="1">
            <w:r w:rsidR="006B3861" w:rsidRPr="00AA051D">
              <w:rPr>
                <w:rStyle w:val="Hyperlink"/>
                <w:rFonts w:eastAsia="Times"/>
                <w:noProof/>
              </w:rPr>
              <w:t>Esdra Basílio</w:t>
            </w:r>
            <w:r w:rsidR="006B3861">
              <w:rPr>
                <w:noProof/>
                <w:webHidden/>
              </w:rPr>
              <w:tab/>
            </w:r>
            <w:r w:rsidR="006B3861">
              <w:rPr>
                <w:noProof/>
                <w:webHidden/>
              </w:rPr>
              <w:fldChar w:fldCharType="begin"/>
            </w:r>
            <w:r w:rsidR="006B3861">
              <w:rPr>
                <w:noProof/>
                <w:webHidden/>
              </w:rPr>
              <w:instrText xml:space="preserve"> PAGEREF _Toc442034752 \h </w:instrText>
            </w:r>
            <w:r w:rsidR="006B3861">
              <w:rPr>
                <w:noProof/>
                <w:webHidden/>
              </w:rPr>
            </w:r>
            <w:r w:rsidR="006B3861">
              <w:rPr>
                <w:noProof/>
                <w:webHidden/>
              </w:rPr>
              <w:fldChar w:fldCharType="separate"/>
            </w:r>
            <w:r w:rsidR="006B3861">
              <w:rPr>
                <w:noProof/>
                <w:webHidden/>
              </w:rPr>
              <w:t>629</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53" w:history="1">
            <w:r w:rsidR="006B3861" w:rsidRPr="00AA051D">
              <w:rPr>
                <w:rStyle w:val="Hyperlink"/>
                <w:noProof/>
              </w:rPr>
              <w:t>Elizete Carmen Ferrari Balbinot</w:t>
            </w:r>
            <w:r w:rsidR="006B3861">
              <w:rPr>
                <w:noProof/>
                <w:webHidden/>
              </w:rPr>
              <w:tab/>
            </w:r>
            <w:r w:rsidR="006B3861">
              <w:rPr>
                <w:noProof/>
                <w:webHidden/>
              </w:rPr>
              <w:fldChar w:fldCharType="begin"/>
            </w:r>
            <w:r w:rsidR="006B3861">
              <w:rPr>
                <w:noProof/>
                <w:webHidden/>
              </w:rPr>
              <w:instrText xml:space="preserve"> PAGEREF _Toc442034753 \h </w:instrText>
            </w:r>
            <w:r w:rsidR="006B3861">
              <w:rPr>
                <w:noProof/>
                <w:webHidden/>
              </w:rPr>
            </w:r>
            <w:r w:rsidR="006B3861">
              <w:rPr>
                <w:noProof/>
                <w:webHidden/>
              </w:rPr>
              <w:fldChar w:fldCharType="separate"/>
            </w:r>
            <w:r w:rsidR="006B3861">
              <w:rPr>
                <w:noProof/>
                <w:webHidden/>
              </w:rPr>
              <w:t>641</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54" w:history="1">
            <w:r w:rsidR="006B3861" w:rsidRPr="00AA051D">
              <w:rPr>
                <w:rStyle w:val="Hyperlink"/>
                <w:noProof/>
              </w:rPr>
              <w:t>Rarielle Rodrigues Lima</w:t>
            </w:r>
            <w:r w:rsidR="006B3861">
              <w:rPr>
                <w:noProof/>
                <w:webHidden/>
              </w:rPr>
              <w:tab/>
            </w:r>
            <w:r w:rsidR="006B3861">
              <w:rPr>
                <w:noProof/>
                <w:webHidden/>
              </w:rPr>
              <w:fldChar w:fldCharType="begin"/>
            </w:r>
            <w:r w:rsidR="006B3861">
              <w:rPr>
                <w:noProof/>
                <w:webHidden/>
              </w:rPr>
              <w:instrText xml:space="preserve"> PAGEREF _Toc442034754 \h </w:instrText>
            </w:r>
            <w:r w:rsidR="006B3861">
              <w:rPr>
                <w:noProof/>
                <w:webHidden/>
              </w:rPr>
            </w:r>
            <w:r w:rsidR="006B3861">
              <w:rPr>
                <w:noProof/>
                <w:webHidden/>
              </w:rPr>
              <w:fldChar w:fldCharType="separate"/>
            </w:r>
            <w:r w:rsidR="006B3861">
              <w:rPr>
                <w:noProof/>
                <w:webHidden/>
              </w:rPr>
              <w:t>680</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55" w:history="1">
            <w:r w:rsidR="006B3861" w:rsidRPr="00AA051D">
              <w:rPr>
                <w:rStyle w:val="Hyperlink"/>
                <w:noProof/>
              </w:rPr>
              <w:t>Andréia Márcia de Castro Galvão</w:t>
            </w:r>
            <w:r w:rsidR="006B3861">
              <w:rPr>
                <w:noProof/>
                <w:webHidden/>
              </w:rPr>
              <w:tab/>
            </w:r>
            <w:r w:rsidR="006B3861">
              <w:rPr>
                <w:noProof/>
                <w:webHidden/>
              </w:rPr>
              <w:fldChar w:fldCharType="begin"/>
            </w:r>
            <w:r w:rsidR="006B3861">
              <w:rPr>
                <w:noProof/>
                <w:webHidden/>
              </w:rPr>
              <w:instrText xml:space="preserve"> PAGEREF _Toc442034755 \h </w:instrText>
            </w:r>
            <w:r w:rsidR="006B3861">
              <w:rPr>
                <w:noProof/>
                <w:webHidden/>
              </w:rPr>
            </w:r>
            <w:r w:rsidR="006B3861">
              <w:rPr>
                <w:noProof/>
                <w:webHidden/>
              </w:rPr>
              <w:fldChar w:fldCharType="separate"/>
            </w:r>
            <w:r w:rsidR="006B3861">
              <w:rPr>
                <w:noProof/>
                <w:webHidden/>
              </w:rPr>
              <w:t>694</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56" w:history="1">
            <w:r w:rsidR="006B3861" w:rsidRPr="00AA051D">
              <w:rPr>
                <w:rStyle w:val="Hyperlink"/>
                <w:noProof/>
                <w:lang w:val="en-US"/>
              </w:rPr>
              <w:t>Daiane L. Marafon</w:t>
            </w:r>
            <w:r w:rsidR="006B3861">
              <w:rPr>
                <w:noProof/>
                <w:webHidden/>
              </w:rPr>
              <w:tab/>
            </w:r>
            <w:r w:rsidR="006B3861">
              <w:rPr>
                <w:noProof/>
                <w:webHidden/>
              </w:rPr>
              <w:fldChar w:fldCharType="begin"/>
            </w:r>
            <w:r w:rsidR="006B3861">
              <w:rPr>
                <w:noProof/>
                <w:webHidden/>
              </w:rPr>
              <w:instrText xml:space="preserve"> PAGEREF _Toc442034756 \h </w:instrText>
            </w:r>
            <w:r w:rsidR="006B3861">
              <w:rPr>
                <w:noProof/>
                <w:webHidden/>
              </w:rPr>
            </w:r>
            <w:r w:rsidR="006B3861">
              <w:rPr>
                <w:noProof/>
                <w:webHidden/>
              </w:rPr>
              <w:fldChar w:fldCharType="separate"/>
            </w:r>
            <w:r w:rsidR="006B3861">
              <w:rPr>
                <w:noProof/>
                <w:webHidden/>
              </w:rPr>
              <w:t>709</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57" w:history="1">
            <w:r w:rsidR="006B3861" w:rsidRPr="00AA051D">
              <w:rPr>
                <w:rStyle w:val="Hyperlink"/>
                <w:noProof/>
              </w:rPr>
              <w:t>Edenilton Da Cruz Leal Júnior</w:t>
            </w:r>
            <w:r w:rsidR="006B3861">
              <w:rPr>
                <w:noProof/>
                <w:webHidden/>
              </w:rPr>
              <w:tab/>
            </w:r>
            <w:r w:rsidR="006B3861">
              <w:rPr>
                <w:noProof/>
                <w:webHidden/>
              </w:rPr>
              <w:fldChar w:fldCharType="begin"/>
            </w:r>
            <w:r w:rsidR="006B3861">
              <w:rPr>
                <w:noProof/>
                <w:webHidden/>
              </w:rPr>
              <w:instrText xml:space="preserve"> PAGEREF _Toc442034757 \h </w:instrText>
            </w:r>
            <w:r w:rsidR="006B3861">
              <w:rPr>
                <w:noProof/>
                <w:webHidden/>
              </w:rPr>
            </w:r>
            <w:r w:rsidR="006B3861">
              <w:rPr>
                <w:noProof/>
                <w:webHidden/>
              </w:rPr>
              <w:fldChar w:fldCharType="separate"/>
            </w:r>
            <w:r w:rsidR="006B3861">
              <w:rPr>
                <w:noProof/>
                <w:webHidden/>
              </w:rPr>
              <w:t>724</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59" w:history="1">
            <w:r w:rsidR="006B3861" w:rsidRPr="00AA051D">
              <w:rPr>
                <w:rStyle w:val="Hyperlink"/>
                <w:noProof/>
              </w:rPr>
              <w:t>Isaias Batista de Oliveira Junior</w:t>
            </w:r>
            <w:r w:rsidR="006B3861">
              <w:rPr>
                <w:noProof/>
                <w:webHidden/>
              </w:rPr>
              <w:tab/>
            </w:r>
            <w:r w:rsidR="006B3861">
              <w:rPr>
                <w:noProof/>
                <w:webHidden/>
              </w:rPr>
              <w:fldChar w:fldCharType="begin"/>
            </w:r>
            <w:r w:rsidR="006B3861">
              <w:rPr>
                <w:noProof/>
                <w:webHidden/>
              </w:rPr>
              <w:instrText xml:space="preserve"> PAGEREF _Toc442034759 \h </w:instrText>
            </w:r>
            <w:r w:rsidR="006B3861">
              <w:rPr>
                <w:noProof/>
                <w:webHidden/>
              </w:rPr>
            </w:r>
            <w:r w:rsidR="006B3861">
              <w:rPr>
                <w:noProof/>
                <w:webHidden/>
              </w:rPr>
              <w:fldChar w:fldCharType="separate"/>
            </w:r>
            <w:r w:rsidR="006B3861">
              <w:rPr>
                <w:noProof/>
                <w:webHidden/>
              </w:rPr>
              <w:t>737</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60" w:history="1">
            <w:r w:rsidR="006B3861" w:rsidRPr="00AA051D">
              <w:rPr>
                <w:rStyle w:val="Hyperlink"/>
                <w:noProof/>
              </w:rPr>
              <w:t>Luciana Steffen</w:t>
            </w:r>
            <w:r w:rsidR="006B3861">
              <w:rPr>
                <w:noProof/>
                <w:webHidden/>
              </w:rPr>
              <w:tab/>
            </w:r>
            <w:r w:rsidR="006B3861">
              <w:rPr>
                <w:noProof/>
                <w:webHidden/>
              </w:rPr>
              <w:fldChar w:fldCharType="begin"/>
            </w:r>
            <w:r w:rsidR="006B3861">
              <w:rPr>
                <w:noProof/>
                <w:webHidden/>
              </w:rPr>
              <w:instrText xml:space="preserve"> PAGEREF _Toc442034760 \h </w:instrText>
            </w:r>
            <w:r w:rsidR="006B3861">
              <w:rPr>
                <w:noProof/>
                <w:webHidden/>
              </w:rPr>
            </w:r>
            <w:r w:rsidR="006B3861">
              <w:rPr>
                <w:noProof/>
                <w:webHidden/>
              </w:rPr>
              <w:fldChar w:fldCharType="separate"/>
            </w:r>
            <w:r w:rsidR="006B3861">
              <w:rPr>
                <w:noProof/>
                <w:webHidden/>
              </w:rPr>
              <w:t>755</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61" w:history="1">
            <w:r w:rsidR="006B3861" w:rsidRPr="00AA051D">
              <w:rPr>
                <w:rStyle w:val="Hyperlink"/>
                <w:noProof/>
              </w:rPr>
              <w:t>Isaiane da Silva Carvalho</w:t>
            </w:r>
            <w:r w:rsidR="006B3861">
              <w:rPr>
                <w:noProof/>
                <w:webHidden/>
              </w:rPr>
              <w:tab/>
            </w:r>
            <w:r w:rsidR="006B3861">
              <w:rPr>
                <w:noProof/>
                <w:webHidden/>
              </w:rPr>
              <w:fldChar w:fldCharType="begin"/>
            </w:r>
            <w:r w:rsidR="006B3861">
              <w:rPr>
                <w:noProof/>
                <w:webHidden/>
              </w:rPr>
              <w:instrText xml:space="preserve"> PAGEREF _Toc442034761 \h </w:instrText>
            </w:r>
            <w:r w:rsidR="006B3861">
              <w:rPr>
                <w:noProof/>
                <w:webHidden/>
              </w:rPr>
            </w:r>
            <w:r w:rsidR="006B3861">
              <w:rPr>
                <w:noProof/>
                <w:webHidden/>
              </w:rPr>
              <w:fldChar w:fldCharType="separate"/>
            </w:r>
            <w:r w:rsidR="006B3861">
              <w:rPr>
                <w:noProof/>
                <w:webHidden/>
              </w:rPr>
              <w:t>770</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62" w:history="1">
            <w:r w:rsidR="006B3861" w:rsidRPr="00AA051D">
              <w:rPr>
                <w:rStyle w:val="Hyperlink"/>
                <w:rFonts w:eastAsia="Arial"/>
                <w:noProof/>
              </w:rPr>
              <w:t>Cinelli Tardioli Mesquita</w:t>
            </w:r>
            <w:r w:rsidR="006B3861">
              <w:rPr>
                <w:noProof/>
                <w:webHidden/>
              </w:rPr>
              <w:tab/>
            </w:r>
            <w:r w:rsidR="006B3861">
              <w:rPr>
                <w:noProof/>
                <w:webHidden/>
              </w:rPr>
              <w:fldChar w:fldCharType="begin"/>
            </w:r>
            <w:r w:rsidR="006B3861">
              <w:rPr>
                <w:noProof/>
                <w:webHidden/>
              </w:rPr>
              <w:instrText xml:space="preserve"> PAGEREF _Toc442034762 \h </w:instrText>
            </w:r>
            <w:r w:rsidR="006B3861">
              <w:rPr>
                <w:noProof/>
                <w:webHidden/>
              </w:rPr>
            </w:r>
            <w:r w:rsidR="006B3861">
              <w:rPr>
                <w:noProof/>
                <w:webHidden/>
              </w:rPr>
              <w:fldChar w:fldCharType="separate"/>
            </w:r>
            <w:r w:rsidR="006B3861">
              <w:rPr>
                <w:noProof/>
                <w:webHidden/>
              </w:rPr>
              <w:t>787</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63" w:history="1">
            <w:r w:rsidR="006B3861" w:rsidRPr="00AA051D">
              <w:rPr>
                <w:rStyle w:val="Hyperlink"/>
                <w:noProof/>
              </w:rPr>
              <w:t>Mariana Cepeda</w:t>
            </w:r>
            <w:r w:rsidR="006B3861">
              <w:rPr>
                <w:noProof/>
                <w:webHidden/>
              </w:rPr>
              <w:tab/>
            </w:r>
            <w:r w:rsidR="006B3861">
              <w:rPr>
                <w:noProof/>
                <w:webHidden/>
              </w:rPr>
              <w:fldChar w:fldCharType="begin"/>
            </w:r>
            <w:r w:rsidR="006B3861">
              <w:rPr>
                <w:noProof/>
                <w:webHidden/>
              </w:rPr>
              <w:instrText xml:space="preserve"> PAGEREF _Toc442034763 \h </w:instrText>
            </w:r>
            <w:r w:rsidR="006B3861">
              <w:rPr>
                <w:noProof/>
                <w:webHidden/>
              </w:rPr>
            </w:r>
            <w:r w:rsidR="006B3861">
              <w:rPr>
                <w:noProof/>
                <w:webHidden/>
              </w:rPr>
              <w:fldChar w:fldCharType="separate"/>
            </w:r>
            <w:r w:rsidR="006B3861">
              <w:rPr>
                <w:noProof/>
                <w:webHidden/>
              </w:rPr>
              <w:t>801</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64" w:history="1">
            <w:r w:rsidR="006B3861" w:rsidRPr="00AA051D">
              <w:rPr>
                <w:rStyle w:val="Hyperlink"/>
                <w:noProof/>
              </w:rPr>
              <w:t>Jussara Marques de Medeiros Dias</w:t>
            </w:r>
            <w:r w:rsidR="006B3861">
              <w:rPr>
                <w:noProof/>
                <w:webHidden/>
              </w:rPr>
              <w:tab/>
            </w:r>
            <w:r w:rsidR="006B3861">
              <w:rPr>
                <w:noProof/>
                <w:webHidden/>
              </w:rPr>
              <w:fldChar w:fldCharType="begin"/>
            </w:r>
            <w:r w:rsidR="006B3861">
              <w:rPr>
                <w:noProof/>
                <w:webHidden/>
              </w:rPr>
              <w:instrText xml:space="preserve"> PAGEREF _Toc442034764 \h </w:instrText>
            </w:r>
            <w:r w:rsidR="006B3861">
              <w:rPr>
                <w:noProof/>
                <w:webHidden/>
              </w:rPr>
            </w:r>
            <w:r w:rsidR="006B3861">
              <w:rPr>
                <w:noProof/>
                <w:webHidden/>
              </w:rPr>
              <w:fldChar w:fldCharType="separate"/>
            </w:r>
            <w:r w:rsidR="006B3861">
              <w:rPr>
                <w:noProof/>
                <w:webHidden/>
              </w:rPr>
              <w:t>816</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65" w:history="1">
            <w:r w:rsidR="006B3861" w:rsidRPr="00AA051D">
              <w:rPr>
                <w:rStyle w:val="Hyperlink"/>
                <w:noProof/>
              </w:rPr>
              <w:t>Íris Monteiro da Silva</w:t>
            </w:r>
            <w:r w:rsidR="006B3861">
              <w:rPr>
                <w:noProof/>
                <w:webHidden/>
              </w:rPr>
              <w:tab/>
            </w:r>
            <w:r w:rsidR="006B3861">
              <w:rPr>
                <w:noProof/>
                <w:webHidden/>
              </w:rPr>
              <w:fldChar w:fldCharType="begin"/>
            </w:r>
            <w:r w:rsidR="006B3861">
              <w:rPr>
                <w:noProof/>
                <w:webHidden/>
              </w:rPr>
              <w:instrText xml:space="preserve"> PAGEREF _Toc442034765 \h </w:instrText>
            </w:r>
            <w:r w:rsidR="006B3861">
              <w:rPr>
                <w:noProof/>
                <w:webHidden/>
              </w:rPr>
            </w:r>
            <w:r w:rsidR="006B3861">
              <w:rPr>
                <w:noProof/>
                <w:webHidden/>
              </w:rPr>
              <w:fldChar w:fldCharType="separate"/>
            </w:r>
            <w:r w:rsidR="006B3861">
              <w:rPr>
                <w:noProof/>
                <w:webHidden/>
              </w:rPr>
              <w:t>833</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66" w:history="1">
            <w:r w:rsidR="006B3861" w:rsidRPr="00AA051D">
              <w:rPr>
                <w:rStyle w:val="Hyperlink"/>
                <w:noProof/>
              </w:rPr>
              <w:t>Josemar Fonseca</w:t>
            </w:r>
            <w:r w:rsidR="006B3861">
              <w:rPr>
                <w:noProof/>
                <w:webHidden/>
              </w:rPr>
              <w:tab/>
            </w:r>
            <w:r w:rsidR="006B3861">
              <w:rPr>
                <w:noProof/>
                <w:webHidden/>
              </w:rPr>
              <w:fldChar w:fldCharType="begin"/>
            </w:r>
            <w:r w:rsidR="006B3861">
              <w:rPr>
                <w:noProof/>
                <w:webHidden/>
              </w:rPr>
              <w:instrText xml:space="preserve"> PAGEREF _Toc442034766 \h </w:instrText>
            </w:r>
            <w:r w:rsidR="006B3861">
              <w:rPr>
                <w:noProof/>
                <w:webHidden/>
              </w:rPr>
            </w:r>
            <w:r w:rsidR="006B3861">
              <w:rPr>
                <w:noProof/>
                <w:webHidden/>
              </w:rPr>
              <w:fldChar w:fldCharType="separate"/>
            </w:r>
            <w:r w:rsidR="006B3861">
              <w:rPr>
                <w:noProof/>
                <w:webHidden/>
              </w:rPr>
              <w:t>865</w:t>
            </w:r>
            <w:r w:rsidR="006B3861">
              <w:rPr>
                <w:noProof/>
                <w:webHidden/>
              </w:rPr>
              <w:fldChar w:fldCharType="end"/>
            </w:r>
          </w:hyperlink>
        </w:p>
        <w:p w:rsidR="006B3861" w:rsidRDefault="00295FC8">
          <w:pPr>
            <w:pStyle w:val="Sumrio1"/>
            <w:tabs>
              <w:tab w:val="right" w:leader="dot" w:pos="9050"/>
            </w:tabs>
            <w:rPr>
              <w:rFonts w:asciiTheme="minorHAnsi" w:eastAsiaTheme="minorEastAsia" w:hAnsiTheme="minorHAnsi" w:cstheme="minorBidi"/>
              <w:noProof/>
            </w:rPr>
          </w:pPr>
          <w:hyperlink w:anchor="_Toc442034767" w:history="1">
            <w:r w:rsidR="006B3861" w:rsidRPr="00AA051D">
              <w:rPr>
                <w:rStyle w:val="Hyperlink"/>
                <w:noProof/>
              </w:rPr>
              <w:t>Felipe Salvador Weissheimer</w:t>
            </w:r>
            <w:r w:rsidR="006B3861">
              <w:rPr>
                <w:noProof/>
                <w:webHidden/>
              </w:rPr>
              <w:tab/>
            </w:r>
            <w:r w:rsidR="006B3861">
              <w:rPr>
                <w:noProof/>
                <w:webHidden/>
              </w:rPr>
              <w:fldChar w:fldCharType="begin"/>
            </w:r>
            <w:r w:rsidR="006B3861">
              <w:rPr>
                <w:noProof/>
                <w:webHidden/>
              </w:rPr>
              <w:instrText xml:space="preserve"> PAGEREF _Toc442034767 \h </w:instrText>
            </w:r>
            <w:r w:rsidR="006B3861">
              <w:rPr>
                <w:noProof/>
                <w:webHidden/>
              </w:rPr>
            </w:r>
            <w:r w:rsidR="006B3861">
              <w:rPr>
                <w:noProof/>
                <w:webHidden/>
              </w:rPr>
              <w:fldChar w:fldCharType="separate"/>
            </w:r>
            <w:r w:rsidR="006B3861">
              <w:rPr>
                <w:noProof/>
                <w:webHidden/>
              </w:rPr>
              <w:t>879</w:t>
            </w:r>
            <w:r w:rsidR="006B3861">
              <w:rPr>
                <w:noProof/>
                <w:webHidden/>
              </w:rPr>
              <w:fldChar w:fldCharType="end"/>
            </w:r>
          </w:hyperlink>
        </w:p>
        <w:p w:rsidR="007B04EA" w:rsidRDefault="00291C73">
          <w:r>
            <w:fldChar w:fldCharType="end"/>
          </w:r>
        </w:p>
      </w:sdtContent>
    </w:sdt>
    <w:p w:rsidR="00771368" w:rsidRPr="00EB1B79" w:rsidRDefault="00771368" w:rsidP="007B04EA">
      <w:pPr>
        <w:rPr>
          <w:u w:val="single"/>
        </w:rPr>
      </w:pPr>
      <w:r w:rsidRPr="007B04EA">
        <w:br w:type="page"/>
      </w:r>
    </w:p>
    <w:p w:rsidR="00D24E61" w:rsidRPr="00771368" w:rsidRDefault="00D24E61" w:rsidP="00771368">
      <w:pPr>
        <w:jc w:val="center"/>
        <w:rPr>
          <w:b/>
          <w:sz w:val="28"/>
          <w:szCs w:val="28"/>
        </w:rPr>
      </w:pPr>
      <w:r w:rsidRPr="00771368">
        <w:rPr>
          <w:b/>
          <w:sz w:val="28"/>
          <w:szCs w:val="28"/>
        </w:rPr>
        <w:lastRenderedPageBreak/>
        <w:t>A MARCA DO DISCURSO DA IGREJA CATÓLICA NA SEXUALIDADE FEMININA DO SÉCULO XIX: VIRGINDADE, MASTURBAÇÃO, CONTRACEPÇÃO E ABORTO</w:t>
      </w:r>
    </w:p>
    <w:p w:rsidR="00D24E61" w:rsidRPr="00771368" w:rsidRDefault="00D24E61" w:rsidP="00D24E61">
      <w:pPr>
        <w:spacing w:line="360" w:lineRule="auto"/>
        <w:jc w:val="center"/>
        <w:rPr>
          <w:b/>
          <w:sz w:val="24"/>
          <w:szCs w:val="24"/>
        </w:rPr>
      </w:pPr>
    </w:p>
    <w:p w:rsidR="00D24E61" w:rsidRPr="00771368" w:rsidRDefault="00D24E61" w:rsidP="007B04EA">
      <w:pPr>
        <w:pStyle w:val="Ttulo1"/>
      </w:pPr>
      <w:bookmarkStart w:id="1" w:name="_Toc442034718"/>
      <w:r w:rsidRPr="00771368">
        <w:t>Dêis Maria Lima Cunha Silva</w:t>
      </w:r>
      <w:r w:rsidRPr="00771368">
        <w:rPr>
          <w:rStyle w:val="Refdenotaderodap"/>
          <w:rFonts w:eastAsia="Calibri"/>
          <w:szCs w:val="24"/>
        </w:rPr>
        <w:footnoteReference w:id="1"/>
      </w:r>
      <w:bookmarkEnd w:id="1"/>
    </w:p>
    <w:p w:rsidR="00D24E61" w:rsidRPr="00771368" w:rsidRDefault="00D24E61" w:rsidP="00D24E61">
      <w:pPr>
        <w:spacing w:line="360" w:lineRule="auto"/>
        <w:jc w:val="right"/>
        <w:rPr>
          <w:sz w:val="24"/>
          <w:szCs w:val="24"/>
        </w:rPr>
      </w:pPr>
    </w:p>
    <w:p w:rsidR="00D24E61" w:rsidRPr="00771368" w:rsidRDefault="00D24E61" w:rsidP="00D24E61">
      <w:pPr>
        <w:spacing w:line="360" w:lineRule="auto"/>
        <w:jc w:val="right"/>
        <w:rPr>
          <w:sz w:val="24"/>
          <w:szCs w:val="24"/>
        </w:rPr>
      </w:pPr>
    </w:p>
    <w:p w:rsidR="00D24E61" w:rsidRPr="00771368" w:rsidRDefault="00D24E61" w:rsidP="00D24E61">
      <w:pPr>
        <w:autoSpaceDE w:val="0"/>
        <w:autoSpaceDN w:val="0"/>
        <w:adjustRightInd w:val="0"/>
        <w:jc w:val="center"/>
        <w:rPr>
          <w:b/>
          <w:color w:val="000000"/>
          <w:sz w:val="24"/>
          <w:szCs w:val="24"/>
        </w:rPr>
      </w:pPr>
      <w:r w:rsidRPr="00771368">
        <w:rPr>
          <w:b/>
          <w:color w:val="000000"/>
          <w:sz w:val="24"/>
          <w:szCs w:val="24"/>
        </w:rPr>
        <w:t>RESUMO</w:t>
      </w:r>
    </w:p>
    <w:p w:rsidR="00D24E61" w:rsidRPr="00771368" w:rsidRDefault="00D24E61" w:rsidP="00D24E61">
      <w:pPr>
        <w:autoSpaceDE w:val="0"/>
        <w:autoSpaceDN w:val="0"/>
        <w:adjustRightInd w:val="0"/>
        <w:jc w:val="center"/>
        <w:rPr>
          <w:b/>
          <w:color w:val="000000"/>
          <w:sz w:val="24"/>
          <w:szCs w:val="24"/>
        </w:rPr>
      </w:pPr>
    </w:p>
    <w:p w:rsidR="00D24E61" w:rsidRPr="00771368" w:rsidRDefault="00D24E61" w:rsidP="004D1F03">
      <w:pPr>
        <w:jc w:val="both"/>
        <w:rPr>
          <w:bCs/>
          <w:color w:val="FF0000"/>
          <w:sz w:val="24"/>
          <w:szCs w:val="24"/>
        </w:rPr>
      </w:pPr>
      <w:r w:rsidRPr="00771368">
        <w:rPr>
          <w:sz w:val="24"/>
          <w:szCs w:val="24"/>
        </w:rPr>
        <w:t>O referido trabalho tem como objetivo fazer uma análise sobre a marca do discurso da igreja católica na sexualidade feminina do século XIX: virgindade, masturbação, contracepção e aborto. Teólogos da Igreja Católica como Santo Agostinho, Tomás de Aquino, dentre outros lançaram as bases teológicas opostas ao sexo e mais especificamente ao prazer sexual. Ao copular sem procriaro marido poderia estar sendo adúltero com a própria esposa. Durante os ensinamentos propostos pela igreja católica em torno da sexualidade feminina as práticas contraceptivas, a masturbação, o aborto eram condenados, ocorrendo uma extrema valorização davirgindade feminina. Este discurso chegou ao século XIX impondo as mulheres submissão aos homens do seu convívio social e impedindo-as de exercerem sua sexualidade com naturalidade, sendo tratadas como anormais pelo discurso da medicina ao romperem com as normas impostas.As análises aqui apresentadas estão fundamentadas em análises bibliográficas.</w:t>
      </w:r>
    </w:p>
    <w:p w:rsidR="00D24E61" w:rsidRPr="00771368" w:rsidRDefault="00D24E61" w:rsidP="00D24E61">
      <w:pPr>
        <w:rPr>
          <w:sz w:val="24"/>
          <w:szCs w:val="24"/>
        </w:rPr>
      </w:pPr>
    </w:p>
    <w:p w:rsidR="00D24E61" w:rsidRPr="00771368" w:rsidRDefault="00D24E61" w:rsidP="004D1F03">
      <w:pPr>
        <w:jc w:val="both"/>
        <w:rPr>
          <w:sz w:val="24"/>
          <w:szCs w:val="24"/>
          <w:lang w:val="en-US"/>
        </w:rPr>
      </w:pPr>
      <w:r w:rsidRPr="00771368">
        <w:rPr>
          <w:b/>
          <w:sz w:val="24"/>
          <w:szCs w:val="24"/>
        </w:rPr>
        <w:t>Palavras-chave</w:t>
      </w:r>
      <w:r w:rsidRPr="00771368">
        <w:rPr>
          <w:sz w:val="24"/>
          <w:szCs w:val="24"/>
        </w:rPr>
        <w:t xml:space="preserve">: Discurso da Igreja Católica. </w:t>
      </w:r>
      <w:r w:rsidRPr="00771368">
        <w:rPr>
          <w:sz w:val="24"/>
          <w:szCs w:val="24"/>
          <w:lang w:val="en-US"/>
        </w:rPr>
        <w:t>Sex</w:t>
      </w:r>
      <w:r w:rsidR="004D1F03" w:rsidRPr="00771368">
        <w:rPr>
          <w:sz w:val="24"/>
          <w:szCs w:val="24"/>
          <w:lang w:val="en-US"/>
        </w:rPr>
        <w:t>ualidade f</w:t>
      </w:r>
      <w:r w:rsidRPr="00771368">
        <w:rPr>
          <w:sz w:val="24"/>
          <w:szCs w:val="24"/>
          <w:lang w:val="en-US"/>
        </w:rPr>
        <w:t>eminina.</w:t>
      </w:r>
      <w:r w:rsidR="004D1F03" w:rsidRPr="00771368">
        <w:rPr>
          <w:sz w:val="24"/>
          <w:szCs w:val="24"/>
          <w:lang w:val="en-US"/>
        </w:rPr>
        <w:t xml:space="preserve"> </w:t>
      </w:r>
      <w:r w:rsidRPr="00771368">
        <w:rPr>
          <w:sz w:val="24"/>
          <w:szCs w:val="24"/>
          <w:lang w:val="en-US"/>
        </w:rPr>
        <w:t>Virgindade.</w:t>
      </w:r>
      <w:r w:rsidR="004D1F03" w:rsidRPr="00771368">
        <w:rPr>
          <w:sz w:val="24"/>
          <w:szCs w:val="24"/>
          <w:lang w:val="en-US"/>
        </w:rPr>
        <w:t xml:space="preserve"> </w:t>
      </w:r>
      <w:r w:rsidRPr="00771368">
        <w:rPr>
          <w:sz w:val="24"/>
          <w:szCs w:val="24"/>
          <w:lang w:val="en-US"/>
        </w:rPr>
        <w:t>Moralidade.</w:t>
      </w:r>
    </w:p>
    <w:p w:rsidR="00D24E61" w:rsidRPr="00771368" w:rsidRDefault="00D24E61" w:rsidP="00D24E61">
      <w:pPr>
        <w:spacing w:line="360" w:lineRule="auto"/>
        <w:rPr>
          <w:sz w:val="24"/>
          <w:szCs w:val="24"/>
          <w:lang w:val="en-US"/>
        </w:rPr>
      </w:pPr>
    </w:p>
    <w:p w:rsidR="00D24E61" w:rsidRPr="00771368" w:rsidRDefault="00D24E61" w:rsidP="00D24E61">
      <w:pPr>
        <w:rPr>
          <w:b/>
          <w:i/>
          <w:sz w:val="24"/>
          <w:szCs w:val="24"/>
          <w:lang w:val="en-US"/>
        </w:rPr>
      </w:pPr>
      <w:r w:rsidRPr="00771368">
        <w:rPr>
          <w:b/>
          <w:i/>
          <w:sz w:val="24"/>
          <w:szCs w:val="24"/>
          <w:lang w:val="en-US"/>
        </w:rPr>
        <w:t>ABSTRACT</w:t>
      </w:r>
    </w:p>
    <w:p w:rsidR="00D24E61" w:rsidRPr="00771368" w:rsidRDefault="00D24E61" w:rsidP="00D24E61">
      <w:pPr>
        <w:rPr>
          <w:b/>
          <w:i/>
          <w:sz w:val="24"/>
          <w:szCs w:val="24"/>
          <w:lang w:val="en-US"/>
        </w:rPr>
      </w:pPr>
    </w:p>
    <w:p w:rsidR="00D24E61" w:rsidRPr="00771368" w:rsidRDefault="00D24E61" w:rsidP="004D1F03">
      <w:pPr>
        <w:jc w:val="both"/>
        <w:rPr>
          <w:sz w:val="24"/>
          <w:szCs w:val="24"/>
          <w:lang w:val="en-US"/>
        </w:rPr>
      </w:pPr>
      <w:r w:rsidRPr="00771368">
        <w:rPr>
          <w:sz w:val="24"/>
          <w:szCs w:val="24"/>
          <w:lang w:val="en-US"/>
        </w:rPr>
        <w:t xml:space="preserve">This study has the objective  toanalyse the impression of the speech of the catholic church in the female sexuality of the XIX century: virginity, masturbation, contraception and abortion. Theologians of the Catholic Church like Saint Agostinho, Tomas de Aquino, among others made the theological basis being opposite to sex and more specifically, the sexual pleasure. Copulating without porcreating, the husband could be being adulterer to his wife. During the teachings proposed by the catholic church about the female sexuality and the contraceptive practices, the masturbation, the abortion were condemned, occorring the the extreme aprreciation of the female virginity. This speech came tho the XIX century imposing to the women submission to the men from their social treat and stopping them from practicing naturally their sexuality, being treated like unnatural by the speech of the medicine when breaking off with the imposed rules. The analsys here presented are based in bibliographic  analsys. </w:t>
      </w:r>
    </w:p>
    <w:p w:rsidR="00D24E61" w:rsidRPr="00771368" w:rsidRDefault="00D24E61" w:rsidP="00D24E61">
      <w:pPr>
        <w:rPr>
          <w:b/>
          <w:sz w:val="24"/>
          <w:szCs w:val="24"/>
          <w:lang w:val="en-US"/>
        </w:rPr>
      </w:pPr>
    </w:p>
    <w:p w:rsidR="00D24E61" w:rsidRPr="00771368" w:rsidRDefault="00D24E61" w:rsidP="00D24E61">
      <w:pPr>
        <w:rPr>
          <w:sz w:val="24"/>
          <w:szCs w:val="24"/>
        </w:rPr>
        <w:sectPr w:rsidR="00D24E61" w:rsidRPr="00771368" w:rsidSect="00771368">
          <w:headerReference w:type="default" r:id="rId9"/>
          <w:footerReference w:type="default" r:id="rId10"/>
          <w:headerReference w:type="first" r:id="rId11"/>
          <w:pgSz w:w="11900" w:h="16840"/>
          <w:pgMar w:top="690" w:right="1420" w:bottom="1440" w:left="1420" w:header="0" w:footer="0" w:gutter="0"/>
          <w:cols w:space="720" w:equalWidth="0">
            <w:col w:w="9060"/>
          </w:cols>
          <w:titlePg/>
          <w:docGrid w:linePitch="299"/>
        </w:sectPr>
      </w:pPr>
      <w:r w:rsidRPr="00771368">
        <w:rPr>
          <w:b/>
          <w:sz w:val="24"/>
          <w:szCs w:val="24"/>
          <w:lang w:val="en-US"/>
        </w:rPr>
        <w:t>Key words:</w:t>
      </w:r>
      <w:r w:rsidRPr="00771368">
        <w:rPr>
          <w:sz w:val="24"/>
          <w:szCs w:val="24"/>
          <w:lang w:val="en-US"/>
        </w:rPr>
        <w:t xml:space="preserve"> Speech of the Catholic Church. </w:t>
      </w:r>
      <w:r w:rsidRPr="00771368">
        <w:rPr>
          <w:sz w:val="24"/>
          <w:szCs w:val="24"/>
        </w:rPr>
        <w:t>Femalesexuality. Virginity. Morality</w:t>
      </w:r>
    </w:p>
    <w:p w:rsidR="00D24E61" w:rsidRPr="00771368" w:rsidRDefault="00D24E61" w:rsidP="00FA0ABA">
      <w:pPr>
        <w:pStyle w:val="PargrafodaLista"/>
        <w:numPr>
          <w:ilvl w:val="0"/>
          <w:numId w:val="49"/>
        </w:numPr>
        <w:spacing w:line="360" w:lineRule="auto"/>
        <w:rPr>
          <w:rFonts w:ascii="Times New Roman" w:hAnsi="Times New Roman"/>
          <w:sz w:val="24"/>
          <w:szCs w:val="24"/>
        </w:rPr>
      </w:pPr>
      <w:r w:rsidRPr="00771368">
        <w:rPr>
          <w:rFonts w:ascii="Times New Roman" w:hAnsi="Times New Roman"/>
          <w:b/>
          <w:sz w:val="24"/>
          <w:szCs w:val="24"/>
        </w:rPr>
        <w:t>INTRODUÇÃO</w:t>
      </w:r>
    </w:p>
    <w:p w:rsidR="00D24E61" w:rsidRPr="00771368" w:rsidRDefault="00D24E61" w:rsidP="004D1F03">
      <w:pPr>
        <w:spacing w:line="360" w:lineRule="auto"/>
        <w:ind w:firstLine="708"/>
        <w:jc w:val="both"/>
        <w:rPr>
          <w:sz w:val="24"/>
          <w:szCs w:val="24"/>
        </w:rPr>
      </w:pPr>
      <w:r w:rsidRPr="00771368">
        <w:rPr>
          <w:sz w:val="24"/>
          <w:szCs w:val="24"/>
        </w:rPr>
        <w:t>Foi a partir do discurso moralizante do cristianismo que a sexualidade passou a ser vista como pecado e que a prática do sexo deveria ser contida e/ou moralizada. Durante a Alta Idade Média o cristianismo era o detentor do conhecimento e do saber e ao ter sob seu domínio este conhecimento tratou de ditar regras e normas com um discurso misógino. Este discurso chegou ao século XIX, submeteu a sociedade, principalmente as mulheres ao seu poder. Neste século ficou sob a responsabilidade da mulher a garantia de um bom casamento para garantir os bens da família. Estas por sua vez foram vistas durante o século XIX como as responsáveis pela procriação e assim garantir a multiplicação da espécie, para tanto foram desprovidas do prazer sexual.</w:t>
      </w:r>
    </w:p>
    <w:p w:rsidR="00D24E61" w:rsidRPr="00771368" w:rsidRDefault="00D24E61" w:rsidP="004D1F03">
      <w:pPr>
        <w:spacing w:line="360" w:lineRule="auto"/>
        <w:ind w:firstLine="708"/>
        <w:jc w:val="both"/>
        <w:rPr>
          <w:sz w:val="24"/>
          <w:szCs w:val="24"/>
        </w:rPr>
      </w:pPr>
      <w:r w:rsidRPr="00771368">
        <w:rPr>
          <w:sz w:val="24"/>
          <w:szCs w:val="24"/>
        </w:rPr>
        <w:t>Enquanto o catolicismo mandou no conhecimento, nos estudos determinando quem poderia ou não estudar foi ditando para o mundo as normas da moralidade e das virtudes sociais, especialmente no que se refere à sexualidade para dessa forma ter a todos sob seu domínio. Para tanto a Igreja ditou até mesmo onde, (num local escuro), quando (quando a mulher estivesse apta a procriar, depois da menstruação) e com quem (somente com o marido) a mulher poderia se relacionar sexualmente.</w:t>
      </w:r>
    </w:p>
    <w:p w:rsidR="00D24E61" w:rsidRPr="00771368" w:rsidRDefault="00D24E61" w:rsidP="004D1F03">
      <w:pPr>
        <w:spacing w:line="360" w:lineRule="auto"/>
        <w:ind w:firstLine="708"/>
        <w:jc w:val="both"/>
        <w:rPr>
          <w:sz w:val="24"/>
          <w:szCs w:val="24"/>
        </w:rPr>
      </w:pPr>
      <w:r w:rsidRPr="00771368">
        <w:rPr>
          <w:sz w:val="24"/>
          <w:szCs w:val="24"/>
        </w:rPr>
        <w:t xml:space="preserve">Muitas mulheres foram penalizadas e submetidas a rígidas penitências por deixarem aflorar a sua sexualidade e muitas outras foram colocadas a margem da sociedade, e outras ainda foram vistas como transgressoras da honra e dos bons costumes sociais. </w:t>
      </w:r>
    </w:p>
    <w:p w:rsidR="00D24E61" w:rsidRPr="00771368" w:rsidRDefault="004D1F03" w:rsidP="004D1F03">
      <w:pPr>
        <w:spacing w:line="360" w:lineRule="auto"/>
        <w:jc w:val="both"/>
        <w:rPr>
          <w:sz w:val="24"/>
          <w:szCs w:val="24"/>
        </w:rPr>
      </w:pPr>
      <w:r w:rsidRPr="00771368">
        <w:rPr>
          <w:sz w:val="24"/>
          <w:szCs w:val="24"/>
        </w:rPr>
        <w:tab/>
      </w:r>
      <w:r w:rsidR="00D24E61" w:rsidRPr="00771368">
        <w:rPr>
          <w:sz w:val="24"/>
          <w:szCs w:val="24"/>
        </w:rPr>
        <w:t>Tanto o aborto quanto meios contraceptivos sabe-se queforam praticados pelas mulheres bem antes da Idade média, mas o presente trabalho traz uma abordagem do período medieval, e o discurso que chegou á sociedade do século XIX.</w:t>
      </w:r>
    </w:p>
    <w:p w:rsidR="00D24E61" w:rsidRPr="00771368" w:rsidRDefault="00D24E61" w:rsidP="004D1F03">
      <w:pPr>
        <w:spacing w:line="360" w:lineRule="auto"/>
        <w:jc w:val="both"/>
        <w:rPr>
          <w:sz w:val="24"/>
          <w:szCs w:val="24"/>
        </w:rPr>
      </w:pPr>
      <w:r w:rsidRPr="00771368">
        <w:rPr>
          <w:sz w:val="24"/>
          <w:szCs w:val="24"/>
        </w:rPr>
        <w:tab/>
        <w:t>Sendo assim, o presente trabalho colaborará para que a sociedade compreenda como, quando e de que maneira a moral da sexualidade e mais precisamente a feminina foi sendo imposta pelo discurso cristão e pelo discurso médico, e por isso os medos, os tabus, a culpa, a inferiorização da mulher e a repressão diante de um ato prazeroso e natural.</w:t>
      </w:r>
    </w:p>
    <w:p w:rsidR="00D24E61" w:rsidRPr="00771368" w:rsidRDefault="00D24E61" w:rsidP="00D24E61">
      <w:pPr>
        <w:rPr>
          <w:sz w:val="24"/>
          <w:szCs w:val="24"/>
        </w:rPr>
      </w:pPr>
    </w:p>
    <w:p w:rsidR="004D1F03" w:rsidRPr="00771368" w:rsidRDefault="004D1F03">
      <w:pPr>
        <w:rPr>
          <w:b/>
          <w:sz w:val="24"/>
          <w:szCs w:val="24"/>
        </w:rPr>
      </w:pPr>
      <w:r w:rsidRPr="00771368">
        <w:rPr>
          <w:b/>
          <w:sz w:val="24"/>
          <w:szCs w:val="24"/>
        </w:rPr>
        <w:br w:type="page"/>
      </w:r>
    </w:p>
    <w:p w:rsidR="00D24E61" w:rsidRPr="00771368" w:rsidRDefault="00D24E61" w:rsidP="00FA0ABA">
      <w:pPr>
        <w:pStyle w:val="PargrafodaLista"/>
        <w:numPr>
          <w:ilvl w:val="0"/>
          <w:numId w:val="49"/>
        </w:numPr>
        <w:rPr>
          <w:rFonts w:ascii="Times New Roman" w:hAnsi="Times New Roman"/>
          <w:b/>
          <w:sz w:val="24"/>
          <w:szCs w:val="24"/>
        </w:rPr>
      </w:pPr>
      <w:r w:rsidRPr="00771368">
        <w:rPr>
          <w:rFonts w:ascii="Times New Roman" w:hAnsi="Times New Roman"/>
          <w:b/>
          <w:sz w:val="24"/>
          <w:szCs w:val="24"/>
        </w:rPr>
        <w:t>OBJETIVOS</w:t>
      </w:r>
    </w:p>
    <w:p w:rsidR="00D24E61" w:rsidRPr="00771368" w:rsidRDefault="00D24E61" w:rsidP="00D24E61">
      <w:pPr>
        <w:rPr>
          <w:b/>
          <w:sz w:val="24"/>
          <w:szCs w:val="24"/>
        </w:rPr>
      </w:pPr>
    </w:p>
    <w:p w:rsidR="00D24E61" w:rsidRPr="00771368" w:rsidRDefault="00D24E61" w:rsidP="004D1F03">
      <w:pPr>
        <w:jc w:val="both"/>
        <w:rPr>
          <w:b/>
          <w:sz w:val="24"/>
          <w:szCs w:val="24"/>
        </w:rPr>
      </w:pPr>
      <w:r w:rsidRPr="00771368">
        <w:rPr>
          <w:b/>
          <w:sz w:val="24"/>
          <w:szCs w:val="24"/>
        </w:rPr>
        <w:t>2.1 GERAL:</w:t>
      </w:r>
    </w:p>
    <w:p w:rsidR="00D24E61" w:rsidRPr="00771368" w:rsidRDefault="00D24E61" w:rsidP="004D1F03">
      <w:pPr>
        <w:pStyle w:val="PargrafodaLista"/>
        <w:numPr>
          <w:ilvl w:val="0"/>
          <w:numId w:val="4"/>
        </w:numPr>
        <w:rPr>
          <w:rFonts w:ascii="Times New Roman" w:hAnsi="Times New Roman"/>
          <w:sz w:val="24"/>
          <w:szCs w:val="24"/>
        </w:rPr>
      </w:pPr>
      <w:r w:rsidRPr="00771368">
        <w:rPr>
          <w:rFonts w:ascii="Times New Roman" w:hAnsi="Times New Roman"/>
          <w:sz w:val="24"/>
          <w:szCs w:val="24"/>
        </w:rPr>
        <w:t>Entender o discurso que o cristianismo impôs e que contribuiu positivamente e negativamente para moralizar a sociedade no que se refere a sexualidade humana, mas especificamente a feminina.</w:t>
      </w:r>
    </w:p>
    <w:p w:rsidR="00D24E61" w:rsidRPr="00771368" w:rsidRDefault="00D24E61" w:rsidP="004D1F03">
      <w:pPr>
        <w:jc w:val="both"/>
        <w:rPr>
          <w:b/>
          <w:sz w:val="24"/>
          <w:szCs w:val="24"/>
        </w:rPr>
      </w:pPr>
      <w:r w:rsidRPr="00771368">
        <w:rPr>
          <w:b/>
          <w:sz w:val="24"/>
          <w:szCs w:val="24"/>
        </w:rPr>
        <w:t>2.2 ESPECÍFICOS:</w:t>
      </w:r>
    </w:p>
    <w:p w:rsidR="00D24E61" w:rsidRPr="00771368" w:rsidRDefault="00D24E61" w:rsidP="004D1F03">
      <w:pPr>
        <w:pStyle w:val="PargrafodaLista"/>
        <w:numPr>
          <w:ilvl w:val="0"/>
          <w:numId w:val="4"/>
        </w:numPr>
        <w:rPr>
          <w:rFonts w:ascii="Times New Roman" w:hAnsi="Times New Roman"/>
          <w:sz w:val="24"/>
          <w:szCs w:val="24"/>
        </w:rPr>
      </w:pPr>
      <w:r w:rsidRPr="00771368">
        <w:rPr>
          <w:rFonts w:ascii="Times New Roman" w:hAnsi="Times New Roman"/>
          <w:sz w:val="24"/>
          <w:szCs w:val="24"/>
        </w:rPr>
        <w:t>Entender a visão misógina do cristianismo em torno da mulher e como este moralizou, padronizou o ato sexual relegando-o ao casamento com o objetivo da procriação;</w:t>
      </w:r>
    </w:p>
    <w:p w:rsidR="00D24E61" w:rsidRPr="00771368" w:rsidRDefault="00D24E61" w:rsidP="004D1F03">
      <w:pPr>
        <w:pStyle w:val="PargrafodaLista"/>
        <w:numPr>
          <w:ilvl w:val="0"/>
          <w:numId w:val="4"/>
        </w:numPr>
        <w:rPr>
          <w:rFonts w:ascii="Times New Roman" w:hAnsi="Times New Roman"/>
          <w:sz w:val="24"/>
          <w:szCs w:val="24"/>
        </w:rPr>
      </w:pPr>
      <w:r w:rsidRPr="00771368">
        <w:rPr>
          <w:rFonts w:ascii="Times New Roman" w:hAnsi="Times New Roman"/>
          <w:sz w:val="24"/>
          <w:szCs w:val="24"/>
        </w:rPr>
        <w:t>Analisar a moralidade em torno da virgindade feminina, valorizada ao extremo e da masturbação que foi envolta de preconceitos e tabus;</w:t>
      </w:r>
    </w:p>
    <w:p w:rsidR="00D24E61" w:rsidRPr="00771368" w:rsidRDefault="00D24E61" w:rsidP="004D1F03">
      <w:pPr>
        <w:pStyle w:val="PargrafodaLista"/>
        <w:numPr>
          <w:ilvl w:val="0"/>
          <w:numId w:val="4"/>
        </w:numPr>
        <w:rPr>
          <w:rFonts w:ascii="Times New Roman" w:hAnsi="Times New Roman"/>
          <w:sz w:val="24"/>
          <w:szCs w:val="24"/>
        </w:rPr>
      </w:pPr>
      <w:r w:rsidRPr="00771368">
        <w:rPr>
          <w:rFonts w:ascii="Times New Roman" w:hAnsi="Times New Roman"/>
          <w:sz w:val="24"/>
          <w:szCs w:val="24"/>
        </w:rPr>
        <w:t>Fazer uma abordagem sobre o que foi imposto pelos cristãos sobre a contracepção e o aborto.</w:t>
      </w:r>
    </w:p>
    <w:p w:rsidR="004D1F03" w:rsidRPr="00771368" w:rsidRDefault="004D1F03" w:rsidP="004D1F03">
      <w:pPr>
        <w:pStyle w:val="PargrafodaLista"/>
        <w:rPr>
          <w:rFonts w:ascii="Times New Roman" w:hAnsi="Times New Roman"/>
          <w:sz w:val="24"/>
          <w:szCs w:val="24"/>
        </w:rPr>
      </w:pPr>
    </w:p>
    <w:p w:rsidR="004D1F03" w:rsidRPr="00771368" w:rsidRDefault="004D1F03" w:rsidP="004D1F03">
      <w:pPr>
        <w:pStyle w:val="PargrafodaLista"/>
        <w:rPr>
          <w:rFonts w:ascii="Times New Roman" w:hAnsi="Times New Roman"/>
          <w:sz w:val="24"/>
          <w:szCs w:val="24"/>
        </w:rPr>
      </w:pPr>
    </w:p>
    <w:p w:rsidR="00D24E61" w:rsidRPr="00771368" w:rsidRDefault="00D24E61" w:rsidP="00D24E61">
      <w:pPr>
        <w:pStyle w:val="PargrafodaLista"/>
        <w:rPr>
          <w:rFonts w:ascii="Times New Roman" w:hAnsi="Times New Roman"/>
          <w:b/>
          <w:sz w:val="24"/>
          <w:szCs w:val="24"/>
        </w:rPr>
      </w:pPr>
    </w:p>
    <w:p w:rsidR="00D24E61" w:rsidRPr="00771368" w:rsidRDefault="004D1F03" w:rsidP="00FA0ABA">
      <w:pPr>
        <w:pStyle w:val="PargrafodaLista"/>
        <w:numPr>
          <w:ilvl w:val="0"/>
          <w:numId w:val="49"/>
        </w:numPr>
        <w:rPr>
          <w:rFonts w:ascii="Times New Roman" w:hAnsi="Times New Roman"/>
          <w:sz w:val="24"/>
          <w:szCs w:val="24"/>
        </w:rPr>
      </w:pPr>
      <w:r w:rsidRPr="00771368">
        <w:rPr>
          <w:rFonts w:ascii="Times New Roman" w:hAnsi="Times New Roman"/>
          <w:b/>
          <w:sz w:val="24"/>
          <w:szCs w:val="24"/>
        </w:rPr>
        <w:t xml:space="preserve">O </w:t>
      </w:r>
      <w:r w:rsidR="00D24E61" w:rsidRPr="00771368">
        <w:rPr>
          <w:rFonts w:ascii="Times New Roman" w:hAnsi="Times New Roman"/>
          <w:b/>
          <w:sz w:val="24"/>
          <w:szCs w:val="24"/>
        </w:rPr>
        <w:t>DISCURSO DA IGREJA CATÓLICA MORALIZANDO A SEXUALIDADE, PRINCIPALMENTE A FEMININA</w:t>
      </w:r>
    </w:p>
    <w:p w:rsidR="00D24E61" w:rsidRPr="00771368" w:rsidRDefault="00D24E61" w:rsidP="004D1F03">
      <w:pPr>
        <w:spacing w:line="360" w:lineRule="auto"/>
        <w:jc w:val="both"/>
        <w:rPr>
          <w:sz w:val="24"/>
          <w:szCs w:val="24"/>
        </w:rPr>
      </w:pPr>
      <w:r w:rsidRPr="00771368">
        <w:rPr>
          <w:sz w:val="24"/>
          <w:szCs w:val="24"/>
        </w:rPr>
        <w:tab/>
        <w:t>A discussão em questão inicia fazendo uma análise na Idade Média e segue para o século XIX, porque foi a partir da instituição do cristianismo como religião oficial no final do Império Romano que o mesmo tratou de ditar as normas para moralizar a sociedade e de acordo com sua expansão essas normas foram também se instalando e se difundindo na sociedade chegando inclusive ao século XIX.</w:t>
      </w:r>
    </w:p>
    <w:p w:rsidR="00D24E61" w:rsidRPr="00771368" w:rsidRDefault="00D24E61" w:rsidP="004D1F03">
      <w:pPr>
        <w:spacing w:line="360" w:lineRule="auto"/>
        <w:jc w:val="both"/>
        <w:rPr>
          <w:sz w:val="24"/>
          <w:szCs w:val="24"/>
        </w:rPr>
      </w:pPr>
      <w:r w:rsidRPr="00771368">
        <w:rPr>
          <w:sz w:val="24"/>
          <w:szCs w:val="24"/>
        </w:rPr>
        <w:tab/>
        <w:t>Por muito tempo os historiadores preocuparam-se em estudar as leis que regeram nações e povos, as guerras, as religiões praticadas pela humanidade e ao depararem-se com textos que tratassem de alguma forma da sexualidade deixavam estes relatos passarem despercebidos mesmo se sua curiosidade de alguma forma fosse aguçada, para obedecerem as leis do proibido determinado pela Igreja Católica e por se tratarem de obscenidades não seria importante pesquisar e relatar como afirma Richards:</w:t>
      </w:r>
    </w:p>
    <w:p w:rsidR="00D24E61" w:rsidRPr="00771368" w:rsidRDefault="00D24E61" w:rsidP="00D24E61">
      <w:pPr>
        <w:spacing w:line="360" w:lineRule="auto"/>
        <w:rPr>
          <w:sz w:val="24"/>
          <w:szCs w:val="24"/>
        </w:rPr>
      </w:pPr>
    </w:p>
    <w:p w:rsidR="00D24E61" w:rsidRPr="00771368" w:rsidRDefault="00D24E61" w:rsidP="00D24E61">
      <w:pPr>
        <w:pStyle w:val="SemEspaamento"/>
        <w:ind w:left="2268"/>
        <w:jc w:val="both"/>
        <w:rPr>
          <w:rFonts w:ascii="Times New Roman" w:hAnsi="Times New Roman"/>
          <w:i/>
        </w:rPr>
      </w:pPr>
      <w:r w:rsidRPr="00771368">
        <w:rPr>
          <w:rFonts w:ascii="Times New Roman" w:hAnsi="Times New Roman"/>
          <w:i/>
        </w:rPr>
        <w:t>Durante séculos, os historiadores têm estudado a guerra e o dinheiro, as leis e a religião, o funcionamento de alguns instintos humanos básicos – mas só recentemente eles se voltaram para o estudo em profundidade do instinto primevo da humanidade, a ânsia de se reproduzir e deste modo perpetuar a espécie através do sexo. O tabu intelectual atesta de modo poderoso o legado do pensamento e dos ensinamentos cristãos na civilização ocidental. [...] [1993, p. 33]</w:t>
      </w:r>
    </w:p>
    <w:p w:rsidR="00D24E61" w:rsidRPr="00771368" w:rsidRDefault="00D24E61" w:rsidP="00D24E61">
      <w:pPr>
        <w:spacing w:line="360" w:lineRule="auto"/>
        <w:rPr>
          <w:sz w:val="24"/>
          <w:szCs w:val="24"/>
        </w:rPr>
      </w:pPr>
    </w:p>
    <w:p w:rsidR="00D24E61" w:rsidRPr="00771368" w:rsidRDefault="00D24E61" w:rsidP="00D24E61">
      <w:pPr>
        <w:spacing w:line="360" w:lineRule="auto"/>
        <w:rPr>
          <w:sz w:val="24"/>
          <w:szCs w:val="24"/>
        </w:rPr>
      </w:pPr>
    </w:p>
    <w:p w:rsidR="00D24E61" w:rsidRPr="00771368" w:rsidRDefault="00D24E61" w:rsidP="004D1F03">
      <w:pPr>
        <w:spacing w:line="360" w:lineRule="auto"/>
        <w:jc w:val="both"/>
        <w:rPr>
          <w:sz w:val="24"/>
          <w:szCs w:val="24"/>
        </w:rPr>
      </w:pPr>
      <w:r w:rsidRPr="00771368">
        <w:rPr>
          <w:sz w:val="24"/>
          <w:szCs w:val="24"/>
        </w:rPr>
        <w:tab/>
        <w:t>Nesse contexto, somente há pouco tempo é que historiadores, médicos e outros profissionais passaram a se preocuparem com a questão da sexualidade humana, especialmente a sexualidade feminina, ainda assim esses estudos vieram da Idade Média e chegaram repletos de preconceitos e tabus ao século XIX.</w:t>
      </w:r>
    </w:p>
    <w:p w:rsidR="00D24E61" w:rsidRPr="00771368" w:rsidRDefault="00D24E61" w:rsidP="004D1F03">
      <w:pPr>
        <w:spacing w:line="360" w:lineRule="auto"/>
        <w:jc w:val="both"/>
        <w:rPr>
          <w:sz w:val="24"/>
          <w:szCs w:val="24"/>
        </w:rPr>
      </w:pPr>
      <w:r w:rsidRPr="00771368">
        <w:rPr>
          <w:sz w:val="24"/>
          <w:szCs w:val="24"/>
        </w:rPr>
        <w:tab/>
        <w:t>Não há como negar que o cristianismo contribuiu para a organização da sociedade em questão, com seu Código Canônico, sua moral imposta, e a difusão limitada do conhecimento. O campo da sexualidade não poderia de forma alguma ficar restrito a estas normas morais, já que é este campo que proporciona prazer aos que o praticam e que faz outro ser nascer, era preciso assim, conter a procriação de acordo com os interesses e a necessidade estabelecida. Outra questão se refere aos clérigos, especialmente os teólogos que na Idade Média no início do século IV, o celibato foi instituído aos mesmos por opção ou obrigação, mais por obrigação, lhes foi proibido a prática da sexualidade, logo estes trataram de difundir a idéia do sexo como pecado. Um dos teólogos que lutou para conter o próprio desejo sexual a favor do celibato dos clérigos logo após converter-se ao cristianismo foi Agostinho</w:t>
      </w:r>
      <w:r w:rsidRPr="00771368">
        <w:rPr>
          <w:rStyle w:val="Refdenotaderodap"/>
          <w:rFonts w:eastAsia="Calibri"/>
          <w:sz w:val="24"/>
          <w:szCs w:val="24"/>
        </w:rPr>
        <w:footnoteReference w:id="2"/>
      </w:r>
      <w:r w:rsidRPr="00771368">
        <w:rPr>
          <w:sz w:val="24"/>
          <w:szCs w:val="24"/>
        </w:rPr>
        <w:t>, hoje aclamado santo pela Igreja Católica, depois de uma decepção amorosa na qual não podia se casar com a mulher de classe inferior a sua, mesmo assim convivia maritalmente com a mesma o teólogo optou por condenar o ato sexual. Ensinou que era sujo, um pecado mortal.</w:t>
      </w:r>
    </w:p>
    <w:p w:rsidR="00D24E61" w:rsidRPr="00771368" w:rsidRDefault="00D24E61" w:rsidP="004D1F03">
      <w:pPr>
        <w:spacing w:line="360" w:lineRule="auto"/>
        <w:jc w:val="both"/>
        <w:rPr>
          <w:sz w:val="24"/>
          <w:szCs w:val="24"/>
        </w:rPr>
      </w:pPr>
      <w:r w:rsidRPr="00771368">
        <w:rPr>
          <w:sz w:val="24"/>
          <w:szCs w:val="24"/>
        </w:rPr>
        <w:tab/>
        <w:t>Na visão da maioria dos teólogos da Idade Média o ato sexual não era um acontecimento bom, pelo contrário era um ato pecaminoso e pernicioso que levavam seus praticantes a perderem o reino do céu e servia tão somente para a procriação sendo vedado aos praticantes o prazer carnal que por sua vez estava ligado ao pecado original e por isso deveria ser evitado a todo custo “[...] segundo Agostinho, a relação sexual, ou mais precisamente o prazer sexual, é o que transmite o pecado original continuamente, de geração em geração. [...]” (RANKE-HEINEMANN, 1999, p. 90). Para manter a sexualidade humana, principalmente a feminina,sob controle a igreja instituiu e sacralizou o casamento inicialmente no século IX, somente com o objetivo de gerar filhos do contrário o homem estaria cometendo adultério com a própria esposa. Vale lembrar que este processo de sacralização do casamento iniciou no século IX, mas percorreu um longo caminho até o século XVI com o Concílio de Trento. Dentro deste contexto os corpos dos cônjuges não mais lhes pertenciam e sim aos seus cônjuges. De certa forma esta medida foi tomada para impedir que padres continuassem a se casar e para que os homens casados ficassem da mesma forma impedidos de serem ordenados como padres já que antes da sacralização da igreja, na Alta Idade Média os padres casavam-se e o casamento poderia ser realizado em qualquer lugar e até mesmo por um leigo.Por causa da repressão, as mulheres tinham medo de exporem seus desejos e sanarem suas dúvidas para não serem tratadas como mulheres “imorais” e ainda equivocadamente acreditavam que mesmo depois de casadas os atos que ocorreram no leito matrimonial eram sujos, feios e pecado, quando na verdade faziam e fazem parte de sua natureza humana sentir desejo de copular, mesmo que seja sem o intuito de garantir a espécie. Diferentemente dos chamados animais irracionais o ser humano, único ser dotado de razão, procura seu (a) parceiro (a) fora do período de reprodução para satisfazer seu desejo sexual.</w:t>
      </w:r>
    </w:p>
    <w:p w:rsidR="00D24E61" w:rsidRPr="00771368" w:rsidRDefault="00D24E61" w:rsidP="004D1F03">
      <w:pPr>
        <w:spacing w:line="360" w:lineRule="auto"/>
        <w:jc w:val="both"/>
        <w:rPr>
          <w:sz w:val="24"/>
          <w:szCs w:val="24"/>
        </w:rPr>
      </w:pPr>
      <w:r w:rsidRPr="00771368">
        <w:rPr>
          <w:sz w:val="24"/>
          <w:szCs w:val="24"/>
        </w:rPr>
        <w:tab/>
        <w:t>Depois de todo este discurso medieval, compreende-se porquêo comportamento feminino esteve durante o século XIX envolto por tanta repressão, preconceitos, medos e tabus. Desde o medievo vê-se que o casamento foi instituído com o objetivo de estabelecer uma “ordem” social, tornando-se então uma instituição social. Antes casamento arranjado agora casamento por amor e permitido pelos cônjuges. As camadas inferiores da sociedade, que por ventura não acolhessem o casamento como padrão para conviver maritalmente eram classificadas de imorais, como afirma Maluf e Mott:</w:t>
      </w:r>
    </w:p>
    <w:p w:rsidR="00D24E61" w:rsidRPr="00771368" w:rsidRDefault="00D24E61" w:rsidP="00D24E61">
      <w:pPr>
        <w:tabs>
          <w:tab w:val="left" w:pos="3515"/>
        </w:tabs>
        <w:spacing w:line="360" w:lineRule="auto"/>
        <w:rPr>
          <w:sz w:val="24"/>
          <w:szCs w:val="24"/>
        </w:rPr>
      </w:pPr>
      <w:r w:rsidRPr="00771368">
        <w:rPr>
          <w:sz w:val="24"/>
          <w:szCs w:val="24"/>
        </w:rPr>
        <w:tab/>
      </w:r>
    </w:p>
    <w:p w:rsidR="00D24E61" w:rsidRPr="00771368" w:rsidRDefault="00D24E61" w:rsidP="00D24E61">
      <w:pPr>
        <w:pStyle w:val="SemEspaamento"/>
        <w:ind w:left="2268"/>
        <w:jc w:val="both"/>
        <w:rPr>
          <w:rFonts w:ascii="Times New Roman" w:hAnsi="Times New Roman"/>
          <w:i/>
        </w:rPr>
      </w:pPr>
      <w:r w:rsidRPr="00771368">
        <w:rPr>
          <w:rFonts w:ascii="Times New Roman" w:hAnsi="Times New Roman"/>
          <w:i/>
        </w:rPr>
        <w:t>[...] os promotores da moral e da ordem classificaram como ilícita toda e qualquer relação entre homens e mulheres que se firmasse fora do contrato matrimonial. Em nome de uma ligação de amor que fundisse existências, e não somente sexos, o amor na mancebia foi transformado em objeto de intervenção. Amor degenerado, espectro de amor, imitação de amor [...] (1998, p. 387)</w:t>
      </w:r>
    </w:p>
    <w:p w:rsidR="00D24E61" w:rsidRPr="00771368" w:rsidRDefault="00D24E61" w:rsidP="00D24E61">
      <w:pPr>
        <w:spacing w:line="360" w:lineRule="auto"/>
        <w:rPr>
          <w:i/>
          <w:sz w:val="24"/>
          <w:szCs w:val="24"/>
        </w:rPr>
      </w:pPr>
    </w:p>
    <w:p w:rsidR="00D24E61" w:rsidRPr="00771368" w:rsidRDefault="00D24E61" w:rsidP="004D1F03">
      <w:pPr>
        <w:spacing w:line="360" w:lineRule="auto"/>
        <w:jc w:val="both"/>
        <w:rPr>
          <w:sz w:val="24"/>
          <w:szCs w:val="24"/>
        </w:rPr>
      </w:pPr>
      <w:r w:rsidRPr="00771368">
        <w:rPr>
          <w:sz w:val="24"/>
          <w:szCs w:val="24"/>
        </w:rPr>
        <w:tab/>
        <w:t>Sendo o casamento uma forma encontrada para regular o comportamento sexual humano, era também mais uma maneira de moralizar o comportamento da mulher, sendo assim, a mesma foi colocada num patamar de procriadora lhe cabendo a tarefa de por ordem dentro de casa. Trabalhar fora de casa, só com a permissão do marido, assim as mulheres eram completamente dependentes economicamente de seus esposos. Por sua vez as moças foram instruídas a serem boas esposas e boas mães. Não lhes cabia sentir desejos, isso era coisa de mulheres imorais e anormais, mas ao mesmo tempo em que lhes era proibido o prazer tinham que conter os desejos de seu marido e demonstrar simplicidade ao vestir-se e comportar-se.</w:t>
      </w:r>
    </w:p>
    <w:p w:rsidR="00D24E61" w:rsidRPr="00771368" w:rsidRDefault="00D24E61" w:rsidP="004D1F03">
      <w:pPr>
        <w:spacing w:line="360" w:lineRule="auto"/>
        <w:jc w:val="both"/>
        <w:rPr>
          <w:sz w:val="24"/>
          <w:szCs w:val="24"/>
        </w:rPr>
      </w:pPr>
      <w:r w:rsidRPr="00771368">
        <w:rPr>
          <w:sz w:val="24"/>
          <w:szCs w:val="24"/>
        </w:rPr>
        <w:tab/>
        <w:t xml:space="preserve">O que se vê é que tanta histeria ou distúrbios relacionados a sexualidade feminina aconteceu devido a repressão e a moralização que por tanto tempo lhes foi imposta. Durante séculos e de tal maneira a Igreja Católica ditou o comportamento sexual feminino, que as mulheres se retraiam sem ter certeza de como deveria se comportar e aquém deveria obedecer aos desejos do seu corpo, as normas da Igreja, as normas da sociedade ou aos desejos do seu marido.  </w:t>
      </w:r>
    </w:p>
    <w:p w:rsidR="00D24E61" w:rsidRPr="00771368" w:rsidRDefault="00D24E61" w:rsidP="004D1F03">
      <w:pPr>
        <w:spacing w:line="360" w:lineRule="auto"/>
        <w:jc w:val="both"/>
        <w:rPr>
          <w:sz w:val="24"/>
          <w:szCs w:val="24"/>
        </w:rPr>
      </w:pPr>
      <w:r w:rsidRPr="00771368">
        <w:rPr>
          <w:sz w:val="24"/>
          <w:szCs w:val="24"/>
        </w:rPr>
        <w:tab/>
        <w:t>Outras culturas convivem com a sexualidade com naturalidade e a veem como um ato benéfico ao organismo e não somente pelo fato de promover a multiplicação da espécie, mas também porque promove um bem-estar natural, social e orgânico. Mas o Cristianismo Católico Romano fez questão de moralizar este campo da vida humana pregando que era prejudicial pecaminoso e que levaria quem desobedecesse as tais regras ao inferno se não fosse praticado com o objetivo de procriar, sendo que nem eles mesmos cumpriam as tais regras.</w:t>
      </w:r>
    </w:p>
    <w:p w:rsidR="00D24E61" w:rsidRPr="00771368" w:rsidRDefault="00D24E61" w:rsidP="00D24E61">
      <w:pPr>
        <w:spacing w:line="360" w:lineRule="auto"/>
        <w:rPr>
          <w:sz w:val="24"/>
          <w:szCs w:val="24"/>
        </w:rPr>
      </w:pPr>
    </w:p>
    <w:p w:rsidR="00D24E61" w:rsidRPr="00771368" w:rsidRDefault="004D1F03" w:rsidP="00FA0ABA">
      <w:pPr>
        <w:pStyle w:val="PargrafodaLista"/>
        <w:numPr>
          <w:ilvl w:val="0"/>
          <w:numId w:val="49"/>
        </w:numPr>
        <w:spacing w:line="360" w:lineRule="auto"/>
        <w:rPr>
          <w:rFonts w:ascii="Times New Roman" w:hAnsi="Times New Roman"/>
          <w:b/>
          <w:sz w:val="24"/>
          <w:szCs w:val="24"/>
        </w:rPr>
      </w:pPr>
      <w:r w:rsidRPr="00771368">
        <w:rPr>
          <w:rFonts w:ascii="Times New Roman" w:hAnsi="Times New Roman"/>
          <w:b/>
          <w:sz w:val="24"/>
          <w:szCs w:val="24"/>
        </w:rPr>
        <w:t xml:space="preserve">O </w:t>
      </w:r>
      <w:r w:rsidR="00D24E61" w:rsidRPr="00771368">
        <w:rPr>
          <w:rFonts w:ascii="Times New Roman" w:hAnsi="Times New Roman"/>
          <w:b/>
          <w:sz w:val="24"/>
          <w:szCs w:val="24"/>
        </w:rPr>
        <w:t>DISCURSO DA IGREJA E DA SOCIEDADE EM TORNO DA VIRGINDADE E DA MASTURBAÇÃO</w:t>
      </w:r>
    </w:p>
    <w:p w:rsidR="00D24E61" w:rsidRPr="00771368" w:rsidRDefault="00D24E61" w:rsidP="00D24E61">
      <w:pPr>
        <w:spacing w:line="360" w:lineRule="auto"/>
        <w:rPr>
          <w:b/>
          <w:sz w:val="24"/>
          <w:szCs w:val="24"/>
        </w:rPr>
      </w:pPr>
    </w:p>
    <w:p w:rsidR="00D24E61" w:rsidRPr="00771368" w:rsidRDefault="00D24E61" w:rsidP="00D24E61">
      <w:pPr>
        <w:spacing w:line="360" w:lineRule="auto"/>
        <w:rPr>
          <w:b/>
          <w:sz w:val="24"/>
          <w:szCs w:val="24"/>
        </w:rPr>
      </w:pPr>
      <w:r w:rsidRPr="00771368">
        <w:rPr>
          <w:b/>
          <w:sz w:val="24"/>
          <w:szCs w:val="24"/>
        </w:rPr>
        <w:t>VIRGINDADE</w:t>
      </w:r>
    </w:p>
    <w:p w:rsidR="00D24E61" w:rsidRPr="00771368" w:rsidRDefault="00D24E61" w:rsidP="004D1F03">
      <w:pPr>
        <w:spacing w:line="360" w:lineRule="auto"/>
        <w:jc w:val="both"/>
        <w:rPr>
          <w:sz w:val="24"/>
          <w:szCs w:val="24"/>
        </w:rPr>
      </w:pPr>
      <w:r w:rsidRPr="00771368">
        <w:rPr>
          <w:sz w:val="24"/>
          <w:szCs w:val="24"/>
        </w:rPr>
        <w:tab/>
        <w:t>O primeiro questionamento a ser levantado é o que de fato seria a virgindade para os medievais e em que este fato interferiu na sexualidade das mulheres do período?</w:t>
      </w:r>
    </w:p>
    <w:p w:rsidR="00D24E61" w:rsidRPr="00771368" w:rsidRDefault="00D24E61" w:rsidP="004D1F03">
      <w:pPr>
        <w:spacing w:line="360" w:lineRule="auto"/>
        <w:jc w:val="both"/>
        <w:rPr>
          <w:sz w:val="24"/>
          <w:szCs w:val="24"/>
        </w:rPr>
      </w:pPr>
      <w:r w:rsidRPr="00771368">
        <w:rPr>
          <w:sz w:val="24"/>
          <w:szCs w:val="24"/>
        </w:rPr>
        <w:tab/>
        <w:t>No século IV o celibato foi recomendado ao clero para que não fosse difamado e servisse de testemunho para a sociedade e ao mesmo tempo para que os bens da Igreja não fossem fracionados, porque a partir do momento em que um clérigo constituísse família esta herdaria os seus bens. Neste mesmo século também surgiu a consagração das virgens a exemplo de Maria, a mãe de Jesus. A castidade foi imposta mesmo as mulheres casadas porque era sinal de pureza, santidade e imitação a Maria.</w:t>
      </w:r>
    </w:p>
    <w:p w:rsidR="00D24E61" w:rsidRPr="00771368" w:rsidRDefault="00D24E61" w:rsidP="004D1F03">
      <w:pPr>
        <w:spacing w:line="360" w:lineRule="auto"/>
        <w:jc w:val="both"/>
        <w:rPr>
          <w:sz w:val="24"/>
          <w:szCs w:val="24"/>
        </w:rPr>
      </w:pPr>
      <w:r w:rsidRPr="00771368">
        <w:rPr>
          <w:sz w:val="24"/>
          <w:szCs w:val="24"/>
        </w:rPr>
        <w:tab/>
        <w:t>Para Santo Agostinho a castidade era um dos motivos que levaria um casal a santidade, aos olhos deste, “[...] a virgindade (castidade) é moralmente superior ao casamento, e o casamento sem sexo também é superior ao casamento com sexo. O marido e a esposa atingem padrões mais elevados de desenvolvimento moral pela renúncia conjunta ao coito. [...]” (RANKE-HEINEMANN, 1999, p. 110). Sendo assim, este orientava os cônjuges a abdicarem do direito ao coito para garantirem a santidade.</w:t>
      </w:r>
    </w:p>
    <w:p w:rsidR="00D24E61" w:rsidRPr="00771368" w:rsidRDefault="00D24E61" w:rsidP="004D1F03">
      <w:pPr>
        <w:spacing w:line="360" w:lineRule="auto"/>
        <w:jc w:val="both"/>
        <w:rPr>
          <w:sz w:val="24"/>
          <w:szCs w:val="24"/>
        </w:rPr>
      </w:pPr>
      <w:r w:rsidRPr="00771368">
        <w:rPr>
          <w:sz w:val="24"/>
          <w:szCs w:val="24"/>
        </w:rPr>
        <w:tab/>
        <w:t>Os misóginos celibatários viam em sua castidade a certeza de uma “pureza” de alma e por isso a garantia do reino de Deus. Para que as mulheres fossem “obrigadas” a seguirem também uma vida casta precisaram de um modelo para lhes impor a virgindade. Neste momento, os estudos sobre Maria entram nas pesquisas teológicas medievais, sendo este chamado de Mariologia</w:t>
      </w:r>
      <w:r w:rsidRPr="00771368">
        <w:rPr>
          <w:rStyle w:val="Refdenotaderodap"/>
          <w:rFonts w:eastAsia="Calibri"/>
          <w:sz w:val="24"/>
          <w:szCs w:val="24"/>
        </w:rPr>
        <w:footnoteReference w:id="3"/>
      </w:r>
      <w:r w:rsidRPr="00771368">
        <w:rPr>
          <w:sz w:val="24"/>
          <w:szCs w:val="24"/>
        </w:rPr>
        <w:t>. De acordo com Ranke-heinemann:</w:t>
      </w:r>
    </w:p>
    <w:p w:rsidR="00D24E61" w:rsidRPr="00771368" w:rsidRDefault="00D24E61" w:rsidP="004D1F03">
      <w:pPr>
        <w:spacing w:line="360" w:lineRule="auto"/>
        <w:jc w:val="both"/>
        <w:rPr>
          <w:sz w:val="24"/>
          <w:szCs w:val="24"/>
        </w:rPr>
      </w:pPr>
    </w:p>
    <w:p w:rsidR="00D24E61" w:rsidRPr="00771368" w:rsidRDefault="00D24E61" w:rsidP="00D24E61">
      <w:pPr>
        <w:pStyle w:val="SemEspaamento"/>
        <w:ind w:left="2268"/>
        <w:jc w:val="both"/>
        <w:rPr>
          <w:rFonts w:ascii="Times New Roman" w:hAnsi="Times New Roman"/>
          <w:i/>
        </w:rPr>
      </w:pPr>
      <w:r w:rsidRPr="00771368">
        <w:rPr>
          <w:rFonts w:ascii="Times New Roman" w:hAnsi="Times New Roman"/>
          <w:i/>
        </w:rPr>
        <w:t>[...] Segundo Jerônimo, Maria estabeleceu o fundamento da castidade ou da virgindade para ambos os sexos, e a superioridade moral dessa virgindade se torna clara em sua pessoa. A realidade, porém, é outra: a virgindade não foi valorizada porque Maria sempre foi virgem, pelo contrário: Maria foi transformada numa virgem perpétua porque a virgindade era muitíssimo valorizada. (1999, p. 73-74).</w:t>
      </w:r>
    </w:p>
    <w:p w:rsidR="00D24E61" w:rsidRPr="00771368" w:rsidRDefault="00D24E61" w:rsidP="00D24E61">
      <w:pPr>
        <w:pStyle w:val="SemEspaamento"/>
        <w:ind w:left="2268"/>
        <w:rPr>
          <w:rFonts w:ascii="Times New Roman" w:hAnsi="Times New Roman"/>
          <w:i/>
        </w:rPr>
      </w:pPr>
    </w:p>
    <w:p w:rsidR="00D24E61" w:rsidRPr="00771368" w:rsidRDefault="00D24E61" w:rsidP="00D24E61">
      <w:pPr>
        <w:spacing w:line="360" w:lineRule="auto"/>
        <w:rPr>
          <w:sz w:val="24"/>
          <w:szCs w:val="24"/>
        </w:rPr>
      </w:pPr>
    </w:p>
    <w:p w:rsidR="00D24E61" w:rsidRPr="00771368" w:rsidRDefault="00D24E61" w:rsidP="004D1F03">
      <w:pPr>
        <w:spacing w:line="360" w:lineRule="auto"/>
        <w:jc w:val="both"/>
        <w:rPr>
          <w:sz w:val="24"/>
          <w:szCs w:val="24"/>
        </w:rPr>
      </w:pPr>
      <w:r w:rsidRPr="00771368">
        <w:rPr>
          <w:sz w:val="24"/>
          <w:szCs w:val="24"/>
        </w:rPr>
        <w:tab/>
        <w:t>Assim, de acordo com Ranke-Heinemann, perceber-se-á que o que a Igreja relatou no que se refere a virgindade de Maria e sua imagem foi reformado na Bíblia para que as mulheres tivessem um modelo de mulher a ser seguido e que este modelo constava nos textos bíblicos. Assim sendo, a mesma vai relatar que Maria concebeu Jesus sem cópula e que o mesmo foi concebido pelo poder do Espírito Santo para impedir que fosse manchado com o pecado original. Houve e há na própria Igreja opiniões contrárias a respeito da virgindade perpétua de Maria. Padres foram excomungados</w:t>
      </w:r>
      <w:r w:rsidRPr="00771368">
        <w:rPr>
          <w:rStyle w:val="Refdenotaderodap"/>
          <w:rFonts w:eastAsia="Calibri"/>
          <w:sz w:val="24"/>
          <w:szCs w:val="24"/>
        </w:rPr>
        <w:footnoteReference w:id="4"/>
      </w:r>
      <w:r w:rsidRPr="00771368">
        <w:rPr>
          <w:sz w:val="24"/>
          <w:szCs w:val="24"/>
        </w:rPr>
        <w:t xml:space="preserve"> por discordarem que Maria permaneceu virgem depois que Jesus nasceu e que não teve outros filhos e quando se lê nos textos bíblicos termos relacionados aos irmãos de Jesus logo foi explicado que se tratava do costume da época em tratar primos mais próximos por irmãos.Com todo esse discurso misógino, os representantes da Igreja moralizaram e impuseram a castidade dentro e fora do casamento. É com essa moral que se chega ao século XIX dando um valor imensurável a virgindade.</w:t>
      </w:r>
    </w:p>
    <w:p w:rsidR="00D24E61" w:rsidRPr="00771368" w:rsidRDefault="00D24E61" w:rsidP="004D1F03">
      <w:pPr>
        <w:spacing w:line="360" w:lineRule="auto"/>
        <w:jc w:val="both"/>
        <w:rPr>
          <w:sz w:val="24"/>
          <w:szCs w:val="24"/>
        </w:rPr>
      </w:pPr>
      <w:r w:rsidRPr="00771368">
        <w:rPr>
          <w:sz w:val="24"/>
          <w:szCs w:val="24"/>
        </w:rPr>
        <w:tab/>
        <w:t>De acordo com D’Incao (2011) no século XIX as mulheres que viviam excluídas da convivência social passaram a disporem de certa liberdade e, assim, frequentarem ambientes públicos, como cafés, teatros dentre outros. Esta liberdade estava restrita aos olhos da sociedade vigente, portanto, seus atos eram fiscalizados para evitar que descumprissem as regras morais. Seu papel era cuidar da imagem de seu marido e de sua família, assim uma reputação impecável do homem público dependia da boa imagem de sua esposa frente à sociedade e para tanto era preciso vigiar, pois: “[...] a mulher de elite, a esposa e mãe de família burguesa deveria adotar regras castas no encontro sexual com o marido, vigiar a castidade das filhas, constituir uma descendência saudável e cuidar do comportamento da prole.” (D’INCAO, 2011, p. 230). Sendo assim, de acordo com a autora, a mulher, a mãe de família seria considerada culpada se sua filha fosse deflorada antes do casamento.</w:t>
      </w:r>
    </w:p>
    <w:p w:rsidR="00D24E61" w:rsidRPr="00771368" w:rsidRDefault="00D24E61" w:rsidP="004D1F03">
      <w:pPr>
        <w:spacing w:line="360" w:lineRule="auto"/>
        <w:jc w:val="both"/>
        <w:rPr>
          <w:sz w:val="24"/>
          <w:szCs w:val="24"/>
        </w:rPr>
      </w:pPr>
      <w:r w:rsidRPr="00771368">
        <w:rPr>
          <w:sz w:val="24"/>
          <w:szCs w:val="24"/>
        </w:rPr>
        <w:tab/>
        <w:t>Portanto, até o século XIX a mulher para ser honrada deveria manter-se virgem até o casamento, porque do seu hímen</w:t>
      </w:r>
      <w:r w:rsidRPr="00771368">
        <w:rPr>
          <w:rStyle w:val="Refdenotaderodap"/>
          <w:rFonts w:eastAsia="Calibri"/>
          <w:sz w:val="24"/>
          <w:szCs w:val="24"/>
        </w:rPr>
        <w:footnoteReference w:id="5"/>
      </w:r>
      <w:r w:rsidRPr="00771368">
        <w:rPr>
          <w:sz w:val="24"/>
          <w:szCs w:val="24"/>
        </w:rPr>
        <w:t>dependia a honra de sua família e o contrato estabelecido com a família do seu futuro esposo. Além do que a mulher estaria submissa a quem a ensinasse as artes do amor. Se fossem “desonradas” antes de se casarem não serviam mais para serem futuras esposas e constituírem famílias.</w:t>
      </w:r>
    </w:p>
    <w:p w:rsidR="00D24E61" w:rsidRPr="00771368" w:rsidRDefault="00D24E61" w:rsidP="004D1F03">
      <w:pPr>
        <w:spacing w:line="360" w:lineRule="auto"/>
        <w:jc w:val="both"/>
        <w:rPr>
          <w:sz w:val="24"/>
          <w:szCs w:val="24"/>
        </w:rPr>
      </w:pPr>
      <w:r w:rsidRPr="00771368">
        <w:rPr>
          <w:sz w:val="24"/>
          <w:szCs w:val="24"/>
        </w:rPr>
        <w:tab/>
        <w:t>No século XIX, o casamento representava um contrato social, em que os cônjuges eram escolhidos pelos os pais e de acordo com o poder aquisitivo de seus familiares com o objetivo de aumentar e/ou manter seus bens e por isso as moças em idade de casar de acordo com D’Incao(2011) eram extremamente vigiadas e cuidadas, já que da sua honra dependiam os bens da família. Portanto, sobre este tipo de contrato social diz a autora: “[...] a virgindade feminina era um requisito fundamental [...] funcionava como um dispositivo para manter o status da noiva como objeto de valor econômico e político [...]” (D’INCAO, 2011, p. 235)</w:t>
      </w:r>
    </w:p>
    <w:p w:rsidR="00D24E61" w:rsidRPr="00771368" w:rsidRDefault="00D24E61" w:rsidP="004D1F03">
      <w:pPr>
        <w:spacing w:line="360" w:lineRule="auto"/>
        <w:jc w:val="both"/>
        <w:rPr>
          <w:sz w:val="24"/>
          <w:szCs w:val="24"/>
        </w:rPr>
      </w:pPr>
      <w:r w:rsidRPr="00771368">
        <w:rPr>
          <w:sz w:val="24"/>
          <w:szCs w:val="24"/>
        </w:rPr>
        <w:tab/>
        <w:t>Sendo assim, a virgindade foi vigiada de tal forma e por isso mesmo levou muitas mulheres a cometerem loucuras para conseguirem se casar mesmo quando o hímen não se fizesse mais presente, isto porque sem o mesmo a moça se pertencesse à classe alta da sociedade perderia o dote e suas chances de se casar eram bem pequenas se estas não dessem logo um jeito no seu “problema” da “desonra”. Assim, para garantir que a família não passasse vergonha,</w:t>
      </w:r>
      <w:r w:rsidRPr="00771368">
        <w:rPr>
          <w:sz w:val="24"/>
          <w:szCs w:val="24"/>
        </w:rPr>
        <w:tab/>
      </w:r>
    </w:p>
    <w:p w:rsidR="00D24E61" w:rsidRPr="00771368" w:rsidRDefault="00D24E61" w:rsidP="00D24E61">
      <w:pPr>
        <w:pStyle w:val="SemEspaamento"/>
        <w:ind w:left="2268"/>
        <w:jc w:val="both"/>
        <w:rPr>
          <w:rFonts w:ascii="Times New Roman" w:hAnsi="Times New Roman"/>
          <w:i/>
        </w:rPr>
      </w:pPr>
      <w:r w:rsidRPr="00771368">
        <w:rPr>
          <w:rFonts w:ascii="Times New Roman" w:hAnsi="Times New Roman"/>
          <w:i/>
        </w:rPr>
        <w:t xml:space="preserve">‘A mãe dias antes do casamento, examina as partes genitais de sua filha e, se a largura da entrada da vagina lhe faz julgar que a introdução do membro viril possa ter lugar sem rasgão nem sangue derramado, ela prepara uma bexiga de peixe ou uma pequena bexiga de película de tripa de boi, de forma oblonga, [...] depois de a ter enchido de sangue de pombo, entrega-a a filha com a recomendação de introduzir clandestinamente no canal vulvo-uterino antes de se dirigir para o leito nupcial. Essa prova dá às jovens </w:t>
      </w:r>
      <w:r w:rsidR="004D1F03" w:rsidRPr="00771368">
        <w:rPr>
          <w:rFonts w:ascii="Times New Roman" w:hAnsi="Times New Roman"/>
          <w:i/>
        </w:rPr>
        <w:t>desposadas a certeza de que as provas sangrentas da virgindade não deixarão de se manifestar’. (2011, p. 117)</w:t>
      </w:r>
    </w:p>
    <w:p w:rsidR="00D24E61" w:rsidRPr="00771368" w:rsidRDefault="00D24E61" w:rsidP="00D24E61">
      <w:pPr>
        <w:pStyle w:val="SemEspaamento"/>
        <w:ind w:left="2268"/>
        <w:rPr>
          <w:rFonts w:ascii="Times New Roman" w:hAnsi="Times New Roman"/>
          <w:i/>
        </w:rPr>
      </w:pPr>
    </w:p>
    <w:p w:rsidR="00D24E61" w:rsidRPr="00771368" w:rsidRDefault="00D24E61" w:rsidP="00D24E61">
      <w:pPr>
        <w:pStyle w:val="SemEspaamento"/>
        <w:rPr>
          <w:rFonts w:ascii="Times New Roman" w:hAnsi="Times New Roman"/>
        </w:rPr>
      </w:pPr>
    </w:p>
    <w:p w:rsidR="00D24E61" w:rsidRPr="00771368" w:rsidRDefault="00D24E61" w:rsidP="004D1F03">
      <w:pPr>
        <w:spacing w:line="360" w:lineRule="auto"/>
        <w:jc w:val="both"/>
        <w:rPr>
          <w:sz w:val="24"/>
          <w:szCs w:val="24"/>
        </w:rPr>
      </w:pPr>
      <w:r w:rsidRPr="00771368">
        <w:tab/>
      </w:r>
      <w:r w:rsidRPr="00771368">
        <w:rPr>
          <w:sz w:val="24"/>
          <w:szCs w:val="24"/>
        </w:rPr>
        <w:t>Assim sendo, muitas mocinhas livraram-se da vergonha de serem descobertas ao não serem mais virgens, visto que em muitos casos eram obrigadas a exporem a prova de sua castidade, os lençóis manchados com o sangue da sua “pureza virginal”. Essa exigência da virgindade era apenas para as mulheres, pois o homem era livre para relacionar-se com mulheres públicas e outras mais que conseguissem se relacionar como afirma Huguccio em Richards (1993): “[...] se deveria exigir virgindade das mulheres, mas não dos homens. [...] As pessoas em geral acreditavam, de modo semelhante, que era aceitável que os homens não fossem castos, mas as mulheres tinham que sê-lo, [...] (</w:t>
      </w:r>
      <w:r w:rsidRPr="00771368">
        <w:rPr>
          <w:color w:val="000000"/>
          <w:sz w:val="24"/>
          <w:szCs w:val="24"/>
        </w:rPr>
        <w:t xml:space="preserve">HUGUCCIO, </w:t>
      </w:r>
      <w:r w:rsidRPr="00771368">
        <w:rPr>
          <w:i/>
          <w:color w:val="000000"/>
          <w:sz w:val="24"/>
          <w:szCs w:val="24"/>
        </w:rPr>
        <w:t>apud</w:t>
      </w:r>
      <w:r w:rsidRPr="00771368">
        <w:rPr>
          <w:color w:val="000000"/>
          <w:sz w:val="24"/>
          <w:szCs w:val="24"/>
        </w:rPr>
        <w:t xml:space="preserve">, </w:t>
      </w:r>
      <w:r w:rsidRPr="00771368">
        <w:rPr>
          <w:sz w:val="24"/>
          <w:szCs w:val="24"/>
        </w:rPr>
        <w:t>RICHARDS, 1993, p 47). Portanto, a mulher foi obrigada se manter virgem até o casamento.</w:t>
      </w:r>
    </w:p>
    <w:p w:rsidR="00D24E61" w:rsidRPr="00771368" w:rsidRDefault="00D24E61" w:rsidP="00D24E61">
      <w:pPr>
        <w:spacing w:line="360" w:lineRule="auto"/>
        <w:rPr>
          <w:sz w:val="24"/>
          <w:szCs w:val="24"/>
        </w:rPr>
      </w:pPr>
    </w:p>
    <w:p w:rsidR="00D24E61" w:rsidRPr="00771368" w:rsidRDefault="00D24E61" w:rsidP="00D24E61">
      <w:pPr>
        <w:spacing w:line="360" w:lineRule="auto"/>
        <w:rPr>
          <w:b/>
          <w:sz w:val="24"/>
          <w:szCs w:val="24"/>
        </w:rPr>
      </w:pPr>
      <w:r w:rsidRPr="00771368">
        <w:rPr>
          <w:b/>
          <w:sz w:val="24"/>
          <w:szCs w:val="24"/>
        </w:rPr>
        <w:t>A MASTURBAÇÃO</w:t>
      </w:r>
    </w:p>
    <w:p w:rsidR="00D24E61" w:rsidRPr="00771368" w:rsidRDefault="00D24E61" w:rsidP="004D1F03">
      <w:pPr>
        <w:spacing w:line="360" w:lineRule="auto"/>
        <w:jc w:val="both"/>
        <w:rPr>
          <w:sz w:val="24"/>
          <w:szCs w:val="24"/>
        </w:rPr>
      </w:pPr>
      <w:r w:rsidRPr="00771368">
        <w:rPr>
          <w:sz w:val="24"/>
          <w:szCs w:val="24"/>
        </w:rPr>
        <w:tab/>
        <w:t>A masturbação trata-se do ato em que um indivíduo provoca o próprio prazer e/ou o prazer de outrem ao estimular com as mãos e/ou outros instrumentos sua genitália ou a de outra pessoa. O problema em torno da masturbação, segundo a Igreja Católica que se apropriou do discurso médico, é que esta prática além de “desperdiçar” o sêmen não legitima o objetivo da relação sexual que é a procriação e por isso o assunto foi normatizado como um pecado mortal. De início esta prática foi atribuída às crianças e aos adolescentes depois se observou que adultos – homens e mulheres – também a praticavam. Assim, de acordo com Richards, aquele que a praticava deveria confessá-lo ao padre e de acordo com o meio pelo qual era praticado recebia punições, como afirma o autor:</w:t>
      </w:r>
    </w:p>
    <w:p w:rsidR="00D24E61" w:rsidRPr="00771368" w:rsidRDefault="00D24E61" w:rsidP="00D24E61">
      <w:pPr>
        <w:spacing w:line="360" w:lineRule="auto"/>
        <w:rPr>
          <w:sz w:val="24"/>
          <w:szCs w:val="24"/>
        </w:rPr>
      </w:pPr>
    </w:p>
    <w:p w:rsidR="00D24E61" w:rsidRPr="00771368" w:rsidRDefault="00D24E61" w:rsidP="004D1F03">
      <w:pPr>
        <w:ind w:left="2268"/>
        <w:jc w:val="both"/>
      </w:pPr>
      <w:r w:rsidRPr="00771368">
        <w:t xml:space="preserve">Dez dias a pão e água era a pena aplicada por Burchard para a masturbação masculina com a mão. Pelo uso de um pedaço perfurado de madeira, recebia-se doze dias (e provavelmente farpas) [...] Outros penitenciais puniam a masturbação com a pena de quarenta dias até um ano, dependendo da idade e </w:t>
      </w:r>
      <w:r w:rsidRPr="00771368">
        <w:rPr>
          <w:i/>
        </w:rPr>
        <w:t>status</w:t>
      </w:r>
      <w:r w:rsidRPr="00771368">
        <w:t xml:space="preserve"> do réu e da frequência do hábito. (RICHARDS, 1993, p. 40).</w:t>
      </w:r>
    </w:p>
    <w:p w:rsidR="00D24E61" w:rsidRPr="00771368" w:rsidRDefault="00D24E61" w:rsidP="004D1F03">
      <w:pPr>
        <w:spacing w:line="360" w:lineRule="auto"/>
        <w:jc w:val="both"/>
      </w:pPr>
    </w:p>
    <w:p w:rsidR="00D24E61" w:rsidRPr="00771368" w:rsidRDefault="00D24E61" w:rsidP="004D1F03">
      <w:pPr>
        <w:spacing w:line="360" w:lineRule="auto"/>
        <w:jc w:val="both"/>
        <w:rPr>
          <w:sz w:val="24"/>
          <w:szCs w:val="24"/>
        </w:rPr>
      </w:pPr>
      <w:r w:rsidRPr="00771368">
        <w:rPr>
          <w:sz w:val="24"/>
          <w:szCs w:val="24"/>
        </w:rPr>
        <w:tab/>
        <w:t>Todas estas penitências de acordo com o autor eram empregadas para evitar o desperdício do sêmen, porque em época de Peste Negra, por exemplo, existia uma queda no índice demográfico, sendo a masturbação praticada impedia de certa forma que a procriação ocorresse, visto que o clero concluiu que a Peste era um castigo de Deus, por causa das faltas sexuais da humanidade.</w:t>
      </w:r>
    </w:p>
    <w:p w:rsidR="00D24E61" w:rsidRPr="00771368" w:rsidRDefault="00D24E61" w:rsidP="004D1F03">
      <w:pPr>
        <w:spacing w:line="360" w:lineRule="auto"/>
        <w:ind w:firstLine="708"/>
        <w:jc w:val="both"/>
        <w:rPr>
          <w:sz w:val="24"/>
          <w:szCs w:val="24"/>
        </w:rPr>
      </w:pPr>
      <w:r w:rsidRPr="00771368">
        <w:rPr>
          <w:sz w:val="24"/>
          <w:szCs w:val="24"/>
        </w:rPr>
        <w:t>Na Idade Média este termo foi erroneamente ligada a história do personagem bíblico Onã (Gn 38, 7-10) e por isso chamada de onanismo. O que não foi explicado é que o pecado de Onã estava em não ter obedecido a Deus no que se referia a lei de sucessão do seu tempo e não por ter derramado seu sêmen fora do “vaso natural” – a vagina. Para impedir que a masturbação se tornasse uma prática comum entre as pessoas a Igreja usou os discursos médicos para disseminar a idéia que “[...] poderia ainda ser persuadida de que o onanismo ataca a medula espinhal, amolece ou resseca o cérebro, ou então, em qualquer caso, faz a pessoa ficar doente.” (RANKE-HEINEMANN, 1999, p. 330).</w:t>
      </w:r>
    </w:p>
    <w:p w:rsidR="00D24E61" w:rsidRPr="00771368" w:rsidRDefault="00D24E61" w:rsidP="004D1F03">
      <w:pPr>
        <w:spacing w:line="360" w:lineRule="auto"/>
        <w:ind w:firstLine="708"/>
        <w:jc w:val="both"/>
        <w:rPr>
          <w:color w:val="FF0000"/>
          <w:sz w:val="24"/>
          <w:szCs w:val="24"/>
        </w:rPr>
      </w:pPr>
      <w:r w:rsidRPr="00771368">
        <w:rPr>
          <w:sz w:val="24"/>
          <w:szCs w:val="24"/>
        </w:rPr>
        <w:t>Assim sendo, o medo propositadamente incutido nas pessoas as levaria a não quererem praticar tal ato, sob pena de perderem a salvação e/ou a vida. Um dos motivos pelo qual a masturbação foi considerada pecado era o fato de esta prática tratar-se do derramamento do sêmen fora do “vaso natural” a vagina, impedindo assim a multiplicação da espécie.</w:t>
      </w:r>
    </w:p>
    <w:p w:rsidR="00D24E61" w:rsidRPr="00771368" w:rsidRDefault="00D24E61" w:rsidP="004D1F03">
      <w:pPr>
        <w:spacing w:line="360" w:lineRule="auto"/>
        <w:jc w:val="both"/>
        <w:rPr>
          <w:sz w:val="24"/>
          <w:szCs w:val="24"/>
        </w:rPr>
      </w:pPr>
      <w:r w:rsidRPr="00771368">
        <w:rPr>
          <w:sz w:val="24"/>
          <w:szCs w:val="24"/>
        </w:rPr>
        <w:tab/>
        <w:t>Até o século XIX, a discussão médica em torno da masturbação gerou um antagonismo de idéias, alguns médicos defendiam o discurso em que quando não era possível realizar o ato sexual a dois da forma natural como deveria acontecer, poder-se-ia se auto-estimular e assim obter prazer, enquanto outros como já foi dito afirmavam que a prática debilitava o organismo e por isso era preciso impedir a auto-estimulação sexual.</w:t>
      </w:r>
    </w:p>
    <w:p w:rsidR="00D24E61" w:rsidRPr="00771368" w:rsidRDefault="00D24E61" w:rsidP="004D1F03">
      <w:pPr>
        <w:spacing w:line="360" w:lineRule="auto"/>
        <w:ind w:firstLine="708"/>
        <w:jc w:val="both"/>
        <w:rPr>
          <w:sz w:val="24"/>
          <w:szCs w:val="24"/>
        </w:rPr>
      </w:pPr>
      <w:r w:rsidRPr="00771368">
        <w:rPr>
          <w:sz w:val="24"/>
          <w:szCs w:val="24"/>
        </w:rPr>
        <w:tab/>
        <w:t>Foi a partir do discurso na Idade Média que o onanismo, ou seja, a masturbação chegou ao século XIX vista como uma doença provocada por distúrbio sexual e que precisava ser tratada. Os meninos tiveram os bolsos de suas calças retirados para impedi-los que tocassem seu falo</w:t>
      </w:r>
      <w:r w:rsidRPr="00771368">
        <w:rPr>
          <w:rStyle w:val="Refdenotaderodap"/>
          <w:rFonts w:eastAsia="Calibri"/>
          <w:sz w:val="24"/>
          <w:szCs w:val="24"/>
        </w:rPr>
        <w:footnoteReference w:id="6"/>
      </w:r>
      <w:r w:rsidRPr="00771368">
        <w:rPr>
          <w:sz w:val="24"/>
          <w:szCs w:val="24"/>
        </w:rPr>
        <w:t xml:space="preserve"> sem que fossem logo vistos e as meninas tinham seu clitóris removido ou ressequido.Com a remoção ou ressequimento do clitóris que deveria acontecer o mais cedo (idade) possível as meninas não manifestariam uma excitação sexual e assim não praticariam a masturbação. Esta prática só foi interrompida no início do século XX quando “[...] Freud pôs um fim a essa espécie de mutilação em crianças em seus </w:t>
      </w:r>
      <w:r w:rsidRPr="00771368">
        <w:rPr>
          <w:i/>
          <w:sz w:val="24"/>
          <w:szCs w:val="24"/>
        </w:rPr>
        <w:t>Trêsensaios sobre a teoria da sexualidade</w:t>
      </w:r>
      <w:r w:rsidRPr="00771368">
        <w:rPr>
          <w:sz w:val="24"/>
          <w:szCs w:val="24"/>
        </w:rPr>
        <w:t>. [...]” (RANKE-HEINEMANN, 1999, p. 337). Isso não quer dizer que a teoria de Freud foi observada e colocada em prática e que a masturbação passou a ser aceita, o que a Igreja havia estabelecido para moralizar a sociedade e o medo de cometer o pecado do onanismo prevaleceu.</w:t>
      </w:r>
    </w:p>
    <w:p w:rsidR="00D24E61" w:rsidRPr="00771368" w:rsidRDefault="00D24E61" w:rsidP="00D24E61">
      <w:pPr>
        <w:spacing w:line="360" w:lineRule="auto"/>
        <w:rPr>
          <w:sz w:val="24"/>
          <w:szCs w:val="24"/>
        </w:rPr>
      </w:pPr>
      <w:r w:rsidRPr="00771368">
        <w:rPr>
          <w:sz w:val="24"/>
          <w:szCs w:val="24"/>
        </w:rPr>
        <w:tab/>
      </w:r>
    </w:p>
    <w:p w:rsidR="00D24E61" w:rsidRPr="00771368" w:rsidRDefault="00D24E61" w:rsidP="00FA0ABA">
      <w:pPr>
        <w:pStyle w:val="PargrafodaLista"/>
        <w:numPr>
          <w:ilvl w:val="0"/>
          <w:numId w:val="49"/>
        </w:numPr>
        <w:spacing w:line="360" w:lineRule="auto"/>
        <w:rPr>
          <w:rFonts w:ascii="Times New Roman" w:hAnsi="Times New Roman"/>
          <w:b/>
          <w:sz w:val="24"/>
          <w:szCs w:val="24"/>
        </w:rPr>
      </w:pPr>
      <w:r w:rsidRPr="00771368">
        <w:rPr>
          <w:rFonts w:ascii="Times New Roman" w:hAnsi="Times New Roman"/>
          <w:b/>
          <w:sz w:val="24"/>
          <w:szCs w:val="24"/>
        </w:rPr>
        <w:t xml:space="preserve">A VISÃO DA IGREJA E DA SOCIEDADE DO SÉCULO XIX SOBRE A CONTRACEPÇÃO E O ABORTO. </w:t>
      </w:r>
    </w:p>
    <w:p w:rsidR="00D24E61" w:rsidRPr="00771368" w:rsidRDefault="00D24E61" w:rsidP="004D1F03">
      <w:pPr>
        <w:spacing w:line="360" w:lineRule="auto"/>
        <w:jc w:val="both"/>
        <w:rPr>
          <w:sz w:val="24"/>
          <w:szCs w:val="24"/>
        </w:rPr>
      </w:pPr>
      <w:r w:rsidRPr="00771368">
        <w:rPr>
          <w:sz w:val="24"/>
          <w:szCs w:val="24"/>
        </w:rPr>
        <w:tab/>
        <w:t>Sabe-se que na Idade Média o corpo do ser humano é vistoao mesmo tempo como um lugar, onde pecado e retidão, paradoxalmente se fazem presente. De um lado o cristianismo o reprime principalmente no que se refere ao prazer sexual e por outro lado, este mesmo corpo é santificado, a exemplo do corpo de Jesus Cristo, que segundo o cristianismo foi flagelado e crucificado pela salvação da humanidade, sendo assim, não era permitido o uso do corpo de maneira que o levasse ao prazer desmedido. E como no campo da sexualidade este corpo normatizado e “cuidado” deveria obedecer a lei da natureza e procriar “[...] ‘O marido é proprietário do corpo da mulher, ele tem direito de posse sobre ela’ [...] Toda tentativa contraceptiva é pecado mortal para os teólogos. [...]” (LE GOFF e TRUONG, 2012, p. 42). Assim o discurso cristão no medievo determinou os atos que poderiam ser praticados pela humanidade diabolizando o corpo da mulher, visto que esta era culpada pelo pecado original.</w:t>
      </w:r>
    </w:p>
    <w:p w:rsidR="00D24E61" w:rsidRPr="00771368" w:rsidRDefault="00D24E61" w:rsidP="004D1F03">
      <w:pPr>
        <w:spacing w:line="360" w:lineRule="auto"/>
        <w:jc w:val="both"/>
        <w:rPr>
          <w:sz w:val="24"/>
          <w:szCs w:val="24"/>
        </w:rPr>
      </w:pPr>
      <w:r w:rsidRPr="00771368">
        <w:rPr>
          <w:sz w:val="24"/>
          <w:szCs w:val="24"/>
        </w:rPr>
        <w:tab/>
        <w:t xml:space="preserve">Desde a Idade Média as mulheres já buscavam meios para não engravidarem ou para abortar o filho indesejado. Assim, de acordo com Richards (1993), o sexo foi normatizado para ser praticado dentro do casamento, exatamente para que a procriação, que era o principal objetivo da relação sexual, acontecesse, do contrário era pecado grave fazer uso de meios para impedir a gestação e/ou abortar o fruto de uma relação fosse esta consentida ou não. </w:t>
      </w:r>
    </w:p>
    <w:p w:rsidR="00D24E61" w:rsidRPr="00771368" w:rsidRDefault="00D24E61" w:rsidP="004D1F03">
      <w:pPr>
        <w:spacing w:line="360" w:lineRule="auto"/>
        <w:jc w:val="both"/>
        <w:rPr>
          <w:sz w:val="24"/>
          <w:szCs w:val="24"/>
        </w:rPr>
      </w:pPr>
      <w:r w:rsidRPr="00771368">
        <w:rPr>
          <w:sz w:val="24"/>
          <w:szCs w:val="24"/>
        </w:rPr>
        <w:tab/>
        <w:t>De acordo com Ranke-Heinemann (1999), os cristãos primitivos eram mais livres com a questão do controle da natalidade. Santo Agostinho foi um dos teólogos que condenou a contracepção. O pecado da contracepção estava no fato de impedir a procriação, já que a Igreja havia determinado que a relação sexual somente seria permitida se o objetivo fosse efetivamente cumprido e um novo ser fosse gerado. Padres como Cesário</w:t>
      </w:r>
      <w:r w:rsidRPr="00771368">
        <w:rPr>
          <w:rStyle w:val="Refdenotaderodap"/>
          <w:rFonts w:eastAsia="Calibri"/>
          <w:sz w:val="24"/>
          <w:szCs w:val="24"/>
        </w:rPr>
        <w:footnoteReference w:id="7"/>
      </w:r>
      <w:r w:rsidRPr="00771368">
        <w:rPr>
          <w:sz w:val="24"/>
          <w:szCs w:val="24"/>
        </w:rPr>
        <w:t>, por exemplo, em seus sermões, orientava as mulheres que se não quisessem ter filhosvivessem uma vida casta e se casadas fossem viverem continência em comum acordo com o marido. A mulher não poderia desobedecer a lei da natureza e impedir, com o uso de nenhum método, a geração de uma nova vida. Para aquelas que desobedeciam as ordens eclesiais e praticavam a contracepção e o aborto, Martinho, arcebispo de Braga na Espanha em 580, prescreveu:</w:t>
      </w:r>
    </w:p>
    <w:p w:rsidR="00D24E61" w:rsidRPr="00771368" w:rsidRDefault="00D24E61" w:rsidP="00D24E61">
      <w:pPr>
        <w:spacing w:line="360" w:lineRule="auto"/>
        <w:rPr>
          <w:sz w:val="24"/>
          <w:szCs w:val="24"/>
        </w:rPr>
      </w:pPr>
    </w:p>
    <w:p w:rsidR="00D24E61" w:rsidRPr="00771368" w:rsidRDefault="00D24E61" w:rsidP="00D24E61">
      <w:pPr>
        <w:pStyle w:val="SemEspaamento"/>
        <w:ind w:left="2268"/>
        <w:jc w:val="both"/>
        <w:rPr>
          <w:rFonts w:ascii="Times New Roman" w:hAnsi="Times New Roman"/>
          <w:i/>
        </w:rPr>
      </w:pPr>
      <w:r w:rsidRPr="00771368">
        <w:rPr>
          <w:rFonts w:ascii="Times New Roman" w:hAnsi="Times New Roman"/>
          <w:i/>
        </w:rPr>
        <w:t>[...] dez anos de penitência pela prática da contracepção. Equiparava a contracepção ao infanticídio: ‘Quando a mulher cometeu fornicação e depois matou a criança dela resultante, ou quando tentou o aborto e também tentou matar o que concebera, ou quando tomou precauções para que não concebesse, quer tenha feito isso em adultério ou no casamento legítimo, os primeiros cânones estipulam que tal mulher não pode receber a comunhão até que esteja no leito de morte. Mas por compaixão decidimos que essa e outras mulheres cúmplices no crime, devem ser submetidas a dez anos de penitência eclesiástica’. [...] (RANKE-HEINEMANN, 1999, p. 161)</w:t>
      </w:r>
    </w:p>
    <w:p w:rsidR="00D24E61" w:rsidRPr="00771368" w:rsidRDefault="00D24E61" w:rsidP="00D24E61">
      <w:pPr>
        <w:spacing w:line="360" w:lineRule="auto"/>
        <w:rPr>
          <w:sz w:val="24"/>
          <w:szCs w:val="24"/>
        </w:rPr>
      </w:pPr>
    </w:p>
    <w:p w:rsidR="00D24E61" w:rsidRPr="00771368" w:rsidRDefault="00D24E61" w:rsidP="004D1F03">
      <w:pPr>
        <w:spacing w:line="360" w:lineRule="auto"/>
        <w:jc w:val="both"/>
        <w:rPr>
          <w:sz w:val="24"/>
          <w:szCs w:val="24"/>
        </w:rPr>
      </w:pPr>
      <w:r w:rsidRPr="00771368">
        <w:rPr>
          <w:sz w:val="24"/>
          <w:szCs w:val="24"/>
        </w:rPr>
        <w:tab/>
        <w:t>Sendo assim, as mulheres viram-se obrigadas a obedecerem ou seriam penitenciadas. De acordo com os penitenciais</w:t>
      </w:r>
      <w:r w:rsidRPr="00771368">
        <w:rPr>
          <w:rStyle w:val="Refdenotaderodap"/>
          <w:rFonts w:eastAsia="Calibri"/>
          <w:sz w:val="24"/>
          <w:szCs w:val="24"/>
        </w:rPr>
        <w:footnoteReference w:id="8"/>
      </w:r>
      <w:r w:rsidRPr="00771368">
        <w:rPr>
          <w:sz w:val="24"/>
          <w:szCs w:val="24"/>
        </w:rPr>
        <w:t xml:space="preserve"> a contracepção era um pecado grave e mortal. A Igreja condenava não somente as poções para impedir a procriação, mas também as posições para o coito em que serviriam como método contraceptivo, por exemplo, a relação anal, oral e o coito interrompido. Muitas vezes estas práticas eram punidas mais rigorosamente do que o próprio aborto.</w:t>
      </w:r>
    </w:p>
    <w:p w:rsidR="00D24E61" w:rsidRPr="00771368" w:rsidRDefault="00D24E61" w:rsidP="004D1F03">
      <w:pPr>
        <w:spacing w:line="360" w:lineRule="auto"/>
        <w:ind w:firstLine="708"/>
        <w:jc w:val="both"/>
        <w:rPr>
          <w:sz w:val="24"/>
          <w:szCs w:val="24"/>
        </w:rPr>
      </w:pPr>
      <w:r w:rsidRPr="00771368">
        <w:rPr>
          <w:sz w:val="24"/>
          <w:szCs w:val="24"/>
        </w:rPr>
        <w:t>Para saber se os cônjuges tinham cometido tais pecados, as confissões eram os métodos mais eficazes, confessado o pecado era dada a penitência. No confessionário perguntava-se, por exemplo, “[...] ‘Copulaste com tua esposa ou com outra mulher por trás, como cães? Em caso afirmativo, então dez dias de penitência a pão e água.’ [...]” (RANKE-HEINEMANN, 1999, p. 163). Dessa forma, qualquer que fosse a maneira em que a copulação acontecesse e a concepção não ocorressem, era pecado e por isso copular com a mulher grávida, menstruada, dentre outros, corria-se o risco de pagar com penitências a pão e água. O tempo da penitência variava de acordo com a gravidade do pecado cometido.</w:t>
      </w:r>
    </w:p>
    <w:p w:rsidR="00D24E61" w:rsidRPr="00771368" w:rsidRDefault="00D24E61" w:rsidP="004D1F03">
      <w:pPr>
        <w:spacing w:line="360" w:lineRule="auto"/>
        <w:jc w:val="both"/>
        <w:rPr>
          <w:sz w:val="24"/>
          <w:szCs w:val="24"/>
        </w:rPr>
      </w:pPr>
      <w:r w:rsidRPr="00771368">
        <w:rPr>
          <w:sz w:val="24"/>
          <w:szCs w:val="24"/>
        </w:rPr>
        <w:tab/>
        <w:t>Nesse contexto, em que os teólogos normatizaram e regraram a vida sexual entre os cônjuges, perceber-se-á porque a relação sexual anal e oral foi rodeada de proibições e de tabus, visto que essas duas formas de relacionamento sexual impedem a procriação e servem como métodos contraceptivos.</w:t>
      </w:r>
    </w:p>
    <w:p w:rsidR="00D24E61" w:rsidRPr="00771368" w:rsidRDefault="00D24E61" w:rsidP="004D1F03">
      <w:pPr>
        <w:spacing w:line="360" w:lineRule="auto"/>
        <w:jc w:val="both"/>
        <w:rPr>
          <w:sz w:val="24"/>
          <w:szCs w:val="24"/>
        </w:rPr>
      </w:pPr>
      <w:r w:rsidRPr="00771368">
        <w:rPr>
          <w:sz w:val="24"/>
          <w:szCs w:val="24"/>
        </w:rPr>
        <w:tab/>
        <w:t xml:space="preserve">Um dos métodos que os casais usam hoje como método contraceptivo é a camisinha, em que Ranke-Heinemann (1999) relata que a camisinha foi inventada por volta do século XVII, mas seu uso somente foi popularizado em 1843, ou seja, século XIX. A Igreja logo se colocou contra o uso da camisinha e tratou de normatizar orientando as mulheres a não permitirem a relação com a camisinha e quando Roma foi indagada a respeito de tal método respondeu: </w:t>
      </w:r>
    </w:p>
    <w:p w:rsidR="00D24E61" w:rsidRPr="00771368" w:rsidRDefault="00D24E61" w:rsidP="004D1F03">
      <w:pPr>
        <w:spacing w:line="360" w:lineRule="auto"/>
        <w:jc w:val="both"/>
        <w:rPr>
          <w:sz w:val="24"/>
          <w:szCs w:val="24"/>
        </w:rPr>
      </w:pPr>
    </w:p>
    <w:p w:rsidR="00D24E61" w:rsidRPr="00771368" w:rsidRDefault="00D24E61" w:rsidP="004D1F03">
      <w:pPr>
        <w:pStyle w:val="SemEspaamento"/>
        <w:ind w:left="2268"/>
        <w:jc w:val="both"/>
        <w:rPr>
          <w:rFonts w:ascii="Times New Roman" w:hAnsi="Times New Roman"/>
          <w:i/>
        </w:rPr>
      </w:pPr>
      <w:r w:rsidRPr="00771368">
        <w:rPr>
          <w:rFonts w:ascii="Times New Roman" w:hAnsi="Times New Roman"/>
          <w:i/>
        </w:rPr>
        <w:t>Em 1853, pela primeira vez, Roma emitiu uma resposta sobre o uso de camisinhas. A pergunta era: ‘A mulher pode ceder passivamente a esse tipo de relação sexual?’ A resposta: Não. Assim, se houvesse perigo de morte, ela poderia se submeter ao sexo interrompido, mas evidentemente não ao sexo com camisinha. [...] (RANKE-HEINEMANN, 1999, p. 304)</w:t>
      </w:r>
    </w:p>
    <w:p w:rsidR="00D24E61" w:rsidRPr="00771368" w:rsidRDefault="00D24E61" w:rsidP="00D24E61">
      <w:pPr>
        <w:spacing w:line="360" w:lineRule="auto"/>
        <w:rPr>
          <w:sz w:val="24"/>
          <w:szCs w:val="24"/>
        </w:rPr>
      </w:pPr>
    </w:p>
    <w:p w:rsidR="00D24E61" w:rsidRPr="00771368" w:rsidRDefault="00D24E61" w:rsidP="004D1F03">
      <w:pPr>
        <w:spacing w:line="360" w:lineRule="auto"/>
        <w:jc w:val="both"/>
        <w:rPr>
          <w:sz w:val="24"/>
          <w:szCs w:val="24"/>
        </w:rPr>
      </w:pPr>
      <w:r w:rsidRPr="00771368">
        <w:rPr>
          <w:sz w:val="24"/>
          <w:szCs w:val="24"/>
        </w:rPr>
        <w:tab/>
        <w:t>Sendo assim, a camisinha também foi proibida. A Igreja continuou implacável, de acordo com a autora, na luta contra os métodos contraceptivos, que foram comparados ao aborto em sua gravidade. A mesma relata que a um hemofílico</w:t>
      </w:r>
      <w:r w:rsidRPr="00771368">
        <w:rPr>
          <w:rStyle w:val="Refdenotaderodap"/>
          <w:rFonts w:eastAsia="Calibri"/>
          <w:sz w:val="24"/>
          <w:szCs w:val="24"/>
        </w:rPr>
        <w:footnoteReference w:id="9"/>
      </w:r>
      <w:r w:rsidRPr="00771368">
        <w:rPr>
          <w:sz w:val="24"/>
          <w:szCs w:val="24"/>
        </w:rPr>
        <w:t>, foi proibido pelo Papa Paulo VI manter relações com a esposa e se não conseguisse resistir, melhor que a contaminasse, porque Deus proibiu o uso da camisinha, assim “[...] A moralidade sexual católica transformou-se numa moralidade de horror.” (RANKE-HEINEMANN, 1999, p. 316).</w:t>
      </w:r>
    </w:p>
    <w:p w:rsidR="00D24E61" w:rsidRPr="00771368" w:rsidRDefault="00D24E61" w:rsidP="004D1F03">
      <w:pPr>
        <w:spacing w:line="360" w:lineRule="auto"/>
        <w:jc w:val="both"/>
        <w:rPr>
          <w:sz w:val="24"/>
          <w:szCs w:val="24"/>
        </w:rPr>
      </w:pPr>
      <w:r w:rsidRPr="00771368">
        <w:rPr>
          <w:sz w:val="24"/>
          <w:szCs w:val="24"/>
        </w:rPr>
        <w:tab/>
        <w:t>Com o aborto as proibições, perseguições e imposições pela Igreja e pela sociedade não foram diferentes. Sabe-se inclusive que a prática do aborto ocorreu desde a Antiguidade e que entre os romanos tal prática era comum, mas o cristianismo adotou dos judeus a noção de pecado em ralação ao aborto. De acordo com Ranke-Heinemann (1999), por vários séculos as mulheres foram vítimas do discurso cristão, que proíbe e pune o aborto. Esta, sendo uma prática que se arrasta desde a Antiguidade, passando pela Idade Média, mas foi no século XIX que foi combatida mais ativamente pelos teólogos católicos.Desde o século IV, o discurso para saber em que momento o embrião adquire alma vem sendo transformado em debate entre teólogos e médicos. Alguns padres da Igreja, como Basílio Magno e Gregório de Nissa, por exemplo, defendiam a idéia de que o embrião recebia a alma no ato da concepção e que era infundida no útero junto com o sêmen. Tomás de Aquino defendia a teoria de que o embrião masculino recebia a alma por volta do quadragésimo dia de gestação e o feminino no octogésimo. Como se vê mesmo na questão do momento da aquisição da alma a mulher é inferiorizada. Até este momento de acordo com Priore (2011) havia certa tolerância em relação ao aborto, porque a alma só passava a existir depois de quarenta ou oitenta dias.</w:t>
      </w:r>
    </w:p>
    <w:p w:rsidR="00D24E61" w:rsidRPr="00771368" w:rsidRDefault="00D24E61" w:rsidP="004D1F03">
      <w:pPr>
        <w:spacing w:line="360" w:lineRule="auto"/>
        <w:jc w:val="both"/>
        <w:rPr>
          <w:sz w:val="24"/>
          <w:szCs w:val="24"/>
        </w:rPr>
      </w:pPr>
      <w:r w:rsidRPr="00771368">
        <w:rPr>
          <w:sz w:val="24"/>
          <w:szCs w:val="24"/>
        </w:rPr>
        <w:t>Foi a partir do século XIX que a idéia em que a aquisição da alma ocorre no momento exato da concepção foi difundida o que acirrou ainda mais a proibição ao aborto, visto que com esta prática independente do momento se no início, meio ou fim da gestação estar-se-ia cometendo assassinato de uma nova vida.</w:t>
      </w:r>
    </w:p>
    <w:p w:rsidR="00D24E61" w:rsidRPr="00771368" w:rsidRDefault="00D24E61" w:rsidP="004D1F03">
      <w:pPr>
        <w:spacing w:line="360" w:lineRule="auto"/>
        <w:jc w:val="both"/>
        <w:rPr>
          <w:sz w:val="24"/>
          <w:szCs w:val="24"/>
        </w:rPr>
      </w:pPr>
      <w:r w:rsidRPr="00771368">
        <w:rPr>
          <w:sz w:val="24"/>
          <w:szCs w:val="24"/>
        </w:rPr>
        <w:tab/>
        <w:t>Quando no século XIX se tratava do aborto involuntário, os medicamentos e poções eram usados na expulsão do feto que já não tinha vida e neste caso Igreja e medicina toleravam a manipulação de tais medicamentos. A vida conjugal normatizada pela Igreja e pela sociedade era aquela em que o “crescei e multiplicai-vos” era obedecido pelos cônjugese qualquer medida e/ou comportamento que fugisse a esta norma era considerado transgressão e por isso “[...] Apenas no casamento a mulher estaria a salvo de tantos preconceitos, fugindo às consequências do sistema binário católico-cristão, dentro do qual concepção e aborto se opunham. [...]” (PRIORE, 2009, p. 261). Portanto, a mulher foi submetida a um discurso cristão, misógino de tal forma que chegou ao século XIX dependente de pai, irmão e marido impedida de tomar suas próprias decisões e quando o fazia era vista com preconceito.</w:t>
      </w:r>
    </w:p>
    <w:p w:rsidR="00D24E61" w:rsidRPr="00771368" w:rsidRDefault="00D24E61" w:rsidP="00D24E61">
      <w:pPr>
        <w:rPr>
          <w:sz w:val="24"/>
          <w:szCs w:val="24"/>
        </w:rPr>
      </w:pPr>
    </w:p>
    <w:p w:rsidR="00D24E61" w:rsidRPr="00771368" w:rsidRDefault="00D24E61" w:rsidP="00D24E61">
      <w:pPr>
        <w:spacing w:line="360" w:lineRule="auto"/>
        <w:rPr>
          <w:sz w:val="24"/>
          <w:szCs w:val="24"/>
        </w:rPr>
      </w:pPr>
    </w:p>
    <w:p w:rsidR="00D24E61" w:rsidRPr="00771368" w:rsidRDefault="00D24E61" w:rsidP="00FA0ABA">
      <w:pPr>
        <w:pStyle w:val="PargrafodaLista"/>
        <w:numPr>
          <w:ilvl w:val="0"/>
          <w:numId w:val="49"/>
        </w:numPr>
        <w:spacing w:line="360" w:lineRule="auto"/>
        <w:rPr>
          <w:rFonts w:ascii="Times New Roman" w:hAnsi="Times New Roman"/>
          <w:b/>
          <w:sz w:val="24"/>
          <w:szCs w:val="24"/>
        </w:rPr>
      </w:pPr>
      <w:r w:rsidRPr="00771368">
        <w:rPr>
          <w:rFonts w:ascii="Times New Roman" w:hAnsi="Times New Roman"/>
          <w:b/>
          <w:sz w:val="24"/>
          <w:szCs w:val="24"/>
        </w:rPr>
        <w:t>CONSIDERAÇÕES FINAIS</w:t>
      </w:r>
    </w:p>
    <w:p w:rsidR="00D24E61" w:rsidRPr="00771368" w:rsidRDefault="00D24E61" w:rsidP="004D1F03">
      <w:pPr>
        <w:spacing w:line="360" w:lineRule="auto"/>
        <w:jc w:val="both"/>
        <w:rPr>
          <w:sz w:val="24"/>
          <w:szCs w:val="24"/>
        </w:rPr>
      </w:pPr>
      <w:r w:rsidRPr="00771368">
        <w:rPr>
          <w:sz w:val="24"/>
          <w:szCs w:val="24"/>
        </w:rPr>
        <w:tab/>
        <w:t>Este trabalho que foi desenvolvido com o objetivo de analisar o discurso da Igreja Católica que determina o comportamento sexual feminino e refletir sobre as frustrações causadas pelos tabus, preconceitos e repressões em torno deste discurso no Brasil, no decorrer dos séculos XIX, fundamentado nos discursos dos teólogos da Idade Média, pois foi neste período que a Igreja lançou as bases da moral para a sociedade.</w:t>
      </w:r>
    </w:p>
    <w:p w:rsidR="00D24E61" w:rsidRPr="00771368" w:rsidRDefault="00D24E61" w:rsidP="007C4DF0">
      <w:pPr>
        <w:spacing w:line="360" w:lineRule="auto"/>
        <w:jc w:val="both"/>
        <w:rPr>
          <w:sz w:val="24"/>
          <w:szCs w:val="24"/>
        </w:rPr>
      </w:pPr>
      <w:r w:rsidRPr="00771368">
        <w:rPr>
          <w:sz w:val="24"/>
          <w:szCs w:val="24"/>
        </w:rPr>
        <w:tab/>
        <w:t>O tema, a marca do discurso da igreja católica na sexualidade feminina do século XIX: virgindade, masturbação, contracepção e aborto, mostra o quanto as mulheres foram submetidas a estes discursos, sendo impedidas de viverem de maneira natural sua sexualidade, de escolherem se quereriam ou não ter filhos. A Igreja determinava inclusive as posições “naturais” que os cônjuges deveriam fazer uso para se relacionarem. As mulheres não eram donas do próprio corpo e nem da própria vontade. Para elas toda forma de prazer era negada e ainda eram vistas anormais ou transgressoras quando em algum momento, ou determinada situação se negaram a obedecer a esta moral elaborada e imposta por um grupo de homens misóginos. As mulheres até o século XIX viviam numa submissão total ao pai, ao irmão ou ao marido, não podiam trabalhar adquirir conhecimento através do estudo, estavam sujeitas ao casamento que foi uma maneira que a Igreja adotou para normatizar e obter controle social.</w:t>
      </w:r>
    </w:p>
    <w:p w:rsidR="00D24E61" w:rsidRPr="00771368" w:rsidRDefault="00D24E61" w:rsidP="007C4DF0">
      <w:pPr>
        <w:spacing w:line="360" w:lineRule="auto"/>
        <w:jc w:val="both"/>
        <w:rPr>
          <w:sz w:val="24"/>
          <w:szCs w:val="24"/>
        </w:rPr>
      </w:pPr>
      <w:r w:rsidRPr="00771368">
        <w:rPr>
          <w:sz w:val="24"/>
          <w:szCs w:val="24"/>
        </w:rPr>
        <w:tab/>
        <w:t>Assim sendo, todo este discurso fez com que por muitos anos as mulheres estivessem banidas do convívio intelectual, não podendo opinar nem se expressar, tendo que obedecer a todas as normas imposta.</w:t>
      </w:r>
    </w:p>
    <w:p w:rsidR="00D24E61" w:rsidRPr="00771368" w:rsidRDefault="00D24E61" w:rsidP="00D24E61">
      <w:pPr>
        <w:spacing w:line="360" w:lineRule="auto"/>
        <w:rPr>
          <w:b/>
          <w:sz w:val="24"/>
          <w:szCs w:val="24"/>
        </w:rPr>
      </w:pPr>
    </w:p>
    <w:p w:rsidR="00D24E61" w:rsidRPr="00771368" w:rsidRDefault="00D24E61" w:rsidP="00FA0ABA">
      <w:pPr>
        <w:pStyle w:val="PargrafodaLista"/>
        <w:numPr>
          <w:ilvl w:val="0"/>
          <w:numId w:val="49"/>
        </w:numPr>
        <w:spacing w:line="360" w:lineRule="auto"/>
        <w:rPr>
          <w:rFonts w:ascii="Times New Roman" w:hAnsi="Times New Roman"/>
          <w:b/>
          <w:sz w:val="24"/>
          <w:szCs w:val="24"/>
        </w:rPr>
      </w:pPr>
      <w:r w:rsidRPr="00771368">
        <w:rPr>
          <w:rFonts w:ascii="Times New Roman" w:hAnsi="Times New Roman"/>
          <w:b/>
          <w:sz w:val="24"/>
          <w:szCs w:val="24"/>
        </w:rPr>
        <w:t xml:space="preserve"> METODOLOGIA</w:t>
      </w:r>
    </w:p>
    <w:p w:rsidR="00D24E61" w:rsidRPr="00771368" w:rsidRDefault="00D24E61" w:rsidP="007C4DF0">
      <w:pPr>
        <w:spacing w:line="360" w:lineRule="auto"/>
        <w:ind w:firstLine="708"/>
        <w:jc w:val="both"/>
        <w:rPr>
          <w:sz w:val="24"/>
          <w:szCs w:val="24"/>
        </w:rPr>
      </w:pPr>
      <w:r w:rsidRPr="00771368">
        <w:rPr>
          <w:sz w:val="24"/>
          <w:szCs w:val="24"/>
        </w:rPr>
        <w:t xml:space="preserve">O processo para a construção deste trabalho teve início com análises bibliográficas, traz como tema: A marca do discurso da igreja católica na sexualidade feminina do século XIX: virgindade, masturbação, contracepção e aborto. Portanto, analisa o discurso da Igreja Católica que determina o comportamento sexual feminino e refletir sobre as frustrações causadas pelos tabus, preconceitos e repressões em torno deste discurso no Brasil, no decorrer do século XIX. </w:t>
      </w:r>
    </w:p>
    <w:p w:rsidR="00D24E61" w:rsidRPr="00771368" w:rsidRDefault="00D24E61" w:rsidP="007C4DF0">
      <w:pPr>
        <w:spacing w:line="360" w:lineRule="auto"/>
        <w:jc w:val="both"/>
        <w:rPr>
          <w:sz w:val="24"/>
          <w:szCs w:val="24"/>
        </w:rPr>
      </w:pPr>
      <w:r w:rsidRPr="00771368">
        <w:rPr>
          <w:sz w:val="24"/>
          <w:szCs w:val="24"/>
        </w:rPr>
        <w:tab/>
        <w:t>O presente trabalho inicia com a análise do discurso cristão da Idade Média com base principalmente na obra de Uta Ranke-Heinemann: Eunucos pelo reino de Deus, mulheres, sexualidade e a Igreja Católica; Mary Del Priore: Histórias íntimas, História do amor no Brasil; Jeffrey Richards: Sexo, desvio e danação, dentre outros. A presente análise fundamenta-se na Idade Média porque foi neste período histórico que o cristianismo se firmou como religião oficial de Roma e aos poucos foi ditando as normas para a convivência social, sendo que as mulheres por serem consideradas inferiores foram as mais moralizadas.Durante a Idade Média a mulher foi vista apenas como um ornamento da casa e que estava ali apenas para suprir as necessidades conjugais do marido, da natureza, no sentido da procriação.</w:t>
      </w:r>
    </w:p>
    <w:p w:rsidR="00D24E61" w:rsidRPr="00771368" w:rsidRDefault="00D24E61"/>
    <w:p w:rsidR="00D24E61" w:rsidRPr="00771368" w:rsidRDefault="00D24E61"/>
    <w:p w:rsidR="00D24E61" w:rsidRPr="00771368" w:rsidRDefault="00D24E61" w:rsidP="00D24E61">
      <w:pPr>
        <w:spacing w:line="360" w:lineRule="auto"/>
        <w:jc w:val="center"/>
      </w:pPr>
    </w:p>
    <w:p w:rsidR="00D24E61" w:rsidRPr="00771368" w:rsidRDefault="00D24E61" w:rsidP="00FA0ABA">
      <w:pPr>
        <w:pStyle w:val="PargrafodaLista"/>
        <w:numPr>
          <w:ilvl w:val="0"/>
          <w:numId w:val="49"/>
        </w:numPr>
        <w:spacing w:line="360" w:lineRule="auto"/>
        <w:rPr>
          <w:rFonts w:ascii="Times New Roman" w:hAnsi="Times New Roman"/>
          <w:b/>
          <w:sz w:val="24"/>
          <w:szCs w:val="24"/>
        </w:rPr>
      </w:pPr>
      <w:r w:rsidRPr="00771368">
        <w:rPr>
          <w:rFonts w:ascii="Times New Roman" w:hAnsi="Times New Roman"/>
          <w:b/>
          <w:sz w:val="24"/>
          <w:szCs w:val="24"/>
        </w:rPr>
        <w:t>REFERÊNCIAS</w:t>
      </w: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CARMO, Paulo Sérgio do. </w:t>
      </w:r>
      <w:r w:rsidRPr="00771368">
        <w:rPr>
          <w:b/>
          <w:sz w:val="24"/>
          <w:szCs w:val="24"/>
        </w:rPr>
        <w:t>Entre a luxúria e o pudor</w:t>
      </w:r>
      <w:r w:rsidRPr="00771368">
        <w:rPr>
          <w:sz w:val="24"/>
          <w:szCs w:val="24"/>
        </w:rPr>
        <w:t>: a história do sexo no Brasil. São Paulo: Octavo, 2011.</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DEL PRIORE. </w:t>
      </w:r>
      <w:r w:rsidRPr="00771368">
        <w:rPr>
          <w:b/>
          <w:sz w:val="24"/>
          <w:szCs w:val="24"/>
        </w:rPr>
        <w:t>Histórias Íntimas</w:t>
      </w:r>
      <w:r w:rsidRPr="00771368">
        <w:rPr>
          <w:sz w:val="24"/>
          <w:szCs w:val="24"/>
        </w:rPr>
        <w:t>: sexualidade e erotismo na história do Brasil. São Paulo: Planeta do Brasil, 2011.</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______. </w:t>
      </w:r>
      <w:r w:rsidRPr="00771368">
        <w:rPr>
          <w:b/>
          <w:sz w:val="24"/>
          <w:szCs w:val="24"/>
        </w:rPr>
        <w:t>A mulher na História do Brasil</w:t>
      </w:r>
      <w:r w:rsidRPr="00771368">
        <w:rPr>
          <w:sz w:val="24"/>
          <w:szCs w:val="24"/>
        </w:rPr>
        <w:t>. 4ª Ed. São Paulo: Contexto, 1994.</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______. </w:t>
      </w:r>
      <w:r w:rsidRPr="00771368">
        <w:rPr>
          <w:b/>
          <w:sz w:val="24"/>
          <w:szCs w:val="24"/>
        </w:rPr>
        <w:t>Ao sul do corpo</w:t>
      </w:r>
      <w:r w:rsidRPr="00771368">
        <w:rPr>
          <w:sz w:val="24"/>
          <w:szCs w:val="24"/>
        </w:rPr>
        <w:t>: Condição feminina, maternidades e mentalidades no Brasil Colônia. São Paulo: UNESP, 2009.</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______.</w:t>
      </w:r>
      <w:r w:rsidRPr="00771368">
        <w:rPr>
          <w:b/>
          <w:sz w:val="24"/>
          <w:szCs w:val="24"/>
        </w:rPr>
        <w:t xml:space="preserve"> História do amor no Brasil</w:t>
      </w:r>
      <w:r w:rsidRPr="00771368">
        <w:rPr>
          <w:sz w:val="24"/>
          <w:szCs w:val="24"/>
        </w:rPr>
        <w:t>. 3. ed. São Paulo: Contexto, 2012.</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D’INCAO, Maria Ângela. Mulher e família burguesa. In: PRIORE, Mary Del. </w:t>
      </w:r>
      <w:r w:rsidRPr="00771368">
        <w:rPr>
          <w:b/>
          <w:sz w:val="24"/>
          <w:szCs w:val="24"/>
        </w:rPr>
        <w:t>História das mulheres no Brasil.</w:t>
      </w:r>
      <w:r w:rsidRPr="00771368">
        <w:rPr>
          <w:sz w:val="24"/>
          <w:szCs w:val="24"/>
        </w:rPr>
        <w:t xml:space="preserve"> 10. ed., 1ª reimpressão. São Paulo: Contexto, 2011.</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ENGEL, Magali. Psiquiatria e feminilidade. In: DEL PRIORE, Mary. </w:t>
      </w:r>
      <w:r w:rsidRPr="00771368">
        <w:rPr>
          <w:b/>
          <w:sz w:val="24"/>
          <w:szCs w:val="24"/>
        </w:rPr>
        <w:t>História das mulheres no Brasil.</w:t>
      </w:r>
      <w:r w:rsidRPr="00771368">
        <w:rPr>
          <w:sz w:val="24"/>
          <w:szCs w:val="24"/>
        </w:rPr>
        <w:t xml:space="preserve"> 10. ed., 1ª reimpressão. São Paulo: Contexto, 2011.</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FOUCAULT, Michel. </w:t>
      </w:r>
      <w:r w:rsidRPr="00771368">
        <w:rPr>
          <w:b/>
          <w:sz w:val="24"/>
          <w:szCs w:val="24"/>
        </w:rPr>
        <w:t>Os anormais</w:t>
      </w:r>
      <w:r w:rsidRPr="00771368">
        <w:rPr>
          <w:sz w:val="24"/>
          <w:szCs w:val="24"/>
        </w:rPr>
        <w:t>. São Paulo: Martins Fontes, 2001.</w:t>
      </w: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________________. </w:t>
      </w:r>
      <w:r w:rsidRPr="00771368">
        <w:rPr>
          <w:b/>
          <w:sz w:val="24"/>
          <w:szCs w:val="24"/>
        </w:rPr>
        <w:t>História da sexualidade I</w:t>
      </w:r>
      <w:r w:rsidRPr="00771368">
        <w:rPr>
          <w:sz w:val="24"/>
          <w:szCs w:val="24"/>
        </w:rPr>
        <w:t>: A vontade de saber. Rio de Janeiro: Graal, 1988</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LE GOFF, Jacques e TRUONG, Nicolas. </w:t>
      </w:r>
      <w:r w:rsidRPr="00771368">
        <w:rPr>
          <w:b/>
          <w:sz w:val="24"/>
          <w:szCs w:val="24"/>
        </w:rPr>
        <w:t>Uma História do corpo na Idade Média</w:t>
      </w:r>
      <w:r w:rsidRPr="00771368">
        <w:rPr>
          <w:sz w:val="24"/>
          <w:szCs w:val="24"/>
        </w:rPr>
        <w:t>. 4ª ed. Rio de Janeiro: Civilização Brasileira, 2012.</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MALUF, Marina; MOTT, Maria Lúcia. Recônditos do mundo feminino. In: SEVENKO, Nicolau (org.). </w:t>
      </w:r>
      <w:r w:rsidRPr="00771368">
        <w:rPr>
          <w:b/>
          <w:sz w:val="24"/>
          <w:szCs w:val="24"/>
        </w:rPr>
        <w:t>História da vida privada no Brasil 3</w:t>
      </w:r>
      <w:r w:rsidRPr="00771368">
        <w:rPr>
          <w:sz w:val="24"/>
          <w:szCs w:val="24"/>
        </w:rPr>
        <w:t>. São Paulo: Companhia das Letras, 1998. p. 367-421.</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PRADO JUNIOR, Hilário. </w:t>
      </w:r>
      <w:r w:rsidRPr="00771368">
        <w:rPr>
          <w:b/>
          <w:sz w:val="24"/>
          <w:szCs w:val="24"/>
        </w:rPr>
        <w:t>A Idade Média</w:t>
      </w:r>
      <w:r w:rsidRPr="00771368">
        <w:rPr>
          <w:sz w:val="24"/>
          <w:szCs w:val="24"/>
        </w:rPr>
        <w:t>: Nascimento do Ocidente. 2ª ed. rev. e ampl. São Paulo: Brasiliense, 2001.</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RANKE-HEINEMANN, Uta. </w:t>
      </w:r>
      <w:r w:rsidRPr="00771368">
        <w:rPr>
          <w:b/>
          <w:sz w:val="24"/>
          <w:szCs w:val="24"/>
        </w:rPr>
        <w:t>Eunucos pelo reino de Deus</w:t>
      </w:r>
      <w:r w:rsidRPr="00771368">
        <w:rPr>
          <w:sz w:val="24"/>
          <w:szCs w:val="24"/>
        </w:rPr>
        <w:t>: mulheres, sexualidade e a Igreja Católica. 4ª Ed. Rio de Janeiro: Rosa dos tempos, 1999.</w:t>
      </w: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RICHARDS, Jeffrey. </w:t>
      </w:r>
      <w:r w:rsidRPr="00771368">
        <w:rPr>
          <w:b/>
          <w:sz w:val="24"/>
          <w:szCs w:val="24"/>
        </w:rPr>
        <w:t>Sexo, desvio e danação</w:t>
      </w:r>
      <w:r w:rsidRPr="00771368">
        <w:rPr>
          <w:sz w:val="24"/>
          <w:szCs w:val="24"/>
        </w:rPr>
        <w:t>: as minorias na Idade Média. Rio de Janeiro: Jorge Zahar Ed, 1993.</w:t>
      </w: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rPr>
          <w:sz w:val="24"/>
          <w:szCs w:val="24"/>
        </w:rPr>
      </w:pPr>
    </w:p>
    <w:p w:rsidR="00D24E61" w:rsidRPr="00771368" w:rsidRDefault="00D24E61" w:rsidP="00D24E61">
      <w:pPr>
        <w:spacing w:line="360" w:lineRule="auto"/>
        <w:rPr>
          <w:b/>
          <w:sz w:val="24"/>
          <w:szCs w:val="24"/>
        </w:rPr>
      </w:pPr>
    </w:p>
    <w:p w:rsidR="00D24E61" w:rsidRPr="00771368" w:rsidRDefault="00D24E61" w:rsidP="00D24E61">
      <w:pPr>
        <w:spacing w:line="360" w:lineRule="auto"/>
        <w:rPr>
          <w:b/>
          <w:sz w:val="24"/>
          <w:szCs w:val="24"/>
        </w:rPr>
      </w:pPr>
    </w:p>
    <w:p w:rsidR="00D24E61" w:rsidRPr="00771368" w:rsidRDefault="00D24E61"/>
    <w:p w:rsidR="00D24E61" w:rsidRPr="00771368" w:rsidRDefault="00D24E61">
      <w:pPr>
        <w:spacing w:line="259" w:lineRule="exact"/>
        <w:rPr>
          <w:sz w:val="24"/>
          <w:szCs w:val="24"/>
        </w:rPr>
      </w:pPr>
    </w:p>
    <w:p w:rsidR="007C4DF0" w:rsidRPr="00771368" w:rsidRDefault="007C4DF0">
      <w:pPr>
        <w:rPr>
          <w:b/>
          <w:bCs/>
          <w:sz w:val="24"/>
          <w:szCs w:val="24"/>
        </w:rPr>
      </w:pPr>
      <w:r w:rsidRPr="00771368">
        <w:rPr>
          <w:b/>
          <w:bCs/>
          <w:sz w:val="24"/>
          <w:szCs w:val="24"/>
        </w:rPr>
        <w:br w:type="page"/>
      </w:r>
    </w:p>
    <w:p w:rsidR="00D24E61" w:rsidRPr="00771368" w:rsidRDefault="00D24E61">
      <w:pPr>
        <w:ind w:left="2280"/>
        <w:rPr>
          <w:sz w:val="20"/>
          <w:szCs w:val="20"/>
        </w:rPr>
      </w:pPr>
      <w:r w:rsidRPr="00771368">
        <w:rPr>
          <w:b/>
          <w:bCs/>
          <w:sz w:val="24"/>
          <w:szCs w:val="24"/>
        </w:rPr>
        <w:t>VALORIZANDO A IGUALDADE DE GÊNERO</w:t>
      </w:r>
    </w:p>
    <w:p w:rsidR="00D24E61" w:rsidRPr="00771368" w:rsidRDefault="00D24E61">
      <w:pPr>
        <w:spacing w:line="200" w:lineRule="exact"/>
        <w:rPr>
          <w:sz w:val="24"/>
          <w:szCs w:val="24"/>
        </w:rPr>
      </w:pPr>
    </w:p>
    <w:p w:rsidR="00D24E61" w:rsidRPr="00771368" w:rsidRDefault="00D24E61" w:rsidP="007B04EA">
      <w:pPr>
        <w:pStyle w:val="Ttulo1"/>
        <w:rPr>
          <w:sz w:val="20"/>
          <w:szCs w:val="20"/>
        </w:rPr>
      </w:pPr>
      <w:bookmarkStart w:id="2" w:name="_Toc442034719"/>
      <w:r w:rsidRPr="00771368">
        <w:t>Prof. Genivaldo Greggio</w:t>
      </w:r>
      <w:bookmarkEnd w:id="2"/>
    </w:p>
    <w:p w:rsidR="00D24E61" w:rsidRPr="00771368" w:rsidRDefault="00D24E61">
      <w:pPr>
        <w:spacing w:line="235" w:lineRule="auto"/>
        <w:ind w:left="1540"/>
        <w:rPr>
          <w:sz w:val="20"/>
          <w:szCs w:val="20"/>
        </w:rPr>
      </w:pPr>
      <w:r w:rsidRPr="00771368">
        <w:rPr>
          <w:sz w:val="24"/>
          <w:szCs w:val="24"/>
        </w:rPr>
        <w:t>Graduado e Especialista em Letras e Literatura Portuguesa e Inglesa</w:t>
      </w:r>
    </w:p>
    <w:p w:rsidR="00D24E61" w:rsidRPr="00771368" w:rsidRDefault="00D24E61">
      <w:pPr>
        <w:spacing w:line="59" w:lineRule="exact"/>
        <w:rPr>
          <w:sz w:val="24"/>
          <w:szCs w:val="24"/>
        </w:rPr>
      </w:pPr>
    </w:p>
    <w:p w:rsidR="00D24E61" w:rsidRPr="00771368" w:rsidRDefault="00D24E61">
      <w:pPr>
        <w:spacing w:line="214" w:lineRule="auto"/>
        <w:ind w:left="2960" w:right="20" w:hanging="2947"/>
        <w:rPr>
          <w:sz w:val="20"/>
          <w:szCs w:val="20"/>
        </w:rPr>
      </w:pPr>
      <w:r w:rsidRPr="00771368">
        <w:rPr>
          <w:sz w:val="24"/>
          <w:szCs w:val="24"/>
        </w:rPr>
        <w:t>Prof. Efetivo da Rede Estadual de Ensino do Estado de São Paulo e Especialista em Saúde Pública e em DSTS pelo Município de Embu/SP</w:t>
      </w:r>
    </w:p>
    <w:p w:rsidR="00D24E61" w:rsidRPr="00771368" w:rsidRDefault="00D24E61">
      <w:pPr>
        <w:spacing w:line="2" w:lineRule="exact"/>
        <w:rPr>
          <w:sz w:val="24"/>
          <w:szCs w:val="24"/>
        </w:rPr>
      </w:pPr>
    </w:p>
    <w:p w:rsidR="00D24E61" w:rsidRPr="00771368" w:rsidRDefault="00D24E61">
      <w:pPr>
        <w:ind w:left="3320"/>
        <w:rPr>
          <w:sz w:val="24"/>
          <w:szCs w:val="24"/>
        </w:rPr>
      </w:pPr>
      <w:r w:rsidRPr="00771368">
        <w:rPr>
          <w:sz w:val="24"/>
          <w:szCs w:val="24"/>
        </w:rPr>
        <w:t xml:space="preserve">- </w:t>
      </w:r>
      <w:hyperlink r:id="rId12">
        <w:r w:rsidRPr="00771368">
          <w:rPr>
            <w:color w:val="0000FF"/>
            <w:sz w:val="24"/>
            <w:szCs w:val="24"/>
            <w:u w:val="single"/>
          </w:rPr>
          <w:t>geannegreggio@hotmail.com</w:t>
        </w:r>
      </w:hyperlink>
    </w:p>
    <w:p w:rsidR="00D24E61" w:rsidRPr="00771368" w:rsidRDefault="00D24E61">
      <w:pPr>
        <w:spacing w:line="200" w:lineRule="exact"/>
        <w:rPr>
          <w:sz w:val="24"/>
          <w:szCs w:val="24"/>
        </w:rPr>
      </w:pPr>
    </w:p>
    <w:p w:rsidR="00D24E61" w:rsidRPr="00771368" w:rsidRDefault="00D24E61">
      <w:pPr>
        <w:ind w:left="2880"/>
        <w:rPr>
          <w:sz w:val="20"/>
          <w:szCs w:val="20"/>
        </w:rPr>
      </w:pPr>
      <w:r w:rsidRPr="00771368">
        <w:rPr>
          <w:b/>
          <w:bCs/>
          <w:sz w:val="24"/>
          <w:szCs w:val="24"/>
        </w:rPr>
        <w:t>Prof.Dr. Wellison Tatagiba de Araujo</w:t>
      </w:r>
    </w:p>
    <w:p w:rsidR="00D24E61" w:rsidRPr="00771368" w:rsidRDefault="00D24E61">
      <w:pPr>
        <w:spacing w:line="54" w:lineRule="exact"/>
        <w:rPr>
          <w:sz w:val="24"/>
          <w:szCs w:val="24"/>
        </w:rPr>
      </w:pPr>
    </w:p>
    <w:p w:rsidR="00D24E61" w:rsidRPr="00771368" w:rsidRDefault="00D24E61">
      <w:pPr>
        <w:spacing w:line="227" w:lineRule="auto"/>
        <w:ind w:left="40" w:right="40"/>
        <w:jc w:val="center"/>
        <w:rPr>
          <w:sz w:val="20"/>
          <w:szCs w:val="20"/>
        </w:rPr>
      </w:pPr>
      <w:r w:rsidRPr="00771368">
        <w:rPr>
          <w:sz w:val="24"/>
          <w:szCs w:val="24"/>
        </w:rPr>
        <w:t>Graduado em Geografia Física pela UEFS-Universidade Estadual de Feira de Santana/BA. Mestre em Análise Ambiental Urbana pela UFBA-Universidade Federal da Bahia e Doutor em Ciencias Naturais pela USP-Universidade de São Paulo. Prof. Efetivo da Rede Estadual de Ensino do Estado de São Paulo</w:t>
      </w:r>
    </w:p>
    <w:p w:rsidR="00D24E61" w:rsidRPr="00771368" w:rsidRDefault="00D24E61">
      <w:pPr>
        <w:spacing w:line="2" w:lineRule="exact"/>
        <w:rPr>
          <w:sz w:val="24"/>
          <w:szCs w:val="24"/>
        </w:rPr>
      </w:pPr>
    </w:p>
    <w:p w:rsidR="00D24E61" w:rsidRPr="00771368" w:rsidRDefault="00D24E61">
      <w:pPr>
        <w:ind w:left="3640"/>
        <w:rPr>
          <w:sz w:val="20"/>
          <w:szCs w:val="20"/>
        </w:rPr>
      </w:pPr>
      <w:r w:rsidRPr="00771368">
        <w:rPr>
          <w:sz w:val="24"/>
          <w:szCs w:val="24"/>
        </w:rPr>
        <w:t xml:space="preserve">- </w:t>
      </w:r>
      <w:r w:rsidRPr="00771368">
        <w:rPr>
          <w:color w:val="0000FF"/>
          <w:sz w:val="24"/>
          <w:szCs w:val="24"/>
          <w:u w:val="single"/>
        </w:rPr>
        <w:t>wellisonaraujo@usp.br</w:t>
      </w:r>
    </w:p>
    <w:p w:rsidR="00D24E61" w:rsidRPr="00771368" w:rsidRDefault="00D24E61">
      <w:pPr>
        <w:spacing w:line="200" w:lineRule="exact"/>
        <w:rPr>
          <w:sz w:val="24"/>
          <w:szCs w:val="24"/>
        </w:rPr>
      </w:pPr>
    </w:p>
    <w:p w:rsidR="00D24E61" w:rsidRPr="00771368" w:rsidRDefault="00D24E61">
      <w:pPr>
        <w:spacing w:line="222" w:lineRule="exact"/>
        <w:rPr>
          <w:sz w:val="24"/>
          <w:szCs w:val="24"/>
        </w:rPr>
      </w:pPr>
    </w:p>
    <w:p w:rsidR="00D24E61" w:rsidRPr="00771368" w:rsidRDefault="00D24E61">
      <w:pPr>
        <w:rPr>
          <w:b/>
          <w:bCs/>
          <w:sz w:val="24"/>
          <w:szCs w:val="24"/>
        </w:rPr>
      </w:pPr>
      <w:r w:rsidRPr="00771368">
        <w:rPr>
          <w:b/>
          <w:bCs/>
          <w:sz w:val="24"/>
          <w:szCs w:val="24"/>
        </w:rPr>
        <w:t>RESUMO</w:t>
      </w:r>
    </w:p>
    <w:p w:rsidR="007C4DF0" w:rsidRPr="00771368" w:rsidRDefault="007C4DF0">
      <w:pPr>
        <w:rPr>
          <w:sz w:val="20"/>
          <w:szCs w:val="20"/>
        </w:rPr>
      </w:pPr>
    </w:p>
    <w:p w:rsidR="00D24E61" w:rsidRPr="00771368" w:rsidRDefault="00D24E61" w:rsidP="00D06C4E">
      <w:pPr>
        <w:spacing w:line="360" w:lineRule="auto"/>
        <w:jc w:val="both"/>
        <w:rPr>
          <w:sz w:val="24"/>
          <w:szCs w:val="24"/>
        </w:rPr>
      </w:pPr>
      <w:r w:rsidRPr="00771368">
        <w:rPr>
          <w:sz w:val="24"/>
          <w:szCs w:val="24"/>
        </w:rPr>
        <w:t>A igualdade entre homens e mulheres constitui um dos princípios fundamentais do direito</w:t>
      </w:r>
      <w:r w:rsidR="007C4DF0" w:rsidRPr="00771368">
        <w:rPr>
          <w:sz w:val="24"/>
          <w:szCs w:val="24"/>
        </w:rPr>
        <w:t xml:space="preserve"> </w:t>
      </w:r>
    </w:p>
    <w:p w:rsidR="00D24E61" w:rsidRPr="00771368" w:rsidRDefault="00D24E61" w:rsidP="00D06C4E">
      <w:pPr>
        <w:spacing w:line="360" w:lineRule="auto"/>
        <w:jc w:val="both"/>
        <w:rPr>
          <w:sz w:val="20"/>
          <w:szCs w:val="20"/>
        </w:rPr>
      </w:pPr>
      <w:r w:rsidRPr="00771368">
        <w:rPr>
          <w:sz w:val="24"/>
          <w:szCs w:val="24"/>
        </w:rPr>
        <w:t>comunitário, e é a partir do direito comunitário que elaboramos a pesquisa que tem como intuito</w:t>
      </w:r>
      <w:r w:rsidR="007C4DF0" w:rsidRPr="00771368">
        <w:rPr>
          <w:sz w:val="24"/>
          <w:szCs w:val="24"/>
        </w:rPr>
        <w:t xml:space="preserve"> </w:t>
      </w:r>
      <w:r w:rsidRPr="00771368">
        <w:rPr>
          <w:sz w:val="24"/>
          <w:szCs w:val="24"/>
        </w:rPr>
        <w:t>principal eleger o debate entre os estudantes da necessidade de se repensar o papel social de homens</w:t>
      </w:r>
      <w:r w:rsidR="007C4DF0" w:rsidRPr="00771368">
        <w:rPr>
          <w:sz w:val="24"/>
          <w:szCs w:val="24"/>
        </w:rPr>
        <w:t xml:space="preserve"> </w:t>
      </w:r>
      <w:r w:rsidRPr="00771368">
        <w:rPr>
          <w:sz w:val="24"/>
          <w:szCs w:val="24"/>
        </w:rPr>
        <w:t>e mulheres no tocante aos direitos e deveres e principalmente no respeito dos homens com relação à</w:t>
      </w:r>
      <w:r w:rsidR="007C4DF0" w:rsidRPr="00771368">
        <w:rPr>
          <w:sz w:val="24"/>
          <w:szCs w:val="24"/>
        </w:rPr>
        <w:t xml:space="preserve"> </w:t>
      </w:r>
      <w:r w:rsidRPr="00771368">
        <w:rPr>
          <w:sz w:val="24"/>
          <w:szCs w:val="24"/>
        </w:rPr>
        <w:t>grande inserção da mulher no mercado de trabalho, fato esse que envolve mudanças de cunho tanto</w:t>
      </w:r>
      <w:r w:rsidR="007C4DF0" w:rsidRPr="00771368">
        <w:rPr>
          <w:sz w:val="24"/>
          <w:szCs w:val="24"/>
        </w:rPr>
        <w:t xml:space="preserve"> </w:t>
      </w:r>
      <w:r w:rsidRPr="00771368">
        <w:rPr>
          <w:sz w:val="24"/>
          <w:szCs w:val="24"/>
        </w:rPr>
        <w:t>social comunitário quanto no próprio núcleo familiar. Tal pesquisa, prima também pela valorização</w:t>
      </w:r>
      <w:r w:rsidR="007C4DF0" w:rsidRPr="00771368">
        <w:rPr>
          <w:sz w:val="24"/>
          <w:szCs w:val="24"/>
        </w:rPr>
        <w:t xml:space="preserve"> </w:t>
      </w:r>
      <w:r w:rsidRPr="00771368">
        <w:rPr>
          <w:sz w:val="24"/>
          <w:szCs w:val="24"/>
        </w:rPr>
        <w:t>do debate e tem como finalidade oferecer subsídios para que se discuta e de certa forma seja uma</w:t>
      </w:r>
      <w:r w:rsidR="007C4DF0" w:rsidRPr="00771368">
        <w:rPr>
          <w:sz w:val="24"/>
          <w:szCs w:val="24"/>
        </w:rPr>
        <w:t xml:space="preserve"> </w:t>
      </w:r>
      <w:r w:rsidRPr="00771368">
        <w:rPr>
          <w:sz w:val="24"/>
          <w:szCs w:val="24"/>
        </w:rPr>
        <w:t>ferramenta acadêmica para minimizar à violência ao sexo feminino e contribuir para valorizar na</w:t>
      </w:r>
      <w:r w:rsidR="007C4DF0" w:rsidRPr="00771368">
        <w:rPr>
          <w:sz w:val="24"/>
          <w:szCs w:val="24"/>
        </w:rPr>
        <w:t xml:space="preserve"> </w:t>
      </w:r>
      <w:r w:rsidRPr="00771368">
        <w:rPr>
          <w:sz w:val="24"/>
          <w:szCs w:val="24"/>
        </w:rPr>
        <w:t>vida cotidiana dos discentes o papel da mulher em sociedade.</w:t>
      </w:r>
    </w:p>
    <w:p w:rsidR="00D24E61" w:rsidRPr="00771368" w:rsidRDefault="00D24E61" w:rsidP="007C4DF0">
      <w:pPr>
        <w:spacing w:line="200" w:lineRule="exact"/>
        <w:jc w:val="both"/>
        <w:rPr>
          <w:sz w:val="24"/>
          <w:szCs w:val="24"/>
        </w:rPr>
      </w:pPr>
    </w:p>
    <w:p w:rsidR="00D24E61" w:rsidRPr="00771368" w:rsidRDefault="00D24E61">
      <w:pPr>
        <w:rPr>
          <w:sz w:val="20"/>
          <w:szCs w:val="20"/>
        </w:rPr>
      </w:pPr>
      <w:r w:rsidRPr="00771368">
        <w:rPr>
          <w:b/>
          <w:bCs/>
          <w:sz w:val="24"/>
          <w:szCs w:val="24"/>
        </w:rPr>
        <w:t>Palavras-Chave-Igualdade de Gêneros, Violência, Mulher na Sociedade.</w:t>
      </w:r>
    </w:p>
    <w:p w:rsidR="00D24E61" w:rsidRPr="00771368" w:rsidRDefault="00D24E61"/>
    <w:p w:rsidR="007C4DF0" w:rsidRPr="00771368" w:rsidRDefault="007C4DF0"/>
    <w:p w:rsidR="007C4DF0" w:rsidRPr="00771368" w:rsidRDefault="007C4DF0" w:rsidP="007C4DF0">
      <w:pPr>
        <w:spacing w:line="259" w:lineRule="exact"/>
        <w:rPr>
          <w:sz w:val="20"/>
          <w:szCs w:val="20"/>
        </w:rPr>
      </w:pPr>
    </w:p>
    <w:p w:rsidR="007C4DF0" w:rsidRPr="00E3248A" w:rsidRDefault="007C4DF0" w:rsidP="007C4DF0">
      <w:pPr>
        <w:rPr>
          <w:sz w:val="20"/>
          <w:szCs w:val="20"/>
          <w:lang w:val="en-US"/>
        </w:rPr>
      </w:pPr>
      <w:r w:rsidRPr="00E3248A">
        <w:rPr>
          <w:b/>
          <w:bCs/>
          <w:sz w:val="24"/>
          <w:szCs w:val="24"/>
          <w:lang w:val="en-US"/>
        </w:rPr>
        <w:t>ABSTRACT</w:t>
      </w:r>
    </w:p>
    <w:p w:rsidR="007C4DF0" w:rsidRPr="00E3248A" w:rsidRDefault="007C4DF0" w:rsidP="007C4DF0">
      <w:pPr>
        <w:spacing w:line="200" w:lineRule="exact"/>
        <w:rPr>
          <w:sz w:val="20"/>
          <w:szCs w:val="20"/>
          <w:lang w:val="en-US"/>
        </w:rPr>
      </w:pPr>
    </w:p>
    <w:p w:rsidR="007C4DF0" w:rsidRPr="00E3248A" w:rsidRDefault="007C4DF0" w:rsidP="007C4DF0">
      <w:pPr>
        <w:spacing w:line="352" w:lineRule="auto"/>
        <w:ind w:firstLine="708"/>
        <w:jc w:val="both"/>
        <w:rPr>
          <w:sz w:val="20"/>
          <w:szCs w:val="20"/>
          <w:lang w:val="en-US"/>
        </w:rPr>
        <w:sectPr w:rsidR="007C4DF0" w:rsidRPr="00E3248A" w:rsidSect="00D24E61">
          <w:pgSz w:w="11900" w:h="16840"/>
          <w:pgMar w:top="690" w:right="1420" w:bottom="1440" w:left="1420" w:header="0" w:footer="0" w:gutter="0"/>
          <w:cols w:space="720" w:equalWidth="0">
            <w:col w:w="9060"/>
          </w:cols>
        </w:sectPr>
      </w:pPr>
      <w:r w:rsidRPr="00E3248A">
        <w:rPr>
          <w:sz w:val="24"/>
          <w:szCs w:val="24"/>
          <w:lang w:val="en-US"/>
        </w:rPr>
        <w:t>Equality between men and women is one of the fundamental principles of Community law, and is from the community law which we research that has as main purpose to elect the debate among students of the need to rethink the role of men and women in respect of rights and duties and mainly in respect of men with regard to the insertion of women in large labour market, the fact that it involves changes in both nature and community social family itself. Such research, press also the appreciation of debate and aims to offer subsidies to discuss and to some extent is an academic tool to minimize violence to female and contribute to appreciate in everyday life of students the role of women in society.</w:t>
      </w:r>
    </w:p>
    <w:p w:rsidR="00D24E61" w:rsidRPr="00771368" w:rsidRDefault="00D24E61">
      <w:pPr>
        <w:ind w:left="360"/>
        <w:rPr>
          <w:sz w:val="20"/>
          <w:szCs w:val="20"/>
        </w:rPr>
      </w:pPr>
      <w:r w:rsidRPr="00771368">
        <w:rPr>
          <w:b/>
          <w:bCs/>
          <w:sz w:val="24"/>
          <w:szCs w:val="24"/>
        </w:rPr>
        <w:t>INTRODUÇÃO</w:t>
      </w: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rsidP="007C4DF0">
      <w:pPr>
        <w:spacing w:line="349" w:lineRule="auto"/>
        <w:ind w:firstLine="708"/>
        <w:jc w:val="both"/>
        <w:rPr>
          <w:sz w:val="20"/>
          <w:szCs w:val="20"/>
        </w:rPr>
      </w:pPr>
      <w:r w:rsidRPr="00771368">
        <w:rPr>
          <w:sz w:val="24"/>
          <w:szCs w:val="24"/>
        </w:rPr>
        <w:t>A pesquisa “Valorizando Igualdade de Gênero” teve como base o projeto de mesmo nome que foi desenvolvido na escola através de atividades pedagógicas que promoveram a igualdade de gênero, motivando, assim, a reflexão acerca da “transversalidade de gênero” que consiste em levar em conta a questão de gênero em todas as disciplinas. Partimos da premissa que, é contribuindo para a discussão organizada principalmente em sala de aula, a melhor maneira de combater a desigualdade entre homens e mulheres, contribuindo para uma sociedade igualitária.</w:t>
      </w:r>
    </w:p>
    <w:p w:rsidR="00D24E61" w:rsidRPr="00771368" w:rsidRDefault="00D24E61" w:rsidP="007C4DF0">
      <w:pPr>
        <w:spacing w:line="343" w:lineRule="auto"/>
        <w:ind w:firstLine="708"/>
        <w:jc w:val="both"/>
        <w:rPr>
          <w:sz w:val="20"/>
          <w:szCs w:val="20"/>
        </w:rPr>
      </w:pPr>
      <w:r w:rsidRPr="00771368">
        <w:rPr>
          <w:sz w:val="24"/>
          <w:szCs w:val="24"/>
        </w:rPr>
        <w:t>A constituição brasileira no seu art. 5° afirma que : “...Todos são iguais perante a lei, sem distinção de qualquer natureza, garantindo-se aos brasileiros e aos estrangeiros residentes no País a inviolabilidade do direito à vida, à liberdade, à igualdade, à segurança e à propriedade, nos termos seguintes:</w:t>
      </w:r>
    </w:p>
    <w:p w:rsidR="00D24E61" w:rsidRPr="00771368" w:rsidRDefault="00D24E61" w:rsidP="007C4DF0">
      <w:pPr>
        <w:spacing w:line="200" w:lineRule="exact"/>
        <w:jc w:val="both"/>
        <w:rPr>
          <w:sz w:val="20"/>
          <w:szCs w:val="20"/>
        </w:rPr>
      </w:pPr>
    </w:p>
    <w:p w:rsidR="00D24E61" w:rsidRPr="00771368" w:rsidRDefault="00D24E61" w:rsidP="007C4DF0">
      <w:pPr>
        <w:spacing w:line="233" w:lineRule="exact"/>
        <w:jc w:val="both"/>
        <w:rPr>
          <w:sz w:val="20"/>
          <w:szCs w:val="20"/>
        </w:rPr>
      </w:pPr>
    </w:p>
    <w:p w:rsidR="00D24E61" w:rsidRPr="00771368" w:rsidRDefault="00D24E61" w:rsidP="007C4DF0">
      <w:pPr>
        <w:jc w:val="both"/>
        <w:rPr>
          <w:sz w:val="20"/>
          <w:szCs w:val="20"/>
        </w:rPr>
      </w:pPr>
      <w:r w:rsidRPr="00771368">
        <w:rPr>
          <w:sz w:val="24"/>
          <w:szCs w:val="24"/>
        </w:rPr>
        <w:t>I – homens e mulheres são iguais em direitos e obrigações, nos termos desta Constituição;..”</w:t>
      </w:r>
    </w:p>
    <w:p w:rsidR="00D24E61" w:rsidRPr="00771368" w:rsidRDefault="00D24E61" w:rsidP="007C4DF0">
      <w:pPr>
        <w:spacing w:line="337" w:lineRule="exact"/>
        <w:jc w:val="both"/>
        <w:rPr>
          <w:sz w:val="20"/>
          <w:szCs w:val="20"/>
        </w:rPr>
      </w:pPr>
    </w:p>
    <w:p w:rsidR="00D24E61" w:rsidRPr="00771368" w:rsidRDefault="00D24E61" w:rsidP="007C4DF0">
      <w:pPr>
        <w:spacing w:line="342" w:lineRule="auto"/>
        <w:ind w:firstLine="708"/>
        <w:jc w:val="both"/>
        <w:rPr>
          <w:sz w:val="20"/>
          <w:szCs w:val="20"/>
        </w:rPr>
      </w:pPr>
      <w:r w:rsidRPr="00771368">
        <w:rPr>
          <w:sz w:val="24"/>
          <w:szCs w:val="24"/>
        </w:rPr>
        <w:t>Tais dispositivos, assim como o contido no § 5° do art. 226 (“os direitos e deveres referentes à sociedade conjugal são exercidos igualmente pelo homem e pela mulher”), não deixam dúvidas quanto à importância que a Constituição confere ao princípio da igualdade, tão ampla quanto possível, entre homens e mulheres.</w:t>
      </w:r>
    </w:p>
    <w:p w:rsidR="00D24E61" w:rsidRPr="00771368" w:rsidRDefault="00D24E61" w:rsidP="007C4DF0">
      <w:pPr>
        <w:spacing w:line="200" w:lineRule="exact"/>
        <w:jc w:val="both"/>
        <w:rPr>
          <w:sz w:val="20"/>
          <w:szCs w:val="20"/>
        </w:rPr>
      </w:pPr>
    </w:p>
    <w:p w:rsidR="00D24E61" w:rsidRPr="00771368" w:rsidRDefault="00D24E61" w:rsidP="007C4DF0">
      <w:pPr>
        <w:spacing w:line="334" w:lineRule="auto"/>
        <w:ind w:firstLine="708"/>
        <w:jc w:val="both"/>
        <w:rPr>
          <w:sz w:val="20"/>
          <w:szCs w:val="20"/>
        </w:rPr>
      </w:pPr>
      <w:r w:rsidRPr="00771368">
        <w:rPr>
          <w:sz w:val="24"/>
          <w:szCs w:val="24"/>
        </w:rPr>
        <w:t>A questão da igualdade de gêneros passa sem dúvidas pela questão do direito ao voto, fato este que gerou disputas civis que muitas vezes ocasionou discussões acaloradas mesmo em países que se diziam democrático como por exemplo nos EUA.</w:t>
      </w:r>
    </w:p>
    <w:p w:rsidR="00D24E61" w:rsidRPr="00771368" w:rsidRDefault="00D24E61" w:rsidP="007C4DF0">
      <w:pPr>
        <w:spacing w:line="89" w:lineRule="exact"/>
        <w:jc w:val="both"/>
        <w:rPr>
          <w:sz w:val="20"/>
          <w:szCs w:val="20"/>
        </w:rPr>
      </w:pPr>
    </w:p>
    <w:p w:rsidR="00D24E61" w:rsidRPr="00771368" w:rsidRDefault="00D24E61" w:rsidP="007C4DF0">
      <w:pPr>
        <w:spacing w:line="351" w:lineRule="auto"/>
        <w:ind w:firstLine="708"/>
        <w:jc w:val="both"/>
        <w:rPr>
          <w:sz w:val="20"/>
          <w:szCs w:val="20"/>
        </w:rPr>
      </w:pPr>
      <w:r w:rsidRPr="00771368">
        <w:rPr>
          <w:sz w:val="24"/>
          <w:szCs w:val="24"/>
        </w:rPr>
        <w:t>Rezam as lendas celtas e hindus que os primeiros eleitores da humanidade foram os druidas e sacerdotes, que escolhiam seus chefes políticos. Em Atenas, por volta do século 5 a.C., participavam 20% dos cidadãos, todos homens. Os romanos inventaram a urna eleitoral em 139 a.C. Até então, as escolhas eram feitas no gogó. Durante a Idade Média e a Renascença, as votações se tornaram sinônimo de conchavo. No Sacro Império Romano (962-1806), quem elegia o rei era um pequeno grupo de nobres e religiosos. “A idéia de democracia permaneceu adormecida na Europa até o fim do século 19”, afirma o historiador inglês Malcolm Crook, autor de Elections in the</w:t>
      </w:r>
    </w:p>
    <w:p w:rsidR="00D24E61" w:rsidRPr="00771368" w:rsidRDefault="00D24E61" w:rsidP="007C4DF0">
      <w:pPr>
        <w:spacing w:line="16" w:lineRule="exact"/>
        <w:jc w:val="both"/>
        <w:rPr>
          <w:sz w:val="20"/>
          <w:szCs w:val="20"/>
        </w:rPr>
      </w:pPr>
    </w:p>
    <w:p w:rsidR="00D24E61" w:rsidRPr="00771368" w:rsidRDefault="00D24E61" w:rsidP="007C4DF0">
      <w:pPr>
        <w:spacing w:line="239" w:lineRule="auto"/>
        <w:jc w:val="both"/>
        <w:rPr>
          <w:sz w:val="20"/>
          <w:szCs w:val="20"/>
        </w:rPr>
      </w:pPr>
      <w:r w:rsidRPr="00771368">
        <w:rPr>
          <w:sz w:val="24"/>
          <w:szCs w:val="24"/>
        </w:rPr>
        <w:t>French Revolution.</w:t>
      </w:r>
    </w:p>
    <w:p w:rsidR="00D24E61" w:rsidRPr="00771368" w:rsidRDefault="00D24E61">
      <w:pPr>
        <w:sectPr w:rsidR="00D24E61" w:rsidRPr="00771368">
          <w:pgSz w:w="11900" w:h="16838"/>
          <w:pgMar w:top="1440" w:right="840" w:bottom="1440" w:left="1420" w:header="0" w:footer="0" w:gutter="0"/>
          <w:cols w:space="720" w:equalWidth="0">
            <w:col w:w="9640"/>
          </w:cols>
        </w:sectPr>
      </w:pPr>
    </w:p>
    <w:p w:rsidR="00D24E61" w:rsidRPr="00771368" w:rsidRDefault="00D24E61">
      <w:pPr>
        <w:spacing w:line="313" w:lineRule="exact"/>
        <w:rPr>
          <w:sz w:val="20"/>
          <w:szCs w:val="20"/>
        </w:rPr>
      </w:pPr>
    </w:p>
    <w:p w:rsidR="00D24E61" w:rsidRPr="00771368" w:rsidRDefault="00D24E61" w:rsidP="007C4DF0">
      <w:pPr>
        <w:spacing w:line="351" w:lineRule="auto"/>
        <w:ind w:firstLine="708"/>
        <w:jc w:val="both"/>
        <w:rPr>
          <w:sz w:val="20"/>
          <w:szCs w:val="20"/>
        </w:rPr>
      </w:pPr>
      <w:r w:rsidRPr="00771368">
        <w:rPr>
          <w:sz w:val="24"/>
          <w:szCs w:val="24"/>
        </w:rPr>
        <w:t>Até nos Estados Unidos, o sufrágio universal tardou para ser aceito. Entre os delegados da convenção que elaborou a Constituição do país, promulgada em 1787, imperava a opinião do parlamentar George Mason (1725-1792): “Deixar o povo escolher o presidente é como deixar um cego escolher uma cor”. A partir da decisão do congresso americano em tornar as eleições daquele país democráticas, no final do século XIX a mulher saiu às ruas para exigir seu direito ao voto. Este fato marcou a sociedade americana e também foi um momento crucial de amadurecimento deste país como um Estado Democrático de direito, já que estendeu-se o direito ao voto também ao</w:t>
      </w:r>
    </w:p>
    <w:p w:rsidR="00D24E61" w:rsidRPr="00771368" w:rsidRDefault="00D24E61" w:rsidP="007C4DF0">
      <w:pPr>
        <w:spacing w:line="72" w:lineRule="exact"/>
        <w:jc w:val="both"/>
        <w:rPr>
          <w:sz w:val="20"/>
          <w:szCs w:val="20"/>
        </w:rPr>
      </w:pPr>
    </w:p>
    <w:p w:rsidR="00D24E61" w:rsidRPr="00771368" w:rsidRDefault="00D24E61" w:rsidP="007C4DF0">
      <w:pPr>
        <w:spacing w:line="334" w:lineRule="auto"/>
        <w:ind w:left="3600"/>
        <w:jc w:val="both"/>
        <w:rPr>
          <w:sz w:val="20"/>
          <w:szCs w:val="20"/>
        </w:rPr>
      </w:pPr>
      <w:r w:rsidRPr="00771368">
        <w:rPr>
          <w:sz w:val="24"/>
          <w:szCs w:val="24"/>
        </w:rPr>
        <w:t>chamado sexo frágil, visto que às mulheres eram delegadas tarefas cotidianas do lar e não era permitido intromissão nos assuntos masculinos.</w:t>
      </w:r>
    </w:p>
    <w:p w:rsidR="00D24E61" w:rsidRPr="00771368" w:rsidRDefault="00D24E61" w:rsidP="007C4DF0">
      <w:pPr>
        <w:spacing w:line="91" w:lineRule="exact"/>
        <w:jc w:val="both"/>
        <w:rPr>
          <w:sz w:val="20"/>
          <w:szCs w:val="20"/>
        </w:rPr>
      </w:pPr>
      <w:r w:rsidRPr="00771368">
        <w:rPr>
          <w:noProof/>
          <w:sz w:val="20"/>
          <w:szCs w:val="20"/>
        </w:rPr>
        <w:drawing>
          <wp:anchor distT="0" distB="0" distL="114300" distR="114300" simplePos="0" relativeHeight="251587584" behindDoc="1" locked="0" layoutInCell="0" allowOverlap="1">
            <wp:simplePos x="0" y="0"/>
            <wp:positionH relativeFrom="column">
              <wp:posOffset>13970</wp:posOffset>
            </wp:positionH>
            <wp:positionV relativeFrom="paragraph">
              <wp:posOffset>-620395</wp:posOffset>
            </wp:positionV>
            <wp:extent cx="2131695" cy="3168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blip>
                    <a:srcRect/>
                    <a:stretch>
                      <a:fillRect/>
                    </a:stretch>
                  </pic:blipFill>
                  <pic:spPr bwMode="auto">
                    <a:xfrm>
                      <a:off x="0" y="0"/>
                      <a:ext cx="2131695" cy="3168650"/>
                    </a:xfrm>
                    <a:prstGeom prst="rect">
                      <a:avLst/>
                    </a:prstGeom>
                    <a:noFill/>
                  </pic:spPr>
                </pic:pic>
              </a:graphicData>
            </a:graphic>
          </wp:anchor>
        </w:drawing>
      </w:r>
    </w:p>
    <w:p w:rsidR="00D24E61" w:rsidRPr="00771368" w:rsidRDefault="00D24E61" w:rsidP="007C4DF0">
      <w:pPr>
        <w:spacing w:line="354" w:lineRule="auto"/>
        <w:ind w:left="3600" w:firstLine="708"/>
        <w:jc w:val="both"/>
        <w:rPr>
          <w:sz w:val="20"/>
          <w:szCs w:val="20"/>
        </w:rPr>
      </w:pPr>
      <w:r w:rsidRPr="00771368">
        <w:rPr>
          <w:sz w:val="24"/>
          <w:szCs w:val="24"/>
        </w:rPr>
        <w:t>Apesar de sermos ainda uma jovem democracia, aqui no Brasil desde 1906 o direito ao voto feminino foi propagado na capital da República com a parlamentar Myrtes de Campos exigindo o direito de participar das eleições, tal exigência só foi concedida três décadas mais tarde com a promulgação do Código Eleitoral de 1932. Países europeus com organização social bem mais antigas que a do Brasil como por exemplo Portugal e Suíça, só vieram a aceitar que a mulher participasse das eleições e também que tivessem o direito de voto concedido na década de 1970</w:t>
      </w:r>
    </w:p>
    <w:p w:rsidR="00D24E61" w:rsidRPr="00771368" w:rsidRDefault="00D24E61" w:rsidP="007C4DF0">
      <w:pPr>
        <w:spacing w:line="348" w:lineRule="exact"/>
        <w:jc w:val="both"/>
        <w:rPr>
          <w:sz w:val="20"/>
          <w:szCs w:val="20"/>
        </w:rPr>
      </w:pPr>
    </w:p>
    <w:p w:rsidR="00D24E61" w:rsidRPr="00771368" w:rsidRDefault="00D24E61" w:rsidP="007C4DF0">
      <w:pPr>
        <w:spacing w:line="233" w:lineRule="auto"/>
        <w:ind w:left="100" w:right="6920"/>
        <w:jc w:val="both"/>
        <w:rPr>
          <w:sz w:val="20"/>
          <w:szCs w:val="20"/>
        </w:rPr>
      </w:pPr>
      <w:r w:rsidRPr="00771368">
        <w:rPr>
          <w:sz w:val="20"/>
          <w:szCs w:val="20"/>
        </w:rPr>
        <w:t>Fig.01-Movimento pelo sufrágio universal. EUA.Sec.XIX.</w:t>
      </w:r>
    </w:p>
    <w:p w:rsidR="00D24E61" w:rsidRPr="00771368" w:rsidRDefault="00D24E61" w:rsidP="007C4DF0">
      <w:pPr>
        <w:jc w:val="both"/>
      </w:pPr>
    </w:p>
    <w:p w:rsidR="007C4DF0" w:rsidRPr="00771368" w:rsidRDefault="007C4DF0" w:rsidP="007C4DF0">
      <w:pPr>
        <w:jc w:val="both"/>
        <w:rPr>
          <w:sz w:val="20"/>
          <w:szCs w:val="20"/>
        </w:rPr>
      </w:pPr>
      <w:r w:rsidRPr="00771368">
        <w:rPr>
          <w:b/>
          <w:bCs/>
          <w:sz w:val="24"/>
          <w:szCs w:val="24"/>
        </w:rPr>
        <w:t>JUSTIFICATIVA</w:t>
      </w:r>
    </w:p>
    <w:p w:rsidR="007C4DF0" w:rsidRPr="00771368" w:rsidRDefault="007C4DF0" w:rsidP="007C4DF0">
      <w:pPr>
        <w:spacing w:line="190" w:lineRule="exact"/>
        <w:jc w:val="both"/>
        <w:rPr>
          <w:sz w:val="20"/>
          <w:szCs w:val="20"/>
        </w:rPr>
      </w:pPr>
    </w:p>
    <w:p w:rsidR="007C4DF0" w:rsidRPr="00771368" w:rsidRDefault="007C4DF0" w:rsidP="007C4DF0">
      <w:pPr>
        <w:spacing w:line="351" w:lineRule="auto"/>
        <w:ind w:firstLine="768"/>
        <w:jc w:val="both"/>
        <w:rPr>
          <w:sz w:val="20"/>
          <w:szCs w:val="20"/>
        </w:rPr>
      </w:pPr>
      <w:r w:rsidRPr="00771368">
        <w:rPr>
          <w:sz w:val="24"/>
          <w:szCs w:val="24"/>
        </w:rPr>
        <w:t>Trabalhando com adolescentes no ensino médio que estão entrando no mercado de trabalho e necessitam esclarecimentos que os levem a um maior comprometimento social para com seus semelhantes, e observando a apatia das famílias em relação ao assunto, o presente trabalho justifica-se pelas necessidades de repensar, refletir e debater as desigualdades de gênero estabelecidas pela sociedade a respeito da distribuição dos papéis sociais, bem como contribuir para que se efetuem mudanças nessas relações com um tema bem atual que é o Funk adentrando a vida das camadas mais baixas e até mesmo nas mais altas.</w:t>
      </w:r>
    </w:p>
    <w:p w:rsidR="007C4DF0" w:rsidRPr="00771368" w:rsidRDefault="007C4DF0" w:rsidP="007C4DF0">
      <w:pPr>
        <w:jc w:val="both"/>
      </w:pPr>
    </w:p>
    <w:p w:rsidR="007C4DF0" w:rsidRPr="00771368" w:rsidRDefault="007C4DF0" w:rsidP="007C4DF0">
      <w:pPr>
        <w:spacing w:line="308" w:lineRule="auto"/>
        <w:ind w:firstLine="708"/>
        <w:jc w:val="both"/>
        <w:rPr>
          <w:sz w:val="20"/>
          <w:szCs w:val="20"/>
        </w:rPr>
      </w:pPr>
      <w:r w:rsidRPr="00771368">
        <w:rPr>
          <w:sz w:val="24"/>
          <w:szCs w:val="24"/>
        </w:rPr>
        <w:t>Nesse contexto inserimos o Funk. Esse Funk simplesmente desmonta todos os direitos e conquistas da mulher ao longo dos tempos. Um ritmo com letras que tratam a mulher como</w:t>
      </w:r>
    </w:p>
    <w:p w:rsidR="007C4DF0" w:rsidRPr="00771368" w:rsidRDefault="007C4DF0" w:rsidP="007C4DF0">
      <w:pPr>
        <w:spacing w:line="120" w:lineRule="exact"/>
        <w:jc w:val="both"/>
        <w:rPr>
          <w:sz w:val="20"/>
          <w:szCs w:val="20"/>
        </w:rPr>
      </w:pPr>
    </w:p>
    <w:p w:rsidR="007C4DF0" w:rsidRPr="00771368" w:rsidRDefault="007C4DF0" w:rsidP="007C4DF0">
      <w:pPr>
        <w:spacing w:line="334" w:lineRule="auto"/>
        <w:jc w:val="both"/>
        <w:rPr>
          <w:sz w:val="20"/>
          <w:szCs w:val="20"/>
        </w:rPr>
      </w:pPr>
      <w:r w:rsidRPr="00771368">
        <w:rPr>
          <w:i/>
          <w:iCs/>
          <w:sz w:val="24"/>
          <w:szCs w:val="24"/>
        </w:rPr>
        <w:t>“cachorra”, “Tchutchuca”, “preparada”, “popozuda</w:t>
      </w:r>
      <w:r w:rsidRPr="00771368">
        <w:rPr>
          <w:sz w:val="24"/>
          <w:szCs w:val="24"/>
        </w:rPr>
        <w:t>”, etc. Expressões que idealizam a mulher</w:t>
      </w:r>
      <w:r w:rsidRPr="00771368">
        <w:rPr>
          <w:i/>
          <w:iCs/>
          <w:sz w:val="24"/>
          <w:szCs w:val="24"/>
        </w:rPr>
        <w:t xml:space="preserve"> </w:t>
      </w:r>
      <w:r w:rsidRPr="00771368">
        <w:rPr>
          <w:sz w:val="24"/>
          <w:szCs w:val="24"/>
        </w:rPr>
        <w:t>como objeto sexual, subjugada a condição de mantenedora do machismo extremo da sociedade atual.</w:t>
      </w:r>
    </w:p>
    <w:p w:rsidR="00D24E61" w:rsidRPr="00771368" w:rsidRDefault="00D24E61">
      <w:pPr>
        <w:spacing w:line="200" w:lineRule="exact"/>
        <w:rPr>
          <w:sz w:val="20"/>
          <w:szCs w:val="20"/>
        </w:rPr>
      </w:pPr>
    </w:p>
    <w:p w:rsidR="00D24E61" w:rsidRPr="00771368" w:rsidRDefault="00D24E61">
      <w:pPr>
        <w:spacing w:line="250" w:lineRule="exact"/>
        <w:rPr>
          <w:sz w:val="20"/>
          <w:szCs w:val="20"/>
        </w:rPr>
      </w:pPr>
    </w:p>
    <w:p w:rsidR="00D24E61" w:rsidRPr="00771368" w:rsidRDefault="00D24E61">
      <w:pPr>
        <w:rPr>
          <w:sz w:val="20"/>
          <w:szCs w:val="20"/>
        </w:rPr>
      </w:pPr>
      <w:r w:rsidRPr="00771368">
        <w:rPr>
          <w:b/>
          <w:bCs/>
          <w:sz w:val="24"/>
          <w:szCs w:val="24"/>
        </w:rPr>
        <w:t>OBJETIVO GERAL</w:t>
      </w:r>
    </w:p>
    <w:p w:rsidR="00D24E61" w:rsidRPr="00771368" w:rsidRDefault="00D24E61">
      <w:pPr>
        <w:spacing w:line="200" w:lineRule="exact"/>
        <w:rPr>
          <w:sz w:val="20"/>
          <w:szCs w:val="20"/>
        </w:rPr>
      </w:pPr>
    </w:p>
    <w:p w:rsidR="00D24E61" w:rsidRPr="00771368" w:rsidRDefault="00D24E61">
      <w:pPr>
        <w:spacing w:line="223" w:lineRule="exact"/>
        <w:rPr>
          <w:sz w:val="20"/>
          <w:szCs w:val="20"/>
        </w:rPr>
      </w:pPr>
    </w:p>
    <w:p w:rsidR="00D24E61" w:rsidRPr="00771368" w:rsidRDefault="00D24E61" w:rsidP="007C4DF0">
      <w:pPr>
        <w:spacing w:line="347" w:lineRule="auto"/>
        <w:ind w:left="1420"/>
        <w:jc w:val="both"/>
        <w:rPr>
          <w:sz w:val="20"/>
          <w:szCs w:val="20"/>
        </w:rPr>
      </w:pPr>
      <w:r w:rsidRPr="00771368">
        <w:rPr>
          <w:sz w:val="24"/>
          <w:szCs w:val="24"/>
        </w:rPr>
        <w:t>Desenvolver na escola um conjunto de ações que levem à reflexão e ao debate as questões relativas às desigualdades entre homens e mulheres através de práticas pedagógicas integradoras que transmitam a igualdade de gênero, com respeito mútuo ao próximo e a si mesmo, respeitando seus limites e os limites impostos pela sociedade.</w:t>
      </w:r>
    </w:p>
    <w:p w:rsidR="00D24E61" w:rsidRPr="00771368" w:rsidRDefault="00D24E61">
      <w:pPr>
        <w:spacing w:line="277" w:lineRule="exact"/>
        <w:rPr>
          <w:sz w:val="20"/>
          <w:szCs w:val="20"/>
        </w:rPr>
      </w:pPr>
    </w:p>
    <w:p w:rsidR="007C4DF0" w:rsidRPr="00771368" w:rsidRDefault="007C4DF0">
      <w:pPr>
        <w:spacing w:line="277" w:lineRule="exact"/>
        <w:rPr>
          <w:sz w:val="20"/>
          <w:szCs w:val="20"/>
        </w:rPr>
      </w:pPr>
    </w:p>
    <w:p w:rsidR="00D24E61" w:rsidRPr="00771368" w:rsidRDefault="00D24E61">
      <w:pPr>
        <w:rPr>
          <w:sz w:val="20"/>
          <w:szCs w:val="20"/>
        </w:rPr>
      </w:pPr>
      <w:r w:rsidRPr="00771368">
        <w:rPr>
          <w:b/>
          <w:bCs/>
          <w:sz w:val="24"/>
          <w:szCs w:val="24"/>
        </w:rPr>
        <w:t>OBJETIVOS ESPECÍFICOS</w:t>
      </w:r>
    </w:p>
    <w:p w:rsidR="00D24E61" w:rsidRPr="00771368" w:rsidRDefault="00D24E61">
      <w:pPr>
        <w:spacing w:line="222" w:lineRule="exact"/>
        <w:rPr>
          <w:sz w:val="20"/>
          <w:szCs w:val="20"/>
        </w:rPr>
      </w:pPr>
    </w:p>
    <w:p w:rsidR="00D24E61" w:rsidRPr="00771368" w:rsidRDefault="00D24E61" w:rsidP="007C4DF0">
      <w:pPr>
        <w:spacing w:line="334" w:lineRule="auto"/>
        <w:ind w:left="1440"/>
        <w:jc w:val="both"/>
        <w:rPr>
          <w:sz w:val="24"/>
          <w:szCs w:val="24"/>
        </w:rPr>
      </w:pPr>
      <w:r w:rsidRPr="00771368">
        <w:rPr>
          <w:sz w:val="24"/>
          <w:szCs w:val="24"/>
        </w:rPr>
        <w:t>Promover reflexões sobre as causas das desigualdades, e que este tem a ver com nosso modo de vida, uma vez que o nosso comportamento está submetido às normas sociais pré-estabelecidas para homens e mulheres na sociedade;</w:t>
      </w:r>
    </w:p>
    <w:p w:rsidR="00D24E61" w:rsidRPr="00771368" w:rsidRDefault="00D24E61" w:rsidP="007C4DF0">
      <w:pPr>
        <w:spacing w:line="108" w:lineRule="exact"/>
        <w:ind w:left="800"/>
        <w:jc w:val="both"/>
        <w:rPr>
          <w:sz w:val="24"/>
          <w:szCs w:val="24"/>
        </w:rPr>
      </w:pPr>
    </w:p>
    <w:p w:rsidR="00D24E61" w:rsidRPr="00771368" w:rsidRDefault="00D24E61" w:rsidP="007C4DF0">
      <w:pPr>
        <w:spacing w:line="308" w:lineRule="auto"/>
        <w:ind w:left="1440"/>
        <w:jc w:val="both"/>
        <w:rPr>
          <w:sz w:val="24"/>
          <w:szCs w:val="24"/>
        </w:rPr>
      </w:pPr>
      <w:r w:rsidRPr="00771368">
        <w:rPr>
          <w:sz w:val="24"/>
          <w:szCs w:val="24"/>
        </w:rPr>
        <w:t>Resgatar valores fundamentais para um mundo baseado no respeito em relações de igualdade, solidariedade e de justiça social;</w:t>
      </w:r>
    </w:p>
    <w:p w:rsidR="00D24E61" w:rsidRPr="00771368" w:rsidRDefault="00D24E61">
      <w:pPr>
        <w:rPr>
          <w:sz w:val="24"/>
          <w:szCs w:val="24"/>
        </w:rPr>
      </w:pPr>
    </w:p>
    <w:p w:rsidR="007C4DF0" w:rsidRPr="00771368" w:rsidRDefault="007C4DF0" w:rsidP="007C4DF0">
      <w:pPr>
        <w:spacing w:line="360" w:lineRule="auto"/>
        <w:ind w:left="1440"/>
        <w:rPr>
          <w:sz w:val="24"/>
          <w:szCs w:val="24"/>
        </w:rPr>
      </w:pPr>
      <w:r w:rsidRPr="00771368">
        <w:rPr>
          <w:sz w:val="24"/>
          <w:szCs w:val="24"/>
        </w:rPr>
        <w:t>Desenvolver atividades interdisciplinares, através de ações em que o feminino e o masculino não fazem referência só ao conceito de homens e mulheres, inclui também atitudes, jogos, formas de pensar e agir, de fazer e de relacionar-se com o mundo e com os outros e as outras.</w:t>
      </w:r>
    </w:p>
    <w:p w:rsidR="00D06C4E" w:rsidRPr="00771368" w:rsidRDefault="00D06C4E" w:rsidP="007C4DF0">
      <w:pPr>
        <w:spacing w:line="360" w:lineRule="auto"/>
        <w:ind w:left="1440"/>
        <w:rPr>
          <w:sz w:val="24"/>
          <w:szCs w:val="24"/>
        </w:rPr>
      </w:pPr>
    </w:p>
    <w:p w:rsidR="007C4DF0" w:rsidRPr="00771368" w:rsidRDefault="007C4DF0" w:rsidP="007C4DF0">
      <w:pPr>
        <w:spacing w:line="360" w:lineRule="auto"/>
        <w:ind w:left="1440"/>
        <w:rPr>
          <w:sz w:val="24"/>
          <w:szCs w:val="24"/>
        </w:rPr>
      </w:pPr>
      <w:r w:rsidRPr="00771368">
        <w:rPr>
          <w:sz w:val="24"/>
          <w:szCs w:val="24"/>
        </w:rPr>
        <w:t>Atividades sobre as relações de gênero na perspectiva de difundir esclarecimentos sobre direitos e deveres que se efetuem mudanças nestas relações.</w:t>
      </w:r>
    </w:p>
    <w:p w:rsidR="007C4DF0" w:rsidRPr="00771368" w:rsidRDefault="007C4DF0" w:rsidP="007C4DF0">
      <w:pPr>
        <w:spacing w:line="360" w:lineRule="auto"/>
        <w:rPr>
          <w:sz w:val="24"/>
          <w:szCs w:val="24"/>
        </w:rPr>
      </w:pPr>
    </w:p>
    <w:p w:rsidR="007C4DF0" w:rsidRPr="00771368" w:rsidRDefault="007C4DF0" w:rsidP="007C4DF0">
      <w:pPr>
        <w:spacing w:line="360" w:lineRule="auto"/>
        <w:ind w:left="1440"/>
        <w:rPr>
          <w:sz w:val="24"/>
          <w:szCs w:val="24"/>
        </w:rPr>
      </w:pPr>
      <w:r w:rsidRPr="00771368">
        <w:rPr>
          <w:sz w:val="24"/>
          <w:szCs w:val="24"/>
        </w:rPr>
        <w:t>Contribuir para a ruptura das normas de comportamentos e definições dos papéis masculino e feminino, que, durante séculos, foram impostos pela história, ideologia, cultura, religião, política e economia.</w:t>
      </w:r>
    </w:p>
    <w:p w:rsidR="007C4DF0" w:rsidRPr="00771368" w:rsidRDefault="007C4DF0" w:rsidP="007C4DF0">
      <w:pPr>
        <w:spacing w:line="360" w:lineRule="auto"/>
        <w:rPr>
          <w:sz w:val="24"/>
          <w:szCs w:val="24"/>
        </w:rPr>
      </w:pPr>
    </w:p>
    <w:p w:rsidR="007C4DF0" w:rsidRPr="00771368" w:rsidRDefault="007C4DF0" w:rsidP="007C4DF0">
      <w:pPr>
        <w:spacing w:line="360" w:lineRule="auto"/>
        <w:ind w:left="1440"/>
        <w:rPr>
          <w:sz w:val="24"/>
          <w:szCs w:val="24"/>
        </w:rPr>
      </w:pPr>
      <w:r w:rsidRPr="00771368">
        <w:rPr>
          <w:sz w:val="24"/>
          <w:szCs w:val="24"/>
        </w:rPr>
        <w:t>Trabalhar na tentativa de desconstruir o modelo de gênero, mostrando a capacidade da mulher através das políticas criadas para elas com a finalidade de esclarecê-las sobre seus direitos, rompendo os paradigmas, criando, assim, uma nova identidade onde possa ser valorizada de forma igualitária com o sexo masculino;</w:t>
      </w:r>
    </w:p>
    <w:p w:rsidR="007C4DF0" w:rsidRPr="00771368" w:rsidRDefault="007C4DF0" w:rsidP="007C4DF0">
      <w:pPr>
        <w:spacing w:line="360" w:lineRule="auto"/>
      </w:pPr>
    </w:p>
    <w:p w:rsidR="007C4DF0" w:rsidRPr="00771368" w:rsidRDefault="007C4DF0" w:rsidP="007C4DF0">
      <w:pPr>
        <w:spacing w:line="360" w:lineRule="auto"/>
        <w:ind w:left="1440"/>
        <w:rPr>
          <w:sz w:val="24"/>
          <w:szCs w:val="24"/>
        </w:rPr>
      </w:pPr>
      <w:r w:rsidRPr="00771368">
        <w:rPr>
          <w:sz w:val="24"/>
          <w:szCs w:val="24"/>
        </w:rPr>
        <w:t>Ao mostrar que as relações de gênero como conhecemos é um fenômeno histórico, uma construção social, a maneira como fomos feitos homens e mulheres para viver em sociedade, e, que neste sentido, as relações de gênero é uma construção cultural. Devemos, diariamente, junto com nossa comunidade formar uma cultura contrária à desigualdade, a opressão, a discriminação e a injustiça para que haja uma ruptura de padrão de comportamento.</w:t>
      </w:r>
    </w:p>
    <w:p w:rsidR="007C4DF0" w:rsidRPr="00771368" w:rsidRDefault="007C4DF0" w:rsidP="007C4DF0">
      <w:pPr>
        <w:spacing w:line="360" w:lineRule="auto"/>
        <w:rPr>
          <w:sz w:val="24"/>
          <w:szCs w:val="24"/>
        </w:rPr>
      </w:pPr>
    </w:p>
    <w:p w:rsidR="00D24E61" w:rsidRPr="00771368" w:rsidRDefault="007C4DF0" w:rsidP="007C4DF0">
      <w:pPr>
        <w:spacing w:line="360" w:lineRule="auto"/>
        <w:ind w:left="1440"/>
        <w:rPr>
          <w:sz w:val="24"/>
          <w:szCs w:val="24"/>
        </w:rPr>
      </w:pPr>
      <w:r w:rsidRPr="00771368">
        <w:rPr>
          <w:sz w:val="24"/>
          <w:szCs w:val="24"/>
        </w:rPr>
        <w:t>Difundir endereços da Rede de Serviços para a Mulher, no município, esclarecendo a função de cada uma.</w:t>
      </w:r>
    </w:p>
    <w:p w:rsidR="007C4DF0" w:rsidRPr="00771368" w:rsidRDefault="007C4DF0" w:rsidP="007C4DF0">
      <w:pPr>
        <w:spacing w:line="360" w:lineRule="auto"/>
        <w:ind w:left="1440"/>
        <w:rPr>
          <w:sz w:val="24"/>
          <w:szCs w:val="24"/>
        </w:rPr>
      </w:pPr>
    </w:p>
    <w:p w:rsidR="007C4DF0" w:rsidRPr="00771368" w:rsidRDefault="007C4DF0" w:rsidP="007C4DF0">
      <w:pPr>
        <w:spacing w:line="360" w:lineRule="auto"/>
        <w:ind w:left="1440"/>
        <w:rPr>
          <w:sz w:val="20"/>
          <w:szCs w:val="20"/>
        </w:rPr>
      </w:pPr>
    </w:p>
    <w:p w:rsidR="00D24E61" w:rsidRPr="00771368" w:rsidRDefault="00D24E61">
      <w:pPr>
        <w:ind w:left="3260"/>
        <w:rPr>
          <w:sz w:val="20"/>
          <w:szCs w:val="20"/>
        </w:rPr>
      </w:pPr>
      <w:r w:rsidRPr="00771368">
        <w:rPr>
          <w:b/>
          <w:bCs/>
          <w:sz w:val="24"/>
          <w:szCs w:val="24"/>
        </w:rPr>
        <w:t>EMBASAMENTO TEÓRICO</w:t>
      </w:r>
    </w:p>
    <w:p w:rsidR="00D24E61" w:rsidRPr="00771368" w:rsidRDefault="00D24E61">
      <w:pPr>
        <w:spacing w:line="137" w:lineRule="exact"/>
        <w:rPr>
          <w:sz w:val="20"/>
          <w:szCs w:val="20"/>
        </w:rPr>
      </w:pPr>
    </w:p>
    <w:p w:rsidR="00D24E61" w:rsidRPr="00771368" w:rsidRDefault="00D24E61">
      <w:pPr>
        <w:ind w:left="3840"/>
        <w:rPr>
          <w:sz w:val="20"/>
          <w:szCs w:val="20"/>
        </w:rPr>
      </w:pPr>
      <w:r w:rsidRPr="00771368">
        <w:rPr>
          <w:b/>
          <w:bCs/>
          <w:sz w:val="24"/>
          <w:szCs w:val="24"/>
        </w:rPr>
        <w:t>Relações de gênero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rsidP="007C4DF0">
      <w:pPr>
        <w:spacing w:line="310" w:lineRule="auto"/>
        <w:ind w:firstLine="708"/>
        <w:jc w:val="both"/>
        <w:rPr>
          <w:sz w:val="20"/>
          <w:szCs w:val="20"/>
        </w:rPr>
      </w:pPr>
      <w:r w:rsidRPr="00771368">
        <w:rPr>
          <w:sz w:val="24"/>
          <w:szCs w:val="24"/>
        </w:rPr>
        <w:t>As relações de gênero de acordo com o tempo estabelecem padrões diferenciados que resondem aos comportamentos culturais.</w:t>
      </w:r>
      <w:r w:rsidR="007C4DF0" w:rsidRPr="00771368">
        <w:rPr>
          <w:sz w:val="24"/>
          <w:szCs w:val="24"/>
        </w:rPr>
        <w:t xml:space="preserve"> </w:t>
      </w:r>
      <w:r w:rsidRPr="00771368">
        <w:rPr>
          <w:sz w:val="24"/>
          <w:szCs w:val="24"/>
        </w:rPr>
        <w:t>O gênero trabalhado como uma questão de divisão de papéis sociais tem suas características enraizadas na cultura ocidental de um modo diferente, já que no mundo oriental o papel dos sexos sempre foram mais marcados pela susceptibilidade da mulher ante o poder masculino.</w:t>
      </w:r>
    </w:p>
    <w:p w:rsidR="00D24E61" w:rsidRPr="00771368" w:rsidRDefault="00D24E61" w:rsidP="007C4DF0">
      <w:pPr>
        <w:spacing w:line="92" w:lineRule="exact"/>
        <w:jc w:val="both"/>
        <w:rPr>
          <w:sz w:val="20"/>
          <w:szCs w:val="20"/>
        </w:rPr>
      </w:pPr>
    </w:p>
    <w:p w:rsidR="00D24E61" w:rsidRPr="00771368" w:rsidRDefault="00D24E61" w:rsidP="007C4DF0">
      <w:pPr>
        <w:spacing w:line="352" w:lineRule="auto"/>
        <w:ind w:firstLine="708"/>
        <w:jc w:val="both"/>
        <w:rPr>
          <w:sz w:val="20"/>
          <w:szCs w:val="20"/>
        </w:rPr>
      </w:pPr>
      <w:r w:rsidRPr="00771368">
        <w:rPr>
          <w:sz w:val="24"/>
          <w:szCs w:val="24"/>
        </w:rPr>
        <w:t>O papel do homem e da mulher é constituído culturalmente e muda conforme a sociedade e o tempo. Esse papel começa a ser construído desde que o(a) bebê está na barriga da mãe, quando a família de acordo à expectativa começa a preparar o enxoval de acordo ao sexo. Dessa forma, cor de rosa para as meninas e azul para os meninos. Depois que nasce um bebê, a primeira coisa que se identifica é o sexo: “menina ou menino” e a partir desse momento começará a receber mensagens sobre o que a sociedade espera desta menina ou menino. Ou seja, por ter genitais femininos ou masculinos, eles são ensinados pelo pai, mãe, família, escola, mídia, sociedade em geral, diferentes modos de pensar, de sentir, de atuar. (Cabral,e Díaz 1999)</w:t>
      </w:r>
    </w:p>
    <w:p w:rsidR="00D24E61" w:rsidRPr="00771368" w:rsidRDefault="00D24E61" w:rsidP="007C4DF0">
      <w:pPr>
        <w:spacing w:line="74" w:lineRule="exact"/>
        <w:jc w:val="both"/>
        <w:rPr>
          <w:sz w:val="20"/>
          <w:szCs w:val="20"/>
        </w:rPr>
      </w:pPr>
    </w:p>
    <w:p w:rsidR="00D24E61" w:rsidRPr="00771368" w:rsidRDefault="00D24E61" w:rsidP="007C4DF0">
      <w:pPr>
        <w:spacing w:line="342" w:lineRule="auto"/>
        <w:ind w:firstLine="708"/>
        <w:jc w:val="both"/>
        <w:rPr>
          <w:sz w:val="20"/>
          <w:szCs w:val="20"/>
        </w:rPr>
      </w:pPr>
      <w:r w:rsidRPr="00771368">
        <w:rPr>
          <w:sz w:val="24"/>
          <w:szCs w:val="24"/>
        </w:rPr>
        <w:t>A educação exerceu e exerce papel preponderante na formação sócio-cultural das gerações. A educação em si, foi um dos fatores que influenciaram para a formação de um pensamento de reação às condições intelectuais e educacionais de caráter machista vigentes, influenciadas principalmente pela primazia da igreja católica em especial na Europa Medieval.</w:t>
      </w:r>
    </w:p>
    <w:p w:rsidR="00D24E61" w:rsidRPr="00771368" w:rsidRDefault="00D24E61">
      <w:pPr>
        <w:spacing w:line="81" w:lineRule="exact"/>
        <w:rPr>
          <w:sz w:val="20"/>
          <w:szCs w:val="20"/>
        </w:rPr>
      </w:pPr>
    </w:p>
    <w:p w:rsidR="00D24E61" w:rsidRPr="00771368" w:rsidRDefault="00D24E61" w:rsidP="007C4DF0">
      <w:pPr>
        <w:spacing w:line="310" w:lineRule="auto"/>
        <w:ind w:firstLine="708"/>
        <w:jc w:val="both"/>
        <w:rPr>
          <w:sz w:val="20"/>
          <w:szCs w:val="20"/>
        </w:rPr>
      </w:pPr>
      <w:r w:rsidRPr="00771368">
        <w:rPr>
          <w:sz w:val="24"/>
          <w:szCs w:val="24"/>
        </w:rPr>
        <w:t>Não é de hoje que a educação é vista como uma poderosa arma para conquistar a igualdade de direitos entre mulheres e homens na sociedade.</w:t>
      </w:r>
    </w:p>
    <w:p w:rsidR="00D24E61" w:rsidRPr="00771368" w:rsidRDefault="00D24E61" w:rsidP="007C4DF0">
      <w:pPr>
        <w:spacing w:line="115" w:lineRule="exact"/>
        <w:jc w:val="both"/>
        <w:rPr>
          <w:sz w:val="20"/>
          <w:szCs w:val="20"/>
        </w:rPr>
      </w:pPr>
    </w:p>
    <w:p w:rsidR="00D24E61" w:rsidRPr="00771368" w:rsidRDefault="00D24E61" w:rsidP="007C4DF0">
      <w:pPr>
        <w:spacing w:line="353" w:lineRule="auto"/>
        <w:ind w:firstLine="708"/>
        <w:jc w:val="both"/>
        <w:rPr>
          <w:sz w:val="20"/>
          <w:szCs w:val="20"/>
        </w:rPr>
      </w:pPr>
      <w:r w:rsidRPr="00771368">
        <w:rPr>
          <w:sz w:val="24"/>
          <w:szCs w:val="24"/>
        </w:rPr>
        <w:t>Christine de Pisan nasceu na França por volta de 1364. Naquele tempo, não era comum deixar uma menina aprender a ler e escrever. Mas mesmo assim ela aprendeu e foi, possivelmente, a primeira escritora mulher da história ocidental, e, com certeza, a primeira a se sustentar e à sua família com seu trabalho de escritora. Christine escreveu poesias, músicas e histórias populares nas cortes de sua época. Muitos dos estudiosos da história medieval chegam a considerar Christine de Pisan como a primeira feminista. Provavelmente, ela foi a primeira a defender uma educação igual para homens e mulheres. A opinião que prevaleceu e dominou por muito tempo na Renascença era a de que todo ensino ministrado por mulheres (as professoras) e para mulheres (as alunas) era suspeito e até inadequado.</w:t>
      </w:r>
    </w:p>
    <w:p w:rsidR="00D24E61" w:rsidRPr="00771368" w:rsidRDefault="00D24E61" w:rsidP="007C4DF0">
      <w:pPr>
        <w:spacing w:line="75" w:lineRule="exact"/>
        <w:jc w:val="both"/>
        <w:rPr>
          <w:sz w:val="20"/>
          <w:szCs w:val="20"/>
        </w:rPr>
      </w:pPr>
    </w:p>
    <w:p w:rsidR="00D24E61" w:rsidRPr="00771368" w:rsidRDefault="00D24E61" w:rsidP="007C4DF0">
      <w:pPr>
        <w:spacing w:line="308" w:lineRule="auto"/>
        <w:ind w:firstLine="708"/>
        <w:jc w:val="both"/>
        <w:rPr>
          <w:sz w:val="20"/>
          <w:szCs w:val="20"/>
        </w:rPr>
      </w:pPr>
      <w:r w:rsidRPr="00771368">
        <w:rPr>
          <w:sz w:val="24"/>
          <w:szCs w:val="24"/>
        </w:rPr>
        <w:t>Na Europa, mesmo nas classes mais ricas, instruir as filhas era considerado impróprio e até perigoso. Os meninos iam para o colégio e suas irmãs eram condenadas a permanecer enclausuradas</w:t>
      </w:r>
    </w:p>
    <w:p w:rsidR="00D24E61" w:rsidRPr="00771368" w:rsidRDefault="00D24E61">
      <w:pPr>
        <w:spacing w:line="308" w:lineRule="auto"/>
        <w:jc w:val="both"/>
        <w:rPr>
          <w:sz w:val="20"/>
          <w:szCs w:val="20"/>
        </w:rPr>
      </w:pPr>
      <w:r w:rsidRPr="00771368">
        <w:rPr>
          <w:sz w:val="24"/>
          <w:szCs w:val="24"/>
        </w:rPr>
        <w:t>em casa ou em instituições religiosas, tendo como único ensinamento o das tarefas domésticas que seu futuro papel de esposa e mãe exigia.</w:t>
      </w:r>
    </w:p>
    <w:p w:rsidR="00D24E61" w:rsidRPr="00771368" w:rsidRDefault="00D24E61">
      <w:pPr>
        <w:spacing w:line="120" w:lineRule="exact"/>
        <w:rPr>
          <w:sz w:val="20"/>
          <w:szCs w:val="20"/>
        </w:rPr>
      </w:pPr>
    </w:p>
    <w:p w:rsidR="00D24E61" w:rsidRPr="00771368" w:rsidRDefault="00D24E61">
      <w:pPr>
        <w:spacing w:line="342" w:lineRule="auto"/>
        <w:ind w:firstLine="708"/>
        <w:jc w:val="both"/>
        <w:rPr>
          <w:sz w:val="20"/>
          <w:szCs w:val="20"/>
        </w:rPr>
      </w:pPr>
      <w:r w:rsidRPr="00771368">
        <w:rPr>
          <w:sz w:val="24"/>
          <w:szCs w:val="24"/>
        </w:rPr>
        <w:t>Apenas em 1574 , freiras Ursulinas fundaram na França uma das primeiras escolas femininas. Grandes humanistas, como Erasmo, Condorcet e Diderot, defenderam a instrução das moças. Eles afirmavam que a subordinação da mulher ao homem é uma tirania baseada na ignorância e falta de conhecimento das mulheres. (Auad, 2003).</w:t>
      </w:r>
    </w:p>
    <w:p w:rsidR="00D24E61" w:rsidRPr="00771368" w:rsidRDefault="00D24E61">
      <w:pPr>
        <w:spacing w:line="282" w:lineRule="exact"/>
        <w:rPr>
          <w:sz w:val="20"/>
          <w:szCs w:val="20"/>
        </w:rPr>
      </w:pPr>
    </w:p>
    <w:p w:rsidR="00D24E61" w:rsidRPr="00771368" w:rsidRDefault="00D24E61">
      <w:pPr>
        <w:spacing w:line="353" w:lineRule="auto"/>
        <w:ind w:firstLine="708"/>
        <w:jc w:val="both"/>
        <w:rPr>
          <w:sz w:val="20"/>
          <w:szCs w:val="20"/>
        </w:rPr>
      </w:pPr>
      <w:r w:rsidRPr="00771368">
        <w:rPr>
          <w:sz w:val="24"/>
          <w:szCs w:val="24"/>
        </w:rPr>
        <w:t>Mas para Rousseau, outro conhecido humanista, as mulheres não podiam ambicionar a igualdade, sobretudo em matéria de educação. De acordo com as idéias de Rousseau, a mulher deveria ser educada apenas o quanto fosse preciso para que ela se colocasse a serviço do homem. Para ele, a realização "natural" da mulher seria servir o homem, desde a infância até a idade adulta. A inglesa Mary Wollstonecraft, defensora do princípio de direitos naturais do indivíduo, em 1792, escreveu um livro intitulado "Defesa do Direitos da Mulher". Mary denuncia as ideias de Rousseau com relação à mulher. Ela afirma que existem diferenças entre meninos e meninas mas que a inferioridade da mulher nada mais é do que fruto da educação. Ela propõe, portanto, a igualdade na formação intelectual e no desenvolvimento físico entre os sexos.</w:t>
      </w:r>
    </w:p>
    <w:p w:rsidR="00D24E61" w:rsidRPr="00771368" w:rsidRDefault="00D24E61">
      <w:pPr>
        <w:spacing w:line="73" w:lineRule="exact"/>
        <w:rPr>
          <w:sz w:val="20"/>
          <w:szCs w:val="20"/>
        </w:rPr>
      </w:pPr>
    </w:p>
    <w:p w:rsidR="00D24E61" w:rsidRPr="00771368" w:rsidRDefault="00D24E61">
      <w:pPr>
        <w:spacing w:line="343" w:lineRule="auto"/>
        <w:jc w:val="both"/>
        <w:rPr>
          <w:sz w:val="20"/>
          <w:szCs w:val="20"/>
        </w:rPr>
      </w:pPr>
      <w:r w:rsidRPr="00771368">
        <w:rPr>
          <w:sz w:val="24"/>
          <w:szCs w:val="24"/>
        </w:rPr>
        <w:t>Diante do exposto, percebemos que a individualidade de cada cidadão esteve antes atrelada ao domínio masculino sobre a sociedade e principalmente sobre o sexo feminino, o que de alguma forma atrasou o processo de equidade dos gêneros através dos tempos e principalmente do século XX.</w:t>
      </w:r>
    </w:p>
    <w:p w:rsidR="00D24E61" w:rsidRPr="00771368" w:rsidRDefault="00D24E61">
      <w:pPr>
        <w:sectPr w:rsidR="00D24E61" w:rsidRPr="00771368">
          <w:pgSz w:w="11900" w:h="16838"/>
          <w:pgMar w:top="1440" w:right="840" w:bottom="1440" w:left="1420" w:header="0" w:footer="0" w:gutter="0"/>
          <w:cols w:space="720" w:equalWidth="0">
            <w:col w:w="9640"/>
          </w:cols>
        </w:sectPr>
      </w:pPr>
    </w:p>
    <w:p w:rsidR="00D24E61" w:rsidRPr="00771368" w:rsidRDefault="00D24E61">
      <w:pPr>
        <w:spacing w:line="259" w:lineRule="exact"/>
        <w:rPr>
          <w:sz w:val="20"/>
          <w:szCs w:val="20"/>
        </w:rPr>
      </w:pPr>
    </w:p>
    <w:p w:rsidR="00D24E61" w:rsidRPr="00771368" w:rsidRDefault="00D24E61">
      <w:pPr>
        <w:rPr>
          <w:sz w:val="20"/>
          <w:szCs w:val="20"/>
        </w:rPr>
      </w:pPr>
      <w:r w:rsidRPr="00771368">
        <w:rPr>
          <w:b/>
          <w:bCs/>
          <w:sz w:val="24"/>
          <w:szCs w:val="24"/>
        </w:rPr>
        <w:t>METODOLOGIA</w:t>
      </w:r>
    </w:p>
    <w:p w:rsidR="00D24E61" w:rsidRPr="00771368" w:rsidRDefault="00D24E61">
      <w:pPr>
        <w:spacing w:line="200" w:lineRule="exact"/>
        <w:rPr>
          <w:sz w:val="20"/>
          <w:szCs w:val="20"/>
        </w:rPr>
      </w:pPr>
    </w:p>
    <w:p w:rsidR="00D24E61" w:rsidRPr="00771368" w:rsidRDefault="00D24E61" w:rsidP="00A01226">
      <w:pPr>
        <w:jc w:val="both"/>
        <w:rPr>
          <w:sz w:val="20"/>
          <w:szCs w:val="20"/>
        </w:rPr>
      </w:pPr>
      <w:r w:rsidRPr="00771368">
        <w:rPr>
          <w:sz w:val="24"/>
          <w:szCs w:val="24"/>
        </w:rPr>
        <w:t>A operacionalização do trabalho depende de alguns requisitos básicos para que se alcancem os</w:t>
      </w:r>
    </w:p>
    <w:p w:rsidR="00D24E61" w:rsidRPr="00771368" w:rsidRDefault="00D24E61" w:rsidP="00A01226">
      <w:pPr>
        <w:spacing w:line="137" w:lineRule="exact"/>
        <w:jc w:val="both"/>
        <w:rPr>
          <w:sz w:val="20"/>
          <w:szCs w:val="20"/>
        </w:rPr>
      </w:pPr>
    </w:p>
    <w:p w:rsidR="00D24E61" w:rsidRPr="00771368" w:rsidRDefault="00D24E61" w:rsidP="00A01226">
      <w:pPr>
        <w:jc w:val="both"/>
        <w:rPr>
          <w:sz w:val="20"/>
          <w:szCs w:val="20"/>
        </w:rPr>
      </w:pPr>
      <w:r w:rsidRPr="00771368">
        <w:rPr>
          <w:sz w:val="24"/>
          <w:szCs w:val="24"/>
        </w:rPr>
        <w:t>objetivos propostos dentre eles:</w:t>
      </w:r>
    </w:p>
    <w:p w:rsidR="00A01226" w:rsidRPr="00771368" w:rsidRDefault="00A01226" w:rsidP="00A01226">
      <w:pPr>
        <w:ind w:left="280"/>
        <w:jc w:val="both"/>
        <w:rPr>
          <w:sz w:val="24"/>
          <w:szCs w:val="24"/>
        </w:rPr>
      </w:pPr>
    </w:p>
    <w:p w:rsidR="00D24E61" w:rsidRPr="00771368" w:rsidRDefault="00D24E61" w:rsidP="00A01226">
      <w:pPr>
        <w:ind w:left="280"/>
        <w:jc w:val="both"/>
        <w:rPr>
          <w:sz w:val="20"/>
          <w:szCs w:val="20"/>
        </w:rPr>
      </w:pPr>
      <w:r w:rsidRPr="00771368">
        <w:rPr>
          <w:sz w:val="24"/>
          <w:szCs w:val="24"/>
        </w:rPr>
        <w:t>Reunião entre direção, professores e comunidade;</w:t>
      </w:r>
    </w:p>
    <w:p w:rsidR="00D24E61" w:rsidRPr="00771368" w:rsidRDefault="00D24E61" w:rsidP="00A01226">
      <w:pPr>
        <w:spacing w:line="118" w:lineRule="exact"/>
        <w:jc w:val="both"/>
        <w:rPr>
          <w:sz w:val="20"/>
          <w:szCs w:val="20"/>
        </w:rPr>
      </w:pPr>
    </w:p>
    <w:p w:rsidR="00D24E61" w:rsidRPr="00771368" w:rsidRDefault="00D24E61" w:rsidP="00A01226">
      <w:pPr>
        <w:spacing w:line="232" w:lineRule="auto"/>
        <w:ind w:left="640" w:right="240"/>
        <w:jc w:val="both"/>
        <w:rPr>
          <w:sz w:val="20"/>
          <w:szCs w:val="20"/>
        </w:rPr>
      </w:pPr>
      <w:r w:rsidRPr="00771368">
        <w:rPr>
          <w:sz w:val="24"/>
          <w:szCs w:val="24"/>
        </w:rPr>
        <w:t>Trabalho pedagógico de reflexão e debate em sala de aula referente ao tema “valorizando o gênero”, com música, neste caso o funk;</w:t>
      </w:r>
    </w:p>
    <w:p w:rsidR="00D24E61" w:rsidRPr="00771368" w:rsidRDefault="00D24E61" w:rsidP="00A01226">
      <w:pPr>
        <w:spacing w:line="59" w:lineRule="exact"/>
        <w:jc w:val="both"/>
        <w:rPr>
          <w:sz w:val="20"/>
          <w:szCs w:val="20"/>
        </w:rPr>
      </w:pPr>
    </w:p>
    <w:p w:rsidR="00D24E61" w:rsidRPr="00771368" w:rsidRDefault="00D24E61" w:rsidP="00A01226">
      <w:pPr>
        <w:ind w:left="280"/>
        <w:jc w:val="both"/>
        <w:rPr>
          <w:sz w:val="20"/>
          <w:szCs w:val="20"/>
        </w:rPr>
      </w:pPr>
      <w:r w:rsidRPr="00771368">
        <w:rPr>
          <w:sz w:val="24"/>
          <w:szCs w:val="24"/>
        </w:rPr>
        <w:t>Projeção de filmes ;</w:t>
      </w:r>
    </w:p>
    <w:p w:rsidR="00D24E61" w:rsidRPr="00771368" w:rsidRDefault="00D24E61" w:rsidP="00A01226">
      <w:pPr>
        <w:spacing w:line="101" w:lineRule="exact"/>
        <w:jc w:val="both"/>
        <w:rPr>
          <w:sz w:val="20"/>
          <w:szCs w:val="20"/>
        </w:rPr>
      </w:pPr>
    </w:p>
    <w:p w:rsidR="00D24E61" w:rsidRPr="00771368" w:rsidRDefault="00D24E61" w:rsidP="00A01226">
      <w:pPr>
        <w:spacing w:line="232" w:lineRule="auto"/>
        <w:ind w:left="720" w:right="440"/>
        <w:jc w:val="both"/>
        <w:rPr>
          <w:sz w:val="20"/>
          <w:szCs w:val="20"/>
        </w:rPr>
      </w:pPr>
      <w:r w:rsidRPr="00771368">
        <w:rPr>
          <w:sz w:val="24"/>
          <w:szCs w:val="24"/>
          <w:u w:val="single"/>
        </w:rPr>
        <w:t>Ação Realizada</w:t>
      </w:r>
      <w:r w:rsidRPr="00771368">
        <w:rPr>
          <w:sz w:val="24"/>
          <w:szCs w:val="24"/>
        </w:rPr>
        <w:t xml:space="preserve"> :Debate em sala de aula,com as músicas: roda de conversas e roteiro de questionamentos a serem seguidos, tabulação das questões das rodas de conversa.</w:t>
      </w:r>
    </w:p>
    <w:p w:rsidR="00D24E61" w:rsidRPr="00771368" w:rsidRDefault="00D24E61" w:rsidP="00A01226">
      <w:pPr>
        <w:spacing w:line="59" w:lineRule="exact"/>
        <w:jc w:val="both"/>
        <w:rPr>
          <w:sz w:val="20"/>
          <w:szCs w:val="20"/>
        </w:rPr>
      </w:pPr>
    </w:p>
    <w:p w:rsidR="00D24E61" w:rsidRPr="00771368" w:rsidRDefault="00D24E61" w:rsidP="00A01226">
      <w:pPr>
        <w:ind w:left="1080"/>
        <w:jc w:val="both"/>
        <w:rPr>
          <w:sz w:val="20"/>
          <w:szCs w:val="20"/>
        </w:rPr>
      </w:pPr>
      <w:r w:rsidRPr="00771368">
        <w:rPr>
          <w:sz w:val="24"/>
          <w:szCs w:val="24"/>
        </w:rPr>
        <w:t>Previsão de duração 2 meses.</w:t>
      </w:r>
    </w:p>
    <w:p w:rsidR="00D24E61" w:rsidRPr="00771368" w:rsidRDefault="00D24E61" w:rsidP="00A01226">
      <w:pPr>
        <w:spacing w:line="200" w:lineRule="exact"/>
        <w:jc w:val="both"/>
        <w:rPr>
          <w:sz w:val="20"/>
          <w:szCs w:val="20"/>
        </w:rPr>
      </w:pPr>
    </w:p>
    <w:p w:rsidR="00D24E61" w:rsidRPr="00771368" w:rsidRDefault="00D24E61">
      <w:pPr>
        <w:spacing w:line="261" w:lineRule="exact"/>
        <w:rPr>
          <w:sz w:val="20"/>
          <w:szCs w:val="20"/>
        </w:rPr>
      </w:pPr>
    </w:p>
    <w:p w:rsidR="00D24E61" w:rsidRPr="00771368" w:rsidRDefault="00D24E61">
      <w:pPr>
        <w:rPr>
          <w:sz w:val="20"/>
          <w:szCs w:val="20"/>
        </w:rPr>
      </w:pPr>
      <w:r w:rsidRPr="00771368">
        <w:rPr>
          <w:b/>
          <w:bCs/>
          <w:sz w:val="24"/>
          <w:szCs w:val="24"/>
        </w:rPr>
        <w:t>Atividades Desenvolvidas</w:t>
      </w:r>
    </w:p>
    <w:p w:rsidR="00D24E61" w:rsidRPr="00771368" w:rsidRDefault="00D24E61">
      <w:pPr>
        <w:spacing w:line="200" w:lineRule="exact"/>
        <w:rPr>
          <w:sz w:val="20"/>
          <w:szCs w:val="20"/>
        </w:rPr>
      </w:pPr>
    </w:p>
    <w:p w:rsidR="00D24E61" w:rsidRPr="00771368" w:rsidRDefault="00D24E61">
      <w:pPr>
        <w:spacing w:line="309" w:lineRule="exact"/>
        <w:rPr>
          <w:sz w:val="20"/>
          <w:szCs w:val="20"/>
        </w:rPr>
      </w:pPr>
    </w:p>
    <w:p w:rsidR="00D24E61" w:rsidRPr="00771368" w:rsidRDefault="00D24E61" w:rsidP="00A01226">
      <w:pPr>
        <w:spacing w:line="342" w:lineRule="auto"/>
        <w:ind w:firstLine="708"/>
        <w:jc w:val="both"/>
        <w:rPr>
          <w:sz w:val="20"/>
          <w:szCs w:val="20"/>
        </w:rPr>
      </w:pPr>
      <w:r w:rsidRPr="00771368">
        <w:rPr>
          <w:sz w:val="24"/>
          <w:szCs w:val="24"/>
        </w:rPr>
        <w:t>Foram desenvolvidas, nas disciplinas de Língua Portuguesa, Língua Inglesa,Literatura e biologia,diversas atividades, cujos objetivos eram informar aos alunos e levá-los à reflexão a respeito do papel que as mulheres estão ocupando na sociedade nos diversos segmentos dela e através disso, fazer com que as mulheres tenham mais consciência crítica em relação ao corpo,</w:t>
      </w:r>
    </w:p>
    <w:p w:rsidR="00D24E61" w:rsidRPr="00771368" w:rsidRDefault="00D24E61" w:rsidP="00A01226">
      <w:pPr>
        <w:spacing w:line="25" w:lineRule="exact"/>
        <w:jc w:val="both"/>
        <w:rPr>
          <w:sz w:val="20"/>
          <w:szCs w:val="20"/>
        </w:rPr>
      </w:pPr>
    </w:p>
    <w:p w:rsidR="00D24E61" w:rsidRPr="00771368" w:rsidRDefault="00D24E61" w:rsidP="00A01226">
      <w:pPr>
        <w:jc w:val="both"/>
        <w:rPr>
          <w:sz w:val="20"/>
          <w:szCs w:val="20"/>
        </w:rPr>
      </w:pPr>
      <w:r w:rsidRPr="00771368">
        <w:rPr>
          <w:sz w:val="24"/>
          <w:szCs w:val="24"/>
        </w:rPr>
        <w:t>pensamentos e atitudes.</w:t>
      </w:r>
    </w:p>
    <w:p w:rsidR="00D24E61" w:rsidRPr="00771368" w:rsidRDefault="00D24E61" w:rsidP="00A01226">
      <w:pPr>
        <w:spacing w:line="137" w:lineRule="exact"/>
        <w:jc w:val="both"/>
        <w:rPr>
          <w:sz w:val="20"/>
          <w:szCs w:val="20"/>
        </w:rPr>
      </w:pPr>
    </w:p>
    <w:p w:rsidR="00D24E61" w:rsidRPr="00771368" w:rsidRDefault="00D24E61" w:rsidP="00A01226">
      <w:pPr>
        <w:ind w:left="140"/>
        <w:jc w:val="both"/>
        <w:rPr>
          <w:sz w:val="20"/>
          <w:szCs w:val="20"/>
        </w:rPr>
      </w:pPr>
      <w:r w:rsidRPr="00771368">
        <w:rPr>
          <w:sz w:val="24"/>
          <w:szCs w:val="24"/>
        </w:rPr>
        <w:t>Abaixo, segue um breve relato das atividades desenvolvidas em suas respectivas disciplinas</w:t>
      </w:r>
    </w:p>
    <w:p w:rsidR="00D24E61" w:rsidRPr="00771368" w:rsidRDefault="00D24E61" w:rsidP="00A01226">
      <w:pPr>
        <w:spacing w:line="200" w:lineRule="exact"/>
        <w:jc w:val="both"/>
        <w:rPr>
          <w:sz w:val="20"/>
          <w:szCs w:val="20"/>
        </w:rPr>
      </w:pPr>
    </w:p>
    <w:p w:rsidR="00D24E61" w:rsidRPr="00771368" w:rsidRDefault="00D24E61" w:rsidP="00A01226">
      <w:pPr>
        <w:spacing w:line="256" w:lineRule="exact"/>
        <w:jc w:val="both"/>
        <w:rPr>
          <w:sz w:val="20"/>
          <w:szCs w:val="20"/>
        </w:rPr>
      </w:pPr>
    </w:p>
    <w:p w:rsidR="00D24E61" w:rsidRPr="00771368" w:rsidRDefault="00D24E61">
      <w:pPr>
        <w:ind w:left="760"/>
        <w:rPr>
          <w:sz w:val="20"/>
          <w:szCs w:val="20"/>
        </w:rPr>
      </w:pPr>
      <w:r w:rsidRPr="00771368">
        <w:rPr>
          <w:b/>
          <w:bCs/>
          <w:sz w:val="24"/>
          <w:szCs w:val="24"/>
        </w:rPr>
        <w:t xml:space="preserve">Língua Portuguesa; </w:t>
      </w:r>
      <w:r w:rsidRPr="00771368">
        <w:rPr>
          <w:sz w:val="24"/>
          <w:szCs w:val="24"/>
        </w:rPr>
        <w:t>4 aulas semanais</w:t>
      </w:r>
    </w:p>
    <w:p w:rsidR="00D24E61" w:rsidRPr="00771368" w:rsidRDefault="00D24E61">
      <w:pPr>
        <w:spacing w:line="154" w:lineRule="exact"/>
        <w:rPr>
          <w:sz w:val="20"/>
          <w:szCs w:val="20"/>
        </w:rPr>
      </w:pPr>
    </w:p>
    <w:p w:rsidR="00D24E61" w:rsidRPr="00771368" w:rsidRDefault="00D24E61" w:rsidP="00A01226">
      <w:pPr>
        <w:ind w:left="1000"/>
        <w:jc w:val="both"/>
        <w:rPr>
          <w:sz w:val="20"/>
          <w:szCs w:val="20"/>
        </w:rPr>
      </w:pPr>
      <w:r w:rsidRPr="00771368">
        <w:rPr>
          <w:sz w:val="24"/>
          <w:szCs w:val="24"/>
        </w:rPr>
        <w:t>Carga horária reservada para atividades do projeto:</w:t>
      </w:r>
    </w:p>
    <w:p w:rsidR="00D24E61" w:rsidRPr="00771368" w:rsidRDefault="00D24E61" w:rsidP="00A01226">
      <w:pPr>
        <w:spacing w:line="214" w:lineRule="exact"/>
        <w:jc w:val="both"/>
        <w:rPr>
          <w:sz w:val="20"/>
          <w:szCs w:val="20"/>
        </w:rPr>
      </w:pPr>
    </w:p>
    <w:p w:rsidR="00D24E61" w:rsidRPr="00771368" w:rsidRDefault="00D24E61" w:rsidP="00A01226">
      <w:pPr>
        <w:spacing w:line="349" w:lineRule="auto"/>
        <w:ind w:left="1360" w:right="2940"/>
        <w:jc w:val="both"/>
        <w:rPr>
          <w:sz w:val="20"/>
          <w:szCs w:val="20"/>
        </w:rPr>
      </w:pPr>
      <w:r w:rsidRPr="00771368">
        <w:rPr>
          <w:sz w:val="23"/>
          <w:szCs w:val="23"/>
        </w:rPr>
        <w:t>Duração das atividades até o momento: 4 horas de aula. Público-alvo: todas as turmas da escola: (3 turmas)</w:t>
      </w:r>
    </w:p>
    <w:p w:rsidR="00D24E61" w:rsidRPr="00771368" w:rsidRDefault="00D24E61" w:rsidP="00A01226">
      <w:pPr>
        <w:spacing w:line="17" w:lineRule="exact"/>
        <w:jc w:val="both"/>
        <w:rPr>
          <w:sz w:val="20"/>
          <w:szCs w:val="20"/>
        </w:rPr>
      </w:pPr>
    </w:p>
    <w:p w:rsidR="00D24E61" w:rsidRPr="00771368" w:rsidRDefault="00D24E61" w:rsidP="00A01226">
      <w:pPr>
        <w:jc w:val="both"/>
        <w:rPr>
          <w:sz w:val="20"/>
          <w:szCs w:val="20"/>
        </w:rPr>
      </w:pPr>
      <w:r w:rsidRPr="00771368">
        <w:rPr>
          <w:sz w:val="24"/>
          <w:szCs w:val="24"/>
        </w:rPr>
        <w:t>Primeira aula: ouvindo as músicas, por algumas vezes para que os alunos prestem atenção na letra</w:t>
      </w:r>
    </w:p>
    <w:p w:rsidR="00D24E61" w:rsidRPr="00771368" w:rsidRDefault="00D24E61" w:rsidP="00A01226">
      <w:pPr>
        <w:spacing w:line="139" w:lineRule="exact"/>
        <w:jc w:val="both"/>
        <w:rPr>
          <w:sz w:val="20"/>
          <w:szCs w:val="20"/>
        </w:rPr>
      </w:pPr>
    </w:p>
    <w:p w:rsidR="00D24E61" w:rsidRPr="00771368" w:rsidRDefault="00D24E61" w:rsidP="00A01226">
      <w:pPr>
        <w:jc w:val="both"/>
        <w:rPr>
          <w:sz w:val="20"/>
          <w:szCs w:val="20"/>
        </w:rPr>
      </w:pPr>
      <w:r w:rsidRPr="00771368">
        <w:rPr>
          <w:sz w:val="24"/>
          <w:szCs w:val="24"/>
        </w:rPr>
        <w:t>da música, em seguida passar as letras na lousa, ou entregar as letras digitadas para que os alunos</w:t>
      </w:r>
    </w:p>
    <w:p w:rsidR="00D24E61" w:rsidRPr="00771368" w:rsidRDefault="00D24E61" w:rsidP="00A01226">
      <w:pPr>
        <w:jc w:val="both"/>
        <w:sectPr w:rsidR="00D24E61" w:rsidRPr="00771368">
          <w:pgSz w:w="11900" w:h="16838"/>
          <w:pgMar w:top="1440" w:right="840" w:bottom="1054" w:left="1420" w:header="0" w:footer="0" w:gutter="0"/>
          <w:cols w:space="720" w:equalWidth="0">
            <w:col w:w="9640"/>
          </w:cols>
        </w:sectPr>
      </w:pPr>
    </w:p>
    <w:p w:rsidR="00D24E61" w:rsidRPr="00771368" w:rsidRDefault="00D24E61" w:rsidP="00A01226">
      <w:pPr>
        <w:spacing w:line="137" w:lineRule="exact"/>
        <w:jc w:val="both"/>
        <w:rPr>
          <w:sz w:val="20"/>
          <w:szCs w:val="20"/>
        </w:rPr>
      </w:pPr>
    </w:p>
    <w:p w:rsidR="00D24E61" w:rsidRPr="00771368" w:rsidRDefault="00D24E61" w:rsidP="00A01226">
      <w:pPr>
        <w:jc w:val="both"/>
        <w:rPr>
          <w:sz w:val="20"/>
          <w:szCs w:val="20"/>
        </w:rPr>
      </w:pPr>
      <w:r w:rsidRPr="00771368">
        <w:rPr>
          <w:sz w:val="24"/>
          <w:szCs w:val="24"/>
        </w:rPr>
        <w:t>tenham acesso a letra;</w:t>
      </w:r>
    </w:p>
    <w:p w:rsidR="00D24E61" w:rsidRPr="00771368" w:rsidRDefault="00D24E61">
      <w:pPr>
        <w:spacing w:line="200" w:lineRule="exact"/>
        <w:rPr>
          <w:sz w:val="20"/>
          <w:szCs w:val="20"/>
        </w:rPr>
      </w:pPr>
    </w:p>
    <w:p w:rsidR="00D24E61" w:rsidRPr="00771368" w:rsidRDefault="00D24E61">
      <w:pPr>
        <w:spacing w:line="368" w:lineRule="exact"/>
        <w:rPr>
          <w:sz w:val="20"/>
          <w:szCs w:val="20"/>
        </w:rPr>
      </w:pPr>
    </w:p>
    <w:p w:rsidR="00D24E61" w:rsidRPr="00771368" w:rsidRDefault="00D24E61">
      <w:pPr>
        <w:spacing w:line="239" w:lineRule="auto"/>
        <w:rPr>
          <w:sz w:val="20"/>
          <w:szCs w:val="20"/>
        </w:rPr>
      </w:pPr>
      <w:r w:rsidRPr="00771368">
        <w:rPr>
          <w:b/>
          <w:bCs/>
          <w:sz w:val="23"/>
          <w:szCs w:val="23"/>
        </w:rPr>
        <w:t>Quero te dar – Valesca Popozuda</w:t>
      </w:r>
    </w:p>
    <w:p w:rsidR="00D24E61" w:rsidRPr="00771368" w:rsidRDefault="00D24E61">
      <w:pPr>
        <w:spacing w:line="40" w:lineRule="exact"/>
        <w:rPr>
          <w:sz w:val="20"/>
          <w:szCs w:val="20"/>
        </w:rPr>
      </w:pPr>
    </w:p>
    <w:p w:rsidR="00D24E61" w:rsidRPr="00771368" w:rsidRDefault="00D24E61">
      <w:pPr>
        <w:rPr>
          <w:sz w:val="20"/>
          <w:szCs w:val="20"/>
        </w:rPr>
      </w:pPr>
      <w:r w:rsidRPr="00771368">
        <w:rPr>
          <w:sz w:val="24"/>
          <w:szCs w:val="24"/>
        </w:rPr>
        <w:t>Amor...</w:t>
      </w:r>
    </w:p>
    <w:p w:rsidR="00D24E61" w:rsidRPr="00771368" w:rsidRDefault="00D24E61">
      <w:pPr>
        <w:spacing w:line="99" w:lineRule="exact"/>
        <w:rPr>
          <w:sz w:val="20"/>
          <w:szCs w:val="20"/>
        </w:rPr>
      </w:pPr>
    </w:p>
    <w:p w:rsidR="00D24E61" w:rsidRPr="00771368" w:rsidRDefault="00D24E61">
      <w:pPr>
        <w:spacing w:line="266" w:lineRule="auto"/>
        <w:ind w:right="1080"/>
        <w:rPr>
          <w:sz w:val="20"/>
          <w:szCs w:val="20"/>
        </w:rPr>
      </w:pPr>
      <w:r w:rsidRPr="00771368">
        <w:rPr>
          <w:sz w:val="23"/>
          <w:szCs w:val="23"/>
        </w:rPr>
        <w:t>Tá difícil de controlar; A mais de uma semana Que eu tento me segurar</w:t>
      </w:r>
    </w:p>
    <w:p w:rsidR="00D24E61" w:rsidRPr="00771368" w:rsidRDefault="00D24E61">
      <w:pPr>
        <w:spacing w:line="15" w:lineRule="exact"/>
        <w:rPr>
          <w:sz w:val="20"/>
          <w:szCs w:val="20"/>
        </w:rPr>
      </w:pPr>
    </w:p>
    <w:p w:rsidR="00D24E61" w:rsidRPr="00771368" w:rsidRDefault="00D24E61">
      <w:pPr>
        <w:rPr>
          <w:sz w:val="20"/>
          <w:szCs w:val="20"/>
        </w:rPr>
      </w:pPr>
      <w:r w:rsidRPr="00771368">
        <w:rPr>
          <w:sz w:val="24"/>
          <w:szCs w:val="24"/>
        </w:rPr>
        <w:t>Eu sei que você é casado!</w:t>
      </w:r>
    </w:p>
    <w:p w:rsidR="00D24E61" w:rsidRPr="00771368" w:rsidRDefault="00D24E61">
      <w:pPr>
        <w:spacing w:line="200" w:lineRule="exact"/>
        <w:rPr>
          <w:sz w:val="20"/>
          <w:szCs w:val="20"/>
        </w:rPr>
      </w:pPr>
      <w:r w:rsidRPr="00771368">
        <w:rPr>
          <w:sz w:val="20"/>
          <w:szCs w:val="20"/>
        </w:rPr>
        <w:br w:type="column"/>
      </w:r>
    </w:p>
    <w:p w:rsidR="00D24E61" w:rsidRPr="00771368" w:rsidRDefault="00D24E61">
      <w:pPr>
        <w:spacing w:line="200" w:lineRule="exact"/>
        <w:rPr>
          <w:sz w:val="20"/>
          <w:szCs w:val="20"/>
        </w:rPr>
      </w:pPr>
    </w:p>
    <w:p w:rsidR="00D24E61" w:rsidRPr="00771368" w:rsidRDefault="00D24E61">
      <w:pPr>
        <w:spacing w:line="210" w:lineRule="exact"/>
        <w:rPr>
          <w:sz w:val="20"/>
          <w:szCs w:val="20"/>
        </w:rPr>
      </w:pPr>
    </w:p>
    <w:p w:rsidR="00D24E61" w:rsidRPr="00771368" w:rsidRDefault="00D24E61">
      <w:pPr>
        <w:spacing w:line="232" w:lineRule="auto"/>
        <w:rPr>
          <w:sz w:val="20"/>
          <w:szCs w:val="20"/>
        </w:rPr>
      </w:pPr>
      <w:r w:rsidRPr="00771368">
        <w:rPr>
          <w:sz w:val="24"/>
          <w:szCs w:val="24"/>
        </w:rPr>
        <w:t>Como é que eu vou te explicar? Essa vontade louca</w:t>
      </w:r>
    </w:p>
    <w:p w:rsidR="00D24E61" w:rsidRPr="00771368" w:rsidRDefault="00D24E61">
      <w:pPr>
        <w:spacing w:line="100" w:lineRule="exact"/>
        <w:rPr>
          <w:sz w:val="20"/>
          <w:szCs w:val="20"/>
        </w:rPr>
      </w:pPr>
    </w:p>
    <w:p w:rsidR="00D24E61" w:rsidRPr="00771368" w:rsidRDefault="00D24E61">
      <w:pPr>
        <w:spacing w:line="247" w:lineRule="auto"/>
        <w:ind w:right="1560"/>
        <w:rPr>
          <w:sz w:val="20"/>
          <w:szCs w:val="20"/>
        </w:rPr>
      </w:pPr>
      <w:r w:rsidRPr="00771368">
        <w:rPr>
          <w:sz w:val="23"/>
          <w:szCs w:val="23"/>
        </w:rPr>
        <w:t>Muito louca! Eu posso falar?</w:t>
      </w:r>
    </w:p>
    <w:p w:rsidR="00D24E61" w:rsidRPr="00771368" w:rsidRDefault="00D24E61">
      <w:pPr>
        <w:spacing w:line="271" w:lineRule="exact"/>
        <w:rPr>
          <w:sz w:val="20"/>
          <w:szCs w:val="20"/>
        </w:rPr>
      </w:pPr>
    </w:p>
    <w:p w:rsidR="00D24E61" w:rsidRPr="00771368" w:rsidRDefault="00D24E61">
      <w:pPr>
        <w:rPr>
          <w:sz w:val="20"/>
          <w:szCs w:val="20"/>
        </w:rPr>
      </w:pPr>
      <w:r w:rsidRPr="00771368">
        <w:rPr>
          <w:sz w:val="24"/>
          <w:szCs w:val="24"/>
        </w:rPr>
        <w:t>Quero te dar</w:t>
      </w:r>
    </w:p>
    <w:p w:rsidR="00D24E61" w:rsidRPr="00771368" w:rsidRDefault="00D24E61">
      <w:pPr>
        <w:rPr>
          <w:sz w:val="20"/>
          <w:szCs w:val="20"/>
        </w:rPr>
      </w:pPr>
      <w:r w:rsidRPr="00771368">
        <w:rPr>
          <w:sz w:val="24"/>
          <w:szCs w:val="24"/>
        </w:rPr>
        <w:t>Quero te dar</w:t>
      </w:r>
    </w:p>
    <w:p w:rsidR="00D24E61" w:rsidRPr="00771368" w:rsidRDefault="00D24E61">
      <w:pPr>
        <w:rPr>
          <w:sz w:val="20"/>
          <w:szCs w:val="20"/>
        </w:rPr>
      </w:pPr>
      <w:r w:rsidRPr="00771368">
        <w:rPr>
          <w:sz w:val="24"/>
          <w:szCs w:val="24"/>
        </w:rPr>
        <w:t>Quero te...</w:t>
      </w:r>
    </w:p>
    <w:p w:rsidR="00D24E61" w:rsidRPr="00771368" w:rsidRDefault="00D24E61">
      <w:pPr>
        <w:sectPr w:rsidR="00D24E61" w:rsidRPr="00771368">
          <w:type w:val="continuous"/>
          <w:pgSz w:w="11900" w:h="16838"/>
          <w:pgMar w:top="1440" w:right="2280" w:bottom="1054" w:left="1420" w:header="0" w:footer="0" w:gutter="0"/>
          <w:cols w:num="2" w:space="720" w:equalWidth="0">
            <w:col w:w="3420" w:space="1760"/>
            <w:col w:w="3020"/>
          </w:cols>
        </w:sectPr>
      </w:pPr>
    </w:p>
    <w:p w:rsidR="00D24E61" w:rsidRPr="00771368" w:rsidRDefault="00D24E61">
      <w:pPr>
        <w:spacing w:line="252" w:lineRule="exact"/>
        <w:rPr>
          <w:sz w:val="20"/>
          <w:szCs w:val="20"/>
        </w:rPr>
      </w:pPr>
    </w:p>
    <w:p w:rsidR="00D24E61" w:rsidRPr="00771368" w:rsidRDefault="00D24E61">
      <w:pPr>
        <w:rPr>
          <w:sz w:val="20"/>
          <w:szCs w:val="20"/>
        </w:rPr>
      </w:pPr>
      <w:r w:rsidRPr="00771368">
        <w:rPr>
          <w:sz w:val="24"/>
          <w:szCs w:val="24"/>
        </w:rPr>
        <w:t>Quero te...</w:t>
      </w:r>
    </w:p>
    <w:p w:rsidR="00D24E61" w:rsidRPr="00771368" w:rsidRDefault="00D24E61">
      <w:pPr>
        <w:spacing w:line="58" w:lineRule="exact"/>
        <w:rPr>
          <w:sz w:val="20"/>
          <w:szCs w:val="20"/>
        </w:rPr>
      </w:pPr>
    </w:p>
    <w:p w:rsidR="00D24E61" w:rsidRPr="00771368" w:rsidRDefault="00D24E61">
      <w:pPr>
        <w:spacing w:line="224" w:lineRule="auto"/>
        <w:ind w:right="2300"/>
        <w:rPr>
          <w:sz w:val="20"/>
          <w:szCs w:val="20"/>
        </w:rPr>
      </w:pPr>
      <w:r w:rsidRPr="00771368">
        <w:rPr>
          <w:sz w:val="23"/>
          <w:szCs w:val="23"/>
        </w:rPr>
        <w:t>Quero te dar Quero te dar</w:t>
      </w:r>
    </w:p>
    <w:p w:rsidR="00D24E61" w:rsidRPr="00771368" w:rsidRDefault="00D24E61">
      <w:pPr>
        <w:spacing w:line="58" w:lineRule="exact"/>
        <w:rPr>
          <w:sz w:val="20"/>
          <w:szCs w:val="20"/>
        </w:rPr>
      </w:pPr>
    </w:p>
    <w:p w:rsidR="00D24E61" w:rsidRPr="00771368" w:rsidRDefault="00D24E61">
      <w:pPr>
        <w:spacing w:line="214" w:lineRule="auto"/>
        <w:ind w:right="640"/>
        <w:jc w:val="both"/>
        <w:rPr>
          <w:sz w:val="20"/>
          <w:szCs w:val="20"/>
        </w:rPr>
      </w:pPr>
      <w:r w:rsidRPr="00771368">
        <w:rPr>
          <w:sz w:val="24"/>
          <w:szCs w:val="24"/>
        </w:rPr>
        <w:t>Dá dá dá dá dá dá dá dá dá dá Quero te dar</w:t>
      </w:r>
    </w:p>
    <w:p w:rsidR="00D24E61" w:rsidRPr="00771368" w:rsidRDefault="00D24E61">
      <w:pPr>
        <w:spacing w:line="2" w:lineRule="exact"/>
        <w:rPr>
          <w:sz w:val="20"/>
          <w:szCs w:val="20"/>
        </w:rPr>
      </w:pPr>
    </w:p>
    <w:p w:rsidR="00D24E61" w:rsidRPr="00771368" w:rsidRDefault="00D24E61">
      <w:pPr>
        <w:rPr>
          <w:sz w:val="20"/>
          <w:szCs w:val="20"/>
        </w:rPr>
      </w:pPr>
      <w:r w:rsidRPr="00771368">
        <w:rPr>
          <w:sz w:val="24"/>
          <w:szCs w:val="24"/>
        </w:rPr>
        <w:t>Quero te dar</w:t>
      </w:r>
    </w:p>
    <w:p w:rsidR="00D24E61" w:rsidRPr="00771368" w:rsidRDefault="00D24E61">
      <w:pPr>
        <w:spacing w:line="58" w:lineRule="exact"/>
        <w:rPr>
          <w:sz w:val="20"/>
          <w:szCs w:val="20"/>
        </w:rPr>
      </w:pPr>
    </w:p>
    <w:p w:rsidR="00D24E61" w:rsidRPr="00771368" w:rsidRDefault="00D24E61">
      <w:pPr>
        <w:spacing w:line="214" w:lineRule="auto"/>
        <w:ind w:right="640"/>
        <w:jc w:val="both"/>
        <w:rPr>
          <w:sz w:val="20"/>
          <w:szCs w:val="20"/>
        </w:rPr>
      </w:pPr>
      <w:r w:rsidRPr="00771368">
        <w:rPr>
          <w:sz w:val="24"/>
          <w:szCs w:val="24"/>
        </w:rPr>
        <w:t>Dá dá dá dá dá dá dá dá dá dá Quero te...</w:t>
      </w:r>
    </w:p>
    <w:p w:rsidR="00D24E61" w:rsidRPr="00771368" w:rsidRDefault="00D24E61">
      <w:pPr>
        <w:spacing w:line="2" w:lineRule="exact"/>
        <w:rPr>
          <w:sz w:val="20"/>
          <w:szCs w:val="20"/>
        </w:rPr>
      </w:pPr>
    </w:p>
    <w:p w:rsidR="00D24E61" w:rsidRPr="00771368" w:rsidRDefault="00D24E61">
      <w:pPr>
        <w:rPr>
          <w:sz w:val="20"/>
          <w:szCs w:val="20"/>
        </w:rPr>
      </w:pPr>
      <w:r w:rsidRPr="00771368">
        <w:rPr>
          <w:sz w:val="24"/>
          <w:szCs w:val="24"/>
        </w:rPr>
        <w:t>Quero te...</w:t>
      </w:r>
    </w:p>
    <w:p w:rsidR="00D24E61" w:rsidRPr="00771368" w:rsidRDefault="00D24E61">
      <w:pPr>
        <w:rPr>
          <w:sz w:val="20"/>
          <w:szCs w:val="20"/>
        </w:rPr>
      </w:pPr>
      <w:r w:rsidRPr="00771368">
        <w:rPr>
          <w:sz w:val="24"/>
          <w:szCs w:val="24"/>
        </w:rPr>
        <w:t>Quero te dar</w:t>
      </w:r>
    </w:p>
    <w:p w:rsidR="00D24E61" w:rsidRPr="00771368" w:rsidRDefault="00D24E61">
      <w:pPr>
        <w:spacing w:line="58" w:lineRule="exact"/>
        <w:rPr>
          <w:sz w:val="20"/>
          <w:szCs w:val="20"/>
        </w:rPr>
      </w:pPr>
    </w:p>
    <w:p w:rsidR="00D24E61" w:rsidRPr="00771368" w:rsidRDefault="00D24E61">
      <w:pPr>
        <w:spacing w:line="214" w:lineRule="auto"/>
        <w:ind w:right="640"/>
        <w:jc w:val="both"/>
        <w:rPr>
          <w:sz w:val="20"/>
          <w:szCs w:val="20"/>
        </w:rPr>
      </w:pPr>
      <w:r w:rsidRPr="00771368">
        <w:rPr>
          <w:sz w:val="24"/>
          <w:szCs w:val="24"/>
        </w:rPr>
        <w:t>Dá dá dá dá dá dá dá dá dá dá Quero te...</w:t>
      </w:r>
    </w:p>
    <w:p w:rsidR="00D24E61" w:rsidRPr="00771368" w:rsidRDefault="00D24E61">
      <w:pPr>
        <w:spacing w:line="2" w:lineRule="exact"/>
        <w:rPr>
          <w:sz w:val="20"/>
          <w:szCs w:val="20"/>
        </w:rPr>
      </w:pPr>
    </w:p>
    <w:p w:rsidR="00D24E61" w:rsidRPr="00771368" w:rsidRDefault="00D24E61">
      <w:pPr>
        <w:rPr>
          <w:sz w:val="20"/>
          <w:szCs w:val="20"/>
        </w:rPr>
      </w:pPr>
      <w:r w:rsidRPr="00771368">
        <w:rPr>
          <w:sz w:val="24"/>
          <w:szCs w:val="24"/>
        </w:rPr>
        <w:t>Quero te...</w:t>
      </w:r>
    </w:p>
    <w:p w:rsidR="00D24E61" w:rsidRPr="00771368" w:rsidRDefault="00D24E61">
      <w:pPr>
        <w:rPr>
          <w:sz w:val="20"/>
          <w:szCs w:val="20"/>
        </w:rPr>
      </w:pPr>
      <w:r w:rsidRPr="00771368">
        <w:rPr>
          <w:sz w:val="24"/>
          <w:szCs w:val="24"/>
        </w:rPr>
        <w:t>Quero te dar</w:t>
      </w:r>
    </w:p>
    <w:p w:rsidR="00D24E61" w:rsidRPr="00771368" w:rsidRDefault="00D24E61">
      <w:pPr>
        <w:rPr>
          <w:sz w:val="20"/>
          <w:szCs w:val="20"/>
        </w:rPr>
      </w:pPr>
      <w:r w:rsidRPr="00771368">
        <w:rPr>
          <w:sz w:val="24"/>
          <w:szCs w:val="24"/>
        </w:rPr>
        <w:t>Dá dá dá dá dá dá dá dá dá dá</w:t>
      </w:r>
    </w:p>
    <w:p w:rsidR="00D24E61" w:rsidRPr="00771368" w:rsidRDefault="00D24E61">
      <w:pPr>
        <w:spacing w:line="298" w:lineRule="exact"/>
        <w:rPr>
          <w:sz w:val="20"/>
          <w:szCs w:val="20"/>
        </w:rPr>
      </w:pPr>
    </w:p>
    <w:p w:rsidR="00D24E61" w:rsidRPr="00771368" w:rsidRDefault="00D24E61">
      <w:pPr>
        <w:spacing w:line="214" w:lineRule="auto"/>
        <w:ind w:right="1340"/>
        <w:rPr>
          <w:sz w:val="20"/>
          <w:szCs w:val="20"/>
        </w:rPr>
      </w:pPr>
      <w:r w:rsidRPr="00771368">
        <w:rPr>
          <w:sz w:val="24"/>
          <w:szCs w:val="24"/>
        </w:rPr>
        <w:t>Meu nome é Valeska E o apelido é quero dá</w:t>
      </w:r>
    </w:p>
    <w:p w:rsidR="00D24E61" w:rsidRPr="00771368" w:rsidRDefault="00D24E61">
      <w:pPr>
        <w:spacing w:line="60" w:lineRule="exact"/>
        <w:rPr>
          <w:sz w:val="20"/>
          <w:szCs w:val="20"/>
        </w:rPr>
      </w:pPr>
    </w:p>
    <w:p w:rsidR="00D24E61" w:rsidRPr="00771368" w:rsidRDefault="00D24E61">
      <w:pPr>
        <w:spacing w:line="227" w:lineRule="auto"/>
        <w:ind w:right="640"/>
        <w:jc w:val="both"/>
        <w:rPr>
          <w:sz w:val="20"/>
          <w:szCs w:val="20"/>
        </w:rPr>
      </w:pPr>
      <w:r w:rsidRPr="00771368">
        <w:rPr>
          <w:sz w:val="24"/>
          <w:szCs w:val="24"/>
        </w:rPr>
        <w:t>Dá dá dá dá dá dá dá dá dá dá Dá dá dá dá dá dá dá dá dá dá Dá dá dá dá dá dá dá dá dá dá Dá dá dá dá dá dá dá dá dá dá</w:t>
      </w:r>
    </w:p>
    <w:p w:rsidR="00D24E61" w:rsidRPr="00771368" w:rsidRDefault="00D24E61">
      <w:pPr>
        <w:spacing w:line="242" w:lineRule="exact"/>
        <w:rPr>
          <w:sz w:val="20"/>
          <w:szCs w:val="20"/>
        </w:rPr>
      </w:pPr>
    </w:p>
    <w:p w:rsidR="00D24E61" w:rsidRPr="00771368" w:rsidRDefault="00D24E61">
      <w:pPr>
        <w:rPr>
          <w:sz w:val="20"/>
          <w:szCs w:val="20"/>
        </w:rPr>
      </w:pPr>
      <w:r w:rsidRPr="00771368">
        <w:rPr>
          <w:sz w:val="24"/>
          <w:szCs w:val="24"/>
        </w:rPr>
        <w:t>Ai, ai que vontade louca</w:t>
      </w:r>
    </w:p>
    <w:p w:rsidR="00D24E61" w:rsidRPr="00771368" w:rsidRDefault="00D24E61">
      <w:pPr>
        <w:rPr>
          <w:sz w:val="20"/>
          <w:szCs w:val="20"/>
        </w:rPr>
      </w:pPr>
      <w:r w:rsidRPr="00771368">
        <w:rPr>
          <w:sz w:val="24"/>
          <w:szCs w:val="24"/>
        </w:rPr>
        <w:t>Ai, ai que vontade louca</w:t>
      </w:r>
    </w:p>
    <w:p w:rsidR="00D24E61" w:rsidRPr="00771368" w:rsidRDefault="00D24E61">
      <w:pPr>
        <w:rPr>
          <w:sz w:val="20"/>
          <w:szCs w:val="20"/>
        </w:rPr>
      </w:pPr>
      <w:r w:rsidRPr="00771368">
        <w:rPr>
          <w:sz w:val="24"/>
          <w:szCs w:val="24"/>
        </w:rPr>
        <w:t>Ai, ai que vontade louca</w:t>
      </w:r>
    </w:p>
    <w:p w:rsidR="00D24E61" w:rsidRPr="00771368" w:rsidRDefault="00D24E61">
      <w:pPr>
        <w:rPr>
          <w:sz w:val="20"/>
          <w:szCs w:val="20"/>
        </w:rPr>
      </w:pPr>
      <w:r w:rsidRPr="00771368">
        <w:rPr>
          <w:sz w:val="24"/>
          <w:szCs w:val="24"/>
        </w:rPr>
        <w:t>Difícil de controlar</w:t>
      </w:r>
    </w:p>
    <w:p w:rsidR="00D24E61" w:rsidRPr="00771368" w:rsidRDefault="00D24E61">
      <w:pPr>
        <w:spacing w:line="240" w:lineRule="exact"/>
        <w:rPr>
          <w:sz w:val="20"/>
          <w:szCs w:val="20"/>
        </w:rPr>
      </w:pPr>
    </w:p>
    <w:p w:rsidR="00D24E61" w:rsidRPr="00771368" w:rsidRDefault="00D24E61">
      <w:pPr>
        <w:rPr>
          <w:sz w:val="20"/>
          <w:szCs w:val="20"/>
        </w:rPr>
      </w:pPr>
      <w:r w:rsidRPr="00771368">
        <w:rPr>
          <w:sz w:val="24"/>
          <w:szCs w:val="24"/>
        </w:rPr>
        <w:t>TôTôTôTôTôTô</w:t>
      </w:r>
    </w:p>
    <w:p w:rsidR="00D24E61" w:rsidRPr="00771368" w:rsidRDefault="00D24E61">
      <w:pPr>
        <w:spacing w:line="237" w:lineRule="auto"/>
        <w:rPr>
          <w:sz w:val="20"/>
          <w:szCs w:val="20"/>
        </w:rPr>
      </w:pPr>
      <w:r w:rsidRPr="00771368">
        <w:rPr>
          <w:sz w:val="24"/>
          <w:szCs w:val="24"/>
        </w:rPr>
        <w:t>Tô doidinha pra te dar</w:t>
      </w:r>
    </w:p>
    <w:p w:rsidR="00D24E61" w:rsidRPr="00771368" w:rsidRDefault="00D24E61">
      <w:pPr>
        <w:spacing w:line="59" w:lineRule="exact"/>
        <w:rPr>
          <w:sz w:val="20"/>
          <w:szCs w:val="20"/>
        </w:rPr>
      </w:pPr>
    </w:p>
    <w:p w:rsidR="00D24E61" w:rsidRPr="00771368" w:rsidRDefault="00D24E61">
      <w:pPr>
        <w:spacing w:line="223" w:lineRule="auto"/>
        <w:ind w:right="640"/>
        <w:jc w:val="both"/>
        <w:rPr>
          <w:sz w:val="20"/>
          <w:szCs w:val="20"/>
        </w:rPr>
      </w:pPr>
      <w:r w:rsidRPr="00771368">
        <w:rPr>
          <w:sz w:val="24"/>
          <w:szCs w:val="24"/>
        </w:rPr>
        <w:t>Dá dá dá dá dá dá dá dá dá dá Dá dá dá dá dá dá dá dá dá dá Dá dá dá dá dá dá dá dá dá dá</w:t>
      </w:r>
    </w:p>
    <w:p w:rsidR="00D24E61" w:rsidRPr="00771368" w:rsidRDefault="00D24E61">
      <w:pPr>
        <w:spacing w:line="240" w:lineRule="exact"/>
        <w:rPr>
          <w:sz w:val="20"/>
          <w:szCs w:val="20"/>
        </w:rPr>
      </w:pPr>
    </w:p>
    <w:p w:rsidR="00D24E61" w:rsidRPr="00771368" w:rsidRDefault="00D24E61">
      <w:pPr>
        <w:rPr>
          <w:sz w:val="20"/>
          <w:szCs w:val="20"/>
        </w:rPr>
      </w:pPr>
      <w:r w:rsidRPr="00771368">
        <w:rPr>
          <w:sz w:val="24"/>
          <w:szCs w:val="24"/>
        </w:rPr>
        <w:t>Tô doidinha pra te dar</w:t>
      </w:r>
    </w:p>
    <w:p w:rsidR="00D24E61" w:rsidRPr="00771368" w:rsidRDefault="00D24E61">
      <w:pPr>
        <w:spacing w:line="59" w:lineRule="exact"/>
        <w:rPr>
          <w:sz w:val="20"/>
          <w:szCs w:val="20"/>
        </w:rPr>
      </w:pPr>
    </w:p>
    <w:p w:rsidR="00D24E61" w:rsidRPr="00771368" w:rsidRDefault="00D24E61">
      <w:pPr>
        <w:spacing w:line="223" w:lineRule="auto"/>
        <w:ind w:right="640"/>
        <w:jc w:val="both"/>
        <w:rPr>
          <w:sz w:val="20"/>
          <w:szCs w:val="20"/>
        </w:rPr>
      </w:pPr>
      <w:r w:rsidRPr="00771368">
        <w:rPr>
          <w:sz w:val="24"/>
          <w:szCs w:val="24"/>
        </w:rPr>
        <w:t>Dá dá dá dá dá dá dá dá dá dá Dá dá dá dá dá dá dá dá dá dá Dá dá dá dá dá dá dá dá dá dá</w:t>
      </w:r>
    </w:p>
    <w:p w:rsidR="00D24E61" w:rsidRPr="00771368" w:rsidRDefault="00D24E61">
      <w:pPr>
        <w:spacing w:line="299" w:lineRule="exact"/>
        <w:rPr>
          <w:sz w:val="20"/>
          <w:szCs w:val="20"/>
        </w:rPr>
      </w:pPr>
    </w:p>
    <w:p w:rsidR="00D24E61" w:rsidRPr="00771368" w:rsidRDefault="00D24E61">
      <w:pPr>
        <w:spacing w:line="223" w:lineRule="auto"/>
        <w:ind w:right="1200"/>
        <w:rPr>
          <w:sz w:val="20"/>
          <w:szCs w:val="20"/>
        </w:rPr>
      </w:pPr>
      <w:r w:rsidRPr="00771368">
        <w:rPr>
          <w:sz w:val="24"/>
          <w:szCs w:val="24"/>
        </w:rPr>
        <w:t>Tô doidinha pra te dar Quero te dar beijinhos vem cá, vem cá, vem cá</w:t>
      </w:r>
    </w:p>
    <w:p w:rsidR="00D24E61" w:rsidRPr="00771368" w:rsidRDefault="00D24E61">
      <w:pPr>
        <w:spacing w:line="240" w:lineRule="exact"/>
        <w:rPr>
          <w:sz w:val="20"/>
          <w:szCs w:val="20"/>
        </w:rPr>
      </w:pPr>
    </w:p>
    <w:p w:rsidR="00D24E61" w:rsidRPr="00771368" w:rsidRDefault="00D24E61">
      <w:pPr>
        <w:rPr>
          <w:sz w:val="20"/>
          <w:szCs w:val="20"/>
        </w:rPr>
      </w:pPr>
      <w:r w:rsidRPr="00771368">
        <w:rPr>
          <w:sz w:val="24"/>
          <w:szCs w:val="24"/>
        </w:rPr>
        <w:t>Quero te dá, te dá, te dá, te dá, te dá,</w:t>
      </w:r>
    </w:p>
    <w:p w:rsidR="00D24E61" w:rsidRPr="00771368" w:rsidRDefault="00D24E61">
      <w:pPr>
        <w:spacing w:line="298" w:lineRule="exact"/>
        <w:rPr>
          <w:sz w:val="20"/>
          <w:szCs w:val="20"/>
        </w:rPr>
      </w:pPr>
    </w:p>
    <w:p w:rsidR="00D24E61" w:rsidRPr="00771368" w:rsidRDefault="00D24E61">
      <w:pPr>
        <w:spacing w:line="214" w:lineRule="auto"/>
        <w:ind w:right="1200"/>
        <w:rPr>
          <w:sz w:val="20"/>
          <w:szCs w:val="20"/>
        </w:rPr>
      </w:pPr>
      <w:r w:rsidRPr="00771368">
        <w:rPr>
          <w:sz w:val="24"/>
          <w:szCs w:val="24"/>
        </w:rPr>
        <w:t>Quero te dar beijinhos vem cá, vem cá, vem cá</w:t>
      </w:r>
    </w:p>
    <w:p w:rsidR="00D24E61" w:rsidRPr="00771368" w:rsidRDefault="00D24E61">
      <w:pPr>
        <w:spacing w:line="2" w:lineRule="exact"/>
        <w:rPr>
          <w:sz w:val="20"/>
          <w:szCs w:val="20"/>
        </w:rPr>
      </w:pPr>
    </w:p>
    <w:p w:rsidR="00D24E61" w:rsidRPr="00771368" w:rsidRDefault="00D24E61">
      <w:pPr>
        <w:rPr>
          <w:sz w:val="20"/>
          <w:szCs w:val="20"/>
        </w:rPr>
      </w:pPr>
      <w:r w:rsidRPr="00771368">
        <w:rPr>
          <w:sz w:val="24"/>
          <w:szCs w:val="24"/>
        </w:rPr>
        <w:t>Quero te dá, te dá, te dá, te dá, te dá,</w:t>
      </w:r>
    </w:p>
    <w:p w:rsidR="00D24E61" w:rsidRPr="00771368" w:rsidRDefault="00D24E61">
      <w:pPr>
        <w:spacing w:line="252" w:lineRule="exact"/>
        <w:rPr>
          <w:sz w:val="20"/>
          <w:szCs w:val="20"/>
        </w:rPr>
      </w:pPr>
      <w:r w:rsidRPr="00771368">
        <w:rPr>
          <w:sz w:val="20"/>
          <w:szCs w:val="20"/>
        </w:rPr>
        <w:br w:type="column"/>
      </w:r>
    </w:p>
    <w:p w:rsidR="00D24E61" w:rsidRPr="00771368" w:rsidRDefault="00D24E61">
      <w:pPr>
        <w:rPr>
          <w:sz w:val="20"/>
          <w:szCs w:val="20"/>
        </w:rPr>
      </w:pPr>
      <w:r w:rsidRPr="00771368">
        <w:rPr>
          <w:sz w:val="24"/>
          <w:szCs w:val="24"/>
        </w:rPr>
        <w:t>Posso falar?</w:t>
      </w:r>
    </w:p>
    <w:p w:rsidR="00D24E61" w:rsidRPr="00771368" w:rsidRDefault="00D24E61">
      <w:pPr>
        <w:rPr>
          <w:sz w:val="20"/>
          <w:szCs w:val="20"/>
        </w:rPr>
      </w:pPr>
      <w:r w:rsidRPr="00771368">
        <w:rPr>
          <w:sz w:val="24"/>
          <w:szCs w:val="24"/>
        </w:rPr>
        <w:t>Quero te...</w:t>
      </w:r>
    </w:p>
    <w:p w:rsidR="00D24E61" w:rsidRPr="00771368" w:rsidRDefault="00D24E61">
      <w:pPr>
        <w:rPr>
          <w:sz w:val="20"/>
          <w:szCs w:val="20"/>
        </w:rPr>
      </w:pPr>
      <w:r w:rsidRPr="00771368">
        <w:rPr>
          <w:sz w:val="24"/>
          <w:szCs w:val="24"/>
        </w:rPr>
        <w:t>Quero te...</w:t>
      </w:r>
    </w:p>
    <w:p w:rsidR="00D24E61" w:rsidRPr="00771368" w:rsidRDefault="00D24E61">
      <w:pPr>
        <w:rPr>
          <w:sz w:val="20"/>
          <w:szCs w:val="20"/>
        </w:rPr>
      </w:pPr>
      <w:r w:rsidRPr="00771368">
        <w:rPr>
          <w:sz w:val="24"/>
          <w:szCs w:val="24"/>
        </w:rPr>
        <w:t>Quero te dar</w:t>
      </w:r>
    </w:p>
    <w:p w:rsidR="00D24E61" w:rsidRPr="00771368" w:rsidRDefault="00D24E61">
      <w:pPr>
        <w:rPr>
          <w:sz w:val="20"/>
          <w:szCs w:val="20"/>
        </w:rPr>
      </w:pPr>
      <w:r w:rsidRPr="00771368">
        <w:rPr>
          <w:sz w:val="24"/>
          <w:szCs w:val="24"/>
        </w:rPr>
        <w:t>Quero te dar</w:t>
      </w:r>
    </w:p>
    <w:p w:rsidR="00D24E61" w:rsidRPr="00771368" w:rsidRDefault="00D24E61">
      <w:pPr>
        <w:rPr>
          <w:sz w:val="20"/>
          <w:szCs w:val="20"/>
        </w:rPr>
      </w:pPr>
      <w:r w:rsidRPr="00771368">
        <w:rPr>
          <w:sz w:val="24"/>
          <w:szCs w:val="24"/>
        </w:rPr>
        <w:t>Dá dá dá dá dá dá dá dá</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1" w:lineRule="exact"/>
        <w:rPr>
          <w:sz w:val="20"/>
          <w:szCs w:val="20"/>
        </w:rPr>
      </w:pPr>
    </w:p>
    <w:p w:rsidR="00D24E61" w:rsidRPr="00771368" w:rsidRDefault="00D24E61">
      <w:pPr>
        <w:spacing w:line="211" w:lineRule="auto"/>
        <w:ind w:right="380"/>
        <w:rPr>
          <w:b/>
          <w:bCs/>
          <w:sz w:val="24"/>
          <w:szCs w:val="24"/>
        </w:rPr>
      </w:pPr>
      <w:r w:rsidRPr="00771368">
        <w:rPr>
          <w:b/>
          <w:bCs/>
          <w:sz w:val="24"/>
          <w:szCs w:val="24"/>
        </w:rPr>
        <w:t xml:space="preserve">Hoje Eu Não Vou Dar, Eu Vou Distribuir </w:t>
      </w:r>
      <w:hyperlink r:id="rId14">
        <w:r w:rsidRPr="00771368">
          <w:rPr>
            <w:b/>
            <w:bCs/>
            <w:sz w:val="24"/>
            <w:szCs w:val="24"/>
          </w:rPr>
          <w:t>Gaiola Das Popozudas</w:t>
        </w:r>
      </w:hyperlink>
    </w:p>
    <w:p w:rsidR="00D24E61" w:rsidRPr="00771368" w:rsidRDefault="00D24E61">
      <w:pPr>
        <w:spacing w:line="176" w:lineRule="exact"/>
        <w:rPr>
          <w:sz w:val="20"/>
          <w:szCs w:val="20"/>
        </w:rPr>
      </w:pPr>
    </w:p>
    <w:p w:rsidR="00D24E61" w:rsidRPr="00771368" w:rsidRDefault="00D24E61">
      <w:pPr>
        <w:spacing w:line="214" w:lineRule="auto"/>
        <w:rPr>
          <w:sz w:val="20"/>
          <w:szCs w:val="20"/>
        </w:rPr>
      </w:pPr>
      <w:r w:rsidRPr="00771368">
        <w:rPr>
          <w:sz w:val="24"/>
          <w:szCs w:val="24"/>
        </w:rPr>
        <w:t>Hoje, hoje eu não vou dar, eu vou distribuir (Pode mandar o próximo)</w:t>
      </w:r>
    </w:p>
    <w:p w:rsidR="00D24E61" w:rsidRPr="00771368" w:rsidRDefault="00D24E61">
      <w:pPr>
        <w:spacing w:line="60" w:lineRule="exact"/>
        <w:rPr>
          <w:sz w:val="20"/>
          <w:szCs w:val="20"/>
        </w:rPr>
      </w:pPr>
    </w:p>
    <w:p w:rsidR="00D24E61" w:rsidRPr="00771368" w:rsidRDefault="00D24E61">
      <w:pPr>
        <w:spacing w:line="223" w:lineRule="auto"/>
        <w:ind w:right="1700"/>
        <w:jc w:val="both"/>
        <w:rPr>
          <w:sz w:val="20"/>
          <w:szCs w:val="20"/>
        </w:rPr>
      </w:pPr>
      <w:r w:rsidRPr="00771368">
        <w:rPr>
          <w:sz w:val="24"/>
          <w:szCs w:val="24"/>
        </w:rPr>
        <w:t>Hoje, hoje eu não vou dar (Pode mandar o próximo) Hoje, hoje eu não vou dar</w:t>
      </w:r>
    </w:p>
    <w:p w:rsidR="00D24E61" w:rsidRPr="00771368" w:rsidRDefault="00D24E61">
      <w:pPr>
        <w:spacing w:line="240" w:lineRule="exact"/>
        <w:rPr>
          <w:sz w:val="20"/>
          <w:szCs w:val="20"/>
        </w:rPr>
      </w:pPr>
    </w:p>
    <w:p w:rsidR="00D24E61" w:rsidRPr="00771368" w:rsidRDefault="00D24E61">
      <w:pPr>
        <w:rPr>
          <w:sz w:val="20"/>
          <w:szCs w:val="20"/>
        </w:rPr>
      </w:pPr>
      <w:r w:rsidRPr="00771368">
        <w:rPr>
          <w:sz w:val="24"/>
          <w:szCs w:val="24"/>
        </w:rPr>
        <w:t>Você quer meu corpinho?</w:t>
      </w:r>
    </w:p>
    <w:p w:rsidR="00D24E61" w:rsidRPr="00771368" w:rsidRDefault="00D24E61">
      <w:pPr>
        <w:rPr>
          <w:sz w:val="20"/>
          <w:szCs w:val="20"/>
        </w:rPr>
      </w:pPr>
      <w:r w:rsidRPr="00771368">
        <w:rPr>
          <w:sz w:val="24"/>
          <w:szCs w:val="24"/>
        </w:rPr>
        <w:t>Não precisa insistir</w:t>
      </w:r>
    </w:p>
    <w:p w:rsidR="00D24E61" w:rsidRPr="00771368" w:rsidRDefault="00D24E61">
      <w:pPr>
        <w:rPr>
          <w:sz w:val="20"/>
          <w:szCs w:val="20"/>
        </w:rPr>
      </w:pPr>
      <w:r w:rsidRPr="00771368">
        <w:rPr>
          <w:sz w:val="24"/>
          <w:szCs w:val="24"/>
        </w:rPr>
        <w:t>Você quer meu beijinho?</w:t>
      </w:r>
    </w:p>
    <w:p w:rsidR="00D24E61" w:rsidRPr="00771368" w:rsidRDefault="00D24E61">
      <w:pPr>
        <w:rPr>
          <w:sz w:val="20"/>
          <w:szCs w:val="20"/>
        </w:rPr>
      </w:pPr>
      <w:r w:rsidRPr="00771368">
        <w:rPr>
          <w:sz w:val="24"/>
          <w:szCs w:val="24"/>
        </w:rPr>
        <w:t>Não precisa insistir</w:t>
      </w:r>
    </w:p>
    <w:p w:rsidR="00D24E61" w:rsidRPr="00771368" w:rsidRDefault="00D24E61">
      <w:pPr>
        <w:rPr>
          <w:sz w:val="20"/>
          <w:szCs w:val="20"/>
        </w:rPr>
      </w:pPr>
      <w:r w:rsidRPr="00771368">
        <w:rPr>
          <w:sz w:val="24"/>
          <w:szCs w:val="24"/>
        </w:rPr>
        <w:t>Você quer colinho?</w:t>
      </w:r>
    </w:p>
    <w:p w:rsidR="00D24E61" w:rsidRPr="00771368" w:rsidRDefault="00D24E61">
      <w:pPr>
        <w:rPr>
          <w:sz w:val="20"/>
          <w:szCs w:val="20"/>
        </w:rPr>
      </w:pPr>
      <w:r w:rsidRPr="00771368">
        <w:rPr>
          <w:sz w:val="24"/>
          <w:szCs w:val="24"/>
        </w:rPr>
        <w:t>Não precisa insistir</w:t>
      </w:r>
    </w:p>
    <w:p w:rsidR="00D24E61" w:rsidRPr="00771368" w:rsidRDefault="00D24E61">
      <w:pPr>
        <w:spacing w:line="299" w:lineRule="exact"/>
        <w:rPr>
          <w:sz w:val="20"/>
          <w:szCs w:val="20"/>
        </w:rPr>
      </w:pPr>
    </w:p>
    <w:p w:rsidR="00D24E61" w:rsidRPr="00771368" w:rsidRDefault="00D24E61">
      <w:pPr>
        <w:spacing w:line="232" w:lineRule="auto"/>
        <w:ind w:right="540"/>
        <w:jc w:val="both"/>
        <w:rPr>
          <w:sz w:val="20"/>
          <w:szCs w:val="20"/>
        </w:rPr>
      </w:pPr>
      <w:r w:rsidRPr="00771368">
        <w:rPr>
          <w:sz w:val="23"/>
          <w:szCs w:val="23"/>
        </w:rPr>
        <w:t>Hoje eu não vou dar, eu vou distribuir Hoje eu não vou dar, eu vou distribuir Hoje eu não vou dar, eu vou distribuir</w:t>
      </w:r>
    </w:p>
    <w:p w:rsidR="00D24E61" w:rsidRPr="00771368" w:rsidRDefault="00D24E61">
      <w:pPr>
        <w:spacing w:line="301" w:lineRule="exact"/>
        <w:rPr>
          <w:sz w:val="20"/>
          <w:szCs w:val="20"/>
        </w:rPr>
      </w:pPr>
    </w:p>
    <w:p w:rsidR="00D24E61" w:rsidRPr="00771368" w:rsidRDefault="00D24E61">
      <w:pPr>
        <w:spacing w:line="214" w:lineRule="auto"/>
        <w:ind w:right="420"/>
        <w:rPr>
          <w:sz w:val="20"/>
          <w:szCs w:val="20"/>
        </w:rPr>
      </w:pPr>
      <w:r w:rsidRPr="00771368">
        <w:rPr>
          <w:sz w:val="24"/>
          <w:szCs w:val="24"/>
        </w:rPr>
        <w:t>(Eu sou a Bruna e faço tudo o que você quiser)</w:t>
      </w:r>
    </w:p>
    <w:p w:rsidR="00D24E61" w:rsidRPr="00771368" w:rsidRDefault="00D24E61">
      <w:pPr>
        <w:spacing w:line="2" w:lineRule="exact"/>
        <w:rPr>
          <w:sz w:val="20"/>
          <w:szCs w:val="20"/>
        </w:rPr>
      </w:pPr>
    </w:p>
    <w:p w:rsidR="00D24E61" w:rsidRPr="00771368" w:rsidRDefault="00D24E61">
      <w:pPr>
        <w:rPr>
          <w:sz w:val="20"/>
          <w:szCs w:val="20"/>
        </w:rPr>
      </w:pPr>
      <w:r w:rsidRPr="00771368">
        <w:rPr>
          <w:sz w:val="24"/>
          <w:szCs w:val="24"/>
        </w:rPr>
        <w:t>(Pode mandar o próximo)</w:t>
      </w:r>
    </w:p>
    <w:p w:rsidR="00D24E61" w:rsidRPr="00771368" w:rsidRDefault="00D24E61">
      <w:pPr>
        <w:spacing w:line="240" w:lineRule="exact"/>
        <w:rPr>
          <w:sz w:val="20"/>
          <w:szCs w:val="20"/>
        </w:rPr>
      </w:pPr>
    </w:p>
    <w:p w:rsidR="00D24E61" w:rsidRPr="00771368" w:rsidRDefault="00D24E61">
      <w:pPr>
        <w:rPr>
          <w:sz w:val="20"/>
          <w:szCs w:val="20"/>
        </w:rPr>
      </w:pPr>
      <w:r w:rsidRPr="00771368">
        <w:rPr>
          <w:sz w:val="24"/>
          <w:szCs w:val="24"/>
        </w:rPr>
        <w:t>Você quer meu corpinho?</w:t>
      </w:r>
    </w:p>
    <w:p w:rsidR="00D24E61" w:rsidRPr="00771368" w:rsidRDefault="00D24E61">
      <w:pPr>
        <w:spacing w:line="237" w:lineRule="auto"/>
        <w:rPr>
          <w:sz w:val="20"/>
          <w:szCs w:val="20"/>
        </w:rPr>
      </w:pPr>
      <w:r w:rsidRPr="00771368">
        <w:rPr>
          <w:sz w:val="24"/>
          <w:szCs w:val="24"/>
        </w:rPr>
        <w:t>Não precisa insistir</w:t>
      </w:r>
    </w:p>
    <w:p w:rsidR="00D24E61" w:rsidRPr="00771368" w:rsidRDefault="00D24E61">
      <w:pPr>
        <w:spacing w:line="1" w:lineRule="exact"/>
        <w:rPr>
          <w:sz w:val="20"/>
          <w:szCs w:val="20"/>
        </w:rPr>
      </w:pPr>
    </w:p>
    <w:p w:rsidR="00D24E61" w:rsidRPr="00771368" w:rsidRDefault="00D24E61">
      <w:pPr>
        <w:rPr>
          <w:sz w:val="20"/>
          <w:szCs w:val="20"/>
        </w:rPr>
      </w:pPr>
      <w:r w:rsidRPr="00771368">
        <w:rPr>
          <w:sz w:val="24"/>
          <w:szCs w:val="24"/>
        </w:rPr>
        <w:t>Você quer meu beijinho?</w:t>
      </w:r>
    </w:p>
    <w:p w:rsidR="00D24E61" w:rsidRPr="00771368" w:rsidRDefault="00D24E61">
      <w:pPr>
        <w:spacing w:line="1" w:lineRule="exact"/>
        <w:rPr>
          <w:sz w:val="20"/>
          <w:szCs w:val="20"/>
        </w:rPr>
      </w:pPr>
    </w:p>
    <w:p w:rsidR="00D24E61" w:rsidRPr="00771368" w:rsidRDefault="00D24E61">
      <w:pPr>
        <w:rPr>
          <w:sz w:val="20"/>
          <w:szCs w:val="20"/>
        </w:rPr>
      </w:pPr>
      <w:r w:rsidRPr="00771368">
        <w:rPr>
          <w:sz w:val="24"/>
          <w:szCs w:val="24"/>
        </w:rPr>
        <w:t>Não precisa insistir</w:t>
      </w:r>
    </w:p>
    <w:p w:rsidR="00D24E61" w:rsidRPr="00771368" w:rsidRDefault="00D24E61">
      <w:pPr>
        <w:rPr>
          <w:sz w:val="20"/>
          <w:szCs w:val="20"/>
        </w:rPr>
      </w:pPr>
      <w:r w:rsidRPr="00771368">
        <w:rPr>
          <w:sz w:val="24"/>
          <w:szCs w:val="24"/>
        </w:rPr>
        <w:t>Você quer colinho?</w:t>
      </w:r>
    </w:p>
    <w:p w:rsidR="00D24E61" w:rsidRPr="00771368" w:rsidRDefault="00D24E61">
      <w:pPr>
        <w:rPr>
          <w:sz w:val="20"/>
          <w:szCs w:val="20"/>
        </w:rPr>
      </w:pPr>
      <w:r w:rsidRPr="00771368">
        <w:rPr>
          <w:sz w:val="24"/>
          <w:szCs w:val="24"/>
        </w:rPr>
        <w:t>Não precisa insistir</w:t>
      </w:r>
    </w:p>
    <w:p w:rsidR="00D24E61" w:rsidRPr="00771368" w:rsidRDefault="00D24E61">
      <w:pPr>
        <w:spacing w:line="298" w:lineRule="exact"/>
        <w:rPr>
          <w:sz w:val="20"/>
          <w:szCs w:val="20"/>
        </w:rPr>
      </w:pPr>
    </w:p>
    <w:p w:rsidR="00D24E61" w:rsidRPr="00771368" w:rsidRDefault="00D24E61">
      <w:pPr>
        <w:spacing w:line="214" w:lineRule="auto"/>
        <w:ind w:right="540"/>
        <w:rPr>
          <w:sz w:val="20"/>
          <w:szCs w:val="20"/>
        </w:rPr>
      </w:pPr>
      <w:r w:rsidRPr="00771368">
        <w:rPr>
          <w:sz w:val="24"/>
          <w:szCs w:val="24"/>
        </w:rPr>
        <w:t>Hoje eu não vou dar, eu vou distribuir Hoje, hoje eu não vou dar</w:t>
      </w:r>
    </w:p>
    <w:p w:rsidR="00D24E61" w:rsidRPr="00771368" w:rsidRDefault="00D24E61">
      <w:pPr>
        <w:spacing w:line="60" w:lineRule="exact"/>
        <w:rPr>
          <w:sz w:val="20"/>
          <w:szCs w:val="20"/>
        </w:rPr>
      </w:pPr>
    </w:p>
    <w:p w:rsidR="00D24E61" w:rsidRPr="00771368" w:rsidRDefault="00D24E61">
      <w:pPr>
        <w:spacing w:line="223" w:lineRule="auto"/>
        <w:ind w:right="1700"/>
        <w:jc w:val="both"/>
        <w:rPr>
          <w:sz w:val="20"/>
          <w:szCs w:val="20"/>
        </w:rPr>
      </w:pPr>
      <w:r w:rsidRPr="00771368">
        <w:rPr>
          <w:sz w:val="24"/>
          <w:szCs w:val="24"/>
        </w:rPr>
        <w:t>Hoje, hoje eu não vou dar Hoje, hoje eu não vou dar Eu vou distribuir</w:t>
      </w:r>
    </w:p>
    <w:p w:rsidR="00D24E61" w:rsidRPr="00771368" w:rsidRDefault="00D24E61">
      <w:pPr>
        <w:spacing w:line="240" w:lineRule="exact"/>
        <w:rPr>
          <w:sz w:val="20"/>
          <w:szCs w:val="20"/>
        </w:rPr>
      </w:pPr>
    </w:p>
    <w:p w:rsidR="00D24E61" w:rsidRPr="00771368" w:rsidRDefault="00D24E61">
      <w:pPr>
        <w:rPr>
          <w:sz w:val="20"/>
          <w:szCs w:val="20"/>
        </w:rPr>
      </w:pPr>
      <w:r w:rsidRPr="00771368">
        <w:rPr>
          <w:sz w:val="24"/>
          <w:szCs w:val="24"/>
        </w:rPr>
        <w:t>(Pode mandar o próximo)</w:t>
      </w:r>
    </w:p>
    <w:p w:rsidR="00D24E61" w:rsidRPr="00771368" w:rsidRDefault="00D24E61">
      <w:pPr>
        <w:sectPr w:rsidR="00D24E61" w:rsidRPr="00771368">
          <w:pgSz w:w="11900" w:h="16838"/>
          <w:pgMar w:top="1440" w:right="1120" w:bottom="955" w:left="1420" w:header="0" w:footer="0" w:gutter="0"/>
          <w:cols w:num="2" w:space="720" w:equalWidth="0">
            <w:col w:w="3500" w:space="1680"/>
            <w:col w:w="418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5" w:lineRule="exact"/>
        <w:rPr>
          <w:sz w:val="20"/>
          <w:szCs w:val="20"/>
        </w:rPr>
      </w:pPr>
    </w:p>
    <w:p w:rsidR="00D24E61" w:rsidRPr="00771368" w:rsidRDefault="00D24E61">
      <w:pPr>
        <w:rPr>
          <w:sz w:val="20"/>
          <w:szCs w:val="20"/>
        </w:rPr>
      </w:pPr>
      <w:r w:rsidRPr="00771368">
        <w:rPr>
          <w:sz w:val="23"/>
          <w:szCs w:val="23"/>
        </w:rPr>
        <w:t>Segunda e terceira aulas: debate com os alunos sobre as questões:</w:t>
      </w:r>
    </w:p>
    <w:p w:rsidR="00D24E61" w:rsidRPr="00771368" w:rsidRDefault="00D24E61">
      <w:pPr>
        <w:sectPr w:rsidR="00D24E61" w:rsidRPr="00771368">
          <w:type w:val="continuous"/>
          <w:pgSz w:w="11900" w:h="16838"/>
          <w:pgMar w:top="1440" w:right="4180" w:bottom="955" w:left="1420" w:header="0" w:footer="0" w:gutter="0"/>
          <w:cols w:space="720" w:equalWidth="0">
            <w:col w:w="6300"/>
          </w:cols>
        </w:sectPr>
      </w:pPr>
    </w:p>
    <w:p w:rsidR="00D24E61" w:rsidRPr="00771368" w:rsidRDefault="00D24E61">
      <w:pPr>
        <w:spacing w:line="259" w:lineRule="exact"/>
        <w:rPr>
          <w:sz w:val="20"/>
          <w:szCs w:val="20"/>
        </w:rPr>
      </w:pPr>
    </w:p>
    <w:p w:rsidR="00D24E61" w:rsidRPr="00771368" w:rsidRDefault="00D24E61">
      <w:pPr>
        <w:ind w:left="1"/>
        <w:rPr>
          <w:sz w:val="20"/>
          <w:szCs w:val="20"/>
        </w:rPr>
      </w:pPr>
      <w:r w:rsidRPr="00771368">
        <w:rPr>
          <w:b/>
          <w:bCs/>
          <w:sz w:val="24"/>
          <w:szCs w:val="24"/>
        </w:rPr>
        <w:t>Meninos:</w:t>
      </w:r>
    </w:p>
    <w:p w:rsidR="00D24E61" w:rsidRPr="00771368" w:rsidRDefault="00D24E61">
      <w:pPr>
        <w:spacing w:line="235" w:lineRule="exact"/>
        <w:rPr>
          <w:sz w:val="20"/>
          <w:szCs w:val="20"/>
        </w:rPr>
      </w:pPr>
    </w:p>
    <w:p w:rsidR="00D24E61" w:rsidRPr="00771368" w:rsidRDefault="00D24E61" w:rsidP="00D24E61">
      <w:pPr>
        <w:numPr>
          <w:ilvl w:val="0"/>
          <w:numId w:val="5"/>
        </w:numPr>
        <w:tabs>
          <w:tab w:val="left" w:pos="241"/>
        </w:tabs>
        <w:ind w:left="241" w:hanging="241"/>
        <w:jc w:val="both"/>
        <w:rPr>
          <w:sz w:val="24"/>
          <w:szCs w:val="24"/>
        </w:rPr>
      </w:pPr>
      <w:r w:rsidRPr="00771368">
        <w:rPr>
          <w:sz w:val="24"/>
          <w:szCs w:val="24"/>
        </w:rPr>
        <w:t>Como vocês veem as meninas que dançam e frequentam as festas de funk?</w:t>
      </w:r>
    </w:p>
    <w:p w:rsidR="00D24E61" w:rsidRPr="00771368" w:rsidRDefault="00D24E61">
      <w:pPr>
        <w:spacing w:line="242" w:lineRule="exact"/>
        <w:rPr>
          <w:sz w:val="24"/>
          <w:szCs w:val="24"/>
        </w:rPr>
      </w:pPr>
    </w:p>
    <w:p w:rsidR="00D24E61" w:rsidRPr="00771368" w:rsidRDefault="00D24E61" w:rsidP="00D24E61">
      <w:pPr>
        <w:numPr>
          <w:ilvl w:val="0"/>
          <w:numId w:val="5"/>
        </w:numPr>
        <w:tabs>
          <w:tab w:val="left" w:pos="261"/>
        </w:tabs>
        <w:ind w:left="261" w:hanging="261"/>
        <w:jc w:val="both"/>
        <w:rPr>
          <w:sz w:val="24"/>
          <w:szCs w:val="24"/>
        </w:rPr>
      </w:pPr>
      <w:r w:rsidRPr="00771368">
        <w:rPr>
          <w:sz w:val="24"/>
          <w:szCs w:val="24"/>
        </w:rPr>
        <w:t>Vocês namorariam sério uma menina que dançasse funk com todo mundo?</w:t>
      </w:r>
    </w:p>
    <w:p w:rsidR="00D24E61" w:rsidRPr="00771368" w:rsidRDefault="00D24E61">
      <w:pPr>
        <w:spacing w:line="240" w:lineRule="exact"/>
        <w:rPr>
          <w:sz w:val="24"/>
          <w:szCs w:val="24"/>
        </w:rPr>
      </w:pPr>
    </w:p>
    <w:p w:rsidR="00D24E61" w:rsidRPr="00771368" w:rsidRDefault="00D24E61" w:rsidP="00D24E61">
      <w:pPr>
        <w:numPr>
          <w:ilvl w:val="0"/>
          <w:numId w:val="5"/>
        </w:numPr>
        <w:tabs>
          <w:tab w:val="left" w:pos="241"/>
        </w:tabs>
        <w:ind w:left="241" w:hanging="241"/>
        <w:jc w:val="both"/>
        <w:rPr>
          <w:sz w:val="24"/>
          <w:szCs w:val="24"/>
        </w:rPr>
      </w:pPr>
      <w:r w:rsidRPr="00771368">
        <w:rPr>
          <w:sz w:val="24"/>
          <w:szCs w:val="24"/>
        </w:rPr>
        <w:t>Qual o padrão ideal de mulher para um relacionamento?</w:t>
      </w:r>
    </w:p>
    <w:p w:rsidR="00D24E61" w:rsidRPr="00771368" w:rsidRDefault="00D24E61">
      <w:pPr>
        <w:spacing w:line="247" w:lineRule="exact"/>
        <w:rPr>
          <w:sz w:val="20"/>
          <w:szCs w:val="20"/>
        </w:rPr>
      </w:pPr>
    </w:p>
    <w:p w:rsidR="00D24E61" w:rsidRPr="00771368" w:rsidRDefault="00D24E61">
      <w:pPr>
        <w:ind w:left="1"/>
        <w:rPr>
          <w:sz w:val="20"/>
          <w:szCs w:val="20"/>
        </w:rPr>
      </w:pPr>
      <w:r w:rsidRPr="00771368">
        <w:rPr>
          <w:b/>
          <w:bCs/>
          <w:sz w:val="24"/>
          <w:szCs w:val="24"/>
        </w:rPr>
        <w:t>Meninas:</w:t>
      </w:r>
    </w:p>
    <w:p w:rsidR="00D24E61" w:rsidRPr="00771368" w:rsidRDefault="00D24E61">
      <w:pPr>
        <w:spacing w:line="296" w:lineRule="exact"/>
        <w:rPr>
          <w:sz w:val="20"/>
          <w:szCs w:val="20"/>
        </w:rPr>
      </w:pPr>
    </w:p>
    <w:p w:rsidR="00D24E61" w:rsidRPr="00771368" w:rsidRDefault="00D24E61" w:rsidP="00D24E61">
      <w:pPr>
        <w:numPr>
          <w:ilvl w:val="0"/>
          <w:numId w:val="6"/>
        </w:numPr>
        <w:tabs>
          <w:tab w:val="left" w:pos="247"/>
        </w:tabs>
        <w:spacing w:line="232" w:lineRule="auto"/>
        <w:ind w:left="1" w:right="140" w:hanging="1"/>
        <w:jc w:val="both"/>
        <w:rPr>
          <w:sz w:val="24"/>
          <w:szCs w:val="24"/>
        </w:rPr>
      </w:pPr>
      <w:r w:rsidRPr="00771368">
        <w:rPr>
          <w:sz w:val="24"/>
          <w:szCs w:val="24"/>
        </w:rPr>
        <w:t>Quando vocês dançam com roupas coladas, curtas, com movimentos sensuais o que vem em sua mente?</w:t>
      </w:r>
    </w:p>
    <w:p w:rsidR="00D24E61" w:rsidRPr="00771368" w:rsidRDefault="00D24E61">
      <w:pPr>
        <w:spacing w:line="241" w:lineRule="exact"/>
        <w:rPr>
          <w:sz w:val="24"/>
          <w:szCs w:val="24"/>
        </w:rPr>
      </w:pPr>
    </w:p>
    <w:p w:rsidR="00D24E61" w:rsidRPr="00771368" w:rsidRDefault="00D24E61" w:rsidP="00D24E61">
      <w:pPr>
        <w:numPr>
          <w:ilvl w:val="0"/>
          <w:numId w:val="6"/>
        </w:numPr>
        <w:tabs>
          <w:tab w:val="left" w:pos="261"/>
        </w:tabs>
        <w:ind w:left="261" w:hanging="261"/>
        <w:jc w:val="both"/>
        <w:rPr>
          <w:sz w:val="24"/>
          <w:szCs w:val="24"/>
        </w:rPr>
      </w:pPr>
      <w:r w:rsidRPr="00771368">
        <w:rPr>
          <w:sz w:val="24"/>
          <w:szCs w:val="24"/>
        </w:rPr>
        <w:t>Como vocês acham e se sentem quando os meninos as desvalorizam?</w:t>
      </w:r>
    </w:p>
    <w:p w:rsidR="00D24E61" w:rsidRPr="00771368" w:rsidRDefault="00D24E61">
      <w:pPr>
        <w:spacing w:line="242" w:lineRule="exact"/>
        <w:rPr>
          <w:sz w:val="24"/>
          <w:szCs w:val="24"/>
        </w:rPr>
      </w:pPr>
    </w:p>
    <w:p w:rsidR="00D24E61" w:rsidRPr="00771368" w:rsidRDefault="00D24E61" w:rsidP="00D24E61">
      <w:pPr>
        <w:numPr>
          <w:ilvl w:val="0"/>
          <w:numId w:val="6"/>
        </w:numPr>
        <w:tabs>
          <w:tab w:val="left" w:pos="241"/>
        </w:tabs>
        <w:ind w:left="241" w:hanging="241"/>
        <w:jc w:val="both"/>
        <w:rPr>
          <w:sz w:val="24"/>
          <w:szCs w:val="24"/>
        </w:rPr>
      </w:pPr>
      <w:r w:rsidRPr="00771368">
        <w:rPr>
          <w:sz w:val="24"/>
          <w:szCs w:val="24"/>
        </w:rPr>
        <w:t>Entender a letra do funk ajuda a mulher se sentir mais valorizada e respeitada?</w:t>
      </w:r>
    </w:p>
    <w:p w:rsidR="00D24E61" w:rsidRPr="00771368" w:rsidRDefault="00D24E61">
      <w:pPr>
        <w:spacing w:line="242" w:lineRule="exact"/>
        <w:rPr>
          <w:sz w:val="24"/>
          <w:szCs w:val="24"/>
        </w:rPr>
      </w:pPr>
    </w:p>
    <w:p w:rsidR="00D24E61" w:rsidRPr="00771368" w:rsidRDefault="00D24E61" w:rsidP="00D24E61">
      <w:pPr>
        <w:numPr>
          <w:ilvl w:val="0"/>
          <w:numId w:val="6"/>
        </w:numPr>
        <w:tabs>
          <w:tab w:val="left" w:pos="261"/>
        </w:tabs>
        <w:ind w:left="261" w:hanging="261"/>
        <w:jc w:val="both"/>
        <w:rPr>
          <w:sz w:val="24"/>
          <w:szCs w:val="24"/>
        </w:rPr>
      </w:pPr>
      <w:r w:rsidRPr="00771368">
        <w:rPr>
          <w:sz w:val="24"/>
          <w:szCs w:val="24"/>
        </w:rPr>
        <w:t>Será que eu realmente conheço o meu corpo e cuido dele da forma como deveria?</w:t>
      </w:r>
    </w:p>
    <w:p w:rsidR="00D24E61" w:rsidRPr="00771368" w:rsidRDefault="00D24E61">
      <w:pPr>
        <w:spacing w:line="245" w:lineRule="exact"/>
        <w:rPr>
          <w:sz w:val="20"/>
          <w:szCs w:val="20"/>
        </w:rPr>
      </w:pPr>
    </w:p>
    <w:p w:rsidR="00D24E61" w:rsidRPr="00771368" w:rsidRDefault="00D24E61">
      <w:pPr>
        <w:ind w:left="1"/>
        <w:rPr>
          <w:sz w:val="20"/>
          <w:szCs w:val="20"/>
        </w:rPr>
      </w:pPr>
      <w:r w:rsidRPr="00771368">
        <w:rPr>
          <w:b/>
          <w:bCs/>
          <w:sz w:val="24"/>
          <w:szCs w:val="24"/>
          <w:u w:val="single"/>
        </w:rPr>
        <w:t>Família</w:t>
      </w:r>
    </w:p>
    <w:p w:rsidR="00A01226" w:rsidRPr="00771368" w:rsidRDefault="00A01226">
      <w:pPr>
        <w:ind w:left="561"/>
        <w:jc w:val="both"/>
        <w:rPr>
          <w:sz w:val="20"/>
          <w:szCs w:val="20"/>
        </w:rPr>
      </w:pPr>
    </w:p>
    <w:p w:rsidR="00D24E61" w:rsidRPr="00771368" w:rsidRDefault="00D24E61" w:rsidP="00A01226">
      <w:pPr>
        <w:ind w:left="561"/>
        <w:jc w:val="both"/>
        <w:rPr>
          <w:sz w:val="20"/>
          <w:szCs w:val="20"/>
        </w:rPr>
      </w:pPr>
      <w:r w:rsidRPr="00771368">
        <w:rPr>
          <w:sz w:val="24"/>
          <w:szCs w:val="24"/>
        </w:rPr>
        <w:t>Mulheres e homens têm papéis diferentes?</w:t>
      </w:r>
    </w:p>
    <w:p w:rsidR="00D24E61" w:rsidRPr="00771368" w:rsidRDefault="00D24E61" w:rsidP="00A01226">
      <w:pPr>
        <w:spacing w:line="310" w:lineRule="auto"/>
        <w:ind w:left="701" w:right="400"/>
        <w:jc w:val="both"/>
        <w:rPr>
          <w:sz w:val="20"/>
          <w:szCs w:val="20"/>
        </w:rPr>
      </w:pPr>
      <w:r w:rsidRPr="00771368">
        <w:rPr>
          <w:sz w:val="24"/>
          <w:szCs w:val="24"/>
        </w:rPr>
        <w:t>Em sua família, como se dão as relações entre pais e filhos, irmãos e irmãs, entre irmãs e irmãs e, ainda, entre marido e mulher?</w:t>
      </w:r>
    </w:p>
    <w:p w:rsidR="00D24E61" w:rsidRPr="00771368" w:rsidRDefault="00D24E61" w:rsidP="00A01226">
      <w:pPr>
        <w:spacing w:line="74" w:lineRule="exact"/>
        <w:jc w:val="both"/>
        <w:rPr>
          <w:sz w:val="20"/>
          <w:szCs w:val="20"/>
        </w:rPr>
      </w:pPr>
    </w:p>
    <w:p w:rsidR="00D24E61" w:rsidRPr="00771368" w:rsidRDefault="00D24E61" w:rsidP="00A01226">
      <w:pPr>
        <w:ind w:left="561"/>
        <w:jc w:val="both"/>
        <w:rPr>
          <w:sz w:val="20"/>
          <w:szCs w:val="20"/>
        </w:rPr>
      </w:pPr>
      <w:r w:rsidRPr="00771368">
        <w:rPr>
          <w:sz w:val="24"/>
          <w:szCs w:val="24"/>
        </w:rPr>
        <w:t>Como são as divisões de trabalho dentro da sua casa?</w:t>
      </w:r>
    </w:p>
    <w:p w:rsidR="00D24E61" w:rsidRPr="00771368" w:rsidRDefault="00D24E61" w:rsidP="00A01226">
      <w:pPr>
        <w:spacing w:line="156" w:lineRule="exact"/>
        <w:jc w:val="both"/>
        <w:rPr>
          <w:sz w:val="20"/>
          <w:szCs w:val="20"/>
        </w:rPr>
      </w:pPr>
    </w:p>
    <w:p w:rsidR="00D24E61" w:rsidRPr="00771368" w:rsidRDefault="00D24E61" w:rsidP="00A01226">
      <w:pPr>
        <w:ind w:left="561"/>
        <w:jc w:val="both"/>
        <w:rPr>
          <w:sz w:val="20"/>
          <w:szCs w:val="20"/>
        </w:rPr>
      </w:pPr>
      <w:r w:rsidRPr="00771368">
        <w:rPr>
          <w:sz w:val="24"/>
          <w:szCs w:val="24"/>
        </w:rPr>
        <w:t>Se tivesse que mudar alguma coisa, o que mudaria, e por onde começaria?</w:t>
      </w:r>
    </w:p>
    <w:p w:rsidR="00D24E61" w:rsidRPr="00771368" w:rsidRDefault="00D24E61" w:rsidP="00A01226">
      <w:pPr>
        <w:spacing w:line="200" w:lineRule="exact"/>
        <w:jc w:val="both"/>
        <w:rPr>
          <w:sz w:val="20"/>
          <w:szCs w:val="20"/>
        </w:rPr>
      </w:pPr>
    </w:p>
    <w:p w:rsidR="00A01226" w:rsidRPr="00771368" w:rsidRDefault="00A01226" w:rsidP="00A01226">
      <w:pPr>
        <w:ind w:left="1"/>
        <w:jc w:val="both"/>
        <w:rPr>
          <w:b/>
          <w:bCs/>
          <w:sz w:val="24"/>
          <w:szCs w:val="24"/>
        </w:rPr>
      </w:pPr>
    </w:p>
    <w:p w:rsidR="00D24E61" w:rsidRPr="00771368" w:rsidRDefault="00D24E61" w:rsidP="00A01226">
      <w:pPr>
        <w:ind w:left="1"/>
        <w:jc w:val="both"/>
        <w:rPr>
          <w:sz w:val="20"/>
          <w:szCs w:val="20"/>
        </w:rPr>
      </w:pPr>
      <w:r w:rsidRPr="00771368">
        <w:rPr>
          <w:b/>
          <w:bCs/>
          <w:sz w:val="24"/>
          <w:szCs w:val="24"/>
        </w:rPr>
        <w:t>Família e trabalho e Sociedade</w:t>
      </w:r>
    </w:p>
    <w:p w:rsidR="00D24E61" w:rsidRPr="00771368" w:rsidRDefault="00D24E61" w:rsidP="00A01226">
      <w:pPr>
        <w:spacing w:line="200" w:lineRule="exact"/>
        <w:jc w:val="both"/>
        <w:rPr>
          <w:sz w:val="20"/>
          <w:szCs w:val="20"/>
        </w:rPr>
      </w:pPr>
    </w:p>
    <w:p w:rsidR="00D24E61" w:rsidRDefault="00D24E61" w:rsidP="00771368">
      <w:pPr>
        <w:pStyle w:val="citaolonga"/>
        <w:rPr>
          <w:i/>
          <w:sz w:val="24"/>
          <w:szCs w:val="24"/>
        </w:rPr>
      </w:pPr>
      <w:r w:rsidRPr="00771368">
        <w:rPr>
          <w:i/>
          <w:sz w:val="24"/>
          <w:szCs w:val="24"/>
        </w:rPr>
        <w:t>Homens e mulheres ocupam as mesmas funções dentro de uma empresa? Se ocupam são remunerados igualmente ou tem diferenças entre sexo?</w:t>
      </w:r>
    </w:p>
    <w:p w:rsidR="00771368" w:rsidRPr="00771368" w:rsidRDefault="00771368" w:rsidP="00771368">
      <w:pPr>
        <w:pStyle w:val="citaolonga"/>
        <w:rPr>
          <w:i/>
          <w:sz w:val="24"/>
          <w:szCs w:val="24"/>
        </w:rPr>
      </w:pPr>
    </w:p>
    <w:p w:rsidR="00D24E61" w:rsidRPr="00771368" w:rsidRDefault="00D24E61" w:rsidP="00A01226">
      <w:pPr>
        <w:spacing w:line="39" w:lineRule="exact"/>
        <w:jc w:val="both"/>
        <w:rPr>
          <w:sz w:val="20"/>
          <w:szCs w:val="20"/>
        </w:rPr>
      </w:pPr>
    </w:p>
    <w:p w:rsidR="00D24E61" w:rsidRPr="00771368" w:rsidRDefault="00D24E61" w:rsidP="00771368">
      <w:pPr>
        <w:ind w:firstLine="708"/>
        <w:jc w:val="both"/>
        <w:rPr>
          <w:sz w:val="20"/>
          <w:szCs w:val="20"/>
        </w:rPr>
      </w:pPr>
      <w:r w:rsidRPr="00771368">
        <w:rPr>
          <w:sz w:val="24"/>
          <w:szCs w:val="24"/>
        </w:rPr>
        <w:t>O quanto o trabalho das mulheres é importante para o funcionamento da sociedade?</w:t>
      </w:r>
    </w:p>
    <w:p w:rsidR="00D24E61" w:rsidRPr="00771368" w:rsidRDefault="00D24E61" w:rsidP="00771368">
      <w:pPr>
        <w:spacing w:line="308" w:lineRule="auto"/>
        <w:ind w:firstLine="708"/>
        <w:jc w:val="both"/>
        <w:rPr>
          <w:sz w:val="20"/>
          <w:szCs w:val="20"/>
        </w:rPr>
      </w:pPr>
      <w:r w:rsidRPr="00771368">
        <w:rPr>
          <w:sz w:val="24"/>
          <w:szCs w:val="24"/>
        </w:rPr>
        <w:t>Por que além de trabalhar fora a mulher tem obrigações dentro de casa, sendo que homens e mulheres moram juntos e todos deveriam ter as mesmas obrigações?</w:t>
      </w:r>
    </w:p>
    <w:p w:rsidR="00D24E61" w:rsidRPr="00771368" w:rsidRDefault="00D24E61" w:rsidP="00771368">
      <w:pPr>
        <w:spacing w:line="310" w:lineRule="auto"/>
        <w:ind w:firstLine="708"/>
        <w:jc w:val="both"/>
        <w:rPr>
          <w:sz w:val="20"/>
          <w:szCs w:val="20"/>
        </w:rPr>
      </w:pPr>
      <w:r w:rsidRPr="00771368">
        <w:rPr>
          <w:sz w:val="24"/>
          <w:szCs w:val="24"/>
        </w:rPr>
        <w:t>Após a elaboração da pesquisa será feita uma tabulação das respostas, diagnosticado onde estão os principais pontos a serem trabalhados</w:t>
      </w:r>
    </w:p>
    <w:p w:rsidR="00D24E61" w:rsidRPr="00771368" w:rsidRDefault="00D24E61" w:rsidP="00771368">
      <w:pPr>
        <w:spacing w:line="115" w:lineRule="exact"/>
        <w:jc w:val="both"/>
        <w:rPr>
          <w:sz w:val="20"/>
          <w:szCs w:val="20"/>
        </w:rPr>
      </w:pPr>
    </w:p>
    <w:p w:rsidR="00D24E61" w:rsidRPr="00771368" w:rsidRDefault="00D24E61" w:rsidP="00771368">
      <w:pPr>
        <w:spacing w:line="334" w:lineRule="auto"/>
        <w:ind w:firstLine="708"/>
        <w:jc w:val="both"/>
        <w:rPr>
          <w:sz w:val="20"/>
          <w:szCs w:val="20"/>
        </w:rPr>
      </w:pPr>
      <w:r w:rsidRPr="00771368">
        <w:rPr>
          <w:sz w:val="24"/>
          <w:szCs w:val="24"/>
        </w:rPr>
        <w:t>Será exibido o filme “E ai, comeu? De Felipe Joffily” ,seguido de questões de debate e feita análise escritas, para posterior mesa redonda. Durante todo este processo a avaliação do aluno será a auto avaliação.</w:t>
      </w:r>
    </w:p>
    <w:p w:rsidR="00D24E61" w:rsidRPr="00771368" w:rsidRDefault="00D24E61">
      <w:pPr>
        <w:sectPr w:rsidR="00D24E61" w:rsidRPr="00771368">
          <w:pgSz w:w="11900" w:h="16838"/>
          <w:pgMar w:top="1440" w:right="840" w:bottom="1093" w:left="1419" w:header="0" w:footer="0" w:gutter="0"/>
          <w:cols w:space="720" w:equalWidth="0">
            <w:col w:w="9641"/>
          </w:cols>
        </w:sectPr>
      </w:pPr>
    </w:p>
    <w:p w:rsidR="00D24E61" w:rsidRPr="00771368" w:rsidRDefault="00D24E61">
      <w:pPr>
        <w:spacing w:line="259" w:lineRule="exact"/>
        <w:rPr>
          <w:sz w:val="20"/>
          <w:szCs w:val="20"/>
        </w:rPr>
      </w:pPr>
    </w:p>
    <w:p w:rsidR="00D24E61" w:rsidRPr="00771368" w:rsidRDefault="00D24E61">
      <w:pPr>
        <w:ind w:left="700"/>
        <w:rPr>
          <w:sz w:val="20"/>
          <w:szCs w:val="20"/>
        </w:rPr>
      </w:pPr>
      <w:r w:rsidRPr="00771368">
        <w:rPr>
          <w:b/>
          <w:bCs/>
          <w:sz w:val="24"/>
          <w:szCs w:val="24"/>
        </w:rPr>
        <w:t>Língua Inglesa –</w:t>
      </w:r>
    </w:p>
    <w:p w:rsidR="00D24E61" w:rsidRPr="00771368" w:rsidRDefault="00D24E61">
      <w:pPr>
        <w:spacing w:line="200" w:lineRule="exact"/>
        <w:rPr>
          <w:sz w:val="20"/>
          <w:szCs w:val="20"/>
        </w:rPr>
      </w:pPr>
    </w:p>
    <w:p w:rsidR="00D24E61" w:rsidRPr="00771368" w:rsidRDefault="00D24E61" w:rsidP="00A01226">
      <w:pPr>
        <w:spacing w:line="347" w:lineRule="exact"/>
        <w:jc w:val="both"/>
        <w:rPr>
          <w:sz w:val="20"/>
          <w:szCs w:val="20"/>
        </w:rPr>
      </w:pPr>
    </w:p>
    <w:p w:rsidR="00D24E61" w:rsidRPr="00771368" w:rsidRDefault="00D24E61" w:rsidP="00A01226">
      <w:pPr>
        <w:ind w:left="700"/>
        <w:jc w:val="both"/>
        <w:rPr>
          <w:sz w:val="20"/>
          <w:szCs w:val="20"/>
        </w:rPr>
      </w:pPr>
      <w:r w:rsidRPr="00771368">
        <w:rPr>
          <w:sz w:val="24"/>
          <w:szCs w:val="24"/>
        </w:rPr>
        <w:t>Carga horária da disciplina: 2 hora/aula semanais</w:t>
      </w:r>
    </w:p>
    <w:p w:rsidR="00D24E61" w:rsidRPr="00771368" w:rsidRDefault="00D24E61" w:rsidP="00A01226">
      <w:pPr>
        <w:spacing w:line="154" w:lineRule="exact"/>
        <w:jc w:val="both"/>
        <w:rPr>
          <w:sz w:val="20"/>
          <w:szCs w:val="20"/>
        </w:rPr>
      </w:pPr>
    </w:p>
    <w:p w:rsidR="00D24E61" w:rsidRPr="00771368" w:rsidRDefault="00D24E61" w:rsidP="00A01226">
      <w:pPr>
        <w:ind w:left="1000"/>
        <w:jc w:val="both"/>
        <w:rPr>
          <w:sz w:val="20"/>
          <w:szCs w:val="20"/>
        </w:rPr>
      </w:pPr>
      <w:r w:rsidRPr="00771368">
        <w:rPr>
          <w:sz w:val="24"/>
          <w:szCs w:val="24"/>
        </w:rPr>
        <w:t>Carga horária reservada para atividades do projeto:</w:t>
      </w:r>
    </w:p>
    <w:p w:rsidR="00D24E61" w:rsidRPr="00771368" w:rsidRDefault="00D24E61" w:rsidP="00A01226">
      <w:pPr>
        <w:spacing w:line="214" w:lineRule="exact"/>
        <w:jc w:val="both"/>
        <w:rPr>
          <w:sz w:val="20"/>
          <w:szCs w:val="20"/>
        </w:rPr>
      </w:pPr>
    </w:p>
    <w:p w:rsidR="00D24E61" w:rsidRPr="00771368" w:rsidRDefault="00D24E61" w:rsidP="00A01226">
      <w:pPr>
        <w:spacing w:line="349" w:lineRule="auto"/>
        <w:ind w:left="1360" w:right="2680"/>
        <w:jc w:val="both"/>
        <w:rPr>
          <w:sz w:val="20"/>
          <w:szCs w:val="20"/>
        </w:rPr>
      </w:pPr>
      <w:r w:rsidRPr="00771368">
        <w:rPr>
          <w:sz w:val="23"/>
          <w:szCs w:val="23"/>
        </w:rPr>
        <w:t>Duração das atividades até o momento: 4 horas de aula. Público-alvo: todas as turmas da escola: (3 turmas)</w:t>
      </w:r>
    </w:p>
    <w:p w:rsidR="00D24E61" w:rsidRPr="00771368" w:rsidRDefault="00D24E61" w:rsidP="00A01226">
      <w:pPr>
        <w:spacing w:line="200" w:lineRule="exact"/>
        <w:jc w:val="both"/>
        <w:rPr>
          <w:sz w:val="20"/>
          <w:szCs w:val="20"/>
        </w:rPr>
      </w:pPr>
    </w:p>
    <w:p w:rsidR="00D24E61" w:rsidRPr="00771368" w:rsidRDefault="00D24E61" w:rsidP="00A01226">
      <w:pPr>
        <w:spacing w:line="200" w:lineRule="exact"/>
        <w:jc w:val="both"/>
        <w:rPr>
          <w:sz w:val="20"/>
          <w:szCs w:val="20"/>
        </w:rPr>
      </w:pPr>
    </w:p>
    <w:p w:rsidR="00D24E61" w:rsidRPr="00771368" w:rsidRDefault="00D24E61">
      <w:pPr>
        <w:spacing w:line="200" w:lineRule="exact"/>
        <w:rPr>
          <w:sz w:val="20"/>
          <w:szCs w:val="20"/>
        </w:rPr>
      </w:pPr>
    </w:p>
    <w:p w:rsidR="00D24E61" w:rsidRPr="00771368" w:rsidRDefault="00D24E61">
      <w:pPr>
        <w:spacing w:line="246" w:lineRule="exact"/>
        <w:rPr>
          <w:sz w:val="20"/>
          <w:szCs w:val="20"/>
        </w:rPr>
      </w:pPr>
    </w:p>
    <w:p w:rsidR="00D24E61" w:rsidRPr="00771368" w:rsidRDefault="00D24E61">
      <w:pPr>
        <w:ind w:left="700"/>
        <w:rPr>
          <w:sz w:val="20"/>
          <w:szCs w:val="20"/>
        </w:rPr>
      </w:pPr>
      <w:r w:rsidRPr="00771368">
        <w:rPr>
          <w:b/>
          <w:bCs/>
          <w:sz w:val="24"/>
          <w:szCs w:val="24"/>
        </w:rPr>
        <w:t xml:space="preserve">Primeira aula: </w:t>
      </w:r>
      <w:r w:rsidRPr="00771368">
        <w:rPr>
          <w:sz w:val="24"/>
          <w:szCs w:val="24"/>
        </w:rPr>
        <w:t>Ouvindo um funk americano que fale sobre a mulher;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65" w:lineRule="exact"/>
        <w:rPr>
          <w:sz w:val="20"/>
          <w:szCs w:val="20"/>
        </w:rPr>
      </w:pPr>
    </w:p>
    <w:p w:rsidR="00D24E61" w:rsidRPr="00E3248A" w:rsidRDefault="00D24E61">
      <w:pPr>
        <w:tabs>
          <w:tab w:val="left" w:pos="5160"/>
        </w:tabs>
        <w:spacing w:line="239" w:lineRule="auto"/>
        <w:rPr>
          <w:b/>
          <w:bCs/>
          <w:sz w:val="24"/>
          <w:szCs w:val="24"/>
          <w:lang w:val="en-US"/>
        </w:rPr>
      </w:pPr>
      <w:r w:rsidRPr="00E3248A">
        <w:rPr>
          <w:b/>
          <w:bCs/>
          <w:sz w:val="24"/>
          <w:szCs w:val="24"/>
          <w:lang w:val="en-US"/>
        </w:rPr>
        <w:t xml:space="preserve">Give It To Me </w:t>
      </w:r>
      <w:r w:rsidRPr="00E3248A">
        <w:rPr>
          <w:b/>
          <w:bCs/>
          <w:i/>
          <w:iCs/>
          <w:sz w:val="24"/>
          <w:szCs w:val="24"/>
          <w:lang w:val="en-US"/>
        </w:rPr>
        <w:t>(ft</w:t>
      </w:r>
      <w:r w:rsidRPr="00E3248A">
        <w:rPr>
          <w:b/>
          <w:bCs/>
          <w:sz w:val="24"/>
          <w:szCs w:val="24"/>
          <w:lang w:val="en-US"/>
        </w:rPr>
        <w:t xml:space="preserve"> </w:t>
      </w:r>
      <w:hyperlink r:id="rId15">
        <w:r w:rsidRPr="00E3248A">
          <w:rPr>
            <w:b/>
            <w:bCs/>
            <w:i/>
            <w:iCs/>
            <w:color w:val="0000FF"/>
            <w:sz w:val="24"/>
            <w:szCs w:val="24"/>
            <w:lang w:val="en-US"/>
          </w:rPr>
          <w:t>Mariah Carey</w:t>
        </w:r>
      </w:hyperlink>
      <w:r w:rsidRPr="00E3248A">
        <w:rPr>
          <w:b/>
          <w:bCs/>
          <w:i/>
          <w:iCs/>
          <w:sz w:val="24"/>
          <w:szCs w:val="24"/>
          <w:lang w:val="en-US"/>
        </w:rPr>
        <w:t>)</w:t>
      </w:r>
      <w:hyperlink r:id="rId16">
        <w:r w:rsidRPr="00E3248A">
          <w:rPr>
            <w:i/>
            <w:iCs/>
            <w:color w:val="0000FF"/>
            <w:sz w:val="24"/>
            <w:szCs w:val="24"/>
            <w:lang w:val="en-US"/>
          </w:rPr>
          <w:t>Busta</w:t>
        </w:r>
      </w:hyperlink>
      <w:r w:rsidRPr="00E3248A">
        <w:rPr>
          <w:b/>
          <w:bCs/>
          <w:sz w:val="24"/>
          <w:szCs w:val="24"/>
          <w:lang w:val="en-US"/>
        </w:rPr>
        <w:tab/>
      </w:r>
      <w:r w:rsidRPr="00E3248A">
        <w:rPr>
          <w:b/>
          <w:bCs/>
          <w:sz w:val="23"/>
          <w:szCs w:val="23"/>
          <w:lang w:val="en-US"/>
        </w:rPr>
        <w:t>Called each other nicknames</w:t>
      </w:r>
    </w:p>
    <w:p w:rsidR="00D24E61" w:rsidRPr="00E3248A" w:rsidRDefault="00D24E61">
      <w:pPr>
        <w:tabs>
          <w:tab w:val="left" w:pos="5160"/>
        </w:tabs>
        <w:rPr>
          <w:sz w:val="20"/>
          <w:szCs w:val="20"/>
          <w:lang w:val="en-US"/>
        </w:rPr>
      </w:pPr>
      <w:r w:rsidRPr="00E3248A">
        <w:rPr>
          <w:i/>
          <w:iCs/>
          <w:color w:val="0000FF"/>
          <w:sz w:val="24"/>
          <w:szCs w:val="24"/>
          <w:lang w:val="en-US"/>
        </w:rPr>
        <w:t>Rhymes</w:t>
      </w:r>
      <w:r w:rsidRPr="00E3248A">
        <w:rPr>
          <w:sz w:val="20"/>
          <w:szCs w:val="20"/>
          <w:lang w:val="en-US"/>
        </w:rPr>
        <w:tab/>
      </w:r>
      <w:r w:rsidRPr="00E3248A">
        <w:rPr>
          <w:sz w:val="24"/>
          <w:szCs w:val="24"/>
          <w:lang w:val="en-US"/>
        </w:rPr>
        <w:t>Like Sugar Plum and Poo Bear</w:t>
      </w:r>
    </w:p>
    <w:p w:rsidR="00D24E61" w:rsidRPr="00E3248A" w:rsidRDefault="00D24E61">
      <w:pPr>
        <w:ind w:left="5180"/>
        <w:rPr>
          <w:sz w:val="20"/>
          <w:szCs w:val="20"/>
          <w:lang w:val="en-US"/>
        </w:rPr>
      </w:pPr>
      <w:r w:rsidRPr="00E3248A">
        <w:rPr>
          <w:sz w:val="24"/>
          <w:szCs w:val="24"/>
          <w:lang w:val="en-US"/>
        </w:rPr>
        <w:t>I'm always on the road</w:t>
      </w:r>
    </w:p>
    <w:p w:rsidR="00D24E61" w:rsidRPr="00E3248A" w:rsidRDefault="00D24E61">
      <w:pPr>
        <w:tabs>
          <w:tab w:val="left" w:pos="5160"/>
        </w:tabs>
        <w:rPr>
          <w:sz w:val="20"/>
          <w:szCs w:val="20"/>
          <w:lang w:val="en-US"/>
        </w:rPr>
      </w:pPr>
      <w:r w:rsidRPr="00E3248A">
        <w:rPr>
          <w:sz w:val="24"/>
          <w:szCs w:val="24"/>
          <w:lang w:val="en-US"/>
        </w:rPr>
        <w:t>Busta Rhymes Talking</w:t>
      </w:r>
      <w:r w:rsidRPr="00E3248A">
        <w:rPr>
          <w:sz w:val="20"/>
          <w:szCs w:val="20"/>
          <w:lang w:val="en-US"/>
        </w:rPr>
        <w:tab/>
      </w:r>
      <w:r w:rsidRPr="00E3248A">
        <w:rPr>
          <w:sz w:val="23"/>
          <w:szCs w:val="23"/>
          <w:lang w:val="en-US"/>
        </w:rPr>
        <w:t>I'm hardly ever home</w:t>
      </w:r>
    </w:p>
    <w:p w:rsidR="00D24E61" w:rsidRPr="00E3248A" w:rsidRDefault="00D24E61">
      <w:pPr>
        <w:tabs>
          <w:tab w:val="left" w:pos="5160"/>
        </w:tabs>
        <w:rPr>
          <w:sz w:val="20"/>
          <w:szCs w:val="20"/>
          <w:lang w:val="en-US"/>
        </w:rPr>
      </w:pPr>
      <w:r w:rsidRPr="00E3248A">
        <w:rPr>
          <w:sz w:val="24"/>
          <w:szCs w:val="24"/>
          <w:lang w:val="en-US"/>
        </w:rPr>
        <w:t>Yeah</w:t>
      </w:r>
      <w:r w:rsidRPr="00E3248A">
        <w:rPr>
          <w:sz w:val="20"/>
          <w:szCs w:val="20"/>
          <w:lang w:val="en-US"/>
        </w:rPr>
        <w:tab/>
      </w:r>
      <w:r w:rsidRPr="00E3248A">
        <w:rPr>
          <w:sz w:val="24"/>
          <w:szCs w:val="24"/>
          <w:lang w:val="en-US"/>
        </w:rPr>
        <w:t>Always busy this busy that</w:t>
      </w:r>
    </w:p>
    <w:p w:rsidR="00D24E61" w:rsidRPr="00E3248A" w:rsidRDefault="00D24E61">
      <w:pPr>
        <w:tabs>
          <w:tab w:val="left" w:pos="5160"/>
        </w:tabs>
        <w:rPr>
          <w:sz w:val="20"/>
          <w:szCs w:val="20"/>
          <w:lang w:val="en-US"/>
        </w:rPr>
      </w:pPr>
      <w:r w:rsidRPr="00E3248A">
        <w:rPr>
          <w:sz w:val="24"/>
          <w:szCs w:val="24"/>
          <w:lang w:val="en-US"/>
        </w:rPr>
        <w:t>Shorty I know what you need</w:t>
      </w:r>
      <w:r w:rsidRPr="00E3248A">
        <w:rPr>
          <w:sz w:val="20"/>
          <w:szCs w:val="20"/>
          <w:lang w:val="en-US"/>
        </w:rPr>
        <w:tab/>
      </w:r>
      <w:r w:rsidRPr="00E3248A">
        <w:rPr>
          <w:sz w:val="23"/>
          <w:szCs w:val="23"/>
          <w:lang w:val="en-US"/>
        </w:rPr>
        <w:t>Can't talk on the phone</w:t>
      </w:r>
    </w:p>
    <w:p w:rsidR="00D24E61" w:rsidRPr="00E3248A" w:rsidRDefault="00D24E61">
      <w:pPr>
        <w:tabs>
          <w:tab w:val="left" w:pos="5160"/>
        </w:tabs>
        <w:rPr>
          <w:sz w:val="20"/>
          <w:szCs w:val="20"/>
          <w:lang w:val="en-US"/>
        </w:rPr>
      </w:pPr>
      <w:r w:rsidRPr="00E3248A">
        <w:rPr>
          <w:sz w:val="24"/>
          <w:szCs w:val="24"/>
          <w:lang w:val="en-US"/>
        </w:rPr>
        <w:t>I got everything you need</w:t>
      </w:r>
      <w:r w:rsidRPr="00E3248A">
        <w:rPr>
          <w:sz w:val="20"/>
          <w:szCs w:val="20"/>
          <w:lang w:val="en-US"/>
        </w:rPr>
        <w:tab/>
      </w:r>
      <w:r w:rsidRPr="00E3248A">
        <w:rPr>
          <w:sz w:val="23"/>
          <w:szCs w:val="23"/>
          <w:lang w:val="en-US"/>
        </w:rPr>
        <w:t>I know you aggrevated</w:t>
      </w:r>
    </w:p>
    <w:p w:rsidR="00D24E61" w:rsidRPr="00E3248A" w:rsidRDefault="00D24E61">
      <w:pPr>
        <w:tabs>
          <w:tab w:val="left" w:pos="5160"/>
        </w:tabs>
        <w:rPr>
          <w:sz w:val="20"/>
          <w:szCs w:val="20"/>
          <w:lang w:val="en-US"/>
        </w:rPr>
      </w:pPr>
      <w:r w:rsidRPr="00E3248A">
        <w:rPr>
          <w:sz w:val="24"/>
          <w:szCs w:val="24"/>
          <w:lang w:val="en-US"/>
        </w:rPr>
        <w:t>I promise I ain't gonna hold out either</w:t>
      </w:r>
      <w:r w:rsidRPr="00E3248A">
        <w:rPr>
          <w:sz w:val="20"/>
          <w:szCs w:val="20"/>
          <w:lang w:val="en-US"/>
        </w:rPr>
        <w:tab/>
      </w:r>
      <w:r w:rsidRPr="00E3248A">
        <w:rPr>
          <w:sz w:val="23"/>
          <w:szCs w:val="23"/>
          <w:lang w:val="en-US"/>
        </w:rPr>
        <w:t>Walk around frustrated</w:t>
      </w:r>
    </w:p>
    <w:p w:rsidR="00D24E61" w:rsidRPr="00E3248A" w:rsidRDefault="00D24E61">
      <w:pPr>
        <w:tabs>
          <w:tab w:val="left" w:pos="5160"/>
        </w:tabs>
        <w:rPr>
          <w:sz w:val="20"/>
          <w:szCs w:val="20"/>
          <w:lang w:val="en-US"/>
        </w:rPr>
      </w:pPr>
      <w:r w:rsidRPr="00E3248A">
        <w:rPr>
          <w:sz w:val="24"/>
          <w:szCs w:val="24"/>
          <w:lang w:val="en-US"/>
        </w:rPr>
        <w:t>I'ma give it all to you baby</w:t>
      </w:r>
      <w:r w:rsidRPr="00E3248A">
        <w:rPr>
          <w:sz w:val="20"/>
          <w:szCs w:val="20"/>
          <w:lang w:val="en-US"/>
        </w:rPr>
        <w:tab/>
      </w:r>
      <w:r w:rsidRPr="00E3248A">
        <w:rPr>
          <w:sz w:val="23"/>
          <w:szCs w:val="23"/>
          <w:lang w:val="en-US"/>
        </w:rPr>
        <w:t>Ya patience gettin' short</w:t>
      </w:r>
    </w:p>
    <w:p w:rsidR="00D24E61" w:rsidRPr="00E3248A" w:rsidRDefault="00D24E61">
      <w:pPr>
        <w:tabs>
          <w:tab w:val="left" w:pos="5160"/>
        </w:tabs>
        <w:rPr>
          <w:sz w:val="20"/>
          <w:szCs w:val="20"/>
          <w:lang w:val="en-US"/>
        </w:rPr>
      </w:pPr>
      <w:r w:rsidRPr="00E3248A">
        <w:rPr>
          <w:sz w:val="24"/>
          <w:szCs w:val="24"/>
          <w:lang w:val="en-US"/>
        </w:rPr>
        <w:t>It's on, bust it</w:t>
      </w:r>
      <w:r w:rsidRPr="00E3248A">
        <w:rPr>
          <w:sz w:val="20"/>
          <w:szCs w:val="20"/>
          <w:lang w:val="en-US"/>
        </w:rPr>
        <w:tab/>
      </w:r>
      <w:r w:rsidRPr="00E3248A">
        <w:rPr>
          <w:sz w:val="23"/>
          <w:szCs w:val="23"/>
          <w:lang w:val="en-US"/>
        </w:rPr>
        <w:t>How long can you tolerate it</w:t>
      </w:r>
    </w:p>
    <w:p w:rsidR="00D24E61" w:rsidRPr="00E3248A" w:rsidRDefault="00D24E61">
      <w:pPr>
        <w:ind w:left="5180"/>
        <w:rPr>
          <w:sz w:val="20"/>
          <w:szCs w:val="20"/>
          <w:lang w:val="en-US"/>
        </w:rPr>
      </w:pPr>
      <w:r w:rsidRPr="00E3248A">
        <w:rPr>
          <w:sz w:val="24"/>
          <w:szCs w:val="24"/>
          <w:lang w:val="en-US"/>
        </w:rPr>
        <w:t>Listen ma I'm just motivated</w:t>
      </w:r>
    </w:p>
    <w:p w:rsidR="00D24E61" w:rsidRPr="00E3248A" w:rsidRDefault="00D24E61">
      <w:pPr>
        <w:tabs>
          <w:tab w:val="left" w:pos="5160"/>
        </w:tabs>
        <w:rPr>
          <w:sz w:val="20"/>
          <w:szCs w:val="20"/>
          <w:lang w:val="en-US"/>
        </w:rPr>
      </w:pPr>
      <w:r w:rsidRPr="00E3248A">
        <w:rPr>
          <w:sz w:val="24"/>
          <w:szCs w:val="24"/>
          <w:lang w:val="en-US"/>
        </w:rPr>
        <w:t>[Chorus: 1- Busta Rhymes 2- Mariah Carey]</w:t>
      </w:r>
      <w:r w:rsidRPr="00E3248A">
        <w:rPr>
          <w:sz w:val="20"/>
          <w:szCs w:val="20"/>
          <w:lang w:val="en-US"/>
        </w:rPr>
        <w:tab/>
      </w:r>
      <w:r w:rsidRPr="00E3248A">
        <w:rPr>
          <w:sz w:val="23"/>
          <w:szCs w:val="23"/>
          <w:lang w:val="en-US"/>
        </w:rPr>
        <w:t>I do this for us</w:t>
      </w:r>
    </w:p>
    <w:p w:rsidR="00D24E61" w:rsidRPr="00E3248A" w:rsidRDefault="00D24E61">
      <w:pPr>
        <w:ind w:left="5180"/>
        <w:rPr>
          <w:sz w:val="20"/>
          <w:szCs w:val="20"/>
          <w:lang w:val="en-US"/>
        </w:rPr>
      </w:pPr>
      <w:r w:rsidRPr="00E3248A">
        <w:rPr>
          <w:sz w:val="24"/>
          <w:szCs w:val="24"/>
          <w:lang w:val="en-US"/>
        </w:rPr>
        <w:t>Step on the grind tryin' to elevate it now</w:t>
      </w:r>
    </w:p>
    <w:p w:rsidR="00D24E61" w:rsidRPr="00E3248A" w:rsidRDefault="00D24E61">
      <w:pPr>
        <w:spacing w:line="237" w:lineRule="auto"/>
        <w:rPr>
          <w:sz w:val="20"/>
          <w:szCs w:val="20"/>
          <w:lang w:val="en-US"/>
        </w:rPr>
      </w:pPr>
      <w:r w:rsidRPr="00E3248A">
        <w:rPr>
          <w:sz w:val="24"/>
          <w:szCs w:val="24"/>
          <w:lang w:val="en-US"/>
        </w:rPr>
        <w:t>[1] - Baby if you give it to me</w:t>
      </w:r>
    </w:p>
    <w:p w:rsidR="00D24E61" w:rsidRPr="00E3248A" w:rsidRDefault="00D24E61">
      <w:pPr>
        <w:spacing w:line="1" w:lineRule="exact"/>
        <w:rPr>
          <w:sz w:val="20"/>
          <w:szCs w:val="20"/>
          <w:lang w:val="en-US"/>
        </w:rPr>
      </w:pPr>
    </w:p>
    <w:p w:rsidR="00D24E61" w:rsidRPr="00E3248A" w:rsidRDefault="00D24E61">
      <w:pPr>
        <w:tabs>
          <w:tab w:val="left" w:pos="5160"/>
        </w:tabs>
        <w:rPr>
          <w:sz w:val="20"/>
          <w:szCs w:val="20"/>
          <w:lang w:val="en-US"/>
        </w:rPr>
      </w:pPr>
      <w:r w:rsidRPr="00E3248A">
        <w:rPr>
          <w:sz w:val="24"/>
          <w:szCs w:val="24"/>
          <w:lang w:val="en-US"/>
        </w:rPr>
        <w:t>I'll give it to you</w:t>
      </w:r>
      <w:r w:rsidRPr="00E3248A">
        <w:rPr>
          <w:sz w:val="20"/>
          <w:szCs w:val="20"/>
          <w:lang w:val="en-US"/>
        </w:rPr>
        <w:tab/>
      </w:r>
      <w:r w:rsidRPr="00E3248A">
        <w:rPr>
          <w:sz w:val="23"/>
          <w:szCs w:val="23"/>
          <w:lang w:val="en-US"/>
        </w:rPr>
        <w:t>[Verse 2: Baby Sham]</w:t>
      </w:r>
    </w:p>
    <w:p w:rsidR="00D24E61" w:rsidRPr="00E3248A" w:rsidRDefault="00D24E61">
      <w:pPr>
        <w:tabs>
          <w:tab w:val="left" w:pos="5160"/>
        </w:tabs>
        <w:rPr>
          <w:sz w:val="20"/>
          <w:szCs w:val="20"/>
          <w:lang w:val="en-US"/>
        </w:rPr>
      </w:pPr>
      <w:r w:rsidRPr="00E3248A">
        <w:rPr>
          <w:sz w:val="24"/>
          <w:szCs w:val="24"/>
          <w:lang w:val="en-US"/>
        </w:rPr>
        <w:t>I know what you want</w:t>
      </w:r>
      <w:r w:rsidRPr="00E3248A">
        <w:rPr>
          <w:sz w:val="20"/>
          <w:szCs w:val="20"/>
          <w:lang w:val="en-US"/>
        </w:rPr>
        <w:tab/>
      </w:r>
      <w:r w:rsidRPr="00E3248A">
        <w:rPr>
          <w:sz w:val="23"/>
          <w:szCs w:val="23"/>
          <w:lang w:val="en-US"/>
        </w:rPr>
        <w:t>Hey yo to really be honest</w:t>
      </w:r>
    </w:p>
    <w:p w:rsidR="00D24E61" w:rsidRPr="00E3248A" w:rsidRDefault="00D24E61">
      <w:pPr>
        <w:tabs>
          <w:tab w:val="left" w:pos="5160"/>
        </w:tabs>
        <w:rPr>
          <w:sz w:val="20"/>
          <w:szCs w:val="20"/>
          <w:lang w:val="en-US"/>
        </w:rPr>
      </w:pPr>
      <w:r w:rsidRPr="00E3248A">
        <w:rPr>
          <w:sz w:val="24"/>
          <w:szCs w:val="24"/>
          <w:lang w:val="en-US"/>
        </w:rPr>
        <w:t>You know I got it</w:t>
      </w:r>
      <w:r w:rsidRPr="00E3248A">
        <w:rPr>
          <w:sz w:val="20"/>
          <w:szCs w:val="20"/>
          <w:lang w:val="en-US"/>
        </w:rPr>
        <w:tab/>
      </w:r>
      <w:r w:rsidRPr="00E3248A">
        <w:rPr>
          <w:sz w:val="23"/>
          <w:szCs w:val="23"/>
          <w:lang w:val="en-US"/>
        </w:rPr>
        <w:t>You stuck with me through my whole</w:t>
      </w:r>
    </w:p>
    <w:p w:rsidR="00D24E61" w:rsidRPr="00E3248A" w:rsidRDefault="00D24E61">
      <w:pPr>
        <w:spacing w:line="1" w:lineRule="exact"/>
        <w:rPr>
          <w:sz w:val="20"/>
          <w:szCs w:val="20"/>
          <w:lang w:val="en-US"/>
        </w:rPr>
      </w:pPr>
    </w:p>
    <w:p w:rsidR="00D24E61" w:rsidRPr="00E3248A" w:rsidRDefault="00D24E61">
      <w:pPr>
        <w:tabs>
          <w:tab w:val="left" w:pos="5160"/>
        </w:tabs>
        <w:rPr>
          <w:sz w:val="20"/>
          <w:szCs w:val="20"/>
          <w:lang w:val="en-US"/>
        </w:rPr>
      </w:pPr>
      <w:r w:rsidRPr="00E3248A">
        <w:rPr>
          <w:sz w:val="24"/>
          <w:szCs w:val="24"/>
          <w:lang w:val="en-US"/>
        </w:rPr>
        <w:t>Baby if you give it to me</w:t>
      </w:r>
      <w:r w:rsidRPr="00E3248A">
        <w:rPr>
          <w:sz w:val="20"/>
          <w:szCs w:val="20"/>
          <w:lang w:val="en-US"/>
        </w:rPr>
        <w:tab/>
      </w:r>
      <w:r w:rsidRPr="00E3248A">
        <w:rPr>
          <w:sz w:val="23"/>
          <w:szCs w:val="23"/>
          <w:lang w:val="en-US"/>
        </w:rPr>
        <w:t>struggle</w:t>
      </w:r>
    </w:p>
    <w:p w:rsidR="00D24E61" w:rsidRPr="00E3248A" w:rsidRDefault="00D24E61">
      <w:pPr>
        <w:tabs>
          <w:tab w:val="left" w:pos="5160"/>
        </w:tabs>
        <w:rPr>
          <w:sz w:val="20"/>
          <w:szCs w:val="20"/>
          <w:lang w:val="en-US"/>
        </w:rPr>
      </w:pPr>
      <w:r w:rsidRPr="00E3248A">
        <w:rPr>
          <w:sz w:val="24"/>
          <w:szCs w:val="24"/>
          <w:lang w:val="en-US"/>
        </w:rPr>
        <w:t>I'll give it to you</w:t>
      </w:r>
      <w:r w:rsidRPr="00E3248A">
        <w:rPr>
          <w:sz w:val="20"/>
          <w:szCs w:val="20"/>
          <w:lang w:val="en-US"/>
        </w:rPr>
        <w:tab/>
      </w:r>
      <w:r w:rsidRPr="00E3248A">
        <w:rPr>
          <w:sz w:val="23"/>
          <w:szCs w:val="23"/>
          <w:lang w:val="en-US"/>
        </w:rPr>
        <w:t>Can't express the words</w:t>
      </w:r>
    </w:p>
    <w:p w:rsidR="00D24E61" w:rsidRPr="00E3248A" w:rsidRDefault="00D24E61">
      <w:pPr>
        <w:tabs>
          <w:tab w:val="left" w:pos="5160"/>
        </w:tabs>
        <w:spacing w:line="239" w:lineRule="auto"/>
        <w:rPr>
          <w:sz w:val="20"/>
          <w:szCs w:val="20"/>
          <w:lang w:val="en-US"/>
        </w:rPr>
      </w:pPr>
      <w:r w:rsidRPr="00E3248A">
        <w:rPr>
          <w:sz w:val="24"/>
          <w:szCs w:val="24"/>
          <w:lang w:val="en-US"/>
        </w:rPr>
        <w:t>As long as you want</w:t>
      </w:r>
      <w:r w:rsidRPr="00E3248A">
        <w:rPr>
          <w:sz w:val="20"/>
          <w:szCs w:val="20"/>
          <w:lang w:val="en-US"/>
        </w:rPr>
        <w:tab/>
      </w:r>
      <w:r w:rsidRPr="00E3248A">
        <w:rPr>
          <w:sz w:val="23"/>
          <w:szCs w:val="23"/>
          <w:lang w:val="en-US"/>
        </w:rPr>
        <w:t>How much the kid loves ya</w:t>
      </w:r>
    </w:p>
    <w:p w:rsidR="00D24E61" w:rsidRPr="00E3248A" w:rsidRDefault="00D24E61">
      <w:pPr>
        <w:tabs>
          <w:tab w:val="left" w:pos="5160"/>
        </w:tabs>
        <w:spacing w:line="239" w:lineRule="auto"/>
        <w:rPr>
          <w:sz w:val="20"/>
          <w:szCs w:val="20"/>
          <w:lang w:val="en-US"/>
        </w:rPr>
      </w:pPr>
      <w:r w:rsidRPr="00E3248A">
        <w:rPr>
          <w:sz w:val="24"/>
          <w:szCs w:val="24"/>
          <w:lang w:val="en-US"/>
        </w:rPr>
        <w:t>You know i got it</w:t>
      </w:r>
      <w:r w:rsidRPr="00E3248A">
        <w:rPr>
          <w:sz w:val="20"/>
          <w:szCs w:val="20"/>
          <w:lang w:val="en-US"/>
        </w:rPr>
        <w:tab/>
      </w:r>
      <w:r w:rsidRPr="00E3248A">
        <w:rPr>
          <w:sz w:val="23"/>
          <w:szCs w:val="23"/>
          <w:lang w:val="en-US"/>
        </w:rPr>
        <w:t>I'ma stand as a man never above ya</w:t>
      </w:r>
    </w:p>
    <w:p w:rsidR="00D24E61" w:rsidRPr="00E3248A" w:rsidRDefault="00D24E61">
      <w:pPr>
        <w:ind w:left="5180"/>
        <w:rPr>
          <w:sz w:val="20"/>
          <w:szCs w:val="20"/>
          <w:lang w:val="en-US"/>
        </w:rPr>
      </w:pPr>
      <w:r w:rsidRPr="00E3248A">
        <w:rPr>
          <w:sz w:val="24"/>
          <w:szCs w:val="24"/>
          <w:lang w:val="en-US"/>
        </w:rPr>
        <w:t>I can tell that you different from most</w:t>
      </w:r>
    </w:p>
    <w:p w:rsidR="00D24E61" w:rsidRPr="00E3248A" w:rsidRDefault="00D24E61">
      <w:pPr>
        <w:tabs>
          <w:tab w:val="left" w:pos="5160"/>
        </w:tabs>
        <w:spacing w:line="239" w:lineRule="auto"/>
        <w:rPr>
          <w:sz w:val="20"/>
          <w:szCs w:val="20"/>
          <w:lang w:val="en-US"/>
        </w:rPr>
      </w:pPr>
      <w:r w:rsidRPr="00E3248A">
        <w:rPr>
          <w:sz w:val="24"/>
          <w:szCs w:val="24"/>
          <w:lang w:val="en-US"/>
        </w:rPr>
        <w:t>[2] - Baby if you give it to me</w:t>
      </w:r>
      <w:r w:rsidRPr="00E3248A">
        <w:rPr>
          <w:sz w:val="20"/>
          <w:szCs w:val="20"/>
          <w:lang w:val="en-US"/>
        </w:rPr>
        <w:tab/>
      </w:r>
      <w:r w:rsidRPr="00E3248A">
        <w:rPr>
          <w:sz w:val="23"/>
          <w:szCs w:val="23"/>
          <w:lang w:val="en-US"/>
        </w:rPr>
        <w:t>Slightly approach you</w:t>
      </w:r>
    </w:p>
    <w:p w:rsidR="00D24E61" w:rsidRPr="00E3248A" w:rsidRDefault="00D24E61">
      <w:pPr>
        <w:tabs>
          <w:tab w:val="left" w:pos="5160"/>
        </w:tabs>
        <w:spacing w:line="239" w:lineRule="auto"/>
        <w:rPr>
          <w:sz w:val="20"/>
          <w:szCs w:val="20"/>
          <w:lang w:val="en-US"/>
        </w:rPr>
      </w:pPr>
      <w:r w:rsidRPr="00E3248A">
        <w:rPr>
          <w:sz w:val="24"/>
          <w:szCs w:val="24"/>
          <w:lang w:val="en-US"/>
        </w:rPr>
        <w:t>I'll give it to you</w:t>
      </w:r>
      <w:r w:rsidRPr="00E3248A">
        <w:rPr>
          <w:sz w:val="20"/>
          <w:szCs w:val="20"/>
          <w:lang w:val="en-US"/>
        </w:rPr>
        <w:tab/>
      </w:r>
      <w:r w:rsidRPr="00E3248A">
        <w:rPr>
          <w:sz w:val="23"/>
          <w:szCs w:val="23"/>
          <w:lang w:val="en-US"/>
        </w:rPr>
        <w:t>And that ill shit about it</w:t>
      </w:r>
    </w:p>
    <w:p w:rsidR="00D24E61" w:rsidRPr="00E3248A" w:rsidRDefault="00D24E61">
      <w:pPr>
        <w:tabs>
          <w:tab w:val="left" w:pos="5160"/>
        </w:tabs>
        <w:spacing w:line="239" w:lineRule="auto"/>
        <w:rPr>
          <w:sz w:val="20"/>
          <w:szCs w:val="20"/>
          <w:lang w:val="en-US"/>
        </w:rPr>
      </w:pPr>
      <w:r w:rsidRPr="00E3248A">
        <w:rPr>
          <w:sz w:val="24"/>
          <w:szCs w:val="24"/>
          <w:lang w:val="en-US"/>
        </w:rPr>
        <w:t>I know what you want</w:t>
      </w:r>
      <w:r w:rsidRPr="00E3248A">
        <w:rPr>
          <w:sz w:val="20"/>
          <w:szCs w:val="20"/>
          <w:lang w:val="en-US"/>
        </w:rPr>
        <w:tab/>
      </w:r>
      <w:r w:rsidRPr="00E3248A">
        <w:rPr>
          <w:sz w:val="23"/>
          <w:szCs w:val="23"/>
          <w:lang w:val="en-US"/>
        </w:rPr>
        <w:t>We gon' sex every day</w:t>
      </w:r>
    </w:p>
    <w:p w:rsidR="00D24E61" w:rsidRPr="00E3248A" w:rsidRDefault="00D24E61">
      <w:pPr>
        <w:tabs>
          <w:tab w:val="left" w:pos="5160"/>
        </w:tabs>
        <w:spacing w:line="239" w:lineRule="auto"/>
        <w:rPr>
          <w:sz w:val="20"/>
          <w:szCs w:val="20"/>
          <w:lang w:val="en-US"/>
        </w:rPr>
      </w:pPr>
      <w:r w:rsidRPr="00E3248A">
        <w:rPr>
          <w:sz w:val="24"/>
          <w:szCs w:val="24"/>
          <w:lang w:val="en-US"/>
        </w:rPr>
        <w:t>You know I got it</w:t>
      </w:r>
      <w:r w:rsidRPr="00E3248A">
        <w:rPr>
          <w:sz w:val="20"/>
          <w:szCs w:val="20"/>
          <w:lang w:val="en-US"/>
        </w:rPr>
        <w:tab/>
      </w:r>
      <w:r w:rsidRPr="00E3248A">
        <w:rPr>
          <w:sz w:val="23"/>
          <w:szCs w:val="23"/>
          <w:lang w:val="en-US"/>
        </w:rPr>
        <w:t>But when we sex we tease</w:t>
      </w:r>
    </w:p>
    <w:p w:rsidR="00D24E61" w:rsidRPr="00E3248A" w:rsidRDefault="00D24E61">
      <w:pPr>
        <w:tabs>
          <w:tab w:val="left" w:pos="5160"/>
        </w:tabs>
        <w:spacing w:line="239" w:lineRule="auto"/>
        <w:rPr>
          <w:sz w:val="20"/>
          <w:szCs w:val="20"/>
          <w:lang w:val="en-US"/>
        </w:rPr>
      </w:pPr>
      <w:r w:rsidRPr="00E3248A">
        <w:rPr>
          <w:sz w:val="24"/>
          <w:szCs w:val="24"/>
          <w:lang w:val="en-US"/>
        </w:rPr>
        <w:t>Baby if you give it to me</w:t>
      </w:r>
      <w:r w:rsidRPr="00E3248A">
        <w:rPr>
          <w:sz w:val="20"/>
          <w:szCs w:val="20"/>
          <w:lang w:val="en-US"/>
        </w:rPr>
        <w:tab/>
      </w:r>
      <w:r w:rsidRPr="00E3248A">
        <w:rPr>
          <w:sz w:val="23"/>
          <w:szCs w:val="23"/>
          <w:lang w:val="en-US"/>
        </w:rPr>
        <w:t>In a passionate way</w:t>
      </w:r>
    </w:p>
    <w:p w:rsidR="00D24E61" w:rsidRPr="00E3248A" w:rsidRDefault="00D24E61">
      <w:pPr>
        <w:tabs>
          <w:tab w:val="left" w:pos="5160"/>
        </w:tabs>
        <w:spacing w:line="239" w:lineRule="auto"/>
        <w:rPr>
          <w:sz w:val="20"/>
          <w:szCs w:val="20"/>
          <w:lang w:val="en-US"/>
        </w:rPr>
      </w:pPr>
      <w:r w:rsidRPr="00E3248A">
        <w:rPr>
          <w:sz w:val="24"/>
          <w:szCs w:val="24"/>
          <w:lang w:val="en-US"/>
        </w:rPr>
        <w:t>I'll give it to you</w:t>
      </w:r>
      <w:r w:rsidRPr="00E3248A">
        <w:rPr>
          <w:sz w:val="20"/>
          <w:szCs w:val="20"/>
          <w:lang w:val="en-US"/>
        </w:rPr>
        <w:tab/>
      </w:r>
      <w:r w:rsidRPr="00E3248A">
        <w:rPr>
          <w:sz w:val="23"/>
          <w:szCs w:val="23"/>
          <w:lang w:val="en-US"/>
        </w:rPr>
        <w:t>I love the way you touch it</w:t>
      </w:r>
    </w:p>
    <w:p w:rsidR="00D24E61" w:rsidRPr="00E3248A" w:rsidRDefault="00D24E61">
      <w:pPr>
        <w:tabs>
          <w:tab w:val="left" w:pos="5160"/>
        </w:tabs>
        <w:spacing w:line="239" w:lineRule="auto"/>
        <w:rPr>
          <w:sz w:val="20"/>
          <w:szCs w:val="20"/>
          <w:lang w:val="en-US"/>
        </w:rPr>
      </w:pPr>
      <w:r w:rsidRPr="00E3248A">
        <w:rPr>
          <w:sz w:val="24"/>
          <w:szCs w:val="24"/>
          <w:lang w:val="en-US"/>
        </w:rPr>
        <w:t>As long as you want</w:t>
      </w:r>
      <w:r w:rsidRPr="00E3248A">
        <w:rPr>
          <w:sz w:val="20"/>
          <w:szCs w:val="20"/>
          <w:lang w:val="en-US"/>
        </w:rPr>
        <w:tab/>
      </w:r>
      <w:r w:rsidRPr="00E3248A">
        <w:rPr>
          <w:sz w:val="23"/>
          <w:szCs w:val="23"/>
          <w:lang w:val="en-US"/>
        </w:rPr>
        <w:t>Those little elaborate ways</w:t>
      </w:r>
    </w:p>
    <w:p w:rsidR="00D24E61" w:rsidRPr="00E3248A" w:rsidRDefault="00D24E61">
      <w:pPr>
        <w:tabs>
          <w:tab w:val="left" w:pos="5160"/>
        </w:tabs>
        <w:rPr>
          <w:sz w:val="20"/>
          <w:szCs w:val="20"/>
          <w:lang w:val="en-US"/>
        </w:rPr>
      </w:pPr>
      <w:r w:rsidRPr="00E3248A">
        <w:rPr>
          <w:sz w:val="24"/>
          <w:szCs w:val="24"/>
          <w:lang w:val="en-US"/>
        </w:rPr>
        <w:t>You know i got it</w:t>
      </w:r>
      <w:r w:rsidRPr="00E3248A">
        <w:rPr>
          <w:sz w:val="20"/>
          <w:szCs w:val="20"/>
          <w:lang w:val="en-US"/>
        </w:rPr>
        <w:tab/>
      </w:r>
      <w:r w:rsidRPr="00E3248A">
        <w:rPr>
          <w:sz w:val="23"/>
          <w:szCs w:val="23"/>
          <w:lang w:val="en-US"/>
        </w:rPr>
        <w:t>Got the guard feelin' released</w:t>
      </w:r>
    </w:p>
    <w:p w:rsidR="00D24E61" w:rsidRPr="00E3248A" w:rsidRDefault="00D24E61">
      <w:pPr>
        <w:ind w:left="5180"/>
        <w:rPr>
          <w:sz w:val="20"/>
          <w:szCs w:val="20"/>
          <w:lang w:val="en-US"/>
        </w:rPr>
      </w:pPr>
      <w:r w:rsidRPr="00E3248A">
        <w:rPr>
          <w:sz w:val="24"/>
          <w:szCs w:val="24"/>
          <w:lang w:val="en-US"/>
        </w:rPr>
        <w:t>To relax for the day</w:t>
      </w:r>
    </w:p>
    <w:p w:rsidR="00D24E61" w:rsidRPr="00E3248A" w:rsidRDefault="00D24E61">
      <w:pPr>
        <w:tabs>
          <w:tab w:val="left" w:pos="5160"/>
        </w:tabs>
        <w:rPr>
          <w:sz w:val="20"/>
          <w:szCs w:val="20"/>
          <w:lang w:val="en-US"/>
        </w:rPr>
      </w:pPr>
      <w:r w:rsidRPr="00E3248A">
        <w:rPr>
          <w:sz w:val="24"/>
          <w:szCs w:val="24"/>
          <w:lang w:val="en-US"/>
        </w:rPr>
        <w:t>[Verse 1: Spliff Star]</w:t>
      </w:r>
      <w:r w:rsidRPr="00E3248A">
        <w:rPr>
          <w:sz w:val="20"/>
          <w:szCs w:val="20"/>
          <w:lang w:val="en-US"/>
        </w:rPr>
        <w:tab/>
      </w:r>
      <w:r w:rsidRPr="00E3248A">
        <w:rPr>
          <w:sz w:val="23"/>
          <w:szCs w:val="23"/>
          <w:lang w:val="en-US"/>
        </w:rPr>
        <w:t>It's on you ma</w:t>
      </w:r>
    </w:p>
    <w:p w:rsidR="00D24E61" w:rsidRPr="00E3248A" w:rsidRDefault="00D24E61">
      <w:pPr>
        <w:rPr>
          <w:sz w:val="20"/>
          <w:szCs w:val="20"/>
          <w:lang w:val="en-US"/>
        </w:rPr>
      </w:pPr>
      <w:r w:rsidRPr="00E3248A">
        <w:rPr>
          <w:sz w:val="24"/>
          <w:szCs w:val="24"/>
          <w:lang w:val="en-US"/>
        </w:rPr>
        <w:t>We been together for a few years</w:t>
      </w:r>
    </w:p>
    <w:p w:rsidR="00D24E61" w:rsidRPr="00E3248A" w:rsidRDefault="00D24E61">
      <w:pPr>
        <w:tabs>
          <w:tab w:val="left" w:pos="5160"/>
        </w:tabs>
        <w:rPr>
          <w:sz w:val="20"/>
          <w:szCs w:val="20"/>
          <w:lang w:val="en-US"/>
        </w:rPr>
      </w:pPr>
      <w:r w:rsidRPr="00E3248A">
        <w:rPr>
          <w:sz w:val="24"/>
          <w:szCs w:val="24"/>
          <w:lang w:val="en-US"/>
        </w:rPr>
        <w:t>Shared a few tears</w:t>
      </w:r>
      <w:r w:rsidRPr="00E3248A">
        <w:rPr>
          <w:sz w:val="20"/>
          <w:szCs w:val="20"/>
          <w:lang w:val="en-US"/>
        </w:rPr>
        <w:tab/>
      </w:r>
      <w:r w:rsidRPr="00E3248A">
        <w:rPr>
          <w:sz w:val="23"/>
          <w:szCs w:val="23"/>
          <w:lang w:val="en-US"/>
        </w:rPr>
        <w:t>[Chorus 1- Busta Rhymes 2- Mariah Carey]</w:t>
      </w:r>
    </w:p>
    <w:p w:rsidR="00D24E61" w:rsidRPr="00E3248A" w:rsidRDefault="00D24E61">
      <w:pPr>
        <w:rPr>
          <w:lang w:val="en-US"/>
        </w:rPr>
        <w:sectPr w:rsidR="00D24E61" w:rsidRPr="00E3248A">
          <w:pgSz w:w="11900" w:h="16838"/>
          <w:pgMar w:top="1440" w:right="1100" w:bottom="881" w:left="1420" w:header="0" w:footer="0" w:gutter="0"/>
          <w:cols w:space="720" w:equalWidth="0">
            <w:col w:w="9380"/>
          </w:cols>
        </w:sectPr>
      </w:pPr>
    </w:p>
    <w:p w:rsidR="00D24E61" w:rsidRPr="00E3248A" w:rsidRDefault="00D24E61">
      <w:pPr>
        <w:spacing w:line="200" w:lineRule="exact"/>
        <w:rPr>
          <w:sz w:val="20"/>
          <w:szCs w:val="20"/>
          <w:lang w:val="en-US"/>
        </w:rPr>
      </w:pPr>
    </w:p>
    <w:p w:rsidR="00D24E61" w:rsidRPr="00E3248A" w:rsidRDefault="00D24E61">
      <w:pPr>
        <w:spacing w:line="386" w:lineRule="exact"/>
        <w:rPr>
          <w:sz w:val="20"/>
          <w:szCs w:val="20"/>
          <w:lang w:val="en-US"/>
        </w:rPr>
      </w:pPr>
    </w:p>
    <w:p w:rsidR="00D24E61" w:rsidRPr="00E3248A" w:rsidRDefault="00D24E61">
      <w:pPr>
        <w:spacing w:line="224" w:lineRule="auto"/>
        <w:ind w:right="2020"/>
        <w:rPr>
          <w:sz w:val="20"/>
          <w:szCs w:val="20"/>
          <w:lang w:val="en-US"/>
        </w:rPr>
      </w:pPr>
      <w:r w:rsidRPr="00E3248A">
        <w:rPr>
          <w:sz w:val="23"/>
          <w:szCs w:val="23"/>
          <w:lang w:val="en-US"/>
        </w:rPr>
        <w:t>[Verse 3: Busta Rhymes] Shh, mami listen</w:t>
      </w:r>
    </w:p>
    <w:p w:rsidR="00D24E61" w:rsidRPr="00E3248A" w:rsidRDefault="00D24E61">
      <w:pPr>
        <w:spacing w:line="58" w:lineRule="exact"/>
        <w:rPr>
          <w:sz w:val="20"/>
          <w:szCs w:val="20"/>
          <w:lang w:val="en-US"/>
        </w:rPr>
      </w:pPr>
    </w:p>
    <w:p w:rsidR="00D24E61" w:rsidRPr="00E3248A" w:rsidRDefault="00D24E61">
      <w:pPr>
        <w:spacing w:line="229" w:lineRule="auto"/>
        <w:ind w:right="1540"/>
        <w:rPr>
          <w:sz w:val="20"/>
          <w:szCs w:val="20"/>
          <w:lang w:val="en-US"/>
        </w:rPr>
      </w:pPr>
      <w:r w:rsidRPr="00E3248A">
        <w:rPr>
          <w:sz w:val="24"/>
          <w:szCs w:val="24"/>
          <w:lang w:val="en-US"/>
        </w:rPr>
        <w:t>I feel ya love for me baby And how it move through you I been longin' for the moment To talk the truth to you Listen, I'm never home</w:t>
      </w:r>
    </w:p>
    <w:p w:rsidR="00D24E61" w:rsidRPr="00E3248A" w:rsidRDefault="00D24E61">
      <w:pPr>
        <w:spacing w:line="5" w:lineRule="exact"/>
        <w:rPr>
          <w:sz w:val="20"/>
          <w:szCs w:val="20"/>
          <w:lang w:val="en-US"/>
        </w:rPr>
      </w:pPr>
    </w:p>
    <w:p w:rsidR="00D24E61" w:rsidRPr="00E3248A" w:rsidRDefault="00D24E61">
      <w:pPr>
        <w:rPr>
          <w:sz w:val="20"/>
          <w:szCs w:val="20"/>
          <w:lang w:val="en-US"/>
        </w:rPr>
      </w:pPr>
      <w:r w:rsidRPr="00E3248A">
        <w:rPr>
          <w:sz w:val="24"/>
          <w:szCs w:val="24"/>
          <w:lang w:val="en-US"/>
        </w:rPr>
        <w:t>I always get up and go</w:t>
      </w:r>
    </w:p>
    <w:p w:rsidR="00D24E61" w:rsidRPr="00E3248A" w:rsidRDefault="00D24E61">
      <w:pPr>
        <w:spacing w:line="58" w:lineRule="exact"/>
        <w:rPr>
          <w:sz w:val="20"/>
          <w:szCs w:val="20"/>
          <w:lang w:val="en-US"/>
        </w:rPr>
      </w:pPr>
    </w:p>
    <w:p w:rsidR="00D24E61" w:rsidRPr="00E3248A" w:rsidRDefault="00D24E61">
      <w:pPr>
        <w:spacing w:line="214" w:lineRule="auto"/>
        <w:rPr>
          <w:sz w:val="20"/>
          <w:szCs w:val="20"/>
          <w:lang w:val="en-US"/>
        </w:rPr>
      </w:pPr>
      <w:r w:rsidRPr="00E3248A">
        <w:rPr>
          <w:sz w:val="24"/>
          <w:szCs w:val="24"/>
          <w:lang w:val="en-US"/>
        </w:rPr>
        <w:t>Puttin' you through the unnecessary rigga-ma-ro</w:t>
      </w:r>
    </w:p>
    <w:p w:rsidR="00D24E61" w:rsidRPr="00E3248A" w:rsidRDefault="00D24E61">
      <w:pPr>
        <w:spacing w:line="60" w:lineRule="exact"/>
        <w:rPr>
          <w:sz w:val="20"/>
          <w:szCs w:val="20"/>
          <w:lang w:val="en-US"/>
        </w:rPr>
      </w:pPr>
    </w:p>
    <w:p w:rsidR="00D24E61" w:rsidRPr="00E3248A" w:rsidRDefault="00D24E61">
      <w:pPr>
        <w:spacing w:line="214" w:lineRule="auto"/>
        <w:ind w:right="660"/>
        <w:rPr>
          <w:sz w:val="20"/>
          <w:szCs w:val="20"/>
          <w:lang w:val="en-US"/>
        </w:rPr>
      </w:pPr>
      <w:r w:rsidRPr="00E3248A">
        <w:rPr>
          <w:sz w:val="24"/>
          <w:szCs w:val="24"/>
          <w:lang w:val="en-US"/>
        </w:rPr>
        <w:t>I never meant to put a thousand pounds Of stress on ya head</w:t>
      </w:r>
    </w:p>
    <w:p w:rsidR="00D24E61" w:rsidRPr="00E3248A" w:rsidRDefault="00D24E61">
      <w:pPr>
        <w:spacing w:line="60" w:lineRule="exact"/>
        <w:rPr>
          <w:sz w:val="20"/>
          <w:szCs w:val="20"/>
          <w:lang w:val="en-US"/>
        </w:rPr>
      </w:pPr>
    </w:p>
    <w:p w:rsidR="00D24E61" w:rsidRPr="00E3248A" w:rsidRDefault="00D24E61">
      <w:pPr>
        <w:spacing w:line="214" w:lineRule="auto"/>
        <w:ind w:right="1940"/>
        <w:rPr>
          <w:sz w:val="20"/>
          <w:szCs w:val="20"/>
          <w:lang w:val="en-US"/>
        </w:rPr>
      </w:pPr>
      <w:r w:rsidRPr="00E3248A">
        <w:rPr>
          <w:sz w:val="24"/>
          <w:szCs w:val="24"/>
          <w:lang w:val="en-US"/>
        </w:rPr>
        <w:t>I love the way we sleep And always cuddle in bed</w:t>
      </w:r>
    </w:p>
    <w:p w:rsidR="00D24E61" w:rsidRPr="00E3248A" w:rsidRDefault="00D24E61">
      <w:pPr>
        <w:spacing w:line="60" w:lineRule="exact"/>
        <w:rPr>
          <w:sz w:val="20"/>
          <w:szCs w:val="20"/>
          <w:lang w:val="en-US"/>
        </w:rPr>
      </w:pPr>
    </w:p>
    <w:p w:rsidR="00D24E61" w:rsidRPr="00E3248A" w:rsidRDefault="00D24E61">
      <w:pPr>
        <w:spacing w:line="214" w:lineRule="auto"/>
        <w:ind w:right="1140"/>
        <w:rPr>
          <w:sz w:val="20"/>
          <w:szCs w:val="20"/>
          <w:lang w:val="en-US"/>
        </w:rPr>
      </w:pPr>
      <w:r w:rsidRPr="00E3248A">
        <w:rPr>
          <w:sz w:val="24"/>
          <w:szCs w:val="24"/>
          <w:lang w:val="en-US"/>
        </w:rPr>
        <w:t>Baby, I stay embracin' ya patience Sheddin' ya tears with me</w:t>
      </w:r>
    </w:p>
    <w:p w:rsidR="00D24E61" w:rsidRPr="00E3248A" w:rsidRDefault="00D24E61">
      <w:pPr>
        <w:spacing w:line="2" w:lineRule="exact"/>
        <w:rPr>
          <w:sz w:val="20"/>
          <w:szCs w:val="20"/>
          <w:lang w:val="en-US"/>
        </w:rPr>
      </w:pPr>
    </w:p>
    <w:p w:rsidR="00D24E61" w:rsidRPr="00E3248A" w:rsidRDefault="00D24E61">
      <w:pPr>
        <w:rPr>
          <w:sz w:val="20"/>
          <w:szCs w:val="20"/>
          <w:lang w:val="en-US"/>
        </w:rPr>
      </w:pPr>
      <w:r w:rsidRPr="00E3248A">
        <w:rPr>
          <w:sz w:val="24"/>
          <w:szCs w:val="24"/>
          <w:lang w:val="en-US"/>
        </w:rPr>
        <w:t>I ask you my mami</w:t>
      </w:r>
    </w:p>
    <w:p w:rsidR="00D24E61" w:rsidRPr="00E3248A" w:rsidRDefault="00D24E61">
      <w:pPr>
        <w:rPr>
          <w:sz w:val="20"/>
          <w:szCs w:val="20"/>
          <w:lang w:val="en-US"/>
        </w:rPr>
      </w:pPr>
      <w:r w:rsidRPr="00E3248A">
        <w:rPr>
          <w:sz w:val="24"/>
          <w:szCs w:val="24"/>
          <w:lang w:val="en-US"/>
        </w:rPr>
        <w:t>Please continue to bear with me</w:t>
      </w:r>
    </w:p>
    <w:p w:rsidR="00D24E61" w:rsidRPr="00E3248A" w:rsidRDefault="00D24E61">
      <w:pPr>
        <w:spacing w:line="334" w:lineRule="exact"/>
        <w:rPr>
          <w:sz w:val="20"/>
          <w:szCs w:val="20"/>
          <w:lang w:val="en-US"/>
        </w:rPr>
      </w:pPr>
    </w:p>
    <w:p w:rsidR="00D24E61" w:rsidRPr="00E3248A" w:rsidRDefault="00D24E61">
      <w:pPr>
        <w:spacing w:line="223" w:lineRule="auto"/>
        <w:ind w:right="2380"/>
        <w:jc w:val="both"/>
        <w:rPr>
          <w:sz w:val="20"/>
          <w:szCs w:val="20"/>
          <w:lang w:val="en-US"/>
        </w:rPr>
      </w:pPr>
      <w:r w:rsidRPr="00E3248A">
        <w:rPr>
          <w:sz w:val="24"/>
          <w:szCs w:val="24"/>
          <w:lang w:val="en-US"/>
        </w:rPr>
        <w:t>[Verse 4: Rah Digga] We started out broke Constantly on a roll</w:t>
      </w:r>
    </w:p>
    <w:p w:rsidR="00D24E61" w:rsidRPr="00E3248A" w:rsidRDefault="00D24E61">
      <w:pPr>
        <w:spacing w:line="59" w:lineRule="exact"/>
        <w:rPr>
          <w:sz w:val="20"/>
          <w:szCs w:val="20"/>
          <w:lang w:val="en-US"/>
        </w:rPr>
      </w:pPr>
    </w:p>
    <w:p w:rsidR="00D24E61" w:rsidRPr="00E3248A" w:rsidRDefault="00D24E61">
      <w:pPr>
        <w:spacing w:line="214" w:lineRule="auto"/>
        <w:ind w:right="220"/>
        <w:rPr>
          <w:sz w:val="20"/>
          <w:szCs w:val="20"/>
          <w:lang w:val="en-US"/>
        </w:rPr>
      </w:pPr>
      <w:r w:rsidRPr="00E3248A">
        <w:rPr>
          <w:sz w:val="24"/>
          <w:szCs w:val="24"/>
          <w:lang w:val="en-US"/>
        </w:rPr>
        <w:t>Cuttin' up in the streets like we would never get old</w:t>
      </w:r>
    </w:p>
    <w:p w:rsidR="00D24E61" w:rsidRPr="00E3248A" w:rsidRDefault="00D24E61">
      <w:pPr>
        <w:spacing w:line="60" w:lineRule="exact"/>
        <w:rPr>
          <w:sz w:val="20"/>
          <w:szCs w:val="20"/>
          <w:lang w:val="en-US"/>
        </w:rPr>
      </w:pPr>
    </w:p>
    <w:p w:rsidR="00D24E61" w:rsidRPr="00E3248A" w:rsidRDefault="00D24E61">
      <w:pPr>
        <w:spacing w:line="213" w:lineRule="auto"/>
        <w:ind w:right="520"/>
        <w:rPr>
          <w:sz w:val="20"/>
          <w:szCs w:val="20"/>
          <w:lang w:val="en-US"/>
        </w:rPr>
      </w:pPr>
      <w:r w:rsidRPr="00E3248A">
        <w:rPr>
          <w:sz w:val="24"/>
          <w:szCs w:val="24"/>
          <w:lang w:val="en-US"/>
        </w:rPr>
        <w:t>Went from Lucy's and buses to fifty cent sodas</w:t>
      </w:r>
    </w:p>
    <w:p w:rsidR="00D24E61" w:rsidRPr="00E3248A" w:rsidRDefault="00D24E61">
      <w:pPr>
        <w:spacing w:line="60" w:lineRule="exact"/>
        <w:rPr>
          <w:sz w:val="20"/>
          <w:szCs w:val="20"/>
          <w:lang w:val="en-US"/>
        </w:rPr>
      </w:pPr>
    </w:p>
    <w:p w:rsidR="00D24E61" w:rsidRPr="00E3248A" w:rsidRDefault="00D24E61">
      <w:pPr>
        <w:spacing w:line="214" w:lineRule="auto"/>
        <w:ind w:right="440"/>
        <w:rPr>
          <w:sz w:val="20"/>
          <w:szCs w:val="20"/>
          <w:lang w:val="en-US"/>
        </w:rPr>
      </w:pPr>
      <w:r w:rsidRPr="00E3248A">
        <w:rPr>
          <w:sz w:val="24"/>
          <w:szCs w:val="24"/>
          <w:lang w:val="en-US"/>
        </w:rPr>
        <w:t>And Novas to Hondas to Lexus to Rovers Mad years passed</w:t>
      </w:r>
    </w:p>
    <w:p w:rsidR="00D24E61" w:rsidRPr="00E3248A" w:rsidRDefault="00D24E61">
      <w:pPr>
        <w:spacing w:line="2" w:lineRule="exact"/>
        <w:rPr>
          <w:sz w:val="20"/>
          <w:szCs w:val="20"/>
          <w:lang w:val="en-US"/>
        </w:rPr>
      </w:pPr>
    </w:p>
    <w:p w:rsidR="00D24E61" w:rsidRPr="00E3248A" w:rsidRDefault="00D24E61">
      <w:pPr>
        <w:rPr>
          <w:sz w:val="20"/>
          <w:szCs w:val="20"/>
          <w:lang w:val="en-US"/>
        </w:rPr>
      </w:pPr>
      <w:r w:rsidRPr="00E3248A">
        <w:rPr>
          <w:sz w:val="24"/>
          <w:szCs w:val="24"/>
          <w:lang w:val="en-US"/>
        </w:rPr>
        <w:t>Still got each other back</w:t>
      </w:r>
    </w:p>
    <w:p w:rsidR="00D24E61" w:rsidRPr="00E3248A" w:rsidRDefault="00D24E61">
      <w:pPr>
        <w:spacing w:line="58" w:lineRule="exact"/>
        <w:rPr>
          <w:sz w:val="20"/>
          <w:szCs w:val="20"/>
          <w:lang w:val="en-US"/>
        </w:rPr>
      </w:pPr>
    </w:p>
    <w:p w:rsidR="00D24E61" w:rsidRPr="00E3248A" w:rsidRDefault="00D24E61">
      <w:pPr>
        <w:spacing w:line="214" w:lineRule="auto"/>
        <w:ind w:right="580"/>
        <w:rPr>
          <w:sz w:val="20"/>
          <w:szCs w:val="20"/>
          <w:lang w:val="en-US"/>
        </w:rPr>
      </w:pPr>
      <w:r w:rsidRPr="00E3248A">
        <w:rPr>
          <w:sz w:val="24"/>
          <w:szCs w:val="24"/>
          <w:lang w:val="en-US"/>
        </w:rPr>
        <w:t>Word is bond never screw none of these industry cats</w:t>
      </w:r>
    </w:p>
    <w:p w:rsidR="00D24E61" w:rsidRPr="00E3248A" w:rsidRDefault="00D24E61">
      <w:pPr>
        <w:spacing w:line="60" w:lineRule="exact"/>
        <w:rPr>
          <w:sz w:val="20"/>
          <w:szCs w:val="20"/>
          <w:lang w:val="en-US"/>
        </w:rPr>
      </w:pPr>
    </w:p>
    <w:p w:rsidR="00D24E61" w:rsidRPr="00E3248A" w:rsidRDefault="00D24E61">
      <w:pPr>
        <w:spacing w:line="224" w:lineRule="auto"/>
        <w:ind w:right="1680"/>
        <w:rPr>
          <w:sz w:val="20"/>
          <w:szCs w:val="20"/>
          <w:lang w:val="en-US"/>
        </w:rPr>
      </w:pPr>
      <w:r w:rsidRPr="00E3248A">
        <w:rPr>
          <w:sz w:val="23"/>
          <w:szCs w:val="23"/>
          <w:lang w:val="en-US"/>
        </w:rPr>
        <w:t>We like Scull and Mulder Walkin' shoulder to shoulder</w:t>
      </w:r>
    </w:p>
    <w:p w:rsidR="00D24E61" w:rsidRPr="00E3248A" w:rsidRDefault="00D24E61">
      <w:pPr>
        <w:spacing w:line="59" w:lineRule="exact"/>
        <w:rPr>
          <w:sz w:val="20"/>
          <w:szCs w:val="20"/>
          <w:lang w:val="en-US"/>
        </w:rPr>
      </w:pPr>
    </w:p>
    <w:p w:rsidR="00D24E61" w:rsidRPr="00E3248A" w:rsidRDefault="00D24E61">
      <w:pPr>
        <w:spacing w:line="214" w:lineRule="auto"/>
        <w:ind w:right="280"/>
        <w:rPr>
          <w:sz w:val="20"/>
          <w:szCs w:val="20"/>
          <w:lang w:val="en-US"/>
        </w:rPr>
      </w:pPr>
      <w:r w:rsidRPr="00E3248A">
        <w:rPr>
          <w:sz w:val="24"/>
          <w:szCs w:val="24"/>
          <w:lang w:val="en-US"/>
        </w:rPr>
        <w:t>Milkin' this game watchin' our seeds gettin' older</w:t>
      </w:r>
    </w:p>
    <w:p w:rsidR="00D24E61" w:rsidRPr="00E3248A" w:rsidRDefault="00D24E61">
      <w:pPr>
        <w:spacing w:line="278" w:lineRule="exact"/>
        <w:rPr>
          <w:sz w:val="20"/>
          <w:szCs w:val="20"/>
          <w:lang w:val="en-US"/>
        </w:rPr>
      </w:pPr>
    </w:p>
    <w:p w:rsidR="00D24E61" w:rsidRPr="00E3248A" w:rsidRDefault="00D24E61">
      <w:pPr>
        <w:rPr>
          <w:sz w:val="20"/>
          <w:szCs w:val="20"/>
          <w:lang w:val="en-US"/>
        </w:rPr>
      </w:pPr>
      <w:r w:rsidRPr="00E3248A">
        <w:rPr>
          <w:sz w:val="24"/>
          <w:szCs w:val="24"/>
          <w:lang w:val="en-US"/>
        </w:rPr>
        <w:t>[Chorus 1- Busta Rhymes 2- Mariah Carey]</w:t>
      </w:r>
    </w:p>
    <w:p w:rsidR="00D24E61" w:rsidRPr="00E3248A" w:rsidRDefault="00D24E61">
      <w:pPr>
        <w:spacing w:line="310" w:lineRule="exact"/>
        <w:rPr>
          <w:sz w:val="20"/>
          <w:szCs w:val="20"/>
          <w:lang w:val="en-US"/>
        </w:rPr>
      </w:pPr>
      <w:r w:rsidRPr="00E3248A">
        <w:rPr>
          <w:sz w:val="20"/>
          <w:szCs w:val="20"/>
          <w:lang w:val="en-US"/>
        </w:rPr>
        <w:br w:type="column"/>
      </w:r>
    </w:p>
    <w:p w:rsidR="00D24E61" w:rsidRPr="00E3248A" w:rsidRDefault="00D24E61">
      <w:pPr>
        <w:spacing w:line="224" w:lineRule="auto"/>
        <w:ind w:right="1600"/>
        <w:rPr>
          <w:sz w:val="20"/>
          <w:szCs w:val="20"/>
          <w:lang w:val="en-US"/>
        </w:rPr>
      </w:pPr>
      <w:r w:rsidRPr="00E3248A">
        <w:rPr>
          <w:sz w:val="23"/>
          <w:szCs w:val="23"/>
          <w:lang w:val="en-US"/>
        </w:rPr>
        <w:t>[Verse 5: Busta Rhymes] Yes you know I'll die for you</w:t>
      </w:r>
    </w:p>
    <w:p w:rsidR="00D24E61" w:rsidRPr="00E3248A" w:rsidRDefault="00D24E61">
      <w:pPr>
        <w:spacing w:line="58" w:lineRule="exact"/>
        <w:rPr>
          <w:sz w:val="20"/>
          <w:szCs w:val="20"/>
          <w:lang w:val="en-US"/>
        </w:rPr>
      </w:pPr>
    </w:p>
    <w:p w:rsidR="00D24E61" w:rsidRPr="00E3248A" w:rsidRDefault="00D24E61">
      <w:pPr>
        <w:spacing w:line="214" w:lineRule="auto"/>
        <w:ind w:right="1460"/>
        <w:rPr>
          <w:sz w:val="20"/>
          <w:szCs w:val="20"/>
          <w:lang w:val="en-US"/>
        </w:rPr>
      </w:pPr>
      <w:r w:rsidRPr="00E3248A">
        <w:rPr>
          <w:sz w:val="24"/>
          <w:szCs w:val="24"/>
          <w:lang w:val="en-US"/>
        </w:rPr>
        <w:t>And ya know I'll ride with you I will always try with you</w:t>
      </w:r>
    </w:p>
    <w:p w:rsidR="00D24E61" w:rsidRPr="00E3248A" w:rsidRDefault="00D24E61">
      <w:pPr>
        <w:spacing w:line="2" w:lineRule="exact"/>
        <w:rPr>
          <w:sz w:val="20"/>
          <w:szCs w:val="20"/>
          <w:lang w:val="en-US"/>
        </w:rPr>
      </w:pPr>
    </w:p>
    <w:p w:rsidR="00D24E61" w:rsidRPr="00E3248A" w:rsidRDefault="00D24E61">
      <w:pPr>
        <w:rPr>
          <w:sz w:val="20"/>
          <w:szCs w:val="20"/>
          <w:lang w:val="en-US"/>
        </w:rPr>
      </w:pPr>
      <w:r w:rsidRPr="00E3248A">
        <w:rPr>
          <w:sz w:val="24"/>
          <w:szCs w:val="24"/>
          <w:lang w:val="en-US"/>
        </w:rPr>
        <w:t>And give ya my love and cry with you</w:t>
      </w:r>
    </w:p>
    <w:p w:rsidR="00D24E61" w:rsidRPr="00E3248A" w:rsidRDefault="00D24E61">
      <w:pPr>
        <w:spacing w:line="276" w:lineRule="exact"/>
        <w:rPr>
          <w:sz w:val="20"/>
          <w:szCs w:val="20"/>
          <w:lang w:val="en-US"/>
        </w:rPr>
      </w:pPr>
    </w:p>
    <w:p w:rsidR="00D24E61" w:rsidRPr="00E3248A" w:rsidRDefault="00D24E61">
      <w:pPr>
        <w:rPr>
          <w:sz w:val="20"/>
          <w:szCs w:val="20"/>
          <w:lang w:val="en-US"/>
        </w:rPr>
      </w:pPr>
      <w:r w:rsidRPr="00E3248A">
        <w:rPr>
          <w:sz w:val="24"/>
          <w:szCs w:val="24"/>
          <w:lang w:val="en-US"/>
        </w:rPr>
        <w:t>[Verser 6: Mariah Carey]</w:t>
      </w:r>
    </w:p>
    <w:p w:rsidR="00D24E61" w:rsidRPr="00E3248A" w:rsidRDefault="00D24E61">
      <w:pPr>
        <w:spacing w:line="58" w:lineRule="exact"/>
        <w:rPr>
          <w:sz w:val="20"/>
          <w:szCs w:val="20"/>
          <w:lang w:val="en-US"/>
        </w:rPr>
      </w:pPr>
    </w:p>
    <w:p w:rsidR="00D24E61" w:rsidRPr="00E3248A" w:rsidRDefault="00D24E61">
      <w:pPr>
        <w:spacing w:line="224" w:lineRule="auto"/>
        <w:ind w:right="1460"/>
        <w:rPr>
          <w:sz w:val="20"/>
          <w:szCs w:val="20"/>
          <w:lang w:val="en-US"/>
        </w:rPr>
      </w:pPr>
      <w:r w:rsidRPr="00E3248A">
        <w:rPr>
          <w:sz w:val="23"/>
          <w:szCs w:val="23"/>
          <w:lang w:val="en-US"/>
        </w:rPr>
        <w:t>I will climb a mountain high Until I was up to touch the sky</w:t>
      </w:r>
    </w:p>
    <w:p w:rsidR="00D24E61" w:rsidRPr="00E3248A" w:rsidRDefault="00D24E61">
      <w:pPr>
        <w:spacing w:line="58" w:lineRule="exact"/>
        <w:rPr>
          <w:sz w:val="20"/>
          <w:szCs w:val="20"/>
          <w:lang w:val="en-US"/>
        </w:rPr>
      </w:pPr>
    </w:p>
    <w:p w:rsidR="00D24E61" w:rsidRPr="00E3248A" w:rsidRDefault="00D24E61">
      <w:pPr>
        <w:spacing w:line="224" w:lineRule="auto"/>
        <w:ind w:right="440"/>
        <w:rPr>
          <w:sz w:val="20"/>
          <w:szCs w:val="20"/>
          <w:lang w:val="en-US"/>
        </w:rPr>
      </w:pPr>
      <w:r w:rsidRPr="00E3248A">
        <w:rPr>
          <w:sz w:val="23"/>
          <w:szCs w:val="23"/>
          <w:lang w:val="en-US"/>
        </w:rPr>
        <w:t>So baby come and get more close to me This is where your love is supposed to be</w:t>
      </w:r>
    </w:p>
    <w:p w:rsidR="00D24E61" w:rsidRPr="00E3248A" w:rsidRDefault="00D24E61">
      <w:pPr>
        <w:spacing w:line="277" w:lineRule="exact"/>
        <w:rPr>
          <w:sz w:val="20"/>
          <w:szCs w:val="20"/>
          <w:lang w:val="en-US"/>
        </w:rPr>
      </w:pPr>
    </w:p>
    <w:p w:rsidR="00D24E61" w:rsidRPr="00E3248A" w:rsidRDefault="00D24E61">
      <w:pPr>
        <w:rPr>
          <w:sz w:val="20"/>
          <w:szCs w:val="20"/>
          <w:lang w:val="en-US"/>
        </w:rPr>
      </w:pPr>
      <w:r w:rsidRPr="00E3248A">
        <w:rPr>
          <w:sz w:val="24"/>
          <w:szCs w:val="24"/>
          <w:lang w:val="en-US"/>
        </w:rPr>
        <w:t>[Verse 7 : Rampage]</w:t>
      </w:r>
    </w:p>
    <w:p w:rsidR="00D24E61" w:rsidRPr="00E3248A" w:rsidRDefault="00D24E61">
      <w:pPr>
        <w:spacing w:line="58" w:lineRule="exact"/>
        <w:rPr>
          <w:sz w:val="20"/>
          <w:szCs w:val="20"/>
          <w:lang w:val="en-US"/>
        </w:rPr>
      </w:pPr>
    </w:p>
    <w:p w:rsidR="00D24E61" w:rsidRPr="00E3248A" w:rsidRDefault="00D24E61">
      <w:pPr>
        <w:spacing w:line="214" w:lineRule="auto"/>
        <w:ind w:right="1260"/>
        <w:rPr>
          <w:sz w:val="20"/>
          <w:szCs w:val="20"/>
          <w:lang w:val="en-US"/>
        </w:rPr>
      </w:pPr>
      <w:r w:rsidRPr="00E3248A">
        <w:rPr>
          <w:sz w:val="24"/>
          <w:szCs w:val="24"/>
          <w:lang w:val="en-US"/>
        </w:rPr>
        <w:t>I pull up to the house in a yellow Lamborghini</w:t>
      </w:r>
    </w:p>
    <w:p w:rsidR="00D24E61" w:rsidRPr="00E3248A" w:rsidRDefault="00D24E61">
      <w:pPr>
        <w:spacing w:line="60" w:lineRule="exact"/>
        <w:rPr>
          <w:sz w:val="20"/>
          <w:szCs w:val="20"/>
          <w:lang w:val="en-US"/>
        </w:rPr>
      </w:pPr>
    </w:p>
    <w:p w:rsidR="00D24E61" w:rsidRPr="00E3248A" w:rsidRDefault="00D24E61">
      <w:pPr>
        <w:spacing w:line="214" w:lineRule="auto"/>
        <w:rPr>
          <w:sz w:val="20"/>
          <w:szCs w:val="20"/>
          <w:lang w:val="en-US"/>
        </w:rPr>
      </w:pPr>
      <w:r w:rsidRPr="00E3248A">
        <w:rPr>
          <w:sz w:val="24"/>
          <w:szCs w:val="24"/>
          <w:lang w:val="en-US"/>
        </w:rPr>
        <w:t>It's been a few months in PA you haven't seen me</w:t>
      </w:r>
    </w:p>
    <w:p w:rsidR="00D24E61" w:rsidRPr="00E3248A" w:rsidRDefault="00D24E61">
      <w:pPr>
        <w:spacing w:line="60" w:lineRule="exact"/>
        <w:rPr>
          <w:sz w:val="20"/>
          <w:szCs w:val="20"/>
          <w:lang w:val="en-US"/>
        </w:rPr>
      </w:pPr>
    </w:p>
    <w:p w:rsidR="00D24E61" w:rsidRPr="00E3248A" w:rsidRDefault="00D24E61">
      <w:pPr>
        <w:spacing w:line="224" w:lineRule="auto"/>
        <w:ind w:right="960"/>
        <w:rPr>
          <w:sz w:val="20"/>
          <w:szCs w:val="20"/>
          <w:lang w:val="en-US"/>
        </w:rPr>
      </w:pPr>
      <w:r w:rsidRPr="00E3248A">
        <w:rPr>
          <w:sz w:val="23"/>
          <w:szCs w:val="23"/>
          <w:lang w:val="en-US"/>
        </w:rPr>
        <w:t>Ya lookin' good in that Gucci bikini 38 carats ya ring lookin' freezy</w:t>
      </w:r>
    </w:p>
    <w:p w:rsidR="00D24E61" w:rsidRPr="00E3248A" w:rsidRDefault="00D24E61">
      <w:pPr>
        <w:spacing w:line="58" w:lineRule="exact"/>
        <w:rPr>
          <w:sz w:val="20"/>
          <w:szCs w:val="20"/>
          <w:lang w:val="en-US"/>
        </w:rPr>
      </w:pPr>
    </w:p>
    <w:p w:rsidR="00D24E61" w:rsidRPr="00E3248A" w:rsidRDefault="00D24E61">
      <w:pPr>
        <w:spacing w:line="214" w:lineRule="auto"/>
        <w:ind w:right="240"/>
        <w:rPr>
          <w:sz w:val="20"/>
          <w:szCs w:val="20"/>
          <w:lang w:val="en-US"/>
        </w:rPr>
      </w:pPr>
      <w:r w:rsidRPr="00E3248A">
        <w:rPr>
          <w:sz w:val="24"/>
          <w:szCs w:val="24"/>
          <w:lang w:val="en-US"/>
        </w:rPr>
        <w:t>No matter what I do in the world you never leave me</w:t>
      </w:r>
    </w:p>
    <w:p w:rsidR="00D24E61" w:rsidRPr="00E3248A" w:rsidRDefault="00D24E61">
      <w:pPr>
        <w:spacing w:line="2" w:lineRule="exact"/>
        <w:rPr>
          <w:sz w:val="20"/>
          <w:szCs w:val="20"/>
          <w:lang w:val="en-US"/>
        </w:rPr>
      </w:pPr>
    </w:p>
    <w:p w:rsidR="00D24E61" w:rsidRPr="00E3248A" w:rsidRDefault="00D24E61">
      <w:pPr>
        <w:rPr>
          <w:sz w:val="20"/>
          <w:szCs w:val="20"/>
          <w:lang w:val="en-US"/>
        </w:rPr>
      </w:pPr>
      <w:r w:rsidRPr="00E3248A">
        <w:rPr>
          <w:sz w:val="24"/>
          <w:szCs w:val="24"/>
          <w:lang w:val="en-US"/>
        </w:rPr>
        <w:t>Fall back ma I'll make ya lifestyle easy</w:t>
      </w:r>
    </w:p>
    <w:p w:rsidR="00D24E61" w:rsidRPr="00E3248A" w:rsidRDefault="00D24E61">
      <w:pPr>
        <w:spacing w:line="58" w:lineRule="exact"/>
        <w:rPr>
          <w:sz w:val="20"/>
          <w:szCs w:val="20"/>
          <w:lang w:val="en-US"/>
        </w:rPr>
      </w:pPr>
    </w:p>
    <w:p w:rsidR="00D24E61" w:rsidRPr="00E3248A" w:rsidRDefault="00D24E61">
      <w:pPr>
        <w:spacing w:line="223" w:lineRule="auto"/>
        <w:ind w:right="340"/>
        <w:rPr>
          <w:sz w:val="20"/>
          <w:szCs w:val="20"/>
          <w:lang w:val="en-US"/>
        </w:rPr>
      </w:pPr>
      <w:r w:rsidRPr="00E3248A">
        <w:rPr>
          <w:sz w:val="24"/>
          <w:szCs w:val="24"/>
          <w:lang w:val="en-US"/>
        </w:rPr>
        <w:t>I appreciate the things ya do to please me Lookin' at my daughter you'll never do me greasy</w:t>
      </w:r>
    </w:p>
    <w:p w:rsidR="00D24E61" w:rsidRPr="00E3248A" w:rsidRDefault="00D24E61">
      <w:pPr>
        <w:spacing w:line="274" w:lineRule="exact"/>
        <w:rPr>
          <w:sz w:val="20"/>
          <w:szCs w:val="20"/>
          <w:lang w:val="en-US"/>
        </w:rPr>
      </w:pPr>
    </w:p>
    <w:p w:rsidR="00D24E61" w:rsidRPr="00E3248A" w:rsidRDefault="00D24E61">
      <w:pPr>
        <w:rPr>
          <w:sz w:val="20"/>
          <w:szCs w:val="20"/>
          <w:lang w:val="en-US"/>
        </w:rPr>
      </w:pPr>
      <w:r w:rsidRPr="00E3248A">
        <w:rPr>
          <w:sz w:val="24"/>
          <w:szCs w:val="24"/>
          <w:lang w:val="en-US"/>
        </w:rPr>
        <w:t>[Chorus 1- Busta Rhymes 2- Mariah Carey]</w:t>
      </w:r>
    </w:p>
    <w:p w:rsidR="00D24E61" w:rsidRPr="00E3248A" w:rsidRDefault="00D24E61">
      <w:pPr>
        <w:spacing w:line="334" w:lineRule="exact"/>
        <w:rPr>
          <w:sz w:val="20"/>
          <w:szCs w:val="20"/>
          <w:lang w:val="en-US"/>
        </w:rPr>
      </w:pPr>
    </w:p>
    <w:p w:rsidR="00D24E61" w:rsidRPr="00E3248A" w:rsidRDefault="00D24E61">
      <w:pPr>
        <w:spacing w:line="214" w:lineRule="auto"/>
        <w:rPr>
          <w:sz w:val="20"/>
          <w:szCs w:val="20"/>
          <w:lang w:val="en-US"/>
        </w:rPr>
      </w:pPr>
      <w:r w:rsidRPr="00E3248A">
        <w:rPr>
          <w:sz w:val="24"/>
          <w:szCs w:val="24"/>
          <w:lang w:val="en-US"/>
        </w:rPr>
        <w:t>[Busta Rhymes speaking with Mariah ad-libs] Flipmode Records, J Records</w:t>
      </w:r>
    </w:p>
    <w:p w:rsidR="00D24E61" w:rsidRPr="00E3248A" w:rsidRDefault="00D24E61">
      <w:pPr>
        <w:spacing w:line="60" w:lineRule="exact"/>
        <w:rPr>
          <w:sz w:val="20"/>
          <w:szCs w:val="20"/>
          <w:lang w:val="en-US"/>
        </w:rPr>
      </w:pPr>
    </w:p>
    <w:p w:rsidR="00D24E61" w:rsidRPr="00E3248A" w:rsidRDefault="00D24E61">
      <w:pPr>
        <w:spacing w:line="237" w:lineRule="auto"/>
        <w:ind w:right="2140"/>
        <w:rPr>
          <w:sz w:val="20"/>
          <w:szCs w:val="20"/>
          <w:lang w:val="en-US"/>
        </w:rPr>
      </w:pPr>
      <w:r w:rsidRPr="00E3248A">
        <w:rPr>
          <w:sz w:val="23"/>
          <w:szCs w:val="23"/>
          <w:lang w:val="en-US"/>
        </w:rPr>
        <w:t>Def Jam Records Busta Rhymes...Mariah Flipmode Squad, yeah So beautiful</w:t>
      </w:r>
    </w:p>
    <w:p w:rsidR="00D24E61" w:rsidRPr="00E3248A" w:rsidRDefault="00D24E61">
      <w:pPr>
        <w:spacing w:line="60" w:lineRule="exact"/>
        <w:rPr>
          <w:sz w:val="20"/>
          <w:szCs w:val="20"/>
          <w:lang w:val="en-US"/>
        </w:rPr>
      </w:pPr>
    </w:p>
    <w:p w:rsidR="00D24E61" w:rsidRPr="00E3248A" w:rsidRDefault="00D24E61">
      <w:pPr>
        <w:spacing w:line="214" w:lineRule="auto"/>
        <w:ind w:right="40"/>
        <w:rPr>
          <w:sz w:val="20"/>
          <w:szCs w:val="20"/>
          <w:lang w:val="en-US"/>
        </w:rPr>
      </w:pPr>
      <w:r w:rsidRPr="00E3248A">
        <w:rPr>
          <w:sz w:val="24"/>
          <w:szCs w:val="24"/>
          <w:lang w:val="en-US"/>
        </w:rPr>
        <w:t>Ah-ha I knew you was gon' give me that high note</w:t>
      </w:r>
    </w:p>
    <w:p w:rsidR="00D24E61" w:rsidRPr="00E3248A" w:rsidRDefault="00D24E61">
      <w:pPr>
        <w:spacing w:line="60" w:lineRule="exact"/>
        <w:rPr>
          <w:sz w:val="20"/>
          <w:szCs w:val="20"/>
          <w:lang w:val="en-US"/>
        </w:rPr>
      </w:pPr>
    </w:p>
    <w:p w:rsidR="00D24E61" w:rsidRPr="00771368" w:rsidRDefault="00D24E61">
      <w:pPr>
        <w:spacing w:line="214" w:lineRule="auto"/>
        <w:ind w:right="3000"/>
        <w:rPr>
          <w:sz w:val="20"/>
          <w:szCs w:val="20"/>
        </w:rPr>
      </w:pPr>
      <w:r w:rsidRPr="00771368">
        <w:rPr>
          <w:sz w:val="24"/>
          <w:szCs w:val="24"/>
        </w:rPr>
        <w:t>Mariah Ah-ha-ha yeah</w:t>
      </w:r>
    </w:p>
    <w:p w:rsidR="00D24E61" w:rsidRPr="00771368" w:rsidRDefault="00D24E61">
      <w:pPr>
        <w:sectPr w:rsidR="00D24E61" w:rsidRPr="00771368">
          <w:pgSz w:w="11900" w:h="16838"/>
          <w:pgMar w:top="1440" w:right="900" w:bottom="1440" w:left="1420" w:header="0" w:footer="0" w:gutter="0"/>
          <w:cols w:num="2" w:space="720" w:equalWidth="0">
            <w:col w:w="4440" w:space="740"/>
            <w:col w:w="440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6" w:lineRule="exact"/>
        <w:rPr>
          <w:sz w:val="20"/>
          <w:szCs w:val="20"/>
        </w:rPr>
      </w:pPr>
    </w:p>
    <w:p w:rsidR="00D24E61" w:rsidRPr="00771368" w:rsidRDefault="00D24E61" w:rsidP="00A01226">
      <w:pPr>
        <w:jc w:val="both"/>
        <w:rPr>
          <w:sz w:val="20"/>
          <w:szCs w:val="20"/>
        </w:rPr>
      </w:pPr>
      <w:r w:rsidRPr="00771368">
        <w:rPr>
          <w:b/>
          <w:bCs/>
          <w:sz w:val="24"/>
          <w:szCs w:val="24"/>
        </w:rPr>
        <w:t>Segunda aula</w:t>
      </w:r>
      <w:r w:rsidRPr="00771368">
        <w:rPr>
          <w:sz w:val="24"/>
          <w:szCs w:val="24"/>
        </w:rPr>
        <w:t>: tradução da letra do funk americano para comparar com os dois funks nacionais;</w:t>
      </w:r>
    </w:p>
    <w:p w:rsidR="00D24E61" w:rsidRPr="00771368" w:rsidRDefault="00D24E61" w:rsidP="00A01226">
      <w:pPr>
        <w:spacing w:line="139" w:lineRule="exact"/>
        <w:jc w:val="both"/>
        <w:rPr>
          <w:sz w:val="20"/>
          <w:szCs w:val="20"/>
        </w:rPr>
      </w:pPr>
    </w:p>
    <w:p w:rsidR="00D24E61" w:rsidRPr="00771368" w:rsidRDefault="00D24E61" w:rsidP="00A01226">
      <w:pPr>
        <w:ind w:left="700"/>
        <w:jc w:val="both"/>
        <w:rPr>
          <w:sz w:val="20"/>
          <w:szCs w:val="20"/>
        </w:rPr>
      </w:pPr>
      <w:r w:rsidRPr="00771368">
        <w:rPr>
          <w:sz w:val="24"/>
          <w:szCs w:val="24"/>
        </w:rPr>
        <w:t>Terceira  aula:  Foi  usada  a  seguinte  pergunta  norteadora:  Como  as  mulheres  aparecem</w:t>
      </w:r>
    </w:p>
    <w:p w:rsidR="00D24E61" w:rsidRPr="00771368" w:rsidRDefault="00D24E61" w:rsidP="00A01226">
      <w:pPr>
        <w:spacing w:line="137" w:lineRule="exact"/>
        <w:jc w:val="both"/>
        <w:rPr>
          <w:sz w:val="20"/>
          <w:szCs w:val="20"/>
        </w:rPr>
      </w:pPr>
    </w:p>
    <w:p w:rsidR="00D24E61" w:rsidRPr="00771368" w:rsidRDefault="00D24E61" w:rsidP="00A01226">
      <w:pPr>
        <w:jc w:val="both"/>
        <w:rPr>
          <w:sz w:val="20"/>
          <w:szCs w:val="20"/>
        </w:rPr>
      </w:pPr>
      <w:r w:rsidRPr="00771368">
        <w:rPr>
          <w:sz w:val="24"/>
          <w:szCs w:val="24"/>
        </w:rPr>
        <w:t>representadas nas músicas? A partir dela, foi feito um debate entre três músicas. Debate: quais as</w:t>
      </w:r>
    </w:p>
    <w:p w:rsidR="00D24E61" w:rsidRPr="00771368" w:rsidRDefault="00D24E61" w:rsidP="00A01226">
      <w:pPr>
        <w:spacing w:line="140" w:lineRule="exact"/>
        <w:jc w:val="both"/>
        <w:rPr>
          <w:sz w:val="20"/>
          <w:szCs w:val="20"/>
        </w:rPr>
      </w:pPr>
    </w:p>
    <w:p w:rsidR="00D24E61" w:rsidRPr="00771368" w:rsidRDefault="00D24E61" w:rsidP="00A01226">
      <w:pPr>
        <w:jc w:val="both"/>
        <w:rPr>
          <w:sz w:val="20"/>
          <w:szCs w:val="20"/>
        </w:rPr>
      </w:pPr>
      <w:r w:rsidRPr="00771368">
        <w:rPr>
          <w:sz w:val="24"/>
          <w:szCs w:val="24"/>
        </w:rPr>
        <w:t>diferenças  entre  as  letras  quanto  à  composição,  no  que  se  refere  à  representação  do  gênero</w:t>
      </w:r>
    </w:p>
    <w:p w:rsidR="00D24E61" w:rsidRPr="00771368" w:rsidRDefault="00D24E61" w:rsidP="00A01226">
      <w:pPr>
        <w:spacing w:line="137" w:lineRule="exact"/>
        <w:jc w:val="both"/>
        <w:rPr>
          <w:sz w:val="20"/>
          <w:szCs w:val="20"/>
        </w:rPr>
      </w:pPr>
    </w:p>
    <w:p w:rsidR="00D24E61" w:rsidRPr="00771368" w:rsidRDefault="00D24E61" w:rsidP="00A01226">
      <w:pPr>
        <w:jc w:val="both"/>
        <w:rPr>
          <w:sz w:val="20"/>
          <w:szCs w:val="20"/>
        </w:rPr>
      </w:pPr>
      <w:r w:rsidRPr="00771368">
        <w:rPr>
          <w:sz w:val="24"/>
          <w:szCs w:val="24"/>
        </w:rPr>
        <w:t>feminino?</w:t>
      </w:r>
    </w:p>
    <w:p w:rsidR="00D24E61" w:rsidRPr="00771368" w:rsidRDefault="00D24E61">
      <w:pPr>
        <w:sectPr w:rsidR="00D24E61" w:rsidRPr="00771368">
          <w:type w:val="continuous"/>
          <w:pgSz w:w="11900" w:h="16838"/>
          <w:pgMar w:top="1440" w:right="840" w:bottom="1440" w:left="1420" w:header="0" w:footer="0" w:gutter="0"/>
          <w:cols w:space="720" w:equalWidth="0">
            <w:col w:w="9640"/>
          </w:cols>
        </w:sectPr>
      </w:pPr>
    </w:p>
    <w:p w:rsidR="00D24E61" w:rsidRPr="00771368" w:rsidRDefault="00D24E61">
      <w:pPr>
        <w:spacing w:line="313" w:lineRule="exact"/>
        <w:rPr>
          <w:sz w:val="20"/>
          <w:szCs w:val="20"/>
        </w:rPr>
      </w:pPr>
    </w:p>
    <w:p w:rsidR="00D24E61" w:rsidRPr="00771368" w:rsidRDefault="00D24E61" w:rsidP="00A01226">
      <w:pPr>
        <w:spacing w:line="334" w:lineRule="auto"/>
        <w:ind w:firstLine="708"/>
        <w:jc w:val="both"/>
        <w:rPr>
          <w:sz w:val="20"/>
          <w:szCs w:val="20"/>
        </w:rPr>
      </w:pPr>
      <w:r w:rsidRPr="00771368">
        <w:rPr>
          <w:sz w:val="24"/>
          <w:szCs w:val="24"/>
        </w:rPr>
        <w:t>Quarta aula: produção textual focada nas perguntas a serem respondidas nos textos: Qual a diferença entre o modo de apresentar a mulher nas músicas e por que faz tanto sucesso entre os jovens? Você acha que o que aparece nas músicas é reflexo do que acontece na sociedade?</w:t>
      </w:r>
    </w:p>
    <w:p w:rsidR="00D24E61" w:rsidRPr="00771368" w:rsidRDefault="00D24E61" w:rsidP="00A01226">
      <w:pPr>
        <w:spacing w:line="200" w:lineRule="exact"/>
        <w:jc w:val="both"/>
        <w:rPr>
          <w:sz w:val="20"/>
          <w:szCs w:val="20"/>
        </w:rPr>
      </w:pPr>
    </w:p>
    <w:p w:rsidR="00D24E61" w:rsidRPr="00771368" w:rsidRDefault="00D24E61" w:rsidP="00A01226">
      <w:pPr>
        <w:spacing w:line="246" w:lineRule="exact"/>
        <w:jc w:val="both"/>
        <w:rPr>
          <w:sz w:val="20"/>
          <w:szCs w:val="20"/>
        </w:rPr>
      </w:pPr>
    </w:p>
    <w:p w:rsidR="00D24E61" w:rsidRPr="00771368" w:rsidRDefault="00D24E61" w:rsidP="00A01226">
      <w:pPr>
        <w:jc w:val="both"/>
        <w:rPr>
          <w:sz w:val="20"/>
          <w:szCs w:val="20"/>
        </w:rPr>
      </w:pPr>
      <w:r w:rsidRPr="00771368">
        <w:rPr>
          <w:sz w:val="24"/>
          <w:szCs w:val="24"/>
        </w:rPr>
        <w:t>Trechos de produções textuais produzidos pelos alunos – “Valorização de Gênero”</w:t>
      </w:r>
    </w:p>
    <w:p w:rsidR="00D24E61" w:rsidRPr="00771368" w:rsidRDefault="00D24E61" w:rsidP="00A01226">
      <w:pPr>
        <w:spacing w:line="137" w:lineRule="exact"/>
        <w:jc w:val="both"/>
        <w:rPr>
          <w:sz w:val="20"/>
          <w:szCs w:val="20"/>
        </w:rPr>
      </w:pPr>
    </w:p>
    <w:p w:rsidR="00D24E61" w:rsidRPr="00771368" w:rsidRDefault="00D24E61" w:rsidP="00A01226">
      <w:pPr>
        <w:ind w:left="700"/>
        <w:jc w:val="both"/>
        <w:rPr>
          <w:sz w:val="20"/>
          <w:szCs w:val="20"/>
        </w:rPr>
      </w:pPr>
      <w:r w:rsidRPr="00771368">
        <w:rPr>
          <w:i/>
          <w:iCs/>
          <w:sz w:val="24"/>
          <w:szCs w:val="24"/>
        </w:rPr>
        <w:t>Depoimentos:</w:t>
      </w:r>
    </w:p>
    <w:p w:rsidR="00D24E61" w:rsidRPr="00771368" w:rsidRDefault="00D24E61" w:rsidP="00A01226">
      <w:pPr>
        <w:spacing w:line="200" w:lineRule="exact"/>
        <w:jc w:val="both"/>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73" w:lineRule="exact"/>
        <w:rPr>
          <w:sz w:val="20"/>
          <w:szCs w:val="20"/>
        </w:rPr>
      </w:pPr>
    </w:p>
    <w:p w:rsidR="00D24E61" w:rsidRPr="00771368" w:rsidRDefault="00D24E61">
      <w:pPr>
        <w:rPr>
          <w:sz w:val="20"/>
          <w:szCs w:val="20"/>
        </w:rPr>
      </w:pPr>
      <w:r w:rsidRPr="00771368">
        <w:rPr>
          <w:b/>
          <w:bCs/>
          <w:sz w:val="24"/>
          <w:szCs w:val="24"/>
        </w:rPr>
        <w:t>Biologia –</w:t>
      </w:r>
    </w:p>
    <w:p w:rsidR="00D24E61" w:rsidRPr="00771368" w:rsidRDefault="00D24E61">
      <w:pPr>
        <w:spacing w:line="149" w:lineRule="exact"/>
        <w:rPr>
          <w:sz w:val="20"/>
          <w:szCs w:val="20"/>
        </w:rPr>
      </w:pPr>
    </w:p>
    <w:p w:rsidR="00D24E61" w:rsidRPr="00771368" w:rsidRDefault="00D24E61" w:rsidP="00A01226">
      <w:pPr>
        <w:ind w:left="420"/>
        <w:jc w:val="both"/>
        <w:rPr>
          <w:sz w:val="20"/>
          <w:szCs w:val="20"/>
        </w:rPr>
      </w:pPr>
      <w:r w:rsidRPr="00771368">
        <w:rPr>
          <w:sz w:val="24"/>
          <w:szCs w:val="24"/>
        </w:rPr>
        <w:t>Carga horária da disciplina: 2 hora/aula semanal</w:t>
      </w:r>
    </w:p>
    <w:p w:rsidR="00D24E61" w:rsidRPr="00771368" w:rsidRDefault="00D24E61" w:rsidP="00A01226">
      <w:pPr>
        <w:spacing w:line="214" w:lineRule="exact"/>
        <w:jc w:val="both"/>
        <w:rPr>
          <w:sz w:val="20"/>
          <w:szCs w:val="20"/>
        </w:rPr>
      </w:pPr>
    </w:p>
    <w:p w:rsidR="00D24E61" w:rsidRPr="00771368" w:rsidRDefault="00D24E61" w:rsidP="00A01226">
      <w:pPr>
        <w:spacing w:line="322" w:lineRule="auto"/>
        <w:ind w:left="820" w:right="3740" w:hanging="22"/>
        <w:jc w:val="both"/>
        <w:rPr>
          <w:sz w:val="20"/>
          <w:szCs w:val="20"/>
        </w:rPr>
      </w:pPr>
      <w:r w:rsidRPr="00771368">
        <w:rPr>
          <w:sz w:val="24"/>
          <w:szCs w:val="24"/>
        </w:rPr>
        <w:t>Carga horária reservada para as atividades do projeto Público-alvo: todas as turmas do ensino médio</w:t>
      </w:r>
    </w:p>
    <w:p w:rsidR="00D24E61" w:rsidRPr="00771368" w:rsidRDefault="00D24E61" w:rsidP="00A01226">
      <w:pPr>
        <w:spacing w:line="104" w:lineRule="exact"/>
        <w:jc w:val="both"/>
        <w:rPr>
          <w:sz w:val="20"/>
          <w:szCs w:val="20"/>
        </w:rPr>
      </w:pPr>
    </w:p>
    <w:p w:rsidR="00D24E61" w:rsidRPr="00771368" w:rsidRDefault="00D24E61" w:rsidP="00A01226">
      <w:pPr>
        <w:spacing w:line="343" w:lineRule="auto"/>
        <w:ind w:firstLine="708"/>
        <w:jc w:val="both"/>
        <w:rPr>
          <w:sz w:val="20"/>
          <w:szCs w:val="20"/>
        </w:rPr>
      </w:pPr>
      <w:r w:rsidRPr="00771368">
        <w:rPr>
          <w:sz w:val="24"/>
          <w:szCs w:val="24"/>
        </w:rPr>
        <w:t>O assunto sexualidade, que é integrante dos conteúdos programático, está sendo trabalhado desde o início do corrente ano. Como tema transversal, está sendo trabalhado o assunto igualdade de gêneros. A atividade abaixo foi feita como consolidação do tema “Igualdade de Gênero” na disciplina de Biologia:</w:t>
      </w:r>
    </w:p>
    <w:p w:rsidR="00D24E61" w:rsidRPr="00771368" w:rsidRDefault="00D24E61" w:rsidP="00A01226">
      <w:pPr>
        <w:spacing w:line="96" w:lineRule="exact"/>
        <w:jc w:val="both"/>
        <w:rPr>
          <w:sz w:val="20"/>
          <w:szCs w:val="20"/>
        </w:rPr>
      </w:pPr>
    </w:p>
    <w:p w:rsidR="00D24E61" w:rsidRPr="00771368" w:rsidRDefault="00D24E61" w:rsidP="00A01226">
      <w:pPr>
        <w:spacing w:line="310" w:lineRule="auto"/>
        <w:ind w:left="280" w:firstLine="425"/>
        <w:jc w:val="both"/>
        <w:rPr>
          <w:sz w:val="20"/>
          <w:szCs w:val="20"/>
        </w:rPr>
      </w:pPr>
      <w:r w:rsidRPr="00771368">
        <w:rPr>
          <w:sz w:val="24"/>
          <w:szCs w:val="24"/>
        </w:rPr>
        <w:t>Os assuntos relacionados às doenças sexualmente transmissíveis usando o projetor multimídia com slides sobre as doenças;</w:t>
      </w:r>
    </w:p>
    <w:p w:rsidR="00D24E61" w:rsidRPr="00771368" w:rsidRDefault="00D24E61" w:rsidP="00A01226">
      <w:pPr>
        <w:spacing w:line="131" w:lineRule="exact"/>
        <w:jc w:val="both"/>
        <w:rPr>
          <w:sz w:val="20"/>
          <w:szCs w:val="20"/>
        </w:rPr>
      </w:pPr>
    </w:p>
    <w:p w:rsidR="00D24E61" w:rsidRPr="00771368" w:rsidRDefault="00D24E61" w:rsidP="00A01226">
      <w:pPr>
        <w:spacing w:line="334" w:lineRule="auto"/>
        <w:ind w:left="280" w:firstLine="425"/>
        <w:jc w:val="both"/>
        <w:rPr>
          <w:sz w:val="20"/>
          <w:szCs w:val="20"/>
        </w:rPr>
      </w:pPr>
      <w:r w:rsidRPr="00771368">
        <w:rPr>
          <w:sz w:val="24"/>
          <w:szCs w:val="24"/>
        </w:rPr>
        <w:t>O objetivo foi esclarecer os adolescentes (homens e mulheres igualmente, daí a questão de Igualdade de Gêneros), a respeito do seu corpo e os riscos que estes se expõem ao se envolverem em um relacionamento afetivo sexual.</w:t>
      </w:r>
    </w:p>
    <w:p w:rsidR="00D24E61" w:rsidRPr="00771368" w:rsidRDefault="00D24E61" w:rsidP="00A01226">
      <w:pPr>
        <w:spacing w:line="32" w:lineRule="exact"/>
        <w:jc w:val="both"/>
        <w:rPr>
          <w:sz w:val="20"/>
          <w:szCs w:val="20"/>
        </w:rPr>
      </w:pPr>
    </w:p>
    <w:p w:rsidR="00D24E61" w:rsidRPr="00771368" w:rsidRDefault="00D24E61" w:rsidP="00A01226">
      <w:pPr>
        <w:ind w:left="280"/>
        <w:jc w:val="both"/>
        <w:rPr>
          <w:sz w:val="20"/>
          <w:szCs w:val="20"/>
        </w:rPr>
      </w:pPr>
      <w:r w:rsidRPr="00771368">
        <w:rPr>
          <w:sz w:val="24"/>
          <w:szCs w:val="24"/>
        </w:rPr>
        <w:t>Em anexo ao presente trabalho, encontram-se fotos das apresentações.</w:t>
      </w:r>
    </w:p>
    <w:p w:rsidR="00D24E61" w:rsidRPr="00771368" w:rsidRDefault="00D24E61">
      <w:pPr>
        <w:spacing w:line="259" w:lineRule="exact"/>
        <w:rPr>
          <w:sz w:val="20"/>
          <w:szCs w:val="20"/>
        </w:rPr>
      </w:pPr>
    </w:p>
    <w:p w:rsidR="00D24E61" w:rsidRPr="00771368" w:rsidRDefault="00D24E61">
      <w:pPr>
        <w:ind w:left="4460"/>
        <w:rPr>
          <w:sz w:val="20"/>
          <w:szCs w:val="20"/>
        </w:rPr>
      </w:pPr>
      <w:r w:rsidRPr="00771368">
        <w:rPr>
          <w:b/>
          <w:bCs/>
          <w:sz w:val="24"/>
          <w:szCs w:val="24"/>
        </w:rPr>
        <w:t>METAS</w:t>
      </w:r>
    </w:p>
    <w:p w:rsidR="00D24E61" w:rsidRPr="00771368" w:rsidRDefault="00D24E61">
      <w:pPr>
        <w:spacing w:line="200" w:lineRule="exact"/>
        <w:rPr>
          <w:sz w:val="20"/>
          <w:szCs w:val="20"/>
        </w:rPr>
      </w:pPr>
    </w:p>
    <w:p w:rsidR="00D24E61" w:rsidRPr="00771368" w:rsidRDefault="00D24E61">
      <w:pPr>
        <w:spacing w:line="211" w:lineRule="exact"/>
        <w:rPr>
          <w:sz w:val="20"/>
          <w:szCs w:val="20"/>
        </w:rPr>
      </w:pPr>
    </w:p>
    <w:p w:rsidR="00D24E61" w:rsidRPr="00771368" w:rsidRDefault="00D24E61" w:rsidP="00A01226">
      <w:pPr>
        <w:numPr>
          <w:ilvl w:val="0"/>
          <w:numId w:val="7"/>
        </w:numPr>
        <w:tabs>
          <w:tab w:val="left" w:pos="247"/>
        </w:tabs>
        <w:spacing w:line="310" w:lineRule="auto"/>
        <w:ind w:left="720" w:right="920" w:hanging="360"/>
        <w:jc w:val="both"/>
        <w:rPr>
          <w:sz w:val="24"/>
          <w:szCs w:val="24"/>
        </w:rPr>
      </w:pPr>
      <w:r w:rsidRPr="00771368">
        <w:rPr>
          <w:sz w:val="24"/>
          <w:szCs w:val="24"/>
        </w:rPr>
        <w:t>Imprimir panfletos para distribuição gratuita à comunidade escolar dentro dos assuntos abordados;</w:t>
      </w:r>
    </w:p>
    <w:p w:rsidR="00D24E61" w:rsidRPr="00771368" w:rsidRDefault="00D24E61" w:rsidP="00A01226">
      <w:pPr>
        <w:spacing w:line="115" w:lineRule="exact"/>
        <w:jc w:val="both"/>
        <w:rPr>
          <w:sz w:val="24"/>
          <w:szCs w:val="24"/>
        </w:rPr>
      </w:pPr>
    </w:p>
    <w:p w:rsidR="00D24E61" w:rsidRPr="00771368" w:rsidRDefault="00D24E61" w:rsidP="00A01226">
      <w:pPr>
        <w:numPr>
          <w:ilvl w:val="0"/>
          <w:numId w:val="7"/>
        </w:numPr>
        <w:tabs>
          <w:tab w:val="left" w:pos="316"/>
        </w:tabs>
        <w:spacing w:line="334" w:lineRule="auto"/>
        <w:ind w:left="720" w:hanging="360"/>
        <w:jc w:val="both"/>
        <w:rPr>
          <w:sz w:val="24"/>
          <w:szCs w:val="24"/>
        </w:rPr>
      </w:pPr>
      <w:r w:rsidRPr="00771368">
        <w:rPr>
          <w:sz w:val="24"/>
          <w:szCs w:val="24"/>
        </w:rPr>
        <w:t>Adquirir livros e filmes que venham esclarecer as Leis e endereços que dão proteção às mulheres e os locais para sua busca, reduzindo assim, os índices de violência contra as mesmas, dentro das famílias de nossos alunos.</w:t>
      </w:r>
    </w:p>
    <w:p w:rsidR="00D24E61" w:rsidRPr="00771368" w:rsidRDefault="00D24E61" w:rsidP="00A01226">
      <w:pPr>
        <w:spacing w:line="32" w:lineRule="exact"/>
        <w:jc w:val="both"/>
        <w:rPr>
          <w:sz w:val="24"/>
          <w:szCs w:val="24"/>
        </w:rPr>
      </w:pPr>
    </w:p>
    <w:p w:rsidR="00D24E61" w:rsidRPr="00771368" w:rsidRDefault="00D24E61" w:rsidP="00A01226">
      <w:pPr>
        <w:numPr>
          <w:ilvl w:val="0"/>
          <w:numId w:val="7"/>
        </w:numPr>
        <w:tabs>
          <w:tab w:val="left" w:pos="240"/>
        </w:tabs>
        <w:ind w:left="720" w:hanging="360"/>
        <w:jc w:val="both"/>
        <w:rPr>
          <w:sz w:val="24"/>
          <w:szCs w:val="24"/>
        </w:rPr>
      </w:pPr>
      <w:r w:rsidRPr="00771368">
        <w:rPr>
          <w:sz w:val="24"/>
          <w:szCs w:val="24"/>
        </w:rPr>
        <w:t>Formar indivíduos mais conscientes, respeitosos e responsáveis com a transformação social;</w:t>
      </w:r>
    </w:p>
    <w:p w:rsidR="00D24E61" w:rsidRPr="00771368" w:rsidRDefault="00D24E61" w:rsidP="00A01226">
      <w:pPr>
        <w:spacing w:line="137" w:lineRule="exact"/>
        <w:jc w:val="both"/>
        <w:rPr>
          <w:sz w:val="24"/>
          <w:szCs w:val="24"/>
        </w:rPr>
      </w:pPr>
    </w:p>
    <w:p w:rsidR="00D24E61" w:rsidRPr="00771368" w:rsidRDefault="00D24E61" w:rsidP="00A01226">
      <w:pPr>
        <w:numPr>
          <w:ilvl w:val="0"/>
          <w:numId w:val="7"/>
        </w:numPr>
        <w:tabs>
          <w:tab w:val="left" w:pos="260"/>
        </w:tabs>
        <w:ind w:left="720" w:hanging="360"/>
        <w:jc w:val="both"/>
        <w:rPr>
          <w:sz w:val="24"/>
          <w:szCs w:val="24"/>
        </w:rPr>
      </w:pPr>
      <w:r w:rsidRPr="00771368">
        <w:rPr>
          <w:sz w:val="24"/>
          <w:szCs w:val="24"/>
        </w:rPr>
        <w:t>Apoio ao desenvolvimento de empreendimentos de economia solidária;</w:t>
      </w:r>
    </w:p>
    <w:p w:rsidR="00D24E61" w:rsidRPr="00771368" w:rsidRDefault="00D24E61" w:rsidP="00A01226">
      <w:pPr>
        <w:spacing w:line="197" w:lineRule="exact"/>
        <w:jc w:val="both"/>
        <w:rPr>
          <w:sz w:val="24"/>
          <w:szCs w:val="24"/>
        </w:rPr>
      </w:pPr>
    </w:p>
    <w:p w:rsidR="00D24E61" w:rsidRPr="00771368" w:rsidRDefault="00D24E61" w:rsidP="00A01226">
      <w:pPr>
        <w:numPr>
          <w:ilvl w:val="0"/>
          <w:numId w:val="7"/>
        </w:numPr>
        <w:tabs>
          <w:tab w:val="left" w:pos="266"/>
        </w:tabs>
        <w:spacing w:line="308" w:lineRule="auto"/>
        <w:ind w:left="720" w:hanging="360"/>
        <w:jc w:val="both"/>
        <w:rPr>
          <w:sz w:val="24"/>
          <w:szCs w:val="24"/>
        </w:rPr>
      </w:pPr>
      <w:r w:rsidRPr="00771368">
        <w:rPr>
          <w:sz w:val="24"/>
          <w:szCs w:val="24"/>
        </w:rPr>
        <w:t>Assumir o compromisso e o dever de trabalhar no resgate de valores éticos e morais para um mundo mais humanizado;</w:t>
      </w:r>
    </w:p>
    <w:p w:rsidR="00D24E61" w:rsidRPr="00771368" w:rsidRDefault="00D24E61" w:rsidP="00A01226">
      <w:pPr>
        <w:spacing w:line="119" w:lineRule="exact"/>
        <w:jc w:val="both"/>
        <w:rPr>
          <w:sz w:val="24"/>
          <w:szCs w:val="24"/>
        </w:rPr>
      </w:pPr>
    </w:p>
    <w:p w:rsidR="00D24E61" w:rsidRPr="00771368" w:rsidRDefault="00D24E61" w:rsidP="00A01226">
      <w:pPr>
        <w:numPr>
          <w:ilvl w:val="1"/>
          <w:numId w:val="7"/>
        </w:numPr>
        <w:tabs>
          <w:tab w:val="left" w:pos="295"/>
        </w:tabs>
        <w:spacing w:line="308" w:lineRule="auto"/>
        <w:ind w:left="1440" w:hanging="360"/>
        <w:jc w:val="both"/>
        <w:rPr>
          <w:sz w:val="24"/>
          <w:szCs w:val="24"/>
        </w:rPr>
      </w:pPr>
      <w:r w:rsidRPr="00771368">
        <w:rPr>
          <w:sz w:val="24"/>
          <w:szCs w:val="24"/>
        </w:rPr>
        <w:t>Mudança de atitudes comportamentais para o desenvolvimento de uma cultura da igualdade e afetividade, com respeito as diferenças de (idade, cor, realização, profissão, gênero).</w:t>
      </w:r>
    </w:p>
    <w:p w:rsidR="00D24E61" w:rsidRPr="00771368" w:rsidRDefault="00D24E61" w:rsidP="00A01226">
      <w:pPr>
        <w:spacing w:line="119" w:lineRule="exact"/>
        <w:jc w:val="both"/>
        <w:rPr>
          <w:sz w:val="24"/>
          <w:szCs w:val="24"/>
        </w:rPr>
      </w:pPr>
    </w:p>
    <w:p w:rsidR="00D24E61" w:rsidRPr="00771368" w:rsidRDefault="00D24E61" w:rsidP="00A01226">
      <w:pPr>
        <w:numPr>
          <w:ilvl w:val="0"/>
          <w:numId w:val="8"/>
        </w:numPr>
        <w:tabs>
          <w:tab w:val="left" w:pos="328"/>
        </w:tabs>
        <w:spacing w:line="308" w:lineRule="auto"/>
        <w:ind w:left="360" w:right="20" w:hanging="360"/>
        <w:jc w:val="both"/>
        <w:rPr>
          <w:sz w:val="24"/>
          <w:szCs w:val="24"/>
        </w:rPr>
      </w:pPr>
      <w:r w:rsidRPr="00771368">
        <w:rPr>
          <w:sz w:val="24"/>
          <w:szCs w:val="24"/>
        </w:rPr>
        <w:t>Contribuir para a quebra do círculo vicioso de repetição de padrões de comportamento repetidos pela família e sociedade.</w:t>
      </w:r>
    </w:p>
    <w:p w:rsidR="00D24E61" w:rsidRPr="00771368" w:rsidRDefault="00D24E61">
      <w:pPr>
        <w:spacing w:line="259" w:lineRule="exact"/>
        <w:rPr>
          <w:sz w:val="20"/>
          <w:szCs w:val="20"/>
        </w:rPr>
      </w:pPr>
    </w:p>
    <w:p w:rsidR="00D24E61" w:rsidRPr="00771368" w:rsidRDefault="00D24E61">
      <w:pPr>
        <w:ind w:left="3480"/>
        <w:rPr>
          <w:sz w:val="20"/>
          <w:szCs w:val="20"/>
        </w:rPr>
      </w:pPr>
      <w:r w:rsidRPr="00771368">
        <w:rPr>
          <w:b/>
          <w:bCs/>
          <w:sz w:val="24"/>
          <w:szCs w:val="24"/>
        </w:rPr>
        <w:t>RESULTADOS E DISCUSSÕES</w:t>
      </w:r>
    </w:p>
    <w:p w:rsidR="00D24E61" w:rsidRPr="00771368" w:rsidRDefault="00D24E61">
      <w:pPr>
        <w:spacing w:line="200" w:lineRule="exact"/>
        <w:rPr>
          <w:sz w:val="20"/>
          <w:szCs w:val="20"/>
        </w:rPr>
      </w:pPr>
    </w:p>
    <w:p w:rsidR="00D24E61" w:rsidRPr="00771368" w:rsidRDefault="00D24E61">
      <w:pPr>
        <w:spacing w:line="352" w:lineRule="exact"/>
        <w:rPr>
          <w:sz w:val="20"/>
          <w:szCs w:val="20"/>
        </w:rPr>
      </w:pPr>
    </w:p>
    <w:p w:rsidR="00D24E61" w:rsidRPr="00771368" w:rsidRDefault="00D24E61">
      <w:pPr>
        <w:ind w:left="720"/>
        <w:rPr>
          <w:sz w:val="20"/>
          <w:szCs w:val="20"/>
        </w:rPr>
      </w:pPr>
      <w:r w:rsidRPr="00771368">
        <w:rPr>
          <w:b/>
          <w:bCs/>
          <w:sz w:val="24"/>
          <w:szCs w:val="24"/>
        </w:rPr>
        <w:t>Avaliação</w:t>
      </w:r>
    </w:p>
    <w:p w:rsidR="00D24E61" w:rsidRPr="00771368" w:rsidRDefault="00D24E61">
      <w:pPr>
        <w:spacing w:line="190" w:lineRule="exact"/>
        <w:rPr>
          <w:sz w:val="20"/>
          <w:szCs w:val="20"/>
        </w:rPr>
      </w:pPr>
    </w:p>
    <w:p w:rsidR="00D24E61" w:rsidRPr="00771368" w:rsidRDefault="00D24E61">
      <w:pPr>
        <w:spacing w:line="343" w:lineRule="auto"/>
        <w:ind w:firstLine="708"/>
        <w:jc w:val="both"/>
        <w:rPr>
          <w:sz w:val="20"/>
          <w:szCs w:val="20"/>
        </w:rPr>
      </w:pPr>
      <w:r w:rsidRPr="00771368">
        <w:rPr>
          <w:sz w:val="24"/>
          <w:szCs w:val="24"/>
        </w:rPr>
        <w:t>O projeto “Valorizando a Igualdade de Gênero será avaliado conforme balanço feito pela comunidade escolar (equipe gestora, Conselho Escolar, professores, pais e alunos) em relação aos resultados das produções textuais e verbais dos alunos, além da boa convivência entre alunos/alunos, alunos/ professores, professores/pais, pais/alunos, em fim, toda comunidade escolar.</w:t>
      </w:r>
    </w:p>
    <w:p w:rsidR="00D24E61" w:rsidRPr="00771368" w:rsidRDefault="00D24E61">
      <w:pPr>
        <w:spacing w:line="21" w:lineRule="exact"/>
        <w:rPr>
          <w:sz w:val="20"/>
          <w:szCs w:val="20"/>
        </w:rPr>
      </w:pPr>
    </w:p>
    <w:p w:rsidR="00D24E61" w:rsidRPr="00771368" w:rsidRDefault="00D24E61">
      <w:pPr>
        <w:ind w:left="720"/>
        <w:rPr>
          <w:sz w:val="20"/>
          <w:szCs w:val="20"/>
        </w:rPr>
      </w:pPr>
      <w:r w:rsidRPr="00771368">
        <w:rPr>
          <w:sz w:val="24"/>
          <w:szCs w:val="24"/>
        </w:rPr>
        <w:t>Seguem as fotos das discussões e debates ocorridos com pais e alunos e professores:</w:t>
      </w:r>
    </w:p>
    <w:p w:rsidR="00D24E61" w:rsidRPr="00771368" w:rsidRDefault="00D24E61">
      <w:pPr>
        <w:ind w:left="720"/>
        <w:rPr>
          <w:sz w:val="20"/>
          <w:szCs w:val="20"/>
        </w:rPr>
        <w:sectPr w:rsidR="00D24E61" w:rsidRPr="00771368">
          <w:pgSz w:w="11900" w:h="16838"/>
          <w:pgMar w:top="1440" w:right="840" w:bottom="1440" w:left="1420" w:header="0" w:footer="0" w:gutter="0"/>
          <w:cols w:space="720" w:equalWidth="0">
            <w:col w:w="9640"/>
          </w:cols>
        </w:sectPr>
      </w:pPr>
      <w:r w:rsidRPr="00771368">
        <w:rPr>
          <w:noProof/>
          <w:sz w:val="20"/>
          <w:szCs w:val="20"/>
        </w:rPr>
        <w:drawing>
          <wp:anchor distT="0" distB="0" distL="114300" distR="114300" simplePos="0" relativeHeight="251589632" behindDoc="1" locked="0" layoutInCell="0" allowOverlap="1">
            <wp:simplePos x="0" y="0"/>
            <wp:positionH relativeFrom="column">
              <wp:posOffset>-39502</wp:posOffset>
            </wp:positionH>
            <wp:positionV relativeFrom="paragraph">
              <wp:posOffset>443247</wp:posOffset>
            </wp:positionV>
            <wp:extent cx="5182342" cy="5670724"/>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blip>
                    <a:srcRect/>
                    <a:stretch>
                      <a:fillRect/>
                    </a:stretch>
                  </pic:blipFill>
                  <pic:spPr bwMode="auto">
                    <a:xfrm>
                      <a:off x="0" y="0"/>
                      <a:ext cx="5179249" cy="5667340"/>
                    </a:xfrm>
                    <a:prstGeom prst="rect">
                      <a:avLst/>
                    </a:prstGeom>
                    <a:noFill/>
                  </pic:spPr>
                </pic:pic>
              </a:graphicData>
            </a:graphic>
          </wp:anchor>
        </w:drawing>
      </w:r>
    </w:p>
    <w:p w:rsidR="00D24E61" w:rsidRPr="00771368" w:rsidRDefault="00D24E61" w:rsidP="00A01226">
      <w:pPr>
        <w:spacing w:line="342" w:lineRule="auto"/>
        <w:ind w:firstLine="708"/>
        <w:jc w:val="both"/>
        <w:rPr>
          <w:sz w:val="20"/>
          <w:szCs w:val="20"/>
        </w:rPr>
      </w:pPr>
      <w:r w:rsidRPr="00771368">
        <w:rPr>
          <w:sz w:val="24"/>
          <w:szCs w:val="24"/>
        </w:rPr>
        <w:t>A maioria dos meninos que estavam no debate dizem que as meninas que vão aos bailes funk, são meninas que não se valorizam, que não tem nada a perder na vida, que só vão para curtir, que jamais seriam levadas a sério e que nunca namorariam com uma menina dessa, segue anexo alguns depoimentos:</w:t>
      </w:r>
    </w:p>
    <w:p w:rsidR="00D24E61" w:rsidRPr="00771368" w:rsidRDefault="00D24E61" w:rsidP="00A01226">
      <w:pPr>
        <w:spacing w:line="83" w:lineRule="exact"/>
        <w:jc w:val="both"/>
        <w:rPr>
          <w:sz w:val="20"/>
          <w:szCs w:val="20"/>
        </w:rPr>
      </w:pPr>
    </w:p>
    <w:p w:rsidR="00D24E61" w:rsidRPr="00771368" w:rsidRDefault="00D24E61" w:rsidP="00A01226">
      <w:pPr>
        <w:spacing w:line="332" w:lineRule="auto"/>
        <w:ind w:left="700" w:right="4440"/>
        <w:jc w:val="both"/>
        <w:rPr>
          <w:sz w:val="20"/>
          <w:szCs w:val="20"/>
        </w:rPr>
      </w:pPr>
      <w:r w:rsidRPr="00771368">
        <w:rPr>
          <w:sz w:val="23"/>
          <w:szCs w:val="23"/>
        </w:rPr>
        <w:t>“Na minha opinião tem que se valorizar mais.” “Meninas que não tem nada a perder na vida.”</w:t>
      </w:r>
    </w:p>
    <w:p w:rsidR="00D24E61" w:rsidRPr="00771368" w:rsidRDefault="00D24E61" w:rsidP="00A01226">
      <w:pPr>
        <w:spacing w:line="96" w:lineRule="exact"/>
        <w:jc w:val="both"/>
        <w:rPr>
          <w:sz w:val="20"/>
          <w:szCs w:val="20"/>
        </w:rPr>
      </w:pPr>
    </w:p>
    <w:p w:rsidR="00D24E61" w:rsidRPr="00771368" w:rsidRDefault="00D24E61" w:rsidP="00A01226">
      <w:pPr>
        <w:spacing w:line="308" w:lineRule="auto"/>
        <w:ind w:right="20" w:firstLine="708"/>
        <w:jc w:val="both"/>
        <w:rPr>
          <w:sz w:val="20"/>
          <w:szCs w:val="20"/>
        </w:rPr>
      </w:pPr>
      <w:r w:rsidRPr="00771368">
        <w:rPr>
          <w:sz w:val="24"/>
          <w:szCs w:val="24"/>
        </w:rPr>
        <w:t>“São mulheres que realmente não sabem o valor da vida, que se defma com atos de ousadia e putaria.”</w:t>
      </w:r>
    </w:p>
    <w:p w:rsidR="00D24E61" w:rsidRPr="00771368" w:rsidRDefault="00D24E61" w:rsidP="00A01226">
      <w:pPr>
        <w:spacing w:line="62" w:lineRule="exact"/>
        <w:jc w:val="both"/>
        <w:rPr>
          <w:sz w:val="20"/>
          <w:szCs w:val="20"/>
        </w:rPr>
      </w:pPr>
    </w:p>
    <w:p w:rsidR="00D24E61" w:rsidRPr="00771368" w:rsidRDefault="00D24E61" w:rsidP="00A01226">
      <w:pPr>
        <w:ind w:left="700"/>
        <w:jc w:val="both"/>
        <w:rPr>
          <w:sz w:val="20"/>
          <w:szCs w:val="20"/>
        </w:rPr>
      </w:pPr>
      <w:r w:rsidRPr="00771368">
        <w:rPr>
          <w:sz w:val="24"/>
          <w:szCs w:val="24"/>
        </w:rPr>
        <w:t>“Mulher sem auto-estima.”</w:t>
      </w:r>
    </w:p>
    <w:p w:rsidR="00D24E61" w:rsidRPr="00771368" w:rsidRDefault="00D24E61" w:rsidP="00A01226">
      <w:pPr>
        <w:spacing w:line="195" w:lineRule="exact"/>
        <w:jc w:val="both"/>
        <w:rPr>
          <w:sz w:val="20"/>
          <w:szCs w:val="20"/>
        </w:rPr>
      </w:pPr>
    </w:p>
    <w:p w:rsidR="00D24E61" w:rsidRPr="00771368" w:rsidRDefault="00D24E61" w:rsidP="00A01226">
      <w:pPr>
        <w:spacing w:line="310" w:lineRule="auto"/>
        <w:ind w:firstLine="708"/>
        <w:jc w:val="both"/>
        <w:rPr>
          <w:sz w:val="20"/>
          <w:szCs w:val="20"/>
        </w:rPr>
      </w:pPr>
      <w:r w:rsidRPr="00771368">
        <w:rPr>
          <w:sz w:val="24"/>
          <w:szCs w:val="24"/>
        </w:rPr>
        <w:t>“Muitas meninas vão apenas para curtir, já outras vão para chamada “fuleragem” são as cachorradas transar com a maoria dos homens possíveis.”</w:t>
      </w:r>
    </w:p>
    <w:p w:rsidR="00D24E61" w:rsidRPr="00771368" w:rsidRDefault="00D24E61" w:rsidP="00A01226">
      <w:pPr>
        <w:spacing w:line="115" w:lineRule="exact"/>
        <w:jc w:val="both"/>
        <w:rPr>
          <w:sz w:val="20"/>
          <w:szCs w:val="20"/>
        </w:rPr>
      </w:pPr>
    </w:p>
    <w:p w:rsidR="00D24E61" w:rsidRPr="00771368" w:rsidRDefault="00D24E61" w:rsidP="00A01226">
      <w:pPr>
        <w:spacing w:line="310" w:lineRule="auto"/>
        <w:ind w:firstLine="708"/>
        <w:jc w:val="both"/>
        <w:rPr>
          <w:sz w:val="20"/>
          <w:szCs w:val="20"/>
        </w:rPr>
      </w:pPr>
      <w:r w:rsidRPr="00771368">
        <w:rPr>
          <w:sz w:val="24"/>
          <w:szCs w:val="24"/>
        </w:rPr>
        <w:t>“Minha opinião meninas no baile funk nem todas vão com o mesmo intuito de baixaria, mas muitas vão por esse motivo.”</w:t>
      </w:r>
    </w:p>
    <w:p w:rsidR="00D24E61" w:rsidRPr="00771368" w:rsidRDefault="00D24E61" w:rsidP="00A01226">
      <w:pPr>
        <w:spacing w:line="200" w:lineRule="exact"/>
        <w:jc w:val="both"/>
        <w:rPr>
          <w:sz w:val="20"/>
          <w:szCs w:val="20"/>
        </w:rPr>
      </w:pPr>
    </w:p>
    <w:p w:rsidR="00D24E61" w:rsidRPr="00771368" w:rsidRDefault="00D24E61" w:rsidP="00A01226">
      <w:pPr>
        <w:spacing w:line="277" w:lineRule="exact"/>
        <w:jc w:val="both"/>
        <w:rPr>
          <w:sz w:val="20"/>
          <w:szCs w:val="20"/>
        </w:rPr>
      </w:pPr>
    </w:p>
    <w:p w:rsidR="00D24E61" w:rsidRPr="00771368" w:rsidRDefault="00D24E61">
      <w:pPr>
        <w:ind w:left="700"/>
        <w:rPr>
          <w:sz w:val="20"/>
          <w:szCs w:val="20"/>
        </w:rPr>
      </w:pPr>
      <w:r w:rsidRPr="00771368">
        <w:rPr>
          <w:b/>
          <w:bCs/>
          <w:sz w:val="24"/>
          <w:szCs w:val="24"/>
        </w:rPr>
        <w:t>Análise</w:t>
      </w:r>
    </w:p>
    <w:p w:rsidR="00D24E61" w:rsidRPr="00771368" w:rsidRDefault="00D24E61">
      <w:pPr>
        <w:spacing w:line="200" w:lineRule="exact"/>
        <w:rPr>
          <w:sz w:val="20"/>
          <w:szCs w:val="20"/>
        </w:rPr>
      </w:pPr>
    </w:p>
    <w:p w:rsidR="00D24E61" w:rsidRPr="00771368" w:rsidRDefault="00D24E61" w:rsidP="00A01226">
      <w:pPr>
        <w:spacing w:line="349" w:lineRule="auto"/>
        <w:ind w:firstLine="708"/>
        <w:jc w:val="both"/>
        <w:rPr>
          <w:sz w:val="20"/>
          <w:szCs w:val="20"/>
        </w:rPr>
      </w:pPr>
      <w:r w:rsidRPr="00771368">
        <w:rPr>
          <w:sz w:val="24"/>
          <w:szCs w:val="24"/>
        </w:rPr>
        <w:t>Na maioria das falas do meninos ficam indiscutíveis que eles vão ao baile funk com o intuito de se divertir, aprontar e bagunçar com as meninas que frequentam o baile funk, mas eles desaprovam o comportamento delas na ousadia, na pouca roupa e no sexo. Embora eles curtam o momento, quando saem de lá não querem esse tipo de menina para um relacionamento sério, para namorar e muito menos casar.Este foi o auge do debate, pois as meninas que frequentam não tem a mesma opinião e a discussão ganhou força neste momento.</w:t>
      </w:r>
    </w:p>
    <w:p w:rsidR="00D24E61" w:rsidRPr="00771368" w:rsidRDefault="00D24E61" w:rsidP="00A01226">
      <w:pPr>
        <w:spacing w:line="290" w:lineRule="exact"/>
        <w:jc w:val="both"/>
        <w:rPr>
          <w:sz w:val="20"/>
          <w:szCs w:val="20"/>
        </w:rPr>
      </w:pPr>
    </w:p>
    <w:p w:rsidR="00D24E61" w:rsidRPr="00771368" w:rsidRDefault="00D24E61" w:rsidP="00A01226">
      <w:pPr>
        <w:spacing w:line="334" w:lineRule="auto"/>
        <w:ind w:firstLine="708"/>
        <w:jc w:val="both"/>
        <w:rPr>
          <w:sz w:val="20"/>
          <w:szCs w:val="20"/>
        </w:rPr>
      </w:pPr>
      <w:r w:rsidRPr="00771368">
        <w:rPr>
          <w:sz w:val="24"/>
          <w:szCs w:val="24"/>
        </w:rPr>
        <w:t>As meninas defendem que vão com o intuito de diversão e não para sexo, mas chegam a conclusão, que rola sexo, álcool e drogas, que o som e a batida da música é o principal motivo delas irem ao funk e que muitas às vezes, vão com o namorado.</w:t>
      </w:r>
    </w:p>
    <w:p w:rsidR="00D24E61" w:rsidRPr="00771368" w:rsidRDefault="00D24E61" w:rsidP="00A01226">
      <w:pPr>
        <w:spacing w:line="30" w:lineRule="exact"/>
        <w:jc w:val="both"/>
        <w:rPr>
          <w:sz w:val="20"/>
          <w:szCs w:val="20"/>
        </w:rPr>
      </w:pPr>
    </w:p>
    <w:p w:rsidR="00D24E61" w:rsidRPr="00771368" w:rsidRDefault="00D24E61" w:rsidP="00A01226">
      <w:pPr>
        <w:ind w:left="700"/>
        <w:jc w:val="both"/>
        <w:rPr>
          <w:sz w:val="20"/>
          <w:szCs w:val="20"/>
        </w:rPr>
      </w:pPr>
      <w:r w:rsidRPr="00771368">
        <w:rPr>
          <w:sz w:val="24"/>
          <w:szCs w:val="24"/>
        </w:rPr>
        <w:t>Veja alguns depoimentos de algumas meninas:</w:t>
      </w:r>
    </w:p>
    <w:p w:rsidR="00D24E61" w:rsidRPr="00771368" w:rsidRDefault="00D24E61" w:rsidP="00A01226">
      <w:pPr>
        <w:spacing w:line="197" w:lineRule="exact"/>
        <w:jc w:val="both"/>
        <w:rPr>
          <w:sz w:val="20"/>
          <w:szCs w:val="20"/>
        </w:rPr>
      </w:pPr>
    </w:p>
    <w:p w:rsidR="00D24E61" w:rsidRPr="00771368" w:rsidRDefault="00D24E61" w:rsidP="00A01226">
      <w:pPr>
        <w:spacing w:line="308" w:lineRule="auto"/>
        <w:ind w:left="700"/>
        <w:jc w:val="both"/>
        <w:rPr>
          <w:sz w:val="20"/>
          <w:szCs w:val="20"/>
        </w:rPr>
      </w:pPr>
      <w:r w:rsidRPr="00771368">
        <w:rPr>
          <w:sz w:val="24"/>
          <w:szCs w:val="24"/>
        </w:rPr>
        <w:t>“Muitas meninas acham que estão abafando, que é o centro das atenções e a favorita.” “Dependendo da letra da música o que passa na mente é curtir o momento dançar muito até</w:t>
      </w:r>
    </w:p>
    <w:p w:rsidR="00D24E61" w:rsidRPr="00771368" w:rsidRDefault="00D24E61" w:rsidP="00A01226">
      <w:pPr>
        <w:spacing w:line="61" w:lineRule="exact"/>
        <w:jc w:val="both"/>
        <w:rPr>
          <w:sz w:val="20"/>
          <w:szCs w:val="20"/>
        </w:rPr>
      </w:pPr>
    </w:p>
    <w:p w:rsidR="00D24E61" w:rsidRPr="00771368" w:rsidRDefault="00D24E61" w:rsidP="00A01226">
      <w:pPr>
        <w:jc w:val="both"/>
        <w:rPr>
          <w:sz w:val="20"/>
          <w:szCs w:val="20"/>
        </w:rPr>
      </w:pPr>
      <w:r w:rsidRPr="00771368">
        <w:rPr>
          <w:sz w:val="24"/>
          <w:szCs w:val="24"/>
        </w:rPr>
        <w:t>o chão.”</w:t>
      </w:r>
    </w:p>
    <w:p w:rsidR="00D24E61" w:rsidRPr="00771368" w:rsidRDefault="00D24E61" w:rsidP="00A01226">
      <w:pPr>
        <w:spacing w:line="137" w:lineRule="exact"/>
        <w:jc w:val="both"/>
        <w:rPr>
          <w:sz w:val="20"/>
          <w:szCs w:val="20"/>
        </w:rPr>
      </w:pPr>
    </w:p>
    <w:p w:rsidR="00D24E61" w:rsidRPr="00771368" w:rsidRDefault="00D24E61" w:rsidP="00A01226">
      <w:pPr>
        <w:ind w:left="700"/>
        <w:jc w:val="both"/>
        <w:rPr>
          <w:sz w:val="20"/>
          <w:szCs w:val="20"/>
        </w:rPr>
      </w:pPr>
      <w:r w:rsidRPr="00771368">
        <w:rPr>
          <w:sz w:val="24"/>
          <w:szCs w:val="24"/>
        </w:rPr>
        <w:t>“As mulheres querem que os homens a desejem.”</w:t>
      </w:r>
    </w:p>
    <w:p w:rsidR="00D24E61" w:rsidRPr="00771368" w:rsidRDefault="00D24E61" w:rsidP="00A01226">
      <w:pPr>
        <w:spacing w:line="198" w:lineRule="exact"/>
        <w:jc w:val="both"/>
        <w:rPr>
          <w:sz w:val="20"/>
          <w:szCs w:val="20"/>
        </w:rPr>
      </w:pPr>
    </w:p>
    <w:p w:rsidR="00D24E61" w:rsidRPr="00771368" w:rsidRDefault="00D24E61" w:rsidP="00A01226">
      <w:pPr>
        <w:spacing w:line="308" w:lineRule="auto"/>
        <w:ind w:firstLine="708"/>
        <w:jc w:val="both"/>
        <w:rPr>
          <w:sz w:val="20"/>
          <w:szCs w:val="20"/>
        </w:rPr>
      </w:pPr>
      <w:r w:rsidRPr="00771368">
        <w:rPr>
          <w:sz w:val="24"/>
          <w:szCs w:val="24"/>
        </w:rPr>
        <w:t>“Eu danço, mas não com roupas coladas ou curtas.E o que passa na minha mente que isso é uma coisa normal quando não se faz com maldade ou malícia.”</w:t>
      </w:r>
    </w:p>
    <w:p w:rsidR="00D24E61" w:rsidRPr="00771368" w:rsidRDefault="00D24E61" w:rsidP="00A01226">
      <w:pPr>
        <w:jc w:val="both"/>
        <w:sectPr w:rsidR="00D24E61" w:rsidRPr="00771368">
          <w:pgSz w:w="11900" w:h="16838"/>
          <w:pgMar w:top="1440" w:right="840" w:bottom="1440" w:left="1420" w:header="0" w:footer="0" w:gutter="0"/>
          <w:cols w:space="720" w:equalWidth="0">
            <w:col w:w="9640"/>
          </w:cols>
        </w:sectPr>
      </w:pPr>
    </w:p>
    <w:p w:rsidR="00D24E61" w:rsidRPr="00771368" w:rsidRDefault="00D24E61" w:rsidP="00A01226">
      <w:pPr>
        <w:spacing w:line="313" w:lineRule="exact"/>
        <w:jc w:val="both"/>
        <w:rPr>
          <w:sz w:val="20"/>
          <w:szCs w:val="20"/>
        </w:rPr>
      </w:pPr>
      <w:bookmarkStart w:id="3" w:name="page18"/>
      <w:bookmarkEnd w:id="3"/>
    </w:p>
    <w:p w:rsidR="00D24E61" w:rsidRPr="00771368" w:rsidRDefault="00D24E61" w:rsidP="00A01226">
      <w:pPr>
        <w:spacing w:line="308" w:lineRule="auto"/>
        <w:ind w:firstLine="708"/>
        <w:jc w:val="both"/>
        <w:rPr>
          <w:sz w:val="20"/>
          <w:szCs w:val="20"/>
        </w:rPr>
      </w:pPr>
      <w:r w:rsidRPr="00771368">
        <w:rPr>
          <w:sz w:val="24"/>
          <w:szCs w:val="24"/>
        </w:rPr>
        <w:t>“Supondo que se eu fosse, eu acho que me sentiria poderosa, sabendo que apenas é um engano da minha mente.”</w:t>
      </w:r>
    </w:p>
    <w:p w:rsidR="00D24E61" w:rsidRPr="00771368" w:rsidRDefault="00D24E61" w:rsidP="00A01226">
      <w:pPr>
        <w:spacing w:line="200" w:lineRule="exact"/>
        <w:jc w:val="both"/>
        <w:rPr>
          <w:sz w:val="20"/>
          <w:szCs w:val="20"/>
        </w:rPr>
      </w:pPr>
    </w:p>
    <w:p w:rsidR="00D24E61" w:rsidRPr="00771368" w:rsidRDefault="00D24E61" w:rsidP="00A01226">
      <w:pPr>
        <w:spacing w:line="350" w:lineRule="auto"/>
        <w:ind w:firstLine="708"/>
        <w:jc w:val="both"/>
        <w:rPr>
          <w:sz w:val="20"/>
          <w:szCs w:val="20"/>
        </w:rPr>
      </w:pPr>
      <w:r w:rsidRPr="00771368">
        <w:rPr>
          <w:sz w:val="24"/>
          <w:szCs w:val="24"/>
        </w:rPr>
        <w:t>Embora as meninas defendam a ideia de frequentar o baile funk sem essa maldade que permeiam a mente das pessoas, elas acreditam que muitas vão só com intuito de diversão, que usar pouca roupa não desvaloriza tanto a mulher , mas concordam que muitas letras não tratam a mulher como deveria ser tratada, discutem bastante com os meninos querendo ser valorizada, acham normal frequentar a festa com o namorado e concordam que muitas atitudes poderiam ser repensada e gostariam que homens e mulheres tivessem o mesmo tratamento perante a sociedade.</w:t>
      </w:r>
    </w:p>
    <w:p w:rsidR="00D24E61" w:rsidRPr="00771368" w:rsidRDefault="00D24E61" w:rsidP="00A01226">
      <w:pPr>
        <w:jc w:val="both"/>
      </w:pPr>
    </w:p>
    <w:p w:rsidR="00D24E61" w:rsidRPr="00771368" w:rsidRDefault="00D24E61" w:rsidP="00A01226">
      <w:pPr>
        <w:spacing w:line="259" w:lineRule="exact"/>
        <w:jc w:val="both"/>
        <w:rPr>
          <w:sz w:val="20"/>
          <w:szCs w:val="20"/>
        </w:rPr>
      </w:pPr>
      <w:bookmarkStart w:id="4" w:name="page19"/>
      <w:bookmarkEnd w:id="4"/>
    </w:p>
    <w:p w:rsidR="00D24E61" w:rsidRPr="00771368" w:rsidRDefault="00D24E61">
      <w:pPr>
        <w:ind w:left="3680"/>
        <w:rPr>
          <w:sz w:val="20"/>
          <w:szCs w:val="20"/>
        </w:rPr>
      </w:pPr>
      <w:r w:rsidRPr="00771368">
        <w:rPr>
          <w:b/>
          <w:bCs/>
          <w:sz w:val="24"/>
          <w:szCs w:val="24"/>
        </w:rPr>
        <w:t>CONSIDERAÇÕES FINAIS</w:t>
      </w:r>
    </w:p>
    <w:p w:rsidR="00D24E61" w:rsidRPr="00771368" w:rsidRDefault="00D24E61">
      <w:pPr>
        <w:spacing w:line="218" w:lineRule="exact"/>
        <w:rPr>
          <w:sz w:val="20"/>
          <w:szCs w:val="20"/>
        </w:rPr>
      </w:pPr>
    </w:p>
    <w:p w:rsidR="00D24E61" w:rsidRPr="00771368" w:rsidRDefault="00D24E61" w:rsidP="00A01226">
      <w:pPr>
        <w:spacing w:line="310" w:lineRule="auto"/>
        <w:ind w:firstLine="708"/>
        <w:jc w:val="both"/>
        <w:rPr>
          <w:sz w:val="20"/>
          <w:szCs w:val="20"/>
        </w:rPr>
      </w:pPr>
      <w:r w:rsidRPr="00771368">
        <w:rPr>
          <w:sz w:val="24"/>
          <w:szCs w:val="24"/>
        </w:rPr>
        <w:t>O trabalho deixa bem claro nas discussões que homens e mulheres ainda na nossa sociedade têm tratamentos e valores diferentes.</w:t>
      </w:r>
    </w:p>
    <w:p w:rsidR="00D24E61" w:rsidRPr="00771368" w:rsidRDefault="00D24E61" w:rsidP="00A01226">
      <w:pPr>
        <w:spacing w:line="115" w:lineRule="exact"/>
        <w:jc w:val="both"/>
        <w:rPr>
          <w:sz w:val="20"/>
          <w:szCs w:val="20"/>
        </w:rPr>
      </w:pPr>
    </w:p>
    <w:p w:rsidR="00D24E61" w:rsidRPr="00771368" w:rsidRDefault="00D24E61" w:rsidP="00A01226">
      <w:pPr>
        <w:spacing w:line="334" w:lineRule="auto"/>
        <w:ind w:firstLine="708"/>
        <w:jc w:val="both"/>
        <w:rPr>
          <w:sz w:val="20"/>
          <w:szCs w:val="20"/>
        </w:rPr>
      </w:pPr>
      <w:r w:rsidRPr="00771368">
        <w:rPr>
          <w:sz w:val="24"/>
          <w:szCs w:val="24"/>
        </w:rPr>
        <w:t>A mulher carrega um grande fardo nas costas, a progenitora coroada de pureza, candura e amor, um ser inviolável e quando passam a ter o mesmo comportamento do homem são caracterizadas de forma vulgar, ousada marginalizada pela sociedade.</w:t>
      </w:r>
    </w:p>
    <w:p w:rsidR="00D24E61" w:rsidRPr="00771368" w:rsidRDefault="00D24E61" w:rsidP="00A01226">
      <w:pPr>
        <w:spacing w:line="92" w:lineRule="exact"/>
        <w:jc w:val="both"/>
        <w:rPr>
          <w:sz w:val="20"/>
          <w:szCs w:val="20"/>
        </w:rPr>
      </w:pPr>
    </w:p>
    <w:p w:rsidR="00D24E61" w:rsidRPr="00771368" w:rsidRDefault="00D24E61" w:rsidP="00A01226">
      <w:pPr>
        <w:spacing w:line="353" w:lineRule="auto"/>
        <w:ind w:firstLine="708"/>
        <w:jc w:val="both"/>
        <w:rPr>
          <w:sz w:val="20"/>
          <w:szCs w:val="20"/>
        </w:rPr>
      </w:pPr>
      <w:r w:rsidRPr="00771368">
        <w:rPr>
          <w:sz w:val="24"/>
          <w:szCs w:val="24"/>
        </w:rPr>
        <w:t>Embora com os grandes avanços conquistados pela mulher ela ainda fica à sombra dos homens fadadas a uma imagem de submissão ao machismo imposto pela sociedade. Parte-se do princípio que desde meados da ocupação do nosso país pela metrópole portuguesa, nossa sociedade foi erigida nos moldes do colonizador o que deu às nossas grandes cidades atuais um ar de autoritarismo que por vezes é mostrado às claras através de exemplos como os “obeliscos”, que são naturalmente monumentos fálicos que exprimem o poder “ masculino” se sobrepondo ao feminino ante a construção do mundo “civilizado”. Haja vista que, o “menino” é moldado desde cedo pela criação materna, nota-se a princípio uma certa “culpabilidade” dessa criação, que foi e ainda é permeada de princípios machistas, cabendo à menina o papel secundário de dar suporte ao</w:t>
      </w:r>
    </w:p>
    <w:p w:rsidR="00D24E61" w:rsidRPr="00771368" w:rsidRDefault="00D24E61" w:rsidP="00A01226">
      <w:pPr>
        <w:spacing w:line="72" w:lineRule="exact"/>
        <w:jc w:val="both"/>
        <w:rPr>
          <w:sz w:val="20"/>
          <w:szCs w:val="20"/>
        </w:rPr>
      </w:pPr>
    </w:p>
    <w:p w:rsidR="00D24E61" w:rsidRPr="00771368" w:rsidRDefault="00D24E61" w:rsidP="00A01226">
      <w:pPr>
        <w:spacing w:line="308" w:lineRule="auto"/>
        <w:ind w:right="20"/>
        <w:jc w:val="both"/>
        <w:rPr>
          <w:sz w:val="20"/>
          <w:szCs w:val="20"/>
        </w:rPr>
      </w:pPr>
      <w:r w:rsidRPr="00771368">
        <w:rPr>
          <w:sz w:val="24"/>
          <w:szCs w:val="24"/>
        </w:rPr>
        <w:t>“bilhantismo” do gênero masculino na construção do mundo civilizado e como principal mentor do lar.</w:t>
      </w:r>
    </w:p>
    <w:p w:rsidR="00D24E61" w:rsidRPr="00771368" w:rsidRDefault="00D24E61" w:rsidP="00A01226">
      <w:pPr>
        <w:spacing w:line="120" w:lineRule="exact"/>
        <w:jc w:val="both"/>
        <w:rPr>
          <w:sz w:val="20"/>
          <w:szCs w:val="20"/>
        </w:rPr>
      </w:pPr>
    </w:p>
    <w:p w:rsidR="00D24E61" w:rsidRPr="00771368" w:rsidRDefault="00D24E61" w:rsidP="00A01226">
      <w:pPr>
        <w:spacing w:line="342" w:lineRule="auto"/>
        <w:ind w:firstLine="708"/>
        <w:jc w:val="both"/>
        <w:rPr>
          <w:sz w:val="20"/>
          <w:szCs w:val="20"/>
        </w:rPr>
      </w:pPr>
      <w:r w:rsidRPr="00771368">
        <w:rPr>
          <w:sz w:val="24"/>
          <w:szCs w:val="24"/>
        </w:rPr>
        <w:t>À escola e à educação atual cabe a necessidade de expor essas características e de levar à discussão essa problemática dado que as características da educação que se diz livre do tradicionalismo pedagógico passado, ainda tem como premissa a errada ideia de que o homem ainda tem prioridade no todo que compõe a sociedade.</w:t>
      </w:r>
    </w:p>
    <w:p w:rsidR="00D24E61" w:rsidRPr="00771368" w:rsidRDefault="00D24E61" w:rsidP="00A01226">
      <w:pPr>
        <w:spacing w:line="84" w:lineRule="exact"/>
        <w:jc w:val="both"/>
        <w:rPr>
          <w:sz w:val="20"/>
          <w:szCs w:val="20"/>
        </w:rPr>
      </w:pPr>
    </w:p>
    <w:p w:rsidR="00D24E61" w:rsidRPr="00771368" w:rsidRDefault="00D24E61" w:rsidP="00A01226">
      <w:pPr>
        <w:spacing w:line="342" w:lineRule="auto"/>
        <w:ind w:firstLine="708"/>
        <w:jc w:val="both"/>
        <w:rPr>
          <w:sz w:val="20"/>
          <w:szCs w:val="20"/>
        </w:rPr>
      </w:pPr>
      <w:r w:rsidRPr="00771368">
        <w:rPr>
          <w:sz w:val="24"/>
          <w:szCs w:val="24"/>
        </w:rPr>
        <w:t>Durante o trabalho de desenvolvimento das atividades na escola e entre os alunos, percebemos que o discurso gira em torno da “batida” da música que é “maior legal”, sendo que as letras são cantadas e soletradas sem a menor preocupação com a discriminação e com a banalização do sexo e mais ainda dos “atos sexuais”.</w:t>
      </w:r>
    </w:p>
    <w:p w:rsidR="00D24E61" w:rsidRPr="00771368" w:rsidRDefault="00D24E61" w:rsidP="00A01226">
      <w:pPr>
        <w:spacing w:line="83" w:lineRule="exact"/>
        <w:jc w:val="both"/>
        <w:rPr>
          <w:sz w:val="20"/>
          <w:szCs w:val="20"/>
        </w:rPr>
      </w:pPr>
    </w:p>
    <w:p w:rsidR="00D24E61" w:rsidRPr="00771368" w:rsidRDefault="00D24E61" w:rsidP="00A01226">
      <w:pPr>
        <w:spacing w:line="347" w:lineRule="auto"/>
        <w:ind w:firstLine="708"/>
        <w:jc w:val="both"/>
        <w:rPr>
          <w:sz w:val="20"/>
          <w:szCs w:val="20"/>
        </w:rPr>
      </w:pPr>
      <w:r w:rsidRPr="00771368">
        <w:rPr>
          <w:sz w:val="24"/>
          <w:szCs w:val="24"/>
        </w:rPr>
        <w:t>Embora tais características ficassem evidentes no processo do desenvolvimento da pesquisa, achamos alguns discursos contrários ao gosto musical vigente no qual, algumas alunas expressaram-se contra o modelo de cultura (música, danças etc.) difundidos pelas rádios locais e pelos clubes dos bairros. Tal fato, mostra mais uma vez que a opinião da maioria precisa ser contestada, visto que, é assim que se amadurece uma nação que se diz democrática.</w:t>
      </w:r>
    </w:p>
    <w:p w:rsidR="00D24E61" w:rsidRPr="00771368" w:rsidRDefault="00D24E61"/>
    <w:p w:rsidR="00D24E61" w:rsidRPr="00771368" w:rsidRDefault="00D24E61">
      <w:pPr>
        <w:spacing w:line="259" w:lineRule="exact"/>
        <w:rPr>
          <w:sz w:val="20"/>
          <w:szCs w:val="20"/>
        </w:rPr>
      </w:pPr>
      <w:bookmarkStart w:id="5" w:name="page20"/>
      <w:bookmarkEnd w:id="5"/>
    </w:p>
    <w:p w:rsidR="00D24E61" w:rsidRPr="00771368" w:rsidRDefault="00D24E61">
      <w:pPr>
        <w:ind w:left="3000"/>
        <w:rPr>
          <w:sz w:val="20"/>
          <w:szCs w:val="20"/>
        </w:rPr>
      </w:pPr>
      <w:r w:rsidRPr="00771368">
        <w:rPr>
          <w:b/>
          <w:bCs/>
          <w:sz w:val="24"/>
          <w:szCs w:val="24"/>
        </w:rPr>
        <w:t>REFERENCIA BIBLIOGRÁFICA</w:t>
      </w:r>
    </w:p>
    <w:p w:rsidR="00D24E61" w:rsidRPr="00771368" w:rsidRDefault="00D24E61">
      <w:pPr>
        <w:spacing w:line="200" w:lineRule="exact"/>
        <w:rPr>
          <w:sz w:val="20"/>
          <w:szCs w:val="20"/>
        </w:rPr>
      </w:pPr>
    </w:p>
    <w:p w:rsidR="00D24E61" w:rsidRPr="00771368" w:rsidRDefault="00D24E61">
      <w:pPr>
        <w:rPr>
          <w:sz w:val="20"/>
          <w:szCs w:val="20"/>
        </w:rPr>
      </w:pPr>
      <w:r w:rsidRPr="00771368">
        <w:rPr>
          <w:b/>
          <w:bCs/>
          <w:sz w:val="24"/>
          <w:szCs w:val="24"/>
        </w:rPr>
        <w:t xml:space="preserve">AOUAD, D- QUE HISTÓRIA É ESSA? </w:t>
      </w:r>
      <w:r w:rsidRPr="00771368">
        <w:rPr>
          <w:sz w:val="24"/>
          <w:szCs w:val="24"/>
        </w:rPr>
        <w:t>Editora DP&amp;A. Rio de Janeiro/Brasil.2003.</w:t>
      </w:r>
    </w:p>
    <w:p w:rsidR="00D24E61" w:rsidRPr="00771368" w:rsidRDefault="00D24E61">
      <w:pPr>
        <w:spacing w:line="349" w:lineRule="exact"/>
        <w:rPr>
          <w:sz w:val="20"/>
          <w:szCs w:val="20"/>
        </w:rPr>
      </w:pPr>
    </w:p>
    <w:p w:rsidR="00D24E61" w:rsidRPr="00771368" w:rsidRDefault="00D24E61">
      <w:pPr>
        <w:spacing w:line="334" w:lineRule="auto"/>
        <w:ind w:right="100"/>
        <w:rPr>
          <w:sz w:val="20"/>
          <w:szCs w:val="20"/>
        </w:rPr>
      </w:pPr>
      <w:r w:rsidRPr="00771368">
        <w:rPr>
          <w:b/>
          <w:bCs/>
          <w:sz w:val="24"/>
          <w:szCs w:val="24"/>
        </w:rPr>
        <w:t>CABRAL, FRANCISCO; DÍAZ, MARGARITA</w:t>
      </w:r>
      <w:r w:rsidRPr="00771368">
        <w:rPr>
          <w:sz w:val="24"/>
          <w:szCs w:val="24"/>
        </w:rPr>
        <w:t>- Relações de gênero.</w:t>
      </w:r>
      <w:r w:rsidRPr="00771368">
        <w:rPr>
          <w:b/>
          <w:bCs/>
          <w:sz w:val="24"/>
          <w:szCs w:val="24"/>
        </w:rPr>
        <w:t xml:space="preserve"> Cadernos afetividade e sexualidade na educação: um novo olhar. </w:t>
      </w:r>
      <w:r w:rsidRPr="00771368">
        <w:rPr>
          <w:sz w:val="24"/>
          <w:szCs w:val="24"/>
        </w:rPr>
        <w:t>Secretaria Municipal de Educação de Belo Horizonte;</w:t>
      </w:r>
      <w:r w:rsidRPr="00771368">
        <w:rPr>
          <w:b/>
          <w:bCs/>
          <w:sz w:val="24"/>
          <w:szCs w:val="24"/>
        </w:rPr>
        <w:t xml:space="preserve"> </w:t>
      </w:r>
      <w:r w:rsidRPr="00771368">
        <w:rPr>
          <w:sz w:val="24"/>
          <w:szCs w:val="24"/>
        </w:rPr>
        <w:t>Fundação Odebrecht. Belo Horizonte: Gráfica Editora Rona Ltda. p. 142-150, 1999.</w:t>
      </w:r>
    </w:p>
    <w:p w:rsidR="00D24E61" w:rsidRPr="00771368" w:rsidRDefault="00D24E61">
      <w:pPr>
        <w:spacing w:line="397" w:lineRule="exact"/>
        <w:rPr>
          <w:sz w:val="20"/>
          <w:szCs w:val="20"/>
        </w:rPr>
      </w:pPr>
    </w:p>
    <w:p w:rsidR="00D24E61" w:rsidRPr="00771368" w:rsidRDefault="00D24E61">
      <w:pPr>
        <w:rPr>
          <w:sz w:val="20"/>
          <w:szCs w:val="20"/>
        </w:rPr>
      </w:pPr>
      <w:r w:rsidRPr="00771368">
        <w:rPr>
          <w:b/>
          <w:bCs/>
          <w:sz w:val="24"/>
          <w:szCs w:val="24"/>
        </w:rPr>
        <w:t xml:space="preserve">HIRATA, HELENA- Reestruturaçao produtiva, trabalho e relaçoes de genero, p.5-27. </w:t>
      </w:r>
      <w:r w:rsidRPr="00771368">
        <w:rPr>
          <w:sz w:val="24"/>
          <w:szCs w:val="24"/>
        </w:rPr>
        <w:t>Revista</w:t>
      </w:r>
    </w:p>
    <w:p w:rsidR="00D24E61" w:rsidRPr="00771368" w:rsidRDefault="00D24E61">
      <w:pPr>
        <w:spacing w:line="195" w:lineRule="exact"/>
        <w:rPr>
          <w:sz w:val="20"/>
          <w:szCs w:val="20"/>
        </w:rPr>
      </w:pPr>
    </w:p>
    <w:p w:rsidR="00D24E61" w:rsidRPr="00771368" w:rsidRDefault="00D24E61">
      <w:pPr>
        <w:spacing w:line="310" w:lineRule="auto"/>
        <w:jc w:val="both"/>
        <w:rPr>
          <w:sz w:val="20"/>
          <w:szCs w:val="20"/>
        </w:rPr>
      </w:pPr>
      <w:r w:rsidRPr="00771368">
        <w:rPr>
          <w:sz w:val="24"/>
          <w:szCs w:val="24"/>
        </w:rPr>
        <w:t>Latinoamericana de Estudios del Trabajo - nro. 7 - año 4. México, D.F.; Asociación Latinoamericana de Sociología del Trabajo, 1998.</w:t>
      </w:r>
    </w:p>
    <w:p w:rsidR="00D24E61" w:rsidRPr="00771368" w:rsidRDefault="00D24E61">
      <w:pPr>
        <w:spacing w:line="200" w:lineRule="exact"/>
        <w:rPr>
          <w:sz w:val="20"/>
          <w:szCs w:val="20"/>
        </w:rPr>
      </w:pPr>
    </w:p>
    <w:p w:rsidR="00D24E61" w:rsidRPr="00771368" w:rsidRDefault="00D24E61">
      <w:pPr>
        <w:spacing w:line="343" w:lineRule="exact"/>
        <w:rPr>
          <w:sz w:val="20"/>
          <w:szCs w:val="20"/>
        </w:rPr>
      </w:pPr>
    </w:p>
    <w:p w:rsidR="00D24E61" w:rsidRPr="00E3248A" w:rsidRDefault="00D24E61">
      <w:pPr>
        <w:spacing w:line="310" w:lineRule="auto"/>
        <w:jc w:val="both"/>
        <w:rPr>
          <w:sz w:val="24"/>
          <w:szCs w:val="24"/>
          <w:lang w:val="en-US"/>
        </w:rPr>
      </w:pPr>
      <w:r w:rsidRPr="00771368">
        <w:rPr>
          <w:b/>
          <w:bCs/>
          <w:sz w:val="24"/>
          <w:szCs w:val="24"/>
        </w:rPr>
        <w:t>JANOTTI, JADER. JR</w:t>
      </w:r>
      <w:r w:rsidRPr="00771368">
        <w:rPr>
          <w:i/>
          <w:iCs/>
          <w:sz w:val="24"/>
          <w:szCs w:val="24"/>
        </w:rPr>
        <w:t>.</w:t>
      </w:r>
      <w:r w:rsidRPr="00771368">
        <w:rPr>
          <w:b/>
          <w:bCs/>
          <w:sz w:val="24"/>
          <w:szCs w:val="24"/>
        </w:rPr>
        <w:t xml:space="preserve"> </w:t>
      </w:r>
      <w:r w:rsidRPr="00771368">
        <w:rPr>
          <w:sz w:val="24"/>
          <w:szCs w:val="24"/>
        </w:rPr>
        <w:t>À procura da batida perfeita: a importância do gênero musical para a</w:t>
      </w:r>
      <w:r w:rsidRPr="00771368">
        <w:rPr>
          <w:b/>
          <w:bCs/>
          <w:sz w:val="24"/>
          <w:szCs w:val="24"/>
        </w:rPr>
        <w:t xml:space="preserve"> </w:t>
      </w:r>
      <w:r w:rsidRPr="00771368">
        <w:rPr>
          <w:sz w:val="24"/>
          <w:szCs w:val="24"/>
        </w:rPr>
        <w:t xml:space="preserve">análise da música popular massiva. </w:t>
      </w:r>
      <w:r w:rsidRPr="00E3248A">
        <w:rPr>
          <w:sz w:val="24"/>
          <w:szCs w:val="24"/>
          <w:lang w:val="en-US"/>
        </w:rPr>
        <w:t xml:space="preserve">Fonte: </w:t>
      </w:r>
      <w:hyperlink r:id="rId18">
        <w:r w:rsidRPr="00E3248A">
          <w:rPr>
            <w:color w:val="0000FF"/>
            <w:sz w:val="24"/>
            <w:szCs w:val="24"/>
            <w:u w:val="single"/>
            <w:lang w:val="en-US"/>
          </w:rPr>
          <w:t>http://www.pos.eco.ufrj.br/ojs</w:t>
        </w:r>
      </w:hyperlink>
    </w:p>
    <w:p w:rsidR="00D24E61" w:rsidRPr="00E3248A" w:rsidRDefault="00D24E61">
      <w:pPr>
        <w:spacing w:line="200" w:lineRule="exact"/>
        <w:rPr>
          <w:sz w:val="20"/>
          <w:szCs w:val="20"/>
          <w:lang w:val="en-US"/>
        </w:rPr>
      </w:pPr>
    </w:p>
    <w:p w:rsidR="00D24E61" w:rsidRPr="00771368" w:rsidRDefault="00D24E61">
      <w:pPr>
        <w:spacing w:line="333" w:lineRule="auto"/>
        <w:jc w:val="both"/>
        <w:rPr>
          <w:sz w:val="20"/>
          <w:szCs w:val="20"/>
        </w:rPr>
      </w:pPr>
      <w:r w:rsidRPr="00E3248A">
        <w:rPr>
          <w:b/>
          <w:bCs/>
          <w:sz w:val="24"/>
          <w:szCs w:val="24"/>
          <w:lang w:val="en-US"/>
        </w:rPr>
        <w:t xml:space="preserve">SCOTT, JOAN </w:t>
      </w:r>
      <w:r w:rsidRPr="00E3248A">
        <w:rPr>
          <w:sz w:val="24"/>
          <w:szCs w:val="24"/>
          <w:lang w:val="en-US"/>
        </w:rPr>
        <w:t>-</w:t>
      </w:r>
      <w:r w:rsidRPr="00E3248A">
        <w:rPr>
          <w:b/>
          <w:bCs/>
          <w:sz w:val="24"/>
          <w:szCs w:val="24"/>
          <w:lang w:val="en-US"/>
        </w:rPr>
        <w:t xml:space="preserve"> GÊNERO: UMA CATEGORIA ÚTIL PARA ANÁLISE HISTÓRICA- </w:t>
      </w:r>
      <w:r w:rsidRPr="00E3248A">
        <w:rPr>
          <w:sz w:val="24"/>
          <w:szCs w:val="24"/>
          <w:lang w:val="en-US"/>
        </w:rPr>
        <w:t>Joan</w:t>
      </w:r>
      <w:r w:rsidRPr="00E3248A">
        <w:rPr>
          <w:b/>
          <w:bCs/>
          <w:sz w:val="24"/>
          <w:szCs w:val="24"/>
          <w:lang w:val="en-US"/>
        </w:rPr>
        <w:t xml:space="preserve"> </w:t>
      </w:r>
      <w:r w:rsidRPr="00E3248A">
        <w:rPr>
          <w:sz w:val="24"/>
          <w:szCs w:val="24"/>
          <w:lang w:val="en-US"/>
        </w:rPr>
        <w:t xml:space="preserve">Scott – Gender: a useful category of historical analyses.Gender and the politics of history. </w:t>
      </w:r>
      <w:r w:rsidRPr="00771368">
        <w:rPr>
          <w:sz w:val="24"/>
          <w:szCs w:val="24"/>
        </w:rPr>
        <w:t>New York, Columbia University Press. 1989.</w:t>
      </w:r>
    </w:p>
    <w:p w:rsidR="00D24E61" w:rsidRPr="00771368" w:rsidRDefault="00D24E61">
      <w:pPr>
        <w:spacing w:line="259" w:lineRule="exact"/>
        <w:rPr>
          <w:sz w:val="24"/>
          <w:szCs w:val="24"/>
        </w:rPr>
      </w:pPr>
    </w:p>
    <w:p w:rsidR="00A01226" w:rsidRPr="00771368" w:rsidRDefault="00A01226">
      <w:pPr>
        <w:rPr>
          <w:b/>
          <w:bCs/>
          <w:sz w:val="24"/>
          <w:szCs w:val="24"/>
        </w:rPr>
      </w:pPr>
      <w:r w:rsidRPr="00771368">
        <w:rPr>
          <w:b/>
          <w:bCs/>
          <w:sz w:val="24"/>
          <w:szCs w:val="24"/>
        </w:rPr>
        <w:br w:type="page"/>
      </w:r>
    </w:p>
    <w:p w:rsidR="00D24E61" w:rsidRPr="00771368" w:rsidRDefault="00D24E61">
      <w:pPr>
        <w:ind w:left="480"/>
        <w:rPr>
          <w:sz w:val="20"/>
          <w:szCs w:val="20"/>
        </w:rPr>
      </w:pPr>
      <w:r w:rsidRPr="00771368">
        <w:rPr>
          <w:b/>
          <w:bCs/>
          <w:sz w:val="24"/>
          <w:szCs w:val="24"/>
        </w:rPr>
        <w:t>GÊNERO E RENDIMENTO ESCOLAR: UMA ANÁLISE DA TRAJETÓRIA</w:t>
      </w:r>
    </w:p>
    <w:p w:rsidR="00D24E61" w:rsidRPr="00771368" w:rsidRDefault="00D24E61">
      <w:pPr>
        <w:spacing w:line="137" w:lineRule="exact"/>
        <w:rPr>
          <w:sz w:val="24"/>
          <w:szCs w:val="24"/>
        </w:rPr>
      </w:pPr>
    </w:p>
    <w:p w:rsidR="00D24E61" w:rsidRPr="00771368" w:rsidRDefault="00D24E61">
      <w:pPr>
        <w:ind w:left="2420"/>
        <w:rPr>
          <w:sz w:val="20"/>
          <w:szCs w:val="20"/>
        </w:rPr>
      </w:pPr>
      <w:r w:rsidRPr="00771368">
        <w:rPr>
          <w:b/>
          <w:bCs/>
          <w:sz w:val="24"/>
          <w:szCs w:val="24"/>
        </w:rPr>
        <w:t>ESCOLAR DE MENINOS E MENINAS.</w:t>
      </w:r>
    </w:p>
    <w:p w:rsidR="00D24E61" w:rsidRPr="00771368" w:rsidRDefault="00D24E61">
      <w:pPr>
        <w:spacing w:line="200" w:lineRule="exact"/>
        <w:rPr>
          <w:sz w:val="24"/>
          <w:szCs w:val="24"/>
        </w:rPr>
      </w:pPr>
    </w:p>
    <w:p w:rsidR="00D24E61" w:rsidRPr="00771368" w:rsidRDefault="00D24E61">
      <w:pPr>
        <w:spacing w:line="352" w:lineRule="exact"/>
        <w:rPr>
          <w:sz w:val="24"/>
          <w:szCs w:val="24"/>
        </w:rPr>
      </w:pPr>
    </w:p>
    <w:p w:rsidR="00D24E61" w:rsidRPr="00E3248A" w:rsidRDefault="00D24E61">
      <w:pPr>
        <w:ind w:left="160"/>
        <w:rPr>
          <w:sz w:val="20"/>
          <w:szCs w:val="20"/>
          <w:lang w:val="en-US"/>
        </w:rPr>
      </w:pPr>
      <w:r w:rsidRPr="00E3248A">
        <w:rPr>
          <w:b/>
          <w:bCs/>
          <w:sz w:val="24"/>
          <w:szCs w:val="24"/>
          <w:lang w:val="en-US"/>
        </w:rPr>
        <w:t>GENDER AND SCHOOL PERFORMANCE: AN ANALYSIS THE TRAJECTORY</w:t>
      </w:r>
    </w:p>
    <w:p w:rsidR="00D24E61" w:rsidRPr="00E3248A" w:rsidRDefault="00D24E61">
      <w:pPr>
        <w:spacing w:line="139" w:lineRule="exact"/>
        <w:rPr>
          <w:sz w:val="24"/>
          <w:szCs w:val="24"/>
          <w:lang w:val="en-US"/>
        </w:rPr>
      </w:pPr>
    </w:p>
    <w:p w:rsidR="00D24E61" w:rsidRPr="00E3248A" w:rsidRDefault="00D24E61">
      <w:pPr>
        <w:ind w:left="3300"/>
        <w:rPr>
          <w:sz w:val="20"/>
          <w:szCs w:val="20"/>
          <w:lang w:val="en-US"/>
        </w:rPr>
      </w:pPr>
      <w:r w:rsidRPr="00E3248A">
        <w:rPr>
          <w:b/>
          <w:bCs/>
          <w:sz w:val="24"/>
          <w:szCs w:val="24"/>
          <w:lang w:val="en-US"/>
        </w:rPr>
        <w:t>OF BOYS AND GIRLS.</w:t>
      </w:r>
    </w:p>
    <w:p w:rsidR="00D24E61" w:rsidRPr="00E3248A" w:rsidRDefault="00D24E61">
      <w:pPr>
        <w:spacing w:line="200" w:lineRule="exact"/>
        <w:rPr>
          <w:sz w:val="24"/>
          <w:szCs w:val="24"/>
          <w:lang w:val="en-US"/>
        </w:rPr>
      </w:pPr>
    </w:p>
    <w:p w:rsidR="00D24E61" w:rsidRPr="00E3248A" w:rsidRDefault="00D24E61">
      <w:pPr>
        <w:spacing w:line="232" w:lineRule="exact"/>
        <w:rPr>
          <w:sz w:val="24"/>
          <w:szCs w:val="24"/>
          <w:lang w:val="en-US"/>
        </w:rPr>
      </w:pPr>
    </w:p>
    <w:p w:rsidR="00D24E61" w:rsidRPr="00E3248A" w:rsidRDefault="00D24E61" w:rsidP="001C5E1D">
      <w:pPr>
        <w:pStyle w:val="Ttulo1"/>
        <w:rPr>
          <w:sz w:val="20"/>
          <w:szCs w:val="20"/>
          <w:lang w:val="en-US"/>
        </w:rPr>
      </w:pPr>
      <w:bookmarkStart w:id="6" w:name="_Toc442034720"/>
      <w:r w:rsidRPr="00E3248A">
        <w:rPr>
          <w:lang w:val="en-US"/>
        </w:rPr>
        <w:t>Anne Kariny Lemos Rocha</w:t>
      </w:r>
      <w:r w:rsidRPr="00E3248A">
        <w:rPr>
          <w:sz w:val="32"/>
          <w:szCs w:val="32"/>
          <w:vertAlign w:val="superscript"/>
          <w:lang w:val="en-US"/>
        </w:rPr>
        <w:t>1</w:t>
      </w:r>
      <w:bookmarkEnd w:id="6"/>
    </w:p>
    <w:p w:rsidR="00D24E61" w:rsidRPr="00E3248A" w:rsidRDefault="00D24E61">
      <w:pPr>
        <w:spacing w:line="7" w:lineRule="exact"/>
        <w:rPr>
          <w:sz w:val="24"/>
          <w:szCs w:val="24"/>
          <w:lang w:val="en-US"/>
        </w:rPr>
      </w:pPr>
    </w:p>
    <w:p w:rsidR="00D24E61" w:rsidRPr="00771368" w:rsidRDefault="00D24E61">
      <w:pPr>
        <w:jc w:val="right"/>
        <w:rPr>
          <w:sz w:val="20"/>
          <w:szCs w:val="20"/>
        </w:rPr>
      </w:pPr>
      <w:r w:rsidRPr="00771368">
        <w:rPr>
          <w:sz w:val="24"/>
          <w:szCs w:val="24"/>
        </w:rPr>
        <w:t>Ana Claudia Bortolozzi Maia</w:t>
      </w:r>
      <w:r w:rsidRPr="00771368">
        <w:rPr>
          <w:sz w:val="32"/>
          <w:szCs w:val="32"/>
          <w:vertAlign w:val="superscript"/>
        </w:rPr>
        <w:t>2</w:t>
      </w:r>
    </w:p>
    <w:p w:rsidR="00D24E61" w:rsidRPr="00771368" w:rsidRDefault="00D24E61">
      <w:pPr>
        <w:spacing w:line="340" w:lineRule="exact"/>
        <w:rPr>
          <w:sz w:val="24"/>
          <w:szCs w:val="24"/>
        </w:rPr>
      </w:pPr>
    </w:p>
    <w:p w:rsidR="00D24E61" w:rsidRPr="00771368" w:rsidRDefault="00D24E61">
      <w:pPr>
        <w:rPr>
          <w:sz w:val="20"/>
          <w:szCs w:val="20"/>
        </w:rPr>
      </w:pPr>
      <w:r w:rsidRPr="00771368">
        <w:rPr>
          <w:b/>
          <w:bCs/>
          <w:sz w:val="24"/>
          <w:szCs w:val="24"/>
        </w:rPr>
        <w:t>RESUMO</w:t>
      </w:r>
    </w:p>
    <w:p w:rsidR="00D24E61" w:rsidRPr="00771368" w:rsidRDefault="00D24E61">
      <w:pPr>
        <w:spacing w:line="329" w:lineRule="exact"/>
        <w:rPr>
          <w:sz w:val="24"/>
          <w:szCs w:val="24"/>
        </w:rPr>
      </w:pPr>
    </w:p>
    <w:p w:rsidR="00D24E61" w:rsidRPr="00771368" w:rsidRDefault="00D24E61">
      <w:pPr>
        <w:spacing w:line="238" w:lineRule="auto"/>
        <w:jc w:val="both"/>
        <w:rPr>
          <w:sz w:val="20"/>
          <w:szCs w:val="20"/>
        </w:rPr>
      </w:pPr>
      <w:r w:rsidRPr="00771368">
        <w:rPr>
          <w:sz w:val="24"/>
          <w:szCs w:val="24"/>
        </w:rPr>
        <w:t>A escola, além da família, se constitui num dos mais importantes locais de socialização, apropriação da cultura e construção das formas de agir, pensar e falar característicos de cada gênero. Embora a escola se fundamente nos princípios de liberdade e igualdade, percebe-se que, ao invés disso, ela tem colaborado na reprodução de estereótipos, exercendo influencia decisiva na construção social das características de cada gênero tal qual conhecemos. No presente trabalho lançaremos mão do conceito de habitus, desenvolvido pelo sociólogo estruturalista francês Pierre Boudieu, com objetivo de: (1) entender a influência das diferenças de gênero com relação ao fracasso escolar; (2) demonstrar através de dados empíricos, que na atualidade, as diferenças de gênero ainda repercutem negativamente na aprendizagem, essencialmente dos meninos; (3) discutir a importância da escola na desconstrução da naturalização existente com relação à desigualdade entre os gêneros. Para tanto, esta pesquisa, quanti-qualitativa, tipo descritiva, se compõe da análise das notas obtidas nas avaliações de língua portuguesa e matemática, no primeiro semestre do presente ano letivo, de uma amostra aleatória de alunos da escola pública de uma cidade do interior de São Paulo. Foram analisados alguns documentos institucionais e compiladas as notas bimestrais de todos os alunos da oitava série/nono ano do ensino fundamental, com faixa etária entre quatorze e dezesseis anos, sendo quarenta e sete alunos do gênero feminino e cinquenta e sete do gênero masculino, totalizando cento e quatro alunos. Os resultados apresentaram: (1) uma breve caracterização da comunidade escolar, na qual se concluiu que os alunos são provenientes de famílias de baixa renda; (2) a organização dos dados obtidos em tabelas e gráficos comparativos por bimestre, disciplina e gênero; (3) algumas evidências do fracasso escolar predominante no gênero masculino. Através destes resultados é possível inferir que a escola tem fracassado perante uma grande quantidade de jovens, sobretudo os do gênero masculino, verificando que o habitus incorporado pelos alunos influencia diretamente nas atitudes e decisões em sala de aula, que irão se traduzir nas notas que no presente estudo representam o sucesso ou fracasso escolar para cada gênero. Diante disso, verifica-se a importância da instituição escolar em refletir sobre suas formas de agir e ensinar, a fim de possibilitar condições de igualdade tanto para alunos provenientes de classes sociais distintas quanto na questão das diferenças de gênero.</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582976" behindDoc="0" locked="0" layoutInCell="0" allowOverlap="1">
                <wp:simplePos x="0" y="0"/>
                <wp:positionH relativeFrom="column">
                  <wp:posOffset>1270</wp:posOffset>
                </wp:positionH>
                <wp:positionV relativeFrom="paragraph">
                  <wp:posOffset>334010</wp:posOffset>
                </wp:positionV>
                <wp:extent cx="1828800" cy="0"/>
                <wp:effectExtent l="10795" t="10160" r="8255" b="8890"/>
                <wp:wrapNone/>
                <wp:docPr id="345"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 o:spid="_x0000_s1026" style="position:absolute;z-index:25158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6.3pt" to="144.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" o:allowincell="f" strokeweight=".72pt"/>
            </w:pict>
          </mc:Fallback>
        </mc:AlternateContent>
      </w:r>
    </w:p>
    <w:p w:rsidR="00D24E61" w:rsidRPr="00771368" w:rsidRDefault="00D24E61">
      <w:pPr>
        <w:spacing w:line="391" w:lineRule="exact"/>
        <w:rPr>
          <w:sz w:val="24"/>
          <w:szCs w:val="24"/>
        </w:rPr>
      </w:pPr>
    </w:p>
    <w:p w:rsidR="00D24E61" w:rsidRPr="00771368" w:rsidRDefault="00D24E61">
      <w:pPr>
        <w:rPr>
          <w:sz w:val="20"/>
          <w:szCs w:val="20"/>
        </w:rPr>
      </w:pPr>
      <w:r w:rsidRPr="00771368">
        <w:rPr>
          <w:sz w:val="25"/>
          <w:szCs w:val="25"/>
          <w:vertAlign w:val="superscript"/>
        </w:rPr>
        <w:t>1</w:t>
      </w:r>
      <w:r w:rsidRPr="00771368">
        <w:rPr>
          <w:sz w:val="20"/>
          <w:szCs w:val="20"/>
        </w:rPr>
        <w:t xml:space="preserve">  Unesp – Faculdade Ciências e Letras - Araraquara-SP, Programa de Pós-Graduação em Educação Sexual,</w:t>
      </w:r>
    </w:p>
    <w:p w:rsidR="00D24E61" w:rsidRPr="00771368" w:rsidRDefault="00D24E61">
      <w:pPr>
        <w:spacing w:line="30" w:lineRule="exact"/>
        <w:rPr>
          <w:sz w:val="24"/>
          <w:szCs w:val="24"/>
        </w:rPr>
      </w:pPr>
    </w:p>
    <w:p w:rsidR="00D24E61" w:rsidRPr="00771368" w:rsidRDefault="00D24E61">
      <w:pPr>
        <w:spacing w:line="214" w:lineRule="auto"/>
        <w:jc w:val="both"/>
        <w:rPr>
          <w:sz w:val="20"/>
          <w:szCs w:val="20"/>
        </w:rPr>
      </w:pPr>
      <w:r w:rsidRPr="00771368">
        <w:rPr>
          <w:sz w:val="20"/>
          <w:szCs w:val="20"/>
        </w:rPr>
        <w:t xml:space="preserve">Grupo de Estudo e Pesquisa “Sexualidade, Educação e Cultura”- GEPESEC, E-mail </w:t>
      </w:r>
      <w:hyperlink r:id="rId19">
        <w:r w:rsidRPr="00771368">
          <w:rPr>
            <w:sz w:val="20"/>
            <w:szCs w:val="20"/>
          </w:rPr>
          <w:t>kariny_rocha@yahoo.com.br</w:t>
        </w:r>
      </w:hyperlink>
    </w:p>
    <w:p w:rsidR="00D24E61" w:rsidRPr="00771368" w:rsidRDefault="00D24E61">
      <w:pPr>
        <w:spacing w:line="232" w:lineRule="exact"/>
        <w:rPr>
          <w:sz w:val="24"/>
          <w:szCs w:val="24"/>
        </w:rPr>
      </w:pPr>
    </w:p>
    <w:p w:rsidR="00D24E61" w:rsidRPr="00771368" w:rsidRDefault="00D24E61">
      <w:pPr>
        <w:rPr>
          <w:sz w:val="20"/>
          <w:szCs w:val="20"/>
        </w:rPr>
      </w:pPr>
      <w:r w:rsidRPr="00771368">
        <w:rPr>
          <w:sz w:val="25"/>
          <w:szCs w:val="25"/>
          <w:vertAlign w:val="superscript"/>
        </w:rPr>
        <w:t>2</w:t>
      </w:r>
      <w:r w:rsidRPr="00771368">
        <w:rPr>
          <w:sz w:val="20"/>
          <w:szCs w:val="20"/>
        </w:rPr>
        <w:t xml:space="preserve"> Idem 1.  E-mail: </w:t>
      </w:r>
      <w:hyperlink r:id="rId20">
        <w:r w:rsidRPr="00771368">
          <w:rPr>
            <w:sz w:val="20"/>
            <w:szCs w:val="20"/>
          </w:rPr>
          <w:t>aclaudia@fc.unesp.br</w:t>
        </w:r>
      </w:hyperlink>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252" w:lineRule="exact"/>
        <w:rPr>
          <w:sz w:val="20"/>
          <w:szCs w:val="20"/>
        </w:rPr>
      </w:pPr>
    </w:p>
    <w:p w:rsidR="00D24E61" w:rsidRPr="00771368" w:rsidRDefault="00D24E61">
      <w:pPr>
        <w:rPr>
          <w:sz w:val="20"/>
          <w:szCs w:val="20"/>
        </w:rPr>
      </w:pPr>
      <w:r w:rsidRPr="00771368">
        <w:rPr>
          <w:b/>
          <w:bCs/>
          <w:sz w:val="24"/>
          <w:szCs w:val="24"/>
        </w:rPr>
        <w:t xml:space="preserve">Palavras-chave: </w:t>
      </w:r>
      <w:r w:rsidRPr="00771368">
        <w:rPr>
          <w:sz w:val="24"/>
          <w:szCs w:val="24"/>
        </w:rPr>
        <w:t>Gênero, Rendimento Escolar, Fracasso Escolar, Habitus</w:t>
      </w:r>
    </w:p>
    <w:p w:rsidR="00D24E61" w:rsidRPr="00771368" w:rsidRDefault="00D24E61">
      <w:pPr>
        <w:spacing w:line="281" w:lineRule="exact"/>
        <w:rPr>
          <w:sz w:val="20"/>
          <w:szCs w:val="20"/>
        </w:rPr>
      </w:pPr>
    </w:p>
    <w:p w:rsidR="00D24E61" w:rsidRPr="00E3248A" w:rsidRDefault="00D24E61">
      <w:pPr>
        <w:rPr>
          <w:sz w:val="20"/>
          <w:szCs w:val="20"/>
          <w:lang w:val="en-US"/>
        </w:rPr>
      </w:pPr>
      <w:r w:rsidRPr="00E3248A">
        <w:rPr>
          <w:b/>
          <w:bCs/>
          <w:sz w:val="24"/>
          <w:szCs w:val="24"/>
          <w:lang w:val="en-US"/>
        </w:rPr>
        <w:t>ABSTRACT</w:t>
      </w:r>
    </w:p>
    <w:p w:rsidR="00D24E61" w:rsidRPr="00E3248A" w:rsidRDefault="00D24E61">
      <w:pPr>
        <w:spacing w:line="329" w:lineRule="exact"/>
        <w:rPr>
          <w:sz w:val="20"/>
          <w:szCs w:val="20"/>
          <w:lang w:val="en-US"/>
        </w:rPr>
      </w:pPr>
    </w:p>
    <w:p w:rsidR="00D24E61" w:rsidRPr="00E3248A" w:rsidRDefault="00D24E61">
      <w:pPr>
        <w:spacing w:line="238" w:lineRule="auto"/>
        <w:jc w:val="both"/>
        <w:rPr>
          <w:sz w:val="20"/>
          <w:szCs w:val="20"/>
          <w:lang w:val="en-US"/>
        </w:rPr>
      </w:pPr>
      <w:r w:rsidRPr="00E3248A">
        <w:rPr>
          <w:sz w:val="24"/>
          <w:szCs w:val="24"/>
          <w:lang w:val="en-US"/>
        </w:rPr>
        <w:t>The school, in addition to the family, constitutes one of the most important places of socialization, cultural appropriation and construction of ways of acting, thinking and speaking characteristic of each genre. Although the school is founded on principles of freedom and equality, it is clear that, instead, she has collaborated in the reproduction of stereotypes, exerting decisive influence on the social construction of the characteristics of each genre as it met. In this paper we will launch hand the concept of habitus, developed by the French sociologist Pierre Boudieu structuralist, in order to: (1) understand the influence of gender differences in relation to school failure, (2) demonstrate through empirical data, which currently , gender differences still negatively affect learning, mainly boys, (3) discuss the importance of the school in the deconstruction of the existing naturalization regarding gender inequality. Therefore, this research, quantitative and qualitative, descriptive, consists of the analysis of the marks obtained in the evaluations of the Portuguese language and mathematics in the first half of this school year, a random sample of public school students in an inner city São Paulo. Analyzed some institutional documents and notes compiled bimonthly all eighth graders / ninth year of primary school, aged between fourteen and sixteen, and forty-seven female students and fifty seven males, totaling one hundred and four students. The results showed: (1) a brief characterization of the school community, in which it concluded that the students are from low-income families, (2) the organization of data in tables and comparison charts for two months, discipline and gender; ( 3) some evidence of school failure predominate in males. Through these results we can infer that the school has failed before a lot of young people, especially males, verifying that the habitus built by students directly influences the attitudes and decisions in the classroom, which will be reflected in the notes to the This study represents the success or failure in school for each gender. Therefore, there is the importance of the school to reflect on their ways of acting and teaching, in order to allow equal conditions for both students from different social classes as the issue of gender differences.</w:t>
      </w:r>
    </w:p>
    <w:p w:rsidR="00D24E61" w:rsidRPr="00E3248A" w:rsidRDefault="00D24E61">
      <w:pPr>
        <w:spacing w:line="277" w:lineRule="exact"/>
        <w:rPr>
          <w:sz w:val="20"/>
          <w:szCs w:val="20"/>
          <w:lang w:val="en-US"/>
        </w:rPr>
      </w:pPr>
    </w:p>
    <w:p w:rsidR="00D24E61" w:rsidRPr="00E3248A" w:rsidRDefault="00D24E61">
      <w:pPr>
        <w:rPr>
          <w:sz w:val="20"/>
          <w:szCs w:val="20"/>
          <w:lang w:val="en-US"/>
        </w:rPr>
      </w:pPr>
      <w:r w:rsidRPr="00E3248A">
        <w:rPr>
          <w:b/>
          <w:bCs/>
          <w:sz w:val="24"/>
          <w:szCs w:val="24"/>
          <w:lang w:val="en-US"/>
        </w:rPr>
        <w:t xml:space="preserve">Key words: </w:t>
      </w:r>
      <w:r w:rsidRPr="00E3248A">
        <w:rPr>
          <w:sz w:val="24"/>
          <w:szCs w:val="24"/>
          <w:lang w:val="en-US"/>
        </w:rPr>
        <w:t>Gender, School Performance, School Failure, Habitus</w:t>
      </w:r>
    </w:p>
    <w:p w:rsidR="00D24E61" w:rsidRPr="00E3248A" w:rsidRDefault="00D24E61">
      <w:pPr>
        <w:spacing w:line="283" w:lineRule="exact"/>
        <w:rPr>
          <w:sz w:val="20"/>
          <w:szCs w:val="20"/>
          <w:lang w:val="en-US"/>
        </w:rPr>
      </w:pPr>
    </w:p>
    <w:p w:rsidR="00D24E61" w:rsidRPr="00771368" w:rsidRDefault="00D24E61">
      <w:pPr>
        <w:rPr>
          <w:sz w:val="20"/>
          <w:szCs w:val="20"/>
        </w:rPr>
      </w:pPr>
      <w:r w:rsidRPr="00771368">
        <w:rPr>
          <w:b/>
          <w:bCs/>
          <w:sz w:val="24"/>
          <w:szCs w:val="24"/>
        </w:rPr>
        <w:t>INTRODUÇÃO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rsidP="00A01226">
      <w:pPr>
        <w:spacing w:line="310" w:lineRule="auto"/>
        <w:ind w:firstLine="708"/>
        <w:jc w:val="both"/>
        <w:rPr>
          <w:sz w:val="20"/>
          <w:szCs w:val="20"/>
        </w:rPr>
      </w:pPr>
      <w:r w:rsidRPr="00771368">
        <w:rPr>
          <w:sz w:val="24"/>
          <w:szCs w:val="24"/>
        </w:rPr>
        <w:t>A escola, além da família, se constitui num dos mais importantes locais de socialização, apropriação da cultura e construção das formas de agir, pensar e falar</w:t>
      </w:r>
    </w:p>
    <w:p w:rsidR="00D24E61" w:rsidRPr="00771368" w:rsidRDefault="00D24E61" w:rsidP="00A01226">
      <w:pPr>
        <w:spacing w:line="57" w:lineRule="exact"/>
        <w:jc w:val="both"/>
        <w:rPr>
          <w:sz w:val="20"/>
          <w:szCs w:val="20"/>
        </w:rPr>
      </w:pPr>
    </w:p>
    <w:p w:rsidR="00D24E61" w:rsidRPr="00771368" w:rsidRDefault="00D24E61" w:rsidP="00A01226">
      <w:pPr>
        <w:jc w:val="both"/>
        <w:rPr>
          <w:sz w:val="20"/>
          <w:szCs w:val="20"/>
        </w:rPr>
      </w:pPr>
      <w:r w:rsidRPr="00771368">
        <w:rPr>
          <w:sz w:val="24"/>
          <w:szCs w:val="24"/>
        </w:rPr>
        <w:t>característicos de cada gênero. É uma instituição que possui um papel reconhecido, na qual a</w:t>
      </w:r>
    </w:p>
    <w:p w:rsidR="00D24E61" w:rsidRPr="00771368" w:rsidRDefault="00D24E61" w:rsidP="00A01226">
      <w:pPr>
        <w:spacing w:line="139" w:lineRule="exact"/>
        <w:jc w:val="both"/>
        <w:rPr>
          <w:sz w:val="20"/>
          <w:szCs w:val="20"/>
        </w:rPr>
      </w:pPr>
    </w:p>
    <w:p w:rsidR="00D24E61" w:rsidRPr="00771368" w:rsidRDefault="00D24E61" w:rsidP="00A01226">
      <w:pPr>
        <w:jc w:val="both"/>
        <w:rPr>
          <w:sz w:val="20"/>
          <w:szCs w:val="20"/>
        </w:rPr>
      </w:pPr>
      <w:r w:rsidRPr="00771368">
        <w:rPr>
          <w:sz w:val="24"/>
          <w:szCs w:val="24"/>
        </w:rPr>
        <w:t>sociedade atribui uma grande expectativa em relação à educação e à manutenção do sucesso</w:t>
      </w:r>
    </w:p>
    <w:p w:rsidR="00D24E61" w:rsidRPr="00771368" w:rsidRDefault="00D24E61" w:rsidP="00A01226">
      <w:pPr>
        <w:spacing w:line="137" w:lineRule="exact"/>
        <w:jc w:val="both"/>
        <w:rPr>
          <w:sz w:val="20"/>
          <w:szCs w:val="20"/>
        </w:rPr>
      </w:pPr>
    </w:p>
    <w:p w:rsidR="00D24E61" w:rsidRPr="00771368" w:rsidRDefault="00D24E61" w:rsidP="00A01226">
      <w:pPr>
        <w:jc w:val="both"/>
        <w:rPr>
          <w:sz w:val="20"/>
          <w:szCs w:val="20"/>
        </w:rPr>
      </w:pPr>
      <w:r w:rsidRPr="00771368">
        <w:rPr>
          <w:sz w:val="24"/>
          <w:szCs w:val="24"/>
        </w:rPr>
        <w:t>dos jovens e crianças  que ali  passam grande parte de suas vidas.  Segundo Nogueira  &amp;</w:t>
      </w:r>
    </w:p>
    <w:p w:rsidR="00D24E61" w:rsidRPr="00771368" w:rsidRDefault="00D24E61" w:rsidP="00A01226">
      <w:pPr>
        <w:spacing w:line="139" w:lineRule="exact"/>
        <w:jc w:val="both"/>
        <w:rPr>
          <w:sz w:val="20"/>
          <w:szCs w:val="20"/>
        </w:rPr>
      </w:pPr>
    </w:p>
    <w:p w:rsidR="00D24E61" w:rsidRPr="00771368" w:rsidRDefault="00D24E61" w:rsidP="00A01226">
      <w:pPr>
        <w:jc w:val="both"/>
        <w:rPr>
          <w:sz w:val="20"/>
          <w:szCs w:val="20"/>
        </w:rPr>
      </w:pPr>
      <w:r w:rsidRPr="00771368">
        <w:rPr>
          <w:sz w:val="24"/>
          <w:szCs w:val="24"/>
        </w:rPr>
        <w:t>Nogueira (2007, p. 35), apesar de arbitrária, a cultura escolar seria socialmente reconhecida</w:t>
      </w:r>
    </w:p>
    <w:p w:rsidR="00D24E61" w:rsidRPr="00771368" w:rsidRDefault="00D24E61" w:rsidP="00A01226">
      <w:pPr>
        <w:spacing w:line="137" w:lineRule="exact"/>
        <w:jc w:val="both"/>
        <w:rPr>
          <w:sz w:val="20"/>
          <w:szCs w:val="20"/>
        </w:rPr>
      </w:pPr>
    </w:p>
    <w:p w:rsidR="00D24E61" w:rsidRPr="00771368" w:rsidRDefault="00D24E61" w:rsidP="00A01226">
      <w:pPr>
        <w:jc w:val="both"/>
        <w:rPr>
          <w:sz w:val="20"/>
          <w:szCs w:val="20"/>
        </w:rPr>
      </w:pPr>
      <w:r w:rsidRPr="00771368">
        <w:rPr>
          <w:sz w:val="24"/>
          <w:szCs w:val="24"/>
        </w:rPr>
        <w:t>como uma cultura legítima, como a única universalmente válida.</w:t>
      </w:r>
    </w:p>
    <w:p w:rsidR="00D24E61" w:rsidRPr="00771368" w:rsidRDefault="00D24E61" w:rsidP="00A01226">
      <w:pPr>
        <w:spacing w:line="139" w:lineRule="exact"/>
        <w:jc w:val="both"/>
        <w:rPr>
          <w:sz w:val="20"/>
          <w:szCs w:val="20"/>
        </w:rPr>
      </w:pPr>
    </w:p>
    <w:p w:rsidR="00D24E61" w:rsidRPr="00771368" w:rsidRDefault="00D24E61" w:rsidP="00A01226">
      <w:pPr>
        <w:ind w:left="720"/>
        <w:jc w:val="both"/>
        <w:rPr>
          <w:sz w:val="20"/>
          <w:szCs w:val="20"/>
        </w:rPr>
      </w:pPr>
      <w:r w:rsidRPr="00771368">
        <w:rPr>
          <w:sz w:val="24"/>
          <w:szCs w:val="24"/>
        </w:rPr>
        <w:t>No Brasil, a escola pública repousa principalmente na Lei de Diretrizes e Bases da</w:t>
      </w:r>
    </w:p>
    <w:p w:rsidR="00D24E61" w:rsidRPr="00771368" w:rsidRDefault="00D24E61" w:rsidP="00A01226">
      <w:pPr>
        <w:spacing w:line="137" w:lineRule="exact"/>
        <w:jc w:val="both"/>
        <w:rPr>
          <w:sz w:val="20"/>
          <w:szCs w:val="20"/>
        </w:rPr>
      </w:pPr>
    </w:p>
    <w:p w:rsidR="00D24E61" w:rsidRPr="00771368" w:rsidRDefault="00D24E61" w:rsidP="00A01226">
      <w:pPr>
        <w:jc w:val="both"/>
        <w:rPr>
          <w:sz w:val="20"/>
          <w:szCs w:val="20"/>
        </w:rPr>
      </w:pPr>
      <w:r w:rsidRPr="00771368">
        <w:rPr>
          <w:sz w:val="24"/>
          <w:szCs w:val="24"/>
        </w:rPr>
        <w:t>Educação Nacional - LDB (BRASIL, 1996), que embora esteja fundamentada em princípios</w:t>
      </w:r>
    </w:p>
    <w:p w:rsidR="00D24E61" w:rsidRPr="00771368" w:rsidRDefault="00D24E61" w:rsidP="00A01226">
      <w:pPr>
        <w:spacing w:line="139" w:lineRule="exact"/>
        <w:jc w:val="both"/>
        <w:rPr>
          <w:sz w:val="20"/>
          <w:szCs w:val="20"/>
        </w:rPr>
      </w:pPr>
    </w:p>
    <w:p w:rsidR="00D24E61" w:rsidRPr="00771368" w:rsidRDefault="00D24E61" w:rsidP="00A01226">
      <w:pPr>
        <w:spacing w:line="239" w:lineRule="auto"/>
        <w:jc w:val="both"/>
        <w:rPr>
          <w:sz w:val="20"/>
          <w:szCs w:val="20"/>
        </w:rPr>
      </w:pPr>
      <w:r w:rsidRPr="00771368">
        <w:rPr>
          <w:sz w:val="24"/>
          <w:szCs w:val="24"/>
        </w:rPr>
        <w:t>como liberdade, neutralidade, pluralismo de ideias e apreço à tolerância, segundo Muzzeti</w:t>
      </w:r>
    </w:p>
    <w:p w:rsidR="00D24E61" w:rsidRPr="00771368" w:rsidRDefault="00D24E61">
      <w:pPr>
        <w:sectPr w:rsidR="00D24E61" w:rsidRPr="00771368">
          <w:pgSz w:w="11900" w:h="16838"/>
          <w:pgMar w:top="1440" w:right="1120" w:bottom="930" w:left="1700" w:header="0" w:footer="0" w:gutter="0"/>
          <w:cols w:space="720" w:equalWidth="0">
            <w:col w:w="9080"/>
          </w:cols>
        </w:sectPr>
      </w:pPr>
    </w:p>
    <w:p w:rsidR="00D24E61" w:rsidRPr="00771368" w:rsidRDefault="00D24E61">
      <w:pPr>
        <w:spacing w:line="254" w:lineRule="exact"/>
        <w:rPr>
          <w:sz w:val="20"/>
          <w:szCs w:val="20"/>
        </w:rPr>
      </w:pPr>
    </w:p>
    <w:p w:rsidR="00D24E61" w:rsidRPr="00771368" w:rsidRDefault="00D24E61" w:rsidP="00A01226">
      <w:pPr>
        <w:jc w:val="both"/>
        <w:rPr>
          <w:sz w:val="20"/>
          <w:szCs w:val="20"/>
        </w:rPr>
      </w:pPr>
      <w:r w:rsidRPr="00771368">
        <w:rPr>
          <w:sz w:val="24"/>
          <w:szCs w:val="24"/>
        </w:rPr>
        <w:t>(1999, p. 54) - ao se referir à obra do sociólogo estruturalista francês Pierre Boudieu – na obra</w:t>
      </w:r>
    </w:p>
    <w:p w:rsidR="00D24E61" w:rsidRPr="00771368" w:rsidRDefault="00D24E61" w:rsidP="00A01226">
      <w:pPr>
        <w:spacing w:line="195" w:lineRule="exact"/>
        <w:jc w:val="both"/>
        <w:rPr>
          <w:sz w:val="20"/>
          <w:szCs w:val="20"/>
        </w:rPr>
      </w:pPr>
    </w:p>
    <w:p w:rsidR="00D24E61" w:rsidRPr="00771368" w:rsidRDefault="00D24E61" w:rsidP="00A01226">
      <w:pPr>
        <w:spacing w:line="351" w:lineRule="auto"/>
        <w:jc w:val="both"/>
        <w:rPr>
          <w:sz w:val="20"/>
          <w:szCs w:val="20"/>
        </w:rPr>
      </w:pPr>
      <w:r w:rsidRPr="00771368">
        <w:rPr>
          <w:sz w:val="24"/>
          <w:szCs w:val="24"/>
        </w:rPr>
        <w:t>“A Reprodução”, os autores mostram que a escola longe de contribuir para a transformação social reproduz, na verdade, a sociedade em que se insere. É importante salientar também que, a escola tem colaborado com a reprodução de estereótipos ao fundamentar-se na representação patriarcal, que mantém uma estrutura hierárquica com forte conotação sexuada, fazendo do homem o princípio ativo e, da mulher, o passivo. (GOMES, 2006, p.36) Desta forma se evidencia que mesmo de maneira sugestiva, os atores escolares exercem influencia decisiva na construção social das características de cada gênero tal qual conhecemos.</w:t>
      </w:r>
    </w:p>
    <w:p w:rsidR="00D24E61" w:rsidRPr="00771368" w:rsidRDefault="00D24E61" w:rsidP="00A01226">
      <w:pPr>
        <w:spacing w:line="74" w:lineRule="exact"/>
        <w:jc w:val="both"/>
        <w:rPr>
          <w:sz w:val="20"/>
          <w:szCs w:val="20"/>
        </w:rPr>
      </w:pPr>
    </w:p>
    <w:p w:rsidR="00D24E61" w:rsidRPr="00771368" w:rsidRDefault="00D24E61" w:rsidP="00A01226">
      <w:pPr>
        <w:spacing w:line="349" w:lineRule="auto"/>
        <w:ind w:firstLine="708"/>
        <w:jc w:val="both"/>
        <w:rPr>
          <w:sz w:val="20"/>
          <w:szCs w:val="20"/>
        </w:rPr>
      </w:pPr>
      <w:r w:rsidRPr="00771368">
        <w:rPr>
          <w:sz w:val="24"/>
          <w:szCs w:val="24"/>
        </w:rPr>
        <w:t>Assim, contestando a crença popular, que entende as diferenças de gênero como um processo natural que ocorre desde a infância, o presente trabalho considera que estas diferenças são construídas histórica e socialmente, podendo ser modeladas através do processo educacional. Leva-se em consideração também o fato de que, segundo Carvalho, 2004, gênero, é um conceito relacional porque masculinidade e feminilidade se definem por mútua oposição, inscrevendo-se numa relação de poder.</w:t>
      </w:r>
    </w:p>
    <w:p w:rsidR="00D24E61" w:rsidRPr="00771368" w:rsidRDefault="00D24E61" w:rsidP="00A01226">
      <w:pPr>
        <w:spacing w:line="77" w:lineRule="exact"/>
        <w:jc w:val="both"/>
        <w:rPr>
          <w:sz w:val="20"/>
          <w:szCs w:val="20"/>
        </w:rPr>
      </w:pPr>
    </w:p>
    <w:p w:rsidR="00D24E61" w:rsidRPr="00771368" w:rsidRDefault="00D24E61" w:rsidP="00A01226">
      <w:pPr>
        <w:spacing w:line="351" w:lineRule="auto"/>
        <w:ind w:firstLine="708"/>
        <w:jc w:val="both"/>
        <w:rPr>
          <w:sz w:val="20"/>
          <w:szCs w:val="20"/>
        </w:rPr>
      </w:pPr>
      <w:r w:rsidRPr="00771368">
        <w:rPr>
          <w:sz w:val="24"/>
          <w:szCs w:val="24"/>
        </w:rPr>
        <w:t>Para falar sobre gênero e êxito escolar lançaremos mão do conceito de habitus construído por Bourdieu, e explicado em seu livro, “A Dominação Masculina”. Segundo este autor, habitus se define como “o produto de um trabalho social de nominação e de inculcação ao término do qual uma identidade social instituída por uma dessas 'linhas de demarcação mística', conhecidas e reconhecidas por todos, que o mundo social desenha, inscreve-se em uma natureza biológica e se torna um habitus, lei social incorporada" (Bourdieu, 1999). Esta definição pode ser constatada se pensarmos que,</w:t>
      </w:r>
    </w:p>
    <w:p w:rsidR="00D24E61" w:rsidRPr="00771368" w:rsidRDefault="00D24E61">
      <w:pPr>
        <w:spacing w:line="343" w:lineRule="exact"/>
        <w:rPr>
          <w:sz w:val="20"/>
          <w:szCs w:val="20"/>
        </w:rPr>
      </w:pPr>
    </w:p>
    <w:p w:rsidR="00D24E61" w:rsidRPr="00771368" w:rsidRDefault="00D24E61">
      <w:pPr>
        <w:spacing w:line="231" w:lineRule="auto"/>
        <w:ind w:left="2280"/>
        <w:jc w:val="both"/>
        <w:rPr>
          <w:i/>
          <w:sz w:val="20"/>
          <w:szCs w:val="20"/>
        </w:rPr>
      </w:pPr>
      <w:r w:rsidRPr="00771368">
        <w:rPr>
          <w:i/>
        </w:rPr>
        <w:t>“tanto no convívio familiar quanto no convívio escolar, entre aprovações, censuras, lições de moral, elogios, prêmios e outras modalidades de influências, as crianças vão construindo seus gostos mais íntimos, seus trejeitos, suas aspirações, sua auto-imagem, sua auto-estima, seus estigmas e preconceitos, enfim, vão incorporando os habitus primários que estarão no princípio das experiências escolares.” (GOMES, 2006, p. 36)</w:t>
      </w:r>
    </w:p>
    <w:p w:rsidR="00D24E61" w:rsidRPr="00771368" w:rsidRDefault="00D24E61">
      <w:pPr>
        <w:spacing w:line="200" w:lineRule="exact"/>
        <w:rPr>
          <w:i/>
          <w:sz w:val="20"/>
          <w:szCs w:val="20"/>
        </w:rPr>
      </w:pPr>
    </w:p>
    <w:p w:rsidR="00D24E61" w:rsidRPr="00771368" w:rsidRDefault="00D24E61">
      <w:pPr>
        <w:spacing w:line="368" w:lineRule="exact"/>
        <w:rPr>
          <w:i/>
          <w:sz w:val="20"/>
          <w:szCs w:val="20"/>
        </w:rPr>
      </w:pPr>
    </w:p>
    <w:p w:rsidR="00D24E61" w:rsidRPr="00771368" w:rsidRDefault="00D24E61" w:rsidP="00A01226">
      <w:pPr>
        <w:spacing w:line="343" w:lineRule="auto"/>
        <w:ind w:firstLine="708"/>
        <w:jc w:val="both"/>
        <w:rPr>
          <w:sz w:val="20"/>
          <w:szCs w:val="20"/>
        </w:rPr>
      </w:pPr>
      <w:r w:rsidRPr="00771368">
        <w:rPr>
          <w:sz w:val="24"/>
          <w:szCs w:val="24"/>
        </w:rPr>
        <w:t>Em outras palavras podemos dizer que estamos imersos numa sociedade que tem profundas desigualdades não só de gênero como também de raça e de classe, somos abalizados por estas diferenças e, à medida que não encontramos espaços coletivos para refletir e rever nossos conceitos, acabamos por reproduzi-los e incorporá-los.</w:t>
      </w:r>
    </w:p>
    <w:p w:rsidR="00D24E61" w:rsidRPr="00771368" w:rsidRDefault="00D24E61" w:rsidP="00A01226">
      <w:pPr>
        <w:spacing w:line="78" w:lineRule="exact"/>
        <w:jc w:val="both"/>
        <w:rPr>
          <w:sz w:val="20"/>
          <w:szCs w:val="20"/>
        </w:rPr>
      </w:pPr>
    </w:p>
    <w:p w:rsidR="00D24E61" w:rsidRPr="00771368" w:rsidRDefault="00D24E61" w:rsidP="00A01226">
      <w:pPr>
        <w:spacing w:line="334" w:lineRule="auto"/>
        <w:ind w:firstLine="708"/>
        <w:jc w:val="both"/>
        <w:rPr>
          <w:sz w:val="20"/>
          <w:szCs w:val="20"/>
        </w:rPr>
      </w:pPr>
      <w:r w:rsidRPr="00771368">
        <w:rPr>
          <w:sz w:val="24"/>
          <w:szCs w:val="24"/>
        </w:rPr>
        <w:t>Segundo Bourdieu, após agregados, esses habitus tornam-se difíceis de serem modificados. A grande dificuldade em mudar a concepção das pessoas é a naturalização dos conceitos e no caso do gênero, a naturalização das diferenças entre homens e mulheres, como</w:t>
      </w:r>
    </w:p>
    <w:p w:rsidR="00D24E61" w:rsidRPr="00771368" w:rsidRDefault="00D24E61" w:rsidP="00A01226">
      <w:pPr>
        <w:jc w:val="both"/>
        <w:sectPr w:rsidR="00D24E61" w:rsidRPr="00771368">
          <w:pgSz w:w="11900" w:h="16838"/>
          <w:pgMar w:top="1440" w:right="1120" w:bottom="1007" w:left="1700" w:header="0" w:footer="0" w:gutter="0"/>
          <w:cols w:space="720" w:equalWidth="0">
            <w:col w:w="9080"/>
          </w:cols>
        </w:sectPr>
      </w:pPr>
    </w:p>
    <w:p w:rsidR="00D24E61" w:rsidRPr="00771368" w:rsidRDefault="00D24E61" w:rsidP="00A01226">
      <w:pPr>
        <w:spacing w:line="313" w:lineRule="exact"/>
        <w:jc w:val="both"/>
        <w:rPr>
          <w:sz w:val="20"/>
          <w:szCs w:val="20"/>
        </w:rPr>
      </w:pPr>
    </w:p>
    <w:p w:rsidR="00D24E61" w:rsidRPr="00771368" w:rsidRDefault="00D24E61" w:rsidP="00A01226">
      <w:pPr>
        <w:spacing w:line="347" w:lineRule="auto"/>
        <w:jc w:val="both"/>
        <w:rPr>
          <w:sz w:val="20"/>
          <w:szCs w:val="20"/>
        </w:rPr>
      </w:pPr>
      <w:r w:rsidRPr="00771368">
        <w:rPr>
          <w:sz w:val="24"/>
          <w:szCs w:val="24"/>
        </w:rPr>
        <w:t>se elas fossem características inatas decorrentes da estrutura biológica do corpo. Assim, naturalização seria o que ocorre quando, através de alguns processos culturais, definimos o que é - ou não – natural e passamos a incorporar os conceitos sem questionamentos. Segundo Gomes (2006, p. 37), essa estrutura social naturalizada induz a uma enormidade de ações e decisões inquestionáveis. Por exemplo, em nossa sociedade atual, acredita-se que,</w:t>
      </w:r>
    </w:p>
    <w:p w:rsidR="00D24E61" w:rsidRPr="00771368" w:rsidRDefault="00D24E61">
      <w:pPr>
        <w:spacing w:line="200" w:lineRule="exact"/>
        <w:rPr>
          <w:sz w:val="20"/>
          <w:szCs w:val="20"/>
        </w:rPr>
      </w:pPr>
    </w:p>
    <w:p w:rsidR="00D24E61" w:rsidRPr="00771368" w:rsidRDefault="00D24E61">
      <w:pPr>
        <w:spacing w:line="284" w:lineRule="exact"/>
        <w:rPr>
          <w:sz w:val="20"/>
          <w:szCs w:val="20"/>
        </w:rPr>
      </w:pPr>
    </w:p>
    <w:p w:rsidR="00D24E61" w:rsidRPr="00771368" w:rsidRDefault="00D24E61">
      <w:pPr>
        <w:spacing w:line="233" w:lineRule="auto"/>
        <w:ind w:left="2280"/>
        <w:jc w:val="both"/>
        <w:rPr>
          <w:i/>
          <w:sz w:val="20"/>
          <w:szCs w:val="20"/>
        </w:rPr>
      </w:pPr>
      <w:r w:rsidRPr="00771368">
        <w:rPr>
          <w:i/>
        </w:rPr>
        <w:t>“cabe à mulher o cuidado dos filhos, do marido, e todas as atividades por vezes invisíveis realizadas no âmbito privado, já ao homem são atribuídas aquelas tarefas perigosas ou espetaculares do espaço público. Dessa forma, o espaço de lutas vai muito além do âmbito doméstico, há sempre uma mão direita e uma mão esquerda no Estado. “A mão direita do Estado é a das finanças, do orçamento, tudo o que é soberano, tudo o que é masculino; a mão esquerda, tudo o que é feminino: hospitais, creches, escola”. (GOMES, 2006, p.37)</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spacing w:line="343" w:lineRule="auto"/>
        <w:ind w:firstLine="708"/>
        <w:jc w:val="both"/>
        <w:rPr>
          <w:sz w:val="20"/>
          <w:szCs w:val="20"/>
        </w:rPr>
      </w:pPr>
      <w:r w:rsidRPr="00771368">
        <w:rPr>
          <w:sz w:val="24"/>
          <w:szCs w:val="24"/>
        </w:rPr>
        <w:t>A discussão sobre as relações de gênero é recente na política educacional do nosso país, sendo abordada a partir dos Parâmetros Curriculares Nacionais, através do Tema Transversal Orientação Sexual (BRASIL, 1998). Ainda assim, seu estudo não tem sido privilegiado na formação docente.</w:t>
      </w:r>
    </w:p>
    <w:p w:rsidR="00D24E61" w:rsidRPr="00771368" w:rsidRDefault="00D24E61">
      <w:pPr>
        <w:spacing w:line="78" w:lineRule="exact"/>
        <w:rPr>
          <w:sz w:val="20"/>
          <w:szCs w:val="20"/>
        </w:rPr>
      </w:pPr>
    </w:p>
    <w:p w:rsidR="00D24E61" w:rsidRPr="00771368" w:rsidRDefault="00D24E61">
      <w:pPr>
        <w:spacing w:line="352" w:lineRule="auto"/>
        <w:ind w:firstLine="708"/>
        <w:jc w:val="both"/>
        <w:rPr>
          <w:sz w:val="20"/>
          <w:szCs w:val="20"/>
        </w:rPr>
      </w:pPr>
      <w:r w:rsidRPr="00771368">
        <w:rPr>
          <w:sz w:val="24"/>
          <w:szCs w:val="24"/>
        </w:rPr>
        <w:t>No presente trabalho pretendemos discutir a importância de relacionar a questão das diferenças de gênero com os vários problemas que não apenas repercutem na escola, mas nela são reproduzidos, como as dificuldades de aprendizagem, defasagens e fracasso escolar. Também é objetivo do presente trabalho demonstrar que nos dias atuais as diferenças de gênero ainda repercutem negativamente na aprendizagem, essencialmente dos meninos, como demostram os conceitos analisados em diferentes disciplinas. Procuramos mostrar a importância da escola em colaborar para a desconstrução dessa naturalização das desigualdades de gênero ao invés tolerá-las e reproduzi-las.</w:t>
      </w:r>
    </w:p>
    <w:p w:rsidR="00D24E61" w:rsidRPr="00771368" w:rsidRDefault="00D24E61">
      <w:pPr>
        <w:spacing w:line="74" w:lineRule="exact"/>
        <w:rPr>
          <w:sz w:val="20"/>
          <w:szCs w:val="20"/>
        </w:rPr>
      </w:pPr>
    </w:p>
    <w:p w:rsidR="00D24E61" w:rsidRPr="00771368" w:rsidRDefault="00D24E61">
      <w:pPr>
        <w:spacing w:line="353" w:lineRule="auto"/>
        <w:ind w:left="140" w:firstLine="710"/>
        <w:jc w:val="both"/>
        <w:rPr>
          <w:sz w:val="20"/>
          <w:szCs w:val="20"/>
        </w:rPr>
      </w:pPr>
      <w:r w:rsidRPr="00771368">
        <w:rPr>
          <w:sz w:val="24"/>
          <w:szCs w:val="24"/>
        </w:rPr>
        <w:t>Neste trabalho apenas identificamos uma situação na qual o conceito de habitus construído historicamente, pode ser aplicado. Todavia, confiamos na possibilidade de superação dessa condição, não entendendo como características permanentes do sistema educacional. Acreditamos na possibilidade de transformação sabendo que para promover a igualdade entre as pessoas seria necessária uma revolução simbólica, que acontecesse nas cabeças. Para isto, em primeiro lugar é preciso tomar consciência dos fatos e assim, pensar meios para revertê-los, sendo a escola a instituição mais significativa para gerar mudanças, inclusive no que se refere a não reprodução das diferenças entre os gêneros.</w:t>
      </w:r>
    </w:p>
    <w:p w:rsidR="00D24E61" w:rsidRPr="00771368" w:rsidRDefault="00D24E61">
      <w:pPr>
        <w:sectPr w:rsidR="00D24E61" w:rsidRPr="00771368">
          <w:pgSz w:w="11900" w:h="16838"/>
          <w:pgMar w:top="1440" w:right="1120" w:bottom="970" w:left="170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27" w:lineRule="exact"/>
        <w:rPr>
          <w:sz w:val="20"/>
          <w:szCs w:val="20"/>
        </w:rPr>
      </w:pPr>
    </w:p>
    <w:p w:rsidR="00D24E61" w:rsidRPr="00771368" w:rsidRDefault="00D24E61">
      <w:pPr>
        <w:sectPr w:rsidR="00D24E61" w:rsidRPr="00771368">
          <w:type w:val="continuous"/>
          <w:pgSz w:w="11900" w:h="16838"/>
          <w:pgMar w:top="1440" w:right="9100" w:bottom="970" w:left="1700" w:header="0" w:footer="0" w:gutter="0"/>
          <w:cols w:space="720" w:equalWidth="0">
            <w:col w:w="110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25" w:lineRule="exact"/>
        <w:rPr>
          <w:sz w:val="20"/>
          <w:szCs w:val="20"/>
        </w:rPr>
      </w:pPr>
    </w:p>
    <w:p w:rsidR="00A01226" w:rsidRPr="00771368" w:rsidRDefault="00A01226" w:rsidP="00A01226">
      <w:pPr>
        <w:rPr>
          <w:sz w:val="20"/>
          <w:szCs w:val="20"/>
        </w:rPr>
      </w:pPr>
      <w:r w:rsidRPr="00771368">
        <w:rPr>
          <w:b/>
          <w:bCs/>
          <w:sz w:val="24"/>
          <w:szCs w:val="24"/>
        </w:rPr>
        <w:t>MÉTODO</w:t>
      </w:r>
    </w:p>
    <w:p w:rsidR="00D24E61" w:rsidRPr="00771368" w:rsidRDefault="00D24E61">
      <w:pPr>
        <w:spacing w:line="354" w:lineRule="auto"/>
        <w:ind w:firstLine="708"/>
        <w:jc w:val="both"/>
        <w:rPr>
          <w:sz w:val="20"/>
          <w:szCs w:val="20"/>
        </w:rPr>
      </w:pPr>
      <w:r w:rsidRPr="00771368">
        <w:rPr>
          <w:sz w:val="24"/>
          <w:szCs w:val="24"/>
        </w:rPr>
        <w:t>Esta pesquisa, quanti-qualitativa, tipo descritiva, caracteriza-se pela seleção de uma amostra aleatória com possibilidade de generalização e objetivo de observar, registrar e correlacionar as notas dos alunos de uma escola pública do interior paulista a fim de entender alguns fatores pertinentes ao fracasso escolar relacionando com o gênero. Para isto, foram compiladas as notas bimestrais de língua portuguesa e matemática de todos os alunos da oitava série/nono ano do ensino fundamental desta escola. A quantidade de alunos analisada foi de 104 (cento e quatro) alunos, sendo 47 (quarenta e sete) alunos do gênero feminino e 57 (cinquenta e sete) do gênero masculino. Os alunos considerados apresentaram faixa etária entre 14 e 16 anos de idade. Estes 104 alunos estão divididos em três salas distintas sendo que duas delas funcionam no período matutino e uma no período vespertino.</w:t>
      </w:r>
    </w:p>
    <w:p w:rsidR="00D24E61" w:rsidRPr="00771368" w:rsidRDefault="00D24E61">
      <w:pPr>
        <w:spacing w:line="70" w:lineRule="exact"/>
        <w:rPr>
          <w:sz w:val="20"/>
          <w:szCs w:val="20"/>
        </w:rPr>
      </w:pPr>
    </w:p>
    <w:p w:rsidR="00D24E61" w:rsidRPr="00771368" w:rsidRDefault="00D24E61">
      <w:pPr>
        <w:spacing w:line="347" w:lineRule="auto"/>
        <w:ind w:firstLine="708"/>
        <w:jc w:val="both"/>
        <w:rPr>
          <w:sz w:val="20"/>
          <w:szCs w:val="20"/>
        </w:rPr>
      </w:pPr>
      <w:r w:rsidRPr="00771368">
        <w:rPr>
          <w:sz w:val="24"/>
          <w:szCs w:val="24"/>
        </w:rPr>
        <w:t>Também, para apoiar a discussão dos dados foram incorporadas outras publicações que abordavam principalmente os temas rendimento escolar, fracasso escolar, habitus e gênero. Além disso, foram analisados alguns documentos da escola como o Plano Gestão e o Projeto Político Pedagógico a fim de caracterizar a Unidade Escolar e a população dos bairros atendidos pela mesma.</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rPr>
          <w:sz w:val="20"/>
          <w:szCs w:val="20"/>
        </w:rPr>
      </w:pPr>
      <w:r w:rsidRPr="00771368">
        <w:rPr>
          <w:b/>
          <w:bCs/>
          <w:sz w:val="24"/>
          <w:szCs w:val="24"/>
        </w:rPr>
        <w:t>RESULTADOS</w:t>
      </w:r>
    </w:p>
    <w:p w:rsidR="00D24E61" w:rsidRPr="00771368" w:rsidRDefault="00D24E61">
      <w:pPr>
        <w:spacing w:line="352" w:lineRule="exact"/>
        <w:rPr>
          <w:sz w:val="20"/>
          <w:szCs w:val="20"/>
        </w:rPr>
      </w:pPr>
    </w:p>
    <w:p w:rsidR="00D24E61" w:rsidRPr="00771368" w:rsidRDefault="00D24E61">
      <w:pPr>
        <w:tabs>
          <w:tab w:val="left" w:pos="1060"/>
        </w:tabs>
        <w:ind w:left="720"/>
        <w:rPr>
          <w:sz w:val="20"/>
          <w:szCs w:val="20"/>
        </w:rPr>
      </w:pPr>
      <w:r w:rsidRPr="00771368">
        <w:rPr>
          <w:b/>
          <w:bCs/>
          <w:sz w:val="24"/>
          <w:szCs w:val="24"/>
        </w:rPr>
        <w:t>1)</w:t>
      </w:r>
      <w:r w:rsidRPr="00771368">
        <w:rPr>
          <w:sz w:val="20"/>
          <w:szCs w:val="20"/>
        </w:rPr>
        <w:tab/>
      </w:r>
      <w:r w:rsidRPr="00771368">
        <w:rPr>
          <w:b/>
          <w:bCs/>
          <w:sz w:val="23"/>
          <w:szCs w:val="23"/>
        </w:rPr>
        <w:t>Breve caracterização do grupo pesquisado</w:t>
      </w: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34" w:lineRule="auto"/>
        <w:ind w:left="140" w:firstLine="648"/>
        <w:jc w:val="both"/>
        <w:rPr>
          <w:sz w:val="20"/>
          <w:szCs w:val="20"/>
        </w:rPr>
      </w:pPr>
      <w:r w:rsidRPr="00771368">
        <w:rPr>
          <w:sz w:val="24"/>
          <w:szCs w:val="24"/>
        </w:rPr>
        <w:t>A partir da observação, vivência no cotidiano escolar e leitura dos documentos oficiais da escola, como Plano Gestão e Projeto Político Pedagógico, foi possível realizar uma breve caracterização dos alunos e da comunidade escolar.</w:t>
      </w:r>
    </w:p>
    <w:p w:rsidR="00D24E61" w:rsidRPr="00771368" w:rsidRDefault="00D24E61">
      <w:pPr>
        <w:spacing w:line="89" w:lineRule="exact"/>
        <w:rPr>
          <w:sz w:val="20"/>
          <w:szCs w:val="20"/>
        </w:rPr>
      </w:pPr>
    </w:p>
    <w:p w:rsidR="00D24E61" w:rsidRPr="00771368" w:rsidRDefault="00D24E61">
      <w:pPr>
        <w:spacing w:line="351" w:lineRule="auto"/>
        <w:ind w:left="140" w:firstLine="708"/>
        <w:jc w:val="both"/>
        <w:rPr>
          <w:sz w:val="20"/>
          <w:szCs w:val="20"/>
        </w:rPr>
      </w:pPr>
      <w:r w:rsidRPr="00771368">
        <w:rPr>
          <w:sz w:val="24"/>
          <w:szCs w:val="24"/>
        </w:rPr>
        <w:t>Os alunos atendidos na Unidade Escolar em questão, são provenientes de três bairros que circundam a escola. Cada um destes bairros apresenta um perfil diferenciado, sendo o bairro na qual a escola se encontra o que apresenta a população mais antiga e os outros dois, de formação mais recente. São conjuntos habitacionais que apresentam, em sua maioria, uma população de baixa renda. Estes bairros também apresentam grande índice de violência e tráfico de drogas, sendo que muitos alunos apresentam familiares que já se envolveram em alguma situação de risco como vítimas ou como agressores.</w:t>
      </w:r>
    </w:p>
    <w:p w:rsidR="00D24E61" w:rsidRPr="00771368" w:rsidRDefault="00D24E61">
      <w:pPr>
        <w:spacing w:line="74" w:lineRule="exact"/>
        <w:rPr>
          <w:sz w:val="20"/>
          <w:szCs w:val="20"/>
        </w:rPr>
      </w:pPr>
    </w:p>
    <w:p w:rsidR="00D24E61" w:rsidRPr="00771368" w:rsidRDefault="00D24E61">
      <w:pPr>
        <w:spacing w:line="334" w:lineRule="auto"/>
        <w:ind w:left="140" w:firstLine="648"/>
        <w:jc w:val="both"/>
        <w:rPr>
          <w:sz w:val="20"/>
          <w:szCs w:val="20"/>
        </w:rPr>
      </w:pPr>
      <w:r w:rsidRPr="00771368">
        <w:rPr>
          <w:sz w:val="24"/>
          <w:szCs w:val="24"/>
        </w:rPr>
        <w:t>Os responsáveis dos alunos, na sua maioria, trabalham como operários nas indústrias da cidade, corte de cana ou colheita da laranja. Observa-se também grande participação das mães no mercado de trabalho, sendo o seu salário essencial para a manutenção das</w:t>
      </w:r>
    </w:p>
    <w:p w:rsidR="00D24E61" w:rsidRPr="00771368" w:rsidRDefault="00D24E61">
      <w:pPr>
        <w:sectPr w:rsidR="00D24E61" w:rsidRPr="00771368">
          <w:pgSz w:w="11900" w:h="16838"/>
          <w:pgMar w:top="1440" w:right="1120" w:bottom="823" w:left="1700" w:header="0" w:footer="0" w:gutter="0"/>
          <w:cols w:space="720" w:equalWidth="0">
            <w:col w:w="9080"/>
          </w:cols>
        </w:sectPr>
      </w:pPr>
    </w:p>
    <w:p w:rsidR="00D24E61" w:rsidRPr="00771368" w:rsidRDefault="00D24E61">
      <w:pPr>
        <w:spacing w:line="313" w:lineRule="exact"/>
        <w:rPr>
          <w:sz w:val="20"/>
          <w:szCs w:val="20"/>
        </w:rPr>
      </w:pPr>
    </w:p>
    <w:p w:rsidR="00D24E61" w:rsidRPr="00771368" w:rsidRDefault="00D24E61">
      <w:pPr>
        <w:spacing w:line="334" w:lineRule="auto"/>
        <w:ind w:left="140"/>
        <w:jc w:val="both"/>
        <w:rPr>
          <w:sz w:val="20"/>
          <w:szCs w:val="20"/>
        </w:rPr>
      </w:pPr>
      <w:r w:rsidRPr="00771368">
        <w:rPr>
          <w:sz w:val="24"/>
          <w:szCs w:val="24"/>
        </w:rPr>
        <w:t>necessidades básicas do lar, quando não se constitui a principal renda da família. Além disso, existe grande número de alunos beneficiários dos recursos oferecidos pelo governo como, por exemplo, o bolsa família e o renda cidadã.</w:t>
      </w:r>
    </w:p>
    <w:p w:rsidR="00D24E61" w:rsidRPr="00771368" w:rsidRDefault="00D24E61">
      <w:pPr>
        <w:spacing w:line="89" w:lineRule="exact"/>
        <w:rPr>
          <w:sz w:val="20"/>
          <w:szCs w:val="20"/>
        </w:rPr>
      </w:pPr>
    </w:p>
    <w:p w:rsidR="00D24E61" w:rsidRPr="00771368" w:rsidRDefault="00D24E61">
      <w:pPr>
        <w:spacing w:line="334" w:lineRule="auto"/>
        <w:ind w:left="140" w:firstLine="708"/>
        <w:jc w:val="both"/>
        <w:rPr>
          <w:sz w:val="20"/>
          <w:szCs w:val="20"/>
        </w:rPr>
      </w:pPr>
      <w:r w:rsidRPr="00771368">
        <w:rPr>
          <w:sz w:val="24"/>
          <w:szCs w:val="24"/>
        </w:rPr>
        <w:t>Grande parte dos alunos do período da manhã são também alunos dos cursos técnicos do SENAI ou trabalham como aprendizes por meio período em supermercados, na legião mirim ou outras empresas da cidade.</w:t>
      </w:r>
    </w:p>
    <w:p w:rsidR="00D24E61" w:rsidRPr="00771368" w:rsidRDefault="00D24E61">
      <w:pPr>
        <w:spacing w:line="91" w:lineRule="exact"/>
        <w:rPr>
          <w:sz w:val="20"/>
          <w:szCs w:val="20"/>
        </w:rPr>
      </w:pPr>
    </w:p>
    <w:p w:rsidR="00D24E61" w:rsidRPr="00771368" w:rsidRDefault="00D24E61">
      <w:pPr>
        <w:spacing w:line="347" w:lineRule="auto"/>
        <w:ind w:left="140" w:firstLine="708"/>
        <w:jc w:val="both"/>
        <w:rPr>
          <w:sz w:val="20"/>
          <w:szCs w:val="20"/>
        </w:rPr>
      </w:pPr>
      <w:r w:rsidRPr="00771368">
        <w:rPr>
          <w:sz w:val="24"/>
          <w:szCs w:val="24"/>
        </w:rPr>
        <w:t>Os alunos do Ensino Fundamental, ciclo II, que estudam à tarde, na sua maioria auxiliam os pais nas tarefas domésticas e cuidados com os irmãos menores. Poucos participam de cursos fora da escola, alguns frequentam centros de convivência ou praticam atividades esportivas no ginásio localizado em frente à escola. Estes alunos expressam constantemente o desejo de ingressar no mercado de trabalho.</w:t>
      </w:r>
    </w:p>
    <w:p w:rsidR="00D24E61" w:rsidRPr="00771368" w:rsidRDefault="00D24E61">
      <w:pPr>
        <w:spacing w:line="74" w:lineRule="exact"/>
        <w:rPr>
          <w:sz w:val="20"/>
          <w:szCs w:val="20"/>
        </w:rPr>
      </w:pPr>
    </w:p>
    <w:p w:rsidR="00D24E61" w:rsidRPr="00771368" w:rsidRDefault="00D24E61">
      <w:pPr>
        <w:spacing w:line="347" w:lineRule="auto"/>
        <w:ind w:left="140" w:firstLine="648"/>
        <w:jc w:val="both"/>
        <w:rPr>
          <w:sz w:val="20"/>
          <w:szCs w:val="20"/>
        </w:rPr>
      </w:pPr>
      <w:r w:rsidRPr="00771368">
        <w:rPr>
          <w:sz w:val="24"/>
          <w:szCs w:val="24"/>
        </w:rPr>
        <w:t>Os alunos do período noturno cursam o ensino médio regular. Observa-se que o número de alunos que precisa estudar à noite aumenta proporcionalmente de acordo com a idade, à medida que estes começam a ingressar no mercado de trabalho. Muitos alunos do período noturno trabalham na legião mirim, cuja principal ocupação é o trabalho na área azul no centro da cidade.</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tabs>
          <w:tab w:val="left" w:pos="1060"/>
        </w:tabs>
        <w:ind w:left="720"/>
        <w:rPr>
          <w:sz w:val="20"/>
          <w:szCs w:val="20"/>
        </w:rPr>
      </w:pPr>
      <w:r w:rsidRPr="00771368">
        <w:rPr>
          <w:b/>
          <w:bCs/>
          <w:sz w:val="24"/>
          <w:szCs w:val="24"/>
        </w:rPr>
        <w:t>2)</w:t>
      </w:r>
      <w:r w:rsidRPr="00771368">
        <w:rPr>
          <w:sz w:val="20"/>
          <w:szCs w:val="20"/>
        </w:rPr>
        <w:tab/>
      </w:r>
      <w:r w:rsidRPr="00771368">
        <w:rPr>
          <w:b/>
          <w:bCs/>
          <w:sz w:val="23"/>
          <w:szCs w:val="23"/>
        </w:rPr>
        <w:t>Resultado comparativo por Bimestre/Disciplina/Gênero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53" w:lineRule="auto"/>
        <w:ind w:firstLine="708"/>
        <w:jc w:val="both"/>
        <w:rPr>
          <w:sz w:val="20"/>
          <w:szCs w:val="20"/>
        </w:rPr>
      </w:pPr>
      <w:r w:rsidRPr="00771368">
        <w:rPr>
          <w:sz w:val="24"/>
          <w:szCs w:val="24"/>
        </w:rPr>
        <w:t>As disciplinas escolhidas para análise foram Língua Portuguesa e Matemática. A escolha da série e das disciplinas se deu por se tratar de serem estes alunos e estas disciplinas justamente as utilizadas nas avaliações externas como o IDESP (Índice de Desenvolvimento da Educação do Estado de são Paulo), cujas notas são obtidas através do SARESP (Sistema de Avaliação do Estado de São Paulo) e IDEB (Índice de Desenvolvimento da Educação Brasileira) cujas notas são obtidas através da Prova Brasil. Além disso, foi relevante o fato de que os professores - que lecionam as disciplinas Língua Portuguesa e Matemática - são os mesmos nas três salas, garantindo a uma maior condição de igualdade no sistema de avaliação dos alunos da amostra considerada.</w:t>
      </w:r>
    </w:p>
    <w:p w:rsidR="00D24E61" w:rsidRPr="00771368" w:rsidRDefault="00D24E61">
      <w:pPr>
        <w:spacing w:line="72" w:lineRule="exact"/>
        <w:rPr>
          <w:sz w:val="20"/>
          <w:szCs w:val="20"/>
        </w:rPr>
      </w:pPr>
    </w:p>
    <w:p w:rsidR="00D24E61" w:rsidRPr="00771368" w:rsidRDefault="00D24E61">
      <w:pPr>
        <w:spacing w:line="334" w:lineRule="auto"/>
        <w:ind w:firstLine="708"/>
        <w:jc w:val="both"/>
        <w:rPr>
          <w:sz w:val="20"/>
          <w:szCs w:val="20"/>
        </w:rPr>
      </w:pPr>
      <w:r w:rsidRPr="00771368">
        <w:rPr>
          <w:sz w:val="24"/>
          <w:szCs w:val="24"/>
        </w:rPr>
        <w:t>Os dados foram organizados, separando-se inicialmente as notas por disciplina, gênero e bimestre. Em seguida foram enumeradas as quantidades de alunos com notas acima da média e abaixo da média.</w:t>
      </w:r>
    </w:p>
    <w:p w:rsidR="00D24E61" w:rsidRPr="00771368" w:rsidRDefault="00D24E61">
      <w:pPr>
        <w:spacing w:line="91"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 média considerada é a utilizada nas escolas públicas do Estado de São Paulo, ou seja, 5.0 (cinco). Vale ressaltar que os conceitos analisados se traduzem num resumo de todas as atividades realizadas durante o bimestre, sendo a nota que melhor representa aquilo que o</w:t>
      </w:r>
    </w:p>
    <w:p w:rsidR="00D24E61" w:rsidRPr="00771368" w:rsidRDefault="00D24E61">
      <w:pPr>
        <w:sectPr w:rsidR="00D24E61" w:rsidRPr="00771368">
          <w:pgSz w:w="11900" w:h="16838"/>
          <w:pgMar w:top="1440" w:right="1120" w:bottom="823" w:left="1700" w:header="0" w:footer="0" w:gutter="0"/>
          <w:cols w:space="720" w:equalWidth="0">
            <w:col w:w="9080"/>
          </w:cols>
        </w:sectPr>
      </w:pPr>
    </w:p>
    <w:p w:rsidR="00D24E61" w:rsidRPr="00771368" w:rsidRDefault="00D24E61">
      <w:pPr>
        <w:spacing w:line="313" w:lineRule="exact"/>
        <w:rPr>
          <w:sz w:val="20"/>
          <w:szCs w:val="20"/>
        </w:rPr>
      </w:pPr>
    </w:p>
    <w:p w:rsidR="00D24E61" w:rsidRPr="00771368" w:rsidRDefault="00D24E61">
      <w:pPr>
        <w:spacing w:line="308" w:lineRule="auto"/>
        <w:ind w:right="20"/>
        <w:rPr>
          <w:sz w:val="20"/>
          <w:szCs w:val="20"/>
        </w:rPr>
      </w:pPr>
      <w:r w:rsidRPr="00771368">
        <w:rPr>
          <w:sz w:val="24"/>
          <w:szCs w:val="24"/>
        </w:rPr>
        <w:t>estudante realizou no seu cotidiano durante as aulas, bem como o resultado dos seus trabalhos, avaliações e recuperação bimestrais.</w:t>
      </w:r>
    </w:p>
    <w:p w:rsidR="00D24E61" w:rsidRPr="00771368" w:rsidRDefault="00D24E61">
      <w:pPr>
        <w:spacing w:line="61" w:lineRule="exact"/>
        <w:rPr>
          <w:sz w:val="20"/>
          <w:szCs w:val="20"/>
        </w:rPr>
      </w:pPr>
    </w:p>
    <w:p w:rsidR="00D24E61" w:rsidRPr="00771368" w:rsidRDefault="00D24E61">
      <w:pPr>
        <w:ind w:left="720"/>
        <w:rPr>
          <w:sz w:val="20"/>
          <w:szCs w:val="20"/>
        </w:rPr>
      </w:pPr>
      <w:r w:rsidRPr="00771368">
        <w:rPr>
          <w:sz w:val="24"/>
          <w:szCs w:val="24"/>
        </w:rPr>
        <w:t>Foram utilizadas as notas do primeiro e segundo bimestres do presente ano letivo.</w:t>
      </w:r>
    </w:p>
    <w:p w:rsidR="00D24E61" w:rsidRPr="00771368" w:rsidRDefault="00D24E61">
      <w:pPr>
        <w:spacing w:line="195" w:lineRule="exact"/>
        <w:rPr>
          <w:sz w:val="20"/>
          <w:szCs w:val="20"/>
        </w:rPr>
      </w:pPr>
    </w:p>
    <w:p w:rsidR="00D24E61" w:rsidRPr="00771368" w:rsidRDefault="00D24E61">
      <w:pPr>
        <w:spacing w:line="310" w:lineRule="auto"/>
        <w:ind w:firstLine="708"/>
        <w:rPr>
          <w:sz w:val="20"/>
          <w:szCs w:val="20"/>
        </w:rPr>
      </w:pPr>
      <w:r w:rsidRPr="00771368">
        <w:rPr>
          <w:sz w:val="24"/>
          <w:szCs w:val="24"/>
        </w:rPr>
        <w:t>As tabelas e gráficos abaixo descrevem mais detalhadamente os resultados encontrados.</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rPr>
          <w:sz w:val="20"/>
          <w:szCs w:val="20"/>
        </w:rPr>
      </w:pPr>
      <w:r w:rsidRPr="00771368">
        <w:rPr>
          <w:b/>
          <w:bCs/>
          <w:sz w:val="24"/>
          <w:szCs w:val="24"/>
        </w:rPr>
        <w:t>Língua Portuguesa – 1º Bimestre</w:t>
      </w:r>
    </w:p>
    <w:p w:rsidR="00D24E61" w:rsidRPr="00771368" w:rsidRDefault="00D24E61">
      <w:pPr>
        <w:spacing w:line="348" w:lineRule="exact"/>
        <w:rPr>
          <w:sz w:val="20"/>
          <w:szCs w:val="20"/>
        </w:rPr>
      </w:pPr>
    </w:p>
    <w:tbl>
      <w:tblPr>
        <w:tblW w:w="0" w:type="auto"/>
        <w:tblInd w:w="2050" w:type="dxa"/>
        <w:tblLayout w:type="fixed"/>
        <w:tblCellMar>
          <w:left w:w="0" w:type="dxa"/>
          <w:right w:w="0" w:type="dxa"/>
        </w:tblCellMar>
        <w:tblLook w:val="04A0" w:firstRow="1" w:lastRow="0" w:firstColumn="1" w:lastColumn="0" w:noHBand="0" w:noVBand="1"/>
      </w:tblPr>
      <w:tblGrid>
        <w:gridCol w:w="2080"/>
        <w:gridCol w:w="1520"/>
        <w:gridCol w:w="1420"/>
      </w:tblGrid>
      <w:tr w:rsidR="00D24E61" w:rsidRPr="00771368">
        <w:trPr>
          <w:trHeight w:val="270"/>
        </w:trPr>
        <w:tc>
          <w:tcPr>
            <w:tcW w:w="2080" w:type="dxa"/>
            <w:tcBorders>
              <w:top w:val="single" w:sz="8" w:space="0" w:color="auto"/>
              <w:left w:val="single" w:sz="8" w:space="0" w:color="auto"/>
              <w:right w:val="single" w:sz="8" w:space="0" w:color="auto"/>
            </w:tcBorders>
            <w:vAlign w:val="bottom"/>
          </w:tcPr>
          <w:p w:rsidR="00D24E61" w:rsidRPr="00771368" w:rsidRDefault="00D24E61">
            <w:pPr>
              <w:spacing w:line="267" w:lineRule="exact"/>
              <w:ind w:left="100"/>
              <w:rPr>
                <w:sz w:val="20"/>
                <w:szCs w:val="20"/>
              </w:rPr>
            </w:pPr>
            <w:r w:rsidRPr="00771368">
              <w:rPr>
                <w:rFonts w:eastAsia="Calibri"/>
                <w:b/>
                <w:bCs/>
              </w:rPr>
              <w:t>Gênero/Quantidade</w:t>
            </w:r>
          </w:p>
        </w:tc>
        <w:tc>
          <w:tcPr>
            <w:tcW w:w="1520" w:type="dxa"/>
            <w:tcBorders>
              <w:top w:val="single" w:sz="8" w:space="0" w:color="auto"/>
              <w:right w:val="single" w:sz="8" w:space="0" w:color="auto"/>
            </w:tcBorders>
            <w:vAlign w:val="bottom"/>
          </w:tcPr>
          <w:p w:rsidR="00D24E61" w:rsidRPr="00771368" w:rsidRDefault="00D24E61">
            <w:pPr>
              <w:spacing w:line="267" w:lineRule="exact"/>
              <w:ind w:left="100"/>
              <w:rPr>
                <w:sz w:val="20"/>
                <w:szCs w:val="20"/>
              </w:rPr>
            </w:pPr>
            <w:r w:rsidRPr="00771368">
              <w:rPr>
                <w:rFonts w:eastAsia="Calibri"/>
                <w:b/>
                <w:bCs/>
              </w:rPr>
              <w:t>Na média ou</w:t>
            </w:r>
          </w:p>
        </w:tc>
        <w:tc>
          <w:tcPr>
            <w:tcW w:w="1420" w:type="dxa"/>
            <w:tcBorders>
              <w:top w:val="single" w:sz="8" w:space="0" w:color="auto"/>
              <w:right w:val="single" w:sz="8" w:space="0" w:color="auto"/>
            </w:tcBorders>
            <w:vAlign w:val="bottom"/>
          </w:tcPr>
          <w:p w:rsidR="00D24E61" w:rsidRPr="00771368" w:rsidRDefault="00D24E61">
            <w:pPr>
              <w:spacing w:line="267" w:lineRule="exact"/>
              <w:ind w:left="80"/>
              <w:rPr>
                <w:sz w:val="20"/>
                <w:szCs w:val="20"/>
              </w:rPr>
            </w:pPr>
            <w:r w:rsidRPr="00771368">
              <w:rPr>
                <w:rFonts w:eastAsia="Calibri"/>
                <w:b/>
                <w:bCs/>
              </w:rPr>
              <w:t>Abaixo da</w:t>
            </w:r>
          </w:p>
        </w:tc>
      </w:tr>
      <w:tr w:rsidR="00D24E61" w:rsidRPr="00771368">
        <w:trPr>
          <w:trHeight w:val="273"/>
        </w:trPr>
        <w:tc>
          <w:tcPr>
            <w:tcW w:w="2080" w:type="dxa"/>
            <w:tcBorders>
              <w:left w:val="single" w:sz="8" w:space="0" w:color="auto"/>
              <w:bottom w:val="single" w:sz="8" w:space="0" w:color="auto"/>
              <w:right w:val="single" w:sz="8" w:space="0" w:color="auto"/>
            </w:tcBorders>
            <w:vAlign w:val="bottom"/>
          </w:tcPr>
          <w:p w:rsidR="00D24E61" w:rsidRPr="00771368" w:rsidRDefault="00D24E61">
            <w:pPr>
              <w:spacing w:line="267" w:lineRule="exact"/>
              <w:ind w:left="100"/>
              <w:rPr>
                <w:sz w:val="20"/>
                <w:szCs w:val="20"/>
              </w:rPr>
            </w:pPr>
            <w:r w:rsidRPr="00771368">
              <w:rPr>
                <w:rFonts w:eastAsia="Calibri"/>
                <w:b/>
                <w:bCs/>
              </w:rPr>
              <w:t>de Alunos</w:t>
            </w:r>
          </w:p>
        </w:tc>
        <w:tc>
          <w:tcPr>
            <w:tcW w:w="1520" w:type="dxa"/>
            <w:tcBorders>
              <w:bottom w:val="single" w:sz="8" w:space="0" w:color="auto"/>
              <w:right w:val="single" w:sz="8" w:space="0" w:color="auto"/>
            </w:tcBorders>
            <w:vAlign w:val="bottom"/>
          </w:tcPr>
          <w:p w:rsidR="00D24E61" w:rsidRPr="00771368" w:rsidRDefault="00D24E61">
            <w:pPr>
              <w:spacing w:line="267" w:lineRule="exact"/>
              <w:ind w:left="100"/>
              <w:rPr>
                <w:sz w:val="20"/>
                <w:szCs w:val="20"/>
              </w:rPr>
            </w:pPr>
            <w:r w:rsidRPr="00771368">
              <w:rPr>
                <w:rFonts w:eastAsia="Calibri"/>
                <w:b/>
                <w:bCs/>
              </w:rPr>
              <w:t>acima</w:t>
            </w:r>
          </w:p>
        </w:tc>
        <w:tc>
          <w:tcPr>
            <w:tcW w:w="1420" w:type="dxa"/>
            <w:tcBorders>
              <w:bottom w:val="single" w:sz="8" w:space="0" w:color="auto"/>
              <w:right w:val="single" w:sz="8" w:space="0" w:color="auto"/>
            </w:tcBorders>
            <w:vAlign w:val="bottom"/>
          </w:tcPr>
          <w:p w:rsidR="00D24E61" w:rsidRPr="00771368" w:rsidRDefault="00D24E61">
            <w:pPr>
              <w:spacing w:line="267" w:lineRule="exact"/>
              <w:ind w:left="80"/>
              <w:rPr>
                <w:sz w:val="20"/>
                <w:szCs w:val="20"/>
              </w:rPr>
            </w:pPr>
            <w:r w:rsidRPr="00771368">
              <w:rPr>
                <w:rFonts w:eastAsia="Calibri"/>
                <w:b/>
                <w:bCs/>
              </w:rPr>
              <w:t>média</w:t>
            </w:r>
          </w:p>
        </w:tc>
      </w:tr>
      <w:tr w:rsidR="00D24E61" w:rsidRPr="00771368">
        <w:trPr>
          <w:trHeight w:val="258"/>
        </w:trPr>
        <w:tc>
          <w:tcPr>
            <w:tcW w:w="2080" w:type="dxa"/>
            <w:tcBorders>
              <w:left w:val="single" w:sz="8" w:space="0" w:color="auto"/>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Meninas</w:t>
            </w:r>
          </w:p>
        </w:tc>
        <w:tc>
          <w:tcPr>
            <w:tcW w:w="1520" w:type="dxa"/>
            <w:tcBorders>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42</w:t>
            </w:r>
          </w:p>
        </w:tc>
        <w:tc>
          <w:tcPr>
            <w:tcW w:w="1420" w:type="dxa"/>
            <w:tcBorders>
              <w:bottom w:val="single" w:sz="8" w:space="0" w:color="auto"/>
              <w:right w:val="single" w:sz="8" w:space="0" w:color="auto"/>
            </w:tcBorders>
            <w:vAlign w:val="bottom"/>
          </w:tcPr>
          <w:p w:rsidR="00D24E61" w:rsidRPr="00771368" w:rsidRDefault="00D24E61">
            <w:pPr>
              <w:spacing w:line="254" w:lineRule="exact"/>
              <w:ind w:left="80"/>
              <w:rPr>
                <w:sz w:val="20"/>
                <w:szCs w:val="20"/>
              </w:rPr>
            </w:pPr>
            <w:r w:rsidRPr="00771368">
              <w:rPr>
                <w:rFonts w:eastAsia="Calibri"/>
              </w:rPr>
              <w:t>05</w:t>
            </w:r>
          </w:p>
        </w:tc>
      </w:tr>
      <w:tr w:rsidR="00D24E61" w:rsidRPr="00771368">
        <w:trPr>
          <w:trHeight w:val="258"/>
        </w:trPr>
        <w:tc>
          <w:tcPr>
            <w:tcW w:w="2080" w:type="dxa"/>
            <w:tcBorders>
              <w:left w:val="single" w:sz="8" w:space="0" w:color="auto"/>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Meninos</w:t>
            </w:r>
          </w:p>
        </w:tc>
        <w:tc>
          <w:tcPr>
            <w:tcW w:w="1520" w:type="dxa"/>
            <w:tcBorders>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40</w:t>
            </w:r>
          </w:p>
        </w:tc>
        <w:tc>
          <w:tcPr>
            <w:tcW w:w="1420" w:type="dxa"/>
            <w:tcBorders>
              <w:bottom w:val="single" w:sz="8" w:space="0" w:color="auto"/>
              <w:right w:val="single" w:sz="8" w:space="0" w:color="auto"/>
            </w:tcBorders>
            <w:vAlign w:val="bottom"/>
          </w:tcPr>
          <w:p w:rsidR="00D24E61" w:rsidRPr="00771368" w:rsidRDefault="00D24E61">
            <w:pPr>
              <w:spacing w:line="254" w:lineRule="exact"/>
              <w:ind w:left="80"/>
              <w:rPr>
                <w:sz w:val="20"/>
                <w:szCs w:val="20"/>
              </w:rPr>
            </w:pPr>
            <w:r w:rsidRPr="00771368">
              <w:rPr>
                <w:rFonts w:eastAsia="Calibri"/>
              </w:rPr>
              <w:t>17</w:t>
            </w:r>
          </w:p>
        </w:tc>
      </w:tr>
    </w:tbl>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5" w:lineRule="exact"/>
        <w:rPr>
          <w:sz w:val="20"/>
          <w:szCs w:val="20"/>
        </w:rPr>
      </w:pPr>
    </w:p>
    <w:p w:rsidR="00D24E61" w:rsidRPr="00771368" w:rsidRDefault="00D24E61">
      <w:pPr>
        <w:tabs>
          <w:tab w:val="left" w:pos="6080"/>
        </w:tabs>
        <w:ind w:left="2380"/>
        <w:rPr>
          <w:sz w:val="20"/>
          <w:szCs w:val="20"/>
        </w:rPr>
      </w:pPr>
      <w:r w:rsidRPr="00771368">
        <w:rPr>
          <w:b/>
          <w:bCs/>
          <w:sz w:val="24"/>
          <w:szCs w:val="24"/>
        </w:rPr>
        <w:t>Meninas</w:t>
      </w:r>
      <w:r w:rsidRPr="00771368">
        <w:rPr>
          <w:sz w:val="20"/>
          <w:szCs w:val="20"/>
        </w:rPr>
        <w:tab/>
      </w:r>
      <w:r w:rsidRPr="00771368">
        <w:rPr>
          <w:b/>
          <w:bCs/>
          <w:sz w:val="24"/>
          <w:szCs w:val="24"/>
        </w:rPr>
        <w:t>Meninos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591680" behindDoc="1" locked="0" layoutInCell="0" allowOverlap="1">
            <wp:simplePos x="0" y="0"/>
            <wp:positionH relativeFrom="column">
              <wp:posOffset>677545</wp:posOffset>
            </wp:positionH>
            <wp:positionV relativeFrom="paragraph">
              <wp:posOffset>89535</wp:posOffset>
            </wp:positionV>
            <wp:extent cx="4590415" cy="16383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blip>
                    <a:srcRect/>
                    <a:stretch>
                      <a:fillRect/>
                    </a:stretch>
                  </pic:blipFill>
                  <pic:spPr bwMode="auto">
                    <a:xfrm>
                      <a:off x="0" y="0"/>
                      <a:ext cx="4590415" cy="163830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60" w:lineRule="exact"/>
        <w:rPr>
          <w:sz w:val="20"/>
          <w:szCs w:val="20"/>
        </w:rPr>
      </w:pPr>
    </w:p>
    <w:p w:rsidR="00D24E61" w:rsidRPr="00771368" w:rsidRDefault="00D24E61">
      <w:pPr>
        <w:ind w:left="1140"/>
        <w:rPr>
          <w:sz w:val="20"/>
          <w:szCs w:val="20"/>
        </w:rPr>
      </w:pPr>
      <w:r w:rsidRPr="00771368">
        <w:rPr>
          <w:noProof/>
          <w:sz w:val="20"/>
          <w:szCs w:val="20"/>
        </w:rPr>
        <w:drawing>
          <wp:inline distT="0" distB="0" distL="0" distR="0">
            <wp:extent cx="113030" cy="12255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blip>
                    <a:srcRect/>
                    <a:stretch>
                      <a:fillRect/>
                    </a:stretch>
                  </pic:blipFill>
                  <pic:spPr bwMode="auto">
                    <a:xfrm>
                      <a:off x="0" y="0"/>
                      <a:ext cx="113030" cy="122555"/>
                    </a:xfrm>
                    <a:prstGeom prst="rect">
                      <a:avLst/>
                    </a:prstGeom>
                    <a:noFill/>
                    <a:ln>
                      <a:noFill/>
                    </a:ln>
                  </pic:spPr>
                </pic:pic>
              </a:graphicData>
            </a:graphic>
          </wp:inline>
        </w:drawing>
      </w:r>
      <w:r w:rsidRPr="00771368">
        <w:rPr>
          <w:noProof/>
          <w:sz w:val="20"/>
          <w:szCs w:val="20"/>
        </w:rPr>
        <w:drawing>
          <wp:inline distT="0" distB="0" distL="0" distR="0">
            <wp:extent cx="9525" cy="12255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blip>
                    <a:srcRect/>
                    <a:stretch>
                      <a:fillRect/>
                    </a:stretch>
                  </pic:blipFill>
                  <pic:spPr bwMode="auto">
                    <a:xfrm>
                      <a:off x="0" y="0"/>
                      <a:ext cx="9525" cy="122555"/>
                    </a:xfrm>
                    <a:prstGeom prst="rect">
                      <a:avLst/>
                    </a:prstGeom>
                    <a:noFill/>
                    <a:ln>
                      <a:noFill/>
                    </a:ln>
                  </pic:spPr>
                </pic:pic>
              </a:graphicData>
            </a:graphic>
          </wp:inline>
        </w:drawing>
      </w:r>
      <w:r w:rsidRPr="00771368">
        <w:rPr>
          <w:sz w:val="20"/>
          <w:szCs w:val="20"/>
        </w:rPr>
        <w:t xml:space="preserve"> Notas na média ou acima</w:t>
      </w:r>
    </w:p>
    <w:p w:rsidR="00D24E61" w:rsidRPr="00771368" w:rsidRDefault="00013211">
      <w:pPr>
        <w:spacing w:line="1" w:lineRule="exact"/>
        <w:rPr>
          <w:sz w:val="20"/>
          <w:szCs w:val="20"/>
        </w:rPr>
      </w:pPr>
      <w:r>
        <w:rPr>
          <w:noProof/>
          <w:sz w:val="20"/>
          <w:szCs w:val="20"/>
        </w:rPr>
        <mc:AlternateContent>
          <mc:Choice Requires="wps">
            <w:drawing>
              <wp:anchor distT="0" distB="0" distL="0" distR="0" simplePos="0" relativeHeight="251584000" behindDoc="0" locked="0" layoutInCell="0" allowOverlap="1">
                <wp:simplePos x="0" y="0"/>
                <wp:positionH relativeFrom="column">
                  <wp:posOffset>720725</wp:posOffset>
                </wp:positionH>
                <wp:positionV relativeFrom="paragraph">
                  <wp:posOffset>-4445</wp:posOffset>
                </wp:positionV>
                <wp:extent cx="113030" cy="0"/>
                <wp:effectExtent l="6350" t="5080" r="13970" b="13970"/>
                <wp:wrapNone/>
                <wp:docPr id="344"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 o:spid="_x0000_s1026" style="position:absolute;z-index:25158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6.75pt,-.35pt" to="65.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WN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" o:allowincell="f"/>
            </w:pict>
          </mc:Fallback>
        </mc:AlternateContent>
      </w:r>
    </w:p>
    <w:p w:rsidR="00D24E61" w:rsidRPr="00771368" w:rsidRDefault="00D24E61">
      <w:pPr>
        <w:ind w:left="1140"/>
        <w:rPr>
          <w:sz w:val="20"/>
          <w:szCs w:val="20"/>
        </w:rPr>
      </w:pPr>
      <w:r w:rsidRPr="00771368">
        <w:rPr>
          <w:noProof/>
          <w:sz w:val="20"/>
          <w:szCs w:val="20"/>
        </w:rPr>
        <w:drawing>
          <wp:inline distT="0" distB="0" distL="0" distR="0">
            <wp:extent cx="113030" cy="122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blip>
                    <a:srcRect/>
                    <a:stretch>
                      <a:fillRect/>
                    </a:stretch>
                  </pic:blipFill>
                  <pic:spPr bwMode="auto">
                    <a:xfrm>
                      <a:off x="0" y="0"/>
                      <a:ext cx="113030" cy="122555"/>
                    </a:xfrm>
                    <a:prstGeom prst="rect">
                      <a:avLst/>
                    </a:prstGeom>
                    <a:noFill/>
                    <a:ln>
                      <a:noFill/>
                    </a:ln>
                  </pic:spPr>
                </pic:pic>
              </a:graphicData>
            </a:graphic>
          </wp:inline>
        </w:drawing>
      </w:r>
      <w:r w:rsidRPr="00771368">
        <w:rPr>
          <w:noProof/>
          <w:sz w:val="20"/>
          <w:szCs w:val="20"/>
        </w:rPr>
        <w:drawing>
          <wp:inline distT="0" distB="0" distL="0" distR="0">
            <wp:extent cx="9525" cy="122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blip>
                    <a:srcRect/>
                    <a:stretch>
                      <a:fillRect/>
                    </a:stretch>
                  </pic:blipFill>
                  <pic:spPr bwMode="auto">
                    <a:xfrm>
                      <a:off x="0" y="0"/>
                      <a:ext cx="9525" cy="122555"/>
                    </a:xfrm>
                    <a:prstGeom prst="rect">
                      <a:avLst/>
                    </a:prstGeom>
                    <a:noFill/>
                    <a:ln>
                      <a:noFill/>
                    </a:ln>
                  </pic:spPr>
                </pic:pic>
              </a:graphicData>
            </a:graphic>
          </wp:inline>
        </w:drawing>
      </w:r>
      <w:r w:rsidRPr="00771368">
        <w:rPr>
          <w:sz w:val="20"/>
          <w:szCs w:val="20"/>
        </w:rPr>
        <w:t xml:space="preserve"> Notas abaixo da média</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585024" behindDoc="0" locked="0" layoutInCell="0" allowOverlap="1">
                <wp:simplePos x="0" y="0"/>
                <wp:positionH relativeFrom="column">
                  <wp:posOffset>721995</wp:posOffset>
                </wp:positionH>
                <wp:positionV relativeFrom="paragraph">
                  <wp:posOffset>-4445</wp:posOffset>
                </wp:positionV>
                <wp:extent cx="113030" cy="0"/>
                <wp:effectExtent l="7620" t="5080" r="12700" b="13970"/>
                <wp:wrapNone/>
                <wp:docPr id="343"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8" o:spid="_x0000_s1026" style="position:absolute;z-index:25158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6.85pt,-.35pt" to="6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N1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" o:allowincell="f"/>
            </w:pict>
          </mc:Fallback>
        </mc:AlternateContent>
      </w:r>
    </w:p>
    <w:p w:rsidR="00D24E61" w:rsidRPr="00771368" w:rsidRDefault="00D24E61">
      <w:pPr>
        <w:spacing w:line="200" w:lineRule="exact"/>
        <w:rPr>
          <w:sz w:val="20"/>
          <w:szCs w:val="20"/>
        </w:rPr>
      </w:pPr>
    </w:p>
    <w:p w:rsidR="00D24E61" w:rsidRPr="00771368" w:rsidRDefault="00D24E61">
      <w:pPr>
        <w:spacing w:line="386" w:lineRule="exact"/>
        <w:rPr>
          <w:sz w:val="20"/>
          <w:szCs w:val="20"/>
        </w:rPr>
      </w:pPr>
    </w:p>
    <w:p w:rsidR="00D24E61" w:rsidRPr="00771368" w:rsidRDefault="00D24E61">
      <w:pPr>
        <w:rPr>
          <w:sz w:val="20"/>
          <w:szCs w:val="20"/>
        </w:rPr>
      </w:pPr>
      <w:r w:rsidRPr="00771368">
        <w:rPr>
          <w:b/>
          <w:bCs/>
          <w:sz w:val="24"/>
          <w:szCs w:val="24"/>
        </w:rPr>
        <w:t>Língua Portuguesa – 2º Bimestre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51" w:lineRule="exact"/>
        <w:rPr>
          <w:sz w:val="20"/>
          <w:szCs w:val="20"/>
        </w:rPr>
      </w:pPr>
    </w:p>
    <w:tbl>
      <w:tblPr>
        <w:tblW w:w="0" w:type="auto"/>
        <w:tblInd w:w="2070" w:type="dxa"/>
        <w:tblLayout w:type="fixed"/>
        <w:tblCellMar>
          <w:left w:w="0" w:type="dxa"/>
          <w:right w:w="0" w:type="dxa"/>
        </w:tblCellMar>
        <w:tblLook w:val="04A0" w:firstRow="1" w:lastRow="0" w:firstColumn="1" w:lastColumn="0" w:noHBand="0" w:noVBand="1"/>
      </w:tblPr>
      <w:tblGrid>
        <w:gridCol w:w="2160"/>
        <w:gridCol w:w="1380"/>
        <w:gridCol w:w="1420"/>
      </w:tblGrid>
      <w:tr w:rsidR="00D24E61" w:rsidRPr="00771368">
        <w:trPr>
          <w:trHeight w:val="270"/>
        </w:trPr>
        <w:tc>
          <w:tcPr>
            <w:tcW w:w="2160" w:type="dxa"/>
            <w:tcBorders>
              <w:top w:val="single" w:sz="8" w:space="0" w:color="auto"/>
              <w:left w:val="single" w:sz="8" w:space="0" w:color="auto"/>
              <w:right w:val="single" w:sz="8" w:space="0" w:color="auto"/>
            </w:tcBorders>
            <w:vAlign w:val="bottom"/>
          </w:tcPr>
          <w:p w:rsidR="00D24E61" w:rsidRPr="00771368" w:rsidRDefault="00D24E61">
            <w:pPr>
              <w:ind w:left="120"/>
              <w:rPr>
                <w:sz w:val="20"/>
                <w:szCs w:val="20"/>
              </w:rPr>
            </w:pPr>
            <w:r w:rsidRPr="00771368">
              <w:rPr>
                <w:rFonts w:eastAsia="Calibri"/>
                <w:b/>
                <w:bCs/>
              </w:rPr>
              <w:t>Gênero/ Quantidade</w:t>
            </w:r>
          </w:p>
        </w:tc>
        <w:tc>
          <w:tcPr>
            <w:tcW w:w="1380" w:type="dxa"/>
            <w:tcBorders>
              <w:top w:val="single" w:sz="8" w:space="0" w:color="auto"/>
              <w:right w:val="single" w:sz="8" w:space="0" w:color="auto"/>
            </w:tcBorders>
            <w:vAlign w:val="bottom"/>
          </w:tcPr>
          <w:p w:rsidR="00D24E61" w:rsidRPr="00771368" w:rsidRDefault="00D24E61">
            <w:pPr>
              <w:ind w:left="80"/>
              <w:rPr>
                <w:sz w:val="20"/>
                <w:szCs w:val="20"/>
              </w:rPr>
            </w:pPr>
            <w:r w:rsidRPr="00771368">
              <w:rPr>
                <w:rFonts w:eastAsia="Calibri"/>
                <w:b/>
                <w:bCs/>
              </w:rPr>
              <w:t>Na média ou</w:t>
            </w:r>
          </w:p>
        </w:tc>
        <w:tc>
          <w:tcPr>
            <w:tcW w:w="1420" w:type="dxa"/>
            <w:tcBorders>
              <w:top w:val="single" w:sz="8" w:space="0" w:color="auto"/>
              <w:right w:val="single" w:sz="8" w:space="0" w:color="auto"/>
            </w:tcBorders>
            <w:vAlign w:val="bottom"/>
          </w:tcPr>
          <w:p w:rsidR="00D24E61" w:rsidRPr="00771368" w:rsidRDefault="00D24E61">
            <w:pPr>
              <w:ind w:left="100"/>
              <w:rPr>
                <w:sz w:val="20"/>
                <w:szCs w:val="20"/>
              </w:rPr>
            </w:pPr>
            <w:r w:rsidRPr="00771368">
              <w:rPr>
                <w:rFonts w:eastAsia="Calibri"/>
                <w:b/>
                <w:bCs/>
              </w:rPr>
              <w:t>Abaixo da</w:t>
            </w:r>
          </w:p>
        </w:tc>
      </w:tr>
      <w:tr w:rsidR="00D24E61" w:rsidRPr="00771368">
        <w:trPr>
          <w:trHeight w:val="273"/>
        </w:trPr>
        <w:tc>
          <w:tcPr>
            <w:tcW w:w="2160" w:type="dxa"/>
            <w:tcBorders>
              <w:left w:val="single" w:sz="8" w:space="0" w:color="auto"/>
              <w:bottom w:val="single" w:sz="8" w:space="0" w:color="auto"/>
              <w:right w:val="single" w:sz="8" w:space="0" w:color="auto"/>
            </w:tcBorders>
            <w:vAlign w:val="bottom"/>
          </w:tcPr>
          <w:p w:rsidR="00D24E61" w:rsidRPr="00771368" w:rsidRDefault="00D24E61">
            <w:pPr>
              <w:ind w:left="120"/>
              <w:rPr>
                <w:sz w:val="20"/>
                <w:szCs w:val="20"/>
              </w:rPr>
            </w:pPr>
            <w:r w:rsidRPr="00771368">
              <w:rPr>
                <w:rFonts w:eastAsia="Calibri"/>
                <w:b/>
                <w:bCs/>
              </w:rPr>
              <w:t>de Alunos</w:t>
            </w:r>
          </w:p>
        </w:tc>
        <w:tc>
          <w:tcPr>
            <w:tcW w:w="1380" w:type="dxa"/>
            <w:tcBorders>
              <w:bottom w:val="single" w:sz="8" w:space="0" w:color="auto"/>
              <w:right w:val="single" w:sz="8" w:space="0" w:color="auto"/>
            </w:tcBorders>
            <w:vAlign w:val="bottom"/>
          </w:tcPr>
          <w:p w:rsidR="00D24E61" w:rsidRPr="00771368" w:rsidRDefault="00D24E61">
            <w:pPr>
              <w:ind w:left="80"/>
              <w:rPr>
                <w:sz w:val="20"/>
                <w:szCs w:val="20"/>
              </w:rPr>
            </w:pPr>
            <w:r w:rsidRPr="00771368">
              <w:rPr>
                <w:rFonts w:eastAsia="Calibri"/>
                <w:b/>
                <w:bCs/>
              </w:rPr>
              <w:t>acima</w:t>
            </w:r>
          </w:p>
        </w:tc>
        <w:tc>
          <w:tcPr>
            <w:tcW w:w="1420" w:type="dxa"/>
            <w:tcBorders>
              <w:bottom w:val="single" w:sz="8" w:space="0" w:color="auto"/>
              <w:right w:val="single" w:sz="8" w:space="0" w:color="auto"/>
            </w:tcBorders>
            <w:vAlign w:val="bottom"/>
          </w:tcPr>
          <w:p w:rsidR="00D24E61" w:rsidRPr="00771368" w:rsidRDefault="00D24E61">
            <w:pPr>
              <w:ind w:left="100"/>
              <w:rPr>
                <w:sz w:val="20"/>
                <w:szCs w:val="20"/>
              </w:rPr>
            </w:pPr>
            <w:r w:rsidRPr="00771368">
              <w:rPr>
                <w:rFonts w:eastAsia="Calibri"/>
                <w:b/>
                <w:bCs/>
              </w:rPr>
              <w:t>média</w:t>
            </w:r>
          </w:p>
        </w:tc>
      </w:tr>
      <w:tr w:rsidR="00D24E61" w:rsidRPr="00771368">
        <w:trPr>
          <w:trHeight w:val="258"/>
        </w:trPr>
        <w:tc>
          <w:tcPr>
            <w:tcW w:w="2160" w:type="dxa"/>
            <w:tcBorders>
              <w:left w:val="single" w:sz="8" w:space="0" w:color="auto"/>
              <w:bottom w:val="single" w:sz="8" w:space="0" w:color="auto"/>
              <w:right w:val="single" w:sz="8" w:space="0" w:color="auto"/>
            </w:tcBorders>
            <w:vAlign w:val="bottom"/>
          </w:tcPr>
          <w:p w:rsidR="00D24E61" w:rsidRPr="00771368" w:rsidRDefault="00D24E61">
            <w:pPr>
              <w:spacing w:line="254" w:lineRule="exact"/>
              <w:ind w:left="120"/>
              <w:rPr>
                <w:sz w:val="20"/>
                <w:szCs w:val="20"/>
              </w:rPr>
            </w:pPr>
            <w:r w:rsidRPr="00771368">
              <w:rPr>
                <w:rFonts w:eastAsia="Calibri"/>
              </w:rPr>
              <w:t>Meninas</w:t>
            </w:r>
          </w:p>
        </w:tc>
        <w:tc>
          <w:tcPr>
            <w:tcW w:w="1380" w:type="dxa"/>
            <w:tcBorders>
              <w:bottom w:val="single" w:sz="8" w:space="0" w:color="auto"/>
              <w:right w:val="single" w:sz="8" w:space="0" w:color="auto"/>
            </w:tcBorders>
            <w:vAlign w:val="bottom"/>
          </w:tcPr>
          <w:p w:rsidR="00D24E61" w:rsidRPr="00771368" w:rsidRDefault="00D24E61">
            <w:pPr>
              <w:spacing w:line="254" w:lineRule="exact"/>
              <w:ind w:right="910"/>
              <w:jc w:val="right"/>
              <w:rPr>
                <w:sz w:val="20"/>
                <w:szCs w:val="20"/>
              </w:rPr>
            </w:pPr>
            <w:r w:rsidRPr="00771368">
              <w:rPr>
                <w:rFonts w:eastAsia="Calibri"/>
              </w:rPr>
              <w:t>39</w:t>
            </w:r>
          </w:p>
        </w:tc>
        <w:tc>
          <w:tcPr>
            <w:tcW w:w="1420" w:type="dxa"/>
            <w:tcBorders>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08</w:t>
            </w:r>
          </w:p>
        </w:tc>
      </w:tr>
      <w:tr w:rsidR="00D24E61" w:rsidRPr="00771368">
        <w:trPr>
          <w:trHeight w:val="258"/>
        </w:trPr>
        <w:tc>
          <w:tcPr>
            <w:tcW w:w="2160" w:type="dxa"/>
            <w:tcBorders>
              <w:left w:val="single" w:sz="8" w:space="0" w:color="auto"/>
              <w:bottom w:val="single" w:sz="8" w:space="0" w:color="auto"/>
              <w:right w:val="single" w:sz="8" w:space="0" w:color="auto"/>
            </w:tcBorders>
            <w:vAlign w:val="bottom"/>
          </w:tcPr>
          <w:p w:rsidR="00D24E61" w:rsidRPr="00771368" w:rsidRDefault="00D24E61">
            <w:pPr>
              <w:spacing w:line="254" w:lineRule="exact"/>
              <w:ind w:left="120"/>
              <w:rPr>
                <w:sz w:val="20"/>
                <w:szCs w:val="20"/>
              </w:rPr>
            </w:pPr>
            <w:r w:rsidRPr="00771368">
              <w:rPr>
                <w:rFonts w:eastAsia="Calibri"/>
              </w:rPr>
              <w:t>Meninos</w:t>
            </w:r>
          </w:p>
        </w:tc>
        <w:tc>
          <w:tcPr>
            <w:tcW w:w="1380" w:type="dxa"/>
            <w:tcBorders>
              <w:bottom w:val="single" w:sz="8" w:space="0" w:color="auto"/>
              <w:right w:val="single" w:sz="8" w:space="0" w:color="auto"/>
            </w:tcBorders>
            <w:vAlign w:val="bottom"/>
          </w:tcPr>
          <w:p w:rsidR="00D24E61" w:rsidRPr="00771368" w:rsidRDefault="00D24E61">
            <w:pPr>
              <w:spacing w:line="254" w:lineRule="exact"/>
              <w:ind w:right="910"/>
              <w:jc w:val="right"/>
              <w:rPr>
                <w:sz w:val="20"/>
                <w:szCs w:val="20"/>
              </w:rPr>
            </w:pPr>
            <w:r w:rsidRPr="00771368">
              <w:rPr>
                <w:rFonts w:eastAsia="Calibri"/>
              </w:rPr>
              <w:t>44</w:t>
            </w:r>
          </w:p>
        </w:tc>
        <w:tc>
          <w:tcPr>
            <w:tcW w:w="1420" w:type="dxa"/>
            <w:tcBorders>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13</w:t>
            </w:r>
          </w:p>
        </w:tc>
      </w:tr>
    </w:tbl>
    <w:p w:rsidR="00D24E61" w:rsidRPr="00771368" w:rsidRDefault="00D24E61">
      <w:pPr>
        <w:sectPr w:rsidR="00D24E61" w:rsidRPr="00771368">
          <w:pgSz w:w="11900" w:h="16838"/>
          <w:pgMar w:top="1440" w:right="1120" w:bottom="1440" w:left="1700" w:header="0" w:footer="0" w:gutter="0"/>
          <w:cols w:space="720" w:equalWidth="0">
            <w:col w:w="9080"/>
          </w:cols>
        </w:sectPr>
      </w:pPr>
    </w:p>
    <w:p w:rsidR="00D24E61" w:rsidRPr="00771368" w:rsidRDefault="00D24E61">
      <w:pPr>
        <w:spacing w:line="259" w:lineRule="exact"/>
        <w:rPr>
          <w:sz w:val="20"/>
          <w:szCs w:val="20"/>
        </w:rPr>
      </w:pPr>
    </w:p>
    <w:p w:rsidR="00D24E61" w:rsidRPr="00771368" w:rsidRDefault="00D24E61">
      <w:pPr>
        <w:tabs>
          <w:tab w:val="left" w:pos="5700"/>
        </w:tabs>
        <w:ind w:left="2200" w:right="560"/>
        <w:rPr>
          <w:sz w:val="20"/>
          <w:szCs w:val="20"/>
        </w:rPr>
      </w:pPr>
      <w:r w:rsidRPr="00771368">
        <w:rPr>
          <w:b/>
          <w:bCs/>
          <w:sz w:val="24"/>
          <w:szCs w:val="24"/>
        </w:rPr>
        <w:t>Meninas</w:t>
      </w:r>
      <w:r w:rsidRPr="00771368">
        <w:rPr>
          <w:sz w:val="20"/>
          <w:szCs w:val="20"/>
        </w:rPr>
        <w:tab/>
      </w:r>
      <w:r w:rsidRPr="00771368">
        <w:rPr>
          <w:b/>
          <w:bCs/>
          <w:sz w:val="24"/>
          <w:szCs w:val="24"/>
        </w:rPr>
        <w:t>Meninos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593728" behindDoc="1" locked="0" layoutInCell="0" allowOverlap="1">
            <wp:simplePos x="0" y="0"/>
            <wp:positionH relativeFrom="column">
              <wp:posOffset>677545</wp:posOffset>
            </wp:positionH>
            <wp:positionV relativeFrom="paragraph">
              <wp:posOffset>86995</wp:posOffset>
            </wp:positionV>
            <wp:extent cx="5059680" cy="16275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blip>
                    <a:srcRect/>
                    <a:stretch>
                      <a:fillRect/>
                    </a:stretch>
                  </pic:blipFill>
                  <pic:spPr bwMode="auto">
                    <a:xfrm>
                      <a:off x="0" y="0"/>
                      <a:ext cx="5059680" cy="162750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3" w:lineRule="exact"/>
        <w:rPr>
          <w:sz w:val="20"/>
          <w:szCs w:val="20"/>
        </w:rPr>
      </w:pPr>
    </w:p>
    <w:p w:rsidR="00D24E61" w:rsidRPr="00771368" w:rsidRDefault="00D24E61">
      <w:pPr>
        <w:ind w:left="1220"/>
        <w:rPr>
          <w:sz w:val="20"/>
          <w:szCs w:val="20"/>
        </w:rPr>
      </w:pPr>
      <w:r w:rsidRPr="00771368">
        <w:rPr>
          <w:noProof/>
          <w:sz w:val="20"/>
          <w:szCs w:val="20"/>
        </w:rPr>
        <w:drawing>
          <wp:inline distT="0" distB="0" distL="0" distR="0">
            <wp:extent cx="113030" cy="122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blip>
                    <a:srcRect/>
                    <a:stretch>
                      <a:fillRect/>
                    </a:stretch>
                  </pic:blipFill>
                  <pic:spPr bwMode="auto">
                    <a:xfrm>
                      <a:off x="0" y="0"/>
                      <a:ext cx="113030" cy="122555"/>
                    </a:xfrm>
                    <a:prstGeom prst="rect">
                      <a:avLst/>
                    </a:prstGeom>
                    <a:noFill/>
                    <a:ln>
                      <a:noFill/>
                    </a:ln>
                  </pic:spPr>
                </pic:pic>
              </a:graphicData>
            </a:graphic>
          </wp:inline>
        </w:drawing>
      </w:r>
      <w:r w:rsidRPr="00771368">
        <w:rPr>
          <w:noProof/>
          <w:sz w:val="20"/>
          <w:szCs w:val="20"/>
        </w:rPr>
        <w:drawing>
          <wp:inline distT="0" distB="0" distL="0" distR="0">
            <wp:extent cx="9525" cy="122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blip>
                    <a:srcRect/>
                    <a:stretch>
                      <a:fillRect/>
                    </a:stretch>
                  </pic:blipFill>
                  <pic:spPr bwMode="auto">
                    <a:xfrm>
                      <a:off x="0" y="0"/>
                      <a:ext cx="9525" cy="122555"/>
                    </a:xfrm>
                    <a:prstGeom prst="rect">
                      <a:avLst/>
                    </a:prstGeom>
                    <a:noFill/>
                    <a:ln>
                      <a:noFill/>
                    </a:ln>
                  </pic:spPr>
                </pic:pic>
              </a:graphicData>
            </a:graphic>
          </wp:inline>
        </w:drawing>
      </w:r>
      <w:r w:rsidRPr="00771368">
        <w:rPr>
          <w:sz w:val="20"/>
          <w:szCs w:val="20"/>
        </w:rPr>
        <w:t xml:space="preserve"> Notas na média ou acima</w:t>
      </w:r>
    </w:p>
    <w:p w:rsidR="00D24E61" w:rsidRPr="00771368" w:rsidRDefault="00013211">
      <w:pPr>
        <w:spacing w:line="239" w:lineRule="auto"/>
        <w:ind w:left="1480"/>
        <w:rPr>
          <w:sz w:val="20"/>
          <w:szCs w:val="20"/>
        </w:rPr>
      </w:pPr>
      <w:r>
        <w:rPr>
          <w:noProof/>
          <w:sz w:val="20"/>
          <w:szCs w:val="20"/>
        </w:rPr>
        <mc:AlternateContent>
          <mc:Choice Requires="wps">
            <w:drawing>
              <wp:anchor distT="0" distB="0" distL="0" distR="0" simplePos="0" relativeHeight="251586048" behindDoc="0" locked="0" layoutInCell="0" allowOverlap="1">
                <wp:simplePos x="0" y="0"/>
                <wp:positionH relativeFrom="column">
                  <wp:posOffset>769620</wp:posOffset>
                </wp:positionH>
                <wp:positionV relativeFrom="paragraph">
                  <wp:posOffset>-12065</wp:posOffset>
                </wp:positionV>
                <wp:extent cx="113030" cy="0"/>
                <wp:effectExtent l="7620" t="6985" r="12700" b="12065"/>
                <wp:wrapNone/>
                <wp:docPr id="34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2" o:spid="_x0000_s1026" style="position:absolute;z-index:25158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0.6pt,-.95pt" to="6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wc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" o:allowincell="f"/>
            </w:pict>
          </mc:Fallback>
        </mc:AlternateContent>
      </w:r>
      <w:r w:rsidR="00D24E61" w:rsidRPr="00771368">
        <w:rPr>
          <w:sz w:val="20"/>
          <w:szCs w:val="20"/>
        </w:rPr>
        <w:t>Notas abaixo da média</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01408" behindDoc="1" locked="0" layoutInCell="0" allowOverlap="1">
                <wp:simplePos x="0" y="0"/>
                <wp:positionH relativeFrom="column">
                  <wp:posOffset>774700</wp:posOffset>
                </wp:positionH>
                <wp:positionV relativeFrom="paragraph">
                  <wp:posOffset>-100965</wp:posOffset>
                </wp:positionV>
                <wp:extent cx="102870" cy="112395"/>
                <wp:effectExtent l="3175" t="3810" r="0" b="0"/>
                <wp:wrapNone/>
                <wp:docPr id="341"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1239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 o:spid="_x0000_s1026" style="position:absolute;margin-left:61pt;margin-top:-7.95pt;width:8.1pt;height:8.85pt;z-index:-25171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" o:allowincell="f" fillcolor="#c00000" stroked="f"/>
            </w:pict>
          </mc:Fallback>
        </mc:AlternateContent>
      </w:r>
      <w:r>
        <w:rPr>
          <w:noProof/>
          <w:sz w:val="20"/>
          <w:szCs w:val="20"/>
        </w:rPr>
        <mc:AlternateContent>
          <mc:Choice Requires="wps">
            <w:drawing>
              <wp:anchor distT="0" distB="0" distL="0" distR="0" simplePos="0" relativeHeight="251587072" behindDoc="0" locked="0" layoutInCell="0" allowOverlap="1">
                <wp:simplePos x="0" y="0"/>
                <wp:positionH relativeFrom="column">
                  <wp:posOffset>769620</wp:posOffset>
                </wp:positionH>
                <wp:positionV relativeFrom="paragraph">
                  <wp:posOffset>11430</wp:posOffset>
                </wp:positionV>
                <wp:extent cx="113030" cy="0"/>
                <wp:effectExtent l="7620" t="11430" r="12700" b="7620"/>
                <wp:wrapNone/>
                <wp:docPr id="340"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4" o:spid="_x0000_s1026" style="position:absolute;z-index:25158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0.6pt,.9pt" to="6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1+EwIAACs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" o:allowincell="f"/>
            </w:pict>
          </mc:Fallback>
        </mc:AlternateContent>
      </w:r>
      <w:r>
        <w:rPr>
          <w:noProof/>
          <w:sz w:val="20"/>
          <w:szCs w:val="20"/>
        </w:rPr>
        <mc:AlternateContent>
          <mc:Choice Requires="wps">
            <w:drawing>
              <wp:anchor distT="0" distB="0" distL="0" distR="0" simplePos="0" relativeHeight="251588096" behindDoc="0" locked="0" layoutInCell="0" allowOverlap="1">
                <wp:simplePos x="0" y="0"/>
                <wp:positionH relativeFrom="column">
                  <wp:posOffset>774700</wp:posOffset>
                </wp:positionH>
                <wp:positionV relativeFrom="paragraph">
                  <wp:posOffset>-106045</wp:posOffset>
                </wp:positionV>
                <wp:extent cx="0" cy="121920"/>
                <wp:effectExtent l="12700" t="8255" r="6350" b="12700"/>
                <wp:wrapNone/>
                <wp:docPr id="339"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5" o:spid="_x0000_s1026" style="position:absolute;z-index:25158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1pt,-8.35pt" to="6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1gFAIAACs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" o:allowincell="f"/>
            </w:pict>
          </mc:Fallback>
        </mc:AlternateContent>
      </w:r>
      <w:r>
        <w:rPr>
          <w:noProof/>
          <w:sz w:val="20"/>
          <w:szCs w:val="20"/>
        </w:rPr>
        <mc:AlternateContent>
          <mc:Choice Requires="wps">
            <w:drawing>
              <wp:anchor distT="0" distB="0" distL="0" distR="0" simplePos="0" relativeHeight="251589120" behindDoc="0" locked="0" layoutInCell="0" allowOverlap="1">
                <wp:simplePos x="0" y="0"/>
                <wp:positionH relativeFrom="column">
                  <wp:posOffset>769620</wp:posOffset>
                </wp:positionH>
                <wp:positionV relativeFrom="paragraph">
                  <wp:posOffset>-100965</wp:posOffset>
                </wp:positionV>
                <wp:extent cx="113030" cy="0"/>
                <wp:effectExtent l="7620" t="13335" r="12700" b="5715"/>
                <wp:wrapNone/>
                <wp:docPr id="338"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6" o:spid="_x0000_s1026" style="position:absolute;z-index:25158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0.6pt,-7.95pt" to="6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10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" o:allowincell="f"/>
            </w:pict>
          </mc:Fallback>
        </mc:AlternateContent>
      </w:r>
      <w:r>
        <w:rPr>
          <w:noProof/>
          <w:sz w:val="20"/>
          <w:szCs w:val="20"/>
        </w:rPr>
        <mc:AlternateContent>
          <mc:Choice Requires="wps">
            <w:drawing>
              <wp:anchor distT="0" distB="0" distL="0" distR="0" simplePos="0" relativeHeight="251590144" behindDoc="0" locked="0" layoutInCell="0" allowOverlap="1">
                <wp:simplePos x="0" y="0"/>
                <wp:positionH relativeFrom="column">
                  <wp:posOffset>877570</wp:posOffset>
                </wp:positionH>
                <wp:positionV relativeFrom="paragraph">
                  <wp:posOffset>-106045</wp:posOffset>
                </wp:positionV>
                <wp:extent cx="0" cy="121920"/>
                <wp:effectExtent l="10795" t="8255" r="8255" b="12700"/>
                <wp:wrapNone/>
                <wp:docPr id="33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7" o:spid="_x0000_s1026" style="position:absolute;z-index:25159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1pt,-8.35pt" to="69.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MMFAIAACs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" o:allowincell="f"/>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35" w:lineRule="exact"/>
        <w:rPr>
          <w:sz w:val="20"/>
          <w:szCs w:val="20"/>
        </w:rPr>
      </w:pPr>
    </w:p>
    <w:p w:rsidR="00D24E61" w:rsidRPr="00771368" w:rsidRDefault="00D24E61">
      <w:pPr>
        <w:rPr>
          <w:sz w:val="20"/>
          <w:szCs w:val="20"/>
        </w:rPr>
      </w:pPr>
      <w:r w:rsidRPr="00771368">
        <w:rPr>
          <w:b/>
          <w:bCs/>
          <w:sz w:val="24"/>
          <w:szCs w:val="24"/>
        </w:rPr>
        <w:t>Matemática – 1º Bimestre</w:t>
      </w:r>
    </w:p>
    <w:p w:rsidR="00D24E61" w:rsidRPr="00771368" w:rsidRDefault="00D24E61">
      <w:pPr>
        <w:spacing w:line="200" w:lineRule="exact"/>
        <w:rPr>
          <w:sz w:val="20"/>
          <w:szCs w:val="20"/>
        </w:rPr>
      </w:pPr>
    </w:p>
    <w:p w:rsidR="00D24E61" w:rsidRPr="00771368" w:rsidRDefault="00D24E61">
      <w:pPr>
        <w:spacing w:line="335" w:lineRule="exact"/>
        <w:rPr>
          <w:sz w:val="20"/>
          <w:szCs w:val="20"/>
        </w:rPr>
      </w:pPr>
    </w:p>
    <w:tbl>
      <w:tblPr>
        <w:tblW w:w="0" w:type="auto"/>
        <w:tblInd w:w="2010" w:type="dxa"/>
        <w:tblLayout w:type="fixed"/>
        <w:tblCellMar>
          <w:left w:w="0" w:type="dxa"/>
          <w:right w:w="0" w:type="dxa"/>
        </w:tblCellMar>
        <w:tblLook w:val="04A0" w:firstRow="1" w:lastRow="0" w:firstColumn="1" w:lastColumn="0" w:noHBand="0" w:noVBand="1"/>
      </w:tblPr>
      <w:tblGrid>
        <w:gridCol w:w="2160"/>
        <w:gridCol w:w="1500"/>
        <w:gridCol w:w="1420"/>
        <w:gridCol w:w="80"/>
      </w:tblGrid>
      <w:tr w:rsidR="00D24E61" w:rsidRPr="00771368">
        <w:trPr>
          <w:trHeight w:val="270"/>
        </w:trPr>
        <w:tc>
          <w:tcPr>
            <w:tcW w:w="2160" w:type="dxa"/>
            <w:tcBorders>
              <w:top w:val="single" w:sz="8" w:space="0" w:color="auto"/>
              <w:left w:val="single" w:sz="8" w:space="0" w:color="auto"/>
              <w:right w:val="single" w:sz="8" w:space="0" w:color="auto"/>
            </w:tcBorders>
            <w:vAlign w:val="bottom"/>
          </w:tcPr>
          <w:p w:rsidR="00D24E61" w:rsidRPr="00771368" w:rsidRDefault="00D24E61">
            <w:pPr>
              <w:ind w:left="120"/>
              <w:rPr>
                <w:sz w:val="20"/>
                <w:szCs w:val="20"/>
              </w:rPr>
            </w:pPr>
            <w:r w:rsidRPr="00771368">
              <w:rPr>
                <w:rFonts w:eastAsia="Calibri"/>
                <w:b/>
                <w:bCs/>
              </w:rPr>
              <w:t>Gênero/ Quantidade</w:t>
            </w:r>
          </w:p>
        </w:tc>
        <w:tc>
          <w:tcPr>
            <w:tcW w:w="1500" w:type="dxa"/>
            <w:tcBorders>
              <w:top w:val="single" w:sz="8" w:space="0" w:color="auto"/>
              <w:right w:val="single" w:sz="8" w:space="0" w:color="auto"/>
            </w:tcBorders>
            <w:vAlign w:val="bottom"/>
          </w:tcPr>
          <w:p w:rsidR="00D24E61" w:rsidRPr="00771368" w:rsidRDefault="00D24E61">
            <w:pPr>
              <w:ind w:left="80"/>
              <w:rPr>
                <w:sz w:val="20"/>
                <w:szCs w:val="20"/>
              </w:rPr>
            </w:pPr>
            <w:r w:rsidRPr="00771368">
              <w:rPr>
                <w:rFonts w:eastAsia="Calibri"/>
                <w:b/>
                <w:bCs/>
              </w:rPr>
              <w:t>Na média ou</w:t>
            </w:r>
          </w:p>
        </w:tc>
        <w:tc>
          <w:tcPr>
            <w:tcW w:w="1420" w:type="dxa"/>
            <w:tcBorders>
              <w:top w:val="single" w:sz="8" w:space="0" w:color="auto"/>
              <w:right w:val="single" w:sz="8" w:space="0" w:color="auto"/>
            </w:tcBorders>
            <w:vAlign w:val="bottom"/>
          </w:tcPr>
          <w:p w:rsidR="00D24E61" w:rsidRPr="00771368" w:rsidRDefault="00D24E61">
            <w:pPr>
              <w:ind w:left="100"/>
              <w:rPr>
                <w:sz w:val="20"/>
                <w:szCs w:val="20"/>
              </w:rPr>
            </w:pPr>
            <w:r w:rsidRPr="00771368">
              <w:rPr>
                <w:rFonts w:eastAsia="Calibri"/>
                <w:b/>
                <w:bCs/>
              </w:rPr>
              <w:t>Abaixo da</w:t>
            </w:r>
          </w:p>
        </w:tc>
        <w:tc>
          <w:tcPr>
            <w:tcW w:w="80" w:type="dxa"/>
            <w:vAlign w:val="bottom"/>
          </w:tcPr>
          <w:p w:rsidR="00D24E61" w:rsidRPr="00771368" w:rsidRDefault="00D24E61">
            <w:pPr>
              <w:rPr>
                <w:sz w:val="23"/>
                <w:szCs w:val="23"/>
              </w:rPr>
            </w:pPr>
          </w:p>
        </w:tc>
      </w:tr>
      <w:tr w:rsidR="00D24E61" w:rsidRPr="00771368">
        <w:trPr>
          <w:trHeight w:val="273"/>
        </w:trPr>
        <w:tc>
          <w:tcPr>
            <w:tcW w:w="2160" w:type="dxa"/>
            <w:tcBorders>
              <w:left w:val="single" w:sz="8" w:space="0" w:color="auto"/>
              <w:bottom w:val="single" w:sz="8" w:space="0" w:color="auto"/>
              <w:right w:val="single" w:sz="8" w:space="0" w:color="auto"/>
            </w:tcBorders>
            <w:vAlign w:val="bottom"/>
          </w:tcPr>
          <w:p w:rsidR="00D24E61" w:rsidRPr="00771368" w:rsidRDefault="00D24E61">
            <w:pPr>
              <w:ind w:left="120"/>
              <w:rPr>
                <w:sz w:val="20"/>
                <w:szCs w:val="20"/>
              </w:rPr>
            </w:pPr>
            <w:r w:rsidRPr="00771368">
              <w:rPr>
                <w:rFonts w:eastAsia="Calibri"/>
                <w:b/>
                <w:bCs/>
              </w:rPr>
              <w:t>de Alunos</w:t>
            </w:r>
          </w:p>
        </w:tc>
        <w:tc>
          <w:tcPr>
            <w:tcW w:w="1500" w:type="dxa"/>
            <w:tcBorders>
              <w:bottom w:val="single" w:sz="8" w:space="0" w:color="auto"/>
              <w:right w:val="single" w:sz="8" w:space="0" w:color="auto"/>
            </w:tcBorders>
            <w:vAlign w:val="bottom"/>
          </w:tcPr>
          <w:p w:rsidR="00D24E61" w:rsidRPr="00771368" w:rsidRDefault="00D24E61">
            <w:pPr>
              <w:ind w:left="80"/>
              <w:rPr>
                <w:sz w:val="20"/>
                <w:szCs w:val="20"/>
              </w:rPr>
            </w:pPr>
            <w:r w:rsidRPr="00771368">
              <w:rPr>
                <w:rFonts w:eastAsia="Calibri"/>
                <w:b/>
                <w:bCs/>
              </w:rPr>
              <w:t>acima</w:t>
            </w:r>
          </w:p>
        </w:tc>
        <w:tc>
          <w:tcPr>
            <w:tcW w:w="1420" w:type="dxa"/>
            <w:tcBorders>
              <w:bottom w:val="single" w:sz="8" w:space="0" w:color="auto"/>
              <w:right w:val="single" w:sz="8" w:space="0" w:color="auto"/>
            </w:tcBorders>
            <w:vAlign w:val="bottom"/>
          </w:tcPr>
          <w:p w:rsidR="00D24E61" w:rsidRPr="00771368" w:rsidRDefault="00D24E61">
            <w:pPr>
              <w:ind w:left="100"/>
              <w:rPr>
                <w:sz w:val="20"/>
                <w:szCs w:val="20"/>
              </w:rPr>
            </w:pPr>
            <w:r w:rsidRPr="00771368">
              <w:rPr>
                <w:rFonts w:eastAsia="Calibri"/>
                <w:b/>
                <w:bCs/>
              </w:rPr>
              <w:t>média</w:t>
            </w:r>
          </w:p>
        </w:tc>
        <w:tc>
          <w:tcPr>
            <w:tcW w:w="80" w:type="dxa"/>
            <w:vAlign w:val="bottom"/>
          </w:tcPr>
          <w:p w:rsidR="00D24E61" w:rsidRPr="00771368" w:rsidRDefault="00D24E61">
            <w:pPr>
              <w:rPr>
                <w:sz w:val="23"/>
                <w:szCs w:val="23"/>
              </w:rPr>
            </w:pPr>
          </w:p>
        </w:tc>
      </w:tr>
      <w:tr w:rsidR="00D24E61" w:rsidRPr="00771368">
        <w:trPr>
          <w:trHeight w:val="258"/>
        </w:trPr>
        <w:tc>
          <w:tcPr>
            <w:tcW w:w="2160" w:type="dxa"/>
            <w:tcBorders>
              <w:left w:val="single" w:sz="8" w:space="0" w:color="auto"/>
              <w:bottom w:val="single" w:sz="8" w:space="0" w:color="auto"/>
              <w:right w:val="single" w:sz="8" w:space="0" w:color="auto"/>
            </w:tcBorders>
            <w:vAlign w:val="bottom"/>
          </w:tcPr>
          <w:p w:rsidR="00D24E61" w:rsidRPr="00771368" w:rsidRDefault="00D24E61">
            <w:pPr>
              <w:spacing w:line="254" w:lineRule="exact"/>
              <w:ind w:left="120"/>
              <w:rPr>
                <w:sz w:val="20"/>
                <w:szCs w:val="20"/>
              </w:rPr>
            </w:pPr>
            <w:r w:rsidRPr="00771368">
              <w:rPr>
                <w:rFonts w:eastAsia="Calibri"/>
              </w:rPr>
              <w:t>Meninas</w:t>
            </w:r>
          </w:p>
        </w:tc>
        <w:tc>
          <w:tcPr>
            <w:tcW w:w="1500" w:type="dxa"/>
            <w:tcBorders>
              <w:bottom w:val="single" w:sz="8" w:space="0" w:color="auto"/>
              <w:right w:val="single" w:sz="8" w:space="0" w:color="auto"/>
            </w:tcBorders>
            <w:vAlign w:val="bottom"/>
          </w:tcPr>
          <w:p w:rsidR="00D24E61" w:rsidRPr="00771368" w:rsidRDefault="00D24E61">
            <w:pPr>
              <w:spacing w:line="254" w:lineRule="exact"/>
              <w:ind w:left="80"/>
              <w:rPr>
                <w:sz w:val="20"/>
                <w:szCs w:val="20"/>
              </w:rPr>
            </w:pPr>
            <w:r w:rsidRPr="00771368">
              <w:rPr>
                <w:rFonts w:eastAsia="Calibri"/>
              </w:rPr>
              <w:t>34</w:t>
            </w:r>
          </w:p>
        </w:tc>
        <w:tc>
          <w:tcPr>
            <w:tcW w:w="1420" w:type="dxa"/>
            <w:tcBorders>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13</w:t>
            </w:r>
          </w:p>
        </w:tc>
        <w:tc>
          <w:tcPr>
            <w:tcW w:w="80" w:type="dxa"/>
            <w:vAlign w:val="bottom"/>
          </w:tcPr>
          <w:p w:rsidR="00D24E61" w:rsidRPr="00771368" w:rsidRDefault="00D24E61"/>
        </w:tc>
      </w:tr>
      <w:tr w:rsidR="00D24E61" w:rsidRPr="00771368">
        <w:trPr>
          <w:trHeight w:val="258"/>
        </w:trPr>
        <w:tc>
          <w:tcPr>
            <w:tcW w:w="2160" w:type="dxa"/>
            <w:tcBorders>
              <w:left w:val="single" w:sz="8" w:space="0" w:color="auto"/>
              <w:bottom w:val="single" w:sz="8" w:space="0" w:color="auto"/>
              <w:right w:val="single" w:sz="8" w:space="0" w:color="auto"/>
            </w:tcBorders>
            <w:vAlign w:val="bottom"/>
          </w:tcPr>
          <w:p w:rsidR="00D24E61" w:rsidRPr="00771368" w:rsidRDefault="00D24E61">
            <w:pPr>
              <w:spacing w:line="254" w:lineRule="exact"/>
              <w:ind w:left="120"/>
              <w:rPr>
                <w:sz w:val="20"/>
                <w:szCs w:val="20"/>
              </w:rPr>
            </w:pPr>
            <w:r w:rsidRPr="00771368">
              <w:rPr>
                <w:rFonts w:eastAsia="Calibri"/>
              </w:rPr>
              <w:t>Meninos</w:t>
            </w:r>
          </w:p>
        </w:tc>
        <w:tc>
          <w:tcPr>
            <w:tcW w:w="1500" w:type="dxa"/>
            <w:tcBorders>
              <w:bottom w:val="single" w:sz="8" w:space="0" w:color="auto"/>
              <w:right w:val="single" w:sz="8" w:space="0" w:color="auto"/>
            </w:tcBorders>
            <w:vAlign w:val="bottom"/>
          </w:tcPr>
          <w:p w:rsidR="00D24E61" w:rsidRPr="00771368" w:rsidRDefault="00D24E61">
            <w:pPr>
              <w:spacing w:line="254" w:lineRule="exact"/>
              <w:ind w:left="80"/>
              <w:rPr>
                <w:sz w:val="20"/>
                <w:szCs w:val="20"/>
              </w:rPr>
            </w:pPr>
            <w:r w:rsidRPr="00771368">
              <w:rPr>
                <w:rFonts w:eastAsia="Calibri"/>
              </w:rPr>
              <w:t>36</w:t>
            </w:r>
          </w:p>
        </w:tc>
        <w:tc>
          <w:tcPr>
            <w:tcW w:w="1420" w:type="dxa"/>
            <w:tcBorders>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21</w:t>
            </w:r>
          </w:p>
        </w:tc>
        <w:tc>
          <w:tcPr>
            <w:tcW w:w="80" w:type="dxa"/>
            <w:vAlign w:val="bottom"/>
          </w:tcPr>
          <w:p w:rsidR="00D24E61" w:rsidRPr="00771368" w:rsidRDefault="00D24E61"/>
        </w:tc>
      </w:tr>
      <w:tr w:rsidR="00D24E61" w:rsidRPr="00771368">
        <w:trPr>
          <w:trHeight w:val="680"/>
        </w:trPr>
        <w:tc>
          <w:tcPr>
            <w:tcW w:w="2160" w:type="dxa"/>
            <w:vAlign w:val="bottom"/>
          </w:tcPr>
          <w:p w:rsidR="00D24E61" w:rsidRPr="00771368" w:rsidRDefault="00D24E61">
            <w:pPr>
              <w:ind w:left="740"/>
              <w:rPr>
                <w:sz w:val="20"/>
                <w:szCs w:val="20"/>
              </w:rPr>
            </w:pPr>
            <w:r w:rsidRPr="00771368">
              <w:rPr>
                <w:b/>
                <w:bCs/>
                <w:sz w:val="24"/>
                <w:szCs w:val="24"/>
              </w:rPr>
              <w:t>Meninas</w:t>
            </w:r>
          </w:p>
        </w:tc>
        <w:tc>
          <w:tcPr>
            <w:tcW w:w="1500" w:type="dxa"/>
            <w:vAlign w:val="bottom"/>
          </w:tcPr>
          <w:p w:rsidR="00D24E61" w:rsidRPr="00771368" w:rsidRDefault="00D24E61">
            <w:pPr>
              <w:rPr>
                <w:sz w:val="24"/>
                <w:szCs w:val="24"/>
              </w:rPr>
            </w:pPr>
          </w:p>
        </w:tc>
        <w:tc>
          <w:tcPr>
            <w:tcW w:w="1500" w:type="dxa"/>
            <w:gridSpan w:val="2"/>
            <w:vAlign w:val="bottom"/>
          </w:tcPr>
          <w:p w:rsidR="00D24E61" w:rsidRPr="00771368" w:rsidRDefault="00D24E61">
            <w:pPr>
              <w:ind w:left="620"/>
              <w:rPr>
                <w:sz w:val="20"/>
                <w:szCs w:val="20"/>
              </w:rPr>
            </w:pPr>
            <w:r w:rsidRPr="00771368">
              <w:rPr>
                <w:b/>
                <w:bCs/>
                <w:w w:val="97"/>
                <w:sz w:val="24"/>
                <w:szCs w:val="24"/>
              </w:rPr>
              <w:t>Meninos</w:t>
            </w:r>
          </w:p>
        </w:tc>
      </w:tr>
    </w:tbl>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595776" behindDoc="1" locked="0" layoutInCell="0" allowOverlap="1">
            <wp:simplePos x="0" y="0"/>
            <wp:positionH relativeFrom="column">
              <wp:posOffset>803910</wp:posOffset>
            </wp:positionH>
            <wp:positionV relativeFrom="paragraph">
              <wp:posOffset>88265</wp:posOffset>
            </wp:positionV>
            <wp:extent cx="4718685" cy="16579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blip>
                    <a:srcRect/>
                    <a:stretch>
                      <a:fillRect/>
                    </a:stretch>
                  </pic:blipFill>
                  <pic:spPr bwMode="auto">
                    <a:xfrm>
                      <a:off x="0" y="0"/>
                      <a:ext cx="4718685" cy="165798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74" w:lineRule="exact"/>
        <w:rPr>
          <w:sz w:val="20"/>
          <w:szCs w:val="20"/>
        </w:rPr>
      </w:pPr>
    </w:p>
    <w:p w:rsidR="00D24E61" w:rsidRPr="00771368" w:rsidRDefault="00D24E61">
      <w:pPr>
        <w:ind w:left="1220"/>
        <w:rPr>
          <w:sz w:val="20"/>
          <w:szCs w:val="20"/>
        </w:rPr>
      </w:pPr>
      <w:r w:rsidRPr="00771368">
        <w:rPr>
          <w:noProof/>
          <w:sz w:val="20"/>
          <w:szCs w:val="20"/>
        </w:rPr>
        <w:drawing>
          <wp:inline distT="0" distB="0" distL="0" distR="0">
            <wp:extent cx="113030" cy="104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blip>
                    <a:srcRect/>
                    <a:stretch>
                      <a:fillRect/>
                    </a:stretch>
                  </pic:blipFill>
                  <pic:spPr bwMode="auto">
                    <a:xfrm>
                      <a:off x="0" y="0"/>
                      <a:ext cx="113030" cy="104775"/>
                    </a:xfrm>
                    <a:prstGeom prst="rect">
                      <a:avLst/>
                    </a:prstGeom>
                    <a:noFill/>
                    <a:ln>
                      <a:noFill/>
                    </a:ln>
                  </pic:spPr>
                </pic:pic>
              </a:graphicData>
            </a:graphic>
          </wp:inline>
        </w:drawing>
      </w:r>
      <w:r w:rsidRPr="00771368">
        <w:rPr>
          <w:noProof/>
          <w:sz w:val="20"/>
          <w:szCs w:val="20"/>
        </w:rPr>
        <w:drawing>
          <wp:inline distT="0" distB="0" distL="0" distR="0">
            <wp:extent cx="9525" cy="104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blip>
                    <a:srcRect/>
                    <a:stretch>
                      <a:fillRect/>
                    </a:stretch>
                  </pic:blipFill>
                  <pic:spPr bwMode="auto">
                    <a:xfrm>
                      <a:off x="0" y="0"/>
                      <a:ext cx="9525" cy="104775"/>
                    </a:xfrm>
                    <a:prstGeom prst="rect">
                      <a:avLst/>
                    </a:prstGeom>
                    <a:noFill/>
                    <a:ln>
                      <a:noFill/>
                    </a:ln>
                  </pic:spPr>
                </pic:pic>
              </a:graphicData>
            </a:graphic>
          </wp:inline>
        </w:drawing>
      </w:r>
      <w:r w:rsidRPr="00771368">
        <w:rPr>
          <w:sz w:val="20"/>
          <w:szCs w:val="20"/>
        </w:rPr>
        <w:t xml:space="preserve"> Notas na média ou acima</w:t>
      </w:r>
    </w:p>
    <w:p w:rsidR="00D24E61" w:rsidRPr="00771368" w:rsidRDefault="00013211">
      <w:pPr>
        <w:spacing w:line="7" w:lineRule="exact"/>
        <w:rPr>
          <w:sz w:val="20"/>
          <w:szCs w:val="20"/>
        </w:rPr>
      </w:pPr>
      <w:r>
        <w:rPr>
          <w:noProof/>
          <w:sz w:val="20"/>
          <w:szCs w:val="20"/>
        </w:rPr>
        <mc:AlternateContent>
          <mc:Choice Requires="wps">
            <w:drawing>
              <wp:anchor distT="0" distB="0" distL="0" distR="0" simplePos="0" relativeHeight="251591168" behindDoc="0" locked="0" layoutInCell="0" allowOverlap="1">
                <wp:simplePos x="0" y="0"/>
                <wp:positionH relativeFrom="column">
                  <wp:posOffset>769620</wp:posOffset>
                </wp:positionH>
                <wp:positionV relativeFrom="paragraph">
                  <wp:posOffset>-8890</wp:posOffset>
                </wp:positionV>
                <wp:extent cx="113030" cy="0"/>
                <wp:effectExtent l="7620" t="10160" r="12700" b="8890"/>
                <wp:wrapNone/>
                <wp:docPr id="336"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1" o:spid="_x0000_s1026" style="position:absolute;z-index:25159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0.6pt,-.7pt" to="6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" o:allowincell="f"/>
            </w:pict>
          </mc:Fallback>
        </mc:AlternateContent>
      </w:r>
    </w:p>
    <w:p w:rsidR="00D24E61" w:rsidRPr="00771368" w:rsidRDefault="00D24E61">
      <w:pPr>
        <w:spacing w:line="239" w:lineRule="auto"/>
        <w:ind w:left="1480"/>
        <w:rPr>
          <w:sz w:val="20"/>
          <w:szCs w:val="20"/>
        </w:rPr>
      </w:pPr>
      <w:r w:rsidRPr="00771368">
        <w:rPr>
          <w:sz w:val="20"/>
          <w:szCs w:val="20"/>
        </w:rPr>
        <w:t>Notas abaixo da média</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02432" behindDoc="1" locked="0" layoutInCell="0" allowOverlap="1">
                <wp:simplePos x="0" y="0"/>
                <wp:positionH relativeFrom="column">
                  <wp:posOffset>774700</wp:posOffset>
                </wp:positionH>
                <wp:positionV relativeFrom="paragraph">
                  <wp:posOffset>-101600</wp:posOffset>
                </wp:positionV>
                <wp:extent cx="102870" cy="112395"/>
                <wp:effectExtent l="3175" t="3175" r="0" b="0"/>
                <wp:wrapNone/>
                <wp:docPr id="335"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1239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2" o:spid="_x0000_s1026" style="position:absolute;margin-left:61pt;margin-top:-8pt;width:8.1pt;height:8.85pt;z-index:-25171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" o:allowincell="f" fillcolor="#7030a0" stroked="f"/>
            </w:pict>
          </mc:Fallback>
        </mc:AlternateContent>
      </w:r>
      <w:r>
        <w:rPr>
          <w:noProof/>
          <w:sz w:val="20"/>
          <w:szCs w:val="20"/>
        </w:rPr>
        <mc:AlternateContent>
          <mc:Choice Requires="wps">
            <w:drawing>
              <wp:anchor distT="0" distB="0" distL="0" distR="0" simplePos="0" relativeHeight="251592192" behindDoc="0" locked="0" layoutInCell="0" allowOverlap="1">
                <wp:simplePos x="0" y="0"/>
                <wp:positionH relativeFrom="column">
                  <wp:posOffset>769620</wp:posOffset>
                </wp:positionH>
                <wp:positionV relativeFrom="paragraph">
                  <wp:posOffset>10795</wp:posOffset>
                </wp:positionV>
                <wp:extent cx="113030" cy="0"/>
                <wp:effectExtent l="7620" t="10795" r="12700" b="8255"/>
                <wp:wrapNone/>
                <wp:docPr id="334"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3" o:spid="_x0000_s1026" style="position:absolute;z-index:25159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0.6pt,.85pt" to="6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" o:allowincell="f"/>
            </w:pict>
          </mc:Fallback>
        </mc:AlternateContent>
      </w:r>
      <w:r>
        <w:rPr>
          <w:noProof/>
          <w:sz w:val="20"/>
          <w:szCs w:val="20"/>
        </w:rPr>
        <mc:AlternateContent>
          <mc:Choice Requires="wps">
            <w:drawing>
              <wp:anchor distT="0" distB="0" distL="0" distR="0" simplePos="0" relativeHeight="251593216" behindDoc="0" locked="0" layoutInCell="0" allowOverlap="1">
                <wp:simplePos x="0" y="0"/>
                <wp:positionH relativeFrom="column">
                  <wp:posOffset>774700</wp:posOffset>
                </wp:positionH>
                <wp:positionV relativeFrom="paragraph">
                  <wp:posOffset>-106680</wp:posOffset>
                </wp:positionV>
                <wp:extent cx="0" cy="121920"/>
                <wp:effectExtent l="12700" t="7620" r="6350" b="13335"/>
                <wp:wrapNone/>
                <wp:docPr id="333"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4" o:spid="_x0000_s1026" style="position:absolute;z-index:25159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1pt,-8.4pt" to="6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R2KFA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" o:allowincell="f"/>
            </w:pict>
          </mc:Fallback>
        </mc:AlternateContent>
      </w:r>
      <w:r>
        <w:rPr>
          <w:noProof/>
          <w:sz w:val="20"/>
          <w:szCs w:val="20"/>
        </w:rPr>
        <mc:AlternateContent>
          <mc:Choice Requires="wps">
            <w:drawing>
              <wp:anchor distT="0" distB="0" distL="0" distR="0" simplePos="0" relativeHeight="251594240" behindDoc="0" locked="0" layoutInCell="0" allowOverlap="1">
                <wp:simplePos x="0" y="0"/>
                <wp:positionH relativeFrom="column">
                  <wp:posOffset>769620</wp:posOffset>
                </wp:positionH>
                <wp:positionV relativeFrom="paragraph">
                  <wp:posOffset>-101600</wp:posOffset>
                </wp:positionV>
                <wp:extent cx="113030" cy="0"/>
                <wp:effectExtent l="7620" t="12700" r="12700" b="6350"/>
                <wp:wrapNone/>
                <wp:docPr id="332"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5" o:spid="_x0000_s1026" style="position:absolute;z-index:25159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0.6pt,-8pt" to="6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SNEgIAACs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" o:allowincell="f"/>
            </w:pict>
          </mc:Fallback>
        </mc:AlternateContent>
      </w:r>
      <w:r>
        <w:rPr>
          <w:noProof/>
          <w:sz w:val="20"/>
          <w:szCs w:val="20"/>
        </w:rPr>
        <mc:AlternateContent>
          <mc:Choice Requires="wps">
            <w:drawing>
              <wp:anchor distT="0" distB="0" distL="0" distR="0" simplePos="0" relativeHeight="251595264" behindDoc="0" locked="0" layoutInCell="0" allowOverlap="1">
                <wp:simplePos x="0" y="0"/>
                <wp:positionH relativeFrom="column">
                  <wp:posOffset>877570</wp:posOffset>
                </wp:positionH>
                <wp:positionV relativeFrom="paragraph">
                  <wp:posOffset>-106680</wp:posOffset>
                </wp:positionV>
                <wp:extent cx="0" cy="121920"/>
                <wp:effectExtent l="10795" t="7620" r="8255" b="13335"/>
                <wp:wrapNone/>
                <wp:docPr id="331"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6" o:spid="_x0000_s1026" style="position:absolute;z-index:25159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1pt,-8.4pt" to="69.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7OFAIAACs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" o:allowincell="f"/>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3" w:lineRule="exact"/>
        <w:rPr>
          <w:sz w:val="20"/>
          <w:szCs w:val="20"/>
        </w:rPr>
      </w:pPr>
    </w:p>
    <w:p w:rsidR="00D24E61" w:rsidRPr="00771368" w:rsidRDefault="00D24E61">
      <w:pPr>
        <w:rPr>
          <w:sz w:val="20"/>
          <w:szCs w:val="20"/>
        </w:rPr>
      </w:pPr>
      <w:r w:rsidRPr="00771368">
        <w:rPr>
          <w:b/>
          <w:bCs/>
          <w:sz w:val="24"/>
          <w:szCs w:val="24"/>
        </w:rPr>
        <w:t>Matemática – 2º Bimestre</w:t>
      </w:r>
    </w:p>
    <w:p w:rsidR="00D24E61" w:rsidRPr="00771368" w:rsidRDefault="00D24E61">
      <w:pPr>
        <w:spacing w:line="200" w:lineRule="exact"/>
        <w:rPr>
          <w:sz w:val="20"/>
          <w:szCs w:val="20"/>
        </w:rPr>
      </w:pPr>
    </w:p>
    <w:p w:rsidR="00D24E61" w:rsidRPr="00771368" w:rsidRDefault="00D24E61">
      <w:pPr>
        <w:spacing w:line="335" w:lineRule="exact"/>
        <w:rPr>
          <w:sz w:val="20"/>
          <w:szCs w:val="20"/>
        </w:rPr>
      </w:pPr>
    </w:p>
    <w:tbl>
      <w:tblPr>
        <w:tblW w:w="0" w:type="auto"/>
        <w:tblInd w:w="1930" w:type="dxa"/>
        <w:tblLayout w:type="fixed"/>
        <w:tblCellMar>
          <w:left w:w="0" w:type="dxa"/>
          <w:right w:w="0" w:type="dxa"/>
        </w:tblCellMar>
        <w:tblLook w:val="04A0" w:firstRow="1" w:lastRow="0" w:firstColumn="1" w:lastColumn="0" w:noHBand="0" w:noVBand="1"/>
      </w:tblPr>
      <w:tblGrid>
        <w:gridCol w:w="2320"/>
        <w:gridCol w:w="1500"/>
        <w:gridCol w:w="1420"/>
      </w:tblGrid>
      <w:tr w:rsidR="00D24E61" w:rsidRPr="00771368">
        <w:trPr>
          <w:trHeight w:val="270"/>
        </w:trPr>
        <w:tc>
          <w:tcPr>
            <w:tcW w:w="2320" w:type="dxa"/>
            <w:tcBorders>
              <w:top w:val="single" w:sz="8" w:space="0" w:color="auto"/>
              <w:left w:val="single" w:sz="8" w:space="0" w:color="auto"/>
              <w:right w:val="single" w:sz="8" w:space="0" w:color="auto"/>
            </w:tcBorders>
            <w:vAlign w:val="bottom"/>
          </w:tcPr>
          <w:p w:rsidR="00D24E61" w:rsidRPr="00771368" w:rsidRDefault="00D24E61">
            <w:pPr>
              <w:ind w:left="120"/>
              <w:rPr>
                <w:sz w:val="20"/>
                <w:szCs w:val="20"/>
              </w:rPr>
            </w:pPr>
            <w:r w:rsidRPr="00771368">
              <w:rPr>
                <w:rFonts w:eastAsia="Calibri"/>
                <w:b/>
                <w:bCs/>
              </w:rPr>
              <w:t>Gênero/ Quantidade</w:t>
            </w:r>
          </w:p>
        </w:tc>
        <w:tc>
          <w:tcPr>
            <w:tcW w:w="1500" w:type="dxa"/>
            <w:tcBorders>
              <w:top w:val="single" w:sz="8" w:space="0" w:color="auto"/>
              <w:right w:val="single" w:sz="8" w:space="0" w:color="auto"/>
            </w:tcBorders>
            <w:vAlign w:val="bottom"/>
          </w:tcPr>
          <w:p w:rsidR="00D24E61" w:rsidRPr="00771368" w:rsidRDefault="00D24E61">
            <w:pPr>
              <w:ind w:left="80"/>
              <w:rPr>
                <w:sz w:val="20"/>
                <w:szCs w:val="20"/>
              </w:rPr>
            </w:pPr>
            <w:r w:rsidRPr="00771368">
              <w:rPr>
                <w:rFonts w:eastAsia="Calibri"/>
                <w:b/>
                <w:bCs/>
              </w:rPr>
              <w:t>Na média ou</w:t>
            </w:r>
          </w:p>
        </w:tc>
        <w:tc>
          <w:tcPr>
            <w:tcW w:w="1420" w:type="dxa"/>
            <w:tcBorders>
              <w:top w:val="single" w:sz="8" w:space="0" w:color="auto"/>
              <w:right w:val="single" w:sz="8" w:space="0" w:color="auto"/>
            </w:tcBorders>
            <w:vAlign w:val="bottom"/>
          </w:tcPr>
          <w:p w:rsidR="00D24E61" w:rsidRPr="00771368" w:rsidRDefault="00D24E61">
            <w:pPr>
              <w:ind w:left="100"/>
              <w:rPr>
                <w:sz w:val="20"/>
                <w:szCs w:val="20"/>
              </w:rPr>
            </w:pPr>
            <w:r w:rsidRPr="00771368">
              <w:rPr>
                <w:rFonts w:eastAsia="Calibri"/>
                <w:b/>
                <w:bCs/>
              </w:rPr>
              <w:t>Abaixo da</w:t>
            </w:r>
          </w:p>
        </w:tc>
      </w:tr>
      <w:tr w:rsidR="00D24E61" w:rsidRPr="00771368">
        <w:trPr>
          <w:trHeight w:val="273"/>
        </w:trPr>
        <w:tc>
          <w:tcPr>
            <w:tcW w:w="2320" w:type="dxa"/>
            <w:tcBorders>
              <w:left w:val="single" w:sz="8" w:space="0" w:color="auto"/>
              <w:bottom w:val="single" w:sz="8" w:space="0" w:color="auto"/>
              <w:right w:val="single" w:sz="8" w:space="0" w:color="auto"/>
            </w:tcBorders>
            <w:vAlign w:val="bottom"/>
          </w:tcPr>
          <w:p w:rsidR="00D24E61" w:rsidRPr="00771368" w:rsidRDefault="00D24E61">
            <w:pPr>
              <w:ind w:left="120"/>
              <w:rPr>
                <w:sz w:val="20"/>
                <w:szCs w:val="20"/>
              </w:rPr>
            </w:pPr>
            <w:r w:rsidRPr="00771368">
              <w:rPr>
                <w:rFonts w:eastAsia="Calibri"/>
                <w:b/>
                <w:bCs/>
              </w:rPr>
              <w:t>de Alunos</w:t>
            </w:r>
          </w:p>
        </w:tc>
        <w:tc>
          <w:tcPr>
            <w:tcW w:w="1500" w:type="dxa"/>
            <w:tcBorders>
              <w:bottom w:val="single" w:sz="8" w:space="0" w:color="auto"/>
              <w:right w:val="single" w:sz="8" w:space="0" w:color="auto"/>
            </w:tcBorders>
            <w:vAlign w:val="bottom"/>
          </w:tcPr>
          <w:p w:rsidR="00D24E61" w:rsidRPr="00771368" w:rsidRDefault="00D24E61">
            <w:pPr>
              <w:ind w:left="80"/>
              <w:rPr>
                <w:sz w:val="20"/>
                <w:szCs w:val="20"/>
              </w:rPr>
            </w:pPr>
            <w:r w:rsidRPr="00771368">
              <w:rPr>
                <w:rFonts w:eastAsia="Calibri"/>
                <w:b/>
                <w:bCs/>
              </w:rPr>
              <w:t>acima</w:t>
            </w:r>
          </w:p>
        </w:tc>
        <w:tc>
          <w:tcPr>
            <w:tcW w:w="1420" w:type="dxa"/>
            <w:tcBorders>
              <w:bottom w:val="single" w:sz="8" w:space="0" w:color="auto"/>
              <w:right w:val="single" w:sz="8" w:space="0" w:color="auto"/>
            </w:tcBorders>
            <w:vAlign w:val="bottom"/>
          </w:tcPr>
          <w:p w:rsidR="00D24E61" w:rsidRPr="00771368" w:rsidRDefault="00D24E61">
            <w:pPr>
              <w:ind w:left="100"/>
              <w:rPr>
                <w:sz w:val="20"/>
                <w:szCs w:val="20"/>
              </w:rPr>
            </w:pPr>
            <w:r w:rsidRPr="00771368">
              <w:rPr>
                <w:rFonts w:eastAsia="Calibri"/>
                <w:b/>
                <w:bCs/>
              </w:rPr>
              <w:t>média</w:t>
            </w:r>
          </w:p>
        </w:tc>
      </w:tr>
      <w:tr w:rsidR="00D24E61" w:rsidRPr="00771368">
        <w:trPr>
          <w:trHeight w:val="258"/>
        </w:trPr>
        <w:tc>
          <w:tcPr>
            <w:tcW w:w="2320" w:type="dxa"/>
            <w:tcBorders>
              <w:left w:val="single" w:sz="8" w:space="0" w:color="auto"/>
              <w:bottom w:val="single" w:sz="8" w:space="0" w:color="auto"/>
              <w:right w:val="single" w:sz="8" w:space="0" w:color="auto"/>
            </w:tcBorders>
            <w:vAlign w:val="bottom"/>
          </w:tcPr>
          <w:p w:rsidR="00D24E61" w:rsidRPr="00771368" w:rsidRDefault="00D24E61">
            <w:pPr>
              <w:spacing w:line="254" w:lineRule="exact"/>
              <w:ind w:left="120"/>
              <w:rPr>
                <w:sz w:val="20"/>
                <w:szCs w:val="20"/>
              </w:rPr>
            </w:pPr>
            <w:r w:rsidRPr="00771368">
              <w:rPr>
                <w:rFonts w:eastAsia="Calibri"/>
              </w:rPr>
              <w:t>Meninas</w:t>
            </w:r>
          </w:p>
        </w:tc>
        <w:tc>
          <w:tcPr>
            <w:tcW w:w="1500" w:type="dxa"/>
            <w:tcBorders>
              <w:bottom w:val="single" w:sz="8" w:space="0" w:color="auto"/>
              <w:right w:val="single" w:sz="8" w:space="0" w:color="auto"/>
            </w:tcBorders>
            <w:vAlign w:val="bottom"/>
          </w:tcPr>
          <w:p w:rsidR="00D24E61" w:rsidRPr="00771368" w:rsidRDefault="00D24E61">
            <w:pPr>
              <w:spacing w:line="254" w:lineRule="exact"/>
              <w:ind w:left="80"/>
              <w:rPr>
                <w:sz w:val="20"/>
                <w:szCs w:val="20"/>
              </w:rPr>
            </w:pPr>
            <w:r w:rsidRPr="00771368">
              <w:rPr>
                <w:rFonts w:eastAsia="Calibri"/>
              </w:rPr>
              <w:t>27</w:t>
            </w:r>
          </w:p>
        </w:tc>
        <w:tc>
          <w:tcPr>
            <w:tcW w:w="1420" w:type="dxa"/>
            <w:tcBorders>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20</w:t>
            </w:r>
          </w:p>
        </w:tc>
      </w:tr>
      <w:tr w:rsidR="00D24E61" w:rsidRPr="00771368">
        <w:trPr>
          <w:trHeight w:val="258"/>
        </w:trPr>
        <w:tc>
          <w:tcPr>
            <w:tcW w:w="2320" w:type="dxa"/>
            <w:tcBorders>
              <w:left w:val="single" w:sz="8" w:space="0" w:color="auto"/>
              <w:bottom w:val="single" w:sz="8" w:space="0" w:color="auto"/>
              <w:right w:val="single" w:sz="8" w:space="0" w:color="auto"/>
            </w:tcBorders>
            <w:vAlign w:val="bottom"/>
          </w:tcPr>
          <w:p w:rsidR="00D24E61" w:rsidRPr="00771368" w:rsidRDefault="00D24E61">
            <w:pPr>
              <w:spacing w:line="254" w:lineRule="exact"/>
              <w:ind w:left="120"/>
              <w:rPr>
                <w:sz w:val="20"/>
                <w:szCs w:val="20"/>
              </w:rPr>
            </w:pPr>
            <w:r w:rsidRPr="00771368">
              <w:rPr>
                <w:rFonts w:eastAsia="Calibri"/>
              </w:rPr>
              <w:t>Meninos</w:t>
            </w:r>
          </w:p>
        </w:tc>
        <w:tc>
          <w:tcPr>
            <w:tcW w:w="1500" w:type="dxa"/>
            <w:tcBorders>
              <w:bottom w:val="single" w:sz="8" w:space="0" w:color="auto"/>
              <w:right w:val="single" w:sz="8" w:space="0" w:color="auto"/>
            </w:tcBorders>
            <w:vAlign w:val="bottom"/>
          </w:tcPr>
          <w:p w:rsidR="00D24E61" w:rsidRPr="00771368" w:rsidRDefault="00D24E61">
            <w:pPr>
              <w:spacing w:line="254" w:lineRule="exact"/>
              <w:ind w:left="80"/>
              <w:rPr>
                <w:sz w:val="20"/>
                <w:szCs w:val="20"/>
              </w:rPr>
            </w:pPr>
            <w:r w:rsidRPr="00771368">
              <w:rPr>
                <w:rFonts w:eastAsia="Calibri"/>
              </w:rPr>
              <w:t>27</w:t>
            </w:r>
          </w:p>
        </w:tc>
        <w:tc>
          <w:tcPr>
            <w:tcW w:w="1420" w:type="dxa"/>
            <w:tcBorders>
              <w:bottom w:val="single" w:sz="8" w:space="0" w:color="auto"/>
              <w:right w:val="single" w:sz="8" w:space="0" w:color="auto"/>
            </w:tcBorders>
            <w:vAlign w:val="bottom"/>
          </w:tcPr>
          <w:p w:rsidR="00D24E61" w:rsidRPr="00771368" w:rsidRDefault="00D24E61">
            <w:pPr>
              <w:spacing w:line="254" w:lineRule="exact"/>
              <w:ind w:left="100"/>
              <w:rPr>
                <w:sz w:val="20"/>
                <w:szCs w:val="20"/>
              </w:rPr>
            </w:pPr>
            <w:r w:rsidRPr="00771368">
              <w:rPr>
                <w:rFonts w:eastAsia="Calibri"/>
              </w:rPr>
              <w:t>30</w:t>
            </w:r>
          </w:p>
        </w:tc>
      </w:tr>
    </w:tbl>
    <w:p w:rsidR="00D24E61" w:rsidRPr="00771368" w:rsidRDefault="00D24E61">
      <w:pPr>
        <w:sectPr w:rsidR="00D24E61" w:rsidRPr="00771368">
          <w:pgSz w:w="11900" w:h="16838"/>
          <w:pgMar w:top="1440" w:right="3040" w:bottom="1440" w:left="1700" w:header="0" w:footer="0" w:gutter="0"/>
          <w:cols w:space="720" w:equalWidth="0">
            <w:col w:w="7160"/>
          </w:cols>
        </w:sectPr>
      </w:pPr>
    </w:p>
    <w:p w:rsidR="00D24E61" w:rsidRPr="00771368" w:rsidRDefault="00D24E61">
      <w:pPr>
        <w:spacing w:line="259" w:lineRule="exact"/>
        <w:rPr>
          <w:sz w:val="20"/>
          <w:szCs w:val="20"/>
        </w:rPr>
      </w:pPr>
    </w:p>
    <w:p w:rsidR="00D24E61" w:rsidRPr="00771368" w:rsidRDefault="00D24E61">
      <w:pPr>
        <w:tabs>
          <w:tab w:val="left" w:pos="6120"/>
        </w:tabs>
        <w:ind w:left="2620"/>
        <w:rPr>
          <w:sz w:val="20"/>
          <w:szCs w:val="20"/>
        </w:rPr>
      </w:pPr>
      <w:r w:rsidRPr="00771368">
        <w:rPr>
          <w:b/>
          <w:bCs/>
          <w:sz w:val="24"/>
          <w:szCs w:val="24"/>
        </w:rPr>
        <w:t>Meninas</w:t>
      </w:r>
      <w:r w:rsidRPr="00771368">
        <w:rPr>
          <w:sz w:val="20"/>
          <w:szCs w:val="20"/>
        </w:rPr>
        <w:tab/>
      </w:r>
      <w:r w:rsidRPr="00771368">
        <w:rPr>
          <w:b/>
          <w:bCs/>
          <w:sz w:val="24"/>
          <w:szCs w:val="24"/>
        </w:rPr>
        <w:t>Meninos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597824" behindDoc="1" locked="0" layoutInCell="0" allowOverlap="1">
            <wp:simplePos x="0" y="0"/>
            <wp:positionH relativeFrom="column">
              <wp:posOffset>803910</wp:posOffset>
            </wp:positionH>
            <wp:positionV relativeFrom="paragraph">
              <wp:posOffset>88265</wp:posOffset>
            </wp:positionV>
            <wp:extent cx="4768850" cy="16383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blip>
                    <a:srcRect/>
                    <a:stretch>
                      <a:fillRect/>
                    </a:stretch>
                  </pic:blipFill>
                  <pic:spPr bwMode="auto">
                    <a:xfrm>
                      <a:off x="0" y="0"/>
                      <a:ext cx="4768850" cy="163830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0" w:lineRule="exact"/>
        <w:rPr>
          <w:sz w:val="20"/>
          <w:szCs w:val="20"/>
        </w:rPr>
      </w:pPr>
    </w:p>
    <w:p w:rsidR="00D24E61" w:rsidRPr="00771368" w:rsidRDefault="00D24E61">
      <w:pPr>
        <w:ind w:left="1220"/>
        <w:rPr>
          <w:sz w:val="20"/>
          <w:szCs w:val="20"/>
        </w:rPr>
      </w:pPr>
      <w:r w:rsidRPr="00771368">
        <w:rPr>
          <w:noProof/>
          <w:sz w:val="20"/>
          <w:szCs w:val="20"/>
        </w:rPr>
        <w:drawing>
          <wp:inline distT="0" distB="0" distL="0" distR="0">
            <wp:extent cx="113030" cy="122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blip>
                    <a:srcRect/>
                    <a:stretch>
                      <a:fillRect/>
                    </a:stretch>
                  </pic:blipFill>
                  <pic:spPr bwMode="auto">
                    <a:xfrm>
                      <a:off x="0" y="0"/>
                      <a:ext cx="113030" cy="122555"/>
                    </a:xfrm>
                    <a:prstGeom prst="rect">
                      <a:avLst/>
                    </a:prstGeom>
                    <a:noFill/>
                    <a:ln>
                      <a:noFill/>
                    </a:ln>
                  </pic:spPr>
                </pic:pic>
              </a:graphicData>
            </a:graphic>
          </wp:inline>
        </w:drawing>
      </w:r>
      <w:r w:rsidRPr="00771368">
        <w:rPr>
          <w:noProof/>
          <w:sz w:val="20"/>
          <w:szCs w:val="20"/>
        </w:rPr>
        <w:drawing>
          <wp:inline distT="0" distB="0" distL="0" distR="0">
            <wp:extent cx="9525" cy="1225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blip>
                    <a:srcRect/>
                    <a:stretch>
                      <a:fillRect/>
                    </a:stretch>
                  </pic:blipFill>
                  <pic:spPr bwMode="auto">
                    <a:xfrm>
                      <a:off x="0" y="0"/>
                      <a:ext cx="9525" cy="122555"/>
                    </a:xfrm>
                    <a:prstGeom prst="rect">
                      <a:avLst/>
                    </a:prstGeom>
                    <a:noFill/>
                    <a:ln>
                      <a:noFill/>
                    </a:ln>
                  </pic:spPr>
                </pic:pic>
              </a:graphicData>
            </a:graphic>
          </wp:inline>
        </w:drawing>
      </w:r>
      <w:r w:rsidRPr="00771368">
        <w:rPr>
          <w:sz w:val="20"/>
          <w:szCs w:val="20"/>
        </w:rPr>
        <w:t xml:space="preserve"> Notas na média ou acima</w:t>
      </w:r>
    </w:p>
    <w:p w:rsidR="00D24E61" w:rsidRPr="00771368" w:rsidRDefault="00013211">
      <w:pPr>
        <w:spacing w:line="239" w:lineRule="auto"/>
        <w:ind w:left="1480"/>
        <w:rPr>
          <w:sz w:val="20"/>
          <w:szCs w:val="20"/>
        </w:rPr>
      </w:pPr>
      <w:r>
        <w:rPr>
          <w:noProof/>
          <w:sz w:val="20"/>
          <w:szCs w:val="20"/>
        </w:rPr>
        <mc:AlternateContent>
          <mc:Choice Requires="wps">
            <w:drawing>
              <wp:anchor distT="0" distB="0" distL="0" distR="0" simplePos="0" relativeHeight="251596288" behindDoc="0" locked="0" layoutInCell="0" allowOverlap="1">
                <wp:simplePos x="0" y="0"/>
                <wp:positionH relativeFrom="column">
                  <wp:posOffset>769620</wp:posOffset>
                </wp:positionH>
                <wp:positionV relativeFrom="paragraph">
                  <wp:posOffset>-11430</wp:posOffset>
                </wp:positionV>
                <wp:extent cx="113030" cy="0"/>
                <wp:effectExtent l="7620" t="7620" r="12700" b="11430"/>
                <wp:wrapNone/>
                <wp:docPr id="3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0" o:spid="_x0000_s1026" style="position:absolute;z-index:25159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0.6pt,-.9pt" to="6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" o:allowincell="f"/>
            </w:pict>
          </mc:Fallback>
        </mc:AlternateContent>
      </w:r>
      <w:r w:rsidR="00D24E61" w:rsidRPr="00771368">
        <w:rPr>
          <w:sz w:val="20"/>
          <w:szCs w:val="20"/>
        </w:rPr>
        <w:t>Notas abaixo da média</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03456" behindDoc="1" locked="0" layoutInCell="0" allowOverlap="1">
                <wp:simplePos x="0" y="0"/>
                <wp:positionH relativeFrom="column">
                  <wp:posOffset>774700</wp:posOffset>
                </wp:positionH>
                <wp:positionV relativeFrom="paragraph">
                  <wp:posOffset>-100330</wp:posOffset>
                </wp:positionV>
                <wp:extent cx="102870" cy="112395"/>
                <wp:effectExtent l="3175" t="4445" r="0" b="0"/>
                <wp:wrapNone/>
                <wp:docPr id="329"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11239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1" o:spid="_x0000_s1026" style="position:absolute;margin-left:61pt;margin-top:-7.9pt;width:8.1pt;height:8.85pt;z-index:-25171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" o:allowincell="f" fillcolor="#7030a0" stroked="f"/>
            </w:pict>
          </mc:Fallback>
        </mc:AlternateContent>
      </w:r>
      <w:r>
        <w:rPr>
          <w:noProof/>
          <w:sz w:val="20"/>
          <w:szCs w:val="20"/>
        </w:rPr>
        <mc:AlternateContent>
          <mc:Choice Requires="wps">
            <w:drawing>
              <wp:anchor distT="0" distB="0" distL="0" distR="0" simplePos="0" relativeHeight="251597312" behindDoc="0" locked="0" layoutInCell="0" allowOverlap="1">
                <wp:simplePos x="0" y="0"/>
                <wp:positionH relativeFrom="column">
                  <wp:posOffset>769620</wp:posOffset>
                </wp:positionH>
                <wp:positionV relativeFrom="paragraph">
                  <wp:posOffset>12065</wp:posOffset>
                </wp:positionV>
                <wp:extent cx="113030" cy="0"/>
                <wp:effectExtent l="7620" t="12065" r="12700" b="6985"/>
                <wp:wrapNone/>
                <wp:docPr id="328"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2" o:spid="_x0000_s1026" style="position:absolute;z-index:25159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0.6pt,.95pt" to="6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7JFA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" o:allowincell="f"/>
            </w:pict>
          </mc:Fallback>
        </mc:AlternateContent>
      </w:r>
      <w:r>
        <w:rPr>
          <w:noProof/>
          <w:sz w:val="20"/>
          <w:szCs w:val="20"/>
        </w:rPr>
        <mc:AlternateContent>
          <mc:Choice Requires="wps">
            <w:drawing>
              <wp:anchor distT="0" distB="0" distL="0" distR="0" simplePos="0" relativeHeight="251598336" behindDoc="0" locked="0" layoutInCell="0" allowOverlap="1">
                <wp:simplePos x="0" y="0"/>
                <wp:positionH relativeFrom="column">
                  <wp:posOffset>774700</wp:posOffset>
                </wp:positionH>
                <wp:positionV relativeFrom="paragraph">
                  <wp:posOffset>-105410</wp:posOffset>
                </wp:positionV>
                <wp:extent cx="0" cy="121920"/>
                <wp:effectExtent l="12700" t="8890" r="6350" b="12065"/>
                <wp:wrapNone/>
                <wp:docPr id="327"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3" o:spid="_x0000_s1026" style="position:absolute;z-index:25159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1pt,-8.3pt" to="6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" o:allowincell="f"/>
            </w:pict>
          </mc:Fallback>
        </mc:AlternateContent>
      </w:r>
      <w:r>
        <w:rPr>
          <w:noProof/>
          <w:sz w:val="20"/>
          <w:szCs w:val="20"/>
        </w:rPr>
        <mc:AlternateContent>
          <mc:Choice Requires="wps">
            <w:drawing>
              <wp:anchor distT="0" distB="0" distL="0" distR="0" simplePos="0" relativeHeight="251599360" behindDoc="0" locked="0" layoutInCell="0" allowOverlap="1">
                <wp:simplePos x="0" y="0"/>
                <wp:positionH relativeFrom="column">
                  <wp:posOffset>769620</wp:posOffset>
                </wp:positionH>
                <wp:positionV relativeFrom="paragraph">
                  <wp:posOffset>-100330</wp:posOffset>
                </wp:positionV>
                <wp:extent cx="113030" cy="0"/>
                <wp:effectExtent l="7620" t="13970" r="12700" b="5080"/>
                <wp:wrapNone/>
                <wp:docPr id="326"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4" o:spid="_x0000_s1026" style="position:absolute;z-index:25159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0.6pt,-7.9pt" to="6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KD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" o:allowincell="f"/>
            </w:pict>
          </mc:Fallback>
        </mc:AlternateContent>
      </w:r>
      <w:r>
        <w:rPr>
          <w:noProof/>
          <w:sz w:val="20"/>
          <w:szCs w:val="20"/>
        </w:rPr>
        <mc:AlternateContent>
          <mc:Choice Requires="wps">
            <w:drawing>
              <wp:anchor distT="0" distB="0" distL="0" distR="0" simplePos="0" relativeHeight="251600384" behindDoc="0" locked="0" layoutInCell="0" allowOverlap="1">
                <wp:simplePos x="0" y="0"/>
                <wp:positionH relativeFrom="column">
                  <wp:posOffset>877570</wp:posOffset>
                </wp:positionH>
                <wp:positionV relativeFrom="paragraph">
                  <wp:posOffset>-105410</wp:posOffset>
                </wp:positionV>
                <wp:extent cx="0" cy="121920"/>
                <wp:effectExtent l="10795" t="8890" r="8255" b="12065"/>
                <wp:wrapNone/>
                <wp:docPr id="32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5" o:spid="_x0000_s1026" style="position:absolute;z-index:25160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1pt,-8.3pt" to="69.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" o:allowincell="f"/>
            </w:pict>
          </mc:Fallback>
        </mc:AlternateContent>
      </w:r>
    </w:p>
    <w:p w:rsidR="00D24E61" w:rsidRPr="00771368" w:rsidRDefault="00D24E61">
      <w:pPr>
        <w:spacing w:line="200" w:lineRule="exact"/>
        <w:rPr>
          <w:sz w:val="20"/>
          <w:szCs w:val="20"/>
        </w:rPr>
      </w:pPr>
    </w:p>
    <w:p w:rsidR="00D24E61" w:rsidRPr="00771368" w:rsidRDefault="00D24E61">
      <w:pPr>
        <w:spacing w:line="296" w:lineRule="exact"/>
        <w:rPr>
          <w:sz w:val="20"/>
          <w:szCs w:val="20"/>
        </w:rPr>
      </w:pPr>
    </w:p>
    <w:p w:rsidR="00D24E61" w:rsidRPr="00771368" w:rsidRDefault="00D24E61">
      <w:pPr>
        <w:rPr>
          <w:sz w:val="20"/>
          <w:szCs w:val="20"/>
        </w:rPr>
      </w:pPr>
      <w:r w:rsidRPr="00771368">
        <w:rPr>
          <w:b/>
          <w:bCs/>
          <w:sz w:val="24"/>
          <w:szCs w:val="24"/>
        </w:rPr>
        <w:t>Quadro Resumo – Médias Aritméticas das Notas dos alunos</w:t>
      </w:r>
    </w:p>
    <w:p w:rsidR="00D24E61" w:rsidRPr="00771368" w:rsidRDefault="00D24E61">
      <w:pPr>
        <w:spacing w:line="200" w:lineRule="exact"/>
        <w:rPr>
          <w:sz w:val="20"/>
          <w:szCs w:val="20"/>
        </w:rPr>
      </w:pPr>
    </w:p>
    <w:p w:rsidR="00D24E61" w:rsidRPr="00771368" w:rsidRDefault="00D24E61">
      <w:pPr>
        <w:spacing w:line="337"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2020"/>
        <w:gridCol w:w="1680"/>
        <w:gridCol w:w="1560"/>
        <w:gridCol w:w="1560"/>
        <w:gridCol w:w="1560"/>
      </w:tblGrid>
      <w:tr w:rsidR="00D24E61" w:rsidRPr="00771368">
        <w:trPr>
          <w:trHeight w:val="280"/>
        </w:trPr>
        <w:tc>
          <w:tcPr>
            <w:tcW w:w="2020" w:type="dxa"/>
            <w:tcBorders>
              <w:top w:val="single" w:sz="8" w:space="0" w:color="auto"/>
              <w:left w:val="single" w:sz="8" w:space="0" w:color="auto"/>
              <w:right w:val="single" w:sz="8" w:space="0" w:color="auto"/>
            </w:tcBorders>
            <w:vAlign w:val="bottom"/>
          </w:tcPr>
          <w:p w:rsidR="00D24E61" w:rsidRPr="00771368" w:rsidRDefault="00D24E61">
            <w:pPr>
              <w:ind w:left="100"/>
              <w:rPr>
                <w:sz w:val="20"/>
                <w:szCs w:val="20"/>
              </w:rPr>
            </w:pPr>
            <w:r w:rsidRPr="00771368">
              <w:rPr>
                <w:b/>
                <w:bCs/>
                <w:sz w:val="24"/>
                <w:szCs w:val="24"/>
              </w:rPr>
              <w:t>Média</w:t>
            </w:r>
          </w:p>
        </w:tc>
        <w:tc>
          <w:tcPr>
            <w:tcW w:w="1680" w:type="dxa"/>
            <w:tcBorders>
              <w:top w:val="single" w:sz="8" w:space="0" w:color="auto"/>
              <w:right w:val="single" w:sz="8" w:space="0" w:color="auto"/>
            </w:tcBorders>
            <w:vAlign w:val="bottom"/>
          </w:tcPr>
          <w:p w:rsidR="00D24E61" w:rsidRPr="00771368" w:rsidRDefault="00D24E61">
            <w:pPr>
              <w:ind w:left="100"/>
              <w:rPr>
                <w:sz w:val="20"/>
                <w:szCs w:val="20"/>
              </w:rPr>
            </w:pPr>
            <w:r w:rsidRPr="00771368">
              <w:rPr>
                <w:b/>
                <w:bCs/>
                <w:sz w:val="24"/>
                <w:szCs w:val="24"/>
              </w:rPr>
              <w:t>Português</w:t>
            </w:r>
          </w:p>
        </w:tc>
        <w:tc>
          <w:tcPr>
            <w:tcW w:w="1560" w:type="dxa"/>
            <w:tcBorders>
              <w:top w:val="single" w:sz="8" w:space="0" w:color="auto"/>
              <w:right w:val="single" w:sz="8" w:space="0" w:color="auto"/>
            </w:tcBorders>
            <w:vAlign w:val="bottom"/>
          </w:tcPr>
          <w:p w:rsidR="00D24E61" w:rsidRPr="00771368" w:rsidRDefault="00D24E61">
            <w:pPr>
              <w:ind w:left="80"/>
              <w:rPr>
                <w:sz w:val="20"/>
                <w:szCs w:val="20"/>
              </w:rPr>
            </w:pPr>
            <w:r w:rsidRPr="00771368">
              <w:rPr>
                <w:b/>
                <w:bCs/>
                <w:sz w:val="24"/>
                <w:szCs w:val="24"/>
              </w:rPr>
              <w:t>Português</w:t>
            </w:r>
          </w:p>
        </w:tc>
        <w:tc>
          <w:tcPr>
            <w:tcW w:w="1560" w:type="dxa"/>
            <w:tcBorders>
              <w:top w:val="single" w:sz="8" w:space="0" w:color="auto"/>
              <w:right w:val="single" w:sz="8" w:space="0" w:color="auto"/>
            </w:tcBorders>
            <w:vAlign w:val="bottom"/>
          </w:tcPr>
          <w:p w:rsidR="00D24E61" w:rsidRPr="00771368" w:rsidRDefault="00D24E61">
            <w:pPr>
              <w:ind w:left="80"/>
              <w:rPr>
                <w:sz w:val="20"/>
                <w:szCs w:val="20"/>
              </w:rPr>
            </w:pPr>
            <w:r w:rsidRPr="00771368">
              <w:rPr>
                <w:b/>
                <w:bCs/>
                <w:sz w:val="24"/>
                <w:szCs w:val="24"/>
              </w:rPr>
              <w:t>Matemática</w:t>
            </w:r>
          </w:p>
        </w:tc>
        <w:tc>
          <w:tcPr>
            <w:tcW w:w="1560" w:type="dxa"/>
            <w:tcBorders>
              <w:top w:val="single" w:sz="8" w:space="0" w:color="auto"/>
              <w:right w:val="single" w:sz="8" w:space="0" w:color="auto"/>
            </w:tcBorders>
            <w:vAlign w:val="bottom"/>
          </w:tcPr>
          <w:p w:rsidR="00D24E61" w:rsidRPr="00771368" w:rsidRDefault="00D24E61">
            <w:pPr>
              <w:ind w:left="80"/>
              <w:rPr>
                <w:sz w:val="20"/>
                <w:szCs w:val="20"/>
              </w:rPr>
            </w:pPr>
            <w:r w:rsidRPr="00771368">
              <w:rPr>
                <w:b/>
                <w:bCs/>
                <w:sz w:val="24"/>
                <w:szCs w:val="24"/>
              </w:rPr>
              <w:t>Matemática</w:t>
            </w:r>
          </w:p>
        </w:tc>
      </w:tr>
      <w:tr w:rsidR="00D24E61" w:rsidRPr="00771368">
        <w:trPr>
          <w:trHeight w:val="276"/>
        </w:trPr>
        <w:tc>
          <w:tcPr>
            <w:tcW w:w="2020" w:type="dxa"/>
            <w:tcBorders>
              <w:left w:val="single" w:sz="8" w:space="0" w:color="auto"/>
              <w:right w:val="single" w:sz="8" w:space="0" w:color="auto"/>
            </w:tcBorders>
            <w:vAlign w:val="bottom"/>
          </w:tcPr>
          <w:p w:rsidR="00D24E61" w:rsidRPr="00771368" w:rsidRDefault="00D24E61">
            <w:pPr>
              <w:ind w:left="100"/>
              <w:rPr>
                <w:sz w:val="20"/>
                <w:szCs w:val="20"/>
              </w:rPr>
            </w:pPr>
            <w:r w:rsidRPr="00771368">
              <w:rPr>
                <w:b/>
                <w:bCs/>
                <w:sz w:val="24"/>
                <w:szCs w:val="24"/>
              </w:rPr>
              <w:t>Aritmética</w:t>
            </w:r>
          </w:p>
        </w:tc>
        <w:tc>
          <w:tcPr>
            <w:tcW w:w="1680" w:type="dxa"/>
            <w:tcBorders>
              <w:right w:val="single" w:sz="8" w:space="0" w:color="auto"/>
            </w:tcBorders>
            <w:vAlign w:val="bottom"/>
          </w:tcPr>
          <w:p w:rsidR="00D24E61" w:rsidRPr="00771368" w:rsidRDefault="00D24E61">
            <w:pPr>
              <w:ind w:left="160"/>
              <w:rPr>
                <w:sz w:val="20"/>
                <w:szCs w:val="20"/>
              </w:rPr>
            </w:pPr>
            <w:r w:rsidRPr="00771368">
              <w:rPr>
                <w:b/>
                <w:bCs/>
                <w:sz w:val="24"/>
                <w:szCs w:val="24"/>
              </w:rPr>
              <w:t>1º Bimestre</w:t>
            </w:r>
          </w:p>
        </w:tc>
        <w:tc>
          <w:tcPr>
            <w:tcW w:w="1560" w:type="dxa"/>
            <w:tcBorders>
              <w:right w:val="single" w:sz="8" w:space="0" w:color="auto"/>
            </w:tcBorders>
            <w:vAlign w:val="bottom"/>
          </w:tcPr>
          <w:p w:rsidR="00D24E61" w:rsidRPr="00771368" w:rsidRDefault="00D24E61">
            <w:pPr>
              <w:ind w:left="80"/>
              <w:rPr>
                <w:sz w:val="20"/>
                <w:szCs w:val="20"/>
              </w:rPr>
            </w:pPr>
            <w:r w:rsidRPr="00771368">
              <w:rPr>
                <w:b/>
                <w:bCs/>
                <w:sz w:val="24"/>
                <w:szCs w:val="24"/>
              </w:rPr>
              <w:t>2º Bimestre</w:t>
            </w:r>
          </w:p>
        </w:tc>
        <w:tc>
          <w:tcPr>
            <w:tcW w:w="1560" w:type="dxa"/>
            <w:tcBorders>
              <w:right w:val="single" w:sz="8" w:space="0" w:color="auto"/>
            </w:tcBorders>
            <w:vAlign w:val="bottom"/>
          </w:tcPr>
          <w:p w:rsidR="00D24E61" w:rsidRPr="00771368" w:rsidRDefault="00D24E61">
            <w:pPr>
              <w:ind w:left="80"/>
              <w:rPr>
                <w:sz w:val="20"/>
                <w:szCs w:val="20"/>
              </w:rPr>
            </w:pPr>
            <w:r w:rsidRPr="00771368">
              <w:rPr>
                <w:b/>
                <w:bCs/>
                <w:sz w:val="24"/>
                <w:szCs w:val="24"/>
              </w:rPr>
              <w:t>1º Bimestre</w:t>
            </w:r>
          </w:p>
        </w:tc>
        <w:tc>
          <w:tcPr>
            <w:tcW w:w="1560" w:type="dxa"/>
            <w:tcBorders>
              <w:right w:val="single" w:sz="8" w:space="0" w:color="auto"/>
            </w:tcBorders>
            <w:vAlign w:val="bottom"/>
          </w:tcPr>
          <w:p w:rsidR="00D24E61" w:rsidRPr="00771368" w:rsidRDefault="00D24E61">
            <w:pPr>
              <w:ind w:left="80"/>
              <w:rPr>
                <w:sz w:val="20"/>
                <w:szCs w:val="20"/>
              </w:rPr>
            </w:pPr>
            <w:r w:rsidRPr="00771368">
              <w:rPr>
                <w:b/>
                <w:bCs/>
                <w:sz w:val="24"/>
                <w:szCs w:val="24"/>
              </w:rPr>
              <w:t>2º Bimestre</w:t>
            </w:r>
          </w:p>
        </w:tc>
      </w:tr>
      <w:tr w:rsidR="00D24E61" w:rsidRPr="00771368">
        <w:trPr>
          <w:trHeight w:val="281"/>
        </w:trPr>
        <w:tc>
          <w:tcPr>
            <w:tcW w:w="2020" w:type="dxa"/>
            <w:tcBorders>
              <w:left w:val="single" w:sz="8" w:space="0" w:color="auto"/>
              <w:bottom w:val="single" w:sz="8" w:space="0" w:color="auto"/>
              <w:right w:val="single" w:sz="8" w:space="0" w:color="auto"/>
            </w:tcBorders>
            <w:vAlign w:val="bottom"/>
          </w:tcPr>
          <w:p w:rsidR="00D24E61" w:rsidRPr="00771368" w:rsidRDefault="00D24E61">
            <w:pPr>
              <w:rPr>
                <w:sz w:val="24"/>
                <w:szCs w:val="24"/>
              </w:rPr>
            </w:pPr>
          </w:p>
        </w:tc>
        <w:tc>
          <w:tcPr>
            <w:tcW w:w="1680" w:type="dxa"/>
            <w:tcBorders>
              <w:bottom w:val="single" w:sz="8" w:space="0" w:color="auto"/>
              <w:right w:val="single" w:sz="8" w:space="0" w:color="auto"/>
            </w:tcBorders>
            <w:vAlign w:val="bottom"/>
          </w:tcPr>
          <w:p w:rsidR="00D24E61" w:rsidRPr="00771368" w:rsidRDefault="00D24E61">
            <w:pPr>
              <w:rPr>
                <w:sz w:val="24"/>
                <w:szCs w:val="24"/>
              </w:rPr>
            </w:pPr>
          </w:p>
        </w:tc>
        <w:tc>
          <w:tcPr>
            <w:tcW w:w="1560" w:type="dxa"/>
            <w:tcBorders>
              <w:bottom w:val="single" w:sz="8" w:space="0" w:color="auto"/>
              <w:right w:val="single" w:sz="8" w:space="0" w:color="auto"/>
            </w:tcBorders>
            <w:vAlign w:val="bottom"/>
          </w:tcPr>
          <w:p w:rsidR="00D24E61" w:rsidRPr="00771368" w:rsidRDefault="00D24E61">
            <w:pPr>
              <w:rPr>
                <w:sz w:val="24"/>
                <w:szCs w:val="24"/>
              </w:rPr>
            </w:pPr>
          </w:p>
        </w:tc>
        <w:tc>
          <w:tcPr>
            <w:tcW w:w="1560" w:type="dxa"/>
            <w:tcBorders>
              <w:bottom w:val="single" w:sz="8" w:space="0" w:color="auto"/>
              <w:right w:val="single" w:sz="8" w:space="0" w:color="auto"/>
            </w:tcBorders>
            <w:vAlign w:val="bottom"/>
          </w:tcPr>
          <w:p w:rsidR="00D24E61" w:rsidRPr="00771368" w:rsidRDefault="00D24E61">
            <w:pPr>
              <w:rPr>
                <w:sz w:val="24"/>
                <w:szCs w:val="24"/>
              </w:rPr>
            </w:pPr>
          </w:p>
        </w:tc>
        <w:tc>
          <w:tcPr>
            <w:tcW w:w="1560" w:type="dxa"/>
            <w:tcBorders>
              <w:bottom w:val="single" w:sz="8" w:space="0" w:color="auto"/>
              <w:right w:val="single" w:sz="8" w:space="0" w:color="auto"/>
            </w:tcBorders>
            <w:vAlign w:val="bottom"/>
          </w:tcPr>
          <w:p w:rsidR="00D24E61" w:rsidRPr="00771368" w:rsidRDefault="00D24E61">
            <w:pPr>
              <w:rPr>
                <w:sz w:val="24"/>
                <w:szCs w:val="24"/>
              </w:rPr>
            </w:pPr>
          </w:p>
        </w:tc>
      </w:tr>
      <w:tr w:rsidR="00D24E61" w:rsidRPr="00771368">
        <w:trPr>
          <w:trHeight w:val="267"/>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60" w:lineRule="exact"/>
              <w:ind w:left="100"/>
              <w:rPr>
                <w:sz w:val="20"/>
                <w:szCs w:val="20"/>
              </w:rPr>
            </w:pPr>
            <w:r w:rsidRPr="00771368">
              <w:rPr>
                <w:b/>
                <w:bCs/>
                <w:sz w:val="24"/>
                <w:szCs w:val="24"/>
              </w:rPr>
              <w:t>Meninas</w:t>
            </w:r>
          </w:p>
        </w:tc>
        <w:tc>
          <w:tcPr>
            <w:tcW w:w="1680" w:type="dxa"/>
            <w:tcBorders>
              <w:bottom w:val="single" w:sz="8" w:space="0" w:color="auto"/>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5,87</w:t>
            </w:r>
          </w:p>
        </w:tc>
        <w:tc>
          <w:tcPr>
            <w:tcW w:w="1560" w:type="dxa"/>
            <w:tcBorders>
              <w:bottom w:val="single" w:sz="8" w:space="0" w:color="auto"/>
              <w:right w:val="single" w:sz="8" w:space="0" w:color="auto"/>
            </w:tcBorders>
            <w:vAlign w:val="bottom"/>
          </w:tcPr>
          <w:p w:rsidR="00D24E61" w:rsidRPr="00771368" w:rsidRDefault="00D24E61">
            <w:pPr>
              <w:spacing w:line="255" w:lineRule="exact"/>
              <w:ind w:left="80"/>
              <w:rPr>
                <w:sz w:val="20"/>
                <w:szCs w:val="20"/>
              </w:rPr>
            </w:pPr>
            <w:r w:rsidRPr="00771368">
              <w:rPr>
                <w:sz w:val="24"/>
                <w:szCs w:val="24"/>
              </w:rPr>
              <w:t>5,45</w:t>
            </w:r>
          </w:p>
        </w:tc>
        <w:tc>
          <w:tcPr>
            <w:tcW w:w="1560" w:type="dxa"/>
            <w:tcBorders>
              <w:bottom w:val="single" w:sz="8" w:space="0" w:color="auto"/>
              <w:right w:val="single" w:sz="8" w:space="0" w:color="auto"/>
            </w:tcBorders>
            <w:vAlign w:val="bottom"/>
          </w:tcPr>
          <w:p w:rsidR="00D24E61" w:rsidRPr="00771368" w:rsidRDefault="00D24E61">
            <w:pPr>
              <w:spacing w:line="255" w:lineRule="exact"/>
              <w:ind w:left="80"/>
              <w:rPr>
                <w:sz w:val="20"/>
                <w:szCs w:val="20"/>
              </w:rPr>
            </w:pPr>
            <w:r w:rsidRPr="00771368">
              <w:rPr>
                <w:sz w:val="24"/>
                <w:szCs w:val="24"/>
              </w:rPr>
              <w:t>5,21</w:t>
            </w:r>
          </w:p>
        </w:tc>
        <w:tc>
          <w:tcPr>
            <w:tcW w:w="1560" w:type="dxa"/>
            <w:tcBorders>
              <w:bottom w:val="single" w:sz="8" w:space="0" w:color="auto"/>
              <w:right w:val="single" w:sz="8" w:space="0" w:color="auto"/>
            </w:tcBorders>
            <w:vAlign w:val="bottom"/>
          </w:tcPr>
          <w:p w:rsidR="00D24E61" w:rsidRPr="00771368" w:rsidRDefault="00D24E61">
            <w:pPr>
              <w:spacing w:line="255" w:lineRule="exact"/>
              <w:ind w:left="80"/>
              <w:rPr>
                <w:sz w:val="20"/>
                <w:szCs w:val="20"/>
              </w:rPr>
            </w:pPr>
            <w:r w:rsidRPr="00771368">
              <w:rPr>
                <w:color w:val="FF0000"/>
                <w:sz w:val="24"/>
                <w:szCs w:val="24"/>
              </w:rPr>
              <w:t>4,79</w:t>
            </w:r>
          </w:p>
        </w:tc>
      </w:tr>
      <w:tr w:rsidR="00D24E61" w:rsidRPr="00771368">
        <w:trPr>
          <w:trHeight w:val="27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66" w:lineRule="exact"/>
              <w:ind w:left="100"/>
              <w:rPr>
                <w:sz w:val="20"/>
                <w:szCs w:val="20"/>
              </w:rPr>
            </w:pPr>
            <w:r w:rsidRPr="00771368">
              <w:rPr>
                <w:b/>
                <w:bCs/>
                <w:sz w:val="24"/>
                <w:szCs w:val="24"/>
              </w:rPr>
              <w:t>Meninos</w:t>
            </w:r>
          </w:p>
        </w:tc>
        <w:tc>
          <w:tcPr>
            <w:tcW w:w="1680" w:type="dxa"/>
            <w:tcBorders>
              <w:bottom w:val="single" w:sz="8" w:space="0" w:color="auto"/>
              <w:right w:val="single" w:sz="8" w:space="0" w:color="auto"/>
            </w:tcBorders>
            <w:vAlign w:val="bottom"/>
          </w:tcPr>
          <w:p w:rsidR="00D24E61" w:rsidRPr="00771368" w:rsidRDefault="00D24E61">
            <w:pPr>
              <w:spacing w:line="261" w:lineRule="exact"/>
              <w:ind w:left="100"/>
              <w:rPr>
                <w:sz w:val="20"/>
                <w:szCs w:val="20"/>
              </w:rPr>
            </w:pPr>
            <w:r w:rsidRPr="00771368">
              <w:rPr>
                <w:color w:val="FF0000"/>
                <w:sz w:val="24"/>
                <w:szCs w:val="24"/>
              </w:rPr>
              <w:t>4,98</w:t>
            </w:r>
          </w:p>
        </w:tc>
        <w:tc>
          <w:tcPr>
            <w:tcW w:w="1560" w:type="dxa"/>
            <w:tcBorders>
              <w:bottom w:val="single" w:sz="8" w:space="0" w:color="auto"/>
              <w:right w:val="single" w:sz="8" w:space="0" w:color="auto"/>
            </w:tcBorders>
            <w:vAlign w:val="bottom"/>
          </w:tcPr>
          <w:p w:rsidR="00D24E61" w:rsidRPr="00771368" w:rsidRDefault="00D24E61">
            <w:pPr>
              <w:spacing w:line="261" w:lineRule="exact"/>
              <w:ind w:left="80"/>
              <w:rPr>
                <w:sz w:val="20"/>
                <w:szCs w:val="20"/>
              </w:rPr>
            </w:pPr>
            <w:r w:rsidRPr="00771368">
              <w:rPr>
                <w:color w:val="FF0000"/>
                <w:sz w:val="24"/>
                <w:szCs w:val="24"/>
              </w:rPr>
              <w:t>4,82</w:t>
            </w:r>
          </w:p>
        </w:tc>
        <w:tc>
          <w:tcPr>
            <w:tcW w:w="1560" w:type="dxa"/>
            <w:tcBorders>
              <w:bottom w:val="single" w:sz="8" w:space="0" w:color="auto"/>
              <w:right w:val="single" w:sz="8" w:space="0" w:color="auto"/>
            </w:tcBorders>
            <w:vAlign w:val="bottom"/>
          </w:tcPr>
          <w:p w:rsidR="00D24E61" w:rsidRPr="00771368" w:rsidRDefault="00D24E61">
            <w:pPr>
              <w:spacing w:line="261" w:lineRule="exact"/>
              <w:ind w:left="80"/>
              <w:rPr>
                <w:sz w:val="20"/>
                <w:szCs w:val="20"/>
              </w:rPr>
            </w:pPr>
            <w:r w:rsidRPr="00771368">
              <w:rPr>
                <w:color w:val="FF0000"/>
                <w:sz w:val="24"/>
                <w:szCs w:val="24"/>
              </w:rPr>
              <w:t>4,70</w:t>
            </w:r>
          </w:p>
        </w:tc>
        <w:tc>
          <w:tcPr>
            <w:tcW w:w="1560" w:type="dxa"/>
            <w:tcBorders>
              <w:bottom w:val="single" w:sz="8" w:space="0" w:color="auto"/>
              <w:right w:val="single" w:sz="8" w:space="0" w:color="auto"/>
            </w:tcBorders>
            <w:vAlign w:val="bottom"/>
          </w:tcPr>
          <w:p w:rsidR="00D24E61" w:rsidRPr="00771368" w:rsidRDefault="00D24E61">
            <w:pPr>
              <w:spacing w:line="261" w:lineRule="exact"/>
              <w:ind w:left="80"/>
              <w:rPr>
                <w:sz w:val="20"/>
                <w:szCs w:val="20"/>
              </w:rPr>
            </w:pPr>
            <w:r w:rsidRPr="00771368">
              <w:rPr>
                <w:color w:val="FF0000"/>
                <w:sz w:val="24"/>
                <w:szCs w:val="24"/>
              </w:rPr>
              <w:t>4,46</w:t>
            </w:r>
          </w:p>
        </w:tc>
      </w:tr>
    </w:tbl>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88" w:lineRule="exact"/>
        <w:rPr>
          <w:sz w:val="20"/>
          <w:szCs w:val="20"/>
        </w:rPr>
      </w:pPr>
    </w:p>
    <w:p w:rsidR="00D24E61" w:rsidRPr="00771368" w:rsidRDefault="00D24E61" w:rsidP="00D24E61">
      <w:pPr>
        <w:numPr>
          <w:ilvl w:val="0"/>
          <w:numId w:val="9"/>
        </w:numPr>
        <w:tabs>
          <w:tab w:val="left" w:pos="1080"/>
        </w:tabs>
        <w:spacing w:line="304" w:lineRule="auto"/>
        <w:ind w:left="1080" w:hanging="365"/>
        <w:jc w:val="both"/>
        <w:rPr>
          <w:b/>
          <w:bCs/>
          <w:sz w:val="24"/>
          <w:szCs w:val="24"/>
        </w:rPr>
      </w:pPr>
      <w:r w:rsidRPr="00771368">
        <w:rPr>
          <w:b/>
          <w:bCs/>
          <w:sz w:val="24"/>
          <w:szCs w:val="24"/>
        </w:rPr>
        <w:t>O fracasso escolar do gênero masculino: análise dos dados e das variáveis estudadas.</w:t>
      </w:r>
    </w:p>
    <w:p w:rsidR="00D24E61" w:rsidRPr="00771368" w:rsidRDefault="00D24E61">
      <w:pPr>
        <w:spacing w:line="200" w:lineRule="exact"/>
        <w:rPr>
          <w:sz w:val="20"/>
          <w:szCs w:val="20"/>
        </w:rPr>
      </w:pPr>
    </w:p>
    <w:p w:rsidR="00D24E61" w:rsidRPr="00771368" w:rsidRDefault="00D24E61">
      <w:pPr>
        <w:spacing w:line="333" w:lineRule="exact"/>
        <w:rPr>
          <w:sz w:val="20"/>
          <w:szCs w:val="20"/>
        </w:rPr>
      </w:pPr>
    </w:p>
    <w:p w:rsidR="00D24E61" w:rsidRPr="00771368" w:rsidRDefault="00D24E61">
      <w:pPr>
        <w:spacing w:line="334" w:lineRule="auto"/>
        <w:ind w:firstLine="708"/>
        <w:jc w:val="both"/>
        <w:rPr>
          <w:sz w:val="20"/>
          <w:szCs w:val="20"/>
        </w:rPr>
      </w:pPr>
      <w:r w:rsidRPr="00771368">
        <w:rPr>
          <w:sz w:val="24"/>
          <w:szCs w:val="24"/>
        </w:rPr>
        <w:t>Diante da observação dos dados acima, pode-se constatar que, em todos os gráficos, a quantidade de meninas com conceitos acima da média é superior a quantidade de meninos, ou seja, as meninas demonstram melhor aproveitamento dos estudos em relação aos meninos.</w:t>
      </w:r>
    </w:p>
    <w:p w:rsidR="00D24E61" w:rsidRPr="00771368" w:rsidRDefault="00D24E61">
      <w:pPr>
        <w:spacing w:line="91" w:lineRule="exact"/>
        <w:rPr>
          <w:sz w:val="20"/>
          <w:szCs w:val="20"/>
        </w:rPr>
      </w:pPr>
    </w:p>
    <w:p w:rsidR="00D24E61" w:rsidRPr="00771368" w:rsidRDefault="00D24E61">
      <w:pPr>
        <w:spacing w:line="352" w:lineRule="auto"/>
        <w:ind w:firstLine="708"/>
        <w:jc w:val="both"/>
        <w:rPr>
          <w:sz w:val="20"/>
          <w:szCs w:val="20"/>
        </w:rPr>
      </w:pPr>
      <w:r w:rsidRPr="00771368">
        <w:rPr>
          <w:sz w:val="24"/>
          <w:szCs w:val="24"/>
        </w:rPr>
        <w:t>Embora perceba-se que os alunos em geral tem melhor rendimento na disciplina Língua Portuguesa em comparação com Matemática – situação que ocorre em todo o país, comprovado pelo IDEB e IDESP – fazendo um recorte por gênero a quantidade de meninos com conceitos abaixo da média continua sendo superior aos das meninas. Também não foi possível observar alterações nos dois bimestres analisados, sendo que nos dois bimestres e em ambas as disciplinas, os alunos do gênero masculino tem pior rendimento escolar em comparação com alunas do gênero feminino. A análise comparativa das médias aritméticas das notas dos alunos também evidencia um melhor resultado do gênero feminino.</w:t>
      </w:r>
    </w:p>
    <w:p w:rsidR="00D24E61" w:rsidRPr="00771368" w:rsidRDefault="00D24E61">
      <w:pPr>
        <w:sectPr w:rsidR="00D24E61" w:rsidRPr="00771368">
          <w:pgSz w:w="11900" w:h="16838"/>
          <w:pgMar w:top="1440" w:right="1120" w:bottom="1440" w:left="1700" w:header="0" w:footer="0" w:gutter="0"/>
          <w:cols w:space="720" w:equalWidth="0">
            <w:col w:w="9080"/>
          </w:cols>
        </w:sectPr>
      </w:pPr>
    </w:p>
    <w:p w:rsidR="00D24E61" w:rsidRPr="00771368" w:rsidRDefault="00D24E61">
      <w:pPr>
        <w:spacing w:line="259" w:lineRule="exact"/>
        <w:rPr>
          <w:sz w:val="20"/>
          <w:szCs w:val="20"/>
        </w:rPr>
      </w:pPr>
    </w:p>
    <w:p w:rsidR="00D24E61" w:rsidRPr="00771368" w:rsidRDefault="00D24E61">
      <w:pPr>
        <w:rPr>
          <w:sz w:val="20"/>
          <w:szCs w:val="20"/>
        </w:rPr>
      </w:pPr>
      <w:r w:rsidRPr="00771368">
        <w:rPr>
          <w:b/>
          <w:bCs/>
          <w:sz w:val="24"/>
          <w:szCs w:val="24"/>
        </w:rPr>
        <w:t>DISCUSSÃO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49" w:lineRule="auto"/>
        <w:ind w:firstLine="708"/>
        <w:jc w:val="both"/>
        <w:rPr>
          <w:sz w:val="20"/>
          <w:szCs w:val="20"/>
        </w:rPr>
      </w:pPr>
      <w:r w:rsidRPr="00771368">
        <w:rPr>
          <w:sz w:val="24"/>
          <w:szCs w:val="24"/>
        </w:rPr>
        <w:t>Através dos dados apresentados é possível afirmar que a escola tem fracassado perante uma grande quantidade de jovens, sobretudo os do gênero masculino. Os dados encontrados neste trabalho são coerentes com os encontrados na pesquisa de Carvalho, 2003, que também fala sobre o fracasso escolar dos alunos do gênero masculino. Silva et al, 1999, nos coloca uma possibilidade de explicação para o fato das meninas terem melhor aproveitamento na escola. Segundo este autor,</w:t>
      </w:r>
    </w:p>
    <w:p w:rsidR="00D24E61" w:rsidRPr="00771368" w:rsidRDefault="00D24E61">
      <w:pPr>
        <w:spacing w:line="300" w:lineRule="exact"/>
        <w:rPr>
          <w:i/>
          <w:sz w:val="20"/>
          <w:szCs w:val="20"/>
        </w:rPr>
      </w:pPr>
    </w:p>
    <w:p w:rsidR="00D24E61" w:rsidRPr="00771368" w:rsidRDefault="00D24E61">
      <w:pPr>
        <w:spacing w:line="231" w:lineRule="auto"/>
        <w:ind w:left="2280"/>
        <w:jc w:val="both"/>
        <w:rPr>
          <w:i/>
          <w:sz w:val="20"/>
          <w:szCs w:val="20"/>
        </w:rPr>
      </w:pPr>
      <w:r w:rsidRPr="00771368">
        <w:rPr>
          <w:i/>
        </w:rPr>
        <w:t>“as meninas seriam mais adaptadas à escola enquanto que os meninos são mais indisciplinados, mais desorganizados e as meninas têm todo um comportamento que facilita o “ser aluno”. As meninas já viriam da própria organização familiar e da socialização primária mais preparadas para exercer esse ofício, porque seriam mais passivas, obedientes, calmas, silenciosas, ordeiras, caprichosas, minuciosas” (SILVA et al.,1999).</w:t>
      </w:r>
    </w:p>
    <w:p w:rsidR="00D24E61" w:rsidRPr="00771368" w:rsidRDefault="00D24E61">
      <w:pPr>
        <w:spacing w:line="339" w:lineRule="exact"/>
        <w:rPr>
          <w:sz w:val="20"/>
          <w:szCs w:val="20"/>
        </w:rPr>
      </w:pPr>
    </w:p>
    <w:p w:rsidR="00D24E61" w:rsidRPr="00771368" w:rsidRDefault="00D24E61">
      <w:pPr>
        <w:spacing w:line="351" w:lineRule="auto"/>
        <w:ind w:firstLine="708"/>
        <w:jc w:val="both"/>
        <w:rPr>
          <w:sz w:val="20"/>
          <w:szCs w:val="20"/>
        </w:rPr>
      </w:pPr>
      <w:r w:rsidRPr="00771368">
        <w:rPr>
          <w:sz w:val="24"/>
          <w:szCs w:val="24"/>
        </w:rPr>
        <w:t>Estas ideias coadunam com as de Bourdieu com relação ao habitus, ou seja, o aprendizado que ocorre desde o início da vida que vai sendo incorporado ao modo de ser da pessoa e acaba influenciando em suas formas de agir na escola. Dessa forma o habitus incorporado vai influenciar na decisão de participar ou não das atividades em sala de aula, fazer ou não as tarefas, prestar ou não atenção nas aulas, sendo estes os fatores determinantes para a obtenção das notas que no presente estudo representam o sucesso ou fracasso escolar para cada gênero.</w:t>
      </w:r>
    </w:p>
    <w:p w:rsidR="00D24E61" w:rsidRPr="00771368" w:rsidRDefault="00D24E61">
      <w:pPr>
        <w:spacing w:line="72" w:lineRule="exact"/>
        <w:rPr>
          <w:sz w:val="20"/>
          <w:szCs w:val="20"/>
        </w:rPr>
      </w:pPr>
    </w:p>
    <w:p w:rsidR="00D24E61" w:rsidRPr="00771368" w:rsidRDefault="00D24E61">
      <w:pPr>
        <w:spacing w:line="353" w:lineRule="auto"/>
        <w:ind w:firstLine="708"/>
        <w:jc w:val="both"/>
        <w:rPr>
          <w:sz w:val="20"/>
          <w:szCs w:val="20"/>
        </w:rPr>
      </w:pPr>
      <w:r w:rsidRPr="00771368">
        <w:rPr>
          <w:sz w:val="24"/>
          <w:szCs w:val="24"/>
        </w:rPr>
        <w:t>Além disso, Carvalho (2003, p. 191), nos coloca outra questão bastante comum, ou seja, “aquele menino que vai bem na escola e é elogiado pela professora acaba sendo desprezado pelos colegas, chamado de “bicha” ou de “mulherzinha”, e para afirmar sua masculinidade acaba tendo que recorrer até ao mau desempenho escolar, à indisciplina.” Ou seja, as atitudes dos professores em relação aos alunos acabam, muitas vezes por reforçar certos estereótipos ou formas de conduta que nem sempre oferecem vantagens de um grupo em relação ao outro. Neste sentido, Maia, (2005, p.71) também diz que “Quanto mais as atitudes de uma pessoa em relação aos papéis sexuais correspondem à sua identidade sexual</w:t>
      </w:r>
    </w:p>
    <w:p w:rsidR="00D24E61" w:rsidRPr="00771368" w:rsidRDefault="00D24E61">
      <w:pPr>
        <w:spacing w:line="65" w:lineRule="exact"/>
        <w:rPr>
          <w:sz w:val="20"/>
          <w:szCs w:val="20"/>
        </w:rPr>
      </w:pPr>
    </w:p>
    <w:p w:rsidR="00D24E61" w:rsidRPr="00771368" w:rsidRDefault="00D24E61">
      <w:pPr>
        <w:spacing w:line="334" w:lineRule="auto"/>
        <w:jc w:val="both"/>
        <w:rPr>
          <w:sz w:val="20"/>
          <w:szCs w:val="20"/>
        </w:rPr>
      </w:pPr>
      <w:r w:rsidRPr="00771368">
        <w:rPr>
          <w:sz w:val="24"/>
          <w:szCs w:val="24"/>
        </w:rPr>
        <w:t>(como a pessoa “se sente”), mais “adaptada” ela será na sociedade. Esta “adaptação” quer dizer que a pessoa sofrerá menor discriminação e preconceito quando age de acordo com sua identidade.</w:t>
      </w:r>
    </w:p>
    <w:p w:rsidR="00D24E61" w:rsidRPr="00771368" w:rsidRDefault="00D24E61">
      <w:pPr>
        <w:spacing w:line="91" w:lineRule="exact"/>
        <w:rPr>
          <w:sz w:val="20"/>
          <w:szCs w:val="20"/>
        </w:rPr>
      </w:pPr>
    </w:p>
    <w:p w:rsidR="00D24E61" w:rsidRPr="00771368" w:rsidRDefault="00D24E61">
      <w:pPr>
        <w:spacing w:line="334" w:lineRule="auto"/>
        <w:ind w:firstLine="708"/>
        <w:jc w:val="both"/>
        <w:rPr>
          <w:sz w:val="20"/>
          <w:szCs w:val="20"/>
        </w:rPr>
      </w:pPr>
      <w:r w:rsidRPr="00771368">
        <w:rPr>
          <w:sz w:val="24"/>
          <w:szCs w:val="24"/>
        </w:rPr>
        <w:t>Bourdieu apresenta estas questões de forma bastante abrangente em seu livro “A dominação masculina”, no qual também se refere que, as qualidades ressaltadas socialmente como adequadas para os homens não tem sido tão vantajosas. O próprio Bourdieu coloca que</w:t>
      </w:r>
    </w:p>
    <w:p w:rsidR="00D24E61" w:rsidRPr="00771368" w:rsidRDefault="00D24E61">
      <w:pPr>
        <w:sectPr w:rsidR="00D24E61" w:rsidRPr="00771368">
          <w:pgSz w:w="11900" w:h="16838"/>
          <w:pgMar w:top="1440" w:right="1120" w:bottom="868" w:left="1700" w:header="0" w:footer="0" w:gutter="0"/>
          <w:cols w:space="720" w:equalWidth="0">
            <w:col w:w="9080"/>
          </w:cols>
        </w:sectPr>
      </w:pPr>
    </w:p>
    <w:p w:rsidR="00D24E61" w:rsidRPr="00771368" w:rsidRDefault="00D24E61">
      <w:pPr>
        <w:spacing w:line="313" w:lineRule="exact"/>
        <w:rPr>
          <w:sz w:val="20"/>
          <w:szCs w:val="20"/>
        </w:rPr>
      </w:pPr>
    </w:p>
    <w:p w:rsidR="00D24E61" w:rsidRPr="00771368" w:rsidRDefault="00D24E61">
      <w:pPr>
        <w:spacing w:line="334" w:lineRule="auto"/>
        <w:jc w:val="both"/>
        <w:rPr>
          <w:sz w:val="20"/>
          <w:szCs w:val="20"/>
        </w:rPr>
      </w:pPr>
      <w:r w:rsidRPr="00771368">
        <w:rPr>
          <w:sz w:val="24"/>
          <w:szCs w:val="24"/>
        </w:rPr>
        <w:t>“o privilégio masculino é também uma cilada e encontra sua contrapartida na tensão e contensão permanentes, levados por vezes ao absurdo, que impõe a todo homem o dever de afirmar, em toda e qualquer circunstância, sua virilidade.” (BOURDIEU, 1999, p.32)</w:t>
      </w:r>
    </w:p>
    <w:p w:rsidR="00D24E61" w:rsidRPr="00771368" w:rsidRDefault="00D24E61">
      <w:pPr>
        <w:spacing w:line="89" w:lineRule="exact"/>
        <w:rPr>
          <w:sz w:val="20"/>
          <w:szCs w:val="20"/>
        </w:rPr>
      </w:pPr>
    </w:p>
    <w:p w:rsidR="00D24E61" w:rsidRPr="00771368" w:rsidRDefault="00D24E61">
      <w:pPr>
        <w:spacing w:line="357" w:lineRule="auto"/>
        <w:ind w:firstLine="708"/>
        <w:jc w:val="both"/>
        <w:rPr>
          <w:sz w:val="20"/>
          <w:szCs w:val="20"/>
        </w:rPr>
      </w:pPr>
      <w:r w:rsidRPr="00771368">
        <w:rPr>
          <w:sz w:val="24"/>
          <w:szCs w:val="24"/>
        </w:rPr>
        <w:t>Outro aspecto a ser ressaltado é que observando o quadro com as médias aritméticas das notas é possível perceber que os alunos analisados - independentemente do gênero - em sua grande maioria, apresentam resultados bem próximos à média estabelecida, quando não, abaixo dela, o que indica a ocorrência de defasagens em sua aprendizagem. Por se tratar de alunos inseridos em um bairro carente, na qual os pais e alunos necessitam trabalhar para garantir sua sobrevivência, não buscaremos explicações individuais. Utilizaremos mais uma vez a teoria de Bourdieu, que rompe com a visão comum de que fracasso ou sucesso dependem apenas de aptidões inatas. Para Bourdieu (1998, p.73), “a noção de capital cultural é uma hipótese indispensável para dar conta da desigualdade de desempenho escolar de crianças provenientes das diferentes classes sociais”, ou seja, para este autor o fracasso escolar pode ser explicado pelo fato da escola tratar todos os alunos da mesma forma, não levando em conta as diferenças existentes devido à transmissão doméstica do capital cultural. Segundo Muzzeti (1999, p. 55), para Bourdieu, o capital cultural nada mais seria do que uma herança internalizada dentro da família desde a infância, sendo constituída por um conjunto de saberes, informações, códigos linguísticos, mas também por atitudes, disposições e posturas.</w:t>
      </w:r>
    </w:p>
    <w:p w:rsidR="00D24E61" w:rsidRPr="00771368" w:rsidRDefault="00D24E61">
      <w:pPr>
        <w:spacing w:line="200" w:lineRule="exact"/>
        <w:rPr>
          <w:sz w:val="20"/>
          <w:szCs w:val="20"/>
        </w:rPr>
      </w:pPr>
    </w:p>
    <w:p w:rsidR="00D24E61" w:rsidRPr="00771368" w:rsidRDefault="00D24E61">
      <w:pPr>
        <w:spacing w:line="232" w:lineRule="auto"/>
        <w:ind w:left="2280"/>
        <w:jc w:val="both"/>
        <w:rPr>
          <w:i/>
          <w:sz w:val="20"/>
          <w:szCs w:val="20"/>
        </w:rPr>
      </w:pPr>
      <w:r w:rsidRPr="00771368">
        <w:rPr>
          <w:i/>
        </w:rPr>
        <w:t>“Em sua concepção, existe uma íntima relação entre o nível de instrução da família e a inclinação em consumir os bens culturais, pois, para se consumir um bem cultural, apreciá-lo ou criticá-lo é necessário possuir os instrumentos para decifrá-lo. Além disso, observa-se que o nível de instrução da família influencia fortemente também a atenção dada a essas práticas culturais, como a discussão, frequência e a idade em que sua descendência inicia o consumo desses bens simbólicos” (MUZZETI, 1999, p. 56).</w:t>
      </w:r>
    </w:p>
    <w:p w:rsidR="00D24E61" w:rsidRPr="00771368" w:rsidRDefault="00D24E61">
      <w:pPr>
        <w:spacing w:line="277" w:lineRule="exact"/>
        <w:rPr>
          <w:sz w:val="20"/>
          <w:szCs w:val="20"/>
        </w:rPr>
      </w:pPr>
    </w:p>
    <w:p w:rsidR="00D24E61" w:rsidRPr="00771368" w:rsidRDefault="00D24E61">
      <w:pPr>
        <w:spacing w:line="343" w:lineRule="auto"/>
        <w:ind w:firstLine="708"/>
        <w:jc w:val="both"/>
        <w:rPr>
          <w:sz w:val="20"/>
          <w:szCs w:val="20"/>
        </w:rPr>
      </w:pPr>
      <w:r w:rsidRPr="00771368">
        <w:rPr>
          <w:sz w:val="24"/>
          <w:szCs w:val="24"/>
        </w:rPr>
        <w:t>Desta forma evidencia-se que a escola possui um modelo que toma por base os alunos oriundos da burguesia que já trazem de suas famílias, o capital cultural necessário para o sucesso escolar enquanto que os educandos oriundos das classes trabalhadoras não detêm essa cultura, e, para ter sucesso na escola necessitam assimilá-la.</w:t>
      </w:r>
    </w:p>
    <w:p w:rsidR="00D24E61" w:rsidRPr="00771368" w:rsidRDefault="00D24E61">
      <w:pPr>
        <w:spacing w:line="79"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Assim, verificamos a importância da instituição escolar em refletir sobre suas formas de agir e ensinar, a fim de possibilitar condições de igualdade tanto para alunos provenientes de classes sociais distintas quanto na questão das diferenças de gênero.</w:t>
      </w:r>
    </w:p>
    <w:p w:rsidR="00D24E61" w:rsidRPr="00771368" w:rsidRDefault="00D24E61">
      <w:pPr>
        <w:sectPr w:rsidR="00D24E61" w:rsidRPr="00771368">
          <w:pgSz w:w="11900" w:h="16838"/>
          <w:pgMar w:top="1440" w:right="1120" w:bottom="999" w:left="1700" w:header="0" w:footer="0" w:gutter="0"/>
          <w:cols w:space="720" w:equalWidth="0">
            <w:col w:w="9080"/>
          </w:cols>
        </w:sectPr>
      </w:pPr>
    </w:p>
    <w:p w:rsidR="00D24E61" w:rsidRPr="00771368" w:rsidRDefault="00D24E61">
      <w:pPr>
        <w:spacing w:line="215" w:lineRule="auto"/>
        <w:rPr>
          <w:i/>
          <w:sz w:val="20"/>
          <w:szCs w:val="20"/>
        </w:rPr>
      </w:pPr>
      <w:r w:rsidRPr="00771368">
        <w:rPr>
          <w:i/>
        </w:rPr>
        <w:t>“De todos os fatores de mudança, os mais importantes são os que estão relacionados com a transformação decisiva da função da instituição escolar</w:t>
      </w:r>
    </w:p>
    <w:p w:rsidR="00D24E61" w:rsidRPr="00771368" w:rsidRDefault="00D24E61">
      <w:pPr>
        <w:rPr>
          <w:i/>
        </w:rPr>
        <w:sectPr w:rsidR="00D24E61" w:rsidRPr="00771368">
          <w:type w:val="continuous"/>
          <w:pgSz w:w="11900" w:h="16838"/>
          <w:pgMar w:top="1440" w:right="1120" w:bottom="999" w:left="3980" w:header="0" w:footer="0" w:gutter="0"/>
          <w:cols w:space="720" w:equalWidth="0">
            <w:col w:w="6800"/>
          </w:cols>
        </w:sectPr>
      </w:pPr>
    </w:p>
    <w:p w:rsidR="00D24E61" w:rsidRPr="00771368" w:rsidRDefault="00D24E61">
      <w:pPr>
        <w:spacing w:line="308" w:lineRule="exact"/>
        <w:rPr>
          <w:i/>
          <w:sz w:val="20"/>
          <w:szCs w:val="20"/>
        </w:rPr>
      </w:pPr>
    </w:p>
    <w:p w:rsidR="00D24E61" w:rsidRPr="00771368" w:rsidRDefault="00D24E61">
      <w:pPr>
        <w:spacing w:line="229" w:lineRule="auto"/>
        <w:ind w:left="2280"/>
        <w:jc w:val="both"/>
        <w:rPr>
          <w:i/>
          <w:sz w:val="20"/>
          <w:szCs w:val="20"/>
        </w:rPr>
      </w:pPr>
      <w:r w:rsidRPr="00771368">
        <w:rPr>
          <w:i/>
        </w:rPr>
        <w:t>na reprodução das diferenças entre os gêneros (...) assim, embora a inércia do habitus, e do direito, ultrapassando as transformações da família real, tenda a perpetuar o modelo dominante de estrutura familiar e, no mesmo ato, o da sexualidade legítima(...)contribuem para quebrar a dóxa e ampliar o espaço em matéria de sexualidade.” (BOURDIEU, 1999, p.53)</w:t>
      </w:r>
    </w:p>
    <w:p w:rsidR="00D24E61" w:rsidRPr="00771368" w:rsidRDefault="00D24E61">
      <w:pPr>
        <w:spacing w:line="200" w:lineRule="exact"/>
        <w:rPr>
          <w:sz w:val="20"/>
          <w:szCs w:val="20"/>
        </w:rPr>
      </w:pPr>
    </w:p>
    <w:p w:rsidR="00D24E61" w:rsidRPr="00771368" w:rsidRDefault="00D24E61">
      <w:pPr>
        <w:spacing w:line="359" w:lineRule="exact"/>
        <w:rPr>
          <w:sz w:val="20"/>
          <w:szCs w:val="20"/>
        </w:rPr>
      </w:pPr>
    </w:p>
    <w:p w:rsidR="00D24E61" w:rsidRPr="00771368" w:rsidRDefault="00D24E61">
      <w:pPr>
        <w:rPr>
          <w:sz w:val="20"/>
          <w:szCs w:val="20"/>
        </w:rPr>
      </w:pPr>
      <w:r w:rsidRPr="00771368">
        <w:rPr>
          <w:b/>
          <w:bCs/>
          <w:sz w:val="24"/>
          <w:szCs w:val="24"/>
        </w:rPr>
        <w:t>CONSIDERAÇÕES FINAIS</w:t>
      </w:r>
    </w:p>
    <w:p w:rsidR="00D24E61" w:rsidRPr="00771368" w:rsidRDefault="00D24E61">
      <w:pPr>
        <w:spacing w:line="200" w:lineRule="exact"/>
        <w:rPr>
          <w:sz w:val="20"/>
          <w:szCs w:val="20"/>
        </w:rPr>
      </w:pPr>
    </w:p>
    <w:p w:rsidR="00D24E61" w:rsidRPr="00771368" w:rsidRDefault="00D24E61">
      <w:pPr>
        <w:spacing w:line="269" w:lineRule="exact"/>
        <w:rPr>
          <w:sz w:val="20"/>
          <w:szCs w:val="20"/>
        </w:rPr>
      </w:pPr>
    </w:p>
    <w:p w:rsidR="00D24E61" w:rsidRPr="00771368" w:rsidRDefault="00D24E61">
      <w:pPr>
        <w:spacing w:line="355" w:lineRule="auto"/>
        <w:ind w:firstLine="708"/>
        <w:jc w:val="both"/>
        <w:rPr>
          <w:sz w:val="20"/>
          <w:szCs w:val="20"/>
        </w:rPr>
      </w:pPr>
      <w:r w:rsidRPr="00771368">
        <w:rPr>
          <w:sz w:val="24"/>
          <w:szCs w:val="24"/>
        </w:rPr>
        <w:t>Conquanto os resultados das avaliações bimestrais apontem para o fracasso escolar dos homens, um paradoxo que se coloca, segundo Carvalho, 2004 é que “embora atualmente o sucesso escolar seja feminino, pois as meninas/mulheres concluem em maior número o ensino fundamental, médio e superior, o sistema educacional continua produzindo engenheiros e assistentes sociais, cirurgiões e enfermeiras, economistas e pedagogas, físicos e nutricionistas, os primeiros predominantemente homens, as segundas predominantemente mulheres.” (CARVALHO, 2004). Acreditamos que haja uma necessidade de políticas mais amplas e específicas sobre igualdade de gênero que objetivem intervenções na escola. Uma possibilidade, segundo Carvalho, 2004 seria maiores incentivos ao ingresso de meninas nas carreiras científicas e tecnológicas e de meninos nas carreiras humanas, artísticas e voltadas ao cuidado.</w:t>
      </w:r>
    </w:p>
    <w:p w:rsidR="00D24E61" w:rsidRPr="00771368" w:rsidRDefault="00D24E61">
      <w:pPr>
        <w:spacing w:line="66" w:lineRule="exact"/>
        <w:rPr>
          <w:sz w:val="20"/>
          <w:szCs w:val="20"/>
        </w:rPr>
      </w:pPr>
    </w:p>
    <w:p w:rsidR="00D24E61" w:rsidRPr="00771368" w:rsidRDefault="00D24E61">
      <w:pPr>
        <w:spacing w:line="353" w:lineRule="auto"/>
        <w:ind w:firstLine="708"/>
        <w:jc w:val="both"/>
        <w:rPr>
          <w:sz w:val="20"/>
          <w:szCs w:val="20"/>
        </w:rPr>
      </w:pPr>
      <w:r w:rsidRPr="00771368">
        <w:rPr>
          <w:sz w:val="24"/>
          <w:szCs w:val="24"/>
        </w:rPr>
        <w:t>Consideramos que a ampliação dos estudos de gênero teria um impacto positivo para os processos não só de educação sexual, mas da educação como um todo. Concluímos ser necessário um maior investimento na realização de debates e reflexões que privilegiem a desconstrução da naturalização das características femininas e masculinas, sobretudo com os formuladores de políticas educacionais e nas pesquisas acadêmicas. Além disso, também, destacamos a importância da realização de programas de formação de professores que possam refletir sobre suas condutas, habitus e reprodutibilidade das normas, tabus e mitos com relação ao gênero, buscando acima de tudo uma visão critica acerca do importante papel que exercem na sociedade.</w:t>
      </w:r>
    </w:p>
    <w:p w:rsidR="00D24E61" w:rsidRPr="00771368" w:rsidRDefault="00D24E61">
      <w:pPr>
        <w:spacing w:line="72" w:lineRule="exact"/>
        <w:rPr>
          <w:sz w:val="20"/>
          <w:szCs w:val="20"/>
        </w:rPr>
      </w:pPr>
    </w:p>
    <w:p w:rsidR="00D24E61" w:rsidRPr="00771368" w:rsidRDefault="00D24E61">
      <w:pPr>
        <w:spacing w:line="351" w:lineRule="auto"/>
        <w:ind w:firstLine="708"/>
        <w:jc w:val="both"/>
        <w:rPr>
          <w:sz w:val="20"/>
          <w:szCs w:val="20"/>
        </w:rPr>
      </w:pPr>
      <w:r w:rsidRPr="00771368">
        <w:rPr>
          <w:sz w:val="24"/>
          <w:szCs w:val="24"/>
        </w:rPr>
        <w:t>Acreditamos que discussão sobre gênero deve ser ampla, sobretudo no que tange os aspectos de sua influência na educação e na questão do fracasso escolar. A questão do fracasso escolar já tem sido alvo de algumas políticas públicas - como bolsa família, a mudança para ciclos e a promoção automática - que, embora não tenham melhorado a qualidade do ensino, trouxeram um saldo positivo ao ampliar o acesso e a permanência das crianças na escola. Assim, sugerimos que estudos realizem análises do desempenho por gênero nas avaliações padronizadas como SARESP, Prova Brasil e Enem, vislumbrando a</w:t>
      </w:r>
    </w:p>
    <w:p w:rsidR="00D24E61" w:rsidRPr="00771368" w:rsidRDefault="00D24E61">
      <w:pPr>
        <w:sectPr w:rsidR="00D24E61" w:rsidRPr="00771368">
          <w:pgSz w:w="11900" w:h="16838"/>
          <w:pgMar w:top="1440" w:right="1120" w:bottom="1440" w:left="1700" w:header="0" w:footer="0" w:gutter="0"/>
          <w:cols w:space="720" w:equalWidth="0">
            <w:col w:w="9080"/>
          </w:cols>
        </w:sectPr>
      </w:pPr>
    </w:p>
    <w:p w:rsidR="00D24E61" w:rsidRPr="00771368" w:rsidRDefault="00D24E61">
      <w:pPr>
        <w:spacing w:line="254" w:lineRule="exact"/>
        <w:rPr>
          <w:sz w:val="20"/>
          <w:szCs w:val="20"/>
        </w:rPr>
      </w:pPr>
    </w:p>
    <w:p w:rsidR="00D24E61" w:rsidRPr="00771368" w:rsidRDefault="00D24E61">
      <w:pPr>
        <w:rPr>
          <w:sz w:val="20"/>
          <w:szCs w:val="20"/>
        </w:rPr>
      </w:pPr>
      <w:r w:rsidRPr="00771368">
        <w:rPr>
          <w:sz w:val="24"/>
          <w:szCs w:val="24"/>
        </w:rPr>
        <w:t>possibilidade de encontrar elementos importantes relacionados à questão da relação entre</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gênero e fracasso escolar.</w:t>
      </w:r>
    </w:p>
    <w:p w:rsidR="00D24E61" w:rsidRPr="00771368" w:rsidRDefault="00D24E61">
      <w:pPr>
        <w:spacing w:line="200" w:lineRule="exact"/>
        <w:rPr>
          <w:sz w:val="20"/>
          <w:szCs w:val="20"/>
        </w:rPr>
      </w:pPr>
    </w:p>
    <w:p w:rsidR="00D24E61" w:rsidRPr="00771368" w:rsidRDefault="00D24E61">
      <w:pPr>
        <w:spacing w:line="357" w:lineRule="exact"/>
        <w:rPr>
          <w:sz w:val="20"/>
          <w:szCs w:val="20"/>
        </w:rPr>
      </w:pPr>
    </w:p>
    <w:p w:rsidR="00D24E61" w:rsidRPr="00771368" w:rsidRDefault="00D24E61">
      <w:pPr>
        <w:rPr>
          <w:sz w:val="20"/>
          <w:szCs w:val="20"/>
        </w:rPr>
      </w:pPr>
      <w:r w:rsidRPr="00771368">
        <w:rPr>
          <w:b/>
          <w:bCs/>
          <w:sz w:val="24"/>
          <w:szCs w:val="24"/>
        </w:rPr>
        <w:t>REFERÊNCIAS BIBLIOGRÁFICAS</w:t>
      </w:r>
    </w:p>
    <w:p w:rsidR="00D24E61" w:rsidRPr="00771368" w:rsidRDefault="00D24E61" w:rsidP="00497259">
      <w:pPr>
        <w:spacing w:after="240" w:line="223" w:lineRule="auto"/>
        <w:ind w:right="1060"/>
        <w:rPr>
          <w:sz w:val="20"/>
          <w:szCs w:val="20"/>
        </w:rPr>
      </w:pPr>
      <w:r w:rsidRPr="00771368">
        <w:rPr>
          <w:sz w:val="24"/>
          <w:szCs w:val="24"/>
        </w:rPr>
        <w:t xml:space="preserve">BRASIL. Ministério de Educação e Cultura. </w:t>
      </w:r>
      <w:r w:rsidRPr="00771368">
        <w:rPr>
          <w:b/>
          <w:bCs/>
          <w:sz w:val="24"/>
          <w:szCs w:val="24"/>
        </w:rPr>
        <w:t>LDB - Lei nº 9394/96</w:t>
      </w:r>
      <w:r w:rsidRPr="00771368">
        <w:rPr>
          <w:sz w:val="24"/>
          <w:szCs w:val="24"/>
        </w:rPr>
        <w:t>, de 20 de dezembro de 1996. Estabelece as diretrizes e bases da Educação Nacional. Brasília: MEC, 1996.</w:t>
      </w:r>
    </w:p>
    <w:p w:rsidR="00D24E61" w:rsidRPr="00771368" w:rsidRDefault="00D24E61" w:rsidP="00497259">
      <w:pPr>
        <w:spacing w:after="240" w:line="223" w:lineRule="auto"/>
        <w:ind w:right="160"/>
        <w:rPr>
          <w:sz w:val="20"/>
          <w:szCs w:val="20"/>
        </w:rPr>
      </w:pPr>
      <w:r w:rsidRPr="00771368">
        <w:rPr>
          <w:sz w:val="24"/>
          <w:szCs w:val="24"/>
        </w:rPr>
        <w:t xml:space="preserve">______ </w:t>
      </w:r>
      <w:r w:rsidRPr="00771368">
        <w:rPr>
          <w:b/>
          <w:bCs/>
          <w:sz w:val="24"/>
          <w:szCs w:val="24"/>
        </w:rPr>
        <w:t>PCN - Parâmetros Curriculares Nacionais:</w:t>
      </w:r>
      <w:r w:rsidRPr="00771368">
        <w:rPr>
          <w:sz w:val="24"/>
          <w:szCs w:val="24"/>
        </w:rPr>
        <w:t xml:space="preserve"> pluralidade cultural orientação sexual. Secretaria de Educação Fundamental, 2.ed., Brasília, DF: Editora DP &amp; D, Ministério da educação, 2000, vol. 10, p. 285 -335.</w:t>
      </w:r>
    </w:p>
    <w:p w:rsidR="00D24E61" w:rsidRPr="00771368" w:rsidRDefault="00D24E61" w:rsidP="00497259">
      <w:pPr>
        <w:spacing w:after="240"/>
        <w:rPr>
          <w:sz w:val="20"/>
          <w:szCs w:val="20"/>
        </w:rPr>
      </w:pPr>
      <w:r w:rsidRPr="00771368">
        <w:rPr>
          <w:sz w:val="24"/>
          <w:szCs w:val="24"/>
        </w:rPr>
        <w:t xml:space="preserve">BOURDIEU,P. </w:t>
      </w:r>
      <w:r w:rsidRPr="00771368">
        <w:rPr>
          <w:b/>
          <w:bCs/>
          <w:sz w:val="24"/>
          <w:szCs w:val="24"/>
        </w:rPr>
        <w:t>A Dominação Masculina</w:t>
      </w:r>
      <w:r w:rsidRPr="00771368">
        <w:rPr>
          <w:sz w:val="24"/>
          <w:szCs w:val="24"/>
        </w:rPr>
        <w:t>. Rio de Janeiro. Bertrand Brasil; 1999.</w:t>
      </w:r>
    </w:p>
    <w:p w:rsidR="00D24E61" w:rsidRPr="00771368" w:rsidRDefault="00D24E61" w:rsidP="00497259">
      <w:pPr>
        <w:spacing w:after="240" w:line="214" w:lineRule="auto"/>
        <w:ind w:right="100"/>
        <w:rPr>
          <w:sz w:val="20"/>
          <w:szCs w:val="20"/>
        </w:rPr>
      </w:pPr>
      <w:r w:rsidRPr="00771368">
        <w:rPr>
          <w:sz w:val="24"/>
          <w:szCs w:val="24"/>
        </w:rPr>
        <w:t xml:space="preserve">______ </w:t>
      </w:r>
      <w:r w:rsidRPr="00771368">
        <w:rPr>
          <w:b/>
          <w:bCs/>
          <w:sz w:val="24"/>
          <w:szCs w:val="24"/>
        </w:rPr>
        <w:t>A Escola Conservadora</w:t>
      </w:r>
      <w:r w:rsidRPr="00771368">
        <w:rPr>
          <w:sz w:val="24"/>
          <w:szCs w:val="24"/>
        </w:rPr>
        <w:t xml:space="preserve"> </w:t>
      </w:r>
      <w:r w:rsidRPr="00771368">
        <w:rPr>
          <w:b/>
          <w:bCs/>
          <w:sz w:val="24"/>
          <w:szCs w:val="24"/>
        </w:rPr>
        <w:t>–</w:t>
      </w:r>
      <w:r w:rsidRPr="00771368">
        <w:rPr>
          <w:sz w:val="24"/>
          <w:szCs w:val="24"/>
        </w:rPr>
        <w:t xml:space="preserve"> </w:t>
      </w:r>
      <w:r w:rsidRPr="00771368">
        <w:rPr>
          <w:b/>
          <w:bCs/>
          <w:sz w:val="24"/>
          <w:szCs w:val="24"/>
        </w:rPr>
        <w:t>as desigualdades frente à Escola e à Cultura.</w:t>
      </w:r>
      <w:r w:rsidRPr="00771368">
        <w:rPr>
          <w:sz w:val="24"/>
          <w:szCs w:val="24"/>
        </w:rPr>
        <w:t xml:space="preserve"> Educação em Revista, Belo Horizonte, nº 10, dez. 1989, p.3-15.</w:t>
      </w:r>
    </w:p>
    <w:p w:rsidR="00D24E61" w:rsidRPr="00771368" w:rsidRDefault="00D24E61" w:rsidP="00497259">
      <w:pPr>
        <w:spacing w:after="240" w:line="214" w:lineRule="auto"/>
        <w:ind w:right="580"/>
        <w:rPr>
          <w:sz w:val="20"/>
          <w:szCs w:val="20"/>
        </w:rPr>
      </w:pPr>
      <w:r w:rsidRPr="00771368">
        <w:rPr>
          <w:sz w:val="24"/>
          <w:szCs w:val="24"/>
        </w:rPr>
        <w:t xml:space="preserve">______ </w:t>
      </w:r>
      <w:r w:rsidRPr="00771368">
        <w:rPr>
          <w:b/>
          <w:bCs/>
          <w:sz w:val="24"/>
          <w:szCs w:val="24"/>
        </w:rPr>
        <w:t>Os três estados do capital cultural</w:t>
      </w:r>
      <w:r w:rsidRPr="00771368">
        <w:rPr>
          <w:sz w:val="24"/>
          <w:szCs w:val="24"/>
        </w:rPr>
        <w:t>. In: NOGUEIRA, Maria Alice &amp; CATANI, Afranio. Escritos de Educação. Petrópolis, 1998: Vozes. P. 71- 81.</w:t>
      </w:r>
    </w:p>
    <w:p w:rsidR="00D24E61" w:rsidRPr="00771368" w:rsidRDefault="00D24E61" w:rsidP="00497259">
      <w:pPr>
        <w:spacing w:after="240" w:line="232" w:lineRule="auto"/>
        <w:ind w:right="80"/>
        <w:rPr>
          <w:rFonts w:eastAsia="Calibri"/>
          <w:color w:val="0000FF"/>
          <w:sz w:val="24"/>
          <w:szCs w:val="24"/>
        </w:rPr>
      </w:pPr>
      <w:r w:rsidRPr="00771368">
        <w:rPr>
          <w:sz w:val="24"/>
          <w:szCs w:val="24"/>
        </w:rPr>
        <w:t xml:space="preserve">CARVALHO, M.E.P.de. </w:t>
      </w:r>
      <w:r w:rsidRPr="00771368">
        <w:rPr>
          <w:b/>
          <w:bCs/>
          <w:sz w:val="24"/>
          <w:szCs w:val="24"/>
        </w:rPr>
        <w:t>Pierre Bourdieu sobre gênero e educação</w:t>
      </w:r>
      <w:r w:rsidRPr="00771368">
        <w:rPr>
          <w:sz w:val="24"/>
          <w:szCs w:val="24"/>
        </w:rPr>
        <w:t>. Revista Ártemis N.1, João Pessoa-PB, 2004</w:t>
      </w:r>
      <w:r w:rsidRPr="00771368">
        <w:rPr>
          <w:sz w:val="19"/>
          <w:szCs w:val="19"/>
        </w:rPr>
        <w:t>.</w:t>
      </w:r>
      <w:r w:rsidRPr="00771368">
        <w:rPr>
          <w:sz w:val="24"/>
          <w:szCs w:val="24"/>
        </w:rPr>
        <w:t xml:space="preserve"> Disponível em: </w:t>
      </w:r>
      <w:hyperlink r:id="rId31" w:anchor="sclient=psyab&amp;q=Maria+Eulina+Boudieu&amp;oq=Maria+Eulina+Boudieu&amp;gs_l=serp.3..33i21.2687.11327.0.12075.26.18.1.0.0.7.571.5852.29j6j2j1.18.0....0.0..1c.1.20.psyab.uolDYpQQviQ&amp;pbx=1&amp;bav=on.2,or.r_qf.&amp;fp=ceb83fcf9cc377a3&amp;biw=1366&amp;bih=667&amp;bvm=pv.xjs.s.en_US.QXiTE">
        <w:r w:rsidRPr="00771368">
          <w:rPr>
            <w:rFonts w:eastAsia="Calibri"/>
            <w:color w:val="0000FF"/>
            <w:sz w:val="24"/>
            <w:szCs w:val="24"/>
            <w:u w:val="single"/>
          </w:rPr>
          <w:t>http://www.google.com.br/#sclient=psyab&amp;q=Maria+Eulina+Boudieu&amp;oq=Maria+Eulina+Bo</w:t>
        </w:r>
      </w:hyperlink>
      <w:r w:rsidRPr="00771368">
        <w:rPr>
          <w:rFonts w:eastAsia="Calibri"/>
          <w:color w:val="0000FF"/>
          <w:sz w:val="24"/>
          <w:szCs w:val="24"/>
          <w:u w:val="single"/>
        </w:rPr>
        <w:t xml:space="preserve"> </w:t>
      </w:r>
      <w:hyperlink r:id="rId32" w:anchor="sclient=psyab&amp;q=Maria+Eulina+Boudieu&amp;oq=Maria+Eulina+Boudieu&amp;gs_l=serp.3..33i21.2687.11327.0.12075.26.18.1.0.0.7.571.5852.29j6j2j1.18.0....0.0..1c.1.20.psyab.uolDYpQQviQ&amp;pbx=1&amp;bav=on.2,or.r_qf.&amp;fp=ceb83fcf9cc377a3&amp;biw=1366&amp;bih=667&amp;bvm=pv.xjs.s.en_US.QXiTE">
        <w:r w:rsidRPr="00771368">
          <w:rPr>
            <w:rFonts w:eastAsia="Calibri"/>
            <w:color w:val="0000FF"/>
            <w:sz w:val="24"/>
            <w:szCs w:val="24"/>
            <w:u w:val="single"/>
          </w:rPr>
          <w:t>udieu&amp;gs_l=serp.3..33i21.2687.11327.0.12075.26.18.1.0.0.7.571.5852.29j6j2j1.18.0....0.0..1</w:t>
        </w:r>
      </w:hyperlink>
      <w:r w:rsidRPr="00771368">
        <w:rPr>
          <w:rFonts w:eastAsia="Calibri"/>
          <w:color w:val="0000FF"/>
          <w:sz w:val="24"/>
          <w:szCs w:val="24"/>
          <w:u w:val="single"/>
        </w:rPr>
        <w:t xml:space="preserve"> </w:t>
      </w:r>
      <w:hyperlink r:id="rId33" w:anchor="sclient=psyab&amp;q=Maria+Eulina+Boudieu&amp;oq=Maria+Eulina+Boudieu&amp;gs_l=serp.3..33i21.2687.11327.0.12075.26.18.1.0.0.7.571.5852.29j6j2j1.18.0....0.0..1c.1.20.psyab.uolDYpQQviQ&amp;pbx=1&amp;bav=on.2,or.r_qf.&amp;fp=ceb83fcf9cc377a3&amp;biw=1366&amp;bih=667&amp;bvm=pv.xjs.s.en_US.QXiTE">
        <w:r w:rsidRPr="00771368">
          <w:rPr>
            <w:rFonts w:eastAsia="Calibri"/>
            <w:color w:val="0000FF"/>
            <w:sz w:val="24"/>
            <w:szCs w:val="24"/>
            <w:u w:val="single"/>
          </w:rPr>
          <w:t>c.1.20.psyab.uolDYpQQviQ&amp;pbx=1&amp;bav=on.2,or.r_qf.&amp;fp=ceb83fcf9cc377a3&amp;biw=1366&amp;bi</w:t>
        </w:r>
      </w:hyperlink>
      <w:r w:rsidRPr="00771368">
        <w:rPr>
          <w:rFonts w:eastAsia="Calibri"/>
          <w:color w:val="0000FF"/>
          <w:sz w:val="24"/>
          <w:szCs w:val="24"/>
          <w:u w:val="single"/>
        </w:rPr>
        <w:t xml:space="preserve"> </w:t>
      </w:r>
      <w:hyperlink r:id="rId34" w:anchor="sclient=psyab&amp;q=Maria+Eulina+Boudieu&amp;oq=Maria+Eulina+Boudieu&amp;gs_l=serp.3..33i21.2687.11327.0.12075.26.18.1.0.0.7.571.5852.29j6j2j1.18.0....0.0..1c.1.20.psyab.uolDYpQQviQ&amp;pbx=1&amp;bav=on.2,or.r_qf.&amp;fp=ceb83fcf9cc377a3&amp;biw=1366&amp;bih=667&amp;bvm=pv.xjs.s.en_US.QXiTE">
        <w:r w:rsidRPr="00771368">
          <w:rPr>
            <w:rFonts w:eastAsia="Calibri"/>
            <w:color w:val="0000FF"/>
            <w:sz w:val="24"/>
            <w:szCs w:val="24"/>
            <w:u w:val="single"/>
          </w:rPr>
          <w:t>h=667&amp;bvm=pv.xjs.s.en_US.QXiTEk6XjhM.O</w:t>
        </w:r>
        <w:r w:rsidRPr="00771368">
          <w:rPr>
            <w:rFonts w:eastAsia="Calibri"/>
            <w:color w:val="0000FF"/>
            <w:sz w:val="24"/>
            <w:szCs w:val="24"/>
          </w:rPr>
          <w:t xml:space="preserve"> </w:t>
        </w:r>
      </w:hyperlink>
      <w:r w:rsidRPr="00771368">
        <w:rPr>
          <w:color w:val="000000"/>
          <w:sz w:val="24"/>
          <w:szCs w:val="24"/>
        </w:rPr>
        <w:t>.</w:t>
      </w:r>
      <w:r w:rsidRPr="00771368">
        <w:rPr>
          <w:rFonts w:eastAsia="Calibri"/>
          <w:color w:val="0000FF"/>
          <w:sz w:val="24"/>
          <w:szCs w:val="24"/>
        </w:rPr>
        <w:t xml:space="preserve"> </w:t>
      </w:r>
      <w:r w:rsidRPr="00771368">
        <w:rPr>
          <w:color w:val="000000"/>
          <w:sz w:val="24"/>
          <w:szCs w:val="24"/>
        </w:rPr>
        <w:t>Acesso em: 17 julh. 2013.</w:t>
      </w:r>
    </w:p>
    <w:p w:rsidR="00D24E61" w:rsidRPr="00771368" w:rsidRDefault="00D24E61" w:rsidP="00497259">
      <w:pPr>
        <w:spacing w:after="240" w:line="214" w:lineRule="auto"/>
        <w:ind w:right="440"/>
        <w:rPr>
          <w:sz w:val="20"/>
          <w:szCs w:val="20"/>
        </w:rPr>
      </w:pPr>
      <w:r w:rsidRPr="00771368">
        <w:rPr>
          <w:sz w:val="24"/>
          <w:szCs w:val="24"/>
        </w:rPr>
        <w:t xml:space="preserve">CARVALHO M.P. de. </w:t>
      </w:r>
      <w:r w:rsidRPr="00771368">
        <w:rPr>
          <w:b/>
          <w:bCs/>
          <w:sz w:val="24"/>
          <w:szCs w:val="24"/>
        </w:rPr>
        <w:t>Sucesso e fracasso escolar: Uma questão de gênero.</w:t>
      </w:r>
      <w:r w:rsidRPr="00771368">
        <w:rPr>
          <w:sz w:val="24"/>
          <w:szCs w:val="24"/>
        </w:rPr>
        <w:t xml:space="preserve"> Educação e Pesquisa, São Paulo, v.29, n.1, p. 185-193, jan./jun. 2003</w:t>
      </w:r>
    </w:p>
    <w:p w:rsidR="00D24E61" w:rsidRPr="00771368" w:rsidRDefault="00D24E61" w:rsidP="00497259">
      <w:pPr>
        <w:spacing w:after="240" w:line="223" w:lineRule="auto"/>
        <w:ind w:right="20"/>
        <w:jc w:val="both"/>
        <w:rPr>
          <w:sz w:val="20"/>
          <w:szCs w:val="20"/>
        </w:rPr>
      </w:pPr>
      <w:r w:rsidRPr="00771368">
        <w:rPr>
          <w:sz w:val="24"/>
          <w:szCs w:val="24"/>
        </w:rPr>
        <w:t xml:space="preserve">GOMES, Vera Lúcia de Oliveira. </w:t>
      </w:r>
      <w:r w:rsidRPr="00771368">
        <w:rPr>
          <w:b/>
          <w:bCs/>
          <w:sz w:val="24"/>
          <w:szCs w:val="24"/>
        </w:rPr>
        <w:t>A construção do feminino e do masculino no processo de</w:t>
      </w:r>
      <w:r w:rsidRPr="00771368">
        <w:rPr>
          <w:sz w:val="24"/>
          <w:szCs w:val="24"/>
        </w:rPr>
        <w:t xml:space="preserve"> </w:t>
      </w:r>
      <w:r w:rsidRPr="00771368">
        <w:rPr>
          <w:b/>
          <w:bCs/>
          <w:sz w:val="24"/>
          <w:szCs w:val="24"/>
        </w:rPr>
        <w:t xml:space="preserve">cuidar crianças em pré-escolas. </w:t>
      </w:r>
      <w:r w:rsidRPr="00771368">
        <w:rPr>
          <w:i/>
          <w:iCs/>
          <w:sz w:val="24"/>
          <w:szCs w:val="24"/>
        </w:rPr>
        <w:t>Texto contexto - enferm.</w:t>
      </w:r>
      <w:r w:rsidRPr="00771368">
        <w:rPr>
          <w:b/>
          <w:bCs/>
          <w:sz w:val="24"/>
          <w:szCs w:val="24"/>
        </w:rPr>
        <w:t xml:space="preserve"> </w:t>
      </w:r>
      <w:r w:rsidRPr="00771368">
        <w:rPr>
          <w:sz w:val="24"/>
          <w:szCs w:val="24"/>
        </w:rPr>
        <w:t>[online]. 2006, vol.15, n.1, pp. 35-42. ISSN 0104-0707. http://dx.doi.org/10.1590/S0104-07072006000100004.</w:t>
      </w:r>
    </w:p>
    <w:p w:rsidR="00D24E61" w:rsidRPr="00771368" w:rsidRDefault="00D24E61" w:rsidP="00497259">
      <w:pPr>
        <w:spacing w:after="240" w:line="214" w:lineRule="auto"/>
        <w:ind w:right="440"/>
        <w:rPr>
          <w:sz w:val="20"/>
          <w:szCs w:val="20"/>
        </w:rPr>
      </w:pPr>
      <w:r w:rsidRPr="00771368">
        <w:rPr>
          <w:sz w:val="24"/>
          <w:szCs w:val="24"/>
        </w:rPr>
        <w:t xml:space="preserve">LENÇÓIS PAULISTA. Escola Estadual Rubens Pietraróia. </w:t>
      </w:r>
      <w:r w:rsidRPr="00771368">
        <w:rPr>
          <w:b/>
          <w:bCs/>
          <w:sz w:val="24"/>
          <w:szCs w:val="24"/>
        </w:rPr>
        <w:t>Projeto Político Pedagógico</w:t>
      </w:r>
      <w:r w:rsidRPr="00771368">
        <w:rPr>
          <w:sz w:val="24"/>
          <w:szCs w:val="24"/>
        </w:rPr>
        <w:t>. Lençóis Paulista, São Paulo, 2012.</w:t>
      </w:r>
    </w:p>
    <w:p w:rsidR="00D24E61" w:rsidRPr="00771368" w:rsidRDefault="00D24E61" w:rsidP="00497259">
      <w:pPr>
        <w:spacing w:after="240"/>
        <w:rPr>
          <w:sz w:val="20"/>
          <w:szCs w:val="20"/>
        </w:rPr>
      </w:pPr>
      <w:r w:rsidRPr="00771368">
        <w:rPr>
          <w:sz w:val="24"/>
          <w:szCs w:val="24"/>
        </w:rPr>
        <w:t xml:space="preserve">______ </w:t>
      </w:r>
      <w:r w:rsidRPr="00771368">
        <w:rPr>
          <w:b/>
          <w:bCs/>
          <w:sz w:val="24"/>
          <w:szCs w:val="24"/>
        </w:rPr>
        <w:t>Plano Gestão, quadriênio 2011-2014</w:t>
      </w:r>
      <w:r w:rsidRPr="00771368">
        <w:rPr>
          <w:sz w:val="24"/>
          <w:szCs w:val="24"/>
        </w:rPr>
        <w:t>. Lençóis Paulista, São Paulo, 2011.</w:t>
      </w:r>
    </w:p>
    <w:p w:rsidR="00D24E61" w:rsidRPr="00771368" w:rsidRDefault="00D24E61" w:rsidP="00497259">
      <w:pPr>
        <w:spacing w:after="240" w:line="223" w:lineRule="auto"/>
        <w:ind w:right="200"/>
        <w:rPr>
          <w:sz w:val="20"/>
          <w:szCs w:val="20"/>
        </w:rPr>
      </w:pPr>
      <w:r w:rsidRPr="00771368">
        <w:rPr>
          <w:sz w:val="24"/>
          <w:szCs w:val="24"/>
        </w:rPr>
        <w:t xml:space="preserve">MAIA. A.C.B. </w:t>
      </w:r>
      <w:r w:rsidRPr="00771368">
        <w:rPr>
          <w:b/>
          <w:bCs/>
          <w:sz w:val="24"/>
          <w:szCs w:val="24"/>
        </w:rPr>
        <w:t>Identidade e papeis sexuais: uma discussão sobre gênero na escola.</w:t>
      </w:r>
      <w:r w:rsidRPr="00771368">
        <w:rPr>
          <w:sz w:val="24"/>
          <w:szCs w:val="24"/>
        </w:rPr>
        <w:t xml:space="preserve"> In: MAIA, A.C.B.; MAIA, A. F. (ORG). Sexualidade e infância. Bauru, SP: Cadernos CECEMCA no 1, Faculdade de Ciências: Cecemca; Brasília, DF: MEC/SEF, 2005, p.66-83.</w:t>
      </w:r>
    </w:p>
    <w:p w:rsidR="00D24E61" w:rsidRPr="00771368" w:rsidRDefault="00D24E61" w:rsidP="00497259">
      <w:pPr>
        <w:spacing w:after="240" w:line="223" w:lineRule="auto"/>
        <w:jc w:val="both"/>
        <w:rPr>
          <w:sz w:val="20"/>
          <w:szCs w:val="20"/>
        </w:rPr>
      </w:pPr>
      <w:r w:rsidRPr="00771368">
        <w:rPr>
          <w:sz w:val="24"/>
          <w:szCs w:val="24"/>
        </w:rPr>
        <w:t xml:space="preserve">MUZZETI, L. R. </w:t>
      </w:r>
      <w:r w:rsidRPr="00771368">
        <w:rPr>
          <w:b/>
          <w:bCs/>
          <w:sz w:val="24"/>
          <w:szCs w:val="24"/>
        </w:rPr>
        <w:t>Consenso ou conflito: contribuições das teorias sociológicas de Émile</w:t>
      </w:r>
      <w:r w:rsidRPr="00771368">
        <w:rPr>
          <w:sz w:val="24"/>
          <w:szCs w:val="24"/>
        </w:rPr>
        <w:t xml:space="preserve"> </w:t>
      </w:r>
      <w:r w:rsidRPr="00771368">
        <w:rPr>
          <w:b/>
          <w:bCs/>
          <w:sz w:val="24"/>
          <w:szCs w:val="24"/>
        </w:rPr>
        <w:t xml:space="preserve">Durkheim e de Pierre Bourdieu. </w:t>
      </w:r>
      <w:r w:rsidRPr="00771368">
        <w:rPr>
          <w:sz w:val="24"/>
          <w:szCs w:val="24"/>
        </w:rPr>
        <w:t>Boletim do Departamento de Didática, Araraquara, v.16, n.</w:t>
      </w:r>
      <w:r w:rsidRPr="00771368">
        <w:rPr>
          <w:b/>
          <w:bCs/>
          <w:sz w:val="24"/>
          <w:szCs w:val="24"/>
        </w:rPr>
        <w:t xml:space="preserve"> </w:t>
      </w:r>
      <w:r w:rsidRPr="00771368">
        <w:rPr>
          <w:sz w:val="24"/>
          <w:szCs w:val="24"/>
        </w:rPr>
        <w:t>15, p.43-62,1999.</w:t>
      </w:r>
    </w:p>
    <w:p w:rsidR="00D24E61" w:rsidRPr="00771368" w:rsidRDefault="00D24E61" w:rsidP="00497259">
      <w:pPr>
        <w:spacing w:after="240" w:line="223" w:lineRule="auto"/>
        <w:ind w:right="300"/>
        <w:jc w:val="both"/>
        <w:rPr>
          <w:sz w:val="20"/>
          <w:szCs w:val="20"/>
        </w:rPr>
      </w:pPr>
      <w:r w:rsidRPr="00771368">
        <w:rPr>
          <w:sz w:val="24"/>
          <w:szCs w:val="24"/>
        </w:rPr>
        <w:t xml:space="preserve">NOGUEIRA, M.A. e NOGUEIRA, C.M.M. </w:t>
      </w:r>
      <w:r w:rsidRPr="00771368">
        <w:rPr>
          <w:b/>
          <w:bCs/>
          <w:sz w:val="24"/>
          <w:szCs w:val="24"/>
        </w:rPr>
        <w:t>Um arbitrário cultural dominante</w:t>
      </w:r>
      <w:r w:rsidRPr="00771368">
        <w:rPr>
          <w:sz w:val="24"/>
          <w:szCs w:val="24"/>
        </w:rPr>
        <w:t>. Revista Educação, São Paulo, vol. 5, Especial: Biblioteca do Professor, Bordieu pensa a Educação, p.36-45, set. 2007.</w:t>
      </w:r>
    </w:p>
    <w:p w:rsidR="00D24E61" w:rsidRPr="00771368" w:rsidRDefault="00D24E61" w:rsidP="00497259">
      <w:pPr>
        <w:spacing w:after="240" w:line="214" w:lineRule="auto"/>
        <w:ind w:right="320"/>
        <w:jc w:val="both"/>
        <w:rPr>
          <w:sz w:val="20"/>
          <w:szCs w:val="20"/>
        </w:rPr>
      </w:pPr>
      <w:r w:rsidRPr="00771368">
        <w:rPr>
          <w:sz w:val="24"/>
          <w:szCs w:val="24"/>
        </w:rPr>
        <w:t xml:space="preserve">SILVA, C. D. et al. </w:t>
      </w:r>
      <w:r w:rsidRPr="00771368">
        <w:rPr>
          <w:b/>
          <w:bCs/>
          <w:sz w:val="24"/>
          <w:szCs w:val="24"/>
        </w:rPr>
        <w:t>Meninas bem-comportadas, boas alunas, meninos inteligentes, mas</w:t>
      </w:r>
      <w:r w:rsidRPr="00771368">
        <w:rPr>
          <w:sz w:val="24"/>
          <w:szCs w:val="24"/>
        </w:rPr>
        <w:t xml:space="preserve"> </w:t>
      </w:r>
      <w:r w:rsidRPr="00771368">
        <w:rPr>
          <w:b/>
          <w:bCs/>
          <w:sz w:val="24"/>
          <w:szCs w:val="24"/>
        </w:rPr>
        <w:t xml:space="preserve">indisciplinados. </w:t>
      </w:r>
      <w:r w:rsidRPr="00771368">
        <w:rPr>
          <w:sz w:val="24"/>
          <w:szCs w:val="24"/>
        </w:rPr>
        <w:t>Cadernos de Pesquisa, São Paulo, n. 107, p. 207-225, jul. 1999.</w:t>
      </w:r>
    </w:p>
    <w:p w:rsidR="00D24E61" w:rsidRPr="00771368" w:rsidRDefault="00D24E61">
      <w:pPr>
        <w:rPr>
          <w:sz w:val="20"/>
          <w:szCs w:val="20"/>
        </w:rPr>
      </w:pPr>
      <w:r w:rsidRPr="00771368">
        <w:rPr>
          <w:b/>
          <w:bCs/>
          <w:sz w:val="24"/>
          <w:szCs w:val="24"/>
        </w:rPr>
        <w:t>ANEXO 1– Quadro Resumo das Notas Bimestrais - Alunos do Gênero Feminino</w:t>
      </w:r>
    </w:p>
    <w:p w:rsidR="00D24E61" w:rsidRPr="00771368" w:rsidRDefault="00D24E61">
      <w:pPr>
        <w:spacing w:line="182" w:lineRule="exact"/>
        <w:rPr>
          <w:sz w:val="20"/>
          <w:szCs w:val="20"/>
        </w:rPr>
      </w:pPr>
    </w:p>
    <w:tbl>
      <w:tblPr>
        <w:tblW w:w="0" w:type="auto"/>
        <w:tblInd w:w="730" w:type="dxa"/>
        <w:tblLayout w:type="fixed"/>
        <w:tblCellMar>
          <w:left w:w="0" w:type="dxa"/>
          <w:right w:w="0" w:type="dxa"/>
        </w:tblCellMar>
        <w:tblLook w:val="04A0" w:firstRow="1" w:lastRow="0" w:firstColumn="1" w:lastColumn="0" w:noHBand="0" w:noVBand="1"/>
      </w:tblPr>
      <w:tblGrid>
        <w:gridCol w:w="2020"/>
        <w:gridCol w:w="1440"/>
        <w:gridCol w:w="1460"/>
        <w:gridCol w:w="1360"/>
        <w:gridCol w:w="1380"/>
      </w:tblGrid>
      <w:tr w:rsidR="00D24E61" w:rsidRPr="00771368">
        <w:trPr>
          <w:trHeight w:val="247"/>
        </w:trPr>
        <w:tc>
          <w:tcPr>
            <w:tcW w:w="2020" w:type="dxa"/>
            <w:tcBorders>
              <w:top w:val="single" w:sz="8" w:space="0" w:color="auto"/>
              <w:left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b/>
                <w:bCs/>
                <w:sz w:val="20"/>
                <w:szCs w:val="20"/>
              </w:rPr>
              <w:t>Aluna/Nota</w:t>
            </w:r>
          </w:p>
        </w:tc>
        <w:tc>
          <w:tcPr>
            <w:tcW w:w="1440" w:type="dxa"/>
            <w:tcBorders>
              <w:top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b/>
                <w:bCs/>
                <w:sz w:val="20"/>
                <w:szCs w:val="20"/>
              </w:rPr>
              <w:t>Português</w:t>
            </w:r>
          </w:p>
        </w:tc>
        <w:tc>
          <w:tcPr>
            <w:tcW w:w="1460" w:type="dxa"/>
            <w:tcBorders>
              <w:top w:val="single" w:sz="8" w:space="0" w:color="auto"/>
              <w:right w:val="single" w:sz="8" w:space="0" w:color="auto"/>
            </w:tcBorders>
            <w:vAlign w:val="bottom"/>
          </w:tcPr>
          <w:p w:rsidR="00D24E61" w:rsidRPr="00771368" w:rsidRDefault="00D24E61">
            <w:pPr>
              <w:spacing w:line="243" w:lineRule="exact"/>
              <w:ind w:left="80"/>
              <w:rPr>
                <w:sz w:val="20"/>
                <w:szCs w:val="20"/>
              </w:rPr>
            </w:pPr>
            <w:r w:rsidRPr="00771368">
              <w:rPr>
                <w:rFonts w:eastAsia="Calibri"/>
                <w:b/>
                <w:bCs/>
                <w:sz w:val="20"/>
                <w:szCs w:val="20"/>
              </w:rPr>
              <w:t>Português</w:t>
            </w:r>
          </w:p>
        </w:tc>
        <w:tc>
          <w:tcPr>
            <w:tcW w:w="1360" w:type="dxa"/>
            <w:tcBorders>
              <w:top w:val="single" w:sz="8" w:space="0" w:color="auto"/>
              <w:right w:val="single" w:sz="8" w:space="0" w:color="auto"/>
            </w:tcBorders>
            <w:vAlign w:val="bottom"/>
          </w:tcPr>
          <w:p w:rsidR="00D24E61" w:rsidRPr="00771368" w:rsidRDefault="00D24E61">
            <w:pPr>
              <w:spacing w:line="243" w:lineRule="exact"/>
              <w:ind w:left="80"/>
              <w:rPr>
                <w:sz w:val="20"/>
                <w:szCs w:val="20"/>
              </w:rPr>
            </w:pPr>
            <w:r w:rsidRPr="00771368">
              <w:rPr>
                <w:rFonts w:eastAsia="Calibri"/>
                <w:b/>
                <w:bCs/>
                <w:sz w:val="20"/>
                <w:szCs w:val="20"/>
              </w:rPr>
              <w:t>Matemática</w:t>
            </w:r>
          </w:p>
        </w:tc>
        <w:tc>
          <w:tcPr>
            <w:tcW w:w="1380" w:type="dxa"/>
            <w:tcBorders>
              <w:top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b/>
                <w:bCs/>
                <w:sz w:val="20"/>
                <w:szCs w:val="20"/>
              </w:rPr>
              <w:t>Matemática</w:t>
            </w:r>
          </w:p>
        </w:tc>
      </w:tr>
      <w:tr w:rsidR="00D24E61" w:rsidRPr="00771368">
        <w:trPr>
          <w:trHeight w:val="248"/>
        </w:trPr>
        <w:tc>
          <w:tcPr>
            <w:tcW w:w="2020" w:type="dxa"/>
            <w:tcBorders>
              <w:left w:val="single" w:sz="8" w:space="0" w:color="auto"/>
              <w:bottom w:val="single" w:sz="8" w:space="0" w:color="auto"/>
              <w:right w:val="single" w:sz="8" w:space="0" w:color="auto"/>
            </w:tcBorders>
            <w:vAlign w:val="bottom"/>
          </w:tcPr>
          <w:p w:rsidR="00D24E61" w:rsidRPr="00771368" w:rsidRDefault="00D24E61">
            <w:pPr>
              <w:rPr>
                <w:sz w:val="21"/>
                <w:szCs w:val="21"/>
              </w:rPr>
            </w:pPr>
          </w:p>
        </w:tc>
        <w:tc>
          <w:tcPr>
            <w:tcW w:w="1440" w:type="dxa"/>
            <w:tcBorders>
              <w:bottom w:val="single" w:sz="8" w:space="0" w:color="auto"/>
              <w:right w:val="single" w:sz="8" w:space="0" w:color="auto"/>
            </w:tcBorders>
            <w:vAlign w:val="bottom"/>
          </w:tcPr>
          <w:p w:rsidR="00D24E61" w:rsidRPr="00771368" w:rsidRDefault="00D24E61">
            <w:pPr>
              <w:spacing w:line="243" w:lineRule="exact"/>
              <w:ind w:left="140"/>
              <w:rPr>
                <w:sz w:val="20"/>
                <w:szCs w:val="20"/>
              </w:rPr>
            </w:pPr>
            <w:r w:rsidRPr="00771368">
              <w:rPr>
                <w:rFonts w:eastAsia="Calibri"/>
                <w:b/>
                <w:bCs/>
                <w:sz w:val="20"/>
                <w:szCs w:val="20"/>
              </w:rPr>
              <w:t>1º Bimestre</w:t>
            </w:r>
          </w:p>
        </w:tc>
        <w:tc>
          <w:tcPr>
            <w:tcW w:w="1460" w:type="dxa"/>
            <w:tcBorders>
              <w:bottom w:val="single" w:sz="8" w:space="0" w:color="auto"/>
              <w:right w:val="single" w:sz="8" w:space="0" w:color="auto"/>
            </w:tcBorders>
            <w:vAlign w:val="bottom"/>
          </w:tcPr>
          <w:p w:rsidR="00D24E61" w:rsidRPr="00771368" w:rsidRDefault="00D24E61">
            <w:pPr>
              <w:spacing w:line="243" w:lineRule="exact"/>
              <w:ind w:left="80"/>
              <w:rPr>
                <w:sz w:val="20"/>
                <w:szCs w:val="20"/>
              </w:rPr>
            </w:pPr>
            <w:r w:rsidRPr="00771368">
              <w:rPr>
                <w:rFonts w:eastAsia="Calibri"/>
                <w:b/>
                <w:bCs/>
                <w:sz w:val="20"/>
                <w:szCs w:val="20"/>
              </w:rPr>
              <w:t>2º Bimestre</w:t>
            </w:r>
          </w:p>
        </w:tc>
        <w:tc>
          <w:tcPr>
            <w:tcW w:w="1360" w:type="dxa"/>
            <w:tcBorders>
              <w:bottom w:val="single" w:sz="8" w:space="0" w:color="auto"/>
              <w:right w:val="single" w:sz="8" w:space="0" w:color="auto"/>
            </w:tcBorders>
            <w:vAlign w:val="bottom"/>
          </w:tcPr>
          <w:p w:rsidR="00D24E61" w:rsidRPr="00771368" w:rsidRDefault="00D24E61">
            <w:pPr>
              <w:spacing w:line="243" w:lineRule="exact"/>
              <w:ind w:left="80"/>
              <w:rPr>
                <w:sz w:val="20"/>
                <w:szCs w:val="20"/>
              </w:rPr>
            </w:pPr>
            <w:r w:rsidRPr="00771368">
              <w:rPr>
                <w:rFonts w:eastAsia="Calibri"/>
                <w:b/>
                <w:bCs/>
                <w:sz w:val="20"/>
                <w:szCs w:val="20"/>
              </w:rPr>
              <w:t>1º Bimestre</w:t>
            </w:r>
          </w:p>
        </w:tc>
        <w:tc>
          <w:tcPr>
            <w:tcW w:w="1380" w:type="dxa"/>
            <w:tcBorders>
              <w:bottom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b/>
                <w:bCs/>
                <w:sz w:val="20"/>
                <w:szCs w:val="20"/>
              </w:rPr>
              <w:t>2º Bimestre</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1</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2</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3</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7</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4</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3</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4</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5</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8</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8</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7</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8</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9</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10</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9</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8</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r>
      <w:tr w:rsidR="00D24E61" w:rsidRPr="00771368">
        <w:trPr>
          <w:trHeight w:val="235"/>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11</w:t>
            </w:r>
          </w:p>
        </w:tc>
        <w:tc>
          <w:tcPr>
            <w:tcW w:w="144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1" w:lineRule="exact"/>
              <w:ind w:left="8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1"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color w:val="FF0000"/>
                <w:sz w:val="20"/>
                <w:szCs w:val="20"/>
              </w:rPr>
              <w:t>3</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12</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4</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13</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10</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10</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10</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8</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14</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8</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8</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6</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15</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16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17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8</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7</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18</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19</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20</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9</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21</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7</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22</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7</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23</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3</w:t>
            </w:r>
          </w:p>
        </w:tc>
      </w:tr>
      <w:tr w:rsidR="00D24E61" w:rsidRPr="00771368">
        <w:trPr>
          <w:trHeight w:val="235"/>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24</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r>
      <w:tr w:rsidR="00D24E61" w:rsidRPr="00771368">
        <w:trPr>
          <w:trHeight w:val="235"/>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25</w:t>
            </w:r>
          </w:p>
        </w:tc>
        <w:tc>
          <w:tcPr>
            <w:tcW w:w="144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9</w:t>
            </w:r>
          </w:p>
        </w:tc>
        <w:tc>
          <w:tcPr>
            <w:tcW w:w="1460" w:type="dxa"/>
            <w:tcBorders>
              <w:bottom w:val="single" w:sz="8" w:space="0" w:color="auto"/>
              <w:right w:val="single" w:sz="8" w:space="0" w:color="auto"/>
            </w:tcBorders>
            <w:vAlign w:val="bottom"/>
          </w:tcPr>
          <w:p w:rsidR="00D24E61" w:rsidRPr="00771368" w:rsidRDefault="00D24E61">
            <w:pPr>
              <w:spacing w:line="231" w:lineRule="exact"/>
              <w:ind w:left="8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1"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6</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26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27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28</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2</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29</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4</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30</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31</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3</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4</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32</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7</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4</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33</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color w:val="FF0000"/>
                <w:sz w:val="20"/>
                <w:szCs w:val="20"/>
              </w:rPr>
              <w:t>1</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color w:val="FF0000"/>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1</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34</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4</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35</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36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37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r>
      <w:tr w:rsidR="00D24E61" w:rsidRPr="00771368">
        <w:trPr>
          <w:trHeight w:val="235"/>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38</w:t>
            </w:r>
          </w:p>
        </w:tc>
        <w:tc>
          <w:tcPr>
            <w:tcW w:w="144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1"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1" w:lineRule="exact"/>
              <w:ind w:left="80"/>
              <w:rPr>
                <w:sz w:val="20"/>
                <w:szCs w:val="20"/>
              </w:rPr>
            </w:pPr>
            <w:r w:rsidRPr="00771368">
              <w:rPr>
                <w:rFonts w:eastAsia="Calibri"/>
                <w:color w:val="FF0000"/>
                <w:sz w:val="20"/>
                <w:szCs w:val="20"/>
              </w:rPr>
              <w:t>3</w:t>
            </w:r>
          </w:p>
        </w:tc>
        <w:tc>
          <w:tcPr>
            <w:tcW w:w="138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color w:val="FF0000"/>
                <w:sz w:val="20"/>
                <w:szCs w:val="20"/>
              </w:rPr>
              <w:t>3</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39</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40</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7</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7</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7</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7</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41</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4</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1</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2</w:t>
            </w:r>
          </w:p>
        </w:tc>
      </w:tr>
      <w:tr w:rsidR="00D24E61" w:rsidRPr="00771368">
        <w:trPr>
          <w:trHeight w:val="233"/>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42</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7</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43</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7</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44</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45</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46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8</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r>
      <w:tr w:rsidR="00D24E61" w:rsidRPr="00771368">
        <w:trPr>
          <w:trHeight w:val="234"/>
        </w:trPr>
        <w:tc>
          <w:tcPr>
            <w:tcW w:w="202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47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r>
      <w:tr w:rsidR="00D24E61" w:rsidRPr="00771368">
        <w:trPr>
          <w:trHeight w:val="231"/>
        </w:trPr>
        <w:tc>
          <w:tcPr>
            <w:tcW w:w="2020" w:type="dxa"/>
            <w:tcBorders>
              <w:left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b/>
                <w:bCs/>
                <w:sz w:val="20"/>
                <w:szCs w:val="20"/>
              </w:rPr>
              <w:t>Média Aritmética</w:t>
            </w:r>
          </w:p>
        </w:tc>
        <w:tc>
          <w:tcPr>
            <w:tcW w:w="1440" w:type="dxa"/>
            <w:tcBorders>
              <w:right w:val="single" w:sz="8" w:space="0" w:color="auto"/>
            </w:tcBorders>
            <w:vAlign w:val="bottom"/>
          </w:tcPr>
          <w:p w:rsidR="00D24E61" w:rsidRPr="00771368" w:rsidRDefault="00D24E61">
            <w:pPr>
              <w:spacing w:line="230" w:lineRule="exact"/>
              <w:ind w:left="100"/>
              <w:rPr>
                <w:sz w:val="20"/>
                <w:szCs w:val="20"/>
              </w:rPr>
            </w:pPr>
            <w:r w:rsidRPr="00771368">
              <w:rPr>
                <w:rFonts w:eastAsia="Calibri"/>
                <w:b/>
                <w:bCs/>
                <w:sz w:val="20"/>
                <w:szCs w:val="20"/>
              </w:rPr>
              <w:t>5,87</w:t>
            </w:r>
          </w:p>
        </w:tc>
        <w:tc>
          <w:tcPr>
            <w:tcW w:w="1460" w:type="dxa"/>
            <w:tcBorders>
              <w:right w:val="single" w:sz="8" w:space="0" w:color="auto"/>
            </w:tcBorders>
            <w:vAlign w:val="bottom"/>
          </w:tcPr>
          <w:p w:rsidR="00D24E61" w:rsidRPr="00771368" w:rsidRDefault="00D24E61">
            <w:pPr>
              <w:spacing w:line="230" w:lineRule="exact"/>
              <w:ind w:left="80"/>
              <w:rPr>
                <w:sz w:val="20"/>
                <w:szCs w:val="20"/>
              </w:rPr>
            </w:pPr>
            <w:r w:rsidRPr="00771368">
              <w:rPr>
                <w:rFonts w:eastAsia="Calibri"/>
                <w:b/>
                <w:bCs/>
                <w:sz w:val="20"/>
                <w:szCs w:val="20"/>
              </w:rPr>
              <w:t>5,45</w:t>
            </w:r>
          </w:p>
        </w:tc>
        <w:tc>
          <w:tcPr>
            <w:tcW w:w="1360" w:type="dxa"/>
            <w:tcBorders>
              <w:right w:val="single" w:sz="8" w:space="0" w:color="auto"/>
            </w:tcBorders>
            <w:vAlign w:val="bottom"/>
          </w:tcPr>
          <w:p w:rsidR="00D24E61" w:rsidRPr="00771368" w:rsidRDefault="00D24E61">
            <w:pPr>
              <w:spacing w:line="230" w:lineRule="exact"/>
              <w:ind w:left="80"/>
              <w:rPr>
                <w:sz w:val="20"/>
                <w:szCs w:val="20"/>
              </w:rPr>
            </w:pPr>
            <w:r w:rsidRPr="00771368">
              <w:rPr>
                <w:rFonts w:eastAsia="Calibri"/>
                <w:b/>
                <w:bCs/>
                <w:sz w:val="20"/>
                <w:szCs w:val="20"/>
              </w:rPr>
              <w:t>5,21</w:t>
            </w:r>
          </w:p>
        </w:tc>
        <w:tc>
          <w:tcPr>
            <w:tcW w:w="1380" w:type="dxa"/>
            <w:tcBorders>
              <w:right w:val="single" w:sz="8" w:space="0" w:color="auto"/>
            </w:tcBorders>
            <w:vAlign w:val="bottom"/>
          </w:tcPr>
          <w:p w:rsidR="00D24E61" w:rsidRPr="00771368" w:rsidRDefault="00D24E61">
            <w:pPr>
              <w:spacing w:line="230" w:lineRule="exact"/>
              <w:ind w:left="100"/>
              <w:rPr>
                <w:sz w:val="20"/>
                <w:szCs w:val="20"/>
              </w:rPr>
            </w:pPr>
            <w:r w:rsidRPr="00771368">
              <w:rPr>
                <w:rFonts w:eastAsia="Calibri"/>
                <w:b/>
                <w:bCs/>
                <w:color w:val="FF0000"/>
                <w:sz w:val="20"/>
                <w:szCs w:val="20"/>
              </w:rPr>
              <w:t>4,79</w:t>
            </w:r>
          </w:p>
        </w:tc>
      </w:tr>
      <w:tr w:rsidR="00D24E61" w:rsidRPr="00771368">
        <w:trPr>
          <w:trHeight w:val="46"/>
        </w:trPr>
        <w:tc>
          <w:tcPr>
            <w:tcW w:w="2020" w:type="dxa"/>
            <w:tcBorders>
              <w:left w:val="single" w:sz="8" w:space="0" w:color="auto"/>
              <w:bottom w:val="single" w:sz="8" w:space="0" w:color="auto"/>
              <w:right w:val="single" w:sz="8" w:space="0" w:color="auto"/>
            </w:tcBorders>
            <w:vAlign w:val="bottom"/>
          </w:tcPr>
          <w:p w:rsidR="00D24E61" w:rsidRPr="00771368" w:rsidRDefault="00D24E61">
            <w:pPr>
              <w:rPr>
                <w:sz w:val="3"/>
                <w:szCs w:val="3"/>
              </w:rPr>
            </w:pPr>
          </w:p>
        </w:tc>
        <w:tc>
          <w:tcPr>
            <w:tcW w:w="1440" w:type="dxa"/>
            <w:tcBorders>
              <w:bottom w:val="single" w:sz="8" w:space="0" w:color="auto"/>
              <w:right w:val="single" w:sz="8" w:space="0" w:color="auto"/>
            </w:tcBorders>
            <w:vAlign w:val="bottom"/>
          </w:tcPr>
          <w:p w:rsidR="00D24E61" w:rsidRPr="00771368" w:rsidRDefault="00D24E61">
            <w:pPr>
              <w:rPr>
                <w:sz w:val="3"/>
                <w:szCs w:val="3"/>
              </w:rPr>
            </w:pPr>
          </w:p>
        </w:tc>
        <w:tc>
          <w:tcPr>
            <w:tcW w:w="1460" w:type="dxa"/>
            <w:tcBorders>
              <w:bottom w:val="single" w:sz="8" w:space="0" w:color="auto"/>
              <w:right w:val="single" w:sz="8" w:space="0" w:color="auto"/>
            </w:tcBorders>
            <w:vAlign w:val="bottom"/>
          </w:tcPr>
          <w:p w:rsidR="00D24E61" w:rsidRPr="00771368" w:rsidRDefault="00D24E61">
            <w:pPr>
              <w:rPr>
                <w:sz w:val="3"/>
                <w:szCs w:val="3"/>
              </w:rPr>
            </w:pPr>
          </w:p>
        </w:tc>
        <w:tc>
          <w:tcPr>
            <w:tcW w:w="1360" w:type="dxa"/>
            <w:tcBorders>
              <w:bottom w:val="single" w:sz="8" w:space="0" w:color="auto"/>
              <w:right w:val="single" w:sz="8" w:space="0" w:color="auto"/>
            </w:tcBorders>
            <w:vAlign w:val="bottom"/>
          </w:tcPr>
          <w:p w:rsidR="00D24E61" w:rsidRPr="00771368" w:rsidRDefault="00D24E61">
            <w:pPr>
              <w:rPr>
                <w:sz w:val="3"/>
                <w:szCs w:val="3"/>
              </w:rPr>
            </w:pPr>
          </w:p>
        </w:tc>
        <w:tc>
          <w:tcPr>
            <w:tcW w:w="1380" w:type="dxa"/>
            <w:tcBorders>
              <w:bottom w:val="single" w:sz="8" w:space="0" w:color="auto"/>
              <w:right w:val="single" w:sz="8" w:space="0" w:color="auto"/>
            </w:tcBorders>
            <w:vAlign w:val="bottom"/>
          </w:tcPr>
          <w:p w:rsidR="00D24E61" w:rsidRPr="00771368" w:rsidRDefault="00D24E61">
            <w:pPr>
              <w:rPr>
                <w:sz w:val="3"/>
                <w:szCs w:val="3"/>
              </w:rPr>
            </w:pPr>
          </w:p>
        </w:tc>
      </w:tr>
    </w:tbl>
    <w:p w:rsidR="00D24E61" w:rsidRPr="00771368" w:rsidRDefault="00D24E61">
      <w:pPr>
        <w:spacing w:line="295" w:lineRule="exact"/>
        <w:rPr>
          <w:sz w:val="20"/>
          <w:szCs w:val="20"/>
        </w:rPr>
      </w:pPr>
    </w:p>
    <w:p w:rsidR="00D24E61" w:rsidRPr="00771368" w:rsidRDefault="00D24E61">
      <w:pPr>
        <w:spacing w:line="239" w:lineRule="auto"/>
        <w:rPr>
          <w:sz w:val="20"/>
          <w:szCs w:val="20"/>
        </w:rPr>
      </w:pPr>
      <w:r w:rsidRPr="00771368">
        <w:rPr>
          <w:b/>
          <w:bCs/>
          <w:sz w:val="23"/>
          <w:szCs w:val="23"/>
        </w:rPr>
        <w:t>ANEXO 2 – Quadro Resumo das Notas Bimestrais - Alunos do Gênero Masculino</w:t>
      </w:r>
    </w:p>
    <w:p w:rsidR="00D24E61" w:rsidRPr="00771368" w:rsidRDefault="00D24E61">
      <w:pPr>
        <w:spacing w:line="18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80"/>
        <w:gridCol w:w="1440"/>
        <w:gridCol w:w="1460"/>
        <w:gridCol w:w="1380"/>
        <w:gridCol w:w="1360"/>
      </w:tblGrid>
      <w:tr w:rsidR="00D24E61" w:rsidRPr="00771368">
        <w:trPr>
          <w:trHeight w:val="247"/>
        </w:trPr>
        <w:tc>
          <w:tcPr>
            <w:tcW w:w="1880" w:type="dxa"/>
            <w:tcBorders>
              <w:top w:val="single" w:sz="8" w:space="0" w:color="auto"/>
              <w:left w:val="single" w:sz="8" w:space="0" w:color="auto"/>
              <w:right w:val="single" w:sz="8" w:space="0" w:color="auto"/>
            </w:tcBorders>
            <w:vAlign w:val="bottom"/>
          </w:tcPr>
          <w:p w:rsidR="00D24E61" w:rsidRPr="00771368" w:rsidRDefault="00D24E61">
            <w:pPr>
              <w:spacing w:line="243" w:lineRule="exact"/>
              <w:ind w:left="120"/>
              <w:rPr>
                <w:sz w:val="20"/>
                <w:szCs w:val="20"/>
              </w:rPr>
            </w:pPr>
            <w:r w:rsidRPr="00771368">
              <w:rPr>
                <w:rFonts w:eastAsia="Calibri"/>
                <w:b/>
                <w:bCs/>
                <w:sz w:val="20"/>
                <w:szCs w:val="20"/>
              </w:rPr>
              <w:t>Aluno/Nota</w:t>
            </w:r>
          </w:p>
        </w:tc>
        <w:tc>
          <w:tcPr>
            <w:tcW w:w="1440" w:type="dxa"/>
            <w:tcBorders>
              <w:top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b/>
                <w:bCs/>
                <w:sz w:val="20"/>
                <w:szCs w:val="20"/>
              </w:rPr>
              <w:t>Português</w:t>
            </w:r>
          </w:p>
        </w:tc>
        <w:tc>
          <w:tcPr>
            <w:tcW w:w="1460" w:type="dxa"/>
            <w:tcBorders>
              <w:top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b/>
                <w:bCs/>
                <w:sz w:val="20"/>
                <w:szCs w:val="20"/>
              </w:rPr>
              <w:t>Português</w:t>
            </w:r>
          </w:p>
        </w:tc>
        <w:tc>
          <w:tcPr>
            <w:tcW w:w="1380" w:type="dxa"/>
            <w:tcBorders>
              <w:top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b/>
                <w:bCs/>
                <w:sz w:val="20"/>
                <w:szCs w:val="20"/>
              </w:rPr>
              <w:t>Matemática</w:t>
            </w:r>
          </w:p>
        </w:tc>
        <w:tc>
          <w:tcPr>
            <w:tcW w:w="1360" w:type="dxa"/>
            <w:tcBorders>
              <w:top w:val="single" w:sz="8" w:space="0" w:color="auto"/>
              <w:right w:val="single" w:sz="8" w:space="0" w:color="auto"/>
            </w:tcBorders>
            <w:vAlign w:val="bottom"/>
          </w:tcPr>
          <w:p w:rsidR="00D24E61" w:rsidRPr="00771368" w:rsidRDefault="00D24E61">
            <w:pPr>
              <w:spacing w:line="243" w:lineRule="exact"/>
              <w:ind w:left="80"/>
              <w:rPr>
                <w:sz w:val="20"/>
                <w:szCs w:val="20"/>
              </w:rPr>
            </w:pPr>
            <w:r w:rsidRPr="00771368">
              <w:rPr>
                <w:rFonts w:eastAsia="Calibri"/>
                <w:b/>
                <w:bCs/>
                <w:sz w:val="20"/>
                <w:szCs w:val="20"/>
              </w:rPr>
              <w:t>Matemática</w:t>
            </w:r>
          </w:p>
        </w:tc>
      </w:tr>
      <w:tr w:rsidR="00D24E61" w:rsidRPr="00771368">
        <w:trPr>
          <w:trHeight w:val="248"/>
        </w:trPr>
        <w:tc>
          <w:tcPr>
            <w:tcW w:w="1880" w:type="dxa"/>
            <w:tcBorders>
              <w:left w:val="single" w:sz="8" w:space="0" w:color="auto"/>
              <w:bottom w:val="single" w:sz="8" w:space="0" w:color="auto"/>
              <w:right w:val="single" w:sz="8" w:space="0" w:color="auto"/>
            </w:tcBorders>
            <w:vAlign w:val="bottom"/>
          </w:tcPr>
          <w:p w:rsidR="00D24E61" w:rsidRPr="00771368" w:rsidRDefault="00D24E61">
            <w:pPr>
              <w:rPr>
                <w:sz w:val="21"/>
                <w:szCs w:val="21"/>
              </w:rPr>
            </w:pPr>
          </w:p>
        </w:tc>
        <w:tc>
          <w:tcPr>
            <w:tcW w:w="1440" w:type="dxa"/>
            <w:tcBorders>
              <w:bottom w:val="single" w:sz="8" w:space="0" w:color="auto"/>
              <w:right w:val="single" w:sz="8" w:space="0" w:color="auto"/>
            </w:tcBorders>
            <w:vAlign w:val="bottom"/>
          </w:tcPr>
          <w:p w:rsidR="00D24E61" w:rsidRPr="00771368" w:rsidRDefault="00D24E61">
            <w:pPr>
              <w:spacing w:line="243" w:lineRule="exact"/>
              <w:ind w:left="140"/>
              <w:rPr>
                <w:sz w:val="20"/>
                <w:szCs w:val="20"/>
              </w:rPr>
            </w:pPr>
            <w:r w:rsidRPr="00771368">
              <w:rPr>
                <w:rFonts w:eastAsia="Calibri"/>
                <w:b/>
                <w:bCs/>
                <w:sz w:val="20"/>
                <w:szCs w:val="20"/>
              </w:rPr>
              <w:t>1º Bimestre</w:t>
            </w:r>
          </w:p>
        </w:tc>
        <w:tc>
          <w:tcPr>
            <w:tcW w:w="1460" w:type="dxa"/>
            <w:tcBorders>
              <w:bottom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b/>
                <w:bCs/>
                <w:sz w:val="20"/>
                <w:szCs w:val="20"/>
              </w:rPr>
              <w:t>2º Bimestre</w:t>
            </w:r>
          </w:p>
        </w:tc>
        <w:tc>
          <w:tcPr>
            <w:tcW w:w="1380" w:type="dxa"/>
            <w:tcBorders>
              <w:bottom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b/>
                <w:bCs/>
                <w:sz w:val="20"/>
                <w:szCs w:val="20"/>
              </w:rPr>
              <w:t>1º Bimestre</w:t>
            </w:r>
          </w:p>
        </w:tc>
        <w:tc>
          <w:tcPr>
            <w:tcW w:w="1360" w:type="dxa"/>
            <w:tcBorders>
              <w:bottom w:val="single" w:sz="8" w:space="0" w:color="auto"/>
              <w:right w:val="single" w:sz="8" w:space="0" w:color="auto"/>
            </w:tcBorders>
            <w:vAlign w:val="bottom"/>
          </w:tcPr>
          <w:p w:rsidR="00D24E61" w:rsidRPr="00771368" w:rsidRDefault="00D24E61">
            <w:pPr>
              <w:spacing w:line="243" w:lineRule="exact"/>
              <w:ind w:left="80"/>
              <w:rPr>
                <w:sz w:val="20"/>
                <w:szCs w:val="20"/>
              </w:rPr>
            </w:pPr>
            <w:r w:rsidRPr="00771368">
              <w:rPr>
                <w:rFonts w:eastAsia="Calibri"/>
                <w:b/>
                <w:bCs/>
                <w:sz w:val="20"/>
                <w:szCs w:val="20"/>
              </w:rPr>
              <w:t>2º Bimestre</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1</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8</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2</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4</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20"/>
              <w:rPr>
                <w:sz w:val="20"/>
                <w:szCs w:val="20"/>
              </w:rPr>
            </w:pPr>
            <w:r w:rsidRPr="00771368">
              <w:rPr>
                <w:rFonts w:eastAsia="Calibri"/>
                <w:sz w:val="20"/>
                <w:szCs w:val="20"/>
              </w:rPr>
              <w:t>3</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2</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2</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20"/>
              <w:rPr>
                <w:sz w:val="20"/>
                <w:szCs w:val="20"/>
              </w:rPr>
            </w:pPr>
            <w:r w:rsidRPr="00771368">
              <w:rPr>
                <w:rFonts w:eastAsia="Calibri"/>
                <w:sz w:val="20"/>
                <w:szCs w:val="20"/>
              </w:rPr>
              <w:t>4</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4</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20"/>
              <w:rPr>
                <w:sz w:val="20"/>
                <w:szCs w:val="20"/>
              </w:rPr>
            </w:pPr>
            <w:r w:rsidRPr="00771368">
              <w:rPr>
                <w:rFonts w:eastAsia="Calibri"/>
                <w:sz w:val="20"/>
                <w:szCs w:val="20"/>
              </w:rPr>
              <w:t>5</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8</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7</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7</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5</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8</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9</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7</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8</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4</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9</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10</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r>
      <w:tr w:rsidR="00D24E61" w:rsidRPr="00771368">
        <w:trPr>
          <w:trHeight w:val="235"/>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1" w:lineRule="exact"/>
              <w:ind w:left="120"/>
              <w:rPr>
                <w:sz w:val="20"/>
                <w:szCs w:val="20"/>
              </w:rPr>
            </w:pPr>
            <w:r w:rsidRPr="00771368">
              <w:rPr>
                <w:rFonts w:eastAsia="Calibri"/>
                <w:sz w:val="20"/>
                <w:szCs w:val="20"/>
              </w:rPr>
              <w:t>11</w:t>
            </w:r>
          </w:p>
        </w:tc>
        <w:tc>
          <w:tcPr>
            <w:tcW w:w="144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color w:val="FF0000"/>
                <w:sz w:val="20"/>
                <w:szCs w:val="20"/>
              </w:rPr>
              <w:t>3</w:t>
            </w:r>
          </w:p>
        </w:tc>
        <w:tc>
          <w:tcPr>
            <w:tcW w:w="1360" w:type="dxa"/>
            <w:tcBorders>
              <w:bottom w:val="single" w:sz="8" w:space="0" w:color="auto"/>
              <w:right w:val="single" w:sz="8" w:space="0" w:color="auto"/>
            </w:tcBorders>
            <w:vAlign w:val="bottom"/>
          </w:tcPr>
          <w:p w:rsidR="00D24E61" w:rsidRPr="00771368" w:rsidRDefault="00D24E61">
            <w:pPr>
              <w:spacing w:line="231" w:lineRule="exact"/>
              <w:ind w:left="80"/>
              <w:rPr>
                <w:sz w:val="20"/>
                <w:szCs w:val="20"/>
              </w:rPr>
            </w:pPr>
            <w:r w:rsidRPr="00771368">
              <w:rPr>
                <w:rFonts w:eastAsia="Calibri"/>
                <w:color w:val="FF0000"/>
                <w:sz w:val="20"/>
                <w:szCs w:val="20"/>
              </w:rPr>
              <w:t>3</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12</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4</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20"/>
              <w:rPr>
                <w:sz w:val="20"/>
                <w:szCs w:val="20"/>
              </w:rPr>
            </w:pPr>
            <w:r w:rsidRPr="00771368">
              <w:rPr>
                <w:rFonts w:eastAsia="Calibri"/>
                <w:sz w:val="20"/>
                <w:szCs w:val="20"/>
              </w:rPr>
              <w:t>13</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2</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20"/>
              <w:rPr>
                <w:sz w:val="20"/>
                <w:szCs w:val="20"/>
              </w:rPr>
            </w:pPr>
            <w:r w:rsidRPr="00771368">
              <w:rPr>
                <w:rFonts w:eastAsia="Calibri"/>
                <w:sz w:val="20"/>
                <w:szCs w:val="20"/>
              </w:rPr>
              <w:t>14</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8</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9</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7</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6</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15</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16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4</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17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18</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4</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19</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20</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9</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21</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2</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20"/>
              <w:rPr>
                <w:sz w:val="20"/>
                <w:szCs w:val="20"/>
              </w:rPr>
            </w:pPr>
            <w:r w:rsidRPr="00771368">
              <w:rPr>
                <w:rFonts w:eastAsia="Calibri"/>
                <w:sz w:val="20"/>
                <w:szCs w:val="20"/>
              </w:rPr>
              <w:t>22</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3</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3</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20"/>
              <w:rPr>
                <w:sz w:val="20"/>
                <w:szCs w:val="20"/>
              </w:rPr>
            </w:pPr>
            <w:r w:rsidRPr="00771368">
              <w:rPr>
                <w:rFonts w:eastAsia="Calibri"/>
                <w:sz w:val="20"/>
                <w:szCs w:val="20"/>
              </w:rPr>
              <w:t>23</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7</w:t>
            </w:r>
          </w:p>
        </w:tc>
      </w:tr>
      <w:tr w:rsidR="00D24E61" w:rsidRPr="00771368">
        <w:trPr>
          <w:trHeight w:val="235"/>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24</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r>
      <w:tr w:rsidR="00D24E61" w:rsidRPr="00771368">
        <w:trPr>
          <w:trHeight w:val="235"/>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1" w:lineRule="exact"/>
              <w:ind w:left="120"/>
              <w:rPr>
                <w:sz w:val="20"/>
                <w:szCs w:val="20"/>
              </w:rPr>
            </w:pPr>
            <w:r w:rsidRPr="00771368">
              <w:rPr>
                <w:rFonts w:eastAsia="Calibri"/>
                <w:sz w:val="20"/>
                <w:szCs w:val="20"/>
              </w:rPr>
              <w:t>25</w:t>
            </w:r>
          </w:p>
        </w:tc>
        <w:tc>
          <w:tcPr>
            <w:tcW w:w="144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7</w:t>
            </w:r>
          </w:p>
        </w:tc>
        <w:tc>
          <w:tcPr>
            <w:tcW w:w="138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7</w:t>
            </w:r>
          </w:p>
        </w:tc>
        <w:tc>
          <w:tcPr>
            <w:tcW w:w="1360" w:type="dxa"/>
            <w:tcBorders>
              <w:bottom w:val="single" w:sz="8" w:space="0" w:color="auto"/>
              <w:right w:val="single" w:sz="8" w:space="0" w:color="auto"/>
            </w:tcBorders>
            <w:vAlign w:val="bottom"/>
          </w:tcPr>
          <w:p w:rsidR="00D24E61" w:rsidRPr="00771368" w:rsidRDefault="00D24E61">
            <w:pPr>
              <w:spacing w:line="231" w:lineRule="exact"/>
              <w:ind w:left="80"/>
              <w:rPr>
                <w:sz w:val="20"/>
                <w:szCs w:val="20"/>
              </w:rPr>
            </w:pPr>
            <w:r w:rsidRPr="00771368">
              <w:rPr>
                <w:rFonts w:eastAsia="Calibri"/>
                <w:sz w:val="20"/>
                <w:szCs w:val="20"/>
              </w:rPr>
              <w:t>8</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26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9</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9</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8</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9</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27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4</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28</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7</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29</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6</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30</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2</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20"/>
              <w:rPr>
                <w:sz w:val="20"/>
                <w:szCs w:val="20"/>
              </w:rPr>
            </w:pPr>
            <w:r w:rsidRPr="00771368">
              <w:rPr>
                <w:rFonts w:eastAsia="Calibri"/>
                <w:sz w:val="20"/>
                <w:szCs w:val="20"/>
              </w:rPr>
              <w:t>31</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7</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3</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3</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20"/>
              <w:rPr>
                <w:sz w:val="20"/>
                <w:szCs w:val="20"/>
              </w:rPr>
            </w:pPr>
            <w:r w:rsidRPr="00771368">
              <w:rPr>
                <w:rFonts w:eastAsia="Calibri"/>
                <w:sz w:val="20"/>
                <w:szCs w:val="20"/>
              </w:rPr>
              <w:t>32</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7</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5</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20"/>
              <w:rPr>
                <w:sz w:val="20"/>
                <w:szCs w:val="20"/>
              </w:rPr>
            </w:pPr>
            <w:r w:rsidRPr="00771368">
              <w:rPr>
                <w:rFonts w:eastAsia="Calibri"/>
                <w:sz w:val="20"/>
                <w:szCs w:val="20"/>
              </w:rPr>
              <w:t>33</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1</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1</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color w:val="FF0000"/>
                <w:sz w:val="20"/>
                <w:szCs w:val="20"/>
              </w:rPr>
              <w:t>1</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34</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35</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2</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36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2</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37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7</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r>
      <w:tr w:rsidR="00D24E61" w:rsidRPr="00771368">
        <w:trPr>
          <w:trHeight w:val="235"/>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1" w:lineRule="exact"/>
              <w:ind w:left="120"/>
              <w:rPr>
                <w:sz w:val="20"/>
                <w:szCs w:val="20"/>
              </w:rPr>
            </w:pPr>
            <w:r w:rsidRPr="00771368">
              <w:rPr>
                <w:rFonts w:eastAsia="Calibri"/>
                <w:sz w:val="20"/>
                <w:szCs w:val="20"/>
              </w:rPr>
              <w:t>38</w:t>
            </w:r>
          </w:p>
        </w:tc>
        <w:tc>
          <w:tcPr>
            <w:tcW w:w="144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1" w:lineRule="exact"/>
              <w:ind w:left="100"/>
              <w:rPr>
                <w:sz w:val="20"/>
                <w:szCs w:val="20"/>
              </w:rPr>
            </w:pPr>
            <w:r w:rsidRPr="00771368">
              <w:rPr>
                <w:rFonts w:eastAsia="Calibri"/>
                <w:color w:val="FF0000"/>
                <w:sz w:val="20"/>
                <w:szCs w:val="20"/>
              </w:rPr>
              <w:t>4</w:t>
            </w:r>
          </w:p>
        </w:tc>
        <w:tc>
          <w:tcPr>
            <w:tcW w:w="1360" w:type="dxa"/>
            <w:tcBorders>
              <w:bottom w:val="single" w:sz="8" w:space="0" w:color="auto"/>
              <w:right w:val="single" w:sz="8" w:space="0" w:color="auto"/>
            </w:tcBorders>
            <w:vAlign w:val="bottom"/>
          </w:tcPr>
          <w:p w:rsidR="00D24E61" w:rsidRPr="00771368" w:rsidRDefault="00D24E61">
            <w:pPr>
              <w:spacing w:line="231" w:lineRule="exact"/>
              <w:ind w:left="80"/>
              <w:rPr>
                <w:sz w:val="20"/>
                <w:szCs w:val="20"/>
              </w:rPr>
            </w:pPr>
            <w:r w:rsidRPr="00771368">
              <w:rPr>
                <w:rFonts w:eastAsia="Calibri"/>
                <w:color w:val="FF0000"/>
                <w:sz w:val="20"/>
                <w:szCs w:val="20"/>
              </w:rPr>
              <w:t>4</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39</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20"/>
              <w:rPr>
                <w:sz w:val="20"/>
                <w:szCs w:val="20"/>
              </w:rPr>
            </w:pPr>
            <w:r w:rsidRPr="00771368">
              <w:rPr>
                <w:rFonts w:eastAsia="Calibri"/>
                <w:sz w:val="20"/>
                <w:szCs w:val="20"/>
              </w:rPr>
              <w:t>40</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6</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20"/>
              <w:rPr>
                <w:sz w:val="20"/>
                <w:szCs w:val="20"/>
              </w:rPr>
            </w:pPr>
            <w:r w:rsidRPr="00771368">
              <w:rPr>
                <w:rFonts w:eastAsia="Calibri"/>
                <w:sz w:val="20"/>
                <w:szCs w:val="20"/>
              </w:rPr>
              <w:t>41</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sz w:val="20"/>
                <w:szCs w:val="20"/>
              </w:rPr>
              <w:t>7</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20"/>
              <w:rPr>
                <w:sz w:val="20"/>
                <w:szCs w:val="20"/>
              </w:rPr>
            </w:pPr>
            <w:r w:rsidRPr="00771368">
              <w:rPr>
                <w:rFonts w:eastAsia="Calibri"/>
                <w:sz w:val="20"/>
                <w:szCs w:val="20"/>
              </w:rPr>
              <w:t>42</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7</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8</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9</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7</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43</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1</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2</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44</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1</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1</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1</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45</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8</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6</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8</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46</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4</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47</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1</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3</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48</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1</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49</w:t>
            </w:r>
          </w:p>
        </w:tc>
        <w:tc>
          <w:tcPr>
            <w:tcW w:w="144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1</w:t>
            </w:r>
          </w:p>
        </w:tc>
        <w:tc>
          <w:tcPr>
            <w:tcW w:w="1360" w:type="dxa"/>
            <w:tcBorders>
              <w:bottom w:val="single" w:sz="8" w:space="0" w:color="auto"/>
              <w:right w:val="single" w:sz="8" w:space="0" w:color="auto"/>
            </w:tcBorders>
            <w:vAlign w:val="bottom"/>
          </w:tcPr>
          <w:p w:rsidR="00D24E61" w:rsidRPr="00771368" w:rsidRDefault="00D24E61">
            <w:pPr>
              <w:spacing w:line="230" w:lineRule="exact"/>
              <w:ind w:left="80"/>
              <w:rPr>
                <w:sz w:val="20"/>
                <w:szCs w:val="20"/>
              </w:rPr>
            </w:pPr>
            <w:r w:rsidRPr="00771368">
              <w:rPr>
                <w:rFonts w:eastAsia="Calibri"/>
                <w:color w:val="FF0000"/>
                <w:sz w:val="20"/>
                <w:szCs w:val="20"/>
              </w:rPr>
              <w:t>2</w:t>
            </w:r>
          </w:p>
        </w:tc>
      </w:tr>
      <w:tr w:rsidR="00D24E61" w:rsidRPr="00771368">
        <w:trPr>
          <w:trHeight w:val="234"/>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32" w:lineRule="exact"/>
              <w:ind w:left="120"/>
              <w:rPr>
                <w:sz w:val="20"/>
                <w:szCs w:val="20"/>
              </w:rPr>
            </w:pPr>
            <w:r w:rsidRPr="00771368">
              <w:rPr>
                <w:rFonts w:eastAsia="Calibri"/>
                <w:sz w:val="20"/>
                <w:szCs w:val="20"/>
              </w:rPr>
              <w:t>50</w:t>
            </w:r>
          </w:p>
        </w:tc>
        <w:tc>
          <w:tcPr>
            <w:tcW w:w="144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32" w:lineRule="exact"/>
              <w:ind w:left="100"/>
              <w:rPr>
                <w:sz w:val="20"/>
                <w:szCs w:val="20"/>
              </w:rPr>
            </w:pPr>
            <w:r w:rsidRPr="00771368">
              <w:rPr>
                <w:rFonts w:eastAsia="Calibri"/>
                <w:color w:val="FF0000"/>
                <w:sz w:val="20"/>
                <w:szCs w:val="20"/>
              </w:rPr>
              <w:t>1</w:t>
            </w:r>
          </w:p>
        </w:tc>
        <w:tc>
          <w:tcPr>
            <w:tcW w:w="1360" w:type="dxa"/>
            <w:tcBorders>
              <w:bottom w:val="single" w:sz="8" w:space="0" w:color="auto"/>
              <w:right w:val="single" w:sz="8" w:space="0" w:color="auto"/>
            </w:tcBorders>
            <w:vAlign w:val="bottom"/>
          </w:tcPr>
          <w:p w:rsidR="00D24E61" w:rsidRPr="00771368" w:rsidRDefault="00D24E61">
            <w:pPr>
              <w:spacing w:line="232" w:lineRule="exact"/>
              <w:ind w:left="80"/>
              <w:rPr>
                <w:sz w:val="20"/>
                <w:szCs w:val="20"/>
              </w:rPr>
            </w:pPr>
            <w:r w:rsidRPr="00771368">
              <w:rPr>
                <w:rFonts w:eastAsia="Calibri"/>
                <w:color w:val="FF0000"/>
                <w:sz w:val="20"/>
                <w:szCs w:val="20"/>
              </w:rPr>
              <w:t>3</w:t>
            </w:r>
          </w:p>
        </w:tc>
      </w:tr>
      <w:tr w:rsidR="00D24E61" w:rsidRPr="00771368">
        <w:trPr>
          <w:trHeight w:val="233"/>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29" w:lineRule="exact"/>
              <w:ind w:left="120"/>
              <w:rPr>
                <w:sz w:val="20"/>
                <w:szCs w:val="20"/>
              </w:rPr>
            </w:pPr>
            <w:r w:rsidRPr="00771368">
              <w:rPr>
                <w:rFonts w:eastAsia="Calibri"/>
                <w:sz w:val="20"/>
                <w:szCs w:val="20"/>
              </w:rPr>
              <w:t>51</w:t>
            </w:r>
          </w:p>
        </w:tc>
        <w:tc>
          <w:tcPr>
            <w:tcW w:w="144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3</w:t>
            </w:r>
          </w:p>
        </w:tc>
        <w:tc>
          <w:tcPr>
            <w:tcW w:w="146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3</w:t>
            </w:r>
          </w:p>
        </w:tc>
        <w:tc>
          <w:tcPr>
            <w:tcW w:w="1380" w:type="dxa"/>
            <w:tcBorders>
              <w:bottom w:val="single" w:sz="8" w:space="0" w:color="auto"/>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2</w:t>
            </w:r>
          </w:p>
        </w:tc>
        <w:tc>
          <w:tcPr>
            <w:tcW w:w="1360" w:type="dxa"/>
            <w:tcBorders>
              <w:bottom w:val="single" w:sz="8" w:space="0" w:color="auto"/>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6</w:t>
            </w:r>
          </w:p>
        </w:tc>
      </w:tr>
      <w:tr w:rsidR="00D24E61" w:rsidRPr="00771368">
        <w:trPr>
          <w:trHeight w:val="251"/>
        </w:trPr>
        <w:tc>
          <w:tcPr>
            <w:tcW w:w="1880" w:type="dxa"/>
            <w:tcBorders>
              <w:top w:val="single" w:sz="8" w:space="0" w:color="auto"/>
              <w:left w:val="single" w:sz="8" w:space="0" w:color="auto"/>
              <w:bottom w:val="single" w:sz="8" w:space="0" w:color="auto"/>
              <w:right w:val="single" w:sz="8" w:space="0" w:color="auto"/>
            </w:tcBorders>
            <w:vAlign w:val="bottom"/>
          </w:tcPr>
          <w:p w:rsidR="00D24E61" w:rsidRPr="00771368" w:rsidRDefault="00D24E61">
            <w:pPr>
              <w:spacing w:line="243" w:lineRule="exact"/>
              <w:ind w:left="120"/>
              <w:rPr>
                <w:sz w:val="20"/>
                <w:szCs w:val="20"/>
              </w:rPr>
            </w:pPr>
            <w:r w:rsidRPr="00771368">
              <w:rPr>
                <w:rFonts w:eastAsia="Calibri"/>
                <w:sz w:val="20"/>
                <w:szCs w:val="20"/>
              </w:rPr>
              <w:t>52</w:t>
            </w:r>
          </w:p>
        </w:tc>
        <w:tc>
          <w:tcPr>
            <w:tcW w:w="1440" w:type="dxa"/>
            <w:tcBorders>
              <w:top w:val="single" w:sz="8" w:space="0" w:color="auto"/>
              <w:bottom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sz w:val="20"/>
                <w:szCs w:val="20"/>
              </w:rPr>
              <w:t>5</w:t>
            </w:r>
          </w:p>
        </w:tc>
        <w:tc>
          <w:tcPr>
            <w:tcW w:w="1460" w:type="dxa"/>
            <w:tcBorders>
              <w:top w:val="single" w:sz="8" w:space="0" w:color="auto"/>
              <w:bottom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sz w:val="20"/>
                <w:szCs w:val="20"/>
              </w:rPr>
              <w:t>5</w:t>
            </w:r>
          </w:p>
        </w:tc>
        <w:tc>
          <w:tcPr>
            <w:tcW w:w="1380" w:type="dxa"/>
            <w:tcBorders>
              <w:top w:val="single" w:sz="8" w:space="0" w:color="auto"/>
              <w:bottom w:val="single" w:sz="8" w:space="0" w:color="auto"/>
              <w:right w:val="single" w:sz="8" w:space="0" w:color="auto"/>
            </w:tcBorders>
            <w:vAlign w:val="bottom"/>
          </w:tcPr>
          <w:p w:rsidR="00D24E61" w:rsidRPr="00771368" w:rsidRDefault="00D24E61">
            <w:pPr>
              <w:spacing w:line="243" w:lineRule="exact"/>
              <w:ind w:left="100"/>
              <w:rPr>
                <w:sz w:val="20"/>
                <w:szCs w:val="20"/>
              </w:rPr>
            </w:pPr>
            <w:r w:rsidRPr="00771368">
              <w:rPr>
                <w:rFonts w:eastAsia="Calibri"/>
                <w:sz w:val="20"/>
                <w:szCs w:val="20"/>
              </w:rPr>
              <w:t>6</w:t>
            </w:r>
          </w:p>
        </w:tc>
        <w:tc>
          <w:tcPr>
            <w:tcW w:w="1360" w:type="dxa"/>
            <w:tcBorders>
              <w:top w:val="single" w:sz="8" w:space="0" w:color="auto"/>
              <w:bottom w:val="single" w:sz="8" w:space="0" w:color="auto"/>
              <w:right w:val="single" w:sz="8" w:space="0" w:color="auto"/>
            </w:tcBorders>
            <w:vAlign w:val="bottom"/>
          </w:tcPr>
          <w:p w:rsidR="00D24E61" w:rsidRPr="00771368" w:rsidRDefault="00D24E61">
            <w:pPr>
              <w:spacing w:line="243" w:lineRule="exact"/>
              <w:ind w:left="80"/>
              <w:rPr>
                <w:sz w:val="20"/>
                <w:szCs w:val="20"/>
              </w:rPr>
            </w:pPr>
            <w:r w:rsidRPr="00771368">
              <w:rPr>
                <w:rFonts w:eastAsia="Calibri"/>
                <w:color w:val="FF0000"/>
                <w:sz w:val="20"/>
                <w:szCs w:val="20"/>
              </w:rPr>
              <w:t>3</w:t>
            </w:r>
          </w:p>
        </w:tc>
      </w:tr>
      <w:tr w:rsidR="00D24E61" w:rsidRPr="00771368">
        <w:trPr>
          <w:trHeight w:val="231"/>
        </w:trPr>
        <w:tc>
          <w:tcPr>
            <w:tcW w:w="1880" w:type="dxa"/>
            <w:tcBorders>
              <w:left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53</w:t>
            </w:r>
          </w:p>
        </w:tc>
        <w:tc>
          <w:tcPr>
            <w:tcW w:w="1440" w:type="dxa"/>
            <w:tcBorders>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right w:val="single" w:sz="8" w:space="0" w:color="auto"/>
            </w:tcBorders>
            <w:vAlign w:val="bottom"/>
          </w:tcPr>
          <w:p w:rsidR="00D24E61" w:rsidRPr="00771368" w:rsidRDefault="00D24E61">
            <w:pPr>
              <w:spacing w:line="230" w:lineRule="exact"/>
              <w:ind w:left="100"/>
              <w:rPr>
                <w:sz w:val="20"/>
                <w:szCs w:val="20"/>
              </w:rPr>
            </w:pPr>
            <w:r w:rsidRPr="00771368">
              <w:rPr>
                <w:rFonts w:eastAsia="Calibri"/>
                <w:color w:val="FF0000"/>
                <w:sz w:val="20"/>
                <w:szCs w:val="20"/>
              </w:rPr>
              <w:t>3</w:t>
            </w:r>
          </w:p>
        </w:tc>
        <w:tc>
          <w:tcPr>
            <w:tcW w:w="1360" w:type="dxa"/>
            <w:tcBorders>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5</w:t>
            </w:r>
          </w:p>
        </w:tc>
      </w:tr>
      <w:tr w:rsidR="00D24E61" w:rsidRPr="00771368">
        <w:trPr>
          <w:trHeight w:val="29"/>
        </w:trPr>
        <w:tc>
          <w:tcPr>
            <w:tcW w:w="1880" w:type="dxa"/>
            <w:tcBorders>
              <w:left w:val="single" w:sz="8" w:space="0" w:color="auto"/>
              <w:bottom w:val="single" w:sz="8" w:space="0" w:color="auto"/>
              <w:right w:val="single" w:sz="8" w:space="0" w:color="auto"/>
            </w:tcBorders>
            <w:vAlign w:val="bottom"/>
          </w:tcPr>
          <w:p w:rsidR="00D24E61" w:rsidRPr="00771368" w:rsidRDefault="00D24E61">
            <w:pPr>
              <w:rPr>
                <w:sz w:val="2"/>
                <w:szCs w:val="2"/>
              </w:rPr>
            </w:pPr>
          </w:p>
        </w:tc>
        <w:tc>
          <w:tcPr>
            <w:tcW w:w="1440" w:type="dxa"/>
            <w:tcBorders>
              <w:bottom w:val="single" w:sz="8" w:space="0" w:color="auto"/>
              <w:right w:val="single" w:sz="8" w:space="0" w:color="auto"/>
            </w:tcBorders>
            <w:vAlign w:val="bottom"/>
          </w:tcPr>
          <w:p w:rsidR="00D24E61" w:rsidRPr="00771368" w:rsidRDefault="00D24E61">
            <w:pPr>
              <w:rPr>
                <w:sz w:val="2"/>
                <w:szCs w:val="2"/>
              </w:rPr>
            </w:pPr>
          </w:p>
        </w:tc>
        <w:tc>
          <w:tcPr>
            <w:tcW w:w="1460" w:type="dxa"/>
            <w:tcBorders>
              <w:bottom w:val="single" w:sz="8" w:space="0" w:color="auto"/>
              <w:right w:val="single" w:sz="8" w:space="0" w:color="auto"/>
            </w:tcBorders>
            <w:vAlign w:val="bottom"/>
          </w:tcPr>
          <w:p w:rsidR="00D24E61" w:rsidRPr="00771368" w:rsidRDefault="00D24E61">
            <w:pPr>
              <w:rPr>
                <w:sz w:val="2"/>
                <w:szCs w:val="2"/>
              </w:rPr>
            </w:pPr>
          </w:p>
        </w:tc>
        <w:tc>
          <w:tcPr>
            <w:tcW w:w="1380" w:type="dxa"/>
            <w:tcBorders>
              <w:bottom w:val="single" w:sz="8" w:space="0" w:color="auto"/>
              <w:right w:val="single" w:sz="8" w:space="0" w:color="auto"/>
            </w:tcBorders>
            <w:vAlign w:val="bottom"/>
          </w:tcPr>
          <w:p w:rsidR="00D24E61" w:rsidRPr="00771368" w:rsidRDefault="00D24E61">
            <w:pPr>
              <w:rPr>
                <w:sz w:val="2"/>
                <w:szCs w:val="2"/>
              </w:rPr>
            </w:pPr>
          </w:p>
        </w:tc>
        <w:tc>
          <w:tcPr>
            <w:tcW w:w="1360" w:type="dxa"/>
            <w:tcBorders>
              <w:bottom w:val="single" w:sz="8" w:space="0" w:color="auto"/>
              <w:right w:val="single" w:sz="8" w:space="0" w:color="auto"/>
            </w:tcBorders>
            <w:vAlign w:val="bottom"/>
          </w:tcPr>
          <w:p w:rsidR="00D24E61" w:rsidRPr="00771368" w:rsidRDefault="00D24E61">
            <w:pPr>
              <w:rPr>
                <w:sz w:val="2"/>
                <w:szCs w:val="2"/>
              </w:rPr>
            </w:pPr>
          </w:p>
        </w:tc>
      </w:tr>
      <w:tr w:rsidR="00D24E61" w:rsidRPr="00771368">
        <w:trPr>
          <w:trHeight w:val="227"/>
        </w:trPr>
        <w:tc>
          <w:tcPr>
            <w:tcW w:w="1880" w:type="dxa"/>
            <w:tcBorders>
              <w:left w:val="single" w:sz="8" w:space="0" w:color="auto"/>
              <w:right w:val="single" w:sz="8" w:space="0" w:color="auto"/>
            </w:tcBorders>
            <w:vAlign w:val="bottom"/>
          </w:tcPr>
          <w:p w:rsidR="00D24E61" w:rsidRPr="00771368" w:rsidRDefault="00D24E61">
            <w:pPr>
              <w:spacing w:line="227" w:lineRule="exact"/>
              <w:ind w:left="120"/>
              <w:rPr>
                <w:sz w:val="20"/>
                <w:szCs w:val="20"/>
              </w:rPr>
            </w:pPr>
            <w:r w:rsidRPr="00771368">
              <w:rPr>
                <w:rFonts w:eastAsia="Calibri"/>
                <w:sz w:val="20"/>
                <w:szCs w:val="20"/>
              </w:rPr>
              <w:t>54</w:t>
            </w:r>
          </w:p>
        </w:tc>
        <w:tc>
          <w:tcPr>
            <w:tcW w:w="1440" w:type="dxa"/>
            <w:tcBorders>
              <w:right w:val="single" w:sz="8" w:space="0" w:color="auto"/>
            </w:tcBorders>
            <w:vAlign w:val="bottom"/>
          </w:tcPr>
          <w:p w:rsidR="00D24E61" w:rsidRPr="00771368" w:rsidRDefault="00D24E61">
            <w:pPr>
              <w:spacing w:line="227" w:lineRule="exact"/>
              <w:ind w:left="100"/>
              <w:rPr>
                <w:sz w:val="20"/>
                <w:szCs w:val="20"/>
              </w:rPr>
            </w:pPr>
            <w:r w:rsidRPr="00771368">
              <w:rPr>
                <w:rFonts w:eastAsia="Calibri"/>
                <w:sz w:val="20"/>
                <w:szCs w:val="20"/>
              </w:rPr>
              <w:t>5</w:t>
            </w:r>
          </w:p>
        </w:tc>
        <w:tc>
          <w:tcPr>
            <w:tcW w:w="1460" w:type="dxa"/>
            <w:tcBorders>
              <w:right w:val="single" w:sz="8" w:space="0" w:color="auto"/>
            </w:tcBorders>
            <w:vAlign w:val="bottom"/>
          </w:tcPr>
          <w:p w:rsidR="00D24E61" w:rsidRPr="00771368" w:rsidRDefault="00D24E61">
            <w:pPr>
              <w:spacing w:line="227" w:lineRule="exact"/>
              <w:ind w:left="100"/>
              <w:rPr>
                <w:sz w:val="20"/>
                <w:szCs w:val="20"/>
              </w:rPr>
            </w:pPr>
            <w:r w:rsidRPr="00771368">
              <w:rPr>
                <w:rFonts w:eastAsia="Calibri"/>
                <w:sz w:val="20"/>
                <w:szCs w:val="20"/>
              </w:rPr>
              <w:t>6</w:t>
            </w:r>
          </w:p>
        </w:tc>
        <w:tc>
          <w:tcPr>
            <w:tcW w:w="1380" w:type="dxa"/>
            <w:tcBorders>
              <w:right w:val="single" w:sz="8" w:space="0" w:color="auto"/>
            </w:tcBorders>
            <w:vAlign w:val="bottom"/>
          </w:tcPr>
          <w:p w:rsidR="00D24E61" w:rsidRPr="00771368" w:rsidRDefault="00D24E61">
            <w:pPr>
              <w:spacing w:line="227" w:lineRule="exact"/>
              <w:ind w:left="100"/>
              <w:rPr>
                <w:sz w:val="20"/>
                <w:szCs w:val="20"/>
              </w:rPr>
            </w:pPr>
            <w:r w:rsidRPr="00771368">
              <w:rPr>
                <w:rFonts w:eastAsia="Calibri"/>
                <w:sz w:val="20"/>
                <w:szCs w:val="20"/>
              </w:rPr>
              <w:t>5</w:t>
            </w:r>
          </w:p>
        </w:tc>
        <w:tc>
          <w:tcPr>
            <w:tcW w:w="1360" w:type="dxa"/>
            <w:tcBorders>
              <w:right w:val="single" w:sz="8" w:space="0" w:color="auto"/>
            </w:tcBorders>
            <w:vAlign w:val="bottom"/>
          </w:tcPr>
          <w:p w:rsidR="00D24E61" w:rsidRPr="00771368" w:rsidRDefault="00D24E61">
            <w:pPr>
              <w:spacing w:line="227" w:lineRule="exact"/>
              <w:ind w:left="80"/>
              <w:rPr>
                <w:sz w:val="20"/>
                <w:szCs w:val="20"/>
              </w:rPr>
            </w:pPr>
            <w:r w:rsidRPr="00771368">
              <w:rPr>
                <w:rFonts w:eastAsia="Calibri"/>
                <w:sz w:val="20"/>
                <w:szCs w:val="20"/>
              </w:rPr>
              <w:t>5</w:t>
            </w:r>
          </w:p>
        </w:tc>
      </w:tr>
      <w:tr w:rsidR="00D24E61" w:rsidRPr="00771368">
        <w:trPr>
          <w:trHeight w:val="34"/>
        </w:trPr>
        <w:tc>
          <w:tcPr>
            <w:tcW w:w="1880" w:type="dxa"/>
            <w:tcBorders>
              <w:left w:val="single" w:sz="8" w:space="0" w:color="auto"/>
              <w:bottom w:val="single" w:sz="8" w:space="0" w:color="auto"/>
              <w:right w:val="single" w:sz="8" w:space="0" w:color="auto"/>
            </w:tcBorders>
            <w:vAlign w:val="bottom"/>
          </w:tcPr>
          <w:p w:rsidR="00D24E61" w:rsidRPr="00771368" w:rsidRDefault="00D24E61">
            <w:pPr>
              <w:rPr>
                <w:sz w:val="2"/>
                <w:szCs w:val="2"/>
              </w:rPr>
            </w:pPr>
          </w:p>
        </w:tc>
        <w:tc>
          <w:tcPr>
            <w:tcW w:w="1440" w:type="dxa"/>
            <w:tcBorders>
              <w:bottom w:val="single" w:sz="8" w:space="0" w:color="auto"/>
              <w:right w:val="single" w:sz="8" w:space="0" w:color="auto"/>
            </w:tcBorders>
            <w:vAlign w:val="bottom"/>
          </w:tcPr>
          <w:p w:rsidR="00D24E61" w:rsidRPr="00771368" w:rsidRDefault="00D24E61">
            <w:pPr>
              <w:rPr>
                <w:sz w:val="2"/>
                <w:szCs w:val="2"/>
              </w:rPr>
            </w:pPr>
          </w:p>
        </w:tc>
        <w:tc>
          <w:tcPr>
            <w:tcW w:w="1460" w:type="dxa"/>
            <w:tcBorders>
              <w:bottom w:val="single" w:sz="8" w:space="0" w:color="auto"/>
              <w:right w:val="single" w:sz="8" w:space="0" w:color="auto"/>
            </w:tcBorders>
            <w:vAlign w:val="bottom"/>
          </w:tcPr>
          <w:p w:rsidR="00D24E61" w:rsidRPr="00771368" w:rsidRDefault="00D24E61">
            <w:pPr>
              <w:rPr>
                <w:sz w:val="2"/>
                <w:szCs w:val="2"/>
              </w:rPr>
            </w:pPr>
          </w:p>
        </w:tc>
        <w:tc>
          <w:tcPr>
            <w:tcW w:w="1380" w:type="dxa"/>
            <w:tcBorders>
              <w:bottom w:val="single" w:sz="8" w:space="0" w:color="auto"/>
              <w:right w:val="single" w:sz="8" w:space="0" w:color="auto"/>
            </w:tcBorders>
            <w:vAlign w:val="bottom"/>
          </w:tcPr>
          <w:p w:rsidR="00D24E61" w:rsidRPr="00771368" w:rsidRDefault="00D24E61">
            <w:pPr>
              <w:rPr>
                <w:sz w:val="2"/>
                <w:szCs w:val="2"/>
              </w:rPr>
            </w:pPr>
          </w:p>
        </w:tc>
        <w:tc>
          <w:tcPr>
            <w:tcW w:w="1360" w:type="dxa"/>
            <w:tcBorders>
              <w:bottom w:val="single" w:sz="8" w:space="0" w:color="auto"/>
              <w:right w:val="single" w:sz="8" w:space="0" w:color="auto"/>
            </w:tcBorders>
            <w:vAlign w:val="bottom"/>
          </w:tcPr>
          <w:p w:rsidR="00D24E61" w:rsidRPr="00771368" w:rsidRDefault="00D24E61">
            <w:pPr>
              <w:rPr>
                <w:sz w:val="2"/>
                <w:szCs w:val="2"/>
              </w:rPr>
            </w:pPr>
          </w:p>
        </w:tc>
      </w:tr>
      <w:tr w:rsidR="00D24E61" w:rsidRPr="00771368">
        <w:trPr>
          <w:trHeight w:val="231"/>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27" w:lineRule="exact"/>
              <w:ind w:left="120"/>
              <w:rPr>
                <w:sz w:val="20"/>
                <w:szCs w:val="20"/>
              </w:rPr>
            </w:pPr>
            <w:r w:rsidRPr="00771368">
              <w:rPr>
                <w:rFonts w:eastAsia="Calibri"/>
                <w:sz w:val="20"/>
                <w:szCs w:val="20"/>
              </w:rPr>
              <w:t>55</w:t>
            </w:r>
          </w:p>
        </w:tc>
        <w:tc>
          <w:tcPr>
            <w:tcW w:w="1440" w:type="dxa"/>
            <w:tcBorders>
              <w:bottom w:val="single" w:sz="8" w:space="0" w:color="auto"/>
              <w:right w:val="single" w:sz="8" w:space="0" w:color="auto"/>
            </w:tcBorders>
            <w:vAlign w:val="bottom"/>
          </w:tcPr>
          <w:p w:rsidR="00D24E61" w:rsidRPr="00771368" w:rsidRDefault="00D24E61">
            <w:pPr>
              <w:spacing w:line="227" w:lineRule="exact"/>
              <w:ind w:left="100"/>
              <w:rPr>
                <w:sz w:val="20"/>
                <w:szCs w:val="20"/>
              </w:rPr>
            </w:pPr>
            <w:r w:rsidRPr="00771368">
              <w:rPr>
                <w:rFonts w:eastAsia="Calibri"/>
                <w:sz w:val="20"/>
                <w:szCs w:val="20"/>
              </w:rPr>
              <w:t>5</w:t>
            </w:r>
          </w:p>
        </w:tc>
        <w:tc>
          <w:tcPr>
            <w:tcW w:w="1460" w:type="dxa"/>
            <w:tcBorders>
              <w:bottom w:val="single" w:sz="8" w:space="0" w:color="auto"/>
              <w:right w:val="single" w:sz="8" w:space="0" w:color="auto"/>
            </w:tcBorders>
            <w:vAlign w:val="bottom"/>
          </w:tcPr>
          <w:p w:rsidR="00D24E61" w:rsidRPr="00771368" w:rsidRDefault="00D24E61">
            <w:pPr>
              <w:spacing w:line="227" w:lineRule="exact"/>
              <w:ind w:left="100"/>
              <w:rPr>
                <w:sz w:val="20"/>
                <w:szCs w:val="20"/>
              </w:rPr>
            </w:pPr>
            <w:r w:rsidRPr="00771368">
              <w:rPr>
                <w:rFonts w:eastAsia="Calibri"/>
                <w:color w:val="FF0000"/>
                <w:sz w:val="20"/>
                <w:szCs w:val="20"/>
              </w:rPr>
              <w:t>2</w:t>
            </w:r>
          </w:p>
        </w:tc>
        <w:tc>
          <w:tcPr>
            <w:tcW w:w="1380" w:type="dxa"/>
            <w:tcBorders>
              <w:bottom w:val="single" w:sz="8" w:space="0" w:color="auto"/>
              <w:right w:val="single" w:sz="8" w:space="0" w:color="auto"/>
            </w:tcBorders>
            <w:vAlign w:val="bottom"/>
          </w:tcPr>
          <w:p w:rsidR="00D24E61" w:rsidRPr="00771368" w:rsidRDefault="00D24E61">
            <w:pPr>
              <w:spacing w:line="227" w:lineRule="exact"/>
              <w:ind w:left="100"/>
              <w:rPr>
                <w:sz w:val="20"/>
                <w:szCs w:val="20"/>
              </w:rPr>
            </w:pPr>
            <w:r w:rsidRPr="00771368">
              <w:rPr>
                <w:rFonts w:eastAsia="Calibri"/>
                <w:sz w:val="20"/>
                <w:szCs w:val="20"/>
              </w:rPr>
              <w:t>5</w:t>
            </w:r>
          </w:p>
        </w:tc>
        <w:tc>
          <w:tcPr>
            <w:tcW w:w="1360" w:type="dxa"/>
            <w:tcBorders>
              <w:bottom w:val="single" w:sz="8" w:space="0" w:color="auto"/>
              <w:right w:val="single" w:sz="8" w:space="0" w:color="auto"/>
            </w:tcBorders>
            <w:vAlign w:val="bottom"/>
          </w:tcPr>
          <w:p w:rsidR="00D24E61" w:rsidRPr="00771368" w:rsidRDefault="00D24E61">
            <w:pPr>
              <w:spacing w:line="227" w:lineRule="exact"/>
              <w:ind w:left="80"/>
              <w:rPr>
                <w:sz w:val="20"/>
                <w:szCs w:val="20"/>
              </w:rPr>
            </w:pPr>
            <w:r w:rsidRPr="00771368">
              <w:rPr>
                <w:rFonts w:eastAsia="Calibri"/>
                <w:sz w:val="20"/>
                <w:szCs w:val="20"/>
              </w:rPr>
              <w:t>5</w:t>
            </w:r>
          </w:p>
        </w:tc>
      </w:tr>
      <w:tr w:rsidR="00D24E61" w:rsidRPr="00771368">
        <w:trPr>
          <w:trHeight w:val="231"/>
        </w:trPr>
        <w:tc>
          <w:tcPr>
            <w:tcW w:w="1880" w:type="dxa"/>
            <w:tcBorders>
              <w:left w:val="single" w:sz="8" w:space="0" w:color="auto"/>
              <w:right w:val="single" w:sz="8" w:space="0" w:color="auto"/>
            </w:tcBorders>
            <w:vAlign w:val="bottom"/>
          </w:tcPr>
          <w:p w:rsidR="00D24E61" w:rsidRPr="00771368" w:rsidRDefault="00D24E61">
            <w:pPr>
              <w:spacing w:line="230" w:lineRule="exact"/>
              <w:ind w:left="120"/>
              <w:rPr>
                <w:sz w:val="20"/>
                <w:szCs w:val="20"/>
              </w:rPr>
            </w:pPr>
            <w:r w:rsidRPr="00771368">
              <w:rPr>
                <w:rFonts w:eastAsia="Calibri"/>
                <w:sz w:val="20"/>
                <w:szCs w:val="20"/>
              </w:rPr>
              <w:t>56</w:t>
            </w:r>
          </w:p>
        </w:tc>
        <w:tc>
          <w:tcPr>
            <w:tcW w:w="1440" w:type="dxa"/>
            <w:tcBorders>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460" w:type="dxa"/>
            <w:tcBorders>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80" w:type="dxa"/>
            <w:tcBorders>
              <w:right w:val="single" w:sz="8" w:space="0" w:color="auto"/>
            </w:tcBorders>
            <w:vAlign w:val="bottom"/>
          </w:tcPr>
          <w:p w:rsidR="00D24E61" w:rsidRPr="00771368" w:rsidRDefault="00D24E61">
            <w:pPr>
              <w:spacing w:line="230" w:lineRule="exact"/>
              <w:ind w:left="100"/>
              <w:rPr>
                <w:sz w:val="20"/>
                <w:szCs w:val="20"/>
              </w:rPr>
            </w:pPr>
            <w:r w:rsidRPr="00771368">
              <w:rPr>
                <w:rFonts w:eastAsia="Calibri"/>
                <w:sz w:val="20"/>
                <w:szCs w:val="20"/>
              </w:rPr>
              <w:t>5</w:t>
            </w:r>
          </w:p>
        </w:tc>
        <w:tc>
          <w:tcPr>
            <w:tcW w:w="1360" w:type="dxa"/>
            <w:tcBorders>
              <w:right w:val="single" w:sz="8" w:space="0" w:color="auto"/>
            </w:tcBorders>
            <w:vAlign w:val="bottom"/>
          </w:tcPr>
          <w:p w:rsidR="00D24E61" w:rsidRPr="00771368" w:rsidRDefault="00D24E61">
            <w:pPr>
              <w:spacing w:line="230" w:lineRule="exact"/>
              <w:ind w:left="80"/>
              <w:rPr>
                <w:sz w:val="20"/>
                <w:szCs w:val="20"/>
              </w:rPr>
            </w:pPr>
            <w:r w:rsidRPr="00771368">
              <w:rPr>
                <w:rFonts w:eastAsia="Calibri"/>
                <w:sz w:val="20"/>
                <w:szCs w:val="20"/>
              </w:rPr>
              <w:t>8</w:t>
            </w:r>
          </w:p>
        </w:tc>
      </w:tr>
      <w:tr w:rsidR="00D24E61" w:rsidRPr="00771368">
        <w:trPr>
          <w:trHeight w:val="41"/>
        </w:trPr>
        <w:tc>
          <w:tcPr>
            <w:tcW w:w="1880" w:type="dxa"/>
            <w:tcBorders>
              <w:left w:val="single" w:sz="8" w:space="0" w:color="auto"/>
              <w:bottom w:val="single" w:sz="8" w:space="0" w:color="auto"/>
              <w:right w:val="single" w:sz="8" w:space="0" w:color="auto"/>
            </w:tcBorders>
            <w:vAlign w:val="bottom"/>
          </w:tcPr>
          <w:p w:rsidR="00D24E61" w:rsidRPr="00771368" w:rsidRDefault="00D24E61">
            <w:pPr>
              <w:rPr>
                <w:sz w:val="3"/>
                <w:szCs w:val="3"/>
              </w:rPr>
            </w:pPr>
          </w:p>
        </w:tc>
        <w:tc>
          <w:tcPr>
            <w:tcW w:w="1440" w:type="dxa"/>
            <w:tcBorders>
              <w:bottom w:val="single" w:sz="8" w:space="0" w:color="auto"/>
              <w:right w:val="single" w:sz="8" w:space="0" w:color="auto"/>
            </w:tcBorders>
            <w:vAlign w:val="bottom"/>
          </w:tcPr>
          <w:p w:rsidR="00D24E61" w:rsidRPr="00771368" w:rsidRDefault="00D24E61">
            <w:pPr>
              <w:rPr>
                <w:sz w:val="3"/>
                <w:szCs w:val="3"/>
              </w:rPr>
            </w:pPr>
          </w:p>
        </w:tc>
        <w:tc>
          <w:tcPr>
            <w:tcW w:w="1460" w:type="dxa"/>
            <w:tcBorders>
              <w:bottom w:val="single" w:sz="8" w:space="0" w:color="auto"/>
              <w:right w:val="single" w:sz="8" w:space="0" w:color="auto"/>
            </w:tcBorders>
            <w:vAlign w:val="bottom"/>
          </w:tcPr>
          <w:p w:rsidR="00D24E61" w:rsidRPr="00771368" w:rsidRDefault="00D24E61">
            <w:pPr>
              <w:rPr>
                <w:sz w:val="3"/>
                <w:szCs w:val="3"/>
              </w:rPr>
            </w:pPr>
          </w:p>
        </w:tc>
        <w:tc>
          <w:tcPr>
            <w:tcW w:w="1380" w:type="dxa"/>
            <w:tcBorders>
              <w:bottom w:val="single" w:sz="8" w:space="0" w:color="auto"/>
              <w:right w:val="single" w:sz="8" w:space="0" w:color="auto"/>
            </w:tcBorders>
            <w:vAlign w:val="bottom"/>
          </w:tcPr>
          <w:p w:rsidR="00D24E61" w:rsidRPr="00771368" w:rsidRDefault="00D24E61">
            <w:pPr>
              <w:rPr>
                <w:sz w:val="3"/>
                <w:szCs w:val="3"/>
              </w:rPr>
            </w:pPr>
          </w:p>
        </w:tc>
        <w:tc>
          <w:tcPr>
            <w:tcW w:w="1360" w:type="dxa"/>
            <w:tcBorders>
              <w:bottom w:val="single" w:sz="8" w:space="0" w:color="auto"/>
              <w:right w:val="single" w:sz="8" w:space="0" w:color="auto"/>
            </w:tcBorders>
            <w:vAlign w:val="bottom"/>
          </w:tcPr>
          <w:p w:rsidR="00D24E61" w:rsidRPr="00771368" w:rsidRDefault="00D24E61">
            <w:pPr>
              <w:rPr>
                <w:sz w:val="3"/>
                <w:szCs w:val="3"/>
              </w:rPr>
            </w:pPr>
          </w:p>
        </w:tc>
      </w:tr>
      <w:tr w:rsidR="00D24E61" w:rsidRPr="00771368">
        <w:trPr>
          <w:trHeight w:val="230"/>
        </w:trPr>
        <w:tc>
          <w:tcPr>
            <w:tcW w:w="1880" w:type="dxa"/>
            <w:tcBorders>
              <w:left w:val="single" w:sz="8" w:space="0" w:color="auto"/>
              <w:right w:val="single" w:sz="8" w:space="0" w:color="auto"/>
            </w:tcBorders>
            <w:vAlign w:val="bottom"/>
          </w:tcPr>
          <w:p w:rsidR="00D24E61" w:rsidRPr="00771368" w:rsidRDefault="00D24E61">
            <w:pPr>
              <w:spacing w:line="229" w:lineRule="exact"/>
              <w:ind w:left="120"/>
              <w:rPr>
                <w:sz w:val="20"/>
                <w:szCs w:val="20"/>
              </w:rPr>
            </w:pPr>
            <w:r w:rsidRPr="00771368">
              <w:rPr>
                <w:rFonts w:eastAsia="Calibri"/>
                <w:sz w:val="20"/>
                <w:szCs w:val="20"/>
              </w:rPr>
              <w:t>57</w:t>
            </w:r>
          </w:p>
        </w:tc>
        <w:tc>
          <w:tcPr>
            <w:tcW w:w="1440" w:type="dxa"/>
            <w:tcBorders>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4</w:t>
            </w:r>
          </w:p>
        </w:tc>
        <w:tc>
          <w:tcPr>
            <w:tcW w:w="1460" w:type="dxa"/>
            <w:tcBorders>
              <w:right w:val="single" w:sz="8" w:space="0" w:color="auto"/>
            </w:tcBorders>
            <w:vAlign w:val="bottom"/>
          </w:tcPr>
          <w:p w:rsidR="00D24E61" w:rsidRPr="00771368" w:rsidRDefault="00D24E61">
            <w:pPr>
              <w:spacing w:line="229" w:lineRule="exact"/>
              <w:ind w:left="100"/>
              <w:rPr>
                <w:sz w:val="20"/>
                <w:szCs w:val="20"/>
              </w:rPr>
            </w:pPr>
            <w:r w:rsidRPr="00771368">
              <w:rPr>
                <w:rFonts w:eastAsia="Calibri"/>
                <w:color w:val="FF0000"/>
                <w:sz w:val="20"/>
                <w:szCs w:val="20"/>
              </w:rPr>
              <w:t>3</w:t>
            </w:r>
          </w:p>
        </w:tc>
        <w:tc>
          <w:tcPr>
            <w:tcW w:w="1380" w:type="dxa"/>
            <w:tcBorders>
              <w:right w:val="single" w:sz="8" w:space="0" w:color="auto"/>
            </w:tcBorders>
            <w:vAlign w:val="bottom"/>
          </w:tcPr>
          <w:p w:rsidR="00D24E61" w:rsidRPr="00771368" w:rsidRDefault="00D24E61">
            <w:pPr>
              <w:spacing w:line="229" w:lineRule="exact"/>
              <w:ind w:left="100"/>
              <w:rPr>
                <w:sz w:val="20"/>
                <w:szCs w:val="20"/>
              </w:rPr>
            </w:pPr>
            <w:r w:rsidRPr="00771368">
              <w:rPr>
                <w:rFonts w:eastAsia="Calibri"/>
                <w:sz w:val="20"/>
                <w:szCs w:val="20"/>
              </w:rPr>
              <w:t>6</w:t>
            </w:r>
          </w:p>
        </w:tc>
        <w:tc>
          <w:tcPr>
            <w:tcW w:w="1360" w:type="dxa"/>
            <w:tcBorders>
              <w:right w:val="single" w:sz="8" w:space="0" w:color="auto"/>
            </w:tcBorders>
            <w:vAlign w:val="bottom"/>
          </w:tcPr>
          <w:p w:rsidR="00D24E61" w:rsidRPr="00771368" w:rsidRDefault="00D24E61">
            <w:pPr>
              <w:spacing w:line="229" w:lineRule="exact"/>
              <w:ind w:left="80"/>
              <w:rPr>
                <w:sz w:val="20"/>
                <w:szCs w:val="20"/>
              </w:rPr>
            </w:pPr>
            <w:r w:rsidRPr="00771368">
              <w:rPr>
                <w:rFonts w:eastAsia="Calibri"/>
                <w:sz w:val="20"/>
                <w:szCs w:val="20"/>
              </w:rPr>
              <w:t>5</w:t>
            </w:r>
          </w:p>
        </w:tc>
      </w:tr>
      <w:tr w:rsidR="00D24E61" w:rsidRPr="00771368">
        <w:trPr>
          <w:trHeight w:val="46"/>
        </w:trPr>
        <w:tc>
          <w:tcPr>
            <w:tcW w:w="1880" w:type="dxa"/>
            <w:tcBorders>
              <w:left w:val="single" w:sz="8" w:space="0" w:color="auto"/>
              <w:bottom w:val="single" w:sz="8" w:space="0" w:color="auto"/>
              <w:right w:val="single" w:sz="8" w:space="0" w:color="auto"/>
            </w:tcBorders>
            <w:vAlign w:val="bottom"/>
          </w:tcPr>
          <w:p w:rsidR="00D24E61" w:rsidRPr="00771368" w:rsidRDefault="00D24E61">
            <w:pPr>
              <w:rPr>
                <w:sz w:val="3"/>
                <w:szCs w:val="3"/>
              </w:rPr>
            </w:pPr>
          </w:p>
        </w:tc>
        <w:tc>
          <w:tcPr>
            <w:tcW w:w="1440" w:type="dxa"/>
            <w:tcBorders>
              <w:bottom w:val="single" w:sz="8" w:space="0" w:color="auto"/>
              <w:right w:val="single" w:sz="8" w:space="0" w:color="auto"/>
            </w:tcBorders>
            <w:vAlign w:val="bottom"/>
          </w:tcPr>
          <w:p w:rsidR="00D24E61" w:rsidRPr="00771368" w:rsidRDefault="00D24E61">
            <w:pPr>
              <w:rPr>
                <w:sz w:val="3"/>
                <w:szCs w:val="3"/>
              </w:rPr>
            </w:pPr>
          </w:p>
        </w:tc>
        <w:tc>
          <w:tcPr>
            <w:tcW w:w="1460" w:type="dxa"/>
            <w:tcBorders>
              <w:bottom w:val="single" w:sz="8" w:space="0" w:color="auto"/>
              <w:right w:val="single" w:sz="8" w:space="0" w:color="auto"/>
            </w:tcBorders>
            <w:vAlign w:val="bottom"/>
          </w:tcPr>
          <w:p w:rsidR="00D24E61" w:rsidRPr="00771368" w:rsidRDefault="00D24E61">
            <w:pPr>
              <w:rPr>
                <w:sz w:val="3"/>
                <w:szCs w:val="3"/>
              </w:rPr>
            </w:pPr>
          </w:p>
        </w:tc>
        <w:tc>
          <w:tcPr>
            <w:tcW w:w="1380" w:type="dxa"/>
            <w:tcBorders>
              <w:bottom w:val="single" w:sz="8" w:space="0" w:color="auto"/>
              <w:right w:val="single" w:sz="8" w:space="0" w:color="auto"/>
            </w:tcBorders>
            <w:vAlign w:val="bottom"/>
          </w:tcPr>
          <w:p w:rsidR="00D24E61" w:rsidRPr="00771368" w:rsidRDefault="00D24E61">
            <w:pPr>
              <w:rPr>
                <w:sz w:val="3"/>
                <w:szCs w:val="3"/>
              </w:rPr>
            </w:pPr>
          </w:p>
        </w:tc>
        <w:tc>
          <w:tcPr>
            <w:tcW w:w="1360" w:type="dxa"/>
            <w:tcBorders>
              <w:bottom w:val="single" w:sz="8" w:space="0" w:color="auto"/>
              <w:right w:val="single" w:sz="8" w:space="0" w:color="auto"/>
            </w:tcBorders>
            <w:vAlign w:val="bottom"/>
          </w:tcPr>
          <w:p w:rsidR="00D24E61" w:rsidRPr="00771368" w:rsidRDefault="00D24E61">
            <w:pPr>
              <w:rPr>
                <w:sz w:val="3"/>
                <w:szCs w:val="3"/>
              </w:rPr>
            </w:pPr>
          </w:p>
        </w:tc>
      </w:tr>
      <w:tr w:rsidR="00D24E61" w:rsidRPr="00771368">
        <w:trPr>
          <w:trHeight w:val="227"/>
        </w:trPr>
        <w:tc>
          <w:tcPr>
            <w:tcW w:w="1880" w:type="dxa"/>
            <w:tcBorders>
              <w:left w:val="single" w:sz="8" w:space="0" w:color="auto"/>
              <w:right w:val="single" w:sz="8" w:space="0" w:color="auto"/>
            </w:tcBorders>
            <w:vAlign w:val="bottom"/>
          </w:tcPr>
          <w:p w:rsidR="00D24E61" w:rsidRPr="00771368" w:rsidRDefault="00D24E61">
            <w:pPr>
              <w:spacing w:line="227" w:lineRule="exact"/>
              <w:ind w:left="120"/>
              <w:rPr>
                <w:sz w:val="20"/>
                <w:szCs w:val="20"/>
              </w:rPr>
            </w:pPr>
            <w:r w:rsidRPr="00771368">
              <w:rPr>
                <w:rFonts w:eastAsia="Calibri"/>
                <w:b/>
                <w:bCs/>
                <w:sz w:val="20"/>
                <w:szCs w:val="20"/>
              </w:rPr>
              <w:t>Média Aritmética</w:t>
            </w:r>
          </w:p>
        </w:tc>
        <w:tc>
          <w:tcPr>
            <w:tcW w:w="1440" w:type="dxa"/>
            <w:tcBorders>
              <w:right w:val="single" w:sz="8" w:space="0" w:color="auto"/>
            </w:tcBorders>
            <w:vAlign w:val="bottom"/>
          </w:tcPr>
          <w:p w:rsidR="00D24E61" w:rsidRPr="00771368" w:rsidRDefault="00D24E61">
            <w:pPr>
              <w:spacing w:line="227" w:lineRule="exact"/>
              <w:ind w:left="100"/>
              <w:rPr>
                <w:sz w:val="20"/>
                <w:szCs w:val="20"/>
              </w:rPr>
            </w:pPr>
            <w:r w:rsidRPr="00771368">
              <w:rPr>
                <w:rFonts w:eastAsia="Calibri"/>
                <w:b/>
                <w:bCs/>
                <w:color w:val="FF0000"/>
                <w:sz w:val="20"/>
                <w:szCs w:val="20"/>
              </w:rPr>
              <w:t>4,98</w:t>
            </w:r>
          </w:p>
        </w:tc>
        <w:tc>
          <w:tcPr>
            <w:tcW w:w="1460" w:type="dxa"/>
            <w:tcBorders>
              <w:right w:val="single" w:sz="8" w:space="0" w:color="auto"/>
            </w:tcBorders>
            <w:vAlign w:val="bottom"/>
          </w:tcPr>
          <w:p w:rsidR="00D24E61" w:rsidRPr="00771368" w:rsidRDefault="00D24E61">
            <w:pPr>
              <w:spacing w:line="227" w:lineRule="exact"/>
              <w:ind w:left="100"/>
              <w:rPr>
                <w:sz w:val="20"/>
                <w:szCs w:val="20"/>
              </w:rPr>
            </w:pPr>
            <w:r w:rsidRPr="00771368">
              <w:rPr>
                <w:rFonts w:eastAsia="Calibri"/>
                <w:b/>
                <w:bCs/>
                <w:color w:val="FF0000"/>
                <w:sz w:val="20"/>
                <w:szCs w:val="20"/>
              </w:rPr>
              <w:t>4,82</w:t>
            </w:r>
          </w:p>
        </w:tc>
        <w:tc>
          <w:tcPr>
            <w:tcW w:w="1380" w:type="dxa"/>
            <w:tcBorders>
              <w:right w:val="single" w:sz="8" w:space="0" w:color="auto"/>
            </w:tcBorders>
            <w:vAlign w:val="bottom"/>
          </w:tcPr>
          <w:p w:rsidR="00D24E61" w:rsidRPr="00771368" w:rsidRDefault="00D24E61">
            <w:pPr>
              <w:spacing w:line="227" w:lineRule="exact"/>
              <w:ind w:left="100"/>
              <w:rPr>
                <w:sz w:val="20"/>
                <w:szCs w:val="20"/>
              </w:rPr>
            </w:pPr>
            <w:r w:rsidRPr="00771368">
              <w:rPr>
                <w:rFonts w:eastAsia="Calibri"/>
                <w:b/>
                <w:bCs/>
                <w:color w:val="FF0000"/>
                <w:sz w:val="20"/>
                <w:szCs w:val="20"/>
              </w:rPr>
              <w:t>4,70</w:t>
            </w:r>
          </w:p>
        </w:tc>
        <w:tc>
          <w:tcPr>
            <w:tcW w:w="1360" w:type="dxa"/>
            <w:tcBorders>
              <w:right w:val="single" w:sz="8" w:space="0" w:color="auto"/>
            </w:tcBorders>
            <w:vAlign w:val="bottom"/>
          </w:tcPr>
          <w:p w:rsidR="00D24E61" w:rsidRPr="00771368" w:rsidRDefault="00D24E61">
            <w:pPr>
              <w:spacing w:line="227" w:lineRule="exact"/>
              <w:ind w:left="80"/>
              <w:rPr>
                <w:sz w:val="20"/>
                <w:szCs w:val="20"/>
              </w:rPr>
            </w:pPr>
            <w:r w:rsidRPr="00771368">
              <w:rPr>
                <w:rFonts w:eastAsia="Calibri"/>
                <w:b/>
                <w:bCs/>
                <w:color w:val="FF0000"/>
                <w:sz w:val="20"/>
                <w:szCs w:val="20"/>
              </w:rPr>
              <w:t>4,46</w:t>
            </w:r>
          </w:p>
        </w:tc>
      </w:tr>
      <w:tr w:rsidR="00D24E61" w:rsidRPr="00771368">
        <w:trPr>
          <w:trHeight w:val="22"/>
        </w:trPr>
        <w:tc>
          <w:tcPr>
            <w:tcW w:w="1880" w:type="dxa"/>
            <w:tcBorders>
              <w:left w:val="single" w:sz="8" w:space="0" w:color="auto"/>
              <w:bottom w:val="single" w:sz="8" w:space="0" w:color="auto"/>
              <w:right w:val="single" w:sz="8" w:space="0" w:color="auto"/>
            </w:tcBorders>
            <w:vAlign w:val="bottom"/>
          </w:tcPr>
          <w:p w:rsidR="00D24E61" w:rsidRPr="00771368" w:rsidRDefault="00D24E61">
            <w:pPr>
              <w:spacing w:line="20" w:lineRule="exact"/>
              <w:rPr>
                <w:sz w:val="1"/>
                <w:szCs w:val="1"/>
              </w:rPr>
            </w:pPr>
          </w:p>
          <w:p w:rsidR="00497259" w:rsidRPr="00771368" w:rsidRDefault="00497259">
            <w:pPr>
              <w:spacing w:line="20" w:lineRule="exact"/>
              <w:rPr>
                <w:sz w:val="1"/>
                <w:szCs w:val="1"/>
              </w:rPr>
            </w:pPr>
          </w:p>
          <w:p w:rsidR="00497259" w:rsidRPr="00771368" w:rsidRDefault="00497259">
            <w:pPr>
              <w:spacing w:line="20" w:lineRule="exact"/>
              <w:rPr>
                <w:sz w:val="1"/>
                <w:szCs w:val="1"/>
              </w:rPr>
            </w:pPr>
          </w:p>
        </w:tc>
        <w:tc>
          <w:tcPr>
            <w:tcW w:w="1440" w:type="dxa"/>
            <w:tcBorders>
              <w:bottom w:val="single" w:sz="8" w:space="0" w:color="auto"/>
              <w:right w:val="single" w:sz="8" w:space="0" w:color="auto"/>
            </w:tcBorders>
            <w:vAlign w:val="bottom"/>
          </w:tcPr>
          <w:p w:rsidR="00D24E61" w:rsidRPr="00771368" w:rsidRDefault="00D24E61">
            <w:pPr>
              <w:spacing w:line="20" w:lineRule="exact"/>
              <w:rPr>
                <w:sz w:val="1"/>
                <w:szCs w:val="1"/>
              </w:rPr>
            </w:pPr>
          </w:p>
        </w:tc>
        <w:tc>
          <w:tcPr>
            <w:tcW w:w="1460" w:type="dxa"/>
            <w:tcBorders>
              <w:bottom w:val="single" w:sz="8" w:space="0" w:color="auto"/>
              <w:right w:val="single" w:sz="8" w:space="0" w:color="auto"/>
            </w:tcBorders>
            <w:vAlign w:val="bottom"/>
          </w:tcPr>
          <w:p w:rsidR="00D24E61" w:rsidRPr="00771368" w:rsidRDefault="00D24E61">
            <w:pPr>
              <w:spacing w:line="20" w:lineRule="exact"/>
              <w:rPr>
                <w:sz w:val="1"/>
                <w:szCs w:val="1"/>
              </w:rPr>
            </w:pPr>
          </w:p>
        </w:tc>
        <w:tc>
          <w:tcPr>
            <w:tcW w:w="1380" w:type="dxa"/>
            <w:tcBorders>
              <w:bottom w:val="single" w:sz="8" w:space="0" w:color="auto"/>
              <w:right w:val="single" w:sz="8" w:space="0" w:color="auto"/>
            </w:tcBorders>
            <w:vAlign w:val="bottom"/>
          </w:tcPr>
          <w:p w:rsidR="00D24E61" w:rsidRPr="00771368" w:rsidRDefault="00D24E61">
            <w:pPr>
              <w:spacing w:line="20" w:lineRule="exact"/>
              <w:rPr>
                <w:sz w:val="1"/>
                <w:szCs w:val="1"/>
              </w:rPr>
            </w:pPr>
          </w:p>
        </w:tc>
        <w:tc>
          <w:tcPr>
            <w:tcW w:w="1360" w:type="dxa"/>
            <w:tcBorders>
              <w:bottom w:val="single" w:sz="8" w:space="0" w:color="auto"/>
              <w:right w:val="single" w:sz="8" w:space="0" w:color="auto"/>
            </w:tcBorders>
            <w:vAlign w:val="bottom"/>
          </w:tcPr>
          <w:p w:rsidR="00D24E61" w:rsidRPr="00771368" w:rsidRDefault="00D24E61">
            <w:pPr>
              <w:spacing w:line="20" w:lineRule="exact"/>
              <w:rPr>
                <w:sz w:val="1"/>
                <w:szCs w:val="1"/>
              </w:rPr>
            </w:pPr>
          </w:p>
        </w:tc>
      </w:tr>
    </w:tbl>
    <w:p w:rsidR="00D24E61" w:rsidRPr="00771368" w:rsidRDefault="00D24E61">
      <w:pPr>
        <w:spacing w:line="1" w:lineRule="exact"/>
        <w:rPr>
          <w:sz w:val="20"/>
          <w:szCs w:val="20"/>
        </w:rPr>
      </w:pPr>
    </w:p>
    <w:p w:rsidR="00497259" w:rsidRPr="00771368" w:rsidRDefault="00497259" w:rsidP="00D24E61">
      <w:pPr>
        <w:pStyle w:val="Ttulo"/>
        <w:spacing w:line="240" w:lineRule="auto"/>
        <w:jc w:val="center"/>
        <w:rPr>
          <w:rFonts w:ascii="Times New Roman" w:hAnsi="Times New Roman"/>
        </w:rPr>
      </w:pPr>
    </w:p>
    <w:p w:rsidR="00497259" w:rsidRPr="00771368" w:rsidRDefault="00497259" w:rsidP="00D24E61">
      <w:pPr>
        <w:pStyle w:val="Ttulo"/>
        <w:spacing w:line="240" w:lineRule="auto"/>
        <w:jc w:val="center"/>
        <w:rPr>
          <w:rFonts w:ascii="Times New Roman" w:hAnsi="Times New Roman"/>
        </w:rPr>
      </w:pPr>
    </w:p>
    <w:p w:rsidR="00D24E61" w:rsidRPr="00771368" w:rsidRDefault="00013211" w:rsidP="00D24E61">
      <w:pPr>
        <w:pStyle w:val="Ttulo"/>
        <w:spacing w:line="240" w:lineRule="auto"/>
        <w:jc w:val="center"/>
        <w:rPr>
          <w:rFonts w:ascii="Times New Roman" w:hAnsi="Times New Roman"/>
        </w:rPr>
      </w:pPr>
      <w:r>
        <w:rPr>
          <w:rFonts w:ascii="Times New Roman" w:hAnsi="Times New Roman"/>
          <w:noProof/>
          <w:lang w:eastAsia="pt-BR"/>
        </w:rPr>
        <w:drawing>
          <wp:inline distT="0" distB="0" distL="0" distR="0">
            <wp:extent cx="4182745" cy="719455"/>
            <wp:effectExtent l="0" t="0" r="8255" b="4445"/>
            <wp:docPr id="1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2745" cy="719455"/>
                    </a:xfrm>
                    <a:prstGeom prst="rect">
                      <a:avLst/>
                    </a:prstGeom>
                    <a:solidFill>
                      <a:srgbClr val="FFFFFF"/>
                    </a:solidFill>
                    <a:ln>
                      <a:noFill/>
                    </a:ln>
                  </pic:spPr>
                </pic:pic>
              </a:graphicData>
            </a:graphic>
          </wp:inline>
        </w:drawing>
      </w:r>
    </w:p>
    <w:p w:rsidR="00D24E61" w:rsidRPr="00771368" w:rsidRDefault="00D24E61" w:rsidP="00D24E61">
      <w:pPr>
        <w:pStyle w:val="Ttulo"/>
        <w:spacing w:line="240" w:lineRule="auto"/>
        <w:rPr>
          <w:rFonts w:ascii="Times New Roman" w:hAnsi="Times New Roman"/>
        </w:rPr>
      </w:pPr>
      <w:r w:rsidRPr="00771368">
        <w:rPr>
          <w:rFonts w:ascii="Times New Roman" w:hAnsi="Times New Roman"/>
        </w:rPr>
        <w:tab/>
      </w:r>
    </w:p>
    <w:p w:rsidR="00D24E61" w:rsidRPr="00771368" w:rsidRDefault="00D24E61" w:rsidP="00D24E61">
      <w:pPr>
        <w:jc w:val="center"/>
        <w:rPr>
          <w:b/>
          <w:bCs/>
        </w:rPr>
      </w:pPr>
      <w:r w:rsidRPr="00771368">
        <w:rPr>
          <w:b/>
          <w:bCs/>
        </w:rPr>
        <w:t>INTERLOCUÇÕES SOBRE A PRESENÇA DO GÊNERO MASCULINO NO ESPAÇO ESCOLAR</w:t>
      </w:r>
    </w:p>
    <w:p w:rsidR="00D24E61" w:rsidRPr="00771368" w:rsidRDefault="00D24E61" w:rsidP="00D24E61">
      <w:pPr>
        <w:rPr>
          <w:b/>
        </w:rPr>
      </w:pPr>
      <w:r w:rsidRPr="00771368">
        <w:rPr>
          <w:b/>
        </w:rPr>
        <w:tab/>
      </w:r>
    </w:p>
    <w:p w:rsidR="00D24E61" w:rsidRPr="00771368" w:rsidRDefault="00D24E61" w:rsidP="001C5E1D">
      <w:pPr>
        <w:pStyle w:val="Ttulo1"/>
      </w:pPr>
      <w:bookmarkStart w:id="7" w:name="_Toc442034721"/>
      <w:r w:rsidRPr="00F11AE6">
        <w:t>João Ricardo Prestes Froes</w:t>
      </w:r>
      <w:r w:rsidRPr="00771368">
        <w:rPr>
          <w:rStyle w:val="Refdenotaderodap1"/>
          <w:b/>
        </w:rPr>
        <w:footnoteReference w:id="10"/>
      </w:r>
      <w:bookmarkEnd w:id="7"/>
    </w:p>
    <w:p w:rsidR="00D24E61" w:rsidRPr="00771368" w:rsidRDefault="00D24E61" w:rsidP="00D24E61">
      <w:pPr>
        <w:jc w:val="right"/>
        <w:rPr>
          <w:b/>
        </w:rPr>
      </w:pPr>
      <w:r w:rsidRPr="00771368">
        <w:rPr>
          <w:b/>
        </w:rPr>
        <w:t>Silvia Natália de Mello</w:t>
      </w:r>
      <w:r w:rsidRPr="00771368">
        <w:rPr>
          <w:rStyle w:val="Refdenotaderodap1"/>
          <w:b/>
        </w:rPr>
        <w:t xml:space="preserve"> </w:t>
      </w:r>
      <w:r w:rsidRPr="00771368">
        <w:rPr>
          <w:rStyle w:val="Refdenotaderodap1"/>
          <w:b/>
        </w:rPr>
        <w:footnoteReference w:id="11"/>
      </w:r>
    </w:p>
    <w:p w:rsidR="00D24E61" w:rsidRPr="00771368" w:rsidRDefault="00D24E61" w:rsidP="00D24E61">
      <w:pPr>
        <w:jc w:val="right"/>
        <w:rPr>
          <w:b/>
        </w:rPr>
      </w:pPr>
      <w:r w:rsidRPr="00771368">
        <w:rPr>
          <w:b/>
        </w:rPr>
        <w:t>Sociedade Educacional Três de Maio – SETREM</w:t>
      </w:r>
      <w:r w:rsidRPr="00771368">
        <w:rPr>
          <w:rStyle w:val="Refdenotaderodap"/>
          <w:b/>
        </w:rPr>
        <w:t xml:space="preserve"> </w:t>
      </w:r>
      <w:r w:rsidRPr="00771368">
        <w:rPr>
          <w:rStyle w:val="Refdenotaderodap1"/>
          <w:b/>
        </w:rPr>
        <w:footnoteReference w:id="12"/>
      </w:r>
    </w:p>
    <w:p w:rsidR="00D24E61" w:rsidRPr="00771368" w:rsidRDefault="00D24E61" w:rsidP="00D24E61">
      <w:r w:rsidRPr="00771368">
        <w:tab/>
      </w:r>
    </w:p>
    <w:p w:rsidR="00D24E61" w:rsidRPr="00771368" w:rsidRDefault="00D24E61" w:rsidP="00D24E61">
      <w:r w:rsidRPr="00771368">
        <w:tab/>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RESUMO</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0"/>
        <w:rPr>
          <w:rFonts w:ascii="Times New Roman" w:hAnsi="Times New Roman" w:cs="Times New Roman"/>
          <w:szCs w:val="24"/>
        </w:rPr>
      </w:pPr>
      <w:r w:rsidRPr="00771368">
        <w:rPr>
          <w:rFonts w:ascii="Times New Roman" w:hAnsi="Times New Roman" w:cs="Times New Roman"/>
        </w:rPr>
        <w:t>A história da educação nos mostra que num determinado período o espaço escolar tinha uma representatividade grande de sujeitos masculinos. A partir deste fato, me propus pesquisar e investigar os fatores que estão contribuindo para o afastamento da figura masculina no Ensino Fundamental</w:t>
      </w:r>
      <w:r w:rsidRPr="00771368">
        <w:rPr>
          <w:rFonts w:ascii="Times New Roman" w:hAnsi="Times New Roman" w:cs="Times New Roman"/>
          <w:szCs w:val="24"/>
        </w:rPr>
        <w:t xml:space="preserve"> de escolas privadas e da</w:t>
      </w:r>
      <w:r w:rsidRPr="00771368">
        <w:rPr>
          <w:rFonts w:ascii="Times New Roman" w:hAnsi="Times New Roman" w:cs="Times New Roman"/>
        </w:rPr>
        <w:t xml:space="preserve"> rede pública, municipal e estadual. Ainda, o que aconteceu no percurso da história da Educação, na formação de professores que fez e ainda faz com que a figura masculina já não esteja tão presente no contexto escolar? Qual é o sentimento destes professores em relação ao abandono dos sujeitos masculinos das salas de aulas? A pesquisa de cunho qualitativo se desenvolveu no município de Três de Maio; região noroeste do estado do Rio Grande do Sul. Foi desenvolvida com professores que atuam no Ensin</w:t>
      </w:r>
      <w:r w:rsidRPr="00771368">
        <w:rPr>
          <w:rFonts w:ascii="Times New Roman" w:hAnsi="Times New Roman" w:cs="Times New Roman"/>
          <w:szCs w:val="24"/>
        </w:rPr>
        <w:t xml:space="preserve">o Fundamental de escolas privadas e públicas da rede municipal e estadual. Totalizando a participação de sujeitos de duas escolas estaduais, duas particulares e duas municipais. Para coleta de dados foi utilizado questionário semiestruturado. Percebi que há resquícios dos discursos que são reforçados pela sociedade, o meu sentimento sobre estes sujeitos é que eles se expressam estimulando uma narrativa já existente e que está presente no cotidiano, nas ações dos sujeitos e que parecem estar muito bem alicerçadas as questões referentes </w:t>
      </w:r>
      <w:r w:rsidRPr="00771368">
        <w:rPr>
          <w:rFonts w:ascii="Times New Roman" w:hAnsi="Times New Roman" w:cs="Times New Roman"/>
        </w:rPr>
        <w:t>desvalorização do professor, salários e o aspecto paternal/afetividade</w:t>
      </w:r>
      <w:r w:rsidRPr="00771368">
        <w:rPr>
          <w:rFonts w:ascii="Times New Roman" w:hAnsi="Times New Roman" w:cs="Times New Roman"/>
          <w:szCs w:val="24"/>
        </w:rPr>
        <w:t>. Os principais autores utilizados na discussão teórica são: COLLING (2004), FOUCAULT (2012), LOURO (1997), PERROT (2005), PRIORE (2000), SCOTT (1995), VEIGA-NETO (2003).</w:t>
      </w:r>
    </w:p>
    <w:p w:rsidR="00D24E61" w:rsidRPr="00771368" w:rsidRDefault="00D24E61" w:rsidP="00D24E61">
      <w:pPr>
        <w:pStyle w:val="NORMAL2"/>
        <w:rPr>
          <w:rFonts w:ascii="Times New Roman" w:hAnsi="Times New Roman" w:cs="Times New Roman"/>
          <w:szCs w:val="24"/>
        </w:rPr>
      </w:pP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b/>
        </w:rPr>
        <w:t>Palavras-chave:</w:t>
      </w:r>
      <w:r w:rsidRPr="00771368">
        <w:rPr>
          <w:rFonts w:ascii="Times New Roman" w:hAnsi="Times New Roman" w:cs="Times New Roman"/>
        </w:rPr>
        <w:t xml:space="preserve"> Gênero; Magistério; Pós-estruturalismo.  </w:t>
      </w:r>
    </w:p>
    <w:p w:rsidR="00D24E61" w:rsidRPr="00771368" w:rsidRDefault="00D24E61" w:rsidP="00D24E61">
      <w:pPr>
        <w:pStyle w:val="NORMAL2"/>
        <w:rPr>
          <w:rFonts w:ascii="Times New Roman" w:hAnsi="Times New Roman" w:cs="Times New Roman"/>
        </w:rPr>
      </w:pPr>
    </w:p>
    <w:p w:rsidR="00D24E61" w:rsidRPr="00771368" w:rsidRDefault="00D24E61" w:rsidP="00D24E61">
      <w:pPr>
        <w:pStyle w:val="NORMAL2"/>
        <w:rPr>
          <w:rFonts w:ascii="Times New Roman" w:hAnsi="Times New Roman" w:cs="Times New Roman"/>
        </w:rPr>
      </w:pPr>
    </w:p>
    <w:p w:rsidR="00D24E61" w:rsidRPr="00771368" w:rsidRDefault="00D24E61" w:rsidP="00D24E61">
      <w:pPr>
        <w:pStyle w:val="NORMAL2"/>
        <w:rPr>
          <w:rFonts w:ascii="Times New Roman" w:hAnsi="Times New Roman" w:cs="Times New Roman"/>
        </w:rPr>
      </w:pPr>
    </w:p>
    <w:p w:rsidR="00D24E61" w:rsidRPr="00771368" w:rsidRDefault="00D24E61" w:rsidP="00D24E61">
      <w:pPr>
        <w:pStyle w:val="Ttulo"/>
        <w:spacing w:line="240" w:lineRule="auto"/>
        <w:rPr>
          <w:rFonts w:ascii="Times New Roman" w:hAnsi="Times New Roman"/>
          <w:i/>
          <w:lang w:val="en-US"/>
        </w:rPr>
      </w:pPr>
      <w:bookmarkStart w:id="8" w:name="_Toc341284840"/>
      <w:bookmarkStart w:id="9" w:name="_Toc343420972"/>
      <w:r w:rsidRPr="00771368">
        <w:rPr>
          <w:rFonts w:ascii="Times New Roman" w:hAnsi="Times New Roman"/>
          <w:i/>
          <w:lang w:val="en-US"/>
        </w:rPr>
        <w:t>ABSTRACT</w:t>
      </w:r>
      <w:bookmarkEnd w:id="8"/>
      <w:bookmarkEnd w:id="9"/>
    </w:p>
    <w:p w:rsidR="00D24E61" w:rsidRPr="00771368" w:rsidRDefault="00D24E61" w:rsidP="00D24E61">
      <w:pPr>
        <w:pStyle w:val="NORMAL2"/>
        <w:ind w:firstLine="0"/>
        <w:rPr>
          <w:rFonts w:ascii="Times New Roman" w:hAnsi="Times New Roman" w:cs="Times New Roman"/>
          <w:i/>
          <w:lang w:val="en-US"/>
        </w:rPr>
      </w:pPr>
      <w:r w:rsidRPr="00771368">
        <w:rPr>
          <w:rStyle w:val="hps"/>
          <w:rFonts w:ascii="Times New Roman" w:hAnsi="Times New Roman" w:cs="Times New Roman"/>
          <w:i/>
          <w:lang w:val="en-US"/>
        </w:rPr>
        <w:t>The history of education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shows that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 certain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period</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 school</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had a</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large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representation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of</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male subjects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From this fact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 set out to</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research and investigate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 factors that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are contributing to</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 removal</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of the male figure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Elementary schools</w:t>
      </w:r>
      <w:r w:rsidRPr="00771368">
        <w:rPr>
          <w:rFonts w:ascii="Times New Roman" w:hAnsi="Times New Roman" w:cs="Times New Roman"/>
          <w:i/>
          <w:lang w:val="en-US"/>
        </w:rPr>
        <w:t xml:space="preserve"> of </w:t>
      </w:r>
      <w:r w:rsidRPr="00771368">
        <w:rPr>
          <w:rStyle w:val="hps"/>
          <w:rFonts w:ascii="Times New Roman" w:hAnsi="Times New Roman" w:cs="Times New Roman"/>
          <w:i/>
          <w:lang w:val="en-US"/>
        </w:rPr>
        <w:t>private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and</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public</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state and municipal teaching</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Still</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what happened in the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course of the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history of education</w:t>
      </w:r>
      <w:r w:rsidRPr="00771368">
        <w:rPr>
          <w:rFonts w:ascii="Times New Roman" w:hAnsi="Times New Roman" w:cs="Times New Roman"/>
          <w:i/>
          <w:lang w:val="en-US"/>
        </w:rPr>
        <w:t xml:space="preserve">, in the </w:t>
      </w:r>
      <w:r w:rsidRPr="00771368">
        <w:rPr>
          <w:rStyle w:val="hps"/>
          <w:rFonts w:ascii="Times New Roman" w:hAnsi="Times New Roman" w:cs="Times New Roman"/>
          <w:i/>
          <w:lang w:val="en-US"/>
        </w:rPr>
        <w:t>teachers formation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that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did</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and still does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with</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male figure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is not so present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in the school context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What is the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sense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of these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teachers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in relation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to the abandonment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of the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male subjects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of the classrooms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qualitative research</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was developed</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in the city of</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Três de Maio</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northwest region</w:t>
      </w:r>
      <w:r w:rsidRPr="00771368">
        <w:rPr>
          <w:rFonts w:ascii="Times New Roman" w:hAnsi="Times New Roman" w:cs="Times New Roman"/>
          <w:i/>
          <w:lang w:val="en-US"/>
        </w:rPr>
        <w:t xml:space="preserve"> of </w:t>
      </w:r>
      <w:r w:rsidRPr="00771368">
        <w:rPr>
          <w:rStyle w:val="hps"/>
          <w:rFonts w:ascii="Times New Roman" w:hAnsi="Times New Roman" w:cs="Times New Roman"/>
          <w:i/>
          <w:lang w:val="en-US"/>
        </w:rPr>
        <w:t>Rio</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Grande do</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Sul</w:t>
      </w:r>
      <w:r w:rsidRPr="00771368">
        <w:rPr>
          <w:rFonts w:ascii="Times New Roman" w:hAnsi="Times New Roman" w:cs="Times New Roman"/>
          <w:i/>
          <w:lang w:val="en-US"/>
        </w:rPr>
        <w:t xml:space="preserve"> state. It </w:t>
      </w:r>
      <w:r w:rsidRPr="00771368">
        <w:rPr>
          <w:rStyle w:val="hps"/>
          <w:rFonts w:ascii="Times New Roman" w:hAnsi="Times New Roman" w:cs="Times New Roman"/>
          <w:i/>
          <w:lang w:val="en-US"/>
        </w:rPr>
        <w:t>was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developed with</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teachers working</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in Elementary Education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from</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public (municipal and state) and private schools.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Totaling</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 participation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of subjects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in two state schools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two private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and two</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municipalities.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For data collection</w:t>
      </w:r>
      <w:r w:rsidRPr="00771368">
        <w:rPr>
          <w:rFonts w:ascii="Times New Roman" w:hAnsi="Times New Roman" w:cs="Times New Roman"/>
          <w:i/>
          <w:lang w:val="en-US"/>
        </w:rPr>
        <w:t xml:space="preserve"> it </w:t>
      </w:r>
      <w:r w:rsidRPr="00771368">
        <w:rPr>
          <w:rStyle w:val="hps"/>
          <w:rFonts w:ascii="Times New Roman" w:hAnsi="Times New Roman" w:cs="Times New Roman"/>
          <w:i/>
          <w:lang w:val="en-US"/>
        </w:rPr>
        <w:t>was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used</w:t>
      </w:r>
      <w:r w:rsidRPr="00771368">
        <w:rPr>
          <w:rFonts w:ascii="Times New Roman" w:hAnsi="Times New Roman" w:cs="Times New Roman"/>
          <w:i/>
          <w:lang w:val="en-US"/>
        </w:rPr>
        <w:t xml:space="preserve"> a </w:t>
      </w:r>
      <w:r w:rsidRPr="00771368">
        <w:rPr>
          <w:rStyle w:val="hps"/>
          <w:rFonts w:ascii="Times New Roman" w:hAnsi="Times New Roman" w:cs="Times New Roman"/>
          <w:i/>
          <w:lang w:val="en-US"/>
        </w:rPr>
        <w:t>semistructured questionnaire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 realized</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that there are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remainders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of the speeches that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are reinforced</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by society</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my</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feeling about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these guys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is that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they</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express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stimulating</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 narrative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existing</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and is present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in everyday life,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in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actions of individuals</w:t>
      </w:r>
      <w:r w:rsidRPr="00771368">
        <w:rPr>
          <w:rFonts w:ascii="Times New Roman" w:hAnsi="Times New Roman" w:cs="Times New Roman"/>
          <w:i/>
          <w:lang w:val="en-US"/>
        </w:rPr>
        <w:t xml:space="preserve"> and </w:t>
      </w:r>
      <w:r w:rsidRPr="00771368">
        <w:rPr>
          <w:rStyle w:val="hps"/>
          <w:rFonts w:ascii="Times New Roman" w:hAnsi="Times New Roman" w:cs="Times New Roman"/>
          <w:i/>
          <w:lang w:val="en-US"/>
        </w:rPr>
        <w:t>that appear to be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well</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grounded</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questions concerning</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devaluation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teachers,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salaries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and</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paternal/affectivity aspect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main authors of this</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theoretical discussion</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are: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COLLING</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(2004</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FOUCAULT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(2012</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LOURO</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(1997</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PERROT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(2005</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PRIORE</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(2000</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SCOTT</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(1995</w:t>
      </w:r>
      <w:r w:rsidRPr="00771368">
        <w:rPr>
          <w:rFonts w:ascii="Times New Roman" w:hAnsi="Times New Roman" w:cs="Times New Roman"/>
          <w:i/>
          <w:lang w:val="en-US"/>
        </w:rPr>
        <w:t xml:space="preserve">), </w:t>
      </w:r>
      <w:r w:rsidRPr="00771368">
        <w:rPr>
          <w:rStyle w:val="hps"/>
          <w:rFonts w:ascii="Times New Roman" w:hAnsi="Times New Roman" w:cs="Times New Roman"/>
          <w:i/>
          <w:lang w:val="en-US"/>
        </w:rPr>
        <w:t>VEIGA</w:t>
      </w:r>
      <w:r w:rsidRPr="00771368">
        <w:rPr>
          <w:rStyle w:val="atn"/>
          <w:rFonts w:ascii="Times New Roman" w:hAnsi="Times New Roman" w:cs="Times New Roman"/>
          <w:i/>
          <w:lang w:val="en-US"/>
        </w:rPr>
        <w:t>-</w:t>
      </w:r>
      <w:r w:rsidRPr="00771368">
        <w:rPr>
          <w:rFonts w:ascii="Times New Roman" w:hAnsi="Times New Roman" w:cs="Times New Roman"/>
          <w:i/>
          <w:lang w:val="en-US"/>
        </w:rPr>
        <w:t xml:space="preserve">NETO </w:t>
      </w:r>
      <w:r w:rsidRPr="00771368">
        <w:rPr>
          <w:rStyle w:val="hps"/>
          <w:rFonts w:ascii="Times New Roman" w:hAnsi="Times New Roman" w:cs="Times New Roman"/>
          <w:i/>
          <w:lang w:val="en-US"/>
        </w:rPr>
        <w:t>(2003</w:t>
      </w:r>
      <w:r w:rsidRPr="00771368">
        <w:rPr>
          <w:rFonts w:ascii="Times New Roman" w:hAnsi="Times New Roman" w:cs="Times New Roman"/>
          <w:i/>
          <w:lang w:val="en-US"/>
        </w:rPr>
        <w:t>).</w:t>
      </w:r>
    </w:p>
    <w:p w:rsidR="00D24E61" w:rsidRPr="00771368" w:rsidRDefault="00D24E61" w:rsidP="00D24E61">
      <w:pPr>
        <w:pStyle w:val="NORMAL2"/>
        <w:ind w:firstLine="0"/>
        <w:rPr>
          <w:rFonts w:ascii="Times New Roman" w:hAnsi="Times New Roman" w:cs="Times New Roman"/>
          <w:lang w:val="en-US"/>
        </w:rPr>
      </w:pPr>
      <w:r w:rsidRPr="00771368">
        <w:rPr>
          <w:rStyle w:val="hps"/>
          <w:rFonts w:ascii="Times New Roman" w:hAnsi="Times New Roman" w:cs="Times New Roman"/>
          <w:i/>
          <w:lang w:val="en-US"/>
        </w:rPr>
        <w:t>Keywords</w:t>
      </w:r>
      <w:r w:rsidRPr="00771368">
        <w:rPr>
          <w:rFonts w:ascii="Times New Roman" w:hAnsi="Times New Roman" w:cs="Times New Roman"/>
          <w:i/>
          <w:lang w:val="en-US"/>
        </w:rPr>
        <w:t xml:space="preserve">: Gender, </w:t>
      </w:r>
      <w:r w:rsidRPr="00771368">
        <w:rPr>
          <w:rStyle w:val="hps"/>
          <w:rFonts w:ascii="Times New Roman" w:hAnsi="Times New Roman" w:cs="Times New Roman"/>
          <w:i/>
          <w:lang w:val="en-US"/>
        </w:rPr>
        <w:t>Mastership,</w:t>
      </w:r>
      <w:r w:rsidRPr="00771368">
        <w:rPr>
          <w:rFonts w:ascii="Times New Roman" w:hAnsi="Times New Roman" w:cs="Times New Roman"/>
          <w:i/>
          <w:lang w:val="en-US"/>
        </w:rPr>
        <w:t xml:space="preserve"> Post</w:t>
      </w:r>
      <w:r w:rsidRPr="00771368">
        <w:rPr>
          <w:rStyle w:val="atn"/>
          <w:rFonts w:ascii="Times New Roman" w:hAnsi="Times New Roman" w:cs="Times New Roman"/>
          <w:i/>
          <w:lang w:val="en-US"/>
        </w:rPr>
        <w:t>-</w:t>
      </w:r>
      <w:r w:rsidRPr="00771368">
        <w:rPr>
          <w:rFonts w:ascii="Times New Roman" w:hAnsi="Times New Roman" w:cs="Times New Roman"/>
          <w:i/>
          <w:lang w:val="en-US"/>
        </w:rPr>
        <w:t>structuralism.</w:t>
      </w:r>
      <w:r w:rsidRPr="00771368">
        <w:rPr>
          <w:rFonts w:ascii="Times New Roman" w:hAnsi="Times New Roman" w:cs="Times New Roman"/>
          <w:lang w:val="en-US"/>
        </w:rPr>
        <w:tab/>
      </w:r>
    </w:p>
    <w:p w:rsidR="00D24E61" w:rsidRPr="00771368" w:rsidRDefault="00D24E61" w:rsidP="00D24E61">
      <w:pPr>
        <w:pStyle w:val="NORMAL2"/>
        <w:ind w:firstLine="0"/>
        <w:rPr>
          <w:rFonts w:ascii="Times New Roman" w:hAnsi="Times New Roman" w:cs="Times New Roman"/>
          <w:lang w:val="en-US"/>
        </w:rPr>
      </w:pPr>
      <w:r w:rsidRPr="00771368">
        <w:rPr>
          <w:rFonts w:ascii="Times New Roman" w:hAnsi="Times New Roman" w:cs="Times New Roman"/>
          <w:lang w:val="en-US"/>
        </w:rPr>
        <w:tab/>
      </w:r>
    </w:p>
    <w:p w:rsidR="00D24E61" w:rsidRPr="00771368" w:rsidRDefault="00D24E61" w:rsidP="00D24E61">
      <w:pPr>
        <w:pStyle w:val="NORMAL2"/>
        <w:ind w:firstLine="0"/>
        <w:rPr>
          <w:rFonts w:ascii="Times New Roman" w:hAnsi="Times New Roman" w:cs="Times New Roman"/>
          <w:lang w:val="en-US"/>
        </w:rPr>
      </w:pPr>
      <w:r w:rsidRPr="00771368">
        <w:rPr>
          <w:rFonts w:ascii="Times New Roman" w:hAnsi="Times New Roman" w:cs="Times New Roman"/>
          <w:lang w:val="en-US"/>
        </w:rPr>
        <w:tab/>
      </w:r>
    </w:p>
    <w:p w:rsidR="00D24E61" w:rsidRPr="00771368" w:rsidRDefault="00D24E61" w:rsidP="00D24E61">
      <w:pPr>
        <w:pStyle w:val="Ttulo"/>
        <w:spacing w:line="240" w:lineRule="auto"/>
        <w:rPr>
          <w:rFonts w:ascii="Times New Roman" w:hAnsi="Times New Roman"/>
        </w:rPr>
      </w:pPr>
      <w:bookmarkStart w:id="10" w:name="_Toc343420974"/>
      <w:r w:rsidRPr="00771368">
        <w:rPr>
          <w:rFonts w:ascii="Times New Roman" w:hAnsi="Times New Roman"/>
        </w:rPr>
        <w:t>INTRODUÇÃO</w:t>
      </w:r>
      <w:bookmarkEnd w:id="10"/>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Em meados do século XXI ainda nos deparamos com questões culturais que habitam e transformam a realidade em que estamos inseridos. Questões ligadas ao estudo de Gênero no contexto escolar que se manifestam de forma oculta nos mais variados tipos de discursos e que ainda tendem a gerar segregação e conceitos equivocados em diferentes tipos de interpretações. O estudo de Gênero continua em pauta nos debates de temáticas atuais, apesar de ser pesquisado há algumas décadas.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Sabemos de antemão que no princípio da educação brasileira os homens ocupavam em grande maioria os espaços de salas de aula enquanto professores. Fez-se necessário compreender o processo de feminização do magistério, desde o princípio até os dias atuais, as representações do novo profissional da educação e a busca de subsídios no movimento pós-estruturalista.</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Busquei através da coleta de dados, analisar e compreender os dados subjetivos dos sujeitos referentes à temática que me propus investigar. Como os professores percebiam a participação do gênero masculino e feminino no Ensino Fundamental enquanto professor das diversas áreas do conhecimento? Considerando as estatísticas atuais que apontam números restritos de professores homens atuando na Educação Básica, principalmente na Educação Infantil e Ensino Fundamental, quais os fatores estão contribuindo para o afastamento da figura masculina deste espaço? Qual o sentimento, enquanto professor, em relação ao abandono dos sujeitos masculinos das salas de aula? É importante termos professores do gênero masculino atuando nas séries iniciais do Ensino Fundamental?</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A pesquisa realizada foi de abordagem qualitativa, com procedimento de pesquisa explicativa, utilizei a técnica de questionário aberto (semiestruturado) como instrumento de investigação, apresentado por escrito aos sujeitos, composto por quatro questões. Foram selecionados três (3) professores da rede privada, oito (8) professores da rede municipal e estadual para responder o questionário. Pontuo que vários destes professores atuam em duas redes de ensino simultaneamente.</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r w:rsidRPr="00771368">
        <w:rPr>
          <w:rFonts w:ascii="Times New Roman" w:hAnsi="Times New Roman" w:cs="Times New Roman"/>
        </w:rPr>
        <w:tab/>
      </w:r>
    </w:p>
    <w:p w:rsidR="00D24E61" w:rsidRPr="00771368" w:rsidRDefault="00D24E61" w:rsidP="00D24E61">
      <w:pPr>
        <w:pStyle w:val="Ttulo"/>
        <w:spacing w:line="240" w:lineRule="auto"/>
        <w:rPr>
          <w:rFonts w:ascii="Times New Roman" w:hAnsi="Times New Roman"/>
        </w:rPr>
      </w:pPr>
      <w:r w:rsidRPr="00771368">
        <w:rPr>
          <w:rFonts w:ascii="Times New Roman" w:hAnsi="Times New Roman"/>
        </w:rPr>
        <w:t>1</w:t>
      </w:r>
      <w:r w:rsidR="00F11AE6">
        <w:rPr>
          <w:rFonts w:ascii="Times New Roman" w:hAnsi="Times New Roman"/>
        </w:rPr>
        <w:t>.</w:t>
      </w:r>
      <w:r w:rsidRPr="00771368">
        <w:rPr>
          <w:rFonts w:ascii="Times New Roman" w:hAnsi="Times New Roman"/>
        </w:rPr>
        <w:t xml:space="preserve"> O termo “Gênero” e a construção social</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Primeiramente, abordo neste tópico, uma tentativa de definição do termo “Gênero” e sua historicidade. Durante o percurso da caminhada acadêmica, muitas questões me inquietaram, a que com mais veemência chamou minha atenção, como pode ter tão poucos professores de currículo do gênero masculino atuando no Ensino Fundamental? O que aconteceu ao longo da história da Educação e que contribuiu para o afastamento da figura masculina da sala de aula? Também a falta de compreensão do termo gênero contribuiu para que eu me aproximasse ainda mais desta temática.</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 xml:space="preserve">Gênero é uma terminologia nova, usada a partir da segunda metade do século passado. Conforme Scott (1995), “o termo gênero faz parte da tentativa empreendida pelas feministas contemporâneas para reivindicar um certo terreno de definição, para sublinhar a incapacidade das teorias existentes para explicar as persistentes desigualdades entre as mulheres e homens” (p. 85). Mais precisamente na década de 70 do século XX. Anteriormente a este período, muitas das teorias sociais não conseguiram designar e produzir um termo que conseguisse traduzir as diferenças e conflitos entre gênero masculino e gênero feminino. </w:t>
      </w:r>
      <w:r w:rsidRPr="00771368">
        <w:rPr>
          <w:rFonts w:ascii="Times New Roman" w:hAnsi="Times New Roman" w:cs="Times New Roman"/>
          <w:lang w:eastAsia="en-US"/>
        </w:rPr>
        <w:t xml:space="preserve">As mulheres, principalmente do velho continente e estadunidense, buscam e propõem novos estudos etimológicos do termo gênero. Louro (1997), diz que </w:t>
      </w:r>
      <w:r w:rsidRPr="00771368">
        <w:rPr>
          <w:rFonts w:ascii="Times New Roman" w:hAnsi="Times New Roman" w:cs="Times New Roman"/>
        </w:rPr>
        <w:t xml:space="preserve">“é através das feministas anglo-saxãs que </w:t>
      </w:r>
      <w:r w:rsidRPr="00771368">
        <w:rPr>
          <w:rFonts w:ascii="Times New Roman" w:hAnsi="Times New Roman" w:cs="Times New Roman"/>
          <w:u w:val="single"/>
        </w:rPr>
        <w:t>Gender</w:t>
      </w:r>
      <w:r w:rsidRPr="00771368">
        <w:rPr>
          <w:rFonts w:ascii="Times New Roman" w:hAnsi="Times New Roman" w:cs="Times New Roman"/>
        </w:rPr>
        <w:t xml:space="preserve"> passa a ser usado como distinto de sex” (p.15). A palavra sexo que até então era usado para definir o substantivo masculino e feminino é substituído por gênero. Lembrando que Gender é uma versão de gênero na língua inglesa.</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r>
      <w:r w:rsidRPr="00771368">
        <w:rPr>
          <w:rFonts w:ascii="Times New Roman" w:hAnsi="Times New Roman" w:cs="Times New Roman"/>
          <w:lang w:eastAsia="en-US"/>
        </w:rPr>
        <w:t xml:space="preserve">Gênero foi utilizado durante muito tempo para designar os diferentes tipos de seres vivos, era mais uma nomenclatura utilizada para selecionar os grupos da Ciência. Com o advento da modernidade </w:t>
      </w:r>
      <w:r w:rsidRPr="00771368">
        <w:rPr>
          <w:rFonts w:ascii="Times New Roman" w:hAnsi="Times New Roman" w:cs="Times New Roman"/>
        </w:rPr>
        <w:t>“surge o conceito de gênero, referindo-se à construção social e histórica dos sexos, ou seja, buscando acentuar o caráter social das distinções baseadas no sexo” (LOURO, 1995, p.103). No entanto, faço referência neste estudo para gênero, não enquanto categoria biológica, mas sim como o resultado de um produto social.</w:t>
      </w:r>
    </w:p>
    <w:p w:rsidR="00D24E61" w:rsidRPr="00771368" w:rsidRDefault="00F11AE6" w:rsidP="00F11AE6">
      <w:pPr>
        <w:pStyle w:val="NORMAL2"/>
        <w:ind w:firstLine="0"/>
        <w:rPr>
          <w:rFonts w:ascii="Times New Roman" w:hAnsi="Times New Roman" w:cs="Times New Roman"/>
          <w:lang w:eastAsia="en-US"/>
        </w:rPr>
      </w:pPr>
      <w:r>
        <w:rPr>
          <w:rFonts w:ascii="Times New Roman" w:hAnsi="Times New Roman" w:cs="Times New Roman"/>
          <w:lang w:eastAsia="en-US"/>
        </w:rPr>
        <w:tab/>
      </w:r>
      <w:r w:rsidR="00D24E61" w:rsidRPr="00771368">
        <w:rPr>
          <w:rFonts w:ascii="Times New Roman" w:hAnsi="Times New Roman" w:cs="Times New Roman"/>
          <w:lang w:eastAsia="en-US"/>
        </w:rPr>
        <w:t xml:space="preserve">O significado da palavra gênero (na versão cientificista) seria o nome dos seres agrupados pelo sexo, isto é, todos os indivíduos (animais e vegetais) que exibem ou mostram qualidades semelhantes. </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lang w:eastAsia="en-US"/>
        </w:rPr>
        <w:tab/>
      </w:r>
      <w:r w:rsidRPr="00771368">
        <w:rPr>
          <w:rFonts w:ascii="Times New Roman" w:hAnsi="Times New Roman" w:cs="Times New Roman"/>
        </w:rPr>
        <w:t>Em meados do século XXI, o tema gênero é pesquisado, servindo de reflexões para especialistas e estudiosos em Educação, pois se trata de uma questão não tão contemporânea; posso afirmar que gênero é como um vulcão em erupção, o seu centro está cheio de lavas efervescentes que estão em constante movimento (se formando, construindo e desconstruindo), mesmo que sua aparência esteja em estado de dormência. É sim um tema polêmico e capaz de provocar questionamentos, produtor de novas concepções.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Atualmente falar da atuação de sujeitos masculinos nos espaços escolares nos remete imediatamente a questões de gênero. Por isso, torna-se importantíssimo compreender esta terminologia. “O termo ‘gênero’ torna-se uma forma de indicar ‘construções culturais’ a criação inteiramente social de idéias sobre os papéis adequados aos homens e as mulheres” (SCOTT, 1995, p.75). O conceito nos remete a pensar sobre os fatores que constituem/iram as concepções de gênero, isto é, compreensões construídas historicamente, socialmente e culturalmente.</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lang w:eastAsia="en-US"/>
        </w:rPr>
      </w:pPr>
      <w:r w:rsidRPr="00771368">
        <w:rPr>
          <w:rFonts w:ascii="Times New Roman" w:hAnsi="Times New Roman" w:cs="Times New Roman"/>
        </w:rPr>
        <w:t xml:space="preserve">Ouvi muitas vezes de cidadãos, afirmações e exclamações de rotulação (qualificação simplista) e descriminação sobre os gêneros. - Ah, isto é coisa de mulher! - Isto é coisa pra homem fazer! Estas paráfrases denotam o prelúdio de um discurso rotineiro que habita grande parte dos grupos sociais. Esta </w:t>
      </w:r>
      <w:r w:rsidRPr="00771368">
        <w:rPr>
          <w:rFonts w:ascii="Times New Roman" w:hAnsi="Times New Roman" w:cs="Times New Roman"/>
          <w:lang w:eastAsia="en-US"/>
        </w:rPr>
        <w:t>relação de subjugação (</w:t>
      </w:r>
      <w:r w:rsidRPr="00771368">
        <w:rPr>
          <w:rFonts w:ascii="Times New Roman" w:hAnsi="Times New Roman" w:cs="Times New Roman"/>
          <w:color w:val="000000"/>
          <w:szCs w:val="24"/>
        </w:rPr>
        <w:t>ter sob domínio)</w:t>
      </w:r>
      <w:r w:rsidRPr="00771368">
        <w:rPr>
          <w:rFonts w:ascii="Times New Roman" w:hAnsi="Times New Roman" w:cs="Times New Roman"/>
          <w:lang w:eastAsia="en-US"/>
        </w:rPr>
        <w:t xml:space="preserve"> discursiva entre os gêneros masculino e feminino é o que infere no reconhecimento de suas personalidades.</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F11AE6" w:rsidRDefault="00D24E61" w:rsidP="00D24E61">
      <w:pPr>
        <w:pStyle w:val="citao0"/>
        <w:rPr>
          <w:rFonts w:ascii="Times New Roman" w:hAnsi="Times New Roman"/>
          <w:i/>
        </w:rPr>
      </w:pPr>
      <w:r w:rsidRPr="00F11AE6">
        <w:rPr>
          <w:rFonts w:ascii="Times New Roman" w:hAnsi="Times New Roman"/>
          <w:i/>
        </w:rPr>
        <w:t>Ser do gênero feminino ou do gênero masculino leva a perceber o mundo diferentemente, a estar no mundo de modos diferentes – e, em tudo isso, há diferenças quanto à distribuição de poder, o que vai significar que o gênero está implicado na concepção e na construção do poder (LOURO, 2005, p.106).</w:t>
      </w:r>
    </w:p>
    <w:p w:rsidR="00D24E61" w:rsidRPr="00F11AE6" w:rsidRDefault="00D24E61" w:rsidP="00D24E61">
      <w:pPr>
        <w:pStyle w:val="NORMAL2"/>
        <w:ind w:firstLine="0"/>
        <w:rPr>
          <w:rFonts w:ascii="Times New Roman" w:hAnsi="Times New Roman" w:cs="Times New Roman"/>
          <w:i/>
          <w:lang w:eastAsia="en-US"/>
        </w:rPr>
      </w:pPr>
      <w:r w:rsidRPr="00F11AE6">
        <w:rPr>
          <w:rFonts w:ascii="Times New Roman" w:hAnsi="Times New Roman" w:cs="Times New Roman"/>
          <w:i/>
          <w:lang w:eastAsia="en-US"/>
        </w:rPr>
        <w:tab/>
      </w:r>
    </w:p>
    <w:p w:rsidR="00D24E61" w:rsidRPr="00771368" w:rsidRDefault="00D24E61" w:rsidP="00D24E61">
      <w:pPr>
        <w:pStyle w:val="NORMAL2"/>
        <w:ind w:firstLine="708"/>
        <w:rPr>
          <w:rFonts w:ascii="Times New Roman" w:hAnsi="Times New Roman" w:cs="Times New Roman"/>
          <w:lang w:eastAsia="en-US"/>
        </w:rPr>
      </w:pPr>
      <w:r w:rsidRPr="00771368">
        <w:rPr>
          <w:rFonts w:ascii="Times New Roman" w:hAnsi="Times New Roman" w:cs="Times New Roman"/>
          <w:lang w:eastAsia="en-US"/>
        </w:rPr>
        <w:t>A autora enfatiza que a questão da construção do poder perpassa na percepção dos gêneros (feminino e masculino) a partir da discussão sobre as variáveis que o levam a conhecer a realidade do espaço em que habitam. “Poder” que pode aqui ser especificado como a dominação de um gênero sobre outro.</w:t>
      </w:r>
    </w:p>
    <w:p w:rsidR="00D24E61" w:rsidRPr="00771368" w:rsidRDefault="00D24E61" w:rsidP="00F11AE6">
      <w:pPr>
        <w:pStyle w:val="NORMAL2"/>
        <w:ind w:firstLine="0"/>
        <w:rPr>
          <w:rFonts w:ascii="Times New Roman" w:hAnsi="Times New Roman" w:cs="Times New Roman"/>
          <w:szCs w:val="24"/>
        </w:rPr>
      </w:pPr>
      <w:r w:rsidRPr="00771368">
        <w:rPr>
          <w:rFonts w:ascii="Times New Roman" w:hAnsi="Times New Roman" w:cs="Times New Roman"/>
          <w:lang w:eastAsia="en-US"/>
        </w:rPr>
        <w:tab/>
      </w:r>
      <w:r w:rsidRPr="00771368">
        <w:rPr>
          <w:rFonts w:ascii="Times New Roman" w:hAnsi="Times New Roman" w:cs="Times New Roman"/>
        </w:rPr>
        <w:t xml:space="preserve">Na sociedade brasileira existem alguns grupos e qualidades que se sobressaem em relação aos outros. Louro (1997), afirma que “devido à hegemonia branca, masculina, heterossexual e cristã, têm sido nomeados e nomeadas como diferentes aqueles e aquelas que não compartilham desses atributos” (p.49). Embora estejamos no século XXI, com forte inserção de campanhas e publicidade para terminar com a descriminação e exclusão de pessoas, ainda existem grupos conservadores que tentam cultivar algumas características hegemônicas de diferenças. Cito o exemplo da questão da </w:t>
      </w:r>
      <w:r w:rsidRPr="00771368">
        <w:rPr>
          <w:rFonts w:ascii="Times New Roman" w:hAnsi="Times New Roman" w:cs="Times New Roman"/>
          <w:szCs w:val="24"/>
        </w:rPr>
        <w:t>orientação sexual (principalmente a cultura gaúcha), onde o sujeito que não se comporta com as características de forte e valentão, pode vir a ser considerado um “fracote”, gay e outros.</w:t>
      </w:r>
    </w:p>
    <w:p w:rsidR="00D24E61" w:rsidRPr="00771368" w:rsidRDefault="00D24E61" w:rsidP="00F11AE6">
      <w:pPr>
        <w:pStyle w:val="NORMAL2"/>
        <w:ind w:firstLine="0"/>
        <w:rPr>
          <w:rFonts w:ascii="Times New Roman" w:hAnsi="Times New Roman" w:cs="Times New Roman"/>
          <w:lang w:eastAsia="en-US"/>
        </w:rPr>
      </w:pPr>
      <w:r w:rsidRPr="00771368">
        <w:rPr>
          <w:rFonts w:ascii="Times New Roman" w:hAnsi="Times New Roman" w:cs="Times New Roman"/>
        </w:rPr>
        <w:tab/>
      </w:r>
      <w:r w:rsidRPr="00771368">
        <w:rPr>
          <w:rFonts w:ascii="Times New Roman" w:hAnsi="Times New Roman" w:cs="Times New Roman"/>
          <w:lang w:eastAsia="en-US"/>
        </w:rPr>
        <w:t>A sociedade brasileira desde os princípios de sua colonização tem organizado os papéis de descriminação, de exclusão dos indivíduos que tentam não obedecer aos ideais machistas e dominantes. Os homens pensam serem os detentores do poder nas relações sociais e pessoais. Percebi está questão, nos diálogos entre os homens em que convivo diariamente em relação ao curso de Pedagogia. –Isto é coisa de mulher! Outro ponto é a questão da escolha da profissão, as pessoas que se aproximam de mim indagam constantemente: - O que te levou a fazer Pedagogia! Como se dissessem que ser pedagogo é estar fadado a miséria econômica e de status social. Os discursos se tornam tentadores e em muitas situações humilhantes.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lang w:eastAsia="en-US"/>
        </w:rPr>
        <w:tab/>
      </w:r>
      <w:r w:rsidRPr="00771368">
        <w:rPr>
          <w:rFonts w:ascii="Times New Roman" w:hAnsi="Times New Roman" w:cs="Times New Roman"/>
        </w:rPr>
        <w:t>Durante a elaboração deste estudo, deparei com um assunto até então inédito, por isso tem se tornado um pouco confuso e em alguns momentos complexo. Encontrei em Pereira (2004) certo conforto: “na complexidade dessas abordagens de gênero, o que importa é o espaço em aberto para elaborarmos e reelaborarmos nossos papéis, posições, atribuições sociais onde expressamos que assumimos, rejeitamos, reinterpretamos, reinventamos nossas relações” (p.196). A autora traz uma ideia pertinente, o mais importante é buscar compreensão e esclarecimento das nossas dúvidas, que às vezes são traidoras e nos levam ao lado obscuro dos sentimentos e ideias.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Encontrar os sujeitos masculinos para o desenvolvimento do estudo não foi uma tarefa fácil, este professores circulam de uma escola pra outra, às vezes chegam a atuar nas três esferas: privada, pública municipal e estadual. A busca árdua em escolas da rede pública, estaduais e municipais tornou-se uma tarefa desafiadora em determinados momentos. Colling (2004), descreve que “situar o sujeito é reconhecer como este foi construído e, a partir daí, sugerir noções alternativas de subjetividade” (p. 14). Precisa-se conhecer o ambiente onde atuam estes professores, o que fazem e o que sentem; mais do que sentir é permiti-los falar do que pensam sobre suas atuações nestes espaços escolares.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A busca por sujeitos masculinos que atuam no espaço escolar do Ensino Fundamental tem o objetivo de buscar a compreensão de alguns fenômenos dados e que parece não ter muita significância. “O modo mais eficiente para desconstruir algo que parece evidente, sempre dado, imutável, é demonstrar como esse algo se produziu, como foi construído” (COLLING, 2004, p.14). Com esta pesquisa pretendi ir além de conceitos já construídos, buscar a historicidades dos fatos, como germinaram, como atuaram e que/como continuam se desenvolvendo.</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Ttulo"/>
        <w:spacing w:line="240" w:lineRule="auto"/>
        <w:rPr>
          <w:rFonts w:ascii="Times New Roman" w:hAnsi="Times New Roman"/>
        </w:rPr>
      </w:pPr>
      <w:bookmarkStart w:id="11" w:name="_Toc343420978"/>
      <w:r w:rsidRPr="00771368">
        <w:rPr>
          <w:rFonts w:ascii="Times New Roman" w:hAnsi="Times New Roman"/>
        </w:rPr>
        <w:t>2</w:t>
      </w:r>
      <w:r w:rsidR="00F11AE6">
        <w:rPr>
          <w:rFonts w:ascii="Times New Roman" w:hAnsi="Times New Roman"/>
        </w:rPr>
        <w:t>.</w:t>
      </w:r>
      <w:r w:rsidRPr="00771368">
        <w:rPr>
          <w:rFonts w:ascii="Times New Roman" w:hAnsi="Times New Roman"/>
        </w:rPr>
        <w:t xml:space="preserve"> Feminização do magistério: o princípio</w:t>
      </w:r>
      <w:bookmarkEnd w:id="11"/>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Desde o período da era Antiga as instituições de ensino vêm sofrendo mudanças em vários segmentos que abrangem seu campo de atuação. O descobrimento do Brasil em 1500 impactou as ordens religiosas que estavam em conflito na Europa. Os Jesuítas foram os primeiros mestres/professores a chegarem ao espaço brasileiro e permaneceram entre 1549 e 1759; até sua expulsão do país.   “O mestre que inaugura a instituição escolar moderna é sempre um homem; na verdade é um religioso” (LOURO, 1997, p. 92). Estes homens religiosos tinham o objetivo de expandir o sistema da igreja (os descendentes e adeptos destes religiosos continuam em pleno século XXI expandindo, acumulando grandes fortunas e explorando a população ingênua) e conquistar assim novos fiéis nos países colonizados.</w:t>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Com a vinda de sujeitos masculinos em grande escala para o Brasil e que abrangiam uma enorme diversidade de profissões (artistas, músicos, escultores e outros), entre estes estavam os primeiros professores. Então, conforme Louro (1997), descreve que no “Brasil a instituição escolar é, primeiramente, masculina e religiosa” (p. 94). Este fator começa por delinear o que seria o espaço educacional por longos séculos.</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F11AE6" w:rsidRDefault="00D24E61" w:rsidP="00D24E61">
      <w:pPr>
        <w:pStyle w:val="citao0"/>
        <w:rPr>
          <w:rFonts w:ascii="Times New Roman" w:hAnsi="Times New Roman"/>
          <w:i/>
        </w:rPr>
      </w:pPr>
      <w:r w:rsidRPr="00F11AE6">
        <w:rPr>
          <w:rFonts w:ascii="Times New Roman" w:hAnsi="Times New Roman"/>
          <w:i/>
        </w:rPr>
        <w:t>Sejam eles pastores, padres ou irmãos, esses religiosos acabam por constituir uma das primeiras e fundamentais representações do magistério. Modelos de virtudes, disciplinados, disciplinadores, guias espirituais, conhecedoras das matérias e técnicas de ensino, esses primeiros mestres devem viver a docência como um sacerdócio, como uma missão que exige doação. Afeição e autoridade, bom senso firmeza e bondade, piedade e saber profissional são algumas das qualidades que lhes são exigidas. Seu papel de educador combina o exercício de uma “paternidade, uma magistratura, um apostolado e uma luta” (LOURO, 1997, p. 93).</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Estes professores jesuítas eram homens que dominavam muitas áreas do conhecimento, eram imbuídos de realizar diversas funções onde atuavam (as mulheres assumiram essas diversas funções sem muitas dificuldades, pois os discursos se ajeitaram e acomodaram tranquilamente). Não era apenas uma profissão, eram considerados vocacionados para o cargo que exerciam e ideologizados pelas intenções da Igreja e principalmente do Estado.</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Com o passar do tempo, o Brasil foi se desenvolvendo e “os discursos que se constituem pela construção da ordem e do progresso, pela modernização da sociedade, pela higienização da família e pela formação dos jovens cidadãos implicam a educação das mulheres- das mães” (LOURO, 1997, p. 96). Estas mães começaram a ter a oportunidade de sair do enclausuramento em que se encontravam em seus lares; pois até então eram tidas como domésticas e reprodutoras.</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Os homens professores começavam a abandonar as salas de aula para ir trabalhar em outros espaços, faltavam professores qualificados para substituir os que saíam e a educação começa a perder/regredir em qualidade (isto na perspectiva dos pensadores em educação naquele determinado momento). Louro (2000) retrata que “o abandono da educação nas províncias brasileiras, denunciado desde o início do Império, vinculava-se na opinião de muitos, à falta de mestres e mestras com boa formação. Reclamavam, então, por escolas de preparação de professores e professoras” (p. 448). Esta carência por escolas que formavam professores começa a se expandir pelo país, sendo que estas se localizavam nas capitais e cidades maiores.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Com a chegada massiva de novos imigrantes advindos do velho continente, as cidades e vilas se desenvolvem rapidamente ao século XIX. E esta nova população que esta se estabelecendo precisa de educação, a reclamatória por novas escolas e professores se desenvolve e dissemina rapidamente. “Em meados do século XIX, algumas medidas foram tomadas em resposta a tais reclamos e, em algumas cidades do país, logo começaram a ser criadas as primeiras escolas normais para formação de docentes” (LOURO, 2000, p. 448). A atitude de construir escolas formadoras de professores contribui de maneira significativa no desenvolvimento da educação brasileira, pois não precisaria sair do país pra estudar.</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Com o intuito de atender as reclamatórias e as demandas sociais as “tais instituições foram abertas para ambos os sexos, embora o regulamento estabelecesse que moças e rapazes devessem estudar em classes separadas, preferentemente em turnos, ou até escolas diferentes” (LOURO, 2000, p. 449). Podemos perceber que questões de gênero se construíram e já ficaram explícitas logo que as primeiras instituições de ensino foram fundadas, uma herança da colonização lusitana.</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Para a surpresa dos tradicionais e conservadores do espaço escolar, o aumento de inscrição das mulheres começava a superar a dos homens, tão logo as novas escolas formadoras começaram a funcionar. “Em 1784, por exemplo, relata o diretor geral da instrução que a Escola Normal da província do Rio Grande do Sul vinha registrando “um número crescente de alunas, a par da diminuição de alunos”” (LOURO, 2000, p. 449). O novo público feminino que começava a predominar no magistério logo deu sinais de adaptação a este espaço educacional; por isto continuou aumentando.</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F11AE6" w:rsidRDefault="00D24E61" w:rsidP="00D24E61">
      <w:pPr>
        <w:pStyle w:val="citao0"/>
        <w:rPr>
          <w:rFonts w:ascii="Times New Roman" w:hAnsi="Times New Roman"/>
          <w:i/>
        </w:rPr>
      </w:pPr>
      <w:r w:rsidRPr="00F11AE6">
        <w:rPr>
          <w:rFonts w:ascii="Times New Roman" w:hAnsi="Times New Roman"/>
          <w:i/>
        </w:rPr>
        <w:t>Em algumas regiões de forma mais marcante, noutra menos, os homens estavam abandonando as salas de aula. Esse movimento daria origem a uma “feminização do magistério” -também observado em outros países- fato provavelmente vinculado ao processo de urbanização e industrialização que ampliava as oportunidades de trabalho para os homens (LOURO, 2000, p. 449).</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Setores como a cafeicultura e a criação de gado não davam conta de empregar a população que crescia rapidamente. O consumo de bens e serviços avançava, obrigando a abertura de novas fábricas e postos de trabalhos. Todos estes fatores citados foram contribuindo para que o homem se afastasse das salas de aula lentamente.</w:t>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Fiquei surpreso ao começar as leituras sobre esta nova figura do professor. A primeira imagem é cruel, “é possível compreender que a moça que se considerava feia e retraída percebia-se, de algum modo, como que chamada para o magistério” (LOURO, 2000, p.465). Que frase forte, como se estas mulheres não tivessem lugar na sociedade e a partir de agora seriam um “quebra galho”; e ainda com a enorme responsabilidade do nobre ato de educar.</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F11AE6" w:rsidRDefault="00D24E61" w:rsidP="00D24E61">
      <w:pPr>
        <w:pStyle w:val="citao0"/>
        <w:rPr>
          <w:rFonts w:ascii="Times New Roman" w:hAnsi="Times New Roman"/>
          <w:i/>
        </w:rPr>
      </w:pPr>
      <w:r w:rsidRPr="00F11AE6">
        <w:rPr>
          <w:rFonts w:ascii="Times New Roman" w:hAnsi="Times New Roman"/>
          <w:i/>
        </w:rPr>
        <w:t>As fotografias antigas também permitem reencontrar essas figuras austeras, elas com vestidos abotoados até o pescoço, cabelos presos e... óculos... Essa “secura”, produzida e demonstrada pela aparência física e pelo controle dos gestos, poderia esconder (e os contos e crônicas exploraram muitas vezes esse tema) um “enorme coração”, uma “infinita bondade” (LOURO, 1997, p.105).</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Assim se constituía as primeiras imagens da representação do novo profissional da educação. Feia por fora e bela por dentro, deveriam se parecer com os antigos mestres homens.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Observa-se que os menos favorecidos pelos adjetivos idealizados da sociedade não tivessem capacidade de se tornar um profissional no mercado de trabalho (que exigissem uma melhor qualificação); isto refletiu na profissão docente.</w:t>
      </w:r>
    </w:p>
    <w:p w:rsidR="00D24E61" w:rsidRPr="00771368" w:rsidRDefault="00D24E61" w:rsidP="00D24E61">
      <w:pPr>
        <w:rPr>
          <w:kern w:val="24"/>
        </w:rPr>
      </w:pPr>
      <w:r w:rsidRPr="00771368">
        <w:rPr>
          <w:kern w:val="24"/>
        </w:rPr>
        <w:tab/>
      </w:r>
    </w:p>
    <w:p w:rsidR="00D24E61" w:rsidRPr="00F11AE6" w:rsidRDefault="00D24E61" w:rsidP="00D24E61">
      <w:pPr>
        <w:pStyle w:val="citao0"/>
        <w:rPr>
          <w:rFonts w:ascii="Times New Roman" w:hAnsi="Times New Roman"/>
          <w:i/>
        </w:rPr>
      </w:pPr>
      <w:r w:rsidRPr="00F11AE6">
        <w:rPr>
          <w:rFonts w:ascii="Times New Roman" w:hAnsi="Times New Roman"/>
          <w:i/>
        </w:rPr>
        <w:t>Essa representação de professora solteirona é, então, muito adequada para fabricar e justificar a completa entrega das mulheres à atividade docente, serve para reforçar o caráter de doação e para desprofissionalizar a atividade.  A boa professora estaria muito pouco preocupada com seu salário, já que toda a sua energia seria colocada na formação de seus alunos e alunas. Esses constituiriam sua família; a escola seria o seu lar e, como se sabe, as tarefas do lar são feitas gratuitamente, apenas por amor. De certa forma essa mulher deixa de viver sua própria vida e vive através de seus alunos e alunas; ela esquece de si (LOURO, 2000, p.466).</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Esta visão de trabalho caritativo, realizado de forma gratuita, sem muito investimento cria corpo e é aceita na sociedade brasileira, que ainda jovem e dependente de cópias de outros modelos sociais e civis. O que houve foi uma descaracterização da figura da mulher e dos profissionais da educação.</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A expectativa de fazer das mulheres uma substituta para ocupar o lugar dos homens na educação estava vinculado a um discurso de temporalidade. “As normalistas nem sempre seriam professoras, mas o curso era, de qualquer modo, valorizado. Isso fazia com que, para muitas, ele fosse percebido como um curso de espera marido” (LOURO, 2000, p.471). Mas algumas mulheres aproveitaram a oportunidade para lograrem êxito em vantagens pessoais, constituindo status a partir da profissão docente.</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Um fato que tenho que considerar e que é algo um tanto meio que estranho, é a questão de buscarem refúgio nas mulheres que não tinham vínculo com família. “As mulheres que vão se dedicar ao magistério serão, a princípio, principalmente as solteiras, as órfãs e as viúvas. Nos primeiros tempos, quem vai, efetivamente, exercer a profissão são as mulheres “sós”” (LOURO, 1997, p.105). Mas por que as mulheres sós? Seria o fato de tornar produtivas para a sociedade as mulheres consideradas ociosas para com deveres domésticos?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Para que o magistério se feminizasse fez-se necessário “tomar de empréstimo atributos que são tradicionalmente associadas as mulheres, como o amor, a sensibilidade, o cuidado, etc. Para que possa ser reconhecido como uma profissão admissível ou conveniente” (LOURO, 1997, p.97). Alguns dos professores que responderam o questionário desta pesquisa citam a importância do amor paternal (que lembra a proteção e o carinho de pai) no ato de educar.</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Com a conquista das mulheres no segmento escolar “as escolas de formação docente enchem-se de moças, e esses cursos passam a constituir seus currículos, normas e práticas de acordo com as concepções hegemônicas do feminino” (LOURO, 1997, p.97). A partir de então, se fez necessário organizar o espaço existente conforme as necessidades deste novo sujeito feminino, que ora foi considerado um “quebra galho”, ora foi tomado como substituto da atuação masculina.</w:t>
      </w:r>
    </w:p>
    <w:p w:rsidR="00D24E61" w:rsidRPr="00F11AE6" w:rsidRDefault="00D24E61" w:rsidP="00F11AE6">
      <w:pPr>
        <w:rPr>
          <w:sz w:val="24"/>
          <w:szCs w:val="24"/>
        </w:rPr>
      </w:pPr>
      <w:r w:rsidRPr="00771368">
        <w:tab/>
      </w:r>
      <w:r w:rsidRPr="00F11AE6">
        <w:rPr>
          <w:sz w:val="24"/>
          <w:szCs w:val="24"/>
        </w:rPr>
        <w:t>E assim com o passar do tempo, variando de uma região para outra, os homens foram abandonando as salas de aula. Esta ação “daria origem a uma “feminização do magistério” também observando em outros países, fato provavelmente vinculado ao processo de urbanização e industrialização que ampliava as oportunidades de trabalho para os homens” (LOURO, 2000, p.449). À luz da teoria compreendo que a Revolução Industrial do século XVIII foi um marco para uma nova era na Educação.</w:t>
      </w:r>
    </w:p>
    <w:p w:rsidR="00D24E61" w:rsidRPr="00771368" w:rsidRDefault="00D24E61" w:rsidP="00F11AE6">
      <w:pPr>
        <w:pStyle w:val="NORMAL2"/>
        <w:ind w:firstLine="0"/>
        <w:rPr>
          <w:rFonts w:ascii="Times New Roman" w:hAnsi="Times New Roman" w:cs="Times New Roman"/>
        </w:rPr>
      </w:pPr>
      <w:r w:rsidRPr="00F11AE6">
        <w:rPr>
          <w:rFonts w:ascii="Times New Roman" w:hAnsi="Times New Roman" w:cs="Times New Roman"/>
          <w:szCs w:val="24"/>
        </w:rPr>
        <w:tab/>
      </w:r>
      <w:r w:rsidRPr="00771368">
        <w:rPr>
          <w:rFonts w:ascii="Times New Roman" w:hAnsi="Times New Roman" w:cs="Times New Roman"/>
        </w:rPr>
        <w:t>O discurso sobre vocação auxiliou para “a saída dos homens das salas de aula - dedicados agora a outras ocupações, muitas vezes mais rendosas - e legitimava a entrada das mulheres nas escolas -ansiosas para ampliar seu universo-, restrito ao lar e a igreja” (LOURO, 2000, p.450). Compreendo que este processo de feminização do magistério contribuiu para que as mulheres saíssem da situação de enclausuramento em que se encontravam.</w:t>
      </w:r>
    </w:p>
    <w:p w:rsidR="00D24E61" w:rsidRPr="00771368" w:rsidRDefault="00F11AE6" w:rsidP="00F11AE6">
      <w:pPr>
        <w:pStyle w:val="NORMAL2"/>
        <w:ind w:firstLine="0"/>
        <w:rPr>
          <w:rFonts w:ascii="Times New Roman" w:hAnsi="Times New Roman" w:cs="Times New Roman"/>
        </w:rPr>
      </w:pPr>
      <w:r>
        <w:rPr>
          <w:rFonts w:ascii="Times New Roman" w:hAnsi="Times New Roman" w:cs="Times New Roman"/>
        </w:rPr>
        <w:tab/>
      </w:r>
      <w:r w:rsidR="00D24E61" w:rsidRPr="00771368">
        <w:rPr>
          <w:rFonts w:ascii="Times New Roman" w:hAnsi="Times New Roman" w:cs="Times New Roman"/>
        </w:rPr>
        <w:t>Nesta nova representação da mulher na sala de aula, a questão salarial começa a ser dialogada. “Não há dúvida que esse caráter provisório ou transitório do trabalho também acabaria contribuindo para que os seus salários se mantivessem baixos” (LOURO, 2000, p.453). Este fator parece ter sido determinante para que os discursos sobre remuneração se desenvolvesse.</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Com o homem trabalhando em setores industriais com longas jornadas de trabalho, coube às mulheres cuidar da educação e da família. “Dizia-se, ainda, que o magistério era próprio para mulheres porque era um trabalho de “um só turno”, o que permitia que elas atendessem suas “obrigações domésticas” no outro período” (LOURO, 2000, p.453). Os discursos sobre as mulheres na sala de aula firmaram a ideia disseminada pelos demais setores da sociedade e se apropriaram deste espaço sem muita resistência.</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O que era pra ser um processo transitório e provisório, de a mulher ocupar as salas de aula, acabaria criando corpo e tornando uma marca de mudança para o novo modelo educacional da educação.</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F11AE6" w:rsidRDefault="00D24E61" w:rsidP="00D24E61">
      <w:pPr>
        <w:pStyle w:val="citao0"/>
        <w:rPr>
          <w:rFonts w:ascii="Times New Roman" w:hAnsi="Times New Roman"/>
          <w:i/>
        </w:rPr>
      </w:pPr>
      <w:r w:rsidRPr="00F11AE6">
        <w:rPr>
          <w:rFonts w:ascii="Times New Roman" w:hAnsi="Times New Roman"/>
          <w:i/>
        </w:rPr>
        <w:t>As escolas normais se enchem de moças. A princípio são algumas, depois muitas; por fim os cursos normais tornam-se escolas de mulheres. Seus currículo, suas normas, os uniformes, o prédio, os corredores, os quadros, as mestras e mestres, tudo faz desse um espaço destinado a transformar meninas, mulheres em professoras (LOURO, 2000, p.454).</w:t>
      </w:r>
    </w:p>
    <w:p w:rsidR="00D24E61" w:rsidRPr="00771368" w:rsidRDefault="00D24E61" w:rsidP="00D24E61">
      <w:pPr>
        <w:pStyle w:val="NORMAL2"/>
        <w:ind w:firstLine="0"/>
        <w:rPr>
          <w:rFonts w:ascii="Times New Roman" w:hAnsi="Times New Roman" w:cs="Times New Roman"/>
        </w:rPr>
      </w:pPr>
      <w:r w:rsidRPr="00F11AE6">
        <w:rPr>
          <w:rFonts w:ascii="Times New Roman" w:hAnsi="Times New Roman" w:cs="Times New Roman"/>
          <w:i/>
        </w:rPr>
        <w:tab/>
      </w:r>
      <w:r w:rsidRPr="00771368">
        <w:rPr>
          <w:rFonts w:ascii="Times New Roman" w:hAnsi="Times New Roman" w:cs="Times New Roman"/>
        </w:rPr>
        <w:t>A sociedade recebeu muito bem as mulheres no âmbito escolar. “A concepção do magistério como uma extensão da maternidade, como um exercício de doação e amor, como uma atividade que exigia uma entrega vai constituí-la como a grande alternativa” (LOURO, 1997, p. 104). As questões referentes à afetividade, ternura e a própria natureza de reprodução foram dando sentido aos discursos, que rapidamente se propagou sem muita resistência; pois era a oportunidade das mulheres sair do espaço familiar e alcançar outras dimensões.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E assim as mulheres vão construindo uma nova figura e um novo rosto para o profissional da educação, combinando “elementos religiosos e “atributos” femininos, construindo o magistério como uma atividade que implica doação, dedicação, amor, vigilância” (LOURO, 1997, p.104). E esta ideologia sobrevive até os dias atuais, talvez alguns discursos mude na forma como é explicitado.</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b/>
        </w:rPr>
        <w:tab/>
      </w:r>
      <w:r w:rsidRPr="00771368">
        <w:rPr>
          <w:rFonts w:ascii="Times New Roman" w:hAnsi="Times New Roman" w:cs="Times New Roman"/>
          <w:b/>
        </w:rPr>
        <w:tab/>
      </w:r>
    </w:p>
    <w:p w:rsidR="00F11AE6" w:rsidRDefault="00F11AE6" w:rsidP="007B04EA">
      <w:bookmarkStart w:id="12" w:name="_Toc343420981"/>
    </w:p>
    <w:p w:rsidR="00F11AE6" w:rsidRDefault="00F11AE6" w:rsidP="007B04EA"/>
    <w:p w:rsidR="00F11AE6" w:rsidRDefault="00F11AE6" w:rsidP="007B04EA"/>
    <w:p w:rsidR="00D24E61" w:rsidRPr="00F11AE6" w:rsidRDefault="00F11AE6" w:rsidP="007B04EA">
      <w:pPr>
        <w:rPr>
          <w:b/>
          <w:sz w:val="24"/>
        </w:rPr>
      </w:pPr>
      <w:r>
        <w:rPr>
          <w:b/>
          <w:sz w:val="24"/>
        </w:rPr>
        <w:t>3.</w:t>
      </w:r>
      <w:r w:rsidRPr="00F11AE6">
        <w:rPr>
          <w:b/>
          <w:sz w:val="24"/>
        </w:rPr>
        <w:t>GÊNERO NO CONTEXTO ESCOLAR</w:t>
      </w:r>
      <w:bookmarkEnd w:id="12"/>
    </w:p>
    <w:p w:rsidR="00D24E61" w:rsidRPr="00771368" w:rsidRDefault="00F11AE6" w:rsidP="00F11AE6">
      <w:pPr>
        <w:pStyle w:val="NORMAL2"/>
        <w:ind w:firstLine="0"/>
        <w:rPr>
          <w:rFonts w:ascii="Times New Roman" w:hAnsi="Times New Roman" w:cs="Times New Roman"/>
        </w:rPr>
      </w:pPr>
      <w:r w:rsidRPr="00F11AE6">
        <w:rPr>
          <w:rFonts w:ascii="Times New Roman" w:hAnsi="Times New Roman" w:cs="Times New Roman"/>
          <w:b/>
          <w:sz w:val="28"/>
        </w:rPr>
        <w:tab/>
      </w:r>
      <w:r w:rsidR="00D24E61" w:rsidRPr="00771368">
        <w:rPr>
          <w:rFonts w:ascii="Times New Roman" w:hAnsi="Times New Roman" w:cs="Times New Roman"/>
        </w:rPr>
        <w:t xml:space="preserve">Analisando o contexto histórico das relações que perpassam o espaço escolar, estou conseguindo perceber que a temática Gênero está implícito nas ações de sua constituição. A busca para compreender o que ocorreu no espaço escolar, da feminização da Educação até ao fator contribuinte para o afastamento da presença masculina em sala de aula; além da subjetividade dos olhares destes sujeitos (que participaram da pesquisa) sobre a importância dos professores de currículo do gênero masculino na Educação Fundamental. Assim, a partir de algumas inquietações me propus pesquisar este tema neste espaço. Como a questão da atuação do gênero masculino é percebida no espaço escolar? Deste questionamento surgiu o tema </w:t>
      </w:r>
      <w:r w:rsidR="00D24E61" w:rsidRPr="00771368">
        <w:rPr>
          <w:rFonts w:ascii="Times New Roman" w:hAnsi="Times New Roman" w:cs="Times New Roman"/>
          <w:i/>
        </w:rPr>
        <w:t>Interlocuções sobre a presença do gênero masculino no espaço escolar.</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A pesquisa se desenvolveu no município de Três de Maio; região noroeste do estado do Rio Grande do Sul. Foi desenvolvida com professores que atuam no Ensin</w:t>
      </w:r>
      <w:r w:rsidRPr="00771368">
        <w:rPr>
          <w:rFonts w:ascii="Times New Roman" w:hAnsi="Times New Roman" w:cs="Times New Roman"/>
          <w:szCs w:val="24"/>
        </w:rPr>
        <w:t>o Fundamental de escolas privadas (particulares) e públicas da rede municipal e estadual. Totalizando a participação de sujeitos de duas escolas estaduais, duas particulares e duas municipais.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Com a escassez de professores do gênero masculino no espaço escolar do Ensino Fundamental não consegui definir os sujeitos por tempo de atuação, idade ou outros critérios de escolha. A grande maioria destes sujeitos circula entre estes espaços escolares, chegando a atuarem em até duas e três escolas das redes de ensino pesquisadas.</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Considerando as minhas intenções iniciais e os objetivos definidos, elaborei um questionário com questões semiestruturadas, acreditando que os sujeitos participantes pudessem ir além de respostas diretas. As perguntas foram produzidas com o intuito de recolher dados, as opiniões e sentimentos dados sobre a temática, o abandono do professor da sala de aula. Foi um desafio analisar as respostas, pois as respostas se parecem em muitos sujeitos, dando um sentido homogêneo ao discurso sobre a atuação destes profissionais no município de Três de Maio.</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Mesmo algumas respostas sendo parecidas, outras carecem de um conhecimento etimológico, não só de palavras, mas também a falta de aprofundamento sobre a temática. As respostas enquadram-se em categorias como desvalorização do professor, salários e o aspecto paternal/afetividade. Na sequência serão apresentados os dados coletados e organizados conforme as categorias de análise que me propus fazer.</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r w:rsidRPr="00771368">
        <w:rPr>
          <w:rFonts w:ascii="Times New Roman" w:hAnsi="Times New Roman" w:cs="Times New Roman"/>
        </w:rPr>
        <w:tab/>
      </w:r>
    </w:p>
    <w:p w:rsidR="00D24E61" w:rsidRPr="00F11AE6" w:rsidRDefault="00D24E61" w:rsidP="007B04EA">
      <w:pPr>
        <w:rPr>
          <w:b/>
          <w:sz w:val="24"/>
        </w:rPr>
      </w:pPr>
      <w:bookmarkStart w:id="13" w:name="_Toc343420982"/>
      <w:r w:rsidRPr="00F11AE6">
        <w:rPr>
          <w:b/>
          <w:sz w:val="24"/>
        </w:rPr>
        <w:t>3.1 Percepção sobre a participação do gênero masculino e feminino no ensino fundamental</w:t>
      </w:r>
      <w:bookmarkEnd w:id="13"/>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 xml:space="preserve">Percebendo que os sujeitos da pesquisa poderiam desenvolver diversas compreensões sobre a temática “Gênero”, delimitei a questão para uma conceitualização mais ampla.  </w:t>
      </w:r>
      <w:r w:rsidRPr="00771368">
        <w:rPr>
          <w:rFonts w:ascii="Times New Roman" w:hAnsi="Times New Roman" w:cs="Times New Roman"/>
          <w:i/>
        </w:rPr>
        <w:t>Como você percebe a participação do gênero masculino e feminino no Ensino fundamental enquanto professor das diversas áreas do conhecimento?</w:t>
      </w:r>
      <w:r w:rsidRPr="00771368">
        <w:rPr>
          <w:rFonts w:ascii="Times New Roman" w:hAnsi="Times New Roman" w:cs="Times New Roman"/>
        </w:rPr>
        <w:t xml:space="preserve"> Os sujeitos serão representados por letras do alfabeto.</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F11AE6" w:rsidRDefault="00D24E61" w:rsidP="00D24E61">
      <w:pPr>
        <w:pStyle w:val="citao0"/>
        <w:rPr>
          <w:rFonts w:ascii="Times New Roman" w:hAnsi="Times New Roman"/>
          <w:i/>
        </w:rPr>
      </w:pPr>
      <w:r w:rsidRPr="00F11AE6">
        <w:rPr>
          <w:rFonts w:ascii="Times New Roman" w:hAnsi="Times New Roman"/>
          <w:i/>
        </w:rPr>
        <w:t>“Ao longo dos 20 anos que leciono, observei que houve uma diminuição significativa dos homens, muitos se aposentando e as nomeações e contratos novos são quase que sua maioria de mulheres” (sujeito A); “Vejo que o gênero feminino está em maioria nas diversas áreas de ensino, mas há uma grande importância da participação do gênero masculinos nas diversas áreas de ensino” (sujeito C); “Percebo que o número de professores do gênero masculino é bem menor que o feminino, mas a sua participação e objetividade em buscar qualificação no Ensino fundamental é maior do que no gênero feminino” (sujeito E); “Acredito que a mescla, mesmo como o reduzido número de homens, é muito positiva, pois diversifica esta “presença” em sala de aula” (sujeito F); “Percebo que já se incorporou a cultura de que a educação, no ensino fundamental, se dá fundamentalmente pelo gênero feminino. Os alunos estranham a presença masculina. O homem parece dispensável ou até incompetente para atuar no processo educacional” (sujeito G); “É importante pela contribuição que cada um pode dar ao aluno como figura masculina e feminina” (sujeito K).</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Neste primeiro momento, analisei que os sujeitos masculinos percebem a significativa diminuição dos homens das salas de aula e que as mulheres são a maioria nas novas vagas ocupadas. E que ambos os gêneros contribuem na formação dos alunos. Um dos sujeitos descreve que algumas pessoas tem a visão de que o homem é incompetente para gerir o processo educacional. Outro já vê a importância de mesclar e diversificar a presença de ambos os gêneros na sala de aula.</w:t>
      </w:r>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Uma afirmação de que o homem é mais participativo e objetivo em relação à preocupação com sua qualificação e de que é importante ter professores do gênero masculino (mas não a descrevem), isto faz com que o discurso não tenha sentido, pois não se fundamenta. Conforme Veiga-Neto “tem-se de cuidar para não embarcar na ingenuidade de pensar que tudo já está ali no texto, independentemente daquele que lê, visível e apreensível diretamente por aquele que lê” (2003, p.127). Desconfiar da falta de coerência e dos elementos postos nos discursos auxilia no processo da ação de ler e interpretar.</w:t>
      </w:r>
    </w:p>
    <w:p w:rsidR="00D24E61" w:rsidRPr="00771368" w:rsidRDefault="00D24E61" w:rsidP="00F11AE6">
      <w:pPr>
        <w:pStyle w:val="NORMAL2"/>
        <w:ind w:firstLine="0"/>
        <w:rPr>
          <w:rFonts w:ascii="Times New Roman" w:hAnsi="Times New Roman" w:cs="Times New Roman"/>
          <w:color w:val="000000"/>
        </w:rPr>
      </w:pPr>
      <w:r w:rsidRPr="00771368">
        <w:rPr>
          <w:rFonts w:ascii="Times New Roman" w:hAnsi="Times New Roman" w:cs="Times New Roman"/>
        </w:rPr>
        <w:tab/>
      </w:r>
      <w:r w:rsidRPr="00771368">
        <w:rPr>
          <w:rFonts w:ascii="Times New Roman" w:hAnsi="Times New Roman" w:cs="Times New Roman"/>
          <w:color w:val="000000"/>
        </w:rPr>
        <w:t xml:space="preserve">Outro grupo percebe a participação do gênero masculino como inferior em quantidade, mas vê estes como um exemplo, de que os alunos o veem como a representação do pai e de que as mulheres tem mais amabilidade no trato com crianças e jovens. </w:t>
      </w:r>
      <w:r w:rsidRPr="00771368">
        <w:rPr>
          <w:rFonts w:ascii="Times New Roman" w:hAnsi="Times New Roman" w:cs="Times New Roman"/>
          <w:i/>
          <w:color w:val="000000"/>
        </w:rPr>
        <w:t xml:space="preserve">“O gênero feminino está em grande maioria, mas a presença do professor “homem” é tido muitas vezes como um exemplo” </w:t>
      </w:r>
      <w:r w:rsidRPr="00771368">
        <w:rPr>
          <w:rFonts w:ascii="Times New Roman" w:hAnsi="Times New Roman" w:cs="Times New Roman"/>
          <w:color w:val="000000"/>
        </w:rPr>
        <w:t>(sujeito B).</w:t>
      </w:r>
    </w:p>
    <w:p w:rsidR="00D24E61" w:rsidRPr="00771368" w:rsidRDefault="00D24E61" w:rsidP="00D24E61">
      <w:pPr>
        <w:pStyle w:val="NORMAL2"/>
        <w:rPr>
          <w:rFonts w:ascii="Times New Roman" w:hAnsi="Times New Roman" w:cs="Times New Roman"/>
        </w:rPr>
      </w:pPr>
    </w:p>
    <w:p w:rsidR="00D24E61" w:rsidRPr="00F11AE6" w:rsidRDefault="00D24E61" w:rsidP="00D24E61">
      <w:pPr>
        <w:pStyle w:val="citao0"/>
        <w:rPr>
          <w:rFonts w:ascii="Times New Roman" w:hAnsi="Times New Roman"/>
          <w:i/>
        </w:rPr>
      </w:pPr>
      <w:r w:rsidRPr="00F11AE6">
        <w:rPr>
          <w:rFonts w:ascii="Times New Roman" w:hAnsi="Times New Roman"/>
          <w:i/>
        </w:rPr>
        <w:t>“Percebo que há uma presença maior do gênero feminino, e ouço comentários afirmando que a presença masculina interfere no cumprimento de normas disciplinares, principalmente porque os alunos veem no professor a representação do pai. Acredito que a atuação profissional independe de gênero” (sujeito H); “E sua grande maioria, o magistério encontra-se nas mãos das mulheres, talvez, por uma questão histórica, as mulheres possuem maior amabilidade com crianças e jovens, embora a figura paterna seja essencial. O homem saiu a dedicar-se a outros a fazeres” (sujeito I).</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Este discurso de que o homem é o exemplo, cumpridor de normas disciplinares, da importância da figura do pai retrata um sentimento machista, de que existem relações de poder explícitas. “Poder este que intervém materialmente, atingindo a realidade mais concreta dos indivíduos- o seu corpo- e que o situa ao nível do próprio corpo social, e não acima dele, penetrando na vida cotidiana” (FOUCAULT, 2004, p.XII). Percebo que estes discursos estão presentes no cotidiano, nas ações dos sujeitos e que parecem estar muito bem alicerçadas.</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r w:rsidRPr="00771368">
        <w:rPr>
          <w:rFonts w:ascii="Times New Roman" w:hAnsi="Times New Roman" w:cs="Times New Roman"/>
        </w:rPr>
        <w:tab/>
      </w:r>
    </w:p>
    <w:p w:rsidR="00D24E61" w:rsidRPr="001F03D7" w:rsidRDefault="00D24E61" w:rsidP="007B04EA">
      <w:pPr>
        <w:rPr>
          <w:b/>
          <w:sz w:val="24"/>
        </w:rPr>
      </w:pPr>
      <w:bookmarkStart w:id="14" w:name="_Toc343420983"/>
      <w:r w:rsidRPr="001F03D7">
        <w:rPr>
          <w:b/>
          <w:sz w:val="24"/>
        </w:rPr>
        <w:t>3.2 Fatores que estão contribuindo para o afastamento da figura masculina do espaço escolar</w:t>
      </w:r>
      <w:bookmarkEnd w:id="14"/>
    </w:p>
    <w:p w:rsidR="00D24E61" w:rsidRPr="00771368" w:rsidRDefault="00D24E61" w:rsidP="00F11AE6">
      <w:pPr>
        <w:pStyle w:val="NORMAL2"/>
        <w:ind w:firstLine="0"/>
        <w:rPr>
          <w:rFonts w:ascii="Times New Roman" w:hAnsi="Times New Roman" w:cs="Times New Roman"/>
        </w:rPr>
      </w:pPr>
      <w:r w:rsidRPr="00771368">
        <w:rPr>
          <w:rFonts w:ascii="Times New Roman" w:hAnsi="Times New Roman" w:cs="Times New Roman"/>
        </w:rPr>
        <w:tab/>
        <w:t xml:space="preserve">Nesta questão busco a opinião pessoal de cada um, partindo de um pressuposto enunciado pelas estatísticas atuais. </w:t>
      </w:r>
      <w:r w:rsidRPr="00771368">
        <w:rPr>
          <w:rFonts w:ascii="Times New Roman" w:hAnsi="Times New Roman" w:cs="Times New Roman"/>
          <w:i/>
        </w:rPr>
        <w:t>“Considerando as estatísticas atuais que apontam números restritos de professores homens atuando na Educação Básica, principalmente na Educação Infantil e Ensino Fundamental, na sua opinião, quais são os fatores estão contribuindo para o afastamento da figura masculina deste espaço?”</w:t>
      </w:r>
      <w:r w:rsidRPr="00771368">
        <w:rPr>
          <w:rFonts w:ascii="Times New Roman" w:hAnsi="Times New Roman" w:cs="Times New Roman"/>
        </w:rPr>
        <w:t xml:space="preserve"> </w:t>
      </w:r>
    </w:p>
    <w:p w:rsidR="00D24E61" w:rsidRPr="001F03D7" w:rsidRDefault="00D24E61" w:rsidP="00D24E61">
      <w:pPr>
        <w:pStyle w:val="NORMAL2"/>
        <w:ind w:firstLine="0"/>
        <w:rPr>
          <w:rFonts w:ascii="Times New Roman" w:hAnsi="Times New Roman" w:cs="Times New Roman"/>
          <w:i/>
        </w:rPr>
      </w:pPr>
      <w:r w:rsidRPr="00771368">
        <w:rPr>
          <w:rFonts w:ascii="Times New Roman" w:hAnsi="Times New Roman" w:cs="Times New Roman"/>
        </w:rPr>
        <w:tab/>
      </w:r>
    </w:p>
    <w:p w:rsidR="00D24E61" w:rsidRPr="001F03D7" w:rsidRDefault="00D24E61" w:rsidP="00D24E61">
      <w:pPr>
        <w:pStyle w:val="citao0"/>
        <w:rPr>
          <w:rFonts w:ascii="Times New Roman" w:hAnsi="Times New Roman"/>
          <w:i/>
        </w:rPr>
      </w:pPr>
      <w:r w:rsidRPr="001F03D7">
        <w:rPr>
          <w:rFonts w:ascii="Times New Roman" w:hAnsi="Times New Roman"/>
          <w:i/>
        </w:rPr>
        <w:t xml:space="preserve">“O fator salarial deve ser um dos principais, o fato de “relacionamento”, quando jovem na hora de optar pela formação também influi - educar está muito relacionado a trocar conhecimento e desde a formação familiar, já está mais “destinado” a figura materna” (sujeito A); “A profissão exige muito, como planejamento e correção de atividades fora do horário (em casa). - O descrédito e a falta de valorização financeira. - Opções de trabalho mais rentável e menos estressantes” (sujeito B); “As várias opções que o mercado de trabalho oferece. - O comprometimento que a profissão exige. - O descredito da profissão. - Valorização financeira” (sujeito C); “Salários baixos. - Facilidades para fazer outros cursos superiores. - Não fazem magistério” (sujeito D). -“Quanto menor são os niveis, menos professores masculinos. A grande maioria se encontra no nível superior. Vejo que a participação masculina na educação, tem-se como uma pouco, pelo salário recebido” (sujeito D já afirmava está questão salarial na primeira pergunta); “A falta de respeito com o profissional, que começo com a remuneração, com a desvalorização do Estado com a categoria, chegando até a retirada da autoridade da pessoa professor na sala de aula, onde os alunos podem abusar do professor sem aconteça nada” (sujeito F); “A falta de uma remuneração mais condizente em detrimento de uma formação cada vez maior” (sujeito I); “Criou-se uma cultura de ligação do papel da professora à figura de mãe (não sei quem e porque aconteceu); - Podem não ter tido boas experiências como alunos, e consequentemente não querem trabalhar na escola; - Algumas pessoas pensam que não terão paciência de trabalhar com crianças e adolescentes; - O homem geralmente estuda menos anos e entra antes no mercado de trabalho, inclusive no mercado informal; - Os salários pouco atrativos, para uma formação superior” (sujeito H); “O espaço que as mulheres conquistaram atualmente e o homem procurando atividades no setor terciário mais exigido fisicamente do que intelectualmente” (sujeito J). -“Percebo desvalorizado pelos governantes Professor fazendo “bico” nas escolas. Procurando outros empregos para sobreviver. Mas, acima de tudo, é uma profissão digna, de respeito e responsável pelo futuro da nação” (sujeito J descreve na primeira pergunta esta preocupação); “Acredito que os homens acabassem optando por outras profissões, que no momento tem um retorno econômico maior” (sujeito K). </w:t>
      </w:r>
    </w:p>
    <w:p w:rsidR="00D24E61" w:rsidRPr="001F03D7" w:rsidRDefault="00D24E61" w:rsidP="00D24E61">
      <w:pPr>
        <w:pStyle w:val="NORMAL2"/>
        <w:ind w:firstLine="0"/>
        <w:rPr>
          <w:rFonts w:ascii="Times New Roman" w:hAnsi="Times New Roman" w:cs="Times New Roman"/>
          <w:i/>
        </w:rPr>
      </w:pPr>
      <w:r w:rsidRPr="001F03D7">
        <w:rPr>
          <w:rFonts w:ascii="Times New Roman" w:hAnsi="Times New Roman" w:cs="Times New Roman"/>
          <w:i/>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São muitos os fatores que estão contribuindo para o afastamento da figura masculina do espaço escolar, mas cabe ressaltar o enorme percentual destes sujeitos que aderiram à questão salarial, relações com trabalho excessivo que demanda a profissão professor, falta de valorização financeira (salários baixos), opções de trabalho mais rentáveis e menos estressantes, o descredito e a falta de incentivo. A questão de o homem entrar antes no mercado de trabalho, as experiências enquanto aluno às vezes podem não ter sido boas também contribuem para o afastamento da sala de aula.</w:t>
      </w:r>
    </w:p>
    <w:p w:rsidR="00D24E61" w:rsidRPr="00771368" w:rsidRDefault="00D24E61" w:rsidP="001F03D7">
      <w:pPr>
        <w:pStyle w:val="NORMAL2"/>
        <w:ind w:firstLine="0"/>
        <w:rPr>
          <w:rFonts w:ascii="Times New Roman" w:hAnsi="Times New Roman" w:cs="Times New Roman"/>
        </w:rPr>
      </w:pPr>
      <w:r w:rsidRPr="00771368">
        <w:rPr>
          <w:rFonts w:ascii="Times New Roman" w:hAnsi="Times New Roman" w:cs="Times New Roman"/>
        </w:rPr>
        <w:tab/>
        <w:t>Todo este discurso em prol de um melhor rendimento salarial se volta na figura do homem como sujeito do capitalismo. “É o diagrama de um poder que não atua do exterior, mas trabalha o corpo dos homens, manipula seus elementos, produz seu comportamento, enfim, fabrica o tipo de homem necessário ao funcionamento e manutenção da sociedade industrial, capitalista” (FOUCAULT, 2004, p.VXII). Compreendo que antes da Revolução Industrial os professores nem eram remunerados, mas que a partir desta, cria-se todo este enredo em torno de um assalariamento, que se tornou necessário para a sobrevivência destes sujeitos.</w:t>
      </w:r>
    </w:p>
    <w:p w:rsidR="00D24E61" w:rsidRPr="00771368" w:rsidRDefault="00D24E61" w:rsidP="001F03D7">
      <w:pPr>
        <w:pStyle w:val="NORMAL2"/>
        <w:ind w:firstLine="0"/>
        <w:rPr>
          <w:rFonts w:ascii="Times New Roman" w:hAnsi="Times New Roman" w:cs="Times New Roman"/>
        </w:rPr>
      </w:pPr>
      <w:r w:rsidRPr="00771368">
        <w:rPr>
          <w:rFonts w:ascii="Times New Roman" w:hAnsi="Times New Roman" w:cs="Times New Roman"/>
        </w:rPr>
        <w:tab/>
        <w:t xml:space="preserve">Situações de preconceito relacionado à figura masculina considerado até incapaz de educar, de ter qualidades que a sociedade designou as mulheres. </w:t>
      </w:r>
      <w:r w:rsidRPr="00771368">
        <w:rPr>
          <w:rFonts w:ascii="Times New Roman" w:hAnsi="Times New Roman" w:cs="Times New Roman"/>
          <w:i/>
        </w:rPr>
        <w:t>“Percebo que na educação infantil o número de professores é bem menor pelo motivo do pré-conceito que somente professoras teriam capacidade de cuidar de crianças (afeto materno)”</w:t>
      </w:r>
      <w:r w:rsidRPr="00771368">
        <w:rPr>
          <w:rFonts w:ascii="Times New Roman" w:hAnsi="Times New Roman" w:cs="Times New Roman"/>
        </w:rPr>
        <w:t xml:space="preserve"> (sujeito E). Qualidades como afeto, amor, carinho, sensibilidade e outros; entendo que o homem pode sim desenvolver estes adjetivos.</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A sociedade delimitou as qualidades para os gêneros masculino e feminino. “O feminino caracterizado como natureza, emoção, amor, intuição, é destinado ao espaço privado; ao masculino – cultura politica, razão, justiça, poder, o público” (COLLING, 2004, p.22). Por este discurso estar tão enraizado é que aparece como um denominador de verdades.</w:t>
      </w:r>
    </w:p>
    <w:p w:rsidR="00D24E61" w:rsidRPr="00771368" w:rsidRDefault="00D24E61" w:rsidP="001F03D7">
      <w:pPr>
        <w:pStyle w:val="NORMAL2"/>
        <w:ind w:firstLine="0"/>
        <w:rPr>
          <w:rFonts w:ascii="Times New Roman" w:hAnsi="Times New Roman" w:cs="Times New Roman"/>
        </w:rPr>
      </w:pPr>
      <w:r w:rsidRPr="00771368">
        <w:rPr>
          <w:rFonts w:ascii="Times New Roman" w:hAnsi="Times New Roman" w:cs="Times New Roman"/>
        </w:rPr>
        <w:tab/>
        <w:t xml:space="preserve">Percebo no discurso deste sujeito uma dicotomia: se via situações de machismo na educação de tempos passados, como pode citar que a figura materna é a mais apropriada pra educar? </w:t>
      </w:r>
      <w:r w:rsidRPr="00771368">
        <w:rPr>
          <w:rFonts w:ascii="Times New Roman" w:hAnsi="Times New Roman" w:cs="Times New Roman"/>
          <w:i/>
        </w:rPr>
        <w:t>“Antigamente a educação estava nas mãos dos homens, porque entendia-se que a disciplina e a racionalidade eram fundamentais para a educação. Também não existia a Educação Infantil. Ora, essas características eram próprias do homem e não da mulher. Nisso está presente também uma boa dose de machismo. Hoje entende-se que a figura maternal é mais apropriada para a Educação. A mulher também é racional e disciplinadora, mas de um jeito próprio da feminilidade” (sujeito G).</w:t>
      </w:r>
      <w:r w:rsidRPr="00771368">
        <w:rPr>
          <w:rFonts w:ascii="Times New Roman" w:hAnsi="Times New Roman" w:cs="Times New Roman"/>
        </w:rPr>
        <w:t xml:space="preserve"> Nota-se que há questões de machismo disfarçado no discurso, por mais que se tente explicar, mesmo querendo delegar a questão para outros, esta implícito também uma dose de machismo, assim como o descreves.</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r w:rsidRPr="00771368">
        <w:rPr>
          <w:rFonts w:ascii="Times New Roman" w:hAnsi="Times New Roman" w:cs="Times New Roman"/>
        </w:rPr>
        <w:tab/>
      </w:r>
    </w:p>
    <w:p w:rsidR="00D24E61" w:rsidRPr="001F03D7" w:rsidRDefault="001F03D7" w:rsidP="007B04EA">
      <w:pPr>
        <w:rPr>
          <w:b/>
          <w:sz w:val="24"/>
        </w:rPr>
      </w:pPr>
      <w:bookmarkStart w:id="15" w:name="_Toc343420984"/>
      <w:r>
        <w:rPr>
          <w:b/>
          <w:sz w:val="24"/>
        </w:rPr>
        <w:t>3.3 S</w:t>
      </w:r>
      <w:r w:rsidR="00D24E61" w:rsidRPr="001F03D7">
        <w:rPr>
          <w:b/>
          <w:sz w:val="24"/>
        </w:rPr>
        <w:t>entimento em relação ao abandono dos sujeitos masculinos das salas de aula</w:t>
      </w:r>
      <w:bookmarkEnd w:id="15"/>
    </w:p>
    <w:p w:rsidR="00D24E61" w:rsidRPr="00771368" w:rsidRDefault="00D24E61" w:rsidP="001F03D7">
      <w:pPr>
        <w:pStyle w:val="NORMAL2"/>
        <w:ind w:firstLine="0"/>
        <w:rPr>
          <w:rFonts w:ascii="Times New Roman" w:hAnsi="Times New Roman" w:cs="Times New Roman"/>
          <w:i/>
        </w:rPr>
      </w:pPr>
      <w:r w:rsidRPr="00771368">
        <w:rPr>
          <w:rFonts w:ascii="Times New Roman" w:hAnsi="Times New Roman" w:cs="Times New Roman"/>
        </w:rPr>
        <w:tab/>
        <w:t xml:space="preserve">Busquei nesta pergunta perceber algo relacionado à subjetividade de cada sujeito. </w:t>
      </w:r>
      <w:r w:rsidRPr="00771368">
        <w:rPr>
          <w:rFonts w:ascii="Times New Roman" w:hAnsi="Times New Roman" w:cs="Times New Roman"/>
          <w:i/>
        </w:rPr>
        <w:t>Qual é o teu sentimento, como professor, em relação ao abandono dos sujeitos masculinos das salas de aula?</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1F03D7" w:rsidRDefault="00D24E61" w:rsidP="00D24E61">
      <w:pPr>
        <w:pStyle w:val="citao0"/>
        <w:rPr>
          <w:rFonts w:ascii="Times New Roman" w:hAnsi="Times New Roman"/>
          <w:i/>
        </w:rPr>
      </w:pPr>
      <w:r w:rsidRPr="001F03D7">
        <w:rPr>
          <w:rFonts w:ascii="Times New Roman" w:hAnsi="Times New Roman"/>
          <w:i/>
        </w:rPr>
        <w:t>“Isso acontece devido a pouca valorização do profissional da educação, enquanto temos outras alternativas mais rentáveis” (sujeito B); “O descredito e a falta de incentivo levou a muitos a procurarem novas alternativas” (sujeito C); “Apesar de vivermos em país livre. O pensamento machista ainda é forte, e vejo que mulheres recebem menores salários. Isso faz que a remuneração seja baixo. Razão pela qual vejo poucas figuras masculinas na salas de crianças pequenas (educação básica)” (sujeito D); “Gostaria que o número de professores fosse muito maior, pois em certos momentos nos sentimos sozinhos e isolados, mas imagino que pelos baixos salários e a necessidade de sustentar a família, busquem áreas que tenham maior rentabilidade” (sujeito E); “Acredito que seja o mesmo que escrevi na pergunta acima. Também acrescento a facilidade remunerável em outras profissões, o que faz da nossa categoria a última em questão” (sujeito F); "Não percebo que o professor sofra um abandono em relação ao gênero, portanto não consigo sentir nada a esta questão” (sujeito H); “Meu maior sentimento é de que o sujeito masculino está desaparecendo desta atividade tão brilhante de estar ligado com o ser humano, educando-o e preparando para a vida ativa. A desvalorização do professor também afasta o homem da educação” (sujeito J); “É uma situação complicada devido ao pouco estímulo recebido pela categoria, o que leva a essa falta de professores homens na sala de aula. É muito triste mesmo” (sujeito K).</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São muitos os sentimentos de abandono dos sujeitos masculinos das salas de aula que os sujeitos evidenciam. Entre eles cabe destacar o sentimento de desvalorização, de descrédito, de falta de incentivo, de um sentimento machista, sentem-se sozinhos e isolados, pouco estímulo pela categoria e veem com tristeza o desaparecimento de seus colegas desta atividade tão brilhante que é o ato de educar.</w:t>
      </w:r>
    </w:p>
    <w:p w:rsidR="00D24E61" w:rsidRPr="00771368" w:rsidRDefault="00D24E61" w:rsidP="001F03D7">
      <w:pPr>
        <w:pStyle w:val="NORMAL2"/>
        <w:ind w:firstLine="0"/>
        <w:rPr>
          <w:rFonts w:ascii="Times New Roman" w:hAnsi="Times New Roman" w:cs="Times New Roman"/>
        </w:rPr>
      </w:pPr>
      <w:r w:rsidRPr="00771368">
        <w:rPr>
          <w:rFonts w:ascii="Times New Roman" w:hAnsi="Times New Roman" w:cs="Times New Roman"/>
        </w:rPr>
        <w:tab/>
        <w:t>Nas respostas seguintes nota-se o sentimento de perda nas ações que demanda a Educação, mas sobre uma visão paternalista, não enquanto profissional professor. De novo se reforça a questão da sensibilidade, que segundo os sujeitos da pesquisa é característica fundamental das mulheres, falta do poder disciplinador do homem nas mulheres e a perda da figura paterna.</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1F03D7" w:rsidRDefault="00D24E61" w:rsidP="00D24E61">
      <w:pPr>
        <w:pStyle w:val="citao0"/>
        <w:rPr>
          <w:rFonts w:ascii="Times New Roman" w:hAnsi="Times New Roman"/>
          <w:i/>
        </w:rPr>
      </w:pPr>
      <w:r w:rsidRPr="001F03D7">
        <w:rPr>
          <w:rFonts w:ascii="Times New Roman" w:hAnsi="Times New Roman"/>
          <w:i/>
        </w:rPr>
        <w:t>“O meu sentimento é de que há uma perda no processo educacional; a perda da figura paterna. Assim como na família o pai e a mãe são figuras indispensáveis para uma boa educação, assim também na escola não podemos dispensar nenhuma das duas figuras” (sujeito G); “As mulheres tem plena condição de serem educados, até melhor que os homens, por terem maior sensibilidade e espontaneidade, mas muitas vezes falta “pulso” que os alunos “procuram” (as famílias delegam muitas ações à escola)” (sujeito A); “É uma pena, porque em algumas funções em específico, a escola e o próprio estudante se ressente da falta do professor homem” (sujeito I).</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Observando os argumentos sobre os sentimentos descritos acima percebi que há resquícios dos discursos que são reforçados pela sociedade, o meu sentimento sobre estes sujeitos é que eles se expressam estimulando uma narrativa já existente, por que as respostas se parecem.</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1F03D7" w:rsidRDefault="00D24E61" w:rsidP="00D24E61">
      <w:pPr>
        <w:pStyle w:val="citao0"/>
        <w:rPr>
          <w:rFonts w:ascii="Times New Roman" w:hAnsi="Times New Roman"/>
          <w:sz w:val="16"/>
        </w:rPr>
      </w:pPr>
      <w:r w:rsidRPr="001F03D7">
        <w:rPr>
          <w:rStyle w:val="CitaoChar"/>
          <w:rFonts w:ascii="Times New Roman" w:hAnsi="Times New Roman"/>
          <w:sz w:val="20"/>
        </w:rPr>
        <w:t>É preciso pôr em questão, novamente, essas sínteses acabadas, esses agrupamentos que, na maioria das vezes, são aceitos antes de qualquer exame, esses laços cuja validade é reconhecida desde o início; é preciso desalojar essas formas e essas forças obscuras pelas quais se tem o hábito de interligar os discursos dos homens; é preciso expulsá-las da sombra onde reinam (FOUCAULT, 2012, p.26).</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Conforme os descritos de Foucault é preciso colocar em suspensão as ideias e opiniões existentes, retirando-as da escuridão e colocando-as sob a luz de novas análises.</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1F03D7" w:rsidRDefault="00D24E61" w:rsidP="007B04EA">
      <w:pPr>
        <w:rPr>
          <w:b/>
          <w:sz w:val="24"/>
        </w:rPr>
      </w:pPr>
      <w:bookmarkStart w:id="16" w:name="_Toc343420985"/>
      <w:r w:rsidRPr="001F03D7">
        <w:rPr>
          <w:b/>
          <w:sz w:val="24"/>
        </w:rPr>
        <w:t>3.4 É importante termos professores do gênero masculino atuando nas séries iniciais do Ensino Fundamental?</w:t>
      </w:r>
      <w:bookmarkEnd w:id="16"/>
    </w:p>
    <w:p w:rsidR="00D24E61" w:rsidRPr="00771368" w:rsidRDefault="00D24E61" w:rsidP="001F03D7">
      <w:pPr>
        <w:pStyle w:val="NORMAL2"/>
        <w:ind w:firstLine="0"/>
        <w:rPr>
          <w:rFonts w:ascii="Times New Roman" w:hAnsi="Times New Roman" w:cs="Times New Roman"/>
          <w:i/>
        </w:rPr>
      </w:pPr>
      <w:r w:rsidRPr="001F03D7">
        <w:rPr>
          <w:rFonts w:ascii="Times New Roman" w:hAnsi="Times New Roman" w:cs="Times New Roman"/>
          <w:b/>
          <w:sz w:val="28"/>
        </w:rPr>
        <w:tab/>
      </w:r>
      <w:r w:rsidRPr="00771368">
        <w:rPr>
          <w:rFonts w:ascii="Times New Roman" w:hAnsi="Times New Roman" w:cs="Times New Roman"/>
        </w:rPr>
        <w:t xml:space="preserve">Referencio nesta questão se é pertinente na visão dos sujeitos da pesquisa de se ter professores homens trabalhando com alunos menores, sendo o caso dos anos iniciais. </w:t>
      </w:r>
      <w:r w:rsidRPr="00771368">
        <w:rPr>
          <w:rFonts w:ascii="Times New Roman" w:hAnsi="Times New Roman" w:cs="Times New Roman"/>
          <w:i/>
        </w:rPr>
        <w:t>Você considera importante termos professores do gênero masculino atuando nas séries iniciais do Ensino Fundamental?</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1F03D7" w:rsidRDefault="00D24E61" w:rsidP="00D24E61">
      <w:pPr>
        <w:pStyle w:val="citao0"/>
        <w:rPr>
          <w:rFonts w:ascii="Times New Roman" w:hAnsi="Times New Roman"/>
          <w:i/>
        </w:rPr>
      </w:pPr>
      <w:r w:rsidRPr="001F03D7">
        <w:rPr>
          <w:rFonts w:ascii="Times New Roman" w:hAnsi="Times New Roman"/>
          <w:i/>
        </w:rPr>
        <w:t>“O equilíbrio sempre foi e é melhor receita para qualquer organização, assim, a figura masculina não pode “desaparecer”, deste contexto educacional” (sujeito A); “Sim é importante a figura masculina dentro da escola, atuando no Ensino Fundamental, pois da um maior equilíbrio e uma melhor força de ação” (sujeito C); “Acredito que sim, pois no ambiente de trabalho possibilita a troca de experiências entre os professores e ajuda as crianças a terem o contato com o gênero masculino” (sujeito E); “Acho que temos que ter profissionais, independentemente de gênero. Acredito que qualquer profissão tem a ver com uma opção e não é uma questão de gênero. Acredito que a escola contrata os profissionais independentemente do gênero e que isso não deve interferir nos procedimentos didáticos e pedagógicos” (sujeito H); “Sem dúvida somos iguais” (sujeito J).</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Os sujeitos acreditam que tendo professores homens atuando nas séries iniciais do Ensino Fundamental manteria o equilíbrio, mas não descrevem que tipo de equilíbrio, o que querem dizer? O outro sujeito demonstra ingenuidade em relação ao tema gênero, pois usa o termo “Acha” e “Acredito”, isto quer dizer que não tem certeza do que esta descrevendo; assim como o sujeito J que afirma que somos todos iguais, mas até onde? Que igualdade é essa?</w:t>
      </w:r>
    </w:p>
    <w:p w:rsidR="00D24E61" w:rsidRPr="00771368" w:rsidRDefault="00D24E61" w:rsidP="001F03D7">
      <w:pPr>
        <w:pStyle w:val="NORMAL2"/>
        <w:ind w:firstLine="0"/>
        <w:rPr>
          <w:rFonts w:ascii="Times New Roman" w:hAnsi="Times New Roman" w:cs="Times New Roman"/>
        </w:rPr>
      </w:pPr>
      <w:r w:rsidRPr="00771368">
        <w:rPr>
          <w:rFonts w:ascii="Times New Roman" w:hAnsi="Times New Roman" w:cs="Times New Roman"/>
        </w:rPr>
        <w:tab/>
        <w:t>A grande maioria dos que responderam esta pergunta se direcionam a importância da atuação do professor pela questão da disciplina, da ordem, de modelo de sujeito, onde se lembra da proteção e do carinho do pai:</w:t>
      </w:r>
    </w:p>
    <w:p w:rsidR="00D24E61" w:rsidRPr="00771368" w:rsidRDefault="00D24E61" w:rsidP="00D24E61">
      <w:pPr>
        <w:pStyle w:val="NORMAL2"/>
        <w:ind w:firstLine="708"/>
        <w:rPr>
          <w:rFonts w:ascii="Times New Roman" w:hAnsi="Times New Roman" w:cs="Times New Roman"/>
        </w:rPr>
      </w:pPr>
    </w:p>
    <w:p w:rsidR="00D24E61" w:rsidRPr="001F03D7" w:rsidRDefault="00D24E61" w:rsidP="00D24E61">
      <w:pPr>
        <w:pStyle w:val="citao0"/>
        <w:rPr>
          <w:rFonts w:ascii="Times New Roman" w:hAnsi="Times New Roman"/>
          <w:i/>
        </w:rPr>
      </w:pPr>
      <w:r w:rsidRPr="001F03D7">
        <w:rPr>
          <w:rFonts w:ascii="Times New Roman" w:hAnsi="Times New Roman"/>
          <w:i/>
        </w:rPr>
        <w:t>“Sim, pois o professor relembra a figura paterna, tornando-se em exemplo para os alunos” (sujeito B); “Sim. Como em qualquer etapa. Há muitas crianças que falta a figura paterna. Assim se identificaria com essa pessoa. Pra muitos a figura masculina é sinal de respeito” (sujeito D); “Considero que a presença do homem, representando a figura paterna, é muito importante. Ele representa, pelo menos em parte, a dimensão do comportamento regrado e a perseguição de um objetivo claro. Ela (feminina) representa o espaço do aconchego e acolhimento. Os dois são complementares” (sujeito G); “Porque não, não vejo nenhum problema, eu sou um deles e nem por isso penso que meu trabalho valha menos, muito pelo contrário” (sujeito I); “Sim. Pra dar uma relação mais paternal ao aluno” (sujeito K); “Seria interessante, se bem que as mulheres possuam o lado “mãe”, muito importante nesta fase” (sujeito F).</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Muitas crianças convivem poucas horas com seus pais, devido à carga horária dos mesmos. Veem o homem como um sinal de respeito, do cumprimento de regras, de uma figura disciplinadora. Outros acham interessante ter mais homens atuando nas séries iniciais e ainda o que não vê nenhum problema, pois esta questão não o afeta. Todos estes discursos referentes a esta questão não se pautam em uma teoria determinada, é aparente e não se fundamenta numa linha de pensamento.</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1F03D7" w:rsidRDefault="00D24E61" w:rsidP="00D24E61">
      <w:pPr>
        <w:pStyle w:val="citao0"/>
        <w:rPr>
          <w:rFonts w:ascii="Times New Roman" w:hAnsi="Times New Roman"/>
          <w:i/>
        </w:rPr>
      </w:pPr>
      <w:r w:rsidRPr="001F03D7">
        <w:rPr>
          <w:rFonts w:ascii="Times New Roman" w:hAnsi="Times New Roman"/>
          <w:i/>
        </w:rPr>
        <w:t>O discurso é o caminho de uma contradição a outra: se dá lugar às que vemos, é que obedece à que oculta. Analisar o discurso é fazer com que desapareçam e reapareçam as contradições; é mostrar o jogo que nele elas desempenham; é manifestar como ele pode exprimi-las, dar-lhes corpo, ou emprestar-lhes uma fugidia aparência (FOUCAULT, 2012, p.186).</w:t>
      </w:r>
    </w:p>
    <w:p w:rsidR="00D24E61" w:rsidRPr="001F03D7" w:rsidRDefault="00D24E61" w:rsidP="00D24E61">
      <w:pPr>
        <w:pStyle w:val="NORMAL2"/>
        <w:ind w:firstLine="0"/>
        <w:rPr>
          <w:rFonts w:ascii="Times New Roman" w:hAnsi="Times New Roman" w:cs="Times New Roman"/>
          <w:i/>
        </w:rPr>
      </w:pPr>
      <w:r w:rsidRPr="001F03D7">
        <w:rPr>
          <w:rFonts w:ascii="Times New Roman" w:hAnsi="Times New Roman" w:cs="Times New Roman"/>
          <w:i/>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O corpo visível e invisível do discurso pode ser analisado a partir da observação e da experimentação para decidir ou destruir o que pode ser considerado verdadeiro; construindo assim novos saberes. Posso afirmar que os sujeitos são frutos dos saberes e as diversas formas que compõem a essência de um sujeito podem e devem ser destruídas para que possamos ver o lado opressor dos discursos.</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Ttulo"/>
        <w:spacing w:line="240" w:lineRule="auto"/>
        <w:rPr>
          <w:rFonts w:ascii="Times New Roman" w:hAnsi="Times New Roman"/>
        </w:rPr>
      </w:pPr>
      <w:bookmarkStart w:id="17" w:name="_Toc343420986"/>
      <w:r w:rsidRPr="00771368">
        <w:rPr>
          <w:rFonts w:ascii="Times New Roman" w:hAnsi="Times New Roman"/>
        </w:rPr>
        <w:t>ASPECTOS RELEVANTES</w:t>
      </w:r>
      <w:bookmarkEnd w:id="17"/>
    </w:p>
    <w:p w:rsidR="00D24E61" w:rsidRPr="00771368" w:rsidRDefault="00D24E61" w:rsidP="001F03D7">
      <w:pPr>
        <w:pStyle w:val="NORMAL2"/>
        <w:ind w:firstLine="0"/>
        <w:rPr>
          <w:rFonts w:ascii="Times New Roman" w:hAnsi="Times New Roman" w:cs="Times New Roman"/>
        </w:rPr>
      </w:pPr>
      <w:r w:rsidRPr="00771368">
        <w:rPr>
          <w:rFonts w:ascii="Times New Roman" w:hAnsi="Times New Roman" w:cs="Times New Roman"/>
        </w:rPr>
        <w:tab/>
        <w:t>Considero relevante este trabalho para minha caminhada acadêmica, mas o aprendizado que tive no percurso desta pesquisa para a minha formação humana se sobressai sobre qualquer outro dado que se tenha criado expectativas em demasia relacionado a trabalhos de conclusão de curso. Comecei a trabalhar um assunto no qual tinha informações superficiais e isto exigiu alguns sacrifícios, a cada passo que dava era necessário muitas leituras.</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p>
    <w:p w:rsidR="00D24E61" w:rsidRPr="00771368" w:rsidRDefault="00D24E61" w:rsidP="00D24E61">
      <w:pPr>
        <w:pStyle w:val="NORMAL2"/>
        <w:ind w:firstLine="708"/>
        <w:rPr>
          <w:rFonts w:ascii="Times New Roman" w:hAnsi="Times New Roman" w:cs="Times New Roman"/>
        </w:rPr>
      </w:pPr>
      <w:r w:rsidRPr="00771368">
        <w:rPr>
          <w:rFonts w:ascii="Times New Roman" w:hAnsi="Times New Roman" w:cs="Times New Roman"/>
        </w:rPr>
        <w:t>Confesso que por muitos momentos senti-me perdido em meio a um turbilhão de sentimentos, por muitas vezes larguei os livros e ficava a devanear. Esta desestruturação de conceitos fez-se necessário, despir-se de algumas carapuças e vestir-se de outras para a partir daí se permitir a viver novas aprendizagens. Muito dolorido. Uma sensação de que estava sendo espionado, de estar em alguns momentos tateando no escuro.</w:t>
      </w:r>
    </w:p>
    <w:p w:rsidR="00D24E61" w:rsidRPr="00771368" w:rsidRDefault="00D24E61" w:rsidP="001F03D7">
      <w:pPr>
        <w:pStyle w:val="NORMAL2"/>
        <w:ind w:firstLine="0"/>
        <w:rPr>
          <w:rFonts w:ascii="Times New Roman" w:hAnsi="Times New Roman" w:cs="Times New Roman"/>
        </w:rPr>
      </w:pPr>
      <w:r w:rsidRPr="00771368">
        <w:rPr>
          <w:rFonts w:ascii="Times New Roman" w:hAnsi="Times New Roman" w:cs="Times New Roman"/>
        </w:rPr>
        <w:tab/>
        <w:t>Os meus objetivos específicos foram alcançados com êxito. O objetivo geral que me propus pesquisar estava baseado na questão dos fatores que estão contribuindo para o afastamento da figura masculina no Ensino Fundamental de escolas privadas e da rede pública, municipal e estadual. Entre os fatores descritos em que a grande maioria respondeu foram: a desvalorização do professor, salários e o aspecto paternal/afetividade. Penso que as práticas discursivas moldam nossos saberes e práticas sociais. Os discursos se fundamentam em crenças diversas.</w:t>
      </w:r>
    </w:p>
    <w:p w:rsidR="00D24E61" w:rsidRPr="00771368" w:rsidRDefault="00D24E61" w:rsidP="001F03D7">
      <w:pPr>
        <w:pStyle w:val="NORMAL2"/>
        <w:ind w:firstLine="0"/>
        <w:rPr>
          <w:rFonts w:ascii="Times New Roman" w:hAnsi="Times New Roman" w:cs="Times New Roman"/>
        </w:rPr>
      </w:pPr>
      <w:r w:rsidRPr="00771368">
        <w:rPr>
          <w:rFonts w:ascii="Times New Roman" w:hAnsi="Times New Roman" w:cs="Times New Roman"/>
        </w:rPr>
        <w:tab/>
        <w:t>Percebi que é preciso colocar em suspensão as ideias e opiniões existentes, retirando-as da escuridão e colocando-as sob a luz de novas análises. Existe um sentimento machista, cito a questão em que um dos sujeitos respondeu de que o “homem é o exemplo, cumpridor de normas disciplinares”; nota-se que existem relações de poder explícitas.</w:t>
      </w:r>
    </w:p>
    <w:p w:rsidR="00D24E61" w:rsidRPr="00771368" w:rsidRDefault="00D24E61" w:rsidP="001F03D7">
      <w:pPr>
        <w:pStyle w:val="NORMAL2"/>
        <w:ind w:firstLine="0"/>
        <w:rPr>
          <w:rFonts w:ascii="Times New Roman" w:hAnsi="Times New Roman" w:cs="Times New Roman"/>
        </w:rPr>
      </w:pPr>
      <w:r w:rsidRPr="00771368">
        <w:rPr>
          <w:rFonts w:ascii="Times New Roman" w:hAnsi="Times New Roman" w:cs="Times New Roman"/>
        </w:rPr>
        <w:tab/>
        <w:t>Posso afirmar que os sujeitos são frutos dos saberes, poderes e de uma ética dominante. E que as diversas formas que compõem o sujeito que podem e devem ser destruídas para que possamos ver o lado opressor dos discursos. Os discursos eram muito genéricos, superficiais, sem conhecimento sobre a temática em pauta, respostas generalizantes são burras. O que tem por detrás destes discursos? Por que são tão homogêneos? Qual a dinâmica social que se pretende desenvolver nestas redes de mecanismos e a quem servem?</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ab/>
      </w:r>
      <w:r w:rsidRPr="00771368">
        <w:rPr>
          <w:rFonts w:ascii="Times New Roman" w:hAnsi="Times New Roman" w:cs="Times New Roman"/>
        </w:rPr>
        <w:tab/>
      </w:r>
    </w:p>
    <w:p w:rsidR="00D24E61" w:rsidRPr="00771368" w:rsidRDefault="00D24E61" w:rsidP="00D24E61">
      <w:pPr>
        <w:pStyle w:val="Ttulo"/>
        <w:spacing w:line="240" w:lineRule="auto"/>
        <w:rPr>
          <w:rFonts w:ascii="Times New Roman" w:hAnsi="Times New Roman"/>
        </w:rPr>
      </w:pPr>
      <w:bookmarkStart w:id="18" w:name="_Toc343420987"/>
      <w:r w:rsidRPr="00771368">
        <w:rPr>
          <w:rFonts w:ascii="Times New Roman" w:hAnsi="Times New Roman"/>
        </w:rPr>
        <w:t>Referências</w:t>
      </w:r>
      <w:bookmarkEnd w:id="18"/>
    </w:p>
    <w:p w:rsidR="00D24E61" w:rsidRPr="00771368" w:rsidRDefault="00D24E61" w:rsidP="00D24E61">
      <w:r w:rsidRPr="00771368">
        <w:tab/>
      </w:r>
    </w:p>
    <w:p w:rsidR="00D24E61" w:rsidRPr="00771368" w:rsidRDefault="00D24E61" w:rsidP="001F03D7">
      <w:r w:rsidRPr="00771368">
        <w:t xml:space="preserve">CABEDA, Sonia T. Lisboa; PREHN, Denise Rodrigues; STREY, Marlene Neves (Orgs.). </w:t>
      </w:r>
      <w:r w:rsidRPr="00771368">
        <w:rPr>
          <w:b/>
        </w:rPr>
        <w:t xml:space="preserve">Gênero e cultura: questões contemporâneas. </w:t>
      </w:r>
      <w:r w:rsidRPr="00771368">
        <w:t>– Porto Alegre: EDIPUCRS, 2004.</w:t>
      </w:r>
    </w:p>
    <w:p w:rsidR="00D24E61" w:rsidRPr="00771368" w:rsidRDefault="00D24E61" w:rsidP="00D24E61">
      <w:pPr>
        <w:pStyle w:val="NORMAL2"/>
        <w:ind w:firstLine="0"/>
        <w:rPr>
          <w:rFonts w:ascii="Times New Roman" w:hAnsi="Times New Roman" w:cs="Times New Roman"/>
          <w:b/>
        </w:rPr>
      </w:pPr>
      <w:r w:rsidRPr="00771368">
        <w:rPr>
          <w:rFonts w:ascii="Times New Roman" w:hAnsi="Times New Roman" w:cs="Times New Roman"/>
        </w:rPr>
        <w:t xml:space="preserve">_____. COLLING, Ana. </w:t>
      </w:r>
      <w:r w:rsidRPr="00771368">
        <w:rPr>
          <w:rFonts w:ascii="Times New Roman" w:hAnsi="Times New Roman" w:cs="Times New Roman"/>
          <w:b/>
        </w:rPr>
        <w:t>A construção histórica do Feminino e do Masculino.</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 xml:space="preserve">CATANI, Denice Barbara. (Org.). </w:t>
      </w:r>
      <w:r w:rsidRPr="00771368">
        <w:rPr>
          <w:rFonts w:ascii="Times New Roman" w:hAnsi="Times New Roman" w:cs="Times New Roman"/>
          <w:b/>
        </w:rPr>
        <w:t>Docência, Memória e Gênero: Estudos sobre formação.</w:t>
      </w:r>
      <w:r w:rsidRPr="00771368">
        <w:rPr>
          <w:rFonts w:ascii="Times New Roman" w:hAnsi="Times New Roman" w:cs="Times New Roman"/>
        </w:rPr>
        <w:t xml:space="preserve"> São Paulo: Escrituras Editora, 1997.</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 xml:space="preserve">_____. LOURO, Guacira Lopes. </w:t>
      </w:r>
      <w:r w:rsidRPr="00771368">
        <w:rPr>
          <w:rFonts w:ascii="Times New Roman" w:hAnsi="Times New Roman" w:cs="Times New Roman"/>
          <w:b/>
        </w:rPr>
        <w:t xml:space="preserve">Gênero e Magistério: Identidade, História, Representação. </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 xml:space="preserve">COSTA, Lúcia Cortes Da. </w:t>
      </w:r>
      <w:r w:rsidRPr="00771368">
        <w:rPr>
          <w:rFonts w:ascii="Times New Roman" w:hAnsi="Times New Roman" w:cs="Times New Roman"/>
          <w:b/>
        </w:rPr>
        <w:t xml:space="preserve">Gênero uma questão Feminina? </w:t>
      </w:r>
      <w:r w:rsidRPr="00771368">
        <w:rPr>
          <w:rFonts w:ascii="Times New Roman" w:hAnsi="Times New Roman" w:cs="Times New Roman"/>
        </w:rPr>
        <w:t>Artigo (Http:www.uepg.br/nupes/genero.htm).</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Educação &amp; Realidade. Porto Alegre V. 20 m. 2 - p. 9-255 –jul./dez.1995.</w:t>
      </w:r>
    </w:p>
    <w:p w:rsidR="00D24E61" w:rsidRPr="00771368" w:rsidRDefault="00D24E61" w:rsidP="00D24E61">
      <w:pPr>
        <w:pStyle w:val="NORMAL2"/>
        <w:ind w:firstLine="0"/>
        <w:rPr>
          <w:rFonts w:ascii="Times New Roman" w:hAnsi="Times New Roman" w:cs="Times New Roman"/>
          <w:b/>
          <w:lang w:eastAsia="pt-BR"/>
        </w:rPr>
      </w:pPr>
      <w:r w:rsidRPr="00771368">
        <w:rPr>
          <w:rFonts w:ascii="Times New Roman" w:hAnsi="Times New Roman" w:cs="Times New Roman"/>
        </w:rPr>
        <w:t xml:space="preserve">_____. SCOTT, Joan. Gênero: </w:t>
      </w:r>
      <w:r w:rsidRPr="00771368">
        <w:rPr>
          <w:rFonts w:ascii="Times New Roman" w:hAnsi="Times New Roman" w:cs="Times New Roman"/>
          <w:b/>
        </w:rPr>
        <w:t>Uma categoria. Útil de Análise Histórica.</w:t>
      </w:r>
    </w:p>
    <w:p w:rsidR="00D24E61" w:rsidRPr="00771368" w:rsidRDefault="00D24E61" w:rsidP="00D24E61">
      <w:r w:rsidRPr="00771368">
        <w:t xml:space="preserve">FOUCAULT, Michel. </w:t>
      </w:r>
      <w:r w:rsidRPr="00771368">
        <w:rPr>
          <w:b/>
        </w:rPr>
        <w:t>MICROFÍSICA DO PODER.</w:t>
      </w:r>
      <w:r w:rsidRPr="00771368">
        <w:t xml:space="preserve"> -20° Edição, 2004. Organização, introdução e revisão técnica de Roberto Machado.</w:t>
      </w:r>
    </w:p>
    <w:p w:rsidR="00D24E61" w:rsidRPr="00771368" w:rsidRDefault="00D24E61" w:rsidP="00D24E61">
      <w:r w:rsidRPr="00771368">
        <w:t xml:space="preserve">_____. </w:t>
      </w:r>
      <w:r w:rsidRPr="00771368">
        <w:rPr>
          <w:b/>
        </w:rPr>
        <w:t>A arqueologia do saber.</w:t>
      </w:r>
      <w:r w:rsidRPr="00771368">
        <w:t xml:space="preserve"> 8ª edição, tradução Luiz Felipe Baeta Neves, Forense Universitária, Rio de Janeiro, 2012.</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GÜLLICH, Roque I. Da Costa; LOVATO, Adalberto; EVANGELISTA, Mário L. Santos;</w:t>
      </w:r>
      <w:r w:rsidRPr="00771368">
        <w:rPr>
          <w:rFonts w:ascii="Times New Roman" w:hAnsi="Times New Roman" w:cs="Times New Roman"/>
          <w:b/>
        </w:rPr>
        <w:t xml:space="preserve"> Metodologia da Pesquisa: normas para apresentação de trabalhos: redação, formatação e editoração.</w:t>
      </w:r>
      <w:r w:rsidRPr="00771368">
        <w:rPr>
          <w:rFonts w:ascii="Times New Roman" w:hAnsi="Times New Roman" w:cs="Times New Roman"/>
        </w:rPr>
        <w:t xml:space="preserve"> Três de Maio: SETREM, 2007.</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 xml:space="preserve">LOURO, Guacira Lopes. </w:t>
      </w:r>
      <w:r w:rsidRPr="00771368">
        <w:rPr>
          <w:rFonts w:ascii="Times New Roman" w:hAnsi="Times New Roman" w:cs="Times New Roman"/>
          <w:b/>
        </w:rPr>
        <w:t>Gênero, Sexualidade e Educação: Uma perspectiva pós-estruturalista.</w:t>
      </w:r>
      <w:r w:rsidRPr="00771368">
        <w:rPr>
          <w:rFonts w:ascii="Times New Roman" w:hAnsi="Times New Roman" w:cs="Times New Roman"/>
        </w:rPr>
        <w:t xml:space="preserve"> Petrópolis, Rio de Janeiro: Vozes, 1997.</w:t>
      </w:r>
    </w:p>
    <w:p w:rsidR="00D24E61" w:rsidRPr="00771368" w:rsidRDefault="00D24E61" w:rsidP="00D24E61">
      <w:pPr>
        <w:rPr>
          <w:sz w:val="26"/>
        </w:rPr>
      </w:pPr>
      <w:r w:rsidRPr="00771368">
        <w:t>PRIORE,</w:t>
      </w:r>
      <w:r w:rsidRPr="00771368">
        <w:rPr>
          <w:b/>
        </w:rPr>
        <w:t xml:space="preserve"> </w:t>
      </w:r>
      <w:r w:rsidRPr="00771368">
        <w:t xml:space="preserve">Mary Del (ORG). </w:t>
      </w:r>
      <w:r w:rsidRPr="00771368">
        <w:rPr>
          <w:b/>
        </w:rPr>
        <w:t>História Das Mulheres No Brasil.</w:t>
      </w:r>
      <w:r w:rsidRPr="00771368">
        <w:t xml:space="preserve"> 3</w:t>
      </w:r>
      <w:r w:rsidRPr="00771368">
        <w:rPr>
          <w:sz w:val="26"/>
        </w:rPr>
        <w:t>º Edição- São Paulo; Contexto, 2000.</w:t>
      </w:r>
    </w:p>
    <w:p w:rsidR="00D24E61" w:rsidRPr="00771368" w:rsidRDefault="00D24E61" w:rsidP="00D24E61">
      <w:pPr>
        <w:tabs>
          <w:tab w:val="left" w:pos="426"/>
        </w:tabs>
      </w:pPr>
      <w:r w:rsidRPr="00771368">
        <w:t>_____.</w:t>
      </w:r>
      <w:r w:rsidRPr="00771368">
        <w:rPr>
          <w:b/>
        </w:rPr>
        <w:t xml:space="preserve"> Mulheres na sala de aula. </w:t>
      </w:r>
      <w:r w:rsidRPr="00771368">
        <w:t>Guacira Lopes Louro.</w:t>
      </w:r>
    </w:p>
    <w:p w:rsidR="00D24E61" w:rsidRPr="00771368" w:rsidRDefault="00D24E61" w:rsidP="00D24E61">
      <w:pPr>
        <w:pStyle w:val="NORMAL2"/>
        <w:ind w:firstLine="0"/>
        <w:rPr>
          <w:rFonts w:ascii="Times New Roman" w:hAnsi="Times New Roman" w:cs="Times New Roman"/>
        </w:rPr>
      </w:pPr>
      <w:r w:rsidRPr="00771368">
        <w:rPr>
          <w:rFonts w:ascii="Times New Roman" w:hAnsi="Times New Roman" w:cs="Times New Roman"/>
        </w:rPr>
        <w:t xml:space="preserve">VEIGA-NETO, Alfredo. </w:t>
      </w:r>
      <w:r w:rsidRPr="00771368">
        <w:rPr>
          <w:rFonts w:ascii="Times New Roman" w:hAnsi="Times New Roman" w:cs="Times New Roman"/>
          <w:b/>
        </w:rPr>
        <w:t>FOUCAULT &amp; A EDUCAÇÃO.</w:t>
      </w:r>
      <w:r w:rsidRPr="00771368">
        <w:rPr>
          <w:rFonts w:ascii="Times New Roman" w:hAnsi="Times New Roman" w:cs="Times New Roman"/>
        </w:rPr>
        <w:t xml:space="preserve"> Minas Gerais: Autêntica, 2003.</w:t>
      </w:r>
    </w:p>
    <w:p w:rsidR="00D24E61" w:rsidRPr="00771368" w:rsidRDefault="00D24E61">
      <w:pPr>
        <w:spacing w:line="239" w:lineRule="auto"/>
        <w:jc w:val="right"/>
        <w:rPr>
          <w:sz w:val="20"/>
          <w:szCs w:val="20"/>
        </w:rPr>
      </w:pPr>
      <w:r w:rsidRPr="00771368">
        <w:rPr>
          <w:rFonts w:eastAsia="Calibri"/>
        </w:rPr>
        <w:t>1</w:t>
      </w:r>
    </w:p>
    <w:p w:rsidR="00D24E61" w:rsidRPr="00771368" w:rsidRDefault="00D24E61">
      <w:pPr>
        <w:spacing w:line="200" w:lineRule="exact"/>
        <w:rPr>
          <w:sz w:val="24"/>
          <w:szCs w:val="24"/>
        </w:rPr>
      </w:pPr>
    </w:p>
    <w:p w:rsidR="00D24E61" w:rsidRPr="00771368" w:rsidRDefault="00D24E61">
      <w:pPr>
        <w:spacing w:line="309" w:lineRule="exact"/>
        <w:rPr>
          <w:sz w:val="24"/>
          <w:szCs w:val="24"/>
        </w:rPr>
      </w:pPr>
    </w:p>
    <w:p w:rsidR="00D24E61" w:rsidRPr="00771368" w:rsidRDefault="00D24E61" w:rsidP="00D24E61">
      <w:pPr>
        <w:jc w:val="center"/>
        <w:rPr>
          <w:b/>
          <w:sz w:val="24"/>
          <w:szCs w:val="24"/>
        </w:rPr>
      </w:pPr>
      <w:r w:rsidRPr="00771368">
        <w:rPr>
          <w:b/>
          <w:sz w:val="24"/>
          <w:szCs w:val="24"/>
        </w:rPr>
        <w:t xml:space="preserve">A CONSTRUÇÃO DE HOMENS E MULHERES DENTRO DOS MUROS </w:t>
      </w:r>
    </w:p>
    <w:p w:rsidR="00D24E61" w:rsidRPr="00771368" w:rsidRDefault="00D24E61" w:rsidP="00D24E61">
      <w:pPr>
        <w:jc w:val="center"/>
        <w:rPr>
          <w:b/>
          <w:sz w:val="24"/>
          <w:szCs w:val="24"/>
        </w:rPr>
      </w:pPr>
      <w:r w:rsidRPr="00771368">
        <w:rPr>
          <w:b/>
          <w:sz w:val="24"/>
          <w:szCs w:val="24"/>
        </w:rPr>
        <w:t xml:space="preserve">E EM CIMA DOS BANCOS ESCOLARES: </w:t>
      </w:r>
    </w:p>
    <w:p w:rsidR="00D24E61" w:rsidRPr="00771368" w:rsidRDefault="00D24E61" w:rsidP="00D24E61">
      <w:pPr>
        <w:spacing w:after="120"/>
        <w:jc w:val="center"/>
        <w:rPr>
          <w:sz w:val="24"/>
          <w:szCs w:val="24"/>
        </w:rPr>
      </w:pPr>
      <w:r w:rsidRPr="00771368">
        <w:rPr>
          <w:sz w:val="24"/>
          <w:szCs w:val="24"/>
        </w:rPr>
        <w:t>as músicas de massa vão à escola</w:t>
      </w:r>
    </w:p>
    <w:p w:rsidR="00D24E61" w:rsidRPr="00771368" w:rsidRDefault="00D24E61" w:rsidP="000D4E9B">
      <w:pPr>
        <w:pStyle w:val="Ttulo1"/>
      </w:pPr>
      <w:bookmarkStart w:id="19" w:name="_Toc442034722"/>
      <w:r w:rsidRPr="00771368">
        <w:t>Hélio Souza de Cristo</w:t>
      </w:r>
      <w:bookmarkEnd w:id="19"/>
    </w:p>
    <w:p w:rsidR="00D24E61" w:rsidRPr="00771368" w:rsidRDefault="00D24E61" w:rsidP="00D24E61">
      <w:pPr>
        <w:jc w:val="right"/>
        <w:rPr>
          <w:sz w:val="20"/>
          <w:szCs w:val="24"/>
        </w:rPr>
      </w:pPr>
      <w:r w:rsidRPr="00771368">
        <w:rPr>
          <w:sz w:val="20"/>
          <w:szCs w:val="24"/>
        </w:rPr>
        <w:t>Universidade do Estado da Bahia</w:t>
      </w:r>
    </w:p>
    <w:p w:rsidR="00D24E61" w:rsidRPr="00771368" w:rsidRDefault="00D24E61" w:rsidP="00D24E61">
      <w:pPr>
        <w:spacing w:after="360"/>
        <w:jc w:val="right"/>
        <w:rPr>
          <w:sz w:val="20"/>
          <w:szCs w:val="24"/>
        </w:rPr>
      </w:pPr>
      <w:r w:rsidRPr="00771368">
        <w:rPr>
          <w:sz w:val="20"/>
          <w:szCs w:val="24"/>
        </w:rPr>
        <w:t>Orientadora: Geórgia Nellie Clark</w:t>
      </w:r>
    </w:p>
    <w:p w:rsidR="00D24E61" w:rsidRPr="00771368" w:rsidRDefault="00D24E61" w:rsidP="00D24E61">
      <w:pPr>
        <w:jc w:val="center"/>
        <w:rPr>
          <w:b/>
          <w:sz w:val="24"/>
          <w:szCs w:val="24"/>
        </w:rPr>
      </w:pPr>
      <w:r w:rsidRPr="00771368">
        <w:rPr>
          <w:b/>
          <w:sz w:val="24"/>
          <w:szCs w:val="24"/>
        </w:rPr>
        <w:t>RESUMO</w:t>
      </w:r>
    </w:p>
    <w:p w:rsidR="00D24E61" w:rsidRPr="00771368" w:rsidRDefault="00D24E61" w:rsidP="00D24E61">
      <w:pPr>
        <w:jc w:val="center"/>
        <w:rPr>
          <w:b/>
          <w:sz w:val="28"/>
          <w:szCs w:val="24"/>
        </w:rPr>
      </w:pPr>
    </w:p>
    <w:p w:rsidR="00D24E61" w:rsidRPr="00771368" w:rsidRDefault="00D24E61" w:rsidP="00D24E61">
      <w:pPr>
        <w:jc w:val="both"/>
      </w:pPr>
      <w:r w:rsidRPr="00771368">
        <w:t xml:space="preserve">O presente trabalho é fruto de reflexões e discussões que teci no período de elaboração do Trabalho de Conclusão de Curso à época da graduação em Pedagogia pela Universidade do Estado da Bahia – Campus XV (Valença-Bahia), tendo como orientadora a professora Geórgia Nellie Clark. Desta forma, o trabalho intitulado “A Construção de Homens e Mulheres dentro dos Muros e em cima dos Bancos Escolares: As Músicas de Massa vão à Escola” de autoria de Hélio Souza de Cristo teve como objetivo maior investigar a influência das músicas de massa na construção do gênero, tomando como ponto de partida a apreciação de tais músicas pelos alunos e alunas do Colégio Estadual João Cardoso dos Santos, em cuja instituição atuei como docente e de onde emerge a pesquisa. Partindo do princípio de que gênero refere-se a uma categoria que possui variantes por questões, principalmente, culturais, é necessário considerar as discussões e reflexões acerca da relação sexualidade, gênero e música a partir de uma perspectiva antropológica de cultura, uma vez que esta relação varia, conforme o dinamismo sócio-histórico. Então, trazer como análise e discussão as letras de músicas de massa, significa voltar os olhares para a influência da indústria cultural e da mídia, que ao produzirem e repercutirem estas músicas, corroboram para o surgimento das (des)igualdades entre os gêneros; como as letras das músicas do grupo Black Style, que devido à sua grande repercussão entre os alunos e alunas do colégio citado, tornou-se o foco de estudo neste trabalho. Desta forma, valendo-se das observações que realizei, enquanto envolvido no contexto emergente da pesquisa, percebi que as músicas exercem uma forte influência, com seu conjunto de sentidos e significados, na construção de gênero e o contexto escolar, com seus discursos e práticas. </w:t>
      </w:r>
    </w:p>
    <w:p w:rsidR="00D24E61" w:rsidRPr="00771368" w:rsidRDefault="00D24E61" w:rsidP="00D24E61">
      <w:pPr>
        <w:jc w:val="both"/>
      </w:pPr>
    </w:p>
    <w:p w:rsidR="00D24E61" w:rsidRPr="00771368" w:rsidRDefault="00D24E61" w:rsidP="00D24E61">
      <w:pPr>
        <w:jc w:val="both"/>
        <w:rPr>
          <w:sz w:val="24"/>
        </w:rPr>
      </w:pPr>
      <w:r w:rsidRPr="00771368">
        <w:rPr>
          <w:b/>
          <w:sz w:val="24"/>
          <w:szCs w:val="24"/>
        </w:rPr>
        <w:t>Palavras-chave:</w:t>
      </w:r>
      <w:r w:rsidRPr="00771368">
        <w:rPr>
          <w:sz w:val="28"/>
        </w:rPr>
        <w:t xml:space="preserve"> </w:t>
      </w:r>
      <w:r w:rsidRPr="00771368">
        <w:rPr>
          <w:sz w:val="24"/>
        </w:rPr>
        <w:t>Cultura. Gênero. Música de massa. Escola.</w:t>
      </w:r>
    </w:p>
    <w:p w:rsidR="00D24E61" w:rsidRPr="00771368" w:rsidRDefault="00D24E61" w:rsidP="00D24E61">
      <w:pPr>
        <w:jc w:val="both"/>
        <w:rPr>
          <w:sz w:val="24"/>
        </w:rPr>
      </w:pPr>
    </w:p>
    <w:p w:rsidR="000D4E9B" w:rsidRDefault="000D4E9B">
      <w:pPr>
        <w:rPr>
          <w:b/>
          <w:color w:val="000000"/>
          <w:sz w:val="24"/>
          <w:szCs w:val="24"/>
        </w:rPr>
      </w:pPr>
      <w:r>
        <w:rPr>
          <w:b/>
          <w:color w:val="000000"/>
          <w:sz w:val="24"/>
          <w:szCs w:val="24"/>
        </w:rPr>
        <w:br w:type="page"/>
      </w:r>
    </w:p>
    <w:p w:rsidR="00D24E61" w:rsidRPr="00771368" w:rsidRDefault="00D24E61" w:rsidP="00D24E61">
      <w:pPr>
        <w:tabs>
          <w:tab w:val="center" w:pos="4560"/>
        </w:tabs>
        <w:spacing w:after="120" w:line="360" w:lineRule="auto"/>
        <w:rPr>
          <w:b/>
          <w:color w:val="000000"/>
          <w:sz w:val="24"/>
          <w:szCs w:val="24"/>
        </w:rPr>
      </w:pPr>
      <w:r w:rsidRPr="00771368">
        <w:rPr>
          <w:b/>
          <w:color w:val="000000"/>
          <w:sz w:val="24"/>
          <w:szCs w:val="24"/>
        </w:rPr>
        <w:t>INTRODUÇÃO</w:t>
      </w:r>
    </w:p>
    <w:p w:rsidR="00D24E61" w:rsidRPr="00771368" w:rsidRDefault="00D24E61" w:rsidP="00D24E61">
      <w:pPr>
        <w:tabs>
          <w:tab w:val="center" w:pos="4560"/>
        </w:tabs>
        <w:spacing w:line="360" w:lineRule="auto"/>
        <w:ind w:firstLine="709"/>
        <w:jc w:val="both"/>
        <w:rPr>
          <w:sz w:val="24"/>
          <w:szCs w:val="24"/>
          <w:shd w:val="clear" w:color="auto" w:fill="FFFFFF"/>
        </w:rPr>
      </w:pPr>
      <w:r w:rsidRPr="00771368">
        <w:rPr>
          <w:sz w:val="24"/>
          <w:szCs w:val="24"/>
          <w:shd w:val="clear" w:color="auto" w:fill="FFFFFF"/>
        </w:rPr>
        <w:t xml:space="preserve">“Cada um lê com os olhos que tem. E interpreta onde os pés pisam. Todo ponto de vista é a vista de um ponto (...)”. Esta célebre expressão de Leonardo Boff (1998) clarifica e traz à tona a emergência da escrita e discussão deste trabalho, que surge a partir do momento em que, com os meus pés dentro do Colégio Estadual João Cardoso dos Santos, escola de Ensino Médio situada no município de Valença-Bahia; observei a relação dos alunos e alunas do matutino com as músicas de massa. Neste cenário, </w:t>
      </w:r>
      <w:r w:rsidRPr="00771368">
        <w:rPr>
          <w:sz w:val="24"/>
          <w:szCs w:val="24"/>
        </w:rPr>
        <w:t>tão necessário e singular denominado escola,</w:t>
      </w:r>
      <w:r w:rsidRPr="00771368">
        <w:rPr>
          <w:sz w:val="24"/>
          <w:szCs w:val="24"/>
          <w:shd w:val="clear" w:color="auto" w:fill="FFFFFF"/>
        </w:rPr>
        <w:t xml:space="preserve"> atuei como docente e pude observar, cotidianamente, a relação da maioria dos alunos e alunas com as músicas pensadas e produzidas para as pessoas de menor poder aquisitivo, em especial as músicas do Grupo Black Style.</w:t>
      </w:r>
    </w:p>
    <w:p w:rsidR="00D24E61" w:rsidRPr="00771368" w:rsidRDefault="00D24E61" w:rsidP="00D24E61">
      <w:pPr>
        <w:spacing w:line="360" w:lineRule="auto"/>
        <w:ind w:firstLine="709"/>
        <w:jc w:val="both"/>
        <w:rPr>
          <w:sz w:val="24"/>
          <w:szCs w:val="24"/>
        </w:rPr>
      </w:pPr>
      <w:r w:rsidRPr="00771368">
        <w:rPr>
          <w:sz w:val="24"/>
          <w:szCs w:val="24"/>
          <w:shd w:val="clear" w:color="auto" w:fill="FFFFFF"/>
        </w:rPr>
        <w:t>Isto, por sua vez, gerou uma inquietação no sentido de compreender</w:t>
      </w:r>
      <w:r w:rsidRPr="00771368">
        <w:rPr>
          <w:sz w:val="24"/>
          <w:szCs w:val="24"/>
        </w:rPr>
        <w:t>, o que me levou à busca da fundamentação teórica, a representação construída por estes alunos e alunas acerca de gênero e a maneira como a escola, de modo geral, lida com questões relativas à sexualidade, mais especificamente à construção das (des) igualdades de gênero.</w:t>
      </w:r>
    </w:p>
    <w:p w:rsidR="00D24E61" w:rsidRPr="00771368" w:rsidRDefault="00D24E61" w:rsidP="00D24E61">
      <w:pPr>
        <w:tabs>
          <w:tab w:val="center" w:pos="4560"/>
        </w:tabs>
        <w:spacing w:line="360" w:lineRule="auto"/>
        <w:ind w:firstLine="709"/>
        <w:jc w:val="both"/>
        <w:rPr>
          <w:sz w:val="24"/>
          <w:szCs w:val="24"/>
        </w:rPr>
      </w:pPr>
      <w:r w:rsidRPr="00771368">
        <w:rPr>
          <w:sz w:val="24"/>
          <w:szCs w:val="24"/>
          <w:shd w:val="clear" w:color="auto" w:fill="FFFFFF"/>
        </w:rPr>
        <w:t xml:space="preserve">O caminho de pesquisa, iniciado com a observação do contexto até a revisão bibliográfica, vai paulatinamente tecendo a ideia de que a abordagem da relação música-gênero-escola não deve passar despercebida do seu processo histórico. </w:t>
      </w:r>
    </w:p>
    <w:p w:rsidR="00D24E61" w:rsidRPr="00771368" w:rsidRDefault="00D24E61" w:rsidP="00D24E61">
      <w:pPr>
        <w:spacing w:line="360" w:lineRule="auto"/>
        <w:ind w:firstLine="709"/>
        <w:jc w:val="both"/>
        <w:rPr>
          <w:sz w:val="24"/>
          <w:szCs w:val="24"/>
        </w:rPr>
      </w:pPr>
      <w:r w:rsidRPr="00771368">
        <w:rPr>
          <w:sz w:val="24"/>
          <w:szCs w:val="24"/>
        </w:rPr>
        <w:t xml:space="preserve">Em linhas gerais, o meu debruçar sobre a relação cultura-gênero-escola, justifica-se na medida em que tenho observado a maneira como as músicas assumem a condição de representações sócio-culturais e que, em determinados períodos e contextos, movimentaram e movimentam indivíduos com todo seu conjunto de significações e identificações. </w:t>
      </w:r>
    </w:p>
    <w:p w:rsidR="00D24E61" w:rsidRPr="00771368" w:rsidRDefault="00D24E61" w:rsidP="00D24E61">
      <w:pPr>
        <w:spacing w:line="360" w:lineRule="auto"/>
        <w:ind w:firstLine="709"/>
        <w:jc w:val="both"/>
        <w:rPr>
          <w:sz w:val="24"/>
          <w:szCs w:val="24"/>
        </w:rPr>
      </w:pPr>
      <w:r w:rsidRPr="00771368">
        <w:rPr>
          <w:sz w:val="24"/>
          <w:szCs w:val="24"/>
        </w:rPr>
        <w:t xml:space="preserve">A música, enquanto expressão cultural, atua como porta-voz de uma dada cultura. Isso, por sua vez, acaba repercutindo numa divisão quanto aos papéis que os indivíduos (homem e mulher) deverão desempenhar no espaço social e suas respectivas oportunidades em sua vida política, econômica e social. A aprendizagem de papéis se dá através das mais diversas instituições sociais, dentre elas a própria escola; que ao longo dos anos, vem assumindo a função de escolarizar e educar corpos e mentes. Isto mostra que a organização e definição de papéis sociais entre homens e mulheres não se dão no plano da inerência.   </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Diante desta perspectiva, o presente trabalho, nascido do chão, dentro dos muros e em cima dos bancos escolares, tem como objeto de estudo e análise as letras de algumas músicas de massa surgidas entre os anos 2010 e 2011; mais especificamente as letras das músicas do grupo Black Style e sua influência na construção do gênero, entre os alunos da escola anteriormente citada. Necessário se faz então, explicar porque as letras das músicas do grupo Black Style.</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A escolha, ou melhor, a discussão deste trabalho não está voltada para o julgamento deste ou daquele grupo musical. O que justifica a seleção por tais letras de músicas, para além de um recorte de pesquisa, é o fato de que as letras das músicas do referido grupo, em sua maioria, apresentam modos de se ser homem e de se ser mulher, no cotidiano; e têm uma grande repercussão e apreciação entre os alunos e alunas do colégio citado.</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Inquietou-me saber por que tamanha repercussão e apreciação, uma vez que, em sua efervescência, a maioria das letras das músicas de massa em análise, fundamenta-se na violência simbólica quanto à imagem da mulher em seus variados termos e expressões. Ao passo que coloca, também, o homem como um ser desprovido de sentimentos e, totalmente, entregue ao desejo sexual, vendo a mulher como um mero objeto sexual. </w:t>
      </w:r>
    </w:p>
    <w:p w:rsidR="00D24E61" w:rsidRPr="00771368" w:rsidRDefault="00D24E61" w:rsidP="00D24E61">
      <w:pPr>
        <w:autoSpaceDE w:val="0"/>
        <w:autoSpaceDN w:val="0"/>
        <w:adjustRightInd w:val="0"/>
        <w:spacing w:line="360" w:lineRule="auto"/>
        <w:ind w:firstLine="709"/>
        <w:jc w:val="both"/>
        <w:rPr>
          <w:color w:val="000000"/>
          <w:sz w:val="24"/>
          <w:szCs w:val="24"/>
        </w:rPr>
      </w:pPr>
      <w:r w:rsidRPr="00771368">
        <w:rPr>
          <w:sz w:val="24"/>
          <w:szCs w:val="24"/>
        </w:rPr>
        <w:t>Por isso, acredito que seja conveniente salientar que, a intenção não é fazer uma abordagem sobre o grupo musical Black Style, apontando “erros” ou “acertos” de suas produções. Mas almejo, através das discussões acerca de sexualidade e gênero, investigar o perfil de homem e de mulher que tem sido construído na sociedade atual, levando em consideração c</w:t>
      </w:r>
      <w:r w:rsidRPr="00771368">
        <w:rPr>
          <w:color w:val="000000"/>
          <w:sz w:val="24"/>
          <w:szCs w:val="24"/>
        </w:rPr>
        <w:t xml:space="preserve">omo mulheres e homens se sentem segundo as letras de tais músicas e como se representam frente às músicas de massa veiculadas pela mídia e produzidas pela indústria cultural, subsidiada nas leis de mercado e consumo. </w:t>
      </w:r>
    </w:p>
    <w:p w:rsidR="00D24E61" w:rsidRPr="00771368" w:rsidRDefault="00D24E61" w:rsidP="00D24E61">
      <w:pPr>
        <w:autoSpaceDE w:val="0"/>
        <w:autoSpaceDN w:val="0"/>
        <w:adjustRightInd w:val="0"/>
        <w:spacing w:line="360" w:lineRule="auto"/>
        <w:ind w:firstLine="709"/>
        <w:jc w:val="both"/>
        <w:rPr>
          <w:sz w:val="24"/>
          <w:szCs w:val="24"/>
        </w:rPr>
      </w:pPr>
      <w:r w:rsidRPr="00771368">
        <w:rPr>
          <w:color w:val="000000"/>
          <w:sz w:val="24"/>
          <w:szCs w:val="24"/>
        </w:rPr>
        <w:t xml:space="preserve">Para este fim, </w:t>
      </w:r>
      <w:r w:rsidRPr="00771368">
        <w:rPr>
          <w:sz w:val="24"/>
          <w:szCs w:val="24"/>
        </w:rPr>
        <w:t xml:space="preserve">o presente trabalho fundamenta-se nos seguintes objetivos: investigar e compreender a construção de gênero e de representações do que é “ser homem” e “ser mulher” nas músicas de massa da atualidade, considerando a maneira como a escola tem trabalhado com as relações de gênero frente à possível influência dessas músicas. </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De maneira mais específica, busca-se identificar os sentidos e significados das músicas quanto à representatividade masculina e feminina num plano cultural, tomando como norte a sociedade Ocidental; elucidar a influência da mídia e da indústria cultural quanto à legitimação do perfil de homem e mulher, a partir das músicas; perceber como estas músicas influenciam na construção dos modos de ser homem e de ser mulher; analisar a maneira como a escola lida com as questões emergentes a partir das músicas de massa (2010-2011), tendo como foco principal a construção do gênero dentro da escola, através de discursos e práticas.   </w:t>
      </w:r>
    </w:p>
    <w:p w:rsidR="00D24E61" w:rsidRPr="00771368" w:rsidRDefault="00D24E61" w:rsidP="00D24E61">
      <w:pPr>
        <w:spacing w:line="360" w:lineRule="auto"/>
        <w:ind w:firstLine="709"/>
        <w:jc w:val="both"/>
        <w:rPr>
          <w:sz w:val="24"/>
          <w:szCs w:val="24"/>
        </w:rPr>
      </w:pPr>
      <w:r w:rsidRPr="00771368">
        <w:rPr>
          <w:color w:val="000000"/>
          <w:sz w:val="24"/>
          <w:szCs w:val="24"/>
          <w:shd w:val="clear" w:color="auto" w:fill="FFFFFF"/>
        </w:rPr>
        <w:t xml:space="preserve">Por isso, </w:t>
      </w:r>
      <w:r w:rsidRPr="00771368">
        <w:rPr>
          <w:sz w:val="24"/>
          <w:szCs w:val="24"/>
        </w:rPr>
        <w:t>a revisão bibliográfica, trazida aqui, é consequência de indagações surgidas a partir de um contexto. Por assim afirmar, a pesquisa configurou-se como de caráter exploratório, onde a prática, a vivência e as observações são a base para toda a discussão teórica. Portanto, metodologicamente, configura-se como qualitativa tendo a observação participante, já que atuei como professor no lócus deste estudo, como técnica substancial para a minha aproximação e observação do espaço/contexto em discussão, tornando-se “(...) leitura de sondagem, tendo em vista localizar informações, uma vez que já se tem conhecimento de sua existência (...)” (MARCONI; LAKATOS, 1982, p. 22).</w:t>
      </w:r>
    </w:p>
    <w:p w:rsidR="00D24E61" w:rsidRPr="00771368" w:rsidRDefault="00D24E61" w:rsidP="00D24E61">
      <w:pPr>
        <w:spacing w:line="360" w:lineRule="auto"/>
        <w:ind w:firstLine="709"/>
        <w:jc w:val="both"/>
        <w:rPr>
          <w:sz w:val="24"/>
          <w:szCs w:val="24"/>
        </w:rPr>
      </w:pPr>
      <w:r w:rsidRPr="00771368">
        <w:rPr>
          <w:sz w:val="24"/>
          <w:szCs w:val="24"/>
        </w:rPr>
        <w:t xml:space="preserve">Durante as observações, em conversas informais, foram colhidas algumas falas dos alunos de turmas do 1º ano, que se constituíram também como corpus de análise neste estudo. </w:t>
      </w:r>
    </w:p>
    <w:p w:rsidR="00D24E61" w:rsidRPr="00771368" w:rsidRDefault="00D24E61" w:rsidP="00D24E61">
      <w:pPr>
        <w:spacing w:line="360" w:lineRule="auto"/>
        <w:ind w:firstLine="709"/>
        <w:jc w:val="both"/>
        <w:rPr>
          <w:color w:val="000000"/>
          <w:sz w:val="24"/>
          <w:szCs w:val="24"/>
        </w:rPr>
      </w:pPr>
      <w:r w:rsidRPr="00771368">
        <w:rPr>
          <w:sz w:val="24"/>
          <w:szCs w:val="24"/>
        </w:rPr>
        <w:t>O campo de observação, ou seja, o Colégio Estadual João Cardoso dos Santos</w:t>
      </w:r>
      <w:r w:rsidRPr="00771368">
        <w:rPr>
          <w:color w:val="000000"/>
          <w:sz w:val="24"/>
          <w:szCs w:val="24"/>
        </w:rPr>
        <w:t>, localiza-se no Caminho 8 do bairro da Urbis, no município de Valença-Bahia. O mesmo atende, no turno diurno e noturno, a um quantitativo de cerca de 800 discentes do Ensino Médio, pertencentes a famílias da classe média baixa ou baixa e oriundos tanto da zona urbana quanto da zona rural. A escola funciona há 10 anos em um prédio próprio do governo do Estado da Bahia, sendo que no turno matutino a escola atende a jovens e adolescentes entre 15 a 22 anos.</w:t>
      </w:r>
    </w:p>
    <w:p w:rsidR="00D24E61" w:rsidRPr="00771368" w:rsidRDefault="00D24E61" w:rsidP="00D24E61">
      <w:pPr>
        <w:spacing w:line="360" w:lineRule="auto"/>
        <w:ind w:firstLine="709"/>
        <w:jc w:val="both"/>
        <w:rPr>
          <w:sz w:val="24"/>
          <w:szCs w:val="24"/>
        </w:rPr>
      </w:pPr>
      <w:r w:rsidRPr="00771368">
        <w:rPr>
          <w:sz w:val="24"/>
          <w:szCs w:val="24"/>
        </w:rPr>
        <w:t xml:space="preserve">Assim, tendo em vista a emergência e efervescência das discussões aqui realizadas, em consonância com as finalidades que norteiam este trabalho, o mesmo está desenvolvido da seguinte forma: no primeiro tópico, intitulado </w:t>
      </w:r>
      <w:r w:rsidRPr="00771368">
        <w:rPr>
          <w:i/>
          <w:sz w:val="24"/>
          <w:szCs w:val="24"/>
        </w:rPr>
        <w:t>“Homem? Mulher? Ser ou Não Ser? Eis a Questão!”</w:t>
      </w:r>
      <w:r w:rsidRPr="00771368">
        <w:rPr>
          <w:sz w:val="24"/>
          <w:szCs w:val="24"/>
        </w:rPr>
        <w:t xml:space="preserve"> é abordada a relação entre sexualidade e gênero no contexto escolar e fora deste. </w:t>
      </w:r>
    </w:p>
    <w:p w:rsidR="00D24E61" w:rsidRPr="00771368" w:rsidRDefault="00D24E61" w:rsidP="00D24E61">
      <w:pPr>
        <w:spacing w:line="360" w:lineRule="auto"/>
        <w:ind w:firstLine="709"/>
        <w:jc w:val="both"/>
        <w:rPr>
          <w:sz w:val="24"/>
          <w:szCs w:val="24"/>
        </w:rPr>
      </w:pPr>
      <w:r w:rsidRPr="00771368">
        <w:rPr>
          <w:sz w:val="24"/>
          <w:szCs w:val="24"/>
        </w:rPr>
        <w:t xml:space="preserve">No segundo tópico, que tem como título </w:t>
      </w:r>
      <w:r w:rsidRPr="00771368">
        <w:rPr>
          <w:i/>
          <w:sz w:val="24"/>
          <w:szCs w:val="24"/>
        </w:rPr>
        <w:t>“</w:t>
      </w:r>
      <w:r w:rsidRPr="00771368">
        <w:rPr>
          <w:i/>
          <w:sz w:val="24"/>
          <w:szCs w:val="28"/>
        </w:rPr>
        <w:t>A influência da música de massa nas relações do gênero numa sociedade falocêntrica”</w:t>
      </w:r>
      <w:r w:rsidRPr="00771368">
        <w:rPr>
          <w:sz w:val="24"/>
          <w:szCs w:val="28"/>
        </w:rPr>
        <w:t xml:space="preserve">, </w:t>
      </w:r>
      <w:r w:rsidRPr="00771368">
        <w:rPr>
          <w:sz w:val="24"/>
          <w:szCs w:val="24"/>
        </w:rPr>
        <w:t>retomo o olhar para o interior das práticas pedagógicas, com seus discursos e práticas, correlacionados à influência das músicas de massa na construção do gênero, tendo como norte a ideia de uma sociedade falocêntrica.</w:t>
      </w:r>
    </w:p>
    <w:p w:rsidR="00D24E61" w:rsidRPr="00771368" w:rsidRDefault="00D24E61" w:rsidP="00D24E61">
      <w:pPr>
        <w:spacing w:line="360" w:lineRule="auto"/>
        <w:ind w:firstLine="709"/>
        <w:jc w:val="both"/>
        <w:rPr>
          <w:sz w:val="24"/>
          <w:szCs w:val="24"/>
        </w:rPr>
      </w:pPr>
      <w:r w:rsidRPr="00771368">
        <w:rPr>
          <w:sz w:val="24"/>
          <w:szCs w:val="24"/>
        </w:rPr>
        <w:t xml:space="preserve">O terceiro e último tópico, intitulado </w:t>
      </w:r>
      <w:r w:rsidRPr="00771368">
        <w:rPr>
          <w:i/>
          <w:sz w:val="24"/>
          <w:szCs w:val="24"/>
        </w:rPr>
        <w:t>“Dentro dos muros e em cima dos bancos escolares: a construção de homens e mulheres de ‘verdade’”</w:t>
      </w:r>
      <w:r w:rsidRPr="00771368">
        <w:rPr>
          <w:sz w:val="24"/>
          <w:szCs w:val="24"/>
        </w:rPr>
        <w:t>, destina-se à reflexão sobre a maneira como a escola, enquanto instituição sócio-cultural, contribui na construção do gênero. Nele, também, realizo a análise e discussão das falas e expressões de alguns alunos e alunas do Colégio Estadual João Cardoso dos Santos; apresentando a síntese dos principais argumentos usados pelos sujeitos da pesquisa quanto à temática abordada, focando a efervescência das músicas de massa, tendo como base as letras do grupo Black Style; e, sobretudo, a possível influência destas na construção do gênero e na representação quanto o “ser homem” e “ser mulher” na sociedade atual.</w:t>
      </w:r>
    </w:p>
    <w:p w:rsidR="00D24E61" w:rsidRPr="00771368" w:rsidRDefault="00D24E61" w:rsidP="00D24E61">
      <w:pPr>
        <w:spacing w:line="360" w:lineRule="auto"/>
        <w:ind w:firstLine="709"/>
        <w:jc w:val="both"/>
        <w:rPr>
          <w:sz w:val="24"/>
          <w:szCs w:val="24"/>
        </w:rPr>
      </w:pPr>
      <w:r w:rsidRPr="00771368">
        <w:rPr>
          <w:sz w:val="24"/>
          <w:szCs w:val="24"/>
        </w:rPr>
        <w:t xml:space="preserve">Portanto, ressalto que as discussões trazidas e suscitadas neste trabalho não são absolutas e nem estanques, mas se apresentam como um dos possíveis meios para se pensar a relação entre cultura-gênero-escola numa perspectiva de igualdade de gênero. </w:t>
      </w:r>
    </w:p>
    <w:p w:rsidR="00D24E61" w:rsidRPr="00771368" w:rsidRDefault="00D24E61" w:rsidP="00D24E61">
      <w:pPr>
        <w:spacing w:line="360" w:lineRule="auto"/>
        <w:ind w:firstLine="709"/>
        <w:jc w:val="both"/>
        <w:rPr>
          <w:sz w:val="24"/>
          <w:szCs w:val="24"/>
        </w:rPr>
      </w:pPr>
    </w:p>
    <w:p w:rsidR="00D24E61" w:rsidRPr="00771368" w:rsidRDefault="00D24E61" w:rsidP="00D24E61">
      <w:pPr>
        <w:autoSpaceDE w:val="0"/>
        <w:autoSpaceDN w:val="0"/>
        <w:adjustRightInd w:val="0"/>
        <w:spacing w:after="120" w:line="360" w:lineRule="auto"/>
        <w:jc w:val="both"/>
        <w:rPr>
          <w:b/>
          <w:sz w:val="24"/>
          <w:szCs w:val="24"/>
        </w:rPr>
      </w:pPr>
      <w:r w:rsidRPr="00771368">
        <w:rPr>
          <w:b/>
          <w:sz w:val="24"/>
          <w:szCs w:val="24"/>
        </w:rPr>
        <w:t>1. HOMEM? MULHER? SER OU NÃO SER? EIS A QUESTÃO!</w:t>
      </w:r>
    </w:p>
    <w:p w:rsidR="00D24E61" w:rsidRPr="00771368" w:rsidRDefault="00D24E61" w:rsidP="00D24E61">
      <w:pPr>
        <w:spacing w:line="360" w:lineRule="auto"/>
        <w:ind w:firstLine="709"/>
        <w:jc w:val="both"/>
        <w:rPr>
          <w:sz w:val="24"/>
          <w:szCs w:val="24"/>
        </w:rPr>
      </w:pPr>
      <w:r w:rsidRPr="00771368">
        <w:rPr>
          <w:sz w:val="24"/>
          <w:szCs w:val="24"/>
        </w:rPr>
        <w:t xml:space="preserve"> “Ele tem ‘cara’ de homenzinho”, “ela tem ‘cara’ de quem será uma mulher determinada”, “toma jeito menino! homem não chora!”, “menina não brinca de bola!”... Para além de justificativas biológicas, a categorização entre comportamentos tidos como comuns aos indivíduos masculinos e femininos não se dá distante de um plano histórico-cultural.</w:t>
      </w:r>
    </w:p>
    <w:p w:rsidR="00D24E61" w:rsidRPr="00771368" w:rsidRDefault="00D24E61" w:rsidP="00D24E61">
      <w:pPr>
        <w:spacing w:line="360" w:lineRule="auto"/>
        <w:ind w:firstLine="709"/>
        <w:jc w:val="both"/>
        <w:rPr>
          <w:sz w:val="24"/>
          <w:szCs w:val="24"/>
        </w:rPr>
      </w:pPr>
      <w:r w:rsidRPr="00771368">
        <w:rPr>
          <w:sz w:val="24"/>
          <w:szCs w:val="24"/>
        </w:rPr>
        <w:t>Acredito que não seja confiável discutir o conceito de “gênero” distanciando-o do seu caráter, eminentemente, político, cultural e ideológico; tendo em vista que a questão não está centrada somente nos sexos (masculino e feminino), mas nas representações que foram socialmente construídas acerca dos sexos e sobre eles. Isso significa afirmar que a pretensão, ao se tratar das relações do gênero, não é negar a biologia humana, mas focalizar as construções sociais e históricas produzidas a partir das características biológicas, ou seja: O que significa nascer com um pênis? O que significa nascer com uma vagina?</w:t>
      </w:r>
    </w:p>
    <w:p w:rsidR="00D24E61" w:rsidRPr="00771368" w:rsidRDefault="00D24E61" w:rsidP="00D24E61">
      <w:pPr>
        <w:spacing w:line="360" w:lineRule="auto"/>
        <w:ind w:firstLine="709"/>
        <w:jc w:val="both"/>
        <w:rPr>
          <w:sz w:val="24"/>
          <w:szCs w:val="24"/>
        </w:rPr>
      </w:pPr>
      <w:r w:rsidRPr="00771368">
        <w:rPr>
          <w:sz w:val="24"/>
          <w:szCs w:val="24"/>
        </w:rPr>
        <w:t>A polarização homem-mulher existente nas sociedades sempre colocou o homem como o centro de referência legitimado, um ser superior, dotado de inteligência, força, virtudes, como a boa medida e o padrão. E a mulher como um ser invisível, subordinado, submisso e silenciado pelos ditames sociais, por seus discursos e práticas que exaltam a figura do homem e a colocam como “reflexo” ou “produto” de uma vida de obediência e fidelidade às normas e preceitos instituídos.</w:t>
      </w:r>
    </w:p>
    <w:p w:rsidR="00D24E61" w:rsidRPr="00771368" w:rsidRDefault="00D24E61" w:rsidP="00D24E61">
      <w:pPr>
        <w:spacing w:line="360" w:lineRule="auto"/>
        <w:ind w:firstLine="709"/>
        <w:jc w:val="both"/>
        <w:rPr>
          <w:sz w:val="24"/>
          <w:szCs w:val="24"/>
        </w:rPr>
      </w:pPr>
      <w:r w:rsidRPr="00771368">
        <w:rPr>
          <w:sz w:val="24"/>
          <w:szCs w:val="24"/>
        </w:rPr>
        <w:t>“Nesta perspectiva admite-se que as diferentes instituições e práticas sociais são constituídas pelos gêneros e são, também, constituintes dos gêneros. Estas práticas e instituições ‘fabricam’ os sujeitos [...]” (LOURO, 2010, p. 25).</w:t>
      </w:r>
    </w:p>
    <w:p w:rsidR="00D24E61" w:rsidRPr="00771368" w:rsidRDefault="00D24E61" w:rsidP="00D24E61">
      <w:pPr>
        <w:spacing w:line="360" w:lineRule="auto"/>
        <w:ind w:firstLine="709"/>
        <w:jc w:val="both"/>
        <w:rPr>
          <w:sz w:val="24"/>
          <w:szCs w:val="24"/>
        </w:rPr>
      </w:pPr>
      <w:r w:rsidRPr="00771368">
        <w:rPr>
          <w:sz w:val="24"/>
          <w:szCs w:val="24"/>
        </w:rPr>
        <w:t xml:space="preserve">Isto reforça, cada vez mais, o caráter político do gênero, que se revela à medida que estudos, como os desenvolvidos por Louro (2010) e Foucault (1988), situa-o na esfera de uma construção ou “invenção social” fundamentada, sobretudo, nas relações de poder, tendo como pano de fundo as dicotomias entre o masculino e o feminino, colocando de um lado o homem como ser dominante (luminoso) e do outro lado a mulher enquanto ser dominado (iluminado). </w:t>
      </w:r>
    </w:p>
    <w:p w:rsidR="00D24E61" w:rsidRPr="00771368" w:rsidRDefault="00D24E61" w:rsidP="00D24E61">
      <w:pPr>
        <w:spacing w:line="360" w:lineRule="auto"/>
        <w:ind w:firstLine="709"/>
        <w:jc w:val="both"/>
        <w:rPr>
          <w:sz w:val="24"/>
          <w:szCs w:val="24"/>
        </w:rPr>
      </w:pPr>
      <w:r w:rsidRPr="00771368">
        <w:rPr>
          <w:sz w:val="24"/>
          <w:szCs w:val="24"/>
        </w:rPr>
        <w:t xml:space="preserve">Segundo Foucault (1988), o poder se expressa como mecanismo estratégico de legitimação, censura, repressão, repreensão e manobra. À luz das ideologias correlacionadas às relações do gênero, o poder sempre foi utilizado como instrumento de legitimação da superioridade de um sexo (masculino) em relação a outro (feminino), causando a negação e inibição deste último. Por isso, para Foucault (1988), na polaridade homem-mulher o poder é capaz de produzir sujeitos, contribuir para a fabricação de corpos frágeis, à indução ou legitimação de comportamentos e à construção de indivíduos sem consciência política. </w:t>
      </w:r>
    </w:p>
    <w:p w:rsidR="00D24E61" w:rsidRPr="00771368" w:rsidRDefault="00D24E61" w:rsidP="00D24E61">
      <w:pPr>
        <w:spacing w:line="360" w:lineRule="auto"/>
        <w:ind w:firstLine="709"/>
        <w:jc w:val="both"/>
        <w:rPr>
          <w:sz w:val="24"/>
          <w:szCs w:val="24"/>
        </w:rPr>
      </w:pPr>
      <w:r w:rsidRPr="00771368">
        <w:rPr>
          <w:sz w:val="24"/>
          <w:szCs w:val="24"/>
        </w:rPr>
        <w:t xml:space="preserve">Isto coloca em evidência que a sociedade, ao longo dos anos, por diferentes formas e meios, sempre esteve marcada por uma rígida hierarquia de gêneros que organizam as relações sociais. Esta rígida hierarquia, na maioria das vezes, destina lugares, posições de prestígio, funções, direitos e deveres, a cada sexo, em todos os contextos: vida política, acesso à escola e ao mercado de trabalho, a propriedade, chefia civil do lar, dentre outros. Pois, </w:t>
      </w:r>
    </w:p>
    <w:p w:rsidR="00D24E61" w:rsidRPr="000D4E9B" w:rsidRDefault="00D24E61" w:rsidP="00D24E61">
      <w:pPr>
        <w:spacing w:after="120"/>
        <w:ind w:left="2268"/>
        <w:jc w:val="both"/>
        <w:rPr>
          <w:i/>
          <w:sz w:val="20"/>
          <w:szCs w:val="20"/>
        </w:rPr>
      </w:pPr>
      <w:r w:rsidRPr="000D4E9B">
        <w:rPr>
          <w:i/>
          <w:sz w:val="20"/>
          <w:szCs w:val="20"/>
        </w:rPr>
        <w:t xml:space="preserve">relacionada, a princípio, às distinções biológicas, a diferença entre os gêneros serviu para explicar e justificar as mais variadas distinções entre mulheres e homens. Teorias foram construídas e utilizadas para [...] para justificar os lugares sociais, as possibilidades e os destinos “próprios” de cada gênero [...] Mas o que estava centralmente implicado em todas essas discussões eram as relações de poder que ali se construíram e se pretendiam fixar. Importava saber quem definia a diferença, quem era considerada diferente, o que significava ser diferente. O que estava em jogo, de fato, eram desigualdades (LOURO, 2010, p. 45-46). </w:t>
      </w:r>
    </w:p>
    <w:p w:rsidR="00D24E61" w:rsidRPr="00771368" w:rsidRDefault="00D24E61" w:rsidP="00D24E61">
      <w:pPr>
        <w:spacing w:line="360" w:lineRule="auto"/>
        <w:ind w:firstLine="709"/>
        <w:jc w:val="both"/>
        <w:rPr>
          <w:sz w:val="24"/>
          <w:szCs w:val="24"/>
        </w:rPr>
      </w:pPr>
      <w:r w:rsidRPr="00771368">
        <w:rPr>
          <w:sz w:val="24"/>
          <w:szCs w:val="24"/>
        </w:rPr>
        <w:t xml:space="preserve">O posicionamento de Louro (2010) sinaliza que não podemos acreditar, de forma ingênua, que a participação de homens e mulheres na vida social, política, econômica e cultural, seja aleatória, fruto de desejos, muito menos de aptidões ou habilidades naturais a cada sexo.  Na verdade, somos, cultural e socialmente, educados e educadas para gostar mais ou menos de esporte, política, economia, culinária, moda, leis, do outro, da outra cultura, do outro modo de pensar e ser, quer sejamos do sexo masculino ou feminino. Isto reflete, no âmbito social, à medida que se busca previamente que os indivíduos tenham atitudes próprias de “homem” ou “mulher”, tendo como fator preponderante aspectos biológicos. </w:t>
      </w:r>
    </w:p>
    <w:p w:rsidR="00D24E61" w:rsidRPr="00771368" w:rsidRDefault="00D24E61" w:rsidP="00D24E61">
      <w:pPr>
        <w:spacing w:line="360" w:lineRule="auto"/>
        <w:ind w:firstLine="709"/>
        <w:jc w:val="both"/>
        <w:rPr>
          <w:sz w:val="24"/>
          <w:szCs w:val="24"/>
        </w:rPr>
      </w:pPr>
      <w:r w:rsidRPr="00771368">
        <w:rPr>
          <w:sz w:val="24"/>
          <w:szCs w:val="24"/>
        </w:rPr>
        <w:t xml:space="preserve">Ora, se parto do pressuposto de que o gênero refere-se a um constructo social, logo o comportamento sexual dos indivíduos varia no interior das culturas a depender dos caracteres que serão atribuídos à condição biológica do indivíduo. Por isso, refletir sobre a concepção de gênero pelo viés da igualdade e da diversidade, com o olhar voltado para uma concepção antropológica de cultura, significa afirmar que </w:t>
      </w:r>
    </w:p>
    <w:p w:rsidR="00D24E61" w:rsidRPr="000D4E9B" w:rsidRDefault="00D24E61" w:rsidP="00D24E61">
      <w:pPr>
        <w:autoSpaceDE w:val="0"/>
        <w:autoSpaceDN w:val="0"/>
        <w:adjustRightInd w:val="0"/>
        <w:spacing w:after="120"/>
        <w:ind w:left="2268"/>
        <w:jc w:val="both"/>
        <w:rPr>
          <w:i/>
          <w:sz w:val="20"/>
          <w:szCs w:val="20"/>
        </w:rPr>
      </w:pPr>
      <w:r w:rsidRPr="000D4E9B">
        <w:rPr>
          <w:i/>
          <w:sz w:val="20"/>
          <w:szCs w:val="20"/>
        </w:rPr>
        <w:t>ninguém nasce mulher ou homem, mas se faz homem ou mulher. É no contexto histórico e cultural que se constitui a identidade de gênero feminina e masculina [...] cada cultura terá imagens do que é ser homem ou mulher [...] Estes vão definir o lugar que o sujeito ocupará na sociedade (LIZ; GESSER, 2010, p. 06).</w:t>
      </w:r>
    </w:p>
    <w:p w:rsidR="00D24E61" w:rsidRPr="00771368" w:rsidRDefault="00D24E61" w:rsidP="00D24E61">
      <w:pPr>
        <w:spacing w:line="360" w:lineRule="auto"/>
        <w:ind w:firstLine="709"/>
        <w:jc w:val="both"/>
        <w:rPr>
          <w:sz w:val="24"/>
          <w:szCs w:val="24"/>
        </w:rPr>
      </w:pPr>
      <w:r w:rsidRPr="00771368">
        <w:rPr>
          <w:sz w:val="24"/>
          <w:szCs w:val="24"/>
        </w:rPr>
        <w:t>Quanto a este aspecto, alguns estudos e discussões, como aqueles trazidos por Giddens (1993), mostram que as práticas sexuais variam muito no interior das culturas e através dos tempos, razão pela qual é complexo determinar o que é “ser homem” e “ser mulher” sem considerar a especificidade de cultura que compõe este “homem” e esta “mulher”.</w:t>
      </w:r>
    </w:p>
    <w:p w:rsidR="00D24E61" w:rsidRPr="00771368" w:rsidRDefault="00D24E61" w:rsidP="00D24E61">
      <w:pPr>
        <w:spacing w:line="360" w:lineRule="auto"/>
        <w:ind w:firstLine="709"/>
        <w:jc w:val="both"/>
        <w:rPr>
          <w:sz w:val="24"/>
          <w:szCs w:val="24"/>
        </w:rPr>
      </w:pPr>
      <w:r w:rsidRPr="00771368">
        <w:rPr>
          <w:sz w:val="24"/>
          <w:szCs w:val="24"/>
        </w:rPr>
        <w:t xml:space="preserve">Para além de uma questão de “ser ou não” homem/mulher, o meu entendimento acerca de gênero parte do pressuposto de que ele se constitui como “[...] a organização social da diferença sexual. Ele não reflete a realidade biológica primeira, mas ele constrói o sentido dessa realidade” (LIZ; GESSER </w:t>
      </w:r>
      <w:r w:rsidRPr="00771368">
        <w:rPr>
          <w:i/>
          <w:iCs/>
          <w:sz w:val="24"/>
          <w:szCs w:val="24"/>
        </w:rPr>
        <w:t>apud</w:t>
      </w:r>
      <w:r w:rsidRPr="00771368">
        <w:rPr>
          <w:sz w:val="24"/>
          <w:szCs w:val="24"/>
        </w:rPr>
        <w:t xml:space="preserve"> SCOTT, 2010, p. 06). </w:t>
      </w:r>
    </w:p>
    <w:p w:rsidR="00D24E61" w:rsidRPr="00771368" w:rsidRDefault="00D24E61" w:rsidP="00D24E61">
      <w:pPr>
        <w:spacing w:after="360" w:line="360" w:lineRule="auto"/>
        <w:ind w:firstLine="709"/>
        <w:jc w:val="both"/>
        <w:rPr>
          <w:sz w:val="24"/>
          <w:szCs w:val="24"/>
        </w:rPr>
      </w:pPr>
      <w:r w:rsidRPr="00771368">
        <w:rPr>
          <w:sz w:val="24"/>
          <w:szCs w:val="24"/>
        </w:rPr>
        <w:t xml:space="preserve">Portanto, as discussões sobre gênero, devem ter como ponto de partida a premissa de que o gênero é situacional. Isto é, a sua compreensão dá-se dentro do campo das relações de lutas, poder e significações que são direcionadas ao corpo masculino e feminino, tendo a genitália enquanto “divisor” das formas características como as pessoas deverão pensar, sentir e agir em relação à sua sexualidade e à sua cultura. </w:t>
      </w:r>
    </w:p>
    <w:p w:rsidR="00D24E61" w:rsidRPr="00771368" w:rsidRDefault="00D24E61" w:rsidP="00D24E61">
      <w:pPr>
        <w:autoSpaceDE w:val="0"/>
        <w:autoSpaceDN w:val="0"/>
        <w:adjustRightInd w:val="0"/>
        <w:spacing w:after="120" w:line="360" w:lineRule="auto"/>
        <w:jc w:val="both"/>
        <w:rPr>
          <w:b/>
          <w:sz w:val="24"/>
          <w:szCs w:val="24"/>
        </w:rPr>
      </w:pPr>
      <w:r w:rsidRPr="00771368">
        <w:rPr>
          <w:b/>
          <w:sz w:val="24"/>
          <w:szCs w:val="24"/>
        </w:rPr>
        <w:t>2. A INFLUÊNCIA DA MÚSICA DE MASSA NAS RELAÇÕES DO GÊNERO NUMA SOCIEDADE FALOCÊNTRICA</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É fato que as discussões que perpassam as (des)igualdades de gênero, são marcadas ou convergem, em sua maioria, para o processo de naturalização das relações entre homens e mulheres. Muito além de um cenário social carregado de uma falsa inerência, esta visão é perpassada pelo império cultural de uma concepção falocêntrica de sociedade.</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A expressão “falocêntrica”, que subsidia as sociedades em geral e que venho abordando aqui, provém do termo </w:t>
      </w:r>
      <w:r w:rsidRPr="00771368">
        <w:rPr>
          <w:i/>
          <w:sz w:val="24"/>
          <w:szCs w:val="24"/>
        </w:rPr>
        <w:t>“falo”</w:t>
      </w:r>
      <w:r w:rsidRPr="00771368">
        <w:rPr>
          <w:sz w:val="24"/>
          <w:szCs w:val="24"/>
        </w:rPr>
        <w:t xml:space="preserve">, cujo vocábulo grego significa </w:t>
      </w:r>
      <w:r w:rsidRPr="00771368">
        <w:rPr>
          <w:i/>
          <w:sz w:val="24"/>
          <w:szCs w:val="24"/>
        </w:rPr>
        <w:t>“pênis”</w:t>
      </w:r>
      <w:r w:rsidRPr="00771368">
        <w:rPr>
          <w:sz w:val="24"/>
          <w:szCs w:val="24"/>
        </w:rPr>
        <w:t xml:space="preserve">; discutido por Freud e Lacan </w:t>
      </w:r>
      <w:r w:rsidRPr="00771368">
        <w:rPr>
          <w:i/>
          <w:sz w:val="24"/>
          <w:szCs w:val="24"/>
        </w:rPr>
        <w:t>apud</w:t>
      </w:r>
      <w:r w:rsidRPr="00771368">
        <w:rPr>
          <w:sz w:val="24"/>
          <w:szCs w:val="24"/>
        </w:rPr>
        <w:t xml:space="preserve"> Belo (2011), quando chama a atenção para a presença do pênis como elemento determinante e significativo que representa, simbólica e culturalmente, o eixo que de maneira paulatina define os espaços e as formas como se estruturam as relações entre homens e mulheres. É a presença do pênis e não da vagina, que vai, gradativamente, marcando e delimitando os territórios e posições sociais de prestígios, de preconceitos, afirmando ou negando quem pode ou não pode, o que é lícito ou ilícito. </w:t>
      </w:r>
    </w:p>
    <w:p w:rsidR="00D24E61" w:rsidRPr="00771368" w:rsidRDefault="00D24E61" w:rsidP="00D24E61">
      <w:pPr>
        <w:autoSpaceDE w:val="0"/>
        <w:autoSpaceDN w:val="0"/>
        <w:adjustRightInd w:val="0"/>
        <w:spacing w:line="360" w:lineRule="auto"/>
        <w:ind w:firstLine="709"/>
        <w:jc w:val="both"/>
        <w:rPr>
          <w:sz w:val="24"/>
          <w:szCs w:val="24"/>
          <w:shd w:val="clear" w:color="auto" w:fill="FFFFFF"/>
        </w:rPr>
      </w:pPr>
      <w:r w:rsidRPr="00771368">
        <w:rPr>
          <w:sz w:val="24"/>
          <w:szCs w:val="24"/>
        </w:rPr>
        <w:t xml:space="preserve">Deste modo, uma sociedade falocêntrica constitui-se como centralizadora da superioridade masculina. </w:t>
      </w:r>
      <w:r w:rsidRPr="00771368">
        <w:rPr>
          <w:sz w:val="24"/>
          <w:szCs w:val="24"/>
          <w:shd w:val="clear" w:color="auto" w:fill="FFFFFF"/>
        </w:rPr>
        <w:t xml:space="preserve">E a mulher, por sua vez, </w:t>
      </w:r>
    </w:p>
    <w:p w:rsidR="00D24E61" w:rsidRPr="000D4E9B" w:rsidRDefault="00D24E61" w:rsidP="00D24E61">
      <w:pPr>
        <w:autoSpaceDE w:val="0"/>
        <w:autoSpaceDN w:val="0"/>
        <w:adjustRightInd w:val="0"/>
        <w:spacing w:after="120"/>
        <w:ind w:left="2268"/>
        <w:jc w:val="both"/>
        <w:rPr>
          <w:i/>
          <w:color w:val="222222"/>
          <w:sz w:val="24"/>
          <w:szCs w:val="28"/>
          <w:shd w:val="clear" w:color="auto" w:fill="FFF9EE"/>
        </w:rPr>
      </w:pPr>
      <w:r w:rsidRPr="000D4E9B">
        <w:rPr>
          <w:i/>
          <w:sz w:val="20"/>
          <w:szCs w:val="20"/>
          <w:shd w:val="clear" w:color="auto" w:fill="FFFFFF"/>
        </w:rPr>
        <w:t>[...] seja ocupando os menores cargos de uma empresa, relegada ao ostracismo, ou mesmo figurando como um produto na capa da Playboy, onde ostenta uma falsa ideia de poder; não importa: a mulher está na periferia de uma sociedade falocêntrica, à sombra de um mundo dominado pelo gênero masculino, e via de regra ocupando o papel que a eles melhor interessar, seja este papel o de uma bedel subalterna ou o de uma glamorosa vedete que lhe satisfaça os desejos, mas sempre aos seus pés, em um degrau inferior (VADER, 2011, p. 01).</w:t>
      </w:r>
    </w:p>
    <w:p w:rsidR="00D24E61" w:rsidRPr="00771368" w:rsidRDefault="00D24E61" w:rsidP="00D24E61">
      <w:pPr>
        <w:autoSpaceDE w:val="0"/>
        <w:autoSpaceDN w:val="0"/>
        <w:adjustRightInd w:val="0"/>
        <w:spacing w:line="360" w:lineRule="auto"/>
        <w:ind w:firstLine="709"/>
        <w:jc w:val="both"/>
        <w:rPr>
          <w:sz w:val="24"/>
          <w:szCs w:val="28"/>
        </w:rPr>
      </w:pPr>
      <w:r w:rsidRPr="00771368">
        <w:rPr>
          <w:sz w:val="24"/>
          <w:szCs w:val="28"/>
        </w:rPr>
        <w:t xml:space="preserve">Sendo a sociedade ocidental “falocêntrica”, a naturalização entre </w:t>
      </w:r>
      <w:r w:rsidRPr="00771368">
        <w:rPr>
          <w:i/>
          <w:sz w:val="24"/>
          <w:szCs w:val="28"/>
        </w:rPr>
        <w:t>“o ser homem”</w:t>
      </w:r>
      <w:r w:rsidRPr="00771368">
        <w:rPr>
          <w:sz w:val="24"/>
          <w:szCs w:val="28"/>
        </w:rPr>
        <w:t xml:space="preserve"> e </w:t>
      </w:r>
      <w:r w:rsidRPr="00771368">
        <w:rPr>
          <w:i/>
          <w:sz w:val="24"/>
          <w:szCs w:val="28"/>
        </w:rPr>
        <w:t>“o ser mulher”</w:t>
      </w:r>
      <w:r w:rsidRPr="00771368">
        <w:rPr>
          <w:sz w:val="24"/>
          <w:szCs w:val="28"/>
        </w:rPr>
        <w:t xml:space="preserve"> baseia-se em relações assimétricas. No entanto, a dicotomia entre o biológico e o histórico concorre para a construção de conflitos e tensões entre o masculino e o feminino, determinando funções, atribuindo culpas, provocando medos e sanções; onde se engendram as discussões acerca das (des)igualdades de gêneros, caracterizadas por uma relação onde a construção do gênero é feita por meio de crenças, valores, símbolos, influenciada por questões sociais, políticas, econômicas, ideológicas, religiosas e culturais.</w:t>
      </w:r>
    </w:p>
    <w:p w:rsidR="00D24E61" w:rsidRPr="00771368" w:rsidRDefault="00D24E61" w:rsidP="00D24E61">
      <w:pPr>
        <w:autoSpaceDE w:val="0"/>
        <w:autoSpaceDN w:val="0"/>
        <w:adjustRightInd w:val="0"/>
        <w:spacing w:line="360" w:lineRule="auto"/>
        <w:ind w:firstLine="709"/>
        <w:jc w:val="both"/>
        <w:rPr>
          <w:sz w:val="28"/>
          <w:szCs w:val="24"/>
        </w:rPr>
      </w:pPr>
      <w:r w:rsidRPr="00771368">
        <w:rPr>
          <w:sz w:val="24"/>
          <w:szCs w:val="28"/>
        </w:rPr>
        <w:t xml:space="preserve">Quanto a este aspecto, Lima e Zucco (2011) trazem um ponto primordial, que atua como fator decisivo e/ou fortemente influenciador da maneira como homens e mulheres se comportam: os discursos. E um dos maiores mecanismos discursivos, que ao longo dos anos influenciou e ainda influencia crianças, adolescentes, jovens e adultos são as músicas, utilizadas em diferentes épocas com intencionalidades diversas e, </w:t>
      </w:r>
      <w:r w:rsidRPr="00771368">
        <w:rPr>
          <w:sz w:val="24"/>
          <w:szCs w:val="24"/>
        </w:rPr>
        <w:t>carregadas de um caráter simbólico, atuam como meios que difundem mensagens. Como afirma Trotta (2009, p. 144), “</w:t>
      </w:r>
      <w:r w:rsidRPr="00771368">
        <w:rPr>
          <w:sz w:val="24"/>
        </w:rPr>
        <w:t>a música é um artefato cultural que processa e elabora pensamentos sobre a vida em sociedade [...]”.</w:t>
      </w:r>
      <w:r w:rsidRPr="00771368">
        <w:rPr>
          <w:sz w:val="28"/>
          <w:szCs w:val="24"/>
        </w:rPr>
        <w:t xml:space="preserve"> </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Neste sentido, as letras e recortes de músicas que serão analisadas compõem o repertório do grupo Black Style, que tem sido um marco nos últimos meses, alcançando considerável repercussão, em especial, nas camadas de menor poder aquisitivo. </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É importante ressalvar que o objetivo deste trabalho não é colocar o grupo musical, ora citado, em juízo de valor. Mas, a natureza </w:t>
      </w:r>
      <w:r w:rsidRPr="00771368">
        <w:rPr>
          <w:sz w:val="24"/>
        </w:rPr>
        <w:t xml:space="preserve">central é discutir a maneira como as produções destas letras podem ou não influenciar na vida das pessoas, principalmente na construção da (des)igualdade de gênero. </w:t>
      </w:r>
      <w:r w:rsidRPr="00771368">
        <w:rPr>
          <w:sz w:val="24"/>
          <w:szCs w:val="24"/>
        </w:rPr>
        <w:t xml:space="preserve">Diante, então, da produção estética e linguística das letras de músicas do grupo Black Style, selecionei as seguintes composições musicais: </w:t>
      </w:r>
      <w:r w:rsidRPr="00771368">
        <w:rPr>
          <w:bCs/>
          <w:i/>
          <w:iCs/>
          <w:sz w:val="24"/>
          <w:szCs w:val="24"/>
          <w:shd w:val="clear" w:color="auto" w:fill="FFFFFF"/>
        </w:rPr>
        <w:t>“Perereca Pisca”</w:t>
      </w:r>
      <w:r w:rsidRPr="00771368">
        <w:rPr>
          <w:bCs/>
          <w:iCs/>
          <w:sz w:val="24"/>
          <w:szCs w:val="24"/>
          <w:shd w:val="clear" w:color="auto" w:fill="FFFFFF"/>
        </w:rPr>
        <w:t xml:space="preserve">, </w:t>
      </w:r>
      <w:r w:rsidRPr="00771368">
        <w:rPr>
          <w:bCs/>
          <w:i/>
          <w:iCs/>
          <w:sz w:val="24"/>
          <w:szCs w:val="24"/>
          <w:shd w:val="clear" w:color="auto" w:fill="FFFFFF"/>
        </w:rPr>
        <w:t>“Abecedário da Alegria”</w:t>
      </w:r>
      <w:r w:rsidRPr="00771368">
        <w:rPr>
          <w:bCs/>
          <w:iCs/>
          <w:sz w:val="24"/>
          <w:szCs w:val="24"/>
          <w:shd w:val="clear" w:color="auto" w:fill="FFFFFF"/>
        </w:rPr>
        <w:t xml:space="preserve">, </w:t>
      </w:r>
      <w:r w:rsidRPr="00771368">
        <w:rPr>
          <w:bCs/>
          <w:i/>
          <w:iCs/>
          <w:sz w:val="24"/>
          <w:szCs w:val="24"/>
          <w:shd w:val="clear" w:color="auto" w:fill="FFFFFF"/>
        </w:rPr>
        <w:t>“Vem Negona”</w:t>
      </w:r>
      <w:r w:rsidRPr="00771368">
        <w:rPr>
          <w:bCs/>
          <w:iCs/>
          <w:sz w:val="24"/>
          <w:szCs w:val="24"/>
          <w:shd w:val="clear" w:color="auto" w:fill="FFFFFF"/>
        </w:rPr>
        <w:t xml:space="preserve">, </w:t>
      </w:r>
      <w:r w:rsidRPr="00771368">
        <w:rPr>
          <w:bCs/>
          <w:i/>
          <w:iCs/>
          <w:sz w:val="24"/>
          <w:szCs w:val="24"/>
          <w:shd w:val="clear" w:color="auto" w:fill="FFFFFF"/>
        </w:rPr>
        <w:t>“Mulher é Igual a Lata”</w:t>
      </w:r>
      <w:r w:rsidRPr="00771368">
        <w:rPr>
          <w:bCs/>
          <w:iCs/>
          <w:sz w:val="24"/>
          <w:szCs w:val="24"/>
          <w:shd w:val="clear" w:color="auto" w:fill="FFFFFF"/>
        </w:rPr>
        <w:t xml:space="preserve">, </w:t>
      </w:r>
      <w:r w:rsidRPr="00771368">
        <w:rPr>
          <w:bCs/>
          <w:i/>
          <w:iCs/>
          <w:sz w:val="24"/>
          <w:szCs w:val="24"/>
          <w:shd w:val="clear" w:color="auto" w:fill="FFFFFF"/>
        </w:rPr>
        <w:t>Ai Tá Gostosinho”</w:t>
      </w:r>
      <w:r w:rsidRPr="00771368">
        <w:rPr>
          <w:bCs/>
          <w:iCs/>
          <w:sz w:val="24"/>
          <w:szCs w:val="24"/>
          <w:shd w:val="clear" w:color="auto" w:fill="FFFFFF"/>
        </w:rPr>
        <w:t xml:space="preserve">, </w:t>
      </w:r>
      <w:r w:rsidRPr="00771368">
        <w:rPr>
          <w:bCs/>
          <w:i/>
          <w:iCs/>
          <w:sz w:val="24"/>
          <w:szCs w:val="24"/>
          <w:shd w:val="clear" w:color="auto" w:fill="FFFFFF"/>
        </w:rPr>
        <w:t>“Só Sexo”</w:t>
      </w:r>
      <w:r w:rsidRPr="00771368">
        <w:rPr>
          <w:bCs/>
          <w:iCs/>
          <w:sz w:val="24"/>
          <w:szCs w:val="24"/>
          <w:shd w:val="clear" w:color="auto" w:fill="FFFFFF"/>
        </w:rPr>
        <w:t xml:space="preserve">, </w:t>
      </w:r>
      <w:r w:rsidRPr="00771368">
        <w:rPr>
          <w:bCs/>
          <w:i/>
          <w:iCs/>
          <w:sz w:val="24"/>
          <w:szCs w:val="24"/>
          <w:shd w:val="clear" w:color="auto" w:fill="FFFFFF"/>
        </w:rPr>
        <w:t xml:space="preserve">“Anaconda” </w:t>
      </w:r>
      <w:r w:rsidRPr="00771368">
        <w:rPr>
          <w:bCs/>
          <w:iCs/>
          <w:sz w:val="24"/>
          <w:szCs w:val="24"/>
          <w:shd w:val="clear" w:color="auto" w:fill="FFFFFF"/>
        </w:rPr>
        <w:t>e</w:t>
      </w:r>
      <w:r w:rsidRPr="00771368">
        <w:rPr>
          <w:bCs/>
          <w:i/>
          <w:iCs/>
          <w:sz w:val="24"/>
          <w:szCs w:val="24"/>
          <w:shd w:val="clear" w:color="auto" w:fill="FFFFFF"/>
        </w:rPr>
        <w:t xml:space="preserve"> “Patinha”</w:t>
      </w:r>
      <w:r w:rsidRPr="00771368">
        <w:rPr>
          <w:bCs/>
          <w:iCs/>
          <w:sz w:val="24"/>
          <w:szCs w:val="24"/>
          <w:shd w:val="clear" w:color="auto" w:fill="FFFFFF"/>
        </w:rPr>
        <w:t>.</w:t>
      </w:r>
    </w:p>
    <w:p w:rsidR="00D24E61" w:rsidRPr="00771368" w:rsidRDefault="00D24E61" w:rsidP="00D24E61">
      <w:pPr>
        <w:spacing w:line="360" w:lineRule="auto"/>
        <w:ind w:firstLine="709"/>
        <w:jc w:val="both"/>
        <w:rPr>
          <w:szCs w:val="24"/>
          <w:shd w:val="clear" w:color="auto" w:fill="FFFFFF"/>
        </w:rPr>
      </w:pPr>
      <w:r w:rsidRPr="00771368">
        <w:rPr>
          <w:sz w:val="24"/>
          <w:szCs w:val="24"/>
        </w:rPr>
        <w:t xml:space="preserve">A partir da análise das letras, acima citadas, verifiquei que, na maioria delas, a mulher é considerada como um ser submisso, que espera por um homem com bastante “apetite sexual” e que, consequentemente, sacie o seu desejo sexual: </w:t>
      </w:r>
      <w:r w:rsidRPr="00771368">
        <w:rPr>
          <w:i/>
          <w:sz w:val="24"/>
          <w:szCs w:val="24"/>
        </w:rPr>
        <w:t>“</w:t>
      </w:r>
      <w:r w:rsidRPr="00771368">
        <w:rPr>
          <w:i/>
          <w:sz w:val="24"/>
          <w:szCs w:val="24"/>
          <w:shd w:val="clear" w:color="auto" w:fill="FFFFFF"/>
        </w:rPr>
        <w:t>Quando chego na boate/Ela se excita/Levanta a garrafa de whisk/A perereca dela/Pisca, pisca/Abecedário, abecedário, abecedário da alegria (3x)/Vou te comer todo dia...”</w:t>
      </w:r>
      <w:r w:rsidRPr="00771368">
        <w:rPr>
          <w:sz w:val="24"/>
          <w:szCs w:val="24"/>
          <w:shd w:val="clear" w:color="auto" w:fill="FFFFFF"/>
        </w:rPr>
        <w:t xml:space="preserve"> (GRUPO BLACK STYLE, 2011).</w:t>
      </w:r>
    </w:p>
    <w:p w:rsidR="00D24E61" w:rsidRPr="00771368" w:rsidRDefault="00D24E61" w:rsidP="00D24E61">
      <w:pPr>
        <w:autoSpaceDE w:val="0"/>
        <w:autoSpaceDN w:val="0"/>
        <w:adjustRightInd w:val="0"/>
        <w:spacing w:line="360" w:lineRule="auto"/>
        <w:ind w:firstLine="709"/>
        <w:jc w:val="both"/>
        <w:rPr>
          <w:sz w:val="28"/>
          <w:szCs w:val="24"/>
        </w:rPr>
      </w:pPr>
      <w:r w:rsidRPr="00771368">
        <w:rPr>
          <w:sz w:val="24"/>
          <w:szCs w:val="24"/>
        </w:rPr>
        <w:t xml:space="preserve">A figura da mulher também é exposta como alguém que gosta muito de apanhar para sentir prazer. Logo, a humilhação não é vista como algo desonroso para a mulher, mas como elemento de sua preferência. Esta visão, muito provavelmente, é fruto da ideia de que o homem, histórica e naturalmente, é considerado no Ocidente como um ser ativo, em contrapartida a mulher assume a condição de passiva e dependente da força masculina: </w:t>
      </w:r>
      <w:r w:rsidRPr="00771368">
        <w:rPr>
          <w:i/>
          <w:sz w:val="24"/>
          <w:szCs w:val="24"/>
        </w:rPr>
        <w:t>“</w:t>
      </w:r>
      <w:r w:rsidRPr="00771368">
        <w:rPr>
          <w:i/>
          <w:sz w:val="24"/>
          <w:shd w:val="clear" w:color="auto" w:fill="FFFFFF"/>
        </w:rPr>
        <w:t xml:space="preserve">Bota com raiva/Bota com raiva/Senta com ódio/Senta com ódio/Senta com ódio/Oh, bota!/(Ela diz): Aí, vai!” </w:t>
      </w:r>
      <w:r w:rsidRPr="00771368">
        <w:rPr>
          <w:sz w:val="24"/>
          <w:shd w:val="clear" w:color="auto" w:fill="FFFFFF"/>
        </w:rPr>
        <w:t>(</w:t>
      </w:r>
      <w:r w:rsidRPr="00771368">
        <w:rPr>
          <w:sz w:val="24"/>
          <w:szCs w:val="24"/>
          <w:shd w:val="clear" w:color="auto" w:fill="FFFFFF"/>
        </w:rPr>
        <w:t>GRUPO</w:t>
      </w:r>
      <w:r w:rsidRPr="00771368">
        <w:rPr>
          <w:sz w:val="24"/>
          <w:shd w:val="clear" w:color="auto" w:fill="FFFFFF"/>
        </w:rPr>
        <w:t xml:space="preserve"> BLACK STYLE, 2011).</w:t>
      </w:r>
    </w:p>
    <w:p w:rsidR="00D24E61" w:rsidRPr="00771368" w:rsidRDefault="00D24E61" w:rsidP="00D24E61">
      <w:pPr>
        <w:autoSpaceDE w:val="0"/>
        <w:autoSpaceDN w:val="0"/>
        <w:adjustRightInd w:val="0"/>
        <w:spacing w:line="360" w:lineRule="auto"/>
        <w:ind w:firstLine="709"/>
        <w:jc w:val="both"/>
        <w:rPr>
          <w:i/>
          <w:sz w:val="24"/>
          <w:szCs w:val="24"/>
        </w:rPr>
      </w:pPr>
      <w:r w:rsidRPr="00771368">
        <w:rPr>
          <w:sz w:val="24"/>
          <w:szCs w:val="24"/>
        </w:rPr>
        <w:t xml:space="preserve">Algumas músicas atrelam ao perfil da mulher, características como sedutora, feiticeira, pecadora e desejável por se parecer com celebridades midiáticas: </w:t>
      </w:r>
      <w:r w:rsidRPr="00771368">
        <w:rPr>
          <w:i/>
          <w:sz w:val="24"/>
          <w:szCs w:val="24"/>
        </w:rPr>
        <w:t>“</w:t>
      </w:r>
      <w:r w:rsidRPr="00771368">
        <w:rPr>
          <w:i/>
          <w:sz w:val="24"/>
          <w:szCs w:val="24"/>
          <w:shd w:val="clear" w:color="auto" w:fill="FFFFFF"/>
        </w:rPr>
        <w:t xml:space="preserve">Ai ela é cheirosa, ela é charmosa, ela é um tesão/Passa com a bunda impinada essa negona já é sensação/Vem negona, vem negona/Eu fico tarado/Meu coração começa a tremer/Seu cabelo alisado/Ela parece com Byocé...” </w:t>
      </w:r>
      <w:r w:rsidRPr="00771368">
        <w:rPr>
          <w:sz w:val="24"/>
          <w:szCs w:val="24"/>
          <w:shd w:val="clear" w:color="auto" w:fill="FFFFFF"/>
        </w:rPr>
        <w:t>(GRUPO BLACK STYLE, 2011).</w:t>
      </w:r>
    </w:p>
    <w:p w:rsidR="00D24E61" w:rsidRPr="00771368" w:rsidRDefault="00D24E61" w:rsidP="00D24E61">
      <w:pPr>
        <w:autoSpaceDE w:val="0"/>
        <w:autoSpaceDN w:val="0"/>
        <w:adjustRightInd w:val="0"/>
        <w:spacing w:line="360" w:lineRule="auto"/>
        <w:ind w:firstLine="709"/>
        <w:jc w:val="both"/>
        <w:rPr>
          <w:i/>
          <w:sz w:val="24"/>
          <w:szCs w:val="24"/>
        </w:rPr>
      </w:pPr>
      <w:r w:rsidRPr="00771368">
        <w:rPr>
          <w:sz w:val="24"/>
          <w:szCs w:val="24"/>
        </w:rPr>
        <w:t xml:space="preserve">Sirigaitas, piriguetes, seres recicláveis, latas, interesseiras, putas, vagabundas são outras tantas nomeações que não ficam à margem do conjunto de adjetivos dados às mulheres; que as retratam de maneira inferior, como pessoas que têm pouquíssimo valor e desprovidas de sentimentos, por serem vistas como meros objetos de manipulação e uso sexual: </w:t>
      </w:r>
      <w:r w:rsidRPr="00771368">
        <w:rPr>
          <w:i/>
          <w:sz w:val="24"/>
          <w:szCs w:val="24"/>
        </w:rPr>
        <w:t>“Rapaz, dizem por aí que mulher é igual a biscoito, vai uma e vem dezoito/ Mas, o Robsão fala diferente/ Mulher é igual a lata, um chuta... e o outro cata.” (</w:t>
      </w:r>
      <w:r w:rsidRPr="00771368">
        <w:rPr>
          <w:i/>
          <w:sz w:val="24"/>
          <w:szCs w:val="24"/>
          <w:shd w:val="clear" w:color="auto" w:fill="FFFFFF"/>
        </w:rPr>
        <w:t>GRUPO</w:t>
      </w:r>
      <w:r w:rsidRPr="00771368">
        <w:rPr>
          <w:i/>
          <w:sz w:val="24"/>
          <w:szCs w:val="24"/>
        </w:rPr>
        <w:t xml:space="preserve"> BLACK STYLE, 2011).</w:t>
      </w:r>
    </w:p>
    <w:p w:rsidR="00D24E61" w:rsidRPr="00771368" w:rsidRDefault="00D24E61" w:rsidP="00D24E61">
      <w:pPr>
        <w:pStyle w:val="NormalWeb"/>
        <w:spacing w:before="0" w:beforeAutospacing="0" w:after="0" w:afterAutospacing="0" w:line="360" w:lineRule="auto"/>
        <w:ind w:firstLine="709"/>
        <w:jc w:val="both"/>
        <w:rPr>
          <w:sz w:val="22"/>
        </w:rPr>
      </w:pPr>
      <w:r w:rsidRPr="00771368">
        <w:rPr>
          <w:shd w:val="clear" w:color="auto" w:fill="FFFFFF"/>
        </w:rPr>
        <w:t>Há, ainda, a diferenciação, como bem trouxe Trotta (2009), acerca d</w:t>
      </w:r>
      <w:r w:rsidRPr="00771368">
        <w:t>a mulher que todo homem deseja casar (virtuosa) e aquela desejável apenas para o sexo (profissional). Isso mostra uma relação em que “[...] o contato físico é anterior a construção de relações formais de compromisso [...] De outra forma, o compromisso afetivo pode ser decorrência da interação corporal” (LIMA; ZUCCO, 2011, p.11 – 12):</w:t>
      </w:r>
      <w:r w:rsidRPr="00771368">
        <w:rPr>
          <w:sz w:val="22"/>
        </w:rPr>
        <w:t xml:space="preserve"> </w:t>
      </w:r>
    </w:p>
    <w:p w:rsidR="00D24E61" w:rsidRPr="000D4E9B" w:rsidRDefault="00D24E61" w:rsidP="00D24E61">
      <w:pPr>
        <w:pStyle w:val="NormalWeb"/>
        <w:spacing w:before="0" w:beforeAutospacing="0" w:after="120" w:afterAutospacing="0"/>
        <w:ind w:left="2268"/>
        <w:jc w:val="both"/>
        <w:rPr>
          <w:i/>
          <w:sz w:val="20"/>
          <w:szCs w:val="20"/>
        </w:rPr>
      </w:pPr>
      <w:r w:rsidRPr="000D4E9B">
        <w:rPr>
          <w:i/>
          <w:sz w:val="20"/>
          <w:szCs w:val="20"/>
          <w:shd w:val="clear" w:color="auto" w:fill="FFFFFF"/>
        </w:rPr>
        <w:t xml:space="preserve">Lembro quando eu te conheci/Foi especial! simplesmente estava ali/Eu vi seu jeito sensual/Uma noite de amor, não deu!/Isso me levou no céu/Momentos de prazer e satisfação/Mas eu sou casado/Tudo bem vamos parar/Agora você está apaixonada/E eu só sinto tesão.../E é só sexo, só sexo/Sexo só sexo nos dá prazer/E é só sexo, só sexo/Se for pra ficar junto, só desse jeito assim/E é só sexo... </w:t>
      </w:r>
      <w:r w:rsidRPr="000D4E9B">
        <w:rPr>
          <w:i/>
          <w:sz w:val="20"/>
          <w:szCs w:val="20"/>
        </w:rPr>
        <w:t>(</w:t>
      </w:r>
      <w:r w:rsidRPr="000D4E9B">
        <w:rPr>
          <w:i/>
          <w:sz w:val="20"/>
          <w:szCs w:val="20"/>
          <w:shd w:val="clear" w:color="auto" w:fill="FFFFFF"/>
        </w:rPr>
        <w:t>GRUPO</w:t>
      </w:r>
      <w:r w:rsidRPr="000D4E9B">
        <w:rPr>
          <w:i/>
          <w:sz w:val="20"/>
          <w:szCs w:val="20"/>
        </w:rPr>
        <w:t xml:space="preserve"> BLACK STYLE, 2011).</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As músicas, também, revelam que os relacionamentos homossexuais, além de ser visto como vergonhosos, os homossexuais são considerados como mentirosos, enganadores, aproveitadores, interesseiros e desprovidos de sentimentos. O homem (hétero), neste caso, sempre se apresenta como um ser iludido e para tal cria justificativas para argumentar o seu “desvio”, como é recorrente na música </w:t>
      </w:r>
      <w:r w:rsidRPr="00771368">
        <w:rPr>
          <w:i/>
          <w:sz w:val="24"/>
          <w:szCs w:val="24"/>
        </w:rPr>
        <w:t>“Anaconda”</w:t>
      </w:r>
      <w:r w:rsidRPr="00771368">
        <w:rPr>
          <w:sz w:val="24"/>
          <w:szCs w:val="24"/>
        </w:rPr>
        <w:t xml:space="preserve">:  </w:t>
      </w:r>
    </w:p>
    <w:p w:rsidR="00D24E61" w:rsidRPr="000D4E9B" w:rsidRDefault="00D24E61" w:rsidP="00D24E61">
      <w:pPr>
        <w:autoSpaceDE w:val="0"/>
        <w:autoSpaceDN w:val="0"/>
        <w:adjustRightInd w:val="0"/>
        <w:spacing w:after="120"/>
        <w:ind w:left="2268"/>
        <w:jc w:val="both"/>
        <w:rPr>
          <w:i/>
          <w:sz w:val="20"/>
          <w:szCs w:val="20"/>
        </w:rPr>
      </w:pPr>
      <w:r w:rsidRPr="000D4E9B">
        <w:rPr>
          <w:i/>
          <w:sz w:val="20"/>
          <w:szCs w:val="20"/>
          <w:shd w:val="clear" w:color="auto" w:fill="FFFFFF"/>
        </w:rPr>
        <w:t xml:space="preserve">Conheci aquela mina no ensaio da Timbalada/Toda cheirosa, toda arrumada/Ela olhou nos meus olhos, balançou meu coração/Estilo Gisele Budchen/E tremendo mulherão/Nós fomos pro Hotel pra fazer amor (...) Eu estava embriagado, comecei a desconfiar/Notei que tinha algo errado naquele lugar/Quando tirou a calcinha ela tinha uma anaconda/Ai me apavorei, mas olha ai que onda/Corra... </w:t>
      </w:r>
      <w:r w:rsidRPr="000D4E9B">
        <w:rPr>
          <w:i/>
          <w:sz w:val="20"/>
          <w:szCs w:val="20"/>
        </w:rPr>
        <w:t>(</w:t>
      </w:r>
      <w:r w:rsidRPr="000D4E9B">
        <w:rPr>
          <w:i/>
          <w:sz w:val="20"/>
          <w:szCs w:val="20"/>
          <w:shd w:val="clear" w:color="auto" w:fill="FFFFFF"/>
        </w:rPr>
        <w:t>GRUPO</w:t>
      </w:r>
      <w:r w:rsidRPr="000D4E9B">
        <w:rPr>
          <w:i/>
          <w:sz w:val="20"/>
          <w:szCs w:val="20"/>
        </w:rPr>
        <w:t xml:space="preserve"> BLACK STYLE, 2011).</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Aos homens são atribuídos adjetivos de macheza, coragem, bravura, cumpridores do seu papel de saciar a vontade das mulheres, como sinônimo de masculinidade: </w:t>
      </w:r>
      <w:r w:rsidRPr="00771368">
        <w:rPr>
          <w:i/>
          <w:sz w:val="24"/>
          <w:szCs w:val="24"/>
        </w:rPr>
        <w:t xml:space="preserve">“Não é filme, novela, nem coisa de segundo/Robsão na sua cama é o melhor homem do mundo/Bota com raiva.../Senta com ódio.../Ela diz: Aí, vai!” </w:t>
      </w:r>
      <w:r w:rsidRPr="00771368">
        <w:rPr>
          <w:sz w:val="24"/>
          <w:szCs w:val="24"/>
        </w:rPr>
        <w:t>(</w:t>
      </w:r>
      <w:r w:rsidRPr="00771368">
        <w:rPr>
          <w:sz w:val="24"/>
          <w:szCs w:val="24"/>
          <w:shd w:val="clear" w:color="auto" w:fill="FFFFFF"/>
        </w:rPr>
        <w:t>GRUPO</w:t>
      </w:r>
      <w:r w:rsidRPr="00771368">
        <w:rPr>
          <w:sz w:val="24"/>
          <w:szCs w:val="24"/>
        </w:rPr>
        <w:t xml:space="preserve"> BLACK STYLE, 2011).</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Algumas músicas como </w:t>
      </w:r>
      <w:r w:rsidRPr="00771368">
        <w:rPr>
          <w:i/>
          <w:sz w:val="24"/>
          <w:szCs w:val="24"/>
        </w:rPr>
        <w:t>“Patinha”</w:t>
      </w:r>
      <w:r w:rsidRPr="00771368">
        <w:rPr>
          <w:sz w:val="24"/>
          <w:szCs w:val="24"/>
        </w:rPr>
        <w:t>, cultuam o homem que tem relações com várias mulheres e, ao mesmo tempo, ridiculariza e exalta a imagem da mulher que pratica sexo com vários rapazes. Estas reforçam e revelam, ainda, a concepção errônea, de que a “insensibilidade” e a “dureza” estão intrinsecamente ligadas ao gênero masculino:</w:t>
      </w:r>
    </w:p>
    <w:p w:rsidR="00D24E61" w:rsidRPr="00E13DAC" w:rsidRDefault="00D24E61" w:rsidP="00D24E61">
      <w:pPr>
        <w:pStyle w:val="NormalWeb"/>
        <w:spacing w:before="0" w:beforeAutospacing="0" w:after="120" w:afterAutospacing="0" w:line="285" w:lineRule="atLeast"/>
        <w:ind w:left="2268"/>
        <w:jc w:val="both"/>
        <w:rPr>
          <w:i/>
          <w:color w:val="000000"/>
          <w:sz w:val="20"/>
          <w:szCs w:val="20"/>
          <w:shd w:val="clear" w:color="auto" w:fill="FFFFFF"/>
        </w:rPr>
      </w:pPr>
      <w:r w:rsidRPr="00E13DAC">
        <w:rPr>
          <w:i/>
          <w:color w:val="000000"/>
          <w:sz w:val="20"/>
          <w:szCs w:val="20"/>
          <w:shd w:val="clear" w:color="auto" w:fill="FFFFFF"/>
        </w:rPr>
        <w:t>Robissão já pegou/o Ramom pegou também/o Jael engravidou tá esperando seu neném/Netinho pegou de quatro/Vitinho fez frango assado/Fabinho sem camisinha pegou uma coceirinha/O nome dela é Marcela eu vou te dizer quem é ela [...] Ela, ela ela é uma cadela/Me dá, me dá patinha/Me dá, me dá patinha/Me dá sua cachorrinha [...] (</w:t>
      </w:r>
      <w:r w:rsidRPr="00E13DAC">
        <w:rPr>
          <w:i/>
          <w:sz w:val="20"/>
          <w:szCs w:val="20"/>
          <w:shd w:val="clear" w:color="auto" w:fill="FFFFFF"/>
        </w:rPr>
        <w:t>GRUPO</w:t>
      </w:r>
      <w:r w:rsidRPr="00E13DAC">
        <w:rPr>
          <w:i/>
          <w:color w:val="000000"/>
          <w:sz w:val="20"/>
          <w:szCs w:val="20"/>
          <w:shd w:val="clear" w:color="auto" w:fill="FFFFFF"/>
        </w:rPr>
        <w:t xml:space="preserve"> BLACK STYLE, 2011).</w:t>
      </w:r>
    </w:p>
    <w:p w:rsidR="00D24E61" w:rsidRPr="00771368" w:rsidRDefault="00D24E61" w:rsidP="00D24E61">
      <w:pPr>
        <w:pStyle w:val="NormalWeb"/>
        <w:spacing w:before="0" w:beforeAutospacing="0" w:after="0" w:afterAutospacing="0" w:line="360" w:lineRule="auto"/>
        <w:ind w:firstLine="709"/>
        <w:jc w:val="both"/>
      </w:pPr>
      <w:r w:rsidRPr="00771368">
        <w:t xml:space="preserve">Para além da descrição das letras das músicas e das representações de papéis de homens e mulheres, é preciso estar atento para duas questões primordiais presentes nas letras das músicas analisadas: </w:t>
      </w:r>
      <w:r w:rsidRPr="00771368">
        <w:rPr>
          <w:i/>
        </w:rPr>
        <w:t>primeira</w:t>
      </w:r>
      <w:r w:rsidRPr="00771368">
        <w:t xml:space="preserve">, a intensificação do processo de desvalorização da mulher. </w:t>
      </w:r>
      <w:r w:rsidRPr="00771368">
        <w:rPr>
          <w:i/>
        </w:rPr>
        <w:t>Segunda</w:t>
      </w:r>
      <w:r w:rsidRPr="00771368">
        <w:t xml:space="preserve">, a afirmação homogênea de que os homens são desprovidos de sentimentos. </w:t>
      </w:r>
    </w:p>
    <w:p w:rsidR="00D24E61" w:rsidRPr="00771368" w:rsidRDefault="00D24E61" w:rsidP="00D24E61">
      <w:pPr>
        <w:pStyle w:val="NormalWeb"/>
        <w:spacing w:before="0" w:beforeAutospacing="0" w:after="0" w:afterAutospacing="0" w:line="360" w:lineRule="auto"/>
        <w:ind w:firstLine="709"/>
        <w:jc w:val="both"/>
        <w:rPr>
          <w:color w:val="000000"/>
        </w:rPr>
      </w:pPr>
      <w:r w:rsidRPr="00771368">
        <w:t xml:space="preserve">Acredito, inclusive, que é nesta perspectiva que o Projeto de Lei </w:t>
      </w:r>
      <w:r w:rsidRPr="00771368">
        <w:rPr>
          <w:color w:val="000000"/>
        </w:rPr>
        <w:t>da deputada estadual </w:t>
      </w:r>
      <w:r w:rsidRPr="00771368">
        <w:rPr>
          <w:iCs/>
          <w:color w:val="000000"/>
        </w:rPr>
        <w:t>Luiza Maia</w:t>
      </w:r>
      <w:r w:rsidRPr="00771368">
        <w:rPr>
          <w:color w:val="000000"/>
        </w:rPr>
        <w:t xml:space="preserve"> (PT-BA), conhecida como lei antibaixaria, visa à proibição de financiamento público para bandas e artistas, cujas produções incentivam a violência e o preconceito em relação às mulheres. Segundo resultado de uma enquete acerca da temática, a proposição da Lei parte do princípio de que “[...] algo precisa ser feito urgentemente para conter a baixaria e os conteúdos depreciativos à figura feminina [...] promover a valorização e a igualdade entre os gêneros [...]” (2011). </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É necessário considerar que, enquanto porta-voz de representações, valores e preconceitos, tais letras de músicas reproduzem apenas, apesar de ser maioria, considerações ou aspectos referentes a um determinado segmento social, que está a serviço ou alienado a uma perspectiva de sociedade falocêntrica. A este segmento chamo de cultura de massa, oferecida e construída por aqueles e aquelas que possuem menor poder aquisitivo.</w:t>
      </w:r>
    </w:p>
    <w:p w:rsidR="00D24E61" w:rsidRPr="00771368" w:rsidRDefault="00D24E61" w:rsidP="00D24E61">
      <w:pPr>
        <w:autoSpaceDE w:val="0"/>
        <w:autoSpaceDN w:val="0"/>
        <w:adjustRightInd w:val="0"/>
        <w:spacing w:line="360" w:lineRule="auto"/>
        <w:ind w:firstLine="709"/>
        <w:jc w:val="both"/>
        <w:rPr>
          <w:sz w:val="24"/>
        </w:rPr>
      </w:pPr>
      <w:r w:rsidRPr="00771368">
        <w:rPr>
          <w:sz w:val="24"/>
        </w:rPr>
        <w:t xml:space="preserve">Assim, as transformações sociais, por sua vez, trazem consigo maneiras diferenciadas de se perceber as relações hierárquicas de gênero através de vários instrumentos como nos discursos e nos meios de comunicação. É imprescindível, então, perceber e refletir sobre a forma como essas relações hierarquizadas, a partir das letras de músicas, aparecem e são construídas nas esferas sociais como família, trabalho, escola, igreja. </w:t>
      </w:r>
    </w:p>
    <w:p w:rsidR="00D24E61" w:rsidRPr="00771368" w:rsidRDefault="00D24E61" w:rsidP="00D24E61">
      <w:pPr>
        <w:autoSpaceDE w:val="0"/>
        <w:autoSpaceDN w:val="0"/>
        <w:adjustRightInd w:val="0"/>
        <w:spacing w:after="360" w:line="360" w:lineRule="auto"/>
        <w:ind w:firstLine="709"/>
        <w:jc w:val="both"/>
        <w:rPr>
          <w:sz w:val="24"/>
        </w:rPr>
      </w:pPr>
      <w:r w:rsidRPr="00771368">
        <w:rPr>
          <w:sz w:val="24"/>
        </w:rPr>
        <w:t>No entanto, para fins de estudo e recorte, analisei a possível influência destas letras de músicas no espaço escolar, sem desvinculá-lo das outras instâncias sociais, com os olhares voltados para os processos em que se dão a construção de homens e mulheres.</w:t>
      </w:r>
    </w:p>
    <w:p w:rsidR="00D24E61" w:rsidRPr="00771368" w:rsidRDefault="00D24E61" w:rsidP="00D24E61">
      <w:pPr>
        <w:spacing w:after="240"/>
        <w:jc w:val="both"/>
        <w:rPr>
          <w:sz w:val="24"/>
          <w:szCs w:val="24"/>
        </w:rPr>
      </w:pPr>
      <w:r w:rsidRPr="00771368">
        <w:rPr>
          <w:b/>
          <w:sz w:val="24"/>
          <w:szCs w:val="24"/>
        </w:rPr>
        <w:t>4. DENTRO DOS MUROS E EM CIMA DOS BANCOS ESCOLARES: A CONSTRUÇÃO DE HOMENS E MULHERES DE “VERDADE</w:t>
      </w:r>
      <w:r w:rsidRPr="00771368">
        <w:rPr>
          <w:sz w:val="24"/>
          <w:szCs w:val="24"/>
        </w:rPr>
        <w:t>”</w:t>
      </w:r>
    </w:p>
    <w:p w:rsidR="00D24E61" w:rsidRPr="00771368" w:rsidRDefault="00D24E61" w:rsidP="00D24E61">
      <w:pPr>
        <w:spacing w:line="360" w:lineRule="auto"/>
        <w:ind w:firstLine="709"/>
        <w:jc w:val="both"/>
        <w:rPr>
          <w:color w:val="000000"/>
          <w:sz w:val="24"/>
          <w:szCs w:val="24"/>
        </w:rPr>
      </w:pPr>
      <w:r w:rsidRPr="00771368">
        <w:rPr>
          <w:rStyle w:val="apple-style-span"/>
          <w:rFonts w:eastAsia="Calibri"/>
          <w:color w:val="000000"/>
          <w:sz w:val="24"/>
          <w:szCs w:val="20"/>
          <w:shd w:val="clear" w:color="auto" w:fill="FFFFFF"/>
        </w:rPr>
        <w:t xml:space="preserve">"Escola é... o lugar onde se faz amigos não se trata só de prédios, salas, quadros, programas, horários, conceitos... Escola é, sobretudo, gente [...]” (FREIRE </w:t>
      </w:r>
      <w:r w:rsidRPr="00771368">
        <w:rPr>
          <w:rStyle w:val="apple-style-span"/>
          <w:rFonts w:eastAsia="Calibri"/>
          <w:i/>
          <w:color w:val="000000"/>
          <w:sz w:val="24"/>
          <w:szCs w:val="20"/>
          <w:shd w:val="clear" w:color="auto" w:fill="FFFFFF"/>
        </w:rPr>
        <w:t>apud</w:t>
      </w:r>
      <w:r w:rsidRPr="00771368">
        <w:rPr>
          <w:rStyle w:val="apple-style-span"/>
          <w:rFonts w:eastAsia="Calibri"/>
          <w:color w:val="000000"/>
          <w:sz w:val="24"/>
          <w:szCs w:val="20"/>
          <w:shd w:val="clear" w:color="auto" w:fill="FFFFFF"/>
        </w:rPr>
        <w:t xml:space="preserve"> OLIVEIRA, 2011, p. 01). </w:t>
      </w:r>
      <w:r w:rsidRPr="00771368">
        <w:rPr>
          <w:color w:val="000000"/>
          <w:sz w:val="24"/>
          <w:szCs w:val="24"/>
        </w:rPr>
        <w:t>Este célebre poema de Paulo Freire sinaliza que a escola, para além e associado a um espaço de construção e socialização de conhecimentos, assume como finalidade maior formar e/ou construir “</w:t>
      </w:r>
      <w:r w:rsidRPr="00771368">
        <w:rPr>
          <w:i/>
          <w:color w:val="000000"/>
          <w:sz w:val="24"/>
          <w:szCs w:val="24"/>
        </w:rPr>
        <w:t>gente”</w:t>
      </w:r>
      <w:r w:rsidRPr="00771368">
        <w:rPr>
          <w:color w:val="000000"/>
          <w:sz w:val="24"/>
          <w:szCs w:val="24"/>
        </w:rPr>
        <w:t xml:space="preserve">, pois ela é </w:t>
      </w:r>
      <w:r w:rsidRPr="00771368">
        <w:rPr>
          <w:i/>
          <w:color w:val="000000"/>
          <w:sz w:val="24"/>
          <w:szCs w:val="24"/>
        </w:rPr>
        <w:t>“o lugar...”</w:t>
      </w:r>
      <w:r w:rsidRPr="00771368">
        <w:rPr>
          <w:color w:val="000000"/>
          <w:sz w:val="24"/>
          <w:szCs w:val="24"/>
        </w:rPr>
        <w:t xml:space="preserve"> tido como legitimado à construção dos seres.</w:t>
      </w:r>
    </w:p>
    <w:p w:rsidR="00D24E61" w:rsidRPr="00E13DAC" w:rsidRDefault="00D24E61" w:rsidP="00D24E61">
      <w:pPr>
        <w:spacing w:after="120"/>
        <w:ind w:left="2268"/>
        <w:jc w:val="both"/>
        <w:rPr>
          <w:i/>
          <w:sz w:val="20"/>
          <w:szCs w:val="20"/>
        </w:rPr>
      </w:pPr>
      <w:r w:rsidRPr="00E13DAC">
        <w:rPr>
          <w:i/>
          <w:sz w:val="20"/>
          <w:szCs w:val="20"/>
        </w:rPr>
        <w:t xml:space="preserve">Os mais antigos manuais já ensinavam aos mestres os cuidados que deveriam ter com os corpos e almas de seus alunos. O modo de sentar e andar, as formas de colocar cadernos e canetas, pés e mãos acabariam por produzir um corpo escolarizado, distinguindo o menino ou a menina que “passara pelos bancos escolares” </w:t>
      </w:r>
      <w:r w:rsidRPr="00E13DAC">
        <w:rPr>
          <w:i/>
          <w:sz w:val="20"/>
          <w:szCs w:val="20"/>
          <w:shd w:val="clear" w:color="auto" w:fill="FFFFFF"/>
        </w:rPr>
        <w:t>[...]</w:t>
      </w:r>
      <w:r w:rsidRPr="00E13DAC">
        <w:rPr>
          <w:i/>
          <w:sz w:val="20"/>
          <w:szCs w:val="20"/>
        </w:rPr>
        <w:t xml:space="preserve"> As marcas da escolarização se inscreviam, assim, nos corpos dos sujeitos (LOURO, 2010, p. 61 – 62).</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E falando deste “lugar” chamado escola, é chegado o momento de, com os olhos fitados no percurso teórico realizado, colocar os nossos pés dentro da escola, ou melhor, explicitar posicionamentos do lugar onde piso. Pois, é deste lugar que surgiram as minhas inquietações e que levou à busca pelos aportes teóricos. </w:t>
      </w:r>
    </w:p>
    <w:p w:rsidR="00D24E61" w:rsidRPr="00771368" w:rsidRDefault="00D24E61" w:rsidP="00D24E61">
      <w:pPr>
        <w:spacing w:line="360" w:lineRule="auto"/>
        <w:ind w:firstLine="709"/>
        <w:jc w:val="both"/>
        <w:rPr>
          <w:rStyle w:val="apple-style-span"/>
          <w:rFonts w:eastAsia="Calibri"/>
          <w:iCs/>
          <w:color w:val="000000"/>
          <w:sz w:val="24"/>
          <w:szCs w:val="24"/>
          <w:shd w:val="clear" w:color="auto" w:fill="FFFFFF"/>
        </w:rPr>
      </w:pPr>
      <w:r w:rsidRPr="00771368">
        <w:rPr>
          <w:rStyle w:val="apple-style-span"/>
          <w:rFonts w:eastAsia="Calibri"/>
          <w:iCs/>
          <w:color w:val="000000"/>
          <w:sz w:val="24"/>
          <w:szCs w:val="24"/>
          <w:shd w:val="clear" w:color="auto" w:fill="FFFFFF"/>
        </w:rPr>
        <w:t>Se nossa cabeça, como dizem F</w:t>
      </w:r>
      <w:r w:rsidRPr="00771368">
        <w:rPr>
          <w:color w:val="000000"/>
          <w:sz w:val="24"/>
          <w:szCs w:val="24"/>
        </w:rPr>
        <w:t xml:space="preserve">reire </w:t>
      </w:r>
      <w:r w:rsidRPr="00771368">
        <w:rPr>
          <w:i/>
          <w:color w:val="000000"/>
          <w:sz w:val="24"/>
          <w:szCs w:val="24"/>
        </w:rPr>
        <w:t>apud</w:t>
      </w:r>
      <w:r w:rsidRPr="00771368">
        <w:rPr>
          <w:color w:val="000000"/>
          <w:sz w:val="24"/>
          <w:szCs w:val="24"/>
        </w:rPr>
        <w:t xml:space="preserve"> Almeida (2006) e </w:t>
      </w:r>
      <w:r w:rsidRPr="00771368">
        <w:rPr>
          <w:sz w:val="24"/>
          <w:szCs w:val="24"/>
          <w:shd w:val="clear" w:color="auto" w:fill="FFFFFF"/>
        </w:rPr>
        <w:t>Leonardo Boff (1998)</w:t>
      </w:r>
      <w:r w:rsidRPr="00771368">
        <w:rPr>
          <w:rStyle w:val="apple-style-span"/>
          <w:rFonts w:eastAsia="Calibri"/>
          <w:iCs/>
          <w:color w:val="000000"/>
          <w:sz w:val="24"/>
          <w:szCs w:val="24"/>
          <w:shd w:val="clear" w:color="auto" w:fill="FFFFFF"/>
        </w:rPr>
        <w:t xml:space="preserve">, pensa de onde os nossos pés pisam e a partir do horizonte que os nossos olhos alcançam, logo é possível afirmar que o caminho teórico até então traçado serve de subsídio para a formulação e compreensão de questões que perpassam a realidade do Colégio Estadual João Cardoso dos Santos, o qual será, como sempre o foi, fonte de estudo neste momento.  </w:t>
      </w:r>
    </w:p>
    <w:p w:rsidR="00D24E61" w:rsidRPr="00771368" w:rsidRDefault="00D24E61" w:rsidP="00D24E61">
      <w:pPr>
        <w:spacing w:line="360" w:lineRule="auto"/>
        <w:ind w:firstLine="709"/>
        <w:jc w:val="both"/>
        <w:rPr>
          <w:sz w:val="24"/>
        </w:rPr>
      </w:pPr>
      <w:r w:rsidRPr="00771368">
        <w:rPr>
          <w:sz w:val="24"/>
        </w:rPr>
        <w:t xml:space="preserve">O contato cotidiano com algumas alunas e alunos do Colégio Estadual João Cardoso dos Santos, adolescentes e jovens, entre 15 a 22 anos, possibilitou-me a percepção do quanto, a maioria destes adolescentes e jovens está imbricada com a mídia e com a indústria cultural, principalmente com as músicas de massa. </w:t>
      </w:r>
    </w:p>
    <w:p w:rsidR="00D24E61" w:rsidRPr="00771368" w:rsidRDefault="00D24E61" w:rsidP="00D24E61">
      <w:pPr>
        <w:spacing w:line="360" w:lineRule="auto"/>
        <w:ind w:firstLine="709"/>
        <w:jc w:val="both"/>
        <w:rPr>
          <w:szCs w:val="20"/>
        </w:rPr>
      </w:pPr>
      <w:r w:rsidRPr="00771368">
        <w:rPr>
          <w:sz w:val="24"/>
        </w:rPr>
        <w:t>No entanto, o que mais me chamou a atenção e, consequentemente, despertou a minha curiosidade é a forma como as letras das músicas do grupo Black Style ganharam, entre eles, paulatinamente, grande repercussão e certa apreciação, tanto entre meninas como entre meninos. E isso, de certa forma, pelo teor das produções musicais, fez nascer a vontade de compreender a influência de tais letras na construção e representação de gênero, assim como a maneira como a escola lida com tais questões frente à promoção da igualdade de gêneros.</w:t>
      </w:r>
    </w:p>
    <w:p w:rsidR="00D24E61" w:rsidRPr="00771368" w:rsidRDefault="00D24E61" w:rsidP="00D24E61">
      <w:pPr>
        <w:spacing w:line="360" w:lineRule="auto"/>
        <w:ind w:firstLine="709"/>
        <w:jc w:val="both"/>
        <w:rPr>
          <w:sz w:val="24"/>
        </w:rPr>
      </w:pPr>
      <w:r w:rsidRPr="00771368">
        <w:rPr>
          <w:sz w:val="24"/>
          <w:szCs w:val="24"/>
        </w:rPr>
        <w:t>Assim</w:t>
      </w:r>
      <w:r w:rsidRPr="00771368">
        <w:rPr>
          <w:sz w:val="24"/>
        </w:rPr>
        <w:t xml:space="preserve">, com o olhar voltado para o interior do Colégio Estadual João Cardoso dos Santos e imerso nele, para além de apresentar certezas, mas buscando dialogar com os diferentes teóricos na relação teoria-vivência, utilizarei algumas expressões oriundas de adolescentes e jovens, tanto do sexo masculino como do sexo feminino, correlacionadas à admiração quanto às letras das músicas do grupo Black Style. </w:t>
      </w:r>
    </w:p>
    <w:p w:rsidR="00D24E61" w:rsidRPr="00771368" w:rsidRDefault="00D24E61" w:rsidP="00D24E61">
      <w:pPr>
        <w:spacing w:line="360" w:lineRule="auto"/>
        <w:ind w:firstLine="709"/>
        <w:jc w:val="both"/>
        <w:rPr>
          <w:sz w:val="24"/>
        </w:rPr>
      </w:pPr>
      <w:r w:rsidRPr="00771368">
        <w:rPr>
          <w:sz w:val="24"/>
        </w:rPr>
        <w:t>Alguns dos discursos dos admiradores são provenientes de conversas informais que tive com eles, quando estavam cantando ou discutindo entre os colegas sobre as músicas ou, ainda, quando se referiam ao Projeto de Lei da deputada Luiza Maia (PT-BA). Tais discussões, suscitadas entre os próprios alunos e alunas, tornam evidente o fato de que</w:t>
      </w:r>
    </w:p>
    <w:p w:rsidR="00D24E61" w:rsidRPr="00E13DAC" w:rsidRDefault="00D24E61" w:rsidP="00D24E61">
      <w:pPr>
        <w:autoSpaceDE w:val="0"/>
        <w:autoSpaceDN w:val="0"/>
        <w:adjustRightInd w:val="0"/>
        <w:spacing w:after="120"/>
        <w:ind w:left="2268"/>
        <w:jc w:val="both"/>
        <w:rPr>
          <w:i/>
          <w:sz w:val="20"/>
          <w:szCs w:val="20"/>
        </w:rPr>
      </w:pPr>
      <w:r w:rsidRPr="00E13DAC">
        <w:rPr>
          <w:i/>
          <w:sz w:val="20"/>
          <w:szCs w:val="20"/>
        </w:rPr>
        <w:t xml:space="preserve">o gênero é construído a todo o momento, de diferentes formas, na música através de situações cotidianas envolvendo mulheres e homens, as letras estabelecem comportamentos para ambos [...] As músicas constroem significados, disseminam um modelo de corpo e conduta [...] A música se insere então dentro das tecnologias que conferem na sociedade papéis sociais para homens e mulheres. As letras das músicas retratam situações da vida cotidiana, que encaixam na realidade vivida por muitas mulheres. Ao funcionar como um mecanismo que chega a um número muito grande de pessoas, e exercer influência sobre elas a música contribui para produzir identidades de gênero, ela ajuda a fazer sujeitos de um determinado tipo. Apresenta modos de ser e de estar no mundo, institui representações sobre sexualidade, modos de comportamento, tipos de corpo e diferentes estilos de vida. “Essas representações porque constituídas socialmente estão carregadas de significados e por isso, contribuem para constituir identidades, reproduzindo significados e produzindo outros tantos” (Sabat) (FERNANDES; JESUS, 2009, p. 02). </w:t>
      </w:r>
    </w:p>
    <w:p w:rsidR="00D24E61" w:rsidRPr="00771368" w:rsidRDefault="00D24E61" w:rsidP="00D24E61">
      <w:pPr>
        <w:spacing w:line="360" w:lineRule="auto"/>
        <w:ind w:firstLine="709"/>
        <w:jc w:val="both"/>
        <w:rPr>
          <w:sz w:val="24"/>
        </w:rPr>
      </w:pPr>
      <w:r w:rsidRPr="00771368">
        <w:rPr>
          <w:sz w:val="24"/>
        </w:rPr>
        <w:t xml:space="preserve">Em muitos relatos, por exemplo, quando questionados sobre o porquê ouviam, com certa frequência, as músicas do grupo Black Style, a maioria respondeu da seguinte maneira: </w:t>
      </w:r>
      <w:r w:rsidRPr="00771368">
        <w:rPr>
          <w:i/>
          <w:sz w:val="24"/>
        </w:rPr>
        <w:t>“ah porque está na moda! Todo mundo ouve, todo mundo gosta, né? Aí a gente tem que ouvir também”</w:t>
      </w:r>
      <w:r w:rsidRPr="00771368">
        <w:rPr>
          <w:sz w:val="24"/>
        </w:rPr>
        <w:t xml:space="preserve">. Outros respondiam: </w:t>
      </w:r>
      <w:r w:rsidRPr="00771368">
        <w:rPr>
          <w:i/>
          <w:sz w:val="24"/>
        </w:rPr>
        <w:t xml:space="preserve">“se não tem outra coisa para ouvir, o jeito é curtir isso mesmo, até que é maneiro!” </w:t>
      </w:r>
      <w:r w:rsidRPr="00771368">
        <w:rPr>
          <w:sz w:val="24"/>
        </w:rPr>
        <w:t xml:space="preserve">    </w:t>
      </w:r>
    </w:p>
    <w:p w:rsidR="00D24E61" w:rsidRPr="00771368" w:rsidRDefault="00D24E61" w:rsidP="00D24E61">
      <w:pPr>
        <w:spacing w:line="360" w:lineRule="auto"/>
        <w:ind w:firstLine="709"/>
        <w:jc w:val="both"/>
        <w:rPr>
          <w:sz w:val="24"/>
        </w:rPr>
      </w:pPr>
      <w:r w:rsidRPr="00771368">
        <w:rPr>
          <w:sz w:val="24"/>
        </w:rPr>
        <w:t xml:space="preserve">Estas falas justificam e, ao mesmo tempo, denunciam o poder que a mídia exerce sobre as mentes, pensamentos e corpos, utilizando-se do processo de divulgação e inculcação de maneiras dos indivíduos se comportarem e, até mesmo, construírem sua maneira de ser e estar no mundo. </w:t>
      </w:r>
    </w:p>
    <w:p w:rsidR="00D24E61" w:rsidRPr="00771368" w:rsidRDefault="00D24E61" w:rsidP="00D24E61">
      <w:pPr>
        <w:spacing w:line="360" w:lineRule="auto"/>
        <w:ind w:firstLine="709"/>
        <w:jc w:val="both"/>
        <w:rPr>
          <w:sz w:val="24"/>
        </w:rPr>
      </w:pPr>
      <w:r w:rsidRPr="00771368">
        <w:rPr>
          <w:sz w:val="24"/>
        </w:rPr>
        <w:t xml:space="preserve">Note que na afirmativa: </w:t>
      </w:r>
      <w:r w:rsidRPr="00771368">
        <w:rPr>
          <w:i/>
          <w:sz w:val="24"/>
        </w:rPr>
        <w:t>“se não tem outra coisa para ouvir, o jeito é curtir isso mesmo, até que é maneiro!”</w:t>
      </w:r>
      <w:r w:rsidRPr="00771368">
        <w:rPr>
          <w:sz w:val="24"/>
        </w:rPr>
        <w:t xml:space="preserve">, a fala vem carregada de certa “naturalização”, como se tais músicas fossem características intrínsecas deste segmento social. Por isso, a necessidade de perceber esta construção pela perspectiva cultural, pois não se trata de uma questão natural, mas de um objeto simbólico que produz sentido, que está investido de significado para e por sujeitos, conforme salienta Orlandi </w:t>
      </w:r>
      <w:r w:rsidRPr="00771368">
        <w:rPr>
          <w:i/>
          <w:sz w:val="24"/>
        </w:rPr>
        <w:t xml:space="preserve">apud </w:t>
      </w:r>
      <w:r w:rsidRPr="00771368">
        <w:rPr>
          <w:sz w:val="24"/>
        </w:rPr>
        <w:t>Fernandes; Jesus (2009).</w:t>
      </w:r>
    </w:p>
    <w:p w:rsidR="00D24E61" w:rsidRPr="00771368" w:rsidRDefault="00D24E61" w:rsidP="00D24E61">
      <w:pPr>
        <w:spacing w:line="360" w:lineRule="auto"/>
        <w:ind w:firstLine="709"/>
        <w:jc w:val="both"/>
        <w:rPr>
          <w:sz w:val="24"/>
        </w:rPr>
      </w:pPr>
      <w:r w:rsidRPr="00771368">
        <w:rPr>
          <w:sz w:val="24"/>
        </w:rPr>
        <w:t xml:space="preserve">Na verdade, intencionalmente, a indústria cultural seleciona as músicas específicas para cada grupo, segundo a lógica de mercado: </w:t>
      </w:r>
      <w:r w:rsidRPr="00771368">
        <w:rPr>
          <w:i/>
          <w:sz w:val="24"/>
        </w:rPr>
        <w:t>“mais barato, mais acesso, menos qualidade”</w:t>
      </w:r>
      <w:r w:rsidRPr="00771368">
        <w:rPr>
          <w:sz w:val="24"/>
        </w:rPr>
        <w:t xml:space="preserve">. E, implicitamente, vai segregando as pessoas, por classes, quanto ao acesso a outros tipos de produções. Isso, por sua vez, explica a ramificação das produções da cultura de massa, isto é, existe dentro da cultura de massa, a produção para a elite e a produção para as pessoas de menor poder aquisitivo. </w:t>
      </w:r>
    </w:p>
    <w:p w:rsidR="00D24E61" w:rsidRPr="00771368" w:rsidRDefault="00D24E61" w:rsidP="00D24E61">
      <w:pPr>
        <w:spacing w:line="360" w:lineRule="auto"/>
        <w:ind w:firstLine="709"/>
        <w:jc w:val="both"/>
        <w:rPr>
          <w:sz w:val="24"/>
        </w:rPr>
      </w:pPr>
      <w:r w:rsidRPr="00771368">
        <w:rPr>
          <w:sz w:val="24"/>
        </w:rPr>
        <w:t>Por isso, engana-se quem acredita que cultura de massa significa distribuição e acesso igualitários; quando, na verdade, ela é marcada por especificações e estratificações sociais destinadas a produções e distribuições diferenciadas a depender do grupo social, ao qual será destinada. Isto tem grandes repercussões no fortalecimento das desigualdades de gênero.</w:t>
      </w:r>
    </w:p>
    <w:p w:rsidR="00D24E61" w:rsidRPr="00771368" w:rsidRDefault="00D24E61" w:rsidP="00D24E61">
      <w:pPr>
        <w:spacing w:line="360" w:lineRule="auto"/>
        <w:ind w:firstLine="709"/>
        <w:jc w:val="both"/>
        <w:rPr>
          <w:sz w:val="24"/>
        </w:rPr>
      </w:pPr>
      <w:r w:rsidRPr="00771368">
        <w:rPr>
          <w:sz w:val="24"/>
        </w:rPr>
        <w:t xml:space="preserve">Por vezes, nas músicas de massa destinadas às pessoas de menor poder aquisitivo, não há vínculos afetivos entre homens e mulheres. Na maioria delas, existe uma forte e intensa apologia ao sexo, como foi relatado por uma aluna: </w:t>
      </w:r>
      <w:r w:rsidRPr="00771368">
        <w:rPr>
          <w:i/>
          <w:sz w:val="24"/>
        </w:rPr>
        <w:t>“as músicas são ridículas, só falam de sexo... e a mulher é que sai na pior... o homem não, ele sempre é o garanhão”.</w:t>
      </w:r>
      <w:r w:rsidRPr="00771368">
        <w:rPr>
          <w:sz w:val="24"/>
        </w:rPr>
        <w:t xml:space="preserve"> </w:t>
      </w:r>
    </w:p>
    <w:p w:rsidR="00D24E61" w:rsidRPr="00771368" w:rsidRDefault="00D24E61" w:rsidP="00D24E61">
      <w:pPr>
        <w:spacing w:line="360" w:lineRule="auto"/>
        <w:ind w:firstLine="709"/>
        <w:jc w:val="both"/>
        <w:rPr>
          <w:sz w:val="24"/>
        </w:rPr>
      </w:pPr>
      <w:r w:rsidRPr="00771368">
        <w:rPr>
          <w:sz w:val="24"/>
        </w:rPr>
        <w:t xml:space="preserve">Esta fala expressa a realidade de que, </w:t>
      </w:r>
    </w:p>
    <w:p w:rsidR="00D24E61" w:rsidRPr="00E13DAC" w:rsidRDefault="00D24E61" w:rsidP="00D24E61">
      <w:pPr>
        <w:spacing w:after="120"/>
        <w:ind w:left="2268"/>
        <w:jc w:val="both"/>
        <w:rPr>
          <w:i/>
          <w:sz w:val="20"/>
          <w:szCs w:val="20"/>
        </w:rPr>
      </w:pPr>
      <w:r w:rsidRPr="00E13DAC">
        <w:rPr>
          <w:i/>
          <w:sz w:val="20"/>
          <w:szCs w:val="20"/>
        </w:rPr>
        <w:t xml:space="preserve">dentro da lógica social do consumo, a sexualidade e o corpo (principalmente o da mulher) passaram a ser mercadorias. Além de serem usados para estimular a venda de quase tudo, passaram a ser eles mesmos produtos que geram lucro. Em torno dessa sexo-mercadoria, gira a publicidade atual e toda uma gigantesca indústria </w:t>
      </w:r>
      <w:r w:rsidRPr="00E13DAC">
        <w:rPr>
          <w:i/>
          <w:sz w:val="20"/>
          <w:szCs w:val="20"/>
          <w:shd w:val="clear" w:color="auto" w:fill="FFFFFF"/>
        </w:rPr>
        <w:t>[...]</w:t>
      </w:r>
      <w:r w:rsidRPr="00E13DAC">
        <w:rPr>
          <w:i/>
          <w:sz w:val="20"/>
          <w:szCs w:val="20"/>
        </w:rPr>
        <w:t xml:space="preserve"> A sexualidade aparece reduzida aos genitais </w:t>
      </w:r>
      <w:r w:rsidRPr="00E13DAC">
        <w:rPr>
          <w:i/>
          <w:sz w:val="20"/>
          <w:szCs w:val="20"/>
          <w:shd w:val="clear" w:color="auto" w:fill="FFFFFF"/>
        </w:rPr>
        <w:t>[...]</w:t>
      </w:r>
      <w:r w:rsidRPr="00E13DAC">
        <w:rPr>
          <w:i/>
          <w:sz w:val="20"/>
          <w:szCs w:val="20"/>
        </w:rPr>
        <w:t xml:space="preserve">  homens e mulheres relacionam-se sexualmente de forma indiscriminada, sem nenhuma interação subjetiva, sem manifestar ternura, alegria, medo ou qualquer emoção mais complexa, própria da relação humana. Só existe sexo (BALEEIRO et al, 1999, p. 177-178). </w:t>
      </w:r>
    </w:p>
    <w:p w:rsidR="00D24E61" w:rsidRPr="00771368" w:rsidRDefault="00D24E61" w:rsidP="00D24E61">
      <w:pPr>
        <w:spacing w:line="360" w:lineRule="auto"/>
        <w:ind w:firstLine="709"/>
        <w:jc w:val="both"/>
        <w:rPr>
          <w:sz w:val="24"/>
        </w:rPr>
      </w:pPr>
      <w:r w:rsidRPr="00771368">
        <w:rPr>
          <w:sz w:val="24"/>
        </w:rPr>
        <w:t xml:space="preserve">Além da questão do acesso e dos conteúdos que as músicas possuem, é recorrente expressões do tipo: </w:t>
      </w:r>
      <w:r w:rsidRPr="00771368">
        <w:rPr>
          <w:i/>
          <w:sz w:val="24"/>
        </w:rPr>
        <w:t>“ah... eu ouço as músicas da Black, porque a gente num instante pega o ritmo. E a música fica, facilmente, gravada na mente da gente. Mesmo sem querer quando vejo já estou me mexendo toda”.</w:t>
      </w:r>
      <w:r w:rsidRPr="00771368">
        <w:rPr>
          <w:sz w:val="24"/>
        </w:rPr>
        <w:t xml:space="preserve"> </w:t>
      </w:r>
    </w:p>
    <w:p w:rsidR="00D24E61" w:rsidRPr="00771368" w:rsidRDefault="00D24E61" w:rsidP="00D24E61">
      <w:pPr>
        <w:spacing w:line="360" w:lineRule="auto"/>
        <w:ind w:firstLine="709"/>
        <w:jc w:val="both"/>
        <w:rPr>
          <w:sz w:val="24"/>
        </w:rPr>
      </w:pPr>
      <w:r w:rsidRPr="00771368">
        <w:rPr>
          <w:sz w:val="24"/>
        </w:rPr>
        <w:t>Eis aí, mais uma característica e intenção das músicas de massa: sua momentaneidade, que gera alegria, descontração e, aos poucos, vai se inscrevendo nas mentes e nos corpos das pessoas. Até mesmo, aqueles que não admiram tais músicas afirmam que o contato, pelo fato de ouvir sempre, faz com que estas letras de músicas se tornem presentes em seus pensamentos e quando menos esperam, estão cantando.</w:t>
      </w:r>
    </w:p>
    <w:p w:rsidR="00D24E61" w:rsidRPr="00771368" w:rsidRDefault="00D24E61" w:rsidP="00D24E61">
      <w:pPr>
        <w:spacing w:line="360" w:lineRule="auto"/>
        <w:ind w:firstLine="709"/>
        <w:jc w:val="both"/>
        <w:rPr>
          <w:sz w:val="24"/>
          <w:szCs w:val="20"/>
        </w:rPr>
      </w:pPr>
      <w:r w:rsidRPr="00771368">
        <w:rPr>
          <w:sz w:val="24"/>
          <w:szCs w:val="20"/>
        </w:rPr>
        <w:t xml:space="preserve">Quando questionei sobre a razão de não gostarem muito das letras, a maioria dos alunos respondeu da seguinte maneira: </w:t>
      </w:r>
      <w:r w:rsidRPr="00771368">
        <w:rPr>
          <w:i/>
          <w:sz w:val="24"/>
          <w:szCs w:val="20"/>
        </w:rPr>
        <w:t>“as letras são vazias e repetitivas! Bom mesmo é o ritmo”</w:t>
      </w:r>
      <w:r w:rsidRPr="00771368">
        <w:rPr>
          <w:sz w:val="24"/>
          <w:szCs w:val="20"/>
        </w:rPr>
        <w:t xml:space="preserve">. Outros disseram: </w:t>
      </w:r>
      <w:r w:rsidRPr="00771368">
        <w:rPr>
          <w:i/>
          <w:sz w:val="24"/>
          <w:szCs w:val="20"/>
        </w:rPr>
        <w:t>“elas (as letras) não têm fundamento nenhum, mas está na boca de todo mundo, inclusive na minha”</w:t>
      </w:r>
      <w:r w:rsidRPr="00771368">
        <w:rPr>
          <w:sz w:val="24"/>
          <w:szCs w:val="20"/>
        </w:rPr>
        <w:t xml:space="preserve">. Uma aluna posicionou-se da seguinte maneira: </w:t>
      </w:r>
    </w:p>
    <w:p w:rsidR="00D24E61" w:rsidRPr="00E13DAC" w:rsidRDefault="00D24E61" w:rsidP="00D24E61">
      <w:pPr>
        <w:spacing w:after="120"/>
        <w:ind w:left="2268"/>
        <w:jc w:val="both"/>
        <w:rPr>
          <w:i/>
        </w:rPr>
      </w:pPr>
      <w:r w:rsidRPr="00E13DAC">
        <w:rPr>
          <w:i/>
        </w:rPr>
        <w:t xml:space="preserve">As músicas são muito esculhambadas... não são todas que eu ouço... tem umas até que eu tenho vergonha de ouvir e cantar... essa mesmo que diz: ‘quando ela sobe sai, quando ela desce entra’, acho ridícula, mas até que com um grupo de amigos, às vezes, danço para não ficar de fora né? (rsrsrs) (ALUNA DO 1º ANO) </w:t>
      </w:r>
    </w:p>
    <w:p w:rsidR="00D24E61" w:rsidRPr="00771368" w:rsidRDefault="00D24E61" w:rsidP="00D24E61">
      <w:pPr>
        <w:spacing w:line="360" w:lineRule="auto"/>
        <w:ind w:firstLine="709"/>
        <w:jc w:val="both"/>
        <w:rPr>
          <w:sz w:val="24"/>
          <w:szCs w:val="24"/>
        </w:rPr>
      </w:pPr>
      <w:r w:rsidRPr="00771368">
        <w:rPr>
          <w:sz w:val="24"/>
          <w:szCs w:val="24"/>
        </w:rPr>
        <w:t xml:space="preserve">As falas acima reforçam a concepção trazida por Marilena Chauí </w:t>
      </w:r>
      <w:r w:rsidRPr="00771368">
        <w:rPr>
          <w:i/>
          <w:sz w:val="24"/>
          <w:szCs w:val="24"/>
        </w:rPr>
        <w:t xml:space="preserve">apud </w:t>
      </w:r>
      <w:r w:rsidRPr="00771368">
        <w:rPr>
          <w:sz w:val="24"/>
          <w:szCs w:val="24"/>
        </w:rPr>
        <w:t xml:space="preserve">Oliveira (2011), quando afirma que, a cultura de massa pode ser considerada como a cultura dos alienados. Pois, as falas de muitos dos admiradores de tais letras, apesar de alguns posicionamentos mais críticos, convergem para a realidade de que muitos deles se divertem, ouvem as músicas, fazem as coreografias, mas não estão atentos às mensagens, principalmente, de duplo sentido que as músicas carregam. </w:t>
      </w:r>
    </w:p>
    <w:p w:rsidR="00D24E61" w:rsidRPr="00E13DAC" w:rsidRDefault="00D24E61" w:rsidP="00D24E61">
      <w:pPr>
        <w:spacing w:line="360" w:lineRule="auto"/>
        <w:ind w:firstLine="709"/>
        <w:jc w:val="both"/>
        <w:rPr>
          <w:i/>
          <w:color w:val="000000"/>
          <w:sz w:val="24"/>
          <w:szCs w:val="24"/>
        </w:rPr>
      </w:pPr>
      <w:r w:rsidRPr="00771368">
        <w:rPr>
          <w:sz w:val="24"/>
          <w:szCs w:val="24"/>
        </w:rPr>
        <w:t xml:space="preserve">Isto fica claro na medida em que eles afirmam que vão </w:t>
      </w:r>
      <w:r w:rsidRPr="00771368">
        <w:rPr>
          <w:i/>
          <w:sz w:val="24"/>
          <w:szCs w:val="24"/>
        </w:rPr>
        <w:t>“[...] mais pelo ritmo do que pela própria letra [...]”</w:t>
      </w:r>
      <w:r w:rsidRPr="00771368">
        <w:rPr>
          <w:sz w:val="24"/>
          <w:szCs w:val="24"/>
        </w:rPr>
        <w:t xml:space="preserve">. Neste sentido, </w:t>
      </w:r>
      <w:r w:rsidRPr="00771368">
        <w:rPr>
          <w:color w:val="000000"/>
          <w:sz w:val="24"/>
          <w:szCs w:val="24"/>
        </w:rPr>
        <w:t xml:space="preserve">Marilena Chauí </w:t>
      </w:r>
      <w:r w:rsidRPr="00771368">
        <w:rPr>
          <w:i/>
          <w:color w:val="000000"/>
          <w:sz w:val="24"/>
          <w:szCs w:val="24"/>
        </w:rPr>
        <w:t xml:space="preserve">apud </w:t>
      </w:r>
      <w:r w:rsidRPr="00771368">
        <w:rPr>
          <w:color w:val="000000"/>
          <w:sz w:val="24"/>
          <w:szCs w:val="24"/>
        </w:rPr>
        <w:t xml:space="preserve">Oliveira </w:t>
      </w:r>
      <w:r w:rsidRPr="00771368">
        <w:rPr>
          <w:i/>
          <w:color w:val="000000"/>
          <w:sz w:val="24"/>
          <w:szCs w:val="24"/>
        </w:rPr>
        <w:t xml:space="preserve">et al </w:t>
      </w:r>
      <w:r w:rsidRPr="00771368">
        <w:rPr>
          <w:color w:val="000000"/>
          <w:sz w:val="24"/>
          <w:szCs w:val="24"/>
        </w:rPr>
        <w:t xml:space="preserve">(2011) afirma que, a cultura de massa vai tomando a feição de alienada à medida que se caracteriza como envolvida </w:t>
      </w:r>
    </w:p>
    <w:p w:rsidR="00D24E61" w:rsidRPr="00E13DAC" w:rsidRDefault="00D24E61" w:rsidP="00D24E61">
      <w:pPr>
        <w:spacing w:after="120"/>
        <w:ind w:left="2268"/>
        <w:jc w:val="both"/>
        <w:rPr>
          <w:i/>
          <w:color w:val="000000"/>
          <w:sz w:val="20"/>
          <w:szCs w:val="20"/>
        </w:rPr>
      </w:pPr>
      <w:r w:rsidRPr="00E13DAC">
        <w:rPr>
          <w:i/>
          <w:color w:val="000000"/>
          <w:sz w:val="20"/>
          <w:szCs w:val="20"/>
        </w:rPr>
        <w:t>[...] pelos valores dominantes, pauperizada intelectualmente pelas restrições impostas pela elite, manipulada pela folclorização nacionalista, demagógica e exploradora, em suma, como impotente face à dominação e arrastada pela potência destruidora da alienação (CHAUÍ apud OLIVEIRA et al, 2011, p. 05).</w:t>
      </w:r>
    </w:p>
    <w:p w:rsidR="00D24E61" w:rsidRPr="00771368" w:rsidRDefault="00D24E61" w:rsidP="00D24E61">
      <w:pPr>
        <w:spacing w:line="360" w:lineRule="auto"/>
        <w:ind w:firstLine="709"/>
        <w:jc w:val="both"/>
        <w:rPr>
          <w:i/>
          <w:sz w:val="24"/>
          <w:szCs w:val="20"/>
        </w:rPr>
      </w:pPr>
      <w:r w:rsidRPr="00771368">
        <w:rPr>
          <w:sz w:val="24"/>
          <w:szCs w:val="20"/>
        </w:rPr>
        <w:t xml:space="preserve"> Em face da adjetivação das músicas como “esculhambadas”, questionei sobre o que seriam estes tipos de músicas e qual o critério para selecionar um ou outro tipo de música, uma vez que as músicas do referente grupo, de modo geral, possuem duplo sentido. A resposta foi bastante interessante: </w:t>
      </w:r>
      <w:r w:rsidRPr="00771368">
        <w:rPr>
          <w:i/>
          <w:sz w:val="24"/>
          <w:szCs w:val="20"/>
        </w:rPr>
        <w:t>“são músicas que falam de sexo o tempo todo... acho muito ousadas. Por isso, escolho mais pelo ritmo e, principalmente, aquelas que não fazem eu me sentir mal, enquanto mulher... porque estas músicas tratam as mulheres como se fossem cachorras... sei lá!”</w:t>
      </w:r>
      <w:r w:rsidRPr="00771368">
        <w:rPr>
          <w:sz w:val="24"/>
          <w:szCs w:val="20"/>
        </w:rPr>
        <w:t xml:space="preserve">. Neste momento, um dos alunos que participava da conversa disse: </w:t>
      </w:r>
      <w:r w:rsidRPr="00771368">
        <w:rPr>
          <w:i/>
          <w:sz w:val="24"/>
          <w:szCs w:val="20"/>
        </w:rPr>
        <w:t>“mas, as mulheres mesmo gostam... se não gostassem não dançavam e nem faziam tudo que a música manda, como as dançarinas. Homem é homem! As mulheres mesmo pedem...”.</w:t>
      </w:r>
    </w:p>
    <w:p w:rsidR="00D24E61" w:rsidRPr="00771368" w:rsidRDefault="00D24E61" w:rsidP="00D24E61">
      <w:pPr>
        <w:spacing w:line="360" w:lineRule="auto"/>
        <w:ind w:firstLine="709"/>
        <w:jc w:val="both"/>
        <w:rPr>
          <w:sz w:val="24"/>
          <w:szCs w:val="20"/>
        </w:rPr>
      </w:pPr>
      <w:r w:rsidRPr="00771368">
        <w:rPr>
          <w:sz w:val="24"/>
          <w:szCs w:val="20"/>
        </w:rPr>
        <w:t xml:space="preserve">A fala tanto da aluna quanto do aluno traz à tona dois aspectos substanciais, apontados por Zucco e Lima (2011), que por vezes definem a maneira como homens e mulheres se relacionam socialmente: a ideia de que o homem, por natureza, é um ser ativo – sempre apto para satisfazer o desejo da mulher e a mulher é um ser passivo – sempre dependente do homem como fonte promissora de prazer. </w:t>
      </w:r>
    </w:p>
    <w:p w:rsidR="00D24E61" w:rsidRPr="00771368" w:rsidRDefault="00D24E61" w:rsidP="00D24E61">
      <w:pPr>
        <w:spacing w:line="360" w:lineRule="auto"/>
        <w:ind w:firstLine="709"/>
        <w:jc w:val="both"/>
        <w:rPr>
          <w:sz w:val="24"/>
          <w:szCs w:val="20"/>
        </w:rPr>
      </w:pPr>
      <w:r w:rsidRPr="00771368">
        <w:rPr>
          <w:sz w:val="24"/>
          <w:szCs w:val="20"/>
        </w:rPr>
        <w:t xml:space="preserve">Recordo-me que, certa vez, ministrando aula numa determinada turma de 1º ano, alguns alunos estavam comentando sobre a letra de uma música e, no decorrer da conversa, um aluno fez a seguinte afirmativa: </w:t>
      </w:r>
      <w:r w:rsidRPr="00771368">
        <w:rPr>
          <w:i/>
          <w:sz w:val="24"/>
          <w:szCs w:val="20"/>
        </w:rPr>
        <w:t>“é lá de casar com uma mulher dessa... Deus é mais, só se for para ser corno... é tudo cachorra. Só presta pra dá uns pega mesmo”</w:t>
      </w:r>
      <w:r w:rsidRPr="00771368">
        <w:rPr>
          <w:sz w:val="24"/>
          <w:szCs w:val="20"/>
        </w:rPr>
        <w:t xml:space="preserve">. </w:t>
      </w:r>
    </w:p>
    <w:p w:rsidR="00D24E61" w:rsidRPr="00771368" w:rsidRDefault="00D24E61" w:rsidP="00D24E61">
      <w:pPr>
        <w:spacing w:line="360" w:lineRule="auto"/>
        <w:ind w:firstLine="709"/>
        <w:jc w:val="both"/>
        <w:rPr>
          <w:sz w:val="24"/>
          <w:szCs w:val="24"/>
        </w:rPr>
      </w:pPr>
      <w:r w:rsidRPr="00771368">
        <w:rPr>
          <w:sz w:val="24"/>
          <w:szCs w:val="20"/>
        </w:rPr>
        <w:t xml:space="preserve">Esta fala mostra e reforça a recorrência da ideia de dois parâmetros, culturalmente criados e naturalizados, acerca da mulher na sociedade e que, por sua vez, é muito recorrente nas falas das alunas e alunos do colégio em análise: a mulher virtuosa (própria para casar) e a mulher promíscua (desejável apenas para o sexo). Tal fala traz como base a explicitação de uma </w:t>
      </w:r>
      <w:r w:rsidRPr="00771368">
        <w:rPr>
          <w:sz w:val="24"/>
          <w:szCs w:val="24"/>
        </w:rPr>
        <w:t xml:space="preserve">“[...] relação conservadora com o sexo e com os papéis esperados da mulher: virtuosa para “casar”, “profissional” para o sexo” (TROTTA, 2009, p. 141). </w:t>
      </w:r>
    </w:p>
    <w:p w:rsidR="00D24E61" w:rsidRPr="00771368" w:rsidRDefault="00D24E61" w:rsidP="00D24E61">
      <w:pPr>
        <w:spacing w:line="360" w:lineRule="auto"/>
        <w:ind w:firstLine="709"/>
        <w:jc w:val="both"/>
        <w:rPr>
          <w:sz w:val="24"/>
          <w:szCs w:val="24"/>
        </w:rPr>
      </w:pPr>
      <w:r w:rsidRPr="00771368">
        <w:rPr>
          <w:sz w:val="24"/>
          <w:szCs w:val="24"/>
        </w:rPr>
        <w:t xml:space="preserve">Há ainda aqueles que partem do princípio de que </w:t>
      </w:r>
      <w:r w:rsidRPr="00771368">
        <w:rPr>
          <w:i/>
          <w:sz w:val="24"/>
          <w:szCs w:val="24"/>
        </w:rPr>
        <w:t>“a Black Style é cultura... e cultura não pode parar!”</w:t>
      </w:r>
      <w:r w:rsidRPr="00771368">
        <w:rPr>
          <w:sz w:val="24"/>
          <w:szCs w:val="24"/>
        </w:rPr>
        <w:t>. Bem se sabe, pelas discussões levantadas com diversos teóricos que toda produção social reflete uma produção cultural, pois “não há sociedade sem cultura, do mesmo modo que não existe ser humano destituído de cultura [...] não há pessoas desprovidas de cultura [...]” (OLIVEIRA, 2000, p. 135).</w:t>
      </w:r>
    </w:p>
    <w:p w:rsidR="00D24E61" w:rsidRPr="00771368" w:rsidRDefault="00D24E61" w:rsidP="00D24E61">
      <w:pPr>
        <w:spacing w:line="360" w:lineRule="auto"/>
        <w:ind w:firstLine="709"/>
        <w:jc w:val="both"/>
        <w:rPr>
          <w:sz w:val="24"/>
          <w:szCs w:val="24"/>
        </w:rPr>
      </w:pPr>
      <w:r w:rsidRPr="00771368">
        <w:rPr>
          <w:sz w:val="24"/>
          <w:szCs w:val="24"/>
        </w:rPr>
        <w:t>Por isso, é inegável a afirmativa de que as letras das músicas da referente banda formam um conjunto de acervos ou representações culturais. No entanto, o que a expressão acima não demonstra ter se atentado é para uma reflexão sobre o tipo de cultura que se tem criado, principalmente pelo plano da ética no que concerne ao respeito à igualdade de gênero.</w:t>
      </w:r>
    </w:p>
    <w:p w:rsidR="00D24E61" w:rsidRPr="00771368" w:rsidRDefault="00D24E61" w:rsidP="00D24E61">
      <w:pPr>
        <w:spacing w:line="360" w:lineRule="auto"/>
        <w:ind w:firstLine="709"/>
        <w:jc w:val="both"/>
        <w:rPr>
          <w:sz w:val="24"/>
          <w:szCs w:val="24"/>
        </w:rPr>
      </w:pPr>
      <w:r w:rsidRPr="00771368">
        <w:rPr>
          <w:sz w:val="24"/>
          <w:szCs w:val="24"/>
        </w:rPr>
        <w:t>No que diz respeito à escola, as falas apontadas revelam a necessidade da escola repensar o seu lugar enquanto instância sócio-cultural e refletir acerca da sua função. Pois, apesar destas expressões se passarem dentro da escola, esta, muitas vezes, torna-se omissa a tais questões, por meio do discurso do silêncio e do mito da neutralidade trazidos por Goldberg (1988). O silêncio da escola, na verdade, mostra que o gênero tem sido construído à imagem e semelhança do pensamento androcêntrico, o qual consiste</w:t>
      </w:r>
    </w:p>
    <w:p w:rsidR="00D24E61" w:rsidRPr="00E13DAC" w:rsidRDefault="00D24E61" w:rsidP="00D24E61">
      <w:pPr>
        <w:autoSpaceDE w:val="0"/>
        <w:autoSpaceDN w:val="0"/>
        <w:adjustRightInd w:val="0"/>
        <w:spacing w:after="120"/>
        <w:ind w:left="2268"/>
        <w:jc w:val="both"/>
        <w:rPr>
          <w:i/>
          <w:iCs/>
          <w:sz w:val="20"/>
          <w:szCs w:val="20"/>
        </w:rPr>
      </w:pPr>
      <w:r w:rsidRPr="00E13DAC">
        <w:rPr>
          <w:i/>
          <w:iCs/>
          <w:sz w:val="20"/>
          <w:szCs w:val="20"/>
        </w:rPr>
        <w:t>[...] em considerar o ser humano do sexo masculino como o centro do universo, como a medida de todas as coisas, como o único observador válido de tudo o que ocorre no nosso mundo, como o único capaz de ditar leis, de impor a justiça, de governar o mundo. É precisamente esta metade da humanidade que possui a força (os exércitos, a polícia), domina os meios de comunicação de massa, detém o poder legislativo, governa a sociedade, têm em suas mãos os principais meios de produção e é dona e senhora da técnica e da ciência (MORENO MARIMÓN apud PUPO, 2011, p. 02-03).</w:t>
      </w:r>
    </w:p>
    <w:p w:rsidR="00D24E61" w:rsidRPr="00771368" w:rsidRDefault="00D24E61" w:rsidP="00D24E61">
      <w:pPr>
        <w:pStyle w:val="Corpodetexto"/>
        <w:spacing w:before="0" w:beforeAutospacing="0" w:after="0" w:afterAutospacing="0" w:line="360" w:lineRule="auto"/>
        <w:ind w:firstLine="708"/>
        <w:jc w:val="both"/>
      </w:pPr>
      <w:r w:rsidRPr="00771368">
        <w:t xml:space="preserve">No entanto, a escola (seus sujeitos) deve atentar para o fato de que práticas educativas e sociais igualitárias devem partir do princípio de que “[...] atingir a igualdade de gênero não significa que os homens e as mulheres são iguais, mas, sim, que os direitos e oportunidades de uma pessoa são independentes do sexo da mesma pessoa” (SOUZA, 2011, p. 02). </w:t>
      </w:r>
    </w:p>
    <w:p w:rsidR="00D24E61" w:rsidRPr="00771368" w:rsidRDefault="00D24E61" w:rsidP="00D24E61">
      <w:pPr>
        <w:pStyle w:val="Corpodetexto"/>
        <w:spacing w:before="0" w:beforeAutospacing="0" w:after="0" w:afterAutospacing="0" w:line="360" w:lineRule="auto"/>
        <w:ind w:firstLine="708"/>
        <w:jc w:val="both"/>
      </w:pPr>
      <w:r w:rsidRPr="00771368">
        <w:t xml:space="preserve">E mais que isso! A mídia e a indústria cultural têm a todo o momento investido nos signos culturais, como as músicas, por exemplo, buscando organizar, à sua maneira, e estruturar as relações de homens e mulheres entre si e em sua coletividade. Isso significa que a meiguice requerida das meninas e o expressar-se aos gritos dos meninos representam apenas diferentes maneiras como as relações de gênero foram regidas e tecidas em uma determinada sociedade como a nossa e, portanto, não são naturais/inatas. </w:t>
      </w:r>
    </w:p>
    <w:p w:rsidR="00D24E61" w:rsidRPr="00771368" w:rsidRDefault="00D24E61" w:rsidP="00D24E61">
      <w:pPr>
        <w:spacing w:line="360" w:lineRule="auto"/>
        <w:ind w:firstLine="709"/>
        <w:jc w:val="both"/>
        <w:rPr>
          <w:sz w:val="24"/>
          <w:szCs w:val="24"/>
        </w:rPr>
      </w:pPr>
      <w:r w:rsidRPr="00771368">
        <w:rPr>
          <w:sz w:val="24"/>
          <w:szCs w:val="24"/>
        </w:rPr>
        <w:t xml:space="preserve">No entanto, a realidade ainda existente, consoante Belotti </w:t>
      </w:r>
      <w:r w:rsidRPr="00771368">
        <w:rPr>
          <w:i/>
          <w:sz w:val="24"/>
          <w:szCs w:val="24"/>
        </w:rPr>
        <w:t>apud</w:t>
      </w:r>
      <w:r w:rsidRPr="00771368">
        <w:rPr>
          <w:sz w:val="24"/>
          <w:szCs w:val="24"/>
        </w:rPr>
        <w:t xml:space="preserve"> Auad (2006, p. 40), criada na nossa cultura é de dois parâmetros de comportamentos esperados para o perfil de meninas e meninos, que revelam e reforçam a desigualdade entre os gêneros: </w:t>
      </w:r>
      <w:r w:rsidRPr="00771368">
        <w:rPr>
          <w:i/>
          <w:sz w:val="24"/>
          <w:szCs w:val="24"/>
        </w:rPr>
        <w:t>Meninos</w:t>
      </w:r>
      <w:r w:rsidRPr="00771368">
        <w:rPr>
          <w:sz w:val="24"/>
          <w:szCs w:val="24"/>
        </w:rPr>
        <w:t xml:space="preserve"> – dinâmicos, não aplicados, barulhentos, autônomos, agressivos, seguros, não choram com facilidade, não dependem com constância de afeto e aprovação; </w:t>
      </w:r>
      <w:r w:rsidRPr="00771368">
        <w:rPr>
          <w:i/>
          <w:sz w:val="24"/>
          <w:szCs w:val="24"/>
        </w:rPr>
        <w:t>Meninas</w:t>
      </w:r>
      <w:r w:rsidRPr="00771368">
        <w:rPr>
          <w:sz w:val="24"/>
          <w:szCs w:val="24"/>
        </w:rPr>
        <w:t xml:space="preserve"> – apáticas, tranquilas, metódicas, disciplinadas, obedientes, dependentes da aprovação, emotivas.</w:t>
      </w:r>
    </w:p>
    <w:p w:rsidR="00D24E61" w:rsidRPr="00771368" w:rsidRDefault="00D24E61" w:rsidP="00D24E61">
      <w:pPr>
        <w:spacing w:line="360" w:lineRule="auto"/>
        <w:ind w:firstLine="709"/>
        <w:jc w:val="both"/>
        <w:rPr>
          <w:sz w:val="24"/>
          <w:szCs w:val="24"/>
        </w:rPr>
      </w:pPr>
      <w:r w:rsidRPr="00771368">
        <w:rPr>
          <w:sz w:val="24"/>
          <w:szCs w:val="24"/>
        </w:rPr>
        <w:t xml:space="preserve">Isso mostra que discutir e trazer as falas aqui apresentadas como foco de estudo, análise e reflexão no interior da escola é fundamental. Pois, a partir daí a escola, bem como outros segmentos sociais poderão tomar consciência ou refletir acerca do seu papel e função social, criando estratégias e mecanismos, que possibilitem as discussões que estejam além dos conteúdos verticalizados e, muitas vezes, engessados nos livros didáticos. </w:t>
      </w:r>
    </w:p>
    <w:p w:rsidR="00D24E61" w:rsidRPr="00771368" w:rsidRDefault="00D24E61" w:rsidP="00D24E61">
      <w:pPr>
        <w:spacing w:line="360" w:lineRule="auto"/>
        <w:ind w:firstLine="709"/>
        <w:jc w:val="both"/>
        <w:rPr>
          <w:sz w:val="24"/>
          <w:szCs w:val="24"/>
        </w:rPr>
      </w:pPr>
      <w:r w:rsidRPr="00771368">
        <w:rPr>
          <w:sz w:val="24"/>
          <w:szCs w:val="24"/>
        </w:rPr>
        <w:t xml:space="preserve">Trazer para dentro da escola, ou melhor, dar visibilidade e colocar em evidência a relação gênero-cultura-escola, significa realizar uma abordagem de estudo e reflexão sobre as diversas questões que estão por trás de cada letra das músicas; tanto das analisadas como das demais, considerando a sua intencionalidade, baseada, principalmente, no apelo sexual e, sobretudo, carregada pelo empobrecimento e distanciamento das relações éticas e afetivas entre homens e mulheres, acirrando as desigualdades de gênero. </w:t>
      </w:r>
    </w:p>
    <w:p w:rsidR="00D24E61" w:rsidRPr="00771368" w:rsidRDefault="00D24E61" w:rsidP="00D24E61">
      <w:pPr>
        <w:spacing w:line="360" w:lineRule="auto"/>
        <w:ind w:firstLine="709"/>
        <w:jc w:val="both"/>
        <w:rPr>
          <w:sz w:val="24"/>
        </w:rPr>
      </w:pPr>
      <w:r w:rsidRPr="00771368">
        <w:rPr>
          <w:sz w:val="24"/>
          <w:szCs w:val="24"/>
        </w:rPr>
        <w:t xml:space="preserve">Pelas falas dos alunos e alunas, é possível perceber o quanto eles estão imersos, como afirma Baleeiro </w:t>
      </w:r>
      <w:r w:rsidRPr="00771368">
        <w:rPr>
          <w:i/>
          <w:sz w:val="24"/>
          <w:szCs w:val="24"/>
        </w:rPr>
        <w:t>et al</w:t>
      </w:r>
      <w:r w:rsidRPr="00771368">
        <w:rPr>
          <w:sz w:val="24"/>
          <w:szCs w:val="24"/>
        </w:rPr>
        <w:t xml:space="preserve"> (1999), nos chamados </w:t>
      </w:r>
      <w:r w:rsidRPr="00771368">
        <w:rPr>
          <w:i/>
          <w:sz w:val="24"/>
          <w:szCs w:val="24"/>
        </w:rPr>
        <w:t>“mitos da cultura de massa”</w:t>
      </w:r>
      <w:r w:rsidRPr="00771368">
        <w:rPr>
          <w:sz w:val="24"/>
          <w:szCs w:val="24"/>
        </w:rPr>
        <w:t xml:space="preserve">, que por meio da mídia e da indústria cultural apresentam modelos de masculinidade e feminilidade presentes em novelas, filmes, revistas, propagandas e, com mais intensidade, nas letras de músicas, que solicitam o seu consumo e ditam o que está na moda, como fica explícito na seguinte fala: </w:t>
      </w:r>
      <w:r w:rsidRPr="00771368">
        <w:rPr>
          <w:i/>
          <w:sz w:val="24"/>
        </w:rPr>
        <w:t>“ah porque está na moda! Todo mundo ouve, todo mundo gosta, né? Aí a gente tem que ouvir também”</w:t>
      </w:r>
      <w:r w:rsidRPr="00771368">
        <w:rPr>
          <w:sz w:val="24"/>
        </w:rPr>
        <w:t xml:space="preserve">. </w:t>
      </w:r>
    </w:p>
    <w:p w:rsidR="00D24E61" w:rsidRPr="00771368" w:rsidRDefault="00D24E61" w:rsidP="00D24E61">
      <w:pPr>
        <w:spacing w:line="360" w:lineRule="auto"/>
        <w:ind w:firstLine="709"/>
        <w:jc w:val="both"/>
        <w:rPr>
          <w:sz w:val="24"/>
        </w:rPr>
      </w:pPr>
      <w:r w:rsidRPr="00771368">
        <w:rPr>
          <w:sz w:val="24"/>
        </w:rPr>
        <w:t xml:space="preserve">Paralelamente, quando se afirma: </w:t>
      </w:r>
      <w:r w:rsidRPr="00771368">
        <w:rPr>
          <w:i/>
          <w:sz w:val="24"/>
          <w:szCs w:val="20"/>
        </w:rPr>
        <w:t>“as músicas são muito esculhambadas [...] mas até que com um grupo de amigos, às vezes, danço para não ficar de fora né? (rsrsrs)”</w:t>
      </w:r>
      <w:r w:rsidRPr="00771368">
        <w:rPr>
          <w:sz w:val="24"/>
          <w:szCs w:val="20"/>
        </w:rPr>
        <w:t>. T</w:t>
      </w:r>
      <w:r w:rsidRPr="00771368">
        <w:rPr>
          <w:sz w:val="24"/>
        </w:rPr>
        <w:t xml:space="preserve">al afirmativa está, mesmo que inconscientemente, carregada da ideia que, </w:t>
      </w:r>
    </w:p>
    <w:p w:rsidR="00D24E61" w:rsidRPr="00E13DAC" w:rsidRDefault="00D24E61" w:rsidP="00D24E61">
      <w:pPr>
        <w:spacing w:after="120"/>
        <w:ind w:left="2268"/>
        <w:jc w:val="both"/>
        <w:rPr>
          <w:i/>
          <w:sz w:val="20"/>
          <w:szCs w:val="20"/>
        </w:rPr>
      </w:pPr>
      <w:r w:rsidRPr="00E13DAC">
        <w:rPr>
          <w:i/>
          <w:sz w:val="20"/>
          <w:szCs w:val="20"/>
        </w:rPr>
        <w:t>[...] consumir este ou aquele serviço tornou-se um distintivo de classe e forma de afirmação social [...] Os mitos da cultura de massa – atletas, modelos, artistas de cinema e de televisão, figuras da música popular – são modelos de virilidade e de feminilidade, símbolos sexuais que mobilizam afetos, desejos, modelam a subjetividade e o comportamento dos adolescentes (BALEEIRO et al, 1999, p. 174).</w:t>
      </w:r>
    </w:p>
    <w:p w:rsidR="00D24E61" w:rsidRPr="00771368" w:rsidRDefault="00D24E61" w:rsidP="00D24E61">
      <w:pPr>
        <w:spacing w:line="360" w:lineRule="auto"/>
        <w:ind w:firstLine="709"/>
        <w:jc w:val="both"/>
        <w:rPr>
          <w:sz w:val="24"/>
          <w:szCs w:val="24"/>
        </w:rPr>
      </w:pPr>
      <w:r w:rsidRPr="00771368">
        <w:rPr>
          <w:sz w:val="24"/>
          <w:szCs w:val="24"/>
        </w:rPr>
        <w:t xml:space="preserve">Portanto, ao afirmar que o gênero é social e historicamente construído, e que há uma grande probabilidade das letras de músicas, efetivamente, exercerem função na construção do gênero; não se deve perder a percepção de que a igualdade de gênero não se faz distante de uma reflexão deste mundo midiático, onde homens e mulheres são espectadores. E que na condição de espectadores vão elaborando seus posicionamentos, nem sempre críticos, e aos poucos vão tomando a condição de atores e autores de discursos e práticas que podem legitimar a hierarquização, linearização e a dicotomia preconceituosa e discriminatória entre os sexos masculinos e femininos, fundamentando velhas práticas com novos discursos. </w:t>
      </w:r>
    </w:p>
    <w:p w:rsidR="00D24E61" w:rsidRPr="00771368" w:rsidRDefault="00D24E61" w:rsidP="00D24E61">
      <w:pPr>
        <w:spacing w:after="480" w:line="360" w:lineRule="auto"/>
        <w:ind w:firstLine="709"/>
        <w:jc w:val="both"/>
        <w:rPr>
          <w:sz w:val="24"/>
          <w:szCs w:val="24"/>
        </w:rPr>
      </w:pPr>
      <w:r w:rsidRPr="00771368">
        <w:rPr>
          <w:sz w:val="24"/>
          <w:szCs w:val="24"/>
        </w:rPr>
        <w:t>Tudo isto tem um objetivo maior: atribuir e legitimar características consideradas próprias e impróprias para cada sexo, tendo, conforme Louro (2010), como parâmetro central, em nossa sociedade, a referência de homem branco, heterossexual, cristão, oriundo de classe média e da zona urbana. Se padrões são definidos, como afirmar que o gênero é inerente à constituição humana? Como não considerar que os bens e produções culturais exercem certa influência na construção do gênero de homens e mulheres?</w:t>
      </w:r>
    </w:p>
    <w:p w:rsidR="00D24E61" w:rsidRPr="00771368" w:rsidRDefault="00D24E61" w:rsidP="00D24E61">
      <w:pPr>
        <w:spacing w:after="240" w:line="360" w:lineRule="auto"/>
        <w:jc w:val="both"/>
        <w:rPr>
          <w:b/>
          <w:sz w:val="24"/>
          <w:szCs w:val="24"/>
        </w:rPr>
      </w:pPr>
      <w:r w:rsidRPr="00771368">
        <w:rPr>
          <w:b/>
          <w:sz w:val="24"/>
          <w:szCs w:val="24"/>
        </w:rPr>
        <w:t xml:space="preserve">CONCLUSÕES </w:t>
      </w:r>
    </w:p>
    <w:p w:rsidR="00D24E61" w:rsidRPr="00771368" w:rsidRDefault="00D24E61" w:rsidP="00D24E61">
      <w:pPr>
        <w:spacing w:line="360" w:lineRule="auto"/>
        <w:ind w:firstLine="709"/>
        <w:jc w:val="both"/>
        <w:rPr>
          <w:sz w:val="24"/>
        </w:rPr>
      </w:pPr>
      <w:r w:rsidRPr="00771368">
        <w:rPr>
          <w:sz w:val="24"/>
        </w:rPr>
        <w:t xml:space="preserve">Partindo das reflexões e discussões até aqui levantadas e das análises realizadas, a partir das falas de alunos e alunas do contexto apresentado, é perceptível que os alunos e alunas, que fazem parte do recorte deste trabalho, são de baixo poder aquisitivo e, por isso, não têm acesso a um tipo de cultura de massa mais elaborada. Não por causa do seu nível sócio-econômico, mas pela própria política segregacionista de lei do mercado feita pela indústria cultural e pela mídia, que busca colocar “cada um no seu lugar”, conforme a classe a que pertence e aos padrões que define.  </w:t>
      </w:r>
    </w:p>
    <w:p w:rsidR="00D24E61" w:rsidRPr="00771368" w:rsidRDefault="00D24E61" w:rsidP="00D24E61">
      <w:pPr>
        <w:spacing w:line="360" w:lineRule="auto"/>
        <w:ind w:firstLine="709"/>
        <w:jc w:val="both"/>
        <w:rPr>
          <w:sz w:val="24"/>
        </w:rPr>
      </w:pPr>
      <w:r w:rsidRPr="00771368">
        <w:rPr>
          <w:sz w:val="24"/>
        </w:rPr>
        <w:t xml:space="preserve">Desta forma, a maioria dos alunos e alunas reproduz, em seus discursos e/ou ações, a visão estereotipada e construída, durante anos, do que vem a ser homem e mulher na sociedade ocidental. Ainda que, muitos deles e delas não se vejam representados em tais músicas ou não comunguem do mesmo pensamento que as músicas abordam, a maioria deles e delas projeta no outro a mensagem, carregada de sentido e significado, que as letras das músicas, intencionalmente, trazem; reforçando e legitimando os binarismos sociais, que convergem para a distinção entre “eu e eles”, “eles e elas”, na chamada guerra dos sexos. </w:t>
      </w:r>
    </w:p>
    <w:p w:rsidR="00D24E61" w:rsidRPr="00771368" w:rsidRDefault="00D24E61" w:rsidP="00D24E61">
      <w:pPr>
        <w:spacing w:line="360" w:lineRule="auto"/>
        <w:ind w:firstLine="709"/>
        <w:jc w:val="both"/>
        <w:rPr>
          <w:sz w:val="24"/>
        </w:rPr>
      </w:pPr>
      <w:r w:rsidRPr="00771368">
        <w:rPr>
          <w:sz w:val="24"/>
        </w:rPr>
        <w:t xml:space="preserve">O limiar nas falas dos alunos e alunas, parte da ideia da mulher como sexo frágil, dependente do homem, sem autonomia, voltada para os afazeres domésticos e, ao mesmo tempo, exaltada pelo fato de “trabalhar fora” e dar conta das tarefas do lar e culpada pela própria violência simbólica que sofre. </w:t>
      </w:r>
    </w:p>
    <w:p w:rsidR="00D24E61" w:rsidRPr="00771368" w:rsidRDefault="00D24E61" w:rsidP="00D24E61">
      <w:pPr>
        <w:spacing w:line="360" w:lineRule="auto"/>
        <w:ind w:firstLine="709"/>
        <w:jc w:val="both"/>
        <w:rPr>
          <w:sz w:val="24"/>
        </w:rPr>
      </w:pPr>
      <w:r w:rsidRPr="00771368">
        <w:rPr>
          <w:sz w:val="24"/>
        </w:rPr>
        <w:t>Ao passo que, ao homem é atribuída a imagem de um ser heterossexual, corajoso, valente, branco, sempre disposto a satisfazer os desejos sexuais do sexo oposto. E, portanto, na maioria das vezes, a este não é cobrada a demonstração de sentimentos e a expressão de emoções, pois são vistas e construídas como características típicas do sexo feminino.</w:t>
      </w:r>
    </w:p>
    <w:p w:rsidR="00D24E61" w:rsidRPr="00771368" w:rsidRDefault="00D24E61" w:rsidP="00D24E61">
      <w:pPr>
        <w:spacing w:line="360" w:lineRule="auto"/>
        <w:ind w:firstLine="709"/>
        <w:jc w:val="both"/>
        <w:rPr>
          <w:sz w:val="24"/>
        </w:rPr>
      </w:pPr>
      <w:r w:rsidRPr="00771368">
        <w:rPr>
          <w:sz w:val="24"/>
        </w:rPr>
        <w:t>Quanto à escola, fica perceptível que ela ainda está imbricada com a visão que elege e exalta a cultura elitista, da qual ela é proveniente. Por isso, fundamentando-se na chamada “cortina do silêncio” e no “mito da neutralidade”, a escola segrega, separa e omite a discussão sobre questões vistas como estranhas ou alheias à perspectiva elitista originária da instituição escolar, como as letras de músicas de massa para pessoas de menor poder aquisitivo, a exemplo, do grupo Black Style.</w:t>
      </w:r>
    </w:p>
    <w:p w:rsidR="00D24E61" w:rsidRPr="00771368" w:rsidRDefault="00D24E61" w:rsidP="00D24E61">
      <w:pPr>
        <w:spacing w:line="360" w:lineRule="auto"/>
        <w:ind w:firstLine="709"/>
        <w:jc w:val="both"/>
        <w:rPr>
          <w:sz w:val="24"/>
        </w:rPr>
      </w:pPr>
      <w:r w:rsidRPr="00771368">
        <w:rPr>
          <w:sz w:val="24"/>
        </w:rPr>
        <w:t xml:space="preserve">Pressuponho que a questão não está em eleger este ou aquele cantor e grupo musical, ou ainda afirmar o que é ou não cultura; mas trazer à evidência todo o aparato cultural que aproxima e articula a presença de diferentes culturas, tendo como foco principal o desenvolvimento da capacidade crítico-reflexiva acerca da gama de letras de músicas e suas respectivas construções de representações sobre o “ser homem” e o “ser mulher”. </w:t>
      </w:r>
    </w:p>
    <w:p w:rsidR="00D24E61" w:rsidRPr="00771368" w:rsidRDefault="00D24E61" w:rsidP="00D24E61">
      <w:pPr>
        <w:spacing w:line="360" w:lineRule="auto"/>
        <w:ind w:firstLine="709"/>
        <w:jc w:val="both"/>
        <w:rPr>
          <w:sz w:val="24"/>
        </w:rPr>
      </w:pPr>
      <w:r w:rsidRPr="00771368">
        <w:rPr>
          <w:sz w:val="24"/>
        </w:rPr>
        <w:t xml:space="preserve">A partir das leituras e observações realizadas, é fato que, de certa forma, as letras das músicas de massa exercem uma grande influência na constituição do gênero destes indivíduos, tanto na maneira de se perceber no mundo quanto na forma de ver, compreender e aceitar ou não o outro; uma vez que as letras das músicas, de modo geral, vêm carregadas de todo um aparato de significações e sentidos, através das quais a indústria cultural e a mídia vão produzindo perfis diferenciados de homens e mulheres, e acirrando as relações conflituosas, contraditórias, desiguais e estereotipadas entre o sexo masculino e feminino. </w:t>
      </w:r>
    </w:p>
    <w:p w:rsidR="00D24E61" w:rsidRPr="00771368" w:rsidRDefault="00D24E61" w:rsidP="00D24E61">
      <w:pPr>
        <w:spacing w:line="360" w:lineRule="auto"/>
        <w:ind w:firstLine="709"/>
        <w:jc w:val="both"/>
        <w:rPr>
          <w:sz w:val="24"/>
        </w:rPr>
      </w:pPr>
      <w:r w:rsidRPr="00771368">
        <w:rPr>
          <w:sz w:val="24"/>
        </w:rPr>
        <w:t>Portanto, defendo o princípio de que, a discussão que perpassa o campo da igualdade de gênero não deve fechar as portas para uma reflexão acerca das relações de gênero correlacionadas às músicas de massa. Pois, estas estão inscritas nos indivíduos, fazem parte de um contexto e, além disso, atuam como fortes influenciadoras da forma como homens e mulheres se comportam e representam-se entre si.</w:t>
      </w:r>
    </w:p>
    <w:p w:rsidR="00D24E61" w:rsidRPr="00771368" w:rsidRDefault="00D24E61" w:rsidP="00D24E61">
      <w:pPr>
        <w:spacing w:line="360" w:lineRule="auto"/>
        <w:ind w:firstLine="709"/>
        <w:jc w:val="both"/>
        <w:rPr>
          <w:sz w:val="24"/>
        </w:rPr>
      </w:pPr>
      <w:r w:rsidRPr="00771368">
        <w:rPr>
          <w:sz w:val="24"/>
        </w:rPr>
        <w:t>Diante disto, a abordagem aqui tecida, ainda que sucinta, apresenta-se como mais um dos pontos propulsores para se pensar a função sócio-histórica da música tanto na escola como em outros espaços sociais, correlacionada às questões que perpassam o “ser homem” e o “ser mulher”. E, ao mesmo tempo, encaminha-se ou debruça-se numa perspectiva de educação que seja capaz de refletir sobre o que está posto, enquanto construção, no meio social, buscando lidar com desafios que vem se alastrando e surgindo no século XXI no que diz respeito ao tripé cultura-gênero-escola.</w:t>
      </w:r>
    </w:p>
    <w:p w:rsidR="00D24E61" w:rsidRPr="00771368" w:rsidRDefault="00D24E61" w:rsidP="00D24E61">
      <w:pPr>
        <w:spacing w:line="360" w:lineRule="auto"/>
        <w:ind w:firstLine="709"/>
        <w:jc w:val="both"/>
        <w:rPr>
          <w:sz w:val="24"/>
        </w:rPr>
      </w:pPr>
    </w:p>
    <w:p w:rsidR="00D24E61" w:rsidRPr="00771368" w:rsidRDefault="00D24E61" w:rsidP="00D24E61">
      <w:pPr>
        <w:spacing w:after="240" w:line="360" w:lineRule="auto"/>
        <w:rPr>
          <w:b/>
          <w:sz w:val="24"/>
          <w:szCs w:val="24"/>
        </w:rPr>
      </w:pPr>
      <w:r w:rsidRPr="00771368">
        <w:rPr>
          <w:b/>
          <w:sz w:val="24"/>
          <w:szCs w:val="24"/>
        </w:rPr>
        <w:t>REFERÊNCIAS BIBLIOGRÁFICAS</w:t>
      </w:r>
    </w:p>
    <w:p w:rsidR="00D24E61" w:rsidRPr="00771368" w:rsidRDefault="00D24E61" w:rsidP="00D24E61">
      <w:pPr>
        <w:rPr>
          <w:sz w:val="24"/>
          <w:szCs w:val="24"/>
        </w:rPr>
      </w:pPr>
      <w:r w:rsidRPr="00771368">
        <w:rPr>
          <w:sz w:val="24"/>
          <w:szCs w:val="24"/>
        </w:rPr>
        <w:t xml:space="preserve">ALBUQUERQUE, Everaldo Maximino. </w:t>
      </w:r>
      <w:r w:rsidRPr="00771368">
        <w:rPr>
          <w:b/>
          <w:sz w:val="24"/>
          <w:szCs w:val="24"/>
        </w:rPr>
        <w:t>A</w:t>
      </w:r>
      <w:r w:rsidRPr="00771368">
        <w:rPr>
          <w:sz w:val="24"/>
          <w:szCs w:val="24"/>
        </w:rPr>
        <w:t xml:space="preserve"> </w:t>
      </w:r>
      <w:r w:rsidRPr="00771368">
        <w:rPr>
          <w:b/>
          <w:sz w:val="24"/>
          <w:szCs w:val="24"/>
        </w:rPr>
        <w:t>indústria cultural em Adorno e a construção da música de massa através dos mecanismos da globalização.</w:t>
      </w:r>
      <w:r w:rsidRPr="00771368">
        <w:rPr>
          <w:sz w:val="24"/>
          <w:szCs w:val="24"/>
        </w:rPr>
        <w:t xml:space="preserve"> Disponível em: &lt;</w:t>
      </w:r>
      <w:hyperlink r:id="rId36" w:history="1">
        <w:r w:rsidRPr="00771368">
          <w:rPr>
            <w:rStyle w:val="Hyperlink"/>
            <w:szCs w:val="24"/>
          </w:rPr>
          <w:t>http://facadaleitemoca.files.wordpress.com/2011/01/a-indc3bastria-cultural-em-adorno-e-a-construc3a7c3a3o-da-mc3basica-de-massa-atravc3a9s-dos-mecanismos-da-globalizac3a7c3a3o1.pdf</w:t>
        </w:r>
      </w:hyperlink>
      <w:r w:rsidRPr="00771368">
        <w:rPr>
          <w:sz w:val="24"/>
          <w:szCs w:val="24"/>
        </w:rPr>
        <w:t>&gt; Acesso em: 22 abr. 2011</w:t>
      </w: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ALMEIDA, Inajá Martins de. </w:t>
      </w:r>
      <w:r w:rsidRPr="00771368">
        <w:rPr>
          <w:b/>
          <w:sz w:val="24"/>
          <w:szCs w:val="24"/>
        </w:rPr>
        <w:t>O ato de ler.</w:t>
      </w:r>
      <w:r w:rsidRPr="00771368">
        <w:rPr>
          <w:sz w:val="24"/>
          <w:szCs w:val="24"/>
        </w:rPr>
        <w:t xml:space="preserve"> Disponível em: &lt;</w:t>
      </w:r>
      <w:hyperlink r:id="rId37" w:history="1">
        <w:r w:rsidRPr="00771368">
          <w:rPr>
            <w:rStyle w:val="Hyperlink"/>
            <w:szCs w:val="24"/>
          </w:rPr>
          <w:t>http://www.ofaj.com.br/textos_conteudo.php?cod=76</w:t>
        </w:r>
      </w:hyperlink>
      <w:r w:rsidRPr="00771368">
        <w:rPr>
          <w:sz w:val="24"/>
          <w:szCs w:val="24"/>
        </w:rPr>
        <w:t>&gt; Acesso em: 02 set. 2011</w:t>
      </w:r>
    </w:p>
    <w:p w:rsidR="00D24E61" w:rsidRPr="00771368" w:rsidRDefault="00D24E61" w:rsidP="00D24E61">
      <w:pPr>
        <w:rPr>
          <w:sz w:val="24"/>
          <w:szCs w:val="24"/>
        </w:rPr>
      </w:pPr>
    </w:p>
    <w:p w:rsidR="00D24E61" w:rsidRPr="00771368" w:rsidRDefault="00D24E61" w:rsidP="00D24E61">
      <w:pPr>
        <w:pStyle w:val="PargrafodaLista"/>
        <w:spacing w:after="0" w:line="240" w:lineRule="auto"/>
        <w:ind w:left="0"/>
        <w:rPr>
          <w:rFonts w:ascii="Times New Roman" w:hAnsi="Times New Roman"/>
          <w:sz w:val="24"/>
          <w:szCs w:val="24"/>
        </w:rPr>
      </w:pPr>
      <w:r w:rsidRPr="00771368">
        <w:rPr>
          <w:rFonts w:ascii="Times New Roman" w:hAnsi="Times New Roman"/>
          <w:sz w:val="24"/>
          <w:szCs w:val="24"/>
        </w:rPr>
        <w:t xml:space="preserve">AUAD, Daniela. </w:t>
      </w:r>
      <w:r w:rsidRPr="00771368">
        <w:rPr>
          <w:rFonts w:ascii="Times New Roman" w:hAnsi="Times New Roman"/>
          <w:b/>
          <w:sz w:val="24"/>
          <w:szCs w:val="24"/>
        </w:rPr>
        <w:t>Educar meninas e meninas:</w:t>
      </w:r>
      <w:r w:rsidRPr="00771368">
        <w:rPr>
          <w:rFonts w:ascii="Times New Roman" w:hAnsi="Times New Roman"/>
          <w:sz w:val="24"/>
          <w:szCs w:val="24"/>
        </w:rPr>
        <w:t xml:space="preserve"> relações de gênero na escola. São Paulo: Contexto, 2006.</w:t>
      </w:r>
    </w:p>
    <w:p w:rsidR="00D24E61" w:rsidRPr="00771368" w:rsidRDefault="00D24E61" w:rsidP="00D24E61">
      <w:pPr>
        <w:pStyle w:val="PargrafodaLista"/>
        <w:spacing w:after="0" w:line="240" w:lineRule="auto"/>
        <w:ind w:left="0"/>
        <w:rPr>
          <w:rFonts w:ascii="Times New Roman" w:hAnsi="Times New Roman"/>
          <w:sz w:val="24"/>
          <w:szCs w:val="24"/>
        </w:rPr>
      </w:pPr>
    </w:p>
    <w:p w:rsidR="00D24E61" w:rsidRPr="00771368" w:rsidRDefault="00D24E61" w:rsidP="00D24E61">
      <w:pPr>
        <w:pStyle w:val="PargrafodaLista"/>
        <w:spacing w:after="0" w:line="240" w:lineRule="auto"/>
        <w:ind w:left="0"/>
        <w:rPr>
          <w:rFonts w:ascii="Times New Roman" w:hAnsi="Times New Roman"/>
          <w:sz w:val="24"/>
        </w:rPr>
      </w:pPr>
      <w:r w:rsidRPr="00771368">
        <w:rPr>
          <w:rFonts w:ascii="Times New Roman" w:hAnsi="Times New Roman"/>
          <w:sz w:val="24"/>
        </w:rPr>
        <w:t>BLACK STYLE. Disponível em: &lt;</w:t>
      </w:r>
      <w:hyperlink r:id="rId38" w:history="1">
        <w:r w:rsidRPr="00771368">
          <w:rPr>
            <w:rStyle w:val="Hyperlink"/>
            <w:rFonts w:ascii="Times New Roman" w:hAnsi="Times New Roman"/>
          </w:rPr>
          <w:t>http://letras.terra.com.br/black-style/</w:t>
        </w:r>
      </w:hyperlink>
      <w:r w:rsidRPr="00771368">
        <w:rPr>
          <w:rFonts w:ascii="Times New Roman" w:hAnsi="Times New Roman"/>
          <w:sz w:val="24"/>
        </w:rPr>
        <w:t>&gt; Acesso em: 30 jul. 2011.</w:t>
      </w:r>
    </w:p>
    <w:p w:rsidR="00D24E61" w:rsidRPr="00771368" w:rsidRDefault="00D24E61" w:rsidP="00D24E61">
      <w:pPr>
        <w:pStyle w:val="PargrafodaLista"/>
        <w:spacing w:after="0" w:line="240" w:lineRule="auto"/>
        <w:ind w:left="0"/>
        <w:rPr>
          <w:rFonts w:ascii="Times New Roman" w:hAnsi="Times New Roman"/>
          <w:sz w:val="28"/>
          <w:szCs w:val="24"/>
        </w:rPr>
      </w:pPr>
    </w:p>
    <w:p w:rsidR="00D24E61" w:rsidRPr="00771368" w:rsidRDefault="00D24E61" w:rsidP="00D24E61">
      <w:pPr>
        <w:rPr>
          <w:sz w:val="24"/>
          <w:szCs w:val="24"/>
        </w:rPr>
      </w:pPr>
      <w:r w:rsidRPr="00771368">
        <w:rPr>
          <w:sz w:val="24"/>
          <w:szCs w:val="24"/>
        </w:rPr>
        <w:t xml:space="preserve">BALEEIRO, Maria Clarice (Org.). </w:t>
      </w:r>
      <w:r w:rsidRPr="00771368">
        <w:rPr>
          <w:b/>
          <w:sz w:val="24"/>
          <w:szCs w:val="24"/>
        </w:rPr>
        <w:t>Sexualidade do adolescente:</w:t>
      </w:r>
      <w:r w:rsidRPr="00771368">
        <w:rPr>
          <w:sz w:val="24"/>
          <w:szCs w:val="24"/>
        </w:rPr>
        <w:t xml:space="preserve"> fundamentos para uma ação educativa. Salvador: Fundação Odebrecht, 1999.</w:t>
      </w:r>
    </w:p>
    <w:p w:rsidR="00D24E61" w:rsidRPr="00771368" w:rsidRDefault="00D24E61" w:rsidP="00D24E61">
      <w:pPr>
        <w:rPr>
          <w:sz w:val="24"/>
          <w:szCs w:val="24"/>
        </w:rPr>
      </w:pPr>
    </w:p>
    <w:p w:rsidR="00D24E61" w:rsidRPr="00771368" w:rsidRDefault="00D24E61" w:rsidP="00D24E61">
      <w:pPr>
        <w:outlineLvl w:val="1"/>
        <w:rPr>
          <w:sz w:val="24"/>
          <w:szCs w:val="24"/>
        </w:rPr>
      </w:pPr>
      <w:r w:rsidRPr="00771368">
        <w:rPr>
          <w:sz w:val="24"/>
          <w:szCs w:val="24"/>
        </w:rPr>
        <w:t xml:space="preserve">BELO, Maria. </w:t>
      </w:r>
      <w:r w:rsidRPr="00771368">
        <w:rPr>
          <w:b/>
          <w:sz w:val="24"/>
          <w:szCs w:val="24"/>
        </w:rPr>
        <w:t xml:space="preserve">Falocentrismo. </w:t>
      </w:r>
      <w:r w:rsidRPr="00771368">
        <w:rPr>
          <w:sz w:val="24"/>
          <w:szCs w:val="24"/>
        </w:rPr>
        <w:t>Disponível em: &lt;</w:t>
      </w:r>
      <w:hyperlink r:id="rId39" w:history="1">
        <w:r w:rsidRPr="00771368">
          <w:rPr>
            <w:rStyle w:val="Hyperlink"/>
            <w:szCs w:val="24"/>
          </w:rPr>
          <w:t>http://www.fcsh.unl.pt/invest/edtl/verbetes/F/falocentrismo.htm</w:t>
        </w:r>
      </w:hyperlink>
      <w:r w:rsidRPr="00771368">
        <w:rPr>
          <w:sz w:val="24"/>
          <w:szCs w:val="24"/>
        </w:rPr>
        <w:t>&gt; Acesso em: 14 jul. 2011.</w:t>
      </w:r>
    </w:p>
    <w:p w:rsidR="00D24E61" w:rsidRPr="00771368" w:rsidRDefault="00D24E61" w:rsidP="00D24E61">
      <w:pPr>
        <w:outlineLvl w:val="1"/>
        <w:rPr>
          <w:sz w:val="24"/>
          <w:szCs w:val="24"/>
        </w:rPr>
      </w:pPr>
    </w:p>
    <w:p w:rsidR="00D24E61" w:rsidRPr="00771368" w:rsidRDefault="00D24E61" w:rsidP="00D24E61">
      <w:pPr>
        <w:rPr>
          <w:sz w:val="24"/>
          <w:szCs w:val="24"/>
        </w:rPr>
      </w:pPr>
      <w:r w:rsidRPr="00771368">
        <w:rPr>
          <w:sz w:val="24"/>
          <w:szCs w:val="24"/>
        </w:rPr>
        <w:t xml:space="preserve">BOFF, Leonardo. </w:t>
      </w:r>
      <w:r w:rsidRPr="00771368">
        <w:rPr>
          <w:b/>
          <w:sz w:val="24"/>
          <w:szCs w:val="24"/>
        </w:rPr>
        <w:t>A águia e a galinha.</w:t>
      </w:r>
      <w:r w:rsidRPr="00771368">
        <w:rPr>
          <w:sz w:val="24"/>
          <w:szCs w:val="24"/>
        </w:rPr>
        <w:t xml:space="preserve"> 14. ed. Petrópolis, RJ: Vozes, 1998.</w:t>
      </w:r>
    </w:p>
    <w:p w:rsidR="00D24E61" w:rsidRPr="00771368" w:rsidRDefault="00D24E61" w:rsidP="00D24E61">
      <w:pPr>
        <w:rPr>
          <w:sz w:val="24"/>
          <w:szCs w:val="24"/>
        </w:rPr>
      </w:pPr>
    </w:p>
    <w:p w:rsidR="00D24E61" w:rsidRPr="00771368" w:rsidRDefault="00D24E61" w:rsidP="00D24E61">
      <w:pPr>
        <w:rPr>
          <w:sz w:val="24"/>
          <w:szCs w:val="24"/>
        </w:rPr>
      </w:pPr>
      <w:r w:rsidRPr="00771368">
        <w:rPr>
          <w:rStyle w:val="Forte"/>
          <w:b w:val="0"/>
          <w:sz w:val="24"/>
          <w:szCs w:val="24"/>
        </w:rPr>
        <w:t>CARVALHO,</w:t>
      </w:r>
      <w:r w:rsidRPr="00771368">
        <w:rPr>
          <w:sz w:val="24"/>
          <w:szCs w:val="24"/>
        </w:rPr>
        <w:t xml:space="preserve"> </w:t>
      </w:r>
      <w:r w:rsidRPr="00771368">
        <w:rPr>
          <w:rStyle w:val="Forte"/>
          <w:b w:val="0"/>
          <w:sz w:val="24"/>
          <w:szCs w:val="24"/>
        </w:rPr>
        <w:t xml:space="preserve">Maria Eulina Pessoa de.  </w:t>
      </w:r>
      <w:r w:rsidRPr="00771368">
        <w:rPr>
          <w:rStyle w:val="Forte"/>
          <w:sz w:val="24"/>
          <w:szCs w:val="24"/>
        </w:rPr>
        <w:t xml:space="preserve">Pierre Bourdieu sobre gênero e educação. </w:t>
      </w:r>
      <w:r w:rsidRPr="00771368">
        <w:rPr>
          <w:rStyle w:val="Forte"/>
          <w:b w:val="0"/>
          <w:sz w:val="24"/>
          <w:szCs w:val="24"/>
        </w:rPr>
        <w:t>Disponível em: &lt;</w:t>
      </w:r>
      <w:hyperlink r:id="rId40" w:history="1">
        <w:r w:rsidRPr="00771368">
          <w:rPr>
            <w:rStyle w:val="Hyperlink"/>
            <w:szCs w:val="24"/>
          </w:rPr>
          <w:t>http://www.prodema.ufpb.br/revistaartemis/numero1/arquivos/  artigos/pierrebourdieu.htm</w:t>
        </w:r>
      </w:hyperlink>
      <w:r w:rsidRPr="00771368">
        <w:rPr>
          <w:sz w:val="24"/>
          <w:szCs w:val="24"/>
        </w:rPr>
        <w:t>&gt; Acesso em: 26 mai. 2011.</w:t>
      </w:r>
    </w:p>
    <w:p w:rsidR="00D24E61" w:rsidRPr="00771368" w:rsidRDefault="00D24E61" w:rsidP="00D24E61">
      <w:pPr>
        <w:rPr>
          <w:b/>
          <w:bCs/>
          <w:sz w:val="24"/>
          <w:szCs w:val="24"/>
          <w:shd w:val="clear" w:color="auto" w:fill="FFFFCC"/>
        </w:rPr>
      </w:pPr>
    </w:p>
    <w:p w:rsidR="00D24E61" w:rsidRPr="00771368" w:rsidRDefault="00D24E61" w:rsidP="00D24E61">
      <w:pPr>
        <w:autoSpaceDE w:val="0"/>
        <w:autoSpaceDN w:val="0"/>
        <w:adjustRightInd w:val="0"/>
        <w:rPr>
          <w:sz w:val="24"/>
          <w:szCs w:val="24"/>
        </w:rPr>
      </w:pPr>
      <w:r w:rsidRPr="00771368">
        <w:rPr>
          <w:bCs/>
          <w:sz w:val="24"/>
          <w:szCs w:val="24"/>
        </w:rPr>
        <w:t>FERNANDES, Railde da Glória; JESUS, Cláudia de.</w:t>
      </w:r>
      <w:r w:rsidRPr="00771368">
        <w:rPr>
          <w:b/>
          <w:bCs/>
          <w:sz w:val="24"/>
          <w:szCs w:val="24"/>
        </w:rPr>
        <w:t xml:space="preserve"> A construção de gênero e de representações femininas na música de massa (1990-2007)</w:t>
      </w:r>
      <w:r w:rsidRPr="00771368">
        <w:rPr>
          <w:bCs/>
          <w:sz w:val="24"/>
          <w:szCs w:val="24"/>
        </w:rPr>
        <w:t>. Disponível em: &lt;</w:t>
      </w:r>
      <w:hyperlink r:id="rId41" w:history="1">
        <w:r w:rsidRPr="00771368">
          <w:rPr>
            <w:rStyle w:val="Hyperlink"/>
            <w:szCs w:val="24"/>
          </w:rPr>
          <w:t>http://www.fepeg.unimontes.br/evento2009/index.php/fepeg/fepeg2009/paper/viewFile/265/599</w:t>
        </w:r>
      </w:hyperlink>
      <w:r w:rsidRPr="00771368">
        <w:rPr>
          <w:sz w:val="24"/>
          <w:szCs w:val="24"/>
        </w:rPr>
        <w:t>&gt; Acesso em: 16 abr. 2011.</w:t>
      </w:r>
    </w:p>
    <w:p w:rsidR="00D24E61" w:rsidRPr="00771368" w:rsidRDefault="00D24E61" w:rsidP="00D24E61">
      <w:pPr>
        <w:autoSpaceDE w:val="0"/>
        <w:autoSpaceDN w:val="0"/>
        <w:adjustRightInd w:val="0"/>
        <w:rPr>
          <w:sz w:val="24"/>
          <w:szCs w:val="24"/>
        </w:rPr>
      </w:pPr>
    </w:p>
    <w:p w:rsidR="00D24E61" w:rsidRPr="00771368" w:rsidRDefault="00D24E61" w:rsidP="00D24E61">
      <w:pPr>
        <w:outlineLvl w:val="1"/>
        <w:rPr>
          <w:sz w:val="24"/>
          <w:szCs w:val="24"/>
        </w:rPr>
      </w:pPr>
      <w:r w:rsidRPr="00771368">
        <w:rPr>
          <w:sz w:val="24"/>
          <w:szCs w:val="24"/>
        </w:rPr>
        <w:t xml:space="preserve">FOUCALT, Michel. </w:t>
      </w:r>
      <w:r w:rsidRPr="00771368">
        <w:rPr>
          <w:b/>
          <w:sz w:val="24"/>
          <w:szCs w:val="24"/>
        </w:rPr>
        <w:t>História da sexualidade:</w:t>
      </w:r>
      <w:r w:rsidRPr="00771368">
        <w:rPr>
          <w:sz w:val="24"/>
          <w:szCs w:val="24"/>
        </w:rPr>
        <w:t xml:space="preserve"> a vontade de saber. Rio de Janeiro: Graal, 1988.</w:t>
      </w:r>
    </w:p>
    <w:p w:rsidR="00D24E61" w:rsidRPr="00771368" w:rsidRDefault="00D24E61" w:rsidP="00D24E61">
      <w:pPr>
        <w:outlineLvl w:val="1"/>
        <w:rPr>
          <w:sz w:val="24"/>
          <w:szCs w:val="24"/>
        </w:rPr>
      </w:pPr>
    </w:p>
    <w:p w:rsidR="00D24E61" w:rsidRPr="00771368" w:rsidRDefault="00D24E61" w:rsidP="00D24E61">
      <w:pPr>
        <w:rPr>
          <w:sz w:val="24"/>
          <w:szCs w:val="24"/>
        </w:rPr>
      </w:pPr>
      <w:r w:rsidRPr="00771368">
        <w:rPr>
          <w:sz w:val="24"/>
          <w:szCs w:val="24"/>
        </w:rPr>
        <w:t xml:space="preserve">GIDDENS, Anthony. </w:t>
      </w:r>
      <w:r w:rsidRPr="00771368">
        <w:rPr>
          <w:b/>
          <w:sz w:val="24"/>
          <w:szCs w:val="24"/>
        </w:rPr>
        <w:t>A transformação da intimidade:</w:t>
      </w:r>
      <w:r w:rsidRPr="00771368">
        <w:rPr>
          <w:sz w:val="24"/>
          <w:szCs w:val="24"/>
        </w:rPr>
        <w:t xml:space="preserve"> sexualidade, amor e erotismo nas sociedades modernas. São Paulo: Unesp, 1993. </w:t>
      </w: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GOLDBERG, Maria Amélia Azevedo. </w:t>
      </w:r>
      <w:r w:rsidRPr="00771368">
        <w:rPr>
          <w:b/>
          <w:sz w:val="24"/>
          <w:szCs w:val="24"/>
        </w:rPr>
        <w:t>Educação sexual:</w:t>
      </w:r>
      <w:r w:rsidRPr="00771368">
        <w:rPr>
          <w:i/>
          <w:sz w:val="24"/>
          <w:szCs w:val="24"/>
        </w:rPr>
        <w:t xml:space="preserve"> </w:t>
      </w:r>
      <w:r w:rsidRPr="00771368">
        <w:rPr>
          <w:sz w:val="24"/>
          <w:szCs w:val="24"/>
        </w:rPr>
        <w:t>uma proposta, um desafio. 4. ed. São Paulo: Cortez, 1988.</w:t>
      </w:r>
    </w:p>
    <w:p w:rsidR="00D24E61" w:rsidRPr="00771368" w:rsidRDefault="00D24E61" w:rsidP="00D24E61">
      <w:pPr>
        <w:rPr>
          <w:sz w:val="24"/>
          <w:szCs w:val="24"/>
        </w:rPr>
      </w:pPr>
    </w:p>
    <w:p w:rsidR="00D24E61" w:rsidRPr="00771368" w:rsidRDefault="00D24E61" w:rsidP="00D24E61">
      <w:pPr>
        <w:pStyle w:val="PargrafodaLista"/>
        <w:spacing w:after="0" w:line="240" w:lineRule="auto"/>
        <w:ind w:left="0"/>
        <w:rPr>
          <w:rFonts w:ascii="Times New Roman" w:hAnsi="Times New Roman"/>
          <w:sz w:val="24"/>
          <w:szCs w:val="24"/>
        </w:rPr>
      </w:pPr>
      <w:r w:rsidRPr="00771368">
        <w:rPr>
          <w:rFonts w:ascii="Times New Roman" w:hAnsi="Times New Roman"/>
          <w:sz w:val="24"/>
          <w:szCs w:val="24"/>
        </w:rPr>
        <w:t>LIMA, Bianca de Azevedo; ZUCCO, Luciana Patrícia.</w:t>
      </w:r>
      <w:r w:rsidRPr="00771368">
        <w:rPr>
          <w:rFonts w:ascii="Times New Roman" w:hAnsi="Times New Roman"/>
          <w:b/>
          <w:sz w:val="24"/>
          <w:szCs w:val="24"/>
        </w:rPr>
        <w:t xml:space="preserve"> </w:t>
      </w:r>
      <w:r w:rsidRPr="00771368">
        <w:rPr>
          <w:rFonts w:ascii="Times New Roman" w:hAnsi="Times New Roman"/>
          <w:b/>
          <w:bCs/>
          <w:sz w:val="24"/>
          <w:szCs w:val="24"/>
        </w:rPr>
        <w:t xml:space="preserve">Representações de gênero em letras de música juvenil: </w:t>
      </w:r>
      <w:r w:rsidRPr="00771368">
        <w:rPr>
          <w:rFonts w:ascii="Times New Roman" w:hAnsi="Times New Roman"/>
          <w:bCs/>
          <w:sz w:val="24"/>
          <w:szCs w:val="24"/>
        </w:rPr>
        <w:t>estudo do caso "Paquitas New Generation". Disponível em: &lt;</w:t>
      </w:r>
      <w:hyperlink r:id="rId42" w:history="1">
        <w:r w:rsidRPr="00771368">
          <w:rPr>
            <w:rStyle w:val="Hyperlink"/>
            <w:rFonts w:ascii="Times New Roman" w:hAnsi="Times New Roman"/>
            <w:bCs/>
            <w:szCs w:val="24"/>
          </w:rPr>
          <w:t>http://prisma.cetac.up.pt/08_Representacoes_genero_letras _musica_juvenil.pdf</w:t>
        </w:r>
      </w:hyperlink>
      <w:r w:rsidRPr="00771368">
        <w:rPr>
          <w:rFonts w:ascii="Times New Roman" w:hAnsi="Times New Roman"/>
          <w:sz w:val="24"/>
          <w:szCs w:val="24"/>
        </w:rPr>
        <w:t>&gt; Acesso em: 19 abr. 2011.</w:t>
      </w:r>
    </w:p>
    <w:p w:rsidR="00D24E61" w:rsidRPr="00771368" w:rsidRDefault="00D24E61" w:rsidP="00D24E61">
      <w:pPr>
        <w:pStyle w:val="PargrafodaLista"/>
        <w:spacing w:after="0" w:line="240" w:lineRule="auto"/>
        <w:ind w:left="0"/>
        <w:rPr>
          <w:rFonts w:ascii="Times New Roman" w:hAnsi="Times New Roman"/>
          <w:sz w:val="24"/>
          <w:szCs w:val="24"/>
        </w:rPr>
      </w:pPr>
    </w:p>
    <w:p w:rsidR="00D24E61" w:rsidRPr="00771368" w:rsidRDefault="00D24E61" w:rsidP="00D24E61">
      <w:pPr>
        <w:outlineLvl w:val="1"/>
        <w:rPr>
          <w:sz w:val="24"/>
          <w:szCs w:val="24"/>
        </w:rPr>
      </w:pPr>
      <w:r w:rsidRPr="00771368">
        <w:rPr>
          <w:sz w:val="24"/>
          <w:szCs w:val="24"/>
        </w:rPr>
        <w:t xml:space="preserve">LIZ, Ingrid Farias de; GESSER, Marivete. </w:t>
      </w:r>
      <w:r w:rsidRPr="00771368">
        <w:rPr>
          <w:b/>
          <w:sz w:val="24"/>
          <w:szCs w:val="24"/>
        </w:rPr>
        <w:t>Concepções de gênero e de sexualidade e suas influências na constituição das práticas no campo da saúde sexual e reprodutiva em uma unidade de saúde do município de Lages/SC.</w:t>
      </w:r>
      <w:r w:rsidRPr="00771368">
        <w:rPr>
          <w:sz w:val="24"/>
          <w:szCs w:val="24"/>
        </w:rPr>
        <w:t xml:space="preserve"> Disponível em: &lt; </w:t>
      </w:r>
      <w:hyperlink r:id="rId43" w:history="1">
        <w:r w:rsidRPr="00771368">
          <w:rPr>
            <w:rStyle w:val="Hyperlink"/>
            <w:szCs w:val="24"/>
          </w:rPr>
          <w:t>http://www.fazendogenero.ufsc.br/9/resources/anais/ 1278272180_ARQUIVO_artigoFazendoGenero-Ingrid.pdf</w:t>
        </w:r>
      </w:hyperlink>
      <w:r w:rsidRPr="00771368">
        <w:rPr>
          <w:sz w:val="24"/>
          <w:szCs w:val="24"/>
        </w:rPr>
        <w:t>&gt; Acesso em: 12 jun. 2011.</w:t>
      </w:r>
    </w:p>
    <w:p w:rsidR="00D24E61" w:rsidRPr="00771368" w:rsidRDefault="00D24E61" w:rsidP="00D24E61">
      <w:pPr>
        <w:outlineLvl w:val="1"/>
        <w:rPr>
          <w:sz w:val="24"/>
          <w:szCs w:val="24"/>
        </w:rPr>
      </w:pPr>
      <w:r w:rsidRPr="00771368">
        <w:rPr>
          <w:sz w:val="24"/>
          <w:szCs w:val="24"/>
        </w:rPr>
        <w:t xml:space="preserve">   </w:t>
      </w:r>
    </w:p>
    <w:p w:rsidR="00D24E61" w:rsidRPr="00771368" w:rsidRDefault="00D24E61" w:rsidP="00D24E61">
      <w:pPr>
        <w:rPr>
          <w:sz w:val="24"/>
          <w:szCs w:val="24"/>
        </w:rPr>
      </w:pPr>
      <w:r w:rsidRPr="00771368">
        <w:rPr>
          <w:sz w:val="24"/>
          <w:szCs w:val="24"/>
        </w:rPr>
        <w:t xml:space="preserve">LOURO, Guacira Lopes. </w:t>
      </w:r>
      <w:r w:rsidRPr="00771368">
        <w:rPr>
          <w:b/>
          <w:sz w:val="24"/>
          <w:szCs w:val="24"/>
        </w:rPr>
        <w:t xml:space="preserve">Gênero, sexualidade e educação: </w:t>
      </w:r>
      <w:r w:rsidRPr="00771368">
        <w:rPr>
          <w:sz w:val="24"/>
          <w:szCs w:val="24"/>
        </w:rPr>
        <w:t>uma perspectiva pós-estruturalista. 11. ed. Petrópolis, RJ: Vozes, 2010.</w:t>
      </w: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LOURO, Guacira Lopes. Pedagogias da sexualidade. In:  LOURO, Guacira Lopes (Org.). </w:t>
      </w:r>
      <w:r w:rsidRPr="00771368">
        <w:rPr>
          <w:b/>
          <w:sz w:val="24"/>
          <w:szCs w:val="24"/>
        </w:rPr>
        <w:t xml:space="preserve">O corpo educado: </w:t>
      </w:r>
      <w:r w:rsidRPr="00771368">
        <w:rPr>
          <w:sz w:val="24"/>
          <w:szCs w:val="24"/>
        </w:rPr>
        <w:t>pedagogias da sexualidade. 3. ed. Belo Horizonte, MG: Autêntica, 2010.</w:t>
      </w: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OLIVEIRA, Carlos Roberto de. </w:t>
      </w:r>
      <w:r w:rsidRPr="00771368">
        <w:rPr>
          <w:b/>
          <w:sz w:val="24"/>
          <w:szCs w:val="24"/>
        </w:rPr>
        <w:t>Mulher é igual a lata, um chuta e o outro cata.</w:t>
      </w:r>
      <w:r w:rsidRPr="00771368">
        <w:rPr>
          <w:sz w:val="24"/>
          <w:szCs w:val="24"/>
        </w:rPr>
        <w:t xml:space="preserve"> Disponível em: &lt;</w:t>
      </w:r>
      <w:hyperlink r:id="rId44" w:history="1">
        <w:r w:rsidRPr="00771368">
          <w:rPr>
            <w:rStyle w:val="Hyperlink"/>
            <w:szCs w:val="24"/>
          </w:rPr>
          <w:t>http://apatotadopitaco.blogspot.com/2011/07/mulher-e-igual-lata-um-chuta-e-o-outro.html</w:t>
        </w:r>
      </w:hyperlink>
      <w:r w:rsidRPr="00771368">
        <w:rPr>
          <w:sz w:val="24"/>
          <w:szCs w:val="24"/>
        </w:rPr>
        <w:t>&gt; Acesso em: 10 ago. 2011.</w:t>
      </w:r>
    </w:p>
    <w:p w:rsidR="00D24E61" w:rsidRPr="00771368" w:rsidRDefault="00D24E61" w:rsidP="00D24E61">
      <w:pPr>
        <w:rPr>
          <w:sz w:val="24"/>
          <w:szCs w:val="24"/>
        </w:rPr>
      </w:pPr>
    </w:p>
    <w:p w:rsidR="00D24E61" w:rsidRPr="00771368" w:rsidRDefault="00D24E61" w:rsidP="00D24E61">
      <w:pPr>
        <w:rPr>
          <w:sz w:val="24"/>
          <w:szCs w:val="24"/>
        </w:rPr>
      </w:pPr>
      <w:r w:rsidRPr="00771368">
        <w:rPr>
          <w:rStyle w:val="apple-style-span"/>
          <w:rFonts w:eastAsia="Calibri"/>
          <w:sz w:val="24"/>
          <w:szCs w:val="24"/>
          <w:shd w:val="clear" w:color="auto" w:fill="FFFFFF"/>
        </w:rPr>
        <w:t xml:space="preserve">OLIVEIRA, Márcia Dionísio de. </w:t>
      </w:r>
      <w:r w:rsidRPr="00771368">
        <w:rPr>
          <w:rStyle w:val="apple-style-span"/>
          <w:rFonts w:eastAsia="Calibri"/>
          <w:b/>
          <w:sz w:val="24"/>
          <w:szCs w:val="24"/>
          <w:shd w:val="clear" w:color="auto" w:fill="FFFFFF"/>
        </w:rPr>
        <w:t>A escola:</w:t>
      </w:r>
      <w:r w:rsidRPr="00771368">
        <w:rPr>
          <w:rStyle w:val="apple-style-span"/>
          <w:rFonts w:eastAsia="Calibri"/>
          <w:sz w:val="24"/>
          <w:szCs w:val="24"/>
          <w:shd w:val="clear" w:color="auto" w:fill="FFFFFF"/>
        </w:rPr>
        <w:t xml:space="preserve"> Paulo Freire. Disponível em: &lt;</w:t>
      </w:r>
      <w:hyperlink r:id="rId45" w:history="1">
        <w:r w:rsidRPr="00771368">
          <w:rPr>
            <w:rStyle w:val="Hyperlink"/>
            <w:szCs w:val="24"/>
          </w:rPr>
          <w:t>http://marcialatifa.blogspot.com/2007/07/mensagem-escola-paulo-freire.html</w:t>
        </w:r>
      </w:hyperlink>
      <w:r w:rsidRPr="00771368">
        <w:rPr>
          <w:sz w:val="24"/>
          <w:szCs w:val="24"/>
        </w:rPr>
        <w:t>&gt; Acesso em: 07 set. 2011.</w:t>
      </w:r>
    </w:p>
    <w:p w:rsidR="00D24E61" w:rsidRPr="00771368" w:rsidRDefault="00D24E61" w:rsidP="00D24E61">
      <w:pPr>
        <w:rPr>
          <w:sz w:val="24"/>
          <w:szCs w:val="24"/>
        </w:rPr>
      </w:pPr>
      <w:r w:rsidRPr="00771368">
        <w:rPr>
          <w:rStyle w:val="apple-style-span"/>
          <w:rFonts w:eastAsia="Calibri"/>
          <w:sz w:val="24"/>
          <w:szCs w:val="24"/>
          <w:shd w:val="clear" w:color="auto" w:fill="FFFFFF"/>
        </w:rPr>
        <w:t xml:space="preserve"> </w:t>
      </w:r>
    </w:p>
    <w:p w:rsidR="00D24E61" w:rsidRPr="00771368" w:rsidRDefault="00D24E61" w:rsidP="00D24E61">
      <w:pPr>
        <w:pStyle w:val="PargrafodaLista"/>
        <w:autoSpaceDE w:val="0"/>
        <w:autoSpaceDN w:val="0"/>
        <w:adjustRightInd w:val="0"/>
        <w:spacing w:after="0" w:line="240" w:lineRule="auto"/>
        <w:ind w:left="0"/>
        <w:rPr>
          <w:rFonts w:ascii="Times New Roman" w:hAnsi="Times New Roman"/>
          <w:sz w:val="24"/>
          <w:szCs w:val="24"/>
        </w:rPr>
      </w:pPr>
      <w:r w:rsidRPr="00771368">
        <w:rPr>
          <w:rFonts w:ascii="Times New Roman" w:hAnsi="Times New Roman"/>
          <w:sz w:val="24"/>
          <w:szCs w:val="24"/>
        </w:rPr>
        <w:t xml:space="preserve">PUPO, Kátia. </w:t>
      </w:r>
      <w:r w:rsidRPr="00771368">
        <w:rPr>
          <w:rFonts w:ascii="Times New Roman" w:hAnsi="Times New Roman"/>
          <w:b/>
          <w:sz w:val="24"/>
          <w:szCs w:val="24"/>
        </w:rPr>
        <w:t>Questão de gênero na escola.</w:t>
      </w:r>
      <w:r w:rsidRPr="00771368">
        <w:rPr>
          <w:rFonts w:ascii="Times New Roman" w:hAnsi="Times New Roman"/>
          <w:sz w:val="24"/>
          <w:szCs w:val="24"/>
        </w:rPr>
        <w:t xml:space="preserve"> Disponível em: &lt;</w:t>
      </w:r>
      <w:hyperlink r:id="rId46" w:history="1">
        <w:r w:rsidRPr="00771368">
          <w:rPr>
            <w:rStyle w:val="Hyperlink"/>
            <w:rFonts w:ascii="Times New Roman" w:hAnsi="Times New Roman"/>
            <w:szCs w:val="24"/>
          </w:rPr>
          <w:t>http://www.smec.salvador.ba.gov.br/site/documentos/espaco-virtual/espaco-etica/ WEBARTIGOS/questao%20de%20genero%20na%20escola.pdf</w:t>
        </w:r>
      </w:hyperlink>
      <w:r w:rsidRPr="00771368">
        <w:rPr>
          <w:rFonts w:ascii="Times New Roman" w:hAnsi="Times New Roman"/>
          <w:sz w:val="24"/>
          <w:szCs w:val="24"/>
        </w:rPr>
        <w:t>&gt; Acesso em: 23 mai. 2011.</w:t>
      </w:r>
    </w:p>
    <w:p w:rsidR="00D24E61" w:rsidRPr="00771368" w:rsidRDefault="00D24E61" w:rsidP="00D24E61">
      <w:pPr>
        <w:pStyle w:val="PargrafodaLista"/>
        <w:autoSpaceDE w:val="0"/>
        <w:autoSpaceDN w:val="0"/>
        <w:adjustRightInd w:val="0"/>
        <w:spacing w:after="0" w:line="240" w:lineRule="auto"/>
        <w:ind w:left="0"/>
        <w:rPr>
          <w:rFonts w:ascii="Times New Roman" w:hAnsi="Times New Roman"/>
          <w:sz w:val="24"/>
          <w:szCs w:val="24"/>
        </w:rPr>
      </w:pPr>
    </w:p>
    <w:p w:rsidR="00D24E61" w:rsidRPr="00771368" w:rsidRDefault="00D24E61" w:rsidP="00D24E61">
      <w:pPr>
        <w:outlineLvl w:val="1"/>
        <w:rPr>
          <w:sz w:val="24"/>
          <w:szCs w:val="24"/>
        </w:rPr>
      </w:pPr>
      <w:r w:rsidRPr="00771368">
        <w:rPr>
          <w:sz w:val="24"/>
          <w:szCs w:val="24"/>
        </w:rPr>
        <w:t xml:space="preserve">SILVA, Tomaz Tadeu da (Org.). </w:t>
      </w:r>
      <w:r w:rsidRPr="00771368">
        <w:rPr>
          <w:b/>
          <w:sz w:val="24"/>
          <w:szCs w:val="24"/>
        </w:rPr>
        <w:t>Identidade e diferença:</w:t>
      </w:r>
      <w:r w:rsidRPr="00771368">
        <w:rPr>
          <w:sz w:val="24"/>
          <w:szCs w:val="24"/>
        </w:rPr>
        <w:t xml:space="preserve"> a perspectiva dos estudos culturais. 9. ed. Petrópolis, RJ: Vozes, 2009.</w:t>
      </w:r>
    </w:p>
    <w:p w:rsidR="00D24E61" w:rsidRPr="00771368" w:rsidRDefault="00D24E61" w:rsidP="00D24E61">
      <w:pPr>
        <w:outlineLvl w:val="1"/>
        <w:rPr>
          <w:sz w:val="24"/>
          <w:szCs w:val="24"/>
        </w:rPr>
      </w:pPr>
      <w:r w:rsidRPr="00771368">
        <w:rPr>
          <w:sz w:val="24"/>
          <w:szCs w:val="24"/>
        </w:rPr>
        <w:t xml:space="preserve">  </w:t>
      </w:r>
    </w:p>
    <w:p w:rsidR="00D24E61" w:rsidRPr="007B04EA" w:rsidRDefault="00D24E61" w:rsidP="007B04EA">
      <w:pPr>
        <w:rPr>
          <w:rFonts w:eastAsia="Calibri"/>
        </w:rPr>
      </w:pPr>
      <w:r w:rsidRPr="007B04EA">
        <w:t>SOUZA, Fabiana Cristina de. Diferenças de gênero na escola: interiorização do masculino e do feminino. Disponível em: &lt;</w:t>
      </w:r>
      <w:r w:rsidRPr="007B04EA">
        <w:rPr>
          <w:rFonts w:eastAsia="Calibri"/>
        </w:rPr>
        <w:t>http: //www.anped.org.br/reunioes/28/ textos/ge23/ge231085int.doc&gt; Acesso em: 29 jul. 2011.</w:t>
      </w:r>
    </w:p>
    <w:p w:rsidR="00D24E61" w:rsidRPr="007B04EA" w:rsidRDefault="00D24E61" w:rsidP="007B04EA">
      <w:r w:rsidRPr="007B04EA">
        <w:rPr>
          <w:rFonts w:eastAsia="Calibri"/>
        </w:rPr>
        <w:t xml:space="preserve"> </w:t>
      </w:r>
    </w:p>
    <w:p w:rsidR="00D24E61" w:rsidRPr="00771368" w:rsidRDefault="00D24E61" w:rsidP="00D24E61">
      <w:pPr>
        <w:rPr>
          <w:sz w:val="24"/>
          <w:szCs w:val="24"/>
        </w:rPr>
      </w:pPr>
      <w:r w:rsidRPr="00771368">
        <w:rPr>
          <w:sz w:val="24"/>
          <w:szCs w:val="24"/>
        </w:rPr>
        <w:t xml:space="preserve">SOUZA, Hália Pauliv de. Sexo, energia para ser valorizada na escola. In: </w:t>
      </w:r>
      <w:r w:rsidRPr="00771368">
        <w:rPr>
          <w:b/>
          <w:sz w:val="24"/>
          <w:szCs w:val="24"/>
        </w:rPr>
        <w:t>Mundo jovem:</w:t>
      </w:r>
      <w:r w:rsidRPr="00771368">
        <w:rPr>
          <w:sz w:val="24"/>
          <w:szCs w:val="24"/>
        </w:rPr>
        <w:t xml:space="preserve"> um jornal de idéias. n. 363, fevereiro, 2006, p. 20.</w:t>
      </w:r>
    </w:p>
    <w:p w:rsidR="00D24E61" w:rsidRPr="00771368" w:rsidRDefault="00D24E61" w:rsidP="00D24E61">
      <w:pPr>
        <w:rPr>
          <w:sz w:val="24"/>
          <w:szCs w:val="24"/>
        </w:rPr>
      </w:pPr>
    </w:p>
    <w:p w:rsidR="00D24E61" w:rsidRPr="00771368" w:rsidRDefault="00D24E61" w:rsidP="00D24E61">
      <w:pPr>
        <w:rPr>
          <w:sz w:val="24"/>
          <w:szCs w:val="24"/>
        </w:rPr>
      </w:pPr>
      <w:r w:rsidRPr="00771368">
        <w:rPr>
          <w:sz w:val="24"/>
          <w:szCs w:val="24"/>
        </w:rPr>
        <w:t xml:space="preserve">SOUZA, Luiz Eduardo R. de Almeida; ABRÃO, Fernanda C.; LOPES, Maria de Fátima. </w:t>
      </w:r>
      <w:r w:rsidRPr="00771368">
        <w:rPr>
          <w:b/>
          <w:sz w:val="24"/>
          <w:szCs w:val="24"/>
        </w:rPr>
        <w:t>O gênero feminista na música de Arnaldo Antunes:</w:t>
      </w:r>
      <w:r w:rsidRPr="00771368">
        <w:rPr>
          <w:sz w:val="24"/>
          <w:szCs w:val="24"/>
        </w:rPr>
        <w:t xml:space="preserve"> uma análise semiótica. Disponível em: &lt;</w:t>
      </w:r>
      <w:hyperlink r:id="rId47" w:history="1">
        <w:r w:rsidRPr="00771368">
          <w:rPr>
            <w:rStyle w:val="Hyperlink"/>
            <w:szCs w:val="24"/>
          </w:rPr>
          <w:t>http://</w:t>
        </w:r>
        <w:r w:rsidRPr="00771368">
          <w:rPr>
            <w:rStyle w:val="Hyperlink"/>
            <w:szCs w:val="24"/>
            <w:shd w:val="clear" w:color="auto" w:fill="FFFFFF"/>
          </w:rPr>
          <w:t>www.ichs.ufop.br/semanadeletras/viii/arquivos/ trab/k32.doc</w:t>
        </w:r>
      </w:hyperlink>
      <w:r w:rsidRPr="00771368">
        <w:rPr>
          <w:sz w:val="24"/>
          <w:szCs w:val="24"/>
        </w:rPr>
        <w:t>&gt; Acesso em: 26 abr. 2011.</w:t>
      </w:r>
    </w:p>
    <w:p w:rsidR="00D24E61" w:rsidRPr="00771368" w:rsidRDefault="00D24E61" w:rsidP="00D24E61">
      <w:pPr>
        <w:rPr>
          <w:sz w:val="24"/>
          <w:szCs w:val="24"/>
        </w:rPr>
      </w:pPr>
    </w:p>
    <w:p w:rsidR="00D24E61" w:rsidRPr="00771368" w:rsidRDefault="00D24E61" w:rsidP="00D24E61">
      <w:pPr>
        <w:pStyle w:val="PargrafodaLista"/>
        <w:autoSpaceDE w:val="0"/>
        <w:autoSpaceDN w:val="0"/>
        <w:adjustRightInd w:val="0"/>
        <w:spacing w:after="0" w:line="240" w:lineRule="auto"/>
        <w:ind w:left="0"/>
        <w:rPr>
          <w:rFonts w:ascii="Times New Roman" w:hAnsi="Times New Roman"/>
          <w:sz w:val="24"/>
          <w:szCs w:val="24"/>
        </w:rPr>
      </w:pPr>
      <w:r w:rsidRPr="00771368">
        <w:rPr>
          <w:rFonts w:ascii="Times New Roman" w:hAnsi="Times New Roman"/>
          <w:sz w:val="24"/>
          <w:szCs w:val="24"/>
        </w:rPr>
        <w:t xml:space="preserve">TROTTA, Felipe. </w:t>
      </w:r>
      <w:r w:rsidRPr="00771368">
        <w:rPr>
          <w:rFonts w:ascii="Times New Roman" w:hAnsi="Times New Roman"/>
          <w:b/>
          <w:bCs/>
          <w:sz w:val="24"/>
          <w:szCs w:val="24"/>
        </w:rPr>
        <w:t xml:space="preserve">Música popular, moral e sexualidade: </w:t>
      </w:r>
      <w:r w:rsidRPr="00771368">
        <w:rPr>
          <w:rFonts w:ascii="Times New Roman" w:hAnsi="Times New Roman"/>
          <w:bCs/>
          <w:sz w:val="24"/>
          <w:szCs w:val="24"/>
        </w:rPr>
        <w:t>reflexões sobre o forró contemporâneo. Disponível em: &lt;</w:t>
      </w:r>
      <w:hyperlink r:id="rId48" w:history="1">
        <w:r w:rsidRPr="00771368">
          <w:rPr>
            <w:rStyle w:val="Hyperlink"/>
            <w:rFonts w:ascii="Times New Roman" w:hAnsi="Times New Roman"/>
            <w:bCs/>
            <w:szCs w:val="24"/>
          </w:rPr>
          <w:t>http://www.uff.br/contracampo/index.php/revista/ article/viewFile/4/19</w:t>
        </w:r>
      </w:hyperlink>
      <w:r w:rsidRPr="00771368">
        <w:rPr>
          <w:rFonts w:ascii="Times New Roman" w:hAnsi="Times New Roman"/>
          <w:bCs/>
          <w:sz w:val="24"/>
          <w:szCs w:val="24"/>
        </w:rPr>
        <w:t xml:space="preserve">&gt; </w:t>
      </w:r>
      <w:r w:rsidRPr="00771368">
        <w:rPr>
          <w:rFonts w:ascii="Times New Roman" w:hAnsi="Times New Roman"/>
          <w:sz w:val="24"/>
          <w:szCs w:val="24"/>
        </w:rPr>
        <w:t>Acesso em: 05 jun. 2011.</w:t>
      </w:r>
    </w:p>
    <w:p w:rsidR="00D24E61" w:rsidRPr="00771368" w:rsidRDefault="00D24E61" w:rsidP="00D24E61">
      <w:pPr>
        <w:pStyle w:val="PargrafodaLista"/>
        <w:autoSpaceDE w:val="0"/>
        <w:autoSpaceDN w:val="0"/>
        <w:adjustRightInd w:val="0"/>
        <w:spacing w:after="0" w:line="240" w:lineRule="auto"/>
        <w:ind w:left="0"/>
        <w:rPr>
          <w:rFonts w:ascii="Times New Roman" w:hAnsi="Times New Roman"/>
          <w:sz w:val="24"/>
          <w:szCs w:val="24"/>
        </w:rPr>
      </w:pPr>
    </w:p>
    <w:p w:rsidR="00D24E61" w:rsidRPr="007B04EA" w:rsidRDefault="00D24E61" w:rsidP="007B04EA">
      <w:pPr>
        <w:sectPr w:rsidR="00D24E61" w:rsidRPr="007B04EA" w:rsidSect="00D24E61">
          <w:headerReference w:type="default" r:id="rId49"/>
          <w:pgSz w:w="11900" w:h="16840"/>
          <w:pgMar w:top="690" w:right="1420" w:bottom="1440" w:left="1420" w:header="0" w:footer="0" w:gutter="0"/>
          <w:cols w:space="720" w:equalWidth="0">
            <w:col w:w="9060"/>
          </w:cols>
        </w:sectPr>
      </w:pPr>
      <w:r w:rsidRPr="007B04EA">
        <w:t>VADER, Lord. As origens religiosas da misoginia e os seus ecos contemporâneos. Disponível em: &lt;</w:t>
      </w:r>
      <w:hyperlink r:id="rId50" w:history="1">
        <w:r w:rsidRPr="007B04EA">
          <w:rPr>
            <w:rStyle w:val="Hyperlink"/>
          </w:rPr>
          <w:t>http://ensaiosemanifestos.blogspot.com/ 2011/03/as-origens-religiosas-da-misoginia-e-os.html</w:t>
        </w:r>
      </w:hyperlink>
      <w:r w:rsidRPr="007B04EA">
        <w:t xml:space="preserve">&gt; Acesso em: 26 ago. 2011. </w:t>
      </w:r>
    </w:p>
    <w:p w:rsidR="00D24E61" w:rsidRDefault="00D24E61">
      <w:pPr>
        <w:spacing w:line="200" w:lineRule="exact"/>
        <w:rPr>
          <w:sz w:val="20"/>
          <w:szCs w:val="20"/>
        </w:rPr>
      </w:pPr>
    </w:p>
    <w:p w:rsidR="00D24E61" w:rsidRPr="00771368" w:rsidRDefault="00D24E61">
      <w:pPr>
        <w:ind w:left="580"/>
        <w:rPr>
          <w:sz w:val="20"/>
          <w:szCs w:val="20"/>
        </w:rPr>
      </w:pPr>
      <w:r w:rsidRPr="00771368">
        <w:rPr>
          <w:rFonts w:eastAsia="Arial"/>
          <w:b/>
          <w:bCs/>
          <w:sz w:val="24"/>
          <w:szCs w:val="24"/>
        </w:rPr>
        <w:t>A REPRESENTAÇÃO SEXISTA E DISCRIMINATÓRIA DA IDENTIDADE</w:t>
      </w:r>
    </w:p>
    <w:p w:rsidR="00D24E61" w:rsidRPr="00771368" w:rsidRDefault="00D24E61">
      <w:pPr>
        <w:spacing w:line="137" w:lineRule="exact"/>
        <w:rPr>
          <w:sz w:val="20"/>
          <w:szCs w:val="20"/>
        </w:rPr>
      </w:pPr>
    </w:p>
    <w:p w:rsidR="00D24E61" w:rsidRPr="00771368" w:rsidRDefault="00D24E61">
      <w:pPr>
        <w:ind w:left="460"/>
        <w:rPr>
          <w:sz w:val="20"/>
          <w:szCs w:val="20"/>
        </w:rPr>
      </w:pPr>
      <w:r w:rsidRPr="00771368">
        <w:rPr>
          <w:rFonts w:eastAsia="Arial"/>
          <w:b/>
          <w:bCs/>
          <w:sz w:val="24"/>
          <w:szCs w:val="24"/>
        </w:rPr>
        <w:t>FEMININA EM LETRAS DE CANÇÕES DO GÊNERO “PAGODE BAIANO”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5" w:lineRule="exact"/>
        <w:rPr>
          <w:sz w:val="20"/>
          <w:szCs w:val="20"/>
        </w:rPr>
      </w:pPr>
    </w:p>
    <w:p w:rsidR="00D24E61" w:rsidRPr="00771368" w:rsidRDefault="00D24E61" w:rsidP="00E13DAC">
      <w:pPr>
        <w:pStyle w:val="Ttulo1"/>
        <w:rPr>
          <w:sz w:val="20"/>
          <w:szCs w:val="20"/>
        </w:rPr>
      </w:pPr>
      <w:bookmarkStart w:id="20" w:name="_Toc442034723"/>
      <w:r w:rsidRPr="00771368">
        <w:rPr>
          <w:rFonts w:eastAsia="Arial"/>
        </w:rPr>
        <w:t>Jailma de Jesus Santos</w:t>
      </w:r>
      <w:r w:rsidRPr="00771368">
        <w:rPr>
          <w:rFonts w:eastAsia="Arial"/>
          <w:sz w:val="31"/>
          <w:szCs w:val="31"/>
          <w:vertAlign w:val="superscript"/>
        </w:rPr>
        <w:t>1</w:t>
      </w:r>
      <w:bookmarkEnd w:id="20"/>
    </w:p>
    <w:p w:rsidR="00D24E61" w:rsidRPr="00771368" w:rsidRDefault="00D24E61">
      <w:pPr>
        <w:spacing w:line="22" w:lineRule="exact"/>
        <w:rPr>
          <w:sz w:val="20"/>
          <w:szCs w:val="20"/>
        </w:rPr>
      </w:pPr>
    </w:p>
    <w:p w:rsidR="00D24E61" w:rsidRPr="00771368" w:rsidRDefault="00D24E61">
      <w:pPr>
        <w:ind w:left="4220"/>
        <w:rPr>
          <w:sz w:val="20"/>
          <w:szCs w:val="20"/>
        </w:rPr>
      </w:pPr>
      <w:r w:rsidRPr="00771368">
        <w:rPr>
          <w:rFonts w:eastAsia="Arial"/>
          <w:sz w:val="23"/>
          <w:szCs w:val="23"/>
        </w:rPr>
        <w:t>Orientador: Prof. M.Sc. Franklin Lima Santos</w:t>
      </w:r>
      <w:r w:rsidRPr="00771368">
        <w:rPr>
          <w:rFonts w:eastAsia="Arial"/>
          <w:sz w:val="31"/>
          <w:szCs w:val="31"/>
          <w:vertAlign w:val="superscript"/>
        </w:rPr>
        <w:t>2</w:t>
      </w:r>
    </w:p>
    <w:p w:rsidR="00D24E61" w:rsidRPr="00771368" w:rsidRDefault="00D24E61">
      <w:pPr>
        <w:spacing w:line="199" w:lineRule="exact"/>
        <w:rPr>
          <w:sz w:val="20"/>
          <w:szCs w:val="20"/>
        </w:rPr>
      </w:pPr>
    </w:p>
    <w:p w:rsidR="00D24E61" w:rsidRPr="00771368" w:rsidRDefault="00D24E61">
      <w:pPr>
        <w:rPr>
          <w:sz w:val="20"/>
          <w:szCs w:val="20"/>
        </w:rPr>
      </w:pPr>
      <w:r w:rsidRPr="00771368">
        <w:rPr>
          <w:rFonts w:eastAsia="Arial"/>
          <w:b/>
          <w:bCs/>
          <w:sz w:val="28"/>
          <w:szCs w:val="28"/>
        </w:rPr>
        <w:t>RESUMO</w:t>
      </w:r>
    </w:p>
    <w:p w:rsidR="00D24E61" w:rsidRPr="00771368" w:rsidRDefault="00D24E61">
      <w:pPr>
        <w:spacing w:line="200" w:lineRule="exact"/>
        <w:rPr>
          <w:sz w:val="20"/>
          <w:szCs w:val="20"/>
        </w:rPr>
      </w:pPr>
    </w:p>
    <w:p w:rsidR="00D24E61" w:rsidRPr="00771368" w:rsidRDefault="00D24E61" w:rsidP="00E13DAC">
      <w:pPr>
        <w:spacing w:line="360" w:lineRule="auto"/>
        <w:jc w:val="both"/>
        <w:rPr>
          <w:sz w:val="20"/>
          <w:szCs w:val="20"/>
        </w:rPr>
      </w:pPr>
      <w:r w:rsidRPr="00771368">
        <w:rPr>
          <w:rFonts w:eastAsia="Arial"/>
          <w:sz w:val="24"/>
          <w:szCs w:val="24"/>
        </w:rPr>
        <w:t xml:space="preserve">Este estudo teve por objetivo identificar as ideias machistas perpassadas pela indústria do gênero musical conhecido como “pagode baiano”. Para tanto, estabeleceu-se como universo/ambiente específico de análise as canções executadas pelo grupo baiano denominado “Black Style”, cujas letras traçam um perfil feminino baseado na discriminação e no sexismo. A análise do </w:t>
      </w:r>
      <w:r w:rsidRPr="00771368">
        <w:rPr>
          <w:rFonts w:eastAsia="Arial"/>
          <w:i/>
          <w:iCs/>
          <w:sz w:val="24"/>
          <w:szCs w:val="24"/>
        </w:rPr>
        <w:t>corpus</w:t>
      </w:r>
      <w:r w:rsidRPr="00771368">
        <w:rPr>
          <w:rFonts w:eastAsia="Arial"/>
          <w:sz w:val="24"/>
          <w:szCs w:val="24"/>
        </w:rPr>
        <w:t xml:space="preserve"> permitiu perceber que as mulheres são estereotipadas como promíscuas, oportunistas, levianas, infiéis, manipuladoras e libidinosas em quase todas as músicas e, por isso, são alvos constantes de discursos preconceituosos. Tais produções musicais contribuem para a perpetuação da imagem negativa do gênero feminino perante a sociedade e dificulta a sua busca pela igualdade social frente ao sexo masculino.</w:t>
      </w:r>
    </w:p>
    <w:p w:rsidR="00D24E61" w:rsidRPr="00771368" w:rsidRDefault="00D24E61">
      <w:pPr>
        <w:spacing w:line="211" w:lineRule="exact"/>
        <w:rPr>
          <w:sz w:val="20"/>
          <w:szCs w:val="20"/>
        </w:rPr>
      </w:pPr>
    </w:p>
    <w:p w:rsidR="00D24E61" w:rsidRPr="00D61223" w:rsidRDefault="00D24E61">
      <w:pPr>
        <w:rPr>
          <w:sz w:val="20"/>
          <w:szCs w:val="20"/>
          <w:lang w:val="en-US"/>
        </w:rPr>
      </w:pPr>
      <w:r w:rsidRPr="00771368">
        <w:rPr>
          <w:rFonts w:eastAsia="Arial"/>
          <w:b/>
          <w:bCs/>
          <w:sz w:val="24"/>
          <w:szCs w:val="24"/>
        </w:rPr>
        <w:t xml:space="preserve">Palavras-chave: </w:t>
      </w:r>
      <w:r w:rsidRPr="00771368">
        <w:rPr>
          <w:rFonts w:eastAsia="Arial"/>
          <w:sz w:val="24"/>
          <w:szCs w:val="24"/>
        </w:rPr>
        <w:t xml:space="preserve">Sexismo. Discriminação. Identidade. </w:t>
      </w:r>
      <w:r w:rsidRPr="00D61223">
        <w:rPr>
          <w:rFonts w:eastAsia="Arial"/>
          <w:sz w:val="24"/>
          <w:szCs w:val="24"/>
          <w:lang w:val="en-US"/>
        </w:rPr>
        <w:t>Preconceito.</w:t>
      </w:r>
    </w:p>
    <w:p w:rsidR="00D24E61" w:rsidRPr="00D61223" w:rsidRDefault="00D24E61">
      <w:pPr>
        <w:spacing w:line="200" w:lineRule="exact"/>
        <w:rPr>
          <w:sz w:val="20"/>
          <w:szCs w:val="20"/>
          <w:lang w:val="en-US"/>
        </w:rPr>
      </w:pPr>
    </w:p>
    <w:p w:rsidR="00D24E61" w:rsidRPr="00D61223" w:rsidRDefault="00D24E61">
      <w:pPr>
        <w:spacing w:line="200" w:lineRule="exact"/>
        <w:rPr>
          <w:sz w:val="20"/>
          <w:szCs w:val="20"/>
          <w:lang w:val="en-US"/>
        </w:rPr>
      </w:pPr>
    </w:p>
    <w:p w:rsidR="00D24E61" w:rsidRPr="00D61223" w:rsidRDefault="00D24E61">
      <w:pPr>
        <w:spacing w:line="280" w:lineRule="exact"/>
        <w:rPr>
          <w:sz w:val="20"/>
          <w:szCs w:val="20"/>
          <w:lang w:val="en-US"/>
        </w:rPr>
      </w:pPr>
    </w:p>
    <w:p w:rsidR="00D24E61" w:rsidRPr="00D61223" w:rsidRDefault="00D24E61">
      <w:pPr>
        <w:rPr>
          <w:sz w:val="20"/>
          <w:szCs w:val="20"/>
          <w:lang w:val="en-US"/>
        </w:rPr>
      </w:pPr>
      <w:r w:rsidRPr="00D61223">
        <w:rPr>
          <w:rFonts w:eastAsia="Arial"/>
          <w:b/>
          <w:bCs/>
          <w:sz w:val="28"/>
          <w:szCs w:val="28"/>
          <w:lang w:val="en-US"/>
        </w:rPr>
        <w:t>ABSTRACT</w:t>
      </w:r>
    </w:p>
    <w:p w:rsidR="00D24E61" w:rsidRPr="00D61223" w:rsidRDefault="00D24E61">
      <w:pPr>
        <w:spacing w:line="200" w:lineRule="exact"/>
        <w:rPr>
          <w:sz w:val="20"/>
          <w:szCs w:val="20"/>
          <w:lang w:val="en-US"/>
        </w:rPr>
      </w:pPr>
    </w:p>
    <w:p w:rsidR="00D24E61" w:rsidRPr="00D61223" w:rsidRDefault="00D24E61" w:rsidP="00E13DAC">
      <w:pPr>
        <w:spacing w:line="360" w:lineRule="auto"/>
        <w:jc w:val="both"/>
        <w:rPr>
          <w:sz w:val="20"/>
          <w:szCs w:val="20"/>
          <w:lang w:val="en-US"/>
        </w:rPr>
      </w:pPr>
      <w:r w:rsidRPr="00D61223">
        <w:rPr>
          <w:rFonts w:eastAsia="Arial"/>
          <w:color w:val="333333"/>
          <w:sz w:val="24"/>
          <w:szCs w:val="24"/>
          <w:lang w:val="en-US"/>
        </w:rPr>
        <w:t xml:space="preserve">This study had the objective to identify the sexist ideas pervaded by the industry of the musical genre known as "pagode baiano”. </w:t>
      </w:r>
      <w:r w:rsidRPr="00D61223">
        <w:rPr>
          <w:rFonts w:eastAsia="Arial"/>
          <w:color w:val="000000"/>
          <w:sz w:val="24"/>
          <w:szCs w:val="24"/>
          <w:lang w:val="en-US"/>
        </w:rPr>
        <w:t>To this end,</w:t>
      </w:r>
      <w:r w:rsidRPr="00D61223">
        <w:rPr>
          <w:rFonts w:eastAsia="Arial"/>
          <w:color w:val="333333"/>
          <w:sz w:val="24"/>
          <w:szCs w:val="24"/>
          <w:lang w:val="en-US"/>
        </w:rPr>
        <w:t xml:space="preserve"> settled </w:t>
      </w:r>
      <w:r w:rsidRPr="00D61223">
        <w:rPr>
          <w:rFonts w:eastAsia="Arial"/>
          <w:color w:val="000000"/>
          <w:sz w:val="24"/>
          <w:szCs w:val="24"/>
          <w:lang w:val="en-US"/>
        </w:rPr>
        <w:t>a universe /</w:t>
      </w:r>
      <w:r w:rsidRPr="00D61223">
        <w:rPr>
          <w:rFonts w:eastAsia="Arial"/>
          <w:color w:val="333333"/>
          <w:sz w:val="24"/>
          <w:szCs w:val="24"/>
          <w:lang w:val="en-US"/>
        </w:rPr>
        <w:t xml:space="preserve"> </w:t>
      </w:r>
      <w:r w:rsidRPr="00D61223">
        <w:rPr>
          <w:rFonts w:eastAsia="Arial"/>
          <w:color w:val="000000"/>
          <w:sz w:val="24"/>
          <w:szCs w:val="24"/>
          <w:lang w:val="en-US"/>
        </w:rPr>
        <w:t>environment specific of analysis the songs performed by a group from Bahia called "Black Style", whose lyrics paint a female profile based on discrimination and sexism. Corpus analysis allowed us to see that women are stereotyped as promiscuous, opportunistic, frivolous, unfaithful, manipulative and libidinous in almost all the songs and, therefore, are constant targets of prejudiced discourses. Such musical productions contribute to the perpetuation of the negative image of female gender before the society and hinder their search for social equality against the male gender.</w:t>
      </w:r>
    </w:p>
    <w:p w:rsidR="00D24E61" w:rsidRPr="00D61223" w:rsidRDefault="00D24E61" w:rsidP="00E13DAC">
      <w:pPr>
        <w:spacing w:line="360" w:lineRule="auto"/>
        <w:rPr>
          <w:sz w:val="20"/>
          <w:szCs w:val="20"/>
          <w:lang w:val="en-US"/>
        </w:rPr>
      </w:pPr>
    </w:p>
    <w:p w:rsidR="00D24E61" w:rsidRPr="00D61223" w:rsidRDefault="00D24E61" w:rsidP="00E13DAC">
      <w:pPr>
        <w:spacing w:line="360" w:lineRule="auto"/>
        <w:rPr>
          <w:sz w:val="20"/>
          <w:szCs w:val="20"/>
          <w:lang w:val="en-US"/>
        </w:rPr>
      </w:pPr>
      <w:r w:rsidRPr="00D61223">
        <w:rPr>
          <w:rFonts w:eastAsia="Arial"/>
          <w:b/>
          <w:bCs/>
          <w:sz w:val="24"/>
          <w:szCs w:val="24"/>
          <w:lang w:val="en-US"/>
        </w:rPr>
        <w:t xml:space="preserve">Keywords: </w:t>
      </w:r>
      <w:r w:rsidRPr="00D61223">
        <w:rPr>
          <w:rFonts w:eastAsia="Arial"/>
          <w:sz w:val="24"/>
          <w:szCs w:val="24"/>
          <w:lang w:val="en-US"/>
        </w:rPr>
        <w:t>Sexism. Discrimination. Identity. Prejudice.</w:t>
      </w:r>
    </w:p>
    <w:p w:rsidR="00D24E61" w:rsidRPr="00D61223" w:rsidRDefault="00D24E61" w:rsidP="00E13DAC">
      <w:pPr>
        <w:spacing w:line="360" w:lineRule="auto"/>
        <w:rPr>
          <w:sz w:val="20"/>
          <w:szCs w:val="20"/>
          <w:lang w:val="en-US"/>
        </w:rPr>
      </w:pPr>
    </w:p>
    <w:p w:rsidR="00D24E61" w:rsidRPr="00D61223" w:rsidRDefault="00013211">
      <w:pPr>
        <w:spacing w:line="271" w:lineRule="exact"/>
        <w:rPr>
          <w:sz w:val="20"/>
          <w:szCs w:val="20"/>
          <w:lang w:val="en-US"/>
        </w:rPr>
      </w:pPr>
      <w:r>
        <w:rPr>
          <w:noProof/>
          <w:sz w:val="20"/>
          <w:szCs w:val="20"/>
        </w:rPr>
        <mc:AlternateContent>
          <mc:Choice Requires="wps">
            <w:drawing>
              <wp:anchor distT="0" distB="0" distL="0" distR="0" simplePos="0" relativeHeight="251604480" behindDoc="0" locked="0" layoutInCell="0" allowOverlap="1">
                <wp:simplePos x="0" y="0"/>
                <wp:positionH relativeFrom="column">
                  <wp:posOffset>1270</wp:posOffset>
                </wp:positionH>
                <wp:positionV relativeFrom="paragraph">
                  <wp:posOffset>84455</wp:posOffset>
                </wp:positionV>
                <wp:extent cx="1828800" cy="0"/>
                <wp:effectExtent l="10795" t="8255" r="8255" b="10795"/>
                <wp:wrapNone/>
                <wp:docPr id="324"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 o:spid="_x0000_s1026" style="position:absolute;z-index:25160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65pt" to="144.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" o:allowincell="f" strokeweight=".72pt"/>
            </w:pict>
          </mc:Fallback>
        </mc:AlternateContent>
      </w:r>
    </w:p>
    <w:p w:rsidR="00D24E61" w:rsidRPr="00771368" w:rsidRDefault="00D24E61" w:rsidP="00D24E61">
      <w:pPr>
        <w:numPr>
          <w:ilvl w:val="0"/>
          <w:numId w:val="11"/>
        </w:numPr>
        <w:tabs>
          <w:tab w:val="left" w:pos="115"/>
        </w:tabs>
        <w:spacing w:line="189" w:lineRule="auto"/>
        <w:ind w:right="80" w:firstLine="2"/>
        <w:jc w:val="both"/>
        <w:rPr>
          <w:sz w:val="26"/>
          <w:szCs w:val="26"/>
          <w:vertAlign w:val="superscript"/>
        </w:rPr>
      </w:pPr>
      <w:r w:rsidRPr="00771368">
        <w:rPr>
          <w:rFonts w:eastAsia="Arial"/>
          <w:sz w:val="20"/>
          <w:szCs w:val="20"/>
        </w:rPr>
        <w:t>Especialização em Língua Portuguesa pela Faculdade Pio Décimo, Licenciada em Letras/Português pela Universidade Federal de Sergipe.</w:t>
      </w:r>
    </w:p>
    <w:p w:rsidR="00D24E61" w:rsidRPr="00771368" w:rsidRDefault="00D24E61">
      <w:pPr>
        <w:spacing w:line="44" w:lineRule="exact"/>
        <w:rPr>
          <w:sz w:val="26"/>
          <w:szCs w:val="26"/>
          <w:vertAlign w:val="superscript"/>
        </w:rPr>
      </w:pPr>
    </w:p>
    <w:p w:rsidR="00D24E61" w:rsidRPr="00771368" w:rsidRDefault="00D24E61" w:rsidP="00D24E61">
      <w:pPr>
        <w:numPr>
          <w:ilvl w:val="0"/>
          <w:numId w:val="11"/>
        </w:numPr>
        <w:tabs>
          <w:tab w:val="left" w:pos="118"/>
        </w:tabs>
        <w:spacing w:line="189" w:lineRule="auto"/>
        <w:ind w:firstLine="2"/>
        <w:jc w:val="both"/>
        <w:rPr>
          <w:sz w:val="26"/>
          <w:szCs w:val="26"/>
          <w:vertAlign w:val="superscript"/>
        </w:rPr>
      </w:pPr>
      <w:r w:rsidRPr="00771368">
        <w:rPr>
          <w:rFonts w:eastAsia="Arial"/>
          <w:sz w:val="20"/>
          <w:szCs w:val="20"/>
        </w:rPr>
        <w:t>Mestre em Letras pela Universidade Federal de Sergipe, Especialização em Teoria e Prática Textual pela Universidade Federal de Sergipe, Licenciado em Letras/Espanhol pela Universidade Federal de</w:t>
      </w:r>
    </w:p>
    <w:p w:rsidR="00D24E61" w:rsidRPr="00771368" w:rsidRDefault="00D24E61">
      <w:pPr>
        <w:sectPr w:rsidR="00D24E61" w:rsidRPr="00771368">
          <w:pgSz w:w="11900" w:h="16838"/>
          <w:pgMar w:top="699" w:right="1120" w:bottom="865" w:left="1700" w:header="0" w:footer="0" w:gutter="0"/>
          <w:cols w:space="720" w:equalWidth="0">
            <w:col w:w="9080"/>
          </w:cols>
        </w:sectPr>
      </w:pPr>
    </w:p>
    <w:p w:rsidR="00D24E61" w:rsidRPr="00771368" w:rsidRDefault="00D24E61">
      <w:pPr>
        <w:spacing w:line="33" w:lineRule="exact"/>
        <w:rPr>
          <w:sz w:val="20"/>
          <w:szCs w:val="20"/>
        </w:rPr>
      </w:pPr>
    </w:p>
    <w:p w:rsidR="00D24E61" w:rsidRPr="00771368" w:rsidRDefault="00D24E61">
      <w:pPr>
        <w:rPr>
          <w:sz w:val="20"/>
          <w:szCs w:val="20"/>
        </w:rPr>
      </w:pPr>
      <w:r w:rsidRPr="00771368">
        <w:rPr>
          <w:rFonts w:eastAsia="Arial"/>
          <w:sz w:val="19"/>
          <w:szCs w:val="19"/>
        </w:rPr>
        <w:t>Sergipe.</w:t>
      </w:r>
    </w:p>
    <w:p w:rsidR="00D24E61" w:rsidRPr="00771368" w:rsidRDefault="00D24E61">
      <w:pPr>
        <w:sectPr w:rsidR="00D24E61" w:rsidRPr="00771368">
          <w:type w:val="continuous"/>
          <w:pgSz w:w="11900" w:h="16838"/>
          <w:pgMar w:top="699" w:right="9460" w:bottom="865" w:left="1700" w:header="0" w:footer="0" w:gutter="0"/>
          <w:cols w:space="720" w:equalWidth="0">
            <w:col w:w="74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30" w:lineRule="exact"/>
        <w:rPr>
          <w:sz w:val="20"/>
          <w:szCs w:val="20"/>
        </w:rPr>
      </w:pPr>
    </w:p>
    <w:p w:rsidR="00D24E61" w:rsidRPr="00771368" w:rsidRDefault="00E13DAC">
      <w:pPr>
        <w:rPr>
          <w:sz w:val="20"/>
          <w:szCs w:val="20"/>
        </w:rPr>
      </w:pPr>
      <w:r>
        <w:rPr>
          <w:rFonts w:eastAsia="Arial"/>
          <w:b/>
          <w:bCs/>
          <w:sz w:val="24"/>
          <w:szCs w:val="24"/>
        </w:rPr>
        <w:t>1.</w:t>
      </w:r>
      <w:r w:rsidR="00D24E61" w:rsidRPr="00771368">
        <w:rPr>
          <w:rFonts w:eastAsia="Arial"/>
          <w:b/>
          <w:bCs/>
          <w:sz w:val="24"/>
          <w:szCs w:val="24"/>
        </w:rPr>
        <w:t xml:space="preserve"> INTRODUÇÃO</w:t>
      </w:r>
    </w:p>
    <w:p w:rsidR="00D24E61" w:rsidRPr="00771368" w:rsidRDefault="00D24E61">
      <w:pPr>
        <w:spacing w:line="200" w:lineRule="exact"/>
        <w:rPr>
          <w:sz w:val="20"/>
          <w:szCs w:val="20"/>
        </w:rPr>
      </w:pPr>
    </w:p>
    <w:p w:rsidR="00D24E61" w:rsidRPr="00771368" w:rsidRDefault="00D24E61">
      <w:pPr>
        <w:spacing w:line="306"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Ao longo da história da humanidade, as mulheres vêm buscando melhores condições de vida bem como um tratamento igualitário em relação aos homens. No entanto, apesar de estarmos no século XXI, muitas mulheres são tratadas ainda como objetos sexuais e, em muitos casos, como meros instrumentos de distração dos homens. Esse pensamento reflete-se nas mais diversas formas de manifestações culturais, inclusive na produção artística de diferentes gêneros musicais.</w:t>
      </w:r>
    </w:p>
    <w:p w:rsidR="00D24E61" w:rsidRPr="00771368" w:rsidRDefault="00D24E61">
      <w:pPr>
        <w:spacing w:line="186" w:lineRule="exact"/>
        <w:rPr>
          <w:sz w:val="20"/>
          <w:szCs w:val="20"/>
        </w:rPr>
      </w:pPr>
    </w:p>
    <w:p w:rsidR="00D24E61" w:rsidRPr="00771368" w:rsidRDefault="00D24E61">
      <w:pPr>
        <w:spacing w:line="337" w:lineRule="auto"/>
        <w:ind w:firstLine="708"/>
        <w:jc w:val="both"/>
        <w:rPr>
          <w:sz w:val="20"/>
          <w:szCs w:val="20"/>
        </w:rPr>
      </w:pPr>
      <w:r w:rsidRPr="00771368">
        <w:rPr>
          <w:rFonts w:eastAsia="Arial"/>
          <w:sz w:val="24"/>
          <w:szCs w:val="24"/>
        </w:rPr>
        <w:t>Nesse contexto, esta pesquisa parte da necessidade de analisar se letras de músicas, aparentemente inofensivas, servem para propagar discursos sexistas e discriminatórios em relação às mulheres. O gênero musical conhecido como</w:t>
      </w:r>
    </w:p>
    <w:p w:rsidR="00D24E61" w:rsidRPr="00771368" w:rsidRDefault="00D24E61">
      <w:pPr>
        <w:spacing w:line="78" w:lineRule="exact"/>
        <w:rPr>
          <w:sz w:val="20"/>
          <w:szCs w:val="20"/>
        </w:rPr>
      </w:pPr>
    </w:p>
    <w:p w:rsidR="00D24E61" w:rsidRPr="00771368" w:rsidRDefault="00D24E61">
      <w:pPr>
        <w:spacing w:line="349" w:lineRule="auto"/>
        <w:jc w:val="both"/>
        <w:rPr>
          <w:sz w:val="20"/>
          <w:szCs w:val="20"/>
        </w:rPr>
      </w:pPr>
      <w:r w:rsidRPr="00771368">
        <w:rPr>
          <w:rFonts w:eastAsia="Arial"/>
          <w:sz w:val="24"/>
          <w:szCs w:val="24"/>
        </w:rPr>
        <w:t>“pagode baiano” merece um enfoque especial, especificamente as composições musicais do grupo denominado “Black Style”, cujo teor sexista faz-se notório. Todavia, será necessário um profundo estudo baseado na análise semântico-discursiva das letras desse grupo musical para descobrir se, efetivamente, tais composições denigrem a imagem feminina e exaltam a masculina.</w:t>
      </w:r>
    </w:p>
    <w:p w:rsidR="00D24E61" w:rsidRPr="00771368" w:rsidRDefault="00D24E61">
      <w:pPr>
        <w:spacing w:line="185"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As identidades femininas de conotação pejorativa e de cunho depreciativo contribuem para a perpetuação da discriminação do gênero feminino, visto que naturalizam as representações discriminatórias sobre as mulheres. Por isso, há a urgência em se analisar a construção de tais letras de músicas e observar se essas composições realmente contrariam o movimento de luta das mulheres que reivindicam a igualdade de gênero, a promoção dos direitos humanos e a negação da imagem da mulher enquanto objeto sexual.</w:t>
      </w:r>
    </w:p>
    <w:p w:rsidR="00D24E61" w:rsidRPr="00771368" w:rsidRDefault="00D24E61">
      <w:pPr>
        <w:spacing w:line="183"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É sabido que a prática discursiva não é imutável e os discursos são usados socialmente para legitimar condições sociais. Os usuários da língua, conscientemente, fazem escolhas linguísticas que acabam por estruturar, textualmente, ideologias que já estão enraizadas em práticas culturais cotidianas. Ao mesmo tempo em que a língua representa as experiências, ela também é uma das responsáveis por mudar tais vivências, de construir novas ideologias e, assim, novas identidades para homens e mulheres.</w:t>
      </w:r>
    </w:p>
    <w:p w:rsidR="00D24E61" w:rsidRPr="00771368" w:rsidRDefault="00D24E61">
      <w:pPr>
        <w:spacing w:line="353" w:lineRule="auto"/>
        <w:ind w:firstLine="708"/>
        <w:jc w:val="both"/>
        <w:rPr>
          <w:sz w:val="20"/>
          <w:szCs w:val="20"/>
        </w:rPr>
      </w:pPr>
      <w:r w:rsidRPr="00771368">
        <w:rPr>
          <w:rFonts w:eastAsia="Arial"/>
          <w:sz w:val="24"/>
          <w:szCs w:val="24"/>
        </w:rPr>
        <w:t>Ao usar a linguagem, em suas diversas formas, o homem participa ativamente da construção de significados. É através do discurso que se pode resistir e mudar esses significados, pois, além de representar práticas sociais, a língua é também capaz de criar, influenciar ou modificar uma determinada realidade social. Conforme disposto por Fairclough (2001), debater a construção das práticas discursivas e a relação entre elas pode tanto favorecer a reprodução do sujeito social quanto a sua transformação. Por isso, deve-se optar sempre por refletir criticamente sobre os discursos existentes.</w:t>
      </w:r>
    </w:p>
    <w:p w:rsidR="00D24E61" w:rsidRPr="00771368" w:rsidRDefault="00D24E61">
      <w:pPr>
        <w:spacing w:line="185"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Ainda de acordo com Fairclough (2001), a linguagem é uma forma de prática social imprescindível nas lutas de poder. Logo, ao se propor uma análise crítica do discurso transmitido por essa indústria de entretenimento, especificamente, do supracitado grupo musical, visa-se mostrar quais são os discursos enraizados na mentalidade popular sobre a figura feminina, e alertar para uma possível contribuição negativa que certos tipos de juízo de valor acarretam para a gradual depreciação da mulher.</w:t>
      </w:r>
    </w:p>
    <w:p w:rsidR="00D24E61" w:rsidRPr="00771368" w:rsidRDefault="00D24E61">
      <w:pPr>
        <w:spacing w:line="183" w:lineRule="exact"/>
        <w:rPr>
          <w:sz w:val="20"/>
          <w:szCs w:val="20"/>
        </w:rPr>
      </w:pPr>
    </w:p>
    <w:p w:rsidR="00D24E61" w:rsidRPr="00771368" w:rsidRDefault="00D24E61">
      <w:pPr>
        <w:spacing w:line="345" w:lineRule="auto"/>
        <w:ind w:right="20" w:firstLine="708"/>
        <w:jc w:val="both"/>
        <w:rPr>
          <w:sz w:val="20"/>
          <w:szCs w:val="20"/>
        </w:rPr>
      </w:pPr>
      <w:r w:rsidRPr="00771368">
        <w:rPr>
          <w:rFonts w:eastAsia="Arial"/>
          <w:sz w:val="24"/>
          <w:szCs w:val="24"/>
        </w:rPr>
        <w:t>Optou-se pela utilização da Análise Crítica do Discurso (ACD) como conduta teórica e prática para o desencadeamento desta pesquisa, por proporcionar tanto uma teoria quanto um método de análise das práticas sociais. Conforme Fairclough (2003):</w:t>
      </w:r>
    </w:p>
    <w:p w:rsidR="00D24E61" w:rsidRPr="00E13DAC" w:rsidRDefault="00D24E61">
      <w:pPr>
        <w:spacing w:line="231" w:lineRule="auto"/>
        <w:ind w:left="2280"/>
        <w:jc w:val="both"/>
        <w:rPr>
          <w:i/>
          <w:sz w:val="20"/>
          <w:szCs w:val="20"/>
        </w:rPr>
      </w:pPr>
      <w:r w:rsidRPr="00E13DAC">
        <w:rPr>
          <w:rFonts w:eastAsia="Arial"/>
          <w:i/>
        </w:rPr>
        <w:t>A ACD é uma forma de ciência crítica que foi concebida como ciência social destinada a identificar os problemas que as pessoas enfrentam em decorrência de formas particulares da vida social e destinada, igualmente, a desenvolver recursos de que as pessoas podem se valer a fim de abordar e superar esses problemas (tradução nossa).</w:t>
      </w:r>
    </w:p>
    <w:p w:rsidR="00D24E61" w:rsidRPr="00771368" w:rsidRDefault="00D24E61">
      <w:pPr>
        <w:spacing w:line="200" w:lineRule="exact"/>
        <w:rPr>
          <w:sz w:val="20"/>
          <w:szCs w:val="20"/>
        </w:rPr>
      </w:pPr>
    </w:p>
    <w:p w:rsidR="00D24E61" w:rsidRPr="00771368" w:rsidRDefault="00D24E61">
      <w:pPr>
        <w:spacing w:line="344" w:lineRule="auto"/>
        <w:ind w:firstLine="708"/>
        <w:jc w:val="both"/>
        <w:rPr>
          <w:sz w:val="20"/>
          <w:szCs w:val="20"/>
        </w:rPr>
      </w:pPr>
      <w:r w:rsidRPr="00771368">
        <w:rPr>
          <w:rFonts w:eastAsia="Arial"/>
          <w:sz w:val="24"/>
          <w:szCs w:val="24"/>
        </w:rPr>
        <w:t>Em síntese, pode-se afirmar que o estudo das relações entre linguagem e poder serve para comprovar cientificamente que os sujeitos sociais são moldados pelas práticas discursivas, mas também são capazes de remodelar e reestruturar essas práticas.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rPr>
          <w:sz w:val="20"/>
          <w:szCs w:val="20"/>
        </w:rPr>
      </w:pPr>
      <w:r w:rsidRPr="00771368">
        <w:rPr>
          <w:rFonts w:eastAsia="Arial"/>
          <w:b/>
          <w:bCs/>
          <w:sz w:val="23"/>
          <w:szCs w:val="23"/>
        </w:rPr>
        <w:t>2</w:t>
      </w:r>
      <w:r w:rsidR="00BA3BAC">
        <w:rPr>
          <w:rFonts w:eastAsia="Arial"/>
          <w:b/>
          <w:bCs/>
          <w:sz w:val="23"/>
          <w:szCs w:val="23"/>
        </w:rPr>
        <w:t>.</w:t>
      </w:r>
      <w:r w:rsidRPr="00771368">
        <w:rPr>
          <w:rFonts w:eastAsia="Arial"/>
          <w:b/>
          <w:bCs/>
          <w:sz w:val="23"/>
          <w:szCs w:val="23"/>
        </w:rPr>
        <w:t>O PAPEL SOCIAL DO GÊNERO FEMININO</w:t>
      </w:r>
    </w:p>
    <w:p w:rsidR="00D24E61" w:rsidRPr="00771368" w:rsidRDefault="00D24E61">
      <w:pPr>
        <w:spacing w:line="239" w:lineRule="auto"/>
        <w:jc w:val="right"/>
        <w:rPr>
          <w:sz w:val="20"/>
          <w:szCs w:val="20"/>
        </w:rPr>
      </w:pPr>
    </w:p>
    <w:p w:rsidR="00D24E61" w:rsidRPr="00771368" w:rsidRDefault="00D24E61">
      <w:pPr>
        <w:spacing w:line="354" w:lineRule="auto"/>
        <w:ind w:firstLine="708"/>
        <w:jc w:val="both"/>
        <w:rPr>
          <w:sz w:val="20"/>
          <w:szCs w:val="20"/>
        </w:rPr>
      </w:pPr>
      <w:r w:rsidRPr="00771368">
        <w:rPr>
          <w:rFonts w:eastAsia="Arial"/>
          <w:sz w:val="24"/>
          <w:szCs w:val="24"/>
        </w:rPr>
        <w:t>As diferenças de gênero na organização social da vida privada e pública indicam, historicamente, os papéis sociais do homem e da mulher. Às mulheres sempre coube o cuidado com o lar e os filhos, e aos homens o sustento financeiro da família. Ao longo dos séculos esse quadro modificou-se parcialmente, pois a mulher também começou a contribuir para o orçamento doméstico. Porém, ao mesmo tempo em que trabalha fora de casa, ela também é a única responsável pelas tarefas domésticas, visto que a educação moral da prole e os cuidados com a criação, normalmente, ainda se restringem ao gênero feminino, cabendo ao homem apenas ser o provedor financeiro dos filhos.</w:t>
      </w:r>
    </w:p>
    <w:p w:rsidR="00D24E61" w:rsidRPr="00771368" w:rsidRDefault="00D24E61">
      <w:pPr>
        <w:spacing w:line="182" w:lineRule="exact"/>
        <w:rPr>
          <w:sz w:val="20"/>
          <w:szCs w:val="20"/>
        </w:rPr>
      </w:pPr>
    </w:p>
    <w:p w:rsidR="00D24E61" w:rsidRPr="00771368" w:rsidRDefault="00D24E61">
      <w:pPr>
        <w:spacing w:line="353" w:lineRule="auto"/>
        <w:ind w:firstLine="708"/>
        <w:jc w:val="both"/>
        <w:rPr>
          <w:sz w:val="20"/>
          <w:szCs w:val="20"/>
        </w:rPr>
      </w:pPr>
      <w:r w:rsidRPr="00771368">
        <w:rPr>
          <w:rFonts w:eastAsia="Arial"/>
          <w:sz w:val="24"/>
          <w:szCs w:val="24"/>
        </w:rPr>
        <w:t>No âmbito da organização social da vida privada, nota-se também que o exercício da sexualidade do gênero feminino é diferenciado do masculino. Apesar de já poder escolher se quer ter filhos ou não (através do uso de métodos contraceptivos), de ser permitida a escolha de seu parceiro para o casamento, as mulheres ainda não possuem a liberdade social de se envolver com diversos homens e ainda assim manter uma reputação honrada. Por outro lado, para os homens, a diversidade de parceiras é importante para seu prestígio perante a sociedade.</w:t>
      </w:r>
    </w:p>
    <w:p w:rsidR="00D24E61" w:rsidRPr="00771368" w:rsidRDefault="00D24E61">
      <w:pPr>
        <w:spacing w:line="185" w:lineRule="exact"/>
        <w:rPr>
          <w:sz w:val="20"/>
          <w:szCs w:val="20"/>
        </w:rPr>
      </w:pPr>
    </w:p>
    <w:p w:rsidR="00D24E61" w:rsidRPr="00771368" w:rsidRDefault="00D24E61">
      <w:pPr>
        <w:spacing w:line="354" w:lineRule="auto"/>
        <w:ind w:firstLine="708"/>
        <w:jc w:val="both"/>
        <w:rPr>
          <w:sz w:val="20"/>
          <w:szCs w:val="20"/>
        </w:rPr>
      </w:pPr>
      <w:r w:rsidRPr="00771368">
        <w:rPr>
          <w:rFonts w:eastAsia="Arial"/>
          <w:sz w:val="24"/>
          <w:szCs w:val="24"/>
        </w:rPr>
        <w:t>A análise da participação social feminina em diversos campos da vida é essencial para que se compreenda a dimensão de desigualdade a que a mulher sempre esteve submetida. Reduzida participação no campo da pesquisa científica, mercado de trabalho normalmente restrito às profissões tidas como femininas, mínima participação na vida política, são exemplos de batalhas enfrentadas pelas mulheres ao longo do tempo. Tais assimetrias de gêneros são reforçadas quando o homem está numa posição dominante e a mulher numa subalterna e, apesar de serem frutos da criação de estereótipos e preconceitos, elas ainda são reproduzidas em nossa sociedade costumeiramente.</w:t>
      </w:r>
    </w:p>
    <w:p w:rsidR="00D24E61" w:rsidRPr="00771368" w:rsidRDefault="00D24E61">
      <w:pPr>
        <w:spacing w:line="182"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Para entender as desigualdades existentes entre homens e mulheres buscaram-se diversas explicações, algumas de cunho biológico, outras de caráter psíquico. Porém, a maioria delas demonstra que sozinhas são insuficientes para explicarem as diferenças existentes entre homens e mulheres. Os estudos sociais demonstram que as diferenças são construídas pela própria sociedade, haja vista que são os seres humanos que ditam padrões aceitáveis ou não de conduta para gênero feminino ou masculino. Convém ressaltar, no entanto, que:</w:t>
      </w:r>
    </w:p>
    <w:p w:rsidR="00D24E61" w:rsidRPr="00BA3BAC" w:rsidRDefault="00D24E61">
      <w:pPr>
        <w:spacing w:line="231" w:lineRule="auto"/>
        <w:ind w:left="2280"/>
        <w:jc w:val="both"/>
        <w:rPr>
          <w:i/>
          <w:sz w:val="20"/>
          <w:szCs w:val="20"/>
        </w:rPr>
      </w:pPr>
      <w:r w:rsidRPr="00BA3BAC">
        <w:rPr>
          <w:rFonts w:eastAsia="Arial"/>
          <w:i/>
        </w:rPr>
        <w:t>Isto não quer dizer que os fatos biológicos sejam irrelevantes ou que os homens e mulheres não sejam diferentes, mas sim que certos dados e diferenças somente adquirem significado de superior/inferior dentro da estrutura de sistemas de valores culturalmente definidos. (ORTNER, 1979)</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53" w:lineRule="auto"/>
        <w:ind w:firstLine="708"/>
        <w:jc w:val="both"/>
        <w:rPr>
          <w:sz w:val="20"/>
          <w:szCs w:val="20"/>
        </w:rPr>
      </w:pPr>
      <w:r w:rsidRPr="00771368">
        <w:rPr>
          <w:rFonts w:eastAsia="Arial"/>
          <w:sz w:val="24"/>
          <w:szCs w:val="24"/>
        </w:rPr>
        <w:t>O contexto familiar é responsável pelo primeiro processo de socialização de crianças e jovens. A família, normalmente, diferencia o tratamento dispensado aos meninos e às meninas, bem como as expectativas que são postas sobre eles. Aos meninos, dão-se brinquedos que remetem a uma vida mais livre e independente, ou seja, carrinhos, bolas de futebol, entre outros. Já às meninas, são doados bonecas e utensílios domésticos que fazem alusão a uma vivência doméstica de cuidado com a prole. Rosaldo (1979) corrobora com essa ideia e afirma que há "uma identificação muito geral das mulheres com a vida doméstica e dos homens com a pública".</w:t>
      </w:r>
    </w:p>
    <w:p w:rsidR="00D24E61" w:rsidRPr="00771368" w:rsidRDefault="00D24E61">
      <w:pPr>
        <w:spacing w:line="185" w:lineRule="exact"/>
        <w:rPr>
          <w:sz w:val="20"/>
          <w:szCs w:val="20"/>
        </w:rPr>
      </w:pPr>
    </w:p>
    <w:p w:rsidR="00D24E61" w:rsidRPr="00771368" w:rsidRDefault="00D24E61">
      <w:pPr>
        <w:spacing w:line="351" w:lineRule="auto"/>
        <w:ind w:firstLine="708"/>
        <w:jc w:val="both"/>
        <w:rPr>
          <w:sz w:val="20"/>
          <w:szCs w:val="20"/>
        </w:rPr>
      </w:pPr>
      <w:r w:rsidRPr="00771368">
        <w:rPr>
          <w:rFonts w:eastAsia="Arial"/>
          <w:sz w:val="24"/>
          <w:szCs w:val="24"/>
        </w:rPr>
        <w:t>O discurso sobre a sexualidade também é diferenciado, desde a infância, quando se refere a homens e a mulheres. Por exemplo, aos meninos sempre foi permitido que se discutisse abertamente a respeito do sexo, já às meninas ainda é inibida qualquer tentativa nesse sentido. A iniciação sexual também é distinta para ambos, visto que, normalmente, os homens iniciam-se mais jovens que as mulheres e mantém uma diversidade maior de parceiras durante a vida.</w:t>
      </w:r>
    </w:p>
    <w:p w:rsidR="00D24E61" w:rsidRPr="00771368" w:rsidRDefault="00D24E61">
      <w:pPr>
        <w:spacing w:line="183" w:lineRule="exact"/>
        <w:rPr>
          <w:sz w:val="20"/>
          <w:szCs w:val="20"/>
        </w:rPr>
      </w:pPr>
    </w:p>
    <w:p w:rsidR="00D24E61" w:rsidRPr="00771368" w:rsidRDefault="00D24E61">
      <w:pPr>
        <w:spacing w:line="353" w:lineRule="auto"/>
        <w:ind w:firstLine="708"/>
        <w:jc w:val="both"/>
        <w:rPr>
          <w:sz w:val="20"/>
          <w:szCs w:val="20"/>
        </w:rPr>
      </w:pPr>
      <w:r w:rsidRPr="00771368">
        <w:rPr>
          <w:rFonts w:eastAsia="Arial"/>
          <w:sz w:val="24"/>
          <w:szCs w:val="24"/>
        </w:rPr>
        <w:t>Uma questão social que também demonstra a desigualdade existente entre homens e mulheres, é a prática constante de atos violentos contra elas dentro de seus próprios lares. Manifestada de diversas formas, a violência doméstica pode ser de caráter físico ou psicológico. Ameaças físicas, atentado ao pudor, estupro, tortura psicológica, entre outros, na maioria das vezes não são denunciadas às autoridades competentes. O receio de não ser atendida de maneira digna e o medo de sofrer retaliações da sociedade e do próprio agressor, faz com que muitas vítimas continuem caladas.</w:t>
      </w:r>
    </w:p>
    <w:p w:rsidR="00D24E61" w:rsidRPr="00771368" w:rsidRDefault="00D24E61">
      <w:pPr>
        <w:spacing w:line="185" w:lineRule="exact"/>
        <w:rPr>
          <w:sz w:val="20"/>
          <w:szCs w:val="20"/>
        </w:rPr>
      </w:pPr>
    </w:p>
    <w:p w:rsidR="00D24E61" w:rsidRPr="00771368" w:rsidRDefault="00D24E61" w:rsidP="00BA3BAC">
      <w:pPr>
        <w:spacing w:line="350" w:lineRule="auto"/>
        <w:ind w:firstLine="708"/>
        <w:jc w:val="both"/>
        <w:rPr>
          <w:sz w:val="20"/>
          <w:szCs w:val="20"/>
        </w:rPr>
      </w:pPr>
      <w:r w:rsidRPr="00771368">
        <w:rPr>
          <w:rFonts w:eastAsia="Arial"/>
          <w:sz w:val="24"/>
          <w:szCs w:val="24"/>
        </w:rPr>
        <w:t>O arcabouço jurídico brasileiro evoluiu bastante no que diz respeito às medidas protetivas a favor da mulher. Exemplo disso é a legalização da Lei 11.340/2006, conhecida como Lei Maria da Penha. Indubitavelmente, esta lei proporcionou maior visibilidade às ações de combate à violência contra a mulher, com intervenções concretas em relação ao agressor como, por exemplo, a sua prisão, a proibição das penas pecuniárias (pagamento de multas ou cestas básicas)</w:t>
      </w:r>
      <w:r w:rsidR="00BA3BAC">
        <w:rPr>
          <w:rFonts w:eastAsia="Arial"/>
          <w:sz w:val="24"/>
          <w:szCs w:val="24"/>
        </w:rPr>
        <w:t xml:space="preserve"> </w:t>
      </w:r>
      <w:r w:rsidRPr="00771368">
        <w:rPr>
          <w:rFonts w:eastAsia="Arial"/>
          <w:sz w:val="24"/>
          <w:szCs w:val="24"/>
        </w:rPr>
        <w:t>e uma maior viabilidade de acessar meios governamentais e jurídicos para resolver questões legais com mais agilidade.</w:t>
      </w:r>
    </w:p>
    <w:p w:rsidR="00D24E61" w:rsidRPr="00771368" w:rsidRDefault="00D24E61">
      <w:pPr>
        <w:spacing w:line="226" w:lineRule="exact"/>
        <w:rPr>
          <w:sz w:val="20"/>
          <w:szCs w:val="20"/>
        </w:rPr>
      </w:pPr>
    </w:p>
    <w:p w:rsidR="00D24E61" w:rsidRPr="00771368" w:rsidRDefault="00D24E61">
      <w:pPr>
        <w:spacing w:line="349" w:lineRule="auto"/>
        <w:ind w:firstLine="708"/>
        <w:jc w:val="both"/>
        <w:rPr>
          <w:sz w:val="20"/>
          <w:szCs w:val="20"/>
        </w:rPr>
      </w:pPr>
      <w:r w:rsidRPr="00771368">
        <w:rPr>
          <w:rFonts w:eastAsia="Arial"/>
          <w:sz w:val="24"/>
          <w:szCs w:val="24"/>
        </w:rPr>
        <w:t>No entanto, ainda necessitamos de que as unidades de delegacias femininas sejam difundidas para regiões distantes do país e que mais campanhas de conscientização sejam criadas, a fim de que as mulheres possam sentir-se confiantes e seguras para denunciar os maus-tratos a que porventura sejam submetidas.</w:t>
      </w:r>
    </w:p>
    <w:p w:rsidR="00D24E61" w:rsidRPr="00771368" w:rsidRDefault="00D24E61">
      <w:pPr>
        <w:spacing w:line="182" w:lineRule="exact"/>
        <w:rPr>
          <w:sz w:val="20"/>
          <w:szCs w:val="20"/>
        </w:rPr>
      </w:pPr>
    </w:p>
    <w:p w:rsidR="00D24E61" w:rsidRPr="00771368" w:rsidRDefault="00D24E61">
      <w:pPr>
        <w:spacing w:line="353" w:lineRule="auto"/>
        <w:ind w:firstLine="708"/>
        <w:jc w:val="both"/>
        <w:rPr>
          <w:sz w:val="20"/>
          <w:szCs w:val="20"/>
        </w:rPr>
      </w:pPr>
      <w:r w:rsidRPr="00771368">
        <w:rPr>
          <w:rFonts w:eastAsia="Arial"/>
          <w:sz w:val="24"/>
          <w:szCs w:val="24"/>
        </w:rPr>
        <w:t>Diante dessa abordagem, é notório que para se minimizar a desigualdade de gêneros, será preciso mudar também os discursos que formam a identidade feminina, fazendo com que a mulher seja vista como um ser digno, capaz de fazer suas próprias escolhas, com capacidade intelectual igual à masculina e potencial para desenvolver o trabalho que ela objetivar. Nesse sentido, é importante desvendar os discursos de massa, discutir textos e capacitar pessoas para que possam buscar e construir discursos alternativos que garantam a valorização da mulher.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49" w:lineRule="exact"/>
        <w:rPr>
          <w:sz w:val="20"/>
          <w:szCs w:val="20"/>
        </w:rPr>
      </w:pPr>
    </w:p>
    <w:p w:rsidR="00D24E61" w:rsidRPr="00771368" w:rsidRDefault="00D24E61">
      <w:pPr>
        <w:rPr>
          <w:sz w:val="20"/>
          <w:szCs w:val="20"/>
        </w:rPr>
      </w:pPr>
      <w:r w:rsidRPr="00771368">
        <w:rPr>
          <w:rFonts w:eastAsia="Arial"/>
          <w:b/>
          <w:bCs/>
          <w:sz w:val="24"/>
          <w:szCs w:val="24"/>
        </w:rPr>
        <w:t>2.1 O “PAGODE BAIANO” E A CONSTRUÇÃO DA IDENTIDADE FEMININA</w:t>
      </w:r>
    </w:p>
    <w:p w:rsidR="00D24E61" w:rsidRPr="00771368" w:rsidRDefault="00D24E61">
      <w:pPr>
        <w:spacing w:line="200" w:lineRule="exact"/>
        <w:rPr>
          <w:sz w:val="20"/>
          <w:szCs w:val="20"/>
        </w:rPr>
      </w:pPr>
    </w:p>
    <w:p w:rsidR="00D24E61" w:rsidRPr="00771368" w:rsidRDefault="00D24E61">
      <w:pPr>
        <w:spacing w:line="351" w:lineRule="auto"/>
        <w:ind w:firstLine="708"/>
        <w:jc w:val="both"/>
        <w:rPr>
          <w:sz w:val="20"/>
          <w:szCs w:val="20"/>
        </w:rPr>
      </w:pPr>
      <w:r w:rsidRPr="00771368">
        <w:rPr>
          <w:rFonts w:eastAsia="Arial"/>
          <w:sz w:val="24"/>
          <w:szCs w:val="24"/>
        </w:rPr>
        <w:t>As diversas formas de discriminação contra o gênero feminino são temas constantemente discutidos no âmbito acadêmico. Existe uma ampla gama de textos que versam sobre o assunto e comprovam as situações constrangedoras e desiguais às quais as mulheres são submetidas cotidianamente. Conforme já brevemente abordado, muito disso deve-se aos discursos enraizados ao longo dos tempos a respeito da figura feminina.</w:t>
      </w:r>
    </w:p>
    <w:p w:rsidR="00D24E61" w:rsidRPr="00771368" w:rsidRDefault="00D24E61" w:rsidP="00BA3BAC">
      <w:pPr>
        <w:spacing w:line="350" w:lineRule="auto"/>
        <w:ind w:firstLine="708"/>
        <w:jc w:val="both"/>
        <w:rPr>
          <w:sz w:val="20"/>
          <w:szCs w:val="20"/>
        </w:rPr>
      </w:pPr>
      <w:r w:rsidRPr="00771368">
        <w:rPr>
          <w:rFonts w:eastAsia="Arial"/>
          <w:sz w:val="24"/>
          <w:szCs w:val="24"/>
        </w:rPr>
        <w:t>A música assumiu um importante papel social em nossa sociedade, visto que extrapolou a função de simples manifestação cultural. A música não serve apenas para entreter, ou seja, para simplesmente ouvir e dançar. Ela superou o caráter lúdico de que se revestiu por certo período e ganhou conotações e importância no plano social e político. Por isso, empregamos a Análise Crítica do Discurso para analisar as ideias transmitidas por essa indústria. Já que Pêcheux (1990) diz que</w:t>
      </w:r>
      <w:r w:rsidR="00BA3BAC">
        <w:rPr>
          <w:rFonts w:eastAsia="Arial"/>
          <w:sz w:val="24"/>
          <w:szCs w:val="24"/>
        </w:rPr>
        <w:t xml:space="preserve"> </w:t>
      </w:r>
      <w:r w:rsidRPr="00771368">
        <w:rPr>
          <w:rFonts w:eastAsia="Arial"/>
          <w:sz w:val="24"/>
          <w:szCs w:val="24"/>
        </w:rPr>
        <w:t>não há discurso sem sujeito e nem sujeito sem ideologia, baseamos nossa análise no estudo das relações de poder engendradas nas relações de gênero.</w:t>
      </w:r>
    </w:p>
    <w:p w:rsidR="00D24E61" w:rsidRPr="00771368" w:rsidRDefault="00D24E61">
      <w:pPr>
        <w:spacing w:line="226" w:lineRule="exact"/>
        <w:rPr>
          <w:sz w:val="20"/>
          <w:szCs w:val="20"/>
        </w:rPr>
      </w:pPr>
    </w:p>
    <w:p w:rsidR="00D24E61" w:rsidRPr="00771368" w:rsidRDefault="00D24E61">
      <w:pPr>
        <w:spacing w:line="314" w:lineRule="auto"/>
        <w:ind w:firstLine="708"/>
        <w:jc w:val="both"/>
        <w:rPr>
          <w:sz w:val="20"/>
          <w:szCs w:val="20"/>
        </w:rPr>
      </w:pPr>
      <w:r w:rsidRPr="00771368">
        <w:rPr>
          <w:rFonts w:eastAsia="Arial"/>
          <w:sz w:val="24"/>
          <w:szCs w:val="24"/>
        </w:rPr>
        <w:t>A construção da identidade feminina, a partir de alguns gêneros musicais, cria e/ou reforça discursos sexistas e discriminatórios acerca da mulher. O chamado</w:t>
      </w:r>
    </w:p>
    <w:p w:rsidR="00D24E61" w:rsidRPr="00771368" w:rsidRDefault="00D24E61">
      <w:pPr>
        <w:spacing w:line="106" w:lineRule="exact"/>
        <w:rPr>
          <w:sz w:val="20"/>
          <w:szCs w:val="20"/>
        </w:rPr>
      </w:pPr>
    </w:p>
    <w:p w:rsidR="00D24E61" w:rsidRPr="00771368" w:rsidRDefault="00D24E61">
      <w:pPr>
        <w:spacing w:line="349" w:lineRule="auto"/>
        <w:ind w:right="20"/>
        <w:jc w:val="both"/>
        <w:rPr>
          <w:sz w:val="20"/>
          <w:szCs w:val="20"/>
        </w:rPr>
      </w:pPr>
      <w:r w:rsidRPr="00771368">
        <w:rPr>
          <w:rFonts w:eastAsia="Arial"/>
          <w:sz w:val="24"/>
          <w:szCs w:val="24"/>
        </w:rPr>
        <w:t>“pagode baiano” é um dos gêneros musicais que contribui para que a mulher seja vista como objeto sexual masculino, sendo inclusive alvo de uma lei estadual do governo baiano, popularmente conhecida como a “Lei Antibaixaria”, que visa a não contratação, através de verbas públicas, de artistas cujo teor das letras discrimine as mulheres e incentive a violência contra elas.</w:t>
      </w:r>
    </w:p>
    <w:p w:rsidR="00D24E61" w:rsidRPr="00771368" w:rsidRDefault="00D24E61">
      <w:pPr>
        <w:spacing w:line="183" w:lineRule="exact"/>
        <w:rPr>
          <w:sz w:val="20"/>
          <w:szCs w:val="20"/>
        </w:rPr>
      </w:pPr>
    </w:p>
    <w:p w:rsidR="00D24E61" w:rsidRPr="00771368" w:rsidRDefault="00D24E61">
      <w:pPr>
        <w:spacing w:line="349" w:lineRule="auto"/>
        <w:ind w:firstLine="708"/>
        <w:jc w:val="both"/>
        <w:rPr>
          <w:sz w:val="20"/>
          <w:szCs w:val="20"/>
        </w:rPr>
      </w:pPr>
      <w:r w:rsidRPr="00771368">
        <w:rPr>
          <w:rFonts w:eastAsia="Arial"/>
          <w:sz w:val="24"/>
          <w:szCs w:val="24"/>
        </w:rPr>
        <w:t>Alvo de polêmicas, a “Lei Antibaixaria” foi objeto de análise de alguns estudiosos do assunto que questionam se ela não fere o princípio de liberdade de expressão garantida pela constituição, bem como se tal medida não seria a legalização do preconceito contra as classes menos favorecidas, visto que, são elas, normalmente, as produtoras desse tipo de música.</w:t>
      </w:r>
    </w:p>
    <w:p w:rsidR="00D24E61" w:rsidRPr="00771368" w:rsidRDefault="00D24E61">
      <w:pPr>
        <w:spacing w:line="134" w:lineRule="exact"/>
        <w:rPr>
          <w:sz w:val="20"/>
          <w:szCs w:val="20"/>
        </w:rPr>
      </w:pPr>
    </w:p>
    <w:p w:rsidR="00D24E61" w:rsidRPr="00771368" w:rsidRDefault="00D24E61">
      <w:pPr>
        <w:ind w:left="720"/>
        <w:rPr>
          <w:sz w:val="20"/>
          <w:szCs w:val="20"/>
        </w:rPr>
      </w:pPr>
      <w:r w:rsidRPr="00771368">
        <w:rPr>
          <w:rFonts w:eastAsia="Arial"/>
          <w:sz w:val="24"/>
          <w:szCs w:val="24"/>
        </w:rPr>
        <w:t>Segundo Pinho (2011):</w:t>
      </w:r>
    </w:p>
    <w:p w:rsidR="00D24E61" w:rsidRPr="00771368" w:rsidRDefault="00D24E61">
      <w:pPr>
        <w:spacing w:line="200" w:lineRule="exact"/>
        <w:rPr>
          <w:sz w:val="20"/>
          <w:szCs w:val="20"/>
        </w:rPr>
      </w:pPr>
    </w:p>
    <w:p w:rsidR="00D24E61" w:rsidRPr="00BA3BAC" w:rsidRDefault="00D24E61">
      <w:pPr>
        <w:spacing w:line="231" w:lineRule="auto"/>
        <w:ind w:left="2280"/>
        <w:jc w:val="both"/>
        <w:rPr>
          <w:i/>
          <w:sz w:val="20"/>
          <w:szCs w:val="20"/>
        </w:rPr>
      </w:pPr>
      <w:r w:rsidRPr="00BA3BAC">
        <w:rPr>
          <w:rFonts w:eastAsia="Arial"/>
          <w:i/>
        </w:rPr>
        <w:t>No bojo desse debate não podemos desconsiderar tais questões e impasses, sob pena de reproduzirmos novas opressões e ao defender, com toda razão, a dignidade da mulher, assumamos ponto de vista neocolonial, demonizando o "nativo", bárbaro infrene, presa e predador, de seus imoderados apetites sexuais.</w:t>
      </w:r>
    </w:p>
    <w:p w:rsidR="00D24E61" w:rsidRPr="00771368" w:rsidRDefault="00D24E61">
      <w:pPr>
        <w:spacing w:line="200" w:lineRule="exact"/>
        <w:rPr>
          <w:sz w:val="20"/>
          <w:szCs w:val="20"/>
        </w:rPr>
      </w:pPr>
    </w:p>
    <w:p w:rsidR="00D24E61" w:rsidRPr="00771368" w:rsidRDefault="00D24E61">
      <w:pPr>
        <w:spacing w:line="349" w:lineRule="auto"/>
        <w:ind w:firstLine="708"/>
        <w:jc w:val="both"/>
        <w:rPr>
          <w:sz w:val="20"/>
          <w:szCs w:val="20"/>
        </w:rPr>
      </w:pPr>
      <w:r w:rsidRPr="00771368">
        <w:rPr>
          <w:rFonts w:eastAsia="Arial"/>
          <w:sz w:val="24"/>
          <w:szCs w:val="24"/>
        </w:rPr>
        <w:t>Por outro lado, aos que defendem a existência da lei, argumenta-se que não se trata de censura, mas sim de um alerta a toda sociedade de que esse tipo de discurso é extremamente prejudicial à mulher, vítima de todo tipo de violência ao longo de sua história. Confirmando esse pensamento, Sardenberg (2011) nos afirma:</w:t>
      </w:r>
    </w:p>
    <w:p w:rsidR="00D24E61" w:rsidRPr="00BA3BAC" w:rsidRDefault="00D24E61">
      <w:pPr>
        <w:spacing w:line="351" w:lineRule="exact"/>
        <w:rPr>
          <w:i/>
          <w:sz w:val="20"/>
          <w:szCs w:val="20"/>
        </w:rPr>
      </w:pPr>
    </w:p>
    <w:p w:rsidR="00D24E61" w:rsidRPr="00BA3BAC" w:rsidRDefault="00D24E61">
      <w:pPr>
        <w:spacing w:line="218" w:lineRule="auto"/>
        <w:ind w:left="2280"/>
        <w:jc w:val="both"/>
        <w:rPr>
          <w:i/>
          <w:sz w:val="20"/>
          <w:szCs w:val="20"/>
        </w:rPr>
      </w:pPr>
      <w:r w:rsidRPr="00BA3BAC">
        <w:rPr>
          <w:rFonts w:eastAsia="Arial"/>
          <w:i/>
        </w:rPr>
        <w:t>Ressalte-se que não se trata aqui de cercear o direito de “livre expressão artística” de ninguém, já devidamente consagrada na</w:t>
      </w:r>
    </w:p>
    <w:p w:rsidR="00D24E61" w:rsidRPr="00BA3BAC" w:rsidRDefault="00D24E61">
      <w:pPr>
        <w:spacing w:line="47" w:lineRule="exact"/>
        <w:rPr>
          <w:i/>
          <w:sz w:val="20"/>
          <w:szCs w:val="20"/>
        </w:rPr>
      </w:pPr>
    </w:p>
    <w:p w:rsidR="00BA3BAC" w:rsidRPr="00BA3BAC" w:rsidRDefault="00D24E61" w:rsidP="00BA3BAC">
      <w:pPr>
        <w:spacing w:line="233" w:lineRule="auto"/>
        <w:ind w:left="2280"/>
        <w:jc w:val="both"/>
        <w:rPr>
          <w:i/>
        </w:rPr>
      </w:pPr>
      <w:r w:rsidRPr="00BA3BAC">
        <w:rPr>
          <w:rFonts w:eastAsia="Arial"/>
          <w:i/>
        </w:rPr>
        <w:t>Constituição Federal. Não se trata de fazer censura. Longe disso! Mas é necessário que o Estado não seja conivente com mensagens que façam a apologia da violência de gênero contra mulheres, utilizando verbas públicas – o dinheiro nosso e do nosso povo – para aviltar a nossa imagem! Fazê-lo, ou seja, contratar com dinheiro público quem assim procede é legitimar a violência de gênero contra as mulheres. É, pois, atentar contra a nossa carta magna, cabendo,</w:t>
      </w:r>
      <w:r w:rsidR="00BA3BAC" w:rsidRPr="00BA3BAC">
        <w:rPr>
          <w:rFonts w:eastAsia="Arial"/>
          <w:i/>
        </w:rPr>
        <w:t xml:space="preserve"> </w:t>
      </w:r>
      <w:r w:rsidR="00BA3BAC" w:rsidRPr="00BA3BAC">
        <w:rPr>
          <w:i/>
        </w:rPr>
        <w:t>pois, de nossa parte, a impetração de ações cíveis junto ao Ministério Público.</w:t>
      </w:r>
    </w:p>
    <w:p w:rsidR="00D24E61" w:rsidRPr="00771368" w:rsidRDefault="00D24E61">
      <w:pPr>
        <w:spacing w:line="345" w:lineRule="exact"/>
        <w:rPr>
          <w:sz w:val="20"/>
          <w:szCs w:val="20"/>
        </w:rPr>
      </w:pPr>
    </w:p>
    <w:p w:rsidR="00D24E61" w:rsidRPr="00771368" w:rsidRDefault="00D24E61">
      <w:pPr>
        <w:spacing w:line="349" w:lineRule="auto"/>
        <w:ind w:firstLine="708"/>
        <w:jc w:val="both"/>
        <w:rPr>
          <w:sz w:val="20"/>
          <w:szCs w:val="20"/>
        </w:rPr>
      </w:pPr>
      <w:r w:rsidRPr="00771368">
        <w:rPr>
          <w:rFonts w:eastAsia="Arial"/>
          <w:sz w:val="24"/>
          <w:szCs w:val="24"/>
        </w:rPr>
        <w:t>A assertiva da professora Sardenberg mostra em sua visão, a respeito do assunto, que determinados tipos de música contribuem bastante para a depreciação da imagem feminina e realmente contraria os objetivos dos movimentos feministas que visam à garantia dos direitos conquistados, assim como o respeito da sociedade em relação à mulher.</w:t>
      </w:r>
    </w:p>
    <w:p w:rsidR="00D24E61" w:rsidRPr="00771368" w:rsidRDefault="00D24E61">
      <w:pPr>
        <w:spacing w:line="182" w:lineRule="exact"/>
        <w:rPr>
          <w:sz w:val="20"/>
          <w:szCs w:val="20"/>
        </w:rPr>
      </w:pPr>
    </w:p>
    <w:p w:rsidR="00D24E61" w:rsidRPr="00771368" w:rsidRDefault="00D24E61">
      <w:pPr>
        <w:spacing w:line="345" w:lineRule="auto"/>
        <w:ind w:right="20" w:firstLine="708"/>
        <w:jc w:val="both"/>
        <w:rPr>
          <w:sz w:val="20"/>
          <w:szCs w:val="20"/>
        </w:rPr>
      </w:pPr>
      <w:r w:rsidRPr="00771368">
        <w:rPr>
          <w:rFonts w:eastAsia="Arial"/>
          <w:sz w:val="24"/>
          <w:szCs w:val="24"/>
        </w:rPr>
        <w:t>Interpretação parecida por parte das autoridades baianas garantiu a aprovação da Lei 12.573 em 27 de março de 2012, representando assim um avanço no combate à desvalorização do gênero feminino, visto que outros estados da federação também estão seguindo esse exemplo.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74" w:lineRule="exact"/>
        <w:rPr>
          <w:sz w:val="20"/>
          <w:szCs w:val="20"/>
        </w:rPr>
      </w:pPr>
    </w:p>
    <w:p w:rsidR="00D24E61" w:rsidRPr="00771368" w:rsidRDefault="00D24E61">
      <w:pPr>
        <w:rPr>
          <w:sz w:val="20"/>
          <w:szCs w:val="20"/>
        </w:rPr>
      </w:pPr>
      <w:r w:rsidRPr="00771368">
        <w:rPr>
          <w:rFonts w:eastAsia="Arial"/>
          <w:b/>
          <w:bCs/>
          <w:sz w:val="24"/>
          <w:szCs w:val="24"/>
        </w:rPr>
        <w:t>2.2 ANÁLISE DAS LETRAS DO GRUPO DE PAGODE “BLACK STYLE”</w:t>
      </w:r>
    </w:p>
    <w:p w:rsidR="00BA3BAC" w:rsidRDefault="00BA3BAC">
      <w:pPr>
        <w:spacing w:line="344" w:lineRule="auto"/>
        <w:ind w:firstLine="708"/>
        <w:jc w:val="both"/>
        <w:rPr>
          <w:rFonts w:eastAsia="Arial"/>
          <w:sz w:val="24"/>
          <w:szCs w:val="24"/>
        </w:rPr>
      </w:pPr>
    </w:p>
    <w:p w:rsidR="00D24E61" w:rsidRPr="00771368" w:rsidRDefault="00D24E61">
      <w:pPr>
        <w:spacing w:line="344" w:lineRule="auto"/>
        <w:ind w:firstLine="708"/>
        <w:jc w:val="both"/>
        <w:rPr>
          <w:sz w:val="20"/>
          <w:szCs w:val="20"/>
        </w:rPr>
      </w:pPr>
      <w:r w:rsidRPr="00771368">
        <w:rPr>
          <w:rFonts w:eastAsia="Arial"/>
          <w:sz w:val="24"/>
          <w:szCs w:val="24"/>
        </w:rPr>
        <w:t xml:space="preserve">As músicas do grupo baiano “Black Style” se destacam em relação às do mesmo gênero. São as que mais apresentam um teor sexista e discriminatório em no tocante à mulher. Segundo um estudo quantitativo realizado por Bastos (2011), que analisou o </w:t>
      </w:r>
      <w:r w:rsidRPr="00771368">
        <w:rPr>
          <w:rFonts w:eastAsia="Arial"/>
          <w:i/>
          <w:iCs/>
          <w:sz w:val="24"/>
          <w:szCs w:val="24"/>
        </w:rPr>
        <w:t>corpus</w:t>
      </w:r>
      <w:r w:rsidRPr="00771368">
        <w:rPr>
          <w:rFonts w:eastAsia="Arial"/>
          <w:sz w:val="24"/>
          <w:szCs w:val="24"/>
        </w:rPr>
        <w:t xml:space="preserve"> de quatro bandas de pagode: “Black Style”, Raghatoni,</w:t>
      </w:r>
    </w:p>
    <w:p w:rsidR="00D24E61" w:rsidRPr="00771368" w:rsidRDefault="00D24E61">
      <w:pPr>
        <w:spacing w:line="74" w:lineRule="exact"/>
        <w:rPr>
          <w:sz w:val="20"/>
          <w:szCs w:val="20"/>
        </w:rPr>
      </w:pPr>
    </w:p>
    <w:p w:rsidR="00D24E61" w:rsidRPr="00771368" w:rsidRDefault="00D24E61">
      <w:pPr>
        <w:spacing w:line="314" w:lineRule="auto"/>
        <w:jc w:val="both"/>
        <w:rPr>
          <w:sz w:val="20"/>
          <w:szCs w:val="20"/>
        </w:rPr>
      </w:pPr>
      <w:r w:rsidRPr="00771368">
        <w:rPr>
          <w:rFonts w:eastAsia="Arial"/>
          <w:sz w:val="24"/>
          <w:szCs w:val="24"/>
        </w:rPr>
        <w:t>Parangolé e Psirico, constatou-se que as descrições jocosas e sexuais da mulher predominam veementemente nas duas primeiras.</w:t>
      </w:r>
    </w:p>
    <w:p w:rsidR="00D24E61" w:rsidRPr="00771368" w:rsidRDefault="00D24E61">
      <w:pPr>
        <w:spacing w:line="175" w:lineRule="exact"/>
        <w:rPr>
          <w:sz w:val="20"/>
          <w:szCs w:val="20"/>
        </w:rPr>
      </w:pPr>
    </w:p>
    <w:p w:rsidR="00D24E61" w:rsidRPr="00771368" w:rsidRDefault="00D24E61">
      <w:pPr>
        <w:ind w:left="720"/>
        <w:rPr>
          <w:sz w:val="20"/>
          <w:szCs w:val="20"/>
        </w:rPr>
      </w:pPr>
      <w:r w:rsidRPr="00771368">
        <w:rPr>
          <w:rFonts w:eastAsia="Arial"/>
          <w:sz w:val="24"/>
          <w:szCs w:val="24"/>
        </w:rPr>
        <w:t>De acordo com Bastos (2011):</w:t>
      </w:r>
    </w:p>
    <w:p w:rsidR="00D24E61" w:rsidRPr="00771368" w:rsidRDefault="00D24E61">
      <w:pPr>
        <w:spacing w:line="236" w:lineRule="exact"/>
        <w:rPr>
          <w:sz w:val="20"/>
          <w:szCs w:val="20"/>
        </w:rPr>
      </w:pPr>
    </w:p>
    <w:p w:rsidR="00D24E61" w:rsidRPr="00BA3BAC" w:rsidRDefault="00D24E61">
      <w:pPr>
        <w:spacing w:line="229" w:lineRule="auto"/>
        <w:ind w:left="2280"/>
        <w:jc w:val="both"/>
        <w:rPr>
          <w:i/>
          <w:sz w:val="20"/>
          <w:szCs w:val="20"/>
        </w:rPr>
      </w:pPr>
      <w:r w:rsidRPr="00BA3BAC">
        <w:rPr>
          <w:rFonts w:eastAsia="Arial"/>
          <w:i/>
        </w:rPr>
        <w:t>O uso de duplo sentido está associado às temáticas 'maliciosas' (jocosas e sexuais) estando presente principalmente nas músicas cantadas pelas bandas “Black Style” (31% das músicas) e Raghatoni (26% das músicas).</w:t>
      </w:r>
    </w:p>
    <w:p w:rsidR="00D24E61" w:rsidRPr="00771368" w:rsidRDefault="00D24E61">
      <w:pPr>
        <w:spacing w:line="229" w:lineRule="exact"/>
        <w:rPr>
          <w:sz w:val="20"/>
          <w:szCs w:val="20"/>
        </w:rPr>
      </w:pPr>
    </w:p>
    <w:p w:rsidR="00D24E61" w:rsidRPr="00771368" w:rsidRDefault="00D24E61">
      <w:pPr>
        <w:spacing w:line="349" w:lineRule="auto"/>
        <w:ind w:firstLine="708"/>
        <w:jc w:val="both"/>
        <w:rPr>
          <w:sz w:val="20"/>
          <w:szCs w:val="20"/>
        </w:rPr>
      </w:pPr>
      <w:r w:rsidRPr="00771368">
        <w:rPr>
          <w:rFonts w:eastAsia="Arial"/>
          <w:sz w:val="24"/>
          <w:szCs w:val="24"/>
        </w:rPr>
        <w:t xml:space="preserve">Baseado na análise do </w:t>
      </w:r>
      <w:r w:rsidRPr="00771368">
        <w:rPr>
          <w:rFonts w:eastAsia="Arial"/>
          <w:i/>
          <w:iCs/>
          <w:sz w:val="24"/>
          <w:szCs w:val="24"/>
        </w:rPr>
        <w:t>corpus</w:t>
      </w:r>
      <w:r w:rsidRPr="00771368">
        <w:rPr>
          <w:rFonts w:eastAsia="Arial"/>
          <w:sz w:val="24"/>
          <w:szCs w:val="24"/>
        </w:rPr>
        <w:t xml:space="preserve"> das letras de músicas do grupo “Black Style”, citado logo acima, selecionamos aquelas que se referem especificamente e de forma direta à mulher. A partir disso, foi procedida uma análise semântico-discursiva diante de toda a produção musical do supradito grupo de pagode baiano, nas quais constatamos verdadeiras agressões à moral e à imagem feminina.</w:t>
      </w:r>
    </w:p>
    <w:p w:rsidR="00D24E61" w:rsidRPr="00771368" w:rsidRDefault="00D24E61">
      <w:pPr>
        <w:spacing w:line="344" w:lineRule="auto"/>
        <w:ind w:firstLine="708"/>
        <w:jc w:val="both"/>
        <w:rPr>
          <w:sz w:val="20"/>
          <w:szCs w:val="20"/>
        </w:rPr>
      </w:pPr>
      <w:r w:rsidRPr="00771368">
        <w:rPr>
          <w:rFonts w:eastAsia="Arial"/>
          <w:sz w:val="24"/>
          <w:szCs w:val="24"/>
        </w:rPr>
        <w:t>Inicialmente, percebe-se que é recorrente a associação da figura feminina à de uma cadela, com ênfase em seus hábitos promíscuos e conduta amoral. Essa postura discriminatória em relação ao gênero feminino pode ser observada, por exemplo, na canção “Balance o rabinho cachorra”:</w:t>
      </w:r>
    </w:p>
    <w:p w:rsidR="00D24E61" w:rsidRPr="00771368" w:rsidRDefault="00D24E61">
      <w:pPr>
        <w:spacing w:line="200" w:lineRule="exact"/>
        <w:rPr>
          <w:sz w:val="20"/>
          <w:szCs w:val="20"/>
        </w:rPr>
      </w:pPr>
    </w:p>
    <w:p w:rsidR="00D24E61" w:rsidRPr="00771368" w:rsidRDefault="00D24E61">
      <w:pPr>
        <w:spacing w:line="230" w:lineRule="auto"/>
        <w:ind w:left="2280" w:right="3980"/>
        <w:rPr>
          <w:sz w:val="20"/>
          <w:szCs w:val="20"/>
        </w:rPr>
      </w:pPr>
      <w:r w:rsidRPr="00771368">
        <w:rPr>
          <w:rFonts w:eastAsia="Arial"/>
          <w:sz w:val="21"/>
          <w:szCs w:val="21"/>
        </w:rPr>
        <w:t>Procurei por minha cachorra, Ninguém sabe, ninguém viu,</w:t>
      </w:r>
    </w:p>
    <w:p w:rsidR="00D24E61" w:rsidRPr="00771368" w:rsidRDefault="00D24E61">
      <w:pPr>
        <w:spacing w:line="44" w:lineRule="exact"/>
        <w:rPr>
          <w:sz w:val="20"/>
          <w:szCs w:val="20"/>
        </w:rPr>
      </w:pPr>
    </w:p>
    <w:p w:rsidR="00D24E61" w:rsidRPr="00771368" w:rsidRDefault="00D24E61">
      <w:pPr>
        <w:spacing w:line="236" w:lineRule="auto"/>
        <w:ind w:left="2280" w:right="2520"/>
        <w:rPr>
          <w:sz w:val="20"/>
          <w:szCs w:val="20"/>
        </w:rPr>
      </w:pPr>
      <w:r w:rsidRPr="00771368">
        <w:rPr>
          <w:rFonts w:eastAsia="Arial"/>
          <w:sz w:val="21"/>
          <w:szCs w:val="21"/>
        </w:rPr>
        <w:t>Olhei de baixo da mesa, procurei lá no canil Ela saiu de coleira, deve tá no pagodão Balance o rabinho chamando atenção,</w:t>
      </w:r>
    </w:p>
    <w:p w:rsidR="00D24E61" w:rsidRPr="00771368" w:rsidRDefault="00D24E61">
      <w:pPr>
        <w:spacing w:line="2" w:lineRule="exact"/>
        <w:rPr>
          <w:sz w:val="20"/>
          <w:szCs w:val="20"/>
        </w:rPr>
      </w:pPr>
    </w:p>
    <w:p w:rsidR="00D24E61" w:rsidRPr="00771368" w:rsidRDefault="00D24E61">
      <w:pPr>
        <w:spacing w:line="239" w:lineRule="auto"/>
        <w:ind w:left="2280"/>
        <w:rPr>
          <w:sz w:val="20"/>
          <w:szCs w:val="20"/>
        </w:rPr>
      </w:pPr>
      <w:r w:rsidRPr="00771368">
        <w:rPr>
          <w:rFonts w:eastAsia="Arial"/>
        </w:rPr>
        <w:t>no assovio do Robsão</w:t>
      </w:r>
    </w:p>
    <w:p w:rsidR="00D24E61" w:rsidRPr="00771368" w:rsidRDefault="00D24E61">
      <w:pPr>
        <w:spacing w:line="48" w:lineRule="exact"/>
        <w:rPr>
          <w:sz w:val="20"/>
          <w:szCs w:val="20"/>
        </w:rPr>
      </w:pPr>
    </w:p>
    <w:p w:rsidR="00D24E61" w:rsidRPr="00771368" w:rsidRDefault="00D24E61">
      <w:pPr>
        <w:spacing w:line="218" w:lineRule="auto"/>
        <w:ind w:left="2280" w:right="3040"/>
        <w:rPr>
          <w:sz w:val="20"/>
          <w:szCs w:val="20"/>
        </w:rPr>
      </w:pPr>
      <w:r w:rsidRPr="00771368">
        <w:rPr>
          <w:rFonts w:eastAsia="Arial"/>
        </w:rPr>
        <w:t>Balance o rabinho chamando atenção, no assovio do Robsão</w:t>
      </w:r>
    </w:p>
    <w:p w:rsidR="00D24E61" w:rsidRPr="00771368" w:rsidRDefault="00D24E61">
      <w:pPr>
        <w:spacing w:line="44" w:lineRule="exact"/>
        <w:rPr>
          <w:sz w:val="20"/>
          <w:szCs w:val="20"/>
        </w:rPr>
      </w:pPr>
    </w:p>
    <w:p w:rsidR="00D24E61" w:rsidRPr="00771368" w:rsidRDefault="00D24E61">
      <w:pPr>
        <w:spacing w:line="236" w:lineRule="auto"/>
        <w:ind w:left="2280" w:right="3940"/>
        <w:rPr>
          <w:sz w:val="20"/>
          <w:szCs w:val="20"/>
        </w:rPr>
      </w:pPr>
      <w:r w:rsidRPr="00771368">
        <w:rPr>
          <w:rFonts w:eastAsia="Arial"/>
          <w:sz w:val="21"/>
          <w:szCs w:val="21"/>
        </w:rPr>
        <w:t>Balance o rabinho cachorra Balance o rabinho cachorra Balance o rabinho cachorra...</w:t>
      </w:r>
    </w:p>
    <w:p w:rsidR="00D24E61" w:rsidRPr="00771368" w:rsidRDefault="00D24E61">
      <w:pPr>
        <w:spacing w:line="200" w:lineRule="exact"/>
        <w:rPr>
          <w:sz w:val="20"/>
          <w:szCs w:val="20"/>
        </w:rPr>
      </w:pPr>
    </w:p>
    <w:p w:rsidR="00D24E61" w:rsidRPr="00771368" w:rsidRDefault="00D24E61">
      <w:pPr>
        <w:spacing w:line="234"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É perceptível que a utilização do aumentativo “Robsão” para referir-se ao homem denota a suposta superioridade masculina transmitida pela música “Balance o rabinho cachorra”. No que concerne à opressão chancelada por uma visão machista acerca da mulher, aliada ainda à comparação de sua conduta a de uma cadela, também são perceptíveis em outras músicas, como em “Me dá a patinha”, na qual a figura feminina é ainda taxada como transmissora de doenças sexualmente transmissíveis (DST):</w:t>
      </w:r>
    </w:p>
    <w:p w:rsidR="00D24E61" w:rsidRPr="00771368" w:rsidRDefault="00D24E61">
      <w:pPr>
        <w:spacing w:line="200" w:lineRule="exact"/>
        <w:rPr>
          <w:sz w:val="20"/>
          <w:szCs w:val="20"/>
        </w:rPr>
      </w:pPr>
    </w:p>
    <w:p w:rsidR="00D24E61" w:rsidRPr="00771368" w:rsidRDefault="00D24E61">
      <w:pPr>
        <w:spacing w:line="259" w:lineRule="exact"/>
        <w:rPr>
          <w:sz w:val="20"/>
          <w:szCs w:val="20"/>
        </w:rPr>
      </w:pPr>
    </w:p>
    <w:p w:rsidR="00D24E61" w:rsidRPr="00771368" w:rsidRDefault="00D24E61">
      <w:pPr>
        <w:ind w:left="2280"/>
        <w:rPr>
          <w:sz w:val="20"/>
          <w:szCs w:val="20"/>
        </w:rPr>
      </w:pPr>
      <w:r w:rsidRPr="00771368">
        <w:rPr>
          <w:rFonts w:eastAsia="Arial"/>
        </w:rPr>
        <w:t>Robsão já pegou</w:t>
      </w:r>
    </w:p>
    <w:p w:rsidR="00D24E61" w:rsidRPr="00771368" w:rsidRDefault="00D24E61">
      <w:pPr>
        <w:spacing w:line="1" w:lineRule="exact"/>
        <w:rPr>
          <w:sz w:val="20"/>
          <w:szCs w:val="20"/>
        </w:rPr>
      </w:pPr>
    </w:p>
    <w:p w:rsidR="00D24E61" w:rsidRPr="00771368" w:rsidRDefault="00D24E61">
      <w:pPr>
        <w:ind w:left="2280"/>
        <w:rPr>
          <w:sz w:val="20"/>
          <w:szCs w:val="20"/>
        </w:rPr>
      </w:pPr>
      <w:r w:rsidRPr="00771368">
        <w:rPr>
          <w:rFonts w:eastAsia="Arial"/>
        </w:rPr>
        <w:t>O Galvão pegou também</w:t>
      </w:r>
    </w:p>
    <w:p w:rsidR="00D24E61" w:rsidRPr="00771368" w:rsidRDefault="00D24E61">
      <w:pPr>
        <w:spacing w:line="239" w:lineRule="auto"/>
        <w:ind w:left="2280"/>
        <w:rPr>
          <w:sz w:val="20"/>
          <w:szCs w:val="20"/>
        </w:rPr>
      </w:pPr>
      <w:r w:rsidRPr="00771368">
        <w:rPr>
          <w:rFonts w:eastAsia="Arial"/>
        </w:rPr>
        <w:t>O Jean engravidou,</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Tá esperando o seu neném</w:t>
      </w:r>
    </w:p>
    <w:p w:rsidR="00D24E61" w:rsidRPr="00771368" w:rsidRDefault="00D24E61">
      <w:pPr>
        <w:spacing w:line="239" w:lineRule="auto"/>
        <w:ind w:left="2280"/>
        <w:rPr>
          <w:sz w:val="20"/>
          <w:szCs w:val="20"/>
        </w:rPr>
      </w:pPr>
      <w:r w:rsidRPr="00771368">
        <w:rPr>
          <w:rFonts w:eastAsia="Arial"/>
        </w:rPr>
        <w:t>Netinho pegou de quatro</w:t>
      </w:r>
    </w:p>
    <w:p w:rsidR="00D24E61" w:rsidRPr="00771368" w:rsidRDefault="00D24E61">
      <w:pPr>
        <w:spacing w:line="239" w:lineRule="auto"/>
        <w:ind w:left="2280"/>
        <w:rPr>
          <w:sz w:val="20"/>
          <w:szCs w:val="20"/>
        </w:rPr>
      </w:pPr>
      <w:r w:rsidRPr="00771368">
        <w:rPr>
          <w:rFonts w:eastAsia="Arial"/>
        </w:rPr>
        <w:t>Vitinho fez frango assado</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Fabinho sem camisinha</w:t>
      </w:r>
    </w:p>
    <w:p w:rsidR="00D24E61" w:rsidRPr="00771368" w:rsidRDefault="00D24E61">
      <w:pPr>
        <w:spacing w:line="239" w:lineRule="auto"/>
        <w:ind w:left="2280"/>
        <w:rPr>
          <w:sz w:val="20"/>
          <w:szCs w:val="20"/>
        </w:rPr>
      </w:pPr>
      <w:r w:rsidRPr="00771368">
        <w:rPr>
          <w:rFonts w:eastAsia="Arial"/>
        </w:rPr>
        <w:t>Pegou uma coceirinha</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O nome dela é Marcela</w:t>
      </w:r>
    </w:p>
    <w:p w:rsidR="00D24E61" w:rsidRPr="00771368" w:rsidRDefault="00D24E61">
      <w:pPr>
        <w:spacing w:line="239" w:lineRule="auto"/>
        <w:ind w:left="2280"/>
        <w:rPr>
          <w:sz w:val="20"/>
          <w:szCs w:val="20"/>
        </w:rPr>
      </w:pPr>
      <w:r w:rsidRPr="00771368">
        <w:rPr>
          <w:rFonts w:eastAsia="Arial"/>
        </w:rPr>
        <w:t>Eu vou te dizer quem é ela</w:t>
      </w:r>
    </w:p>
    <w:p w:rsidR="00D24E61" w:rsidRPr="00771368" w:rsidRDefault="00D24E61">
      <w:pPr>
        <w:spacing w:line="239" w:lineRule="auto"/>
        <w:ind w:left="2280"/>
        <w:rPr>
          <w:sz w:val="20"/>
          <w:szCs w:val="20"/>
        </w:rPr>
      </w:pPr>
      <w:r w:rsidRPr="00771368">
        <w:rPr>
          <w:rFonts w:eastAsia="Arial"/>
        </w:rPr>
        <w:t>Eu disse</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Ela, ela, ela é uma cadela</w:t>
      </w:r>
    </w:p>
    <w:p w:rsidR="00D24E61" w:rsidRPr="00771368" w:rsidRDefault="00D24E61">
      <w:pPr>
        <w:spacing w:line="239" w:lineRule="auto"/>
        <w:ind w:left="2280"/>
        <w:rPr>
          <w:sz w:val="20"/>
          <w:szCs w:val="20"/>
        </w:rPr>
      </w:pPr>
      <w:r w:rsidRPr="00771368">
        <w:rPr>
          <w:rFonts w:eastAsia="Arial"/>
        </w:rPr>
        <w:t>Ela, ela mais ela é prima de Isabela</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Joga a patinha pra cima</w:t>
      </w:r>
    </w:p>
    <w:p w:rsidR="00D24E61" w:rsidRPr="00771368" w:rsidRDefault="00D24E61">
      <w:pPr>
        <w:spacing w:line="239" w:lineRule="auto"/>
        <w:ind w:left="2280"/>
        <w:rPr>
          <w:sz w:val="20"/>
          <w:szCs w:val="20"/>
        </w:rPr>
      </w:pPr>
      <w:r w:rsidRPr="00771368">
        <w:rPr>
          <w:rFonts w:eastAsia="Arial"/>
        </w:rPr>
        <w:t>One, Two, Three</w:t>
      </w:r>
    </w:p>
    <w:p w:rsidR="00D24E61" w:rsidRPr="00771368" w:rsidRDefault="00D24E61">
      <w:pPr>
        <w:spacing w:line="239" w:lineRule="auto"/>
        <w:ind w:left="2280"/>
        <w:rPr>
          <w:sz w:val="20"/>
          <w:szCs w:val="20"/>
        </w:rPr>
      </w:pPr>
      <w:r w:rsidRPr="00771368">
        <w:rPr>
          <w:rFonts w:eastAsia="Arial"/>
        </w:rPr>
        <w:t>Me dá, me dá patinha</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Me dá, me dá patinha</w:t>
      </w:r>
    </w:p>
    <w:p w:rsidR="00D24E61" w:rsidRPr="00771368" w:rsidRDefault="00D24E61">
      <w:pPr>
        <w:spacing w:line="239" w:lineRule="auto"/>
        <w:ind w:left="2280"/>
        <w:rPr>
          <w:sz w:val="20"/>
          <w:szCs w:val="20"/>
        </w:rPr>
      </w:pPr>
      <w:r w:rsidRPr="00771368">
        <w:rPr>
          <w:rFonts w:eastAsia="Arial"/>
        </w:rPr>
        <w:t>Me dá, me dá patinha</w:t>
      </w:r>
    </w:p>
    <w:p w:rsidR="00D24E61" w:rsidRPr="00771368" w:rsidRDefault="00D24E61">
      <w:pPr>
        <w:spacing w:line="1" w:lineRule="exact"/>
        <w:rPr>
          <w:sz w:val="20"/>
          <w:szCs w:val="20"/>
        </w:rPr>
      </w:pPr>
    </w:p>
    <w:p w:rsidR="00D24E61" w:rsidRPr="00771368" w:rsidRDefault="00D24E61">
      <w:pPr>
        <w:ind w:left="2280"/>
        <w:rPr>
          <w:sz w:val="20"/>
          <w:szCs w:val="20"/>
        </w:rPr>
      </w:pPr>
      <w:r w:rsidRPr="00771368">
        <w:rPr>
          <w:rFonts w:eastAsia="Arial"/>
        </w:rPr>
        <w:t>Me dá sua cahorrinha</w:t>
      </w:r>
    </w:p>
    <w:p w:rsidR="00D24E61" w:rsidRPr="00771368" w:rsidRDefault="00D24E61">
      <w:pPr>
        <w:spacing w:line="239" w:lineRule="auto"/>
        <w:ind w:left="2280"/>
        <w:rPr>
          <w:sz w:val="20"/>
          <w:szCs w:val="20"/>
        </w:rPr>
      </w:pPr>
      <w:r w:rsidRPr="00771368">
        <w:rPr>
          <w:rFonts w:eastAsia="Arial"/>
        </w:rPr>
        <w:t>Eu disse ela, ela, ela é uma cadela...</w:t>
      </w:r>
    </w:p>
    <w:p w:rsidR="00D24E61" w:rsidRPr="00771368" w:rsidRDefault="00D24E61">
      <w:pPr>
        <w:spacing w:line="239" w:lineRule="auto"/>
        <w:ind w:left="2280"/>
        <w:rPr>
          <w:sz w:val="20"/>
          <w:szCs w:val="20"/>
        </w:rPr>
      </w:pPr>
      <w:r w:rsidRPr="00771368">
        <w:rPr>
          <w:rFonts w:eastAsia="Arial"/>
        </w:rPr>
        <w:t>Me dá sua cahorrinha.</w:t>
      </w:r>
    </w:p>
    <w:p w:rsidR="00D24E61" w:rsidRPr="00771368" w:rsidRDefault="00D24E61">
      <w:pPr>
        <w:spacing w:line="200" w:lineRule="exact"/>
        <w:rPr>
          <w:sz w:val="20"/>
          <w:szCs w:val="20"/>
        </w:rPr>
      </w:pPr>
    </w:p>
    <w:p w:rsidR="00D24E61" w:rsidRPr="00771368" w:rsidRDefault="00D24E61">
      <w:pPr>
        <w:spacing w:line="337" w:lineRule="auto"/>
        <w:ind w:firstLine="708"/>
        <w:jc w:val="both"/>
        <w:rPr>
          <w:sz w:val="20"/>
          <w:szCs w:val="20"/>
        </w:rPr>
      </w:pPr>
      <w:r w:rsidRPr="00771368">
        <w:rPr>
          <w:rFonts w:eastAsia="Arial"/>
          <w:sz w:val="24"/>
          <w:szCs w:val="24"/>
        </w:rPr>
        <w:t>Outra imagem recorrente em relação à mulher é a de alguém interesseira, que se envolve sexualmente com o outro em troca de favores financeiros. Isso é explicitado em músicas diversas do grupo “Black Style”, a exemplo da composição</w:t>
      </w:r>
    </w:p>
    <w:p w:rsidR="00D24E61" w:rsidRPr="00771368" w:rsidRDefault="00D24E61">
      <w:pPr>
        <w:spacing w:line="28" w:lineRule="exact"/>
        <w:rPr>
          <w:sz w:val="20"/>
          <w:szCs w:val="20"/>
        </w:rPr>
      </w:pPr>
    </w:p>
    <w:p w:rsidR="00D24E61" w:rsidRPr="00771368" w:rsidRDefault="00D24E61">
      <w:pPr>
        <w:rPr>
          <w:sz w:val="20"/>
          <w:szCs w:val="20"/>
        </w:rPr>
      </w:pPr>
      <w:r w:rsidRPr="00771368">
        <w:rPr>
          <w:rFonts w:eastAsia="Arial"/>
          <w:sz w:val="24"/>
          <w:szCs w:val="24"/>
        </w:rPr>
        <w:t>“Dinheiro é Bom”, cujo conteúdo deixa claro essa visão:</w:t>
      </w:r>
    </w:p>
    <w:p w:rsidR="00D24E61" w:rsidRPr="00771368" w:rsidRDefault="00D24E61">
      <w:pPr>
        <w:spacing w:line="200" w:lineRule="exact"/>
        <w:rPr>
          <w:sz w:val="20"/>
          <w:szCs w:val="20"/>
        </w:rPr>
      </w:pPr>
    </w:p>
    <w:p w:rsidR="00D24E61" w:rsidRPr="00771368" w:rsidRDefault="00D24E61">
      <w:pPr>
        <w:spacing w:line="239" w:lineRule="auto"/>
        <w:ind w:left="2280"/>
        <w:rPr>
          <w:sz w:val="20"/>
          <w:szCs w:val="20"/>
        </w:rPr>
      </w:pPr>
      <w:r w:rsidRPr="00771368">
        <w:rPr>
          <w:rFonts w:eastAsia="Arial"/>
        </w:rPr>
        <w:t>A mulherada sempre diz que te ama</w:t>
      </w:r>
    </w:p>
    <w:p w:rsidR="00D24E61" w:rsidRPr="00771368" w:rsidRDefault="00D24E61">
      <w:pPr>
        <w:spacing w:line="2" w:lineRule="exact"/>
        <w:rPr>
          <w:sz w:val="20"/>
          <w:szCs w:val="20"/>
        </w:rPr>
      </w:pPr>
    </w:p>
    <w:p w:rsidR="00D24E61" w:rsidRPr="00771368" w:rsidRDefault="00D24E61">
      <w:pPr>
        <w:spacing w:line="239" w:lineRule="auto"/>
        <w:ind w:left="2280"/>
        <w:rPr>
          <w:sz w:val="20"/>
          <w:szCs w:val="20"/>
        </w:rPr>
      </w:pPr>
      <w:r w:rsidRPr="00771368">
        <w:rPr>
          <w:rFonts w:eastAsia="Arial"/>
        </w:rPr>
        <w:t>Que está apaixonada e quer dar o coração</w:t>
      </w:r>
    </w:p>
    <w:p w:rsidR="00D24E61" w:rsidRPr="00771368" w:rsidRDefault="00D24E61">
      <w:pPr>
        <w:spacing w:line="239" w:lineRule="auto"/>
        <w:ind w:left="2280"/>
        <w:rPr>
          <w:sz w:val="20"/>
          <w:szCs w:val="20"/>
        </w:rPr>
      </w:pPr>
      <w:r w:rsidRPr="00771368">
        <w:rPr>
          <w:rFonts w:eastAsia="Arial"/>
        </w:rPr>
        <w:t>Tome cuidado com a mulher bandida</w:t>
      </w:r>
    </w:p>
    <w:p w:rsidR="00D24E61" w:rsidRPr="00771368" w:rsidRDefault="00D24E61">
      <w:pPr>
        <w:spacing w:line="239" w:lineRule="auto"/>
        <w:ind w:left="2280"/>
        <w:rPr>
          <w:sz w:val="20"/>
          <w:szCs w:val="20"/>
        </w:rPr>
      </w:pPr>
      <w:r w:rsidRPr="00771368">
        <w:rPr>
          <w:rFonts w:eastAsia="Arial"/>
        </w:rPr>
        <w:t>Já quer engravidar já de olho na pensão...</w:t>
      </w:r>
    </w:p>
    <w:p w:rsidR="00D24E61" w:rsidRPr="00771368" w:rsidRDefault="00D24E61">
      <w:pPr>
        <w:spacing w:line="200" w:lineRule="exact"/>
        <w:rPr>
          <w:sz w:val="20"/>
          <w:szCs w:val="20"/>
        </w:rPr>
      </w:pPr>
    </w:p>
    <w:p w:rsidR="00D24E61" w:rsidRPr="00771368" w:rsidRDefault="00D24E61">
      <w:pPr>
        <w:spacing w:line="344" w:lineRule="auto"/>
        <w:ind w:firstLine="708"/>
        <w:jc w:val="both"/>
        <w:rPr>
          <w:sz w:val="20"/>
          <w:szCs w:val="20"/>
        </w:rPr>
      </w:pPr>
      <w:r w:rsidRPr="00771368">
        <w:rPr>
          <w:rFonts w:eastAsia="Arial"/>
          <w:sz w:val="24"/>
          <w:szCs w:val="24"/>
        </w:rPr>
        <w:t>A expressão “mulher bandida” e o termo “pensão” aludem ao caráter interesseiro feminino e demonstram o tratamento dispensado às mulheres em grande parte das letras analisadas. Vejamos mais um desses casos explicitado na canção “Nóis é patrão” em que o sexo feminino é julgado como oportunista:</w:t>
      </w:r>
    </w:p>
    <w:p w:rsidR="00D24E61" w:rsidRPr="00771368" w:rsidRDefault="00D24E61">
      <w:pPr>
        <w:spacing w:line="200" w:lineRule="exact"/>
        <w:rPr>
          <w:sz w:val="20"/>
          <w:szCs w:val="20"/>
        </w:rPr>
      </w:pPr>
    </w:p>
    <w:p w:rsidR="00D24E61" w:rsidRPr="00771368" w:rsidRDefault="00D24E61">
      <w:pPr>
        <w:ind w:left="2280"/>
        <w:rPr>
          <w:sz w:val="20"/>
          <w:szCs w:val="20"/>
        </w:rPr>
      </w:pPr>
      <w:r w:rsidRPr="00771368">
        <w:rPr>
          <w:rFonts w:eastAsia="Arial"/>
        </w:rPr>
        <w:t>Corrente de ouro,</w:t>
      </w:r>
    </w:p>
    <w:p w:rsidR="00D24E61" w:rsidRPr="00771368" w:rsidRDefault="00D24E61">
      <w:pPr>
        <w:spacing w:line="239" w:lineRule="auto"/>
        <w:ind w:left="2280"/>
        <w:rPr>
          <w:sz w:val="20"/>
          <w:szCs w:val="20"/>
        </w:rPr>
      </w:pPr>
      <w:r w:rsidRPr="00771368">
        <w:rPr>
          <w:rFonts w:eastAsia="Arial"/>
        </w:rPr>
        <w:t>Relógio importado no braço</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Com a grana na mão, lá vem o patrão</w:t>
      </w:r>
    </w:p>
    <w:p w:rsidR="00D24E61" w:rsidRPr="00771368" w:rsidRDefault="00D24E61">
      <w:pPr>
        <w:spacing w:line="239" w:lineRule="auto"/>
        <w:ind w:left="2280"/>
        <w:rPr>
          <w:sz w:val="20"/>
          <w:szCs w:val="20"/>
        </w:rPr>
      </w:pPr>
      <w:r w:rsidRPr="00771368">
        <w:rPr>
          <w:rFonts w:eastAsia="Arial"/>
        </w:rPr>
        <w:t>Uma barca pra dar um rolé,</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Abre o teto solar, ê,ê,ê,ê</w:t>
      </w:r>
    </w:p>
    <w:p w:rsidR="00D24E61" w:rsidRPr="00771368" w:rsidRDefault="00D24E61">
      <w:pPr>
        <w:spacing w:line="239" w:lineRule="auto"/>
        <w:ind w:left="2280"/>
        <w:rPr>
          <w:sz w:val="20"/>
          <w:szCs w:val="20"/>
        </w:rPr>
      </w:pPr>
      <w:r w:rsidRPr="00771368">
        <w:rPr>
          <w:rFonts w:eastAsia="Arial"/>
        </w:rPr>
        <w:t>Só vai dar eu e ela</w:t>
      </w:r>
    </w:p>
    <w:p w:rsidR="00D24E61" w:rsidRPr="00771368" w:rsidRDefault="00D24E61">
      <w:pPr>
        <w:spacing w:line="239" w:lineRule="auto"/>
        <w:ind w:left="2280"/>
        <w:rPr>
          <w:sz w:val="20"/>
          <w:szCs w:val="20"/>
        </w:rPr>
      </w:pPr>
      <w:r w:rsidRPr="00771368">
        <w:rPr>
          <w:rFonts w:eastAsia="Arial"/>
        </w:rPr>
        <w:t>Ela quer blusa da Armani e bolsa da Louis Vuitton</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Ela dá pra nóis que nóis é patrão,</w:t>
      </w:r>
    </w:p>
    <w:p w:rsidR="00D24E61" w:rsidRPr="00771368" w:rsidRDefault="00D24E61">
      <w:pPr>
        <w:spacing w:line="239" w:lineRule="auto"/>
        <w:ind w:left="2280"/>
        <w:rPr>
          <w:sz w:val="20"/>
          <w:szCs w:val="20"/>
        </w:rPr>
      </w:pPr>
      <w:r w:rsidRPr="00771368">
        <w:rPr>
          <w:rFonts w:eastAsia="Arial"/>
        </w:rPr>
        <w:t>Ela dá pra nóis que nóis é patrão,</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Ela dá pra nóis que nóis é patrão,</w:t>
      </w:r>
    </w:p>
    <w:p w:rsidR="00D24E61" w:rsidRPr="00771368" w:rsidRDefault="00D24E61">
      <w:pPr>
        <w:spacing w:line="239" w:lineRule="auto"/>
        <w:ind w:left="2280"/>
        <w:rPr>
          <w:sz w:val="20"/>
          <w:szCs w:val="20"/>
        </w:rPr>
      </w:pPr>
      <w:r w:rsidRPr="00771368">
        <w:rPr>
          <w:rFonts w:eastAsia="Arial"/>
        </w:rPr>
        <w:t>Olha a contravenção</w:t>
      </w:r>
    </w:p>
    <w:p w:rsidR="00D24E61" w:rsidRPr="00771368" w:rsidRDefault="00D24E61">
      <w:pPr>
        <w:spacing w:line="239" w:lineRule="auto"/>
        <w:ind w:left="2280"/>
        <w:rPr>
          <w:sz w:val="20"/>
          <w:szCs w:val="20"/>
        </w:rPr>
      </w:pPr>
      <w:r w:rsidRPr="00771368">
        <w:rPr>
          <w:rFonts w:eastAsia="Arial"/>
        </w:rPr>
        <w:t>Não, pro secretário não</w:t>
      </w:r>
    </w:p>
    <w:p w:rsidR="00D24E61" w:rsidRPr="00771368" w:rsidRDefault="00D24E61">
      <w:pPr>
        <w:spacing w:line="2" w:lineRule="exact"/>
        <w:rPr>
          <w:sz w:val="20"/>
          <w:szCs w:val="20"/>
        </w:rPr>
      </w:pPr>
    </w:p>
    <w:p w:rsidR="00D24E61" w:rsidRPr="00771368" w:rsidRDefault="00D24E61">
      <w:pPr>
        <w:ind w:left="2280"/>
        <w:rPr>
          <w:sz w:val="20"/>
          <w:szCs w:val="20"/>
        </w:rPr>
      </w:pPr>
      <w:r w:rsidRPr="00771368">
        <w:rPr>
          <w:rFonts w:eastAsia="Arial"/>
        </w:rPr>
        <w:t>Não, ela só dá pro patrão.</w:t>
      </w:r>
    </w:p>
    <w:p w:rsidR="00D24E61" w:rsidRPr="00771368" w:rsidRDefault="00D24E61">
      <w:pPr>
        <w:spacing w:line="200" w:lineRule="exact"/>
        <w:rPr>
          <w:sz w:val="20"/>
          <w:szCs w:val="20"/>
        </w:rPr>
      </w:pPr>
    </w:p>
    <w:p w:rsidR="00D24E61" w:rsidRPr="00771368" w:rsidRDefault="00D24E61">
      <w:pPr>
        <w:spacing w:line="334" w:lineRule="exact"/>
        <w:rPr>
          <w:sz w:val="20"/>
          <w:szCs w:val="20"/>
        </w:rPr>
      </w:pPr>
    </w:p>
    <w:p w:rsidR="00D24E61" w:rsidRPr="00771368" w:rsidRDefault="00D24E61" w:rsidP="00F14BAD">
      <w:pPr>
        <w:ind w:left="720"/>
        <w:jc w:val="both"/>
        <w:rPr>
          <w:sz w:val="20"/>
          <w:szCs w:val="20"/>
        </w:rPr>
      </w:pPr>
      <w:r w:rsidRPr="00771368">
        <w:rPr>
          <w:rFonts w:eastAsia="Arial"/>
          <w:sz w:val="24"/>
          <w:szCs w:val="24"/>
        </w:rPr>
        <w:t>A falta de caráter feminino também é ressaltada em outra música denominada</w:t>
      </w:r>
    </w:p>
    <w:p w:rsidR="00D24E61" w:rsidRPr="00771368" w:rsidRDefault="00D24E61" w:rsidP="00F14BAD">
      <w:pPr>
        <w:spacing w:line="188" w:lineRule="exact"/>
        <w:jc w:val="both"/>
        <w:rPr>
          <w:sz w:val="20"/>
          <w:szCs w:val="20"/>
        </w:rPr>
      </w:pPr>
    </w:p>
    <w:p w:rsidR="00D24E61" w:rsidRPr="00771368" w:rsidRDefault="00D24E61" w:rsidP="00F14BAD">
      <w:pPr>
        <w:spacing w:line="351" w:lineRule="auto"/>
        <w:jc w:val="both"/>
        <w:rPr>
          <w:sz w:val="20"/>
          <w:szCs w:val="20"/>
        </w:rPr>
      </w:pPr>
      <w:r w:rsidRPr="00771368">
        <w:rPr>
          <w:rFonts w:eastAsia="Arial"/>
          <w:sz w:val="24"/>
          <w:szCs w:val="24"/>
        </w:rPr>
        <w:t>“Não te quero mais”, na qual se acrescenta a expressão “piriguetona”, variação de “piriguete”, termo pejorativo que remete, segundo Nascimento (2008): “às representações da mulher fácil, disponível, a ninfomaníaca dominada pelos desejos desenfreados, a bacante, a mulher poderosa pelos seus atributos sedutores etc.”. A ideia de mulher aproveitadora também é reforçada na passagem que a apresenta interessada no “carrão” do homem.</w:t>
      </w:r>
    </w:p>
    <w:p w:rsidR="00D24E61" w:rsidRPr="00771368" w:rsidRDefault="00D24E61" w:rsidP="00F14BAD">
      <w:pPr>
        <w:jc w:val="both"/>
        <w:sectPr w:rsidR="00D24E61" w:rsidRPr="00771368">
          <w:pgSz w:w="11900" w:h="16838"/>
          <w:pgMar w:top="699" w:right="1120" w:bottom="994" w:left="1700" w:header="0" w:footer="0" w:gutter="0"/>
          <w:cols w:space="720" w:equalWidth="0">
            <w:col w:w="9080"/>
          </w:cols>
        </w:sectPr>
      </w:pPr>
    </w:p>
    <w:p w:rsidR="00D24E61" w:rsidRPr="00771368" w:rsidRDefault="00D24E61">
      <w:pPr>
        <w:spacing w:line="272" w:lineRule="exact"/>
        <w:rPr>
          <w:sz w:val="20"/>
          <w:szCs w:val="20"/>
        </w:rPr>
      </w:pPr>
    </w:p>
    <w:p w:rsidR="00D24E61" w:rsidRPr="00BA3BAC" w:rsidRDefault="00D24E61" w:rsidP="00BA3BAC">
      <w:pPr>
        <w:spacing w:line="225" w:lineRule="auto"/>
        <w:rPr>
          <w:rFonts w:eastAsia="Arial"/>
          <w:szCs w:val="20"/>
        </w:rPr>
      </w:pPr>
      <w:r w:rsidRPr="00BA3BAC">
        <w:rPr>
          <w:rFonts w:eastAsia="Arial"/>
          <w:szCs w:val="20"/>
        </w:rPr>
        <w:t>Andava de buzú Você nunca m</w:t>
      </w:r>
      <w:r w:rsidR="00BA3BAC" w:rsidRPr="00BA3BAC">
        <w:rPr>
          <w:rFonts w:eastAsia="Arial"/>
          <w:szCs w:val="20"/>
        </w:rPr>
        <w:t>e olhou Louco por você</w:t>
      </w:r>
    </w:p>
    <w:p w:rsidR="00BA3BAC" w:rsidRPr="00BA3BAC" w:rsidRDefault="00BA3BAC" w:rsidP="00BA3BAC">
      <w:pPr>
        <w:spacing w:line="225" w:lineRule="auto"/>
        <w:rPr>
          <w:szCs w:val="20"/>
        </w:rPr>
      </w:pPr>
      <w:r w:rsidRPr="00BA3BAC">
        <w:rPr>
          <w:szCs w:val="20"/>
        </w:rPr>
        <w:t>Você me rejeitou</w:t>
      </w:r>
    </w:p>
    <w:p w:rsidR="00BA3BAC" w:rsidRPr="00BA3BAC" w:rsidRDefault="00BA3BAC" w:rsidP="00BA3BAC">
      <w:pPr>
        <w:spacing w:line="225" w:lineRule="auto"/>
        <w:rPr>
          <w:szCs w:val="20"/>
        </w:rPr>
      </w:pPr>
      <w:r w:rsidRPr="00BA3BAC">
        <w:rPr>
          <w:szCs w:val="20"/>
        </w:rPr>
        <w:t>Comprei o meu carrão</w:t>
      </w:r>
    </w:p>
    <w:p w:rsidR="00BA3BAC" w:rsidRPr="00BA3BAC" w:rsidRDefault="00BA3BAC" w:rsidP="00BA3BAC">
      <w:pPr>
        <w:spacing w:line="225" w:lineRule="auto"/>
        <w:rPr>
          <w:szCs w:val="20"/>
        </w:rPr>
      </w:pPr>
      <w:r w:rsidRPr="00BA3BAC">
        <w:rPr>
          <w:szCs w:val="20"/>
        </w:rPr>
        <w:t>Você abriu o sorrisão</w:t>
      </w:r>
    </w:p>
    <w:p w:rsidR="00BA3BAC" w:rsidRPr="00BA3BAC" w:rsidRDefault="00BA3BAC" w:rsidP="00BA3BAC">
      <w:pPr>
        <w:spacing w:line="225" w:lineRule="auto"/>
        <w:rPr>
          <w:szCs w:val="20"/>
        </w:rPr>
      </w:pPr>
      <w:r w:rsidRPr="00BA3BAC">
        <w:rPr>
          <w:szCs w:val="20"/>
        </w:rPr>
        <w:t>E agora pra você</w:t>
      </w:r>
    </w:p>
    <w:p w:rsidR="00BA3BAC" w:rsidRPr="00BA3BAC" w:rsidRDefault="00BA3BAC" w:rsidP="00BA3BAC">
      <w:pPr>
        <w:spacing w:line="225" w:lineRule="auto"/>
        <w:rPr>
          <w:szCs w:val="20"/>
        </w:rPr>
      </w:pPr>
      <w:r w:rsidRPr="00BA3BAC">
        <w:rPr>
          <w:szCs w:val="20"/>
        </w:rPr>
        <w:t>Eu canto essa canção</w:t>
      </w:r>
    </w:p>
    <w:p w:rsidR="00BA3BAC" w:rsidRPr="00BA3BAC" w:rsidRDefault="00BA3BAC" w:rsidP="00BA3BAC">
      <w:pPr>
        <w:spacing w:line="225" w:lineRule="auto"/>
        <w:rPr>
          <w:szCs w:val="20"/>
        </w:rPr>
      </w:pPr>
      <w:r w:rsidRPr="00BA3BAC">
        <w:rPr>
          <w:szCs w:val="20"/>
        </w:rPr>
        <w:t>Eu não te quero mais</w:t>
      </w:r>
    </w:p>
    <w:p w:rsidR="00BA3BAC" w:rsidRPr="00BA3BAC" w:rsidRDefault="00BA3BAC" w:rsidP="00BA3BAC">
      <w:pPr>
        <w:spacing w:line="225" w:lineRule="auto"/>
        <w:rPr>
          <w:szCs w:val="20"/>
        </w:rPr>
      </w:pPr>
      <w:r w:rsidRPr="00BA3BAC">
        <w:rPr>
          <w:szCs w:val="20"/>
        </w:rPr>
        <w:t>Sai daqui periguetona</w:t>
      </w:r>
    </w:p>
    <w:p w:rsidR="00BA3BAC" w:rsidRPr="00BA3BAC" w:rsidRDefault="00BA3BAC" w:rsidP="00BA3BAC">
      <w:pPr>
        <w:spacing w:line="225" w:lineRule="auto"/>
        <w:rPr>
          <w:szCs w:val="20"/>
        </w:rPr>
      </w:pPr>
      <w:r w:rsidRPr="00BA3BAC">
        <w:rPr>
          <w:szCs w:val="20"/>
        </w:rPr>
        <w:t>Eu não te quero mais</w:t>
      </w:r>
    </w:p>
    <w:p w:rsidR="00BA3BAC" w:rsidRDefault="00BA3BAC" w:rsidP="00BA3BAC">
      <w:pPr>
        <w:spacing w:line="225" w:lineRule="auto"/>
        <w:rPr>
          <w:szCs w:val="20"/>
        </w:rPr>
      </w:pPr>
      <w:r w:rsidRPr="00BA3BAC">
        <w:rPr>
          <w:szCs w:val="20"/>
        </w:rPr>
        <w:t>Sai daqui periguetona....</w:t>
      </w:r>
    </w:p>
    <w:p w:rsidR="00F14BAD" w:rsidRDefault="00F14BAD" w:rsidP="00BA3BAC">
      <w:pPr>
        <w:spacing w:line="225" w:lineRule="auto"/>
        <w:rPr>
          <w:szCs w:val="20"/>
        </w:rPr>
      </w:pPr>
    </w:p>
    <w:p w:rsidR="00F14BAD" w:rsidRPr="00F14BAD" w:rsidRDefault="00F14BAD" w:rsidP="00F14BAD">
      <w:pPr>
        <w:spacing w:line="360" w:lineRule="auto"/>
        <w:ind w:left="-2268" w:right="-4684" w:firstLine="828"/>
        <w:rPr>
          <w:sz w:val="24"/>
          <w:szCs w:val="24"/>
        </w:rPr>
      </w:pPr>
      <w:r w:rsidRPr="00F14BAD">
        <w:rPr>
          <w:sz w:val="24"/>
          <w:szCs w:val="24"/>
        </w:rPr>
        <w:t>Numa total afronta ao seu perfil moral, tem-se ainda nesse contexto a infidelidade feminina que também é posta em relevo nas letras de canções do grupo em questão. As mulheres são retratadas como traidoras e responsáveis pela sedução do sexo oposto, que se vê encurralado e torna-se cúmplice do ato feminino.</w:t>
      </w:r>
    </w:p>
    <w:p w:rsidR="00F14BAD" w:rsidRPr="00F14BAD" w:rsidRDefault="00F14BAD" w:rsidP="00F14BAD">
      <w:pPr>
        <w:spacing w:line="360" w:lineRule="auto"/>
        <w:ind w:left="-2268" w:right="-4684"/>
        <w:rPr>
          <w:sz w:val="24"/>
          <w:szCs w:val="24"/>
        </w:rPr>
      </w:pPr>
      <w:r w:rsidRPr="00F14BAD">
        <w:rPr>
          <w:sz w:val="24"/>
          <w:szCs w:val="24"/>
        </w:rPr>
        <w:t>Assim é o caso da canção “Vaco Vuco”:</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Você marcou comigo pra sair</w:t>
      </w:r>
    </w:p>
    <w:p w:rsidR="00F14BAD" w:rsidRPr="00F14BAD" w:rsidRDefault="00F14BAD" w:rsidP="00F14BAD">
      <w:pPr>
        <w:spacing w:line="225" w:lineRule="auto"/>
        <w:rPr>
          <w:szCs w:val="20"/>
        </w:rPr>
      </w:pPr>
      <w:r w:rsidRPr="00F14BAD">
        <w:rPr>
          <w:szCs w:val="20"/>
        </w:rPr>
        <w:t>Mas já pensou se o outro descobrir</w:t>
      </w:r>
    </w:p>
    <w:p w:rsidR="00F14BAD" w:rsidRPr="00F14BAD" w:rsidRDefault="00F14BAD" w:rsidP="00F14BAD">
      <w:pPr>
        <w:spacing w:line="225" w:lineRule="auto"/>
        <w:rPr>
          <w:szCs w:val="20"/>
        </w:rPr>
      </w:pPr>
      <w:r w:rsidRPr="00F14BAD">
        <w:rPr>
          <w:szCs w:val="20"/>
        </w:rPr>
        <w:t>Ele tem uma fama de ser valentão</w:t>
      </w:r>
    </w:p>
    <w:p w:rsidR="00F14BAD" w:rsidRPr="00F14BAD" w:rsidRDefault="00F14BAD" w:rsidP="00F14BAD">
      <w:pPr>
        <w:spacing w:line="225" w:lineRule="auto"/>
        <w:rPr>
          <w:szCs w:val="20"/>
        </w:rPr>
      </w:pPr>
      <w:r w:rsidRPr="00F14BAD">
        <w:rPr>
          <w:szCs w:val="20"/>
        </w:rPr>
        <w:t>Mas não sabe que a gente se pega</w:t>
      </w:r>
    </w:p>
    <w:p w:rsidR="00F14BAD" w:rsidRPr="00F14BAD" w:rsidRDefault="00F14BAD" w:rsidP="00F14BAD">
      <w:pPr>
        <w:spacing w:line="225" w:lineRule="auto"/>
        <w:rPr>
          <w:szCs w:val="20"/>
        </w:rPr>
      </w:pPr>
      <w:r w:rsidRPr="00F14BAD">
        <w:rPr>
          <w:szCs w:val="20"/>
        </w:rPr>
        <w:t>Todo dia, toda hora nega você escorrega</w:t>
      </w:r>
    </w:p>
    <w:p w:rsidR="00F14BAD" w:rsidRPr="00F14BAD" w:rsidRDefault="00F14BAD" w:rsidP="00F14BAD">
      <w:pPr>
        <w:spacing w:line="225" w:lineRule="auto"/>
        <w:rPr>
          <w:szCs w:val="20"/>
        </w:rPr>
      </w:pPr>
      <w:r w:rsidRPr="00F14BAD">
        <w:rPr>
          <w:szCs w:val="20"/>
        </w:rPr>
        <w:t>Caia por cima de mim me deixa sem defesa</w:t>
      </w:r>
    </w:p>
    <w:p w:rsidR="00F14BAD" w:rsidRPr="00F14BAD" w:rsidRDefault="00F14BAD" w:rsidP="00F14BAD">
      <w:pPr>
        <w:spacing w:line="225" w:lineRule="auto"/>
        <w:rPr>
          <w:szCs w:val="20"/>
        </w:rPr>
      </w:pPr>
      <w:r w:rsidRPr="00F14BAD">
        <w:rPr>
          <w:szCs w:val="20"/>
        </w:rPr>
        <w:t>Quando o gato não tá o que é que tem?</w:t>
      </w:r>
    </w:p>
    <w:p w:rsidR="00F14BAD" w:rsidRPr="00F14BAD" w:rsidRDefault="00F14BAD" w:rsidP="00F14BAD">
      <w:pPr>
        <w:spacing w:line="225" w:lineRule="auto"/>
        <w:rPr>
          <w:szCs w:val="20"/>
        </w:rPr>
      </w:pPr>
      <w:r w:rsidRPr="00F14BAD">
        <w:rPr>
          <w:szCs w:val="20"/>
        </w:rPr>
        <w:t>O rato passeia na mesa</w:t>
      </w:r>
    </w:p>
    <w:p w:rsidR="00F14BAD" w:rsidRPr="00F14BAD" w:rsidRDefault="00F14BAD" w:rsidP="00F14BAD">
      <w:pPr>
        <w:spacing w:line="225" w:lineRule="auto"/>
        <w:rPr>
          <w:szCs w:val="20"/>
        </w:rPr>
      </w:pPr>
      <w:r w:rsidRPr="00F14BAD">
        <w:rPr>
          <w:szCs w:val="20"/>
        </w:rPr>
        <w:t>Não perde tempo amor</w:t>
      </w:r>
    </w:p>
    <w:p w:rsidR="00F14BAD" w:rsidRPr="00F14BAD" w:rsidRDefault="00F14BAD" w:rsidP="00F14BAD">
      <w:pPr>
        <w:spacing w:line="225" w:lineRule="auto"/>
        <w:rPr>
          <w:szCs w:val="20"/>
        </w:rPr>
      </w:pPr>
      <w:r w:rsidRPr="00F14BAD">
        <w:rPr>
          <w:szCs w:val="20"/>
        </w:rPr>
        <w:t>Vamos fazer...</w:t>
      </w:r>
    </w:p>
    <w:p w:rsidR="00F14BAD" w:rsidRPr="00F14BAD" w:rsidRDefault="00F14BAD" w:rsidP="00F14BAD">
      <w:pPr>
        <w:spacing w:line="225" w:lineRule="auto"/>
        <w:rPr>
          <w:szCs w:val="20"/>
        </w:rPr>
      </w:pPr>
      <w:r w:rsidRPr="00F14BAD">
        <w:rPr>
          <w:szCs w:val="20"/>
        </w:rPr>
        <w:t>Vaco, vuco</w:t>
      </w:r>
    </w:p>
    <w:p w:rsidR="00F14BAD" w:rsidRPr="00F14BAD" w:rsidRDefault="00F14BAD" w:rsidP="00F14BAD">
      <w:pPr>
        <w:spacing w:line="225" w:lineRule="auto"/>
        <w:rPr>
          <w:szCs w:val="20"/>
        </w:rPr>
      </w:pPr>
      <w:r w:rsidRPr="00F14BAD">
        <w:rPr>
          <w:szCs w:val="20"/>
        </w:rPr>
        <w:t>Vaco, vuco</w:t>
      </w:r>
    </w:p>
    <w:p w:rsidR="00F14BAD" w:rsidRPr="00F14BAD" w:rsidRDefault="00F14BAD" w:rsidP="00F14BAD">
      <w:pPr>
        <w:spacing w:line="225" w:lineRule="auto"/>
        <w:rPr>
          <w:szCs w:val="20"/>
        </w:rPr>
      </w:pPr>
      <w:r w:rsidRPr="00F14BAD">
        <w:rPr>
          <w:szCs w:val="20"/>
        </w:rPr>
        <w:t>Vaco, vuco</w:t>
      </w:r>
    </w:p>
    <w:p w:rsidR="00F14BAD" w:rsidRPr="00F14BAD" w:rsidRDefault="00F14BAD" w:rsidP="00F14BAD">
      <w:pPr>
        <w:spacing w:line="225" w:lineRule="auto"/>
        <w:rPr>
          <w:szCs w:val="20"/>
        </w:rPr>
      </w:pPr>
      <w:r w:rsidRPr="00F14BAD">
        <w:rPr>
          <w:szCs w:val="20"/>
        </w:rPr>
        <w:t>Nega me deixa maluco</w:t>
      </w:r>
    </w:p>
    <w:p w:rsidR="00F14BAD" w:rsidRPr="00F14BAD" w:rsidRDefault="00F14BAD" w:rsidP="00F14BAD">
      <w:pPr>
        <w:spacing w:line="225" w:lineRule="auto"/>
        <w:rPr>
          <w:szCs w:val="20"/>
        </w:rPr>
      </w:pPr>
      <w:r w:rsidRPr="00F14BAD">
        <w:rPr>
          <w:szCs w:val="20"/>
        </w:rPr>
        <w:t>Nega me deixa maluco</w:t>
      </w:r>
    </w:p>
    <w:p w:rsidR="00F14BAD" w:rsidRPr="00F14BAD" w:rsidRDefault="00F14BAD" w:rsidP="00F14BAD">
      <w:pPr>
        <w:spacing w:line="225" w:lineRule="auto"/>
        <w:rPr>
          <w:szCs w:val="20"/>
        </w:rPr>
      </w:pPr>
      <w:r w:rsidRPr="00F14BAD">
        <w:rPr>
          <w:szCs w:val="20"/>
        </w:rPr>
        <w:t>Nega me deixa maluco</w:t>
      </w:r>
    </w:p>
    <w:p w:rsidR="00F14BAD" w:rsidRPr="00F14BAD" w:rsidRDefault="00F14BAD" w:rsidP="00F14BAD">
      <w:pPr>
        <w:spacing w:line="225" w:lineRule="auto"/>
        <w:rPr>
          <w:szCs w:val="20"/>
        </w:rPr>
      </w:pPr>
      <w:r w:rsidRPr="00F14BAD">
        <w:rPr>
          <w:szCs w:val="20"/>
        </w:rPr>
        <w:t>Pro lance não acabar vou te pedir:</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Abafe, abafe, abafe o caso</w:t>
      </w:r>
    </w:p>
    <w:p w:rsidR="00F14BAD" w:rsidRDefault="00F14BAD" w:rsidP="00F14BAD">
      <w:pPr>
        <w:spacing w:line="225" w:lineRule="auto"/>
        <w:rPr>
          <w:szCs w:val="20"/>
        </w:rPr>
      </w:pPr>
      <w:r w:rsidRPr="00F14BAD">
        <w:rPr>
          <w:szCs w:val="20"/>
        </w:rPr>
        <w:t>Então abafe, abafe o caso.</w:t>
      </w:r>
    </w:p>
    <w:p w:rsidR="00F14BAD" w:rsidRDefault="00F14BAD" w:rsidP="00BA3BAC">
      <w:pPr>
        <w:spacing w:line="225" w:lineRule="auto"/>
        <w:rPr>
          <w:szCs w:val="20"/>
        </w:rPr>
      </w:pPr>
    </w:p>
    <w:p w:rsidR="00F14BAD" w:rsidRPr="00F14BAD" w:rsidRDefault="00F14BAD" w:rsidP="00F14BAD">
      <w:pPr>
        <w:spacing w:line="360" w:lineRule="auto"/>
        <w:ind w:left="-2268" w:right="-4683"/>
        <w:jc w:val="both"/>
        <w:rPr>
          <w:sz w:val="24"/>
          <w:szCs w:val="20"/>
        </w:rPr>
      </w:pPr>
      <w:r w:rsidRPr="00F14BAD">
        <w:rPr>
          <w:sz w:val="24"/>
          <w:szCs w:val="20"/>
        </w:rPr>
        <w:t>Seja pelas suas vestimentas ou por seus hábitos, a mulher é constantemente caracterizada como a sedutora irresistível, é sempre a responsável pelo despertar do desejo sexual masculino, questão notória em diversas músicas, como em</w:t>
      </w:r>
    </w:p>
    <w:p w:rsidR="00F14BAD" w:rsidRPr="00F14BAD" w:rsidRDefault="00F14BAD" w:rsidP="00F14BAD">
      <w:pPr>
        <w:spacing w:line="360" w:lineRule="auto"/>
        <w:ind w:left="-2268" w:right="-4683"/>
        <w:jc w:val="both"/>
        <w:rPr>
          <w:sz w:val="24"/>
          <w:szCs w:val="20"/>
        </w:rPr>
      </w:pPr>
      <w:r w:rsidRPr="00F14BAD">
        <w:rPr>
          <w:sz w:val="24"/>
          <w:szCs w:val="20"/>
        </w:rPr>
        <w:t>“Flexionando”, por exemplo:</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Vai pra academia</w:t>
      </w:r>
    </w:p>
    <w:p w:rsidR="00F14BAD" w:rsidRPr="00F14BAD" w:rsidRDefault="00F14BAD" w:rsidP="00F14BAD">
      <w:pPr>
        <w:spacing w:line="225" w:lineRule="auto"/>
        <w:rPr>
          <w:szCs w:val="20"/>
        </w:rPr>
      </w:pPr>
      <w:r w:rsidRPr="00F14BAD">
        <w:rPr>
          <w:szCs w:val="20"/>
        </w:rPr>
        <w:t>Com o seu shortinho</w:t>
      </w:r>
    </w:p>
    <w:p w:rsidR="00F14BAD" w:rsidRPr="00F14BAD" w:rsidRDefault="00F14BAD" w:rsidP="00F14BAD">
      <w:pPr>
        <w:spacing w:line="225" w:lineRule="auto"/>
        <w:rPr>
          <w:szCs w:val="20"/>
        </w:rPr>
      </w:pPr>
      <w:r w:rsidRPr="00F14BAD">
        <w:rPr>
          <w:szCs w:val="20"/>
        </w:rPr>
        <w:t>Toda apertadinha</w:t>
      </w:r>
    </w:p>
    <w:p w:rsidR="00F14BAD" w:rsidRDefault="00F14BAD" w:rsidP="00F14BAD">
      <w:pPr>
        <w:spacing w:line="225" w:lineRule="auto"/>
        <w:rPr>
          <w:szCs w:val="20"/>
        </w:rPr>
      </w:pPr>
      <w:r w:rsidRPr="00F14BAD">
        <w:rPr>
          <w:szCs w:val="20"/>
        </w:rPr>
        <w:t>Os homens ficam maluquinhos...</w:t>
      </w:r>
    </w:p>
    <w:p w:rsidR="00F14BAD" w:rsidRDefault="00F14BAD" w:rsidP="00F14BAD">
      <w:pPr>
        <w:spacing w:line="225" w:lineRule="auto"/>
        <w:rPr>
          <w:szCs w:val="20"/>
        </w:rPr>
      </w:pPr>
    </w:p>
    <w:p w:rsidR="00F14BAD" w:rsidRPr="00F14BAD" w:rsidRDefault="00F14BAD" w:rsidP="00B51DEA">
      <w:pPr>
        <w:spacing w:line="360" w:lineRule="auto"/>
        <w:ind w:left="-2268" w:right="-4684" w:firstLine="828"/>
        <w:jc w:val="both"/>
        <w:rPr>
          <w:sz w:val="24"/>
          <w:szCs w:val="20"/>
        </w:rPr>
      </w:pPr>
      <w:r w:rsidRPr="00F14BAD">
        <w:rPr>
          <w:sz w:val="24"/>
          <w:szCs w:val="20"/>
        </w:rPr>
        <w:t>A mesma descrição da mulher sexualizada e vestida visivelmente para seduzir os olhos masculinos pode ser observada também nesta outra canção, intitulada “Perereca”:</w:t>
      </w:r>
    </w:p>
    <w:p w:rsidR="001A5786" w:rsidRDefault="001A5786" w:rsidP="00F14BAD">
      <w:pPr>
        <w:spacing w:line="225" w:lineRule="auto"/>
        <w:rPr>
          <w:szCs w:val="20"/>
        </w:rPr>
      </w:pPr>
    </w:p>
    <w:p w:rsidR="00F14BAD" w:rsidRPr="00F14BAD" w:rsidRDefault="00F14BAD" w:rsidP="00F14BAD">
      <w:pPr>
        <w:spacing w:line="225" w:lineRule="auto"/>
        <w:rPr>
          <w:szCs w:val="20"/>
        </w:rPr>
      </w:pPr>
      <w:r w:rsidRPr="00F14BAD">
        <w:rPr>
          <w:szCs w:val="20"/>
        </w:rPr>
        <w:t>Ela bota uma calça</w:t>
      </w:r>
    </w:p>
    <w:p w:rsidR="00F14BAD" w:rsidRPr="00F14BAD" w:rsidRDefault="00F14BAD" w:rsidP="00F14BAD">
      <w:pPr>
        <w:spacing w:line="225" w:lineRule="auto"/>
        <w:rPr>
          <w:szCs w:val="20"/>
        </w:rPr>
      </w:pPr>
      <w:r w:rsidRPr="00F14BAD">
        <w:rPr>
          <w:szCs w:val="20"/>
        </w:rPr>
        <w:t>Apertadinha</w:t>
      </w:r>
    </w:p>
    <w:p w:rsidR="00F14BAD" w:rsidRPr="00F14BAD" w:rsidRDefault="00F14BAD" w:rsidP="00F14BAD">
      <w:pPr>
        <w:spacing w:line="225" w:lineRule="auto"/>
        <w:rPr>
          <w:szCs w:val="20"/>
        </w:rPr>
      </w:pPr>
      <w:r w:rsidRPr="00F14BAD">
        <w:rPr>
          <w:szCs w:val="20"/>
        </w:rPr>
        <w:t>O bagulho tá sério</w:t>
      </w:r>
    </w:p>
    <w:p w:rsidR="00F14BAD" w:rsidRDefault="00F14BAD" w:rsidP="00F14BAD">
      <w:pPr>
        <w:spacing w:line="225" w:lineRule="auto"/>
        <w:rPr>
          <w:szCs w:val="20"/>
        </w:rPr>
      </w:pPr>
      <w:r w:rsidRPr="00F14BAD">
        <w:rPr>
          <w:szCs w:val="20"/>
        </w:rPr>
        <w:t>Tá toda inchadinha...</w:t>
      </w:r>
    </w:p>
    <w:p w:rsidR="00B51DEA" w:rsidRPr="00F14BAD" w:rsidRDefault="00B51DEA" w:rsidP="00F14BAD">
      <w:pPr>
        <w:spacing w:line="225" w:lineRule="auto"/>
        <w:rPr>
          <w:szCs w:val="20"/>
        </w:rPr>
      </w:pPr>
    </w:p>
    <w:p w:rsidR="00F14BAD" w:rsidRPr="00B51DEA" w:rsidRDefault="00F14BAD" w:rsidP="00B51DEA">
      <w:pPr>
        <w:spacing w:line="360" w:lineRule="auto"/>
        <w:ind w:left="-2268" w:right="-4683" w:firstLine="828"/>
        <w:jc w:val="both"/>
        <w:rPr>
          <w:sz w:val="24"/>
          <w:szCs w:val="20"/>
        </w:rPr>
      </w:pPr>
      <w:r w:rsidRPr="00B51DEA">
        <w:rPr>
          <w:sz w:val="24"/>
          <w:szCs w:val="20"/>
        </w:rPr>
        <w:t>Além de todas as características agressivas já aludidas, há ainda que se ressaltar o poder argumentativo feminino que, segundo as canções do grupo “Black Style”, figura como uma arma em um jogo de sedução. Tal poder é explicitado na música “Tome, todinha”, na qual a força de manipulação feminina, perante os homens, mostra-se irresistível:</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Que mulher gulosa</w:t>
      </w:r>
    </w:p>
    <w:p w:rsidR="00F14BAD" w:rsidRPr="00F14BAD" w:rsidRDefault="00F14BAD" w:rsidP="00F14BAD">
      <w:pPr>
        <w:spacing w:line="225" w:lineRule="auto"/>
        <w:rPr>
          <w:szCs w:val="20"/>
        </w:rPr>
      </w:pPr>
      <w:r w:rsidRPr="00F14BAD">
        <w:rPr>
          <w:szCs w:val="20"/>
        </w:rPr>
        <w:t>Ela entra na roda e não quer mais sair</w:t>
      </w:r>
    </w:p>
    <w:p w:rsidR="00F14BAD" w:rsidRPr="00F14BAD" w:rsidRDefault="00F14BAD" w:rsidP="00F14BAD">
      <w:pPr>
        <w:spacing w:line="225" w:lineRule="auto"/>
        <w:rPr>
          <w:szCs w:val="20"/>
        </w:rPr>
      </w:pPr>
      <w:r w:rsidRPr="00F14BAD">
        <w:rPr>
          <w:szCs w:val="20"/>
        </w:rPr>
        <w:t>Sabe que é gostosa</w:t>
      </w:r>
    </w:p>
    <w:p w:rsidR="00F14BAD" w:rsidRPr="00F14BAD" w:rsidRDefault="00F14BAD" w:rsidP="00F14BAD">
      <w:pPr>
        <w:spacing w:line="225" w:lineRule="auto"/>
        <w:rPr>
          <w:szCs w:val="20"/>
        </w:rPr>
      </w:pPr>
      <w:r w:rsidRPr="00F14BAD">
        <w:rPr>
          <w:szCs w:val="20"/>
        </w:rPr>
        <w:t>Muito boa de papo e quer me iludir</w:t>
      </w:r>
    </w:p>
    <w:p w:rsidR="00F14BAD" w:rsidRPr="00F14BAD" w:rsidRDefault="00F14BAD" w:rsidP="00F14BAD">
      <w:pPr>
        <w:spacing w:line="225" w:lineRule="auto"/>
        <w:rPr>
          <w:szCs w:val="20"/>
        </w:rPr>
      </w:pPr>
      <w:r w:rsidRPr="00F14BAD">
        <w:rPr>
          <w:szCs w:val="20"/>
        </w:rPr>
        <w:t>Tá pensando que eu não tô caindo?</w:t>
      </w:r>
    </w:p>
    <w:p w:rsidR="00F14BAD" w:rsidRPr="00F14BAD" w:rsidRDefault="00F14BAD" w:rsidP="00F14BAD">
      <w:pPr>
        <w:spacing w:line="225" w:lineRule="auto"/>
        <w:rPr>
          <w:szCs w:val="20"/>
        </w:rPr>
      </w:pPr>
      <w:r w:rsidRPr="00F14BAD">
        <w:rPr>
          <w:szCs w:val="20"/>
        </w:rPr>
        <w:t>Desse jeito você vai me amarrar</w:t>
      </w:r>
    </w:p>
    <w:p w:rsidR="00F14BAD" w:rsidRPr="00F14BAD" w:rsidRDefault="00F14BAD" w:rsidP="00F14BAD">
      <w:pPr>
        <w:spacing w:line="225" w:lineRule="auto"/>
        <w:rPr>
          <w:szCs w:val="20"/>
        </w:rPr>
      </w:pPr>
      <w:r w:rsidRPr="00F14BAD">
        <w:rPr>
          <w:szCs w:val="20"/>
        </w:rPr>
        <w:t>Se pedir eu vou te dar...</w:t>
      </w:r>
    </w:p>
    <w:p w:rsidR="00F14BAD" w:rsidRPr="00F14BAD" w:rsidRDefault="00F14BAD" w:rsidP="00F14BAD">
      <w:pPr>
        <w:spacing w:line="225" w:lineRule="auto"/>
        <w:rPr>
          <w:szCs w:val="20"/>
        </w:rPr>
      </w:pPr>
    </w:p>
    <w:p w:rsidR="00F14BAD" w:rsidRPr="00F14BAD" w:rsidRDefault="00F14BAD" w:rsidP="00B51DEA">
      <w:pPr>
        <w:spacing w:line="225" w:lineRule="auto"/>
        <w:ind w:left="-2268" w:right="-4684"/>
        <w:rPr>
          <w:szCs w:val="20"/>
        </w:rPr>
      </w:pPr>
    </w:p>
    <w:p w:rsidR="00F14BAD" w:rsidRPr="00B51DEA" w:rsidRDefault="00F14BAD" w:rsidP="00B51DEA">
      <w:pPr>
        <w:spacing w:line="360" w:lineRule="auto"/>
        <w:ind w:left="-2268" w:right="-4683" w:firstLine="828"/>
        <w:jc w:val="both"/>
        <w:rPr>
          <w:sz w:val="24"/>
          <w:szCs w:val="20"/>
        </w:rPr>
      </w:pPr>
      <w:r w:rsidRPr="00B51DEA">
        <w:rPr>
          <w:sz w:val="24"/>
          <w:szCs w:val="20"/>
        </w:rPr>
        <w:t>É importante salientar também que em grande parte das músicas analisadas, o homem frequentemente usa a forma imperativa e ocupa a posição de sujeito das orações, o que lhe garante o controle do discurso. O poder dominador da figura masculina pode ser observado na canção “Esfrega a xana no asfalto”:</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Então esfrega a xana no asfalto</w:t>
      </w:r>
    </w:p>
    <w:p w:rsidR="00F14BAD" w:rsidRPr="00F14BAD" w:rsidRDefault="00F14BAD" w:rsidP="00F14BAD">
      <w:pPr>
        <w:spacing w:line="225" w:lineRule="auto"/>
        <w:rPr>
          <w:szCs w:val="20"/>
        </w:rPr>
      </w:pPr>
      <w:r w:rsidRPr="00F14BAD">
        <w:rPr>
          <w:szCs w:val="20"/>
        </w:rPr>
        <w:t>Esfrega a xana no asfalto</w:t>
      </w:r>
    </w:p>
    <w:p w:rsidR="00F14BAD" w:rsidRPr="00F14BAD" w:rsidRDefault="00F14BAD" w:rsidP="00F14BAD">
      <w:pPr>
        <w:spacing w:line="225" w:lineRule="auto"/>
        <w:rPr>
          <w:szCs w:val="20"/>
        </w:rPr>
      </w:pPr>
      <w:r w:rsidRPr="00F14BAD">
        <w:rPr>
          <w:szCs w:val="20"/>
        </w:rPr>
        <w:t>Esfrega a xana no asfalto</w:t>
      </w:r>
    </w:p>
    <w:p w:rsidR="00F14BAD" w:rsidRPr="00F14BAD" w:rsidRDefault="00F14BAD" w:rsidP="00F14BAD">
      <w:pPr>
        <w:spacing w:line="225" w:lineRule="auto"/>
        <w:rPr>
          <w:szCs w:val="20"/>
        </w:rPr>
      </w:pPr>
      <w:r w:rsidRPr="00F14BAD">
        <w:rPr>
          <w:szCs w:val="20"/>
        </w:rPr>
        <w:t>Esfrega a xana no asfalto</w:t>
      </w:r>
    </w:p>
    <w:p w:rsidR="00F14BAD" w:rsidRPr="00F14BAD" w:rsidRDefault="00F14BAD" w:rsidP="00F14BAD">
      <w:pPr>
        <w:spacing w:line="225" w:lineRule="auto"/>
        <w:rPr>
          <w:szCs w:val="20"/>
        </w:rPr>
      </w:pPr>
      <w:r w:rsidRPr="00F14BAD">
        <w:rPr>
          <w:szCs w:val="20"/>
        </w:rPr>
        <w:t>Esfrega a xana no asfalto</w:t>
      </w:r>
    </w:p>
    <w:p w:rsidR="00F14BAD" w:rsidRPr="00F14BAD" w:rsidRDefault="00F14BAD" w:rsidP="00F14BAD">
      <w:pPr>
        <w:spacing w:line="225" w:lineRule="auto"/>
        <w:rPr>
          <w:szCs w:val="20"/>
        </w:rPr>
      </w:pPr>
      <w:r w:rsidRPr="00F14BAD">
        <w:rPr>
          <w:szCs w:val="20"/>
        </w:rPr>
        <w:t>Xana no asfalto</w:t>
      </w:r>
    </w:p>
    <w:p w:rsidR="00F14BAD" w:rsidRPr="00F14BAD" w:rsidRDefault="00F14BAD" w:rsidP="00F14BAD">
      <w:pPr>
        <w:spacing w:line="225" w:lineRule="auto"/>
        <w:rPr>
          <w:szCs w:val="20"/>
        </w:rPr>
      </w:pPr>
      <w:r w:rsidRPr="00F14BAD">
        <w:rPr>
          <w:szCs w:val="20"/>
        </w:rPr>
        <w:t>Esfrega!</w:t>
      </w:r>
    </w:p>
    <w:p w:rsidR="00F14BAD" w:rsidRPr="00F14BAD" w:rsidRDefault="00F14BAD" w:rsidP="00F14BAD">
      <w:pPr>
        <w:spacing w:line="225" w:lineRule="auto"/>
        <w:rPr>
          <w:szCs w:val="20"/>
        </w:rPr>
      </w:pPr>
      <w:r w:rsidRPr="00F14BAD">
        <w:rPr>
          <w:szCs w:val="20"/>
        </w:rPr>
        <w:t>Esfrega!</w:t>
      </w:r>
    </w:p>
    <w:p w:rsidR="00F14BAD" w:rsidRPr="00F14BAD" w:rsidRDefault="00F14BAD" w:rsidP="00F14BAD">
      <w:pPr>
        <w:spacing w:line="225" w:lineRule="auto"/>
        <w:rPr>
          <w:szCs w:val="20"/>
        </w:rPr>
      </w:pPr>
      <w:r w:rsidRPr="00F14BAD">
        <w:rPr>
          <w:szCs w:val="20"/>
        </w:rPr>
        <w:t>Esfrega!</w:t>
      </w:r>
    </w:p>
    <w:p w:rsidR="00F14BAD" w:rsidRPr="00F14BAD" w:rsidRDefault="00F14BAD" w:rsidP="00F14BAD">
      <w:pPr>
        <w:spacing w:line="225" w:lineRule="auto"/>
        <w:rPr>
          <w:szCs w:val="20"/>
        </w:rPr>
      </w:pPr>
      <w:r w:rsidRPr="00F14BAD">
        <w:rPr>
          <w:szCs w:val="20"/>
        </w:rPr>
        <w:t xml:space="preserve"> </w:t>
      </w:r>
    </w:p>
    <w:p w:rsidR="00F14BAD" w:rsidRPr="00B51DEA" w:rsidRDefault="00F14BAD" w:rsidP="00B51DEA">
      <w:pPr>
        <w:spacing w:line="360" w:lineRule="auto"/>
        <w:ind w:left="-2268" w:right="-4683" w:firstLine="828"/>
        <w:jc w:val="both"/>
        <w:rPr>
          <w:sz w:val="24"/>
          <w:szCs w:val="20"/>
        </w:rPr>
      </w:pPr>
      <w:r w:rsidRPr="00B51DEA">
        <w:rPr>
          <w:sz w:val="24"/>
          <w:szCs w:val="20"/>
        </w:rPr>
        <w:t>O uso de verbos no modo imperativo (esfregar) demonstra o poder de comando do homem para com a mulher. Na canção “No suave”, novamente esse poder é ressaltado através de tal modo verbal (relaxa, sinta):</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Novinha tu quer se envolver Então, sinta-se à vontade (sinta-se, sinta-se à vontade) Antes de eu botar com raiva (bota com raiva)</w:t>
      </w:r>
    </w:p>
    <w:p w:rsidR="00F14BAD" w:rsidRPr="00F14BAD" w:rsidRDefault="00F14BAD" w:rsidP="00F14BAD">
      <w:pPr>
        <w:spacing w:line="225" w:lineRule="auto"/>
        <w:rPr>
          <w:szCs w:val="20"/>
        </w:rPr>
      </w:pPr>
      <w:r w:rsidRPr="00F14BAD">
        <w:rPr>
          <w:szCs w:val="20"/>
        </w:rPr>
        <w:t>Relaxa mulher!</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p>
    <w:p w:rsidR="00F14BAD" w:rsidRPr="00B51DEA" w:rsidRDefault="00F14BAD" w:rsidP="00B51DEA">
      <w:pPr>
        <w:spacing w:line="360" w:lineRule="auto"/>
        <w:ind w:left="-2268" w:right="-4683" w:firstLine="828"/>
        <w:rPr>
          <w:sz w:val="24"/>
          <w:szCs w:val="20"/>
        </w:rPr>
      </w:pPr>
      <w:r w:rsidRPr="00B51DEA">
        <w:rPr>
          <w:sz w:val="24"/>
          <w:szCs w:val="20"/>
        </w:rPr>
        <w:t>Em sua grande maioria, as letras de música do grupo “Black Style” representam o homem como aquele que pode mandar, enquanto a mulher é representada como aquela que age para o homem, atende e cede a seus pedidos e comandos. Dessa maneira, a representação final é claramente sexista, retratando a mulher como um objeto de prazer e uso masculino, alocando-lhe um lugar social abertamente inferior ao masculino.</w:t>
      </w:r>
    </w:p>
    <w:p w:rsidR="00F14BAD" w:rsidRPr="00B51DEA" w:rsidRDefault="00F14BAD" w:rsidP="00B51DEA">
      <w:pPr>
        <w:spacing w:line="360" w:lineRule="auto"/>
        <w:ind w:left="-2268" w:right="-4683" w:firstLine="828"/>
        <w:rPr>
          <w:sz w:val="24"/>
          <w:szCs w:val="20"/>
        </w:rPr>
      </w:pPr>
      <w:r w:rsidRPr="00B51DEA">
        <w:rPr>
          <w:sz w:val="24"/>
          <w:szCs w:val="20"/>
        </w:rPr>
        <w:t>A suposta superioridade masculina é posta em evidência novamente na música “É de cima para baixo”:</w:t>
      </w:r>
    </w:p>
    <w:p w:rsidR="00F14BAD" w:rsidRPr="00F14BAD" w:rsidRDefault="00F14BAD" w:rsidP="00F14BAD">
      <w:pPr>
        <w:spacing w:line="225" w:lineRule="auto"/>
        <w:rPr>
          <w:szCs w:val="20"/>
        </w:rPr>
      </w:pPr>
    </w:p>
    <w:p w:rsidR="00F14BAD" w:rsidRPr="00F14BAD" w:rsidRDefault="00B51DEA" w:rsidP="00F14BAD">
      <w:pPr>
        <w:spacing w:line="225" w:lineRule="auto"/>
        <w:rPr>
          <w:szCs w:val="20"/>
        </w:rPr>
      </w:pPr>
      <w:r>
        <w:rPr>
          <w:szCs w:val="20"/>
        </w:rPr>
        <w:t xml:space="preserve">1 </w:t>
      </w:r>
      <w:r w:rsidR="00F14BAD" w:rsidRPr="00F14BAD">
        <w:rPr>
          <w:szCs w:val="20"/>
        </w:rPr>
        <w:t>de cima para baixo Que eu tô no comando A galera não vai se dá Bota a mão na cabeça</w:t>
      </w:r>
    </w:p>
    <w:p w:rsidR="00F14BAD" w:rsidRPr="00F14BAD" w:rsidRDefault="00F14BAD" w:rsidP="00F14BAD">
      <w:pPr>
        <w:spacing w:line="225" w:lineRule="auto"/>
        <w:rPr>
          <w:szCs w:val="20"/>
        </w:rPr>
      </w:pPr>
      <w:r w:rsidRPr="00F14BAD">
        <w:rPr>
          <w:szCs w:val="20"/>
        </w:rPr>
        <w:t>Molha o dedinho, que a orgia vai começar</w:t>
      </w:r>
    </w:p>
    <w:p w:rsidR="00F14BAD" w:rsidRPr="00F14BAD" w:rsidRDefault="00B51DEA" w:rsidP="00F14BAD">
      <w:pPr>
        <w:spacing w:line="225" w:lineRule="auto"/>
        <w:rPr>
          <w:szCs w:val="20"/>
        </w:rPr>
      </w:pPr>
      <w:r>
        <w:rPr>
          <w:szCs w:val="20"/>
        </w:rPr>
        <w:t xml:space="preserve">2 </w:t>
      </w:r>
      <w:r w:rsidR="00F14BAD" w:rsidRPr="00F14BAD">
        <w:rPr>
          <w:szCs w:val="20"/>
        </w:rPr>
        <w:t>de cima para baixo</w:t>
      </w:r>
    </w:p>
    <w:p w:rsidR="00F14BAD" w:rsidRPr="00F14BAD" w:rsidRDefault="00B51DEA" w:rsidP="00F14BAD">
      <w:pPr>
        <w:spacing w:line="225" w:lineRule="auto"/>
        <w:rPr>
          <w:szCs w:val="20"/>
        </w:rPr>
      </w:pPr>
      <w:r>
        <w:rPr>
          <w:szCs w:val="20"/>
        </w:rPr>
        <w:t xml:space="preserve">3 </w:t>
      </w:r>
      <w:r w:rsidR="00F14BAD" w:rsidRPr="00F14BAD">
        <w:rPr>
          <w:szCs w:val="20"/>
        </w:rPr>
        <w:t>de cima para baixo</w:t>
      </w:r>
    </w:p>
    <w:p w:rsidR="00F14BAD" w:rsidRPr="00F14BAD" w:rsidRDefault="00F14BAD" w:rsidP="00F14BAD">
      <w:pPr>
        <w:spacing w:line="225" w:lineRule="auto"/>
        <w:rPr>
          <w:szCs w:val="20"/>
        </w:rPr>
      </w:pPr>
      <w:r w:rsidRPr="00F14BAD">
        <w:rPr>
          <w:szCs w:val="20"/>
        </w:rPr>
        <w:t>Relaxa. Fique quieta.</w:t>
      </w:r>
    </w:p>
    <w:p w:rsidR="00F14BAD" w:rsidRPr="00F14BAD" w:rsidRDefault="00F14BAD" w:rsidP="00F14BAD">
      <w:pPr>
        <w:spacing w:line="225" w:lineRule="auto"/>
        <w:rPr>
          <w:szCs w:val="20"/>
        </w:rPr>
      </w:pPr>
      <w:r w:rsidRPr="00F14BAD">
        <w:rPr>
          <w:szCs w:val="20"/>
        </w:rPr>
        <w:t>Calma, calma.</w:t>
      </w:r>
    </w:p>
    <w:p w:rsidR="00F14BAD" w:rsidRPr="00F14BAD" w:rsidRDefault="00F14BAD" w:rsidP="00F14BAD">
      <w:pPr>
        <w:spacing w:line="225" w:lineRule="auto"/>
        <w:rPr>
          <w:szCs w:val="20"/>
        </w:rPr>
      </w:pPr>
      <w:r w:rsidRPr="00F14BAD">
        <w:rPr>
          <w:szCs w:val="20"/>
        </w:rPr>
        <w:t>Que eu encaixo.</w:t>
      </w:r>
    </w:p>
    <w:p w:rsidR="00F14BAD" w:rsidRPr="00F14BAD" w:rsidRDefault="00F14BAD" w:rsidP="00F14BAD">
      <w:pPr>
        <w:spacing w:line="225" w:lineRule="auto"/>
        <w:rPr>
          <w:szCs w:val="20"/>
        </w:rPr>
      </w:pPr>
    </w:p>
    <w:p w:rsidR="00F14BAD" w:rsidRPr="00B51DEA" w:rsidRDefault="00F14BAD" w:rsidP="00B51DEA">
      <w:pPr>
        <w:spacing w:line="360" w:lineRule="auto"/>
        <w:ind w:left="-2268" w:right="-4401" w:firstLine="828"/>
        <w:jc w:val="both"/>
        <w:rPr>
          <w:sz w:val="24"/>
          <w:szCs w:val="20"/>
        </w:rPr>
      </w:pPr>
      <w:r w:rsidRPr="00B51DEA">
        <w:rPr>
          <w:sz w:val="24"/>
          <w:szCs w:val="20"/>
        </w:rPr>
        <w:t>A música “O índio virou canibal” corrobora com a visão machista de que os homens possuem o direito à liberdade sexual e as mulheres são tidas como objetos sexuais deles. De acordo com Rosaldo (1979) “pureza e a profanação são ideias aplicadas principalmente às mulheres...”. Os homens, dificilmente, são passíveis de tais julgamentos.</w:t>
      </w:r>
    </w:p>
    <w:p w:rsidR="00F14BAD" w:rsidRPr="00F14BAD" w:rsidRDefault="00F14BAD" w:rsidP="00F14BAD">
      <w:pPr>
        <w:spacing w:line="225" w:lineRule="auto"/>
        <w:rPr>
          <w:szCs w:val="20"/>
        </w:rPr>
      </w:pPr>
      <w:r w:rsidRPr="00F14BAD">
        <w:rPr>
          <w:szCs w:val="20"/>
        </w:rPr>
        <w:t>A Patrícia já comi,</w:t>
      </w:r>
    </w:p>
    <w:p w:rsidR="00F14BAD" w:rsidRPr="00F14BAD" w:rsidRDefault="00F14BAD" w:rsidP="00F14BAD">
      <w:pPr>
        <w:spacing w:line="225" w:lineRule="auto"/>
        <w:rPr>
          <w:szCs w:val="20"/>
        </w:rPr>
      </w:pPr>
      <w:r w:rsidRPr="00F14BAD">
        <w:rPr>
          <w:szCs w:val="20"/>
        </w:rPr>
        <w:t>Débora já comi</w:t>
      </w:r>
    </w:p>
    <w:p w:rsidR="00F14BAD" w:rsidRPr="00F14BAD" w:rsidRDefault="00F14BAD" w:rsidP="00F14BAD">
      <w:pPr>
        <w:spacing w:line="225" w:lineRule="auto"/>
        <w:rPr>
          <w:szCs w:val="20"/>
        </w:rPr>
      </w:pPr>
      <w:r w:rsidRPr="00F14BAD">
        <w:rPr>
          <w:szCs w:val="20"/>
        </w:rPr>
        <w:t>A Luciana já comi,</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A Fernanda já comi</w:t>
      </w:r>
    </w:p>
    <w:p w:rsidR="00F14BAD" w:rsidRPr="00F14BAD" w:rsidRDefault="00F14BAD" w:rsidP="00F14BAD">
      <w:pPr>
        <w:spacing w:line="225" w:lineRule="auto"/>
        <w:rPr>
          <w:szCs w:val="20"/>
        </w:rPr>
      </w:pPr>
      <w:r w:rsidRPr="00F14BAD">
        <w:rPr>
          <w:szCs w:val="20"/>
        </w:rPr>
        <w:t>A Cristiana já comi,</w:t>
      </w:r>
    </w:p>
    <w:p w:rsidR="00F14BAD" w:rsidRPr="00F14BAD" w:rsidRDefault="00F14BAD" w:rsidP="00F14BAD">
      <w:pPr>
        <w:spacing w:line="225" w:lineRule="auto"/>
        <w:rPr>
          <w:szCs w:val="20"/>
        </w:rPr>
      </w:pPr>
      <w:r w:rsidRPr="00F14BAD">
        <w:rPr>
          <w:szCs w:val="20"/>
        </w:rPr>
        <w:t>Juliana já comi,</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A Paula já comi,</w:t>
      </w:r>
    </w:p>
    <w:p w:rsidR="00F14BAD" w:rsidRPr="00F14BAD" w:rsidRDefault="00F14BAD" w:rsidP="00F14BAD">
      <w:pPr>
        <w:spacing w:line="225" w:lineRule="auto"/>
        <w:rPr>
          <w:szCs w:val="20"/>
        </w:rPr>
      </w:pPr>
      <w:r w:rsidRPr="00F14BAD">
        <w:rPr>
          <w:szCs w:val="20"/>
        </w:rPr>
        <w:t>Carla já comi,</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Adriana Já comi,</w:t>
      </w:r>
    </w:p>
    <w:p w:rsidR="00F14BAD" w:rsidRPr="00F14BAD" w:rsidRDefault="00F14BAD" w:rsidP="00F14BAD">
      <w:pPr>
        <w:spacing w:line="225" w:lineRule="auto"/>
        <w:rPr>
          <w:szCs w:val="20"/>
        </w:rPr>
      </w:pPr>
      <w:r w:rsidRPr="00F14BAD">
        <w:rPr>
          <w:szCs w:val="20"/>
        </w:rPr>
        <w:t>Yasmin já comi,</w:t>
      </w:r>
    </w:p>
    <w:p w:rsidR="00F14BAD" w:rsidRPr="00F14BAD" w:rsidRDefault="00F14BAD" w:rsidP="00F14BAD">
      <w:pPr>
        <w:spacing w:line="225" w:lineRule="auto"/>
        <w:rPr>
          <w:szCs w:val="20"/>
        </w:rPr>
      </w:pPr>
      <w:r w:rsidRPr="00F14BAD">
        <w:rPr>
          <w:szCs w:val="20"/>
        </w:rPr>
        <w:t>A Patty já comi,</w:t>
      </w:r>
    </w:p>
    <w:p w:rsidR="00F14BAD" w:rsidRPr="00F14BAD" w:rsidRDefault="00F14BAD" w:rsidP="00F14BAD">
      <w:pPr>
        <w:spacing w:line="225" w:lineRule="auto"/>
        <w:rPr>
          <w:szCs w:val="20"/>
        </w:rPr>
      </w:pPr>
    </w:p>
    <w:p w:rsidR="00F14BAD" w:rsidRPr="00F14BAD" w:rsidRDefault="00F14BAD" w:rsidP="00F14BAD">
      <w:pPr>
        <w:spacing w:line="225" w:lineRule="auto"/>
        <w:rPr>
          <w:szCs w:val="20"/>
        </w:rPr>
      </w:pPr>
      <w:r w:rsidRPr="00F14BAD">
        <w:rPr>
          <w:szCs w:val="20"/>
        </w:rPr>
        <w:t>Daniela já comi,</w:t>
      </w:r>
    </w:p>
    <w:p w:rsidR="00F14BAD" w:rsidRPr="00F14BAD" w:rsidRDefault="00F14BAD" w:rsidP="00F14BAD">
      <w:pPr>
        <w:spacing w:line="225" w:lineRule="auto"/>
        <w:rPr>
          <w:szCs w:val="20"/>
        </w:rPr>
      </w:pPr>
      <w:r w:rsidRPr="00F14BAD">
        <w:rPr>
          <w:szCs w:val="20"/>
        </w:rPr>
        <w:t>Valesca já comi,</w:t>
      </w:r>
    </w:p>
    <w:p w:rsidR="00F14BAD" w:rsidRPr="00F14BAD" w:rsidRDefault="00F14BAD" w:rsidP="00F14BAD">
      <w:pPr>
        <w:spacing w:line="225" w:lineRule="auto"/>
        <w:rPr>
          <w:szCs w:val="20"/>
        </w:rPr>
      </w:pPr>
    </w:p>
    <w:p w:rsidR="00F14BAD" w:rsidRDefault="00F14BAD" w:rsidP="00F14BAD">
      <w:pPr>
        <w:spacing w:line="225" w:lineRule="auto"/>
        <w:rPr>
          <w:szCs w:val="20"/>
        </w:rPr>
      </w:pPr>
      <w:r w:rsidRPr="00F14BAD">
        <w:rPr>
          <w:szCs w:val="20"/>
        </w:rPr>
        <w:t>Verusca já comi...</w:t>
      </w:r>
    </w:p>
    <w:p w:rsidR="00B51DEA" w:rsidRDefault="00B51DEA" w:rsidP="00F14BAD">
      <w:pPr>
        <w:spacing w:line="225" w:lineRule="auto"/>
        <w:rPr>
          <w:szCs w:val="20"/>
        </w:rPr>
      </w:pPr>
    </w:p>
    <w:p w:rsidR="00B51DEA" w:rsidRPr="00771368" w:rsidRDefault="00B51DEA" w:rsidP="00B51DEA">
      <w:pPr>
        <w:spacing w:line="351" w:lineRule="auto"/>
        <w:ind w:left="-2268" w:right="-4401" w:firstLine="708"/>
        <w:jc w:val="both"/>
        <w:rPr>
          <w:sz w:val="20"/>
          <w:szCs w:val="20"/>
        </w:rPr>
      </w:pPr>
      <w:r w:rsidRPr="00771368">
        <w:rPr>
          <w:rFonts w:eastAsia="Arial"/>
          <w:sz w:val="24"/>
          <w:szCs w:val="24"/>
        </w:rPr>
        <w:t>Entende-se aqui pelo verbo “comer” acepção distinta da usual que designa o hábito de alimentar-se. “Comer” significa, nesse caso, manter relações sexuais. A enumeração de parceiras que o indivíduo manteve relações constitui-se no ato de enaltecimento de sua virilidade, diferentemente da mulher, que quando possui uma vida sexual ativa e com diversos parceiros é taxada pejorativamente pelas composições estudadas.</w:t>
      </w:r>
    </w:p>
    <w:p w:rsidR="00B51DEA" w:rsidRPr="00771368" w:rsidRDefault="00B51DEA" w:rsidP="00B51DEA">
      <w:pPr>
        <w:spacing w:line="200" w:lineRule="exact"/>
        <w:ind w:left="-2268" w:right="-4401"/>
        <w:rPr>
          <w:sz w:val="20"/>
          <w:szCs w:val="20"/>
        </w:rPr>
      </w:pPr>
    </w:p>
    <w:p w:rsidR="00B51DEA" w:rsidRDefault="00B51DEA" w:rsidP="00B51DEA">
      <w:pPr>
        <w:spacing w:line="224" w:lineRule="exact"/>
        <w:ind w:left="-2268" w:right="-4401"/>
        <w:rPr>
          <w:sz w:val="20"/>
          <w:szCs w:val="20"/>
        </w:rPr>
      </w:pPr>
    </w:p>
    <w:p w:rsidR="00B51DEA" w:rsidRDefault="00B51DEA" w:rsidP="00B51DEA">
      <w:pPr>
        <w:spacing w:line="224" w:lineRule="exact"/>
        <w:ind w:left="-2268" w:right="-4401"/>
        <w:rPr>
          <w:sz w:val="20"/>
          <w:szCs w:val="20"/>
        </w:rPr>
      </w:pPr>
    </w:p>
    <w:p w:rsidR="00B51DEA" w:rsidRPr="00771368" w:rsidRDefault="00B51DEA" w:rsidP="00B51DEA">
      <w:pPr>
        <w:spacing w:line="224" w:lineRule="exact"/>
        <w:ind w:left="-2268" w:right="-4401"/>
        <w:rPr>
          <w:sz w:val="20"/>
          <w:szCs w:val="20"/>
        </w:rPr>
      </w:pPr>
    </w:p>
    <w:p w:rsidR="00B51DEA" w:rsidRPr="00771368" w:rsidRDefault="00B51DEA" w:rsidP="00B51DEA">
      <w:pPr>
        <w:ind w:left="-2268" w:right="-4401"/>
        <w:rPr>
          <w:sz w:val="20"/>
          <w:szCs w:val="20"/>
        </w:rPr>
      </w:pPr>
      <w:r w:rsidRPr="00771368">
        <w:rPr>
          <w:rFonts w:eastAsia="Arial"/>
          <w:b/>
          <w:bCs/>
          <w:sz w:val="24"/>
          <w:szCs w:val="24"/>
        </w:rPr>
        <w:t>3 CONSIDERAÇÕES FINAIS</w:t>
      </w:r>
    </w:p>
    <w:p w:rsidR="00B51DEA" w:rsidRPr="00771368" w:rsidRDefault="00B51DEA" w:rsidP="00B51DEA">
      <w:pPr>
        <w:spacing w:line="200" w:lineRule="exact"/>
        <w:ind w:left="-2268" w:right="-4401"/>
        <w:rPr>
          <w:sz w:val="20"/>
          <w:szCs w:val="20"/>
        </w:rPr>
      </w:pPr>
    </w:p>
    <w:p w:rsidR="00B51DEA" w:rsidRPr="00771368" w:rsidRDefault="00B51DEA" w:rsidP="00B51DEA">
      <w:pPr>
        <w:spacing w:line="200" w:lineRule="exact"/>
        <w:ind w:left="-2268" w:right="-4401"/>
        <w:rPr>
          <w:sz w:val="20"/>
          <w:szCs w:val="20"/>
        </w:rPr>
      </w:pPr>
    </w:p>
    <w:p w:rsidR="00B51DEA" w:rsidRPr="00771368" w:rsidRDefault="00B51DEA" w:rsidP="00B51DEA">
      <w:pPr>
        <w:spacing w:line="201" w:lineRule="exact"/>
        <w:ind w:left="-2268" w:right="-4401"/>
        <w:rPr>
          <w:sz w:val="20"/>
          <w:szCs w:val="20"/>
        </w:rPr>
      </w:pPr>
    </w:p>
    <w:p w:rsidR="00B51DEA" w:rsidRPr="00771368" w:rsidRDefault="00B51DEA" w:rsidP="00B51DEA">
      <w:pPr>
        <w:spacing w:line="349" w:lineRule="auto"/>
        <w:ind w:left="-2268" w:right="-4401" w:firstLine="1133"/>
        <w:jc w:val="both"/>
        <w:rPr>
          <w:sz w:val="20"/>
          <w:szCs w:val="20"/>
        </w:rPr>
      </w:pPr>
      <w:r w:rsidRPr="00771368">
        <w:rPr>
          <w:rFonts w:eastAsia="Arial"/>
          <w:sz w:val="24"/>
          <w:szCs w:val="24"/>
        </w:rPr>
        <w:t xml:space="preserve">A análise do </w:t>
      </w:r>
      <w:r w:rsidRPr="00771368">
        <w:rPr>
          <w:rFonts w:eastAsia="Arial"/>
          <w:i/>
          <w:iCs/>
          <w:sz w:val="24"/>
          <w:szCs w:val="24"/>
        </w:rPr>
        <w:t>corpus</w:t>
      </w:r>
      <w:r w:rsidRPr="00771368">
        <w:rPr>
          <w:rFonts w:eastAsia="Arial"/>
          <w:sz w:val="24"/>
          <w:szCs w:val="24"/>
        </w:rPr>
        <w:t xml:space="preserve"> concluiu que as hipóteses iniciais levantadas por esta pesquisa condizem com a realidade estudada, ou seja, as letras de músicas do grupo musical “Black Style” denigrem a imagem feminina, criando estereótipos que contribuem para que discursos machistas sejam propagados e enraizados na mentalidade de alguns.</w:t>
      </w:r>
    </w:p>
    <w:p w:rsidR="00B51DEA" w:rsidRPr="00771368" w:rsidRDefault="00B51DEA" w:rsidP="00B51DEA">
      <w:pPr>
        <w:spacing w:line="187" w:lineRule="exact"/>
        <w:ind w:left="-2268" w:right="-4401"/>
        <w:rPr>
          <w:sz w:val="20"/>
          <w:szCs w:val="20"/>
        </w:rPr>
      </w:pPr>
    </w:p>
    <w:p w:rsidR="00B51DEA" w:rsidRPr="00771368" w:rsidRDefault="00B51DEA" w:rsidP="00B51DEA">
      <w:pPr>
        <w:spacing w:line="349" w:lineRule="auto"/>
        <w:ind w:left="-2268" w:right="-4401" w:firstLine="708"/>
        <w:jc w:val="both"/>
        <w:rPr>
          <w:sz w:val="20"/>
          <w:szCs w:val="20"/>
        </w:rPr>
      </w:pPr>
      <w:r w:rsidRPr="00771368">
        <w:rPr>
          <w:rFonts w:eastAsia="Arial"/>
          <w:sz w:val="24"/>
          <w:szCs w:val="24"/>
        </w:rPr>
        <w:t>A mulher é caracterizada em grande parte das músicas como promíscua, transmissora de DST, interesseira, manipuladora, sedutora, infiel, entre outros adjetivos socialmente negativos. Sua vida sexual é alvo de julgamentos constantes, e o termo “piriguete” é usado para ressaltar sua insatisfação com um único parceiro, bem como o seu caráter volúvel.</w:t>
      </w:r>
    </w:p>
    <w:p w:rsidR="00B51DEA" w:rsidRPr="00771368" w:rsidRDefault="00B51DEA" w:rsidP="00B51DEA">
      <w:pPr>
        <w:spacing w:line="183" w:lineRule="exact"/>
        <w:ind w:left="-2268" w:right="-4401"/>
        <w:rPr>
          <w:sz w:val="20"/>
          <w:szCs w:val="20"/>
        </w:rPr>
      </w:pPr>
    </w:p>
    <w:p w:rsidR="00B51DEA" w:rsidRPr="00771368" w:rsidRDefault="00B51DEA" w:rsidP="00B51DEA">
      <w:pPr>
        <w:spacing w:line="344" w:lineRule="auto"/>
        <w:ind w:left="-2268" w:right="-4401" w:firstLine="708"/>
        <w:jc w:val="both"/>
        <w:rPr>
          <w:sz w:val="20"/>
          <w:szCs w:val="20"/>
        </w:rPr>
      </w:pPr>
      <w:r w:rsidRPr="00771368">
        <w:rPr>
          <w:rFonts w:eastAsia="Arial"/>
          <w:sz w:val="24"/>
          <w:szCs w:val="24"/>
        </w:rPr>
        <w:t>Os atos sexuais são descritos por um “eu” masculino que, normalmente, enumera as posições sexuais praticadas por ambos. A quantidade de parceiros sexuais da mulher também é alvo de julgamento e o seu caráter é sempre posto em questionamento por conta da sua liberdade sexual.</w:t>
      </w:r>
    </w:p>
    <w:p w:rsidR="00B51DEA" w:rsidRPr="00BA3BAC" w:rsidRDefault="00B51DEA" w:rsidP="00B51DEA">
      <w:pPr>
        <w:spacing w:line="225" w:lineRule="auto"/>
        <w:ind w:left="-2268" w:right="-4401"/>
        <w:rPr>
          <w:szCs w:val="20"/>
        </w:rPr>
        <w:sectPr w:rsidR="00B51DEA" w:rsidRPr="00BA3BAC">
          <w:type w:val="continuous"/>
          <w:pgSz w:w="11900" w:h="16838"/>
          <w:pgMar w:top="699" w:right="5800" w:bottom="994" w:left="3980" w:header="0" w:footer="0" w:gutter="0"/>
          <w:cols w:space="720" w:equalWidth="0">
            <w:col w:w="2120"/>
          </w:cols>
        </w:sectPr>
      </w:pPr>
    </w:p>
    <w:p w:rsidR="00D24E61" w:rsidRPr="00771368" w:rsidRDefault="00D24E61">
      <w:pPr>
        <w:spacing w:line="200" w:lineRule="exact"/>
        <w:rPr>
          <w:sz w:val="20"/>
          <w:szCs w:val="20"/>
        </w:rPr>
      </w:pPr>
    </w:p>
    <w:p w:rsidR="00D24E61" w:rsidRPr="00771368" w:rsidRDefault="00D24E61">
      <w:pPr>
        <w:spacing w:line="344" w:lineRule="auto"/>
        <w:ind w:firstLine="708"/>
        <w:jc w:val="both"/>
        <w:rPr>
          <w:sz w:val="20"/>
          <w:szCs w:val="20"/>
        </w:rPr>
      </w:pPr>
      <w:r w:rsidRPr="00771368">
        <w:rPr>
          <w:rFonts w:eastAsia="Arial"/>
          <w:sz w:val="24"/>
          <w:szCs w:val="24"/>
        </w:rPr>
        <w:t>Por outro lado, o homem é descrito como a vítima, o seduzido que é incapaz de resistir às artimanhas femininas. Segundo o perfil traçado a partir da análise das músicas, a mulher, ao se vestir e dançar maliciosamente, é quem induz o homem a pensar em sexo, a ser infiel, entre outras práticas moralmente questionáveis.</w:t>
      </w:r>
    </w:p>
    <w:p w:rsidR="00D24E61" w:rsidRPr="00771368" w:rsidRDefault="00D24E61">
      <w:pPr>
        <w:spacing w:line="194"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Portanto, faz-se necessário que todos reflitam criticamente acerca dos discursos que ouvem diariamente para que não sejam promotores ou coniventes da opressão feminina. No caso específico das mulheres, a fim de que não contribuam para a perpetuação da imagem negativa a seu respeito. Caberá também aos homens a compreensão de que as mulheres possuem direitos igualitários, inclusive os sexuais, e, por isso, não devem ser julgadas e desvalorizadas socialmente por fazerem uso desses direitos.</w:t>
      </w:r>
    </w:p>
    <w:p w:rsidR="00D24E61" w:rsidRPr="00771368" w:rsidRDefault="00D24E61">
      <w:pPr>
        <w:spacing w:line="184" w:lineRule="exact"/>
        <w:rPr>
          <w:sz w:val="20"/>
          <w:szCs w:val="20"/>
        </w:rPr>
      </w:pPr>
    </w:p>
    <w:p w:rsidR="00D24E61" w:rsidRPr="00771368" w:rsidRDefault="00D24E61">
      <w:pPr>
        <w:spacing w:line="353" w:lineRule="auto"/>
        <w:ind w:firstLine="708"/>
        <w:jc w:val="both"/>
        <w:rPr>
          <w:sz w:val="20"/>
          <w:szCs w:val="20"/>
        </w:rPr>
      </w:pPr>
      <w:r w:rsidRPr="00771368">
        <w:rPr>
          <w:rFonts w:eastAsia="Arial"/>
          <w:sz w:val="24"/>
          <w:szCs w:val="24"/>
        </w:rPr>
        <w:t>Apesar dos discursos do senso comum ainda construírem a identidade feminina como de segunda classe, a conscientização crítica pode nos fazer ver que existem outras formas de representar e de ser mulher. É urgente a necessidade de transformar o discurso masculino de opressão em discurso de respeito à mulher. Diante disso, é preciso refletir sobre como os textos mostram as práticas sociais femininas e que somente outros textos, produzidos por outros discursos, poderão modificar as relações assimétricas de poder e de gênero e, sobretudo, modificar as representações sexistas e discriminatórias da mulher ao longo da história.</w:t>
      </w:r>
    </w:p>
    <w:p w:rsidR="00D24E61" w:rsidRPr="00771368" w:rsidRDefault="00D24E61">
      <w:pPr>
        <w:spacing w:line="200" w:lineRule="exact"/>
        <w:rPr>
          <w:sz w:val="20"/>
          <w:szCs w:val="20"/>
        </w:rPr>
      </w:pPr>
    </w:p>
    <w:p w:rsidR="00D24E61" w:rsidRPr="00771368" w:rsidRDefault="00D24E61">
      <w:pPr>
        <w:spacing w:line="347" w:lineRule="exact"/>
        <w:rPr>
          <w:sz w:val="20"/>
          <w:szCs w:val="20"/>
        </w:rPr>
      </w:pPr>
    </w:p>
    <w:p w:rsidR="00D24E61" w:rsidRPr="00771368" w:rsidRDefault="00D24E61">
      <w:pPr>
        <w:rPr>
          <w:sz w:val="20"/>
          <w:szCs w:val="20"/>
        </w:rPr>
      </w:pPr>
      <w:r w:rsidRPr="00771368">
        <w:rPr>
          <w:rFonts w:eastAsia="Arial"/>
          <w:b/>
          <w:bCs/>
          <w:sz w:val="24"/>
          <w:szCs w:val="24"/>
        </w:rPr>
        <w:t>REFERÊNCIAS</w:t>
      </w:r>
    </w:p>
    <w:p w:rsidR="00D24E61" w:rsidRPr="00771368" w:rsidRDefault="00D24E61">
      <w:pPr>
        <w:spacing w:line="200" w:lineRule="exact"/>
        <w:rPr>
          <w:sz w:val="20"/>
          <w:szCs w:val="20"/>
        </w:rPr>
      </w:pPr>
    </w:p>
    <w:p w:rsidR="00D24E61" w:rsidRPr="00771368" w:rsidRDefault="00D24E61">
      <w:pPr>
        <w:spacing w:line="400" w:lineRule="exact"/>
        <w:rPr>
          <w:sz w:val="20"/>
          <w:szCs w:val="20"/>
        </w:rPr>
      </w:pPr>
    </w:p>
    <w:p w:rsidR="00D24E61" w:rsidRPr="00771368" w:rsidRDefault="00D24E61">
      <w:pPr>
        <w:spacing w:line="228" w:lineRule="auto"/>
        <w:jc w:val="both"/>
        <w:rPr>
          <w:rFonts w:eastAsia="Arial"/>
          <w:sz w:val="24"/>
          <w:szCs w:val="24"/>
        </w:rPr>
      </w:pPr>
      <w:r w:rsidRPr="00771368">
        <w:rPr>
          <w:rFonts w:eastAsia="Arial"/>
          <w:sz w:val="24"/>
          <w:szCs w:val="24"/>
        </w:rPr>
        <w:t xml:space="preserve">BASTOS, Mateus Rodamilans. </w:t>
      </w:r>
      <w:r w:rsidRPr="00771368">
        <w:rPr>
          <w:rFonts w:eastAsia="Arial"/>
          <w:b/>
          <w:bCs/>
          <w:sz w:val="24"/>
          <w:szCs w:val="24"/>
        </w:rPr>
        <w:t>Análise do pagode baiano contemporâneo e suas</w:t>
      </w:r>
      <w:r w:rsidRPr="00771368">
        <w:rPr>
          <w:rFonts w:eastAsia="Arial"/>
          <w:sz w:val="24"/>
          <w:szCs w:val="24"/>
        </w:rPr>
        <w:t xml:space="preserve"> </w:t>
      </w:r>
      <w:r w:rsidRPr="00771368">
        <w:rPr>
          <w:rFonts w:eastAsia="Arial"/>
          <w:b/>
          <w:bCs/>
          <w:sz w:val="24"/>
          <w:szCs w:val="24"/>
        </w:rPr>
        <w:t xml:space="preserve">relações com a Lei Antibaixaria. </w:t>
      </w:r>
      <w:r w:rsidRPr="00771368">
        <w:rPr>
          <w:rFonts w:eastAsia="Arial"/>
          <w:sz w:val="24"/>
          <w:szCs w:val="24"/>
        </w:rPr>
        <w:t>Salvador/ BA, 2011, disponível em</w:t>
      </w:r>
      <w:r w:rsidRPr="00771368">
        <w:rPr>
          <w:rFonts w:eastAsia="Arial"/>
          <w:b/>
          <w:bCs/>
          <w:sz w:val="24"/>
          <w:szCs w:val="24"/>
        </w:rPr>
        <w:t xml:space="preserve"> </w:t>
      </w:r>
      <w:r w:rsidRPr="00771368">
        <w:rPr>
          <w:rFonts w:eastAsia="Arial"/>
          <w:sz w:val="24"/>
          <w:szCs w:val="24"/>
        </w:rPr>
        <w:t>&lt;</w:t>
      </w:r>
      <w:hyperlink r:id="rId51">
        <w:r w:rsidRPr="00771368">
          <w:rPr>
            <w:rFonts w:eastAsia="Arial"/>
            <w:sz w:val="24"/>
            <w:szCs w:val="24"/>
            <w:u w:val="single"/>
          </w:rPr>
          <w:t>http://xa.yimg.com/kq/groups/14465203/61151995/name/Artigo+Mateus+antibaixari</w:t>
        </w:r>
      </w:hyperlink>
      <w:r w:rsidRPr="00771368">
        <w:rPr>
          <w:rFonts w:eastAsia="Arial"/>
          <w:sz w:val="24"/>
          <w:szCs w:val="24"/>
        </w:rPr>
        <w:t xml:space="preserve"> </w:t>
      </w:r>
      <w:hyperlink r:id="rId52">
        <w:r w:rsidRPr="00771368">
          <w:rPr>
            <w:rFonts w:eastAsia="Arial"/>
            <w:sz w:val="24"/>
            <w:szCs w:val="24"/>
            <w:u w:val="single"/>
          </w:rPr>
          <w:t>a.pdf</w:t>
        </w:r>
      </w:hyperlink>
      <w:r w:rsidRPr="00771368">
        <w:rPr>
          <w:rFonts w:eastAsia="Arial"/>
          <w:sz w:val="24"/>
          <w:szCs w:val="24"/>
        </w:rPr>
        <w:t>&gt; acessado em 20/05/2012.</w:t>
      </w:r>
    </w:p>
    <w:p w:rsidR="00D24E61" w:rsidRPr="00771368" w:rsidRDefault="00D24E61">
      <w:pPr>
        <w:spacing w:line="332" w:lineRule="exact"/>
        <w:rPr>
          <w:sz w:val="20"/>
          <w:szCs w:val="20"/>
        </w:rPr>
      </w:pPr>
    </w:p>
    <w:p w:rsidR="00D24E61" w:rsidRPr="00771368" w:rsidRDefault="00D24E61">
      <w:pPr>
        <w:spacing w:line="217" w:lineRule="auto"/>
        <w:jc w:val="both"/>
        <w:rPr>
          <w:sz w:val="20"/>
          <w:szCs w:val="20"/>
        </w:rPr>
      </w:pPr>
      <w:r w:rsidRPr="00771368">
        <w:rPr>
          <w:rFonts w:eastAsia="Arial"/>
          <w:sz w:val="24"/>
          <w:szCs w:val="24"/>
        </w:rPr>
        <w:t xml:space="preserve">FAIRCLOUGH, Norman. </w:t>
      </w:r>
      <w:r w:rsidRPr="00771368">
        <w:rPr>
          <w:rFonts w:eastAsia="Arial"/>
          <w:b/>
          <w:bCs/>
          <w:sz w:val="24"/>
          <w:szCs w:val="24"/>
        </w:rPr>
        <w:t>Discurso e mudança social</w:t>
      </w:r>
      <w:r w:rsidRPr="00771368">
        <w:rPr>
          <w:rFonts w:eastAsia="Arial"/>
          <w:sz w:val="24"/>
          <w:szCs w:val="24"/>
        </w:rPr>
        <w:t>. Brasília: Editora Universidade de Brasília, 2001.</w:t>
      </w:r>
    </w:p>
    <w:p w:rsidR="00D24E61" w:rsidRPr="00771368" w:rsidRDefault="00D24E61">
      <w:pPr>
        <w:spacing w:line="334" w:lineRule="exact"/>
        <w:rPr>
          <w:sz w:val="20"/>
          <w:szCs w:val="20"/>
        </w:rPr>
      </w:pPr>
    </w:p>
    <w:p w:rsidR="00D24E61" w:rsidRPr="00771368" w:rsidRDefault="00D24E61">
      <w:pPr>
        <w:spacing w:line="224" w:lineRule="auto"/>
        <w:jc w:val="both"/>
        <w:rPr>
          <w:sz w:val="20"/>
          <w:szCs w:val="20"/>
        </w:rPr>
      </w:pPr>
      <w:r w:rsidRPr="00771368">
        <w:rPr>
          <w:rFonts w:eastAsia="Arial"/>
          <w:sz w:val="24"/>
          <w:szCs w:val="24"/>
        </w:rPr>
        <w:t xml:space="preserve">_____________________ </w:t>
      </w:r>
      <w:r w:rsidRPr="00771368">
        <w:rPr>
          <w:rFonts w:eastAsia="Arial"/>
          <w:b/>
          <w:bCs/>
          <w:i/>
          <w:iCs/>
          <w:sz w:val="24"/>
          <w:szCs w:val="24"/>
        </w:rPr>
        <w:t>El análisis crítico del discurso como método para la</w:t>
      </w:r>
      <w:r w:rsidRPr="00771368">
        <w:rPr>
          <w:rFonts w:eastAsia="Arial"/>
          <w:sz w:val="24"/>
          <w:szCs w:val="24"/>
        </w:rPr>
        <w:t xml:space="preserve"> </w:t>
      </w:r>
      <w:r w:rsidRPr="00771368">
        <w:rPr>
          <w:rFonts w:eastAsia="Arial"/>
          <w:b/>
          <w:bCs/>
          <w:i/>
          <w:iCs/>
          <w:sz w:val="24"/>
          <w:szCs w:val="24"/>
        </w:rPr>
        <w:t>investigación en ciencias sociales</w:t>
      </w:r>
      <w:r w:rsidRPr="00771368">
        <w:rPr>
          <w:rFonts w:eastAsia="Arial"/>
          <w:sz w:val="24"/>
          <w:szCs w:val="24"/>
        </w:rPr>
        <w:t>.</w:t>
      </w:r>
      <w:r w:rsidRPr="00771368">
        <w:rPr>
          <w:rFonts w:eastAsia="Arial"/>
          <w:b/>
          <w:bCs/>
          <w:i/>
          <w:iCs/>
          <w:sz w:val="24"/>
          <w:szCs w:val="24"/>
        </w:rPr>
        <w:t xml:space="preserve"> </w:t>
      </w:r>
      <w:r w:rsidRPr="00771368">
        <w:rPr>
          <w:rFonts w:eastAsia="Arial"/>
          <w:b/>
          <w:bCs/>
          <w:sz w:val="24"/>
          <w:szCs w:val="24"/>
        </w:rPr>
        <w:t>In:</w:t>
      </w:r>
      <w:r w:rsidRPr="00771368">
        <w:rPr>
          <w:rFonts w:eastAsia="Arial"/>
          <w:b/>
          <w:bCs/>
          <w:i/>
          <w:iCs/>
          <w:sz w:val="24"/>
          <w:szCs w:val="24"/>
        </w:rPr>
        <w:t xml:space="preserve"> </w:t>
      </w:r>
      <w:r w:rsidRPr="00771368">
        <w:rPr>
          <w:rFonts w:eastAsia="Arial"/>
          <w:sz w:val="24"/>
          <w:szCs w:val="24"/>
        </w:rPr>
        <w:t>WODAK, Ruth; MEYER, Michel</w:t>
      </w:r>
      <w:r w:rsidRPr="00771368">
        <w:rPr>
          <w:rFonts w:eastAsia="Arial"/>
          <w:b/>
          <w:bCs/>
          <w:i/>
          <w:iCs/>
          <w:sz w:val="24"/>
          <w:szCs w:val="24"/>
        </w:rPr>
        <w:t xml:space="preserve"> </w:t>
      </w:r>
      <w:r w:rsidRPr="00771368">
        <w:rPr>
          <w:rFonts w:eastAsia="Arial"/>
          <w:sz w:val="24"/>
          <w:szCs w:val="24"/>
        </w:rPr>
        <w:t xml:space="preserve">(eds.). </w:t>
      </w:r>
      <w:r w:rsidRPr="00771368">
        <w:rPr>
          <w:rFonts w:eastAsia="Arial"/>
          <w:i/>
          <w:iCs/>
          <w:sz w:val="24"/>
          <w:szCs w:val="24"/>
        </w:rPr>
        <w:t>Métodos de análisis crítico del discurso</w:t>
      </w:r>
      <w:r w:rsidRPr="00771368">
        <w:rPr>
          <w:rFonts w:eastAsia="Arial"/>
          <w:sz w:val="24"/>
          <w:szCs w:val="24"/>
        </w:rPr>
        <w:t>. Barcelona: Gedisa, 2003, p. 179-203.</w:t>
      </w:r>
    </w:p>
    <w:p w:rsidR="00D24E61" w:rsidRPr="00771368" w:rsidRDefault="00D24E61">
      <w:pPr>
        <w:spacing w:line="285" w:lineRule="exact"/>
        <w:rPr>
          <w:sz w:val="20"/>
          <w:szCs w:val="20"/>
        </w:rPr>
      </w:pPr>
    </w:p>
    <w:p w:rsidR="00D24E61" w:rsidRPr="00771368" w:rsidRDefault="00D24E61">
      <w:pPr>
        <w:rPr>
          <w:sz w:val="20"/>
          <w:szCs w:val="20"/>
        </w:rPr>
      </w:pPr>
      <w:r w:rsidRPr="00771368">
        <w:rPr>
          <w:rFonts w:eastAsia="Arial"/>
          <w:sz w:val="24"/>
          <w:szCs w:val="24"/>
        </w:rPr>
        <w:t xml:space="preserve">FOUCAULT, Michel. </w:t>
      </w:r>
      <w:r w:rsidRPr="00771368">
        <w:rPr>
          <w:rFonts w:eastAsia="Arial"/>
          <w:b/>
          <w:bCs/>
          <w:sz w:val="24"/>
          <w:szCs w:val="24"/>
        </w:rPr>
        <w:t>A ordem do discurso.</w:t>
      </w:r>
      <w:r w:rsidRPr="00771368">
        <w:rPr>
          <w:rFonts w:eastAsia="Arial"/>
          <w:sz w:val="24"/>
          <w:szCs w:val="24"/>
        </w:rPr>
        <w:t xml:space="preserve"> São Paulo: Loyola, 2006.</w:t>
      </w:r>
    </w:p>
    <w:p w:rsidR="00D24E61" w:rsidRPr="00771368" w:rsidRDefault="00D24E61">
      <w:pPr>
        <w:spacing w:line="327" w:lineRule="exact"/>
        <w:rPr>
          <w:sz w:val="20"/>
          <w:szCs w:val="20"/>
        </w:rPr>
      </w:pPr>
    </w:p>
    <w:p w:rsidR="00D24E61" w:rsidRPr="00771368" w:rsidRDefault="00D24E61">
      <w:pPr>
        <w:spacing w:line="216" w:lineRule="auto"/>
        <w:jc w:val="both"/>
        <w:rPr>
          <w:sz w:val="20"/>
          <w:szCs w:val="20"/>
        </w:rPr>
      </w:pPr>
      <w:r w:rsidRPr="00771368">
        <w:rPr>
          <w:rFonts w:eastAsia="Arial"/>
          <w:sz w:val="24"/>
          <w:szCs w:val="24"/>
        </w:rPr>
        <w:t xml:space="preserve">NASCIMENTO, Clebermilton </w:t>
      </w:r>
      <w:r w:rsidRPr="00771368">
        <w:rPr>
          <w:rFonts w:eastAsia="Arial"/>
          <w:b/>
          <w:bCs/>
          <w:sz w:val="24"/>
          <w:szCs w:val="24"/>
        </w:rPr>
        <w:t>“Piriguetes e putões”:</w:t>
      </w:r>
      <w:r w:rsidRPr="00771368">
        <w:rPr>
          <w:rFonts w:eastAsia="Arial"/>
          <w:sz w:val="24"/>
          <w:szCs w:val="24"/>
        </w:rPr>
        <w:t xml:space="preserve"> representações de gênero nas letras de pagode baiano in </w:t>
      </w:r>
      <w:r w:rsidRPr="00771368">
        <w:rPr>
          <w:rFonts w:eastAsia="Arial"/>
          <w:i/>
          <w:iCs/>
          <w:sz w:val="24"/>
          <w:szCs w:val="24"/>
        </w:rPr>
        <w:t>Fazendo Gênero no 8,</w:t>
      </w:r>
      <w:r w:rsidRPr="00771368">
        <w:rPr>
          <w:rFonts w:eastAsia="Arial"/>
          <w:sz w:val="24"/>
          <w:szCs w:val="24"/>
        </w:rPr>
        <w:t xml:space="preserve"> Florianópolis, UFSC, 2008</w:t>
      </w:r>
    </w:p>
    <w:p w:rsidR="00D24E61" w:rsidRPr="00771368" w:rsidRDefault="00D24E61">
      <w:pPr>
        <w:sectPr w:rsidR="00D24E61" w:rsidRPr="00771368">
          <w:pgSz w:w="11900" w:h="16838"/>
          <w:pgMar w:top="699" w:right="1120" w:bottom="977" w:left="1700" w:header="0" w:footer="0" w:gutter="0"/>
          <w:cols w:space="720" w:equalWidth="0">
            <w:col w:w="9080"/>
          </w:cols>
        </w:sectPr>
      </w:pPr>
    </w:p>
    <w:p w:rsidR="00D24E61" w:rsidRPr="00771368" w:rsidRDefault="00D24E61">
      <w:pPr>
        <w:spacing w:line="225" w:lineRule="auto"/>
        <w:jc w:val="both"/>
        <w:rPr>
          <w:sz w:val="20"/>
          <w:szCs w:val="20"/>
        </w:rPr>
      </w:pPr>
      <w:r w:rsidRPr="00771368">
        <w:rPr>
          <w:rFonts w:eastAsia="Arial"/>
          <w:sz w:val="24"/>
          <w:szCs w:val="24"/>
        </w:rPr>
        <w:t xml:space="preserve">ORTNER, Sherry. </w:t>
      </w:r>
      <w:r w:rsidRPr="00771368">
        <w:rPr>
          <w:rFonts w:eastAsia="Arial"/>
          <w:b/>
          <w:bCs/>
          <w:sz w:val="24"/>
          <w:szCs w:val="24"/>
        </w:rPr>
        <w:t>Está a mulher para o homem assim como a natureza para a</w:t>
      </w:r>
      <w:r w:rsidRPr="00771368">
        <w:rPr>
          <w:rFonts w:eastAsia="Arial"/>
          <w:sz w:val="24"/>
          <w:szCs w:val="24"/>
        </w:rPr>
        <w:t xml:space="preserve"> </w:t>
      </w:r>
      <w:r w:rsidRPr="00771368">
        <w:rPr>
          <w:rFonts w:eastAsia="Arial"/>
          <w:b/>
          <w:bCs/>
          <w:sz w:val="24"/>
          <w:szCs w:val="24"/>
        </w:rPr>
        <w:t xml:space="preserve">cultura? </w:t>
      </w:r>
      <w:r w:rsidRPr="00771368">
        <w:rPr>
          <w:rFonts w:eastAsia="Arial"/>
          <w:sz w:val="24"/>
          <w:szCs w:val="24"/>
        </w:rPr>
        <w:t>In: Rosaldo, Michele Z.; Lamphere, Louise (orgs.). A mulher, a cultura e a</w:t>
      </w:r>
      <w:r w:rsidRPr="00771368">
        <w:rPr>
          <w:rFonts w:eastAsia="Arial"/>
          <w:b/>
          <w:bCs/>
          <w:sz w:val="24"/>
          <w:szCs w:val="24"/>
        </w:rPr>
        <w:t xml:space="preserve"> </w:t>
      </w:r>
      <w:r w:rsidRPr="00771368">
        <w:rPr>
          <w:rFonts w:eastAsia="Arial"/>
          <w:sz w:val="24"/>
          <w:szCs w:val="24"/>
        </w:rPr>
        <w:t>sociedade. RJ: Paz e Terra, 1979.</w:t>
      </w:r>
    </w:p>
    <w:p w:rsidR="00D24E61" w:rsidRPr="00771368" w:rsidRDefault="00D24E61">
      <w:pPr>
        <w:spacing w:line="328" w:lineRule="exact"/>
        <w:rPr>
          <w:sz w:val="20"/>
          <w:szCs w:val="20"/>
        </w:rPr>
      </w:pPr>
    </w:p>
    <w:p w:rsidR="00D24E61" w:rsidRPr="00771368" w:rsidRDefault="00D24E61">
      <w:pPr>
        <w:spacing w:line="219" w:lineRule="auto"/>
        <w:jc w:val="both"/>
        <w:rPr>
          <w:sz w:val="20"/>
          <w:szCs w:val="20"/>
        </w:rPr>
      </w:pPr>
      <w:r w:rsidRPr="00771368">
        <w:rPr>
          <w:rFonts w:eastAsia="Arial"/>
          <w:sz w:val="24"/>
          <w:szCs w:val="24"/>
        </w:rPr>
        <w:t xml:space="preserve">PÊCHEUX, M. </w:t>
      </w:r>
      <w:r w:rsidRPr="00771368">
        <w:rPr>
          <w:rFonts w:eastAsia="Arial"/>
          <w:b/>
          <w:bCs/>
          <w:sz w:val="24"/>
          <w:szCs w:val="24"/>
        </w:rPr>
        <w:t>O discurso. Estrutura ou acontecimento.</w:t>
      </w:r>
      <w:r w:rsidRPr="00771368">
        <w:rPr>
          <w:rFonts w:eastAsia="Arial"/>
          <w:sz w:val="24"/>
          <w:szCs w:val="24"/>
        </w:rPr>
        <w:t xml:space="preserve"> Campinas-SP: Pontes, 1990.</w:t>
      </w:r>
    </w:p>
    <w:p w:rsidR="00D24E61" w:rsidRPr="00771368" w:rsidRDefault="00D24E61">
      <w:pPr>
        <w:spacing w:line="245" w:lineRule="exact"/>
        <w:rPr>
          <w:sz w:val="20"/>
          <w:szCs w:val="20"/>
        </w:rPr>
      </w:pPr>
    </w:p>
    <w:p w:rsidR="00D24E61" w:rsidRPr="00771368" w:rsidRDefault="00D24E61">
      <w:pPr>
        <w:spacing w:line="229" w:lineRule="auto"/>
        <w:jc w:val="both"/>
        <w:rPr>
          <w:sz w:val="20"/>
          <w:szCs w:val="20"/>
        </w:rPr>
      </w:pPr>
      <w:r w:rsidRPr="00771368">
        <w:rPr>
          <w:rFonts w:eastAsia="Arial"/>
          <w:sz w:val="24"/>
          <w:szCs w:val="24"/>
        </w:rPr>
        <w:t xml:space="preserve">PINHO, Osmundo </w:t>
      </w:r>
      <w:r w:rsidRPr="00771368">
        <w:rPr>
          <w:rFonts w:eastAsia="Arial"/>
          <w:b/>
          <w:bCs/>
          <w:sz w:val="24"/>
          <w:szCs w:val="24"/>
        </w:rPr>
        <w:t>Pagodão: Corpo, Historicidade e Contradição</w:t>
      </w:r>
      <w:r w:rsidRPr="00771368">
        <w:rPr>
          <w:rFonts w:eastAsia="Arial"/>
          <w:sz w:val="24"/>
          <w:szCs w:val="24"/>
        </w:rPr>
        <w:t xml:space="preserve"> in </w:t>
      </w:r>
      <w:r w:rsidRPr="00771368">
        <w:rPr>
          <w:rFonts w:eastAsia="Arial"/>
          <w:i/>
          <w:iCs/>
          <w:sz w:val="24"/>
          <w:szCs w:val="24"/>
        </w:rPr>
        <w:t>Portal</w:t>
      </w:r>
      <w:r w:rsidRPr="00771368">
        <w:rPr>
          <w:rFonts w:eastAsia="Arial"/>
          <w:sz w:val="24"/>
          <w:szCs w:val="24"/>
        </w:rPr>
        <w:t xml:space="preserve"> </w:t>
      </w:r>
      <w:r w:rsidRPr="00771368">
        <w:rPr>
          <w:rFonts w:eastAsia="Arial"/>
          <w:i/>
          <w:iCs/>
          <w:sz w:val="24"/>
          <w:szCs w:val="24"/>
        </w:rPr>
        <w:t>Gueledés</w:t>
      </w:r>
      <w:r w:rsidRPr="00771368">
        <w:rPr>
          <w:rFonts w:eastAsia="Arial"/>
          <w:sz w:val="24"/>
          <w:szCs w:val="24"/>
        </w:rPr>
        <w:t>, 2011, disponível em &lt;http://www.geledes.org.br/em</w:t>
      </w:r>
      <w:r w:rsidRPr="00771368">
        <w:rPr>
          <w:rFonts w:eastAsia="Arial"/>
          <w:i/>
          <w:iCs/>
          <w:sz w:val="24"/>
          <w:szCs w:val="24"/>
        </w:rPr>
        <w:t xml:space="preserve"> </w:t>
      </w:r>
      <w:r w:rsidRPr="00771368">
        <w:rPr>
          <w:rFonts w:eastAsia="Arial"/>
          <w:sz w:val="24"/>
          <w:szCs w:val="24"/>
        </w:rPr>
        <w:t>debate/colunistas/12138-osmundo-pinhopagodao-corpo-historicidade-econtradicao&gt;, acessado em 29/05/2012.</w:t>
      </w:r>
    </w:p>
    <w:p w:rsidR="00D24E61" w:rsidRPr="00771368" w:rsidRDefault="00D24E61">
      <w:pPr>
        <w:spacing w:line="330" w:lineRule="exact"/>
        <w:rPr>
          <w:sz w:val="20"/>
          <w:szCs w:val="20"/>
        </w:rPr>
      </w:pPr>
    </w:p>
    <w:p w:rsidR="00D24E61" w:rsidRPr="00771368" w:rsidRDefault="00D24E61">
      <w:pPr>
        <w:spacing w:line="226" w:lineRule="auto"/>
        <w:jc w:val="both"/>
        <w:rPr>
          <w:sz w:val="20"/>
          <w:szCs w:val="20"/>
        </w:rPr>
      </w:pPr>
      <w:r w:rsidRPr="00771368">
        <w:rPr>
          <w:rFonts w:eastAsia="Arial"/>
          <w:sz w:val="24"/>
          <w:szCs w:val="24"/>
        </w:rPr>
        <w:t xml:space="preserve">ROSALDO, Michelle. </w:t>
      </w:r>
      <w:r w:rsidRPr="00771368">
        <w:rPr>
          <w:rFonts w:eastAsia="Arial"/>
          <w:b/>
          <w:bCs/>
          <w:sz w:val="24"/>
          <w:szCs w:val="24"/>
        </w:rPr>
        <w:t>A mulher, a cultura e a sociedade: uma revisão teórica.</w:t>
      </w:r>
      <w:r w:rsidRPr="00771368">
        <w:rPr>
          <w:rFonts w:eastAsia="Arial"/>
          <w:sz w:val="24"/>
          <w:szCs w:val="24"/>
        </w:rPr>
        <w:t xml:space="preserve"> In: Rosaldo, Michele Z.; L. Lamphere, Louise (orgs.), A mulher, a cultura, a sociedade. Rio de Janeiro: Paz e Terra, 1979.</w:t>
      </w:r>
    </w:p>
    <w:p w:rsidR="00D24E61" w:rsidRPr="00771368" w:rsidRDefault="00D24E61">
      <w:pPr>
        <w:spacing w:line="248" w:lineRule="exact"/>
        <w:rPr>
          <w:sz w:val="20"/>
          <w:szCs w:val="20"/>
        </w:rPr>
      </w:pPr>
    </w:p>
    <w:p w:rsidR="00D24E61" w:rsidRPr="00771368" w:rsidRDefault="00D24E61">
      <w:pPr>
        <w:spacing w:line="228" w:lineRule="auto"/>
        <w:rPr>
          <w:sz w:val="20"/>
          <w:szCs w:val="20"/>
        </w:rPr>
      </w:pPr>
      <w:r w:rsidRPr="00771368">
        <w:rPr>
          <w:rFonts w:eastAsia="Arial"/>
          <w:sz w:val="24"/>
          <w:szCs w:val="24"/>
        </w:rPr>
        <w:t xml:space="preserve">SANDENBERG, Cecília M. B. </w:t>
      </w:r>
      <w:r w:rsidRPr="00771368">
        <w:rPr>
          <w:rFonts w:eastAsia="Arial"/>
          <w:b/>
          <w:bCs/>
          <w:sz w:val="24"/>
          <w:szCs w:val="24"/>
        </w:rPr>
        <w:t>A violência Simbólica de Gênero e a Lei</w:t>
      </w:r>
      <w:r w:rsidRPr="00771368">
        <w:rPr>
          <w:rFonts w:eastAsia="Arial"/>
          <w:sz w:val="24"/>
          <w:szCs w:val="24"/>
        </w:rPr>
        <w:t xml:space="preserve"> </w:t>
      </w:r>
      <w:r w:rsidRPr="00771368">
        <w:rPr>
          <w:rFonts w:eastAsia="Arial"/>
          <w:b/>
          <w:bCs/>
          <w:sz w:val="24"/>
          <w:szCs w:val="24"/>
        </w:rPr>
        <w:t xml:space="preserve">'Antibaixaria' na Bahia </w:t>
      </w:r>
      <w:r w:rsidRPr="00771368">
        <w:rPr>
          <w:rFonts w:eastAsia="Arial"/>
          <w:sz w:val="24"/>
          <w:szCs w:val="24"/>
        </w:rPr>
        <w:t>in</w:t>
      </w:r>
      <w:r w:rsidRPr="00771368">
        <w:rPr>
          <w:rFonts w:eastAsia="Arial"/>
          <w:b/>
          <w:bCs/>
          <w:sz w:val="24"/>
          <w:szCs w:val="24"/>
        </w:rPr>
        <w:t xml:space="preserve"> </w:t>
      </w:r>
      <w:r w:rsidRPr="00771368">
        <w:rPr>
          <w:rFonts w:eastAsia="Arial"/>
          <w:i/>
          <w:iCs/>
          <w:sz w:val="24"/>
          <w:szCs w:val="24"/>
        </w:rPr>
        <w:t>OBSERVE</w:t>
      </w:r>
      <w:r w:rsidRPr="00771368">
        <w:rPr>
          <w:rFonts w:eastAsia="Arial"/>
          <w:sz w:val="24"/>
          <w:szCs w:val="24"/>
        </w:rPr>
        <w:t>, Salvador: NEIM, 2011, disponível em:</w:t>
      </w:r>
      <w:r w:rsidRPr="00771368">
        <w:rPr>
          <w:rFonts w:eastAsia="Arial"/>
          <w:b/>
          <w:bCs/>
          <w:sz w:val="24"/>
          <w:szCs w:val="24"/>
        </w:rPr>
        <w:t xml:space="preserve"> </w:t>
      </w:r>
      <w:r w:rsidRPr="00771368">
        <w:rPr>
          <w:rFonts w:eastAsia="Arial"/>
          <w:sz w:val="24"/>
          <w:szCs w:val="24"/>
        </w:rPr>
        <w:t>&lt;http://observatoriodamulher.org.br/site/index.php?option=com_content&amp;task=view&amp;i d=4022&amp;Itemid=64&gt;acessado em 01/06/2012.</w:t>
      </w:r>
    </w:p>
    <w:p w:rsidR="00D24E61" w:rsidRPr="00771368" w:rsidRDefault="00D24E61">
      <w:pPr>
        <w:spacing w:line="239" w:lineRule="auto"/>
        <w:ind w:left="8960"/>
        <w:rPr>
          <w:sz w:val="20"/>
          <w:szCs w:val="20"/>
        </w:rPr>
      </w:pPr>
      <w:r w:rsidRPr="00771368">
        <w:rPr>
          <w:rFonts w:eastAsia="Calibri"/>
        </w:rPr>
        <w:t>1</w:t>
      </w:r>
    </w:p>
    <w:p w:rsidR="00D24E61" w:rsidRPr="00771368" w:rsidRDefault="00D24E61">
      <w:pPr>
        <w:spacing w:line="200" w:lineRule="exact"/>
        <w:rPr>
          <w:sz w:val="24"/>
          <w:szCs w:val="24"/>
        </w:rPr>
      </w:pPr>
    </w:p>
    <w:p w:rsidR="00D24E61" w:rsidRPr="00771368" w:rsidRDefault="00D24E61">
      <w:pPr>
        <w:spacing w:line="315" w:lineRule="exact"/>
        <w:rPr>
          <w:sz w:val="24"/>
          <w:szCs w:val="24"/>
        </w:rPr>
      </w:pPr>
    </w:p>
    <w:p w:rsidR="00D24E61" w:rsidRPr="00771368" w:rsidRDefault="00D24E61">
      <w:pPr>
        <w:spacing w:line="213" w:lineRule="auto"/>
        <w:ind w:left="3020" w:right="200" w:hanging="2852"/>
        <w:rPr>
          <w:sz w:val="20"/>
          <w:szCs w:val="20"/>
        </w:rPr>
      </w:pPr>
      <w:r w:rsidRPr="00771368">
        <w:rPr>
          <w:b/>
          <w:bCs/>
          <w:sz w:val="28"/>
          <w:szCs w:val="28"/>
        </w:rPr>
        <w:t>S.O.S. MULHER: a transcendência do paradigma “reprodução” à luz da fenomenologia hegeliana.</w:t>
      </w:r>
    </w:p>
    <w:p w:rsidR="00D24E61" w:rsidRPr="00771368" w:rsidRDefault="00D24E61">
      <w:pPr>
        <w:spacing w:line="271" w:lineRule="exact"/>
        <w:rPr>
          <w:sz w:val="24"/>
          <w:szCs w:val="24"/>
        </w:rPr>
      </w:pPr>
    </w:p>
    <w:p w:rsidR="00D24E61" w:rsidRPr="00771368" w:rsidRDefault="00D24E61" w:rsidP="001F386E">
      <w:pPr>
        <w:pStyle w:val="Ttulo1"/>
        <w:rPr>
          <w:sz w:val="20"/>
          <w:szCs w:val="20"/>
        </w:rPr>
      </w:pPr>
      <w:bookmarkStart w:id="21" w:name="_Toc442034724"/>
      <w:r w:rsidRPr="00771368">
        <w:rPr>
          <w:szCs w:val="24"/>
        </w:rPr>
        <w:t xml:space="preserve">Autor: </w:t>
      </w:r>
      <w:r w:rsidRPr="001F386E">
        <w:t>Camila Tinoco</w:t>
      </w:r>
      <w:r w:rsidR="001F386E" w:rsidRPr="001F386E">
        <w:t xml:space="preserve"> Pereira;</w:t>
      </w:r>
      <w:bookmarkEnd w:id="21"/>
    </w:p>
    <w:p w:rsidR="00D24E61" w:rsidRPr="00771368" w:rsidRDefault="00D24E61">
      <w:pPr>
        <w:spacing w:line="3" w:lineRule="exact"/>
        <w:rPr>
          <w:sz w:val="24"/>
          <w:szCs w:val="24"/>
        </w:rPr>
      </w:pPr>
    </w:p>
    <w:p w:rsidR="00D24E61" w:rsidRPr="00771368" w:rsidRDefault="00D24E61">
      <w:pPr>
        <w:ind w:left="1720"/>
        <w:rPr>
          <w:sz w:val="20"/>
          <w:szCs w:val="20"/>
        </w:rPr>
      </w:pPr>
      <w:r w:rsidRPr="00771368">
        <w:rPr>
          <w:sz w:val="24"/>
          <w:szCs w:val="24"/>
        </w:rPr>
        <w:t>Associação Brasileira de Ensino Universitário- UNIABEU</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06" w:lineRule="exact"/>
        <w:rPr>
          <w:sz w:val="24"/>
          <w:szCs w:val="24"/>
        </w:rPr>
      </w:pPr>
    </w:p>
    <w:p w:rsidR="00D24E61" w:rsidRPr="00771368" w:rsidRDefault="00D24E61">
      <w:pPr>
        <w:rPr>
          <w:sz w:val="20"/>
          <w:szCs w:val="20"/>
        </w:rPr>
      </w:pPr>
      <w:r w:rsidRPr="00771368">
        <w:rPr>
          <w:b/>
          <w:bCs/>
          <w:sz w:val="24"/>
          <w:szCs w:val="24"/>
        </w:rPr>
        <w:t>1. INTRODUÇÃO</w:t>
      </w:r>
    </w:p>
    <w:p w:rsidR="00D24E61" w:rsidRPr="00771368" w:rsidRDefault="00D24E61">
      <w:pPr>
        <w:spacing w:line="330" w:lineRule="exact"/>
        <w:rPr>
          <w:sz w:val="24"/>
          <w:szCs w:val="24"/>
        </w:rPr>
      </w:pPr>
    </w:p>
    <w:p w:rsidR="00D24E61" w:rsidRPr="00771368" w:rsidRDefault="00D24E61">
      <w:pPr>
        <w:spacing w:line="349" w:lineRule="auto"/>
        <w:ind w:right="20" w:firstLine="850"/>
        <w:jc w:val="both"/>
        <w:rPr>
          <w:sz w:val="20"/>
          <w:szCs w:val="20"/>
        </w:rPr>
      </w:pPr>
      <w:r w:rsidRPr="00771368">
        <w:rPr>
          <w:sz w:val="24"/>
          <w:szCs w:val="24"/>
        </w:rPr>
        <w:t>Quando investigamos as questões de gênero nos deparamos com uma problemática que envolve temas da conjuntura social, econômica e política, na qual influenciam o ser mulher e homem na sociedade. Ao analisar as condições sociais e culturais inerentes à classe de gênero, percebe-se que o sentido de fragilidade e concepção foi condicionado ao sexo feminino, enquanto ao homem, em seus primórdios antropológicos foi imposto o poder de decisão e direção.</w:t>
      </w:r>
    </w:p>
    <w:p w:rsidR="00D24E61" w:rsidRPr="00771368" w:rsidRDefault="00D24E61">
      <w:pPr>
        <w:spacing w:line="74" w:lineRule="exact"/>
        <w:rPr>
          <w:sz w:val="24"/>
          <w:szCs w:val="24"/>
        </w:rPr>
      </w:pPr>
    </w:p>
    <w:p w:rsidR="00D24E61" w:rsidRPr="00771368" w:rsidRDefault="00D24E61">
      <w:pPr>
        <w:spacing w:line="343" w:lineRule="auto"/>
        <w:ind w:right="20" w:firstLine="850"/>
        <w:jc w:val="both"/>
        <w:rPr>
          <w:sz w:val="20"/>
          <w:szCs w:val="20"/>
        </w:rPr>
      </w:pPr>
      <w:r w:rsidRPr="00771368">
        <w:rPr>
          <w:sz w:val="24"/>
          <w:szCs w:val="24"/>
        </w:rPr>
        <w:t>Pondera-se que os distintos papéis desenvolvidos na sociedade, por homens e mulheres, não advém, essencialmente, da natureza de cada um, mas sim da transformação cultural no tempo e espaço. A representação da mulher na essência sociológica foi designada como sujeito da reprodução biológica, por meio do estereótipo generalizado:</w:t>
      </w:r>
    </w:p>
    <w:p w:rsidR="00D24E61" w:rsidRPr="00771368" w:rsidRDefault="00D24E61">
      <w:pPr>
        <w:spacing w:line="67" w:lineRule="exact"/>
        <w:rPr>
          <w:sz w:val="24"/>
          <w:szCs w:val="24"/>
        </w:rPr>
      </w:pPr>
    </w:p>
    <w:p w:rsidR="00D24E61" w:rsidRPr="00771368" w:rsidRDefault="00D24E61">
      <w:pPr>
        <w:spacing w:line="228" w:lineRule="auto"/>
        <w:ind w:left="2260" w:right="20"/>
        <w:jc w:val="both"/>
        <w:rPr>
          <w:sz w:val="20"/>
          <w:szCs w:val="20"/>
        </w:rPr>
      </w:pPr>
      <w:r w:rsidRPr="00771368">
        <w:rPr>
          <w:sz w:val="20"/>
          <w:szCs w:val="20"/>
        </w:rPr>
        <w:t>Mais do que criações do indivíduo, os estereótipos são criações do grupo. Entendemos por generalização o processo mental através do qual tendemos a associar, a toda uma categoria de pessoas, certas características que uma ou poucas pessoas conhecidas possuem (LAKATOS; MARCONI, 2008, p. 109).</w:t>
      </w:r>
    </w:p>
    <w:p w:rsidR="00D24E61" w:rsidRPr="00771368" w:rsidRDefault="00D24E61">
      <w:pPr>
        <w:spacing w:line="338" w:lineRule="exact"/>
        <w:rPr>
          <w:sz w:val="24"/>
          <w:szCs w:val="24"/>
        </w:rPr>
      </w:pPr>
    </w:p>
    <w:p w:rsidR="00D24E61" w:rsidRPr="00771368" w:rsidRDefault="00D24E61">
      <w:pPr>
        <w:spacing w:line="308" w:lineRule="auto"/>
        <w:ind w:right="20" w:firstLine="850"/>
        <w:rPr>
          <w:sz w:val="20"/>
          <w:szCs w:val="20"/>
        </w:rPr>
      </w:pPr>
      <w:r w:rsidRPr="00771368">
        <w:rPr>
          <w:sz w:val="24"/>
          <w:szCs w:val="24"/>
        </w:rPr>
        <w:t>O primeiro passo, a constituição federal de 1988 em seu art. 5º, I, II e III surge com o desígnio de transgredir essa visão estereotipada submetida à mulher, quando diz que:</w:t>
      </w:r>
    </w:p>
    <w:p w:rsidR="00D24E61" w:rsidRPr="00771368" w:rsidRDefault="00D24E61">
      <w:pPr>
        <w:spacing w:line="105" w:lineRule="exact"/>
        <w:rPr>
          <w:sz w:val="24"/>
          <w:szCs w:val="24"/>
        </w:rPr>
      </w:pPr>
    </w:p>
    <w:p w:rsidR="00D24E61" w:rsidRPr="001F386E" w:rsidRDefault="00D24E61">
      <w:pPr>
        <w:spacing w:line="230" w:lineRule="auto"/>
        <w:ind w:left="2260" w:right="20"/>
        <w:jc w:val="both"/>
        <w:rPr>
          <w:i/>
          <w:sz w:val="20"/>
          <w:szCs w:val="20"/>
        </w:rPr>
      </w:pPr>
      <w:r w:rsidRPr="001F386E">
        <w:rPr>
          <w:i/>
          <w:sz w:val="20"/>
          <w:szCs w:val="20"/>
        </w:rPr>
        <w:t>Todos são iguais perante a lei, sem distinção de qualquer natureza, garantindo-se aos brasileiros e aos estrangeiros residentes no País a inviolabilidade do direito à vida, à liberdade, à igualdade, à segurança e à propriedade, nos termos seguintes: homens e mulheres são iguais em direitos e obrigações, nos termos desta Constituição (BRASIL, 1988, p. 2).</w:t>
      </w:r>
    </w:p>
    <w:p w:rsidR="00D24E61" w:rsidRPr="00771368" w:rsidRDefault="00D24E61">
      <w:pPr>
        <w:spacing w:line="352" w:lineRule="auto"/>
        <w:ind w:firstLine="850"/>
        <w:jc w:val="both"/>
        <w:rPr>
          <w:sz w:val="20"/>
          <w:szCs w:val="20"/>
        </w:rPr>
      </w:pPr>
      <w:r w:rsidRPr="00771368">
        <w:rPr>
          <w:sz w:val="24"/>
          <w:szCs w:val="24"/>
        </w:rPr>
        <w:t>As conquistas em favor do movimento feminista não se constituíam apenas em monopólios no que tange às legislações e direitos civis, mas se permeavam em questionamentos envoltos de suas prerrogativas assistenciais na saúde. No Brasil, a saúde da mulher foi incorporada às políticas nacionais de saúde nas primeiras décadas do século XX, sendo limitada, às demandas relativas à gravidez e ao parto. Os programas materno-infantis, organizados nas décadas de 30, 50 e 70, exprimiam uma visão restrita sobre a mulher, fundamentada em sua especificidade biológica e em seu papel social de mãe e doméstica,</w:t>
      </w:r>
    </w:p>
    <w:p w:rsidR="00D24E61" w:rsidRPr="00771368" w:rsidRDefault="00D24E61">
      <w:pPr>
        <w:spacing w:line="312" w:lineRule="auto"/>
        <w:ind w:right="20"/>
        <w:jc w:val="both"/>
        <w:rPr>
          <w:sz w:val="20"/>
          <w:szCs w:val="20"/>
        </w:rPr>
      </w:pPr>
      <w:r w:rsidRPr="00771368">
        <w:rPr>
          <w:sz w:val="24"/>
          <w:szCs w:val="24"/>
        </w:rPr>
        <w:t>responsável pela criação, educação e cuidado com a saúde dos filhos e familiares (BRASIL, 2009a).</w:t>
      </w:r>
    </w:p>
    <w:p w:rsidR="00D24E61" w:rsidRPr="00771368" w:rsidRDefault="00D24E61">
      <w:pPr>
        <w:spacing w:line="350" w:lineRule="auto"/>
        <w:ind w:firstLine="850"/>
        <w:jc w:val="both"/>
        <w:rPr>
          <w:sz w:val="20"/>
          <w:szCs w:val="20"/>
        </w:rPr>
      </w:pPr>
      <w:r w:rsidRPr="00771368">
        <w:rPr>
          <w:sz w:val="24"/>
          <w:szCs w:val="24"/>
        </w:rPr>
        <w:t xml:space="preserve">Portanto, com a premissa de revelar as transformações conquistadas na saúde da mulher e na sociedade empreendêramos o teor filosófico da fenomenologia hegeliana, na qual Engels expõe que a sociedade é um complexo de processos em que as coisas estáveis, assim como a ideologia passam por uma mudança ininterrupta, ou seja, o fim de um processo é sempre o começo de outro (POLITZER, 1979, p. 214 </w:t>
      </w:r>
      <w:r w:rsidRPr="00771368">
        <w:rPr>
          <w:i/>
          <w:iCs/>
          <w:sz w:val="24"/>
          <w:szCs w:val="24"/>
        </w:rPr>
        <w:t>apud</w:t>
      </w:r>
      <w:r w:rsidRPr="00771368">
        <w:rPr>
          <w:sz w:val="24"/>
          <w:szCs w:val="24"/>
        </w:rPr>
        <w:t xml:space="preserve"> LAKATOS; MARCONI, 1985, p. 97).</w:t>
      </w:r>
    </w:p>
    <w:p w:rsidR="00D24E61" w:rsidRPr="00771368" w:rsidRDefault="00D24E61">
      <w:pPr>
        <w:spacing w:line="72" w:lineRule="exact"/>
        <w:rPr>
          <w:sz w:val="20"/>
          <w:szCs w:val="20"/>
        </w:rPr>
      </w:pPr>
    </w:p>
    <w:p w:rsidR="00D24E61" w:rsidRPr="00771368" w:rsidRDefault="00D24E61">
      <w:pPr>
        <w:spacing w:line="333" w:lineRule="auto"/>
        <w:ind w:right="20" w:firstLine="850"/>
        <w:jc w:val="both"/>
        <w:rPr>
          <w:sz w:val="20"/>
          <w:szCs w:val="20"/>
        </w:rPr>
      </w:pPr>
      <w:r w:rsidRPr="00771368">
        <w:rPr>
          <w:sz w:val="24"/>
          <w:szCs w:val="24"/>
        </w:rPr>
        <w:t>Ante a estes aspectos surgem os seguintes questionamentos: Quais as influências da fenomenologia de Hegel na saúde da mulher? Qual a representação social da mulher na sociedade contemporânea frente à desigualdade de gênero?</w:t>
      </w:r>
    </w:p>
    <w:p w:rsidR="00D24E61" w:rsidRPr="00771368" w:rsidRDefault="00D24E61">
      <w:pPr>
        <w:spacing w:line="95" w:lineRule="exact"/>
        <w:rPr>
          <w:sz w:val="20"/>
          <w:szCs w:val="20"/>
        </w:rPr>
      </w:pPr>
    </w:p>
    <w:p w:rsidR="00D24E61" w:rsidRPr="00771368" w:rsidRDefault="00D24E61">
      <w:pPr>
        <w:spacing w:line="333" w:lineRule="auto"/>
        <w:ind w:right="20" w:firstLine="850"/>
        <w:jc w:val="both"/>
        <w:rPr>
          <w:sz w:val="20"/>
          <w:szCs w:val="20"/>
        </w:rPr>
      </w:pPr>
      <w:r w:rsidRPr="00771368">
        <w:rPr>
          <w:sz w:val="24"/>
          <w:szCs w:val="24"/>
        </w:rPr>
        <w:t>Tem-se com o estudo proposto o objetivo de descrever como as conquistas mediante a saúde da mulher alusivas à desigualdade de gênero receberam influência da fenomenologia hegeliana na ideação de Engels.</w:t>
      </w:r>
    </w:p>
    <w:p w:rsidR="00D24E61" w:rsidRPr="00771368" w:rsidRDefault="00D24E61">
      <w:pPr>
        <w:spacing w:line="90" w:lineRule="exact"/>
        <w:rPr>
          <w:sz w:val="20"/>
          <w:szCs w:val="20"/>
        </w:rPr>
      </w:pPr>
    </w:p>
    <w:p w:rsidR="00D24E61" w:rsidRPr="00771368" w:rsidRDefault="00D24E61">
      <w:pPr>
        <w:spacing w:line="312" w:lineRule="auto"/>
        <w:ind w:right="20" w:firstLine="850"/>
        <w:jc w:val="both"/>
        <w:rPr>
          <w:sz w:val="20"/>
          <w:szCs w:val="20"/>
        </w:rPr>
      </w:pPr>
      <w:r w:rsidRPr="00771368">
        <w:rPr>
          <w:sz w:val="24"/>
          <w:szCs w:val="24"/>
        </w:rPr>
        <w:t>Expõe-se assim como objeto de estudo a saúde da mulher com enfoque de sua autonomia por meio da fenomenologia hegeliana.</w:t>
      </w:r>
    </w:p>
    <w:p w:rsidR="00D24E61" w:rsidRPr="00771368" w:rsidRDefault="00D24E61">
      <w:pPr>
        <w:spacing w:line="113" w:lineRule="exact"/>
        <w:rPr>
          <w:sz w:val="20"/>
          <w:szCs w:val="20"/>
        </w:rPr>
      </w:pPr>
    </w:p>
    <w:p w:rsidR="00D24E61" w:rsidRPr="00771368" w:rsidRDefault="00D24E61">
      <w:pPr>
        <w:spacing w:line="333" w:lineRule="auto"/>
        <w:ind w:right="20" w:firstLine="850"/>
        <w:jc w:val="both"/>
        <w:rPr>
          <w:sz w:val="20"/>
          <w:szCs w:val="20"/>
        </w:rPr>
      </w:pPr>
      <w:r w:rsidRPr="00771368">
        <w:rPr>
          <w:sz w:val="24"/>
          <w:szCs w:val="24"/>
        </w:rPr>
        <w:t>A pesquisa trará como contribuição para os profissionais que atuam no atendimento a mulher subsídios científicos e literários à cerca das desigualdades de gênero transgredidas pela mulher em favor da dialética, instituídos pela busca de seus direitos e deveres.</w:t>
      </w:r>
    </w:p>
    <w:p w:rsidR="00D24E61" w:rsidRPr="00771368" w:rsidRDefault="00D24E61">
      <w:pPr>
        <w:spacing w:line="94" w:lineRule="exact"/>
        <w:rPr>
          <w:sz w:val="20"/>
          <w:szCs w:val="20"/>
        </w:rPr>
      </w:pPr>
    </w:p>
    <w:p w:rsidR="00D24E61" w:rsidRPr="00771368" w:rsidRDefault="00D24E61">
      <w:pPr>
        <w:spacing w:line="333" w:lineRule="auto"/>
        <w:ind w:right="20" w:firstLine="850"/>
        <w:jc w:val="both"/>
        <w:rPr>
          <w:sz w:val="20"/>
          <w:szCs w:val="20"/>
        </w:rPr>
      </w:pPr>
      <w:r w:rsidRPr="00771368">
        <w:rPr>
          <w:sz w:val="24"/>
          <w:szCs w:val="24"/>
        </w:rPr>
        <w:t>Concernente, aos acadêmicos de enfermagem, proporcionará a ampliação do conhecimento tanto social, quanto filosófico da busca pela mulher referente à sua avidez pela autonomia de si, bem como os direitos e deveres que abarcam a saúde da mulher.</w:t>
      </w:r>
    </w:p>
    <w:p w:rsidR="00D24E61" w:rsidRPr="00771368" w:rsidRDefault="00D24E61">
      <w:pPr>
        <w:spacing w:line="90" w:lineRule="exact"/>
        <w:rPr>
          <w:sz w:val="20"/>
          <w:szCs w:val="20"/>
        </w:rPr>
      </w:pPr>
    </w:p>
    <w:p w:rsidR="00D24E61" w:rsidRPr="00771368" w:rsidRDefault="00D24E61">
      <w:pPr>
        <w:spacing w:line="343" w:lineRule="auto"/>
        <w:ind w:right="20" w:firstLine="850"/>
        <w:jc w:val="both"/>
        <w:rPr>
          <w:sz w:val="20"/>
          <w:szCs w:val="20"/>
        </w:rPr>
      </w:pPr>
      <w:r w:rsidRPr="00771368">
        <w:rPr>
          <w:sz w:val="24"/>
          <w:szCs w:val="24"/>
        </w:rPr>
        <w:t>Inerente à sociedade, apresentará a dimensão da representatividade da mulher na sociedade contemporânea e como as lutas e buscas pela sua liberdade de escolha influenciam o seu papel não apenas de mãe e esposa, mas sim de um ser tenaz e idealista frente à desigualdade social.</w:t>
      </w:r>
    </w:p>
    <w:p w:rsidR="00D24E61" w:rsidRPr="00771368" w:rsidRDefault="00D24E61">
      <w:pPr>
        <w:spacing w:line="304" w:lineRule="exact"/>
        <w:rPr>
          <w:sz w:val="20"/>
          <w:szCs w:val="20"/>
        </w:rPr>
      </w:pPr>
    </w:p>
    <w:p w:rsidR="00D24E61" w:rsidRPr="00771368" w:rsidRDefault="00D24E61">
      <w:pPr>
        <w:rPr>
          <w:sz w:val="20"/>
          <w:szCs w:val="20"/>
        </w:rPr>
      </w:pPr>
      <w:r w:rsidRPr="00771368">
        <w:rPr>
          <w:b/>
          <w:bCs/>
          <w:sz w:val="24"/>
          <w:szCs w:val="24"/>
        </w:rPr>
        <w:t>2. REFERENCIAL TEÓRICO</w:t>
      </w:r>
    </w:p>
    <w:p w:rsidR="00D24E61" w:rsidRPr="00771368" w:rsidRDefault="00D24E61">
      <w:pPr>
        <w:spacing w:line="272" w:lineRule="exact"/>
        <w:rPr>
          <w:sz w:val="20"/>
          <w:szCs w:val="20"/>
        </w:rPr>
      </w:pPr>
    </w:p>
    <w:p w:rsidR="00D24E61" w:rsidRPr="00771368" w:rsidRDefault="00D24E61">
      <w:pPr>
        <w:rPr>
          <w:sz w:val="20"/>
          <w:szCs w:val="20"/>
        </w:rPr>
      </w:pPr>
      <w:r w:rsidRPr="00771368">
        <w:rPr>
          <w:sz w:val="24"/>
          <w:szCs w:val="24"/>
        </w:rPr>
        <w:t>2.1 O ENFOQUE DE GÊNERO NA EVOLUÇÃO EM SAÚDE DA MULHER.</w:t>
      </w:r>
    </w:p>
    <w:p w:rsidR="00D24E61" w:rsidRPr="00771368" w:rsidRDefault="00D24E61">
      <w:pPr>
        <w:spacing w:line="334" w:lineRule="exact"/>
        <w:rPr>
          <w:sz w:val="20"/>
          <w:szCs w:val="20"/>
        </w:rPr>
      </w:pPr>
    </w:p>
    <w:p w:rsidR="00D24E61" w:rsidRPr="00771368" w:rsidRDefault="00D24E61">
      <w:pPr>
        <w:spacing w:line="342" w:lineRule="auto"/>
        <w:ind w:right="20" w:firstLine="850"/>
        <w:jc w:val="both"/>
        <w:rPr>
          <w:sz w:val="20"/>
          <w:szCs w:val="20"/>
        </w:rPr>
      </w:pPr>
      <w:r w:rsidRPr="00771368">
        <w:rPr>
          <w:sz w:val="24"/>
          <w:szCs w:val="24"/>
        </w:rPr>
        <w:t>As políticas e diretrizes que atuam na saúde do grupo feminino apresentam-se como reconhecedoras do processo saúde-doença, como construção social e está igualmente condicionado à característica das relações estabelecidas entre homens e mulheres e intragêneros, ou seja, homem e homem, mulher e mulher. Por isso, a articulação de gênero na</w:t>
      </w:r>
    </w:p>
    <w:p w:rsidR="00D24E61" w:rsidRPr="00771368" w:rsidRDefault="00D24E61">
      <w:pPr>
        <w:spacing w:line="312" w:lineRule="auto"/>
        <w:ind w:right="20"/>
        <w:jc w:val="both"/>
        <w:rPr>
          <w:sz w:val="20"/>
          <w:szCs w:val="20"/>
        </w:rPr>
      </w:pPr>
      <w:r w:rsidRPr="00771368">
        <w:rPr>
          <w:sz w:val="24"/>
          <w:szCs w:val="24"/>
        </w:rPr>
        <w:t>saúde e enfermagem é mais do que cabível no período histórico para ultrapassarmos nossas críticas e ampliar nossa consciência reflexiva frente às desigualdades.</w:t>
      </w:r>
    </w:p>
    <w:p w:rsidR="00D24E61" w:rsidRPr="00771368" w:rsidRDefault="00D24E61">
      <w:pPr>
        <w:spacing w:line="55" w:lineRule="exact"/>
        <w:rPr>
          <w:sz w:val="20"/>
          <w:szCs w:val="20"/>
        </w:rPr>
      </w:pPr>
    </w:p>
    <w:p w:rsidR="00D24E61" w:rsidRPr="00771368" w:rsidRDefault="00D24E61">
      <w:pPr>
        <w:ind w:left="840"/>
        <w:rPr>
          <w:sz w:val="20"/>
          <w:szCs w:val="20"/>
        </w:rPr>
      </w:pPr>
      <w:r w:rsidRPr="00771368">
        <w:rPr>
          <w:sz w:val="24"/>
          <w:szCs w:val="24"/>
        </w:rPr>
        <w:t>Assim, citamos Brasil (2009a) que nos diz:</w:t>
      </w:r>
    </w:p>
    <w:p w:rsidR="00D24E61" w:rsidRPr="00771368" w:rsidRDefault="00D24E61">
      <w:pPr>
        <w:spacing w:line="299" w:lineRule="exact"/>
        <w:rPr>
          <w:sz w:val="20"/>
          <w:szCs w:val="20"/>
        </w:rPr>
      </w:pPr>
    </w:p>
    <w:p w:rsidR="00D24E61" w:rsidRPr="00771368" w:rsidRDefault="00D24E61">
      <w:pPr>
        <w:spacing w:line="232" w:lineRule="auto"/>
        <w:ind w:left="2260" w:right="20"/>
        <w:jc w:val="both"/>
        <w:rPr>
          <w:sz w:val="20"/>
          <w:szCs w:val="20"/>
        </w:rPr>
      </w:pPr>
      <w:r w:rsidRPr="00771368">
        <w:rPr>
          <w:sz w:val="20"/>
          <w:szCs w:val="20"/>
        </w:rPr>
        <w:t xml:space="preserve">Encontram-se na literatura vários conceitos sobre saúde da mulher. Nas concepções mais restritas, o corpo da mulher é visto apenas na sua função reprodutiva e a maternidade torna-se seu principal atributo. A saúde da mulher limita-se à saúde materna ou à ausência de enfermidade associada ao processo de reprodução biológica. Nesse caso estão excluídos os direitos sexuais e as questões de gênero (COELHO, 2003 </w:t>
      </w:r>
      <w:r w:rsidRPr="00771368">
        <w:rPr>
          <w:i/>
          <w:iCs/>
          <w:sz w:val="20"/>
          <w:szCs w:val="20"/>
        </w:rPr>
        <w:t>apud</w:t>
      </w:r>
      <w:r w:rsidRPr="00771368">
        <w:rPr>
          <w:sz w:val="20"/>
          <w:szCs w:val="20"/>
        </w:rPr>
        <w:t xml:space="preserve"> BRASIL, 2009a, p. 11).</w:t>
      </w:r>
    </w:p>
    <w:p w:rsidR="00D24E61" w:rsidRPr="00771368" w:rsidRDefault="00D24E61">
      <w:pPr>
        <w:spacing w:line="334" w:lineRule="exact"/>
        <w:rPr>
          <w:sz w:val="20"/>
          <w:szCs w:val="20"/>
        </w:rPr>
      </w:pPr>
    </w:p>
    <w:p w:rsidR="00D24E61" w:rsidRPr="00771368" w:rsidRDefault="00D24E61">
      <w:pPr>
        <w:spacing w:line="335" w:lineRule="auto"/>
        <w:ind w:right="20" w:firstLine="850"/>
        <w:jc w:val="both"/>
        <w:rPr>
          <w:sz w:val="20"/>
          <w:szCs w:val="20"/>
        </w:rPr>
      </w:pPr>
      <w:r w:rsidRPr="00771368">
        <w:rPr>
          <w:sz w:val="24"/>
          <w:szCs w:val="24"/>
        </w:rPr>
        <w:t>Apreendemos no contexto histórico que incide a saúde da mulher que os enigmas de saúde da população feminina se volviam durante a gravidez e o parto. Mediante esses fatores a OMS (Organização Mundial de Saúde), nos revelam que:</w:t>
      </w:r>
    </w:p>
    <w:p w:rsidR="00D24E61" w:rsidRPr="00771368" w:rsidRDefault="00D24E61">
      <w:pPr>
        <w:spacing w:line="76" w:lineRule="exact"/>
        <w:rPr>
          <w:sz w:val="20"/>
          <w:szCs w:val="20"/>
        </w:rPr>
      </w:pPr>
    </w:p>
    <w:p w:rsidR="00D24E61" w:rsidRPr="00771368" w:rsidRDefault="00D24E61">
      <w:pPr>
        <w:spacing w:line="231" w:lineRule="auto"/>
        <w:ind w:left="2260" w:right="20"/>
        <w:jc w:val="both"/>
        <w:rPr>
          <w:sz w:val="20"/>
          <w:szCs w:val="20"/>
        </w:rPr>
      </w:pPr>
      <w:r w:rsidRPr="00771368">
        <w:rPr>
          <w:sz w:val="20"/>
          <w:szCs w:val="20"/>
        </w:rPr>
        <w:t>Uma abordagem baseada em gênero ampliou nossa compreensão dos problemas de saúde das mulheres e ajudou a identificar maneiras de aborda-las para as mulheres de todas as idades. Integrar perspectivas de gênero em saúde pública significa que as diferentes necessidades de homens e mulheres são consideradas em todas as fases da política e desenvolvimento do programa. O objetivo final é alcançar igualdade de gênero (OMS, 2012, p. 1).</w:t>
      </w:r>
    </w:p>
    <w:p w:rsidR="00D24E61" w:rsidRPr="00771368" w:rsidRDefault="00D24E61">
      <w:pPr>
        <w:spacing w:line="340" w:lineRule="exact"/>
        <w:rPr>
          <w:sz w:val="20"/>
          <w:szCs w:val="20"/>
        </w:rPr>
      </w:pPr>
    </w:p>
    <w:p w:rsidR="00D24E61" w:rsidRPr="00771368" w:rsidRDefault="00D24E61">
      <w:pPr>
        <w:spacing w:line="342" w:lineRule="auto"/>
        <w:ind w:firstLine="850"/>
        <w:jc w:val="both"/>
        <w:rPr>
          <w:sz w:val="20"/>
          <w:szCs w:val="20"/>
        </w:rPr>
      </w:pPr>
      <w:r w:rsidRPr="00771368">
        <w:rPr>
          <w:sz w:val="24"/>
          <w:szCs w:val="24"/>
        </w:rPr>
        <w:t>Deficiências do sistema de saúde privam as mulheres de cuidados em saúde pública na sociedade, entretanto esses problemas podem ser intuídos e devem ser desafiados, bem como as reais transformações sofridas pela mulher ao longo do século, cominaram, que as mesmas afrontassem por seus direitos assistenciais na saúde:</w:t>
      </w:r>
    </w:p>
    <w:p w:rsidR="00D24E61" w:rsidRPr="00771368" w:rsidRDefault="00D24E61">
      <w:pPr>
        <w:spacing w:line="72" w:lineRule="exact"/>
        <w:rPr>
          <w:sz w:val="20"/>
          <w:szCs w:val="20"/>
        </w:rPr>
      </w:pPr>
    </w:p>
    <w:p w:rsidR="00D24E61" w:rsidRPr="00771368" w:rsidRDefault="00D24E61">
      <w:pPr>
        <w:spacing w:line="231" w:lineRule="auto"/>
        <w:ind w:left="2260" w:right="20"/>
        <w:jc w:val="both"/>
        <w:rPr>
          <w:sz w:val="20"/>
          <w:szCs w:val="20"/>
        </w:rPr>
      </w:pPr>
      <w:r w:rsidRPr="00771368">
        <w:rPr>
          <w:sz w:val="20"/>
          <w:szCs w:val="20"/>
        </w:rPr>
        <w:t>No âmbito do movimento feminista brasileiro, As mulheres organizadas argumentavam que as desigualdades nas relações sociais entre homens e mulheres se traduziam também em problemas de saúde que afetavam particularmente a população feminina. Por isso, fazia-se necessário criticá-los, buscando identificar e propor processos políticos que promovessem mudanças na sociedade e consequentemente na qualidade de vida da população (BRASIL, 2009a, p. 16).</w:t>
      </w:r>
    </w:p>
    <w:p w:rsidR="00D24E61" w:rsidRPr="00771368" w:rsidRDefault="00D24E61">
      <w:pPr>
        <w:spacing w:line="340" w:lineRule="exact"/>
        <w:rPr>
          <w:sz w:val="20"/>
          <w:szCs w:val="20"/>
        </w:rPr>
      </w:pPr>
    </w:p>
    <w:p w:rsidR="00D24E61" w:rsidRPr="00771368" w:rsidRDefault="00D24E61">
      <w:pPr>
        <w:spacing w:line="349" w:lineRule="auto"/>
        <w:ind w:right="20" w:firstLine="850"/>
        <w:jc w:val="both"/>
        <w:rPr>
          <w:sz w:val="20"/>
          <w:szCs w:val="20"/>
        </w:rPr>
      </w:pPr>
      <w:r w:rsidRPr="00771368">
        <w:rPr>
          <w:sz w:val="24"/>
          <w:szCs w:val="24"/>
        </w:rPr>
        <w:t>Observamos que o movimento feminista induziu propostas na perspectiva de mudanças entre homens e mulheres que originaram o suporte à elaboração, execução e avaliação das políticas de saúde da mulher. A organização de tais mulheres reivindicavam seus reais papéis de sujeitos de direitos, exigindo ações que lhes proporcionassem melhorias das condições de saúde em todos os ciclos de vida, que contemplassem as particularidades dos díspares grupos populacionais:</w:t>
      </w:r>
    </w:p>
    <w:p w:rsidR="00D24E61" w:rsidRPr="00771368" w:rsidRDefault="00D24E61">
      <w:pPr>
        <w:spacing w:line="63" w:lineRule="exact"/>
        <w:rPr>
          <w:sz w:val="20"/>
          <w:szCs w:val="20"/>
        </w:rPr>
      </w:pPr>
    </w:p>
    <w:p w:rsidR="00D24E61" w:rsidRPr="00771368" w:rsidRDefault="00D24E61">
      <w:pPr>
        <w:spacing w:line="233" w:lineRule="auto"/>
        <w:ind w:left="2260"/>
        <w:jc w:val="both"/>
        <w:rPr>
          <w:sz w:val="20"/>
          <w:szCs w:val="20"/>
        </w:rPr>
      </w:pPr>
      <w:r w:rsidRPr="00771368">
        <w:rPr>
          <w:sz w:val="20"/>
          <w:szCs w:val="20"/>
        </w:rPr>
        <w:t>Embora o setor público no Brasil ainda continuasse privilegiando a atenção à gestante, na transição das décadas 60/70, começaram a surgir as entidades ditas não governamentais que desenvolviam programas verticais de planejamento familiar, sem outros cuidados à saúde das mulheres (BRASIL, 2001b, p. 14)</w:t>
      </w:r>
      <w:r w:rsidRPr="00771368">
        <w:rPr>
          <w:rFonts w:eastAsia="Arial"/>
        </w:rPr>
        <w:t>.</w:t>
      </w:r>
      <w:r w:rsidRPr="00771368">
        <w:rPr>
          <w:sz w:val="20"/>
          <w:szCs w:val="20"/>
        </w:rPr>
        <w:t xml:space="preserve"> Em 1984, o Ministério da Saúde elaborou o Programa de Assistência Integral à Saúde da Mulher (PAISM), marcando, sobretudo, uma ruptura conceitual com os princípios norteadores da política de saúde das mulheres e os critérios para eleição de prioridades neste campo (BRASIL, 1984 </w:t>
      </w:r>
      <w:r w:rsidRPr="00771368">
        <w:rPr>
          <w:i/>
          <w:iCs/>
          <w:sz w:val="20"/>
          <w:szCs w:val="20"/>
        </w:rPr>
        <w:t>apud</w:t>
      </w:r>
      <w:r w:rsidRPr="00771368">
        <w:rPr>
          <w:sz w:val="20"/>
          <w:szCs w:val="20"/>
        </w:rPr>
        <w:t xml:space="preserve"> BRASIL, 2009a, p. 16).</w:t>
      </w:r>
    </w:p>
    <w:p w:rsidR="00D24E61" w:rsidRPr="00771368" w:rsidRDefault="00D24E61">
      <w:pPr>
        <w:spacing w:line="200" w:lineRule="exact"/>
        <w:rPr>
          <w:sz w:val="20"/>
          <w:szCs w:val="20"/>
        </w:rPr>
      </w:pPr>
    </w:p>
    <w:p w:rsidR="00D24E61" w:rsidRPr="00771368" w:rsidRDefault="00D24E61">
      <w:pPr>
        <w:spacing w:line="343" w:lineRule="auto"/>
        <w:ind w:right="20" w:firstLine="850"/>
        <w:jc w:val="both"/>
        <w:rPr>
          <w:sz w:val="20"/>
          <w:szCs w:val="20"/>
        </w:rPr>
      </w:pPr>
      <w:r w:rsidRPr="00771368">
        <w:rPr>
          <w:sz w:val="24"/>
          <w:szCs w:val="24"/>
        </w:rPr>
        <w:t xml:space="preserve">Corroboramos com Coelho (2005) que gênero nos remete a articular sobre as relações sociais que denota articular sobre o poder “o gênero é um elemento constitutivo de relações sociais baseado nas diferenças percebidas entre os sexos, e o gênero é uma forma primeira de significar as relações de poder” (SCOTT, 1991 </w:t>
      </w:r>
      <w:r w:rsidRPr="00771368">
        <w:rPr>
          <w:i/>
          <w:iCs/>
          <w:sz w:val="24"/>
          <w:szCs w:val="24"/>
        </w:rPr>
        <w:t>apud</w:t>
      </w:r>
      <w:r w:rsidRPr="00771368">
        <w:rPr>
          <w:sz w:val="24"/>
          <w:szCs w:val="24"/>
        </w:rPr>
        <w:t xml:space="preserve"> COELHO, 2005, p. 346).</w:t>
      </w:r>
    </w:p>
    <w:p w:rsidR="00D24E61" w:rsidRPr="00771368" w:rsidRDefault="00D24E61">
      <w:pPr>
        <w:spacing w:line="79" w:lineRule="exact"/>
        <w:rPr>
          <w:sz w:val="20"/>
          <w:szCs w:val="20"/>
        </w:rPr>
      </w:pPr>
    </w:p>
    <w:p w:rsidR="00D24E61" w:rsidRPr="00771368" w:rsidRDefault="00D24E61">
      <w:pPr>
        <w:spacing w:line="347" w:lineRule="auto"/>
        <w:ind w:firstLine="850"/>
        <w:jc w:val="both"/>
        <w:rPr>
          <w:sz w:val="20"/>
          <w:szCs w:val="20"/>
        </w:rPr>
      </w:pPr>
      <w:r w:rsidRPr="00771368">
        <w:rPr>
          <w:sz w:val="24"/>
          <w:szCs w:val="24"/>
        </w:rPr>
        <w:t>Na transgressão da assistência à saúde no enfoque de gênero ainda são apontadas inúmeras lacunas, no ano de 2003 a Área Técnica de Saúde da Mulher expressou a necessidade de articulação com outras áreas técnicas e ações, como, atenção às mulheres rurais, com deficiência, negras, indígenas, presidiárias e lésbicas e a participação nas discussões e atividades sobre saúde da mulher e meio ambiente (BRASIL, 2009a).</w:t>
      </w:r>
    </w:p>
    <w:p w:rsidR="00D24E61" w:rsidRPr="00771368" w:rsidRDefault="00D24E61">
      <w:pPr>
        <w:spacing w:line="79" w:lineRule="exact"/>
        <w:rPr>
          <w:sz w:val="20"/>
          <w:szCs w:val="20"/>
        </w:rPr>
      </w:pPr>
    </w:p>
    <w:p w:rsidR="00D24E61" w:rsidRPr="00771368" w:rsidRDefault="00D24E61">
      <w:pPr>
        <w:spacing w:line="342" w:lineRule="auto"/>
        <w:ind w:right="20" w:firstLine="706"/>
        <w:jc w:val="both"/>
        <w:rPr>
          <w:sz w:val="20"/>
          <w:szCs w:val="20"/>
        </w:rPr>
      </w:pPr>
      <w:r w:rsidRPr="00771368">
        <w:rPr>
          <w:sz w:val="24"/>
          <w:szCs w:val="24"/>
        </w:rPr>
        <w:t>Abrangemos que ainda são muitos os paradigmas envoltos à cerca da assistência integral à saúde da mulher na tangente desigualdade de gêneros, porém ao nos colocar no papel de multiplicadores sociais, conseguimos transcender o modelo hegemônico de supremacia na contemporaneidade.</w:t>
      </w:r>
    </w:p>
    <w:p w:rsidR="00D24E61" w:rsidRPr="00771368" w:rsidRDefault="00D24E61">
      <w:pPr>
        <w:spacing w:line="299" w:lineRule="exact"/>
        <w:rPr>
          <w:sz w:val="20"/>
          <w:szCs w:val="20"/>
        </w:rPr>
      </w:pPr>
    </w:p>
    <w:p w:rsidR="00D24E61" w:rsidRPr="00771368" w:rsidRDefault="00D24E61">
      <w:pPr>
        <w:tabs>
          <w:tab w:val="left" w:pos="500"/>
          <w:tab w:val="left" w:pos="900"/>
          <w:tab w:val="left" w:pos="2620"/>
          <w:tab w:val="left" w:pos="4120"/>
          <w:tab w:val="left" w:pos="6140"/>
          <w:tab w:val="left" w:pos="6960"/>
        </w:tabs>
        <w:rPr>
          <w:sz w:val="20"/>
          <w:szCs w:val="20"/>
        </w:rPr>
      </w:pPr>
      <w:r w:rsidRPr="00771368">
        <w:rPr>
          <w:sz w:val="24"/>
          <w:szCs w:val="24"/>
        </w:rPr>
        <w:t>2.2</w:t>
      </w:r>
      <w:r w:rsidRPr="00771368">
        <w:rPr>
          <w:sz w:val="20"/>
          <w:szCs w:val="20"/>
        </w:rPr>
        <w:tab/>
      </w:r>
      <w:r w:rsidRPr="00771368">
        <w:rPr>
          <w:sz w:val="24"/>
          <w:szCs w:val="24"/>
        </w:rPr>
        <w:t>O</w:t>
      </w:r>
      <w:r w:rsidRPr="00771368">
        <w:rPr>
          <w:sz w:val="20"/>
          <w:szCs w:val="20"/>
        </w:rPr>
        <w:tab/>
      </w:r>
      <w:r w:rsidRPr="00771368">
        <w:rPr>
          <w:sz w:val="24"/>
          <w:szCs w:val="24"/>
        </w:rPr>
        <w:t>MOVIMENTO</w:t>
      </w:r>
      <w:r w:rsidRPr="00771368">
        <w:rPr>
          <w:sz w:val="20"/>
          <w:szCs w:val="20"/>
        </w:rPr>
        <w:tab/>
      </w:r>
      <w:r w:rsidRPr="00771368">
        <w:rPr>
          <w:sz w:val="24"/>
          <w:szCs w:val="24"/>
        </w:rPr>
        <w:t>FEMINISTA</w:t>
      </w:r>
      <w:r w:rsidRPr="00771368">
        <w:rPr>
          <w:sz w:val="20"/>
          <w:szCs w:val="20"/>
        </w:rPr>
        <w:tab/>
      </w:r>
      <w:r w:rsidRPr="00771368">
        <w:rPr>
          <w:sz w:val="24"/>
          <w:szCs w:val="24"/>
        </w:rPr>
        <w:t>INFLUENCIADO</w:t>
      </w:r>
      <w:r w:rsidRPr="00771368">
        <w:rPr>
          <w:sz w:val="20"/>
          <w:szCs w:val="20"/>
        </w:rPr>
        <w:tab/>
      </w:r>
      <w:r w:rsidRPr="00771368">
        <w:rPr>
          <w:sz w:val="24"/>
          <w:szCs w:val="24"/>
        </w:rPr>
        <w:t>PELA</w:t>
      </w:r>
      <w:r w:rsidRPr="00771368">
        <w:rPr>
          <w:sz w:val="20"/>
          <w:szCs w:val="20"/>
        </w:rPr>
        <w:tab/>
      </w:r>
      <w:r w:rsidRPr="00771368">
        <w:rPr>
          <w:sz w:val="24"/>
          <w:szCs w:val="24"/>
        </w:rPr>
        <w:t>FENOMENOLOGIA</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HEGELIANA.</w:t>
      </w:r>
    </w:p>
    <w:p w:rsidR="00D24E61" w:rsidRPr="00771368" w:rsidRDefault="00D24E61">
      <w:pPr>
        <w:spacing w:line="200" w:lineRule="exact"/>
        <w:rPr>
          <w:sz w:val="20"/>
          <w:szCs w:val="20"/>
        </w:rPr>
      </w:pPr>
    </w:p>
    <w:p w:rsidR="00D24E61" w:rsidRPr="00771368" w:rsidRDefault="00D24E61">
      <w:pPr>
        <w:spacing w:line="342" w:lineRule="auto"/>
        <w:ind w:right="20" w:firstLine="850"/>
        <w:jc w:val="both"/>
        <w:rPr>
          <w:sz w:val="20"/>
          <w:szCs w:val="20"/>
        </w:rPr>
      </w:pPr>
      <w:r w:rsidRPr="00771368">
        <w:rPr>
          <w:sz w:val="24"/>
          <w:szCs w:val="24"/>
        </w:rPr>
        <w:t>Na segunda década do século XXI alçamos que as ações do movimento feminista brasileiro foram decisivas para ampliar a articulação no desenvolvimento da igualdade de gênero, na qual suas exigências colocavam em pauta o reconhecimento dos direitos econômicos, sociais, culturais e ambientais (BRASIL, 2010c).</w:t>
      </w:r>
    </w:p>
    <w:p w:rsidR="00D24E61" w:rsidRPr="00771368" w:rsidRDefault="00D24E61">
      <w:pPr>
        <w:spacing w:line="83" w:lineRule="exact"/>
        <w:rPr>
          <w:sz w:val="20"/>
          <w:szCs w:val="20"/>
        </w:rPr>
      </w:pPr>
    </w:p>
    <w:p w:rsidR="00D24E61" w:rsidRPr="00771368" w:rsidRDefault="00D24E61">
      <w:pPr>
        <w:spacing w:line="351" w:lineRule="auto"/>
        <w:ind w:firstLine="850"/>
        <w:jc w:val="both"/>
        <w:rPr>
          <w:sz w:val="20"/>
          <w:szCs w:val="20"/>
        </w:rPr>
      </w:pPr>
      <w:r w:rsidRPr="00771368">
        <w:rPr>
          <w:sz w:val="24"/>
          <w:szCs w:val="24"/>
        </w:rPr>
        <w:t>Ao considerarmos o ajustamento dos indivíduos na sociedade abordamos os papéis que os mesmos desempenham, à mulher foi conferido o desempenho de papel atribuído que segundo Lakatos; Marconi (2008) denota atribuição social conferida externamente, efetuando-se independente de sua vontade. Em seus aspectos peculiares ao ser feminino, atribuíram-se as mudanças de papéis, no qual se distinguiu pela atuação de papel assumido, onde discorremos Lakatos; Marconi (2008, p. 105) “quando se assume um papel voluntariamente, por decisão pessoal”.</w:t>
      </w:r>
    </w:p>
    <w:p w:rsidR="00D24E61" w:rsidRPr="00771368" w:rsidRDefault="00D24E61">
      <w:pPr>
        <w:spacing w:line="335" w:lineRule="auto"/>
        <w:ind w:right="20" w:firstLine="850"/>
        <w:jc w:val="both"/>
        <w:rPr>
          <w:sz w:val="20"/>
          <w:szCs w:val="20"/>
        </w:rPr>
      </w:pPr>
      <w:r w:rsidRPr="00771368">
        <w:rPr>
          <w:sz w:val="24"/>
          <w:szCs w:val="24"/>
        </w:rPr>
        <w:t>Tais mudanças nos incitam expor a dialética de Hegel, que nos faz pensar o ser humano como singular e indivisível, o individuo capaz de transformar-se a todo instante, assim tomamos a dialética como a natureza da cientificidade. Contudo, citamos:</w:t>
      </w:r>
    </w:p>
    <w:p w:rsidR="00D24E61" w:rsidRPr="00771368" w:rsidRDefault="00D24E61">
      <w:pPr>
        <w:spacing w:line="76" w:lineRule="exact"/>
        <w:rPr>
          <w:sz w:val="20"/>
          <w:szCs w:val="20"/>
        </w:rPr>
      </w:pPr>
    </w:p>
    <w:p w:rsidR="00D24E61" w:rsidRPr="00771368" w:rsidRDefault="00D24E61">
      <w:pPr>
        <w:spacing w:line="232" w:lineRule="auto"/>
        <w:ind w:left="2260"/>
        <w:jc w:val="both"/>
        <w:rPr>
          <w:sz w:val="20"/>
          <w:szCs w:val="20"/>
        </w:rPr>
      </w:pPr>
      <w:r w:rsidRPr="00771368">
        <w:rPr>
          <w:sz w:val="20"/>
          <w:szCs w:val="20"/>
        </w:rPr>
        <w:t>As relações entre Hegel e a Dialética se determinam da realidade e do espírito, onde nasce a visão romântica da Dialética, mas leva-a ao seu termo e, assim, a conclui e então a supera, no sentido em que veremos. O “</w:t>
      </w:r>
      <w:r w:rsidRPr="00771368">
        <w:rPr>
          <w:i/>
          <w:iCs/>
          <w:sz w:val="20"/>
          <w:szCs w:val="20"/>
        </w:rPr>
        <w:t>Streben”</w:t>
      </w:r>
      <w:r w:rsidRPr="00771368">
        <w:rPr>
          <w:sz w:val="20"/>
          <w:szCs w:val="20"/>
        </w:rPr>
        <w:t xml:space="preserve"> infinito (ou seja, o “tender”) romântico através do conceito hegeliano do Espírito como “movimento-do-refletir-se-sobre-si-mesmo”, resolve-se e identifica-se em sentido positivo, porque é resgatado de sua indeterminação, vindo a coincidir com o auto-realizar-se e o autoconhecer-se do próprio Espírito (REALE; ANTISERI, p. 91-101).</w:t>
      </w:r>
    </w:p>
    <w:p w:rsidR="001F386E" w:rsidRDefault="001F386E">
      <w:pPr>
        <w:spacing w:line="343" w:lineRule="auto"/>
        <w:ind w:firstLine="850"/>
        <w:jc w:val="both"/>
        <w:rPr>
          <w:sz w:val="24"/>
          <w:szCs w:val="24"/>
        </w:rPr>
      </w:pPr>
    </w:p>
    <w:p w:rsidR="00D24E61" w:rsidRPr="00771368" w:rsidRDefault="00D24E61">
      <w:pPr>
        <w:spacing w:line="343" w:lineRule="auto"/>
        <w:ind w:firstLine="850"/>
        <w:jc w:val="both"/>
        <w:rPr>
          <w:sz w:val="20"/>
          <w:szCs w:val="20"/>
        </w:rPr>
      </w:pPr>
      <w:r w:rsidRPr="00771368">
        <w:rPr>
          <w:sz w:val="24"/>
          <w:szCs w:val="24"/>
        </w:rPr>
        <w:t>Ao interpretarmos o exposto por Hegel, percebemos a realidade como ostentação de novas formas, no qual o ser humano não existe destacado e independente do mundo, no entanto se diferenciando como um todo unido e coerente. Esta corrente filosófica busca refletir à cerca da realidade do individuo:</w:t>
      </w:r>
    </w:p>
    <w:p w:rsidR="00D24E61" w:rsidRPr="00771368" w:rsidRDefault="00D24E61">
      <w:pPr>
        <w:spacing w:line="67" w:lineRule="exact"/>
        <w:rPr>
          <w:sz w:val="20"/>
          <w:szCs w:val="20"/>
        </w:rPr>
      </w:pPr>
    </w:p>
    <w:p w:rsidR="00D24E61" w:rsidRPr="00771368" w:rsidRDefault="00D24E61">
      <w:pPr>
        <w:spacing w:line="230" w:lineRule="auto"/>
        <w:ind w:left="2260"/>
        <w:jc w:val="both"/>
        <w:rPr>
          <w:sz w:val="20"/>
          <w:szCs w:val="20"/>
        </w:rPr>
      </w:pPr>
      <w:r w:rsidRPr="00771368">
        <w:rPr>
          <w:sz w:val="20"/>
          <w:szCs w:val="20"/>
        </w:rPr>
        <w:t>O espírito se autogera, gerando ao mesmo tempo a sua própria determinação e superando-a plenamente. O espírito é infinito, não de modo puramente exigencial, mas de modo sempre ativo realizando-se. Então, o Espírito infinito hegeliano é como círculo, na qual princípio e fim coincidem de modo dinâmico (REALE; ANTISERI, p.109).</w:t>
      </w:r>
    </w:p>
    <w:p w:rsidR="00D24E61" w:rsidRPr="00771368" w:rsidRDefault="00D24E61">
      <w:pPr>
        <w:spacing w:line="336" w:lineRule="exact"/>
        <w:rPr>
          <w:sz w:val="20"/>
          <w:szCs w:val="20"/>
        </w:rPr>
      </w:pPr>
    </w:p>
    <w:p w:rsidR="00D24E61" w:rsidRPr="00771368" w:rsidRDefault="00D24E61">
      <w:pPr>
        <w:spacing w:line="343" w:lineRule="auto"/>
        <w:ind w:right="20" w:firstLine="850"/>
        <w:jc w:val="both"/>
        <w:rPr>
          <w:sz w:val="20"/>
          <w:szCs w:val="20"/>
        </w:rPr>
      </w:pPr>
      <w:r w:rsidRPr="00771368">
        <w:rPr>
          <w:sz w:val="24"/>
          <w:szCs w:val="24"/>
        </w:rPr>
        <w:t>Denota-se que no período secular a mulher precisou reconhecer que deveria mudar não apenas perante a sociedade, mas também em seu processo histórico que na filosofia é expresso pela palavra Devir, onde constitui que todo ser possui uma história, colocando-o como movimento mutável, a qual epílogo e fim são processos inseparáveis (MOURA, 2001).</w:t>
      </w:r>
    </w:p>
    <w:p w:rsidR="00D24E61" w:rsidRPr="00771368" w:rsidRDefault="00D24E61">
      <w:pPr>
        <w:spacing w:line="79" w:lineRule="exact"/>
        <w:rPr>
          <w:sz w:val="20"/>
          <w:szCs w:val="20"/>
        </w:rPr>
      </w:pPr>
    </w:p>
    <w:p w:rsidR="00D24E61" w:rsidRPr="00771368" w:rsidRDefault="00D24E61">
      <w:pPr>
        <w:spacing w:line="308" w:lineRule="auto"/>
        <w:ind w:right="20" w:firstLine="711"/>
        <w:jc w:val="both"/>
        <w:rPr>
          <w:sz w:val="20"/>
          <w:szCs w:val="20"/>
        </w:rPr>
      </w:pPr>
      <w:r w:rsidRPr="00771368">
        <w:rPr>
          <w:sz w:val="24"/>
          <w:szCs w:val="24"/>
        </w:rPr>
        <w:t>Sabedora de sua mudança, a mulher em seu processo histórico se prevalece na dimensão da contradição dialética, Chauí (2006) profere que:</w:t>
      </w:r>
    </w:p>
    <w:p w:rsidR="00D24E61" w:rsidRPr="00771368" w:rsidRDefault="00D24E61">
      <w:pPr>
        <w:spacing w:line="110" w:lineRule="exact"/>
        <w:rPr>
          <w:sz w:val="20"/>
          <w:szCs w:val="20"/>
        </w:rPr>
      </w:pPr>
    </w:p>
    <w:p w:rsidR="00D24E61" w:rsidRPr="00771368" w:rsidRDefault="00D24E61">
      <w:pPr>
        <w:spacing w:line="231" w:lineRule="auto"/>
        <w:ind w:left="2260"/>
        <w:jc w:val="both"/>
        <w:rPr>
          <w:sz w:val="20"/>
          <w:szCs w:val="20"/>
        </w:rPr>
      </w:pPr>
      <w:r w:rsidRPr="00771368">
        <w:rPr>
          <w:sz w:val="20"/>
          <w:szCs w:val="20"/>
        </w:rPr>
        <w:t>A contradição dialética nos revela que em lugar de tomarmos dois sujeitos contrários, cada qual com seus predicados, e examinarmos a oposição entre eles, devemos compreender que um só e mesmo sujeito é constituído por predicados contraditórios, por uma afirmação e uma negação interna, e que o trabalho que o sujeito realiza para superar essa contradição é o movimento do próprio tempo, é a própria história (CHAUÍ, 2006, p. 248).</w:t>
      </w:r>
    </w:p>
    <w:p w:rsidR="00D24E61" w:rsidRPr="00771368" w:rsidRDefault="00D24E61">
      <w:pPr>
        <w:spacing w:line="340" w:lineRule="exact"/>
        <w:rPr>
          <w:sz w:val="20"/>
          <w:szCs w:val="20"/>
        </w:rPr>
      </w:pPr>
    </w:p>
    <w:p w:rsidR="00D24E61" w:rsidRPr="00771368" w:rsidRDefault="00D24E61">
      <w:pPr>
        <w:spacing w:line="347" w:lineRule="auto"/>
        <w:ind w:right="20" w:firstLine="711"/>
        <w:jc w:val="both"/>
        <w:rPr>
          <w:sz w:val="20"/>
          <w:szCs w:val="20"/>
        </w:rPr>
      </w:pPr>
      <w:r w:rsidRPr="00771368">
        <w:rPr>
          <w:sz w:val="24"/>
          <w:szCs w:val="24"/>
        </w:rPr>
        <w:t>A deveras, ao alçarmos as palavras do filósofo Georg. W. Hegel, denotamos que a mulher com exatidão tornou ciente sua necessidade de mudar, ou seja, re-transformar e adquirir autonomia sobre seu processo histórico e para reafirmar esta mudança, citamos o revolucionário movimento feminista, que não apenas cingiu a representatividade da mulher tenaz brasileira, mas sim sua necessidade de auto-realização.</w:t>
      </w:r>
    </w:p>
    <w:p w:rsidR="00D24E61" w:rsidRPr="00771368" w:rsidRDefault="00D24E61">
      <w:pPr>
        <w:spacing w:line="63" w:lineRule="exact"/>
        <w:rPr>
          <w:sz w:val="20"/>
          <w:szCs w:val="20"/>
        </w:rPr>
      </w:pPr>
    </w:p>
    <w:p w:rsidR="00D24E61" w:rsidRPr="00771368" w:rsidRDefault="00D24E61">
      <w:pPr>
        <w:spacing w:line="231" w:lineRule="auto"/>
        <w:ind w:left="2260" w:right="20"/>
        <w:jc w:val="both"/>
        <w:rPr>
          <w:sz w:val="20"/>
          <w:szCs w:val="20"/>
        </w:rPr>
      </w:pPr>
      <w:r w:rsidRPr="00771368">
        <w:rPr>
          <w:sz w:val="20"/>
          <w:szCs w:val="20"/>
        </w:rPr>
        <w:t>O principal compromisso social da ciência é a produção de teorias interpretativas do real, sendo, neste sentido importante que questione o saber existente para poder ultrapassá-lo, produzindo novas visões que serão sempre inacabadas e superáveis como condição de existência. Neste sentido, enquanto guia para a elaboração de conceitos, teoria e modelos, o paradigma expressa uma concepção teórica social e historicamente determinada (FONSECA, 1997, p.1).</w:t>
      </w:r>
    </w:p>
    <w:p w:rsidR="00D24E61" w:rsidRPr="00771368" w:rsidRDefault="00D24E61">
      <w:pPr>
        <w:spacing w:line="340" w:lineRule="exact"/>
        <w:rPr>
          <w:sz w:val="20"/>
          <w:szCs w:val="20"/>
        </w:rPr>
      </w:pPr>
    </w:p>
    <w:p w:rsidR="00D24E61" w:rsidRPr="00771368" w:rsidRDefault="00D24E61">
      <w:pPr>
        <w:spacing w:line="308" w:lineRule="auto"/>
        <w:ind w:right="20" w:firstLine="711"/>
        <w:rPr>
          <w:sz w:val="20"/>
          <w:szCs w:val="20"/>
        </w:rPr>
      </w:pPr>
      <w:r w:rsidRPr="00771368">
        <w:rPr>
          <w:sz w:val="24"/>
          <w:szCs w:val="24"/>
        </w:rPr>
        <w:t xml:space="preserve">Hegel propaga a mudança com a palavra </w:t>
      </w:r>
      <w:r w:rsidRPr="00771368">
        <w:rPr>
          <w:i/>
          <w:iCs/>
          <w:sz w:val="24"/>
          <w:szCs w:val="24"/>
        </w:rPr>
        <w:t>espírito,</w:t>
      </w:r>
      <w:r w:rsidRPr="00771368">
        <w:rPr>
          <w:sz w:val="24"/>
          <w:szCs w:val="24"/>
        </w:rPr>
        <w:t xml:space="preserve"> como sujeito real e ativo da transformação. Corroboramos com a interpretação hegeliana de Chauí (2008) quando expõe</w:t>
      </w:r>
    </w:p>
    <w:p w:rsidR="00D24E61" w:rsidRPr="00771368" w:rsidRDefault="00D24E61">
      <w:pPr>
        <w:spacing w:line="118" w:lineRule="exact"/>
        <w:rPr>
          <w:sz w:val="20"/>
          <w:szCs w:val="20"/>
        </w:rPr>
      </w:pPr>
    </w:p>
    <w:p w:rsidR="00D24E61" w:rsidRPr="00771368" w:rsidRDefault="00D24E61">
      <w:pPr>
        <w:spacing w:line="312" w:lineRule="auto"/>
        <w:rPr>
          <w:sz w:val="20"/>
          <w:szCs w:val="20"/>
        </w:rPr>
      </w:pPr>
      <w:r w:rsidRPr="00771368">
        <w:rPr>
          <w:sz w:val="24"/>
          <w:szCs w:val="24"/>
        </w:rPr>
        <w:t xml:space="preserve">“que o movimento da história é reflexivo e somente um </w:t>
      </w:r>
      <w:r w:rsidRPr="00771368">
        <w:rPr>
          <w:i/>
          <w:iCs/>
          <w:sz w:val="24"/>
          <w:szCs w:val="24"/>
        </w:rPr>
        <w:t>espírito</w:t>
      </w:r>
      <w:r w:rsidRPr="00771368">
        <w:rPr>
          <w:sz w:val="24"/>
          <w:szCs w:val="24"/>
        </w:rPr>
        <w:t xml:space="preserve"> é capaz de reflexão, isto é, de voltar-se sobe si mesmo e de conhecer-se a si mesmo” (CHAUÍ, 2008, p. 248).</w:t>
      </w:r>
    </w:p>
    <w:p w:rsidR="00D24E61" w:rsidRPr="00771368" w:rsidRDefault="00D24E61">
      <w:pPr>
        <w:spacing w:line="113" w:lineRule="exact"/>
        <w:rPr>
          <w:sz w:val="20"/>
          <w:szCs w:val="20"/>
        </w:rPr>
      </w:pPr>
    </w:p>
    <w:p w:rsidR="00D24E61" w:rsidRPr="00771368" w:rsidRDefault="00D24E61">
      <w:pPr>
        <w:spacing w:line="308" w:lineRule="auto"/>
        <w:ind w:right="20" w:firstLine="711"/>
        <w:rPr>
          <w:sz w:val="20"/>
          <w:szCs w:val="20"/>
        </w:rPr>
      </w:pPr>
      <w:r w:rsidRPr="00771368">
        <w:rPr>
          <w:sz w:val="24"/>
          <w:szCs w:val="24"/>
        </w:rPr>
        <w:t>Compreende-se que no processo histórico de luta pela autonomia de sua saúde, foi preciso que a mulher questionasse o seu saber existente e dessa forma ultrapassá-lo, pois é na</w:t>
      </w:r>
    </w:p>
    <w:p w:rsidR="00D24E61" w:rsidRPr="00771368" w:rsidRDefault="00D24E61">
      <w:pPr>
        <w:sectPr w:rsidR="00D24E61" w:rsidRPr="00771368">
          <w:pgSz w:w="11900" w:h="16838"/>
          <w:pgMar w:top="702" w:right="1400" w:bottom="1089" w:left="1420" w:header="0" w:footer="0" w:gutter="0"/>
          <w:cols w:space="720" w:equalWidth="0">
            <w:col w:w="9080"/>
          </w:cols>
        </w:sectPr>
      </w:pPr>
    </w:p>
    <w:p w:rsidR="00D24E61" w:rsidRPr="00771368" w:rsidRDefault="00D24E61">
      <w:pPr>
        <w:spacing w:line="312" w:lineRule="auto"/>
        <w:ind w:right="20"/>
        <w:jc w:val="both"/>
        <w:rPr>
          <w:sz w:val="20"/>
          <w:szCs w:val="20"/>
        </w:rPr>
      </w:pPr>
      <w:r w:rsidRPr="00771368">
        <w:rPr>
          <w:sz w:val="24"/>
          <w:szCs w:val="24"/>
        </w:rPr>
        <w:t>inconclusão do ser que se sabe inconcluso que ocorre o permanente processo de busca e de procura alicerçado na perspectiva de igualdade entre seres.</w:t>
      </w:r>
    </w:p>
    <w:p w:rsidR="00D24E61" w:rsidRPr="00771368" w:rsidRDefault="00D24E61">
      <w:pPr>
        <w:spacing w:line="329" w:lineRule="exact"/>
        <w:rPr>
          <w:sz w:val="20"/>
          <w:szCs w:val="20"/>
        </w:rPr>
      </w:pPr>
    </w:p>
    <w:p w:rsidR="00D24E61" w:rsidRPr="00771368" w:rsidRDefault="00D24E61">
      <w:pPr>
        <w:rPr>
          <w:sz w:val="20"/>
          <w:szCs w:val="20"/>
        </w:rPr>
      </w:pPr>
      <w:r w:rsidRPr="00771368">
        <w:rPr>
          <w:sz w:val="24"/>
          <w:szCs w:val="24"/>
        </w:rPr>
        <w:t>2.3 A REPRESENTAÇÃO DO GÊNERO E SUA INFLUÊNCIA NA ENFERMAGEM.</w:t>
      </w:r>
    </w:p>
    <w:p w:rsidR="00D24E61" w:rsidRPr="00771368" w:rsidRDefault="00D24E61">
      <w:pPr>
        <w:spacing w:line="334" w:lineRule="exact"/>
        <w:rPr>
          <w:sz w:val="20"/>
          <w:szCs w:val="20"/>
        </w:rPr>
      </w:pPr>
    </w:p>
    <w:p w:rsidR="00D24E61" w:rsidRPr="00771368" w:rsidRDefault="00D24E61">
      <w:pPr>
        <w:spacing w:line="343" w:lineRule="auto"/>
        <w:ind w:right="20" w:firstLine="850"/>
        <w:jc w:val="both"/>
        <w:rPr>
          <w:sz w:val="20"/>
          <w:szCs w:val="20"/>
        </w:rPr>
      </w:pPr>
      <w:r w:rsidRPr="00771368">
        <w:rPr>
          <w:sz w:val="24"/>
          <w:szCs w:val="24"/>
        </w:rPr>
        <w:t>A disposição do ser na sociedade decorre da interação entre distintas categorias, que advém, muitas vezes, de características biológicas que ao expressarem uma condição de desigualdade no espaço social, igualmente determinam o papel social de cada um, o que de fato influência na assistência a saúde.</w:t>
      </w:r>
    </w:p>
    <w:p w:rsidR="00D24E61" w:rsidRPr="00771368" w:rsidRDefault="00D24E61">
      <w:pPr>
        <w:spacing w:line="67" w:lineRule="exact"/>
        <w:rPr>
          <w:sz w:val="20"/>
          <w:szCs w:val="20"/>
        </w:rPr>
      </w:pPr>
    </w:p>
    <w:p w:rsidR="00D24E61" w:rsidRPr="00771368" w:rsidRDefault="00D24E61">
      <w:pPr>
        <w:spacing w:line="235" w:lineRule="auto"/>
        <w:ind w:left="2260" w:firstLine="14"/>
        <w:jc w:val="both"/>
        <w:rPr>
          <w:sz w:val="20"/>
          <w:szCs w:val="20"/>
        </w:rPr>
      </w:pPr>
      <w:r w:rsidRPr="00771368">
        <w:rPr>
          <w:sz w:val="20"/>
          <w:szCs w:val="20"/>
        </w:rPr>
        <w:t>Quando investigamos a prática da enfermagem na atenção à saúde, deparamo-nos com uma problemática que envolve questões da conjuntura social, econômica e política que influenciam a formulação e implementação das políticas de saúde. Na articulação gênero, saúde e enfermagem, não perderíamos a oportunidade de falar de um campo de exercício do nosso saber-fazer profissional em que as relações de gênero participam fortemente do processo saúde doença: o campo da atenção à saúde da mulher. Nos espaços de cuidado à saúde das mulheres, a problemática de gênero mostra sua complexidade na singularidade da vida de cada uma delas (COELHO, 2005, p.3).</w:t>
      </w:r>
    </w:p>
    <w:p w:rsidR="00D24E61" w:rsidRPr="00771368" w:rsidRDefault="00D24E61">
      <w:pPr>
        <w:spacing w:line="333" w:lineRule="exact"/>
        <w:rPr>
          <w:sz w:val="20"/>
          <w:szCs w:val="20"/>
        </w:rPr>
      </w:pPr>
    </w:p>
    <w:p w:rsidR="00D24E61" w:rsidRPr="00771368" w:rsidRDefault="00D24E61">
      <w:pPr>
        <w:spacing w:line="347" w:lineRule="auto"/>
        <w:ind w:right="20" w:firstLine="850"/>
        <w:jc w:val="both"/>
        <w:rPr>
          <w:sz w:val="20"/>
          <w:szCs w:val="20"/>
        </w:rPr>
      </w:pPr>
      <w:r w:rsidRPr="00771368">
        <w:rPr>
          <w:sz w:val="24"/>
          <w:szCs w:val="24"/>
        </w:rPr>
        <w:t>A Enfermagem é uma das profissões que mais proveem contato direto com os usuários de saúde, o Código de Ética de enfermagem em seu art. 15º informa que é responsabilidade e dever do profissional enfermeiro (a) “Prestar assistência de enfermagem sem discriminação de qualquer natureza” (COREN-RJ, 2009-2011, p. 63), portanto ressaltamos legislações que nos respaldam:</w:t>
      </w:r>
    </w:p>
    <w:p w:rsidR="00D24E61" w:rsidRPr="00771368" w:rsidRDefault="00D24E61">
      <w:pPr>
        <w:spacing w:line="62" w:lineRule="exact"/>
        <w:rPr>
          <w:sz w:val="20"/>
          <w:szCs w:val="20"/>
        </w:rPr>
      </w:pPr>
    </w:p>
    <w:p w:rsidR="00D24E61" w:rsidRPr="00771368" w:rsidRDefault="00D24E61">
      <w:pPr>
        <w:spacing w:line="215" w:lineRule="auto"/>
        <w:ind w:left="2260"/>
        <w:rPr>
          <w:sz w:val="20"/>
          <w:szCs w:val="20"/>
        </w:rPr>
      </w:pPr>
      <w:r w:rsidRPr="00771368">
        <w:rPr>
          <w:sz w:val="20"/>
          <w:szCs w:val="20"/>
        </w:rPr>
        <w:t>Considerando que a partir da década de 60 vem sendo incorporada gradativamente, em instituições de saúde pública, a consulta de Enfermagem, como atividade-fim. O</w:t>
      </w:r>
    </w:p>
    <w:p w:rsidR="00D24E61" w:rsidRPr="00771368" w:rsidRDefault="00D24E61">
      <w:pPr>
        <w:spacing w:line="2" w:lineRule="exact"/>
        <w:rPr>
          <w:sz w:val="20"/>
          <w:szCs w:val="20"/>
        </w:rPr>
      </w:pPr>
    </w:p>
    <w:p w:rsidR="00D24E61" w:rsidRPr="00771368" w:rsidRDefault="00D24E61">
      <w:pPr>
        <w:spacing w:line="239" w:lineRule="auto"/>
        <w:ind w:left="2260"/>
        <w:rPr>
          <w:sz w:val="20"/>
          <w:szCs w:val="20"/>
        </w:rPr>
      </w:pPr>
      <w:r w:rsidRPr="00771368">
        <w:rPr>
          <w:sz w:val="20"/>
          <w:szCs w:val="20"/>
        </w:rPr>
        <w:t>Art. 11º, inciso I, alínea “i” da Lei 7.498 de 25 de Junho de 1986, e no decreto</w:t>
      </w:r>
    </w:p>
    <w:p w:rsidR="00D24E61" w:rsidRPr="00771368" w:rsidRDefault="00D24E61">
      <w:pPr>
        <w:spacing w:line="48" w:lineRule="exact"/>
        <w:rPr>
          <w:sz w:val="20"/>
          <w:szCs w:val="20"/>
        </w:rPr>
      </w:pPr>
    </w:p>
    <w:p w:rsidR="00D24E61" w:rsidRPr="00771368" w:rsidRDefault="00D24E61">
      <w:pPr>
        <w:spacing w:line="215" w:lineRule="auto"/>
        <w:ind w:left="2260" w:right="20"/>
        <w:rPr>
          <w:sz w:val="20"/>
          <w:szCs w:val="20"/>
        </w:rPr>
      </w:pPr>
      <w:r w:rsidRPr="00771368">
        <w:rPr>
          <w:sz w:val="20"/>
          <w:szCs w:val="20"/>
        </w:rPr>
        <w:t>94.406/87, que regulamenta, onde legitima a Consulta de Enfermagem e determina como sendo uma atividade privativa do enfermeiro (COFEN, 2009-2011, p. 9-15).</w:t>
      </w:r>
    </w:p>
    <w:p w:rsidR="00D24E61" w:rsidRPr="00771368" w:rsidRDefault="00D24E61">
      <w:pPr>
        <w:spacing w:line="334" w:lineRule="exact"/>
        <w:rPr>
          <w:sz w:val="20"/>
          <w:szCs w:val="20"/>
        </w:rPr>
      </w:pPr>
    </w:p>
    <w:p w:rsidR="00D24E61" w:rsidRPr="00771368" w:rsidRDefault="00D24E61">
      <w:pPr>
        <w:spacing w:line="343" w:lineRule="auto"/>
        <w:ind w:right="20" w:firstLine="850"/>
        <w:jc w:val="both"/>
        <w:rPr>
          <w:sz w:val="20"/>
          <w:szCs w:val="20"/>
        </w:rPr>
      </w:pPr>
      <w:r w:rsidRPr="00771368">
        <w:rPr>
          <w:sz w:val="24"/>
          <w:szCs w:val="24"/>
        </w:rPr>
        <w:t>Entende-se que a Enfermagem decorre em processos que envolvam a conjuntura social, onde suas ações se direcionam ao perfil social e o acompanhamento do ser humano em sua evolução de infância ao idoso, sem distinção de gêneros. A representação social da Enfermagem passou a ser idealizada em todos os setores da saúde.</w:t>
      </w:r>
    </w:p>
    <w:p w:rsidR="00D24E61" w:rsidRPr="00771368" w:rsidRDefault="00D24E61">
      <w:pPr>
        <w:spacing w:line="21" w:lineRule="exact"/>
        <w:rPr>
          <w:sz w:val="20"/>
          <w:szCs w:val="20"/>
        </w:rPr>
      </w:pPr>
    </w:p>
    <w:p w:rsidR="00D24E61" w:rsidRPr="00771368" w:rsidRDefault="00D24E61">
      <w:pPr>
        <w:ind w:left="840"/>
        <w:rPr>
          <w:sz w:val="20"/>
          <w:szCs w:val="20"/>
        </w:rPr>
      </w:pPr>
      <w:r w:rsidRPr="00771368">
        <w:rPr>
          <w:sz w:val="24"/>
          <w:szCs w:val="24"/>
        </w:rPr>
        <w:t>Dentre estes aspectos citamos:</w:t>
      </w:r>
    </w:p>
    <w:p w:rsidR="00D24E61" w:rsidRPr="00771368" w:rsidRDefault="00D24E61">
      <w:pPr>
        <w:spacing w:line="188" w:lineRule="exact"/>
        <w:rPr>
          <w:sz w:val="20"/>
          <w:szCs w:val="20"/>
        </w:rPr>
      </w:pPr>
    </w:p>
    <w:p w:rsidR="00D24E61" w:rsidRPr="00771368" w:rsidRDefault="00D24E61">
      <w:pPr>
        <w:spacing w:line="232" w:lineRule="auto"/>
        <w:ind w:left="2260" w:right="20"/>
        <w:jc w:val="both"/>
        <w:rPr>
          <w:sz w:val="20"/>
          <w:szCs w:val="20"/>
        </w:rPr>
      </w:pPr>
      <w:r w:rsidRPr="00771368">
        <w:rPr>
          <w:sz w:val="20"/>
          <w:szCs w:val="20"/>
        </w:rPr>
        <w:t>(...) por essa razão, torna-se necessário o entendimento de que o (a) cliente precisa ser cuidado (a) na sua totalidade, o que implica discutir as categorias que o compõem, tais como etnia, classe, gênero, sexualidade, geração, nacionalidade e religião. Assim, é importante salientar a amplitude que a adoção da categoria gênero possibilita para entender determinadas práticas de assistência à saúde e de enfermagem, propiciando desta forma uma visibilidade maior para possíveis desigualdades de gênero (MUROYA; AUAD; BRÊTAS, 2010, p.5).</w:t>
      </w:r>
    </w:p>
    <w:p w:rsidR="00D24E61" w:rsidRPr="00771368" w:rsidRDefault="00D24E61">
      <w:pPr>
        <w:sectPr w:rsidR="00D24E61" w:rsidRPr="00771368">
          <w:pgSz w:w="11900" w:h="16838"/>
          <w:pgMar w:top="702" w:right="1400" w:bottom="1440" w:left="1420" w:header="0" w:footer="0" w:gutter="0"/>
          <w:cols w:space="720" w:equalWidth="0">
            <w:col w:w="9080"/>
          </w:cols>
        </w:sectPr>
      </w:pPr>
    </w:p>
    <w:p w:rsidR="00D24E61" w:rsidRPr="00771368" w:rsidRDefault="00D24E61">
      <w:pPr>
        <w:spacing w:line="338" w:lineRule="exact"/>
        <w:rPr>
          <w:sz w:val="20"/>
          <w:szCs w:val="20"/>
        </w:rPr>
      </w:pPr>
    </w:p>
    <w:p w:rsidR="00D24E61" w:rsidRPr="00771368" w:rsidRDefault="00D24E61">
      <w:pPr>
        <w:spacing w:line="312" w:lineRule="auto"/>
        <w:ind w:firstLine="850"/>
        <w:rPr>
          <w:sz w:val="20"/>
          <w:szCs w:val="20"/>
        </w:rPr>
      </w:pPr>
      <w:r w:rsidRPr="00771368">
        <w:rPr>
          <w:sz w:val="24"/>
          <w:szCs w:val="24"/>
        </w:rPr>
        <w:t>Contribui-se que na enfermagem a abordagem de gênero possui relevância singular, na qual nos implica refletir os conflitos que são trazidos para o campo profissional durante a</w:t>
      </w:r>
    </w:p>
    <w:p w:rsidR="00D24E61" w:rsidRPr="00771368" w:rsidRDefault="00D24E61">
      <w:pPr>
        <w:sectPr w:rsidR="00D24E61" w:rsidRPr="00771368">
          <w:type w:val="continuous"/>
          <w:pgSz w:w="11900" w:h="16838"/>
          <w:pgMar w:top="702" w:right="1420" w:bottom="1440" w:left="1420" w:header="0" w:footer="0" w:gutter="0"/>
          <w:cols w:space="720" w:equalWidth="0">
            <w:col w:w="9060"/>
          </w:cols>
        </w:sectPr>
      </w:pPr>
    </w:p>
    <w:p w:rsidR="00D24E61" w:rsidRPr="00771368" w:rsidRDefault="00D24E61">
      <w:pPr>
        <w:spacing w:line="239" w:lineRule="auto"/>
        <w:jc w:val="right"/>
        <w:rPr>
          <w:sz w:val="20"/>
          <w:szCs w:val="20"/>
        </w:rPr>
      </w:pPr>
    </w:p>
    <w:p w:rsidR="00D24E61" w:rsidRPr="00771368" w:rsidRDefault="00D24E61">
      <w:pPr>
        <w:spacing w:line="312" w:lineRule="auto"/>
        <w:ind w:right="20"/>
        <w:jc w:val="both"/>
        <w:rPr>
          <w:sz w:val="20"/>
          <w:szCs w:val="20"/>
        </w:rPr>
      </w:pPr>
      <w:r w:rsidRPr="00771368">
        <w:rPr>
          <w:sz w:val="24"/>
          <w:szCs w:val="24"/>
        </w:rPr>
        <w:t>assistência, afirmamos a necessidade social da enfermagem que transcende a disposição das primeiras sociedades humanas, uma vez que esta se identifica com a totalidade igualitária.</w:t>
      </w:r>
    </w:p>
    <w:p w:rsidR="00D24E61" w:rsidRPr="00771368" w:rsidRDefault="00D24E61">
      <w:pPr>
        <w:spacing w:line="329" w:lineRule="exact"/>
        <w:rPr>
          <w:sz w:val="20"/>
          <w:szCs w:val="20"/>
        </w:rPr>
      </w:pPr>
    </w:p>
    <w:p w:rsidR="00D24E61" w:rsidRPr="00771368" w:rsidRDefault="00D24E61">
      <w:pPr>
        <w:tabs>
          <w:tab w:val="left" w:pos="620"/>
          <w:tab w:val="left" w:pos="1140"/>
          <w:tab w:val="left" w:pos="2600"/>
          <w:tab w:val="left" w:pos="3300"/>
          <w:tab w:val="left" w:pos="5000"/>
          <w:tab w:val="left" w:pos="7480"/>
          <w:tab w:val="left" w:pos="8740"/>
        </w:tabs>
        <w:spacing w:line="239" w:lineRule="auto"/>
        <w:rPr>
          <w:sz w:val="20"/>
          <w:szCs w:val="20"/>
        </w:rPr>
      </w:pPr>
      <w:r w:rsidRPr="00771368">
        <w:rPr>
          <w:sz w:val="24"/>
          <w:szCs w:val="24"/>
        </w:rPr>
        <w:t>2.4</w:t>
      </w:r>
      <w:r w:rsidRPr="00771368">
        <w:rPr>
          <w:sz w:val="20"/>
          <w:szCs w:val="20"/>
        </w:rPr>
        <w:tab/>
      </w:r>
      <w:r w:rsidRPr="00771368">
        <w:rPr>
          <w:sz w:val="24"/>
          <w:szCs w:val="24"/>
        </w:rPr>
        <w:t>O</w:t>
      </w:r>
      <w:r w:rsidRPr="00771368">
        <w:rPr>
          <w:sz w:val="20"/>
          <w:szCs w:val="20"/>
        </w:rPr>
        <w:tab/>
      </w:r>
      <w:r w:rsidRPr="00771368">
        <w:rPr>
          <w:sz w:val="24"/>
          <w:szCs w:val="24"/>
        </w:rPr>
        <w:t>REFLETIR</w:t>
      </w:r>
      <w:r w:rsidRPr="00771368">
        <w:rPr>
          <w:sz w:val="20"/>
          <w:szCs w:val="20"/>
        </w:rPr>
        <w:tab/>
      </w:r>
      <w:r w:rsidRPr="00771368">
        <w:rPr>
          <w:sz w:val="24"/>
          <w:szCs w:val="24"/>
        </w:rPr>
        <w:t>DA</w:t>
      </w:r>
      <w:r w:rsidRPr="00771368">
        <w:rPr>
          <w:sz w:val="20"/>
          <w:szCs w:val="20"/>
        </w:rPr>
        <w:tab/>
      </w:r>
      <w:r w:rsidRPr="00771368">
        <w:rPr>
          <w:sz w:val="24"/>
          <w:szCs w:val="24"/>
        </w:rPr>
        <w:t>SOCIEDADE</w:t>
      </w:r>
      <w:r w:rsidRPr="00771368">
        <w:rPr>
          <w:sz w:val="20"/>
          <w:szCs w:val="20"/>
        </w:rPr>
        <w:tab/>
      </w:r>
      <w:r w:rsidRPr="00771368">
        <w:rPr>
          <w:sz w:val="24"/>
          <w:szCs w:val="24"/>
        </w:rPr>
        <w:t>CONTEMPORANEA</w:t>
      </w:r>
      <w:r w:rsidRPr="00771368">
        <w:rPr>
          <w:sz w:val="20"/>
          <w:szCs w:val="20"/>
        </w:rPr>
        <w:tab/>
      </w:r>
      <w:r w:rsidRPr="00771368">
        <w:rPr>
          <w:sz w:val="24"/>
          <w:szCs w:val="24"/>
        </w:rPr>
        <w:t>FRENTE</w:t>
      </w:r>
      <w:r w:rsidRPr="00771368">
        <w:rPr>
          <w:sz w:val="20"/>
          <w:szCs w:val="20"/>
        </w:rPr>
        <w:tab/>
      </w:r>
      <w:r w:rsidRPr="00771368">
        <w:rPr>
          <w:sz w:val="23"/>
          <w:szCs w:val="23"/>
        </w:rPr>
        <w:t>ÀS</w:t>
      </w:r>
    </w:p>
    <w:p w:rsidR="00D24E61" w:rsidRPr="00771368" w:rsidRDefault="00D24E61">
      <w:pPr>
        <w:spacing w:line="142" w:lineRule="exact"/>
        <w:rPr>
          <w:sz w:val="20"/>
          <w:szCs w:val="20"/>
        </w:rPr>
      </w:pPr>
    </w:p>
    <w:p w:rsidR="00D24E61" w:rsidRPr="00771368" w:rsidRDefault="00D24E61">
      <w:pPr>
        <w:rPr>
          <w:sz w:val="20"/>
          <w:szCs w:val="20"/>
        </w:rPr>
      </w:pPr>
      <w:r w:rsidRPr="00771368">
        <w:rPr>
          <w:sz w:val="24"/>
          <w:szCs w:val="24"/>
        </w:rPr>
        <w:t>DESIGUALDADES DE GÊNERO.</w:t>
      </w:r>
    </w:p>
    <w:p w:rsidR="00D24E61" w:rsidRPr="00771368" w:rsidRDefault="00D24E61">
      <w:pPr>
        <w:spacing w:line="200" w:lineRule="exact"/>
        <w:rPr>
          <w:sz w:val="20"/>
          <w:szCs w:val="20"/>
        </w:rPr>
      </w:pPr>
    </w:p>
    <w:p w:rsidR="00D24E61" w:rsidRPr="00771368" w:rsidRDefault="00D24E61">
      <w:pPr>
        <w:spacing w:line="269" w:lineRule="exact"/>
        <w:rPr>
          <w:sz w:val="20"/>
          <w:szCs w:val="20"/>
        </w:rPr>
      </w:pPr>
    </w:p>
    <w:p w:rsidR="00D24E61" w:rsidRPr="00771368" w:rsidRDefault="00D24E61">
      <w:pPr>
        <w:spacing w:line="335" w:lineRule="auto"/>
        <w:ind w:right="20" w:firstLine="850"/>
        <w:jc w:val="both"/>
        <w:rPr>
          <w:sz w:val="20"/>
          <w:szCs w:val="20"/>
        </w:rPr>
      </w:pPr>
      <w:r w:rsidRPr="00771368">
        <w:rPr>
          <w:sz w:val="24"/>
          <w:szCs w:val="24"/>
        </w:rPr>
        <w:t>As conquista da igualdade pelos direitos das mulheres, resulta na conquista de sua autonomia, onde a enfermagem é imposta a exercer sua assistência ao refletir sobre os princípios embasados na equidade de gêneros em saúde:</w:t>
      </w:r>
    </w:p>
    <w:p w:rsidR="00D24E61" w:rsidRPr="00771368" w:rsidRDefault="00D24E61">
      <w:pPr>
        <w:spacing w:line="88" w:lineRule="exact"/>
        <w:rPr>
          <w:sz w:val="20"/>
          <w:szCs w:val="20"/>
        </w:rPr>
      </w:pPr>
    </w:p>
    <w:p w:rsidR="00D24E61" w:rsidRPr="00771368" w:rsidRDefault="00D24E61">
      <w:pPr>
        <w:spacing w:line="308" w:lineRule="auto"/>
        <w:ind w:right="20" w:firstLine="850"/>
        <w:jc w:val="both"/>
        <w:rPr>
          <w:sz w:val="20"/>
          <w:szCs w:val="20"/>
        </w:rPr>
      </w:pPr>
      <w:r w:rsidRPr="00771368">
        <w:rPr>
          <w:sz w:val="24"/>
          <w:szCs w:val="24"/>
        </w:rPr>
        <w:t>Segundo o art. 196 da Constituição Federal equidade é definida como igualdade no acesso aos serviços e ações de saúde para sua promoção, proteção e recuperação.</w:t>
      </w:r>
    </w:p>
    <w:p w:rsidR="00D24E61" w:rsidRPr="00771368" w:rsidRDefault="00D24E61">
      <w:pPr>
        <w:spacing w:line="110" w:lineRule="exact"/>
        <w:rPr>
          <w:sz w:val="20"/>
          <w:szCs w:val="20"/>
        </w:rPr>
      </w:pPr>
    </w:p>
    <w:p w:rsidR="00D24E61" w:rsidRPr="00771368" w:rsidRDefault="00D24E61">
      <w:pPr>
        <w:spacing w:line="232" w:lineRule="auto"/>
        <w:ind w:left="2260"/>
        <w:jc w:val="both"/>
        <w:rPr>
          <w:sz w:val="20"/>
          <w:szCs w:val="20"/>
        </w:rPr>
      </w:pPr>
      <w:r w:rsidRPr="00771368">
        <w:rPr>
          <w:sz w:val="20"/>
          <w:szCs w:val="20"/>
        </w:rPr>
        <w:t xml:space="preserve">Adotar a equidade de gênero como </w:t>
      </w:r>
      <w:r w:rsidRPr="00771368">
        <w:rPr>
          <w:i/>
          <w:iCs/>
          <w:sz w:val="20"/>
          <w:szCs w:val="20"/>
        </w:rPr>
        <w:t>um conceito ético associado aos princípios de</w:t>
      </w:r>
      <w:r w:rsidRPr="00771368">
        <w:rPr>
          <w:sz w:val="20"/>
          <w:szCs w:val="20"/>
        </w:rPr>
        <w:t xml:space="preserve"> </w:t>
      </w:r>
      <w:r w:rsidRPr="00771368">
        <w:rPr>
          <w:i/>
          <w:iCs/>
          <w:sz w:val="20"/>
          <w:szCs w:val="20"/>
        </w:rPr>
        <w:t xml:space="preserve">justiça social e de direitos humanos </w:t>
      </w:r>
      <w:r w:rsidRPr="00771368">
        <w:rPr>
          <w:sz w:val="20"/>
          <w:szCs w:val="20"/>
        </w:rPr>
        <w:t>não implica em desmerecer ou desvestir de</w:t>
      </w:r>
      <w:r w:rsidRPr="00771368">
        <w:rPr>
          <w:i/>
          <w:iCs/>
          <w:sz w:val="20"/>
          <w:szCs w:val="20"/>
        </w:rPr>
        <w:t xml:space="preserve"> </w:t>
      </w:r>
      <w:r w:rsidRPr="00771368">
        <w:rPr>
          <w:sz w:val="20"/>
          <w:szCs w:val="20"/>
        </w:rPr>
        <w:t>direitos os homens para privilegiar as mulheres. Trata-se de re-olhar, com esmero e cuidado, a situação de milhares de mulheres que sofrem iniquidades no cotidiano, indignar-se com isso e mover-se para as transformações, sem confundir o direito à assistência digna e respeitável por serem, antes de tudo, cidadãs, com o imperativo de tê-las hígidas e produtivas (FONSECA, 2004, p. 455).</w:t>
      </w:r>
    </w:p>
    <w:p w:rsidR="00D24E61" w:rsidRPr="00771368" w:rsidRDefault="00D24E61">
      <w:pPr>
        <w:spacing w:line="338" w:lineRule="exact"/>
        <w:rPr>
          <w:sz w:val="20"/>
          <w:szCs w:val="20"/>
        </w:rPr>
      </w:pPr>
    </w:p>
    <w:p w:rsidR="00D24E61" w:rsidRPr="00771368" w:rsidRDefault="00D24E61">
      <w:pPr>
        <w:spacing w:line="343" w:lineRule="auto"/>
        <w:ind w:right="20" w:firstLine="850"/>
        <w:jc w:val="both"/>
        <w:rPr>
          <w:sz w:val="20"/>
          <w:szCs w:val="20"/>
        </w:rPr>
      </w:pPr>
      <w:r w:rsidRPr="00771368">
        <w:rPr>
          <w:sz w:val="24"/>
          <w:szCs w:val="24"/>
        </w:rPr>
        <w:t>Pode-se analisar que a luta contra a desigualdade de gênero não compete desfavorecer o direito do homem em favorecimentos à mulher, mas em tornar os direitos convergentes com a sociedade, inerente a saúde, a enfermagem deve construir ferramentas que vislumbrem sobrepujar suas práticas assistenciais hegemônicas.</w:t>
      </w:r>
    </w:p>
    <w:p w:rsidR="00D24E61" w:rsidRPr="00771368" w:rsidRDefault="00D24E61">
      <w:pPr>
        <w:spacing w:line="21" w:lineRule="exact"/>
        <w:rPr>
          <w:sz w:val="20"/>
          <w:szCs w:val="20"/>
        </w:rPr>
      </w:pPr>
    </w:p>
    <w:p w:rsidR="00D24E61" w:rsidRPr="00771368" w:rsidRDefault="00D24E61">
      <w:pPr>
        <w:ind w:left="840"/>
        <w:rPr>
          <w:sz w:val="20"/>
          <w:szCs w:val="20"/>
        </w:rPr>
      </w:pPr>
      <w:r w:rsidRPr="00771368">
        <w:rPr>
          <w:sz w:val="24"/>
          <w:szCs w:val="24"/>
        </w:rPr>
        <w:t>Mediante esses aspectos temos:</w:t>
      </w:r>
    </w:p>
    <w:p w:rsidR="00D24E61" w:rsidRPr="00771368" w:rsidRDefault="00D24E61">
      <w:pPr>
        <w:spacing w:line="188" w:lineRule="exact"/>
        <w:rPr>
          <w:sz w:val="20"/>
          <w:szCs w:val="20"/>
        </w:rPr>
      </w:pPr>
    </w:p>
    <w:p w:rsidR="00D24E61" w:rsidRPr="00771368" w:rsidRDefault="00D24E61">
      <w:pPr>
        <w:spacing w:line="231" w:lineRule="auto"/>
        <w:ind w:left="2260" w:right="20"/>
        <w:jc w:val="both"/>
        <w:rPr>
          <w:sz w:val="20"/>
          <w:szCs w:val="20"/>
        </w:rPr>
      </w:pPr>
      <w:r w:rsidRPr="00771368">
        <w:rPr>
          <w:sz w:val="20"/>
          <w:szCs w:val="20"/>
        </w:rPr>
        <w:t>Não basta reconhecer as desigualdades sociais, criticar e ter boas intenções; é preciso estreitar os laços e criar espaços nos serviços de saúde para a participação ativa das mulheres, para a troca de experiências e emoções, numa relação entre sujeitos que potencialize subjetividades e a capacidade reivindicatória por direitos, humanizando as relações e exercitando o acolhimento e a ética do cuidar (COELHO, 2005, p.4).</w:t>
      </w:r>
    </w:p>
    <w:p w:rsidR="00D24E61" w:rsidRPr="00771368" w:rsidRDefault="00D24E61">
      <w:pPr>
        <w:spacing w:line="340" w:lineRule="exact"/>
        <w:rPr>
          <w:sz w:val="20"/>
          <w:szCs w:val="20"/>
        </w:rPr>
      </w:pPr>
    </w:p>
    <w:p w:rsidR="00D24E61" w:rsidRPr="00771368" w:rsidRDefault="00D24E61">
      <w:pPr>
        <w:spacing w:line="349" w:lineRule="auto"/>
        <w:ind w:right="20" w:firstLine="850"/>
        <w:jc w:val="both"/>
        <w:rPr>
          <w:sz w:val="20"/>
          <w:szCs w:val="20"/>
        </w:rPr>
      </w:pPr>
      <w:r w:rsidRPr="00771368">
        <w:rPr>
          <w:sz w:val="24"/>
          <w:szCs w:val="24"/>
        </w:rPr>
        <w:t>Percebe-se que o movimento social expresso pelo grupo feminino surgiu a partir de fatores propulsores individuais e coletivos que propiciaram a motivação de seus participantes. A tipologia social do movimento feminista é de ordem Progressista “Atuam em um seguimento da sociedade, tentando exercer influência nas instituições e organizações das mesmas; também chamados de liberais, pois desejam a introdução de mudanças positivas” (LAKATOS; MARCONI, 2008, p. 314).</w:t>
      </w:r>
    </w:p>
    <w:p w:rsidR="00D24E61" w:rsidRPr="00771368" w:rsidRDefault="00D24E61">
      <w:pPr>
        <w:spacing w:line="16" w:lineRule="exact"/>
        <w:rPr>
          <w:sz w:val="20"/>
          <w:szCs w:val="20"/>
        </w:rPr>
      </w:pPr>
    </w:p>
    <w:p w:rsidR="00D24E61" w:rsidRPr="00771368" w:rsidRDefault="00D24E61">
      <w:pPr>
        <w:ind w:left="700"/>
        <w:rPr>
          <w:sz w:val="20"/>
          <w:szCs w:val="20"/>
        </w:rPr>
      </w:pPr>
      <w:r w:rsidRPr="00771368">
        <w:rPr>
          <w:sz w:val="24"/>
          <w:szCs w:val="24"/>
        </w:rPr>
        <w:t>Assim citamos:</w:t>
      </w:r>
    </w:p>
    <w:p w:rsidR="00D24E61" w:rsidRPr="00771368" w:rsidRDefault="00D24E61">
      <w:pPr>
        <w:spacing w:line="183" w:lineRule="exact"/>
        <w:rPr>
          <w:sz w:val="20"/>
          <w:szCs w:val="20"/>
        </w:rPr>
      </w:pPr>
    </w:p>
    <w:p w:rsidR="00D24E61" w:rsidRPr="00771368" w:rsidRDefault="00D24E61" w:rsidP="001F386E">
      <w:pPr>
        <w:spacing w:line="230" w:lineRule="auto"/>
        <w:ind w:left="2260"/>
        <w:jc w:val="both"/>
        <w:rPr>
          <w:sz w:val="20"/>
          <w:szCs w:val="20"/>
        </w:rPr>
      </w:pPr>
      <w:r w:rsidRPr="00771368">
        <w:rPr>
          <w:sz w:val="20"/>
          <w:szCs w:val="20"/>
        </w:rPr>
        <w:t>O ressurgimento do movimento feminista a partir da metade deste século trouxe ao debate novas concepções das relações entre os gêneros e das relações entre o ser humano e a sociedade. Inicialmente adotando uma postura de polarização/antagonismo entre os sexos, o pensamento feminista evoluiu neste final de século para uma posição mais construtiva, de estímulo à</w:t>
      </w:r>
      <w:r w:rsidR="001F386E">
        <w:rPr>
          <w:sz w:val="20"/>
          <w:szCs w:val="20"/>
        </w:rPr>
        <w:t xml:space="preserve"> </w:t>
      </w:r>
      <w:r w:rsidRPr="00771368">
        <w:rPr>
          <w:sz w:val="20"/>
          <w:szCs w:val="20"/>
        </w:rPr>
        <w:t>cooperação/companheirismo e a valorização da individualidade de cada um dos gêneros, sem exclusões (BRASIL, 2001, p. 15).</w:t>
      </w:r>
    </w:p>
    <w:p w:rsidR="00D24E61" w:rsidRPr="00771368" w:rsidRDefault="00D24E61">
      <w:pPr>
        <w:spacing w:line="291" w:lineRule="exact"/>
        <w:rPr>
          <w:sz w:val="20"/>
          <w:szCs w:val="20"/>
        </w:rPr>
      </w:pPr>
    </w:p>
    <w:p w:rsidR="00D24E61" w:rsidRPr="00771368" w:rsidRDefault="00D24E61">
      <w:pPr>
        <w:spacing w:line="343" w:lineRule="auto"/>
        <w:ind w:right="20" w:firstLine="850"/>
        <w:jc w:val="both"/>
        <w:rPr>
          <w:sz w:val="20"/>
          <w:szCs w:val="20"/>
        </w:rPr>
      </w:pPr>
      <w:r w:rsidRPr="00771368">
        <w:rPr>
          <w:sz w:val="24"/>
          <w:szCs w:val="24"/>
        </w:rPr>
        <w:t>Em consonância com a dialética hegeliana podemos expor que a enfermagem precisa refletir sobre suas ações durante o atendimento à mulher ou ao homem e de maneira reflexiva e crítica alçar medidas paradoxais nos termos de desigualdades, a fim de efetivar a igualdade em distintos setores sociais.</w:t>
      </w:r>
    </w:p>
    <w:p w:rsidR="00D24E61" w:rsidRPr="00771368" w:rsidRDefault="00D24E61">
      <w:pPr>
        <w:spacing w:line="304" w:lineRule="exact"/>
        <w:rPr>
          <w:sz w:val="20"/>
          <w:szCs w:val="20"/>
        </w:rPr>
      </w:pPr>
    </w:p>
    <w:p w:rsidR="00D24E61" w:rsidRPr="00771368" w:rsidRDefault="00D24E61">
      <w:pPr>
        <w:rPr>
          <w:sz w:val="20"/>
          <w:szCs w:val="20"/>
        </w:rPr>
      </w:pPr>
      <w:r w:rsidRPr="00771368">
        <w:rPr>
          <w:b/>
          <w:bCs/>
          <w:sz w:val="24"/>
          <w:szCs w:val="24"/>
        </w:rPr>
        <w:t>3. ABORDAGEM METODOLÓGICA</w:t>
      </w:r>
    </w:p>
    <w:p w:rsidR="00D24E61" w:rsidRPr="00771368" w:rsidRDefault="00D24E61">
      <w:pPr>
        <w:spacing w:line="330" w:lineRule="exact"/>
        <w:rPr>
          <w:sz w:val="20"/>
          <w:szCs w:val="20"/>
        </w:rPr>
      </w:pPr>
    </w:p>
    <w:p w:rsidR="00D24E61" w:rsidRPr="00771368" w:rsidRDefault="00D24E61">
      <w:pPr>
        <w:spacing w:line="308" w:lineRule="auto"/>
        <w:ind w:firstLine="850"/>
        <w:jc w:val="both"/>
        <w:rPr>
          <w:sz w:val="20"/>
          <w:szCs w:val="20"/>
        </w:rPr>
      </w:pPr>
      <w:r w:rsidRPr="00771368">
        <w:rPr>
          <w:sz w:val="24"/>
          <w:szCs w:val="24"/>
        </w:rPr>
        <w:t>Trata-se de uma pesquisa do tipo bibliográfica exploratória com abordagem qualitativa, sendo assim não trabalha com dados numéricos.</w:t>
      </w:r>
    </w:p>
    <w:p w:rsidR="00D24E61" w:rsidRPr="00771368" w:rsidRDefault="00D24E61">
      <w:pPr>
        <w:spacing w:line="117" w:lineRule="exact"/>
        <w:rPr>
          <w:sz w:val="20"/>
          <w:szCs w:val="20"/>
        </w:rPr>
      </w:pPr>
    </w:p>
    <w:p w:rsidR="00D24E61" w:rsidRPr="00771368" w:rsidRDefault="00D24E61">
      <w:pPr>
        <w:spacing w:line="336" w:lineRule="auto"/>
        <w:ind w:right="20" w:firstLine="850"/>
        <w:jc w:val="both"/>
        <w:rPr>
          <w:sz w:val="20"/>
          <w:szCs w:val="20"/>
        </w:rPr>
      </w:pPr>
      <w:r w:rsidRPr="00771368">
        <w:rPr>
          <w:sz w:val="24"/>
          <w:szCs w:val="24"/>
        </w:rPr>
        <w:t xml:space="preserve">A bibliografia pertinente proporciona meios para definir e resolver, não somente problemas conhecidos, bem como a exploração de novas áreas, onde os problemas ainda não se cristalizaram suficientemente (MANZO, 1971 </w:t>
      </w:r>
      <w:r w:rsidRPr="00771368">
        <w:rPr>
          <w:i/>
          <w:iCs/>
          <w:sz w:val="24"/>
          <w:szCs w:val="24"/>
        </w:rPr>
        <w:t>apud</w:t>
      </w:r>
      <w:r w:rsidRPr="00771368">
        <w:rPr>
          <w:sz w:val="24"/>
          <w:szCs w:val="24"/>
        </w:rPr>
        <w:t xml:space="preserve"> LAKATOS e MARCONI, 1985).</w:t>
      </w:r>
    </w:p>
    <w:p w:rsidR="00D24E61" w:rsidRPr="00771368" w:rsidRDefault="00D24E61">
      <w:pPr>
        <w:spacing w:line="26" w:lineRule="exact"/>
        <w:rPr>
          <w:sz w:val="20"/>
          <w:szCs w:val="20"/>
        </w:rPr>
      </w:pPr>
    </w:p>
    <w:p w:rsidR="00D24E61" w:rsidRPr="00771368" w:rsidRDefault="00D24E61">
      <w:pPr>
        <w:ind w:left="840"/>
        <w:rPr>
          <w:sz w:val="20"/>
          <w:szCs w:val="20"/>
        </w:rPr>
      </w:pPr>
      <w:r w:rsidRPr="00771368">
        <w:rPr>
          <w:sz w:val="24"/>
          <w:szCs w:val="24"/>
        </w:rPr>
        <w:t>Logo Lakatos e Marconi (1985) citam:</w:t>
      </w:r>
    </w:p>
    <w:p w:rsidR="00D24E61" w:rsidRPr="00771368" w:rsidRDefault="00D24E61">
      <w:pPr>
        <w:spacing w:line="322" w:lineRule="exact"/>
        <w:rPr>
          <w:sz w:val="20"/>
          <w:szCs w:val="20"/>
        </w:rPr>
      </w:pPr>
    </w:p>
    <w:p w:rsidR="00D24E61" w:rsidRPr="00771368" w:rsidRDefault="00D24E61">
      <w:pPr>
        <w:spacing w:line="229" w:lineRule="auto"/>
        <w:ind w:left="2260" w:right="20"/>
        <w:jc w:val="both"/>
        <w:rPr>
          <w:sz w:val="20"/>
          <w:szCs w:val="20"/>
        </w:rPr>
      </w:pPr>
      <w:r w:rsidRPr="00771368">
        <w:rPr>
          <w:sz w:val="20"/>
          <w:szCs w:val="20"/>
        </w:rPr>
        <w:t>Pesquisa bibliográfica trata-se do levantamento de toda bibliografia já publicada e que tenha relação com o tema em estudo. Sua finalidade é colocar o pesquisador em contato direto com tudo aquilo que foi escrito sobre determinado assunto. Esses documentos permitem ao cientista o reforço paralelo na análise de suas pesquisas ou na manipulação de suas informações (LAKATOS; MARCONI, 1985, p.166).</w:t>
      </w:r>
    </w:p>
    <w:p w:rsidR="00D24E61" w:rsidRPr="00771368" w:rsidRDefault="00D24E61">
      <w:pPr>
        <w:spacing w:line="341" w:lineRule="exact"/>
        <w:rPr>
          <w:sz w:val="20"/>
          <w:szCs w:val="20"/>
        </w:rPr>
      </w:pPr>
    </w:p>
    <w:p w:rsidR="00D24E61" w:rsidRPr="00771368" w:rsidRDefault="00D24E61">
      <w:pPr>
        <w:spacing w:line="333" w:lineRule="auto"/>
        <w:ind w:right="20" w:firstLine="850"/>
        <w:jc w:val="both"/>
        <w:rPr>
          <w:sz w:val="20"/>
          <w:szCs w:val="20"/>
        </w:rPr>
      </w:pPr>
      <w:r w:rsidRPr="00771368">
        <w:rPr>
          <w:sz w:val="24"/>
          <w:szCs w:val="24"/>
        </w:rPr>
        <w:t>A abordagem metodológica desta pesquisa é de cunho qualitativo, ou seja, responde a questões muito particulares, se preocupa nas ciências sociais, com um nível de realidade que não pode ser quantificado (MINAYO, 2002).</w:t>
      </w:r>
    </w:p>
    <w:p w:rsidR="00D24E61" w:rsidRPr="00771368" w:rsidRDefault="00D24E61">
      <w:pPr>
        <w:spacing w:line="95" w:lineRule="exact"/>
        <w:rPr>
          <w:sz w:val="20"/>
          <w:szCs w:val="20"/>
        </w:rPr>
      </w:pPr>
    </w:p>
    <w:p w:rsidR="00D24E61" w:rsidRPr="00771368" w:rsidRDefault="00D24E61">
      <w:pPr>
        <w:spacing w:line="349" w:lineRule="auto"/>
        <w:ind w:right="20" w:firstLine="850"/>
        <w:jc w:val="both"/>
        <w:rPr>
          <w:sz w:val="20"/>
          <w:szCs w:val="20"/>
        </w:rPr>
      </w:pPr>
      <w:r w:rsidRPr="00771368">
        <w:rPr>
          <w:sz w:val="24"/>
          <w:szCs w:val="24"/>
        </w:rPr>
        <w:t>O levantamento da produção científica sobre o objeto de estudo, a saúde da mulher com enfoque de sua autonomia por meio da fenomenologia hegeliana, foi realizado pelo sistema informatizado encontrado no banco de dados da Biblioteca Virtual de Saúde (BVS), nos periódicos nacionais por meio de revisão bibliográfica nas bases de dados Literatura Latino-Americana e do Caribe em Ciência da Saúde (LILACS), Scientific Eletronic Library Online (SciELO) e Bases de Dados da Enfermagem (BDenf).</w:t>
      </w:r>
    </w:p>
    <w:p w:rsidR="00D24E61" w:rsidRPr="00771368" w:rsidRDefault="00D24E61">
      <w:pPr>
        <w:spacing w:line="74" w:lineRule="exact"/>
        <w:rPr>
          <w:sz w:val="20"/>
          <w:szCs w:val="20"/>
        </w:rPr>
      </w:pPr>
    </w:p>
    <w:p w:rsidR="00D24E61" w:rsidRPr="00771368" w:rsidRDefault="00D24E61">
      <w:pPr>
        <w:spacing w:line="335" w:lineRule="auto"/>
        <w:ind w:firstLine="850"/>
        <w:jc w:val="both"/>
        <w:rPr>
          <w:sz w:val="20"/>
          <w:szCs w:val="20"/>
        </w:rPr>
      </w:pPr>
      <w:r w:rsidRPr="00771368">
        <w:rPr>
          <w:sz w:val="24"/>
          <w:szCs w:val="24"/>
        </w:rPr>
        <w:t>Para verificar a constância de publicações referentes ao objeto de estudo foi necessária o emprego de descritores visando garantir uma amplitude de seu panorama. Utilizaram-se para a busca os seguintes descritores: Enfermeiro, Gênero, Mulher e Saúde.</w:t>
      </w:r>
    </w:p>
    <w:p w:rsidR="00D24E61" w:rsidRPr="00771368" w:rsidRDefault="00D24E61">
      <w:pPr>
        <w:spacing w:line="88" w:lineRule="exact"/>
        <w:rPr>
          <w:sz w:val="20"/>
          <w:szCs w:val="20"/>
        </w:rPr>
      </w:pPr>
    </w:p>
    <w:p w:rsidR="00D24E61" w:rsidRPr="00771368" w:rsidRDefault="00D24E61">
      <w:pPr>
        <w:spacing w:line="333" w:lineRule="auto"/>
        <w:ind w:right="20" w:firstLine="850"/>
        <w:jc w:val="both"/>
        <w:rPr>
          <w:sz w:val="20"/>
          <w:szCs w:val="20"/>
        </w:rPr>
      </w:pPr>
      <w:r w:rsidRPr="00771368">
        <w:rPr>
          <w:sz w:val="24"/>
          <w:szCs w:val="24"/>
        </w:rPr>
        <w:t>Consideramos neste levantamento bibliográfico os artigos publicados no período de 2002 a 2012, escritos em língua portuguesa, com textos completos, sendo que a consulta às bases de dados consistiu entre os meses de Maio de 2012 a Junho de 2012. Dentre as fontes</w:t>
      </w:r>
    </w:p>
    <w:p w:rsidR="00D24E61" w:rsidRPr="00771368" w:rsidRDefault="00D24E61">
      <w:pPr>
        <w:sectPr w:rsidR="00D24E61" w:rsidRPr="00771368">
          <w:pgSz w:w="11900" w:h="16838"/>
          <w:pgMar w:top="702" w:right="1400" w:bottom="1440" w:left="1420" w:header="0" w:footer="0" w:gutter="0"/>
          <w:cols w:space="720" w:equalWidth="0">
            <w:col w:w="9080"/>
          </w:cols>
        </w:sectPr>
      </w:pPr>
    </w:p>
    <w:p w:rsidR="00D24E61" w:rsidRPr="00771368" w:rsidRDefault="00D24E61">
      <w:pPr>
        <w:spacing w:line="239" w:lineRule="auto"/>
        <w:ind w:right="100"/>
        <w:jc w:val="right"/>
        <w:rPr>
          <w:sz w:val="20"/>
          <w:szCs w:val="20"/>
        </w:rPr>
      </w:pPr>
      <w:r w:rsidRPr="00771368">
        <w:rPr>
          <w:rFonts w:eastAsia="Calibri"/>
        </w:rPr>
        <w:t>9</w:t>
      </w:r>
    </w:p>
    <w:p w:rsidR="00D24E61" w:rsidRPr="00771368" w:rsidRDefault="00D24E61">
      <w:pPr>
        <w:spacing w:line="200" w:lineRule="exact"/>
        <w:rPr>
          <w:sz w:val="20"/>
          <w:szCs w:val="20"/>
        </w:rPr>
      </w:pPr>
    </w:p>
    <w:p w:rsidR="00D24E61" w:rsidRPr="00771368" w:rsidRDefault="00D24E61">
      <w:pPr>
        <w:spacing w:line="295" w:lineRule="exact"/>
        <w:rPr>
          <w:sz w:val="20"/>
          <w:szCs w:val="20"/>
        </w:rPr>
      </w:pPr>
    </w:p>
    <w:p w:rsidR="00D24E61" w:rsidRPr="00771368" w:rsidRDefault="00D24E61">
      <w:pPr>
        <w:spacing w:line="312" w:lineRule="auto"/>
        <w:ind w:left="120" w:right="120"/>
        <w:jc w:val="both"/>
        <w:rPr>
          <w:sz w:val="20"/>
          <w:szCs w:val="20"/>
        </w:rPr>
      </w:pPr>
      <w:r w:rsidRPr="00771368">
        <w:rPr>
          <w:sz w:val="24"/>
          <w:szCs w:val="24"/>
        </w:rPr>
        <w:t>pesquisadas foram selecionados um total de 12 artigos e destes foram utilizados 5 que compreenderam melhor o objetivo proposto.</w:t>
      </w:r>
    </w:p>
    <w:p w:rsidR="00D24E61" w:rsidRPr="00771368" w:rsidRDefault="00D24E61">
      <w:pPr>
        <w:spacing w:line="113" w:lineRule="exact"/>
        <w:rPr>
          <w:sz w:val="20"/>
          <w:szCs w:val="20"/>
        </w:rPr>
      </w:pPr>
    </w:p>
    <w:p w:rsidR="00D24E61" w:rsidRPr="00771368" w:rsidRDefault="00D24E61">
      <w:pPr>
        <w:spacing w:line="333" w:lineRule="auto"/>
        <w:ind w:left="120" w:right="120" w:firstLine="850"/>
        <w:jc w:val="both"/>
        <w:rPr>
          <w:sz w:val="20"/>
          <w:szCs w:val="20"/>
        </w:rPr>
      </w:pPr>
      <w:r w:rsidRPr="00771368">
        <w:rPr>
          <w:sz w:val="24"/>
          <w:szCs w:val="24"/>
        </w:rPr>
        <w:t>Tomamos como critério de exclusão os artigos publicados em língua estrangeira, ano de publicação inferior a 2002 e tema de abordagem, uma vez que estes compõem um critério de exclusão.</w:t>
      </w:r>
    </w:p>
    <w:p w:rsidR="00D24E61" w:rsidRPr="00771368" w:rsidRDefault="00D24E61">
      <w:pPr>
        <w:spacing w:line="95" w:lineRule="exact"/>
        <w:rPr>
          <w:sz w:val="20"/>
          <w:szCs w:val="20"/>
        </w:rPr>
      </w:pPr>
    </w:p>
    <w:p w:rsidR="00D24E61" w:rsidRPr="00771368" w:rsidRDefault="00D24E61">
      <w:pPr>
        <w:spacing w:line="342" w:lineRule="auto"/>
        <w:ind w:left="120" w:right="120" w:firstLine="850"/>
        <w:jc w:val="both"/>
        <w:rPr>
          <w:sz w:val="20"/>
          <w:szCs w:val="20"/>
        </w:rPr>
      </w:pPr>
      <w:r w:rsidRPr="00771368">
        <w:rPr>
          <w:sz w:val="24"/>
          <w:szCs w:val="24"/>
        </w:rPr>
        <w:t>Assim sucedeu-se, então, à análise e interpretação dos resumos das publicações científicas alusivas aos descritores adotados, seguindo-se as etapas: leitura exploratória, leitura seletiva da pesquisa e completando leitura analítica dos textos, evidenciamos os principais aspectos abordados sobre o objeto de estudo.</w:t>
      </w:r>
    </w:p>
    <w:p w:rsidR="00D24E61" w:rsidRPr="00771368" w:rsidRDefault="00D24E61">
      <w:pPr>
        <w:spacing w:line="83" w:lineRule="exact"/>
        <w:rPr>
          <w:sz w:val="20"/>
          <w:szCs w:val="20"/>
        </w:rPr>
      </w:pPr>
    </w:p>
    <w:p w:rsidR="00D24E61" w:rsidRPr="00771368" w:rsidRDefault="00D24E61">
      <w:pPr>
        <w:spacing w:line="308" w:lineRule="auto"/>
        <w:ind w:left="120" w:right="120" w:firstLine="850"/>
        <w:jc w:val="both"/>
        <w:rPr>
          <w:sz w:val="20"/>
          <w:szCs w:val="20"/>
        </w:rPr>
      </w:pPr>
      <w:r w:rsidRPr="00771368">
        <w:rPr>
          <w:sz w:val="24"/>
          <w:szCs w:val="24"/>
        </w:rPr>
        <w:t>Como passo inicial, pesquisamos cada descritor individualmente como ordenado a seguir no quadro 1.</w:t>
      </w:r>
    </w:p>
    <w:p w:rsidR="00D24E61" w:rsidRPr="00771368" w:rsidRDefault="00D24E61">
      <w:pPr>
        <w:spacing w:line="59" w:lineRule="exact"/>
        <w:rPr>
          <w:sz w:val="20"/>
          <w:szCs w:val="20"/>
        </w:rPr>
      </w:pPr>
    </w:p>
    <w:p w:rsidR="00D24E61" w:rsidRPr="00771368" w:rsidRDefault="00D24E61">
      <w:pPr>
        <w:ind w:left="120"/>
        <w:rPr>
          <w:sz w:val="20"/>
          <w:szCs w:val="20"/>
        </w:rPr>
      </w:pPr>
      <w:r w:rsidRPr="00771368">
        <w:rPr>
          <w:b/>
          <w:bCs/>
          <w:sz w:val="24"/>
          <w:szCs w:val="24"/>
        </w:rPr>
        <w:t xml:space="preserve">Quadro 1- </w:t>
      </w:r>
      <w:r w:rsidRPr="00771368">
        <w:rPr>
          <w:sz w:val="24"/>
          <w:szCs w:val="24"/>
        </w:rPr>
        <w:t>Distribuição das bibliografias localizadas nas Bases de Dados LILACS, BDenf,</w:t>
      </w:r>
    </w:p>
    <w:p w:rsidR="00D24E61" w:rsidRPr="00771368" w:rsidRDefault="00D24E61">
      <w:pPr>
        <w:spacing w:line="137" w:lineRule="exact"/>
        <w:rPr>
          <w:sz w:val="20"/>
          <w:szCs w:val="20"/>
        </w:rPr>
      </w:pPr>
    </w:p>
    <w:p w:rsidR="00D24E61" w:rsidRPr="00771368" w:rsidRDefault="00D24E61">
      <w:pPr>
        <w:ind w:left="120"/>
        <w:rPr>
          <w:sz w:val="20"/>
          <w:szCs w:val="20"/>
        </w:rPr>
      </w:pPr>
      <w:r w:rsidRPr="00771368">
        <w:rPr>
          <w:sz w:val="24"/>
          <w:szCs w:val="24"/>
        </w:rPr>
        <w:t>SciELO.</w:t>
      </w:r>
    </w:p>
    <w:p w:rsidR="00D24E61" w:rsidRPr="00771368" w:rsidRDefault="00D24E61">
      <w:pPr>
        <w:spacing w:line="15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60"/>
        <w:gridCol w:w="1280"/>
        <w:gridCol w:w="400"/>
        <w:gridCol w:w="1460"/>
        <w:gridCol w:w="360"/>
        <w:gridCol w:w="1260"/>
        <w:gridCol w:w="30"/>
      </w:tblGrid>
      <w:tr w:rsidR="00D24E61" w:rsidRPr="00771368">
        <w:trPr>
          <w:trHeight w:val="280"/>
        </w:trPr>
        <w:tc>
          <w:tcPr>
            <w:tcW w:w="4560" w:type="dxa"/>
            <w:tcBorders>
              <w:top w:val="single" w:sz="8" w:space="0" w:color="auto"/>
              <w:left w:val="single" w:sz="8" w:space="0" w:color="auto"/>
              <w:right w:val="single" w:sz="8" w:space="0" w:color="auto"/>
            </w:tcBorders>
            <w:vAlign w:val="bottom"/>
          </w:tcPr>
          <w:p w:rsidR="00D24E61" w:rsidRPr="00771368" w:rsidRDefault="00D24E61">
            <w:pPr>
              <w:rPr>
                <w:sz w:val="24"/>
                <w:szCs w:val="24"/>
              </w:rPr>
            </w:pPr>
          </w:p>
        </w:tc>
        <w:tc>
          <w:tcPr>
            <w:tcW w:w="1280" w:type="dxa"/>
            <w:tcBorders>
              <w:top w:val="single" w:sz="8" w:space="0" w:color="auto"/>
            </w:tcBorders>
            <w:vAlign w:val="bottom"/>
          </w:tcPr>
          <w:p w:rsidR="00D24E61" w:rsidRPr="00771368" w:rsidRDefault="00D24E61">
            <w:pPr>
              <w:rPr>
                <w:sz w:val="24"/>
                <w:szCs w:val="24"/>
              </w:rPr>
            </w:pPr>
          </w:p>
        </w:tc>
        <w:tc>
          <w:tcPr>
            <w:tcW w:w="2220" w:type="dxa"/>
            <w:gridSpan w:val="3"/>
            <w:tcBorders>
              <w:top w:val="single" w:sz="8" w:space="0" w:color="auto"/>
            </w:tcBorders>
            <w:vAlign w:val="bottom"/>
          </w:tcPr>
          <w:p w:rsidR="00D24E61" w:rsidRPr="00771368" w:rsidRDefault="00D24E61">
            <w:pPr>
              <w:rPr>
                <w:sz w:val="20"/>
                <w:szCs w:val="20"/>
              </w:rPr>
            </w:pPr>
            <w:r w:rsidRPr="00771368">
              <w:rPr>
                <w:b/>
                <w:bCs/>
                <w:sz w:val="24"/>
                <w:szCs w:val="24"/>
              </w:rPr>
              <w:t>BANCO DE DADOS</w:t>
            </w:r>
          </w:p>
        </w:tc>
        <w:tc>
          <w:tcPr>
            <w:tcW w:w="1260" w:type="dxa"/>
            <w:tcBorders>
              <w:top w:val="single" w:sz="8" w:space="0" w:color="auto"/>
              <w:right w:val="single" w:sz="8" w:space="0" w:color="auto"/>
            </w:tcBorders>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152"/>
        </w:trPr>
        <w:tc>
          <w:tcPr>
            <w:tcW w:w="4560" w:type="dxa"/>
            <w:tcBorders>
              <w:left w:val="single" w:sz="8" w:space="0" w:color="auto"/>
              <w:right w:val="single" w:sz="8" w:space="0" w:color="auto"/>
            </w:tcBorders>
            <w:vAlign w:val="bottom"/>
          </w:tcPr>
          <w:p w:rsidR="00D24E61" w:rsidRPr="00771368" w:rsidRDefault="00D24E61">
            <w:pPr>
              <w:rPr>
                <w:sz w:val="13"/>
                <w:szCs w:val="13"/>
              </w:rPr>
            </w:pPr>
          </w:p>
        </w:tc>
        <w:tc>
          <w:tcPr>
            <w:tcW w:w="1280" w:type="dxa"/>
            <w:tcBorders>
              <w:bottom w:val="single" w:sz="8" w:space="0" w:color="auto"/>
            </w:tcBorders>
            <w:vAlign w:val="bottom"/>
          </w:tcPr>
          <w:p w:rsidR="00D24E61" w:rsidRPr="00771368" w:rsidRDefault="00D24E61">
            <w:pPr>
              <w:rPr>
                <w:sz w:val="13"/>
                <w:szCs w:val="13"/>
              </w:rPr>
            </w:pPr>
          </w:p>
        </w:tc>
        <w:tc>
          <w:tcPr>
            <w:tcW w:w="400" w:type="dxa"/>
            <w:tcBorders>
              <w:bottom w:val="single" w:sz="8" w:space="0" w:color="auto"/>
            </w:tcBorders>
            <w:vAlign w:val="bottom"/>
          </w:tcPr>
          <w:p w:rsidR="00D24E61" w:rsidRPr="00771368" w:rsidRDefault="00D24E61">
            <w:pPr>
              <w:rPr>
                <w:sz w:val="13"/>
                <w:szCs w:val="13"/>
              </w:rPr>
            </w:pPr>
          </w:p>
        </w:tc>
        <w:tc>
          <w:tcPr>
            <w:tcW w:w="1460" w:type="dxa"/>
            <w:tcBorders>
              <w:bottom w:val="single" w:sz="8" w:space="0" w:color="auto"/>
            </w:tcBorders>
            <w:vAlign w:val="bottom"/>
          </w:tcPr>
          <w:p w:rsidR="00D24E61" w:rsidRPr="00771368" w:rsidRDefault="00D24E61">
            <w:pPr>
              <w:rPr>
                <w:sz w:val="13"/>
                <w:szCs w:val="13"/>
              </w:rPr>
            </w:pPr>
          </w:p>
        </w:tc>
        <w:tc>
          <w:tcPr>
            <w:tcW w:w="360" w:type="dxa"/>
            <w:tcBorders>
              <w:bottom w:val="single" w:sz="8" w:space="0" w:color="auto"/>
            </w:tcBorders>
            <w:vAlign w:val="bottom"/>
          </w:tcPr>
          <w:p w:rsidR="00D24E61" w:rsidRPr="00771368" w:rsidRDefault="00D24E61">
            <w:pPr>
              <w:rPr>
                <w:sz w:val="13"/>
                <w:szCs w:val="13"/>
              </w:rPr>
            </w:pPr>
          </w:p>
        </w:tc>
        <w:tc>
          <w:tcPr>
            <w:tcW w:w="1260" w:type="dxa"/>
            <w:tcBorders>
              <w:bottom w:val="single" w:sz="8" w:space="0" w:color="auto"/>
              <w:right w:val="single" w:sz="8" w:space="0" w:color="auto"/>
            </w:tcBorders>
            <w:vAlign w:val="bottom"/>
          </w:tcPr>
          <w:p w:rsidR="00D24E61" w:rsidRPr="00771368" w:rsidRDefault="00D24E61">
            <w:pPr>
              <w:rPr>
                <w:sz w:val="13"/>
                <w:szCs w:val="13"/>
              </w:rPr>
            </w:pPr>
          </w:p>
        </w:tc>
        <w:tc>
          <w:tcPr>
            <w:tcW w:w="0" w:type="dxa"/>
            <w:vAlign w:val="bottom"/>
          </w:tcPr>
          <w:p w:rsidR="00D24E61" w:rsidRPr="00771368" w:rsidRDefault="00D24E61">
            <w:pPr>
              <w:rPr>
                <w:sz w:val="1"/>
                <w:szCs w:val="1"/>
              </w:rPr>
            </w:pPr>
          </w:p>
        </w:tc>
      </w:tr>
      <w:tr w:rsidR="00D24E61" w:rsidRPr="00771368">
        <w:trPr>
          <w:trHeight w:val="260"/>
        </w:trPr>
        <w:tc>
          <w:tcPr>
            <w:tcW w:w="4560" w:type="dxa"/>
            <w:vMerge w:val="restart"/>
            <w:tcBorders>
              <w:left w:val="single" w:sz="8" w:space="0" w:color="auto"/>
              <w:right w:val="single" w:sz="8" w:space="0" w:color="auto"/>
            </w:tcBorders>
            <w:vAlign w:val="bottom"/>
          </w:tcPr>
          <w:p w:rsidR="00D24E61" w:rsidRPr="00771368" w:rsidRDefault="00D24E61">
            <w:pPr>
              <w:jc w:val="center"/>
              <w:rPr>
                <w:sz w:val="20"/>
                <w:szCs w:val="20"/>
              </w:rPr>
            </w:pPr>
            <w:r w:rsidRPr="00771368">
              <w:rPr>
                <w:b/>
                <w:bCs/>
                <w:w w:val="99"/>
                <w:sz w:val="24"/>
                <w:szCs w:val="24"/>
              </w:rPr>
              <w:t>DESCRITORES</w:t>
            </w:r>
          </w:p>
        </w:tc>
        <w:tc>
          <w:tcPr>
            <w:tcW w:w="1280" w:type="dxa"/>
            <w:vAlign w:val="bottom"/>
          </w:tcPr>
          <w:p w:rsidR="00D24E61" w:rsidRPr="00771368" w:rsidRDefault="00D24E61">
            <w:pPr>
              <w:spacing w:line="260" w:lineRule="exact"/>
              <w:ind w:left="380"/>
              <w:rPr>
                <w:sz w:val="20"/>
                <w:szCs w:val="20"/>
              </w:rPr>
            </w:pPr>
            <w:r w:rsidRPr="00771368">
              <w:rPr>
                <w:b/>
                <w:bCs/>
                <w:w w:val="98"/>
                <w:sz w:val="24"/>
                <w:szCs w:val="24"/>
              </w:rPr>
              <w:t>LILACS</w:t>
            </w:r>
          </w:p>
        </w:tc>
        <w:tc>
          <w:tcPr>
            <w:tcW w:w="400" w:type="dxa"/>
            <w:tcBorders>
              <w:right w:val="single" w:sz="8" w:space="0" w:color="auto"/>
            </w:tcBorders>
            <w:vAlign w:val="bottom"/>
          </w:tcPr>
          <w:p w:rsidR="00D24E61" w:rsidRPr="00771368" w:rsidRDefault="00D24E61"/>
        </w:tc>
        <w:tc>
          <w:tcPr>
            <w:tcW w:w="1460" w:type="dxa"/>
            <w:tcBorders>
              <w:right w:val="single" w:sz="8" w:space="0" w:color="auto"/>
            </w:tcBorders>
            <w:vAlign w:val="bottom"/>
          </w:tcPr>
          <w:p w:rsidR="00D24E61" w:rsidRPr="00771368" w:rsidRDefault="00D24E61">
            <w:pPr>
              <w:spacing w:line="260" w:lineRule="exact"/>
              <w:ind w:left="360"/>
              <w:rPr>
                <w:sz w:val="20"/>
                <w:szCs w:val="20"/>
              </w:rPr>
            </w:pPr>
            <w:r w:rsidRPr="00771368">
              <w:rPr>
                <w:b/>
                <w:bCs/>
                <w:sz w:val="24"/>
                <w:szCs w:val="24"/>
              </w:rPr>
              <w:t>BDENF</w:t>
            </w:r>
          </w:p>
        </w:tc>
        <w:tc>
          <w:tcPr>
            <w:tcW w:w="360" w:type="dxa"/>
            <w:vAlign w:val="bottom"/>
          </w:tcPr>
          <w:p w:rsidR="00D24E61" w:rsidRPr="00771368" w:rsidRDefault="00D24E61"/>
        </w:tc>
        <w:tc>
          <w:tcPr>
            <w:tcW w:w="1260" w:type="dxa"/>
            <w:tcBorders>
              <w:right w:val="single" w:sz="8" w:space="0" w:color="auto"/>
            </w:tcBorders>
            <w:vAlign w:val="bottom"/>
          </w:tcPr>
          <w:p w:rsidR="00D24E61" w:rsidRPr="00771368" w:rsidRDefault="00D24E61">
            <w:pPr>
              <w:spacing w:line="260" w:lineRule="exact"/>
              <w:ind w:left="80"/>
              <w:rPr>
                <w:sz w:val="20"/>
                <w:szCs w:val="20"/>
              </w:rPr>
            </w:pPr>
            <w:r w:rsidRPr="00771368">
              <w:rPr>
                <w:b/>
                <w:bCs/>
                <w:sz w:val="24"/>
                <w:szCs w:val="24"/>
              </w:rPr>
              <w:t>SCIELO</w:t>
            </w:r>
          </w:p>
        </w:tc>
        <w:tc>
          <w:tcPr>
            <w:tcW w:w="0" w:type="dxa"/>
            <w:vAlign w:val="bottom"/>
          </w:tcPr>
          <w:p w:rsidR="00D24E61" w:rsidRPr="00771368" w:rsidRDefault="00D24E61">
            <w:pPr>
              <w:rPr>
                <w:sz w:val="1"/>
                <w:szCs w:val="1"/>
              </w:rPr>
            </w:pPr>
          </w:p>
        </w:tc>
      </w:tr>
      <w:tr w:rsidR="00D24E61" w:rsidRPr="00771368">
        <w:trPr>
          <w:trHeight w:val="61"/>
        </w:trPr>
        <w:tc>
          <w:tcPr>
            <w:tcW w:w="4560" w:type="dxa"/>
            <w:vMerge/>
            <w:tcBorders>
              <w:left w:val="single" w:sz="8" w:space="0" w:color="auto"/>
              <w:bottom w:val="single" w:sz="8" w:space="0" w:color="auto"/>
              <w:right w:val="single" w:sz="8" w:space="0" w:color="auto"/>
            </w:tcBorders>
            <w:vAlign w:val="bottom"/>
          </w:tcPr>
          <w:p w:rsidR="00D24E61" w:rsidRPr="00771368" w:rsidRDefault="00D24E61">
            <w:pPr>
              <w:rPr>
                <w:sz w:val="5"/>
                <w:szCs w:val="5"/>
              </w:rPr>
            </w:pPr>
          </w:p>
        </w:tc>
        <w:tc>
          <w:tcPr>
            <w:tcW w:w="1280" w:type="dxa"/>
            <w:tcBorders>
              <w:bottom w:val="single" w:sz="8" w:space="0" w:color="auto"/>
            </w:tcBorders>
            <w:vAlign w:val="bottom"/>
          </w:tcPr>
          <w:p w:rsidR="00D24E61" w:rsidRPr="00771368" w:rsidRDefault="00D24E61">
            <w:pPr>
              <w:rPr>
                <w:sz w:val="5"/>
                <w:szCs w:val="5"/>
              </w:rPr>
            </w:pPr>
          </w:p>
        </w:tc>
        <w:tc>
          <w:tcPr>
            <w:tcW w:w="400" w:type="dxa"/>
            <w:tcBorders>
              <w:bottom w:val="single" w:sz="8" w:space="0" w:color="auto"/>
              <w:right w:val="single" w:sz="8" w:space="0" w:color="auto"/>
            </w:tcBorders>
            <w:vAlign w:val="bottom"/>
          </w:tcPr>
          <w:p w:rsidR="00D24E61" w:rsidRPr="00771368" w:rsidRDefault="00D24E61">
            <w:pPr>
              <w:rPr>
                <w:sz w:val="5"/>
                <w:szCs w:val="5"/>
              </w:rPr>
            </w:pPr>
          </w:p>
        </w:tc>
        <w:tc>
          <w:tcPr>
            <w:tcW w:w="1460" w:type="dxa"/>
            <w:tcBorders>
              <w:bottom w:val="single" w:sz="8" w:space="0" w:color="auto"/>
              <w:right w:val="single" w:sz="8" w:space="0" w:color="auto"/>
            </w:tcBorders>
            <w:vAlign w:val="bottom"/>
          </w:tcPr>
          <w:p w:rsidR="00D24E61" w:rsidRPr="00771368" w:rsidRDefault="00D24E61">
            <w:pPr>
              <w:rPr>
                <w:sz w:val="5"/>
                <w:szCs w:val="5"/>
              </w:rPr>
            </w:pPr>
          </w:p>
        </w:tc>
        <w:tc>
          <w:tcPr>
            <w:tcW w:w="360" w:type="dxa"/>
            <w:tcBorders>
              <w:bottom w:val="single" w:sz="8" w:space="0" w:color="auto"/>
            </w:tcBorders>
            <w:vAlign w:val="bottom"/>
          </w:tcPr>
          <w:p w:rsidR="00D24E61" w:rsidRPr="00771368" w:rsidRDefault="00D24E61">
            <w:pPr>
              <w:rPr>
                <w:sz w:val="5"/>
                <w:szCs w:val="5"/>
              </w:rPr>
            </w:pPr>
          </w:p>
        </w:tc>
        <w:tc>
          <w:tcPr>
            <w:tcW w:w="1260" w:type="dxa"/>
            <w:tcBorders>
              <w:bottom w:val="single" w:sz="8" w:space="0" w:color="auto"/>
              <w:right w:val="single" w:sz="8" w:space="0" w:color="auto"/>
            </w:tcBorders>
            <w:vAlign w:val="bottom"/>
          </w:tcPr>
          <w:p w:rsidR="00D24E61" w:rsidRPr="00771368" w:rsidRDefault="00D24E61">
            <w:pPr>
              <w:rPr>
                <w:sz w:val="5"/>
                <w:szCs w:val="5"/>
              </w:rPr>
            </w:pPr>
          </w:p>
        </w:tc>
        <w:tc>
          <w:tcPr>
            <w:tcW w:w="0" w:type="dxa"/>
            <w:vAlign w:val="bottom"/>
          </w:tcPr>
          <w:p w:rsidR="00D24E61" w:rsidRPr="00771368" w:rsidRDefault="00D24E61">
            <w:pPr>
              <w:rPr>
                <w:sz w:val="1"/>
                <w:szCs w:val="1"/>
              </w:rPr>
            </w:pPr>
          </w:p>
        </w:tc>
      </w:tr>
      <w:tr w:rsidR="00D24E61" w:rsidRPr="00771368">
        <w:trPr>
          <w:trHeight w:val="266"/>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Enfermeiro</w:t>
            </w:r>
          </w:p>
        </w:tc>
        <w:tc>
          <w:tcPr>
            <w:tcW w:w="1280" w:type="dxa"/>
            <w:tcBorders>
              <w:bottom w:val="single" w:sz="8" w:space="0" w:color="auto"/>
            </w:tcBorders>
            <w:vAlign w:val="bottom"/>
          </w:tcPr>
          <w:p w:rsidR="00D24E61" w:rsidRPr="00771368" w:rsidRDefault="00D24E61">
            <w:pPr>
              <w:spacing w:line="263" w:lineRule="exact"/>
              <w:ind w:left="240"/>
              <w:jc w:val="center"/>
              <w:rPr>
                <w:sz w:val="20"/>
                <w:szCs w:val="20"/>
              </w:rPr>
            </w:pPr>
            <w:r w:rsidRPr="00771368">
              <w:rPr>
                <w:b/>
                <w:bCs/>
                <w:w w:val="99"/>
                <w:sz w:val="24"/>
                <w:szCs w:val="24"/>
              </w:rPr>
              <w:t>362</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133</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3" w:lineRule="exact"/>
              <w:ind w:right="260"/>
              <w:jc w:val="center"/>
              <w:rPr>
                <w:sz w:val="20"/>
                <w:szCs w:val="20"/>
              </w:rPr>
            </w:pPr>
            <w:r w:rsidRPr="00771368">
              <w:rPr>
                <w:b/>
                <w:bCs/>
                <w:w w:val="99"/>
                <w:sz w:val="24"/>
                <w:szCs w:val="24"/>
              </w:rPr>
              <w:t>511</w:t>
            </w:r>
          </w:p>
        </w:tc>
        <w:tc>
          <w:tcPr>
            <w:tcW w:w="0" w:type="dxa"/>
            <w:vAlign w:val="bottom"/>
          </w:tcPr>
          <w:p w:rsidR="00D24E61" w:rsidRPr="00771368" w:rsidRDefault="00D24E61">
            <w:pPr>
              <w:rPr>
                <w:sz w:val="1"/>
                <w:szCs w:val="1"/>
              </w:rPr>
            </w:pPr>
          </w:p>
        </w:tc>
      </w:tr>
      <w:tr w:rsidR="00D24E61" w:rsidRPr="00771368">
        <w:trPr>
          <w:trHeight w:val="266"/>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2" w:lineRule="exact"/>
              <w:jc w:val="center"/>
              <w:rPr>
                <w:sz w:val="20"/>
                <w:szCs w:val="20"/>
              </w:rPr>
            </w:pPr>
            <w:r w:rsidRPr="00771368">
              <w:rPr>
                <w:b/>
                <w:bCs/>
                <w:sz w:val="24"/>
                <w:szCs w:val="24"/>
              </w:rPr>
              <w:t>Mulher</w:t>
            </w:r>
          </w:p>
        </w:tc>
        <w:tc>
          <w:tcPr>
            <w:tcW w:w="1280" w:type="dxa"/>
            <w:tcBorders>
              <w:bottom w:val="single" w:sz="8" w:space="0" w:color="auto"/>
            </w:tcBorders>
            <w:vAlign w:val="bottom"/>
          </w:tcPr>
          <w:p w:rsidR="00D24E61" w:rsidRPr="00771368" w:rsidRDefault="00D24E61">
            <w:pPr>
              <w:spacing w:line="262" w:lineRule="exact"/>
              <w:ind w:left="240"/>
              <w:jc w:val="center"/>
              <w:rPr>
                <w:sz w:val="20"/>
                <w:szCs w:val="20"/>
              </w:rPr>
            </w:pPr>
            <w:r w:rsidRPr="00771368">
              <w:rPr>
                <w:b/>
                <w:bCs/>
                <w:w w:val="99"/>
                <w:sz w:val="24"/>
                <w:szCs w:val="24"/>
              </w:rPr>
              <w:t>31145</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2" w:lineRule="exact"/>
              <w:jc w:val="center"/>
              <w:rPr>
                <w:sz w:val="20"/>
                <w:szCs w:val="20"/>
              </w:rPr>
            </w:pPr>
            <w:r w:rsidRPr="00771368">
              <w:rPr>
                <w:b/>
                <w:bCs/>
                <w:w w:val="99"/>
                <w:sz w:val="24"/>
                <w:szCs w:val="24"/>
              </w:rPr>
              <w:t>13807</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2" w:lineRule="exact"/>
              <w:ind w:right="260"/>
              <w:jc w:val="center"/>
              <w:rPr>
                <w:sz w:val="20"/>
                <w:szCs w:val="20"/>
              </w:rPr>
            </w:pPr>
            <w:r w:rsidRPr="00771368">
              <w:rPr>
                <w:b/>
                <w:bCs/>
                <w:w w:val="99"/>
                <w:sz w:val="24"/>
                <w:szCs w:val="24"/>
              </w:rPr>
              <w:t>4233</w:t>
            </w:r>
          </w:p>
        </w:tc>
        <w:tc>
          <w:tcPr>
            <w:tcW w:w="0" w:type="dxa"/>
            <w:vAlign w:val="bottom"/>
          </w:tcPr>
          <w:p w:rsidR="00D24E61" w:rsidRPr="00771368" w:rsidRDefault="00D24E61">
            <w:pPr>
              <w:rPr>
                <w:sz w:val="1"/>
                <w:szCs w:val="1"/>
              </w:rPr>
            </w:pPr>
          </w:p>
        </w:tc>
      </w:tr>
      <w:tr w:rsidR="00D24E61" w:rsidRPr="00771368">
        <w:trPr>
          <w:trHeight w:val="266"/>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Gênero</w:t>
            </w:r>
          </w:p>
        </w:tc>
        <w:tc>
          <w:tcPr>
            <w:tcW w:w="1280" w:type="dxa"/>
            <w:tcBorders>
              <w:bottom w:val="single" w:sz="8" w:space="0" w:color="auto"/>
            </w:tcBorders>
            <w:vAlign w:val="bottom"/>
          </w:tcPr>
          <w:p w:rsidR="00D24E61" w:rsidRPr="00771368" w:rsidRDefault="00D24E61">
            <w:pPr>
              <w:spacing w:line="263" w:lineRule="exact"/>
              <w:ind w:left="240"/>
              <w:jc w:val="center"/>
              <w:rPr>
                <w:sz w:val="20"/>
                <w:szCs w:val="20"/>
              </w:rPr>
            </w:pPr>
            <w:r w:rsidRPr="00771368">
              <w:rPr>
                <w:b/>
                <w:bCs/>
                <w:w w:val="99"/>
                <w:sz w:val="24"/>
                <w:szCs w:val="24"/>
              </w:rPr>
              <w:t>5367</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3974</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3" w:lineRule="exact"/>
              <w:ind w:right="260"/>
              <w:jc w:val="center"/>
              <w:rPr>
                <w:sz w:val="20"/>
                <w:szCs w:val="20"/>
              </w:rPr>
            </w:pPr>
            <w:r w:rsidRPr="00771368">
              <w:rPr>
                <w:b/>
                <w:bCs/>
                <w:w w:val="99"/>
                <w:sz w:val="24"/>
                <w:szCs w:val="24"/>
              </w:rPr>
              <w:t>1667</w:t>
            </w:r>
          </w:p>
        </w:tc>
        <w:tc>
          <w:tcPr>
            <w:tcW w:w="0" w:type="dxa"/>
            <w:vAlign w:val="bottom"/>
          </w:tcPr>
          <w:p w:rsidR="00D24E61" w:rsidRPr="00771368" w:rsidRDefault="00D24E61">
            <w:pPr>
              <w:rPr>
                <w:sz w:val="1"/>
                <w:szCs w:val="1"/>
              </w:rPr>
            </w:pPr>
          </w:p>
        </w:tc>
      </w:tr>
      <w:tr w:rsidR="00D24E61" w:rsidRPr="00771368">
        <w:trPr>
          <w:trHeight w:val="266"/>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1" w:lineRule="exact"/>
              <w:jc w:val="center"/>
              <w:rPr>
                <w:sz w:val="20"/>
                <w:szCs w:val="20"/>
              </w:rPr>
            </w:pPr>
            <w:r w:rsidRPr="00771368">
              <w:rPr>
                <w:b/>
                <w:bCs/>
                <w:w w:val="98"/>
                <w:sz w:val="24"/>
                <w:szCs w:val="24"/>
              </w:rPr>
              <w:t>Saúde</w:t>
            </w:r>
          </w:p>
        </w:tc>
        <w:tc>
          <w:tcPr>
            <w:tcW w:w="1280" w:type="dxa"/>
            <w:tcBorders>
              <w:bottom w:val="single" w:sz="8" w:space="0" w:color="auto"/>
            </w:tcBorders>
            <w:vAlign w:val="bottom"/>
          </w:tcPr>
          <w:p w:rsidR="00D24E61" w:rsidRPr="00771368" w:rsidRDefault="00D24E61">
            <w:pPr>
              <w:spacing w:line="261" w:lineRule="exact"/>
              <w:ind w:left="240"/>
              <w:jc w:val="center"/>
              <w:rPr>
                <w:sz w:val="20"/>
                <w:szCs w:val="20"/>
              </w:rPr>
            </w:pPr>
            <w:r w:rsidRPr="00771368">
              <w:rPr>
                <w:b/>
                <w:bCs/>
                <w:w w:val="99"/>
                <w:sz w:val="24"/>
                <w:szCs w:val="24"/>
              </w:rPr>
              <w:t>56641</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1" w:lineRule="exact"/>
              <w:jc w:val="center"/>
              <w:rPr>
                <w:sz w:val="20"/>
                <w:szCs w:val="20"/>
              </w:rPr>
            </w:pPr>
            <w:r w:rsidRPr="00771368">
              <w:rPr>
                <w:b/>
                <w:bCs/>
                <w:w w:val="99"/>
                <w:sz w:val="24"/>
                <w:szCs w:val="24"/>
              </w:rPr>
              <w:t>39369</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1" w:lineRule="exact"/>
              <w:ind w:right="260"/>
              <w:jc w:val="center"/>
              <w:rPr>
                <w:sz w:val="20"/>
                <w:szCs w:val="20"/>
              </w:rPr>
            </w:pPr>
            <w:r w:rsidRPr="00771368">
              <w:rPr>
                <w:b/>
                <w:bCs/>
                <w:w w:val="99"/>
                <w:sz w:val="24"/>
                <w:szCs w:val="24"/>
              </w:rPr>
              <w:t>1304</w:t>
            </w:r>
          </w:p>
        </w:tc>
        <w:tc>
          <w:tcPr>
            <w:tcW w:w="0" w:type="dxa"/>
            <w:vAlign w:val="bottom"/>
          </w:tcPr>
          <w:p w:rsidR="00D24E61" w:rsidRPr="00771368" w:rsidRDefault="00D24E61">
            <w:pPr>
              <w:rPr>
                <w:sz w:val="1"/>
                <w:szCs w:val="1"/>
              </w:rPr>
            </w:pPr>
          </w:p>
        </w:tc>
      </w:tr>
    </w:tbl>
    <w:p w:rsidR="00D24E61" w:rsidRPr="00771368" w:rsidRDefault="00D24E61">
      <w:pPr>
        <w:spacing w:line="234" w:lineRule="auto"/>
        <w:ind w:left="240"/>
        <w:rPr>
          <w:sz w:val="20"/>
          <w:szCs w:val="20"/>
        </w:rPr>
      </w:pPr>
      <w:r w:rsidRPr="00771368">
        <w:rPr>
          <w:b/>
          <w:bCs/>
          <w:sz w:val="20"/>
          <w:szCs w:val="20"/>
        </w:rPr>
        <w:t>*Resultados obtidos através das literaturas encontradas nas Bases de Dados.</w:t>
      </w:r>
    </w:p>
    <w:p w:rsidR="00D24E61" w:rsidRPr="00771368" w:rsidRDefault="00D24E61">
      <w:pPr>
        <w:spacing w:line="285" w:lineRule="exact"/>
        <w:rPr>
          <w:sz w:val="20"/>
          <w:szCs w:val="20"/>
        </w:rPr>
      </w:pPr>
    </w:p>
    <w:p w:rsidR="00D24E61" w:rsidRPr="00771368" w:rsidRDefault="00D24E61">
      <w:pPr>
        <w:spacing w:line="333" w:lineRule="auto"/>
        <w:ind w:left="120" w:right="120" w:firstLine="850"/>
        <w:jc w:val="both"/>
        <w:rPr>
          <w:sz w:val="20"/>
          <w:szCs w:val="20"/>
        </w:rPr>
      </w:pPr>
      <w:r w:rsidRPr="00771368">
        <w:rPr>
          <w:sz w:val="24"/>
          <w:szCs w:val="24"/>
        </w:rPr>
        <w:t>Após verificarmos as constâncias de literaturas existentes nessas bases de dados, optamos por utilizar os descritores associados em dupla, com o desígnio de refinar nossa pesquisa. O resultado obtido encontra-se disposto no quadro 2.</w:t>
      </w:r>
    </w:p>
    <w:p w:rsidR="00D24E61" w:rsidRPr="00771368" w:rsidRDefault="00D24E61">
      <w:pPr>
        <w:spacing w:line="95" w:lineRule="exact"/>
        <w:rPr>
          <w:sz w:val="20"/>
          <w:szCs w:val="20"/>
        </w:rPr>
      </w:pPr>
    </w:p>
    <w:p w:rsidR="00D24E61" w:rsidRPr="00771368" w:rsidRDefault="00D24E61">
      <w:pPr>
        <w:spacing w:line="308" w:lineRule="auto"/>
        <w:ind w:left="120" w:right="120"/>
        <w:jc w:val="both"/>
        <w:rPr>
          <w:sz w:val="20"/>
          <w:szCs w:val="20"/>
        </w:rPr>
      </w:pPr>
      <w:r w:rsidRPr="00771368">
        <w:rPr>
          <w:b/>
          <w:bCs/>
          <w:sz w:val="24"/>
          <w:szCs w:val="24"/>
        </w:rPr>
        <w:t xml:space="preserve">Quadro 2 – </w:t>
      </w:r>
      <w:r w:rsidRPr="00771368">
        <w:rPr>
          <w:sz w:val="24"/>
          <w:szCs w:val="24"/>
        </w:rPr>
        <w:t>Distribuição das bibliografias encontradas, utilizando descritores associados em</w:t>
      </w:r>
      <w:r w:rsidRPr="00771368">
        <w:rPr>
          <w:b/>
          <w:bCs/>
          <w:sz w:val="24"/>
          <w:szCs w:val="24"/>
        </w:rPr>
        <w:t xml:space="preserve"> </w:t>
      </w:r>
      <w:r w:rsidRPr="00771368">
        <w:rPr>
          <w:sz w:val="24"/>
          <w:szCs w:val="24"/>
        </w:rPr>
        <w:t>dupla, nas bases de dados LILACS, BDenf, SciELO</w:t>
      </w:r>
      <w:r w:rsidRPr="00771368">
        <w:rPr>
          <w:rFonts w:eastAsia="Calibri"/>
        </w:rPr>
        <w:t>.</w:t>
      </w:r>
    </w:p>
    <w:p w:rsidR="00D24E61" w:rsidRPr="00771368" w:rsidRDefault="00D24E61">
      <w:pPr>
        <w:spacing w:line="2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60"/>
        <w:gridCol w:w="1280"/>
        <w:gridCol w:w="400"/>
        <w:gridCol w:w="1460"/>
        <w:gridCol w:w="360"/>
        <w:gridCol w:w="1260"/>
        <w:gridCol w:w="30"/>
      </w:tblGrid>
      <w:tr w:rsidR="00D24E61" w:rsidRPr="00771368">
        <w:trPr>
          <w:trHeight w:val="281"/>
        </w:trPr>
        <w:tc>
          <w:tcPr>
            <w:tcW w:w="4560" w:type="dxa"/>
            <w:tcBorders>
              <w:top w:val="single" w:sz="8" w:space="0" w:color="auto"/>
              <w:left w:val="single" w:sz="8" w:space="0" w:color="auto"/>
              <w:right w:val="single" w:sz="8" w:space="0" w:color="auto"/>
            </w:tcBorders>
            <w:vAlign w:val="bottom"/>
          </w:tcPr>
          <w:p w:rsidR="00D24E61" w:rsidRPr="00771368" w:rsidRDefault="00D24E61">
            <w:pPr>
              <w:rPr>
                <w:sz w:val="24"/>
                <w:szCs w:val="24"/>
              </w:rPr>
            </w:pPr>
          </w:p>
        </w:tc>
        <w:tc>
          <w:tcPr>
            <w:tcW w:w="1280" w:type="dxa"/>
            <w:tcBorders>
              <w:top w:val="single" w:sz="8" w:space="0" w:color="auto"/>
            </w:tcBorders>
            <w:vAlign w:val="bottom"/>
          </w:tcPr>
          <w:p w:rsidR="00D24E61" w:rsidRPr="00771368" w:rsidRDefault="00D24E61">
            <w:pPr>
              <w:rPr>
                <w:sz w:val="24"/>
                <w:szCs w:val="24"/>
              </w:rPr>
            </w:pPr>
          </w:p>
        </w:tc>
        <w:tc>
          <w:tcPr>
            <w:tcW w:w="2220" w:type="dxa"/>
            <w:gridSpan w:val="3"/>
            <w:tcBorders>
              <w:top w:val="single" w:sz="8" w:space="0" w:color="auto"/>
            </w:tcBorders>
            <w:vAlign w:val="bottom"/>
          </w:tcPr>
          <w:p w:rsidR="00D24E61" w:rsidRPr="00771368" w:rsidRDefault="00D24E61">
            <w:pPr>
              <w:rPr>
                <w:sz w:val="20"/>
                <w:szCs w:val="20"/>
              </w:rPr>
            </w:pPr>
            <w:r w:rsidRPr="00771368">
              <w:rPr>
                <w:b/>
                <w:bCs/>
                <w:sz w:val="24"/>
                <w:szCs w:val="24"/>
              </w:rPr>
              <w:t>BANCO DE DADOS</w:t>
            </w:r>
          </w:p>
        </w:tc>
        <w:tc>
          <w:tcPr>
            <w:tcW w:w="1260" w:type="dxa"/>
            <w:tcBorders>
              <w:top w:val="single" w:sz="8" w:space="0" w:color="auto"/>
              <w:right w:val="single" w:sz="8" w:space="0" w:color="auto"/>
            </w:tcBorders>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152"/>
        </w:trPr>
        <w:tc>
          <w:tcPr>
            <w:tcW w:w="4560" w:type="dxa"/>
            <w:vMerge w:val="restart"/>
            <w:tcBorders>
              <w:left w:val="single" w:sz="8" w:space="0" w:color="auto"/>
              <w:right w:val="single" w:sz="8" w:space="0" w:color="auto"/>
            </w:tcBorders>
            <w:vAlign w:val="bottom"/>
          </w:tcPr>
          <w:p w:rsidR="00D24E61" w:rsidRPr="00771368" w:rsidRDefault="00D24E61">
            <w:pPr>
              <w:jc w:val="center"/>
              <w:rPr>
                <w:sz w:val="20"/>
                <w:szCs w:val="20"/>
              </w:rPr>
            </w:pPr>
            <w:r w:rsidRPr="00771368">
              <w:rPr>
                <w:b/>
                <w:bCs/>
                <w:sz w:val="24"/>
                <w:szCs w:val="24"/>
              </w:rPr>
              <w:t>ASSOCIAÇÃO DOS DESCRITORES</w:t>
            </w:r>
          </w:p>
        </w:tc>
        <w:tc>
          <w:tcPr>
            <w:tcW w:w="1280" w:type="dxa"/>
            <w:tcBorders>
              <w:bottom w:val="single" w:sz="8" w:space="0" w:color="auto"/>
            </w:tcBorders>
            <w:vAlign w:val="bottom"/>
          </w:tcPr>
          <w:p w:rsidR="00D24E61" w:rsidRPr="00771368" w:rsidRDefault="00D24E61">
            <w:pPr>
              <w:rPr>
                <w:sz w:val="13"/>
                <w:szCs w:val="13"/>
              </w:rPr>
            </w:pPr>
          </w:p>
        </w:tc>
        <w:tc>
          <w:tcPr>
            <w:tcW w:w="400" w:type="dxa"/>
            <w:tcBorders>
              <w:bottom w:val="single" w:sz="8" w:space="0" w:color="auto"/>
            </w:tcBorders>
            <w:vAlign w:val="bottom"/>
          </w:tcPr>
          <w:p w:rsidR="00D24E61" w:rsidRPr="00771368" w:rsidRDefault="00D24E61">
            <w:pPr>
              <w:rPr>
                <w:sz w:val="13"/>
                <w:szCs w:val="13"/>
              </w:rPr>
            </w:pPr>
          </w:p>
        </w:tc>
        <w:tc>
          <w:tcPr>
            <w:tcW w:w="1460" w:type="dxa"/>
            <w:tcBorders>
              <w:bottom w:val="single" w:sz="8" w:space="0" w:color="auto"/>
            </w:tcBorders>
            <w:vAlign w:val="bottom"/>
          </w:tcPr>
          <w:p w:rsidR="00D24E61" w:rsidRPr="00771368" w:rsidRDefault="00D24E61">
            <w:pPr>
              <w:rPr>
                <w:sz w:val="13"/>
                <w:szCs w:val="13"/>
              </w:rPr>
            </w:pPr>
          </w:p>
        </w:tc>
        <w:tc>
          <w:tcPr>
            <w:tcW w:w="360" w:type="dxa"/>
            <w:tcBorders>
              <w:bottom w:val="single" w:sz="8" w:space="0" w:color="auto"/>
            </w:tcBorders>
            <w:vAlign w:val="bottom"/>
          </w:tcPr>
          <w:p w:rsidR="00D24E61" w:rsidRPr="00771368" w:rsidRDefault="00D24E61">
            <w:pPr>
              <w:rPr>
                <w:sz w:val="13"/>
                <w:szCs w:val="13"/>
              </w:rPr>
            </w:pPr>
          </w:p>
        </w:tc>
        <w:tc>
          <w:tcPr>
            <w:tcW w:w="1260" w:type="dxa"/>
            <w:tcBorders>
              <w:bottom w:val="single" w:sz="8" w:space="0" w:color="auto"/>
              <w:right w:val="single" w:sz="8" w:space="0" w:color="auto"/>
            </w:tcBorders>
            <w:vAlign w:val="bottom"/>
          </w:tcPr>
          <w:p w:rsidR="00D24E61" w:rsidRPr="00771368" w:rsidRDefault="00D24E61">
            <w:pPr>
              <w:rPr>
                <w:sz w:val="13"/>
                <w:szCs w:val="13"/>
              </w:rPr>
            </w:pPr>
          </w:p>
        </w:tc>
        <w:tc>
          <w:tcPr>
            <w:tcW w:w="0" w:type="dxa"/>
            <w:vAlign w:val="bottom"/>
          </w:tcPr>
          <w:p w:rsidR="00D24E61" w:rsidRPr="00771368" w:rsidRDefault="00D24E61">
            <w:pPr>
              <w:rPr>
                <w:sz w:val="1"/>
                <w:szCs w:val="1"/>
              </w:rPr>
            </w:pPr>
          </w:p>
        </w:tc>
      </w:tr>
      <w:tr w:rsidR="00D24E61" w:rsidRPr="00771368">
        <w:trPr>
          <w:trHeight w:val="107"/>
        </w:trPr>
        <w:tc>
          <w:tcPr>
            <w:tcW w:w="4560" w:type="dxa"/>
            <w:vMerge/>
            <w:tcBorders>
              <w:left w:val="single" w:sz="8" w:space="0" w:color="auto"/>
              <w:right w:val="single" w:sz="8" w:space="0" w:color="auto"/>
            </w:tcBorders>
            <w:vAlign w:val="bottom"/>
          </w:tcPr>
          <w:p w:rsidR="00D24E61" w:rsidRPr="00771368" w:rsidRDefault="00D24E61">
            <w:pPr>
              <w:rPr>
                <w:sz w:val="9"/>
                <w:szCs w:val="9"/>
              </w:rPr>
            </w:pPr>
          </w:p>
        </w:tc>
        <w:tc>
          <w:tcPr>
            <w:tcW w:w="1280" w:type="dxa"/>
            <w:vMerge w:val="restart"/>
            <w:vAlign w:val="bottom"/>
          </w:tcPr>
          <w:p w:rsidR="00D24E61" w:rsidRPr="00771368" w:rsidRDefault="00D24E61">
            <w:pPr>
              <w:spacing w:line="260" w:lineRule="exact"/>
              <w:ind w:left="380"/>
              <w:rPr>
                <w:sz w:val="20"/>
                <w:szCs w:val="20"/>
              </w:rPr>
            </w:pPr>
            <w:r w:rsidRPr="00771368">
              <w:rPr>
                <w:b/>
                <w:bCs/>
                <w:w w:val="98"/>
                <w:sz w:val="24"/>
                <w:szCs w:val="24"/>
              </w:rPr>
              <w:t>LILACS</w:t>
            </w:r>
          </w:p>
        </w:tc>
        <w:tc>
          <w:tcPr>
            <w:tcW w:w="400" w:type="dxa"/>
            <w:tcBorders>
              <w:right w:val="single" w:sz="8" w:space="0" w:color="auto"/>
            </w:tcBorders>
            <w:vAlign w:val="bottom"/>
          </w:tcPr>
          <w:p w:rsidR="00D24E61" w:rsidRPr="00771368" w:rsidRDefault="00D24E61">
            <w:pPr>
              <w:rPr>
                <w:sz w:val="9"/>
                <w:szCs w:val="9"/>
              </w:rPr>
            </w:pPr>
          </w:p>
        </w:tc>
        <w:tc>
          <w:tcPr>
            <w:tcW w:w="1460" w:type="dxa"/>
            <w:vMerge w:val="restart"/>
            <w:tcBorders>
              <w:right w:val="single" w:sz="8" w:space="0" w:color="auto"/>
            </w:tcBorders>
            <w:vAlign w:val="bottom"/>
          </w:tcPr>
          <w:p w:rsidR="00D24E61" w:rsidRPr="00771368" w:rsidRDefault="00D24E61">
            <w:pPr>
              <w:spacing w:line="260" w:lineRule="exact"/>
              <w:ind w:left="360"/>
              <w:rPr>
                <w:sz w:val="20"/>
                <w:szCs w:val="20"/>
              </w:rPr>
            </w:pPr>
            <w:r w:rsidRPr="00771368">
              <w:rPr>
                <w:b/>
                <w:bCs/>
                <w:sz w:val="24"/>
                <w:szCs w:val="24"/>
              </w:rPr>
              <w:t>BDENF</w:t>
            </w:r>
          </w:p>
        </w:tc>
        <w:tc>
          <w:tcPr>
            <w:tcW w:w="360" w:type="dxa"/>
            <w:vAlign w:val="bottom"/>
          </w:tcPr>
          <w:p w:rsidR="00D24E61" w:rsidRPr="00771368" w:rsidRDefault="00D24E61">
            <w:pPr>
              <w:rPr>
                <w:sz w:val="9"/>
                <w:szCs w:val="9"/>
              </w:rPr>
            </w:pPr>
          </w:p>
        </w:tc>
        <w:tc>
          <w:tcPr>
            <w:tcW w:w="1260" w:type="dxa"/>
            <w:vMerge w:val="restart"/>
            <w:tcBorders>
              <w:right w:val="single" w:sz="8" w:space="0" w:color="auto"/>
            </w:tcBorders>
            <w:vAlign w:val="bottom"/>
          </w:tcPr>
          <w:p w:rsidR="00D24E61" w:rsidRPr="00771368" w:rsidRDefault="00D24E61">
            <w:pPr>
              <w:spacing w:line="260" w:lineRule="exact"/>
              <w:ind w:left="80"/>
              <w:rPr>
                <w:sz w:val="20"/>
                <w:szCs w:val="20"/>
              </w:rPr>
            </w:pPr>
            <w:r w:rsidRPr="00771368">
              <w:rPr>
                <w:b/>
                <w:bCs/>
                <w:sz w:val="24"/>
                <w:szCs w:val="24"/>
              </w:rPr>
              <w:t>SCIELO</w:t>
            </w:r>
          </w:p>
        </w:tc>
        <w:tc>
          <w:tcPr>
            <w:tcW w:w="0" w:type="dxa"/>
            <w:vAlign w:val="bottom"/>
          </w:tcPr>
          <w:p w:rsidR="00D24E61" w:rsidRPr="00771368" w:rsidRDefault="00D24E61">
            <w:pPr>
              <w:rPr>
                <w:sz w:val="1"/>
                <w:szCs w:val="1"/>
              </w:rPr>
            </w:pPr>
          </w:p>
        </w:tc>
      </w:tr>
      <w:tr w:rsidR="00D24E61" w:rsidRPr="00771368">
        <w:trPr>
          <w:trHeight w:val="154"/>
        </w:trPr>
        <w:tc>
          <w:tcPr>
            <w:tcW w:w="4560" w:type="dxa"/>
            <w:vMerge w:val="restart"/>
            <w:tcBorders>
              <w:left w:val="single" w:sz="8" w:space="0" w:color="auto"/>
              <w:right w:val="single" w:sz="8" w:space="0" w:color="auto"/>
            </w:tcBorders>
            <w:vAlign w:val="bottom"/>
          </w:tcPr>
          <w:p w:rsidR="00D24E61" w:rsidRPr="00771368" w:rsidRDefault="00D24E61">
            <w:pPr>
              <w:spacing w:line="273" w:lineRule="exact"/>
              <w:jc w:val="center"/>
              <w:rPr>
                <w:sz w:val="20"/>
                <w:szCs w:val="20"/>
              </w:rPr>
            </w:pPr>
            <w:r w:rsidRPr="00771368">
              <w:rPr>
                <w:b/>
                <w:bCs/>
                <w:w w:val="99"/>
                <w:sz w:val="24"/>
                <w:szCs w:val="24"/>
              </w:rPr>
              <w:t>UTILIZADOS</w:t>
            </w:r>
          </w:p>
        </w:tc>
        <w:tc>
          <w:tcPr>
            <w:tcW w:w="1280" w:type="dxa"/>
            <w:vMerge/>
            <w:vAlign w:val="bottom"/>
          </w:tcPr>
          <w:p w:rsidR="00D24E61" w:rsidRPr="00771368" w:rsidRDefault="00D24E61">
            <w:pPr>
              <w:rPr>
                <w:sz w:val="13"/>
                <w:szCs w:val="13"/>
              </w:rPr>
            </w:pPr>
          </w:p>
        </w:tc>
        <w:tc>
          <w:tcPr>
            <w:tcW w:w="400" w:type="dxa"/>
            <w:tcBorders>
              <w:right w:val="single" w:sz="8" w:space="0" w:color="auto"/>
            </w:tcBorders>
            <w:vAlign w:val="bottom"/>
          </w:tcPr>
          <w:p w:rsidR="00D24E61" w:rsidRPr="00771368" w:rsidRDefault="00D24E61">
            <w:pPr>
              <w:rPr>
                <w:sz w:val="13"/>
                <w:szCs w:val="13"/>
              </w:rPr>
            </w:pPr>
          </w:p>
        </w:tc>
        <w:tc>
          <w:tcPr>
            <w:tcW w:w="1460" w:type="dxa"/>
            <w:vMerge/>
            <w:tcBorders>
              <w:right w:val="single" w:sz="8" w:space="0" w:color="auto"/>
            </w:tcBorders>
            <w:vAlign w:val="bottom"/>
          </w:tcPr>
          <w:p w:rsidR="00D24E61" w:rsidRPr="00771368" w:rsidRDefault="00D24E61">
            <w:pPr>
              <w:rPr>
                <w:sz w:val="13"/>
                <w:szCs w:val="13"/>
              </w:rPr>
            </w:pPr>
          </w:p>
        </w:tc>
        <w:tc>
          <w:tcPr>
            <w:tcW w:w="360" w:type="dxa"/>
            <w:vAlign w:val="bottom"/>
          </w:tcPr>
          <w:p w:rsidR="00D24E61" w:rsidRPr="00771368" w:rsidRDefault="00D24E61">
            <w:pPr>
              <w:rPr>
                <w:sz w:val="13"/>
                <w:szCs w:val="13"/>
              </w:rPr>
            </w:pPr>
          </w:p>
        </w:tc>
        <w:tc>
          <w:tcPr>
            <w:tcW w:w="1260" w:type="dxa"/>
            <w:vMerge/>
            <w:tcBorders>
              <w:right w:val="single" w:sz="8" w:space="0" w:color="auto"/>
            </w:tcBorders>
            <w:vAlign w:val="bottom"/>
          </w:tcPr>
          <w:p w:rsidR="00D24E61" w:rsidRPr="00771368" w:rsidRDefault="00D24E61">
            <w:pPr>
              <w:rPr>
                <w:sz w:val="13"/>
                <w:szCs w:val="13"/>
              </w:rPr>
            </w:pPr>
          </w:p>
        </w:tc>
        <w:tc>
          <w:tcPr>
            <w:tcW w:w="0" w:type="dxa"/>
            <w:vAlign w:val="bottom"/>
          </w:tcPr>
          <w:p w:rsidR="00D24E61" w:rsidRPr="00771368" w:rsidRDefault="00D24E61">
            <w:pPr>
              <w:rPr>
                <w:sz w:val="1"/>
                <w:szCs w:val="1"/>
              </w:rPr>
            </w:pPr>
          </w:p>
        </w:tc>
      </w:tr>
      <w:tr w:rsidR="00D24E61" w:rsidRPr="00771368">
        <w:trPr>
          <w:trHeight w:val="124"/>
        </w:trPr>
        <w:tc>
          <w:tcPr>
            <w:tcW w:w="4560" w:type="dxa"/>
            <w:vMerge/>
            <w:tcBorders>
              <w:left w:val="single" w:sz="8" w:space="0" w:color="auto"/>
              <w:bottom w:val="single" w:sz="8" w:space="0" w:color="auto"/>
              <w:right w:val="single" w:sz="8" w:space="0" w:color="auto"/>
            </w:tcBorders>
            <w:vAlign w:val="bottom"/>
          </w:tcPr>
          <w:p w:rsidR="00D24E61" w:rsidRPr="00771368" w:rsidRDefault="00D24E61">
            <w:pPr>
              <w:rPr>
                <w:sz w:val="10"/>
                <w:szCs w:val="10"/>
              </w:rPr>
            </w:pPr>
          </w:p>
        </w:tc>
        <w:tc>
          <w:tcPr>
            <w:tcW w:w="1280" w:type="dxa"/>
            <w:tcBorders>
              <w:bottom w:val="single" w:sz="8" w:space="0" w:color="auto"/>
            </w:tcBorders>
            <w:vAlign w:val="bottom"/>
          </w:tcPr>
          <w:p w:rsidR="00D24E61" w:rsidRPr="00771368" w:rsidRDefault="00D24E61">
            <w:pPr>
              <w:rPr>
                <w:sz w:val="10"/>
                <w:szCs w:val="10"/>
              </w:rPr>
            </w:pPr>
          </w:p>
        </w:tc>
        <w:tc>
          <w:tcPr>
            <w:tcW w:w="400" w:type="dxa"/>
            <w:tcBorders>
              <w:bottom w:val="single" w:sz="8" w:space="0" w:color="auto"/>
              <w:right w:val="single" w:sz="8" w:space="0" w:color="auto"/>
            </w:tcBorders>
            <w:vAlign w:val="bottom"/>
          </w:tcPr>
          <w:p w:rsidR="00D24E61" w:rsidRPr="00771368" w:rsidRDefault="00D24E61">
            <w:pPr>
              <w:rPr>
                <w:sz w:val="10"/>
                <w:szCs w:val="10"/>
              </w:rPr>
            </w:pPr>
          </w:p>
        </w:tc>
        <w:tc>
          <w:tcPr>
            <w:tcW w:w="1460" w:type="dxa"/>
            <w:tcBorders>
              <w:bottom w:val="single" w:sz="8" w:space="0" w:color="auto"/>
              <w:right w:val="single" w:sz="8" w:space="0" w:color="auto"/>
            </w:tcBorders>
            <w:vAlign w:val="bottom"/>
          </w:tcPr>
          <w:p w:rsidR="00D24E61" w:rsidRPr="00771368" w:rsidRDefault="00D24E61">
            <w:pPr>
              <w:rPr>
                <w:sz w:val="10"/>
                <w:szCs w:val="10"/>
              </w:rPr>
            </w:pPr>
          </w:p>
        </w:tc>
        <w:tc>
          <w:tcPr>
            <w:tcW w:w="360" w:type="dxa"/>
            <w:tcBorders>
              <w:bottom w:val="single" w:sz="8" w:space="0" w:color="auto"/>
            </w:tcBorders>
            <w:vAlign w:val="bottom"/>
          </w:tcPr>
          <w:p w:rsidR="00D24E61" w:rsidRPr="00771368" w:rsidRDefault="00D24E61">
            <w:pPr>
              <w:rPr>
                <w:sz w:val="10"/>
                <w:szCs w:val="10"/>
              </w:rPr>
            </w:pPr>
          </w:p>
        </w:tc>
        <w:tc>
          <w:tcPr>
            <w:tcW w:w="1260" w:type="dxa"/>
            <w:tcBorders>
              <w:bottom w:val="single" w:sz="8" w:space="0" w:color="auto"/>
              <w:right w:val="single" w:sz="8" w:space="0" w:color="auto"/>
            </w:tcBorders>
            <w:vAlign w:val="bottom"/>
          </w:tcPr>
          <w:p w:rsidR="00D24E61" w:rsidRPr="00771368" w:rsidRDefault="00D24E61">
            <w:pPr>
              <w:rPr>
                <w:sz w:val="10"/>
                <w:szCs w:val="10"/>
              </w:rPr>
            </w:pPr>
          </w:p>
        </w:tc>
        <w:tc>
          <w:tcPr>
            <w:tcW w:w="0" w:type="dxa"/>
            <w:vAlign w:val="bottom"/>
          </w:tcPr>
          <w:p w:rsidR="00D24E61" w:rsidRPr="00771368" w:rsidRDefault="00D24E61">
            <w:pPr>
              <w:rPr>
                <w:sz w:val="1"/>
                <w:szCs w:val="1"/>
              </w:rPr>
            </w:pPr>
          </w:p>
        </w:tc>
      </w:tr>
      <w:tr w:rsidR="00D24E61" w:rsidRPr="00771368">
        <w:trPr>
          <w:trHeight w:val="266"/>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Enfermeiro e Mulher</w:t>
            </w:r>
          </w:p>
        </w:tc>
        <w:tc>
          <w:tcPr>
            <w:tcW w:w="1280" w:type="dxa"/>
            <w:tcBorders>
              <w:bottom w:val="single" w:sz="8" w:space="0" w:color="auto"/>
            </w:tcBorders>
            <w:vAlign w:val="bottom"/>
          </w:tcPr>
          <w:p w:rsidR="00D24E61" w:rsidRPr="00771368" w:rsidRDefault="00D24E61">
            <w:pPr>
              <w:spacing w:line="263" w:lineRule="exact"/>
              <w:ind w:left="240"/>
              <w:jc w:val="center"/>
              <w:rPr>
                <w:sz w:val="20"/>
                <w:szCs w:val="20"/>
              </w:rPr>
            </w:pPr>
            <w:r w:rsidRPr="00771368">
              <w:rPr>
                <w:b/>
                <w:bCs/>
                <w:w w:val="99"/>
                <w:sz w:val="24"/>
                <w:szCs w:val="24"/>
              </w:rPr>
              <w:t>160</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113</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3" w:lineRule="exact"/>
              <w:ind w:right="260"/>
              <w:jc w:val="center"/>
              <w:rPr>
                <w:sz w:val="20"/>
                <w:szCs w:val="20"/>
              </w:rPr>
            </w:pPr>
            <w:r w:rsidRPr="00771368">
              <w:rPr>
                <w:b/>
                <w:bCs/>
                <w:w w:val="99"/>
                <w:sz w:val="24"/>
                <w:szCs w:val="24"/>
              </w:rPr>
              <w:t>51</w:t>
            </w:r>
          </w:p>
        </w:tc>
        <w:tc>
          <w:tcPr>
            <w:tcW w:w="0" w:type="dxa"/>
            <w:vAlign w:val="bottom"/>
          </w:tcPr>
          <w:p w:rsidR="00D24E61" w:rsidRPr="00771368" w:rsidRDefault="00D24E61">
            <w:pPr>
              <w:rPr>
                <w:sz w:val="1"/>
                <w:szCs w:val="1"/>
              </w:rPr>
            </w:pPr>
          </w:p>
        </w:tc>
      </w:tr>
      <w:tr w:rsidR="00D24E61" w:rsidRPr="00771368">
        <w:trPr>
          <w:trHeight w:val="266"/>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1" w:lineRule="exact"/>
              <w:jc w:val="center"/>
              <w:rPr>
                <w:sz w:val="20"/>
                <w:szCs w:val="20"/>
              </w:rPr>
            </w:pPr>
            <w:r w:rsidRPr="00771368">
              <w:rPr>
                <w:b/>
                <w:bCs/>
                <w:w w:val="99"/>
                <w:sz w:val="24"/>
                <w:szCs w:val="24"/>
              </w:rPr>
              <w:t>Mulher e Gênero</w:t>
            </w:r>
          </w:p>
        </w:tc>
        <w:tc>
          <w:tcPr>
            <w:tcW w:w="1280" w:type="dxa"/>
            <w:tcBorders>
              <w:bottom w:val="single" w:sz="8" w:space="0" w:color="auto"/>
            </w:tcBorders>
            <w:vAlign w:val="bottom"/>
          </w:tcPr>
          <w:p w:rsidR="00D24E61" w:rsidRPr="00771368" w:rsidRDefault="00D24E61">
            <w:pPr>
              <w:spacing w:line="261" w:lineRule="exact"/>
              <w:ind w:left="240"/>
              <w:jc w:val="center"/>
              <w:rPr>
                <w:sz w:val="20"/>
                <w:szCs w:val="20"/>
              </w:rPr>
            </w:pPr>
            <w:r w:rsidRPr="00771368">
              <w:rPr>
                <w:b/>
                <w:bCs/>
                <w:w w:val="99"/>
                <w:sz w:val="24"/>
                <w:szCs w:val="24"/>
              </w:rPr>
              <w:t>45</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1" w:lineRule="exact"/>
              <w:jc w:val="center"/>
              <w:rPr>
                <w:sz w:val="20"/>
                <w:szCs w:val="20"/>
              </w:rPr>
            </w:pPr>
            <w:r w:rsidRPr="00771368">
              <w:rPr>
                <w:b/>
                <w:bCs/>
                <w:w w:val="99"/>
                <w:sz w:val="24"/>
                <w:szCs w:val="24"/>
              </w:rPr>
              <w:t>17</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1" w:lineRule="exact"/>
              <w:ind w:right="260"/>
              <w:jc w:val="center"/>
              <w:rPr>
                <w:sz w:val="20"/>
                <w:szCs w:val="20"/>
              </w:rPr>
            </w:pPr>
            <w:r w:rsidRPr="00771368">
              <w:rPr>
                <w:b/>
                <w:bCs/>
                <w:w w:val="99"/>
                <w:sz w:val="24"/>
                <w:szCs w:val="24"/>
              </w:rPr>
              <w:t>92</w:t>
            </w:r>
          </w:p>
        </w:tc>
        <w:tc>
          <w:tcPr>
            <w:tcW w:w="0" w:type="dxa"/>
            <w:vAlign w:val="bottom"/>
          </w:tcPr>
          <w:p w:rsidR="00D24E61" w:rsidRPr="00771368" w:rsidRDefault="00D24E61">
            <w:pPr>
              <w:rPr>
                <w:sz w:val="1"/>
                <w:szCs w:val="1"/>
              </w:rPr>
            </w:pPr>
          </w:p>
        </w:tc>
      </w:tr>
      <w:tr w:rsidR="00D24E61" w:rsidRPr="00771368">
        <w:trPr>
          <w:trHeight w:val="266"/>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Gênero e Saúde</w:t>
            </w:r>
          </w:p>
        </w:tc>
        <w:tc>
          <w:tcPr>
            <w:tcW w:w="1280" w:type="dxa"/>
            <w:tcBorders>
              <w:bottom w:val="single" w:sz="8" w:space="0" w:color="auto"/>
            </w:tcBorders>
            <w:vAlign w:val="bottom"/>
          </w:tcPr>
          <w:p w:rsidR="00D24E61" w:rsidRPr="00771368" w:rsidRDefault="00D24E61">
            <w:pPr>
              <w:spacing w:line="263" w:lineRule="exact"/>
              <w:ind w:left="240"/>
              <w:jc w:val="center"/>
              <w:rPr>
                <w:sz w:val="20"/>
                <w:szCs w:val="20"/>
              </w:rPr>
            </w:pPr>
            <w:r w:rsidRPr="00771368">
              <w:rPr>
                <w:b/>
                <w:bCs/>
                <w:w w:val="99"/>
                <w:sz w:val="24"/>
                <w:szCs w:val="24"/>
              </w:rPr>
              <w:t>62</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28</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3" w:lineRule="exact"/>
              <w:ind w:right="260"/>
              <w:jc w:val="center"/>
              <w:rPr>
                <w:sz w:val="20"/>
                <w:szCs w:val="20"/>
              </w:rPr>
            </w:pPr>
            <w:r w:rsidRPr="00771368">
              <w:rPr>
                <w:b/>
                <w:bCs/>
                <w:w w:val="99"/>
                <w:sz w:val="24"/>
                <w:szCs w:val="24"/>
              </w:rPr>
              <w:t>117</w:t>
            </w:r>
          </w:p>
        </w:tc>
        <w:tc>
          <w:tcPr>
            <w:tcW w:w="0" w:type="dxa"/>
            <w:vAlign w:val="bottom"/>
          </w:tcPr>
          <w:p w:rsidR="00D24E61" w:rsidRPr="00771368" w:rsidRDefault="00D24E61">
            <w:pPr>
              <w:rPr>
                <w:sz w:val="1"/>
                <w:szCs w:val="1"/>
              </w:rPr>
            </w:pPr>
          </w:p>
        </w:tc>
      </w:tr>
      <w:tr w:rsidR="00D24E61" w:rsidRPr="00771368">
        <w:trPr>
          <w:trHeight w:val="266"/>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2" w:lineRule="exact"/>
              <w:jc w:val="center"/>
              <w:rPr>
                <w:sz w:val="20"/>
                <w:szCs w:val="20"/>
              </w:rPr>
            </w:pPr>
            <w:r w:rsidRPr="00771368">
              <w:rPr>
                <w:b/>
                <w:bCs/>
                <w:w w:val="99"/>
                <w:sz w:val="24"/>
                <w:szCs w:val="24"/>
              </w:rPr>
              <w:t>Saúde e Mulher</w:t>
            </w:r>
          </w:p>
        </w:tc>
        <w:tc>
          <w:tcPr>
            <w:tcW w:w="1280" w:type="dxa"/>
            <w:tcBorders>
              <w:bottom w:val="single" w:sz="8" w:space="0" w:color="auto"/>
            </w:tcBorders>
            <w:vAlign w:val="bottom"/>
          </w:tcPr>
          <w:p w:rsidR="00D24E61" w:rsidRPr="00771368" w:rsidRDefault="00D24E61">
            <w:pPr>
              <w:spacing w:line="262" w:lineRule="exact"/>
              <w:ind w:left="240"/>
              <w:jc w:val="center"/>
              <w:rPr>
                <w:sz w:val="20"/>
                <w:szCs w:val="20"/>
              </w:rPr>
            </w:pPr>
            <w:r w:rsidRPr="00771368">
              <w:rPr>
                <w:b/>
                <w:bCs/>
                <w:w w:val="99"/>
                <w:sz w:val="24"/>
                <w:szCs w:val="24"/>
              </w:rPr>
              <w:t>64</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2" w:lineRule="exact"/>
              <w:jc w:val="center"/>
              <w:rPr>
                <w:sz w:val="20"/>
                <w:szCs w:val="20"/>
              </w:rPr>
            </w:pPr>
            <w:r w:rsidRPr="00771368">
              <w:rPr>
                <w:b/>
                <w:bCs/>
                <w:w w:val="99"/>
                <w:sz w:val="24"/>
                <w:szCs w:val="24"/>
              </w:rPr>
              <w:t>75</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2" w:lineRule="exact"/>
              <w:ind w:right="260"/>
              <w:jc w:val="center"/>
              <w:rPr>
                <w:sz w:val="20"/>
                <w:szCs w:val="20"/>
              </w:rPr>
            </w:pPr>
            <w:r w:rsidRPr="00771368">
              <w:rPr>
                <w:b/>
                <w:bCs/>
                <w:w w:val="99"/>
                <w:sz w:val="24"/>
                <w:szCs w:val="24"/>
              </w:rPr>
              <w:t>55</w:t>
            </w:r>
          </w:p>
        </w:tc>
        <w:tc>
          <w:tcPr>
            <w:tcW w:w="0" w:type="dxa"/>
            <w:vAlign w:val="bottom"/>
          </w:tcPr>
          <w:p w:rsidR="00D24E61" w:rsidRPr="00771368" w:rsidRDefault="00D24E61">
            <w:pPr>
              <w:rPr>
                <w:sz w:val="1"/>
                <w:szCs w:val="1"/>
              </w:rPr>
            </w:pPr>
          </w:p>
        </w:tc>
      </w:tr>
    </w:tbl>
    <w:p w:rsidR="00D24E61" w:rsidRPr="00771368" w:rsidRDefault="00D24E61">
      <w:pPr>
        <w:spacing w:line="273" w:lineRule="exact"/>
        <w:rPr>
          <w:sz w:val="20"/>
          <w:szCs w:val="20"/>
        </w:rPr>
      </w:pPr>
    </w:p>
    <w:p w:rsidR="00D24E61" w:rsidRPr="00771368" w:rsidRDefault="00D24E61">
      <w:pPr>
        <w:spacing w:line="239" w:lineRule="auto"/>
        <w:ind w:left="120"/>
        <w:rPr>
          <w:sz w:val="20"/>
          <w:szCs w:val="20"/>
        </w:rPr>
      </w:pPr>
      <w:r w:rsidRPr="00771368">
        <w:rPr>
          <w:b/>
          <w:bCs/>
          <w:sz w:val="20"/>
          <w:szCs w:val="20"/>
        </w:rPr>
        <w:t>*Resultados obtidos através das literaturas encontradas nas Bases de Dados.</w:t>
      </w:r>
    </w:p>
    <w:p w:rsidR="00D24E61" w:rsidRPr="00771368" w:rsidRDefault="00D24E61">
      <w:pPr>
        <w:sectPr w:rsidR="00D24E61" w:rsidRPr="00771368">
          <w:pgSz w:w="11900" w:h="16838"/>
          <w:pgMar w:top="702" w:right="1300" w:bottom="1440" w:left="1300" w:header="0" w:footer="0" w:gutter="0"/>
          <w:cols w:space="720" w:equalWidth="0">
            <w:col w:w="9300"/>
          </w:cols>
        </w:sectPr>
      </w:pPr>
    </w:p>
    <w:p w:rsidR="00D24E61" w:rsidRPr="00771368" w:rsidRDefault="00D24E61">
      <w:pPr>
        <w:spacing w:line="252" w:lineRule="exact"/>
        <w:rPr>
          <w:sz w:val="20"/>
          <w:szCs w:val="20"/>
        </w:rPr>
      </w:pPr>
    </w:p>
    <w:p w:rsidR="00D24E61" w:rsidRPr="00771368" w:rsidRDefault="00D24E61">
      <w:pPr>
        <w:spacing w:line="335" w:lineRule="auto"/>
        <w:ind w:firstLine="850"/>
        <w:jc w:val="both"/>
        <w:rPr>
          <w:sz w:val="20"/>
          <w:szCs w:val="20"/>
        </w:rPr>
      </w:pPr>
      <w:r w:rsidRPr="00771368">
        <w:rPr>
          <w:sz w:val="24"/>
          <w:szCs w:val="24"/>
        </w:rPr>
        <w:t>Alguns artigos se repetiam, portanto, foram utilizados bibliografias para coleta de dados agregadas em trio, sendo base de dados LILACS, BDenf e SciELO, como indicado no quadro 3.</w:t>
      </w:r>
    </w:p>
    <w:p w:rsidR="00D24E61" w:rsidRPr="00771368" w:rsidRDefault="00D24E61">
      <w:pPr>
        <w:sectPr w:rsidR="00D24E61" w:rsidRPr="00771368">
          <w:type w:val="continuous"/>
          <w:pgSz w:w="11900" w:h="16838"/>
          <w:pgMar w:top="702" w:right="1420" w:bottom="1440" w:left="1420" w:header="0" w:footer="0" w:gutter="0"/>
          <w:cols w:space="720" w:equalWidth="0">
            <w:col w:w="9060"/>
          </w:cols>
        </w:sectPr>
      </w:pPr>
    </w:p>
    <w:p w:rsidR="00D24E61" w:rsidRPr="00771368" w:rsidRDefault="00D24E61">
      <w:pPr>
        <w:spacing w:line="239" w:lineRule="auto"/>
        <w:ind w:left="8980"/>
        <w:rPr>
          <w:sz w:val="20"/>
          <w:szCs w:val="20"/>
        </w:rPr>
      </w:pPr>
      <w:r w:rsidRPr="00771368">
        <w:rPr>
          <w:rFonts w:eastAsia="Calibri"/>
        </w:rPr>
        <w:t>10</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ind w:left="120"/>
        <w:rPr>
          <w:sz w:val="20"/>
          <w:szCs w:val="20"/>
        </w:rPr>
      </w:pPr>
      <w:r w:rsidRPr="00771368">
        <w:rPr>
          <w:b/>
          <w:bCs/>
          <w:sz w:val="24"/>
          <w:szCs w:val="24"/>
        </w:rPr>
        <w:t xml:space="preserve">Quadro 3 - </w:t>
      </w:r>
      <w:r w:rsidRPr="00771368">
        <w:rPr>
          <w:sz w:val="24"/>
          <w:szCs w:val="24"/>
        </w:rPr>
        <w:t>Distribuição das bibliografias selecionadas para a pesquisa, utilizando descritores</w:t>
      </w:r>
    </w:p>
    <w:p w:rsidR="00D24E61" w:rsidRPr="00771368" w:rsidRDefault="00D24E61">
      <w:pPr>
        <w:spacing w:line="142" w:lineRule="exact"/>
        <w:rPr>
          <w:sz w:val="20"/>
          <w:szCs w:val="20"/>
        </w:rPr>
      </w:pPr>
    </w:p>
    <w:p w:rsidR="00D24E61" w:rsidRPr="00771368" w:rsidRDefault="00D24E61">
      <w:pPr>
        <w:ind w:left="120"/>
        <w:rPr>
          <w:sz w:val="20"/>
          <w:szCs w:val="20"/>
        </w:rPr>
      </w:pPr>
      <w:r w:rsidRPr="00771368">
        <w:rPr>
          <w:sz w:val="24"/>
          <w:szCs w:val="24"/>
        </w:rPr>
        <w:t>associados em trio nas bases de dados LILACS, BDEnf, SciELO.</w:t>
      </w:r>
    </w:p>
    <w:p w:rsidR="00D24E61" w:rsidRPr="00771368" w:rsidRDefault="00D24E61">
      <w:pPr>
        <w:spacing w:line="32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60"/>
        <w:gridCol w:w="1280"/>
        <w:gridCol w:w="400"/>
        <w:gridCol w:w="1460"/>
        <w:gridCol w:w="360"/>
        <w:gridCol w:w="1260"/>
        <w:gridCol w:w="30"/>
      </w:tblGrid>
      <w:tr w:rsidR="00D24E61" w:rsidRPr="00771368">
        <w:trPr>
          <w:trHeight w:val="281"/>
        </w:trPr>
        <w:tc>
          <w:tcPr>
            <w:tcW w:w="4560" w:type="dxa"/>
            <w:tcBorders>
              <w:top w:val="single" w:sz="8" w:space="0" w:color="auto"/>
              <w:left w:val="single" w:sz="8" w:space="0" w:color="auto"/>
              <w:right w:val="single" w:sz="8" w:space="0" w:color="auto"/>
            </w:tcBorders>
            <w:vAlign w:val="bottom"/>
          </w:tcPr>
          <w:p w:rsidR="00D24E61" w:rsidRPr="00771368" w:rsidRDefault="00D24E61">
            <w:pPr>
              <w:rPr>
                <w:sz w:val="24"/>
                <w:szCs w:val="24"/>
              </w:rPr>
            </w:pPr>
          </w:p>
        </w:tc>
        <w:tc>
          <w:tcPr>
            <w:tcW w:w="1280" w:type="dxa"/>
            <w:tcBorders>
              <w:top w:val="single" w:sz="8" w:space="0" w:color="auto"/>
            </w:tcBorders>
            <w:vAlign w:val="bottom"/>
          </w:tcPr>
          <w:p w:rsidR="00D24E61" w:rsidRPr="00771368" w:rsidRDefault="00D24E61">
            <w:pPr>
              <w:rPr>
                <w:sz w:val="24"/>
                <w:szCs w:val="24"/>
              </w:rPr>
            </w:pPr>
          </w:p>
        </w:tc>
        <w:tc>
          <w:tcPr>
            <w:tcW w:w="2220" w:type="dxa"/>
            <w:gridSpan w:val="3"/>
            <w:tcBorders>
              <w:top w:val="single" w:sz="8" w:space="0" w:color="auto"/>
            </w:tcBorders>
            <w:vAlign w:val="bottom"/>
          </w:tcPr>
          <w:p w:rsidR="00D24E61" w:rsidRPr="00771368" w:rsidRDefault="00D24E61">
            <w:pPr>
              <w:ind w:right="60"/>
              <w:jc w:val="center"/>
              <w:rPr>
                <w:sz w:val="20"/>
                <w:szCs w:val="20"/>
              </w:rPr>
            </w:pPr>
            <w:r w:rsidRPr="00771368">
              <w:rPr>
                <w:b/>
                <w:bCs/>
                <w:w w:val="99"/>
                <w:sz w:val="24"/>
                <w:szCs w:val="24"/>
              </w:rPr>
              <w:t>BANCO DE DADOS</w:t>
            </w:r>
          </w:p>
        </w:tc>
        <w:tc>
          <w:tcPr>
            <w:tcW w:w="1260" w:type="dxa"/>
            <w:tcBorders>
              <w:top w:val="single" w:sz="8" w:space="0" w:color="auto"/>
              <w:right w:val="single" w:sz="8" w:space="0" w:color="auto"/>
            </w:tcBorders>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152"/>
        </w:trPr>
        <w:tc>
          <w:tcPr>
            <w:tcW w:w="4560" w:type="dxa"/>
            <w:vMerge w:val="restart"/>
            <w:tcBorders>
              <w:left w:val="single" w:sz="8" w:space="0" w:color="auto"/>
              <w:right w:val="single" w:sz="8" w:space="0" w:color="auto"/>
            </w:tcBorders>
            <w:vAlign w:val="bottom"/>
          </w:tcPr>
          <w:p w:rsidR="00D24E61" w:rsidRPr="00771368" w:rsidRDefault="00D24E61">
            <w:pPr>
              <w:spacing w:line="273" w:lineRule="exact"/>
              <w:jc w:val="center"/>
              <w:rPr>
                <w:sz w:val="20"/>
                <w:szCs w:val="20"/>
              </w:rPr>
            </w:pPr>
            <w:r w:rsidRPr="00771368">
              <w:rPr>
                <w:b/>
                <w:bCs/>
                <w:sz w:val="24"/>
                <w:szCs w:val="24"/>
              </w:rPr>
              <w:t>ASSOCIAÇÃO DOS DESCRITORES</w:t>
            </w:r>
          </w:p>
        </w:tc>
        <w:tc>
          <w:tcPr>
            <w:tcW w:w="1280" w:type="dxa"/>
            <w:tcBorders>
              <w:bottom w:val="single" w:sz="8" w:space="0" w:color="auto"/>
            </w:tcBorders>
            <w:vAlign w:val="bottom"/>
          </w:tcPr>
          <w:p w:rsidR="00D24E61" w:rsidRPr="00771368" w:rsidRDefault="00D24E61">
            <w:pPr>
              <w:rPr>
                <w:sz w:val="13"/>
                <w:szCs w:val="13"/>
              </w:rPr>
            </w:pPr>
          </w:p>
        </w:tc>
        <w:tc>
          <w:tcPr>
            <w:tcW w:w="400" w:type="dxa"/>
            <w:tcBorders>
              <w:bottom w:val="single" w:sz="8" w:space="0" w:color="auto"/>
            </w:tcBorders>
            <w:vAlign w:val="bottom"/>
          </w:tcPr>
          <w:p w:rsidR="00D24E61" w:rsidRPr="00771368" w:rsidRDefault="00D24E61">
            <w:pPr>
              <w:rPr>
                <w:sz w:val="13"/>
                <w:szCs w:val="13"/>
              </w:rPr>
            </w:pPr>
          </w:p>
        </w:tc>
        <w:tc>
          <w:tcPr>
            <w:tcW w:w="1460" w:type="dxa"/>
            <w:tcBorders>
              <w:bottom w:val="single" w:sz="8" w:space="0" w:color="auto"/>
            </w:tcBorders>
            <w:vAlign w:val="bottom"/>
          </w:tcPr>
          <w:p w:rsidR="00D24E61" w:rsidRPr="00771368" w:rsidRDefault="00D24E61">
            <w:pPr>
              <w:rPr>
                <w:sz w:val="13"/>
                <w:szCs w:val="13"/>
              </w:rPr>
            </w:pPr>
          </w:p>
        </w:tc>
        <w:tc>
          <w:tcPr>
            <w:tcW w:w="360" w:type="dxa"/>
            <w:tcBorders>
              <w:bottom w:val="single" w:sz="8" w:space="0" w:color="auto"/>
            </w:tcBorders>
            <w:vAlign w:val="bottom"/>
          </w:tcPr>
          <w:p w:rsidR="00D24E61" w:rsidRPr="00771368" w:rsidRDefault="00D24E61">
            <w:pPr>
              <w:rPr>
                <w:sz w:val="13"/>
                <w:szCs w:val="13"/>
              </w:rPr>
            </w:pPr>
          </w:p>
        </w:tc>
        <w:tc>
          <w:tcPr>
            <w:tcW w:w="1260" w:type="dxa"/>
            <w:tcBorders>
              <w:bottom w:val="single" w:sz="8" w:space="0" w:color="auto"/>
              <w:right w:val="single" w:sz="8" w:space="0" w:color="auto"/>
            </w:tcBorders>
            <w:vAlign w:val="bottom"/>
          </w:tcPr>
          <w:p w:rsidR="00D24E61" w:rsidRPr="00771368" w:rsidRDefault="00D24E61">
            <w:pPr>
              <w:rPr>
                <w:sz w:val="13"/>
                <w:szCs w:val="13"/>
              </w:rPr>
            </w:pPr>
          </w:p>
        </w:tc>
        <w:tc>
          <w:tcPr>
            <w:tcW w:w="0" w:type="dxa"/>
            <w:vAlign w:val="bottom"/>
          </w:tcPr>
          <w:p w:rsidR="00D24E61" w:rsidRPr="00771368" w:rsidRDefault="00D24E61">
            <w:pPr>
              <w:rPr>
                <w:sz w:val="1"/>
                <w:szCs w:val="1"/>
              </w:rPr>
            </w:pPr>
          </w:p>
        </w:tc>
      </w:tr>
      <w:tr w:rsidR="00D24E61" w:rsidRPr="00771368">
        <w:trPr>
          <w:trHeight w:val="102"/>
        </w:trPr>
        <w:tc>
          <w:tcPr>
            <w:tcW w:w="4560" w:type="dxa"/>
            <w:vMerge/>
            <w:tcBorders>
              <w:left w:val="single" w:sz="8" w:space="0" w:color="auto"/>
              <w:right w:val="single" w:sz="8" w:space="0" w:color="auto"/>
            </w:tcBorders>
            <w:vAlign w:val="bottom"/>
          </w:tcPr>
          <w:p w:rsidR="00D24E61" w:rsidRPr="00771368" w:rsidRDefault="00D24E61">
            <w:pPr>
              <w:rPr>
                <w:sz w:val="8"/>
                <w:szCs w:val="8"/>
              </w:rPr>
            </w:pPr>
          </w:p>
        </w:tc>
        <w:tc>
          <w:tcPr>
            <w:tcW w:w="1280" w:type="dxa"/>
            <w:vMerge w:val="restart"/>
            <w:vAlign w:val="bottom"/>
          </w:tcPr>
          <w:p w:rsidR="00D24E61" w:rsidRPr="00771368" w:rsidRDefault="00D24E61">
            <w:pPr>
              <w:spacing w:line="260" w:lineRule="exact"/>
              <w:ind w:left="240"/>
              <w:jc w:val="center"/>
              <w:rPr>
                <w:sz w:val="20"/>
                <w:szCs w:val="20"/>
              </w:rPr>
            </w:pPr>
            <w:r w:rsidRPr="00771368">
              <w:rPr>
                <w:b/>
                <w:bCs/>
                <w:w w:val="98"/>
                <w:sz w:val="24"/>
                <w:szCs w:val="24"/>
              </w:rPr>
              <w:t>LILACS</w:t>
            </w:r>
          </w:p>
        </w:tc>
        <w:tc>
          <w:tcPr>
            <w:tcW w:w="400" w:type="dxa"/>
            <w:tcBorders>
              <w:right w:val="single" w:sz="8" w:space="0" w:color="auto"/>
            </w:tcBorders>
            <w:vAlign w:val="bottom"/>
          </w:tcPr>
          <w:p w:rsidR="00D24E61" w:rsidRPr="00771368" w:rsidRDefault="00D24E61">
            <w:pPr>
              <w:rPr>
                <w:sz w:val="8"/>
                <w:szCs w:val="8"/>
              </w:rPr>
            </w:pPr>
          </w:p>
        </w:tc>
        <w:tc>
          <w:tcPr>
            <w:tcW w:w="1460" w:type="dxa"/>
            <w:vMerge w:val="restart"/>
            <w:tcBorders>
              <w:right w:val="single" w:sz="8" w:space="0" w:color="auto"/>
            </w:tcBorders>
            <w:vAlign w:val="bottom"/>
          </w:tcPr>
          <w:p w:rsidR="00D24E61" w:rsidRPr="00771368" w:rsidRDefault="00D24E61">
            <w:pPr>
              <w:spacing w:line="260" w:lineRule="exact"/>
              <w:ind w:left="360"/>
              <w:rPr>
                <w:sz w:val="20"/>
                <w:szCs w:val="20"/>
              </w:rPr>
            </w:pPr>
            <w:r w:rsidRPr="00771368">
              <w:rPr>
                <w:b/>
                <w:bCs/>
                <w:sz w:val="24"/>
                <w:szCs w:val="24"/>
              </w:rPr>
              <w:t>BDENF</w:t>
            </w:r>
          </w:p>
        </w:tc>
        <w:tc>
          <w:tcPr>
            <w:tcW w:w="360" w:type="dxa"/>
            <w:vAlign w:val="bottom"/>
          </w:tcPr>
          <w:p w:rsidR="00D24E61" w:rsidRPr="00771368" w:rsidRDefault="00D24E61">
            <w:pPr>
              <w:rPr>
                <w:sz w:val="8"/>
                <w:szCs w:val="8"/>
              </w:rPr>
            </w:pPr>
          </w:p>
        </w:tc>
        <w:tc>
          <w:tcPr>
            <w:tcW w:w="1260" w:type="dxa"/>
            <w:vMerge w:val="restart"/>
            <w:tcBorders>
              <w:right w:val="single" w:sz="8" w:space="0" w:color="auto"/>
            </w:tcBorders>
            <w:vAlign w:val="bottom"/>
          </w:tcPr>
          <w:p w:rsidR="00D24E61" w:rsidRPr="00771368" w:rsidRDefault="00D24E61">
            <w:pPr>
              <w:spacing w:line="260" w:lineRule="exact"/>
              <w:ind w:right="160"/>
              <w:jc w:val="right"/>
              <w:rPr>
                <w:sz w:val="20"/>
                <w:szCs w:val="20"/>
              </w:rPr>
            </w:pPr>
            <w:r w:rsidRPr="00771368">
              <w:rPr>
                <w:b/>
                <w:bCs/>
                <w:sz w:val="24"/>
                <w:szCs w:val="24"/>
              </w:rPr>
              <w:t>SCIELO</w:t>
            </w:r>
          </w:p>
        </w:tc>
        <w:tc>
          <w:tcPr>
            <w:tcW w:w="0" w:type="dxa"/>
            <w:vAlign w:val="bottom"/>
          </w:tcPr>
          <w:p w:rsidR="00D24E61" w:rsidRPr="00771368" w:rsidRDefault="00D24E61">
            <w:pPr>
              <w:rPr>
                <w:sz w:val="1"/>
                <w:szCs w:val="1"/>
              </w:rPr>
            </w:pPr>
          </w:p>
        </w:tc>
      </w:tr>
      <w:tr w:rsidR="00D24E61" w:rsidRPr="00771368">
        <w:trPr>
          <w:trHeight w:val="158"/>
        </w:trPr>
        <w:tc>
          <w:tcPr>
            <w:tcW w:w="4560" w:type="dxa"/>
            <w:vMerge w:val="restart"/>
            <w:tcBorders>
              <w:left w:val="single" w:sz="8" w:space="0" w:color="auto"/>
              <w:right w:val="single" w:sz="8" w:space="0" w:color="auto"/>
            </w:tcBorders>
            <w:vAlign w:val="bottom"/>
          </w:tcPr>
          <w:p w:rsidR="00D24E61" w:rsidRPr="00771368" w:rsidRDefault="00D24E61">
            <w:pPr>
              <w:jc w:val="center"/>
              <w:rPr>
                <w:sz w:val="20"/>
                <w:szCs w:val="20"/>
              </w:rPr>
            </w:pPr>
            <w:r w:rsidRPr="00771368">
              <w:rPr>
                <w:b/>
                <w:bCs/>
                <w:w w:val="99"/>
                <w:sz w:val="24"/>
                <w:szCs w:val="24"/>
              </w:rPr>
              <w:t>UTILIZADOS</w:t>
            </w:r>
          </w:p>
        </w:tc>
        <w:tc>
          <w:tcPr>
            <w:tcW w:w="1280" w:type="dxa"/>
            <w:vMerge/>
            <w:vAlign w:val="bottom"/>
          </w:tcPr>
          <w:p w:rsidR="00D24E61" w:rsidRPr="00771368" w:rsidRDefault="00D24E61">
            <w:pPr>
              <w:rPr>
                <w:sz w:val="13"/>
                <w:szCs w:val="13"/>
              </w:rPr>
            </w:pPr>
          </w:p>
        </w:tc>
        <w:tc>
          <w:tcPr>
            <w:tcW w:w="400" w:type="dxa"/>
            <w:tcBorders>
              <w:right w:val="single" w:sz="8" w:space="0" w:color="auto"/>
            </w:tcBorders>
            <w:vAlign w:val="bottom"/>
          </w:tcPr>
          <w:p w:rsidR="00D24E61" w:rsidRPr="00771368" w:rsidRDefault="00D24E61">
            <w:pPr>
              <w:rPr>
                <w:sz w:val="13"/>
                <w:szCs w:val="13"/>
              </w:rPr>
            </w:pPr>
          </w:p>
        </w:tc>
        <w:tc>
          <w:tcPr>
            <w:tcW w:w="1460" w:type="dxa"/>
            <w:vMerge/>
            <w:tcBorders>
              <w:right w:val="single" w:sz="8" w:space="0" w:color="auto"/>
            </w:tcBorders>
            <w:vAlign w:val="bottom"/>
          </w:tcPr>
          <w:p w:rsidR="00D24E61" w:rsidRPr="00771368" w:rsidRDefault="00D24E61">
            <w:pPr>
              <w:rPr>
                <w:sz w:val="13"/>
                <w:szCs w:val="13"/>
              </w:rPr>
            </w:pPr>
          </w:p>
        </w:tc>
        <w:tc>
          <w:tcPr>
            <w:tcW w:w="360" w:type="dxa"/>
            <w:vAlign w:val="bottom"/>
          </w:tcPr>
          <w:p w:rsidR="00D24E61" w:rsidRPr="00771368" w:rsidRDefault="00D24E61">
            <w:pPr>
              <w:rPr>
                <w:sz w:val="13"/>
                <w:szCs w:val="13"/>
              </w:rPr>
            </w:pPr>
          </w:p>
        </w:tc>
        <w:tc>
          <w:tcPr>
            <w:tcW w:w="1260" w:type="dxa"/>
            <w:vMerge/>
            <w:tcBorders>
              <w:right w:val="single" w:sz="8" w:space="0" w:color="auto"/>
            </w:tcBorders>
            <w:vAlign w:val="bottom"/>
          </w:tcPr>
          <w:p w:rsidR="00D24E61" w:rsidRPr="00771368" w:rsidRDefault="00D24E61">
            <w:pPr>
              <w:rPr>
                <w:sz w:val="13"/>
                <w:szCs w:val="13"/>
              </w:rPr>
            </w:pPr>
          </w:p>
        </w:tc>
        <w:tc>
          <w:tcPr>
            <w:tcW w:w="0" w:type="dxa"/>
            <w:vAlign w:val="bottom"/>
          </w:tcPr>
          <w:p w:rsidR="00D24E61" w:rsidRPr="00771368" w:rsidRDefault="00D24E61">
            <w:pPr>
              <w:rPr>
                <w:sz w:val="1"/>
                <w:szCs w:val="1"/>
              </w:rPr>
            </w:pPr>
          </w:p>
        </w:tc>
      </w:tr>
      <w:tr w:rsidR="00D24E61" w:rsidRPr="00771368">
        <w:trPr>
          <w:trHeight w:val="121"/>
        </w:trPr>
        <w:tc>
          <w:tcPr>
            <w:tcW w:w="4560" w:type="dxa"/>
            <w:vMerge/>
            <w:tcBorders>
              <w:left w:val="single" w:sz="8" w:space="0" w:color="auto"/>
              <w:bottom w:val="single" w:sz="8" w:space="0" w:color="auto"/>
              <w:right w:val="single" w:sz="8" w:space="0" w:color="auto"/>
            </w:tcBorders>
            <w:vAlign w:val="bottom"/>
          </w:tcPr>
          <w:p w:rsidR="00D24E61" w:rsidRPr="00771368" w:rsidRDefault="00D24E61">
            <w:pPr>
              <w:rPr>
                <w:sz w:val="10"/>
                <w:szCs w:val="10"/>
              </w:rPr>
            </w:pPr>
          </w:p>
        </w:tc>
        <w:tc>
          <w:tcPr>
            <w:tcW w:w="1280" w:type="dxa"/>
            <w:tcBorders>
              <w:bottom w:val="single" w:sz="8" w:space="0" w:color="auto"/>
            </w:tcBorders>
            <w:vAlign w:val="bottom"/>
          </w:tcPr>
          <w:p w:rsidR="00D24E61" w:rsidRPr="00771368" w:rsidRDefault="00D24E61">
            <w:pPr>
              <w:rPr>
                <w:sz w:val="10"/>
                <w:szCs w:val="10"/>
              </w:rPr>
            </w:pPr>
          </w:p>
        </w:tc>
        <w:tc>
          <w:tcPr>
            <w:tcW w:w="400" w:type="dxa"/>
            <w:tcBorders>
              <w:bottom w:val="single" w:sz="8" w:space="0" w:color="auto"/>
              <w:right w:val="single" w:sz="8" w:space="0" w:color="auto"/>
            </w:tcBorders>
            <w:vAlign w:val="bottom"/>
          </w:tcPr>
          <w:p w:rsidR="00D24E61" w:rsidRPr="00771368" w:rsidRDefault="00D24E61">
            <w:pPr>
              <w:rPr>
                <w:sz w:val="10"/>
                <w:szCs w:val="10"/>
              </w:rPr>
            </w:pPr>
          </w:p>
        </w:tc>
        <w:tc>
          <w:tcPr>
            <w:tcW w:w="1460" w:type="dxa"/>
            <w:tcBorders>
              <w:bottom w:val="single" w:sz="8" w:space="0" w:color="auto"/>
              <w:right w:val="single" w:sz="8" w:space="0" w:color="auto"/>
            </w:tcBorders>
            <w:vAlign w:val="bottom"/>
          </w:tcPr>
          <w:p w:rsidR="00D24E61" w:rsidRPr="00771368" w:rsidRDefault="00D24E61">
            <w:pPr>
              <w:rPr>
                <w:sz w:val="10"/>
                <w:szCs w:val="10"/>
              </w:rPr>
            </w:pPr>
          </w:p>
        </w:tc>
        <w:tc>
          <w:tcPr>
            <w:tcW w:w="360" w:type="dxa"/>
            <w:tcBorders>
              <w:bottom w:val="single" w:sz="8" w:space="0" w:color="auto"/>
            </w:tcBorders>
            <w:vAlign w:val="bottom"/>
          </w:tcPr>
          <w:p w:rsidR="00D24E61" w:rsidRPr="00771368" w:rsidRDefault="00D24E61">
            <w:pPr>
              <w:rPr>
                <w:sz w:val="10"/>
                <w:szCs w:val="10"/>
              </w:rPr>
            </w:pPr>
          </w:p>
        </w:tc>
        <w:tc>
          <w:tcPr>
            <w:tcW w:w="1260" w:type="dxa"/>
            <w:tcBorders>
              <w:bottom w:val="single" w:sz="8" w:space="0" w:color="auto"/>
              <w:right w:val="single" w:sz="8" w:space="0" w:color="auto"/>
            </w:tcBorders>
            <w:vAlign w:val="bottom"/>
          </w:tcPr>
          <w:p w:rsidR="00D24E61" w:rsidRPr="00771368" w:rsidRDefault="00D24E61">
            <w:pPr>
              <w:rPr>
                <w:sz w:val="10"/>
                <w:szCs w:val="10"/>
              </w:rPr>
            </w:pPr>
          </w:p>
        </w:tc>
        <w:tc>
          <w:tcPr>
            <w:tcW w:w="0" w:type="dxa"/>
            <w:vAlign w:val="bottom"/>
          </w:tcPr>
          <w:p w:rsidR="00D24E61" w:rsidRPr="00771368" w:rsidRDefault="00D24E61">
            <w:pPr>
              <w:rPr>
                <w:sz w:val="1"/>
                <w:szCs w:val="1"/>
              </w:rPr>
            </w:pPr>
          </w:p>
        </w:tc>
      </w:tr>
      <w:tr w:rsidR="00D24E61" w:rsidRPr="00771368">
        <w:trPr>
          <w:trHeight w:val="266"/>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1" w:lineRule="exact"/>
              <w:jc w:val="center"/>
              <w:rPr>
                <w:sz w:val="20"/>
                <w:szCs w:val="20"/>
              </w:rPr>
            </w:pPr>
            <w:r w:rsidRPr="00771368">
              <w:rPr>
                <w:b/>
                <w:bCs/>
                <w:w w:val="99"/>
                <w:sz w:val="24"/>
                <w:szCs w:val="24"/>
              </w:rPr>
              <w:t>Enfermeiro e Mulher e Saúde</w:t>
            </w:r>
          </w:p>
        </w:tc>
        <w:tc>
          <w:tcPr>
            <w:tcW w:w="1280" w:type="dxa"/>
            <w:tcBorders>
              <w:bottom w:val="single" w:sz="8" w:space="0" w:color="auto"/>
            </w:tcBorders>
            <w:vAlign w:val="bottom"/>
          </w:tcPr>
          <w:p w:rsidR="00D24E61" w:rsidRPr="00771368" w:rsidRDefault="00D24E61">
            <w:pPr>
              <w:spacing w:line="261" w:lineRule="exact"/>
              <w:ind w:left="240"/>
              <w:jc w:val="center"/>
              <w:rPr>
                <w:sz w:val="20"/>
                <w:szCs w:val="20"/>
              </w:rPr>
            </w:pPr>
            <w:r w:rsidRPr="00771368">
              <w:rPr>
                <w:b/>
                <w:bCs/>
                <w:w w:val="99"/>
                <w:sz w:val="24"/>
                <w:szCs w:val="24"/>
              </w:rPr>
              <w:t>0</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1" w:lineRule="exact"/>
              <w:jc w:val="center"/>
              <w:rPr>
                <w:sz w:val="20"/>
                <w:szCs w:val="20"/>
              </w:rPr>
            </w:pPr>
            <w:r w:rsidRPr="00771368">
              <w:rPr>
                <w:b/>
                <w:bCs/>
                <w:w w:val="99"/>
                <w:sz w:val="24"/>
                <w:szCs w:val="24"/>
              </w:rPr>
              <w:t>0</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1" w:lineRule="exact"/>
              <w:ind w:right="640"/>
              <w:jc w:val="right"/>
              <w:rPr>
                <w:sz w:val="20"/>
                <w:szCs w:val="20"/>
              </w:rPr>
            </w:pPr>
            <w:r w:rsidRPr="00771368">
              <w:rPr>
                <w:b/>
                <w:bCs/>
                <w:sz w:val="24"/>
                <w:szCs w:val="24"/>
              </w:rPr>
              <w:t>2</w:t>
            </w:r>
          </w:p>
        </w:tc>
        <w:tc>
          <w:tcPr>
            <w:tcW w:w="0" w:type="dxa"/>
            <w:vAlign w:val="bottom"/>
          </w:tcPr>
          <w:p w:rsidR="00D24E61" w:rsidRPr="00771368" w:rsidRDefault="00D24E61">
            <w:pPr>
              <w:rPr>
                <w:sz w:val="1"/>
                <w:szCs w:val="1"/>
              </w:rPr>
            </w:pPr>
          </w:p>
        </w:tc>
      </w:tr>
      <w:tr w:rsidR="00D24E61" w:rsidRPr="00771368">
        <w:trPr>
          <w:trHeight w:val="268"/>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Mulher e Gênero e Saúde</w:t>
            </w:r>
          </w:p>
        </w:tc>
        <w:tc>
          <w:tcPr>
            <w:tcW w:w="1280" w:type="dxa"/>
            <w:tcBorders>
              <w:bottom w:val="single" w:sz="8" w:space="0" w:color="auto"/>
            </w:tcBorders>
            <w:vAlign w:val="bottom"/>
          </w:tcPr>
          <w:p w:rsidR="00D24E61" w:rsidRPr="00771368" w:rsidRDefault="00D24E61">
            <w:pPr>
              <w:spacing w:line="263" w:lineRule="exact"/>
              <w:ind w:left="240"/>
              <w:jc w:val="center"/>
              <w:rPr>
                <w:sz w:val="20"/>
                <w:szCs w:val="20"/>
              </w:rPr>
            </w:pPr>
            <w:r w:rsidRPr="00771368">
              <w:rPr>
                <w:b/>
                <w:bCs/>
                <w:w w:val="99"/>
                <w:sz w:val="24"/>
                <w:szCs w:val="24"/>
              </w:rPr>
              <w:t>2</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0</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3" w:lineRule="exact"/>
              <w:ind w:right="640"/>
              <w:jc w:val="right"/>
              <w:rPr>
                <w:sz w:val="20"/>
                <w:szCs w:val="20"/>
              </w:rPr>
            </w:pPr>
            <w:r w:rsidRPr="00771368">
              <w:rPr>
                <w:b/>
                <w:bCs/>
                <w:sz w:val="24"/>
                <w:szCs w:val="24"/>
              </w:rPr>
              <w:t>1</w:t>
            </w:r>
          </w:p>
        </w:tc>
        <w:tc>
          <w:tcPr>
            <w:tcW w:w="0" w:type="dxa"/>
            <w:vAlign w:val="bottom"/>
          </w:tcPr>
          <w:p w:rsidR="00D24E61" w:rsidRPr="00771368" w:rsidRDefault="00D24E61">
            <w:pPr>
              <w:rPr>
                <w:sz w:val="1"/>
                <w:szCs w:val="1"/>
              </w:rPr>
            </w:pPr>
          </w:p>
        </w:tc>
      </w:tr>
      <w:tr w:rsidR="00D24E61" w:rsidRPr="00771368">
        <w:trPr>
          <w:trHeight w:val="264"/>
        </w:trPr>
        <w:tc>
          <w:tcPr>
            <w:tcW w:w="4560" w:type="dxa"/>
            <w:tcBorders>
              <w:left w:val="single" w:sz="8" w:space="0" w:color="auto"/>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Gênero e Mulher e Enfermeiro</w:t>
            </w:r>
          </w:p>
        </w:tc>
        <w:tc>
          <w:tcPr>
            <w:tcW w:w="1280" w:type="dxa"/>
            <w:vAlign w:val="bottom"/>
          </w:tcPr>
          <w:p w:rsidR="00D24E61" w:rsidRPr="00771368" w:rsidRDefault="00D24E61">
            <w:pPr>
              <w:spacing w:line="263" w:lineRule="exact"/>
              <w:ind w:left="240"/>
              <w:jc w:val="center"/>
              <w:rPr>
                <w:sz w:val="20"/>
                <w:szCs w:val="20"/>
              </w:rPr>
            </w:pPr>
            <w:r w:rsidRPr="00771368">
              <w:rPr>
                <w:b/>
                <w:bCs/>
                <w:w w:val="99"/>
                <w:sz w:val="24"/>
                <w:szCs w:val="24"/>
              </w:rPr>
              <w:t>0</w:t>
            </w:r>
          </w:p>
        </w:tc>
        <w:tc>
          <w:tcPr>
            <w:tcW w:w="400" w:type="dxa"/>
            <w:tcBorders>
              <w:right w:val="single" w:sz="8" w:space="0" w:color="auto"/>
            </w:tcBorders>
            <w:vAlign w:val="bottom"/>
          </w:tcPr>
          <w:p w:rsidR="00D24E61" w:rsidRPr="00771368" w:rsidRDefault="00D24E61"/>
        </w:tc>
        <w:tc>
          <w:tcPr>
            <w:tcW w:w="1460" w:type="dxa"/>
            <w:tcBorders>
              <w:right w:val="single" w:sz="8" w:space="0" w:color="auto"/>
            </w:tcBorders>
            <w:vAlign w:val="bottom"/>
          </w:tcPr>
          <w:p w:rsidR="00D24E61" w:rsidRPr="00771368" w:rsidRDefault="00D24E61">
            <w:pPr>
              <w:spacing w:line="263" w:lineRule="exact"/>
              <w:jc w:val="center"/>
              <w:rPr>
                <w:sz w:val="20"/>
                <w:szCs w:val="20"/>
              </w:rPr>
            </w:pPr>
            <w:r w:rsidRPr="00771368">
              <w:rPr>
                <w:b/>
                <w:bCs/>
                <w:w w:val="99"/>
                <w:sz w:val="24"/>
                <w:szCs w:val="24"/>
              </w:rPr>
              <w:t>1</w:t>
            </w:r>
          </w:p>
        </w:tc>
        <w:tc>
          <w:tcPr>
            <w:tcW w:w="360" w:type="dxa"/>
            <w:vAlign w:val="bottom"/>
          </w:tcPr>
          <w:p w:rsidR="00D24E61" w:rsidRPr="00771368" w:rsidRDefault="00D24E61"/>
        </w:tc>
        <w:tc>
          <w:tcPr>
            <w:tcW w:w="1260" w:type="dxa"/>
            <w:tcBorders>
              <w:right w:val="single" w:sz="8" w:space="0" w:color="auto"/>
            </w:tcBorders>
            <w:vAlign w:val="bottom"/>
          </w:tcPr>
          <w:p w:rsidR="00D24E61" w:rsidRPr="00771368" w:rsidRDefault="00D24E61">
            <w:pPr>
              <w:spacing w:line="263" w:lineRule="exact"/>
              <w:ind w:right="640"/>
              <w:jc w:val="right"/>
              <w:rPr>
                <w:sz w:val="20"/>
                <w:szCs w:val="20"/>
              </w:rPr>
            </w:pPr>
            <w:r w:rsidRPr="00771368">
              <w:rPr>
                <w:b/>
                <w:bCs/>
                <w:sz w:val="24"/>
                <w:szCs w:val="24"/>
              </w:rPr>
              <w:t>0</w:t>
            </w:r>
          </w:p>
        </w:tc>
        <w:tc>
          <w:tcPr>
            <w:tcW w:w="0" w:type="dxa"/>
            <w:vAlign w:val="bottom"/>
          </w:tcPr>
          <w:p w:rsidR="00D24E61" w:rsidRPr="00771368" w:rsidRDefault="00D24E61">
            <w:pPr>
              <w:rPr>
                <w:sz w:val="1"/>
                <w:szCs w:val="1"/>
              </w:rPr>
            </w:pPr>
          </w:p>
        </w:tc>
      </w:tr>
      <w:tr w:rsidR="00D24E61" w:rsidRPr="00771368">
        <w:trPr>
          <w:trHeight w:val="176"/>
        </w:trPr>
        <w:tc>
          <w:tcPr>
            <w:tcW w:w="4560" w:type="dxa"/>
            <w:tcBorders>
              <w:left w:val="single" w:sz="8" w:space="0" w:color="auto"/>
              <w:bottom w:val="single" w:sz="8" w:space="0" w:color="auto"/>
              <w:right w:val="single" w:sz="8" w:space="0" w:color="auto"/>
            </w:tcBorders>
            <w:vAlign w:val="bottom"/>
          </w:tcPr>
          <w:p w:rsidR="00D24E61" w:rsidRPr="00771368" w:rsidRDefault="00D24E61">
            <w:pPr>
              <w:rPr>
                <w:sz w:val="15"/>
                <w:szCs w:val="15"/>
              </w:rPr>
            </w:pPr>
          </w:p>
        </w:tc>
        <w:tc>
          <w:tcPr>
            <w:tcW w:w="1280" w:type="dxa"/>
            <w:tcBorders>
              <w:bottom w:val="single" w:sz="8" w:space="0" w:color="auto"/>
            </w:tcBorders>
            <w:vAlign w:val="bottom"/>
          </w:tcPr>
          <w:p w:rsidR="00D24E61" w:rsidRPr="00771368" w:rsidRDefault="00D24E61">
            <w:pPr>
              <w:rPr>
                <w:sz w:val="15"/>
                <w:szCs w:val="15"/>
              </w:rPr>
            </w:pPr>
          </w:p>
        </w:tc>
        <w:tc>
          <w:tcPr>
            <w:tcW w:w="400" w:type="dxa"/>
            <w:tcBorders>
              <w:bottom w:val="single" w:sz="8" w:space="0" w:color="auto"/>
              <w:right w:val="single" w:sz="8" w:space="0" w:color="auto"/>
            </w:tcBorders>
            <w:vAlign w:val="bottom"/>
          </w:tcPr>
          <w:p w:rsidR="00D24E61" w:rsidRPr="00771368" w:rsidRDefault="00D24E61">
            <w:pPr>
              <w:rPr>
                <w:sz w:val="15"/>
                <w:szCs w:val="15"/>
              </w:rPr>
            </w:pPr>
          </w:p>
        </w:tc>
        <w:tc>
          <w:tcPr>
            <w:tcW w:w="1460" w:type="dxa"/>
            <w:tcBorders>
              <w:bottom w:val="single" w:sz="8" w:space="0" w:color="auto"/>
              <w:right w:val="single" w:sz="8" w:space="0" w:color="auto"/>
            </w:tcBorders>
            <w:vAlign w:val="bottom"/>
          </w:tcPr>
          <w:p w:rsidR="00D24E61" w:rsidRPr="00771368" w:rsidRDefault="00D24E61">
            <w:pPr>
              <w:rPr>
                <w:sz w:val="15"/>
                <w:szCs w:val="15"/>
              </w:rPr>
            </w:pPr>
          </w:p>
        </w:tc>
        <w:tc>
          <w:tcPr>
            <w:tcW w:w="360" w:type="dxa"/>
            <w:tcBorders>
              <w:bottom w:val="single" w:sz="8" w:space="0" w:color="auto"/>
            </w:tcBorders>
            <w:vAlign w:val="bottom"/>
          </w:tcPr>
          <w:p w:rsidR="00D24E61" w:rsidRPr="00771368" w:rsidRDefault="00D24E61">
            <w:pPr>
              <w:rPr>
                <w:sz w:val="15"/>
                <w:szCs w:val="15"/>
              </w:rPr>
            </w:pPr>
          </w:p>
        </w:tc>
        <w:tc>
          <w:tcPr>
            <w:tcW w:w="1260" w:type="dxa"/>
            <w:tcBorders>
              <w:bottom w:val="single" w:sz="8" w:space="0" w:color="auto"/>
              <w:right w:val="single" w:sz="8" w:space="0" w:color="auto"/>
            </w:tcBorders>
            <w:vAlign w:val="bottom"/>
          </w:tcPr>
          <w:p w:rsidR="00D24E61" w:rsidRPr="00771368" w:rsidRDefault="00D24E61">
            <w:pPr>
              <w:rPr>
                <w:sz w:val="15"/>
                <w:szCs w:val="15"/>
              </w:rPr>
            </w:pPr>
          </w:p>
        </w:tc>
        <w:tc>
          <w:tcPr>
            <w:tcW w:w="0" w:type="dxa"/>
            <w:vAlign w:val="bottom"/>
          </w:tcPr>
          <w:p w:rsidR="00D24E61" w:rsidRPr="00771368" w:rsidRDefault="00D24E61">
            <w:pPr>
              <w:rPr>
                <w:sz w:val="1"/>
                <w:szCs w:val="1"/>
              </w:rPr>
            </w:pPr>
          </w:p>
        </w:tc>
      </w:tr>
      <w:tr w:rsidR="00D24E61" w:rsidRPr="00771368">
        <w:trPr>
          <w:trHeight w:val="265"/>
        </w:trPr>
        <w:tc>
          <w:tcPr>
            <w:tcW w:w="4560" w:type="dxa"/>
            <w:tcBorders>
              <w:left w:val="single" w:sz="8" w:space="0" w:color="auto"/>
              <w:bottom w:val="single" w:sz="8" w:space="0" w:color="auto"/>
              <w:right w:val="single" w:sz="8" w:space="0" w:color="auto"/>
            </w:tcBorders>
            <w:vAlign w:val="bottom"/>
          </w:tcPr>
          <w:p w:rsidR="00D24E61" w:rsidRPr="00771368" w:rsidRDefault="00D24E61">
            <w:pPr>
              <w:spacing w:line="260" w:lineRule="exact"/>
              <w:jc w:val="center"/>
              <w:rPr>
                <w:sz w:val="20"/>
                <w:szCs w:val="20"/>
              </w:rPr>
            </w:pPr>
            <w:r w:rsidRPr="00771368">
              <w:rPr>
                <w:b/>
                <w:bCs/>
                <w:w w:val="99"/>
                <w:sz w:val="24"/>
                <w:szCs w:val="24"/>
              </w:rPr>
              <w:t>TOTAL</w:t>
            </w:r>
          </w:p>
        </w:tc>
        <w:tc>
          <w:tcPr>
            <w:tcW w:w="1280" w:type="dxa"/>
            <w:tcBorders>
              <w:bottom w:val="single" w:sz="8" w:space="0" w:color="auto"/>
            </w:tcBorders>
            <w:vAlign w:val="bottom"/>
          </w:tcPr>
          <w:p w:rsidR="00D24E61" w:rsidRPr="00771368" w:rsidRDefault="00D24E61">
            <w:pPr>
              <w:spacing w:line="260" w:lineRule="exact"/>
              <w:ind w:left="240"/>
              <w:jc w:val="center"/>
              <w:rPr>
                <w:sz w:val="20"/>
                <w:szCs w:val="20"/>
              </w:rPr>
            </w:pPr>
            <w:r w:rsidRPr="00771368">
              <w:rPr>
                <w:b/>
                <w:bCs/>
                <w:w w:val="99"/>
                <w:sz w:val="24"/>
                <w:szCs w:val="24"/>
              </w:rPr>
              <w:t>2</w:t>
            </w:r>
          </w:p>
        </w:tc>
        <w:tc>
          <w:tcPr>
            <w:tcW w:w="400" w:type="dxa"/>
            <w:tcBorders>
              <w:bottom w:val="single" w:sz="8" w:space="0" w:color="auto"/>
              <w:right w:val="single" w:sz="8" w:space="0" w:color="auto"/>
            </w:tcBorders>
            <w:vAlign w:val="bottom"/>
          </w:tcPr>
          <w:p w:rsidR="00D24E61" w:rsidRPr="00771368" w:rsidRDefault="00D24E61">
            <w:pPr>
              <w:rPr>
                <w:sz w:val="23"/>
                <w:szCs w:val="23"/>
              </w:rPr>
            </w:pPr>
          </w:p>
        </w:tc>
        <w:tc>
          <w:tcPr>
            <w:tcW w:w="1460" w:type="dxa"/>
            <w:tcBorders>
              <w:bottom w:val="single" w:sz="8" w:space="0" w:color="auto"/>
              <w:right w:val="single" w:sz="8" w:space="0" w:color="auto"/>
            </w:tcBorders>
            <w:vAlign w:val="bottom"/>
          </w:tcPr>
          <w:p w:rsidR="00D24E61" w:rsidRPr="00771368" w:rsidRDefault="00D24E61">
            <w:pPr>
              <w:spacing w:line="260" w:lineRule="exact"/>
              <w:jc w:val="center"/>
              <w:rPr>
                <w:sz w:val="20"/>
                <w:szCs w:val="20"/>
              </w:rPr>
            </w:pPr>
            <w:r w:rsidRPr="00771368">
              <w:rPr>
                <w:b/>
                <w:bCs/>
                <w:w w:val="99"/>
                <w:sz w:val="24"/>
                <w:szCs w:val="24"/>
              </w:rPr>
              <w:t>1</w:t>
            </w:r>
          </w:p>
        </w:tc>
        <w:tc>
          <w:tcPr>
            <w:tcW w:w="360" w:type="dxa"/>
            <w:tcBorders>
              <w:bottom w:val="single" w:sz="8" w:space="0" w:color="auto"/>
            </w:tcBorders>
            <w:vAlign w:val="bottom"/>
          </w:tcPr>
          <w:p w:rsidR="00D24E61" w:rsidRPr="00771368" w:rsidRDefault="00D24E61">
            <w:pPr>
              <w:rPr>
                <w:sz w:val="23"/>
                <w:szCs w:val="23"/>
              </w:rPr>
            </w:pPr>
          </w:p>
        </w:tc>
        <w:tc>
          <w:tcPr>
            <w:tcW w:w="1260" w:type="dxa"/>
            <w:tcBorders>
              <w:bottom w:val="single" w:sz="8" w:space="0" w:color="auto"/>
              <w:right w:val="single" w:sz="8" w:space="0" w:color="auto"/>
            </w:tcBorders>
            <w:vAlign w:val="bottom"/>
          </w:tcPr>
          <w:p w:rsidR="00D24E61" w:rsidRPr="00771368" w:rsidRDefault="00D24E61">
            <w:pPr>
              <w:spacing w:line="260" w:lineRule="exact"/>
              <w:ind w:right="640"/>
              <w:jc w:val="right"/>
              <w:rPr>
                <w:sz w:val="20"/>
                <w:szCs w:val="20"/>
              </w:rPr>
            </w:pPr>
            <w:r w:rsidRPr="00771368">
              <w:rPr>
                <w:b/>
                <w:bCs/>
                <w:sz w:val="24"/>
                <w:szCs w:val="24"/>
              </w:rPr>
              <w:t>2</w:t>
            </w:r>
          </w:p>
        </w:tc>
        <w:tc>
          <w:tcPr>
            <w:tcW w:w="0" w:type="dxa"/>
            <w:vAlign w:val="bottom"/>
          </w:tcPr>
          <w:p w:rsidR="00D24E61" w:rsidRPr="00771368" w:rsidRDefault="00D24E61">
            <w:pPr>
              <w:rPr>
                <w:sz w:val="1"/>
                <w:szCs w:val="1"/>
              </w:rPr>
            </w:pPr>
          </w:p>
        </w:tc>
      </w:tr>
    </w:tbl>
    <w:p w:rsidR="00D24E61" w:rsidRPr="00771368" w:rsidRDefault="00D24E61">
      <w:pPr>
        <w:spacing w:line="234" w:lineRule="auto"/>
        <w:ind w:left="120"/>
        <w:rPr>
          <w:sz w:val="20"/>
          <w:szCs w:val="20"/>
        </w:rPr>
      </w:pPr>
      <w:r w:rsidRPr="00771368">
        <w:rPr>
          <w:b/>
          <w:bCs/>
          <w:sz w:val="20"/>
          <w:szCs w:val="20"/>
        </w:rPr>
        <w:t>*Resultados obtidos através das literaturas encontradas nas Bases de Dados.</w:t>
      </w:r>
    </w:p>
    <w:p w:rsidR="00D24E61" w:rsidRPr="00771368" w:rsidRDefault="00D24E61">
      <w:pPr>
        <w:spacing w:line="251" w:lineRule="exact"/>
        <w:rPr>
          <w:sz w:val="20"/>
          <w:szCs w:val="20"/>
        </w:rPr>
      </w:pPr>
    </w:p>
    <w:p w:rsidR="00D24E61" w:rsidRPr="00771368" w:rsidRDefault="00D24E61">
      <w:pPr>
        <w:spacing w:line="343" w:lineRule="auto"/>
        <w:ind w:left="120" w:right="100" w:firstLine="850"/>
        <w:jc w:val="both"/>
        <w:rPr>
          <w:sz w:val="20"/>
          <w:szCs w:val="20"/>
        </w:rPr>
      </w:pPr>
      <w:r w:rsidRPr="00771368">
        <w:rPr>
          <w:sz w:val="24"/>
          <w:szCs w:val="24"/>
        </w:rPr>
        <w:t>Estes 6 artigos categorizaram 2 grandes eixos temáticos em nossa análise e discussão, contudo houve a necessidade de aplicarmos pontos relevantes de nosso Referencial Teórico no discorrer deste tópico, pois compreendemos que seria de grande valia explorar a teoria fundamental ao nosso estudo, o que compreendeu melhor o exposto objetivo.</w:t>
      </w:r>
    </w:p>
    <w:p w:rsidR="00D24E61" w:rsidRPr="00771368" w:rsidRDefault="00D24E61">
      <w:pPr>
        <w:spacing w:line="304" w:lineRule="exact"/>
        <w:rPr>
          <w:sz w:val="20"/>
          <w:szCs w:val="20"/>
        </w:rPr>
      </w:pPr>
    </w:p>
    <w:p w:rsidR="00D24E61" w:rsidRPr="00771368" w:rsidRDefault="00D24E61">
      <w:pPr>
        <w:ind w:left="120"/>
        <w:rPr>
          <w:sz w:val="20"/>
          <w:szCs w:val="20"/>
        </w:rPr>
      </w:pPr>
      <w:r w:rsidRPr="00771368">
        <w:rPr>
          <w:b/>
          <w:bCs/>
          <w:sz w:val="24"/>
          <w:szCs w:val="24"/>
        </w:rPr>
        <w:t>4. ANÁLISE E DISCUSSÃO DOS RESULTADOS.</w:t>
      </w:r>
    </w:p>
    <w:p w:rsidR="00D24E61" w:rsidRPr="00771368" w:rsidRDefault="00D24E61">
      <w:pPr>
        <w:spacing w:line="338" w:lineRule="exact"/>
        <w:rPr>
          <w:sz w:val="20"/>
          <w:szCs w:val="20"/>
        </w:rPr>
      </w:pPr>
    </w:p>
    <w:p w:rsidR="00D24E61" w:rsidRPr="00771368" w:rsidRDefault="00D24E61">
      <w:pPr>
        <w:spacing w:line="212" w:lineRule="auto"/>
        <w:ind w:left="120" w:right="120"/>
        <w:jc w:val="both"/>
        <w:rPr>
          <w:sz w:val="20"/>
          <w:szCs w:val="20"/>
        </w:rPr>
      </w:pPr>
      <w:r w:rsidRPr="00771368">
        <w:rPr>
          <w:b/>
          <w:bCs/>
          <w:sz w:val="24"/>
          <w:szCs w:val="24"/>
        </w:rPr>
        <w:t>4.1. 1ª Categoria: Gênero: a extensão de suas peculiaridades na saúde da mulher contemporânea.</w:t>
      </w:r>
    </w:p>
    <w:p w:rsidR="00D24E61" w:rsidRPr="00771368" w:rsidRDefault="00D24E61">
      <w:pPr>
        <w:spacing w:line="34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4380"/>
        <w:gridCol w:w="1000"/>
        <w:gridCol w:w="1920"/>
      </w:tblGrid>
      <w:tr w:rsidR="00D24E61" w:rsidRPr="00771368">
        <w:trPr>
          <w:trHeight w:val="280"/>
        </w:trPr>
        <w:tc>
          <w:tcPr>
            <w:tcW w:w="1980" w:type="dxa"/>
            <w:tcBorders>
              <w:top w:val="single" w:sz="8" w:space="0" w:color="auto"/>
              <w:left w:val="single" w:sz="8" w:space="0" w:color="auto"/>
              <w:right w:val="single" w:sz="8" w:space="0" w:color="auto"/>
            </w:tcBorders>
            <w:vAlign w:val="bottom"/>
          </w:tcPr>
          <w:p w:rsidR="00D24E61" w:rsidRPr="00771368" w:rsidRDefault="00D24E61">
            <w:pPr>
              <w:jc w:val="center"/>
              <w:rPr>
                <w:sz w:val="20"/>
                <w:szCs w:val="20"/>
              </w:rPr>
            </w:pPr>
            <w:r w:rsidRPr="00771368">
              <w:rPr>
                <w:b/>
                <w:bCs/>
                <w:w w:val="98"/>
                <w:sz w:val="24"/>
                <w:szCs w:val="24"/>
              </w:rPr>
              <w:t>Autores</w:t>
            </w:r>
          </w:p>
        </w:tc>
        <w:tc>
          <w:tcPr>
            <w:tcW w:w="4380" w:type="dxa"/>
            <w:tcBorders>
              <w:top w:val="single" w:sz="8" w:space="0" w:color="auto"/>
              <w:right w:val="single" w:sz="8" w:space="0" w:color="auto"/>
            </w:tcBorders>
            <w:vAlign w:val="bottom"/>
          </w:tcPr>
          <w:p w:rsidR="00D24E61" w:rsidRPr="00771368" w:rsidRDefault="00D24E61">
            <w:pPr>
              <w:ind w:left="1860"/>
              <w:rPr>
                <w:sz w:val="20"/>
                <w:szCs w:val="20"/>
              </w:rPr>
            </w:pPr>
            <w:r w:rsidRPr="00771368">
              <w:rPr>
                <w:b/>
                <w:bCs/>
                <w:sz w:val="24"/>
                <w:szCs w:val="24"/>
              </w:rPr>
              <w:t>Título</w:t>
            </w:r>
          </w:p>
        </w:tc>
        <w:tc>
          <w:tcPr>
            <w:tcW w:w="1000" w:type="dxa"/>
            <w:tcBorders>
              <w:top w:val="single" w:sz="8" w:space="0" w:color="auto"/>
              <w:right w:val="single" w:sz="8" w:space="0" w:color="auto"/>
            </w:tcBorders>
            <w:vAlign w:val="bottom"/>
          </w:tcPr>
          <w:p w:rsidR="00D24E61" w:rsidRPr="00771368" w:rsidRDefault="00D24E61">
            <w:pPr>
              <w:ind w:left="280"/>
              <w:rPr>
                <w:sz w:val="20"/>
                <w:szCs w:val="20"/>
              </w:rPr>
            </w:pPr>
            <w:r w:rsidRPr="00771368">
              <w:rPr>
                <w:b/>
                <w:bCs/>
                <w:sz w:val="24"/>
                <w:szCs w:val="24"/>
              </w:rPr>
              <w:t>Ano</w:t>
            </w:r>
          </w:p>
        </w:tc>
        <w:tc>
          <w:tcPr>
            <w:tcW w:w="1920" w:type="dxa"/>
            <w:tcBorders>
              <w:top w:val="single" w:sz="8" w:space="0" w:color="auto"/>
              <w:right w:val="single" w:sz="8" w:space="0" w:color="auto"/>
            </w:tcBorders>
            <w:vAlign w:val="bottom"/>
          </w:tcPr>
          <w:p w:rsidR="00D24E61" w:rsidRPr="00771368" w:rsidRDefault="00D24E61">
            <w:pPr>
              <w:jc w:val="center"/>
              <w:rPr>
                <w:sz w:val="20"/>
                <w:szCs w:val="20"/>
              </w:rPr>
            </w:pPr>
            <w:r w:rsidRPr="00771368">
              <w:rPr>
                <w:b/>
                <w:bCs/>
                <w:w w:val="99"/>
                <w:sz w:val="24"/>
                <w:szCs w:val="24"/>
              </w:rPr>
              <w:t>Base de Dados</w:t>
            </w:r>
          </w:p>
        </w:tc>
      </w:tr>
      <w:tr w:rsidR="00D24E61" w:rsidRPr="00771368">
        <w:trPr>
          <w:trHeight w:val="56"/>
        </w:trPr>
        <w:tc>
          <w:tcPr>
            <w:tcW w:w="1980" w:type="dxa"/>
            <w:tcBorders>
              <w:left w:val="single" w:sz="8" w:space="0" w:color="auto"/>
              <w:bottom w:val="single" w:sz="8" w:space="0" w:color="auto"/>
              <w:right w:val="single" w:sz="8" w:space="0" w:color="auto"/>
            </w:tcBorders>
            <w:vAlign w:val="bottom"/>
          </w:tcPr>
          <w:p w:rsidR="00D24E61" w:rsidRPr="00771368" w:rsidRDefault="00D24E61">
            <w:pPr>
              <w:rPr>
                <w:sz w:val="4"/>
                <w:szCs w:val="4"/>
              </w:rPr>
            </w:pPr>
          </w:p>
        </w:tc>
        <w:tc>
          <w:tcPr>
            <w:tcW w:w="4380" w:type="dxa"/>
            <w:tcBorders>
              <w:bottom w:val="single" w:sz="8" w:space="0" w:color="auto"/>
              <w:right w:val="single" w:sz="8" w:space="0" w:color="auto"/>
            </w:tcBorders>
            <w:vAlign w:val="bottom"/>
          </w:tcPr>
          <w:p w:rsidR="00D24E61" w:rsidRPr="00771368" w:rsidRDefault="00D24E61">
            <w:pPr>
              <w:rPr>
                <w:sz w:val="4"/>
                <w:szCs w:val="4"/>
              </w:rPr>
            </w:pPr>
          </w:p>
        </w:tc>
        <w:tc>
          <w:tcPr>
            <w:tcW w:w="1000" w:type="dxa"/>
            <w:tcBorders>
              <w:bottom w:val="single" w:sz="8" w:space="0" w:color="auto"/>
              <w:right w:val="single" w:sz="8" w:space="0" w:color="auto"/>
            </w:tcBorders>
            <w:vAlign w:val="bottom"/>
          </w:tcPr>
          <w:p w:rsidR="00D24E61" w:rsidRPr="00771368" w:rsidRDefault="00D24E61">
            <w:pPr>
              <w:rPr>
                <w:sz w:val="4"/>
                <w:szCs w:val="4"/>
              </w:rPr>
            </w:pPr>
          </w:p>
        </w:tc>
        <w:tc>
          <w:tcPr>
            <w:tcW w:w="1920" w:type="dxa"/>
            <w:tcBorders>
              <w:bottom w:val="single" w:sz="8" w:space="0" w:color="auto"/>
              <w:right w:val="single" w:sz="8" w:space="0" w:color="auto"/>
            </w:tcBorders>
            <w:vAlign w:val="bottom"/>
          </w:tcPr>
          <w:p w:rsidR="00D24E61" w:rsidRPr="00771368" w:rsidRDefault="00D24E61">
            <w:pPr>
              <w:rPr>
                <w:sz w:val="4"/>
                <w:szCs w:val="4"/>
              </w:rPr>
            </w:pPr>
          </w:p>
        </w:tc>
      </w:tr>
      <w:tr w:rsidR="00D24E61" w:rsidRPr="00771368">
        <w:trPr>
          <w:trHeight w:val="256"/>
        </w:trPr>
        <w:tc>
          <w:tcPr>
            <w:tcW w:w="1980" w:type="dxa"/>
            <w:tcBorders>
              <w:left w:val="single" w:sz="8" w:space="0" w:color="auto"/>
              <w:right w:val="single" w:sz="8" w:space="0" w:color="auto"/>
            </w:tcBorders>
            <w:vAlign w:val="bottom"/>
          </w:tcPr>
          <w:p w:rsidR="00D24E61" w:rsidRPr="00771368" w:rsidRDefault="00D24E61">
            <w:pPr>
              <w:spacing w:line="255" w:lineRule="exact"/>
              <w:jc w:val="center"/>
              <w:rPr>
                <w:sz w:val="20"/>
                <w:szCs w:val="20"/>
              </w:rPr>
            </w:pPr>
            <w:r w:rsidRPr="00771368">
              <w:rPr>
                <w:sz w:val="24"/>
                <w:szCs w:val="24"/>
              </w:rPr>
              <w:t xml:space="preserve">OLIVEIRA </w:t>
            </w:r>
            <w:r w:rsidRPr="00771368">
              <w:rPr>
                <w:i/>
                <w:iCs/>
                <w:sz w:val="24"/>
                <w:szCs w:val="24"/>
              </w:rPr>
              <w:t>et al.</w:t>
            </w:r>
          </w:p>
        </w:tc>
        <w:tc>
          <w:tcPr>
            <w:tcW w:w="4380" w:type="dxa"/>
            <w:tcBorders>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Gênero  e  qualidade  de  vida  percebida:</w:t>
            </w:r>
          </w:p>
        </w:tc>
        <w:tc>
          <w:tcPr>
            <w:tcW w:w="1000" w:type="dxa"/>
            <w:tcBorders>
              <w:right w:val="single" w:sz="8" w:space="0" w:color="auto"/>
            </w:tcBorders>
            <w:vAlign w:val="bottom"/>
          </w:tcPr>
          <w:p w:rsidR="00D24E61" w:rsidRPr="00771368" w:rsidRDefault="00D24E61">
            <w:pPr>
              <w:spacing w:line="255" w:lineRule="exact"/>
              <w:ind w:left="260"/>
              <w:rPr>
                <w:sz w:val="20"/>
                <w:szCs w:val="20"/>
              </w:rPr>
            </w:pPr>
            <w:r w:rsidRPr="00771368">
              <w:rPr>
                <w:sz w:val="24"/>
                <w:szCs w:val="24"/>
              </w:rPr>
              <w:t>2012</w:t>
            </w:r>
          </w:p>
        </w:tc>
        <w:tc>
          <w:tcPr>
            <w:tcW w:w="1920" w:type="dxa"/>
            <w:tcBorders>
              <w:right w:val="single" w:sz="8" w:space="0" w:color="auto"/>
            </w:tcBorders>
            <w:vAlign w:val="bottom"/>
          </w:tcPr>
          <w:p w:rsidR="00D24E61" w:rsidRPr="00771368" w:rsidRDefault="00D24E61">
            <w:pPr>
              <w:spacing w:line="255" w:lineRule="exact"/>
              <w:jc w:val="center"/>
              <w:rPr>
                <w:sz w:val="20"/>
                <w:szCs w:val="20"/>
              </w:rPr>
            </w:pPr>
            <w:r w:rsidRPr="00771368">
              <w:rPr>
                <w:w w:val="98"/>
                <w:sz w:val="24"/>
                <w:szCs w:val="24"/>
              </w:rPr>
              <w:t>SciELO</w:t>
            </w:r>
          </w:p>
        </w:tc>
      </w:tr>
      <w:tr w:rsidR="00D24E61" w:rsidRPr="00771368">
        <w:trPr>
          <w:trHeight w:val="280"/>
        </w:trPr>
        <w:tc>
          <w:tcPr>
            <w:tcW w:w="1980" w:type="dxa"/>
            <w:tcBorders>
              <w:left w:val="single" w:sz="8" w:space="0" w:color="auto"/>
              <w:bottom w:val="single" w:sz="8" w:space="0" w:color="auto"/>
              <w:right w:val="single" w:sz="8" w:space="0" w:color="auto"/>
            </w:tcBorders>
            <w:vAlign w:val="bottom"/>
          </w:tcPr>
          <w:p w:rsidR="00D24E61" w:rsidRPr="00771368" w:rsidRDefault="00D24E61">
            <w:pPr>
              <w:rPr>
                <w:sz w:val="24"/>
                <w:szCs w:val="24"/>
              </w:rPr>
            </w:pPr>
          </w:p>
        </w:tc>
        <w:tc>
          <w:tcPr>
            <w:tcW w:w="4380" w:type="dxa"/>
            <w:tcBorders>
              <w:bottom w:val="single" w:sz="8" w:space="0" w:color="auto"/>
              <w:right w:val="single" w:sz="8" w:space="0" w:color="auto"/>
            </w:tcBorders>
            <w:vAlign w:val="bottom"/>
          </w:tcPr>
          <w:p w:rsidR="00D24E61" w:rsidRPr="00771368" w:rsidRDefault="00D24E61">
            <w:pPr>
              <w:spacing w:line="273" w:lineRule="exact"/>
              <w:ind w:left="100"/>
              <w:rPr>
                <w:sz w:val="20"/>
                <w:szCs w:val="20"/>
              </w:rPr>
            </w:pPr>
            <w:r w:rsidRPr="00771368">
              <w:rPr>
                <w:sz w:val="24"/>
                <w:szCs w:val="24"/>
              </w:rPr>
              <w:t>estudos com professores da área da saúde.</w:t>
            </w:r>
          </w:p>
        </w:tc>
        <w:tc>
          <w:tcPr>
            <w:tcW w:w="1000" w:type="dxa"/>
            <w:tcBorders>
              <w:bottom w:val="single" w:sz="8" w:space="0" w:color="auto"/>
              <w:right w:val="single" w:sz="8" w:space="0" w:color="auto"/>
            </w:tcBorders>
            <w:vAlign w:val="bottom"/>
          </w:tcPr>
          <w:p w:rsidR="00D24E61" w:rsidRPr="00771368" w:rsidRDefault="00D24E61">
            <w:pPr>
              <w:rPr>
                <w:sz w:val="24"/>
                <w:szCs w:val="24"/>
              </w:rPr>
            </w:pPr>
          </w:p>
        </w:tc>
        <w:tc>
          <w:tcPr>
            <w:tcW w:w="1920" w:type="dxa"/>
            <w:tcBorders>
              <w:bottom w:val="single" w:sz="8" w:space="0" w:color="auto"/>
              <w:right w:val="single" w:sz="8" w:space="0" w:color="auto"/>
            </w:tcBorders>
            <w:vAlign w:val="bottom"/>
          </w:tcPr>
          <w:p w:rsidR="00D24E61" w:rsidRPr="00771368" w:rsidRDefault="00D24E61">
            <w:pPr>
              <w:rPr>
                <w:sz w:val="24"/>
                <w:szCs w:val="24"/>
              </w:rPr>
            </w:pPr>
          </w:p>
        </w:tc>
      </w:tr>
      <w:tr w:rsidR="00D24E61" w:rsidRPr="00771368">
        <w:trPr>
          <w:trHeight w:val="262"/>
        </w:trPr>
        <w:tc>
          <w:tcPr>
            <w:tcW w:w="1980" w:type="dxa"/>
            <w:tcBorders>
              <w:left w:val="single" w:sz="8" w:space="0" w:color="auto"/>
              <w:right w:val="single" w:sz="8" w:space="0" w:color="auto"/>
            </w:tcBorders>
            <w:vAlign w:val="bottom"/>
          </w:tcPr>
          <w:p w:rsidR="00D24E61" w:rsidRPr="00771368" w:rsidRDefault="00D24E61">
            <w:pPr>
              <w:spacing w:line="261" w:lineRule="exact"/>
              <w:jc w:val="center"/>
              <w:rPr>
                <w:sz w:val="20"/>
                <w:szCs w:val="20"/>
              </w:rPr>
            </w:pPr>
            <w:r w:rsidRPr="00771368">
              <w:rPr>
                <w:w w:val="99"/>
                <w:sz w:val="24"/>
                <w:szCs w:val="24"/>
              </w:rPr>
              <w:t>AQUINO.</w:t>
            </w:r>
          </w:p>
        </w:tc>
        <w:tc>
          <w:tcPr>
            <w:tcW w:w="4380" w:type="dxa"/>
            <w:tcBorders>
              <w:right w:val="single" w:sz="8" w:space="0" w:color="auto"/>
            </w:tcBorders>
            <w:vAlign w:val="bottom"/>
          </w:tcPr>
          <w:p w:rsidR="00D24E61" w:rsidRPr="00771368" w:rsidRDefault="00D24E61">
            <w:pPr>
              <w:spacing w:line="261" w:lineRule="exact"/>
              <w:ind w:left="100"/>
              <w:rPr>
                <w:sz w:val="20"/>
                <w:szCs w:val="20"/>
              </w:rPr>
            </w:pPr>
            <w:r w:rsidRPr="00771368">
              <w:rPr>
                <w:sz w:val="24"/>
                <w:szCs w:val="24"/>
              </w:rPr>
              <w:t>Gênero  e  Saúde:  perfil  e  tendências  na</w:t>
            </w:r>
          </w:p>
        </w:tc>
        <w:tc>
          <w:tcPr>
            <w:tcW w:w="1000" w:type="dxa"/>
            <w:tcBorders>
              <w:right w:val="single" w:sz="8" w:space="0" w:color="auto"/>
            </w:tcBorders>
            <w:vAlign w:val="bottom"/>
          </w:tcPr>
          <w:p w:rsidR="00D24E61" w:rsidRPr="00771368" w:rsidRDefault="00D24E61">
            <w:pPr>
              <w:spacing w:line="261" w:lineRule="exact"/>
              <w:ind w:left="260"/>
              <w:rPr>
                <w:sz w:val="20"/>
                <w:szCs w:val="20"/>
              </w:rPr>
            </w:pPr>
            <w:r w:rsidRPr="00771368">
              <w:rPr>
                <w:sz w:val="24"/>
                <w:szCs w:val="24"/>
              </w:rPr>
              <w:t>2006</w:t>
            </w:r>
          </w:p>
        </w:tc>
        <w:tc>
          <w:tcPr>
            <w:tcW w:w="1920" w:type="dxa"/>
            <w:tcBorders>
              <w:right w:val="single" w:sz="8" w:space="0" w:color="auto"/>
            </w:tcBorders>
            <w:vAlign w:val="bottom"/>
          </w:tcPr>
          <w:p w:rsidR="00D24E61" w:rsidRPr="00771368" w:rsidRDefault="00D24E61">
            <w:pPr>
              <w:spacing w:line="261" w:lineRule="exact"/>
              <w:jc w:val="center"/>
              <w:rPr>
                <w:sz w:val="20"/>
                <w:szCs w:val="20"/>
              </w:rPr>
            </w:pPr>
            <w:r w:rsidRPr="00771368">
              <w:rPr>
                <w:w w:val="98"/>
                <w:sz w:val="24"/>
                <w:szCs w:val="24"/>
              </w:rPr>
              <w:t>SciELO</w:t>
            </w:r>
          </w:p>
        </w:tc>
      </w:tr>
      <w:tr w:rsidR="00D24E61" w:rsidRPr="00771368">
        <w:trPr>
          <w:trHeight w:val="280"/>
        </w:trPr>
        <w:tc>
          <w:tcPr>
            <w:tcW w:w="1980" w:type="dxa"/>
            <w:tcBorders>
              <w:left w:val="single" w:sz="8" w:space="0" w:color="auto"/>
              <w:bottom w:val="single" w:sz="8" w:space="0" w:color="auto"/>
              <w:right w:val="single" w:sz="8" w:space="0" w:color="auto"/>
            </w:tcBorders>
            <w:vAlign w:val="bottom"/>
          </w:tcPr>
          <w:p w:rsidR="00D24E61" w:rsidRPr="00771368" w:rsidRDefault="00D24E61">
            <w:pPr>
              <w:rPr>
                <w:sz w:val="24"/>
                <w:szCs w:val="24"/>
              </w:rPr>
            </w:pPr>
          </w:p>
        </w:tc>
        <w:tc>
          <w:tcPr>
            <w:tcW w:w="4380" w:type="dxa"/>
            <w:tcBorders>
              <w:bottom w:val="single" w:sz="8" w:space="0" w:color="auto"/>
              <w:right w:val="single" w:sz="8" w:space="0" w:color="auto"/>
            </w:tcBorders>
            <w:vAlign w:val="bottom"/>
          </w:tcPr>
          <w:p w:rsidR="00D24E61" w:rsidRPr="00771368" w:rsidRDefault="00D24E61">
            <w:pPr>
              <w:spacing w:line="274" w:lineRule="exact"/>
              <w:ind w:left="100"/>
              <w:rPr>
                <w:sz w:val="20"/>
                <w:szCs w:val="20"/>
              </w:rPr>
            </w:pPr>
            <w:r w:rsidRPr="00771368">
              <w:rPr>
                <w:sz w:val="24"/>
                <w:szCs w:val="24"/>
              </w:rPr>
              <w:t>produção científica no Brasil.</w:t>
            </w:r>
          </w:p>
        </w:tc>
        <w:tc>
          <w:tcPr>
            <w:tcW w:w="1000" w:type="dxa"/>
            <w:tcBorders>
              <w:bottom w:val="single" w:sz="8" w:space="0" w:color="auto"/>
              <w:right w:val="single" w:sz="8" w:space="0" w:color="auto"/>
            </w:tcBorders>
            <w:vAlign w:val="bottom"/>
          </w:tcPr>
          <w:p w:rsidR="00D24E61" w:rsidRPr="00771368" w:rsidRDefault="00D24E61">
            <w:pPr>
              <w:rPr>
                <w:sz w:val="24"/>
                <w:szCs w:val="24"/>
              </w:rPr>
            </w:pPr>
          </w:p>
        </w:tc>
        <w:tc>
          <w:tcPr>
            <w:tcW w:w="1920" w:type="dxa"/>
            <w:tcBorders>
              <w:bottom w:val="single" w:sz="8" w:space="0" w:color="auto"/>
              <w:right w:val="single" w:sz="8" w:space="0" w:color="auto"/>
            </w:tcBorders>
            <w:vAlign w:val="bottom"/>
          </w:tcPr>
          <w:p w:rsidR="00D24E61" w:rsidRPr="00771368" w:rsidRDefault="00D24E61">
            <w:pPr>
              <w:rPr>
                <w:sz w:val="24"/>
                <w:szCs w:val="24"/>
              </w:rPr>
            </w:pPr>
          </w:p>
        </w:tc>
      </w:tr>
      <w:tr w:rsidR="00D24E61" w:rsidRPr="00771368">
        <w:trPr>
          <w:trHeight w:val="262"/>
        </w:trPr>
        <w:tc>
          <w:tcPr>
            <w:tcW w:w="1980" w:type="dxa"/>
            <w:tcBorders>
              <w:left w:val="single" w:sz="8" w:space="0" w:color="auto"/>
              <w:right w:val="single" w:sz="8" w:space="0" w:color="auto"/>
            </w:tcBorders>
            <w:vAlign w:val="bottom"/>
          </w:tcPr>
          <w:p w:rsidR="00D24E61" w:rsidRPr="00771368" w:rsidRDefault="00D24E61">
            <w:pPr>
              <w:spacing w:line="261" w:lineRule="exact"/>
              <w:jc w:val="center"/>
              <w:rPr>
                <w:sz w:val="20"/>
                <w:szCs w:val="20"/>
              </w:rPr>
            </w:pPr>
            <w:r w:rsidRPr="00771368">
              <w:rPr>
                <w:w w:val="98"/>
                <w:sz w:val="24"/>
                <w:szCs w:val="24"/>
              </w:rPr>
              <w:t>ARAÚJO;</w:t>
            </w:r>
          </w:p>
        </w:tc>
        <w:tc>
          <w:tcPr>
            <w:tcW w:w="4380" w:type="dxa"/>
            <w:tcBorders>
              <w:right w:val="single" w:sz="8" w:space="0" w:color="auto"/>
            </w:tcBorders>
            <w:vAlign w:val="bottom"/>
          </w:tcPr>
          <w:p w:rsidR="00D24E61" w:rsidRPr="00771368" w:rsidRDefault="00D24E61">
            <w:pPr>
              <w:spacing w:line="261" w:lineRule="exact"/>
              <w:ind w:left="100"/>
              <w:rPr>
                <w:sz w:val="20"/>
                <w:szCs w:val="20"/>
              </w:rPr>
            </w:pPr>
            <w:r w:rsidRPr="00771368">
              <w:rPr>
                <w:sz w:val="24"/>
                <w:szCs w:val="24"/>
              </w:rPr>
              <w:t>Potencialidades e fragilidades da rede de</w:t>
            </w:r>
          </w:p>
        </w:tc>
        <w:tc>
          <w:tcPr>
            <w:tcW w:w="1000" w:type="dxa"/>
            <w:tcBorders>
              <w:right w:val="single" w:sz="8" w:space="0" w:color="auto"/>
            </w:tcBorders>
            <w:vAlign w:val="bottom"/>
          </w:tcPr>
          <w:p w:rsidR="00D24E61" w:rsidRPr="00771368" w:rsidRDefault="00D24E61">
            <w:pPr>
              <w:spacing w:line="261" w:lineRule="exact"/>
              <w:ind w:left="260"/>
              <w:rPr>
                <w:sz w:val="20"/>
                <w:szCs w:val="20"/>
              </w:rPr>
            </w:pPr>
            <w:r w:rsidRPr="00771368">
              <w:rPr>
                <w:sz w:val="24"/>
                <w:szCs w:val="24"/>
              </w:rPr>
              <w:t>2011</w:t>
            </w:r>
          </w:p>
        </w:tc>
        <w:tc>
          <w:tcPr>
            <w:tcW w:w="1920" w:type="dxa"/>
            <w:tcBorders>
              <w:right w:val="single" w:sz="8" w:space="0" w:color="auto"/>
            </w:tcBorders>
            <w:vAlign w:val="bottom"/>
          </w:tcPr>
          <w:p w:rsidR="00D24E61" w:rsidRPr="00771368" w:rsidRDefault="00D24E61">
            <w:pPr>
              <w:spacing w:line="261" w:lineRule="exact"/>
              <w:jc w:val="center"/>
              <w:rPr>
                <w:sz w:val="20"/>
                <w:szCs w:val="20"/>
              </w:rPr>
            </w:pPr>
            <w:r w:rsidRPr="00771368">
              <w:rPr>
                <w:w w:val="99"/>
                <w:sz w:val="24"/>
                <w:szCs w:val="24"/>
              </w:rPr>
              <w:t>LILACS</w:t>
            </w:r>
          </w:p>
        </w:tc>
      </w:tr>
      <w:tr w:rsidR="00D24E61" w:rsidRPr="00771368">
        <w:trPr>
          <w:trHeight w:val="274"/>
        </w:trPr>
        <w:tc>
          <w:tcPr>
            <w:tcW w:w="1980" w:type="dxa"/>
            <w:tcBorders>
              <w:left w:val="single" w:sz="8" w:space="0" w:color="auto"/>
              <w:right w:val="single" w:sz="8" w:space="0" w:color="auto"/>
            </w:tcBorders>
            <w:vAlign w:val="bottom"/>
          </w:tcPr>
          <w:p w:rsidR="00D24E61" w:rsidRPr="00771368" w:rsidRDefault="00D24E61">
            <w:pPr>
              <w:spacing w:line="273" w:lineRule="exact"/>
              <w:jc w:val="center"/>
              <w:rPr>
                <w:sz w:val="20"/>
                <w:szCs w:val="20"/>
              </w:rPr>
            </w:pPr>
            <w:r w:rsidRPr="00771368">
              <w:rPr>
                <w:sz w:val="24"/>
                <w:szCs w:val="24"/>
              </w:rPr>
              <w:t>PONTES;</w:t>
            </w:r>
          </w:p>
        </w:tc>
        <w:tc>
          <w:tcPr>
            <w:tcW w:w="4380" w:type="dxa"/>
            <w:tcBorders>
              <w:right w:val="single" w:sz="8" w:space="0" w:color="auto"/>
            </w:tcBorders>
            <w:vAlign w:val="bottom"/>
          </w:tcPr>
          <w:p w:rsidR="00D24E61" w:rsidRPr="00771368" w:rsidRDefault="00D24E61">
            <w:pPr>
              <w:spacing w:line="273" w:lineRule="exact"/>
              <w:ind w:left="100"/>
              <w:rPr>
                <w:sz w:val="20"/>
                <w:szCs w:val="20"/>
              </w:rPr>
            </w:pPr>
            <w:r w:rsidRPr="00771368">
              <w:rPr>
                <w:sz w:val="24"/>
                <w:szCs w:val="24"/>
              </w:rPr>
              <w:t>atenção à saúde da mulher no município de</w:t>
            </w:r>
          </w:p>
        </w:tc>
        <w:tc>
          <w:tcPr>
            <w:tcW w:w="1000" w:type="dxa"/>
            <w:tcBorders>
              <w:right w:val="single" w:sz="8" w:space="0" w:color="auto"/>
            </w:tcBorders>
            <w:vAlign w:val="bottom"/>
          </w:tcPr>
          <w:p w:rsidR="00D24E61" w:rsidRPr="00771368" w:rsidRDefault="00D24E61">
            <w:pPr>
              <w:rPr>
                <w:sz w:val="23"/>
                <w:szCs w:val="23"/>
              </w:rPr>
            </w:pPr>
          </w:p>
        </w:tc>
        <w:tc>
          <w:tcPr>
            <w:tcW w:w="1920" w:type="dxa"/>
            <w:tcBorders>
              <w:right w:val="single" w:sz="8" w:space="0" w:color="auto"/>
            </w:tcBorders>
            <w:vAlign w:val="bottom"/>
          </w:tcPr>
          <w:p w:rsidR="00D24E61" w:rsidRPr="00771368" w:rsidRDefault="00D24E61">
            <w:pPr>
              <w:rPr>
                <w:sz w:val="23"/>
                <w:szCs w:val="23"/>
              </w:rPr>
            </w:pPr>
          </w:p>
        </w:tc>
      </w:tr>
      <w:tr w:rsidR="00D24E61" w:rsidRPr="00771368">
        <w:trPr>
          <w:trHeight w:val="282"/>
        </w:trPr>
        <w:tc>
          <w:tcPr>
            <w:tcW w:w="1980" w:type="dxa"/>
            <w:tcBorders>
              <w:left w:val="single" w:sz="8" w:space="0" w:color="auto"/>
              <w:bottom w:val="single" w:sz="8" w:space="0" w:color="auto"/>
              <w:right w:val="single" w:sz="8" w:space="0" w:color="auto"/>
            </w:tcBorders>
            <w:vAlign w:val="bottom"/>
          </w:tcPr>
          <w:p w:rsidR="00D24E61" w:rsidRPr="00771368" w:rsidRDefault="00D24E61">
            <w:pPr>
              <w:jc w:val="center"/>
              <w:rPr>
                <w:sz w:val="20"/>
                <w:szCs w:val="20"/>
              </w:rPr>
            </w:pPr>
            <w:r w:rsidRPr="00771368">
              <w:rPr>
                <w:w w:val="99"/>
                <w:sz w:val="24"/>
                <w:szCs w:val="24"/>
              </w:rPr>
              <w:t>PONTES.</w:t>
            </w:r>
          </w:p>
        </w:tc>
        <w:tc>
          <w:tcPr>
            <w:tcW w:w="4380" w:type="dxa"/>
            <w:tcBorders>
              <w:bottom w:val="single" w:sz="8" w:space="0" w:color="auto"/>
              <w:right w:val="single" w:sz="8" w:space="0" w:color="auto"/>
            </w:tcBorders>
            <w:vAlign w:val="bottom"/>
          </w:tcPr>
          <w:p w:rsidR="00D24E61" w:rsidRPr="00771368" w:rsidRDefault="00D24E61">
            <w:pPr>
              <w:ind w:left="100"/>
              <w:rPr>
                <w:sz w:val="20"/>
                <w:szCs w:val="20"/>
              </w:rPr>
            </w:pPr>
            <w:r w:rsidRPr="00771368">
              <w:rPr>
                <w:sz w:val="24"/>
                <w:szCs w:val="24"/>
              </w:rPr>
              <w:t>surubim.</w:t>
            </w:r>
          </w:p>
        </w:tc>
        <w:tc>
          <w:tcPr>
            <w:tcW w:w="1000" w:type="dxa"/>
            <w:tcBorders>
              <w:bottom w:val="single" w:sz="8" w:space="0" w:color="auto"/>
              <w:right w:val="single" w:sz="8" w:space="0" w:color="auto"/>
            </w:tcBorders>
            <w:vAlign w:val="bottom"/>
          </w:tcPr>
          <w:p w:rsidR="00D24E61" w:rsidRPr="00771368" w:rsidRDefault="00D24E61">
            <w:pPr>
              <w:rPr>
                <w:sz w:val="24"/>
                <w:szCs w:val="24"/>
              </w:rPr>
            </w:pPr>
          </w:p>
        </w:tc>
        <w:tc>
          <w:tcPr>
            <w:tcW w:w="1920" w:type="dxa"/>
            <w:tcBorders>
              <w:bottom w:val="single" w:sz="8" w:space="0" w:color="auto"/>
              <w:right w:val="single" w:sz="8" w:space="0" w:color="auto"/>
            </w:tcBorders>
            <w:vAlign w:val="bottom"/>
          </w:tcPr>
          <w:p w:rsidR="00D24E61" w:rsidRPr="00771368" w:rsidRDefault="00D24E61">
            <w:pPr>
              <w:rPr>
                <w:sz w:val="24"/>
                <w:szCs w:val="24"/>
              </w:rPr>
            </w:pPr>
          </w:p>
        </w:tc>
      </w:tr>
    </w:tbl>
    <w:p w:rsidR="00D24E61" w:rsidRPr="00771368" w:rsidRDefault="00D24E61">
      <w:pPr>
        <w:spacing w:line="327" w:lineRule="exact"/>
        <w:rPr>
          <w:sz w:val="20"/>
          <w:szCs w:val="20"/>
        </w:rPr>
      </w:pPr>
    </w:p>
    <w:p w:rsidR="00D24E61" w:rsidRPr="00771368" w:rsidRDefault="00D24E61">
      <w:pPr>
        <w:spacing w:line="333" w:lineRule="auto"/>
        <w:ind w:left="120" w:right="120" w:firstLine="850"/>
        <w:jc w:val="both"/>
        <w:rPr>
          <w:sz w:val="20"/>
          <w:szCs w:val="20"/>
        </w:rPr>
      </w:pPr>
      <w:r w:rsidRPr="00771368">
        <w:rPr>
          <w:sz w:val="24"/>
          <w:szCs w:val="24"/>
        </w:rPr>
        <w:t>Percebemos no contexto histórico na saúde da mulher contemporânea as lacunas que obstam a evolução da sociedade no que tange ao reconhecimento dos direitos igualitários entre homens e mulheres, mesmo no campo da saúde.</w:t>
      </w:r>
    </w:p>
    <w:p w:rsidR="00D24E61" w:rsidRPr="00771368" w:rsidRDefault="00D24E61">
      <w:pPr>
        <w:spacing w:line="37" w:lineRule="exact"/>
        <w:rPr>
          <w:sz w:val="20"/>
          <w:szCs w:val="20"/>
        </w:rPr>
      </w:pPr>
    </w:p>
    <w:p w:rsidR="00D24E61" w:rsidRPr="00771368" w:rsidRDefault="00D24E61">
      <w:pPr>
        <w:ind w:left="960"/>
        <w:rPr>
          <w:sz w:val="20"/>
          <w:szCs w:val="20"/>
        </w:rPr>
      </w:pPr>
      <w:r w:rsidRPr="00771368">
        <w:rPr>
          <w:sz w:val="24"/>
          <w:szCs w:val="24"/>
        </w:rPr>
        <w:t>Mediante a essa relevância, citamos:</w:t>
      </w:r>
    </w:p>
    <w:p w:rsidR="00D24E61" w:rsidRPr="00771368" w:rsidRDefault="00D24E61">
      <w:pPr>
        <w:spacing w:line="265" w:lineRule="exact"/>
        <w:rPr>
          <w:sz w:val="20"/>
          <w:szCs w:val="20"/>
        </w:rPr>
      </w:pPr>
    </w:p>
    <w:p w:rsidR="00D24E61" w:rsidRPr="00771368" w:rsidRDefault="00D24E61">
      <w:pPr>
        <w:spacing w:line="232" w:lineRule="auto"/>
        <w:ind w:left="2380" w:right="120"/>
        <w:jc w:val="both"/>
        <w:rPr>
          <w:sz w:val="20"/>
          <w:szCs w:val="20"/>
        </w:rPr>
      </w:pPr>
      <w:r w:rsidRPr="00771368">
        <w:rPr>
          <w:sz w:val="20"/>
          <w:szCs w:val="20"/>
        </w:rPr>
        <w:t xml:space="preserve">Homens e mulheres desempenham diferentes papéis sociais e tendem a ter diferentes necessidades (LUDEMIR, 2000, p. 647 </w:t>
      </w:r>
      <w:r w:rsidRPr="00771368">
        <w:rPr>
          <w:i/>
          <w:iCs/>
          <w:sz w:val="20"/>
          <w:szCs w:val="20"/>
        </w:rPr>
        <w:t>apud</w:t>
      </w:r>
      <w:r w:rsidRPr="00771368">
        <w:rPr>
          <w:sz w:val="20"/>
          <w:szCs w:val="20"/>
        </w:rPr>
        <w:t xml:space="preserve"> OLIVEIRA </w:t>
      </w:r>
      <w:r w:rsidRPr="00771368">
        <w:rPr>
          <w:i/>
          <w:iCs/>
          <w:sz w:val="20"/>
          <w:szCs w:val="20"/>
        </w:rPr>
        <w:t>et al</w:t>
      </w:r>
      <w:r w:rsidRPr="00771368">
        <w:rPr>
          <w:sz w:val="20"/>
          <w:szCs w:val="20"/>
        </w:rPr>
        <w:t xml:space="preserve">, 2012, p. 2). As mulheres, contudo, necessitam adaptar suas responsabilidades domésticas e familiares às funções profissionais. A crise e a globalização trouxeram a exacerbação de certas formas de desigualdade, as mulheres continuam maciçamente a trabalhar e a cuidar da casa, o que poderá dificultar sua ascensão profissional (OLIVEIRA </w:t>
      </w:r>
      <w:r w:rsidRPr="00771368">
        <w:rPr>
          <w:i/>
          <w:iCs/>
          <w:sz w:val="20"/>
          <w:szCs w:val="20"/>
        </w:rPr>
        <w:t>et al</w:t>
      </w:r>
      <w:r w:rsidRPr="00771368">
        <w:rPr>
          <w:sz w:val="20"/>
          <w:szCs w:val="20"/>
        </w:rPr>
        <w:t>, 2012, p. 2).</w:t>
      </w:r>
    </w:p>
    <w:p w:rsidR="00D24E61" w:rsidRPr="00771368" w:rsidRDefault="00D24E61">
      <w:pPr>
        <w:sectPr w:rsidR="00D24E61" w:rsidRPr="00771368">
          <w:pgSz w:w="11900" w:h="16838"/>
          <w:pgMar w:top="702" w:right="1300" w:bottom="1440" w:left="1300" w:header="0" w:footer="0" w:gutter="0"/>
          <w:cols w:space="720" w:equalWidth="0">
            <w:col w:w="9300"/>
          </w:cols>
        </w:sectPr>
      </w:pPr>
    </w:p>
    <w:p w:rsidR="00D24E61" w:rsidRPr="00771368" w:rsidRDefault="00D24E61">
      <w:pPr>
        <w:spacing w:line="239" w:lineRule="auto"/>
        <w:ind w:left="8860"/>
        <w:rPr>
          <w:sz w:val="20"/>
          <w:szCs w:val="20"/>
        </w:rPr>
      </w:pPr>
      <w:r w:rsidRPr="00771368">
        <w:rPr>
          <w:rFonts w:eastAsia="Calibri"/>
          <w:sz w:val="21"/>
          <w:szCs w:val="21"/>
        </w:rPr>
        <w:t>11</w:t>
      </w:r>
    </w:p>
    <w:p w:rsidR="00D24E61" w:rsidRPr="00771368" w:rsidRDefault="00D24E61">
      <w:pPr>
        <w:spacing w:line="200" w:lineRule="exact"/>
        <w:rPr>
          <w:sz w:val="20"/>
          <w:szCs w:val="20"/>
        </w:rPr>
      </w:pPr>
    </w:p>
    <w:p w:rsidR="00D24E61" w:rsidRPr="00771368" w:rsidRDefault="00D24E61">
      <w:pPr>
        <w:spacing w:line="295" w:lineRule="exact"/>
        <w:rPr>
          <w:sz w:val="20"/>
          <w:szCs w:val="20"/>
        </w:rPr>
      </w:pPr>
    </w:p>
    <w:p w:rsidR="00D24E61" w:rsidRPr="00771368" w:rsidRDefault="00D24E61">
      <w:pPr>
        <w:spacing w:line="335" w:lineRule="auto"/>
        <w:ind w:right="20" w:firstLine="850"/>
        <w:jc w:val="both"/>
        <w:rPr>
          <w:sz w:val="20"/>
          <w:szCs w:val="20"/>
        </w:rPr>
      </w:pPr>
      <w:r w:rsidRPr="00771368">
        <w:rPr>
          <w:sz w:val="24"/>
          <w:szCs w:val="24"/>
        </w:rPr>
        <w:t>Conseguimos analisar que o comportamento autônomo da mulher muitas vezes é pragmatizado não para seu bem-estar, mas sim como um desempenho de funções femininas úteis para o poder social vigente.</w:t>
      </w:r>
    </w:p>
    <w:p w:rsidR="00D24E61" w:rsidRPr="00771368" w:rsidRDefault="00D24E61">
      <w:pPr>
        <w:spacing w:line="76" w:lineRule="exact"/>
        <w:rPr>
          <w:sz w:val="20"/>
          <w:szCs w:val="20"/>
        </w:rPr>
      </w:pPr>
    </w:p>
    <w:p w:rsidR="00D24E61" w:rsidRPr="00771368" w:rsidRDefault="00D24E61">
      <w:pPr>
        <w:spacing w:line="230" w:lineRule="auto"/>
        <w:ind w:left="2260" w:right="20"/>
        <w:jc w:val="both"/>
        <w:rPr>
          <w:sz w:val="20"/>
          <w:szCs w:val="20"/>
        </w:rPr>
      </w:pPr>
      <w:r w:rsidRPr="00771368">
        <w:rPr>
          <w:sz w:val="20"/>
          <w:szCs w:val="20"/>
        </w:rPr>
        <w:t>Observa-se a menor produção com enfoque de gênero no planejamento e políticas de saúde, à exceção dos estudos recentes de avaliação em saúde, na maioria das vezes, voltados à saúde da mulher. Os temas “nobres” desta subárea, tais como modelos de atenção, controle social e movimentos sociais, relações de poder e estrutura de saúde, têm tido pouca influência da perspectiva de gênero (AQUINO, 2006, p. 8).</w:t>
      </w:r>
    </w:p>
    <w:p w:rsidR="00D24E61" w:rsidRPr="00771368" w:rsidRDefault="00D24E61">
      <w:pPr>
        <w:spacing w:line="292" w:lineRule="exact"/>
        <w:rPr>
          <w:sz w:val="20"/>
          <w:szCs w:val="20"/>
        </w:rPr>
      </w:pPr>
    </w:p>
    <w:p w:rsidR="00D24E61" w:rsidRPr="00771368" w:rsidRDefault="00D24E61">
      <w:pPr>
        <w:spacing w:line="347" w:lineRule="auto"/>
        <w:ind w:right="20" w:firstLine="850"/>
        <w:jc w:val="both"/>
        <w:rPr>
          <w:sz w:val="20"/>
          <w:szCs w:val="20"/>
        </w:rPr>
      </w:pPr>
      <w:r w:rsidRPr="00771368">
        <w:rPr>
          <w:sz w:val="24"/>
          <w:szCs w:val="24"/>
        </w:rPr>
        <w:t>A abordagem no enfoque gênero ausente de feminismo encontra-se escassa pela comunidade científica. A finalidade da desvinculação entre vida sexual e reprodução, seria de caracterizar a liberdade feminina, entretanto notamos que esta atitude se apresenta de maneira insidiosa a criar estratégias que preservam os preconceitos, admitindo que o protótipo tradicional de imposição de alternativas à mulher permaneça inalterado.</w:t>
      </w:r>
    </w:p>
    <w:p w:rsidR="00D24E61" w:rsidRPr="00771368" w:rsidRDefault="00D24E61">
      <w:pPr>
        <w:spacing w:line="63" w:lineRule="exact"/>
        <w:rPr>
          <w:sz w:val="20"/>
          <w:szCs w:val="20"/>
        </w:rPr>
      </w:pPr>
    </w:p>
    <w:p w:rsidR="00D24E61" w:rsidRPr="00771368" w:rsidRDefault="00D24E61">
      <w:pPr>
        <w:spacing w:line="233" w:lineRule="auto"/>
        <w:ind w:left="2260" w:right="20"/>
        <w:jc w:val="both"/>
        <w:rPr>
          <w:sz w:val="20"/>
          <w:szCs w:val="20"/>
        </w:rPr>
      </w:pPr>
      <w:r w:rsidRPr="00771368">
        <w:rPr>
          <w:sz w:val="20"/>
          <w:szCs w:val="20"/>
        </w:rPr>
        <w:t>A perspectiva de gênero oferece amplas possibilidades de enriquecimento da reflexão teórica em saúde coletiva, podendo se somar a outros esforços intelectuais e políticos para a compreensão da saúde e de seus determinantes na luta contra as desigualdades e pela justiça social. [...] em que pese a necessidade de desnaturalizar os fenômenos de interesse e desvendar as representações de gênero que orientam a produção do conhecimento, os aspectos biológicos não podem ser tratados tão somente em sua dimensão simbólica e cultural na investigação de muitas questões na área de saúde (AQUINO, 2006, p. 8).</w:t>
      </w:r>
    </w:p>
    <w:p w:rsidR="00D24E61" w:rsidRPr="00771368" w:rsidRDefault="00D24E61">
      <w:pPr>
        <w:spacing w:line="295" w:lineRule="exact"/>
        <w:rPr>
          <w:sz w:val="20"/>
          <w:szCs w:val="20"/>
        </w:rPr>
      </w:pPr>
    </w:p>
    <w:p w:rsidR="00D24E61" w:rsidRPr="00771368" w:rsidRDefault="00D24E61">
      <w:pPr>
        <w:spacing w:line="343" w:lineRule="auto"/>
        <w:ind w:firstLine="850"/>
        <w:jc w:val="both"/>
        <w:rPr>
          <w:sz w:val="20"/>
          <w:szCs w:val="20"/>
        </w:rPr>
      </w:pPr>
      <w:r w:rsidRPr="00771368">
        <w:rPr>
          <w:sz w:val="24"/>
          <w:szCs w:val="24"/>
        </w:rPr>
        <w:t>Ao prestarmos assistência a um ser humano, devemos olha-lo como um todo, unido e coerente, a enfermagem possui esta especificação holística de acolher o ser em seu aspecto bio-psíquico-social e não o subdividindo na relação gênero. Dessa forma concordamos com Araújo; Pontes; Leão (2011) quando citam:</w:t>
      </w:r>
    </w:p>
    <w:p w:rsidR="00D24E61" w:rsidRPr="00771368" w:rsidRDefault="00D24E61">
      <w:pPr>
        <w:spacing w:line="67" w:lineRule="exact"/>
        <w:rPr>
          <w:sz w:val="20"/>
          <w:szCs w:val="20"/>
        </w:rPr>
      </w:pPr>
    </w:p>
    <w:p w:rsidR="00D24E61" w:rsidRPr="00771368" w:rsidRDefault="00D24E61">
      <w:pPr>
        <w:spacing w:line="232" w:lineRule="auto"/>
        <w:ind w:left="2260" w:right="20"/>
        <w:jc w:val="both"/>
        <w:rPr>
          <w:sz w:val="20"/>
          <w:szCs w:val="20"/>
        </w:rPr>
      </w:pPr>
      <w:r w:rsidRPr="00771368">
        <w:rPr>
          <w:sz w:val="20"/>
          <w:szCs w:val="20"/>
        </w:rPr>
        <w:t>Portanto, conclui-se que os gestores estejam com os olhos voltados para a assistência integral à saúde da mulher e que seja garantida essa assistência de qualidade e com profissionais especializados, para que possamos reverter o quadro epidemiológico do nosso país em relação às mulheres e que a autonomia desta mulher enquanto colaboradora do processo de saúde doença seja resgatada (ARAÚJO; PONTES e LEÃO, 2011, p. 28).</w:t>
      </w:r>
    </w:p>
    <w:p w:rsidR="00D24E61" w:rsidRPr="00771368" w:rsidRDefault="00D24E61">
      <w:pPr>
        <w:spacing w:line="335" w:lineRule="exact"/>
        <w:rPr>
          <w:sz w:val="20"/>
          <w:szCs w:val="20"/>
        </w:rPr>
      </w:pPr>
    </w:p>
    <w:p w:rsidR="00D24E61" w:rsidRPr="00771368" w:rsidRDefault="00D24E61">
      <w:pPr>
        <w:spacing w:line="349" w:lineRule="auto"/>
        <w:ind w:firstLine="850"/>
        <w:jc w:val="both"/>
        <w:rPr>
          <w:sz w:val="20"/>
          <w:szCs w:val="20"/>
        </w:rPr>
      </w:pPr>
      <w:r w:rsidRPr="00771368">
        <w:rPr>
          <w:sz w:val="24"/>
          <w:szCs w:val="24"/>
        </w:rPr>
        <w:t>Para que a perspectiva de um atendimento qualificado à mulher seja efetivada devemos alçar o princípio igualitário doutrinado pelo SUS (Sistema Único de Saúde), o qual permite uma atenção contínua e integral na linha de cuidados em saúde da mulher. Ao unificarmos os objetivos para as ações no enfoque social embasado no igualitarismo de gêneros, iremos observar a representação do ser mulher, não mais como um desafio para as Redes de Atenção à Saúde.</w:t>
      </w:r>
    </w:p>
    <w:p w:rsidR="00D24E61" w:rsidRPr="00771368" w:rsidRDefault="00D24E61">
      <w:pPr>
        <w:sectPr w:rsidR="00D24E61" w:rsidRPr="00771368">
          <w:pgSz w:w="11900" w:h="16838"/>
          <w:pgMar w:top="714" w:right="1400" w:bottom="1440" w:left="1420" w:header="0" w:footer="0" w:gutter="0"/>
          <w:cols w:space="720" w:equalWidth="0">
            <w:col w:w="9080"/>
          </w:cols>
        </w:sectPr>
      </w:pPr>
    </w:p>
    <w:p w:rsidR="00D24E61" w:rsidRPr="00771368" w:rsidRDefault="00D24E61">
      <w:pPr>
        <w:spacing w:line="239" w:lineRule="auto"/>
        <w:ind w:right="140"/>
        <w:jc w:val="right"/>
        <w:rPr>
          <w:sz w:val="20"/>
          <w:szCs w:val="20"/>
        </w:rPr>
      </w:pPr>
      <w:r w:rsidRPr="00771368">
        <w:rPr>
          <w:rFonts w:eastAsia="Calibri"/>
        </w:rPr>
        <w:t>12</w:t>
      </w:r>
    </w:p>
    <w:p w:rsidR="00D24E61" w:rsidRPr="00771368" w:rsidRDefault="00D24E61">
      <w:pPr>
        <w:spacing w:line="200" w:lineRule="exact"/>
        <w:rPr>
          <w:sz w:val="20"/>
          <w:szCs w:val="20"/>
        </w:rPr>
      </w:pPr>
    </w:p>
    <w:p w:rsidR="00D24E61" w:rsidRPr="00771368" w:rsidRDefault="00D24E61">
      <w:pPr>
        <w:spacing w:line="303" w:lineRule="exact"/>
        <w:rPr>
          <w:sz w:val="20"/>
          <w:szCs w:val="20"/>
        </w:rPr>
      </w:pPr>
    </w:p>
    <w:p w:rsidR="00D24E61" w:rsidRPr="00771368" w:rsidRDefault="00D24E61">
      <w:pPr>
        <w:spacing w:line="214" w:lineRule="auto"/>
        <w:ind w:left="120" w:right="160"/>
        <w:jc w:val="both"/>
        <w:rPr>
          <w:sz w:val="20"/>
          <w:szCs w:val="20"/>
        </w:rPr>
      </w:pPr>
      <w:r w:rsidRPr="00771368">
        <w:rPr>
          <w:b/>
          <w:bCs/>
          <w:sz w:val="24"/>
          <w:szCs w:val="24"/>
        </w:rPr>
        <w:t>4.2. 2ª Categoria: A Representação Social da Mulher na Saúde: a sociedade frente à igualdade de gêneros.</w:t>
      </w:r>
    </w:p>
    <w:p w:rsidR="00D24E61" w:rsidRPr="00771368" w:rsidRDefault="00D24E61">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60"/>
        <w:gridCol w:w="4800"/>
        <w:gridCol w:w="1000"/>
        <w:gridCol w:w="1980"/>
      </w:tblGrid>
      <w:tr w:rsidR="00D24E61" w:rsidRPr="00771368">
        <w:trPr>
          <w:trHeight w:val="287"/>
        </w:trPr>
        <w:tc>
          <w:tcPr>
            <w:tcW w:w="1560" w:type="dxa"/>
            <w:tcBorders>
              <w:top w:val="single" w:sz="8" w:space="0" w:color="auto"/>
              <w:left w:val="single" w:sz="8" w:space="0" w:color="auto"/>
              <w:bottom w:val="single" w:sz="8" w:space="0" w:color="auto"/>
              <w:right w:val="single" w:sz="8" w:space="0" w:color="auto"/>
            </w:tcBorders>
            <w:vAlign w:val="bottom"/>
          </w:tcPr>
          <w:p w:rsidR="00D24E61" w:rsidRPr="00771368" w:rsidRDefault="00D24E61">
            <w:pPr>
              <w:jc w:val="center"/>
              <w:rPr>
                <w:sz w:val="20"/>
                <w:szCs w:val="20"/>
              </w:rPr>
            </w:pPr>
            <w:r w:rsidRPr="00771368">
              <w:rPr>
                <w:b/>
                <w:bCs/>
                <w:w w:val="98"/>
                <w:sz w:val="24"/>
                <w:szCs w:val="24"/>
              </w:rPr>
              <w:t>Autores</w:t>
            </w:r>
          </w:p>
        </w:tc>
        <w:tc>
          <w:tcPr>
            <w:tcW w:w="4800" w:type="dxa"/>
            <w:tcBorders>
              <w:top w:val="single" w:sz="8" w:space="0" w:color="auto"/>
              <w:bottom w:val="single" w:sz="8" w:space="0" w:color="auto"/>
              <w:right w:val="single" w:sz="8" w:space="0" w:color="auto"/>
            </w:tcBorders>
            <w:vAlign w:val="bottom"/>
          </w:tcPr>
          <w:p w:rsidR="00D24E61" w:rsidRPr="00771368" w:rsidRDefault="00D24E61">
            <w:pPr>
              <w:ind w:left="2080"/>
              <w:rPr>
                <w:sz w:val="20"/>
                <w:szCs w:val="20"/>
              </w:rPr>
            </w:pPr>
            <w:r w:rsidRPr="00771368">
              <w:rPr>
                <w:b/>
                <w:bCs/>
                <w:sz w:val="24"/>
                <w:szCs w:val="24"/>
              </w:rPr>
              <w:t>Título</w:t>
            </w:r>
          </w:p>
        </w:tc>
        <w:tc>
          <w:tcPr>
            <w:tcW w:w="1000" w:type="dxa"/>
            <w:tcBorders>
              <w:top w:val="single" w:sz="8" w:space="0" w:color="auto"/>
              <w:bottom w:val="single" w:sz="8" w:space="0" w:color="auto"/>
              <w:right w:val="single" w:sz="8" w:space="0" w:color="auto"/>
            </w:tcBorders>
            <w:vAlign w:val="bottom"/>
          </w:tcPr>
          <w:p w:rsidR="00D24E61" w:rsidRPr="00771368" w:rsidRDefault="00D24E61">
            <w:pPr>
              <w:ind w:left="280"/>
              <w:rPr>
                <w:sz w:val="20"/>
                <w:szCs w:val="20"/>
              </w:rPr>
            </w:pPr>
            <w:r w:rsidRPr="00771368">
              <w:rPr>
                <w:b/>
                <w:bCs/>
                <w:sz w:val="24"/>
                <w:szCs w:val="24"/>
              </w:rPr>
              <w:t>Ano</w:t>
            </w:r>
          </w:p>
        </w:tc>
        <w:tc>
          <w:tcPr>
            <w:tcW w:w="1980" w:type="dxa"/>
            <w:tcBorders>
              <w:top w:val="single" w:sz="8" w:space="0" w:color="auto"/>
              <w:bottom w:val="single" w:sz="8" w:space="0" w:color="auto"/>
              <w:right w:val="single" w:sz="8" w:space="0" w:color="auto"/>
            </w:tcBorders>
            <w:vAlign w:val="bottom"/>
          </w:tcPr>
          <w:p w:rsidR="00D24E61" w:rsidRPr="00771368" w:rsidRDefault="00D24E61">
            <w:pPr>
              <w:jc w:val="center"/>
              <w:rPr>
                <w:sz w:val="20"/>
                <w:szCs w:val="20"/>
              </w:rPr>
            </w:pPr>
            <w:r w:rsidRPr="00771368">
              <w:rPr>
                <w:b/>
                <w:bCs/>
                <w:sz w:val="24"/>
                <w:szCs w:val="24"/>
              </w:rPr>
              <w:t>Bases de Dados</w:t>
            </w:r>
          </w:p>
        </w:tc>
      </w:tr>
      <w:tr w:rsidR="00D24E61" w:rsidRPr="00771368">
        <w:trPr>
          <w:trHeight w:val="262"/>
        </w:trPr>
        <w:tc>
          <w:tcPr>
            <w:tcW w:w="1560" w:type="dxa"/>
            <w:tcBorders>
              <w:left w:val="single" w:sz="8" w:space="0" w:color="auto"/>
              <w:right w:val="single" w:sz="8" w:space="0" w:color="auto"/>
            </w:tcBorders>
            <w:vAlign w:val="bottom"/>
          </w:tcPr>
          <w:p w:rsidR="00D24E61" w:rsidRPr="00771368" w:rsidRDefault="00D24E61">
            <w:pPr>
              <w:spacing w:line="262" w:lineRule="exact"/>
              <w:jc w:val="center"/>
              <w:rPr>
                <w:sz w:val="20"/>
                <w:szCs w:val="20"/>
              </w:rPr>
            </w:pPr>
            <w:r w:rsidRPr="00771368">
              <w:rPr>
                <w:w w:val="99"/>
                <w:sz w:val="24"/>
                <w:szCs w:val="24"/>
              </w:rPr>
              <w:t>BRAZ.</w:t>
            </w:r>
          </w:p>
        </w:tc>
        <w:tc>
          <w:tcPr>
            <w:tcW w:w="4800" w:type="dxa"/>
            <w:tcBorders>
              <w:right w:val="single" w:sz="8" w:space="0" w:color="auto"/>
            </w:tcBorders>
            <w:vAlign w:val="bottom"/>
          </w:tcPr>
          <w:p w:rsidR="00D24E61" w:rsidRPr="00771368" w:rsidRDefault="00D24E61">
            <w:pPr>
              <w:spacing w:line="262" w:lineRule="exact"/>
              <w:ind w:left="100"/>
              <w:rPr>
                <w:sz w:val="20"/>
                <w:szCs w:val="20"/>
              </w:rPr>
            </w:pPr>
            <w:r w:rsidRPr="00771368">
              <w:rPr>
                <w:sz w:val="24"/>
                <w:szCs w:val="24"/>
              </w:rPr>
              <w:t>A  Construção  da  Subjetividade  Masculina  e</w:t>
            </w:r>
          </w:p>
        </w:tc>
        <w:tc>
          <w:tcPr>
            <w:tcW w:w="1000" w:type="dxa"/>
            <w:tcBorders>
              <w:right w:val="single" w:sz="8" w:space="0" w:color="auto"/>
            </w:tcBorders>
            <w:vAlign w:val="bottom"/>
          </w:tcPr>
          <w:p w:rsidR="00D24E61" w:rsidRPr="00771368" w:rsidRDefault="00D24E61">
            <w:pPr>
              <w:spacing w:line="262" w:lineRule="exact"/>
              <w:ind w:left="260"/>
              <w:rPr>
                <w:sz w:val="20"/>
                <w:szCs w:val="20"/>
              </w:rPr>
            </w:pPr>
            <w:r w:rsidRPr="00771368">
              <w:rPr>
                <w:sz w:val="24"/>
                <w:szCs w:val="24"/>
              </w:rPr>
              <w:t>2005</w:t>
            </w:r>
          </w:p>
        </w:tc>
        <w:tc>
          <w:tcPr>
            <w:tcW w:w="1980" w:type="dxa"/>
            <w:tcBorders>
              <w:right w:val="single" w:sz="8" w:space="0" w:color="auto"/>
            </w:tcBorders>
            <w:vAlign w:val="bottom"/>
          </w:tcPr>
          <w:p w:rsidR="00D24E61" w:rsidRPr="00771368" w:rsidRDefault="00D24E61">
            <w:pPr>
              <w:spacing w:line="262" w:lineRule="exact"/>
              <w:jc w:val="center"/>
              <w:rPr>
                <w:sz w:val="20"/>
                <w:szCs w:val="20"/>
              </w:rPr>
            </w:pPr>
            <w:r w:rsidRPr="00771368">
              <w:rPr>
                <w:w w:val="99"/>
                <w:sz w:val="24"/>
                <w:szCs w:val="24"/>
              </w:rPr>
              <w:t>BDenf</w:t>
            </w:r>
          </w:p>
        </w:tc>
      </w:tr>
      <w:tr w:rsidR="00D24E61" w:rsidRPr="00771368">
        <w:trPr>
          <w:trHeight w:val="278"/>
        </w:trPr>
        <w:tc>
          <w:tcPr>
            <w:tcW w:w="1560" w:type="dxa"/>
            <w:tcBorders>
              <w:left w:val="single" w:sz="8" w:space="0" w:color="auto"/>
              <w:right w:val="single" w:sz="8" w:space="0" w:color="auto"/>
            </w:tcBorders>
            <w:vAlign w:val="bottom"/>
          </w:tcPr>
          <w:p w:rsidR="00D24E61" w:rsidRPr="00771368" w:rsidRDefault="00D24E61">
            <w:pPr>
              <w:rPr>
                <w:sz w:val="24"/>
                <w:szCs w:val="24"/>
              </w:rPr>
            </w:pPr>
          </w:p>
        </w:tc>
        <w:tc>
          <w:tcPr>
            <w:tcW w:w="4800" w:type="dxa"/>
            <w:tcBorders>
              <w:right w:val="single" w:sz="8" w:space="0" w:color="auto"/>
            </w:tcBorders>
            <w:vAlign w:val="bottom"/>
          </w:tcPr>
          <w:p w:rsidR="00D24E61" w:rsidRPr="00771368" w:rsidRDefault="00D24E61">
            <w:pPr>
              <w:ind w:left="100"/>
              <w:rPr>
                <w:sz w:val="20"/>
                <w:szCs w:val="20"/>
              </w:rPr>
            </w:pPr>
            <w:r w:rsidRPr="00771368">
              <w:rPr>
                <w:sz w:val="24"/>
                <w:szCs w:val="24"/>
              </w:rPr>
              <w:t>Seu  Impacto  Sobre  a  Saúde  do  Homem:</w:t>
            </w:r>
          </w:p>
        </w:tc>
        <w:tc>
          <w:tcPr>
            <w:tcW w:w="1000" w:type="dxa"/>
            <w:tcBorders>
              <w:right w:val="single" w:sz="8" w:space="0" w:color="auto"/>
            </w:tcBorders>
            <w:vAlign w:val="bottom"/>
          </w:tcPr>
          <w:p w:rsidR="00D24E61" w:rsidRPr="00771368" w:rsidRDefault="00D24E61">
            <w:pPr>
              <w:rPr>
                <w:sz w:val="24"/>
                <w:szCs w:val="24"/>
              </w:rPr>
            </w:pPr>
          </w:p>
        </w:tc>
        <w:tc>
          <w:tcPr>
            <w:tcW w:w="1980" w:type="dxa"/>
            <w:tcBorders>
              <w:right w:val="single" w:sz="8" w:space="0" w:color="auto"/>
            </w:tcBorders>
            <w:vAlign w:val="bottom"/>
          </w:tcPr>
          <w:p w:rsidR="00D24E61" w:rsidRPr="00771368" w:rsidRDefault="00D24E61">
            <w:pPr>
              <w:rPr>
                <w:sz w:val="24"/>
                <w:szCs w:val="24"/>
              </w:rPr>
            </w:pPr>
          </w:p>
        </w:tc>
      </w:tr>
      <w:tr w:rsidR="00D24E61" w:rsidRPr="00771368">
        <w:trPr>
          <w:trHeight w:val="274"/>
        </w:trPr>
        <w:tc>
          <w:tcPr>
            <w:tcW w:w="1560" w:type="dxa"/>
            <w:tcBorders>
              <w:left w:val="single" w:sz="8" w:space="0" w:color="auto"/>
              <w:right w:val="single" w:sz="8" w:space="0" w:color="auto"/>
            </w:tcBorders>
            <w:vAlign w:val="bottom"/>
          </w:tcPr>
          <w:p w:rsidR="00D24E61" w:rsidRPr="00771368" w:rsidRDefault="00D24E61">
            <w:pPr>
              <w:rPr>
                <w:sz w:val="23"/>
                <w:szCs w:val="23"/>
              </w:rPr>
            </w:pPr>
          </w:p>
        </w:tc>
        <w:tc>
          <w:tcPr>
            <w:tcW w:w="4800" w:type="dxa"/>
            <w:tcBorders>
              <w:right w:val="single" w:sz="8" w:space="0" w:color="auto"/>
            </w:tcBorders>
            <w:vAlign w:val="bottom"/>
          </w:tcPr>
          <w:p w:rsidR="00D24E61" w:rsidRPr="00771368" w:rsidRDefault="00D24E61">
            <w:pPr>
              <w:spacing w:line="273" w:lineRule="exact"/>
              <w:ind w:left="100"/>
              <w:rPr>
                <w:sz w:val="20"/>
                <w:szCs w:val="20"/>
              </w:rPr>
            </w:pPr>
            <w:r w:rsidRPr="00771368">
              <w:rPr>
                <w:sz w:val="24"/>
                <w:szCs w:val="24"/>
              </w:rPr>
              <w:t>reflexão bioética sobre justiça distributiva.</w:t>
            </w:r>
          </w:p>
        </w:tc>
        <w:tc>
          <w:tcPr>
            <w:tcW w:w="1000" w:type="dxa"/>
            <w:tcBorders>
              <w:right w:val="single" w:sz="8" w:space="0" w:color="auto"/>
            </w:tcBorders>
            <w:vAlign w:val="bottom"/>
          </w:tcPr>
          <w:p w:rsidR="00D24E61" w:rsidRPr="00771368" w:rsidRDefault="00D24E61">
            <w:pPr>
              <w:rPr>
                <w:sz w:val="23"/>
                <w:szCs w:val="23"/>
              </w:rPr>
            </w:pPr>
          </w:p>
        </w:tc>
        <w:tc>
          <w:tcPr>
            <w:tcW w:w="1980" w:type="dxa"/>
            <w:tcBorders>
              <w:right w:val="single" w:sz="8" w:space="0" w:color="auto"/>
            </w:tcBorders>
            <w:vAlign w:val="bottom"/>
          </w:tcPr>
          <w:p w:rsidR="00D24E61" w:rsidRPr="00771368" w:rsidRDefault="00D24E61">
            <w:pPr>
              <w:rPr>
                <w:sz w:val="23"/>
                <w:szCs w:val="23"/>
              </w:rPr>
            </w:pPr>
          </w:p>
        </w:tc>
      </w:tr>
      <w:tr w:rsidR="00D24E61" w:rsidRPr="00771368">
        <w:trPr>
          <w:trHeight w:val="51"/>
        </w:trPr>
        <w:tc>
          <w:tcPr>
            <w:tcW w:w="1560" w:type="dxa"/>
            <w:tcBorders>
              <w:left w:val="single" w:sz="8" w:space="0" w:color="auto"/>
              <w:bottom w:val="single" w:sz="8" w:space="0" w:color="auto"/>
              <w:right w:val="single" w:sz="8" w:space="0" w:color="auto"/>
            </w:tcBorders>
            <w:vAlign w:val="bottom"/>
          </w:tcPr>
          <w:p w:rsidR="00D24E61" w:rsidRPr="00771368" w:rsidRDefault="00D24E61">
            <w:pPr>
              <w:rPr>
                <w:sz w:val="4"/>
                <w:szCs w:val="4"/>
              </w:rPr>
            </w:pPr>
          </w:p>
        </w:tc>
        <w:tc>
          <w:tcPr>
            <w:tcW w:w="4800" w:type="dxa"/>
            <w:tcBorders>
              <w:bottom w:val="single" w:sz="8" w:space="0" w:color="auto"/>
              <w:right w:val="single" w:sz="8" w:space="0" w:color="auto"/>
            </w:tcBorders>
            <w:vAlign w:val="bottom"/>
          </w:tcPr>
          <w:p w:rsidR="00D24E61" w:rsidRPr="00771368" w:rsidRDefault="00D24E61">
            <w:pPr>
              <w:rPr>
                <w:sz w:val="4"/>
                <w:szCs w:val="4"/>
              </w:rPr>
            </w:pPr>
          </w:p>
        </w:tc>
        <w:tc>
          <w:tcPr>
            <w:tcW w:w="1000" w:type="dxa"/>
            <w:tcBorders>
              <w:bottom w:val="single" w:sz="8" w:space="0" w:color="auto"/>
              <w:right w:val="single" w:sz="8" w:space="0" w:color="auto"/>
            </w:tcBorders>
            <w:vAlign w:val="bottom"/>
          </w:tcPr>
          <w:p w:rsidR="00D24E61" w:rsidRPr="00771368" w:rsidRDefault="00D24E61">
            <w:pPr>
              <w:rPr>
                <w:sz w:val="4"/>
                <w:szCs w:val="4"/>
              </w:rPr>
            </w:pPr>
          </w:p>
        </w:tc>
        <w:tc>
          <w:tcPr>
            <w:tcW w:w="1980" w:type="dxa"/>
            <w:tcBorders>
              <w:bottom w:val="single" w:sz="8" w:space="0" w:color="auto"/>
              <w:right w:val="single" w:sz="8" w:space="0" w:color="auto"/>
            </w:tcBorders>
            <w:vAlign w:val="bottom"/>
          </w:tcPr>
          <w:p w:rsidR="00D24E61" w:rsidRPr="00771368" w:rsidRDefault="00D24E61">
            <w:pPr>
              <w:rPr>
                <w:sz w:val="4"/>
                <w:szCs w:val="4"/>
              </w:rPr>
            </w:pPr>
          </w:p>
        </w:tc>
      </w:tr>
      <w:tr w:rsidR="00D24E61" w:rsidRPr="00771368">
        <w:trPr>
          <w:trHeight w:val="260"/>
        </w:trPr>
        <w:tc>
          <w:tcPr>
            <w:tcW w:w="1560" w:type="dxa"/>
            <w:tcBorders>
              <w:left w:val="single" w:sz="8" w:space="0" w:color="auto"/>
              <w:right w:val="single" w:sz="8" w:space="0" w:color="auto"/>
            </w:tcBorders>
            <w:vAlign w:val="bottom"/>
          </w:tcPr>
          <w:p w:rsidR="00D24E61" w:rsidRPr="00771368" w:rsidRDefault="00D24E61">
            <w:pPr>
              <w:spacing w:line="260" w:lineRule="exact"/>
              <w:jc w:val="center"/>
              <w:rPr>
                <w:sz w:val="20"/>
                <w:szCs w:val="20"/>
              </w:rPr>
            </w:pPr>
            <w:r w:rsidRPr="00771368">
              <w:rPr>
                <w:w w:val="99"/>
                <w:sz w:val="24"/>
                <w:szCs w:val="24"/>
              </w:rPr>
              <w:t>BERNADES.</w:t>
            </w:r>
          </w:p>
        </w:tc>
        <w:tc>
          <w:tcPr>
            <w:tcW w:w="4800" w:type="dxa"/>
            <w:tcBorders>
              <w:right w:val="single" w:sz="8" w:space="0" w:color="auto"/>
            </w:tcBorders>
            <w:vAlign w:val="bottom"/>
          </w:tcPr>
          <w:p w:rsidR="00D24E61" w:rsidRPr="00771368" w:rsidRDefault="00D24E61">
            <w:pPr>
              <w:spacing w:line="260" w:lineRule="exact"/>
              <w:ind w:left="100"/>
              <w:rPr>
                <w:sz w:val="20"/>
                <w:szCs w:val="20"/>
              </w:rPr>
            </w:pPr>
            <w:r w:rsidRPr="00771368">
              <w:rPr>
                <w:sz w:val="24"/>
                <w:szCs w:val="24"/>
              </w:rPr>
              <w:t>Limites  e  possibilidade  do  Programa  Pró-</w:t>
            </w:r>
          </w:p>
        </w:tc>
        <w:tc>
          <w:tcPr>
            <w:tcW w:w="1000" w:type="dxa"/>
            <w:tcBorders>
              <w:right w:val="single" w:sz="8" w:space="0" w:color="auto"/>
            </w:tcBorders>
            <w:vAlign w:val="bottom"/>
          </w:tcPr>
          <w:p w:rsidR="00D24E61" w:rsidRPr="00771368" w:rsidRDefault="00D24E61">
            <w:pPr>
              <w:spacing w:line="260" w:lineRule="exact"/>
              <w:ind w:left="260"/>
              <w:rPr>
                <w:sz w:val="20"/>
                <w:szCs w:val="20"/>
              </w:rPr>
            </w:pPr>
            <w:r w:rsidRPr="00771368">
              <w:rPr>
                <w:sz w:val="24"/>
                <w:szCs w:val="24"/>
              </w:rPr>
              <w:t>2011</w:t>
            </w:r>
          </w:p>
        </w:tc>
        <w:tc>
          <w:tcPr>
            <w:tcW w:w="1980" w:type="dxa"/>
            <w:tcBorders>
              <w:right w:val="single" w:sz="8" w:space="0" w:color="auto"/>
            </w:tcBorders>
            <w:vAlign w:val="bottom"/>
          </w:tcPr>
          <w:p w:rsidR="00D24E61" w:rsidRPr="00771368" w:rsidRDefault="00D24E61">
            <w:pPr>
              <w:spacing w:line="260" w:lineRule="exact"/>
              <w:jc w:val="center"/>
              <w:rPr>
                <w:sz w:val="20"/>
                <w:szCs w:val="20"/>
              </w:rPr>
            </w:pPr>
            <w:r w:rsidRPr="00771368">
              <w:rPr>
                <w:w w:val="99"/>
                <w:sz w:val="24"/>
                <w:szCs w:val="24"/>
              </w:rPr>
              <w:t>BDenf</w:t>
            </w:r>
          </w:p>
        </w:tc>
      </w:tr>
      <w:tr w:rsidR="00D24E61" w:rsidRPr="00771368">
        <w:trPr>
          <w:trHeight w:val="274"/>
        </w:trPr>
        <w:tc>
          <w:tcPr>
            <w:tcW w:w="1560" w:type="dxa"/>
            <w:tcBorders>
              <w:left w:val="single" w:sz="8" w:space="0" w:color="auto"/>
              <w:right w:val="single" w:sz="8" w:space="0" w:color="auto"/>
            </w:tcBorders>
            <w:vAlign w:val="bottom"/>
          </w:tcPr>
          <w:p w:rsidR="00D24E61" w:rsidRPr="00771368" w:rsidRDefault="00D24E61">
            <w:pPr>
              <w:rPr>
                <w:sz w:val="23"/>
                <w:szCs w:val="23"/>
              </w:rPr>
            </w:pPr>
          </w:p>
        </w:tc>
        <w:tc>
          <w:tcPr>
            <w:tcW w:w="4800" w:type="dxa"/>
            <w:tcBorders>
              <w:right w:val="single" w:sz="8" w:space="0" w:color="auto"/>
            </w:tcBorders>
            <w:vAlign w:val="bottom"/>
          </w:tcPr>
          <w:p w:rsidR="00D24E61" w:rsidRPr="00771368" w:rsidRDefault="00D24E61">
            <w:pPr>
              <w:spacing w:line="273" w:lineRule="exact"/>
              <w:ind w:left="100"/>
              <w:rPr>
                <w:sz w:val="20"/>
                <w:szCs w:val="20"/>
              </w:rPr>
            </w:pPr>
            <w:r w:rsidRPr="00771368">
              <w:rPr>
                <w:sz w:val="24"/>
                <w:szCs w:val="24"/>
              </w:rPr>
              <w:t>Equidade   de   Gênero:   uma   análise   do</w:t>
            </w:r>
          </w:p>
        </w:tc>
        <w:tc>
          <w:tcPr>
            <w:tcW w:w="1000" w:type="dxa"/>
            <w:tcBorders>
              <w:right w:val="single" w:sz="8" w:space="0" w:color="auto"/>
            </w:tcBorders>
            <w:vAlign w:val="bottom"/>
          </w:tcPr>
          <w:p w:rsidR="00D24E61" w:rsidRPr="00771368" w:rsidRDefault="00D24E61">
            <w:pPr>
              <w:rPr>
                <w:sz w:val="23"/>
                <w:szCs w:val="23"/>
              </w:rPr>
            </w:pPr>
          </w:p>
        </w:tc>
        <w:tc>
          <w:tcPr>
            <w:tcW w:w="1980" w:type="dxa"/>
            <w:tcBorders>
              <w:right w:val="single" w:sz="8" w:space="0" w:color="auto"/>
            </w:tcBorders>
            <w:vAlign w:val="bottom"/>
          </w:tcPr>
          <w:p w:rsidR="00D24E61" w:rsidRPr="00771368" w:rsidRDefault="00D24E61">
            <w:pPr>
              <w:rPr>
                <w:sz w:val="23"/>
                <w:szCs w:val="23"/>
              </w:rPr>
            </w:pPr>
          </w:p>
        </w:tc>
      </w:tr>
      <w:tr w:rsidR="00D24E61" w:rsidRPr="00771368">
        <w:trPr>
          <w:trHeight w:val="278"/>
        </w:trPr>
        <w:tc>
          <w:tcPr>
            <w:tcW w:w="1560" w:type="dxa"/>
            <w:tcBorders>
              <w:left w:val="single" w:sz="8" w:space="0" w:color="auto"/>
              <w:right w:val="single" w:sz="8" w:space="0" w:color="auto"/>
            </w:tcBorders>
            <w:vAlign w:val="bottom"/>
          </w:tcPr>
          <w:p w:rsidR="00D24E61" w:rsidRPr="00771368" w:rsidRDefault="00D24E61">
            <w:pPr>
              <w:rPr>
                <w:sz w:val="24"/>
                <w:szCs w:val="24"/>
              </w:rPr>
            </w:pPr>
          </w:p>
        </w:tc>
        <w:tc>
          <w:tcPr>
            <w:tcW w:w="4800" w:type="dxa"/>
            <w:tcBorders>
              <w:right w:val="single" w:sz="8" w:space="0" w:color="auto"/>
            </w:tcBorders>
            <w:vAlign w:val="bottom"/>
          </w:tcPr>
          <w:p w:rsidR="00D24E61" w:rsidRPr="00771368" w:rsidRDefault="00D24E61">
            <w:pPr>
              <w:ind w:left="100"/>
              <w:rPr>
                <w:sz w:val="20"/>
                <w:szCs w:val="20"/>
              </w:rPr>
            </w:pPr>
            <w:r w:rsidRPr="00771368">
              <w:rPr>
                <w:sz w:val="24"/>
                <w:szCs w:val="24"/>
              </w:rPr>
              <w:t>desenvolvimento  da  política  de  igualdade  de</w:t>
            </w:r>
          </w:p>
        </w:tc>
        <w:tc>
          <w:tcPr>
            <w:tcW w:w="1000" w:type="dxa"/>
            <w:tcBorders>
              <w:right w:val="single" w:sz="8" w:space="0" w:color="auto"/>
            </w:tcBorders>
            <w:vAlign w:val="bottom"/>
          </w:tcPr>
          <w:p w:rsidR="00D24E61" w:rsidRPr="00771368" w:rsidRDefault="00D24E61">
            <w:pPr>
              <w:rPr>
                <w:sz w:val="24"/>
                <w:szCs w:val="24"/>
              </w:rPr>
            </w:pPr>
          </w:p>
        </w:tc>
        <w:tc>
          <w:tcPr>
            <w:tcW w:w="1980" w:type="dxa"/>
            <w:tcBorders>
              <w:right w:val="single" w:sz="8" w:space="0" w:color="auto"/>
            </w:tcBorders>
            <w:vAlign w:val="bottom"/>
          </w:tcPr>
          <w:p w:rsidR="00D24E61" w:rsidRPr="00771368" w:rsidRDefault="00D24E61">
            <w:pPr>
              <w:rPr>
                <w:sz w:val="24"/>
                <w:szCs w:val="24"/>
              </w:rPr>
            </w:pPr>
          </w:p>
        </w:tc>
      </w:tr>
      <w:tr w:rsidR="00D24E61" w:rsidRPr="00771368">
        <w:trPr>
          <w:trHeight w:val="274"/>
        </w:trPr>
        <w:tc>
          <w:tcPr>
            <w:tcW w:w="1560" w:type="dxa"/>
            <w:tcBorders>
              <w:left w:val="single" w:sz="8" w:space="0" w:color="auto"/>
              <w:right w:val="single" w:sz="8" w:space="0" w:color="auto"/>
            </w:tcBorders>
            <w:vAlign w:val="bottom"/>
          </w:tcPr>
          <w:p w:rsidR="00D24E61" w:rsidRPr="00771368" w:rsidRDefault="00D24E61">
            <w:pPr>
              <w:rPr>
                <w:sz w:val="23"/>
                <w:szCs w:val="23"/>
              </w:rPr>
            </w:pPr>
          </w:p>
        </w:tc>
        <w:tc>
          <w:tcPr>
            <w:tcW w:w="4800" w:type="dxa"/>
            <w:tcBorders>
              <w:right w:val="single" w:sz="8" w:space="0" w:color="auto"/>
            </w:tcBorders>
            <w:vAlign w:val="bottom"/>
          </w:tcPr>
          <w:p w:rsidR="00D24E61" w:rsidRPr="00771368" w:rsidRDefault="00D24E61">
            <w:pPr>
              <w:spacing w:line="274" w:lineRule="exact"/>
              <w:ind w:left="100"/>
              <w:rPr>
                <w:sz w:val="20"/>
                <w:szCs w:val="20"/>
              </w:rPr>
            </w:pPr>
            <w:r w:rsidRPr="00771368">
              <w:rPr>
                <w:sz w:val="24"/>
                <w:szCs w:val="24"/>
              </w:rPr>
              <w:t>gênero na Caixa Econômica Federal.</w:t>
            </w:r>
          </w:p>
        </w:tc>
        <w:tc>
          <w:tcPr>
            <w:tcW w:w="1000" w:type="dxa"/>
            <w:tcBorders>
              <w:right w:val="single" w:sz="8" w:space="0" w:color="auto"/>
            </w:tcBorders>
            <w:vAlign w:val="bottom"/>
          </w:tcPr>
          <w:p w:rsidR="00D24E61" w:rsidRPr="00771368" w:rsidRDefault="00D24E61">
            <w:pPr>
              <w:rPr>
                <w:sz w:val="23"/>
                <w:szCs w:val="23"/>
              </w:rPr>
            </w:pPr>
          </w:p>
        </w:tc>
        <w:tc>
          <w:tcPr>
            <w:tcW w:w="1980" w:type="dxa"/>
            <w:tcBorders>
              <w:right w:val="single" w:sz="8" w:space="0" w:color="auto"/>
            </w:tcBorders>
            <w:vAlign w:val="bottom"/>
          </w:tcPr>
          <w:p w:rsidR="00D24E61" w:rsidRPr="00771368" w:rsidRDefault="00D24E61">
            <w:pPr>
              <w:rPr>
                <w:sz w:val="23"/>
                <w:szCs w:val="23"/>
              </w:rPr>
            </w:pPr>
          </w:p>
        </w:tc>
      </w:tr>
      <w:tr w:rsidR="00D24E61" w:rsidRPr="00771368">
        <w:trPr>
          <w:trHeight w:val="286"/>
        </w:trPr>
        <w:tc>
          <w:tcPr>
            <w:tcW w:w="1560" w:type="dxa"/>
            <w:tcBorders>
              <w:left w:val="single" w:sz="8" w:space="0" w:color="auto"/>
              <w:bottom w:val="single" w:sz="8" w:space="0" w:color="auto"/>
              <w:right w:val="single" w:sz="8" w:space="0" w:color="auto"/>
            </w:tcBorders>
            <w:vAlign w:val="bottom"/>
          </w:tcPr>
          <w:p w:rsidR="00D24E61" w:rsidRPr="00771368" w:rsidRDefault="00D24E61">
            <w:pPr>
              <w:rPr>
                <w:sz w:val="24"/>
                <w:szCs w:val="24"/>
              </w:rPr>
            </w:pPr>
          </w:p>
        </w:tc>
        <w:tc>
          <w:tcPr>
            <w:tcW w:w="4800" w:type="dxa"/>
            <w:tcBorders>
              <w:bottom w:val="single" w:sz="8" w:space="0" w:color="auto"/>
              <w:right w:val="single" w:sz="8" w:space="0" w:color="auto"/>
            </w:tcBorders>
            <w:vAlign w:val="bottom"/>
          </w:tcPr>
          <w:p w:rsidR="00D24E61" w:rsidRPr="00771368" w:rsidRDefault="00D24E61">
            <w:pPr>
              <w:rPr>
                <w:sz w:val="24"/>
                <w:szCs w:val="24"/>
              </w:rPr>
            </w:pPr>
          </w:p>
        </w:tc>
        <w:tc>
          <w:tcPr>
            <w:tcW w:w="1000" w:type="dxa"/>
            <w:tcBorders>
              <w:bottom w:val="single" w:sz="8" w:space="0" w:color="auto"/>
              <w:right w:val="single" w:sz="8" w:space="0" w:color="auto"/>
            </w:tcBorders>
            <w:vAlign w:val="bottom"/>
          </w:tcPr>
          <w:p w:rsidR="00D24E61" w:rsidRPr="00771368" w:rsidRDefault="00D24E61">
            <w:pPr>
              <w:rPr>
                <w:sz w:val="24"/>
                <w:szCs w:val="24"/>
              </w:rPr>
            </w:pPr>
          </w:p>
        </w:tc>
        <w:tc>
          <w:tcPr>
            <w:tcW w:w="1980" w:type="dxa"/>
            <w:tcBorders>
              <w:bottom w:val="single" w:sz="8" w:space="0" w:color="auto"/>
              <w:right w:val="single" w:sz="8" w:space="0" w:color="auto"/>
            </w:tcBorders>
            <w:vAlign w:val="bottom"/>
          </w:tcPr>
          <w:p w:rsidR="00D24E61" w:rsidRPr="00771368" w:rsidRDefault="00D24E61">
            <w:pPr>
              <w:rPr>
                <w:sz w:val="24"/>
                <w:szCs w:val="24"/>
              </w:rPr>
            </w:pPr>
          </w:p>
        </w:tc>
      </w:tr>
      <w:tr w:rsidR="00D24E61" w:rsidRPr="00771368">
        <w:trPr>
          <w:trHeight w:val="256"/>
        </w:trPr>
        <w:tc>
          <w:tcPr>
            <w:tcW w:w="1560" w:type="dxa"/>
            <w:tcBorders>
              <w:left w:val="single" w:sz="8" w:space="0" w:color="auto"/>
              <w:right w:val="single" w:sz="8" w:space="0" w:color="auto"/>
            </w:tcBorders>
            <w:vAlign w:val="bottom"/>
          </w:tcPr>
          <w:p w:rsidR="00D24E61" w:rsidRPr="00771368" w:rsidRDefault="00D24E61">
            <w:pPr>
              <w:spacing w:line="255" w:lineRule="exact"/>
              <w:jc w:val="center"/>
              <w:rPr>
                <w:sz w:val="20"/>
                <w:szCs w:val="20"/>
              </w:rPr>
            </w:pPr>
            <w:r w:rsidRPr="00771368">
              <w:rPr>
                <w:w w:val="99"/>
                <w:sz w:val="24"/>
                <w:szCs w:val="24"/>
              </w:rPr>
              <w:t>FRANÇA;</w:t>
            </w:r>
          </w:p>
        </w:tc>
        <w:tc>
          <w:tcPr>
            <w:tcW w:w="4800" w:type="dxa"/>
            <w:tcBorders>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A   Construção   Cultural   da   Sexualidade</w:t>
            </w:r>
          </w:p>
        </w:tc>
        <w:tc>
          <w:tcPr>
            <w:tcW w:w="1000" w:type="dxa"/>
            <w:tcBorders>
              <w:right w:val="single" w:sz="8" w:space="0" w:color="auto"/>
            </w:tcBorders>
            <w:vAlign w:val="bottom"/>
          </w:tcPr>
          <w:p w:rsidR="00D24E61" w:rsidRPr="00771368" w:rsidRDefault="00D24E61">
            <w:pPr>
              <w:spacing w:line="255" w:lineRule="exact"/>
              <w:ind w:left="260"/>
              <w:rPr>
                <w:sz w:val="20"/>
                <w:szCs w:val="20"/>
              </w:rPr>
            </w:pPr>
            <w:r w:rsidRPr="00771368">
              <w:rPr>
                <w:sz w:val="24"/>
                <w:szCs w:val="24"/>
              </w:rPr>
              <w:t>2007</w:t>
            </w:r>
          </w:p>
        </w:tc>
        <w:tc>
          <w:tcPr>
            <w:tcW w:w="1980" w:type="dxa"/>
            <w:tcBorders>
              <w:right w:val="single" w:sz="8" w:space="0" w:color="auto"/>
            </w:tcBorders>
            <w:vAlign w:val="bottom"/>
          </w:tcPr>
          <w:p w:rsidR="00D24E61" w:rsidRPr="00771368" w:rsidRDefault="00D24E61">
            <w:pPr>
              <w:spacing w:line="255" w:lineRule="exact"/>
              <w:jc w:val="center"/>
              <w:rPr>
                <w:sz w:val="20"/>
                <w:szCs w:val="20"/>
              </w:rPr>
            </w:pPr>
            <w:r w:rsidRPr="00771368">
              <w:rPr>
                <w:w w:val="98"/>
                <w:sz w:val="24"/>
                <w:szCs w:val="24"/>
              </w:rPr>
              <w:t>SciELO</w:t>
            </w:r>
          </w:p>
        </w:tc>
      </w:tr>
      <w:tr w:rsidR="00D24E61" w:rsidRPr="00771368">
        <w:trPr>
          <w:trHeight w:val="278"/>
        </w:trPr>
        <w:tc>
          <w:tcPr>
            <w:tcW w:w="1560" w:type="dxa"/>
            <w:tcBorders>
              <w:left w:val="single" w:sz="8" w:space="0" w:color="auto"/>
              <w:right w:val="single" w:sz="8" w:space="0" w:color="auto"/>
            </w:tcBorders>
            <w:vAlign w:val="bottom"/>
          </w:tcPr>
          <w:p w:rsidR="00D24E61" w:rsidRPr="00771368" w:rsidRDefault="00D24E61">
            <w:pPr>
              <w:jc w:val="center"/>
              <w:rPr>
                <w:sz w:val="20"/>
                <w:szCs w:val="20"/>
              </w:rPr>
            </w:pPr>
            <w:r w:rsidRPr="00771368">
              <w:rPr>
                <w:sz w:val="24"/>
                <w:szCs w:val="24"/>
              </w:rPr>
              <w:t>BAPTISTA</w:t>
            </w:r>
          </w:p>
        </w:tc>
        <w:tc>
          <w:tcPr>
            <w:tcW w:w="4800" w:type="dxa"/>
            <w:tcBorders>
              <w:right w:val="single" w:sz="8" w:space="0" w:color="auto"/>
            </w:tcBorders>
            <w:vAlign w:val="bottom"/>
          </w:tcPr>
          <w:p w:rsidR="00D24E61" w:rsidRPr="00771368" w:rsidRDefault="00D24E61">
            <w:pPr>
              <w:ind w:left="100"/>
              <w:rPr>
                <w:sz w:val="20"/>
                <w:szCs w:val="20"/>
              </w:rPr>
            </w:pPr>
            <w:r w:rsidRPr="00771368">
              <w:rPr>
                <w:sz w:val="24"/>
                <w:szCs w:val="24"/>
              </w:rPr>
              <w:t>Brasileira: implicações para enfermagem.</w:t>
            </w:r>
          </w:p>
        </w:tc>
        <w:tc>
          <w:tcPr>
            <w:tcW w:w="1000" w:type="dxa"/>
            <w:tcBorders>
              <w:right w:val="single" w:sz="8" w:space="0" w:color="auto"/>
            </w:tcBorders>
            <w:vAlign w:val="bottom"/>
          </w:tcPr>
          <w:p w:rsidR="00D24E61" w:rsidRPr="00771368" w:rsidRDefault="00D24E61">
            <w:pPr>
              <w:rPr>
                <w:sz w:val="24"/>
                <w:szCs w:val="24"/>
              </w:rPr>
            </w:pPr>
          </w:p>
        </w:tc>
        <w:tc>
          <w:tcPr>
            <w:tcW w:w="1980" w:type="dxa"/>
            <w:tcBorders>
              <w:right w:val="single" w:sz="8" w:space="0" w:color="auto"/>
            </w:tcBorders>
            <w:vAlign w:val="bottom"/>
          </w:tcPr>
          <w:p w:rsidR="00D24E61" w:rsidRPr="00771368" w:rsidRDefault="00D24E61">
            <w:pPr>
              <w:rPr>
                <w:sz w:val="24"/>
                <w:szCs w:val="24"/>
              </w:rPr>
            </w:pPr>
          </w:p>
        </w:tc>
      </w:tr>
      <w:tr w:rsidR="00D24E61" w:rsidRPr="00771368">
        <w:trPr>
          <w:trHeight w:val="310"/>
        </w:trPr>
        <w:tc>
          <w:tcPr>
            <w:tcW w:w="1560" w:type="dxa"/>
            <w:tcBorders>
              <w:left w:val="single" w:sz="8" w:space="0" w:color="auto"/>
              <w:bottom w:val="single" w:sz="8" w:space="0" w:color="auto"/>
              <w:right w:val="single" w:sz="8" w:space="0" w:color="auto"/>
            </w:tcBorders>
            <w:vAlign w:val="bottom"/>
          </w:tcPr>
          <w:p w:rsidR="00D24E61" w:rsidRPr="00771368" w:rsidRDefault="00D24E61">
            <w:pPr>
              <w:rPr>
                <w:sz w:val="24"/>
                <w:szCs w:val="24"/>
              </w:rPr>
            </w:pPr>
          </w:p>
        </w:tc>
        <w:tc>
          <w:tcPr>
            <w:tcW w:w="4800" w:type="dxa"/>
            <w:tcBorders>
              <w:bottom w:val="single" w:sz="8" w:space="0" w:color="auto"/>
              <w:right w:val="single" w:sz="8" w:space="0" w:color="auto"/>
            </w:tcBorders>
            <w:vAlign w:val="bottom"/>
          </w:tcPr>
          <w:p w:rsidR="00D24E61" w:rsidRPr="00771368" w:rsidRDefault="00D24E61">
            <w:pPr>
              <w:rPr>
                <w:sz w:val="24"/>
                <w:szCs w:val="24"/>
              </w:rPr>
            </w:pPr>
          </w:p>
        </w:tc>
        <w:tc>
          <w:tcPr>
            <w:tcW w:w="1000" w:type="dxa"/>
            <w:tcBorders>
              <w:bottom w:val="single" w:sz="8" w:space="0" w:color="auto"/>
              <w:right w:val="single" w:sz="8" w:space="0" w:color="auto"/>
            </w:tcBorders>
            <w:vAlign w:val="bottom"/>
          </w:tcPr>
          <w:p w:rsidR="00D24E61" w:rsidRPr="00771368" w:rsidRDefault="00D24E61">
            <w:pPr>
              <w:rPr>
                <w:sz w:val="24"/>
                <w:szCs w:val="24"/>
              </w:rPr>
            </w:pPr>
          </w:p>
        </w:tc>
        <w:tc>
          <w:tcPr>
            <w:tcW w:w="1980" w:type="dxa"/>
            <w:tcBorders>
              <w:bottom w:val="single" w:sz="8" w:space="0" w:color="auto"/>
              <w:right w:val="single" w:sz="8" w:space="0" w:color="auto"/>
            </w:tcBorders>
            <w:vAlign w:val="bottom"/>
          </w:tcPr>
          <w:p w:rsidR="00D24E61" w:rsidRPr="00771368" w:rsidRDefault="00D24E61">
            <w:pPr>
              <w:rPr>
                <w:sz w:val="24"/>
                <w:szCs w:val="24"/>
              </w:rPr>
            </w:pPr>
          </w:p>
        </w:tc>
      </w:tr>
    </w:tbl>
    <w:p w:rsidR="00D24E61" w:rsidRPr="00771368" w:rsidRDefault="00D24E61">
      <w:pPr>
        <w:spacing w:line="327" w:lineRule="exact"/>
        <w:rPr>
          <w:sz w:val="20"/>
          <w:szCs w:val="20"/>
        </w:rPr>
      </w:pPr>
    </w:p>
    <w:p w:rsidR="00D24E61" w:rsidRPr="00771368" w:rsidRDefault="00D24E61">
      <w:pPr>
        <w:spacing w:line="347" w:lineRule="auto"/>
        <w:ind w:left="120" w:right="140" w:firstLine="706"/>
        <w:jc w:val="both"/>
        <w:rPr>
          <w:sz w:val="20"/>
          <w:szCs w:val="20"/>
        </w:rPr>
      </w:pPr>
      <w:r w:rsidRPr="00771368">
        <w:rPr>
          <w:sz w:val="24"/>
          <w:szCs w:val="24"/>
        </w:rPr>
        <w:t>A constituição de práxis da enfermagem se embasa principalmente nos aspectos sociais de maneira criativa e reflexiva, a premissa da igualdade de gêneros se institui inicialmente na sociedade, ou seja, homens e mulheres precisam esclarecer sua prática social para retomarem seus lugares na história. Por isso as finalidades das ações de enfermagem se inter-relacionam na universalidade e equidade.</w:t>
      </w:r>
    </w:p>
    <w:p w:rsidR="00D24E61" w:rsidRPr="00771368" w:rsidRDefault="00D24E61">
      <w:pPr>
        <w:spacing w:line="17" w:lineRule="exact"/>
        <w:rPr>
          <w:sz w:val="20"/>
          <w:szCs w:val="20"/>
        </w:rPr>
      </w:pPr>
    </w:p>
    <w:p w:rsidR="00D24E61" w:rsidRPr="00771368" w:rsidRDefault="00D24E61">
      <w:pPr>
        <w:ind w:left="960"/>
        <w:rPr>
          <w:sz w:val="20"/>
          <w:szCs w:val="20"/>
        </w:rPr>
      </w:pPr>
      <w:r w:rsidRPr="00771368">
        <w:rPr>
          <w:sz w:val="24"/>
          <w:szCs w:val="24"/>
        </w:rPr>
        <w:t>Assim citamos:</w:t>
      </w:r>
    </w:p>
    <w:p w:rsidR="00D24E61" w:rsidRPr="00771368" w:rsidRDefault="00D24E61">
      <w:pPr>
        <w:spacing w:line="183" w:lineRule="exact"/>
        <w:rPr>
          <w:sz w:val="20"/>
          <w:szCs w:val="20"/>
        </w:rPr>
      </w:pPr>
    </w:p>
    <w:p w:rsidR="00D24E61" w:rsidRPr="00771368" w:rsidRDefault="00D24E61">
      <w:pPr>
        <w:spacing w:line="228" w:lineRule="auto"/>
        <w:ind w:left="2380" w:right="140"/>
        <w:jc w:val="both"/>
        <w:rPr>
          <w:sz w:val="20"/>
          <w:szCs w:val="20"/>
        </w:rPr>
      </w:pPr>
      <w:r w:rsidRPr="00771368">
        <w:rPr>
          <w:sz w:val="20"/>
          <w:szCs w:val="20"/>
        </w:rPr>
        <w:t>A mulher olhou para si e se rebelou contra séculos de dominação masculina. Ao destacar a regra da oportunidade equitativa, desejou-se apontar para possibilidade do impacto discriminatório das políticas de saúde assim como das práticas que alocam os serviços, por exemplo, de acordo com o sexo (BRAZ, 2005, p. 103).</w:t>
      </w:r>
    </w:p>
    <w:p w:rsidR="00D24E61" w:rsidRPr="00771368" w:rsidRDefault="00D24E61">
      <w:pPr>
        <w:spacing w:line="333" w:lineRule="exact"/>
        <w:rPr>
          <w:sz w:val="20"/>
          <w:szCs w:val="20"/>
        </w:rPr>
      </w:pPr>
    </w:p>
    <w:p w:rsidR="00D24E61" w:rsidRPr="00771368" w:rsidRDefault="00D24E61">
      <w:pPr>
        <w:spacing w:line="347" w:lineRule="auto"/>
        <w:ind w:left="120" w:right="160" w:firstLine="850"/>
        <w:jc w:val="both"/>
        <w:rPr>
          <w:sz w:val="20"/>
          <w:szCs w:val="20"/>
        </w:rPr>
      </w:pPr>
      <w:r w:rsidRPr="00771368">
        <w:rPr>
          <w:sz w:val="24"/>
          <w:szCs w:val="24"/>
        </w:rPr>
        <w:t>Apreendemos que a questão de gêneros envolve dois sujeitos que a sociedade expos e impôs sua representação, ou seja, o homem foi imposto para liderar, nunca temer e se importar na força e domínio e a mulher como a dedicada, mãe, submissa e passiva esposa doméstica. Assim o processo histórico do homem e da mulher foi protagonizado pela sociedade e não por si mesmo.</w:t>
      </w:r>
    </w:p>
    <w:p w:rsidR="00D24E61" w:rsidRPr="00771368" w:rsidRDefault="00D24E61">
      <w:pPr>
        <w:spacing w:line="63" w:lineRule="exact"/>
        <w:rPr>
          <w:sz w:val="20"/>
          <w:szCs w:val="20"/>
        </w:rPr>
      </w:pPr>
    </w:p>
    <w:p w:rsidR="00D24E61" w:rsidRPr="00771368" w:rsidRDefault="00D24E61">
      <w:pPr>
        <w:spacing w:line="230" w:lineRule="auto"/>
        <w:ind w:left="2380" w:right="160"/>
        <w:jc w:val="both"/>
        <w:rPr>
          <w:sz w:val="20"/>
          <w:szCs w:val="20"/>
        </w:rPr>
      </w:pPr>
      <w:r w:rsidRPr="00771368">
        <w:rPr>
          <w:sz w:val="20"/>
          <w:szCs w:val="20"/>
        </w:rPr>
        <w:t>Este preconceito se reflete na sociedade como um todo, nas formulações das políticas públicas e também pode ser sentido em relação aos profissionais de saúde [...]. Cabe aos homens e mulheres mudarem seu enfoque em relação ao modo como se reproduzem, ainda, as questões de gênero, que não beneficiam nem um dos dois (BRAZ, 2005, p. 103).</w:t>
      </w:r>
    </w:p>
    <w:p w:rsidR="00D24E61" w:rsidRPr="00771368" w:rsidRDefault="00D24E61">
      <w:pPr>
        <w:spacing w:line="292" w:lineRule="exact"/>
        <w:rPr>
          <w:sz w:val="20"/>
          <w:szCs w:val="20"/>
        </w:rPr>
      </w:pPr>
    </w:p>
    <w:p w:rsidR="00D24E61" w:rsidRPr="00771368" w:rsidRDefault="00D24E61">
      <w:pPr>
        <w:spacing w:line="343" w:lineRule="auto"/>
        <w:ind w:left="120" w:right="160" w:firstLine="850"/>
        <w:jc w:val="both"/>
        <w:rPr>
          <w:sz w:val="20"/>
          <w:szCs w:val="20"/>
        </w:rPr>
      </w:pPr>
      <w:r w:rsidRPr="00771368">
        <w:rPr>
          <w:sz w:val="24"/>
          <w:szCs w:val="24"/>
        </w:rPr>
        <w:t>As modificações desse quadro social merecem atenção da sociedade e como parte social também se incluiu o enfermeiro, que vise à reformulação de políticas públicas “[...] assim, como o destaque dado aos direitos das mulheres em serem assistidas e contra a discriminação há séculos vividas por estas” (BRAZ, 2005, p. 102).</w:t>
      </w:r>
    </w:p>
    <w:p w:rsidR="00D24E61" w:rsidRPr="00771368" w:rsidRDefault="00D24E61">
      <w:pPr>
        <w:sectPr w:rsidR="00D24E61" w:rsidRPr="00771368">
          <w:pgSz w:w="11900" w:h="16838"/>
          <w:pgMar w:top="702" w:right="1260" w:bottom="1440" w:left="1300" w:header="0" w:footer="0" w:gutter="0"/>
          <w:cols w:space="720" w:equalWidth="0">
            <w:col w:w="9340"/>
          </w:cols>
        </w:sectPr>
      </w:pPr>
    </w:p>
    <w:p w:rsidR="00D24E61" w:rsidRPr="00771368" w:rsidRDefault="00D24E61">
      <w:pPr>
        <w:spacing w:line="239" w:lineRule="auto"/>
        <w:jc w:val="right"/>
        <w:rPr>
          <w:sz w:val="20"/>
          <w:szCs w:val="20"/>
        </w:rPr>
      </w:pPr>
      <w:r w:rsidRPr="00771368">
        <w:rPr>
          <w:rFonts w:eastAsia="Calibri"/>
        </w:rPr>
        <w:t>13</w:t>
      </w:r>
    </w:p>
    <w:p w:rsidR="00D24E61" w:rsidRPr="00771368" w:rsidRDefault="00D24E61">
      <w:pPr>
        <w:spacing w:line="200" w:lineRule="exact"/>
        <w:rPr>
          <w:sz w:val="20"/>
          <w:szCs w:val="20"/>
        </w:rPr>
      </w:pPr>
    </w:p>
    <w:p w:rsidR="00D24E61" w:rsidRPr="00771368" w:rsidRDefault="00D24E61">
      <w:pPr>
        <w:spacing w:line="295" w:lineRule="exact"/>
        <w:rPr>
          <w:sz w:val="20"/>
          <w:szCs w:val="20"/>
        </w:rPr>
      </w:pPr>
    </w:p>
    <w:p w:rsidR="00D24E61" w:rsidRPr="00771368" w:rsidRDefault="00D24E61">
      <w:pPr>
        <w:spacing w:line="343" w:lineRule="auto"/>
        <w:ind w:right="20" w:firstLine="850"/>
        <w:jc w:val="both"/>
        <w:rPr>
          <w:sz w:val="20"/>
          <w:szCs w:val="20"/>
        </w:rPr>
      </w:pPr>
      <w:r w:rsidRPr="00771368">
        <w:rPr>
          <w:sz w:val="24"/>
          <w:szCs w:val="24"/>
        </w:rPr>
        <w:t>Para a desconstrução social desse paradigma devemos observar a insuficiência de publicações científicas que retratam a temática, o que nos leva a repensar o quanto as questões gêneros e intragênero influenciam os distintos setores da saúde. De fato a comunidade científica pode preencher parte dessa lacuna:</w:t>
      </w:r>
    </w:p>
    <w:p w:rsidR="00D24E61" w:rsidRPr="00771368" w:rsidRDefault="00D24E61">
      <w:pPr>
        <w:spacing w:line="67" w:lineRule="exact"/>
        <w:rPr>
          <w:sz w:val="20"/>
          <w:szCs w:val="20"/>
        </w:rPr>
      </w:pPr>
    </w:p>
    <w:p w:rsidR="00D24E61" w:rsidRPr="00771368" w:rsidRDefault="00D24E61">
      <w:pPr>
        <w:spacing w:line="230" w:lineRule="auto"/>
        <w:ind w:left="2260" w:right="20"/>
        <w:jc w:val="both"/>
        <w:rPr>
          <w:sz w:val="20"/>
          <w:szCs w:val="20"/>
        </w:rPr>
      </w:pPr>
      <w:r w:rsidRPr="00771368">
        <w:rPr>
          <w:sz w:val="20"/>
          <w:szCs w:val="20"/>
        </w:rPr>
        <w:t>Há que se destacar a contribuição do movimento feminista e dos estudos de gênero à ciência; introduzindo assim as discussões não apenas relativas às mulheres, mas ampliadas às relações de gênero, dessa maneira buscando por transformações no padrão de sociabilidade dos sujeitos e suas mais diversas problematizações (BERNADES, 2011, p. 26).</w:t>
      </w:r>
    </w:p>
    <w:p w:rsidR="00D24E61" w:rsidRPr="00771368" w:rsidRDefault="00D24E61">
      <w:pPr>
        <w:spacing w:line="336" w:lineRule="exact"/>
        <w:rPr>
          <w:sz w:val="20"/>
          <w:szCs w:val="20"/>
        </w:rPr>
      </w:pPr>
    </w:p>
    <w:p w:rsidR="00D24E61" w:rsidRPr="00771368" w:rsidRDefault="00D24E61">
      <w:pPr>
        <w:spacing w:line="312" w:lineRule="auto"/>
        <w:ind w:right="20" w:firstLine="850"/>
        <w:rPr>
          <w:sz w:val="20"/>
          <w:szCs w:val="20"/>
        </w:rPr>
      </w:pPr>
      <w:r w:rsidRPr="00771368">
        <w:rPr>
          <w:sz w:val="24"/>
          <w:szCs w:val="24"/>
        </w:rPr>
        <w:t>As implicações de gênero transcendem o ser “homem” e o ser “mulher” na rebuscada sociedade, por isso tomamos como relevante a abordagem da sexualidade entre estes sujeitos.</w:t>
      </w:r>
    </w:p>
    <w:p w:rsidR="00D24E61" w:rsidRPr="00771368" w:rsidRDefault="00D24E61">
      <w:pPr>
        <w:spacing w:line="55" w:lineRule="exact"/>
        <w:rPr>
          <w:sz w:val="20"/>
          <w:szCs w:val="20"/>
        </w:rPr>
      </w:pPr>
    </w:p>
    <w:p w:rsidR="00D24E61" w:rsidRPr="00771368" w:rsidRDefault="00D24E61">
      <w:pPr>
        <w:ind w:left="780"/>
        <w:rPr>
          <w:sz w:val="20"/>
          <w:szCs w:val="20"/>
        </w:rPr>
      </w:pPr>
      <w:r w:rsidRPr="00771368">
        <w:rPr>
          <w:sz w:val="24"/>
          <w:szCs w:val="24"/>
        </w:rPr>
        <w:t>Concordamos com França; Baptista (2007) quando nos diz:</w:t>
      </w:r>
    </w:p>
    <w:p w:rsidR="00D24E61" w:rsidRPr="00771368" w:rsidRDefault="00D24E61">
      <w:pPr>
        <w:spacing w:line="183" w:lineRule="exact"/>
        <w:rPr>
          <w:sz w:val="20"/>
          <w:szCs w:val="20"/>
        </w:rPr>
      </w:pPr>
    </w:p>
    <w:p w:rsidR="00D24E61" w:rsidRPr="00771368" w:rsidRDefault="00D24E61">
      <w:pPr>
        <w:spacing w:line="230" w:lineRule="auto"/>
        <w:ind w:left="2260" w:right="20"/>
        <w:jc w:val="both"/>
        <w:rPr>
          <w:sz w:val="20"/>
          <w:szCs w:val="20"/>
        </w:rPr>
      </w:pPr>
      <w:r w:rsidRPr="00771368">
        <w:rPr>
          <w:sz w:val="20"/>
          <w:szCs w:val="20"/>
        </w:rPr>
        <w:t>Desde os primórdios, todos os sistemas simbólicos foram construídos pelos e para os homens. O mal, configurado no corpo da mulher, necessitava adestramento. A mulher teria que sublimar suas paixões e subordinar-se ao papel de mãe, vivenciado no lar, como esposa dedicada e submissa ao homem. E para que a ordem não fosse subvertida criou-se o estatuto do casamento (FRANÇA; BAPTISTA, 2007, p. 1).</w:t>
      </w:r>
    </w:p>
    <w:p w:rsidR="00D24E61" w:rsidRPr="00771368" w:rsidRDefault="00D24E61">
      <w:pPr>
        <w:spacing w:line="293" w:lineRule="exact"/>
        <w:rPr>
          <w:sz w:val="20"/>
          <w:szCs w:val="20"/>
        </w:rPr>
      </w:pPr>
    </w:p>
    <w:p w:rsidR="00D24E61" w:rsidRPr="00771368" w:rsidRDefault="00D24E61">
      <w:pPr>
        <w:spacing w:line="349" w:lineRule="auto"/>
        <w:ind w:firstLine="850"/>
        <w:jc w:val="both"/>
        <w:rPr>
          <w:sz w:val="20"/>
          <w:szCs w:val="20"/>
        </w:rPr>
      </w:pPr>
      <w:r w:rsidRPr="00771368">
        <w:rPr>
          <w:sz w:val="24"/>
          <w:szCs w:val="24"/>
        </w:rPr>
        <w:t>Apreendemos que todos os sujeitos envolvidos na relação equitativa de gêneros, mulher-homem-enfermeiro sofrem a ação recíproca das ações impostas pela sociedade, o que segundo a teoria estudada, nos permite dizer que para construção de novos conceitos idealizados no igualitarismo ambos, mulher e homem ganham, pois são partícipe e constituinte do processo transformador universal, o qual nos posiciona nos aspectos de seres sociais em constante transformação de ideias progressistas</w:t>
      </w:r>
      <w:r w:rsidRPr="00771368">
        <w:rPr>
          <w:rFonts w:eastAsia="Verdana"/>
          <w:sz w:val="20"/>
          <w:szCs w:val="20"/>
        </w:rPr>
        <w:t>.</w:t>
      </w:r>
    </w:p>
    <w:p w:rsidR="00D24E61" w:rsidRPr="00771368" w:rsidRDefault="00D24E61">
      <w:pPr>
        <w:spacing w:line="63" w:lineRule="exact"/>
        <w:rPr>
          <w:sz w:val="20"/>
          <w:szCs w:val="20"/>
        </w:rPr>
      </w:pPr>
    </w:p>
    <w:p w:rsidR="00D24E61" w:rsidRPr="00771368" w:rsidRDefault="00D24E61">
      <w:pPr>
        <w:spacing w:line="233" w:lineRule="auto"/>
        <w:ind w:left="2260"/>
        <w:jc w:val="both"/>
        <w:rPr>
          <w:sz w:val="20"/>
          <w:szCs w:val="20"/>
        </w:rPr>
      </w:pPr>
      <w:r w:rsidRPr="00771368">
        <w:rPr>
          <w:sz w:val="20"/>
          <w:szCs w:val="20"/>
        </w:rPr>
        <w:t>A sensualidade ou sexualidade que a mídia cria e divulga constitui-se um mecanismo social, político e econômico para controlar o comportamento social e sexual da mulher. Este controle, além das intenções capitalistas de lucratividade, presta-se a manutenção da opressão de gênero. O que a mídia fabrica e dramatiza não só reforça esta construção artificial social, mas oferece permissão para mais perda de valores e identidade (SILVA, 2006 e COELHO, 2003 apud FRANÇA e BAPTISTA, 2007, p. 3).</w:t>
      </w:r>
    </w:p>
    <w:p w:rsidR="00D24E61" w:rsidRPr="00771368" w:rsidRDefault="00D24E61">
      <w:pPr>
        <w:spacing w:line="336" w:lineRule="exact"/>
        <w:rPr>
          <w:sz w:val="20"/>
          <w:szCs w:val="20"/>
        </w:rPr>
      </w:pPr>
    </w:p>
    <w:p w:rsidR="00D24E61" w:rsidRPr="00771368" w:rsidRDefault="00D24E61">
      <w:pPr>
        <w:spacing w:line="333" w:lineRule="auto"/>
        <w:ind w:right="20" w:firstLine="850"/>
        <w:jc w:val="both"/>
        <w:rPr>
          <w:sz w:val="20"/>
          <w:szCs w:val="20"/>
        </w:rPr>
      </w:pPr>
      <w:r w:rsidRPr="00771368">
        <w:rPr>
          <w:sz w:val="24"/>
          <w:szCs w:val="24"/>
        </w:rPr>
        <w:t>Em consonância com as autoras percebemos que a mulher não foi dominada somente pelos homens, mas também domesticada pela sociedade, na qual a mesma se perdeu em sua história e autonomia sobre seu corpo.</w:t>
      </w:r>
    </w:p>
    <w:p w:rsidR="00D24E61" w:rsidRPr="00771368" w:rsidRDefault="00D24E61">
      <w:pPr>
        <w:spacing w:line="94" w:lineRule="exact"/>
        <w:rPr>
          <w:sz w:val="20"/>
          <w:szCs w:val="20"/>
        </w:rPr>
      </w:pPr>
    </w:p>
    <w:p w:rsidR="00D24E61" w:rsidRPr="00771368" w:rsidRDefault="00D24E61">
      <w:pPr>
        <w:spacing w:line="342" w:lineRule="auto"/>
        <w:ind w:right="20" w:firstLine="850"/>
        <w:jc w:val="both"/>
        <w:rPr>
          <w:sz w:val="20"/>
          <w:szCs w:val="20"/>
        </w:rPr>
      </w:pPr>
      <w:r w:rsidRPr="00771368">
        <w:rPr>
          <w:sz w:val="24"/>
          <w:szCs w:val="24"/>
        </w:rPr>
        <w:t>Dessa forma concordamos com a historiadora Joan Scott (1990) quando se refere ao processo de construção social “Essa interpretação implica também que o sujeito se encontra num processo constante de construção e oferece um meio sistemático de interpretar o desejo consciente e inconsciente, referindo-se à linguagem como um lugar adequado para a análise”</w:t>
      </w:r>
    </w:p>
    <w:p w:rsidR="00D24E61" w:rsidRPr="00771368" w:rsidRDefault="00D24E61">
      <w:pPr>
        <w:spacing w:line="83" w:lineRule="exact"/>
        <w:rPr>
          <w:sz w:val="20"/>
          <w:szCs w:val="20"/>
        </w:rPr>
      </w:pPr>
    </w:p>
    <w:p w:rsidR="00D24E61" w:rsidRPr="00771368" w:rsidRDefault="00D24E61">
      <w:pPr>
        <w:spacing w:line="308" w:lineRule="auto"/>
        <w:ind w:left="700" w:right="6340" w:hanging="710"/>
        <w:rPr>
          <w:sz w:val="20"/>
          <w:szCs w:val="20"/>
        </w:rPr>
      </w:pPr>
      <w:r w:rsidRPr="00771368">
        <w:rPr>
          <w:sz w:val="24"/>
          <w:szCs w:val="24"/>
        </w:rPr>
        <w:t>(JOAN SCOTT, 1990, p. 8). Citamos assim:</w:t>
      </w:r>
    </w:p>
    <w:p w:rsidR="00D24E61" w:rsidRPr="00771368" w:rsidRDefault="00D24E61">
      <w:pPr>
        <w:sectPr w:rsidR="00D24E61" w:rsidRPr="00771368">
          <w:pgSz w:w="11900" w:h="16838"/>
          <w:pgMar w:top="702" w:right="1400" w:bottom="1440" w:left="1420" w:header="0" w:footer="0" w:gutter="0"/>
          <w:cols w:space="720" w:equalWidth="0">
            <w:col w:w="9080"/>
          </w:cols>
        </w:sectPr>
      </w:pPr>
    </w:p>
    <w:p w:rsidR="00D24E61" w:rsidRPr="00771368" w:rsidRDefault="00D24E61">
      <w:pPr>
        <w:spacing w:line="239" w:lineRule="auto"/>
        <w:jc w:val="right"/>
        <w:rPr>
          <w:sz w:val="20"/>
          <w:szCs w:val="20"/>
        </w:rPr>
      </w:pPr>
      <w:r w:rsidRPr="00771368">
        <w:rPr>
          <w:rFonts w:eastAsia="Calibri"/>
        </w:rPr>
        <w:t>14</w:t>
      </w:r>
    </w:p>
    <w:p w:rsidR="00D24E61" w:rsidRPr="00771368" w:rsidRDefault="00D24E61">
      <w:pPr>
        <w:spacing w:line="200" w:lineRule="exact"/>
        <w:rPr>
          <w:sz w:val="20"/>
          <w:szCs w:val="20"/>
        </w:rPr>
      </w:pPr>
    </w:p>
    <w:p w:rsidR="00D24E61" w:rsidRPr="00771368" w:rsidRDefault="00D24E61">
      <w:pPr>
        <w:spacing w:line="283" w:lineRule="exact"/>
        <w:rPr>
          <w:sz w:val="20"/>
          <w:szCs w:val="20"/>
        </w:rPr>
      </w:pPr>
    </w:p>
    <w:p w:rsidR="00D24E61" w:rsidRPr="00771368" w:rsidRDefault="00D24E61">
      <w:pPr>
        <w:spacing w:line="234" w:lineRule="auto"/>
        <w:ind w:left="2260" w:right="20"/>
        <w:jc w:val="both"/>
        <w:rPr>
          <w:sz w:val="20"/>
          <w:szCs w:val="20"/>
        </w:rPr>
      </w:pPr>
      <w:r w:rsidRPr="00771368">
        <w:rPr>
          <w:sz w:val="20"/>
          <w:szCs w:val="20"/>
        </w:rPr>
        <w:t>No seu uso descritivo o “gênero” é, portanto um conceito associado ao estudo das coisas relativas às mulheres. O “gênero” é um novo tema, novo campo de pesquisas históricas, mas ele não tem a força de análise suficiente para interrogar (e mudar) os paradigmas históricos existentes. “Gênero”, como substituto de “mulheres”, é igualmente utilizado para sugerir que a informação a respeito das mulheres é necessariamente informação sobre os homens, que um implica no estudo do outro. Este uso insiste na idéia de que o mundo das mulheres faz parte do mundo dos homens, que ele é criado dentro e por esse mundo (SCOTT, 1990, p. 7).</w:t>
      </w:r>
    </w:p>
    <w:p w:rsidR="00D24E61" w:rsidRPr="00771368" w:rsidRDefault="00D24E61">
      <w:pPr>
        <w:spacing w:line="292" w:lineRule="exact"/>
        <w:rPr>
          <w:sz w:val="20"/>
          <w:szCs w:val="20"/>
        </w:rPr>
      </w:pPr>
    </w:p>
    <w:p w:rsidR="00D24E61" w:rsidRPr="00771368" w:rsidRDefault="00D24E61">
      <w:pPr>
        <w:spacing w:line="347" w:lineRule="auto"/>
        <w:ind w:right="20" w:firstLine="850"/>
        <w:jc w:val="both"/>
        <w:rPr>
          <w:sz w:val="20"/>
          <w:szCs w:val="20"/>
        </w:rPr>
      </w:pPr>
      <w:r w:rsidRPr="00771368">
        <w:rPr>
          <w:sz w:val="24"/>
          <w:szCs w:val="24"/>
        </w:rPr>
        <w:t>Analisamos que muitas vezes o uso da palavra Gênero remete somente o estudo da mulher interdependente da existência masculina, ou seja, para se estudar a mulher devemos estudar e relaciona-la aos aspectos existenciais, ideológicos e patriarcais dos homens. Assim, esse conceito errôneo rejeita a ideia de interpretar e refletir a mulher em esferas separadas, pois o sexo feminino tem muito pouco ou nada inerente ao masculino.</w:t>
      </w:r>
    </w:p>
    <w:p w:rsidR="00D24E61" w:rsidRPr="00771368" w:rsidRDefault="00D24E61">
      <w:pPr>
        <w:spacing w:line="74" w:lineRule="exact"/>
        <w:rPr>
          <w:sz w:val="20"/>
          <w:szCs w:val="20"/>
        </w:rPr>
      </w:pPr>
    </w:p>
    <w:p w:rsidR="00D24E61" w:rsidRPr="00771368" w:rsidRDefault="00D24E61">
      <w:pPr>
        <w:spacing w:line="347" w:lineRule="auto"/>
        <w:ind w:right="20" w:firstLine="850"/>
        <w:jc w:val="both"/>
        <w:rPr>
          <w:sz w:val="20"/>
          <w:szCs w:val="20"/>
        </w:rPr>
      </w:pPr>
      <w:r w:rsidRPr="00771368">
        <w:rPr>
          <w:sz w:val="24"/>
          <w:szCs w:val="24"/>
        </w:rPr>
        <w:t>Acreditamos que da mesma maneira em que as barreiras foram criadas pela sociedade concernente a visão da mulher apenas para “reproduzir”, podemos afirmar que essas mesmas barreiras podem e devem ser desconstruídas pela mesma sociedade que as criou, onde o enfermeiro (a) se posicionará nos aspectos equitativos na linha de cuidados em saúde da mulher.</w:t>
      </w:r>
    </w:p>
    <w:p w:rsidR="00D24E61" w:rsidRPr="00771368" w:rsidRDefault="00D24E61">
      <w:pPr>
        <w:spacing w:line="300" w:lineRule="exact"/>
        <w:rPr>
          <w:sz w:val="20"/>
          <w:szCs w:val="20"/>
        </w:rPr>
      </w:pPr>
    </w:p>
    <w:p w:rsidR="00D24E61" w:rsidRPr="00771368" w:rsidRDefault="00D24E61">
      <w:pPr>
        <w:rPr>
          <w:sz w:val="20"/>
          <w:szCs w:val="20"/>
        </w:rPr>
      </w:pPr>
      <w:r w:rsidRPr="00771368">
        <w:rPr>
          <w:b/>
          <w:bCs/>
          <w:sz w:val="24"/>
          <w:szCs w:val="24"/>
        </w:rPr>
        <w:t>5. CONSIDERAÇÕES FINAIS</w:t>
      </w:r>
    </w:p>
    <w:p w:rsidR="00D24E61" w:rsidRPr="00771368" w:rsidRDefault="00D24E61">
      <w:pPr>
        <w:spacing w:line="329" w:lineRule="exact"/>
        <w:rPr>
          <w:sz w:val="20"/>
          <w:szCs w:val="20"/>
        </w:rPr>
      </w:pPr>
    </w:p>
    <w:p w:rsidR="00D24E61" w:rsidRPr="00771368" w:rsidRDefault="00D24E61">
      <w:pPr>
        <w:spacing w:line="349" w:lineRule="auto"/>
        <w:ind w:firstLine="706"/>
        <w:jc w:val="both"/>
        <w:rPr>
          <w:sz w:val="20"/>
          <w:szCs w:val="20"/>
        </w:rPr>
      </w:pPr>
      <w:r w:rsidRPr="00771368">
        <w:rPr>
          <w:sz w:val="24"/>
          <w:szCs w:val="24"/>
        </w:rPr>
        <w:t>Acredita-se que muitas são as barreiras a serem rescindidas no que tange a igualdade de gêneros, pois devido à constituição histórica desse fator o atendimento à saúde da mulher ainda será permeado de associações indiferentes da imagem masculina. Colocamos o enfermeiro (a) neste eixo como o principal mediador deste paradigma, pois nesse contexto, as ações não são tendenciosas a supervalorização da mulher e inferiorização dos homens, pois dessa maneira nunca atingiremos de fato a equidade de gêneros.</w:t>
      </w:r>
    </w:p>
    <w:p w:rsidR="00D24E61" w:rsidRPr="00771368" w:rsidRDefault="00D24E61">
      <w:pPr>
        <w:spacing w:line="74" w:lineRule="exact"/>
        <w:rPr>
          <w:sz w:val="20"/>
          <w:szCs w:val="20"/>
        </w:rPr>
      </w:pPr>
    </w:p>
    <w:p w:rsidR="00D24E61" w:rsidRPr="00771368" w:rsidRDefault="00D24E61">
      <w:pPr>
        <w:spacing w:line="343" w:lineRule="auto"/>
        <w:ind w:right="20" w:firstLine="850"/>
        <w:jc w:val="both"/>
        <w:rPr>
          <w:sz w:val="20"/>
          <w:szCs w:val="20"/>
        </w:rPr>
      </w:pPr>
      <w:r w:rsidRPr="00771368">
        <w:rPr>
          <w:sz w:val="24"/>
          <w:szCs w:val="24"/>
        </w:rPr>
        <w:t>As barreiras não são encontradas apenas no contexto social, mas incluímos a cientificidade, pois notamos a insipiência de publicações relacionadas às questões de gêneros na saúde, especificamente aquelas que envolvam o enfermeiro na linha de cuidados à saúde da mulher em seu aspecto de gênero.</w:t>
      </w:r>
    </w:p>
    <w:p w:rsidR="00D24E61" w:rsidRPr="00771368" w:rsidRDefault="00D24E61">
      <w:pPr>
        <w:spacing w:line="79" w:lineRule="exact"/>
        <w:rPr>
          <w:sz w:val="20"/>
          <w:szCs w:val="20"/>
        </w:rPr>
      </w:pPr>
    </w:p>
    <w:p w:rsidR="00D24E61" w:rsidRPr="00771368" w:rsidRDefault="00D24E61">
      <w:pPr>
        <w:spacing w:line="349" w:lineRule="auto"/>
        <w:ind w:right="20" w:firstLine="850"/>
        <w:jc w:val="both"/>
        <w:rPr>
          <w:sz w:val="20"/>
          <w:szCs w:val="20"/>
        </w:rPr>
      </w:pPr>
      <w:r w:rsidRPr="00771368">
        <w:rPr>
          <w:sz w:val="24"/>
          <w:szCs w:val="24"/>
        </w:rPr>
        <w:t>Enfatizamos tratar homens e mulheres em todas as suas nuances bio-psico-social, mesmo obtendo o conhecimento de que as relações de gênero foram fundadas e categorizadas pela ordem social, o que as torna potencialmente inalteradas. Entretanto, as Redes de Atenção à Saúde precisam ser reconstruídas junto com a sociedade, para que os objetivos sociais e profissionais possam ser alçados e aí sim, mulheres e homens serão tratados em suas especificidades biológicas, mas não sociais.</w:t>
      </w:r>
    </w:p>
    <w:p w:rsidR="00D24E61" w:rsidRPr="00771368" w:rsidRDefault="00D24E61">
      <w:pPr>
        <w:sectPr w:rsidR="00D24E61" w:rsidRPr="00771368">
          <w:pgSz w:w="11900" w:h="16838"/>
          <w:pgMar w:top="702" w:right="1400" w:bottom="1440" w:left="1420" w:header="0" w:footer="0" w:gutter="0"/>
          <w:cols w:space="720" w:equalWidth="0">
            <w:col w:w="9080"/>
          </w:cols>
        </w:sectPr>
      </w:pPr>
    </w:p>
    <w:p w:rsidR="00D24E61" w:rsidRPr="00771368" w:rsidRDefault="00D24E61">
      <w:pPr>
        <w:spacing w:line="239" w:lineRule="auto"/>
        <w:jc w:val="right"/>
        <w:rPr>
          <w:sz w:val="20"/>
          <w:szCs w:val="20"/>
        </w:rPr>
      </w:pPr>
      <w:r w:rsidRPr="00771368">
        <w:rPr>
          <w:rFonts w:eastAsia="Calibri"/>
        </w:rPr>
        <w:t>15</w:t>
      </w:r>
    </w:p>
    <w:p w:rsidR="00D24E61" w:rsidRPr="00771368" w:rsidRDefault="00D24E61">
      <w:pPr>
        <w:spacing w:line="200" w:lineRule="exact"/>
        <w:rPr>
          <w:sz w:val="20"/>
          <w:szCs w:val="20"/>
        </w:rPr>
      </w:pPr>
    </w:p>
    <w:p w:rsidR="00D24E61" w:rsidRPr="00771368" w:rsidRDefault="00D24E61">
      <w:pPr>
        <w:spacing w:line="241" w:lineRule="exact"/>
        <w:rPr>
          <w:sz w:val="20"/>
          <w:szCs w:val="20"/>
        </w:rPr>
      </w:pPr>
    </w:p>
    <w:p w:rsidR="00D24E61" w:rsidRPr="00771368" w:rsidRDefault="00D24E61">
      <w:pPr>
        <w:rPr>
          <w:sz w:val="20"/>
          <w:szCs w:val="20"/>
        </w:rPr>
      </w:pPr>
      <w:r w:rsidRPr="00771368">
        <w:rPr>
          <w:b/>
          <w:bCs/>
          <w:sz w:val="24"/>
          <w:szCs w:val="24"/>
        </w:rPr>
        <w:t>REFERÊNCIAS</w:t>
      </w:r>
    </w:p>
    <w:p w:rsidR="00D24E61" w:rsidRPr="00771368" w:rsidRDefault="00D24E61">
      <w:pPr>
        <w:spacing w:line="329" w:lineRule="exact"/>
        <w:rPr>
          <w:sz w:val="20"/>
          <w:szCs w:val="20"/>
        </w:rPr>
      </w:pPr>
    </w:p>
    <w:p w:rsidR="00D24E61" w:rsidRPr="00771368" w:rsidRDefault="00D24E61">
      <w:pPr>
        <w:spacing w:line="223" w:lineRule="auto"/>
        <w:ind w:right="200"/>
        <w:jc w:val="both"/>
        <w:rPr>
          <w:sz w:val="24"/>
          <w:szCs w:val="24"/>
        </w:rPr>
      </w:pPr>
      <w:r w:rsidRPr="00771368">
        <w:rPr>
          <w:sz w:val="24"/>
          <w:szCs w:val="24"/>
        </w:rPr>
        <w:t xml:space="preserve">AQUINO, Estela L. M. Gênero e Saúde: perfil e tendências da produção científica no Brasil. </w:t>
      </w:r>
      <w:r w:rsidRPr="00771368">
        <w:rPr>
          <w:b/>
          <w:bCs/>
          <w:sz w:val="24"/>
          <w:szCs w:val="24"/>
        </w:rPr>
        <w:t xml:space="preserve">REVISTA DE SAÚDE PÚBLICA. </w:t>
      </w:r>
      <w:r w:rsidRPr="00771368">
        <w:rPr>
          <w:sz w:val="24"/>
          <w:szCs w:val="24"/>
        </w:rPr>
        <w:t>Bahia/Salvador. Vol. 40. Nº. Esp., p. 1-12. Disponível</w:t>
      </w:r>
      <w:r w:rsidRPr="00771368">
        <w:rPr>
          <w:b/>
          <w:bCs/>
          <w:sz w:val="24"/>
          <w:szCs w:val="24"/>
        </w:rPr>
        <w:t xml:space="preserve"> </w:t>
      </w:r>
      <w:r w:rsidRPr="00771368">
        <w:rPr>
          <w:sz w:val="24"/>
          <w:szCs w:val="24"/>
        </w:rPr>
        <w:t>em</w:t>
      </w:r>
      <w:r w:rsidRPr="00771368">
        <w:rPr>
          <w:color w:val="0070C0"/>
          <w:sz w:val="24"/>
          <w:szCs w:val="24"/>
        </w:rPr>
        <w:t>: &lt;</w:t>
      </w:r>
      <w:hyperlink r:id="rId53">
        <w:r w:rsidRPr="00771368">
          <w:rPr>
            <w:color w:val="0070C0"/>
            <w:sz w:val="24"/>
            <w:szCs w:val="24"/>
            <w:u w:val="single"/>
          </w:rPr>
          <w:t>www.scielo.br/pdf/rsp/v40nspe/30631.pdf</w:t>
        </w:r>
      </w:hyperlink>
      <w:r w:rsidRPr="00771368">
        <w:rPr>
          <w:i/>
          <w:iCs/>
          <w:color w:val="0070C0"/>
          <w:sz w:val="24"/>
          <w:szCs w:val="24"/>
        </w:rPr>
        <w:t>&gt;.</w:t>
      </w:r>
      <w:r w:rsidRPr="00771368">
        <w:rPr>
          <w:sz w:val="24"/>
          <w:szCs w:val="24"/>
        </w:rPr>
        <w:t xml:space="preserve"> Acesso em</w:t>
      </w:r>
      <w:r w:rsidRPr="00771368">
        <w:rPr>
          <w:color w:val="0070C0"/>
          <w:sz w:val="24"/>
          <w:szCs w:val="24"/>
        </w:rPr>
        <w:t>: 22 jun. 2012.</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4" w:lineRule="exact"/>
        <w:rPr>
          <w:sz w:val="20"/>
          <w:szCs w:val="20"/>
        </w:rPr>
      </w:pPr>
    </w:p>
    <w:p w:rsidR="00D24E61" w:rsidRPr="00771368" w:rsidRDefault="00D24E61">
      <w:pPr>
        <w:spacing w:line="229" w:lineRule="auto"/>
        <w:ind w:right="40"/>
        <w:rPr>
          <w:sz w:val="24"/>
          <w:szCs w:val="24"/>
        </w:rPr>
      </w:pPr>
      <w:r w:rsidRPr="00771368">
        <w:rPr>
          <w:sz w:val="24"/>
          <w:szCs w:val="24"/>
        </w:rPr>
        <w:t xml:space="preserve">ARAÚJO, Carla Cristina França, PONTES, Juliana Leão, PONTES, Taciana Leão. Potencialidades e fragilidades da rede de atenção à saúde da mulher no município de Surubim. </w:t>
      </w:r>
      <w:r w:rsidRPr="00771368">
        <w:rPr>
          <w:b/>
          <w:bCs/>
          <w:sz w:val="24"/>
          <w:szCs w:val="24"/>
        </w:rPr>
        <w:t>J MANAG. PRIM HEALTH CARE.</w:t>
      </w:r>
      <w:r w:rsidRPr="00771368">
        <w:rPr>
          <w:sz w:val="24"/>
          <w:szCs w:val="24"/>
        </w:rPr>
        <w:t xml:space="preserve"> Pernambuco. Vol. 2. Nº. 2, p. 24-29. Disponível em: </w:t>
      </w:r>
      <w:r w:rsidRPr="00771368">
        <w:rPr>
          <w:color w:val="0070C0"/>
          <w:sz w:val="24"/>
          <w:szCs w:val="24"/>
        </w:rPr>
        <w:t>&lt;</w:t>
      </w:r>
      <w:r w:rsidRPr="00771368">
        <w:rPr>
          <w:sz w:val="24"/>
          <w:szCs w:val="24"/>
        </w:rPr>
        <w:t xml:space="preserve"> </w:t>
      </w:r>
      <w:hyperlink r:id="rId54">
        <w:r w:rsidRPr="00771368">
          <w:rPr>
            <w:color w:val="0070C0"/>
            <w:sz w:val="24"/>
            <w:szCs w:val="24"/>
            <w:u w:val="single"/>
          </w:rPr>
          <w:t>www.jmphc.com/ojs/index.php/01/article/download/27/25</w:t>
        </w:r>
      </w:hyperlink>
      <w:r w:rsidRPr="00771368">
        <w:rPr>
          <w:i/>
          <w:iCs/>
          <w:color w:val="0070C0"/>
          <w:sz w:val="24"/>
          <w:szCs w:val="24"/>
        </w:rPr>
        <w:t>&gt;</w:t>
      </w:r>
      <w:r w:rsidRPr="00771368">
        <w:rPr>
          <w:i/>
          <w:iCs/>
          <w:color w:val="222222"/>
          <w:sz w:val="24"/>
          <w:szCs w:val="24"/>
        </w:rPr>
        <w:t>.</w:t>
      </w:r>
      <w:r w:rsidRPr="00771368">
        <w:rPr>
          <w:sz w:val="24"/>
          <w:szCs w:val="24"/>
        </w:rPr>
        <w:t xml:space="preserve"> </w:t>
      </w:r>
      <w:r w:rsidRPr="00771368">
        <w:rPr>
          <w:color w:val="222222"/>
          <w:sz w:val="24"/>
          <w:szCs w:val="24"/>
        </w:rPr>
        <w:t>Acesso em:</w:t>
      </w:r>
      <w:r w:rsidRPr="00771368">
        <w:rPr>
          <w:sz w:val="24"/>
          <w:szCs w:val="24"/>
        </w:rPr>
        <w:t xml:space="preserve"> </w:t>
      </w:r>
      <w:r w:rsidRPr="00771368">
        <w:rPr>
          <w:color w:val="0070C0"/>
          <w:sz w:val="24"/>
          <w:szCs w:val="24"/>
        </w:rPr>
        <w:t>22</w:t>
      </w:r>
      <w:r w:rsidRPr="00771368">
        <w:rPr>
          <w:sz w:val="24"/>
          <w:szCs w:val="24"/>
        </w:rPr>
        <w:t xml:space="preserve"> </w:t>
      </w:r>
      <w:r w:rsidRPr="00771368">
        <w:rPr>
          <w:color w:val="0070C0"/>
          <w:sz w:val="24"/>
          <w:szCs w:val="24"/>
        </w:rPr>
        <w:t>de mai. 2012</w:t>
      </w:r>
      <w:r w:rsidRPr="00771368">
        <w:rPr>
          <w:color w:val="222222"/>
          <w:sz w:val="24"/>
          <w:szCs w:val="24"/>
        </w:rPr>
        <w:t>.</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3" w:lineRule="exact"/>
        <w:rPr>
          <w:sz w:val="20"/>
          <w:szCs w:val="20"/>
        </w:rPr>
      </w:pPr>
    </w:p>
    <w:p w:rsidR="00D24E61" w:rsidRPr="00771368" w:rsidRDefault="00D24E61">
      <w:pPr>
        <w:spacing w:line="237" w:lineRule="auto"/>
        <w:ind w:right="240"/>
        <w:rPr>
          <w:sz w:val="23"/>
          <w:szCs w:val="23"/>
        </w:rPr>
      </w:pPr>
      <w:r w:rsidRPr="00771368">
        <w:rPr>
          <w:sz w:val="23"/>
          <w:szCs w:val="23"/>
        </w:rPr>
        <w:t xml:space="preserve">BRASIL. Constituição da República Federativa do Brasil, de 5 de outubro de 1988. Dispõe sobre a seguridade dos exercícios e direitos sociais e individuais. Brasília, DF, 5 de out. de 1988. p. 1. Disponível em: </w:t>
      </w:r>
      <w:r w:rsidRPr="00771368">
        <w:rPr>
          <w:color w:val="0070C0"/>
          <w:sz w:val="23"/>
          <w:szCs w:val="23"/>
        </w:rPr>
        <w:t>&lt;</w:t>
      </w:r>
      <w:hyperlink r:id="rId55">
        <w:r w:rsidRPr="00771368">
          <w:rPr>
            <w:color w:val="0000FF"/>
            <w:sz w:val="23"/>
            <w:szCs w:val="23"/>
            <w:u w:val="single"/>
          </w:rPr>
          <w:t>www.planalto.gov.br/ccivil_03/constituicao/constituiçao.htm</w:t>
        </w:r>
      </w:hyperlink>
      <w:r w:rsidRPr="00771368">
        <w:rPr>
          <w:i/>
          <w:iCs/>
          <w:color w:val="0070C0"/>
          <w:sz w:val="23"/>
          <w:szCs w:val="23"/>
        </w:rPr>
        <w:t>&gt;</w:t>
      </w:r>
      <w:r w:rsidRPr="00771368">
        <w:rPr>
          <w:i/>
          <w:iCs/>
          <w:color w:val="222222"/>
          <w:sz w:val="23"/>
          <w:szCs w:val="23"/>
        </w:rPr>
        <w:t>.</w:t>
      </w:r>
      <w:r w:rsidRPr="00771368">
        <w:rPr>
          <w:sz w:val="23"/>
          <w:szCs w:val="23"/>
        </w:rPr>
        <w:t xml:space="preserve"> </w:t>
      </w:r>
      <w:r w:rsidRPr="00771368">
        <w:rPr>
          <w:color w:val="222222"/>
          <w:sz w:val="23"/>
          <w:szCs w:val="23"/>
        </w:rPr>
        <w:t xml:space="preserve">Acesso em: </w:t>
      </w:r>
      <w:r w:rsidRPr="00771368">
        <w:rPr>
          <w:color w:val="0070C0"/>
          <w:sz w:val="23"/>
          <w:szCs w:val="23"/>
        </w:rPr>
        <w:t>25 de mai. 2012</w:t>
      </w:r>
      <w:r w:rsidRPr="00771368">
        <w:rPr>
          <w:color w:val="222222"/>
          <w:sz w:val="23"/>
          <w:szCs w:val="23"/>
        </w:rPr>
        <w:t>.</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2" w:lineRule="exact"/>
        <w:rPr>
          <w:sz w:val="20"/>
          <w:szCs w:val="20"/>
        </w:rPr>
      </w:pPr>
    </w:p>
    <w:p w:rsidR="00D24E61" w:rsidRPr="00771368" w:rsidRDefault="00D24E61">
      <w:pPr>
        <w:spacing w:line="223" w:lineRule="auto"/>
        <w:ind w:right="20"/>
        <w:rPr>
          <w:color w:val="0070C0"/>
          <w:sz w:val="24"/>
          <w:szCs w:val="24"/>
        </w:rPr>
      </w:pPr>
      <w:r w:rsidRPr="00771368">
        <w:rPr>
          <w:sz w:val="24"/>
          <w:szCs w:val="24"/>
        </w:rPr>
        <w:t xml:space="preserve">_______, MINISTÉRIO DA SAÚDE. </w:t>
      </w:r>
      <w:r w:rsidRPr="00771368">
        <w:rPr>
          <w:b/>
          <w:bCs/>
          <w:sz w:val="24"/>
          <w:szCs w:val="24"/>
        </w:rPr>
        <w:t>Parto, Aborto e Puerpério: Assistência Humanizada</w:t>
      </w:r>
      <w:r w:rsidRPr="00771368">
        <w:rPr>
          <w:sz w:val="24"/>
          <w:szCs w:val="24"/>
        </w:rPr>
        <w:t xml:space="preserve"> </w:t>
      </w:r>
      <w:r w:rsidRPr="00771368">
        <w:rPr>
          <w:b/>
          <w:bCs/>
          <w:sz w:val="24"/>
          <w:szCs w:val="24"/>
        </w:rPr>
        <w:t xml:space="preserve">à Mulher. </w:t>
      </w:r>
      <w:r w:rsidRPr="00771368">
        <w:rPr>
          <w:sz w:val="24"/>
          <w:szCs w:val="24"/>
        </w:rPr>
        <w:t>Brasília: DF, 2001. p. 1-202. Disponível em:</w:t>
      </w:r>
      <w:r w:rsidRPr="00771368">
        <w:rPr>
          <w:b/>
          <w:bCs/>
          <w:sz w:val="24"/>
          <w:szCs w:val="24"/>
        </w:rPr>
        <w:t xml:space="preserve"> </w:t>
      </w:r>
      <w:r w:rsidRPr="00771368">
        <w:rPr>
          <w:color w:val="0070C0"/>
          <w:sz w:val="24"/>
          <w:szCs w:val="24"/>
        </w:rPr>
        <w:t>&lt;</w:t>
      </w:r>
      <w:hyperlink r:id="rId56">
        <w:r w:rsidRPr="00771368">
          <w:rPr>
            <w:color w:val="0000FF"/>
            <w:sz w:val="24"/>
            <w:szCs w:val="24"/>
            <w:u w:val="single"/>
          </w:rPr>
          <w:t>http://bvsms.saude.gov.br/bvs/publicacoes/cd04_13.pdf</w:t>
        </w:r>
      </w:hyperlink>
      <w:r w:rsidRPr="00771368">
        <w:rPr>
          <w:color w:val="0070C0"/>
          <w:sz w:val="24"/>
          <w:szCs w:val="24"/>
        </w:rPr>
        <w:t>&gt;</w:t>
      </w:r>
      <w:r w:rsidRPr="00771368">
        <w:rPr>
          <w:color w:val="000000"/>
          <w:sz w:val="24"/>
          <w:szCs w:val="24"/>
        </w:rPr>
        <w:t>. Acesso em:</w:t>
      </w:r>
      <w:r w:rsidRPr="00771368">
        <w:rPr>
          <w:color w:val="0070C0"/>
          <w:sz w:val="24"/>
          <w:szCs w:val="24"/>
        </w:rPr>
        <w:t xml:space="preserve"> 02 de jun. 2012</w:t>
      </w:r>
      <w:r w:rsidRPr="00771368">
        <w:rPr>
          <w:color w:val="000000"/>
          <w:sz w:val="24"/>
          <w:szCs w:val="24"/>
        </w:rPr>
        <w:t>.</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4" w:lineRule="exact"/>
        <w:rPr>
          <w:sz w:val="20"/>
          <w:szCs w:val="20"/>
        </w:rPr>
      </w:pPr>
    </w:p>
    <w:p w:rsidR="00D24E61" w:rsidRPr="00771368" w:rsidRDefault="00D24E61">
      <w:pPr>
        <w:spacing w:line="223" w:lineRule="auto"/>
        <w:ind w:right="340"/>
        <w:rPr>
          <w:sz w:val="20"/>
          <w:szCs w:val="20"/>
        </w:rPr>
      </w:pPr>
      <w:r w:rsidRPr="00771368">
        <w:rPr>
          <w:sz w:val="24"/>
          <w:szCs w:val="24"/>
        </w:rPr>
        <w:t xml:space="preserve">_______, MINISTÉRIO DA SAÚDE. </w:t>
      </w:r>
      <w:r w:rsidRPr="00771368">
        <w:rPr>
          <w:b/>
          <w:bCs/>
          <w:sz w:val="24"/>
          <w:szCs w:val="24"/>
        </w:rPr>
        <w:t>Política Nacional de Atenção Integral à Saúde da</w:t>
      </w:r>
      <w:r w:rsidRPr="00771368">
        <w:rPr>
          <w:sz w:val="24"/>
          <w:szCs w:val="24"/>
        </w:rPr>
        <w:t xml:space="preserve"> </w:t>
      </w:r>
      <w:r w:rsidRPr="00771368">
        <w:rPr>
          <w:b/>
          <w:bCs/>
          <w:sz w:val="24"/>
          <w:szCs w:val="24"/>
        </w:rPr>
        <w:t xml:space="preserve">Mulher: princípios e diretrizes- Série C. Projetos, Programas e Relatórios. </w:t>
      </w:r>
      <w:r w:rsidRPr="00771368">
        <w:rPr>
          <w:sz w:val="24"/>
          <w:szCs w:val="24"/>
        </w:rPr>
        <w:t>1ª ed. 2ª</w:t>
      </w:r>
      <w:r w:rsidRPr="00771368">
        <w:rPr>
          <w:b/>
          <w:bCs/>
          <w:sz w:val="24"/>
          <w:szCs w:val="24"/>
        </w:rPr>
        <w:t xml:space="preserve"> </w:t>
      </w:r>
      <w:r w:rsidRPr="00771368">
        <w:rPr>
          <w:sz w:val="24"/>
          <w:szCs w:val="24"/>
        </w:rPr>
        <w:t>reimp. Brasília: DF, 2009. p. 1-82. Disponível em:</w:t>
      </w:r>
    </w:p>
    <w:p w:rsidR="00D24E61" w:rsidRPr="00771368" w:rsidRDefault="00D24E61">
      <w:pPr>
        <w:spacing w:line="56" w:lineRule="exact"/>
        <w:rPr>
          <w:sz w:val="20"/>
          <w:szCs w:val="20"/>
        </w:rPr>
      </w:pPr>
    </w:p>
    <w:p w:rsidR="00D24E61" w:rsidRPr="00771368" w:rsidRDefault="00D24E61">
      <w:pPr>
        <w:spacing w:line="215" w:lineRule="auto"/>
        <w:ind w:right="80"/>
        <w:rPr>
          <w:color w:val="0070C0"/>
          <w:sz w:val="24"/>
          <w:szCs w:val="24"/>
        </w:rPr>
      </w:pPr>
      <w:r w:rsidRPr="00771368">
        <w:rPr>
          <w:color w:val="0070C0"/>
          <w:sz w:val="24"/>
          <w:szCs w:val="24"/>
        </w:rPr>
        <w:t xml:space="preserve">&lt; </w:t>
      </w:r>
      <w:hyperlink r:id="rId57">
        <w:r w:rsidRPr="00771368">
          <w:rPr>
            <w:color w:val="0000FF"/>
            <w:sz w:val="24"/>
            <w:szCs w:val="24"/>
            <w:u w:val="single"/>
          </w:rPr>
          <w:t>http://bvsms.saude.gov.br/bvs/publicacoes/politica_nac_atencao_mulher2.pdf</w:t>
        </w:r>
      </w:hyperlink>
      <w:r w:rsidRPr="00771368">
        <w:rPr>
          <w:color w:val="0070C0"/>
          <w:sz w:val="24"/>
          <w:szCs w:val="24"/>
        </w:rPr>
        <w:t>&gt;</w:t>
      </w:r>
      <w:r w:rsidRPr="00771368">
        <w:rPr>
          <w:color w:val="000000"/>
          <w:sz w:val="24"/>
          <w:szCs w:val="24"/>
        </w:rPr>
        <w:t>. Acesso em:</w:t>
      </w:r>
      <w:r w:rsidRPr="00771368">
        <w:rPr>
          <w:color w:val="0070C0"/>
          <w:sz w:val="24"/>
          <w:szCs w:val="24"/>
        </w:rPr>
        <w:t xml:space="preserve"> 05 de jun. 2012</w:t>
      </w:r>
      <w:r w:rsidRPr="00771368">
        <w:rPr>
          <w:color w:val="000000"/>
          <w:sz w:val="24"/>
          <w:szCs w:val="24"/>
        </w:rPr>
        <w:t>.</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0" w:lineRule="exact"/>
        <w:rPr>
          <w:sz w:val="20"/>
          <w:szCs w:val="20"/>
        </w:rPr>
      </w:pPr>
    </w:p>
    <w:p w:rsidR="00D24E61" w:rsidRPr="00771368" w:rsidRDefault="00D24E61">
      <w:pPr>
        <w:spacing w:line="227" w:lineRule="auto"/>
        <w:ind w:right="380"/>
        <w:rPr>
          <w:sz w:val="24"/>
          <w:szCs w:val="24"/>
        </w:rPr>
      </w:pPr>
      <w:r w:rsidRPr="00771368">
        <w:rPr>
          <w:sz w:val="24"/>
          <w:szCs w:val="24"/>
        </w:rPr>
        <w:t xml:space="preserve">COELHO, Ednéia de Almeida Cardoso. Gênero, Saúde e Enfermagem. </w:t>
      </w:r>
      <w:r w:rsidRPr="00771368">
        <w:rPr>
          <w:b/>
          <w:bCs/>
          <w:sz w:val="24"/>
          <w:szCs w:val="24"/>
        </w:rPr>
        <w:t>REVISTA</w:t>
      </w:r>
      <w:r w:rsidRPr="00771368">
        <w:rPr>
          <w:sz w:val="24"/>
          <w:szCs w:val="24"/>
        </w:rPr>
        <w:t xml:space="preserve"> </w:t>
      </w:r>
      <w:r w:rsidRPr="00771368">
        <w:rPr>
          <w:b/>
          <w:bCs/>
          <w:sz w:val="24"/>
          <w:szCs w:val="24"/>
        </w:rPr>
        <w:t xml:space="preserve">BRASILEIRA DE ENFERMAGEM. </w:t>
      </w:r>
      <w:r w:rsidRPr="00771368">
        <w:rPr>
          <w:sz w:val="24"/>
          <w:szCs w:val="24"/>
        </w:rPr>
        <w:t>Bahia/Salvador, vol. 58, nº. 3, p. 345-348, 2005.</w:t>
      </w:r>
      <w:r w:rsidRPr="00771368">
        <w:rPr>
          <w:b/>
          <w:bCs/>
          <w:sz w:val="24"/>
          <w:szCs w:val="24"/>
        </w:rPr>
        <w:t xml:space="preserve"> </w:t>
      </w:r>
      <w:r w:rsidRPr="00771368">
        <w:rPr>
          <w:sz w:val="24"/>
          <w:szCs w:val="24"/>
        </w:rPr>
        <w:t xml:space="preserve">Disponível em: </w:t>
      </w:r>
      <w:r w:rsidRPr="00771368">
        <w:rPr>
          <w:color w:val="0070C0"/>
          <w:sz w:val="24"/>
          <w:szCs w:val="24"/>
        </w:rPr>
        <w:t>&lt;</w:t>
      </w:r>
      <w:r w:rsidRPr="00771368">
        <w:rPr>
          <w:sz w:val="24"/>
          <w:szCs w:val="24"/>
        </w:rPr>
        <w:t xml:space="preserve"> </w:t>
      </w:r>
      <w:hyperlink r:id="rId58">
        <w:r w:rsidRPr="00771368">
          <w:rPr>
            <w:color w:val="0000FF"/>
            <w:sz w:val="24"/>
            <w:szCs w:val="24"/>
            <w:u w:val="single"/>
          </w:rPr>
          <w:t>http://www.scielo.br/pdf/reben/v58n3/a18v58n3.pdf</w:t>
        </w:r>
      </w:hyperlink>
      <w:r w:rsidRPr="00771368">
        <w:rPr>
          <w:color w:val="0070C0"/>
          <w:sz w:val="24"/>
          <w:szCs w:val="24"/>
        </w:rPr>
        <w:t>&gt;</w:t>
      </w:r>
      <w:r w:rsidRPr="00771368">
        <w:rPr>
          <w:sz w:val="24"/>
          <w:szCs w:val="24"/>
        </w:rPr>
        <w:t xml:space="preserve">. Acesso em: </w:t>
      </w:r>
      <w:r w:rsidRPr="00771368">
        <w:rPr>
          <w:color w:val="0070C0"/>
          <w:sz w:val="24"/>
          <w:szCs w:val="24"/>
        </w:rPr>
        <w:t>10 de</w:t>
      </w:r>
      <w:r w:rsidRPr="00771368">
        <w:rPr>
          <w:sz w:val="24"/>
          <w:szCs w:val="24"/>
        </w:rPr>
        <w:t xml:space="preserve"> </w:t>
      </w:r>
      <w:r w:rsidRPr="00771368">
        <w:rPr>
          <w:color w:val="0070C0"/>
          <w:sz w:val="24"/>
          <w:szCs w:val="24"/>
        </w:rPr>
        <w:t>jun. 2012.</w:t>
      </w:r>
    </w:p>
    <w:p w:rsidR="00D24E61" w:rsidRPr="00771368" w:rsidRDefault="00D24E61">
      <w:pPr>
        <w:spacing w:line="200" w:lineRule="exact"/>
        <w:rPr>
          <w:sz w:val="20"/>
          <w:szCs w:val="20"/>
        </w:rPr>
      </w:pPr>
    </w:p>
    <w:p w:rsidR="00D24E61" w:rsidRPr="00771368" w:rsidRDefault="00D24E61">
      <w:pPr>
        <w:spacing w:line="354" w:lineRule="exact"/>
        <w:rPr>
          <w:sz w:val="20"/>
          <w:szCs w:val="20"/>
        </w:rPr>
      </w:pPr>
    </w:p>
    <w:p w:rsidR="00D24E61" w:rsidRPr="00771368" w:rsidRDefault="00D24E61">
      <w:pPr>
        <w:rPr>
          <w:sz w:val="20"/>
          <w:szCs w:val="20"/>
        </w:rPr>
      </w:pPr>
      <w:r w:rsidRPr="00771368">
        <w:rPr>
          <w:sz w:val="24"/>
          <w:szCs w:val="24"/>
        </w:rPr>
        <w:t xml:space="preserve">CHAUÍ, Marilena. </w:t>
      </w:r>
      <w:r w:rsidRPr="00771368">
        <w:rPr>
          <w:b/>
          <w:bCs/>
          <w:sz w:val="24"/>
          <w:szCs w:val="24"/>
        </w:rPr>
        <w:t>Convite a Filosofia.</w:t>
      </w:r>
      <w:r w:rsidRPr="00771368">
        <w:rPr>
          <w:sz w:val="24"/>
          <w:szCs w:val="24"/>
        </w:rPr>
        <w:t xml:space="preserve"> 10 ª ed. São Paulo: Ática, 2006. 390 p.</w:t>
      </w:r>
    </w:p>
    <w:p w:rsidR="00D24E61" w:rsidRPr="00771368" w:rsidRDefault="00D24E61">
      <w:pPr>
        <w:spacing w:line="200" w:lineRule="exact"/>
        <w:rPr>
          <w:sz w:val="20"/>
          <w:szCs w:val="20"/>
        </w:rPr>
      </w:pPr>
    </w:p>
    <w:p w:rsidR="00D24E61" w:rsidRPr="00771368" w:rsidRDefault="00D24E61">
      <w:pPr>
        <w:spacing w:line="366" w:lineRule="exact"/>
        <w:rPr>
          <w:sz w:val="20"/>
          <w:szCs w:val="20"/>
        </w:rPr>
      </w:pPr>
    </w:p>
    <w:p w:rsidR="00D24E61" w:rsidRPr="00771368" w:rsidRDefault="00D24E61">
      <w:pPr>
        <w:spacing w:line="239" w:lineRule="auto"/>
        <w:rPr>
          <w:sz w:val="20"/>
          <w:szCs w:val="20"/>
        </w:rPr>
      </w:pPr>
      <w:r w:rsidRPr="00771368">
        <w:rPr>
          <w:sz w:val="24"/>
          <w:szCs w:val="24"/>
        </w:rPr>
        <w:t xml:space="preserve">COREN-RJ. </w:t>
      </w:r>
      <w:r w:rsidRPr="00771368">
        <w:rPr>
          <w:b/>
          <w:bCs/>
          <w:sz w:val="24"/>
          <w:szCs w:val="24"/>
        </w:rPr>
        <w:t>Código de Ética e Legislação.</w:t>
      </w:r>
      <w:r w:rsidRPr="00771368">
        <w:rPr>
          <w:sz w:val="24"/>
          <w:szCs w:val="24"/>
        </w:rPr>
        <w:t xml:space="preserve"> Rio de Janeiro </w:t>
      </w:r>
      <w:r w:rsidRPr="00771368">
        <w:rPr>
          <w:sz w:val="25"/>
          <w:szCs w:val="25"/>
        </w:rPr>
        <w:t>[s. n.]</w:t>
      </w:r>
      <w:r w:rsidRPr="00771368">
        <w:rPr>
          <w:sz w:val="24"/>
          <w:szCs w:val="24"/>
        </w:rPr>
        <w:t>, 2009/2011. 124 p.</w:t>
      </w:r>
    </w:p>
    <w:p w:rsidR="00D24E61" w:rsidRPr="00771368" w:rsidRDefault="00D24E61">
      <w:pPr>
        <w:spacing w:line="200" w:lineRule="exact"/>
        <w:rPr>
          <w:sz w:val="20"/>
          <w:szCs w:val="20"/>
        </w:rPr>
      </w:pPr>
    </w:p>
    <w:p w:rsidR="00D24E61" w:rsidRPr="00771368" w:rsidRDefault="00D24E61">
      <w:pPr>
        <w:spacing w:line="352" w:lineRule="exact"/>
        <w:rPr>
          <w:sz w:val="20"/>
          <w:szCs w:val="20"/>
        </w:rPr>
      </w:pPr>
    </w:p>
    <w:p w:rsidR="00D24E61" w:rsidRPr="00771368" w:rsidRDefault="00D24E61">
      <w:pPr>
        <w:rPr>
          <w:sz w:val="20"/>
          <w:szCs w:val="20"/>
        </w:rPr>
      </w:pPr>
      <w:r w:rsidRPr="00771368">
        <w:rPr>
          <w:sz w:val="24"/>
          <w:szCs w:val="24"/>
        </w:rPr>
        <w:t xml:space="preserve">COFEN- RJ. </w:t>
      </w:r>
      <w:r w:rsidRPr="00771368">
        <w:rPr>
          <w:b/>
          <w:bCs/>
          <w:sz w:val="24"/>
          <w:szCs w:val="24"/>
        </w:rPr>
        <w:t>Código de ética e Legislação.</w:t>
      </w:r>
      <w:r w:rsidRPr="00771368">
        <w:rPr>
          <w:sz w:val="24"/>
          <w:szCs w:val="24"/>
        </w:rPr>
        <w:t xml:space="preserve"> Rio de Janeiro [s.n], 2009/2011. 124 p.</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8" w:lineRule="exact"/>
        <w:rPr>
          <w:sz w:val="20"/>
          <w:szCs w:val="20"/>
        </w:rPr>
      </w:pPr>
    </w:p>
    <w:p w:rsidR="00D24E61" w:rsidRPr="00771368" w:rsidRDefault="00D24E61">
      <w:pPr>
        <w:spacing w:line="225" w:lineRule="auto"/>
        <w:ind w:right="140"/>
        <w:rPr>
          <w:sz w:val="20"/>
          <w:szCs w:val="20"/>
        </w:rPr>
      </w:pPr>
      <w:r w:rsidRPr="00771368">
        <w:rPr>
          <w:sz w:val="23"/>
          <w:szCs w:val="23"/>
        </w:rPr>
        <w:t xml:space="preserve">FONSECA, Rosa Maria Godoy Serpa. Equidade de gênero e saúde das mulheres. </w:t>
      </w:r>
      <w:r w:rsidRPr="00771368">
        <w:rPr>
          <w:b/>
          <w:bCs/>
          <w:sz w:val="23"/>
          <w:szCs w:val="23"/>
        </w:rPr>
        <w:t>REVISTA</w:t>
      </w:r>
      <w:r w:rsidRPr="00771368">
        <w:rPr>
          <w:sz w:val="23"/>
          <w:szCs w:val="23"/>
        </w:rPr>
        <w:t xml:space="preserve"> </w:t>
      </w:r>
      <w:r w:rsidRPr="00771368">
        <w:rPr>
          <w:b/>
          <w:bCs/>
          <w:sz w:val="23"/>
          <w:szCs w:val="23"/>
        </w:rPr>
        <w:t xml:space="preserve">DA ESCOLA DE ENFERMAGEM DA USP. </w:t>
      </w:r>
      <w:r w:rsidRPr="00771368">
        <w:rPr>
          <w:sz w:val="23"/>
          <w:szCs w:val="23"/>
        </w:rPr>
        <w:t>São Paulo, vol. 39, nº 4, p. 450-459, 2004.</w:t>
      </w:r>
    </w:p>
    <w:p w:rsidR="00D24E61" w:rsidRPr="00771368" w:rsidRDefault="00D24E61">
      <w:pPr>
        <w:sectPr w:rsidR="00D24E61" w:rsidRPr="00771368">
          <w:pgSz w:w="11900" w:h="16838"/>
          <w:pgMar w:top="702" w:right="1400" w:bottom="1440" w:left="1420" w:header="0" w:footer="0" w:gutter="0"/>
          <w:cols w:space="720" w:equalWidth="0">
            <w:col w:w="9080"/>
          </w:cols>
        </w:sectPr>
      </w:pPr>
    </w:p>
    <w:p w:rsidR="00D24E61" w:rsidRPr="00771368" w:rsidRDefault="00D24E61">
      <w:pPr>
        <w:spacing w:line="239" w:lineRule="auto"/>
        <w:jc w:val="right"/>
        <w:rPr>
          <w:sz w:val="20"/>
          <w:szCs w:val="20"/>
        </w:rPr>
      </w:pPr>
      <w:r w:rsidRPr="00771368">
        <w:rPr>
          <w:rFonts w:eastAsia="Calibri"/>
        </w:rPr>
        <w:t>16</w:t>
      </w:r>
    </w:p>
    <w:p w:rsidR="00D24E61" w:rsidRPr="00771368" w:rsidRDefault="00D24E61">
      <w:pPr>
        <w:spacing w:line="200" w:lineRule="exact"/>
        <w:rPr>
          <w:sz w:val="20"/>
          <w:szCs w:val="20"/>
        </w:rPr>
      </w:pPr>
    </w:p>
    <w:p w:rsidR="00D24E61" w:rsidRPr="00771368" w:rsidRDefault="00D24E61">
      <w:pPr>
        <w:spacing w:line="295" w:lineRule="exact"/>
        <w:rPr>
          <w:sz w:val="20"/>
          <w:szCs w:val="20"/>
        </w:rPr>
      </w:pPr>
    </w:p>
    <w:p w:rsidR="00D24E61" w:rsidRPr="00771368" w:rsidRDefault="00D24E61">
      <w:pPr>
        <w:spacing w:line="215" w:lineRule="auto"/>
        <w:ind w:right="580"/>
        <w:rPr>
          <w:sz w:val="24"/>
          <w:szCs w:val="24"/>
        </w:rPr>
      </w:pPr>
      <w:r w:rsidRPr="00771368">
        <w:rPr>
          <w:sz w:val="24"/>
          <w:szCs w:val="24"/>
        </w:rPr>
        <w:t xml:space="preserve">Disponível em: </w:t>
      </w:r>
      <w:r w:rsidRPr="00771368">
        <w:rPr>
          <w:color w:val="0070C0"/>
          <w:sz w:val="24"/>
          <w:szCs w:val="24"/>
        </w:rPr>
        <w:t>&lt;</w:t>
      </w:r>
      <w:r w:rsidRPr="00771368">
        <w:rPr>
          <w:sz w:val="24"/>
          <w:szCs w:val="24"/>
        </w:rPr>
        <w:t xml:space="preserve"> </w:t>
      </w:r>
      <w:hyperlink r:id="rId59">
        <w:r w:rsidRPr="00771368">
          <w:rPr>
            <w:color w:val="0000FF"/>
            <w:sz w:val="24"/>
            <w:szCs w:val="24"/>
            <w:u w:val="single"/>
          </w:rPr>
          <w:t>http://www.scielo.br/pdf/reeusp/v39n4/11.pdf</w:t>
        </w:r>
      </w:hyperlink>
      <w:r w:rsidRPr="00771368">
        <w:rPr>
          <w:color w:val="0070C0"/>
          <w:sz w:val="24"/>
          <w:szCs w:val="24"/>
        </w:rPr>
        <w:t>&gt;.</w:t>
      </w:r>
      <w:r w:rsidRPr="00771368">
        <w:rPr>
          <w:sz w:val="24"/>
          <w:szCs w:val="24"/>
        </w:rPr>
        <w:t xml:space="preserve"> Acesso em: </w:t>
      </w:r>
      <w:r w:rsidRPr="00771368">
        <w:rPr>
          <w:color w:val="0070C0"/>
          <w:sz w:val="24"/>
          <w:szCs w:val="24"/>
        </w:rPr>
        <w:t>15 de jun.</w:t>
      </w:r>
      <w:r w:rsidRPr="00771368">
        <w:rPr>
          <w:sz w:val="24"/>
          <w:szCs w:val="24"/>
        </w:rPr>
        <w:t xml:space="preserve"> </w:t>
      </w:r>
      <w:r w:rsidRPr="00771368">
        <w:rPr>
          <w:color w:val="0070C0"/>
          <w:sz w:val="24"/>
          <w:szCs w:val="24"/>
        </w:rPr>
        <w:t>2012</w:t>
      </w:r>
      <w:r w:rsidRPr="00771368">
        <w:rPr>
          <w:color w:val="000000"/>
          <w:sz w:val="24"/>
          <w:szCs w:val="24"/>
        </w:rPr>
        <w:t>.</w:t>
      </w:r>
    </w:p>
    <w:p w:rsidR="00D24E61" w:rsidRPr="00771368" w:rsidRDefault="00D24E61">
      <w:pPr>
        <w:spacing w:line="336" w:lineRule="exact"/>
        <w:rPr>
          <w:sz w:val="20"/>
          <w:szCs w:val="20"/>
        </w:rPr>
      </w:pPr>
    </w:p>
    <w:p w:rsidR="00D24E61" w:rsidRDefault="00D24E61">
      <w:pPr>
        <w:spacing w:line="230" w:lineRule="auto"/>
        <w:ind w:right="440"/>
        <w:rPr>
          <w:sz w:val="24"/>
          <w:szCs w:val="24"/>
        </w:rPr>
      </w:pPr>
      <w:r w:rsidRPr="00771368">
        <w:rPr>
          <w:sz w:val="24"/>
          <w:szCs w:val="24"/>
        </w:rPr>
        <w:t xml:space="preserve">LAKATOS, Eva Maria; MARCONI, Marina de Andrade. </w:t>
      </w:r>
      <w:r w:rsidRPr="00771368">
        <w:rPr>
          <w:b/>
          <w:bCs/>
          <w:sz w:val="24"/>
          <w:szCs w:val="24"/>
        </w:rPr>
        <w:t>Fundamentos de Metodologia</w:t>
      </w:r>
      <w:r w:rsidRPr="00771368">
        <w:rPr>
          <w:sz w:val="24"/>
          <w:szCs w:val="24"/>
        </w:rPr>
        <w:t xml:space="preserve"> </w:t>
      </w:r>
      <w:r w:rsidRPr="00771368">
        <w:rPr>
          <w:b/>
          <w:bCs/>
          <w:sz w:val="24"/>
          <w:szCs w:val="24"/>
        </w:rPr>
        <w:t xml:space="preserve">Científica. </w:t>
      </w:r>
      <w:r w:rsidRPr="00771368">
        <w:rPr>
          <w:sz w:val="24"/>
          <w:szCs w:val="24"/>
        </w:rPr>
        <w:t>São Paulo: Atlas, 1985. 237p.</w:t>
      </w:r>
    </w:p>
    <w:p w:rsidR="001F386E" w:rsidRDefault="001F386E">
      <w:pPr>
        <w:spacing w:line="230" w:lineRule="auto"/>
        <w:ind w:right="440"/>
        <w:rPr>
          <w:sz w:val="20"/>
          <w:szCs w:val="20"/>
        </w:rPr>
      </w:pPr>
    </w:p>
    <w:p w:rsidR="001F386E" w:rsidRPr="00771368" w:rsidRDefault="001F386E">
      <w:pPr>
        <w:spacing w:line="230" w:lineRule="auto"/>
        <w:ind w:right="440"/>
        <w:rPr>
          <w:sz w:val="20"/>
          <w:szCs w:val="20"/>
        </w:rPr>
      </w:pPr>
    </w:p>
    <w:p w:rsidR="00D24E61" w:rsidRPr="001F386E" w:rsidRDefault="00D24E61">
      <w:pPr>
        <w:ind w:left="170" w:right="113"/>
        <w:jc w:val="center"/>
        <w:rPr>
          <w:rStyle w:val="Ttulo1Char"/>
        </w:rPr>
      </w:pPr>
      <w:r w:rsidRPr="00771368">
        <w:rPr>
          <w:b/>
          <w:sz w:val="28"/>
          <w:szCs w:val="28"/>
        </w:rPr>
        <w:t>A REPRESENTAÇÃO SOCIAL DA MULHER NO CINEMA BRASILEIRO</w:t>
      </w:r>
      <w:r w:rsidRPr="00771368">
        <w:br/>
      </w:r>
      <w:r w:rsidRPr="00771368">
        <w:br/>
      </w:r>
      <w:r w:rsidRPr="00771368">
        <w:br/>
      </w:r>
      <w:r w:rsidRPr="001F386E">
        <w:rPr>
          <w:rStyle w:val="Ttulo1Char"/>
        </w:rPr>
        <w:t>Neila Renata Silva</w:t>
      </w:r>
      <w:r w:rsidR="001F386E" w:rsidRPr="001F386E">
        <w:rPr>
          <w:rStyle w:val="Ttulo1Char"/>
        </w:rPr>
        <w:t xml:space="preserve"> Pina</w:t>
      </w:r>
    </w:p>
    <w:p w:rsidR="00D24E61" w:rsidRPr="00771368" w:rsidRDefault="00D24E61">
      <w:pPr>
        <w:jc w:val="center"/>
        <w:rPr>
          <w:sz w:val="20"/>
          <w:szCs w:val="20"/>
        </w:rPr>
      </w:pPr>
      <w:r w:rsidRPr="00771368">
        <w:rPr>
          <w:sz w:val="20"/>
          <w:szCs w:val="20"/>
        </w:rPr>
        <w:t>Universidade Estadual de Montes Claros – UNIMONTES</w:t>
      </w:r>
    </w:p>
    <w:p w:rsidR="00D24E61" w:rsidRPr="00771368" w:rsidRDefault="00D24E61">
      <w:pPr>
        <w:jc w:val="center"/>
        <w:rPr>
          <w:sz w:val="20"/>
          <w:szCs w:val="20"/>
        </w:rPr>
      </w:pPr>
      <w:r w:rsidRPr="00771368">
        <w:rPr>
          <w:sz w:val="20"/>
          <w:szCs w:val="20"/>
        </w:rPr>
        <w:t xml:space="preserve">Avenida Doutor Rui Braga, s/n, Vila Mauricéia, Montes Claros – MG </w:t>
      </w:r>
    </w:p>
    <w:p w:rsidR="00D24E61" w:rsidRPr="00D61223" w:rsidRDefault="00D24E61">
      <w:pPr>
        <w:jc w:val="center"/>
        <w:rPr>
          <w:lang w:val="en-US"/>
        </w:rPr>
      </w:pPr>
      <w:r w:rsidRPr="00D61223">
        <w:rPr>
          <w:sz w:val="20"/>
          <w:szCs w:val="20"/>
          <w:lang w:val="en-US"/>
        </w:rPr>
        <w:t>CEP: 39.400-016</w:t>
      </w:r>
      <w:r w:rsidRPr="00D61223">
        <w:rPr>
          <w:sz w:val="20"/>
          <w:szCs w:val="20"/>
          <w:lang w:val="en-US"/>
        </w:rPr>
        <w:br/>
        <w:t>neila.pina@unimontes.br</w:t>
      </w:r>
    </w:p>
    <w:p w:rsidR="00D24E61" w:rsidRPr="00D61223" w:rsidRDefault="00D24E61">
      <w:pPr>
        <w:jc w:val="both"/>
        <w:rPr>
          <w:sz w:val="24"/>
          <w:szCs w:val="24"/>
          <w:lang w:val="en-US"/>
        </w:rPr>
      </w:pPr>
      <w:r w:rsidRPr="00D61223">
        <w:rPr>
          <w:lang w:val="en-US"/>
        </w:rPr>
        <w:br/>
      </w:r>
      <w:r w:rsidRPr="00D61223">
        <w:rPr>
          <w:lang w:val="en-US"/>
        </w:rPr>
        <w:br/>
      </w:r>
      <w:r w:rsidRPr="00D61223">
        <w:rPr>
          <w:lang w:val="en-US"/>
        </w:rPr>
        <w:br/>
      </w:r>
      <w:r w:rsidRPr="00D61223">
        <w:rPr>
          <w:b/>
          <w:sz w:val="24"/>
          <w:szCs w:val="24"/>
          <w:lang w:val="en-US"/>
        </w:rPr>
        <w:t>Resumo</w:t>
      </w:r>
    </w:p>
    <w:p w:rsidR="00D24E61" w:rsidRPr="001F386E" w:rsidRDefault="00D24E61">
      <w:pPr>
        <w:jc w:val="both"/>
        <w:rPr>
          <w:sz w:val="24"/>
          <w:szCs w:val="24"/>
        </w:rPr>
      </w:pPr>
      <w:r w:rsidRPr="006B3861">
        <w:rPr>
          <w:sz w:val="24"/>
          <w:szCs w:val="24"/>
        </w:rPr>
        <w:br/>
      </w:r>
      <w:r w:rsidRPr="001F386E">
        <w:rPr>
          <w:sz w:val="24"/>
          <w:szCs w:val="24"/>
        </w:rPr>
        <w:t>Discutir as formas de representação da mulher no cinema brasileiro averiguando em que aspectos essa representação influencia o comportamento e o imaginário social sobre a mulher e a sociedade de modo geral. Debater sobre como a história tem apresentado (e representado) a mulher na atualidade; identificar que imagem vem sendo passada às plateias, se essa imagem condiz com a realidade social da mulher, que papel ela representa na realidade cinematográfica (mãe ardorosa, prostituta, empregada doméstica etc.); avaliar a carga ideológica existente na criação e representação das personagens femininas. Considerando que o cinema é um meio de representação que emite e produz um significado que acaba por ser validado socialmente, a proposta é de uma análise da forjadura da representação social da mulher no cinema. O recorte dado ao tema se ateve à figura da mulher e sua representação, que sempre esteve permeada de signos e estereótipos. A análise da filmografia selecionada realizar-se-á por meio das indicações da Análise do Discurso. Na tentativa de responder questionamentos como: De que modo a mulher tem sido representada socialmente no cinema brasileiro? Essa representação condiz com os padrões sociais vigentes ou assume caráter inovador aquém dos padrões sociais de cada época?</w:t>
      </w:r>
    </w:p>
    <w:p w:rsidR="00D24E61" w:rsidRPr="001F386E" w:rsidRDefault="00D24E61">
      <w:pPr>
        <w:jc w:val="both"/>
        <w:rPr>
          <w:sz w:val="24"/>
          <w:szCs w:val="24"/>
        </w:rPr>
      </w:pPr>
    </w:p>
    <w:p w:rsidR="00D24E61" w:rsidRPr="001F386E" w:rsidRDefault="00D24E61">
      <w:pPr>
        <w:jc w:val="both"/>
        <w:rPr>
          <w:sz w:val="24"/>
          <w:szCs w:val="24"/>
        </w:rPr>
      </w:pPr>
      <w:r w:rsidRPr="001F386E">
        <w:rPr>
          <w:b/>
          <w:sz w:val="24"/>
          <w:szCs w:val="24"/>
        </w:rPr>
        <w:t xml:space="preserve">Palavras Chaves: </w:t>
      </w:r>
      <w:r w:rsidRPr="001F386E">
        <w:rPr>
          <w:sz w:val="24"/>
          <w:szCs w:val="24"/>
        </w:rPr>
        <w:t>Representação Social. Mulher. Cinema Brasileiro.</w:t>
      </w:r>
    </w:p>
    <w:p w:rsidR="00D24E61" w:rsidRDefault="00D24E61">
      <w:pPr>
        <w:jc w:val="both"/>
        <w:rPr>
          <w:sz w:val="24"/>
          <w:szCs w:val="24"/>
        </w:rPr>
      </w:pPr>
    </w:p>
    <w:p w:rsidR="001F386E" w:rsidRPr="001F386E" w:rsidRDefault="001F386E">
      <w:pPr>
        <w:jc w:val="both"/>
        <w:rPr>
          <w:sz w:val="24"/>
          <w:szCs w:val="24"/>
        </w:rPr>
      </w:pPr>
    </w:p>
    <w:p w:rsidR="00D24E61" w:rsidRPr="00771368" w:rsidRDefault="00D24E61" w:rsidP="00D24E61">
      <w:pPr>
        <w:pStyle w:val="PargrafodaLista"/>
        <w:widowControl w:val="0"/>
        <w:numPr>
          <w:ilvl w:val="0"/>
          <w:numId w:val="13"/>
        </w:numPr>
        <w:suppressAutoHyphens/>
        <w:autoSpaceDE w:val="0"/>
        <w:spacing w:after="0" w:line="480" w:lineRule="auto"/>
        <w:ind w:right="113"/>
        <w:rPr>
          <w:rFonts w:ascii="Times New Roman" w:hAnsi="Times New Roman"/>
        </w:rPr>
      </w:pPr>
      <w:r w:rsidRPr="00771368">
        <w:rPr>
          <w:rFonts w:ascii="Times New Roman" w:hAnsi="Times New Roman"/>
          <w:b/>
          <w:sz w:val="28"/>
          <w:szCs w:val="28"/>
        </w:rPr>
        <w:t>Introdução</w:t>
      </w:r>
    </w:p>
    <w:p w:rsidR="00D24E61" w:rsidRPr="001F386E" w:rsidRDefault="00D24E61">
      <w:pPr>
        <w:autoSpaceDE w:val="0"/>
        <w:spacing w:line="480" w:lineRule="auto"/>
        <w:ind w:left="170" w:right="113" w:firstLine="709"/>
        <w:jc w:val="both"/>
        <w:rPr>
          <w:sz w:val="24"/>
          <w:lang w:eastAsia="en-US"/>
        </w:rPr>
      </w:pPr>
      <w:r w:rsidRPr="001F386E">
        <w:rPr>
          <w:sz w:val="24"/>
          <w:lang w:eastAsia="en-US"/>
        </w:rPr>
        <w:t xml:space="preserve">Filmes são reflexos da cultura de quem os produz, retratam atitudes, crenças, hábitos e tendências de uma sociedade. Sendo assim, servem para corroborar ou questionar padrões de comportamento, colaborando para a perpetuação de práticas e costumes; para fazer refletir sobre alguns pressupostos construídos pelas culturas das quais fazem parte. </w:t>
      </w:r>
    </w:p>
    <w:p w:rsidR="00D24E61" w:rsidRPr="001F386E" w:rsidRDefault="00D24E61">
      <w:pPr>
        <w:autoSpaceDE w:val="0"/>
        <w:spacing w:line="480" w:lineRule="auto"/>
        <w:ind w:left="170" w:right="113" w:firstLine="709"/>
        <w:jc w:val="both"/>
        <w:rPr>
          <w:sz w:val="24"/>
          <w:lang w:eastAsia="en-US"/>
        </w:rPr>
      </w:pPr>
      <w:r w:rsidRPr="001F386E">
        <w:rPr>
          <w:sz w:val="24"/>
          <w:lang w:eastAsia="en-US"/>
        </w:rPr>
        <w:t>No cinema, por vezes, parece haver um jogo de forças onde os grandes produtores, que são os veiculadores das narrativas audiovisuais, de algum modo, atuam como divulgadores de tendências de inovação advindas de sociedades complexas, mesmo que isso seja feito em forma de crítica.</w:t>
      </w:r>
    </w:p>
    <w:p w:rsidR="00D24E61" w:rsidRPr="001F386E" w:rsidRDefault="00D24E61">
      <w:pPr>
        <w:autoSpaceDE w:val="0"/>
        <w:spacing w:line="480" w:lineRule="auto"/>
        <w:ind w:left="170" w:right="113" w:firstLine="709"/>
        <w:jc w:val="both"/>
        <w:rPr>
          <w:sz w:val="24"/>
          <w:lang w:eastAsia="en-US"/>
        </w:rPr>
      </w:pPr>
      <w:r w:rsidRPr="001F386E">
        <w:rPr>
          <w:sz w:val="24"/>
          <w:lang w:eastAsia="en-US"/>
        </w:rPr>
        <w:t>Normalmente, a mídia tende a privilegiar as posições majoritárias, que são, em geral, mais conservadoras. Apesar disso, no caso do cinema, quando este aborda questões emergentes, colocando-as em debate, ainda que o objetivo seja o de captar apenas as vozes hegemônicas entre os muitos discursos produzidos em torno daquele tema, ele oportuniza o surgimento de novas ideias.</w:t>
      </w:r>
    </w:p>
    <w:p w:rsidR="00D24E61" w:rsidRPr="001F386E" w:rsidRDefault="00D24E61">
      <w:pPr>
        <w:autoSpaceDE w:val="0"/>
        <w:spacing w:line="480" w:lineRule="auto"/>
        <w:ind w:left="170" w:right="113" w:firstLine="709"/>
        <w:jc w:val="both"/>
        <w:rPr>
          <w:sz w:val="24"/>
          <w:lang w:eastAsia="en-US"/>
        </w:rPr>
      </w:pPr>
      <w:r w:rsidRPr="001F386E">
        <w:rPr>
          <w:sz w:val="24"/>
          <w:lang w:eastAsia="en-US"/>
        </w:rPr>
        <w:t>Ressalte-se, contudo, que a perspectiva dada aos temas candentes, na maioria das vezes, é feita de forma plural, diferenciada das opiniões que existem em torno desses temas. É muito raro a mídia transgredir sobre algo. Via de regra é que os produtos feitos para atingir um grande número de espectadores refletem as posições mais tradicionalmente estabelecidas. Dessa forma, quando há um posicionamento “transgressor” ele deve se restringir às produções cinematográficas conhecidas como alternativas, integrantes do movimento chamado de cinema independente. O público-alvo desse segmento do cinema alcança e se destina a uma parcela menor e mais segmentada do público.</w:t>
      </w:r>
    </w:p>
    <w:p w:rsidR="00D24E61" w:rsidRPr="001F386E" w:rsidRDefault="00D24E61">
      <w:pPr>
        <w:autoSpaceDE w:val="0"/>
        <w:spacing w:line="480" w:lineRule="auto"/>
        <w:ind w:left="170" w:right="113" w:firstLine="709"/>
        <w:jc w:val="both"/>
        <w:rPr>
          <w:sz w:val="24"/>
          <w:lang w:eastAsia="en-US"/>
        </w:rPr>
      </w:pPr>
      <w:r w:rsidRPr="001F386E">
        <w:rPr>
          <w:sz w:val="24"/>
          <w:lang w:eastAsia="en-US"/>
        </w:rPr>
        <w:t>O discurso sobre a mulher, e o tratamento é o mesmo, ou seja, os produtos audiovisuais destinados ao grande público, como o cinema, mostram as mudanças nas expectativas sociais quanto ao papel desempenhado pela mulher apenas quando elas estão perto de se consolidarem ou quando já se tornaram conquistas de fato. Dessa forma não há tanta polêmica ou transgressão de valores, pois essas transformações já meio que foram incorporadas ao cotidiano da sociedade, pelo menos nos grandes centros urbanos, onde, normalmente, os novos padrões de comportamento tendem a ser difundidos e, consequentemente, aceitos primeiro.</w:t>
      </w:r>
    </w:p>
    <w:p w:rsidR="00D24E61" w:rsidRPr="001F386E" w:rsidRDefault="00D24E61">
      <w:pPr>
        <w:autoSpaceDE w:val="0"/>
        <w:spacing w:line="480" w:lineRule="auto"/>
        <w:ind w:left="170" w:right="113" w:firstLine="709"/>
        <w:jc w:val="both"/>
        <w:rPr>
          <w:sz w:val="24"/>
        </w:rPr>
      </w:pPr>
      <w:r w:rsidRPr="001F386E">
        <w:rPr>
          <w:sz w:val="24"/>
          <w:lang w:eastAsia="en-US"/>
        </w:rPr>
        <w:t>O modo como as mulheres são representadas na produção cinematográfica na maioria das vezes reproduz a maneira como são vistas e percebidas pelo consumidor regular dessas produções. Portanto, qualquer mudança na representação da mulher na sociedade, ou seja, na forma como se deve ver e pensar sobre o lugar a ser ocupado por ela certamente só será apresentada nos filmes quando ela se inserir na sociedade o bastante para disputar posição com os pressupostos já socialmente legitimados. Essa é uma das hipóteses norteadoras do presente projeto, que procurou captar algumas das mudanças ocorridas nos modos de representação da mulher no cinema brasileiro com o decorrer do tempo.</w:t>
      </w:r>
    </w:p>
    <w:p w:rsidR="00D24E61" w:rsidRPr="001F386E" w:rsidRDefault="00D24E61">
      <w:pPr>
        <w:autoSpaceDE w:val="0"/>
        <w:spacing w:line="480" w:lineRule="auto"/>
        <w:ind w:left="170" w:right="113" w:firstLine="709"/>
        <w:jc w:val="both"/>
        <w:rPr>
          <w:sz w:val="24"/>
        </w:rPr>
      </w:pPr>
      <w:r w:rsidRPr="001F386E">
        <w:rPr>
          <w:sz w:val="24"/>
        </w:rPr>
        <w:t>Nesse sentido, é preciso também mencionar a questão do gênero, fenômeno bastante abrangente, cujos desdobramentos já foram estudados por vários pesquisadores, como Bourdieu, Scott dentre outros. Basicamente as abordagens existentes sobre a questão são de cunho social.  Valendo-se disso, neste artigo o foco será a fronteira entre a tomada de consciência dos problemas de gênero e o reflexo disso nos filmes brasileiros, ou seja, qual a representatividade dada à mulher no cinema nacional.</w:t>
      </w:r>
    </w:p>
    <w:p w:rsidR="00D24E61" w:rsidRPr="00771368" w:rsidRDefault="00D24E61">
      <w:pPr>
        <w:autoSpaceDE w:val="0"/>
        <w:spacing w:line="480" w:lineRule="auto"/>
        <w:ind w:left="170" w:right="113" w:firstLine="709"/>
        <w:jc w:val="both"/>
      </w:pPr>
    </w:p>
    <w:p w:rsidR="00D24E61" w:rsidRPr="00771368" w:rsidRDefault="00D24E61" w:rsidP="00D24E61">
      <w:pPr>
        <w:pStyle w:val="PargrafodaLista"/>
        <w:widowControl w:val="0"/>
        <w:numPr>
          <w:ilvl w:val="0"/>
          <w:numId w:val="13"/>
        </w:numPr>
        <w:suppressAutoHyphens/>
        <w:autoSpaceDE w:val="0"/>
        <w:spacing w:after="0" w:line="480" w:lineRule="auto"/>
        <w:ind w:right="113"/>
        <w:rPr>
          <w:rFonts w:ascii="Times New Roman" w:hAnsi="Times New Roman"/>
        </w:rPr>
      </w:pPr>
      <w:r w:rsidRPr="00771368">
        <w:rPr>
          <w:rFonts w:ascii="Times New Roman" w:hAnsi="Times New Roman"/>
          <w:b/>
          <w:sz w:val="28"/>
          <w:szCs w:val="28"/>
        </w:rPr>
        <w:t xml:space="preserve">Cinema e representação social </w:t>
      </w:r>
    </w:p>
    <w:p w:rsidR="00D24E61" w:rsidRPr="001F386E" w:rsidRDefault="00D24E61">
      <w:pPr>
        <w:autoSpaceDE w:val="0"/>
        <w:spacing w:line="480" w:lineRule="auto"/>
        <w:ind w:left="170" w:right="113" w:firstLine="709"/>
        <w:jc w:val="both"/>
        <w:rPr>
          <w:sz w:val="24"/>
        </w:rPr>
      </w:pPr>
      <w:r w:rsidRPr="001F386E">
        <w:rPr>
          <w:sz w:val="24"/>
        </w:rPr>
        <w:t xml:space="preserve">O cinema é um veículo de comunicação e cultura de grande impacto, por isso funciona como um elemento de produção simbólica ao fazer parte do cotidiano dos indivíduos. Desempenha uma importante função social ao representar a sociedade e seus mais distintos grupos, seja em sua modalidade ficcional ou documental. A chamada sétima arte é capaz de “[...] apresentar uma existência historicamente reconstituída de forma generalizada em um regime de funcionamento psíquico socialmente regulado” (LIMA; MENDONÇA, 2006, online). </w:t>
      </w:r>
    </w:p>
    <w:p w:rsidR="00D24E61" w:rsidRPr="001F386E" w:rsidRDefault="00D24E61">
      <w:pPr>
        <w:autoSpaceDE w:val="0"/>
        <w:spacing w:line="480" w:lineRule="auto"/>
        <w:ind w:left="170" w:right="113" w:firstLine="709"/>
        <w:jc w:val="both"/>
        <w:rPr>
          <w:sz w:val="24"/>
        </w:rPr>
      </w:pPr>
      <w:r w:rsidRPr="001F386E">
        <w:rPr>
          <w:sz w:val="24"/>
        </w:rPr>
        <w:t>A exibição de um filme é a concretização da influência que o cinema exerce na sociedade, pois é durante esse processo que valores morais e estéticos, assim como modelos comportamentais são expostos e assimilados. Os personagens que compõem a história de um filme são representações sociais que se materializam e a experiência de assistir a essa produção oportuniza ao indivíduo reconhecer aquela realidade ali representada. O espectador está sujeito a aceitar ou não, aquela representação da realidade como verdadeira, optando, dessa forma, pela negação ou aceitação de outros modelos sociais divergentes.</w:t>
      </w:r>
    </w:p>
    <w:p w:rsidR="00D24E61" w:rsidRPr="001F386E" w:rsidRDefault="00D24E61">
      <w:pPr>
        <w:autoSpaceDE w:val="0"/>
        <w:spacing w:line="480" w:lineRule="auto"/>
        <w:ind w:left="170" w:right="113" w:firstLine="709"/>
        <w:jc w:val="both"/>
        <w:rPr>
          <w:sz w:val="24"/>
        </w:rPr>
      </w:pPr>
      <w:r w:rsidRPr="001F386E">
        <w:rPr>
          <w:sz w:val="24"/>
        </w:rPr>
        <w:t xml:space="preserve">A sistemática acima explicitada corrobora o poder massificador que o cinema e, por conseguinte, a indústria cultural tem. Massificador por tratar o indivíduo de modo generalizado, retirando dele justamente sua individualidade, sua singularidade, ao enxergá-lo sempre numa ótica macro, negando suas particularidades. Visão esta que acaba se tornando legitimada pelos meios de comunicação de massa em que tal prática acaba por impelir as pessoas a seguir padrões comportamentais pré-estabelecidos, uma vez que são “forçadas” a encontrar identificação com esses moldes. O resultado é que as pessoas acabam construindo relações de consumo, o que, por sua vez, serve para reafirmar uma cultura hegemônica. </w:t>
      </w:r>
    </w:p>
    <w:p w:rsidR="00D24E61" w:rsidRPr="001F386E" w:rsidRDefault="00D24E61">
      <w:pPr>
        <w:autoSpaceDE w:val="0"/>
        <w:spacing w:line="480" w:lineRule="auto"/>
        <w:ind w:left="170" w:right="113" w:firstLine="709"/>
        <w:jc w:val="both"/>
        <w:rPr>
          <w:sz w:val="24"/>
        </w:rPr>
      </w:pPr>
      <w:r w:rsidRPr="001F386E">
        <w:rPr>
          <w:sz w:val="24"/>
        </w:rPr>
        <w:t xml:space="preserve">Atualmente existem produções mais preocupadas em romper com essa massificação. É importante também que o espectador desenvolva sua criticidade e entenda que as representações sociais presentes nessas produções cinematográficas precisam ser confrontadas com a realidade para evitar a propagação de estigmas, estereótipos e preconceitos que depois poderão incorporar o imaginário social. </w:t>
      </w:r>
    </w:p>
    <w:p w:rsidR="00D24E61" w:rsidRPr="001F386E" w:rsidRDefault="00D24E61">
      <w:pPr>
        <w:autoSpaceDE w:val="0"/>
        <w:spacing w:line="480" w:lineRule="auto"/>
        <w:ind w:left="170" w:right="113" w:firstLine="709"/>
        <w:jc w:val="both"/>
        <w:rPr>
          <w:sz w:val="24"/>
        </w:rPr>
      </w:pPr>
      <w:r w:rsidRPr="001F386E">
        <w:rPr>
          <w:sz w:val="24"/>
        </w:rPr>
        <w:t xml:space="preserve">Outro aspecto relevante sobre o cinema é sua forte herança patriarcal, o que contribuiu para reforçar um dos mitos sociais mais duradouros: a inferioridade da mulher. Essa visão da mulher fez com que o cinema a retratasse sempre dentro dos seguintes estereótipos: mulher fatal, prostituta, a virgem, a mãe. Esses extremos comportamentais servem para demonstrar quais os papéis sociais exercidos pela mulher enquanto personagem de ficção. </w:t>
      </w:r>
    </w:p>
    <w:p w:rsidR="00D24E61" w:rsidRPr="001F386E" w:rsidRDefault="00D24E61">
      <w:pPr>
        <w:autoSpaceDE w:val="0"/>
        <w:spacing w:line="480" w:lineRule="auto"/>
        <w:ind w:left="170" w:right="113" w:firstLine="709"/>
        <w:jc w:val="both"/>
        <w:rPr>
          <w:sz w:val="24"/>
        </w:rPr>
      </w:pPr>
      <w:r w:rsidRPr="001F386E">
        <w:rPr>
          <w:sz w:val="24"/>
        </w:rPr>
        <w:t xml:space="preserve">É preciso ressaltar que as representações sociais surgem a partir de uma ideologia e que estas se apresentam em forma de discurso. Segundo Orlandi (1996), o discurso é o lugar onde se constitui o sentido e a identificação do sujeito, sendo, portanto, sempre um objeto histórico-social. Isso implica em dizer que o cinema também precisa ser compreendido dentro de um contexto social, cultural, temporal e espacial (o lugar das produções cinematográficas também é importante). </w:t>
      </w:r>
    </w:p>
    <w:p w:rsidR="00D24E61" w:rsidRPr="001F386E" w:rsidRDefault="00D24E61">
      <w:pPr>
        <w:autoSpaceDE w:val="0"/>
        <w:spacing w:line="480" w:lineRule="auto"/>
        <w:ind w:left="170" w:right="113" w:firstLine="709"/>
        <w:jc w:val="both"/>
        <w:rPr>
          <w:sz w:val="24"/>
        </w:rPr>
      </w:pPr>
      <w:r w:rsidRPr="001F386E">
        <w:rPr>
          <w:sz w:val="24"/>
        </w:rPr>
        <w:t xml:space="preserve">O universo feminino sempre povoou o imaginário masculino, justamente por ser visto como algo ainda a ser desvendado pelos homens. Isso serviu de inspiração para criação de inúmeros personagens do cinema. Essa representação da mulher, colocando de lado as críticas feministas, fez com que inúmeros filmes se tornassem clássicos. A importância desses filmes está justamente na representação que fizeram do feminino, ao abordarem os problemas, os anseios e as particularidades da mulher. </w:t>
      </w:r>
    </w:p>
    <w:p w:rsidR="00D24E61" w:rsidRPr="001F386E" w:rsidRDefault="00D24E61">
      <w:pPr>
        <w:autoSpaceDE w:val="0"/>
        <w:spacing w:line="480" w:lineRule="auto"/>
        <w:ind w:left="170" w:right="113" w:firstLine="709"/>
        <w:jc w:val="both"/>
        <w:rPr>
          <w:sz w:val="24"/>
        </w:rPr>
      </w:pPr>
      <w:r w:rsidRPr="001F386E">
        <w:rPr>
          <w:sz w:val="24"/>
        </w:rPr>
        <w:t>Mulvey (1983) alerta para outro aspecto dessa visão do feminino, dentro desse contexto patriarcal, que é sua função de apenas portadora de significado e nunca de produtora. Isso significa que, enquanto o homem pode manifestar livremente suas fantasias e obsessões linguisticamente, à mulher cabe apenas ser interpretada.</w:t>
      </w:r>
    </w:p>
    <w:p w:rsidR="00D24E61" w:rsidRPr="001F386E" w:rsidRDefault="00D24E61">
      <w:pPr>
        <w:autoSpaceDE w:val="0"/>
        <w:spacing w:line="480" w:lineRule="auto"/>
        <w:ind w:left="170" w:right="113" w:firstLine="709"/>
        <w:jc w:val="both"/>
        <w:rPr>
          <w:sz w:val="24"/>
        </w:rPr>
      </w:pPr>
      <w:r w:rsidRPr="001F386E">
        <w:rPr>
          <w:sz w:val="24"/>
        </w:rPr>
        <w:t>Diante dessas colocações, o presente artigo analisa a representação que a mulher tem no cinema, mais especificamente nas produções brasileiras, e verificar se essa representação se modificou com o tempo ou ainda é um reflexo da sociedade patriarcal. A importância do trabalho é de caráter sociológico, uma vez que a arte cinematográfica é um reflexo dos padrões comportamentais de uma dada sociedade. Aqui, a brasileira. Dessa forma, o modo como o cinema retrata a mulher é, até certo ponto, a forma como a sociedade a enxerga.</w:t>
      </w:r>
    </w:p>
    <w:p w:rsidR="00D24E61" w:rsidRDefault="00D24E61">
      <w:pPr>
        <w:autoSpaceDE w:val="0"/>
        <w:spacing w:line="480" w:lineRule="auto"/>
        <w:ind w:left="170" w:right="113" w:firstLine="709"/>
        <w:jc w:val="both"/>
        <w:rPr>
          <w:sz w:val="24"/>
        </w:rPr>
      </w:pPr>
    </w:p>
    <w:p w:rsidR="001F386E" w:rsidRDefault="001F386E">
      <w:pPr>
        <w:autoSpaceDE w:val="0"/>
        <w:spacing w:line="480" w:lineRule="auto"/>
        <w:ind w:left="170" w:right="113" w:firstLine="709"/>
        <w:jc w:val="both"/>
        <w:rPr>
          <w:sz w:val="24"/>
        </w:rPr>
      </w:pPr>
    </w:p>
    <w:p w:rsidR="001F386E" w:rsidRPr="001F386E" w:rsidRDefault="001F386E">
      <w:pPr>
        <w:autoSpaceDE w:val="0"/>
        <w:spacing w:line="480" w:lineRule="auto"/>
        <w:ind w:left="170" w:right="113" w:firstLine="709"/>
        <w:jc w:val="both"/>
        <w:rPr>
          <w:sz w:val="24"/>
        </w:rPr>
      </w:pPr>
    </w:p>
    <w:p w:rsidR="00D24E61" w:rsidRPr="00771368" w:rsidRDefault="00D24E61" w:rsidP="00D24E61">
      <w:pPr>
        <w:pStyle w:val="PargrafodaLista"/>
        <w:widowControl w:val="0"/>
        <w:numPr>
          <w:ilvl w:val="0"/>
          <w:numId w:val="13"/>
        </w:numPr>
        <w:suppressAutoHyphens/>
        <w:autoSpaceDE w:val="0"/>
        <w:spacing w:after="0" w:line="480" w:lineRule="auto"/>
        <w:ind w:right="113"/>
        <w:rPr>
          <w:rFonts w:ascii="Times New Roman" w:hAnsi="Times New Roman"/>
        </w:rPr>
      </w:pPr>
      <w:r w:rsidRPr="00771368">
        <w:rPr>
          <w:rFonts w:ascii="Times New Roman" w:hAnsi="Times New Roman"/>
          <w:b/>
          <w:sz w:val="28"/>
          <w:szCs w:val="28"/>
        </w:rPr>
        <w:t>Análise teórica do cinema</w:t>
      </w:r>
    </w:p>
    <w:p w:rsidR="00D24E61" w:rsidRPr="001F386E" w:rsidRDefault="00D24E61">
      <w:pPr>
        <w:autoSpaceDE w:val="0"/>
        <w:spacing w:line="480" w:lineRule="auto"/>
        <w:ind w:left="170" w:right="113" w:firstLine="709"/>
        <w:jc w:val="both"/>
        <w:rPr>
          <w:sz w:val="24"/>
        </w:rPr>
      </w:pPr>
      <w:r w:rsidRPr="001F386E">
        <w:rPr>
          <w:sz w:val="24"/>
        </w:rPr>
        <w:t>A produção da linguagem cinematográfica, assim como nos demais veículos de comunicação de massa, está ligada ao trabalho e ao modo de produção nela envolvidos. Sendo assim, a produção de significado no cinema decorre de uma pluralidade de discursos. O mercado de exibição, entretanto, ainda é monopolizado pelo cinema americano, em sua modalidade clássica, de visão mais tradicional (porque há também o cinema independente), que representa às ideologias dos grandes estúdios. Isso implica dizer que essas produções difundem significados que acabam sendo incorporados socialmente através dos anos, passando a fazer parte da formação social do indivíduo consumidor desse tipo de mídia.</w:t>
      </w:r>
    </w:p>
    <w:p w:rsidR="00D24E61" w:rsidRPr="001F386E" w:rsidRDefault="00D24E61">
      <w:pPr>
        <w:autoSpaceDE w:val="0"/>
        <w:spacing w:line="480" w:lineRule="auto"/>
        <w:ind w:left="170" w:right="113" w:firstLine="709"/>
        <w:jc w:val="both"/>
        <w:rPr>
          <w:sz w:val="24"/>
        </w:rPr>
      </w:pPr>
      <w:r w:rsidRPr="001F386E">
        <w:rPr>
          <w:sz w:val="24"/>
        </w:rPr>
        <w:t>Uma análise do cinema clássico evidenciará que este não apenas disseminou uma forma de produção de filmes, mas principalmente ajudou a perpetuar valores e ideologias na sociedade. Portanto, é imprescindível para nesta discussão compreender de forma aprofundada a importância que o cinema tem para a formação ideológica do sujeito e de suas construções sociais.</w:t>
      </w:r>
    </w:p>
    <w:p w:rsidR="00D24E61" w:rsidRPr="001F386E" w:rsidRDefault="00D24E61">
      <w:pPr>
        <w:autoSpaceDE w:val="0"/>
        <w:spacing w:line="480" w:lineRule="auto"/>
        <w:ind w:left="170" w:right="113" w:firstLine="709"/>
        <w:jc w:val="both"/>
        <w:rPr>
          <w:sz w:val="24"/>
        </w:rPr>
      </w:pPr>
      <w:r w:rsidRPr="001F386E">
        <w:rPr>
          <w:sz w:val="24"/>
        </w:rPr>
        <w:t>Considerando esse panorama sócio-cultural, a mulher surge como mais uma das estruturas que regem o argumento em um grupo de outras estruturas narrativas, dentre elas a produção cinematográfica. Dentro dessa perspectiva, é válido recorrer à Kaplan (1995) quando este afirma ser a mulher uma estrutura dentro da trama sempre associada a uma função narrativa relacionada a algum elemento masculino. Quando, no decorrer do filme, ocorre alguma ruptura nessa sua função (papel), na maioria das vezes, ao final, ela retornará ao lugar social e familiar que lhe é devido (imposto). Quando isso não acontece, normalmente a personagem é punida por sua ‘transgressão’.</w:t>
      </w:r>
    </w:p>
    <w:p w:rsidR="00D24E61" w:rsidRPr="001F386E" w:rsidRDefault="00D24E61">
      <w:pPr>
        <w:autoSpaceDE w:val="0"/>
        <w:spacing w:line="480" w:lineRule="auto"/>
        <w:ind w:left="170" w:right="113" w:firstLine="709"/>
        <w:jc w:val="both"/>
        <w:rPr>
          <w:sz w:val="24"/>
        </w:rPr>
      </w:pPr>
      <w:r w:rsidRPr="001F386E">
        <w:rPr>
          <w:sz w:val="24"/>
        </w:rPr>
        <w:t>Uma análise da história do cinema evidenciará que o cinema narrativo clássico sempre deu à mulher uma identificação relacionada à sua feminilidade, numa abordagem de sedução e sensualidade. Isso porque o cinema trabalha com a imaginação do espectador, estabelecendo com ele uma relação permeada de afetividade e significação, o que o conduz a, nessa situação, enxergar a mulher associada a seu ao desejo.</w:t>
      </w:r>
    </w:p>
    <w:p w:rsidR="00D24E61" w:rsidRPr="001F386E" w:rsidRDefault="00D24E61">
      <w:pPr>
        <w:autoSpaceDE w:val="0"/>
        <w:spacing w:line="480" w:lineRule="auto"/>
        <w:ind w:left="170" w:right="113" w:firstLine="709"/>
        <w:jc w:val="both"/>
        <w:rPr>
          <w:sz w:val="24"/>
        </w:rPr>
      </w:pPr>
      <w:r w:rsidRPr="001F386E">
        <w:rPr>
          <w:sz w:val="24"/>
        </w:rPr>
        <w:t xml:space="preserve">Para melhor compreender o tratamento dado à mulher na produção cinematográfica e o papel social a ela imposto, é preciso analisar melhor a questão do gênero. </w:t>
      </w:r>
    </w:p>
    <w:p w:rsidR="00D24E61" w:rsidRPr="00771368" w:rsidRDefault="00D24E61">
      <w:pPr>
        <w:autoSpaceDE w:val="0"/>
        <w:spacing w:line="480" w:lineRule="auto"/>
        <w:ind w:left="170" w:right="113" w:firstLine="709"/>
        <w:jc w:val="both"/>
      </w:pPr>
    </w:p>
    <w:p w:rsidR="00D24E61" w:rsidRPr="001F386E" w:rsidRDefault="00D24E61">
      <w:pPr>
        <w:autoSpaceDE w:val="0"/>
        <w:spacing w:line="480" w:lineRule="auto"/>
        <w:ind w:left="170" w:right="113"/>
        <w:jc w:val="both"/>
        <w:rPr>
          <w:sz w:val="24"/>
        </w:rPr>
      </w:pPr>
      <w:r w:rsidRPr="001F386E">
        <w:rPr>
          <w:b/>
          <w:sz w:val="24"/>
        </w:rPr>
        <w:t>3.1 O Gênero</w:t>
      </w:r>
    </w:p>
    <w:p w:rsidR="00D24E61" w:rsidRPr="001F386E" w:rsidRDefault="00D24E61">
      <w:pPr>
        <w:autoSpaceDE w:val="0"/>
        <w:spacing w:line="480" w:lineRule="auto"/>
        <w:ind w:left="170" w:right="113" w:firstLine="709"/>
        <w:jc w:val="both"/>
        <w:rPr>
          <w:szCs w:val="20"/>
        </w:rPr>
      </w:pPr>
      <w:r w:rsidRPr="001F386E">
        <w:rPr>
          <w:sz w:val="24"/>
        </w:rPr>
        <w:t>Segundo Pierre Bourdieu (Bourdieu, 2002: 11).</w:t>
      </w:r>
    </w:p>
    <w:p w:rsidR="00D24E61" w:rsidRPr="00771368" w:rsidRDefault="00D24E61">
      <w:pPr>
        <w:autoSpaceDE w:val="0"/>
        <w:ind w:left="2126" w:right="113"/>
        <w:jc w:val="both"/>
        <w:rPr>
          <w:sz w:val="20"/>
          <w:szCs w:val="20"/>
        </w:rPr>
      </w:pPr>
      <w:r w:rsidRPr="00771368">
        <w:rPr>
          <w:sz w:val="20"/>
          <w:szCs w:val="20"/>
        </w:rPr>
        <w:t>É enquanto instrumentos estruturados e estruturantes de comunicação e de conhecimento que os sistemas simbólicos cumprem a sua função política de instrumentos de imposição ou de legitimação da dominação, que contribuem para assegurar a dominação de uma classe sobre outra (violência simbólica) dando reforço da sua própria força às relações de força que as fundamentam e contribuindo assim, segundo a expressão de Weber, para a domesticação dos dominados.</w:t>
      </w:r>
    </w:p>
    <w:p w:rsidR="00D24E61" w:rsidRPr="00771368" w:rsidRDefault="00D24E61">
      <w:pPr>
        <w:autoSpaceDE w:val="0"/>
        <w:ind w:left="2126" w:right="113"/>
        <w:jc w:val="both"/>
        <w:rPr>
          <w:sz w:val="20"/>
          <w:szCs w:val="20"/>
        </w:rPr>
      </w:pPr>
    </w:p>
    <w:p w:rsidR="00D24E61" w:rsidRPr="001F386E" w:rsidRDefault="00D24E61">
      <w:pPr>
        <w:autoSpaceDE w:val="0"/>
        <w:spacing w:line="480" w:lineRule="auto"/>
        <w:ind w:left="170" w:right="113" w:firstLine="709"/>
        <w:jc w:val="both"/>
        <w:rPr>
          <w:sz w:val="24"/>
        </w:rPr>
      </w:pPr>
      <w:r w:rsidRPr="001F386E">
        <w:rPr>
          <w:sz w:val="24"/>
        </w:rPr>
        <w:t>Ou seja, a imaginação objetivada se torna subjetiva através das instituições formadoras de consciência que abastecem a nossa maneira de viver a realidade, como se esta fosse uma verdade absoluta. A fala do autor indica que o reconhecimento dos temas relacionados às questões de gênero é preciso ser analisada dentro, inclusive, de uma perspectiva histórica. Desde o final do século XIX que as mulheres vêm lutando para ter visibilidade e mudar sua posição de subordinação na sociedade. Exemplo disso foi à luta pelo direito de voto, fato posteriormente considerado como a “primeira onda” do movimento feminista (LOURO, 1997, p.15).</w:t>
      </w:r>
    </w:p>
    <w:p w:rsidR="00D24E61" w:rsidRPr="001F386E" w:rsidRDefault="00D24E61">
      <w:pPr>
        <w:autoSpaceDE w:val="0"/>
        <w:spacing w:line="480" w:lineRule="auto"/>
        <w:ind w:left="170" w:right="113" w:firstLine="709"/>
        <w:jc w:val="both"/>
        <w:rPr>
          <w:sz w:val="24"/>
        </w:rPr>
      </w:pPr>
      <w:r w:rsidRPr="001F386E">
        <w:rPr>
          <w:sz w:val="24"/>
        </w:rPr>
        <w:t>Com todos os limites que possam ser apontados neste primeiro momento, relativos ao próprio objetivo da reivindicação, acrescido de reivindicações sobre o acesso aos estudos e a algumas profissões, que identificavam o movimento com as mulheres brancas de classe média. Que se constitui em um marco importante para o debate sobre a situação da mulher na sociedade.</w:t>
      </w:r>
    </w:p>
    <w:p w:rsidR="00D24E61" w:rsidRPr="001F386E" w:rsidRDefault="00D24E61">
      <w:pPr>
        <w:autoSpaceDE w:val="0"/>
        <w:spacing w:line="480" w:lineRule="auto"/>
        <w:ind w:left="170" w:right="113" w:firstLine="709"/>
        <w:jc w:val="both"/>
        <w:rPr>
          <w:sz w:val="24"/>
        </w:rPr>
      </w:pPr>
      <w:r w:rsidRPr="001F386E">
        <w:rPr>
          <w:sz w:val="24"/>
        </w:rPr>
        <w:t>Foi na década de 60 do século passado que o movimento feminista adquiriu um viés mais teórico, não se limitando aos aspectos políticos e sociais. Como resultado dessa inflexão, houve uma tentativa de desvincular as questões relativas à posição de subalternidade da mulher na sociedade da ideia de sexo.</w:t>
      </w:r>
    </w:p>
    <w:p w:rsidR="00D24E61" w:rsidRPr="001F386E" w:rsidRDefault="00D24E61">
      <w:pPr>
        <w:autoSpaceDE w:val="0"/>
        <w:spacing w:line="480" w:lineRule="auto"/>
        <w:ind w:left="170" w:right="113" w:firstLine="709"/>
        <w:jc w:val="both"/>
        <w:rPr>
          <w:sz w:val="24"/>
        </w:rPr>
      </w:pPr>
      <w:r w:rsidRPr="001F386E">
        <w:rPr>
          <w:sz w:val="24"/>
        </w:rPr>
        <w:t>Tradicionalmente as diferenças entre homens e mulheres eram interpretadas à luz da diferença entre os sexos. Esta concepção acabava por definir uma inclinação natural da mulher à realização de determinadas atividades, tais como o cuidado da casa, a criação dos filhos, o cuidado com a família e o cultivo de uma maior sensibilidade do que o homem. No conjunto, essas atribuições determinavam que a posição de subalternidade da mulher na sociedade dependia de questões inscritas no plano biológico e, logo, não tinham relação com variáveis sócio-culturais.</w:t>
      </w:r>
    </w:p>
    <w:p w:rsidR="00D24E61" w:rsidRPr="001F386E" w:rsidRDefault="00D24E61">
      <w:pPr>
        <w:autoSpaceDE w:val="0"/>
        <w:spacing w:line="480" w:lineRule="auto"/>
        <w:ind w:left="170" w:right="113" w:firstLine="709"/>
        <w:jc w:val="both"/>
        <w:rPr>
          <w:sz w:val="24"/>
        </w:rPr>
      </w:pPr>
      <w:r w:rsidRPr="001F386E">
        <w:rPr>
          <w:sz w:val="24"/>
        </w:rPr>
        <w:t xml:space="preserve">Scott (1995, p. 72) aponta que os termos sexo e diferença sexual assumiam uma função ideológica, uma vez que limitavam as relações entre os gêneros ao plano biológico. Portanto, ao se analisar a construção social e, consequentemente, como isso se manifesta através da linguagem, pode-se perceber que, durante muito tempo, as relações entre homens e mulheres dependeram da criação de um conceito que explicitasse essa mesma construção social daquilo, ou seja, de como homens e mulheres eram vistos e entendidos socialmente. Isso significa que as identidades (feminina e masculina) não eram historicamente invariáveis. Pelo contrário, eram na verdade construções relacionadas aos contextos sociais vigentes. </w:t>
      </w:r>
    </w:p>
    <w:p w:rsidR="00D24E61" w:rsidRPr="001F386E" w:rsidRDefault="00D24E61">
      <w:pPr>
        <w:autoSpaceDE w:val="0"/>
        <w:spacing w:line="480" w:lineRule="auto"/>
        <w:ind w:left="170" w:right="113" w:firstLine="709"/>
        <w:jc w:val="both"/>
        <w:rPr>
          <w:sz w:val="24"/>
        </w:rPr>
      </w:pPr>
      <w:r w:rsidRPr="001F386E">
        <w:rPr>
          <w:sz w:val="24"/>
        </w:rPr>
        <w:t>No caso das mulheres, havia também a intenção de ressaltar que aqueles traços a elas atribuídos não eram oriundos de sua natureza, mas dependiam da expressão cultural da sociedade da qual fizesse parte. Assim, a posição de inferioridade feminina era construída conforme o contexto social que a cercava e de como esse aspecto era tratado pelos homens.</w:t>
      </w:r>
    </w:p>
    <w:p w:rsidR="00D24E61" w:rsidRPr="001F386E" w:rsidRDefault="00D24E61">
      <w:pPr>
        <w:autoSpaceDE w:val="0"/>
        <w:spacing w:line="480" w:lineRule="auto"/>
        <w:ind w:left="170" w:right="113" w:firstLine="709"/>
        <w:jc w:val="both"/>
        <w:rPr>
          <w:szCs w:val="20"/>
        </w:rPr>
      </w:pPr>
      <w:r w:rsidRPr="001F386E">
        <w:rPr>
          <w:sz w:val="24"/>
        </w:rPr>
        <w:t>Segundo Alves et al. (2013, online),</w:t>
      </w:r>
    </w:p>
    <w:p w:rsidR="00D24E61" w:rsidRPr="00771368" w:rsidRDefault="00D24E61">
      <w:pPr>
        <w:autoSpaceDE w:val="0"/>
        <w:ind w:left="2124" w:right="113"/>
        <w:jc w:val="both"/>
      </w:pPr>
      <w:r w:rsidRPr="00771368">
        <w:rPr>
          <w:sz w:val="20"/>
          <w:szCs w:val="20"/>
        </w:rPr>
        <w:t>Ao invés de falar-se em sexo, passou a falar-se em gênero para definir essas características sócio-culturalmente definidas. Não se pretende negar a realidade “primeira” da biologia, apenas relativizar a sua importância. Pretendia-se acentuar que a nossa constituição biológica é de base a partir da qual a cultura opera, estabelecendo de modo relacional as diferenças entre homens e mulheres e neste processo definindo quais as características que constituem um e outra. Por sua própria natureza, o conceito de gênero nasceu não como um instrumento neutro de análise da realidade, mas como uma ferramenta política que ao definir a posição de subalternidade da mulher em termos sócio-culturais, apontava para a possibilidade de, reconhecendo os mecanismos de exclusão, criar estratégias políticas de sua superação.</w:t>
      </w:r>
    </w:p>
    <w:p w:rsidR="00D24E61" w:rsidRPr="00771368" w:rsidRDefault="00D24E61">
      <w:pPr>
        <w:autoSpaceDE w:val="0"/>
        <w:spacing w:line="480" w:lineRule="auto"/>
        <w:ind w:left="170" w:right="113" w:firstLine="709"/>
        <w:jc w:val="both"/>
      </w:pPr>
      <w:r w:rsidRPr="00771368">
        <w:tab/>
      </w:r>
    </w:p>
    <w:p w:rsidR="00D24E61" w:rsidRPr="001F386E" w:rsidRDefault="00D24E61">
      <w:pPr>
        <w:autoSpaceDE w:val="0"/>
        <w:spacing w:line="480" w:lineRule="auto"/>
        <w:ind w:left="170" w:right="113" w:firstLine="709"/>
        <w:jc w:val="both"/>
        <w:rPr>
          <w:sz w:val="24"/>
        </w:rPr>
      </w:pPr>
      <w:r w:rsidRPr="001F386E">
        <w:rPr>
          <w:sz w:val="24"/>
        </w:rPr>
        <w:t xml:space="preserve">A fala da autora revela que, embora muito tenha sido feito para romper com o sexismo, a sociedade ainda é marcada por um grande abismo no tratamento dispensado a homens e mulheres. </w:t>
      </w:r>
    </w:p>
    <w:p w:rsidR="00D24E61" w:rsidRPr="001F386E" w:rsidRDefault="00D24E61">
      <w:pPr>
        <w:autoSpaceDE w:val="0"/>
        <w:spacing w:line="480" w:lineRule="auto"/>
        <w:ind w:left="170" w:right="113" w:firstLine="709"/>
        <w:jc w:val="both"/>
        <w:rPr>
          <w:szCs w:val="20"/>
        </w:rPr>
      </w:pPr>
      <w:r w:rsidRPr="001F386E">
        <w:rPr>
          <w:sz w:val="24"/>
        </w:rPr>
        <w:t>O que pode ser atestado pela afirmação de Gomes (2006, p. 37):</w:t>
      </w:r>
    </w:p>
    <w:p w:rsidR="00D24E61" w:rsidRPr="00771368" w:rsidRDefault="00D24E61">
      <w:pPr>
        <w:autoSpaceDE w:val="0"/>
        <w:ind w:left="2124" w:right="113"/>
        <w:jc w:val="both"/>
      </w:pPr>
      <w:r w:rsidRPr="00771368">
        <w:rPr>
          <w:sz w:val="20"/>
          <w:szCs w:val="20"/>
        </w:rPr>
        <w:t>Essa estrutura social naturalizada induz a uma enormidade de ações e decisões inquestionáveis. Assim, cabe à mulher o cuidado dos filhos, do marido, e todas as atividades por vezes invisíveis realizadas no âmbito privado, já ao homem são atribuídas àquelas tarefas perigosas ou espetaculares do espaço público. Dessa forma, o espaço de lutas vai muito além do âmbito doméstico, há sempre uma mão direita e uma mão esquerda no Estado (...). Outra face da divisão sexual do trabalho refere-se ao fato de que uma mesma tarefa pode conferir grande prestígio quando executada por homem, e se considerada elementar ou fútil quando executada por mulher.</w:t>
      </w:r>
    </w:p>
    <w:p w:rsidR="00D24E61" w:rsidRPr="00771368" w:rsidRDefault="00D24E61">
      <w:pPr>
        <w:autoSpaceDE w:val="0"/>
        <w:spacing w:line="480" w:lineRule="auto"/>
        <w:ind w:left="170" w:right="113" w:firstLine="709"/>
        <w:jc w:val="both"/>
      </w:pPr>
    </w:p>
    <w:p w:rsidR="00D24E61" w:rsidRPr="001F386E" w:rsidRDefault="00D24E61">
      <w:pPr>
        <w:autoSpaceDE w:val="0"/>
        <w:spacing w:line="480" w:lineRule="auto"/>
        <w:ind w:left="170" w:right="113" w:firstLine="709"/>
        <w:jc w:val="both"/>
        <w:rPr>
          <w:szCs w:val="20"/>
        </w:rPr>
      </w:pPr>
      <w:r w:rsidRPr="001F386E">
        <w:rPr>
          <w:sz w:val="24"/>
        </w:rPr>
        <w:t>Scott (1995, p. 73), por sua vez, estabelece que o gênero</w:t>
      </w:r>
    </w:p>
    <w:p w:rsidR="00D24E61" w:rsidRPr="00771368" w:rsidRDefault="00D24E61">
      <w:pPr>
        <w:autoSpaceDE w:val="0"/>
        <w:ind w:left="2124" w:right="113"/>
        <w:jc w:val="both"/>
        <w:rPr>
          <w:sz w:val="20"/>
          <w:szCs w:val="20"/>
        </w:rPr>
      </w:pPr>
      <w:r w:rsidRPr="00771368">
        <w:rPr>
          <w:sz w:val="20"/>
          <w:szCs w:val="20"/>
        </w:rPr>
        <w:t xml:space="preserve">[...] exige a análise não só da relação entre experiências masculinas e femininas no passado, mas, também, a ligação entre a história do passado e as práticas históricas atuais. Como é que o gênero funciona nas relações sociais humanas? Como é que o gênero dá um sentido à organização e à percepção do conhecimento histórico? As respostas dependem do gênero como categoria de análise. </w:t>
      </w:r>
    </w:p>
    <w:p w:rsidR="00D24E61" w:rsidRPr="00771368" w:rsidRDefault="00D24E61">
      <w:pPr>
        <w:autoSpaceDE w:val="0"/>
        <w:ind w:left="2124" w:right="113"/>
        <w:jc w:val="both"/>
        <w:rPr>
          <w:sz w:val="20"/>
          <w:szCs w:val="20"/>
        </w:rPr>
      </w:pPr>
    </w:p>
    <w:p w:rsidR="00D24E61" w:rsidRPr="001F386E" w:rsidRDefault="00D24E61">
      <w:pPr>
        <w:autoSpaceDE w:val="0"/>
        <w:spacing w:line="480" w:lineRule="auto"/>
        <w:ind w:left="170" w:right="113" w:firstLine="709"/>
        <w:jc w:val="both"/>
        <w:rPr>
          <w:sz w:val="24"/>
        </w:rPr>
      </w:pPr>
      <w:r w:rsidRPr="001F386E">
        <w:rPr>
          <w:sz w:val="24"/>
        </w:rPr>
        <w:t>Do ponto de vista da distribuição, a distinção de gênero acentua a desigualdade originada na estrutura econômica. Assim, por exemplo, o trabalho doméstico não é reconhecido e nem remunerado como trabalho; as mulheres ainda recebem salários menores para o desempenho de função idênticas àquelas exercidas por homens e na ocupação de determinados cargos e menor rendimento e condições às mulheres.</w:t>
      </w:r>
    </w:p>
    <w:p w:rsidR="00D24E61" w:rsidRPr="001F386E" w:rsidRDefault="00D24E61">
      <w:pPr>
        <w:autoSpaceDE w:val="0"/>
        <w:spacing w:line="480" w:lineRule="auto"/>
        <w:ind w:left="170" w:right="113" w:firstLine="709"/>
        <w:jc w:val="both"/>
        <w:rPr>
          <w:sz w:val="24"/>
        </w:rPr>
      </w:pPr>
      <w:r w:rsidRPr="001F386E">
        <w:rPr>
          <w:sz w:val="24"/>
        </w:rPr>
        <w:t>Quanto à dimensão do reconhecimento, as relações de gênero definem aqueles padrões originados dos padrões culturais que constituem as maneiras de interpretar e avaliar a posição da mulher, conferindo-lhe este espaço de subalternidade. Embora já tenham ocorrido mudanças significativas nesse cenário, há uma série de obstáculos a serem transpostos.  A mulher continua tanto do ponto de vista da distribuição quanto do reconhecimento em posição de inferioridade.</w:t>
      </w:r>
    </w:p>
    <w:p w:rsidR="00D24E61" w:rsidRPr="001F386E" w:rsidRDefault="00D24E61">
      <w:pPr>
        <w:autoSpaceDE w:val="0"/>
        <w:spacing w:line="480" w:lineRule="auto"/>
        <w:ind w:left="170" w:right="113" w:firstLine="709"/>
        <w:jc w:val="both"/>
        <w:rPr>
          <w:sz w:val="24"/>
        </w:rPr>
      </w:pPr>
    </w:p>
    <w:p w:rsidR="001F386E" w:rsidRDefault="001F386E">
      <w:pPr>
        <w:autoSpaceDE w:val="0"/>
        <w:spacing w:line="480" w:lineRule="auto"/>
        <w:ind w:left="170" w:right="113"/>
        <w:jc w:val="both"/>
        <w:rPr>
          <w:b/>
          <w:sz w:val="24"/>
        </w:rPr>
      </w:pPr>
    </w:p>
    <w:p w:rsidR="001F386E" w:rsidRDefault="001F386E">
      <w:pPr>
        <w:autoSpaceDE w:val="0"/>
        <w:spacing w:line="480" w:lineRule="auto"/>
        <w:ind w:left="170" w:right="113"/>
        <w:jc w:val="both"/>
        <w:rPr>
          <w:b/>
          <w:sz w:val="24"/>
        </w:rPr>
      </w:pPr>
    </w:p>
    <w:p w:rsidR="00D24E61" w:rsidRPr="001F386E" w:rsidRDefault="00D24E61">
      <w:pPr>
        <w:autoSpaceDE w:val="0"/>
        <w:spacing w:line="480" w:lineRule="auto"/>
        <w:ind w:left="170" w:right="113"/>
        <w:jc w:val="both"/>
        <w:rPr>
          <w:sz w:val="24"/>
        </w:rPr>
      </w:pPr>
      <w:r w:rsidRPr="001F386E">
        <w:rPr>
          <w:b/>
          <w:sz w:val="24"/>
        </w:rPr>
        <w:t>3.2 A mulher, a mídia e o cinema</w:t>
      </w:r>
    </w:p>
    <w:p w:rsidR="00D24E61" w:rsidRPr="001F386E" w:rsidRDefault="00D24E61">
      <w:pPr>
        <w:autoSpaceDE w:val="0"/>
        <w:spacing w:line="480" w:lineRule="auto"/>
        <w:ind w:left="170" w:right="113" w:firstLine="709"/>
        <w:jc w:val="both"/>
        <w:rPr>
          <w:sz w:val="24"/>
        </w:rPr>
      </w:pPr>
      <w:r w:rsidRPr="001F386E">
        <w:rPr>
          <w:sz w:val="24"/>
        </w:rPr>
        <w:t>A mulher é, amiúde, ilustrada como menos competentes e ineficazes e em todos os espaços além do universo doméstico, a idéia repassada de mulher ideal é alguém jovem, esbelta, bonita, feminina, subordinada e meiga e está condenada à condição de objeto sexual, de esposa dedicada e de mãe generosa. Sempre carente de um homem que a resguarde das ameaças do mundo; sendo assim, vive em função da procura do grande e categórico amor de sua vida. O homem é o complemento imprescindível para sua existência plena e feliz</w:t>
      </w:r>
    </w:p>
    <w:p w:rsidR="00D24E61" w:rsidRPr="001F386E" w:rsidRDefault="00D24E61">
      <w:pPr>
        <w:autoSpaceDE w:val="0"/>
        <w:spacing w:line="480" w:lineRule="auto"/>
        <w:ind w:left="170" w:right="113" w:firstLine="709"/>
        <w:jc w:val="both"/>
        <w:rPr>
          <w:sz w:val="24"/>
        </w:rPr>
      </w:pPr>
      <w:r w:rsidRPr="001F386E">
        <w:rPr>
          <w:sz w:val="24"/>
        </w:rPr>
        <w:t xml:space="preserve">O que se retrata, na maior parte das linguagens audiovisuais, é o clichê “Cinderela”, no qual o casamento e filhos são importantíssimos. Temas conflitantes são evitados. Ou seja, a felicidade da mulher está diretamente ligada ao cumprimento da estrutura social e restrita ao ambiente doméstico, suas carreiras são postas em segundo plano, a não ser quando “não tem escolha”, sendo pobres, abandonadas, sem família. </w:t>
      </w:r>
    </w:p>
    <w:p w:rsidR="00D24E61" w:rsidRPr="001F386E" w:rsidRDefault="00D24E61">
      <w:pPr>
        <w:autoSpaceDE w:val="0"/>
        <w:spacing w:line="480" w:lineRule="auto"/>
        <w:ind w:left="170" w:right="113" w:firstLine="709"/>
        <w:jc w:val="both"/>
        <w:rPr>
          <w:sz w:val="24"/>
        </w:rPr>
      </w:pPr>
      <w:r w:rsidRPr="001F386E">
        <w:rPr>
          <w:sz w:val="24"/>
        </w:rPr>
        <w:t>Boa parte das mulheres retratadas nos filmes e mídia em geral, caso seus trabalhos não estejam diretamente ligados ao feminino, q</w:t>
      </w:r>
    </w:p>
    <w:p w:rsidR="00D24E61" w:rsidRPr="001F386E" w:rsidRDefault="00D24E61">
      <w:pPr>
        <w:autoSpaceDE w:val="0"/>
        <w:spacing w:line="480" w:lineRule="auto"/>
        <w:ind w:left="170" w:right="113" w:firstLine="709"/>
        <w:jc w:val="both"/>
        <w:rPr>
          <w:szCs w:val="20"/>
        </w:rPr>
      </w:pPr>
      <w:r w:rsidRPr="001F386E">
        <w:rPr>
          <w:sz w:val="24"/>
        </w:rPr>
        <w:t>De acordo com Duarte (2013, online),</w:t>
      </w:r>
    </w:p>
    <w:p w:rsidR="00D24E61" w:rsidRPr="00771368" w:rsidRDefault="00D24E61">
      <w:pPr>
        <w:autoSpaceDE w:val="0"/>
        <w:ind w:left="2124" w:right="113"/>
        <w:jc w:val="both"/>
        <w:rPr>
          <w:sz w:val="20"/>
          <w:szCs w:val="20"/>
        </w:rPr>
      </w:pPr>
      <w:r w:rsidRPr="00771368">
        <w:rPr>
          <w:sz w:val="20"/>
          <w:szCs w:val="20"/>
        </w:rPr>
        <w:t>A representação negativa, construída com base em conceitos machistas e reacionários acerca do que a sociedade espera da mulher, denunciada originalmente por Tuchmann, ainda pode ser detectada pelas pesquisas que analisam relações entre gênero e mídia. Um estudo realizado no Brasil, em fevereiro de 1999, por CPM-Market Research para o Grupo Tver (organização não governamental, que congrega pesquisadores e demais interessados em discutir e analisar a produção televisiva no Brasil), entrevistou mulheres de diferentes faixas etárias e camadas sociais, residentes na cidade de São Paulo e possuidoras de aparelhos de TV, buscando compreender como elas se vêem retratadas pela programação da televisão e “levantar quais as figuras femininas que servem de modelo e quais não, para esse público.</w:t>
      </w:r>
    </w:p>
    <w:p w:rsidR="00D24E61" w:rsidRPr="00771368" w:rsidRDefault="00D24E61">
      <w:pPr>
        <w:autoSpaceDE w:val="0"/>
        <w:ind w:left="2124" w:right="113"/>
        <w:jc w:val="both"/>
        <w:rPr>
          <w:sz w:val="20"/>
          <w:szCs w:val="20"/>
        </w:rPr>
      </w:pPr>
    </w:p>
    <w:p w:rsidR="00D24E61" w:rsidRPr="001F386E" w:rsidRDefault="00D24E61">
      <w:pPr>
        <w:autoSpaceDE w:val="0"/>
        <w:spacing w:line="480" w:lineRule="auto"/>
        <w:ind w:left="170" w:right="113" w:firstLine="709"/>
        <w:jc w:val="both"/>
        <w:rPr>
          <w:szCs w:val="20"/>
        </w:rPr>
      </w:pPr>
      <w:r w:rsidRPr="001F386E">
        <w:rPr>
          <w:sz w:val="24"/>
        </w:rPr>
        <w:t>A autora comenta que</w:t>
      </w:r>
    </w:p>
    <w:p w:rsidR="00D24E61" w:rsidRPr="00771368" w:rsidRDefault="00D24E61">
      <w:pPr>
        <w:autoSpaceDE w:val="0"/>
        <w:ind w:left="2124" w:right="113"/>
        <w:jc w:val="both"/>
        <w:rPr>
          <w:sz w:val="20"/>
          <w:szCs w:val="20"/>
        </w:rPr>
      </w:pPr>
      <w:r w:rsidRPr="00771368">
        <w:rPr>
          <w:sz w:val="20"/>
          <w:szCs w:val="20"/>
        </w:rPr>
        <w:t>Os resultados indicaram uma enorme insatisfação por parte dessas mulheres quanto ao conteúdo dos programas exibidos pela televisão, sobretudo aqueles que são direcionados ao público feminino — 76% das entrevistadas consideraram a programação da tevê aberta apenas regular no que diz respeito as suas necessidades (mulheres são maioria também entre os espectadores de televisão no Brasil). Além disso, são enfáticas as críticas feitas pelas telespectadoras à representação dominante da mulher nos produtos televisivos, considerada por elas como sendo “invasiva e degradante” (DUARTE, 2013, online)</w:t>
      </w:r>
    </w:p>
    <w:p w:rsidR="00D24E61" w:rsidRPr="00771368" w:rsidRDefault="00D24E61">
      <w:pPr>
        <w:autoSpaceDE w:val="0"/>
        <w:ind w:left="2124" w:right="113"/>
        <w:jc w:val="both"/>
        <w:rPr>
          <w:sz w:val="20"/>
          <w:szCs w:val="20"/>
        </w:rPr>
      </w:pPr>
    </w:p>
    <w:p w:rsidR="00D24E61" w:rsidRPr="001F386E" w:rsidRDefault="00D24E61">
      <w:pPr>
        <w:autoSpaceDE w:val="0"/>
        <w:spacing w:line="480" w:lineRule="auto"/>
        <w:ind w:left="170" w:right="113" w:firstLine="709"/>
        <w:jc w:val="both"/>
        <w:rPr>
          <w:sz w:val="24"/>
        </w:rPr>
      </w:pPr>
      <w:r w:rsidRPr="001F386E">
        <w:rPr>
          <w:sz w:val="24"/>
        </w:rPr>
        <w:t>Mesmo com o grande avanço da emancipação feminina nos anos 1960, as mulheres do cinema ainda são construídas com base nesses arquétipos, escondendo-se atrás de um romantismo exagerado, totalmente dispare do modo real de sua vida. Sendo assim, ainda hoje, o feminismo é, de certo modo, ignorado no cinema.</w:t>
      </w:r>
    </w:p>
    <w:p w:rsidR="00D24E61" w:rsidRPr="001F386E" w:rsidRDefault="00D24E61">
      <w:pPr>
        <w:autoSpaceDE w:val="0"/>
        <w:spacing w:line="480" w:lineRule="auto"/>
        <w:ind w:left="170" w:right="113" w:firstLine="709"/>
        <w:jc w:val="both"/>
        <w:rPr>
          <w:sz w:val="24"/>
        </w:rPr>
      </w:pPr>
      <w:r w:rsidRPr="001F386E">
        <w:rPr>
          <w:sz w:val="24"/>
        </w:rPr>
        <w:t>Os papéis femininos, bem como suas intérpretes, sempre concebidos de forma estereotipada (devassa ou puritana) serão continuamente vítimas de si mesmas ou de fatores externos. Mesmo quando a narrativa permite algum tipo de reação, as mulheres nunca assumem o papel de verdadeira heroína. O mais comum é que cumpram o papel de pessoas passivas, sem identidade nem voz própria e até mesmo assumindo uma postura reacionária. Justamente por causa desses fatores sociais é que o cinema sempre se mostrou defasado com relação à revolução sexual.</w:t>
      </w:r>
    </w:p>
    <w:p w:rsidR="00D24E61" w:rsidRPr="001F386E" w:rsidRDefault="00D24E61">
      <w:pPr>
        <w:autoSpaceDE w:val="0"/>
        <w:spacing w:line="480" w:lineRule="auto"/>
        <w:ind w:left="170" w:right="113" w:firstLine="709"/>
        <w:jc w:val="both"/>
        <w:rPr>
          <w:sz w:val="24"/>
        </w:rPr>
      </w:pPr>
      <w:r w:rsidRPr="001F386E">
        <w:rPr>
          <w:sz w:val="24"/>
        </w:rPr>
        <w:t xml:space="preserve">Ainda que alguns filmes inovem com apresentando uma mulher com características independentes, “senhoras dos seus destinos”, a exemplo dos filmes infantis </w:t>
      </w:r>
      <w:r w:rsidRPr="001F386E">
        <w:rPr>
          <w:i/>
          <w:sz w:val="24"/>
        </w:rPr>
        <w:t>Valente</w:t>
      </w:r>
      <w:r w:rsidRPr="001F386E">
        <w:rPr>
          <w:sz w:val="24"/>
        </w:rPr>
        <w:t xml:space="preserve">, </w:t>
      </w:r>
      <w:r w:rsidRPr="001F386E">
        <w:rPr>
          <w:i/>
          <w:sz w:val="24"/>
        </w:rPr>
        <w:t>A pequena Sereia</w:t>
      </w:r>
      <w:r w:rsidRPr="001F386E">
        <w:rPr>
          <w:sz w:val="24"/>
        </w:rPr>
        <w:t>, bem como outros filmes como:</w:t>
      </w:r>
      <w:r w:rsidRPr="001F386E">
        <w:rPr>
          <w:i/>
          <w:sz w:val="24"/>
        </w:rPr>
        <w:t xml:space="preserve"> Entre o amor e a paixão, Um divã para dois, Prometheus e Era uma vez eu, Verônica</w:t>
      </w:r>
      <w:r w:rsidRPr="001F386E">
        <w:rPr>
          <w:sz w:val="24"/>
        </w:rPr>
        <w:t>. Há um claro avanço, fruto das novas posturas sociais assumidas pela mulher, todavia ainda vigoram personagens estereotipados acerca da mulher.</w:t>
      </w:r>
    </w:p>
    <w:p w:rsidR="00D24E61" w:rsidRPr="00771368" w:rsidRDefault="00D24E61">
      <w:pPr>
        <w:autoSpaceDE w:val="0"/>
        <w:spacing w:line="480" w:lineRule="auto"/>
        <w:ind w:left="170" w:right="113" w:firstLine="709"/>
        <w:jc w:val="both"/>
      </w:pPr>
    </w:p>
    <w:p w:rsidR="00D24E61" w:rsidRPr="00771368" w:rsidRDefault="00D24E61">
      <w:pPr>
        <w:autoSpaceDE w:val="0"/>
        <w:spacing w:line="480" w:lineRule="auto"/>
        <w:ind w:left="170" w:right="113"/>
        <w:jc w:val="both"/>
      </w:pPr>
      <w:r w:rsidRPr="00771368">
        <w:rPr>
          <w:b/>
          <w:sz w:val="28"/>
          <w:szCs w:val="28"/>
        </w:rPr>
        <w:t>4. O feminino no cinema nacional</w:t>
      </w:r>
    </w:p>
    <w:p w:rsidR="00D24E61" w:rsidRPr="001F386E" w:rsidRDefault="00D24E61">
      <w:pPr>
        <w:autoSpaceDE w:val="0"/>
        <w:spacing w:line="480" w:lineRule="auto"/>
        <w:ind w:left="170" w:right="113" w:firstLine="709"/>
        <w:jc w:val="both"/>
        <w:rPr>
          <w:sz w:val="24"/>
        </w:rPr>
      </w:pPr>
      <w:r w:rsidRPr="001F386E">
        <w:rPr>
          <w:sz w:val="24"/>
        </w:rPr>
        <w:t xml:space="preserve">Uma análise da história da cinematografia brasileira evidencia uma forte influência do sistema patriarcal e de seus valores, já que a participação da mulher na sociedade nunca foi total. Sendo assim, conceitos sociais há muito arraigados são reproduzidos nas telas, mostrando a mulher como mero objeto ou sem participação da sociedade produtiva, já que a cultura oficial sempre esteve nas mãos das classes dominantes. </w:t>
      </w:r>
    </w:p>
    <w:p w:rsidR="00D24E61" w:rsidRPr="001F386E" w:rsidRDefault="00D24E61">
      <w:pPr>
        <w:autoSpaceDE w:val="0"/>
        <w:spacing w:line="480" w:lineRule="auto"/>
        <w:ind w:left="170" w:right="113" w:firstLine="709"/>
        <w:jc w:val="both"/>
        <w:rPr>
          <w:sz w:val="24"/>
        </w:rPr>
      </w:pPr>
      <w:r w:rsidRPr="001F386E">
        <w:rPr>
          <w:sz w:val="24"/>
        </w:rPr>
        <w:t>Uma vez que o cinema nacional inicialmente copiava os moldes do cinema norte-americano (</w:t>
      </w:r>
      <w:r w:rsidRPr="001F386E">
        <w:rPr>
          <w:i/>
          <w:sz w:val="24"/>
        </w:rPr>
        <w:t>star system</w:t>
      </w:r>
      <w:r w:rsidRPr="001F386E">
        <w:rPr>
          <w:sz w:val="24"/>
        </w:rPr>
        <w:t>), as produções cinematográficas brasileiras não possuíam então identidade própria, limitando-se a imitar o modelo americano.</w:t>
      </w:r>
    </w:p>
    <w:p w:rsidR="00D24E61" w:rsidRPr="001F386E" w:rsidRDefault="00D24E61">
      <w:pPr>
        <w:autoSpaceDE w:val="0"/>
        <w:spacing w:line="480" w:lineRule="auto"/>
        <w:ind w:left="170" w:right="113" w:firstLine="709"/>
        <w:jc w:val="both"/>
        <w:rPr>
          <w:sz w:val="24"/>
        </w:rPr>
      </w:pPr>
      <w:r w:rsidRPr="001F386E">
        <w:rPr>
          <w:sz w:val="24"/>
        </w:rPr>
        <w:t xml:space="preserve">Sobre esse aspecto, Paranaguá (1984, p. 108) pontua que, nessa época, “Nosso modelo era o cinema norte-americano [...]. Dentro de nossa conjuntura é natural que tentemos imitá-lo.” </w:t>
      </w:r>
    </w:p>
    <w:p w:rsidR="00D24E61" w:rsidRPr="001F386E" w:rsidRDefault="00D24E61">
      <w:pPr>
        <w:autoSpaceDE w:val="0"/>
        <w:spacing w:line="480" w:lineRule="auto"/>
        <w:ind w:left="170" w:right="113" w:firstLine="709"/>
        <w:jc w:val="both"/>
        <w:rPr>
          <w:sz w:val="24"/>
        </w:rPr>
      </w:pPr>
      <w:r w:rsidRPr="001F386E">
        <w:rPr>
          <w:sz w:val="24"/>
        </w:rPr>
        <w:t>Por isso é importante destacar a atuação da revista Cinearte, distribuída de 1926 a 1942. Dentro de uma linha bastante nacionalista, a revista foi fundamental para o nascimento de uma consciência cinematográfica nacional, ainda que sua editoração também seguisse o modelo americano. As reproduções fotográficas das atrizes do cinema brasileiro, nos meios de comunicação impressos, foram o principal meio utilizado para divulgá-las, já que seus filmes eram pouco vistos. Ao mesmo tempo, a Cinearte foi o melhor instrumento para a incorporação do modelo hollywoodiano aqui.</w:t>
      </w:r>
    </w:p>
    <w:p w:rsidR="00D24E61" w:rsidRPr="001F386E" w:rsidRDefault="00D24E61">
      <w:pPr>
        <w:autoSpaceDE w:val="0"/>
        <w:spacing w:line="480" w:lineRule="auto"/>
        <w:ind w:left="170" w:right="113" w:firstLine="709"/>
        <w:jc w:val="both"/>
        <w:rPr>
          <w:sz w:val="24"/>
        </w:rPr>
      </w:pPr>
    </w:p>
    <w:p w:rsidR="00D24E61" w:rsidRPr="001F386E" w:rsidRDefault="00D24E61">
      <w:pPr>
        <w:autoSpaceDE w:val="0"/>
        <w:spacing w:line="480" w:lineRule="auto"/>
        <w:ind w:right="113"/>
        <w:jc w:val="both"/>
        <w:rPr>
          <w:sz w:val="24"/>
        </w:rPr>
      </w:pPr>
      <w:r w:rsidRPr="001F386E">
        <w:rPr>
          <w:rFonts w:eastAsia="Arial"/>
          <w:b/>
          <w:sz w:val="24"/>
        </w:rPr>
        <w:t xml:space="preserve">   </w:t>
      </w:r>
      <w:r w:rsidRPr="001F386E">
        <w:rPr>
          <w:b/>
          <w:sz w:val="24"/>
        </w:rPr>
        <w:t>4.1 O início</w:t>
      </w:r>
    </w:p>
    <w:p w:rsidR="00D24E61" w:rsidRPr="001F386E" w:rsidRDefault="00D24E61">
      <w:pPr>
        <w:autoSpaceDE w:val="0"/>
        <w:spacing w:line="480" w:lineRule="auto"/>
        <w:ind w:left="170" w:right="113" w:firstLine="709"/>
        <w:jc w:val="both"/>
        <w:rPr>
          <w:sz w:val="24"/>
        </w:rPr>
      </w:pPr>
      <w:r w:rsidRPr="001F386E">
        <w:rPr>
          <w:sz w:val="24"/>
        </w:rPr>
        <w:t xml:space="preserve">A primeira mulher brasileira a realizar um filme a atriz Cleo de Verbena que, em 1930, produziu o filme </w:t>
      </w:r>
      <w:r w:rsidRPr="001F386E">
        <w:rPr>
          <w:i/>
          <w:sz w:val="24"/>
        </w:rPr>
        <w:t>O Mistério do Dominó</w:t>
      </w:r>
      <w:r w:rsidRPr="001F386E">
        <w:rPr>
          <w:sz w:val="24"/>
        </w:rPr>
        <w:t xml:space="preserve">, filme onde atua, dirige e financia.  No ano seguinte ela entrega a realização de seu segundo filme, </w:t>
      </w:r>
      <w:r w:rsidRPr="001F386E">
        <w:rPr>
          <w:i/>
          <w:sz w:val="24"/>
        </w:rPr>
        <w:t>Canção do Destino</w:t>
      </w:r>
      <w:r w:rsidRPr="001F386E">
        <w:rPr>
          <w:sz w:val="24"/>
        </w:rPr>
        <w:t xml:space="preserve">, a outro cineasta que o deixou inacabado. </w:t>
      </w:r>
    </w:p>
    <w:p w:rsidR="00D24E61" w:rsidRPr="001F386E" w:rsidRDefault="00D24E61">
      <w:pPr>
        <w:autoSpaceDE w:val="0"/>
        <w:spacing w:line="480" w:lineRule="auto"/>
        <w:ind w:left="170" w:right="113" w:firstLine="709"/>
        <w:jc w:val="both"/>
        <w:rPr>
          <w:sz w:val="24"/>
        </w:rPr>
      </w:pPr>
      <w:r w:rsidRPr="001F386E">
        <w:rPr>
          <w:sz w:val="24"/>
        </w:rPr>
        <w:t xml:space="preserve">Pouco depois, a portuguesa radicada no Brasil, Carmem Santos, segue seu exemplo.  Atriz competente e exigente, Carmem trabalhou com o lendário Mario Peixoto, de </w:t>
      </w:r>
      <w:r w:rsidRPr="001F386E">
        <w:rPr>
          <w:i/>
          <w:sz w:val="24"/>
        </w:rPr>
        <w:t xml:space="preserve">Limite </w:t>
      </w:r>
      <w:r w:rsidRPr="001F386E">
        <w:rPr>
          <w:sz w:val="24"/>
        </w:rPr>
        <w:t xml:space="preserve">(1929) e, com Humberto Mauro em </w:t>
      </w:r>
      <w:r w:rsidRPr="001F386E">
        <w:rPr>
          <w:i/>
          <w:sz w:val="24"/>
        </w:rPr>
        <w:t>Sangue Mineiro</w:t>
      </w:r>
      <w:r w:rsidRPr="001F386E">
        <w:rPr>
          <w:sz w:val="24"/>
        </w:rPr>
        <w:t xml:space="preserve"> (1930), filmes estes que ela ajudou a produzir.  Depois ela funda a “Brasil Vita”, produtora de filmes no Rio de Janeiro, através da qual ela produz, dirige e interpreta o filme </w:t>
      </w:r>
      <w:r w:rsidRPr="001F386E">
        <w:rPr>
          <w:i/>
          <w:sz w:val="24"/>
        </w:rPr>
        <w:t>Inconfidência Mineira</w:t>
      </w:r>
      <w:r w:rsidRPr="001F386E">
        <w:rPr>
          <w:sz w:val="24"/>
        </w:rPr>
        <w:t xml:space="preserve">. A temática do filme em torno de Tiradentes, um herói nacional em luta contra o poder colonial.  </w:t>
      </w:r>
    </w:p>
    <w:p w:rsidR="00D24E61" w:rsidRPr="001F386E" w:rsidRDefault="00D24E61">
      <w:pPr>
        <w:autoSpaceDE w:val="0"/>
        <w:spacing w:line="480" w:lineRule="auto"/>
        <w:ind w:left="170" w:right="113" w:firstLine="709"/>
        <w:jc w:val="both"/>
        <w:rPr>
          <w:sz w:val="24"/>
        </w:rPr>
      </w:pPr>
      <w:r w:rsidRPr="001F386E">
        <w:rPr>
          <w:sz w:val="24"/>
        </w:rPr>
        <w:t>Nessa época, a única estrela brasileira a conseguir projeção internacional é Carmem Miranda, cuja fama foi alcançada por meio de filmes carnavalescos das décadas de 30 e 40, que se transformaram em verdadeiros êxitos de bilheteria no Brasil. Posteriormente, esses filmes culminariam na chanchada das décadas de 40 e 50, filmes que, em sua grande maioria, eram populares, marcados pela improvisação e espontaneidade. Os temas, normalmente, satirizavam o modelo de cinema norte-americano.</w:t>
      </w:r>
    </w:p>
    <w:p w:rsidR="00D24E61" w:rsidRPr="001F386E" w:rsidRDefault="00D24E61">
      <w:pPr>
        <w:autoSpaceDE w:val="0"/>
        <w:spacing w:line="480" w:lineRule="auto"/>
        <w:ind w:left="170" w:right="113" w:firstLine="709"/>
        <w:jc w:val="both"/>
        <w:rPr>
          <w:sz w:val="24"/>
        </w:rPr>
      </w:pPr>
      <w:r w:rsidRPr="001F386E">
        <w:rPr>
          <w:sz w:val="24"/>
        </w:rPr>
        <w:t>Estas mulheres atrizes são exemplos de ousadia e determinação que, usando seu capital financeiro e seu prestígio, produziam seus próprios filmes, criando condições para que a realização de filmes fosse conforme suas convicções.</w:t>
      </w:r>
    </w:p>
    <w:p w:rsidR="00D24E61" w:rsidRPr="001F386E" w:rsidRDefault="00D24E61">
      <w:pPr>
        <w:autoSpaceDE w:val="0"/>
        <w:spacing w:line="480" w:lineRule="auto"/>
        <w:ind w:left="170" w:right="113" w:firstLine="709"/>
        <w:jc w:val="both"/>
        <w:rPr>
          <w:sz w:val="24"/>
        </w:rPr>
      </w:pPr>
      <w:r w:rsidRPr="001F386E">
        <w:rPr>
          <w:sz w:val="24"/>
        </w:rPr>
        <w:t xml:space="preserve">Digna de nota também é a italiana Carla Civelli que, em 1959, monta a companhia “Vera Cruz”, em São Paulo. No mesmo ano em que o prestigiado Teatro Brasileiro de Comédia (TBC) dirige </w:t>
      </w:r>
      <w:r w:rsidRPr="001F386E">
        <w:rPr>
          <w:i/>
          <w:sz w:val="24"/>
        </w:rPr>
        <w:t>Um Caso de Polícia</w:t>
      </w:r>
      <w:r w:rsidRPr="001F386E">
        <w:rPr>
          <w:sz w:val="24"/>
        </w:rPr>
        <w:t>, Carla escreve e produz peças para rádio e teatro. Entre os talentos por ela contratados pela “Vera Cruz” figuravam: Tônia Carrero, Cacilda Becker, Paulo Autran, Juca de Oliveira, Irene Ravache, dentre outros.</w:t>
      </w:r>
    </w:p>
    <w:p w:rsidR="00D24E61" w:rsidRPr="001F386E" w:rsidRDefault="00D24E61">
      <w:pPr>
        <w:autoSpaceDE w:val="0"/>
        <w:spacing w:line="480" w:lineRule="auto"/>
        <w:ind w:left="170" w:right="113" w:firstLine="709"/>
        <w:jc w:val="both"/>
        <w:rPr>
          <w:sz w:val="24"/>
        </w:rPr>
      </w:pPr>
      <w:r w:rsidRPr="001F386E">
        <w:rPr>
          <w:sz w:val="24"/>
        </w:rPr>
        <w:t xml:space="preserve">Considerando a atuação feminina nos bastidores do cinema, seja como roteirista, produtora ou diretora, torna-se necessário mencionar também Gilda de Abreu. Funcionária da Cinédia, empresa carioca fundada por Adhemar Gonzaga nos moldes hollywoodianos, Gilda escrevia roteiros e depois também passou à direção. Em 1946, seu empregador lhe encomenda a direção de um melodrama cantante, intitulado </w:t>
      </w:r>
      <w:r w:rsidRPr="001F386E">
        <w:rPr>
          <w:i/>
          <w:sz w:val="24"/>
        </w:rPr>
        <w:t>O Ébrio</w:t>
      </w:r>
      <w:r w:rsidRPr="001F386E">
        <w:rPr>
          <w:sz w:val="24"/>
        </w:rPr>
        <w:t>. O filme obteve enorme sucesso de bilheteria, graças ao cantor popular Vicente Celestino, que era marido de Gilda.  Ela ainda realizou outros dois longas-metragens, nos anos seguintes da década de 40 e 50.</w:t>
      </w:r>
    </w:p>
    <w:p w:rsidR="00D24E61" w:rsidRPr="001F386E" w:rsidRDefault="00D24E61">
      <w:pPr>
        <w:autoSpaceDE w:val="0"/>
        <w:spacing w:line="480" w:lineRule="auto"/>
        <w:ind w:left="170" w:right="113" w:firstLine="709"/>
        <w:jc w:val="both"/>
        <w:rPr>
          <w:sz w:val="24"/>
        </w:rPr>
      </w:pPr>
      <w:r w:rsidRPr="001F386E">
        <w:rPr>
          <w:sz w:val="24"/>
        </w:rPr>
        <w:t>Esse primeiro momento do cinema brasileiro também foi marcado pelo movimento da chanchada, que se caracterizavam por filmes produzidos em sua maioria no Rio de Janeiro, em duas de suas principais empresas produtoras: a Cinédia e a Atlântida, tendo como principais diretores Lulu de Barros e Watson Macedo. Esse movimento se utilizava, principalmente, dos artistas do rádio e do Teatro de Revista para a formação de seu elenco. Dentre os quais se destacam: Oscarito, José Lewgoy, Dercy Gonçalves, Norma Benguel e Grande Othelo, entre outros. Os astros mencionados seriam depois incorporados ao movimento do Cinema Novo.</w:t>
      </w:r>
    </w:p>
    <w:p w:rsidR="00D24E61" w:rsidRPr="001F386E" w:rsidRDefault="00D24E61">
      <w:pPr>
        <w:autoSpaceDE w:val="0"/>
        <w:spacing w:line="480" w:lineRule="auto"/>
        <w:ind w:left="170" w:right="113" w:firstLine="709"/>
        <w:jc w:val="both"/>
        <w:rPr>
          <w:sz w:val="24"/>
        </w:rPr>
      </w:pPr>
    </w:p>
    <w:p w:rsidR="00D24E61" w:rsidRPr="001F386E" w:rsidRDefault="00D24E61">
      <w:pPr>
        <w:autoSpaceDE w:val="0"/>
        <w:spacing w:line="480" w:lineRule="auto"/>
        <w:ind w:right="113"/>
        <w:jc w:val="both"/>
        <w:rPr>
          <w:sz w:val="24"/>
        </w:rPr>
      </w:pPr>
      <w:r w:rsidRPr="001F386E">
        <w:rPr>
          <w:rFonts w:eastAsia="Arial"/>
          <w:b/>
          <w:sz w:val="24"/>
        </w:rPr>
        <w:t xml:space="preserve">   </w:t>
      </w:r>
      <w:r w:rsidRPr="001F386E">
        <w:rPr>
          <w:b/>
          <w:sz w:val="24"/>
        </w:rPr>
        <w:t>4.2 O cinema novo</w:t>
      </w:r>
    </w:p>
    <w:p w:rsidR="00D24E61" w:rsidRPr="001F386E" w:rsidRDefault="00D24E61">
      <w:pPr>
        <w:autoSpaceDE w:val="0"/>
        <w:spacing w:line="480" w:lineRule="auto"/>
        <w:ind w:left="170" w:right="113" w:firstLine="709"/>
        <w:jc w:val="both"/>
        <w:rPr>
          <w:sz w:val="24"/>
        </w:rPr>
      </w:pPr>
      <w:r w:rsidRPr="001F386E">
        <w:rPr>
          <w:sz w:val="24"/>
        </w:rPr>
        <w:t xml:space="preserve">O cinema novo surge no começo da década de 60, com a proposta de filmes de baixo custo, de autores preocupados com a realidade social e arraigados na cultura brasileira. Esses filmes se caracterizavam por falas longas, imagens com pouco movimento – boa parte em preto e branco, cenários simples. A intenção era passar a ideia de pobreza mesmo. Muitos especialistas em cinema dizem que é versão brasileira para </w:t>
      </w:r>
      <w:r w:rsidRPr="001F386E">
        <w:rPr>
          <w:i/>
          <w:sz w:val="24"/>
        </w:rPr>
        <w:t xml:space="preserve">nouvelle vague </w:t>
      </w:r>
      <w:r w:rsidRPr="001F386E">
        <w:rPr>
          <w:sz w:val="24"/>
        </w:rPr>
        <w:t>(movimento artístico do cinema francês que se insere no movimento contestatório próprio dos anos sessenta), de estéticas nascida após II Guerra Mundial e o neo-realismo italiano.</w:t>
      </w:r>
    </w:p>
    <w:p w:rsidR="00D24E61" w:rsidRPr="001F386E" w:rsidRDefault="00D24E61">
      <w:pPr>
        <w:autoSpaceDE w:val="0"/>
        <w:spacing w:line="480" w:lineRule="auto"/>
        <w:ind w:left="170" w:right="113" w:firstLine="709"/>
        <w:jc w:val="both"/>
        <w:rPr>
          <w:sz w:val="24"/>
        </w:rPr>
      </w:pPr>
      <w:r w:rsidRPr="001F386E">
        <w:rPr>
          <w:sz w:val="24"/>
        </w:rPr>
        <w:t xml:space="preserve">Foi o primeiro tentame importante no cinema do então chamado terceiro mundo, com tentativa de promover discussões políticas e temas que focavam os problemas sociais. A priori na miséria do nordeste brasileiro e sofrimento do trabalhador rural, depois com temáticas mais urbanas ligadas à classe média. </w:t>
      </w:r>
    </w:p>
    <w:p w:rsidR="00D24E61" w:rsidRPr="001F386E" w:rsidRDefault="00D24E61">
      <w:pPr>
        <w:autoSpaceDE w:val="0"/>
        <w:spacing w:line="480" w:lineRule="auto"/>
        <w:ind w:left="170" w:right="113" w:firstLine="709"/>
        <w:jc w:val="both"/>
        <w:rPr>
          <w:sz w:val="24"/>
        </w:rPr>
      </w:pPr>
      <w:r w:rsidRPr="001F386E">
        <w:rPr>
          <w:sz w:val="24"/>
        </w:rPr>
        <w:t xml:space="preserve">Sobre isso, é importante ressaltar ainda que, não apenas por ser uma tendência, a figura feminina ganhou destaque no Cinema Novo. </w:t>
      </w:r>
      <w:r w:rsidRPr="001F386E">
        <w:rPr>
          <w:i/>
          <w:sz w:val="24"/>
        </w:rPr>
        <w:t>Porto das caixas</w:t>
      </w:r>
      <w:r w:rsidRPr="001F386E">
        <w:rPr>
          <w:sz w:val="24"/>
        </w:rPr>
        <w:t xml:space="preserve"> (1962/3) de Paulo Cézar Saraceni ou </w:t>
      </w:r>
      <w:r w:rsidRPr="001F386E">
        <w:rPr>
          <w:i/>
          <w:sz w:val="24"/>
        </w:rPr>
        <w:t>A falecida</w:t>
      </w:r>
      <w:r w:rsidRPr="001F386E">
        <w:rPr>
          <w:sz w:val="24"/>
        </w:rPr>
        <w:t xml:space="preserve"> (1965) de Leon Hirzchman são bons exemplos disso. </w:t>
      </w:r>
    </w:p>
    <w:p w:rsidR="00D24E61" w:rsidRPr="001F386E" w:rsidRDefault="00D24E61">
      <w:pPr>
        <w:autoSpaceDE w:val="0"/>
        <w:spacing w:line="480" w:lineRule="auto"/>
        <w:ind w:left="170" w:right="113" w:firstLine="709"/>
        <w:jc w:val="both"/>
        <w:rPr>
          <w:sz w:val="24"/>
        </w:rPr>
      </w:pPr>
      <w:r w:rsidRPr="001F386E">
        <w:rPr>
          <w:sz w:val="24"/>
        </w:rPr>
        <w:t>Sobre o desempenho feminino no cinema nacional, é válido mencionar que, depois do movimento do Cinema Novo, surgiu uma figura importante na cinematografia brasileira, a cineasta Ana Carolina que, nos anos 70, produziu uma série de filmes que serviram para colocar a mulher no centro da narrativa através de um olhar diferenciado, sob outra estética.</w:t>
      </w:r>
    </w:p>
    <w:p w:rsidR="00D24E61" w:rsidRPr="001F386E" w:rsidRDefault="00D24E61">
      <w:pPr>
        <w:autoSpaceDE w:val="0"/>
        <w:spacing w:line="480" w:lineRule="auto"/>
        <w:ind w:left="170" w:right="113" w:firstLine="709"/>
        <w:jc w:val="both"/>
        <w:rPr>
          <w:sz w:val="24"/>
        </w:rPr>
      </w:pPr>
    </w:p>
    <w:p w:rsidR="00D24E61" w:rsidRPr="001F386E" w:rsidRDefault="00D24E61">
      <w:pPr>
        <w:autoSpaceDE w:val="0"/>
        <w:spacing w:line="480" w:lineRule="auto"/>
        <w:ind w:left="170" w:right="113"/>
        <w:jc w:val="both"/>
        <w:rPr>
          <w:sz w:val="24"/>
        </w:rPr>
      </w:pPr>
      <w:r w:rsidRPr="001F386E">
        <w:rPr>
          <w:b/>
          <w:sz w:val="24"/>
        </w:rPr>
        <w:t>4.3 Os anos 70 e 80</w:t>
      </w:r>
    </w:p>
    <w:p w:rsidR="00D24E61" w:rsidRPr="001F386E" w:rsidRDefault="00D24E61">
      <w:pPr>
        <w:autoSpaceDE w:val="0"/>
        <w:spacing w:line="480" w:lineRule="auto"/>
        <w:ind w:left="170" w:right="113" w:firstLine="709"/>
        <w:jc w:val="both"/>
        <w:rPr>
          <w:sz w:val="24"/>
        </w:rPr>
      </w:pPr>
      <w:r w:rsidRPr="001F386E">
        <w:rPr>
          <w:sz w:val="24"/>
        </w:rPr>
        <w:t>No final dos anos 60 surgiu a pornochanchada, alcançando seu apogeu em meados dos anos 1970. Definida como um gênero cinematográfico que mistura comédias de costumes com erotismo leve, além de fazer paródias ao cinema erótico europeu e americano, essa fase do cinema nacional durou mais de 15 anos, principalmente por causa do apoio do mercado de exibição.</w:t>
      </w:r>
    </w:p>
    <w:p w:rsidR="00D24E61" w:rsidRPr="001F386E" w:rsidRDefault="00D24E61">
      <w:pPr>
        <w:autoSpaceDE w:val="0"/>
        <w:spacing w:line="480" w:lineRule="auto"/>
        <w:ind w:left="170" w:right="113" w:firstLine="709"/>
        <w:jc w:val="both"/>
        <w:rPr>
          <w:sz w:val="24"/>
        </w:rPr>
      </w:pPr>
      <w:r w:rsidRPr="001F386E">
        <w:rPr>
          <w:sz w:val="24"/>
        </w:rPr>
        <w:t xml:space="preserve">Dentre as obras da pornochanchada, um filme considerado marco é </w:t>
      </w:r>
      <w:r w:rsidRPr="001F386E">
        <w:rPr>
          <w:i/>
          <w:sz w:val="24"/>
        </w:rPr>
        <w:t>A dama do lotação (1978)</w:t>
      </w:r>
      <w:r w:rsidRPr="001F386E">
        <w:rPr>
          <w:sz w:val="24"/>
        </w:rPr>
        <w:t>, de Neville D'Almeida. Esse diretor rescindiu com a produção marginal ao voltar do exílio. Sônia Braga deu vida ao papel-título do filme, que foi uma das maiores bilheterias do cinema nacional, alcançando a marca de sete milhões de espectadores.</w:t>
      </w:r>
    </w:p>
    <w:p w:rsidR="00D24E61" w:rsidRPr="001F386E" w:rsidRDefault="00D24E61">
      <w:pPr>
        <w:autoSpaceDE w:val="0"/>
        <w:spacing w:line="480" w:lineRule="auto"/>
        <w:ind w:left="170" w:right="113" w:firstLine="709"/>
        <w:jc w:val="both"/>
        <w:rPr>
          <w:sz w:val="24"/>
        </w:rPr>
      </w:pPr>
      <w:r w:rsidRPr="001F386E">
        <w:rPr>
          <w:sz w:val="24"/>
        </w:rPr>
        <w:t>A pornochanchada também pode ser vista como um fenômeno popular, que alimentou por 15 anos a produção da Boca do lixo de São Paulo ao centrar sua temática na exploração erótica. Nela é perceptível a influência das comédias italianas da década de 1960. Ela pode ser considerada responsável por redescobrir o grande potencial sexual da mulher brasileira, considerado o contexto social da década de 70, contudo a conotação dada em seus filmes é agressiva e até mesmo, em alguns casos, ultrajante, retratando a fantasia masculina através do binômio desejo/sexo.</w:t>
      </w:r>
    </w:p>
    <w:p w:rsidR="00D24E61" w:rsidRPr="001F386E" w:rsidRDefault="00D24E61">
      <w:pPr>
        <w:autoSpaceDE w:val="0"/>
        <w:spacing w:line="480" w:lineRule="auto"/>
        <w:ind w:left="170" w:right="113" w:firstLine="709"/>
        <w:jc w:val="both"/>
        <w:rPr>
          <w:sz w:val="24"/>
        </w:rPr>
      </w:pPr>
      <w:r w:rsidRPr="001F386E">
        <w:rPr>
          <w:sz w:val="24"/>
        </w:rPr>
        <w:t>Posteriormente, no Rio de Janeiro, houve uma renovação do gênero com o filme “Os Paqueras”, de Reginaldo Farias, de 1969, que retratava a figura do malandro carioca. Este filme se transformou na segunda maior bilheteria do ano, conquistando a empatia do cinema brasileiro com o grande público, que estava afastado das salas do cinema nacional desde os tempos da chanchada. Esse é o ponto de partida para a exploração de uma série de estereótipos, tais como: o corno, o gay, o velho impotente etc. O feminino, por sua vez, não é visto de forma inovadora, antes segue a dicotomia perpetrada nas figuras da virgem ou da desquitada/viúva.</w:t>
      </w:r>
    </w:p>
    <w:p w:rsidR="00D24E61" w:rsidRPr="001F386E" w:rsidRDefault="00D24E61">
      <w:pPr>
        <w:autoSpaceDE w:val="0"/>
        <w:spacing w:line="480" w:lineRule="auto"/>
        <w:ind w:left="170" w:right="113" w:firstLine="709"/>
        <w:jc w:val="both"/>
        <w:rPr>
          <w:sz w:val="24"/>
        </w:rPr>
      </w:pPr>
      <w:r w:rsidRPr="001F386E">
        <w:rPr>
          <w:sz w:val="24"/>
        </w:rPr>
        <w:t>A produção cinematográfica dessa época trata a imagem feminina de forma vulgarizada, o que, segundo Gubernikoff (2009, online), é fruto de uma visão “inserida numa ideologia falocrática de dominação e violência”.</w:t>
      </w:r>
    </w:p>
    <w:p w:rsidR="00D24E61" w:rsidRPr="001F386E" w:rsidRDefault="00D24E61">
      <w:pPr>
        <w:autoSpaceDE w:val="0"/>
        <w:spacing w:line="480" w:lineRule="auto"/>
        <w:ind w:left="170" w:right="113" w:firstLine="709"/>
        <w:jc w:val="both"/>
        <w:rPr>
          <w:szCs w:val="20"/>
        </w:rPr>
      </w:pPr>
      <w:r w:rsidRPr="001F386E">
        <w:rPr>
          <w:sz w:val="24"/>
        </w:rPr>
        <w:t>A mesma autora comenta que:</w:t>
      </w:r>
    </w:p>
    <w:p w:rsidR="00D24E61" w:rsidRPr="00771368" w:rsidRDefault="00D24E61">
      <w:pPr>
        <w:autoSpaceDE w:val="0"/>
        <w:ind w:left="2126" w:right="113"/>
        <w:jc w:val="both"/>
        <w:rPr>
          <w:sz w:val="20"/>
          <w:szCs w:val="20"/>
        </w:rPr>
      </w:pPr>
      <w:r w:rsidRPr="00771368">
        <w:rPr>
          <w:sz w:val="20"/>
          <w:szCs w:val="20"/>
        </w:rPr>
        <w:t>As primeiras atrizes da pornochanchada mal conseguem escapar do anonimato, com exceção de Helena Ramos, Vera Fischer e Aldine Muller. Mais tarde, encampadas pelo Sistema Globo de Televisão, passam, inicialmente, por um período de “purgação”, antes de ser definitivamente aceitas pela classe média brasileira, e convalidam a tradição de que a sexualidade feminina é trágica (GUBERNIKOFF, 2009, online).</w:t>
      </w:r>
    </w:p>
    <w:p w:rsidR="00D24E61" w:rsidRPr="00771368" w:rsidRDefault="00D24E61">
      <w:pPr>
        <w:autoSpaceDE w:val="0"/>
        <w:ind w:left="2126" w:right="113"/>
        <w:jc w:val="both"/>
        <w:rPr>
          <w:sz w:val="20"/>
          <w:szCs w:val="20"/>
        </w:rPr>
      </w:pPr>
    </w:p>
    <w:p w:rsidR="00D24E61" w:rsidRPr="001F386E" w:rsidRDefault="00D24E61">
      <w:pPr>
        <w:autoSpaceDE w:val="0"/>
        <w:spacing w:line="480" w:lineRule="auto"/>
        <w:ind w:left="170" w:right="113" w:firstLine="709"/>
        <w:jc w:val="both"/>
        <w:rPr>
          <w:sz w:val="24"/>
        </w:rPr>
      </w:pPr>
      <w:r w:rsidRPr="001F386E">
        <w:rPr>
          <w:sz w:val="24"/>
        </w:rPr>
        <w:t xml:space="preserve">Vale ainda mencionar o caso </w:t>
      </w:r>
      <w:r w:rsidRPr="001F386E">
        <w:rPr>
          <w:i/>
          <w:sz w:val="24"/>
        </w:rPr>
        <w:t>de Dona Flor e seus dois maridos</w:t>
      </w:r>
      <w:r w:rsidRPr="001F386E">
        <w:rPr>
          <w:sz w:val="24"/>
        </w:rPr>
        <w:t xml:space="preserve"> (1976), de Bruno Barreto, filme de maior sucesso do cinema brasileiro até 2010, sendo assistido por mais de 10 milhões de espectadores, com apelo erótico inspirado na obra de Jorge Amado.</w:t>
      </w:r>
    </w:p>
    <w:p w:rsidR="00D24E61" w:rsidRPr="001F386E" w:rsidRDefault="00D24E61">
      <w:pPr>
        <w:autoSpaceDE w:val="0"/>
        <w:spacing w:line="480" w:lineRule="auto"/>
        <w:ind w:left="170" w:right="113" w:firstLine="709"/>
        <w:jc w:val="both"/>
        <w:rPr>
          <w:sz w:val="24"/>
        </w:rPr>
      </w:pPr>
      <w:r w:rsidRPr="001F386E">
        <w:rPr>
          <w:sz w:val="24"/>
        </w:rPr>
        <w:t xml:space="preserve">Quanto ao feminino, no Brasil dos anos 70 e 80, geralmente ele era representado em papéis secundários, muitas vezes recebendo um tratamento de coisificação. Mas mesmo nesse período aconteceram algumas exceções como </w:t>
      </w:r>
      <w:r w:rsidRPr="001F386E">
        <w:rPr>
          <w:i/>
          <w:sz w:val="24"/>
        </w:rPr>
        <w:t>Feminino Plural</w:t>
      </w:r>
      <w:r w:rsidRPr="001F386E">
        <w:rPr>
          <w:sz w:val="24"/>
        </w:rPr>
        <w:t xml:space="preserve"> (1983) de Vera Figueiredo, </w:t>
      </w:r>
      <w:r w:rsidRPr="001F386E">
        <w:rPr>
          <w:i/>
          <w:sz w:val="24"/>
        </w:rPr>
        <w:t>A hora da Estrela</w:t>
      </w:r>
      <w:r w:rsidRPr="001F386E">
        <w:rPr>
          <w:sz w:val="24"/>
        </w:rPr>
        <w:t xml:space="preserve"> (1985) de Suzana Amaral, Vera (1986) de Sérgio Toledo, e </w:t>
      </w:r>
      <w:r w:rsidRPr="001F386E">
        <w:rPr>
          <w:i/>
          <w:sz w:val="24"/>
        </w:rPr>
        <w:t>Romance da Empregada</w:t>
      </w:r>
      <w:r w:rsidRPr="001F386E">
        <w:rPr>
          <w:sz w:val="24"/>
        </w:rPr>
        <w:t>, de Bruno Barreto (1988).</w:t>
      </w:r>
    </w:p>
    <w:p w:rsidR="00D24E61" w:rsidRPr="001F386E" w:rsidRDefault="00D24E61">
      <w:pPr>
        <w:autoSpaceDE w:val="0"/>
        <w:spacing w:line="480" w:lineRule="auto"/>
        <w:ind w:left="170" w:right="113" w:firstLine="709"/>
        <w:jc w:val="both"/>
        <w:rPr>
          <w:sz w:val="24"/>
        </w:rPr>
      </w:pPr>
    </w:p>
    <w:p w:rsidR="00D24E61" w:rsidRPr="00771368" w:rsidRDefault="00D24E61">
      <w:pPr>
        <w:autoSpaceDE w:val="0"/>
        <w:spacing w:line="480" w:lineRule="auto"/>
        <w:ind w:left="170" w:right="113"/>
        <w:jc w:val="both"/>
      </w:pPr>
      <w:r w:rsidRPr="00771368">
        <w:rPr>
          <w:b/>
        </w:rPr>
        <w:t>4.4 A retomada</w:t>
      </w:r>
    </w:p>
    <w:p w:rsidR="00D24E61" w:rsidRPr="001F386E" w:rsidRDefault="00D24E61">
      <w:pPr>
        <w:autoSpaceDE w:val="0"/>
        <w:spacing w:line="480" w:lineRule="auto"/>
        <w:ind w:left="170" w:right="113" w:firstLine="709"/>
        <w:jc w:val="both"/>
        <w:rPr>
          <w:sz w:val="24"/>
        </w:rPr>
      </w:pPr>
      <w:r w:rsidRPr="001F386E">
        <w:rPr>
          <w:sz w:val="24"/>
        </w:rPr>
        <w:t>Os filmes de temática feminina produzidos nos últimos anos do século XX e nos primeiros anos do século XXI já apresentam sinais de que houve uma mudança quanto ao papel desempenhado pelas mulheres na sociedade, mudança está em pleno curso, não apenas no Brasil, mas em diferentes países e culturas.</w:t>
      </w:r>
    </w:p>
    <w:p w:rsidR="00D24E61" w:rsidRPr="001F386E" w:rsidRDefault="00D24E61">
      <w:pPr>
        <w:autoSpaceDE w:val="0"/>
        <w:spacing w:line="480" w:lineRule="auto"/>
        <w:ind w:left="170" w:right="113" w:firstLine="709"/>
        <w:jc w:val="both"/>
        <w:rPr>
          <w:sz w:val="24"/>
        </w:rPr>
      </w:pPr>
      <w:r w:rsidRPr="001F386E">
        <w:rPr>
          <w:sz w:val="24"/>
        </w:rPr>
        <w:t xml:space="preserve">Em continuidade ao breve retrospecto histórico do cinema nacional percebe-se que, após o golpe sofrido no início da década de 1990, a produção cinematográfica brasileira faz sua “retomada” em 1994, com o filme </w:t>
      </w:r>
      <w:r w:rsidRPr="001F386E">
        <w:rPr>
          <w:i/>
          <w:sz w:val="24"/>
        </w:rPr>
        <w:t>Carlota Joaquina, princesa do Brazil</w:t>
      </w:r>
      <w:r w:rsidRPr="001F386E">
        <w:rPr>
          <w:sz w:val="24"/>
        </w:rPr>
        <w:t xml:space="preserve"> (dirigido, produzido e roteirizado por Carla Camurati), que retrata um personagem histórico, até então, ignorado pela narrativa literária e audiovisual brasileira. A inteligência de Carlota Joaquina que a faz, segundo a película, dirigir tanto Portugal quanto sua colônia, numa clara demonstração de autoridade superior a do marido, uma fez que ela, inclusive planeja estratégias de guerra. No filme, é ela, e não o regente, a protagonista de episódios importantes na história do Brasil.</w:t>
      </w:r>
    </w:p>
    <w:p w:rsidR="00D24E61" w:rsidRPr="001F386E" w:rsidRDefault="00D24E61">
      <w:pPr>
        <w:autoSpaceDE w:val="0"/>
        <w:spacing w:line="480" w:lineRule="auto"/>
        <w:ind w:left="170" w:right="113" w:firstLine="709"/>
        <w:jc w:val="both"/>
        <w:rPr>
          <w:sz w:val="24"/>
        </w:rPr>
      </w:pPr>
      <w:r w:rsidRPr="001F386E">
        <w:rPr>
          <w:sz w:val="24"/>
        </w:rPr>
        <w:t>Dois anos depois, em 1996, surge outro grande sucesso de bilheteria, também conquistado por uma diretora: Sandra Werneck: Pequeno dicionário amoroso. Este filme dispensa aos personagens masculinos e femininos um tratamento de igualdade, ao abordar as vicissitudes e melindres das relações amorosas. Na narrativa, as personagens femininas, Luiza e Marta, são mostradas como mulheres independentes e inteligentes, que tem total domínio sobre suas vidas.</w:t>
      </w:r>
    </w:p>
    <w:p w:rsidR="00D24E61" w:rsidRPr="001F386E" w:rsidRDefault="00D24E61">
      <w:pPr>
        <w:autoSpaceDE w:val="0"/>
        <w:spacing w:line="480" w:lineRule="auto"/>
        <w:ind w:left="170" w:right="113" w:firstLine="709"/>
        <w:jc w:val="both"/>
        <w:rPr>
          <w:sz w:val="24"/>
        </w:rPr>
      </w:pPr>
      <w:r w:rsidRPr="001F386E">
        <w:rPr>
          <w:sz w:val="24"/>
        </w:rPr>
        <w:t>No ano 2000, Andrucha Waddington realiza um filme baseado em fatos reais, Eu, tu, eles, fechando a década com mais uma produção brasileira de qualidade. O filme se passa no sertão nordestino e conta a história de uma mulher simples, Darlene (interpretada por Regina Casé). Ela casa com três homens vivendo com eles sob o mesmo teto. Nesse filme a mulher não é tratada como se fosse imoral, devassa ou interesseira, mas como um ser humano, que ama intensamente, apesar da aridez e das carências de seu meio. Assim, o que a protagonista busca é ser feliz, suprindo, na medida do possível, suas necessidades e as necessidades daqueles que ama e completam sua vida.</w:t>
      </w:r>
    </w:p>
    <w:p w:rsidR="00D24E61" w:rsidRPr="00771368" w:rsidRDefault="00D24E61">
      <w:pPr>
        <w:autoSpaceDE w:val="0"/>
        <w:spacing w:line="480" w:lineRule="auto"/>
        <w:ind w:left="170" w:right="113" w:firstLine="709"/>
        <w:jc w:val="both"/>
      </w:pPr>
    </w:p>
    <w:p w:rsidR="00D24E61" w:rsidRPr="00771368" w:rsidRDefault="00D24E61" w:rsidP="00D24E61">
      <w:pPr>
        <w:widowControl w:val="0"/>
        <w:numPr>
          <w:ilvl w:val="0"/>
          <w:numId w:val="12"/>
        </w:numPr>
        <w:suppressAutoHyphens/>
        <w:autoSpaceDE w:val="0"/>
        <w:spacing w:line="480" w:lineRule="auto"/>
        <w:ind w:right="113"/>
        <w:jc w:val="both"/>
      </w:pPr>
      <w:r w:rsidRPr="00771368">
        <w:rPr>
          <w:b/>
          <w:sz w:val="28"/>
          <w:szCs w:val="28"/>
        </w:rPr>
        <w:t>Considerações Finais</w:t>
      </w:r>
    </w:p>
    <w:p w:rsidR="00D24E61" w:rsidRPr="00677E6D" w:rsidRDefault="00D24E61">
      <w:pPr>
        <w:autoSpaceDE w:val="0"/>
        <w:spacing w:line="480" w:lineRule="auto"/>
        <w:ind w:left="170" w:right="113" w:firstLine="709"/>
        <w:jc w:val="both"/>
        <w:rPr>
          <w:sz w:val="24"/>
        </w:rPr>
      </w:pPr>
      <w:r w:rsidRPr="00677E6D">
        <w:rPr>
          <w:sz w:val="24"/>
        </w:rPr>
        <w:t>Claro que não foi apenas na fase de retomada do cinema nacional que se produziram filmes que abordassem a mulher numa perspectiva mais humana e menos estereotipada. Mas, inegavelmente com a retomada essas produções se intensificaram.</w:t>
      </w:r>
    </w:p>
    <w:p w:rsidR="00D24E61" w:rsidRPr="00677E6D" w:rsidRDefault="00D24E61">
      <w:pPr>
        <w:autoSpaceDE w:val="0"/>
        <w:spacing w:line="480" w:lineRule="auto"/>
        <w:ind w:left="170" w:right="113" w:firstLine="709"/>
        <w:jc w:val="both"/>
        <w:rPr>
          <w:sz w:val="24"/>
        </w:rPr>
      </w:pPr>
      <w:r w:rsidRPr="00677E6D">
        <w:rPr>
          <w:sz w:val="24"/>
        </w:rPr>
        <w:t xml:space="preserve">Talvez não seja adequado tentar criar uma classificação para o cinema feito de/para mulheres no Brasil. Principalmente porque o que a mulher mais almeja não é um tratamento diferenciado, mas sim oportunidades e tratamento igual. Evidentemente a mudança no papel social da mulher trouxe uma gama de argumentos narrativos claramente relacionados ao universo feminino atual. Filmes que mesclam dados não-ficcionais e ficção, que apresentam a mulher como foco da narrativa, dando espaço para interpretarem, do seu ponto de vista, os hiatos existentes na História sobre sua participação na construção social, cultural e política do país e em caráter mais intimista também, na vida privada. </w:t>
      </w:r>
    </w:p>
    <w:p w:rsidR="00D24E61" w:rsidRPr="00677E6D" w:rsidRDefault="00D24E61">
      <w:pPr>
        <w:autoSpaceDE w:val="0"/>
        <w:spacing w:line="480" w:lineRule="auto"/>
        <w:ind w:left="170" w:right="113" w:firstLine="709"/>
        <w:jc w:val="both"/>
        <w:rPr>
          <w:sz w:val="24"/>
        </w:rPr>
      </w:pPr>
      <w:r w:rsidRPr="00677E6D">
        <w:rPr>
          <w:sz w:val="24"/>
        </w:rPr>
        <w:t xml:space="preserve">Portanto, a partir de </w:t>
      </w:r>
      <w:r w:rsidRPr="00677E6D">
        <w:rPr>
          <w:i/>
          <w:sz w:val="24"/>
        </w:rPr>
        <w:t>Carlota Joaquina</w:t>
      </w:r>
      <w:r w:rsidRPr="00677E6D">
        <w:rPr>
          <w:sz w:val="24"/>
        </w:rPr>
        <w:t xml:space="preserve"> (1995), passando por </w:t>
      </w:r>
      <w:r w:rsidRPr="00677E6D">
        <w:rPr>
          <w:i/>
          <w:sz w:val="24"/>
        </w:rPr>
        <w:t>Desmundo</w:t>
      </w:r>
      <w:r w:rsidRPr="00677E6D">
        <w:rPr>
          <w:sz w:val="24"/>
        </w:rPr>
        <w:t xml:space="preserve">, filme de 2003 do diretor Alain Fresnot, como também </w:t>
      </w:r>
      <w:r w:rsidRPr="00677E6D">
        <w:rPr>
          <w:i/>
          <w:sz w:val="24"/>
        </w:rPr>
        <w:t>As filhas do vento</w:t>
      </w:r>
      <w:r w:rsidRPr="00677E6D">
        <w:rPr>
          <w:sz w:val="24"/>
        </w:rPr>
        <w:t xml:space="preserve"> (2005), de Joel Zito Araújo, percebe-se uma mudança benfazeja na percepção da mulher pelo cinema brasileiro, o que certamente repercute na concepção que o pai, enquanto social, tem do feminino, da mulher.</w:t>
      </w:r>
    </w:p>
    <w:p w:rsidR="00D24E61" w:rsidRPr="00677E6D" w:rsidRDefault="00D24E61">
      <w:pPr>
        <w:autoSpaceDE w:val="0"/>
        <w:spacing w:line="480" w:lineRule="auto"/>
        <w:ind w:left="170" w:right="113" w:firstLine="709"/>
        <w:jc w:val="both"/>
        <w:rPr>
          <w:b/>
          <w:sz w:val="24"/>
        </w:rPr>
      </w:pPr>
      <w:r w:rsidRPr="00677E6D">
        <w:rPr>
          <w:sz w:val="24"/>
        </w:rPr>
        <w:t xml:space="preserve">Atualmente, já é possível vislumbrar um cinema brasileiro mais crítico, mais aberto, menos formal e menos engessado. O cinema nacional já tem características próprias, conquistou o público brasileiro e já ostenta recordes de bilheterias em algumas produções. Citando uma produção recente, que também traz a mulher e sua liberdade (profissional e sexual) como tema, o filme De </w:t>
      </w:r>
      <w:r w:rsidRPr="00677E6D">
        <w:rPr>
          <w:i/>
          <w:sz w:val="24"/>
        </w:rPr>
        <w:t>Pernas pro Ar</w:t>
      </w:r>
      <w:r w:rsidRPr="00677E6D">
        <w:rPr>
          <w:sz w:val="24"/>
        </w:rPr>
        <w:t xml:space="preserve"> (2010) e sua continuação (2012) demonstram não apenas a viabilidade de abordar temas antes considerados tabu, como as fantasias sexuais, mas principalmente a boa aceitação do público e o aprimoramento na produção. Portanto, da maneira como o cinema nacional vem trabalhando ultimamente, em especial como vem representando a figura feminina nesse meio evidencia o surgimento de tendências que se consolidarão em um futuro próximo.</w:t>
      </w:r>
    </w:p>
    <w:p w:rsidR="00D24E61" w:rsidRPr="00677E6D" w:rsidRDefault="00D24E61">
      <w:pPr>
        <w:autoSpaceDE w:val="0"/>
        <w:spacing w:line="480" w:lineRule="auto"/>
        <w:ind w:left="530" w:right="113"/>
        <w:jc w:val="both"/>
        <w:rPr>
          <w:b/>
          <w:sz w:val="24"/>
        </w:rPr>
      </w:pPr>
    </w:p>
    <w:p w:rsidR="00D24E61" w:rsidRPr="00677E6D" w:rsidRDefault="00D24E61">
      <w:pPr>
        <w:autoSpaceDE w:val="0"/>
        <w:spacing w:line="480" w:lineRule="auto"/>
        <w:ind w:left="170" w:right="113"/>
        <w:jc w:val="both"/>
        <w:rPr>
          <w:sz w:val="24"/>
        </w:rPr>
      </w:pPr>
      <w:r w:rsidRPr="00677E6D">
        <w:rPr>
          <w:b/>
          <w:sz w:val="32"/>
          <w:szCs w:val="28"/>
        </w:rPr>
        <w:t xml:space="preserve">Referências </w:t>
      </w:r>
    </w:p>
    <w:p w:rsidR="00D24E61" w:rsidRPr="00677E6D" w:rsidRDefault="00D24E61">
      <w:pPr>
        <w:autoSpaceDE w:val="0"/>
        <w:ind w:left="170" w:right="113"/>
        <w:rPr>
          <w:sz w:val="24"/>
        </w:rPr>
      </w:pPr>
      <w:r w:rsidRPr="00677E6D">
        <w:rPr>
          <w:sz w:val="24"/>
        </w:rPr>
        <w:t xml:space="preserve">ALVES, Alice et al. </w:t>
      </w:r>
      <w:r w:rsidRPr="00677E6D">
        <w:rPr>
          <w:b/>
          <w:sz w:val="24"/>
        </w:rPr>
        <w:t>A mulher na escola:</w:t>
      </w:r>
      <w:r w:rsidRPr="00677E6D">
        <w:rPr>
          <w:sz w:val="24"/>
        </w:rPr>
        <w:t xml:space="preserve"> Olhares, Leituras e Reflexões. Disponível em: http://www.cnpq.br/documents/10157/77a1afcc-230e-47a1-bc74-26e6cc794fce Acesso em 01 julho de 2013.</w:t>
      </w:r>
    </w:p>
    <w:p w:rsidR="00D24E61" w:rsidRPr="00677E6D" w:rsidRDefault="00D24E61">
      <w:pPr>
        <w:autoSpaceDE w:val="0"/>
        <w:ind w:left="170" w:right="113"/>
        <w:rPr>
          <w:sz w:val="24"/>
        </w:rPr>
      </w:pPr>
    </w:p>
    <w:p w:rsidR="00D24E61" w:rsidRPr="00677E6D" w:rsidRDefault="00D24E61">
      <w:pPr>
        <w:autoSpaceDE w:val="0"/>
        <w:ind w:left="170" w:right="113"/>
        <w:rPr>
          <w:sz w:val="24"/>
        </w:rPr>
      </w:pPr>
      <w:r w:rsidRPr="00677E6D">
        <w:rPr>
          <w:sz w:val="24"/>
        </w:rPr>
        <w:t xml:space="preserve">BOURDIEU, Pierre. </w:t>
      </w:r>
      <w:r w:rsidRPr="00677E6D">
        <w:rPr>
          <w:b/>
          <w:sz w:val="24"/>
        </w:rPr>
        <w:t>A dominação masculina</w:t>
      </w:r>
      <w:r w:rsidRPr="00677E6D">
        <w:rPr>
          <w:sz w:val="24"/>
        </w:rPr>
        <w:t>. Rio de Janeiro: Bertrand Brasil, 2003.</w:t>
      </w:r>
    </w:p>
    <w:p w:rsidR="00D24E61" w:rsidRPr="00677E6D" w:rsidRDefault="00D24E61">
      <w:pPr>
        <w:autoSpaceDE w:val="0"/>
        <w:ind w:left="170" w:right="113"/>
        <w:rPr>
          <w:sz w:val="24"/>
        </w:rPr>
      </w:pPr>
      <w:r w:rsidRPr="00677E6D">
        <w:rPr>
          <w:sz w:val="24"/>
        </w:rPr>
        <w:t>_______________. O poder simbólico. Rio de Janeiro: Bertrand Brasil, 2002.</w:t>
      </w:r>
    </w:p>
    <w:p w:rsidR="00D24E61" w:rsidRPr="00677E6D" w:rsidRDefault="00D24E61">
      <w:pPr>
        <w:autoSpaceDE w:val="0"/>
        <w:ind w:right="113"/>
        <w:rPr>
          <w:sz w:val="24"/>
        </w:rPr>
      </w:pPr>
    </w:p>
    <w:p w:rsidR="00D24E61" w:rsidRPr="00677E6D" w:rsidRDefault="00D24E61">
      <w:pPr>
        <w:autoSpaceDE w:val="0"/>
        <w:ind w:left="170" w:right="113"/>
        <w:rPr>
          <w:sz w:val="24"/>
        </w:rPr>
      </w:pPr>
      <w:r w:rsidRPr="00677E6D">
        <w:rPr>
          <w:sz w:val="24"/>
        </w:rPr>
        <w:t xml:space="preserve">DUARTE, Rosália. </w:t>
      </w:r>
      <w:r w:rsidRPr="00677E6D">
        <w:rPr>
          <w:b/>
          <w:sz w:val="24"/>
        </w:rPr>
        <w:t>Mídia e identidade feminina:</w:t>
      </w:r>
      <w:r w:rsidRPr="00677E6D">
        <w:rPr>
          <w:sz w:val="24"/>
        </w:rPr>
        <w:t xml:space="preserve"> mudanças na imagem da mulher no audiovisual brasileiro da última década. Disponível em: &lt;http://www.slideshare.net/civone/ mdia-e-identidade-feminina-mudanas-na-imagem-da-mulher-no-audiovisual-brasileiro&gt;. Acesso em 15 jan. 2013.</w:t>
      </w:r>
    </w:p>
    <w:p w:rsidR="00D24E61" w:rsidRPr="00677E6D" w:rsidRDefault="00D24E61">
      <w:pPr>
        <w:autoSpaceDE w:val="0"/>
        <w:ind w:left="170" w:right="113"/>
        <w:rPr>
          <w:sz w:val="24"/>
        </w:rPr>
      </w:pPr>
    </w:p>
    <w:p w:rsidR="00D24E61" w:rsidRPr="00677E6D" w:rsidRDefault="00D24E61">
      <w:pPr>
        <w:autoSpaceDE w:val="0"/>
        <w:ind w:left="170" w:right="113"/>
        <w:rPr>
          <w:sz w:val="24"/>
        </w:rPr>
      </w:pPr>
      <w:r w:rsidRPr="00677E6D">
        <w:rPr>
          <w:sz w:val="24"/>
        </w:rPr>
        <w:t xml:space="preserve">GOMES, Vera Lúcia de Oliveira. </w:t>
      </w:r>
      <w:r w:rsidRPr="00677E6D">
        <w:rPr>
          <w:b/>
          <w:sz w:val="24"/>
        </w:rPr>
        <w:t>A construção do feminino e do masculino no processo de cuidar crianças em pré-escola</w:t>
      </w:r>
      <w:r w:rsidRPr="00677E6D">
        <w:rPr>
          <w:sz w:val="24"/>
        </w:rPr>
        <w:t>. Disponível em: &lt;http://www.scielo.br/pdf/tce/v15n1/a04v15n1.pdf&gt;. Acesso em 01 de julho de 2013.</w:t>
      </w:r>
    </w:p>
    <w:p w:rsidR="00D24E61" w:rsidRPr="00677E6D" w:rsidRDefault="00D24E61">
      <w:pPr>
        <w:autoSpaceDE w:val="0"/>
        <w:ind w:left="170" w:right="113"/>
        <w:rPr>
          <w:sz w:val="24"/>
        </w:rPr>
      </w:pPr>
    </w:p>
    <w:p w:rsidR="00D24E61" w:rsidRPr="00677E6D" w:rsidRDefault="00D24E61">
      <w:pPr>
        <w:autoSpaceDE w:val="0"/>
        <w:ind w:left="170" w:right="113"/>
        <w:rPr>
          <w:sz w:val="24"/>
        </w:rPr>
      </w:pPr>
      <w:r w:rsidRPr="00677E6D">
        <w:rPr>
          <w:sz w:val="24"/>
        </w:rPr>
        <w:t xml:space="preserve">GUBERNIKOFF, Giselle. </w:t>
      </w:r>
      <w:r w:rsidRPr="00677E6D">
        <w:rPr>
          <w:b/>
          <w:sz w:val="24"/>
        </w:rPr>
        <w:t>A imagem:</w:t>
      </w:r>
      <w:r w:rsidRPr="00677E6D">
        <w:rPr>
          <w:sz w:val="24"/>
        </w:rPr>
        <w:t xml:space="preserve"> representação da mulher no cinema. Disponível em:&lt;http://www.ucs.br/etc/revistas/index.php/conexao/article/viewFile/</w:t>
      </w:r>
    </w:p>
    <w:p w:rsidR="00D24E61" w:rsidRPr="00677E6D" w:rsidRDefault="00D24E61">
      <w:pPr>
        <w:autoSpaceDE w:val="0"/>
        <w:ind w:left="170" w:right="113"/>
        <w:rPr>
          <w:sz w:val="24"/>
        </w:rPr>
      </w:pPr>
      <w:r w:rsidRPr="00677E6D">
        <w:rPr>
          <w:sz w:val="24"/>
        </w:rPr>
        <w:t>113/104&gt;.  Acesso em 13 jan. 2013.</w:t>
      </w:r>
    </w:p>
    <w:p w:rsidR="00D24E61" w:rsidRPr="00677E6D" w:rsidRDefault="00D24E61">
      <w:pPr>
        <w:autoSpaceDE w:val="0"/>
        <w:ind w:left="170" w:right="113"/>
        <w:rPr>
          <w:sz w:val="24"/>
        </w:rPr>
      </w:pPr>
    </w:p>
    <w:p w:rsidR="00D24E61" w:rsidRPr="00677E6D" w:rsidRDefault="00D24E61">
      <w:pPr>
        <w:autoSpaceDE w:val="0"/>
        <w:ind w:left="170" w:right="113"/>
        <w:rPr>
          <w:sz w:val="24"/>
        </w:rPr>
      </w:pPr>
      <w:r w:rsidRPr="00677E6D">
        <w:rPr>
          <w:sz w:val="24"/>
        </w:rPr>
        <w:t xml:space="preserve">KAPLAN, E. Ann. </w:t>
      </w:r>
      <w:r w:rsidRPr="00677E6D">
        <w:rPr>
          <w:b/>
          <w:sz w:val="24"/>
        </w:rPr>
        <w:t>A mulher e o cinema:</w:t>
      </w:r>
      <w:r w:rsidRPr="00677E6D">
        <w:rPr>
          <w:sz w:val="24"/>
        </w:rPr>
        <w:t xml:space="preserve"> os dois lados da câmera. Rio de Janeiro: Artemídia, Rocco, 1995.</w:t>
      </w:r>
    </w:p>
    <w:p w:rsidR="00D24E61" w:rsidRPr="00677E6D" w:rsidRDefault="00D24E61">
      <w:pPr>
        <w:autoSpaceDE w:val="0"/>
        <w:ind w:left="170" w:right="113"/>
        <w:rPr>
          <w:sz w:val="24"/>
        </w:rPr>
      </w:pPr>
    </w:p>
    <w:p w:rsidR="00D24E61" w:rsidRPr="00677E6D" w:rsidRDefault="00D24E61">
      <w:pPr>
        <w:autoSpaceDE w:val="0"/>
        <w:ind w:left="170" w:right="113"/>
        <w:rPr>
          <w:sz w:val="24"/>
        </w:rPr>
      </w:pPr>
      <w:r w:rsidRPr="00677E6D">
        <w:rPr>
          <w:sz w:val="24"/>
        </w:rPr>
        <w:t xml:space="preserve">LIMA, Aline Soares; MENDONÇA, Maria Luísa Martins. </w:t>
      </w:r>
      <w:r w:rsidRPr="00677E6D">
        <w:rPr>
          <w:b/>
          <w:sz w:val="24"/>
        </w:rPr>
        <w:t>O papel da mulher no cinema</w:t>
      </w:r>
      <w:r w:rsidRPr="00677E6D">
        <w:rPr>
          <w:b/>
          <w:color w:val="FFFFFF"/>
          <w:sz w:val="24"/>
        </w:rPr>
        <w:t>m</w:t>
      </w:r>
      <w:r w:rsidRPr="00677E6D">
        <w:rPr>
          <w:b/>
          <w:sz w:val="24"/>
        </w:rPr>
        <w:t>brasileiro.</w:t>
      </w:r>
      <w:r w:rsidRPr="00677E6D">
        <w:rPr>
          <w:b/>
          <w:color w:val="FFFFFF"/>
          <w:sz w:val="24"/>
        </w:rPr>
        <w:t>m</w:t>
      </w:r>
      <w:r w:rsidRPr="00677E6D">
        <w:rPr>
          <w:sz w:val="24"/>
        </w:rPr>
        <w:t>Disponível</w:t>
      </w:r>
      <w:r w:rsidRPr="00677E6D">
        <w:rPr>
          <w:color w:val="FFFFFF"/>
          <w:sz w:val="24"/>
        </w:rPr>
        <w:t>m</w:t>
      </w:r>
      <w:r w:rsidRPr="00677E6D">
        <w:rPr>
          <w:sz w:val="24"/>
        </w:rPr>
        <w:t>em:</w:t>
      </w:r>
      <w:r w:rsidRPr="00677E6D">
        <w:rPr>
          <w:color w:val="FFFFFF"/>
          <w:sz w:val="24"/>
        </w:rPr>
        <w:t>m</w:t>
      </w:r>
      <w:r w:rsidRPr="00677E6D">
        <w:rPr>
          <w:sz w:val="24"/>
        </w:rPr>
        <w:t>&lt;http://www.ufg.br/conpeex/2006/porta_arquivos/pivic/1752803-AlineSoaresLima.pdf&gt;.  Acesso em 15 jan. 2013.</w:t>
      </w:r>
    </w:p>
    <w:p w:rsidR="00D24E61" w:rsidRPr="00677E6D" w:rsidRDefault="00D24E61">
      <w:pPr>
        <w:autoSpaceDE w:val="0"/>
        <w:ind w:left="170" w:right="113"/>
        <w:rPr>
          <w:sz w:val="24"/>
        </w:rPr>
      </w:pPr>
    </w:p>
    <w:p w:rsidR="00D24E61" w:rsidRPr="00677E6D" w:rsidRDefault="00D24E61">
      <w:pPr>
        <w:autoSpaceDE w:val="0"/>
        <w:ind w:left="170" w:right="113"/>
        <w:rPr>
          <w:sz w:val="24"/>
        </w:rPr>
      </w:pPr>
      <w:r w:rsidRPr="00677E6D">
        <w:rPr>
          <w:sz w:val="24"/>
        </w:rPr>
        <w:t xml:space="preserve">LOURO, Guacira Lopes. A emergência do “gênero”. In: LOURO. G.L. </w:t>
      </w:r>
      <w:r w:rsidRPr="00677E6D">
        <w:rPr>
          <w:b/>
          <w:sz w:val="24"/>
        </w:rPr>
        <w:t>Gênero, sexualidade e educação:</w:t>
      </w:r>
      <w:r w:rsidRPr="00677E6D">
        <w:rPr>
          <w:sz w:val="24"/>
        </w:rPr>
        <w:t xml:space="preserve"> uma perspectiva pós-estruturalista. Petrópolis, RJ: Vozes, 1997. p. 14-35.</w:t>
      </w:r>
    </w:p>
    <w:p w:rsidR="00D24E61" w:rsidRPr="00677E6D" w:rsidRDefault="00D24E61">
      <w:pPr>
        <w:autoSpaceDE w:val="0"/>
        <w:ind w:left="170" w:right="113"/>
        <w:rPr>
          <w:sz w:val="24"/>
        </w:rPr>
      </w:pPr>
    </w:p>
    <w:p w:rsidR="00D24E61" w:rsidRPr="00677E6D" w:rsidRDefault="00D24E61">
      <w:pPr>
        <w:autoSpaceDE w:val="0"/>
        <w:ind w:left="170" w:right="113"/>
        <w:rPr>
          <w:sz w:val="24"/>
        </w:rPr>
      </w:pPr>
      <w:r w:rsidRPr="00677E6D">
        <w:rPr>
          <w:sz w:val="24"/>
        </w:rPr>
        <w:t xml:space="preserve">MULVEY, L. </w:t>
      </w:r>
      <w:r w:rsidRPr="00677E6D">
        <w:rPr>
          <w:b/>
          <w:sz w:val="24"/>
        </w:rPr>
        <w:t>Prazer visual e cinema narrativo.</w:t>
      </w:r>
      <w:r w:rsidRPr="00677E6D">
        <w:rPr>
          <w:sz w:val="24"/>
        </w:rPr>
        <w:t xml:space="preserve"> Trad. João Luiz Vieira. In: Xavier,</w:t>
      </w:r>
    </w:p>
    <w:p w:rsidR="00D24E61" w:rsidRPr="00677E6D" w:rsidRDefault="00D24E61" w:rsidP="00D24E61">
      <w:pPr>
        <w:widowControl w:val="0"/>
        <w:numPr>
          <w:ilvl w:val="0"/>
          <w:numId w:val="10"/>
        </w:numPr>
        <w:tabs>
          <w:tab w:val="clear" w:pos="432"/>
          <w:tab w:val="num" w:pos="0"/>
        </w:tabs>
        <w:suppressAutoHyphens/>
        <w:autoSpaceDE w:val="0"/>
        <w:ind w:left="890" w:right="113" w:hanging="720"/>
        <w:rPr>
          <w:sz w:val="24"/>
        </w:rPr>
      </w:pPr>
      <w:r w:rsidRPr="00677E6D">
        <w:rPr>
          <w:sz w:val="24"/>
        </w:rPr>
        <w:t>A experiência do cinema. Rio de Janeiro: Edições Graal, 437-454, 1983.</w:t>
      </w:r>
    </w:p>
    <w:p w:rsidR="00D24E61" w:rsidRPr="00677E6D" w:rsidRDefault="00D24E61">
      <w:pPr>
        <w:autoSpaceDE w:val="0"/>
        <w:ind w:left="890" w:right="113"/>
        <w:rPr>
          <w:sz w:val="24"/>
        </w:rPr>
      </w:pPr>
    </w:p>
    <w:p w:rsidR="00D24E61" w:rsidRPr="00677E6D" w:rsidRDefault="00D24E61">
      <w:pPr>
        <w:autoSpaceDE w:val="0"/>
        <w:ind w:left="170" w:right="113"/>
        <w:rPr>
          <w:sz w:val="24"/>
        </w:rPr>
      </w:pPr>
      <w:r w:rsidRPr="00677E6D">
        <w:rPr>
          <w:sz w:val="24"/>
        </w:rPr>
        <w:t xml:space="preserve">ORLANDI, Eni. </w:t>
      </w:r>
      <w:r w:rsidRPr="00677E6D">
        <w:rPr>
          <w:b/>
          <w:sz w:val="24"/>
        </w:rPr>
        <w:t>A linguagem e seu funcionamento:</w:t>
      </w:r>
      <w:r w:rsidRPr="00677E6D">
        <w:rPr>
          <w:sz w:val="24"/>
        </w:rPr>
        <w:t xml:space="preserve"> as formas do discurso. Campinas, Pontes, 1996.</w:t>
      </w:r>
    </w:p>
    <w:p w:rsidR="00D24E61" w:rsidRPr="00677E6D" w:rsidRDefault="00D24E61">
      <w:pPr>
        <w:autoSpaceDE w:val="0"/>
        <w:ind w:left="170" w:right="113"/>
        <w:rPr>
          <w:sz w:val="24"/>
        </w:rPr>
      </w:pPr>
    </w:p>
    <w:p w:rsidR="00D24E61" w:rsidRPr="00677E6D" w:rsidRDefault="00D24E61">
      <w:pPr>
        <w:autoSpaceDE w:val="0"/>
        <w:ind w:left="170" w:right="113"/>
        <w:rPr>
          <w:sz w:val="24"/>
        </w:rPr>
      </w:pPr>
      <w:r w:rsidRPr="00677E6D">
        <w:rPr>
          <w:sz w:val="24"/>
        </w:rPr>
        <w:t xml:space="preserve">SCOTT, Joan. </w:t>
      </w:r>
      <w:r w:rsidRPr="00677E6D">
        <w:rPr>
          <w:b/>
          <w:sz w:val="24"/>
        </w:rPr>
        <w:t>Gênero:</w:t>
      </w:r>
      <w:r w:rsidRPr="00677E6D">
        <w:rPr>
          <w:sz w:val="24"/>
        </w:rPr>
        <w:t xml:space="preserve"> uma categoria útil para análise histórica. Educação e Realidade, v.16, n.2, jul./dez. 1995.</w:t>
      </w:r>
    </w:p>
    <w:p w:rsidR="00D24E61" w:rsidRPr="00677E6D" w:rsidRDefault="00D24E61">
      <w:pPr>
        <w:autoSpaceDE w:val="0"/>
        <w:ind w:left="170" w:right="113"/>
        <w:rPr>
          <w:sz w:val="24"/>
        </w:rPr>
      </w:pPr>
    </w:p>
    <w:p w:rsidR="00D24E61" w:rsidRPr="00677E6D" w:rsidRDefault="00D24E61">
      <w:pPr>
        <w:autoSpaceDE w:val="0"/>
        <w:ind w:left="170" w:right="113"/>
        <w:rPr>
          <w:sz w:val="24"/>
        </w:rPr>
      </w:pPr>
      <w:r w:rsidRPr="00677E6D">
        <w:rPr>
          <w:sz w:val="24"/>
        </w:rPr>
        <w:t xml:space="preserve">VANCE, Carole S. </w:t>
      </w:r>
      <w:r w:rsidRPr="00677E6D">
        <w:rPr>
          <w:b/>
          <w:sz w:val="24"/>
        </w:rPr>
        <w:t xml:space="preserve">A Antropologia redescobre a sexualidade: </w:t>
      </w:r>
      <w:r w:rsidRPr="00677E6D">
        <w:rPr>
          <w:sz w:val="24"/>
        </w:rPr>
        <w:t>um comentário teórico. In: PHYSIS - Revista de Saúde Coletiva, vol. 5 n. 1, pp. 7-31, 1995.</w:t>
      </w:r>
    </w:p>
    <w:p w:rsidR="00D24E61" w:rsidRPr="00677E6D" w:rsidRDefault="00D24E61">
      <w:pPr>
        <w:rPr>
          <w:sz w:val="24"/>
        </w:rPr>
      </w:pPr>
    </w:p>
    <w:p w:rsidR="00D24E61" w:rsidRDefault="00D24E61">
      <w:pPr>
        <w:jc w:val="both"/>
        <w:rPr>
          <w:sz w:val="20"/>
          <w:szCs w:val="20"/>
        </w:rPr>
      </w:pPr>
    </w:p>
    <w:p w:rsidR="00677E6D" w:rsidRPr="00771368" w:rsidRDefault="00677E6D">
      <w:pPr>
        <w:jc w:val="both"/>
        <w:rPr>
          <w:sz w:val="20"/>
          <w:szCs w:val="20"/>
        </w:rPr>
      </w:pPr>
    </w:p>
    <w:p w:rsidR="00D24E61" w:rsidRPr="00771368" w:rsidRDefault="00D24E61">
      <w:pPr>
        <w:jc w:val="both"/>
      </w:pPr>
    </w:p>
    <w:p w:rsidR="00D24E61" w:rsidRPr="00771368" w:rsidRDefault="00D24E61" w:rsidP="00D24E61">
      <w:pPr>
        <w:spacing w:line="360" w:lineRule="auto"/>
        <w:jc w:val="center"/>
        <w:rPr>
          <w:b/>
        </w:rPr>
      </w:pPr>
      <w:r w:rsidRPr="00771368">
        <w:rPr>
          <w:b/>
        </w:rPr>
        <w:t>A história de Rosa: quando “os direitos humanos são difíceis”</w:t>
      </w:r>
    </w:p>
    <w:p w:rsidR="00D24E61" w:rsidRPr="00771368" w:rsidRDefault="00D24E61" w:rsidP="00677E6D">
      <w:pPr>
        <w:pStyle w:val="Ttulo1"/>
      </w:pPr>
      <w:bookmarkStart w:id="22" w:name="_Toc442034725"/>
      <w:r w:rsidRPr="00771368">
        <w:t>Thayana de Moraes Costa</w:t>
      </w:r>
      <w:bookmarkEnd w:id="22"/>
    </w:p>
    <w:p w:rsidR="00D24E61" w:rsidRPr="00771368" w:rsidRDefault="00D24E61" w:rsidP="00D24E61">
      <w:pPr>
        <w:spacing w:line="360" w:lineRule="auto"/>
        <w:jc w:val="center"/>
        <w:rPr>
          <w:i/>
        </w:rPr>
      </w:pPr>
      <w:r w:rsidRPr="00771368">
        <w:rPr>
          <w:i/>
        </w:rPr>
        <w:t>Graduada – Universidade Estadual do Piauí</w:t>
      </w:r>
    </w:p>
    <w:p w:rsidR="00D24E61" w:rsidRPr="00771368" w:rsidRDefault="00D24E61" w:rsidP="00D24E61">
      <w:pPr>
        <w:tabs>
          <w:tab w:val="left" w:pos="2850"/>
        </w:tabs>
        <w:spacing w:line="360" w:lineRule="auto"/>
        <w:jc w:val="center"/>
        <w:rPr>
          <w:b/>
        </w:rPr>
      </w:pPr>
      <w:r w:rsidRPr="00771368">
        <w:rPr>
          <w:b/>
        </w:rPr>
        <w:t>Leonardo Sales Lima</w:t>
      </w:r>
    </w:p>
    <w:p w:rsidR="00D24E61" w:rsidRPr="00771368" w:rsidRDefault="00D24E61" w:rsidP="00D24E61">
      <w:pPr>
        <w:spacing w:line="360" w:lineRule="auto"/>
        <w:jc w:val="center"/>
        <w:rPr>
          <w:i/>
        </w:rPr>
      </w:pPr>
      <w:r w:rsidRPr="00771368">
        <w:rPr>
          <w:i/>
        </w:rPr>
        <w:t>Professor Orientador – Universidade Estadual do Piauí</w:t>
      </w:r>
    </w:p>
    <w:p w:rsidR="00D24E61" w:rsidRPr="00771368" w:rsidRDefault="00D24E61" w:rsidP="00D24E61">
      <w:pPr>
        <w:spacing w:line="360" w:lineRule="auto"/>
        <w:ind w:firstLine="1134"/>
        <w:jc w:val="both"/>
        <w:rPr>
          <w:b/>
        </w:rPr>
      </w:pPr>
    </w:p>
    <w:p w:rsidR="00D24E61" w:rsidRPr="00771368" w:rsidRDefault="00D24E61" w:rsidP="00FA0ABA">
      <w:pPr>
        <w:pStyle w:val="PargrafodaLista"/>
        <w:numPr>
          <w:ilvl w:val="0"/>
          <w:numId w:val="14"/>
        </w:numPr>
        <w:spacing w:after="0" w:line="360" w:lineRule="auto"/>
        <w:rPr>
          <w:rFonts w:ascii="Times New Roman" w:hAnsi="Times New Roman"/>
          <w:b/>
        </w:rPr>
      </w:pPr>
      <w:r w:rsidRPr="00771368">
        <w:rPr>
          <w:rFonts w:ascii="Times New Roman" w:hAnsi="Times New Roman"/>
          <w:b/>
        </w:rPr>
        <w:t>Introdução</w:t>
      </w:r>
    </w:p>
    <w:p w:rsidR="00D24E61" w:rsidRPr="00771368" w:rsidRDefault="00D24E61" w:rsidP="00D24E61">
      <w:pPr>
        <w:spacing w:line="360" w:lineRule="auto"/>
        <w:ind w:firstLine="1134"/>
        <w:jc w:val="both"/>
        <w:rPr>
          <w:b/>
        </w:rPr>
      </w:pPr>
    </w:p>
    <w:p w:rsidR="00D24E61" w:rsidRPr="00771368" w:rsidRDefault="00D24E61" w:rsidP="00D24E61">
      <w:pPr>
        <w:spacing w:line="360" w:lineRule="auto"/>
        <w:ind w:firstLine="1134"/>
        <w:jc w:val="both"/>
      </w:pPr>
      <w:r w:rsidRPr="00771368">
        <w:t xml:space="preserve">Por muito tempo a violência contra a mulher foi considerada como fato corriqueiro, validado, muitas vezes, pelo ditado popular “em briga de marido e mulher não se mete a colher”, única resposta possível para milhões de mulheres que sofriam violência. Essa realidade tende à modificação conquanto tem-se posto em relevo a necessidade de transformação de uma cultura complacente à violação dos direitos humanos das mulheres no Brasil. </w:t>
      </w:r>
    </w:p>
    <w:p w:rsidR="00D24E61" w:rsidRPr="00771368" w:rsidRDefault="00D24E61" w:rsidP="00D24E61">
      <w:pPr>
        <w:spacing w:line="360" w:lineRule="auto"/>
        <w:ind w:firstLine="1134"/>
        <w:jc w:val="both"/>
      </w:pPr>
      <w:r w:rsidRPr="00771368">
        <w:t>Foi diante deste imperativo, por exemplo, que promulgou-se a Lei 11.340/06, de 07 de agosto de 2006, representando a luta de diversas mulheres para conquista de seus direitos humanos. Importante para apoiar esta mobilização foi o caso de Maria da Penha, amparada pela Organização dos Estados Americanos (OEA) que puniu o Brasil por omissão e exigiu legislação mais consistente (BRASIL, 2006).</w:t>
      </w:r>
    </w:p>
    <w:p w:rsidR="00D24E61" w:rsidRPr="00771368" w:rsidRDefault="00D24E61" w:rsidP="00D24E61">
      <w:pPr>
        <w:spacing w:line="360" w:lineRule="auto"/>
        <w:ind w:firstLine="1134"/>
        <w:jc w:val="both"/>
      </w:pPr>
      <w:r w:rsidRPr="00771368">
        <w:t>A partir daí passou-se a reconhecer que a violência contra a mulher pode acontecer em qualquer lugar, mas quando acontece em casa, por familiares ou pessoas que convivem no mesmo ambiente doméstico ou mantêm qualquer vínculo afetivo, a mulher é amparada pela Lei 11.340/06, mais conhecida como Lei Maria da Penha, que criou mecanismos para coibir a violência doméstica e familiar contra a mulher nos termos da Constituição Federal de 1988 e das convenções supracitadas, dispondo sobre a criação dos juizados de violência doméstica e familiar contra a mulher e a implementação de medidas protetivas que resguardem sua segurança e integridade (BRASIL, 2006).</w:t>
      </w:r>
    </w:p>
    <w:p w:rsidR="00D24E61" w:rsidRPr="00771368" w:rsidRDefault="00D24E61" w:rsidP="00D24E61">
      <w:pPr>
        <w:spacing w:line="360" w:lineRule="auto"/>
        <w:ind w:firstLine="1134"/>
        <w:jc w:val="both"/>
      </w:pPr>
      <w:r w:rsidRPr="00771368">
        <w:t xml:space="preserve">Nos termos da Lei: “Configura violência doméstica e familiar contra a mulher qualquer ação ou omissão baseada no gênero que lhe cause morte, lesão, sofrimento físico, sexual ou psicológico e dano moral ou patrimonial” (BRASIL, 2006, p.01). Isso quer dizer que a violência doméstica e familiar contra a mulher encontra fundamentos no modelo de sociedade patriarcal e machista construída sob as relações desiguais das identidades de gênero (BRASIL, 2011b). </w:t>
      </w:r>
    </w:p>
    <w:p w:rsidR="00D24E61" w:rsidRPr="00771368" w:rsidRDefault="00D24E61" w:rsidP="00D24E61">
      <w:pPr>
        <w:spacing w:line="360" w:lineRule="auto"/>
        <w:ind w:firstLine="1134"/>
        <w:jc w:val="both"/>
      </w:pPr>
      <w:r w:rsidRPr="00771368">
        <w:t>Entre as inovações da referida legislação, vale ressaltar as medidas protetivas de urgência</w:t>
      </w:r>
      <w:r w:rsidRPr="00771368">
        <w:rPr>
          <w:vertAlign w:val="superscript"/>
        </w:rPr>
        <w:footnoteReference w:id="13"/>
      </w:r>
      <w:r w:rsidRPr="00771368">
        <w:t xml:space="preserve">, fundamentais para garantir os direitos das mulheres e estender o seu acesso à rede de atendimento especializada, que inclui desde o acolhimento psicossocial e jurídico até o abrigamento das mulheres e seus filhos(as) nos casos de grave ameaça e risco de morte (BRASIL, 2006). </w:t>
      </w:r>
    </w:p>
    <w:p w:rsidR="00D24E61" w:rsidRPr="00771368" w:rsidRDefault="00D24E61" w:rsidP="00D24E61">
      <w:pPr>
        <w:spacing w:line="360" w:lineRule="auto"/>
        <w:ind w:firstLine="1134"/>
        <w:jc w:val="both"/>
      </w:pPr>
      <w:r w:rsidRPr="00771368">
        <w:t>Nesse sentido, no que tange ao atendimento previsto na Lei, um dos pontos fundamentais na garantia da integridade física e moral das mulheres refere-se ao abrigamento nos casos de risco de morte. A principal resposta do Estado neste nível de assistência está na criação das Casas-Abrigo, dispositivos institucionais que tem o objetivo de prover, provisoriamente, medidas emergenciais de proteção e acolhimento de mulheres em situação de violência doméstica e familiar sob risco de morte, acompanhadas ou não de seus filhos(as), em locais seguros (BRASIL, 2011a).</w:t>
      </w:r>
    </w:p>
    <w:p w:rsidR="00D24E61" w:rsidRPr="00771368" w:rsidRDefault="00D24E61" w:rsidP="00D24E61">
      <w:pPr>
        <w:spacing w:line="360" w:lineRule="auto"/>
        <w:ind w:firstLine="1134"/>
        <w:jc w:val="both"/>
      </w:pPr>
      <w:r w:rsidRPr="00771368">
        <w:rPr>
          <w:lang w:val="pt-PT"/>
        </w:rPr>
        <w:t xml:space="preserve">As Casas-Abrigo constituem, portanto, um programa de proteção às mulheres em situação de violência, inserido na Política Nacional de Abrigamento, que redefine as possibilidades de acolhimento provisório para mulheres em situação de violência, no sentido de garantir-lhes segurança e proteção. A garantia inclui, ainda, a integridade física e emocional das mulheres,o auxilío no processo de reorganização de suas vidas e o resgate da autoestima </w:t>
      </w:r>
      <w:r w:rsidRPr="00771368">
        <w:t>(BRASIL, 2011a). D</w:t>
      </w:r>
      <w:r w:rsidRPr="00771368">
        <w:rPr>
          <w:lang w:val="pt-PT"/>
        </w:rPr>
        <w:t>eve, portanto, ser entendida como uma estratégia para otimizar as respostas do Estado no que se refere ao acesso à proteção e ao acolhimento das mulheres em situação de violência, garantindo-lhes o direito a uma vida sem violência.</w:t>
      </w:r>
    </w:p>
    <w:p w:rsidR="00D24E61" w:rsidRPr="00771368" w:rsidRDefault="00D24E61" w:rsidP="00D24E61">
      <w:pPr>
        <w:spacing w:line="360" w:lineRule="auto"/>
        <w:ind w:firstLine="1134"/>
        <w:jc w:val="both"/>
        <w:rPr>
          <w:lang w:val="pt-PT"/>
        </w:rPr>
      </w:pPr>
      <w:r w:rsidRPr="00771368">
        <w:rPr>
          <w:lang w:val="pt-PT"/>
        </w:rPr>
        <w:t xml:space="preserve">Vale ressaltar que, no âmbito da assistência, tanto a Política quanto o Pacto Nacional de Enfrentamento à Violência têm como pontos fundamentais a garantia do acesso das mulheres aos serviços especializados e a capilaridade do atendimento na rede de serviços </w:t>
      </w:r>
      <w:r w:rsidRPr="00771368">
        <w:t>(BRASIL, 2011b)</w:t>
      </w:r>
      <w:r w:rsidRPr="00771368">
        <w:rPr>
          <w:lang w:val="pt-PT"/>
        </w:rPr>
        <w:t>. Portanto, a discussão referente às alternativas de abrigamento é extremamente relevante para garantir o acesso ampliado das mulheres em situação de violência a locais seguros e protegidos e à medidas eficazes de proteção para as diversas formas de violência contra as mulheres.</w:t>
      </w:r>
    </w:p>
    <w:p w:rsidR="00D24E61" w:rsidRPr="00771368" w:rsidRDefault="00D24E61" w:rsidP="00D24E61">
      <w:pPr>
        <w:spacing w:line="360" w:lineRule="auto"/>
        <w:ind w:firstLine="1134"/>
        <w:jc w:val="both"/>
        <w:rPr>
          <w:rFonts w:eastAsia="Calibri"/>
        </w:rPr>
      </w:pPr>
      <w:r w:rsidRPr="00771368">
        <w:t xml:space="preserve">Nesse ínterim, a Psicologia vem inserindo-se em diversos espaços de discussão e atuação reafirmando o compromisso de </w:t>
      </w:r>
      <w:r w:rsidRPr="00771368">
        <w:rPr>
          <w:rFonts w:eastAsia="Calibri"/>
        </w:rPr>
        <w:t>promover o exercício da condição cidadã daquelas que sofreram violência, resgatando e fortalecendo sua autoestima e possibilitando que se tornem protagonistas de seus próprios direitos (</w:t>
      </w:r>
      <w:r w:rsidRPr="00771368">
        <w:rPr>
          <w:caps/>
        </w:rPr>
        <w:t>Hanada; D'Oliveira; Schraiber</w:t>
      </w:r>
      <w:r w:rsidRPr="00771368">
        <w:t>, 2010)</w:t>
      </w:r>
      <w:r w:rsidRPr="00771368">
        <w:rPr>
          <w:rFonts w:eastAsia="Calibri"/>
        </w:rPr>
        <w:t>.</w:t>
      </w:r>
    </w:p>
    <w:p w:rsidR="00D24E61" w:rsidRPr="00771368" w:rsidRDefault="00D24E61" w:rsidP="00D24E61">
      <w:pPr>
        <w:spacing w:line="360" w:lineRule="auto"/>
        <w:ind w:firstLine="1134"/>
        <w:jc w:val="both"/>
      </w:pPr>
      <w:r w:rsidRPr="00771368">
        <w:t>Por esse viés, encontrou-se o entendimento de que há ainda muito a fazer, enquanto profissional de Psicologia, também responsável pela efetivação e consolidação da Política Nacional, e, sobretudo, em busca da mudança social pela práxis de libertação, pois a psicologia que se quer construir é como defende Coimbra (1995), permeada de discursos e relações de poder, e não um saber neutro cuja reprodução de modelos não permite a invenção de saídas para os processos de subjetivação.</w:t>
      </w:r>
    </w:p>
    <w:p w:rsidR="00D24E61" w:rsidRPr="00771368" w:rsidRDefault="00D24E61" w:rsidP="00D24E61">
      <w:pPr>
        <w:spacing w:line="360" w:lineRule="auto"/>
        <w:ind w:firstLine="1134"/>
        <w:jc w:val="both"/>
        <w:rPr>
          <w:rFonts w:eastAsia="Calibri"/>
        </w:rPr>
      </w:pPr>
      <w:r w:rsidRPr="00771368">
        <w:t xml:space="preserve">A fim de corroborar esse compromisso da Psicologia, refletindo também um esforço para subsidiá-lo, este estudo objetivou lançar luz aos seguintes questionamentos: </w:t>
      </w:r>
      <w:r w:rsidRPr="00771368">
        <w:rPr>
          <w:rFonts w:eastAsia="Arial Unicode MS"/>
        </w:rPr>
        <w:t xml:space="preserve">quais os discursos </w:t>
      </w:r>
      <w:r w:rsidRPr="00771368">
        <w:t>sobre masculinidade e feminilidade produzidos e reproduzidos por uma mulher em situação de violência doméstica e familiar acolhida em uma Casa-Abrigo?</w:t>
      </w:r>
      <w:r w:rsidRPr="00771368">
        <w:rPr>
          <w:rFonts w:eastAsia="Arial Unicode MS"/>
        </w:rPr>
        <w:t xml:space="preserve"> </w:t>
      </w:r>
      <w:r w:rsidRPr="00771368">
        <w:t xml:space="preserve">Quais as práticas sociais embutidas nesses discursos? E como são representadas? Como, por meio do discurso, esta mulher desafia a realidade </w:t>
      </w:r>
      <w:r w:rsidRPr="00771368">
        <w:rPr>
          <w:rFonts w:eastAsia="Arial Unicode MS"/>
        </w:rPr>
        <w:t>social na qual vive e dentro da qual conta sua própria história de vida?</w:t>
      </w:r>
    </w:p>
    <w:p w:rsidR="00D24E61" w:rsidRPr="00771368" w:rsidRDefault="00D24E61" w:rsidP="00D24E61">
      <w:pPr>
        <w:spacing w:line="360" w:lineRule="auto"/>
        <w:jc w:val="both"/>
      </w:pPr>
    </w:p>
    <w:p w:rsidR="00D24E61" w:rsidRPr="00771368" w:rsidRDefault="00D24E61" w:rsidP="00FA0ABA">
      <w:pPr>
        <w:pStyle w:val="PargrafodaLista"/>
        <w:numPr>
          <w:ilvl w:val="0"/>
          <w:numId w:val="14"/>
        </w:numPr>
        <w:spacing w:after="0" w:line="360" w:lineRule="auto"/>
        <w:rPr>
          <w:rFonts w:ascii="Times New Roman" w:hAnsi="Times New Roman"/>
          <w:b/>
        </w:rPr>
      </w:pPr>
      <w:bookmarkStart w:id="23" w:name="_Toc345007268"/>
      <w:bookmarkStart w:id="24" w:name="_Toc350275795"/>
      <w:r w:rsidRPr="00771368">
        <w:rPr>
          <w:rFonts w:ascii="Times New Roman" w:hAnsi="Times New Roman"/>
          <w:b/>
        </w:rPr>
        <w:t>As perspectivas de gênero</w:t>
      </w:r>
      <w:bookmarkEnd w:id="23"/>
      <w:r w:rsidRPr="00771368">
        <w:rPr>
          <w:rFonts w:ascii="Times New Roman" w:hAnsi="Times New Roman"/>
          <w:b/>
        </w:rPr>
        <w:t xml:space="preserve"> e suas contribuições teóricas para o entendimento da violência contra a mulher</w:t>
      </w:r>
      <w:bookmarkEnd w:id="24"/>
    </w:p>
    <w:p w:rsidR="00D24E61" w:rsidRPr="00771368" w:rsidRDefault="00D24E61" w:rsidP="00D24E61">
      <w:pPr>
        <w:spacing w:line="360" w:lineRule="auto"/>
        <w:ind w:firstLine="1134"/>
        <w:jc w:val="center"/>
        <w:rPr>
          <w:b/>
        </w:rPr>
      </w:pPr>
    </w:p>
    <w:p w:rsidR="00D24E61" w:rsidRPr="00771368" w:rsidRDefault="00D24E61" w:rsidP="00D24E61">
      <w:pPr>
        <w:autoSpaceDE w:val="0"/>
        <w:autoSpaceDN w:val="0"/>
        <w:adjustRightInd w:val="0"/>
        <w:spacing w:line="360" w:lineRule="auto"/>
        <w:ind w:firstLine="1134"/>
        <w:jc w:val="both"/>
      </w:pPr>
      <w:r w:rsidRPr="00771368">
        <w:t xml:space="preserve">O termo gênero, para algumas como Badinter (1993), Izquierdo (1994) e Scott (1999), refere-se a uma construção cultural das relações de poder entre os sujeitos masculino e feminino que se modificam de acordo as sociedades no transcorrer do tempo, já que é a própria sociedade que constrói tais relações ao conferir aos homens e mulheres os papéis que lhes cabe desempenhar socialmente. </w:t>
      </w:r>
    </w:p>
    <w:p w:rsidR="00D24E61" w:rsidRPr="00771368" w:rsidRDefault="00D24E61" w:rsidP="00D24E61">
      <w:pPr>
        <w:spacing w:line="360" w:lineRule="auto"/>
        <w:ind w:firstLine="1134"/>
        <w:jc w:val="both"/>
      </w:pPr>
      <w:r w:rsidRPr="00771368">
        <w:t xml:space="preserve">Badinter (1993) adverte que historicamente as sociedades tendem a conferir maior valor às características tidas como masculinas. Neste ponto, Saffioti (2004) concorda enfatizando que a existência do constructo gênero impõe uma ditadura, ao admitir que um gênero exerça poder sobre outro, atribuindo valores socialmente diferenciados a cada um. Isso implica dizer que nas relações de gênero as mulheres são designadas a desempenhar papel de submissão. </w:t>
      </w:r>
    </w:p>
    <w:p w:rsidR="00D24E61" w:rsidRPr="00771368" w:rsidRDefault="00D24E61" w:rsidP="00D24E61">
      <w:pPr>
        <w:spacing w:line="360" w:lineRule="auto"/>
        <w:ind w:firstLine="1134"/>
        <w:jc w:val="both"/>
        <w:rPr>
          <w:rFonts w:eastAsia="Calibri"/>
          <w:lang w:eastAsia="en-US"/>
        </w:rPr>
      </w:pPr>
      <w:r w:rsidRPr="00771368">
        <w:rPr>
          <w:rFonts w:eastAsia="Calibri"/>
          <w:lang w:eastAsia="en-US"/>
        </w:rPr>
        <w:t>Em outros termos, como descreve Giddens (1993), aos meninos é ensinado a “agir como homem” escondendo suas emoções, fraquezas e sensibilidade, e espelhando-se no pai; aprisionado no papel do provedor, seguro e justiceiro. Na contramão, à menina é ensinado que ela deve ser uma “moça direita”, dócil, dependente, insegura e mãe; e em função desta prática, tem sido reservado à mulher o espaço doméstico, sob a justificativa de sua capacidade natural de ser mãe</w:t>
      </w:r>
      <w:r w:rsidRPr="00771368">
        <w:rPr>
          <w:rStyle w:val="Refdenotaderodap"/>
          <w:rFonts w:eastAsia="Calibri"/>
        </w:rPr>
        <w:footnoteReference w:id="14"/>
      </w:r>
      <w:r w:rsidRPr="00771368">
        <w:rPr>
          <w:rFonts w:eastAsia="Calibri"/>
          <w:lang w:eastAsia="en-US"/>
        </w:rPr>
        <w:t xml:space="preserve"> patrocinando, consequentemente, a crença de que lhe cabem o cuidado e a socialização dos filhos.</w:t>
      </w:r>
    </w:p>
    <w:p w:rsidR="00D24E61" w:rsidRPr="00771368" w:rsidRDefault="00D24E61" w:rsidP="00D24E61">
      <w:pPr>
        <w:spacing w:line="360" w:lineRule="auto"/>
        <w:ind w:firstLine="1134"/>
        <w:jc w:val="both"/>
        <w:rPr>
          <w:rFonts w:eastAsia="Calibri"/>
          <w:lang w:eastAsia="en-US"/>
        </w:rPr>
      </w:pPr>
      <w:r w:rsidRPr="00771368">
        <w:rPr>
          <w:rFonts w:eastAsia="Calibri"/>
          <w:lang w:eastAsia="en-US"/>
        </w:rPr>
        <w:t>Esse movimento de fabricação do feminino e masculino que se alastra, maiormente, pela via dos arranjos institucionais, por meio da escola, família e igreja, além dos veículos de comunicação em massa, difunde e reafirma formulações ideológicas dominantes de que, ao masculino, de maneira geral, são atribuídas qualidades referentes ao espaço público, domínio e agressividade (</w:t>
      </w:r>
      <w:r w:rsidRPr="00771368">
        <w:t>SAFFIOTI, 1992)</w:t>
      </w:r>
      <w:r w:rsidRPr="00771368">
        <w:rPr>
          <w:rFonts w:eastAsia="Calibri"/>
          <w:lang w:eastAsia="en-US"/>
        </w:rPr>
        <w:t>.</w:t>
      </w:r>
    </w:p>
    <w:p w:rsidR="00D24E61" w:rsidRPr="00771368" w:rsidRDefault="00D24E61" w:rsidP="00D24E61">
      <w:pPr>
        <w:spacing w:line="360" w:lineRule="auto"/>
        <w:ind w:firstLine="1134"/>
        <w:jc w:val="both"/>
        <w:rPr>
          <w:rFonts w:eastAsia="Calibri"/>
          <w:lang w:eastAsia="en-US"/>
        </w:rPr>
      </w:pPr>
      <w:r w:rsidRPr="00771368">
        <w:rPr>
          <w:rFonts w:eastAsia="Calibri"/>
          <w:lang w:eastAsia="en-US"/>
        </w:rPr>
        <w:t>Ao feminino, por sua vez, resta a medalha de “sexo frágil”, pelo fato de, supostamente, serem as mulheres mais afetiva em suas expressões, contrapondo-se ao masculino e, por isso, irrelevante aos interesses sociais e políticos na esfera pública. N</w:t>
      </w:r>
      <w:r w:rsidRPr="00771368">
        <w:t>o dizer de Saffioti (1992, p. 184) é “como na dialética entre o escravo e seu senhor, homem e mulher jogam, cada um com seus poderes, o primeiro, para preservar sua supremacia, a segunda para tornar menos incompleta sua cidadania”.</w:t>
      </w:r>
    </w:p>
    <w:p w:rsidR="00D24E61" w:rsidRPr="00771368" w:rsidRDefault="00D24E61" w:rsidP="00D24E61">
      <w:pPr>
        <w:autoSpaceDE w:val="0"/>
        <w:autoSpaceDN w:val="0"/>
        <w:adjustRightInd w:val="0"/>
        <w:spacing w:line="360" w:lineRule="auto"/>
        <w:ind w:firstLine="1134"/>
        <w:jc w:val="both"/>
      </w:pPr>
      <w:r w:rsidRPr="00771368">
        <w:t>A esse movimento, que realinha a masculinidade a feminilidade, contrapondo-os e essencializando-os, pela imposição de modos de ser que encaixota sujeitos em uma heteronormatividade, é alcunhado o termo “binarismo de gênero”</w:t>
      </w:r>
      <w:r w:rsidRPr="00771368">
        <w:rPr>
          <w:i/>
        </w:rPr>
        <w:t>.</w:t>
      </w:r>
      <w:r w:rsidRPr="00771368">
        <w:t xml:space="preserve"> Por meio dele, como explica Saffioti (2009), tanto homens quanto mulheres, sob os pólos dominantes e dominados, refletem em suas percepções e condutas, os papéis de gênero que aprenderam normativamente a representar em uma suposta e confortadora normalidade. Esse modelo avigora a violência de gênero contra a mulher, entendida como qualquer ato de que lhe cause dano ou sofrimento pelo fato de ser mulher.</w:t>
      </w:r>
    </w:p>
    <w:p w:rsidR="00D24E61" w:rsidRPr="00771368" w:rsidRDefault="00D24E61" w:rsidP="00D24E61">
      <w:pPr>
        <w:autoSpaceDE w:val="0"/>
        <w:autoSpaceDN w:val="0"/>
        <w:adjustRightInd w:val="0"/>
        <w:spacing w:line="360" w:lineRule="auto"/>
        <w:ind w:firstLine="1134"/>
        <w:jc w:val="both"/>
      </w:pPr>
      <w:r w:rsidRPr="00771368">
        <w:t xml:space="preserve">De tal modo, pode-se afirmar, como o fazem Strey e Winck (2008), que a violência de gênero contra a mulher é uma construção histórica e social regularizada por uma sociedade patriarcal; que prevê experiências diferentes de comportamento para homens e mulheres, atribuindo-lhes características distintas nos seus processos de socialização. </w:t>
      </w:r>
    </w:p>
    <w:p w:rsidR="00D24E61" w:rsidRPr="00771368" w:rsidRDefault="00D24E61" w:rsidP="00D24E61">
      <w:pPr>
        <w:autoSpaceDE w:val="0"/>
        <w:autoSpaceDN w:val="0"/>
        <w:adjustRightInd w:val="0"/>
        <w:spacing w:line="360" w:lineRule="auto"/>
        <w:ind w:firstLine="1134"/>
        <w:jc w:val="both"/>
        <w:rPr>
          <w:rFonts w:eastAsia="Calibri"/>
          <w:lang w:eastAsia="en-US"/>
        </w:rPr>
      </w:pPr>
      <w:r w:rsidRPr="00771368">
        <w:t>A lógica patriarcal envolve uma hierarquização de relações intersexuais e intergeracionais, exigindo a submissão e a obediência da mulher à figura masculina, de quem é propriedade.</w:t>
      </w:r>
      <w:r w:rsidRPr="00771368">
        <w:rPr>
          <w:rFonts w:eastAsia="Calibri"/>
          <w:lang w:eastAsia="en-US"/>
        </w:rPr>
        <w:t xml:space="preserve"> Conforme Chodorow (2002), existe uma economia doméstica que mantém essa ordem patriarcal de gênero, em que as mulheres são objetos de satisfação sexual dos homens e reprodutoras de herdeiros, de força de trabalho, e novas reprodutoras. </w:t>
      </w:r>
    </w:p>
    <w:p w:rsidR="00D24E61" w:rsidRPr="00771368" w:rsidRDefault="00D24E61" w:rsidP="00D24E61">
      <w:pPr>
        <w:autoSpaceDE w:val="0"/>
        <w:autoSpaceDN w:val="0"/>
        <w:adjustRightInd w:val="0"/>
        <w:spacing w:line="360" w:lineRule="auto"/>
        <w:ind w:firstLine="1134"/>
        <w:jc w:val="both"/>
        <w:rPr>
          <w:rFonts w:eastAsia="Calibri"/>
          <w:lang w:eastAsia="en-US"/>
        </w:rPr>
      </w:pPr>
      <w:r w:rsidRPr="00771368">
        <w:rPr>
          <w:rFonts w:eastAsia="Calibri"/>
          <w:lang w:eastAsia="en-US"/>
        </w:rPr>
        <w:t>Ao mesmo tempo, como explica Saffioti (2009), quando as mulheres não aceitam como natural o lugar e o papel a elas impostos pela sociedade, os homens recorrem a artifícios como a violência simbólica (moral e ou psicológica) para fazer valer suas vontades, ou a violência sexual, patrimonial ou física, que se manifestam mais nos espaços em que a ideologização da violência simbólica não se faz garantir, como o doméstico</w:t>
      </w:r>
      <w:r w:rsidRPr="00771368">
        <w:t>.</w:t>
      </w:r>
    </w:p>
    <w:p w:rsidR="00D24E61" w:rsidRPr="00771368" w:rsidRDefault="00D24E61" w:rsidP="00D24E61">
      <w:pPr>
        <w:autoSpaceDE w:val="0"/>
        <w:autoSpaceDN w:val="0"/>
        <w:adjustRightInd w:val="0"/>
        <w:spacing w:line="360" w:lineRule="auto"/>
        <w:ind w:firstLine="1134"/>
        <w:jc w:val="both"/>
      </w:pPr>
      <w:r w:rsidRPr="00771368">
        <w:t>Para a autora, as interações violentas de um casal estão vinculadas ao aumento de tensão nas relações de poder estabelecidas em que a relação de dominação e subordinação necessita ser confirmada. A situação de violência pode ser, então, uma tentativa de restaurar o poder perdido ou nunca alcançado, ou ainda a confirmação da identidade.</w:t>
      </w:r>
    </w:p>
    <w:p w:rsidR="00D24E61" w:rsidRPr="00771368" w:rsidRDefault="00D24E61" w:rsidP="00D24E61">
      <w:pPr>
        <w:spacing w:line="360" w:lineRule="auto"/>
        <w:ind w:firstLine="1134"/>
        <w:jc w:val="both"/>
      </w:pPr>
      <w:r w:rsidRPr="00771368">
        <w:t>O que representa como aduziu Muraro e Boff (2002),</w:t>
      </w:r>
    </w:p>
    <w:p w:rsidR="00D24E61" w:rsidRPr="00771368" w:rsidRDefault="00D24E61" w:rsidP="00D24E61">
      <w:pPr>
        <w:spacing w:line="360" w:lineRule="auto"/>
        <w:ind w:firstLine="1134"/>
        <w:jc w:val="both"/>
      </w:pPr>
    </w:p>
    <w:p w:rsidR="00D24E61" w:rsidRPr="00771368" w:rsidRDefault="00D24E61" w:rsidP="00D24E61">
      <w:pPr>
        <w:ind w:left="3402"/>
        <w:jc w:val="both"/>
        <w:rPr>
          <w:sz w:val="20"/>
        </w:rPr>
      </w:pPr>
      <w:r w:rsidRPr="00771368">
        <w:rPr>
          <w:sz w:val="20"/>
        </w:rPr>
        <w:t>“(...) na teoria freudiana, uma preferência generalizada pela masculinidade. Meninos e meninas, ao perceberem a castração da mãe, voltam-se para o sexo oposto ao dela, daí a preferência pela masculinidade, entendendo como o seu oposto não a feminilidade, mas a castração. Portanto, nessa mesma teoria, a menina está estruturalmente vinculada à passividade, à inferioridade e à castração” (p.161).</w:t>
      </w:r>
    </w:p>
    <w:p w:rsidR="00D24E61" w:rsidRPr="00771368" w:rsidRDefault="00D24E61" w:rsidP="00D24E61">
      <w:pPr>
        <w:spacing w:line="360" w:lineRule="auto"/>
        <w:ind w:firstLine="1134"/>
        <w:jc w:val="both"/>
      </w:pPr>
    </w:p>
    <w:p w:rsidR="00D24E61" w:rsidRPr="00771368" w:rsidRDefault="00D24E61" w:rsidP="00D24E61">
      <w:pPr>
        <w:spacing w:line="360" w:lineRule="auto"/>
        <w:ind w:firstLine="1134"/>
        <w:jc w:val="both"/>
      </w:pPr>
      <w:r w:rsidRPr="00771368">
        <w:t>Nesse viés, Nolasco (2001) argumenta que a violência contra mulheres pode ser pensada como protestação ao distanciamento do sujeito daquilo que socialmente lhe afere identidade. E a mulher, coisificada como objeto do seu desejo e um dos bens que ele possui, faz parte deste enredo representando uma extensão daquilo que lhe outorga alteridade. Assim, em outros termos, perdê-la é perder a si mesmo, portanto reage de modo que, se não pode tê-la, então ninguém a terá.</w:t>
      </w:r>
    </w:p>
    <w:p w:rsidR="00D24E61" w:rsidRPr="00771368" w:rsidRDefault="00D24E61" w:rsidP="00D24E61">
      <w:pPr>
        <w:spacing w:line="360" w:lineRule="auto"/>
        <w:ind w:firstLine="1134"/>
        <w:jc w:val="both"/>
      </w:pPr>
      <w:r w:rsidRPr="00771368">
        <w:t>Em pensamento semelhante, Giddens (1993) afirma que a violência masculina contra mulheres é uma reação destrutiva que provém mais da insegurança e dos desajustamentos frente ao declínio da cumplicidade feminina, do que de uma continuação ininterrupta do domínio patriarcal, já que a mulher conseguiu atingir patamares maiores de individualidade e de liberdade. Mas, nesse ínterim, questiona-se se não seria a reação violenta ao declínio da conivência feminina, que outorga autoridade, uma forma ou a própria forma de manter a continuidade do domínio patriarcal...</w:t>
      </w:r>
    </w:p>
    <w:p w:rsidR="00D24E61" w:rsidRPr="00771368" w:rsidRDefault="00D24E61" w:rsidP="00D24E61">
      <w:pPr>
        <w:spacing w:line="360" w:lineRule="auto"/>
        <w:ind w:firstLine="1134"/>
        <w:jc w:val="both"/>
      </w:pPr>
      <w:r w:rsidRPr="00771368">
        <w:t>Diante desses posicionamentos, percebe-se que ao conceituar de forma rígida as relações de gênero trata-se muitas vezes a temática de modo essencialista e fixa, desconsiderando as possíveis resistências às relações desiguais postas às mulheres. Muitos estudos feministas tiveram como uma das preocupações centrais as relações de poder, desejando explicitar a subordinação e exploração das mulheres, o que foi primordial ao evidenciar publicamente sua situação social, econômica e política.</w:t>
      </w:r>
    </w:p>
    <w:p w:rsidR="00D24E61" w:rsidRPr="00771368" w:rsidRDefault="00D24E61" w:rsidP="00D24E61">
      <w:pPr>
        <w:spacing w:line="360" w:lineRule="auto"/>
        <w:ind w:firstLine="1134"/>
        <w:jc w:val="both"/>
      </w:pPr>
      <w:r w:rsidRPr="00771368">
        <w:t>Algumas dessas abordagens que se centram no binarismo homem dominante em contraposição à mulher dominada, entretanto, representam um esquema que, com o passar do tempo, mostra limites para esclarecer a enredamento social em que as relações de gênero se desdobram.</w:t>
      </w:r>
    </w:p>
    <w:p w:rsidR="00D24E61" w:rsidRPr="00771368" w:rsidRDefault="00D24E61" w:rsidP="00D24E61">
      <w:pPr>
        <w:spacing w:line="360" w:lineRule="auto"/>
        <w:ind w:firstLine="1134"/>
        <w:jc w:val="both"/>
      </w:pPr>
      <w:r w:rsidRPr="00771368">
        <w:t>É importante, portanto, considerar isso, a fim de evitar cair nas amarras de amálgamas teóricos em que nada se compreende e nada se produz, a não ser um aglomerado de conceitos camuflados na eloquência de um pretenso discurso científico.</w:t>
      </w:r>
    </w:p>
    <w:p w:rsidR="00D24E61" w:rsidRPr="00771368" w:rsidRDefault="00D24E61" w:rsidP="00D24E61">
      <w:pPr>
        <w:spacing w:line="360" w:lineRule="auto"/>
        <w:jc w:val="center"/>
      </w:pPr>
    </w:p>
    <w:p w:rsidR="00677E6D" w:rsidRDefault="00677E6D" w:rsidP="007B04EA">
      <w:bookmarkStart w:id="25" w:name="_Toc350275797"/>
    </w:p>
    <w:p w:rsidR="00677E6D" w:rsidRDefault="00677E6D" w:rsidP="007B04EA"/>
    <w:p w:rsidR="00677E6D" w:rsidRDefault="00677E6D" w:rsidP="007B04EA"/>
    <w:p w:rsidR="00D24E61" w:rsidRPr="00677E6D" w:rsidRDefault="00D24E61" w:rsidP="007B04EA">
      <w:pPr>
        <w:rPr>
          <w:b/>
          <w:sz w:val="24"/>
        </w:rPr>
      </w:pPr>
      <w:r w:rsidRPr="00677E6D">
        <w:rPr>
          <w:b/>
          <w:sz w:val="24"/>
        </w:rPr>
        <w:t>M</w:t>
      </w:r>
      <w:bookmarkEnd w:id="25"/>
      <w:r w:rsidRPr="00677E6D">
        <w:rPr>
          <w:b/>
          <w:sz w:val="24"/>
        </w:rPr>
        <w:t>etodologia</w:t>
      </w:r>
    </w:p>
    <w:p w:rsidR="00D24E61" w:rsidRPr="00771368" w:rsidRDefault="00D24E61" w:rsidP="00D24E61">
      <w:pPr>
        <w:jc w:val="center"/>
      </w:pPr>
    </w:p>
    <w:p w:rsidR="00D24E61" w:rsidRPr="00771368" w:rsidRDefault="00D24E61" w:rsidP="00D24E61">
      <w:pPr>
        <w:autoSpaceDE w:val="0"/>
        <w:autoSpaceDN w:val="0"/>
        <w:adjustRightInd w:val="0"/>
        <w:spacing w:line="360" w:lineRule="auto"/>
        <w:ind w:firstLine="1134"/>
        <w:jc w:val="both"/>
      </w:pPr>
      <w:r w:rsidRPr="00771368">
        <w:rPr>
          <w:rFonts w:eastAsia="Calibri"/>
        </w:rPr>
        <w:t xml:space="preserve">O estudo foi desenvolvido tendo em vista, principalmente, a </w:t>
      </w:r>
      <w:r w:rsidRPr="00771368">
        <w:t>preocupação com o vínculo entre sujeito pesquisador e sujeito pesquisado</w:t>
      </w:r>
      <w:r w:rsidRPr="00771368">
        <w:rPr>
          <w:rFonts w:eastAsia="Calibri"/>
        </w:rPr>
        <w:t xml:space="preserve"> que a pesquisa qualitativa solicita que, embora perpassada por relações de poder, constitui momento de diálogo de um universo de experiências humanas,</w:t>
      </w:r>
      <w:r w:rsidRPr="00771368">
        <w:t xml:space="preserve"> havendo uma produção de sentido para ambos. </w:t>
      </w:r>
    </w:p>
    <w:p w:rsidR="00D24E61" w:rsidRPr="00771368" w:rsidRDefault="00D24E61" w:rsidP="00D24E61">
      <w:pPr>
        <w:autoSpaceDE w:val="0"/>
        <w:autoSpaceDN w:val="0"/>
        <w:adjustRightInd w:val="0"/>
        <w:spacing w:line="360" w:lineRule="auto"/>
        <w:ind w:firstLine="1134"/>
        <w:jc w:val="both"/>
        <w:rPr>
          <w:b/>
        </w:rPr>
      </w:pPr>
      <w:r w:rsidRPr="00771368">
        <w:t>Além disso, a prentensão era abordar o fenômeno da forma como ele se revelava, visto que a realidade não é considerada única, objetiva e passível de ser mensurada, mas ela é descrita, compartilhada e compreendida da forma como se apresenta (BAUER; GASKELL, 2002).</w:t>
      </w:r>
    </w:p>
    <w:p w:rsidR="00D24E61" w:rsidRPr="00771368" w:rsidRDefault="00D24E61" w:rsidP="00D24E61">
      <w:pPr>
        <w:spacing w:line="360" w:lineRule="auto"/>
        <w:ind w:firstLine="1134"/>
        <w:jc w:val="both"/>
      </w:pPr>
      <w:r w:rsidRPr="00771368">
        <w:t>Uma vez que a abordagem qualitativa define que a análise será em profundidade, mas circunscrita a poucos sujeitos, utilizou-se a metodologia do Estudo de Caso (BAUER; GASKELL, 2002), no qual a coleta de dados se faz mediante observação participante, diálogos e entrevista com um sujeito de pesquisa.</w:t>
      </w:r>
    </w:p>
    <w:p w:rsidR="00D24E61" w:rsidRPr="00771368" w:rsidRDefault="00D24E61" w:rsidP="00D24E61">
      <w:pPr>
        <w:spacing w:line="360" w:lineRule="auto"/>
        <w:ind w:firstLine="1134"/>
        <w:jc w:val="both"/>
      </w:pPr>
      <w:r w:rsidRPr="00771368">
        <w:t xml:space="preserve">A escolha do sujeito se deu a partir de visitas a uma Casa-Abrigo do Estado do Piauí, </w:t>
      </w:r>
      <w:r w:rsidRPr="00771368">
        <w:rPr>
          <w:lang w:val="pt-PT"/>
        </w:rPr>
        <w:t xml:space="preserve">mantida pelo Governo do Estado através da Secretaria da Assistência Social e Cidadania (SASC), desde o no ano de 2004. </w:t>
      </w:r>
      <w:r w:rsidRPr="00771368">
        <w:t xml:space="preserve">A escolha deste espaço se deu devido à complexidade e as multiplicidades de olhares para a violência de gênero que contêm, observando, além disso, que, por ser um local de atendimento especializado, todas as mulheres submetidas ao programa carregam especificidades que se assemelham e se acomodam em um perfil, o que contribuiu para uma análise mais aprofundada deste. </w:t>
      </w:r>
    </w:p>
    <w:p w:rsidR="00D24E61" w:rsidRPr="00771368" w:rsidRDefault="00D24E61" w:rsidP="00D24E61">
      <w:pPr>
        <w:spacing w:line="360" w:lineRule="auto"/>
        <w:ind w:firstLine="1134"/>
        <w:jc w:val="both"/>
      </w:pPr>
      <w:r w:rsidRPr="00771368">
        <w:t>Por ser um local sigiloso, de acesso restrito a pessoas autorizadas, precisou-se obter de antemão a permissão da Diretoria da Unidade de Políticas Públicas para as Mulheres (DUPM) da SASC para iniciar a pesquisa. Obtida a permissão, o projeto que deu origem a esta persquisa foi submetido ao Comitê de Ética da Universidade Estadual do Piauí (UESPI), e após a apreciação e autorização, iniciaram-se as visitas à Casa.</w:t>
      </w:r>
    </w:p>
    <w:p w:rsidR="00D24E61" w:rsidRPr="00771368" w:rsidRDefault="00D24E61" w:rsidP="00D24E61">
      <w:pPr>
        <w:spacing w:line="360" w:lineRule="auto"/>
        <w:ind w:firstLine="1134"/>
        <w:jc w:val="both"/>
      </w:pPr>
      <w:r w:rsidRPr="00771368">
        <w:t>Foi escolhida como sujeito de pesquisa uma mulher acolhida na Casa que, após ler o termo de consentimento livre e esclarecido, concordou em participar da investigação. Como instrumento para coleta de dados, utilizou-se o Relato de História de Vida como entrevista aberta não-estruturada, que, de acordo com Silva et al. (2007), representa uma ponte entre o individual e o social, contada da maneira própria do sujeito narrador, permitindo acesso à uma realidade que lhe ultrapassa, revelando facetas do universo subjetivo em relação contínua e dialética com a cultura, o meio social, os valores e a ideologia que o sujeito elegeu.</w:t>
      </w:r>
    </w:p>
    <w:p w:rsidR="00D24E61" w:rsidRPr="00771368" w:rsidRDefault="00D24E61" w:rsidP="00D24E61">
      <w:pPr>
        <w:spacing w:line="360" w:lineRule="auto"/>
        <w:ind w:firstLine="1134"/>
        <w:jc w:val="both"/>
      </w:pPr>
      <w:r w:rsidRPr="00771368">
        <w:t>A História de Vida como instrumento de investigação combina experiências subjetivas com contextos sociais, fornecendo, portanto, base consistente para o entendimento do elemento histórico dos fenômenos individuais, pois ao contar sua vida, o sujeito fala dos momentos por ele experimentados, intimamente ligados a conjuntura social em que ele se encontra inserido (SILVA et al., 2007).</w:t>
      </w:r>
    </w:p>
    <w:p w:rsidR="00D24E61" w:rsidRPr="00771368" w:rsidRDefault="00D24E61" w:rsidP="00D24E61">
      <w:pPr>
        <w:spacing w:line="360" w:lineRule="auto"/>
        <w:ind w:firstLine="1134"/>
        <w:jc w:val="both"/>
      </w:pPr>
      <w:r w:rsidRPr="00771368">
        <w:t>Além do relato de História de Vida, utilizou-se o Registro em Diário de Campo, onde foram anotadas impressões verificadas em Observação Participante, importante instrumento para a utilização em Psicologia Social, haja vista a necessidade de conhecer de perto o campo da pesquisa, já que, quando se insere no contexto investigado, o pesquisador vivencia aquela realidade partilhando-a junto aos sujeitos e percebe as relações que se desdobram naquele espaço (BAUER; GASKELL, 2002).</w:t>
      </w:r>
    </w:p>
    <w:p w:rsidR="00D24E61" w:rsidRPr="00771368" w:rsidRDefault="00D24E61" w:rsidP="00D24E61">
      <w:pPr>
        <w:spacing w:line="360" w:lineRule="auto"/>
        <w:ind w:firstLine="1134"/>
        <w:jc w:val="both"/>
      </w:pPr>
      <w:r w:rsidRPr="00771368">
        <w:t xml:space="preserve">Considerando a validade, buscou-se uma triangulação de métodos para as coletas de dados, entendendo que triangulação, segundo Bauer e Gaskell (2002), é a combinação de vários métodos para indicar interpretações acerca de uma questão investigativa. </w:t>
      </w:r>
    </w:p>
    <w:p w:rsidR="00D24E61" w:rsidRPr="00771368" w:rsidRDefault="00D24E61" w:rsidP="00D24E61">
      <w:pPr>
        <w:spacing w:line="360" w:lineRule="auto"/>
        <w:ind w:firstLine="1134"/>
        <w:jc w:val="both"/>
      </w:pPr>
      <w:r w:rsidRPr="00771368">
        <w:t>A coleta dos dados foi realizada em oito encontros, que duraram, em média, uma hora, em que se procurou vivenciar o cotidiano da Casa-Abrigo junto às usuárias, aos técnicos e educadores sociais.</w:t>
      </w:r>
      <w:r w:rsidRPr="00771368">
        <w:rPr>
          <w:b/>
        </w:rPr>
        <w:t xml:space="preserve"> </w:t>
      </w:r>
      <w:r w:rsidRPr="00771368">
        <w:t xml:space="preserve">Para isso, realizou-se um </w:t>
      </w:r>
      <w:r w:rsidRPr="00771368">
        <w:rPr>
          <w:i/>
        </w:rPr>
        <w:t xml:space="preserve">rapport, </w:t>
      </w:r>
      <w:r w:rsidRPr="00771368">
        <w:t xml:space="preserve">que pode ser conseguido por meio de uma linguagem informal, para esclarecer a pesquisa e criar uma relação de confiança e harmonia com aqueles sujeitos. </w:t>
      </w:r>
    </w:p>
    <w:p w:rsidR="00D24E61" w:rsidRPr="00771368" w:rsidRDefault="00D24E61" w:rsidP="00D24E61">
      <w:pPr>
        <w:spacing w:line="360" w:lineRule="auto"/>
        <w:ind w:firstLine="1134"/>
        <w:jc w:val="both"/>
        <w:rPr>
          <w:b/>
        </w:rPr>
      </w:pPr>
      <w:r w:rsidRPr="00771368">
        <w:t>A partir desses encontros e das relações que vinham sendo desenvolvidas pela pesquisadora no contexto, uma usuária, que virá a ser conhecida como Rosa</w:t>
      </w:r>
      <w:r w:rsidRPr="00771368">
        <w:rPr>
          <w:rStyle w:val="Refdenotaderodap"/>
          <w:rFonts w:eastAsia="Calibri"/>
        </w:rPr>
        <w:footnoteReference w:id="15"/>
      </w:r>
      <w:r w:rsidRPr="00771368">
        <w:t>, manifestou seu desejo de participar da pesquisa. Após seu consentimento</w:t>
      </w:r>
      <w:r w:rsidRPr="00771368">
        <w:rPr>
          <w:b/>
        </w:rPr>
        <w:t xml:space="preserve">, </w:t>
      </w:r>
      <w:r w:rsidRPr="00771368">
        <w:t>pediu-se a Rosa que contasse sua história como achasse melhor.</w:t>
      </w:r>
    </w:p>
    <w:p w:rsidR="00D24E61" w:rsidRPr="00771368" w:rsidRDefault="00D24E61" w:rsidP="00D24E61">
      <w:pPr>
        <w:spacing w:line="360" w:lineRule="auto"/>
        <w:ind w:firstLine="1134"/>
        <w:jc w:val="both"/>
      </w:pPr>
      <w:r w:rsidRPr="00771368">
        <w:t xml:space="preserve">Quanto a questões relacionadas ao poder, foram observadas, além da aproximação por meio de linguagem informal, as posições espaciais adotadas na entrevista. A entrevista realizou-se na sala destinada ao atendimento psicossocial da Casa, onde há cadeiras distintamente dispostas aos profissionais e às usuárias pelo posicionamento da mesa. </w:t>
      </w:r>
    </w:p>
    <w:p w:rsidR="00D24E61" w:rsidRPr="00771368" w:rsidRDefault="00D24E61" w:rsidP="00D24E61">
      <w:pPr>
        <w:spacing w:line="360" w:lineRule="auto"/>
        <w:ind w:firstLine="1134"/>
        <w:jc w:val="both"/>
      </w:pPr>
      <w:r w:rsidRPr="00771368">
        <w:t>Rosa sentou-se, então, na cadeira destinada ao profissional, havendo uma aproximação por parte da pesquisadora, que já está em uma posição que denota questões de dominação em relação às entrevistadas e, se assumisse um local que denotasse outra imposição de poder, poderia fazer com que a entrevistada se retraísse.</w:t>
      </w:r>
    </w:p>
    <w:p w:rsidR="00D24E61" w:rsidRPr="00771368" w:rsidRDefault="00D24E61" w:rsidP="00D24E61">
      <w:pPr>
        <w:spacing w:line="360" w:lineRule="auto"/>
        <w:ind w:firstLine="1134"/>
        <w:jc w:val="both"/>
      </w:pPr>
      <w:r w:rsidRPr="00771368">
        <w:t xml:space="preserve">A entrevista foi gravada em aparelho MP4, com a autorização escrita prévia, e transcrita. Para a análise dos dados utilizou-se o enquadre metodológico da Análise de Discurso Crítica (ADC), desenvolvida por Norman Fairclough (2001, 2003), que possibilita a descrição e explicação dos repertórios discursivos destacando como os sujeitos produzem, reproduzem e desafiam a realidade social na qual vivem e dentro da qual constroem suas histórias de vida. </w:t>
      </w:r>
    </w:p>
    <w:p w:rsidR="00D24E61" w:rsidRPr="00771368" w:rsidRDefault="00D24E61" w:rsidP="00D24E61">
      <w:pPr>
        <w:spacing w:line="360" w:lineRule="auto"/>
        <w:ind w:firstLine="1134"/>
        <w:jc w:val="both"/>
      </w:pPr>
      <w:r w:rsidRPr="00771368">
        <w:t>O discurso, para Fairclough (2001), refere-se ao uso da linguagem como forma de prática social, ou seja, é um modo de ação sobre o mundo e os outros, e também uma forma de representação da realidade. Para o autor, os analistas de discurso devem perceber aspectos sociais considerando a unidade mais ampla do texto como unidade comunicativa básica. Por isso as investigações que adotam esta metodologia se voltam para discursos institucional, político, de gênero e de mídia que subscrevem as relações de luta e conflito.</w:t>
      </w:r>
    </w:p>
    <w:p w:rsidR="00D24E61" w:rsidRPr="00771368" w:rsidRDefault="00D24E61" w:rsidP="00D24E61">
      <w:pPr>
        <w:spacing w:line="360" w:lineRule="auto"/>
        <w:ind w:firstLine="1134"/>
        <w:jc w:val="both"/>
      </w:pPr>
      <w:r w:rsidRPr="00771368">
        <w:t xml:space="preserve">Considerando o discurso como elemento da prática social, Fairclough (2003) indica que as relações entre esses elementos configuram uma ‘ordem de discurso’. Em outros temos, os discursos, como elementos das práticas sociais, associam-se a aspectos da ‘ordem social’, estabelecendo então a ‘ordem de discurso’. </w:t>
      </w:r>
    </w:p>
    <w:p w:rsidR="00D24E61" w:rsidRPr="00771368" w:rsidRDefault="00D24E61" w:rsidP="00D24E61">
      <w:pPr>
        <w:spacing w:line="360" w:lineRule="auto"/>
        <w:ind w:firstLine="1134"/>
        <w:jc w:val="both"/>
      </w:pPr>
      <w:r w:rsidRPr="00771368">
        <w:t xml:space="preserve">Na prática social, segundo Fairclough (2003), o discurso apresenta-se de três formas: como ação, na análise do gênero discursivo e seu significado acional; como representação, na análise de outros discursos presente no discurso e suas formas derepresentação; e como modos de ser, na análise dos estilos e seu significado identificacional. </w:t>
      </w:r>
    </w:p>
    <w:p w:rsidR="00D24E61" w:rsidRPr="00771368" w:rsidRDefault="00D24E61" w:rsidP="00D24E61">
      <w:pPr>
        <w:spacing w:line="360" w:lineRule="auto"/>
        <w:ind w:firstLine="1134"/>
        <w:jc w:val="both"/>
      </w:pPr>
      <w:r w:rsidRPr="00771368">
        <w:t>Tais formas do discurso estão relacionadas e a categorização serve apenas para fins metodológicos. Assim, ao fazer a análise desses elementos, percebe-se a relação ‘dialética do discurso’ e elucidam-se questões de poder, ideologia e gênero que estão presentes nas falas (RESENDE; RAMALHO, 2009).</w:t>
      </w:r>
    </w:p>
    <w:p w:rsidR="00D24E61" w:rsidRPr="00771368" w:rsidRDefault="00D24E61" w:rsidP="00D24E61">
      <w:pPr>
        <w:spacing w:line="360" w:lineRule="auto"/>
        <w:ind w:firstLine="1134"/>
        <w:jc w:val="both"/>
      </w:pPr>
    </w:p>
    <w:p w:rsidR="00D24E61" w:rsidRPr="00677E6D" w:rsidRDefault="00D24E61" w:rsidP="007B04EA">
      <w:pPr>
        <w:rPr>
          <w:b/>
          <w:sz w:val="24"/>
        </w:rPr>
      </w:pPr>
      <w:bookmarkStart w:id="26" w:name="_Toc350275804"/>
      <w:r w:rsidRPr="00677E6D">
        <w:rPr>
          <w:b/>
          <w:sz w:val="24"/>
        </w:rPr>
        <w:t>R</w:t>
      </w:r>
      <w:bookmarkEnd w:id="26"/>
      <w:r w:rsidRPr="00677E6D">
        <w:rPr>
          <w:b/>
          <w:sz w:val="24"/>
        </w:rPr>
        <w:t>esultados da pesquisa e discussão</w:t>
      </w:r>
    </w:p>
    <w:p w:rsidR="00D24E61" w:rsidRPr="00771368" w:rsidRDefault="00D24E61" w:rsidP="00D24E61">
      <w:pPr>
        <w:ind w:firstLine="1134"/>
      </w:pPr>
    </w:p>
    <w:p w:rsidR="00D24E61" w:rsidRPr="00771368" w:rsidRDefault="00D24E61" w:rsidP="00D24E61">
      <w:pPr>
        <w:spacing w:line="360" w:lineRule="auto"/>
        <w:ind w:firstLine="1134"/>
        <w:jc w:val="both"/>
      </w:pPr>
      <w:bookmarkStart w:id="27" w:name="_Toc350275807"/>
      <w:r w:rsidRPr="00771368">
        <w:t>Os relatos de Rosa surgiram de maneira espontânea e apresentaram uma consistência cronológica. Para que haja familiaridade em relação a ela e para que se obtenham informações importantes antes do processo de análise, fez-se uma breve contextualização de sua história.</w:t>
      </w:r>
    </w:p>
    <w:p w:rsidR="00D24E61" w:rsidRPr="00771368" w:rsidRDefault="00D24E61" w:rsidP="00D24E61">
      <w:pPr>
        <w:spacing w:line="360" w:lineRule="auto"/>
        <w:ind w:firstLine="1134"/>
        <w:jc w:val="both"/>
      </w:pPr>
      <w:r w:rsidRPr="00771368">
        <w:t>Rosa perdeu os pais aos 5 anos de idade. Aos 18 arranjou o primeiro emprego de doméstica para se manter. Estava com quarenta e nove anos no momento da entrevista, era diarista e tinha cinco filhos, dos quais três estavam com ela na Casa. Rosa “já [era] conhecida do pessoal da Casa” e fazia mais de cinco anos desde o seu primeiro abrigamento, em que permaneceu por oito meses na Casa. Dessa vez, estava lá há 21 dias. Rosa conta que já sofreu muitas tentativas de homicídios de seu ex-companheiro, e que não aguentava mais as agressões por não ferir somente a si mesma, mas também seus filhos, motivo pelo qual ela continuava sua batalha, “pedindo segurança, esperando pela justiça do Piauí, que até agora ainda não conseguiu, porque os direitos humanos são difíceis...”.</w:t>
      </w:r>
    </w:p>
    <w:p w:rsidR="00D24E61" w:rsidRPr="00771368" w:rsidRDefault="00D24E61" w:rsidP="00D24E61">
      <w:pPr>
        <w:spacing w:line="360" w:lineRule="auto"/>
        <w:ind w:firstLine="1134"/>
        <w:jc w:val="both"/>
      </w:pPr>
      <w:r w:rsidRPr="00771368">
        <w:t>Seguindo com passos metodológicos o proposto por Fairclough (2001) para dar ensejo a análise, três práticas sociais se destacam ao considerar as questões de gênero e sofrimento decorrente das situações de violência circunscritas ao discurso de Rosa.</w:t>
      </w:r>
    </w:p>
    <w:p w:rsidR="00D24E61" w:rsidRPr="00771368" w:rsidRDefault="00D24E61" w:rsidP="00D24E61">
      <w:pPr>
        <w:spacing w:line="360" w:lineRule="auto"/>
        <w:ind w:firstLine="1134"/>
        <w:jc w:val="both"/>
      </w:pPr>
      <w:r w:rsidRPr="00771368">
        <w:t>Há a prática social da violência doméstica e familiar em si, que reúne discursos vinculados à família patriarcal, arrastando questões ideológicas e hegemônicas em que o poder é localizado na força simbólica e física do opressor, uma figura masculina representada pelo ex-companheiro, e que atinge Rosa e seus filhos. Pode-se perceber a influência destes dicursos quando Rosa conta: “Eu dizia bem alto ‘meus filhos ganharam um pai que eles nunca tiveram’ porque ele foi muito bom pra mim, era bom pra meus filhos, eu pagava uma pessoa pra cuidar de meus filhos aí ele ‘não, você não vai mais pagar, quem vai tomar de conta sou eu’”.</w:t>
      </w:r>
    </w:p>
    <w:p w:rsidR="00D24E61" w:rsidRPr="00771368" w:rsidRDefault="00D24E61" w:rsidP="00D24E61">
      <w:pPr>
        <w:spacing w:line="360" w:lineRule="auto"/>
        <w:ind w:firstLine="1134"/>
        <w:jc w:val="both"/>
      </w:pPr>
      <w:r w:rsidRPr="00771368">
        <w:t>A prática social da violência doméstica e familiar anunciada no discurso de Rosa, carrega ainda, de forma recorrente, o uso de bebidas alcoólicas como motivo da violência, como no trecho em que Rosa diz: “o problema dele é que ele bebia, aí dando as bebidas ele era agressivo”; esse aspecto reitera as pesquisas de Grossi (1996), em que as mulheres apontam o álcool como elemento culpabilizante nas situações de violência perpetradas pelos companheiros. Sobre isso, já esclareceram Wink e Strey (2008):</w:t>
      </w:r>
    </w:p>
    <w:p w:rsidR="00D24E61" w:rsidRPr="00771368" w:rsidRDefault="00D24E61" w:rsidP="00D24E61">
      <w:pPr>
        <w:spacing w:line="360" w:lineRule="auto"/>
        <w:ind w:firstLine="1134"/>
        <w:jc w:val="both"/>
      </w:pPr>
    </w:p>
    <w:p w:rsidR="00D24E61" w:rsidRPr="00771368" w:rsidRDefault="00D24E61" w:rsidP="00D24E61">
      <w:pPr>
        <w:ind w:left="3402"/>
        <w:jc w:val="both"/>
        <w:rPr>
          <w:sz w:val="20"/>
        </w:rPr>
      </w:pPr>
      <w:r w:rsidRPr="00771368">
        <w:rPr>
          <w:sz w:val="20"/>
        </w:rPr>
        <w:t>“As agressões não estão dentro das garrafas, mas, certamente, as garrafas podem vir a fazer parte de relacionamentos pautados por relações de gênero disfuncionais - especialmente quando sirvam como elemento catalisador àqueles que acreditem precisar, cedo ou tarde, reafirmar a sua força e repudiar o reconhecimento de suas fragilidades e necessidades humanas (p.122)”.</w:t>
      </w:r>
    </w:p>
    <w:p w:rsidR="00D24E61" w:rsidRPr="00771368" w:rsidRDefault="00D24E61" w:rsidP="00D24E61">
      <w:pPr>
        <w:spacing w:line="360" w:lineRule="auto"/>
        <w:ind w:firstLine="1134"/>
        <w:jc w:val="both"/>
      </w:pPr>
    </w:p>
    <w:p w:rsidR="00D24E61" w:rsidRPr="00771368" w:rsidRDefault="00D24E61" w:rsidP="00D24E61">
      <w:pPr>
        <w:spacing w:line="360" w:lineRule="auto"/>
        <w:ind w:firstLine="1134"/>
        <w:jc w:val="both"/>
      </w:pPr>
      <w:r w:rsidRPr="00771368">
        <w:t>A patologização do agressor também é apontada por Rosa como forma de justificar os episódios de violência, como trechos: “É uma revolta que ele carrega (...). É muito difícil, mas ele é um psicopata”.</w:t>
      </w:r>
    </w:p>
    <w:p w:rsidR="00D24E61" w:rsidRPr="00771368" w:rsidRDefault="00D24E61" w:rsidP="00D24E61">
      <w:pPr>
        <w:spacing w:line="360" w:lineRule="auto"/>
        <w:ind w:firstLine="1134"/>
        <w:jc w:val="both"/>
      </w:pPr>
      <w:r w:rsidRPr="00771368">
        <w:t xml:space="preserve">Com relação ao combate à violência, considerando-se os marcos legais já discutidos, há a prática social da ‘denúncia’, em que há presença de delegado(a), juíza e policiais, na qual existe um contato com o ‘discurso jurídico’, que age a partir da denúncia do agressor e seu afastamento do espaço doméstico. </w:t>
      </w:r>
    </w:p>
    <w:p w:rsidR="00D24E61" w:rsidRPr="00771368" w:rsidRDefault="00D24E61" w:rsidP="00D24E61">
      <w:pPr>
        <w:spacing w:line="360" w:lineRule="auto"/>
        <w:ind w:firstLine="1134"/>
        <w:jc w:val="both"/>
      </w:pPr>
      <w:r w:rsidRPr="00771368">
        <w:t>A partir do contato com esse ‘discurso jurídico’, passa a haver uma conscientização de que a violência sofrida não deve ser admitida pela mulher, uma vez que viola seus direitos humanos. O que pode ser observado no seguinte trecho:</w:t>
      </w:r>
    </w:p>
    <w:p w:rsidR="00D24E61" w:rsidRPr="00771368" w:rsidRDefault="00D24E61" w:rsidP="00D24E61">
      <w:pPr>
        <w:spacing w:line="360" w:lineRule="auto"/>
        <w:ind w:firstLine="1134"/>
        <w:jc w:val="both"/>
      </w:pPr>
    </w:p>
    <w:p w:rsidR="00D24E61" w:rsidRPr="00771368" w:rsidRDefault="00D24E61" w:rsidP="00D24E61">
      <w:pPr>
        <w:ind w:left="3402"/>
        <w:jc w:val="both"/>
        <w:rPr>
          <w:sz w:val="20"/>
        </w:rPr>
      </w:pPr>
      <w:r w:rsidRPr="00771368">
        <w:rPr>
          <w:sz w:val="20"/>
        </w:rPr>
        <w:t>“Hoje existe a lei da Maria da Penha agora (...) e eu hoje to bem aqui pedindo socorro, pedindo segurança, esperando pela justiça do Piauí, que até agora ainda não conseguiu, porque os direitos humanos são difíceis. Eu sou uma cidadã e eu to fugindo, filha, fugindo a vida inteira pra não morrer!”.</w:t>
      </w:r>
    </w:p>
    <w:p w:rsidR="00D24E61" w:rsidRPr="00771368" w:rsidRDefault="00D24E61" w:rsidP="00D24E61">
      <w:pPr>
        <w:spacing w:line="360" w:lineRule="auto"/>
        <w:ind w:firstLine="1134"/>
        <w:jc w:val="both"/>
      </w:pPr>
    </w:p>
    <w:p w:rsidR="00D24E61" w:rsidRPr="00771368" w:rsidRDefault="00D24E61" w:rsidP="00D24E61">
      <w:pPr>
        <w:spacing w:line="360" w:lineRule="auto"/>
        <w:ind w:firstLine="1134"/>
        <w:jc w:val="both"/>
      </w:pPr>
      <w:r w:rsidRPr="00771368">
        <w:t xml:space="preserve">Por fim, há a prática social do programa de proteção da Casa-Abrigo que opera sob a ingerência do Estado e promove práticas reflexivas, desenvolvendo questionamentos para desmistificar crenças e valores e ressignificar os papéis das mulheres na sociedade. A Casa promove um programa terapêutico que apresenta o ‘discurso terapêutico’, com um enfoque em questões psicológicas como forma de lidar com pensamentos e emoções. Rosa faz referências a esse discurso terapêutico em falas como: “Eu fiquei quatro anos traumatizada, sem conseguir estudar, sem sair na rua, eu criei, eu vivi um, sabe, mas consegui, me superei (...) Aí eu tive que, aquela coisa, você jamais vai, vai saber quem ta, né? Quem é as pessoas que você ta colocando ao seu lado”. </w:t>
      </w:r>
    </w:p>
    <w:p w:rsidR="00D24E61" w:rsidRPr="00771368" w:rsidRDefault="00D24E61" w:rsidP="00D24E61">
      <w:pPr>
        <w:keepNext/>
        <w:keepLines/>
        <w:spacing w:line="360" w:lineRule="auto"/>
        <w:ind w:firstLine="1134"/>
        <w:jc w:val="both"/>
        <w:outlineLvl w:val="1"/>
        <w:rPr>
          <w:b/>
          <w:bCs/>
          <w:i/>
        </w:rPr>
      </w:pPr>
    </w:p>
    <w:p w:rsidR="00D24E61" w:rsidRPr="00771368" w:rsidRDefault="00D24E61" w:rsidP="00FA0ABA">
      <w:pPr>
        <w:pStyle w:val="PargrafodaLista"/>
        <w:keepNext/>
        <w:keepLines/>
        <w:numPr>
          <w:ilvl w:val="1"/>
          <w:numId w:val="14"/>
        </w:numPr>
        <w:spacing w:after="0" w:line="360" w:lineRule="auto"/>
        <w:outlineLvl w:val="1"/>
        <w:rPr>
          <w:rFonts w:ascii="Times New Roman" w:hAnsi="Times New Roman"/>
          <w:b/>
          <w:bCs/>
        </w:rPr>
      </w:pPr>
      <w:r w:rsidRPr="00771368">
        <w:rPr>
          <w:rFonts w:ascii="Times New Roman" w:hAnsi="Times New Roman"/>
          <w:b/>
          <w:bCs/>
        </w:rPr>
        <w:t>Os gêneros discursivos</w:t>
      </w:r>
      <w:bookmarkEnd w:id="27"/>
    </w:p>
    <w:p w:rsidR="00D24E61" w:rsidRPr="00771368" w:rsidRDefault="00D24E61" w:rsidP="00D24E61">
      <w:pPr>
        <w:keepNext/>
        <w:keepLines/>
        <w:spacing w:line="360" w:lineRule="auto"/>
        <w:ind w:firstLine="1134"/>
        <w:jc w:val="center"/>
        <w:outlineLvl w:val="1"/>
        <w:rPr>
          <w:b/>
          <w:bCs/>
          <w:i/>
        </w:rPr>
      </w:pPr>
    </w:p>
    <w:p w:rsidR="00D24E61" w:rsidRPr="00771368" w:rsidRDefault="00D24E61" w:rsidP="00D24E61">
      <w:pPr>
        <w:spacing w:line="360" w:lineRule="auto"/>
        <w:ind w:firstLine="1134"/>
        <w:jc w:val="both"/>
      </w:pPr>
      <w:r w:rsidRPr="00771368">
        <w:t xml:space="preserve">Analisando o caso de Rosa, e considerando sua inclusão em um programa governamental de proteção às mulheres, torna-se evidente o aspecto da injunção de uma legislação (que envolve toda a Política Nacional de Enfrentamento além da Lei Maria da Penha), que é um gênero discursivo específico que desencadeia ações comportamentos e práticas sociais específicas. </w:t>
      </w:r>
    </w:p>
    <w:p w:rsidR="00D24E61" w:rsidRPr="00771368" w:rsidRDefault="00D24E61" w:rsidP="00D24E61">
      <w:pPr>
        <w:spacing w:line="360" w:lineRule="auto"/>
        <w:ind w:firstLine="1134"/>
        <w:jc w:val="both"/>
      </w:pPr>
      <w:r w:rsidRPr="00771368">
        <w:t>A legislação e a entrevista em si (História de Vida) organizam-se como ‘gêneros situados’, já que foram lançadas em contextos específicos e propiciam tipos de comportamentos e ações característicos. Rosa relata as ações vinculadas ao gênero discursivo ‘legislação’ por meio da interdiscursividade, utilizando o próprio ‘discurso jurídico’, mencionando as vozes de representantes da lei.</w:t>
      </w:r>
    </w:p>
    <w:p w:rsidR="00D24E61" w:rsidRPr="00771368" w:rsidRDefault="00D24E61" w:rsidP="00D24E61">
      <w:pPr>
        <w:spacing w:line="360" w:lineRule="auto"/>
        <w:ind w:firstLine="1134"/>
        <w:jc w:val="both"/>
      </w:pPr>
      <w:r w:rsidRPr="00771368">
        <w:t xml:space="preserve">Para Fairclough (2003), a intertextualidade é a referência de um texto a outro ou outros, que são também chamados de vozes, neste caso, as vozes que são apresentadas nos relatos de Rosa. O autor diz ainda que existem quatro formas de relatar, por meio do ‘relato direto’; do ‘relato indireto’; do ‘relato indireto livre’; e do ‘relato narrativo de ato de fala’. </w:t>
      </w:r>
    </w:p>
    <w:p w:rsidR="00D24E61" w:rsidRPr="00771368" w:rsidRDefault="00D24E61" w:rsidP="00D24E61">
      <w:pPr>
        <w:spacing w:line="360" w:lineRule="auto"/>
        <w:ind w:firstLine="1134"/>
        <w:jc w:val="both"/>
      </w:pPr>
      <w:r w:rsidRPr="00771368">
        <w:t xml:space="preserve">Para fins de análise atribuiu-se importância aos relatos diretos, que segundo o autor, são utilizados para colocar em relevo algo que é importante para a locutora, chamando a atenção para determinada característica, ou pessoa que está sendo relatada, demonstrando as ideologias que foram assimiladas pela locutora, passando para a interlocutora uma posição, o que pode gerar uma ação por parte da interlocutora e/ou por parte da própria locutora. </w:t>
      </w:r>
    </w:p>
    <w:p w:rsidR="00D24E61" w:rsidRPr="00771368" w:rsidRDefault="00D24E61" w:rsidP="00D24E61">
      <w:pPr>
        <w:spacing w:line="360" w:lineRule="auto"/>
        <w:ind w:firstLine="1134"/>
        <w:jc w:val="both"/>
      </w:pPr>
      <w:r w:rsidRPr="00771368">
        <w:t>Nas vozes dos profissionais, há uma intertextualidade com textos normativos já mencionados. A relação entre Rosa e o texto jurídico fica clara nos relatos diretos em que expressa as vozes dos chamados ‘operadores do direito’ ou profissionais que trabalham com a questão da violência (juízes(as), advogados(as), delegada(o)s e policiais):</w:t>
      </w:r>
    </w:p>
    <w:p w:rsidR="00D24E61" w:rsidRPr="00771368" w:rsidRDefault="00D24E61" w:rsidP="00D24E61">
      <w:pPr>
        <w:spacing w:line="360" w:lineRule="auto"/>
        <w:ind w:firstLine="1134"/>
        <w:jc w:val="both"/>
      </w:pPr>
    </w:p>
    <w:p w:rsidR="00D24E61" w:rsidRPr="00771368" w:rsidRDefault="00D24E61" w:rsidP="00D24E61">
      <w:pPr>
        <w:ind w:left="3402"/>
        <w:jc w:val="both"/>
        <w:rPr>
          <w:sz w:val="20"/>
        </w:rPr>
      </w:pPr>
      <w:r w:rsidRPr="00771368">
        <w:rPr>
          <w:sz w:val="20"/>
        </w:rPr>
        <w:t>“Aí na maior coincidência a agente de saúde chegou e me viu naquele estado, aí procurou o que era (...) ele negou, que não, que a polícia quando chegou que deparou com aquela situação aí ele disse que não, que era era loucura minha, (...) ‘e essa mulher toda roxa desse jeito aqui, nessa situação aqui’, aí pegaram logo ele e levaram pra delegacia da mulher (...). Chegou lá a polícia, a delegada pegou, mostrei pra ela, ela viu as fotos ai ela disse ‘vai sair agora’</w:t>
      </w:r>
      <w:r w:rsidRPr="00771368">
        <w:rPr>
          <w:b/>
          <w:sz w:val="20"/>
        </w:rPr>
        <w:t xml:space="preserve"> </w:t>
      </w:r>
      <w:r w:rsidRPr="00771368">
        <w:rPr>
          <w:sz w:val="20"/>
        </w:rPr>
        <w:t>e mandou a polícia tirar ele de casa”.</w:t>
      </w:r>
    </w:p>
    <w:p w:rsidR="00D24E61" w:rsidRPr="00771368" w:rsidRDefault="00D24E61" w:rsidP="00D24E61">
      <w:pPr>
        <w:spacing w:line="360" w:lineRule="auto"/>
        <w:ind w:firstLine="1134"/>
        <w:jc w:val="both"/>
      </w:pPr>
    </w:p>
    <w:p w:rsidR="00D24E61" w:rsidRPr="00771368" w:rsidRDefault="00D24E61" w:rsidP="00D24E61">
      <w:pPr>
        <w:spacing w:line="360" w:lineRule="auto"/>
        <w:ind w:firstLine="1134"/>
        <w:jc w:val="both"/>
      </w:pPr>
      <w:r w:rsidRPr="00771368">
        <w:t xml:space="preserve">Neste relato direto percebe-se uma inquietação e até sensibilidade por parte da agente de saúde e dos policiais, que tentam também analisar a situação pelas evidências físicas das lesões corporais que Rosa apresentava. </w:t>
      </w:r>
    </w:p>
    <w:p w:rsidR="00D24E61" w:rsidRPr="00771368" w:rsidRDefault="00D24E61" w:rsidP="00D24E61">
      <w:pPr>
        <w:spacing w:line="360" w:lineRule="auto"/>
        <w:ind w:firstLine="1134"/>
        <w:jc w:val="both"/>
      </w:pPr>
    </w:p>
    <w:p w:rsidR="00D24E61" w:rsidRPr="00771368" w:rsidRDefault="00D24E61" w:rsidP="00FA0ABA">
      <w:pPr>
        <w:pStyle w:val="PargrafodaLista"/>
        <w:numPr>
          <w:ilvl w:val="1"/>
          <w:numId w:val="14"/>
        </w:numPr>
        <w:spacing w:after="0" w:line="360" w:lineRule="auto"/>
        <w:rPr>
          <w:rFonts w:ascii="Times New Roman" w:hAnsi="Times New Roman"/>
          <w:b/>
        </w:rPr>
      </w:pPr>
      <w:r w:rsidRPr="00771368">
        <w:rPr>
          <w:rFonts w:ascii="Times New Roman" w:hAnsi="Times New Roman"/>
          <w:b/>
        </w:rPr>
        <w:t>Os discursos no discurso</w:t>
      </w:r>
    </w:p>
    <w:p w:rsidR="00D24E61" w:rsidRPr="00771368" w:rsidRDefault="00D24E61" w:rsidP="00D24E61">
      <w:pPr>
        <w:spacing w:line="360" w:lineRule="auto"/>
        <w:ind w:firstLine="1134"/>
        <w:jc w:val="both"/>
        <w:rPr>
          <w:b/>
          <w:i/>
        </w:rPr>
      </w:pPr>
    </w:p>
    <w:p w:rsidR="00D24E61" w:rsidRPr="00771368" w:rsidRDefault="00D24E61" w:rsidP="00D24E61">
      <w:pPr>
        <w:spacing w:line="360" w:lineRule="auto"/>
        <w:ind w:firstLine="1134"/>
        <w:jc w:val="both"/>
      </w:pPr>
      <w:r w:rsidRPr="00771368">
        <w:t xml:space="preserve">Com relação à representação dos discursos, isto é, o modo como os elementos dos eventos sociais (processos, pessoas, objetos, meios, tempo, espaço) são representados  em discursos distintos cujas diferenças apresentam-se de forma sintática e semântica (FAIRCLOUGH, 2003), observou-se inicialmente o hibridismo de discursos presentes nos relatos de Rosa, em segida fez-se a análise vocabular, na qual se examinou a linguagem utilizada e suas relações com as práticas sociais em discussão. </w:t>
      </w:r>
    </w:p>
    <w:p w:rsidR="00D24E61" w:rsidRPr="00771368" w:rsidRDefault="00D24E61" w:rsidP="00D24E61">
      <w:pPr>
        <w:spacing w:line="360" w:lineRule="auto"/>
        <w:ind w:firstLine="1134"/>
        <w:jc w:val="both"/>
      </w:pPr>
      <w:r w:rsidRPr="00771368">
        <w:t>Por meio do ‘discurso patriarcal’, a figura masculina assume o papel de pai e mantenedor, apresentado no relato: “meus filhos ganharam um pai que eles nunca tiveram’ porque ele foi muito bom pra mim, era bom pra meus filhos, eu pagava uma pessoa pra cuidar de meus filhos aí ele ‘não, você não vai mais pagar, quem vai tomar de conta sou eu’”.</w:t>
      </w:r>
    </w:p>
    <w:p w:rsidR="00D24E61" w:rsidRPr="00771368" w:rsidRDefault="00D24E61" w:rsidP="00D24E61">
      <w:pPr>
        <w:spacing w:line="360" w:lineRule="auto"/>
        <w:ind w:firstLine="1134"/>
        <w:jc w:val="both"/>
      </w:pPr>
      <w:r w:rsidRPr="00771368">
        <w:t>Esse ‘discurso patriarcal’ é muito expressivo no caso de violência doméstica, pois carrega um modelo familiar caracterizado pela autoridade paterna e, portanto, pela submissão dos filhos e da mulher a essa autoridade. Existe o desígnio do ideal de família que implica de maneira direta nos comportamentos e nas representações das figuras femininas, contribuindo para que, do outro lado, o homem, companheiro ou marido, pratique violência ao sentir-se contrariado (SAFFIOTI, 2004). Observe o seguinte relato:</w:t>
      </w:r>
    </w:p>
    <w:p w:rsidR="00D24E61" w:rsidRPr="00771368" w:rsidRDefault="00D24E61" w:rsidP="00D24E61">
      <w:pPr>
        <w:spacing w:line="360" w:lineRule="auto"/>
        <w:ind w:firstLine="1134"/>
        <w:jc w:val="both"/>
      </w:pPr>
    </w:p>
    <w:p w:rsidR="00D24E61" w:rsidRPr="00771368" w:rsidRDefault="00D24E61" w:rsidP="00D24E61">
      <w:pPr>
        <w:ind w:left="3402"/>
        <w:jc w:val="both"/>
        <w:rPr>
          <w:sz w:val="20"/>
        </w:rPr>
      </w:pPr>
      <w:r w:rsidRPr="00771368">
        <w:rPr>
          <w:sz w:val="20"/>
        </w:rPr>
        <w:t>“Ele tava sempre ali pedindo pra voltar pra casa, que tinha mudado, que tava bom, aquela coisa de todos né. E eu não dava nem confiança pra ele, aí o que que criou nele, uma grande revolta. Que ele perdeu, ele viu que eu dei uma volta por cima, consegui, não aceitei mais ele dentro da minha casa que que ele fez filha, premeditou um crime”.</w:t>
      </w:r>
    </w:p>
    <w:p w:rsidR="00D24E61" w:rsidRPr="00771368" w:rsidRDefault="00D24E61" w:rsidP="00D24E61">
      <w:pPr>
        <w:spacing w:line="360" w:lineRule="auto"/>
        <w:ind w:firstLine="1134"/>
        <w:jc w:val="both"/>
      </w:pPr>
    </w:p>
    <w:p w:rsidR="00D24E61" w:rsidRPr="00771368" w:rsidRDefault="00D24E61" w:rsidP="00D24E61">
      <w:pPr>
        <w:spacing w:line="360" w:lineRule="auto"/>
        <w:ind w:firstLine="1134"/>
        <w:jc w:val="both"/>
      </w:pPr>
      <w:r w:rsidRPr="00771368">
        <w:t xml:space="preserve">A figura feminina, por meio do discurso patriarcal que no presente caso é expresso pela palavra ‘confiança’, desobedece ao conceito do que foi aprendido na família e na sociedade, sofrendo violência da figura masculina por tentar sobrepujá-la dentro de casa. No referido relato ainda há uma expressão do modelo de masculinidade refletido com a palavra ‘todos’, que é empregado de forma próxima da entrevistada, mas que também parece ser algo característico de um contexto social mais amplo. Por outro lado, nota-se claramente uma busca pela emancipação feminina, como na expressão “não aceitei” representando o não assujeitamento frente à figura masculina.  </w:t>
      </w:r>
    </w:p>
    <w:p w:rsidR="00D24E61" w:rsidRPr="00771368" w:rsidRDefault="00D24E61" w:rsidP="00D24E61">
      <w:pPr>
        <w:spacing w:line="360" w:lineRule="auto"/>
        <w:ind w:firstLine="1134"/>
        <w:jc w:val="both"/>
      </w:pPr>
      <w:r w:rsidRPr="00771368">
        <w:t>Nos relatos de Rosa, a família, localizada na mãe do ex-companheiro, ainda é representada por um ‘discurso hegemônico’ em que a figura feminina deve submeter-se à figura masculina: “Tudo bem, aí ele saiu da minha casa, aí o que que a mãe dele fez, ficou lutando. Lutou um ano e quatro meses pra que eu aceitasse ele de volta dentro da minha casa, que era a única oportunidade que nós tivemos na vida né, de ficar (...)”.</w:t>
      </w:r>
    </w:p>
    <w:p w:rsidR="00D24E61" w:rsidRPr="00771368" w:rsidRDefault="00D24E61" w:rsidP="00D24E61">
      <w:pPr>
        <w:spacing w:line="360" w:lineRule="auto"/>
        <w:ind w:firstLine="1134"/>
        <w:jc w:val="both"/>
      </w:pPr>
      <w:r w:rsidRPr="00771368">
        <w:t>Nesse relato, a família, que também é representada por uma figura feminina, influencia a situação de manutenção da violência, sugerindo que Rosa, outra figura feminina, “aceitasse” o companheiro, que era supostamente sua “única oportunidade” na vida.  Aqui é possível perceber como as mulheres, mesmo na ausência do “patriarca”, agem de forma a sustentar a ordem patriarcal posicionando-se contra aquelas que a transgridem (SAFFIOTI, 2009).</w:t>
      </w:r>
    </w:p>
    <w:p w:rsidR="00D24E61" w:rsidRPr="00771368" w:rsidRDefault="00D24E61" w:rsidP="00D24E61">
      <w:pPr>
        <w:spacing w:line="360" w:lineRule="auto"/>
        <w:ind w:firstLine="1134"/>
        <w:jc w:val="both"/>
      </w:pPr>
      <w:r w:rsidRPr="00771368">
        <w:t>Como parte dos elementos das práticas sociais, deve-se observar que a Lei Maria da Penha, por compor o ‘discurso jurídico’, no qual há uma imposição de ações e de mudanças sociais, contribui, e está presente no relato de Rosa, como tentativa de mudança da identidade. Quando há a necessidade de um discurso coercivo (a legislação) entende-se que algum aspecto social precisa ser contido. No caso em estudo, o ex-companheiro que era o agressor precisou da imposição da Lei para que houvesse ao menos uma interrupção nos episódios de violência. Como sugere Fairclough (2003), o discurso ‘molda’ a sociedade e, ao mesmo tempo é ‘moldado’ por ela. Essa é a ‘dialética do discurso’.</w:t>
      </w:r>
    </w:p>
    <w:p w:rsidR="00D24E61" w:rsidRPr="00771368" w:rsidRDefault="00D24E61" w:rsidP="00D24E61">
      <w:pPr>
        <w:spacing w:line="360" w:lineRule="auto"/>
        <w:ind w:firstLine="1134"/>
        <w:jc w:val="both"/>
      </w:pPr>
      <w:r w:rsidRPr="00771368">
        <w:t xml:space="preserve">O programa Casa-Abrigo possui como principal meio de acesso as Delegacias Especializadas no Atendimento a Mulher (DEAM) que orientam as mulheres que estão sob ameaça a procurar auxílio para evitar uma possível morte. </w:t>
      </w:r>
    </w:p>
    <w:p w:rsidR="00D24E61" w:rsidRPr="00771368" w:rsidRDefault="00D24E61" w:rsidP="00D24E61">
      <w:pPr>
        <w:spacing w:line="360" w:lineRule="auto"/>
        <w:ind w:firstLine="1134"/>
        <w:jc w:val="both"/>
      </w:pPr>
      <w:r w:rsidRPr="00771368">
        <w:t xml:space="preserve">No aspecto representacional, Rosa produziu opinião a respeito do que teria mudado após a aprovação da Lei Maria da Penha. Além disso, com a narração de como estaria na Casa-Abrigo, fazendo referência a um ‘discurso jurídico’ por meio de palavras específicas do contexto normativo e judicial, conforme apresentados nos seguintes trechos: </w:t>
      </w:r>
    </w:p>
    <w:p w:rsidR="00D24E61" w:rsidRPr="00771368" w:rsidRDefault="00D24E61" w:rsidP="00D24E61">
      <w:pPr>
        <w:spacing w:line="360" w:lineRule="auto"/>
        <w:ind w:firstLine="1134"/>
        <w:jc w:val="both"/>
      </w:pPr>
    </w:p>
    <w:p w:rsidR="00D24E61" w:rsidRPr="00771368" w:rsidRDefault="00D24E61" w:rsidP="00D24E61">
      <w:pPr>
        <w:ind w:left="3402"/>
        <w:jc w:val="both"/>
        <w:rPr>
          <w:sz w:val="20"/>
        </w:rPr>
      </w:pPr>
      <w:r w:rsidRPr="00771368">
        <w:rPr>
          <w:sz w:val="20"/>
        </w:rPr>
        <w:t>“Hoje existe a lei da Maria da Penha agora, pois ele foi em cima da juíza armado com uma faca, quem desarmou ele foi a delegada maior de dentro do Piauí, a delegada que eu mesma tive, ele ajuda muito a gente e eu, eu tenho ela do fundo do meu coração”.</w:t>
      </w:r>
    </w:p>
    <w:p w:rsidR="00D24E61" w:rsidRPr="00771368" w:rsidRDefault="00D24E61" w:rsidP="00D24E61">
      <w:pPr>
        <w:spacing w:line="360" w:lineRule="auto"/>
        <w:ind w:left="3402"/>
        <w:jc w:val="both"/>
        <w:rPr>
          <w:sz w:val="20"/>
        </w:rPr>
      </w:pPr>
    </w:p>
    <w:p w:rsidR="00D24E61" w:rsidRPr="00771368" w:rsidRDefault="00D24E61" w:rsidP="00D24E61">
      <w:pPr>
        <w:spacing w:line="360" w:lineRule="auto"/>
        <w:ind w:firstLine="1134"/>
        <w:jc w:val="both"/>
      </w:pPr>
      <w:r w:rsidRPr="00771368">
        <w:t xml:space="preserve">Nesses e em outros trechos, Rosa utiliza vocabulário específico, como ‘premeditou’, ‘delegacia’, ‘crime’, ‘justiça’, ‘audiência’, ‘juíza’, ‘delegada’, ou seja, vocábulos que nesse contexto específico sugerem contato com o ‘discurso jurídico’. </w:t>
      </w:r>
    </w:p>
    <w:p w:rsidR="00D24E61" w:rsidRPr="00771368" w:rsidRDefault="00D24E61" w:rsidP="00D24E61">
      <w:pPr>
        <w:spacing w:line="360" w:lineRule="auto"/>
        <w:ind w:firstLine="1134"/>
        <w:jc w:val="both"/>
      </w:pPr>
      <w:r w:rsidRPr="00771368">
        <w:t xml:space="preserve">Assim como todas as mulheres acolhidas na Casa, Rosa estava em uma situação de violência extrema e sob ameaça de morte. Sua história ampara-se em um ‘discurso religioso’ como indícios de busca por soluções ou até mesmo motivação para enfrentar a situação de violência vivenciada. </w:t>
      </w:r>
    </w:p>
    <w:p w:rsidR="00D24E61" w:rsidRPr="00771368" w:rsidRDefault="00D24E61" w:rsidP="00D24E61">
      <w:pPr>
        <w:spacing w:line="360" w:lineRule="auto"/>
        <w:ind w:firstLine="1134"/>
        <w:jc w:val="both"/>
      </w:pPr>
      <w:r w:rsidRPr="00771368">
        <w:t xml:space="preserve">Esse ‘discurso religioso’ é apontado em pelo menos três situações específicas: no momento da agressão, em que busca a ajuda de um ‘Deus’, porquanto está em uma situação solitária, sem ajuda de outras pessoas, como no trecho “aí era a única chance que eu tinha que eu pedi a Deus todo dia, era para que ele saísse da minha casa”; quando encontra a ajuda por meio de algumas pessoas e as consideram ‘guiadas’ por ‘Deus’,como no trecho “não tenho licença de ninguém, de ninguém, só de Deus e as ajuda do pessoal do Ogum, ao redor que me ajuda”; e no momento em que busca uma perspectiva de futuro, como na fala: “Quantas pessoas já não se acabaram por falta de segurança, e a minha segurança que eu tenha a maior é a de Deus (...) com a fé em Deus ele não vai conseguir”. </w:t>
      </w:r>
    </w:p>
    <w:p w:rsidR="00D24E61" w:rsidRPr="00771368" w:rsidRDefault="00D24E61" w:rsidP="00D24E61">
      <w:pPr>
        <w:spacing w:line="360" w:lineRule="auto"/>
        <w:ind w:firstLine="1134"/>
        <w:jc w:val="both"/>
      </w:pPr>
      <w:r w:rsidRPr="00771368">
        <w:t xml:space="preserve">Outro discurso que influi diretamente na subjetividade das mulheres é o ‘discurso terapêutico’, anunciado por meio do acesso que as mulheres têm ao acompanhamento psicológico, que as levam a refletir, entre outras coisas, sobre suas condutas e as de seus agressores. Esse ‘discurso terapêutico’ relaciona-se e por vezes confunde-se ao ‘discurso emancipatório’, uma vez que, para que a figura feminina seja emancipada, é necessária além da autovaloração, ou como bem colocaram Hanada et al. (2010), além do “resgate ou “fortalecimento” da autoestima, que se baliza muitas vezes na dimensão subjetiva correndo o risco de individualizar o problema, é preciso promover o “fortalecimento” no sentido da conscientização e sobre seus direitos e possibilidades de ação frente à ideologia patriacal.  </w:t>
      </w:r>
    </w:p>
    <w:p w:rsidR="00D24E61" w:rsidRPr="00771368" w:rsidRDefault="00D24E61" w:rsidP="00D24E61">
      <w:pPr>
        <w:spacing w:line="360" w:lineRule="auto"/>
        <w:ind w:firstLine="1134"/>
        <w:jc w:val="both"/>
      </w:pPr>
      <w:r w:rsidRPr="00771368">
        <w:t xml:space="preserve">Nesse aspecto, Rosa, ao contar sua história, utiliza as expressões ‘mas consegui’ e ‘me superei’ para referir-se não só as emoções e pensamentos relacionados às situações de violência sofridas, mas também a uma mudança de ideologia, evocando o “discurso emancipatório”. Pelas expressões utilizadas por Rosa ao contar sua história, nota-se que o ‘discurso terapêutico’ é trabalhado pela psicóloga da Casa-Abrigo com o foco também no “fortalecimento” no sentido da conscientização que visa auxiliar as mulheres na ampliação e/ou transformação de sua visão, orientando-as para a emancipação e contribuindo, assim, para uma mudança de percepção sobre masculidades e feminilidades. </w:t>
      </w:r>
    </w:p>
    <w:p w:rsidR="00D24E61" w:rsidRPr="00771368" w:rsidRDefault="00D24E61" w:rsidP="00D24E61">
      <w:pPr>
        <w:keepNext/>
        <w:keepLines/>
        <w:spacing w:line="360" w:lineRule="auto"/>
        <w:ind w:firstLine="1134"/>
        <w:jc w:val="both"/>
        <w:outlineLvl w:val="1"/>
        <w:rPr>
          <w:b/>
          <w:bCs/>
        </w:rPr>
      </w:pPr>
      <w:bookmarkStart w:id="28" w:name="_Toc350275809"/>
    </w:p>
    <w:p w:rsidR="00D24E61" w:rsidRPr="00771368" w:rsidRDefault="00D24E61" w:rsidP="00FA0ABA">
      <w:pPr>
        <w:pStyle w:val="PargrafodaLista"/>
        <w:keepNext/>
        <w:keepLines/>
        <w:numPr>
          <w:ilvl w:val="1"/>
          <w:numId w:val="14"/>
        </w:numPr>
        <w:spacing w:after="0" w:line="360" w:lineRule="auto"/>
        <w:outlineLvl w:val="1"/>
        <w:rPr>
          <w:rFonts w:ascii="Times New Roman" w:hAnsi="Times New Roman"/>
          <w:b/>
          <w:bCs/>
        </w:rPr>
      </w:pPr>
      <w:r w:rsidRPr="00771368">
        <w:rPr>
          <w:rFonts w:ascii="Times New Roman" w:hAnsi="Times New Roman"/>
          <w:b/>
          <w:bCs/>
        </w:rPr>
        <w:t>Dando voz a própria subjetividade</w:t>
      </w:r>
      <w:bookmarkEnd w:id="28"/>
    </w:p>
    <w:p w:rsidR="00D24E61" w:rsidRPr="00771368" w:rsidRDefault="00D24E61" w:rsidP="00D24E61">
      <w:pPr>
        <w:keepNext/>
        <w:keepLines/>
        <w:spacing w:line="360" w:lineRule="auto"/>
        <w:ind w:firstLine="1134"/>
        <w:jc w:val="both"/>
        <w:outlineLvl w:val="1"/>
        <w:rPr>
          <w:b/>
          <w:bCs/>
          <w:i/>
        </w:rPr>
      </w:pPr>
    </w:p>
    <w:p w:rsidR="00D24E61" w:rsidRPr="00771368" w:rsidRDefault="00D24E61" w:rsidP="00D24E61">
      <w:pPr>
        <w:spacing w:line="360" w:lineRule="auto"/>
        <w:ind w:firstLine="1134"/>
        <w:jc w:val="both"/>
      </w:pPr>
      <w:r w:rsidRPr="00771368">
        <w:t>O modo como as pessoas envolvem-se com elas mesmas no texto é um importante elemento que permite compreender como elas  identificam e representam a si e aos outros e tecem suas subjetividades (FAIRCLOUGH, 2001).</w:t>
      </w:r>
    </w:p>
    <w:p w:rsidR="00D24E61" w:rsidRPr="00771368" w:rsidRDefault="00D24E61" w:rsidP="00D24E61">
      <w:pPr>
        <w:spacing w:line="360" w:lineRule="auto"/>
        <w:ind w:firstLine="1134"/>
        <w:jc w:val="both"/>
      </w:pPr>
      <w:r w:rsidRPr="00771368">
        <w:t xml:space="preserve">Fairclough (2003) assinala duas categorias que permitem fazer a análise do envolvimento por meio do texto, são elas a modalidade e as avaliações por parte do locutor. A modalidade, de acordo com o autor, subdividi-se em: modalidade epistêmica, relacionada ao comprometimento com a verdade, ou seja, indica a forma como a locutora representa a verdade que a envolve; e modalidade deôntica, relacionada com a obrigação ou necessidade, aqui entendida como permissão porquanto sugere aspectos de consentimento e autorização relacionados também ao ‘discurso patriarcal’ que perpassa a subjetividade de Rosa. Ambos podem apresentar-se de forma explicita ou implícita. </w:t>
      </w:r>
    </w:p>
    <w:p w:rsidR="00D24E61" w:rsidRPr="00771368" w:rsidRDefault="00D24E61" w:rsidP="00D24E61">
      <w:pPr>
        <w:spacing w:line="360" w:lineRule="auto"/>
        <w:ind w:firstLine="1134"/>
        <w:jc w:val="both"/>
      </w:pPr>
      <w:r w:rsidRPr="00771368">
        <w:t xml:space="preserve">São considerados pelo autor (2003, p.167) como representantes padrões da modalidade, os verbos modais no inglês </w:t>
      </w:r>
      <w:r w:rsidRPr="00771368">
        <w:rPr>
          <w:i/>
        </w:rPr>
        <w:t>can, may, would, should, etc</w:t>
      </w:r>
      <w:r w:rsidRPr="00771368">
        <w:t xml:space="preserve">. No português brasileiro existem poucos sentidos, considerando-se as traduções exatas desses verbos, assim, a análise teve como foco o verbo ‘poder’  modal no sentido de possibilidade. </w:t>
      </w:r>
    </w:p>
    <w:p w:rsidR="00D24E61" w:rsidRPr="00771368" w:rsidRDefault="00D24E61" w:rsidP="00D24E61">
      <w:pPr>
        <w:spacing w:line="360" w:lineRule="auto"/>
        <w:ind w:firstLine="1134"/>
        <w:jc w:val="both"/>
      </w:pPr>
      <w:r w:rsidRPr="00771368">
        <w:t xml:space="preserve"> Com relação ao verbo ‘poder’ na história de Rosa, são apresentados dois sentidos: o primeiro, que seria uma modalidade epistêmica, quando Rosa  conta que não havia como pedir socorro quando sofria agressões, pois estava “dentro de casa trancada sem poder sair, sem poder ninguém entrar pra dar socorro”. Neste caso, há uma modalidade epistêmica pois é um fato real que em cárcere privado e sob ameaça de morte não há como sair para pedir ajuda, como no relato a seguir:</w:t>
      </w:r>
    </w:p>
    <w:p w:rsidR="00D24E61" w:rsidRPr="00771368" w:rsidRDefault="00D24E61" w:rsidP="00D24E61">
      <w:pPr>
        <w:spacing w:line="360" w:lineRule="auto"/>
        <w:ind w:firstLine="1134"/>
        <w:jc w:val="both"/>
      </w:pPr>
    </w:p>
    <w:p w:rsidR="00D24E61" w:rsidRPr="00771368" w:rsidRDefault="00D24E61" w:rsidP="00D24E61">
      <w:pPr>
        <w:ind w:left="3402"/>
        <w:jc w:val="both"/>
        <w:rPr>
          <w:sz w:val="20"/>
        </w:rPr>
      </w:pPr>
      <w:r w:rsidRPr="00771368">
        <w:rPr>
          <w:sz w:val="20"/>
        </w:rPr>
        <w:t xml:space="preserve">“A gente não podia tomar providência porque ele ameaçava ‘se você der parte, a gente, eu mato tudim, posso passar dez anos preso, na hora que eu sair eu mato todos’ então, foi muito difícil, nós não tinha como, a gente vivia sob as ameaças dele, tipo como que tivesse ali no cativeiro, como era né”.  </w:t>
      </w:r>
    </w:p>
    <w:p w:rsidR="00D24E61" w:rsidRPr="00771368" w:rsidRDefault="00D24E61" w:rsidP="00D24E61">
      <w:pPr>
        <w:spacing w:line="360" w:lineRule="auto"/>
        <w:ind w:firstLine="1134"/>
        <w:jc w:val="both"/>
      </w:pPr>
    </w:p>
    <w:p w:rsidR="00D24E61" w:rsidRPr="00771368" w:rsidRDefault="00D24E61" w:rsidP="00D24E61">
      <w:pPr>
        <w:spacing w:line="360" w:lineRule="auto"/>
        <w:ind w:firstLine="1134"/>
        <w:jc w:val="both"/>
      </w:pPr>
      <w:r w:rsidRPr="00771368">
        <w:t>Esse relato evoca aspectos relacionados à percepção do ex-companheiro, que é o principal agressor, de como Rosa deveria se comportar, evidenciando novamente o ‘discurso patriarcal’ que molda essa subjetividade.</w:t>
      </w:r>
    </w:p>
    <w:p w:rsidR="00D24E61" w:rsidRPr="00771368" w:rsidRDefault="00D24E61" w:rsidP="00D24E61">
      <w:pPr>
        <w:spacing w:line="360" w:lineRule="auto"/>
        <w:ind w:firstLine="1134"/>
        <w:jc w:val="both"/>
      </w:pPr>
      <w:r w:rsidRPr="00771368">
        <w:t>Há também a utilização do verbo ‘poder’ em uma forma de modalidade deôntica quando Rosa revela a dificuldade em manter interação social e sair para o trabalho quando relacionava-se com seu ex-companheiro, indicando que deveria ter sua permissão para sair de casa, como sugerido no seguinte trecho,:</w:t>
      </w:r>
    </w:p>
    <w:p w:rsidR="00D24E61" w:rsidRPr="00771368" w:rsidRDefault="00D24E61" w:rsidP="00D24E61">
      <w:pPr>
        <w:spacing w:line="360" w:lineRule="auto"/>
        <w:ind w:firstLine="1134"/>
        <w:jc w:val="both"/>
      </w:pPr>
    </w:p>
    <w:p w:rsidR="00D24E61" w:rsidRPr="00771368" w:rsidRDefault="00D24E61" w:rsidP="00D24E61">
      <w:pPr>
        <w:ind w:left="3402"/>
        <w:jc w:val="both"/>
        <w:rPr>
          <w:sz w:val="20"/>
        </w:rPr>
      </w:pPr>
      <w:r w:rsidRPr="00771368">
        <w:rPr>
          <w:sz w:val="20"/>
        </w:rPr>
        <w:t>“minha casa ninguém me procurava, ninguém me visitava, que ele não, que não podia. Ai ele, ninguém entrava e ninguém saia. (...). E ele me espancou o tempo todo, eu ia trabalhar, quando eu chegava ele me torturava, me espancava, perguntava porque que eu tava chegando aquela hora,que eu tava era com macho, a vida inteira ele me alegou isso aí”.</w:t>
      </w:r>
    </w:p>
    <w:p w:rsidR="00D24E61" w:rsidRPr="00771368" w:rsidRDefault="00D24E61" w:rsidP="00D24E61">
      <w:pPr>
        <w:spacing w:line="360" w:lineRule="auto"/>
        <w:ind w:firstLine="1134"/>
        <w:jc w:val="both"/>
      </w:pPr>
    </w:p>
    <w:p w:rsidR="00D24E61" w:rsidRPr="00771368" w:rsidRDefault="00D24E61" w:rsidP="00D24E61">
      <w:pPr>
        <w:spacing w:line="360" w:lineRule="auto"/>
        <w:ind w:firstLine="1134"/>
        <w:jc w:val="both"/>
      </w:pPr>
      <w:r w:rsidRPr="00771368">
        <w:t xml:space="preserve">O discurso patriarcal da superioridade masculina atravessa o relato de Rosa quando ela (a figura feminina) menciona a autorização, indicando a necessidade da permissão de seus atos pela figura masculina. </w:t>
      </w:r>
    </w:p>
    <w:p w:rsidR="00D24E61" w:rsidRPr="00771368" w:rsidRDefault="00D24E61" w:rsidP="00D24E61">
      <w:pPr>
        <w:spacing w:line="360" w:lineRule="auto"/>
        <w:ind w:firstLine="1134"/>
        <w:jc w:val="both"/>
      </w:pPr>
      <w:r w:rsidRPr="00771368">
        <w:t>Outro aspecto do significado identificacional são as avaliações. Com relação aos enunciados avaliativos considerou-se importante as avaliações produzidas por enunciados com vocabulário indicativos de processo mental afetivo, uma vez que há a presença deles na hsitória de Rosa, como no trecho:</w:t>
      </w:r>
    </w:p>
    <w:p w:rsidR="00D24E61" w:rsidRPr="00771368" w:rsidRDefault="00D24E61" w:rsidP="00D24E61">
      <w:pPr>
        <w:spacing w:line="360" w:lineRule="auto"/>
        <w:ind w:firstLine="1134"/>
        <w:jc w:val="both"/>
      </w:pPr>
    </w:p>
    <w:p w:rsidR="00D24E61" w:rsidRPr="00771368" w:rsidRDefault="00D24E61" w:rsidP="00D24E61">
      <w:pPr>
        <w:ind w:left="3402"/>
        <w:jc w:val="both"/>
        <w:rPr>
          <w:sz w:val="20"/>
        </w:rPr>
      </w:pPr>
      <w:r w:rsidRPr="00771368">
        <w:rPr>
          <w:sz w:val="20"/>
        </w:rPr>
        <w:t>“A delegada que eu mesma tive, ela ajuda muito a gente e eu, eu tenho ela do fundo do meu coração (...).Eu luto dia e noite pra criar meus filhos! Mas eu deixo aqui bem claro, filha, meus filhos eu não dou por nada desse mundo! Dou minha vida, dou meu sangue, mas não dou meus filhos!”.</w:t>
      </w:r>
    </w:p>
    <w:p w:rsidR="00D24E61" w:rsidRPr="00771368" w:rsidRDefault="00D24E61" w:rsidP="00D24E61">
      <w:pPr>
        <w:spacing w:line="360" w:lineRule="auto"/>
        <w:ind w:firstLine="1134"/>
        <w:jc w:val="both"/>
      </w:pPr>
    </w:p>
    <w:p w:rsidR="00D24E61" w:rsidRPr="00771368" w:rsidRDefault="00D24E61" w:rsidP="00D24E61">
      <w:pPr>
        <w:spacing w:line="360" w:lineRule="auto"/>
        <w:ind w:firstLine="1134"/>
        <w:jc w:val="both"/>
      </w:pPr>
      <w:r w:rsidRPr="00771368">
        <w:t>Em relação à Casa-Abrigo, Rosa parece fazer uma avaliação positiva quando reflete: “hoje eu to bem aqui, to com segurança, to com quê, vai fazer um mês”. Apesar disso, pôde-se perceber que Rosa, assim como as outras usuárias que estavam abrigadas durante o período de observação participante, encarava o programa como um processo de transição, e que futuramente queriam estar trabalhando, cuidando dos filhos e livres para poder transitar em espaços públicos.</w:t>
      </w:r>
    </w:p>
    <w:p w:rsidR="00D24E61" w:rsidRPr="00771368" w:rsidRDefault="00D24E61" w:rsidP="00D24E61">
      <w:pPr>
        <w:spacing w:line="360" w:lineRule="auto"/>
        <w:ind w:firstLine="1134"/>
        <w:jc w:val="both"/>
      </w:pPr>
    </w:p>
    <w:p w:rsidR="00D24E61" w:rsidRPr="007B04EA" w:rsidRDefault="00D24E61" w:rsidP="007B04EA">
      <w:bookmarkStart w:id="29" w:name="_Toc350275810"/>
      <w:r w:rsidRPr="007B04EA">
        <w:t>C</w:t>
      </w:r>
      <w:bookmarkEnd w:id="29"/>
      <w:r w:rsidRPr="007B04EA">
        <w:t>onclusões</w:t>
      </w:r>
    </w:p>
    <w:p w:rsidR="00D24E61" w:rsidRPr="00771368" w:rsidRDefault="00D24E61" w:rsidP="00D24E61">
      <w:pPr>
        <w:ind w:firstLine="1134"/>
      </w:pPr>
    </w:p>
    <w:p w:rsidR="00D24E61" w:rsidRPr="00771368" w:rsidRDefault="00D24E61" w:rsidP="00D24E61">
      <w:pPr>
        <w:spacing w:line="360" w:lineRule="auto"/>
        <w:ind w:firstLine="1134"/>
        <w:jc w:val="both"/>
      </w:pPr>
      <w:r w:rsidRPr="00771368">
        <w:t>Fairclough (2001) explica que a investigação social crítica deve ser reflexiva, pois uma pesquisa que envolve temas sociais pode permitir diversas percepções. A posição do(a) pesquisador(a), considerando aspectos teóricos, sociais e temporais, pode implicar diretamente na escolha por determinado foco. Considerando esse entendimento, conclui-se que, ao analisar a prática social na qual a entrevistada está situada, encontraram-se dois gêneros discursivos centrais na pesquisa. O primeiro gênero, legislação; e o segundo, o gênero entrevista, no qual Rosa pôde produzir seus relatos de história de vida, evidenciando suas representações de masculinidade e feminilidade.</w:t>
      </w:r>
    </w:p>
    <w:p w:rsidR="00D24E61" w:rsidRPr="00771368" w:rsidRDefault="00D24E61" w:rsidP="00D24E61">
      <w:pPr>
        <w:autoSpaceDE w:val="0"/>
        <w:autoSpaceDN w:val="0"/>
        <w:adjustRightInd w:val="0"/>
        <w:spacing w:line="360" w:lineRule="auto"/>
        <w:ind w:firstLine="1134"/>
        <w:jc w:val="both"/>
      </w:pPr>
      <w:r w:rsidRPr="00771368">
        <w:t>Tendo a Observação Participante e o Registro em Diário de Campo como complemento do Relato de História de Vida, obteve-se uma maior amplitude de análise da representação do discurso jurídico da instituição a qual Rosa estava vinculada. Além disso, os momentos vivenciados na Casa-Abrigo permitiram maior envolvimento da pesquisadora com as usuárias, e o entendimento de que a violência doméstica e familiar é um fenômeno complexo que envolve todos os integrantes do núcleo familiar não se restringindo a um sujeito ou a uma relação específica, sendo utilizada, muitas vezes, como forma de poder e dominação. As desigualdades sociais e a própria cultura de dominação do homem sobre a mulher fazem com que os membros, submetidos a tal situação, passem a engendrar ou vivenciar conflitos, sentimentos de frustração e aprendizagem do processo de violência.</w:t>
      </w:r>
    </w:p>
    <w:p w:rsidR="00D24E61" w:rsidRPr="00771368" w:rsidRDefault="00D24E61" w:rsidP="00D24E61">
      <w:pPr>
        <w:spacing w:line="360" w:lineRule="auto"/>
        <w:ind w:firstLine="1134"/>
        <w:jc w:val="both"/>
      </w:pPr>
      <w:r w:rsidRPr="00771368">
        <w:t>Pôde-se perceber como uma mulher em situação de violência doméstica e familiar, neste caso, Rosa, representa a si e aos outros, considerando aspectos ideológicos e hegemônicos e suas implicações nas construções das suas representações de feminilidade e masculinidade neste contexto. A história de Rosa , assim como as ideias apresentadas por outras usuárias em conversas, durante o cotidiano da Casa-Abrigo, evidenciaram discursos patriarcais que são tidos como naturais. Paralelamente, encontrou-se, principalmente na história de Rosa, o discurso emancipatório, que suplanta a condição de vítima e rompe com o discurso patriarcal.</w:t>
      </w:r>
    </w:p>
    <w:p w:rsidR="00D24E61" w:rsidRPr="00771368" w:rsidRDefault="00D24E61" w:rsidP="00D24E61">
      <w:pPr>
        <w:autoSpaceDE w:val="0"/>
        <w:autoSpaceDN w:val="0"/>
        <w:adjustRightInd w:val="0"/>
        <w:spacing w:line="360" w:lineRule="auto"/>
        <w:ind w:firstLine="1134"/>
        <w:jc w:val="both"/>
      </w:pPr>
      <w:r w:rsidRPr="00771368">
        <w:t>Compreendeu-se também que, adotando as relações interpessoais como enfoque metodológico de investigação a partir da observação participante, é possível ressignificar discursos produtores de estereótipos, de vitimização, exercitando a ação crítica que põe em relevo as contradições refletidas no contexto social e cria condições para romper com os imperativos morais, respeitando a subjetividade e envolvendo os sujeitos na produção de sentidos.</w:t>
      </w:r>
    </w:p>
    <w:p w:rsidR="00D24E61" w:rsidRPr="00771368" w:rsidRDefault="00D24E61" w:rsidP="00D24E61">
      <w:pPr>
        <w:autoSpaceDE w:val="0"/>
        <w:autoSpaceDN w:val="0"/>
        <w:adjustRightInd w:val="0"/>
        <w:spacing w:line="360" w:lineRule="auto"/>
        <w:ind w:firstLine="1134"/>
        <w:jc w:val="both"/>
      </w:pPr>
      <w:r w:rsidRPr="00771368">
        <w:t>A história de Rosa, além de ter sido,  por si só, instrumento de empoderamento, já que suscitou a reflexividade acerca de sua vida, oferecendo espaço para que ela própria percebesse suas possibilidades de ação, lança luz sobre o entendimento de como os modelos ideológicos de dominação dos homens e subordinação das mulheres engendram relações conflitivas e desumanizadoras para seus protagonistas, conquanto impossibilite-os de vivenciar suas potencialidades de maneira integral.</w:t>
      </w:r>
    </w:p>
    <w:p w:rsidR="00D24E61" w:rsidRPr="00771368" w:rsidRDefault="00D24E61" w:rsidP="00D24E61">
      <w:pPr>
        <w:spacing w:line="360" w:lineRule="auto"/>
        <w:ind w:firstLine="1134"/>
        <w:jc w:val="both"/>
      </w:pPr>
      <w:r w:rsidRPr="00771368">
        <w:t>Em face de tais implicações na vida de mulheres e de homens, reafirma-se que a Psicologia não pode ficar alheia a esta realidade, fazendo-se indispensável entender as especificidades que a permeiam em toda sua magnitude. É preciso dissecar todas essas definições de homem e mulher para alcançar a igualdade de direitos que represente uma sociedade justa e acolhedora que compartilha todos os espaços de decisão e liderança, sem medos ou preconceitos. É seu dever, portanto, continuar atenta às diferentes formas de expressão de tal fenômeno, entendendo suas inclusões nas dimensões social, econômica e política, garantindo intervenções que promovam o auxílio ao processo de autodescoberta das mulheres, pelo fortalecimento da autoestima, da autonomia e do seu poder de decisão.</w:t>
      </w:r>
    </w:p>
    <w:p w:rsidR="00D24E61" w:rsidRPr="00771368" w:rsidRDefault="00D24E61" w:rsidP="00D24E61">
      <w:pPr>
        <w:autoSpaceDE w:val="0"/>
        <w:autoSpaceDN w:val="0"/>
        <w:adjustRightInd w:val="0"/>
        <w:spacing w:line="360" w:lineRule="auto"/>
        <w:ind w:firstLine="1134"/>
        <w:jc w:val="both"/>
      </w:pPr>
      <w:r w:rsidRPr="00771368">
        <w:t>Por fim, enquanto pesquisadora e estudante/profissional de Psicologia, notou-se que a violência contra a mulher é um fenômeno que reflete os modos de ser e pensar lineares, hierárquicos e binários, fortemente enraizados na cultura ocidental, porém, assim como Rosa se faz conhecer em seu discurso, há “grandes contingentes de mulheres, cuja reação insiste no caminho da transgressão da ordem masculina, respondendo pelas mudanças operadas na relação homem-mulher” (SAFFIOTI, 2009, p.26).</w:t>
      </w:r>
    </w:p>
    <w:p w:rsidR="00D24E61" w:rsidRPr="00771368" w:rsidRDefault="00D24E61" w:rsidP="00D24E61">
      <w:pPr>
        <w:autoSpaceDE w:val="0"/>
        <w:autoSpaceDN w:val="0"/>
        <w:adjustRightInd w:val="0"/>
        <w:spacing w:line="360" w:lineRule="auto"/>
        <w:ind w:firstLine="1134"/>
        <w:jc w:val="both"/>
      </w:pPr>
      <w:r w:rsidRPr="00771368">
        <w:t xml:space="preserve">Ao final da elaboração deste artigo a situação de Rosa continua a mesma. Somam-se sete meses sob proteção na Casa-Abrigo e seu caso continua em trâmite no Juizado Especial de Violência Contra a Mulher do Estado, sem a resolutividade que lhe é garantida por lei. Rosa continua sob ameaça de seu ex-companheiro, tendo seus direitos lesionados pelas autoridades competentes que tardam em apresentar uma solução cabível ao caso. Isso leva a seguinte questão: por que, como diz Rosa,“os direitos humanos são difíceis” no que pertine a sua realização por meio da rede de atenção à mulher, no Piauí, quiçá no Brasil? </w:t>
      </w:r>
    </w:p>
    <w:p w:rsidR="00D24E61" w:rsidRPr="00771368" w:rsidRDefault="00D24E61" w:rsidP="00D24E61">
      <w:pPr>
        <w:autoSpaceDE w:val="0"/>
        <w:autoSpaceDN w:val="0"/>
        <w:adjustRightInd w:val="0"/>
        <w:spacing w:line="360" w:lineRule="auto"/>
        <w:jc w:val="both"/>
      </w:pPr>
    </w:p>
    <w:p w:rsidR="00D24E61" w:rsidRPr="007B04EA" w:rsidRDefault="00D24E61" w:rsidP="007B04EA">
      <w:bookmarkStart w:id="30" w:name="_Toc350275811"/>
      <w:r w:rsidRPr="007B04EA">
        <w:t>R</w:t>
      </w:r>
      <w:bookmarkEnd w:id="30"/>
      <w:r w:rsidRPr="007B04EA">
        <w:t>eferências Bibliográficas</w:t>
      </w:r>
    </w:p>
    <w:p w:rsidR="00D24E61" w:rsidRPr="00771368" w:rsidRDefault="00D24E61" w:rsidP="00D24E61">
      <w:pPr>
        <w:spacing w:line="360" w:lineRule="auto"/>
        <w:jc w:val="both"/>
        <w:rPr>
          <w:b/>
        </w:rPr>
      </w:pPr>
    </w:p>
    <w:p w:rsidR="00D24E61" w:rsidRPr="00771368" w:rsidRDefault="00D24E61" w:rsidP="00D24E61">
      <w:pPr>
        <w:autoSpaceDE w:val="0"/>
        <w:autoSpaceDN w:val="0"/>
        <w:adjustRightInd w:val="0"/>
        <w:jc w:val="both"/>
      </w:pPr>
      <w:r w:rsidRPr="00771368">
        <w:t xml:space="preserve">BADINTER, E. </w:t>
      </w:r>
      <w:r w:rsidRPr="00771368">
        <w:rPr>
          <w:b/>
        </w:rPr>
        <w:t>XY</w:t>
      </w:r>
      <w:r w:rsidRPr="00771368">
        <w:t>: sobre a identidade masculina. Rio de Janeiro: Nova Fronteira, 1993.</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BAUER, M. W.; GASKELL, G. </w:t>
      </w:r>
      <w:r w:rsidRPr="00771368">
        <w:rPr>
          <w:b/>
        </w:rPr>
        <w:t>Pesquisa Qualitativa com texto, imagem e som</w:t>
      </w:r>
      <w:r w:rsidRPr="00771368">
        <w:t>: um manual prático. 4ª ed. Ed. Vozes, 2002.</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BRASIL. Presidência da República. </w:t>
      </w:r>
      <w:r w:rsidRPr="00771368">
        <w:rPr>
          <w:b/>
        </w:rPr>
        <w:t>Lei nº. 11.340</w:t>
      </w:r>
      <w:r w:rsidRPr="00771368">
        <w:t xml:space="preserve">, de 7 de agosto de 2006. Brasília, 2006. Disponível em: </w:t>
      </w:r>
      <w:hyperlink r:id="rId60" w:history="1">
        <w:r w:rsidRPr="00771368">
          <w:rPr>
            <w:rStyle w:val="Hyperlink"/>
          </w:rPr>
          <w:t>http://www.planalto.gov.br/ccivil_03/_ato2004-2006/2006/lei/l11340.htm</w:t>
        </w:r>
      </w:hyperlink>
      <w:r w:rsidRPr="00771368">
        <w:rPr>
          <w:rStyle w:val="Hyperlink"/>
        </w:rPr>
        <w:t xml:space="preserve">. </w:t>
      </w:r>
      <w:r w:rsidRPr="00771368">
        <w:t xml:space="preserve">Acesso em: 16 jun 2012. </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________. Presidência da República. </w:t>
      </w:r>
      <w:r w:rsidRPr="00771368">
        <w:rPr>
          <w:b/>
        </w:rPr>
        <w:t>Diretrizes Nacionais para o Abrigamento de Mulheres em Situação de Risco e de Violência</w:t>
      </w:r>
      <w:r w:rsidRPr="00771368">
        <w:t xml:space="preserve">. Brasília: Secretaria Especial de Políticas para as Mulheres, 2011a. Disponível em: </w:t>
      </w:r>
      <w:hyperlink r:id="rId61" w:history="1">
        <w:r w:rsidRPr="00771368">
          <w:rPr>
            <w:rStyle w:val="Hyperlink"/>
          </w:rPr>
          <w:t>http://www.sepm.gov.br/publicacoes-teste/publicacoes/2011/abrigamento</w:t>
        </w:r>
      </w:hyperlink>
      <w:r w:rsidRPr="00771368">
        <w:t>. Acesso em: 20 jun 2012.</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________. Presidência da República. </w:t>
      </w:r>
      <w:r w:rsidRPr="00771368">
        <w:rPr>
          <w:b/>
        </w:rPr>
        <w:t>Política Nacional de Enfrentamento à Violência contra as Mulheres</w:t>
      </w:r>
      <w:r w:rsidRPr="00771368">
        <w:t>.</w:t>
      </w:r>
      <w:r w:rsidRPr="00771368">
        <w:rPr>
          <w:b/>
        </w:rPr>
        <w:t xml:space="preserve"> </w:t>
      </w:r>
      <w:r w:rsidRPr="00771368">
        <w:t xml:space="preserve">Brasília: Secretaria de Políticas para as Mulheres, 2011b. Disponível em: </w:t>
      </w:r>
      <w:hyperlink r:id="rId62" w:history="1">
        <w:r w:rsidRPr="00771368">
          <w:rPr>
            <w:rStyle w:val="Hyperlink"/>
          </w:rPr>
          <w:t>http://www.sepm.gov.br/publicacoes-teste/publicacoes/2011/politica-nacional</w:t>
        </w:r>
      </w:hyperlink>
      <w:r w:rsidRPr="00771368">
        <w:t>. Acesso em: 20 jun 2012.</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CHODOROW, N. </w:t>
      </w:r>
      <w:r w:rsidRPr="00771368">
        <w:rPr>
          <w:b/>
        </w:rPr>
        <w:t>Psicanálise da Maternidade</w:t>
      </w:r>
      <w:r w:rsidRPr="00771368">
        <w:t>: Uma crítica a Freud a partir da mulher</w:t>
      </w:r>
      <w:r w:rsidRPr="00771368">
        <w:rPr>
          <w:i/>
        </w:rPr>
        <w:t>.</w:t>
      </w:r>
      <w:r w:rsidRPr="00771368">
        <w:t xml:space="preserve"> 2ª Ed. Rio de Janeiro: Rosa dos tempos, 2002.</w:t>
      </w:r>
    </w:p>
    <w:p w:rsidR="00D24E61" w:rsidRPr="00771368" w:rsidRDefault="00D24E61" w:rsidP="00D24E61">
      <w:pPr>
        <w:autoSpaceDE w:val="0"/>
        <w:autoSpaceDN w:val="0"/>
        <w:adjustRightInd w:val="0"/>
        <w:jc w:val="both"/>
        <w:rPr>
          <w:rFonts w:eastAsia="Calibri"/>
          <w:sz w:val="18"/>
          <w:szCs w:val="18"/>
          <w:lang w:eastAsia="en-US"/>
        </w:rPr>
      </w:pPr>
    </w:p>
    <w:p w:rsidR="00D24E61" w:rsidRPr="00771368" w:rsidRDefault="00D24E61" w:rsidP="00D24E61">
      <w:pPr>
        <w:autoSpaceDE w:val="0"/>
        <w:autoSpaceDN w:val="0"/>
        <w:adjustRightInd w:val="0"/>
        <w:jc w:val="both"/>
      </w:pPr>
      <w:r w:rsidRPr="00771368">
        <w:t xml:space="preserve">COIMBRA, C. </w:t>
      </w:r>
      <w:r w:rsidRPr="00771368">
        <w:rPr>
          <w:b/>
        </w:rPr>
        <w:t>Guardiães da ordem</w:t>
      </w:r>
      <w:r w:rsidRPr="00771368">
        <w:t>: uma viagem pelas práticas psi no Brasil do milagre. Rio de Janeiro: Oficina do Autor, 1995.</w:t>
      </w:r>
    </w:p>
    <w:p w:rsidR="00D24E61" w:rsidRPr="00771368" w:rsidRDefault="00D24E61" w:rsidP="00D24E61">
      <w:pPr>
        <w:autoSpaceDE w:val="0"/>
        <w:autoSpaceDN w:val="0"/>
        <w:adjustRightInd w:val="0"/>
        <w:jc w:val="both"/>
      </w:pPr>
    </w:p>
    <w:p w:rsidR="00D24E61" w:rsidRPr="00771368" w:rsidRDefault="00D24E61" w:rsidP="00D24E61">
      <w:pPr>
        <w:pStyle w:val="Default"/>
        <w:jc w:val="both"/>
      </w:pPr>
      <w:r w:rsidRPr="00771368">
        <w:t xml:space="preserve">FAIRCLOUGH, N. </w:t>
      </w:r>
      <w:r w:rsidRPr="00771368">
        <w:rPr>
          <w:b/>
        </w:rPr>
        <w:t>Discurso e mudança social</w:t>
      </w:r>
      <w:r w:rsidRPr="00771368">
        <w:t>.  Trad. I. Magalhães. Brasília: Editora da UnB, 2001.</w:t>
      </w:r>
    </w:p>
    <w:p w:rsidR="00D24E61" w:rsidRPr="00771368" w:rsidRDefault="00D24E61" w:rsidP="00D24E61">
      <w:pPr>
        <w:pStyle w:val="Default"/>
        <w:jc w:val="both"/>
      </w:pPr>
    </w:p>
    <w:p w:rsidR="00D24E61" w:rsidRPr="00771368" w:rsidRDefault="00D24E61" w:rsidP="00D24E61">
      <w:pPr>
        <w:pStyle w:val="Default"/>
        <w:jc w:val="both"/>
        <w:rPr>
          <w:rStyle w:val="st"/>
        </w:rPr>
      </w:pPr>
      <w:r w:rsidRPr="00771368">
        <w:rPr>
          <w:lang w:val="en-US"/>
        </w:rPr>
        <w:t xml:space="preserve">________. </w:t>
      </w:r>
      <w:r w:rsidRPr="00771368">
        <w:rPr>
          <w:b/>
          <w:lang w:val="en-US"/>
        </w:rPr>
        <w:t>Analysing discourse</w:t>
      </w:r>
      <w:r w:rsidRPr="00771368">
        <w:rPr>
          <w:lang w:val="en-US"/>
        </w:rPr>
        <w:t xml:space="preserve">: textual analysis for social research. </w:t>
      </w:r>
      <w:r w:rsidRPr="00771368">
        <w:rPr>
          <w:rStyle w:val="st"/>
        </w:rPr>
        <w:t>London: Routledge, 2003.</w:t>
      </w:r>
    </w:p>
    <w:p w:rsidR="00D24E61" w:rsidRPr="00771368" w:rsidRDefault="00D24E61" w:rsidP="00D24E61">
      <w:pPr>
        <w:pStyle w:val="Default"/>
        <w:jc w:val="both"/>
        <w:rPr>
          <w:highlight w:val="green"/>
        </w:rPr>
      </w:pPr>
    </w:p>
    <w:p w:rsidR="00D24E61" w:rsidRPr="00771368" w:rsidRDefault="00D24E61" w:rsidP="00D24E61">
      <w:pPr>
        <w:autoSpaceDE w:val="0"/>
        <w:autoSpaceDN w:val="0"/>
        <w:adjustRightInd w:val="0"/>
        <w:jc w:val="both"/>
      </w:pPr>
      <w:r w:rsidRPr="00771368">
        <w:t xml:space="preserve">GIDDENS, A. </w:t>
      </w:r>
      <w:r w:rsidRPr="00771368">
        <w:rPr>
          <w:b/>
        </w:rPr>
        <w:t>A transformação da intimidade</w:t>
      </w:r>
      <w:r w:rsidRPr="00771368">
        <w:t>: sexualidade, amor e erotismo nas sociedades modernas. São Paulo: UNESP, 1993.</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rPr>
          <w:rFonts w:eastAsia="Calibri"/>
          <w:lang w:eastAsia="en-US"/>
        </w:rPr>
      </w:pPr>
      <w:r w:rsidRPr="00771368">
        <w:rPr>
          <w:rFonts w:eastAsia="Calibri"/>
          <w:lang w:eastAsia="en-US"/>
        </w:rPr>
        <w:t>GROSSI, P. K. Violência contra a mulher: implicações para os profissionais de saúde.</w:t>
      </w:r>
      <w:r w:rsidRPr="00771368">
        <w:rPr>
          <w:rFonts w:eastAsia="Calibri"/>
          <w:i/>
          <w:lang w:eastAsia="en-US"/>
        </w:rPr>
        <w:t xml:space="preserve"> </w:t>
      </w:r>
      <w:r w:rsidRPr="00771368">
        <w:rPr>
          <w:rFonts w:eastAsia="Calibri"/>
          <w:lang w:eastAsia="en-US"/>
        </w:rPr>
        <w:t xml:space="preserve">In: Lopes, M. W. </w:t>
      </w:r>
      <w:r w:rsidRPr="00771368">
        <w:rPr>
          <w:rFonts w:eastAsia="Calibri"/>
          <w:b/>
          <w:lang w:eastAsia="en-US"/>
        </w:rPr>
        <w:t>Gênero e Saúde</w:t>
      </w:r>
      <w:r w:rsidRPr="00771368">
        <w:rPr>
          <w:rFonts w:eastAsia="Calibri"/>
          <w:lang w:eastAsia="en-US"/>
        </w:rPr>
        <w:t>. Porto Alegre: Artes Médicas, , p. 133-149, 1996.</w:t>
      </w:r>
    </w:p>
    <w:p w:rsidR="00D24E61" w:rsidRPr="00771368" w:rsidRDefault="00D24E61" w:rsidP="00D24E61">
      <w:pPr>
        <w:autoSpaceDE w:val="0"/>
        <w:autoSpaceDN w:val="0"/>
        <w:adjustRightInd w:val="0"/>
        <w:jc w:val="both"/>
        <w:rPr>
          <w:rFonts w:eastAsia="Calibri"/>
          <w:lang w:eastAsia="en-US"/>
        </w:rPr>
      </w:pPr>
    </w:p>
    <w:p w:rsidR="00D24E61" w:rsidRPr="00771368" w:rsidRDefault="00D24E61" w:rsidP="00D24E61">
      <w:pPr>
        <w:jc w:val="both"/>
      </w:pPr>
      <w:r w:rsidRPr="00771368">
        <w:t xml:space="preserve">HANADA, H., D'OLIVEIRA, A. F. P. L., &amp; SCHRAIBER, L. B. Os psicólogos na rede de assistência a mulheres em situação de violência. </w:t>
      </w:r>
      <w:r w:rsidRPr="00771368">
        <w:rPr>
          <w:b/>
          <w:iCs/>
        </w:rPr>
        <w:t>Revista Estudos Feministas</w:t>
      </w:r>
      <w:r w:rsidRPr="00771368">
        <w:t xml:space="preserve">, v. </w:t>
      </w:r>
      <w:r w:rsidRPr="00771368">
        <w:rPr>
          <w:iCs/>
        </w:rPr>
        <w:t>18, nº.</w:t>
      </w:r>
      <w:r w:rsidRPr="00771368">
        <w:t xml:space="preserve">1, p. 33-60, 2010. Disponível em: </w:t>
      </w:r>
      <w:hyperlink r:id="rId63" w:history="1">
        <w:r w:rsidRPr="00771368">
          <w:rPr>
            <w:rStyle w:val="Hyperlink"/>
          </w:rPr>
          <w:t>http://www.scielo.br/scielo.php?script=sci_arttext&amp;pid=S0104-026X2010000100003&amp;lng=en&amp;tlng=pt</w:t>
        </w:r>
      </w:hyperlink>
      <w:r w:rsidRPr="00771368">
        <w:t>. Acesso em: 2 mar 2013.</w:t>
      </w:r>
    </w:p>
    <w:p w:rsidR="00D24E61" w:rsidRPr="00771368" w:rsidRDefault="00D24E61" w:rsidP="00D24E61">
      <w:pPr>
        <w:jc w:val="both"/>
      </w:pPr>
    </w:p>
    <w:p w:rsidR="00D24E61" w:rsidRPr="00771368" w:rsidRDefault="00D24E61" w:rsidP="00D24E61">
      <w:pPr>
        <w:autoSpaceDE w:val="0"/>
        <w:autoSpaceDN w:val="0"/>
        <w:adjustRightInd w:val="0"/>
        <w:jc w:val="both"/>
      </w:pPr>
      <w:r w:rsidRPr="00771368">
        <w:t xml:space="preserve">IZQUIERDO, M. J. Uso y abuso del concepto de gênero. In: VILANOVA, M. (org.). </w:t>
      </w:r>
      <w:r w:rsidRPr="00771368">
        <w:rPr>
          <w:b/>
        </w:rPr>
        <w:t>Pensar las diferencias</w:t>
      </w:r>
      <w:r w:rsidRPr="00771368">
        <w:t>.</w:t>
      </w:r>
      <w:r w:rsidRPr="00771368">
        <w:rPr>
          <w:b/>
        </w:rPr>
        <w:t xml:space="preserve"> </w:t>
      </w:r>
      <w:r w:rsidRPr="00771368">
        <w:t xml:space="preserve">Barcelona: Universitat de Barcelona/ICD, 1994. Disponível em: </w:t>
      </w:r>
      <w:hyperlink r:id="rId64" w:history="1">
        <w:r w:rsidRPr="00771368">
          <w:rPr>
            <w:rStyle w:val="Hyperlink"/>
          </w:rPr>
          <w:t>http://www.ub.edu/SIMS/pdf/PensarDiferencias/PensarDiferencias-03.pdf</w:t>
        </w:r>
      </w:hyperlink>
      <w:r w:rsidRPr="00771368">
        <w:t xml:space="preserve">. Acesso em: 17 jun 2012. </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MURARO, R. M., BOFF, L. </w:t>
      </w:r>
      <w:r w:rsidRPr="00771368">
        <w:rPr>
          <w:b/>
        </w:rPr>
        <w:t>Feminino e masculino</w:t>
      </w:r>
      <w:r w:rsidRPr="00771368">
        <w:t>:</w:t>
      </w:r>
      <w:r w:rsidRPr="00771368">
        <w:rPr>
          <w:i/>
        </w:rPr>
        <w:t xml:space="preserve"> </w:t>
      </w:r>
      <w:r w:rsidRPr="00771368">
        <w:t>uma nova consciência para o encontro das diferenças. Rio de Janeiro: Sextante, 2002.</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NOLASCO, S. </w:t>
      </w:r>
      <w:r w:rsidRPr="00771368">
        <w:rPr>
          <w:b/>
        </w:rPr>
        <w:t>De Tarzan a Homer Simpson</w:t>
      </w:r>
      <w:r w:rsidRPr="00771368">
        <w:t>: banalização e violência masculina em sociedades contemporâneas ocidentais. Rio de Janeiro: Rocco, 2001.</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ORGANIZAÇÃO DOS ESTADOS AMERICANOS. Convenção Interamericana para Prevenir, Punir e Erradicar a Violência Contra a Mulher – </w:t>
      </w:r>
      <w:r w:rsidRPr="00771368">
        <w:rPr>
          <w:b/>
        </w:rPr>
        <w:t>“Convenção de Belém do Pará”</w:t>
      </w:r>
      <w:r w:rsidRPr="00771368">
        <w:t xml:space="preserve">: OEA, 1994. Disponível em: </w:t>
      </w:r>
      <w:hyperlink r:id="rId65" w:history="1">
        <w:r w:rsidRPr="00771368">
          <w:rPr>
            <w:rStyle w:val="Hyperlink"/>
          </w:rPr>
          <w:t>http://scm.oas.org/doc_public/PORTUGUESE/HIST_04/CP12951P04.doc</w:t>
        </w:r>
      </w:hyperlink>
      <w:r w:rsidRPr="00771368">
        <w:t>. Acesso em: jun 2012.</w:t>
      </w:r>
    </w:p>
    <w:p w:rsidR="00D24E61" w:rsidRPr="00771368" w:rsidRDefault="00D24E61" w:rsidP="00D24E61">
      <w:pPr>
        <w:jc w:val="both"/>
      </w:pPr>
    </w:p>
    <w:p w:rsidR="00D24E61" w:rsidRPr="00771368" w:rsidRDefault="00D24E61" w:rsidP="00D24E61">
      <w:pPr>
        <w:jc w:val="both"/>
      </w:pPr>
      <w:r w:rsidRPr="00771368">
        <w:t xml:space="preserve">RESENDE, V.M., RAMALHO, V. </w:t>
      </w:r>
      <w:r w:rsidRPr="00771368">
        <w:rPr>
          <w:b/>
        </w:rPr>
        <w:t>Análise do discurso crítica</w:t>
      </w:r>
      <w:r w:rsidRPr="00771368">
        <w:rPr>
          <w:i/>
        </w:rPr>
        <w:t>.</w:t>
      </w:r>
      <w:r w:rsidRPr="00771368">
        <w:t xml:space="preserve"> São Paulo: Contexto, 2009.</w:t>
      </w:r>
    </w:p>
    <w:p w:rsidR="00D24E61" w:rsidRPr="00771368" w:rsidRDefault="00D24E61" w:rsidP="00D24E61">
      <w:pPr>
        <w:jc w:val="both"/>
      </w:pPr>
    </w:p>
    <w:p w:rsidR="00D24E61" w:rsidRPr="00771368" w:rsidRDefault="00D24E61" w:rsidP="00D24E61">
      <w:pPr>
        <w:autoSpaceDE w:val="0"/>
        <w:autoSpaceDN w:val="0"/>
        <w:adjustRightInd w:val="0"/>
        <w:jc w:val="both"/>
      </w:pPr>
      <w:r w:rsidRPr="00771368">
        <w:t xml:space="preserve">SAFFIOTI, H. I. B. Rearticulando gênero e classe social. In: COSTA, A., BRUSCHINI, C. (Orgs.). </w:t>
      </w:r>
      <w:r w:rsidRPr="00771368">
        <w:rPr>
          <w:b/>
        </w:rPr>
        <w:t>Uma Questão de Gênero</w:t>
      </w:r>
      <w:r w:rsidRPr="00771368">
        <w:t>. Rio de Janeiro: Rosa dos Tempos, p. 182-215, 1992.</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________. </w:t>
      </w:r>
      <w:r w:rsidRPr="00771368">
        <w:rPr>
          <w:b/>
        </w:rPr>
        <w:t>Gênero, patriarcado, violência</w:t>
      </w:r>
      <w:r w:rsidRPr="00771368">
        <w:t>. 1ª ed. São Paulo: Fundação Perseu Abramo, 2004.</w:t>
      </w:r>
    </w:p>
    <w:p w:rsidR="00D24E61" w:rsidRPr="00771368" w:rsidRDefault="00D24E61" w:rsidP="00D24E61">
      <w:pPr>
        <w:autoSpaceDE w:val="0"/>
        <w:autoSpaceDN w:val="0"/>
        <w:adjustRightInd w:val="0"/>
        <w:jc w:val="both"/>
      </w:pPr>
    </w:p>
    <w:p w:rsidR="00D24E61" w:rsidRPr="00D61223" w:rsidRDefault="00D24E61" w:rsidP="00D24E61">
      <w:pPr>
        <w:autoSpaceDE w:val="0"/>
        <w:autoSpaceDN w:val="0"/>
        <w:adjustRightInd w:val="0"/>
        <w:jc w:val="both"/>
        <w:rPr>
          <w:lang w:val="en-US"/>
        </w:rPr>
      </w:pPr>
      <w:r w:rsidRPr="00771368">
        <w:t xml:space="preserve">________. Ontogênese e filogênese do gênero: ordem patriarcal de gênero e a violência masculina contra mulheres. </w:t>
      </w:r>
      <w:r w:rsidRPr="00771368">
        <w:rPr>
          <w:b/>
        </w:rPr>
        <w:t>Série Estudos e Ensaios/Ciências Sociais – Revista FLACSO-Brasil</w:t>
      </w:r>
      <w:r w:rsidRPr="00771368">
        <w:t>,</w:t>
      </w:r>
      <w:r w:rsidRPr="00771368">
        <w:rPr>
          <w:i/>
        </w:rPr>
        <w:t xml:space="preserve"> </w:t>
      </w:r>
      <w:r w:rsidRPr="00771368">
        <w:t xml:space="preserve">2009. Disponível em: </w:t>
      </w:r>
      <w:hyperlink r:id="rId66" w:history="1">
        <w:r w:rsidRPr="00771368">
          <w:rPr>
            <w:rStyle w:val="Hyperlink"/>
          </w:rPr>
          <w:t>http://www.flacso.org.br/portal/pdf/serie_estudos_ensaios/Heleieth_Saffioti.pdf</w:t>
        </w:r>
      </w:hyperlink>
      <w:r w:rsidRPr="00771368">
        <w:t xml:space="preserve">. </w:t>
      </w:r>
      <w:r w:rsidRPr="00D61223">
        <w:rPr>
          <w:lang w:val="en-US"/>
        </w:rPr>
        <w:t xml:space="preserve">Acesso em: 15 out 2012. </w:t>
      </w:r>
    </w:p>
    <w:p w:rsidR="00D24E61" w:rsidRPr="00D61223" w:rsidRDefault="00D24E61" w:rsidP="00D24E61">
      <w:pPr>
        <w:autoSpaceDE w:val="0"/>
        <w:autoSpaceDN w:val="0"/>
        <w:adjustRightInd w:val="0"/>
        <w:jc w:val="both"/>
        <w:rPr>
          <w:lang w:val="en-US"/>
        </w:rPr>
      </w:pPr>
    </w:p>
    <w:p w:rsidR="00D24E61" w:rsidRPr="00771368" w:rsidRDefault="00D24E61" w:rsidP="00D24E61">
      <w:pPr>
        <w:autoSpaceDE w:val="0"/>
        <w:autoSpaceDN w:val="0"/>
        <w:adjustRightInd w:val="0"/>
        <w:jc w:val="both"/>
        <w:rPr>
          <w:lang w:val="en-US"/>
        </w:rPr>
      </w:pPr>
      <w:r w:rsidRPr="00771368">
        <w:rPr>
          <w:lang w:val="en-US"/>
        </w:rPr>
        <w:t xml:space="preserve">SCOTT, J. </w:t>
      </w:r>
      <w:r w:rsidRPr="00771368">
        <w:rPr>
          <w:b/>
          <w:lang w:val="en-US"/>
        </w:rPr>
        <w:t>Gender and the politics of history</w:t>
      </w:r>
      <w:r w:rsidRPr="00771368">
        <w:rPr>
          <w:lang w:val="en-US"/>
        </w:rPr>
        <w:t>. New York: Columbia University Press, 1999.</w:t>
      </w:r>
    </w:p>
    <w:p w:rsidR="00D24E61" w:rsidRPr="00771368" w:rsidRDefault="00D24E61" w:rsidP="00D24E61">
      <w:pPr>
        <w:autoSpaceDE w:val="0"/>
        <w:autoSpaceDN w:val="0"/>
        <w:adjustRightInd w:val="0"/>
        <w:jc w:val="both"/>
        <w:rPr>
          <w:lang w:val="en-US"/>
        </w:rPr>
      </w:pPr>
    </w:p>
    <w:p w:rsidR="00D24E61" w:rsidRDefault="00D24E61" w:rsidP="00D24E61">
      <w:pPr>
        <w:autoSpaceDE w:val="0"/>
        <w:autoSpaceDN w:val="0"/>
        <w:adjustRightInd w:val="0"/>
        <w:jc w:val="both"/>
      </w:pPr>
      <w:r w:rsidRPr="00771368">
        <w:t xml:space="preserve">STREY, M.N., WINCK, G. E. A voz mais alta, mas na hora certa: a naturalização da violência de gênero enquanto recurso legitimado ao homem. </w:t>
      </w:r>
      <w:r w:rsidRPr="00771368">
        <w:rPr>
          <w:b/>
        </w:rPr>
        <w:t>Revista Artemis</w:t>
      </w:r>
      <w:r w:rsidRPr="00771368">
        <w:t xml:space="preserve">, v. 9, p.113-133, 2008. Disponível em: </w:t>
      </w:r>
      <w:hyperlink r:id="rId67" w:history="1">
        <w:r w:rsidRPr="00771368">
          <w:rPr>
            <w:rStyle w:val="Hyperlink"/>
          </w:rPr>
          <w:t>http://periodicos.ufpb.br/ojs/index.php/artemis/article/view/11815/6870</w:t>
        </w:r>
      </w:hyperlink>
      <w:r w:rsidRPr="00771368">
        <w:t>. Acesso em: 20 jun 2012.</w:t>
      </w:r>
    </w:p>
    <w:p w:rsidR="00677E6D" w:rsidRDefault="00677E6D" w:rsidP="00D24E61">
      <w:pPr>
        <w:autoSpaceDE w:val="0"/>
        <w:autoSpaceDN w:val="0"/>
        <w:adjustRightInd w:val="0"/>
        <w:jc w:val="both"/>
      </w:pPr>
    </w:p>
    <w:p w:rsidR="00677E6D" w:rsidRPr="00771368" w:rsidRDefault="00677E6D" w:rsidP="00D24E61">
      <w:pPr>
        <w:autoSpaceDE w:val="0"/>
        <w:autoSpaceDN w:val="0"/>
        <w:adjustRightInd w:val="0"/>
        <w:jc w:val="both"/>
      </w:pPr>
    </w:p>
    <w:p w:rsidR="00D24E61" w:rsidRPr="00771368" w:rsidRDefault="00013211" w:rsidP="00D24E61">
      <w:pPr>
        <w:spacing w:line="360" w:lineRule="auto"/>
        <w:jc w:val="center"/>
        <w:rPr>
          <w:b/>
        </w:rPr>
      </w:pPr>
      <w:r>
        <w:rPr>
          <w:b/>
          <w:noProof/>
        </w:rPr>
        <mc:AlternateContent>
          <mc:Choice Requires="wps">
            <w:drawing>
              <wp:anchor distT="0" distB="0" distL="114300" distR="114300" simplePos="0" relativeHeight="251605504" behindDoc="0" locked="0" layoutInCell="1" allowOverlap="1">
                <wp:simplePos x="0" y="0"/>
                <wp:positionH relativeFrom="column">
                  <wp:posOffset>5523230</wp:posOffset>
                </wp:positionH>
                <wp:positionV relativeFrom="paragraph">
                  <wp:posOffset>-456565</wp:posOffset>
                </wp:positionV>
                <wp:extent cx="365760" cy="396240"/>
                <wp:effectExtent l="8255" t="635" r="6985" b="3175"/>
                <wp:wrapNone/>
                <wp:docPr id="32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9624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434.9pt;margin-top:-35.95pt;width:28.8pt;height:31.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" stroked="f"/>
            </w:pict>
          </mc:Fallback>
        </mc:AlternateContent>
      </w:r>
      <w:r w:rsidR="00D24E61" w:rsidRPr="00771368">
        <w:rPr>
          <w:b/>
        </w:rPr>
        <w:t>A APLICAÇÃO DA LEI MARIA DA PENHA NOS MUNICÍPIOS DE SÃO GABRIEL E IRECÊ: UM OLHAR JURÍDICO E FEMINISTA ÀS MULHERES EM SITUAÇÃO DE VIOLÊNCIA DOMÉSTICA E FAMILIAR</w:t>
      </w:r>
    </w:p>
    <w:p w:rsidR="00D24E61" w:rsidRPr="00771368" w:rsidRDefault="00D24E61" w:rsidP="00D24E61">
      <w:pPr>
        <w:spacing w:line="276" w:lineRule="auto"/>
        <w:jc w:val="center"/>
        <w:rPr>
          <w:b/>
        </w:rPr>
      </w:pPr>
    </w:p>
    <w:p w:rsidR="00D24E61" w:rsidRPr="00771368" w:rsidRDefault="00D24E61" w:rsidP="00677E6D">
      <w:pPr>
        <w:pStyle w:val="Ttulo1"/>
      </w:pPr>
      <w:bookmarkStart w:id="31" w:name="_Toc442034726"/>
      <w:r w:rsidRPr="00771368">
        <w:t>Leonellea Pereira</w:t>
      </w:r>
      <w:bookmarkEnd w:id="31"/>
    </w:p>
    <w:p w:rsidR="00D24E61" w:rsidRPr="00771368" w:rsidRDefault="00D24E61" w:rsidP="00D24E61">
      <w:pPr>
        <w:spacing w:line="276" w:lineRule="auto"/>
        <w:jc w:val="right"/>
      </w:pPr>
      <w:r w:rsidRPr="00771368">
        <w:t>Universidade Federal da Bahia – UFBA</w:t>
      </w:r>
    </w:p>
    <w:p w:rsidR="00D24E61" w:rsidRPr="00771368" w:rsidRDefault="00D24E61" w:rsidP="00D24E61">
      <w:pPr>
        <w:spacing w:line="276" w:lineRule="auto"/>
        <w:jc w:val="right"/>
      </w:pPr>
      <w:r w:rsidRPr="00771368">
        <w:t>leonellea@hotmail.com</w:t>
      </w:r>
    </w:p>
    <w:p w:rsidR="00D24E61" w:rsidRPr="00771368" w:rsidRDefault="00D24E61" w:rsidP="00D24E61">
      <w:pPr>
        <w:spacing w:line="276" w:lineRule="auto"/>
        <w:jc w:val="right"/>
        <w:rPr>
          <w:sz w:val="16"/>
          <w:szCs w:val="16"/>
        </w:rPr>
      </w:pPr>
    </w:p>
    <w:p w:rsidR="00D24E61" w:rsidRPr="00D61223" w:rsidRDefault="00D24E61" w:rsidP="00D24E61">
      <w:pPr>
        <w:pStyle w:val="Noparagraphstyle"/>
        <w:rPr>
          <w:b/>
          <w:lang w:val="pt-BR"/>
        </w:rPr>
      </w:pPr>
    </w:p>
    <w:p w:rsidR="00D24E61" w:rsidRPr="00D61223" w:rsidRDefault="00D24E61" w:rsidP="00D24E61">
      <w:pPr>
        <w:pStyle w:val="Noparagraphstyle"/>
        <w:rPr>
          <w:b/>
          <w:lang w:val="pt-BR"/>
        </w:rPr>
      </w:pPr>
      <w:r w:rsidRPr="00D61223">
        <w:rPr>
          <w:b/>
          <w:lang w:val="pt-BR"/>
        </w:rPr>
        <w:t>1. INTRODUÇÃO</w:t>
      </w:r>
    </w:p>
    <w:p w:rsidR="00D24E61" w:rsidRPr="00771368" w:rsidRDefault="00D24E61" w:rsidP="00D24E61">
      <w:pPr>
        <w:spacing w:line="360" w:lineRule="auto"/>
        <w:jc w:val="center"/>
        <w:rPr>
          <w:sz w:val="16"/>
          <w:szCs w:val="16"/>
        </w:rPr>
      </w:pPr>
    </w:p>
    <w:p w:rsidR="00D24E61" w:rsidRPr="00771368" w:rsidRDefault="00D24E61" w:rsidP="00D24E61">
      <w:pPr>
        <w:spacing w:line="360" w:lineRule="auto"/>
        <w:jc w:val="center"/>
        <w:rPr>
          <w:sz w:val="16"/>
          <w:szCs w:val="16"/>
        </w:rPr>
      </w:pP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A violência de gênero encontra sua nascente na construção sociocultural de papéis quase sempre estereotipados acerca do ser feminino e do ser masculino. Trabalhar esse fenômeno implica desfazer mitos e preconceitos difundidos durante séculos. Para tanto, é preciso uma nova linguagem e redefinição desses papéis construídos de forma estigmatizada e sedimentados ao longo dos tempos.</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A violência doméstica e familiar é um problema que atinge mulheres, crianças, adolescentes e idosas em todo o mundo. Apesar de ser um problema antigo, apenas recentemente, após a publicação da Lei nº 11.340/2006 passou a interessar, de fato, os profissionais do Direito no país. Decorre da desigualdade nas relações de poder entre homens e mulheres, bem como da discriminação de gênero ainda presente tanto na sociedade como na família.</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Embora os direitos fundamentais possuam caráter universal, as mulheres ainda são um grupo vulnerável a todas as formas de violência. Os meios de comunicação denunciam diariamente agressões, ameaças, espancamentos e assassinatos praticados no ambiente familiar. As estatísticas provam que as mulheres são alvo permanente de agressões físicas e morais tanto no espaço público quanto no privado, em virtude, principalmente, do preconceito e da discriminação.</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Por essa razão, os constitucionalistas têm tratado o direito das mulheres como uma especialização dos direitos humanos fundamentais. Tal postura se justifica pela constatação empírica de que as mulheres se encontram em situação de hipossuficiência nas relações sociais e políticas.</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Nossa expectativa é poder contribuir com o estudo deste fenômeno social tão danoso para a vida das mulheres em tantas cidades do nosso país. Enfrentar a violência doméstica é dever de todos nós, pois se trata de problema de interesse público, que não deve ficar escondido na privacidade das suas casas.</w:t>
      </w:r>
    </w:p>
    <w:p w:rsidR="00D24E61" w:rsidRPr="00771368" w:rsidRDefault="00D24E61" w:rsidP="00D24E61">
      <w:pPr>
        <w:pStyle w:val="Cabealho"/>
        <w:rPr>
          <w:rFonts w:ascii="Times New Roman" w:hAnsi="Times New Roman"/>
          <w:b/>
        </w:rPr>
      </w:pPr>
    </w:p>
    <w:p w:rsidR="00D24E61" w:rsidRPr="00771368" w:rsidRDefault="00D24E61" w:rsidP="00D24E61">
      <w:pPr>
        <w:pStyle w:val="Cabealho"/>
        <w:rPr>
          <w:rFonts w:ascii="Times New Roman" w:hAnsi="Times New Roman"/>
          <w:b/>
        </w:rPr>
      </w:pPr>
    </w:p>
    <w:p w:rsidR="00D24E61" w:rsidRPr="00771368" w:rsidRDefault="00D24E61" w:rsidP="00D24E61">
      <w:pPr>
        <w:pStyle w:val="Cabealho"/>
        <w:rPr>
          <w:rFonts w:ascii="Times New Roman" w:hAnsi="Times New Roman"/>
          <w:b/>
        </w:rPr>
      </w:pPr>
      <w:r w:rsidRPr="00771368">
        <w:rPr>
          <w:rFonts w:ascii="Times New Roman" w:hAnsi="Times New Roman"/>
          <w:b/>
        </w:rPr>
        <w:t>2. METODOLOGIA</w:t>
      </w:r>
    </w:p>
    <w:p w:rsidR="00D24E61" w:rsidRPr="00771368" w:rsidRDefault="00D24E61" w:rsidP="00D24E61">
      <w:pPr>
        <w:pStyle w:val="Cabealho"/>
        <w:spacing w:line="360" w:lineRule="auto"/>
        <w:rPr>
          <w:rFonts w:ascii="Times New Roman" w:hAnsi="Times New Roman"/>
          <w:b/>
        </w:rPr>
      </w:pPr>
    </w:p>
    <w:p w:rsidR="00D24E61" w:rsidRPr="00677E6D" w:rsidRDefault="00D24E61" w:rsidP="00D24E61">
      <w:pPr>
        <w:spacing w:line="360" w:lineRule="auto"/>
        <w:ind w:firstLine="709"/>
        <w:jc w:val="both"/>
        <w:rPr>
          <w:color w:val="000000"/>
          <w:sz w:val="24"/>
        </w:rPr>
      </w:pPr>
      <w:r w:rsidRPr="00677E6D">
        <w:rPr>
          <w:sz w:val="24"/>
        </w:rPr>
        <w:t>Foi utilizada a pesquisa exploratória e a pesquisa descritiva quanto aos objetivos e a pesquisa de levantamento quanto aos procedimentos técnicos. A pesquisa exploratória, segundo Gil (1999, p. 43) visa proporcionar uma visão geral de um determinado fato, do tipo aproximativo, ajudando o pesquisador a se familiarizar com o problema pesquisado através do levantamento bibliográfico, entrevistas, observações, análise de casos concretos, servindo de alicerce para pesquisas futuras, mais aprofundadas.  Já a pesquisa descritiva se caracteriza pela descrição das características de determinados fenômenos e populações, conforme se vê no trecho transcrito a seguir:</w:t>
      </w:r>
      <w:r w:rsidRPr="00677E6D">
        <w:rPr>
          <w:color w:val="000000"/>
          <w:sz w:val="24"/>
        </w:rPr>
        <w:t xml:space="preserve"> </w:t>
      </w:r>
    </w:p>
    <w:p w:rsidR="00D24E61" w:rsidRPr="00771368" w:rsidRDefault="00D24E61" w:rsidP="00D24E61">
      <w:pPr>
        <w:spacing w:line="360" w:lineRule="auto"/>
        <w:ind w:firstLine="1134"/>
        <w:jc w:val="both"/>
        <w:rPr>
          <w:color w:val="000000"/>
        </w:rPr>
      </w:pPr>
    </w:p>
    <w:p w:rsidR="00D24E61" w:rsidRPr="00771368" w:rsidRDefault="00D24E61" w:rsidP="00D24E61">
      <w:pPr>
        <w:ind w:left="2268"/>
        <w:jc w:val="both"/>
        <w:rPr>
          <w:color w:val="000000"/>
          <w:sz w:val="20"/>
          <w:szCs w:val="20"/>
        </w:rPr>
      </w:pPr>
      <w:r w:rsidRPr="00771368">
        <w:rPr>
          <w:color w:val="000000"/>
          <w:sz w:val="20"/>
          <w:szCs w:val="20"/>
        </w:rPr>
        <w:t>As pesquisas descritivas caracterizam-se frequentemente como estudos que procuram determinar status, opiniões ou projeções futuras nas respostas obtidas. A sua valorização está baseada na premissa que os problemas podem ser resolvidos e as práticas podem ser melhoradas através de descrição e análise de observações objetivas e diretas (UFPR, 2010, p. 02).</w:t>
      </w:r>
    </w:p>
    <w:p w:rsidR="00D24E61" w:rsidRPr="00771368" w:rsidRDefault="00D24E61" w:rsidP="00D24E61">
      <w:pPr>
        <w:spacing w:line="360" w:lineRule="auto"/>
        <w:ind w:firstLine="720"/>
        <w:jc w:val="both"/>
        <w:rPr>
          <w:color w:val="000000"/>
        </w:rPr>
      </w:pPr>
    </w:p>
    <w:p w:rsidR="00D24E61" w:rsidRPr="00677E6D" w:rsidRDefault="00D24E61" w:rsidP="00D24E61">
      <w:pPr>
        <w:spacing w:line="360" w:lineRule="auto"/>
        <w:ind w:firstLine="709"/>
        <w:jc w:val="both"/>
        <w:rPr>
          <w:color w:val="000000"/>
          <w:sz w:val="24"/>
        </w:rPr>
      </w:pPr>
      <w:r w:rsidRPr="00677E6D">
        <w:rPr>
          <w:color w:val="000000"/>
          <w:sz w:val="24"/>
        </w:rPr>
        <w:t xml:space="preserve">De outro modo, a pesquisa de levantamento é caracterizada pela busca de informações de um determinado grupo acerca do problema estudado, objetivando determinar informações sobre práticas ou opiniões de uma população específica (UFPR, 2010, p. 02). </w:t>
      </w:r>
    </w:p>
    <w:p w:rsidR="00D24E61" w:rsidRPr="00677E6D" w:rsidRDefault="00D24E61" w:rsidP="00D24E61">
      <w:pPr>
        <w:spacing w:line="360" w:lineRule="auto"/>
        <w:ind w:firstLine="709"/>
        <w:jc w:val="both"/>
        <w:rPr>
          <w:sz w:val="24"/>
        </w:rPr>
      </w:pPr>
      <w:r w:rsidRPr="00677E6D">
        <w:rPr>
          <w:sz w:val="24"/>
        </w:rPr>
        <w:t xml:space="preserve">Diante da classificação exposta, esta pesquisa tem o objetivo de verificar se a aplicação da Lei Maria da Penha no município de Irecê tem alcançado os objetivos primados por este diploma legal. A partir dos dados colhidos, fazermos o confronto com os aspectos teóricos estudados.  </w:t>
      </w:r>
    </w:p>
    <w:p w:rsidR="00D24E61" w:rsidRPr="00677E6D" w:rsidRDefault="00D24E61" w:rsidP="00D24E61">
      <w:pPr>
        <w:spacing w:line="360" w:lineRule="auto"/>
        <w:ind w:firstLine="709"/>
        <w:jc w:val="both"/>
        <w:rPr>
          <w:sz w:val="24"/>
        </w:rPr>
      </w:pPr>
      <w:r w:rsidRPr="00677E6D">
        <w:rPr>
          <w:sz w:val="24"/>
        </w:rPr>
        <w:t xml:space="preserve">Na primeira parte da pesquisa, utilizamos da estratégia bibliográfica, onde fizemos análise em livros, artigos científicos e revistas, buscando analisar o histórico da violência doméstica e familiar contra a mulher, sua conceituação, formas de manifestação, mecanismos nacionais e internacionais para coibir a sua prática e o estágio atual da sociedade brasileira quanto ao enfrentamento de todas as formas de violência contra as mulheres. </w:t>
      </w:r>
    </w:p>
    <w:p w:rsidR="00D24E61" w:rsidRPr="00677E6D" w:rsidRDefault="00D24E61" w:rsidP="00D24E61">
      <w:pPr>
        <w:spacing w:line="360" w:lineRule="auto"/>
        <w:ind w:firstLine="709"/>
        <w:jc w:val="both"/>
        <w:rPr>
          <w:sz w:val="24"/>
        </w:rPr>
      </w:pPr>
      <w:r w:rsidRPr="00677E6D">
        <w:rPr>
          <w:sz w:val="24"/>
        </w:rPr>
        <w:t>Em seguida, utilizamos da estratégia empírica, por meio da análise de dados coletados junto às delegacias de polícia civil e varas criminais das comarcas dos municípios de Irecê e São Gabriel, além das informações contidas nas fichas cadastrais dos atendimentos realizados pelo Centro de Referência da Mulher Ana Joaquina de Castro Dourado, equipamento de atendimento de mulheres vítimas de violência doméstica e familiar dos 20 municípios do Território de Irecê.</w:t>
      </w:r>
    </w:p>
    <w:p w:rsidR="00D24E61" w:rsidRPr="00771368" w:rsidRDefault="00D24E61" w:rsidP="00D24E61">
      <w:pPr>
        <w:pStyle w:val="Cabealho"/>
        <w:rPr>
          <w:rFonts w:ascii="Times New Roman" w:hAnsi="Times New Roman"/>
          <w:b/>
        </w:rPr>
      </w:pPr>
    </w:p>
    <w:p w:rsidR="00D24E61" w:rsidRPr="00771368" w:rsidRDefault="00D24E61" w:rsidP="00D24E61">
      <w:pPr>
        <w:pStyle w:val="Cabealho"/>
        <w:rPr>
          <w:rFonts w:ascii="Times New Roman" w:hAnsi="Times New Roman"/>
          <w:b/>
        </w:rPr>
      </w:pPr>
    </w:p>
    <w:p w:rsidR="00D24E61" w:rsidRPr="00771368" w:rsidRDefault="00D24E61" w:rsidP="00D24E61">
      <w:pPr>
        <w:pStyle w:val="Cabealho"/>
        <w:rPr>
          <w:rFonts w:ascii="Times New Roman" w:hAnsi="Times New Roman"/>
          <w:b/>
        </w:rPr>
      </w:pPr>
      <w:r w:rsidRPr="00771368">
        <w:rPr>
          <w:rFonts w:ascii="Times New Roman" w:hAnsi="Times New Roman"/>
          <w:b/>
        </w:rPr>
        <w:t>3</w:t>
      </w:r>
      <w:r w:rsidR="00677E6D">
        <w:rPr>
          <w:rFonts w:ascii="Times New Roman" w:hAnsi="Times New Roman"/>
          <w:b/>
        </w:rPr>
        <w:t>.</w:t>
      </w:r>
      <w:r w:rsidRPr="00771368">
        <w:rPr>
          <w:rFonts w:ascii="Times New Roman" w:hAnsi="Times New Roman"/>
          <w:b/>
        </w:rPr>
        <w:t xml:space="preserve"> DISCUSSÃO E RESULTADOS</w:t>
      </w:r>
    </w:p>
    <w:p w:rsidR="00D24E61" w:rsidRPr="00771368" w:rsidRDefault="00D24E61" w:rsidP="00D24E61">
      <w:pPr>
        <w:autoSpaceDE w:val="0"/>
        <w:autoSpaceDN w:val="0"/>
        <w:adjustRightInd w:val="0"/>
        <w:spacing w:line="360" w:lineRule="auto"/>
        <w:jc w:val="both"/>
      </w:pPr>
    </w:p>
    <w:p w:rsidR="00D24E61" w:rsidRPr="00771368" w:rsidRDefault="00D24E61" w:rsidP="00D24E61">
      <w:pPr>
        <w:pStyle w:val="western"/>
        <w:spacing w:before="0" w:beforeAutospacing="0" w:after="0" w:line="360" w:lineRule="auto"/>
        <w:ind w:firstLine="709"/>
        <w:jc w:val="both"/>
      </w:pPr>
      <w:r w:rsidRPr="00771368">
        <w:t>As condutas que caracterizam a violência doméstica e familiar contra a mulher são por demais antigas. Mas apenas no século XX este assunto ganhou força suficiente para ser tratado com seriedade por pesquisadores das mais diversas áreas do conhecimento.</w:t>
      </w:r>
    </w:p>
    <w:p w:rsidR="00D24E61" w:rsidRPr="00771368" w:rsidRDefault="00D24E61" w:rsidP="00D24E61">
      <w:pPr>
        <w:pStyle w:val="western"/>
        <w:spacing w:before="0" w:beforeAutospacing="0" w:after="0" w:line="360" w:lineRule="auto"/>
        <w:ind w:firstLine="709"/>
        <w:jc w:val="both"/>
      </w:pPr>
      <w:r w:rsidRPr="00771368">
        <w:t>A partir da Declaração Universal dos Direitos Humanos de 1948, começa a desenvolver-se o Direito Internacional dos Direitos Humanos, mediante a adoção de inúmeros tratados internacionais voltados à proteção dos direitos e liberdades fundamentais. Forma-se um sistema normativo global de proteção dos direitos humanos fundamentais, no âmbito das Nações Unidas.</w:t>
      </w:r>
    </w:p>
    <w:p w:rsidR="00D24E61" w:rsidRPr="00771368" w:rsidRDefault="00D24E61" w:rsidP="00D24E61">
      <w:pPr>
        <w:pStyle w:val="western"/>
        <w:spacing w:before="0" w:beforeAutospacing="0" w:after="0" w:line="360" w:lineRule="auto"/>
        <w:ind w:firstLine="709"/>
        <w:jc w:val="both"/>
      </w:pPr>
      <w:r w:rsidRPr="00771368">
        <w:t>No conjunto da legislação, estudaremos o diploma legal que é fruto da luta do movimento de mulheres no Brasil: a Lei 11.340/06, a Lei Maria da Penha. Esta lei apresenta uma estrutura adequada e específica para atender a complexidade do fenômeno da violência doméstica contra a mulher ao prever mecanismos de prevenção, assistência às vítimas, políticas públicas e punição mais rigorosa para os agressores.</w:t>
      </w:r>
    </w:p>
    <w:p w:rsidR="00D24E61" w:rsidRPr="00771368" w:rsidRDefault="00D24E61" w:rsidP="00D24E61">
      <w:pPr>
        <w:pStyle w:val="western"/>
        <w:spacing w:before="0" w:beforeAutospacing="0" w:after="0" w:line="360" w:lineRule="auto"/>
        <w:ind w:firstLine="709"/>
        <w:jc w:val="both"/>
      </w:pPr>
      <w:r w:rsidRPr="00771368">
        <w:t>Tudo isso será de suma importância para o tratamento dos dados coletados junto às Delegacias de Polícia Civil e Varas Criminais das Comarcas de Irecê e São Gabriel e do Centro de Referência da Mulher Ana Joaquina de Castro Dourado, que atende vítimas de violência dessas duas cidades, além de outras 18 que compõem o Território de Identidade de Irecê.</w:t>
      </w:r>
    </w:p>
    <w:p w:rsidR="00D24E61" w:rsidRPr="00771368" w:rsidRDefault="00D24E61" w:rsidP="00D24E61">
      <w:pPr>
        <w:pStyle w:val="Cabealho"/>
        <w:spacing w:line="360" w:lineRule="auto"/>
        <w:ind w:firstLine="709"/>
        <w:rPr>
          <w:rFonts w:ascii="Times New Roman" w:hAnsi="Times New Roman"/>
          <w:b/>
        </w:rPr>
      </w:pPr>
    </w:p>
    <w:p w:rsidR="00D24E61" w:rsidRPr="00771368" w:rsidRDefault="00D24E61" w:rsidP="00D24E61">
      <w:pPr>
        <w:pStyle w:val="Cabealho"/>
        <w:spacing w:line="360" w:lineRule="auto"/>
        <w:rPr>
          <w:rFonts w:ascii="Times New Roman" w:hAnsi="Times New Roman"/>
          <w:b/>
        </w:rPr>
      </w:pPr>
      <w:r w:rsidRPr="00771368">
        <w:rPr>
          <w:rFonts w:ascii="Times New Roman" w:hAnsi="Times New Roman"/>
          <w:b/>
        </w:rPr>
        <w:t>3.1. A luta no enfrentamento a todas as formas de violência contra as mulheres</w:t>
      </w:r>
    </w:p>
    <w:p w:rsidR="00D24E61" w:rsidRPr="00771368" w:rsidRDefault="00D24E61" w:rsidP="00D24E61">
      <w:pPr>
        <w:pStyle w:val="Cabealho"/>
        <w:spacing w:line="360" w:lineRule="auto"/>
        <w:rPr>
          <w:rFonts w:ascii="Times New Roman" w:hAnsi="Times New Roman"/>
        </w:rPr>
      </w:pPr>
    </w:p>
    <w:p w:rsidR="00D24E61" w:rsidRPr="00771368" w:rsidRDefault="00D24E61" w:rsidP="00D24E61">
      <w:pPr>
        <w:pStyle w:val="western"/>
        <w:spacing w:before="0" w:beforeAutospacing="0" w:after="0" w:line="360" w:lineRule="auto"/>
        <w:ind w:firstLine="709"/>
        <w:jc w:val="both"/>
      </w:pPr>
      <w:r w:rsidRPr="00771368">
        <w:t>São inegáveis as conquistas sociais das mulheres brasileiras nas últimas décadas e a redução de algumas desigualdades de gênero. No entanto, a violência contra as mulheres ainda é uma questão social grave e com consequências diretas na vida social, na saúde mental, sexual e reprodutiva. No Brasil e em vários outros países latino-americanos, a violência contra as mulheres não é somente praticada, mas muitas vezes também legitimada por parte da sociedade em “nome da honra”, principalmente quando envolve suspeita de infidelidade conjugal dela. A forma mais comum de violência contra as mulhe</w:t>
      </w:r>
      <w:r w:rsidRPr="00771368">
        <w:softHyphen/>
        <w:t>res é o abuso cometido pelo companheiro</w:t>
      </w:r>
      <w:r w:rsidRPr="00771368">
        <w:rPr>
          <w:rStyle w:val="Refdenotaderodap"/>
        </w:rPr>
        <w:footnoteReference w:id="16"/>
      </w:r>
      <w:r w:rsidRPr="00771368">
        <w:t>, que envolve desde agressão psicológica e/ou física até relação sexual forçada. O cenário mais real da violência doméstica ainda não é conhecido, pois a agressão, na maioria das vezes, não é denunciada às autoridades, e a mulher bus</w:t>
      </w:r>
      <w:r w:rsidRPr="00771368">
        <w:softHyphen/>
        <w:t xml:space="preserve">ca ajuda com amigas ou dentro da família, quando não silencia totalmente. </w:t>
      </w:r>
    </w:p>
    <w:p w:rsidR="00D24E61" w:rsidRPr="00771368" w:rsidRDefault="00D24E61" w:rsidP="00D24E61">
      <w:pPr>
        <w:pStyle w:val="western"/>
        <w:spacing w:before="0" w:beforeAutospacing="0" w:after="0" w:line="360" w:lineRule="auto"/>
        <w:ind w:firstLine="709"/>
        <w:jc w:val="both"/>
      </w:pPr>
      <w:r w:rsidRPr="00771368">
        <w:t>Em todo o mundo, não tem sido fácil a luta dos que se propõem a enfrentar a violência contra as mulheres. Bate-se de frente com paradigmas sociais e culturais que muitos não ousaram questionar em outras épocas. Por isso, tem sido uma batalha árdua e aos poucos esse debate se encampa em diversos setores da sociedade e vai ganhando forças.</w:t>
      </w:r>
    </w:p>
    <w:p w:rsidR="00D24E61" w:rsidRPr="00771368" w:rsidRDefault="00D24E61" w:rsidP="00D24E61">
      <w:pPr>
        <w:pStyle w:val="western"/>
        <w:spacing w:before="0" w:beforeAutospacing="0" w:after="0" w:line="360" w:lineRule="auto"/>
        <w:ind w:firstLine="709"/>
        <w:jc w:val="both"/>
      </w:pPr>
      <w:r w:rsidRPr="00771368">
        <w:t>Um exemplo simples para ilustrarmos a situação de que muitos nem sequer compreendem os porquês desta luta é quando falamos no Dia Internacional da Mulher, celebrado em vários países a cada 08 de março. É uma data explorada pelo comércio para vender presentes, “parabenizar” a mulher pelo seu dia. O 8 de março é uma data internacionalmente ligada à luta das mulheres por igualdade e melhores condições de trabalho. É uma batalha antiga que no decorrer dos anos vem ganhando mais adeptas para fortalecer esta luta. Seu significado está longe de ter alguma relação com a distribuição de presentes, isso é apenas uma faceta do patriarcalismo para “amansar” aquelas que reclamam seus direitos violados nos outros 364 dias do ano.</w:t>
      </w:r>
    </w:p>
    <w:p w:rsidR="00D24E61" w:rsidRPr="00771368" w:rsidRDefault="00D24E61" w:rsidP="00D24E61">
      <w:pPr>
        <w:shd w:val="clear" w:color="auto" w:fill="FFFFFF"/>
        <w:spacing w:line="360" w:lineRule="auto"/>
        <w:ind w:firstLine="709"/>
        <w:jc w:val="both"/>
      </w:pPr>
      <w:r w:rsidRPr="00771368">
        <w:t>Além disso, não se menciona na maioria dos livros de história a participação das mulheres em eventos importantes. Por exemplo, não se estuda na escola que as mulheres tiveram participação significativa na Revolução Francesa de 1789, reivindicando, dentre outras pautas, a participação feminina nos espaços de poder e decisão, o fim da prostituição e o acesso à escola e ao trabalho. Neste contexto, não se pode esquecer a escritora Olympe de Gouges, que em 1791 lançou a “Declaração dos Direitos da Cidadã”. Este livro causou polêmica na França e levou a autora a ser condenada à guilhotina em 1793, por “ter querido ser um homem de estado e ter esquecido as virtudes próprias do seu sexo”. Seus escritos são importantes referências para os estudos sobre mulheres, gênero e feminismo. (LOPES, 2009)</w:t>
      </w:r>
    </w:p>
    <w:p w:rsidR="00D24E61" w:rsidRPr="00771368" w:rsidRDefault="00D24E61" w:rsidP="00D24E61">
      <w:pPr>
        <w:shd w:val="clear" w:color="auto" w:fill="FFFFFF"/>
        <w:spacing w:line="360" w:lineRule="auto"/>
        <w:ind w:firstLine="709"/>
        <w:jc w:val="both"/>
      </w:pPr>
      <w:r w:rsidRPr="00771368">
        <w:t>Mais à frente, com as transformações sociais em torno da Revolução Industrial, outras reivindicações foram agregadas à pauta desta luta. As mulheres foram incluídas no mercado de trabalho, mas em vez de terem condições semelhantes às dos homens, tinham cargas horárias de até 17 horas diárias, recebiam salários menores que os dos homens, além das condições insalubres a que eram expostas, da violência e do assédio sexual por parte de operários e patrões.</w:t>
      </w:r>
    </w:p>
    <w:p w:rsidR="00D24E61" w:rsidRPr="00771368" w:rsidRDefault="00D24E61" w:rsidP="00D24E61">
      <w:pPr>
        <w:shd w:val="clear" w:color="auto" w:fill="FFFFFF"/>
        <w:spacing w:line="360" w:lineRule="auto"/>
        <w:ind w:firstLine="709"/>
        <w:jc w:val="both"/>
      </w:pPr>
      <w:r w:rsidRPr="00771368">
        <w:t xml:space="preserve">Lutando pela redução das jornadas de trabalho, em 8 de março de 1857 ocorreu a primeira greve estadunidense conduzida exclusivamente por mulheres. As 129 tecelãs que participavam da manifestação foram violentamente refreadas pela polícia. Refugiando-se da repressão da polícia e dos patrões, as operárias abrigaram-se na própria fábrica, que foi trancada e incendiada. Sem qualquer chance de se livrarem das chamas, morreram asfixiadas e carbonizadas. </w:t>
      </w:r>
    </w:p>
    <w:p w:rsidR="00D24E61" w:rsidRPr="00771368" w:rsidRDefault="00D24E61" w:rsidP="00D24E61">
      <w:pPr>
        <w:shd w:val="clear" w:color="auto" w:fill="FFFFFF"/>
        <w:spacing w:line="360" w:lineRule="auto"/>
        <w:ind w:firstLine="709"/>
        <w:jc w:val="both"/>
      </w:pPr>
      <w:r w:rsidRPr="00771368">
        <w:t>Por conta deste massacre, a jornalista alemã Clara Zetkin propôs durante a II Conferência Internacional de Mulheres ocorrida em 1910 na Dinamarca que o dia 8 de março fosse então declarado como o Dia Internacional da Mulher. A partir daí a data passou a ser celebrada em todo o mundo como um dia para a reflexão sobre a luta das mulheres por melhores condições de vida e trabalho (CAVALCANTI, 2012).</w:t>
      </w:r>
    </w:p>
    <w:p w:rsidR="00D24E61" w:rsidRPr="00771368" w:rsidRDefault="00D24E61" w:rsidP="00D24E61">
      <w:pPr>
        <w:shd w:val="clear" w:color="auto" w:fill="FFFFFF"/>
        <w:spacing w:line="360" w:lineRule="auto"/>
        <w:ind w:firstLine="709"/>
        <w:jc w:val="both"/>
      </w:pPr>
      <w:r w:rsidRPr="00771368">
        <w:t>Nos anos 1960, a luta do feminismo se fortaleceu em todo o mundo. Por essa e outras razões, em 1975, a Organização das Nações Unidas oficializou 8 de março como o Dia Internacional da Mulher e passou a promover ações direcionadas a esta temática. Em 2010, a luta ganhou mais força com a criação da ONU Mulheres, Entidade das Nações Unidas para a Igualdade de Gênero e o Empoderamento das Mulheres.</w:t>
      </w:r>
    </w:p>
    <w:p w:rsidR="00D24E61" w:rsidRPr="00771368" w:rsidRDefault="00D24E61" w:rsidP="00D24E61">
      <w:pPr>
        <w:shd w:val="clear" w:color="auto" w:fill="FFFFFF"/>
        <w:spacing w:line="360" w:lineRule="auto"/>
        <w:ind w:firstLine="709"/>
        <w:jc w:val="both"/>
      </w:pPr>
      <w:r w:rsidRPr="00771368">
        <w:t xml:space="preserve">No Brasil, o debate acerca do enfrentamento à violência contra as mulheres sempre foi sustentado pelo movimento de mulheres. Esta luta foi fortalecida a partir da criação, em 2003, da Secretaria Especial de Políticas para Mulheres da Presidência da República, com status de Ministério. Compete à SPM/PR assessorar direta e imediatamente a Presidente da República na formulação, coordenação e articulação de políticas para as mulheres, bem como elaborar e implementar campanhas educativas e antidiscriminatórias de caráter nacional, elaborar o planejamento de gênero que contribua na ação do governo federal e demais esferas de governo, com vistas à promoção da igualdade, articular, promover e executar programas de cooperação com organismos nacionais e internacionais públicos e privados, voltados à implementação de políticas para as mulheres, promover o acompanhamento da implementação da legislação de ação afirmativa e definição de ações públicas que visem ao cumprimento dos acordos, convenções e planos de ação assinados pelo Brasil, nos aspectos relativos à igualdade entre mulheres e homens e de combate à discriminação (BRASIL, 2003). </w:t>
      </w:r>
    </w:p>
    <w:p w:rsidR="00D24E61" w:rsidRPr="00771368" w:rsidRDefault="00D24E61" w:rsidP="00D24E61">
      <w:pPr>
        <w:pStyle w:val="NormalWeb"/>
        <w:shd w:val="clear" w:color="auto" w:fill="FFFFFF"/>
        <w:spacing w:before="0" w:beforeAutospacing="0" w:after="0" w:afterAutospacing="0" w:line="360" w:lineRule="auto"/>
        <w:ind w:firstLine="709"/>
        <w:jc w:val="both"/>
      </w:pPr>
      <w:r w:rsidRPr="00771368">
        <w:t>No Estado da Bahia, onde se localizam os dois municípios pesquisados, o Governo do Estado, atendendo à justa reivindicação da luta feminista e dos movimentos de mulheres, criou em maio de 2011, a Secretaria de Políticas para as Mulheres (SPM/BA), através da Lei nº 12.212.  Inquestionavelmente, essa é uma vitória das mulheres da Bahia e um importante passo na consolidação da democracia. Promover políticas públicas específicas para as mulheres significa reduzir, de fato, as desigualdades que, historicamente, atingem mais da metade da população. Trata-se, portanto, de iniciar o processo reparatório que levará à efetiva justiça social, contemplando, no caso das mulheres, 52% da população baiana. (BAHIA, 2011)</w:t>
      </w:r>
    </w:p>
    <w:p w:rsidR="00D24E61" w:rsidRPr="00771368" w:rsidRDefault="00D24E61" w:rsidP="00D24E61">
      <w:pPr>
        <w:pStyle w:val="NormalWeb"/>
        <w:shd w:val="clear" w:color="auto" w:fill="FFFFFF"/>
        <w:spacing w:before="0" w:beforeAutospacing="0" w:after="0" w:afterAutospacing="0" w:line="360" w:lineRule="auto"/>
        <w:ind w:firstLine="709"/>
        <w:jc w:val="both"/>
        <w:rPr>
          <w:color w:val="000000"/>
          <w:shd w:val="clear" w:color="auto" w:fill="FFFFFF"/>
        </w:rPr>
      </w:pPr>
      <w:r w:rsidRPr="00771368">
        <w:t>A Secretaria de Políticas para Mulheres do Estado da Bahia tem como missão e</w:t>
      </w:r>
      <w:r w:rsidRPr="00771368">
        <w:rPr>
          <w:color w:val="000000"/>
          <w:shd w:val="clear" w:color="auto" w:fill="FFFFFF"/>
        </w:rPr>
        <w:t>laborar, propor, articular e executar políticas públicas para todas as mulheres, respeitando suas diferenças com prioridade para as mulheres em situação de pobreza e/ou vulnerabilidade social em todo o Estado da Bahia. Seus eixos prioritários são a prevenção e enfrentamento da violência contra as mulheres e a promoção da autonomia das mulheres.</w:t>
      </w:r>
    </w:p>
    <w:p w:rsidR="00D24E61" w:rsidRPr="00771368" w:rsidRDefault="00D24E61" w:rsidP="00D24E61">
      <w:pPr>
        <w:pStyle w:val="NormalWeb"/>
        <w:shd w:val="clear" w:color="auto" w:fill="FFFFFF"/>
        <w:spacing w:before="0" w:beforeAutospacing="0" w:after="0" w:afterAutospacing="0" w:line="360" w:lineRule="auto"/>
        <w:ind w:firstLine="709"/>
        <w:jc w:val="both"/>
        <w:rPr>
          <w:b/>
        </w:rPr>
      </w:pPr>
      <w:r w:rsidRPr="00771368">
        <w:rPr>
          <w:color w:val="000000"/>
          <w:shd w:val="clear" w:color="auto" w:fill="FFFFFF"/>
        </w:rPr>
        <w:t>Então, com os dados expostos, vemos que a parceria entre a sociedade civil e os aparatos estatais é fundamental para que a luta pelo enfrentamento à violência contra as mulheres se fortaleça dia a dia. Tentar mudar concepções tão incrustadas na cultura de uma sociedade não é tarefa fácil, por isso não se pode desanimar diante dos desafios.</w:t>
      </w:r>
    </w:p>
    <w:p w:rsidR="00D24E61" w:rsidRPr="00771368" w:rsidRDefault="00D24E61" w:rsidP="00D24E61">
      <w:pPr>
        <w:pStyle w:val="Cabealho"/>
        <w:spacing w:line="360" w:lineRule="auto"/>
        <w:ind w:firstLine="709"/>
        <w:rPr>
          <w:rFonts w:ascii="Times New Roman" w:hAnsi="Times New Roman"/>
          <w:b/>
        </w:rPr>
      </w:pPr>
    </w:p>
    <w:p w:rsidR="00D24E61" w:rsidRPr="00771368" w:rsidRDefault="00D24E61" w:rsidP="00D24E61">
      <w:pPr>
        <w:pStyle w:val="PargrafodaLista"/>
        <w:spacing w:after="0" w:line="360" w:lineRule="auto"/>
        <w:ind w:left="0"/>
        <w:rPr>
          <w:rFonts w:ascii="Times New Roman" w:hAnsi="Times New Roman"/>
          <w:b/>
          <w:sz w:val="24"/>
          <w:szCs w:val="24"/>
        </w:rPr>
      </w:pPr>
      <w:r w:rsidRPr="00771368">
        <w:rPr>
          <w:rFonts w:ascii="Times New Roman" w:hAnsi="Times New Roman"/>
          <w:b/>
          <w:sz w:val="24"/>
          <w:szCs w:val="24"/>
        </w:rPr>
        <w:t>3.2 O que é violência contra a mulher?</w:t>
      </w:r>
    </w:p>
    <w:p w:rsidR="00D24E61" w:rsidRPr="00771368" w:rsidRDefault="00D24E61" w:rsidP="00D24E61">
      <w:pPr>
        <w:pStyle w:val="PargrafodaLista"/>
        <w:spacing w:after="0" w:line="360" w:lineRule="auto"/>
        <w:ind w:left="0"/>
        <w:rPr>
          <w:rFonts w:ascii="Times New Roman" w:hAnsi="Times New Roman"/>
          <w:b/>
          <w:sz w:val="24"/>
          <w:szCs w:val="24"/>
        </w:rPr>
      </w:pP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O século XX foi decisivo para o reconhecimento de um vasto leque de direitos humanos, responsável por profundas modificações na conduta dos diversos segmentos sociais em diferentes regiões do nosso planeta.</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Os frutos históricos colhidos pelos movimentos de mulheres no século XX são evidentes. Um dos principais resultados é a positivação dos direitos humanos das mulheres junto à estrutura legislativa da Organização das Nações Unidas – ONU e da Organização dos Estados Americanos – OEA, por meio da edição de inúmeras declarações e pactos, a partir de 1948, em que foi publicada a Declaração Universal dos Direitos Humanos.</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A violência contra a mulher geralmente se identifica com a violência doméstica. Porém, o conceito de violência contra a mulher é mais amplo, pois inclui, segundo consta no art. 1 da Convenção sobre a Eliminação de Todas as Formas de Discriminação contra a Mulher, “qualquer ato de violência baseado em sexo, que ocasione algum prejuízo ou sofrimento físico, sexual ou psicológico às mulheres, incluídas as ameaças de tais atos, coerção ou privação arbitrárias da liberdade que ocorram na vida pública ou privada”. (BRASIL, 2002)</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Na Convenção Interamericana para Prevenir, Punir e Erradicar a Violência Contra a Mulher, a violência contra a mulher é “qualquer ato ou conduta baseada no gênero, que cause morte, dano ou sofrimento físico, sexual ou psicológico à mulher, tanto na esfera pública como na esfera privada”. Nesta convenção, os Estados-partes afirmam no art. 5º que:</w:t>
      </w:r>
    </w:p>
    <w:p w:rsidR="00D24E61" w:rsidRPr="00771368" w:rsidRDefault="00D24E61" w:rsidP="00D24E61">
      <w:pPr>
        <w:pStyle w:val="PargrafodaLista"/>
        <w:spacing w:after="0" w:line="240" w:lineRule="auto"/>
        <w:ind w:left="2268"/>
        <w:rPr>
          <w:rFonts w:ascii="Times New Roman" w:hAnsi="Times New Roman"/>
          <w:sz w:val="20"/>
          <w:szCs w:val="20"/>
        </w:rPr>
      </w:pPr>
    </w:p>
    <w:p w:rsidR="00D24E61" w:rsidRPr="00771368" w:rsidRDefault="00D24E61" w:rsidP="00D24E61">
      <w:pPr>
        <w:pStyle w:val="PargrafodaLista"/>
        <w:spacing w:after="0" w:line="240" w:lineRule="auto"/>
        <w:ind w:left="2268"/>
        <w:rPr>
          <w:rFonts w:ascii="Times New Roman" w:hAnsi="Times New Roman"/>
          <w:sz w:val="20"/>
          <w:szCs w:val="20"/>
        </w:rPr>
      </w:pPr>
      <w:r w:rsidRPr="00771368">
        <w:rPr>
          <w:rFonts w:ascii="Times New Roman" w:hAnsi="Times New Roman"/>
          <w:sz w:val="20"/>
          <w:szCs w:val="20"/>
        </w:rPr>
        <w:t xml:space="preserve">Toda mulher poderá exercer livre e plenamente seus direitos civis, políticos, econômicos, sociais e culturais, e contará com a total proteção desses direitos consagrados nos instrumentos regionais e internacionais sobre direitos humanos. Os Estados-partes reconhecem que a violência contra a mulher impede e anula o exercício desses direitos. </w:t>
      </w:r>
    </w:p>
    <w:p w:rsidR="00D24E61" w:rsidRPr="00771368" w:rsidRDefault="00D24E61" w:rsidP="00D24E61">
      <w:pPr>
        <w:pStyle w:val="PargrafodaLista"/>
        <w:spacing w:after="0" w:line="360" w:lineRule="auto"/>
        <w:ind w:left="0" w:firstLine="1134"/>
        <w:rPr>
          <w:rFonts w:ascii="Times New Roman" w:hAnsi="Times New Roman"/>
          <w:sz w:val="24"/>
          <w:szCs w:val="24"/>
        </w:rPr>
      </w:pP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Partindo desta concepção, a violência doméstica é uma forma de violência física e/ou psíquica, exercida pelos homens contra as mulheres no âmbito das relações de privacidade e intimidade de cunho familiar ou de convivência amorosa, que expressa o exercício de um poder de posse, de caráter patriarcal. O traço distintivo deste tipo de violência é o fato de ocorrer nas relações privadas e ser decorrente delas (SABADELL, 2005).</w:t>
      </w:r>
    </w:p>
    <w:p w:rsidR="00D24E61" w:rsidRPr="00771368" w:rsidRDefault="00D24E61" w:rsidP="00D24E61">
      <w:pPr>
        <w:pStyle w:val="PargrafodaLista"/>
        <w:spacing w:after="0" w:line="360" w:lineRule="auto"/>
        <w:ind w:left="0"/>
        <w:rPr>
          <w:rFonts w:ascii="Times New Roman" w:hAnsi="Times New Roman"/>
          <w:sz w:val="24"/>
          <w:szCs w:val="24"/>
        </w:rPr>
      </w:pPr>
    </w:p>
    <w:p w:rsidR="00D24E61" w:rsidRPr="00771368" w:rsidRDefault="00D24E61" w:rsidP="00D24E61">
      <w:pPr>
        <w:pStyle w:val="PargrafodaLista"/>
        <w:spacing w:after="0" w:line="360" w:lineRule="auto"/>
        <w:ind w:left="0"/>
        <w:rPr>
          <w:rFonts w:ascii="Times New Roman" w:hAnsi="Times New Roman"/>
          <w:b/>
          <w:sz w:val="24"/>
          <w:szCs w:val="24"/>
        </w:rPr>
      </w:pPr>
      <w:r w:rsidRPr="00771368">
        <w:rPr>
          <w:rFonts w:ascii="Times New Roman" w:hAnsi="Times New Roman"/>
          <w:b/>
          <w:sz w:val="24"/>
          <w:szCs w:val="24"/>
        </w:rPr>
        <w:t>3.3 Lei 11.340/2006 – Lei Maria da Penha</w:t>
      </w:r>
    </w:p>
    <w:p w:rsidR="00D24E61" w:rsidRPr="00771368" w:rsidRDefault="00D24E61" w:rsidP="00D24E61">
      <w:pPr>
        <w:pStyle w:val="PargrafodaLista"/>
        <w:spacing w:after="0" w:line="360" w:lineRule="auto"/>
        <w:ind w:left="0"/>
        <w:rPr>
          <w:rFonts w:ascii="Times New Roman" w:hAnsi="Times New Roman"/>
          <w:sz w:val="24"/>
          <w:szCs w:val="24"/>
        </w:rPr>
      </w:pP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 xml:space="preserve">Após a recomendação recebida da Comissão Interamericana de Direitos Humanos com o julgamento do caso Maria da Penha em 2001 na Organização dos Estados Americanos, e a constatação de que a legislação brasileira ainda continha um déficit considerável quanto à conceituação do que é violência contra a mulher, finalmente foi publicada a Lei nº 11.340/2006, mais conhecida como </w:t>
      </w:r>
      <w:r w:rsidRPr="00771368">
        <w:rPr>
          <w:rFonts w:ascii="Times New Roman" w:hAnsi="Times New Roman"/>
          <w:i/>
          <w:sz w:val="24"/>
          <w:szCs w:val="24"/>
        </w:rPr>
        <w:t>Lei Maria da Penha</w:t>
      </w:r>
      <w:r w:rsidRPr="00771368">
        <w:rPr>
          <w:rFonts w:ascii="Times New Roman" w:hAnsi="Times New Roman"/>
          <w:sz w:val="24"/>
          <w:szCs w:val="24"/>
        </w:rPr>
        <w:t>.</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A Lei nº 11.340/2006 apresenta uma estrutura mais adequada e específica para atender a complexidade do fenômeno da violência doméstica ao prever mecanismos de prevenção, assistência às vítimas, políticas públicas e punição mais rigorosa para os agressores. É uma lei que tem mais o cunho educacional e de promoção de políticas públicas de assistência às vítimas do que a intenção de punir mais severamente os agressores dos delitos domésticos, pois prevê, em vários dispositivos, medidas de proteção à mulher em situação de violência doméstica e familiar, possibilitando uma assistência mais eficiente e a salvaguarda dos direitos humanos das vítimas.</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Desde o início da sua vigência, muito se discutiu sobre a sua constitucionalidade. Havia defensores da tese de que se tratava de lei que feria o princípio da isonomia, e que, portanto, deveria ser considerada inconstitucional. A fim de sanar esta polêmica, em 09 de fevereiro de 2012, o Supremo Tribunal Federal julgou conjuntamente a Ação Declaratória de Constitucionalidade nº 19 e a Ação Direta de Inconstitucionalidade nº 4.424, ocasião em que reconheceu, por maioria, a constitucionalidade da Lei Maria da Penha, o que afastou a aplicação da Lei nº 9099/95 para os casos de violência doméstica, e conferiu interpretação conforme a Constituição para atribuir a natureza de ação penal pública incondicionada para os crimes de lesão corporal leve e culposa.</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Para o então relator das duas ações, Ministro Marco Aurélio, a Lei Maria da Penha não ofende o princípio da isonomia ao criar mecanismos para coibir a violência doméstica e familiar contra a mulher que é “eminentemente vulnerável quando se trata de constrangimentos físicos, morais e psicológicos sofridos no âmbito privado”.  Então, considerou-se que todos os artigos da lei estão de acordo com o princípio fundamental de respeito à dignidade humana, sendo instrumento de mitigação de uma realidade de discriminação social e cultural (STF, 2012).</w:t>
      </w:r>
    </w:p>
    <w:p w:rsidR="00D24E61" w:rsidRPr="00771368" w:rsidRDefault="00D24E61" w:rsidP="00D24E61">
      <w:pPr>
        <w:pStyle w:val="PargrafodaLista"/>
        <w:spacing w:after="0" w:line="360" w:lineRule="auto"/>
        <w:ind w:left="0"/>
        <w:rPr>
          <w:rFonts w:ascii="Times New Roman" w:hAnsi="Times New Roman"/>
          <w:sz w:val="24"/>
          <w:szCs w:val="24"/>
        </w:rPr>
      </w:pPr>
    </w:p>
    <w:p w:rsidR="00D24E61" w:rsidRPr="00771368" w:rsidRDefault="00D24E61" w:rsidP="00D24E61">
      <w:pPr>
        <w:spacing w:line="360" w:lineRule="auto"/>
        <w:jc w:val="both"/>
        <w:rPr>
          <w:b/>
        </w:rPr>
      </w:pPr>
      <w:r w:rsidRPr="00771368">
        <w:rPr>
          <w:b/>
        </w:rPr>
        <w:t xml:space="preserve">3.4 A aplicação da </w:t>
      </w:r>
      <w:r w:rsidRPr="00771368">
        <w:rPr>
          <w:b/>
          <w:i/>
        </w:rPr>
        <w:t xml:space="preserve">Lei Maria Da Penha </w:t>
      </w:r>
      <w:r w:rsidRPr="00771368">
        <w:rPr>
          <w:b/>
        </w:rPr>
        <w:t>nos municípios de São Gabriel e Irecê</w:t>
      </w:r>
    </w:p>
    <w:p w:rsidR="00D24E61" w:rsidRPr="00771368" w:rsidRDefault="00D24E61" w:rsidP="00D24E61">
      <w:pPr>
        <w:spacing w:line="360" w:lineRule="auto"/>
        <w:jc w:val="both"/>
      </w:pPr>
    </w:p>
    <w:p w:rsidR="00D24E61" w:rsidRPr="00771368" w:rsidRDefault="00D24E61" w:rsidP="00D24E61">
      <w:pPr>
        <w:spacing w:line="360" w:lineRule="auto"/>
        <w:ind w:firstLine="709"/>
        <w:jc w:val="both"/>
      </w:pPr>
      <w:r w:rsidRPr="00771368">
        <w:t>Depois deste panorama a respeito de questões teóricas e políticas acerca da violência doméstica e familiar contra a mulher, pretendemos trazer um olhar prático para este referencial teórico. Para isso, escolhemos trabalhar com a realidade de dois municípios do Sertão Baiano (São Gabriel e Irecê), onde veremos que algumas mudanças formais trazidas pela Lei Maria da Penha não estão se tornando uma realidade material na vida das vítimas de violência doméstica nessa região.</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Quando foi delimitado o objeto desta pesquisa, a intenção era utilizar dados mais específicos sobre os inquéritos e processos criminais por violência doméstica. Mas, infelizmente, não havia um método de pesquisa mais simples para encontrar dados como, por exemplo, em quantos processos houve a aplicação dos institutos despenalizadores da Lei nº 9.099/95 ou quantas renúncias à representação criminal foram apresentadas pelas vítimas. Então, os dados que alcançamos em nossa pesquisa são bem mais simples do que esperávamos poder explorar.</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 xml:space="preserve">A pesquisa foi realizada através do sistema </w:t>
      </w:r>
      <w:r w:rsidRPr="00771368">
        <w:rPr>
          <w:rFonts w:ascii="Times New Roman" w:hAnsi="Times New Roman"/>
          <w:sz w:val="24"/>
          <w:szCs w:val="24"/>
          <w:shd w:val="clear" w:color="auto" w:fill="FFFFFF"/>
        </w:rPr>
        <w:t xml:space="preserve">Sistema de Acompanhamento Integrado de Processos Judiciais – </w:t>
      </w:r>
      <w:r w:rsidRPr="00771368">
        <w:rPr>
          <w:rFonts w:ascii="Times New Roman" w:hAnsi="Times New Roman"/>
          <w:sz w:val="24"/>
          <w:szCs w:val="24"/>
        </w:rPr>
        <w:t>SAIPRO do Tribunal de Justiça do Estado da Bahia em relação aos processos relacionados à Lei Maria da Penha no período de agosto de 2006, quando a lei entrou em vigor, até o mês de junho de 2013. Os servidores dos cartórios das varas criminais localizaram as seguintes informações:</w:t>
      </w:r>
    </w:p>
    <w:p w:rsidR="00D24E61" w:rsidRPr="00771368" w:rsidRDefault="00D24E61" w:rsidP="00FA0ABA">
      <w:pPr>
        <w:pStyle w:val="PargrafodaLista"/>
        <w:numPr>
          <w:ilvl w:val="0"/>
          <w:numId w:val="15"/>
        </w:numPr>
        <w:spacing w:after="0" w:line="360" w:lineRule="auto"/>
        <w:rPr>
          <w:rFonts w:ascii="Times New Roman" w:hAnsi="Times New Roman"/>
          <w:sz w:val="24"/>
          <w:szCs w:val="24"/>
        </w:rPr>
      </w:pPr>
      <w:r w:rsidRPr="00771368">
        <w:rPr>
          <w:rFonts w:ascii="Times New Roman" w:hAnsi="Times New Roman"/>
          <w:sz w:val="24"/>
          <w:szCs w:val="24"/>
        </w:rPr>
        <w:t>Irecê: pesquisando pelo assunto “Violência doméstica contra a mulher”, foram localizados 252 processos ativos e 288 inativos/arquivados. Quanto às medidas protetivas, 192 foram concedidas nesse período.</w:t>
      </w:r>
    </w:p>
    <w:p w:rsidR="00D24E61" w:rsidRPr="00771368" w:rsidRDefault="00D24E61" w:rsidP="00FA0ABA">
      <w:pPr>
        <w:pStyle w:val="PargrafodaLista"/>
        <w:numPr>
          <w:ilvl w:val="0"/>
          <w:numId w:val="15"/>
        </w:numPr>
        <w:spacing w:after="0" w:line="360" w:lineRule="auto"/>
        <w:rPr>
          <w:rFonts w:ascii="Times New Roman" w:hAnsi="Times New Roman"/>
          <w:sz w:val="24"/>
          <w:szCs w:val="24"/>
        </w:rPr>
      </w:pPr>
      <w:r w:rsidRPr="00771368">
        <w:rPr>
          <w:rFonts w:ascii="Times New Roman" w:hAnsi="Times New Roman"/>
          <w:sz w:val="24"/>
          <w:szCs w:val="24"/>
        </w:rPr>
        <w:t>São Gabriel: pesquisando pelo assunto “Violência doméstica contra a mulher”, foram localizados 42 processos ativos e 26 inativos/arquivados. Pesquisando pelo assunto “Lesão corporal decorrente de violência doméstica”</w:t>
      </w:r>
      <w:r w:rsidRPr="00771368">
        <w:rPr>
          <w:rStyle w:val="Refdenotaderodap"/>
          <w:rFonts w:ascii="Times New Roman" w:hAnsi="Times New Roman"/>
          <w:sz w:val="24"/>
          <w:szCs w:val="24"/>
        </w:rPr>
        <w:footnoteReference w:id="17"/>
      </w:r>
      <w:r w:rsidRPr="00771368">
        <w:rPr>
          <w:rFonts w:ascii="Times New Roman" w:hAnsi="Times New Roman"/>
          <w:sz w:val="24"/>
          <w:szCs w:val="24"/>
        </w:rPr>
        <w:t>, foram localizados 19 processos ativos e 04 inativos/arquivados. No período de referência, apenas 11 medidas protetivas foram concedidas.</w:t>
      </w:r>
    </w:p>
    <w:p w:rsidR="00D24E61" w:rsidRPr="00771368" w:rsidRDefault="00D24E61" w:rsidP="00D24E61">
      <w:pPr>
        <w:pStyle w:val="PargrafodaLista"/>
        <w:spacing w:after="0" w:line="360" w:lineRule="auto"/>
        <w:ind w:left="0" w:firstLine="709"/>
        <w:rPr>
          <w:rFonts w:ascii="Times New Roman" w:hAnsi="Times New Roman"/>
          <w:sz w:val="24"/>
          <w:szCs w:val="24"/>
        </w:rPr>
      </w:pP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Nas delegacias de polícia civil, os dados foram localizados em arquivos onde as próprias delegadas organizam as estatísticas das ocorrências registradas. Em Irecê, foi constatada a instauração de 478 inquéritos com referência a violência doméstica; em São Gabriel, foram apenas 63</w:t>
      </w:r>
      <w:r w:rsidRPr="00771368">
        <w:rPr>
          <w:rStyle w:val="Refdenotaderodap"/>
          <w:rFonts w:ascii="Times New Roman" w:hAnsi="Times New Roman"/>
          <w:sz w:val="24"/>
          <w:szCs w:val="24"/>
        </w:rPr>
        <w:footnoteReference w:id="18"/>
      </w:r>
      <w:r w:rsidRPr="00771368">
        <w:rPr>
          <w:rFonts w:ascii="Times New Roman" w:hAnsi="Times New Roman"/>
          <w:sz w:val="24"/>
          <w:szCs w:val="24"/>
        </w:rPr>
        <w:t>. Daqui inferimos o alto número de renúncias às representações das vítimas, pois este número está bem acima da quantidade de processos que constam nos registros do poder judiciário, especialmente em relação à comarca de Irecê.</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Podemos atribuir este alto número de arquivamentos ao fato de que grande parte das mulheres que sofrem violência está em condição de vulnerabilidade social. Ouve-se por parte de muitos ignorantes que a mulher não sai desta condição porque “gosta de apanhar”. Quem gosta de ser agredida e ter seus direitos violados diuturnamente? Não existe mulher que gosta de apanhar. O que existe, como divulgado em muitas campanhas nacionais de enfrentamento à violência, é mulher humilhada demais para denunciar, machucada demais para reagir, com medo demais para acusar, pobre demais para ir embora. Daqui inferimos a importância de fazer valer o caráter preventivo e educativo da Lei Maria da Penha, pois se nada for feito nesse sentido, agora que não é mais possível renunciar à representação criminal, muitas delas nem sequer denunciam. A falta de apoio psicossocial, jurídico e familiar dificulta o acesso aos atendimentos disponíveis na região.</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Notamos, também que, guardadas as devidas proporções populacionais, em São Gabriel temos um número bastante pequeno de registros de boletim de ocorrência por atos de violência contra a mulher. Isso não é sinal de que essa violência não acontece, infelizmente ela vem ocorrendo de forma que a comunidade percebe e acompanha, mesmo sem mover nenhum esforço para ajudar a vítima. Mesmo após as modificações da Lei nº 11.340/06, mantém-se na prática o velho ditado de que “em briga de marido e mulher não se mete a colher”. A questão é que como o município tem uma zona rural bastante extensa formada por 58 comunidades, algumas delas situadas há quase 100 km de distância da sede do município (onde se localiza a única delegacia da cidade), não há como ter acesso a socorro e amparo de forma imediata. Vemos que 43,1% da população gabrielense reside na zona rural, então se percebe que boa parte dos casos que acontecem a grande distância da sede municipal, nem sequer chegam ao conhecimento da polícia civil. Além disso, a delegada de polícia civil de São Gabriel permanece no município apenas em horário comercial, ou seja, nos dias e horários que a ocorrência de violência é maior (à noite, finais de semana, feriados e dias de festa), talvez tenha apenas um policial civil de plantão. Talvez não. Mas a delegada, nunca.</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Em Irecê, apesar do alto número de arquivamentos, vemos que a população é eminentemente urbana, tendo apenas 7,8% da comunidade residindo fora da sede do município. Além disso, a área de povoados e distritos é bem pequena, não só em termos de população, mas também de área territorial. Isso faz com que as pessoas tenham mais facilidade de acesso aos atendimentos dos serviços das polícias civil e militar, além do acompanhamento de órgãos assistenciais que acolhem e amparam mulheres em situação de violência e vulnerabilidade social. Como se trata de uma cidade com maior porte, há plantão ininterrupto de delegadas, coberto por 03 autoridades policiais que trabalham durante toda a semana, se ausentando apenas nos horários de refeição. Isso já facilita a situação da vítima, pois chegar à delegacia agredida, humilhada, desamparada e não encontrar a ajuda esperada faz com que muitas delas voltem do balcão sem nem mesmo registrar a ocorrência.</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Outro fator bastante visível é que muitas mulheres não sofrem um ato de violência isolado, mas estão inseridas num ciclo de tensão-reconciliação-tensão há muitos anos. Então quando essa vítima procura ajuda e não recebe a resposta esperada, ela prefere permanecer na situação em que se encontra para não passar pelo constrangimento de expor a sua situação vulnerável à polícia e à sua comunidade. Em virtude de uma segunda estigmatização, ela prefere permanecer apenas com a primeira.</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Vemos que a polícia civil e o poder judiciário dos dois municípios não realizam nenhuma espécie de atividade educativa e/ou preventiva em relação à violência contra a mulher. Além disso, muitos desses profissionais não tem preparo para trabalhar com esses assuntos, pois é preciso compreender o vínculo afetivo que a vítima tem com o agressor e que muitas delas acabam aceitando a condição de submissão a que são expostas para não ter que enfrentar uma separação e criar os filhos longe do pai. É preciso analisar cada caso de forma individualizada e com atenção profissional especializada, pois as equipes de atendimento multidisciplinar tem que estar presentes para auxiliar juízes e delegados neste trabalho de atendimento às vítimas. Isso, inclusive, sensibilizaria estas autoridades em relação ao assunto, pois é vergonhosa a demora em serem concedidas as medidas protetivas de urgência. A urgência fica apenas na denominação, pois algumas delas demoram meses para serem deferidas.</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No Território de Irecê não há nenhuma Vara ou Juizado de Violência Doméstica, nem mesmo Delegacia Especializada de Atendimento à Mulher. Por isso todo o atendimento das vítimas de violência é realizado por profissionais que não receberam nenhuma espécie de capacitação/formação para atuar na área, ou seja, são atendidas nas delegacias e nas varas criminais comuns. No final das contas, nada do trabalho preventivo, educativo e de acolhimento das vítimas proposto pela Lei nº 11.340/06 é realizado pela Polícia Civil e Poder Judiciário nestes municípios. E pelo que podemos observar visitando outras cidades, esta é a realidade dos outros 18 municípios deste território de identidade.</w:t>
      </w:r>
    </w:p>
    <w:p w:rsidR="00D24E61" w:rsidRPr="00771368" w:rsidRDefault="00D24E61" w:rsidP="00D24E61">
      <w:pPr>
        <w:pStyle w:val="PargrafodaLista"/>
        <w:spacing w:after="0" w:line="360" w:lineRule="auto"/>
        <w:ind w:left="0" w:firstLine="709"/>
        <w:rPr>
          <w:rFonts w:ascii="Times New Roman" w:hAnsi="Times New Roman"/>
          <w:sz w:val="24"/>
          <w:szCs w:val="24"/>
        </w:rPr>
      </w:pPr>
    </w:p>
    <w:p w:rsidR="00D24E61" w:rsidRPr="00771368" w:rsidRDefault="00D24E61" w:rsidP="00D24E61">
      <w:pPr>
        <w:pStyle w:val="PargrafodaLista"/>
        <w:spacing w:after="0" w:line="360" w:lineRule="auto"/>
        <w:ind w:left="0"/>
        <w:rPr>
          <w:rFonts w:ascii="Times New Roman" w:hAnsi="Times New Roman"/>
          <w:b/>
          <w:sz w:val="24"/>
          <w:szCs w:val="24"/>
        </w:rPr>
      </w:pPr>
      <w:r w:rsidRPr="00771368">
        <w:rPr>
          <w:rFonts w:ascii="Times New Roman" w:hAnsi="Times New Roman"/>
          <w:b/>
          <w:sz w:val="24"/>
          <w:szCs w:val="24"/>
        </w:rPr>
        <w:t>3.5 O papel preventivo do Centro de Referência da Mulher do Território de Irecê e das organizações não governamentais</w:t>
      </w:r>
    </w:p>
    <w:p w:rsidR="00D24E61" w:rsidRPr="00771368" w:rsidRDefault="00D24E61" w:rsidP="00D24E61">
      <w:pPr>
        <w:pStyle w:val="PargrafodaLista"/>
        <w:spacing w:after="0" w:line="360" w:lineRule="auto"/>
        <w:ind w:left="0" w:firstLine="709"/>
        <w:rPr>
          <w:rFonts w:ascii="Times New Roman" w:hAnsi="Times New Roman"/>
          <w:sz w:val="24"/>
          <w:szCs w:val="24"/>
        </w:rPr>
      </w:pP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 xml:space="preserve">Diante das cobranças da sociedade civil organizada do Território de Irecê pela implantação de políticas de enfrentamento à violência contra a mulher, em 22 de dezembro de 2010 foi implantado na cidade de Irecê o </w:t>
      </w:r>
      <w:r w:rsidRPr="00771368">
        <w:rPr>
          <w:rFonts w:ascii="Times New Roman" w:hAnsi="Times New Roman"/>
          <w:i/>
          <w:sz w:val="24"/>
          <w:szCs w:val="24"/>
        </w:rPr>
        <w:t>Centro de Referência da Mulher Ana Joaquina de Castro Dourado</w:t>
      </w:r>
      <w:r w:rsidRPr="00771368">
        <w:rPr>
          <w:rStyle w:val="Refdenotaderodap"/>
          <w:rFonts w:ascii="Times New Roman" w:hAnsi="Times New Roman"/>
          <w:i/>
          <w:sz w:val="24"/>
          <w:szCs w:val="24"/>
        </w:rPr>
        <w:footnoteReference w:id="19"/>
      </w:r>
      <w:r w:rsidRPr="00771368">
        <w:rPr>
          <w:rFonts w:ascii="Times New Roman" w:hAnsi="Times New Roman"/>
          <w:sz w:val="24"/>
          <w:szCs w:val="24"/>
        </w:rPr>
        <w:t>. Trata-se de um equipamento de atendimento às mulheres em situação de violência destinado a intervir para fazer cessar a situação de violência vivenciada pela usuária atendida sem ferir o seu direito à autodeterminação, promovendo meios para que ela fortaleça sua autoestima e tome decisões relativas à situação de violência por ela vivenciada, assim como o de prevenir futuros atos de agressão, possibilitando que se tornem protagonistas dos seus próprios direitos, ampliando seu nível de entendimento sobre as relações de gênero.</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Segundo a norma técnica de uniformização dos centros de referência da mulher, a equipe multidisciplinar deve ser composta por 1 coordenador(a); 2 secretários(as); 2 assistentes sociais; 2 psicólogos(as); 1 advogado(a); 2 educadores(as); 1 ajudante-geral e 1 segurança (BRASIL, 2006). Atualmente, a equipe do Centro de Referência da Mulher de Irecê está composta apenas com 1 coordenadora, 1 psicóloga, 1 advogada, 2 educadoras e 1 agente de serviços gerais. Quando chamado, um motorista da Secretaria de Desenvolvimento Social vai até o Centro com o veículo para conduzir a equipe ou alguma usuária para onde for necessário.</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O serviço vem funcionando com dificuldades, por conta da escassez de recursos e da equipe técnica reduzida. Mas assim mesmo, já podemos verificar que ele vem cumprindo o seu papel de auxiliar na prevenção de novos atos de violência, pois muitas usuárias conseguiram resolver sua situação com os agressores, e a procura pelo serviço vem aumentando à medida que a divulgação é feita com a participação em eventos e em programas de rádio, já que esta região é ouvinte assídua das rádios do município de Irecê, que tem alcance regional.</w:t>
      </w:r>
    </w:p>
    <w:p w:rsidR="00D24E61" w:rsidRPr="00771368" w:rsidRDefault="00D24E61" w:rsidP="00D24E61">
      <w:pPr>
        <w:pStyle w:val="PargrafodaLista"/>
        <w:spacing w:after="0" w:line="360" w:lineRule="auto"/>
        <w:ind w:left="0" w:firstLine="709"/>
        <w:rPr>
          <w:rFonts w:ascii="Times New Roman" w:hAnsi="Times New Roman"/>
          <w:sz w:val="24"/>
          <w:szCs w:val="24"/>
        </w:rPr>
      </w:pPr>
      <w:r w:rsidRPr="00771368">
        <w:rPr>
          <w:rFonts w:ascii="Times New Roman" w:hAnsi="Times New Roman"/>
          <w:sz w:val="24"/>
          <w:szCs w:val="24"/>
        </w:rPr>
        <w:t>É isso que o Centro de Referência da Mulher vem fazendo a seu modo: metendo a colher nos ciclos de violência para que mais mulheres possam empoderar-se, tomando as rédeas da sua vida para viver com dignidade, sem ter seus direitos violados.</w:t>
      </w:r>
    </w:p>
    <w:p w:rsidR="00D24E61" w:rsidRPr="00771368" w:rsidRDefault="00D24E61" w:rsidP="00D24E61">
      <w:pPr>
        <w:pStyle w:val="Cabealho"/>
        <w:rPr>
          <w:rFonts w:ascii="Times New Roman" w:hAnsi="Times New Roman"/>
          <w:b/>
          <w:sz w:val="28"/>
          <w:szCs w:val="28"/>
        </w:rPr>
      </w:pPr>
    </w:p>
    <w:p w:rsidR="00D24E61" w:rsidRPr="00771368" w:rsidRDefault="00D24E61" w:rsidP="00D24E61">
      <w:pPr>
        <w:pStyle w:val="Cabealho"/>
        <w:rPr>
          <w:rFonts w:ascii="Times New Roman" w:hAnsi="Times New Roman"/>
          <w:b/>
        </w:rPr>
      </w:pPr>
      <w:r w:rsidRPr="00771368">
        <w:rPr>
          <w:rFonts w:ascii="Times New Roman" w:hAnsi="Times New Roman"/>
          <w:b/>
        </w:rPr>
        <w:t>4 CONCLUSÕES</w:t>
      </w:r>
    </w:p>
    <w:p w:rsidR="00D24E61" w:rsidRPr="00771368" w:rsidRDefault="00D24E61" w:rsidP="00D24E61">
      <w:pPr>
        <w:autoSpaceDE w:val="0"/>
        <w:autoSpaceDN w:val="0"/>
        <w:adjustRightInd w:val="0"/>
        <w:spacing w:line="360" w:lineRule="auto"/>
        <w:ind w:firstLine="1080"/>
        <w:jc w:val="both"/>
      </w:pPr>
    </w:p>
    <w:p w:rsidR="00D24E61" w:rsidRPr="00771368" w:rsidRDefault="00D24E61" w:rsidP="00D24E61">
      <w:pPr>
        <w:spacing w:line="360" w:lineRule="auto"/>
        <w:ind w:firstLine="709"/>
        <w:jc w:val="both"/>
      </w:pPr>
      <w:r w:rsidRPr="00771368">
        <w:t>Vimos no decorrer da discussão deste trabalho que muitos estudos indicam que no espaço privado produzem-se graves violações dos direitos fundamentais das mulheres. Uma parte significativa da socialização e atuação das mulheres desenvolve-se neste espaço, o qual permanece fora do alcance efetivo das normas que protegem, por sua vez, os espaços públicos, o que acaba por garantir a “privacidade” dos homens. A violência contida nas relações de gênero nem sempre é percebida pela comunidade porque a relação doméstica favorece que a situação seja mantida em sigilo. A violência doméstica contra a mulher surge, portanto, como subproduto perverso da violência de gênero (SILVA, 2012).</w:t>
      </w:r>
    </w:p>
    <w:p w:rsidR="00D24E61" w:rsidRPr="00771368" w:rsidRDefault="00D24E61" w:rsidP="00D24E61">
      <w:pPr>
        <w:spacing w:line="360" w:lineRule="auto"/>
        <w:ind w:firstLine="709"/>
        <w:jc w:val="both"/>
      </w:pPr>
      <w:r w:rsidRPr="00771368">
        <w:t>As feministas indicaram que a violência doméstica, apesar de ocorrer no âmbito privado, é um problema social geral, e reivindicaram sua politização, considerando-a como problema público (o privado é político!), revelando, deste modo, “a violência da privacidade”, que reproduz a subordinação das mulheres, e observando que a retórica da privacidade permite mascarar a desigualdade e a subordinação (SABADELL, 2005, p. 08).</w:t>
      </w:r>
    </w:p>
    <w:p w:rsidR="00D24E61" w:rsidRPr="00771368" w:rsidRDefault="00D24E61" w:rsidP="00D24E61">
      <w:pPr>
        <w:spacing w:line="360" w:lineRule="auto"/>
        <w:ind w:firstLine="709"/>
        <w:jc w:val="both"/>
      </w:pPr>
      <w:r w:rsidRPr="00771368">
        <w:t>O nosso destaque, neste momento, é para a importância e a necessidade do trabalho de prevenção de novos atos de violência contra a mulher. Vemos, então, que uma das recomendações feitas pela Comissão Interamericana diz respeito à inclusão de unidades curriculares nos planos pedagógicos destinadas a compreender a valor do respeito à mulher e a seus direitos reconhecidos na Convenção de Belém do Pará de 1994, bem como ao manejo dos conflitos intrafamiliares. De que forma o Estado Brasileiro poderia implementar esta recomendação internacional?</w:t>
      </w:r>
    </w:p>
    <w:p w:rsidR="00D24E61" w:rsidRPr="00771368" w:rsidRDefault="00D24E61" w:rsidP="00D24E61">
      <w:pPr>
        <w:spacing w:line="360" w:lineRule="auto"/>
        <w:ind w:firstLine="709"/>
        <w:jc w:val="both"/>
      </w:pPr>
      <w:r w:rsidRPr="00771368">
        <w:t xml:space="preserve">Vemos que a política pública mais eficaz para mudar esta realidade é introduzir massivamente a </w:t>
      </w:r>
      <w:r w:rsidRPr="00771368">
        <w:rPr>
          <w:i/>
          <w:iCs/>
        </w:rPr>
        <w:t xml:space="preserve">educação para a equidade de gênero. </w:t>
      </w:r>
      <w:r w:rsidRPr="00771368">
        <w:t>Tal iniciativa requer um rompimento com a prática do sexismo nas escolas, o que implica preparação de educadores e elaboração cuidadosa de novos modelos de linguagem aptos a impedir que se estabeleça uma relação circular entre a linguagem e a educação sexista.</w:t>
      </w:r>
    </w:p>
    <w:p w:rsidR="00D24E61" w:rsidRPr="00771368" w:rsidRDefault="00D24E61" w:rsidP="00D24E61">
      <w:pPr>
        <w:spacing w:line="360" w:lineRule="auto"/>
        <w:ind w:firstLine="709"/>
        <w:jc w:val="both"/>
      </w:pPr>
      <w:r w:rsidRPr="00771368">
        <w:t>Anna Maria Piussi analisa o papel da educação na formação da cultura patriarcal, ilustrando a função da linguagem com o seguinte suposto diálogo entre professora e aluna:</w:t>
      </w:r>
    </w:p>
    <w:p w:rsidR="00D24E61" w:rsidRPr="00771368" w:rsidRDefault="00D24E61" w:rsidP="00D24E61">
      <w:pPr>
        <w:tabs>
          <w:tab w:val="left" w:pos="2736"/>
        </w:tabs>
        <w:autoSpaceDE w:val="0"/>
        <w:autoSpaceDN w:val="0"/>
        <w:adjustRightInd w:val="0"/>
        <w:ind w:firstLine="1134"/>
        <w:jc w:val="both"/>
        <w:rPr>
          <w:sz w:val="20"/>
          <w:szCs w:val="20"/>
        </w:rPr>
      </w:pPr>
      <w:r w:rsidRPr="00771368">
        <w:tab/>
      </w:r>
    </w:p>
    <w:p w:rsidR="00D24E61" w:rsidRPr="00771368" w:rsidRDefault="00D24E61" w:rsidP="00D24E61">
      <w:pPr>
        <w:pStyle w:val="Cabealho"/>
        <w:ind w:left="2268"/>
        <w:rPr>
          <w:rFonts w:ascii="Times New Roman" w:hAnsi="Times New Roman"/>
          <w:sz w:val="20"/>
          <w:szCs w:val="20"/>
        </w:rPr>
      </w:pPr>
      <w:r w:rsidRPr="00771368">
        <w:rPr>
          <w:rFonts w:ascii="Times New Roman" w:hAnsi="Times New Roman"/>
          <w:sz w:val="20"/>
          <w:szCs w:val="20"/>
        </w:rPr>
        <w:t>– Professora, como se forma o feminino?</w:t>
      </w:r>
    </w:p>
    <w:p w:rsidR="00D24E61" w:rsidRPr="00771368" w:rsidRDefault="00D24E61" w:rsidP="00D24E61">
      <w:pPr>
        <w:autoSpaceDE w:val="0"/>
        <w:autoSpaceDN w:val="0"/>
        <w:adjustRightInd w:val="0"/>
        <w:ind w:left="2268"/>
        <w:jc w:val="both"/>
        <w:rPr>
          <w:sz w:val="20"/>
          <w:szCs w:val="20"/>
        </w:rPr>
      </w:pPr>
      <w:r w:rsidRPr="00771368">
        <w:rPr>
          <w:sz w:val="20"/>
          <w:szCs w:val="20"/>
        </w:rPr>
        <w:t>– Partindo do masculino: o "o" final é substituído simplesmente por um "a".</w:t>
      </w:r>
    </w:p>
    <w:p w:rsidR="00D24E61" w:rsidRPr="00771368" w:rsidRDefault="00D24E61" w:rsidP="00D24E61">
      <w:pPr>
        <w:autoSpaceDE w:val="0"/>
        <w:autoSpaceDN w:val="0"/>
        <w:adjustRightInd w:val="0"/>
        <w:ind w:left="2268"/>
        <w:jc w:val="both"/>
        <w:rPr>
          <w:sz w:val="20"/>
          <w:szCs w:val="20"/>
        </w:rPr>
      </w:pPr>
      <w:r w:rsidRPr="00771368">
        <w:rPr>
          <w:sz w:val="20"/>
          <w:szCs w:val="20"/>
        </w:rPr>
        <w:t>– E o masculino, professora, como se forma?</w:t>
      </w:r>
    </w:p>
    <w:p w:rsidR="00D24E61" w:rsidRPr="00771368" w:rsidRDefault="00D24E61" w:rsidP="00D24E61">
      <w:pPr>
        <w:pStyle w:val="Cabealho"/>
        <w:ind w:left="2268"/>
        <w:rPr>
          <w:rFonts w:ascii="Times New Roman" w:hAnsi="Times New Roman"/>
          <w:sz w:val="20"/>
          <w:szCs w:val="20"/>
        </w:rPr>
      </w:pPr>
      <w:r w:rsidRPr="00771368">
        <w:rPr>
          <w:rFonts w:ascii="Times New Roman" w:hAnsi="Times New Roman"/>
          <w:sz w:val="20"/>
          <w:szCs w:val="20"/>
        </w:rPr>
        <w:t>– O masculino não se forma, existe. (PIUSSI, 1987, p. 115)</w:t>
      </w:r>
    </w:p>
    <w:p w:rsidR="00D24E61" w:rsidRPr="00771368" w:rsidRDefault="00D24E61" w:rsidP="00D24E61">
      <w:pPr>
        <w:autoSpaceDE w:val="0"/>
        <w:autoSpaceDN w:val="0"/>
        <w:adjustRightInd w:val="0"/>
        <w:ind w:firstLine="1134"/>
        <w:jc w:val="both"/>
        <w:rPr>
          <w:sz w:val="20"/>
          <w:szCs w:val="20"/>
        </w:rPr>
      </w:pPr>
    </w:p>
    <w:p w:rsidR="00D24E61" w:rsidRPr="00771368" w:rsidRDefault="00D24E61" w:rsidP="00D24E61">
      <w:pPr>
        <w:spacing w:line="360" w:lineRule="auto"/>
        <w:ind w:firstLine="709"/>
        <w:jc w:val="both"/>
      </w:pPr>
      <w:r w:rsidRPr="00771368">
        <w:t>Educando as crianças para refletir sobre os modelos de comportamento de gênero, semeando dúvidas ao modelo patriarcal com o qual elas convivem fora do ambiente escolar, e oferecendo ao mesmo tempo modelos educacionais alternativos, é possível estabelecer novas estratégias para enfrentar o problema da violência doméstica. Para isto, o Estado deve introduzir na formação de seus professores a matéria de educação de gênero e deve impô-la como disciplina obrigatória em todas as escolas, públicas e privadas, como foi feito com o ensino de História da África objetivando criar uma identificação com a cultura negra na formação do povo brasileiro e o respeito à diversidade étnica, combatendo assim, o racismo.</w:t>
      </w:r>
    </w:p>
    <w:p w:rsidR="00D24E61" w:rsidRPr="00771368" w:rsidRDefault="00D24E61" w:rsidP="00D24E61">
      <w:pPr>
        <w:spacing w:line="360" w:lineRule="auto"/>
        <w:ind w:firstLine="709"/>
        <w:jc w:val="both"/>
      </w:pPr>
      <w:r w:rsidRPr="00771368">
        <w:t xml:space="preserve">No momento de esquematizar políticas públicas, é preciso refletir sobre a adequação dos meios empregados para resolver conflitos. Tanto o direito como a educação constituem formas de controle social; sendo assim, o </w:t>
      </w:r>
      <w:r w:rsidRPr="00771368">
        <w:rPr>
          <w:i/>
        </w:rPr>
        <w:t>dever-ser</w:t>
      </w:r>
      <w:r w:rsidRPr="00771368">
        <w:t xml:space="preserve"> expresso pelas normas jurídicas indica a pretensão do legislador em transformar a realidade, tal como se propõe a fazê-lo a educação. Porém, ambos os sistemas atuam de modo diferente sobre seus destinatários, e isso repercute sobre os resultados das intervenções.</w:t>
      </w:r>
    </w:p>
    <w:p w:rsidR="00D24E61" w:rsidRPr="00771368" w:rsidRDefault="00D24E61" w:rsidP="00D24E61">
      <w:pPr>
        <w:spacing w:line="360" w:lineRule="auto"/>
        <w:ind w:firstLine="709"/>
        <w:jc w:val="both"/>
      </w:pPr>
      <w:r w:rsidRPr="00771368">
        <w:t>Ao contrário do direito, de caráter quase exclusivamente sancionador, os processos educativos desenvolvem estratégias de orientação dos indivíduos que se distanciam da dinâmica ordem-desobediência-penalidade. Este distanciamento permite convencer os indivíduos por meio de processos de reflexão, conhecimento e autoconhecimento, que não obrigatoriamente os sanciona pelos eventuais erros cometidos. Ana Lucia Sabadell assim nos diz:</w:t>
      </w:r>
    </w:p>
    <w:p w:rsidR="00D24E61" w:rsidRPr="00771368" w:rsidRDefault="00D24E61" w:rsidP="00D24E61">
      <w:pPr>
        <w:autoSpaceDE w:val="0"/>
        <w:autoSpaceDN w:val="0"/>
        <w:adjustRightInd w:val="0"/>
        <w:ind w:left="2268"/>
        <w:jc w:val="both"/>
        <w:rPr>
          <w:sz w:val="20"/>
          <w:szCs w:val="20"/>
        </w:rPr>
      </w:pPr>
    </w:p>
    <w:p w:rsidR="00D24E61" w:rsidRPr="00771368" w:rsidRDefault="00D24E61" w:rsidP="00D24E61">
      <w:pPr>
        <w:autoSpaceDE w:val="0"/>
        <w:autoSpaceDN w:val="0"/>
        <w:adjustRightInd w:val="0"/>
        <w:ind w:left="2268"/>
        <w:jc w:val="both"/>
      </w:pPr>
      <w:r w:rsidRPr="00771368">
        <w:rPr>
          <w:sz w:val="20"/>
          <w:szCs w:val="20"/>
        </w:rPr>
        <w:t xml:space="preserve">A estas colocações, devemos somar um outro elemento: a intervenção por meio do direito individualiza o conflito ao situar em pólos opostos a vítima e o agressor. Deste modo, torna invisível a intervenção da cultura patriarcal que é determinante para o surgimento dos conflitos de gênero. Ora, se o juiz não pode chamar à lide o machismo e condenar a cultura patriarcal, a educação intervém sem individualizar os conflitos. A reflexão crítica sobre os valores culturais está no centro dos processos. Por essa razão, a educação </w:t>
      </w:r>
      <w:r w:rsidRPr="00771368">
        <w:rPr>
          <w:i/>
          <w:iCs/>
          <w:sz w:val="20"/>
          <w:szCs w:val="20"/>
        </w:rPr>
        <w:t>d</w:t>
      </w:r>
      <w:r w:rsidRPr="00771368">
        <w:rPr>
          <w:sz w:val="20"/>
          <w:szCs w:val="20"/>
        </w:rPr>
        <w:t xml:space="preserve">e e </w:t>
      </w:r>
      <w:r w:rsidRPr="00771368">
        <w:rPr>
          <w:i/>
          <w:iCs/>
          <w:sz w:val="20"/>
          <w:szCs w:val="20"/>
        </w:rPr>
        <w:t xml:space="preserve">para </w:t>
      </w:r>
      <w:r w:rsidRPr="00771368">
        <w:rPr>
          <w:sz w:val="20"/>
          <w:szCs w:val="20"/>
        </w:rPr>
        <w:t>o gênero é muito mais eficaz do que o recurso ao direito, em projetos que visam a erradicar a violência doméstica (SABADELL, 2005, p. 26).</w:t>
      </w:r>
      <w:r w:rsidRPr="00771368">
        <w:t xml:space="preserve"> </w:t>
      </w:r>
    </w:p>
    <w:p w:rsidR="00D24E61" w:rsidRPr="00771368" w:rsidRDefault="00D24E61" w:rsidP="00D24E61">
      <w:pPr>
        <w:autoSpaceDE w:val="0"/>
        <w:autoSpaceDN w:val="0"/>
        <w:adjustRightInd w:val="0"/>
        <w:ind w:firstLine="1134"/>
        <w:jc w:val="both"/>
        <w:rPr>
          <w:sz w:val="20"/>
          <w:szCs w:val="20"/>
        </w:rPr>
      </w:pPr>
    </w:p>
    <w:p w:rsidR="00D24E61" w:rsidRPr="00771368" w:rsidRDefault="00D24E61" w:rsidP="00D24E61">
      <w:pPr>
        <w:spacing w:line="360" w:lineRule="auto"/>
        <w:ind w:firstLine="709"/>
        <w:jc w:val="both"/>
      </w:pPr>
      <w:r w:rsidRPr="00771368">
        <w:t>Concluímos, enfim, que a educação não oferece respostas imediatas, mas é a única capaz de produzir soluções satisfatórias e verdadeiramente duradouras. Então cada um de nós é que deve condenar os abusos da cultura patriarcal e, unidos, lutarmos por uma realidade onde a equidade de gênero não seja apenas uma ilusão feminista.</w:t>
      </w:r>
    </w:p>
    <w:p w:rsidR="00D24E61" w:rsidRPr="00771368" w:rsidRDefault="00D24E61" w:rsidP="00D24E61">
      <w:pPr>
        <w:pStyle w:val="Cabealho"/>
        <w:rPr>
          <w:rFonts w:ascii="Times New Roman" w:hAnsi="Times New Roman"/>
          <w:b/>
        </w:rPr>
      </w:pPr>
    </w:p>
    <w:p w:rsidR="00D24E61" w:rsidRPr="00771368" w:rsidRDefault="00D24E61" w:rsidP="00D24E61">
      <w:pPr>
        <w:pStyle w:val="Cabealho"/>
        <w:rPr>
          <w:rFonts w:ascii="Times New Roman" w:hAnsi="Times New Roman"/>
          <w:b/>
        </w:rPr>
      </w:pPr>
    </w:p>
    <w:p w:rsidR="00D24E61" w:rsidRPr="00771368" w:rsidRDefault="00D24E61" w:rsidP="00D24E61">
      <w:pPr>
        <w:pStyle w:val="Cabealho"/>
        <w:rPr>
          <w:rFonts w:ascii="Times New Roman" w:hAnsi="Times New Roman"/>
          <w:b/>
        </w:rPr>
      </w:pPr>
      <w:r w:rsidRPr="00771368">
        <w:rPr>
          <w:rFonts w:ascii="Times New Roman" w:hAnsi="Times New Roman"/>
          <w:b/>
        </w:rPr>
        <w:t>REFERÊNCIAS</w:t>
      </w:r>
    </w:p>
    <w:p w:rsidR="00D24E61" w:rsidRPr="00771368" w:rsidRDefault="00D24E61" w:rsidP="00D24E61">
      <w:pPr>
        <w:pStyle w:val="Cabealho"/>
        <w:rPr>
          <w:rFonts w:ascii="Times New Roman" w:hAnsi="Times New Roman"/>
          <w:b/>
          <w:sz w:val="28"/>
          <w:szCs w:val="28"/>
        </w:rPr>
      </w:pPr>
    </w:p>
    <w:p w:rsidR="00D24E61" w:rsidRPr="00771368" w:rsidRDefault="00D24E61" w:rsidP="00D24E61">
      <w:pPr>
        <w:pStyle w:val="Cabealho"/>
        <w:rPr>
          <w:rFonts w:ascii="Times New Roman" w:hAnsi="Times New Roman"/>
          <w:b/>
          <w:sz w:val="28"/>
          <w:szCs w:val="28"/>
        </w:rPr>
      </w:pPr>
    </w:p>
    <w:p w:rsidR="00D24E61" w:rsidRPr="00771368" w:rsidRDefault="00D24E61" w:rsidP="00D24E61">
      <w:pPr>
        <w:pStyle w:val="Cabealho"/>
        <w:rPr>
          <w:rFonts w:ascii="Times New Roman" w:hAnsi="Times New Roman"/>
        </w:rPr>
      </w:pPr>
      <w:r w:rsidRPr="00771368">
        <w:rPr>
          <w:rFonts w:ascii="Times New Roman" w:hAnsi="Times New Roman"/>
        </w:rPr>
        <w:t xml:space="preserve">AGENDE. </w:t>
      </w:r>
      <w:r w:rsidRPr="00771368">
        <w:rPr>
          <w:rFonts w:ascii="Times New Roman" w:hAnsi="Times New Roman"/>
          <w:b/>
        </w:rPr>
        <w:t xml:space="preserve">10 anos de adoção da Convenção Interamericana para Prevenir, Punir e Erradicar a Violência contra a mulher. </w:t>
      </w:r>
      <w:r w:rsidRPr="00771368">
        <w:rPr>
          <w:rFonts w:ascii="Times New Roman" w:hAnsi="Times New Roman"/>
        </w:rPr>
        <w:t>Convenção de Belém do Pará. Agende – Ações em Gênero, Cidadania e Desenvolvimento. Brasília: Agende, 2004.</w:t>
      </w:r>
    </w:p>
    <w:p w:rsidR="00D24E61" w:rsidRPr="00771368" w:rsidRDefault="00D24E61" w:rsidP="00D24E61">
      <w:pPr>
        <w:pStyle w:val="Cabealho"/>
        <w:rPr>
          <w:rFonts w:ascii="Times New Roman" w:hAnsi="Times New Roman"/>
          <w:b/>
        </w:rPr>
      </w:pPr>
    </w:p>
    <w:p w:rsidR="00D24E61" w:rsidRPr="00771368" w:rsidRDefault="00D24E61" w:rsidP="00D24E61">
      <w:pPr>
        <w:pStyle w:val="Cabealho"/>
        <w:rPr>
          <w:rFonts w:ascii="Times New Roman" w:hAnsi="Times New Roman"/>
          <w:b/>
        </w:rPr>
      </w:pPr>
    </w:p>
    <w:p w:rsidR="00D24E61" w:rsidRPr="00771368" w:rsidRDefault="00D24E61" w:rsidP="00D24E61">
      <w:pPr>
        <w:pStyle w:val="Cabealho"/>
        <w:rPr>
          <w:rFonts w:ascii="Times New Roman" w:hAnsi="Times New Roman"/>
        </w:rPr>
      </w:pPr>
      <w:r w:rsidRPr="00771368">
        <w:rPr>
          <w:rFonts w:ascii="Times New Roman" w:hAnsi="Times New Roman"/>
        </w:rPr>
        <w:t xml:space="preserve">ANGELIM, Fábio Pereira. </w:t>
      </w:r>
      <w:r w:rsidRPr="00771368">
        <w:rPr>
          <w:rFonts w:ascii="Times New Roman" w:hAnsi="Times New Roman"/>
          <w:b/>
        </w:rPr>
        <w:t xml:space="preserve">A importância da intervenção multidisciplinar face à complexidade da violência doméstica </w:t>
      </w:r>
      <w:r w:rsidRPr="00771368">
        <w:rPr>
          <w:rFonts w:ascii="Times New Roman" w:hAnsi="Times New Roman"/>
          <w:i/>
        </w:rPr>
        <w:t>apud</w:t>
      </w:r>
      <w:r w:rsidRPr="00771368">
        <w:rPr>
          <w:rFonts w:ascii="Times New Roman" w:hAnsi="Times New Roman"/>
        </w:rPr>
        <w:t xml:space="preserve"> LIMA, Fausto Rodrigues de; SANTOS, Claudiene (coords.). </w:t>
      </w:r>
      <w:r w:rsidRPr="00771368">
        <w:rPr>
          <w:rFonts w:ascii="Times New Roman" w:hAnsi="Times New Roman"/>
          <w:b/>
        </w:rPr>
        <w:t xml:space="preserve">Violência doméstica: vulnerabilidade e desafios na intervenção criminal e multidisciplinar. </w:t>
      </w:r>
      <w:r w:rsidRPr="00771368">
        <w:rPr>
          <w:rFonts w:ascii="Times New Roman" w:hAnsi="Times New Roman"/>
        </w:rPr>
        <w:t>Rio de Janeiro: Lumen Juris, 2009.</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r w:rsidRPr="00771368">
        <w:rPr>
          <w:rFonts w:ascii="Times New Roman" w:hAnsi="Times New Roman"/>
        </w:rPr>
        <w:t xml:space="preserve">BAHIA. </w:t>
      </w:r>
      <w:r w:rsidRPr="00771368">
        <w:rPr>
          <w:rFonts w:ascii="Times New Roman" w:hAnsi="Times New Roman"/>
          <w:b/>
        </w:rPr>
        <w:t xml:space="preserve">Lei 12.212 de 04 de maio de 2011. </w:t>
      </w:r>
      <w:r w:rsidRPr="00771368">
        <w:rPr>
          <w:rFonts w:ascii="Times New Roman" w:hAnsi="Times New Roman"/>
        </w:rPr>
        <w:t xml:space="preserve">Modifica a estrutura organizacional e de cargos em comissão da Administração Pública do Poder Executivo Estadual, e dá outras providências. Governo do Estado da Bahia: Salvador, 2011. Disponível em </w:t>
      </w:r>
      <w:hyperlink r:id="rId68" w:history="1">
        <w:r w:rsidRPr="00771368">
          <w:rPr>
            <w:rStyle w:val="Hyperlink"/>
            <w:rFonts w:ascii="Times New Roman" w:hAnsi="Times New Roman"/>
          </w:rPr>
          <w:t>http://www.malaguetainterativa.com.br/clientes/mulheres /wpcontent/uploads/2012/04/ Lei-12212-04-maio-2011-SPM.pdf</w:t>
        </w:r>
      </w:hyperlink>
      <w:r w:rsidRPr="00771368">
        <w:rPr>
          <w:rFonts w:ascii="Times New Roman" w:hAnsi="Times New Roman"/>
        </w:rPr>
        <w:t>. Acesso em 10 mai. 2013.</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r w:rsidRPr="00771368">
        <w:rPr>
          <w:rStyle w:val="A14"/>
          <w:rFonts w:ascii="Times New Roman" w:hAnsi="Times New Roman" w:cs="Times New Roman"/>
          <w:b w:val="0"/>
          <w:szCs w:val="24"/>
        </w:rPr>
        <w:t>BANDEIRA, L</w:t>
      </w:r>
      <w:r w:rsidRPr="00771368">
        <w:rPr>
          <w:rStyle w:val="A14"/>
          <w:rFonts w:ascii="Times New Roman" w:hAnsi="Times New Roman" w:cs="Times New Roman"/>
          <w:szCs w:val="24"/>
        </w:rPr>
        <w:t>. A Construção da Cidadania Social das Mulheres no Brasil</w:t>
      </w:r>
      <w:r w:rsidRPr="00771368">
        <w:rPr>
          <w:rStyle w:val="A14"/>
          <w:rFonts w:ascii="Times New Roman" w:hAnsi="Times New Roman" w:cs="Times New Roman"/>
          <w:b w:val="0"/>
          <w:szCs w:val="24"/>
        </w:rPr>
        <w:t xml:space="preserve">. In: </w:t>
      </w:r>
      <w:r w:rsidRPr="00771368">
        <w:rPr>
          <w:rStyle w:val="A14"/>
          <w:rFonts w:ascii="Times New Roman" w:hAnsi="Times New Roman" w:cs="Times New Roman"/>
          <w:b w:val="0"/>
          <w:iCs/>
          <w:szCs w:val="24"/>
        </w:rPr>
        <w:t>Série Sociológica</w:t>
      </w:r>
      <w:r w:rsidRPr="00771368">
        <w:rPr>
          <w:rStyle w:val="A14"/>
          <w:rFonts w:ascii="Times New Roman" w:hAnsi="Times New Roman" w:cs="Times New Roman"/>
          <w:b w:val="0"/>
          <w:szCs w:val="24"/>
        </w:rPr>
        <w:t>. Brasília: UNB, n. 35, 1996.</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Pa6"/>
        <w:jc w:val="both"/>
        <w:rPr>
          <w:rStyle w:val="A14"/>
          <w:rFonts w:ascii="Times New Roman" w:hAnsi="Times New Roman" w:cs="Times New Roman"/>
          <w:b w:val="0"/>
          <w:szCs w:val="24"/>
        </w:rPr>
      </w:pPr>
      <w:r w:rsidRPr="00771368">
        <w:rPr>
          <w:rStyle w:val="A14"/>
          <w:rFonts w:ascii="Times New Roman" w:hAnsi="Times New Roman" w:cs="Times New Roman"/>
          <w:b w:val="0"/>
          <w:szCs w:val="24"/>
        </w:rPr>
        <w:t xml:space="preserve">___________. </w:t>
      </w:r>
      <w:r w:rsidRPr="00771368">
        <w:rPr>
          <w:rStyle w:val="A14"/>
          <w:rFonts w:ascii="Times New Roman" w:hAnsi="Times New Roman" w:cs="Times New Roman"/>
          <w:szCs w:val="24"/>
        </w:rPr>
        <w:t>Três Décadas de Resistência Feminista contra o Sexismo e a Violência Femini</w:t>
      </w:r>
      <w:r w:rsidRPr="00771368">
        <w:rPr>
          <w:rStyle w:val="A14"/>
          <w:rFonts w:ascii="Times New Roman" w:hAnsi="Times New Roman" w:cs="Times New Roman"/>
          <w:szCs w:val="24"/>
        </w:rPr>
        <w:softHyphen/>
        <w:t>na no Brasil</w:t>
      </w:r>
      <w:r w:rsidRPr="00771368">
        <w:rPr>
          <w:rStyle w:val="A14"/>
          <w:rFonts w:ascii="Times New Roman" w:hAnsi="Times New Roman" w:cs="Times New Roman"/>
          <w:b w:val="0"/>
          <w:szCs w:val="24"/>
        </w:rPr>
        <w:t>: 1976 a 2006. Sociedade e Estado. Brasília: UNB, v. 24, n. 2, ago. 2009, p. 401-438. Disponível em:  &lt;http://www.scielo.br/scielo.php?script=sci _arttext&amp;pid=S0102-69922009000200004&amp;lng=en&amp;nrm=iso&amp;tlng=pt&gt;. Acesso em: 12 jul. 2013.</w:t>
      </w:r>
    </w:p>
    <w:p w:rsidR="00D24E61" w:rsidRPr="00771368" w:rsidRDefault="00D24E61" w:rsidP="00D24E61">
      <w:pPr>
        <w:tabs>
          <w:tab w:val="left" w:pos="6204"/>
        </w:tabs>
        <w:jc w:val="both"/>
      </w:pPr>
    </w:p>
    <w:p w:rsidR="00D24E61" w:rsidRPr="00771368" w:rsidRDefault="00D24E61" w:rsidP="00D24E61">
      <w:pPr>
        <w:tabs>
          <w:tab w:val="left" w:pos="6204"/>
        </w:tabs>
        <w:jc w:val="both"/>
      </w:pPr>
    </w:p>
    <w:p w:rsidR="00D24E61" w:rsidRPr="00771368" w:rsidRDefault="00D24E61" w:rsidP="00D24E61">
      <w:pPr>
        <w:tabs>
          <w:tab w:val="left" w:pos="6204"/>
        </w:tabs>
        <w:jc w:val="both"/>
      </w:pPr>
      <w:r w:rsidRPr="00771368">
        <w:t xml:space="preserve">BEAUVOIR, Simone de. </w:t>
      </w:r>
      <w:r w:rsidRPr="00771368">
        <w:rPr>
          <w:b/>
        </w:rPr>
        <w:t>O segundo sexo.</w:t>
      </w:r>
      <w:r w:rsidRPr="00771368">
        <w:t xml:space="preserve"> Fatos e mitos. 4ª ed. São Paulo: Difusão Europeia do Livro, 1970.</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tabs>
          <w:tab w:val="left" w:pos="6204"/>
        </w:tabs>
        <w:jc w:val="both"/>
      </w:pPr>
      <w:r w:rsidRPr="00771368">
        <w:t xml:space="preserve">_________. </w:t>
      </w:r>
      <w:r w:rsidRPr="00771368">
        <w:rPr>
          <w:b/>
        </w:rPr>
        <w:t>O segundo sexo.</w:t>
      </w:r>
      <w:r w:rsidRPr="00771368">
        <w:t xml:space="preserve"> A experiência vivida. 2ª ed. São Paulo: Difusão Europeia do Livro, 1967.</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r w:rsidRPr="00771368">
        <w:rPr>
          <w:rFonts w:ascii="Times New Roman" w:hAnsi="Times New Roman"/>
        </w:rPr>
        <w:t xml:space="preserve">BIANCHINI, Alice. </w:t>
      </w:r>
      <w:r w:rsidRPr="00771368">
        <w:rPr>
          <w:rFonts w:ascii="Times New Roman" w:hAnsi="Times New Roman"/>
          <w:b/>
        </w:rPr>
        <w:t xml:space="preserve">Lei Maria da Penha: </w:t>
      </w:r>
      <w:r w:rsidRPr="00771368">
        <w:rPr>
          <w:rFonts w:ascii="Times New Roman" w:hAnsi="Times New Roman"/>
        </w:rPr>
        <w:t>aspectos assistenciais, protetivos e criminais da violência de gênero. São Paulo: Saraiva, 2013.</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autoSpaceDE w:val="0"/>
        <w:autoSpaceDN w:val="0"/>
        <w:adjustRightInd w:val="0"/>
        <w:jc w:val="both"/>
      </w:pPr>
      <w:r w:rsidRPr="00771368">
        <w:t xml:space="preserve">____________. </w:t>
      </w:r>
      <w:r w:rsidRPr="00771368">
        <w:rPr>
          <w:b/>
        </w:rPr>
        <w:t>Rumo À Igualdade Entre Os Sexos</w:t>
      </w:r>
      <w:r w:rsidRPr="00771368">
        <w:t xml:space="preserve">: Entre Avanços Legais e Estagnações Sociais. Disponível em </w:t>
      </w:r>
      <w:r w:rsidRPr="00771368">
        <w:rPr>
          <w:u w:val="single"/>
        </w:rPr>
        <w:t>http://atualidadesdodireito.com.br/alicebia nchini/ 2011/04/05/rumo-a-igualdadeentre-os-sexos-entre-avancos-legais-e-estagnacoes-sociais</w:t>
      </w:r>
      <w:r w:rsidRPr="00771368">
        <w:t>. Material da 4ª aula da Disciplina Política Criminal, ministrada no Curso de Pós-Graduação Lato Sensu TeleVirtual em Ciências Penais - Universidade Anhanguera-Uniderp - IPAN - REDE LFG.</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autoSpaceDE w:val="0"/>
        <w:autoSpaceDN w:val="0"/>
        <w:adjustRightInd w:val="0"/>
        <w:jc w:val="both"/>
      </w:pPr>
      <w:r w:rsidRPr="00771368">
        <w:t xml:space="preserve">_____________; MAZZUOLI, Valerio de Oliveira. </w:t>
      </w:r>
      <w:r w:rsidRPr="00771368">
        <w:rPr>
          <w:b/>
        </w:rPr>
        <w:t>Lei de violência doméstica e familiar contra mulher (Lei Maria da Penha)</w:t>
      </w:r>
      <w:r w:rsidRPr="00771368">
        <w:t xml:space="preserve">: constitucionalidade e convencionalidade. In: </w:t>
      </w:r>
      <w:r w:rsidRPr="00771368">
        <w:rPr>
          <w:i/>
          <w:iCs/>
        </w:rPr>
        <w:t xml:space="preserve">Atualidades Jurídicas: </w:t>
      </w:r>
      <w:r w:rsidRPr="00771368">
        <w:t xml:space="preserve">Revista eletrônica do Conselho Federal da OAB, v. 5, p. 2-22, 2009. Material da 4ª aula da Disciplina Política Criminal, ministrada no Curso de Pós-Graduação </w:t>
      </w:r>
      <w:r w:rsidRPr="00771368">
        <w:rPr>
          <w:i/>
          <w:iCs/>
        </w:rPr>
        <w:t xml:space="preserve">Lato Sensu </w:t>
      </w:r>
      <w:r w:rsidRPr="00771368">
        <w:t>TeleVirtual em Ciências Penais - Universidade Anhanguera-Uniderp - IPAN - REDE LFG.</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rPr>
          <w:color w:val="000000"/>
        </w:rPr>
      </w:pPr>
      <w:r w:rsidRPr="00771368">
        <w:rPr>
          <w:color w:val="000000"/>
        </w:rPr>
        <w:t xml:space="preserve">______________. </w:t>
      </w:r>
      <w:r w:rsidRPr="00771368">
        <w:rPr>
          <w:b/>
          <w:color w:val="000000"/>
        </w:rPr>
        <w:t xml:space="preserve">Por que as mulheres não denunciam seus agressores? Com a palavra, a vítima. </w:t>
      </w:r>
      <w:r w:rsidRPr="00771368">
        <w:rPr>
          <w:color w:val="000000"/>
        </w:rPr>
        <w:t xml:space="preserve">In: </w:t>
      </w:r>
      <w:hyperlink r:id="rId69" w:history="1">
        <w:r w:rsidRPr="00771368">
          <w:rPr>
            <w:rStyle w:val="Hyperlink"/>
          </w:rPr>
          <w:t>http://atualidadesdodireito.com.br/alicebianchini/2011/10/04/</w:t>
        </w:r>
      </w:hyperlink>
      <w:r w:rsidRPr="00771368">
        <w:rPr>
          <w:rStyle w:val="Hyperlink"/>
        </w:rPr>
        <w:t>por- que -asmulheres-nao-denunciam-seus-agressores-com-a-palavra-a-vitima/.</w:t>
      </w:r>
      <w:r w:rsidRPr="00771368">
        <w:rPr>
          <w:color w:val="000000"/>
        </w:rPr>
        <w:t xml:space="preserve"> Material da 4ª aula da Disciplina Política Criminal, ministrada no Curso de Pós-Graduação </w:t>
      </w:r>
      <w:r w:rsidRPr="00771368">
        <w:rPr>
          <w:i/>
          <w:iCs/>
          <w:color w:val="000000"/>
        </w:rPr>
        <w:t xml:space="preserve">Lato Sensu </w:t>
      </w:r>
      <w:r w:rsidRPr="00771368">
        <w:rPr>
          <w:color w:val="000000"/>
        </w:rPr>
        <w:t>TeleVirtual em Ciências Penais - Universidade Anhanguera-Uniderp - IPAN - REDE LFG.</w:t>
      </w:r>
    </w:p>
    <w:p w:rsidR="00D24E61" w:rsidRPr="00771368" w:rsidRDefault="00D24E61" w:rsidP="00D24E61">
      <w:pPr>
        <w:autoSpaceDE w:val="0"/>
        <w:autoSpaceDN w:val="0"/>
        <w:adjustRightInd w:val="0"/>
        <w:jc w:val="both"/>
        <w:rPr>
          <w:color w:val="000000"/>
        </w:rPr>
      </w:pPr>
    </w:p>
    <w:p w:rsidR="00D24E61" w:rsidRPr="00771368" w:rsidRDefault="00D24E61" w:rsidP="00D24E61">
      <w:pPr>
        <w:autoSpaceDE w:val="0"/>
        <w:autoSpaceDN w:val="0"/>
        <w:adjustRightInd w:val="0"/>
        <w:jc w:val="both"/>
        <w:rPr>
          <w:color w:val="000000"/>
        </w:rPr>
      </w:pPr>
    </w:p>
    <w:p w:rsidR="00D24E61" w:rsidRPr="00771368" w:rsidRDefault="00D24E61" w:rsidP="00D24E61">
      <w:pPr>
        <w:jc w:val="both"/>
      </w:pPr>
      <w:r w:rsidRPr="00771368">
        <w:t xml:space="preserve">BOCCHETTI, Alessandra. </w:t>
      </w:r>
      <w:r w:rsidRPr="00771368">
        <w:rPr>
          <w:b/>
        </w:rPr>
        <w:t>A diferença indecente</w:t>
      </w:r>
      <w:r w:rsidRPr="00771368">
        <w:t>. Debate feminista. Cidadania e feminismo (edição especial). São Paulo: Cia Melhoramentos, 1999.</w:t>
      </w:r>
    </w:p>
    <w:p w:rsidR="00D24E61" w:rsidRPr="00771368" w:rsidRDefault="00D24E61" w:rsidP="00D24E61">
      <w:pPr>
        <w:autoSpaceDE w:val="0"/>
        <w:autoSpaceDN w:val="0"/>
        <w:adjustRightInd w:val="0"/>
        <w:jc w:val="both"/>
        <w:rPr>
          <w:color w:val="000000"/>
        </w:rPr>
      </w:pPr>
    </w:p>
    <w:p w:rsidR="00D24E61" w:rsidRPr="00771368" w:rsidRDefault="00D24E61" w:rsidP="00D24E61">
      <w:pPr>
        <w:autoSpaceDE w:val="0"/>
        <w:autoSpaceDN w:val="0"/>
        <w:adjustRightInd w:val="0"/>
        <w:jc w:val="both"/>
        <w:rPr>
          <w:color w:val="000000"/>
        </w:rPr>
      </w:pPr>
    </w:p>
    <w:p w:rsidR="00D24E61" w:rsidRPr="00771368" w:rsidRDefault="00D24E61" w:rsidP="00D24E61">
      <w:pPr>
        <w:autoSpaceDE w:val="0"/>
        <w:autoSpaceDN w:val="0"/>
        <w:adjustRightInd w:val="0"/>
        <w:jc w:val="both"/>
      </w:pPr>
      <w:r w:rsidRPr="00771368">
        <w:rPr>
          <w:color w:val="000000"/>
        </w:rPr>
        <w:t xml:space="preserve">BRASIL. </w:t>
      </w:r>
      <w:r w:rsidRPr="00771368">
        <w:rPr>
          <w:b/>
          <w:color w:val="000000"/>
        </w:rPr>
        <w:t xml:space="preserve">Lei nº 10.683 de 28 de maio de 2003. </w:t>
      </w:r>
      <w:r w:rsidRPr="00771368">
        <w:rPr>
          <w:shd w:val="clear" w:color="auto" w:fill="FFFFFF"/>
        </w:rPr>
        <w:t xml:space="preserve">Dispõe sobre a organização da Presidência da República e dos Ministérios, e dá outras providências. Presidência da República – Casa Civil: Brasília – DF, 2003. Disponível em </w:t>
      </w:r>
      <w:hyperlink r:id="rId70" w:history="1">
        <w:r w:rsidRPr="00771368">
          <w:rPr>
            <w:rStyle w:val="Hyperlink"/>
          </w:rPr>
          <w:t>http://www.planalto.gov.br/ccivil_03/LEIS/2003/L10.683compilado.htm</w:t>
        </w:r>
      </w:hyperlink>
      <w:r w:rsidRPr="00771368">
        <w:t>. Acesso em 10 mai. 2013.</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jc w:val="both"/>
      </w:pPr>
      <w:r w:rsidRPr="00771368">
        <w:t xml:space="preserve">_________. </w:t>
      </w:r>
      <w:r w:rsidRPr="00771368">
        <w:rPr>
          <w:b/>
        </w:rPr>
        <w:t xml:space="preserve">Decreto nº 4.377, de 13 de setembro de 2002. </w:t>
      </w:r>
      <w:r w:rsidRPr="00771368">
        <w:rPr>
          <w:color w:val="800000"/>
        </w:rPr>
        <w:br/>
      </w:r>
      <w:r w:rsidRPr="00771368">
        <w:t xml:space="preserve">Promulga a Convenção sobre a Eliminação de Todas as Formas de Discriminação contra a Mulher, de 1979, e revoga o Decreto no 89.460, de 20 de março de 1984. </w:t>
      </w:r>
      <w:r w:rsidRPr="00771368">
        <w:rPr>
          <w:shd w:val="clear" w:color="auto" w:fill="FFFFFF"/>
        </w:rPr>
        <w:t xml:space="preserve">Presidência da República – Casa Civil: Brasília – DF, 2003. Disponível em </w:t>
      </w:r>
      <w:hyperlink r:id="rId71" w:history="1">
        <w:r w:rsidRPr="00771368">
          <w:rPr>
            <w:rStyle w:val="Hyperlink"/>
          </w:rPr>
          <w:t>http://www.planalto.gov.br/ccivil_03/decreto/2002/D4377.htm</w:t>
        </w:r>
      </w:hyperlink>
      <w:r w:rsidRPr="00771368">
        <w:t>. Acesso em 21 mai. 2013.</w:t>
      </w:r>
    </w:p>
    <w:p w:rsidR="00D24E61" w:rsidRPr="00771368" w:rsidRDefault="00D24E61" w:rsidP="00D24E61">
      <w:pPr>
        <w:autoSpaceDE w:val="0"/>
        <w:autoSpaceDN w:val="0"/>
        <w:adjustRightInd w:val="0"/>
        <w:jc w:val="both"/>
      </w:pPr>
    </w:p>
    <w:p w:rsidR="00D24E61" w:rsidRPr="00771368" w:rsidRDefault="00D24E61" w:rsidP="00D24E61">
      <w:pPr>
        <w:pStyle w:val="Cabealho"/>
        <w:rPr>
          <w:rFonts w:ascii="Times New Roman" w:hAnsi="Times New Roman"/>
        </w:rPr>
      </w:pPr>
    </w:p>
    <w:p w:rsidR="00D24E61" w:rsidRPr="00771368" w:rsidRDefault="00D24E61" w:rsidP="00D24E61">
      <w:pPr>
        <w:jc w:val="both"/>
      </w:pPr>
      <w:r w:rsidRPr="00771368">
        <w:t xml:space="preserve">__________. </w:t>
      </w:r>
      <w:r w:rsidRPr="00771368">
        <w:rPr>
          <w:b/>
        </w:rPr>
        <w:t>Lei nº 9.099, de 26 de setembro de 1995.</w:t>
      </w:r>
      <w:r w:rsidRPr="00771368">
        <w:t xml:space="preserve"> </w:t>
      </w:r>
      <w:r w:rsidRPr="00771368">
        <w:rPr>
          <w:color w:val="800000"/>
        </w:rPr>
        <w:br/>
      </w:r>
      <w:r w:rsidRPr="00771368">
        <w:t xml:space="preserve">Dispõe sobre os Juizados Especiais Cíveis e Criminais e dá outras providências. </w:t>
      </w:r>
      <w:r w:rsidRPr="00771368">
        <w:rPr>
          <w:shd w:val="clear" w:color="auto" w:fill="FFFFFF"/>
        </w:rPr>
        <w:t xml:space="preserve">Presidência da República – Casa Civil: Brasília – DF, 1995. Disponível em </w:t>
      </w:r>
      <w:hyperlink r:id="rId72" w:history="1">
        <w:r w:rsidRPr="00771368">
          <w:rPr>
            <w:rStyle w:val="Hyperlink"/>
          </w:rPr>
          <w:t>http://www.planalto.gov.br/ccivil_03/leis/l9099.htm</w:t>
        </w:r>
      </w:hyperlink>
      <w:r w:rsidRPr="00771368">
        <w:t>. Acesso em 17 jun. 2013.</w:t>
      </w:r>
    </w:p>
    <w:p w:rsidR="00D24E61" w:rsidRPr="00771368" w:rsidRDefault="00D24E61" w:rsidP="00D24E61">
      <w:pPr>
        <w:jc w:val="both"/>
      </w:pPr>
    </w:p>
    <w:p w:rsidR="00D24E61" w:rsidRPr="00771368" w:rsidRDefault="00D24E61" w:rsidP="00D24E61">
      <w:pPr>
        <w:jc w:val="both"/>
      </w:pPr>
    </w:p>
    <w:p w:rsidR="00D24E61" w:rsidRPr="00771368" w:rsidRDefault="00D24E61" w:rsidP="00D24E61">
      <w:pPr>
        <w:pStyle w:val="NormalWeb"/>
        <w:spacing w:before="0" w:beforeAutospacing="0" w:after="0" w:afterAutospacing="0"/>
        <w:jc w:val="both"/>
      </w:pPr>
      <w:r w:rsidRPr="00771368">
        <w:t xml:space="preserve">__________. </w:t>
      </w:r>
      <w:r w:rsidRPr="00771368">
        <w:rPr>
          <w:b/>
        </w:rPr>
        <w:t>Lei nº 10.455, de 13 de maio de 2002.</w:t>
      </w:r>
      <w:r w:rsidRPr="00771368">
        <w:t xml:space="preserve"> </w:t>
      </w:r>
      <w:r w:rsidRPr="00771368">
        <w:rPr>
          <w:color w:val="4D4D4D"/>
        </w:rPr>
        <w:br/>
      </w:r>
      <w:r w:rsidRPr="00771368">
        <w:t>Modifica o parágrafo único do art. 69 da</w:t>
      </w:r>
      <w:r w:rsidRPr="00771368">
        <w:rPr>
          <w:rStyle w:val="apple-converted-space"/>
          <w:rFonts w:eastAsia="Calibri"/>
        </w:rPr>
        <w:t> </w:t>
      </w:r>
      <w:hyperlink r:id="rId73" w:history="1">
        <w:r w:rsidRPr="00771368">
          <w:rPr>
            <w:rStyle w:val="Hyperlink"/>
            <w:rFonts w:eastAsia="Calibri"/>
            <w:bCs/>
          </w:rPr>
          <w:t>Lei 9.099</w:t>
        </w:r>
      </w:hyperlink>
      <w:r w:rsidRPr="00771368">
        <w:t xml:space="preserve">, de 26 de setembro de 1995. </w:t>
      </w:r>
      <w:r w:rsidRPr="00771368">
        <w:rPr>
          <w:shd w:val="clear" w:color="auto" w:fill="FFFFFF"/>
        </w:rPr>
        <w:t xml:space="preserve">Presidência da República – Casa Civil: Brasília – DF, 2002. </w:t>
      </w:r>
      <w:r w:rsidRPr="00771368">
        <w:t xml:space="preserve">Disponível em </w:t>
      </w:r>
      <w:hyperlink r:id="rId74" w:history="1">
        <w:r w:rsidRPr="00771368">
          <w:rPr>
            <w:rStyle w:val="Hyperlink"/>
            <w:rFonts w:eastAsia="Calibri"/>
          </w:rPr>
          <w:t>http://www.planalto.gov.br/ccivil_03/leis/l10455.htm</w:t>
        </w:r>
      </w:hyperlink>
      <w:r w:rsidRPr="00771368">
        <w:t>. Acesso em 17 jun. 2013.</w:t>
      </w: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r w:rsidRPr="00771368">
        <w:t xml:space="preserve">_________. </w:t>
      </w:r>
      <w:r w:rsidRPr="00771368">
        <w:rPr>
          <w:b/>
        </w:rPr>
        <w:t>Lei nº 10.778, de 24 de novembro de 2003.</w:t>
      </w:r>
      <w:r w:rsidRPr="00771368">
        <w:t xml:space="preserve"> Estabelece a notificação compulsória, no território nacional, do caso de violência contra a mulher que for atendida em serviços de saúde públicos ou privados</w:t>
      </w:r>
      <w:r w:rsidRPr="00771368">
        <w:rPr>
          <w:color w:val="800000"/>
        </w:rPr>
        <w:t xml:space="preserve">. </w:t>
      </w:r>
      <w:r w:rsidRPr="00771368">
        <w:rPr>
          <w:shd w:val="clear" w:color="auto" w:fill="FFFFFF"/>
        </w:rPr>
        <w:t xml:space="preserve">Presidência da República – Casa Civil: Brasília – DF, 2003. </w:t>
      </w:r>
      <w:r w:rsidRPr="00771368">
        <w:t xml:space="preserve">Disponível em </w:t>
      </w:r>
      <w:hyperlink r:id="rId75" w:history="1">
        <w:r w:rsidRPr="00771368">
          <w:rPr>
            <w:rStyle w:val="Hyperlink"/>
            <w:rFonts w:eastAsia="Calibri"/>
          </w:rPr>
          <w:t>http://www.planalto.gov.br/ccivil _03/leis/2003/l10.778.htm</w:t>
        </w:r>
      </w:hyperlink>
      <w:r w:rsidRPr="00771368">
        <w:t>. Acesso em 17 jun. 2013.</w:t>
      </w: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r w:rsidRPr="00771368">
        <w:t xml:space="preserve">_________. </w:t>
      </w:r>
      <w:r w:rsidRPr="00771368">
        <w:rPr>
          <w:b/>
        </w:rPr>
        <w:t>Lei nº 11.340, de 07 de agosto de 2006.</w:t>
      </w:r>
      <w:r w:rsidRPr="00771368">
        <w:t xml:space="preserve"> Cria mecanismos para coibir a violência doméstica e familiar contra a mulher, nos termos do § 8</w:t>
      </w:r>
      <w:r w:rsidRPr="00771368">
        <w:rPr>
          <w:u w:val="single"/>
          <w:vertAlign w:val="superscript"/>
        </w:rPr>
        <w:t>o</w:t>
      </w:r>
      <w:r w:rsidRPr="00771368">
        <w:rPr>
          <w:rStyle w:val="apple-converted-space"/>
        </w:rPr>
        <w:t> </w:t>
      </w:r>
      <w:r w:rsidRPr="00771368">
        <w:t>do art. 226 da Constituição Federal, da Convenção sobre</w:t>
      </w:r>
      <w:r w:rsidRPr="00771368">
        <w:rPr>
          <w:rStyle w:val="apple-converted-space"/>
        </w:rPr>
        <w:t> </w:t>
      </w:r>
      <w:r w:rsidRPr="00771368">
        <w:t xml:space="preserve">a Eliminação de Todas as Formas de Discriminação contra as Mulheres e da Convenção Interamericana para Prevenir, Punir e Erradicar a Violência contra a Mulher; dispõe sobre a criação dos Juizados de Violência Doméstica e Familiar contra a Mulher; altera o Código de Processo Penal, o Código Penal e a Lei de Execução Penal; e dá outras providências. </w:t>
      </w:r>
      <w:r w:rsidRPr="00771368">
        <w:rPr>
          <w:shd w:val="clear" w:color="auto" w:fill="FFFFFF"/>
        </w:rPr>
        <w:t xml:space="preserve">Presidência da República – Casa Civil: Brasília – DF, 2006. </w:t>
      </w:r>
      <w:r w:rsidRPr="00771368">
        <w:t xml:space="preserve">Disponível em </w:t>
      </w:r>
      <w:hyperlink r:id="rId76" w:history="1">
        <w:r w:rsidRPr="00771368">
          <w:rPr>
            <w:rStyle w:val="Hyperlink"/>
            <w:rFonts w:eastAsia="Calibri"/>
          </w:rPr>
          <w:t>http://www.planalto.gov.br/ccivil_03/ _ato2004-2006/2006/lei/l11340.htm</w:t>
        </w:r>
      </w:hyperlink>
      <w:r w:rsidRPr="00771368">
        <w:t>. Acesso em 10 mai. 2013.</w:t>
      </w: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r w:rsidRPr="00771368">
        <w:t xml:space="preserve">__________. </w:t>
      </w:r>
      <w:r w:rsidRPr="00771368">
        <w:rPr>
          <w:b/>
        </w:rPr>
        <w:t>Política Nacional de Enfrentamento à Violência contra as Mulheres.</w:t>
      </w:r>
      <w:r w:rsidRPr="00771368">
        <w:t xml:space="preserve"> Brasília: Secretaria Especial de Políticas para Mulheres da Presidência da República, 2011.</w:t>
      </w: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r w:rsidRPr="00771368">
        <w:t xml:space="preserve">__________. </w:t>
      </w:r>
      <w:r w:rsidRPr="00771368">
        <w:rPr>
          <w:b/>
        </w:rPr>
        <w:t xml:space="preserve">Norma técnica de uniformização dos Centros de Referência da Mulher. </w:t>
      </w:r>
      <w:r w:rsidRPr="00771368">
        <w:t>Brasília: Secretaria Especial de Políticas para Mulheres da Presidência da República, 2006.</w:t>
      </w: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r w:rsidRPr="00771368">
        <w:t xml:space="preserve">__________. </w:t>
      </w:r>
      <w:r w:rsidRPr="00771368">
        <w:rPr>
          <w:b/>
        </w:rPr>
        <w:t>Rede de Enfrentamento à Violência contra as Mulheres.</w:t>
      </w:r>
      <w:r w:rsidRPr="00771368">
        <w:t xml:space="preserve"> Brasília: Secretaria Especial de Políticas para Mulheres da Presidência da República, 2011.</w:t>
      </w:r>
    </w:p>
    <w:p w:rsidR="00D24E61" w:rsidRPr="00771368" w:rsidRDefault="00D24E61" w:rsidP="00D24E61">
      <w:pPr>
        <w:pStyle w:val="NormalWeb"/>
        <w:spacing w:before="0" w:beforeAutospacing="0" w:after="0" w:afterAutospacing="0"/>
        <w:jc w:val="both"/>
        <w:rPr>
          <w:b/>
        </w:rPr>
      </w:pPr>
    </w:p>
    <w:p w:rsidR="00D24E61" w:rsidRPr="00771368" w:rsidRDefault="00D24E61" w:rsidP="00D24E61">
      <w:pPr>
        <w:pStyle w:val="NormalWeb"/>
        <w:spacing w:before="0" w:beforeAutospacing="0" w:after="0" w:afterAutospacing="0"/>
        <w:jc w:val="both"/>
      </w:pPr>
    </w:p>
    <w:p w:rsidR="00D24E61" w:rsidRPr="00771368" w:rsidRDefault="00D24E61" w:rsidP="00D24E61">
      <w:pPr>
        <w:pStyle w:val="NormalWeb"/>
        <w:spacing w:before="0" w:beforeAutospacing="0" w:after="0" w:afterAutospacing="0"/>
        <w:jc w:val="both"/>
      </w:pPr>
      <w:r w:rsidRPr="00771368">
        <w:t>CARNEIRO, Sueli. </w:t>
      </w:r>
      <w:r w:rsidRPr="00771368">
        <w:rPr>
          <w:b/>
        </w:rPr>
        <w:t>Mulheres em movimento</w:t>
      </w:r>
      <w:r w:rsidRPr="00771368">
        <w:t xml:space="preserve">. Revista Estudos Avançados. vol.17, n.49, p. 117-133. ISSN 0103-4014. Disponível em: </w:t>
      </w:r>
      <w:hyperlink r:id="rId77" w:history="1">
        <w:r w:rsidRPr="00771368">
          <w:rPr>
            <w:rStyle w:val="Hyperlink"/>
            <w:rFonts w:eastAsia="Calibri"/>
          </w:rPr>
          <w:t>http://www.scielo.br/scielo.php? script=sci_arttext&amp;pid=S0103-40142003000300 008</w:t>
        </w:r>
      </w:hyperlink>
      <w:r w:rsidRPr="00771368">
        <w:t>. Acesso em: 28 fev.2013.</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tabs>
          <w:tab w:val="left" w:pos="6204"/>
        </w:tabs>
        <w:jc w:val="both"/>
      </w:pPr>
      <w:r w:rsidRPr="00771368">
        <w:t xml:space="preserve">CASTRO, Carmem Lúcia Freitas de; GONTIJO, Cynthia Rúbia Braga; AMABILE, Antônio Eduardo de Noronha (orgs.). </w:t>
      </w:r>
      <w:r w:rsidRPr="00771368">
        <w:rPr>
          <w:b/>
        </w:rPr>
        <w:t>Dicionário de Políticas Públicas.</w:t>
      </w:r>
      <w:r w:rsidRPr="00771368">
        <w:t xml:space="preserve"> Barbacena: EdUEMG, 2012.</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r w:rsidRPr="00771368">
        <w:rPr>
          <w:rFonts w:ascii="Times New Roman" w:hAnsi="Times New Roman"/>
        </w:rPr>
        <w:t xml:space="preserve">CAVALCANTI, Stela Valéria Soares de Farias. </w:t>
      </w:r>
      <w:r w:rsidRPr="00771368">
        <w:rPr>
          <w:rFonts w:ascii="Times New Roman" w:hAnsi="Times New Roman"/>
          <w:b/>
        </w:rPr>
        <w:t xml:space="preserve">Violência doméstica. </w:t>
      </w:r>
      <w:r w:rsidRPr="00771368">
        <w:rPr>
          <w:rFonts w:ascii="Times New Roman" w:hAnsi="Times New Roman"/>
        </w:rPr>
        <w:t>Análise da Lei “Maria da Penha”, nº 11.340/06. 4ª edição revista, ampliada e atualizada com jurisprudências. Salvador: JusPodivm, 2012.</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r w:rsidRPr="00D61223">
        <w:rPr>
          <w:rFonts w:ascii="Times New Roman" w:hAnsi="Times New Roman"/>
          <w:lang w:val="en-US"/>
        </w:rPr>
        <w:t xml:space="preserve">CEDAW. </w:t>
      </w:r>
      <w:r w:rsidRPr="00D61223">
        <w:rPr>
          <w:rFonts w:ascii="Times New Roman" w:hAnsi="Times New Roman"/>
          <w:b/>
          <w:lang w:val="en-US"/>
        </w:rPr>
        <w:t>Convention on the Elimination of All Forms of Discrimination against Women</w:t>
      </w:r>
      <w:r w:rsidRPr="00D61223">
        <w:rPr>
          <w:rFonts w:ascii="Times New Roman" w:hAnsi="Times New Roman"/>
          <w:lang w:val="en-US"/>
        </w:rPr>
        <w:t xml:space="preserve">. </w:t>
      </w:r>
      <w:r w:rsidRPr="00771368">
        <w:rPr>
          <w:rFonts w:ascii="Times New Roman" w:hAnsi="Times New Roman"/>
        </w:rPr>
        <w:t>Ratificada pelo Congresso Nacional em 1º de fevereiro de 1984.</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r w:rsidRPr="00771368">
        <w:rPr>
          <w:rFonts w:ascii="Times New Roman" w:hAnsi="Times New Roman"/>
        </w:rPr>
        <w:t xml:space="preserve">CONSELHO NACIONAL DE JUSTIÇA – CNJ. </w:t>
      </w:r>
      <w:r w:rsidRPr="00771368">
        <w:rPr>
          <w:rFonts w:ascii="Times New Roman" w:hAnsi="Times New Roman"/>
          <w:b/>
        </w:rPr>
        <w:t>O Poder Judiciário na aplicação da Lei Maria da Penha.</w:t>
      </w:r>
      <w:r w:rsidRPr="00771368">
        <w:rPr>
          <w:rFonts w:ascii="Times New Roman" w:hAnsi="Times New Roman"/>
        </w:rPr>
        <w:t xml:space="preserve"> Brasília: Secretaria de Comunicação Social, 2013.</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r w:rsidRPr="00771368">
        <w:rPr>
          <w:rFonts w:ascii="Times New Roman" w:hAnsi="Times New Roman"/>
        </w:rPr>
        <w:t xml:space="preserve">CRUZ, Luciano da Silva. </w:t>
      </w:r>
      <w:r w:rsidRPr="00771368">
        <w:rPr>
          <w:rFonts w:ascii="Times New Roman" w:hAnsi="Times New Roman"/>
          <w:b/>
        </w:rPr>
        <w:t xml:space="preserve">Aspectos concernentes à ação penal nos crimes de lesão corporal leve cometidos no âmbito doméstico e familiar. </w:t>
      </w:r>
      <w:r w:rsidRPr="00771368">
        <w:rPr>
          <w:rFonts w:ascii="Times New Roman" w:hAnsi="Times New Roman"/>
        </w:rPr>
        <w:t>Uma análise jurisprudencial quanto ao tipo de ação penal nos crimes tipificados pelos art. 129, § 9º do Código Penal e art. 44 da Lei nº 11.340/2006 – Lei Maria da Penha. Monografia apresentada como pré-requisito para obtenção do título de Bacharel em Direito da Faculdade de Direito da Universidade de Brasília.Orientadora: Ms. Luciana de Souza Ramos. Brasília: UNB, 2011.</w:t>
      </w:r>
    </w:p>
    <w:p w:rsidR="00D24E61" w:rsidRPr="00771368" w:rsidRDefault="00D24E61" w:rsidP="00D24E61">
      <w:pPr>
        <w:pStyle w:val="Cabealho"/>
        <w:rPr>
          <w:rFonts w:ascii="Times New Roman" w:hAnsi="Times New Roman"/>
        </w:rPr>
      </w:pPr>
    </w:p>
    <w:p w:rsidR="00D24E61" w:rsidRPr="00771368" w:rsidRDefault="00D24E61" w:rsidP="00D24E61">
      <w:pPr>
        <w:pStyle w:val="Default"/>
      </w:pPr>
    </w:p>
    <w:p w:rsidR="00D24E61" w:rsidRPr="00771368" w:rsidRDefault="00D24E61" w:rsidP="00D24E61">
      <w:pPr>
        <w:pStyle w:val="Cabealho"/>
        <w:rPr>
          <w:rFonts w:ascii="Times New Roman" w:hAnsi="Times New Roman"/>
        </w:rPr>
      </w:pPr>
      <w:r w:rsidRPr="00771368">
        <w:rPr>
          <w:rFonts w:ascii="Times New Roman" w:hAnsi="Times New Roman"/>
        </w:rPr>
        <w:t xml:space="preserve">ELUF, Luiza Nagib. </w:t>
      </w:r>
      <w:r w:rsidRPr="00771368">
        <w:rPr>
          <w:rFonts w:ascii="Times New Roman" w:hAnsi="Times New Roman"/>
          <w:b/>
        </w:rPr>
        <w:t>A paixão no banco dos réus.</w:t>
      </w:r>
      <w:r w:rsidRPr="00771368">
        <w:rPr>
          <w:rFonts w:ascii="Times New Roman" w:hAnsi="Times New Roman"/>
        </w:rPr>
        <w:t xml:space="preserve"> 3ª edição. São Paulo: Saraiva, 2007.</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r w:rsidRPr="00771368">
        <w:rPr>
          <w:rFonts w:ascii="Times New Roman" w:hAnsi="Times New Roman"/>
        </w:rPr>
        <w:t xml:space="preserve">FRANCHETTO, B.; CAVALCANTI, M. L.; HEILBORN, M. L. </w:t>
      </w:r>
      <w:r w:rsidRPr="00771368">
        <w:rPr>
          <w:rFonts w:ascii="Times New Roman" w:hAnsi="Times New Roman"/>
          <w:b/>
        </w:rPr>
        <w:t>Antropologia e Feminismo</w:t>
      </w:r>
      <w:r w:rsidRPr="00771368">
        <w:rPr>
          <w:rFonts w:ascii="Times New Roman" w:hAnsi="Times New Roman"/>
        </w:rPr>
        <w:t>. In: _________. Perspectivas Antropológicas da Mulher. Rio de Janeiro: Zahar, v. 1, n.1, 1981.</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tabs>
          <w:tab w:val="left" w:pos="6204"/>
        </w:tabs>
        <w:jc w:val="both"/>
      </w:pPr>
      <w:r w:rsidRPr="00771368">
        <w:t xml:space="preserve">HEILBONR, Maria Luiza; ARAÚJO, Leila; BARRETO, Andréa (organizadoras). </w:t>
      </w:r>
      <w:r w:rsidRPr="00771368">
        <w:rPr>
          <w:b/>
        </w:rPr>
        <w:t>Gestão de Políticas Públicas em Gênero e Raça | GPP – GeR: módulo I</w:t>
      </w:r>
      <w:r w:rsidRPr="00771368">
        <w:t>. Políticas Públicas e Promoção da Igualdade. Rio de Janeiro: CEPESC; Brasília: Secretaria de Políticas para as Mulheres, 2010.</w:t>
      </w:r>
    </w:p>
    <w:p w:rsidR="00D24E61" w:rsidRPr="00771368" w:rsidRDefault="00D24E61" w:rsidP="00D24E61">
      <w:pPr>
        <w:tabs>
          <w:tab w:val="left" w:pos="6204"/>
        </w:tabs>
        <w:jc w:val="both"/>
      </w:pPr>
    </w:p>
    <w:p w:rsidR="00D24E61" w:rsidRPr="00771368" w:rsidRDefault="00D24E61" w:rsidP="00D24E61">
      <w:pPr>
        <w:tabs>
          <w:tab w:val="left" w:pos="6204"/>
        </w:tabs>
        <w:jc w:val="both"/>
      </w:pPr>
    </w:p>
    <w:p w:rsidR="00D24E61" w:rsidRPr="00771368" w:rsidRDefault="00D24E61" w:rsidP="00D24E61">
      <w:pPr>
        <w:tabs>
          <w:tab w:val="left" w:pos="6204"/>
        </w:tabs>
        <w:jc w:val="both"/>
      </w:pPr>
      <w:r w:rsidRPr="00771368">
        <w:t xml:space="preserve">__________. </w:t>
      </w:r>
      <w:r w:rsidRPr="00771368">
        <w:rPr>
          <w:b/>
        </w:rPr>
        <w:t>Gestão de Políticas Públicas em Gênero e Raça | GPP – GeR: módulo II</w:t>
      </w:r>
      <w:r w:rsidRPr="00771368">
        <w:t>. Políticas Públicas e Gênero. Rio de Janeiro: CEPESC; Brasília: Secretaria de Políticas para as Mulheres, 2010.</w:t>
      </w:r>
    </w:p>
    <w:p w:rsidR="00D24E61" w:rsidRPr="00771368" w:rsidRDefault="00D24E61" w:rsidP="00D24E61">
      <w:pPr>
        <w:tabs>
          <w:tab w:val="left" w:pos="6204"/>
        </w:tabs>
        <w:jc w:val="both"/>
      </w:pPr>
    </w:p>
    <w:p w:rsidR="00D24E61" w:rsidRPr="00771368" w:rsidRDefault="00D24E61" w:rsidP="00D24E61">
      <w:pPr>
        <w:tabs>
          <w:tab w:val="left" w:pos="6204"/>
        </w:tabs>
        <w:jc w:val="both"/>
      </w:pPr>
    </w:p>
    <w:p w:rsidR="00D24E61" w:rsidRPr="00771368" w:rsidRDefault="00D24E61" w:rsidP="00D24E61">
      <w:pPr>
        <w:tabs>
          <w:tab w:val="left" w:pos="6204"/>
        </w:tabs>
        <w:jc w:val="both"/>
      </w:pPr>
      <w:r w:rsidRPr="00771368">
        <w:t xml:space="preserve">__________. </w:t>
      </w:r>
      <w:r w:rsidRPr="00771368">
        <w:rPr>
          <w:b/>
        </w:rPr>
        <w:t>Gestão de Políticas Públicas em Gênero e Raça | GPP – GeR: módulo IV</w:t>
      </w:r>
      <w:r w:rsidRPr="00771368">
        <w:t>. Estado e Sociedade. Rio de Janeiro: CEPESC; Brasília: Secretaria de Políticas para as Mulheres, 2010.</w:t>
      </w:r>
    </w:p>
    <w:p w:rsidR="00D24E61" w:rsidRPr="00771368" w:rsidRDefault="00D24E61" w:rsidP="00D24E61">
      <w:pPr>
        <w:tabs>
          <w:tab w:val="left" w:pos="6204"/>
        </w:tabs>
        <w:jc w:val="both"/>
      </w:pPr>
    </w:p>
    <w:p w:rsidR="00D24E61" w:rsidRPr="00771368" w:rsidRDefault="00D24E61" w:rsidP="00D24E61">
      <w:pPr>
        <w:tabs>
          <w:tab w:val="left" w:pos="6204"/>
        </w:tabs>
        <w:jc w:val="both"/>
      </w:pPr>
      <w:r w:rsidRPr="00771368">
        <w:t xml:space="preserve">__________. </w:t>
      </w:r>
      <w:r w:rsidRPr="00771368">
        <w:rPr>
          <w:b/>
        </w:rPr>
        <w:t>Gestão de Políticas Públicas em Gênero e Raça | GPP – GeR: módulo V</w:t>
      </w:r>
      <w:r w:rsidRPr="00771368">
        <w:t>. A transversalidade de Gênero e Raça na Gestão Pública. Rio de Janeiro: CEPESC; Brasília: Secretaria de Políticas para as Mulheres, 2010.</w:t>
      </w:r>
    </w:p>
    <w:p w:rsidR="00D24E61" w:rsidRPr="00771368" w:rsidRDefault="00D24E61" w:rsidP="00D24E61">
      <w:pPr>
        <w:tabs>
          <w:tab w:val="left" w:pos="6204"/>
        </w:tabs>
        <w:jc w:val="both"/>
      </w:pPr>
    </w:p>
    <w:p w:rsidR="00D24E61" w:rsidRPr="00771368" w:rsidRDefault="00D24E61" w:rsidP="00D24E61">
      <w:pPr>
        <w:tabs>
          <w:tab w:val="left" w:pos="6204"/>
        </w:tabs>
        <w:jc w:val="both"/>
      </w:pPr>
    </w:p>
    <w:p w:rsidR="00D24E61" w:rsidRPr="00771368" w:rsidRDefault="00D24E61" w:rsidP="00D24E61">
      <w:pPr>
        <w:jc w:val="both"/>
      </w:pPr>
      <w:r w:rsidRPr="00771368">
        <w:t xml:space="preserve">HOBSBAWN, Eric. </w:t>
      </w:r>
      <w:r w:rsidRPr="00771368">
        <w:rPr>
          <w:b/>
        </w:rPr>
        <w:t>A era dos extremos.</w:t>
      </w:r>
      <w:r w:rsidRPr="00771368">
        <w:t xml:space="preserve"> São Paulo: Companhia das Letras, 1995.</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INSTITUTO BRASILEIRO DE GEOGRAFIA E ESTATÍSTICA. </w:t>
      </w:r>
      <w:r w:rsidRPr="00771368">
        <w:rPr>
          <w:b/>
        </w:rPr>
        <w:t>Censo 2010 – cidades da Bahia</w:t>
      </w:r>
      <w:r w:rsidRPr="00771368">
        <w:t xml:space="preserve">. Disponível em </w:t>
      </w:r>
      <w:hyperlink r:id="rId78" w:history="1">
        <w:r w:rsidRPr="00771368">
          <w:rPr>
            <w:rStyle w:val="Hyperlink"/>
          </w:rPr>
          <w:t>http://www.ibge.gov.br/cidadesat/link .php?codigo=29</w:t>
        </w:r>
      </w:hyperlink>
      <w:r w:rsidRPr="00771368">
        <w:t>. Acesso em 17 jun. 2013.</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LOPES, Carmen Lúcia Evangelho. </w:t>
      </w:r>
      <w:r w:rsidRPr="00771368">
        <w:rPr>
          <w:b/>
        </w:rPr>
        <w:t xml:space="preserve">8 de março, Dia Internacional da Mulher – </w:t>
      </w:r>
      <w:r w:rsidRPr="00771368">
        <w:t xml:space="preserve">Uma data e muitas histórias. Centro de Memória Sindical: São Paulo, 2009. Disponível em </w:t>
      </w:r>
      <w:hyperlink r:id="rId79" w:history="1">
        <w:r w:rsidRPr="00771368">
          <w:rPr>
            <w:rStyle w:val="Hyperlink"/>
          </w:rPr>
          <w:t>http://www.redemulher.org.br/8demarco.htm</w:t>
        </w:r>
      </w:hyperlink>
      <w:r w:rsidRPr="00771368">
        <w:t>. Acesso em 10 mai. 2013.</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pStyle w:val="Cabealho"/>
        <w:rPr>
          <w:rFonts w:ascii="Times New Roman" w:hAnsi="Times New Roman"/>
        </w:rPr>
      </w:pPr>
      <w:r w:rsidRPr="00771368">
        <w:rPr>
          <w:rFonts w:ascii="Times New Roman" w:hAnsi="Times New Roman"/>
        </w:rPr>
        <w:t xml:space="preserve">ORGANIZAÇÃO DOS ESTADOS AMERICANOS. </w:t>
      </w:r>
      <w:r w:rsidRPr="00771368">
        <w:rPr>
          <w:rFonts w:ascii="Times New Roman" w:hAnsi="Times New Roman"/>
          <w:b/>
        </w:rPr>
        <w:t>Relatório nº 54/01. Caso 12.051, Maria da Penha Maia Fernandes, Brasil</w:t>
      </w:r>
      <w:r w:rsidRPr="00771368">
        <w:rPr>
          <w:rFonts w:ascii="Times New Roman" w:hAnsi="Times New Roman"/>
        </w:rPr>
        <w:t xml:space="preserve">. Comissão Interamericana de Direitos Humanos, 2001. Disponível em </w:t>
      </w:r>
      <w:hyperlink r:id="rId80" w:history="1">
        <w:r w:rsidRPr="00771368">
          <w:rPr>
            <w:rStyle w:val="Hyperlink"/>
            <w:rFonts w:ascii="Times New Roman" w:hAnsi="Times New Roman"/>
          </w:rPr>
          <w:t>http://www.cidh.oas.org/annualrep/2000port/12051 .htm</w:t>
        </w:r>
      </w:hyperlink>
      <w:r w:rsidRPr="00771368">
        <w:rPr>
          <w:rFonts w:ascii="Times New Roman" w:hAnsi="Times New Roman"/>
        </w:rPr>
        <w:t>. Acesso em 21 mai. 2013.</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ORGANIZAÇÃO MUNDIAL DE SAÚDE.</w:t>
      </w:r>
      <w:r w:rsidRPr="00771368">
        <w:rPr>
          <w:b/>
        </w:rPr>
        <w:t xml:space="preserve"> Modelo de Leyes y Políticas sobre Violência Intrafamiliar contra las Mujeres</w:t>
      </w:r>
      <w:r w:rsidRPr="00771368">
        <w:t xml:space="preserve">. Organización Panamericana de La Salud. Unidad de Género e Salud. Washington D.C., 2004. Disponível em </w:t>
      </w:r>
      <w:hyperlink r:id="rId81" w:history="1">
        <w:r w:rsidRPr="00771368">
          <w:rPr>
            <w:rStyle w:val="Hyperlink"/>
          </w:rPr>
          <w:t>http://www1.paho.org/spanish/DPM/GPP/GH/LeyModelo.pdf</w:t>
        </w:r>
      </w:hyperlink>
      <w:r w:rsidRPr="00771368">
        <w:t>. Acesso em 20 mai. 2013.</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PENHA, Maria da. </w:t>
      </w:r>
      <w:r w:rsidRPr="00771368">
        <w:rPr>
          <w:b/>
        </w:rPr>
        <w:t>Sobrevivi...posso contar.</w:t>
      </w:r>
      <w:r w:rsidRPr="00771368">
        <w:t xml:space="preserve"> 2ª ed. Fortaleza: Armazém da Cultura, 2012.</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PEREIRA, João Purcino; PEREIRA, Leonellea. </w:t>
      </w:r>
      <w:r w:rsidRPr="00771368">
        <w:rPr>
          <w:b/>
        </w:rPr>
        <w:t>Terra dos Arcanjos</w:t>
      </w:r>
      <w:r w:rsidRPr="00771368">
        <w:t xml:space="preserve"> – Historiografia da cidade de São Gabriel – BA. 2ª edição. Irecê – BA: Editora Print Fox, 2013.</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PIOVESAN, Flávia; PIMENTEL, Silvia (coord.). </w:t>
      </w:r>
      <w:r w:rsidRPr="00771368">
        <w:rPr>
          <w:b/>
        </w:rPr>
        <w:t xml:space="preserve">CEDAW: Relatório nacional brasileiro: </w:t>
      </w:r>
      <w:r w:rsidRPr="00771368">
        <w:t>Protocolo facultativo. Brasília: Ministério da Justiça, 2002.</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__________. </w:t>
      </w:r>
      <w:r w:rsidRPr="00771368">
        <w:rPr>
          <w:b/>
        </w:rPr>
        <w:t>Temas de direitos humanos</w:t>
      </w:r>
      <w:r w:rsidRPr="00771368">
        <w:t>. 2ª ed. São Paulo: Max Limonad, 2003.</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PIUSSI, Anna Maria. </w:t>
      </w:r>
      <w:r w:rsidRPr="00771368">
        <w:rPr>
          <w:b/>
        </w:rPr>
        <w:t>Visibilità/significatività del femminile e logos della pedagogia</w:t>
      </w:r>
      <w:r w:rsidRPr="00771368">
        <w:t xml:space="preserve"> In CAVARERO, Adriana; FISCHER, Cristiana; FRANCO, Elvia; LONGOBARDI, Gianninna; MARIAUX,  Veronica; MURARO, Luisa; PIUSSI, Anna Maria; TOMMASI, Wanda; SANVITTO, Anita; ZAMARCHI, Betty; ZAMBONI, Chiara; ZANARDO, Goria (Orgs.) </w:t>
      </w:r>
      <w:r w:rsidRPr="00771368">
        <w:rPr>
          <w:i/>
          <w:iCs/>
        </w:rPr>
        <w:t>Diotima. Il pensiero della differenza sessuale</w:t>
      </w:r>
      <w:r w:rsidRPr="00771368">
        <w:t xml:space="preserve">. Milano: La Tartaruga edizioni, 1987. pp.115-150 </w:t>
      </w:r>
      <w:r w:rsidRPr="00771368">
        <w:rPr>
          <w:i/>
        </w:rPr>
        <w:t xml:space="preserve">apud </w:t>
      </w:r>
      <w:r w:rsidRPr="00771368">
        <w:t xml:space="preserve">SABADELL, Ana Lucia. </w:t>
      </w:r>
      <w:r w:rsidRPr="00771368">
        <w:rPr>
          <w:b/>
        </w:rPr>
        <w:t>Perspectivas jussociológicas da violência doméstica</w:t>
      </w:r>
      <w:r w:rsidRPr="00771368">
        <w:t>: efetiva tutela de direitos fundamentais e/ou repressão penal. In: Revista dos Tribunais, São Paulo, v. 840, 2005, p. 429-456. Material da 4ª aula da Disciplina Política Criminal, ministrada no Curso de Pós-Graduação Lato Sensu TeleVirtual em Ciências Penais - Universidade Anhanguera-Uniderp - IPAN - REDE LFG.</w:t>
      </w:r>
    </w:p>
    <w:p w:rsidR="00D24E61" w:rsidRPr="00771368" w:rsidRDefault="00D24E61" w:rsidP="00D24E61">
      <w:pPr>
        <w:autoSpaceDE w:val="0"/>
        <w:autoSpaceDN w:val="0"/>
        <w:adjustRightInd w:val="0"/>
        <w:jc w:val="both"/>
        <w:rPr>
          <w:b/>
        </w:rPr>
      </w:pPr>
      <w:r w:rsidRPr="00771368">
        <w:rPr>
          <w:b/>
        </w:rPr>
        <w:t xml:space="preserve">                       </w:t>
      </w:r>
    </w:p>
    <w:p w:rsidR="00D24E61" w:rsidRPr="00771368" w:rsidRDefault="00D24E61" w:rsidP="00D24E61">
      <w:pPr>
        <w:pStyle w:val="Default"/>
        <w:jc w:val="both"/>
      </w:pPr>
    </w:p>
    <w:p w:rsidR="00D24E61" w:rsidRPr="00771368" w:rsidRDefault="00D24E61" w:rsidP="00D24E61">
      <w:pPr>
        <w:pStyle w:val="Default"/>
        <w:jc w:val="both"/>
      </w:pPr>
      <w:r w:rsidRPr="00771368">
        <w:t xml:space="preserve">RITTER, Carlos.  </w:t>
      </w:r>
      <w:r w:rsidRPr="00771368">
        <w:rPr>
          <w:b/>
          <w:bCs/>
        </w:rPr>
        <w:t xml:space="preserve">Reflexões epistemológicas sobre os “territórios de identidade”. </w:t>
      </w:r>
      <w:r w:rsidRPr="00771368">
        <w:rPr>
          <w:bCs/>
        </w:rPr>
        <w:t xml:space="preserve">Revista Geografar, </w:t>
      </w:r>
      <w:r w:rsidRPr="00771368">
        <w:t xml:space="preserve">Curitiba, v.6, n.1, p.95-109, jun./2011. </w:t>
      </w:r>
    </w:p>
    <w:p w:rsidR="00D24E61" w:rsidRPr="00771368" w:rsidRDefault="00D24E61" w:rsidP="00D24E61">
      <w:pPr>
        <w:autoSpaceDE w:val="0"/>
        <w:autoSpaceDN w:val="0"/>
        <w:adjustRightInd w:val="0"/>
        <w:jc w:val="both"/>
        <w:rPr>
          <w:color w:val="000000"/>
          <w:shd w:val="clear" w:color="auto" w:fill="FFFFFF"/>
        </w:rPr>
      </w:pPr>
    </w:p>
    <w:p w:rsidR="00D24E61" w:rsidRPr="00771368" w:rsidRDefault="00D24E61" w:rsidP="00D24E61">
      <w:pPr>
        <w:autoSpaceDE w:val="0"/>
        <w:autoSpaceDN w:val="0"/>
        <w:adjustRightInd w:val="0"/>
        <w:jc w:val="both"/>
        <w:rPr>
          <w:color w:val="000000"/>
          <w:shd w:val="clear" w:color="auto" w:fill="FFFFFF"/>
        </w:rPr>
      </w:pPr>
    </w:p>
    <w:p w:rsidR="00D24E61" w:rsidRPr="00771368" w:rsidRDefault="00D24E61" w:rsidP="00D24E61">
      <w:pPr>
        <w:autoSpaceDE w:val="0"/>
        <w:autoSpaceDN w:val="0"/>
        <w:adjustRightInd w:val="0"/>
        <w:jc w:val="both"/>
      </w:pPr>
      <w:r w:rsidRPr="00771368">
        <w:rPr>
          <w:color w:val="000000"/>
          <w:shd w:val="clear" w:color="auto" w:fill="FFFFFF"/>
        </w:rPr>
        <w:t xml:space="preserve">RUBEM, Jackson. </w:t>
      </w:r>
      <w:r w:rsidRPr="00771368">
        <w:rPr>
          <w:b/>
          <w:color w:val="000000"/>
          <w:shd w:val="clear" w:color="auto" w:fill="FFFFFF"/>
        </w:rPr>
        <w:t>Irecê: História, Casos e Lendas</w:t>
      </w:r>
      <w:r w:rsidRPr="00771368">
        <w:rPr>
          <w:color w:val="000000"/>
          <w:shd w:val="clear" w:color="auto" w:fill="FFFFFF"/>
        </w:rPr>
        <w:t>. 2ª ed. Irecê – BA: Editora Print Fox, 2001.</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SABADELL, Ana Lucia. </w:t>
      </w:r>
      <w:r w:rsidRPr="00771368">
        <w:rPr>
          <w:b/>
        </w:rPr>
        <w:t>Perspectivas jussociológicas da violência doméstica</w:t>
      </w:r>
      <w:r w:rsidRPr="00771368">
        <w:t>: efetiva tutela de direitos fundamentais e/ou repressão penal. In: Revista dos Tribunais, São Paulo, v. 840, 2005, p. 429-456. Material da 4ª aula da Disciplina Política Criminal, ministrada no Curso de Pós-Graduação Lato Sensu TeleVirtual em Ciências Penais - Universidade Anhanguera-Uniderp - IPAN - REDE LFG.</w:t>
      </w: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p>
    <w:p w:rsidR="00D24E61" w:rsidRPr="00771368" w:rsidRDefault="00D24E61" w:rsidP="00D24E61">
      <w:pPr>
        <w:autoSpaceDE w:val="0"/>
        <w:autoSpaceDN w:val="0"/>
        <w:adjustRightInd w:val="0"/>
        <w:jc w:val="both"/>
      </w:pPr>
      <w:r w:rsidRPr="00771368">
        <w:t xml:space="preserve">__________. </w:t>
      </w:r>
      <w:r w:rsidRPr="00771368">
        <w:rPr>
          <w:b/>
        </w:rPr>
        <w:t>Patriarcado, direito e espaços das mulheres:</w:t>
      </w:r>
      <w:r w:rsidRPr="00771368">
        <w:t xml:space="preserve"> uma pesquisa no marco da teoria feminista do direito e do desvio. Dissertação de Mestrado em Criminologia (Programa Erasmus de Rotterdam da União Europeia). Saarbrücken, Universidade de Saarland, 1998.</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pStyle w:val="Cabealho"/>
        <w:rPr>
          <w:rStyle w:val="A14"/>
          <w:rFonts w:ascii="Times New Roman" w:hAnsi="Times New Roman" w:cs="Times New Roman"/>
          <w:b w:val="0"/>
          <w:szCs w:val="24"/>
        </w:rPr>
      </w:pPr>
      <w:r w:rsidRPr="00771368">
        <w:rPr>
          <w:rStyle w:val="A14"/>
          <w:rFonts w:ascii="Times New Roman" w:hAnsi="Times New Roman" w:cs="Times New Roman"/>
          <w:b w:val="0"/>
          <w:szCs w:val="24"/>
        </w:rPr>
        <w:t xml:space="preserve">SILVA, Leonardo Henriques da. </w:t>
      </w:r>
      <w:r w:rsidRPr="00771368">
        <w:rPr>
          <w:rStyle w:val="A14"/>
          <w:rFonts w:ascii="Times New Roman" w:hAnsi="Times New Roman" w:cs="Times New Roman"/>
          <w:szCs w:val="24"/>
        </w:rPr>
        <w:t>Violência doméstica contra a mulher e lesões corporais:</w:t>
      </w:r>
      <w:r w:rsidRPr="00771368">
        <w:rPr>
          <w:rStyle w:val="A14"/>
          <w:rFonts w:ascii="Times New Roman" w:hAnsi="Times New Roman" w:cs="Times New Roman"/>
          <w:b w:val="0"/>
          <w:szCs w:val="24"/>
        </w:rPr>
        <w:t xml:space="preserve"> aspectos médico-legais. São Paulo, 2012. 115 f. Dissertação (Mestrado) – Faculdade de Direito, Universidade de São Paulo, São Paulo, 2012.</w:t>
      </w:r>
    </w:p>
    <w:p w:rsidR="00D24E61" w:rsidRPr="00771368" w:rsidRDefault="00D24E61" w:rsidP="00D24E61">
      <w:pPr>
        <w:pStyle w:val="Cabealho"/>
        <w:rPr>
          <w:rStyle w:val="A14"/>
          <w:rFonts w:ascii="Times New Roman" w:hAnsi="Times New Roman" w:cs="Times New Roman"/>
          <w:b w:val="0"/>
          <w:szCs w:val="24"/>
        </w:rPr>
      </w:pPr>
    </w:p>
    <w:p w:rsidR="00D24E61" w:rsidRPr="00771368" w:rsidRDefault="00D24E61" w:rsidP="00D24E61">
      <w:pPr>
        <w:pStyle w:val="Cabealho"/>
        <w:rPr>
          <w:rStyle w:val="A14"/>
          <w:rFonts w:ascii="Times New Roman" w:hAnsi="Times New Roman" w:cs="Times New Roman"/>
          <w:b w:val="0"/>
          <w:szCs w:val="24"/>
        </w:rPr>
      </w:pPr>
    </w:p>
    <w:p w:rsidR="00D24E61" w:rsidRPr="00771368" w:rsidRDefault="00D24E61" w:rsidP="00D24E61">
      <w:pPr>
        <w:pStyle w:val="Cabealho"/>
        <w:rPr>
          <w:rFonts w:ascii="Times New Roman" w:hAnsi="Times New Roman"/>
          <w:b/>
        </w:rPr>
      </w:pPr>
      <w:r w:rsidRPr="00771368">
        <w:rPr>
          <w:rStyle w:val="A14"/>
          <w:rFonts w:ascii="Times New Roman" w:hAnsi="Times New Roman" w:cs="Times New Roman"/>
          <w:b w:val="0"/>
          <w:szCs w:val="24"/>
        </w:rPr>
        <w:t xml:space="preserve">SCOTT, J. </w:t>
      </w:r>
      <w:r w:rsidRPr="00771368">
        <w:rPr>
          <w:rStyle w:val="A14"/>
          <w:rFonts w:ascii="Times New Roman" w:hAnsi="Times New Roman" w:cs="Times New Roman"/>
          <w:szCs w:val="24"/>
        </w:rPr>
        <w:t>Gênero: uma categoria útil de análise histórica</w:t>
      </w:r>
      <w:r w:rsidRPr="00771368">
        <w:rPr>
          <w:rStyle w:val="A14"/>
          <w:rFonts w:ascii="Times New Roman" w:hAnsi="Times New Roman" w:cs="Times New Roman"/>
          <w:b w:val="0"/>
          <w:i/>
          <w:iCs/>
          <w:szCs w:val="24"/>
        </w:rPr>
        <w:t xml:space="preserve">. </w:t>
      </w:r>
      <w:r w:rsidRPr="00771368">
        <w:rPr>
          <w:rStyle w:val="A14"/>
          <w:rFonts w:ascii="Times New Roman" w:hAnsi="Times New Roman" w:cs="Times New Roman"/>
          <w:b w:val="0"/>
          <w:szCs w:val="24"/>
        </w:rPr>
        <w:t xml:space="preserve">Porto Alegre: Educação &amp; Realidade, v. 20, n. 2, 1995, p. 71-99. Disponível em: </w:t>
      </w:r>
      <w:r w:rsidRPr="00771368">
        <w:rPr>
          <w:rStyle w:val="A15"/>
          <w:rFonts w:ascii="Times New Roman" w:hAnsi="Times New Roman" w:cs="Times New Roman"/>
          <w:sz w:val="24"/>
          <w:szCs w:val="24"/>
        </w:rPr>
        <w:t>http://www.dhnet.org.br/direitos/textos/generodh/gen_categoria.html</w:t>
      </w:r>
      <w:r w:rsidRPr="00771368">
        <w:rPr>
          <w:rStyle w:val="A14"/>
          <w:rFonts w:ascii="Times New Roman" w:hAnsi="Times New Roman" w:cs="Times New Roman"/>
          <w:b w:val="0"/>
          <w:szCs w:val="24"/>
        </w:rPr>
        <w:t>. Acesso em: 18 mai. 2013.</w:t>
      </w:r>
    </w:p>
    <w:p w:rsidR="00D24E61" w:rsidRPr="00771368" w:rsidRDefault="00D24E61" w:rsidP="00D24E61">
      <w:pPr>
        <w:pStyle w:val="Cabealho"/>
        <w:rPr>
          <w:rFonts w:ascii="Times New Roman" w:hAnsi="Times New Roman"/>
        </w:rPr>
      </w:pPr>
    </w:p>
    <w:p w:rsidR="00D24E61" w:rsidRPr="00771368" w:rsidRDefault="00D24E61" w:rsidP="00D24E61">
      <w:pPr>
        <w:pStyle w:val="Cabealho"/>
        <w:rPr>
          <w:rFonts w:ascii="Times New Roman" w:hAnsi="Times New Roman"/>
        </w:rPr>
      </w:pPr>
    </w:p>
    <w:p w:rsidR="00D24E61" w:rsidRPr="00771368" w:rsidRDefault="00D24E61" w:rsidP="00D24E61">
      <w:pPr>
        <w:jc w:val="both"/>
      </w:pPr>
      <w:r w:rsidRPr="00771368">
        <w:t xml:space="preserve">SUPREMO TRIBUNAL FEDERAL. </w:t>
      </w:r>
      <w:r w:rsidRPr="00771368">
        <w:rPr>
          <w:b/>
        </w:rPr>
        <w:t>Informativo de jurisprudência nº 654.</w:t>
      </w:r>
      <w:r w:rsidRPr="00771368">
        <w:t xml:space="preserve"> Brasília: Supremo Tribunal Federal, 06 a 10 de fevereiro de 2012. Disponível em </w:t>
      </w:r>
      <w:hyperlink r:id="rId82" w:history="1">
        <w:r w:rsidRPr="00771368">
          <w:rPr>
            <w:rStyle w:val="Hyperlink"/>
          </w:rPr>
          <w:t>http://www.stf.jus.br//arquivo/informativo/documento/informativo654.htm</w:t>
        </w:r>
      </w:hyperlink>
      <w:r w:rsidRPr="00771368">
        <w:t>. Acesso em 18 mai. 2013.</w:t>
      </w:r>
    </w:p>
    <w:p w:rsidR="00D24E61" w:rsidRPr="00771368" w:rsidRDefault="00D24E61" w:rsidP="00D24E61">
      <w:pPr>
        <w:jc w:val="both"/>
      </w:pPr>
    </w:p>
    <w:p w:rsidR="00D24E61" w:rsidRPr="00771368" w:rsidRDefault="00D24E61" w:rsidP="00D24E61">
      <w:pPr>
        <w:jc w:val="both"/>
      </w:pPr>
    </w:p>
    <w:p w:rsidR="00D24E61" w:rsidRPr="00771368" w:rsidRDefault="00D24E61" w:rsidP="00D24E61">
      <w:pPr>
        <w:jc w:val="both"/>
      </w:pPr>
      <w:r w:rsidRPr="00771368">
        <w:t xml:space="preserve">UNIVERSIDADE FEDERAL DO PARANÁ – UFPR. </w:t>
      </w:r>
      <w:r w:rsidRPr="00771368">
        <w:rPr>
          <w:b/>
        </w:rPr>
        <w:t>Tipos de pesquisa considerando os Procedimentos utilizados</w:t>
      </w:r>
      <w:r w:rsidRPr="00771368">
        <w:t>. Disponível em: &lt;http://www.ergonomia.ufpr.br/Tipos%20de%20Pesquisa.pdf&gt;. Acesso em: 14 mar. 2013.</w:t>
      </w:r>
    </w:p>
    <w:p w:rsidR="00D24E61" w:rsidRPr="00771368" w:rsidRDefault="00D24E61" w:rsidP="00D24E61">
      <w:pPr>
        <w:autoSpaceDE w:val="0"/>
        <w:autoSpaceDN w:val="0"/>
        <w:adjustRightInd w:val="0"/>
        <w:spacing w:line="360" w:lineRule="auto"/>
        <w:jc w:val="both"/>
      </w:pPr>
    </w:p>
    <w:p w:rsidR="00D24E61" w:rsidRPr="00771368" w:rsidRDefault="00D24E61" w:rsidP="00D24E61"/>
    <w:p w:rsidR="00D24E61" w:rsidRPr="00771368" w:rsidRDefault="00D24E61" w:rsidP="00D24E61">
      <w:pPr>
        <w:autoSpaceDE w:val="0"/>
        <w:autoSpaceDN w:val="0"/>
        <w:adjustRightInd w:val="0"/>
        <w:spacing w:line="360" w:lineRule="auto"/>
        <w:jc w:val="both"/>
      </w:pPr>
    </w:p>
    <w:p w:rsidR="00D24E61" w:rsidRPr="00771368" w:rsidRDefault="00D24E61" w:rsidP="00D24E61">
      <w:pPr>
        <w:autoSpaceDE w:val="0"/>
        <w:autoSpaceDN w:val="0"/>
        <w:adjustRightInd w:val="0"/>
        <w:spacing w:line="360" w:lineRule="auto"/>
        <w:jc w:val="both"/>
      </w:pPr>
    </w:p>
    <w:p w:rsidR="00D24E61" w:rsidRPr="00771368" w:rsidRDefault="00D24E61" w:rsidP="00D24E61">
      <w:pPr>
        <w:spacing w:line="360" w:lineRule="auto"/>
        <w:jc w:val="center"/>
        <w:rPr>
          <w:b/>
          <w:sz w:val="24"/>
          <w:szCs w:val="24"/>
        </w:rPr>
      </w:pPr>
      <w:r w:rsidRPr="00771368">
        <w:rPr>
          <w:b/>
          <w:sz w:val="24"/>
          <w:szCs w:val="24"/>
        </w:rPr>
        <w:t>À FLOR DA PELE: a representação das meninas na prática de atos violentos na escola</w:t>
      </w:r>
    </w:p>
    <w:p w:rsidR="00D24E61" w:rsidRPr="00771368" w:rsidRDefault="00D24E61" w:rsidP="00D24E61">
      <w:pPr>
        <w:jc w:val="right"/>
        <w:rPr>
          <w:sz w:val="24"/>
          <w:szCs w:val="24"/>
        </w:rPr>
      </w:pPr>
      <w:bookmarkStart w:id="32" w:name="_Toc442034727"/>
      <w:r w:rsidRPr="003914ED">
        <w:rPr>
          <w:rStyle w:val="Ttulo1Char"/>
        </w:rPr>
        <w:t>Cecília Ordoñez</w:t>
      </w:r>
      <w:bookmarkEnd w:id="32"/>
      <w:r w:rsidRPr="00771368">
        <w:rPr>
          <w:rStyle w:val="Refdenotaderodap"/>
          <w:rFonts w:eastAsia="Calibri"/>
          <w:sz w:val="24"/>
          <w:szCs w:val="24"/>
        </w:rPr>
        <w:footnoteReference w:id="20"/>
      </w:r>
    </w:p>
    <w:p w:rsidR="00D24E61" w:rsidRPr="00771368" w:rsidRDefault="00D24E61" w:rsidP="00D24E61">
      <w:pPr>
        <w:spacing w:line="360" w:lineRule="auto"/>
        <w:jc w:val="both"/>
        <w:rPr>
          <w:b/>
          <w:sz w:val="24"/>
          <w:szCs w:val="24"/>
        </w:rPr>
      </w:pPr>
    </w:p>
    <w:p w:rsidR="00D24E61" w:rsidRPr="00771368" w:rsidRDefault="00D24E61" w:rsidP="00D24E61">
      <w:pPr>
        <w:spacing w:line="360" w:lineRule="auto"/>
        <w:jc w:val="both"/>
        <w:rPr>
          <w:b/>
          <w:sz w:val="24"/>
          <w:szCs w:val="24"/>
        </w:rPr>
      </w:pPr>
    </w:p>
    <w:p w:rsidR="00D24E61" w:rsidRPr="00771368" w:rsidRDefault="00D24E61" w:rsidP="00D24E61">
      <w:pPr>
        <w:autoSpaceDE w:val="0"/>
        <w:autoSpaceDN w:val="0"/>
        <w:adjustRightInd w:val="0"/>
        <w:jc w:val="both"/>
        <w:rPr>
          <w:sz w:val="20"/>
          <w:szCs w:val="20"/>
        </w:rPr>
      </w:pPr>
      <w:r w:rsidRPr="00771368">
        <w:rPr>
          <w:b/>
          <w:sz w:val="20"/>
          <w:szCs w:val="20"/>
        </w:rPr>
        <w:t>Resumo:</w:t>
      </w:r>
      <w:r w:rsidRPr="00771368">
        <w:rPr>
          <w:sz w:val="20"/>
          <w:szCs w:val="20"/>
        </w:rPr>
        <w:t xml:space="preserve"> Neste trabalho analisa-se a violência praticada pelas jovens meninas na escola. Identifica-se os estereótipos construídos acerca da mulher ao longo da história como um ser frágil e passivo. Utiliza-se metodologicamente a pesquisa bibliográfica exploratória sobre as pesquisas realizadas no Brasil no campo da violência nas escolas. Ressalta-se as jovens meninas como protagonistas de atos violentos e sua incorporação do gênero dito masculino. Focaliza-se no cotidiano escolar as jovens meninas que viriam marginalizando os estereótipos através do uso da força para demarcar posição de liderança e poder e para isso incorporam os atributos históricos definidos para o gênero masculino (agressividade, heroísmo, força) porque se considera socialmente coragem, o uso de violências. Assim, as disputas por namorado, as agressões físicas entre meninas e meninas com meninos estão intrinsecamente relacionadas com a demonstração de que não são perdedoras, é a lei do mais forte que constitui o código de conduta, e independentemente do gênero ditado, elas não medem as consequências de seus atos na busca pela legitimação de sua força e honra, é honroso bater, apanhar é ser fraco. Portanto, impera a incorporação dos princípios de masculinidade e de heroísmo que dignifica o forte, aquele que bate, agride e em contrapartida estigmatiza o fraco. </w:t>
      </w:r>
    </w:p>
    <w:p w:rsidR="00D24E61" w:rsidRPr="00771368" w:rsidRDefault="00D24E61" w:rsidP="00D24E61">
      <w:pPr>
        <w:spacing w:line="360" w:lineRule="auto"/>
        <w:jc w:val="both"/>
        <w:rPr>
          <w:sz w:val="20"/>
          <w:szCs w:val="20"/>
        </w:rPr>
      </w:pPr>
    </w:p>
    <w:p w:rsidR="00D24E61" w:rsidRPr="00771368" w:rsidRDefault="00D24E61" w:rsidP="00D24E61">
      <w:pPr>
        <w:spacing w:line="360" w:lineRule="auto"/>
        <w:jc w:val="both"/>
        <w:rPr>
          <w:sz w:val="20"/>
          <w:szCs w:val="20"/>
        </w:rPr>
      </w:pPr>
    </w:p>
    <w:p w:rsidR="00D24E61" w:rsidRPr="00771368" w:rsidRDefault="00D24E61" w:rsidP="00D24E61">
      <w:pPr>
        <w:spacing w:line="360" w:lineRule="auto"/>
        <w:jc w:val="both"/>
        <w:rPr>
          <w:sz w:val="20"/>
          <w:szCs w:val="20"/>
        </w:rPr>
      </w:pPr>
      <w:r w:rsidRPr="00771368">
        <w:rPr>
          <w:b/>
          <w:sz w:val="20"/>
          <w:szCs w:val="20"/>
        </w:rPr>
        <w:t>Palavras chaves:</w:t>
      </w:r>
      <w:r w:rsidRPr="00771368">
        <w:rPr>
          <w:sz w:val="20"/>
          <w:szCs w:val="20"/>
        </w:rPr>
        <w:t xml:space="preserve"> Violência. Escolar. Gênero. Incorporação</w:t>
      </w:r>
    </w:p>
    <w:p w:rsidR="00D24E61" w:rsidRPr="00771368" w:rsidRDefault="00D24E61" w:rsidP="00D24E61">
      <w:pPr>
        <w:autoSpaceDE w:val="0"/>
        <w:autoSpaceDN w:val="0"/>
        <w:adjustRightInd w:val="0"/>
        <w:spacing w:line="360" w:lineRule="auto"/>
        <w:rPr>
          <w:b/>
          <w:sz w:val="20"/>
          <w:szCs w:val="20"/>
        </w:rPr>
      </w:pPr>
    </w:p>
    <w:p w:rsidR="00D24E61" w:rsidRPr="00771368" w:rsidRDefault="00D24E61" w:rsidP="00D24E61">
      <w:pPr>
        <w:autoSpaceDE w:val="0"/>
        <w:autoSpaceDN w:val="0"/>
        <w:adjustRightInd w:val="0"/>
        <w:spacing w:line="360" w:lineRule="auto"/>
        <w:rPr>
          <w:b/>
          <w:sz w:val="20"/>
          <w:szCs w:val="20"/>
        </w:rPr>
      </w:pPr>
    </w:p>
    <w:p w:rsidR="00D24E61" w:rsidRPr="00771368" w:rsidRDefault="00D24E61" w:rsidP="00D24E61">
      <w:pPr>
        <w:jc w:val="both"/>
        <w:rPr>
          <w:sz w:val="20"/>
          <w:szCs w:val="20"/>
        </w:rPr>
      </w:pPr>
      <w:r w:rsidRPr="00771368">
        <w:rPr>
          <w:b/>
          <w:sz w:val="20"/>
          <w:szCs w:val="20"/>
        </w:rPr>
        <w:t>Resumen</w:t>
      </w:r>
      <w:r w:rsidRPr="00771368">
        <w:rPr>
          <w:sz w:val="20"/>
          <w:szCs w:val="20"/>
        </w:rPr>
        <w:t>: En este trabajo se analiza la violencia practicadas por las jóvenes chicas en la escuela. Identifica los estereotipos sobre las mujeres hechas a lo largo de la historia como um ser frágil y pasiva. Se utiliza metodologicamente literaturas sobre la investigación exploratoria realizada en Brasil en el ámbito de la violencia en las escuelas. Se trata de chicas jóvenes notables como protagonistas de la violencia y la incorporación de la perspectiva del género masculino. Se centra en las jóvenes chicas en el cotidiano de la escuela que sería marginales a los estereotipos a través del uso de la fuerza para marcar la posición de liderazgo y poder, y para que encarnan los atributos históricos definidos para los hombres (agresividad, heroísmo, fuerza) ya que se considera socialmente coraje el uso de violencias. Por lo tanto, las disputas por el novio, la agresión física entre las niñas y de las niñas con los niños están intrinsecamente relacionadas con la demostración de que no son perdedoras, es la ley del más fuerte que es el código de conducta, independientemente del gênero no miden las consecuencias de sus acciones en la busca de legitimidad de la fortaleza, la honra, pues es honorable golpear el más débil. Por lo tanto, el que prevalece la incorporación de los principios de la masculinidad y el heroísmo que dignifica el fuerte, el que ataca, agride y em contrapartida estigmatiza el débil.</w:t>
      </w:r>
    </w:p>
    <w:p w:rsidR="00D24E61" w:rsidRPr="00771368" w:rsidRDefault="00D24E61" w:rsidP="00D24E61">
      <w:pPr>
        <w:jc w:val="both"/>
        <w:rPr>
          <w:sz w:val="20"/>
          <w:szCs w:val="20"/>
        </w:rPr>
      </w:pPr>
    </w:p>
    <w:p w:rsidR="00D24E61" w:rsidRPr="00771368" w:rsidRDefault="00D24E61" w:rsidP="00D24E61">
      <w:pPr>
        <w:jc w:val="both"/>
        <w:rPr>
          <w:sz w:val="20"/>
          <w:szCs w:val="20"/>
        </w:rPr>
      </w:pPr>
      <w:r w:rsidRPr="00771368">
        <w:rPr>
          <w:b/>
          <w:sz w:val="20"/>
          <w:szCs w:val="20"/>
        </w:rPr>
        <w:t>Palabras clave</w:t>
      </w:r>
      <w:r w:rsidRPr="00771368">
        <w:rPr>
          <w:sz w:val="20"/>
          <w:szCs w:val="20"/>
        </w:rPr>
        <w:t>: Violencia. Escuela. Género. Incorporación</w:t>
      </w:r>
    </w:p>
    <w:p w:rsidR="00D24E61" w:rsidRPr="00771368" w:rsidRDefault="00D24E61" w:rsidP="00D24E61">
      <w:pPr>
        <w:jc w:val="both"/>
        <w:rPr>
          <w:sz w:val="20"/>
          <w:szCs w:val="20"/>
        </w:rPr>
      </w:pPr>
    </w:p>
    <w:p w:rsidR="00D24E61" w:rsidRPr="00771368" w:rsidRDefault="00D24E61" w:rsidP="00D24E61">
      <w:pPr>
        <w:jc w:val="both"/>
        <w:rPr>
          <w:sz w:val="20"/>
          <w:szCs w:val="20"/>
        </w:rPr>
      </w:pPr>
    </w:p>
    <w:p w:rsidR="00D24E61" w:rsidRPr="00771368" w:rsidRDefault="00D24E61" w:rsidP="00FA0ABA">
      <w:pPr>
        <w:numPr>
          <w:ilvl w:val="0"/>
          <w:numId w:val="18"/>
        </w:numPr>
        <w:autoSpaceDE w:val="0"/>
        <w:autoSpaceDN w:val="0"/>
        <w:adjustRightInd w:val="0"/>
        <w:spacing w:line="360" w:lineRule="auto"/>
        <w:ind w:left="284" w:hanging="284"/>
        <w:rPr>
          <w:b/>
          <w:sz w:val="24"/>
          <w:szCs w:val="24"/>
        </w:rPr>
      </w:pPr>
      <w:r w:rsidRPr="00771368">
        <w:rPr>
          <w:b/>
          <w:sz w:val="24"/>
          <w:szCs w:val="24"/>
        </w:rPr>
        <w:t>A INCORPORAÇÃO DO GÊNERO “feminino”</w:t>
      </w:r>
    </w:p>
    <w:p w:rsidR="00D24E61" w:rsidRPr="00771368" w:rsidRDefault="00D24E61" w:rsidP="00D24E61">
      <w:pPr>
        <w:autoSpaceDE w:val="0"/>
        <w:autoSpaceDN w:val="0"/>
        <w:adjustRightInd w:val="0"/>
        <w:spacing w:line="360" w:lineRule="auto"/>
        <w:jc w:val="both"/>
        <w:rPr>
          <w:sz w:val="24"/>
          <w:szCs w:val="24"/>
        </w:rPr>
      </w:pPr>
    </w:p>
    <w:p w:rsidR="00D24E61" w:rsidRPr="00771368" w:rsidRDefault="00D24E61" w:rsidP="00D24E61">
      <w:pPr>
        <w:spacing w:line="360" w:lineRule="auto"/>
        <w:ind w:firstLine="1077"/>
        <w:jc w:val="both"/>
        <w:rPr>
          <w:sz w:val="24"/>
          <w:szCs w:val="24"/>
        </w:rPr>
      </w:pPr>
      <w:r w:rsidRPr="00771368">
        <w:rPr>
          <w:sz w:val="24"/>
          <w:szCs w:val="24"/>
        </w:rPr>
        <w:t xml:space="preserve">As mudanças decorrentes dos processos de globalização têm influenciado diretamente na comunicação, nos novos modos de pensar o mundo, as pessoas, o pensar sobre si nos seus embates cotidianos de construção de significado. Neste trabalho, especificamente, pensa-se sobre a construção (histórica, cultural e institucional) da identidade de gênero e sua relação com o aumento da violência praticada por jovens meninas na instituição escolar. </w:t>
      </w:r>
    </w:p>
    <w:p w:rsidR="00D24E61" w:rsidRPr="00771368" w:rsidRDefault="00D24E61" w:rsidP="00D24E61">
      <w:pPr>
        <w:spacing w:line="360" w:lineRule="auto"/>
        <w:ind w:firstLine="1077"/>
        <w:jc w:val="both"/>
        <w:rPr>
          <w:sz w:val="24"/>
          <w:szCs w:val="24"/>
        </w:rPr>
      </w:pPr>
      <w:r w:rsidRPr="00771368">
        <w:rPr>
          <w:sz w:val="24"/>
          <w:szCs w:val="24"/>
        </w:rPr>
        <w:t>Para Debarbieux</w:t>
      </w:r>
      <w:r w:rsidRPr="00771368">
        <w:rPr>
          <w:rStyle w:val="Refdenotaderodap"/>
          <w:rFonts w:eastAsia="Calibri"/>
          <w:sz w:val="24"/>
          <w:szCs w:val="24"/>
        </w:rPr>
        <w:footnoteReference w:id="21"/>
      </w:r>
      <w:r w:rsidRPr="00771368">
        <w:rPr>
          <w:sz w:val="24"/>
          <w:szCs w:val="24"/>
        </w:rPr>
        <w:t xml:space="preserve"> (2006), a violência nos meios escolares é um problema mundial que afeta tanto o norte quanto ao sul e não possui um fator único como causa, mas se entrelaça a modelos complexos ligados à situação familiar, às condições socioeconômicas, ao estilo pedagógico dos estabelecimentos de ensino e devido a esses aspectos cambiantes, as investigações sobre a violência na escola somente podem assinalar as tendências e não determinismos. </w:t>
      </w:r>
    </w:p>
    <w:p w:rsidR="00D24E61" w:rsidRPr="00771368" w:rsidRDefault="00D24E61" w:rsidP="00D24E61">
      <w:pPr>
        <w:spacing w:line="360" w:lineRule="auto"/>
        <w:ind w:firstLine="1077"/>
        <w:jc w:val="both"/>
        <w:rPr>
          <w:sz w:val="24"/>
          <w:szCs w:val="24"/>
        </w:rPr>
      </w:pPr>
      <w:r w:rsidRPr="00771368">
        <w:rPr>
          <w:sz w:val="24"/>
          <w:szCs w:val="24"/>
        </w:rPr>
        <w:t xml:space="preserve"> No âmbito educacional e social romper com determinismos impostos representa um grande desafio para a constituição de uma cultura harmônica na contemporaneidade, pois “a violência é tão somente a mais flagrante manifestação do poder” (ARENDT, 2010, p. 51) que perpassa as práticas humanas ao longo da história.</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Essa relação de poder está presente na construção das identidades sociais de gênero estabelecidas e instituídas a partir da oposição entre os sexos. Tradicionalmente, o homem e a mulher foram posicionados na sociedade, concebendo-se o sexo masculino como centro irradiador, figura hegemônica, situada à margem, encontra-se o sexo feminino. A masculinidade, construída como natural e hegemônica sobrevive na história nos tempos atuais muitas vezes, com a contribuição da própria mulher como herdeira</w:t>
      </w:r>
      <w:r w:rsidRPr="00771368">
        <w:rPr>
          <w:rStyle w:val="Refdenotaderodap"/>
          <w:rFonts w:eastAsia="Calibri"/>
          <w:sz w:val="24"/>
          <w:szCs w:val="24"/>
        </w:rPr>
        <w:footnoteReference w:id="22"/>
      </w:r>
      <w:r w:rsidRPr="00771368">
        <w:rPr>
          <w:sz w:val="24"/>
          <w:szCs w:val="24"/>
        </w:rPr>
        <w:t xml:space="preserve"> de uma cultura de dominação masculina incorporada e reproduzida.</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Em Escritos de educação, Bourdieu (1998) distingue três estados</w:t>
      </w:r>
      <w:r w:rsidRPr="00771368">
        <w:rPr>
          <w:rStyle w:val="Refdenotaderodap"/>
          <w:rFonts w:eastAsia="Calibri"/>
          <w:sz w:val="24"/>
          <w:szCs w:val="24"/>
        </w:rPr>
        <w:footnoteReference w:id="23"/>
      </w:r>
      <w:r w:rsidRPr="00771368">
        <w:rPr>
          <w:sz w:val="24"/>
          <w:szCs w:val="24"/>
        </w:rPr>
        <w:t xml:space="preserve"> de capital cultural: incorporado, objetivado e institucionalizado. “A acumulação de capital cultural exige uma incorporação que, enquanto pressupõe um trabalho de inculcação e de assimilação, </w:t>
      </w:r>
      <w:r w:rsidRPr="00771368">
        <w:rPr>
          <w:i/>
          <w:sz w:val="24"/>
          <w:szCs w:val="24"/>
        </w:rPr>
        <w:t>custa tempo</w:t>
      </w:r>
      <w:r w:rsidRPr="00771368">
        <w:rPr>
          <w:sz w:val="24"/>
          <w:szCs w:val="24"/>
        </w:rPr>
        <w:t xml:space="preserve"> que deve ser investido </w:t>
      </w:r>
      <w:r w:rsidRPr="00771368">
        <w:rPr>
          <w:i/>
          <w:sz w:val="24"/>
          <w:szCs w:val="24"/>
        </w:rPr>
        <w:t>pessoalmente</w:t>
      </w:r>
      <w:r w:rsidRPr="00771368">
        <w:rPr>
          <w:sz w:val="24"/>
          <w:szCs w:val="24"/>
        </w:rPr>
        <w:t xml:space="preserve"> pelo investidor” (BOURDIEU, 1998, p. 74). A construção do papel da mulher se apresenta como uma relação dinâmica e histórica entre o passado (ou a cultura) herdado em seu processo de socialização, incorporado como estruturas cognitivas que organizam a percepção do mundo, do pensamento, delineado formas nas ações cotidianas socialmente impostas e aceitas.</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Nesse contexto, a mulher assume socialmente contornos modelados conforme a singularidade do tempo e da cultura de cada lugar, pois “NINGUÉM nasce mulher: torna-se mulher”</w:t>
      </w:r>
      <w:r w:rsidRPr="00771368">
        <w:rPr>
          <w:rStyle w:val="Refdenotaderodap"/>
          <w:rFonts w:eastAsia="Calibri"/>
          <w:sz w:val="24"/>
          <w:szCs w:val="24"/>
        </w:rPr>
        <w:footnoteReference w:id="24"/>
      </w:r>
      <w:r w:rsidRPr="00771368">
        <w:rPr>
          <w:sz w:val="24"/>
          <w:szCs w:val="24"/>
        </w:rPr>
        <w:t xml:space="preserve"> para assumir seu papel, “Em uma luta em que a insuficiência intelectual a condena a ser sempre vencida” (BEAUVOIR, 1967, p. 221),  representando em grande parte dos modelos civilizatórios, uma posição de sujeição ao invés de sujeito.</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Diante disso, as preocupações acerca da incorporação do gênero florescem nos anos 70 ganhando consistência nos anos 80 e 90. Entretanto, nos finais do século XX esta categoria passa a ser estudada seguindo uma perspectiva feminista articulada a fatores históricos e sociais caracterizada pela oposição às desigualdades entre homens e mulheres, nas sociedades contemporâneas.</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O gênero é compreendido como um meio de classificar fenômenos, fazer distinções entre masculino e feminino, porém na perspectiva acadêmica o termo enfatiza a importância dos grupos humanos e os simbolismos de cada época. Mostra como funcionava a ordem social vigente em diferentes momentos da história e como essa ordem tem se reproduzido através de diversos mecanismos: a política, a religião, a educação, a família (FERREIRA, 2010, p. 253).</w:t>
      </w:r>
    </w:p>
    <w:p w:rsidR="00D24E61" w:rsidRPr="00771368" w:rsidRDefault="00D24E61" w:rsidP="00D24E61">
      <w:pPr>
        <w:autoSpaceDE w:val="0"/>
        <w:autoSpaceDN w:val="0"/>
        <w:adjustRightInd w:val="0"/>
        <w:spacing w:line="360" w:lineRule="auto"/>
        <w:jc w:val="both"/>
        <w:rPr>
          <w:sz w:val="24"/>
          <w:szCs w:val="24"/>
        </w:rPr>
      </w:pPr>
    </w:p>
    <w:p w:rsidR="00D24E61" w:rsidRPr="00771368" w:rsidRDefault="00D24E61" w:rsidP="00D24E61">
      <w:pPr>
        <w:autoSpaceDE w:val="0"/>
        <w:autoSpaceDN w:val="0"/>
        <w:adjustRightInd w:val="0"/>
        <w:spacing w:line="360" w:lineRule="auto"/>
        <w:ind w:firstLine="993"/>
        <w:jc w:val="both"/>
        <w:rPr>
          <w:sz w:val="24"/>
          <w:szCs w:val="24"/>
        </w:rPr>
      </w:pPr>
      <w:r w:rsidRPr="00771368">
        <w:rPr>
          <w:sz w:val="24"/>
          <w:szCs w:val="24"/>
        </w:rPr>
        <w:t>Reconstruir, na perspectiva assinalada nos permite pensar na possibilidade de romper com a ordem distintiva historicamente imposta às mulheres, a lógica da dominação masculina. Reconstruir a partir da própria história tornando visível a mulher significa romper as amarras estruturais de ciclos de um habitus</w:t>
      </w:r>
      <w:r w:rsidRPr="00771368">
        <w:rPr>
          <w:rStyle w:val="Refdenotaderodap"/>
          <w:rFonts w:eastAsia="Calibri"/>
          <w:sz w:val="24"/>
          <w:szCs w:val="24"/>
        </w:rPr>
        <w:footnoteReference w:id="25"/>
      </w:r>
      <w:r w:rsidRPr="00771368">
        <w:rPr>
          <w:sz w:val="24"/>
          <w:szCs w:val="24"/>
        </w:rPr>
        <w:t xml:space="preserve"> incorporado tão latente nos tempos atuais, na família, na educação, na cultura, instâncias reprodutoras de poder desigual, porém, sem negar-lhes as contribuições nos avanços positivos da presença feminina na sociedade, inseridas em espaços conquistados com legitimidade intelectual, profissional e pedagógica, em direção da formação de um mercado de trabalho.</w:t>
      </w:r>
    </w:p>
    <w:p w:rsidR="00D24E61" w:rsidRPr="00771368" w:rsidRDefault="00D24E61" w:rsidP="00D24E61">
      <w:pPr>
        <w:autoSpaceDE w:val="0"/>
        <w:autoSpaceDN w:val="0"/>
        <w:adjustRightInd w:val="0"/>
        <w:spacing w:line="360" w:lineRule="auto"/>
        <w:ind w:firstLine="993"/>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 é preciso</w:t>
      </w:r>
      <w:r w:rsidRPr="00771368">
        <w:rPr>
          <w:i/>
          <w:sz w:val="20"/>
          <w:szCs w:val="20"/>
        </w:rPr>
        <w:t xml:space="preserve"> reconstruir a história do trabalho histórico de des-historização, </w:t>
      </w:r>
      <w:r w:rsidRPr="00771368">
        <w:rPr>
          <w:sz w:val="20"/>
          <w:szCs w:val="20"/>
        </w:rPr>
        <w:t>ou, se assim preferirem, a história da (re) criação continuada das estruturas objetivas e subjetivas da dominação masculina, que se realiza permanentemente, desde que existem homens e mulheres, e através da qual a ordem masculina se vê continuamente reproduzida através dos tempos (BOURDIEU, 2012, p. 101).</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spacing w:line="360" w:lineRule="auto"/>
        <w:ind w:firstLine="993"/>
        <w:jc w:val="both"/>
        <w:rPr>
          <w:sz w:val="24"/>
          <w:szCs w:val="24"/>
        </w:rPr>
      </w:pPr>
      <w:r w:rsidRPr="00771368">
        <w:rPr>
          <w:sz w:val="24"/>
          <w:szCs w:val="24"/>
        </w:rPr>
        <w:t xml:space="preserve">Apesar da presença feminina no ensino e na aprendizagem em condições iguais com os alunos do sexo masculino, não foi suficiente para torná-las protagonistas de si a ponto de serem merecedoras do reconhecimento de seu papel social em igualdade com os homens. “Embora intensamente atuantes, as mulheres reproduziam os padrões de comportamento de uma sociedade regida pelos homens e os valores de sua época” (SANTOS, 2010, p. 301). </w:t>
      </w:r>
    </w:p>
    <w:p w:rsidR="00D24E61" w:rsidRPr="00771368" w:rsidRDefault="00D24E61" w:rsidP="00D24E61">
      <w:pPr>
        <w:autoSpaceDE w:val="0"/>
        <w:autoSpaceDN w:val="0"/>
        <w:adjustRightInd w:val="0"/>
        <w:spacing w:line="360" w:lineRule="auto"/>
        <w:ind w:firstLine="993"/>
        <w:jc w:val="both"/>
        <w:rPr>
          <w:color w:val="000000"/>
          <w:sz w:val="20"/>
          <w:szCs w:val="20"/>
        </w:rPr>
      </w:pPr>
      <w:r w:rsidRPr="00771368">
        <w:rPr>
          <w:sz w:val="24"/>
          <w:szCs w:val="24"/>
        </w:rPr>
        <w:t>A trajetória histórica de opressão vivida e internalizada pelas mulheres é retratada na homenagem de Gioconda Belli através do poema “</w:t>
      </w:r>
      <w:r w:rsidRPr="00771368">
        <w:rPr>
          <w:i/>
          <w:sz w:val="24"/>
          <w:szCs w:val="24"/>
        </w:rPr>
        <w:t>8 de março”</w:t>
      </w:r>
      <w:r w:rsidRPr="00771368">
        <w:rPr>
          <w:rStyle w:val="Refdenotaderodap"/>
          <w:rFonts w:eastAsia="Calibri"/>
          <w:i/>
          <w:sz w:val="24"/>
          <w:szCs w:val="24"/>
        </w:rPr>
        <w:footnoteReference w:id="26"/>
      </w:r>
      <w:r w:rsidRPr="00771368">
        <w:rPr>
          <w:sz w:val="24"/>
          <w:szCs w:val="24"/>
        </w:rPr>
        <w:t>, no qual as mulheres aparecem como as merecedoras de flores daqueles que imprimiram ao longo de suas vidas traços de uma identidade imposta a duras penas. O poema anuncia diversos contextos e perspectivas sobre a figura da mulher nas sociedades ressaltando seu sofrimento, sua submissão e exclusão.</w:t>
      </w:r>
    </w:p>
    <w:p w:rsidR="00D24E61" w:rsidRPr="00771368" w:rsidRDefault="00D24E61" w:rsidP="00D24E61">
      <w:pPr>
        <w:pStyle w:val="NormalWeb"/>
        <w:spacing w:before="324" w:beforeAutospacing="0" w:after="0" w:afterAutospacing="0"/>
        <w:ind w:left="2268"/>
        <w:jc w:val="both"/>
        <w:rPr>
          <w:color w:val="000000"/>
          <w:sz w:val="20"/>
          <w:szCs w:val="20"/>
        </w:rPr>
      </w:pPr>
    </w:p>
    <w:p w:rsidR="00D24E61" w:rsidRPr="00771368" w:rsidRDefault="00D24E61" w:rsidP="00D24E61">
      <w:pPr>
        <w:pStyle w:val="NormalWeb"/>
        <w:spacing w:before="324" w:beforeAutospacing="0" w:after="0" w:afterAutospacing="0"/>
        <w:ind w:left="2268"/>
        <w:jc w:val="both"/>
        <w:rPr>
          <w:color w:val="000000"/>
          <w:sz w:val="20"/>
          <w:szCs w:val="20"/>
        </w:rPr>
      </w:pP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 xml:space="preserve">Amanhece com cabelos longos o dia curvo das mulheres. Que pouco é só um dia, irmãs, quão pouco, para que o mundo acumule flores diante de nossas casas. Do berço onde nascemos à tumba onde dormiremos – toda a rota atropelada de nossas vidas – deveriam pavimentar de flores para celebrarmos (que não nos façam como à Princesa Diana que não viu, nem ouviu as floridas avenidas de prostradas de pena de Londres). </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 xml:space="preserve">Nós queremos ver e cheirar as flores. </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Queremos flores dos que não são se alegram quando nascemos fêmeas em vez de machos;</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 xml:space="preserve">Queremos flores dos que nos cortaram o clitóris e dos que nos enfaixaram os pés; </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Queremos flores dos que não nos mandaram à escola para que cuidássemos de nossos irmãos e ajudássemos na cozinha;</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Flores daquele que se meteu em nossas camas de noite e nos tapou a boca para nos violentar enquanto nossa mãe dormia;</w:t>
      </w:r>
      <w:r w:rsidRPr="00771368">
        <w:rPr>
          <w:color w:val="000000"/>
          <w:sz w:val="20"/>
          <w:szCs w:val="20"/>
        </w:rPr>
        <w:br/>
        <w:t>Queremos flores de quem nos pagou menos pelo trabalho mais pesado e do que nos demitiu quando se deu conta de que estávamos grávidas.</w:t>
      </w:r>
      <w:r w:rsidRPr="00771368">
        <w:rPr>
          <w:color w:val="000000"/>
          <w:sz w:val="20"/>
          <w:szCs w:val="20"/>
        </w:rPr>
        <w:br/>
        <w:t>Queremos flores do que nos condenou à morte obrigando-nos a parir mesmo com nossas vidas em risco.</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Queremos flores do que se protege dos maus pensamentos nos forçando a usar véus e cobrir nossos corpos.</w:t>
      </w:r>
      <w:r w:rsidRPr="00771368">
        <w:rPr>
          <w:color w:val="000000"/>
          <w:sz w:val="20"/>
          <w:szCs w:val="20"/>
        </w:rPr>
        <w:br/>
        <w:t>Dos que nos proíbe de sair às ruas sem a escolta de um homem.</w:t>
      </w:r>
      <w:r w:rsidRPr="00771368">
        <w:rPr>
          <w:color w:val="000000"/>
          <w:sz w:val="20"/>
          <w:szCs w:val="20"/>
        </w:rPr>
        <w:br/>
        <w:t>Queremos flores dos que nos queimaram como bruxas e nos prenderam como loucas.</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Queremos flores do que nos bate, do que se embebeda.</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Dos que bebem e gastam o dinheiro de nossa comida do mês.</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Queremos flores das que fazem intrigas e levantam falso.</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Flores das que não mostram piedade para com suas filhas, suas mães e suas noras e das que carregam veneno no coração contra as de seu mesmo gênero</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Tantas flores seriam necessárias para secar os úmidos pântanos, onde a água de nossos olhos faz lodo; areias movediças, nos tragando e cuspindo, das quais, tenazes, uma a uma, teremos que surgir.</w:t>
      </w:r>
    </w:p>
    <w:p w:rsidR="00D24E61" w:rsidRPr="00771368" w:rsidRDefault="00D24E61" w:rsidP="00D24E61">
      <w:pPr>
        <w:pStyle w:val="NormalWeb"/>
        <w:spacing w:before="0" w:beforeAutospacing="0" w:after="0" w:afterAutospacing="0"/>
        <w:ind w:left="2268"/>
        <w:jc w:val="both"/>
        <w:rPr>
          <w:color w:val="000000"/>
          <w:sz w:val="20"/>
          <w:szCs w:val="20"/>
        </w:rPr>
      </w:pPr>
      <w:r w:rsidRPr="00771368">
        <w:rPr>
          <w:color w:val="000000"/>
          <w:sz w:val="20"/>
          <w:szCs w:val="20"/>
        </w:rPr>
        <w:t>Amanhece com cabelos longos o dia curvo das mulheres. Queremos flores hoje! O quanto nos for de direito. O jardim do qual nos expulsaram (BELLI, 2013, p. 4)</w:t>
      </w:r>
    </w:p>
    <w:p w:rsidR="00D24E61" w:rsidRPr="00771368" w:rsidRDefault="00D24E61" w:rsidP="00D24E61">
      <w:pPr>
        <w:autoSpaceDE w:val="0"/>
        <w:autoSpaceDN w:val="0"/>
        <w:adjustRightInd w:val="0"/>
        <w:ind w:firstLine="993"/>
        <w:jc w:val="both"/>
        <w:rPr>
          <w:sz w:val="20"/>
          <w:szCs w:val="20"/>
        </w:rPr>
      </w:pPr>
    </w:p>
    <w:p w:rsidR="00D24E61" w:rsidRPr="00771368" w:rsidRDefault="00D24E61" w:rsidP="00D24E61">
      <w:pPr>
        <w:autoSpaceDE w:val="0"/>
        <w:autoSpaceDN w:val="0"/>
        <w:adjustRightInd w:val="0"/>
        <w:spacing w:line="360" w:lineRule="auto"/>
        <w:ind w:firstLine="993"/>
        <w:jc w:val="both"/>
        <w:rPr>
          <w:sz w:val="24"/>
          <w:szCs w:val="24"/>
        </w:rPr>
      </w:pPr>
    </w:p>
    <w:p w:rsidR="00D24E61" w:rsidRPr="00771368" w:rsidRDefault="00D24E61" w:rsidP="00D24E61">
      <w:pPr>
        <w:autoSpaceDE w:val="0"/>
        <w:autoSpaceDN w:val="0"/>
        <w:adjustRightInd w:val="0"/>
        <w:spacing w:line="360" w:lineRule="auto"/>
        <w:ind w:firstLine="993"/>
        <w:jc w:val="both"/>
        <w:rPr>
          <w:sz w:val="24"/>
          <w:szCs w:val="24"/>
        </w:rPr>
      </w:pPr>
      <w:r w:rsidRPr="00771368">
        <w:rPr>
          <w:sz w:val="24"/>
          <w:szCs w:val="24"/>
        </w:rPr>
        <w:t>Para Bourdieu (2012), as próprias mulheres aplicam a toda realidade e, particularmente, às relações de poder em que se vêem envolvidas esquemas de pensamento que são produto da incorporação dessas relações de poder e que se expressam nas oposições fundantes da ordem simbólica.“(...) seus atos e conhecimento são, exatamente por isso, atos de reconhecimento prático, de adesão dóxica</w:t>
      </w:r>
      <w:r w:rsidRPr="00771368">
        <w:rPr>
          <w:rStyle w:val="Refdenotaderodap"/>
          <w:rFonts w:eastAsia="Calibri"/>
          <w:sz w:val="24"/>
          <w:szCs w:val="24"/>
        </w:rPr>
        <w:footnoteReference w:id="27"/>
      </w:r>
      <w:r w:rsidRPr="00771368">
        <w:rPr>
          <w:sz w:val="24"/>
          <w:szCs w:val="24"/>
        </w:rPr>
        <w:t xml:space="preserve">, crença que não tem que se pensar e se afirmar como tal e que </w:t>
      </w:r>
      <w:r w:rsidRPr="00771368">
        <w:rPr>
          <w:i/>
          <w:sz w:val="24"/>
          <w:szCs w:val="24"/>
        </w:rPr>
        <w:t>faz</w:t>
      </w:r>
      <w:r w:rsidRPr="00771368">
        <w:rPr>
          <w:sz w:val="24"/>
          <w:szCs w:val="24"/>
        </w:rPr>
        <w:t xml:space="preserve">, de certo modo, a violência simbólica que ela sofre” (BOURDIEU, 2012, p. 45), como por exemplo, a </w:t>
      </w:r>
      <w:r w:rsidRPr="00771368">
        <w:rPr>
          <w:i/>
          <w:sz w:val="24"/>
          <w:szCs w:val="24"/>
        </w:rPr>
        <w:t>escolha</w:t>
      </w:r>
      <w:r w:rsidRPr="00771368">
        <w:rPr>
          <w:sz w:val="24"/>
          <w:szCs w:val="24"/>
        </w:rPr>
        <w:t xml:space="preserve"> profissional de muitas mulheres de baixa renda pelo magistério a partir da década de 70, que expressa menos </w:t>
      </w:r>
      <w:r w:rsidRPr="00771368">
        <w:rPr>
          <w:i/>
          <w:sz w:val="24"/>
          <w:szCs w:val="24"/>
        </w:rPr>
        <w:t>a vocação para o ensino</w:t>
      </w:r>
      <w:r w:rsidRPr="00771368">
        <w:rPr>
          <w:sz w:val="24"/>
          <w:szCs w:val="24"/>
        </w:rPr>
        <w:t xml:space="preserve"> e mais ainda, a necessidade de trabalhar rapidamente, assim como, a escassa oferta de modalidades de ensino profissionalizante no ensino médio. No campo educacional contemporâneo, as mulheres permanecem ocupando em número majoritário o magistério, particularmente no início da escolarização.</w:t>
      </w:r>
    </w:p>
    <w:p w:rsidR="00D24E61" w:rsidRPr="00771368" w:rsidRDefault="00D24E61" w:rsidP="00D24E61">
      <w:pPr>
        <w:autoSpaceDE w:val="0"/>
        <w:autoSpaceDN w:val="0"/>
        <w:adjustRightInd w:val="0"/>
        <w:spacing w:line="360" w:lineRule="auto"/>
        <w:ind w:firstLine="993"/>
        <w:jc w:val="both"/>
        <w:rPr>
          <w:sz w:val="24"/>
          <w:szCs w:val="24"/>
        </w:rPr>
      </w:pPr>
      <w:r w:rsidRPr="00771368">
        <w:rPr>
          <w:sz w:val="24"/>
          <w:szCs w:val="24"/>
        </w:rPr>
        <w:t xml:space="preserve">É nesse sentido que Bourdieu (1998) fala em disposições incorporadas, são incorporadas porque nos estruturam socialmente como pessoas, essas disposições são herdadas de nossa família, de nosso grupo de origem e, com muita frequência em nossa sociedade, apreendidas por meio de processos de socialização. Nessa perspectiva, os determinismos biológicos enquadraram ao longo da história, homens e mulheres considerando masculino e feminino. </w:t>
      </w:r>
    </w:p>
    <w:p w:rsidR="00D24E61" w:rsidRPr="00771368" w:rsidRDefault="00D24E61" w:rsidP="00D24E61">
      <w:pPr>
        <w:autoSpaceDE w:val="0"/>
        <w:autoSpaceDN w:val="0"/>
        <w:adjustRightInd w:val="0"/>
        <w:spacing w:line="360" w:lineRule="auto"/>
        <w:ind w:firstLine="993"/>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 o masculino seguiria o caminho da criatividade, agressividade e do mundo externo, como conseqüência da sua virilidade; enquanto o feminino, as atitudes mais passivas, mais leves, menos criativas e racionais, tudo sacramentado pela idéia de uma natureza inata que delimita e indica o que cada um deve e pode desempenhar (PASSOS, 1997 apud FERREIRA, 2010, p. 252)</w:t>
      </w:r>
    </w:p>
    <w:p w:rsidR="00D24E61" w:rsidRPr="00771368" w:rsidRDefault="00D24E61" w:rsidP="00D24E61">
      <w:pPr>
        <w:autoSpaceDE w:val="0"/>
        <w:autoSpaceDN w:val="0"/>
        <w:adjustRightInd w:val="0"/>
        <w:spacing w:line="360" w:lineRule="auto"/>
        <w:ind w:firstLine="993"/>
        <w:jc w:val="both"/>
        <w:rPr>
          <w:sz w:val="24"/>
          <w:szCs w:val="24"/>
        </w:rPr>
      </w:pPr>
    </w:p>
    <w:p w:rsidR="00D24E61" w:rsidRPr="00771368" w:rsidRDefault="00D24E61" w:rsidP="00D24E61">
      <w:pPr>
        <w:pStyle w:val="PargrafodaLista"/>
        <w:spacing w:after="0" w:line="360" w:lineRule="auto"/>
        <w:ind w:left="0" w:firstLine="919"/>
        <w:rPr>
          <w:rFonts w:ascii="Times New Roman" w:hAnsi="Times New Roman"/>
          <w:sz w:val="24"/>
          <w:szCs w:val="24"/>
        </w:rPr>
      </w:pPr>
      <w:r w:rsidRPr="00771368">
        <w:rPr>
          <w:rFonts w:ascii="Times New Roman" w:hAnsi="Times New Roman"/>
          <w:sz w:val="24"/>
          <w:szCs w:val="24"/>
        </w:rPr>
        <w:t>Na literatura sobre violências prevalece a representação dos homens ou como agressores ou como vítimas, o que se identifica entre os adultos e entre os jovens. Waiselfisz (2005) ao mapear a violência no Brasil, especialmente, o marco da mortalidade juvenil por causas violentas, destaca a supremacia masculina entre jovens em tais estatísticas. Esse aumento de mortes já é por si só, preocupante, mas a mortalidade entre os jovens não só aumentou quantitativamente como também mudou sua configuração a partir do que se pode denominar como “‘novos padrões de mortalidade juvenil’” (WAISELFISZ, 2005, p. 23).</w:t>
      </w:r>
    </w:p>
    <w:p w:rsidR="00D24E61" w:rsidRPr="00771368" w:rsidRDefault="00D24E61" w:rsidP="00D24E61">
      <w:pPr>
        <w:pStyle w:val="PargrafodaLista"/>
        <w:spacing w:after="0" w:line="360" w:lineRule="auto"/>
        <w:ind w:left="0" w:firstLine="919"/>
        <w:rPr>
          <w:rFonts w:ascii="Times New Roman" w:hAnsi="Times New Roman"/>
          <w:sz w:val="24"/>
          <w:szCs w:val="24"/>
        </w:rPr>
      </w:pPr>
    </w:p>
    <w:p w:rsidR="00D24E61" w:rsidRPr="00771368" w:rsidRDefault="00D24E61" w:rsidP="00D24E61">
      <w:pPr>
        <w:pStyle w:val="PargrafodaLista"/>
        <w:spacing w:after="0" w:line="240" w:lineRule="auto"/>
        <w:ind w:left="2268"/>
        <w:rPr>
          <w:rFonts w:ascii="Times New Roman" w:hAnsi="Times New Roman"/>
          <w:sz w:val="20"/>
          <w:szCs w:val="20"/>
        </w:rPr>
      </w:pPr>
      <w:r w:rsidRPr="00771368">
        <w:rPr>
          <w:rFonts w:ascii="Times New Roman" w:hAnsi="Times New Roman"/>
          <w:sz w:val="20"/>
          <w:szCs w:val="20"/>
        </w:rPr>
        <w:t>A violência e a delinqüência tem sempre uma história, mesmo quando elas batem brutalmente. Elas devem ser situadas numa progressão muitas vezes lentas, que parte sem dúvida da exclusão social, mas que se realiza nas interações de micro exclusões evitáveis (repartição das classes, punições desiguais). Elas são frequentemente acumulações de microviolências e violências simbólicas, que “unem” grupos de indivíduos num jogo de afastamento em “eles/nós”, “amigos/inimigos” (DEBARBIEUX, 2006, p. 210-211).</w:t>
      </w:r>
    </w:p>
    <w:p w:rsidR="00D24E61" w:rsidRPr="00771368" w:rsidRDefault="00D24E61" w:rsidP="00D24E61">
      <w:pPr>
        <w:autoSpaceDE w:val="0"/>
        <w:autoSpaceDN w:val="0"/>
        <w:adjustRightInd w:val="0"/>
        <w:spacing w:line="360" w:lineRule="auto"/>
        <w:jc w:val="both"/>
        <w:rPr>
          <w:sz w:val="24"/>
          <w:szCs w:val="24"/>
        </w:rPr>
      </w:pP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No Brasil, a prática de violências está cada vez mais em evidência não se restringe mais a determinada cidade, região ou gênero, diariamente circulam notícias cada vez mais brutais envolvendo vários tipos de violência ocorridos no ambiente escolar. “O ‘desafio mundial’ da violência na escola é também o desafio de incutir um pouco de razão e de ética num debate armadilhado, que muitas vezes assenta unicamente no exagero</w:t>
      </w:r>
      <w:r w:rsidRPr="00771368">
        <w:rPr>
          <w:rStyle w:val="Refdenotaderodap"/>
          <w:rFonts w:eastAsia="Calibri"/>
          <w:sz w:val="24"/>
          <w:szCs w:val="24"/>
        </w:rPr>
        <w:footnoteReference w:id="28"/>
      </w:r>
      <w:r w:rsidRPr="00771368">
        <w:rPr>
          <w:sz w:val="24"/>
          <w:szCs w:val="24"/>
        </w:rPr>
        <w:t xml:space="preserve"> do facto sangrento” (DEBARBIEUX, 2006, p.16). </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A violência está intrinsecamente relacionada ao contexto de crise estrutural ampla na sociedade, encontra ressonância na apatia, na falta de projeto de futuro, na ausência de perspectivas, na quebra de valores de tolerância e solidariedade, aspectos que fazem parte da crise de significações moderna. Em pesquisas realizadas pela UNESCO, recebe definições diferenciadas, pois “[...] a violência pode ser considerada como parte da própria condição humana, manifestando-se de acordo com arranjos societários de onde emergem” (WALSELFISZ; MACIEL, 2003, p. 16), desta forma, o aumento da desigualdade e da exclusão social está concomitantemente ligada ao aumento da violência na escola.</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FA0ABA">
      <w:pPr>
        <w:numPr>
          <w:ilvl w:val="0"/>
          <w:numId w:val="18"/>
        </w:numPr>
        <w:autoSpaceDE w:val="0"/>
        <w:autoSpaceDN w:val="0"/>
        <w:adjustRightInd w:val="0"/>
        <w:spacing w:line="360" w:lineRule="auto"/>
        <w:ind w:left="284" w:hanging="284"/>
        <w:rPr>
          <w:b/>
          <w:sz w:val="24"/>
          <w:szCs w:val="24"/>
        </w:rPr>
      </w:pPr>
      <w:r w:rsidRPr="00771368">
        <w:rPr>
          <w:b/>
          <w:sz w:val="24"/>
          <w:szCs w:val="24"/>
        </w:rPr>
        <w:t>A BUSCA DAS JOVENS MENINAS: PODER, CORAGEM E HONRA ATRAVÉS DA VIOLÊNCIA</w:t>
      </w:r>
    </w:p>
    <w:p w:rsidR="00D24E61" w:rsidRPr="00771368" w:rsidRDefault="00D24E61" w:rsidP="00D24E61">
      <w:pPr>
        <w:autoSpaceDE w:val="0"/>
        <w:autoSpaceDN w:val="0"/>
        <w:adjustRightInd w:val="0"/>
        <w:spacing w:line="360" w:lineRule="auto"/>
        <w:ind w:left="720"/>
        <w:rPr>
          <w:b/>
          <w:sz w:val="24"/>
          <w:szCs w:val="24"/>
        </w:rPr>
      </w:pPr>
    </w:p>
    <w:p w:rsidR="00D24E61" w:rsidRPr="00771368" w:rsidRDefault="00D24E61" w:rsidP="00D24E61">
      <w:pPr>
        <w:spacing w:line="360" w:lineRule="auto"/>
        <w:ind w:firstLine="1134"/>
        <w:jc w:val="both"/>
        <w:rPr>
          <w:sz w:val="24"/>
          <w:szCs w:val="24"/>
        </w:rPr>
      </w:pPr>
      <w:r w:rsidRPr="00771368">
        <w:rPr>
          <w:sz w:val="24"/>
          <w:szCs w:val="24"/>
        </w:rPr>
        <w:t>As discussões sobre a temática da violência nas escolas começam a surgir no Brasil somente a partir dos anos 80. A expressão violência escolar engloba os atos praticados no interior da escola que atingem o indivíduo em suas diversas dimensões: física, moral e pública e a partir deste consenso, a violência escolar aparece na literatura como um fenômeno heterogêneo e, especialmente, desestruturante das representações sociais que tem valor fundador que associa infância à inocência; a escola como refúgio de paz e a própria sociedade como democrática.</w:t>
      </w:r>
    </w:p>
    <w:p w:rsidR="00D24E61" w:rsidRPr="00771368" w:rsidRDefault="00D24E61" w:rsidP="00D24E61">
      <w:pPr>
        <w:spacing w:line="360" w:lineRule="auto"/>
        <w:ind w:firstLine="1134"/>
        <w:jc w:val="both"/>
        <w:rPr>
          <w:sz w:val="24"/>
          <w:szCs w:val="24"/>
        </w:rPr>
      </w:pPr>
      <w:r w:rsidRPr="00771368">
        <w:rPr>
          <w:sz w:val="24"/>
          <w:szCs w:val="24"/>
        </w:rPr>
        <w:t>Desde a infância meninas e meninos são influenciados pelos modelos de homem e de mulher apresentados pelos adultos na família, na escola, na sociedade o que repercute na construção de suas referências de gênero.</w:t>
      </w:r>
    </w:p>
    <w:p w:rsidR="00D24E61" w:rsidRPr="00771368" w:rsidRDefault="00D24E61" w:rsidP="00D24E61">
      <w:pPr>
        <w:autoSpaceDE w:val="0"/>
        <w:autoSpaceDN w:val="0"/>
        <w:adjustRightInd w:val="0"/>
        <w:ind w:left="2268"/>
        <w:jc w:val="both"/>
        <w:rPr>
          <w:sz w:val="20"/>
          <w:szCs w:val="20"/>
        </w:rPr>
      </w:pPr>
      <w:r w:rsidRPr="00771368">
        <w:rPr>
          <w:sz w:val="20"/>
          <w:szCs w:val="20"/>
        </w:rPr>
        <w:t>Oferecer aos meninos armas, roupas de luta, carros, jogos eletrônicos que incitem a violência e indicar a eles os lugares públicos próprios ao seu gênero são formas de estabelecer uma relação entre meninos de agressividade e a violência entre os homens no espaço público. Da mesma forma, oferecer às meninas somente bonecas e miniaturas de utensílios domésticos é indicar-lhes o espaço privado como cenário de sua atuação, e a maternidade como um objetivo (HEILBORN; CARRARA, 2009, p. 26).</w:t>
      </w:r>
    </w:p>
    <w:p w:rsidR="00D24E61" w:rsidRPr="00771368" w:rsidRDefault="00D24E61" w:rsidP="00D24E61">
      <w:pPr>
        <w:autoSpaceDE w:val="0"/>
        <w:autoSpaceDN w:val="0"/>
        <w:adjustRightInd w:val="0"/>
        <w:ind w:left="2268"/>
        <w:jc w:val="both"/>
        <w:rPr>
          <w:sz w:val="20"/>
          <w:szCs w:val="20"/>
        </w:rPr>
      </w:pPr>
    </w:p>
    <w:p w:rsidR="00D24E61" w:rsidRPr="00771368" w:rsidRDefault="00D24E61" w:rsidP="00D24E61">
      <w:pPr>
        <w:autoSpaceDE w:val="0"/>
        <w:autoSpaceDN w:val="0"/>
        <w:adjustRightInd w:val="0"/>
        <w:ind w:left="2268"/>
        <w:jc w:val="both"/>
        <w:rPr>
          <w:sz w:val="20"/>
          <w:szCs w:val="20"/>
        </w:rPr>
      </w:pP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 xml:space="preserve">Dessa forma, quando a menina ou o menino entram para a escola, já foram ensinados pela família e por outros grupos sociais a respeito de quais são os brinquedos correspondentes ao seu gênero, cabe a escola intervir nessa aprendizagem de forma neutra, no intuito de romper com a perpetuação de tais relações. </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Culturalmente, apesar de os meninos serem, ainda, socializados</w:t>
      </w:r>
      <w:r w:rsidRPr="00771368">
        <w:rPr>
          <w:rStyle w:val="Refdenotaderodap"/>
          <w:rFonts w:eastAsia="Calibri"/>
          <w:sz w:val="24"/>
          <w:szCs w:val="24"/>
        </w:rPr>
        <w:footnoteReference w:id="29"/>
      </w:r>
      <w:r w:rsidRPr="00771368">
        <w:rPr>
          <w:sz w:val="24"/>
          <w:szCs w:val="24"/>
        </w:rPr>
        <w:t xml:space="preserve"> para terem um comportamento mais agressivo e as meninas para serem mais dependentes e passivas, é crescente o número de jovens meninas envolvidas em situações de violência física na escola, assemelhando-se assim aos seus pares do sexo masculino. </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Nas pesquisas</w:t>
      </w:r>
      <w:r w:rsidRPr="00771368">
        <w:rPr>
          <w:rStyle w:val="Refdenotaderodap"/>
          <w:rFonts w:eastAsia="Calibri"/>
          <w:sz w:val="24"/>
          <w:szCs w:val="24"/>
        </w:rPr>
        <w:footnoteReference w:id="30"/>
      </w:r>
      <w:r w:rsidRPr="00771368">
        <w:rPr>
          <w:sz w:val="24"/>
          <w:szCs w:val="24"/>
        </w:rPr>
        <w:t xml:space="preserve"> brasileiras sobre violência escolar os meninos aparecem com maiores índices de participação nas agressões físicas praticadas nas escolas, mas apesar desses dados, a participação das meninas em atos de violências nas escolas é cada vez maior. </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No que tange à questão de gênero, observa-se que meninos e meninas não se diferenciam enquanto testemunha de violências, o que também é válido para as ameaças. Do total de alunas pesquisadas, cerca de 30% sabem da existência de ameaças na escola, encontra-se a mesma proporção entre os meninos.</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 chama-se a atenção não somente para indícios do aumento da participação das meninas em atos de violências nas escolas, mas também para singularidades. Em casos de agressões verbais e alguns tipos de agressões físicas há registros de envolvimento das jovens alunas em que se mesclam motivos ditos sentimentais e requintes de violências (ABRAMOVAY, 2005, p. 180).</w:t>
      </w:r>
    </w:p>
    <w:p w:rsidR="00D24E61" w:rsidRPr="00771368" w:rsidRDefault="00D24E61" w:rsidP="00D24E61">
      <w:pPr>
        <w:spacing w:line="360" w:lineRule="auto"/>
        <w:jc w:val="both"/>
        <w:rPr>
          <w:sz w:val="24"/>
          <w:szCs w:val="24"/>
        </w:rPr>
      </w:pP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Entretanto, muito mais do que ver o comportamento das meninas como uma tentativa de masculinização, é preciso olhar a participação das meninas em situações de violências a partir da ótica da dominação e da opressão. Desde que a Educação existe como objeto de culturalização e reprodução os atos de violência se apresentam com freqüência.</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Segundo Minayo e Njaine (2003)</w:t>
      </w:r>
      <w:r w:rsidRPr="00771368">
        <w:rPr>
          <w:rStyle w:val="Refdenotaderodap"/>
          <w:rFonts w:eastAsia="Calibri"/>
          <w:sz w:val="24"/>
          <w:szCs w:val="24"/>
        </w:rPr>
        <w:footnoteReference w:id="31"/>
      </w:r>
      <w:r w:rsidRPr="00771368">
        <w:rPr>
          <w:sz w:val="24"/>
          <w:szCs w:val="24"/>
        </w:rPr>
        <w:t xml:space="preserve"> a linguagem da violência entre as meninas como forma de comunicação, ainda que em menores  proporções, surge de modo tão cruel quanto no universo masculino “Em pesquisa com meninas em cumprimento de medidas sócio-educativas, Assis &amp; Constantino (2001) observaram essa aculturação que vêm sofrendo as jovens, a reboque do aumento da violência masculina” (ASSIS &amp; CONSTANTINO, 2001 apud MINAYO E NJAINE,  2003, p. 125). </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 xml:space="preserve">Em tempos de disseminação de culturas de violências e seu trânsito por afirmação de poder, as brigas tanto para as meninas como para os meninos servem para fazer um nome, uma reputação. Os códigos de conduta, assim como a necessidade de proteger-se e de salvar sua reputação são valiosos para ambos. </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Se quisermos contribuir para um mundo justo em que haja equidade de gênero, ou em que se estabeleça o fim da assimetria de gênero, que em nossa sociedade coloca os homens em posição privilegiada em relação às mulheres, precisamos estar atentos para não educarmos meninos e meninas de maneira radicalmente distintas (HEILBORN; CARRARA, 2009, p.26).</w:t>
      </w:r>
    </w:p>
    <w:p w:rsidR="00D24E61" w:rsidRPr="00771368" w:rsidRDefault="00D24E61" w:rsidP="00D24E61">
      <w:pPr>
        <w:autoSpaceDE w:val="0"/>
        <w:autoSpaceDN w:val="0"/>
        <w:adjustRightInd w:val="0"/>
        <w:ind w:left="2268"/>
        <w:jc w:val="both"/>
        <w:rPr>
          <w:sz w:val="20"/>
          <w:szCs w:val="20"/>
        </w:rPr>
      </w:pP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 xml:space="preserve">A necessidade de perceber o espaço escolar como um espaço de convívio reitera a importância do clima escolar e das relações sociais como fatores que podem fomentar ou arrefecer a violência. “As mulheres estão destronando o mito da feminilidade” (BEAUVOIR, 1967, p.6), para “restabelecer a honra”, as meninas como as “novas” protagonistas estariam recorrendo ao que antes era tido como um padrão de comportamento masculino utilizando diferenciados tipos da violência no cenário escolar. </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“Entre as principais motivações declaradas para o comportamento feminino agressivo na escola e para as brigas cada vez mais freqüentes entre as meninas está a disputa por namorados” (ABRAMOVAY, 2005, p. 185), essa disputa por um namorado não significa apenas a manutenção de um relacionamento amoroso, mas principalmente a demonstração de que não é uma perdedora.</w:t>
      </w:r>
    </w:p>
    <w:p w:rsidR="00D24E61" w:rsidRPr="00771368" w:rsidRDefault="00D24E61" w:rsidP="00D24E61">
      <w:pPr>
        <w:autoSpaceDE w:val="0"/>
        <w:autoSpaceDN w:val="0"/>
        <w:adjustRightInd w:val="0"/>
        <w:spacing w:line="360" w:lineRule="auto"/>
        <w:ind w:firstLine="993"/>
        <w:jc w:val="both"/>
        <w:rPr>
          <w:sz w:val="24"/>
          <w:szCs w:val="24"/>
        </w:rPr>
      </w:pPr>
      <w:r w:rsidRPr="00771368">
        <w:rPr>
          <w:sz w:val="24"/>
          <w:szCs w:val="24"/>
        </w:rPr>
        <w:t>Meninos e meninas, vítimas, testemunhas ou agressores, disputam entre si a lei do mais forte como parte da socialização juvenil e é um mecanismo social que compreende a existência de jovens que assumem um papel de submissão e</w:t>
      </w:r>
      <w:r w:rsidRPr="00771368">
        <w:rPr>
          <w:b/>
          <w:sz w:val="24"/>
          <w:szCs w:val="24"/>
        </w:rPr>
        <w:t xml:space="preserve"> </w:t>
      </w:r>
      <w:r w:rsidRPr="00771368">
        <w:rPr>
          <w:sz w:val="24"/>
          <w:szCs w:val="24"/>
        </w:rPr>
        <w:t xml:space="preserve">outros que, através da força física ou intimidação, fazem imperar as suas leis, as meninas não brigam apenas entre elas, mas também com os meninos. </w:t>
      </w:r>
    </w:p>
    <w:p w:rsidR="00D24E61" w:rsidRPr="00771368" w:rsidRDefault="00D24E61" w:rsidP="00D24E61">
      <w:pPr>
        <w:autoSpaceDE w:val="0"/>
        <w:autoSpaceDN w:val="0"/>
        <w:adjustRightInd w:val="0"/>
        <w:spacing w:line="360" w:lineRule="auto"/>
        <w:ind w:firstLine="993"/>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Praticamente dois a cada três alunos foram xingados na escola no período de um ano. (...) cerca de 64% dos estudantes, destacando-se os de sexo masculino, informam que foram vítimas desse tipo de agressão: respectivamente, 75% dos meninos (561.171) e 55% das meninas (mais de 493 mil) (ABRAMOVAY, 2005, p. 122).</w:t>
      </w:r>
    </w:p>
    <w:p w:rsidR="00D24E61" w:rsidRPr="00771368" w:rsidRDefault="00D24E61" w:rsidP="00D24E61">
      <w:pPr>
        <w:autoSpaceDE w:val="0"/>
        <w:autoSpaceDN w:val="0"/>
        <w:adjustRightInd w:val="0"/>
        <w:spacing w:line="360" w:lineRule="auto"/>
        <w:ind w:firstLine="993"/>
        <w:jc w:val="both"/>
        <w:rPr>
          <w:sz w:val="24"/>
          <w:szCs w:val="24"/>
        </w:rPr>
      </w:pPr>
    </w:p>
    <w:p w:rsidR="00D24E61" w:rsidRPr="00771368" w:rsidRDefault="00D24E61" w:rsidP="00D24E61">
      <w:pPr>
        <w:autoSpaceDE w:val="0"/>
        <w:autoSpaceDN w:val="0"/>
        <w:adjustRightInd w:val="0"/>
        <w:spacing w:line="360" w:lineRule="auto"/>
        <w:ind w:firstLine="993"/>
        <w:jc w:val="both"/>
        <w:rPr>
          <w:sz w:val="24"/>
          <w:szCs w:val="24"/>
        </w:rPr>
      </w:pPr>
      <w:r w:rsidRPr="00771368">
        <w:rPr>
          <w:sz w:val="24"/>
          <w:szCs w:val="24"/>
        </w:rPr>
        <w:t>As agressões mais direta, física e verbal caracteriza os atos que predominam nas práticas dos meninos, enquanto as meninas utilizam-se da agressão indireta, por meio de ofensas morais e exclusão social, as meninas costumam atacar em grupos, enquanto os meninos agem individualmente. Em geral, há um líder ou mentora que planeja e dá início ao processo de vitimização, respaldada por um circulo social que incentiva e auxilia.</w:t>
      </w:r>
    </w:p>
    <w:p w:rsidR="00D24E61" w:rsidRPr="00771368" w:rsidRDefault="00D24E61" w:rsidP="00D24E61">
      <w:pPr>
        <w:autoSpaceDE w:val="0"/>
        <w:autoSpaceDN w:val="0"/>
        <w:adjustRightInd w:val="0"/>
        <w:spacing w:line="360" w:lineRule="auto"/>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 cerca de 24% dos meninos, o equivalente a 173.347 estudantes, afirmam já ter batido em alguém na escola,contra 10% das meninas que fazem essa mesma afirmação. Embora o percentual de meninos agressores seja maior do que o de meninas, observa-se que este último não pode deixar de ser considerado – são 86.072 meninas que assumem já ter batido em alguém na sua escola (ABRAMOVAY, 2005, p. 181).</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spacing w:line="360" w:lineRule="auto"/>
        <w:ind w:firstLine="993"/>
        <w:jc w:val="both"/>
        <w:rPr>
          <w:sz w:val="24"/>
          <w:szCs w:val="24"/>
        </w:rPr>
      </w:pPr>
      <w:r w:rsidRPr="00771368">
        <w:rPr>
          <w:sz w:val="24"/>
          <w:szCs w:val="24"/>
        </w:rPr>
        <w:t xml:space="preserve">Dentro de uma concepção ampla do fenômeno da violência, Charlot (1997) destaca que as violências praticadas no universo escolar, para serem compreendidas e explicadas, devem ser hierarquizadas a partir da sua natureza, classifica então, a violência escolar em três níveis: </w:t>
      </w:r>
    </w:p>
    <w:p w:rsidR="00D24E61" w:rsidRPr="00771368" w:rsidRDefault="00D24E61" w:rsidP="00D24E61">
      <w:pPr>
        <w:autoSpaceDE w:val="0"/>
        <w:autoSpaceDN w:val="0"/>
        <w:adjustRightInd w:val="0"/>
        <w:spacing w:line="360" w:lineRule="auto"/>
        <w:ind w:firstLine="993"/>
        <w:jc w:val="both"/>
        <w:rPr>
          <w:sz w:val="24"/>
          <w:szCs w:val="24"/>
        </w:rPr>
      </w:pPr>
    </w:p>
    <w:p w:rsidR="00D24E61" w:rsidRPr="00771368" w:rsidRDefault="00D24E61" w:rsidP="00FA0ABA">
      <w:pPr>
        <w:pStyle w:val="PargrafodaLista"/>
        <w:numPr>
          <w:ilvl w:val="3"/>
          <w:numId w:val="16"/>
        </w:numPr>
        <w:autoSpaceDE w:val="0"/>
        <w:autoSpaceDN w:val="0"/>
        <w:adjustRightInd w:val="0"/>
        <w:spacing w:after="0" w:line="240" w:lineRule="auto"/>
        <w:rPr>
          <w:rFonts w:ascii="Times New Roman" w:hAnsi="Times New Roman"/>
          <w:sz w:val="20"/>
          <w:szCs w:val="20"/>
        </w:rPr>
      </w:pPr>
      <w:r w:rsidRPr="00771368">
        <w:rPr>
          <w:rFonts w:ascii="Times New Roman" w:hAnsi="Times New Roman"/>
          <w:sz w:val="20"/>
          <w:szCs w:val="20"/>
        </w:rPr>
        <w:t xml:space="preserve">A violência – golpes, ferimentos, violência sexual, roubos, crimes, vandalismo; </w:t>
      </w:r>
    </w:p>
    <w:p w:rsidR="00D24E61" w:rsidRPr="00771368" w:rsidRDefault="00D24E61" w:rsidP="00FA0ABA">
      <w:pPr>
        <w:pStyle w:val="PargrafodaLista"/>
        <w:numPr>
          <w:ilvl w:val="3"/>
          <w:numId w:val="16"/>
        </w:numPr>
        <w:autoSpaceDE w:val="0"/>
        <w:autoSpaceDN w:val="0"/>
        <w:adjustRightInd w:val="0"/>
        <w:spacing w:after="0" w:line="240" w:lineRule="auto"/>
        <w:rPr>
          <w:rFonts w:ascii="Times New Roman" w:hAnsi="Times New Roman"/>
          <w:sz w:val="20"/>
          <w:szCs w:val="20"/>
        </w:rPr>
      </w:pPr>
      <w:r w:rsidRPr="00771368">
        <w:rPr>
          <w:rFonts w:ascii="Times New Roman" w:hAnsi="Times New Roman"/>
          <w:sz w:val="20"/>
          <w:szCs w:val="20"/>
        </w:rPr>
        <w:t xml:space="preserve">Incivilidades – humilhações, palavras grosseiras, falta de respeito; </w:t>
      </w:r>
    </w:p>
    <w:p w:rsidR="00D24E61" w:rsidRPr="00771368" w:rsidRDefault="00D24E61" w:rsidP="00FA0ABA">
      <w:pPr>
        <w:pStyle w:val="PargrafodaLista"/>
        <w:numPr>
          <w:ilvl w:val="3"/>
          <w:numId w:val="16"/>
        </w:numPr>
        <w:autoSpaceDE w:val="0"/>
        <w:autoSpaceDN w:val="0"/>
        <w:adjustRightInd w:val="0"/>
        <w:spacing w:after="0" w:line="240" w:lineRule="auto"/>
        <w:rPr>
          <w:rFonts w:ascii="Times New Roman" w:hAnsi="Times New Roman"/>
          <w:sz w:val="20"/>
          <w:szCs w:val="20"/>
        </w:rPr>
      </w:pPr>
      <w:r w:rsidRPr="00771368">
        <w:rPr>
          <w:rFonts w:ascii="Times New Roman" w:hAnsi="Times New Roman"/>
          <w:sz w:val="20"/>
          <w:szCs w:val="20"/>
        </w:rPr>
        <w:t>Violência simbólica ou institucional – falta de sentido em permanecer na escola por tantos anos; o ensino como um desprazer, que obriga o jovem a aprender matérias e conteúdos alheios aos seus interesses; as imposições de uma sociedade que não sabe acolher os seus jovens no mercado de trabalho; a violência das relações de poder entre professores e alunos; a negociação da identidade e satisfação profissional aos professores, a sua obrigação de suportar o absenteísmo e a indiferença dos alunos (CHARLOT, 1997, p. 35)</w:t>
      </w:r>
    </w:p>
    <w:p w:rsidR="00D24E61" w:rsidRPr="00771368" w:rsidRDefault="00D24E61" w:rsidP="00D24E61">
      <w:pPr>
        <w:autoSpaceDE w:val="0"/>
        <w:autoSpaceDN w:val="0"/>
        <w:adjustRightInd w:val="0"/>
        <w:spacing w:line="360" w:lineRule="auto"/>
        <w:jc w:val="both"/>
        <w:rPr>
          <w:sz w:val="24"/>
          <w:szCs w:val="24"/>
        </w:rPr>
      </w:pP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Intolerância e desrespeito à diversidade são práticas comuns entre os estudantes, a agressão verbal por diversos motivos: característica física, um traço considerado como um defeito e até uma aparência diferente dos padrões de beleza estabelecidos com o objetivo de machucar, magoar, ferir. Nos relatos sobre agressões verbais, constata-se que os alunos adotam formas de comunicação que podem ser classificadas como vulgares e agressivas em sua linguagem cotidiana, incorporando-as à maneira como eles tratam uns aos outros, sem nenhum constrangimento em agredir as meninas.</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 xml:space="preserve">Essa linguagem é vista por muitos como normal, “naturais aos jovens de hoje”, mas essa prática precisa ser pensada à luz do lugar e da função social da escola como um dos espaços de construção de modos e formas de sociabilidade. As demarcações de gênero desaparecem dentre os diversos apelidos, agressões físicas ou verbais. </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Praticamente dois a cada três alunos foram xingados na escola no período de um ano. (...) cerca de 64% dos estudantes, destacando-se os de sexo masculino, informam que foram vítimas desse tipo de agressão: respectivamente, 75% dos meninos (561.171) e 55% das meninas (mais de 493 mil) (ABRAMOVAY, 2005, p. 122).</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No campo da sexualidade as divisões sexuais sobre o que é permitido socialmente às meninas e aos meninos retratam que o “ficar”, a “traição” frente ao namorar são carregadas por qualificações negativas e discriminatórias quando são praticadas por jovens meninas, apela-se para estereótipos e formas pejorativas acentuando-se a linha de gênero. Os estereótipos das meninas “ficantes” são recheados de preconceitos morais, a vida afetiva das meninas é referenciada nas ofensas, o oposto do que acontece com o “ficar dos meninos,” visto de modo positivo.</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 xml:space="preserve"> (...) o estereótipo enquanto representação social possui três funções: </w:t>
      </w:r>
    </w:p>
    <w:p w:rsidR="00D24E61" w:rsidRPr="00771368" w:rsidRDefault="00D24E61" w:rsidP="00FA0ABA">
      <w:pPr>
        <w:numPr>
          <w:ilvl w:val="0"/>
          <w:numId w:val="17"/>
        </w:numPr>
        <w:tabs>
          <w:tab w:val="left" w:pos="2552"/>
        </w:tabs>
        <w:autoSpaceDE w:val="0"/>
        <w:autoSpaceDN w:val="0"/>
        <w:adjustRightInd w:val="0"/>
        <w:ind w:left="2268" w:firstLine="0"/>
        <w:jc w:val="both"/>
        <w:rPr>
          <w:sz w:val="20"/>
          <w:szCs w:val="20"/>
        </w:rPr>
      </w:pPr>
      <w:r w:rsidRPr="00771368">
        <w:rPr>
          <w:sz w:val="20"/>
          <w:szCs w:val="20"/>
        </w:rPr>
        <w:t>Seletiva: consistindo em uma percepção diferenciada dos elementos que caracterizam o outro grupo, procedendo avaliações de elementos negativos e dentre  tais elementos selecionando os que interessam para a relação grupal.</w:t>
      </w:r>
    </w:p>
    <w:p w:rsidR="00D24E61" w:rsidRPr="00771368" w:rsidRDefault="00D24E61" w:rsidP="00FA0ABA">
      <w:pPr>
        <w:numPr>
          <w:ilvl w:val="0"/>
          <w:numId w:val="17"/>
        </w:numPr>
        <w:tabs>
          <w:tab w:val="left" w:pos="2552"/>
        </w:tabs>
        <w:autoSpaceDE w:val="0"/>
        <w:autoSpaceDN w:val="0"/>
        <w:adjustRightInd w:val="0"/>
        <w:ind w:left="2268" w:firstLine="0"/>
        <w:jc w:val="both"/>
        <w:rPr>
          <w:sz w:val="20"/>
          <w:szCs w:val="20"/>
        </w:rPr>
      </w:pPr>
      <w:r w:rsidRPr="00771368">
        <w:rPr>
          <w:sz w:val="20"/>
          <w:szCs w:val="20"/>
        </w:rPr>
        <w:t>Justificativa: relevando conteúdos das representações, imagens estereotipadas que legitimem a hostilidade e a discriminação social.]</w:t>
      </w:r>
    </w:p>
    <w:p w:rsidR="00D24E61" w:rsidRPr="00771368" w:rsidRDefault="00D24E61" w:rsidP="00FA0ABA">
      <w:pPr>
        <w:numPr>
          <w:ilvl w:val="0"/>
          <w:numId w:val="17"/>
        </w:numPr>
        <w:tabs>
          <w:tab w:val="left" w:pos="2552"/>
        </w:tabs>
        <w:autoSpaceDE w:val="0"/>
        <w:autoSpaceDN w:val="0"/>
        <w:adjustRightInd w:val="0"/>
        <w:ind w:left="2268" w:firstLine="0"/>
        <w:jc w:val="both"/>
        <w:rPr>
          <w:sz w:val="20"/>
          <w:szCs w:val="20"/>
        </w:rPr>
      </w:pPr>
      <w:r w:rsidRPr="00771368">
        <w:rPr>
          <w:sz w:val="20"/>
          <w:szCs w:val="20"/>
        </w:rPr>
        <w:t>Antecipatória: orientando o desenvolvimento de relações entre grupos permitindo prever o comportamento dos grupos e orientar suas ações (SOUSA, 2011, p. 95).</w:t>
      </w:r>
    </w:p>
    <w:p w:rsidR="00D24E61" w:rsidRPr="00771368" w:rsidRDefault="00D24E61" w:rsidP="00D24E61">
      <w:pPr>
        <w:autoSpaceDE w:val="0"/>
        <w:autoSpaceDN w:val="0"/>
        <w:adjustRightInd w:val="0"/>
        <w:spacing w:line="360" w:lineRule="auto"/>
        <w:jc w:val="both"/>
        <w:rPr>
          <w:sz w:val="24"/>
          <w:szCs w:val="24"/>
        </w:rPr>
      </w:pPr>
    </w:p>
    <w:p w:rsidR="00D24E61" w:rsidRPr="00771368" w:rsidRDefault="00D24E61" w:rsidP="00D24E61">
      <w:pPr>
        <w:autoSpaceDE w:val="0"/>
        <w:autoSpaceDN w:val="0"/>
        <w:adjustRightInd w:val="0"/>
        <w:spacing w:line="360" w:lineRule="auto"/>
        <w:ind w:firstLine="1418"/>
        <w:jc w:val="both"/>
        <w:rPr>
          <w:sz w:val="24"/>
          <w:szCs w:val="24"/>
        </w:rPr>
      </w:pPr>
      <w:r w:rsidRPr="00771368">
        <w:rPr>
          <w:sz w:val="24"/>
          <w:szCs w:val="24"/>
        </w:rPr>
        <w:t>A heteronormatividade ditada socialmente restringe os desejos sexuais, as condutas e as identificações sociais de gênero que são admitidas como normais ou aceitáveis àqueles ajustados ao par masculino e feminino. Dessa forma, as jovens meninas devem controlar seus impulsos sexuais, usar métodos contraceptivos enquanto os meninos são criados para não resistir a nenhuma chance de se envolver em uma prática sexual os meninos aprendem desde cedo que o desejo sexual é incontrolável, isto é, faz parte de sua natureza, do exercício de sua masculinidade, assim, aprendem que têm que parecer machos e o gênero é utilizado para controlar a sexualidade.</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ind w:left="2127"/>
        <w:jc w:val="both"/>
        <w:rPr>
          <w:sz w:val="20"/>
          <w:szCs w:val="20"/>
        </w:rPr>
      </w:pPr>
      <w:r w:rsidRPr="00771368">
        <w:rPr>
          <w:sz w:val="20"/>
          <w:szCs w:val="20"/>
        </w:rPr>
        <w:t>(...) a “masculinidade” é (...) simultaneamente um lugar de relações de gênero, as práticas através das quais os homens e mulheres tomam Aquele lugar no gênero, e os resultados destas práticas nas experiências corpóreas, na personalidade e na cultura (CONNELL, 1995, p. 71 apud LOPES, 2012, p. 153).</w:t>
      </w:r>
    </w:p>
    <w:p w:rsidR="00D24E61" w:rsidRPr="00771368" w:rsidRDefault="00D24E61" w:rsidP="00D24E61">
      <w:pPr>
        <w:autoSpaceDE w:val="0"/>
        <w:autoSpaceDN w:val="0"/>
        <w:adjustRightInd w:val="0"/>
        <w:spacing w:line="360" w:lineRule="auto"/>
        <w:ind w:firstLine="1134"/>
        <w:jc w:val="both"/>
        <w:rPr>
          <w:sz w:val="24"/>
          <w:szCs w:val="24"/>
        </w:rPr>
      </w:pP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 xml:space="preserve">A desmistificação do feminino e de sua posição passiva em relação à violência é evidenciada não somente pelas disputas por namorados, mas também por situações em que conflitos externos à escola, como a rivalidade entre bairros, se constitui em motivação para ameaças, interferindo no cotidiano escolar. As meninas se vêem como mais importantes quando atraem a atenção na escola por seu comportamento agressivo, assim como também, são menos discriminadas quando apresentam comportamentos atribuídos ao universo masculino e, portanto, ameaçam e são ameaçadas da mesma forma que os rapazes. </w:t>
      </w:r>
    </w:p>
    <w:p w:rsidR="00D24E61" w:rsidRPr="00771368" w:rsidRDefault="00D24E61" w:rsidP="00D24E61">
      <w:pPr>
        <w:autoSpaceDE w:val="0"/>
        <w:autoSpaceDN w:val="0"/>
        <w:adjustRightInd w:val="0"/>
        <w:ind w:left="2268"/>
        <w:jc w:val="both"/>
        <w:rPr>
          <w:sz w:val="20"/>
          <w:szCs w:val="20"/>
        </w:rPr>
      </w:pPr>
      <w:r w:rsidRPr="00771368">
        <w:rPr>
          <w:sz w:val="20"/>
          <w:szCs w:val="20"/>
        </w:rPr>
        <w:t>Agredir fisicamente o outro, “dar porrada”, é uma estratégia de um código de conduta que trabalha especialmente com duas idéias, opostas porém complementares: é honroso bater, enquanto apanhar seria assumir o papel do mais fraco. As brigas são legitimadas por uma cultura da violência, a qual estimula e apóia a disseminação de atos agressivos no ambiente escolar (ABRAMOVAY, 2005, 173).</w:t>
      </w:r>
    </w:p>
    <w:p w:rsidR="00D24E61" w:rsidRPr="00771368" w:rsidRDefault="00D24E61" w:rsidP="00D24E61">
      <w:pPr>
        <w:autoSpaceDE w:val="0"/>
        <w:autoSpaceDN w:val="0"/>
        <w:adjustRightInd w:val="0"/>
        <w:ind w:left="2268"/>
        <w:jc w:val="both"/>
        <w:rPr>
          <w:sz w:val="20"/>
          <w:szCs w:val="20"/>
        </w:rPr>
      </w:pPr>
    </w:p>
    <w:p w:rsidR="00D24E61" w:rsidRPr="00771368" w:rsidRDefault="00D24E61" w:rsidP="00D24E61">
      <w:pPr>
        <w:autoSpaceDE w:val="0"/>
        <w:autoSpaceDN w:val="0"/>
        <w:adjustRightInd w:val="0"/>
        <w:ind w:left="2268"/>
        <w:jc w:val="both"/>
        <w:rPr>
          <w:sz w:val="20"/>
          <w:szCs w:val="20"/>
        </w:rPr>
      </w:pP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  A admiração pelo “forte” é culturalmente legitimada, quem ameaça e estigmatiza o “fraco”, no caso o ameaçado. Não por acaso muitos casos de ameaças se dão publicamente, com muitas testemunhas, já que um dos efeitos pretendidos é o de humilhar o ameaçado. No entanto, os motivos imediatos para o desencadeamento de uma ameaça não têm valor universal e, assim, em outros contextos sociais os mesmos motivos alegados não estimulam, necessariamente, ameaças ou agressões.</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A vítima é sempre rechaçada por suas colegas, e o objetivo é eliminá-la do convívio social, para isso, comumente existem fofocas, comentários maldosos, xingamentos e mentiras, contudo as meninas também se utilizam de maus tratos físicos.</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 xml:space="preserve">Atualmente, os estereótipos construídos acerca da mulher ao longo da história, como frágil e passiva não encontram sustentação quando o assunto é a violência. No cotidiano escolar as jovens meninas viriam marginalizando essa definição imposta através do uso da força para demarcar posição de liderança e poder, assim como os meninos porque socialmente se considera como coragem, o uso de violências; as disputas por namorado estão intrinsecamente relacionadas com a demonstração de que não são perdedoras, é a lei do mais forte que constitui o código de conduta, e independentemente do gênero ditado, não medem as consequências de seus atos na busca pela legitimação de sua força e honra, é honroso bater, apanhar é ser fraco. Impera a incorporação dos princípios de masculinidade e de heroísmo que dignifica o forte, aquele que bate, agride e em contrapartida estigmatiza o fraco. </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Além da análise de gênero, há que considerar o aumento da exposição a violências dos jovens de ambos os sexos, a recorrência a violência por falência de outras formas de comunicação e o significado de poder impresso em comportamentos violentos. Isto em tempos em que o diálogo como mecanismo de resolução de conflitos dá lugar às agressões físicas. Assim como incomunicações se dariam nas relações sociais independentemente do sexo, o poder seria algo cada vez mais desejado nas nossas sociedades.</w:t>
      </w:r>
    </w:p>
    <w:p w:rsidR="00D24E61" w:rsidRPr="00771368" w:rsidRDefault="00D24E61" w:rsidP="00D24E61">
      <w:pPr>
        <w:autoSpaceDE w:val="0"/>
        <w:autoSpaceDN w:val="0"/>
        <w:adjustRightInd w:val="0"/>
        <w:spacing w:line="360" w:lineRule="auto"/>
        <w:rPr>
          <w:sz w:val="24"/>
          <w:szCs w:val="24"/>
        </w:rPr>
      </w:pPr>
    </w:p>
    <w:p w:rsidR="00D24E61" w:rsidRPr="00771368" w:rsidRDefault="00D24E61" w:rsidP="00D24E61">
      <w:pPr>
        <w:autoSpaceDE w:val="0"/>
        <w:autoSpaceDN w:val="0"/>
        <w:adjustRightInd w:val="0"/>
        <w:spacing w:line="360" w:lineRule="auto"/>
        <w:rPr>
          <w:sz w:val="24"/>
          <w:szCs w:val="24"/>
        </w:rPr>
      </w:pPr>
    </w:p>
    <w:p w:rsidR="00D24E61" w:rsidRPr="00771368" w:rsidRDefault="00D24E61" w:rsidP="00D24E61">
      <w:pPr>
        <w:autoSpaceDE w:val="0"/>
        <w:autoSpaceDN w:val="0"/>
        <w:adjustRightInd w:val="0"/>
        <w:spacing w:line="360" w:lineRule="auto"/>
        <w:rPr>
          <w:b/>
          <w:sz w:val="24"/>
          <w:szCs w:val="24"/>
        </w:rPr>
      </w:pPr>
      <w:r w:rsidRPr="00771368">
        <w:rPr>
          <w:b/>
          <w:sz w:val="24"/>
          <w:szCs w:val="24"/>
        </w:rPr>
        <w:t>CONSIDERAÇÕES FINAIS</w:t>
      </w:r>
    </w:p>
    <w:p w:rsidR="00D24E61" w:rsidRPr="00771368" w:rsidRDefault="00D24E61" w:rsidP="00D24E61">
      <w:pPr>
        <w:autoSpaceDE w:val="0"/>
        <w:autoSpaceDN w:val="0"/>
        <w:adjustRightInd w:val="0"/>
        <w:spacing w:line="360" w:lineRule="auto"/>
        <w:rPr>
          <w:sz w:val="24"/>
          <w:szCs w:val="24"/>
        </w:rPr>
      </w:pP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O cenário escolar que acometido por ambigüidades entre os diversos atores que interagem nesse espaço, de um lado, é um lugar destinado a construção de saberes, de convivência e socialização que representa para muitos jovens, um lugar de realização pessoal e profissional, permeado de buscas por habilidades, relações sociais, interações que estão vinculadas às suas identidades, por outro lado, é também um lugar de produção de reprodução de violências nas suas mais variadas manifestações, atualmente observa-se com mais claridade uma tensão existente entre o sistema escolar e as expectativas dos jovens. Inúmeros elementos se mesclam e contribuem para a propagação dos conflitos no espaço escolar, o papel do aluno nesse espaço dinâmico acaba sendo pensado de forma unilateral, sem considerar de fato a sua participação, sua voz nesse espaço acaba sendo silenciada sob a pena de sofrer as punições adotadas pela escola.</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Nesse contexto, a falta do diálogo entre a escola e o aluno demonstra o desprezo pela cultura, pelas condições de vida dos jovens, o que vai além de sua identidade como aluno. Homogeneizar, estigmatizar e estereotipar alunos socialmente diferenciados, vulneráveis, desprotegidos, sem oportunidades, desinteressados e apáticos é desconsiderá-los enquanto sujeitos possuidores de identidades próprias e que participam, em sua diversidade, dos diferentes estratos sociais permeado de desigualdades.</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No cenário escolar da atualidade a violência marca fortemente as relações sociais, a agressividade e as violências geradas são muitas vezes naturalizadas e banalizadas, comprometendo a qualidade do ensino aprendizagem. Seja como brincadeiras ou piadas entre os membros escolares a violência simbólica é a mais sutil dentre todas os tipos de violências.</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A violência representa na relação de poder que adentra nas relações escolares uma forma de dominação, na qual, a representação do mais forte é inconsequentemente buscado por meninas e meninos. A interiorização dos códigos de conduta na escola, manifestam-se independente de gênero assim, alunos e alunas aprendem a se agredir na escola na ausência de adultos e a defender-se contra a agressão de outras pessoas, aqueles que não incorporam e que não aprendem na prática as estratégias de defesa e de agressividade nas relações de força e dominação existente no grupo são fadados a não reagir, sendo assim, condenados a serem eternos fracos e submissos à dominação de seus pares, essa hierarquia de dominação pode estar presente tanto nas agressões verbais quanto nas físicas, englobando o amplo conceito de violência e seus diversos graus cometidos também, pela meninas.</w:t>
      </w:r>
    </w:p>
    <w:p w:rsidR="00D24E61" w:rsidRPr="00771368" w:rsidRDefault="00D24E61" w:rsidP="00D24E61">
      <w:pPr>
        <w:autoSpaceDE w:val="0"/>
        <w:autoSpaceDN w:val="0"/>
        <w:adjustRightInd w:val="0"/>
        <w:spacing w:line="360" w:lineRule="auto"/>
        <w:ind w:firstLine="1134"/>
        <w:jc w:val="both"/>
        <w:rPr>
          <w:sz w:val="24"/>
          <w:szCs w:val="24"/>
        </w:rPr>
      </w:pPr>
      <w:r w:rsidRPr="00771368">
        <w:rPr>
          <w:sz w:val="24"/>
          <w:szCs w:val="24"/>
        </w:rPr>
        <w:t>Para Morin (2002), “ensinar a condição humana”, deve ser o objeto essencial de todo o ensino. Unidades complexas, como o ser humano ou a sociedade, são multidimensionais, portanto, o ser humano é entendido como constituído enquanto ser físico, biológico, psíquico, cultural, racional, afetivo, social, histórico; é uma unidade complexa por natureza humana e que não pode continuar sendo desintegrado na educação do seu significado de ser humano, de sua identidade comum a todos os outros seres humanos.</w:t>
      </w:r>
    </w:p>
    <w:p w:rsidR="003914ED" w:rsidRDefault="003914ED" w:rsidP="00D24E61">
      <w:pPr>
        <w:autoSpaceDE w:val="0"/>
        <w:autoSpaceDN w:val="0"/>
        <w:adjustRightInd w:val="0"/>
        <w:spacing w:line="360" w:lineRule="auto"/>
        <w:jc w:val="center"/>
        <w:rPr>
          <w:b/>
          <w:sz w:val="24"/>
          <w:szCs w:val="24"/>
        </w:rPr>
      </w:pPr>
    </w:p>
    <w:p w:rsidR="00D24E61" w:rsidRPr="00771368" w:rsidRDefault="00D24E61" w:rsidP="00D24E61">
      <w:pPr>
        <w:autoSpaceDE w:val="0"/>
        <w:autoSpaceDN w:val="0"/>
        <w:adjustRightInd w:val="0"/>
        <w:spacing w:line="360" w:lineRule="auto"/>
        <w:jc w:val="center"/>
        <w:rPr>
          <w:b/>
          <w:sz w:val="24"/>
          <w:szCs w:val="24"/>
        </w:rPr>
      </w:pPr>
      <w:r w:rsidRPr="00771368">
        <w:rPr>
          <w:b/>
          <w:sz w:val="24"/>
          <w:szCs w:val="24"/>
        </w:rPr>
        <w:t>REFERÊNCIAS</w:t>
      </w:r>
    </w:p>
    <w:p w:rsidR="00D24E61" w:rsidRPr="00771368" w:rsidRDefault="00D24E61" w:rsidP="00D24E61">
      <w:pPr>
        <w:autoSpaceDE w:val="0"/>
        <w:autoSpaceDN w:val="0"/>
        <w:adjustRightInd w:val="0"/>
        <w:spacing w:line="360" w:lineRule="auto"/>
        <w:rPr>
          <w:b/>
          <w:sz w:val="24"/>
          <w:szCs w:val="24"/>
        </w:rPr>
      </w:pPr>
    </w:p>
    <w:p w:rsidR="00D24E61" w:rsidRPr="00771368" w:rsidRDefault="00D24E61" w:rsidP="00D24E61">
      <w:pPr>
        <w:autoSpaceDE w:val="0"/>
        <w:autoSpaceDN w:val="0"/>
        <w:adjustRightInd w:val="0"/>
        <w:jc w:val="both"/>
        <w:rPr>
          <w:sz w:val="24"/>
          <w:szCs w:val="24"/>
        </w:rPr>
      </w:pPr>
      <w:r w:rsidRPr="00771368">
        <w:rPr>
          <w:sz w:val="24"/>
          <w:szCs w:val="24"/>
        </w:rPr>
        <w:t xml:space="preserve">ABRAMOVAY, Miriam (org.) </w:t>
      </w:r>
      <w:r w:rsidRPr="00771368">
        <w:rPr>
          <w:b/>
          <w:sz w:val="24"/>
          <w:szCs w:val="24"/>
        </w:rPr>
        <w:t>Cotidiano das escolas: entre violências.</w:t>
      </w:r>
      <w:r w:rsidRPr="00771368">
        <w:rPr>
          <w:sz w:val="24"/>
          <w:szCs w:val="24"/>
        </w:rPr>
        <w:t xml:space="preserve"> Brasília: UNESCO, Observatório de Violência, Ministério da Educação, 2005. </w:t>
      </w:r>
    </w:p>
    <w:p w:rsidR="00D24E61" w:rsidRPr="00771368" w:rsidRDefault="00D24E61" w:rsidP="00D24E61">
      <w:pPr>
        <w:pStyle w:val="Textodenotaderodap"/>
        <w:rPr>
          <w:rFonts w:ascii="Times New Roman" w:hAnsi="Times New Roman"/>
          <w:sz w:val="24"/>
          <w:szCs w:val="24"/>
        </w:rPr>
      </w:pPr>
    </w:p>
    <w:p w:rsidR="00D24E61" w:rsidRPr="00771368" w:rsidRDefault="00D24E61" w:rsidP="00D24E61">
      <w:pPr>
        <w:pStyle w:val="PargrafodaLista"/>
        <w:ind w:left="0"/>
        <w:rPr>
          <w:rFonts w:ascii="Times New Roman" w:hAnsi="Times New Roman"/>
          <w:sz w:val="24"/>
          <w:szCs w:val="24"/>
        </w:rPr>
      </w:pPr>
      <w:r w:rsidRPr="00771368">
        <w:rPr>
          <w:rFonts w:ascii="Times New Roman" w:hAnsi="Times New Roman"/>
          <w:sz w:val="24"/>
          <w:szCs w:val="24"/>
        </w:rPr>
        <w:t xml:space="preserve">ARENDT, Hannah. </w:t>
      </w:r>
      <w:r w:rsidRPr="00771368">
        <w:rPr>
          <w:rFonts w:ascii="Times New Roman" w:hAnsi="Times New Roman"/>
          <w:b/>
          <w:sz w:val="24"/>
          <w:szCs w:val="24"/>
        </w:rPr>
        <w:t>Sobre a Violência</w:t>
      </w:r>
      <w:r w:rsidRPr="00771368">
        <w:rPr>
          <w:rFonts w:ascii="Times New Roman" w:hAnsi="Times New Roman"/>
          <w:sz w:val="24"/>
          <w:szCs w:val="24"/>
        </w:rPr>
        <w:t>. Rio de Janeiro: Civilização Brasileira, 2010.2ª edição. Tradução de André Duarte.</w:t>
      </w:r>
    </w:p>
    <w:p w:rsidR="00D24E61" w:rsidRPr="00771368" w:rsidRDefault="00D24E61" w:rsidP="00D24E61">
      <w:pPr>
        <w:pStyle w:val="Textodenotaderodap"/>
        <w:rPr>
          <w:rFonts w:ascii="Times New Roman" w:hAnsi="Times New Roman"/>
          <w:sz w:val="24"/>
          <w:szCs w:val="24"/>
        </w:rPr>
      </w:pPr>
      <w:r w:rsidRPr="00771368">
        <w:rPr>
          <w:rFonts w:ascii="Times New Roman" w:hAnsi="Times New Roman"/>
          <w:sz w:val="24"/>
          <w:szCs w:val="24"/>
        </w:rPr>
        <w:t xml:space="preserve">BEAUVOIR. Simone de. </w:t>
      </w:r>
      <w:r w:rsidRPr="00771368">
        <w:rPr>
          <w:rFonts w:ascii="Times New Roman" w:hAnsi="Times New Roman"/>
          <w:b/>
          <w:sz w:val="24"/>
          <w:szCs w:val="24"/>
        </w:rPr>
        <w:t>O segundo sexo: a experiência vivida</w:t>
      </w:r>
      <w:r w:rsidRPr="00771368">
        <w:rPr>
          <w:rFonts w:ascii="Times New Roman" w:hAnsi="Times New Roman"/>
          <w:sz w:val="24"/>
          <w:szCs w:val="24"/>
        </w:rPr>
        <w:t>. São Paulo: Difusão Européia do livro, 1967. (Tradução de Sérgio Milliet). 2ª edição.</w:t>
      </w:r>
    </w:p>
    <w:p w:rsidR="00D24E61" w:rsidRPr="00771368" w:rsidRDefault="00D24E61" w:rsidP="00D24E61">
      <w:pPr>
        <w:pStyle w:val="Textodenotaderodap"/>
        <w:rPr>
          <w:rFonts w:ascii="Times New Roman" w:hAnsi="Times New Roman"/>
          <w:sz w:val="24"/>
          <w:szCs w:val="24"/>
        </w:rPr>
      </w:pPr>
    </w:p>
    <w:p w:rsidR="00D24E61" w:rsidRPr="00771368" w:rsidRDefault="00D24E61" w:rsidP="00D24E61">
      <w:pPr>
        <w:autoSpaceDE w:val="0"/>
        <w:autoSpaceDN w:val="0"/>
        <w:adjustRightInd w:val="0"/>
        <w:jc w:val="both"/>
        <w:rPr>
          <w:sz w:val="24"/>
          <w:szCs w:val="24"/>
        </w:rPr>
      </w:pPr>
      <w:r w:rsidRPr="00771368">
        <w:rPr>
          <w:sz w:val="24"/>
          <w:szCs w:val="24"/>
        </w:rPr>
        <w:t xml:space="preserve">BOURDIEU, Pierre. </w:t>
      </w:r>
      <w:r w:rsidRPr="00771368">
        <w:rPr>
          <w:b/>
          <w:sz w:val="24"/>
          <w:szCs w:val="24"/>
        </w:rPr>
        <w:t>A dominação Masculina</w:t>
      </w:r>
      <w:r w:rsidRPr="00771368">
        <w:rPr>
          <w:sz w:val="24"/>
          <w:szCs w:val="24"/>
        </w:rPr>
        <w:t>. Rio de Janeiro: Bertrand Brasil, 2012.</w:t>
      </w:r>
    </w:p>
    <w:p w:rsidR="00D24E61" w:rsidRPr="00771368" w:rsidRDefault="00D24E61" w:rsidP="00D24E61">
      <w:pPr>
        <w:autoSpaceDE w:val="0"/>
        <w:autoSpaceDN w:val="0"/>
        <w:adjustRightInd w:val="0"/>
        <w:jc w:val="both"/>
        <w:rPr>
          <w:sz w:val="24"/>
          <w:szCs w:val="24"/>
        </w:rPr>
      </w:pPr>
    </w:p>
    <w:p w:rsidR="00D24E61" w:rsidRPr="00771368" w:rsidRDefault="00D24E61" w:rsidP="00D24E61">
      <w:pPr>
        <w:autoSpaceDE w:val="0"/>
        <w:autoSpaceDN w:val="0"/>
        <w:adjustRightInd w:val="0"/>
        <w:jc w:val="both"/>
        <w:rPr>
          <w:sz w:val="24"/>
          <w:szCs w:val="24"/>
        </w:rPr>
      </w:pPr>
      <w:r w:rsidRPr="00771368">
        <w:rPr>
          <w:sz w:val="24"/>
          <w:szCs w:val="24"/>
        </w:rPr>
        <w:t xml:space="preserve">_______________; NOGUEIRA, Maria Alice (org.). </w:t>
      </w:r>
      <w:r w:rsidRPr="00771368">
        <w:rPr>
          <w:b/>
          <w:sz w:val="24"/>
          <w:szCs w:val="24"/>
        </w:rPr>
        <w:t>Escritos de Educação</w:t>
      </w:r>
      <w:r w:rsidRPr="00771368">
        <w:rPr>
          <w:sz w:val="24"/>
          <w:szCs w:val="24"/>
        </w:rPr>
        <w:t>. Rio de Janeiro: Vozes, 1998.</w:t>
      </w:r>
    </w:p>
    <w:p w:rsidR="00D24E61" w:rsidRPr="00771368" w:rsidRDefault="00D24E61" w:rsidP="00D24E61">
      <w:pPr>
        <w:autoSpaceDE w:val="0"/>
        <w:autoSpaceDN w:val="0"/>
        <w:adjustRightInd w:val="0"/>
        <w:jc w:val="both"/>
        <w:rPr>
          <w:sz w:val="24"/>
          <w:szCs w:val="24"/>
        </w:rPr>
      </w:pPr>
    </w:p>
    <w:p w:rsidR="00D24E61" w:rsidRPr="00771368" w:rsidRDefault="00D24E61" w:rsidP="00D24E61">
      <w:pPr>
        <w:autoSpaceDE w:val="0"/>
        <w:autoSpaceDN w:val="0"/>
        <w:adjustRightInd w:val="0"/>
        <w:jc w:val="both"/>
        <w:rPr>
          <w:sz w:val="24"/>
          <w:szCs w:val="24"/>
        </w:rPr>
      </w:pPr>
      <w:r w:rsidRPr="00771368">
        <w:rPr>
          <w:sz w:val="24"/>
          <w:szCs w:val="24"/>
        </w:rPr>
        <w:t xml:space="preserve">CARVALHO, Marília Pinto de. </w:t>
      </w:r>
      <w:r w:rsidRPr="00771368">
        <w:rPr>
          <w:b/>
          <w:sz w:val="24"/>
          <w:szCs w:val="24"/>
        </w:rPr>
        <w:t>Mau aluno, boa aluna? como as professoras avaliam meninos e meninas</w:t>
      </w:r>
      <w:r w:rsidRPr="00771368">
        <w:rPr>
          <w:sz w:val="24"/>
          <w:szCs w:val="24"/>
        </w:rPr>
        <w:t>.</w:t>
      </w:r>
      <w:r w:rsidRPr="00771368">
        <w:t xml:space="preserve"> </w:t>
      </w:r>
      <w:r w:rsidRPr="00771368">
        <w:rPr>
          <w:sz w:val="24"/>
          <w:szCs w:val="24"/>
        </w:rPr>
        <w:t>Estudos Feministas,</w:t>
      </w:r>
      <w:r w:rsidRPr="00771368">
        <w:t xml:space="preserve"> </w:t>
      </w:r>
      <w:r w:rsidRPr="00771368">
        <w:rPr>
          <w:sz w:val="24"/>
          <w:szCs w:val="24"/>
        </w:rPr>
        <w:t>2/2001.</w:t>
      </w:r>
    </w:p>
    <w:p w:rsidR="00D24E61" w:rsidRPr="00771368" w:rsidRDefault="00D24E61" w:rsidP="00D24E61">
      <w:pPr>
        <w:autoSpaceDE w:val="0"/>
        <w:autoSpaceDN w:val="0"/>
        <w:adjustRightInd w:val="0"/>
        <w:jc w:val="both"/>
        <w:rPr>
          <w:sz w:val="24"/>
          <w:szCs w:val="24"/>
        </w:rPr>
      </w:pPr>
    </w:p>
    <w:p w:rsidR="00D24E61" w:rsidRPr="00771368" w:rsidRDefault="00D24E61" w:rsidP="00D24E61">
      <w:pPr>
        <w:autoSpaceDE w:val="0"/>
        <w:autoSpaceDN w:val="0"/>
        <w:adjustRightInd w:val="0"/>
        <w:rPr>
          <w:sz w:val="24"/>
          <w:szCs w:val="24"/>
        </w:rPr>
      </w:pPr>
      <w:r w:rsidRPr="00771368">
        <w:rPr>
          <w:sz w:val="24"/>
          <w:szCs w:val="24"/>
        </w:rPr>
        <w:t xml:space="preserve">CHARLOT, Bernard. </w:t>
      </w:r>
      <w:r w:rsidRPr="00771368">
        <w:rPr>
          <w:b/>
          <w:sz w:val="24"/>
          <w:szCs w:val="24"/>
        </w:rPr>
        <w:t>Relação com o saber, formação dos professores e globalização:</w:t>
      </w:r>
      <w:r w:rsidRPr="00771368">
        <w:rPr>
          <w:sz w:val="24"/>
          <w:szCs w:val="24"/>
        </w:rPr>
        <w:t xml:space="preserve"> questões para a educação hoje. Porto Alegre: Artemed, 2005.</w:t>
      </w:r>
    </w:p>
    <w:p w:rsidR="00D24E61" w:rsidRPr="00771368" w:rsidRDefault="00D24E61" w:rsidP="00D24E61">
      <w:pPr>
        <w:autoSpaceDE w:val="0"/>
        <w:autoSpaceDN w:val="0"/>
        <w:adjustRightInd w:val="0"/>
        <w:jc w:val="both"/>
        <w:rPr>
          <w:sz w:val="24"/>
          <w:szCs w:val="24"/>
        </w:rPr>
      </w:pPr>
      <w:r w:rsidRPr="00771368">
        <w:rPr>
          <w:sz w:val="24"/>
          <w:szCs w:val="24"/>
        </w:rPr>
        <w:t xml:space="preserve">DEBARBIEUX, Éric. </w:t>
      </w:r>
      <w:r w:rsidRPr="00771368">
        <w:rPr>
          <w:b/>
          <w:sz w:val="24"/>
          <w:szCs w:val="24"/>
        </w:rPr>
        <w:t xml:space="preserve">Violência na escola: um desafio mundial?. </w:t>
      </w:r>
      <w:r w:rsidRPr="00771368">
        <w:rPr>
          <w:sz w:val="24"/>
          <w:szCs w:val="24"/>
        </w:rPr>
        <w:t>Coleção Horizontes Pedagógicos. Lisboa: Instituto Piaget, 2006.</w:t>
      </w:r>
    </w:p>
    <w:p w:rsidR="00D24E61" w:rsidRPr="00771368" w:rsidRDefault="00D24E61" w:rsidP="00D24E61">
      <w:pPr>
        <w:autoSpaceDE w:val="0"/>
        <w:autoSpaceDN w:val="0"/>
        <w:adjustRightInd w:val="0"/>
        <w:jc w:val="both"/>
        <w:rPr>
          <w:sz w:val="24"/>
          <w:szCs w:val="24"/>
        </w:rPr>
      </w:pPr>
    </w:p>
    <w:p w:rsidR="00D24E61" w:rsidRPr="00771368" w:rsidRDefault="00D24E61" w:rsidP="00D24E61">
      <w:pPr>
        <w:pStyle w:val="Textodenotaderodap"/>
        <w:rPr>
          <w:rFonts w:ascii="Times New Roman" w:hAnsi="Times New Roman"/>
          <w:sz w:val="24"/>
          <w:szCs w:val="24"/>
        </w:rPr>
      </w:pPr>
      <w:r w:rsidRPr="00771368">
        <w:rPr>
          <w:rFonts w:ascii="Times New Roman" w:hAnsi="Times New Roman"/>
          <w:sz w:val="24"/>
          <w:szCs w:val="24"/>
        </w:rPr>
        <w:t xml:space="preserve">FERREIRA, Maria Mary. </w:t>
      </w:r>
      <w:r w:rsidRPr="00771368">
        <w:rPr>
          <w:rFonts w:ascii="Times New Roman" w:hAnsi="Times New Roman"/>
          <w:b/>
          <w:sz w:val="24"/>
          <w:szCs w:val="24"/>
        </w:rPr>
        <w:t>Educação feminina e gênero</w:t>
      </w:r>
      <w:r w:rsidRPr="00771368">
        <w:rPr>
          <w:rFonts w:ascii="Times New Roman" w:hAnsi="Times New Roman"/>
          <w:sz w:val="24"/>
          <w:szCs w:val="24"/>
        </w:rPr>
        <w:t xml:space="preserve">. </w:t>
      </w:r>
      <w:r w:rsidRPr="00771368">
        <w:rPr>
          <w:rFonts w:ascii="Times New Roman" w:hAnsi="Times New Roman"/>
          <w:sz w:val="24"/>
          <w:szCs w:val="24"/>
          <w:lang w:val="en-US"/>
        </w:rPr>
        <w:t xml:space="preserve">In:__. CASTRO, César (Org.)... [et. al.]. </w:t>
      </w:r>
      <w:r w:rsidRPr="00771368">
        <w:rPr>
          <w:rFonts w:ascii="Times New Roman" w:hAnsi="Times New Roman"/>
          <w:sz w:val="24"/>
          <w:szCs w:val="24"/>
        </w:rPr>
        <w:t>Leitura, impressos e cultura escolar. São Luís: EDUFMA, 2010.</w:t>
      </w:r>
    </w:p>
    <w:p w:rsidR="00D24E61" w:rsidRPr="00771368" w:rsidRDefault="00D24E61" w:rsidP="00D24E61">
      <w:pPr>
        <w:pStyle w:val="Textodenotaderodap"/>
        <w:rPr>
          <w:rFonts w:ascii="Times New Roman" w:hAnsi="Times New Roman"/>
          <w:sz w:val="24"/>
          <w:szCs w:val="24"/>
        </w:rPr>
      </w:pPr>
    </w:p>
    <w:p w:rsidR="00D24E61" w:rsidRPr="00771368" w:rsidRDefault="00D24E61" w:rsidP="00D24E61">
      <w:pPr>
        <w:rPr>
          <w:sz w:val="24"/>
          <w:szCs w:val="24"/>
        </w:rPr>
      </w:pPr>
      <w:r w:rsidRPr="00771368">
        <w:rPr>
          <w:sz w:val="24"/>
          <w:szCs w:val="24"/>
        </w:rPr>
        <w:t>HEILBORN, Maria Luiza; CARRARA, Sérgio.</w:t>
      </w:r>
      <w:r w:rsidRPr="00771368">
        <w:rPr>
          <w:b/>
          <w:sz w:val="24"/>
          <w:szCs w:val="24"/>
        </w:rPr>
        <w:t xml:space="preserve"> Gênero e diversidade na escola</w:t>
      </w:r>
      <w:r w:rsidRPr="00771368">
        <w:rPr>
          <w:sz w:val="24"/>
          <w:szCs w:val="24"/>
        </w:rPr>
        <w:t>: Formação de professores (as) em gênero, sexualidade, orientação sexual e relações étnico raciais. Cadernos de atividades. Rio de Janeiro: CEPESC, 2009.</w:t>
      </w:r>
    </w:p>
    <w:p w:rsidR="00D24E61" w:rsidRPr="00771368" w:rsidRDefault="00D24E61" w:rsidP="00D24E61">
      <w:pPr>
        <w:pStyle w:val="Textodenotaderodap"/>
        <w:rPr>
          <w:rFonts w:ascii="Times New Roman" w:hAnsi="Times New Roman"/>
          <w:sz w:val="24"/>
          <w:szCs w:val="24"/>
        </w:rPr>
      </w:pPr>
      <w:r w:rsidRPr="00771368">
        <w:rPr>
          <w:rFonts w:ascii="Times New Roman" w:hAnsi="Times New Roman"/>
          <w:sz w:val="24"/>
          <w:szCs w:val="24"/>
        </w:rPr>
        <w:t>LOPES, Luiz Paulo da Moita</w:t>
      </w:r>
      <w:r w:rsidRPr="00771368">
        <w:rPr>
          <w:rFonts w:ascii="Times New Roman" w:hAnsi="Times New Roman"/>
          <w:b/>
          <w:sz w:val="24"/>
          <w:szCs w:val="24"/>
        </w:rPr>
        <w:t xml:space="preserve">. Identidades fragmentadas: </w:t>
      </w:r>
      <w:r w:rsidRPr="00771368">
        <w:rPr>
          <w:rFonts w:ascii="Times New Roman" w:hAnsi="Times New Roman"/>
          <w:sz w:val="24"/>
          <w:szCs w:val="24"/>
        </w:rPr>
        <w:t xml:space="preserve">a construção discursiva de raça, gênero e sexualidade na sala de aula. São Paulo: Mercado de Letras, 2002. </w:t>
      </w:r>
    </w:p>
    <w:p w:rsidR="00D24E61" w:rsidRPr="00771368" w:rsidRDefault="00D24E61" w:rsidP="00D24E61">
      <w:pPr>
        <w:autoSpaceDE w:val="0"/>
        <w:autoSpaceDN w:val="0"/>
        <w:adjustRightInd w:val="0"/>
        <w:rPr>
          <w:sz w:val="24"/>
          <w:szCs w:val="24"/>
        </w:rPr>
      </w:pPr>
      <w:r w:rsidRPr="00771368">
        <w:rPr>
          <w:sz w:val="24"/>
          <w:szCs w:val="24"/>
        </w:rPr>
        <w:t xml:space="preserve">MORIN, Edgar. </w:t>
      </w:r>
      <w:r w:rsidRPr="00771368">
        <w:rPr>
          <w:b/>
          <w:sz w:val="24"/>
          <w:szCs w:val="24"/>
        </w:rPr>
        <w:t>Em busca dos fundamentos perdidos</w:t>
      </w:r>
      <w:r w:rsidRPr="00771368">
        <w:rPr>
          <w:sz w:val="24"/>
          <w:szCs w:val="24"/>
        </w:rPr>
        <w:t>. Porto Alegre: Sulina, 2002.</w:t>
      </w:r>
    </w:p>
    <w:p w:rsidR="00D24E61" w:rsidRPr="00771368" w:rsidRDefault="00D24E61" w:rsidP="00D24E61">
      <w:pPr>
        <w:pStyle w:val="Textodenotaderodap"/>
        <w:rPr>
          <w:rFonts w:ascii="Times New Roman" w:hAnsi="Times New Roman"/>
          <w:sz w:val="24"/>
          <w:szCs w:val="24"/>
        </w:rPr>
      </w:pPr>
      <w:r w:rsidRPr="00771368">
        <w:rPr>
          <w:rFonts w:ascii="Times New Roman" w:hAnsi="Times New Roman"/>
          <w:sz w:val="24"/>
          <w:szCs w:val="24"/>
        </w:rPr>
        <w:t xml:space="preserve">NJAINE, K.; MINAYO, M. </w:t>
      </w:r>
      <w:r w:rsidRPr="00771368">
        <w:rPr>
          <w:rFonts w:ascii="Times New Roman" w:hAnsi="Times New Roman"/>
          <w:b/>
          <w:sz w:val="24"/>
          <w:szCs w:val="24"/>
        </w:rPr>
        <w:t>Violência na escola:</w:t>
      </w:r>
      <w:r w:rsidRPr="00771368">
        <w:rPr>
          <w:rFonts w:ascii="Times New Roman" w:hAnsi="Times New Roman"/>
          <w:sz w:val="24"/>
          <w:szCs w:val="24"/>
        </w:rPr>
        <w:t xml:space="preserve"> identificando pistas para a Prevenção. Interface - Comunic, Saúde, Educ, v.7, n.13, p.119-34, 2003.</w:t>
      </w:r>
    </w:p>
    <w:p w:rsidR="00D24E61" w:rsidRPr="00771368" w:rsidRDefault="00D24E61" w:rsidP="00D24E61">
      <w:pPr>
        <w:pStyle w:val="Textodenotaderodap"/>
        <w:rPr>
          <w:rFonts w:ascii="Times New Roman" w:hAnsi="Times New Roman"/>
          <w:sz w:val="24"/>
          <w:szCs w:val="24"/>
        </w:rPr>
      </w:pPr>
    </w:p>
    <w:p w:rsidR="00D24E61" w:rsidRPr="00771368" w:rsidRDefault="00D24E61" w:rsidP="00D24E61">
      <w:pPr>
        <w:pStyle w:val="Textodenotaderodap"/>
        <w:rPr>
          <w:rFonts w:ascii="Times New Roman" w:hAnsi="Times New Roman"/>
          <w:sz w:val="24"/>
          <w:szCs w:val="24"/>
        </w:rPr>
      </w:pPr>
      <w:r w:rsidRPr="00771368">
        <w:rPr>
          <w:rFonts w:ascii="Times New Roman" w:hAnsi="Times New Roman"/>
          <w:sz w:val="24"/>
          <w:szCs w:val="24"/>
        </w:rPr>
        <w:t xml:space="preserve">SILVA, Karla Cristina Silva. </w:t>
      </w:r>
      <w:r w:rsidRPr="00771368">
        <w:rPr>
          <w:rFonts w:ascii="Times New Roman" w:hAnsi="Times New Roman"/>
          <w:b/>
          <w:sz w:val="24"/>
          <w:szCs w:val="24"/>
        </w:rPr>
        <w:t>Estereótipos étnicos nas representações das crianças</w:t>
      </w:r>
      <w:r w:rsidRPr="00771368">
        <w:rPr>
          <w:rFonts w:ascii="Times New Roman" w:hAnsi="Times New Roman"/>
          <w:sz w:val="24"/>
          <w:szCs w:val="24"/>
        </w:rPr>
        <w:t>. São Luís: EDUFMA, 2011.</w:t>
      </w:r>
    </w:p>
    <w:p w:rsidR="00D24E61" w:rsidRPr="00771368" w:rsidRDefault="00D24E61" w:rsidP="00D24E61">
      <w:pPr>
        <w:autoSpaceDE w:val="0"/>
        <w:autoSpaceDN w:val="0"/>
        <w:adjustRightInd w:val="0"/>
        <w:spacing w:line="360" w:lineRule="auto"/>
        <w:ind w:left="2268"/>
        <w:rPr>
          <w:sz w:val="24"/>
          <w:szCs w:val="24"/>
        </w:rPr>
      </w:pPr>
    </w:p>
    <w:p w:rsidR="00D24E61" w:rsidRPr="00771368" w:rsidRDefault="00D24E61" w:rsidP="00D24E61">
      <w:pPr>
        <w:pStyle w:val="PargrafodaLista"/>
        <w:ind w:left="0"/>
        <w:rPr>
          <w:rFonts w:ascii="Times New Roman" w:hAnsi="Times New Roman"/>
          <w:sz w:val="24"/>
          <w:szCs w:val="24"/>
        </w:rPr>
      </w:pPr>
      <w:r w:rsidRPr="00771368">
        <w:rPr>
          <w:rFonts w:ascii="Times New Roman" w:hAnsi="Times New Roman"/>
        </w:rPr>
        <w:t xml:space="preserve">WAISELFISZ; MACIEL, Julio Jacobo; Maria. </w:t>
      </w:r>
      <w:r w:rsidRPr="00771368">
        <w:rPr>
          <w:rFonts w:ascii="Times New Roman" w:hAnsi="Times New Roman"/>
          <w:b/>
        </w:rPr>
        <w:t>Revertendo Violências, semeando futuros</w:t>
      </w:r>
      <w:r w:rsidRPr="00771368">
        <w:rPr>
          <w:rFonts w:ascii="Times New Roman" w:hAnsi="Times New Roman"/>
        </w:rPr>
        <w:t xml:space="preserve">: avaliação do impacto do programa abrindo espaços no Rio de janeiro e em </w:t>
      </w:r>
      <w:r w:rsidRPr="00771368">
        <w:rPr>
          <w:rFonts w:ascii="Times New Roman" w:hAnsi="Times New Roman"/>
          <w:sz w:val="24"/>
          <w:szCs w:val="24"/>
        </w:rPr>
        <w:t>Pernambuco. Brasília: UNESCO, 2003.</w:t>
      </w:r>
    </w:p>
    <w:p w:rsidR="00D24E61" w:rsidRDefault="00D24E61">
      <w:pPr>
        <w:rPr>
          <w:sz w:val="24"/>
          <w:szCs w:val="24"/>
        </w:rPr>
      </w:pPr>
      <w:r w:rsidRPr="00771368">
        <w:rPr>
          <w:sz w:val="24"/>
          <w:szCs w:val="24"/>
        </w:rPr>
        <w:t>BELLI, Gioconda disponível: http://www.youblisher.com/p/690311-InformANDES-N-24-edicao-julho-2013/. Acesso agosto-2013.</w:t>
      </w:r>
    </w:p>
    <w:p w:rsidR="003914ED" w:rsidRDefault="003914ED">
      <w:pPr>
        <w:rPr>
          <w:sz w:val="24"/>
          <w:szCs w:val="24"/>
        </w:rPr>
      </w:pPr>
    </w:p>
    <w:p w:rsidR="003914ED" w:rsidRPr="00771368" w:rsidRDefault="003914ED">
      <w:pPr>
        <w:rPr>
          <w:sz w:val="24"/>
          <w:szCs w:val="24"/>
        </w:rPr>
      </w:pPr>
    </w:p>
    <w:p w:rsidR="00D24E61" w:rsidRPr="00771368" w:rsidRDefault="00D24E61" w:rsidP="00D24E61">
      <w:pPr>
        <w:spacing w:after="240"/>
        <w:jc w:val="center"/>
        <w:rPr>
          <w:b/>
        </w:rPr>
      </w:pPr>
      <w:r w:rsidRPr="00771368">
        <w:rPr>
          <w:b/>
          <w:bCs/>
        </w:rPr>
        <w:t>DE LAGARTA À BORBOLETA: A CONSTRUÇÃO DA IDENTIDADE DA MULHER LÉSBICA EM CAXIAS - MARANHÃO</w:t>
      </w:r>
    </w:p>
    <w:p w:rsidR="00D24E61" w:rsidRPr="00771368" w:rsidRDefault="00D24E61" w:rsidP="00D24E61">
      <w:pPr>
        <w:jc w:val="right"/>
      </w:pPr>
      <w:bookmarkStart w:id="33" w:name="_Toc442034728"/>
      <w:r w:rsidRPr="003914ED">
        <w:rPr>
          <w:rStyle w:val="Ttulo1Char"/>
        </w:rPr>
        <w:t>Maria de Jesus Martins de Andrade Cunha</w:t>
      </w:r>
      <w:bookmarkEnd w:id="33"/>
      <w:r w:rsidRPr="00771368">
        <w:rPr>
          <w:rStyle w:val="Refdenotaderodap"/>
        </w:rPr>
        <w:footnoteReference w:id="32"/>
      </w:r>
    </w:p>
    <w:p w:rsidR="00D24E61" w:rsidRPr="00771368" w:rsidRDefault="00D24E61" w:rsidP="00D24E61">
      <w:pPr>
        <w:spacing w:after="240"/>
        <w:jc w:val="right"/>
        <w:rPr>
          <w:b/>
        </w:rPr>
      </w:pPr>
      <w:r w:rsidRPr="00771368">
        <w:t>Josefa Melo e Sousa Bentivi Andrade</w:t>
      </w:r>
      <w:r w:rsidRPr="00771368">
        <w:rPr>
          <w:rStyle w:val="Refdenotaderodap"/>
        </w:rPr>
        <w:footnoteReference w:id="33"/>
      </w:r>
    </w:p>
    <w:p w:rsidR="00D24E61" w:rsidRPr="00771368" w:rsidRDefault="00013211" w:rsidP="00D24E61">
      <w:pPr>
        <w:spacing w:after="240"/>
        <w:jc w:val="center"/>
        <w:rPr>
          <w:b/>
          <w:bCs/>
        </w:rPr>
      </w:pPr>
      <w:r>
        <w:rPr>
          <w:b/>
          <w:noProof/>
        </w:rPr>
        <mc:AlternateContent>
          <mc:Choice Requires="wps">
            <w:drawing>
              <wp:anchor distT="0" distB="0" distL="114300" distR="114300" simplePos="0" relativeHeight="251606528" behindDoc="0" locked="0" layoutInCell="1" allowOverlap="1">
                <wp:simplePos x="0" y="0"/>
                <wp:positionH relativeFrom="column">
                  <wp:posOffset>5520690</wp:posOffset>
                </wp:positionH>
                <wp:positionV relativeFrom="paragraph">
                  <wp:posOffset>-3027045</wp:posOffset>
                </wp:positionV>
                <wp:extent cx="720090" cy="720090"/>
                <wp:effectExtent l="0" t="1905" r="0" b="1905"/>
                <wp:wrapNone/>
                <wp:docPr id="3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0E77" w:rsidRDefault="00EC0E77" w:rsidP="00D24E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434.7pt;margin-top:-238.35pt;width:56.7pt;height:56.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pLgQIAABE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" stroked="f">
                <v:textbox>
                  <w:txbxContent>
                    <w:p w:rsidR="00EC0E77" w:rsidRDefault="00EC0E77" w:rsidP="00D24E61"/>
                  </w:txbxContent>
                </v:textbox>
              </v:shape>
            </w:pict>
          </mc:Fallback>
        </mc:AlternateContent>
      </w:r>
      <w:r w:rsidR="00D24E61" w:rsidRPr="00771368">
        <w:rPr>
          <w:b/>
          <w:bCs/>
        </w:rPr>
        <w:t xml:space="preserve">RESUMO </w:t>
      </w:r>
    </w:p>
    <w:p w:rsidR="00D24E61" w:rsidRPr="00771368" w:rsidRDefault="00D24E61" w:rsidP="007E2E73">
      <w:pPr>
        <w:spacing w:after="360"/>
        <w:jc w:val="both"/>
        <w:rPr>
          <w:rFonts w:eastAsia="Calibri"/>
        </w:rPr>
      </w:pPr>
      <w:r w:rsidRPr="00771368">
        <w:t xml:space="preserve">O tema ora trabalhado apresenta um </w:t>
      </w:r>
      <w:r w:rsidRPr="00771368">
        <w:rPr>
          <w:rFonts w:eastAsia="Calibri"/>
          <w:color w:val="000000"/>
        </w:rPr>
        <w:t xml:space="preserve">estudo de cunho qualitativo, à medida que lida com a subjetividade das </w:t>
      </w:r>
      <w:r w:rsidRPr="00771368">
        <w:rPr>
          <w:rFonts w:eastAsia="Calibri"/>
        </w:rPr>
        <w:t>mulheres</w:t>
      </w:r>
      <w:r w:rsidRPr="00771368">
        <w:rPr>
          <w:rFonts w:eastAsia="Calibri"/>
          <w:color w:val="000000"/>
        </w:rPr>
        <w:t xml:space="preserve"> envolvidas no processo de pesquisa de modo a perceber como o Grupo de Convivência Borboleta contribui para a construção da identidade das mulheres lésbicas e ainda como essa identidade ultrapassa a esfera do grupo atingindo as relações familiares, trabalhistas e sociais.</w:t>
      </w:r>
      <w:r w:rsidRPr="00771368">
        <w:t xml:space="preserve"> O estudo objetiva principalmente investigar o processo de construção da identidade lesboafetiva de mulheres do referido Grupo; compreender o processo de aceitação e/ou rejeição das mulheres lésbicas junto às suas famílias e à sociedade caxiense ao se apresentarem como lésbicas; a</w:t>
      </w:r>
      <w:r w:rsidRPr="00771368">
        <w:rPr>
          <w:color w:val="000000"/>
        </w:rPr>
        <w:t xml:space="preserve">ssinalar as formas de discriminação, </w:t>
      </w:r>
      <w:r w:rsidRPr="00771368">
        <w:t>preconceito e/ou violação dos direitos das mulheres lésbicas, bem como analisar a contribuição do Grupo de Convivência Borboleta para a construção da identidade lesboafetiva em Caxias Maranhão. Para análise do tema proposto, apontamos três categorias, a</w:t>
      </w:r>
      <w:r w:rsidRPr="00771368">
        <w:rPr>
          <w:b/>
          <w:bCs/>
        </w:rPr>
        <w:t xml:space="preserve"> Dialética do Eu, </w:t>
      </w:r>
      <w:r w:rsidRPr="00771368">
        <w:t>visualizada por percebermos a reciprocidade de influências que tanto o sujeito em questão quanto os objetos (instituições, pessoas) recebem em relação à realidade vivenciada.</w:t>
      </w:r>
      <w:r w:rsidRPr="00771368">
        <w:rPr>
          <w:b/>
          <w:bCs/>
        </w:rPr>
        <w:t xml:space="preserve"> A Identidade Proibida, </w:t>
      </w:r>
      <w:r w:rsidRPr="00771368">
        <w:t>por meio dessa categoria, sintetizamos as inferências provenientes das falas que apontam para os processos impostos pela sociedade que dificultam a construção da identidade das mulheres lésbicas.</w:t>
      </w:r>
      <w:r w:rsidRPr="00771368">
        <w:rPr>
          <w:b/>
          <w:bCs/>
        </w:rPr>
        <w:t xml:space="preserve"> Metamorfose Identitária </w:t>
      </w:r>
      <w:r w:rsidRPr="00771368">
        <w:t xml:space="preserve">se constitui como necessária para compreendermos as mutações que incidem na vida da mulher lésbica. </w:t>
      </w:r>
      <w:r w:rsidRPr="00771368">
        <w:rPr>
          <w:rFonts w:eastAsia="Calibri"/>
        </w:rPr>
        <w:t xml:space="preserve">Com o intuito de alcançar os objetivos propostos, a metodologia utilizada priorizou a observação etnográfica por entender que, a partir deste instrumento, o observador mantém uma interlocução direta com os sujeitos pesquisados; a entrevista semiestruturada, pois a mesma se constitui uma ferramenta capaz de interagir com os protagonistas da pesquisa. E, ainda, utilizou-se a análise de conteúdo uma vez que esta proporciona a sistematização e a descrição dos dados obtidos, de modo que o pesquisador possa fazer inferência acerca dos conteúdos e das variáveis percebidas. </w:t>
      </w:r>
    </w:p>
    <w:p w:rsidR="00D24E61" w:rsidRPr="00771368" w:rsidRDefault="00D24E61" w:rsidP="00D24E61">
      <w:pPr>
        <w:spacing w:after="360"/>
        <w:rPr>
          <w:iCs/>
          <w:color w:val="FF0000"/>
        </w:rPr>
      </w:pPr>
      <w:r w:rsidRPr="00771368">
        <w:rPr>
          <w:b/>
          <w:bCs/>
        </w:rPr>
        <w:t>PALAVRAS-CHAVE:</w:t>
      </w:r>
      <w:r w:rsidRPr="00771368">
        <w:rPr>
          <w:bCs/>
        </w:rPr>
        <w:t xml:space="preserve"> Mulher Lésbica, I</w:t>
      </w:r>
      <w:r w:rsidRPr="00771368">
        <w:rPr>
          <w:iCs/>
        </w:rPr>
        <w:t>dentidade Lesboafetiva e Grupo de Convivência Borboleta.</w:t>
      </w:r>
    </w:p>
    <w:p w:rsidR="00D24E61" w:rsidRPr="003914ED" w:rsidRDefault="00D24E61" w:rsidP="007B04EA">
      <w:pPr>
        <w:rPr>
          <w:b/>
        </w:rPr>
      </w:pPr>
      <w:bookmarkStart w:id="34" w:name="_Toc352403046"/>
      <w:r w:rsidRPr="003914ED">
        <w:rPr>
          <w:b/>
        </w:rPr>
        <w:t>INTRODUÇÃO</w:t>
      </w:r>
      <w:bookmarkEnd w:id="34"/>
    </w:p>
    <w:p w:rsidR="00D24E61" w:rsidRPr="00771368" w:rsidRDefault="00D24E61" w:rsidP="007E2E73">
      <w:pPr>
        <w:shd w:val="clear" w:color="auto" w:fill="FFFFFF"/>
        <w:spacing w:line="360" w:lineRule="auto"/>
        <w:ind w:firstLine="851"/>
        <w:jc w:val="both"/>
      </w:pPr>
      <w:r w:rsidRPr="00771368">
        <w:t xml:space="preserve">A temática </w:t>
      </w:r>
      <w:r w:rsidRPr="00771368">
        <w:rPr>
          <w:bCs/>
        </w:rPr>
        <w:t>De Lagarta a Borboleta: A Construção da Identidade da Mulher Lésbica em Caxias – Maranhão nasceu</w:t>
      </w:r>
      <w:r w:rsidRPr="00771368">
        <w:t xml:space="preserve"> da inquietação em perceber as mulheres enquanto grupo social que, ao longo da história, sofreram e sofrem com as mais perversas formas discriminatórias que as marginalizam e violentam, mantendo em posição inferior a população feminina, nos diferentes setores da vida em sociedade.</w:t>
      </w:r>
    </w:p>
    <w:p w:rsidR="00D24E61" w:rsidRPr="00771368" w:rsidRDefault="00D24E61" w:rsidP="007E2E73">
      <w:pPr>
        <w:spacing w:line="360" w:lineRule="auto"/>
        <w:ind w:firstLine="851"/>
        <w:jc w:val="both"/>
      </w:pPr>
      <w:r w:rsidRPr="00771368">
        <w:t xml:space="preserve">A relevância do tema se justifica por compreender que as mulheres, de modo geral, sejam negras, brancas, deficientes, lésbicas ou não, sofrem com variados tipos de situações que dificultam a autoafirmação de sua identidade enquanto mulheres cidadãs que possuem os mesmos direitos que outros sujeitos sociais. </w:t>
      </w:r>
    </w:p>
    <w:p w:rsidR="00D24E61" w:rsidRPr="00771368" w:rsidRDefault="00D24E61" w:rsidP="007E2E73">
      <w:pPr>
        <w:spacing w:line="360" w:lineRule="auto"/>
        <w:ind w:firstLine="851"/>
        <w:jc w:val="both"/>
      </w:pPr>
      <w:r w:rsidRPr="00771368">
        <w:t>Desse modo, problematizam-se questões intrínsecas à formação da identidade das mulheres lésbicas; as relações destas com suas famílias e com a sociedade (aceitação e/ou rejeição junto às suas famílias e à sociedade caxiense); o processo de se autoafirmarem como lésbicas; as formas de discriminação, preconceito e/ou violação dos seus direitos e suas implicações no processo de construção de sua identidade lesboafetiva, bem como a contribuição do Grupo de Convivência Borboleta para a construção de identidade dessas mulheres em Caxias-MA.</w:t>
      </w:r>
    </w:p>
    <w:p w:rsidR="00D24E61" w:rsidRPr="00771368" w:rsidRDefault="00D24E61" w:rsidP="007E2E73">
      <w:pPr>
        <w:spacing w:line="360" w:lineRule="auto"/>
        <w:ind w:firstLine="851"/>
        <w:jc w:val="both"/>
        <w:rPr>
          <w:rFonts w:eastAsia="Calibri"/>
        </w:rPr>
      </w:pPr>
      <w:r w:rsidRPr="00771368">
        <w:rPr>
          <w:rFonts w:eastAsia="Calibri"/>
        </w:rPr>
        <w:t>O</w:t>
      </w:r>
      <w:r w:rsidRPr="00771368">
        <w:rPr>
          <w:bCs/>
          <w:shd w:val="clear" w:color="auto" w:fill="FFFFFF"/>
        </w:rPr>
        <w:t xml:space="preserve"> trabalho</w:t>
      </w:r>
      <w:r w:rsidRPr="00771368">
        <w:rPr>
          <w:rFonts w:eastAsia="Calibri"/>
        </w:rPr>
        <w:t xml:space="preserve"> realiza uma viagem em busca do des</w:t>
      </w:r>
      <w:r w:rsidRPr="00771368">
        <w:rPr>
          <w:bCs/>
        </w:rPr>
        <w:t xml:space="preserve">cortinamento da história da homossexualidade do “homem”, na perspectiva de refletirmos sobre a existência desse fenômeno sexual que, segundo alguns estudiosos, sempre esteve presente na história da humanidade, porém, em várias sociedades, a prática sexual entre iguais foi considerada doença e/ou crime, os praticantes, castigados e até ser condenados à morte. </w:t>
      </w:r>
      <w:r w:rsidRPr="00771368">
        <w:rPr>
          <w:rFonts w:eastAsia="Calibri"/>
        </w:rPr>
        <w:t xml:space="preserve">Discute-se, ainda, como a categoria identidade pode ser associada às relações de poder construídas socialmente, uma vez que elas interferem na ação política dos indivíduos, bem como se distinguem em detrimento das representações que a sociedade articula sobre o cidadão. </w:t>
      </w:r>
    </w:p>
    <w:p w:rsidR="00D24E61" w:rsidRPr="00771368" w:rsidRDefault="00D24E61" w:rsidP="007E2E73">
      <w:pPr>
        <w:spacing w:after="240" w:line="360" w:lineRule="auto"/>
        <w:ind w:firstLine="851"/>
        <w:jc w:val="both"/>
        <w:rPr>
          <w:rFonts w:eastAsia="Calibri"/>
        </w:rPr>
      </w:pPr>
      <w:r w:rsidRPr="00771368">
        <w:rPr>
          <w:rFonts w:eastAsia="Calibri"/>
        </w:rPr>
        <w:t>Por fim, ouve-se o eco das vozes das mulheres lésbicas do Grupo de Convivência Borboleta que se dispuseram a contribuir com nossa pesquisa. As vozes dessas “borboletas” representam os anseios de muitas mulheres espalhadas pelo Brasil que lutam por liberdade, respeito, direitos e, com certeza, abominam a discriminação, o preconceito, a lesbofobia e todas as formas de violência contra a mulher, independente de sua orientação sexual.</w:t>
      </w:r>
    </w:p>
    <w:p w:rsidR="00D24E61" w:rsidRPr="003914ED" w:rsidRDefault="00D24E61" w:rsidP="007E2E73">
      <w:pPr>
        <w:jc w:val="both"/>
        <w:rPr>
          <w:b/>
        </w:rPr>
      </w:pPr>
      <w:bookmarkStart w:id="35" w:name="_Toc352403049"/>
      <w:r w:rsidRPr="003914ED">
        <w:rPr>
          <w:b/>
        </w:rPr>
        <w:t>1. CORTINAS ENTREABERTAS: A Homossexualidade na História do “Homem”</w:t>
      </w:r>
      <w:bookmarkEnd w:id="35"/>
    </w:p>
    <w:p w:rsidR="00D24E61" w:rsidRPr="00771368" w:rsidRDefault="00D24E61" w:rsidP="007E2E73">
      <w:pPr>
        <w:spacing w:line="360" w:lineRule="auto"/>
        <w:ind w:firstLine="851"/>
        <w:jc w:val="both"/>
      </w:pPr>
      <w:r w:rsidRPr="00771368">
        <w:t xml:space="preserve">Na perspectiva de refletir sobre a história da homossexualidade, iniciamos pelas civilizações grega e romana, nas quais era comum o desenvolvimento de práticas homossexuais entre “homens”, uma vez que, nessas sociedades, as mulheres eram vistas como seres inferiores; a elas eram reservados apenas os ensinamentos domésticos para que fossem boas esposas, mães e, consequentemente, reprodutoras. A esse respeito, </w:t>
      </w:r>
      <w:r w:rsidRPr="00771368">
        <w:rPr>
          <w:rFonts w:eastAsia="Calibri"/>
          <w:lang w:eastAsia="en-US"/>
        </w:rPr>
        <w:t>Moreira Filho</w:t>
      </w:r>
      <w:r w:rsidRPr="00771368">
        <w:t xml:space="preserve"> considera que:</w:t>
      </w:r>
    </w:p>
    <w:p w:rsidR="00D24E61" w:rsidRPr="00771368" w:rsidRDefault="00D24E61" w:rsidP="007E2E73">
      <w:pPr>
        <w:autoSpaceDE w:val="0"/>
        <w:autoSpaceDN w:val="0"/>
        <w:adjustRightInd w:val="0"/>
        <w:spacing w:after="120"/>
        <w:ind w:left="2268"/>
        <w:jc w:val="both"/>
        <w:rPr>
          <w:sz w:val="20"/>
        </w:rPr>
      </w:pPr>
      <w:r w:rsidRPr="00771368">
        <w:rPr>
          <w:sz w:val="20"/>
        </w:rPr>
        <w:t>[...] as mulheres não ocupavam nenhum papel relevante nesta sociedade, a não ser as cortesãs que se relacionavam de igual para igual com os homens, não tinham elas nenhuma base para educar os seus filhos homens, sendo que, quando a criança entrava na adolescência, era de costume que a família deste adolescente elegesse um homem mais velho, ao qual era passada a obrigação de educar este adolescente. Segundo estudos, em razão desta relação de um educador e um educando, é que deu surgimento da pederastia, que acabou por se difundir pelas demais ilhas gregas. (</w:t>
      </w:r>
      <w:r w:rsidRPr="00771368">
        <w:rPr>
          <w:rFonts w:eastAsia="Calibri"/>
          <w:sz w:val="20"/>
          <w:lang w:eastAsia="en-US"/>
        </w:rPr>
        <w:t>MOREIRA FILHO</w:t>
      </w:r>
      <w:r w:rsidRPr="00771368">
        <w:rPr>
          <w:sz w:val="20"/>
        </w:rPr>
        <w:t>, 2009, p. 4)</w:t>
      </w:r>
    </w:p>
    <w:p w:rsidR="00D24E61" w:rsidRPr="00771368" w:rsidRDefault="00D24E61" w:rsidP="007E2E73">
      <w:pPr>
        <w:autoSpaceDE w:val="0"/>
        <w:autoSpaceDN w:val="0"/>
        <w:adjustRightInd w:val="0"/>
        <w:spacing w:line="360" w:lineRule="auto"/>
        <w:ind w:firstLine="851"/>
        <w:jc w:val="both"/>
      </w:pPr>
      <w:r w:rsidRPr="00771368">
        <w:t>Nota-se que o costume relatado era aceitável pelos “cidadãos”, já que as mulheres eram consideradas incapazes, sobretudo para educar seus filhos “homens”, função esta que ficava sob a responsabilidade de um Erastes (homem mais velho). Nesse processo de aprendizado, o Erômenos (adolescente) se submetia como uma mulher (MOREIRA FILHO, 2009, p. 4), devendo obediência ao educador, assim como uma mulher deveria obedecer a seu marido. Como se observa, na Grécia Antiga e em Roma, apesar das restrições quanto à prática de atividades homoeróticas por homens adultos, as relações homossexuais eram vistas de forma natural, fato também observado no Oriente.</w:t>
      </w:r>
    </w:p>
    <w:p w:rsidR="00D24E61" w:rsidRPr="00771368" w:rsidRDefault="00D24E61" w:rsidP="007E2E73">
      <w:pPr>
        <w:autoSpaceDE w:val="0"/>
        <w:autoSpaceDN w:val="0"/>
        <w:adjustRightInd w:val="0"/>
        <w:spacing w:line="360" w:lineRule="auto"/>
        <w:ind w:firstLine="851"/>
        <w:jc w:val="both"/>
      </w:pPr>
      <w:r w:rsidRPr="00771368">
        <w:t>No Brasil, antes mesmo do início de sua colonização, já se têm registros dos primeiros exploradores das novas terras, sobre índias que viviam maritalmente com outras, principalmente nas aldeias Tupinambá. Eram mulheres guerreiras, as chamadas Caçoaimbeguiras</w:t>
      </w:r>
      <w:r w:rsidRPr="00771368">
        <w:rPr>
          <w:rStyle w:val="Refdenotaderodap"/>
        </w:rPr>
        <w:footnoteReference w:id="34"/>
      </w:r>
      <w:r w:rsidRPr="00771368">
        <w:t>. “Nossos “bons selvagens” há milênios já haviam descoberto as delícias do amor lésbico” (MOTT, 1987, p. 23). Mott ressalta que a homossexualidade era praticada no Nordeste, “terra de cabra da peste” e em outras partes do Brasil.</w:t>
      </w:r>
    </w:p>
    <w:p w:rsidR="00D24E61" w:rsidRPr="00771368" w:rsidRDefault="00D24E61" w:rsidP="007E2E73">
      <w:pPr>
        <w:autoSpaceDE w:val="0"/>
        <w:autoSpaceDN w:val="0"/>
        <w:adjustRightInd w:val="0"/>
        <w:spacing w:line="360" w:lineRule="auto"/>
        <w:ind w:firstLine="851"/>
        <w:jc w:val="both"/>
      </w:pPr>
      <w:r w:rsidRPr="00771368">
        <w:t>Nessas e em outras culturas, a homossexualidade e/ou a bissexualidade foi tratada de forma natural, contudo essa realidade mudou com o nascimento do cristianismo, como evidencia Moreira Filho,</w:t>
      </w:r>
    </w:p>
    <w:p w:rsidR="00D24E61" w:rsidRPr="00771368" w:rsidRDefault="00D24E61" w:rsidP="007E2E73">
      <w:pPr>
        <w:autoSpaceDE w:val="0"/>
        <w:autoSpaceDN w:val="0"/>
        <w:adjustRightInd w:val="0"/>
        <w:spacing w:after="120"/>
        <w:ind w:left="2268"/>
        <w:jc w:val="both"/>
        <w:rPr>
          <w:sz w:val="20"/>
          <w:szCs w:val="20"/>
        </w:rPr>
      </w:pPr>
      <w:r w:rsidRPr="00771368">
        <w:rPr>
          <w:sz w:val="20"/>
          <w:szCs w:val="20"/>
        </w:rPr>
        <w:t>Porém, a visão que estes povos tinham com relação à homossexualidade foi alterada com o surgimento do “cristianismo”, que passou a condenar toda e qualquer forma de atividade sexual estéril, ou seja, que não fosse senão com o fim único de procriação, sendo a homossexualidade inserida neste meio. (MOREIRA FILHO, 2009, p. 6 e 7).</w:t>
      </w:r>
    </w:p>
    <w:p w:rsidR="00D24E61" w:rsidRPr="00771368" w:rsidRDefault="00D24E61" w:rsidP="007E2E73">
      <w:pPr>
        <w:pStyle w:val="PargrafodaLista"/>
        <w:spacing w:line="360" w:lineRule="auto"/>
        <w:ind w:left="0" w:firstLine="851"/>
        <w:contextualSpacing w:val="0"/>
        <w:rPr>
          <w:rFonts w:ascii="Times New Roman" w:hAnsi="Times New Roman"/>
        </w:rPr>
      </w:pPr>
      <w:r w:rsidRPr="00771368">
        <w:rPr>
          <w:rFonts w:ascii="Times New Roman" w:hAnsi="Times New Roman"/>
        </w:rPr>
        <w:t>Em razão, pois, da emergência da moral cristã, falar sobre</w:t>
      </w:r>
      <w:r w:rsidRPr="00771368">
        <w:rPr>
          <w:rFonts w:ascii="Times New Roman" w:hAnsi="Times New Roman"/>
          <w:b/>
        </w:rPr>
        <w:t xml:space="preserve"> </w:t>
      </w:r>
      <w:r w:rsidRPr="00771368">
        <w:rPr>
          <w:rFonts w:ascii="Times New Roman" w:hAnsi="Times New Roman"/>
        </w:rPr>
        <w:t xml:space="preserve">homossexualidade na história de uma sociedade que valoriza o poder do macho significa percorrer becos e travessas de uma história em que quase sempre o próprio homem tentou camuflar com densas cortinas, porém, com muita habilidade, os tecelões da história conseguiram pinçar os fios que evidenciam que a homossexualidade é tão antiga quanto a própria humanidade. </w:t>
      </w:r>
    </w:p>
    <w:p w:rsidR="00D24E61" w:rsidRPr="00771368" w:rsidRDefault="00D24E61" w:rsidP="007E2E73">
      <w:pPr>
        <w:autoSpaceDE w:val="0"/>
        <w:autoSpaceDN w:val="0"/>
        <w:adjustRightInd w:val="0"/>
        <w:spacing w:line="360" w:lineRule="auto"/>
        <w:ind w:firstLine="851"/>
        <w:jc w:val="both"/>
      </w:pPr>
      <w:r w:rsidRPr="00771368">
        <w:t>É interessante notar que a condenação da homossexualidade se concentra no fato de a atividade sexual, tanto do homem, quanto da mulher, ter adquirido culturalmente o objetivo “primeiro” de gerar filhos para perpetuar a espécie humana, logo “tudo o que diverge dessa norma é então classificado como imoral, desviante, aberração, doença, pecado e/ou é invisibilizado” (TOLEDO, 2008, p. 14).</w:t>
      </w:r>
    </w:p>
    <w:p w:rsidR="00D24E61" w:rsidRPr="00771368" w:rsidRDefault="00D24E61" w:rsidP="007E2E73">
      <w:pPr>
        <w:autoSpaceDE w:val="0"/>
        <w:autoSpaceDN w:val="0"/>
        <w:adjustRightInd w:val="0"/>
        <w:spacing w:line="360" w:lineRule="auto"/>
        <w:ind w:firstLine="851"/>
        <w:jc w:val="both"/>
      </w:pPr>
      <w:r w:rsidRPr="00771368">
        <w:t>Destaca-se que, mesmo enfrentando percalços, a homossexualidade masculina tem registro, ao longo da história da humanidade, ao passo que as informações sobre o amor entre mulheres são ainda muitíssimo fragmentárias, quando não inexistentes. Mott (1987, p. 8) adverte que, se para os gays masculinos houve um verdadeiro complô do silêncio dos donos do poder e de seus escribas, para as mulheres lésbicas, a falta de documentação se deve mais à cegueira, à indiferença e ao preconceito do “macho” que considera a sexualidade feminina irrelevante e indigna da atenção do sexo forte. Lembra-nos também que, até há pouco tempo, a história do lesbianismo era uma página em branco.</w:t>
      </w:r>
    </w:p>
    <w:p w:rsidR="00D24E61" w:rsidRPr="00771368" w:rsidRDefault="00D24E61" w:rsidP="007E2E73">
      <w:pPr>
        <w:autoSpaceDE w:val="0"/>
        <w:autoSpaceDN w:val="0"/>
        <w:adjustRightInd w:val="0"/>
        <w:spacing w:line="360" w:lineRule="auto"/>
        <w:ind w:firstLine="851"/>
        <w:jc w:val="both"/>
        <w:rPr>
          <w:bCs/>
        </w:rPr>
      </w:pPr>
      <w:r w:rsidRPr="00771368">
        <w:t>“Não se presta muita atenção àquele que é visto como inferior”, assim lembra Castañeda (2006, p. 96 apud TOLEDO, 2008, p. 19).  Toledo explica ainda que a esse processo de inferiorização da figura feminina é somado “o viriarcado, a misoginia e a heteronormatividade” que fortalecem ainda mais a invisibilidade. (TOLEDO, 2008, p. 19).</w:t>
      </w:r>
    </w:p>
    <w:p w:rsidR="00D24E61" w:rsidRPr="00771368" w:rsidRDefault="00D24E61" w:rsidP="007E2E73">
      <w:pPr>
        <w:spacing w:after="240" w:line="360" w:lineRule="auto"/>
        <w:ind w:firstLine="851"/>
        <w:jc w:val="both"/>
      </w:pPr>
      <w:r w:rsidRPr="00771368">
        <w:t>Ressalta-se que, embora em algumas culturas e em determinados momentos históricos o homossexualismo tenha sido tratado de forma natural, a verdade é que, durante muito tempo e na maioria das culturas, à população homossexual foram reservados os guetos e os armários como os únicos espaços de construção de identidade. Assim, os “armários” (representação correlacionada à homofobia</w:t>
      </w:r>
      <w:r w:rsidRPr="00771368">
        <w:rPr>
          <w:rStyle w:val="Refdenotaderodap"/>
        </w:rPr>
        <w:footnoteReference w:id="35"/>
      </w:r>
      <w:r w:rsidRPr="00771368">
        <w:t xml:space="preserve"> e lesbofobia</w:t>
      </w:r>
      <w:r w:rsidRPr="00771368">
        <w:rPr>
          <w:rStyle w:val="Refdenotaderodap"/>
        </w:rPr>
        <w:footnoteReference w:id="36"/>
      </w:r>
      <w:r w:rsidRPr="00771368">
        <w:t xml:space="preserve"> que vêm sendo combatidas pelos movimentos homossexuais de gays e lésbicas) por muito tempo ficaram superlotados e significavam símbolo de opressão para homens e mulheres que ousassem manter relacionamento afetivo sexual com pessoas do mesmo sexo. </w:t>
      </w:r>
    </w:p>
    <w:p w:rsidR="00D24E61" w:rsidRPr="005E55F3" w:rsidRDefault="00D24E61" w:rsidP="007B04EA">
      <w:pPr>
        <w:rPr>
          <w:b/>
        </w:rPr>
      </w:pPr>
      <w:bookmarkStart w:id="36" w:name="_Toc352403051"/>
      <w:r w:rsidRPr="005E55F3">
        <w:rPr>
          <w:b/>
        </w:rPr>
        <w:t xml:space="preserve">2. </w:t>
      </w:r>
      <w:bookmarkEnd w:id="36"/>
      <w:r w:rsidRPr="005E55F3">
        <w:rPr>
          <w:b/>
        </w:rPr>
        <w:t>A CONSTRUÇÃO DA IDENTIDADE DA MULHER LÉSBICA EM CAXIAS MARANHÃO</w:t>
      </w:r>
    </w:p>
    <w:p w:rsidR="00D24E61" w:rsidRPr="00771368" w:rsidRDefault="00D24E61" w:rsidP="005E55F3">
      <w:pPr>
        <w:shd w:val="clear" w:color="auto" w:fill="FFFFFF"/>
        <w:spacing w:line="360" w:lineRule="auto"/>
        <w:ind w:firstLine="851"/>
        <w:jc w:val="both"/>
      </w:pPr>
      <w:r w:rsidRPr="00771368">
        <w:t xml:space="preserve">Compreendida como construto social em permanente transformação, a identidade não é homogênea, ou seja, existem diferentes identidades que se modificam por meio das experiências vividas em diversos momentos da vida. </w:t>
      </w:r>
      <w:r w:rsidRPr="00771368">
        <w:rPr>
          <w:rFonts w:eastAsia="Calibri"/>
        </w:rPr>
        <w:t>Partindo-se, pois, desses pressupostos, concebe-se que o ser humano, por natureza, é um sujeito social e desenvolve a competência de agir e, consequentemente, atuar sobre o mundo, sendo influenciado (e também influenciando) pelas instituições, pela cultura e pelas ideologias absorvidas na interação com o outro na sociedade. “As identidades não estão nos indivíduos, mas emergem na interação entre os indivíduos agindo em práticas discursivas particulares nas quais estão posicionados” (MOITA LOPES, 1998, p. 8).</w:t>
      </w:r>
    </w:p>
    <w:p w:rsidR="00D24E61" w:rsidRPr="00771368" w:rsidRDefault="00D24E61" w:rsidP="005E55F3">
      <w:pPr>
        <w:autoSpaceDE w:val="0"/>
        <w:autoSpaceDN w:val="0"/>
        <w:adjustRightInd w:val="0"/>
        <w:spacing w:line="360" w:lineRule="auto"/>
        <w:ind w:firstLine="851"/>
        <w:jc w:val="both"/>
        <w:rPr>
          <w:rFonts w:eastAsia="Calibri"/>
          <w:sz w:val="20"/>
          <w:szCs w:val="20"/>
        </w:rPr>
      </w:pPr>
      <w:r w:rsidRPr="00771368">
        <w:rPr>
          <w:rFonts w:eastAsia="Calibri"/>
        </w:rPr>
        <w:t xml:space="preserve">Em síntese, “a identidade é formada na ‘interação’ entre o eu e a sociedade” (HALL, 2006, p. 11). As identidades sociais são, antes de tudo, produto de uma série de valores ou categorias sociais, estas que emergem e submergem em decorrência das determinações econômicas, políticas, ideológicas, entre outras. Há de se considerar que, conforme Andrade, </w:t>
      </w:r>
    </w:p>
    <w:p w:rsidR="00D24E61" w:rsidRPr="00771368" w:rsidRDefault="00D24E61" w:rsidP="005E55F3">
      <w:pPr>
        <w:autoSpaceDE w:val="0"/>
        <w:autoSpaceDN w:val="0"/>
        <w:adjustRightInd w:val="0"/>
        <w:spacing w:after="120" w:line="360" w:lineRule="auto"/>
        <w:ind w:left="2268"/>
        <w:jc w:val="both"/>
        <w:rPr>
          <w:rFonts w:eastAsia="Calibri"/>
          <w:sz w:val="20"/>
          <w:szCs w:val="20"/>
        </w:rPr>
      </w:pPr>
      <w:r w:rsidRPr="00771368">
        <w:rPr>
          <w:rFonts w:eastAsia="Calibri"/>
          <w:sz w:val="20"/>
          <w:szCs w:val="20"/>
        </w:rPr>
        <w:t>[...] as relações sociais geram os valores socialmente compartilhados [...] A substância, de onde se constroem e reconstroem valores, é estruturada, amplamente, heterogênea e hierárquica (produção, relação de propriedade, estrutura política, vida cotidiana, moral, ciência, arte e etc.) (ANDRADE, 2011, p.51).</w:t>
      </w:r>
    </w:p>
    <w:p w:rsidR="00D24E61" w:rsidRPr="00771368" w:rsidRDefault="00D24E61" w:rsidP="005E55F3">
      <w:pPr>
        <w:autoSpaceDE w:val="0"/>
        <w:autoSpaceDN w:val="0"/>
        <w:adjustRightInd w:val="0"/>
        <w:spacing w:line="360" w:lineRule="auto"/>
        <w:ind w:firstLine="851"/>
        <w:jc w:val="both"/>
      </w:pPr>
      <w:r w:rsidRPr="00771368">
        <w:rPr>
          <w:rFonts w:eastAsia="Calibri"/>
        </w:rPr>
        <w:t xml:space="preserve">      </w:t>
      </w:r>
      <w:r w:rsidRPr="00771368">
        <w:t>Deduz-se que a construção da identidade do sujeito é resultante de sua trajetória histórica que, por sua vez, é única e singular, sendo influenciada pelas descobertas, pelos sentimentos, pelas crenças, pela cultura que lhe são adicionadas, ao longo de sua história de vida, pelos avanços e retrocessos provenientes do desenvolvimento da própria sociedade. Nesses complexos processos, Vieira (2005, p. 216) reafirma que “novas identidades são construídas, associadas às identidades existentes”.</w:t>
      </w:r>
    </w:p>
    <w:p w:rsidR="00D24E61" w:rsidRPr="00771368" w:rsidRDefault="00D24E61" w:rsidP="005E55F3">
      <w:pPr>
        <w:spacing w:line="360" w:lineRule="auto"/>
        <w:ind w:firstLine="851"/>
        <w:jc w:val="both"/>
      </w:pPr>
      <w:r w:rsidRPr="00771368">
        <w:rPr>
          <w:rFonts w:eastAsia="Calibri"/>
        </w:rPr>
        <w:t>É importante destacar que, mais do que em outros momentos históricos, nas sociedades contemporâneas ou pós-modernas, as mudanças políticas, culturais e sociais têm moldado um sujeito cambiante, de identidade não fixa, essencial ou permanente. “O sujeito assume identidades diferentes, em diferentes momentos, identidades que não são unificadas ao redor de um eu coerente” (HALL, 2006, p. 13).</w:t>
      </w:r>
      <w:r w:rsidRPr="00771368">
        <w:t xml:space="preserve"> Inclusa, nessas concepções, a identidade de gênero.</w:t>
      </w:r>
    </w:p>
    <w:p w:rsidR="00D24E61" w:rsidRPr="00771368" w:rsidRDefault="00D24E61" w:rsidP="005E55F3">
      <w:pPr>
        <w:shd w:val="clear" w:color="auto" w:fill="FFFFFF"/>
        <w:spacing w:line="360" w:lineRule="auto"/>
        <w:ind w:firstLine="851"/>
        <w:jc w:val="both"/>
        <w:rPr>
          <w:bCs/>
        </w:rPr>
      </w:pPr>
      <w:r w:rsidRPr="00771368">
        <w:rPr>
          <w:bCs/>
        </w:rPr>
        <w:t xml:space="preserve">Ressalta-se que discorrer sobre gênero nos impulsiona a pensar acerca das relações sociais, também como relações de poder. Michel Foucault (1985 </w:t>
      </w:r>
      <w:r w:rsidRPr="00771368">
        <w:rPr>
          <w:iCs/>
        </w:rPr>
        <w:t>apud VIEIRA, 2005, p. 220</w:t>
      </w:r>
      <w:r w:rsidRPr="00771368">
        <w:rPr>
          <w:bCs/>
        </w:rPr>
        <w:t>), referenda que falar de relações sociais é falar de relações de poder, que se exercem nos espaços</w:t>
      </w:r>
      <w:r w:rsidRPr="00771368">
        <w:t xml:space="preserve"> </w:t>
      </w:r>
      <w:r w:rsidRPr="00771368">
        <w:rPr>
          <w:bCs/>
        </w:rPr>
        <w:t>privado e público. É, por conseguinte, retomar a discussão sobre identidade, sob a perspectiva da categoria “poder”.</w:t>
      </w:r>
    </w:p>
    <w:p w:rsidR="00D24E61" w:rsidRPr="00771368" w:rsidRDefault="00D24E61" w:rsidP="005E55F3">
      <w:pPr>
        <w:shd w:val="clear" w:color="auto" w:fill="FFFFFF"/>
        <w:spacing w:line="360" w:lineRule="auto"/>
        <w:ind w:firstLine="851"/>
        <w:jc w:val="both"/>
        <w:rPr>
          <w:bCs/>
        </w:rPr>
      </w:pPr>
      <w:r w:rsidRPr="00771368">
        <w:rPr>
          <w:bCs/>
        </w:rPr>
        <w:t>Scott (1989) teoriza que gênero é uma maneira inicial de dar sentido às relações de poder.  Reforça a autora que o gênero é um campo principal onde são articuladas as relações de poder. Referindo-se ao significado do poder na sua proposta, Scott afirma:</w:t>
      </w:r>
    </w:p>
    <w:p w:rsidR="00D24E61" w:rsidRPr="00771368" w:rsidRDefault="00D24E61" w:rsidP="005E55F3">
      <w:pPr>
        <w:shd w:val="clear" w:color="auto" w:fill="FFFFFF"/>
        <w:spacing w:after="120" w:line="360" w:lineRule="auto"/>
        <w:ind w:left="2268"/>
        <w:jc w:val="both"/>
        <w:rPr>
          <w:bCs/>
          <w:sz w:val="20"/>
          <w:szCs w:val="20"/>
        </w:rPr>
      </w:pPr>
      <w:r w:rsidRPr="00771368">
        <w:rPr>
          <w:bCs/>
          <w:sz w:val="20"/>
          <w:szCs w:val="20"/>
        </w:rPr>
        <w:t>Precisamos substituir a noção de que o poder social é unificado, coerente e centralizado, por alguma coisa que esteja próxima do conceito foucaultiano de poder, entendido como constelações dispersas de relações desiguais constituídas pelo discurso nos “campos de forças”. (SCOTT, 1989, P. 20)</w:t>
      </w:r>
    </w:p>
    <w:p w:rsidR="00D24E61" w:rsidRPr="00771368" w:rsidRDefault="00D24E61" w:rsidP="005E55F3">
      <w:pPr>
        <w:spacing w:line="360" w:lineRule="auto"/>
        <w:jc w:val="both"/>
      </w:pPr>
      <w:r w:rsidRPr="00771368">
        <w:rPr>
          <w:b/>
          <w:sz w:val="20"/>
        </w:rPr>
        <w:tab/>
      </w:r>
      <w:r w:rsidRPr="00771368">
        <w:t xml:space="preserve">Nesses termos é que foi possível </w:t>
      </w:r>
      <w:r w:rsidRPr="00771368">
        <w:rPr>
          <w:rStyle w:val="a"/>
          <w:bdr w:val="none" w:sz="0" w:space="0" w:color="auto" w:frame="1"/>
          <w:shd w:val="clear" w:color="auto" w:fill="FFFFFF"/>
        </w:rPr>
        <w:t>entender como se produzem os significados sobre as existências lésbicas do Grupo de Convivência Borboletas</w:t>
      </w:r>
      <w:r w:rsidRPr="00771368">
        <w:rPr>
          <w:rStyle w:val="Refdenotaderodap"/>
          <w:bdr w:val="none" w:sz="0" w:space="0" w:color="auto" w:frame="1"/>
          <w:shd w:val="clear" w:color="auto" w:fill="FFFFFF"/>
        </w:rPr>
        <w:footnoteReference w:id="37"/>
      </w:r>
      <w:r w:rsidRPr="00771368">
        <w:rPr>
          <w:rStyle w:val="a"/>
          <w:bdr w:val="none" w:sz="0" w:space="0" w:color="auto" w:frame="1"/>
          <w:shd w:val="clear" w:color="auto" w:fill="FFFFFF"/>
        </w:rPr>
        <w:t xml:space="preserve">, como se organiza a articulação das identidades dessas mulheres, enquanto subjetividades produzidas em um contexto de dominação heteropatriarcal. E, em razão dessa lógica predominante, as identidades lésbicas são construídas como estratégias subjetivas e coletivas de resistência e de organização de sentidos alternativos, frente a uma sociedade onde a violência de gênero ainda se manifesta em suas diversas faces. Nessa direção, </w:t>
      </w:r>
      <w:r w:rsidRPr="00771368">
        <w:t>observamos que:</w:t>
      </w:r>
    </w:p>
    <w:p w:rsidR="00D24E61" w:rsidRPr="00771368" w:rsidRDefault="00D24E61" w:rsidP="005E55F3">
      <w:pPr>
        <w:spacing w:after="120" w:line="360" w:lineRule="auto"/>
        <w:ind w:left="2268"/>
        <w:jc w:val="both"/>
        <w:rPr>
          <w:bCs/>
          <w:sz w:val="20"/>
        </w:rPr>
      </w:pPr>
      <w:r w:rsidRPr="00771368">
        <w:rPr>
          <w:sz w:val="20"/>
        </w:rPr>
        <w:t>Não é possível esquecer a frase de Wittig: “uma lésbica não é uma mulher”, definição em negativo, lócus maior de resistência ao patriarcado. Mas esta própria designação supõe um quadro epistemológico que coloca o lesbianismo num conjunto de práticas cuja referência axial é a sexualidade e o sexo. A visibilidade lésbica, as maneiras de se vestir, de ser diferente, de sublinhar uma singularidade não fazem senão internalizar a ordem binária, na medida em que expõem uma diferença e a diferença supõe um modelo. Assim, a questão espinhosa de “sair do armário”, de “ser ou não ser” não se coloca que se a heterossexualidade é obrigatória e que a homoliga sexo/gênero, sexualidade/desejo define a normalidade em sua exata correspondência.</w:t>
      </w:r>
      <w:r w:rsidRPr="00771368">
        <w:rPr>
          <w:bCs/>
          <w:sz w:val="20"/>
        </w:rPr>
        <w:t xml:space="preserve"> (</w:t>
      </w:r>
      <w:r w:rsidRPr="00771368">
        <w:rPr>
          <w:sz w:val="20"/>
        </w:rPr>
        <w:t>SWAIN, 1999, p.</w:t>
      </w:r>
      <w:r w:rsidRPr="00771368">
        <w:rPr>
          <w:bCs/>
          <w:sz w:val="20"/>
        </w:rPr>
        <w:t xml:space="preserve"> 117) </w:t>
      </w:r>
    </w:p>
    <w:p w:rsidR="00D24E61" w:rsidRPr="00771368" w:rsidRDefault="00D24E61" w:rsidP="005E55F3">
      <w:pPr>
        <w:autoSpaceDE w:val="0"/>
        <w:autoSpaceDN w:val="0"/>
        <w:adjustRightInd w:val="0"/>
        <w:spacing w:line="360" w:lineRule="auto"/>
        <w:ind w:firstLine="851"/>
        <w:jc w:val="both"/>
      </w:pPr>
      <w:r w:rsidRPr="00771368">
        <w:rPr>
          <w:rFonts w:eastAsia="Calibri"/>
        </w:rPr>
        <w:t>Reforça-se que não é incomum as vozes eclodirem, afirmando não ser normal manter relações com pessoas do mesmo sexo. Mas, para Silva (2009), normalizar significa determinar uma identidade como parâmetro para as demais. A eleita (identidade hetero) detém as cargas positivas e é considerada normal e natural, enquanto que as outras são vistas como anormais e, geralmente, são mal vistas e não aceitas socialmente. No entanto, por meio de movimentos organizados ou ações individuais, essas identidades, fixadas como naturais, podem ser subvertidas, pois as identidades são instáveis e estão à mercê dos movimentos entre as fronteiras sociais.</w:t>
      </w:r>
    </w:p>
    <w:p w:rsidR="00D24E61" w:rsidRPr="00771368" w:rsidRDefault="00D24E61" w:rsidP="005E55F3">
      <w:pPr>
        <w:spacing w:line="360" w:lineRule="auto"/>
        <w:ind w:firstLine="851"/>
        <w:jc w:val="both"/>
        <w:rPr>
          <w:spacing w:val="-10"/>
        </w:rPr>
      </w:pPr>
      <w:r w:rsidRPr="00771368">
        <w:rPr>
          <w:spacing w:val="-10"/>
        </w:rPr>
        <w:t>Como afirma Beauvoir,</w:t>
      </w:r>
    </w:p>
    <w:p w:rsidR="00D24E61" w:rsidRPr="00771368" w:rsidRDefault="00D24E61" w:rsidP="005E55F3">
      <w:pPr>
        <w:spacing w:after="120" w:line="360" w:lineRule="auto"/>
        <w:ind w:left="2268"/>
        <w:jc w:val="both"/>
      </w:pPr>
      <w:r w:rsidRPr="00771368">
        <w:rPr>
          <w:spacing w:val="-10"/>
          <w:sz w:val="20"/>
          <w:szCs w:val="20"/>
        </w:rPr>
        <w:t xml:space="preserve">Não se nasce mulher: </w:t>
      </w:r>
      <w:r w:rsidRPr="00771368">
        <w:rPr>
          <w:sz w:val="20"/>
          <w:szCs w:val="20"/>
        </w:rPr>
        <w:t>torna-se. Nenhum destino biológico, psíquico, econômico define a forma que a fêmea humana assume no seio da sociedade; é o conjunto da civilização que elabora esse produto intermediário entre o macho e o eunuco que qualificam de feminino (BEAUVOIR, 1967, p. 9)</w:t>
      </w:r>
      <w:r w:rsidRPr="00771368">
        <w:t>.</w:t>
      </w:r>
    </w:p>
    <w:p w:rsidR="00D24E61" w:rsidRPr="00771368" w:rsidRDefault="00D24E61" w:rsidP="005E55F3">
      <w:pPr>
        <w:spacing w:after="240" w:line="360" w:lineRule="auto"/>
        <w:ind w:firstLine="851"/>
        <w:jc w:val="both"/>
      </w:pPr>
      <w:r w:rsidRPr="00771368">
        <w:t>Em Caxias-MA</w:t>
      </w:r>
      <w:r w:rsidRPr="00771368">
        <w:rPr>
          <w:rStyle w:val="Refdenotaderodap"/>
        </w:rPr>
        <w:footnoteReference w:id="38"/>
      </w:r>
      <w:r w:rsidRPr="00771368">
        <w:t xml:space="preserve">, as mulheres e especificamente as mulheres lésbicas do Grupo de Convivência Borboleta lutam por seu reconhecimento enquanto sujeitos sociais e políticos que contribuem, efetivamente, para o desenvolvimento da sociedade, seja no espaço doméstico ou público.  </w:t>
      </w:r>
    </w:p>
    <w:p w:rsidR="00D24E61" w:rsidRPr="005E55F3" w:rsidRDefault="00D24E61" w:rsidP="007B04EA">
      <w:pPr>
        <w:rPr>
          <w:b/>
        </w:rPr>
      </w:pPr>
      <w:bookmarkStart w:id="37" w:name="_Toc352403058"/>
      <w:r w:rsidRPr="005E55F3">
        <w:rPr>
          <w:b/>
        </w:rPr>
        <w:t>3. “LIBERDADE, LIBERDADE! ABRA AS ASAS SOBRE NÓS”: Desvelando a “identidade proibida” no Grupo de Convivência Borboleta</w:t>
      </w:r>
      <w:bookmarkEnd w:id="37"/>
    </w:p>
    <w:p w:rsidR="00D24E61" w:rsidRPr="00771368" w:rsidRDefault="00D24E61" w:rsidP="00D24E61">
      <w:pPr>
        <w:pStyle w:val="NormalWeb"/>
        <w:shd w:val="clear" w:color="auto" w:fill="FFFFFF"/>
        <w:spacing w:before="0" w:beforeAutospacing="0" w:after="0" w:afterAutospacing="0"/>
        <w:jc w:val="right"/>
        <w:rPr>
          <w:sz w:val="20"/>
          <w:szCs w:val="20"/>
        </w:rPr>
      </w:pPr>
      <w:r w:rsidRPr="00771368">
        <w:rPr>
          <w:sz w:val="20"/>
          <w:szCs w:val="20"/>
        </w:rPr>
        <w:t>Liberdade, liberdade!</w:t>
      </w:r>
      <w:r w:rsidRPr="00771368">
        <w:rPr>
          <w:sz w:val="20"/>
          <w:szCs w:val="20"/>
        </w:rPr>
        <w:br/>
        <w:t>Abra as asas sobre nós (bis)</w:t>
      </w:r>
      <w:r w:rsidRPr="00771368">
        <w:rPr>
          <w:sz w:val="20"/>
          <w:szCs w:val="20"/>
        </w:rPr>
        <w:br/>
        <w:t>E que a voz da igualdade</w:t>
      </w:r>
      <w:r w:rsidRPr="00771368">
        <w:rPr>
          <w:sz w:val="20"/>
          <w:szCs w:val="20"/>
        </w:rPr>
        <w:br/>
        <w:t>Seja sempre a nossa voz</w:t>
      </w:r>
    </w:p>
    <w:p w:rsidR="00D24E61" w:rsidRPr="00771368" w:rsidRDefault="00D24E61" w:rsidP="00D24E61">
      <w:pPr>
        <w:spacing w:after="120"/>
        <w:jc w:val="right"/>
        <w:rPr>
          <w:sz w:val="20"/>
          <w:szCs w:val="20"/>
        </w:rPr>
      </w:pPr>
      <w:r w:rsidRPr="00771368">
        <w:rPr>
          <w:sz w:val="20"/>
          <w:szCs w:val="20"/>
        </w:rPr>
        <w:t>(Samba Enredo 1989 - Liberdade, Liberdade! Abra as asas sobre nós)</w:t>
      </w:r>
    </w:p>
    <w:p w:rsidR="00D24E61" w:rsidRPr="00771368" w:rsidRDefault="00D24E61" w:rsidP="005E55F3">
      <w:pPr>
        <w:spacing w:line="360" w:lineRule="auto"/>
        <w:ind w:firstLine="851"/>
        <w:jc w:val="both"/>
      </w:pPr>
      <w:r w:rsidRPr="00771368">
        <w:t xml:space="preserve">A epígrafe acima rememora a luta dos negros, em busca da liberdade, que lhes foi cerceada e limitada por séculos. Inspiramo-nos nestes versos por nos remeter, analogamente, à ideia do “levantar da voz feminina”, em busca da liberdade e da igualdade almejadas por grupos minoritários que, ao longo do processo histórico, foram deixados à margem da sociedade. De modo especial, destacamos a história de invisibilidade destinada às mulheres, bem como a constituição de densas cortinas que camuflavam (e ainda camuflam) as relações afetivo-sexuais entre elas. </w:t>
      </w:r>
    </w:p>
    <w:p w:rsidR="00D24E61" w:rsidRPr="00771368" w:rsidRDefault="00D24E61" w:rsidP="005E55F3">
      <w:pPr>
        <w:spacing w:line="360" w:lineRule="auto"/>
        <w:ind w:firstLine="851"/>
        <w:jc w:val="both"/>
        <w:rPr>
          <w:rFonts w:eastAsia="Calibri"/>
          <w:lang w:eastAsia="en-US"/>
        </w:rPr>
      </w:pPr>
      <w:r w:rsidRPr="00771368">
        <w:t xml:space="preserve">O aporte teórico evidenciado no corpo deste trabalho busca reafirmar os achados da pesquisa, bem como nossos olhares para e sobre estes, resultantes das trilhas ou dos caminhos que procuramos percorrer para achar pistas que desvelassem a construção da “identidade proibida” das participantes do Grupo de Convivência Borboleta. </w:t>
      </w:r>
      <w:r w:rsidRPr="00771368">
        <w:rPr>
          <w:bCs/>
        </w:rPr>
        <w:t>Desse modo, com um olhar atento</w:t>
      </w:r>
      <w:r w:rsidRPr="00771368">
        <w:rPr>
          <w:rStyle w:val="Refdenotaderodap"/>
          <w:bCs/>
        </w:rPr>
        <w:footnoteReference w:id="39"/>
      </w:r>
      <w:r w:rsidRPr="00771368">
        <w:rPr>
          <w:bCs/>
        </w:rPr>
        <w:t>e sensível para perceber a realidade</w:t>
      </w:r>
      <w:r w:rsidRPr="00771368">
        <w:t xml:space="preserve"> vivenciada por essas mulheres, propusemo-nos a investigar a temática, por meio</w:t>
      </w:r>
      <w:r w:rsidRPr="00771368">
        <w:rPr>
          <w:rFonts w:eastAsia="Calibri"/>
        </w:rPr>
        <w:t xml:space="preserve"> de três categorias: Dialética do Eu, Identidade Proibida e Metamorfose Identitária. </w:t>
      </w:r>
    </w:p>
    <w:p w:rsidR="00D24E61" w:rsidRPr="00771368" w:rsidRDefault="00D24E61" w:rsidP="005E55F3">
      <w:pPr>
        <w:autoSpaceDE w:val="0"/>
        <w:autoSpaceDN w:val="0"/>
        <w:adjustRightInd w:val="0"/>
        <w:spacing w:line="360" w:lineRule="auto"/>
        <w:ind w:firstLine="851"/>
        <w:jc w:val="both"/>
        <w:rPr>
          <w:rFonts w:eastAsia="Calibri"/>
        </w:rPr>
      </w:pPr>
      <w:r w:rsidRPr="00771368">
        <w:rPr>
          <w:rFonts w:eastAsia="Calibri"/>
          <w:b/>
        </w:rPr>
        <w:t>A Dialética do Eu</w:t>
      </w:r>
      <w:r w:rsidRPr="00771368">
        <w:rPr>
          <w:rFonts w:eastAsia="Calibri"/>
        </w:rPr>
        <w:t>,</w:t>
      </w:r>
      <w:r w:rsidRPr="00771368">
        <w:rPr>
          <w:rFonts w:eastAsia="Calibri"/>
          <w:b/>
        </w:rPr>
        <w:t xml:space="preserve"> </w:t>
      </w:r>
      <w:r w:rsidRPr="00771368">
        <w:rPr>
          <w:rFonts w:eastAsia="Calibri"/>
        </w:rPr>
        <w:t>sintetizada como a reciprocidade de influências que tanto o sujeito em questão quanto os objetos (instituições, pessoas) recebem em relação à realidade vivenciada.  De acordo com a perspectiva dialética, a dinâmica da realidade é revelada, basicamente, por meio de algumas Leis</w:t>
      </w:r>
      <w:r w:rsidRPr="00771368">
        <w:rPr>
          <w:rStyle w:val="Refdenotaderodap"/>
          <w:rFonts w:eastAsia="Calibri"/>
        </w:rPr>
        <w:footnoteReference w:id="40"/>
      </w:r>
      <w:r w:rsidRPr="00771368">
        <w:rPr>
          <w:rFonts w:eastAsia="Calibri"/>
        </w:rPr>
        <w:t xml:space="preserve"> que, segundo Sena (2004), estão interligadas e, mutuamente, influenciam-se e interagem com o sujeito. </w:t>
      </w:r>
    </w:p>
    <w:p w:rsidR="00D24E61" w:rsidRPr="00771368" w:rsidRDefault="00D24E61" w:rsidP="005E55F3">
      <w:pPr>
        <w:autoSpaceDE w:val="0"/>
        <w:autoSpaceDN w:val="0"/>
        <w:adjustRightInd w:val="0"/>
        <w:spacing w:line="360" w:lineRule="auto"/>
        <w:ind w:firstLine="851"/>
        <w:jc w:val="both"/>
        <w:rPr>
          <w:rFonts w:eastAsia="Calibri"/>
          <w:lang w:eastAsia="en-US"/>
        </w:rPr>
      </w:pPr>
      <w:r w:rsidRPr="00771368">
        <w:rPr>
          <w:rFonts w:eastAsia="Calibri"/>
          <w:bCs/>
          <w:lang w:eastAsia="en-US"/>
        </w:rPr>
        <w:t>Conforme se evidencia nas falas das “Borboletas”, suas primeiras “experiências” ou tendências lesboafetivas se iniciam</w:t>
      </w:r>
      <w:r w:rsidRPr="00771368">
        <w:rPr>
          <w:rFonts w:eastAsia="Calibri"/>
          <w:lang w:eastAsia="en-US"/>
        </w:rPr>
        <w:t>, por um lado, na escola e, portanto, em seus círculos de socialização como no grupo de amigos. A “descoberta” de que são “diferentes” configura-se porque sentem atração afetiva por pessoa do mesmo sexo, por gostarem de se vestir e brincar “como meninos”. Aspectos que podem ser evidenciados por meio dos depoimentos abaixo:</w:t>
      </w:r>
    </w:p>
    <w:p w:rsidR="00D24E61" w:rsidRPr="00771368" w:rsidRDefault="00D24E61" w:rsidP="005E55F3">
      <w:pPr>
        <w:autoSpaceDE w:val="0"/>
        <w:autoSpaceDN w:val="0"/>
        <w:adjustRightInd w:val="0"/>
        <w:spacing w:after="120" w:line="360" w:lineRule="auto"/>
        <w:ind w:left="2268"/>
        <w:jc w:val="both"/>
        <w:rPr>
          <w:sz w:val="20"/>
          <w:szCs w:val="20"/>
        </w:rPr>
      </w:pPr>
      <w:r w:rsidRPr="00771368">
        <w:rPr>
          <w:sz w:val="20"/>
          <w:szCs w:val="20"/>
        </w:rPr>
        <w:t>Minha infância foi meio complicada, porque, quando eu era menor ,eu tinha jeito de menininho, quando eu fui crescendo eu fui mudando um pouco, às vezes, os meninos chegavam: ei, tu é homem ou mulher? Eu ficava chateada, mas até então eu não tinha noção de nada, só chegava a me apaixonar por colegas da minha sala, mas não levava pra frente e não sabia o que era aquilo, a paixão era por menina (Viviann Sampaio, 33 anos).</w:t>
      </w:r>
    </w:p>
    <w:p w:rsidR="00D24E61" w:rsidRPr="00771368" w:rsidRDefault="00D24E61" w:rsidP="005E55F3">
      <w:pPr>
        <w:autoSpaceDE w:val="0"/>
        <w:autoSpaceDN w:val="0"/>
        <w:adjustRightInd w:val="0"/>
        <w:spacing w:after="120" w:line="360" w:lineRule="auto"/>
        <w:ind w:left="2268"/>
        <w:jc w:val="both"/>
        <w:rPr>
          <w:rFonts w:eastAsia="Calibri"/>
          <w:b/>
          <w:sz w:val="20"/>
          <w:szCs w:val="20"/>
        </w:rPr>
      </w:pPr>
      <w:r w:rsidRPr="00771368">
        <w:rPr>
          <w:sz w:val="20"/>
          <w:szCs w:val="20"/>
        </w:rPr>
        <w:t>[...]</w:t>
      </w:r>
    </w:p>
    <w:p w:rsidR="00D24E61" w:rsidRPr="00771368" w:rsidRDefault="00D24E61" w:rsidP="005E55F3">
      <w:pPr>
        <w:spacing w:after="120" w:line="360" w:lineRule="auto"/>
        <w:ind w:left="2268"/>
        <w:jc w:val="both"/>
        <w:rPr>
          <w:sz w:val="20"/>
          <w:szCs w:val="20"/>
        </w:rPr>
      </w:pPr>
      <w:r w:rsidRPr="00771368">
        <w:rPr>
          <w:sz w:val="20"/>
          <w:szCs w:val="20"/>
        </w:rPr>
        <w:t xml:space="preserve">Minha trajetória é bem antiga, por que eu comecei bem jovem, quando via as meninas, gostava de abraçar, de beijar. Mas sempre achei que isso fosse coisa de criança, fui crescendo e esse sentimento </w:t>
      </w:r>
      <w:r w:rsidRPr="00771368">
        <w:rPr>
          <w:b/>
          <w:sz w:val="20"/>
          <w:szCs w:val="20"/>
        </w:rPr>
        <w:t>não</w:t>
      </w:r>
      <w:r w:rsidRPr="00771368">
        <w:rPr>
          <w:sz w:val="20"/>
          <w:szCs w:val="20"/>
        </w:rPr>
        <w:t xml:space="preserve"> saiu de mim. [...] eu fui pra escola e sempre gostei de estar com meninas, beijando, abraçando, brincadeira de médico. Eu não gostava de brincar com bonecas, minha mãe quando colocava saia ou vestido em mim eu achava um terror. Eu gostava de me vestir como menino e brincar com brincadeiras de meninos, até no corte de cabelo (Joelma Costa, 38 anos).</w:t>
      </w:r>
    </w:p>
    <w:p w:rsidR="00D24E61" w:rsidRPr="00771368" w:rsidRDefault="00D24E61" w:rsidP="005E55F3">
      <w:pPr>
        <w:autoSpaceDE w:val="0"/>
        <w:autoSpaceDN w:val="0"/>
        <w:adjustRightInd w:val="0"/>
        <w:spacing w:line="360" w:lineRule="auto"/>
        <w:ind w:firstLine="851"/>
        <w:jc w:val="both"/>
        <w:rPr>
          <w:rFonts w:eastAsia="Calibri"/>
          <w:lang w:eastAsia="en-US"/>
        </w:rPr>
      </w:pPr>
      <w:r w:rsidRPr="00771368">
        <w:rPr>
          <w:rFonts w:eastAsia="Calibri"/>
          <w:lang w:eastAsia="en-US"/>
        </w:rPr>
        <w:t xml:space="preserve">Os depoimentos permitem-nos inferir que a construção da sexualidade e, por conseguinte, da identidade lesboafetiva, resulta do “embate”, consciente ou inconsciente, das regras de um comportamento social legitimado como normal e o estranhamento do sujeito que se vê diferente. A sexualidade “diferenciada” evidencia-se, pois, a partir das suas experiências concretas de relacionamento com outras pessoas, nos espaços de convivência como a escola, a família, o grupo de amigos, dentre outros. </w:t>
      </w:r>
      <w:r w:rsidRPr="00771368">
        <w:t xml:space="preserve">Tal como menciona </w:t>
      </w:r>
      <w:r w:rsidRPr="00771368">
        <w:rPr>
          <w:rFonts w:eastAsia="Calibri"/>
        </w:rPr>
        <w:t>(HALL, 2006, p. 11), “a identidade é formada na ‘interação’ entre o eu e a sociedade”.</w:t>
      </w:r>
    </w:p>
    <w:p w:rsidR="00D24E61" w:rsidRPr="00771368" w:rsidRDefault="00D24E61" w:rsidP="005E55F3">
      <w:pPr>
        <w:autoSpaceDE w:val="0"/>
        <w:autoSpaceDN w:val="0"/>
        <w:adjustRightInd w:val="0"/>
        <w:spacing w:line="360" w:lineRule="auto"/>
        <w:ind w:firstLine="851"/>
        <w:jc w:val="both"/>
      </w:pPr>
      <w:r w:rsidRPr="00771368">
        <w:rPr>
          <w:rFonts w:eastAsia="Calibri"/>
          <w:lang w:eastAsia="en-US"/>
        </w:rPr>
        <w:t xml:space="preserve">Convém destacar que o movimento contraditório que direciona a uma nova identidade ou a uma síntese (falando dialeticamente) não é indolor ou sem marcas, tendo em vista que ainda predominam os valores de uma sociedade heropatriarcalista. </w:t>
      </w:r>
    </w:p>
    <w:p w:rsidR="00D24E61" w:rsidRPr="00771368" w:rsidRDefault="00D24E61" w:rsidP="005E55F3">
      <w:pPr>
        <w:autoSpaceDE w:val="0"/>
        <w:autoSpaceDN w:val="0"/>
        <w:adjustRightInd w:val="0"/>
        <w:spacing w:after="120" w:line="360" w:lineRule="auto"/>
        <w:ind w:left="2268"/>
        <w:jc w:val="both"/>
      </w:pPr>
      <w:r w:rsidRPr="00771368">
        <w:rPr>
          <w:sz w:val="20"/>
          <w:szCs w:val="20"/>
        </w:rPr>
        <w:t>Eu fiquei com mulher aos 18, mas só assumi mesmo aos 27. Mas minha mãe sempre dizendo que eu ia deixar, ia descobrir que não queria aquilo pra minha vida e eu não falava, eu só fui falar quando eu fui embora, pois não aguentava mais a pressão dela (Adriana Machado, 36 anos).</w:t>
      </w:r>
    </w:p>
    <w:p w:rsidR="00D24E61" w:rsidRPr="00771368" w:rsidRDefault="00D24E61" w:rsidP="005E55F3">
      <w:pPr>
        <w:autoSpaceDE w:val="0"/>
        <w:autoSpaceDN w:val="0"/>
        <w:adjustRightInd w:val="0"/>
        <w:spacing w:line="360" w:lineRule="auto"/>
        <w:ind w:firstLine="851"/>
        <w:jc w:val="both"/>
      </w:pPr>
      <w:r w:rsidRPr="00771368">
        <w:t>Nesse contexto, algumas Borboletas afirmam que começaram a vida afetiva se envolvendo com homens, mesmo porque ainda não estavam certas de sua atração por outras mulheres. Veja o que segue:</w:t>
      </w:r>
    </w:p>
    <w:p w:rsidR="00D24E61" w:rsidRPr="00771368" w:rsidRDefault="00D24E61" w:rsidP="005E55F3">
      <w:pPr>
        <w:spacing w:after="120" w:line="360" w:lineRule="auto"/>
        <w:ind w:left="2268"/>
        <w:jc w:val="both"/>
        <w:rPr>
          <w:sz w:val="20"/>
          <w:szCs w:val="20"/>
        </w:rPr>
      </w:pPr>
      <w:r w:rsidRPr="00771368">
        <w:t xml:space="preserve"> </w:t>
      </w:r>
      <w:r w:rsidRPr="00771368">
        <w:rPr>
          <w:sz w:val="20"/>
          <w:szCs w:val="20"/>
        </w:rPr>
        <w:t>[...] cheguei até a ter 03 namorados, minhas amigas sempre me diziam que, no dia que eu tivesse um namorado legal, eu nunca mais ia querer saber de mulher, mas isso era só ilusão, porque eu nunca gostei de homens [...] Eu sempre morei com a minha mãe e chegava (sic) muitas coisas no ouvido dela, porque Caxias era pequena, na verdade ainda é, mas eu sempre disse que eram falsos boatos para me esconder. Quando eu fiz 16 anos, tive meu último namorado e decidi que queria mulher (Joelma Costa, 38 anos).</w:t>
      </w:r>
    </w:p>
    <w:p w:rsidR="00D24E61" w:rsidRPr="00771368" w:rsidRDefault="00D24E61" w:rsidP="005E55F3">
      <w:pPr>
        <w:autoSpaceDE w:val="0"/>
        <w:autoSpaceDN w:val="0"/>
        <w:adjustRightInd w:val="0"/>
        <w:spacing w:line="360" w:lineRule="auto"/>
        <w:ind w:firstLine="708"/>
        <w:jc w:val="both"/>
      </w:pPr>
      <w:r w:rsidRPr="00771368">
        <w:t xml:space="preserve">As falas confirmam o confronto ou o que se está denominando de </w:t>
      </w:r>
      <w:r w:rsidRPr="00771368">
        <w:rPr>
          <w:b/>
        </w:rPr>
        <w:t>dialética do eu</w:t>
      </w:r>
      <w:r w:rsidRPr="00771368">
        <w:t xml:space="preserve">, quando se vê que as entrevistadas, suas famílias e seus grupos de pertença oscilam entre acreditar na possibilidade de elas estarem assumindo uma identidade diversa daquela que se tem com referência. É importante frisar que existe a vontade de esconder o desejo, por medo dos estigmas sociais, bem como estratégias que visam a uma afirmação identitária perante os outros. </w:t>
      </w:r>
    </w:p>
    <w:p w:rsidR="00D24E61" w:rsidRPr="00771368" w:rsidRDefault="00D24E61" w:rsidP="005E55F3">
      <w:pPr>
        <w:autoSpaceDE w:val="0"/>
        <w:autoSpaceDN w:val="0"/>
        <w:adjustRightInd w:val="0"/>
        <w:spacing w:after="120" w:line="360" w:lineRule="auto"/>
        <w:ind w:left="2268"/>
        <w:jc w:val="both"/>
      </w:pPr>
      <w:r w:rsidRPr="00771368">
        <w:rPr>
          <w:sz w:val="20"/>
          <w:szCs w:val="20"/>
        </w:rPr>
        <w:t>[...] mas até um tempo atrás, eu achava que era uma fase ou mesmo uma atração momentânea, porque eu sempre achei que iria casar com um homem, mas hoje eu não vejo mais dessa forma (Lisbela, 27 anos)</w:t>
      </w:r>
      <w:r w:rsidRPr="00771368">
        <w:t>.</w:t>
      </w:r>
    </w:p>
    <w:p w:rsidR="00D24E61" w:rsidRPr="00771368" w:rsidRDefault="00D24E61" w:rsidP="005E55F3">
      <w:pPr>
        <w:autoSpaceDE w:val="0"/>
        <w:autoSpaceDN w:val="0"/>
        <w:adjustRightInd w:val="0"/>
        <w:spacing w:after="120" w:line="360" w:lineRule="auto"/>
        <w:ind w:left="2268"/>
        <w:jc w:val="both"/>
        <w:rPr>
          <w:sz w:val="20"/>
          <w:szCs w:val="20"/>
        </w:rPr>
      </w:pPr>
      <w:r w:rsidRPr="00771368">
        <w:rPr>
          <w:sz w:val="20"/>
          <w:szCs w:val="20"/>
        </w:rPr>
        <w:t xml:space="preserve">[...] a priori eu achava que não era certo ficar com meninas, porque minha mãe dizia que não era certo. E, querendo ou não, você leva aquilo pra você (Adriana Machado, 36 anos). </w:t>
      </w:r>
    </w:p>
    <w:p w:rsidR="00D24E61" w:rsidRPr="00771368" w:rsidRDefault="00D24E61" w:rsidP="005E55F3">
      <w:pPr>
        <w:autoSpaceDE w:val="0"/>
        <w:autoSpaceDN w:val="0"/>
        <w:adjustRightInd w:val="0"/>
        <w:spacing w:line="360" w:lineRule="auto"/>
        <w:ind w:firstLine="851"/>
        <w:jc w:val="both"/>
      </w:pPr>
      <w:r w:rsidRPr="00771368">
        <w:t xml:space="preserve">Em síntese, percebe-se, nos sujeitos pesquisados, um processo cambiante de negação e afirmação de identidade.  Sempre reafirmando que </w:t>
      </w:r>
      <w:r w:rsidRPr="00771368">
        <w:rPr>
          <w:rFonts w:eastAsia="Calibri"/>
        </w:rPr>
        <w:t xml:space="preserve">a identidade é uma convenção social necessária, é ambivalente e, ao mesmo tempo em que liberta, oprime; ao mesmo tempo em que alimenta a ilusão de pertencimento, aponta a frustração do ser excluída. É, portanto, nesse contexto contraditório, que a identidade permanece em constante metamorfose. </w:t>
      </w:r>
    </w:p>
    <w:p w:rsidR="00D24E61" w:rsidRPr="00771368" w:rsidRDefault="00D24E61" w:rsidP="005E55F3">
      <w:pPr>
        <w:shd w:val="clear" w:color="auto" w:fill="FFFFFF"/>
        <w:spacing w:line="360" w:lineRule="auto"/>
        <w:ind w:firstLine="851"/>
        <w:jc w:val="both"/>
        <w:rPr>
          <w:rFonts w:eastAsia="Calibri"/>
        </w:rPr>
      </w:pPr>
      <w:r w:rsidRPr="00771368">
        <w:rPr>
          <w:rFonts w:eastAsia="Calibri"/>
          <w:b/>
        </w:rPr>
        <w:t>A Identidade Proibida,</w:t>
      </w:r>
      <w:r w:rsidRPr="00771368">
        <w:rPr>
          <w:rFonts w:eastAsia="Calibri"/>
        </w:rPr>
        <w:t xml:space="preserve"> categoria que aponta para os </w:t>
      </w:r>
      <w:r w:rsidRPr="00771368">
        <w:t xml:space="preserve">processos impostos pela sociedade e que dificultam a construção da identidade das mulheres lésbicas. Afinal, </w:t>
      </w:r>
      <w:r w:rsidRPr="00771368">
        <w:rPr>
          <w:rFonts w:eastAsia="Calibri"/>
          <w:lang w:eastAsia="en-US"/>
        </w:rPr>
        <w:t xml:space="preserve">“desobedecer” aos padrões fixados pela cultura heterossexual é assumir o risco de ser tachada de anormal, doente, desviante e uma série de aspectos que menosprezam a figura feminina. </w:t>
      </w:r>
    </w:p>
    <w:p w:rsidR="00D24E61" w:rsidRPr="00771368" w:rsidRDefault="00D24E61" w:rsidP="005E55F3">
      <w:pPr>
        <w:autoSpaceDE w:val="0"/>
        <w:autoSpaceDN w:val="0"/>
        <w:adjustRightInd w:val="0"/>
        <w:spacing w:line="360" w:lineRule="auto"/>
        <w:ind w:firstLine="851"/>
        <w:jc w:val="both"/>
      </w:pPr>
      <w:r w:rsidRPr="00771368">
        <w:t>É o que se infere:</w:t>
      </w:r>
    </w:p>
    <w:p w:rsidR="00D24E61" w:rsidRPr="00771368" w:rsidRDefault="00D24E61" w:rsidP="005E55F3">
      <w:pPr>
        <w:pStyle w:val="Default"/>
        <w:spacing w:after="120" w:line="360" w:lineRule="auto"/>
        <w:ind w:left="2268"/>
        <w:jc w:val="both"/>
        <w:rPr>
          <w:color w:val="auto"/>
          <w:sz w:val="20"/>
          <w:szCs w:val="20"/>
        </w:rPr>
      </w:pPr>
      <w:r w:rsidRPr="00771368">
        <w:rPr>
          <w:color w:val="auto"/>
          <w:sz w:val="20"/>
          <w:szCs w:val="20"/>
        </w:rPr>
        <w:t>Acho que, ao contrário de algumas pessoas, eu sempre soube que tinha alguma coisa diferente comigo, apesar de não ter nenhum lado masculino. Sentia que estava um pouco fora da sociedade, eu me sentia à margem. Com medo também, apesar de todo esse medo, eu não demorei muito tempo para ficar com mulher e descobrir do que eu realmente gostava. [...] Acho que fui muito corajosa por um lado porque assumi muito nova, até pela família também porque a primeira pessoa que eu fiquei eles já desconfiaram e quando veio a segunda pessoa começamos a namorar de fato e eles descobriram, veio toda aquela confusão, conversas, brigas e choros, coisas que sempre acontecem quando a família descobre que o filho é gay ou que a filha é lésbica, ou que usa droga, roubou, matou alguém, ou seja, qualquer família reage de forma estranha quando acontece algo que não é certo e não é comum.” (Elizabeth, 21 anos).</w:t>
      </w:r>
    </w:p>
    <w:p w:rsidR="00D24E61" w:rsidRPr="00771368" w:rsidRDefault="00D24E61" w:rsidP="005E55F3">
      <w:pPr>
        <w:autoSpaceDE w:val="0"/>
        <w:autoSpaceDN w:val="0"/>
        <w:adjustRightInd w:val="0"/>
        <w:spacing w:line="360" w:lineRule="auto"/>
        <w:ind w:firstLine="851"/>
        <w:jc w:val="both"/>
      </w:pPr>
      <w:r w:rsidRPr="00771368">
        <w:t>Observa-se que a referência da moral heterossexual impõe-se ao sujeito social, de modo que ela mesma expressa o sentimento de exclusão: “sentia que estava um pouco fora da sociedade, eu me sentia à margem”. Sentimentos que vêm permeados pelo medo e pelo desejo de aceitação. Primeiro, pela família que, quando desvenda essa realidade, entra em conflito (brigas e lamentações, situações consideradas comuns pelas entrevistadas). Outro aspecto que chama a atenção e que aponta para a identidade proibida é o fato de a homossexualidade ser comparada com situações de contravenções sociais, como o uso de drogas, roubos, logo, “melhor seria combater ou proibir”.</w:t>
      </w:r>
    </w:p>
    <w:p w:rsidR="00D24E61" w:rsidRPr="00771368" w:rsidRDefault="00D24E61" w:rsidP="005E55F3">
      <w:pPr>
        <w:pStyle w:val="Default"/>
        <w:spacing w:after="120" w:line="360" w:lineRule="auto"/>
        <w:ind w:left="2268"/>
        <w:jc w:val="both"/>
        <w:rPr>
          <w:color w:val="auto"/>
          <w:sz w:val="20"/>
          <w:szCs w:val="20"/>
        </w:rPr>
      </w:pPr>
      <w:r w:rsidRPr="00771368">
        <w:rPr>
          <w:color w:val="auto"/>
          <w:sz w:val="20"/>
          <w:szCs w:val="20"/>
        </w:rPr>
        <w:t xml:space="preserve">Eu me considero uma mulher assumida e sempre falo nas reuniões do grupo (Borboletas) que eu não preciso sair falando pra todo mundo: ‘Ah, eu sou lésbica’ e nem aceito publicação pra expor meu nome, entrevista na televisão, outdoor ou coisa desse tipo. Eu não gosto, até porque é uma questão de respeito com a minha mãe, ela é uma pessoa que sempre fala que tem esperança que eu vou voltar a ser hetero, então é um respeito a ela. Mas </w:t>
      </w:r>
      <w:r w:rsidRPr="00771368">
        <w:rPr>
          <w:b/>
          <w:color w:val="auto"/>
          <w:sz w:val="20"/>
          <w:szCs w:val="20"/>
        </w:rPr>
        <w:t>todos</w:t>
      </w:r>
      <w:r w:rsidRPr="00771368">
        <w:rPr>
          <w:color w:val="auto"/>
          <w:sz w:val="20"/>
          <w:szCs w:val="20"/>
        </w:rPr>
        <w:t xml:space="preserve"> os meus amigos </w:t>
      </w:r>
      <w:r w:rsidRPr="00771368">
        <w:rPr>
          <w:b/>
          <w:color w:val="auto"/>
          <w:sz w:val="20"/>
          <w:szCs w:val="20"/>
        </w:rPr>
        <w:t>sabem</w:t>
      </w:r>
      <w:r w:rsidRPr="00771368">
        <w:rPr>
          <w:color w:val="auto"/>
          <w:sz w:val="20"/>
          <w:szCs w:val="20"/>
        </w:rPr>
        <w:t>, a minha família sabe, as pessoas que convivem comigo sabem (Lisbela, 27 anos).</w:t>
      </w:r>
    </w:p>
    <w:p w:rsidR="00D24E61" w:rsidRPr="00771368" w:rsidRDefault="00D24E61" w:rsidP="005E55F3">
      <w:pPr>
        <w:pStyle w:val="Default"/>
        <w:spacing w:after="120" w:line="360" w:lineRule="auto"/>
        <w:ind w:left="2268"/>
        <w:jc w:val="both"/>
        <w:rPr>
          <w:color w:val="auto"/>
          <w:sz w:val="20"/>
          <w:szCs w:val="20"/>
        </w:rPr>
      </w:pPr>
      <w:r w:rsidRPr="00771368">
        <w:rPr>
          <w:color w:val="auto"/>
          <w:sz w:val="20"/>
          <w:szCs w:val="20"/>
        </w:rPr>
        <w:t xml:space="preserve">[...] Eu me assumi na minha família, eu não escondo de ninguém, todo mundo sabe e todo mundo procura aceitar de qualquer forma, ou pelo menos engolir. Enquanto sociedade, eu acho que não sou militante porque não tenho esse espírito e não sou masculina, então eu não ando com nada na testa dizendo: “Eu sou lésbica”. Só que isso </w:t>
      </w:r>
      <w:r w:rsidRPr="00771368">
        <w:rPr>
          <w:b/>
          <w:color w:val="auto"/>
          <w:sz w:val="20"/>
          <w:szCs w:val="20"/>
        </w:rPr>
        <w:t>não</w:t>
      </w:r>
      <w:r w:rsidRPr="00771368">
        <w:rPr>
          <w:color w:val="auto"/>
          <w:sz w:val="20"/>
          <w:szCs w:val="20"/>
        </w:rPr>
        <w:t xml:space="preserve"> é porque eu tenha vergonha ou medo de assumir, é porque eu não sinto a necessidade de tá dando nenhum tipo de satisfação, porém, eu moro com uma mulher na mesma casa, saio pra jantar, vou pra festa, viajo com uma mulher, então não tem como as pessoas não saberem, é aquele tipo de coisa, se você não me pergunta eu não digo, se me pergunta eu não nego. (Elizabeth, 21 anos).</w:t>
      </w:r>
    </w:p>
    <w:p w:rsidR="00D24E61" w:rsidRPr="00771368" w:rsidRDefault="00D24E61" w:rsidP="005E55F3">
      <w:pPr>
        <w:pStyle w:val="Default"/>
        <w:spacing w:after="120" w:line="360" w:lineRule="auto"/>
        <w:ind w:left="2268"/>
        <w:jc w:val="both"/>
        <w:rPr>
          <w:sz w:val="20"/>
          <w:szCs w:val="20"/>
        </w:rPr>
      </w:pPr>
      <w:r w:rsidRPr="00771368">
        <w:rPr>
          <w:color w:val="auto"/>
          <w:sz w:val="20"/>
          <w:szCs w:val="20"/>
        </w:rPr>
        <w:t xml:space="preserve">[...] </w:t>
      </w:r>
      <w:r w:rsidRPr="00771368">
        <w:rPr>
          <w:sz w:val="20"/>
          <w:szCs w:val="20"/>
        </w:rPr>
        <w:t>Me identifico como lésbica, assumida mesmo, conquistei o meu espaço foi muito difícil pra mim, porque na minha adolescência eu fui muito esmagada, por culpa minha, por não respeitar as pessoas e a sociedade, pois eu me expus muito. Teve mães que vieram falar com a minha, houve muita confusão pra minha mãe, até várias ameaças de morte pra nós duas, como também pro meu irmão (Joelma Costa, 38 anos).</w:t>
      </w:r>
    </w:p>
    <w:p w:rsidR="00D24E61" w:rsidRPr="00771368" w:rsidRDefault="00D24E61" w:rsidP="005E55F3">
      <w:pPr>
        <w:autoSpaceDE w:val="0"/>
        <w:autoSpaceDN w:val="0"/>
        <w:adjustRightInd w:val="0"/>
        <w:spacing w:line="360" w:lineRule="auto"/>
        <w:ind w:firstLine="851"/>
        <w:jc w:val="both"/>
        <w:rPr>
          <w:szCs w:val="20"/>
        </w:rPr>
      </w:pPr>
      <w:r w:rsidRPr="00771368">
        <w:rPr>
          <w:rFonts w:eastAsia="Calibri"/>
        </w:rPr>
        <w:t>Infere-se que a identidade lesboafetiva, para os próprios sujeitos que se assumem como tal, representa um desrespeito às pessoas e à sociedade. “É preciso esconder”. “A exposição não é recomendada”. Confirma-se com Lisbela: “</w:t>
      </w:r>
      <w:r w:rsidRPr="00771368">
        <w:rPr>
          <w:szCs w:val="20"/>
        </w:rPr>
        <w:t xml:space="preserve">Eu me considero uma mulher assumida” </w:t>
      </w:r>
      <w:r w:rsidRPr="00771368">
        <w:rPr>
          <w:rFonts w:eastAsia="Calibri"/>
        </w:rPr>
        <w:t>e Elizabeth: “</w:t>
      </w:r>
      <w:r w:rsidRPr="00771368">
        <w:rPr>
          <w:szCs w:val="20"/>
        </w:rPr>
        <w:t xml:space="preserve">Não sou masculina, então eu não ando com nada na testa dizendo: “Eu sou lésbica”. Só que isso </w:t>
      </w:r>
      <w:r w:rsidRPr="00771368">
        <w:rPr>
          <w:b/>
          <w:szCs w:val="20"/>
        </w:rPr>
        <w:t>não</w:t>
      </w:r>
      <w:r w:rsidRPr="00771368">
        <w:rPr>
          <w:szCs w:val="20"/>
        </w:rPr>
        <w:t xml:space="preserve"> é porque eu tenha vergonha ou medo de assumir”.</w:t>
      </w:r>
      <w:r w:rsidRPr="00771368">
        <w:rPr>
          <w:rFonts w:eastAsia="Calibri"/>
        </w:rPr>
        <w:t xml:space="preserve"> Claramente, as duas mostram contradições em seus argumentos, pois afirmam </w:t>
      </w:r>
      <w:r w:rsidRPr="00771368">
        <w:rPr>
          <w:szCs w:val="20"/>
        </w:rPr>
        <w:t>que todos sabem (amigos, família, trabalho), mas se expõem apenas para o Grupo de Convivência Borboleta.</w:t>
      </w:r>
    </w:p>
    <w:p w:rsidR="00D24E61" w:rsidRPr="00771368" w:rsidRDefault="00D24E61" w:rsidP="005E55F3">
      <w:pPr>
        <w:autoSpaceDE w:val="0"/>
        <w:autoSpaceDN w:val="0"/>
        <w:adjustRightInd w:val="0"/>
        <w:spacing w:line="360" w:lineRule="auto"/>
        <w:ind w:firstLine="851"/>
        <w:jc w:val="both"/>
        <w:rPr>
          <w:rFonts w:eastAsia="Calibri"/>
          <w:lang w:eastAsia="en-US"/>
        </w:rPr>
      </w:pPr>
      <w:r w:rsidRPr="00771368">
        <w:rPr>
          <w:szCs w:val="20"/>
        </w:rPr>
        <w:t xml:space="preserve">A decisão de abrigar-se no Grupo por si só já é significativa para se entender que </w:t>
      </w:r>
      <w:r w:rsidRPr="00771368">
        <w:rPr>
          <w:rFonts w:eastAsia="Calibri"/>
          <w:lang w:eastAsia="en-US"/>
        </w:rPr>
        <w:t>as Borboletas evidenciam um incômodo que as obrigam, às vezes, a camuflar para a sociedade e até para seu grupo de sociabilidade (amigos mais próximos e familiares) sua identidade lesboafetiva, visando manter certa “normalidade” que seja aceitável em seu meio social. Entre as pesquisadas, só duas mulheres assumem publicamente sua identidade lesboafetiva. Veja-se o depoimento abaixo:</w:t>
      </w:r>
    </w:p>
    <w:p w:rsidR="00D24E61" w:rsidRPr="00771368" w:rsidRDefault="00D24E61" w:rsidP="005E55F3">
      <w:pPr>
        <w:autoSpaceDE w:val="0"/>
        <w:autoSpaceDN w:val="0"/>
        <w:adjustRightInd w:val="0"/>
        <w:spacing w:after="120" w:line="360" w:lineRule="auto"/>
        <w:ind w:left="2268"/>
        <w:jc w:val="both"/>
        <w:rPr>
          <w:rFonts w:eastAsia="Calibri"/>
          <w:sz w:val="20"/>
          <w:szCs w:val="20"/>
          <w:lang w:eastAsia="en-US"/>
        </w:rPr>
      </w:pPr>
      <w:r w:rsidRPr="00771368">
        <w:rPr>
          <w:sz w:val="20"/>
          <w:szCs w:val="20"/>
        </w:rPr>
        <w:t>Na minha família, inicialmente eu ouvia críticas, eles falavam da pessoa que ‘tava’ comigo. Depois que eu me formei e tomei uma posição do que eu queria, as críticas pararam, mas eles ainda não falam sobre minha sexualidade, é como se fosse um tabu pra eles. No meu grupo de amigos, as pessoas mais próximas sabem da minha orientação sexual, mas as pessoas mais afastadas não. Quando elas perguntam sobre, eu não tenho problema em falar abertamente disso (Lisbela, 27 anos).</w:t>
      </w:r>
    </w:p>
    <w:p w:rsidR="00D24E61" w:rsidRPr="00771368" w:rsidRDefault="00D24E61" w:rsidP="005E55F3">
      <w:pPr>
        <w:autoSpaceDE w:val="0"/>
        <w:autoSpaceDN w:val="0"/>
        <w:adjustRightInd w:val="0"/>
        <w:spacing w:line="360" w:lineRule="auto"/>
        <w:ind w:firstLine="851"/>
        <w:jc w:val="both"/>
        <w:rPr>
          <w:rFonts w:eastAsia="Calibri"/>
          <w:lang w:eastAsia="en-US"/>
        </w:rPr>
      </w:pPr>
      <w:r w:rsidRPr="00771368">
        <w:rPr>
          <w:rFonts w:eastAsia="Calibri"/>
          <w:lang w:eastAsia="en-US"/>
        </w:rPr>
        <w:t>É claro que as imposições sociais impedem que Lisbela e outras mulheres lésbicas de Caxias, do Maranhão e do Brasil vivam livremente sua orientação sexual. Observa-se o peso social expresso por Lisbela, quando se refere ao convívio familiar e de amizade, primeiro afirma que seus familiares invisibilizavam sua orientação sexual: “</w:t>
      </w:r>
      <w:r w:rsidRPr="00771368">
        <w:t>não falam sobre minha sexualidade, é como se fosse um tabu pra eles”. Em seguida, declara: “no meu grupo de amigos, as pessoas mais próximas sabem da minha orientação sexual, mas as pessoas mais afastadas não”</w:t>
      </w:r>
      <w:r w:rsidRPr="00771368">
        <w:rPr>
          <w:rFonts w:eastAsia="Calibri"/>
          <w:lang w:eastAsia="en-US"/>
        </w:rPr>
        <w:t xml:space="preserve">. </w:t>
      </w:r>
    </w:p>
    <w:p w:rsidR="00D24E61" w:rsidRPr="00771368" w:rsidRDefault="00D24E61" w:rsidP="005E55F3">
      <w:pPr>
        <w:autoSpaceDE w:val="0"/>
        <w:autoSpaceDN w:val="0"/>
        <w:adjustRightInd w:val="0"/>
        <w:spacing w:line="360" w:lineRule="auto"/>
        <w:ind w:firstLine="851"/>
        <w:jc w:val="both"/>
        <w:rPr>
          <w:szCs w:val="20"/>
        </w:rPr>
      </w:pPr>
      <w:r w:rsidRPr="00771368">
        <w:rPr>
          <w:szCs w:val="20"/>
        </w:rPr>
        <w:t xml:space="preserve">As falas possibilitam compreender que o medo de sofrer retaliações e preconceitos é um sentimento muito presente nas entrevistadas. </w:t>
      </w:r>
    </w:p>
    <w:p w:rsidR="00D24E61" w:rsidRPr="00771368" w:rsidRDefault="00D24E61" w:rsidP="005E55F3">
      <w:pPr>
        <w:autoSpaceDE w:val="0"/>
        <w:autoSpaceDN w:val="0"/>
        <w:adjustRightInd w:val="0"/>
        <w:spacing w:after="120" w:line="360" w:lineRule="auto"/>
        <w:ind w:left="2268"/>
        <w:jc w:val="both"/>
      </w:pPr>
      <w:r w:rsidRPr="00771368">
        <w:rPr>
          <w:sz w:val="20"/>
          <w:szCs w:val="20"/>
        </w:rPr>
        <w:t>Já passei por muitas situações, de início eu sofri inúmeros preconceitos, eu não andava cem metros e já estava ouvindo palavrões, em um tempo atrás, quando eu me assumi, a cidade era ainda muito atrasada, me chamavam de sapatão em locais públicos. Os pais xingavam e diziam pros filhos fazerem o mesmo, mas eles tinham vergonha de xingar e eram repreendidos pelos pais, eles incentivavam os filhos a ter preconceito na época, era um coisa chata porque eu não poderia revidar, eu sentia uma angústia muito grande, uma raiva (Gigi, 37 anos).</w:t>
      </w:r>
    </w:p>
    <w:p w:rsidR="00D24E61" w:rsidRPr="00771368" w:rsidRDefault="00D24E61" w:rsidP="005E55F3">
      <w:pPr>
        <w:autoSpaceDE w:val="0"/>
        <w:autoSpaceDN w:val="0"/>
        <w:adjustRightInd w:val="0"/>
        <w:spacing w:line="360" w:lineRule="auto"/>
        <w:ind w:firstLine="851"/>
        <w:jc w:val="both"/>
        <w:rPr>
          <w:szCs w:val="20"/>
        </w:rPr>
      </w:pPr>
      <w:r w:rsidRPr="00771368">
        <w:rPr>
          <w:rFonts w:eastAsia="Calibri"/>
        </w:rPr>
        <w:t>O preconceito e a discriminação (a violência, portanto), apontados no depoimento acima, de certo, refletem uma contradição: ao negar, a sociedade reafirma a existência de uma identidade sexual diversa do “padrão”. Assim, quando a sociedade se preocupa em agredir o diferente, é porque, de fato, este diferente já não pode ser mais negado. Ele existe! A expressão dessas mulheres a quem, historicamente, foi reservado o silêncio representa um direito à existência social, à cidadania, um anseio por direitos que se confirma a seguir:</w:t>
      </w:r>
    </w:p>
    <w:p w:rsidR="00D24E61" w:rsidRPr="00771368" w:rsidRDefault="00D24E61" w:rsidP="005E55F3">
      <w:pPr>
        <w:pStyle w:val="Default"/>
        <w:spacing w:after="120" w:line="360" w:lineRule="auto"/>
        <w:ind w:left="2268"/>
        <w:jc w:val="both"/>
        <w:rPr>
          <w:color w:val="auto"/>
          <w:sz w:val="20"/>
          <w:szCs w:val="20"/>
        </w:rPr>
      </w:pPr>
      <w:r w:rsidRPr="00771368">
        <w:rPr>
          <w:color w:val="auto"/>
          <w:sz w:val="20"/>
          <w:szCs w:val="20"/>
        </w:rPr>
        <w:t xml:space="preserve">Eu acho que o cidadão, independente de ser lésbica ou gay, nós temos direitos, pois nós somos iguais para mim”. “[...] todos têm direito à cidadania e eu quero exercer a minha, podendo casar, dar um sobrenome a minha companheira, quero poder morrer e deixar ela tranquila, pois se constrói e se trabalha junto. Se um dia papai do céu me levar eu quero deixar ela bem, que ela possa usufruir do INSS, que é de direito de todo cidadão que trabalha, porque, como qualquer um, eu pago meus impostos (Adriana Machado, 36 anos). </w:t>
      </w:r>
    </w:p>
    <w:p w:rsidR="00D24E61" w:rsidRPr="00771368" w:rsidRDefault="00D24E61" w:rsidP="005E55F3">
      <w:pPr>
        <w:autoSpaceDE w:val="0"/>
        <w:autoSpaceDN w:val="0"/>
        <w:adjustRightInd w:val="0"/>
        <w:spacing w:line="360" w:lineRule="auto"/>
        <w:ind w:firstLine="851"/>
        <w:jc w:val="both"/>
      </w:pPr>
      <w:r w:rsidRPr="00771368">
        <w:t xml:space="preserve">Dos obstáculos para o desenvolvimento e a aceitação social da identidade lesboafetiva, observou-se que a família tem um papel fundamental, como afirma Viviann (33 anos), ao se lembrar do relacionamento conflituoso com seu pai: </w:t>
      </w:r>
    </w:p>
    <w:p w:rsidR="00D24E61" w:rsidRPr="00771368" w:rsidRDefault="00D24E61" w:rsidP="005E55F3">
      <w:pPr>
        <w:autoSpaceDE w:val="0"/>
        <w:autoSpaceDN w:val="0"/>
        <w:adjustRightInd w:val="0"/>
        <w:spacing w:after="120" w:line="360" w:lineRule="auto"/>
        <w:ind w:left="2268"/>
        <w:jc w:val="both"/>
        <w:rPr>
          <w:sz w:val="20"/>
          <w:szCs w:val="20"/>
        </w:rPr>
      </w:pPr>
      <w:r w:rsidRPr="00771368">
        <w:rPr>
          <w:sz w:val="20"/>
          <w:szCs w:val="20"/>
        </w:rPr>
        <w:t>Meu pai faleceu há pouco tempo e ele faleceu sem me aceitar, poucos dias antes nós tivemos uma briga muito feia e, quando ele morreu, nós estávamos sem nos falar e foi muito difícil pra mim porque, apesar dele ser uma pessoa difícil, ele é meu pai e eu amo ele.</w:t>
      </w:r>
    </w:p>
    <w:p w:rsidR="00D24E61" w:rsidRPr="00771368" w:rsidRDefault="00D24E61" w:rsidP="005E55F3">
      <w:pPr>
        <w:autoSpaceDE w:val="0"/>
        <w:autoSpaceDN w:val="0"/>
        <w:adjustRightInd w:val="0"/>
        <w:spacing w:line="360" w:lineRule="auto"/>
        <w:ind w:firstLine="851"/>
        <w:jc w:val="both"/>
        <w:rPr>
          <w:rFonts w:eastAsia="Calibri"/>
        </w:rPr>
      </w:pPr>
      <w:r w:rsidRPr="00771368">
        <w:rPr>
          <w:rFonts w:eastAsia="Calibri"/>
        </w:rPr>
        <w:t>Como se pode observar, romper com o padrão de normalidade imposto é percorrer o rumo contrário da hegemonia da história, sobretudo quando os contadores dessa história</w:t>
      </w:r>
      <w:r w:rsidRPr="00771368">
        <w:rPr>
          <w:rStyle w:val="Refdenotaderodap"/>
          <w:rFonts w:eastAsia="Calibri"/>
        </w:rPr>
        <w:footnoteReference w:id="41"/>
      </w:r>
      <w:r w:rsidRPr="00771368">
        <w:rPr>
          <w:rFonts w:eastAsia="Calibri"/>
        </w:rPr>
        <w:t xml:space="preserve"> omitiram o legado deixado pela população feminina no percurso da história da humanidade, o que acaba favorecendo a preponderância da moral heteropatriarcal em nossa sociedade. Não é, porém, imutável esta situação. </w:t>
      </w:r>
      <w:r w:rsidRPr="00771368">
        <w:t xml:space="preserve">Conforme afirmado em discussão anterior, a concepção de identidade que se adota neste trabalho é compreendida como processo em constante transformação. A partir desse entendimento, destaca-se </w:t>
      </w:r>
      <w:r w:rsidRPr="00771368">
        <w:rPr>
          <w:rFonts w:eastAsia="Calibri"/>
        </w:rPr>
        <w:t>nossa terceira categoria de análise:</w:t>
      </w:r>
    </w:p>
    <w:p w:rsidR="00D24E61" w:rsidRPr="00771368" w:rsidRDefault="00D24E61" w:rsidP="005E55F3">
      <w:pPr>
        <w:autoSpaceDE w:val="0"/>
        <w:autoSpaceDN w:val="0"/>
        <w:adjustRightInd w:val="0"/>
        <w:spacing w:line="360" w:lineRule="auto"/>
        <w:ind w:firstLine="851"/>
        <w:jc w:val="both"/>
        <w:rPr>
          <w:rFonts w:eastAsia="Calibri"/>
        </w:rPr>
      </w:pPr>
      <w:r w:rsidRPr="00771368">
        <w:rPr>
          <w:rFonts w:eastAsia="Calibri"/>
          <w:b/>
        </w:rPr>
        <w:t>Metamorfose Identitária</w:t>
      </w:r>
      <w:r w:rsidRPr="00771368">
        <w:rPr>
          <w:rFonts w:eastAsia="Calibri"/>
        </w:rPr>
        <w:t xml:space="preserve"> que se constitui como necessária para compreendermos as mutações que incidem na vida do sujeito. Neste caso, a mulher lésbica. </w:t>
      </w:r>
    </w:p>
    <w:p w:rsidR="00D24E61" w:rsidRPr="00771368" w:rsidRDefault="00D24E61" w:rsidP="005E55F3">
      <w:pPr>
        <w:autoSpaceDE w:val="0"/>
        <w:autoSpaceDN w:val="0"/>
        <w:adjustRightInd w:val="0"/>
        <w:spacing w:after="120" w:line="360" w:lineRule="auto"/>
        <w:ind w:left="2268"/>
        <w:jc w:val="both"/>
        <w:rPr>
          <w:sz w:val="20"/>
          <w:szCs w:val="20"/>
        </w:rPr>
      </w:pPr>
      <w:r w:rsidRPr="00771368">
        <w:rPr>
          <w:rFonts w:eastAsia="Calibri"/>
          <w:sz w:val="20"/>
          <w:szCs w:val="20"/>
        </w:rPr>
        <w:t>M</w:t>
      </w:r>
      <w:r w:rsidRPr="00771368">
        <w:rPr>
          <w:sz w:val="20"/>
          <w:szCs w:val="20"/>
        </w:rPr>
        <w:t xml:space="preserve">inha história é muito </w:t>
      </w:r>
      <w:r w:rsidRPr="00771368">
        <w:rPr>
          <w:b/>
          <w:sz w:val="20"/>
          <w:szCs w:val="20"/>
        </w:rPr>
        <w:t>simples</w:t>
      </w:r>
      <w:r w:rsidRPr="00771368">
        <w:rPr>
          <w:sz w:val="20"/>
          <w:szCs w:val="20"/>
        </w:rPr>
        <w:t xml:space="preserve">, tenho 37 anos, conheci esse meu lado, me descobri aos 21 anos, foi muito difícil no começo, como tudo na vida da gente, no início, é muito </w:t>
      </w:r>
      <w:r w:rsidRPr="00771368">
        <w:rPr>
          <w:b/>
          <w:sz w:val="20"/>
          <w:szCs w:val="20"/>
        </w:rPr>
        <w:t>complicado</w:t>
      </w:r>
      <w:r w:rsidRPr="00771368">
        <w:rPr>
          <w:sz w:val="20"/>
          <w:szCs w:val="20"/>
        </w:rPr>
        <w:t xml:space="preserve">, tive problemas com a família, o maior ponto positivo foi quando </w:t>
      </w:r>
      <w:r w:rsidRPr="00771368">
        <w:rPr>
          <w:b/>
          <w:sz w:val="20"/>
          <w:szCs w:val="20"/>
        </w:rPr>
        <w:t>eu me assumi e me aceitei</w:t>
      </w:r>
      <w:r w:rsidRPr="00771368">
        <w:rPr>
          <w:sz w:val="20"/>
          <w:szCs w:val="20"/>
        </w:rPr>
        <w:t xml:space="preserve"> (Gigi, 37 anos). </w:t>
      </w:r>
    </w:p>
    <w:p w:rsidR="00D24E61" w:rsidRPr="00771368" w:rsidRDefault="00D24E61" w:rsidP="005E55F3">
      <w:pPr>
        <w:autoSpaceDE w:val="0"/>
        <w:autoSpaceDN w:val="0"/>
        <w:adjustRightInd w:val="0"/>
        <w:spacing w:line="360" w:lineRule="auto"/>
        <w:ind w:firstLine="851"/>
        <w:jc w:val="both"/>
      </w:pPr>
      <w:r w:rsidRPr="00771368">
        <w:t xml:space="preserve">Diferentemente de outros depoimentos, percebe-se com Gigi a síntese de um processo de aceitação de sua identidade lesboafetiva, quando expressa que o fato mais significativo foi ela própria ter assumido e aceitado. É também o que se infere da fala de Adriana Machado: </w:t>
      </w:r>
    </w:p>
    <w:p w:rsidR="00D24E61" w:rsidRPr="00771368" w:rsidRDefault="00D24E61" w:rsidP="005E55F3">
      <w:pPr>
        <w:autoSpaceDE w:val="0"/>
        <w:autoSpaceDN w:val="0"/>
        <w:adjustRightInd w:val="0"/>
        <w:spacing w:after="120" w:line="360" w:lineRule="auto"/>
        <w:ind w:left="2268"/>
        <w:jc w:val="both"/>
        <w:rPr>
          <w:sz w:val="20"/>
          <w:szCs w:val="20"/>
        </w:rPr>
      </w:pPr>
      <w:r w:rsidRPr="00771368">
        <w:rPr>
          <w:sz w:val="20"/>
          <w:szCs w:val="20"/>
        </w:rPr>
        <w:t>Eu tinha 28 anos, quando decidi me assumir de fato, voltei de Imperatriz, daí eu tive que abrir pra minha mãe que aquilo que ela achava que não ia acontecer tinha se tornado realidade. Quando cheguei onde minha mãe, ela brigou e disse: ‘O que vão dizer?’, aí eu conversei com ela, eu nunca tinha conversado de fato (Adriana Machado, 36 anos).</w:t>
      </w:r>
    </w:p>
    <w:p w:rsidR="00D24E61" w:rsidRPr="00771368" w:rsidRDefault="00D24E61" w:rsidP="005E55F3">
      <w:pPr>
        <w:pStyle w:val="Default"/>
        <w:spacing w:line="360" w:lineRule="auto"/>
        <w:ind w:firstLine="851"/>
        <w:jc w:val="both"/>
        <w:rPr>
          <w:color w:val="auto"/>
          <w:szCs w:val="20"/>
        </w:rPr>
      </w:pPr>
      <w:r w:rsidRPr="00771368">
        <w:rPr>
          <w:color w:val="auto"/>
          <w:szCs w:val="20"/>
        </w:rPr>
        <w:t xml:space="preserve">É possível inferir que as Borboletas supracitadas comungam da importância de assumirem sua identidade, principalmente diante da família, fato esse que fortalece a tomada de decisões. </w:t>
      </w:r>
    </w:p>
    <w:p w:rsidR="00D24E61" w:rsidRPr="00771368" w:rsidRDefault="00D24E61" w:rsidP="005E55F3">
      <w:pPr>
        <w:pStyle w:val="Default"/>
        <w:spacing w:after="120" w:line="360" w:lineRule="auto"/>
        <w:ind w:left="2268"/>
        <w:jc w:val="both"/>
        <w:rPr>
          <w:color w:val="auto"/>
          <w:sz w:val="20"/>
          <w:szCs w:val="20"/>
        </w:rPr>
      </w:pPr>
      <w:r w:rsidRPr="00771368">
        <w:rPr>
          <w:color w:val="auto"/>
          <w:sz w:val="20"/>
          <w:szCs w:val="20"/>
        </w:rPr>
        <w:t xml:space="preserve">Eu acho que ser lésbica não é algo tão simples de ser porque algumas pessoas tentam interferir na orientação sexual dos outros, eu quero ser eu mesma, quero ser cidadã até porque pago os meus impostos, porque eu sou uma pessoa normal igual a todo mundo, eu tenho meus sonhos e quero constituir uma família séria, quero ser respeitada pelo meu trabalho e pela pessoa que eu sou, independente da minha orientação sexual (Adriana Machado, 36 anos). </w:t>
      </w:r>
    </w:p>
    <w:p w:rsidR="00D24E61" w:rsidRPr="00771368" w:rsidRDefault="00D24E61" w:rsidP="005E55F3">
      <w:pPr>
        <w:pStyle w:val="Default"/>
        <w:spacing w:line="360" w:lineRule="auto"/>
        <w:ind w:firstLine="708"/>
        <w:jc w:val="both"/>
        <w:rPr>
          <w:color w:val="auto"/>
          <w:szCs w:val="20"/>
        </w:rPr>
      </w:pPr>
      <w:r w:rsidRPr="00771368">
        <w:rPr>
          <w:color w:val="auto"/>
          <w:szCs w:val="23"/>
        </w:rPr>
        <w:t xml:space="preserve">Adriana é incisiva em afirmar seus direitos e a assumir sua identidade lesboafetiva. Infere-se de sua fala, porém, o padrão de normalidade e da igualdade: </w:t>
      </w:r>
      <w:r w:rsidRPr="00771368">
        <w:rPr>
          <w:color w:val="auto"/>
          <w:szCs w:val="20"/>
        </w:rPr>
        <w:t>“eu sou uma pessoa normal, igual a todo mundo”. Seria uma referência ainda aos padrões da cultura heteropatriarcal? Como o faz de</w:t>
      </w:r>
      <w:r w:rsidRPr="00771368">
        <w:rPr>
          <w:color w:val="auto"/>
          <w:szCs w:val="23"/>
        </w:rPr>
        <w:t xml:space="preserve"> Elizabeth (21 anos), </w:t>
      </w:r>
      <w:r w:rsidRPr="00771368">
        <w:rPr>
          <w:color w:val="auto"/>
          <w:szCs w:val="20"/>
        </w:rPr>
        <w:t xml:space="preserve">quando diz que “você quer casar, quer deixar sua esposa numa situação financeira estável, poder abrir uma conta conjunta, pensão, adoção e até inseminação, com reprodução assistida”. A expressão desse pensamento é simplesmente uma coincidência? ou o desejo de casar, ser esposa, ter filhos faz parte da natureza da mulher? Ou é uma forma de reproduzir o modelo que elas próprias estão tentando superar? </w:t>
      </w:r>
    </w:p>
    <w:p w:rsidR="00D24E61" w:rsidRPr="00771368" w:rsidRDefault="00D24E61" w:rsidP="005E55F3">
      <w:pPr>
        <w:pStyle w:val="Default"/>
        <w:spacing w:line="360" w:lineRule="auto"/>
        <w:ind w:firstLine="851"/>
        <w:jc w:val="both"/>
        <w:rPr>
          <w:color w:val="auto"/>
          <w:szCs w:val="20"/>
        </w:rPr>
      </w:pPr>
      <w:r w:rsidRPr="00771368">
        <w:rPr>
          <w:color w:val="auto"/>
          <w:szCs w:val="20"/>
        </w:rPr>
        <w:t>Ainda, em relação à metamorfose,</w:t>
      </w:r>
    </w:p>
    <w:p w:rsidR="00D24E61" w:rsidRPr="00771368" w:rsidRDefault="00D24E61" w:rsidP="005E55F3">
      <w:pPr>
        <w:pStyle w:val="Default"/>
        <w:spacing w:after="120" w:line="360" w:lineRule="auto"/>
        <w:ind w:left="2268"/>
        <w:jc w:val="both"/>
        <w:rPr>
          <w:color w:val="auto"/>
          <w:sz w:val="20"/>
          <w:szCs w:val="20"/>
        </w:rPr>
      </w:pPr>
      <w:r w:rsidRPr="00771368">
        <w:rPr>
          <w:color w:val="auto"/>
          <w:sz w:val="20"/>
          <w:szCs w:val="20"/>
        </w:rPr>
        <w:t>Eu não me acho diferente por ser lésbica, eu gosto de sair, de namorar, só que eu gosto de namorar outra mulher. Eu acho que ainda é muito difícil, porque as pessoas não conseguem aceitar o que a gente é, mas não importa, ninguém tem que aceitar ninguém, tem somente que respeitar (Viviann Sampaio, 33anos).</w:t>
      </w:r>
    </w:p>
    <w:p w:rsidR="00D24E61" w:rsidRDefault="00D24E61" w:rsidP="005E55F3">
      <w:pPr>
        <w:autoSpaceDE w:val="0"/>
        <w:autoSpaceDN w:val="0"/>
        <w:adjustRightInd w:val="0"/>
        <w:spacing w:after="240" w:line="360" w:lineRule="auto"/>
        <w:ind w:firstLine="851"/>
        <w:jc w:val="both"/>
      </w:pPr>
      <w:r w:rsidRPr="00771368">
        <w:t xml:space="preserve">É importante destacar que o Grupo de Convivência Borboleta, de acordo com os depoimentos, constitui-se em lócus de fortalecimento da identidade lesboafetiva das borboletas participantes do grupo, pois, como já foi explicitado, o Grupo com a parceria da SMM e outras instituições, tem mostrado a preocupação em promover a formação das mulheres lésbicas pertencentes a esse Grupo. Além da formação, presta serviços como: aconselhamentos psicossociais e jurídicos, bem como acompanhamento legal e gratuito, em casos de discriminação. </w:t>
      </w:r>
      <w:bookmarkStart w:id="38" w:name="_Toc352403059"/>
    </w:p>
    <w:p w:rsidR="00B12613" w:rsidRPr="00771368" w:rsidRDefault="00B12613" w:rsidP="005E55F3">
      <w:pPr>
        <w:autoSpaceDE w:val="0"/>
        <w:autoSpaceDN w:val="0"/>
        <w:adjustRightInd w:val="0"/>
        <w:spacing w:after="240" w:line="360" w:lineRule="auto"/>
        <w:ind w:firstLine="851"/>
        <w:jc w:val="both"/>
      </w:pPr>
    </w:p>
    <w:p w:rsidR="00D24E61" w:rsidRDefault="00D24E61" w:rsidP="005E55F3">
      <w:pPr>
        <w:spacing w:line="360" w:lineRule="auto"/>
        <w:jc w:val="both"/>
        <w:rPr>
          <w:b/>
        </w:rPr>
      </w:pPr>
      <w:r w:rsidRPr="005E55F3">
        <w:rPr>
          <w:b/>
        </w:rPr>
        <w:t>CONSIDERAÇÕES FINAIS</w:t>
      </w:r>
      <w:bookmarkEnd w:id="38"/>
    </w:p>
    <w:p w:rsidR="00B12613" w:rsidRPr="005E55F3" w:rsidRDefault="00B12613" w:rsidP="005E55F3">
      <w:pPr>
        <w:spacing w:line="360" w:lineRule="auto"/>
        <w:jc w:val="both"/>
        <w:rPr>
          <w:b/>
        </w:rPr>
      </w:pPr>
    </w:p>
    <w:p w:rsidR="00D24E61" w:rsidRPr="00771368" w:rsidRDefault="00D24E61" w:rsidP="005E55F3">
      <w:pPr>
        <w:spacing w:line="360" w:lineRule="auto"/>
        <w:ind w:firstLine="851"/>
        <w:jc w:val="both"/>
        <w:rPr>
          <w:bCs/>
        </w:rPr>
      </w:pPr>
      <w:r w:rsidRPr="00771368">
        <w:rPr>
          <w:bCs/>
        </w:rPr>
        <w:t>Historicamente, percebe-se que as mulheres</w:t>
      </w:r>
      <w:r w:rsidRPr="00771368">
        <w:rPr>
          <w:shd w:val="clear" w:color="auto" w:fill="FFFFFF"/>
        </w:rPr>
        <w:t xml:space="preserve"> lésbicas sofreram duplamente com a discriminação, por ser mulher e por ser lésbica. Todavia,</w:t>
      </w:r>
      <w:r w:rsidRPr="00771368">
        <w:rPr>
          <w:bCs/>
        </w:rPr>
        <w:t xml:space="preserve"> os movimentos organizados de gays e lésbicas do século XX primaram pela conquista de visibilidade, uma bandeira de luta erguida por esses grupos. Nesse sentido, o lesbianismo foi empregado para identificar pessoas e grupos que defendem uma identidade que se caracteriza pelo relacionamento de uma mulher com outra mulher e não para descrever atos contra a moral estabelecida.  Nesse contexto, o assunto que, antes era invisibilizado e proibido por séculos, ganha a esfera pública e as lésbicas são reconhecidas enquanto sujeitos sociais e políticos. </w:t>
      </w:r>
    </w:p>
    <w:p w:rsidR="00D24E61" w:rsidRPr="00771368" w:rsidRDefault="00D24E61" w:rsidP="005E55F3">
      <w:pPr>
        <w:shd w:val="clear" w:color="auto" w:fill="FFFFFF"/>
        <w:spacing w:line="360" w:lineRule="auto"/>
        <w:ind w:firstLine="851"/>
        <w:jc w:val="both"/>
      </w:pPr>
      <w:r w:rsidRPr="00771368">
        <w:rPr>
          <w:bCs/>
        </w:rPr>
        <w:t>No Brasil, a sociedade herdou ranços de uma cultura hetero</w:t>
      </w:r>
      <w:r w:rsidRPr="00771368">
        <w:rPr>
          <w:shd w:val="clear" w:color="auto" w:fill="FFFFFF"/>
        </w:rPr>
        <w:t>patriarcalista embasada em valores de desigualdade, preconceito, racismo, lesbofobia, entre outras discriminações</w:t>
      </w:r>
      <w:r w:rsidRPr="00771368">
        <w:rPr>
          <w:rStyle w:val="apple-converted-space"/>
          <w:shd w:val="clear" w:color="auto" w:fill="FFFFFF"/>
        </w:rPr>
        <w:t xml:space="preserve"> que desvalorizam a mulher, em detrimento da valorização exacerbada do homem. Considerando este cenário, </w:t>
      </w:r>
      <w:r w:rsidRPr="00771368">
        <w:rPr>
          <w:bCs/>
        </w:rPr>
        <w:t>ter a coragem de assumir-se lésbica é um ato político que, dentre outros aspectos, visa contestar o “destino natural” reservado às mulheres: ser esposa, ser procriadora, ser do espaço doméstico e, acima de tudo, zelar pelo bem estar do homem. Esse novo sujeito “a mulher lésbica” objetiva vivenciar uma cultura lésbica, na qual amar e manter relações afetivas sexuais com outra mulher seja encarado na sua normalidade, assim expressa Adriana Machado (36 anos),</w:t>
      </w:r>
      <w:r w:rsidRPr="00771368">
        <w:rPr>
          <w:b/>
          <w:sz w:val="20"/>
          <w:szCs w:val="20"/>
        </w:rPr>
        <w:t xml:space="preserve"> </w:t>
      </w:r>
      <w:r w:rsidRPr="00771368">
        <w:rPr>
          <w:b/>
        </w:rPr>
        <w:t>“</w:t>
      </w:r>
      <w:r w:rsidRPr="00771368">
        <w:t xml:space="preserve">todos tem direito à cidadania e eu quero exercer a minha, podendo casar, dar um sobrenome a minha companheira, quero poder morrer e deixar ela tranquila, pois se constrói e se trabalha junto”. </w:t>
      </w:r>
    </w:p>
    <w:p w:rsidR="00D24E61" w:rsidRPr="00771368" w:rsidRDefault="00D24E61" w:rsidP="005E55F3">
      <w:pPr>
        <w:shd w:val="clear" w:color="auto" w:fill="FFFFFF"/>
        <w:spacing w:line="360" w:lineRule="auto"/>
        <w:ind w:firstLine="851"/>
        <w:jc w:val="both"/>
        <w:rPr>
          <w:shd w:val="clear" w:color="auto" w:fill="FFFFFF"/>
        </w:rPr>
      </w:pPr>
      <w:r w:rsidRPr="00771368">
        <w:t>Na atualidade, é notório que avanços sociais e jurídicos foram conquistados, mas, i</w:t>
      </w:r>
      <w:r w:rsidRPr="00771368">
        <w:rPr>
          <w:shd w:val="clear" w:color="auto" w:fill="FFFFFF"/>
        </w:rPr>
        <w:t>nfelizmente, a criação de leis não foram suficientes para transformar a mentalidade das pessoas que ainda acham que os grupos LGBT’s devem ser eliminados da vida social. Registra-se que, na contramão do preconceito, esses grupos estão conquistando espaço e apresentando suas demandas para a formulação de políticas públicas para essas minorias.</w:t>
      </w:r>
    </w:p>
    <w:p w:rsidR="00D24E61" w:rsidRPr="00771368" w:rsidRDefault="00D24E61" w:rsidP="005E55F3">
      <w:pPr>
        <w:shd w:val="clear" w:color="auto" w:fill="FFFFFF"/>
        <w:spacing w:line="360" w:lineRule="auto"/>
        <w:ind w:firstLine="851"/>
        <w:jc w:val="both"/>
      </w:pPr>
      <w:r w:rsidRPr="00771368">
        <w:t>Acrescenta-se ainda que, embora o Grupo de Convivência Borboleta tenha priorizado trabalhar exclusivamente com mulheres lésbicas, existe a necessidade de ampliar esse universo com os outros sujeitos, inclusive os homens, tendo em vista que, entre discursos e práticas, esses sujeitos sociais tecem vivências e reflexões que projetam uma ruptura com as bases da sociedade machista, patriarcal e androcêntrica, e, também, contraditoriamente, percebem-se enredadas pelos limites desta realidade desigual.</w:t>
      </w:r>
    </w:p>
    <w:p w:rsidR="00D24E61" w:rsidRPr="00771368" w:rsidRDefault="00D24E61" w:rsidP="005E55F3">
      <w:pPr>
        <w:shd w:val="clear" w:color="auto" w:fill="FFFFFF"/>
        <w:spacing w:after="480" w:line="360" w:lineRule="auto"/>
        <w:ind w:firstLine="851"/>
        <w:jc w:val="both"/>
      </w:pPr>
      <w:r w:rsidRPr="00771368">
        <w:t xml:space="preserve">E, nesse contexto, identifica-se que o discurso das Borboletas está permeado pelas contradições, pelo sentimento de desaprovação e medo que geram dificuldades para assumirem, publicamente, sua orientação sexual, seus desejos, seus direitos e sua cidadania, mas também se percebe o amadurecimento político que as direciona para, não apenas aceitarem-se como lésbicas, mas a perceberem que suas identidades lesboafetivas são cidadãs, acima de tudo e representam uma conquista e uma construção social, tanto quanto outras que foram legitimadas ao longo da história. </w:t>
      </w:r>
    </w:p>
    <w:p w:rsidR="00D24E61" w:rsidRPr="00B12613" w:rsidRDefault="00D24E61" w:rsidP="007B04EA">
      <w:pPr>
        <w:rPr>
          <w:b/>
          <w:sz w:val="24"/>
          <w:szCs w:val="24"/>
        </w:rPr>
      </w:pPr>
      <w:bookmarkStart w:id="39" w:name="_Toc352403060"/>
      <w:r w:rsidRPr="00B12613">
        <w:rPr>
          <w:b/>
          <w:sz w:val="24"/>
          <w:szCs w:val="24"/>
        </w:rPr>
        <w:t>REFERÊNCIAS</w:t>
      </w:r>
      <w:bookmarkEnd w:id="39"/>
    </w:p>
    <w:p w:rsidR="00D24E61" w:rsidRPr="00B12613" w:rsidRDefault="00D24E61" w:rsidP="00D24E61">
      <w:pPr>
        <w:pStyle w:val="Standard"/>
        <w:spacing w:after="360" w:line="240" w:lineRule="auto"/>
        <w:jc w:val="both"/>
        <w:rPr>
          <w:rFonts w:ascii="Times New Roman" w:hAnsi="Times New Roman" w:cs="Times New Roman"/>
          <w:sz w:val="24"/>
          <w:szCs w:val="24"/>
        </w:rPr>
      </w:pPr>
      <w:r w:rsidRPr="00B12613">
        <w:rPr>
          <w:rFonts w:ascii="Times New Roman" w:hAnsi="Times New Roman" w:cs="Times New Roman"/>
          <w:sz w:val="24"/>
          <w:szCs w:val="24"/>
        </w:rPr>
        <w:t xml:space="preserve">ANDRADE. Josefa M. e S. B. </w:t>
      </w:r>
      <w:r w:rsidRPr="00B12613">
        <w:rPr>
          <w:rFonts w:ascii="Times New Roman" w:hAnsi="Times New Roman" w:cs="Times New Roman"/>
          <w:b/>
          <w:sz w:val="24"/>
          <w:szCs w:val="24"/>
        </w:rPr>
        <w:t>As narrativas</w:t>
      </w:r>
      <w:r w:rsidRPr="00B12613">
        <w:rPr>
          <w:rFonts w:ascii="Times New Roman" w:hAnsi="Times New Roman" w:cs="Times New Roman"/>
          <w:sz w:val="24"/>
          <w:szCs w:val="24"/>
        </w:rPr>
        <w:t xml:space="preserve"> </w:t>
      </w:r>
      <w:r w:rsidRPr="00B12613">
        <w:rPr>
          <w:rFonts w:ascii="Times New Roman" w:hAnsi="Times New Roman" w:cs="Times New Roman"/>
          <w:b/>
          <w:sz w:val="24"/>
          <w:szCs w:val="24"/>
        </w:rPr>
        <w:t xml:space="preserve">da Athenas brasileira: </w:t>
      </w:r>
      <w:r w:rsidRPr="00B12613">
        <w:rPr>
          <w:rFonts w:ascii="Times New Roman" w:hAnsi="Times New Roman" w:cs="Times New Roman"/>
          <w:sz w:val="24"/>
          <w:szCs w:val="24"/>
        </w:rPr>
        <w:t xml:space="preserve">Modos de dizer e modos de ser no jornalismo maranhense. Dissertação apresentada ao Programa de Pós-Graduação em Comunicação da Universidade Federal Fluminense, como requisito para obtenção do título de mestre em Comunicação. Niterói, 2010. </w:t>
      </w:r>
    </w:p>
    <w:p w:rsidR="00D24E61" w:rsidRPr="00B12613" w:rsidRDefault="00D24E61" w:rsidP="00D24E61">
      <w:pPr>
        <w:spacing w:after="360"/>
        <w:rPr>
          <w:sz w:val="24"/>
          <w:szCs w:val="24"/>
        </w:rPr>
      </w:pPr>
      <w:r w:rsidRPr="00B12613">
        <w:rPr>
          <w:sz w:val="24"/>
          <w:szCs w:val="24"/>
        </w:rPr>
        <w:t xml:space="preserve">BARDIN, Laurence. </w:t>
      </w:r>
      <w:r w:rsidRPr="00B12613">
        <w:rPr>
          <w:b/>
          <w:sz w:val="24"/>
          <w:szCs w:val="24"/>
        </w:rPr>
        <w:t>Análise do conteúdo</w:t>
      </w:r>
      <w:r w:rsidRPr="00B12613">
        <w:rPr>
          <w:sz w:val="24"/>
          <w:szCs w:val="24"/>
        </w:rPr>
        <w:t>. Lisboa – Portugal: LDR – Edições 70, 2009.</w:t>
      </w:r>
    </w:p>
    <w:p w:rsidR="00D24E61" w:rsidRPr="00B12613" w:rsidRDefault="00D24E61" w:rsidP="00D24E61">
      <w:pPr>
        <w:spacing w:after="360"/>
        <w:rPr>
          <w:b/>
          <w:sz w:val="24"/>
          <w:szCs w:val="24"/>
        </w:rPr>
      </w:pPr>
      <w:r w:rsidRPr="00B12613">
        <w:rPr>
          <w:sz w:val="24"/>
          <w:szCs w:val="24"/>
        </w:rPr>
        <w:t xml:space="preserve">BOURDIEU, Pierre. </w:t>
      </w:r>
      <w:r w:rsidRPr="00B12613">
        <w:rPr>
          <w:b/>
          <w:bCs/>
          <w:sz w:val="24"/>
          <w:szCs w:val="24"/>
        </w:rPr>
        <w:t>A dominação masculina</w:t>
      </w:r>
      <w:r w:rsidRPr="00B12613">
        <w:rPr>
          <w:sz w:val="24"/>
          <w:szCs w:val="24"/>
        </w:rPr>
        <w:t>. 5. ed. Rio de Janeiro: Bertrand Brasil, 2007.</w:t>
      </w:r>
    </w:p>
    <w:p w:rsidR="00D24E61" w:rsidRPr="00B12613" w:rsidRDefault="00D24E61" w:rsidP="00D24E61">
      <w:pPr>
        <w:spacing w:after="360"/>
        <w:rPr>
          <w:sz w:val="24"/>
          <w:szCs w:val="24"/>
        </w:rPr>
      </w:pPr>
      <w:r w:rsidRPr="00B12613">
        <w:rPr>
          <w:sz w:val="24"/>
          <w:szCs w:val="24"/>
        </w:rPr>
        <w:t>BRASIL. Presidência da República. Secretaria de Políticas para as Mulheres.</w:t>
      </w:r>
      <w:r w:rsidRPr="00B12613">
        <w:rPr>
          <w:b/>
          <w:sz w:val="24"/>
          <w:szCs w:val="24"/>
        </w:rPr>
        <w:t xml:space="preserve"> Tempos e Memórias do Feminismo no Brasil.</w:t>
      </w:r>
      <w:r w:rsidRPr="00B12613">
        <w:rPr>
          <w:sz w:val="24"/>
          <w:szCs w:val="24"/>
        </w:rPr>
        <w:t xml:space="preserve"> Brasília: SPM, 2010. 68 p.</w:t>
      </w:r>
    </w:p>
    <w:p w:rsidR="00D24E61" w:rsidRPr="00B12613" w:rsidRDefault="00D24E61" w:rsidP="00D24E61">
      <w:pPr>
        <w:spacing w:after="360"/>
        <w:rPr>
          <w:sz w:val="24"/>
          <w:szCs w:val="24"/>
        </w:rPr>
      </w:pPr>
      <w:r w:rsidRPr="00B12613">
        <w:rPr>
          <w:sz w:val="24"/>
          <w:szCs w:val="24"/>
        </w:rPr>
        <w:t xml:space="preserve">DEL PRIORE, Mary. </w:t>
      </w:r>
      <w:r w:rsidRPr="00B12613">
        <w:rPr>
          <w:b/>
          <w:sz w:val="24"/>
          <w:szCs w:val="24"/>
        </w:rPr>
        <w:t>Histórias</w:t>
      </w:r>
      <w:r w:rsidRPr="00B12613">
        <w:rPr>
          <w:sz w:val="24"/>
          <w:szCs w:val="24"/>
        </w:rPr>
        <w:t xml:space="preserve"> </w:t>
      </w:r>
      <w:r w:rsidRPr="00B12613">
        <w:rPr>
          <w:b/>
          <w:sz w:val="24"/>
          <w:szCs w:val="24"/>
        </w:rPr>
        <w:t>Íntimas: Sexualidade Erotismo na História do Brasil</w:t>
      </w:r>
      <w:r w:rsidRPr="00B12613">
        <w:rPr>
          <w:sz w:val="24"/>
          <w:szCs w:val="24"/>
        </w:rPr>
        <w:t>. São Paulo: Planetas do Brasil, 2011.</w:t>
      </w:r>
    </w:p>
    <w:p w:rsidR="00D24E61" w:rsidRPr="00B12613" w:rsidRDefault="00D24E61" w:rsidP="00D24E61">
      <w:pPr>
        <w:spacing w:after="360"/>
        <w:rPr>
          <w:sz w:val="24"/>
          <w:szCs w:val="24"/>
        </w:rPr>
      </w:pPr>
      <w:r w:rsidRPr="00B12613">
        <w:rPr>
          <w:sz w:val="24"/>
          <w:szCs w:val="24"/>
        </w:rPr>
        <w:t xml:space="preserve">FERREIRA, Mary. </w:t>
      </w:r>
      <w:r w:rsidRPr="00B12613">
        <w:rPr>
          <w:b/>
          <w:sz w:val="24"/>
          <w:szCs w:val="24"/>
          <w:shd w:val="clear" w:color="auto" w:fill="FFFFFF"/>
        </w:rPr>
        <w:t>As Caetanas vão a Luta</w:t>
      </w:r>
      <w:r w:rsidRPr="00B12613">
        <w:rPr>
          <w:sz w:val="24"/>
          <w:szCs w:val="24"/>
          <w:shd w:val="clear" w:color="auto" w:fill="FFFFFF"/>
        </w:rPr>
        <w:t>: Feminismo e Políticas Públicas no Maranhão. Grupo de Mulheres da Ilha. São Luis: EDUFMA, 2007.</w:t>
      </w:r>
    </w:p>
    <w:p w:rsidR="00D24E61" w:rsidRPr="00B12613" w:rsidRDefault="00D24E61" w:rsidP="00D24E61">
      <w:pPr>
        <w:spacing w:after="360"/>
        <w:rPr>
          <w:sz w:val="24"/>
          <w:szCs w:val="24"/>
        </w:rPr>
      </w:pPr>
      <w:r w:rsidRPr="00B12613">
        <w:rPr>
          <w:sz w:val="24"/>
          <w:szCs w:val="24"/>
        </w:rPr>
        <w:t xml:space="preserve">FOUCAULT, Michael.  </w:t>
      </w:r>
      <w:r w:rsidRPr="00B12613">
        <w:rPr>
          <w:b/>
          <w:sz w:val="24"/>
          <w:szCs w:val="24"/>
        </w:rPr>
        <w:t>A História da Sexualidade I</w:t>
      </w:r>
      <w:r w:rsidRPr="00B12613">
        <w:rPr>
          <w:sz w:val="24"/>
          <w:szCs w:val="24"/>
        </w:rPr>
        <w:t>:</w:t>
      </w:r>
      <w:r w:rsidRPr="00B12613">
        <w:rPr>
          <w:b/>
          <w:sz w:val="24"/>
          <w:szCs w:val="24"/>
        </w:rPr>
        <w:t xml:space="preserve"> </w:t>
      </w:r>
      <w:r w:rsidRPr="00B12613">
        <w:rPr>
          <w:sz w:val="24"/>
          <w:szCs w:val="24"/>
        </w:rPr>
        <w:t>A vontade do saber. Tradução de Maria Thereza da Costa Albuquerque. Rio de Janeiro: Edições Graal, 1988.</w:t>
      </w:r>
    </w:p>
    <w:p w:rsidR="00D24E61" w:rsidRPr="00B12613" w:rsidRDefault="00D24E61" w:rsidP="00D24E61">
      <w:pPr>
        <w:spacing w:after="360"/>
        <w:rPr>
          <w:sz w:val="24"/>
          <w:szCs w:val="24"/>
        </w:rPr>
      </w:pPr>
      <w:r w:rsidRPr="00B12613">
        <w:rPr>
          <w:sz w:val="24"/>
          <w:szCs w:val="24"/>
        </w:rPr>
        <w:t>FOUCAULT, Michael</w:t>
      </w:r>
      <w:r w:rsidRPr="00B12613">
        <w:rPr>
          <w:b/>
          <w:sz w:val="24"/>
          <w:szCs w:val="24"/>
        </w:rPr>
        <w:t>. Microfísica do pode</w:t>
      </w:r>
      <w:r w:rsidRPr="00B12613">
        <w:rPr>
          <w:sz w:val="24"/>
          <w:szCs w:val="24"/>
        </w:rPr>
        <w:t>r. Rio de Janeiro (RJ): Graal; 1998.</w:t>
      </w:r>
    </w:p>
    <w:p w:rsidR="00D24E61" w:rsidRPr="00B12613" w:rsidRDefault="00D24E61" w:rsidP="00D24E61">
      <w:pPr>
        <w:pStyle w:val="PargrafodaLista"/>
        <w:autoSpaceDE w:val="0"/>
        <w:autoSpaceDN w:val="0"/>
        <w:adjustRightInd w:val="0"/>
        <w:spacing w:after="360" w:line="240" w:lineRule="auto"/>
        <w:ind w:left="0"/>
        <w:contextualSpacing w:val="0"/>
        <w:rPr>
          <w:rFonts w:ascii="Times New Roman" w:hAnsi="Times New Roman"/>
          <w:sz w:val="24"/>
          <w:szCs w:val="24"/>
        </w:rPr>
      </w:pPr>
      <w:r w:rsidRPr="00B12613">
        <w:rPr>
          <w:rFonts w:ascii="Times New Roman" w:hAnsi="Times New Roman"/>
          <w:sz w:val="24"/>
          <w:szCs w:val="24"/>
        </w:rPr>
        <w:t xml:space="preserve">GOHN, Maria da Glória. </w:t>
      </w:r>
      <w:r w:rsidRPr="00B12613">
        <w:rPr>
          <w:rFonts w:ascii="Times New Roman" w:hAnsi="Times New Roman"/>
          <w:b/>
          <w:sz w:val="24"/>
          <w:szCs w:val="24"/>
        </w:rPr>
        <w:t>História dos Movimentos e Lutas Sociais</w:t>
      </w:r>
      <w:r w:rsidRPr="00B12613">
        <w:rPr>
          <w:rFonts w:ascii="Times New Roman" w:hAnsi="Times New Roman"/>
          <w:sz w:val="24"/>
          <w:szCs w:val="24"/>
        </w:rPr>
        <w:t>: a construção da cidadania dos brasileiros. São Paulo: Loyola. 1995</w:t>
      </w:r>
    </w:p>
    <w:p w:rsidR="00D24E61" w:rsidRPr="00B12613" w:rsidRDefault="00D24E61" w:rsidP="00D24E61">
      <w:pPr>
        <w:pStyle w:val="PargrafodaLista"/>
        <w:autoSpaceDE w:val="0"/>
        <w:autoSpaceDN w:val="0"/>
        <w:adjustRightInd w:val="0"/>
        <w:spacing w:after="360" w:line="240" w:lineRule="auto"/>
        <w:ind w:left="0"/>
        <w:contextualSpacing w:val="0"/>
        <w:rPr>
          <w:rFonts w:ascii="Times New Roman" w:hAnsi="Times New Roman"/>
          <w:sz w:val="24"/>
          <w:szCs w:val="24"/>
        </w:rPr>
      </w:pPr>
      <w:r w:rsidRPr="00B12613">
        <w:rPr>
          <w:rFonts w:ascii="Times New Roman" w:hAnsi="Times New Roman"/>
          <w:sz w:val="24"/>
          <w:szCs w:val="24"/>
        </w:rPr>
        <w:t xml:space="preserve">GOHN, Maria da Glória. </w:t>
      </w:r>
      <w:r w:rsidRPr="00B12613">
        <w:rPr>
          <w:rFonts w:ascii="Times New Roman" w:hAnsi="Times New Roman"/>
          <w:b/>
          <w:iCs/>
          <w:sz w:val="24"/>
          <w:szCs w:val="24"/>
        </w:rPr>
        <w:t>Teorias dos Movimentos Sociais</w:t>
      </w:r>
      <w:r w:rsidRPr="00B12613">
        <w:rPr>
          <w:rFonts w:ascii="Times New Roman" w:hAnsi="Times New Roman"/>
          <w:sz w:val="24"/>
          <w:szCs w:val="24"/>
        </w:rPr>
        <w:t>: paradigmas clássicos e contemporâneos. 2. ed. São Paulo: Loyola, 2000.</w:t>
      </w:r>
    </w:p>
    <w:p w:rsidR="00D24E61" w:rsidRPr="00B12613" w:rsidRDefault="00D24E61" w:rsidP="00D24E61">
      <w:pPr>
        <w:pStyle w:val="PargrafodaLista"/>
        <w:autoSpaceDE w:val="0"/>
        <w:autoSpaceDN w:val="0"/>
        <w:adjustRightInd w:val="0"/>
        <w:spacing w:after="360" w:line="240" w:lineRule="auto"/>
        <w:ind w:left="0"/>
        <w:contextualSpacing w:val="0"/>
        <w:rPr>
          <w:rFonts w:ascii="Times New Roman" w:hAnsi="Times New Roman"/>
          <w:sz w:val="24"/>
          <w:szCs w:val="24"/>
        </w:rPr>
      </w:pPr>
      <w:r w:rsidRPr="00B12613">
        <w:rPr>
          <w:rFonts w:ascii="Times New Roman" w:hAnsi="Times New Roman"/>
          <w:sz w:val="24"/>
          <w:szCs w:val="24"/>
        </w:rPr>
        <w:t xml:space="preserve">HALL, Stuart. </w:t>
      </w:r>
      <w:r w:rsidRPr="00B12613">
        <w:rPr>
          <w:rFonts w:ascii="Times New Roman" w:hAnsi="Times New Roman"/>
          <w:b/>
          <w:iCs/>
          <w:sz w:val="24"/>
          <w:szCs w:val="24"/>
        </w:rPr>
        <w:t>A identidade Cultural na Pós-Modernidade.</w:t>
      </w:r>
      <w:r w:rsidRPr="00B12613">
        <w:rPr>
          <w:rFonts w:ascii="Times New Roman" w:hAnsi="Times New Roman"/>
          <w:iCs/>
          <w:sz w:val="24"/>
          <w:szCs w:val="24"/>
        </w:rPr>
        <w:t xml:space="preserve"> </w:t>
      </w:r>
      <w:r w:rsidRPr="00B12613">
        <w:rPr>
          <w:rFonts w:ascii="Times New Roman" w:hAnsi="Times New Roman"/>
          <w:sz w:val="24"/>
          <w:szCs w:val="24"/>
        </w:rPr>
        <w:t>Rio de Janeiro: DP&amp;A, 2006.</w:t>
      </w:r>
    </w:p>
    <w:p w:rsidR="00D24E61" w:rsidRPr="00B12613" w:rsidRDefault="00D24E61" w:rsidP="00D24E61">
      <w:pPr>
        <w:spacing w:after="360"/>
        <w:rPr>
          <w:sz w:val="24"/>
          <w:szCs w:val="24"/>
          <w:shd w:val="clear" w:color="auto" w:fill="FFFFFF"/>
        </w:rPr>
      </w:pPr>
      <w:r w:rsidRPr="00B12613">
        <w:rPr>
          <w:rStyle w:val="apple-style-span"/>
          <w:rFonts w:eastAsia="MS Mincho"/>
          <w:sz w:val="24"/>
          <w:szCs w:val="24"/>
        </w:rPr>
        <w:t xml:space="preserve">HEILBORN, Maria Luiza, et ali. </w:t>
      </w:r>
      <w:r w:rsidRPr="00B12613">
        <w:rPr>
          <w:rStyle w:val="apple-style-span"/>
          <w:rFonts w:eastAsia="MS Mincho"/>
          <w:b/>
          <w:sz w:val="24"/>
          <w:szCs w:val="24"/>
        </w:rPr>
        <w:t>Gestão em Políticas Públicas em Gênero e Raça</w:t>
      </w:r>
      <w:r w:rsidRPr="00B12613">
        <w:rPr>
          <w:rStyle w:val="apple-style-span"/>
          <w:rFonts w:eastAsia="MS Mincho"/>
          <w:sz w:val="24"/>
          <w:szCs w:val="24"/>
        </w:rPr>
        <w:t>: Mod. I, II, III e V. Rio de Janeiro: CEPESC; Brasília: Secretaria de Políticas Públicas para Mulheres, 2010.</w:t>
      </w:r>
    </w:p>
    <w:p w:rsidR="00D24E61" w:rsidRPr="00B12613" w:rsidRDefault="00D24E61" w:rsidP="00D24E61">
      <w:pPr>
        <w:spacing w:after="360"/>
        <w:rPr>
          <w:sz w:val="24"/>
          <w:szCs w:val="24"/>
        </w:rPr>
      </w:pPr>
      <w:r w:rsidRPr="00B12613">
        <w:rPr>
          <w:sz w:val="24"/>
          <w:szCs w:val="24"/>
        </w:rPr>
        <w:t xml:space="preserve">LAKATOS, Eva Maria. </w:t>
      </w:r>
      <w:r w:rsidRPr="00B12613">
        <w:rPr>
          <w:b/>
          <w:sz w:val="24"/>
          <w:szCs w:val="24"/>
        </w:rPr>
        <w:t>Metodologia do Trabalho Científico</w:t>
      </w:r>
      <w:r w:rsidRPr="00B12613">
        <w:rPr>
          <w:sz w:val="24"/>
          <w:szCs w:val="24"/>
        </w:rPr>
        <w:t>: procedimentos básicos, pesquisa bibliográfica, projeto e relatório, publicações e trabalhos científicos.</w:t>
      </w:r>
      <w:r w:rsidRPr="00B12613">
        <w:rPr>
          <w:b/>
          <w:sz w:val="24"/>
          <w:szCs w:val="24"/>
        </w:rPr>
        <w:t xml:space="preserve"> </w:t>
      </w:r>
      <w:r w:rsidRPr="00B12613">
        <w:rPr>
          <w:sz w:val="24"/>
          <w:szCs w:val="24"/>
        </w:rPr>
        <w:t>7 ed. São Paulo: Atlas, 2012.</w:t>
      </w:r>
    </w:p>
    <w:p w:rsidR="00D24E61" w:rsidRPr="00B12613" w:rsidRDefault="00D24E61" w:rsidP="00D24E61">
      <w:pPr>
        <w:autoSpaceDE w:val="0"/>
        <w:autoSpaceDN w:val="0"/>
        <w:adjustRightInd w:val="0"/>
        <w:spacing w:after="360"/>
        <w:rPr>
          <w:rFonts w:eastAsia="Calibri"/>
          <w:sz w:val="24"/>
          <w:szCs w:val="24"/>
        </w:rPr>
      </w:pPr>
      <w:r w:rsidRPr="00B12613">
        <w:rPr>
          <w:rFonts w:eastAsia="Calibri"/>
          <w:sz w:val="24"/>
          <w:szCs w:val="24"/>
        </w:rPr>
        <w:t xml:space="preserve">MENEZES, Tayana Dias de.  </w:t>
      </w:r>
      <w:r w:rsidRPr="00B12613">
        <w:rPr>
          <w:rFonts w:eastAsia="Calibri"/>
          <w:b/>
          <w:bCs/>
          <w:sz w:val="24"/>
          <w:szCs w:val="24"/>
        </w:rPr>
        <w:t xml:space="preserve">A identidade Social: uma Análise Teórica. </w:t>
      </w:r>
      <w:r w:rsidRPr="00B12613">
        <w:rPr>
          <w:rFonts w:eastAsia="Calibri"/>
          <w:bCs/>
          <w:sz w:val="24"/>
          <w:szCs w:val="24"/>
        </w:rPr>
        <w:t>Revista Prolíngua.</w:t>
      </w:r>
      <w:r w:rsidRPr="00B12613">
        <w:rPr>
          <w:rFonts w:eastAsia="Calibri"/>
          <w:sz w:val="24"/>
          <w:szCs w:val="24"/>
        </w:rPr>
        <w:t xml:space="preserve"> Volume 5 - Número 2 - jul/dez de 2010.</w:t>
      </w:r>
    </w:p>
    <w:p w:rsidR="00D24E61" w:rsidRPr="00B12613" w:rsidRDefault="00D24E61" w:rsidP="00D24E61">
      <w:pPr>
        <w:autoSpaceDE w:val="0"/>
        <w:autoSpaceDN w:val="0"/>
        <w:adjustRightInd w:val="0"/>
        <w:spacing w:after="360"/>
        <w:rPr>
          <w:sz w:val="24"/>
          <w:szCs w:val="24"/>
        </w:rPr>
      </w:pPr>
      <w:r w:rsidRPr="00B12613">
        <w:rPr>
          <w:sz w:val="24"/>
          <w:szCs w:val="24"/>
        </w:rPr>
        <w:t xml:space="preserve">MINAYO, Maria Cecília de Sousa (org). </w:t>
      </w:r>
      <w:r w:rsidRPr="00B12613">
        <w:rPr>
          <w:b/>
          <w:sz w:val="24"/>
          <w:szCs w:val="24"/>
        </w:rPr>
        <w:t>Pesquisa Social</w:t>
      </w:r>
      <w:r w:rsidRPr="00B12613">
        <w:rPr>
          <w:sz w:val="24"/>
          <w:szCs w:val="24"/>
        </w:rPr>
        <w:t>: Teoria, métodos e criatividade. Petrópolis – RJ: Vozes, 2004.</w:t>
      </w:r>
    </w:p>
    <w:p w:rsidR="00D24E61" w:rsidRPr="00B12613" w:rsidRDefault="00D24E61" w:rsidP="00D24E61">
      <w:pPr>
        <w:autoSpaceDE w:val="0"/>
        <w:autoSpaceDN w:val="0"/>
        <w:adjustRightInd w:val="0"/>
        <w:spacing w:after="360"/>
        <w:rPr>
          <w:rFonts w:eastAsia="Calibri"/>
          <w:sz w:val="24"/>
          <w:szCs w:val="24"/>
        </w:rPr>
      </w:pPr>
      <w:r w:rsidRPr="00B12613">
        <w:rPr>
          <w:rFonts w:eastAsia="Calibri"/>
          <w:sz w:val="24"/>
          <w:szCs w:val="24"/>
        </w:rPr>
        <w:t xml:space="preserve">MOITA LOPES, Luiz Paulo da. </w:t>
      </w:r>
      <w:r w:rsidRPr="00B12613">
        <w:rPr>
          <w:rFonts w:eastAsia="Calibri"/>
          <w:b/>
          <w:iCs/>
          <w:sz w:val="24"/>
          <w:szCs w:val="24"/>
        </w:rPr>
        <w:t>Read, read, read oitava série</w:t>
      </w:r>
      <w:r w:rsidRPr="00B12613">
        <w:rPr>
          <w:rFonts w:eastAsia="Calibri"/>
          <w:iCs/>
          <w:sz w:val="24"/>
          <w:szCs w:val="24"/>
        </w:rPr>
        <w:t xml:space="preserve">. </w:t>
      </w:r>
      <w:r w:rsidRPr="00B12613">
        <w:rPr>
          <w:rFonts w:eastAsia="Calibri"/>
          <w:sz w:val="24"/>
          <w:szCs w:val="24"/>
        </w:rPr>
        <w:t>São Paulo: Ática, 1998.</w:t>
      </w:r>
    </w:p>
    <w:p w:rsidR="00D24E61" w:rsidRPr="00B12613" w:rsidRDefault="00D24E61" w:rsidP="00D24E61">
      <w:pPr>
        <w:spacing w:after="360"/>
        <w:rPr>
          <w:sz w:val="24"/>
          <w:szCs w:val="24"/>
        </w:rPr>
      </w:pPr>
      <w:r w:rsidRPr="00B12613">
        <w:rPr>
          <w:sz w:val="24"/>
          <w:szCs w:val="24"/>
        </w:rPr>
        <w:t xml:space="preserve">MORAES, Jomar. </w:t>
      </w:r>
      <w:r w:rsidRPr="00B12613">
        <w:rPr>
          <w:b/>
          <w:sz w:val="24"/>
          <w:szCs w:val="24"/>
        </w:rPr>
        <w:t>Gonçalves Dias: Vida e Obra</w:t>
      </w:r>
      <w:r w:rsidRPr="00B12613">
        <w:rPr>
          <w:sz w:val="24"/>
          <w:szCs w:val="24"/>
        </w:rPr>
        <w:t>. Alumar Cultura. São Luis, 1998.</w:t>
      </w:r>
    </w:p>
    <w:p w:rsidR="00D24E61" w:rsidRPr="00B12613" w:rsidRDefault="00D24E61" w:rsidP="00D24E61">
      <w:pPr>
        <w:autoSpaceDE w:val="0"/>
        <w:autoSpaceDN w:val="0"/>
        <w:adjustRightInd w:val="0"/>
        <w:spacing w:after="360"/>
        <w:rPr>
          <w:b/>
          <w:sz w:val="24"/>
          <w:szCs w:val="24"/>
        </w:rPr>
      </w:pPr>
      <w:r w:rsidRPr="00B12613">
        <w:rPr>
          <w:rFonts w:eastAsia="Calibri"/>
          <w:sz w:val="24"/>
          <w:szCs w:val="24"/>
          <w:lang w:eastAsia="en-US"/>
        </w:rPr>
        <w:t xml:space="preserve">MOREIRA FILHO Francisco Carlos, MADRID Daniela Martins. </w:t>
      </w:r>
      <w:r w:rsidRPr="00B12613">
        <w:rPr>
          <w:rFonts w:eastAsia="Calibri"/>
          <w:b/>
          <w:bCs/>
          <w:sz w:val="24"/>
          <w:szCs w:val="24"/>
          <w:lang w:eastAsia="en-US"/>
        </w:rPr>
        <w:t>A Homossexualidade e a sua História</w:t>
      </w:r>
      <w:r w:rsidRPr="00B12613">
        <w:rPr>
          <w:rFonts w:eastAsia="Calibri"/>
          <w:bCs/>
          <w:sz w:val="24"/>
          <w:szCs w:val="24"/>
          <w:lang w:eastAsia="en-US"/>
        </w:rPr>
        <w:t>. 2009.</w:t>
      </w:r>
      <w:r w:rsidRPr="00B12613">
        <w:rPr>
          <w:rFonts w:eastAsia="Calibri"/>
          <w:b/>
          <w:bCs/>
          <w:sz w:val="24"/>
          <w:szCs w:val="24"/>
          <w:lang w:eastAsia="en-US"/>
        </w:rPr>
        <w:t xml:space="preserve"> </w:t>
      </w:r>
      <w:r w:rsidRPr="00B12613">
        <w:rPr>
          <w:rFonts w:eastAsia="Calibri"/>
          <w:bCs/>
          <w:sz w:val="24"/>
          <w:szCs w:val="24"/>
          <w:lang w:eastAsia="en-US"/>
        </w:rPr>
        <w:t>Disponível em: &lt;http://intertemas.unitoledo.br/revista/index.php/ETIC/article/viewFile/1646/1569&gt;. Acessado em dez. 2012.</w:t>
      </w:r>
    </w:p>
    <w:p w:rsidR="00D24E61" w:rsidRPr="00B12613" w:rsidRDefault="00D24E61" w:rsidP="00D24E61">
      <w:pPr>
        <w:autoSpaceDE w:val="0"/>
        <w:autoSpaceDN w:val="0"/>
        <w:adjustRightInd w:val="0"/>
        <w:spacing w:after="360"/>
        <w:rPr>
          <w:rFonts w:eastAsia="Calibri"/>
          <w:sz w:val="24"/>
          <w:szCs w:val="24"/>
        </w:rPr>
      </w:pPr>
      <w:r w:rsidRPr="00B12613">
        <w:rPr>
          <w:rFonts w:eastAsia="Calibri"/>
          <w:sz w:val="24"/>
          <w:szCs w:val="24"/>
        </w:rPr>
        <w:t xml:space="preserve">MOTT, Luis. </w:t>
      </w:r>
      <w:r w:rsidRPr="00B12613">
        <w:rPr>
          <w:rFonts w:eastAsia="Calibri"/>
          <w:iCs/>
          <w:sz w:val="24"/>
          <w:szCs w:val="24"/>
        </w:rPr>
        <w:t>O lesbianismo no Brasil</w:t>
      </w:r>
      <w:r w:rsidRPr="00B12613">
        <w:rPr>
          <w:rFonts w:eastAsia="Calibri"/>
          <w:sz w:val="24"/>
          <w:szCs w:val="24"/>
        </w:rPr>
        <w:t>. Porto Alegre: Mercado aberto, 1987.</w:t>
      </w:r>
    </w:p>
    <w:p w:rsidR="00D24E61" w:rsidRPr="00B12613" w:rsidRDefault="00D24E61" w:rsidP="00D24E61">
      <w:pPr>
        <w:spacing w:after="360"/>
        <w:rPr>
          <w:sz w:val="24"/>
          <w:szCs w:val="24"/>
          <w:shd w:val="clear" w:color="auto" w:fill="FFFFFF"/>
        </w:rPr>
      </w:pPr>
      <w:r w:rsidRPr="00B12613">
        <w:rPr>
          <w:sz w:val="24"/>
          <w:szCs w:val="24"/>
          <w:shd w:val="clear" w:color="auto" w:fill="FFFFFF"/>
        </w:rPr>
        <w:t xml:space="preserve">PERROT, Michelle. </w:t>
      </w:r>
      <w:r w:rsidRPr="00B12613">
        <w:rPr>
          <w:b/>
          <w:sz w:val="24"/>
          <w:szCs w:val="24"/>
          <w:shd w:val="clear" w:color="auto" w:fill="FFFFFF"/>
        </w:rPr>
        <w:t xml:space="preserve">As mulheres ou os Silêncios da História. </w:t>
      </w:r>
      <w:r w:rsidRPr="00B12613">
        <w:rPr>
          <w:sz w:val="24"/>
          <w:szCs w:val="24"/>
          <w:shd w:val="clear" w:color="auto" w:fill="FFFFFF"/>
        </w:rPr>
        <w:t>Tradução Viviane Ribeiro. Bauru – SP: EDUSC, 2005.</w:t>
      </w:r>
    </w:p>
    <w:p w:rsidR="00D24E61" w:rsidRPr="00B12613" w:rsidRDefault="00D24E61" w:rsidP="00D24E61">
      <w:pPr>
        <w:autoSpaceDE w:val="0"/>
        <w:autoSpaceDN w:val="0"/>
        <w:adjustRightInd w:val="0"/>
        <w:spacing w:after="360"/>
        <w:rPr>
          <w:bCs/>
          <w:sz w:val="24"/>
          <w:szCs w:val="24"/>
        </w:rPr>
      </w:pPr>
      <w:r w:rsidRPr="00B12613">
        <w:rPr>
          <w:bCs/>
          <w:sz w:val="24"/>
          <w:szCs w:val="24"/>
        </w:rPr>
        <w:t xml:space="preserve">RICH, Adrienne. </w:t>
      </w:r>
      <w:r w:rsidRPr="00B12613">
        <w:rPr>
          <w:b/>
          <w:bCs/>
          <w:sz w:val="24"/>
          <w:szCs w:val="24"/>
        </w:rPr>
        <w:t>Heterossexualidade compulsória e existência lésbica</w:t>
      </w:r>
      <w:r w:rsidRPr="00B12613">
        <w:rPr>
          <w:bCs/>
          <w:sz w:val="24"/>
          <w:szCs w:val="24"/>
        </w:rPr>
        <w:t xml:space="preserve">. </w:t>
      </w:r>
      <w:r w:rsidRPr="00B12613">
        <w:rPr>
          <w:iCs/>
          <w:sz w:val="24"/>
          <w:szCs w:val="24"/>
        </w:rPr>
        <w:t xml:space="preserve">Tradução: </w:t>
      </w:r>
      <w:r w:rsidRPr="00B12613">
        <w:rPr>
          <w:bCs/>
          <w:sz w:val="24"/>
          <w:szCs w:val="24"/>
        </w:rPr>
        <w:t>Carlos Guilherme do Valle. Revista Bagoas n. 05 de 2010. p. 17-44.</w:t>
      </w:r>
    </w:p>
    <w:p w:rsidR="00D24E61" w:rsidRPr="00B12613" w:rsidRDefault="00D24E61" w:rsidP="00D24E61">
      <w:pPr>
        <w:autoSpaceDE w:val="0"/>
        <w:autoSpaceDN w:val="0"/>
        <w:adjustRightInd w:val="0"/>
        <w:spacing w:after="360"/>
        <w:rPr>
          <w:color w:val="000000"/>
          <w:sz w:val="24"/>
          <w:szCs w:val="24"/>
        </w:rPr>
      </w:pPr>
      <w:r w:rsidRPr="00B12613">
        <w:rPr>
          <w:color w:val="000000"/>
          <w:sz w:val="24"/>
          <w:szCs w:val="24"/>
          <w:lang w:val="en-US"/>
        </w:rPr>
        <w:t xml:space="preserve">RICHARDSON, R.J. [Et all]. </w:t>
      </w:r>
      <w:r w:rsidRPr="00B12613">
        <w:rPr>
          <w:b/>
          <w:color w:val="000000"/>
          <w:sz w:val="24"/>
          <w:szCs w:val="24"/>
        </w:rPr>
        <w:t>Pesquisa social:</w:t>
      </w:r>
      <w:r w:rsidRPr="00B12613">
        <w:rPr>
          <w:color w:val="000000"/>
          <w:sz w:val="24"/>
          <w:szCs w:val="24"/>
        </w:rPr>
        <w:t xml:space="preserve"> </w:t>
      </w:r>
      <w:r w:rsidRPr="00B12613">
        <w:rPr>
          <w:b/>
          <w:color w:val="000000"/>
          <w:sz w:val="24"/>
          <w:szCs w:val="24"/>
        </w:rPr>
        <w:t>Método e técnicas</w:t>
      </w:r>
      <w:r w:rsidRPr="00B12613">
        <w:rPr>
          <w:color w:val="000000"/>
          <w:sz w:val="24"/>
          <w:szCs w:val="24"/>
        </w:rPr>
        <w:t xml:space="preserve">. São Paulo: Atlas, 2011.  </w:t>
      </w:r>
    </w:p>
    <w:p w:rsidR="00D24E61" w:rsidRPr="00B12613" w:rsidRDefault="00D24E61" w:rsidP="00D24E61">
      <w:pPr>
        <w:spacing w:after="360"/>
        <w:rPr>
          <w:sz w:val="24"/>
          <w:szCs w:val="24"/>
        </w:rPr>
      </w:pPr>
      <w:r w:rsidRPr="00B12613">
        <w:rPr>
          <w:sz w:val="24"/>
          <w:szCs w:val="24"/>
        </w:rPr>
        <w:t xml:space="preserve">RODRIGUES, Maria Alice. </w:t>
      </w:r>
      <w:r w:rsidRPr="00B12613">
        <w:rPr>
          <w:b/>
          <w:bCs/>
          <w:sz w:val="24"/>
          <w:szCs w:val="24"/>
        </w:rPr>
        <w:t>A mulher no espaço privado</w:t>
      </w:r>
      <w:r w:rsidRPr="00B12613">
        <w:rPr>
          <w:b/>
          <w:sz w:val="24"/>
          <w:szCs w:val="24"/>
        </w:rPr>
        <w:t xml:space="preserve">: da incapacidade à igualdade de direitos. </w:t>
      </w:r>
      <w:r w:rsidRPr="00B12613">
        <w:rPr>
          <w:sz w:val="24"/>
          <w:szCs w:val="24"/>
        </w:rPr>
        <w:t>Rio de Janeiro: Renovar, 2003.</w:t>
      </w:r>
    </w:p>
    <w:p w:rsidR="00D24E61" w:rsidRPr="00B12613" w:rsidRDefault="00D24E61" w:rsidP="00D24E61">
      <w:pPr>
        <w:spacing w:after="360"/>
        <w:rPr>
          <w:sz w:val="24"/>
          <w:szCs w:val="24"/>
        </w:rPr>
      </w:pPr>
      <w:r w:rsidRPr="00B12613">
        <w:rPr>
          <w:rFonts w:eastAsia="Calibri"/>
          <w:bCs/>
          <w:sz w:val="24"/>
          <w:szCs w:val="24"/>
          <w:lang w:eastAsia="en-US"/>
        </w:rPr>
        <w:t>SANTOS, Celeste do Rosário</w:t>
      </w:r>
      <w:r w:rsidRPr="00B12613">
        <w:rPr>
          <w:rFonts w:eastAsia="Calibri"/>
          <w:b/>
          <w:bCs/>
          <w:sz w:val="24"/>
          <w:szCs w:val="24"/>
          <w:lang w:eastAsia="en-US"/>
        </w:rPr>
        <w:t>. A invisibilidade das mulheres que fazem sexo com mulheres (msm), lésbicas e bissexuais dentro dos serviços de saúde.</w:t>
      </w:r>
      <w:r w:rsidRPr="00B12613">
        <w:rPr>
          <w:sz w:val="24"/>
          <w:szCs w:val="24"/>
        </w:rPr>
        <w:t xml:space="preserve"> Disponível em: &lt;http://www3.crt.saude.sp.gov.br&gt; Acessado em jan. 2013.</w:t>
      </w:r>
    </w:p>
    <w:p w:rsidR="00D24E61" w:rsidRPr="00B12613" w:rsidRDefault="00D24E61" w:rsidP="00D24E61">
      <w:pPr>
        <w:shd w:val="clear" w:color="auto" w:fill="FFFFFF"/>
        <w:spacing w:after="360"/>
        <w:rPr>
          <w:sz w:val="24"/>
          <w:szCs w:val="24"/>
        </w:rPr>
      </w:pPr>
      <w:r w:rsidRPr="00B12613">
        <w:rPr>
          <w:bCs/>
          <w:sz w:val="24"/>
          <w:szCs w:val="24"/>
        </w:rPr>
        <w:t xml:space="preserve">SARTI, Cynthia Andersen. </w:t>
      </w:r>
      <w:r w:rsidRPr="00B12613">
        <w:rPr>
          <w:b/>
          <w:bCs/>
          <w:sz w:val="24"/>
          <w:szCs w:val="24"/>
        </w:rPr>
        <w:t>O feminismo brasileiro desde os anos 1970: revisitando uma trajetória.</w:t>
      </w:r>
      <w:r w:rsidRPr="00B12613">
        <w:rPr>
          <w:bCs/>
          <w:sz w:val="24"/>
          <w:szCs w:val="24"/>
        </w:rPr>
        <w:t xml:space="preserve"> Disponível em:</w:t>
      </w:r>
      <w:r w:rsidRPr="00B12613">
        <w:rPr>
          <w:sz w:val="24"/>
          <w:szCs w:val="24"/>
        </w:rPr>
        <w:t> &lt;http://www.scielo.br/scielo.php&gt;. Acessado em outubro de 2012.</w:t>
      </w:r>
    </w:p>
    <w:p w:rsidR="00D24E61" w:rsidRPr="00B12613" w:rsidRDefault="00D24E61" w:rsidP="00D24E61">
      <w:pPr>
        <w:spacing w:after="360"/>
        <w:rPr>
          <w:sz w:val="24"/>
          <w:szCs w:val="24"/>
        </w:rPr>
      </w:pPr>
      <w:r w:rsidRPr="00B12613">
        <w:rPr>
          <w:sz w:val="24"/>
          <w:szCs w:val="24"/>
          <w:shd w:val="clear" w:color="auto" w:fill="FFFFFF"/>
        </w:rPr>
        <w:t>SCOTT, Joan. Gênero: uma categoria útil de análise histórica.</w:t>
      </w:r>
      <w:r w:rsidRPr="00B12613">
        <w:rPr>
          <w:rStyle w:val="apple-converted-space"/>
          <w:sz w:val="24"/>
          <w:szCs w:val="24"/>
          <w:shd w:val="clear" w:color="auto" w:fill="FFFFFF"/>
        </w:rPr>
        <w:t> </w:t>
      </w:r>
      <w:r w:rsidRPr="00B12613">
        <w:rPr>
          <w:b/>
          <w:bCs/>
          <w:sz w:val="24"/>
          <w:szCs w:val="24"/>
          <w:shd w:val="clear" w:color="auto" w:fill="FFFFFF"/>
        </w:rPr>
        <w:t>Educação e realidade</w:t>
      </w:r>
      <w:r w:rsidRPr="00B12613">
        <w:rPr>
          <w:sz w:val="24"/>
          <w:szCs w:val="24"/>
          <w:shd w:val="clear" w:color="auto" w:fill="FFFFFF"/>
        </w:rPr>
        <w:t>, v. 16, n.2, 1989.</w:t>
      </w:r>
      <w:r w:rsidRPr="00B12613">
        <w:rPr>
          <w:sz w:val="24"/>
          <w:szCs w:val="24"/>
        </w:rPr>
        <w:t xml:space="preserve"> Disponível em: &lt;</w:t>
      </w:r>
      <w:r w:rsidRPr="00B12613">
        <w:rPr>
          <w:rFonts w:eastAsia="Calibri"/>
          <w:bCs/>
          <w:sz w:val="24"/>
          <w:szCs w:val="24"/>
        </w:rPr>
        <w:t>http://disciplinas.stoa.usp.br/</w:t>
      </w:r>
      <w:r w:rsidRPr="00B12613">
        <w:rPr>
          <w:sz w:val="24"/>
          <w:szCs w:val="24"/>
        </w:rPr>
        <w:t xml:space="preserve">&gt;.Tradução: </w:t>
      </w:r>
      <w:r w:rsidRPr="00B12613">
        <w:rPr>
          <w:rFonts w:eastAsia="Calibri"/>
          <w:sz w:val="24"/>
          <w:szCs w:val="24"/>
          <w:lang w:eastAsia="en-US"/>
        </w:rPr>
        <w:t>Christine Rufino Dabat e Maria Betânia Ávila.</w:t>
      </w:r>
      <w:r w:rsidRPr="00B12613">
        <w:rPr>
          <w:sz w:val="24"/>
          <w:szCs w:val="24"/>
        </w:rPr>
        <w:t xml:space="preserve"> Acessado em dez. de 2012.</w:t>
      </w:r>
    </w:p>
    <w:p w:rsidR="00D24E61" w:rsidRPr="00B12613" w:rsidRDefault="00D24E61" w:rsidP="00D24E61">
      <w:pPr>
        <w:autoSpaceDE w:val="0"/>
        <w:autoSpaceDN w:val="0"/>
        <w:adjustRightInd w:val="0"/>
        <w:spacing w:after="360"/>
        <w:rPr>
          <w:bCs/>
          <w:sz w:val="24"/>
          <w:szCs w:val="24"/>
        </w:rPr>
      </w:pPr>
      <w:r w:rsidRPr="00B12613">
        <w:rPr>
          <w:bCs/>
          <w:sz w:val="24"/>
          <w:szCs w:val="24"/>
        </w:rPr>
        <w:t xml:space="preserve">SENA, Francisca Maria Rodrigues. </w:t>
      </w:r>
      <w:r w:rsidRPr="00B12613">
        <w:rPr>
          <w:b/>
          <w:bCs/>
          <w:sz w:val="24"/>
          <w:szCs w:val="24"/>
        </w:rPr>
        <w:t xml:space="preserve">Mulheres em Movimento: Construção de Relações de Gênero na Militância Política das Mulheres. </w:t>
      </w:r>
      <w:r w:rsidRPr="00B12613">
        <w:rPr>
          <w:bCs/>
          <w:sz w:val="24"/>
          <w:szCs w:val="24"/>
        </w:rPr>
        <w:t>Fortaleza – Ceará. 2004.</w:t>
      </w:r>
    </w:p>
    <w:p w:rsidR="00D24E61" w:rsidRPr="00B12613" w:rsidRDefault="00D24E61" w:rsidP="00D24E61">
      <w:pPr>
        <w:autoSpaceDE w:val="0"/>
        <w:autoSpaceDN w:val="0"/>
        <w:adjustRightInd w:val="0"/>
        <w:spacing w:after="360"/>
        <w:rPr>
          <w:rFonts w:eastAsia="Calibri"/>
          <w:sz w:val="24"/>
          <w:szCs w:val="24"/>
        </w:rPr>
      </w:pPr>
      <w:r w:rsidRPr="00B12613">
        <w:rPr>
          <w:rFonts w:eastAsia="Calibri"/>
          <w:sz w:val="24"/>
          <w:szCs w:val="24"/>
        </w:rPr>
        <w:t>SILVA, Tomaz Tadeu da. A Produção Social da Identidade e da Diferença</w:t>
      </w:r>
      <w:r w:rsidRPr="00B12613">
        <w:rPr>
          <w:rFonts w:eastAsia="Calibri"/>
          <w:iCs/>
          <w:sz w:val="24"/>
          <w:szCs w:val="24"/>
        </w:rPr>
        <w:t xml:space="preserve">. </w:t>
      </w:r>
      <w:r w:rsidRPr="00B12613">
        <w:rPr>
          <w:rFonts w:eastAsia="Calibri"/>
          <w:sz w:val="24"/>
          <w:szCs w:val="24"/>
          <w:lang w:val="en-US"/>
        </w:rPr>
        <w:t xml:space="preserve">IN: SILVA, Tomaz Tadeu da (org.); HALL, Stuart; WOODWARD, Kathryn. </w:t>
      </w:r>
      <w:r w:rsidRPr="00B12613">
        <w:rPr>
          <w:rFonts w:eastAsia="Calibri"/>
          <w:iCs/>
          <w:sz w:val="24"/>
          <w:szCs w:val="24"/>
        </w:rPr>
        <w:t>Identidade e Diferença</w:t>
      </w:r>
      <w:r w:rsidRPr="00B12613">
        <w:rPr>
          <w:rFonts w:eastAsia="Calibri"/>
          <w:sz w:val="24"/>
          <w:szCs w:val="24"/>
        </w:rPr>
        <w:t>: A perspectiva dos Estudos Culturais. 9.ed. Petrópolis, RJ: Vozes, 2009 p. 73-102.</w:t>
      </w:r>
    </w:p>
    <w:p w:rsidR="00D24E61" w:rsidRPr="00B12613" w:rsidRDefault="00D24E61" w:rsidP="00D24E61">
      <w:pPr>
        <w:spacing w:after="360"/>
        <w:rPr>
          <w:sz w:val="24"/>
          <w:szCs w:val="24"/>
        </w:rPr>
      </w:pPr>
      <w:r w:rsidRPr="00B12613">
        <w:rPr>
          <w:sz w:val="24"/>
          <w:szCs w:val="24"/>
          <w:shd w:val="clear" w:color="auto" w:fill="FFFFFF"/>
        </w:rPr>
        <w:t xml:space="preserve">SWAIN, Tania Navarro. Feminismo e lesbianismo: a identidade em questão. </w:t>
      </w:r>
      <w:r w:rsidRPr="00B12613">
        <w:rPr>
          <w:b/>
          <w:bCs/>
          <w:sz w:val="24"/>
          <w:szCs w:val="24"/>
          <w:shd w:val="clear" w:color="auto" w:fill="FFFFFF"/>
        </w:rPr>
        <w:t>Cadernos Pagu</w:t>
      </w:r>
      <w:r w:rsidRPr="00B12613">
        <w:rPr>
          <w:sz w:val="24"/>
          <w:szCs w:val="24"/>
          <w:shd w:val="clear" w:color="auto" w:fill="FFFFFF"/>
        </w:rPr>
        <w:t>, 1999.</w:t>
      </w:r>
      <w:r w:rsidRPr="00B12613">
        <w:rPr>
          <w:bCs/>
          <w:sz w:val="24"/>
          <w:szCs w:val="24"/>
        </w:rPr>
        <w:t xml:space="preserve"> Disponível em: &lt;</w:t>
      </w:r>
      <w:r w:rsidRPr="00B12613">
        <w:rPr>
          <w:spacing w:val="-15"/>
          <w:sz w:val="24"/>
          <w:szCs w:val="24"/>
        </w:rPr>
        <w:t>http://www.pagu.unicamp.br&gt;.</w:t>
      </w:r>
      <w:r w:rsidRPr="00B12613">
        <w:rPr>
          <w:sz w:val="24"/>
          <w:szCs w:val="24"/>
        </w:rPr>
        <w:t xml:space="preserve"> Acessado em 03 de out. de 2012.</w:t>
      </w:r>
    </w:p>
    <w:p w:rsidR="00D24E61" w:rsidRPr="00B12613" w:rsidRDefault="00D24E61" w:rsidP="00D24E61">
      <w:pPr>
        <w:spacing w:after="360"/>
        <w:rPr>
          <w:spacing w:val="-15"/>
          <w:sz w:val="24"/>
          <w:szCs w:val="24"/>
        </w:rPr>
      </w:pPr>
      <w:r w:rsidRPr="00B12613">
        <w:rPr>
          <w:sz w:val="24"/>
          <w:szCs w:val="24"/>
          <w:shd w:val="clear" w:color="auto" w:fill="FFFFFF"/>
        </w:rPr>
        <w:t xml:space="preserve">SWAIN, Tânia Navarro. </w:t>
      </w:r>
      <w:r w:rsidRPr="00B12613">
        <w:rPr>
          <w:b/>
          <w:sz w:val="24"/>
          <w:szCs w:val="24"/>
          <w:shd w:val="clear" w:color="auto" w:fill="FFFFFF"/>
        </w:rPr>
        <w:t xml:space="preserve">O que é Lesbianismo. </w:t>
      </w:r>
      <w:r w:rsidRPr="00B12613">
        <w:rPr>
          <w:sz w:val="24"/>
          <w:szCs w:val="24"/>
          <w:shd w:val="clear" w:color="auto" w:fill="FFFFFF"/>
        </w:rPr>
        <w:t>São Paulo. Brasiliense, 2000.</w:t>
      </w:r>
    </w:p>
    <w:p w:rsidR="00D24E61" w:rsidRPr="00B12613" w:rsidRDefault="00D24E61" w:rsidP="00D24E61">
      <w:pPr>
        <w:spacing w:after="360"/>
        <w:rPr>
          <w:sz w:val="24"/>
          <w:szCs w:val="24"/>
        </w:rPr>
      </w:pPr>
      <w:r w:rsidRPr="00B12613">
        <w:rPr>
          <w:sz w:val="24"/>
          <w:szCs w:val="24"/>
          <w:shd w:val="clear" w:color="auto" w:fill="FFFFFF"/>
        </w:rPr>
        <w:t>VIEIRA, Josênia Antunes. A Identidade da mulher na modernidade. 2005.</w:t>
      </w:r>
      <w:r w:rsidRPr="00B12613">
        <w:rPr>
          <w:bCs/>
          <w:sz w:val="24"/>
          <w:szCs w:val="24"/>
        </w:rPr>
        <w:t xml:space="preserve"> </w:t>
      </w:r>
      <w:r w:rsidRPr="00B12613">
        <w:rPr>
          <w:sz w:val="24"/>
          <w:szCs w:val="24"/>
        </w:rPr>
        <w:t>Universidade de Brasília. Disponível em: &lt;</w:t>
      </w:r>
      <w:r w:rsidRPr="00B12613">
        <w:rPr>
          <w:rFonts w:eastAsia="Calibri"/>
          <w:bCs/>
          <w:sz w:val="24"/>
          <w:szCs w:val="24"/>
        </w:rPr>
        <w:t>http://www.scielo.br/pdf</w:t>
      </w:r>
      <w:r w:rsidRPr="00B12613">
        <w:rPr>
          <w:sz w:val="24"/>
          <w:szCs w:val="24"/>
        </w:rPr>
        <w:t>&gt;. Acessado em out. de 2012.</w:t>
      </w:r>
    </w:p>
    <w:p w:rsidR="00D24E61" w:rsidRPr="00B12613" w:rsidRDefault="00D24E61" w:rsidP="00D24E61">
      <w:pPr>
        <w:spacing w:after="360"/>
        <w:rPr>
          <w:sz w:val="24"/>
          <w:szCs w:val="24"/>
        </w:rPr>
      </w:pPr>
      <w:r w:rsidRPr="00B12613">
        <w:rPr>
          <w:rFonts w:eastAsia="Calibri"/>
          <w:bCs/>
          <w:sz w:val="24"/>
          <w:szCs w:val="24"/>
        </w:rPr>
        <w:t>ZANATTA, Elaine Marques</w:t>
      </w:r>
      <w:r w:rsidRPr="00B12613">
        <w:rPr>
          <w:rFonts w:eastAsia="Calibri"/>
          <w:b/>
          <w:bCs/>
          <w:sz w:val="24"/>
          <w:szCs w:val="24"/>
        </w:rPr>
        <w:t>. Documento e identidade: o movimento homossexual no Brasil na década de 80.</w:t>
      </w:r>
      <w:r w:rsidRPr="00B12613">
        <w:rPr>
          <w:sz w:val="24"/>
          <w:szCs w:val="24"/>
        </w:rPr>
        <w:t xml:space="preserve"> Disponível em: &lt;</w:t>
      </w:r>
      <w:r w:rsidRPr="00B12613">
        <w:rPr>
          <w:rFonts w:eastAsia="Calibri"/>
          <w:bCs/>
          <w:sz w:val="24"/>
          <w:szCs w:val="24"/>
        </w:rPr>
        <w:t>http://www.ifch.unicamp.br</w:t>
      </w:r>
      <w:r w:rsidRPr="00B12613">
        <w:rPr>
          <w:sz w:val="24"/>
          <w:szCs w:val="24"/>
        </w:rPr>
        <w:t>&gt;. Acessado em out. de 2012.</w:t>
      </w:r>
    </w:p>
    <w:p w:rsidR="00B12613" w:rsidRDefault="00B12613">
      <w:pPr>
        <w:rPr>
          <w:b/>
          <w:bCs/>
          <w:sz w:val="24"/>
          <w:szCs w:val="24"/>
        </w:rPr>
      </w:pPr>
      <w:r>
        <w:rPr>
          <w:b/>
          <w:bCs/>
          <w:sz w:val="24"/>
          <w:szCs w:val="24"/>
        </w:rPr>
        <w:br w:type="page"/>
      </w:r>
    </w:p>
    <w:p w:rsidR="00D24E61" w:rsidRPr="00771368" w:rsidRDefault="00D24E61">
      <w:pPr>
        <w:ind w:left="1321"/>
        <w:rPr>
          <w:sz w:val="20"/>
          <w:szCs w:val="20"/>
        </w:rPr>
      </w:pPr>
      <w:r w:rsidRPr="00771368">
        <w:rPr>
          <w:b/>
          <w:bCs/>
          <w:sz w:val="24"/>
          <w:szCs w:val="24"/>
        </w:rPr>
        <w:t>Ajustando as “lentes” do Serviço Social para “fotografar” questões de</w:t>
      </w:r>
    </w:p>
    <w:p w:rsidR="00D24E61" w:rsidRPr="00771368" w:rsidRDefault="00D24E61">
      <w:pPr>
        <w:spacing w:line="137" w:lineRule="exact"/>
        <w:rPr>
          <w:sz w:val="24"/>
          <w:szCs w:val="24"/>
        </w:rPr>
      </w:pPr>
    </w:p>
    <w:p w:rsidR="00D24E61" w:rsidRPr="00771368" w:rsidRDefault="00D24E61">
      <w:pPr>
        <w:ind w:left="2721"/>
        <w:rPr>
          <w:sz w:val="20"/>
          <w:szCs w:val="20"/>
        </w:rPr>
      </w:pPr>
      <w:r w:rsidRPr="00771368">
        <w:rPr>
          <w:b/>
          <w:bCs/>
          <w:sz w:val="24"/>
          <w:szCs w:val="24"/>
        </w:rPr>
        <w:t>sexualidade, gênero e travestilidade</w:t>
      </w:r>
    </w:p>
    <w:p w:rsidR="00D24E61" w:rsidRPr="00771368" w:rsidRDefault="00D24E61">
      <w:pPr>
        <w:spacing w:line="320" w:lineRule="exact"/>
        <w:rPr>
          <w:sz w:val="24"/>
          <w:szCs w:val="24"/>
        </w:rPr>
      </w:pPr>
    </w:p>
    <w:p w:rsidR="00D24E61" w:rsidRPr="00771368" w:rsidRDefault="00D24E61">
      <w:pPr>
        <w:ind w:left="701"/>
        <w:rPr>
          <w:sz w:val="20"/>
          <w:szCs w:val="20"/>
        </w:rPr>
      </w:pPr>
      <w:bookmarkStart w:id="40" w:name="_Toc442034729"/>
      <w:r w:rsidRPr="00B12613">
        <w:rPr>
          <w:rStyle w:val="Ttulo1Char"/>
        </w:rPr>
        <w:t>Mirlana da Silva Cardoso</w:t>
      </w:r>
      <w:bookmarkEnd w:id="40"/>
      <w:r w:rsidRPr="00771368">
        <w:rPr>
          <w:i/>
          <w:iCs/>
          <w:sz w:val="24"/>
          <w:szCs w:val="24"/>
        </w:rPr>
        <w:t xml:space="preserve"> </w:t>
      </w:r>
      <w:r w:rsidRPr="00771368">
        <w:rPr>
          <w:sz w:val="24"/>
          <w:szCs w:val="24"/>
        </w:rPr>
        <w:t>–</w:t>
      </w:r>
      <w:r w:rsidRPr="00771368">
        <w:rPr>
          <w:i/>
          <w:iCs/>
          <w:sz w:val="24"/>
          <w:szCs w:val="24"/>
        </w:rPr>
        <w:t xml:space="preserve"> </w:t>
      </w:r>
      <w:r w:rsidRPr="00771368">
        <w:rPr>
          <w:sz w:val="24"/>
          <w:szCs w:val="24"/>
        </w:rPr>
        <w:t>Universidade da Amazônia (UNAMA)</w:t>
      </w:r>
      <w:r w:rsidRPr="00771368">
        <w:rPr>
          <w:sz w:val="32"/>
          <w:szCs w:val="32"/>
          <w:vertAlign w:val="superscript"/>
        </w:rPr>
        <w:t>1</w:t>
      </w:r>
    </w:p>
    <w:p w:rsidR="00D24E61" w:rsidRPr="00771368" w:rsidRDefault="00D24E61">
      <w:pPr>
        <w:spacing w:line="119" w:lineRule="exact"/>
        <w:rPr>
          <w:sz w:val="24"/>
          <w:szCs w:val="24"/>
        </w:rPr>
      </w:pPr>
    </w:p>
    <w:p w:rsidR="00D24E61" w:rsidRPr="00771368" w:rsidRDefault="00D24E61">
      <w:pPr>
        <w:spacing w:line="282" w:lineRule="auto"/>
        <w:ind w:left="1" w:right="20" w:firstLine="708"/>
        <w:jc w:val="both"/>
        <w:rPr>
          <w:sz w:val="20"/>
          <w:szCs w:val="20"/>
        </w:rPr>
      </w:pPr>
      <w:r w:rsidRPr="00771368">
        <w:rPr>
          <w:sz w:val="24"/>
          <w:szCs w:val="24"/>
        </w:rPr>
        <w:t>Orientador: Prof. Dr. Jorge Luiz Oliveira dos Santos – Universidade da Amazônia (UNAMA)</w:t>
      </w:r>
      <w:r w:rsidRPr="00771368">
        <w:rPr>
          <w:sz w:val="32"/>
          <w:szCs w:val="32"/>
          <w:vertAlign w:val="superscript"/>
        </w:rPr>
        <w:t>2</w:t>
      </w:r>
    </w:p>
    <w:p w:rsidR="00D24E61" w:rsidRPr="00771368" w:rsidRDefault="00D24E61">
      <w:pPr>
        <w:spacing w:line="200" w:lineRule="exact"/>
        <w:rPr>
          <w:sz w:val="24"/>
          <w:szCs w:val="24"/>
        </w:rPr>
      </w:pPr>
    </w:p>
    <w:p w:rsidR="00D24E61" w:rsidRPr="00771368" w:rsidRDefault="00D24E61">
      <w:pPr>
        <w:spacing w:line="231" w:lineRule="exact"/>
        <w:rPr>
          <w:sz w:val="24"/>
          <w:szCs w:val="24"/>
        </w:rPr>
      </w:pPr>
    </w:p>
    <w:p w:rsidR="00D24E61" w:rsidRPr="00771368" w:rsidRDefault="00D24E61">
      <w:pPr>
        <w:ind w:left="701"/>
        <w:rPr>
          <w:sz w:val="20"/>
          <w:szCs w:val="20"/>
        </w:rPr>
      </w:pPr>
      <w:r w:rsidRPr="00771368">
        <w:rPr>
          <w:b/>
          <w:bCs/>
          <w:sz w:val="24"/>
          <w:szCs w:val="24"/>
        </w:rPr>
        <w:t>Introdução</w:t>
      </w:r>
    </w:p>
    <w:p w:rsidR="00D24E61" w:rsidRPr="00771368" w:rsidRDefault="00D24E61">
      <w:pPr>
        <w:spacing w:line="200" w:lineRule="exact"/>
        <w:rPr>
          <w:sz w:val="24"/>
          <w:szCs w:val="24"/>
        </w:rPr>
      </w:pPr>
    </w:p>
    <w:p w:rsidR="00D24E61" w:rsidRPr="00771368" w:rsidRDefault="00D24E61">
      <w:pPr>
        <w:spacing w:line="269" w:lineRule="exact"/>
        <w:rPr>
          <w:sz w:val="24"/>
          <w:szCs w:val="24"/>
        </w:rPr>
      </w:pPr>
    </w:p>
    <w:p w:rsidR="00D24E61" w:rsidRPr="00771368" w:rsidRDefault="00D24E61">
      <w:pPr>
        <w:spacing w:line="346" w:lineRule="auto"/>
        <w:ind w:left="1" w:firstLine="768"/>
        <w:jc w:val="both"/>
        <w:rPr>
          <w:sz w:val="20"/>
          <w:szCs w:val="20"/>
        </w:rPr>
      </w:pPr>
      <w:r w:rsidRPr="00771368">
        <w:rPr>
          <w:sz w:val="24"/>
          <w:szCs w:val="24"/>
        </w:rPr>
        <w:t>Minha aproximação com o tema nasceu há pouco mais de dois anos, nas minhas idas e vindas costumeiras no trajeto de casa à Universidade e vice-versa. Comecei a notar, no meu percurso, pessoas não habituais ao meu cotidiano. Logo, minha curiosidade aguçou em conhecê-las, ou pelo menos, identificá-las. Meu primeiro contato visual foi de longe, assim: pensei que eram “mulheres”. Mas, pelos comentários ao meu redor, percebi que não eram</w:t>
      </w:r>
    </w:p>
    <w:p w:rsidR="00D24E61" w:rsidRPr="00771368" w:rsidRDefault="00D24E61">
      <w:pPr>
        <w:spacing w:line="22" w:lineRule="exact"/>
        <w:rPr>
          <w:sz w:val="24"/>
          <w:szCs w:val="24"/>
        </w:rPr>
      </w:pPr>
    </w:p>
    <w:p w:rsidR="00D24E61" w:rsidRPr="00771368" w:rsidRDefault="00D24E61">
      <w:pPr>
        <w:ind w:left="1"/>
        <w:rPr>
          <w:sz w:val="20"/>
          <w:szCs w:val="20"/>
        </w:rPr>
      </w:pPr>
      <w:r w:rsidRPr="00771368">
        <w:rPr>
          <w:sz w:val="24"/>
          <w:szCs w:val="24"/>
        </w:rPr>
        <w:t>“mulheres”; na verdade, eram homens, ou melhor, travestis.</w:t>
      </w:r>
    </w:p>
    <w:p w:rsidR="00D24E61" w:rsidRPr="00771368" w:rsidRDefault="00D24E61">
      <w:pPr>
        <w:spacing w:line="195" w:lineRule="exact"/>
        <w:rPr>
          <w:sz w:val="24"/>
          <w:szCs w:val="24"/>
        </w:rPr>
      </w:pPr>
    </w:p>
    <w:p w:rsidR="00D24E61" w:rsidRPr="00771368" w:rsidRDefault="00D24E61">
      <w:pPr>
        <w:spacing w:line="343" w:lineRule="auto"/>
        <w:ind w:left="1" w:firstLine="708"/>
        <w:jc w:val="both"/>
        <w:rPr>
          <w:sz w:val="20"/>
          <w:szCs w:val="20"/>
        </w:rPr>
      </w:pPr>
      <w:r w:rsidRPr="00771368">
        <w:rPr>
          <w:sz w:val="24"/>
          <w:szCs w:val="24"/>
        </w:rPr>
        <w:t>Inquieta, comecei a me dedicar ao estudo das temáticas relacionadas à travestilidade. Na medida em que me aproximava da literatura, bem como de informações veiculadas nos meios de comunicação, mais curiosidades e dúvidas me circundavam, impulsionando-me a, por assim dizer, “fotografar” esse universo. Universo este, que percebi não ser tão</w:t>
      </w:r>
    </w:p>
    <w:p w:rsidR="00D24E61" w:rsidRPr="00771368" w:rsidRDefault="00D24E61">
      <w:pPr>
        <w:spacing w:line="79" w:lineRule="exact"/>
        <w:rPr>
          <w:sz w:val="24"/>
          <w:szCs w:val="24"/>
        </w:rPr>
      </w:pPr>
    </w:p>
    <w:p w:rsidR="00D24E61" w:rsidRPr="00771368" w:rsidRDefault="00D24E61">
      <w:pPr>
        <w:spacing w:line="347" w:lineRule="auto"/>
        <w:ind w:left="1" w:right="20"/>
        <w:jc w:val="both"/>
        <w:rPr>
          <w:sz w:val="20"/>
          <w:szCs w:val="20"/>
        </w:rPr>
      </w:pPr>
      <w:r w:rsidRPr="00771368">
        <w:rPr>
          <w:sz w:val="24"/>
          <w:szCs w:val="24"/>
        </w:rPr>
        <w:t xml:space="preserve">“fotografado” pelas “lentes” do Serviço Social. Assim, percebi a necessidade do Serviço Social também “fotografar” o cotidiano das travestis. Decidi me lançar como “fotógrafa”, dando um </w:t>
      </w:r>
      <w:r w:rsidRPr="00771368">
        <w:rPr>
          <w:i/>
          <w:iCs/>
          <w:sz w:val="24"/>
          <w:szCs w:val="24"/>
        </w:rPr>
        <w:t>close</w:t>
      </w:r>
      <w:r w:rsidRPr="00771368">
        <w:rPr>
          <w:sz w:val="24"/>
          <w:szCs w:val="24"/>
        </w:rPr>
        <w:t xml:space="preserve"> nelas. O resultado de toda esta inquietação se transformou em meu Trabalho de Conclusão de Curso – TCC: “Dando um </w:t>
      </w:r>
      <w:r w:rsidRPr="00771368">
        <w:rPr>
          <w:i/>
          <w:iCs/>
          <w:sz w:val="24"/>
          <w:szCs w:val="24"/>
        </w:rPr>
        <w:t>close</w:t>
      </w:r>
      <w:r w:rsidRPr="00771368">
        <w:rPr>
          <w:sz w:val="24"/>
          <w:szCs w:val="24"/>
        </w:rPr>
        <w:t xml:space="preserve"> nelas – um zoom pelo mundo das travestis em Belém/PA”, defendido em 2012.</w:t>
      </w:r>
    </w:p>
    <w:p w:rsidR="00D24E61" w:rsidRPr="00771368" w:rsidRDefault="00D24E61">
      <w:pPr>
        <w:spacing w:line="18" w:lineRule="exact"/>
        <w:rPr>
          <w:sz w:val="24"/>
          <w:szCs w:val="24"/>
        </w:rPr>
      </w:pPr>
    </w:p>
    <w:p w:rsidR="00D24E61" w:rsidRPr="00771368" w:rsidRDefault="00D24E61">
      <w:pPr>
        <w:ind w:left="701"/>
        <w:rPr>
          <w:sz w:val="20"/>
          <w:szCs w:val="20"/>
        </w:rPr>
      </w:pPr>
      <w:r w:rsidRPr="00771368">
        <w:rPr>
          <w:sz w:val="24"/>
          <w:szCs w:val="24"/>
        </w:rPr>
        <w:t xml:space="preserve">Para dar esse </w:t>
      </w:r>
      <w:r w:rsidRPr="00771368">
        <w:rPr>
          <w:i/>
          <w:iCs/>
          <w:sz w:val="24"/>
          <w:szCs w:val="24"/>
        </w:rPr>
        <w:t>close</w:t>
      </w:r>
      <w:r w:rsidRPr="00771368">
        <w:rPr>
          <w:sz w:val="24"/>
          <w:szCs w:val="24"/>
        </w:rPr>
        <w:t xml:space="preserve"> nelas, meu “studio fotográfico” principal, foi a Organização Não</w:t>
      </w:r>
    </w:p>
    <w:p w:rsidR="00D24E61" w:rsidRPr="00771368" w:rsidRDefault="00D24E61">
      <w:pPr>
        <w:spacing w:line="195" w:lineRule="exact"/>
        <w:rPr>
          <w:sz w:val="24"/>
          <w:szCs w:val="24"/>
        </w:rPr>
      </w:pPr>
    </w:p>
    <w:p w:rsidR="00D24E61" w:rsidRPr="00771368" w:rsidRDefault="00D24E61">
      <w:pPr>
        <w:spacing w:line="353" w:lineRule="auto"/>
        <w:ind w:left="1"/>
        <w:jc w:val="both"/>
        <w:rPr>
          <w:sz w:val="20"/>
          <w:szCs w:val="20"/>
        </w:rPr>
      </w:pPr>
      <w:r w:rsidRPr="00771368">
        <w:rPr>
          <w:sz w:val="24"/>
          <w:szCs w:val="24"/>
        </w:rPr>
        <w:t xml:space="preserve">Governamental Grupo de Resistência de Travestis e Transexuais da Amazônia – GRETTA, localizada no bairro do Comércio, em Belém/PA. Lá, tive o suporte de </w:t>
      </w:r>
      <w:r w:rsidRPr="00771368">
        <w:rPr>
          <w:b/>
          <w:bCs/>
          <w:i/>
          <w:iCs/>
          <w:sz w:val="24"/>
          <w:szCs w:val="24"/>
        </w:rPr>
        <w:t>Symmy Larrat,</w:t>
      </w:r>
      <w:r w:rsidRPr="00771368">
        <w:rPr>
          <w:sz w:val="24"/>
          <w:szCs w:val="24"/>
        </w:rPr>
        <w:t xml:space="preserve"> ativista do grupo, conhecida pela luta dos direitos de travestis e transexuais no Estado. Considero-a minha informante/interlocutora-chave na pesquisa, pois fez com que as “pedras preciosas” aparecessem para que eu pudesse “clicá-las”. No total, contei com 08 (oito) interlocutoras/travestis. Utilizei como recurso metodológico a substituição de nomes, na tentativa de salvaguardar o anonimato de minhas interlocutoras. Assim, passei a nominá-las com o nome de pedras preciosas, por considerá-las pessoas cheias de brilho, misteriosas,</w:t>
      </w:r>
    </w:p>
    <w:p w:rsidR="00D24E61" w:rsidRPr="00771368" w:rsidRDefault="00013211">
      <w:pPr>
        <w:spacing w:line="170" w:lineRule="exact"/>
        <w:rPr>
          <w:sz w:val="24"/>
          <w:szCs w:val="24"/>
        </w:rPr>
      </w:pPr>
      <w:r>
        <w:rPr>
          <w:noProof/>
          <w:sz w:val="24"/>
          <w:szCs w:val="24"/>
        </w:rPr>
        <mc:AlternateContent>
          <mc:Choice Requires="wps">
            <w:drawing>
              <wp:anchor distT="0" distB="0" distL="0" distR="0" simplePos="0" relativeHeight="251607552" behindDoc="0" locked="0" layoutInCell="0" allowOverlap="1">
                <wp:simplePos x="0" y="0"/>
                <wp:positionH relativeFrom="column">
                  <wp:posOffset>0</wp:posOffset>
                </wp:positionH>
                <wp:positionV relativeFrom="paragraph">
                  <wp:posOffset>82550</wp:posOffset>
                </wp:positionV>
                <wp:extent cx="1828800" cy="0"/>
                <wp:effectExtent l="9525" t="6350" r="9525" b="12700"/>
                <wp:wrapNone/>
                <wp:docPr id="32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0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2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" o:allowincell="f" strokeweight=".84pt"/>
            </w:pict>
          </mc:Fallback>
        </mc:AlternateContent>
      </w:r>
    </w:p>
    <w:p w:rsidR="00D24E61" w:rsidRPr="00771368" w:rsidRDefault="00B12613" w:rsidP="00B12613">
      <w:pPr>
        <w:tabs>
          <w:tab w:val="left" w:pos="121"/>
        </w:tabs>
        <w:jc w:val="both"/>
        <w:rPr>
          <w:sz w:val="26"/>
          <w:szCs w:val="26"/>
          <w:vertAlign w:val="superscript"/>
        </w:rPr>
      </w:pPr>
      <w:r w:rsidRPr="00B12613">
        <w:rPr>
          <w:sz w:val="20"/>
          <w:szCs w:val="20"/>
          <w:vertAlign w:val="superscript"/>
        </w:rPr>
        <w:t>1</w:t>
      </w:r>
      <w:r w:rsidR="00D24E61" w:rsidRPr="00771368">
        <w:rPr>
          <w:sz w:val="20"/>
          <w:szCs w:val="20"/>
        </w:rPr>
        <w:t>Graduada em Serviço Social pela Universidade da Amazônia – UNAMA.</w:t>
      </w:r>
    </w:p>
    <w:p w:rsidR="00D24E61" w:rsidRPr="00771368" w:rsidRDefault="00D24E61">
      <w:pPr>
        <w:spacing w:line="19" w:lineRule="exact"/>
        <w:rPr>
          <w:sz w:val="26"/>
          <w:szCs w:val="26"/>
          <w:vertAlign w:val="superscript"/>
        </w:rPr>
      </w:pPr>
    </w:p>
    <w:p w:rsidR="00D24E61" w:rsidRPr="00B12613" w:rsidRDefault="00B12613" w:rsidP="00B12613">
      <w:pPr>
        <w:tabs>
          <w:tab w:val="left" w:pos="121"/>
        </w:tabs>
        <w:spacing w:line="183" w:lineRule="auto"/>
        <w:jc w:val="both"/>
        <w:rPr>
          <w:sz w:val="24"/>
          <w:szCs w:val="24"/>
          <w:vertAlign w:val="superscript"/>
        </w:rPr>
        <w:sectPr w:rsidR="00D24E61" w:rsidRPr="00B12613" w:rsidSect="00D24E61">
          <w:footerReference w:type="default" r:id="rId83"/>
          <w:pgSz w:w="11900" w:h="16840"/>
          <w:pgMar w:top="690" w:right="1420" w:bottom="1440" w:left="1420" w:header="0" w:footer="0" w:gutter="0"/>
          <w:cols w:space="720" w:equalWidth="0">
            <w:col w:w="9060"/>
          </w:cols>
        </w:sectPr>
      </w:pPr>
      <w:r w:rsidRPr="00B12613">
        <w:rPr>
          <w:sz w:val="18"/>
          <w:szCs w:val="18"/>
          <w:vertAlign w:val="superscript"/>
        </w:rPr>
        <w:t>2</w:t>
      </w:r>
      <w:r w:rsidR="00D24E61" w:rsidRPr="00771368">
        <w:rPr>
          <w:sz w:val="18"/>
          <w:szCs w:val="18"/>
        </w:rPr>
        <w:t>Professor Titular junto à Universidade da Amazônia – UNAMA. Doutor em Ciências Sociais – Antropologia.</w:t>
      </w:r>
    </w:p>
    <w:p w:rsidR="00D24E61" w:rsidRPr="00771368" w:rsidRDefault="00D24E61" w:rsidP="00B12613">
      <w:pPr>
        <w:rPr>
          <w:sz w:val="20"/>
          <w:szCs w:val="20"/>
        </w:r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51" w:lineRule="auto"/>
        <w:jc w:val="both"/>
        <w:rPr>
          <w:sz w:val="20"/>
          <w:szCs w:val="20"/>
        </w:rPr>
      </w:pPr>
      <w:r w:rsidRPr="00771368">
        <w:rPr>
          <w:sz w:val="24"/>
          <w:szCs w:val="24"/>
        </w:rPr>
        <w:t xml:space="preserve">iluminadas, que despertam atenção por onde passam. São elas: </w:t>
      </w:r>
      <w:r w:rsidRPr="00771368">
        <w:rPr>
          <w:b/>
          <w:bCs/>
          <w:i/>
          <w:iCs/>
          <w:sz w:val="24"/>
          <w:szCs w:val="24"/>
        </w:rPr>
        <w:t>Safira, Esmeralda, Ametista,</w:t>
      </w:r>
      <w:r w:rsidRPr="00771368">
        <w:rPr>
          <w:sz w:val="24"/>
          <w:szCs w:val="24"/>
        </w:rPr>
        <w:t xml:space="preserve"> </w:t>
      </w:r>
      <w:r w:rsidRPr="00771368">
        <w:rPr>
          <w:b/>
          <w:bCs/>
          <w:i/>
          <w:iCs/>
          <w:sz w:val="24"/>
          <w:szCs w:val="24"/>
        </w:rPr>
        <w:t xml:space="preserve">Rubi, Cristal, Jade </w:t>
      </w:r>
      <w:r w:rsidRPr="00771368">
        <w:rPr>
          <w:sz w:val="24"/>
          <w:szCs w:val="24"/>
        </w:rPr>
        <w:t>e</w:t>
      </w:r>
      <w:r w:rsidRPr="00771368">
        <w:rPr>
          <w:b/>
          <w:bCs/>
          <w:i/>
          <w:iCs/>
          <w:sz w:val="24"/>
          <w:szCs w:val="24"/>
        </w:rPr>
        <w:t xml:space="preserve"> Turquesa. </w:t>
      </w:r>
      <w:r w:rsidRPr="00771368">
        <w:rPr>
          <w:sz w:val="24"/>
          <w:szCs w:val="24"/>
        </w:rPr>
        <w:t>A pesquisa de campo ocorreu no período de outubro a</w:t>
      </w:r>
      <w:r w:rsidRPr="00771368">
        <w:rPr>
          <w:b/>
          <w:bCs/>
          <w:i/>
          <w:iCs/>
          <w:sz w:val="24"/>
          <w:szCs w:val="24"/>
        </w:rPr>
        <w:t xml:space="preserve"> </w:t>
      </w:r>
      <w:r w:rsidRPr="00771368">
        <w:rPr>
          <w:sz w:val="24"/>
          <w:szCs w:val="24"/>
        </w:rPr>
        <w:t>novembro de 2012, no GRETTA, e no bairro do Reduto, conhecido em Belém/PA pela grande movimentação noturna. Inicialmente, pretendia ter como “pedras preciosas” somente as travestis associadas ao GRETTA, no entanto, decidi “clicar”, também, àquelas que frequentam os espaços de “batalha” (termo êmico utilizado para denominar o ato de trabalhar na prostituição).</w:t>
      </w:r>
    </w:p>
    <w:p w:rsidR="00D24E61" w:rsidRPr="00771368" w:rsidRDefault="00D24E61">
      <w:pPr>
        <w:spacing w:line="72"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Para “revelar” o que foi “fotografado” no universo de minhas “pedras preciosas”, utilizei como técnicas, a observação participante e a entrevista semiestruturada, com um roteiro pré-elaborado, visto que esse recurso tem como vantagem a elasticidade dos questionamentos/respostas. Quanto à observação participante, empreguei-a por ser um processo gradual, que auxilia no detalhamento de tudo que seja significante para a compreensão do mundo social que está sendo investigado. Com o intuito de complementar a</w:t>
      </w:r>
    </w:p>
    <w:p w:rsidR="00D24E61" w:rsidRPr="00771368" w:rsidRDefault="00D24E61">
      <w:pPr>
        <w:spacing w:line="12" w:lineRule="exact"/>
        <w:rPr>
          <w:sz w:val="20"/>
          <w:szCs w:val="20"/>
        </w:rPr>
      </w:pPr>
    </w:p>
    <w:p w:rsidR="00D24E61" w:rsidRPr="00771368" w:rsidRDefault="00D24E61">
      <w:pPr>
        <w:rPr>
          <w:sz w:val="20"/>
          <w:szCs w:val="20"/>
        </w:rPr>
      </w:pPr>
      <w:r w:rsidRPr="00771368">
        <w:rPr>
          <w:sz w:val="24"/>
          <w:szCs w:val="24"/>
        </w:rPr>
        <w:t>“revelação” e análise de “minhas fotografias”, participei da 11ª Parada de Orgulho LGBT em</w:t>
      </w:r>
    </w:p>
    <w:p w:rsidR="00D24E61" w:rsidRPr="00771368" w:rsidRDefault="00D24E61">
      <w:pPr>
        <w:spacing w:line="197" w:lineRule="exact"/>
        <w:rPr>
          <w:sz w:val="20"/>
          <w:szCs w:val="20"/>
        </w:rPr>
      </w:pPr>
    </w:p>
    <w:p w:rsidR="00D24E61" w:rsidRPr="00771368" w:rsidRDefault="00D24E61">
      <w:pPr>
        <w:spacing w:line="308" w:lineRule="auto"/>
        <w:jc w:val="both"/>
        <w:rPr>
          <w:sz w:val="20"/>
          <w:szCs w:val="20"/>
        </w:rPr>
      </w:pPr>
      <w:r w:rsidRPr="00771368">
        <w:rPr>
          <w:sz w:val="24"/>
          <w:szCs w:val="24"/>
        </w:rPr>
        <w:t>Belém/PA, que aconteceu no dia 30 de setembro de 2012. Nela, fui pesquisadora na pesquisa intitulada Política, Violência e Direitos Sexuais, realizada pelo Instituto Papai</w:t>
      </w:r>
      <w:r w:rsidRPr="00771368">
        <w:rPr>
          <w:sz w:val="32"/>
          <w:szCs w:val="32"/>
          <w:vertAlign w:val="superscript"/>
        </w:rPr>
        <w:t>3</w:t>
      </w:r>
      <w:r w:rsidRPr="00771368">
        <w:rPr>
          <w:sz w:val="24"/>
          <w:szCs w:val="24"/>
        </w:rPr>
        <w:t>. Além da coleta de dados que fiz para tal pesquisa, valeu-me a experiência para obtenção de informações que foram acrescidas ao trabalho que vinha desenvolvendo.</w:t>
      </w:r>
    </w:p>
    <w:p w:rsidR="00D24E61" w:rsidRPr="00771368" w:rsidRDefault="00D24E61">
      <w:pPr>
        <w:spacing w:line="344" w:lineRule="exact"/>
        <w:rPr>
          <w:sz w:val="20"/>
          <w:szCs w:val="20"/>
        </w:rPr>
      </w:pPr>
    </w:p>
    <w:p w:rsidR="00D24E61" w:rsidRPr="00771368" w:rsidRDefault="00D24E61">
      <w:pPr>
        <w:ind w:left="700"/>
        <w:rPr>
          <w:sz w:val="20"/>
          <w:szCs w:val="20"/>
        </w:rPr>
      </w:pPr>
      <w:r w:rsidRPr="00771368">
        <w:rPr>
          <w:b/>
          <w:bCs/>
          <w:sz w:val="24"/>
          <w:szCs w:val="24"/>
        </w:rPr>
        <w:t>Discussões de sexualidade, gênero e travestilidade em Serviço Social</w:t>
      </w:r>
    </w:p>
    <w:p w:rsidR="00D24E61" w:rsidRPr="00771368" w:rsidRDefault="00D24E61">
      <w:pPr>
        <w:spacing w:line="200" w:lineRule="exact"/>
        <w:rPr>
          <w:sz w:val="20"/>
          <w:szCs w:val="20"/>
        </w:rPr>
      </w:pPr>
    </w:p>
    <w:p w:rsidR="00D24E61" w:rsidRPr="00771368" w:rsidRDefault="00D24E61">
      <w:pPr>
        <w:spacing w:line="266"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As transformações ocorridas nos últimos anos no seio de nossa sociedade, em diferentes âmbitos, proporcionaram a visibilidade de certas temáticas ditas como “novas problemáticas do século XXI”. Este, pode-se dizer é o caso das questões de sexualidade e gênero, e dentro delas, as discussões sobre travestilidade. Uma discussão nova em todas as áreas do conhecimento e, sobremaneira, no Serviço Social.</w:t>
      </w:r>
    </w:p>
    <w:p w:rsidR="00D24E61" w:rsidRPr="00771368" w:rsidRDefault="00D24E61">
      <w:pPr>
        <w:spacing w:line="74"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Correntemente embora questionado como “disciplina profissional, como prática social e como prática educativa” (BULLA et al. 1998, p. 363), “ou apesar desse questionamento e até mesmo contra esse mesmo questionamento, o Serviço Social, enquanto área de conhecimento e formação profissional, figura no rol das profissões interventivas de/na realidade social”, como sugere Faury (2003, p.108). Nesse sentido, “reconceituações” têm</w:t>
      </w:r>
    </w:p>
    <w:p w:rsidR="00D24E61" w:rsidRPr="00771368" w:rsidRDefault="00013211">
      <w:pPr>
        <w:spacing w:line="347" w:lineRule="auto"/>
        <w:ind w:right="20" w:firstLine="708"/>
        <w:jc w:val="both"/>
        <w:rPr>
          <w:sz w:val="20"/>
          <w:szCs w:val="20"/>
        </w:rPr>
        <w:sectPr w:rsidR="00D24E61" w:rsidRPr="00771368">
          <w:pgSz w:w="11900" w:h="16838"/>
          <w:pgMar w:top="703" w:right="1400" w:bottom="1151" w:left="1420" w:header="0" w:footer="0" w:gutter="0"/>
          <w:cols w:space="720" w:equalWidth="0">
            <w:col w:w="9080"/>
          </w:cols>
        </w:sectPr>
      </w:pPr>
      <w:r>
        <w:rPr>
          <w:noProof/>
          <w:sz w:val="20"/>
          <w:szCs w:val="20"/>
        </w:rPr>
        <mc:AlternateContent>
          <mc:Choice Requires="wps">
            <w:drawing>
              <wp:anchor distT="0" distB="0" distL="0" distR="0" simplePos="0" relativeHeight="251608576" behindDoc="0" locked="0" layoutInCell="0" allowOverlap="1">
                <wp:simplePos x="0" y="0"/>
                <wp:positionH relativeFrom="column">
                  <wp:posOffset>-635</wp:posOffset>
                </wp:positionH>
                <wp:positionV relativeFrom="paragraph">
                  <wp:posOffset>421005</wp:posOffset>
                </wp:positionV>
                <wp:extent cx="1828800" cy="0"/>
                <wp:effectExtent l="8890" t="11430" r="10160" b="7620"/>
                <wp:wrapNone/>
                <wp:docPr id="320"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 o:spid="_x0000_s1026" style="position:absolute;z-index:25160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33.15pt" to="143.9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" o:allowincell="f" strokeweight=".29631mm"/>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81" w:lineRule="exact"/>
        <w:rPr>
          <w:sz w:val="20"/>
          <w:szCs w:val="20"/>
        </w:rPr>
      </w:pPr>
    </w:p>
    <w:p w:rsidR="00D24E61" w:rsidRPr="00771368" w:rsidRDefault="00D24E61">
      <w:pPr>
        <w:spacing w:line="218" w:lineRule="auto"/>
        <w:jc w:val="both"/>
        <w:rPr>
          <w:sz w:val="20"/>
          <w:szCs w:val="20"/>
        </w:rPr>
      </w:pPr>
      <w:r w:rsidRPr="00771368">
        <w:rPr>
          <w:sz w:val="25"/>
          <w:szCs w:val="25"/>
          <w:vertAlign w:val="superscript"/>
        </w:rPr>
        <w:t>3</w:t>
      </w:r>
      <w:r w:rsidRPr="00771368">
        <w:rPr>
          <w:sz w:val="20"/>
          <w:szCs w:val="20"/>
        </w:rPr>
        <w:t xml:space="preserve"> O Instituto PAPAI é uma ONG com sede em Recife/PE que atua com base em princípios feministas e defende a ideia de que uma sociedade justa é aquela em que homens e mulheres têm os mesmos direitos. Cf.: www.papai.org.br.</w:t>
      </w:r>
    </w:p>
    <w:p w:rsidR="00D24E61" w:rsidRPr="00771368" w:rsidRDefault="00D24E61">
      <w:pPr>
        <w:sectPr w:rsidR="00D24E61" w:rsidRPr="00771368">
          <w:type w:val="continuous"/>
          <w:pgSz w:w="11900" w:h="16838"/>
          <w:pgMar w:top="703" w:right="1400" w:bottom="1151" w:left="1420" w:header="0" w:footer="0" w:gutter="0"/>
          <w:cols w:space="720" w:equalWidth="0">
            <w:col w:w="9080"/>
          </w:cols>
        </w:sectPr>
      </w:pPr>
    </w:p>
    <w:p w:rsidR="00D24E61" w:rsidRPr="00771368" w:rsidRDefault="00D24E61" w:rsidP="00B12613">
      <w:pPr>
        <w:rPr>
          <w:sz w:val="20"/>
          <w:szCs w:val="20"/>
        </w:rPr>
      </w:pPr>
    </w:p>
    <w:p w:rsidR="00D24E61" w:rsidRPr="00771368" w:rsidRDefault="00D24E61">
      <w:pPr>
        <w:spacing w:line="273" w:lineRule="exact"/>
        <w:rPr>
          <w:sz w:val="20"/>
          <w:szCs w:val="20"/>
        </w:rPr>
      </w:pPr>
    </w:p>
    <w:p w:rsidR="00D24E61" w:rsidRPr="00771368" w:rsidRDefault="00D24E61">
      <w:pPr>
        <w:spacing w:line="308" w:lineRule="auto"/>
        <w:ind w:right="20"/>
        <w:rPr>
          <w:sz w:val="20"/>
          <w:szCs w:val="20"/>
        </w:rPr>
      </w:pPr>
      <w:r w:rsidRPr="00771368">
        <w:rPr>
          <w:sz w:val="24"/>
          <w:szCs w:val="24"/>
        </w:rPr>
        <w:t>sido implementadas tendo em vista, formar profissionais com capacidade teórico-metodológica, ético-política e técnico-operativa para:</w:t>
      </w:r>
    </w:p>
    <w:p w:rsidR="00D24E61" w:rsidRPr="00771368" w:rsidRDefault="00D24E61">
      <w:pPr>
        <w:spacing w:line="391" w:lineRule="exact"/>
        <w:rPr>
          <w:sz w:val="20"/>
          <w:szCs w:val="20"/>
        </w:rPr>
      </w:pPr>
    </w:p>
    <w:p w:rsidR="00D24E61" w:rsidRPr="00771368" w:rsidRDefault="00D24E61">
      <w:pPr>
        <w:spacing w:line="235" w:lineRule="auto"/>
        <w:ind w:left="2260"/>
        <w:jc w:val="both"/>
        <w:rPr>
          <w:sz w:val="20"/>
          <w:szCs w:val="20"/>
        </w:rPr>
      </w:pPr>
      <w:r w:rsidRPr="00771368">
        <w:t>Que atue nas expressões da questão social, formulando e implementando propostas de intervenção para seu enfrentamento, com capacidade de promover o exercício pleno da cidadania e a inserção criativa e propositiva dos usuários do Serviço Social no conjunto das relações sociais e no mercado de trabalho. Dotado de capacidade teórica e metodológica para interpretar a realidade social e os fenômenos dela derivados: exclusão social, pobreza, vulnerabilidade social, conflito familiar, violência doméstica e infanto-juvenil entre outras. Habilitado para atuar com pessoas de diferentes condições sociais, econômicas, políticas e ideológicas: homens, mulheres, crianças, adolescentes, idosos, portadores de necessidades especiais e a outros segmentos populacionais. (UNAMA, 2011, p.11).</w:t>
      </w:r>
    </w:p>
    <w:p w:rsidR="00D24E61" w:rsidRPr="00771368" w:rsidRDefault="00D24E61">
      <w:pPr>
        <w:spacing w:line="317" w:lineRule="exact"/>
        <w:rPr>
          <w:sz w:val="20"/>
          <w:szCs w:val="20"/>
        </w:rPr>
      </w:pPr>
    </w:p>
    <w:p w:rsidR="00D24E61" w:rsidRPr="00771368" w:rsidRDefault="00D24E61">
      <w:pPr>
        <w:spacing w:line="349" w:lineRule="auto"/>
        <w:ind w:firstLine="708"/>
        <w:jc w:val="both"/>
        <w:rPr>
          <w:sz w:val="20"/>
          <w:szCs w:val="20"/>
        </w:rPr>
      </w:pPr>
      <w:r w:rsidRPr="00771368">
        <w:rPr>
          <w:sz w:val="24"/>
          <w:szCs w:val="24"/>
        </w:rPr>
        <w:t>A formação do/a assistente social é norteada pelo Projeto Ético-Político do Serviço Social incorporado pelo corpo profissional na década de 90 do século passado. É ele que propugna o desafio do debate sobre as questões da diversidade sexual e de gênero, encontrando no Código de Ética do Serviço Social (Resolução do Conselho Federal de Serviço Social – CFESS Nº 273 de 13 de Março de 1993), sua alusão explicitada nos princípios fundamentais, como:</w:t>
      </w:r>
    </w:p>
    <w:p w:rsidR="00D24E61" w:rsidRPr="00771368" w:rsidRDefault="00D24E61">
      <w:pPr>
        <w:spacing w:line="347" w:lineRule="exact"/>
        <w:rPr>
          <w:sz w:val="20"/>
          <w:szCs w:val="20"/>
        </w:rPr>
      </w:pPr>
    </w:p>
    <w:p w:rsidR="00D24E61" w:rsidRPr="00771368" w:rsidRDefault="00D24E61">
      <w:pPr>
        <w:spacing w:line="229" w:lineRule="auto"/>
        <w:ind w:left="2260"/>
        <w:jc w:val="both"/>
        <w:rPr>
          <w:sz w:val="20"/>
          <w:szCs w:val="20"/>
        </w:rPr>
      </w:pPr>
      <w:r w:rsidRPr="00771368">
        <w:t>Empenho na eliminação de todas as formas de preconceito, incentivando o respeito à diversidade, à participação de grupos socialmente discriminados e à discussão das diferenças. Opção por um projeto profissional vinculado ao processo de construção de uma nova ordem societária, sem dominação-exploração de classe, etnia e gênero (BRASIL, 2011).</w:t>
      </w:r>
    </w:p>
    <w:p w:rsidR="00D24E61" w:rsidRPr="00771368" w:rsidRDefault="00D24E61">
      <w:pPr>
        <w:spacing w:line="315" w:lineRule="exact"/>
        <w:rPr>
          <w:sz w:val="20"/>
          <w:szCs w:val="20"/>
        </w:rPr>
      </w:pPr>
    </w:p>
    <w:p w:rsidR="00D24E61" w:rsidRPr="00771368" w:rsidRDefault="00D24E61">
      <w:pPr>
        <w:spacing w:line="310" w:lineRule="auto"/>
        <w:ind w:firstLine="708"/>
        <w:rPr>
          <w:sz w:val="20"/>
          <w:szCs w:val="20"/>
        </w:rPr>
      </w:pPr>
      <w:r w:rsidRPr="00771368">
        <w:rPr>
          <w:sz w:val="24"/>
          <w:szCs w:val="24"/>
        </w:rPr>
        <w:t>Nesse sentido, o Projeto Ético-Político do Serviço Social assinala claramente dentre seus compromissos:</w:t>
      </w:r>
    </w:p>
    <w:p w:rsidR="00D24E61" w:rsidRPr="00771368" w:rsidRDefault="00D24E61">
      <w:pPr>
        <w:spacing w:line="386" w:lineRule="exact"/>
        <w:rPr>
          <w:sz w:val="20"/>
          <w:szCs w:val="20"/>
        </w:rPr>
      </w:pPr>
    </w:p>
    <w:p w:rsidR="00D24E61" w:rsidRPr="00771368" w:rsidRDefault="00D24E61">
      <w:pPr>
        <w:spacing w:line="235" w:lineRule="auto"/>
        <w:ind w:left="2260"/>
        <w:jc w:val="both"/>
        <w:rPr>
          <w:sz w:val="20"/>
          <w:szCs w:val="20"/>
        </w:rPr>
      </w:pPr>
      <w:r w:rsidRPr="00771368">
        <w:t xml:space="preserve">O reconhecimento da </w:t>
      </w:r>
      <w:r w:rsidRPr="00771368">
        <w:rPr>
          <w:i/>
          <w:iCs/>
        </w:rPr>
        <w:t>liberdade</w:t>
      </w:r>
      <w:r w:rsidRPr="00771368">
        <w:t xml:space="preserve"> como valor central – a liberdade concebida historicamente, como possibilidade de escolha entre alternativas concretas; daí um compromisso com a autonomia, a emancipação e a plena expansão dos indivíduos sociais. Consequentemente, </w:t>
      </w:r>
      <w:r w:rsidRPr="00771368">
        <w:rPr>
          <w:i/>
          <w:iCs/>
        </w:rPr>
        <w:t>este projeto profissional se</w:t>
      </w:r>
      <w:r w:rsidRPr="00771368">
        <w:t xml:space="preserve"> </w:t>
      </w:r>
      <w:r w:rsidRPr="00771368">
        <w:rPr>
          <w:i/>
          <w:iCs/>
        </w:rPr>
        <w:t>vincula a um projeto societário que propõe a construção de uma nova ordem social, sem exploração/dominação de classe, etnia e gênero</w:t>
      </w:r>
      <w:r w:rsidRPr="00771368">
        <w:t>. A partir</w:t>
      </w:r>
      <w:r w:rsidRPr="00771368">
        <w:rPr>
          <w:i/>
          <w:iCs/>
        </w:rPr>
        <w:t xml:space="preserve"> </w:t>
      </w:r>
      <w:r w:rsidRPr="00771368">
        <w:t>destas opções que o fundamentam, tal projeto afirma a defesa intransigente dos direitos humanos e o repúdio do arbítrio e dos preconceitos, contemplando positivamente o pluralismo, tanto na sociedade como no exercício profissional (PAULO NETTO, 1999, pp. 15/16).</w:t>
      </w:r>
    </w:p>
    <w:p w:rsidR="00D24E61" w:rsidRPr="00771368" w:rsidRDefault="00D24E61">
      <w:pPr>
        <w:spacing w:line="334" w:lineRule="exact"/>
        <w:rPr>
          <w:sz w:val="20"/>
          <w:szCs w:val="20"/>
        </w:rPr>
      </w:pPr>
    </w:p>
    <w:p w:rsidR="00D24E61" w:rsidRPr="00771368" w:rsidRDefault="00D24E61">
      <w:pPr>
        <w:spacing w:line="343" w:lineRule="auto"/>
        <w:ind w:firstLine="708"/>
        <w:jc w:val="both"/>
        <w:rPr>
          <w:sz w:val="20"/>
          <w:szCs w:val="20"/>
        </w:rPr>
      </w:pPr>
      <w:r w:rsidRPr="00771368">
        <w:rPr>
          <w:sz w:val="24"/>
          <w:szCs w:val="24"/>
        </w:rPr>
        <w:t>Dessa forma, é notório que para haver a plena expansão e emancipação dos indivíduos sociais é preciso comprometimento, entendimento e reconhecimento por parte dos profissionais e futuros profissionais de Serviço Social, dos compromissos elencados no Projeto Ético-Político do Serviço Social, bem como dos princípios fundamentais preconizados</w:t>
      </w:r>
    </w:p>
    <w:p w:rsidR="00D24E61" w:rsidRPr="00771368" w:rsidRDefault="00D24E61">
      <w:pPr>
        <w:sectPr w:rsidR="00D24E61" w:rsidRPr="00771368">
          <w:pgSz w:w="11900" w:h="16838"/>
          <w:pgMar w:top="703"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49" w:lineRule="auto"/>
        <w:ind w:right="20"/>
        <w:jc w:val="both"/>
        <w:rPr>
          <w:sz w:val="20"/>
          <w:szCs w:val="20"/>
        </w:rPr>
      </w:pPr>
      <w:r w:rsidRPr="00771368">
        <w:rPr>
          <w:sz w:val="24"/>
          <w:szCs w:val="24"/>
        </w:rPr>
        <w:t>no Código de Ética profissional, tomando-os como legítimos corrobarando, dessa forma, para que práticas de desigualdades, preconceitos, discriminação, opressão, exploração sejam extirpadas da vida social. Nessa perspectiva, cabe indagar: quem são esses segmentos populacionais que o/a assistente social deve conhecer para garantir e defender seus direitos civis, políticos e sociais? A quem ampliar e consolidar a cidadania? Equidade e justiça social pra quem? Incentivar o respeito a qual diversidade? Qual gênero/s o serviço social abarca?</w:t>
      </w:r>
    </w:p>
    <w:p w:rsidR="00D24E61" w:rsidRPr="00771368" w:rsidRDefault="00D24E61">
      <w:pPr>
        <w:spacing w:line="77" w:lineRule="exact"/>
        <w:rPr>
          <w:sz w:val="20"/>
          <w:szCs w:val="20"/>
        </w:rPr>
      </w:pPr>
    </w:p>
    <w:p w:rsidR="00D24E61" w:rsidRPr="00771368" w:rsidRDefault="00D24E61">
      <w:pPr>
        <w:spacing w:line="347" w:lineRule="auto"/>
        <w:ind w:firstLine="708"/>
        <w:jc w:val="both"/>
        <w:rPr>
          <w:sz w:val="20"/>
          <w:szCs w:val="20"/>
        </w:rPr>
      </w:pPr>
      <w:r w:rsidRPr="00771368">
        <w:rPr>
          <w:sz w:val="24"/>
          <w:szCs w:val="24"/>
        </w:rPr>
        <w:t>Se o Serviço Social não abranger, nas suas discussões de sexualidade e gênero, o segmento de Lésbicas, Gays, Bissexuais, Travestis e Transexuais – LGBT, principalmente as travestis, que são as interlocutoras do presente trabalho, considerando-as no contexto da desigualdade social, continuará a defender os interesses da classe dominante/burguesa, e não àqueles excluídos da riqueza socialmente produzida. Ou seja, desqualificará o processo de</w:t>
      </w:r>
    </w:p>
    <w:p w:rsidR="00D24E61" w:rsidRPr="00771368" w:rsidRDefault="00D24E61">
      <w:pPr>
        <w:spacing w:line="74" w:lineRule="exact"/>
        <w:rPr>
          <w:sz w:val="20"/>
          <w:szCs w:val="20"/>
        </w:rPr>
      </w:pPr>
    </w:p>
    <w:p w:rsidR="00D24E61" w:rsidRPr="00771368" w:rsidRDefault="00D24E61">
      <w:pPr>
        <w:spacing w:line="310" w:lineRule="auto"/>
        <w:ind w:right="20"/>
        <w:jc w:val="both"/>
        <w:rPr>
          <w:sz w:val="20"/>
          <w:szCs w:val="20"/>
        </w:rPr>
      </w:pPr>
      <w:r w:rsidRPr="00771368">
        <w:rPr>
          <w:sz w:val="24"/>
          <w:szCs w:val="24"/>
        </w:rPr>
        <w:t>“reconceituação” teórico de ruptura com os padrões clássicos do Serviço Social, ocorrido na América Latina no final dos anos 60 início dos anos 70 do último século.</w:t>
      </w:r>
    </w:p>
    <w:p w:rsidR="00D24E61" w:rsidRPr="00771368" w:rsidRDefault="00D24E61">
      <w:pPr>
        <w:spacing w:line="115" w:lineRule="exact"/>
        <w:rPr>
          <w:sz w:val="20"/>
          <w:szCs w:val="20"/>
        </w:rPr>
      </w:pPr>
    </w:p>
    <w:p w:rsidR="00D24E61" w:rsidRPr="00771368" w:rsidRDefault="00D24E61">
      <w:pPr>
        <w:spacing w:line="354" w:lineRule="auto"/>
        <w:ind w:firstLine="708"/>
        <w:jc w:val="both"/>
        <w:rPr>
          <w:sz w:val="20"/>
          <w:szCs w:val="20"/>
        </w:rPr>
      </w:pPr>
      <w:r w:rsidRPr="00771368">
        <w:rPr>
          <w:sz w:val="24"/>
          <w:szCs w:val="24"/>
        </w:rPr>
        <w:t>Desta forma, Faury (2003) salienta que estudar as questões de gênero em/no Serviço Social significa constatar o quanto a categoria de Assistentes Sociais negligenciou o estudo do tema que está presente, no contexto acadêmico brasileiro, desde o final da década de 70 e início da década de 80 do último século. Assim, de acordo com Lima (2012), as discussões de sexualidade e gênero no Serviço Social brasileiro começaram a tomar forma somente em finais dos anos 90 do século XX. Para ela, a discussão de sexualidade e gênero adquire certa importância nas Diretrizes Curriculares para os cursos de graduação de Serviço Social, aprovadas pela Associação Brasileira de Ensino e Pesquisa em Serviço Social (ABEPSS) em 1996, sendo considerada uma discussão que deve perpassar a formação profissional. Contudo, apesar desta constatação, não é assim que a formação profissional vem se dando efetivamente.</w:t>
      </w:r>
    </w:p>
    <w:p w:rsidR="00D24E61" w:rsidRPr="00771368" w:rsidRDefault="00D24E61">
      <w:pPr>
        <w:spacing w:line="70" w:lineRule="exact"/>
        <w:rPr>
          <w:sz w:val="20"/>
          <w:szCs w:val="20"/>
        </w:rPr>
      </w:pPr>
    </w:p>
    <w:p w:rsidR="00D24E61" w:rsidRPr="00771368" w:rsidRDefault="00D24E61">
      <w:pPr>
        <w:spacing w:line="349" w:lineRule="auto"/>
        <w:ind w:firstLine="708"/>
        <w:jc w:val="both"/>
        <w:rPr>
          <w:sz w:val="20"/>
          <w:szCs w:val="20"/>
        </w:rPr>
      </w:pPr>
      <w:r w:rsidRPr="00771368">
        <w:rPr>
          <w:sz w:val="24"/>
          <w:szCs w:val="24"/>
        </w:rPr>
        <w:t>Tais Diretrizes estabelecem três eixos básicos, sob os quais devem se estruturar os cursos de Serviço Social no Brasil. Tais eixos, que são interdependentes e não hierárquicos, servem como elementos norteadores para organizar o processo de formação profissional e denominam-se: Núcleo de Fundamentos Teórico-Metodológicos da Vida Social, Núcleo de Fundamentos da Particularidade da Formação Sociohistórica da Sociedade Brasileira e Núcleo de Fundamentos do Trabalho Profissional.</w:t>
      </w:r>
    </w:p>
    <w:p w:rsidR="00D24E61" w:rsidRPr="00771368" w:rsidRDefault="00D24E61">
      <w:pPr>
        <w:spacing w:line="77"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Destaque-se que o terceiro núcleo (Núcleo de Fundamentos do Trabalho Profissional), discute, analisa e estuda o Serviço Social como especialização do trabalho coletivo que tem como objeto de atuação as múltiplas expressões da questão social. É justamente dentro deste núcleo que, apoiada nos ensinamentos de Lima (2012), percebo que se devem dar as discussões mais aprofundadas sobre as relações sociais de sexualidade e gênero. Contudo, isto</w:t>
      </w:r>
    </w:p>
    <w:p w:rsidR="00D24E61" w:rsidRPr="00771368" w:rsidRDefault="00D24E61">
      <w:pPr>
        <w:sectPr w:rsidR="00D24E61" w:rsidRPr="00771368">
          <w:pgSz w:w="11900" w:h="16838"/>
          <w:pgMar w:top="703" w:right="1400" w:bottom="1091"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42" w:lineRule="auto"/>
        <w:jc w:val="both"/>
        <w:rPr>
          <w:sz w:val="20"/>
          <w:szCs w:val="20"/>
        </w:rPr>
      </w:pPr>
      <w:r w:rsidRPr="00771368">
        <w:rPr>
          <w:sz w:val="24"/>
          <w:szCs w:val="24"/>
        </w:rPr>
        <w:t>não significa que tais discussões devam estar ausentes dos outros dois núcleos. Mesmo porque, gênero é um tema transversal e constitutivo da natureza profissional e dos núcleos de fundamentação das Diretrizes Curriculares do curso de Serviço Social, tendo como sustentação o tripé acima referido.</w:t>
      </w:r>
    </w:p>
    <w:p w:rsidR="00D24E61" w:rsidRPr="00771368" w:rsidRDefault="00D24E61">
      <w:pPr>
        <w:spacing w:line="83"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Deste modo, como afirma Iamamoto (2007), o conteúdo da formação passou a ser submetido à livre iniciativa das unidades de ensino superiores, desde que preservados os núcleos de fundamentação assinalados anteriormente.</w:t>
      </w:r>
    </w:p>
    <w:p w:rsidR="00D24E61" w:rsidRPr="00771368" w:rsidRDefault="00D24E61">
      <w:pPr>
        <w:spacing w:line="89" w:lineRule="exact"/>
        <w:rPr>
          <w:sz w:val="20"/>
          <w:szCs w:val="20"/>
        </w:rPr>
      </w:pPr>
    </w:p>
    <w:p w:rsidR="00D24E61" w:rsidRPr="00771368" w:rsidRDefault="00D24E61">
      <w:pPr>
        <w:spacing w:line="355" w:lineRule="auto"/>
        <w:ind w:firstLine="708"/>
        <w:jc w:val="both"/>
        <w:rPr>
          <w:sz w:val="20"/>
          <w:szCs w:val="20"/>
        </w:rPr>
      </w:pPr>
      <w:r w:rsidRPr="00771368">
        <w:rPr>
          <w:sz w:val="24"/>
          <w:szCs w:val="24"/>
        </w:rPr>
        <w:t>A partir dos dados levantados é possível dizer que as temáticas de sexualidade e gênero têm conquistado espaço e crescido na nossa profissão, contudo, ainda se faz necessário avançar mais no processo de formação dos discentes, uma vez que, as discussões têm se dado em disciplinas eletivas e, por vezes, somente ao final do curso (LIMA, 2012). Mais ainda, é importante incorporar mais efetivamente nos componentes curriculares que estudam as temáticas de sexualidade e gênero, as discussões sobre a diversidade sexual. Assim, ampliar os debates para o entendimento, entre os/as profissionais do Serviço Social, de que há mais gêneros do que sexos. Lembrando que os debates de sexualidade e gênero, hodiernamente, têm discutido temas ligados às feminilidades e masculinidades, entre eles a travestilidade. São estas mediações que se fazem presentes no cotidiano das mulheres e dos homens no seio de nossa sociedade e que por isto, precisam ser mais bem aprofundadas no/pelo Serviço Social.</w:t>
      </w:r>
    </w:p>
    <w:p w:rsidR="00D24E61" w:rsidRPr="00771368" w:rsidRDefault="00D24E61">
      <w:pPr>
        <w:spacing w:line="264" w:lineRule="exact"/>
        <w:rPr>
          <w:sz w:val="20"/>
          <w:szCs w:val="20"/>
        </w:rPr>
      </w:pPr>
    </w:p>
    <w:p w:rsidR="00D24E61" w:rsidRPr="00771368" w:rsidRDefault="00D24E61">
      <w:pPr>
        <w:ind w:left="700"/>
        <w:rPr>
          <w:sz w:val="20"/>
          <w:szCs w:val="20"/>
        </w:rPr>
      </w:pPr>
      <w:r w:rsidRPr="00771368">
        <w:rPr>
          <w:b/>
          <w:bCs/>
          <w:sz w:val="24"/>
          <w:szCs w:val="24"/>
        </w:rPr>
        <w:t xml:space="preserve">Ajustando as “lentes” para dar um </w:t>
      </w:r>
      <w:r w:rsidRPr="00771368">
        <w:rPr>
          <w:b/>
          <w:bCs/>
          <w:i/>
          <w:iCs/>
          <w:sz w:val="24"/>
          <w:szCs w:val="24"/>
        </w:rPr>
        <w:t>close</w:t>
      </w:r>
      <w:r w:rsidRPr="00771368">
        <w:rPr>
          <w:b/>
          <w:bCs/>
          <w:sz w:val="24"/>
          <w:szCs w:val="24"/>
        </w:rPr>
        <w:t xml:space="preserve"> nelas</w:t>
      </w:r>
    </w:p>
    <w:p w:rsidR="00D24E61" w:rsidRPr="00771368" w:rsidRDefault="00D24E61">
      <w:pPr>
        <w:spacing w:line="200" w:lineRule="exact"/>
        <w:rPr>
          <w:sz w:val="20"/>
          <w:szCs w:val="20"/>
        </w:rPr>
      </w:pPr>
    </w:p>
    <w:p w:rsidR="00D24E61" w:rsidRPr="00771368" w:rsidRDefault="00D24E61">
      <w:pPr>
        <w:spacing w:line="211" w:lineRule="exact"/>
        <w:rPr>
          <w:sz w:val="20"/>
          <w:szCs w:val="20"/>
        </w:rPr>
      </w:pPr>
    </w:p>
    <w:p w:rsidR="00D24E61" w:rsidRPr="00771368" w:rsidRDefault="00D24E61">
      <w:pPr>
        <w:spacing w:line="337" w:lineRule="auto"/>
        <w:ind w:firstLine="708"/>
        <w:jc w:val="both"/>
        <w:rPr>
          <w:sz w:val="20"/>
          <w:szCs w:val="20"/>
        </w:rPr>
      </w:pPr>
      <w:r w:rsidRPr="00771368">
        <w:rPr>
          <w:sz w:val="24"/>
          <w:szCs w:val="24"/>
        </w:rPr>
        <w:t>“Bicha” e “traveco”, são algumas das formas de tratamento direcionadas às travestis</w:t>
      </w:r>
      <w:r w:rsidRPr="00771368">
        <w:rPr>
          <w:sz w:val="32"/>
          <w:szCs w:val="32"/>
          <w:vertAlign w:val="superscript"/>
        </w:rPr>
        <w:t>4</w:t>
      </w:r>
      <w:r w:rsidRPr="00771368">
        <w:rPr>
          <w:sz w:val="24"/>
          <w:szCs w:val="24"/>
        </w:rPr>
        <w:t xml:space="preserve"> no cotidiano em nossa sociedade. Essas imagens estigmatizadas das travestis são, de forma metafórica, comentadas por Justa (2006), e já são expressas em parte do título da sua Monografia de Conclusão do Curso de Psicologia: </w:t>
      </w:r>
      <w:r w:rsidRPr="00771368">
        <w:rPr>
          <w:i/>
          <w:iCs/>
          <w:sz w:val="24"/>
          <w:szCs w:val="24"/>
        </w:rPr>
        <w:t>Justo quando a lagarta achava que o</w:t>
      </w:r>
      <w:r w:rsidRPr="00771368">
        <w:rPr>
          <w:sz w:val="24"/>
          <w:szCs w:val="24"/>
        </w:rPr>
        <w:t xml:space="preserve"> </w:t>
      </w:r>
      <w:r w:rsidRPr="00771368">
        <w:rPr>
          <w:i/>
          <w:iCs/>
          <w:sz w:val="24"/>
          <w:szCs w:val="24"/>
        </w:rPr>
        <w:t xml:space="preserve">mundo tinha acabado, ela virou uma borboleta. </w:t>
      </w:r>
      <w:r w:rsidRPr="00771368">
        <w:rPr>
          <w:sz w:val="24"/>
          <w:szCs w:val="24"/>
        </w:rPr>
        <w:t>Dessa forma, inicialmente em um casulo, a</w:t>
      </w:r>
      <w:r w:rsidRPr="00771368">
        <w:rPr>
          <w:i/>
          <w:iCs/>
          <w:sz w:val="24"/>
          <w:szCs w:val="24"/>
        </w:rPr>
        <w:t xml:space="preserve"> </w:t>
      </w:r>
      <w:r w:rsidRPr="00771368">
        <w:rPr>
          <w:sz w:val="24"/>
          <w:szCs w:val="24"/>
        </w:rPr>
        <w:t>travesti empreende uma dura luta para poder voar: enfrenta regras assentadas, é taxada de</w:t>
      </w:r>
    </w:p>
    <w:p w:rsidR="00D24E61" w:rsidRPr="00771368" w:rsidRDefault="00D24E61">
      <w:pPr>
        <w:spacing w:line="85" w:lineRule="exact"/>
        <w:rPr>
          <w:sz w:val="20"/>
          <w:szCs w:val="20"/>
        </w:rPr>
      </w:pPr>
    </w:p>
    <w:p w:rsidR="00D24E61" w:rsidRPr="00771368" w:rsidRDefault="00D24E61">
      <w:pPr>
        <w:spacing w:line="310" w:lineRule="auto"/>
        <w:ind w:right="20"/>
        <w:jc w:val="both"/>
        <w:rPr>
          <w:sz w:val="20"/>
          <w:szCs w:val="20"/>
        </w:rPr>
      </w:pPr>
      <w:r w:rsidRPr="00771368">
        <w:rPr>
          <w:sz w:val="24"/>
          <w:szCs w:val="24"/>
        </w:rPr>
        <w:t>“anormal”, é “expulsa da vida”, constrói um novo corpo através da “montagem” (termo êmico utilizado para denominar o ato de vestir-se com roupas de mulher), cria uma nova identidade,</w:t>
      </w:r>
    </w:p>
    <w:p w:rsidR="00D24E61" w:rsidRPr="00771368" w:rsidRDefault="00013211">
      <w:pPr>
        <w:spacing w:line="291" w:lineRule="exact"/>
        <w:rPr>
          <w:sz w:val="20"/>
          <w:szCs w:val="20"/>
        </w:rPr>
      </w:pPr>
      <w:r>
        <w:rPr>
          <w:noProof/>
          <w:sz w:val="20"/>
          <w:szCs w:val="20"/>
        </w:rPr>
        <mc:AlternateContent>
          <mc:Choice Requires="wps">
            <w:drawing>
              <wp:anchor distT="0" distB="0" distL="0" distR="0" simplePos="0" relativeHeight="251609600" behindDoc="0" locked="0" layoutInCell="0" allowOverlap="1">
                <wp:simplePos x="0" y="0"/>
                <wp:positionH relativeFrom="column">
                  <wp:posOffset>-635</wp:posOffset>
                </wp:positionH>
                <wp:positionV relativeFrom="paragraph">
                  <wp:posOffset>111760</wp:posOffset>
                </wp:positionV>
                <wp:extent cx="1828800" cy="0"/>
                <wp:effectExtent l="8890" t="6985" r="10160" b="12065"/>
                <wp:wrapNone/>
                <wp:docPr id="31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0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8.8pt" to="143.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KRFQ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" o:allowincell="f" strokeweight=".29631mm"/>
            </w:pict>
          </mc:Fallback>
        </mc:AlternateContent>
      </w:r>
    </w:p>
    <w:p w:rsidR="00D24E61" w:rsidRPr="00771368" w:rsidRDefault="00D24E61">
      <w:pPr>
        <w:spacing w:line="232" w:lineRule="auto"/>
        <w:ind w:right="20"/>
        <w:jc w:val="both"/>
        <w:rPr>
          <w:sz w:val="20"/>
          <w:szCs w:val="20"/>
        </w:rPr>
      </w:pPr>
      <w:r w:rsidRPr="00771368">
        <w:rPr>
          <w:sz w:val="25"/>
          <w:szCs w:val="25"/>
          <w:vertAlign w:val="superscript"/>
        </w:rPr>
        <w:t>4</w:t>
      </w:r>
      <w:r w:rsidRPr="00771368">
        <w:rPr>
          <w:sz w:val="20"/>
          <w:szCs w:val="20"/>
        </w:rPr>
        <w:t xml:space="preserve"> Na esteira do que sugere Benedetti (2012, pp. 5/6), “[c]reio ser relevante esclarecer os motivos que me levam a empregar o substantivo </w:t>
      </w:r>
      <w:r w:rsidRPr="00771368">
        <w:rPr>
          <w:i/>
          <w:iCs/>
          <w:sz w:val="20"/>
          <w:szCs w:val="20"/>
        </w:rPr>
        <w:t>travesti</w:t>
      </w:r>
      <w:r w:rsidRPr="00771368">
        <w:rPr>
          <w:sz w:val="20"/>
          <w:szCs w:val="20"/>
        </w:rPr>
        <w:t xml:space="preserve"> como pertencente ao gênero gramatical feminino, uma vez que a forma gramatical correta indicada nos dicionários é a de um substantivo masculino. Além das razões que valorizam o próprio processo de construção do gênero feminino no corpo e nas subjetividades das travestis e que levam em conta a utilização êmica deste termo, usualmente empregado na flexão feminina, a outra justificativa é política: já que o respeito e a garantia ao seu feminino são as principais reivindicações do movimento organizado de travestis e transexuais...”. Assim, tal qual este autor e outros estudiosos do tema, acredito que utilizando o termo êmico neste trabalho, possa contribuir com este objetivo, valorizando e afirmando o gênero feminino (cultural e gramatical) das travestis.</w:t>
      </w:r>
    </w:p>
    <w:p w:rsidR="00D24E61" w:rsidRPr="00771368" w:rsidRDefault="00D24E61">
      <w:pPr>
        <w:sectPr w:rsidR="00D24E61" w:rsidRPr="00771368">
          <w:pgSz w:w="11900" w:h="16838"/>
          <w:pgMar w:top="703" w:right="1400" w:bottom="1154"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54" w:lineRule="auto"/>
        <w:jc w:val="both"/>
        <w:rPr>
          <w:sz w:val="20"/>
          <w:szCs w:val="20"/>
        </w:rPr>
      </w:pPr>
      <w:r w:rsidRPr="00771368">
        <w:rPr>
          <w:sz w:val="24"/>
          <w:szCs w:val="24"/>
        </w:rPr>
        <w:t>luta para ser reconhecida como ser humano. Tomando emprestada a expressão cunhada por Bauman (2001), nesse terreno (hoje de maior visibilidade) ocupado pelas travestis, também é possível se falar de uma “modernidade líquida”. Ou seja, um contexto que baliza a emergência de diferentes maneiras de ser e de viver, na perspectiva da sexualidade e do gênero. Conforme é dito pela Sociedade de Defesa dos Direitos Sexuais na Amazônia (2011, p. 17), a temática da identidade tem sido amplamente discutida em contextos atuais. Uma vez que, “(...) os quadros de referência com os quais se discutiam ‘o sujeito’ e seus processos de construção sofrem mudanças nas chamadas modernidade ou pós-modernidade (...)”. Fazendo declinar “(...) velhas identidades que, por tanto tempo, estabilizaram o mundo, fazendo surgir novas identidades e fragmentando o indivíduo moderno” (HALL, 2006, p. 7).</w:t>
      </w:r>
    </w:p>
    <w:p w:rsidR="00D24E61" w:rsidRPr="00771368" w:rsidRDefault="00D24E61">
      <w:pPr>
        <w:spacing w:line="70" w:lineRule="exact"/>
        <w:rPr>
          <w:sz w:val="20"/>
          <w:szCs w:val="20"/>
        </w:rPr>
      </w:pPr>
    </w:p>
    <w:p w:rsidR="00D24E61" w:rsidRPr="00771368" w:rsidRDefault="00D24E61">
      <w:pPr>
        <w:spacing w:line="355" w:lineRule="auto"/>
        <w:ind w:firstLine="708"/>
        <w:jc w:val="both"/>
        <w:rPr>
          <w:sz w:val="20"/>
          <w:szCs w:val="20"/>
        </w:rPr>
      </w:pPr>
      <w:r w:rsidRPr="00771368">
        <w:rPr>
          <w:sz w:val="24"/>
          <w:szCs w:val="24"/>
        </w:rPr>
        <w:t xml:space="preserve">Conforme Santos (2011) para chegarmos ao estado atual, já se passaram alguns anos desde a chamada “revolução sexual” ocorrida no Ocidente na década de 60 do século passado, quando as ideias de diversidade e individualidade ganham literalmente os corpos e passam a guiar novas visões e práticas em relação ao que percebemos, avaliamos e julgamos como sendo masculino e feminino ou neutro em termos de sexualidade e gênero. No que concerne à diversidade sexual, pode-se dizer que o emergente movimento </w:t>
      </w:r>
      <w:r w:rsidRPr="00771368">
        <w:rPr>
          <w:i/>
          <w:iCs/>
          <w:sz w:val="24"/>
          <w:szCs w:val="24"/>
        </w:rPr>
        <w:t>gay</w:t>
      </w:r>
      <w:r w:rsidRPr="00771368">
        <w:rPr>
          <w:sz w:val="24"/>
          <w:szCs w:val="24"/>
        </w:rPr>
        <w:t xml:space="preserve"> é herdeiro direto das lutas feministas que, ao propugnarem a igualdade de direitos entre os sexos, buscaram desconstruir as desigualdades entre homens e mulheres supostamente baseadas em diferenças físicas, isto é, biológicas. Surgindo assim o conceito de gênero como sendo um conjunto de maneiras de perceber, designar e classificar as distinções sexuais, atribuindo-lhes um lugar e um </w:t>
      </w:r>
      <w:r w:rsidRPr="00771368">
        <w:rPr>
          <w:i/>
          <w:iCs/>
          <w:sz w:val="24"/>
          <w:szCs w:val="24"/>
        </w:rPr>
        <w:t>status</w:t>
      </w:r>
      <w:r w:rsidRPr="00771368">
        <w:rPr>
          <w:sz w:val="24"/>
          <w:szCs w:val="24"/>
        </w:rPr>
        <w:t xml:space="preserve"> social (SCOTT 1995). Estas hierarquias, baseadas em distinções sexuais naturalizantes, vem sendo contestadas, fazendo tropeçar às convicções daqueles que acreditam que a identidade dos seres humanos seja decorrência inevitável do corpo físico com o qual se vêm ao mundo.</w:t>
      </w:r>
    </w:p>
    <w:p w:rsidR="00D24E61" w:rsidRPr="00771368" w:rsidRDefault="00D24E61">
      <w:pPr>
        <w:spacing w:line="7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 xml:space="preserve">Desta forma, privilegiando a noção de que a própria sexualidade seria uma expressão de um poder inconsciente de tipo identitário, surge nos anos 90 do último século a </w:t>
      </w:r>
      <w:r w:rsidRPr="00771368">
        <w:rPr>
          <w:i/>
          <w:iCs/>
          <w:sz w:val="24"/>
          <w:szCs w:val="24"/>
        </w:rPr>
        <w:t>queer</w:t>
      </w:r>
      <w:r w:rsidRPr="00771368">
        <w:rPr>
          <w:sz w:val="24"/>
          <w:szCs w:val="24"/>
        </w:rPr>
        <w:t xml:space="preserve"> </w:t>
      </w:r>
      <w:r w:rsidRPr="00771368">
        <w:rPr>
          <w:i/>
          <w:iCs/>
          <w:sz w:val="24"/>
          <w:szCs w:val="24"/>
        </w:rPr>
        <w:t>theory</w:t>
      </w:r>
      <w:r w:rsidRPr="00771368">
        <w:rPr>
          <w:sz w:val="24"/>
          <w:szCs w:val="24"/>
        </w:rPr>
        <w:t>, ou seja, uma concepção da sexualidade que rejeita ao mesmo tempo o sexo biológico</w:t>
      </w:r>
      <w:r w:rsidRPr="00771368">
        <w:rPr>
          <w:i/>
          <w:iCs/>
          <w:sz w:val="24"/>
          <w:szCs w:val="24"/>
        </w:rPr>
        <w:t xml:space="preserve"> </w:t>
      </w:r>
      <w:r w:rsidRPr="00771368">
        <w:rPr>
          <w:sz w:val="24"/>
          <w:szCs w:val="24"/>
        </w:rPr>
        <w:t>e o sexo social, onde cada indivíduo pode adotar a qualquer momento a posição de um ou do outro sexo, suas roupas, seus comportamentos, suas fantasias e seus delírios.</w:t>
      </w:r>
    </w:p>
    <w:p w:rsidR="00D24E61" w:rsidRPr="00771368" w:rsidRDefault="00D24E61">
      <w:pPr>
        <w:spacing w:line="74"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Para Butler (2003), a noção de gênero deve ser compreendida como um ato, um “ato performativo”. Ou seja, uma ação pública que encena significações já estabelecidas socialmente e desse modo funda e consolida o sujeito. São palavras ou gestos que, ao serem expressos criam uma realidade. Produzem uma ilusão de que existem seres homens e seres mulheres. Esta ilusão justifica a autora, prende-se ao fato de não existir um “ser”, um “fazedor”, um “agente” por trás do ato. Para ela, performamos variados atos cotidianamente e,</w:t>
      </w:r>
    </w:p>
    <w:p w:rsidR="00D24E61" w:rsidRPr="00771368" w:rsidRDefault="00D24E61">
      <w:pPr>
        <w:sectPr w:rsidR="00D24E61" w:rsidRPr="00771368">
          <w:pgSz w:w="11900" w:h="16838"/>
          <w:pgMar w:top="703" w:right="1400" w:bottom="1086"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42" w:lineRule="auto"/>
        <w:jc w:val="both"/>
        <w:rPr>
          <w:sz w:val="20"/>
          <w:szCs w:val="20"/>
        </w:rPr>
      </w:pPr>
      <w:r w:rsidRPr="00771368">
        <w:rPr>
          <w:sz w:val="24"/>
          <w:szCs w:val="24"/>
        </w:rPr>
        <w:t>ao repeti-los, ajudamos a manter a divisão binária dos gêneros. Fazemos, então, coisas que são ditas como sendo “coisas de homem” ou “coisas de mulher”. De acordo com Santos (2011), uma das consequências de o gênero ser performativamente estabelecido é o fato de que homens e mulheres heterossexuais serem tão construídos quanto as categoriais ditas suas</w:t>
      </w:r>
    </w:p>
    <w:p w:rsidR="00D24E61" w:rsidRPr="00771368" w:rsidRDefault="00D24E61">
      <w:pPr>
        <w:spacing w:line="83" w:lineRule="exact"/>
        <w:rPr>
          <w:sz w:val="20"/>
          <w:szCs w:val="20"/>
        </w:rPr>
      </w:pPr>
    </w:p>
    <w:p w:rsidR="00D24E61" w:rsidRPr="00771368" w:rsidRDefault="00D24E61">
      <w:pPr>
        <w:spacing w:line="354" w:lineRule="auto"/>
        <w:jc w:val="both"/>
        <w:rPr>
          <w:sz w:val="20"/>
          <w:szCs w:val="20"/>
        </w:rPr>
      </w:pPr>
      <w:r w:rsidRPr="00771368">
        <w:rPr>
          <w:sz w:val="24"/>
          <w:szCs w:val="24"/>
        </w:rPr>
        <w:t xml:space="preserve">“cópias”. Para Butler (2003), não haveria gêneros originais, portanto, não haveria homens e mulheres mais “verdadeiros” do que suas supostas “cópias” – travestis, </w:t>
      </w:r>
      <w:r w:rsidRPr="00771368">
        <w:rPr>
          <w:i/>
          <w:iCs/>
          <w:sz w:val="24"/>
          <w:szCs w:val="24"/>
        </w:rPr>
        <w:t>gays</w:t>
      </w:r>
      <w:r w:rsidRPr="00771368">
        <w:rPr>
          <w:sz w:val="24"/>
          <w:szCs w:val="24"/>
        </w:rPr>
        <w:t>, lésbicas e transexuais. Neste sentido, a aparente “cópia” já não se sustenta com referência numa origem, no “verdadeiro”. A origem perde o sentido porque “homens e mulheres de verdade” têm de assumir o gênero da mesma forma: por intermédio da repetição de atos, todos os dias. Conforme Santos (2011), aquilo que acreditamos ser “homens e mulheres de verdade” encontra uma explicação na repetição e sedimentação de normas de gênero que, ao longo do tempo, terminaram por criar a ilusão de uma substância “homem” e de uma substância “mulher”, numa aparente a-historicidade. Segundo Butler (2003), é preciso repensar a noção de identidade definida, assumindo-se a concepção de identidade não estável.</w:t>
      </w:r>
    </w:p>
    <w:p w:rsidR="00D24E61" w:rsidRPr="00771368" w:rsidRDefault="00D24E61">
      <w:pPr>
        <w:spacing w:line="70" w:lineRule="exact"/>
        <w:rPr>
          <w:sz w:val="20"/>
          <w:szCs w:val="20"/>
        </w:rPr>
      </w:pPr>
    </w:p>
    <w:p w:rsidR="00D24E61" w:rsidRPr="00771368" w:rsidRDefault="00D24E61">
      <w:pPr>
        <w:spacing w:line="349" w:lineRule="auto"/>
        <w:ind w:right="20" w:firstLine="708"/>
        <w:jc w:val="both"/>
        <w:rPr>
          <w:sz w:val="20"/>
          <w:szCs w:val="20"/>
        </w:rPr>
      </w:pPr>
      <w:r w:rsidRPr="00771368">
        <w:rPr>
          <w:sz w:val="24"/>
          <w:szCs w:val="24"/>
        </w:rPr>
        <w:t>Ainda para esta autora, é esta a matriz cultural, ou seja, de “heterossexualidade compulsória”, que entre nós, confere inteligibilidade à identidade de gênero e faz com que certos tipos de identidades não possam existir ou sejam ininteligíveis. Isto é, “(...) aquelas cujos gêneros não decorrem do sexo e as práticas de desejo não decorrem nem do sexo, nem do gênero”, a exemplo das travestis. Portanto: “(...) não há identidade de gênero por trás das expressões do gênero; essa identidade é performativamente construída pelas próprias</w:t>
      </w:r>
    </w:p>
    <w:p w:rsidR="00D24E61" w:rsidRPr="00771368" w:rsidRDefault="00D24E61">
      <w:pPr>
        <w:spacing w:line="18" w:lineRule="exact"/>
        <w:rPr>
          <w:sz w:val="20"/>
          <w:szCs w:val="20"/>
        </w:rPr>
      </w:pPr>
    </w:p>
    <w:p w:rsidR="00D24E61" w:rsidRPr="00771368" w:rsidRDefault="00D24E61">
      <w:pPr>
        <w:rPr>
          <w:sz w:val="20"/>
          <w:szCs w:val="20"/>
        </w:rPr>
      </w:pPr>
      <w:r w:rsidRPr="00771368">
        <w:rPr>
          <w:sz w:val="24"/>
          <w:szCs w:val="24"/>
        </w:rPr>
        <w:t>‘expressões’ tidas como seus resultados” (BUTLER, 2003, p. 48).</w:t>
      </w:r>
    </w:p>
    <w:p w:rsidR="00D24E61" w:rsidRPr="00771368" w:rsidRDefault="00D24E61">
      <w:pPr>
        <w:spacing w:line="200" w:lineRule="exact"/>
        <w:rPr>
          <w:sz w:val="20"/>
          <w:szCs w:val="20"/>
        </w:rPr>
      </w:pPr>
    </w:p>
    <w:p w:rsidR="00D24E61" w:rsidRPr="00771368" w:rsidRDefault="00D24E61">
      <w:pPr>
        <w:spacing w:line="218" w:lineRule="exact"/>
        <w:rPr>
          <w:sz w:val="20"/>
          <w:szCs w:val="20"/>
        </w:rPr>
      </w:pPr>
    </w:p>
    <w:p w:rsidR="00D24E61" w:rsidRPr="00771368" w:rsidRDefault="00D24E61">
      <w:pPr>
        <w:ind w:left="700"/>
        <w:rPr>
          <w:sz w:val="20"/>
          <w:szCs w:val="20"/>
        </w:rPr>
      </w:pPr>
      <w:r w:rsidRPr="00771368">
        <w:rPr>
          <w:b/>
          <w:bCs/>
          <w:sz w:val="24"/>
          <w:szCs w:val="24"/>
        </w:rPr>
        <w:t>Recolhendo imagens de “transformações de gênero”</w:t>
      </w:r>
    </w:p>
    <w:p w:rsidR="00D24E61" w:rsidRPr="00771368" w:rsidRDefault="00D24E61">
      <w:pPr>
        <w:spacing w:line="200" w:lineRule="exact"/>
        <w:rPr>
          <w:sz w:val="20"/>
          <w:szCs w:val="20"/>
        </w:rPr>
      </w:pPr>
    </w:p>
    <w:p w:rsidR="00D24E61" w:rsidRPr="00771368" w:rsidRDefault="00D24E61">
      <w:pPr>
        <w:spacing w:line="266"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 existência de travestis é notória em toda América Latina, no entanto, em nenhum país elas são tão numerosas e conhecidas como no Brasil. Em qualquer cidade brasileira, pequena ou grande, existem travestis, como observara Kulick (2008), especialmente a partir dos anos de 1980, nas grandes cidades do sudeste brasileiro, como São Paulo e Rio de Janeiro, espalhando-se para outras regiões.</w:t>
      </w:r>
    </w:p>
    <w:p w:rsidR="00D24E61" w:rsidRPr="00771368" w:rsidRDefault="00D24E61">
      <w:pPr>
        <w:spacing w:line="19" w:lineRule="exact"/>
        <w:rPr>
          <w:sz w:val="20"/>
          <w:szCs w:val="20"/>
        </w:rPr>
      </w:pPr>
    </w:p>
    <w:p w:rsidR="00D24E61" w:rsidRPr="00771368" w:rsidRDefault="00D24E61">
      <w:pPr>
        <w:ind w:left="700"/>
        <w:rPr>
          <w:sz w:val="20"/>
          <w:szCs w:val="20"/>
        </w:rPr>
      </w:pPr>
      <w:r w:rsidRPr="00771368">
        <w:rPr>
          <w:sz w:val="24"/>
          <w:szCs w:val="24"/>
        </w:rPr>
        <w:t>É possível registrar a presença de indivíduos, do que hoje se convencionou chamar,</w:t>
      </w:r>
    </w:p>
    <w:p w:rsidR="00D24E61" w:rsidRPr="00771368" w:rsidRDefault="00D24E61">
      <w:pPr>
        <w:spacing w:line="195" w:lineRule="exact"/>
        <w:rPr>
          <w:sz w:val="20"/>
          <w:szCs w:val="20"/>
        </w:rPr>
      </w:pPr>
    </w:p>
    <w:p w:rsidR="00D24E61" w:rsidRPr="00771368" w:rsidRDefault="00D24E61">
      <w:pPr>
        <w:spacing w:line="334" w:lineRule="auto"/>
        <w:ind w:right="20"/>
        <w:jc w:val="both"/>
        <w:rPr>
          <w:sz w:val="20"/>
          <w:szCs w:val="20"/>
        </w:rPr>
      </w:pPr>
      <w:r w:rsidRPr="00771368">
        <w:rPr>
          <w:sz w:val="24"/>
          <w:szCs w:val="24"/>
        </w:rPr>
        <w:t xml:space="preserve">“universo </w:t>
      </w:r>
      <w:r w:rsidRPr="00771368">
        <w:rPr>
          <w:i/>
          <w:iCs/>
          <w:sz w:val="24"/>
          <w:szCs w:val="24"/>
        </w:rPr>
        <w:t>trans</w:t>
      </w:r>
      <w:r w:rsidRPr="00771368">
        <w:rPr>
          <w:sz w:val="24"/>
          <w:szCs w:val="24"/>
        </w:rPr>
        <w:t>” em diversas sociedades e em diferentes períodos históricos. As primeiras tentativas de descrição e interpretação daquilo que hoje chamamos de “transformações de gênero” aparecem nos estudos antropológicos já no início do século XX, com as descrições</w:t>
      </w:r>
    </w:p>
    <w:p w:rsidR="00D24E61" w:rsidRPr="00771368" w:rsidRDefault="00D24E61">
      <w:pPr>
        <w:sectPr w:rsidR="00D24E61" w:rsidRPr="00771368">
          <w:pgSz w:w="11900" w:h="16838"/>
          <w:pgMar w:top="703"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18" w:lineRule="exact"/>
        <w:rPr>
          <w:sz w:val="20"/>
          <w:szCs w:val="20"/>
        </w:rPr>
      </w:pPr>
    </w:p>
    <w:p w:rsidR="00D24E61" w:rsidRPr="00771368" w:rsidRDefault="00D24E61">
      <w:pPr>
        <w:spacing w:line="331" w:lineRule="auto"/>
        <w:ind w:right="20"/>
        <w:jc w:val="both"/>
        <w:rPr>
          <w:sz w:val="20"/>
          <w:szCs w:val="20"/>
        </w:rPr>
      </w:pPr>
      <w:r w:rsidRPr="00771368">
        <w:rPr>
          <w:sz w:val="24"/>
          <w:szCs w:val="24"/>
        </w:rPr>
        <w:t xml:space="preserve">sobre “a instituição das </w:t>
      </w:r>
      <w:r w:rsidRPr="00771368">
        <w:rPr>
          <w:i/>
          <w:iCs/>
          <w:sz w:val="24"/>
          <w:szCs w:val="24"/>
        </w:rPr>
        <w:t>berdaches</w:t>
      </w:r>
      <w:r w:rsidRPr="00771368">
        <w:rPr>
          <w:sz w:val="24"/>
          <w:szCs w:val="24"/>
        </w:rPr>
        <w:t>”</w:t>
      </w:r>
      <w:r w:rsidRPr="00771368">
        <w:rPr>
          <w:sz w:val="32"/>
          <w:szCs w:val="32"/>
          <w:vertAlign w:val="superscript"/>
        </w:rPr>
        <w:t>5</w:t>
      </w:r>
      <w:r w:rsidRPr="00771368">
        <w:rPr>
          <w:sz w:val="24"/>
          <w:szCs w:val="24"/>
        </w:rPr>
        <w:t xml:space="preserve"> em algumas sociedades simples da América do Norte. Descrições sobre indivíduos que vivenciavam papéis sociais semelhantes aos das </w:t>
      </w:r>
      <w:r w:rsidRPr="00771368">
        <w:rPr>
          <w:i/>
          <w:iCs/>
          <w:sz w:val="24"/>
          <w:szCs w:val="24"/>
        </w:rPr>
        <w:t>berdaches</w:t>
      </w:r>
      <w:r w:rsidRPr="00771368">
        <w:rPr>
          <w:sz w:val="24"/>
          <w:szCs w:val="24"/>
        </w:rPr>
        <w:t xml:space="preserve"> não são raros na Antropologia, temos como exemplos etnográficos: o caso das </w:t>
      </w:r>
      <w:r w:rsidRPr="00771368">
        <w:rPr>
          <w:i/>
          <w:iCs/>
          <w:sz w:val="24"/>
          <w:szCs w:val="24"/>
        </w:rPr>
        <w:t>mahu</w:t>
      </w:r>
      <w:r w:rsidRPr="00771368">
        <w:rPr>
          <w:sz w:val="24"/>
          <w:szCs w:val="24"/>
        </w:rPr>
        <w:t xml:space="preserve">do (Taiti), o das </w:t>
      </w:r>
      <w:r w:rsidRPr="00771368">
        <w:rPr>
          <w:i/>
          <w:iCs/>
          <w:sz w:val="24"/>
          <w:szCs w:val="24"/>
        </w:rPr>
        <w:t>xanith</w:t>
      </w:r>
      <w:r w:rsidRPr="00771368">
        <w:rPr>
          <w:sz w:val="24"/>
          <w:szCs w:val="24"/>
        </w:rPr>
        <w:t xml:space="preserve">de (Omã), o das </w:t>
      </w:r>
      <w:r w:rsidRPr="00771368">
        <w:rPr>
          <w:i/>
          <w:iCs/>
          <w:sz w:val="24"/>
          <w:szCs w:val="24"/>
        </w:rPr>
        <w:t>fa’afafine</w:t>
      </w:r>
      <w:r w:rsidRPr="00771368">
        <w:rPr>
          <w:sz w:val="24"/>
          <w:szCs w:val="24"/>
        </w:rPr>
        <w:t xml:space="preserve">de (Samoa), os das </w:t>
      </w:r>
      <w:r w:rsidRPr="00771368">
        <w:rPr>
          <w:i/>
          <w:iCs/>
          <w:sz w:val="24"/>
          <w:szCs w:val="24"/>
        </w:rPr>
        <w:t>panema</w:t>
      </w:r>
      <w:r w:rsidRPr="00771368">
        <w:rPr>
          <w:sz w:val="24"/>
          <w:szCs w:val="24"/>
        </w:rPr>
        <w:t xml:space="preserve"> entre os Guaiaqui do Paraguai dentre outros. (BENEDETTI, 2005).</w:t>
      </w:r>
    </w:p>
    <w:p w:rsidR="00D24E61" w:rsidRPr="00771368" w:rsidRDefault="00D24E61">
      <w:pPr>
        <w:spacing w:line="94" w:lineRule="exact"/>
        <w:rPr>
          <w:sz w:val="20"/>
          <w:szCs w:val="20"/>
        </w:rPr>
      </w:pPr>
    </w:p>
    <w:p w:rsidR="00D24E61" w:rsidRPr="00771368" w:rsidRDefault="00D24E61">
      <w:pPr>
        <w:spacing w:line="356" w:lineRule="auto"/>
        <w:ind w:firstLine="708"/>
        <w:jc w:val="both"/>
        <w:rPr>
          <w:sz w:val="20"/>
          <w:szCs w:val="20"/>
        </w:rPr>
      </w:pPr>
      <w:r w:rsidRPr="00771368">
        <w:rPr>
          <w:sz w:val="24"/>
          <w:szCs w:val="24"/>
        </w:rPr>
        <w:t>Reconhecidas no ramo das artes, seja nos palcos, na música, cinema ou televisão; o primeiro “</w:t>
      </w:r>
      <w:r w:rsidRPr="00771368">
        <w:rPr>
          <w:i/>
          <w:iCs/>
          <w:sz w:val="24"/>
          <w:szCs w:val="24"/>
        </w:rPr>
        <w:t>frissontrans</w:t>
      </w:r>
      <w:r w:rsidRPr="00771368">
        <w:rPr>
          <w:sz w:val="24"/>
          <w:szCs w:val="24"/>
        </w:rPr>
        <w:t xml:space="preserve">” em terras brasileiras acontece na década de 60, no Rio de Janeiro, com a chegada de uma dançarina transexual, da França, chamada </w:t>
      </w:r>
      <w:r w:rsidRPr="00771368">
        <w:rPr>
          <w:i/>
          <w:iCs/>
          <w:sz w:val="24"/>
          <w:szCs w:val="24"/>
        </w:rPr>
        <w:t>Coccinelle</w:t>
      </w:r>
      <w:r w:rsidRPr="00771368">
        <w:rPr>
          <w:sz w:val="24"/>
          <w:szCs w:val="24"/>
        </w:rPr>
        <w:t xml:space="preserve">. Muito sensual, provocou a curiosidade de muitos brasileiros, que não entendiam muito bem o que ela representava. Foi estrela de vários filmes, peças de teatro e foi a primeira – e única – transexual a ter o casamento reconhecido pela igreja católica. A novela </w:t>
      </w:r>
      <w:r w:rsidRPr="00771368">
        <w:rPr>
          <w:i/>
          <w:iCs/>
          <w:sz w:val="24"/>
          <w:szCs w:val="24"/>
        </w:rPr>
        <w:t>Tieta</w:t>
      </w:r>
      <w:r w:rsidRPr="00771368">
        <w:rPr>
          <w:sz w:val="24"/>
          <w:szCs w:val="24"/>
        </w:rPr>
        <w:t xml:space="preserve"> (1989), uma das mais populares da época, contou com a participação de </w:t>
      </w:r>
      <w:r w:rsidRPr="00771368">
        <w:rPr>
          <w:i/>
          <w:iCs/>
          <w:sz w:val="24"/>
          <w:szCs w:val="24"/>
        </w:rPr>
        <w:t>Rogéria</w:t>
      </w:r>
      <w:r w:rsidRPr="00771368">
        <w:rPr>
          <w:sz w:val="24"/>
          <w:szCs w:val="24"/>
        </w:rPr>
        <w:t xml:space="preserve">, travesti pioneira no Brasil e modelo para grandes artistas, como também, outras travestis, como </w:t>
      </w:r>
      <w:r w:rsidRPr="00771368">
        <w:rPr>
          <w:i/>
          <w:iCs/>
          <w:sz w:val="24"/>
          <w:szCs w:val="24"/>
        </w:rPr>
        <w:t>Claudia Wonder</w:t>
      </w:r>
      <w:r w:rsidRPr="00771368">
        <w:rPr>
          <w:sz w:val="24"/>
          <w:szCs w:val="24"/>
        </w:rPr>
        <w:t xml:space="preserve">. E, quando se pensa em beleza, ela é referência. Relembramos, aqui, o fato de que em meados da década de 80, do último século, a pessoa tida como a mulher mais bela do Brasil, era uma travesti – </w:t>
      </w:r>
      <w:r w:rsidRPr="00771368">
        <w:rPr>
          <w:i/>
          <w:iCs/>
          <w:sz w:val="24"/>
          <w:szCs w:val="24"/>
        </w:rPr>
        <w:t>Roberta Close</w:t>
      </w:r>
      <w:r w:rsidRPr="00771368">
        <w:rPr>
          <w:sz w:val="24"/>
          <w:szCs w:val="24"/>
        </w:rPr>
        <w:t xml:space="preserve"> – pessoa que estrelara propagandas e programas de televisão, peças teatrais, recebera homenagens em canções de cantores populares, entrevistada e fotografada por quase todas as revistas brasileiras. E, no rol dos </w:t>
      </w:r>
      <w:r w:rsidRPr="00771368">
        <w:rPr>
          <w:i/>
          <w:iCs/>
          <w:sz w:val="24"/>
          <w:szCs w:val="24"/>
        </w:rPr>
        <w:t>realities shows</w:t>
      </w:r>
      <w:r w:rsidRPr="00771368">
        <w:rPr>
          <w:sz w:val="24"/>
          <w:szCs w:val="24"/>
        </w:rPr>
        <w:t xml:space="preserve">, a travesti </w:t>
      </w:r>
      <w:r w:rsidRPr="00771368">
        <w:rPr>
          <w:i/>
          <w:iCs/>
          <w:sz w:val="24"/>
          <w:szCs w:val="24"/>
        </w:rPr>
        <w:t>Bianca Soares</w:t>
      </w:r>
      <w:r w:rsidRPr="00771368">
        <w:rPr>
          <w:sz w:val="24"/>
          <w:szCs w:val="24"/>
        </w:rPr>
        <w:t>, foi a precursora, participando do programa Casa dos Artistas, transmitido pelo Sistema Brasileiro de Televisão – SBT, no ano de 2004. Atualmente, no cenário nacional, destaca-se</w:t>
      </w:r>
    </w:p>
    <w:p w:rsidR="00D24E61" w:rsidRPr="00771368" w:rsidRDefault="00D24E61">
      <w:pPr>
        <w:spacing w:line="72" w:lineRule="exact"/>
        <w:rPr>
          <w:sz w:val="20"/>
          <w:szCs w:val="20"/>
        </w:rPr>
      </w:pPr>
    </w:p>
    <w:p w:rsidR="00D24E61" w:rsidRPr="00771368" w:rsidRDefault="00D24E61">
      <w:pPr>
        <w:spacing w:line="349" w:lineRule="auto"/>
        <w:jc w:val="both"/>
        <w:rPr>
          <w:sz w:val="20"/>
          <w:szCs w:val="20"/>
        </w:rPr>
      </w:pPr>
      <w:r w:rsidRPr="00771368">
        <w:rPr>
          <w:i/>
          <w:iCs/>
          <w:sz w:val="24"/>
          <w:szCs w:val="24"/>
        </w:rPr>
        <w:t>Patrícia Araújo</w:t>
      </w:r>
      <w:r w:rsidRPr="00771368">
        <w:rPr>
          <w:sz w:val="24"/>
          <w:szCs w:val="24"/>
        </w:rPr>
        <w:t>, travesti conhecida como a “sereia de Ipanema”, é considerada a mais bonita</w:t>
      </w:r>
      <w:r w:rsidRPr="00771368">
        <w:rPr>
          <w:i/>
          <w:iCs/>
          <w:sz w:val="24"/>
          <w:szCs w:val="24"/>
        </w:rPr>
        <w:t xml:space="preserve"> </w:t>
      </w:r>
      <w:r w:rsidRPr="00771368">
        <w:rPr>
          <w:sz w:val="24"/>
          <w:szCs w:val="24"/>
        </w:rPr>
        <w:t xml:space="preserve">do Brasil. No ano de 2009, desfilou no </w:t>
      </w:r>
      <w:r w:rsidRPr="00771368">
        <w:rPr>
          <w:i/>
          <w:iCs/>
          <w:sz w:val="24"/>
          <w:szCs w:val="24"/>
        </w:rPr>
        <w:t>Fashion Rio,</w:t>
      </w:r>
      <w:r w:rsidRPr="00771368">
        <w:rPr>
          <w:sz w:val="24"/>
          <w:szCs w:val="24"/>
        </w:rPr>
        <w:t xml:space="preserve"> evento de moda realizado na cidade do Rio de Janeiro, reconhecido internacionalmente. Também estampou a revista feminina </w:t>
      </w:r>
      <w:r w:rsidRPr="00771368">
        <w:rPr>
          <w:i/>
          <w:iCs/>
          <w:sz w:val="24"/>
          <w:szCs w:val="24"/>
        </w:rPr>
        <w:t>Marie</w:t>
      </w:r>
      <w:r w:rsidRPr="00771368">
        <w:rPr>
          <w:sz w:val="24"/>
          <w:szCs w:val="24"/>
        </w:rPr>
        <w:t xml:space="preserve"> </w:t>
      </w:r>
      <w:r w:rsidRPr="00771368">
        <w:rPr>
          <w:i/>
          <w:iCs/>
          <w:sz w:val="24"/>
          <w:szCs w:val="24"/>
        </w:rPr>
        <w:t xml:space="preserve">Claire, </w:t>
      </w:r>
      <w:r w:rsidRPr="00771368">
        <w:rPr>
          <w:sz w:val="24"/>
          <w:szCs w:val="24"/>
        </w:rPr>
        <w:t>participou da série</w:t>
      </w:r>
      <w:r w:rsidRPr="00771368">
        <w:rPr>
          <w:i/>
          <w:iCs/>
          <w:sz w:val="24"/>
          <w:szCs w:val="24"/>
        </w:rPr>
        <w:t xml:space="preserve"> A lei e o crime </w:t>
      </w:r>
      <w:r w:rsidRPr="00771368">
        <w:rPr>
          <w:sz w:val="24"/>
          <w:szCs w:val="24"/>
        </w:rPr>
        <w:t>e da novela</w:t>
      </w:r>
      <w:r w:rsidRPr="00771368">
        <w:rPr>
          <w:i/>
          <w:iCs/>
          <w:sz w:val="24"/>
          <w:szCs w:val="24"/>
        </w:rPr>
        <w:t xml:space="preserve"> Luz do Sol, </w:t>
      </w:r>
      <w:r w:rsidRPr="00771368">
        <w:rPr>
          <w:sz w:val="24"/>
          <w:szCs w:val="24"/>
        </w:rPr>
        <w:t>ambas transmitidas pela</w:t>
      </w:r>
      <w:r w:rsidRPr="00771368">
        <w:rPr>
          <w:i/>
          <w:iCs/>
          <w:sz w:val="24"/>
          <w:szCs w:val="24"/>
        </w:rPr>
        <w:t xml:space="preserve"> </w:t>
      </w:r>
      <w:r w:rsidRPr="00771368">
        <w:rPr>
          <w:sz w:val="24"/>
          <w:szCs w:val="24"/>
        </w:rPr>
        <w:t>Rede Record de Televisão, sendo que periodicamente apareceu em diversos programas de televisão das emissoras brasileiras.</w:t>
      </w:r>
    </w:p>
    <w:p w:rsidR="00D24E61" w:rsidRPr="00771368" w:rsidRDefault="00D24E61">
      <w:pPr>
        <w:spacing w:line="74"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 xml:space="preserve">Pisando o solo local, em Belém do Pará, sobressai-se </w:t>
      </w:r>
      <w:r w:rsidRPr="00771368">
        <w:rPr>
          <w:i/>
          <w:iCs/>
          <w:sz w:val="24"/>
          <w:szCs w:val="24"/>
        </w:rPr>
        <w:t>Symmy Larrat</w:t>
      </w:r>
      <w:r w:rsidRPr="00771368">
        <w:rPr>
          <w:sz w:val="24"/>
          <w:szCs w:val="24"/>
        </w:rPr>
        <w:t>, graduada em Publicidade e Propaganda, é conselheira do Conselho Estadual da Diversidade Sexual e do GT de Implementação do Plano de Segurança e Combate a Homofobia da Secretaria Estadual de Segurança Pública – SEGUP/PA. É ativista da ONG/GRETTA e destaque na luta pelos direitos de travestis e transexuais no Estado do Pará.</w:t>
      </w:r>
    </w:p>
    <w:p w:rsidR="00D24E61" w:rsidRPr="00771368" w:rsidRDefault="00013211">
      <w:pPr>
        <w:spacing w:line="274" w:lineRule="exact"/>
        <w:rPr>
          <w:sz w:val="20"/>
          <w:szCs w:val="20"/>
        </w:rPr>
      </w:pPr>
      <w:r>
        <w:rPr>
          <w:noProof/>
          <w:sz w:val="20"/>
          <w:szCs w:val="20"/>
        </w:rPr>
        <mc:AlternateContent>
          <mc:Choice Requires="wps">
            <w:drawing>
              <wp:anchor distT="0" distB="0" distL="0" distR="0" simplePos="0" relativeHeight="251610624" behindDoc="0" locked="0" layoutInCell="0" allowOverlap="1">
                <wp:simplePos x="0" y="0"/>
                <wp:positionH relativeFrom="column">
                  <wp:posOffset>-635</wp:posOffset>
                </wp:positionH>
                <wp:positionV relativeFrom="paragraph">
                  <wp:posOffset>100330</wp:posOffset>
                </wp:positionV>
                <wp:extent cx="1828800" cy="0"/>
                <wp:effectExtent l="8890" t="14605" r="10160" b="13970"/>
                <wp:wrapNone/>
                <wp:docPr id="318"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 o:spid="_x0000_s1026" style="position:absolute;z-index:25161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7.9pt" to="143.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" o:allowincell="f" strokeweight=".84pt"/>
            </w:pict>
          </mc:Fallback>
        </mc:AlternateContent>
      </w:r>
    </w:p>
    <w:p w:rsidR="00D24E61" w:rsidRPr="00771368" w:rsidRDefault="00D24E61">
      <w:pPr>
        <w:spacing w:line="223" w:lineRule="auto"/>
        <w:ind w:right="20"/>
        <w:jc w:val="both"/>
        <w:rPr>
          <w:sz w:val="20"/>
          <w:szCs w:val="20"/>
        </w:rPr>
      </w:pPr>
      <w:r w:rsidRPr="00771368">
        <w:rPr>
          <w:sz w:val="25"/>
          <w:szCs w:val="25"/>
          <w:vertAlign w:val="superscript"/>
        </w:rPr>
        <w:t>5</w:t>
      </w:r>
      <w:r w:rsidRPr="00771368">
        <w:rPr>
          <w:sz w:val="20"/>
          <w:szCs w:val="20"/>
        </w:rPr>
        <w:t xml:space="preserve"> As </w:t>
      </w:r>
      <w:r w:rsidRPr="00771368">
        <w:rPr>
          <w:i/>
          <w:iCs/>
          <w:sz w:val="20"/>
          <w:szCs w:val="20"/>
        </w:rPr>
        <w:t>berdaches</w:t>
      </w:r>
      <w:r w:rsidRPr="00771368">
        <w:rPr>
          <w:sz w:val="20"/>
          <w:szCs w:val="20"/>
        </w:rPr>
        <w:t xml:space="preserve"> eram indivíduos que, nascidos homens, passavam a adotar vestimentas e comportamentos femininos, executavam tarefas e atividades nitidamente destinadas às mulheres e praticavam sexo com homens, geralmente no papel passivo. Estes indivíduos eram reconhecidos como pertencentes ao gênero feminino (BENEDETTI, 2005, pp. 21/22).</w:t>
      </w:r>
    </w:p>
    <w:p w:rsidR="00D24E61" w:rsidRPr="00771368" w:rsidRDefault="00D24E61">
      <w:pPr>
        <w:sectPr w:rsidR="00D24E61" w:rsidRPr="00771368">
          <w:pgSz w:w="11900" w:h="16838"/>
          <w:pgMar w:top="703" w:right="1400" w:bottom="1152"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55" w:lineRule="auto"/>
        <w:ind w:firstLine="708"/>
        <w:jc w:val="both"/>
        <w:rPr>
          <w:sz w:val="20"/>
          <w:szCs w:val="20"/>
        </w:rPr>
      </w:pPr>
      <w:r w:rsidRPr="00771368">
        <w:rPr>
          <w:sz w:val="24"/>
          <w:szCs w:val="24"/>
        </w:rPr>
        <w:t xml:space="preserve">Diante desta profícua notoriedade, segundo Silva e Florentino (1996) as travestis constituem um grupo social cada vez mais numeroso e proeminente na sociedade brasileira. Já dispondo, no nosso espaço social, de um papel que lhes é legítimo e que em si indica, de certa forma, processos de mudança social. Entretanto, na prática, para a imensa maioria delas, chegar a ter </w:t>
      </w:r>
      <w:r w:rsidRPr="00771368">
        <w:rPr>
          <w:i/>
          <w:iCs/>
          <w:sz w:val="24"/>
          <w:szCs w:val="24"/>
        </w:rPr>
        <w:t>status</w:t>
      </w:r>
      <w:r w:rsidRPr="00771368">
        <w:rPr>
          <w:sz w:val="24"/>
          <w:szCs w:val="24"/>
        </w:rPr>
        <w:t xml:space="preserve"> é um processo lento, cristalizando-as como um dos grupos mais marginalizados, temidos e menosprezados da sociedade brasileira (KULICK, 2008). Como sugere Lima (2009), as travestis imprimem em seus corpos a marca da subversão ao cruzar a fronteira dos gêneros e das sexualidades, desafiando precipuamente o imaginário popular (e não somente ele), pois são seres que apresentam características convencionadas ao sexo masculino e feminino. Portanto, fugindo dos padrões, ditos “normais”, que aprendemos sobre sexualidade e gênero.</w:t>
      </w:r>
    </w:p>
    <w:p w:rsidR="00D24E61" w:rsidRPr="00771368" w:rsidRDefault="00D24E61">
      <w:pPr>
        <w:spacing w:line="63" w:lineRule="exact"/>
        <w:rPr>
          <w:sz w:val="20"/>
          <w:szCs w:val="20"/>
        </w:rPr>
      </w:pPr>
    </w:p>
    <w:p w:rsidR="00D24E61" w:rsidRPr="00771368" w:rsidRDefault="00D24E61">
      <w:pPr>
        <w:spacing w:line="355" w:lineRule="auto"/>
        <w:ind w:firstLine="708"/>
        <w:jc w:val="both"/>
        <w:rPr>
          <w:sz w:val="20"/>
          <w:szCs w:val="20"/>
        </w:rPr>
      </w:pPr>
      <w:r w:rsidRPr="00771368">
        <w:rPr>
          <w:sz w:val="24"/>
          <w:szCs w:val="24"/>
        </w:rPr>
        <w:t>Para Kulick (2008), o termo travesti deriva do verbo transvestir, que pode ter o sentido de vestir roupas do sexo oposto. Porém, as travestis não se caracterizam apenas por usar roupas de mulher. Entre outras características, não raro, consomem grandes quantidades de hormônios femininos, colocam implantes de silicone ou introduzem silicone industrial com o objetivo de adquirir aparência feminina. Contudo, o que faz as travestis serem quase únicas no mundo, é o fato de que mesmo com as intervenções, muitas das quais irreversíveis, as travestis não se definem como mulheres. Isto é, apesar de viverem o tempo todo vestidas como mulher, referindo-se umas às outras por nomes femininos, e sofrendo dores atrozes para adquirir formas femininas, as travestis não desejam extrair o pênis e não pensam em ser mulher. Elas não são transexuais. Ao contrário, são homossexuais, “homens que desejam outros homens ardentemente e que se modelam e se completam como objeto de desejo desses homens” (KULICK, 2008, p.22).</w:t>
      </w:r>
    </w:p>
    <w:p w:rsidR="00D24E61" w:rsidRPr="00771368" w:rsidRDefault="00D24E61">
      <w:pPr>
        <w:spacing w:line="70" w:lineRule="exact"/>
        <w:rPr>
          <w:sz w:val="20"/>
          <w:szCs w:val="20"/>
        </w:rPr>
      </w:pPr>
    </w:p>
    <w:p w:rsidR="00D24E61" w:rsidRPr="00771368" w:rsidRDefault="00D24E61">
      <w:pPr>
        <w:spacing w:line="355" w:lineRule="auto"/>
        <w:ind w:right="20" w:firstLine="708"/>
        <w:jc w:val="both"/>
        <w:rPr>
          <w:sz w:val="20"/>
          <w:szCs w:val="20"/>
        </w:rPr>
      </w:pPr>
      <w:r w:rsidRPr="00771368">
        <w:rPr>
          <w:sz w:val="24"/>
          <w:szCs w:val="24"/>
        </w:rPr>
        <w:t>A subjetividade homossexual masculina e a combinação singular de atributos físicos femininos fazem das travestis, pode-se dizer, um lugar de incoerência social. Elas cruzam, como poucos, as fronteiras de gênero, modificam o aspecto físico para que se assemelhe o máximo possível do sexo oposto, sem reivindicar a subjetividade própria ao sexo oposto. Esse tramado complexo faz parte ou estrutura àquilo que Parker (1991) chamou de cultura sexual brasileira. Nesse contexto, a manutenção do pênis pelas travestis, confere significado e convive com outras formas possíveis de organização da homossexualidade na sociedade brasileira (FRY, 1982). Mesmo porque, ou para tornar essa trama mais complexa, as travestis (e não somente as que vivem da prostituição), também se relacionam sexualmente com homens que assumem papéis de receptores (comumente chamados de passivos) na relação sexual. Nesse sentido, equivale dizer que ao assumir os papéis de receptores nas relações</w:t>
      </w:r>
    </w:p>
    <w:p w:rsidR="00D24E61" w:rsidRPr="00771368" w:rsidRDefault="00D24E61">
      <w:pPr>
        <w:sectPr w:rsidR="00D24E61" w:rsidRPr="00771368">
          <w:pgSz w:w="11900" w:h="16838"/>
          <w:pgMar w:top="703" w:right="1400" w:bottom="108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08" w:lineRule="auto"/>
        <w:ind w:right="20"/>
        <w:jc w:val="both"/>
        <w:rPr>
          <w:sz w:val="20"/>
          <w:szCs w:val="20"/>
        </w:rPr>
      </w:pPr>
      <w:r w:rsidRPr="00771368">
        <w:rPr>
          <w:sz w:val="24"/>
          <w:szCs w:val="24"/>
        </w:rPr>
        <w:t>sexuais desqualifica ou exclui o sujeito do mercado matrimonial das travestis, embora não do mercado sexual (BENEDETTI, 2005).</w:t>
      </w:r>
    </w:p>
    <w:p w:rsidR="00D24E61" w:rsidRPr="00771368" w:rsidRDefault="00D24E61">
      <w:pPr>
        <w:spacing w:line="120" w:lineRule="exact"/>
        <w:rPr>
          <w:sz w:val="20"/>
          <w:szCs w:val="20"/>
        </w:rPr>
      </w:pPr>
    </w:p>
    <w:p w:rsidR="00D24E61" w:rsidRPr="00771368" w:rsidRDefault="00D24E61">
      <w:pPr>
        <w:spacing w:line="351" w:lineRule="auto"/>
        <w:ind w:right="20" w:firstLine="708"/>
        <w:jc w:val="both"/>
        <w:rPr>
          <w:sz w:val="20"/>
          <w:szCs w:val="20"/>
        </w:rPr>
      </w:pPr>
      <w:r w:rsidRPr="00771368">
        <w:rPr>
          <w:sz w:val="24"/>
          <w:szCs w:val="24"/>
        </w:rPr>
        <w:t>Esse comportamento serve como exemplo e explica a forma como performances não heterossexuais ou que não correspondam ao nosso padrão de gênero heteronormativo são institucionalizadas. Mostra, portanto, que mesmo subvertendo a norma, o padrão mantido pelas travestis é o heterossexual. Como sugerem Beltrão e Barbosa (2011), ainda que desafiando a norma, quando no universo travesti o tratado são as escolhas amorosas e matrimoniais, essas performances inscrevem-se na própria norma. Ou seja, para possíveis casos amorosos ou trocas matrimoniais o parceiro tem que ser “bofe” (“homem de verdade”).</w:t>
      </w:r>
    </w:p>
    <w:p w:rsidR="00D24E61" w:rsidRPr="00771368" w:rsidRDefault="00D24E61">
      <w:pPr>
        <w:spacing w:line="72" w:lineRule="exact"/>
        <w:rPr>
          <w:sz w:val="20"/>
          <w:szCs w:val="20"/>
        </w:rPr>
      </w:pPr>
    </w:p>
    <w:p w:rsidR="00D24E61" w:rsidRPr="00771368" w:rsidRDefault="00D24E61">
      <w:pPr>
        <w:spacing w:line="310" w:lineRule="auto"/>
        <w:ind w:right="20"/>
        <w:jc w:val="both"/>
        <w:rPr>
          <w:sz w:val="20"/>
          <w:szCs w:val="20"/>
        </w:rPr>
      </w:pPr>
      <w:r w:rsidRPr="00771368">
        <w:rPr>
          <w:sz w:val="24"/>
          <w:szCs w:val="24"/>
        </w:rPr>
        <w:t>Já para relacionamentos apenas de caráter sexual, pode ser, inclusive um homem na condição de passivo na relação sexual.</w:t>
      </w:r>
    </w:p>
    <w:p w:rsidR="00D24E61" w:rsidRPr="00771368" w:rsidRDefault="00D24E61">
      <w:pPr>
        <w:spacing w:line="115" w:lineRule="exact"/>
        <w:rPr>
          <w:sz w:val="20"/>
          <w:szCs w:val="20"/>
        </w:rPr>
      </w:pPr>
    </w:p>
    <w:p w:rsidR="00D24E61" w:rsidRPr="00771368" w:rsidRDefault="00D24E61">
      <w:pPr>
        <w:spacing w:line="353" w:lineRule="auto"/>
        <w:ind w:right="20" w:firstLine="708"/>
        <w:jc w:val="both"/>
        <w:rPr>
          <w:sz w:val="20"/>
          <w:szCs w:val="20"/>
        </w:rPr>
      </w:pPr>
      <w:r w:rsidRPr="00771368">
        <w:rPr>
          <w:sz w:val="24"/>
          <w:szCs w:val="24"/>
        </w:rPr>
        <w:t>São exatamente as filigranas de tais performances que, por vezes, quando falamos de identidades sexuais, ajudam a bagunçar as categorias normalmente elencadas quando se fala de gênero. Tornando-as, portanto, experiências enriquecedoras do gênero. De acordo com Beltrão e Barbosa (2011, p.57), são estas coisas que dificultam nosso entendimento sobre as mais diversas formas que os seres humanos têm de obter prazer nas suas relações sexuais. E, da mesma maneira, dificultam o discernimento sobre o desejo de uma pessoa a partir de sua performance de gênero ou fenotípica. Como sugerem estas autoras, “a complexidade dos desejos humanos”, tornam-se, por vezes, “inapreensíveis por categorias estanques e de compreensão”.</w:t>
      </w:r>
    </w:p>
    <w:p w:rsidR="00D24E61" w:rsidRPr="00771368" w:rsidRDefault="00D24E61">
      <w:pPr>
        <w:spacing w:line="74"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Tornar-se travesti é um processo que se divide em algumas etapas, conforme Pelúcio (2005, p. 98) elucida precisamente:</w:t>
      </w:r>
    </w:p>
    <w:p w:rsidR="00D24E61" w:rsidRPr="00771368" w:rsidRDefault="00D24E61">
      <w:pPr>
        <w:spacing w:line="391" w:lineRule="exact"/>
        <w:rPr>
          <w:sz w:val="20"/>
          <w:szCs w:val="20"/>
        </w:rPr>
      </w:pPr>
    </w:p>
    <w:p w:rsidR="00D24E61" w:rsidRPr="00771368" w:rsidRDefault="00D24E61">
      <w:pPr>
        <w:spacing w:line="236" w:lineRule="auto"/>
        <w:ind w:left="2260"/>
        <w:jc w:val="both"/>
        <w:rPr>
          <w:sz w:val="20"/>
          <w:szCs w:val="20"/>
        </w:rPr>
      </w:pPr>
      <w:r w:rsidRPr="00771368">
        <w:t xml:space="preserve">A primeira delas é quando ainda se é </w:t>
      </w:r>
      <w:r w:rsidRPr="00771368">
        <w:rPr>
          <w:i/>
          <w:iCs/>
        </w:rPr>
        <w:t>gayzinho,</w:t>
      </w:r>
      <w:r w:rsidRPr="00771368">
        <w:t xml:space="preserve"> ou seja, já se assumiu a orientação sexual para familiares e para a “sociedade” (um conjunto mais abrangente de pessoas), mas ainda não se vestem com roupas femininas ou ingerem hormônios. Segue-se então a fase do </w:t>
      </w:r>
      <w:r w:rsidRPr="00771368">
        <w:rPr>
          <w:i/>
          <w:iCs/>
        </w:rPr>
        <w:t>montar-se,</w:t>
      </w:r>
      <w:r w:rsidRPr="00771368">
        <w:t xml:space="preserve"> o que significa no vocabulário próprio do universo homossexual masculino, vestir-se com roupas femininas, maquiar-se de forma a esconder a marca da barba, ressaltar as maças do rosto, evidenciar cílios e pálpebras, além da boca. Vestir-se com roupas femininas ainda é, nessa etapa, algo ocasional, de tom furtivo, restrito a momentos de lazer ou noturnos. O terceiro momento é o da </w:t>
      </w:r>
      <w:r w:rsidRPr="00771368">
        <w:rPr>
          <w:i/>
          <w:iCs/>
        </w:rPr>
        <w:t xml:space="preserve">“transformação”. </w:t>
      </w:r>
      <w:r w:rsidRPr="00771368">
        <w:t>Esta é uma fase mais nuançada, pois tanto pode envolver</w:t>
      </w:r>
      <w:r w:rsidRPr="00771368">
        <w:rPr>
          <w:i/>
          <w:iCs/>
        </w:rPr>
        <w:t xml:space="preserve"> </w:t>
      </w:r>
      <w:r w:rsidRPr="00771368">
        <w:t>apenas depilação dos pelos do corpo e vestir-se cada vez mais frequentemente como mulher, como pode indicar o momento inicial de ingestão de hormônios, quando estes ainda não produziram efeitos perceptíveis; e finalmente, a quarta etapa, quando já se é t</w:t>
      </w:r>
      <w:r w:rsidRPr="00771368">
        <w:rPr>
          <w:i/>
          <w:iCs/>
        </w:rPr>
        <w:t>ravesti.</w:t>
      </w:r>
      <w:r w:rsidRPr="00771368">
        <w:t xml:space="preserve"> Pois além do consumo de hormônios, vestem-se todo o tempo com roupas femininas (sobretudo roupas íntimas, pois se pode estar de </w:t>
      </w:r>
      <w:r w:rsidRPr="00771368">
        <w:rPr>
          <w:i/>
          <w:iCs/>
        </w:rPr>
        <w:t>shorts,</w:t>
      </w:r>
      <w:r w:rsidRPr="00771368">
        <w:t xml:space="preserve"> sem camisa, mas de calcinha) e no mínimo, já se planeja injetar silicone nos quadris e nádegas.</w:t>
      </w:r>
    </w:p>
    <w:p w:rsidR="00D24E61" w:rsidRPr="00771368" w:rsidRDefault="00D24E61">
      <w:pPr>
        <w:sectPr w:rsidR="00D24E61" w:rsidRPr="00771368">
          <w:pgSz w:w="11900" w:h="16838"/>
          <w:pgMar w:top="703"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51" w:lineRule="auto"/>
        <w:ind w:firstLine="708"/>
        <w:jc w:val="both"/>
        <w:rPr>
          <w:sz w:val="20"/>
          <w:szCs w:val="20"/>
        </w:rPr>
      </w:pPr>
      <w:r w:rsidRPr="00771368">
        <w:rPr>
          <w:sz w:val="24"/>
          <w:szCs w:val="24"/>
        </w:rPr>
        <w:t xml:space="preserve">A fase de </w:t>
      </w:r>
      <w:r w:rsidRPr="00771368">
        <w:rPr>
          <w:i/>
          <w:iCs/>
          <w:sz w:val="24"/>
          <w:szCs w:val="24"/>
        </w:rPr>
        <w:t>gayzinho</w:t>
      </w:r>
      <w:r w:rsidRPr="00771368">
        <w:rPr>
          <w:sz w:val="24"/>
          <w:szCs w:val="24"/>
        </w:rPr>
        <w:t xml:space="preserve"> das travestis geralmente apresenta-se na infância e início da adolescência, expresso pelo desejo homossexual, ligado a papéis femininos ou afeminados como brincar de boneca, colocar toalha preza na cabeça assemelhando-se aos cabelos longos, usar maquiagem escondido, roupas femininas. De acordo com Kulick (2008, p.71), “a combinação desses dois aspectos – desejo homossexual e comportamento afeminado – é o que leva as travestis aos seus primeiros encontros amorosos, invariavelmente no papel de passivo na relação sexual”.</w:t>
      </w:r>
    </w:p>
    <w:p w:rsidR="00D24E61" w:rsidRPr="00771368" w:rsidRDefault="00D24E61">
      <w:pPr>
        <w:spacing w:line="343" w:lineRule="exact"/>
        <w:rPr>
          <w:sz w:val="20"/>
          <w:szCs w:val="20"/>
        </w:rPr>
      </w:pPr>
    </w:p>
    <w:p w:rsidR="00D24E61" w:rsidRPr="00771368" w:rsidRDefault="00D24E61">
      <w:pPr>
        <w:spacing w:line="235" w:lineRule="auto"/>
        <w:ind w:left="2260"/>
        <w:jc w:val="both"/>
        <w:rPr>
          <w:sz w:val="20"/>
          <w:szCs w:val="20"/>
        </w:rPr>
      </w:pPr>
      <w:r w:rsidRPr="00771368">
        <w:t>As pessoas falam que a gente já vem com esse instinto de dentro. Não é por influência. Aos poucos você vai vendo um ser de uma aparência masculina, e vai se atraindo aos poucos. (...) Eu me apaixonei pelo meu tio. Eu fui me assumindo aos poucos. Nunca cheguei com a minha família e falei, eu sou gay, sou homossexual. Eu fui aos poucos me moldando: os trajes, as sobrancelhas, mudando os trejeitos, entendeu? [</w:t>
      </w:r>
      <w:r w:rsidRPr="00771368">
        <w:rPr>
          <w:i/>
          <w:iCs/>
        </w:rPr>
        <w:t>Risos</w:t>
      </w:r>
      <w:r w:rsidRPr="00771368">
        <w:t>] Aí com 12 anos eu perdi minha virgindade da frente como uma mulher. Foi aos 15, que eu fiz minha primeira relação sexual com um homem. Como eu era um gayzinho muito bem aparentemente, muita mulher dava em cima de mim (</w:t>
      </w:r>
      <w:r w:rsidRPr="00771368">
        <w:rPr>
          <w:i/>
          <w:iCs/>
        </w:rPr>
        <w:t>Safira</w:t>
      </w:r>
      <w:r w:rsidRPr="00771368">
        <w:t xml:space="preserve"> – Registro de campo).</w:t>
      </w:r>
    </w:p>
    <w:p w:rsidR="00D24E61" w:rsidRPr="00771368" w:rsidRDefault="00D24E61">
      <w:pPr>
        <w:spacing w:line="308" w:lineRule="exact"/>
        <w:rPr>
          <w:sz w:val="20"/>
          <w:szCs w:val="20"/>
        </w:rPr>
      </w:pPr>
    </w:p>
    <w:p w:rsidR="00D24E61" w:rsidRPr="00771368" w:rsidRDefault="00D24E61">
      <w:pPr>
        <w:spacing w:line="235" w:lineRule="auto"/>
        <w:ind w:left="2260"/>
        <w:jc w:val="both"/>
        <w:rPr>
          <w:sz w:val="20"/>
          <w:szCs w:val="20"/>
        </w:rPr>
      </w:pPr>
      <w:r w:rsidRPr="00771368">
        <w:t>(...) como eu fui criada com três meninas eu sei tudo de mulher. Postura, como se sentar num vaso, modos... Eu fui criada com três meninas, então, minha madrinha não tinha filho homem e não tinha muita diferença: Ah! Não é assim que menino faz... Então todos foram criados iguais, entendeu? E como já tinha afinidade pra ser menina, aí isso foi só um prato cheio pra minha feminilidade. Aos 6 anos eu já tinha noção que eu era diferente dos outros meninos. Eu sabia que eu não gostava de meninas. Desde criança eu gosto de menino. Tanto é que nunca fiquei com uma mulher, nunca beijei uma mulher, nunca fiz nada. (...) Aí de dia eu era menino e na noite eu saia escondida de casa e me montava de menina (</w:t>
      </w:r>
      <w:r w:rsidRPr="00771368">
        <w:rPr>
          <w:i/>
          <w:iCs/>
        </w:rPr>
        <w:t>Esmeralda</w:t>
      </w:r>
      <w:r w:rsidRPr="00771368">
        <w:t xml:space="preserve"> – Registro de campo).</w:t>
      </w:r>
    </w:p>
    <w:p w:rsidR="00D24E61" w:rsidRPr="00771368" w:rsidRDefault="00D24E61">
      <w:pPr>
        <w:spacing w:line="312" w:lineRule="exact"/>
        <w:rPr>
          <w:sz w:val="20"/>
          <w:szCs w:val="20"/>
        </w:rPr>
      </w:pPr>
    </w:p>
    <w:p w:rsidR="00D24E61" w:rsidRPr="00771368" w:rsidRDefault="00D24E61">
      <w:pPr>
        <w:spacing w:line="231" w:lineRule="auto"/>
        <w:ind w:left="2260"/>
        <w:jc w:val="both"/>
        <w:rPr>
          <w:sz w:val="20"/>
          <w:szCs w:val="20"/>
        </w:rPr>
      </w:pPr>
      <w:r w:rsidRPr="00771368">
        <w:t xml:space="preserve">(...) eu já sabia desde criança que eu estava no corpo errado, porque eu não queria o que todo mundo dizia que era o certo, que era o que eu deveria seguir. Eu dizia, não! Eu dizia não, isso não é pra mim. No primeiro momento eu me recuei, fiquei triste mesma. E disse: </w:t>
      </w:r>
      <w:r w:rsidRPr="00771368">
        <w:rPr>
          <w:i/>
          <w:iCs/>
        </w:rPr>
        <w:t>égua!</w:t>
      </w:r>
      <w:r w:rsidRPr="00771368">
        <w:t xml:space="preserve"> Não pode ser. Mas eu disse, eu sou diferente! Comecei desde criança a exteriorizar, e fui exteriorizando (...) (</w:t>
      </w:r>
      <w:r w:rsidRPr="00771368">
        <w:rPr>
          <w:i/>
          <w:iCs/>
        </w:rPr>
        <w:t>Ametista</w:t>
      </w:r>
      <w:r w:rsidRPr="00771368">
        <w:t xml:space="preserve"> </w:t>
      </w:r>
      <w:r w:rsidRPr="00771368">
        <w:rPr>
          <w:i/>
          <w:iCs/>
        </w:rPr>
        <w:t>–</w:t>
      </w:r>
      <w:r w:rsidRPr="00771368">
        <w:t xml:space="preserve"> Registro de campo).</w:t>
      </w:r>
    </w:p>
    <w:p w:rsidR="00D24E61" w:rsidRPr="00771368" w:rsidRDefault="00D24E61">
      <w:pPr>
        <w:spacing w:line="200" w:lineRule="exact"/>
        <w:rPr>
          <w:sz w:val="20"/>
          <w:szCs w:val="20"/>
        </w:rPr>
      </w:pPr>
    </w:p>
    <w:p w:rsidR="00D24E61" w:rsidRPr="00771368" w:rsidRDefault="00D24E61">
      <w:pPr>
        <w:spacing w:line="241" w:lineRule="exact"/>
        <w:rPr>
          <w:sz w:val="20"/>
          <w:szCs w:val="20"/>
        </w:rPr>
      </w:pPr>
    </w:p>
    <w:p w:rsidR="00D24E61" w:rsidRPr="00771368" w:rsidRDefault="00D24E61">
      <w:pPr>
        <w:spacing w:line="351" w:lineRule="auto"/>
        <w:ind w:firstLine="708"/>
        <w:jc w:val="both"/>
        <w:rPr>
          <w:sz w:val="20"/>
          <w:szCs w:val="20"/>
        </w:rPr>
      </w:pPr>
      <w:r w:rsidRPr="00771368">
        <w:rPr>
          <w:sz w:val="24"/>
          <w:szCs w:val="24"/>
        </w:rPr>
        <w:t>O ponto inicial de autopercepção ao sentir desejo por homens ainda na infância, e o processo de exteriorização dos atributos femininos, quando realizam pequenas alterações no corpo facilmente reversíveis, faz com que as travestis desde cedo travem constantes discussões com suas famílias. Nesta fase, a maioria das travestis abandona ou é expulsa de casa, como evidencia Kulick (2008). Minhas interlocutoras não discorreram essas situações, mas me pontuaram a difícil relação e aceitação familiar pós-revelação</w:t>
      </w:r>
      <w:r w:rsidRPr="00771368">
        <w:rPr>
          <w:i/>
          <w:iCs/>
          <w:sz w:val="24"/>
          <w:szCs w:val="24"/>
        </w:rPr>
        <w:t>,</w:t>
      </w:r>
      <w:r w:rsidRPr="00771368">
        <w:rPr>
          <w:sz w:val="24"/>
          <w:szCs w:val="24"/>
        </w:rPr>
        <w:t xml:space="preserve"> principalmente com a figura paterna. Sobre o acontecimento, </w:t>
      </w:r>
      <w:r w:rsidRPr="00771368">
        <w:rPr>
          <w:i/>
          <w:iCs/>
          <w:sz w:val="24"/>
          <w:szCs w:val="24"/>
        </w:rPr>
        <w:t>Safira e Esmeralda</w:t>
      </w:r>
      <w:r w:rsidRPr="00771368">
        <w:rPr>
          <w:sz w:val="24"/>
          <w:szCs w:val="24"/>
        </w:rPr>
        <w:t xml:space="preserve"> descrevem sequencialmente:</w:t>
      </w:r>
    </w:p>
    <w:p w:rsidR="00D24E61" w:rsidRPr="00771368" w:rsidRDefault="00D24E61">
      <w:pPr>
        <w:sectPr w:rsidR="00D24E61" w:rsidRPr="00771368">
          <w:pgSz w:w="11900" w:h="16838"/>
          <w:pgMar w:top="703"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68" w:lineRule="exact"/>
        <w:rPr>
          <w:sz w:val="20"/>
          <w:szCs w:val="20"/>
        </w:rPr>
      </w:pPr>
    </w:p>
    <w:p w:rsidR="00D24E61" w:rsidRPr="00771368" w:rsidRDefault="00D24E61">
      <w:pPr>
        <w:spacing w:line="227" w:lineRule="auto"/>
        <w:ind w:left="2260" w:right="20"/>
        <w:jc w:val="both"/>
        <w:rPr>
          <w:sz w:val="20"/>
          <w:szCs w:val="20"/>
        </w:rPr>
      </w:pPr>
      <w:r w:rsidRPr="00771368">
        <w:t>Quando eu tinha quinze anos aconteceu uma grande catástrofe. Minha mãe faleceu, teve um câncer, ela faleceu aí minha vida se desmoronou, aí passei a morar com a minha avó. (...) Ai, o meu pai... Ele é um preconceituoso. Quando uma vez que ele me viu na rua, ele cuspiu em mim.</w:t>
      </w:r>
    </w:p>
    <w:p w:rsidR="00D24E61" w:rsidRPr="00771368" w:rsidRDefault="00D24E61">
      <w:pPr>
        <w:spacing w:line="308" w:lineRule="exact"/>
        <w:rPr>
          <w:sz w:val="20"/>
          <w:szCs w:val="20"/>
        </w:rPr>
      </w:pPr>
    </w:p>
    <w:p w:rsidR="00D24E61" w:rsidRPr="00771368" w:rsidRDefault="00D24E61">
      <w:pPr>
        <w:spacing w:line="230" w:lineRule="auto"/>
        <w:ind w:left="2260" w:right="20"/>
        <w:jc w:val="both"/>
        <w:rPr>
          <w:sz w:val="20"/>
          <w:szCs w:val="20"/>
        </w:rPr>
      </w:pPr>
      <w:r w:rsidRPr="00771368">
        <w:t>Meu pai é do sertão do Maranhão (...). Meu pai me rejeita a qualquer preço. Ele chegou a mandar pensão pra mim, dinheiro pra mim não ir lá na cidade onde ele mora, porque tem o emprego dele, a profissão dele. Meu pai é delegado da Polícia Federal e aí, tem todo um preconceito (...) (Registros de campo).</w:t>
      </w:r>
    </w:p>
    <w:p w:rsidR="00D24E61" w:rsidRPr="00771368" w:rsidRDefault="00D24E61">
      <w:pPr>
        <w:spacing w:line="334" w:lineRule="exact"/>
        <w:rPr>
          <w:sz w:val="20"/>
          <w:szCs w:val="20"/>
        </w:rPr>
      </w:pPr>
    </w:p>
    <w:p w:rsidR="00D24E61" w:rsidRPr="00771368" w:rsidRDefault="00D24E61">
      <w:pPr>
        <w:spacing w:line="355" w:lineRule="auto"/>
        <w:ind w:firstLine="708"/>
        <w:jc w:val="both"/>
        <w:rPr>
          <w:sz w:val="20"/>
          <w:szCs w:val="20"/>
        </w:rPr>
      </w:pPr>
      <w:r w:rsidRPr="00771368">
        <w:rPr>
          <w:sz w:val="24"/>
          <w:szCs w:val="24"/>
        </w:rPr>
        <w:t>A transformação ou o “montar-se” seria então a fase onde os “sacrifícios” agravam-se, pois se busca o ideal de feminilidade e a maioria não mede esforços para obtê-lo. Inicia-se com a extração dos pelos da barba, pernas e braços; afina-se a sobrancelha, deixa-se o cabelo crescer e passa-se a usar maquiagem e roupas consideradas femininas, fora do mundo da casa. A seguir, começa o processo de modificação corporal, sendo que a ingestão de hormônios femininos é o primeiro passo, passando por aplicações de silicone líquido nos quadris e seios, até se chegar a intervenções cirúrgicas (o que requer dinheiro) mais radicais como operação plástica do nariz, extração de costelas, colocação de próteses de silicone nos seios, pernas, bumbum. No mundo das travestis, a ingestão sistemática de hormônios, é crucial para a iniciação da transformação. Ele dá vida às travestis, permite que se sintam atraentes, e mais próximas da “perfeição feminina”</w:t>
      </w:r>
      <w:r w:rsidRPr="00771368">
        <w:rPr>
          <w:i/>
          <w:iCs/>
          <w:sz w:val="24"/>
          <w:szCs w:val="24"/>
        </w:rPr>
        <w:t>.</w:t>
      </w:r>
      <w:r w:rsidRPr="00771368">
        <w:rPr>
          <w:sz w:val="24"/>
          <w:szCs w:val="24"/>
        </w:rPr>
        <w:t xml:space="preserve"> Se o hormônio liberta a feminilidade, a beleza, a simpatia; o silicone pode-se dizer, é a “dor”</w:t>
      </w:r>
      <w:r w:rsidRPr="00771368">
        <w:rPr>
          <w:i/>
          <w:iCs/>
          <w:sz w:val="24"/>
          <w:szCs w:val="24"/>
        </w:rPr>
        <w:t>,</w:t>
      </w:r>
      <w:r w:rsidRPr="00771368">
        <w:rPr>
          <w:sz w:val="24"/>
          <w:szCs w:val="24"/>
        </w:rPr>
        <w:t xml:space="preserve"> é preço que pagam pelo “belo”, para muitas, pelo “sonho”</w:t>
      </w:r>
      <w:r w:rsidRPr="00771368">
        <w:rPr>
          <w:i/>
          <w:iCs/>
          <w:sz w:val="24"/>
          <w:szCs w:val="24"/>
        </w:rPr>
        <w:t>.</w:t>
      </w:r>
    </w:p>
    <w:p w:rsidR="00D24E61" w:rsidRPr="00771368" w:rsidRDefault="00D24E61">
      <w:pPr>
        <w:spacing w:line="70" w:lineRule="exact"/>
        <w:rPr>
          <w:sz w:val="20"/>
          <w:szCs w:val="20"/>
        </w:rPr>
      </w:pPr>
    </w:p>
    <w:p w:rsidR="00D24E61" w:rsidRPr="00771368" w:rsidRDefault="00D24E61">
      <w:pPr>
        <w:spacing w:line="342" w:lineRule="auto"/>
        <w:ind w:right="20"/>
        <w:jc w:val="both"/>
        <w:rPr>
          <w:sz w:val="20"/>
          <w:szCs w:val="20"/>
        </w:rPr>
      </w:pPr>
      <w:r w:rsidRPr="00771368">
        <w:rPr>
          <w:sz w:val="24"/>
          <w:szCs w:val="24"/>
        </w:rPr>
        <w:t>Mas nem sempre as intervenções cirúrgicas podem ser conseguidas em clínicas de cirurgias plásticas habilitadas. Aí entra, a figura responsável pela obra corporal</w:t>
      </w:r>
      <w:r w:rsidRPr="00771368">
        <w:rPr>
          <w:i/>
          <w:iCs/>
          <w:sz w:val="24"/>
          <w:szCs w:val="24"/>
        </w:rPr>
        <w:t>,</w:t>
      </w:r>
      <w:r w:rsidRPr="00771368">
        <w:rPr>
          <w:sz w:val="24"/>
          <w:szCs w:val="24"/>
        </w:rPr>
        <w:t xml:space="preserve"> conhecida do mundo das travestis como a “bombadeira”</w:t>
      </w:r>
      <w:r w:rsidRPr="00771368">
        <w:rPr>
          <w:i/>
          <w:iCs/>
          <w:sz w:val="24"/>
          <w:szCs w:val="24"/>
        </w:rPr>
        <w:t>.</w:t>
      </w:r>
      <w:r w:rsidRPr="00771368">
        <w:rPr>
          <w:sz w:val="24"/>
          <w:szCs w:val="24"/>
        </w:rPr>
        <w:t xml:space="preserve"> Na maioria travestis também, as “bombadeiras”, injetam silicone líquido no corpo das travestis. É um processo dolorido, demorado e arriscado.</w:t>
      </w:r>
    </w:p>
    <w:p w:rsidR="00D24E61" w:rsidRPr="00771368" w:rsidRDefault="00D24E61">
      <w:pPr>
        <w:spacing w:line="330" w:lineRule="exact"/>
        <w:rPr>
          <w:sz w:val="20"/>
          <w:szCs w:val="20"/>
        </w:rPr>
      </w:pPr>
    </w:p>
    <w:p w:rsidR="00D24E61" w:rsidRPr="00771368" w:rsidRDefault="00D24E61">
      <w:pPr>
        <w:spacing w:line="234" w:lineRule="auto"/>
        <w:ind w:left="2260"/>
        <w:jc w:val="both"/>
        <w:rPr>
          <w:sz w:val="20"/>
          <w:szCs w:val="20"/>
        </w:rPr>
      </w:pPr>
      <w:r w:rsidRPr="00771368">
        <w:t>Primeiramente foi com ingestão de hormônios, tanto injetáveis como comprimidos, depois a inserção de silicone líquido, que é o silicone industrial. A primeira vez entrou 1,5 litros no meu bumbum. E aí, o procedimento pós-cirúrgico é bem complicado. Complicado não, quando se quer algo, torna-se fácil, mas é meio rústica a coisa. Do jeito que é feita, é muito rústica, até mesmo porque é ilegal. O silicone líquido é óleo de motor de avião, então ele é inserido no corpo a litros, em quantidades litrais, e é inserido por agulha e seringa para cavalo (...) (</w:t>
      </w:r>
      <w:r w:rsidRPr="00771368">
        <w:rPr>
          <w:i/>
          <w:iCs/>
        </w:rPr>
        <w:t>Ametista</w:t>
      </w:r>
      <w:r w:rsidRPr="00771368">
        <w:t xml:space="preserve"> – Registro de campo).</w:t>
      </w:r>
    </w:p>
    <w:p w:rsidR="00D24E61" w:rsidRPr="00771368" w:rsidRDefault="00D24E61">
      <w:pPr>
        <w:spacing w:line="310" w:lineRule="exact"/>
        <w:rPr>
          <w:sz w:val="20"/>
          <w:szCs w:val="20"/>
        </w:rPr>
      </w:pPr>
    </w:p>
    <w:p w:rsidR="00D24E61" w:rsidRPr="00771368" w:rsidRDefault="00D24E61">
      <w:pPr>
        <w:spacing w:line="231" w:lineRule="auto"/>
        <w:ind w:left="2260"/>
        <w:jc w:val="both"/>
        <w:rPr>
          <w:sz w:val="20"/>
          <w:szCs w:val="20"/>
        </w:rPr>
      </w:pPr>
      <w:r w:rsidRPr="00771368">
        <w:t>A vontade é tão grande que não existe dor na hora. Você vai sentir uma dor no final. Na hora você nem sente, tá com tanta vontade, você sabe que vai mudar teu corpo, perder aquele corpo de menino, vai ficar com corpo feminino, que nem lembra. Chora nem sabe que tá chorando, é por aí. É um risco.. Eu fiquei quinze dias só deitada, com a calcinha amarrada que é pra formar o quadril (</w:t>
      </w:r>
      <w:r w:rsidRPr="00771368">
        <w:rPr>
          <w:i/>
          <w:iCs/>
        </w:rPr>
        <w:t>Rubi</w:t>
      </w:r>
      <w:r w:rsidRPr="00771368">
        <w:t xml:space="preserve"> – Registro de campo).</w:t>
      </w:r>
    </w:p>
    <w:p w:rsidR="00D24E61" w:rsidRPr="00771368" w:rsidRDefault="00D24E61">
      <w:pPr>
        <w:sectPr w:rsidR="00D24E61" w:rsidRPr="00771368">
          <w:pgSz w:w="11900" w:h="16838"/>
          <w:pgMar w:top="703"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51" w:lineRule="auto"/>
        <w:ind w:right="20" w:firstLine="708"/>
        <w:jc w:val="both"/>
        <w:rPr>
          <w:sz w:val="20"/>
          <w:szCs w:val="20"/>
        </w:rPr>
      </w:pPr>
      <w:r w:rsidRPr="00771368">
        <w:rPr>
          <w:sz w:val="24"/>
          <w:szCs w:val="24"/>
        </w:rPr>
        <w:t>Compondo a fase final, aliás, buscando um “corpo melhor”, entram em cena as cirurgias plásticas, intervenções que complementam as etapas anteriores no processo árduo de transformação. O principal empreendimento realizado pela maioria de minhas interlocutoras, depois das aplicações de silicone industrial no corpo, são os implantes de próteses de silicone nos seios, e na sequência, os tratamentos estéticos, o que requer bons rendimentos financeiros. Creio que seja este um fator preponderante pela opção do silicone industrial, pois digamos assim, “sai mais em conta”.</w:t>
      </w:r>
    </w:p>
    <w:p w:rsidR="00D24E61" w:rsidRPr="00771368" w:rsidRDefault="00D24E61">
      <w:pPr>
        <w:spacing w:line="343" w:lineRule="exact"/>
        <w:rPr>
          <w:sz w:val="20"/>
          <w:szCs w:val="20"/>
        </w:rPr>
      </w:pPr>
    </w:p>
    <w:p w:rsidR="00D24E61" w:rsidRPr="00771368" w:rsidRDefault="00D24E61">
      <w:pPr>
        <w:spacing w:line="227" w:lineRule="auto"/>
        <w:ind w:left="2260"/>
        <w:jc w:val="both"/>
        <w:rPr>
          <w:sz w:val="20"/>
          <w:szCs w:val="20"/>
        </w:rPr>
      </w:pPr>
      <w:r w:rsidRPr="00771368">
        <w:t>Oh! Eu gastei R$18.000,00 no meu corpo (...). O meu nariz não é cirurgia, é bioplastia. É cirurgia sem corte. Essa aqui é a minha segunda prótese. A minha primeira prótese era de 580 [ml]. Essa aqui é de 680 [ml]. Eu fiz lipoescultura, aumentei bunda e quadril (...) (</w:t>
      </w:r>
      <w:r w:rsidRPr="00771368">
        <w:rPr>
          <w:i/>
          <w:iCs/>
        </w:rPr>
        <w:t>Safira</w:t>
      </w:r>
      <w:r w:rsidRPr="00771368">
        <w:t xml:space="preserve"> </w:t>
      </w:r>
      <w:r w:rsidRPr="00771368">
        <w:rPr>
          <w:i/>
          <w:iCs/>
        </w:rPr>
        <w:t>–</w:t>
      </w:r>
      <w:r w:rsidRPr="00771368">
        <w:t xml:space="preserve"> Registro de campo).</w:t>
      </w:r>
    </w:p>
    <w:p w:rsidR="00D24E61" w:rsidRPr="00771368" w:rsidRDefault="00D24E61">
      <w:pPr>
        <w:spacing w:line="313"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Outra técnica desenvolvida pelas travestis para ter a aparência de um corpo mais feminino, é “</w:t>
      </w:r>
      <w:r w:rsidRPr="00771368">
        <w:rPr>
          <w:i/>
          <w:iCs/>
          <w:sz w:val="24"/>
          <w:szCs w:val="24"/>
        </w:rPr>
        <w:t>acuendar a neca”,</w:t>
      </w:r>
      <w:r w:rsidRPr="00771368">
        <w:rPr>
          <w:sz w:val="24"/>
          <w:szCs w:val="24"/>
        </w:rPr>
        <w:t xml:space="preserve"> que significa a arte de esconder o pênis sob a roupa, para ficar com um aspecto semelhante a genital da mulher. De acordo com Benedetti (2005)</w:t>
      </w:r>
    </w:p>
    <w:p w:rsidR="00D24E61" w:rsidRPr="00771368" w:rsidRDefault="00D24E61">
      <w:pPr>
        <w:spacing w:line="91" w:lineRule="exact"/>
        <w:rPr>
          <w:sz w:val="20"/>
          <w:szCs w:val="20"/>
        </w:rPr>
      </w:pPr>
    </w:p>
    <w:p w:rsidR="00D24E61" w:rsidRPr="00771368" w:rsidRDefault="00D24E61">
      <w:pPr>
        <w:spacing w:line="349" w:lineRule="auto"/>
        <w:jc w:val="both"/>
        <w:rPr>
          <w:sz w:val="20"/>
          <w:szCs w:val="20"/>
        </w:rPr>
      </w:pPr>
      <w:r w:rsidRPr="00771368">
        <w:rPr>
          <w:sz w:val="24"/>
          <w:szCs w:val="24"/>
        </w:rPr>
        <w:t>“normalmente força-se o pênis para trás, ocultando-o por entre as pernas, com uma calcinha justa”. Por mais que não vivam com a “</w:t>
      </w:r>
      <w:r w:rsidRPr="00771368">
        <w:rPr>
          <w:i/>
          <w:iCs/>
          <w:sz w:val="24"/>
          <w:szCs w:val="24"/>
        </w:rPr>
        <w:t>neca</w:t>
      </w:r>
      <w:r w:rsidRPr="00771368">
        <w:rPr>
          <w:sz w:val="24"/>
          <w:szCs w:val="24"/>
        </w:rPr>
        <w:t xml:space="preserve"> </w:t>
      </w:r>
      <w:r w:rsidRPr="00771368">
        <w:rPr>
          <w:i/>
          <w:iCs/>
          <w:sz w:val="24"/>
          <w:szCs w:val="24"/>
        </w:rPr>
        <w:t>acuendada”</w:t>
      </w:r>
      <w:r w:rsidRPr="00771368">
        <w:rPr>
          <w:sz w:val="24"/>
          <w:szCs w:val="24"/>
        </w:rPr>
        <w:t xml:space="preserve"> o dia inteiro, saber está técnica é de fundamental importância, e com a prática, em segundos pode-se ter o resultado esperado. Como são muitas as práticas e modificações corporais realizadas pelas travestis, questiona-se: será que elas se sentem mulheres? Ao contrário do que a maioria pensa, as travestis não se sentem mulheres, pelo menos as do universo de minha pesquisa.</w:t>
      </w:r>
    </w:p>
    <w:p w:rsidR="00D24E61" w:rsidRPr="00771368" w:rsidRDefault="00D24E61">
      <w:pPr>
        <w:spacing w:line="348" w:lineRule="exact"/>
        <w:rPr>
          <w:sz w:val="20"/>
          <w:szCs w:val="20"/>
        </w:rPr>
      </w:pPr>
    </w:p>
    <w:p w:rsidR="00D24E61" w:rsidRPr="00771368" w:rsidRDefault="00D24E61">
      <w:pPr>
        <w:spacing w:line="229" w:lineRule="auto"/>
        <w:ind w:left="2260" w:right="20"/>
        <w:jc w:val="both"/>
        <w:rPr>
          <w:sz w:val="20"/>
          <w:szCs w:val="20"/>
        </w:rPr>
      </w:pPr>
      <w:r w:rsidRPr="00771368">
        <w:t>Eu sei, eu tenho consciência que não sou mulher. Sou uma travesti feminina, mulher eu não vou ser nunca (...). Eu não sou doida, eu tomo hormônio, e não (...) remédio pra doido. Eu sei que hoje eu sou uma travesti feminina. Admiro o corpo feminino. Eu sou uma travesti que eu sei dizer quando uma mulher é bonita. Não sou despeitada (</w:t>
      </w:r>
      <w:r w:rsidRPr="00771368">
        <w:rPr>
          <w:i/>
          <w:iCs/>
        </w:rPr>
        <w:t>Esmeralda</w:t>
      </w:r>
      <w:r w:rsidRPr="00771368">
        <w:t xml:space="preserve"> – Registro de camp</w:t>
      </w:r>
      <w:r w:rsidRPr="00771368">
        <w:rPr>
          <w:i/>
          <w:iCs/>
        </w:rPr>
        <w:t>o).</w:t>
      </w:r>
    </w:p>
    <w:p w:rsidR="00D24E61" w:rsidRPr="00771368" w:rsidRDefault="00D24E61">
      <w:pPr>
        <w:spacing w:line="310" w:lineRule="exact"/>
        <w:rPr>
          <w:sz w:val="20"/>
          <w:szCs w:val="20"/>
        </w:rPr>
      </w:pPr>
    </w:p>
    <w:p w:rsidR="00D24E61" w:rsidRPr="00771368" w:rsidRDefault="00D24E61">
      <w:pPr>
        <w:spacing w:line="233" w:lineRule="auto"/>
        <w:ind w:left="2260"/>
        <w:jc w:val="both"/>
        <w:rPr>
          <w:sz w:val="20"/>
          <w:szCs w:val="20"/>
        </w:rPr>
      </w:pPr>
      <w:r w:rsidRPr="00771368">
        <w:t>O que eu admiro numa mulher eu imito. Nós imitamos uma mulher, entendeu? Numa roupa que ela está vestindo. Porque quem lança essas modas são as pessoas do sexo feminino. Então, se eu uso um vestido bonito eu tô imitando uma mulher. Agora quando ela veste uma roupa que eu praticamente me visto igual, e ela tem um respeito, ela tem uma posição social, eu vou achar isso o máximo, porque ela tá sendo uma coisa que a sociedade ta pedindo pra mim como mulher, entendeu? (</w:t>
      </w:r>
      <w:r w:rsidRPr="00771368">
        <w:rPr>
          <w:i/>
          <w:iCs/>
        </w:rPr>
        <w:t>Jade</w:t>
      </w:r>
      <w:r w:rsidRPr="00771368">
        <w:t xml:space="preserve"> – Registro de campo).</w:t>
      </w:r>
    </w:p>
    <w:p w:rsidR="00D24E61" w:rsidRPr="00771368" w:rsidRDefault="00D24E61">
      <w:pPr>
        <w:sectPr w:rsidR="00D24E61" w:rsidRPr="00771368">
          <w:pgSz w:w="11900" w:h="16838"/>
          <w:pgMar w:top="703" w:right="1400" w:bottom="1440" w:left="1420" w:header="0" w:footer="0" w:gutter="0"/>
          <w:cols w:space="720" w:equalWidth="0">
            <w:col w:w="9080"/>
          </w:cols>
        </w:sectPr>
      </w:pPr>
    </w:p>
    <w:p w:rsidR="00D24E61" w:rsidRPr="00771368" w:rsidRDefault="00D24E61">
      <w:pPr>
        <w:spacing w:line="340"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As travestis no decorrer do processo de modificação corporal reivindicam o que denominam de feminino. Kulick (2008) salienta claramente que a ideia de “mulher” é elaborada pelas travestis em termos de “aparências específicas, comportamentos e</w:t>
      </w:r>
    </w:p>
    <w:p w:rsidR="00D24E61" w:rsidRPr="00771368" w:rsidRDefault="00D24E61">
      <w:pPr>
        <w:sectPr w:rsidR="00D24E61" w:rsidRPr="00771368">
          <w:type w:val="continuous"/>
          <w:pgSz w:w="11900" w:h="16838"/>
          <w:pgMar w:top="703" w:right="1420" w:bottom="1440" w:left="1420" w:header="0" w:footer="0" w:gutter="0"/>
          <w:cols w:space="720" w:equalWidth="0">
            <w:col w:w="906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08" w:lineRule="auto"/>
        <w:ind w:right="20"/>
        <w:jc w:val="both"/>
        <w:rPr>
          <w:sz w:val="20"/>
          <w:szCs w:val="20"/>
        </w:rPr>
      </w:pPr>
      <w:r w:rsidRPr="00771368">
        <w:rPr>
          <w:sz w:val="24"/>
          <w:szCs w:val="24"/>
        </w:rPr>
        <w:t>relacionamento com os homens”. Só precisam como o próprio descreve, “adquirir os atributos adequados e as relações apropriadas” (p. 111).</w:t>
      </w:r>
    </w:p>
    <w:p w:rsidR="00D24E61" w:rsidRPr="00771368" w:rsidRDefault="00D24E61">
      <w:pPr>
        <w:spacing w:line="120" w:lineRule="exact"/>
        <w:rPr>
          <w:sz w:val="20"/>
          <w:szCs w:val="20"/>
        </w:rPr>
      </w:pPr>
    </w:p>
    <w:p w:rsidR="00D24E61" w:rsidRPr="00771368" w:rsidRDefault="00D24E61">
      <w:pPr>
        <w:spacing w:line="355" w:lineRule="auto"/>
        <w:ind w:right="20" w:firstLine="708"/>
        <w:jc w:val="both"/>
        <w:rPr>
          <w:sz w:val="20"/>
          <w:szCs w:val="20"/>
        </w:rPr>
      </w:pPr>
      <w:r w:rsidRPr="00771368">
        <w:rPr>
          <w:sz w:val="24"/>
          <w:szCs w:val="24"/>
        </w:rPr>
        <w:t>Apesar das mudanças no papel e lugar social ocupado por este grupo, ainda é comum a ideia de que as travestis constroem sua identidade sexual e de gênero motivadas apenas pela prostituição e pelos ganhos financeiros que esta atividade pode proporcionar (BENEDETTI, 2005 e 2012). Desta forma, é corrente a associação da identidade das travestis à atividade da prostituição. No entanto, é preciso relativizar a noção corrente de que a transformação do corpo e do gênero entre as travestis esteja atrelada à prostituição. A ideia de que a construção do corpo e do gênero das travestis dá-se única e exclusivamente em função do interesse pelos rendimentos financeiros proporcionados pela prostituição é um dos sustentáculos do estigma e da exclusão social que cerca este grupo social. Conforme argumenta (BENEDETTI, 2012, p.1), “os processos de construção do corpo e do gênero das travestis são complexos e estão determinados e estruturados por lógicas do gênero próprias deste grupo social”.</w:t>
      </w:r>
    </w:p>
    <w:p w:rsidR="00D24E61" w:rsidRPr="00771368" w:rsidRDefault="00D24E61">
      <w:pPr>
        <w:spacing w:line="5" w:lineRule="exact"/>
        <w:rPr>
          <w:sz w:val="20"/>
          <w:szCs w:val="20"/>
        </w:rPr>
      </w:pPr>
    </w:p>
    <w:p w:rsidR="00D24E61" w:rsidRPr="00771368" w:rsidRDefault="00D24E61">
      <w:pPr>
        <w:ind w:left="700"/>
        <w:rPr>
          <w:sz w:val="20"/>
          <w:szCs w:val="20"/>
        </w:rPr>
      </w:pPr>
      <w:r w:rsidRPr="00771368">
        <w:rPr>
          <w:sz w:val="24"/>
          <w:szCs w:val="24"/>
        </w:rPr>
        <w:t>Dessa  forma,  é  no  território  da  “batalha”  que  as  travestis  passam  a  conhecer  a</w:t>
      </w:r>
    </w:p>
    <w:p w:rsidR="00D24E61" w:rsidRPr="00771368" w:rsidRDefault="00D24E61">
      <w:pPr>
        <w:spacing w:line="197" w:lineRule="exact"/>
        <w:rPr>
          <w:sz w:val="20"/>
          <w:szCs w:val="20"/>
        </w:rPr>
      </w:pPr>
    </w:p>
    <w:p w:rsidR="00D24E61" w:rsidRPr="00771368" w:rsidRDefault="00D24E61">
      <w:pPr>
        <w:spacing w:line="308" w:lineRule="auto"/>
        <w:ind w:right="20"/>
        <w:jc w:val="both"/>
        <w:rPr>
          <w:sz w:val="20"/>
          <w:szCs w:val="20"/>
        </w:rPr>
      </w:pPr>
      <w:r w:rsidRPr="00771368">
        <w:rPr>
          <w:sz w:val="24"/>
          <w:szCs w:val="24"/>
        </w:rPr>
        <w:t>“montagem”, as formas corretas de andar no salto alto, de mostrar movimentos leves e suaves, de olhar de determinada maneira, de mover o cabelo ou andar à moda travesti.</w:t>
      </w:r>
    </w:p>
    <w:p w:rsidR="00D24E61" w:rsidRPr="00771368" w:rsidRDefault="00D24E61">
      <w:pPr>
        <w:spacing w:line="391" w:lineRule="exact"/>
        <w:rPr>
          <w:sz w:val="20"/>
          <w:szCs w:val="20"/>
        </w:rPr>
      </w:pPr>
    </w:p>
    <w:p w:rsidR="00D24E61" w:rsidRPr="00771368" w:rsidRDefault="00D24E61">
      <w:pPr>
        <w:spacing w:line="232" w:lineRule="auto"/>
        <w:ind w:left="2260"/>
        <w:jc w:val="both"/>
        <w:rPr>
          <w:sz w:val="20"/>
          <w:szCs w:val="20"/>
        </w:rPr>
      </w:pPr>
      <w:r w:rsidRPr="00771368">
        <w:t>É na convivência nos territórios de prostituição que as travestis incorporam os valores e formas do feminino, tomam conhecimento dos “truques” e técnicas do cotidiano da prostituição, conformam gostos e preferências (especialmente os sexuais) e muitas vezes ganham ou adotam um nome feminino. Este é um dos importantes espaços onde as travestis constroem-se corporal, subjetiva e socialmente. É onde, enfim, aprendem o “habitus” travesti (BENEDETTI, 2012, p. 3).</w:t>
      </w:r>
    </w:p>
    <w:p w:rsidR="00D24E61" w:rsidRPr="00771368" w:rsidRDefault="00D24E61">
      <w:pPr>
        <w:spacing w:line="264" w:lineRule="exact"/>
        <w:rPr>
          <w:sz w:val="20"/>
          <w:szCs w:val="20"/>
        </w:rPr>
      </w:pPr>
    </w:p>
    <w:p w:rsidR="00D24E61" w:rsidRPr="00771368" w:rsidRDefault="00D24E61">
      <w:pPr>
        <w:spacing w:line="352" w:lineRule="auto"/>
        <w:ind w:right="20" w:firstLine="708"/>
        <w:jc w:val="both"/>
        <w:rPr>
          <w:sz w:val="20"/>
          <w:szCs w:val="20"/>
        </w:rPr>
      </w:pPr>
      <w:r w:rsidRPr="00771368">
        <w:rPr>
          <w:sz w:val="24"/>
          <w:szCs w:val="24"/>
        </w:rPr>
        <w:t>Esgarçando esse debate entre território de “batalha” e construção do corpo travesti, pode-se perceber que os territórios de prostituição constituem um importantíssimo espaço de sociabilização, aprendizado e troca. Mesmo porque, até aquelas que exercem a prostituição apenas esporadicamente, frequentam estes lugares. Há, por exemplo, algumas travestis que têm nas zonas tidas por elas como zonas de “batalha” o principal (e às vezes o único) ponto de encontro e convívio social. Assim, “(...) muito mais do que um espaço de trabalho e fonte de renda, é nestes lugares que muitas ‘monas’ fazem amizades, compram e vendem roupas, objetos, materiais de ‘montagem’, perfumes, adornos, drogas, etc.” (BENEDETTI, 2012, p.3).</w:t>
      </w:r>
    </w:p>
    <w:p w:rsidR="00D24E61" w:rsidRPr="00771368" w:rsidRDefault="00D24E61">
      <w:pPr>
        <w:spacing w:line="297" w:lineRule="exact"/>
        <w:rPr>
          <w:sz w:val="20"/>
          <w:szCs w:val="20"/>
        </w:rPr>
      </w:pPr>
    </w:p>
    <w:p w:rsidR="00D24E61" w:rsidRPr="00771368" w:rsidRDefault="00D24E61">
      <w:pPr>
        <w:ind w:left="700"/>
        <w:rPr>
          <w:sz w:val="20"/>
          <w:szCs w:val="20"/>
        </w:rPr>
      </w:pPr>
      <w:r w:rsidRPr="00771368">
        <w:rPr>
          <w:b/>
          <w:bCs/>
          <w:sz w:val="24"/>
          <w:szCs w:val="24"/>
        </w:rPr>
        <w:t xml:space="preserve">Dando um </w:t>
      </w:r>
      <w:r w:rsidRPr="00771368">
        <w:rPr>
          <w:b/>
          <w:bCs/>
          <w:i/>
          <w:iCs/>
          <w:sz w:val="24"/>
          <w:szCs w:val="24"/>
        </w:rPr>
        <w:t>close</w:t>
      </w:r>
      <w:r w:rsidRPr="00771368">
        <w:rPr>
          <w:b/>
          <w:bCs/>
          <w:sz w:val="24"/>
          <w:szCs w:val="24"/>
        </w:rPr>
        <w:t xml:space="preserve"> ou visibilidade às travestis</w:t>
      </w:r>
    </w:p>
    <w:p w:rsidR="00D24E61" w:rsidRPr="00771368" w:rsidRDefault="00D24E61">
      <w:pPr>
        <w:spacing w:line="200" w:lineRule="exact"/>
        <w:rPr>
          <w:sz w:val="20"/>
          <w:szCs w:val="20"/>
        </w:rPr>
      </w:pPr>
    </w:p>
    <w:p w:rsidR="00D24E61" w:rsidRPr="00771368" w:rsidRDefault="00D24E61">
      <w:pPr>
        <w:spacing w:line="266" w:lineRule="exact"/>
        <w:rPr>
          <w:sz w:val="20"/>
          <w:szCs w:val="20"/>
        </w:rPr>
      </w:pPr>
    </w:p>
    <w:p w:rsidR="00D24E61" w:rsidRPr="00771368" w:rsidRDefault="00D24E61">
      <w:pPr>
        <w:spacing w:line="310" w:lineRule="auto"/>
        <w:ind w:firstLine="768"/>
        <w:jc w:val="both"/>
        <w:rPr>
          <w:sz w:val="20"/>
          <w:szCs w:val="20"/>
        </w:rPr>
      </w:pPr>
      <w:r w:rsidRPr="00771368">
        <w:rPr>
          <w:sz w:val="24"/>
          <w:szCs w:val="24"/>
        </w:rPr>
        <w:t xml:space="preserve">As travestis ao longo dos últimos anos vêm tentando conquistar um </w:t>
      </w:r>
      <w:r w:rsidRPr="00771368">
        <w:rPr>
          <w:i/>
          <w:iCs/>
          <w:sz w:val="24"/>
          <w:szCs w:val="24"/>
        </w:rPr>
        <w:t>status</w:t>
      </w:r>
      <w:r w:rsidRPr="00771368">
        <w:rPr>
          <w:sz w:val="24"/>
          <w:szCs w:val="24"/>
        </w:rPr>
        <w:t xml:space="preserve"> menos marginalizado, com vistas à garantia de seus direitos. Contudo, ainda é um segmento que</w:t>
      </w:r>
    </w:p>
    <w:p w:rsidR="00D24E61" w:rsidRPr="00771368" w:rsidRDefault="00D24E61">
      <w:pPr>
        <w:sectPr w:rsidR="00D24E61" w:rsidRPr="00771368">
          <w:pgSz w:w="11900" w:h="16838"/>
          <w:pgMar w:top="703"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47" w:lineRule="auto"/>
        <w:jc w:val="both"/>
        <w:rPr>
          <w:sz w:val="20"/>
          <w:szCs w:val="20"/>
        </w:rPr>
      </w:pPr>
      <w:r w:rsidRPr="00771368">
        <w:rPr>
          <w:sz w:val="24"/>
          <w:szCs w:val="24"/>
        </w:rPr>
        <w:t>enfrenta graves problemas e desigualdades provocados pela desinformação, preconceito, discriminação e intolerância. Quantos/as de nós, por exemplo, já estudamos com travestis nas escolas de ensino fundamental e médio? E no universo da academia; quantos/as de nós cruzamos nos corredores das Instituições de Ensino Superior – IES, com universitárias travestis?</w:t>
      </w:r>
    </w:p>
    <w:p w:rsidR="00D24E61" w:rsidRPr="00771368" w:rsidRDefault="00D24E61">
      <w:pPr>
        <w:spacing w:line="19" w:lineRule="exact"/>
        <w:rPr>
          <w:sz w:val="20"/>
          <w:szCs w:val="20"/>
        </w:rPr>
      </w:pPr>
    </w:p>
    <w:p w:rsidR="00D24E61" w:rsidRPr="00771368" w:rsidRDefault="00D24E61">
      <w:pPr>
        <w:spacing w:line="340" w:lineRule="auto"/>
        <w:ind w:firstLine="708"/>
        <w:jc w:val="both"/>
        <w:rPr>
          <w:sz w:val="20"/>
          <w:szCs w:val="20"/>
        </w:rPr>
      </w:pPr>
      <w:r w:rsidRPr="00771368">
        <w:rPr>
          <w:sz w:val="24"/>
          <w:szCs w:val="24"/>
        </w:rPr>
        <w:t>A homofobia, a transfobia</w:t>
      </w:r>
      <w:r w:rsidRPr="00771368">
        <w:rPr>
          <w:sz w:val="32"/>
          <w:szCs w:val="32"/>
          <w:vertAlign w:val="superscript"/>
        </w:rPr>
        <w:t>6</w:t>
      </w:r>
      <w:r w:rsidRPr="00771368">
        <w:rPr>
          <w:sz w:val="24"/>
          <w:szCs w:val="24"/>
        </w:rPr>
        <w:t xml:space="preserve">, não escolhe classe social, no entanto, as travestis de menor poder econômico que frequentam escolas da rede pública tornam-se muito propensas à evasão escolar, uma vez que, são hostilizadas, discriminadas, às vezes agredidas e, não podendo frequentar a rede de ensino particular devido às despesas com as mensalidades, deixam os estudos ou são expulsas das escolas. Mas dependendo de como a relação familiar é estabelecida, há mais chances de estudar, de se qualificar, de obter meios de exercer a cidadania, como é o caso de </w:t>
      </w:r>
      <w:r w:rsidRPr="00771368">
        <w:rPr>
          <w:i/>
          <w:iCs/>
          <w:sz w:val="24"/>
          <w:szCs w:val="24"/>
        </w:rPr>
        <w:t>Ametista:</w:t>
      </w:r>
    </w:p>
    <w:p w:rsidR="00D24E61" w:rsidRPr="00771368" w:rsidRDefault="00D24E61">
      <w:pPr>
        <w:spacing w:line="359" w:lineRule="exact"/>
        <w:rPr>
          <w:sz w:val="20"/>
          <w:szCs w:val="20"/>
        </w:rPr>
      </w:pPr>
    </w:p>
    <w:p w:rsidR="00D24E61" w:rsidRPr="00771368" w:rsidRDefault="00D24E61">
      <w:pPr>
        <w:spacing w:line="236" w:lineRule="auto"/>
        <w:ind w:left="2260"/>
        <w:jc w:val="both"/>
        <w:rPr>
          <w:sz w:val="20"/>
          <w:szCs w:val="20"/>
        </w:rPr>
      </w:pPr>
      <w:r w:rsidRPr="00771368">
        <w:t xml:space="preserve">(...) na minha infância, eu tive uma tia que era uma espécie de mãe minha, a qual me ensinou muitas questões de caráter, de manter a cabeça erguida, de seja o que você for, seu caráter e sua dignidade, ninguém toca, ninguém mexe, erga sua cabeça e pronto. Então isso me deixou muito forte, muito preparada. (...) Estudei em escola pública até a 4ª série, que a minha mãe era minha professora até a 2ª série, e depois ela me entregou pra duas amigas dela. Aí depois eu fui pra uma escola conveniada e depois pra particular. E pública, só fiz a universidade, só a UEPA </w:t>
      </w:r>
      <w:r w:rsidRPr="00771368">
        <w:rPr>
          <w:i/>
          <w:iCs/>
        </w:rPr>
        <w:t>(Universidade Estadual do Pará</w:t>
      </w:r>
      <w:r w:rsidRPr="00771368">
        <w:t>). Então minha transformação começou na UEPA, eu fazia Ciência da Religião. Eu saí da UEPA e cuidei só do meu nascimento físico, das minhas transformações físicas. Aí, agora, eu tô regressando pra Direito (</w:t>
      </w:r>
      <w:r w:rsidRPr="00771368">
        <w:rPr>
          <w:i/>
          <w:iCs/>
        </w:rPr>
        <w:t>cur</w:t>
      </w:r>
      <w:r w:rsidRPr="00771368">
        <w:t xml:space="preserve">so), que eu já tinha feito no CESUPA </w:t>
      </w:r>
      <w:r w:rsidRPr="00771368">
        <w:rPr>
          <w:i/>
          <w:iCs/>
        </w:rPr>
        <w:t>(Centro de Ensino Superior do Pará),</w:t>
      </w:r>
      <w:r w:rsidRPr="00771368">
        <w:t xml:space="preserve"> mas eu havia trancado, tava muito caro. E agora eu tô fazendo Direito na UNAMA</w:t>
      </w:r>
    </w:p>
    <w:p w:rsidR="00D24E61" w:rsidRPr="00771368" w:rsidRDefault="00D24E61">
      <w:pPr>
        <w:spacing w:line="1" w:lineRule="exact"/>
        <w:rPr>
          <w:sz w:val="20"/>
          <w:szCs w:val="20"/>
        </w:rPr>
      </w:pPr>
    </w:p>
    <w:p w:rsidR="00D24E61" w:rsidRPr="00771368" w:rsidRDefault="00D24E61">
      <w:pPr>
        <w:spacing w:line="239" w:lineRule="auto"/>
        <w:ind w:left="2260"/>
        <w:rPr>
          <w:sz w:val="20"/>
          <w:szCs w:val="20"/>
        </w:rPr>
      </w:pPr>
      <w:r w:rsidRPr="00771368">
        <w:rPr>
          <w:i/>
          <w:iCs/>
        </w:rPr>
        <w:t>(Universidade da Amazônia</w:t>
      </w:r>
      <w:r w:rsidRPr="00771368">
        <w:t>) (Registro de Campo).</w:t>
      </w:r>
    </w:p>
    <w:p w:rsidR="00D24E61" w:rsidRPr="00771368" w:rsidRDefault="00D24E61">
      <w:pPr>
        <w:spacing w:line="260" w:lineRule="exact"/>
        <w:rPr>
          <w:sz w:val="20"/>
          <w:szCs w:val="20"/>
        </w:rPr>
      </w:pPr>
    </w:p>
    <w:p w:rsidR="00D24E61" w:rsidRPr="00771368" w:rsidRDefault="00D24E61">
      <w:pPr>
        <w:spacing w:line="345" w:lineRule="auto"/>
        <w:ind w:firstLine="708"/>
        <w:jc w:val="both"/>
        <w:rPr>
          <w:sz w:val="20"/>
          <w:szCs w:val="20"/>
        </w:rPr>
      </w:pPr>
      <w:r w:rsidRPr="00771368">
        <w:rPr>
          <w:sz w:val="24"/>
          <w:szCs w:val="24"/>
        </w:rPr>
        <w:t xml:space="preserve">No que tange ao acesso à escolarização, no ano 2012, um fato histórico marcou a esfera educacional do Brasil: a professora cearense </w:t>
      </w:r>
      <w:r w:rsidRPr="00771368">
        <w:rPr>
          <w:i/>
          <w:iCs/>
          <w:sz w:val="24"/>
          <w:szCs w:val="24"/>
        </w:rPr>
        <w:t>Luma Andrade</w:t>
      </w:r>
      <w:r w:rsidRPr="00771368">
        <w:rPr>
          <w:sz w:val="24"/>
          <w:szCs w:val="24"/>
        </w:rPr>
        <w:t xml:space="preserve">, com 35 anos de idade, nascida João Filho Nogueira de Andrade, foi a primeira travesti brasileira a alcançar o título de doutorado no país. Doutora em Educação, pela Universidade Federal do Ceará (UFC), estudou em sua tese o tratamento dado às travestis em escolas de três cidades cearenses. Em sua tese, intitulada </w:t>
      </w:r>
      <w:r w:rsidRPr="00771368">
        <w:rPr>
          <w:i/>
          <w:iCs/>
          <w:sz w:val="24"/>
          <w:szCs w:val="24"/>
        </w:rPr>
        <w:t>Travestis na Escola: asujeitamento e resistência à ordem normativa</w:t>
      </w:r>
      <w:r w:rsidRPr="00771368">
        <w:rPr>
          <w:sz w:val="24"/>
          <w:szCs w:val="24"/>
        </w:rPr>
        <w:t>, realizou pesquisa a partir de 95 casos, tendo concluido que há uma evasão “involuntária” de travestis nas escolas cearenses e, que em geral, “ a familia aceita e a escola não”</w:t>
      </w:r>
      <w:r w:rsidRPr="00771368">
        <w:rPr>
          <w:sz w:val="32"/>
          <w:szCs w:val="32"/>
          <w:vertAlign w:val="superscript"/>
        </w:rPr>
        <w:t>7</w:t>
      </w:r>
      <w:r w:rsidRPr="00771368">
        <w:rPr>
          <w:sz w:val="24"/>
          <w:szCs w:val="24"/>
        </w:rPr>
        <w:t>.</w:t>
      </w:r>
    </w:p>
    <w:p w:rsidR="00D24E61" w:rsidRPr="00771368" w:rsidRDefault="00D24E61">
      <w:pPr>
        <w:spacing w:line="7"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E o que dizer do mercado de trabalho para as travestis? Verifica-se que é muito limitado. Praticamente só são bem aceitas no ramo da estética, onde ocupam lugar como</w:t>
      </w:r>
    </w:p>
    <w:p w:rsidR="00D24E61" w:rsidRPr="00771368" w:rsidRDefault="00013211">
      <w:pPr>
        <w:spacing w:line="308" w:lineRule="auto"/>
        <w:ind w:right="20" w:firstLine="708"/>
        <w:jc w:val="both"/>
        <w:rPr>
          <w:sz w:val="20"/>
          <w:szCs w:val="20"/>
        </w:rPr>
        <w:sectPr w:rsidR="00D24E61" w:rsidRPr="00771368">
          <w:pgSz w:w="11900" w:h="16838"/>
          <w:pgMar w:top="703" w:right="1400" w:bottom="1149" w:left="1420" w:header="0" w:footer="0" w:gutter="0"/>
          <w:cols w:space="720" w:equalWidth="0">
            <w:col w:w="9080"/>
          </w:cols>
        </w:sectPr>
      </w:pPr>
      <w:r>
        <w:rPr>
          <w:noProof/>
          <w:sz w:val="20"/>
          <w:szCs w:val="20"/>
        </w:rPr>
        <mc:AlternateContent>
          <mc:Choice Requires="wps">
            <w:drawing>
              <wp:anchor distT="0" distB="0" distL="0" distR="0" simplePos="0" relativeHeight="251611648" behindDoc="0" locked="0" layoutInCell="0" allowOverlap="1">
                <wp:simplePos x="0" y="0"/>
                <wp:positionH relativeFrom="column">
                  <wp:posOffset>-635</wp:posOffset>
                </wp:positionH>
                <wp:positionV relativeFrom="paragraph">
                  <wp:posOffset>233045</wp:posOffset>
                </wp:positionV>
                <wp:extent cx="1828800" cy="0"/>
                <wp:effectExtent l="8890" t="13970" r="10160" b="14605"/>
                <wp:wrapNone/>
                <wp:docPr id="31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1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8.35pt" to="143.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EsFQIAACw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" o:allowincell="f" strokeweight=".84pt"/>
            </w:pict>
          </mc:Fallback>
        </mc:AlternateContent>
      </w:r>
    </w:p>
    <w:p w:rsidR="00D24E61" w:rsidRPr="00771368" w:rsidRDefault="00D24E61">
      <w:pPr>
        <w:spacing w:line="200" w:lineRule="exact"/>
        <w:rPr>
          <w:sz w:val="20"/>
          <w:szCs w:val="20"/>
        </w:rPr>
      </w:pPr>
    </w:p>
    <w:p w:rsidR="00D24E61" w:rsidRPr="00771368" w:rsidRDefault="00D24E61">
      <w:pPr>
        <w:spacing w:line="219" w:lineRule="exact"/>
        <w:rPr>
          <w:sz w:val="20"/>
          <w:szCs w:val="20"/>
        </w:rPr>
      </w:pPr>
    </w:p>
    <w:p w:rsidR="00D24E61" w:rsidRPr="00771368" w:rsidRDefault="00D24E61" w:rsidP="00D24E61">
      <w:pPr>
        <w:numPr>
          <w:ilvl w:val="0"/>
          <w:numId w:val="1"/>
        </w:numPr>
        <w:tabs>
          <w:tab w:val="left" w:pos="121"/>
        </w:tabs>
        <w:ind w:left="121" w:hanging="121"/>
        <w:jc w:val="both"/>
        <w:rPr>
          <w:sz w:val="25"/>
          <w:szCs w:val="25"/>
          <w:vertAlign w:val="superscript"/>
        </w:rPr>
      </w:pPr>
      <w:r w:rsidRPr="00771368">
        <w:rPr>
          <w:sz w:val="19"/>
          <w:szCs w:val="19"/>
        </w:rPr>
        <w:t>A transfobia se refere à discriminação contra travestis, transexuais ou transgêneros.</w:t>
      </w:r>
    </w:p>
    <w:p w:rsidR="00D24E61" w:rsidRPr="00771368" w:rsidRDefault="00D24E61">
      <w:pPr>
        <w:spacing w:line="19" w:lineRule="exact"/>
        <w:rPr>
          <w:sz w:val="25"/>
          <w:szCs w:val="25"/>
          <w:vertAlign w:val="superscript"/>
        </w:rPr>
      </w:pPr>
    </w:p>
    <w:p w:rsidR="00D24E61" w:rsidRPr="00771368" w:rsidRDefault="00D24E61" w:rsidP="00D24E61">
      <w:pPr>
        <w:numPr>
          <w:ilvl w:val="0"/>
          <w:numId w:val="1"/>
        </w:numPr>
        <w:tabs>
          <w:tab w:val="left" w:pos="121"/>
        </w:tabs>
        <w:spacing w:line="183" w:lineRule="auto"/>
        <w:ind w:left="121" w:hanging="121"/>
        <w:jc w:val="both"/>
        <w:rPr>
          <w:sz w:val="24"/>
          <w:szCs w:val="24"/>
          <w:vertAlign w:val="superscript"/>
        </w:rPr>
      </w:pPr>
      <w:r w:rsidRPr="00771368">
        <w:rPr>
          <w:sz w:val="18"/>
          <w:szCs w:val="18"/>
        </w:rPr>
        <w:t>Valendo conferir: &lt; http://lumaandrade.bogspot.com.br&gt;.</w:t>
      </w:r>
    </w:p>
    <w:p w:rsidR="00D24E61" w:rsidRPr="00771368" w:rsidRDefault="00D24E61">
      <w:pPr>
        <w:sectPr w:rsidR="00D24E61" w:rsidRPr="00771368">
          <w:type w:val="continuous"/>
          <w:pgSz w:w="11900" w:h="16838"/>
          <w:pgMar w:top="703" w:right="3720" w:bottom="1149" w:left="1419" w:header="0" w:footer="0" w:gutter="0"/>
          <w:cols w:space="720" w:equalWidth="0">
            <w:col w:w="6761"/>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47" w:lineRule="auto"/>
        <w:ind w:right="20"/>
        <w:jc w:val="both"/>
        <w:rPr>
          <w:sz w:val="20"/>
          <w:szCs w:val="20"/>
        </w:rPr>
      </w:pPr>
      <w:r w:rsidRPr="00771368">
        <w:rPr>
          <w:sz w:val="24"/>
          <w:szCs w:val="24"/>
        </w:rPr>
        <w:t xml:space="preserve">cabeleireiras e maquiadoras; ou na moda, como estilistas. Mas pense bem, quantos travestis você conhece que trabalham em lugares que não sejam os mencionados? Como esses mercados são sempre limitados, a prostituição acaba sendo o único meio de vida das travestis. Sendo assim, o que acontece com aquelas que não querem ser profissionais do sexo ou cabeleireiras? A voz de </w:t>
      </w:r>
      <w:r w:rsidRPr="00771368">
        <w:rPr>
          <w:i/>
          <w:iCs/>
          <w:sz w:val="24"/>
          <w:szCs w:val="24"/>
        </w:rPr>
        <w:t>Symmy Larrat:</w:t>
      </w:r>
    </w:p>
    <w:p w:rsidR="00D24E61" w:rsidRPr="00771368" w:rsidRDefault="00D24E61">
      <w:pPr>
        <w:spacing w:line="345" w:lineRule="exact"/>
        <w:rPr>
          <w:sz w:val="20"/>
          <w:szCs w:val="20"/>
        </w:rPr>
      </w:pPr>
    </w:p>
    <w:p w:rsidR="00D24E61" w:rsidRPr="00771368" w:rsidRDefault="00D24E61">
      <w:pPr>
        <w:spacing w:line="235" w:lineRule="auto"/>
        <w:ind w:left="2260"/>
        <w:jc w:val="both"/>
        <w:rPr>
          <w:sz w:val="20"/>
          <w:szCs w:val="20"/>
        </w:rPr>
      </w:pPr>
      <w:r w:rsidRPr="00771368">
        <w:t>(...) não tem travesti no mercado de trabalho. Tu não vais a uma farmácia e vê um travesti trabalhando, tu não vais ao supermercado e vê travesti trabalhando. Algumas que ainda conseguem quando tem o apoio da família, é salão de beleza, o resto é prostituição, entendeu? Eu conheço uma travesti que trabalha na Receita Federal porque ela primeiro passou no concurso como gay e lá dentro depois que ninguém podia tirar ela, ela virou travesti, entendeu? Já depois de muito tempo, né? (...). Então, as dificuldades são todas possíveis e mais algumas, porque você ainda vê o gay e a lésbica conseguindo galgar esses espaços, mas as travestis e as transexuais não, né? Porque ninguém emprega, porque as travestis só servem pra prostituição (Registro de campo).</w:t>
      </w:r>
    </w:p>
    <w:p w:rsidR="00D24E61" w:rsidRPr="00771368" w:rsidRDefault="00D24E61">
      <w:pPr>
        <w:spacing w:line="264" w:lineRule="exact"/>
        <w:rPr>
          <w:sz w:val="20"/>
          <w:szCs w:val="20"/>
        </w:rPr>
      </w:pPr>
    </w:p>
    <w:p w:rsidR="00D24E61" w:rsidRPr="00771368" w:rsidRDefault="00D24E61">
      <w:pPr>
        <w:spacing w:line="336" w:lineRule="auto"/>
        <w:ind w:right="20" w:firstLine="708"/>
        <w:jc w:val="both"/>
        <w:rPr>
          <w:sz w:val="20"/>
          <w:szCs w:val="20"/>
        </w:rPr>
      </w:pPr>
      <w:r w:rsidRPr="00771368">
        <w:rPr>
          <w:sz w:val="24"/>
          <w:szCs w:val="24"/>
        </w:rPr>
        <w:t>Atentando para esta realidade a Secretaria de Estado de Direitos Humanos do Estado do Pará (SEJUDH) divulgou no mês de março de 2012, um diagnóstico social sobre travestis e transexuais profissionais do sexo que atuam em Belém/PA. A pesquisa revelou a vulnerabilidade social deste segmento</w:t>
      </w:r>
      <w:r w:rsidRPr="00771368">
        <w:rPr>
          <w:sz w:val="32"/>
          <w:szCs w:val="32"/>
          <w:vertAlign w:val="superscript"/>
        </w:rPr>
        <w:t>8</w:t>
      </w:r>
      <w:r w:rsidRPr="00771368">
        <w:rPr>
          <w:sz w:val="24"/>
          <w:szCs w:val="24"/>
        </w:rPr>
        <w:t>. A prostituição apresenta-se como válvula de escape para que muitas continuem vivas. Entretanto, por maior que seja a importância, o dinheiro não abrange toda a história da prostituição travesti. O trabalho na prostituição, ainda que perigoso, e propício à violência, de certa forma, para algumas, dá prazer, reforça sua autoestima e proporciona satisfação sexual.</w:t>
      </w:r>
    </w:p>
    <w:p w:rsidR="00D24E61" w:rsidRPr="00771368" w:rsidRDefault="00D24E61">
      <w:pPr>
        <w:spacing w:line="93" w:lineRule="exact"/>
        <w:rPr>
          <w:sz w:val="20"/>
          <w:szCs w:val="20"/>
        </w:rPr>
      </w:pPr>
    </w:p>
    <w:p w:rsidR="00D24E61" w:rsidRPr="00771368" w:rsidRDefault="00D24E61">
      <w:pPr>
        <w:spacing w:line="308" w:lineRule="auto"/>
        <w:ind w:firstLine="708"/>
        <w:jc w:val="both"/>
        <w:rPr>
          <w:sz w:val="20"/>
          <w:szCs w:val="20"/>
        </w:rPr>
      </w:pPr>
      <w:r w:rsidRPr="00771368">
        <w:rPr>
          <w:sz w:val="24"/>
          <w:szCs w:val="24"/>
        </w:rPr>
        <w:t xml:space="preserve">Quando perguntei às minhas interlocutoras, o que mais as assustava atualmente, a resposta foi unânime: a violência. Sobre o fato </w:t>
      </w:r>
      <w:r w:rsidRPr="00771368">
        <w:rPr>
          <w:i/>
          <w:iCs/>
          <w:sz w:val="24"/>
          <w:szCs w:val="24"/>
        </w:rPr>
        <w:t>Symmy Larrat,</w:t>
      </w:r>
      <w:r w:rsidRPr="00771368">
        <w:rPr>
          <w:sz w:val="24"/>
          <w:szCs w:val="24"/>
        </w:rPr>
        <w:t xml:space="preserve"> expõe:</w:t>
      </w:r>
    </w:p>
    <w:p w:rsidR="00D24E61" w:rsidRPr="00771368" w:rsidRDefault="00D24E61">
      <w:pPr>
        <w:spacing w:line="314" w:lineRule="exact"/>
        <w:rPr>
          <w:sz w:val="20"/>
          <w:szCs w:val="20"/>
        </w:rPr>
      </w:pPr>
    </w:p>
    <w:p w:rsidR="00D24E61" w:rsidRPr="00771368" w:rsidRDefault="00D24E61">
      <w:pPr>
        <w:spacing w:line="230" w:lineRule="auto"/>
        <w:ind w:left="2260"/>
        <w:jc w:val="both"/>
        <w:rPr>
          <w:sz w:val="20"/>
          <w:szCs w:val="20"/>
        </w:rPr>
      </w:pPr>
      <w:r w:rsidRPr="00771368">
        <w:t>A agressão me assusta. Tem gente que não gosta de travesti e transexual e que não respeita. Quando a gente tá na rua, já fecha a cara, já entorta a cara, não quer, às vezes, nem atender a gente (...), aí, é absurdo. (...) Então são esses atos que eu acho errado. Você tem que respeitar. É respeito. A palavra é essa, respeito (Registro de campo).</w:t>
      </w:r>
    </w:p>
    <w:p w:rsidR="00D24E61" w:rsidRPr="00771368" w:rsidRDefault="00D24E61">
      <w:pPr>
        <w:spacing w:line="260" w:lineRule="exact"/>
        <w:rPr>
          <w:sz w:val="20"/>
          <w:szCs w:val="20"/>
        </w:rPr>
      </w:pPr>
    </w:p>
    <w:p w:rsidR="00D24E61" w:rsidRPr="00771368" w:rsidRDefault="00D24E61">
      <w:pPr>
        <w:spacing w:line="347" w:lineRule="auto"/>
        <w:ind w:firstLine="708"/>
        <w:jc w:val="both"/>
        <w:rPr>
          <w:sz w:val="20"/>
          <w:szCs w:val="20"/>
        </w:rPr>
      </w:pPr>
      <w:r w:rsidRPr="00771368">
        <w:rPr>
          <w:sz w:val="24"/>
          <w:szCs w:val="24"/>
        </w:rPr>
        <w:t>Uma das dificuldades para se investigar atos de violência e os crimes que vem acontecendo constantemente entre as travestis em Belém/PA, é a delonga na identificação das vítimas, uma vez que, a maioria não usa o documento oficial de identificação (RG), para evitar constrangimento e situação vergonhosa. Neste sentido, a Policia Civil do Estado do Pará, na tentativa de equacionar tais questões e respeitando a orientação sexual e a identidade</w:t>
      </w:r>
    </w:p>
    <w:p w:rsidR="00D24E61" w:rsidRPr="00771368" w:rsidRDefault="00013211">
      <w:pPr>
        <w:spacing w:line="347" w:lineRule="auto"/>
        <w:ind w:firstLine="708"/>
        <w:jc w:val="both"/>
        <w:rPr>
          <w:sz w:val="20"/>
          <w:szCs w:val="20"/>
        </w:rPr>
        <w:sectPr w:rsidR="00D24E61" w:rsidRPr="00771368">
          <w:pgSz w:w="11900" w:h="16838"/>
          <w:pgMar w:top="703" w:right="1400" w:bottom="1118" w:left="1420" w:header="0" w:footer="0" w:gutter="0"/>
          <w:cols w:space="720" w:equalWidth="0">
            <w:col w:w="9080"/>
          </w:cols>
        </w:sectPr>
      </w:pPr>
      <w:r>
        <w:rPr>
          <w:noProof/>
          <w:sz w:val="20"/>
          <w:szCs w:val="20"/>
        </w:rPr>
        <mc:AlternateContent>
          <mc:Choice Requires="wps">
            <w:drawing>
              <wp:anchor distT="0" distB="0" distL="0" distR="0" simplePos="0" relativeHeight="251612672" behindDoc="0" locked="0" layoutInCell="0" allowOverlap="1">
                <wp:simplePos x="0" y="0"/>
                <wp:positionH relativeFrom="column">
                  <wp:posOffset>-635</wp:posOffset>
                </wp:positionH>
                <wp:positionV relativeFrom="paragraph">
                  <wp:posOffset>292100</wp:posOffset>
                </wp:positionV>
                <wp:extent cx="1828800" cy="0"/>
                <wp:effectExtent l="8890" t="6350" r="10160" b="12700"/>
                <wp:wrapNone/>
                <wp:docPr id="31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6" o:spid="_x0000_s1026" style="position:absolute;z-index:25161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3pt" to="143.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" o:allowincell="f" strokeweight=".29631mm"/>
            </w:pict>
          </mc:Fallback>
        </mc:AlternateContent>
      </w:r>
    </w:p>
    <w:p w:rsidR="00D24E61" w:rsidRPr="00771368" w:rsidRDefault="00D24E61">
      <w:pPr>
        <w:spacing w:line="200" w:lineRule="exact"/>
        <w:rPr>
          <w:sz w:val="20"/>
          <w:szCs w:val="20"/>
        </w:rPr>
      </w:pPr>
    </w:p>
    <w:p w:rsidR="00D24E61" w:rsidRPr="00771368" w:rsidRDefault="00D24E61">
      <w:pPr>
        <w:spacing w:line="351" w:lineRule="exact"/>
        <w:rPr>
          <w:sz w:val="20"/>
          <w:szCs w:val="20"/>
        </w:rPr>
      </w:pPr>
    </w:p>
    <w:p w:rsidR="00D24E61" w:rsidRPr="00771368" w:rsidRDefault="00D24E61">
      <w:pPr>
        <w:rPr>
          <w:sz w:val="20"/>
          <w:szCs w:val="20"/>
        </w:rPr>
      </w:pPr>
      <w:r w:rsidRPr="00771368">
        <w:rPr>
          <w:rFonts w:eastAsia="Calibri"/>
          <w:sz w:val="24"/>
          <w:szCs w:val="24"/>
          <w:vertAlign w:val="superscript"/>
        </w:rPr>
        <w:t>8</w:t>
      </w:r>
      <w:r w:rsidRPr="00771368">
        <w:rPr>
          <w:sz w:val="19"/>
          <w:szCs w:val="19"/>
        </w:rPr>
        <w:t xml:space="preserve"> Para maiores informações acessar: &lt;http://www.sejudh.pa.gov.br&gt;.</w:t>
      </w:r>
    </w:p>
    <w:p w:rsidR="00D24E61" w:rsidRPr="00771368" w:rsidRDefault="00D24E61">
      <w:pPr>
        <w:sectPr w:rsidR="00D24E61" w:rsidRPr="00771368">
          <w:type w:val="continuous"/>
          <w:pgSz w:w="11900" w:h="16838"/>
          <w:pgMar w:top="703" w:right="5000" w:bottom="1118" w:left="1420" w:header="0" w:footer="0" w:gutter="0"/>
          <w:cols w:space="720" w:equalWidth="0">
            <w:col w:w="54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282" w:lineRule="auto"/>
        <w:ind w:right="20"/>
        <w:jc w:val="both"/>
        <w:rPr>
          <w:sz w:val="20"/>
          <w:szCs w:val="20"/>
        </w:rPr>
      </w:pPr>
      <w:r w:rsidRPr="00771368">
        <w:rPr>
          <w:sz w:val="24"/>
          <w:szCs w:val="24"/>
        </w:rPr>
        <w:t>de gênero da pessoa, adotou a partir de janeiro de 2013, a Carteira de Nome Social conhecida como “carteira trans”</w:t>
      </w:r>
      <w:r w:rsidRPr="00771368">
        <w:rPr>
          <w:sz w:val="32"/>
          <w:szCs w:val="32"/>
          <w:vertAlign w:val="superscript"/>
        </w:rPr>
        <w:t>9</w:t>
      </w:r>
      <w:r w:rsidRPr="00771368">
        <w:rPr>
          <w:sz w:val="24"/>
          <w:szCs w:val="24"/>
        </w:rPr>
        <w:t>.</w:t>
      </w:r>
    </w:p>
    <w:p w:rsidR="00D24E61" w:rsidRPr="00771368" w:rsidRDefault="00D24E61">
      <w:pPr>
        <w:spacing w:line="72" w:lineRule="exact"/>
        <w:rPr>
          <w:sz w:val="20"/>
          <w:szCs w:val="20"/>
        </w:rPr>
      </w:pPr>
    </w:p>
    <w:p w:rsidR="00D24E61" w:rsidRPr="00771368" w:rsidRDefault="00D24E61">
      <w:pPr>
        <w:spacing w:line="334" w:lineRule="auto"/>
        <w:ind w:right="20" w:firstLine="852"/>
        <w:jc w:val="both"/>
        <w:rPr>
          <w:sz w:val="20"/>
          <w:szCs w:val="20"/>
        </w:rPr>
      </w:pPr>
      <w:r w:rsidRPr="00771368">
        <w:rPr>
          <w:sz w:val="24"/>
          <w:szCs w:val="24"/>
        </w:rPr>
        <w:t xml:space="preserve">Nas entrevistas que realizei notei que, mesmo sendo tratadas com toda carga de preconceito começando pela família, perpassando a sala de aula, deslanchando na sociedade, as travestis encontram formas de transmitirem que estão bem. Como relatam </w:t>
      </w:r>
      <w:r w:rsidRPr="00771368">
        <w:rPr>
          <w:i/>
          <w:iCs/>
          <w:sz w:val="24"/>
          <w:szCs w:val="24"/>
        </w:rPr>
        <w:t>Jade</w:t>
      </w:r>
      <w:r w:rsidRPr="00771368">
        <w:rPr>
          <w:sz w:val="24"/>
          <w:szCs w:val="24"/>
        </w:rPr>
        <w:t xml:space="preserve"> e </w:t>
      </w:r>
      <w:r w:rsidRPr="00771368">
        <w:rPr>
          <w:i/>
          <w:iCs/>
          <w:sz w:val="24"/>
          <w:szCs w:val="24"/>
        </w:rPr>
        <w:t>Cristal</w:t>
      </w:r>
      <w:r w:rsidRPr="00771368">
        <w:rPr>
          <w:sz w:val="24"/>
          <w:szCs w:val="24"/>
        </w:rPr>
        <w:t>:</w:t>
      </w:r>
    </w:p>
    <w:p w:rsidR="00D24E61" w:rsidRPr="00771368" w:rsidRDefault="00D24E61">
      <w:pPr>
        <w:spacing w:line="200" w:lineRule="exact"/>
        <w:rPr>
          <w:sz w:val="20"/>
          <w:szCs w:val="20"/>
        </w:rPr>
      </w:pPr>
    </w:p>
    <w:p w:rsidR="00D24E61" w:rsidRPr="00771368" w:rsidRDefault="00D24E61">
      <w:pPr>
        <w:spacing w:line="337" w:lineRule="exact"/>
        <w:rPr>
          <w:sz w:val="20"/>
          <w:szCs w:val="20"/>
        </w:rPr>
      </w:pPr>
    </w:p>
    <w:p w:rsidR="00D24E61" w:rsidRPr="00771368" w:rsidRDefault="00D24E61">
      <w:pPr>
        <w:spacing w:line="227" w:lineRule="auto"/>
        <w:ind w:left="2260"/>
        <w:jc w:val="both"/>
        <w:rPr>
          <w:sz w:val="20"/>
          <w:szCs w:val="20"/>
        </w:rPr>
      </w:pPr>
      <w:r w:rsidRPr="00771368">
        <w:t>(...) é uma vida tão complicada, que é melhor tu se jogar na vida, tu rir, sair pra festa, se divertir, do que tu ligar pros teus problemas. A gente não tem muita liberdade como a mulher e o homem (...) a gente vive uma vida assim, vive uma vida limitada (...).</w:t>
      </w:r>
    </w:p>
    <w:p w:rsidR="00D24E61" w:rsidRPr="00771368" w:rsidRDefault="00D24E61">
      <w:pPr>
        <w:spacing w:line="256" w:lineRule="exact"/>
        <w:rPr>
          <w:sz w:val="20"/>
          <w:szCs w:val="20"/>
        </w:rPr>
      </w:pPr>
    </w:p>
    <w:p w:rsidR="00D24E61" w:rsidRPr="00771368" w:rsidRDefault="00D24E61">
      <w:pPr>
        <w:spacing w:line="231" w:lineRule="auto"/>
        <w:ind w:left="2260"/>
        <w:jc w:val="both"/>
        <w:rPr>
          <w:sz w:val="20"/>
          <w:szCs w:val="20"/>
        </w:rPr>
      </w:pPr>
      <w:r w:rsidRPr="00771368">
        <w:t>Por mais que a sociedade saiba que a gente é homossexual, querendo ou não, a gente ainda sofre muito preconceito. Tem lugares que a gente chega que sempre tem um engraçadinho. Quando a gente chega, fala: olha aí a tua, olha não sei o que (...). Querendo ou não machuca, então, pra gente tentar não ficar mal, a gente tira brincadeira da própria brincadeira. A gente tira sarro da própria brincadeira que eles fazem da gente (...) (Registro de campo).</w:t>
      </w:r>
    </w:p>
    <w:p w:rsidR="00D24E61" w:rsidRPr="00771368" w:rsidRDefault="00D24E61">
      <w:pPr>
        <w:spacing w:line="262" w:lineRule="exact"/>
        <w:rPr>
          <w:sz w:val="20"/>
          <w:szCs w:val="20"/>
        </w:rPr>
      </w:pPr>
    </w:p>
    <w:p w:rsidR="00D24E61" w:rsidRPr="00771368" w:rsidRDefault="00D24E61">
      <w:pPr>
        <w:spacing w:line="308" w:lineRule="auto"/>
        <w:ind w:right="20" w:firstLine="708"/>
        <w:rPr>
          <w:sz w:val="20"/>
          <w:szCs w:val="20"/>
        </w:rPr>
      </w:pPr>
      <w:r w:rsidRPr="00771368">
        <w:rPr>
          <w:sz w:val="24"/>
          <w:szCs w:val="24"/>
        </w:rPr>
        <w:t xml:space="preserve">Deslizando para este lado de “tirar sarro da brincadeira” , quando perguntada sobre o lado bom de ser travesti, </w:t>
      </w:r>
      <w:r w:rsidRPr="00771368">
        <w:rPr>
          <w:i/>
          <w:iCs/>
          <w:sz w:val="24"/>
          <w:szCs w:val="24"/>
        </w:rPr>
        <w:t>Symmy Larrat</w:t>
      </w:r>
      <w:r w:rsidRPr="00771368">
        <w:rPr>
          <w:sz w:val="24"/>
          <w:szCs w:val="24"/>
        </w:rPr>
        <w:t xml:space="preserve"> expõe resolutamente que:</w:t>
      </w:r>
    </w:p>
    <w:p w:rsidR="00D24E61" w:rsidRPr="00771368" w:rsidRDefault="00D24E61">
      <w:pPr>
        <w:spacing w:line="314" w:lineRule="exact"/>
        <w:rPr>
          <w:sz w:val="20"/>
          <w:szCs w:val="20"/>
        </w:rPr>
      </w:pPr>
    </w:p>
    <w:p w:rsidR="00D24E61" w:rsidRPr="00771368" w:rsidRDefault="00D24E61">
      <w:pPr>
        <w:spacing w:line="236" w:lineRule="auto"/>
        <w:ind w:left="2260"/>
        <w:jc w:val="both"/>
        <w:rPr>
          <w:sz w:val="20"/>
          <w:szCs w:val="20"/>
        </w:rPr>
      </w:pPr>
      <w:r w:rsidRPr="00771368">
        <w:t>Primeiro é você estar bem consigo mesma, porque se você é travesti você se aceitou, você se entendeu, você quer. Segundo é a alegria. Tu não vês travesti triste, tá sempre feliz, tá sempre fazendo alguma coisa. E o mistério. Travesti é sempre um mistério. As pessoas olham pra ti, não sabem muito bem o que é e o que não é [</w:t>
      </w:r>
      <w:r w:rsidRPr="00771368">
        <w:rPr>
          <w:i/>
          <w:iCs/>
        </w:rPr>
        <w:t>risos</w:t>
      </w:r>
      <w:r w:rsidRPr="00771368">
        <w:t>]. Então tu sais um pouco do senso comum (...). Tu chocas, tu questionas. Travesti é ser revolucionário (...), porque tu estás o tempo inteiro questionando a sociedade, questionando o porquê do homem tem que se vestir de homem, porque o homem tem que brincar de carrinho (...). Ir de encontro a tudo que tu ouviste, desde quando tu és criança, numa cultura heteronormativa, numa cultura extremamente machista e religiosa, com dogmas já muito severos, isso é a maior das revoluções. Então, o tempo inteiro que tu esta andando, tu esta fazendo a sociedade se repensar (...) (Registro de campo).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9" w:lineRule="exact"/>
        <w:rPr>
          <w:sz w:val="20"/>
          <w:szCs w:val="20"/>
        </w:rPr>
      </w:pPr>
    </w:p>
    <w:p w:rsidR="00D24E61" w:rsidRPr="00771368" w:rsidRDefault="00D24E61">
      <w:pPr>
        <w:ind w:left="700"/>
        <w:rPr>
          <w:sz w:val="20"/>
          <w:szCs w:val="20"/>
        </w:rPr>
      </w:pPr>
      <w:r w:rsidRPr="00771368">
        <w:rPr>
          <w:b/>
          <w:bCs/>
          <w:sz w:val="24"/>
          <w:szCs w:val="24"/>
        </w:rPr>
        <w:t>Considerações Finais</w:t>
      </w:r>
    </w:p>
    <w:p w:rsidR="00D24E61" w:rsidRPr="00771368" w:rsidRDefault="00D24E61">
      <w:pPr>
        <w:spacing w:line="200" w:lineRule="exact"/>
        <w:rPr>
          <w:sz w:val="20"/>
          <w:szCs w:val="20"/>
        </w:rPr>
      </w:pPr>
    </w:p>
    <w:p w:rsidR="00D24E61" w:rsidRPr="00771368" w:rsidRDefault="00D24E61">
      <w:pPr>
        <w:spacing w:line="269"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 xml:space="preserve">Revendo os </w:t>
      </w:r>
      <w:r w:rsidRPr="00771368">
        <w:rPr>
          <w:i/>
          <w:iCs/>
          <w:sz w:val="24"/>
          <w:szCs w:val="24"/>
        </w:rPr>
        <w:t>closes</w:t>
      </w:r>
      <w:r w:rsidRPr="00771368">
        <w:rPr>
          <w:sz w:val="24"/>
          <w:szCs w:val="24"/>
        </w:rPr>
        <w:t xml:space="preserve"> feitos em minha pesquisa pelo universo da travestilidade, saliento que, para intervir ou tentar assistir socialmente, seja qual for o grupo social, deve-se antes conhecer. Afinada com o que leciona Faury (2003), estudar as questões de sexualidade e gênero em/no Serviço Social significa constatar o quanto a categoria de Assistentes Sociais</w:t>
      </w:r>
    </w:p>
    <w:p w:rsidR="00D24E61" w:rsidRPr="00771368" w:rsidRDefault="00013211">
      <w:pPr>
        <w:spacing w:line="342" w:lineRule="auto"/>
        <w:ind w:right="20" w:firstLine="708"/>
        <w:jc w:val="both"/>
        <w:rPr>
          <w:sz w:val="20"/>
          <w:szCs w:val="20"/>
        </w:rPr>
        <w:sectPr w:rsidR="00D24E61" w:rsidRPr="00771368">
          <w:pgSz w:w="11900" w:h="16838"/>
          <w:pgMar w:top="703" w:right="1400" w:bottom="1151" w:left="1420" w:header="0" w:footer="0" w:gutter="0"/>
          <w:cols w:space="720" w:equalWidth="0">
            <w:col w:w="9080"/>
          </w:cols>
        </w:sectPr>
      </w:pPr>
      <w:r>
        <w:rPr>
          <w:noProof/>
          <w:sz w:val="20"/>
          <w:szCs w:val="20"/>
        </w:rPr>
        <mc:AlternateContent>
          <mc:Choice Requires="wps">
            <w:drawing>
              <wp:anchor distT="0" distB="0" distL="0" distR="0" simplePos="0" relativeHeight="251613696" behindDoc="0" locked="0" layoutInCell="0" allowOverlap="1">
                <wp:simplePos x="0" y="0"/>
                <wp:positionH relativeFrom="column">
                  <wp:posOffset>-635</wp:posOffset>
                </wp:positionH>
                <wp:positionV relativeFrom="paragraph">
                  <wp:posOffset>290830</wp:posOffset>
                </wp:positionV>
                <wp:extent cx="1828800" cy="0"/>
                <wp:effectExtent l="8890" t="14605" r="10160" b="13970"/>
                <wp:wrapNone/>
                <wp:docPr id="315"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7" o:spid="_x0000_s1026" style="position:absolute;z-index:25161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2.9pt" to="143.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" o:allowincell="f" strokeweight=".29631mm"/>
            </w:pict>
          </mc:Fallback>
        </mc:AlternateContent>
      </w:r>
    </w:p>
    <w:p w:rsidR="00D24E61" w:rsidRPr="00771368" w:rsidRDefault="00D24E61">
      <w:pPr>
        <w:spacing w:line="200" w:lineRule="exact"/>
        <w:rPr>
          <w:sz w:val="20"/>
          <w:szCs w:val="20"/>
        </w:rPr>
      </w:pPr>
    </w:p>
    <w:p w:rsidR="00D24E61" w:rsidRPr="00771368" w:rsidRDefault="00D24E61">
      <w:pPr>
        <w:spacing w:line="376" w:lineRule="exact"/>
        <w:rPr>
          <w:sz w:val="20"/>
          <w:szCs w:val="20"/>
        </w:rPr>
      </w:pPr>
    </w:p>
    <w:p w:rsidR="00D24E61" w:rsidRPr="00771368" w:rsidRDefault="00D24E61">
      <w:pPr>
        <w:spacing w:line="218" w:lineRule="auto"/>
        <w:jc w:val="both"/>
        <w:rPr>
          <w:sz w:val="20"/>
          <w:szCs w:val="20"/>
        </w:rPr>
      </w:pPr>
      <w:r w:rsidRPr="00771368">
        <w:rPr>
          <w:sz w:val="25"/>
          <w:szCs w:val="25"/>
          <w:vertAlign w:val="superscript"/>
        </w:rPr>
        <w:t>9</w:t>
      </w:r>
      <w:r w:rsidRPr="00771368">
        <w:rPr>
          <w:sz w:val="20"/>
          <w:szCs w:val="20"/>
        </w:rPr>
        <w:t xml:space="preserve"> A carteira de nome social é um documento de identidade de nível estadual, que poderá conter a forma como a travesti ou a transexual deseja ser chamada, objetivando desta forma, a segurança e respaldo nas suas características, respeitando suas peculiaridades e evitando possíveis constrangimentos.</w:t>
      </w:r>
    </w:p>
    <w:p w:rsidR="00D24E61" w:rsidRPr="00771368" w:rsidRDefault="00D24E61">
      <w:pPr>
        <w:sectPr w:rsidR="00D24E61" w:rsidRPr="00771368">
          <w:type w:val="continuous"/>
          <w:pgSz w:w="11900" w:h="16838"/>
          <w:pgMar w:top="703" w:right="1420" w:bottom="1151" w:left="1420" w:header="0" w:footer="0" w:gutter="0"/>
          <w:cols w:space="720" w:equalWidth="0">
            <w:col w:w="9060"/>
          </w:cols>
        </w:sectPr>
      </w:pPr>
    </w:p>
    <w:p w:rsidR="00D24E61" w:rsidRPr="00771368" w:rsidRDefault="00D24E61">
      <w:pPr>
        <w:ind w:left="8820"/>
        <w:rPr>
          <w:sz w:val="20"/>
          <w:szCs w:val="20"/>
        </w:rPr>
      </w:pPr>
      <w:r w:rsidRPr="00771368">
        <w:rPr>
          <w:rFonts w:eastAsia="Calibri"/>
          <w:sz w:val="24"/>
          <w:szCs w:val="24"/>
        </w:rPr>
        <w:t>18</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08" w:lineRule="auto"/>
        <w:ind w:right="20"/>
        <w:jc w:val="both"/>
        <w:rPr>
          <w:sz w:val="20"/>
          <w:szCs w:val="20"/>
        </w:rPr>
      </w:pPr>
      <w:r w:rsidRPr="00771368">
        <w:rPr>
          <w:sz w:val="24"/>
          <w:szCs w:val="24"/>
        </w:rPr>
        <w:t>negligenciou o estudo do tema que, como já disse, está presente, no contexto acadêmico brasileiro, desde o final da década de 70 e início da década de 80 do último século.</w:t>
      </w:r>
    </w:p>
    <w:p w:rsidR="00D24E61" w:rsidRPr="00771368" w:rsidRDefault="00D24E61">
      <w:pPr>
        <w:spacing w:line="120" w:lineRule="exact"/>
        <w:rPr>
          <w:sz w:val="20"/>
          <w:szCs w:val="20"/>
        </w:rPr>
      </w:pPr>
    </w:p>
    <w:p w:rsidR="00D24E61" w:rsidRPr="00771368" w:rsidRDefault="00D24E61">
      <w:pPr>
        <w:spacing w:line="342" w:lineRule="auto"/>
        <w:ind w:firstLine="708"/>
        <w:jc w:val="both"/>
        <w:rPr>
          <w:sz w:val="20"/>
          <w:szCs w:val="20"/>
        </w:rPr>
      </w:pPr>
      <w:r w:rsidRPr="00771368">
        <w:rPr>
          <w:sz w:val="24"/>
          <w:szCs w:val="24"/>
        </w:rPr>
        <w:t>Sendo gênero um tema transversal e constitutivo da natureza profissional, presente nos núcleos de fundamentação das Diretrizes Curriculares do Curso de Serviço Social, preconizado nos princípios fundamentais do Código de Ética Profissional, faz-se necessário avançar mais no processo de formação dos/das discentes e futuros profissionais.</w:t>
      </w:r>
    </w:p>
    <w:p w:rsidR="00D24E61" w:rsidRPr="00771368" w:rsidRDefault="00D24E61">
      <w:pPr>
        <w:spacing w:line="83" w:lineRule="exact"/>
        <w:rPr>
          <w:sz w:val="20"/>
          <w:szCs w:val="20"/>
        </w:rPr>
      </w:pPr>
    </w:p>
    <w:p w:rsidR="00D24E61" w:rsidRPr="00771368" w:rsidRDefault="00D24E61">
      <w:pPr>
        <w:spacing w:line="353" w:lineRule="auto"/>
        <w:ind w:firstLine="768"/>
        <w:jc w:val="both"/>
        <w:rPr>
          <w:sz w:val="20"/>
          <w:szCs w:val="20"/>
        </w:rPr>
      </w:pPr>
      <w:r w:rsidRPr="00771368">
        <w:rPr>
          <w:sz w:val="24"/>
          <w:szCs w:val="24"/>
        </w:rPr>
        <w:t xml:space="preserve">Muito afinada na fala de Paulo Netto (1999), quando assinala claramente no Projeto Ético-Político do Serviço Social, </w:t>
      </w:r>
      <w:r w:rsidRPr="00771368">
        <w:rPr>
          <w:i/>
          <w:iCs/>
          <w:sz w:val="24"/>
          <w:szCs w:val="24"/>
        </w:rPr>
        <w:t>“a construção de uma nova ordem social, sem</w:t>
      </w:r>
      <w:r w:rsidRPr="00771368">
        <w:rPr>
          <w:sz w:val="24"/>
          <w:szCs w:val="24"/>
        </w:rPr>
        <w:t xml:space="preserve"> </w:t>
      </w:r>
      <w:r w:rsidRPr="00771368">
        <w:rPr>
          <w:i/>
          <w:iCs/>
          <w:sz w:val="24"/>
          <w:szCs w:val="24"/>
        </w:rPr>
        <w:t xml:space="preserve">exploração/dominação de classe, etnia e gênero” </w:t>
      </w:r>
      <w:r w:rsidRPr="00771368">
        <w:rPr>
          <w:sz w:val="24"/>
          <w:szCs w:val="24"/>
        </w:rPr>
        <w:t>(p.15), vejo a necessidade dos/das</w:t>
      </w:r>
      <w:r w:rsidRPr="00771368">
        <w:rPr>
          <w:i/>
          <w:iCs/>
          <w:sz w:val="24"/>
          <w:szCs w:val="24"/>
        </w:rPr>
        <w:t xml:space="preserve"> </w:t>
      </w:r>
      <w:r w:rsidRPr="00771368">
        <w:rPr>
          <w:sz w:val="24"/>
          <w:szCs w:val="24"/>
        </w:rPr>
        <w:t>profissionais e futuros profissionais de Serviço Social, terem o conhecimento e reconhecimento que cabe a nós, a defesa intransigente dos direitos humanos, da equidade, da justiça social, a consolidação da cidadania e da democracia, a eliminação de todas as facetas do preconceito e da discriminação, o compromisso com a autonomia e a plena expansão dos indivíduos sociais, buscando o respeito à diversidade humana, na realidade que permeia o exercício profissional, que se mostra dinâmica e dialeticamente construída.</w:t>
      </w:r>
    </w:p>
    <w:p w:rsidR="00D24E61" w:rsidRPr="00771368" w:rsidRDefault="00D24E61">
      <w:pPr>
        <w:spacing w:line="72" w:lineRule="exact"/>
        <w:rPr>
          <w:sz w:val="20"/>
          <w:szCs w:val="20"/>
        </w:rPr>
      </w:pPr>
    </w:p>
    <w:p w:rsidR="00D24E61" w:rsidRPr="00771368" w:rsidRDefault="00D24E61">
      <w:pPr>
        <w:spacing w:line="343" w:lineRule="auto"/>
        <w:ind w:firstLine="708"/>
        <w:jc w:val="both"/>
        <w:rPr>
          <w:sz w:val="20"/>
          <w:szCs w:val="20"/>
        </w:rPr>
      </w:pPr>
      <w:r w:rsidRPr="00771368">
        <w:rPr>
          <w:sz w:val="24"/>
          <w:szCs w:val="24"/>
        </w:rPr>
        <w:t xml:space="preserve">Como forma de inverter esse quadro, vejo a necessidade da criação de políticas públicas que alcancem essas pessoas, tirando-as da margem da sociedade trazendo-as para o centro. De acordo com </w:t>
      </w:r>
      <w:r w:rsidRPr="00771368">
        <w:rPr>
          <w:i/>
          <w:iCs/>
          <w:sz w:val="24"/>
          <w:szCs w:val="24"/>
        </w:rPr>
        <w:t>Symmy Larrat,</w:t>
      </w:r>
      <w:r w:rsidRPr="00771368">
        <w:rPr>
          <w:sz w:val="24"/>
          <w:szCs w:val="24"/>
        </w:rPr>
        <w:t xml:space="preserve"> criar políticas públicas para o segmento de – travestis e transexuais – metaforicamente é:</w:t>
      </w:r>
    </w:p>
    <w:p w:rsidR="00D24E61" w:rsidRPr="00771368" w:rsidRDefault="00D24E61">
      <w:pPr>
        <w:spacing w:line="200" w:lineRule="exact"/>
        <w:rPr>
          <w:sz w:val="20"/>
          <w:szCs w:val="20"/>
        </w:rPr>
      </w:pPr>
    </w:p>
    <w:p w:rsidR="00D24E61" w:rsidRPr="00771368" w:rsidRDefault="00D24E61">
      <w:pPr>
        <w:spacing w:line="349" w:lineRule="exact"/>
        <w:rPr>
          <w:sz w:val="20"/>
          <w:szCs w:val="20"/>
        </w:rPr>
      </w:pPr>
    </w:p>
    <w:p w:rsidR="00D24E61" w:rsidRPr="00771368" w:rsidRDefault="00D24E61">
      <w:pPr>
        <w:spacing w:line="232" w:lineRule="auto"/>
        <w:ind w:left="2260"/>
        <w:jc w:val="both"/>
        <w:rPr>
          <w:sz w:val="20"/>
          <w:szCs w:val="20"/>
        </w:rPr>
      </w:pPr>
      <w:r w:rsidRPr="00771368">
        <w:t>(...) igual o cinto de segurança, ninguém usava, tinha que ter lei para as pessoas usarem, (...) e hoje as pessoas já acham que é certo (...), não usam só por causa da multa, usam por uma consciência. É a mesma coisa, acho que tem que ter leis e tem que ter políticas públicas que empurrem, que forcem a sociedade a aceitar isso, pra depois aceitando e convivendo, ver que não é nada de mais. (...). As pessoas precisam ter um choque da realidade (...) (Registro de campo).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18"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Para que haja esse “choque”, é preciso que as travestis adentrem espaços públicos como a escola, os serviços de saúde, de assistência social, universidades, mercado de trabalho, câmaras legislativas entre outros. Pode-se considerar este um papel do Serviço Social junto ao referido segmento.</w:t>
      </w:r>
    </w:p>
    <w:p w:rsidR="00D24E61" w:rsidRPr="00771368" w:rsidRDefault="00D24E61">
      <w:pPr>
        <w:spacing w:line="301" w:lineRule="exact"/>
        <w:rPr>
          <w:sz w:val="20"/>
          <w:szCs w:val="20"/>
        </w:rPr>
      </w:pPr>
    </w:p>
    <w:p w:rsidR="00D24E61" w:rsidRPr="00771368" w:rsidRDefault="00D24E61">
      <w:pPr>
        <w:rPr>
          <w:sz w:val="20"/>
          <w:szCs w:val="20"/>
        </w:rPr>
      </w:pPr>
      <w:r w:rsidRPr="00771368">
        <w:rPr>
          <w:b/>
          <w:bCs/>
          <w:sz w:val="24"/>
          <w:szCs w:val="24"/>
        </w:rPr>
        <w:t>Referências</w:t>
      </w:r>
    </w:p>
    <w:p w:rsidR="00D24E61" w:rsidRPr="00771368" w:rsidRDefault="00D24E61">
      <w:pPr>
        <w:spacing w:line="334" w:lineRule="exact"/>
        <w:rPr>
          <w:sz w:val="20"/>
          <w:szCs w:val="20"/>
        </w:rPr>
      </w:pPr>
    </w:p>
    <w:p w:rsidR="00D24E61" w:rsidRPr="00771368" w:rsidRDefault="00D24E61">
      <w:pPr>
        <w:rPr>
          <w:sz w:val="20"/>
          <w:szCs w:val="20"/>
        </w:rPr>
      </w:pPr>
      <w:r w:rsidRPr="00771368">
        <w:rPr>
          <w:sz w:val="24"/>
          <w:szCs w:val="24"/>
        </w:rPr>
        <w:t xml:space="preserve">BAUMAN, Zygmunt. </w:t>
      </w:r>
      <w:r w:rsidRPr="00771368">
        <w:rPr>
          <w:b/>
          <w:bCs/>
          <w:sz w:val="24"/>
          <w:szCs w:val="24"/>
        </w:rPr>
        <w:t>Modernidade líquida</w:t>
      </w:r>
      <w:r w:rsidRPr="00771368">
        <w:rPr>
          <w:sz w:val="24"/>
          <w:szCs w:val="24"/>
        </w:rPr>
        <w:t>. Rio de Janeiro: Zahar, 2001.</w:t>
      </w:r>
    </w:p>
    <w:p w:rsidR="00D24E61" w:rsidRPr="00771368" w:rsidRDefault="00D24E61">
      <w:pPr>
        <w:sectPr w:rsidR="00D24E61" w:rsidRPr="00771368">
          <w:pgSz w:w="11900" w:h="16838"/>
          <w:pgMar w:top="703" w:right="1400" w:bottom="1440" w:left="1420" w:header="0" w:footer="0" w:gutter="0"/>
          <w:cols w:space="720" w:equalWidth="0">
            <w:col w:w="9080"/>
          </w:cols>
        </w:sectPr>
      </w:pPr>
    </w:p>
    <w:p w:rsidR="00D24E61" w:rsidRPr="00771368" w:rsidRDefault="00D24E61">
      <w:pPr>
        <w:ind w:left="8820"/>
        <w:rPr>
          <w:sz w:val="20"/>
          <w:szCs w:val="20"/>
        </w:rPr>
      </w:pPr>
      <w:r w:rsidRPr="00771368">
        <w:rPr>
          <w:rFonts w:eastAsia="Calibri"/>
          <w:sz w:val="24"/>
          <w:szCs w:val="24"/>
        </w:rPr>
        <w:t>19</w:t>
      </w:r>
    </w:p>
    <w:p w:rsidR="00D24E61" w:rsidRPr="00771368" w:rsidRDefault="00D24E61">
      <w:pPr>
        <w:spacing w:line="200" w:lineRule="exact"/>
        <w:rPr>
          <w:sz w:val="20"/>
          <w:szCs w:val="20"/>
        </w:rPr>
      </w:pPr>
    </w:p>
    <w:p w:rsidR="00D24E61" w:rsidRPr="00771368" w:rsidRDefault="00D24E61">
      <w:pPr>
        <w:spacing w:line="271" w:lineRule="exact"/>
        <w:rPr>
          <w:sz w:val="20"/>
          <w:szCs w:val="20"/>
        </w:rPr>
      </w:pPr>
    </w:p>
    <w:p w:rsidR="00D24E61" w:rsidRPr="00771368" w:rsidRDefault="00D24E61">
      <w:pPr>
        <w:spacing w:line="215" w:lineRule="auto"/>
        <w:ind w:right="20"/>
        <w:jc w:val="both"/>
        <w:rPr>
          <w:sz w:val="20"/>
          <w:szCs w:val="20"/>
        </w:rPr>
      </w:pPr>
      <w:r w:rsidRPr="00771368">
        <w:rPr>
          <w:sz w:val="24"/>
          <w:szCs w:val="24"/>
        </w:rPr>
        <w:t xml:space="preserve">BELTRÃO, Beatriz; BARBOSA, Luanna. </w:t>
      </w:r>
      <w:r w:rsidRPr="00771368">
        <w:rPr>
          <w:i/>
          <w:iCs/>
          <w:sz w:val="24"/>
          <w:szCs w:val="24"/>
        </w:rPr>
        <w:t>Desestruturando o estruturalismo: quando o</w:t>
      </w:r>
      <w:r w:rsidRPr="00771368">
        <w:rPr>
          <w:sz w:val="24"/>
          <w:szCs w:val="24"/>
        </w:rPr>
        <w:t xml:space="preserve"> </w:t>
      </w:r>
      <w:r w:rsidRPr="00771368">
        <w:rPr>
          <w:i/>
          <w:iCs/>
          <w:sz w:val="24"/>
          <w:szCs w:val="24"/>
        </w:rPr>
        <w:t xml:space="preserve">trabalho de campo acontece no armário. </w:t>
      </w:r>
      <w:r w:rsidRPr="00771368">
        <w:rPr>
          <w:sz w:val="24"/>
          <w:szCs w:val="24"/>
        </w:rPr>
        <w:t>In:</w:t>
      </w:r>
      <w:r w:rsidRPr="00771368">
        <w:rPr>
          <w:i/>
          <w:iCs/>
          <w:sz w:val="24"/>
          <w:szCs w:val="24"/>
        </w:rPr>
        <w:t xml:space="preserve"> </w:t>
      </w:r>
      <w:r w:rsidRPr="00771368">
        <w:rPr>
          <w:b/>
          <w:bCs/>
          <w:sz w:val="24"/>
          <w:szCs w:val="24"/>
        </w:rPr>
        <w:t>Revista Ártemis</w:t>
      </w:r>
      <w:r w:rsidRPr="00771368">
        <w:rPr>
          <w:sz w:val="24"/>
          <w:szCs w:val="24"/>
        </w:rPr>
        <w:t>. V.12. dez 2011, pp. 56/73.</w:t>
      </w:r>
    </w:p>
    <w:p w:rsidR="00D24E61" w:rsidRPr="00771368" w:rsidRDefault="00D24E61">
      <w:pPr>
        <w:spacing w:line="257" w:lineRule="exact"/>
        <w:rPr>
          <w:sz w:val="20"/>
          <w:szCs w:val="20"/>
        </w:rPr>
      </w:pPr>
    </w:p>
    <w:p w:rsidR="00D24E61" w:rsidRPr="00771368" w:rsidRDefault="00D24E61">
      <w:pPr>
        <w:spacing w:line="215" w:lineRule="auto"/>
        <w:jc w:val="both"/>
        <w:rPr>
          <w:sz w:val="20"/>
          <w:szCs w:val="20"/>
        </w:rPr>
      </w:pPr>
      <w:r w:rsidRPr="00771368">
        <w:rPr>
          <w:sz w:val="24"/>
          <w:szCs w:val="24"/>
        </w:rPr>
        <w:t xml:space="preserve">BENEDETTI, Marcos. </w:t>
      </w:r>
      <w:r w:rsidRPr="00771368">
        <w:rPr>
          <w:b/>
          <w:bCs/>
          <w:sz w:val="24"/>
          <w:szCs w:val="24"/>
        </w:rPr>
        <w:t>Toda feita: o corpo e o gênero das travestis.</w:t>
      </w:r>
      <w:r w:rsidRPr="00771368">
        <w:rPr>
          <w:sz w:val="24"/>
          <w:szCs w:val="24"/>
        </w:rPr>
        <w:t xml:space="preserve"> Rio de Janeiro: Garamond, 2005.</w:t>
      </w:r>
    </w:p>
    <w:p w:rsidR="00D24E61" w:rsidRPr="00771368" w:rsidRDefault="00D24E61">
      <w:pPr>
        <w:spacing w:line="199" w:lineRule="exact"/>
        <w:rPr>
          <w:sz w:val="20"/>
          <w:szCs w:val="20"/>
        </w:rPr>
      </w:pPr>
    </w:p>
    <w:p w:rsidR="00D24E61" w:rsidRPr="00771368" w:rsidRDefault="00D24E61">
      <w:pPr>
        <w:rPr>
          <w:sz w:val="20"/>
          <w:szCs w:val="20"/>
        </w:rPr>
      </w:pPr>
      <w:r w:rsidRPr="00771368">
        <w:rPr>
          <w:sz w:val="24"/>
          <w:szCs w:val="24"/>
        </w:rPr>
        <w:t xml:space="preserve">____________________ </w:t>
      </w:r>
      <w:r w:rsidRPr="00771368">
        <w:rPr>
          <w:i/>
          <w:iCs/>
          <w:sz w:val="24"/>
          <w:szCs w:val="24"/>
        </w:rPr>
        <w:t>A batalha e o corpo: breves reflexões sobre travestis e prostituição.</w:t>
      </w:r>
    </w:p>
    <w:p w:rsidR="00D24E61" w:rsidRPr="00771368" w:rsidRDefault="00D24E61">
      <w:pPr>
        <w:spacing w:line="2" w:lineRule="exact"/>
        <w:rPr>
          <w:sz w:val="20"/>
          <w:szCs w:val="20"/>
        </w:rPr>
      </w:pPr>
    </w:p>
    <w:p w:rsidR="00D24E61" w:rsidRPr="00771368" w:rsidRDefault="00D24E61">
      <w:pPr>
        <w:rPr>
          <w:sz w:val="24"/>
          <w:szCs w:val="24"/>
        </w:rPr>
      </w:pPr>
      <w:r w:rsidRPr="00771368">
        <w:rPr>
          <w:sz w:val="24"/>
          <w:szCs w:val="24"/>
        </w:rPr>
        <w:t xml:space="preserve">Disponível em &lt; </w:t>
      </w:r>
      <w:hyperlink r:id="rId84">
        <w:r w:rsidRPr="00771368">
          <w:rPr>
            <w:sz w:val="24"/>
            <w:szCs w:val="24"/>
            <w:u w:val="single"/>
          </w:rPr>
          <w:t>www.cidadaniasexual.org</w:t>
        </w:r>
      </w:hyperlink>
      <w:r w:rsidRPr="00771368">
        <w:rPr>
          <w:sz w:val="24"/>
          <w:szCs w:val="24"/>
        </w:rPr>
        <w:t>&gt; Acesso em: 1 abr. 2012.</w:t>
      </w:r>
    </w:p>
    <w:p w:rsidR="00D24E61" w:rsidRPr="00771368" w:rsidRDefault="00D24E61">
      <w:pPr>
        <w:spacing w:line="257" w:lineRule="exact"/>
        <w:rPr>
          <w:sz w:val="20"/>
          <w:szCs w:val="20"/>
        </w:rPr>
      </w:pPr>
    </w:p>
    <w:p w:rsidR="00D24E61" w:rsidRPr="00771368" w:rsidRDefault="00D24E61">
      <w:pPr>
        <w:spacing w:line="215" w:lineRule="auto"/>
        <w:jc w:val="both"/>
        <w:rPr>
          <w:sz w:val="20"/>
          <w:szCs w:val="20"/>
        </w:rPr>
      </w:pPr>
      <w:r w:rsidRPr="00771368">
        <w:rPr>
          <w:sz w:val="24"/>
          <w:szCs w:val="24"/>
        </w:rPr>
        <w:t xml:space="preserve">BRASIL. </w:t>
      </w:r>
      <w:r w:rsidRPr="00771368">
        <w:rPr>
          <w:b/>
          <w:bCs/>
          <w:sz w:val="24"/>
          <w:szCs w:val="24"/>
        </w:rPr>
        <w:t>Código de ética do/a assistente social</w:t>
      </w:r>
      <w:r w:rsidRPr="00771368">
        <w:rPr>
          <w:sz w:val="24"/>
          <w:szCs w:val="24"/>
        </w:rPr>
        <w:t>. Lei 8.662/93 de regulamentação da profissão. 9. ed. Brasília: Conselho Federal de Serviço Social, 2011.</w:t>
      </w:r>
    </w:p>
    <w:p w:rsidR="00D24E61" w:rsidRPr="00771368" w:rsidRDefault="00D24E61">
      <w:pPr>
        <w:spacing w:line="257" w:lineRule="exact"/>
        <w:rPr>
          <w:sz w:val="20"/>
          <w:szCs w:val="20"/>
        </w:rPr>
      </w:pPr>
    </w:p>
    <w:p w:rsidR="00D24E61" w:rsidRPr="00771368" w:rsidRDefault="00D24E61">
      <w:pPr>
        <w:spacing w:line="228" w:lineRule="auto"/>
        <w:jc w:val="both"/>
        <w:rPr>
          <w:sz w:val="20"/>
          <w:szCs w:val="20"/>
        </w:rPr>
      </w:pPr>
      <w:r w:rsidRPr="00771368">
        <w:rPr>
          <w:sz w:val="24"/>
          <w:szCs w:val="24"/>
        </w:rPr>
        <w:t xml:space="preserve">BULLA, Leonia C.; BARRIU, Heloisa de C; ARAUJO, Jairo M. </w:t>
      </w:r>
      <w:r w:rsidRPr="00771368">
        <w:rPr>
          <w:i/>
          <w:iCs/>
          <w:sz w:val="24"/>
          <w:szCs w:val="24"/>
        </w:rPr>
        <w:t xml:space="preserve">Tendências Teórico-Metodológicas na formação profissional do Assistente Social. </w:t>
      </w:r>
      <w:r w:rsidRPr="00771368">
        <w:rPr>
          <w:sz w:val="24"/>
          <w:szCs w:val="24"/>
        </w:rPr>
        <w:t>In: BARRIU, Heloisa de C.</w:t>
      </w:r>
      <w:r w:rsidRPr="00771368">
        <w:rPr>
          <w:i/>
          <w:iCs/>
          <w:sz w:val="24"/>
          <w:szCs w:val="24"/>
        </w:rPr>
        <w:t xml:space="preserve"> </w:t>
      </w:r>
      <w:r w:rsidRPr="00771368">
        <w:rPr>
          <w:sz w:val="24"/>
          <w:szCs w:val="24"/>
        </w:rPr>
        <w:t xml:space="preserve">(Org). </w:t>
      </w:r>
      <w:r w:rsidRPr="00771368">
        <w:rPr>
          <w:b/>
          <w:bCs/>
          <w:sz w:val="24"/>
          <w:szCs w:val="24"/>
        </w:rPr>
        <w:t>A pesquisa em Serviço Social e nas áreas humano-sociais.</w:t>
      </w:r>
      <w:r w:rsidRPr="00771368">
        <w:rPr>
          <w:sz w:val="24"/>
          <w:szCs w:val="24"/>
        </w:rPr>
        <w:t xml:space="preserve"> Porto Alegre: EDIPUCRS, 1998, pp. 363/374.</w:t>
      </w:r>
    </w:p>
    <w:p w:rsidR="00D24E61" w:rsidRPr="00771368" w:rsidRDefault="00D24E61">
      <w:pPr>
        <w:spacing w:line="255" w:lineRule="exact"/>
        <w:rPr>
          <w:sz w:val="20"/>
          <w:szCs w:val="20"/>
        </w:rPr>
      </w:pPr>
    </w:p>
    <w:p w:rsidR="00D24E61" w:rsidRPr="00771368" w:rsidRDefault="00D24E61">
      <w:pPr>
        <w:spacing w:line="215" w:lineRule="auto"/>
        <w:jc w:val="both"/>
        <w:rPr>
          <w:sz w:val="20"/>
          <w:szCs w:val="20"/>
        </w:rPr>
      </w:pPr>
      <w:r w:rsidRPr="00771368">
        <w:rPr>
          <w:sz w:val="24"/>
          <w:szCs w:val="24"/>
        </w:rPr>
        <w:t xml:space="preserve">BUTLER, Judith. </w:t>
      </w:r>
      <w:r w:rsidRPr="00771368">
        <w:rPr>
          <w:b/>
          <w:bCs/>
          <w:sz w:val="24"/>
          <w:szCs w:val="24"/>
        </w:rPr>
        <w:t>Problemas de gênero: feminismo e subversão da identidade</w:t>
      </w:r>
      <w:r w:rsidRPr="00771368">
        <w:rPr>
          <w:sz w:val="24"/>
          <w:szCs w:val="24"/>
        </w:rPr>
        <w:t>. Rio de Janeiro: Civilização Brasileira, 2003.</w:t>
      </w:r>
    </w:p>
    <w:p w:rsidR="00D24E61" w:rsidRPr="00771368" w:rsidRDefault="00D24E61">
      <w:pPr>
        <w:spacing w:line="259" w:lineRule="exact"/>
        <w:rPr>
          <w:sz w:val="20"/>
          <w:szCs w:val="20"/>
        </w:rPr>
      </w:pPr>
    </w:p>
    <w:p w:rsidR="00D24E61" w:rsidRPr="00771368" w:rsidRDefault="00D24E61">
      <w:pPr>
        <w:spacing w:line="223" w:lineRule="auto"/>
        <w:jc w:val="both"/>
        <w:rPr>
          <w:sz w:val="20"/>
          <w:szCs w:val="20"/>
        </w:rPr>
      </w:pPr>
      <w:r w:rsidRPr="00771368">
        <w:rPr>
          <w:sz w:val="24"/>
          <w:szCs w:val="24"/>
        </w:rPr>
        <w:t xml:space="preserve">CARDOSO, Mirlana da Silva. </w:t>
      </w:r>
      <w:r w:rsidRPr="00771368">
        <w:rPr>
          <w:i/>
          <w:iCs/>
          <w:sz w:val="24"/>
          <w:szCs w:val="24"/>
        </w:rPr>
        <w:t>Dando um close nelas</w:t>
      </w:r>
      <w:r w:rsidRPr="00771368">
        <w:rPr>
          <w:sz w:val="24"/>
          <w:szCs w:val="24"/>
        </w:rPr>
        <w:t xml:space="preserve"> </w:t>
      </w:r>
      <w:r w:rsidRPr="00771368">
        <w:rPr>
          <w:i/>
          <w:iCs/>
          <w:sz w:val="24"/>
          <w:szCs w:val="24"/>
        </w:rPr>
        <w:t>–</w:t>
      </w:r>
      <w:r w:rsidRPr="00771368">
        <w:rPr>
          <w:sz w:val="24"/>
          <w:szCs w:val="24"/>
        </w:rPr>
        <w:t xml:space="preserve"> </w:t>
      </w:r>
      <w:r w:rsidRPr="00771368">
        <w:rPr>
          <w:i/>
          <w:iCs/>
          <w:sz w:val="24"/>
          <w:szCs w:val="24"/>
        </w:rPr>
        <w:t>um zoom pelo mundo das travestis em</w:t>
      </w:r>
      <w:r w:rsidRPr="00771368">
        <w:rPr>
          <w:sz w:val="24"/>
          <w:szCs w:val="24"/>
        </w:rPr>
        <w:t xml:space="preserve"> </w:t>
      </w:r>
      <w:r w:rsidRPr="00771368">
        <w:rPr>
          <w:i/>
          <w:iCs/>
          <w:sz w:val="24"/>
          <w:szCs w:val="24"/>
        </w:rPr>
        <w:t>Belém/PA</w:t>
      </w:r>
      <w:r w:rsidRPr="00771368">
        <w:rPr>
          <w:sz w:val="24"/>
          <w:szCs w:val="24"/>
        </w:rPr>
        <w:t>. Trabalho de Conclusão de Curso apresentado junto ao Curso de Serviço Social da</w:t>
      </w:r>
      <w:r w:rsidRPr="00771368">
        <w:rPr>
          <w:i/>
          <w:iCs/>
          <w:sz w:val="24"/>
          <w:szCs w:val="24"/>
        </w:rPr>
        <w:t xml:space="preserve"> </w:t>
      </w:r>
      <w:r w:rsidRPr="00771368">
        <w:rPr>
          <w:sz w:val="24"/>
          <w:szCs w:val="24"/>
        </w:rPr>
        <w:t>Universidade da Amazônia, 2012.</w:t>
      </w:r>
    </w:p>
    <w:p w:rsidR="00D24E61" w:rsidRPr="00771368" w:rsidRDefault="00D24E61">
      <w:pPr>
        <w:spacing w:line="258" w:lineRule="exact"/>
        <w:rPr>
          <w:sz w:val="20"/>
          <w:szCs w:val="20"/>
        </w:rPr>
      </w:pPr>
    </w:p>
    <w:p w:rsidR="00D24E61" w:rsidRPr="00D61223" w:rsidRDefault="00D24E61">
      <w:pPr>
        <w:spacing w:line="215" w:lineRule="auto"/>
        <w:ind w:right="20"/>
        <w:jc w:val="both"/>
        <w:rPr>
          <w:sz w:val="20"/>
          <w:szCs w:val="20"/>
          <w:lang w:val="en-US"/>
        </w:rPr>
      </w:pPr>
      <w:r w:rsidRPr="00771368">
        <w:rPr>
          <w:sz w:val="24"/>
          <w:szCs w:val="24"/>
        </w:rPr>
        <w:t xml:space="preserve">FAURY, Mirian. </w:t>
      </w:r>
      <w:r w:rsidRPr="00771368">
        <w:rPr>
          <w:i/>
          <w:iCs/>
          <w:sz w:val="24"/>
          <w:szCs w:val="24"/>
        </w:rPr>
        <w:t>Estudando as questões de gênero em serviço social</w:t>
      </w:r>
      <w:r w:rsidRPr="00771368">
        <w:rPr>
          <w:sz w:val="24"/>
          <w:szCs w:val="24"/>
        </w:rPr>
        <w:t xml:space="preserve">. </w:t>
      </w:r>
      <w:r w:rsidRPr="00D61223">
        <w:rPr>
          <w:sz w:val="24"/>
          <w:szCs w:val="24"/>
          <w:lang w:val="en-US"/>
        </w:rPr>
        <w:t xml:space="preserve">In: </w:t>
      </w:r>
      <w:r w:rsidRPr="00D61223">
        <w:rPr>
          <w:b/>
          <w:bCs/>
          <w:sz w:val="24"/>
          <w:szCs w:val="24"/>
          <w:lang w:val="en-US"/>
        </w:rPr>
        <w:t>Revista Pro-Posições</w:t>
      </w:r>
      <w:r w:rsidRPr="00D61223">
        <w:rPr>
          <w:sz w:val="24"/>
          <w:szCs w:val="24"/>
          <w:lang w:val="en-US"/>
        </w:rPr>
        <w:t>. V. 14. N. 1 (40) jan/abr 2003, pp. 107/119.</w:t>
      </w:r>
    </w:p>
    <w:p w:rsidR="00D24E61" w:rsidRPr="00D61223" w:rsidRDefault="00D24E61">
      <w:pPr>
        <w:spacing w:line="257" w:lineRule="exact"/>
        <w:rPr>
          <w:sz w:val="20"/>
          <w:szCs w:val="20"/>
          <w:lang w:val="en-US"/>
        </w:rPr>
      </w:pPr>
    </w:p>
    <w:p w:rsidR="00D24E61" w:rsidRPr="00771368" w:rsidRDefault="00D24E61">
      <w:pPr>
        <w:spacing w:line="223" w:lineRule="auto"/>
        <w:ind w:right="20"/>
        <w:jc w:val="both"/>
        <w:rPr>
          <w:sz w:val="20"/>
          <w:szCs w:val="20"/>
        </w:rPr>
      </w:pPr>
      <w:r w:rsidRPr="00D61223">
        <w:rPr>
          <w:sz w:val="24"/>
          <w:szCs w:val="24"/>
          <w:lang w:val="en-US"/>
        </w:rPr>
        <w:t xml:space="preserve">FRY, Peter. </w:t>
      </w:r>
      <w:r w:rsidRPr="00771368">
        <w:rPr>
          <w:i/>
          <w:iCs/>
          <w:sz w:val="24"/>
          <w:szCs w:val="24"/>
        </w:rPr>
        <w:t>Da hierarquia à igualdade: a construção histórica da homossexualidade no</w:t>
      </w:r>
      <w:r w:rsidRPr="00771368">
        <w:rPr>
          <w:sz w:val="24"/>
          <w:szCs w:val="24"/>
        </w:rPr>
        <w:t xml:space="preserve"> </w:t>
      </w:r>
      <w:r w:rsidRPr="00771368">
        <w:rPr>
          <w:i/>
          <w:iCs/>
          <w:sz w:val="24"/>
          <w:szCs w:val="24"/>
        </w:rPr>
        <w:t xml:space="preserve">Brasil. </w:t>
      </w:r>
      <w:r w:rsidRPr="00771368">
        <w:rPr>
          <w:sz w:val="24"/>
          <w:szCs w:val="24"/>
        </w:rPr>
        <w:t>In: FRY, Peter.</w:t>
      </w:r>
      <w:r w:rsidRPr="00771368">
        <w:rPr>
          <w:i/>
          <w:iCs/>
          <w:sz w:val="24"/>
          <w:szCs w:val="24"/>
        </w:rPr>
        <w:t xml:space="preserve"> </w:t>
      </w:r>
      <w:r w:rsidRPr="00771368">
        <w:rPr>
          <w:b/>
          <w:bCs/>
          <w:sz w:val="24"/>
          <w:szCs w:val="24"/>
        </w:rPr>
        <w:t>Para inglês ver</w:t>
      </w:r>
      <w:r w:rsidRPr="00771368">
        <w:rPr>
          <w:i/>
          <w:iCs/>
          <w:sz w:val="24"/>
          <w:szCs w:val="24"/>
        </w:rPr>
        <w:t xml:space="preserve"> </w:t>
      </w:r>
      <w:r w:rsidRPr="00771368">
        <w:rPr>
          <w:b/>
          <w:bCs/>
          <w:sz w:val="24"/>
          <w:szCs w:val="24"/>
        </w:rPr>
        <w:t>–</w:t>
      </w:r>
      <w:r w:rsidRPr="00771368">
        <w:rPr>
          <w:i/>
          <w:iCs/>
          <w:sz w:val="24"/>
          <w:szCs w:val="24"/>
        </w:rPr>
        <w:t xml:space="preserve"> </w:t>
      </w:r>
      <w:r w:rsidRPr="00771368">
        <w:rPr>
          <w:b/>
          <w:bCs/>
          <w:sz w:val="24"/>
          <w:szCs w:val="24"/>
        </w:rPr>
        <w:t>identidade e política na cultura brasileira</w:t>
      </w:r>
      <w:r w:rsidRPr="00771368">
        <w:rPr>
          <w:sz w:val="24"/>
          <w:szCs w:val="24"/>
        </w:rPr>
        <w:t>. Rio de</w:t>
      </w:r>
      <w:r w:rsidRPr="00771368">
        <w:rPr>
          <w:i/>
          <w:iCs/>
          <w:sz w:val="24"/>
          <w:szCs w:val="24"/>
        </w:rPr>
        <w:t xml:space="preserve"> </w:t>
      </w:r>
      <w:r w:rsidRPr="00771368">
        <w:rPr>
          <w:sz w:val="24"/>
          <w:szCs w:val="24"/>
        </w:rPr>
        <w:t>Janeiro: Zahar, 1982.</w:t>
      </w:r>
    </w:p>
    <w:p w:rsidR="00D24E61" w:rsidRPr="00771368" w:rsidRDefault="00D24E61">
      <w:pPr>
        <w:spacing w:line="261" w:lineRule="exact"/>
        <w:rPr>
          <w:sz w:val="20"/>
          <w:szCs w:val="20"/>
        </w:rPr>
      </w:pPr>
    </w:p>
    <w:p w:rsidR="00D24E61" w:rsidRPr="00771368" w:rsidRDefault="00D24E61">
      <w:pPr>
        <w:spacing w:line="215" w:lineRule="auto"/>
        <w:ind w:right="20"/>
        <w:jc w:val="both"/>
        <w:rPr>
          <w:sz w:val="20"/>
          <w:szCs w:val="20"/>
        </w:rPr>
      </w:pPr>
      <w:r w:rsidRPr="00771368">
        <w:rPr>
          <w:sz w:val="24"/>
          <w:szCs w:val="24"/>
        </w:rPr>
        <w:t xml:space="preserve">HALL, Stuart. </w:t>
      </w:r>
      <w:r w:rsidRPr="00771368">
        <w:rPr>
          <w:b/>
          <w:bCs/>
          <w:sz w:val="24"/>
          <w:szCs w:val="24"/>
        </w:rPr>
        <w:t>A identidade cultural na pós-modernidade.</w:t>
      </w:r>
      <w:r w:rsidRPr="00771368">
        <w:rPr>
          <w:sz w:val="24"/>
          <w:szCs w:val="24"/>
        </w:rPr>
        <w:t xml:space="preserve"> 11 ed. Rio de Janeiro: DP&amp;A, 2006.</w:t>
      </w:r>
    </w:p>
    <w:p w:rsidR="00D24E61" w:rsidRPr="00771368" w:rsidRDefault="00D24E61">
      <w:pPr>
        <w:spacing w:line="257" w:lineRule="exact"/>
        <w:rPr>
          <w:sz w:val="20"/>
          <w:szCs w:val="20"/>
        </w:rPr>
      </w:pPr>
    </w:p>
    <w:p w:rsidR="00D24E61" w:rsidRPr="00771368" w:rsidRDefault="00D24E61">
      <w:pPr>
        <w:spacing w:line="215" w:lineRule="auto"/>
        <w:ind w:right="20"/>
        <w:jc w:val="both"/>
        <w:rPr>
          <w:sz w:val="20"/>
          <w:szCs w:val="20"/>
        </w:rPr>
      </w:pPr>
      <w:r w:rsidRPr="00771368">
        <w:rPr>
          <w:sz w:val="24"/>
          <w:szCs w:val="24"/>
        </w:rPr>
        <w:t xml:space="preserve">IAMAMOTO, Marilda Vilela. </w:t>
      </w:r>
      <w:r w:rsidRPr="00771368">
        <w:rPr>
          <w:b/>
          <w:bCs/>
          <w:sz w:val="24"/>
          <w:szCs w:val="24"/>
        </w:rPr>
        <w:t>Serviço Social em tempo de capital fetiche: capital</w:t>
      </w:r>
      <w:r w:rsidRPr="00771368">
        <w:rPr>
          <w:sz w:val="24"/>
          <w:szCs w:val="24"/>
        </w:rPr>
        <w:t xml:space="preserve"> </w:t>
      </w:r>
      <w:r w:rsidRPr="00771368">
        <w:rPr>
          <w:b/>
          <w:bCs/>
          <w:sz w:val="24"/>
          <w:szCs w:val="24"/>
        </w:rPr>
        <w:t xml:space="preserve">financeiro, trabalho e questão social. </w:t>
      </w:r>
      <w:r w:rsidRPr="00771368">
        <w:rPr>
          <w:sz w:val="24"/>
          <w:szCs w:val="24"/>
        </w:rPr>
        <w:t>São Paulo: Cortez, 2007.</w:t>
      </w:r>
    </w:p>
    <w:p w:rsidR="00D24E61" w:rsidRPr="00771368" w:rsidRDefault="00D24E61">
      <w:pPr>
        <w:spacing w:line="257" w:lineRule="exact"/>
        <w:rPr>
          <w:sz w:val="20"/>
          <w:szCs w:val="20"/>
        </w:rPr>
      </w:pPr>
    </w:p>
    <w:p w:rsidR="00D24E61" w:rsidRPr="00771368" w:rsidRDefault="00D24E61">
      <w:pPr>
        <w:spacing w:line="227" w:lineRule="auto"/>
        <w:ind w:right="20"/>
        <w:jc w:val="both"/>
        <w:rPr>
          <w:sz w:val="20"/>
          <w:szCs w:val="20"/>
        </w:rPr>
      </w:pPr>
      <w:r w:rsidRPr="00771368">
        <w:rPr>
          <w:sz w:val="24"/>
          <w:szCs w:val="24"/>
        </w:rPr>
        <w:t xml:space="preserve">JUSTA, Juliana Frota da. </w:t>
      </w:r>
      <w:r w:rsidRPr="00771368">
        <w:rPr>
          <w:i/>
          <w:iCs/>
          <w:sz w:val="24"/>
          <w:szCs w:val="24"/>
        </w:rPr>
        <w:t>Justo quando a lagarta achava que o mundo tinha acabado, ela</w:t>
      </w:r>
      <w:r w:rsidRPr="00771368">
        <w:rPr>
          <w:sz w:val="24"/>
          <w:szCs w:val="24"/>
        </w:rPr>
        <w:t xml:space="preserve"> </w:t>
      </w:r>
      <w:r w:rsidRPr="00771368">
        <w:rPr>
          <w:i/>
          <w:iCs/>
          <w:sz w:val="24"/>
          <w:szCs w:val="24"/>
        </w:rPr>
        <w:t xml:space="preserve">virou uma borboleta: uma compreensão fenomenológica da travestilidade, a partir de narrativas. </w:t>
      </w:r>
      <w:r w:rsidRPr="00771368">
        <w:rPr>
          <w:sz w:val="24"/>
          <w:szCs w:val="24"/>
        </w:rPr>
        <w:t>Monografia de Conclusão de Curso apresentada junto ao Departamento de</w:t>
      </w:r>
      <w:r w:rsidRPr="00771368">
        <w:rPr>
          <w:i/>
          <w:iCs/>
          <w:sz w:val="24"/>
          <w:szCs w:val="24"/>
        </w:rPr>
        <w:t xml:space="preserve"> </w:t>
      </w:r>
      <w:r w:rsidRPr="00771368">
        <w:rPr>
          <w:sz w:val="24"/>
          <w:szCs w:val="24"/>
        </w:rPr>
        <w:t>Psicologia da Universidade Federal do Ceará, 2006.</w:t>
      </w:r>
    </w:p>
    <w:p w:rsidR="00D24E61" w:rsidRPr="00771368" w:rsidRDefault="00D24E61">
      <w:pPr>
        <w:spacing w:line="262" w:lineRule="exact"/>
        <w:rPr>
          <w:sz w:val="20"/>
          <w:szCs w:val="20"/>
        </w:rPr>
      </w:pPr>
    </w:p>
    <w:p w:rsidR="00D24E61" w:rsidRPr="00771368" w:rsidRDefault="00D24E61">
      <w:pPr>
        <w:spacing w:line="215" w:lineRule="auto"/>
        <w:ind w:right="20"/>
        <w:jc w:val="both"/>
        <w:rPr>
          <w:sz w:val="20"/>
          <w:szCs w:val="20"/>
        </w:rPr>
      </w:pPr>
      <w:r w:rsidRPr="00771368">
        <w:rPr>
          <w:sz w:val="24"/>
          <w:szCs w:val="24"/>
        </w:rPr>
        <w:t xml:space="preserve">KULICK, Don. </w:t>
      </w:r>
      <w:r w:rsidRPr="00771368">
        <w:rPr>
          <w:b/>
          <w:bCs/>
          <w:sz w:val="24"/>
          <w:szCs w:val="24"/>
        </w:rPr>
        <w:t>Travesti: prostituição, sexo, gênero e cultura no Brasil.</w:t>
      </w:r>
      <w:r w:rsidRPr="00771368">
        <w:rPr>
          <w:sz w:val="24"/>
          <w:szCs w:val="24"/>
        </w:rPr>
        <w:t xml:space="preserve"> Rio de Janeiro: Fiocruz, 2008.</w:t>
      </w:r>
    </w:p>
    <w:p w:rsidR="00D24E61" w:rsidRPr="00771368" w:rsidRDefault="00D24E61">
      <w:pPr>
        <w:spacing w:line="257" w:lineRule="exact"/>
        <w:rPr>
          <w:sz w:val="20"/>
          <w:szCs w:val="20"/>
        </w:rPr>
      </w:pPr>
    </w:p>
    <w:p w:rsidR="00D24E61" w:rsidRPr="00771368" w:rsidRDefault="00D24E61">
      <w:pPr>
        <w:spacing w:line="223" w:lineRule="auto"/>
        <w:jc w:val="both"/>
        <w:rPr>
          <w:sz w:val="20"/>
          <w:szCs w:val="20"/>
        </w:rPr>
      </w:pPr>
      <w:r w:rsidRPr="00771368">
        <w:rPr>
          <w:sz w:val="24"/>
          <w:szCs w:val="24"/>
        </w:rPr>
        <w:t xml:space="preserve">LIMA, Aline Soares. </w:t>
      </w:r>
      <w:r w:rsidRPr="00771368">
        <w:rPr>
          <w:i/>
          <w:iCs/>
          <w:sz w:val="24"/>
          <w:szCs w:val="24"/>
        </w:rPr>
        <w:t>Quem sou eu: autorrepresentações de travestis no orkut.</w:t>
      </w:r>
      <w:r w:rsidRPr="00771368">
        <w:rPr>
          <w:sz w:val="24"/>
          <w:szCs w:val="24"/>
        </w:rPr>
        <w:t xml:space="preserve"> Dissertação de Mestrado apresentada junto ao Programa de Pós-graduação em Cultura Visual da Universidade Federal de Goiás. 2009.</w:t>
      </w:r>
    </w:p>
    <w:p w:rsidR="00D24E61" w:rsidRPr="00771368" w:rsidRDefault="00D24E61">
      <w:pPr>
        <w:spacing w:line="258" w:lineRule="exact"/>
        <w:rPr>
          <w:sz w:val="20"/>
          <w:szCs w:val="20"/>
        </w:rPr>
      </w:pPr>
    </w:p>
    <w:p w:rsidR="00D24E61" w:rsidRPr="00771368" w:rsidRDefault="00D24E61">
      <w:pPr>
        <w:spacing w:line="215" w:lineRule="auto"/>
        <w:ind w:right="20"/>
        <w:jc w:val="both"/>
        <w:rPr>
          <w:sz w:val="24"/>
          <w:szCs w:val="24"/>
        </w:rPr>
      </w:pPr>
      <w:r w:rsidRPr="00771368">
        <w:rPr>
          <w:sz w:val="24"/>
          <w:szCs w:val="24"/>
        </w:rPr>
        <w:t xml:space="preserve">LIMA, Rita de Lourdes de. </w:t>
      </w:r>
      <w:r w:rsidRPr="00771368">
        <w:rPr>
          <w:i/>
          <w:iCs/>
          <w:sz w:val="24"/>
          <w:szCs w:val="24"/>
        </w:rPr>
        <w:t>Gênero e serviço social</w:t>
      </w:r>
      <w:r w:rsidRPr="00771368">
        <w:rPr>
          <w:sz w:val="24"/>
          <w:szCs w:val="24"/>
        </w:rPr>
        <w:t>. Disponível em &lt;/</w:t>
      </w:r>
      <w:hyperlink r:id="rId85">
        <w:r w:rsidRPr="00771368">
          <w:rPr>
            <w:sz w:val="24"/>
            <w:szCs w:val="24"/>
            <w:u w:val="single"/>
          </w:rPr>
          <w:t>www.abeh.ufba.b</w:t>
        </w:r>
        <w:r w:rsidRPr="00771368">
          <w:rPr>
            <w:color w:val="0000FF"/>
            <w:sz w:val="24"/>
            <w:szCs w:val="24"/>
            <w:u w:val="single"/>
          </w:rPr>
          <w:t>r</w:t>
        </w:r>
      </w:hyperlink>
      <w:r w:rsidRPr="00771368">
        <w:rPr>
          <w:sz w:val="24"/>
          <w:szCs w:val="24"/>
        </w:rPr>
        <w:t>&gt;. Acesso em: 23 nov. 2012.</w:t>
      </w:r>
    </w:p>
    <w:p w:rsidR="00D24E61" w:rsidRPr="00771368" w:rsidRDefault="00D24E61">
      <w:pPr>
        <w:sectPr w:rsidR="00D24E61" w:rsidRPr="00771368">
          <w:pgSz w:w="11900" w:h="16838"/>
          <w:pgMar w:top="703" w:right="1400" w:bottom="1440" w:left="1420" w:header="0" w:footer="0" w:gutter="0"/>
          <w:cols w:space="720" w:equalWidth="0">
            <w:col w:w="9080"/>
          </w:cols>
        </w:sectPr>
      </w:pPr>
    </w:p>
    <w:p w:rsidR="00D24E61" w:rsidRPr="00771368" w:rsidRDefault="00D24E61">
      <w:pPr>
        <w:jc w:val="right"/>
        <w:rPr>
          <w:sz w:val="20"/>
          <w:szCs w:val="20"/>
        </w:rPr>
      </w:pPr>
      <w:r w:rsidRPr="00771368">
        <w:rPr>
          <w:rFonts w:eastAsia="Calibri"/>
          <w:sz w:val="24"/>
          <w:szCs w:val="24"/>
        </w:rPr>
        <w:t>20</w:t>
      </w:r>
    </w:p>
    <w:p w:rsidR="00D24E61" w:rsidRPr="00771368" w:rsidRDefault="00D24E61">
      <w:pPr>
        <w:spacing w:line="200" w:lineRule="exact"/>
        <w:rPr>
          <w:sz w:val="20"/>
          <w:szCs w:val="20"/>
        </w:rPr>
      </w:pPr>
    </w:p>
    <w:p w:rsidR="00D24E61" w:rsidRPr="00771368" w:rsidRDefault="00D24E61">
      <w:pPr>
        <w:spacing w:line="271" w:lineRule="exact"/>
        <w:rPr>
          <w:sz w:val="20"/>
          <w:szCs w:val="20"/>
        </w:rPr>
      </w:pPr>
    </w:p>
    <w:p w:rsidR="00D24E61" w:rsidRPr="00771368" w:rsidRDefault="00D24E61">
      <w:pPr>
        <w:spacing w:line="223" w:lineRule="auto"/>
        <w:jc w:val="both"/>
        <w:rPr>
          <w:sz w:val="20"/>
          <w:szCs w:val="20"/>
        </w:rPr>
      </w:pPr>
      <w:r w:rsidRPr="00771368">
        <w:rPr>
          <w:sz w:val="24"/>
          <w:szCs w:val="24"/>
        </w:rPr>
        <w:t xml:space="preserve">NETTO, José Paulo. </w:t>
      </w:r>
      <w:r w:rsidRPr="00771368">
        <w:rPr>
          <w:i/>
          <w:iCs/>
          <w:sz w:val="24"/>
          <w:szCs w:val="24"/>
        </w:rPr>
        <w:t>A construção do projeto ético-político do serviço social frente a crise</w:t>
      </w:r>
      <w:r w:rsidRPr="00771368">
        <w:rPr>
          <w:sz w:val="24"/>
          <w:szCs w:val="24"/>
        </w:rPr>
        <w:t xml:space="preserve"> </w:t>
      </w:r>
      <w:r w:rsidRPr="00771368">
        <w:rPr>
          <w:i/>
          <w:iCs/>
          <w:sz w:val="24"/>
          <w:szCs w:val="24"/>
        </w:rPr>
        <w:t xml:space="preserve">contemporânea. </w:t>
      </w:r>
      <w:r w:rsidRPr="00771368">
        <w:rPr>
          <w:sz w:val="24"/>
          <w:szCs w:val="24"/>
        </w:rPr>
        <w:t>In:</w:t>
      </w:r>
      <w:r w:rsidRPr="00771368">
        <w:rPr>
          <w:i/>
          <w:iCs/>
          <w:sz w:val="24"/>
          <w:szCs w:val="24"/>
        </w:rPr>
        <w:t xml:space="preserve"> </w:t>
      </w:r>
      <w:r w:rsidRPr="00771368">
        <w:rPr>
          <w:b/>
          <w:bCs/>
          <w:sz w:val="24"/>
          <w:szCs w:val="24"/>
        </w:rPr>
        <w:t>Capacitação em Serviço Social e Política Social.</w:t>
      </w:r>
      <w:r w:rsidRPr="00771368">
        <w:rPr>
          <w:i/>
          <w:iCs/>
          <w:sz w:val="24"/>
          <w:szCs w:val="24"/>
        </w:rPr>
        <w:t xml:space="preserve"> </w:t>
      </w:r>
      <w:r w:rsidRPr="00771368">
        <w:rPr>
          <w:sz w:val="24"/>
          <w:szCs w:val="24"/>
        </w:rPr>
        <w:t>Módulo I. Brasília:</w:t>
      </w:r>
      <w:r w:rsidRPr="00771368">
        <w:rPr>
          <w:i/>
          <w:iCs/>
          <w:sz w:val="24"/>
          <w:szCs w:val="24"/>
        </w:rPr>
        <w:t xml:space="preserve"> </w:t>
      </w:r>
      <w:r w:rsidRPr="00771368">
        <w:rPr>
          <w:sz w:val="24"/>
          <w:szCs w:val="24"/>
        </w:rPr>
        <w:t>CFESS/ABEPSS/CEAD/UNB, 1999.</w:t>
      </w:r>
    </w:p>
    <w:p w:rsidR="00D24E61" w:rsidRPr="00771368" w:rsidRDefault="00D24E61">
      <w:pPr>
        <w:spacing w:line="258" w:lineRule="exact"/>
        <w:rPr>
          <w:sz w:val="20"/>
          <w:szCs w:val="20"/>
        </w:rPr>
      </w:pPr>
    </w:p>
    <w:p w:rsidR="00D24E61" w:rsidRPr="00771368" w:rsidRDefault="00D24E61">
      <w:pPr>
        <w:spacing w:line="215" w:lineRule="auto"/>
        <w:ind w:right="20"/>
        <w:jc w:val="both"/>
        <w:rPr>
          <w:sz w:val="20"/>
          <w:szCs w:val="20"/>
        </w:rPr>
      </w:pPr>
      <w:r w:rsidRPr="00771368">
        <w:rPr>
          <w:sz w:val="24"/>
          <w:szCs w:val="24"/>
        </w:rPr>
        <w:t xml:space="preserve">PARKER, Richard. </w:t>
      </w:r>
      <w:r w:rsidRPr="00771368">
        <w:rPr>
          <w:b/>
          <w:bCs/>
          <w:sz w:val="24"/>
          <w:szCs w:val="24"/>
        </w:rPr>
        <w:t>Corpos, prazeres e paixões: a cultura sexual no Brasil</w:t>
      </w:r>
      <w:r w:rsidRPr="00771368">
        <w:rPr>
          <w:sz w:val="24"/>
          <w:szCs w:val="24"/>
        </w:rPr>
        <w:t xml:space="preserve"> </w:t>
      </w:r>
      <w:r w:rsidRPr="00771368">
        <w:rPr>
          <w:b/>
          <w:bCs/>
          <w:sz w:val="24"/>
          <w:szCs w:val="24"/>
        </w:rPr>
        <w:t xml:space="preserve">contemporâneo. </w:t>
      </w:r>
      <w:r w:rsidRPr="00771368">
        <w:rPr>
          <w:sz w:val="24"/>
          <w:szCs w:val="24"/>
        </w:rPr>
        <w:t>São Paulo: Best-Seller, 1991.</w:t>
      </w:r>
    </w:p>
    <w:p w:rsidR="00D24E61" w:rsidRPr="00771368" w:rsidRDefault="00D24E61">
      <w:pPr>
        <w:spacing w:line="257" w:lineRule="exact"/>
        <w:rPr>
          <w:sz w:val="20"/>
          <w:szCs w:val="20"/>
        </w:rPr>
      </w:pPr>
    </w:p>
    <w:p w:rsidR="00D24E61" w:rsidRPr="00771368" w:rsidRDefault="00D24E61">
      <w:pPr>
        <w:spacing w:line="223" w:lineRule="auto"/>
        <w:jc w:val="both"/>
        <w:rPr>
          <w:sz w:val="20"/>
          <w:szCs w:val="20"/>
        </w:rPr>
      </w:pPr>
      <w:r w:rsidRPr="00771368">
        <w:rPr>
          <w:sz w:val="24"/>
          <w:szCs w:val="24"/>
        </w:rPr>
        <w:t xml:space="preserve">PELÚCIO, Larissa. </w:t>
      </w:r>
      <w:r w:rsidRPr="00771368">
        <w:rPr>
          <w:i/>
          <w:iCs/>
          <w:sz w:val="24"/>
          <w:szCs w:val="24"/>
        </w:rPr>
        <w:t>Toda quebrada na plástica: corporalidade e construção de gênero entre</w:t>
      </w:r>
      <w:r w:rsidRPr="00771368">
        <w:rPr>
          <w:sz w:val="24"/>
          <w:szCs w:val="24"/>
        </w:rPr>
        <w:t xml:space="preserve"> </w:t>
      </w:r>
      <w:r w:rsidRPr="00771368">
        <w:rPr>
          <w:i/>
          <w:iCs/>
          <w:sz w:val="24"/>
          <w:szCs w:val="24"/>
        </w:rPr>
        <w:t xml:space="preserve">travestis paulistas. </w:t>
      </w:r>
      <w:r w:rsidRPr="00771368">
        <w:rPr>
          <w:sz w:val="24"/>
          <w:szCs w:val="24"/>
        </w:rPr>
        <w:t>In:</w:t>
      </w:r>
      <w:r w:rsidRPr="00771368">
        <w:rPr>
          <w:i/>
          <w:iCs/>
          <w:sz w:val="24"/>
          <w:szCs w:val="24"/>
        </w:rPr>
        <w:t xml:space="preserve"> </w:t>
      </w:r>
      <w:r w:rsidRPr="00771368">
        <w:rPr>
          <w:b/>
          <w:bCs/>
          <w:sz w:val="24"/>
          <w:szCs w:val="24"/>
        </w:rPr>
        <w:t>Campos - Revista de Antropologia Social da UFPR.</w:t>
      </w:r>
      <w:r w:rsidRPr="00771368">
        <w:rPr>
          <w:i/>
          <w:iCs/>
          <w:sz w:val="24"/>
          <w:szCs w:val="24"/>
        </w:rPr>
        <w:t xml:space="preserve"> </w:t>
      </w:r>
      <w:r w:rsidRPr="00771368">
        <w:rPr>
          <w:sz w:val="24"/>
          <w:szCs w:val="24"/>
        </w:rPr>
        <w:t>V. 6. Jun 2005,</w:t>
      </w:r>
      <w:r w:rsidRPr="00771368">
        <w:rPr>
          <w:i/>
          <w:iCs/>
          <w:sz w:val="24"/>
          <w:szCs w:val="24"/>
        </w:rPr>
        <w:t xml:space="preserve"> </w:t>
      </w:r>
      <w:r w:rsidRPr="00771368">
        <w:rPr>
          <w:sz w:val="24"/>
          <w:szCs w:val="24"/>
        </w:rPr>
        <w:t>pp. 97/112.</w:t>
      </w:r>
    </w:p>
    <w:p w:rsidR="00D24E61" w:rsidRPr="00771368" w:rsidRDefault="00D24E61">
      <w:pPr>
        <w:spacing w:line="260" w:lineRule="exact"/>
        <w:rPr>
          <w:sz w:val="20"/>
          <w:szCs w:val="20"/>
        </w:rPr>
      </w:pPr>
    </w:p>
    <w:p w:rsidR="00D24E61" w:rsidRPr="00771368" w:rsidRDefault="00D24E61">
      <w:pPr>
        <w:spacing w:line="223" w:lineRule="auto"/>
        <w:jc w:val="both"/>
        <w:rPr>
          <w:sz w:val="20"/>
          <w:szCs w:val="20"/>
        </w:rPr>
      </w:pPr>
      <w:r w:rsidRPr="00771368">
        <w:rPr>
          <w:sz w:val="24"/>
          <w:szCs w:val="24"/>
        </w:rPr>
        <w:t xml:space="preserve">SANTOS, Jorge Luiz Oliveira dos. </w:t>
      </w:r>
      <w:r w:rsidRPr="00771368">
        <w:rPr>
          <w:i/>
          <w:iCs/>
          <w:sz w:val="24"/>
          <w:szCs w:val="24"/>
        </w:rPr>
        <w:t>Menino que faz menino ainda é menino? Homens jovens e</w:t>
      </w:r>
      <w:r w:rsidRPr="00771368">
        <w:rPr>
          <w:sz w:val="24"/>
          <w:szCs w:val="24"/>
        </w:rPr>
        <w:t xml:space="preserve"> </w:t>
      </w:r>
      <w:r w:rsidRPr="00771368">
        <w:rPr>
          <w:i/>
          <w:iCs/>
          <w:sz w:val="24"/>
          <w:szCs w:val="24"/>
        </w:rPr>
        <w:t xml:space="preserve">pais construindo o seu protagonismo. </w:t>
      </w:r>
      <w:r w:rsidRPr="00771368">
        <w:rPr>
          <w:sz w:val="24"/>
          <w:szCs w:val="24"/>
        </w:rPr>
        <w:t>Tese de Doutorado apresentada junto ao Programa de</w:t>
      </w:r>
      <w:r w:rsidRPr="00771368">
        <w:rPr>
          <w:i/>
          <w:iCs/>
          <w:sz w:val="24"/>
          <w:szCs w:val="24"/>
        </w:rPr>
        <w:t xml:space="preserve"> </w:t>
      </w:r>
      <w:r w:rsidRPr="00771368">
        <w:rPr>
          <w:sz w:val="24"/>
          <w:szCs w:val="24"/>
        </w:rPr>
        <w:t>Pós-graduação em Ciências Sociais da Universidade Federal do Pará. 2011.</w:t>
      </w:r>
    </w:p>
    <w:p w:rsidR="00D24E61" w:rsidRPr="00771368" w:rsidRDefault="00D24E61">
      <w:pPr>
        <w:spacing w:line="259" w:lineRule="exact"/>
        <w:rPr>
          <w:sz w:val="20"/>
          <w:szCs w:val="20"/>
        </w:rPr>
      </w:pPr>
    </w:p>
    <w:p w:rsidR="00D24E61" w:rsidRPr="00771368" w:rsidRDefault="00D24E61">
      <w:pPr>
        <w:spacing w:line="215" w:lineRule="auto"/>
        <w:ind w:right="20"/>
        <w:jc w:val="both"/>
        <w:rPr>
          <w:sz w:val="20"/>
          <w:szCs w:val="20"/>
        </w:rPr>
      </w:pPr>
      <w:r w:rsidRPr="00771368">
        <w:rPr>
          <w:sz w:val="24"/>
          <w:szCs w:val="24"/>
        </w:rPr>
        <w:t xml:space="preserve">SCOTT, Joan Wallace. </w:t>
      </w:r>
      <w:r w:rsidRPr="00771368">
        <w:rPr>
          <w:i/>
          <w:iCs/>
          <w:sz w:val="24"/>
          <w:szCs w:val="24"/>
        </w:rPr>
        <w:t>Gênero: uma categoria útil para análise histórica</w:t>
      </w:r>
      <w:r w:rsidRPr="00771368">
        <w:rPr>
          <w:sz w:val="24"/>
          <w:szCs w:val="24"/>
        </w:rPr>
        <w:t xml:space="preserve">. In: </w:t>
      </w:r>
      <w:r w:rsidRPr="00771368">
        <w:rPr>
          <w:b/>
          <w:bCs/>
          <w:sz w:val="24"/>
          <w:szCs w:val="24"/>
        </w:rPr>
        <w:t>Revista</w:t>
      </w:r>
      <w:r w:rsidRPr="00771368">
        <w:rPr>
          <w:sz w:val="24"/>
          <w:szCs w:val="24"/>
        </w:rPr>
        <w:t xml:space="preserve"> </w:t>
      </w:r>
      <w:r w:rsidRPr="00771368">
        <w:rPr>
          <w:b/>
          <w:bCs/>
          <w:sz w:val="24"/>
          <w:szCs w:val="24"/>
        </w:rPr>
        <w:t>Educação e Realidade</w:t>
      </w:r>
      <w:r w:rsidRPr="00771368">
        <w:rPr>
          <w:sz w:val="24"/>
          <w:szCs w:val="24"/>
        </w:rPr>
        <w:t>. V.20. N. 2. Porto Alegre, jul/dez 1995.</w:t>
      </w:r>
    </w:p>
    <w:p w:rsidR="00D24E61" w:rsidRPr="00771368" w:rsidRDefault="00D24E61">
      <w:pPr>
        <w:spacing w:line="257"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SILVA, Hélio; FLORENTINO, Cristina. </w:t>
      </w:r>
      <w:r w:rsidRPr="00771368">
        <w:rPr>
          <w:i/>
          <w:iCs/>
          <w:sz w:val="24"/>
          <w:szCs w:val="24"/>
        </w:rPr>
        <w:t>A sociedade dos travestis: espelhos, papéis e</w:t>
      </w:r>
      <w:r w:rsidRPr="00771368">
        <w:rPr>
          <w:sz w:val="24"/>
          <w:szCs w:val="24"/>
        </w:rPr>
        <w:t xml:space="preserve"> </w:t>
      </w:r>
      <w:r w:rsidRPr="00771368">
        <w:rPr>
          <w:i/>
          <w:iCs/>
          <w:sz w:val="24"/>
          <w:szCs w:val="24"/>
        </w:rPr>
        <w:t xml:space="preserve">interpretações. </w:t>
      </w:r>
      <w:r w:rsidRPr="00771368">
        <w:rPr>
          <w:sz w:val="24"/>
          <w:szCs w:val="24"/>
        </w:rPr>
        <w:t>In: PARKER, Richard; BARBOSA, Regina (Orgs.).</w:t>
      </w:r>
      <w:r w:rsidRPr="00771368">
        <w:rPr>
          <w:i/>
          <w:iCs/>
          <w:sz w:val="24"/>
          <w:szCs w:val="24"/>
        </w:rPr>
        <w:t xml:space="preserve"> </w:t>
      </w:r>
      <w:r w:rsidRPr="00771368">
        <w:rPr>
          <w:b/>
          <w:bCs/>
          <w:sz w:val="24"/>
          <w:szCs w:val="24"/>
        </w:rPr>
        <w:t>Sexualidades</w:t>
      </w:r>
      <w:r w:rsidRPr="00771368">
        <w:rPr>
          <w:i/>
          <w:iCs/>
          <w:sz w:val="24"/>
          <w:szCs w:val="24"/>
        </w:rPr>
        <w:t xml:space="preserve"> </w:t>
      </w:r>
      <w:r w:rsidRPr="00771368">
        <w:rPr>
          <w:b/>
          <w:bCs/>
          <w:sz w:val="24"/>
          <w:szCs w:val="24"/>
        </w:rPr>
        <w:t xml:space="preserve">Brasileiras. </w:t>
      </w:r>
      <w:r w:rsidRPr="00771368">
        <w:rPr>
          <w:sz w:val="24"/>
          <w:szCs w:val="24"/>
        </w:rPr>
        <w:t>Rio de Janeiro: ABIA/IMS-UERJ/Relume-Dumará. 1996.</w:t>
      </w:r>
    </w:p>
    <w:p w:rsidR="00D24E61" w:rsidRPr="00771368" w:rsidRDefault="00D24E61">
      <w:pPr>
        <w:spacing w:line="260"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SOCIEDADE DE DEFESA DOS DIREITOS SEXUAIS NA AMAZÔNIA. </w:t>
      </w:r>
      <w:r w:rsidRPr="00771368">
        <w:rPr>
          <w:b/>
          <w:bCs/>
          <w:sz w:val="24"/>
          <w:szCs w:val="24"/>
        </w:rPr>
        <w:t>Mulheres em</w:t>
      </w:r>
      <w:r w:rsidRPr="00771368">
        <w:rPr>
          <w:sz w:val="24"/>
          <w:szCs w:val="24"/>
        </w:rPr>
        <w:t xml:space="preserve"> </w:t>
      </w:r>
      <w:r w:rsidRPr="00771368">
        <w:rPr>
          <w:b/>
          <w:bCs/>
          <w:sz w:val="24"/>
          <w:szCs w:val="24"/>
        </w:rPr>
        <w:t>movimento: migração, trabalho e Gênero em Belém do Pará</w:t>
      </w:r>
      <w:r w:rsidRPr="00771368">
        <w:rPr>
          <w:sz w:val="24"/>
          <w:szCs w:val="24"/>
        </w:rPr>
        <w:t>. Belém: SODIREITOS,</w:t>
      </w:r>
      <w:r w:rsidRPr="00771368">
        <w:rPr>
          <w:b/>
          <w:bCs/>
          <w:sz w:val="24"/>
          <w:szCs w:val="24"/>
        </w:rPr>
        <w:t xml:space="preserve"> </w:t>
      </w:r>
      <w:r w:rsidRPr="00771368">
        <w:rPr>
          <w:sz w:val="24"/>
          <w:szCs w:val="24"/>
        </w:rPr>
        <w:t>2011.</w:t>
      </w:r>
    </w:p>
    <w:p w:rsidR="00D24E61" w:rsidRPr="00771368" w:rsidRDefault="00D24E61">
      <w:pPr>
        <w:spacing w:line="196" w:lineRule="exact"/>
        <w:rPr>
          <w:sz w:val="20"/>
          <w:szCs w:val="20"/>
        </w:rPr>
      </w:pPr>
    </w:p>
    <w:p w:rsidR="00D24E61" w:rsidRPr="00771368" w:rsidRDefault="00D24E61">
      <w:pPr>
        <w:tabs>
          <w:tab w:val="left" w:pos="3900"/>
        </w:tabs>
        <w:rPr>
          <w:sz w:val="20"/>
          <w:szCs w:val="20"/>
        </w:rPr>
      </w:pPr>
      <w:r w:rsidRPr="00771368">
        <w:rPr>
          <w:sz w:val="24"/>
          <w:szCs w:val="24"/>
        </w:rPr>
        <w:t>UNIVERSIDADE  DA  AMAZÔNIA.</w:t>
      </w:r>
      <w:r w:rsidRPr="00771368">
        <w:rPr>
          <w:sz w:val="20"/>
          <w:szCs w:val="20"/>
        </w:rPr>
        <w:tab/>
      </w:r>
      <w:r w:rsidRPr="00771368">
        <w:rPr>
          <w:b/>
          <w:bCs/>
          <w:sz w:val="24"/>
          <w:szCs w:val="24"/>
        </w:rPr>
        <w:t>Projeto  pedagógico  do  curso  de  serviço  social.</w:t>
      </w:r>
    </w:p>
    <w:p w:rsidR="00D24E61" w:rsidRPr="00771368" w:rsidRDefault="00D24E61">
      <w:pPr>
        <w:spacing w:line="2" w:lineRule="exact"/>
        <w:rPr>
          <w:sz w:val="20"/>
          <w:szCs w:val="20"/>
        </w:rPr>
      </w:pPr>
    </w:p>
    <w:p w:rsidR="00D24E61" w:rsidRPr="00771368" w:rsidRDefault="00D24E61">
      <w:pPr>
        <w:rPr>
          <w:sz w:val="20"/>
          <w:szCs w:val="20"/>
        </w:rPr>
      </w:pPr>
      <w:r w:rsidRPr="00771368">
        <w:rPr>
          <w:sz w:val="24"/>
          <w:szCs w:val="24"/>
        </w:rPr>
        <w:t>Belém: UNAMA, 2011.</w:t>
      </w:r>
    </w:p>
    <w:p w:rsidR="00D24E61" w:rsidRPr="00771368" w:rsidRDefault="00D24E61" w:rsidP="00D24E61">
      <w:pPr>
        <w:spacing w:after="120" w:line="360" w:lineRule="auto"/>
        <w:ind w:left="1440"/>
        <w:jc w:val="right"/>
        <w:rPr>
          <w:i/>
        </w:rPr>
      </w:pP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
          <w:bCs/>
          <w:color w:val="000000"/>
        </w:rPr>
      </w:pPr>
      <w:r w:rsidRPr="00771368">
        <w:rPr>
          <w:b/>
          <w:bCs/>
          <w:color w:val="000000"/>
        </w:rPr>
        <w:t>Movimento Feminista Brasileiro: Repertórios e Estratégias de Ação</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color w:val="000000"/>
        </w:rPr>
      </w:pPr>
    </w:p>
    <w:p w:rsidR="00D24E61" w:rsidRPr="00771368" w:rsidRDefault="00D24E61" w:rsidP="00EE013A">
      <w:pPr>
        <w:pStyle w:val="Ttulo1"/>
      </w:pPr>
      <w:bookmarkStart w:id="41" w:name="_Toc442034730"/>
      <w:r w:rsidRPr="00771368">
        <w:t>Carla de Paiva Bezerra</w:t>
      </w:r>
      <w:bookmarkEnd w:id="41"/>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bCs/>
          <w:color w:val="000000"/>
        </w:rPr>
      </w:pPr>
      <w:r w:rsidRPr="00771368">
        <w:rPr>
          <w:bCs/>
          <w:color w:val="000000"/>
        </w:rPr>
        <w:t>Departamento de Ciência Política</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bCs/>
          <w:color w:val="000000"/>
        </w:rPr>
      </w:pPr>
      <w:r w:rsidRPr="00771368">
        <w:rPr>
          <w:bCs/>
          <w:color w:val="000000"/>
        </w:rPr>
        <w:t>Faculdade de Filosofia, Letras e Ciências Humanas</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bCs/>
          <w:color w:val="000000"/>
        </w:rPr>
      </w:pPr>
      <w:r w:rsidRPr="00771368">
        <w:rPr>
          <w:bCs/>
          <w:color w:val="000000"/>
        </w:rPr>
        <w:t>Universidade de São Paulo – USP</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bCs/>
          <w:color w:val="000000"/>
          <w:lang w:val="es-ES"/>
        </w:rPr>
      </w:pPr>
      <w:r w:rsidRPr="00771368">
        <w:rPr>
          <w:bCs/>
          <w:color w:val="000000"/>
          <w:lang w:val="es-ES"/>
        </w:rPr>
        <w:t>Orientador Prof Dr. Adrian Gurza Lavalle</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1134"/>
        <w:jc w:val="both"/>
        <w:rPr>
          <w:color w:val="000000"/>
          <w:lang w:val="es-ES"/>
        </w:rPr>
      </w:pP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1134"/>
        <w:jc w:val="both"/>
        <w:rPr>
          <w:color w:val="000000"/>
        </w:rPr>
      </w:pP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color w:val="000000"/>
        </w:rPr>
      </w:pPr>
      <w:r w:rsidRPr="00771368">
        <w:rPr>
          <w:b/>
          <w:color w:val="000000"/>
        </w:rPr>
        <w:t>Introdução</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1A1A1A"/>
        </w:rPr>
      </w:pPr>
      <w:r w:rsidRPr="00771368">
        <w:rPr>
          <w:color w:val="000000"/>
        </w:rPr>
        <w:t xml:space="preserve">O presente artigo </w:t>
      </w:r>
      <w:r w:rsidRPr="00771368">
        <w:t xml:space="preserve">pretende analisar o desenvolvimento e as mudanças no repertório, nas formas de organização e na agenda política do movimento feminista brasileiro, </w:t>
      </w:r>
      <w:r w:rsidRPr="00771368">
        <w:rPr>
          <w:color w:val="000000"/>
        </w:rPr>
        <w:t xml:space="preserve">entre a reabertura democrática na década de 1980 e a primeira década do século XXI.  Buscaremos realizar tal análise </w:t>
      </w:r>
      <w:r w:rsidRPr="00771368">
        <w:rPr>
          <w:color w:val="1A1A1A"/>
        </w:rPr>
        <w:t xml:space="preserve">valendo-se da abordagem da </w:t>
      </w:r>
      <w:r w:rsidRPr="00771368">
        <w:rPr>
          <w:i/>
          <w:color w:val="1A1A1A"/>
        </w:rPr>
        <w:t>Contentious Politics</w:t>
      </w:r>
      <w:r w:rsidRPr="00771368">
        <w:rPr>
          <w:color w:val="1A1A1A"/>
        </w:rPr>
        <w:t xml:space="preserve"> enquanto referencial teórico-analítico.</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t>Interessam-nos particularmente dois focos de análise: por um lado, o seu posicionamento frente ao Estado, que varia de uma situação de oposição, ou mesmo de descrença/indiferença, até uma busca direta pela incidência sobre políticas públicas e atuação nos espaços do próprio estado, seja pela via partidária, seja via instituições participativas. A esse processo, que conforme pretendemos demonstrar não é linear, denominamos de institucionalização do movimento feminista.</w:t>
      </w:r>
    </w:p>
    <w:p w:rsidR="00D24E61" w:rsidRPr="00771368" w:rsidRDefault="00D24E61" w:rsidP="00D24E61">
      <w:pPr>
        <w:spacing w:after="120" w:line="360" w:lineRule="auto"/>
        <w:ind w:firstLine="1134"/>
        <w:jc w:val="both"/>
      </w:pPr>
      <w:r w:rsidRPr="00771368">
        <w:t>Por outro e de forma simultânea, nos interessa também analisar como e em que momentos ocorreu a atuação para além das fronteiras nacionais das feministas e em que medida isso influenciou os repertories e a política local, e vice versa. Vale destacar nosso foco estará centrado na experiência brasileira e em que medida ela se relaciona com esferas extra nacionais. A essa lente analítica denominaremos ativismo transnacional.</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Ao final, esperamos ter demonstrado que os repertórios e estratégias de atuação do movimento, seja do ponto de vista de sua relação com o Estado, seja do ponto de vista da atuação transnacional se modificam conforme a estrutura de oportunidades políticas de um dado momento histórico. Ainda, que os dois processos sobre os quais focamos nossa análise são independentes, mas que ocorrem simultaneamente, influenciando-se mutuamente. Por fim, eles não são lineares: mudanças nos repertórios e nas estratégias coexistem com as formas anteriores. No nosso exemplo analisado: continuam a haver marchas, passeatas, protestos, em conjunto com a canalização e institucionalização da participação desses atores. Mais do que isso, parece ser útil e mais eficaz investir pelas duas vias: uma de proposição e colaboração e outra de pressão e confronto.</w:t>
      </w:r>
    </w:p>
    <w:p w:rsidR="00D24E61" w:rsidRPr="00771368" w:rsidRDefault="00D24E61" w:rsidP="00D24E61">
      <w:pPr>
        <w:spacing w:after="120" w:line="360" w:lineRule="auto"/>
      </w:pPr>
    </w:p>
    <w:p w:rsidR="00D24E61" w:rsidRPr="00771368" w:rsidRDefault="00D24E61" w:rsidP="00D24E61">
      <w:pPr>
        <w:spacing w:after="120" w:line="360" w:lineRule="auto"/>
        <w:rPr>
          <w:b/>
        </w:rPr>
      </w:pPr>
      <w:r w:rsidRPr="00771368">
        <w:rPr>
          <w:b/>
        </w:rPr>
        <w:t>Marcos teórico-analíticos</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Nossa análise terá como referencial teórico a chamada Teoria do Processo Político ou da Política do Confronto (</w:t>
      </w:r>
      <w:r w:rsidRPr="00771368">
        <w:rPr>
          <w:i/>
          <w:iCs/>
          <w:color w:val="000000"/>
        </w:rPr>
        <w:t>Contentious Politics)</w:t>
      </w:r>
      <w:r w:rsidRPr="00771368">
        <w:rPr>
          <w:color w:val="000000"/>
        </w:rPr>
        <w:t xml:space="preserve">, da qual constituem nomes de referência Doug Mc Adam, Sidney Tarrow e Charles Tilly.  Conforme aponta BRINGEL (2011), no campo teórico do Estudo dos movimentos sociais é crescente a influência do projeto </w:t>
      </w:r>
      <w:r w:rsidRPr="00771368">
        <w:rPr>
          <w:i/>
          <w:iCs/>
          <w:color w:val="000000"/>
        </w:rPr>
        <w:t xml:space="preserve">contentious politics </w:t>
      </w:r>
      <w:r w:rsidRPr="00771368">
        <w:rPr>
          <w:iCs/>
          <w:color w:val="000000"/>
        </w:rPr>
        <w:t>para a Europa</w:t>
      </w:r>
      <w:r w:rsidRPr="00771368">
        <w:rPr>
          <w:color w:val="000000"/>
        </w:rPr>
        <w:t xml:space="preserve">, que apos o recuo das teorias dos novos movimentos sociais, não constituiu uma nova escola ou referencial teórico com densidade. Por outro lado, deve-se reconhecer que a própria abordagem da </w:t>
      </w:r>
      <w:r w:rsidRPr="00771368">
        <w:rPr>
          <w:i/>
          <w:color w:val="000000"/>
        </w:rPr>
        <w:t>contentious politics</w:t>
      </w:r>
      <w:r w:rsidRPr="00771368">
        <w:rPr>
          <w:color w:val="000000"/>
        </w:rPr>
        <w:t xml:space="preserve"> sofreu grandes mudanças, entre 1960 e o presente, num dialogo frutífero com as próprias escolas européias, deslocando-se do seu estruturalismo e incorporando dimensões culturais e cognitivas. Por sua vez, na América Latina, palco intensas e recentes experiências de mobilização, outrora com reduzido intercâmbio com as teorias americanas, tem também gradualmente incorporado essa abordagem analítica.</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 xml:space="preserve">A </w:t>
      </w:r>
      <w:r w:rsidRPr="00771368">
        <w:rPr>
          <w:i/>
          <w:color w:val="000000"/>
        </w:rPr>
        <w:t>Contetious Politics</w:t>
      </w:r>
      <w:r w:rsidRPr="00771368">
        <w:rPr>
          <w:color w:val="000000"/>
        </w:rPr>
        <w:t xml:space="preserve"> </w:t>
      </w:r>
      <w:r w:rsidRPr="00771368">
        <w:rPr>
          <w:color w:val="131313"/>
        </w:rPr>
        <w:t>tem como premissa a compreensão de que</w:t>
      </w:r>
      <w:r w:rsidRPr="00771368">
        <w:t xml:space="preserve"> Estado e sociedade civil são mutuamente constitutivos, e estão inseridos em processos sociais, históricos e políticos, que ao longo do tempo, vão se moldando um ao outro</w:t>
      </w:r>
      <w:r w:rsidRPr="00771368">
        <w:rPr>
          <w:color w:val="000000"/>
        </w:rPr>
        <w:t xml:space="preserve">. Ela também permite uma visão dinâmica da relação entre sociedade e estado: todos os atores podem, em um dado momento, estar no Estado. Isto e, não estabelece uma fronteira entre sociedade e instituições (relações entre Estado e mobilizações), partido e movimento, formas de ação institucionalizadas e não-institucionalizadas. </w:t>
      </w:r>
      <w:r w:rsidRPr="00771368">
        <w:t>Nesse sentido, TARROW e MCADAM (2011) apontam a conexão entre movimentos sociais e a política formal, destacando o papel cumprido pelos movimentos sociais em eleições, especialmente em momentos de transição de regimes políticos, chegando a serem indissociáveis desse processo. O significado teórico geral das eleições está no fato de ser ela um momento de alteração das oportunidades e ameaças.</w:t>
      </w:r>
    </w:p>
    <w:p w:rsidR="00D24E61" w:rsidRPr="00771368" w:rsidRDefault="00D24E61" w:rsidP="00D24E61">
      <w:pPr>
        <w:pStyle w:val="Default"/>
        <w:spacing w:after="120" w:line="360" w:lineRule="auto"/>
        <w:ind w:firstLine="1134"/>
        <w:jc w:val="both"/>
      </w:pPr>
      <w:r w:rsidRPr="00771368">
        <w:t xml:space="preserve">Outro ponto interessante é que ela traz um arcabouço conceitual para compreender como ocorrem mudanças nos repertórios de ação política dos atores em face das mudanças na estrutura de oportunidades políticas. Isto é, como tipos de regimes políticos (democracias, autoritarismos) afetam os repertórios dos movimentos sociais e vice-versa, e que alterações na estrutura de oportunidades políticas (ou oportunidades e ameaças, numa versão menos estruturalista), propiciam alterações e mudanças em ambos. Como exemplo, temos que os momentos de transição de regimes políticos proporcionam oportunidades para o surgimento de novos atores, estabelecimento de novas alianças e criação de amplas frentes de coalizão. </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1A1A1A"/>
        </w:rPr>
      </w:pPr>
      <w:r w:rsidRPr="00771368">
        <w:rPr>
          <w:color w:val="000000"/>
        </w:rPr>
        <w:t xml:space="preserve">Por fim, TARROW (2005) contribui significativamente ao inserir a questão da escala territorial na sua análise. Ele se propõe a identificar e rastrear os processos que ligam o interno ao nível internacional de ativismo, e como esses processos se inserem em um quadro mais geral de internacionalização. Tendo como pressuposto de que o que existência de movimentos sociais e ativista que atuam para além das fronteiras do Estado nacional é tão antiga quanto o próprio fenômenos dos movimentos sociais, o diferencial e </w:t>
      </w:r>
      <w:r w:rsidRPr="00771368">
        <w:rPr>
          <w:color w:val="1A1A1A"/>
        </w:rPr>
        <w:t>mais interessante dos fenômenos atuais de ativismo transnacional são tanto a sua conexão com a onda atual de a globalização e sua relação com a mudança na estrutura da política internacional</w:t>
      </w:r>
      <w:r w:rsidRPr="00771368">
        <w:rPr>
          <w:rStyle w:val="Refdenotaderodap"/>
          <w:color w:val="1A1A1A"/>
        </w:rPr>
        <w:footnoteReference w:id="42"/>
      </w:r>
      <w:r w:rsidRPr="00771368">
        <w:rPr>
          <w:color w:val="1A1A1A"/>
        </w:rPr>
        <w:t xml:space="preserve">. </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b/>
          <w:bCs/>
          <w:color w:val="1A1A1A"/>
        </w:rPr>
      </w:pPr>
      <w:r w:rsidRPr="00771368">
        <w:rPr>
          <w:color w:val="1A1A1A"/>
        </w:rPr>
        <w:t>Assim, o Internacionalismo proporciona estruturas (</w:t>
      </w:r>
      <w:r w:rsidRPr="00771368">
        <w:rPr>
          <w:i/>
          <w:color w:val="1A1A1A"/>
        </w:rPr>
        <w:t>frames</w:t>
      </w:r>
      <w:r w:rsidRPr="00771368">
        <w:rPr>
          <w:color w:val="1A1A1A"/>
        </w:rPr>
        <w:t xml:space="preserve">) para a ação coletiva, criando simultaneamente oportunidades e ameaças e proporcionando ações de cooptação, conflito e cooperação. </w:t>
      </w:r>
      <w:r w:rsidRPr="00771368">
        <w:rPr>
          <w:bCs/>
          <w:color w:val="1A1A1A"/>
        </w:rPr>
        <w:t>As instituições internacionais</w:t>
      </w:r>
      <w:r w:rsidRPr="00771368">
        <w:rPr>
          <w:color w:val="1A1A1A"/>
        </w:rPr>
        <w:t>, regimes e processos não são a expressão da democracia, uma sociedade civil</w:t>
      </w:r>
      <w:r w:rsidRPr="00771368">
        <w:rPr>
          <w:bCs/>
          <w:color w:val="1A1A1A"/>
        </w:rPr>
        <w:t xml:space="preserve"> </w:t>
      </w:r>
      <w:r w:rsidRPr="00771368">
        <w:rPr>
          <w:color w:val="1A1A1A"/>
        </w:rPr>
        <w:t xml:space="preserve">global, ou um sistema de governo mundial: </w:t>
      </w:r>
      <w:r w:rsidRPr="00771368">
        <w:rPr>
          <w:bCs/>
          <w:color w:val="1A1A1A"/>
        </w:rPr>
        <w:t xml:space="preserve">são arenas </w:t>
      </w:r>
      <w:r w:rsidRPr="00771368">
        <w:rPr>
          <w:color w:val="1A1A1A"/>
        </w:rPr>
        <w:t>em que os atores não estatais e estatais, conservadores e progressistas, globais e antiglobal, religiosa e secular cruzam e disputam hegemonia política e poder.</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sidRPr="00771368">
        <w:rPr>
          <w:b/>
          <w:bCs/>
          <w:color w:val="000000"/>
        </w:rPr>
        <w:t>O movimento feminista brasileiro após a reabertura democrática</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Definir o que é passível de ser considerado movimento feminista é uma tarefa árdua e passível de inúmeras controvérsias. Para este artigo, buscamos considerar todos aqueles movimentos em que há um forte protagonismo feminino e cujas bandeiras se articulam no combate às desigualdades entre homens e mulheres. Tal definição ampla e propositalmente vaga, proporciona abarcar uma enorme variedade de organizações e atrizes, formas de ação e bandeiras especificas, que vão desde direitos trabalhistas, passando por direitos políticos, produção do conhecimento e educação não-sexista até temas relacionados à sexualidade.</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Visto desse modo, o movimento feminista é um ponto de confluência de inúmeros movimentos, e acaba por ser também uma confluência de atrizes em sua grande parte, com dupla militância. A solidariedade e compartilhamento de valores residem na identidade de ser mulher e estar submetida à mesma situação de injustiça frente a um tratamento desigual e inferior em relação aos homens (SOARES, 1998).</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 xml:space="preserve">No Brasil, o movimento feminista no Brasil só ganha densidade em finais da década de 1970, durante a transição e abertura da ditadura militar para um regime democrático, na confluência do </w:t>
      </w:r>
      <w:r w:rsidRPr="00771368">
        <w:rPr>
          <w:b/>
          <w:color w:val="000000"/>
        </w:rPr>
        <w:t>ciclo de mobilizações</w:t>
      </w:r>
      <w:r w:rsidRPr="00771368">
        <w:rPr>
          <w:rStyle w:val="Refdenotaderodap"/>
          <w:b/>
          <w:color w:val="000000"/>
        </w:rPr>
        <w:footnoteReference w:id="43"/>
      </w:r>
      <w:r w:rsidRPr="00771368">
        <w:rPr>
          <w:color w:val="000000"/>
        </w:rPr>
        <w:t xml:space="preserve"> e protestos daquele período. Cabe contudo destacar a ocorrência de algumas mobilizações de relevância em períodos anteriores, como a luta pelo direito ao voto na década de 1920, tendo Bertha Lutz como nome de referência, e lutas por igualdade de direitos trabalhistas. </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A análise do feminismo nas décadas de 70 e 80 aponta, de fato para um conjunto bastante variado de atrizes: de movimentos populares com demandas relacionadas à moradia e assistência comunitária, passando por pelo movimento estudantil, sindical, movimento negro, intelectuais e profissionais liberais de classe média, chegando até a organização de trabalhadoras rurais (SARTI, 1988, SOARES, 1998). A convergência de conjunto tão heterogêneo de atrizes é facilitada pelo caráter transversal da pauta, e potencializado pelo momento de elevado confronto e mobilização política do período.</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Cada uma delas traz, a partir de sua realidade específica, uma palavra de ordem e uma reivindicação por igualdade que se articula à dimensão de gênero</w:t>
      </w:r>
      <w:r w:rsidRPr="00771368">
        <w:rPr>
          <w:rStyle w:val="Refdenotaderodap"/>
          <w:color w:val="000000"/>
        </w:rPr>
        <w:footnoteReference w:id="44"/>
      </w:r>
      <w:r w:rsidRPr="00771368">
        <w:rPr>
          <w:color w:val="000000"/>
        </w:rPr>
        <w:t xml:space="preserve"> Disso provém a adaptabilidade e fácil articulação de demandas concretas e cotidianas com bandeiras mais gerais transformação social. Exemplo bastante conhecido é o caso do Movimento sobre o Custo de Vida em São Paulo, capitaneado pelo movimento comunitário do Clube de Mães da zona sul (SADER, 1987). </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Outro exemplo que se vincula com o período de grandes greves e mobilizações sociais é uma representatividade significativa de mulheres oriundas do movimento sindical e a incorporação da pauta feminista no seio das novas organizações sindicais (DELGADO 1998).</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Também é característica, nesse período, a participação tanto de militantes partidárias de diversas orientações políticas (MDB, PCB, PCdoB e posteriormente, o PT), quanto daquelas militantes avessas à partidarização e à política institucional como um todo, que reivindicam, portanto, uma autonomia frente a essas organizações (SARTI, 1988).</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 xml:space="preserve">Por todos esses elementos de complexidade e múltiplas relações do movimento, já no seu interior, as atrizes envolvidas no movimento feminista podem ser também analisadas pelo papel de mediadoras de arenas políticas – </w:t>
      </w:r>
      <w:r w:rsidRPr="00771368">
        <w:rPr>
          <w:i/>
          <w:iCs/>
          <w:color w:val="000000"/>
        </w:rPr>
        <w:t xml:space="preserve">explorers, entrenched or bridging leaders - </w:t>
      </w:r>
      <w:r w:rsidRPr="00771368">
        <w:rPr>
          <w:color w:val="000000"/>
        </w:rPr>
        <w:t>(MISCHE, 2008) conforme trazem das experiências e pautas de outros espaços políticos, bem como levam a abordagem feminista para suas outras organizações.</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Mais uma vez, cabe ressaltar que esse imenso turbilhão não é uma característica intrínseca do movimento feminista. Havia, naquele momento, pela heterogeneidade social do movimento, uma espécie de divisão entre o que era denominado “movimento de mulheres”, com predominância de mulheres de origem</w:t>
      </w:r>
      <w:r w:rsidRPr="00771368">
        <w:rPr>
          <w:color w:val="000000"/>
          <w:position w:val="10"/>
        </w:rPr>
        <w:t xml:space="preserve"> </w:t>
      </w:r>
      <w:r w:rsidRPr="00771368">
        <w:rPr>
          <w:color w:val="000000"/>
        </w:rPr>
        <w:t>popular e movimentos de bairro e o movimento feminista, mais ligado a estratos médios - estudantes, intelectuais e sindicalismo de classe média (SOARES, 1998).</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As diferentes conformações sociais e intersecções com outros movimentos tiveram reflexo direto na constituição do repertório desse movimento, que por vezes se comportava de forma heterogênea, com diferentes estratégias que se mesclam ao longo do tempo: grandes mobilizações, associações locais, educação popular, pressão parlamentar, participação em governos, estabelecimento de políticas públicas experimentais.</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A convergência desse conjunto de atrizes tão heterogêneas parecia ocorrer em função do ciclo de mobilização daquele período, onde se vivencia uma crise política, econômica e social, de modo que a política transpunha as bordas do cotidiano (SOARES, 1998; TARROW, 1995). TILLY (2006b) observa que é justamente o momento de transição de regimes o momento mais favorável para o fenômeno de movimentos sociais, pois há variações relevantes na estrutura de oportunidades políticas: o regime anterior está enfraquecido e, portanto, com menos capacidade tanto para reprimir, quanto para atender demandas. O novo regime ainda não está conformado e com isso há uma desconcentração e multiplicação dos centros de poder, o que por sua vez torna os alinhamentos políticos instáveis e amplia a possibilidade de novos ou diferentes tipos de alianças.</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pPr>
      <w:r w:rsidRPr="00771368">
        <w:rPr>
          <w:color w:val="000000"/>
        </w:rPr>
        <w:t>Também já naquele momento, de forma semelhante ao vivenciado pelo movimento sanitarista (DOWBOR, 2009), o movimento feminista combina a mobilização e o confronto político com a disputa por espaços institucionais. Tendo como bandeira geral de vários movimentos a luta em torno das Diretas Já, e d</w:t>
      </w:r>
      <w:r w:rsidRPr="00771368">
        <w:t>a participação política, que, para além de uma defesa de eleições livres, estava articulada a uma crítica ao conjunto das instituições políticas e organização do Estado.</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Exemplo disso é a transição observada na abordagem do movimento face à temática da violência contra a mulher. Conforme relata IZUMINO (2004), a primeira tentativa de combate à violência doméstica ocorreu com a criação do SOS Mulher, que prestava atendimento psicológico e jurídico às mulheres vitimas de violência. Por divergências dentro do movimento feminista sobre o enfoque desse atendimento, essa experiência acabou por ser extinta.</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Após o vácuo deixado pelo fim do SOS Mulher, uma nova articulação entre setores do movimento feminista culminou com a institucionalização do Conselho Estadual da Condição Feminina, que por sua vez teve como primeira iniciativa a criação da primeira Delegacia de Defesa da Mulher, no Estado de São Paulo em 1985. O Conselho Nacional de Direitos da Mulher, talvez não por influência direta, mas fruto do impacto e repercussão dessas iniciativas também é criado no mesmo ano (SARTI, 1988).</w:t>
      </w:r>
    </w:p>
    <w:p w:rsidR="00D24E61" w:rsidRPr="00771368" w:rsidRDefault="00D24E61" w:rsidP="00D24E61">
      <w:pPr>
        <w:spacing w:after="120" w:line="360" w:lineRule="auto"/>
        <w:ind w:firstLine="1134"/>
        <w:jc w:val="both"/>
      </w:pPr>
      <w:r w:rsidRPr="00771368">
        <w:rPr>
          <w:color w:val="000000"/>
        </w:rPr>
        <w:t xml:space="preserve">Assim, o processo de criação dos Conselhos de Direitos da Mulher como estrutura híbrida que reúne Estado e representantes de organizações e movimentos da sociedade civil ocorre antes mesmo da primeira eleição presidencial direta. </w:t>
      </w:r>
      <w:r w:rsidRPr="00771368">
        <w:t>Cuida-se de uma trama complexa, um campo que envolve um imbricamento e sobreposição de atores que transitam entre associações, movimentos sociais, partidos políticos, estruturas do Estado.</w:t>
      </w:r>
    </w:p>
    <w:p w:rsidR="00D24E61" w:rsidRPr="00771368" w:rsidRDefault="00D24E61" w:rsidP="00D24E61">
      <w:pPr>
        <w:spacing w:after="120" w:line="360" w:lineRule="auto"/>
        <w:ind w:firstLine="1134"/>
        <w:jc w:val="both"/>
      </w:pPr>
      <w:r w:rsidRPr="00771368">
        <w:t xml:space="preserve">Isso antecipa uma tendência que será observada nas décadas seguintes: a transição da participação da posição de bandeira crítica às instituições políticas, à parte da linguagem jurídica do Estado, a partir de um conjunto de inovações institucionais que pluralizam as formas de participação extra-eleições, proporcionando uma quebra no aparente antagonismo entre representação e participação. (GURZA LAVALLE, HOUTZAGER, CASTELLO, 2011). </w:t>
      </w:r>
    </w:p>
    <w:p w:rsidR="00D24E61" w:rsidRPr="00771368" w:rsidRDefault="00D24E61" w:rsidP="00D24E61">
      <w:pPr>
        <w:tabs>
          <w:tab w:val="left" w:pos="1260"/>
        </w:tabs>
        <w:spacing w:line="360" w:lineRule="auto"/>
        <w:ind w:firstLine="1080"/>
        <w:jc w:val="both"/>
      </w:pPr>
      <w:r w:rsidRPr="00771368">
        <w:t>Com o surgimento e consolidação de novos partidos e às vésperas da eleição da Constituinte, o tema sobre participação das mulheres na política, e a institucionalização de direitos irá dominar o cenário político. O movimento feminista fez uma forte e organizada pressão no Congresso e a Constituição de 1988 acabou por incorporar uma série de direitos para as mulheres, especialmente nas áreas cível e trabalhista. Por outro lado, a legalização do aborto</w:t>
      </w:r>
      <w:r w:rsidRPr="00771368">
        <w:rPr>
          <w:rStyle w:val="Refdenotaderodap"/>
        </w:rPr>
        <w:footnoteReference w:id="45"/>
      </w:r>
      <w:r w:rsidRPr="00771368">
        <w:t>, muito cara ao movimento feminista, foi derrotada pelos setores religiosos, apesar do apoio naquele momento de outros movimentos sociais, como o sindical e alguns partidos, como o PT e PMDB, (BARSTED, 1992).</w:t>
      </w:r>
    </w:p>
    <w:p w:rsidR="00D24E61" w:rsidRPr="00771368" w:rsidRDefault="00D24E61" w:rsidP="00D24E61">
      <w:pPr>
        <w:tabs>
          <w:tab w:val="left" w:pos="1260"/>
        </w:tabs>
        <w:spacing w:line="360" w:lineRule="auto"/>
        <w:ind w:firstLine="1080"/>
        <w:jc w:val="both"/>
      </w:pPr>
      <w:r w:rsidRPr="00771368">
        <w:t xml:space="preserve">O momento seguinte à Constituinte é o das eleições presidenciais de 1989, onde concorreram nada menos que 22 candidatos, evidenciando a multiplicidade de centros de poder e instabilidade do regime. A eleição de Collor e o seu curto mandato interrompido por um </w:t>
      </w:r>
      <w:r w:rsidRPr="00771368">
        <w:rPr>
          <w:i/>
        </w:rPr>
        <w:t xml:space="preserve">impeachement, </w:t>
      </w:r>
      <w:r w:rsidRPr="00771368">
        <w:t>agudizam a crise política e econômica por um lado, mas por outro sinalizam o encerramento de mais de uma década de transição de regimes políticos e de ciclos de mobilização. Os antigos centros de poder e partidos políticos começam a se recompor e o impossível já não parece tão possível.</w:t>
      </w:r>
    </w:p>
    <w:p w:rsidR="00D24E61" w:rsidRPr="00771368" w:rsidRDefault="00D24E61" w:rsidP="00D24E61">
      <w:pPr>
        <w:tabs>
          <w:tab w:val="left" w:pos="1260"/>
        </w:tabs>
        <w:spacing w:before="120" w:after="120" w:line="360" w:lineRule="auto"/>
        <w:ind w:firstLine="1077"/>
        <w:jc w:val="both"/>
      </w:pPr>
      <w:r w:rsidRPr="00771368">
        <w:t>O deslocamento da análise da literatura de movimentos sociais para um conceito ampliado de sociedade civil parece responder, portanto, a uma “saída de cena” das grandes mobilizações. Não é que aquele conjunto de atores que organizava grandes marchas e passeatas tenha deixado de existir, eles ainda estão lá, mas com ajustes em seus repertórios de ação, conforme as oportunidades políticas daquele momento, de maior estabilidade política e, portanto, menores possibilidades de confronto. Em busca de novidades, a literatura dos anos 1990 se concentra em ONGs, que, depois se demonstraram campo pouco frutífero de análises (GURZA LAVALLE, 2003).</w:t>
      </w:r>
    </w:p>
    <w:p w:rsidR="00D24E61" w:rsidRPr="00771368" w:rsidRDefault="00D24E61" w:rsidP="00D24E61">
      <w:pPr>
        <w:tabs>
          <w:tab w:val="left" w:pos="1260"/>
        </w:tabs>
        <w:spacing w:before="120" w:after="120" w:line="360" w:lineRule="auto"/>
        <w:ind w:firstLine="1077"/>
        <w:jc w:val="both"/>
      </w:pPr>
      <w:r w:rsidRPr="00771368">
        <w:t>O movimento feminista segue, portanto, o padrão de descenso de mobilização e, com número de participantes reduzido em termos de capacidade de pressão social, passa a concentrar seus esforços em atuação de lobby e pressão parlamentar ou em ONGs. A busca de alianças e articulações no âmbito internacional também parece ganhar força com o cenário nacional pouco favorável.</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b/>
          <w:color w:val="000000"/>
        </w:rPr>
      </w:pPr>
      <w:r w:rsidRPr="00771368">
        <w:rPr>
          <w:b/>
          <w:color w:val="000000"/>
        </w:rPr>
        <w:t>Internacionalização</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color w:val="000000"/>
        </w:rPr>
      </w:pPr>
      <w:r w:rsidRPr="00771368">
        <w:rPr>
          <w:color w:val="000000"/>
        </w:rPr>
        <w:tab/>
      </w:r>
      <w:r w:rsidRPr="00771368">
        <w:rPr>
          <w:color w:val="000000"/>
        </w:rPr>
        <w:tab/>
        <w:t xml:space="preserve">A articulação internacional do movimento feminista brasileiro, contudo, já era um elemento encontrado desde o inicio de década de 1980. Nesse período se destacava em importância um espaço de articulação regional chamado de </w:t>
      </w:r>
      <w:r w:rsidRPr="00771368">
        <w:rPr>
          <w:i/>
          <w:color w:val="000000"/>
        </w:rPr>
        <w:t>”Encuentros Feministas Latino Americano y Caribeño</w:t>
      </w:r>
      <w:r w:rsidRPr="00771368">
        <w:rPr>
          <w:color w:val="000000"/>
        </w:rPr>
        <w:t xml:space="preserve">”. Esses espaços foram centrais para forjar uma identidade e imaginário feminista para a região, cuja referência ideológica se situava na esquerda partidária, mas com a qual muitas vezes ocorreram enfrentamentos, em função da subordinação do feminismo a outras pautas como a desigualdade social. Os </w:t>
      </w:r>
      <w:r w:rsidRPr="00771368">
        <w:rPr>
          <w:i/>
          <w:color w:val="000000"/>
        </w:rPr>
        <w:t>Encuentros</w:t>
      </w:r>
      <w:r w:rsidRPr="00771368">
        <w:rPr>
          <w:color w:val="000000"/>
        </w:rPr>
        <w:t xml:space="preserve"> funcionavam como um espaço de articulação e troca de experiências: aprofundamento de debates, identificação de pautas prioritárias e estratégias para atuação em âmbito local. Nesses espaços o movimento feminista latino Americano elaborou a questão da autonomia frente a outros movimentos e aos partidos políticos, gerou laços de solidariedade e uma cultura de organização horizontal e fluida, numa lógica mais próxima de idéia de rede (ALVAREZ, 2000). Além de forjar uma identidade latino-americana comum, os </w:t>
      </w:r>
      <w:r w:rsidRPr="00771368">
        <w:rPr>
          <w:i/>
          <w:color w:val="000000"/>
        </w:rPr>
        <w:t>encuentros</w:t>
      </w:r>
      <w:r w:rsidRPr="00771368">
        <w:rPr>
          <w:color w:val="000000"/>
        </w:rPr>
        <w:t xml:space="preserve"> feministas também tiveram como função dar visibilidade à pauta, em países onde há forte presença da Igreja Católica muitas vezes tentou bloquear qualquer espaço para o debate.</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TARROW (2005) identifica esses processos como uma influência do local pelo global. No caso, a troca de experiências das ativistas em si constitui um processo de difusão de repertórios e de tradução destes para a realidade local de cada uma delas. Situada no fluxo de trocas das redes de movimentos sociais, a tradução “é definida como um esforço para reforçar as convergências e sinergias a partir da diversidade e de um impulso contra-hegemônico” (BRINGEL, 2011). São esses processos que possibilitam que as ativistas tenham um marco interpretativo global (</w:t>
      </w:r>
      <w:r w:rsidRPr="00771368">
        <w:rPr>
          <w:i/>
          <w:color w:val="000000"/>
        </w:rPr>
        <w:t>global framing</w:t>
      </w:r>
      <w:r w:rsidRPr="00771368">
        <w:rPr>
          <w:color w:val="000000"/>
        </w:rPr>
        <w:t>), relacionando pautas e símbolos internacionais a questões locais. A partir da construção de uma identidade comum e de laços de solidariedade entre as feministas latino-americanas, há um caminho facilitado para que, na década seguinte, com o cenário nacional menos favorável às mobilizações, haja uma mudança de arena de atuação prioritária.</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Em 1994 e 1995 a ONU realiza, respectivamente, as Conferências sobre População e Desenvolvimento (Cairo) e sobre a eliminação de todas as formas de discriminação contra as Mulheres (Pequim)</w:t>
      </w:r>
      <w:r w:rsidRPr="00771368">
        <w:rPr>
          <w:rStyle w:val="Refdenotaderodap"/>
          <w:color w:val="000000"/>
        </w:rPr>
        <w:footnoteReference w:id="46"/>
      </w:r>
      <w:r w:rsidRPr="00771368">
        <w:rPr>
          <w:color w:val="000000"/>
        </w:rPr>
        <w:t xml:space="preserve">. A partir do estímulo </w:t>
      </w:r>
      <w:r w:rsidRPr="00771368">
        <w:rPr>
          <w:i/>
          <w:color w:val="000000"/>
        </w:rPr>
        <w:t>top-down</w:t>
      </w:r>
      <w:r w:rsidRPr="00771368">
        <w:rPr>
          <w:color w:val="000000"/>
        </w:rPr>
        <w:t xml:space="preserve"> via financiamento das agencias internacionais como a UNIFEM, diversas ONGs surgiram na América Latina e Caribe e se organizaram com vistas ao processo de </w:t>
      </w:r>
      <w:r w:rsidRPr="00771368">
        <w:rPr>
          <w:i/>
          <w:color w:val="000000"/>
        </w:rPr>
        <w:t>lobby</w:t>
      </w:r>
      <w:r w:rsidRPr="00771368">
        <w:rPr>
          <w:color w:val="000000"/>
        </w:rPr>
        <w:t xml:space="preserve"> e </w:t>
      </w:r>
      <w:r w:rsidRPr="00771368">
        <w:rPr>
          <w:i/>
          <w:color w:val="000000"/>
        </w:rPr>
        <w:t>advocacy</w:t>
      </w:r>
      <w:r w:rsidRPr="00771368">
        <w:rPr>
          <w:color w:val="000000"/>
        </w:rPr>
        <w:t xml:space="preserve"> para a Conferência de Beijing (ALVAREZ, 2000).</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No Brasil, esse processo propicia o surgimento da Articulação de Mulheres Brasileiras (AMB), a partir de ONGs e organizações feministas do sudeste, já mais consolidadas, juntamente com Fóruns Locais de Mulheres estruturadas em diversas regiões de menor forca do movimento feminista, como norte e nordeste (ALVAREZ, 2000).</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Desde a Declaração de Beijing, tratando pela primeira vez de forma explícita do reconhecimento de dos “Direitos Humanos das Mulheres” e de “Direitos Sexuais e Reprodutivos”, a prioridade de grande parte das organizações feministas têm sido de que os Estados nacionais positivem e implementem as políticas deliberadas nessas Conferências. Dessa forma, intensifica-se ainda mais a postura de priorizar a ações de pressão junto aos parlamentos.</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Exemplo bem-sucedido do processo denominado externalização</w:t>
      </w:r>
      <w:r w:rsidRPr="00771368">
        <w:rPr>
          <w:rStyle w:val="Refdenotaderodap"/>
          <w:color w:val="000000"/>
        </w:rPr>
        <w:footnoteReference w:id="47"/>
      </w:r>
      <w:r w:rsidRPr="00771368">
        <w:rPr>
          <w:color w:val="000000"/>
        </w:rPr>
        <w:t xml:space="preserve"> (TARROW, 2005), numa conjugação de pressão de organismos internacionais e pressão interna, é o caso da elaboração e aprovação da Lei Maria da Penha. Em 2001, após relatório da OEA que condenou o Brasil, cresce a pressão interna por elaboração de legislação específica. No ano seguinte, ocorre a criação de um consórcio de ONGs feministas com vistas à elaboração de um projeto com vistas a combater a violência contra a mulher, dentro da perspectiva dos direitos humanos e de atenção e suporte à vítima (WIECKO, 2007).</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A criação da Secretaria Especial de Políticas Para Mulheres no então recém- eleito governo Lula, certamente contribuiu para facilitar e acelerar o processo de tramitação do projeto. Conforme consta da exposição de motivos, ainda em março de 2004, foi entregue pelo consórcio de ONGs uma proposta de anteprojeto, que serviu de subsídio ao Grupo de Trabalho Interministerial, responsável pela elaboração e encaminhamento de projeto de lei de combate à violência doméstica contra a mulher ao Congresso (PRESIDÊNCIA, 2004).</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jc w:val="both"/>
        <w:rPr>
          <w:b/>
          <w:color w:val="000000"/>
        </w:rPr>
      </w:pPr>
      <w:r w:rsidRPr="00771368">
        <w:rPr>
          <w:b/>
          <w:color w:val="000000"/>
        </w:rPr>
        <w:t>Mobilização e Institucionalização como estratégias simultâneas</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 xml:space="preserve">Partindo do exemplo acima, na primeira década do século XXI, é crescente o interesse da análise de novos espaços de interação entre movimentos e Estado. Seja pela continuidade de arranjos já estabelecidos, como o Conselho Nacional de Políticas para Mulheres, mas também pela criação de novos. </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Exemplo do estabelecimento de canais institucionalizados para o recebimento de demandas por parte dos atores externos ao Governo são as três Conferências Nacionais de Políticas para Mulheres</w:t>
      </w:r>
      <w:r w:rsidRPr="00771368">
        <w:rPr>
          <w:rStyle w:val="Refdenotaderodap"/>
          <w:color w:val="000000"/>
        </w:rPr>
        <w:footnoteReference w:id="48"/>
      </w:r>
      <w:r w:rsidRPr="00771368">
        <w:rPr>
          <w:color w:val="000000"/>
        </w:rPr>
        <w:t xml:space="preserve"> realizadas entre 2003 e 2011, que tiveram como desdobramento a elaboração de um plano com diretrizes para políticas públicas em diferentes áreas do governo. </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left="1134"/>
        <w:jc w:val="both"/>
        <w:rPr>
          <w:color w:val="000000"/>
        </w:rPr>
      </w:pPr>
      <w:r w:rsidRPr="00771368">
        <w:rPr>
          <w:color w:val="000000"/>
        </w:rPr>
        <w:t>Assim, a I Conferência Nacional de Políticas para Mulheres (CNPM), realizada em 2004, envolveu mais de 120 mil pessoas nas plenárias municipais, em cerca de 2.000 municípios, e nas conferências estaduais em todas as unidades da federação, tendo em sua etapa nacional, em Brasília 1.787 delegadas governamentais e da sociedade civil. Como resultado final, foi aprovado um conjunto de resoluções. Subseqüentemente, foi instituído um grupo de trabalho com representantes da sociedade civil e do governo, que se encarregou de elaborar, com base nessas diretrizes, um plano de ação, que se chamou Plano Nacional de Políticas para as Mulheres (PNPM) (BRANDT; BEZERRA, 2011).</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 xml:space="preserve">Contudo, o processo de institucionalização do movimento rumo a uma interação direta com o Estado não e linear e não exclui a coexistência de outras estratégias de atuação, conforme de alterem as arenas e, como conseqüência, as oportunidades políticas. No mesmo período, e de forma simultânea a inovação institucional e interação com o Estado, os movimentos sociais parecem retomar suas mobilizações de rua, após o descenso observado anteriormente. </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 xml:space="preserve">Tal retomada tem também forte impulso internacional, não mais com estímulo </w:t>
      </w:r>
      <w:r w:rsidRPr="00771368">
        <w:rPr>
          <w:i/>
          <w:color w:val="000000"/>
        </w:rPr>
        <w:t>top-down</w:t>
      </w:r>
      <w:r w:rsidRPr="00771368">
        <w:rPr>
          <w:color w:val="000000"/>
        </w:rPr>
        <w:t xml:space="preserve">, mas justamente motivado a partir de protestos contra instituições internacionais, notadamente os movimentos antiglobalização, cujos marcos são os protestos de Seattle, Genova e a realização do primeiro Fórum Social Mundial, espaço privilegiado para processos de difusão. Nesse grande processo que uma nova articulação internacional feminista, iniciada no Canadá e que aos poucos ganha adesão de mais de uma centena de países, a Marcha Mundial de Mulheres, passa a se destacar. </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 xml:space="preserve"> O Brasil se torna um dos países com maior capilaridade desse movimento, que também no nível nacional, se constitui como uma grande rede de mulheres de diferentes movimentos sociais: o setorial de mulheres da CUT, a Central de Movimentos Populares (CMP), Movimentos de Moradia, a Via Campesina, organizações de estudantes e diversas ONGs feministas (FARIA NOBRE, 2003). Essa diversidade de composição guarda semelhança de pautas, objetivos e até mesmo de atrizes, que se destacavam nas mobilizações da década de 1980. </w:t>
      </w:r>
    </w:p>
    <w:p w:rsidR="00D24E61" w:rsidRPr="00771368" w:rsidRDefault="00D24E61"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1134"/>
        <w:jc w:val="both"/>
        <w:rPr>
          <w:color w:val="000000"/>
        </w:rPr>
      </w:pPr>
      <w:r w:rsidRPr="00771368">
        <w:rPr>
          <w:color w:val="000000"/>
        </w:rPr>
        <w:t>Ela se diz sintonizada com “a nova referência do movimento internacional fortemente enraizada na realidade local”. E se coloca como principal desafio “conseguir vincular os debates sobre o papel das instituições internacionais e as causas da pobreza e da violência (patriarcado, capitalismo, racismo) com a vida cotidiana das mulheres”. Constituída como uma grande coalizão internacional em torno de uma temática especifica, esse parece ser um dos poucos exemplos do que TARROW (2005) denominaria de movimento social global.</w:t>
      </w:r>
    </w:p>
    <w:p w:rsidR="00D24E61" w:rsidRPr="00771368" w:rsidRDefault="00D24E61" w:rsidP="00D24E61">
      <w:pPr>
        <w:spacing w:after="120" w:line="360" w:lineRule="auto"/>
        <w:jc w:val="both"/>
        <w:rPr>
          <w:b/>
        </w:rPr>
      </w:pPr>
      <w:r w:rsidRPr="00771368">
        <w:rPr>
          <w:b/>
        </w:rPr>
        <w:t>Considerações finais</w:t>
      </w:r>
    </w:p>
    <w:p w:rsidR="00D24E61" w:rsidRPr="00771368" w:rsidRDefault="00D24E61" w:rsidP="00D24E61">
      <w:pPr>
        <w:spacing w:before="120" w:after="120" w:line="360" w:lineRule="auto"/>
        <w:ind w:firstLine="1077"/>
        <w:jc w:val="both"/>
      </w:pPr>
      <w:r w:rsidRPr="00771368">
        <w:t xml:space="preserve">A partir do referencial teórico da </w:t>
      </w:r>
      <w:r w:rsidRPr="00771368">
        <w:rPr>
          <w:i/>
        </w:rPr>
        <w:t>Contentious Politics</w:t>
      </w:r>
      <w:r w:rsidRPr="00771368">
        <w:t>, buscamos nesse artigo demonstrar, pelo percurso de um movimento social específico, como ocorrem as mudanças em seus repertórios de ação política em face das mudanças na estrutura de oportunidades políticas. Buscamos também articular a essa análise a transição da dimensões: do local para o global e vice-versa.</w:t>
      </w:r>
    </w:p>
    <w:p w:rsidR="00D24E61" w:rsidRPr="00771368" w:rsidRDefault="00D24E61" w:rsidP="00D24E61">
      <w:pPr>
        <w:spacing w:before="120" w:after="120" w:line="360" w:lineRule="auto"/>
        <w:ind w:firstLine="1077"/>
        <w:jc w:val="both"/>
      </w:pPr>
      <w:r w:rsidRPr="00771368">
        <w:t>Apresentamos o movimento feminista brasileiro, inserido dentro de um ciclo de protestos e mobilização que foi a reabertura democrática na década de 1980. Buscamos assim apresentar também como ocorrem as interações entre os diferentes atores sociais em um momento de abrupta mudança e instabilidade política, econômica e social.</w:t>
      </w:r>
    </w:p>
    <w:p w:rsidR="00D24E61" w:rsidRPr="00771368" w:rsidRDefault="00D24E61" w:rsidP="00D24E61">
      <w:pPr>
        <w:spacing w:before="120" w:after="120" w:line="360" w:lineRule="auto"/>
        <w:ind w:firstLine="1077"/>
        <w:jc w:val="both"/>
      </w:pPr>
      <w:r w:rsidRPr="00771368">
        <w:t>A análise de percurso apresenta também as mudanças no repertório na fase de descenso do ciclo de mobilizações o descarte de alguns tipos de inovação e o posterior efeito duradouro nas estruturas de mobilização social.</w:t>
      </w:r>
    </w:p>
    <w:p w:rsidR="00D24E61" w:rsidRPr="00771368" w:rsidRDefault="00D24E61" w:rsidP="00D24E61">
      <w:pPr>
        <w:spacing w:after="120" w:line="360" w:lineRule="auto"/>
        <w:ind w:firstLine="1134"/>
        <w:jc w:val="both"/>
      </w:pPr>
      <w:r w:rsidRPr="00771368">
        <w:t>Conforme sistematizam VIRREIRA, ARDAYA (2009) as vitórias do movimento feminista latino americano foram em muitas esferas, desde a política institucional, com a ampliação da participação das mulheres nos espaços formais de representação, passando pelas dimensões jurídica e de políticas públicas até a dimensão econômica e social, derrubando a fronteira entre o público e o privado e enfrentando a violência contra a mulher e trazendo à tona o debate sobre trabalho doméstico e autonomia econômica.</w:t>
      </w:r>
    </w:p>
    <w:p w:rsidR="00D24E61" w:rsidRPr="00771368" w:rsidRDefault="00D24E61" w:rsidP="00D24E61">
      <w:pPr>
        <w:spacing w:after="120" w:line="360" w:lineRule="auto"/>
        <w:ind w:firstLine="1134"/>
        <w:jc w:val="both"/>
      </w:pPr>
      <w:r w:rsidRPr="00771368">
        <w:t>Cada um dos diferentes processos vivenciados pelo movimento feminista brasileiro, condicionado historicamente pelas oportunidades políticas, acabou por gerar efeitos de longo prazo, ao menos em parte.</w:t>
      </w:r>
    </w:p>
    <w:p w:rsidR="00D24E61" w:rsidRPr="00771368" w:rsidRDefault="00D24E61" w:rsidP="00D24E61">
      <w:pPr>
        <w:spacing w:after="120" w:line="360" w:lineRule="auto"/>
        <w:ind w:firstLine="1134"/>
        <w:jc w:val="both"/>
      </w:pPr>
      <w:r w:rsidRPr="00771368">
        <w:t xml:space="preserve">As condições políticas foram se modificando e as lutas se moldando a essas novas situações. Os </w:t>
      </w:r>
      <w:r w:rsidRPr="00771368">
        <w:rPr>
          <w:i/>
        </w:rPr>
        <w:t xml:space="preserve">Encuentros </w:t>
      </w:r>
      <w:r w:rsidRPr="00771368">
        <w:t xml:space="preserve">continuam a ocorrer periodicamente e a reforçar laços de solidariedade feminista. As vitórias da Constituinte e das Conferências Internacionais como a CEDAW seguem como fortes referências e impulsionam a luta em outras localidades. Surgidas em momentos políticos distintos e a partir de um padrão diferente de articulação internacional, a Articulação de Mulheres Brasileiras (AMB) e a Marcha Mundial de Mulheres (MMM) consolidaram-se como fortes duas das principais organizações do movimento feminista brasileiro. </w:t>
      </w:r>
    </w:p>
    <w:p w:rsidR="00D24E61" w:rsidRPr="00771368" w:rsidRDefault="00D24E61" w:rsidP="00D24E61">
      <w:pPr>
        <w:spacing w:after="120" w:line="360" w:lineRule="auto"/>
        <w:ind w:firstLine="1134"/>
        <w:jc w:val="both"/>
      </w:pPr>
      <w:r w:rsidRPr="00771368">
        <w:t>A dimensão internacional, seja no sentido de traduzir bandeiras de luta transnacionais para a escala global, seja no sentido de levar experiências e bandeiras locais para o global teve, em todos esses momentos, uma forte influência e importância para o movimento, auxiliando-o em momentos de maior fechamento político no contexto nacional.</w:t>
      </w:r>
    </w:p>
    <w:p w:rsidR="00D24E61" w:rsidRPr="00771368" w:rsidRDefault="00013211" w:rsidP="00D24E61">
      <w:pPr>
        <w:spacing w:after="120" w:line="360" w:lineRule="auto"/>
        <w:ind w:firstLine="1134"/>
        <w:jc w:val="both"/>
      </w:pPr>
      <w:r>
        <w:rPr>
          <w:noProof/>
        </w:rPr>
        <w:drawing>
          <wp:anchor distT="0" distB="0" distL="114300" distR="114300" simplePos="0" relativeHeight="251614720" behindDoc="1" locked="0" layoutInCell="1" allowOverlap="1">
            <wp:simplePos x="0" y="0"/>
            <wp:positionH relativeFrom="column">
              <wp:posOffset>-674370</wp:posOffset>
            </wp:positionH>
            <wp:positionV relativeFrom="paragraph">
              <wp:posOffset>1138555</wp:posOffset>
            </wp:positionV>
            <wp:extent cx="4220845" cy="6036945"/>
            <wp:effectExtent l="0" t="0" r="8255" b="1905"/>
            <wp:wrapNone/>
            <wp:docPr id="314"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20845" cy="6036945"/>
                    </a:xfrm>
                    <a:prstGeom prst="rect">
                      <a:avLst/>
                    </a:prstGeom>
                    <a:noFill/>
                  </pic:spPr>
                </pic:pic>
              </a:graphicData>
            </a:graphic>
            <wp14:sizeRelH relativeFrom="page">
              <wp14:pctWidth>0</wp14:pctWidth>
            </wp14:sizeRelH>
            <wp14:sizeRelV relativeFrom="page">
              <wp14:pctHeight>0</wp14:pctHeight>
            </wp14:sizeRelV>
          </wp:anchor>
        </w:drawing>
      </w:r>
      <w:r w:rsidR="00D24E61" w:rsidRPr="00771368">
        <w:t xml:space="preserve">O repertório do movimento feminista incorpora desde grandes mobilizações de rua, passeatas, performances, passando por estratégias de </w:t>
      </w:r>
      <w:r w:rsidR="00D24E61" w:rsidRPr="00771368">
        <w:rPr>
          <w:i/>
        </w:rPr>
        <w:t>lobby e advocacy</w:t>
      </w:r>
      <w:r w:rsidR="00D24E61" w:rsidRPr="00771368">
        <w:t xml:space="preserve"> até a participação em espaços de interação com o Estado, como Conselhos e Conferências. Embora possa haver uma organização que privilegie mais um repertório que outro, todos constituem simultaneamente repertórios do movimento feminista e são utilizadas conforme o contexto e as possibilidades políticas.</w:t>
      </w:r>
    </w:p>
    <w:p w:rsidR="00D24E61" w:rsidRPr="00771368" w:rsidRDefault="00013211" w:rsidP="00D24E61">
      <w:pPr>
        <w:spacing w:after="120" w:line="360" w:lineRule="auto"/>
        <w:ind w:firstLine="1134"/>
        <w:jc w:val="both"/>
        <w:rPr>
          <w:b/>
        </w:rPr>
      </w:pPr>
      <w:r>
        <w:rPr>
          <w:noProof/>
        </w:rPr>
        <mc:AlternateContent>
          <mc:Choice Requires="wps">
            <w:drawing>
              <wp:anchor distT="0" distB="0" distL="114300" distR="114300" simplePos="0" relativeHeight="251808256" behindDoc="0" locked="0" layoutInCell="1" allowOverlap="1">
                <wp:simplePos x="0" y="0"/>
                <wp:positionH relativeFrom="column">
                  <wp:posOffset>3670300</wp:posOffset>
                </wp:positionH>
                <wp:positionV relativeFrom="paragraph">
                  <wp:posOffset>1437005</wp:posOffset>
                </wp:positionV>
                <wp:extent cx="2802890" cy="3206115"/>
                <wp:effectExtent l="12700" t="8255" r="13335" b="5080"/>
                <wp:wrapNone/>
                <wp:docPr id="31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206115"/>
                        </a:xfrm>
                        <a:prstGeom prst="rect">
                          <a:avLst/>
                        </a:prstGeom>
                        <a:solidFill>
                          <a:srgbClr val="FFFFFF"/>
                        </a:solidFill>
                        <a:ln w="9525">
                          <a:solidFill>
                            <a:srgbClr val="000000"/>
                          </a:solidFill>
                          <a:miter lim="800000"/>
                          <a:headEnd/>
                          <a:tailEnd/>
                        </a:ln>
                      </wps:spPr>
                      <wps:txbx>
                        <w:txbxContent>
                          <w:p w:rsidR="00EC0E77" w:rsidRPr="00771368" w:rsidRDefault="00EC0E77" w:rsidP="00EE013A">
                            <w:pPr>
                              <w:spacing w:after="120"/>
                              <w:jc w:val="both"/>
                              <w:rPr>
                                <w:sz w:val="20"/>
                                <w:szCs w:val="20"/>
                              </w:rPr>
                            </w:pPr>
                            <w:r w:rsidRPr="00771368">
                              <w:rPr>
                                <w:sz w:val="20"/>
                                <w:szCs w:val="20"/>
                              </w:rPr>
                              <w:t>Imagens recentes do Movimento Feminista em diferentes arenas de ação política: Do topo, da Direita para a Esquerda: 1. Manifestação pela Legalização do Aborto Anencéfalo, em frente ao STF, Brasília, 2012; 2. Manifestação em Conflito com manifestantes religiosos, na Comissão de Seguridade Social e Família da Câmara dos Deputados, durante votação de projeto pela regulamentação do aborto, Brasília, 2005; 3. Marcha das Mulheres na Cúpula dos Povos, Evento Paralelo à Rio +20, Rio de Janeiro, 2012; 4. Reunião do Conselho Nacional de Direitos da Mulher, Brasília, 2011; 5. Marcha das Margaridas, mulheres sindicais rurais, Brasília, 2011; 6. Marcha das Margaridas, mulheres sindicais rurais, Brasília, 2011; 7. Marcha das Margaridas, mulheres sindicais rurais, Brasília, 2011; 8. III Conferência Nacional de Políticas para Mulheres, Brasília, 2013. 9. Marchas dos Povos na Cúpula dos Povos, evento paralelo à Rio+20, Rio de Janeiro, 2012.</w:t>
                            </w:r>
                          </w:p>
                          <w:p w:rsidR="00EC0E77" w:rsidRDefault="00EC0E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27" type="#_x0000_t202" style="position:absolute;left:0;text-align:left;margin-left:289pt;margin-top:113.15pt;width:220.7pt;height:252.4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GLwIAAFwEAAAOAAAAZHJzL2Uyb0RvYy54bWysVNtu2zAMfR+wfxD0vviSpEu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">
                <v:textbox>
                  <w:txbxContent>
                    <w:p w:rsidR="00EC0E77" w:rsidRPr="00771368" w:rsidRDefault="00EC0E77" w:rsidP="00EE013A">
                      <w:pPr>
                        <w:spacing w:after="120"/>
                        <w:jc w:val="both"/>
                        <w:rPr>
                          <w:sz w:val="20"/>
                          <w:szCs w:val="20"/>
                        </w:rPr>
                      </w:pPr>
                      <w:r w:rsidRPr="00771368">
                        <w:rPr>
                          <w:sz w:val="20"/>
                          <w:szCs w:val="20"/>
                        </w:rPr>
                        <w:t>Imagens recentes do Movimento Feminista em diferentes arenas de ação política: Do topo, da Direita para a Esquerda: 1. Manifestação pela Legalização do Aborto Anencéfalo, em frente ao STF, Brasília, 2012; 2. Manifestação em Conflito com manifestantes religiosos, na Comissão de Seguridade Social e Família da Câmara dos Deputados, durante votação de projeto pela regulamentação do aborto, Brasília, 2005; 3. Marcha das Mulheres na Cúpula dos Povos, Evento Paralelo à Rio +20, Rio de Janeiro, 2012; 4. Reunião do Conselho Nacional de Direitos da Mulher, Brasília, 2011; 5. Marcha das Margaridas, mulheres sindicais rurais, Brasília, 2011; 6. Marcha das Margaridas, mulheres sindicais rurais, Brasília, 2011; 7. Marcha das Margaridas, mulheres sindicais rurais, Brasília, 2011; 8. III Conferência Nacional de Políticas para Mulheres, Brasília, 2013. 9. Marchas dos Povos na Cúpula dos Povos, evento paralelo à Rio+20, Rio de Janeiro, 2012.</w:t>
                      </w:r>
                    </w:p>
                    <w:p w:rsidR="00EC0E77" w:rsidRDefault="00EC0E77"/>
                  </w:txbxContent>
                </v:textbox>
              </v:shape>
            </w:pict>
          </mc:Fallback>
        </mc:AlternateContent>
      </w:r>
      <w:r w:rsidR="00D24E61" w:rsidRPr="00771368">
        <w:br w:type="page"/>
      </w:r>
    </w:p>
    <w:p w:rsidR="00D24E61" w:rsidRPr="00771368" w:rsidRDefault="00D24E61" w:rsidP="00D24E61">
      <w:pPr>
        <w:tabs>
          <w:tab w:val="left" w:pos="142"/>
        </w:tabs>
        <w:ind w:left="284" w:hanging="284"/>
        <w:rPr>
          <w:b/>
        </w:rPr>
      </w:pPr>
      <w:r w:rsidRPr="00771368">
        <w:rPr>
          <w:b/>
        </w:rPr>
        <w:t>Bibliografia</w:t>
      </w:r>
    </w:p>
    <w:p w:rsidR="00D24E61" w:rsidRPr="00771368" w:rsidRDefault="00D24E61" w:rsidP="00D24E61">
      <w:pPr>
        <w:tabs>
          <w:tab w:val="left" w:pos="142"/>
        </w:tabs>
        <w:ind w:left="284" w:hanging="284"/>
      </w:pPr>
    </w:p>
    <w:p w:rsidR="00D24E61" w:rsidRPr="00D61223" w:rsidRDefault="00D24E61" w:rsidP="00D24E61">
      <w:pPr>
        <w:tabs>
          <w:tab w:val="left" w:pos="142"/>
        </w:tabs>
        <w:ind w:left="284" w:hanging="284"/>
        <w:jc w:val="both"/>
        <w:rPr>
          <w:lang w:val="en-US"/>
        </w:rPr>
      </w:pPr>
      <w:r w:rsidRPr="00771368">
        <w:t xml:space="preserve">ALONSO, Angela (2009). Teorias dos movimentos sociais: balanço do debate. </w:t>
      </w:r>
      <w:r w:rsidRPr="00D61223">
        <w:rPr>
          <w:lang w:val="en-US"/>
        </w:rPr>
        <w:t xml:space="preserve">Lua Nova, 2009, no. 75. </w:t>
      </w:r>
    </w:p>
    <w:p w:rsidR="00D24E61" w:rsidRPr="00771368" w:rsidRDefault="00D24E61" w:rsidP="00D24E61">
      <w:pPr>
        <w:tabs>
          <w:tab w:val="left" w:pos="142"/>
        </w:tabs>
        <w:ind w:left="284" w:hanging="284"/>
        <w:jc w:val="both"/>
        <w:rPr>
          <w:b/>
        </w:rPr>
      </w:pPr>
      <w:r w:rsidRPr="00D61223">
        <w:rPr>
          <w:lang w:val="en-US"/>
        </w:rPr>
        <w:t>ALVAREZ, Sonia (2000). “</w:t>
      </w:r>
      <w:hyperlink r:id="rId87" w:history="1">
        <w:r w:rsidRPr="00D61223">
          <w:rPr>
            <w:rStyle w:val="Hyperlink"/>
            <w:lang w:val="en-US"/>
          </w:rPr>
          <w:t>Translating the global effects of transnational organizing on local feminist discourses and practices in Latin America</w:t>
        </w:r>
      </w:hyperlink>
      <w:r w:rsidRPr="00D61223">
        <w:rPr>
          <w:lang w:val="en-US"/>
        </w:rPr>
        <w:t xml:space="preserve">”. </w:t>
      </w:r>
      <w:r w:rsidRPr="00771368">
        <w:rPr>
          <w:rStyle w:val="gsa1"/>
          <w:rFonts w:eastAsia="Calibri"/>
        </w:rPr>
        <w:t xml:space="preserve">Meridians, 2000 – JSTOR </w:t>
      </w:r>
      <w:hyperlink r:id="rId88" w:history="1">
        <w:r w:rsidRPr="00771368">
          <w:rPr>
            <w:rStyle w:val="Hyperlink"/>
          </w:rPr>
          <w:t>http://www.jstor.org/pss/40338427</w:t>
        </w:r>
      </w:hyperlink>
    </w:p>
    <w:p w:rsidR="00D24E61" w:rsidRPr="00771368" w:rsidRDefault="00D24E61" w:rsidP="00D24E61">
      <w:pPr>
        <w:tabs>
          <w:tab w:val="left" w:pos="142"/>
        </w:tabs>
        <w:ind w:left="284" w:hanging="284"/>
        <w:jc w:val="both"/>
      </w:pPr>
      <w:r w:rsidRPr="00771368">
        <w:t xml:space="preserve">BARSTED, Leila de Andrade Linhares (1992). Legalização e descriminalização do aborto no Brasil: 10 anos de luta feminista. IN: Estudos feministas, v.0, n.0, p.104-130. </w:t>
      </w:r>
    </w:p>
    <w:p w:rsidR="00D24E61" w:rsidRPr="00771368" w:rsidRDefault="00D24E61" w:rsidP="00D24E61">
      <w:pPr>
        <w:tabs>
          <w:tab w:val="left" w:pos="142"/>
        </w:tabs>
        <w:ind w:left="284" w:hanging="284"/>
        <w:jc w:val="both"/>
      </w:pPr>
      <w:r w:rsidRPr="00771368">
        <w:t xml:space="preserve">BEZERRA, Carla de Paiva (2008). De qual vida estamos falando? Análise crítica dos discursos sobre aborto e perspectivas. Revista dos Estudantes de Direito da UnB, Brasília, p. 207 – 219. </w:t>
      </w:r>
    </w:p>
    <w:p w:rsidR="00D24E61" w:rsidRPr="00771368" w:rsidRDefault="00D24E61" w:rsidP="00D24E61">
      <w:pPr>
        <w:tabs>
          <w:tab w:val="left" w:pos="142"/>
        </w:tabs>
        <w:ind w:left="284" w:hanging="284"/>
        <w:jc w:val="both"/>
      </w:pPr>
      <w:r w:rsidRPr="00771368">
        <w:t xml:space="preserve">__________, Carla de Paiva (2007). Violência e Gênero: A Lei Maria da Penha em perspectiva. Trabalho de conclusão curso em Direito. Orientador: Antonio Henrique Graciano Suxberger. Brasília, UnB. [mimeo] </w:t>
      </w:r>
    </w:p>
    <w:p w:rsidR="00D24E61" w:rsidRPr="00771368" w:rsidRDefault="00D24E61" w:rsidP="00D24E61">
      <w:pPr>
        <w:tabs>
          <w:tab w:val="left" w:pos="142"/>
        </w:tabs>
        <w:ind w:left="284" w:hanging="284"/>
        <w:jc w:val="both"/>
      </w:pPr>
      <w:r w:rsidRPr="00771368">
        <w:t xml:space="preserve">BRANDT, Maria Elisa, BEZERRA, Carla (2011). A participação e o controle social nas políticas para as mulheres: desafios postos para a gestão pública. III Seminário Democracia, Direito e Gestão Pública. Brasília: MPOG/IPEA, 2011.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 xml:space="preserve">BRASIL. Exposição de Motivos nº 016 - SPM/PR. 16 nov.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rPr>
          <w:lang w:val="es-ES"/>
        </w:rPr>
      </w:pPr>
      <w:r w:rsidRPr="00771368">
        <w:t xml:space="preserve">BRINGEL, Breno; ECHART, Enara (2008). Movimentos sociais e democracia: os dois lados das fronteiras. </w:t>
      </w:r>
      <w:r w:rsidRPr="00771368">
        <w:rPr>
          <w:lang w:val="es-ES"/>
        </w:rPr>
        <w:t xml:space="preserve">Caderno CRH (UFBA), v. 21, p. 457-475. </w:t>
      </w:r>
    </w:p>
    <w:p w:rsidR="00D24E61" w:rsidRPr="00771368" w:rsidRDefault="00D24E61" w:rsidP="00D24E61">
      <w:pPr>
        <w:tabs>
          <w:tab w:val="left" w:pos="142"/>
        </w:tabs>
        <w:ind w:left="284" w:hanging="284"/>
        <w:jc w:val="both"/>
        <w:rPr>
          <w:lang w:val="es-ES"/>
        </w:rPr>
      </w:pPr>
    </w:p>
    <w:p w:rsidR="00D24E61" w:rsidRPr="00771368" w:rsidRDefault="00D24E61" w:rsidP="00D24E61">
      <w:pPr>
        <w:tabs>
          <w:tab w:val="left" w:pos="142"/>
        </w:tabs>
        <w:ind w:left="284" w:hanging="284"/>
        <w:jc w:val="both"/>
      </w:pPr>
      <w:r w:rsidRPr="00771368">
        <w:rPr>
          <w:lang w:val="es-ES"/>
        </w:rPr>
        <w:t xml:space="preserve">_________, Breno (2011). “El estúdio de los movimientos sociales em América Latina: Reflexiones sobre el debate poscolonial y las nuevas geografias del activismo transnacional”. </w:t>
      </w:r>
      <w:r w:rsidRPr="00771368">
        <w:t xml:space="preserve">IN: Acosta, Yamandú; Faleiro, Alfredo; Rodriguez, Alicia; Sarachu, Gerardo; (Coords.). </w:t>
      </w:r>
      <w:r w:rsidRPr="00771368">
        <w:rPr>
          <w:i/>
        </w:rPr>
        <w:t>Pensamiento Crítico y sujetos colectivos em América Latina.</w:t>
      </w:r>
      <w:r w:rsidRPr="00771368">
        <w:t xml:space="preserve"> Montevideo, Uruguay: Núcleo-Red Pensamento Crítico em América Latina y Sujetos Coletivos. Universidad de la República Uruguay / Ed. Trilce.   </w:t>
      </w:r>
    </w:p>
    <w:p w:rsidR="00D24E61" w:rsidRPr="00771368" w:rsidRDefault="00D24E61" w:rsidP="00D24E61">
      <w:pPr>
        <w:tabs>
          <w:tab w:val="left" w:pos="142"/>
        </w:tabs>
        <w:ind w:left="284" w:hanging="284"/>
        <w:jc w:val="both"/>
      </w:pPr>
    </w:p>
    <w:p w:rsidR="00D24E61" w:rsidRPr="00D61223" w:rsidRDefault="00D24E61" w:rsidP="00D24E61">
      <w:pPr>
        <w:tabs>
          <w:tab w:val="left" w:pos="142"/>
        </w:tabs>
        <w:ind w:left="284" w:hanging="284"/>
        <w:jc w:val="both"/>
        <w:rPr>
          <w:lang w:val="en-US"/>
        </w:rPr>
      </w:pPr>
      <w:r w:rsidRPr="00771368">
        <w:t xml:space="preserve">BÜLOW, Marisa Von; ABERS, Rebecca Neara (2011). </w:t>
      </w:r>
      <w:r w:rsidRPr="00D61223">
        <w:rPr>
          <w:lang w:val="en-US"/>
        </w:rPr>
        <w:t xml:space="preserve">The Transformation of Social Movement Studies: How to Study Activism across State-Civil Society? In: IPSAECPR Joint Conference: Whatever Happened to North South, 2011, São Paulo. Whatever Happened to North South: IPSA-ECPR Joint Conference. São Paulo: IPSA/EPCR. </w:t>
      </w:r>
    </w:p>
    <w:p w:rsidR="00D24E61" w:rsidRPr="00D61223" w:rsidRDefault="00D24E61" w:rsidP="00D24E61">
      <w:pPr>
        <w:tabs>
          <w:tab w:val="left" w:pos="142"/>
        </w:tabs>
        <w:ind w:left="284" w:hanging="284"/>
        <w:jc w:val="both"/>
        <w:rPr>
          <w:lang w:val="en-US"/>
        </w:rPr>
      </w:pPr>
    </w:p>
    <w:p w:rsidR="00D24E61" w:rsidRPr="00771368" w:rsidRDefault="00D24E61" w:rsidP="00D24E61">
      <w:pPr>
        <w:tabs>
          <w:tab w:val="left" w:pos="142"/>
        </w:tabs>
        <w:ind w:left="284" w:hanging="284"/>
        <w:jc w:val="both"/>
      </w:pPr>
      <w:r w:rsidRPr="00771368">
        <w:t xml:space="preserve">CASTILHO, Ela Wiecko Volkmer de (2007). A Lei n. 11.340 e as novas perspectivas da intervenção do Estado para superar a violência de gênero no âmbito doméstico e familiar. Publicação Eletrônica [mensagem pessoal]. Recebido por &lt;carlaviagem@yahoo.com.br&gt; em 27 mar. 2007.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rPr>
          <w:lang w:val="es-ES"/>
        </w:rPr>
        <w:t xml:space="preserve">CAVIEDES, Elizabeth Guerrero (2002). Violecia contra las mujeres en America Latina y el Caribe Español 1990-2000: Balance de una decada. </w:t>
      </w:r>
      <w:r w:rsidRPr="00771368">
        <w:t xml:space="preserve">Santiago: UNIFEM. Disponível em: http://www.bvsde.paho.org/ bvsacd/ cd63/ violencia01. pdf. Acesso em 16 jul. 2012.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 xml:space="preserve">DELGADO, Maria Berenice Godinho. (1998). Muitas faces do feminismo no Brasil. In: Mulher e política: Gênero e feminismo no Partido dos Trabalhadores. Ângela Borba, Nalu Faria, Tatau Godinho (orgs). São Paulo: Editora Fundação Perseu Abramo.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 xml:space="preserve">DOWBOR, Monika (2009). Da inflexão pré-constitucional ao SUS municipalizado. Lua Nova, São Paulo, n. 78.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 xml:space="preserve">FARIA, Nalu, NOBRE, Miriam (2003). Feminismo em movimento: temas e processos organizativos da Marcha Mundial de Mulheres no Fórum Social Mundial. Estudos Feministas, Florianópolis, 11(2): 360, julho-dezembro.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GURZA LAVALLE,</w:t>
      </w:r>
      <w:r w:rsidRPr="00771368">
        <w:rPr>
          <w:b/>
        </w:rPr>
        <w:t xml:space="preserve"> </w:t>
      </w:r>
      <w:r w:rsidRPr="00771368">
        <w:t>Adrian</w:t>
      </w:r>
      <w:r w:rsidRPr="00771368">
        <w:rPr>
          <w:b/>
        </w:rPr>
        <w:t xml:space="preserve"> </w:t>
      </w:r>
      <w:r w:rsidRPr="00771368">
        <w:t xml:space="preserve">(1999). </w:t>
      </w:r>
      <w:r w:rsidRPr="00771368">
        <w:rPr>
          <w:i/>
        </w:rPr>
        <w:t>Crítica ao modelo da sociedade civil</w:t>
      </w:r>
      <w:r w:rsidRPr="00771368">
        <w:t xml:space="preserve">. São Paulo, Lua Nova, Nº 47, Pp.121-135. </w:t>
      </w:r>
    </w:p>
    <w:p w:rsidR="00D24E61" w:rsidRPr="00771368" w:rsidRDefault="00295FC8" w:rsidP="00D24E61">
      <w:pPr>
        <w:tabs>
          <w:tab w:val="left" w:pos="142"/>
        </w:tabs>
        <w:ind w:left="284" w:hanging="284"/>
        <w:jc w:val="both"/>
        <w:rPr>
          <w:b/>
        </w:rPr>
      </w:pPr>
      <w:hyperlink r:id="rId89" w:history="1">
        <w:r w:rsidR="00D24E61" w:rsidRPr="00771368">
          <w:rPr>
            <w:rStyle w:val="Hyperlink"/>
          </w:rPr>
          <w:t>https://docs.google.com/viewer?a=v&amp;pid=gmail&amp;attid=0.4&amp;thid=131dd0e630c87411&amp;mt=application/pdf&amp;url=https://mail.google.com/mail/?ui%3D2%26ik%3Dd0828bdef6%26view%3Datt%26th%3D131dd0e630c87411%26attid%3D0.4%26disp%3Dsafe%26realattid%3Df_grhqwd5o3%26zw&amp;sig=AHIEtbTOB3JEU29Ov3VaZEgrhwEb4QBh1A</w:t>
        </w:r>
      </w:hyperlink>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 xml:space="preserve"> ________________, Adrian (2003). Sem pena nem glória. O debate da sociedade civil nos anos 1990. Novos Estudos, São Paulo, n. 66, p. 91-109, jul. </w:t>
      </w:r>
    </w:p>
    <w:p w:rsidR="00D24E61" w:rsidRPr="00771368" w:rsidRDefault="00D24E61" w:rsidP="00D24E61">
      <w:pPr>
        <w:tabs>
          <w:tab w:val="left" w:pos="142"/>
        </w:tabs>
        <w:ind w:left="284" w:hanging="284"/>
        <w:jc w:val="both"/>
      </w:pPr>
    </w:p>
    <w:p w:rsidR="00D24E61" w:rsidRPr="00D61223" w:rsidRDefault="00D24E61" w:rsidP="00D24E61">
      <w:pPr>
        <w:tabs>
          <w:tab w:val="left" w:pos="142"/>
        </w:tabs>
        <w:ind w:left="284" w:hanging="284"/>
        <w:jc w:val="both"/>
        <w:rPr>
          <w:lang w:val="en-US"/>
        </w:rPr>
      </w:pPr>
      <w:r w:rsidRPr="00771368">
        <w:t xml:space="preserve">IZUMINO, Wânia Pasinato (2004). Justiça e violência contra a mulher: o papel do sistema Judiciário na solução dos conflitos de gênero. </w:t>
      </w:r>
      <w:r w:rsidRPr="00D61223">
        <w:rPr>
          <w:lang w:val="en-US"/>
        </w:rPr>
        <w:t xml:space="preserve">2ª. Ed. São Paulo: Annablume/FAPESP. </w:t>
      </w:r>
    </w:p>
    <w:p w:rsidR="00D24E61" w:rsidRPr="00D61223" w:rsidRDefault="00D24E61" w:rsidP="00D24E61">
      <w:pPr>
        <w:tabs>
          <w:tab w:val="left" w:pos="142"/>
        </w:tabs>
        <w:ind w:left="284" w:hanging="284"/>
        <w:jc w:val="both"/>
        <w:rPr>
          <w:lang w:val="en-US"/>
        </w:rPr>
      </w:pPr>
    </w:p>
    <w:p w:rsidR="00D24E61" w:rsidRPr="00771368" w:rsidRDefault="00D24E61" w:rsidP="00D24E61">
      <w:pPr>
        <w:tabs>
          <w:tab w:val="left" w:pos="142"/>
        </w:tabs>
        <w:ind w:left="284" w:hanging="284"/>
        <w:jc w:val="both"/>
      </w:pPr>
      <w:r w:rsidRPr="00D61223">
        <w:rPr>
          <w:lang w:val="en-US"/>
        </w:rPr>
        <w:t xml:space="preserve">MISCHE, Ann (2008). Partisan publics: Communication and contention across Brazilian youth activist networks. </w:t>
      </w:r>
      <w:r w:rsidRPr="00771368">
        <w:t xml:space="preserve">Princeton, NJ: Princeton University Press. Capitulo 2.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 xml:space="preserve">SADER, Eder (1988). Quando novos personagens entram em cena: experiências, falas e lutas dos trabalhadores da Grande São Paulo (1970-80). São Paulo: Paz e Terra.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 xml:space="preserve">SAFIOTTI, Heleieth. Gênero e Patriarcado. </w:t>
      </w:r>
      <w:r w:rsidRPr="00771368">
        <w:rPr>
          <w:lang w:val="es-ES"/>
        </w:rPr>
        <w:t xml:space="preserve">In: CASTILLO-MARTÍN, Márcia, OLIVEIRA, Suely (orgs). </w:t>
      </w:r>
      <w:r w:rsidRPr="00771368">
        <w:t xml:space="preserve">Marcadas a Ferro: Violência contra a mulher uma visão multidisciplinar. Brasília: Secretaria Especial de Políticas para as Mulheres, 2005. p. 35-76.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 xml:space="preserve">SARTI, Cynthia (1988). Feminismo no Brasil: uma trajetória particular. Cadernos de Pesquisa (Fundação Carlos Chagas), São Paulo, n. 64, p. 38-47. </w:t>
      </w:r>
    </w:p>
    <w:p w:rsidR="00D24E61" w:rsidRPr="00771368" w:rsidRDefault="00D24E61" w:rsidP="00D24E61">
      <w:pPr>
        <w:tabs>
          <w:tab w:val="left" w:pos="142"/>
        </w:tabs>
        <w:ind w:left="284" w:hanging="284"/>
        <w:jc w:val="both"/>
      </w:pPr>
    </w:p>
    <w:p w:rsidR="00D24E61" w:rsidRPr="00771368" w:rsidRDefault="00D24E61" w:rsidP="00D24E61">
      <w:pPr>
        <w:tabs>
          <w:tab w:val="left" w:pos="142"/>
        </w:tabs>
        <w:ind w:left="284" w:hanging="284"/>
        <w:jc w:val="both"/>
      </w:pPr>
      <w:r w:rsidRPr="00771368">
        <w:t xml:space="preserve">SOARES, Vera (1998). Muitas faces do feminismo no Brasil. In: Mulher e política: Gênero e feminismo no Partido dos Trabalhadores. Ângela Borba, Nalu Faria, Tatau Godinho (orgs). São Paulo: Editora Fundação Perseu Abramo. </w:t>
      </w:r>
    </w:p>
    <w:p w:rsidR="00D24E61" w:rsidRPr="00771368" w:rsidRDefault="00D24E61" w:rsidP="00D24E61">
      <w:pPr>
        <w:tabs>
          <w:tab w:val="left" w:pos="142"/>
        </w:tabs>
        <w:ind w:left="284" w:hanging="284"/>
        <w:jc w:val="both"/>
      </w:pPr>
    </w:p>
    <w:p w:rsidR="00D24E61" w:rsidRPr="00D61223" w:rsidRDefault="00D24E61" w:rsidP="00D24E61">
      <w:pPr>
        <w:tabs>
          <w:tab w:val="left" w:pos="142"/>
        </w:tabs>
        <w:ind w:left="284" w:hanging="284"/>
        <w:jc w:val="both"/>
        <w:rPr>
          <w:lang w:val="en-US"/>
        </w:rPr>
      </w:pPr>
      <w:r w:rsidRPr="00D61223">
        <w:rPr>
          <w:lang w:val="en-US"/>
        </w:rPr>
        <w:t xml:space="preserve">TARROW, Sidney. (1998). Power in Movement. Social movements and contentious politics. Cambridge Univ. Press. </w:t>
      </w:r>
    </w:p>
    <w:p w:rsidR="00D24E61" w:rsidRPr="00D61223" w:rsidRDefault="00D24E61" w:rsidP="00D24E61">
      <w:pPr>
        <w:tabs>
          <w:tab w:val="left" w:pos="142"/>
        </w:tabs>
        <w:ind w:left="284" w:hanging="284"/>
        <w:jc w:val="both"/>
        <w:rPr>
          <w:lang w:val="en-US"/>
        </w:rPr>
      </w:pPr>
    </w:p>
    <w:p w:rsidR="00D24E61" w:rsidRPr="00D61223" w:rsidRDefault="00D24E61" w:rsidP="00EE013A">
      <w:pPr>
        <w:tabs>
          <w:tab w:val="left" w:pos="142"/>
        </w:tabs>
        <w:ind w:left="284" w:hanging="284"/>
        <w:jc w:val="both"/>
        <w:rPr>
          <w:lang w:val="en-US"/>
        </w:rPr>
      </w:pPr>
      <w:r w:rsidRPr="00D61223">
        <w:rPr>
          <w:lang w:val="en-US"/>
        </w:rPr>
        <w:t xml:space="preserve">_________, Sidney (1995). “Cycles of Collective Action: Between Moments of Madness and the Repertoire of Contention” in Traugott, Mark (ed.). Repertoires and Cycles of Collective Action Duke University Press: Durham. </w:t>
      </w:r>
    </w:p>
    <w:p w:rsidR="00D24E61" w:rsidRPr="00D61223" w:rsidRDefault="00D24E61" w:rsidP="00EE013A">
      <w:pPr>
        <w:tabs>
          <w:tab w:val="left" w:pos="142"/>
        </w:tabs>
        <w:ind w:left="284" w:hanging="284"/>
        <w:jc w:val="both"/>
        <w:rPr>
          <w:lang w:val="en-US"/>
        </w:rPr>
      </w:pPr>
      <w:r w:rsidRPr="00D61223">
        <w:rPr>
          <w:lang w:val="en-US"/>
        </w:rPr>
        <w:t>_________,</w:t>
      </w:r>
      <w:r w:rsidRPr="00D61223">
        <w:rPr>
          <w:b/>
          <w:lang w:val="en-US"/>
        </w:rPr>
        <w:t xml:space="preserve"> </w:t>
      </w:r>
      <w:r w:rsidRPr="00D61223">
        <w:rPr>
          <w:lang w:val="en-US"/>
        </w:rPr>
        <w:t xml:space="preserve">Sidney (2005). </w:t>
      </w:r>
      <w:r w:rsidRPr="00D61223">
        <w:rPr>
          <w:i/>
          <w:lang w:val="en-US"/>
        </w:rPr>
        <w:t>The new transnational activism</w:t>
      </w:r>
      <w:r w:rsidRPr="00D61223">
        <w:rPr>
          <w:lang w:val="en-US"/>
        </w:rPr>
        <w:t xml:space="preserve">. New York: Cambridge University Press. </w:t>
      </w:r>
    </w:p>
    <w:p w:rsidR="00EE013A" w:rsidRPr="00D61223" w:rsidRDefault="00EE013A" w:rsidP="00EE013A">
      <w:pPr>
        <w:tabs>
          <w:tab w:val="left" w:pos="142"/>
        </w:tabs>
        <w:ind w:left="284" w:hanging="284"/>
        <w:jc w:val="both"/>
        <w:rPr>
          <w:lang w:val="en-US"/>
        </w:rPr>
      </w:pPr>
    </w:p>
    <w:p w:rsidR="00D24E61" w:rsidRPr="00D61223" w:rsidRDefault="00D24E61" w:rsidP="00EE013A">
      <w:pPr>
        <w:tabs>
          <w:tab w:val="left" w:pos="142"/>
        </w:tabs>
        <w:ind w:left="284" w:hanging="284"/>
        <w:jc w:val="both"/>
        <w:rPr>
          <w:lang w:val="en-US"/>
        </w:rPr>
      </w:pPr>
      <w:r w:rsidRPr="00D61223">
        <w:rPr>
          <w:lang w:val="en-US"/>
        </w:rPr>
        <w:t xml:space="preserve">TILLY, Charles (2006). Regimes and Repertoires. Chicago University Press. </w:t>
      </w:r>
    </w:p>
    <w:p w:rsidR="00D24E61" w:rsidRPr="00771368" w:rsidRDefault="00D24E61" w:rsidP="00EE013A">
      <w:pPr>
        <w:tabs>
          <w:tab w:val="left" w:pos="142"/>
        </w:tabs>
        <w:ind w:left="284" w:hanging="284"/>
        <w:jc w:val="both"/>
        <w:rPr>
          <w:lang w:val="es-ES"/>
        </w:rPr>
      </w:pPr>
      <w:r w:rsidRPr="00D61223">
        <w:rPr>
          <w:lang w:val="en-US"/>
        </w:rPr>
        <w:t xml:space="preserve">______, Charles (2006b). “Invention, Diffusion, and Transformation of the Social Movement Repertoire,” in Identities, Boundaries, and Social Ties. </w:t>
      </w:r>
      <w:r w:rsidRPr="00771368">
        <w:rPr>
          <w:lang w:val="es-ES"/>
        </w:rPr>
        <w:t>Paradigm.</w:t>
      </w:r>
    </w:p>
    <w:p w:rsidR="00D24E61" w:rsidRPr="00771368" w:rsidRDefault="00D24E61" w:rsidP="00EE013A">
      <w:pPr>
        <w:tabs>
          <w:tab w:val="left" w:pos="142"/>
        </w:tabs>
        <w:ind w:left="284" w:hanging="284"/>
        <w:jc w:val="both"/>
        <w:rPr>
          <w:lang w:val="es-ES"/>
        </w:rPr>
      </w:pPr>
      <w:r w:rsidRPr="00771368">
        <w:rPr>
          <w:lang w:val="es-ES"/>
        </w:rPr>
        <w:t xml:space="preserve">VERA, Ernesto Izunza; LAVALLE, Adrián Gurza (2010). “Posiciones conceptuales para el debate contemporâneo sobre la inovación democrática: participación, controles sociales y representación”. In: Vera, Ernesto Izunza; Lavalle, Adrián Gurza (Coords.). </w:t>
      </w:r>
      <w:r w:rsidRPr="00771368">
        <w:rPr>
          <w:i/>
          <w:lang w:val="es-ES"/>
        </w:rPr>
        <w:t xml:space="preserve">La innovación democrática em América Latina. Tramas e nudos de la representación y el control social. </w:t>
      </w:r>
      <w:r w:rsidRPr="00771368">
        <w:rPr>
          <w:lang w:val="es-ES"/>
        </w:rPr>
        <w:t xml:space="preserve">Publicaciones de La Casa Chata, México: Ciesas; Universidade Veracruziana.   </w:t>
      </w:r>
    </w:p>
    <w:p w:rsidR="00D24E61" w:rsidRPr="00771368" w:rsidRDefault="00D24E61" w:rsidP="00EE013A">
      <w:pPr>
        <w:pStyle w:val="NormalWeb"/>
        <w:tabs>
          <w:tab w:val="left" w:pos="142"/>
        </w:tabs>
        <w:spacing w:after="0" w:afterAutospacing="0"/>
        <w:ind w:left="284" w:hanging="284"/>
        <w:jc w:val="both"/>
        <w:rPr>
          <w:bCs/>
        </w:rPr>
      </w:pPr>
      <w:r w:rsidRPr="00771368">
        <w:rPr>
          <w:lang w:val="es-ES"/>
        </w:rPr>
        <w:t>VIRREIRA,</w:t>
      </w:r>
      <w:r w:rsidRPr="00771368">
        <w:rPr>
          <w:b/>
          <w:lang w:val="es-ES"/>
        </w:rPr>
        <w:t xml:space="preserve"> </w:t>
      </w:r>
      <w:r w:rsidRPr="00771368">
        <w:rPr>
          <w:lang w:val="es-ES"/>
        </w:rPr>
        <w:t>Sonia Montano;</w:t>
      </w:r>
      <w:r w:rsidRPr="00771368">
        <w:rPr>
          <w:b/>
          <w:lang w:val="es-ES"/>
        </w:rPr>
        <w:t xml:space="preserve"> </w:t>
      </w:r>
      <w:r w:rsidRPr="00771368">
        <w:rPr>
          <w:lang w:val="es-ES"/>
        </w:rPr>
        <w:t>ARDAYA</w:t>
      </w:r>
      <w:r w:rsidRPr="00771368">
        <w:rPr>
          <w:b/>
          <w:lang w:val="es-ES"/>
        </w:rPr>
        <w:t xml:space="preserve">, </w:t>
      </w:r>
      <w:r w:rsidRPr="00771368">
        <w:rPr>
          <w:lang w:val="es-ES"/>
        </w:rPr>
        <w:t xml:space="preserve">Mariana Sanz (2009). “Movimientos sociales de mujeres. El feminismo”. </w:t>
      </w:r>
      <w:r w:rsidRPr="00771368">
        <w:rPr>
          <w:bCs/>
          <w:lang w:val="es-ES"/>
        </w:rPr>
        <w:t xml:space="preserve">IN: Calderón, Fernando (Coord.). </w:t>
      </w:r>
      <w:r w:rsidRPr="00771368">
        <w:rPr>
          <w:bCs/>
          <w:i/>
          <w:lang w:val="es-ES"/>
        </w:rPr>
        <w:t xml:space="preserve">Movimientos socioculturales en América Latina. Ambientalismo, feminismo, pueblos originários y poder empresarial. </w:t>
      </w:r>
      <w:r w:rsidRPr="00771368">
        <w:rPr>
          <w:bCs/>
          <w:lang w:val="es-ES"/>
        </w:rPr>
        <w:t xml:space="preserve">Cuadernos de Governabilidad. Democrática. Programa de las Naciones Unidas para el Desarrollo. </w:t>
      </w:r>
      <w:r w:rsidRPr="00771368">
        <w:rPr>
          <w:bCs/>
        </w:rPr>
        <w:t xml:space="preserve">Buenos Aires: Siglo Veintiuno Editores, Pp.81-130. </w:t>
      </w:r>
    </w:p>
    <w:p w:rsidR="00D24E61" w:rsidRPr="00771368" w:rsidRDefault="00D24E61" w:rsidP="00EE013A">
      <w:pPr>
        <w:tabs>
          <w:tab w:val="left" w:pos="142"/>
        </w:tabs>
        <w:ind w:left="284" w:hanging="284"/>
        <w:jc w:val="both"/>
      </w:pPr>
    </w:p>
    <w:p w:rsidR="00D24E61" w:rsidRDefault="00D24E61" w:rsidP="00EE013A">
      <w:pPr>
        <w:tabs>
          <w:tab w:val="left" w:pos="142"/>
        </w:tabs>
        <w:ind w:left="284" w:hanging="284"/>
        <w:jc w:val="both"/>
      </w:pPr>
      <w:r w:rsidRPr="00771368">
        <w:t xml:space="preserve">WRAMPLER, Brian (2011). Que tipos de resultados devemos esperar das instituições participativas? In: Efetividade das instituições participativas no Brasil: estratégias de avaliação/ organizador: Roberto Rocha C. Pires. Brasília: Ipea. v. 7 (372 p.): gráfs., tabs. – (Diálogos para o desenvolvimento). </w:t>
      </w:r>
    </w:p>
    <w:p w:rsidR="00EE013A" w:rsidRDefault="00EE013A" w:rsidP="00D24E61">
      <w:pPr>
        <w:tabs>
          <w:tab w:val="left" w:pos="142"/>
        </w:tabs>
        <w:ind w:left="284" w:hanging="284"/>
        <w:jc w:val="both"/>
      </w:pPr>
    </w:p>
    <w:p w:rsidR="00EE013A" w:rsidRPr="00771368" w:rsidRDefault="00EE013A" w:rsidP="00D24E61">
      <w:pPr>
        <w:tabs>
          <w:tab w:val="left" w:pos="142"/>
        </w:tabs>
        <w:ind w:left="284" w:hanging="284"/>
        <w:jc w:val="both"/>
      </w:pPr>
    </w:p>
    <w:p w:rsidR="00D24E61" w:rsidRPr="00771368" w:rsidRDefault="00D24E61">
      <w:pPr>
        <w:ind w:left="161"/>
        <w:rPr>
          <w:sz w:val="20"/>
          <w:szCs w:val="20"/>
        </w:rPr>
      </w:pPr>
      <w:r w:rsidRPr="00771368">
        <w:rPr>
          <w:b/>
          <w:bCs/>
          <w:sz w:val="24"/>
          <w:szCs w:val="24"/>
        </w:rPr>
        <w:t>A PRODUÇÃO DE SUJEITOS MASCULINOS NA EDUCAÇÃO SALESIANA: UM</w:t>
      </w:r>
    </w:p>
    <w:p w:rsidR="00D24E61" w:rsidRPr="00771368" w:rsidRDefault="00D24E61">
      <w:pPr>
        <w:spacing w:line="137" w:lineRule="exact"/>
        <w:rPr>
          <w:sz w:val="24"/>
          <w:szCs w:val="24"/>
        </w:rPr>
      </w:pPr>
    </w:p>
    <w:p w:rsidR="00D24E61" w:rsidRDefault="00D24E61">
      <w:pPr>
        <w:ind w:left="1441"/>
        <w:rPr>
          <w:b/>
          <w:bCs/>
          <w:sz w:val="24"/>
          <w:szCs w:val="24"/>
        </w:rPr>
      </w:pPr>
      <w:r w:rsidRPr="00771368">
        <w:rPr>
          <w:b/>
          <w:bCs/>
          <w:sz w:val="24"/>
          <w:szCs w:val="24"/>
        </w:rPr>
        <w:t>ESTUDO HISTÓRICO-COMPARADO (BRASIL-ITÁLIA)</w:t>
      </w:r>
    </w:p>
    <w:p w:rsidR="00EE013A" w:rsidRDefault="00EE013A">
      <w:pPr>
        <w:ind w:left="1441"/>
        <w:rPr>
          <w:b/>
          <w:bCs/>
          <w:sz w:val="24"/>
          <w:szCs w:val="24"/>
        </w:rPr>
      </w:pPr>
    </w:p>
    <w:p w:rsidR="00EE013A" w:rsidRDefault="00EE013A">
      <w:pPr>
        <w:ind w:left="1441"/>
        <w:rPr>
          <w:b/>
          <w:bCs/>
          <w:sz w:val="24"/>
          <w:szCs w:val="24"/>
        </w:rPr>
      </w:pPr>
    </w:p>
    <w:p w:rsidR="00EE013A" w:rsidRPr="00771368" w:rsidRDefault="00EE013A">
      <w:pPr>
        <w:ind w:left="1441"/>
        <w:rPr>
          <w:sz w:val="20"/>
          <w:szCs w:val="20"/>
        </w:rPr>
      </w:pPr>
    </w:p>
    <w:p w:rsidR="00D24E61" w:rsidRPr="00771368" w:rsidRDefault="00D24E61">
      <w:pPr>
        <w:ind w:right="20"/>
        <w:jc w:val="right"/>
        <w:rPr>
          <w:sz w:val="20"/>
          <w:szCs w:val="20"/>
        </w:rPr>
      </w:pPr>
      <w:r w:rsidRPr="00771368">
        <w:rPr>
          <w:sz w:val="24"/>
          <w:szCs w:val="24"/>
        </w:rPr>
        <w:t xml:space="preserve">Mestrando: </w:t>
      </w:r>
      <w:r w:rsidRPr="00EE013A">
        <w:rPr>
          <w:rStyle w:val="Ttulo1Char"/>
        </w:rPr>
        <w:t>Cícero Edinaldo dos Santos</w:t>
      </w:r>
      <w:r w:rsidRPr="00771368">
        <w:rPr>
          <w:sz w:val="24"/>
          <w:szCs w:val="24"/>
        </w:rPr>
        <w:t xml:space="preserve"> </w:t>
      </w:r>
      <w:r w:rsidRPr="00771368">
        <w:rPr>
          <w:sz w:val="32"/>
          <w:szCs w:val="32"/>
          <w:vertAlign w:val="superscript"/>
        </w:rPr>
        <w:t>1</w:t>
      </w:r>
    </w:p>
    <w:p w:rsidR="00D24E61" w:rsidRPr="00771368" w:rsidRDefault="00D24E61">
      <w:pPr>
        <w:spacing w:line="47" w:lineRule="exact"/>
        <w:rPr>
          <w:sz w:val="24"/>
          <w:szCs w:val="24"/>
        </w:rPr>
      </w:pPr>
    </w:p>
    <w:p w:rsidR="00D24E61" w:rsidRPr="00771368" w:rsidRDefault="00D24E61">
      <w:pPr>
        <w:ind w:right="20"/>
        <w:jc w:val="right"/>
        <w:rPr>
          <w:sz w:val="20"/>
          <w:szCs w:val="20"/>
        </w:rPr>
      </w:pPr>
      <w:r w:rsidRPr="00771368">
        <w:rPr>
          <w:sz w:val="24"/>
          <w:szCs w:val="24"/>
        </w:rPr>
        <w:t>Orientadora: Zuleide Fernandes de Queiroz</w:t>
      </w:r>
      <w:r w:rsidRPr="00771368">
        <w:rPr>
          <w:sz w:val="32"/>
          <w:szCs w:val="32"/>
          <w:vertAlign w:val="superscript"/>
        </w:rPr>
        <w:t>2</w:t>
      </w:r>
    </w:p>
    <w:p w:rsidR="00D24E61" w:rsidRDefault="00D24E61">
      <w:pPr>
        <w:spacing w:line="200" w:lineRule="exact"/>
        <w:rPr>
          <w:sz w:val="24"/>
          <w:szCs w:val="24"/>
        </w:rPr>
      </w:pPr>
    </w:p>
    <w:p w:rsidR="00EE013A" w:rsidRDefault="00EE013A">
      <w:pPr>
        <w:spacing w:line="200" w:lineRule="exact"/>
        <w:rPr>
          <w:sz w:val="24"/>
          <w:szCs w:val="24"/>
        </w:rPr>
      </w:pPr>
    </w:p>
    <w:p w:rsidR="00EE013A" w:rsidRDefault="00EE013A">
      <w:pPr>
        <w:spacing w:line="200" w:lineRule="exact"/>
        <w:rPr>
          <w:sz w:val="24"/>
          <w:szCs w:val="24"/>
        </w:rPr>
      </w:pPr>
    </w:p>
    <w:p w:rsidR="00EE013A" w:rsidRDefault="00EE013A">
      <w:pPr>
        <w:spacing w:line="200" w:lineRule="exact"/>
        <w:rPr>
          <w:sz w:val="24"/>
          <w:szCs w:val="24"/>
        </w:rPr>
      </w:pPr>
    </w:p>
    <w:p w:rsidR="00EE013A" w:rsidRPr="00771368" w:rsidRDefault="00EE013A">
      <w:pPr>
        <w:spacing w:line="200" w:lineRule="exact"/>
        <w:rPr>
          <w:sz w:val="24"/>
          <w:szCs w:val="24"/>
        </w:rPr>
      </w:pPr>
    </w:p>
    <w:p w:rsidR="00D24E61" w:rsidRPr="00771368" w:rsidRDefault="00D24E61">
      <w:pPr>
        <w:tabs>
          <w:tab w:val="left" w:pos="701"/>
        </w:tabs>
        <w:spacing w:line="239" w:lineRule="auto"/>
        <w:ind w:left="361"/>
        <w:rPr>
          <w:sz w:val="20"/>
          <w:szCs w:val="20"/>
        </w:rPr>
      </w:pPr>
      <w:r w:rsidRPr="00771368">
        <w:rPr>
          <w:b/>
          <w:bCs/>
          <w:sz w:val="24"/>
          <w:szCs w:val="24"/>
        </w:rPr>
        <w:t>1.</w:t>
      </w:r>
      <w:r w:rsidRPr="00771368">
        <w:rPr>
          <w:sz w:val="20"/>
          <w:szCs w:val="20"/>
        </w:rPr>
        <w:tab/>
      </w:r>
      <w:r w:rsidRPr="00771368">
        <w:rPr>
          <w:b/>
          <w:bCs/>
          <w:sz w:val="23"/>
          <w:szCs w:val="23"/>
        </w:rPr>
        <w:t>Introdução</w:t>
      </w:r>
    </w:p>
    <w:p w:rsidR="00D24E61" w:rsidRPr="00771368" w:rsidRDefault="00D24E61">
      <w:pPr>
        <w:spacing w:line="200" w:lineRule="exact"/>
        <w:rPr>
          <w:sz w:val="24"/>
          <w:szCs w:val="24"/>
        </w:rPr>
      </w:pPr>
    </w:p>
    <w:p w:rsidR="00D24E61" w:rsidRPr="00771368" w:rsidRDefault="00D24E61">
      <w:pPr>
        <w:spacing w:line="206" w:lineRule="exact"/>
        <w:rPr>
          <w:sz w:val="24"/>
          <w:szCs w:val="24"/>
        </w:rPr>
      </w:pPr>
    </w:p>
    <w:p w:rsidR="00D24E61" w:rsidRPr="00771368" w:rsidRDefault="00D24E61">
      <w:pPr>
        <w:spacing w:line="343" w:lineRule="auto"/>
        <w:ind w:left="1" w:firstLine="852"/>
        <w:jc w:val="both"/>
        <w:rPr>
          <w:sz w:val="20"/>
          <w:szCs w:val="20"/>
        </w:rPr>
      </w:pPr>
      <w:r w:rsidRPr="00771368">
        <w:rPr>
          <w:sz w:val="24"/>
          <w:szCs w:val="24"/>
        </w:rPr>
        <w:t>As correntes pedagógicas modernas, influenciadas pelo iluminismo, entendem o sujeito como algo ‘já pronto’, pré-existente, que não se constitui mediante sua inserção na esfera social, política, econômica e cultural. Discordando com esta concepção, Foucault critica as teorias da Educação Moderna, ressaltando que o sujeito é uma construção histórica.</w:t>
      </w:r>
    </w:p>
    <w:p w:rsidR="00D24E61" w:rsidRPr="00771368" w:rsidRDefault="00D24E61">
      <w:pPr>
        <w:spacing w:line="78" w:lineRule="exact"/>
        <w:rPr>
          <w:sz w:val="24"/>
          <w:szCs w:val="24"/>
        </w:rPr>
      </w:pPr>
    </w:p>
    <w:p w:rsidR="00D24E61" w:rsidRPr="00771368" w:rsidRDefault="00D24E61">
      <w:pPr>
        <w:spacing w:line="343" w:lineRule="auto"/>
        <w:ind w:left="1" w:firstLine="852"/>
        <w:jc w:val="both"/>
        <w:rPr>
          <w:sz w:val="20"/>
          <w:szCs w:val="20"/>
        </w:rPr>
      </w:pPr>
      <w:r w:rsidRPr="00771368">
        <w:rPr>
          <w:sz w:val="24"/>
          <w:szCs w:val="24"/>
        </w:rPr>
        <w:t>Apesar de não ter escrito nada especifico sobre educação, os pensamentos desse filosofo francês são ricos em possibilidade de investigações nas Ciências Humanas, inclusive na História da Educação Comparada. Algumas de suas publicações são de grande relevância para pensarmos a produção de sujeitos nos espaços educacionais, formais e informais.</w:t>
      </w:r>
    </w:p>
    <w:p w:rsidR="00D24E61" w:rsidRPr="00771368" w:rsidRDefault="00D24E61">
      <w:pPr>
        <w:spacing w:line="78" w:lineRule="exact"/>
        <w:rPr>
          <w:sz w:val="24"/>
          <w:szCs w:val="24"/>
        </w:rPr>
      </w:pPr>
    </w:p>
    <w:p w:rsidR="00D24E61" w:rsidRPr="00771368" w:rsidRDefault="00D24E61">
      <w:pPr>
        <w:spacing w:line="343" w:lineRule="auto"/>
        <w:ind w:left="1" w:right="20" w:firstLine="852"/>
        <w:jc w:val="both"/>
        <w:rPr>
          <w:sz w:val="20"/>
          <w:szCs w:val="20"/>
        </w:rPr>
      </w:pPr>
      <w:r w:rsidRPr="00771368">
        <w:rPr>
          <w:sz w:val="24"/>
          <w:szCs w:val="24"/>
        </w:rPr>
        <w:t>Foucault (1984) afirma que seu objetivo em todos os seus anos de estudo não foi analisar o poder, mas saber como os seres humanos se tornam sujeitos, através dos ‘modos ou processos de subjetivação’. Concebe o sujeito como agônico, no sentido de ser uma provocação permanente das relações de poder-saber-subjetividade.</w:t>
      </w:r>
    </w:p>
    <w:p w:rsidR="00D24E61" w:rsidRPr="00771368" w:rsidRDefault="00D24E61">
      <w:pPr>
        <w:spacing w:line="271" w:lineRule="exact"/>
        <w:rPr>
          <w:sz w:val="24"/>
          <w:szCs w:val="24"/>
        </w:rPr>
      </w:pPr>
    </w:p>
    <w:p w:rsidR="00D24E61" w:rsidRPr="00771368" w:rsidRDefault="00D24E61">
      <w:pPr>
        <w:spacing w:line="234" w:lineRule="auto"/>
        <w:ind w:left="2261"/>
        <w:jc w:val="both"/>
        <w:rPr>
          <w:sz w:val="20"/>
          <w:szCs w:val="20"/>
        </w:rPr>
      </w:pPr>
      <w:r w:rsidRPr="00771368">
        <w:rPr>
          <w:sz w:val="20"/>
          <w:szCs w:val="20"/>
        </w:rPr>
        <w:t>O termo ‘subjetivação’ designa, para Foucault, um processo pelo qual se obtém a constituição de um sujeito, ou, mais exatamente, de uma subjetividade. Os ‘modos de subjetivação’ ou ‘processos de subjetivação’ do ser humano correspondem, na realidade, a dois tipos de análise: de um lado, os modos de objetivação que transformam os seres humanos em sujeitos - o que significa que há somente sujeitos objetivados e que os modos de subjetivação são, nesse sentido, práticas de objetivação; de outro lado, a maneira pela qual a relação consigo, por meio de um certo número de técnicas, permite constituir-se como sujeito de sua própria existência (REVEL, 2005, p. 82).</w:t>
      </w:r>
    </w:p>
    <w:p w:rsidR="00D24E61" w:rsidRPr="00771368" w:rsidRDefault="00D24E61">
      <w:pPr>
        <w:spacing w:line="292" w:lineRule="exact"/>
        <w:rPr>
          <w:sz w:val="24"/>
          <w:szCs w:val="24"/>
        </w:rPr>
      </w:pPr>
    </w:p>
    <w:p w:rsidR="00D24E61" w:rsidRPr="00771368" w:rsidRDefault="00D24E61">
      <w:pPr>
        <w:spacing w:line="308" w:lineRule="auto"/>
        <w:ind w:left="1" w:right="20" w:firstLine="852"/>
        <w:rPr>
          <w:sz w:val="20"/>
          <w:szCs w:val="20"/>
        </w:rPr>
      </w:pPr>
      <w:r w:rsidRPr="00771368">
        <w:rPr>
          <w:sz w:val="24"/>
          <w:szCs w:val="24"/>
        </w:rPr>
        <w:t>Vivar Y Soler (2008) destaca a relevância de estudar a subjetividade a luz do pensamento de Foucault. Segundo ele, “a questão não passa pelo desvelamento nem pelo</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615744" behindDoc="0" locked="0" layoutInCell="0" allowOverlap="1">
                <wp:simplePos x="0" y="0"/>
                <wp:positionH relativeFrom="column">
                  <wp:posOffset>0</wp:posOffset>
                </wp:positionH>
                <wp:positionV relativeFrom="paragraph">
                  <wp:posOffset>363855</wp:posOffset>
                </wp:positionV>
                <wp:extent cx="1828800" cy="0"/>
                <wp:effectExtent l="9525" t="11430" r="9525" b="7620"/>
                <wp:wrapNone/>
                <wp:docPr id="31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1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8.65pt" to="2in,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MoFgIAACsEAAAOAAAAZHJzL2Uyb0RvYy54bWysU8uO2yAU3VfqPyD2ie2MJ3W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" o:allowincell="f" strokeweight=".72pt"/>
            </w:pict>
          </mc:Fallback>
        </mc:AlternateContent>
      </w:r>
    </w:p>
    <w:p w:rsidR="00D24E61" w:rsidRPr="00771368" w:rsidRDefault="00D24E61">
      <w:pPr>
        <w:spacing w:line="200" w:lineRule="exact"/>
        <w:rPr>
          <w:sz w:val="24"/>
          <w:szCs w:val="24"/>
        </w:rPr>
      </w:pPr>
    </w:p>
    <w:p w:rsidR="00D24E61" w:rsidRPr="00771368" w:rsidRDefault="00D24E61">
      <w:pPr>
        <w:spacing w:line="324" w:lineRule="exact"/>
        <w:rPr>
          <w:sz w:val="24"/>
          <w:szCs w:val="24"/>
        </w:rPr>
      </w:pPr>
    </w:p>
    <w:p w:rsidR="00D24E61" w:rsidRPr="00771368" w:rsidRDefault="00D24E61" w:rsidP="00FA0ABA">
      <w:pPr>
        <w:numPr>
          <w:ilvl w:val="0"/>
          <w:numId w:val="19"/>
        </w:numPr>
        <w:tabs>
          <w:tab w:val="left" w:pos="227"/>
        </w:tabs>
        <w:spacing w:line="186" w:lineRule="auto"/>
        <w:ind w:left="1" w:right="20" w:hanging="1"/>
        <w:jc w:val="both"/>
        <w:rPr>
          <w:sz w:val="26"/>
          <w:szCs w:val="26"/>
          <w:vertAlign w:val="superscript"/>
        </w:rPr>
      </w:pPr>
      <w:r w:rsidRPr="00771368">
        <w:rPr>
          <w:sz w:val="20"/>
          <w:szCs w:val="20"/>
        </w:rPr>
        <w:t>Mestrando em Educação Brasileira, pela Universidade Federal do Ceará. Linha de Pesquisa História da Educação Comparada. Bolsista do CNPq. Escritor de Literatura LGBTT e Militante Gay.</w:t>
      </w:r>
    </w:p>
    <w:p w:rsidR="00D24E61" w:rsidRPr="00771368" w:rsidRDefault="00D24E61">
      <w:pPr>
        <w:spacing w:line="50" w:lineRule="exact"/>
        <w:rPr>
          <w:sz w:val="26"/>
          <w:szCs w:val="26"/>
          <w:vertAlign w:val="superscript"/>
        </w:rPr>
      </w:pPr>
    </w:p>
    <w:p w:rsidR="00D24E61" w:rsidRPr="00771368" w:rsidRDefault="00D24E61" w:rsidP="00FA0ABA">
      <w:pPr>
        <w:numPr>
          <w:ilvl w:val="0"/>
          <w:numId w:val="19"/>
        </w:numPr>
        <w:tabs>
          <w:tab w:val="left" w:pos="239"/>
        </w:tabs>
        <w:spacing w:line="211" w:lineRule="auto"/>
        <w:ind w:left="1" w:right="20" w:hanging="1"/>
        <w:jc w:val="both"/>
        <w:rPr>
          <w:sz w:val="26"/>
          <w:szCs w:val="26"/>
          <w:vertAlign w:val="superscript"/>
        </w:rPr>
      </w:pPr>
      <w:r w:rsidRPr="00771368">
        <w:rPr>
          <w:sz w:val="20"/>
          <w:szCs w:val="20"/>
        </w:rPr>
        <w:t>Doutora em Educação Brasileira. Professora Associado da Universidade Regional do Cariri, Professora Adjunto I da Faculdade de Medicina Estacio de Juazeiro do Norte e da Faculdade de Juazeiro do Norte. Tem experiência na área de Educação, com ênfase em História da Educação no Cariri Cearense, atuando principalmente nos seguintes temas: história da educação, gênero, saúde e violência.</w:t>
      </w:r>
    </w:p>
    <w:p w:rsidR="00D24E61" w:rsidRPr="00771368" w:rsidRDefault="00D24E61">
      <w:pPr>
        <w:spacing w:line="173" w:lineRule="exact"/>
        <w:rPr>
          <w:sz w:val="24"/>
          <w:szCs w:val="24"/>
        </w:rPr>
      </w:pP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08" w:lineRule="auto"/>
        <w:ind w:right="20"/>
        <w:jc w:val="both"/>
        <w:rPr>
          <w:sz w:val="20"/>
          <w:szCs w:val="20"/>
        </w:rPr>
      </w:pPr>
      <w:r w:rsidRPr="00771368">
        <w:rPr>
          <w:sz w:val="24"/>
          <w:szCs w:val="24"/>
        </w:rPr>
        <w:t>retorno à matriz identitária, mas sim pela intensa relação política dos modos pelas quais a subjetividade é produzida nos seus mais variados dispositivos e agenciamentos” (p. 579).</w:t>
      </w:r>
    </w:p>
    <w:p w:rsidR="00D24E61" w:rsidRPr="00771368" w:rsidRDefault="00D24E61">
      <w:pPr>
        <w:spacing w:line="120" w:lineRule="exact"/>
        <w:rPr>
          <w:sz w:val="20"/>
          <w:szCs w:val="20"/>
        </w:rPr>
      </w:pPr>
    </w:p>
    <w:p w:rsidR="00D24E61" w:rsidRPr="00771368" w:rsidRDefault="00D24E61">
      <w:pPr>
        <w:spacing w:line="354" w:lineRule="auto"/>
        <w:ind w:firstLine="852"/>
        <w:jc w:val="both"/>
        <w:rPr>
          <w:sz w:val="20"/>
          <w:szCs w:val="20"/>
        </w:rPr>
      </w:pPr>
      <w:r w:rsidRPr="00771368">
        <w:rPr>
          <w:sz w:val="24"/>
          <w:szCs w:val="24"/>
        </w:rPr>
        <w:t>Ao estudar os processos de subjetivação, Foucault nos instiga a pensar sobre o próprio cotidiano, mas precisamente, “o intenso processo de tangeciamento pelo saber que nos produz, pelo poder que nos disciplina e controla e pela ética que faz com que o sujeito possa se relacionar consigo mesmo, segundo certos critérios” (VIVAR Y SOLER, 2008, p.579).</w:t>
      </w:r>
    </w:p>
    <w:p w:rsidR="00D24E61" w:rsidRPr="00771368" w:rsidRDefault="00D24E61">
      <w:pPr>
        <w:spacing w:line="200" w:lineRule="exact"/>
        <w:rPr>
          <w:sz w:val="20"/>
          <w:szCs w:val="20"/>
        </w:rPr>
      </w:pPr>
    </w:p>
    <w:p w:rsidR="00D24E61" w:rsidRPr="00771368" w:rsidRDefault="00D24E61">
      <w:pPr>
        <w:spacing w:line="241" w:lineRule="exact"/>
        <w:rPr>
          <w:sz w:val="20"/>
          <w:szCs w:val="20"/>
        </w:rPr>
      </w:pPr>
    </w:p>
    <w:p w:rsidR="00D24E61" w:rsidRPr="00771368" w:rsidRDefault="00D24E61">
      <w:pPr>
        <w:spacing w:line="347" w:lineRule="auto"/>
        <w:ind w:firstLine="852"/>
        <w:jc w:val="both"/>
        <w:rPr>
          <w:sz w:val="20"/>
          <w:szCs w:val="20"/>
        </w:rPr>
      </w:pPr>
      <w:r w:rsidRPr="00771368">
        <w:rPr>
          <w:sz w:val="24"/>
          <w:szCs w:val="24"/>
        </w:rPr>
        <w:t>Segundo Foucault (2001b), a escola é uma das instituições de sequestro como o hospital, a prisão e o quartel. Ela retira os indivíduos do convívio familiar ou social mais amplo, durante certo período, para moldar suas condutas, disciplinar seus comportamentos e formatar aquilo que pensam. Na escola, poder e saber estão intimamente ligados. O poder produz saber e vice-versa.</w:t>
      </w:r>
    </w:p>
    <w:p w:rsidR="00D24E61" w:rsidRPr="00771368" w:rsidRDefault="00D24E61">
      <w:pPr>
        <w:spacing w:line="77" w:lineRule="exact"/>
        <w:rPr>
          <w:sz w:val="20"/>
          <w:szCs w:val="20"/>
        </w:rPr>
      </w:pPr>
    </w:p>
    <w:p w:rsidR="00D24E61" w:rsidRPr="00771368" w:rsidRDefault="00D24E61">
      <w:pPr>
        <w:spacing w:line="342" w:lineRule="auto"/>
        <w:ind w:firstLine="852"/>
        <w:jc w:val="both"/>
        <w:rPr>
          <w:sz w:val="20"/>
          <w:szCs w:val="20"/>
        </w:rPr>
      </w:pPr>
      <w:r w:rsidRPr="00771368">
        <w:rPr>
          <w:sz w:val="24"/>
          <w:szCs w:val="24"/>
        </w:rPr>
        <w:t>Foucault afirma que o poder tem algumas características básicas. Entre elas estão à positividade, a imaterialidade e a não-subjetividade, pois ele não é passível de titularidade. Todos o possuem ao mesmo tempo em que ninguém o detém, ou seja, o poder não pertence a algo ou alguém.</w:t>
      </w:r>
    </w:p>
    <w:p w:rsidR="00D24E61" w:rsidRPr="00771368" w:rsidRDefault="00D24E61">
      <w:pPr>
        <w:spacing w:line="83" w:lineRule="exact"/>
        <w:rPr>
          <w:sz w:val="20"/>
          <w:szCs w:val="20"/>
        </w:rPr>
      </w:pPr>
    </w:p>
    <w:p w:rsidR="00D24E61" w:rsidRPr="00771368" w:rsidRDefault="00D24E61">
      <w:pPr>
        <w:spacing w:line="342" w:lineRule="auto"/>
        <w:ind w:right="20" w:firstLine="852"/>
        <w:jc w:val="both"/>
        <w:rPr>
          <w:sz w:val="20"/>
          <w:szCs w:val="20"/>
        </w:rPr>
      </w:pPr>
      <w:r w:rsidRPr="00771368">
        <w:rPr>
          <w:sz w:val="24"/>
          <w:szCs w:val="24"/>
        </w:rPr>
        <w:t>Ainda de acordo com este autor, a disciplina é “um tipo de poder, uma modalidade para exercê-lo, que comporta todo um conjunto de instrumentos, de técnicas, de procedimentos, de níveis de aplicação, de alvos; ela é uma física ou uma anatomia do poder, uma tecnologia”. (2001b, p, 177).</w:t>
      </w:r>
    </w:p>
    <w:p w:rsidR="00D24E61" w:rsidRPr="00771368" w:rsidRDefault="00D24E61">
      <w:pPr>
        <w:spacing w:line="83" w:lineRule="exact"/>
        <w:rPr>
          <w:sz w:val="20"/>
          <w:szCs w:val="20"/>
        </w:rPr>
      </w:pPr>
    </w:p>
    <w:p w:rsidR="00D24E61" w:rsidRPr="00771368" w:rsidRDefault="00D24E61">
      <w:pPr>
        <w:spacing w:line="342" w:lineRule="auto"/>
        <w:ind w:right="20" w:firstLine="852"/>
        <w:jc w:val="both"/>
        <w:rPr>
          <w:sz w:val="20"/>
          <w:szCs w:val="20"/>
        </w:rPr>
      </w:pPr>
      <w:r w:rsidRPr="00771368">
        <w:rPr>
          <w:sz w:val="24"/>
          <w:szCs w:val="24"/>
        </w:rPr>
        <w:t>Em linhas gerais, podemos dizer que a disciplina tem três finalidades básicas: visa tornar o exercício do poder menos custoso, deseja propagar a docilidade nos corpos e nas almas dos sujeitos, ao mesmo tempo em que busca intensificar ao máximo os efeitos do poder sobre estes.</w:t>
      </w:r>
    </w:p>
    <w:p w:rsidR="00D24E61" w:rsidRPr="00771368" w:rsidRDefault="00D24E61">
      <w:pPr>
        <w:spacing w:line="71" w:lineRule="exact"/>
        <w:rPr>
          <w:sz w:val="20"/>
          <w:szCs w:val="20"/>
        </w:rPr>
      </w:pPr>
    </w:p>
    <w:p w:rsidR="00D24E61" w:rsidRPr="00771368" w:rsidRDefault="00D24E61">
      <w:pPr>
        <w:spacing w:line="233" w:lineRule="auto"/>
        <w:ind w:left="2260"/>
        <w:jc w:val="both"/>
        <w:rPr>
          <w:sz w:val="20"/>
          <w:szCs w:val="20"/>
        </w:rPr>
      </w:pPr>
      <w:r w:rsidRPr="00771368">
        <w:rPr>
          <w:sz w:val="20"/>
          <w:szCs w:val="20"/>
        </w:rPr>
        <w:t>O poder disciplinar é, com efeito, um poder que, em vez de se apropriar e de retirar, tem como função maior ‘adestrar’, ou sem dúvida adestrar para retirar e se apropriar ainda mais e melhor. [...] A disciplina ‘fabrica’ indivíduos; ela é a técnica específica de um poder que toma os indivíduos ao mesmo tempo como objetos e como instrumentos de seu exercício. Não é um poder triunfante que, a partir de seu próprio excesso, pode-se fiar em seu superpoderio; é um poder modesto, desconfiado, que funciona a modo de uma economia calculada, mas permanente. (FOUCAULT, 2001b. p.143).</w:t>
      </w:r>
    </w:p>
    <w:p w:rsidR="00D24E61" w:rsidRPr="00771368" w:rsidRDefault="00D24E61">
      <w:pPr>
        <w:spacing w:line="200" w:lineRule="exact"/>
        <w:rPr>
          <w:sz w:val="20"/>
          <w:szCs w:val="20"/>
        </w:rPr>
      </w:pPr>
    </w:p>
    <w:p w:rsidR="00D24E61" w:rsidRPr="00771368" w:rsidRDefault="00D24E61">
      <w:pPr>
        <w:spacing w:line="280" w:lineRule="exact"/>
        <w:rPr>
          <w:sz w:val="20"/>
          <w:szCs w:val="20"/>
        </w:rPr>
      </w:pPr>
    </w:p>
    <w:p w:rsidR="00D24E61" w:rsidRPr="00771368" w:rsidRDefault="00D24E61">
      <w:pPr>
        <w:spacing w:line="334" w:lineRule="auto"/>
        <w:ind w:right="20" w:firstLine="852"/>
        <w:jc w:val="both"/>
        <w:rPr>
          <w:sz w:val="20"/>
          <w:szCs w:val="20"/>
        </w:rPr>
      </w:pPr>
      <w:r w:rsidRPr="00771368">
        <w:rPr>
          <w:sz w:val="24"/>
          <w:szCs w:val="24"/>
        </w:rPr>
        <w:t>Levando em consideração a relação poder-saber nos espaços educativos, percebemos a importância de investigar os discursos de gênero no âmbito da História da Educação Comparada.</w:t>
      </w:r>
    </w:p>
    <w:p w:rsidR="00D24E61" w:rsidRPr="00771368" w:rsidRDefault="00D24E61">
      <w:pPr>
        <w:spacing w:line="29" w:lineRule="exact"/>
        <w:rPr>
          <w:sz w:val="20"/>
          <w:szCs w:val="20"/>
        </w:rPr>
      </w:pPr>
    </w:p>
    <w:p w:rsidR="00D24E61" w:rsidRPr="00771368" w:rsidRDefault="00D24E61">
      <w:pPr>
        <w:spacing w:line="342" w:lineRule="auto"/>
        <w:ind w:right="20" w:firstLine="852"/>
        <w:jc w:val="both"/>
        <w:rPr>
          <w:sz w:val="20"/>
          <w:szCs w:val="20"/>
        </w:rPr>
      </w:pPr>
      <w:r w:rsidRPr="00771368">
        <w:rPr>
          <w:sz w:val="24"/>
          <w:szCs w:val="24"/>
        </w:rPr>
        <w:t>Atualmente, o ambiente político e econômico mundial são favoráveis ao crescimento do número de estudos comparados em educação, visto que esta é um elemento central nas tendências de união política, presentes em algumas regiões do mundo, como também no próprio processo de globalização.</w:t>
      </w:r>
    </w:p>
    <w:p w:rsidR="00D24E61" w:rsidRPr="00771368" w:rsidRDefault="00D24E61">
      <w:pPr>
        <w:spacing w:line="83" w:lineRule="exact"/>
        <w:rPr>
          <w:sz w:val="20"/>
          <w:szCs w:val="20"/>
        </w:rPr>
      </w:pPr>
    </w:p>
    <w:p w:rsidR="00D24E61" w:rsidRPr="00771368" w:rsidRDefault="00D24E61">
      <w:pPr>
        <w:spacing w:line="347" w:lineRule="auto"/>
        <w:ind w:firstLine="852"/>
        <w:jc w:val="both"/>
        <w:rPr>
          <w:sz w:val="20"/>
          <w:szCs w:val="20"/>
        </w:rPr>
      </w:pPr>
      <w:r w:rsidRPr="00771368">
        <w:rPr>
          <w:sz w:val="24"/>
          <w:szCs w:val="24"/>
        </w:rPr>
        <w:t>Segundo Franco (2000), ao realizar um estudo comparado, o objetivo maior não deve ser o de verificar semelhanças ou diferenças, mas o de encontrar sentido para os processos educacionais. Apesar das ideologias transnacionais, das consequências de imposições de modelos civilizacionais, das circularidades de ideias, os processos educativos são distintos, variando conforme as localidades e/ou tempos históricos.</w:t>
      </w:r>
    </w:p>
    <w:p w:rsidR="00D24E61" w:rsidRPr="00771368" w:rsidRDefault="00D24E61">
      <w:pPr>
        <w:spacing w:line="74" w:lineRule="exact"/>
        <w:rPr>
          <w:sz w:val="20"/>
          <w:szCs w:val="20"/>
        </w:rPr>
      </w:pPr>
    </w:p>
    <w:p w:rsidR="00D24E61" w:rsidRPr="00771368" w:rsidRDefault="00D24E61">
      <w:pPr>
        <w:spacing w:line="350" w:lineRule="auto"/>
        <w:ind w:right="20" w:firstLine="852"/>
        <w:jc w:val="both"/>
        <w:rPr>
          <w:sz w:val="20"/>
          <w:szCs w:val="20"/>
        </w:rPr>
      </w:pPr>
      <w:r w:rsidRPr="00771368">
        <w:rPr>
          <w:sz w:val="24"/>
          <w:szCs w:val="24"/>
        </w:rPr>
        <w:t>Refletindo sobre isso percebemos que os discursos de gênero também estão presentes nesse processo. A História da Educação Brasileira é formada por empréstimos e ressignificações. Sistemas Educativos mundiais foram trazidos para o território nacional ao longo dos mais de 500 anos de ‘descobrimento’, incentivando maneiras de ser, pensar e agir. Impregnado a estes Sistemas, podemos encontrar discursos sobre masculinidades, feminilidades e suas respectivas relações, ou seja, discursos de gênero.</w:t>
      </w:r>
    </w:p>
    <w:p w:rsidR="00D24E61" w:rsidRPr="00771368" w:rsidRDefault="00D24E61">
      <w:pPr>
        <w:spacing w:line="69" w:lineRule="exact"/>
        <w:rPr>
          <w:sz w:val="20"/>
          <w:szCs w:val="20"/>
        </w:rPr>
      </w:pPr>
    </w:p>
    <w:p w:rsidR="00D24E61" w:rsidRPr="00771368" w:rsidRDefault="00D24E61">
      <w:pPr>
        <w:spacing w:line="347" w:lineRule="auto"/>
        <w:ind w:firstLine="852"/>
        <w:jc w:val="both"/>
        <w:rPr>
          <w:sz w:val="20"/>
          <w:szCs w:val="20"/>
        </w:rPr>
      </w:pPr>
      <w:r w:rsidRPr="00771368">
        <w:rPr>
          <w:sz w:val="24"/>
          <w:szCs w:val="24"/>
        </w:rPr>
        <w:t>Segundo Scott (1990) “o gênero é um elemento constitutivo de relações sociais fundadas sobre as diferenças percebidas entre os sexos”. Esses elementos podem ser observados nos símbolos e conceitos utilizados pela sociedade, além de estar presente nas identidades subjetivas, ou seja, “nas maneiras pelas quais as identidades de gênero são realmente construídas” pelos sujeitos concretos. (p. 15).</w:t>
      </w:r>
    </w:p>
    <w:p w:rsidR="00D24E61" w:rsidRPr="00771368" w:rsidRDefault="00D24E61">
      <w:pPr>
        <w:spacing w:line="77" w:lineRule="exact"/>
        <w:rPr>
          <w:sz w:val="20"/>
          <w:szCs w:val="20"/>
        </w:rPr>
      </w:pPr>
    </w:p>
    <w:p w:rsidR="00D24E61" w:rsidRPr="00771368" w:rsidRDefault="00D24E61">
      <w:pPr>
        <w:spacing w:line="349" w:lineRule="auto"/>
        <w:ind w:firstLine="852"/>
        <w:jc w:val="both"/>
        <w:rPr>
          <w:sz w:val="20"/>
          <w:szCs w:val="20"/>
        </w:rPr>
      </w:pPr>
      <w:r w:rsidRPr="00771368">
        <w:rPr>
          <w:sz w:val="24"/>
          <w:szCs w:val="24"/>
        </w:rPr>
        <w:t>A historiadora mencionada anteriormente chama atenção para o fato de que o gênero é um primeiro modo de dar significado às relações de poder. Logo, o seu estudo se apresenta como algo complexo, mas útil para as pesquisas em História. Para ela, o gênero é um elemento que pode provocar novas questões e novas respostas para velhas questões, além de colocar como ativos e visíveis sujeitos que usualmente têm estado escondidos nas análises mais tradicionais.</w:t>
      </w:r>
    </w:p>
    <w:p w:rsidR="00D24E61" w:rsidRPr="00771368" w:rsidRDefault="00D24E61">
      <w:pPr>
        <w:spacing w:line="15" w:lineRule="exact"/>
        <w:rPr>
          <w:sz w:val="20"/>
          <w:szCs w:val="20"/>
        </w:rPr>
      </w:pPr>
    </w:p>
    <w:p w:rsidR="00D24E61" w:rsidRPr="00771368" w:rsidRDefault="00D24E61">
      <w:pPr>
        <w:ind w:left="860"/>
        <w:rPr>
          <w:sz w:val="20"/>
          <w:szCs w:val="20"/>
        </w:rPr>
      </w:pPr>
      <w:r w:rsidRPr="00771368">
        <w:rPr>
          <w:sz w:val="24"/>
          <w:szCs w:val="24"/>
        </w:rPr>
        <w:t>Segundo Scott (1994), o papel da História seria:</w:t>
      </w:r>
    </w:p>
    <w:p w:rsidR="00D24E61" w:rsidRPr="00771368" w:rsidRDefault="00D24E61">
      <w:pPr>
        <w:spacing w:line="188" w:lineRule="exact"/>
        <w:rPr>
          <w:sz w:val="20"/>
          <w:szCs w:val="20"/>
        </w:rPr>
      </w:pPr>
    </w:p>
    <w:p w:rsidR="00D24E61" w:rsidRPr="00771368" w:rsidRDefault="00D24E61">
      <w:pPr>
        <w:spacing w:line="231" w:lineRule="auto"/>
        <w:ind w:left="2260" w:right="20"/>
        <w:jc w:val="both"/>
        <w:rPr>
          <w:sz w:val="20"/>
          <w:szCs w:val="20"/>
        </w:rPr>
      </w:pPr>
      <w:r w:rsidRPr="00771368">
        <w:rPr>
          <w:sz w:val="20"/>
          <w:szCs w:val="20"/>
        </w:rPr>
        <w:t>Historicizar gênero, enfatizar os significados variáveis e contraditórios atribuídos à diferença sexual, os processos políticos através dos quais esses significados são construídos, a instabilidade e maleabilidade das categorias ‘mulheres e homens’, e os modos pelos quais essas categorias se articulam em termos da outra, embora de maneira não consistente ou da mesma maneira em cada momento (SCOTT, 1994, p. 25-26).</w:t>
      </w:r>
    </w:p>
    <w:p w:rsidR="00D24E61" w:rsidRPr="00771368" w:rsidRDefault="00D24E61">
      <w:pPr>
        <w:spacing w:line="200" w:lineRule="exact"/>
        <w:rPr>
          <w:sz w:val="20"/>
          <w:szCs w:val="20"/>
        </w:rPr>
      </w:pPr>
    </w:p>
    <w:p w:rsidR="00D24E61" w:rsidRPr="00771368" w:rsidRDefault="00D24E61">
      <w:pPr>
        <w:spacing w:line="274" w:lineRule="exact"/>
        <w:rPr>
          <w:sz w:val="20"/>
          <w:szCs w:val="20"/>
        </w:rPr>
      </w:pPr>
    </w:p>
    <w:p w:rsidR="00D24E61" w:rsidRPr="00771368" w:rsidRDefault="00D24E61">
      <w:pPr>
        <w:spacing w:line="310" w:lineRule="auto"/>
        <w:ind w:firstLine="914"/>
        <w:rPr>
          <w:sz w:val="20"/>
          <w:szCs w:val="20"/>
        </w:rPr>
      </w:pPr>
      <w:r w:rsidRPr="00771368">
        <w:rPr>
          <w:sz w:val="24"/>
          <w:szCs w:val="24"/>
        </w:rPr>
        <w:t>Louro (2008a) compartilha as ideias de Scott, afirmando que não é o momento do nascimento e da nomeação de um corpo como macho ou fêmea que faz deste um sujeito</w:t>
      </w:r>
    </w:p>
    <w:p w:rsidR="00D24E61" w:rsidRPr="00771368" w:rsidRDefault="00D24E61">
      <w:pPr>
        <w:spacing w:line="308" w:lineRule="auto"/>
        <w:ind w:right="20"/>
        <w:rPr>
          <w:sz w:val="20"/>
          <w:szCs w:val="20"/>
        </w:rPr>
      </w:pPr>
      <w:r w:rsidRPr="00771368">
        <w:rPr>
          <w:sz w:val="24"/>
          <w:szCs w:val="24"/>
        </w:rPr>
        <w:t>masculino ou feminino. “A construção do gênero e da sexualidade dá-se ao longo de toda a vida, continuamente, infindavelmente” (p.18).</w:t>
      </w:r>
    </w:p>
    <w:p w:rsidR="00D24E61" w:rsidRPr="00771368" w:rsidRDefault="00D24E61">
      <w:pPr>
        <w:spacing w:line="120" w:lineRule="exact"/>
        <w:rPr>
          <w:sz w:val="20"/>
          <w:szCs w:val="20"/>
        </w:rPr>
      </w:pPr>
    </w:p>
    <w:p w:rsidR="00D24E61" w:rsidRPr="00771368" w:rsidRDefault="00D24E61">
      <w:pPr>
        <w:spacing w:line="308" w:lineRule="auto"/>
        <w:ind w:right="20" w:firstLine="852"/>
        <w:rPr>
          <w:sz w:val="20"/>
          <w:szCs w:val="20"/>
        </w:rPr>
      </w:pPr>
      <w:r w:rsidRPr="00771368">
        <w:rPr>
          <w:sz w:val="24"/>
          <w:szCs w:val="24"/>
        </w:rPr>
        <w:t>O masculino e o feminino são construídos através de práticas sociais masculinizantes ou feminizantes, de acordo com as concepções de cada sociedade.</w:t>
      </w:r>
    </w:p>
    <w:p w:rsidR="00D24E61" w:rsidRPr="00771368" w:rsidRDefault="00D24E61">
      <w:pPr>
        <w:spacing w:line="110" w:lineRule="exact"/>
        <w:rPr>
          <w:sz w:val="20"/>
          <w:szCs w:val="20"/>
        </w:rPr>
      </w:pPr>
    </w:p>
    <w:p w:rsidR="00D24E61" w:rsidRPr="00771368" w:rsidRDefault="00D24E61">
      <w:pPr>
        <w:spacing w:line="231" w:lineRule="auto"/>
        <w:ind w:left="2260"/>
        <w:jc w:val="both"/>
        <w:rPr>
          <w:sz w:val="20"/>
          <w:szCs w:val="20"/>
        </w:rPr>
      </w:pPr>
      <w:r w:rsidRPr="00771368">
        <w:rPr>
          <w:sz w:val="20"/>
          <w:szCs w:val="20"/>
        </w:rPr>
        <w:t>Ao nascer, os sujeitos já trazem determinadas características biológicas que os põem a viver como homens ou mulheres, mas todo um conjunto de outros determinantes (sociais, psicológicos, culturais) podem levá-los a construir-se em consonância ou em oposição as características biológicas [...] Há, pois, uma conjunção de fatores que se combinam para construir os sujeitos como homens e mulheres ( LOURO, 1995, p. 37).</w:t>
      </w:r>
    </w:p>
    <w:p w:rsidR="00D24E61" w:rsidRPr="00771368" w:rsidRDefault="00D24E61">
      <w:pPr>
        <w:spacing w:line="292" w:lineRule="exact"/>
        <w:rPr>
          <w:sz w:val="20"/>
          <w:szCs w:val="20"/>
        </w:rPr>
      </w:pPr>
    </w:p>
    <w:p w:rsidR="00D24E61" w:rsidRPr="00771368" w:rsidRDefault="00D24E61">
      <w:pPr>
        <w:spacing w:line="346" w:lineRule="auto"/>
        <w:ind w:firstLine="852"/>
        <w:jc w:val="both"/>
        <w:rPr>
          <w:sz w:val="20"/>
          <w:szCs w:val="20"/>
        </w:rPr>
      </w:pPr>
      <w:r w:rsidRPr="00771368">
        <w:rPr>
          <w:sz w:val="24"/>
          <w:szCs w:val="24"/>
        </w:rPr>
        <w:t>Defendemos a ideia de que a categoria de gênero é, ao mesmo tempo, social, histórica e biológica. Tornar-se homem ou tornar-se mulher, assim como afirma Simone de Beauvoir (1980) supõe, portanto, um trabalho de socialização de sujeitos, onde estes não são depositários passivos de uma cultura, mas integram-na de forma ativa e própria, em determinados espaços-temporais.</w:t>
      </w:r>
    </w:p>
    <w:p w:rsidR="00D24E61" w:rsidRPr="00771368" w:rsidRDefault="00D24E61">
      <w:pPr>
        <w:spacing w:line="270" w:lineRule="exact"/>
        <w:rPr>
          <w:sz w:val="20"/>
          <w:szCs w:val="20"/>
        </w:rPr>
      </w:pPr>
    </w:p>
    <w:p w:rsidR="00D24E61" w:rsidRPr="00771368" w:rsidRDefault="00D24E61">
      <w:pPr>
        <w:spacing w:line="232" w:lineRule="auto"/>
        <w:ind w:left="2260" w:right="20"/>
        <w:jc w:val="both"/>
        <w:rPr>
          <w:sz w:val="20"/>
          <w:szCs w:val="20"/>
        </w:rPr>
      </w:pPr>
      <w:r w:rsidRPr="00771368">
        <w:rPr>
          <w:sz w:val="20"/>
          <w:szCs w:val="20"/>
        </w:rPr>
        <w:t>Ao minimizarmos (às vezes até ignorarmos) a dimensão biológica presente no gênero, ficamos [...] extremamente vulneráveis às criticas e de certo modo acabamos por favorecer aqueles que pretendem ver nas distinções físicas a explicação final para as distinções sociais. Se, inversamente, enquanto historiadores (as), formos capazes de considerar e integrar o biológico à história, poderemos demonstrar que o próprio corpo é “lido” histórica e socialmente, ou seja, que também as concepções sobre o biológico dão-se num contexto sócio-histórico. (LOURO, 1994, p. 40)</w:t>
      </w:r>
    </w:p>
    <w:p w:rsidR="00D24E61" w:rsidRPr="00771368" w:rsidRDefault="00D24E61">
      <w:pPr>
        <w:spacing w:line="239" w:lineRule="exact"/>
        <w:rPr>
          <w:sz w:val="20"/>
          <w:szCs w:val="20"/>
        </w:rPr>
      </w:pPr>
    </w:p>
    <w:p w:rsidR="00D24E61" w:rsidRPr="00771368" w:rsidRDefault="00D24E61">
      <w:pPr>
        <w:spacing w:line="307" w:lineRule="auto"/>
        <w:ind w:right="20" w:firstLine="852"/>
        <w:jc w:val="both"/>
        <w:rPr>
          <w:sz w:val="20"/>
          <w:szCs w:val="20"/>
        </w:rPr>
      </w:pPr>
      <w:r w:rsidRPr="00771368">
        <w:rPr>
          <w:sz w:val="24"/>
          <w:szCs w:val="24"/>
        </w:rPr>
        <w:t>Mulheres, feminismo e questões ligadas aos LGBTT’s</w:t>
      </w:r>
      <w:r w:rsidRPr="00771368">
        <w:rPr>
          <w:sz w:val="32"/>
          <w:szCs w:val="32"/>
          <w:vertAlign w:val="superscript"/>
        </w:rPr>
        <w:t>3</w:t>
      </w:r>
      <w:r w:rsidRPr="00771368">
        <w:rPr>
          <w:sz w:val="24"/>
          <w:szCs w:val="24"/>
        </w:rPr>
        <w:t xml:space="preserve"> vêm ganhando destaque nos estudos de gênero a mais de cinco décadas. Em contrapartida, os estudos sobre masculinidades ainda são poucos se compararmos com as temáticas citadas acima.</w:t>
      </w:r>
    </w:p>
    <w:p w:rsidR="00D24E61" w:rsidRPr="00771368" w:rsidRDefault="00D24E61">
      <w:pPr>
        <w:spacing w:line="120" w:lineRule="exact"/>
        <w:rPr>
          <w:sz w:val="20"/>
          <w:szCs w:val="20"/>
        </w:rPr>
      </w:pPr>
    </w:p>
    <w:p w:rsidR="00D24E61" w:rsidRPr="00771368" w:rsidRDefault="00D24E61">
      <w:pPr>
        <w:spacing w:line="334" w:lineRule="auto"/>
        <w:ind w:right="20" w:firstLine="912"/>
        <w:jc w:val="both"/>
        <w:rPr>
          <w:sz w:val="20"/>
          <w:szCs w:val="20"/>
        </w:rPr>
      </w:pPr>
      <w:r w:rsidRPr="00771368">
        <w:rPr>
          <w:sz w:val="24"/>
          <w:szCs w:val="24"/>
        </w:rPr>
        <w:t>Acreditamos que os direitos das minorias só começaram a ter resultados significativos, quando fizermos uma investigação inversa, ou seja, estudando a (re) produção de masculinidades, com seus devidos pensamentos, rótulos e estereótipos.</w:t>
      </w:r>
    </w:p>
    <w:p w:rsidR="00D24E61" w:rsidRPr="00771368" w:rsidRDefault="00D24E61">
      <w:pPr>
        <w:spacing w:line="91" w:lineRule="exact"/>
        <w:rPr>
          <w:sz w:val="20"/>
          <w:szCs w:val="20"/>
        </w:rPr>
      </w:pPr>
    </w:p>
    <w:p w:rsidR="00D24E61" w:rsidRPr="00771368" w:rsidRDefault="00D24E61">
      <w:pPr>
        <w:spacing w:line="334" w:lineRule="auto"/>
        <w:ind w:right="20" w:firstLine="852"/>
        <w:jc w:val="both"/>
        <w:rPr>
          <w:sz w:val="20"/>
          <w:szCs w:val="20"/>
        </w:rPr>
      </w:pPr>
      <w:r w:rsidRPr="00771368">
        <w:rPr>
          <w:sz w:val="24"/>
          <w:szCs w:val="24"/>
        </w:rPr>
        <w:t>Ao focalizarmos os espaços educativos, delimitando a Educação Salesiana, como objeto de estudo, buscaremos trazer contribuições inovadoras para os estudos de gênero e também para a História da Educação Comparada.</w:t>
      </w:r>
    </w:p>
    <w:p w:rsidR="00D24E61" w:rsidRPr="00771368" w:rsidRDefault="00D24E61">
      <w:pPr>
        <w:spacing w:line="31" w:lineRule="exact"/>
        <w:rPr>
          <w:sz w:val="20"/>
          <w:szCs w:val="20"/>
        </w:rPr>
      </w:pPr>
    </w:p>
    <w:p w:rsidR="00D24E61" w:rsidRPr="00771368" w:rsidRDefault="00D24E61">
      <w:pPr>
        <w:ind w:left="860"/>
        <w:rPr>
          <w:sz w:val="20"/>
          <w:szCs w:val="20"/>
        </w:rPr>
      </w:pPr>
      <w:r w:rsidRPr="00771368">
        <w:rPr>
          <w:sz w:val="24"/>
          <w:szCs w:val="24"/>
        </w:rPr>
        <w:t>Diante disso, temos os seguintes objetivos:</w:t>
      </w:r>
    </w:p>
    <w:p w:rsidR="00D24E61" w:rsidRDefault="00D24E61">
      <w:pPr>
        <w:spacing w:line="200" w:lineRule="exact"/>
        <w:rPr>
          <w:sz w:val="20"/>
          <w:szCs w:val="20"/>
        </w:rPr>
      </w:pPr>
    </w:p>
    <w:p w:rsidR="00EE013A" w:rsidRPr="00771368" w:rsidRDefault="00EE013A">
      <w:pPr>
        <w:spacing w:line="200" w:lineRule="exact"/>
        <w:rPr>
          <w:sz w:val="20"/>
          <w:szCs w:val="20"/>
        </w:rPr>
      </w:pPr>
    </w:p>
    <w:p w:rsidR="00D24E61" w:rsidRPr="00771368" w:rsidRDefault="00D24E61">
      <w:pPr>
        <w:spacing w:line="200" w:lineRule="exact"/>
        <w:rPr>
          <w:sz w:val="20"/>
          <w:szCs w:val="20"/>
        </w:rPr>
      </w:pPr>
    </w:p>
    <w:p w:rsidR="00EE013A" w:rsidRPr="00771368" w:rsidRDefault="00EE013A" w:rsidP="00EE013A">
      <w:pPr>
        <w:tabs>
          <w:tab w:val="left" w:pos="700"/>
        </w:tabs>
        <w:spacing w:line="239" w:lineRule="auto"/>
        <w:ind w:left="360"/>
        <w:rPr>
          <w:sz w:val="20"/>
          <w:szCs w:val="20"/>
        </w:rPr>
      </w:pPr>
      <w:r w:rsidRPr="00771368">
        <w:rPr>
          <w:b/>
          <w:bCs/>
          <w:sz w:val="24"/>
          <w:szCs w:val="24"/>
        </w:rPr>
        <w:t>2.</w:t>
      </w:r>
      <w:r w:rsidRPr="00771368">
        <w:rPr>
          <w:sz w:val="20"/>
          <w:szCs w:val="20"/>
        </w:rPr>
        <w:tab/>
      </w:r>
      <w:r w:rsidRPr="00771368">
        <w:rPr>
          <w:b/>
          <w:bCs/>
          <w:sz w:val="23"/>
          <w:szCs w:val="23"/>
        </w:rPr>
        <w:t>Objetivos</w:t>
      </w:r>
    </w:p>
    <w:p w:rsidR="00EE013A" w:rsidRPr="00771368" w:rsidRDefault="00EE013A" w:rsidP="00EE013A">
      <w:pPr>
        <w:spacing w:line="339" w:lineRule="exact"/>
        <w:rPr>
          <w:sz w:val="20"/>
          <w:szCs w:val="20"/>
        </w:rPr>
      </w:pPr>
    </w:p>
    <w:p w:rsidR="00EE013A" w:rsidRPr="00771368" w:rsidRDefault="00EE013A" w:rsidP="00EE013A">
      <w:pPr>
        <w:rPr>
          <w:sz w:val="20"/>
          <w:szCs w:val="20"/>
        </w:rPr>
      </w:pPr>
      <w:r w:rsidRPr="00771368">
        <w:rPr>
          <w:b/>
          <w:bCs/>
          <w:sz w:val="24"/>
          <w:szCs w:val="24"/>
        </w:rPr>
        <w:t>Objetivo Geral</w:t>
      </w:r>
    </w:p>
    <w:p w:rsidR="00EE013A" w:rsidRPr="00771368" w:rsidRDefault="00EE013A" w:rsidP="00EE013A">
      <w:pPr>
        <w:spacing w:line="200" w:lineRule="exact"/>
        <w:rPr>
          <w:sz w:val="20"/>
          <w:szCs w:val="20"/>
        </w:rPr>
      </w:pPr>
    </w:p>
    <w:p w:rsidR="00EE013A" w:rsidRPr="00771368" w:rsidRDefault="00EE013A" w:rsidP="00EE013A">
      <w:pPr>
        <w:spacing w:line="206" w:lineRule="exact"/>
        <w:rPr>
          <w:sz w:val="20"/>
          <w:szCs w:val="20"/>
        </w:rPr>
      </w:pPr>
    </w:p>
    <w:p w:rsidR="00EE013A" w:rsidRPr="00771368" w:rsidRDefault="00EE013A" w:rsidP="00EE013A">
      <w:pPr>
        <w:spacing w:line="335" w:lineRule="auto"/>
        <w:ind w:left="720" w:right="20"/>
        <w:jc w:val="both"/>
        <w:rPr>
          <w:sz w:val="20"/>
          <w:szCs w:val="20"/>
        </w:rPr>
      </w:pPr>
      <w:r w:rsidRPr="00771368">
        <w:rPr>
          <w:sz w:val="24"/>
          <w:szCs w:val="24"/>
        </w:rPr>
        <w:t>Investigar a produção de sujeitos masculinos na Educação Salesiana, a partir do estudo histórico-comparado entre o Sistema Preventivo de Dom Bosco, criado em Turim/ Itália e as práticas disciplinares dos Salesianos em Juazeiro do Norte/ Ceará/Brasil.</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EE013A" w:rsidRPr="00771368" w:rsidRDefault="00013211" w:rsidP="00EE013A">
      <w:pPr>
        <w:rPr>
          <w:sz w:val="20"/>
          <w:szCs w:val="20"/>
        </w:rPr>
      </w:pPr>
      <w:r>
        <w:rPr>
          <w:noProof/>
          <w:sz w:val="20"/>
          <w:szCs w:val="20"/>
        </w:rPr>
        <mc:AlternateContent>
          <mc:Choice Requires="wps">
            <w:drawing>
              <wp:anchor distT="0" distB="0" distL="0" distR="0" simplePos="0" relativeHeight="251616768" behindDoc="0" locked="0" layoutInCell="0" allowOverlap="1">
                <wp:simplePos x="0" y="0"/>
                <wp:positionH relativeFrom="column">
                  <wp:posOffset>-635</wp:posOffset>
                </wp:positionH>
                <wp:positionV relativeFrom="paragraph">
                  <wp:posOffset>15875</wp:posOffset>
                </wp:positionV>
                <wp:extent cx="1828800" cy="0"/>
                <wp:effectExtent l="8890" t="6350" r="10160" b="12700"/>
                <wp:wrapNone/>
                <wp:docPr id="31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1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25pt" to="143.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Nm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" o:allowincell="f" strokeweight=".72pt"/>
            </w:pict>
          </mc:Fallback>
        </mc:AlternateContent>
      </w:r>
      <w:r w:rsidR="00EE013A" w:rsidRPr="00771368">
        <w:rPr>
          <w:sz w:val="25"/>
          <w:szCs w:val="25"/>
          <w:vertAlign w:val="superscript"/>
        </w:rPr>
        <w:t>3</w:t>
      </w:r>
      <w:r w:rsidR="00EE013A" w:rsidRPr="00771368">
        <w:rPr>
          <w:sz w:val="20"/>
          <w:szCs w:val="20"/>
        </w:rPr>
        <w:t xml:space="preserve">  Sigla utilizada para designar o grupo formado por Lésbicas, Gays, Bissexuais, Travestis e Transexuais.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ectPr w:rsidR="00D24E61" w:rsidRPr="00771368">
          <w:pgSz w:w="11900" w:h="16838"/>
          <w:pgMar w:top="1440" w:right="1400" w:bottom="707" w:left="1420" w:header="0" w:footer="0" w:gutter="0"/>
          <w:cols w:space="720" w:equalWidth="0">
            <w:col w:w="9080"/>
          </w:cols>
        </w:sectPr>
      </w:pPr>
    </w:p>
    <w:p w:rsidR="00D24E61" w:rsidRPr="00771368" w:rsidRDefault="00D24E61">
      <w:pPr>
        <w:rPr>
          <w:sz w:val="20"/>
          <w:szCs w:val="20"/>
        </w:rPr>
      </w:pPr>
      <w:r w:rsidRPr="00771368">
        <w:rPr>
          <w:b/>
          <w:bCs/>
          <w:sz w:val="24"/>
          <w:szCs w:val="24"/>
        </w:rPr>
        <w:t>Objetivos Específicos/ Tema</w:t>
      </w:r>
    </w:p>
    <w:p w:rsidR="00D24E61" w:rsidRPr="00771368" w:rsidRDefault="00D24E61">
      <w:pPr>
        <w:spacing w:line="348" w:lineRule="exact"/>
        <w:rPr>
          <w:sz w:val="20"/>
          <w:szCs w:val="20"/>
        </w:rPr>
      </w:pPr>
    </w:p>
    <w:p w:rsidR="00D24E61" w:rsidRPr="00771368" w:rsidRDefault="00D24E61">
      <w:pPr>
        <w:ind w:left="360"/>
        <w:jc w:val="both"/>
        <w:rPr>
          <w:sz w:val="20"/>
          <w:szCs w:val="20"/>
        </w:rPr>
      </w:pPr>
      <w:r w:rsidRPr="00771368">
        <w:rPr>
          <w:sz w:val="24"/>
          <w:szCs w:val="24"/>
        </w:rPr>
        <w:t>Identificar os discursos de Dom Bosco sobre a juventude masculina.</w:t>
      </w:r>
    </w:p>
    <w:p w:rsidR="00D24E61" w:rsidRPr="00771368" w:rsidRDefault="00D24E61">
      <w:pPr>
        <w:spacing w:line="214" w:lineRule="exact"/>
        <w:rPr>
          <w:sz w:val="20"/>
          <w:szCs w:val="20"/>
        </w:rPr>
      </w:pPr>
    </w:p>
    <w:p w:rsidR="00D24E61" w:rsidRPr="00771368" w:rsidRDefault="00D24E61">
      <w:pPr>
        <w:spacing w:line="310" w:lineRule="auto"/>
        <w:ind w:left="720" w:right="20"/>
        <w:jc w:val="both"/>
        <w:rPr>
          <w:sz w:val="20"/>
          <w:szCs w:val="20"/>
        </w:rPr>
      </w:pPr>
      <w:r w:rsidRPr="00771368">
        <w:rPr>
          <w:sz w:val="24"/>
          <w:szCs w:val="24"/>
        </w:rPr>
        <w:t>Descrever o impacto do Sistema Preventivo de Dom Bosco nas subjetividades e nos corpos, dos jovens turinenses, na Itália.</w:t>
      </w:r>
    </w:p>
    <w:p w:rsidR="00D24E61" w:rsidRPr="00771368" w:rsidRDefault="00D24E61">
      <w:pPr>
        <w:spacing w:line="131" w:lineRule="exact"/>
        <w:rPr>
          <w:sz w:val="20"/>
          <w:szCs w:val="20"/>
        </w:rPr>
      </w:pPr>
    </w:p>
    <w:p w:rsidR="00D24E61" w:rsidRPr="00771368" w:rsidRDefault="00D24E61">
      <w:pPr>
        <w:spacing w:line="310" w:lineRule="auto"/>
        <w:ind w:left="720" w:right="20"/>
        <w:jc w:val="both"/>
        <w:rPr>
          <w:sz w:val="20"/>
          <w:szCs w:val="20"/>
        </w:rPr>
      </w:pPr>
      <w:r w:rsidRPr="00771368">
        <w:rPr>
          <w:sz w:val="24"/>
          <w:szCs w:val="24"/>
        </w:rPr>
        <w:t>Conhecer a atuação dos Salesianos no Brasil, focalizando as práticas disciplinares difundidas em Juazeiro do Norte, Ceará.</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rPr>
          <w:sz w:val="20"/>
          <w:szCs w:val="20"/>
        </w:rPr>
      </w:pPr>
      <w:r w:rsidRPr="00771368">
        <w:rPr>
          <w:b/>
          <w:bCs/>
          <w:sz w:val="24"/>
          <w:szCs w:val="24"/>
        </w:rPr>
        <w:t>Objetivos Específicos/ Campo de Estudo.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2" w:lineRule="exact"/>
        <w:rPr>
          <w:sz w:val="20"/>
          <w:szCs w:val="20"/>
        </w:rPr>
      </w:pPr>
    </w:p>
    <w:p w:rsidR="00D24E61" w:rsidRPr="00771368" w:rsidRDefault="00D24E61">
      <w:pPr>
        <w:spacing w:line="323" w:lineRule="auto"/>
        <w:ind w:left="720" w:right="120"/>
        <w:jc w:val="both"/>
        <w:rPr>
          <w:sz w:val="20"/>
          <w:szCs w:val="20"/>
        </w:rPr>
      </w:pPr>
      <w:r w:rsidRPr="00771368">
        <w:rPr>
          <w:sz w:val="24"/>
          <w:szCs w:val="24"/>
        </w:rPr>
        <w:t>Contribuir para a discussão de gênero no campo da História da Educação Comparada. Refletir sobre a produção de masculinidades nos espaços educativos.</w:t>
      </w:r>
    </w:p>
    <w:p w:rsidR="00D24E61" w:rsidRPr="00771368" w:rsidRDefault="00D24E61">
      <w:pPr>
        <w:spacing w:line="119" w:lineRule="exact"/>
        <w:rPr>
          <w:sz w:val="20"/>
          <w:szCs w:val="20"/>
        </w:rPr>
      </w:pPr>
    </w:p>
    <w:p w:rsidR="00D24E61" w:rsidRPr="00771368" w:rsidRDefault="00D24E61">
      <w:pPr>
        <w:spacing w:line="310" w:lineRule="auto"/>
        <w:ind w:left="720" w:right="20"/>
        <w:jc w:val="both"/>
        <w:rPr>
          <w:sz w:val="20"/>
          <w:szCs w:val="20"/>
        </w:rPr>
      </w:pPr>
      <w:r w:rsidRPr="00771368">
        <w:rPr>
          <w:sz w:val="24"/>
          <w:szCs w:val="24"/>
        </w:rPr>
        <w:t>Demonstrar como os discursos de gênero são gestados, apropriados e ressignificados, conforme o tempo e o espaço.</w:t>
      </w:r>
    </w:p>
    <w:p w:rsidR="00D24E61" w:rsidRPr="00771368" w:rsidRDefault="00D24E61">
      <w:pPr>
        <w:spacing w:line="200" w:lineRule="exact"/>
        <w:rPr>
          <w:sz w:val="20"/>
          <w:szCs w:val="20"/>
        </w:rPr>
      </w:pPr>
    </w:p>
    <w:p w:rsidR="00D24E61" w:rsidRPr="00771368" w:rsidRDefault="00D24E61">
      <w:pPr>
        <w:tabs>
          <w:tab w:val="left" w:pos="700"/>
        </w:tabs>
        <w:ind w:left="360"/>
        <w:rPr>
          <w:sz w:val="20"/>
          <w:szCs w:val="20"/>
        </w:rPr>
      </w:pPr>
      <w:r w:rsidRPr="00771368">
        <w:rPr>
          <w:b/>
          <w:bCs/>
          <w:sz w:val="24"/>
          <w:szCs w:val="24"/>
        </w:rPr>
        <w:t>3.</w:t>
      </w:r>
      <w:r w:rsidRPr="00771368">
        <w:rPr>
          <w:sz w:val="20"/>
          <w:szCs w:val="20"/>
        </w:rPr>
        <w:tab/>
      </w:r>
      <w:r w:rsidRPr="00771368">
        <w:rPr>
          <w:b/>
          <w:bCs/>
          <w:sz w:val="24"/>
          <w:szCs w:val="24"/>
        </w:rPr>
        <w:t>Metodologia.</w:t>
      </w:r>
    </w:p>
    <w:p w:rsidR="00D24E61" w:rsidRPr="00771368" w:rsidRDefault="00D24E61">
      <w:pPr>
        <w:spacing w:line="392" w:lineRule="exact"/>
        <w:rPr>
          <w:sz w:val="20"/>
          <w:szCs w:val="20"/>
        </w:rPr>
      </w:pPr>
    </w:p>
    <w:p w:rsidR="00D24E61" w:rsidRPr="00771368" w:rsidRDefault="00D24E61">
      <w:pPr>
        <w:spacing w:line="342" w:lineRule="auto"/>
        <w:ind w:firstLine="852"/>
        <w:jc w:val="both"/>
        <w:rPr>
          <w:sz w:val="20"/>
          <w:szCs w:val="20"/>
        </w:rPr>
      </w:pPr>
      <w:r w:rsidRPr="00771368">
        <w:rPr>
          <w:sz w:val="24"/>
          <w:szCs w:val="24"/>
        </w:rPr>
        <w:t>Nesse estudo, utilizamos a abordagem qualitativa, fazendo um estudo histórico-comparado entre os documentos disponíveis no arquivo do Colégio Salesiano, localizado no município de Juazeiro do Norte, no Ceará, e os escritos do italiano João Bosco, referentes ao Sistema Preventivo, gestado em Turim, na Itália.</w:t>
      </w:r>
    </w:p>
    <w:p w:rsidR="00D24E61" w:rsidRPr="00771368" w:rsidRDefault="00D24E61">
      <w:pPr>
        <w:spacing w:line="83" w:lineRule="exact"/>
        <w:rPr>
          <w:sz w:val="20"/>
          <w:szCs w:val="20"/>
        </w:rPr>
      </w:pPr>
    </w:p>
    <w:p w:rsidR="00D24E61" w:rsidRPr="00771368" w:rsidRDefault="00D24E61">
      <w:pPr>
        <w:spacing w:line="347" w:lineRule="auto"/>
        <w:ind w:right="20" w:firstLine="852"/>
        <w:jc w:val="both"/>
        <w:rPr>
          <w:sz w:val="20"/>
          <w:szCs w:val="20"/>
        </w:rPr>
      </w:pPr>
      <w:r w:rsidRPr="00771368">
        <w:rPr>
          <w:sz w:val="24"/>
          <w:szCs w:val="24"/>
        </w:rPr>
        <w:t>Estando em tempos Pós-modernos, onde as fronteiras culturais se deslocam com uma rapidez assustadora – proporcionando circulação de ideias, valores, comportamentos, práticas cotidianas – acreditamos que a relação entre o local e o global pode ser visto como um dos caminhos possíveis para a compreensão dos discursos de gênero ao longo do tempo e nos espaços educativos.</w:t>
      </w:r>
    </w:p>
    <w:p w:rsidR="00D24E61" w:rsidRPr="00771368" w:rsidRDefault="00D24E61">
      <w:pPr>
        <w:spacing w:line="74" w:lineRule="exact"/>
        <w:rPr>
          <w:sz w:val="20"/>
          <w:szCs w:val="20"/>
        </w:rPr>
      </w:pPr>
    </w:p>
    <w:p w:rsidR="00D24E61" w:rsidRPr="00771368" w:rsidRDefault="00D24E61">
      <w:pPr>
        <w:spacing w:line="342" w:lineRule="auto"/>
        <w:ind w:right="20" w:firstLine="852"/>
        <w:jc w:val="both"/>
        <w:rPr>
          <w:sz w:val="20"/>
          <w:szCs w:val="20"/>
        </w:rPr>
      </w:pPr>
      <w:r w:rsidRPr="00771368">
        <w:rPr>
          <w:sz w:val="24"/>
          <w:szCs w:val="24"/>
        </w:rPr>
        <w:t>Elias (2000) ao discorrer sobre a relação entre o local e o global, destaca que numa comunidade é possível encontrar um tema universal. As vivências de uma determinada localidade espaço-temporal podem ser projetadas para o cenário global e vice-versa, respeitando, logicamente, suas singularidades.</w:t>
      </w:r>
    </w:p>
    <w:p w:rsidR="00D24E61" w:rsidRPr="00771368" w:rsidRDefault="00D24E61">
      <w:pPr>
        <w:spacing w:line="73" w:lineRule="exact"/>
        <w:rPr>
          <w:sz w:val="20"/>
          <w:szCs w:val="20"/>
        </w:rPr>
      </w:pPr>
    </w:p>
    <w:p w:rsidR="00D24E61" w:rsidRPr="00771368" w:rsidRDefault="00D24E61">
      <w:pPr>
        <w:spacing w:line="234" w:lineRule="auto"/>
        <w:ind w:left="2260"/>
        <w:jc w:val="both"/>
        <w:rPr>
          <w:sz w:val="20"/>
          <w:szCs w:val="20"/>
        </w:rPr>
      </w:pPr>
      <w:r w:rsidRPr="00771368">
        <w:rPr>
          <w:sz w:val="20"/>
          <w:szCs w:val="20"/>
        </w:rPr>
        <w:t>Estudar os aspectos de uma figuração universal no âmbito de uma pequena comunidade impõe à investigação algumas limitações óbvias. Mas também tem suas vantagens. O uso de uma pequena comunidade social como foco da investigação de problemas igualmente encontráveis numa grande variedade de unidades sociais, maiores e mais diferenciadas, possibilita a exploração desses problemas com uma minúcia considerável — microscopicamente, por assim dizer. Pode-se construir um modelo explicativo, em pequena escala, da figuração que se acredita ser universal — um modelo pronto para ser testado, ampliado e, se necessário, revisto através da investigação de figurações correlatas em maior escala. (ELIAS, 2000, p. 20)</w:t>
      </w:r>
    </w:p>
    <w:p w:rsidR="00D24E61" w:rsidRPr="00771368" w:rsidRDefault="00D24E61">
      <w:pPr>
        <w:spacing w:line="200" w:lineRule="exact"/>
        <w:rPr>
          <w:sz w:val="20"/>
          <w:szCs w:val="20"/>
        </w:rPr>
      </w:pPr>
    </w:p>
    <w:p w:rsidR="00D24E61" w:rsidRPr="00771368" w:rsidRDefault="00D24E61">
      <w:pPr>
        <w:spacing w:line="322" w:lineRule="exact"/>
        <w:rPr>
          <w:sz w:val="20"/>
          <w:szCs w:val="20"/>
        </w:rPr>
      </w:pPr>
    </w:p>
    <w:p w:rsidR="00D24E61" w:rsidRPr="00771368" w:rsidRDefault="00D24E61">
      <w:pPr>
        <w:spacing w:line="347" w:lineRule="auto"/>
        <w:ind w:firstLine="852"/>
        <w:jc w:val="both"/>
        <w:rPr>
          <w:sz w:val="20"/>
          <w:szCs w:val="20"/>
        </w:rPr>
      </w:pPr>
      <w:r w:rsidRPr="00771368">
        <w:rPr>
          <w:sz w:val="24"/>
          <w:szCs w:val="24"/>
        </w:rPr>
        <w:t>Ao arquitetar a nossa investigação, partimos do pressuposto de que as fontes referentes à educação são testemunhos da experiência humana, o que possibilita o estudo sobre a sua própria construção ou sobre o seu conteúdo. Obviamente, não é possível resgatar o passado, porém podemos evidenciar, através das fontes, quais eram os comportamentos, normas e práticas que perpassavam a vida dos sujeitos.</w:t>
      </w:r>
    </w:p>
    <w:p w:rsidR="00D24E61" w:rsidRPr="00771368" w:rsidRDefault="00D24E61">
      <w:pPr>
        <w:spacing w:line="74" w:lineRule="exact"/>
        <w:rPr>
          <w:sz w:val="20"/>
          <w:szCs w:val="20"/>
        </w:rPr>
      </w:pPr>
    </w:p>
    <w:p w:rsidR="00D24E61" w:rsidRPr="00771368" w:rsidRDefault="00D24E61">
      <w:pPr>
        <w:spacing w:line="343" w:lineRule="auto"/>
        <w:ind w:firstLine="852"/>
        <w:jc w:val="both"/>
        <w:rPr>
          <w:sz w:val="20"/>
          <w:szCs w:val="20"/>
        </w:rPr>
      </w:pPr>
      <w:r w:rsidRPr="00771368">
        <w:rPr>
          <w:sz w:val="24"/>
          <w:szCs w:val="24"/>
        </w:rPr>
        <w:t>As fontes documentais, assim como quaisquer outras, não falam por si. Elas são vestígios, fragmentos, testemunhos do passado. Logo, para sua análise é relevante que perguntas plausíveis sejam feitas, tais como: O que falas? Para quem falas? Do que falas? O que silencias? Em outras palavras, é necessário fazer uma análise do discurso.</w:t>
      </w:r>
    </w:p>
    <w:p w:rsidR="00D24E61" w:rsidRPr="00771368" w:rsidRDefault="00D24E61">
      <w:pPr>
        <w:spacing w:line="79" w:lineRule="exact"/>
        <w:rPr>
          <w:sz w:val="20"/>
          <w:szCs w:val="20"/>
        </w:rPr>
      </w:pPr>
    </w:p>
    <w:p w:rsidR="00D24E61" w:rsidRPr="00771368" w:rsidRDefault="00D24E61">
      <w:pPr>
        <w:spacing w:line="343" w:lineRule="auto"/>
        <w:ind w:right="20" w:firstLine="852"/>
        <w:jc w:val="both"/>
        <w:rPr>
          <w:sz w:val="20"/>
          <w:szCs w:val="20"/>
        </w:rPr>
      </w:pPr>
      <w:r w:rsidRPr="00771368">
        <w:rPr>
          <w:sz w:val="24"/>
          <w:szCs w:val="24"/>
        </w:rPr>
        <w:t>Barros (2010) fazendo alusão ao pensamento de Foucault, afirma que “não é a própria sociedade que constitui a realidade a ser estudada, mas sim os discursos que ela produz, ou então suas práticas” (p. 141). Segundo Nunes (2008), o arquivo escolar possui documentos de alto valor histórico, pois agrupa elementos do cotidiano e da sociedade no</w:t>
      </w:r>
    </w:p>
    <w:p w:rsidR="00D24E61" w:rsidRPr="00771368" w:rsidRDefault="00D24E61">
      <w:pPr>
        <w:spacing w:line="29" w:lineRule="exact"/>
        <w:rPr>
          <w:sz w:val="20"/>
          <w:szCs w:val="20"/>
        </w:rPr>
      </w:pPr>
    </w:p>
    <w:p w:rsidR="00D24E61" w:rsidRPr="00771368" w:rsidRDefault="00D24E61">
      <w:pPr>
        <w:spacing w:line="308" w:lineRule="auto"/>
        <w:ind w:right="20"/>
        <w:jc w:val="both"/>
        <w:rPr>
          <w:sz w:val="20"/>
          <w:szCs w:val="20"/>
        </w:rPr>
      </w:pPr>
      <w:r w:rsidRPr="00771368">
        <w:rPr>
          <w:sz w:val="24"/>
          <w:szCs w:val="24"/>
        </w:rPr>
        <w:t>qual está inserido, logo agrupa em si um arsenal de discursos sobre maneiras de ser, pensar e agir.</w:t>
      </w:r>
    </w:p>
    <w:p w:rsidR="00D24E61" w:rsidRPr="00771368" w:rsidRDefault="00D24E61">
      <w:pPr>
        <w:spacing w:line="120" w:lineRule="exact"/>
        <w:rPr>
          <w:sz w:val="20"/>
          <w:szCs w:val="20"/>
        </w:rPr>
      </w:pPr>
    </w:p>
    <w:p w:rsidR="00D24E61" w:rsidRPr="00771368" w:rsidRDefault="00D24E61">
      <w:pPr>
        <w:spacing w:line="347" w:lineRule="auto"/>
        <w:ind w:firstLine="852"/>
        <w:jc w:val="both"/>
        <w:rPr>
          <w:sz w:val="20"/>
          <w:szCs w:val="20"/>
        </w:rPr>
      </w:pPr>
      <w:r w:rsidRPr="00771368">
        <w:rPr>
          <w:sz w:val="24"/>
          <w:szCs w:val="24"/>
        </w:rPr>
        <w:t>Partindo dessas postulações, nessa pesquisa fizemos uma revisão bibliográfica, onde encontramos informações importantes sobre a Educação Salesiana em Turim/Itália. As obras compiladas foram de grande valia. Enquanto umas transcrevem as bases do Sistema Preventivo, escrito por João Bosco, seus ideais e recomendações, outras revelam a atuação dos Salesianos em distintas localidades do Brasil, inclusive em Juazeiro do Norte, Ceará.</w:t>
      </w:r>
    </w:p>
    <w:p w:rsidR="00D24E61" w:rsidRPr="00771368" w:rsidRDefault="00D24E61">
      <w:pPr>
        <w:spacing w:line="74" w:lineRule="exact"/>
        <w:rPr>
          <w:sz w:val="20"/>
          <w:szCs w:val="20"/>
        </w:rPr>
      </w:pPr>
    </w:p>
    <w:p w:rsidR="00D24E61" w:rsidRPr="00771368" w:rsidRDefault="00D24E61">
      <w:pPr>
        <w:spacing w:line="334" w:lineRule="auto"/>
        <w:ind w:firstLine="852"/>
        <w:jc w:val="both"/>
        <w:rPr>
          <w:sz w:val="20"/>
          <w:szCs w:val="20"/>
        </w:rPr>
      </w:pPr>
      <w:r w:rsidRPr="00771368">
        <w:rPr>
          <w:sz w:val="24"/>
          <w:szCs w:val="24"/>
        </w:rPr>
        <w:t>Além das referências bibliográficas, tivemos acesso a documentos escritos pelo próprio Dom Bosco. Estes revelam as bases do método educativo dos Salesianos, o Sistema Preventivo, ressaltando as práticas educativas voltadas exclusivamente para os meninos.</w:t>
      </w:r>
    </w:p>
    <w:p w:rsidR="00D24E61" w:rsidRPr="00771368" w:rsidRDefault="00D24E61">
      <w:pPr>
        <w:spacing w:line="33" w:lineRule="exact"/>
        <w:rPr>
          <w:sz w:val="20"/>
          <w:szCs w:val="20"/>
        </w:rPr>
      </w:pPr>
    </w:p>
    <w:p w:rsidR="00D24E61" w:rsidRPr="00771368" w:rsidRDefault="00D24E61" w:rsidP="00FA0ABA">
      <w:pPr>
        <w:numPr>
          <w:ilvl w:val="0"/>
          <w:numId w:val="20"/>
        </w:numPr>
        <w:tabs>
          <w:tab w:val="left" w:pos="1480"/>
        </w:tabs>
        <w:ind w:left="1480" w:hanging="348"/>
        <w:jc w:val="both"/>
        <w:rPr>
          <w:sz w:val="24"/>
          <w:szCs w:val="24"/>
        </w:rPr>
      </w:pPr>
      <w:r w:rsidRPr="00771368">
        <w:rPr>
          <w:i/>
          <w:iCs/>
          <w:sz w:val="24"/>
          <w:szCs w:val="24"/>
        </w:rPr>
        <w:t xml:space="preserve">O Sistema Preventivo na educação dos jovens </w:t>
      </w:r>
      <w:r w:rsidRPr="00771368">
        <w:rPr>
          <w:sz w:val="24"/>
          <w:szCs w:val="24"/>
        </w:rPr>
        <w:t>–</w:t>
      </w:r>
      <w:r w:rsidRPr="00771368">
        <w:rPr>
          <w:i/>
          <w:iCs/>
          <w:sz w:val="24"/>
          <w:szCs w:val="24"/>
        </w:rPr>
        <w:t xml:space="preserve"> Opúsculo (1877).</w:t>
      </w:r>
    </w:p>
    <w:p w:rsidR="00D24E61" w:rsidRPr="00771368" w:rsidRDefault="00D24E61">
      <w:pPr>
        <w:spacing w:line="136" w:lineRule="exact"/>
        <w:rPr>
          <w:sz w:val="24"/>
          <w:szCs w:val="24"/>
        </w:rPr>
      </w:pPr>
    </w:p>
    <w:p w:rsidR="00D24E61" w:rsidRPr="00771368" w:rsidRDefault="00D24E61" w:rsidP="00FA0ABA">
      <w:pPr>
        <w:numPr>
          <w:ilvl w:val="0"/>
          <w:numId w:val="20"/>
        </w:numPr>
        <w:tabs>
          <w:tab w:val="left" w:pos="1500"/>
        </w:tabs>
        <w:ind w:left="1500" w:hanging="368"/>
        <w:jc w:val="both"/>
        <w:rPr>
          <w:i/>
          <w:iCs/>
          <w:sz w:val="24"/>
          <w:szCs w:val="24"/>
        </w:rPr>
      </w:pPr>
      <w:r w:rsidRPr="00771368">
        <w:rPr>
          <w:i/>
          <w:iCs/>
          <w:sz w:val="24"/>
          <w:szCs w:val="24"/>
        </w:rPr>
        <w:t>Apêndice ao opúsculo sobre o Sistema Preventivo (1877).</w:t>
      </w:r>
    </w:p>
    <w:p w:rsidR="00D24E61" w:rsidRPr="00771368" w:rsidRDefault="00D24E61">
      <w:pPr>
        <w:spacing w:line="139" w:lineRule="exact"/>
        <w:rPr>
          <w:i/>
          <w:iCs/>
          <w:sz w:val="24"/>
          <w:szCs w:val="24"/>
        </w:rPr>
      </w:pPr>
    </w:p>
    <w:p w:rsidR="00D24E61" w:rsidRPr="00771368" w:rsidRDefault="00D24E61" w:rsidP="00FA0ABA">
      <w:pPr>
        <w:numPr>
          <w:ilvl w:val="0"/>
          <w:numId w:val="20"/>
        </w:numPr>
        <w:tabs>
          <w:tab w:val="left" w:pos="1480"/>
        </w:tabs>
        <w:ind w:left="1480" w:hanging="348"/>
        <w:jc w:val="both"/>
        <w:rPr>
          <w:sz w:val="24"/>
          <w:szCs w:val="24"/>
        </w:rPr>
      </w:pPr>
      <w:r w:rsidRPr="00771368">
        <w:rPr>
          <w:i/>
          <w:iCs/>
          <w:sz w:val="24"/>
          <w:szCs w:val="24"/>
        </w:rPr>
        <w:t>Carta ao Marquês Benso de Cavour (1846).</w:t>
      </w:r>
    </w:p>
    <w:p w:rsidR="00D24E61" w:rsidRPr="00771368" w:rsidRDefault="00D24E61">
      <w:pPr>
        <w:spacing w:line="136" w:lineRule="exact"/>
        <w:rPr>
          <w:sz w:val="24"/>
          <w:szCs w:val="24"/>
        </w:rPr>
      </w:pPr>
    </w:p>
    <w:p w:rsidR="00D24E61" w:rsidRPr="00771368" w:rsidRDefault="00D24E61" w:rsidP="00FA0ABA">
      <w:pPr>
        <w:numPr>
          <w:ilvl w:val="0"/>
          <w:numId w:val="20"/>
        </w:numPr>
        <w:tabs>
          <w:tab w:val="left" w:pos="1480"/>
        </w:tabs>
        <w:ind w:left="1480" w:hanging="348"/>
        <w:jc w:val="both"/>
        <w:rPr>
          <w:sz w:val="24"/>
          <w:szCs w:val="24"/>
        </w:rPr>
      </w:pPr>
      <w:r w:rsidRPr="00771368">
        <w:rPr>
          <w:i/>
          <w:iCs/>
          <w:sz w:val="24"/>
          <w:szCs w:val="24"/>
        </w:rPr>
        <w:t>Plano de Regulamento para o Oratório Masculino de São Francisco de Sales,</w:t>
      </w:r>
    </w:p>
    <w:p w:rsidR="00D24E61" w:rsidRPr="00771368" w:rsidRDefault="00013211">
      <w:pPr>
        <w:spacing w:line="139" w:lineRule="exact"/>
        <w:rPr>
          <w:sz w:val="20"/>
          <w:szCs w:val="20"/>
        </w:rPr>
      </w:pPr>
      <w:r>
        <w:rPr>
          <w:noProof/>
          <w:sz w:val="20"/>
          <w:szCs w:val="20"/>
        </w:rPr>
        <mc:AlternateContent>
          <mc:Choice Requires="wps">
            <w:drawing>
              <wp:anchor distT="0" distB="0" distL="0" distR="0" simplePos="0" relativeHeight="251620864" behindDoc="1" locked="0" layoutInCell="0" allowOverlap="1">
                <wp:simplePos x="0" y="0"/>
                <wp:positionH relativeFrom="column">
                  <wp:posOffset>897890</wp:posOffset>
                </wp:positionH>
                <wp:positionV relativeFrom="paragraph">
                  <wp:posOffset>-805180</wp:posOffset>
                </wp:positionV>
                <wp:extent cx="38100" cy="12700"/>
                <wp:effectExtent l="2540" t="4445" r="0" b="1905"/>
                <wp:wrapNone/>
                <wp:docPr id="31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70.7pt;margin-top:-63.4pt;width:3pt;height:1pt;z-index:-25169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" o:allowincell="f" fillcolor="black" stroked="f"/>
            </w:pict>
          </mc:Fallback>
        </mc:AlternateContent>
      </w:r>
    </w:p>
    <w:p w:rsidR="00D24E61" w:rsidRPr="00771368" w:rsidRDefault="00D24E61">
      <w:pPr>
        <w:rPr>
          <w:sz w:val="20"/>
          <w:szCs w:val="20"/>
        </w:rPr>
      </w:pPr>
      <w:r w:rsidRPr="00771368">
        <w:rPr>
          <w:i/>
          <w:iCs/>
          <w:sz w:val="24"/>
          <w:szCs w:val="24"/>
        </w:rPr>
        <w:t>em Turim, na região de Valdocco (1854).</w:t>
      </w:r>
    </w:p>
    <w:p w:rsidR="00D24E61" w:rsidRPr="00771368" w:rsidRDefault="00D24E61">
      <w:pPr>
        <w:spacing w:line="195" w:lineRule="exact"/>
        <w:rPr>
          <w:sz w:val="20"/>
          <w:szCs w:val="20"/>
        </w:rPr>
      </w:pPr>
    </w:p>
    <w:p w:rsidR="00D24E61" w:rsidRPr="00771368" w:rsidRDefault="00D24E61">
      <w:pPr>
        <w:spacing w:line="310" w:lineRule="auto"/>
        <w:ind w:right="20" w:firstLine="1133"/>
        <w:rPr>
          <w:sz w:val="20"/>
          <w:szCs w:val="20"/>
        </w:rPr>
      </w:pPr>
      <w:r w:rsidRPr="00771368">
        <w:rPr>
          <w:i/>
          <w:iCs/>
          <w:sz w:val="24"/>
          <w:szCs w:val="24"/>
        </w:rPr>
        <w:t>(5) Dados históricos a respeito do Oratório de São Francisco de Sales – Manuscrito. (s/d).</w:t>
      </w:r>
    </w:p>
    <w:p w:rsidR="00D24E61" w:rsidRPr="00771368" w:rsidRDefault="00D24E61">
      <w:pPr>
        <w:spacing w:line="57" w:lineRule="exact"/>
        <w:rPr>
          <w:sz w:val="20"/>
          <w:szCs w:val="20"/>
        </w:rPr>
      </w:pPr>
    </w:p>
    <w:p w:rsidR="00D24E61" w:rsidRPr="00771368" w:rsidRDefault="00D24E61" w:rsidP="00FA0ABA">
      <w:pPr>
        <w:numPr>
          <w:ilvl w:val="0"/>
          <w:numId w:val="21"/>
        </w:numPr>
        <w:tabs>
          <w:tab w:val="left" w:pos="1480"/>
        </w:tabs>
        <w:ind w:left="1480" w:hanging="348"/>
        <w:jc w:val="both"/>
        <w:rPr>
          <w:sz w:val="24"/>
          <w:szCs w:val="24"/>
        </w:rPr>
      </w:pPr>
      <w:r w:rsidRPr="00771368">
        <w:rPr>
          <w:i/>
          <w:iCs/>
          <w:sz w:val="24"/>
          <w:szCs w:val="24"/>
        </w:rPr>
        <w:t xml:space="preserve">Memorial de Dom Bosco ao Ministro Francisco Crispi </w:t>
      </w:r>
      <w:r w:rsidRPr="00771368">
        <w:rPr>
          <w:sz w:val="24"/>
          <w:szCs w:val="24"/>
        </w:rPr>
        <w:t>(s/d).</w:t>
      </w:r>
    </w:p>
    <w:p w:rsidR="00D24E61" w:rsidRPr="00771368" w:rsidRDefault="00D24E61">
      <w:pPr>
        <w:spacing w:line="139" w:lineRule="exact"/>
        <w:rPr>
          <w:sz w:val="24"/>
          <w:szCs w:val="24"/>
        </w:rPr>
      </w:pPr>
    </w:p>
    <w:p w:rsidR="00D24E61" w:rsidRPr="00771368" w:rsidRDefault="00D24E61" w:rsidP="00FA0ABA">
      <w:pPr>
        <w:numPr>
          <w:ilvl w:val="0"/>
          <w:numId w:val="21"/>
        </w:numPr>
        <w:tabs>
          <w:tab w:val="left" w:pos="1500"/>
        </w:tabs>
        <w:ind w:left="1500" w:hanging="368"/>
        <w:jc w:val="both"/>
        <w:rPr>
          <w:i/>
          <w:iCs/>
          <w:sz w:val="24"/>
          <w:szCs w:val="24"/>
        </w:rPr>
      </w:pPr>
      <w:r w:rsidRPr="00771368">
        <w:rPr>
          <w:i/>
          <w:iCs/>
          <w:sz w:val="24"/>
          <w:szCs w:val="24"/>
        </w:rPr>
        <w:t>Constituições e Regulamentos da Sociedade de São Francisco de Sales (s/d)</w:t>
      </w:r>
    </w:p>
    <w:p w:rsidR="00D24E61" w:rsidRPr="00771368" w:rsidRDefault="00D24E61">
      <w:pPr>
        <w:spacing w:line="136" w:lineRule="exact"/>
        <w:rPr>
          <w:i/>
          <w:iCs/>
          <w:sz w:val="24"/>
          <w:szCs w:val="24"/>
        </w:rPr>
      </w:pPr>
    </w:p>
    <w:p w:rsidR="00D24E61" w:rsidRPr="00771368" w:rsidRDefault="00D24E61" w:rsidP="00FA0ABA">
      <w:pPr>
        <w:numPr>
          <w:ilvl w:val="0"/>
          <w:numId w:val="21"/>
        </w:numPr>
        <w:tabs>
          <w:tab w:val="left" w:pos="1500"/>
        </w:tabs>
        <w:ind w:left="1500" w:hanging="368"/>
        <w:jc w:val="both"/>
        <w:rPr>
          <w:i/>
          <w:iCs/>
          <w:sz w:val="24"/>
          <w:szCs w:val="24"/>
        </w:rPr>
      </w:pPr>
      <w:r w:rsidRPr="00771368">
        <w:rPr>
          <w:i/>
          <w:iCs/>
          <w:sz w:val="24"/>
          <w:szCs w:val="24"/>
        </w:rPr>
        <w:t>Carta – Lembranças confidenciais aos diretores (1871)</w:t>
      </w:r>
    </w:p>
    <w:p w:rsidR="00D24E61" w:rsidRPr="00771368" w:rsidRDefault="00D24E61">
      <w:pPr>
        <w:spacing w:line="397" w:lineRule="exact"/>
        <w:rPr>
          <w:sz w:val="20"/>
          <w:szCs w:val="20"/>
        </w:rPr>
      </w:pPr>
    </w:p>
    <w:p w:rsidR="00D24E61" w:rsidRPr="00771368" w:rsidRDefault="00D24E61">
      <w:pPr>
        <w:spacing w:line="347" w:lineRule="auto"/>
        <w:ind w:firstLine="852"/>
        <w:jc w:val="both"/>
        <w:rPr>
          <w:sz w:val="20"/>
          <w:szCs w:val="20"/>
        </w:rPr>
      </w:pPr>
      <w:r w:rsidRPr="00771368">
        <w:rPr>
          <w:sz w:val="24"/>
          <w:szCs w:val="24"/>
        </w:rPr>
        <w:t>Após a revisão bibliográfica catalogamos fontes pertencentes ao arquivo do Colégio Salesiano São João Bosco, em Juazeiro do Norte-CE. O recorte temporal (1939-1944) nos auxiliou na catalogação do material, que foi dividido em pastas, por temáticas. Alguns documentos foram xerocados, copiados e/ou fotografados. Entre as fontes catalogadas e analisadas no arquivo escolar estão:</w:t>
      </w:r>
    </w:p>
    <w:p w:rsidR="00D24E61" w:rsidRPr="00771368" w:rsidRDefault="00D24E61">
      <w:pPr>
        <w:spacing w:line="217" w:lineRule="exact"/>
        <w:rPr>
          <w:sz w:val="20"/>
          <w:szCs w:val="20"/>
        </w:rPr>
      </w:pPr>
    </w:p>
    <w:p w:rsidR="00D24E61" w:rsidRPr="00771368" w:rsidRDefault="00D24E61" w:rsidP="00FA0ABA">
      <w:pPr>
        <w:numPr>
          <w:ilvl w:val="0"/>
          <w:numId w:val="22"/>
        </w:numPr>
        <w:tabs>
          <w:tab w:val="left" w:pos="1480"/>
        </w:tabs>
        <w:ind w:left="1480" w:hanging="348"/>
        <w:jc w:val="both"/>
        <w:rPr>
          <w:sz w:val="24"/>
          <w:szCs w:val="24"/>
        </w:rPr>
      </w:pPr>
      <w:r w:rsidRPr="00771368">
        <w:rPr>
          <w:i/>
          <w:iCs/>
          <w:sz w:val="24"/>
          <w:szCs w:val="24"/>
        </w:rPr>
        <w:t>Ata de Sessão de Instalação Oficial da Congregação Salesiana.</w:t>
      </w:r>
    </w:p>
    <w:p w:rsidR="00D24E61" w:rsidRPr="00771368" w:rsidRDefault="00D24E61">
      <w:pPr>
        <w:spacing w:line="137" w:lineRule="exact"/>
        <w:rPr>
          <w:sz w:val="24"/>
          <w:szCs w:val="24"/>
        </w:rPr>
      </w:pPr>
    </w:p>
    <w:p w:rsidR="00D24E61" w:rsidRPr="00771368" w:rsidRDefault="00D24E61" w:rsidP="00FA0ABA">
      <w:pPr>
        <w:numPr>
          <w:ilvl w:val="0"/>
          <w:numId w:val="23"/>
        </w:numPr>
        <w:tabs>
          <w:tab w:val="left" w:pos="1540"/>
        </w:tabs>
        <w:ind w:left="1540" w:hanging="408"/>
        <w:jc w:val="both"/>
        <w:rPr>
          <w:i/>
          <w:iCs/>
          <w:sz w:val="24"/>
          <w:szCs w:val="24"/>
        </w:rPr>
      </w:pPr>
      <w:r w:rsidRPr="00771368">
        <w:rPr>
          <w:i/>
          <w:iCs/>
          <w:sz w:val="24"/>
          <w:szCs w:val="24"/>
        </w:rPr>
        <w:t>Estatuto da Obra Social Dom Bosco.</w:t>
      </w:r>
    </w:p>
    <w:p w:rsidR="00D24E61" w:rsidRPr="00771368" w:rsidRDefault="00D24E61">
      <w:pPr>
        <w:spacing w:line="139" w:lineRule="exact"/>
        <w:rPr>
          <w:i/>
          <w:iCs/>
          <w:sz w:val="24"/>
          <w:szCs w:val="24"/>
        </w:rPr>
      </w:pPr>
    </w:p>
    <w:p w:rsidR="00D24E61" w:rsidRPr="00771368" w:rsidRDefault="00D24E61" w:rsidP="00FA0ABA">
      <w:pPr>
        <w:numPr>
          <w:ilvl w:val="0"/>
          <w:numId w:val="23"/>
        </w:numPr>
        <w:tabs>
          <w:tab w:val="left" w:pos="1480"/>
        </w:tabs>
        <w:ind w:left="1480" w:hanging="348"/>
        <w:jc w:val="both"/>
        <w:rPr>
          <w:i/>
          <w:iCs/>
          <w:sz w:val="24"/>
          <w:szCs w:val="24"/>
        </w:rPr>
      </w:pPr>
      <w:r w:rsidRPr="00771368">
        <w:rPr>
          <w:i/>
          <w:iCs/>
          <w:sz w:val="24"/>
          <w:szCs w:val="24"/>
        </w:rPr>
        <w:t>Ata de Sessão de Inauguração do Colégio Salesiano de Juazeiro do Norte – 26</w:t>
      </w:r>
    </w:p>
    <w:p w:rsidR="00D24E61" w:rsidRPr="00771368" w:rsidRDefault="00D24E61">
      <w:pPr>
        <w:spacing w:line="137" w:lineRule="exact"/>
        <w:rPr>
          <w:sz w:val="20"/>
          <w:szCs w:val="20"/>
        </w:rPr>
      </w:pPr>
    </w:p>
    <w:p w:rsidR="00D24E61" w:rsidRPr="00771368" w:rsidRDefault="00D24E61">
      <w:pPr>
        <w:rPr>
          <w:sz w:val="20"/>
          <w:szCs w:val="20"/>
        </w:rPr>
      </w:pPr>
      <w:r w:rsidRPr="00771368">
        <w:rPr>
          <w:i/>
          <w:iCs/>
          <w:sz w:val="24"/>
          <w:szCs w:val="24"/>
        </w:rPr>
        <w:t>de Abril de 1942.</w:t>
      </w:r>
    </w:p>
    <w:p w:rsidR="00D24E61" w:rsidRPr="00771368" w:rsidRDefault="00D24E61">
      <w:pPr>
        <w:spacing w:line="197" w:lineRule="exact"/>
        <w:rPr>
          <w:sz w:val="20"/>
          <w:szCs w:val="20"/>
        </w:rPr>
      </w:pPr>
    </w:p>
    <w:p w:rsidR="00D24E61" w:rsidRPr="00771368" w:rsidRDefault="00D24E61">
      <w:pPr>
        <w:spacing w:line="308" w:lineRule="auto"/>
        <w:ind w:right="20" w:firstLine="1133"/>
        <w:rPr>
          <w:sz w:val="20"/>
          <w:szCs w:val="20"/>
        </w:rPr>
      </w:pPr>
      <w:r w:rsidRPr="00771368">
        <w:rPr>
          <w:i/>
          <w:iCs/>
          <w:sz w:val="24"/>
          <w:szCs w:val="24"/>
        </w:rPr>
        <w:t>(3) Discurso do Orador na Inauguração do Colégio Salesiano de Juazeiro do Norte – 26 de abril de 1942.</w:t>
      </w:r>
    </w:p>
    <w:p w:rsidR="00D24E61" w:rsidRPr="00771368" w:rsidRDefault="00D24E61">
      <w:pPr>
        <w:spacing w:line="61" w:lineRule="exact"/>
        <w:rPr>
          <w:sz w:val="20"/>
          <w:szCs w:val="20"/>
        </w:rPr>
      </w:pPr>
    </w:p>
    <w:p w:rsidR="00D24E61" w:rsidRPr="00771368" w:rsidRDefault="00D24E61">
      <w:pPr>
        <w:ind w:left="1140"/>
        <w:rPr>
          <w:sz w:val="20"/>
          <w:szCs w:val="20"/>
        </w:rPr>
      </w:pPr>
      <w:r w:rsidRPr="00771368">
        <w:rPr>
          <w:i/>
          <w:iCs/>
          <w:sz w:val="24"/>
          <w:szCs w:val="24"/>
        </w:rPr>
        <w:t>(4) Regimento interno do Ginásio Salesiano.</w:t>
      </w:r>
    </w:p>
    <w:p w:rsidR="00D24E61" w:rsidRPr="00771368" w:rsidRDefault="00D24E61">
      <w:pPr>
        <w:spacing w:line="137" w:lineRule="exact"/>
        <w:rPr>
          <w:sz w:val="20"/>
          <w:szCs w:val="20"/>
        </w:rPr>
      </w:pPr>
    </w:p>
    <w:p w:rsidR="00D24E61" w:rsidRPr="00771368" w:rsidRDefault="00D24E61">
      <w:pPr>
        <w:ind w:left="1140"/>
        <w:rPr>
          <w:sz w:val="20"/>
          <w:szCs w:val="20"/>
        </w:rPr>
      </w:pPr>
      <w:r w:rsidRPr="00771368">
        <w:rPr>
          <w:i/>
          <w:iCs/>
          <w:sz w:val="24"/>
          <w:szCs w:val="24"/>
        </w:rPr>
        <w:t>(5) Crônicas da Casa – 1939 a 1944.</w:t>
      </w:r>
    </w:p>
    <w:p w:rsidR="00D24E61" w:rsidRPr="00771368" w:rsidRDefault="00D24E61">
      <w:pPr>
        <w:spacing w:line="251" w:lineRule="exact"/>
        <w:rPr>
          <w:sz w:val="20"/>
          <w:szCs w:val="20"/>
        </w:rPr>
      </w:pPr>
    </w:p>
    <w:p w:rsidR="00D24E61" w:rsidRPr="00771368" w:rsidRDefault="00D24E61">
      <w:pPr>
        <w:ind w:left="280"/>
        <w:rPr>
          <w:sz w:val="20"/>
          <w:szCs w:val="20"/>
        </w:rPr>
      </w:pPr>
      <w:r w:rsidRPr="00771368">
        <w:rPr>
          <w:b/>
          <w:bCs/>
          <w:sz w:val="24"/>
          <w:szCs w:val="24"/>
        </w:rPr>
        <w:t>Resultados e Discussões.</w:t>
      </w:r>
    </w:p>
    <w:p w:rsidR="00D24E61" w:rsidRPr="00771368" w:rsidRDefault="00D24E61">
      <w:pPr>
        <w:spacing w:line="342" w:lineRule="auto"/>
        <w:ind w:firstLine="852"/>
        <w:jc w:val="both"/>
        <w:rPr>
          <w:sz w:val="20"/>
          <w:szCs w:val="20"/>
        </w:rPr>
      </w:pPr>
      <w:r w:rsidRPr="00771368">
        <w:rPr>
          <w:sz w:val="24"/>
          <w:szCs w:val="24"/>
        </w:rPr>
        <w:t>João Melchior Bosco, conhecido popularmente por Dom Bosco, nasceu em 1815, numa pequena aldeia chamada Becchi, em Turim, Itália. Teve uma infância humilde, marcada pela morte do pai. Aos nove anos sonhou com um bando de animais selvagens que se transformavam em cordeiros dóceis.</w:t>
      </w:r>
    </w:p>
    <w:p w:rsidR="00D24E61" w:rsidRPr="00771368" w:rsidRDefault="00D24E61">
      <w:pPr>
        <w:spacing w:line="83" w:lineRule="exact"/>
        <w:rPr>
          <w:sz w:val="20"/>
          <w:szCs w:val="20"/>
        </w:rPr>
      </w:pPr>
    </w:p>
    <w:p w:rsidR="00D24E61" w:rsidRPr="00771368" w:rsidRDefault="00D24E61">
      <w:pPr>
        <w:spacing w:line="308" w:lineRule="auto"/>
        <w:ind w:right="20" w:firstLine="852"/>
        <w:jc w:val="both"/>
        <w:rPr>
          <w:sz w:val="20"/>
          <w:szCs w:val="20"/>
        </w:rPr>
      </w:pPr>
      <w:r w:rsidRPr="00771368">
        <w:rPr>
          <w:sz w:val="24"/>
          <w:szCs w:val="24"/>
        </w:rPr>
        <w:t>Ao escrever suas memórias, ele narra que este sonho, anos mais tarde, serviu de base para que ele criasse um método próprio de educar.</w:t>
      </w:r>
    </w:p>
    <w:p w:rsidR="00D24E61" w:rsidRPr="00771368" w:rsidRDefault="00D24E61">
      <w:pPr>
        <w:spacing w:line="110" w:lineRule="exact"/>
        <w:rPr>
          <w:sz w:val="20"/>
          <w:szCs w:val="20"/>
        </w:rPr>
      </w:pPr>
    </w:p>
    <w:p w:rsidR="00D24E61" w:rsidRPr="00771368" w:rsidRDefault="00D24E61">
      <w:pPr>
        <w:spacing w:line="233" w:lineRule="auto"/>
        <w:ind w:left="2260" w:right="20"/>
        <w:jc w:val="both"/>
        <w:rPr>
          <w:sz w:val="20"/>
          <w:szCs w:val="20"/>
        </w:rPr>
      </w:pPr>
      <w:r w:rsidRPr="00771368">
        <w:rPr>
          <w:sz w:val="20"/>
          <w:szCs w:val="20"/>
        </w:rPr>
        <w:t>Sonhei que estava no meio de uma multidão de lobos, cabras e cabritos, cordeiros, ovelhas, bodes, cães e pássaros. Faziam todos juntos um barulho, uma desordem, ou melhor, uma infernaria de espantar os mais corajosos. Ia fugir, quando uma senhora, muito bem trajada, a moda de pastorinha, Fez um gesto para que seguisse e acompanhasse o estranho rebanho; enquanto isso, se punha à frente. Estivemos vagando por vários lugares; fizemos estações ou paradas. A cada parada muitos desses animais convertiam-se num prado onde os animais saltitavam e comiam juntos, sem que nenhum deles tentasse prejudicar os outros. (2005, p. 133)</w:t>
      </w: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spacing w:line="308" w:lineRule="auto"/>
        <w:ind w:firstLine="852"/>
        <w:jc w:val="both"/>
        <w:rPr>
          <w:sz w:val="20"/>
          <w:szCs w:val="20"/>
        </w:rPr>
      </w:pPr>
      <w:r w:rsidRPr="00771368">
        <w:rPr>
          <w:sz w:val="24"/>
          <w:szCs w:val="24"/>
        </w:rPr>
        <w:t>Dom Bosco foi nomeado sacerdote em 1841. A partir de então seu interesse pela juventude ganhou vitalidade. Ele reuniu um grupo de jovens dentro de um oratório, a fim de</w:t>
      </w:r>
    </w:p>
    <w:p w:rsidR="00D24E61" w:rsidRPr="00771368" w:rsidRDefault="00D24E61">
      <w:pPr>
        <w:spacing w:line="120" w:lineRule="exact"/>
        <w:rPr>
          <w:sz w:val="20"/>
          <w:szCs w:val="20"/>
        </w:rPr>
      </w:pPr>
    </w:p>
    <w:p w:rsidR="00D24E61" w:rsidRPr="00771368" w:rsidRDefault="00D24E61">
      <w:pPr>
        <w:spacing w:line="334" w:lineRule="auto"/>
        <w:jc w:val="both"/>
        <w:rPr>
          <w:sz w:val="20"/>
          <w:szCs w:val="20"/>
        </w:rPr>
      </w:pPr>
      <w:r w:rsidRPr="00771368">
        <w:rPr>
          <w:sz w:val="24"/>
          <w:szCs w:val="24"/>
        </w:rPr>
        <w:t>‘educar evangelizando e evangelizar educando’. Em sua época, inúmeras correntes pedagógicas hiper-racionalistas tinham destaque na sociedade, porém o referido italiano buscou reabilitar a esfera afetiva no interior da relação educativa.</w:t>
      </w:r>
    </w:p>
    <w:p w:rsidR="00D24E61" w:rsidRPr="00771368" w:rsidRDefault="00D24E61">
      <w:pPr>
        <w:spacing w:line="89" w:lineRule="exact"/>
        <w:rPr>
          <w:sz w:val="20"/>
          <w:szCs w:val="20"/>
        </w:rPr>
      </w:pPr>
    </w:p>
    <w:p w:rsidR="00D24E61" w:rsidRPr="00771368" w:rsidRDefault="00D24E61">
      <w:pPr>
        <w:spacing w:line="343" w:lineRule="auto"/>
        <w:ind w:right="20" w:firstLine="960"/>
        <w:jc w:val="both"/>
        <w:rPr>
          <w:sz w:val="20"/>
          <w:szCs w:val="20"/>
        </w:rPr>
      </w:pPr>
      <w:r w:rsidRPr="00771368">
        <w:rPr>
          <w:sz w:val="24"/>
          <w:szCs w:val="24"/>
        </w:rPr>
        <w:t xml:space="preserve">De acordo com a </w:t>
      </w:r>
      <w:r w:rsidRPr="00771368">
        <w:rPr>
          <w:i/>
          <w:iCs/>
          <w:sz w:val="24"/>
          <w:szCs w:val="24"/>
        </w:rPr>
        <w:t>Constituição dos Salesianos</w:t>
      </w:r>
      <w:r w:rsidRPr="00771368">
        <w:rPr>
          <w:sz w:val="24"/>
          <w:szCs w:val="24"/>
        </w:rPr>
        <w:t xml:space="preserve"> (1985) o oratório era organizado como um serviço comunitário que, visando à evangelização, oferecia a cada um e aos grupos a possibilidade de desenvolver os próprios interesses, segundo modalidades e métodos modificados. As atividades orientavam para o emprego sadio do tempo livre.</w:t>
      </w:r>
    </w:p>
    <w:p w:rsidR="00D24E61" w:rsidRPr="00771368" w:rsidRDefault="00D24E61">
      <w:pPr>
        <w:spacing w:line="20" w:lineRule="exact"/>
        <w:rPr>
          <w:sz w:val="20"/>
          <w:szCs w:val="20"/>
        </w:rPr>
      </w:pPr>
    </w:p>
    <w:p w:rsidR="00D24E61" w:rsidRPr="00771368" w:rsidRDefault="00D24E61">
      <w:pPr>
        <w:ind w:left="900"/>
        <w:rPr>
          <w:sz w:val="20"/>
          <w:szCs w:val="20"/>
        </w:rPr>
      </w:pPr>
      <w:r w:rsidRPr="00771368">
        <w:rPr>
          <w:sz w:val="24"/>
          <w:szCs w:val="24"/>
        </w:rPr>
        <w:t>A respeito dessa prática educativa, Dom Bosco afirma que:</w:t>
      </w:r>
    </w:p>
    <w:p w:rsidR="00D24E61" w:rsidRPr="00771368" w:rsidRDefault="00D24E61">
      <w:pPr>
        <w:spacing w:line="188" w:lineRule="exact"/>
        <w:rPr>
          <w:sz w:val="20"/>
          <w:szCs w:val="20"/>
        </w:rPr>
      </w:pPr>
    </w:p>
    <w:p w:rsidR="00D24E61" w:rsidRPr="00771368" w:rsidRDefault="00D24E61">
      <w:pPr>
        <w:spacing w:line="231" w:lineRule="auto"/>
        <w:ind w:left="2260"/>
        <w:jc w:val="both"/>
        <w:rPr>
          <w:sz w:val="20"/>
          <w:szCs w:val="20"/>
        </w:rPr>
      </w:pPr>
      <w:r w:rsidRPr="00771368">
        <w:rPr>
          <w:sz w:val="20"/>
          <w:szCs w:val="20"/>
        </w:rPr>
        <w:t>O Oratório funcionava assim: em todos os domingos e dias santos dava-se comodidade para se aproximarem dos santos sacramentos de confissão e da comunhão, marcava-se ainda um sábado e um domingo por mês para cumprir esse dever religioso. A tarde em uma hora determinada, entoava-se um cântico, dava-se catecismo, em seguida explicava-se um exemplo e distribuía-se alguma coisa. (1999, p. 111)</w:t>
      </w:r>
    </w:p>
    <w:p w:rsidR="00D24E61" w:rsidRPr="00771368" w:rsidRDefault="00D24E61">
      <w:pPr>
        <w:spacing w:line="290" w:lineRule="exact"/>
        <w:rPr>
          <w:sz w:val="20"/>
          <w:szCs w:val="20"/>
        </w:rPr>
      </w:pPr>
    </w:p>
    <w:p w:rsidR="00D24E61" w:rsidRPr="00771368" w:rsidRDefault="00D24E61">
      <w:pPr>
        <w:spacing w:line="347" w:lineRule="auto"/>
        <w:ind w:firstLine="852"/>
        <w:jc w:val="both"/>
        <w:rPr>
          <w:sz w:val="20"/>
          <w:szCs w:val="20"/>
        </w:rPr>
      </w:pPr>
      <w:r w:rsidRPr="00771368">
        <w:rPr>
          <w:sz w:val="24"/>
          <w:szCs w:val="24"/>
        </w:rPr>
        <w:t>Essa experiência educativa ganhou destaque rapidamente e passou a incluir novos membros. Em 1859, juntamente com outros sacerdotes, Dom Bosco fundou a Pia Sociedade de São Francisco de Sales, conhecida por Congregação Salesiana, cujo lema é “Dai-me almas e ficai com o resto”. Contrariando as pedagogias vigentes da época, Dom Bosco repudiou as práticas de repressão e construiu um novo método de educar: o Sistema Preventivo.</w:t>
      </w:r>
    </w:p>
    <w:p w:rsidR="00D24E61" w:rsidRPr="00771368" w:rsidRDefault="00D24E61">
      <w:pPr>
        <w:spacing w:line="76" w:lineRule="exact"/>
        <w:rPr>
          <w:sz w:val="20"/>
          <w:szCs w:val="20"/>
        </w:rPr>
      </w:pPr>
    </w:p>
    <w:p w:rsidR="00D24E61" w:rsidRPr="00771368" w:rsidRDefault="00D24E61">
      <w:pPr>
        <w:spacing w:line="308" w:lineRule="auto"/>
        <w:ind w:right="20" w:firstLine="852"/>
        <w:jc w:val="both"/>
        <w:rPr>
          <w:sz w:val="20"/>
          <w:szCs w:val="20"/>
        </w:rPr>
      </w:pPr>
      <w:r w:rsidRPr="00771368">
        <w:rPr>
          <w:sz w:val="24"/>
          <w:szCs w:val="24"/>
        </w:rPr>
        <w:t>Segundo Villanueva (2009), atual Reitor-Mor da Congregação Salesiana, Dom Bosco criou no oratório um ambiente harmônico e familiar, no qual os valores humanos</w:t>
      </w:r>
    </w:p>
    <w:p w:rsidR="00D24E61" w:rsidRPr="00771368" w:rsidRDefault="00D24E61">
      <w:pPr>
        <w:spacing w:line="29" w:lineRule="exact"/>
        <w:rPr>
          <w:sz w:val="20"/>
          <w:szCs w:val="20"/>
        </w:rPr>
      </w:pPr>
    </w:p>
    <w:p w:rsidR="00D24E61" w:rsidRPr="00771368" w:rsidRDefault="00D24E61">
      <w:pPr>
        <w:spacing w:line="334" w:lineRule="auto"/>
        <w:ind w:right="20"/>
        <w:jc w:val="both"/>
        <w:rPr>
          <w:sz w:val="20"/>
          <w:szCs w:val="20"/>
        </w:rPr>
      </w:pPr>
      <w:r w:rsidRPr="00771368">
        <w:rPr>
          <w:sz w:val="24"/>
          <w:szCs w:val="24"/>
        </w:rPr>
        <w:t>estavam presentes. “Um ambiente no qual se privilegiavam as relações pessoais, a presença e o diálogo dos educadores entre os jovens, o protagonismo juvenil e a vida de grupo, como lugar privilegiado de personalização” (p.18).</w:t>
      </w:r>
    </w:p>
    <w:p w:rsidR="00D24E61" w:rsidRPr="00771368" w:rsidRDefault="00D24E61">
      <w:pPr>
        <w:spacing w:line="89" w:lineRule="exact"/>
        <w:rPr>
          <w:sz w:val="20"/>
          <w:szCs w:val="20"/>
        </w:rPr>
      </w:pPr>
    </w:p>
    <w:p w:rsidR="00D24E61" w:rsidRDefault="00D24E61">
      <w:pPr>
        <w:spacing w:line="347" w:lineRule="auto"/>
        <w:ind w:right="20" w:firstLine="852"/>
        <w:jc w:val="both"/>
        <w:rPr>
          <w:sz w:val="24"/>
          <w:szCs w:val="24"/>
        </w:rPr>
      </w:pPr>
      <w:r w:rsidRPr="00771368">
        <w:rPr>
          <w:sz w:val="24"/>
          <w:szCs w:val="24"/>
        </w:rPr>
        <w:t>Em 1877, Dom Bosco foi instigado a escrever sobre as práticas e as vantagens do Sistema Preventivo. Tais escritos estão compilados na Constituição Salesiana, que contêm o Regulamento e alguns escritos do Santo fundador. É nesse documento histórico que encontramos a função do Sistema Preventivo, imiscuído numa rede de discursos. Segundo João Bosco, o Sistema consiste em:</w:t>
      </w:r>
    </w:p>
    <w:p w:rsidR="00C36571" w:rsidRPr="00771368" w:rsidRDefault="00C36571">
      <w:pPr>
        <w:spacing w:line="347" w:lineRule="auto"/>
        <w:ind w:right="20" w:firstLine="852"/>
        <w:jc w:val="both"/>
        <w:rPr>
          <w:sz w:val="20"/>
          <w:szCs w:val="20"/>
        </w:rPr>
      </w:pPr>
    </w:p>
    <w:p w:rsidR="00D24E61" w:rsidRPr="00771368" w:rsidRDefault="00D24E61">
      <w:pPr>
        <w:spacing w:line="66" w:lineRule="exact"/>
        <w:rPr>
          <w:sz w:val="20"/>
          <w:szCs w:val="20"/>
        </w:rPr>
      </w:pPr>
    </w:p>
    <w:p w:rsidR="00D24E61" w:rsidRDefault="00D24E61">
      <w:pPr>
        <w:spacing w:line="232" w:lineRule="auto"/>
        <w:ind w:left="2340" w:right="20"/>
        <w:jc w:val="both"/>
        <w:rPr>
          <w:sz w:val="20"/>
          <w:szCs w:val="20"/>
        </w:rPr>
      </w:pPr>
      <w:r w:rsidRPr="00771368">
        <w:rPr>
          <w:sz w:val="20"/>
          <w:szCs w:val="20"/>
        </w:rPr>
        <w:t>Tornar conhecidas as prescrições e as regras de uma instituição, e depois vigiar de modo que os alunos estejam sempre sob os olhares atentos do diretor ou dos assistentes. Estes, como pais carinhosos, falem, sirvam de guia em todas as circunstancias, deem conselhos e corrijam com bondade. Consiste, pois, em colocar os alunos na impossibilidade de cometerem faltas. O sistema apóia-se todo inteiro na razão, na religião e na bondade. Exclui, por isso, todo o castigo violento, e procura evitar até as punições leves (SALESIANOS, 1985, p. 230)</w:t>
      </w:r>
    </w:p>
    <w:p w:rsidR="00C36571" w:rsidRPr="00771368" w:rsidRDefault="00C36571">
      <w:pPr>
        <w:spacing w:line="232" w:lineRule="auto"/>
        <w:ind w:left="2340" w:right="20"/>
        <w:jc w:val="both"/>
        <w:rPr>
          <w:sz w:val="20"/>
          <w:szCs w:val="20"/>
        </w:rPr>
      </w:pPr>
    </w:p>
    <w:p w:rsidR="00D24E61" w:rsidRPr="00771368" w:rsidRDefault="00D24E61">
      <w:pPr>
        <w:spacing w:line="293" w:lineRule="exact"/>
        <w:rPr>
          <w:sz w:val="20"/>
          <w:szCs w:val="20"/>
        </w:rPr>
      </w:pPr>
    </w:p>
    <w:p w:rsidR="00D24E61" w:rsidRPr="00771368" w:rsidRDefault="00D24E61">
      <w:pPr>
        <w:spacing w:line="347" w:lineRule="auto"/>
        <w:ind w:firstLine="852"/>
        <w:jc w:val="both"/>
        <w:rPr>
          <w:sz w:val="20"/>
          <w:szCs w:val="20"/>
        </w:rPr>
      </w:pPr>
      <w:r w:rsidRPr="00771368">
        <w:rPr>
          <w:sz w:val="24"/>
          <w:szCs w:val="24"/>
        </w:rPr>
        <w:t>Nos documentos oficiais fica evidente que o Sistema Preventivo é representado como algo mais útil do que o Sistema Repressivo, porque torna o processo educativo mais saudável, vantajoso e fácil. Distintos assuntos são encontrados nesses documentos, tais como a missão dos Salesianos, os comportamentos permitidos em sala de aula, a regulação dos sentimentos, a relação professor-aluno, entre outros.</w:t>
      </w:r>
    </w:p>
    <w:p w:rsidR="00D24E61" w:rsidRPr="00771368" w:rsidRDefault="00D24E61">
      <w:pPr>
        <w:spacing w:line="76" w:lineRule="exact"/>
        <w:rPr>
          <w:sz w:val="20"/>
          <w:szCs w:val="20"/>
        </w:rPr>
      </w:pPr>
    </w:p>
    <w:p w:rsidR="00D24E61" w:rsidRPr="00771368" w:rsidRDefault="00D24E61">
      <w:pPr>
        <w:spacing w:line="342" w:lineRule="auto"/>
        <w:ind w:firstLine="852"/>
        <w:jc w:val="both"/>
        <w:rPr>
          <w:sz w:val="20"/>
          <w:szCs w:val="20"/>
        </w:rPr>
      </w:pPr>
      <w:r w:rsidRPr="00771368">
        <w:rPr>
          <w:sz w:val="24"/>
          <w:szCs w:val="24"/>
        </w:rPr>
        <w:t>Percebemos que o objetivo maior desse método educativo seria assegurar que os jovens meninos tivessem uma vida regrada, livre de pecados e influências más. Segundo Pelegrine (2008), Dom Bosco se detinha nas normas tradicionais da ascética e da pedagogia cristã, recomendando a retidão à pureza contra toda forma de oportunismo desleal.</w:t>
      </w:r>
    </w:p>
    <w:p w:rsidR="00D24E61" w:rsidRPr="00771368" w:rsidRDefault="00D24E61">
      <w:pPr>
        <w:spacing w:line="83" w:lineRule="exact"/>
        <w:rPr>
          <w:sz w:val="20"/>
          <w:szCs w:val="20"/>
        </w:rPr>
      </w:pPr>
    </w:p>
    <w:p w:rsidR="00D24E61" w:rsidRDefault="00D24E61">
      <w:pPr>
        <w:spacing w:line="347" w:lineRule="auto"/>
        <w:ind w:firstLine="852"/>
        <w:jc w:val="both"/>
        <w:rPr>
          <w:sz w:val="24"/>
          <w:szCs w:val="24"/>
        </w:rPr>
      </w:pPr>
      <w:r w:rsidRPr="00771368">
        <w:rPr>
          <w:sz w:val="24"/>
          <w:szCs w:val="24"/>
        </w:rPr>
        <w:t>Nicolau (2005) entende que, desde a fundação, os Salesianos produziram práticas disciplinares e discursos a respeito de um corpo específico, ou seja, o corpo do jovem masculino. Este, por sua vez, é expresso como displicente e passível de corrupção moral, logo necessita de amparo e da mão acolhedora da Igreja Católica, para guiá-lo no caminho da retidão.</w:t>
      </w:r>
    </w:p>
    <w:p w:rsidR="00C36571" w:rsidRPr="00771368" w:rsidRDefault="00C36571">
      <w:pPr>
        <w:spacing w:line="347" w:lineRule="auto"/>
        <w:ind w:firstLine="852"/>
        <w:jc w:val="both"/>
        <w:rPr>
          <w:sz w:val="20"/>
          <w:szCs w:val="20"/>
        </w:rPr>
      </w:pPr>
    </w:p>
    <w:p w:rsidR="00D24E61" w:rsidRPr="00771368" w:rsidRDefault="00D24E61">
      <w:pPr>
        <w:spacing w:line="74" w:lineRule="exact"/>
        <w:rPr>
          <w:sz w:val="20"/>
          <w:szCs w:val="20"/>
        </w:rPr>
      </w:pPr>
    </w:p>
    <w:p w:rsidR="00D24E61" w:rsidRDefault="00D24E61">
      <w:pPr>
        <w:spacing w:line="347" w:lineRule="auto"/>
        <w:ind w:right="20" w:firstLine="852"/>
        <w:jc w:val="both"/>
        <w:rPr>
          <w:sz w:val="24"/>
          <w:szCs w:val="24"/>
        </w:rPr>
      </w:pPr>
      <w:r w:rsidRPr="00771368">
        <w:rPr>
          <w:sz w:val="24"/>
          <w:szCs w:val="24"/>
        </w:rPr>
        <w:t>O Sistema Preventivo Salesiano foi gestado num período conturbado. Havia uma reafirmação das práticas e valores católicos na Cidade de Turim e em toda a Itália, ao mesmo tempo em que ocorria no país europeu a Restauração e Unificação territorial. Temendo o crescimento industrial e urbano, a Igreja Católica, apoiando as ideias pedagógicas e disciplinares de Dom Bosco, apoiou a cristianização da sociedade, especialmente dos jovens.</w:t>
      </w:r>
    </w:p>
    <w:p w:rsidR="00C36571" w:rsidRPr="00771368" w:rsidRDefault="00C36571">
      <w:pPr>
        <w:spacing w:line="347" w:lineRule="auto"/>
        <w:ind w:right="20" w:firstLine="852"/>
        <w:jc w:val="both"/>
        <w:rPr>
          <w:sz w:val="20"/>
          <w:szCs w:val="20"/>
        </w:rPr>
      </w:pPr>
    </w:p>
    <w:p w:rsidR="00D24E61" w:rsidRPr="00771368" w:rsidRDefault="00D24E61">
      <w:pPr>
        <w:spacing w:line="76" w:lineRule="exact"/>
        <w:rPr>
          <w:sz w:val="20"/>
          <w:szCs w:val="20"/>
        </w:rPr>
      </w:pPr>
    </w:p>
    <w:p w:rsidR="00D24E61" w:rsidRPr="00771368" w:rsidRDefault="00D24E61">
      <w:pPr>
        <w:spacing w:line="308" w:lineRule="auto"/>
        <w:ind w:right="20" w:firstLine="852"/>
        <w:jc w:val="both"/>
        <w:rPr>
          <w:sz w:val="20"/>
          <w:szCs w:val="20"/>
        </w:rPr>
      </w:pPr>
      <w:r w:rsidRPr="00771368">
        <w:rPr>
          <w:sz w:val="24"/>
          <w:szCs w:val="24"/>
        </w:rPr>
        <w:t>No período em que foi escrito o regulamento, a juventude era vista como a idade do perigo e das descobertas. Dom Bosco acreditava que era necessário “prevenir” os corpos e as</w:t>
      </w:r>
    </w:p>
    <w:p w:rsidR="00D24E61" w:rsidRPr="00771368" w:rsidRDefault="00D24E61">
      <w:pPr>
        <w:spacing w:line="29" w:lineRule="exact"/>
        <w:rPr>
          <w:sz w:val="20"/>
          <w:szCs w:val="20"/>
        </w:rPr>
      </w:pPr>
    </w:p>
    <w:p w:rsidR="00D24E61" w:rsidRDefault="00D24E61">
      <w:pPr>
        <w:spacing w:line="334" w:lineRule="auto"/>
        <w:jc w:val="both"/>
        <w:rPr>
          <w:sz w:val="24"/>
          <w:szCs w:val="24"/>
        </w:rPr>
      </w:pPr>
      <w:r w:rsidRPr="00771368">
        <w:rPr>
          <w:sz w:val="24"/>
          <w:szCs w:val="24"/>
        </w:rPr>
        <w:t>almas de tais jovens, a fim de assegurar o desenvolvimento destes e o reino dos céus. Os jovens que se pretendiam formar eram heterossexuais e cristãos. Percebemos isso quando analisamos alguns discursos contidos nos referidos documentos.</w:t>
      </w:r>
    </w:p>
    <w:p w:rsidR="00C36571" w:rsidRPr="00771368" w:rsidRDefault="00C36571">
      <w:pPr>
        <w:spacing w:line="334" w:lineRule="auto"/>
        <w:jc w:val="both"/>
        <w:rPr>
          <w:sz w:val="20"/>
          <w:szCs w:val="20"/>
        </w:rPr>
      </w:pPr>
    </w:p>
    <w:p w:rsidR="00D24E61" w:rsidRPr="00771368" w:rsidRDefault="00D24E61">
      <w:pPr>
        <w:spacing w:line="89" w:lineRule="exact"/>
        <w:rPr>
          <w:sz w:val="20"/>
          <w:szCs w:val="20"/>
        </w:rPr>
      </w:pPr>
    </w:p>
    <w:p w:rsidR="00D24E61" w:rsidRPr="00771368" w:rsidRDefault="00D24E61">
      <w:pPr>
        <w:spacing w:line="343" w:lineRule="auto"/>
        <w:ind w:right="20" w:firstLine="852"/>
        <w:jc w:val="both"/>
        <w:rPr>
          <w:sz w:val="20"/>
          <w:szCs w:val="20"/>
        </w:rPr>
      </w:pPr>
      <w:r w:rsidRPr="00771368">
        <w:rPr>
          <w:sz w:val="24"/>
          <w:szCs w:val="24"/>
        </w:rPr>
        <w:t>A sexualidade se apresenta de forma sutil, quase silenciada, todavia pode ser notada através da intenção de separar os corpos dos meninos. Dentro ou fora dos espaços educativos, eles não deveriam ter contatos corporais. Os carinhos não deveriam ser exagerados. Os gestos eram vigiados.</w:t>
      </w:r>
    </w:p>
    <w:p w:rsidR="00D24E61" w:rsidRPr="00771368" w:rsidRDefault="00D24E61">
      <w:pPr>
        <w:spacing w:line="20" w:lineRule="exact"/>
        <w:rPr>
          <w:sz w:val="20"/>
          <w:szCs w:val="20"/>
        </w:rPr>
      </w:pPr>
    </w:p>
    <w:p w:rsidR="00D24E61" w:rsidRPr="00771368" w:rsidRDefault="00D24E61">
      <w:pPr>
        <w:ind w:left="860"/>
        <w:rPr>
          <w:sz w:val="20"/>
          <w:szCs w:val="20"/>
        </w:rPr>
      </w:pPr>
      <w:r w:rsidRPr="00771368">
        <w:rPr>
          <w:sz w:val="24"/>
          <w:szCs w:val="24"/>
        </w:rPr>
        <w:t>Segundo Dom Bosco:</w:t>
      </w:r>
    </w:p>
    <w:p w:rsidR="00D24E61" w:rsidRPr="00771368" w:rsidRDefault="00D24E61">
      <w:pPr>
        <w:spacing w:line="188" w:lineRule="exact"/>
        <w:rPr>
          <w:sz w:val="20"/>
          <w:szCs w:val="20"/>
        </w:rPr>
      </w:pPr>
    </w:p>
    <w:p w:rsidR="00D24E61" w:rsidRPr="00771368" w:rsidRDefault="00D24E61">
      <w:pPr>
        <w:spacing w:line="229" w:lineRule="auto"/>
        <w:ind w:left="2260" w:right="20"/>
        <w:jc w:val="both"/>
        <w:rPr>
          <w:sz w:val="20"/>
          <w:szCs w:val="20"/>
        </w:rPr>
      </w:pPr>
      <w:r w:rsidRPr="00771368">
        <w:rPr>
          <w:sz w:val="20"/>
          <w:szCs w:val="20"/>
        </w:rPr>
        <w:t>amai-vos todos reciprocamente, como manda Nosso Senhor, mas guardai-vos de dar escândalos [...] as mãos quando não estão ocupadas, estejam em posição decorosa e de noite, por quanto possível, conservai-as junto ao peito abstende-vos de por as mãos sobre os outros e nos recreios não andeis de mãos ou braços dados” (1985, p. 30).</w:t>
      </w:r>
    </w:p>
    <w:p w:rsidR="00D24E61" w:rsidRPr="00771368" w:rsidRDefault="00D24E61">
      <w:pPr>
        <w:spacing w:line="321" w:lineRule="exact"/>
        <w:rPr>
          <w:sz w:val="20"/>
          <w:szCs w:val="20"/>
        </w:rPr>
      </w:pPr>
    </w:p>
    <w:p w:rsidR="00D24E61" w:rsidRPr="00771368" w:rsidRDefault="00D24E61">
      <w:pPr>
        <w:spacing w:line="350" w:lineRule="auto"/>
        <w:ind w:firstLine="852"/>
        <w:jc w:val="both"/>
        <w:rPr>
          <w:sz w:val="20"/>
          <w:szCs w:val="20"/>
        </w:rPr>
      </w:pPr>
      <w:r w:rsidRPr="00771368">
        <w:rPr>
          <w:sz w:val="24"/>
          <w:szCs w:val="24"/>
        </w:rPr>
        <w:t>Na escrita de Dom Bosco e nos documentos que compõem o Sistema Preventivo podemos observar que a masculinidade é representada como algo inerente aos jovens. Os meninos devem ter posturas condizentes com o sexo, pois isto é visto como algo natural e universal. Por outro lado, este aspecto biológico, é ‘prevenido’ nos estabelecimentos salesianos, mas precisamente no oratório, possibilitando a incorporação de maneiras de ser, agir e se comportar.</w:t>
      </w:r>
    </w:p>
    <w:p w:rsidR="00D24E61" w:rsidRPr="00771368" w:rsidRDefault="00D24E61">
      <w:pPr>
        <w:spacing w:line="70" w:lineRule="exact"/>
        <w:rPr>
          <w:sz w:val="20"/>
          <w:szCs w:val="20"/>
        </w:rPr>
      </w:pPr>
    </w:p>
    <w:p w:rsidR="00D24E61" w:rsidRPr="00771368" w:rsidRDefault="00D24E61">
      <w:pPr>
        <w:spacing w:line="336" w:lineRule="auto"/>
        <w:ind w:right="20" w:firstLine="852"/>
        <w:jc w:val="both"/>
        <w:rPr>
          <w:sz w:val="20"/>
          <w:szCs w:val="20"/>
        </w:rPr>
      </w:pPr>
      <w:r w:rsidRPr="00771368">
        <w:rPr>
          <w:sz w:val="24"/>
          <w:szCs w:val="24"/>
        </w:rPr>
        <w:t>Atualmente a Congregação e o Sistema Preventivo Salesiano estão em mais de 100 países. Os Salesianos estão divididos em 85 núcleos, chamados de Inspetorias, totalizando 1.765 frentes de atuação, entre Escolas Técnicas, Escolas de Formação Básica, de Primeiro e Segundo Graus, Universidades, Faculdades, Centros de Apoio ao Menor e Paróquias. Ao todo são mais de 18.000 Salesianos dedicados à causa</w:t>
      </w:r>
      <w:r w:rsidRPr="00771368">
        <w:rPr>
          <w:sz w:val="32"/>
          <w:szCs w:val="32"/>
          <w:vertAlign w:val="superscript"/>
        </w:rPr>
        <w:t>4</w:t>
      </w:r>
      <w:r w:rsidRPr="00771368">
        <w:rPr>
          <w:sz w:val="24"/>
          <w:szCs w:val="24"/>
        </w:rPr>
        <w:t>.</w:t>
      </w:r>
    </w:p>
    <w:p w:rsidR="00D24E61" w:rsidRPr="00771368" w:rsidRDefault="00D24E61">
      <w:pPr>
        <w:spacing w:line="11" w:lineRule="exact"/>
        <w:rPr>
          <w:sz w:val="20"/>
          <w:szCs w:val="20"/>
        </w:rPr>
      </w:pPr>
    </w:p>
    <w:p w:rsidR="00D24E61" w:rsidRPr="00771368" w:rsidRDefault="00D24E61" w:rsidP="00C36571">
      <w:pPr>
        <w:ind w:right="23" w:firstLine="913"/>
        <w:jc w:val="both"/>
        <w:rPr>
          <w:sz w:val="20"/>
          <w:szCs w:val="20"/>
        </w:rPr>
      </w:pPr>
      <w:r w:rsidRPr="00771368">
        <w:rPr>
          <w:sz w:val="24"/>
          <w:szCs w:val="24"/>
        </w:rPr>
        <w:t>No Brasil a primeira obra foi construída em Niterói-RJ, no final do século XIX. A vinda dos Salesianos para o município de Juazeiro do Norte-CE aconteceu em 1939, cumprindo o último desejo do padre Cícero Romão Batista, que deixou para a Congregação a maior parte dos seus bens, com a recomendação de que ela criasse uma escola para os meninos carentes da região.</w:t>
      </w:r>
    </w:p>
    <w:p w:rsidR="00D24E61" w:rsidRPr="00771368" w:rsidRDefault="00D24E61">
      <w:pPr>
        <w:spacing w:line="74" w:lineRule="exact"/>
        <w:rPr>
          <w:sz w:val="20"/>
          <w:szCs w:val="20"/>
        </w:rPr>
      </w:pPr>
    </w:p>
    <w:p w:rsidR="00D24E61" w:rsidRDefault="00D24E61">
      <w:pPr>
        <w:spacing w:line="347" w:lineRule="auto"/>
        <w:ind w:firstLine="852"/>
        <w:jc w:val="both"/>
        <w:rPr>
          <w:sz w:val="24"/>
          <w:szCs w:val="24"/>
        </w:rPr>
      </w:pPr>
      <w:r w:rsidRPr="00771368">
        <w:rPr>
          <w:sz w:val="24"/>
          <w:szCs w:val="24"/>
        </w:rPr>
        <w:t>Assim que se instalaram no município de Juazeiro do Norte, os Salesianos inauguraram a Obra Social Dom Bosco que dava assistência aos jovens pobres, com a finalidade de propagar a educação religiosa, moral e cívica no interior cearense. As práticas educativas empreendidas por eles resultaram num rápido acolhimento por parte da população juazeirense.</w:t>
      </w:r>
    </w:p>
    <w:p w:rsidR="00C36571" w:rsidRPr="00771368" w:rsidRDefault="00C36571" w:rsidP="00C36571">
      <w:pPr>
        <w:spacing w:line="29" w:lineRule="exact"/>
        <w:rPr>
          <w:sz w:val="20"/>
          <w:szCs w:val="20"/>
        </w:rPr>
      </w:pPr>
    </w:p>
    <w:p w:rsidR="00C36571" w:rsidRPr="00771368" w:rsidRDefault="00C36571" w:rsidP="00C36571">
      <w:pPr>
        <w:spacing w:line="342" w:lineRule="auto"/>
        <w:ind w:left="1" w:firstLine="852"/>
        <w:jc w:val="both"/>
        <w:rPr>
          <w:sz w:val="20"/>
          <w:szCs w:val="20"/>
        </w:rPr>
      </w:pPr>
      <w:r w:rsidRPr="00771368">
        <w:rPr>
          <w:sz w:val="24"/>
          <w:szCs w:val="24"/>
        </w:rPr>
        <w:t xml:space="preserve">Segundo as </w:t>
      </w:r>
      <w:r w:rsidRPr="00771368">
        <w:rPr>
          <w:i/>
          <w:iCs/>
          <w:sz w:val="24"/>
          <w:szCs w:val="24"/>
        </w:rPr>
        <w:t>Crônicas da Casa</w:t>
      </w:r>
      <w:r w:rsidRPr="00771368">
        <w:rPr>
          <w:sz w:val="24"/>
          <w:szCs w:val="24"/>
        </w:rPr>
        <w:t>, Entre 1939 a 1942, os padres salesianos, liderados por Antônio Agra, sustentaram provisoriamente um grupo escolar com aulas noturnas e diurnas, frequentadas por mais de 400 meninos, que recebiam instruções primárias, merenda e catecismo.</w:t>
      </w:r>
    </w:p>
    <w:p w:rsidR="00C36571" w:rsidRPr="00771368" w:rsidRDefault="00C36571" w:rsidP="00C36571">
      <w:pPr>
        <w:spacing w:line="28" w:lineRule="exact"/>
        <w:rPr>
          <w:sz w:val="20"/>
          <w:szCs w:val="20"/>
        </w:rPr>
      </w:pPr>
    </w:p>
    <w:p w:rsidR="00C36571" w:rsidRDefault="00C36571" w:rsidP="00C36571">
      <w:pPr>
        <w:spacing w:line="331" w:lineRule="auto"/>
        <w:ind w:left="1" w:right="20" w:firstLine="852"/>
        <w:jc w:val="both"/>
        <w:rPr>
          <w:sz w:val="24"/>
          <w:szCs w:val="24"/>
        </w:rPr>
      </w:pPr>
      <w:r w:rsidRPr="00771368">
        <w:rPr>
          <w:sz w:val="24"/>
          <w:szCs w:val="24"/>
        </w:rPr>
        <w:t xml:space="preserve">No </w:t>
      </w:r>
      <w:r w:rsidRPr="00771368">
        <w:rPr>
          <w:i/>
          <w:iCs/>
          <w:sz w:val="24"/>
          <w:szCs w:val="24"/>
        </w:rPr>
        <w:t>Estatuto do Instituto Salesiano</w:t>
      </w:r>
      <w:r w:rsidRPr="00771368">
        <w:rPr>
          <w:sz w:val="32"/>
          <w:szCs w:val="32"/>
          <w:vertAlign w:val="superscript"/>
        </w:rPr>
        <w:t>5</w:t>
      </w:r>
      <w:r w:rsidRPr="00771368">
        <w:rPr>
          <w:sz w:val="24"/>
          <w:szCs w:val="24"/>
        </w:rPr>
        <w:t>, encontramos indícios de quais eram os deveres dos jovens no espaço educativo. Todo aluno era obrigado a se conformar com o regime, com as tradições colegiais e aceitar as determinações dos Superiores. O aluno habitualmente negligente, na frequência ou na observação disciplinar, era admoestado. Caso não obedecesse às normas do Estatuto era transferido para outra instituição.</w:t>
      </w:r>
    </w:p>
    <w:p w:rsidR="00C36571" w:rsidRPr="00771368" w:rsidRDefault="00C36571" w:rsidP="00C36571">
      <w:pPr>
        <w:spacing w:line="343" w:lineRule="auto"/>
        <w:ind w:left="1" w:firstLine="852"/>
        <w:jc w:val="both"/>
        <w:rPr>
          <w:sz w:val="20"/>
          <w:szCs w:val="20"/>
        </w:rPr>
      </w:pPr>
      <w:r w:rsidRPr="00771368">
        <w:rPr>
          <w:sz w:val="24"/>
          <w:szCs w:val="24"/>
        </w:rPr>
        <w:t>Segundo este documento, nenhum aluno, sob nenhum pretexto, poderia se eximir dos atos de piedade, civismo ou cortesia. Logo, eram obrigados a: 1) assistir a missa aos domingos, 2) participar dos atos públicos e civis, 3) comparecer as festas colegiais, 4) usar uniforme de acordo com o modelo adequado e a ocasião.</w:t>
      </w:r>
    </w:p>
    <w:p w:rsidR="00C36571" w:rsidRDefault="00C36571" w:rsidP="00C36571">
      <w:pPr>
        <w:spacing w:line="343" w:lineRule="auto"/>
        <w:ind w:left="1" w:right="20" w:firstLine="852"/>
        <w:jc w:val="both"/>
        <w:rPr>
          <w:sz w:val="24"/>
          <w:szCs w:val="24"/>
        </w:rPr>
      </w:pPr>
      <w:r w:rsidRPr="00771368">
        <w:rPr>
          <w:sz w:val="24"/>
          <w:szCs w:val="24"/>
        </w:rPr>
        <w:t>Pretendendo instigar a oração coletiva e os sacramentos da Igreja Católica (penitência e eucaristia) os padres salesianos tentavam demonstrar que o cristianismo poderia ser incorporado na vida dos jovens sem controle ou normas autoritárias. Para isso eles buscavam ressignificar os elementos culturais presentes na sociedade juazeirense.</w:t>
      </w:r>
    </w:p>
    <w:p w:rsidR="00C36571" w:rsidRPr="00771368" w:rsidRDefault="00C36571" w:rsidP="00C36571">
      <w:pPr>
        <w:spacing w:line="329" w:lineRule="auto"/>
        <w:ind w:left="1" w:right="20" w:firstLine="852"/>
        <w:jc w:val="both"/>
        <w:rPr>
          <w:sz w:val="20"/>
          <w:szCs w:val="20"/>
        </w:rPr>
      </w:pPr>
      <w:r w:rsidRPr="00771368">
        <w:rPr>
          <w:sz w:val="24"/>
          <w:szCs w:val="24"/>
        </w:rPr>
        <w:t xml:space="preserve">Nesta época, as procissões religiosas, composta pelos oratorianos, causavam “grande comoção perante os que se preocupavam com o futuro desta terra juazeirense, o batalhão composto dos oratorianos, muitos deles sujos e mulambados, mas compenetrados no próprio dever” </w:t>
      </w:r>
      <w:r w:rsidRPr="00771368">
        <w:rPr>
          <w:sz w:val="32"/>
          <w:szCs w:val="32"/>
          <w:vertAlign w:val="superscript"/>
        </w:rPr>
        <w:t>6</w:t>
      </w:r>
      <w:r w:rsidRPr="00771368">
        <w:rPr>
          <w:sz w:val="24"/>
          <w:szCs w:val="24"/>
        </w:rPr>
        <w:t xml:space="preserve"> emocionavam a população e as autoridades locais.</w:t>
      </w:r>
    </w:p>
    <w:p w:rsidR="00D24E61" w:rsidRPr="00771368" w:rsidRDefault="00013211">
      <w:pPr>
        <w:spacing w:line="174" w:lineRule="exact"/>
        <w:rPr>
          <w:sz w:val="20"/>
          <w:szCs w:val="20"/>
        </w:rPr>
      </w:pPr>
      <w:r>
        <w:rPr>
          <w:noProof/>
          <w:sz w:val="20"/>
          <w:szCs w:val="20"/>
        </w:rPr>
        <mc:AlternateContent>
          <mc:Choice Requires="wps">
            <w:drawing>
              <wp:anchor distT="0" distB="0" distL="0" distR="0" simplePos="0" relativeHeight="251617792" behindDoc="0" locked="0" layoutInCell="0" allowOverlap="1">
                <wp:simplePos x="0" y="0"/>
                <wp:positionH relativeFrom="column">
                  <wp:posOffset>-635</wp:posOffset>
                </wp:positionH>
                <wp:positionV relativeFrom="paragraph">
                  <wp:posOffset>44450</wp:posOffset>
                </wp:positionV>
                <wp:extent cx="1828800" cy="0"/>
                <wp:effectExtent l="8890" t="6350" r="10160" b="12700"/>
                <wp:wrapNone/>
                <wp:docPr id="30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1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3.5pt" to="14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yk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" o:allowincell="f" strokeweight=".72pt"/>
            </w:pict>
          </mc:Fallback>
        </mc:AlternateContent>
      </w:r>
    </w:p>
    <w:p w:rsidR="00D24E61" w:rsidRDefault="00D24E61" w:rsidP="00C36571">
      <w:r w:rsidRPr="00771368">
        <w:rPr>
          <w:sz w:val="25"/>
          <w:szCs w:val="25"/>
          <w:vertAlign w:val="superscript"/>
        </w:rPr>
        <w:t>4</w:t>
      </w:r>
      <w:r w:rsidRPr="00771368">
        <w:rPr>
          <w:sz w:val="20"/>
          <w:szCs w:val="20"/>
        </w:rPr>
        <w:t xml:space="preserve">  Informação disponível em: </w:t>
      </w:r>
      <w:hyperlink r:id="rId90">
        <w:r w:rsidRPr="00771368">
          <w:rPr>
            <w:sz w:val="20"/>
            <w:szCs w:val="20"/>
            <w:u w:val="single"/>
          </w:rPr>
          <w:t>http://www.cjdbbh.salesiano.br/salesiano.html.</w:t>
        </w:r>
      </w:hyperlink>
    </w:p>
    <w:p w:rsidR="00C36571" w:rsidRPr="00771368" w:rsidRDefault="00C36571" w:rsidP="00C36571">
      <w:pPr>
        <w:numPr>
          <w:ilvl w:val="0"/>
          <w:numId w:val="24"/>
        </w:numPr>
        <w:tabs>
          <w:tab w:val="left" w:pos="184"/>
        </w:tabs>
        <w:spacing w:line="186" w:lineRule="auto"/>
        <w:ind w:left="1" w:right="20" w:hanging="1"/>
        <w:jc w:val="both"/>
        <w:rPr>
          <w:sz w:val="26"/>
          <w:szCs w:val="26"/>
          <w:vertAlign w:val="superscript"/>
        </w:rPr>
      </w:pPr>
      <w:r w:rsidRPr="00771368">
        <w:rPr>
          <w:sz w:val="20"/>
          <w:szCs w:val="20"/>
        </w:rPr>
        <w:t>Estatuto do Instituto Salesiano. Disponível no Arquivo escolar do Colégio Salesiano São João Bosco, em de Juazeiro no Norte.</w:t>
      </w:r>
    </w:p>
    <w:p w:rsidR="00C36571" w:rsidRPr="00771368" w:rsidRDefault="00C36571" w:rsidP="00C36571">
      <w:pPr>
        <w:numPr>
          <w:ilvl w:val="0"/>
          <w:numId w:val="24"/>
        </w:numPr>
        <w:tabs>
          <w:tab w:val="left" w:pos="167"/>
        </w:tabs>
        <w:spacing w:line="202" w:lineRule="auto"/>
        <w:ind w:left="1" w:right="20" w:hanging="1"/>
        <w:jc w:val="both"/>
        <w:rPr>
          <w:sz w:val="26"/>
          <w:szCs w:val="26"/>
          <w:vertAlign w:val="superscript"/>
        </w:rPr>
      </w:pPr>
      <w:r w:rsidRPr="00771368">
        <w:rPr>
          <w:sz w:val="20"/>
          <w:szCs w:val="20"/>
        </w:rPr>
        <w:t>Crônicas da Casa – 1940. As procissões religiosas eram eventos que chamavam a atenção dos juazeirenses, por ser uma prática que já existia na região, mas que estava sendo divulgada e organizada de forma diferente, ou seja, seguindo as indicações da Igreja Católica Oficial.</w:t>
      </w:r>
    </w:p>
    <w:p w:rsidR="00D24E61" w:rsidRPr="00771368" w:rsidRDefault="00D24E61">
      <w:pPr>
        <w:sectPr w:rsidR="00D24E61" w:rsidRPr="00771368">
          <w:pgSz w:w="11900" w:h="16838"/>
          <w:pgMar w:top="1440" w:right="1400" w:bottom="707" w:left="1420" w:header="0" w:footer="0" w:gutter="0"/>
          <w:cols w:space="720" w:equalWidth="0">
            <w:col w:w="9080"/>
          </w:cols>
        </w:sectPr>
      </w:pPr>
    </w:p>
    <w:p w:rsidR="00D24E61" w:rsidRPr="00771368" w:rsidRDefault="00D24E61">
      <w:pPr>
        <w:spacing w:line="95" w:lineRule="exact"/>
        <w:rPr>
          <w:sz w:val="20"/>
          <w:szCs w:val="20"/>
        </w:rPr>
      </w:pPr>
    </w:p>
    <w:p w:rsidR="00D24E61" w:rsidRPr="00771368" w:rsidRDefault="00D24E61">
      <w:pPr>
        <w:spacing w:line="78" w:lineRule="exact"/>
        <w:rPr>
          <w:sz w:val="20"/>
          <w:szCs w:val="20"/>
        </w:rPr>
      </w:pPr>
    </w:p>
    <w:p w:rsidR="00D24E61" w:rsidRPr="00771368" w:rsidRDefault="00D24E61">
      <w:pPr>
        <w:spacing w:line="78" w:lineRule="exact"/>
        <w:rPr>
          <w:sz w:val="20"/>
          <w:szCs w:val="20"/>
        </w:rPr>
      </w:pPr>
    </w:p>
    <w:p w:rsidR="00D24E61" w:rsidRPr="00771368" w:rsidRDefault="00D24E61">
      <w:pPr>
        <w:spacing w:line="17" w:lineRule="exact"/>
        <w:rPr>
          <w:sz w:val="20"/>
          <w:szCs w:val="20"/>
        </w:rPr>
      </w:pPr>
    </w:p>
    <w:p w:rsidR="00D24E61" w:rsidRPr="00771368" w:rsidRDefault="00D24E61">
      <w:pPr>
        <w:spacing w:line="334" w:lineRule="auto"/>
        <w:ind w:left="1" w:right="20" w:firstLine="852"/>
        <w:jc w:val="both"/>
        <w:rPr>
          <w:sz w:val="20"/>
          <w:szCs w:val="20"/>
        </w:rPr>
      </w:pPr>
      <w:r w:rsidRPr="00771368">
        <w:rPr>
          <w:sz w:val="24"/>
          <w:szCs w:val="24"/>
        </w:rPr>
        <w:t>As procissões agradavam a população e as autoridades da Igreja Católica, misturando a cultura popular com a cultura romanizada. Formando um mosaico cultural e religioso visto e vivenciado pela sociedade juazeirense, na primeira metade do século XX.</w:t>
      </w:r>
    </w:p>
    <w:p w:rsidR="00D24E61" w:rsidRPr="00771368" w:rsidRDefault="00D24E61">
      <w:pPr>
        <w:spacing w:line="89" w:lineRule="exact"/>
        <w:rPr>
          <w:sz w:val="20"/>
          <w:szCs w:val="20"/>
        </w:rPr>
      </w:pPr>
    </w:p>
    <w:p w:rsidR="00D24E61" w:rsidRPr="00771368" w:rsidRDefault="00D24E61">
      <w:pPr>
        <w:spacing w:line="343" w:lineRule="auto"/>
        <w:ind w:left="1" w:right="20" w:firstLine="852"/>
        <w:jc w:val="both"/>
        <w:rPr>
          <w:sz w:val="20"/>
          <w:szCs w:val="20"/>
        </w:rPr>
      </w:pPr>
      <w:r w:rsidRPr="00771368">
        <w:rPr>
          <w:sz w:val="24"/>
          <w:szCs w:val="24"/>
        </w:rPr>
        <w:t>O catecismo era ministrado regularmente contando com a participação de dezenas de alunos. As orações eram feitas diariamente no interior do oratório. Nas festas religiosas, os alunos faziam homenagens ao santo do dia e cantavam partes da missa em latim, demonstrando grande devoção.</w:t>
      </w:r>
    </w:p>
    <w:p w:rsidR="00D24E61" w:rsidRPr="00771368" w:rsidRDefault="00D24E61">
      <w:pPr>
        <w:spacing w:line="79" w:lineRule="exact"/>
        <w:rPr>
          <w:sz w:val="20"/>
          <w:szCs w:val="20"/>
        </w:rPr>
      </w:pPr>
    </w:p>
    <w:p w:rsidR="00D24E61" w:rsidRPr="00771368" w:rsidRDefault="00D24E61">
      <w:pPr>
        <w:spacing w:line="310" w:lineRule="auto"/>
        <w:ind w:left="1" w:firstLine="852"/>
        <w:jc w:val="both"/>
        <w:rPr>
          <w:sz w:val="20"/>
          <w:szCs w:val="20"/>
        </w:rPr>
      </w:pPr>
      <w:r w:rsidRPr="00771368">
        <w:rPr>
          <w:sz w:val="24"/>
          <w:szCs w:val="24"/>
        </w:rPr>
        <w:t xml:space="preserve">Segundo as </w:t>
      </w:r>
      <w:r w:rsidRPr="00771368">
        <w:rPr>
          <w:i/>
          <w:iCs/>
          <w:sz w:val="24"/>
          <w:szCs w:val="24"/>
        </w:rPr>
        <w:t>Crônicas da Casa</w:t>
      </w:r>
      <w:r w:rsidRPr="00771368">
        <w:rPr>
          <w:sz w:val="24"/>
          <w:szCs w:val="24"/>
        </w:rPr>
        <w:t>, os jovens também praticavam frequentemente o exercício da ‘boa noite’ e o exame de consciência. Todas as noites, depois das missas eles se</w:t>
      </w:r>
    </w:p>
    <w:p w:rsidR="00D24E61" w:rsidRPr="00771368" w:rsidRDefault="00D24E61">
      <w:pPr>
        <w:spacing w:line="29" w:lineRule="exact"/>
        <w:rPr>
          <w:sz w:val="20"/>
          <w:szCs w:val="20"/>
        </w:rPr>
      </w:pPr>
    </w:p>
    <w:p w:rsidR="00D24E61" w:rsidRPr="00771368" w:rsidRDefault="00D24E61">
      <w:pPr>
        <w:spacing w:line="347" w:lineRule="auto"/>
        <w:jc w:val="both"/>
        <w:rPr>
          <w:sz w:val="20"/>
          <w:szCs w:val="20"/>
        </w:rPr>
      </w:pPr>
      <w:r w:rsidRPr="00771368">
        <w:rPr>
          <w:sz w:val="24"/>
          <w:szCs w:val="24"/>
        </w:rPr>
        <w:t>dirigiam para a residência dos salesianos. Nesse local, dois ou três minutos antes dos jovens se recolherem para seus aposentos, havia breves comentários sobre qualquer fato do dia capaz de relembrar uma atitude inconveniente ou uma ação satisfatória para a harmonia do grupo. O exercício da ‘boa-noite’ era um ato de purificação para libertar qualquer tensão ou desequilíbrio para que o descanso dos meninos repousasse na paz do espírito.</w:t>
      </w:r>
    </w:p>
    <w:p w:rsidR="00D24E61" w:rsidRPr="00771368" w:rsidRDefault="00D24E61">
      <w:pPr>
        <w:spacing w:line="74" w:lineRule="exact"/>
        <w:rPr>
          <w:sz w:val="20"/>
          <w:szCs w:val="20"/>
        </w:rPr>
      </w:pPr>
    </w:p>
    <w:p w:rsidR="00D24E61" w:rsidRPr="00771368" w:rsidRDefault="00D24E61">
      <w:pPr>
        <w:spacing w:line="343" w:lineRule="auto"/>
        <w:ind w:firstLine="852"/>
        <w:jc w:val="both"/>
        <w:rPr>
          <w:sz w:val="20"/>
          <w:szCs w:val="20"/>
        </w:rPr>
      </w:pPr>
      <w:r w:rsidRPr="00771368">
        <w:rPr>
          <w:sz w:val="24"/>
          <w:szCs w:val="24"/>
        </w:rPr>
        <w:t>O certame catequético também era muito valorizado na Educação Salesiana. Essa atividade confessional constava de uma condensação da doutrina bíblica apresentada aos meninos em forma de diálogo. Os estudos dos questionamentos, com suas respectivas respostas eram realizados em aulas semanais e terminava com um grande evento, o certame.</w:t>
      </w:r>
    </w:p>
    <w:p w:rsidR="00D24E61" w:rsidRPr="00771368" w:rsidRDefault="00D24E61">
      <w:pPr>
        <w:spacing w:line="79" w:lineRule="exact"/>
        <w:rPr>
          <w:sz w:val="20"/>
          <w:szCs w:val="20"/>
        </w:rPr>
      </w:pPr>
    </w:p>
    <w:p w:rsidR="00D24E61" w:rsidRPr="00771368" w:rsidRDefault="00D24E61">
      <w:pPr>
        <w:spacing w:line="343" w:lineRule="auto"/>
        <w:ind w:right="20" w:firstLine="852"/>
        <w:jc w:val="both"/>
        <w:rPr>
          <w:sz w:val="20"/>
          <w:szCs w:val="20"/>
        </w:rPr>
      </w:pPr>
      <w:r w:rsidRPr="00771368">
        <w:rPr>
          <w:sz w:val="24"/>
          <w:szCs w:val="24"/>
        </w:rPr>
        <w:t>O aluno prestava conta sobre o que aprendeu nas aulas de catecismo. Eles se apresentavam diante de uma banca examinadora constituída pelas autoridades educacionais e religiosas da região. Tratava-se de uma competição entre alunos, onde eles mostravam a capacidade de memorização e a importância dos ensinamentos bíblicos.</w:t>
      </w:r>
    </w:p>
    <w:p w:rsidR="00D24E61" w:rsidRPr="00771368" w:rsidRDefault="00D24E61">
      <w:pPr>
        <w:spacing w:line="78" w:lineRule="exact"/>
        <w:rPr>
          <w:sz w:val="20"/>
          <w:szCs w:val="20"/>
        </w:rPr>
      </w:pPr>
    </w:p>
    <w:p w:rsidR="00D24E61" w:rsidRPr="00771368" w:rsidRDefault="00D24E61">
      <w:pPr>
        <w:spacing w:line="347" w:lineRule="auto"/>
        <w:ind w:right="20" w:firstLine="900"/>
        <w:jc w:val="both"/>
        <w:rPr>
          <w:sz w:val="20"/>
          <w:szCs w:val="20"/>
        </w:rPr>
      </w:pPr>
      <w:r w:rsidRPr="00771368">
        <w:rPr>
          <w:sz w:val="24"/>
          <w:szCs w:val="24"/>
        </w:rPr>
        <w:t>O vencedor do certame ganhava a admiração da comunidade educacional e uma medalha. Tais premiações faziam com que ele se diferenciasse dos demais, devido a sua inteligência e comprometimento com os estudos. Mesmo assim, isso gerava um convívio harmonioso entre os jovens, pelo menos aparentemente. A inveja era ocultada, enquanto todos almejavam as premiações dadas pelos padres e professores salesianos.</w:t>
      </w:r>
    </w:p>
    <w:p w:rsidR="00D24E61" w:rsidRPr="00771368" w:rsidRDefault="00D24E61">
      <w:pPr>
        <w:spacing w:line="77" w:lineRule="exact"/>
        <w:rPr>
          <w:sz w:val="20"/>
          <w:szCs w:val="20"/>
        </w:rPr>
      </w:pPr>
    </w:p>
    <w:p w:rsidR="00D24E61" w:rsidRPr="00771368" w:rsidRDefault="00D24E61">
      <w:pPr>
        <w:spacing w:line="334" w:lineRule="auto"/>
        <w:ind w:right="20" w:firstLine="852"/>
        <w:jc w:val="both"/>
        <w:rPr>
          <w:sz w:val="20"/>
          <w:szCs w:val="20"/>
        </w:rPr>
      </w:pPr>
      <w:r w:rsidRPr="00771368">
        <w:rPr>
          <w:sz w:val="24"/>
          <w:szCs w:val="24"/>
        </w:rPr>
        <w:t>Em 1942, a Congregação inaugurou o Colégio Salesiano São João Bosco. Possuindo o ensino primário e secundário, essa instituição logo se tornou um dos maiores referenciais educativos da região. Para fazer parte dela, os alunos passavam por um exame de admissão.</w:t>
      </w:r>
    </w:p>
    <w:p w:rsidR="00D24E61" w:rsidRPr="00771368" w:rsidRDefault="00D24E61">
      <w:pPr>
        <w:spacing w:line="89" w:lineRule="exact"/>
        <w:rPr>
          <w:sz w:val="20"/>
          <w:szCs w:val="20"/>
        </w:rPr>
      </w:pPr>
    </w:p>
    <w:p w:rsidR="00D24E61" w:rsidRPr="00771368" w:rsidRDefault="00D24E61">
      <w:pPr>
        <w:spacing w:line="342" w:lineRule="auto"/>
        <w:ind w:firstLine="852"/>
        <w:jc w:val="both"/>
        <w:rPr>
          <w:sz w:val="20"/>
          <w:szCs w:val="20"/>
        </w:rPr>
      </w:pPr>
      <w:r w:rsidRPr="00771368">
        <w:rPr>
          <w:sz w:val="24"/>
          <w:szCs w:val="24"/>
        </w:rPr>
        <w:t>Este exame visava atender as normas da reforma educacional, empreendida por Gustavo Capanema, ministro da Educação e Saúde Pública do Brasil. O exame também agia como um dispositivo disciplinar. Conseguia articular a sanção e a vigilância, buscando classificar, qualificar os sujeitos.</w:t>
      </w:r>
    </w:p>
    <w:p w:rsidR="00D24E61" w:rsidRPr="00771368" w:rsidRDefault="00D24E61">
      <w:pPr>
        <w:spacing w:line="83" w:lineRule="exact"/>
        <w:rPr>
          <w:sz w:val="20"/>
          <w:szCs w:val="20"/>
        </w:rPr>
      </w:pPr>
    </w:p>
    <w:p w:rsidR="00D24E61" w:rsidRPr="00771368" w:rsidRDefault="00D24E61">
      <w:pPr>
        <w:spacing w:line="342" w:lineRule="auto"/>
        <w:ind w:firstLine="852"/>
        <w:jc w:val="both"/>
        <w:rPr>
          <w:sz w:val="20"/>
          <w:szCs w:val="20"/>
        </w:rPr>
      </w:pPr>
      <w:r w:rsidRPr="00771368">
        <w:rPr>
          <w:sz w:val="24"/>
          <w:szCs w:val="24"/>
        </w:rPr>
        <w:t>Segundo Foucault, o exame é o produto entre a objetivação e a sujeição. “Manifesta a sujeição dos que são percebidos como objetos e a objetivação dos que se sujeitam” (2001b, p. 154). Através do exame, os alunos são diferenciados, pois somente alguns recebem premiações e são destacados no grupo.</w:t>
      </w:r>
    </w:p>
    <w:p w:rsidR="00D24E61" w:rsidRPr="00771368" w:rsidRDefault="00D24E61">
      <w:pPr>
        <w:spacing w:line="28" w:lineRule="exact"/>
        <w:rPr>
          <w:sz w:val="20"/>
          <w:szCs w:val="20"/>
        </w:rPr>
      </w:pPr>
    </w:p>
    <w:p w:rsidR="00D24E61" w:rsidRPr="00771368" w:rsidRDefault="00D24E61">
      <w:pPr>
        <w:spacing w:line="276" w:lineRule="auto"/>
        <w:ind w:firstLine="852"/>
        <w:jc w:val="both"/>
        <w:rPr>
          <w:sz w:val="20"/>
          <w:szCs w:val="20"/>
        </w:rPr>
      </w:pPr>
      <w:r w:rsidRPr="00771368">
        <w:rPr>
          <w:sz w:val="24"/>
          <w:szCs w:val="24"/>
        </w:rPr>
        <w:t xml:space="preserve">No </w:t>
      </w:r>
      <w:r w:rsidRPr="00771368">
        <w:rPr>
          <w:i/>
          <w:iCs/>
          <w:sz w:val="24"/>
          <w:szCs w:val="24"/>
        </w:rPr>
        <w:t>Regimento interno do Ginásio Salesiano</w:t>
      </w:r>
      <w:r w:rsidRPr="00771368">
        <w:rPr>
          <w:sz w:val="32"/>
          <w:szCs w:val="32"/>
          <w:vertAlign w:val="superscript"/>
        </w:rPr>
        <w:t>7</w:t>
      </w:r>
      <w:r w:rsidRPr="00771368">
        <w:rPr>
          <w:sz w:val="24"/>
          <w:szCs w:val="24"/>
        </w:rPr>
        <w:t xml:space="preserve"> encontramos a informação de que o diretor, todos os dias, antes de iniciar as atividades, dirigia algumas palavras afetuosas para os</w:t>
      </w:r>
    </w:p>
    <w:p w:rsidR="00C36571" w:rsidRPr="00771368" w:rsidRDefault="00C36571" w:rsidP="00C36571">
      <w:pPr>
        <w:spacing w:line="308" w:lineRule="auto"/>
        <w:ind w:right="60"/>
        <w:jc w:val="both"/>
        <w:rPr>
          <w:sz w:val="20"/>
          <w:szCs w:val="20"/>
        </w:rPr>
      </w:pPr>
      <w:r w:rsidRPr="00771368">
        <w:rPr>
          <w:sz w:val="24"/>
          <w:szCs w:val="24"/>
        </w:rPr>
        <w:t>meninos. Dando algum aviso ou conselho acerca de coisas que se deveriam fazer ou evitar, pois “é esta a chave da moralidade, do bom andamento e do bom êxito da educação”.</w:t>
      </w:r>
    </w:p>
    <w:p w:rsidR="00C36571" w:rsidRPr="00771368" w:rsidRDefault="00C36571" w:rsidP="00C36571">
      <w:pPr>
        <w:spacing w:line="120" w:lineRule="exact"/>
        <w:rPr>
          <w:sz w:val="20"/>
          <w:szCs w:val="20"/>
        </w:rPr>
      </w:pPr>
    </w:p>
    <w:p w:rsidR="00C36571" w:rsidRPr="00771368" w:rsidRDefault="00C36571" w:rsidP="00C36571">
      <w:pPr>
        <w:spacing w:line="334" w:lineRule="auto"/>
        <w:ind w:right="60" w:firstLine="852"/>
        <w:jc w:val="both"/>
        <w:rPr>
          <w:sz w:val="20"/>
          <w:szCs w:val="20"/>
        </w:rPr>
      </w:pPr>
      <w:r w:rsidRPr="00771368">
        <w:rPr>
          <w:sz w:val="24"/>
          <w:szCs w:val="24"/>
        </w:rPr>
        <w:t>Segundo Foucault (2001b), o olhar hierárquico é um dispositivo disciplinar. Este se encontra estritamente ligado à vigilância, que por sua vez, é a principal engrenagem do poder. Esta última:</w:t>
      </w:r>
    </w:p>
    <w:p w:rsidR="00C36571" w:rsidRPr="00771368" w:rsidRDefault="00C36571" w:rsidP="00C36571">
      <w:pPr>
        <w:spacing w:line="79" w:lineRule="exact"/>
        <w:rPr>
          <w:sz w:val="20"/>
          <w:szCs w:val="20"/>
        </w:rPr>
      </w:pPr>
    </w:p>
    <w:p w:rsidR="00C36571" w:rsidRPr="00771368" w:rsidRDefault="00C36571" w:rsidP="00C36571">
      <w:pPr>
        <w:spacing w:line="231" w:lineRule="auto"/>
        <w:ind w:left="2260" w:right="80"/>
        <w:jc w:val="both"/>
        <w:rPr>
          <w:sz w:val="20"/>
          <w:szCs w:val="20"/>
        </w:rPr>
      </w:pPr>
      <w:r w:rsidRPr="00771368">
        <w:rPr>
          <w:sz w:val="20"/>
          <w:szCs w:val="20"/>
        </w:rPr>
        <w:t>[...] contribui para automatizar e desindividualizar o poder, ao passo que contribui para individualizar os sujeitos a ele submetidos. Ao mesmo tempo, a vigilância produz efeitos homogêneos de poder, generaliza a disciplina, expandindo-a para além das instituições fechadas. Nesse sentido, pode-se dizer que ela assegura, como explica Foucault, uma distribuição infinitesimal do poder. (POGREBINSCHI, 2004, p. 192)</w:t>
      </w:r>
    </w:p>
    <w:p w:rsidR="00C36571" w:rsidRPr="00771368" w:rsidRDefault="00C36571" w:rsidP="00C36571">
      <w:pPr>
        <w:spacing w:line="200" w:lineRule="exact"/>
        <w:rPr>
          <w:sz w:val="20"/>
          <w:szCs w:val="20"/>
        </w:rPr>
      </w:pPr>
    </w:p>
    <w:p w:rsidR="00C36571" w:rsidRPr="00771368" w:rsidRDefault="00C36571" w:rsidP="00C36571">
      <w:pPr>
        <w:spacing w:line="277" w:lineRule="exact"/>
        <w:rPr>
          <w:sz w:val="20"/>
          <w:szCs w:val="20"/>
        </w:rPr>
      </w:pPr>
    </w:p>
    <w:p w:rsidR="00C36571" w:rsidRPr="00771368" w:rsidRDefault="00C36571" w:rsidP="00C36571">
      <w:pPr>
        <w:spacing w:line="342" w:lineRule="auto"/>
        <w:ind w:right="80" w:firstLine="852"/>
        <w:jc w:val="both"/>
        <w:rPr>
          <w:sz w:val="20"/>
          <w:szCs w:val="20"/>
        </w:rPr>
      </w:pPr>
      <w:r w:rsidRPr="00771368">
        <w:rPr>
          <w:sz w:val="24"/>
          <w:szCs w:val="24"/>
        </w:rPr>
        <w:t>A possibilidade de vigilância já é suficiente para que o poder disciplinar ganhe proporções maiores. Com ela a sujeição real nasce de uma relação fictícia. A ideia de ser vigiado constantemente, mesmo que isso não seja concretizado, permite que os sujeitos disciplinem-se a si mesmos.</w:t>
      </w:r>
    </w:p>
    <w:p w:rsidR="00C36571" w:rsidRPr="00771368" w:rsidRDefault="00C36571" w:rsidP="00C36571">
      <w:pPr>
        <w:spacing w:line="342" w:lineRule="auto"/>
        <w:ind w:right="60" w:firstLine="852"/>
        <w:jc w:val="both"/>
        <w:rPr>
          <w:sz w:val="20"/>
          <w:szCs w:val="20"/>
        </w:rPr>
      </w:pPr>
      <w:r w:rsidRPr="00771368">
        <w:rPr>
          <w:sz w:val="24"/>
          <w:szCs w:val="24"/>
        </w:rPr>
        <w:t>A disciplina é uma técnica de poder que implica uma vigilância perpétua e constante nos jovens. “Não basta olhá-los às vezes ou ver se o que fizeram é conforme a regra. É preciso vigiá-los durante todo o tempo da atividade e submetê-los a uma perpétua pirâmide de olhares” (FOUCAULT, 2001b. p.106).</w:t>
      </w:r>
    </w:p>
    <w:p w:rsidR="00C36571" w:rsidRPr="00771368" w:rsidRDefault="00C36571" w:rsidP="00C36571">
      <w:pPr>
        <w:spacing w:line="83" w:lineRule="exact"/>
        <w:rPr>
          <w:sz w:val="20"/>
          <w:szCs w:val="20"/>
        </w:rPr>
      </w:pPr>
    </w:p>
    <w:p w:rsidR="00C36571" w:rsidRDefault="00C36571" w:rsidP="00C36571">
      <w:pPr>
        <w:spacing w:line="342" w:lineRule="auto"/>
        <w:ind w:firstLine="852"/>
        <w:jc w:val="both"/>
        <w:rPr>
          <w:sz w:val="24"/>
          <w:szCs w:val="24"/>
        </w:rPr>
      </w:pPr>
      <w:r w:rsidRPr="00771368">
        <w:rPr>
          <w:sz w:val="24"/>
          <w:szCs w:val="24"/>
        </w:rPr>
        <w:t>Pelegrine (2008) chama atenção para o fato de que, no Sistema Preventivo Salesiano, o exercício físico, a música, a encenação de peças teatrais e os passeios em grupo, são utilizados como estratégia para se alcançar a disciplina e favorecer a aquisição de moralidades, conservando a saúde do corpo e da alma.</w:t>
      </w:r>
    </w:p>
    <w:p w:rsidR="00C36571" w:rsidRPr="00771368" w:rsidRDefault="00C36571" w:rsidP="00C36571">
      <w:pPr>
        <w:spacing w:line="308" w:lineRule="auto"/>
        <w:ind w:right="20" w:firstLine="852"/>
        <w:jc w:val="both"/>
        <w:rPr>
          <w:sz w:val="20"/>
          <w:szCs w:val="20"/>
        </w:rPr>
      </w:pPr>
      <w:r w:rsidRPr="00771368">
        <w:rPr>
          <w:sz w:val="24"/>
          <w:szCs w:val="24"/>
        </w:rPr>
        <w:t>Conforme Louro (1998) “A formação do bom cristão não apenas começa pelo corpo, ela o envolve e o implica. Ela também não se dá apenas sobre ele, mas se faz com e no corpo”.</w:t>
      </w:r>
    </w:p>
    <w:p w:rsidR="00C36571" w:rsidRPr="00771368" w:rsidRDefault="00C36571" w:rsidP="00C36571">
      <w:pPr>
        <w:spacing w:line="117" w:lineRule="exact"/>
        <w:rPr>
          <w:sz w:val="20"/>
          <w:szCs w:val="20"/>
        </w:rPr>
      </w:pPr>
    </w:p>
    <w:p w:rsidR="00C36571" w:rsidRPr="00771368" w:rsidRDefault="00013211" w:rsidP="00C36571">
      <w:pPr>
        <w:spacing w:line="343" w:lineRule="auto"/>
        <w:ind w:right="80"/>
        <w:jc w:val="both"/>
        <w:rPr>
          <w:sz w:val="20"/>
          <w:szCs w:val="20"/>
        </w:rPr>
      </w:pPr>
      <w:r>
        <w:rPr>
          <w:noProof/>
          <w:sz w:val="20"/>
          <w:szCs w:val="20"/>
        </w:rPr>
        <mc:AlternateContent>
          <mc:Choice Requires="wps">
            <w:drawing>
              <wp:anchor distT="0" distB="0" distL="0" distR="0" simplePos="0" relativeHeight="251618816" behindDoc="0" locked="0" layoutInCell="0" allowOverlap="1">
                <wp:simplePos x="0" y="0"/>
                <wp:positionH relativeFrom="column">
                  <wp:posOffset>-635</wp:posOffset>
                </wp:positionH>
                <wp:positionV relativeFrom="paragraph">
                  <wp:posOffset>962660</wp:posOffset>
                </wp:positionV>
                <wp:extent cx="1828800" cy="0"/>
                <wp:effectExtent l="8890" t="10160" r="10160" b="8890"/>
                <wp:wrapNone/>
                <wp:docPr id="30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1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75.8pt" to="143.9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9h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" o:allowincell="f" strokeweight=".25397mm"/>
            </w:pict>
          </mc:Fallback>
        </mc:AlternateContent>
      </w:r>
      <w:r w:rsidR="00C36571" w:rsidRPr="00771368">
        <w:rPr>
          <w:sz w:val="24"/>
          <w:szCs w:val="24"/>
        </w:rPr>
        <w:t>Este corpo está entrelaçado com a alma, que também é alvo da atenção dos Salesianos, pois os jovens necessitam ter consciência das suas ações. Neste caso, a vigilância substitui a força e a violência. Assim, podemos evidenciar que existe um adestramento das almas e não apenas dos corpos.</w:t>
      </w:r>
    </w:p>
    <w:p w:rsidR="00D24E61" w:rsidRPr="00771368" w:rsidRDefault="00D24E61">
      <w:pPr>
        <w:spacing w:line="210" w:lineRule="auto"/>
        <w:ind w:right="20"/>
        <w:jc w:val="both"/>
        <w:rPr>
          <w:sz w:val="20"/>
          <w:szCs w:val="20"/>
        </w:rPr>
      </w:pPr>
      <w:r w:rsidRPr="00771368">
        <w:rPr>
          <w:sz w:val="25"/>
          <w:szCs w:val="25"/>
          <w:vertAlign w:val="superscript"/>
        </w:rPr>
        <w:t>7</w:t>
      </w:r>
      <w:r w:rsidRPr="00771368">
        <w:rPr>
          <w:sz w:val="20"/>
          <w:szCs w:val="20"/>
        </w:rPr>
        <w:t xml:space="preserve"> Regimento Interno Do Ginásio Salesiano. Disponível no Arquivo escolar do Colégio Salesiano São João Bosco, em de Juazeiro no Norte</w:t>
      </w:r>
    </w:p>
    <w:p w:rsidR="00D24E61" w:rsidRPr="00771368" w:rsidRDefault="00D24E61">
      <w:pPr>
        <w:sectPr w:rsidR="00D24E61" w:rsidRPr="00771368">
          <w:pgSz w:w="11900" w:h="16838"/>
          <w:pgMar w:top="1440" w:right="1400" w:bottom="707"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83" w:lineRule="exact"/>
        <w:rPr>
          <w:sz w:val="20"/>
          <w:szCs w:val="20"/>
        </w:rPr>
      </w:pPr>
    </w:p>
    <w:p w:rsidR="00D24E61" w:rsidRPr="00771368" w:rsidRDefault="00D24E61">
      <w:pPr>
        <w:spacing w:line="294" w:lineRule="auto"/>
        <w:ind w:right="60" w:firstLine="852"/>
        <w:jc w:val="both"/>
        <w:rPr>
          <w:sz w:val="20"/>
          <w:szCs w:val="20"/>
        </w:rPr>
      </w:pPr>
      <w:r w:rsidRPr="00771368">
        <w:rPr>
          <w:sz w:val="24"/>
          <w:szCs w:val="24"/>
        </w:rPr>
        <w:t>O Artigo 22° do regimento interno destaca que o Ginásio Salesiano propunha aos professores apenas um lema: “Pensa que és exemplo”. Segundo os escritos de Dom Bosco</w:t>
      </w:r>
      <w:r w:rsidRPr="00771368">
        <w:rPr>
          <w:sz w:val="32"/>
          <w:szCs w:val="32"/>
          <w:vertAlign w:val="superscript"/>
        </w:rPr>
        <w:t>8</w:t>
      </w:r>
      <w:r w:rsidRPr="00771368">
        <w:rPr>
          <w:sz w:val="24"/>
          <w:szCs w:val="24"/>
        </w:rPr>
        <w:t>, cada professor salesiano deveria fazer-se amar se quisesse fazer-se temer. Ele conseguiria este</w:t>
      </w:r>
    </w:p>
    <w:p w:rsidR="00C36571" w:rsidRPr="00771368" w:rsidRDefault="00C36571" w:rsidP="00C36571">
      <w:pPr>
        <w:spacing w:line="308" w:lineRule="auto"/>
        <w:ind w:right="20"/>
        <w:jc w:val="both"/>
        <w:rPr>
          <w:sz w:val="20"/>
          <w:szCs w:val="20"/>
        </w:rPr>
      </w:pPr>
      <w:r w:rsidRPr="00771368">
        <w:rPr>
          <w:sz w:val="24"/>
          <w:szCs w:val="24"/>
        </w:rPr>
        <w:t>grande fim dando exemplo com as palavras e os atos, demonstrando que “as suas solicitudes são dirigidas exclusivamente à vantagem espiritual e temporal dos seus alunos”.</w:t>
      </w:r>
    </w:p>
    <w:p w:rsidR="00C36571" w:rsidRPr="00771368" w:rsidRDefault="00C36571" w:rsidP="00C36571">
      <w:pPr>
        <w:spacing w:line="120" w:lineRule="exact"/>
        <w:rPr>
          <w:sz w:val="20"/>
          <w:szCs w:val="20"/>
        </w:rPr>
      </w:pPr>
    </w:p>
    <w:p w:rsidR="00C36571" w:rsidRPr="00771368" w:rsidRDefault="00C36571" w:rsidP="00C36571">
      <w:pPr>
        <w:spacing w:line="342" w:lineRule="auto"/>
        <w:ind w:firstLine="852"/>
        <w:jc w:val="both"/>
        <w:rPr>
          <w:sz w:val="20"/>
          <w:szCs w:val="20"/>
        </w:rPr>
      </w:pPr>
      <w:r w:rsidRPr="00771368">
        <w:rPr>
          <w:sz w:val="24"/>
          <w:szCs w:val="24"/>
        </w:rPr>
        <w:t>De acordo com o Artigo 28°, os alunos eram proibidos de: 1) negociar com os colegas, 2) jogar e usar bebidas alcoólicas, no estabelecimento ou em sua circunvizinhança, 3) fumar em todo e qualquer tempo, sob qualquer pretexto dentro ou fora do Colégio e 4) praticar ato ofensivo a moral e aos bons costumes.</w:t>
      </w:r>
    </w:p>
    <w:p w:rsidR="00C36571" w:rsidRPr="00771368" w:rsidRDefault="00C36571" w:rsidP="00C36571">
      <w:pPr>
        <w:spacing w:line="83" w:lineRule="exact"/>
        <w:rPr>
          <w:sz w:val="20"/>
          <w:szCs w:val="20"/>
        </w:rPr>
      </w:pPr>
    </w:p>
    <w:p w:rsidR="00C36571" w:rsidRPr="00771368" w:rsidRDefault="00C36571" w:rsidP="00C36571">
      <w:pPr>
        <w:spacing w:line="334" w:lineRule="auto"/>
        <w:ind w:firstLine="852"/>
        <w:jc w:val="both"/>
        <w:rPr>
          <w:sz w:val="20"/>
          <w:szCs w:val="20"/>
        </w:rPr>
      </w:pPr>
      <w:r w:rsidRPr="00771368">
        <w:rPr>
          <w:sz w:val="24"/>
          <w:szCs w:val="24"/>
        </w:rPr>
        <w:t>Conforme os escritos de Dom Bosco e as práticas disciplinares dos Salesianos, EM Juazeiro do Norte-CE, para educar os jovens de índole boa, basta vigiá-lo, explicando as Bregras disciplinares e recomendando-lhe a observância.</w:t>
      </w:r>
    </w:p>
    <w:p w:rsidR="00C36571" w:rsidRPr="00771368" w:rsidRDefault="00C36571" w:rsidP="00C36571">
      <w:pPr>
        <w:spacing w:line="89" w:lineRule="exact"/>
        <w:rPr>
          <w:sz w:val="20"/>
          <w:szCs w:val="20"/>
        </w:rPr>
      </w:pPr>
    </w:p>
    <w:p w:rsidR="00C36571" w:rsidRPr="00771368" w:rsidRDefault="00C36571" w:rsidP="00C36571">
      <w:pPr>
        <w:spacing w:line="343" w:lineRule="auto"/>
        <w:ind w:firstLine="912"/>
        <w:jc w:val="both"/>
        <w:rPr>
          <w:sz w:val="20"/>
          <w:szCs w:val="20"/>
        </w:rPr>
      </w:pPr>
      <w:r w:rsidRPr="00771368">
        <w:rPr>
          <w:sz w:val="24"/>
          <w:szCs w:val="24"/>
        </w:rPr>
        <w:t>Em contrapartida, para a educação dos jovens de índole ordinária, volúvel e inclinada à desobediência, o amparo dos professores é importante para o processo de ensino-aprendizagem. Eles devem fazer frequentes recomendações, avisos e conselhos, mostrando o caminho da retidão, da moral e dos bons costumes.</w:t>
      </w:r>
    </w:p>
    <w:p w:rsidR="00C36571" w:rsidRPr="00771368" w:rsidRDefault="00C36571" w:rsidP="00C36571">
      <w:pPr>
        <w:spacing w:line="78" w:lineRule="exact"/>
        <w:rPr>
          <w:sz w:val="20"/>
          <w:szCs w:val="20"/>
        </w:rPr>
      </w:pPr>
    </w:p>
    <w:p w:rsidR="00C36571" w:rsidRPr="00771368" w:rsidRDefault="00C36571" w:rsidP="00C36571">
      <w:pPr>
        <w:spacing w:line="343" w:lineRule="auto"/>
        <w:ind w:right="20" w:firstLine="852"/>
        <w:jc w:val="both"/>
        <w:rPr>
          <w:sz w:val="20"/>
          <w:szCs w:val="20"/>
        </w:rPr>
      </w:pPr>
      <w:r w:rsidRPr="00771368">
        <w:rPr>
          <w:sz w:val="24"/>
          <w:szCs w:val="24"/>
        </w:rPr>
        <w:t>Segundo Foucault (2001b), a sanção normalizadora também é um dos dispositivos disciplinares que atua como um mecanismo penal. Ela busca normalizar as condutas. Mas para isso compara, diferencia, homogeneíza, hierarquiza e exclui, num processo que adentra a vida dos sujeitos de forma lenta e intensa.</w:t>
      </w:r>
    </w:p>
    <w:p w:rsidR="00D24E61" w:rsidRPr="00771368" w:rsidRDefault="00D24E61">
      <w:pPr>
        <w:spacing w:line="200" w:lineRule="exact"/>
        <w:rPr>
          <w:sz w:val="20"/>
          <w:szCs w:val="20"/>
        </w:rPr>
      </w:pPr>
    </w:p>
    <w:p w:rsidR="00C36571" w:rsidRPr="00771368" w:rsidRDefault="00C36571" w:rsidP="00C36571">
      <w:pPr>
        <w:spacing w:line="227" w:lineRule="auto"/>
        <w:ind w:left="2260" w:right="20"/>
        <w:jc w:val="both"/>
        <w:rPr>
          <w:sz w:val="20"/>
          <w:szCs w:val="20"/>
        </w:rPr>
      </w:pPr>
      <w:r w:rsidRPr="00771368">
        <w:rPr>
          <w:sz w:val="20"/>
          <w:szCs w:val="20"/>
        </w:rPr>
        <w:t>A norma não emana de um único lugar, não é enunciada por um soberano, mas em vez disso, está em toda parte. Expressa-se por meio de recomendações repetidas e observadas cotidianamente, que servem de referência a todos. Daí porque a norma se faz pensante, daí porque ela é capaz de se ‘naturalizar’ (LOURO, 2008a, p. 21)</w:t>
      </w:r>
    </w:p>
    <w:p w:rsidR="00D24E61" w:rsidRPr="00771368" w:rsidRDefault="00D24E61">
      <w:pPr>
        <w:spacing w:line="200" w:lineRule="exact"/>
        <w:rPr>
          <w:sz w:val="20"/>
          <w:szCs w:val="20"/>
        </w:rPr>
      </w:pPr>
    </w:p>
    <w:p w:rsidR="00C36571" w:rsidRPr="00771368" w:rsidRDefault="00C36571" w:rsidP="00C36571">
      <w:pPr>
        <w:ind w:firstLine="851"/>
        <w:jc w:val="both"/>
        <w:rPr>
          <w:sz w:val="20"/>
          <w:szCs w:val="20"/>
        </w:rPr>
      </w:pPr>
      <w:r w:rsidRPr="00771368">
        <w:rPr>
          <w:sz w:val="24"/>
          <w:szCs w:val="24"/>
        </w:rPr>
        <w:t>No Oratório e no Colégio Salesiano percebemos que a punição é substituída pela prevenção. Em Turim ou em Juazeiro do Norte, o Sistema Preventivo buscou formar sujeitos masculinos dóceis, sem o uso de castigos físicos, mas utilizando outros dispositivos disciplinares e a afetividade.</w:t>
      </w:r>
    </w:p>
    <w:p w:rsidR="00C36571" w:rsidRPr="00771368" w:rsidRDefault="00C36571" w:rsidP="00C36571">
      <w:pPr>
        <w:spacing w:line="334" w:lineRule="auto"/>
        <w:ind w:right="20" w:firstLine="852"/>
        <w:jc w:val="both"/>
        <w:rPr>
          <w:sz w:val="20"/>
          <w:szCs w:val="20"/>
        </w:rPr>
      </w:pPr>
      <w:r w:rsidRPr="00771368">
        <w:rPr>
          <w:sz w:val="24"/>
          <w:szCs w:val="24"/>
        </w:rPr>
        <w:t>Atualmente o Sistema Preventivo também tem por base as aprendizagens destacadas pela UNESCO e defendidas pelos parâmetros curriculares nacionais, como fundamentais para a educação e convivência em sociedade.</w:t>
      </w:r>
    </w:p>
    <w:p w:rsidR="00C36571" w:rsidRPr="00771368" w:rsidRDefault="00013211" w:rsidP="00C36571">
      <w:pPr>
        <w:spacing w:line="342" w:lineRule="auto"/>
        <w:ind w:firstLine="852"/>
        <w:jc w:val="both"/>
        <w:rPr>
          <w:sz w:val="20"/>
          <w:szCs w:val="20"/>
        </w:rPr>
      </w:pPr>
      <w:r>
        <w:rPr>
          <w:noProof/>
          <w:sz w:val="20"/>
          <w:szCs w:val="20"/>
        </w:rPr>
        <mc:AlternateContent>
          <mc:Choice Requires="wps">
            <w:drawing>
              <wp:anchor distT="0" distB="0" distL="0" distR="0" simplePos="0" relativeHeight="251619840" behindDoc="0" locked="0" layoutInCell="0" allowOverlap="1">
                <wp:simplePos x="0" y="0"/>
                <wp:positionH relativeFrom="column">
                  <wp:posOffset>-635</wp:posOffset>
                </wp:positionH>
                <wp:positionV relativeFrom="paragraph">
                  <wp:posOffset>969010</wp:posOffset>
                </wp:positionV>
                <wp:extent cx="1828800" cy="0"/>
                <wp:effectExtent l="8890" t="6985" r="10160" b="12065"/>
                <wp:wrapNone/>
                <wp:docPr id="30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1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76.3pt" to="143.9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IHFQIAACs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" o:allowincell="f" strokeweight=".25397mm"/>
            </w:pict>
          </mc:Fallback>
        </mc:AlternateContent>
      </w:r>
      <w:r w:rsidR="00C36571" w:rsidRPr="00771368">
        <w:rPr>
          <w:sz w:val="24"/>
          <w:szCs w:val="24"/>
        </w:rPr>
        <w:t>Diante deste estudo comparado, começamos a refletir sobre algumas questões que envolvem a produção de masculinidades na Educação Salesiana e os discursos de gênero, envolvidos a ela. Parece-nos que, o Sistema Preventivo busca prevenir os corpos masculinos em vários sentidos, inclusive em relação à sexualidade.</w:t>
      </w:r>
    </w:p>
    <w:p w:rsidR="00D24E61" w:rsidRPr="00771368" w:rsidRDefault="00D24E61" w:rsidP="00C36571">
      <w:pPr>
        <w:spacing w:line="213" w:lineRule="exact"/>
        <w:rPr>
          <w:sz w:val="20"/>
          <w:szCs w:val="20"/>
        </w:rPr>
      </w:pPr>
      <w:r w:rsidRPr="00771368">
        <w:rPr>
          <w:rFonts w:eastAsia="Calibri"/>
          <w:sz w:val="27"/>
          <w:szCs w:val="27"/>
          <w:vertAlign w:val="superscript"/>
        </w:rPr>
        <w:t>8</w:t>
      </w:r>
      <w:r w:rsidRPr="00771368">
        <w:rPr>
          <w:sz w:val="20"/>
          <w:szCs w:val="20"/>
        </w:rPr>
        <w:t xml:space="preserve"> Escritos de Dom Bosco, escrito em 1877. Pode ser interpretado como um apêndice ao opúsculo sobre o </w:t>
      </w:r>
      <w:r w:rsidR="00C36571">
        <w:rPr>
          <w:sz w:val="20"/>
          <w:szCs w:val="20"/>
        </w:rPr>
        <w:t>S</w:t>
      </w:r>
      <w:r w:rsidRPr="00771368">
        <w:rPr>
          <w:sz w:val="20"/>
          <w:szCs w:val="20"/>
        </w:rPr>
        <w:t>istema</w:t>
      </w:r>
      <w:r w:rsidR="00C36571">
        <w:rPr>
          <w:sz w:val="20"/>
          <w:szCs w:val="20"/>
        </w:rPr>
        <w:t xml:space="preserve"> </w:t>
      </w:r>
      <w:r w:rsidRPr="00771368">
        <w:rPr>
          <w:sz w:val="20"/>
          <w:szCs w:val="20"/>
        </w:rPr>
        <w:t xml:space="preserve"> Preventivo.</w:t>
      </w:r>
    </w:p>
    <w:p w:rsidR="00D24E61" w:rsidRPr="00771368" w:rsidRDefault="00D24E61">
      <w:pPr>
        <w:spacing w:line="372" w:lineRule="exact"/>
        <w:rPr>
          <w:sz w:val="20"/>
          <w:szCs w:val="20"/>
        </w:rPr>
      </w:pPr>
    </w:p>
    <w:p w:rsidR="00D24E61" w:rsidRPr="00771368" w:rsidRDefault="00D24E61">
      <w:pPr>
        <w:spacing w:line="29" w:lineRule="exact"/>
        <w:rPr>
          <w:sz w:val="20"/>
          <w:szCs w:val="20"/>
        </w:rPr>
      </w:pPr>
    </w:p>
    <w:p w:rsidR="00D24E61" w:rsidRPr="00771368" w:rsidRDefault="00D24E61">
      <w:pPr>
        <w:spacing w:line="78" w:lineRule="exact"/>
        <w:rPr>
          <w:sz w:val="20"/>
          <w:szCs w:val="20"/>
        </w:rPr>
      </w:pPr>
    </w:p>
    <w:p w:rsidR="00D24E61" w:rsidRPr="00771368" w:rsidRDefault="00D24E61">
      <w:pPr>
        <w:spacing w:line="92" w:lineRule="exact"/>
        <w:rPr>
          <w:sz w:val="20"/>
          <w:szCs w:val="20"/>
        </w:rPr>
      </w:pPr>
    </w:p>
    <w:p w:rsidR="00D24E61" w:rsidRPr="00771368" w:rsidRDefault="00D24E61">
      <w:pPr>
        <w:spacing w:line="83" w:lineRule="exact"/>
        <w:rPr>
          <w:sz w:val="20"/>
          <w:szCs w:val="20"/>
        </w:rPr>
      </w:pPr>
    </w:p>
    <w:p w:rsidR="00D24E61" w:rsidRPr="00771368" w:rsidRDefault="00D24E61" w:rsidP="00C36571">
      <w:pPr>
        <w:spacing w:line="308" w:lineRule="auto"/>
        <w:ind w:right="20" w:firstLine="852"/>
        <w:jc w:val="both"/>
        <w:rPr>
          <w:sz w:val="20"/>
          <w:szCs w:val="20"/>
        </w:rPr>
      </w:pPr>
      <w:r w:rsidRPr="00771368">
        <w:rPr>
          <w:sz w:val="24"/>
          <w:szCs w:val="24"/>
        </w:rPr>
        <w:t>Existe um silêncio velado sobre a sexualidade dos jovens masculinos, porém fazendo uma análise dos discursos presente nos documentos escolares, percebemos que o silêncio</w:t>
      </w:r>
    </w:p>
    <w:p w:rsidR="00D24E61" w:rsidRPr="00771368" w:rsidRDefault="00D24E61">
      <w:pPr>
        <w:spacing w:line="29" w:lineRule="exact"/>
        <w:rPr>
          <w:sz w:val="20"/>
          <w:szCs w:val="20"/>
        </w:rPr>
      </w:pPr>
    </w:p>
    <w:p w:rsidR="00D24E61" w:rsidRPr="00771368" w:rsidRDefault="00D24E61">
      <w:pPr>
        <w:spacing w:line="342" w:lineRule="auto"/>
        <w:jc w:val="both"/>
        <w:rPr>
          <w:sz w:val="20"/>
          <w:szCs w:val="20"/>
        </w:rPr>
      </w:pPr>
      <w:r w:rsidRPr="00771368">
        <w:rPr>
          <w:sz w:val="24"/>
          <w:szCs w:val="24"/>
        </w:rPr>
        <w:t>mostra-se como uma estratégia de educação. Levando em conta o período histórico analisado, finais do século XIX e primeira metade do século XX, evidenciamos que esta temática não aparecia nos discursos salesianos explicitamente. Porém, as práticas disciplinares do corpo e da alma, revelam o contrário.</w:t>
      </w:r>
    </w:p>
    <w:p w:rsidR="00D24E61" w:rsidRPr="00771368" w:rsidRDefault="00D24E61">
      <w:pPr>
        <w:spacing w:line="83" w:lineRule="exact"/>
        <w:rPr>
          <w:sz w:val="20"/>
          <w:szCs w:val="20"/>
        </w:rPr>
      </w:pPr>
    </w:p>
    <w:p w:rsidR="00D24E61" w:rsidRPr="00771368" w:rsidRDefault="00D24E61">
      <w:pPr>
        <w:spacing w:line="347" w:lineRule="auto"/>
        <w:ind w:right="20" w:firstLine="852"/>
        <w:jc w:val="both"/>
        <w:rPr>
          <w:sz w:val="20"/>
          <w:szCs w:val="20"/>
        </w:rPr>
      </w:pPr>
      <w:r w:rsidRPr="00771368">
        <w:rPr>
          <w:sz w:val="24"/>
          <w:szCs w:val="24"/>
        </w:rPr>
        <w:t>Os jovens meninos, cotidianamente, se autogovernavam para se tornarem Homens, conforme o que era imposto pelos discursos escolares e sociais. Chegamos a pensar que tais meninos, antes de tornarem-se Homens, viviam uma batalha interior, mesmo sem perceber. O corpo e a mente eram bombardeados por discursos, produzindo certo tipo de masculinidade, que, até o momento, parecia ser a melhor ou a única permitida.</w:t>
      </w:r>
    </w:p>
    <w:p w:rsidR="00D24E61" w:rsidRPr="00771368" w:rsidRDefault="00D24E61">
      <w:pPr>
        <w:spacing w:line="74" w:lineRule="exact"/>
        <w:rPr>
          <w:sz w:val="20"/>
          <w:szCs w:val="20"/>
        </w:rPr>
      </w:pPr>
    </w:p>
    <w:p w:rsidR="00D24E61" w:rsidRPr="00771368" w:rsidRDefault="00D24E61">
      <w:pPr>
        <w:spacing w:line="343" w:lineRule="auto"/>
        <w:ind w:right="20" w:firstLine="852"/>
        <w:jc w:val="both"/>
        <w:rPr>
          <w:sz w:val="20"/>
          <w:szCs w:val="20"/>
        </w:rPr>
      </w:pPr>
      <w:r w:rsidRPr="00771368">
        <w:rPr>
          <w:sz w:val="24"/>
          <w:szCs w:val="24"/>
        </w:rPr>
        <w:t>Na Itália ou no Brasil, o método educativo tinha um propósito básico. Prevenir possíveis desvios. Com a ‘prevenção’ de corpos e almas juvenis, os salesianos almejaram produzir sujeitos pacatos, alegres, criativos, seguros de si, ‘bons cristãos e honestos cidadãos’. Diferentes dentro e fora do ambiente escolar.</w:t>
      </w:r>
    </w:p>
    <w:p w:rsidR="00D24E61" w:rsidRPr="00771368" w:rsidRDefault="00D24E61">
      <w:pPr>
        <w:spacing w:line="214" w:lineRule="exact"/>
        <w:rPr>
          <w:sz w:val="20"/>
          <w:szCs w:val="20"/>
        </w:rPr>
      </w:pPr>
    </w:p>
    <w:p w:rsidR="00D24E61" w:rsidRPr="00771368" w:rsidRDefault="00D24E61">
      <w:pPr>
        <w:ind w:left="420"/>
        <w:rPr>
          <w:sz w:val="20"/>
          <w:szCs w:val="20"/>
        </w:rPr>
      </w:pPr>
      <w:r w:rsidRPr="00771368">
        <w:rPr>
          <w:b/>
          <w:bCs/>
          <w:sz w:val="24"/>
          <w:szCs w:val="24"/>
        </w:rPr>
        <w:t>Considerações finais.</w:t>
      </w:r>
    </w:p>
    <w:p w:rsidR="00D24E61" w:rsidRPr="00771368" w:rsidRDefault="00D24E61">
      <w:pPr>
        <w:spacing w:line="200" w:lineRule="exact"/>
        <w:rPr>
          <w:sz w:val="20"/>
          <w:szCs w:val="20"/>
        </w:rPr>
      </w:pPr>
    </w:p>
    <w:p w:rsidR="00D24E61" w:rsidRPr="00C36571" w:rsidRDefault="00D24E61">
      <w:pPr>
        <w:spacing w:line="361" w:lineRule="auto"/>
        <w:ind w:right="60" w:firstLine="852"/>
        <w:jc w:val="both"/>
        <w:rPr>
          <w:szCs w:val="20"/>
        </w:rPr>
      </w:pPr>
      <w:r w:rsidRPr="00C36571">
        <w:rPr>
          <w:sz w:val="24"/>
          <w:szCs w:val="23"/>
        </w:rPr>
        <w:t>Ao analisarmos os escritos de Dom Bosco e as práticas difundidas no Colégio Salesiano percebemos evidências de que o Sistema Preventivo não se restringe a relação professor-aluno e também não se detém apenas a formação dos jovens. ‘De animais Selvagens a Cordeiros Dóceis’, esta é a transformação pela qual os jovens masculinos devem passar.</w:t>
      </w:r>
    </w:p>
    <w:p w:rsidR="00D24E61" w:rsidRPr="00771368" w:rsidRDefault="00D24E61">
      <w:pPr>
        <w:spacing w:line="65" w:lineRule="exact"/>
        <w:rPr>
          <w:sz w:val="20"/>
          <w:szCs w:val="20"/>
        </w:rPr>
      </w:pPr>
    </w:p>
    <w:p w:rsidR="00D24E61" w:rsidRPr="00771368" w:rsidRDefault="00D24E61">
      <w:pPr>
        <w:spacing w:line="342" w:lineRule="auto"/>
        <w:ind w:right="40" w:firstLine="852"/>
        <w:jc w:val="both"/>
        <w:rPr>
          <w:sz w:val="20"/>
          <w:szCs w:val="20"/>
        </w:rPr>
      </w:pPr>
      <w:r w:rsidRPr="00771368">
        <w:rPr>
          <w:sz w:val="24"/>
          <w:szCs w:val="24"/>
        </w:rPr>
        <w:t>A vigilância, os horários, as decisões regulamentares, as medidas administrativas, as proposições morais e as demais técnicas disciplinares utilizadas, além de moldar corpos e almas, procuram neutralizar possíveis movimentos de contrapoder, maus hábitos, rebeliões e atos indisciplinares no espaço educativo.</w:t>
      </w:r>
    </w:p>
    <w:p w:rsidR="00D24E61" w:rsidRPr="00771368" w:rsidRDefault="00D24E61">
      <w:pPr>
        <w:spacing w:line="84" w:lineRule="exact"/>
        <w:rPr>
          <w:sz w:val="20"/>
          <w:szCs w:val="20"/>
        </w:rPr>
      </w:pPr>
    </w:p>
    <w:p w:rsidR="00D24E61" w:rsidRPr="00771368" w:rsidRDefault="00D24E61">
      <w:pPr>
        <w:spacing w:line="347" w:lineRule="auto"/>
        <w:ind w:right="60" w:firstLine="852"/>
        <w:jc w:val="both"/>
        <w:rPr>
          <w:sz w:val="20"/>
          <w:szCs w:val="20"/>
        </w:rPr>
      </w:pPr>
      <w:r w:rsidRPr="00771368">
        <w:rPr>
          <w:sz w:val="24"/>
          <w:szCs w:val="24"/>
        </w:rPr>
        <w:t>Através desta pesquisa, notamos que as fontes pertencentes ao Colégio Salesiano de Juazeiro do Norte-CE evidenciam discursos semelhantes com os enunciados de Dom Bosco, na Itália. Devido às diferenças espaços-temporais, notamos que o Sistema Preventivo foi ressignificado em solo brasileiro, mas especificamente no Ceará, porém continuou a se preocupar com a educação dos jovens masculinos.</w:t>
      </w:r>
    </w:p>
    <w:p w:rsidR="00D24E61" w:rsidRPr="00771368" w:rsidRDefault="00D24E61">
      <w:pPr>
        <w:spacing w:line="74" w:lineRule="exact"/>
        <w:rPr>
          <w:sz w:val="20"/>
          <w:szCs w:val="20"/>
        </w:rPr>
      </w:pPr>
    </w:p>
    <w:p w:rsidR="00D24E61" w:rsidRPr="00771368" w:rsidRDefault="00D24E61">
      <w:pPr>
        <w:spacing w:line="343" w:lineRule="auto"/>
        <w:ind w:firstLine="852"/>
        <w:jc w:val="both"/>
        <w:rPr>
          <w:sz w:val="20"/>
          <w:szCs w:val="20"/>
        </w:rPr>
      </w:pPr>
      <w:r w:rsidRPr="00771368">
        <w:rPr>
          <w:sz w:val="24"/>
          <w:szCs w:val="24"/>
        </w:rPr>
        <w:t>Na Itália ou no Brasil, em Turim ou Juazeiro do Norte, a circularidade de ideias pedagógicas e práticas disciplinares ajudaram a forjar masculinidades. Estas foram modeladas, produzidas, conforme os pressupostos da Igreja Católica e da Nação a qual faziam parte. As características locais e temporais também contribuíram para esta gestação.</w:t>
      </w:r>
    </w:p>
    <w:p w:rsidR="00D24E61" w:rsidRPr="00771368" w:rsidRDefault="00D24E61">
      <w:pPr>
        <w:spacing w:line="21" w:lineRule="exact"/>
        <w:rPr>
          <w:sz w:val="20"/>
          <w:szCs w:val="20"/>
        </w:rPr>
      </w:pPr>
    </w:p>
    <w:p w:rsidR="00D24E61" w:rsidRPr="00771368" w:rsidRDefault="00D24E61">
      <w:pPr>
        <w:ind w:left="860"/>
        <w:rPr>
          <w:sz w:val="20"/>
          <w:szCs w:val="20"/>
        </w:rPr>
      </w:pPr>
      <w:r w:rsidRPr="00771368">
        <w:rPr>
          <w:sz w:val="24"/>
          <w:szCs w:val="24"/>
        </w:rPr>
        <w:t>O fator biológico foi valorizado nos discursos salesianos para legitimar a ideia de que</w:t>
      </w:r>
    </w:p>
    <w:p w:rsidR="00D24E61" w:rsidRPr="00771368" w:rsidRDefault="00D24E61">
      <w:pPr>
        <w:spacing w:line="197" w:lineRule="exact"/>
        <w:rPr>
          <w:sz w:val="20"/>
          <w:szCs w:val="20"/>
        </w:rPr>
      </w:pPr>
    </w:p>
    <w:p w:rsidR="00D24E61" w:rsidRPr="00771368" w:rsidRDefault="00D24E61">
      <w:pPr>
        <w:spacing w:line="334" w:lineRule="auto"/>
        <w:ind w:right="60"/>
        <w:jc w:val="both"/>
        <w:rPr>
          <w:sz w:val="20"/>
          <w:szCs w:val="20"/>
        </w:rPr>
      </w:pPr>
      <w:r w:rsidRPr="00771368">
        <w:rPr>
          <w:sz w:val="24"/>
          <w:szCs w:val="24"/>
        </w:rPr>
        <w:t>‘o Homem nasce Homem’. Em contrapartida, seria necessário vigiar e prevenir os corpos das influencias más. Influências estas que se apresentavam na sociedade e dentro deles mesmos, pois os estudantes estavam na idade do perigo: A juventude.</w:t>
      </w:r>
    </w:p>
    <w:p w:rsidR="00D24E61" w:rsidRPr="00771368" w:rsidRDefault="00D24E61">
      <w:pPr>
        <w:spacing w:line="89" w:lineRule="exact"/>
        <w:rPr>
          <w:sz w:val="20"/>
          <w:szCs w:val="20"/>
        </w:rPr>
      </w:pPr>
    </w:p>
    <w:p w:rsidR="00D24E61" w:rsidRPr="00771368" w:rsidRDefault="00D24E61">
      <w:pPr>
        <w:spacing w:line="342" w:lineRule="auto"/>
        <w:ind w:right="60" w:firstLine="852"/>
        <w:jc w:val="both"/>
        <w:rPr>
          <w:sz w:val="20"/>
          <w:szCs w:val="20"/>
        </w:rPr>
      </w:pPr>
      <w:r w:rsidRPr="00771368">
        <w:rPr>
          <w:sz w:val="24"/>
          <w:szCs w:val="24"/>
        </w:rPr>
        <w:t>Antes de concluirmos este artigo, queremos ressaltar que esta pesquisa ainda está em andamento. As primeiras reflexões sobre ela estão expressas nesse artigo, porém um aprofundamento maior está sendo realizado para uma melhor compreensão das masculinidades na Educação Salesiana.</w:t>
      </w:r>
    </w:p>
    <w:p w:rsidR="00D24E61" w:rsidRPr="00771368" w:rsidRDefault="00D24E61">
      <w:pPr>
        <w:spacing w:line="84" w:lineRule="exact"/>
        <w:rPr>
          <w:sz w:val="20"/>
          <w:szCs w:val="20"/>
        </w:rPr>
      </w:pPr>
    </w:p>
    <w:p w:rsidR="00D24E61" w:rsidRPr="00771368" w:rsidRDefault="00D24E61">
      <w:pPr>
        <w:spacing w:line="351" w:lineRule="auto"/>
        <w:ind w:right="60" w:firstLine="852"/>
        <w:jc w:val="both"/>
        <w:rPr>
          <w:sz w:val="20"/>
          <w:szCs w:val="20"/>
        </w:rPr>
      </w:pPr>
      <w:r w:rsidRPr="00771368">
        <w:rPr>
          <w:sz w:val="24"/>
          <w:szCs w:val="24"/>
        </w:rPr>
        <w:t>Diante disso, queremos instigar novos pesquisadores a se aventurar no campo da História da Educação Comparada e nos discursos de gênero nos espaços educativos. Acreditamos que ao analisar a Educação formal ou informal, temos a oportunidade de entender o que estão fazendo de nós e o que nós estamos fazendo de nós mesmos, enquanto seres humanos, sexuais e culturais. Logo podemos questionar e/ou refletir sobre as relações de gênero, a gestação de preconceitos e o impacto da educação na produção de masculinidades e feminilidades na História Mundial.</w:t>
      </w:r>
    </w:p>
    <w:p w:rsidR="00D24E61" w:rsidRPr="00771368" w:rsidRDefault="00D24E61">
      <w:pPr>
        <w:spacing w:line="113" w:lineRule="exact"/>
        <w:rPr>
          <w:sz w:val="20"/>
          <w:szCs w:val="20"/>
        </w:rPr>
      </w:pPr>
    </w:p>
    <w:p w:rsidR="00D24E61" w:rsidRPr="00771368" w:rsidRDefault="00D24E61">
      <w:pPr>
        <w:rPr>
          <w:sz w:val="20"/>
          <w:szCs w:val="20"/>
        </w:rPr>
      </w:pPr>
      <w:r w:rsidRPr="00771368">
        <w:rPr>
          <w:b/>
          <w:bCs/>
          <w:sz w:val="24"/>
          <w:szCs w:val="24"/>
        </w:rPr>
        <w:t>Referências Bibliográficas</w:t>
      </w:r>
    </w:p>
    <w:p w:rsidR="00D24E61" w:rsidRPr="00771368" w:rsidRDefault="00D24E61">
      <w:pPr>
        <w:spacing w:line="334" w:lineRule="exact"/>
        <w:rPr>
          <w:sz w:val="20"/>
          <w:szCs w:val="20"/>
        </w:rPr>
      </w:pPr>
    </w:p>
    <w:p w:rsidR="00D24E61" w:rsidRPr="00771368" w:rsidRDefault="00D24E61">
      <w:pPr>
        <w:rPr>
          <w:sz w:val="20"/>
          <w:szCs w:val="20"/>
        </w:rPr>
      </w:pPr>
      <w:r w:rsidRPr="00771368">
        <w:rPr>
          <w:sz w:val="24"/>
          <w:szCs w:val="24"/>
        </w:rPr>
        <w:t xml:space="preserve">ALMEIDA,  Núbia  Ferreira.  O  </w:t>
      </w:r>
      <w:r w:rsidRPr="00771368">
        <w:rPr>
          <w:b/>
          <w:bCs/>
          <w:sz w:val="24"/>
          <w:szCs w:val="24"/>
        </w:rPr>
        <w:t>Colégio  Salesiano  de  Juazeiro  do  Norte  e  o  projeto</w:t>
      </w:r>
    </w:p>
    <w:p w:rsidR="00D24E61" w:rsidRPr="00771368" w:rsidRDefault="00D24E61">
      <w:pPr>
        <w:spacing w:line="195" w:lineRule="exact"/>
        <w:rPr>
          <w:sz w:val="20"/>
          <w:szCs w:val="20"/>
        </w:rPr>
      </w:pPr>
    </w:p>
    <w:p w:rsidR="00D24E61" w:rsidRPr="00771368" w:rsidRDefault="00D24E61">
      <w:pPr>
        <w:spacing w:line="334" w:lineRule="auto"/>
        <w:ind w:right="20"/>
        <w:jc w:val="both"/>
        <w:rPr>
          <w:sz w:val="20"/>
          <w:szCs w:val="20"/>
        </w:rPr>
      </w:pPr>
      <w:r w:rsidRPr="00771368">
        <w:rPr>
          <w:b/>
          <w:bCs/>
          <w:sz w:val="24"/>
          <w:szCs w:val="24"/>
        </w:rPr>
        <w:t>educacional do Padre Cícero</w:t>
      </w:r>
      <w:r w:rsidRPr="00771368">
        <w:rPr>
          <w:sz w:val="24"/>
          <w:szCs w:val="24"/>
        </w:rPr>
        <w:t>: os benefícios da juventude (de 1939 a anos de 1970). 2011.</w:t>
      </w:r>
      <w:r w:rsidRPr="00771368">
        <w:rPr>
          <w:b/>
          <w:bCs/>
          <w:sz w:val="24"/>
          <w:szCs w:val="24"/>
        </w:rPr>
        <w:t xml:space="preserve"> </w:t>
      </w:r>
      <w:r w:rsidRPr="00771368">
        <w:rPr>
          <w:sz w:val="24"/>
          <w:szCs w:val="24"/>
        </w:rPr>
        <w:t>254f. Tese (Doutorado em Educação) – Universidade Federal do Ceará, Faculdade de Educação, Programa de Pós-Graduação em Educação Brasileira, Fortaleza-CE, 2011a.</w:t>
      </w:r>
    </w:p>
    <w:p w:rsidR="00D24E61" w:rsidRPr="00771368" w:rsidRDefault="00D24E61">
      <w:pPr>
        <w:spacing w:line="33" w:lineRule="exact"/>
        <w:rPr>
          <w:sz w:val="20"/>
          <w:szCs w:val="20"/>
        </w:rPr>
      </w:pPr>
    </w:p>
    <w:p w:rsidR="00D24E61" w:rsidRPr="00771368" w:rsidRDefault="00D24E61">
      <w:pPr>
        <w:tabs>
          <w:tab w:val="left" w:pos="3120"/>
          <w:tab w:val="left" w:pos="3500"/>
          <w:tab w:val="left" w:pos="4480"/>
          <w:tab w:val="left" w:pos="5600"/>
          <w:tab w:val="left" w:pos="6100"/>
          <w:tab w:val="left" w:pos="7120"/>
          <w:tab w:val="left" w:pos="7560"/>
          <w:tab w:val="left" w:pos="8780"/>
        </w:tabs>
        <w:spacing w:line="239" w:lineRule="auto"/>
        <w:rPr>
          <w:sz w:val="20"/>
          <w:szCs w:val="20"/>
        </w:rPr>
      </w:pPr>
      <w:r w:rsidRPr="00771368">
        <w:rPr>
          <w:sz w:val="24"/>
          <w:szCs w:val="24"/>
        </w:rPr>
        <w:t>________________________.</w:t>
      </w:r>
      <w:r w:rsidRPr="00771368">
        <w:rPr>
          <w:sz w:val="20"/>
          <w:szCs w:val="20"/>
        </w:rPr>
        <w:tab/>
      </w:r>
      <w:r w:rsidRPr="00771368">
        <w:rPr>
          <w:sz w:val="24"/>
          <w:szCs w:val="24"/>
        </w:rPr>
        <w:t>O</w:t>
      </w:r>
      <w:r w:rsidRPr="00771368">
        <w:rPr>
          <w:sz w:val="20"/>
          <w:szCs w:val="20"/>
        </w:rPr>
        <w:tab/>
      </w:r>
      <w:r w:rsidRPr="00771368">
        <w:rPr>
          <w:sz w:val="24"/>
          <w:szCs w:val="24"/>
        </w:rPr>
        <w:t>Colégio</w:t>
      </w:r>
      <w:r w:rsidRPr="00771368">
        <w:rPr>
          <w:sz w:val="20"/>
          <w:szCs w:val="20"/>
        </w:rPr>
        <w:tab/>
      </w:r>
      <w:r w:rsidRPr="00771368">
        <w:rPr>
          <w:sz w:val="24"/>
          <w:szCs w:val="24"/>
        </w:rPr>
        <w:t>Salesiano</w:t>
      </w:r>
      <w:r w:rsidRPr="00771368">
        <w:rPr>
          <w:sz w:val="20"/>
          <w:szCs w:val="20"/>
        </w:rPr>
        <w:tab/>
      </w:r>
      <w:r w:rsidRPr="00771368">
        <w:rPr>
          <w:sz w:val="24"/>
          <w:szCs w:val="24"/>
        </w:rPr>
        <w:t>em</w:t>
      </w:r>
      <w:r w:rsidRPr="00771368">
        <w:rPr>
          <w:sz w:val="20"/>
          <w:szCs w:val="20"/>
        </w:rPr>
        <w:tab/>
      </w:r>
      <w:r w:rsidRPr="00771368">
        <w:rPr>
          <w:sz w:val="24"/>
          <w:szCs w:val="24"/>
        </w:rPr>
        <w:t>Juazeiro</w:t>
      </w:r>
      <w:r w:rsidRPr="00771368">
        <w:rPr>
          <w:sz w:val="20"/>
          <w:szCs w:val="20"/>
        </w:rPr>
        <w:tab/>
      </w:r>
      <w:r w:rsidRPr="00771368">
        <w:rPr>
          <w:sz w:val="24"/>
          <w:szCs w:val="24"/>
        </w:rPr>
        <w:t>do</w:t>
      </w:r>
      <w:r w:rsidRPr="00771368">
        <w:rPr>
          <w:sz w:val="20"/>
          <w:szCs w:val="20"/>
        </w:rPr>
        <w:tab/>
      </w:r>
      <w:r w:rsidRPr="00771368">
        <w:rPr>
          <w:sz w:val="24"/>
          <w:szCs w:val="24"/>
        </w:rPr>
        <w:t>Norte-CE:</w:t>
      </w:r>
      <w:r w:rsidRPr="00771368">
        <w:rPr>
          <w:sz w:val="20"/>
          <w:szCs w:val="20"/>
        </w:rPr>
        <w:tab/>
      </w:r>
      <w:r w:rsidRPr="00771368">
        <w:rPr>
          <w:sz w:val="23"/>
          <w:szCs w:val="23"/>
        </w:rPr>
        <w:t>Os</w:t>
      </w:r>
    </w:p>
    <w:p w:rsidR="00D24E61" w:rsidRPr="00771368" w:rsidRDefault="00D24E61">
      <w:pPr>
        <w:spacing w:line="195" w:lineRule="exact"/>
        <w:rPr>
          <w:sz w:val="20"/>
          <w:szCs w:val="20"/>
        </w:rPr>
      </w:pPr>
    </w:p>
    <w:p w:rsidR="00D24E61" w:rsidRPr="00771368" w:rsidRDefault="00D24E61">
      <w:pPr>
        <w:spacing w:line="334" w:lineRule="auto"/>
        <w:ind w:right="20"/>
        <w:jc w:val="both"/>
        <w:rPr>
          <w:sz w:val="20"/>
          <w:szCs w:val="20"/>
        </w:rPr>
      </w:pPr>
      <w:r w:rsidRPr="00771368">
        <w:rPr>
          <w:sz w:val="24"/>
          <w:szCs w:val="24"/>
        </w:rPr>
        <w:t xml:space="preserve">“Benfeitores da Juventude”. In: CAVALCANTE, Maria Juraci Maia </w:t>
      </w:r>
      <w:r w:rsidRPr="00771368">
        <w:rPr>
          <w:i/>
          <w:iCs/>
          <w:sz w:val="24"/>
          <w:szCs w:val="24"/>
        </w:rPr>
        <w:t>et al</w:t>
      </w:r>
      <w:r w:rsidRPr="00771368">
        <w:rPr>
          <w:sz w:val="24"/>
          <w:szCs w:val="24"/>
        </w:rPr>
        <w:t xml:space="preserve"> (Org.) </w:t>
      </w:r>
      <w:r w:rsidRPr="00771368">
        <w:rPr>
          <w:b/>
          <w:bCs/>
          <w:sz w:val="24"/>
          <w:szCs w:val="24"/>
        </w:rPr>
        <w:t>História da</w:t>
      </w:r>
      <w:r w:rsidRPr="00771368">
        <w:rPr>
          <w:sz w:val="24"/>
          <w:szCs w:val="24"/>
        </w:rPr>
        <w:t xml:space="preserve"> </w:t>
      </w:r>
      <w:r w:rsidRPr="00771368">
        <w:rPr>
          <w:b/>
          <w:bCs/>
          <w:sz w:val="24"/>
          <w:szCs w:val="24"/>
        </w:rPr>
        <w:t>Educação Comparada</w:t>
      </w:r>
      <w:r w:rsidRPr="00771368">
        <w:rPr>
          <w:sz w:val="24"/>
          <w:szCs w:val="24"/>
        </w:rPr>
        <w:t>: Discursos, ritos e símbolos da educação popular cívica e religiosa.</w:t>
      </w:r>
      <w:r w:rsidRPr="00771368">
        <w:rPr>
          <w:b/>
          <w:bCs/>
          <w:sz w:val="24"/>
          <w:szCs w:val="24"/>
        </w:rPr>
        <w:t xml:space="preserve"> </w:t>
      </w:r>
      <w:r w:rsidRPr="00771368">
        <w:rPr>
          <w:sz w:val="24"/>
          <w:szCs w:val="24"/>
        </w:rPr>
        <w:t>Fortaleza: Edições UFC, 2011b.</w:t>
      </w:r>
    </w:p>
    <w:p w:rsidR="00D24E61" w:rsidRPr="00771368" w:rsidRDefault="00D24E61">
      <w:pPr>
        <w:spacing w:line="92" w:lineRule="exact"/>
        <w:rPr>
          <w:sz w:val="20"/>
          <w:szCs w:val="20"/>
        </w:rPr>
      </w:pPr>
    </w:p>
    <w:p w:rsidR="00D24E61" w:rsidRPr="00771368" w:rsidRDefault="00D24E61">
      <w:pPr>
        <w:spacing w:line="308" w:lineRule="auto"/>
        <w:jc w:val="both"/>
        <w:rPr>
          <w:sz w:val="20"/>
          <w:szCs w:val="20"/>
        </w:rPr>
      </w:pPr>
      <w:r w:rsidRPr="00771368">
        <w:rPr>
          <w:sz w:val="24"/>
          <w:szCs w:val="24"/>
        </w:rPr>
        <w:t xml:space="preserve">BARROS, José D’Assunção. </w:t>
      </w:r>
      <w:r w:rsidRPr="00771368">
        <w:rPr>
          <w:b/>
          <w:bCs/>
          <w:sz w:val="24"/>
          <w:szCs w:val="24"/>
        </w:rPr>
        <w:t>O Campo da História</w:t>
      </w:r>
      <w:r w:rsidRPr="00771368">
        <w:rPr>
          <w:sz w:val="24"/>
          <w:szCs w:val="24"/>
        </w:rPr>
        <w:t>: especialidades e abordagens. Petrópolis: Vozes, 2010.</w:t>
      </w:r>
    </w:p>
    <w:p w:rsidR="00D24E61" w:rsidRPr="00771368" w:rsidRDefault="00D24E61">
      <w:pPr>
        <w:spacing w:line="61" w:lineRule="exact"/>
        <w:rPr>
          <w:sz w:val="20"/>
          <w:szCs w:val="20"/>
        </w:rPr>
      </w:pPr>
    </w:p>
    <w:p w:rsidR="00D24E61" w:rsidRPr="00771368" w:rsidRDefault="00D24E61">
      <w:pPr>
        <w:rPr>
          <w:sz w:val="20"/>
          <w:szCs w:val="20"/>
        </w:rPr>
      </w:pPr>
      <w:r w:rsidRPr="00771368">
        <w:rPr>
          <w:sz w:val="24"/>
          <w:szCs w:val="24"/>
        </w:rPr>
        <w:t xml:space="preserve">BEVAOUIR, Simone. </w:t>
      </w:r>
      <w:r w:rsidRPr="00771368">
        <w:rPr>
          <w:b/>
          <w:bCs/>
          <w:sz w:val="24"/>
          <w:szCs w:val="24"/>
        </w:rPr>
        <w:t>O Segundo Sexo</w:t>
      </w:r>
      <w:r w:rsidRPr="00771368">
        <w:rPr>
          <w:sz w:val="24"/>
          <w:szCs w:val="24"/>
        </w:rPr>
        <w:t>. Rio de Janeiro: Nova Fronteira, 1980.</w:t>
      </w:r>
    </w:p>
    <w:p w:rsidR="00D24E61" w:rsidRPr="00771368" w:rsidRDefault="00D24E61">
      <w:pPr>
        <w:spacing w:line="195" w:lineRule="exact"/>
        <w:rPr>
          <w:sz w:val="20"/>
          <w:szCs w:val="20"/>
        </w:rPr>
      </w:pPr>
    </w:p>
    <w:p w:rsidR="00D24E61" w:rsidRPr="00771368" w:rsidRDefault="00D24E61">
      <w:pPr>
        <w:spacing w:line="308" w:lineRule="auto"/>
        <w:jc w:val="both"/>
        <w:rPr>
          <w:sz w:val="20"/>
          <w:szCs w:val="20"/>
        </w:rPr>
      </w:pPr>
      <w:r w:rsidRPr="00771368">
        <w:rPr>
          <w:sz w:val="24"/>
          <w:szCs w:val="24"/>
        </w:rPr>
        <w:t xml:space="preserve">BOSCO, Dom João. </w:t>
      </w:r>
      <w:r w:rsidRPr="00771368">
        <w:rPr>
          <w:b/>
          <w:bCs/>
          <w:sz w:val="24"/>
          <w:szCs w:val="24"/>
        </w:rPr>
        <w:t>Memórias do Oratório de São Francisco de Sales</w:t>
      </w:r>
      <w:r w:rsidRPr="00771368">
        <w:rPr>
          <w:sz w:val="24"/>
          <w:szCs w:val="24"/>
        </w:rPr>
        <w:t>. São Paulo: Editora Salesiana, 2005.</w:t>
      </w:r>
    </w:p>
    <w:p w:rsidR="00D24E61" w:rsidRPr="00771368" w:rsidRDefault="00D24E61">
      <w:pPr>
        <w:spacing w:line="120" w:lineRule="exact"/>
        <w:rPr>
          <w:sz w:val="20"/>
          <w:szCs w:val="20"/>
        </w:rPr>
      </w:pPr>
    </w:p>
    <w:p w:rsidR="00D24E61" w:rsidRPr="00771368" w:rsidRDefault="00D24E61">
      <w:pPr>
        <w:spacing w:line="308" w:lineRule="auto"/>
        <w:ind w:right="20"/>
        <w:jc w:val="both"/>
        <w:rPr>
          <w:sz w:val="20"/>
          <w:szCs w:val="20"/>
        </w:rPr>
      </w:pPr>
      <w:r w:rsidRPr="00771368">
        <w:rPr>
          <w:sz w:val="24"/>
          <w:szCs w:val="24"/>
        </w:rPr>
        <w:t xml:space="preserve">________________. In: </w:t>
      </w:r>
      <w:r w:rsidRPr="00771368">
        <w:rPr>
          <w:b/>
          <w:bCs/>
          <w:sz w:val="24"/>
          <w:szCs w:val="24"/>
        </w:rPr>
        <w:t>A pedagogia de Dom Bosco em seus escritos</w:t>
      </w:r>
      <w:r w:rsidRPr="00771368">
        <w:rPr>
          <w:sz w:val="24"/>
          <w:szCs w:val="24"/>
        </w:rPr>
        <w:t>. São Paulo: Editora Dom Bosco, 2004.</w:t>
      </w:r>
    </w:p>
    <w:p w:rsidR="00D24E61" w:rsidRPr="00771368" w:rsidRDefault="00D24E61">
      <w:pPr>
        <w:spacing w:line="120" w:lineRule="exact"/>
        <w:rPr>
          <w:sz w:val="20"/>
          <w:szCs w:val="20"/>
        </w:rPr>
      </w:pPr>
    </w:p>
    <w:p w:rsidR="00D24E61" w:rsidRPr="00771368" w:rsidRDefault="00D24E61">
      <w:pPr>
        <w:spacing w:line="308" w:lineRule="auto"/>
        <w:ind w:right="20"/>
        <w:jc w:val="both"/>
        <w:rPr>
          <w:sz w:val="20"/>
          <w:szCs w:val="20"/>
        </w:rPr>
      </w:pPr>
      <w:r w:rsidRPr="00771368">
        <w:rPr>
          <w:sz w:val="24"/>
          <w:szCs w:val="24"/>
        </w:rPr>
        <w:t xml:space="preserve">BRAIDO, Pietro. </w:t>
      </w:r>
      <w:r w:rsidRPr="00771368">
        <w:rPr>
          <w:b/>
          <w:bCs/>
          <w:sz w:val="24"/>
          <w:szCs w:val="24"/>
        </w:rPr>
        <w:t>Prevenir, Não reprimir</w:t>
      </w:r>
      <w:r w:rsidRPr="00771368">
        <w:rPr>
          <w:sz w:val="24"/>
          <w:szCs w:val="24"/>
        </w:rPr>
        <w:t>: O Sistema Educativo de Dom Bosco. São Paulo: Ed. Salesiana, 2005.</w:t>
      </w:r>
    </w:p>
    <w:p w:rsidR="00D24E61" w:rsidRPr="00771368" w:rsidRDefault="00D24E61">
      <w:pPr>
        <w:spacing w:line="120" w:lineRule="exact"/>
        <w:rPr>
          <w:sz w:val="20"/>
          <w:szCs w:val="20"/>
        </w:rPr>
      </w:pPr>
    </w:p>
    <w:p w:rsidR="00D24E61" w:rsidRPr="00771368" w:rsidRDefault="00D24E61">
      <w:pPr>
        <w:spacing w:line="349" w:lineRule="auto"/>
        <w:ind w:right="20"/>
        <w:rPr>
          <w:sz w:val="20"/>
          <w:szCs w:val="20"/>
        </w:rPr>
      </w:pPr>
      <w:r w:rsidRPr="00771368">
        <w:rPr>
          <w:sz w:val="24"/>
          <w:szCs w:val="24"/>
        </w:rPr>
        <w:t xml:space="preserve">______________. </w:t>
      </w:r>
      <w:r w:rsidRPr="00771368">
        <w:rPr>
          <w:b/>
          <w:bCs/>
          <w:sz w:val="24"/>
          <w:szCs w:val="24"/>
        </w:rPr>
        <w:t>Dom Bosco, padre dos jovens no século da liberdade</w:t>
      </w:r>
      <w:r w:rsidRPr="00771368">
        <w:rPr>
          <w:sz w:val="24"/>
          <w:szCs w:val="24"/>
        </w:rPr>
        <w:t xml:space="preserve">: primeiro volume. Trad. Geraldo Lopes e José Antenor Velho. São Paulo: Editora Salesiana, 2008. BROCARDO, Pietro. </w:t>
      </w:r>
      <w:r w:rsidRPr="00771368">
        <w:rPr>
          <w:b/>
          <w:bCs/>
          <w:sz w:val="24"/>
          <w:szCs w:val="24"/>
        </w:rPr>
        <w:t>Dom Bosco</w:t>
      </w:r>
      <w:r w:rsidRPr="00771368">
        <w:rPr>
          <w:sz w:val="24"/>
          <w:szCs w:val="24"/>
        </w:rPr>
        <w:t xml:space="preserve">: profundamente homem, profundamente santo. Trad. Yvone Maria de Campos Teixeira da Silva. 2ª ed. São Paulo: Editora Salesiana, 2005. CONNELL, Robert W. </w:t>
      </w:r>
      <w:r w:rsidRPr="00771368">
        <w:rPr>
          <w:b/>
          <w:bCs/>
          <w:sz w:val="24"/>
          <w:szCs w:val="24"/>
        </w:rPr>
        <w:t>Políticas da masculinidade</w:t>
      </w:r>
      <w:r w:rsidRPr="00771368">
        <w:rPr>
          <w:sz w:val="24"/>
          <w:szCs w:val="24"/>
        </w:rPr>
        <w:t>. In: Educação e Realidade. São Paulo: 1995, n° 20, v. 2, p. 183 - 206.</w:t>
      </w:r>
    </w:p>
    <w:p w:rsidR="00D24E61" w:rsidRPr="00771368" w:rsidRDefault="00D24E61">
      <w:pPr>
        <w:spacing w:line="76" w:lineRule="exact"/>
        <w:rPr>
          <w:sz w:val="20"/>
          <w:szCs w:val="20"/>
        </w:rPr>
      </w:pPr>
    </w:p>
    <w:p w:rsidR="00D24E61" w:rsidRPr="00771368" w:rsidRDefault="00D24E61">
      <w:pPr>
        <w:spacing w:line="308" w:lineRule="auto"/>
        <w:ind w:right="20"/>
        <w:jc w:val="both"/>
        <w:rPr>
          <w:sz w:val="20"/>
          <w:szCs w:val="20"/>
        </w:rPr>
      </w:pPr>
      <w:r w:rsidRPr="00771368">
        <w:rPr>
          <w:sz w:val="24"/>
          <w:szCs w:val="24"/>
        </w:rPr>
        <w:t xml:space="preserve">DELLA CAVA. </w:t>
      </w:r>
      <w:r w:rsidRPr="00771368">
        <w:rPr>
          <w:b/>
          <w:bCs/>
          <w:sz w:val="24"/>
          <w:szCs w:val="24"/>
        </w:rPr>
        <w:t>Milagre em Joaseiro</w:t>
      </w:r>
      <w:r w:rsidRPr="00771368">
        <w:rPr>
          <w:sz w:val="24"/>
          <w:szCs w:val="24"/>
        </w:rPr>
        <w:t>. Trad. Maria Yedda Linhares. Rio de Janeiro: Paz e Terra, 1976.</w:t>
      </w:r>
    </w:p>
    <w:p w:rsidR="00D24E61" w:rsidRPr="00771368" w:rsidRDefault="00D24E61">
      <w:pPr>
        <w:spacing w:line="120" w:lineRule="exact"/>
        <w:rPr>
          <w:sz w:val="20"/>
          <w:szCs w:val="20"/>
        </w:rPr>
      </w:pPr>
    </w:p>
    <w:p w:rsidR="00D24E61" w:rsidRPr="00771368" w:rsidRDefault="00D24E61">
      <w:pPr>
        <w:spacing w:line="308" w:lineRule="auto"/>
        <w:ind w:right="20"/>
        <w:jc w:val="both"/>
        <w:rPr>
          <w:sz w:val="20"/>
          <w:szCs w:val="20"/>
        </w:rPr>
      </w:pPr>
      <w:r w:rsidRPr="00771368">
        <w:rPr>
          <w:sz w:val="24"/>
          <w:szCs w:val="24"/>
        </w:rPr>
        <w:t xml:space="preserve">ELIAS, Norbert. </w:t>
      </w:r>
      <w:r w:rsidRPr="00771368">
        <w:rPr>
          <w:b/>
          <w:bCs/>
          <w:sz w:val="24"/>
          <w:szCs w:val="24"/>
        </w:rPr>
        <w:t>Os estabelecimentos e os Outsiders</w:t>
      </w:r>
      <w:r w:rsidRPr="00771368">
        <w:rPr>
          <w:sz w:val="24"/>
          <w:szCs w:val="24"/>
        </w:rPr>
        <w:t>: Sociologia das relações de poder a partir de uma pequena comunidade. Rio de Janeiro: Zahar, 2000.</w:t>
      </w:r>
    </w:p>
    <w:p w:rsidR="00D24E61" w:rsidRPr="00771368" w:rsidRDefault="00D24E61">
      <w:pPr>
        <w:spacing w:line="120" w:lineRule="exact"/>
        <w:rPr>
          <w:sz w:val="20"/>
          <w:szCs w:val="20"/>
        </w:rPr>
      </w:pPr>
    </w:p>
    <w:p w:rsidR="00D24E61" w:rsidRPr="00771368" w:rsidRDefault="00D24E61">
      <w:pPr>
        <w:spacing w:line="308" w:lineRule="auto"/>
        <w:ind w:right="20"/>
        <w:jc w:val="both"/>
        <w:rPr>
          <w:sz w:val="20"/>
          <w:szCs w:val="20"/>
        </w:rPr>
      </w:pPr>
      <w:r w:rsidRPr="00771368">
        <w:rPr>
          <w:sz w:val="24"/>
          <w:szCs w:val="24"/>
        </w:rPr>
        <w:t xml:space="preserve">FERREIRA, Antonio de Sales. </w:t>
      </w:r>
      <w:r w:rsidRPr="00771368">
        <w:rPr>
          <w:b/>
          <w:bCs/>
          <w:sz w:val="24"/>
          <w:szCs w:val="24"/>
        </w:rPr>
        <w:t>Não Basta amar</w:t>
      </w:r>
      <w:r w:rsidRPr="00771368">
        <w:rPr>
          <w:sz w:val="24"/>
          <w:szCs w:val="24"/>
        </w:rPr>
        <w:t>: a pedagogia de Dom Bosco e seus escritos. São Paulo: Editora Salesiana, 2009.</w:t>
      </w:r>
    </w:p>
    <w:p w:rsidR="00D24E61" w:rsidRPr="00771368" w:rsidRDefault="00D24E61">
      <w:pPr>
        <w:spacing w:line="120" w:lineRule="exact"/>
        <w:rPr>
          <w:sz w:val="20"/>
          <w:szCs w:val="20"/>
        </w:rPr>
      </w:pPr>
    </w:p>
    <w:p w:rsidR="00D24E61" w:rsidRPr="00771368" w:rsidRDefault="00D24E61">
      <w:pPr>
        <w:spacing w:line="334" w:lineRule="auto"/>
        <w:ind w:right="20"/>
        <w:jc w:val="both"/>
        <w:rPr>
          <w:sz w:val="20"/>
          <w:szCs w:val="20"/>
        </w:rPr>
      </w:pPr>
      <w:r w:rsidRPr="00771368">
        <w:rPr>
          <w:sz w:val="24"/>
          <w:szCs w:val="24"/>
        </w:rPr>
        <w:t xml:space="preserve">FRANCO, Maria Ciavatta. Quando nós somos o outro: Questões teórico-metodólogicas sobre os estudos comparados. </w:t>
      </w:r>
      <w:r w:rsidRPr="00771368">
        <w:rPr>
          <w:b/>
          <w:bCs/>
          <w:sz w:val="24"/>
          <w:szCs w:val="24"/>
        </w:rPr>
        <w:t>Revista Educação &amp; Sociedade</w:t>
      </w:r>
      <w:r w:rsidRPr="00771368">
        <w:rPr>
          <w:sz w:val="24"/>
          <w:szCs w:val="24"/>
        </w:rPr>
        <w:t>. São Paulo: Cortez, Campinas, ano XXI, N° 72, Ago/ 2000, p. 197-230.</w:t>
      </w:r>
    </w:p>
    <w:p w:rsidR="00D24E61" w:rsidRPr="00771368" w:rsidRDefault="00D24E61">
      <w:pPr>
        <w:spacing w:line="29" w:lineRule="exact"/>
        <w:rPr>
          <w:sz w:val="20"/>
          <w:szCs w:val="20"/>
        </w:rPr>
      </w:pPr>
    </w:p>
    <w:p w:rsidR="00D24E61" w:rsidRPr="00771368" w:rsidRDefault="00D24E61">
      <w:pPr>
        <w:spacing w:line="308" w:lineRule="auto"/>
        <w:ind w:right="60"/>
        <w:jc w:val="both"/>
        <w:rPr>
          <w:sz w:val="20"/>
          <w:szCs w:val="20"/>
        </w:rPr>
      </w:pPr>
      <w:r w:rsidRPr="00771368">
        <w:rPr>
          <w:sz w:val="24"/>
          <w:szCs w:val="24"/>
        </w:rPr>
        <w:t xml:space="preserve">FOUCAULT, Michel. </w:t>
      </w:r>
      <w:r w:rsidRPr="00771368">
        <w:rPr>
          <w:b/>
          <w:bCs/>
          <w:sz w:val="24"/>
          <w:szCs w:val="24"/>
        </w:rPr>
        <w:t>A Hermenêutica do sujeito</w:t>
      </w:r>
      <w:r w:rsidRPr="00771368">
        <w:rPr>
          <w:sz w:val="24"/>
          <w:szCs w:val="24"/>
        </w:rPr>
        <w:t xml:space="preserve"> – Curso do Collège de France, 1981 – 1982. Trad. S. T. Muchail. São Paulo: Martins Fontes, 2004.</w:t>
      </w:r>
    </w:p>
    <w:p w:rsidR="00D24E61" w:rsidRPr="00771368" w:rsidRDefault="00D24E61">
      <w:pPr>
        <w:spacing w:line="120" w:lineRule="exact"/>
        <w:rPr>
          <w:sz w:val="20"/>
          <w:szCs w:val="20"/>
        </w:rPr>
      </w:pPr>
    </w:p>
    <w:p w:rsidR="00D24E61" w:rsidRPr="00771368" w:rsidRDefault="00D24E61">
      <w:pPr>
        <w:spacing w:line="308" w:lineRule="auto"/>
        <w:ind w:right="60"/>
        <w:jc w:val="both"/>
        <w:rPr>
          <w:sz w:val="20"/>
          <w:szCs w:val="20"/>
        </w:rPr>
      </w:pPr>
      <w:r w:rsidRPr="00771368">
        <w:rPr>
          <w:sz w:val="24"/>
          <w:szCs w:val="24"/>
        </w:rPr>
        <w:t xml:space="preserve">FOUCAULT, M. </w:t>
      </w:r>
      <w:r w:rsidRPr="00771368">
        <w:rPr>
          <w:b/>
          <w:bCs/>
          <w:sz w:val="24"/>
          <w:szCs w:val="24"/>
        </w:rPr>
        <w:t>A História da Sexualidade I:</w:t>
      </w:r>
      <w:r w:rsidRPr="00771368">
        <w:rPr>
          <w:sz w:val="24"/>
          <w:szCs w:val="24"/>
        </w:rPr>
        <w:t xml:space="preserve"> a vontade de saber .Trad. Maria Thereza da Costa Albuquerque e J. A. Guilhon Albuquerque. Rio de Janeiro: Graal, 2001a.</w:t>
      </w:r>
    </w:p>
    <w:p w:rsidR="00D24E61" w:rsidRPr="00771368" w:rsidRDefault="00D24E61">
      <w:pPr>
        <w:spacing w:line="61" w:lineRule="exact"/>
        <w:rPr>
          <w:sz w:val="20"/>
          <w:szCs w:val="20"/>
        </w:rPr>
      </w:pPr>
    </w:p>
    <w:p w:rsidR="00D24E61" w:rsidRPr="00771368" w:rsidRDefault="00D24E61">
      <w:pPr>
        <w:rPr>
          <w:sz w:val="20"/>
          <w:szCs w:val="20"/>
        </w:rPr>
      </w:pPr>
      <w:r w:rsidRPr="00771368">
        <w:rPr>
          <w:sz w:val="24"/>
          <w:szCs w:val="24"/>
        </w:rPr>
        <w:t>___________</w:t>
      </w:r>
      <w:r w:rsidRPr="00771368">
        <w:rPr>
          <w:b/>
          <w:bCs/>
          <w:sz w:val="24"/>
          <w:szCs w:val="24"/>
        </w:rPr>
        <w:t>___</w:t>
      </w:r>
      <w:r w:rsidRPr="00771368">
        <w:rPr>
          <w:sz w:val="24"/>
          <w:szCs w:val="24"/>
        </w:rPr>
        <w:t xml:space="preserve">. </w:t>
      </w:r>
      <w:r w:rsidRPr="00771368">
        <w:rPr>
          <w:b/>
          <w:bCs/>
          <w:sz w:val="24"/>
          <w:szCs w:val="24"/>
        </w:rPr>
        <w:t>Vigiar e punir</w:t>
      </w:r>
      <w:r w:rsidRPr="00771368">
        <w:rPr>
          <w:sz w:val="24"/>
          <w:szCs w:val="24"/>
        </w:rPr>
        <w:t>. Petrópolis: Vozes, 2001b.</w:t>
      </w:r>
    </w:p>
    <w:p w:rsidR="00D24E61" w:rsidRPr="00771368" w:rsidRDefault="00D24E61">
      <w:pPr>
        <w:spacing w:line="195" w:lineRule="exact"/>
        <w:rPr>
          <w:sz w:val="20"/>
          <w:szCs w:val="20"/>
        </w:rPr>
      </w:pPr>
    </w:p>
    <w:p w:rsidR="00D24E61" w:rsidRPr="00771368" w:rsidRDefault="00D24E61">
      <w:pPr>
        <w:spacing w:line="334" w:lineRule="auto"/>
        <w:ind w:right="40"/>
        <w:jc w:val="both"/>
        <w:rPr>
          <w:sz w:val="20"/>
          <w:szCs w:val="20"/>
        </w:rPr>
      </w:pPr>
      <w:r w:rsidRPr="00771368">
        <w:rPr>
          <w:sz w:val="24"/>
          <w:szCs w:val="24"/>
        </w:rPr>
        <w:t xml:space="preserve">______________. O sujeito e o poder. </w:t>
      </w:r>
      <w:r w:rsidRPr="00D61223">
        <w:rPr>
          <w:sz w:val="24"/>
          <w:szCs w:val="24"/>
          <w:lang w:val="en-US"/>
        </w:rPr>
        <w:t xml:space="preserve">In: RABINOW, Paul; DREYFUS, Hubert. </w:t>
      </w:r>
      <w:r w:rsidRPr="00771368">
        <w:rPr>
          <w:b/>
          <w:bCs/>
          <w:sz w:val="24"/>
          <w:szCs w:val="24"/>
        </w:rPr>
        <w:t>Michel</w:t>
      </w:r>
      <w:r w:rsidRPr="00771368">
        <w:rPr>
          <w:sz w:val="24"/>
          <w:szCs w:val="24"/>
        </w:rPr>
        <w:t xml:space="preserve"> </w:t>
      </w:r>
      <w:r w:rsidRPr="00771368">
        <w:rPr>
          <w:b/>
          <w:bCs/>
          <w:sz w:val="24"/>
          <w:szCs w:val="24"/>
        </w:rPr>
        <w:t xml:space="preserve">Foucault </w:t>
      </w:r>
      <w:r w:rsidRPr="00771368">
        <w:rPr>
          <w:sz w:val="24"/>
          <w:szCs w:val="24"/>
        </w:rPr>
        <w:t>- Uma trajetória filosófica: para além do estruturalismo e da hermenêutica. Trad.</w:t>
      </w:r>
      <w:r w:rsidRPr="00771368">
        <w:rPr>
          <w:b/>
          <w:bCs/>
          <w:sz w:val="24"/>
          <w:szCs w:val="24"/>
        </w:rPr>
        <w:t xml:space="preserve"> </w:t>
      </w:r>
      <w:r w:rsidRPr="00771368">
        <w:rPr>
          <w:sz w:val="24"/>
          <w:szCs w:val="24"/>
        </w:rPr>
        <w:t>Vera Porto Carrero. Rio de Janeiro: Forense Universitária, 1995.</w:t>
      </w:r>
    </w:p>
    <w:p w:rsidR="00D24E61" w:rsidRPr="00771368" w:rsidRDefault="00D24E61">
      <w:pPr>
        <w:spacing w:line="91" w:lineRule="exact"/>
        <w:rPr>
          <w:sz w:val="20"/>
          <w:szCs w:val="20"/>
        </w:rPr>
      </w:pPr>
    </w:p>
    <w:p w:rsidR="00D24E61" w:rsidRPr="00771368" w:rsidRDefault="00D24E61">
      <w:pPr>
        <w:spacing w:line="334" w:lineRule="auto"/>
        <w:jc w:val="both"/>
        <w:rPr>
          <w:sz w:val="20"/>
          <w:szCs w:val="20"/>
        </w:rPr>
      </w:pPr>
      <w:r w:rsidRPr="00771368">
        <w:rPr>
          <w:sz w:val="24"/>
          <w:szCs w:val="24"/>
        </w:rPr>
        <w:t xml:space="preserve">_______________. </w:t>
      </w:r>
      <w:r w:rsidRPr="00771368">
        <w:rPr>
          <w:b/>
          <w:bCs/>
          <w:sz w:val="24"/>
          <w:szCs w:val="24"/>
        </w:rPr>
        <w:t>A Ordem do Discurso</w:t>
      </w:r>
      <w:r w:rsidRPr="00771368">
        <w:rPr>
          <w:sz w:val="24"/>
          <w:szCs w:val="24"/>
        </w:rPr>
        <w:t>: Aula inaugural do Collège De France, promulgada em 12 de Dezembro de 1970. 14ª edição. Trad. Laura Fraga de Almeida Sampaio. São Paulo: Loyola, 2006.</w:t>
      </w:r>
    </w:p>
    <w:p w:rsidR="00D24E61" w:rsidRPr="00771368" w:rsidRDefault="00D24E61">
      <w:pPr>
        <w:spacing w:line="89" w:lineRule="exact"/>
        <w:rPr>
          <w:sz w:val="20"/>
          <w:szCs w:val="20"/>
        </w:rPr>
      </w:pPr>
    </w:p>
    <w:p w:rsidR="00D24E61" w:rsidRPr="00771368" w:rsidRDefault="00D24E61">
      <w:pPr>
        <w:spacing w:line="310" w:lineRule="auto"/>
        <w:ind w:right="60"/>
        <w:jc w:val="both"/>
        <w:rPr>
          <w:sz w:val="20"/>
          <w:szCs w:val="20"/>
        </w:rPr>
      </w:pPr>
      <w:r w:rsidRPr="00771368">
        <w:rPr>
          <w:sz w:val="24"/>
          <w:szCs w:val="24"/>
        </w:rPr>
        <w:t xml:space="preserve">_______________. </w:t>
      </w:r>
      <w:r w:rsidRPr="00771368">
        <w:rPr>
          <w:b/>
          <w:bCs/>
          <w:sz w:val="24"/>
          <w:szCs w:val="24"/>
        </w:rPr>
        <w:t>As palavras e as coisas</w:t>
      </w:r>
      <w:r w:rsidRPr="00771368">
        <w:rPr>
          <w:sz w:val="24"/>
          <w:szCs w:val="24"/>
        </w:rPr>
        <w:t>: uma arqueologia das ciências humanas. São Paulo: Martins Fontes, 2002.</w:t>
      </w:r>
    </w:p>
    <w:p w:rsidR="00D24E61" w:rsidRPr="00771368" w:rsidRDefault="00D24E61">
      <w:pPr>
        <w:spacing w:line="57" w:lineRule="exact"/>
        <w:rPr>
          <w:sz w:val="20"/>
          <w:szCs w:val="20"/>
        </w:rPr>
      </w:pPr>
    </w:p>
    <w:p w:rsidR="00D24E61" w:rsidRPr="00771368" w:rsidRDefault="00D24E61">
      <w:pPr>
        <w:rPr>
          <w:sz w:val="20"/>
          <w:szCs w:val="20"/>
        </w:rPr>
      </w:pPr>
      <w:r w:rsidRPr="00771368">
        <w:rPr>
          <w:sz w:val="24"/>
          <w:szCs w:val="24"/>
        </w:rPr>
        <w:t xml:space="preserve">_______________. </w:t>
      </w:r>
      <w:r w:rsidRPr="00771368">
        <w:rPr>
          <w:b/>
          <w:bCs/>
          <w:sz w:val="24"/>
          <w:szCs w:val="24"/>
        </w:rPr>
        <w:t>Microfísica do Poder</w:t>
      </w:r>
      <w:r w:rsidRPr="00771368">
        <w:rPr>
          <w:sz w:val="24"/>
          <w:szCs w:val="24"/>
        </w:rPr>
        <w:t>. Rio de Janeiro. Graal, 1979.</w:t>
      </w:r>
    </w:p>
    <w:p w:rsidR="00D24E61" w:rsidRPr="00771368" w:rsidRDefault="00D24E61">
      <w:pPr>
        <w:spacing w:line="197" w:lineRule="exact"/>
        <w:rPr>
          <w:sz w:val="20"/>
          <w:szCs w:val="20"/>
        </w:rPr>
      </w:pPr>
    </w:p>
    <w:p w:rsidR="00D24E61" w:rsidRPr="00771368" w:rsidRDefault="00D24E61">
      <w:pPr>
        <w:spacing w:line="342" w:lineRule="auto"/>
        <w:ind w:right="60"/>
        <w:jc w:val="both"/>
        <w:rPr>
          <w:sz w:val="20"/>
          <w:szCs w:val="20"/>
        </w:rPr>
      </w:pPr>
      <w:r w:rsidRPr="00771368">
        <w:rPr>
          <w:sz w:val="24"/>
          <w:szCs w:val="24"/>
        </w:rPr>
        <w:t xml:space="preserve">_______________. (1984) A Ética do Cuidado de Si como Prática da Liberdade. In: RABINOW, Paul; DREYFUS, Hubert. </w:t>
      </w:r>
      <w:r w:rsidRPr="00771368">
        <w:rPr>
          <w:b/>
          <w:bCs/>
          <w:sz w:val="24"/>
          <w:szCs w:val="24"/>
        </w:rPr>
        <w:t>Michel Foucault</w:t>
      </w:r>
      <w:r w:rsidRPr="00771368">
        <w:rPr>
          <w:sz w:val="24"/>
          <w:szCs w:val="24"/>
        </w:rPr>
        <w:t xml:space="preserve"> - Uma trajetória filosófica: para além do estruturalismo e da hermenêutica. Trad. Vera Porto Carrero. Rio de Janeiro: Forense Universitária, 1995.</w:t>
      </w:r>
    </w:p>
    <w:p w:rsidR="00D24E61" w:rsidRPr="00771368" w:rsidRDefault="00D24E61">
      <w:pPr>
        <w:spacing w:line="83" w:lineRule="exact"/>
        <w:rPr>
          <w:sz w:val="20"/>
          <w:szCs w:val="20"/>
        </w:rPr>
      </w:pPr>
    </w:p>
    <w:p w:rsidR="00D24E61" w:rsidRPr="00771368" w:rsidRDefault="00D24E61">
      <w:pPr>
        <w:spacing w:line="342" w:lineRule="auto"/>
        <w:ind w:right="60"/>
        <w:jc w:val="both"/>
        <w:rPr>
          <w:sz w:val="20"/>
          <w:szCs w:val="20"/>
        </w:rPr>
      </w:pPr>
      <w:r w:rsidRPr="00771368">
        <w:rPr>
          <w:sz w:val="24"/>
          <w:szCs w:val="24"/>
        </w:rPr>
        <w:t xml:space="preserve">GALLO, Sílvio Donizetti de Oliveira; VEIGA-NETO, Alfredo. Michel Foucault: a descolonização do pensamento. In: REGO, Teresa Cristina (Org). </w:t>
      </w:r>
      <w:r w:rsidRPr="00771368">
        <w:rPr>
          <w:b/>
          <w:bCs/>
          <w:sz w:val="24"/>
          <w:szCs w:val="24"/>
        </w:rPr>
        <w:t>Memória, História e</w:t>
      </w:r>
      <w:r w:rsidRPr="00771368">
        <w:rPr>
          <w:sz w:val="24"/>
          <w:szCs w:val="24"/>
        </w:rPr>
        <w:t xml:space="preserve"> </w:t>
      </w:r>
      <w:r w:rsidRPr="00771368">
        <w:rPr>
          <w:b/>
          <w:bCs/>
          <w:sz w:val="24"/>
          <w:szCs w:val="24"/>
        </w:rPr>
        <w:t>Escolarização</w:t>
      </w:r>
      <w:r w:rsidRPr="00771368">
        <w:rPr>
          <w:sz w:val="24"/>
          <w:szCs w:val="24"/>
        </w:rPr>
        <w:t>. Petrópolis, RJ: Vozes; São Paulo, SP: Revista Educação; Ed. Segmento, 2011.</w:t>
      </w:r>
      <w:r w:rsidRPr="00771368">
        <w:rPr>
          <w:b/>
          <w:bCs/>
          <w:sz w:val="24"/>
          <w:szCs w:val="24"/>
        </w:rPr>
        <w:t xml:space="preserve"> </w:t>
      </w:r>
      <w:r w:rsidRPr="00771368">
        <w:rPr>
          <w:sz w:val="24"/>
          <w:szCs w:val="24"/>
        </w:rPr>
        <w:t>(Coleção Pedagogia Contemporânea).</w:t>
      </w:r>
    </w:p>
    <w:p w:rsidR="00D24E61" w:rsidRPr="00771368" w:rsidRDefault="00D24E61">
      <w:pPr>
        <w:spacing w:line="83" w:lineRule="exact"/>
        <w:rPr>
          <w:sz w:val="20"/>
          <w:szCs w:val="20"/>
        </w:rPr>
      </w:pPr>
    </w:p>
    <w:p w:rsidR="00D24E61" w:rsidRPr="00771368" w:rsidRDefault="00D24E61">
      <w:pPr>
        <w:spacing w:line="308" w:lineRule="auto"/>
        <w:ind w:right="40"/>
        <w:jc w:val="both"/>
        <w:rPr>
          <w:sz w:val="20"/>
          <w:szCs w:val="20"/>
        </w:rPr>
      </w:pPr>
      <w:r w:rsidRPr="00771368">
        <w:rPr>
          <w:sz w:val="24"/>
          <w:szCs w:val="24"/>
        </w:rPr>
        <w:t xml:space="preserve">LE GOFF, Jacques. </w:t>
      </w:r>
      <w:r w:rsidRPr="00771368">
        <w:rPr>
          <w:b/>
          <w:bCs/>
          <w:sz w:val="24"/>
          <w:szCs w:val="24"/>
        </w:rPr>
        <w:t>História e memória</w:t>
      </w:r>
      <w:r w:rsidRPr="00771368">
        <w:rPr>
          <w:sz w:val="24"/>
          <w:szCs w:val="24"/>
        </w:rPr>
        <w:t>. Trad. Bernardo Leitão. 5ª ed. Campinas-SP: Editora da Unicamp, 2003.</w:t>
      </w:r>
    </w:p>
    <w:p w:rsidR="00D24E61" w:rsidRPr="00771368" w:rsidRDefault="00D24E61">
      <w:pPr>
        <w:spacing w:line="117" w:lineRule="exact"/>
        <w:rPr>
          <w:sz w:val="20"/>
          <w:szCs w:val="20"/>
        </w:rPr>
      </w:pPr>
    </w:p>
    <w:p w:rsidR="00D24E61" w:rsidRPr="00771368" w:rsidRDefault="00D24E61">
      <w:pPr>
        <w:spacing w:line="310" w:lineRule="auto"/>
        <w:ind w:right="60"/>
        <w:jc w:val="both"/>
        <w:rPr>
          <w:sz w:val="20"/>
          <w:szCs w:val="20"/>
        </w:rPr>
      </w:pPr>
      <w:r w:rsidRPr="00771368">
        <w:rPr>
          <w:sz w:val="24"/>
          <w:szCs w:val="24"/>
        </w:rPr>
        <w:t xml:space="preserve">LOMBARDI, J. C. e NASCIMENTO, M. I. M. (Org.) </w:t>
      </w:r>
      <w:r w:rsidRPr="00771368">
        <w:rPr>
          <w:b/>
          <w:bCs/>
          <w:sz w:val="24"/>
          <w:szCs w:val="24"/>
        </w:rPr>
        <w:t>Fontes, História e Historiografia da</w:t>
      </w:r>
      <w:r w:rsidRPr="00771368">
        <w:rPr>
          <w:sz w:val="24"/>
          <w:szCs w:val="24"/>
        </w:rPr>
        <w:t xml:space="preserve"> </w:t>
      </w:r>
      <w:r w:rsidRPr="00771368">
        <w:rPr>
          <w:b/>
          <w:bCs/>
          <w:sz w:val="24"/>
          <w:szCs w:val="24"/>
        </w:rPr>
        <w:t>Educação</w:t>
      </w:r>
      <w:r w:rsidRPr="00771368">
        <w:rPr>
          <w:sz w:val="24"/>
          <w:szCs w:val="24"/>
        </w:rPr>
        <w:t>. Campinas: Autores associados, 2004.</w:t>
      </w:r>
    </w:p>
    <w:p w:rsidR="00D24E61" w:rsidRPr="00771368" w:rsidRDefault="00D24E61">
      <w:pPr>
        <w:spacing w:line="115" w:lineRule="exact"/>
        <w:rPr>
          <w:sz w:val="20"/>
          <w:szCs w:val="20"/>
        </w:rPr>
      </w:pPr>
    </w:p>
    <w:p w:rsidR="00D24E61" w:rsidRPr="00771368" w:rsidRDefault="00D24E61">
      <w:pPr>
        <w:spacing w:line="310" w:lineRule="auto"/>
        <w:ind w:right="40"/>
        <w:jc w:val="both"/>
        <w:rPr>
          <w:sz w:val="20"/>
          <w:szCs w:val="20"/>
        </w:rPr>
      </w:pPr>
      <w:r w:rsidRPr="00771368">
        <w:rPr>
          <w:sz w:val="24"/>
          <w:szCs w:val="24"/>
        </w:rPr>
        <w:t xml:space="preserve">LOURO, Guacira Lopes. </w:t>
      </w:r>
      <w:r w:rsidRPr="00771368">
        <w:rPr>
          <w:b/>
          <w:bCs/>
          <w:sz w:val="24"/>
          <w:szCs w:val="24"/>
        </w:rPr>
        <w:t>Gênero, Sexualidade e Educação</w:t>
      </w:r>
      <w:r w:rsidRPr="00771368">
        <w:rPr>
          <w:sz w:val="24"/>
          <w:szCs w:val="24"/>
        </w:rPr>
        <w:t>: Uma perspectiva Pós-estruturalista. Petrópoles, RJ: Vozes, 2008a.</w:t>
      </w:r>
    </w:p>
    <w:p w:rsidR="00D24E61" w:rsidRPr="00771368" w:rsidRDefault="00D24E61">
      <w:pPr>
        <w:spacing w:line="116" w:lineRule="exact"/>
        <w:rPr>
          <w:sz w:val="20"/>
          <w:szCs w:val="20"/>
        </w:rPr>
      </w:pPr>
    </w:p>
    <w:p w:rsidR="00D24E61" w:rsidRPr="00771368" w:rsidRDefault="00D24E61">
      <w:pPr>
        <w:spacing w:line="310" w:lineRule="auto"/>
        <w:ind w:right="40"/>
        <w:jc w:val="both"/>
        <w:rPr>
          <w:sz w:val="20"/>
          <w:szCs w:val="20"/>
        </w:rPr>
      </w:pPr>
      <w:r w:rsidRPr="00771368">
        <w:rPr>
          <w:sz w:val="24"/>
          <w:szCs w:val="24"/>
        </w:rPr>
        <w:t xml:space="preserve">_____________________. </w:t>
      </w:r>
      <w:r w:rsidRPr="00771368">
        <w:rPr>
          <w:b/>
          <w:bCs/>
          <w:sz w:val="24"/>
          <w:szCs w:val="24"/>
        </w:rPr>
        <w:t>Gênero e Sexualidade</w:t>
      </w:r>
      <w:r w:rsidRPr="00771368">
        <w:rPr>
          <w:sz w:val="24"/>
          <w:szCs w:val="24"/>
        </w:rPr>
        <w:t>: Pedagogias Contemporâneas. Pro-posições, v. 19, n°2 (56), mai/ago, 2008b.</w:t>
      </w:r>
    </w:p>
    <w:p w:rsidR="00D24E61" w:rsidRPr="00771368" w:rsidRDefault="00D24E61">
      <w:pPr>
        <w:spacing w:line="115" w:lineRule="exact"/>
        <w:rPr>
          <w:sz w:val="20"/>
          <w:szCs w:val="20"/>
        </w:rPr>
      </w:pPr>
    </w:p>
    <w:p w:rsidR="00D24E61" w:rsidRPr="00771368" w:rsidRDefault="00D24E61">
      <w:pPr>
        <w:spacing w:line="310" w:lineRule="auto"/>
        <w:ind w:right="60"/>
        <w:jc w:val="both"/>
        <w:rPr>
          <w:sz w:val="20"/>
          <w:szCs w:val="20"/>
        </w:rPr>
      </w:pPr>
      <w:r w:rsidRPr="00771368">
        <w:rPr>
          <w:sz w:val="24"/>
          <w:szCs w:val="24"/>
        </w:rPr>
        <w:t xml:space="preserve">_____________________. História e Educação: Construção e desconstrução. </w:t>
      </w:r>
      <w:r w:rsidRPr="00771368">
        <w:rPr>
          <w:b/>
          <w:bCs/>
          <w:sz w:val="24"/>
          <w:szCs w:val="24"/>
        </w:rPr>
        <w:t>Educação e</w:t>
      </w:r>
      <w:r w:rsidRPr="00771368">
        <w:rPr>
          <w:sz w:val="24"/>
          <w:szCs w:val="24"/>
        </w:rPr>
        <w:t xml:space="preserve"> </w:t>
      </w:r>
      <w:r w:rsidRPr="00771368">
        <w:rPr>
          <w:b/>
          <w:bCs/>
          <w:sz w:val="24"/>
          <w:szCs w:val="24"/>
        </w:rPr>
        <w:t xml:space="preserve">Realidade. </w:t>
      </w:r>
      <w:r w:rsidRPr="00771368">
        <w:rPr>
          <w:sz w:val="24"/>
          <w:szCs w:val="24"/>
        </w:rPr>
        <w:t>vol. 20 (2), jul/dez. 1995.</w:t>
      </w:r>
    </w:p>
    <w:p w:rsidR="00D24E61" w:rsidRPr="00771368" w:rsidRDefault="00D24E61">
      <w:pPr>
        <w:spacing w:line="115" w:lineRule="exact"/>
        <w:rPr>
          <w:sz w:val="20"/>
          <w:szCs w:val="20"/>
        </w:rPr>
      </w:pPr>
    </w:p>
    <w:p w:rsidR="00D24E61" w:rsidRPr="00771368" w:rsidRDefault="00D24E61">
      <w:pPr>
        <w:spacing w:line="310" w:lineRule="auto"/>
        <w:ind w:right="60"/>
        <w:jc w:val="both"/>
        <w:rPr>
          <w:sz w:val="20"/>
          <w:szCs w:val="20"/>
        </w:rPr>
      </w:pPr>
      <w:r w:rsidRPr="00771368">
        <w:rPr>
          <w:sz w:val="24"/>
          <w:szCs w:val="24"/>
        </w:rPr>
        <w:t xml:space="preserve">_____________________. Produzindo Sujeitos Masculinos. In: COSTA, Marisa Vorraber. </w:t>
      </w:r>
      <w:r w:rsidRPr="00771368">
        <w:rPr>
          <w:b/>
          <w:bCs/>
          <w:sz w:val="24"/>
          <w:szCs w:val="24"/>
        </w:rPr>
        <w:t>O</w:t>
      </w:r>
      <w:r w:rsidRPr="00771368">
        <w:rPr>
          <w:sz w:val="24"/>
          <w:szCs w:val="24"/>
        </w:rPr>
        <w:t xml:space="preserve"> </w:t>
      </w:r>
      <w:r w:rsidRPr="00771368">
        <w:rPr>
          <w:b/>
          <w:bCs/>
          <w:sz w:val="24"/>
          <w:szCs w:val="24"/>
        </w:rPr>
        <w:t>currículo nos limiares do contemporâneo</w:t>
      </w:r>
      <w:r w:rsidRPr="00771368">
        <w:rPr>
          <w:sz w:val="24"/>
          <w:szCs w:val="24"/>
        </w:rPr>
        <w:t>. Belo Horizonte: Autentica 1998.</w:t>
      </w:r>
    </w:p>
    <w:p w:rsidR="00D24E61" w:rsidRPr="00771368" w:rsidRDefault="00D24E61">
      <w:pPr>
        <w:spacing w:line="157" w:lineRule="exact"/>
        <w:rPr>
          <w:sz w:val="20"/>
          <w:szCs w:val="20"/>
        </w:rPr>
      </w:pPr>
    </w:p>
    <w:p w:rsidR="00D24E61" w:rsidRPr="00771368" w:rsidRDefault="00D24E61">
      <w:pPr>
        <w:spacing w:line="29" w:lineRule="exact"/>
        <w:rPr>
          <w:sz w:val="20"/>
          <w:szCs w:val="20"/>
        </w:rPr>
      </w:pPr>
    </w:p>
    <w:p w:rsidR="00D24E61" w:rsidRPr="00771368" w:rsidRDefault="00D24E61">
      <w:pPr>
        <w:spacing w:line="308" w:lineRule="auto"/>
        <w:rPr>
          <w:sz w:val="20"/>
          <w:szCs w:val="20"/>
        </w:rPr>
      </w:pPr>
      <w:r w:rsidRPr="00771368">
        <w:rPr>
          <w:sz w:val="24"/>
          <w:szCs w:val="24"/>
        </w:rPr>
        <w:t xml:space="preserve">__________________. História e Educação: Construção e desconstrução. </w:t>
      </w:r>
      <w:r w:rsidRPr="00771368">
        <w:rPr>
          <w:b/>
          <w:bCs/>
          <w:sz w:val="24"/>
          <w:szCs w:val="24"/>
        </w:rPr>
        <w:t>Educação e</w:t>
      </w:r>
      <w:r w:rsidRPr="00771368">
        <w:rPr>
          <w:sz w:val="24"/>
          <w:szCs w:val="24"/>
        </w:rPr>
        <w:t xml:space="preserve"> </w:t>
      </w:r>
      <w:r w:rsidRPr="00771368">
        <w:rPr>
          <w:b/>
          <w:bCs/>
          <w:sz w:val="24"/>
          <w:szCs w:val="24"/>
        </w:rPr>
        <w:t xml:space="preserve">Realidade. </w:t>
      </w:r>
      <w:r w:rsidRPr="00771368">
        <w:rPr>
          <w:sz w:val="24"/>
          <w:szCs w:val="24"/>
        </w:rPr>
        <w:t>vol. 20 (2), jul/dez. 1995.</w:t>
      </w:r>
    </w:p>
    <w:p w:rsidR="00D24E61" w:rsidRPr="00771368" w:rsidRDefault="00D24E61">
      <w:pPr>
        <w:spacing w:line="62" w:lineRule="exact"/>
        <w:rPr>
          <w:sz w:val="20"/>
          <w:szCs w:val="20"/>
        </w:rPr>
      </w:pPr>
    </w:p>
    <w:p w:rsidR="00D24E61" w:rsidRPr="00771368" w:rsidRDefault="00D24E61">
      <w:pPr>
        <w:rPr>
          <w:sz w:val="20"/>
          <w:szCs w:val="20"/>
        </w:rPr>
      </w:pPr>
      <w:r w:rsidRPr="00771368">
        <w:rPr>
          <w:sz w:val="24"/>
          <w:szCs w:val="24"/>
        </w:rPr>
        <w:t>__________________.  Uma leitura da História da Educação sob a perspectiva do gênero. In:</w:t>
      </w:r>
    </w:p>
    <w:p w:rsidR="00D24E61" w:rsidRPr="00771368" w:rsidRDefault="00D24E61">
      <w:pPr>
        <w:spacing w:line="137" w:lineRule="exact"/>
        <w:rPr>
          <w:sz w:val="20"/>
          <w:szCs w:val="20"/>
        </w:rPr>
      </w:pPr>
    </w:p>
    <w:p w:rsidR="00D24E61" w:rsidRPr="00771368" w:rsidRDefault="00D24E61">
      <w:pPr>
        <w:rPr>
          <w:sz w:val="20"/>
          <w:szCs w:val="20"/>
        </w:rPr>
      </w:pPr>
      <w:r w:rsidRPr="00771368">
        <w:rPr>
          <w:b/>
          <w:bCs/>
          <w:sz w:val="24"/>
          <w:szCs w:val="24"/>
        </w:rPr>
        <w:t>Teoria &amp; Educação</w:t>
      </w:r>
      <w:r w:rsidRPr="00771368">
        <w:rPr>
          <w:sz w:val="24"/>
          <w:szCs w:val="24"/>
        </w:rPr>
        <w:t>. Porto Alegre: Pannonica, nº 6, pp. 1992, p. 53-67.</w:t>
      </w:r>
    </w:p>
    <w:p w:rsidR="00D24E61" w:rsidRPr="00771368" w:rsidRDefault="00D24E61">
      <w:pPr>
        <w:spacing w:line="197" w:lineRule="exact"/>
        <w:rPr>
          <w:sz w:val="20"/>
          <w:szCs w:val="20"/>
        </w:rPr>
      </w:pPr>
    </w:p>
    <w:p w:rsidR="00D24E61" w:rsidRPr="00771368" w:rsidRDefault="00D24E61">
      <w:pPr>
        <w:spacing w:line="351" w:lineRule="auto"/>
        <w:ind w:right="20"/>
        <w:rPr>
          <w:sz w:val="20"/>
          <w:szCs w:val="20"/>
        </w:rPr>
      </w:pPr>
      <w:r w:rsidRPr="00771368">
        <w:rPr>
          <w:sz w:val="24"/>
          <w:szCs w:val="24"/>
        </w:rPr>
        <w:t xml:space="preserve">MENEZES, Maria Cristina; Eva Cristina Leite da; TEIXEIRA JÚNIOR, Oscar. O Arquivo escolar: lugar da memória, lugar da história. </w:t>
      </w:r>
      <w:r w:rsidRPr="00771368">
        <w:rPr>
          <w:b/>
          <w:bCs/>
          <w:sz w:val="24"/>
          <w:szCs w:val="24"/>
        </w:rPr>
        <w:t>Horizontes</w:t>
      </w:r>
      <w:r w:rsidRPr="00771368">
        <w:rPr>
          <w:sz w:val="24"/>
          <w:szCs w:val="24"/>
        </w:rPr>
        <w:t xml:space="preserve">. V.16, n.1, p. 67-78, jan/jun, 2005. NICOLAU, Fabiana. Moços para a pátria e para a Igreja: A produção de sujeitos nos enunciados da ped agogia salesiana. In: </w:t>
      </w:r>
      <w:r w:rsidRPr="00771368">
        <w:rPr>
          <w:b/>
          <w:bCs/>
          <w:sz w:val="24"/>
          <w:szCs w:val="24"/>
        </w:rPr>
        <w:t>Anais do IV Congresso Brasileiro da História da</w:t>
      </w:r>
      <w:r w:rsidRPr="00771368">
        <w:rPr>
          <w:sz w:val="24"/>
          <w:szCs w:val="24"/>
        </w:rPr>
        <w:t xml:space="preserve"> </w:t>
      </w:r>
      <w:r w:rsidRPr="00771368">
        <w:rPr>
          <w:b/>
          <w:bCs/>
          <w:sz w:val="24"/>
          <w:szCs w:val="24"/>
        </w:rPr>
        <w:t>Educação</w:t>
      </w:r>
      <w:r w:rsidRPr="00771368">
        <w:rPr>
          <w:sz w:val="24"/>
          <w:szCs w:val="24"/>
        </w:rPr>
        <w:t>: A Educação e seus Sujeitos na História. Goiás, 2005 (p.1-10). Disponível em:</w:t>
      </w:r>
      <w:r w:rsidRPr="00771368">
        <w:rPr>
          <w:b/>
          <w:bCs/>
          <w:sz w:val="24"/>
          <w:szCs w:val="24"/>
        </w:rPr>
        <w:t xml:space="preserve"> </w:t>
      </w:r>
      <w:r w:rsidRPr="00771368">
        <w:rPr>
          <w:sz w:val="24"/>
          <w:szCs w:val="24"/>
        </w:rPr>
        <w:t>http://www.sbhe.org.br/novo/congressos/cbhe4/individuaiscoautorais/eixo03/FabianaNicolau-texto pdf. Acesso em 25/04 /2013.</w:t>
      </w:r>
    </w:p>
    <w:p w:rsidR="00D24E61" w:rsidRPr="00771368" w:rsidRDefault="00D24E61">
      <w:pPr>
        <w:spacing w:line="14" w:lineRule="exact"/>
        <w:rPr>
          <w:sz w:val="20"/>
          <w:szCs w:val="20"/>
        </w:rPr>
      </w:pPr>
    </w:p>
    <w:p w:rsidR="00D24E61" w:rsidRPr="00771368" w:rsidRDefault="00D24E61">
      <w:pPr>
        <w:rPr>
          <w:sz w:val="20"/>
          <w:szCs w:val="20"/>
        </w:rPr>
      </w:pPr>
      <w:r w:rsidRPr="00771368">
        <w:rPr>
          <w:sz w:val="24"/>
          <w:szCs w:val="24"/>
        </w:rPr>
        <w:t>NUNES,  Antonieta  d’Aguiar.  Trabalhando  Com  Arquivos  em  História  da  Educção.  In:</w:t>
      </w:r>
    </w:p>
    <w:p w:rsidR="00D24E61" w:rsidRPr="00771368" w:rsidRDefault="00D24E61">
      <w:pPr>
        <w:spacing w:line="197" w:lineRule="exact"/>
        <w:rPr>
          <w:sz w:val="20"/>
          <w:szCs w:val="20"/>
        </w:rPr>
      </w:pPr>
    </w:p>
    <w:p w:rsidR="00D24E61" w:rsidRPr="00771368" w:rsidRDefault="00D24E61">
      <w:pPr>
        <w:spacing w:line="308" w:lineRule="auto"/>
        <w:ind w:right="20"/>
        <w:jc w:val="both"/>
        <w:rPr>
          <w:sz w:val="20"/>
          <w:szCs w:val="20"/>
        </w:rPr>
      </w:pPr>
      <w:r w:rsidRPr="00771368">
        <w:rPr>
          <w:sz w:val="24"/>
          <w:szCs w:val="24"/>
        </w:rPr>
        <w:t xml:space="preserve">CAVALCANTE, Maria Juraci Maia. </w:t>
      </w:r>
      <w:r w:rsidRPr="00771368">
        <w:rPr>
          <w:b/>
          <w:bCs/>
          <w:sz w:val="24"/>
          <w:szCs w:val="24"/>
        </w:rPr>
        <w:t>História da Educação</w:t>
      </w:r>
      <w:r w:rsidRPr="00771368">
        <w:rPr>
          <w:sz w:val="24"/>
          <w:szCs w:val="24"/>
        </w:rPr>
        <w:t xml:space="preserve"> – Vitrais de Memórias: Lugares, imagens e práticas culturais. Fortaleza: Ed. UFC, 2008.</w:t>
      </w:r>
    </w:p>
    <w:p w:rsidR="00D24E61" w:rsidRPr="00771368" w:rsidRDefault="00D24E61">
      <w:pPr>
        <w:spacing w:line="120" w:lineRule="exact"/>
        <w:rPr>
          <w:sz w:val="20"/>
          <w:szCs w:val="20"/>
        </w:rPr>
      </w:pPr>
    </w:p>
    <w:p w:rsidR="00D24E61" w:rsidRPr="00771368" w:rsidRDefault="00D24E61">
      <w:pPr>
        <w:spacing w:line="334" w:lineRule="auto"/>
        <w:ind w:right="20"/>
        <w:jc w:val="both"/>
        <w:rPr>
          <w:sz w:val="20"/>
          <w:szCs w:val="20"/>
        </w:rPr>
      </w:pPr>
      <w:r w:rsidRPr="00771368">
        <w:rPr>
          <w:sz w:val="24"/>
          <w:szCs w:val="24"/>
        </w:rPr>
        <w:t xml:space="preserve">PEREIRA, Maria Aparecida Franco. Uma Abordagem das Instituições Educacionais: a importância do arquivo escolar. </w:t>
      </w:r>
      <w:r w:rsidRPr="00771368">
        <w:rPr>
          <w:b/>
          <w:bCs/>
          <w:sz w:val="24"/>
          <w:szCs w:val="24"/>
        </w:rPr>
        <w:t>Educação Unisinos</w:t>
      </w:r>
      <w:r w:rsidRPr="00771368">
        <w:rPr>
          <w:sz w:val="24"/>
          <w:szCs w:val="24"/>
        </w:rPr>
        <w:t>. São Leopoldo, RS, v.11, n.2, p.85-90, maio/ago. 2007.</w:t>
      </w:r>
    </w:p>
    <w:p w:rsidR="00D24E61" w:rsidRPr="00771368" w:rsidRDefault="00D24E61">
      <w:pPr>
        <w:spacing w:line="30" w:lineRule="exact"/>
        <w:rPr>
          <w:sz w:val="20"/>
          <w:szCs w:val="20"/>
        </w:rPr>
      </w:pPr>
    </w:p>
    <w:p w:rsidR="00D24E61" w:rsidRPr="00771368" w:rsidRDefault="00D24E61">
      <w:pPr>
        <w:rPr>
          <w:sz w:val="20"/>
          <w:szCs w:val="20"/>
        </w:rPr>
      </w:pPr>
      <w:r w:rsidRPr="00771368">
        <w:rPr>
          <w:sz w:val="24"/>
          <w:szCs w:val="24"/>
        </w:rPr>
        <w:t>POGREBINSCHI, THAMY. Foucault, Para além do Poder Disciplinar e do Biopoder. In:</w:t>
      </w:r>
    </w:p>
    <w:p w:rsidR="00D24E61" w:rsidRPr="00771368" w:rsidRDefault="00D24E61">
      <w:pPr>
        <w:spacing w:line="140" w:lineRule="exact"/>
        <w:rPr>
          <w:sz w:val="20"/>
          <w:szCs w:val="20"/>
        </w:rPr>
      </w:pPr>
    </w:p>
    <w:p w:rsidR="00D24E61" w:rsidRPr="00771368" w:rsidRDefault="00D24E61">
      <w:pPr>
        <w:rPr>
          <w:sz w:val="20"/>
          <w:szCs w:val="20"/>
        </w:rPr>
      </w:pPr>
      <w:r w:rsidRPr="00771368">
        <w:rPr>
          <w:b/>
          <w:bCs/>
          <w:sz w:val="24"/>
          <w:szCs w:val="24"/>
        </w:rPr>
        <w:t xml:space="preserve">Lua Nova </w:t>
      </w:r>
      <w:r w:rsidRPr="00771368">
        <w:rPr>
          <w:sz w:val="24"/>
          <w:szCs w:val="24"/>
        </w:rPr>
        <w:t>–</w:t>
      </w:r>
      <w:r w:rsidRPr="00771368">
        <w:rPr>
          <w:b/>
          <w:bCs/>
          <w:sz w:val="24"/>
          <w:szCs w:val="24"/>
        </w:rPr>
        <w:t xml:space="preserve"> </w:t>
      </w:r>
      <w:r w:rsidRPr="00771368">
        <w:rPr>
          <w:sz w:val="24"/>
          <w:szCs w:val="24"/>
        </w:rPr>
        <w:t>Revista de Cultura e Política. n° 63, p, 179</w:t>
      </w:r>
      <w:r w:rsidRPr="00771368">
        <w:rPr>
          <w:b/>
          <w:bCs/>
          <w:sz w:val="24"/>
          <w:szCs w:val="24"/>
        </w:rPr>
        <w:t xml:space="preserve"> </w:t>
      </w:r>
      <w:r w:rsidRPr="00771368">
        <w:rPr>
          <w:sz w:val="24"/>
          <w:szCs w:val="24"/>
        </w:rPr>
        <w:t>–</w:t>
      </w:r>
      <w:r w:rsidRPr="00771368">
        <w:rPr>
          <w:b/>
          <w:bCs/>
          <w:sz w:val="24"/>
          <w:szCs w:val="24"/>
        </w:rPr>
        <w:t xml:space="preserve"> </w:t>
      </w:r>
      <w:r w:rsidRPr="00771368">
        <w:rPr>
          <w:sz w:val="24"/>
          <w:szCs w:val="24"/>
        </w:rPr>
        <w:t>201. 2004.</w:t>
      </w:r>
    </w:p>
    <w:p w:rsidR="00D24E61" w:rsidRPr="00771368" w:rsidRDefault="00D24E61">
      <w:pPr>
        <w:spacing w:line="195" w:lineRule="exact"/>
        <w:rPr>
          <w:sz w:val="20"/>
          <w:szCs w:val="20"/>
        </w:rPr>
      </w:pPr>
    </w:p>
    <w:p w:rsidR="00D24E61" w:rsidRPr="00771368" w:rsidRDefault="00D24E61">
      <w:pPr>
        <w:spacing w:line="310" w:lineRule="auto"/>
        <w:ind w:right="20"/>
        <w:jc w:val="both"/>
        <w:rPr>
          <w:sz w:val="20"/>
          <w:szCs w:val="20"/>
        </w:rPr>
      </w:pPr>
      <w:r w:rsidRPr="00771368">
        <w:rPr>
          <w:sz w:val="24"/>
          <w:szCs w:val="24"/>
        </w:rPr>
        <w:t xml:space="preserve">RAGAZZINI. Dário. Para quem e o que testemunham as fontes para a história da educação. In: </w:t>
      </w:r>
      <w:r w:rsidRPr="00771368">
        <w:rPr>
          <w:b/>
          <w:bCs/>
          <w:sz w:val="24"/>
          <w:szCs w:val="24"/>
        </w:rPr>
        <w:t>Educar em Revista</w:t>
      </w:r>
      <w:r w:rsidRPr="00771368">
        <w:rPr>
          <w:sz w:val="24"/>
          <w:szCs w:val="24"/>
        </w:rPr>
        <w:t>. N. 18/2001. Curitiba: Editora UFPR, 2001, p. 13-28.</w:t>
      </w:r>
    </w:p>
    <w:p w:rsidR="00D24E61" w:rsidRPr="00771368" w:rsidRDefault="00D24E61">
      <w:pPr>
        <w:spacing w:line="115" w:lineRule="exact"/>
        <w:rPr>
          <w:sz w:val="20"/>
          <w:szCs w:val="20"/>
        </w:rPr>
      </w:pPr>
    </w:p>
    <w:p w:rsidR="00D24E61" w:rsidRPr="00771368" w:rsidRDefault="00D24E61">
      <w:pPr>
        <w:spacing w:line="310" w:lineRule="auto"/>
        <w:jc w:val="both"/>
        <w:rPr>
          <w:sz w:val="20"/>
          <w:szCs w:val="20"/>
        </w:rPr>
      </w:pPr>
      <w:r w:rsidRPr="00771368">
        <w:rPr>
          <w:sz w:val="24"/>
          <w:szCs w:val="24"/>
        </w:rPr>
        <w:t xml:space="preserve">REVEL, Judith. </w:t>
      </w:r>
      <w:r w:rsidRPr="00771368">
        <w:rPr>
          <w:b/>
          <w:bCs/>
          <w:sz w:val="24"/>
          <w:szCs w:val="24"/>
        </w:rPr>
        <w:t>Michel Foucault</w:t>
      </w:r>
      <w:r w:rsidRPr="00771368">
        <w:rPr>
          <w:sz w:val="24"/>
          <w:szCs w:val="24"/>
        </w:rPr>
        <w:t>: conceitos essenciais. Tradução Maria do Rosário Gregolin, Nilton Milanez,Carlo Piovesani. São Carlos: Claraluz, 2005.</w:t>
      </w:r>
    </w:p>
    <w:p w:rsidR="00D24E61" w:rsidRPr="00771368" w:rsidRDefault="00D24E61">
      <w:pPr>
        <w:spacing w:line="115" w:lineRule="exact"/>
        <w:rPr>
          <w:sz w:val="20"/>
          <w:szCs w:val="20"/>
        </w:rPr>
      </w:pPr>
    </w:p>
    <w:p w:rsidR="00D24E61" w:rsidRPr="00771368" w:rsidRDefault="00D24E61">
      <w:pPr>
        <w:spacing w:line="308" w:lineRule="auto"/>
        <w:jc w:val="both"/>
        <w:rPr>
          <w:sz w:val="20"/>
          <w:szCs w:val="20"/>
        </w:rPr>
      </w:pPr>
      <w:r w:rsidRPr="00771368">
        <w:rPr>
          <w:sz w:val="24"/>
          <w:szCs w:val="24"/>
        </w:rPr>
        <w:t xml:space="preserve">SALESIANOS. </w:t>
      </w:r>
      <w:r w:rsidRPr="00771368">
        <w:rPr>
          <w:b/>
          <w:bCs/>
          <w:sz w:val="24"/>
          <w:szCs w:val="24"/>
        </w:rPr>
        <w:t>Constituições e Regulamentos da Sociedade de São Francisco de Sales</w:t>
      </w:r>
      <w:r w:rsidRPr="00771368">
        <w:rPr>
          <w:sz w:val="24"/>
          <w:szCs w:val="24"/>
        </w:rPr>
        <w:t>. São Paulo: Escolas Profissionalizantes, 1985.</w:t>
      </w:r>
    </w:p>
    <w:p w:rsidR="00D24E61" w:rsidRPr="00771368" w:rsidRDefault="00D24E61">
      <w:pPr>
        <w:spacing w:line="120" w:lineRule="exact"/>
        <w:rPr>
          <w:sz w:val="20"/>
          <w:szCs w:val="20"/>
        </w:rPr>
      </w:pPr>
    </w:p>
    <w:p w:rsidR="00D24E61" w:rsidRPr="00771368" w:rsidRDefault="00D24E61">
      <w:pPr>
        <w:spacing w:line="308" w:lineRule="auto"/>
        <w:jc w:val="both"/>
        <w:rPr>
          <w:sz w:val="20"/>
          <w:szCs w:val="20"/>
        </w:rPr>
      </w:pPr>
      <w:r w:rsidRPr="00771368">
        <w:rPr>
          <w:sz w:val="24"/>
          <w:szCs w:val="24"/>
        </w:rPr>
        <w:t xml:space="preserve">SCOTT, Joan. Gênero: Uma categoria útil de análise histórica. In: </w:t>
      </w:r>
      <w:r w:rsidRPr="00771368">
        <w:rPr>
          <w:b/>
          <w:bCs/>
          <w:sz w:val="24"/>
          <w:szCs w:val="24"/>
        </w:rPr>
        <w:t>Educação &amp; Realidade</w:t>
      </w:r>
      <w:r w:rsidRPr="00771368">
        <w:rPr>
          <w:sz w:val="24"/>
          <w:szCs w:val="24"/>
        </w:rPr>
        <w:t>. (16) 2. Porto Alegre: Faced, UFRGS, 1990.</w:t>
      </w:r>
    </w:p>
    <w:p w:rsidR="00D24E61" w:rsidRPr="00771368" w:rsidRDefault="00D24E61">
      <w:pPr>
        <w:spacing w:line="120" w:lineRule="exact"/>
        <w:rPr>
          <w:sz w:val="20"/>
          <w:szCs w:val="20"/>
        </w:rPr>
      </w:pPr>
    </w:p>
    <w:p w:rsidR="00D24E61" w:rsidRPr="00771368" w:rsidRDefault="00D24E61">
      <w:pPr>
        <w:spacing w:line="308" w:lineRule="auto"/>
        <w:ind w:right="220"/>
        <w:rPr>
          <w:sz w:val="20"/>
          <w:szCs w:val="20"/>
        </w:rPr>
      </w:pPr>
      <w:r w:rsidRPr="00D61223">
        <w:rPr>
          <w:sz w:val="24"/>
          <w:szCs w:val="24"/>
          <w:lang w:val="en-US"/>
        </w:rPr>
        <w:t xml:space="preserve">SCOTT, Joan. “Prefácio a Gender and Polítics of History” In: </w:t>
      </w:r>
      <w:r w:rsidRPr="00D61223">
        <w:rPr>
          <w:b/>
          <w:bCs/>
          <w:sz w:val="24"/>
          <w:szCs w:val="24"/>
          <w:lang w:val="en-US"/>
        </w:rPr>
        <w:t>Cadernos Pagu</w:t>
      </w:r>
      <w:r w:rsidRPr="00D61223">
        <w:rPr>
          <w:sz w:val="24"/>
          <w:szCs w:val="24"/>
          <w:lang w:val="en-US"/>
        </w:rPr>
        <w:t xml:space="preserve">. </w:t>
      </w:r>
      <w:r w:rsidRPr="00771368">
        <w:rPr>
          <w:sz w:val="24"/>
          <w:szCs w:val="24"/>
        </w:rPr>
        <w:t>Desacordos, desamores e diferenças. Campinas: Unicamp/NEG, n. 3, 1994.</w:t>
      </w:r>
    </w:p>
    <w:p w:rsidR="00D24E61" w:rsidRPr="00771368" w:rsidRDefault="00D24E61">
      <w:pPr>
        <w:spacing w:line="120" w:lineRule="exact"/>
        <w:rPr>
          <w:sz w:val="20"/>
          <w:szCs w:val="20"/>
        </w:rPr>
      </w:pPr>
    </w:p>
    <w:p w:rsidR="00D24E61" w:rsidRPr="00771368" w:rsidRDefault="00D24E61">
      <w:pPr>
        <w:spacing w:line="342" w:lineRule="auto"/>
        <w:ind w:right="20"/>
        <w:rPr>
          <w:sz w:val="20"/>
          <w:szCs w:val="20"/>
        </w:rPr>
      </w:pPr>
      <w:r w:rsidRPr="00771368">
        <w:rPr>
          <w:sz w:val="24"/>
          <w:szCs w:val="24"/>
        </w:rPr>
        <w:t xml:space="preserve">VEIGA-NETO, Alfredo. </w:t>
      </w:r>
      <w:r w:rsidRPr="00771368">
        <w:rPr>
          <w:b/>
          <w:bCs/>
          <w:sz w:val="24"/>
          <w:szCs w:val="24"/>
        </w:rPr>
        <w:t>Foucault e a Educação</w:t>
      </w:r>
      <w:r w:rsidRPr="00771368">
        <w:rPr>
          <w:i/>
          <w:iCs/>
          <w:sz w:val="24"/>
          <w:szCs w:val="24"/>
        </w:rPr>
        <w:t>.</w:t>
      </w:r>
      <w:r w:rsidRPr="00771368">
        <w:rPr>
          <w:sz w:val="24"/>
          <w:szCs w:val="24"/>
        </w:rPr>
        <w:t xml:space="preserve"> Belo Horizonte: Autêntica, 2007. VILLANUEVA, P. Pascual Chávez. A missão Salesiana e os Direitos Humanos: especialmente os Direitos dos menores. In: </w:t>
      </w:r>
      <w:r w:rsidRPr="00771368">
        <w:rPr>
          <w:b/>
          <w:bCs/>
          <w:sz w:val="24"/>
          <w:szCs w:val="24"/>
        </w:rPr>
        <w:t>Sistema Preventivo e Direitos Humanos</w:t>
      </w:r>
      <w:r w:rsidRPr="00771368">
        <w:rPr>
          <w:sz w:val="24"/>
          <w:szCs w:val="24"/>
        </w:rPr>
        <w:t>. São Paulo: Ed. Salesiana, 2009 (Coleção Protagonista).</w:t>
      </w:r>
    </w:p>
    <w:p w:rsidR="00D24E61" w:rsidRPr="00771368" w:rsidRDefault="00D24E61">
      <w:pPr>
        <w:spacing w:line="200" w:lineRule="exact"/>
        <w:rPr>
          <w:sz w:val="20"/>
          <w:szCs w:val="20"/>
        </w:rPr>
      </w:pPr>
    </w:p>
    <w:p w:rsidR="00D24E61" w:rsidRPr="00771368" w:rsidRDefault="00D24E61">
      <w:pPr>
        <w:spacing w:line="338" w:lineRule="exact"/>
        <w:rPr>
          <w:sz w:val="20"/>
          <w:szCs w:val="20"/>
        </w:rPr>
      </w:pPr>
    </w:p>
    <w:p w:rsidR="00D24E61" w:rsidRPr="00771368" w:rsidRDefault="00D24E61">
      <w:pPr>
        <w:spacing w:line="29" w:lineRule="exact"/>
        <w:rPr>
          <w:sz w:val="20"/>
          <w:szCs w:val="20"/>
        </w:rPr>
      </w:pPr>
    </w:p>
    <w:p w:rsidR="00D24E61" w:rsidRPr="00771368" w:rsidRDefault="00D24E61">
      <w:pPr>
        <w:spacing w:line="308" w:lineRule="auto"/>
        <w:ind w:right="20"/>
        <w:rPr>
          <w:sz w:val="20"/>
          <w:szCs w:val="20"/>
        </w:rPr>
      </w:pPr>
      <w:r w:rsidRPr="00771368">
        <w:rPr>
          <w:sz w:val="24"/>
          <w:szCs w:val="24"/>
        </w:rPr>
        <w:t xml:space="preserve">________________________________. </w:t>
      </w:r>
      <w:r w:rsidRPr="00771368">
        <w:rPr>
          <w:b/>
          <w:bCs/>
          <w:sz w:val="24"/>
          <w:szCs w:val="24"/>
        </w:rPr>
        <w:t>Eduquemos com o coração de Dom Bosco</w:t>
      </w:r>
      <w:r w:rsidRPr="00771368">
        <w:rPr>
          <w:sz w:val="24"/>
          <w:szCs w:val="24"/>
        </w:rPr>
        <w:t>. São Paulo: Editora Salesiana, 2008.</w:t>
      </w:r>
    </w:p>
    <w:p w:rsidR="00D24E61" w:rsidRPr="00771368" w:rsidRDefault="00D24E61">
      <w:pPr>
        <w:spacing w:line="120" w:lineRule="exact"/>
        <w:rPr>
          <w:sz w:val="20"/>
          <w:szCs w:val="20"/>
        </w:rPr>
      </w:pPr>
    </w:p>
    <w:p w:rsidR="00D24E61" w:rsidRPr="00771368" w:rsidRDefault="00D24E61">
      <w:pPr>
        <w:spacing w:line="308" w:lineRule="auto"/>
        <w:ind w:right="20"/>
        <w:rPr>
          <w:sz w:val="20"/>
          <w:szCs w:val="20"/>
        </w:rPr>
      </w:pPr>
      <w:r w:rsidRPr="00771368">
        <w:rPr>
          <w:sz w:val="24"/>
          <w:szCs w:val="24"/>
        </w:rPr>
        <w:t xml:space="preserve">VIVAR Y SOLER, Rodrigo Dias de. Uma História Política da Subjetividade em Michel Foucault. In: </w:t>
      </w:r>
      <w:r w:rsidRPr="00771368">
        <w:rPr>
          <w:b/>
          <w:bCs/>
          <w:sz w:val="24"/>
          <w:szCs w:val="24"/>
        </w:rPr>
        <w:t>Fractua</w:t>
      </w:r>
      <w:r w:rsidRPr="00771368">
        <w:rPr>
          <w:sz w:val="24"/>
          <w:szCs w:val="24"/>
        </w:rPr>
        <w:t>l: Revista de Psicologia. v. 20- n.2, p. 571-582, Jul./Dez. 2008.</w:t>
      </w:r>
    </w:p>
    <w:p w:rsidR="00D24E61" w:rsidRPr="00771368" w:rsidRDefault="00D24E61" w:rsidP="00D24E61">
      <w:pPr>
        <w:pStyle w:val="Default"/>
        <w:spacing w:line="360" w:lineRule="auto"/>
      </w:pPr>
    </w:p>
    <w:p w:rsidR="00D24E61" w:rsidRPr="00771368" w:rsidRDefault="00D24E61" w:rsidP="00D24E61">
      <w:pPr>
        <w:jc w:val="center"/>
      </w:pPr>
      <w:r w:rsidRPr="00771368">
        <w:t>UNIVERSIDADE FEDERAL FLUMINENSE</w:t>
      </w:r>
    </w:p>
    <w:p w:rsidR="00D24E61" w:rsidRPr="00771368" w:rsidRDefault="00D24E61" w:rsidP="00D24E61">
      <w:pPr>
        <w:jc w:val="center"/>
      </w:pPr>
      <w:r w:rsidRPr="00771368">
        <w:t>POLO UNIVERSITÁRIO DE RIO DAS OSTRAS</w:t>
      </w:r>
    </w:p>
    <w:p w:rsidR="00D24E61" w:rsidRPr="00771368" w:rsidRDefault="00D24E61" w:rsidP="00D24E61">
      <w:pPr>
        <w:jc w:val="center"/>
      </w:pPr>
      <w:r w:rsidRPr="00771368">
        <w:t>CURSO DE SERVIÇO SOCIAL</w:t>
      </w:r>
    </w:p>
    <w:p w:rsidR="00D24E61" w:rsidRPr="00771368" w:rsidRDefault="00D24E61" w:rsidP="00D24E61">
      <w:pPr>
        <w:pStyle w:val="Default"/>
        <w:spacing w:line="360" w:lineRule="auto"/>
        <w:ind w:firstLine="851"/>
        <w:jc w:val="right"/>
        <w:rPr>
          <w:bCs/>
        </w:rPr>
      </w:pPr>
      <w:bookmarkStart w:id="42" w:name="_Toc442034731"/>
      <w:r w:rsidRPr="00C36571">
        <w:rPr>
          <w:rStyle w:val="Ttulo1Char"/>
        </w:rPr>
        <w:t>Bruna Tavares de Souza</w:t>
      </w:r>
      <w:bookmarkEnd w:id="42"/>
      <w:r w:rsidRPr="00771368">
        <w:rPr>
          <w:rStyle w:val="Refdenotaderodap"/>
          <w:bCs/>
        </w:rPr>
        <w:footnoteReference w:id="49"/>
      </w:r>
    </w:p>
    <w:p w:rsidR="00D24E61" w:rsidRPr="00771368" w:rsidRDefault="00D24E61" w:rsidP="00D24E61">
      <w:pPr>
        <w:pStyle w:val="Default"/>
        <w:jc w:val="center"/>
      </w:pPr>
    </w:p>
    <w:p w:rsidR="00D24E61" w:rsidRPr="00771368" w:rsidRDefault="00D24E61" w:rsidP="00D24E61">
      <w:pPr>
        <w:pStyle w:val="Default"/>
        <w:jc w:val="center"/>
        <w:rPr>
          <w:b/>
        </w:rPr>
      </w:pPr>
      <w:r w:rsidRPr="00771368">
        <w:rPr>
          <w:b/>
        </w:rPr>
        <w:t>UMA BREVE ANÁLISE DOS ASPECTOS SOCIAIS DA VIOLÊNCIA CONTRA A MULHER, TENDO À LUZ O CENTRO DE REFERÊNCIA DE ATENDIMENTO A MULHER EM SITUAÇÃO DE VIOLÊNCIA DO MUNICÍPIO DE CABO FRIO – RJ</w:t>
      </w:r>
    </w:p>
    <w:p w:rsidR="00D24E61" w:rsidRPr="00771368" w:rsidRDefault="00D24E61" w:rsidP="00D24E61">
      <w:pPr>
        <w:rPr>
          <w:rFonts w:eastAsia="Arial"/>
          <w:color w:val="000000"/>
        </w:rPr>
      </w:pPr>
    </w:p>
    <w:p w:rsidR="00D24E61" w:rsidRPr="00771368" w:rsidRDefault="00D24E61" w:rsidP="00D24E61">
      <w:pPr>
        <w:autoSpaceDE w:val="0"/>
        <w:autoSpaceDN w:val="0"/>
        <w:adjustRightInd w:val="0"/>
        <w:rPr>
          <w:rFonts w:eastAsia="Arial"/>
          <w:color w:val="000000"/>
        </w:rPr>
      </w:pPr>
    </w:p>
    <w:p w:rsidR="00D24E61" w:rsidRPr="00771368" w:rsidRDefault="00D24E61" w:rsidP="00D24E61">
      <w:pPr>
        <w:autoSpaceDE w:val="0"/>
        <w:autoSpaceDN w:val="0"/>
        <w:adjustRightInd w:val="0"/>
        <w:rPr>
          <w:rFonts w:eastAsia="Arial"/>
          <w:color w:val="000000"/>
        </w:rPr>
      </w:pPr>
    </w:p>
    <w:p w:rsidR="00D24E61" w:rsidRPr="00771368" w:rsidRDefault="00D24E61" w:rsidP="00D24E61">
      <w:pPr>
        <w:autoSpaceDE w:val="0"/>
        <w:autoSpaceDN w:val="0"/>
        <w:adjustRightInd w:val="0"/>
        <w:rPr>
          <w:b/>
          <w:bCs/>
          <w:color w:val="000000"/>
        </w:rPr>
      </w:pPr>
      <w:r w:rsidRPr="00771368">
        <w:rPr>
          <w:b/>
          <w:bCs/>
          <w:color w:val="000000"/>
        </w:rPr>
        <w:t>RESUMO</w:t>
      </w:r>
    </w:p>
    <w:p w:rsidR="00D24E61" w:rsidRPr="00771368" w:rsidRDefault="00D24E61" w:rsidP="00D24E61">
      <w:pPr>
        <w:autoSpaceDE w:val="0"/>
        <w:autoSpaceDN w:val="0"/>
        <w:adjustRightInd w:val="0"/>
        <w:rPr>
          <w:b/>
          <w:bCs/>
          <w:color w:val="000000"/>
        </w:rPr>
      </w:pPr>
    </w:p>
    <w:p w:rsidR="00D24E61" w:rsidRPr="00771368" w:rsidRDefault="00D24E61" w:rsidP="00D24E61">
      <w:pPr>
        <w:autoSpaceDE w:val="0"/>
        <w:autoSpaceDN w:val="0"/>
        <w:adjustRightInd w:val="0"/>
        <w:rPr>
          <w:b/>
          <w:bCs/>
          <w:color w:val="000000"/>
        </w:rPr>
      </w:pPr>
    </w:p>
    <w:p w:rsidR="00D24E61" w:rsidRPr="00771368" w:rsidRDefault="00D24E61" w:rsidP="00D24E61">
      <w:pPr>
        <w:spacing w:line="360" w:lineRule="auto"/>
        <w:ind w:firstLine="851"/>
        <w:jc w:val="both"/>
      </w:pPr>
      <w:r w:rsidRPr="00771368">
        <w:t>O presente artigo é fruto de um interesse que surgiu a partir das aulas de “Relações de Gênero”, onde passei a refletir acerca das construções sociais baseadas no sexo masculino e feminino e das formas de opressão contra a mulher. Meus questionamentos aumentaram quando tive a oportunidade de estagiar no Centro de Referência e Atendimento à Mulher em situação de Violência (CRAM), localizado no município de Cabo Frio - Rio de Janeiro. O equipamento oferece assistência psicológica, social e jurídica a mulheres que estão em situação de violência.</w:t>
      </w:r>
    </w:p>
    <w:p w:rsidR="00D24E61" w:rsidRPr="00771368" w:rsidRDefault="00D24E61" w:rsidP="00D24E61">
      <w:pPr>
        <w:spacing w:line="360" w:lineRule="auto"/>
        <w:ind w:firstLine="851"/>
        <w:jc w:val="both"/>
      </w:pPr>
      <w:r w:rsidRPr="00771368">
        <w:t xml:space="preserve">Ter estudado a referida disciplina contribuiu para meu aprofundamento teórico e minha inserção no campo de estágio. Uma questão que me chamou a atenção foi o número de mulheres atendidas e a trama complexa que as envolve. Na última pesquisa qualitativa realizada pela equipe de estagiárias de Serviço Social, foram analisadas 210 fichas cadastrais referentes ao 2º semestre de </w:t>
      </w:r>
      <w:smartTag w:uri="urn:schemas-microsoft-com:office:smarttags" w:element="metricconverter">
        <w:smartTagPr>
          <w:attr w:name="ProductID" w:val="2011. A"/>
        </w:smartTagPr>
        <w:r w:rsidRPr="00771368">
          <w:t>2011. A</w:t>
        </w:r>
      </w:smartTag>
      <w:r w:rsidRPr="00771368">
        <w:t xml:space="preserve"> pesquisa revela que 48% das mulheres desenvolvem atividade produtiva remunerada, 51% possui renda de até 3 salários mínimos, 51% são chefes de família, 44% residem em casa própria, 46% tem até 2 filhos, 50% se declararam brancas e os tipos de violência com maior incidência são: violência psicológica (24%), ameaça (19%) e lesão corporal (18%), 45% das mulheres afirmaram que o marido é quem perpetra a ação violenta e um dado que chamou atenção foi que 59% dos agressores não são dependentes químicos, ou seja, a ingestão de álcool e outras drogas podem potencializar a ação violenta, mas não são os principais desencadeadores da violência sofrida pelas mulheres. Os dados trouxeram aspectos sociais relevantes, além de suscitar debates e questionamentos acerca da relação estabelecida entre a mulher e seu companheiro, que na maioria dos casos é quem perpetra a ação violenta.</w:t>
      </w:r>
    </w:p>
    <w:p w:rsidR="00D24E61" w:rsidRPr="00771368" w:rsidRDefault="00D24E61" w:rsidP="00D24E61">
      <w:pPr>
        <w:spacing w:line="360" w:lineRule="auto"/>
        <w:ind w:firstLine="851"/>
        <w:jc w:val="both"/>
      </w:pPr>
      <w:r w:rsidRPr="00771368">
        <w:t>Ao participar dos atendimentos realizados junto com a supervisora de campo de estágio, pude acompanhar a história de vida de algumas mulheres que vivem em situação de violência doméstica. E a partir destes relatos, percebi o quanto se faz necessário uma análise dos aspectos sociais a fim de apreender a realidade posta para além da violência perpetrada contra a mulher. Sendo assim, considero relevante o tema proposto para este trabalho, por entender que a violência doméstica contra a mulher, se configura numa expressão da questão social, e como tal se coloca no seio das relações sociais, econômicas, políticas e culturais da sociedade burguesa.</w:t>
      </w:r>
    </w:p>
    <w:p w:rsidR="00D24E61" w:rsidRPr="00771368" w:rsidRDefault="00D24E61" w:rsidP="00D24E61">
      <w:pPr>
        <w:autoSpaceDE w:val="0"/>
        <w:autoSpaceDN w:val="0"/>
        <w:adjustRightInd w:val="0"/>
        <w:rPr>
          <w:b/>
          <w:bCs/>
          <w:color w:val="000000"/>
        </w:rPr>
      </w:pPr>
    </w:p>
    <w:p w:rsidR="00D24E61" w:rsidRPr="00771368" w:rsidRDefault="00D24E61" w:rsidP="00D24E61">
      <w:pPr>
        <w:autoSpaceDE w:val="0"/>
        <w:autoSpaceDN w:val="0"/>
        <w:adjustRightInd w:val="0"/>
        <w:rPr>
          <w:color w:val="000000"/>
        </w:rPr>
      </w:pPr>
      <w:r w:rsidRPr="00771368">
        <w:rPr>
          <w:b/>
          <w:bCs/>
          <w:color w:val="000000"/>
        </w:rPr>
        <w:t xml:space="preserve">Palavra-chave: </w:t>
      </w:r>
      <w:r w:rsidRPr="00771368">
        <w:rPr>
          <w:color w:val="000000"/>
        </w:rPr>
        <w:t>gênero; mulher; violência; centros de referência de atendimento a mulher; aspectos sociais.</w:t>
      </w:r>
    </w:p>
    <w:p w:rsidR="00D24E61" w:rsidRPr="00771368" w:rsidRDefault="00D24E61" w:rsidP="00D24E61">
      <w:pPr>
        <w:autoSpaceDE w:val="0"/>
        <w:autoSpaceDN w:val="0"/>
        <w:adjustRightInd w:val="0"/>
        <w:rPr>
          <w:b/>
          <w:bCs/>
          <w:color w:val="000000"/>
        </w:rPr>
      </w:pPr>
    </w:p>
    <w:p w:rsidR="00D24E61" w:rsidRPr="00771368" w:rsidRDefault="00D24E61" w:rsidP="00D24E61">
      <w:pPr>
        <w:rPr>
          <w:b/>
          <w:caps/>
        </w:rPr>
      </w:pPr>
    </w:p>
    <w:p w:rsidR="00D24E61" w:rsidRPr="00771368" w:rsidRDefault="00D24E61" w:rsidP="00D24E61">
      <w:pPr>
        <w:rPr>
          <w:b/>
          <w:caps/>
        </w:rPr>
      </w:pPr>
    </w:p>
    <w:p w:rsidR="00D24E61" w:rsidRPr="00771368" w:rsidRDefault="00D24E61" w:rsidP="00D24E61">
      <w:pPr>
        <w:rPr>
          <w:b/>
          <w:caps/>
        </w:rPr>
      </w:pPr>
      <w:r w:rsidRPr="00771368">
        <w:rPr>
          <w:b/>
          <w:caps/>
        </w:rPr>
        <w:t>INTRODUÇÃO</w:t>
      </w:r>
    </w:p>
    <w:p w:rsidR="00D24E61" w:rsidRPr="00771368" w:rsidRDefault="00D24E61" w:rsidP="00D24E61">
      <w:pPr>
        <w:rPr>
          <w:b/>
          <w:caps/>
        </w:rPr>
      </w:pPr>
    </w:p>
    <w:p w:rsidR="00D24E61" w:rsidRPr="00771368" w:rsidRDefault="00D24E61" w:rsidP="00D24E61">
      <w:pPr>
        <w:rPr>
          <w:b/>
          <w:caps/>
        </w:rPr>
      </w:pPr>
    </w:p>
    <w:p w:rsidR="00D24E61" w:rsidRPr="00771368" w:rsidRDefault="00D24E61" w:rsidP="00D24E61">
      <w:pPr>
        <w:spacing w:line="360" w:lineRule="auto"/>
        <w:ind w:firstLine="851"/>
        <w:jc w:val="both"/>
      </w:pPr>
      <w:r w:rsidRPr="00771368">
        <w:t>O conceito de gênero designa a construção social das categorias “homem” e “mulher”, rompendo com justificativas biologicistas e naturalizantes a respeito das desigualdades existentes nas relações humanas. A forma como se concebe os gêneros na sociedade capitalista não são as mesmas em outras sociedades, também se modificam de acordo com a cultura, religião, classe, etc. Enfim, o modo como concebemos os homens e as mulheres é determinado a partir das relações sociais e históricas. Por isso, torna-se imprescindível a compreensão dos processos socioculturais de discriminação contra a mulher e outras categorias sociais, a fim de desmistificarmos essa naturalização. Ressalta-se que isso, é transmitido como sendo algo inerente ao ser humano, como “caminho mais fácil e curto para legitimar a ‘superioridade’ dos homens, assim como a dos brancos, a dos heterossexuais, a dos ricos” (SAFFIOTI, 1987, p. 11).</w:t>
      </w:r>
    </w:p>
    <w:p w:rsidR="00D24E61" w:rsidRPr="00771368" w:rsidRDefault="00D24E61" w:rsidP="00D24E61">
      <w:pPr>
        <w:spacing w:line="360" w:lineRule="auto"/>
        <w:ind w:firstLine="851"/>
        <w:jc w:val="both"/>
      </w:pPr>
      <w:r w:rsidRPr="00771368">
        <w:t>Schraiber (et al, 2005) adverte que essa naturalização se dá pela alta freqüência de situações em que as mulheres sofrem violência e que, por isso, acaba por ser banalizado por uma sociedade onde a desigualdade é o seu próprio meio de conservação. Sendo assim, nota-se que esse tipo de violência não recebe a mesma atenção que outras modalidades e não é considerado um problema social ou caso de saúde pública.</w:t>
      </w:r>
    </w:p>
    <w:p w:rsidR="00D24E61" w:rsidRPr="00771368" w:rsidRDefault="00D24E61" w:rsidP="00D24E61">
      <w:pPr>
        <w:spacing w:line="360" w:lineRule="auto"/>
        <w:ind w:firstLine="851"/>
        <w:jc w:val="both"/>
      </w:pPr>
      <w:r w:rsidRPr="00771368">
        <w:t>A “superioridade” masculina supõe a legitimação da “inferioridade” e “subordinação” feminina, da mesma forma que não há ricos sem pobres. Algumas características ditas “femininas” como fragilidade, emotividade e docilidade tem seu contraponto nos atributos ditos “masculinos”: força, racionalidade, virilidade.</w:t>
      </w:r>
    </w:p>
    <w:p w:rsidR="00D24E61" w:rsidRPr="00771368" w:rsidRDefault="00D24E61" w:rsidP="00D24E61">
      <w:pPr>
        <w:spacing w:line="360" w:lineRule="auto"/>
        <w:ind w:firstLine="851"/>
        <w:jc w:val="both"/>
        <w:rPr>
          <w:strike/>
          <w:sz w:val="20"/>
          <w:szCs w:val="20"/>
        </w:rPr>
      </w:pPr>
    </w:p>
    <w:p w:rsidR="00D24E61" w:rsidRPr="00771368" w:rsidRDefault="00D24E61" w:rsidP="00D24E61">
      <w:pPr>
        <w:ind w:left="2268"/>
        <w:jc w:val="both"/>
        <w:rPr>
          <w:sz w:val="20"/>
          <w:szCs w:val="20"/>
        </w:rPr>
      </w:pPr>
      <w:r w:rsidRPr="00771368">
        <w:rPr>
          <w:sz w:val="20"/>
          <w:szCs w:val="20"/>
        </w:rPr>
        <w:t>Quer quando o homem desfruta de uma posição e poder no mundo do trabalho em relação à mulher, quer quando ocupa a posição do marido, companheiro, namorado, cabe-lhe, segundo a ideologia dominante, a função de caçador. (...) Para o poderoso macho importa, em primeiro lugar, seu próprio desejo. Comporta-se, pois, como sujeito desejante em busca de sua presa. Esta é o objeto de seu desejo. Para o macho não importa que a mulher objeto de seu desejo não seja sujeito desejante. Basta que ela consista em ser usada enquanto objeto (SAFFIOTI, 1987, p. 18).</w:t>
      </w:r>
    </w:p>
    <w:p w:rsidR="00D24E61" w:rsidRPr="00771368" w:rsidRDefault="00D24E61" w:rsidP="00D24E61">
      <w:pPr>
        <w:ind w:left="2268"/>
        <w:jc w:val="both"/>
      </w:pPr>
    </w:p>
    <w:p w:rsidR="00D24E61" w:rsidRPr="00771368" w:rsidRDefault="00D24E61" w:rsidP="00D24E61">
      <w:pPr>
        <w:ind w:left="2268"/>
        <w:jc w:val="both"/>
      </w:pPr>
    </w:p>
    <w:p w:rsidR="00D24E61" w:rsidRPr="00771368" w:rsidRDefault="00D24E61" w:rsidP="00D24E61">
      <w:pPr>
        <w:spacing w:line="360" w:lineRule="auto"/>
        <w:ind w:firstLine="851"/>
        <w:jc w:val="both"/>
      </w:pPr>
      <w:r w:rsidRPr="00771368">
        <w:t>Pensar sobre essas posições sociais de “homens” e “mulheres” nos faz entender a complexidade existente na afirmação de que “homens estão sempre em vantagem sobre as mulheres”, e que estas “sempre são as prejudicadas ou as que sofrem algum tipo de dano” (CAMPOS, 2011, p. 26). Pode-se considerar que ambos “perdem” por vivenciarem esta expressão da questão social e por terem que desempenhar papéis e funções pré-determinados pela sociedade</w:t>
      </w:r>
      <w:r w:rsidRPr="00771368">
        <w:rPr>
          <w:rStyle w:val="Caracteresdenotaderodap"/>
        </w:rPr>
        <w:footnoteReference w:id="50"/>
      </w:r>
      <w:r w:rsidRPr="00771368">
        <w:t>, demonstrando, dessa forma, que a luta das mulheres também abarca a questão dos homens, pois</w:t>
      </w:r>
    </w:p>
    <w:p w:rsidR="00D24E61" w:rsidRPr="00771368" w:rsidRDefault="00D24E61" w:rsidP="00D24E61">
      <w:pPr>
        <w:spacing w:line="360" w:lineRule="auto"/>
        <w:ind w:firstLine="851"/>
        <w:jc w:val="both"/>
      </w:pPr>
    </w:p>
    <w:p w:rsidR="00D24E61" w:rsidRPr="00771368" w:rsidRDefault="00D24E61" w:rsidP="00D24E61">
      <w:pPr>
        <w:ind w:left="2268"/>
        <w:jc w:val="both"/>
        <w:rPr>
          <w:sz w:val="20"/>
          <w:szCs w:val="20"/>
        </w:rPr>
      </w:pPr>
      <w:r w:rsidRPr="00771368">
        <w:rPr>
          <w:sz w:val="20"/>
          <w:szCs w:val="20"/>
        </w:rPr>
        <w:t>o estereótipo funciona como uma máscara. Os homens devem vestir a máscara do macho, da mesma forma que as mulheres devem vestir a máscara das submissas. O uso das máscaras significa a repressão de todos os desejos que caminharem em outra direção. Não obstante, a sociedade atinge alto grau de êxito neste processo repressivo, que modela homens e mulheres para relações assimétricas, desiguais, de dominador e dominada (SAFFIOTI, 1987, p. 40).</w:t>
      </w:r>
    </w:p>
    <w:p w:rsidR="00D24E61" w:rsidRPr="00771368" w:rsidRDefault="00D24E61" w:rsidP="00D24E61">
      <w:pPr>
        <w:ind w:left="2268"/>
        <w:jc w:val="both"/>
      </w:pPr>
    </w:p>
    <w:p w:rsidR="00D24E61" w:rsidRPr="00771368" w:rsidRDefault="00D24E61" w:rsidP="00D24E61">
      <w:pPr>
        <w:ind w:left="2268"/>
        <w:jc w:val="both"/>
      </w:pPr>
    </w:p>
    <w:p w:rsidR="00D24E61" w:rsidRPr="00771368" w:rsidRDefault="00D24E61" w:rsidP="00D24E61">
      <w:pPr>
        <w:spacing w:line="360" w:lineRule="auto"/>
        <w:ind w:firstLine="851"/>
        <w:jc w:val="both"/>
      </w:pPr>
      <w:r w:rsidRPr="00771368">
        <w:t>Numa sociedade patriarcal, como a nossa, por exemplo, qualquer atitude que possa atingir a virilidade masculina, seja direta ou indiretamente, é utilizada como justificativa para o uso da violência. Ditados populares como “não sei por que estou batendo, mas ela sabe por que está apanhando”, reforçam e permitem que o homem se utilize de atos violentos a fim de “corrigir” determinados comportamentos que não condizem com o “papel” da mulher (CAMPOS, 2011, p. 27). Entende-se que tal atitude é uma forma de justificar e culpabilizar a mulher vítima, ou seja, ela traiu, ela está errada, ela usa roupas curtas e por isso são violentadas sexualmente, etc., (SCHRAIBER et al, 2005, p. 55).</w:t>
      </w:r>
    </w:p>
    <w:p w:rsidR="00D24E61" w:rsidRPr="00771368" w:rsidRDefault="00D24E61" w:rsidP="00D24E61">
      <w:pPr>
        <w:spacing w:line="360" w:lineRule="auto"/>
        <w:ind w:firstLine="851"/>
        <w:jc w:val="both"/>
      </w:pPr>
      <w:r w:rsidRPr="00771368">
        <w:t>Não existem motivos para confiarmos que a violência ocorra por questões pessoais e que, tanto as mulheres quanto os homens não deveriam ser culpabilizadas pelo comportamento que ocasionou a agressão, pois a violência é decorrente de um fenômeno social e cultural reproduzido em diversos lugares do mundo, determinado por diferentes fatores sociais, econômicos, culturais e políticos, onde a “masculinidade” pode ser atestada, por exemplo, por meio de ações violentas e a “feminilidade” por meio de comportamentos</w:t>
      </w:r>
      <w:r w:rsidRPr="00771368">
        <w:rPr>
          <w:b/>
        </w:rPr>
        <w:t xml:space="preserve"> </w:t>
      </w:r>
      <w:r w:rsidRPr="00771368">
        <w:t>delicados. Além disso, existem elementos que nesta pesquisa intitulamos de “aspectos sociais da violência”, como a situação de desemprego em uma família, o uso de álcool e outras drogas, o incentivo da violência pela mídia, etc., que aqui compreendemos como aspectos que podem alavancar a ocorrência dos diferentes tipos de violência. Trata-se de um fenômeno social altamente complexo, formado por vários aspectos, dimensões e faces e que perpassa todas as classes sociais e grupos étnico-raciais, comportando diversas configurações. Neste sentido, trazemos uma breve reflexão acerca do que entendemos serem os “aspectos sociais da violência” no contexto da violência contra a mulher.</w:t>
      </w:r>
    </w:p>
    <w:p w:rsidR="00D24E61" w:rsidRPr="00771368" w:rsidRDefault="00D24E61" w:rsidP="00D24E61">
      <w:pPr>
        <w:autoSpaceDE w:val="0"/>
        <w:spacing w:line="360" w:lineRule="auto"/>
        <w:ind w:firstLine="851"/>
        <w:jc w:val="both"/>
      </w:pPr>
      <w:r w:rsidRPr="00771368">
        <w:t>“A violência contra as mulheres é uma manifestação de relações de poder historicamente desiguais entre homens e mulheres que conduziram à dominação e à discriminação contra as mulheres pelos homens e que impedem o pleno avanço das mulheres”, como diz a Declaração sobre a Eliminação da Violência</w:t>
      </w:r>
      <w:r w:rsidRPr="00771368">
        <w:rPr>
          <w:iCs/>
        </w:rPr>
        <w:t xml:space="preserve"> c</w:t>
      </w:r>
      <w:r w:rsidRPr="00771368">
        <w:t>ontra as Mulheres, Resolução da Assembléia Geral das Nações Unidas,</w:t>
      </w:r>
      <w:r w:rsidRPr="00771368">
        <w:rPr>
          <w:iCs/>
        </w:rPr>
        <w:t xml:space="preserve"> de </w:t>
      </w:r>
      <w:r w:rsidRPr="00771368">
        <w:t>dezembro de 1993.</w:t>
      </w:r>
    </w:p>
    <w:p w:rsidR="00D24E61" w:rsidRPr="00771368" w:rsidRDefault="00D24E61" w:rsidP="00D24E61">
      <w:pPr>
        <w:autoSpaceDE w:val="0"/>
        <w:spacing w:line="360" w:lineRule="auto"/>
        <w:ind w:firstLine="851"/>
        <w:jc w:val="both"/>
      </w:pPr>
      <w:r w:rsidRPr="00771368">
        <w:rPr>
          <w:iCs/>
        </w:rPr>
        <w:t xml:space="preserve">De acordo com a </w:t>
      </w:r>
      <w:r w:rsidRPr="00771368">
        <w:rPr>
          <w:rStyle w:val="nfase"/>
          <w:i w:val="0"/>
        </w:rPr>
        <w:t>Pesquisa “Percepções sobre a Violência Doméstica contra a Mulher no Brasil</w:t>
      </w:r>
      <w:r w:rsidRPr="00771368">
        <w:t>”, realizada pelo Instituto Avon</w:t>
      </w:r>
      <w:r w:rsidRPr="00771368">
        <w:rPr>
          <w:iCs/>
        </w:rPr>
        <w:t xml:space="preserve">, em fevereiro de 2011, os principais fatores apontados como potencializadores da violência são o machismo com 50%, e o uso abusivo de bebidas alcoólicas perfazendo um total de 33%. </w:t>
      </w:r>
      <w:r w:rsidRPr="00771368">
        <w:t xml:space="preserve">Existem pesquisas que, procuram explicar a relação entre masculinidade e violência através da biologia, pautada em uma alteração genética capaz de manifestar atos extremos de brutalidade. Entretanto, outros estudos mostram que, para alguns homens, ser violento é sinônimo de virilidade, força, status e poder. Segundo a antropóloga Alba Zaluar, do Núcleo de Pesquisa das Violências da Universidade Estadual do Rio de Janeiro, “alguns homens praticam atos violentos como uma maneira de se impor como homem” (INSTITUTO NOOS E PROMUNDO, 2013). Os Institutos NOOS e PROMUNDO realizaram em </w:t>
      </w:r>
      <w:smartTag w:uri="urn:schemas-microsoft-com:office:smarttags" w:element="metricconverter">
        <w:smartTagPr>
          <w:attr w:name="ProductID" w:val="2003, a"/>
        </w:smartTagPr>
        <w:r w:rsidRPr="00771368">
          <w:t>2003, a</w:t>
        </w:r>
      </w:smartTag>
      <w:r w:rsidRPr="00771368">
        <w:t xml:space="preserve"> pesquisa - </w:t>
      </w:r>
      <w:r w:rsidRPr="00771368">
        <w:rPr>
          <w:iCs/>
        </w:rPr>
        <w:t>“Homens, violência de gênero e saúde sexual e reprodutiva: um estudo sobre</w:t>
      </w:r>
      <w:r w:rsidRPr="00771368">
        <w:t xml:space="preserve"> </w:t>
      </w:r>
      <w:r w:rsidRPr="00771368">
        <w:rPr>
          <w:iCs/>
        </w:rPr>
        <w:t xml:space="preserve">homens no Rio de Janeiro” - </w:t>
      </w:r>
      <w:r w:rsidRPr="00771368">
        <w:t xml:space="preserve">onde foi verificada que a maioria dos homens entrevistados recebeu uma </w:t>
      </w:r>
      <w:r w:rsidRPr="00771368">
        <w:rPr>
          <w:iCs/>
        </w:rPr>
        <w:t>educação</w:t>
      </w:r>
      <w:r w:rsidRPr="00771368">
        <w:t xml:space="preserve"> </w:t>
      </w:r>
      <w:r w:rsidRPr="00771368">
        <w:rPr>
          <w:iCs/>
        </w:rPr>
        <w:t xml:space="preserve">machista. </w:t>
      </w:r>
      <w:r w:rsidRPr="00771368">
        <w:t>Percebe-se que desde cedo os meninos são incentivados a valorizar a agressividade, a força física, a dominação e a satisfazer seus desejos - incluindo os sexuais, e as meninas são valorizadas pela delicadeza, submissão, dependência, sentimentalismo, passividade e o cuidado com os outros. O estudo revelou que 25,4% dos homens disseram ter usado violência física pelo menos uma vez, e quase 40% afirmaram ter usado violência psicológica, pelo menos uma vez contra sua companheira, incluindo humilhação, insultos ou ameaças verbais. No total, 51,4% desses homens usaram algum tipo de violência psicológica, física ou sexual contra sua parceira íntima pelo menos uma vez. Do total de homens pesquisados, 15% relataram ter contraído algum tipo de doença sexualmente transmissível (DST) ao menos uma vez. Entretanto, apenas 42% deles avisaram suas parceiras sobre o problema. Quanto ao fato de ser vítima e/ou testemunha de violência, 40% dos homens relataram ter testemunhado violência de um homem contra uma mulher em suas famílias de origem, e 45,5% afirmaram ter sido vítimas de violência física em casa (INSTITUTO NOOS, 2013).</w:t>
      </w:r>
    </w:p>
    <w:p w:rsidR="00D24E61" w:rsidRPr="00771368" w:rsidRDefault="00D24E61" w:rsidP="00D24E61">
      <w:pPr>
        <w:autoSpaceDE w:val="0"/>
        <w:spacing w:line="360" w:lineRule="auto"/>
        <w:ind w:firstLine="851"/>
        <w:jc w:val="both"/>
      </w:pPr>
      <w:r w:rsidRPr="00771368">
        <w:t>Neste contexto, vamos entender o machismo como questão culturalmente produzida e reproduzida na sociedade enquanto um dos elementos que estamos chamando de “aspectos sociais da violência”. A pesquisadora Alba Zaluar</w:t>
      </w:r>
      <w:r w:rsidRPr="00771368">
        <w:rPr>
          <w:rStyle w:val="Caracteresdenotaderodap"/>
        </w:rPr>
        <w:footnoteReference w:id="51"/>
      </w:r>
      <w:r w:rsidRPr="00771368">
        <w:t xml:space="preserve"> colabora com nossa interpretação quando esclarece que a violência contra a mulher tem como agentes o machismo e a relação de poder historicamente estabelecida do homem sobre a mulher. Sendo que há um elemento novo na sociedade contemporânea: “vive-se um momento de rápidas transformações dos papéis sociais entre homens e mulheres. Há um reposicionamento contínuo da figura da mulher que é mais veloz que o reposicionamento da figura do homem”. Ou seja, mudando o lugar da mulher na sociedade, se altera o lugar do homem. E isso tem incitado muitas reações para que as mulheres voltem ao seu lugar de origem e que permaneçam subordinadas ao poder masculino (REVISTA CAROS AMIGOS, 2012, p. 16). Observa-se que a causa da violência contra a mulher é um fenômeno dialético e que existem as possíveis motivações encontradas em elementos como: consumo de álcool e outras drogas, desemprego, ciúmes, etc., porém, tais aspectos não devem ser analisados sem compreender as transformações ocorridas na sociedade e no âmbito familiar. Vive-se uma época de inúmeras mudanças institucionais, inclusive o casamento e a família vêm passando por transformações devido ao contexto político-econômico no qual está inserido (REVISTA SERVIÇO SOCIAL E SOCIEDADE, 2002, p. 23) acarretando mudanças significativas na órbita das relações entre homens e mulheres. </w:t>
      </w:r>
    </w:p>
    <w:p w:rsidR="00D24E61" w:rsidRPr="00771368" w:rsidRDefault="00D24E61" w:rsidP="00D24E61">
      <w:pPr>
        <w:autoSpaceDE w:val="0"/>
        <w:spacing w:line="360" w:lineRule="auto"/>
        <w:ind w:firstLine="851"/>
        <w:jc w:val="both"/>
      </w:pPr>
      <w:r w:rsidRPr="00771368">
        <w:t>Deste modo, faz-se necessário compreender estes aspectos sociais como chave analítica e política para desnaturalizar e desculpabilizar homens e mulheres, pois entendemos que a desigualdade estabelecida nas relações entre homens e mulheres vai para além da questão cultural e a violência também se configura como uma expressão da questão social. Iamamoto reflete acerca da violência como expressão da questão social da seguinte forma:</w:t>
      </w:r>
    </w:p>
    <w:p w:rsidR="00D24E61" w:rsidRPr="00771368" w:rsidRDefault="00D24E61" w:rsidP="00D24E61">
      <w:pPr>
        <w:autoSpaceDE w:val="0"/>
        <w:spacing w:line="360" w:lineRule="auto"/>
        <w:ind w:firstLine="851"/>
        <w:jc w:val="both"/>
      </w:pPr>
    </w:p>
    <w:p w:rsidR="00D24E61" w:rsidRPr="00771368" w:rsidRDefault="00D24E61" w:rsidP="00D24E61">
      <w:pPr>
        <w:ind w:left="2268"/>
        <w:jc w:val="both"/>
        <w:rPr>
          <w:sz w:val="20"/>
          <w:szCs w:val="20"/>
        </w:rPr>
      </w:pPr>
      <w:r w:rsidRPr="00771368">
        <w:rPr>
          <w:sz w:val="20"/>
          <w:szCs w:val="20"/>
        </w:rPr>
        <w:t>hoje a imagem da pobreza é radicalizada: é o perigoso, o transgressor, o que rouba e não trabalha, sujeito à repressão e a extinção. São as “classes perigosas”, e não mais laboriosas, destinatárias da repressão. Reforça-se assim a violência institucionalizada, colocando-se em risco o direito à própria vida. (IAMAMOTO, 2009, p. 42).</w:t>
      </w:r>
    </w:p>
    <w:p w:rsidR="00D24E61" w:rsidRPr="00771368" w:rsidRDefault="00D24E61" w:rsidP="00D24E61">
      <w:pPr>
        <w:ind w:left="2268"/>
        <w:jc w:val="both"/>
      </w:pPr>
    </w:p>
    <w:p w:rsidR="00D24E61" w:rsidRPr="00771368" w:rsidRDefault="00D24E61" w:rsidP="00D24E61">
      <w:pPr>
        <w:spacing w:before="280" w:after="280" w:line="360" w:lineRule="auto"/>
        <w:ind w:firstLine="709"/>
        <w:jc w:val="both"/>
      </w:pPr>
      <w:r w:rsidRPr="00771368">
        <w:t xml:space="preserve">Percebe-se na citação supracitada que a ideologia da classe dominante reforça uma imagem depreciativa das classes subalternizadas, criminalizando-as por sua situação e reforçando o poder coercitivo do Estado que pode lançar mão da repressão institucionalizada (Exército e Polícia Militar) para combater a violência dos “transgressores”. Tal perspectiva ideológica desconsidera que a violência está intrinsecamente ligada ao modo como se produzem e se reproduzem as desigualdades na sociedade capitalista, gerando, entre outras coisas, um esvaziamento de seu conteúdo político. Apesar de a violência ser um fenômeno encontrado em diversas sociedades e em diferentes tempos históricos, não se pode deixar de considerá-la na sua relação com a sociedade capitalista que produz desigualdades e, consequentemente, mais violência (PEREIRA, 2011, p. 13).  </w:t>
      </w:r>
    </w:p>
    <w:p w:rsidR="00D24E61" w:rsidRPr="00771368" w:rsidRDefault="00D24E61" w:rsidP="00D24E61">
      <w:pPr>
        <w:spacing w:before="280" w:after="280" w:line="360" w:lineRule="auto"/>
        <w:jc w:val="both"/>
        <w:rPr>
          <w:b/>
        </w:rPr>
      </w:pPr>
      <w:r w:rsidRPr="00771368">
        <w:rPr>
          <w:b/>
        </w:rPr>
        <w:t>OBJETIVO GERAL</w:t>
      </w:r>
    </w:p>
    <w:p w:rsidR="00D24E61" w:rsidRPr="00771368" w:rsidRDefault="00D24E61" w:rsidP="00D24E61">
      <w:pPr>
        <w:spacing w:before="280" w:after="280" w:line="360" w:lineRule="auto"/>
        <w:ind w:firstLine="709"/>
        <w:jc w:val="both"/>
      </w:pPr>
      <w:r w:rsidRPr="00771368">
        <w:t>Identificar os aspectos sociais da violência contra a mulher junto às usuárias do Centro de Referência de Atendimento à Mulher em situação de Violência do município de Cabo Frio - Rio de Janeiro.</w:t>
      </w:r>
    </w:p>
    <w:p w:rsidR="00D24E61" w:rsidRPr="00771368" w:rsidRDefault="00D24E61" w:rsidP="00D24E61">
      <w:pPr>
        <w:spacing w:before="280" w:after="280" w:line="360" w:lineRule="auto"/>
        <w:jc w:val="both"/>
        <w:rPr>
          <w:b/>
        </w:rPr>
      </w:pPr>
      <w:r w:rsidRPr="00771368">
        <w:rPr>
          <w:b/>
        </w:rPr>
        <w:t>OBJETIVO ESPECÍFICO</w:t>
      </w:r>
    </w:p>
    <w:p w:rsidR="00D24E61" w:rsidRPr="00771368" w:rsidRDefault="00D24E61" w:rsidP="00D24E61">
      <w:pPr>
        <w:spacing w:before="280" w:after="280" w:line="360" w:lineRule="auto"/>
        <w:ind w:firstLine="709"/>
        <w:jc w:val="both"/>
      </w:pPr>
      <w:r w:rsidRPr="00771368">
        <w:t xml:space="preserve"> Identificar quais aspectos sociais da violência contra a mulher se apresentaram/estiveram presentes como potencializadores do ato da violência/nas experiências de violência vividas pelas usuárias do CRAM - Cabo Frio/RJ.</w:t>
      </w:r>
    </w:p>
    <w:p w:rsidR="00D24E61" w:rsidRPr="00771368" w:rsidRDefault="00D24E61" w:rsidP="00D24E61">
      <w:pPr>
        <w:spacing w:before="280" w:after="280" w:line="360" w:lineRule="auto"/>
        <w:jc w:val="both"/>
        <w:rPr>
          <w:b/>
        </w:rPr>
      </w:pPr>
      <w:r w:rsidRPr="00771368">
        <w:rPr>
          <w:b/>
        </w:rPr>
        <w:t>METODOLOGIA</w:t>
      </w:r>
    </w:p>
    <w:p w:rsidR="00D24E61" w:rsidRPr="00771368" w:rsidRDefault="00D24E61" w:rsidP="00D24E61">
      <w:pPr>
        <w:spacing w:line="360" w:lineRule="auto"/>
        <w:ind w:firstLine="851"/>
        <w:jc w:val="both"/>
      </w:pPr>
      <w:r w:rsidRPr="00771368">
        <w:t xml:space="preserve"> O presente trabalho foi elaborado através de um aprofundamento teórico acerca do debate sobre a categoria gênero e violência, privilegiando a violência perpetrada contra a mulher e fazendo uma análise dos aspectos sociais da violência contra a mulher que buscam o serviço prestado pelo Centro de Referência e Atendimento à Mulher em situação de Violência (CRAM) de Cabo Frio/RJ. A população usuária do CRAM/Cabo Frio/RJ são mulheres em situação de violência de gênero e doméstica, residentes nos municípios de Cabo Frio, Arraial do Cabo, Armação dos Búzios, São Pedro da Aldeia e Iguaba Grande. O CRAM - Cabo Frio/RJ possui um cadastro de 1237 usuárias em atendimento, isto é, todas aquelas que já buscaram os serviços prestados e que tem uma ficha cadastral de primeiro atendimento registrado na instituição. As usuárias são de diferentes camadas sociais, geralmente chegam logo após ter sofrido a violência. Estas são encaminhadas pelos hospitais e delegacias dos respectivos municípios. Todavia, a maioria das usuárias atendidas é por demanda espontânea. Em pesquisa realizada no 2º semestre de 2011 pelas estagiárias de Serviço Social, pôde</w:t>
      </w:r>
      <w:r w:rsidRPr="00771368">
        <w:rPr>
          <w:strike/>
        </w:rPr>
        <w:t>-se</w:t>
      </w:r>
      <w:r w:rsidRPr="00771368">
        <w:t xml:space="preserve"> ser identificado o perfil das mulheres que buscam o serviço do CRAM Cabo Frio/RJ, o qual aponta que </w:t>
      </w:r>
      <w:r w:rsidRPr="00771368">
        <w:rPr>
          <w:bCs/>
        </w:rPr>
        <w:t xml:space="preserve">83% </w:t>
      </w:r>
      <w:r w:rsidRPr="00771368">
        <w:t xml:space="preserve">possuem documentação civil. Essas mulheres são em </w:t>
      </w:r>
      <w:r w:rsidRPr="00771368">
        <w:rPr>
          <w:bCs/>
        </w:rPr>
        <w:t xml:space="preserve">75% </w:t>
      </w:r>
      <w:r w:rsidRPr="00771368">
        <w:t xml:space="preserve">naturais do estado do Rio de Janeiro e majoritariamente de Cabo Frio, na proporção de </w:t>
      </w:r>
      <w:r w:rsidRPr="00771368">
        <w:rPr>
          <w:bCs/>
        </w:rPr>
        <w:t>91%</w:t>
      </w:r>
      <w:r w:rsidRPr="00771368">
        <w:t xml:space="preserve">. Quanto à orientação sexual </w:t>
      </w:r>
      <w:r w:rsidRPr="00771368">
        <w:rPr>
          <w:bCs/>
        </w:rPr>
        <w:t xml:space="preserve">83% </w:t>
      </w:r>
      <w:r w:rsidRPr="00771368">
        <w:t xml:space="preserve">declaram heterossexualidade. As mulheres pesquisadas se declararam </w:t>
      </w:r>
      <w:r w:rsidRPr="00771368">
        <w:rPr>
          <w:bCs/>
        </w:rPr>
        <w:t xml:space="preserve">50% </w:t>
      </w:r>
      <w:r w:rsidRPr="00771368">
        <w:t xml:space="preserve">brancas, </w:t>
      </w:r>
      <w:r w:rsidRPr="00771368">
        <w:rPr>
          <w:bCs/>
        </w:rPr>
        <w:t>29%</w:t>
      </w:r>
      <w:r w:rsidRPr="00771368">
        <w:t xml:space="preserve"> pardas, </w:t>
      </w:r>
      <w:r w:rsidRPr="00771368">
        <w:rPr>
          <w:bCs/>
        </w:rPr>
        <w:t xml:space="preserve">17% </w:t>
      </w:r>
      <w:r w:rsidRPr="00771368">
        <w:t xml:space="preserve">negras e 1% asiática. A caracterização etária das mulheres em situação de violência apresenta duas faixas de idade mais expressivas: </w:t>
      </w:r>
      <w:smartTag w:uri="urn:schemas-microsoft-com:office:smarttags" w:element="metricconverter">
        <w:smartTagPr>
          <w:attr w:name="ProductID" w:val="21 a"/>
        </w:smartTagPr>
        <w:r w:rsidRPr="00771368">
          <w:rPr>
            <w:bCs/>
          </w:rPr>
          <w:t xml:space="preserve">21 </w:t>
        </w:r>
        <w:r w:rsidRPr="00771368">
          <w:t>a</w:t>
        </w:r>
      </w:smartTag>
      <w:r w:rsidRPr="00771368">
        <w:t xml:space="preserve"> </w:t>
      </w:r>
      <w:r w:rsidRPr="00771368">
        <w:rPr>
          <w:bCs/>
        </w:rPr>
        <w:t xml:space="preserve">35 </w:t>
      </w:r>
      <w:r w:rsidRPr="00771368">
        <w:t xml:space="preserve">anos, e </w:t>
      </w:r>
      <w:smartTag w:uri="urn:schemas-microsoft-com:office:smarttags" w:element="metricconverter">
        <w:smartTagPr>
          <w:attr w:name="ProductID" w:val="41 a"/>
        </w:smartTagPr>
        <w:r w:rsidRPr="00771368">
          <w:rPr>
            <w:bCs/>
          </w:rPr>
          <w:t xml:space="preserve">41 </w:t>
        </w:r>
        <w:r w:rsidRPr="00771368">
          <w:t>a</w:t>
        </w:r>
      </w:smartTag>
      <w:r w:rsidRPr="00771368">
        <w:t xml:space="preserve"> </w:t>
      </w:r>
      <w:r w:rsidRPr="00771368">
        <w:rPr>
          <w:bCs/>
        </w:rPr>
        <w:t xml:space="preserve">50 </w:t>
      </w:r>
      <w:r w:rsidRPr="00771368">
        <w:t>anos. Em relação ao estado civil</w:t>
      </w:r>
      <w:r w:rsidRPr="00771368">
        <w:rPr>
          <w:i/>
          <w:iCs/>
        </w:rPr>
        <w:t xml:space="preserve"> </w:t>
      </w:r>
      <w:r w:rsidRPr="00771368">
        <w:t xml:space="preserve">as maiores proporções apresentadas foram as de casadas e separadas/divorciadas, respectivamente </w:t>
      </w:r>
      <w:r w:rsidRPr="00771368">
        <w:rPr>
          <w:bCs/>
        </w:rPr>
        <w:t xml:space="preserve">46% </w:t>
      </w:r>
      <w:r w:rsidRPr="00771368">
        <w:t xml:space="preserve">e </w:t>
      </w:r>
      <w:r w:rsidRPr="00771368">
        <w:rPr>
          <w:bCs/>
        </w:rPr>
        <w:t>23%</w:t>
      </w:r>
      <w:r w:rsidRPr="00771368">
        <w:t xml:space="preserve">. O perfil da mulher em situação de violência atendida pelo CRAM - Cabo Frio/RJ e público alvo nesse estudo, desenvolve atividade profissional num percentual de </w:t>
      </w:r>
      <w:r w:rsidRPr="00771368">
        <w:rPr>
          <w:bCs/>
        </w:rPr>
        <w:t xml:space="preserve">48% </w:t>
      </w:r>
      <w:r w:rsidRPr="00771368">
        <w:t>(ALVES, 2011, p. 95).</w:t>
      </w:r>
    </w:p>
    <w:p w:rsidR="00D24E61" w:rsidRPr="00771368" w:rsidRDefault="00D24E61" w:rsidP="00D24E61">
      <w:pPr>
        <w:autoSpaceDE w:val="0"/>
        <w:spacing w:line="360" w:lineRule="auto"/>
        <w:ind w:firstLine="851"/>
        <w:jc w:val="both"/>
      </w:pPr>
      <w:r w:rsidRPr="00771368">
        <w:t xml:space="preserve">A aplicação do questionário para coleta de dados da presente pesquisa foi realizada durante 8 dias, no horário das 10h às 17h. Para esta pesquisa optou-se por um recorte de </w:t>
      </w:r>
      <w:smartTag w:uri="urn:schemas-microsoft-com:office:smarttags" w:element="metricconverter">
        <w:smartTagPr>
          <w:attr w:name="ProductID" w:val="30 a"/>
        </w:smartTagPr>
        <w:r w:rsidRPr="00771368">
          <w:t>30 a</w:t>
        </w:r>
      </w:smartTag>
      <w:r w:rsidRPr="00771368">
        <w:t xml:space="preserve"> 50 usuárias, tendo em vista que, nem sempre é possível a realização de atendimento, pois a demanda costuma ser espontânea e há dias em que nenhum atendimento é realizado. Este número de entrevistadas representa um percentual relevante para a análise quali-quantitativa que se pretende para o atendimento dos objetivos da pesquisa. Foram pesquisadas o total de 30 mulheres, sendo 6 questionários aplicados no primeiro dia, 4 no segundo dia, 4 no terceiro dia, 3 no quarto dia, 3 no quinto dia, 3 no sexto dia, 5 no sétimo dia e 2 no oitavo dia, tal como indica o quadro abaixo.</w:t>
      </w:r>
    </w:p>
    <w:p w:rsidR="00D24E61" w:rsidRPr="00771368" w:rsidRDefault="00D24E61" w:rsidP="00D24E61">
      <w:pPr>
        <w:spacing w:line="360" w:lineRule="auto"/>
        <w:ind w:firstLine="851"/>
        <w:jc w:val="both"/>
      </w:pPr>
      <w:r w:rsidRPr="00771368">
        <w:t>O questionário foi aplicado pessoalmente pela pesquisadora junto às entrevistadas (mulheres atendidas no CRAM - Cabo Frio/RJ), como uma forma de possibilitar que as entrevistadas sejam orientadas acerca da interpretação correta das questões referentes ao questionário. Para que a experiência da coleta de dados fosse concretizada, foi realizado inicialmente, o acompanhamento aos atendimentos prestados pelo CRAM - Cabo Frio/RJ às mulheres em situação de violência, com o objetivo de uma aproximação à realidade e, em seguida operou-se a aplicação do questionário de coleta de dados desta pesquisa. Após a coleta, os dados obtidos através da aplicação do questionário foram sistematizados em indicadores quantitativos e representados através de percentual.</w:t>
      </w:r>
    </w:p>
    <w:p w:rsidR="00D24E61" w:rsidRPr="00771368" w:rsidRDefault="00D24E61" w:rsidP="00D24E61">
      <w:pPr>
        <w:spacing w:line="360" w:lineRule="auto"/>
        <w:ind w:firstLine="851"/>
        <w:jc w:val="both"/>
      </w:pPr>
      <w:r w:rsidRPr="00771368">
        <w:t xml:space="preserve">A aplicação do questionário contou com a participação de </w:t>
      </w:r>
      <w:r w:rsidRPr="00771368">
        <w:rPr>
          <w:i/>
        </w:rPr>
        <w:t>trinta</w:t>
      </w:r>
      <w:r w:rsidRPr="00771368">
        <w:t xml:space="preserve"> mulheres atendidas pelo CRAM - Cabo Frio/RJ, neste sentido considera-se ter atingido o alvo quantitativo planejado. Em algumas situações foi preciso fazer esclarecimentos, tais como a compreensão acerca do conceito de gênero (diferença biológica e/ou social entre homens e mulheres), pois algumas usuárias não tinham o conhecimento desta concepção.</w:t>
      </w:r>
    </w:p>
    <w:p w:rsidR="00D24E61" w:rsidRPr="00771368" w:rsidRDefault="00D24E61" w:rsidP="00D24E61">
      <w:pPr>
        <w:autoSpaceDE w:val="0"/>
        <w:spacing w:line="360" w:lineRule="auto"/>
        <w:ind w:firstLine="851"/>
        <w:jc w:val="both"/>
      </w:pPr>
      <w:r w:rsidRPr="00771368">
        <w:t xml:space="preserve">O estudo dos dados da presente pesquisa buscou analisar os aspectos sociais da violência contra a mulher a fim de se pensar em outras estratégias de enfrentamento à violência contra as mulheres atendidas no CRAM Cabo Frio/RJ. </w:t>
      </w:r>
    </w:p>
    <w:p w:rsidR="00D24E61" w:rsidRPr="00771368" w:rsidRDefault="00D24E61" w:rsidP="00D24E61">
      <w:pPr>
        <w:autoSpaceDE w:val="0"/>
        <w:spacing w:line="360" w:lineRule="auto"/>
        <w:ind w:firstLine="851"/>
        <w:jc w:val="both"/>
        <w:rPr>
          <w:b/>
        </w:rPr>
      </w:pPr>
      <w:r w:rsidRPr="00771368">
        <w:t xml:space="preserve">A análise dos dados foi realizada utilizando-se a seguinte organização metodológica: identificação do </w:t>
      </w:r>
      <w:r w:rsidRPr="00771368">
        <w:rPr>
          <w:bCs/>
        </w:rPr>
        <w:t xml:space="preserve">perfil das mulheres </w:t>
      </w:r>
      <w:r w:rsidRPr="00771368">
        <w:t xml:space="preserve">que buscam o serviço do CRAM Cabo Frio/RJ; </w:t>
      </w:r>
      <w:r w:rsidRPr="00771368">
        <w:rPr>
          <w:bCs/>
        </w:rPr>
        <w:t>perfil do agressor das mulheres pesquisadas; caracterização da violência sofrida; concepção de gênero das mulheres pesquisadas; “aspecto econômico” da situação de violência;</w:t>
      </w:r>
      <w:r w:rsidRPr="00771368">
        <w:t xml:space="preserve"> presença das drogas na situação de violência; presença do ciúme na situação de violência e na relação entre mídia e violência. </w:t>
      </w:r>
    </w:p>
    <w:p w:rsidR="00D24E61" w:rsidRPr="00771368" w:rsidRDefault="00D24E61" w:rsidP="00D24E61"/>
    <w:p w:rsidR="00D24E61" w:rsidRPr="00771368" w:rsidRDefault="00D24E61" w:rsidP="00D24E61">
      <w:pPr>
        <w:rPr>
          <w:b/>
          <w:color w:val="FF0000"/>
        </w:rPr>
      </w:pPr>
      <w:r w:rsidRPr="00771368">
        <w:rPr>
          <w:b/>
        </w:rPr>
        <w:t xml:space="preserve">Perfil das mulheres pesquisadas </w:t>
      </w:r>
    </w:p>
    <w:p w:rsidR="00D24E61" w:rsidRPr="00771368" w:rsidRDefault="00D24E61" w:rsidP="00D24E61">
      <w:pPr>
        <w:spacing w:line="360" w:lineRule="auto"/>
        <w:jc w:val="both"/>
      </w:pPr>
    </w:p>
    <w:p w:rsidR="00D24E61" w:rsidRPr="00771368" w:rsidRDefault="00D24E61" w:rsidP="00D24E61">
      <w:pPr>
        <w:spacing w:line="360" w:lineRule="auto"/>
        <w:ind w:firstLine="851"/>
        <w:jc w:val="both"/>
      </w:pPr>
      <w:r w:rsidRPr="00771368">
        <w:t>O perfil da mulher em situação de violência foi analisado da seguinte forma: idade (faixa etária), etnia/cor, estado civil, escolaridade e número de filhos.</w:t>
      </w:r>
    </w:p>
    <w:p w:rsidR="00D24E61" w:rsidRPr="00771368" w:rsidRDefault="00D24E61" w:rsidP="00D24E61">
      <w:pPr>
        <w:spacing w:line="360" w:lineRule="auto"/>
        <w:ind w:firstLine="851"/>
        <w:jc w:val="both"/>
      </w:pPr>
      <w:r w:rsidRPr="00771368">
        <w:t xml:space="preserve">A caracterização do perfil indica que, no que se refere à idade e/ou faixa etária das mulheres pesquisadas, a violência contra a mulher é uma experiência que pode acompanhá-las no decorrer de suas vidas. O período de maior incidência da violência ocorre entre os </w:t>
      </w:r>
      <w:smartTag w:uri="urn:schemas-microsoft-com:office:smarttags" w:element="metricconverter">
        <w:smartTagPr>
          <w:attr w:name="ProductID" w:val="22 a"/>
        </w:smartTagPr>
        <w:r w:rsidRPr="00771368">
          <w:t>22 a</w:t>
        </w:r>
      </w:smartTag>
      <w:r w:rsidRPr="00771368">
        <w:t xml:space="preserve"> 40 anos, somando 70% do total de entrevistadas e, por outro lado, o período de menor incidência refere-se às mulheres mais jovens e mais idosas, as quais somadas representam 30%. Esse resultado expõe uma realidade de violência contra as mulheres no período de vida em que estas estariam em pleno desenvolvimento de suas potencialidades, seja de trabalho, afetivas e sociais.</w:t>
      </w:r>
      <w:r w:rsidRPr="00771368">
        <w:rPr>
          <w:b/>
        </w:rPr>
        <w:t xml:space="preserve">                            </w:t>
      </w:r>
    </w:p>
    <w:p w:rsidR="00D24E61" w:rsidRPr="00771368" w:rsidRDefault="00D24E61" w:rsidP="00D24E61">
      <w:pPr>
        <w:spacing w:line="360" w:lineRule="auto"/>
        <w:ind w:firstLine="851"/>
        <w:jc w:val="both"/>
      </w:pPr>
      <w:r w:rsidRPr="00771368">
        <w:t>A identificação da etnia/cor dos sujeitos já foi considerada uma forma de discriminação racial e gerou polêmica ao ser inserido em formulários e pesquisas, todavia, atualmente compreende-se a grande importância deste indicador no que tange a perspectiva de inclusão e de análise das situações históricas de desigualdade sofridas por algumas etnias no Brasil, como a população afrodescendente e indígena, por exemplo. Neste estudo, buscou-se identificar o perfil étnico-racial das mulheres vítimas de violência a partir da autodeclaração das mulheres pesquisadas. A predominância da autodeclaração de cor branca, representada por 53%, 30% da cor parda e 17% da cor negra. Nota-se que a violência contra a mulher é um fenômeno que não está ligada predominantemente ao corte ético-racial que abrange a população negra, historicamente desfavorecida por nossa gênese sócio-histórica.</w:t>
      </w:r>
    </w:p>
    <w:p w:rsidR="00D24E61" w:rsidRPr="00771368" w:rsidRDefault="00D24E61" w:rsidP="00D24E61">
      <w:pPr>
        <w:spacing w:line="360" w:lineRule="auto"/>
        <w:ind w:firstLine="851"/>
        <w:jc w:val="both"/>
      </w:pPr>
      <w:r w:rsidRPr="00771368">
        <w:t>A análise do estado civil das mulheres</w:t>
      </w:r>
      <w:r w:rsidRPr="00771368">
        <w:rPr>
          <w:color w:val="FF0000"/>
        </w:rPr>
        <w:t xml:space="preserve"> </w:t>
      </w:r>
      <w:r w:rsidRPr="00771368">
        <w:t>permite fazer uma interlocução entre a violência e a relação de conjugabilidade e/ou afetividade entre os sujeitos envolvidos, caracterizando desta forma a violência doméstica e familiar no âmbito da Lei Maria da Penha. A pesquisa aponta um percentual de 54% de mulheres casadas. Todavia, deve-se considerar o segundo maior percentual de 23% de mulheres divorciadas/separadas. Vale ressaltar que as que se declararam ter uma situação civil de conjugabilidade, isto é, as casadas e as com união estável, somam 57%. Já as mulheres que declararam não ter relação civil com um cônjuge somam 43% (solteiras, divorciadas e viúvas).</w:t>
      </w:r>
    </w:p>
    <w:p w:rsidR="00D24E61" w:rsidRPr="00771368" w:rsidRDefault="00D24E61" w:rsidP="00D24E61">
      <w:pPr>
        <w:autoSpaceDE w:val="0"/>
        <w:autoSpaceDN w:val="0"/>
        <w:adjustRightInd w:val="0"/>
        <w:spacing w:line="360" w:lineRule="auto"/>
        <w:ind w:firstLine="851"/>
        <w:jc w:val="both"/>
      </w:pPr>
      <w:r w:rsidRPr="00771368">
        <w:t>A temática da violência contra as mulheres está, sobretudo, ligada à implicação feita com a relação afetiva de conjugabilidade. Foi corrente, durante os primeiros anos de denúncia dessa violência, a idéia de permanência nas relações pelo receio das mulheres em enfrentá-la; o que convergiu por fortalecer uma idéia de vitimização frente ao fenômeno. O medo é um fator real que estará sempre presente nas relações de violência, e com características próprias quando concernentes à violência doméstica e familiar. A decisão de busca ou não por ajuda com a perspectiva de rompimento/enfrentamento da situação de violência está ligada a inúmeros condicionantes como: laços de afetividade entre as partes, ausência/apoio familiar, dependência/independência financeira e/ou afetiva e risco de morte.</w:t>
      </w:r>
    </w:p>
    <w:p w:rsidR="00D24E61" w:rsidRPr="00771368" w:rsidRDefault="00D24E61" w:rsidP="00D24E61">
      <w:pPr>
        <w:spacing w:line="360" w:lineRule="auto"/>
        <w:ind w:firstLine="851"/>
        <w:jc w:val="both"/>
      </w:pPr>
      <w:r w:rsidRPr="00771368">
        <w:t xml:space="preserve">A escolaridade é um indicador que possibilita o estudo da violência, pois é tido por alguns estudiosos como um fator que proporciona a ascenção social e a conquista da autonomia e independência das mulheres, além disso, propicia o enriquecimento cultural, que tem rebatimentos na concepção de mundo, na compreensão da sua situação de vida e da sociedade, etc. O resultado da pesquisa apresenta um total de 97% de mulheres com escolaridade e o restante 3%, corresponde em números absolutos 1 mulher pesquisada, que nunca estudou. Porém, a maior concentração, de 30%, está situada na faixa do ensino médio completo. Observa-se que 43% das mulheres pesquisadas acessaram o ensino fundamental e que 21% acessaram o ensino superior. As que concluiram o ensino superior, em números absolutos correspondem a 7 entrevistadas. </w:t>
      </w:r>
    </w:p>
    <w:p w:rsidR="00D24E61" w:rsidRPr="00771368" w:rsidRDefault="00D24E61" w:rsidP="00D24E61">
      <w:pPr>
        <w:spacing w:line="360" w:lineRule="auto"/>
        <w:ind w:firstLine="851"/>
        <w:jc w:val="both"/>
      </w:pPr>
      <w:r w:rsidRPr="00771368">
        <w:t>Segundo levantamento realizado em 2011 pelo Anuário das Mulheres Brasileiras, as mulheres em média, estudaram dois anos a mais que os homens, porém continuam exercendo empregos menos qualificados e com salários mais baixos. Ou seja, as mulheres tem mais estudo e em contrapartida baixa remuneração. Essa é uma das diferenças de gênero apontadas pelo referido levantamento de dados.</w:t>
      </w:r>
    </w:p>
    <w:p w:rsidR="00D24E61" w:rsidRPr="00771368" w:rsidRDefault="00D24E61" w:rsidP="00D24E61">
      <w:pPr>
        <w:spacing w:line="360" w:lineRule="auto"/>
        <w:ind w:firstLine="851"/>
        <w:jc w:val="both"/>
      </w:pPr>
      <w:r w:rsidRPr="00771368">
        <w:t>O número de filhos é um elemento que deve ser analisado no contexto da situação de violência. A pesquisa apontou que 83% das mulheres pesquisadas têm filhos. Dessas, 36% tem 1 filho, com o percentual de 20% vem as mulheres com até 2 filhos e 20%</w:t>
      </w:r>
      <w:r w:rsidRPr="00771368">
        <w:rPr>
          <w:color w:val="FF0000"/>
        </w:rPr>
        <w:t xml:space="preserve"> </w:t>
      </w:r>
      <w:r w:rsidRPr="00771368">
        <w:t>as mulheres com até 3 filhos. A presença de filhos na vida das mulheres em situação de violência é um fator que influencia na tomada de decisões, principalmente no que tange o rompimento da situação de violência, pois muitas acreditam que a “separação” prejudicaria o pleno desenvolvimento dos filhos e acarretaria danos emocionais aos mesmos. Durante a aplicação do questionário, algumas entrevistadas relataram que se sentem “desconfortáveis” com o fato de romper com a situação de violência e temem serem rejeitadas pelos filhos. Tal fato corrobora para o que Saffioti (2004) denominou de relação de co-dependência, ou seja, quando há uma relação de dependência emocional.</w:t>
      </w:r>
    </w:p>
    <w:p w:rsidR="00D24E61" w:rsidRPr="00771368" w:rsidRDefault="00D24E61" w:rsidP="00D24E61">
      <w:pPr>
        <w:rPr>
          <w:b/>
        </w:rPr>
      </w:pPr>
    </w:p>
    <w:p w:rsidR="00D24E61" w:rsidRPr="00771368" w:rsidRDefault="00D24E61" w:rsidP="00D24E61">
      <w:pPr>
        <w:rPr>
          <w:b/>
        </w:rPr>
      </w:pPr>
      <w:r w:rsidRPr="00771368">
        <w:rPr>
          <w:b/>
        </w:rPr>
        <w:t>Caracterização da violência sofrida</w:t>
      </w:r>
    </w:p>
    <w:p w:rsidR="00D24E61" w:rsidRPr="00771368" w:rsidRDefault="00D24E61" w:rsidP="00D24E61">
      <w:pPr>
        <w:rPr>
          <w:b/>
          <w:u w:val="single"/>
        </w:rPr>
      </w:pPr>
    </w:p>
    <w:p w:rsidR="00D24E61" w:rsidRPr="00771368" w:rsidRDefault="00D24E61" w:rsidP="00D24E61">
      <w:pPr>
        <w:rPr>
          <w:b/>
          <w:u w:val="single"/>
        </w:rPr>
      </w:pPr>
    </w:p>
    <w:p w:rsidR="00D24E61" w:rsidRPr="00771368" w:rsidRDefault="00D24E61" w:rsidP="00D24E61">
      <w:pPr>
        <w:autoSpaceDE w:val="0"/>
        <w:autoSpaceDN w:val="0"/>
        <w:adjustRightInd w:val="0"/>
        <w:spacing w:line="360" w:lineRule="auto"/>
        <w:ind w:firstLine="851"/>
        <w:jc w:val="both"/>
      </w:pPr>
      <w:r w:rsidRPr="00771368">
        <w:t xml:space="preserve">Na caracterização da violência sofrida pelas mulheres pesquisadas, foram considerados a violência física, a violência psicológica, a violência sexual, a violência patrimonial e o autor da agressão. Vale ressaltar que a Convenção de Belém do Pará traz em seu artigo 1º a definição de “violência contra as mulheres” como sendo “qualquer ato ou conduta baseada no gênero, que cause morte, dano ou sofrimento físico, sexual ou psicológico à mulher, tanto na esfera pública como na esfera privada”. Nesse sentido, considera as diferentes formas de violência inclusive no que diz respeito ao tráfico de mulheres, assédio moral e a violência sofrida pelas mulheres que exercem atividade de prostituição. Esse indicador é relevante nessa pesquisa, visto que a violência física é a motivação principal na implantação de políticas públicas para as mulheres nas últimas décadas no Brasil, como exemplo a ampliação do número dos Centros de Referência de Atendimento à Mulher, nos últimos anos. Como índice de maior incidência essa pesquisa aponta as violências: física (lesão corporal) e psicológica, na proporção unânime de </w:t>
      </w:r>
      <w:r w:rsidRPr="00771368">
        <w:rPr>
          <w:bCs/>
        </w:rPr>
        <w:t xml:space="preserve">100%, sendo que 7% das mulheres pesquisadas, disseram ter sofrido agressão física 1 vez, 13% disseram ter sofrido 2 vezes, 7% disseram ter sofrido 3 vezes e 73% disseram ter sofrido mais de 4 vezes. </w:t>
      </w:r>
      <w:r w:rsidRPr="00771368">
        <w:t>Nota-se que a agressão física, caracterizada como lesão corporal é que tem justificado as ações de enfrentamento à violência. Observa-se que no presente estudo, todas as mulheres pesquisadas que sofreram violência física, também sofreram violência psicológica.</w:t>
      </w:r>
    </w:p>
    <w:p w:rsidR="00D24E61" w:rsidRPr="00771368" w:rsidRDefault="00D24E61" w:rsidP="00D24E61">
      <w:pPr>
        <w:spacing w:line="360" w:lineRule="auto"/>
        <w:ind w:firstLine="851"/>
        <w:jc w:val="both"/>
      </w:pPr>
      <w:r w:rsidRPr="00771368">
        <w:t>No que tange a violência psicológica, vale ressaltar que há pouco tempo, nossa realidade penal não a considerava uma ação dolosa, somente com a promulgação da “Lei Maria da Penha” esta foi reconhecida como crime por acarretar danos emocionais em grande escala as mulheres. De acordo com a pesquisa realizada, todas as mulheres que disseram ter sofrido agressão física, também sofreram violência psicológica na mesma proporção, ou seja, 100%  sofreram agressão psicológica e majoritariamente 73% sofreram mais de 4 vezes. Constata-se que na referente pesquisa não ouve dados acerca da violência sexual e patrimonial, prevalecendo os dados referentes a violência física e psicológica. E vale refletir acerca da violência sexual como um fenômeno de “naturalização” e/ou “invisibilidade” do estupro conjugal, onde muitas mulheres ainda não tem a percepção de que o sexo forçado e/ou de maneira agressiva (mesmo que com o cônjuge) se configura em violência sexual. Não houve percentual de violência sexual e patrimonial na referida pesquisa.</w:t>
      </w:r>
    </w:p>
    <w:p w:rsidR="00D24E61" w:rsidRPr="00771368" w:rsidRDefault="00D24E61" w:rsidP="00D24E61">
      <w:pPr>
        <w:autoSpaceDE w:val="0"/>
        <w:spacing w:line="360" w:lineRule="auto"/>
        <w:ind w:firstLine="851"/>
        <w:jc w:val="both"/>
      </w:pPr>
      <w:r w:rsidRPr="00771368">
        <w:t xml:space="preserve">O </w:t>
      </w:r>
      <w:r w:rsidRPr="00771368">
        <w:rPr>
          <w:bCs/>
        </w:rPr>
        <w:t xml:space="preserve">autor da violência é um elemento </w:t>
      </w:r>
      <w:r w:rsidRPr="00771368">
        <w:t xml:space="preserve">significativo no sentido de caracterizar a dimensão e complexidade da violência e sua relação de conjugabilidade. Demonstra claramente que a violência é um fenômeno que permeia as relações afetivas sejam de conjugabilidade ou não. O resultado desta pesquisa apresenta a sequência de marido/companheiro, namorado e pai na proporção de 54%, 40% e 3% respectivamente. Ressalta-se o índice de 3% de violência sofrida por outros/terceiros, que pode ser um vizinho ou um colega de trabalho. No geral, 97% das mulheres pesquisadas sofreram violência de pessoas com elevado nível de proximidade. Supõe-se que mesmo quando as mulheres decidem pelo rompimento das relações de violência continuam correndo riscos de segurança ou até mesmo de morte, em alguns casos. Conforme dados da Pesquisa Nacional por Amostra de Domicílio (2009), 25,9% das mulheres foram “vítimas” de violência doméstica e o percentual subiu para 30,1% em 2011, onde a maioria das situações de violência registradas foi perpetrada por maridos/companheiros. Vale ressaltar que, a violência contra a mulher é reflexo de uma cultura machista pautada na figura/exaltação do homem e que é produzida culturalmente e reproduzida na sociedade, caracterizando-se desta forma, como um aspecto social. </w:t>
      </w:r>
    </w:p>
    <w:p w:rsidR="00D24E61" w:rsidRPr="00771368" w:rsidRDefault="00D24E61" w:rsidP="00D24E61">
      <w:pPr>
        <w:rPr>
          <w:b/>
        </w:rPr>
      </w:pPr>
    </w:p>
    <w:p w:rsidR="00D24E61" w:rsidRPr="00771368" w:rsidRDefault="00D24E61" w:rsidP="00D24E61">
      <w:pPr>
        <w:rPr>
          <w:b/>
        </w:rPr>
      </w:pPr>
      <w:r w:rsidRPr="00771368">
        <w:rPr>
          <w:b/>
        </w:rPr>
        <w:t>Concepção de genêro das mulheres pesquisadas</w:t>
      </w:r>
    </w:p>
    <w:p w:rsidR="00D24E61" w:rsidRPr="00771368" w:rsidRDefault="00D24E61" w:rsidP="00D24E61">
      <w:pPr>
        <w:spacing w:line="360" w:lineRule="auto"/>
        <w:jc w:val="both"/>
      </w:pPr>
    </w:p>
    <w:p w:rsidR="00D24E61" w:rsidRPr="00771368" w:rsidRDefault="00D24E61" w:rsidP="00D24E61">
      <w:pPr>
        <w:spacing w:line="360" w:lineRule="auto"/>
        <w:ind w:firstLine="851"/>
        <w:jc w:val="both"/>
      </w:pPr>
      <w:r w:rsidRPr="00771368">
        <w:t>No que diz respeito a “concepção de gênero das mulheres pesquisadas” foram analisados a principal diferença entre homens e mulheres, a responsabilidade pelo sustento da casa, as tarefas domésticas como atribuições somente das mulheres, a superioridade masculina, o machismo e a sociedade e a relação entre desigualdade salarial e machismo.</w:t>
      </w:r>
    </w:p>
    <w:p w:rsidR="00D24E61" w:rsidRPr="00771368" w:rsidRDefault="00D24E61" w:rsidP="00D24E61">
      <w:pPr>
        <w:spacing w:line="360" w:lineRule="auto"/>
        <w:ind w:firstLine="851"/>
        <w:jc w:val="both"/>
      </w:pPr>
      <w:r w:rsidRPr="00771368">
        <w:t>A referida pesquisa demonstra um percentual de 87% mulheres sinalizando que a principal diferença entre homens e mulheres é biológica. Observa-se que, 13% afirmaram que a principal diferença se dá através do papel atribuído a homens e mulheres na sociedade. Nota-se que a concepção de gênero referente a principal diferença entre homens e mulheres ainda possui um olhar biologicista, e que a minoria pesquisada compreende que tal diferença vai para além da questão biológica/sexual. Com relação à questão comportamental, não houve menção por parte das entrevistadas.</w:t>
      </w:r>
    </w:p>
    <w:p w:rsidR="00D24E61" w:rsidRPr="00771368" w:rsidRDefault="00D24E61" w:rsidP="00D24E61">
      <w:pPr>
        <w:spacing w:line="360" w:lineRule="auto"/>
        <w:ind w:firstLine="851"/>
        <w:jc w:val="both"/>
      </w:pPr>
      <w:r w:rsidRPr="00771368">
        <w:t>No que tange a responsabilidade pelo sustento da casa, dados apontam que 57% das mulheres pesquisadas atribuem tal responsabilidade ao homem, enquanto 43% afirmaram que cabe aos dois (marido e mulher) a provisão do lar. Embora, as mulheres tenham se inserido no mercado de trabalho e conquistado alguns espaços que até então, era destinado aos homens, ainda tende a prevalecer a cultura de que o sustento da casa é “obrigação” e/ou dever do homem, ou seja, se faz necessário desconstruir alguns papéis atribuídos a homens e mulheres a fim de romper com a desigualdade de gênero. Assim como o sustento da casa não deve ser visto apenas como “obrigação/dever” do homem, as tarefas domésticas não devem ser vistas  apenas como “obrigação/dever” das mulheres, pois o tempo que estas se dedicam a atividades domésticas se configura em dispêndio de força de trabalho e se ainda trabalham fora para colaborar com orçamento familiar, configura-se em dupla jornada de trabalho e, de acordo o Anuário das Mulheres Brasileiras (2011) este foi apontado como um grande “problema” para as mulheres pesquisadas, pois a dupla jornada de trabalho causa desgaste físico e até mesmo emocional. Outro indicador que suscita uma reflexão interessante acerca da concepção de gênero está ligado a responsabilidade pelos afazeres domésticos. Majoritariamente, 80% das entrevistadas responderam que as tarefas domésticas não devem ser tidas apenas como atribuição das mulheres enquanto que, 20% das mulheres pesquisadas responderam que as tarefas domésticas são de responsabilidade apenas das mulheres. É sabido dizer que, a entrada das mulheres no mercado de trabalho, trouxe mudanças significativas no âmbito familiar e que as tarefas domésticas que até então, eram destinadas apenas as mulheres, foram divididas entre marido/companheiro e filhos. Porém, se para a maioria das mulheres que participaram do presente estudo, as tarefas domésticas não devem ser encaradas como “responsabilidade” apenas das mulheres, por que a maioria respondeu que cabe ao homem o sustento da casa? Observa-se que alguns papéis estão enraizados na sociedade e que para desconstruí-los é preciso um trabalho educativo a fim de desmistificar tais concepções tão arraigadas no padrão de sociedade que vivemos.</w:t>
      </w:r>
    </w:p>
    <w:p w:rsidR="00D24E61" w:rsidRPr="00771368" w:rsidRDefault="00D24E61" w:rsidP="00D24E61">
      <w:pPr>
        <w:spacing w:line="360" w:lineRule="auto"/>
        <w:jc w:val="both"/>
        <w:rPr>
          <w:b/>
        </w:rPr>
      </w:pPr>
    </w:p>
    <w:p w:rsidR="00D24E61" w:rsidRPr="00771368" w:rsidRDefault="00D24E61" w:rsidP="00D24E61">
      <w:pPr>
        <w:spacing w:line="360" w:lineRule="auto"/>
        <w:jc w:val="both"/>
        <w:rPr>
          <w:color w:val="FF0000"/>
        </w:rPr>
      </w:pPr>
      <w:r w:rsidRPr="00771368">
        <w:rPr>
          <w:b/>
        </w:rPr>
        <w:t>O “aspecto econômico” da situação de violência</w:t>
      </w:r>
    </w:p>
    <w:p w:rsidR="00D24E61" w:rsidRPr="00771368" w:rsidRDefault="00D24E61" w:rsidP="00D24E61">
      <w:pPr>
        <w:spacing w:line="360" w:lineRule="auto"/>
        <w:ind w:firstLine="851"/>
        <w:jc w:val="both"/>
      </w:pPr>
    </w:p>
    <w:p w:rsidR="00D24E61" w:rsidRPr="00771368" w:rsidRDefault="00D24E61" w:rsidP="00D24E61">
      <w:pPr>
        <w:spacing w:line="360" w:lineRule="auto"/>
        <w:ind w:firstLine="851"/>
        <w:jc w:val="both"/>
      </w:pPr>
      <w:r w:rsidRPr="00771368">
        <w:t>No que diz respeito ao “aspecto econômico” da situação de violência, foram analisados a renda das mulheres pesquisadas, a situação profissional das mulheres pesquisadas, renda do agressor, o principal provedor familiar e situação econômica do agressor.</w:t>
      </w:r>
    </w:p>
    <w:p w:rsidR="00D24E61" w:rsidRPr="00771368" w:rsidRDefault="00D24E61" w:rsidP="00D24E61">
      <w:pPr>
        <w:autoSpaceDE w:val="0"/>
        <w:spacing w:line="360" w:lineRule="auto"/>
        <w:ind w:firstLine="851"/>
        <w:jc w:val="both"/>
      </w:pPr>
      <w:r w:rsidRPr="00771368">
        <w:t xml:space="preserve">A </w:t>
      </w:r>
      <w:r w:rsidRPr="00771368">
        <w:rPr>
          <w:bCs/>
        </w:rPr>
        <w:t>renda das mulheres pesquisadas revela que</w:t>
      </w:r>
      <w:r w:rsidRPr="00771368">
        <w:t xml:space="preserve">, </w:t>
      </w:r>
      <w:r w:rsidRPr="00771368">
        <w:rPr>
          <w:bCs/>
        </w:rPr>
        <w:t xml:space="preserve">90% </w:t>
      </w:r>
      <w:r w:rsidRPr="00771368">
        <w:t xml:space="preserve">das mulheres possuem renda. O percentual de 10% abarca as mulheres sem renda. A renda mensal que prevalece nesse quadro diz respeito à faixa de renda </w:t>
      </w:r>
      <w:r w:rsidRPr="00771368">
        <w:rPr>
          <w:bCs/>
        </w:rPr>
        <w:t xml:space="preserve">entre </w:t>
      </w:r>
      <w:smartTag w:uri="urn:schemas-microsoft-com:office:smarttags" w:element="metricconverter">
        <w:smartTagPr>
          <w:attr w:name="ProductID" w:val="1 a"/>
        </w:smartTagPr>
        <w:r w:rsidRPr="00771368">
          <w:rPr>
            <w:bCs/>
          </w:rPr>
          <w:t>1 a</w:t>
        </w:r>
      </w:smartTag>
      <w:r w:rsidRPr="00771368">
        <w:rPr>
          <w:bCs/>
        </w:rPr>
        <w:t xml:space="preserve"> 2 salários mínimos,</w:t>
      </w:r>
      <w:r w:rsidRPr="00771368">
        <w:t xml:space="preserve"> que corresponde a </w:t>
      </w:r>
      <w:r w:rsidRPr="00771368">
        <w:rPr>
          <w:bCs/>
        </w:rPr>
        <w:t xml:space="preserve">63% </w:t>
      </w:r>
      <w:r w:rsidRPr="00771368">
        <w:t xml:space="preserve">das mulheres pesquisadas. Destaca-se ainda que 27% possuem uma renda mensal entre </w:t>
      </w:r>
      <w:smartTag w:uri="urn:schemas-microsoft-com:office:smarttags" w:element="metricconverter">
        <w:smartTagPr>
          <w:attr w:name="ProductID" w:val="3 a"/>
        </w:smartTagPr>
        <w:r w:rsidRPr="00771368">
          <w:t>3 a</w:t>
        </w:r>
      </w:smartTag>
      <w:r w:rsidRPr="00771368">
        <w:t xml:space="preserve"> 5 salários mínimos. </w:t>
      </w:r>
    </w:p>
    <w:p w:rsidR="00D24E61" w:rsidRPr="00771368" w:rsidRDefault="00D24E61" w:rsidP="00D24E61">
      <w:pPr>
        <w:autoSpaceDE w:val="0"/>
        <w:spacing w:line="360" w:lineRule="auto"/>
        <w:ind w:firstLine="851"/>
        <w:jc w:val="both"/>
      </w:pPr>
      <w:r w:rsidRPr="00771368">
        <w:t xml:space="preserve">A análise da </w:t>
      </w:r>
      <w:r w:rsidRPr="00771368">
        <w:rPr>
          <w:bCs/>
        </w:rPr>
        <w:t>situação profissional das mulheres torna-se relevante, tendo em vista que alguns estudiosos afiançam</w:t>
      </w:r>
      <w:r w:rsidRPr="00771368">
        <w:t xml:space="preserve"> que um dos desafios para o enfrentamento da violência contra a mulher está na possibilidade de conquista de sua independência e autonomia financeira. O resultado deste estudo demonstra que </w:t>
      </w:r>
      <w:r w:rsidRPr="00771368">
        <w:rPr>
          <w:bCs/>
        </w:rPr>
        <w:t>80%</w:t>
      </w:r>
      <w:r w:rsidRPr="00771368">
        <w:t xml:space="preserve"> das mulheres pesquisadas desenvolvem atividade produtiva remunerada, distribuídas entre as seguintes situações profissionais: empregada com carteira 54%, empregada sem carteira 13%, funcionária pública 10% e conta própria/autônoma sem INSS 3%. O percentual total das mulheres que tem renda sobe para 87% ao considerarem-se as mulheres aposentadas. Com estes dados é possível observar que a maior incidência recai na condição de empregabilidade com carteira assinada, o que pressupõe certa estabilidade profissional e a existência de vínculo previdenciário. Fazendo uma interlocução com o gráfico 18, vale destacar que alguns pesquisadores afirmam que embora as mulheres que estão em situação de violência e que tenham se inserido no mercado de trabalho e que possuem emprego estável e renda suficientes para o próprio sustento e do lar, não a torna “livre” da ação violenta, pois existem outros fatores, como por exemplo, a “dependência emocional” que dificulta o rompimento da situação de violência, ou seja, têm-se a “independência financeira”, mas não se têm a independência emocional. Ainda sobre a </w:t>
      </w:r>
      <w:r w:rsidRPr="00771368">
        <w:rPr>
          <w:bCs/>
        </w:rPr>
        <w:t>situação profissional das mulheres pesquisadas, verifica-se no gráfico acima que o total de</w:t>
      </w:r>
      <w:r w:rsidRPr="00771368">
        <w:t xml:space="preserve"> 13% não tem rendimento vinculado ao próprio trabalho, sendo que 3% estão desempregadas e 10% afirmaram ser “do lar”.</w:t>
      </w:r>
    </w:p>
    <w:p w:rsidR="00D24E61" w:rsidRPr="00771368" w:rsidRDefault="00D24E61" w:rsidP="00D24E61">
      <w:pPr>
        <w:spacing w:line="360" w:lineRule="auto"/>
        <w:ind w:firstLine="851"/>
        <w:jc w:val="both"/>
        <w:rPr>
          <w:color w:val="FF0000"/>
        </w:rPr>
      </w:pPr>
      <w:r w:rsidRPr="00771368">
        <w:t xml:space="preserve">Na análise da renda do agressor e/ou perpetrador da violência, nota-se que 93% possui renda, sendo que 57% corresponde a faixa salarial de </w:t>
      </w:r>
      <w:smartTag w:uri="urn:schemas-microsoft-com:office:smarttags" w:element="metricconverter">
        <w:smartTagPr>
          <w:attr w:name="ProductID" w:val="3 a"/>
        </w:smartTagPr>
        <w:r w:rsidRPr="00771368">
          <w:t>3 a</w:t>
        </w:r>
      </w:smartTag>
      <w:r w:rsidRPr="00771368">
        <w:t xml:space="preserve"> 5 salários mínimos e 36% corresponde a faixa salarial de </w:t>
      </w:r>
      <w:smartTag w:uri="urn:schemas-microsoft-com:office:smarttags" w:element="metricconverter">
        <w:smartTagPr>
          <w:attr w:name="ProductID" w:val="1 a"/>
        </w:smartTagPr>
        <w:r w:rsidRPr="00771368">
          <w:t>1 a</w:t>
        </w:r>
      </w:smartTag>
      <w:r w:rsidRPr="00771368">
        <w:t xml:space="preserve"> 2 salários mínimos. Verifica-se que 7% não possui renda, dado que representa o total de 2 respostas. Se compararmos com a renda das mulheres pesquisadas, observa-se que os homens possuem uma renda maior que as mulheres, pois elas possuem uma maior concentração de renda na faixa salarial entre </w:t>
      </w:r>
      <w:smartTag w:uri="urn:schemas-microsoft-com:office:smarttags" w:element="metricconverter">
        <w:smartTagPr>
          <w:attr w:name="ProductID" w:val="1 a"/>
        </w:smartTagPr>
        <w:r w:rsidRPr="00771368">
          <w:t>1 a</w:t>
        </w:r>
      </w:smartTag>
      <w:r w:rsidRPr="00771368">
        <w:t xml:space="preserve"> 2 salários mínimos e um percentual maior no que diz respeito ao quesito sem renda.</w:t>
      </w:r>
    </w:p>
    <w:p w:rsidR="00D24E61" w:rsidRPr="00771368" w:rsidRDefault="00D24E61" w:rsidP="00D24E61">
      <w:pPr>
        <w:autoSpaceDE w:val="0"/>
        <w:spacing w:line="360" w:lineRule="auto"/>
        <w:ind w:firstLine="851"/>
        <w:jc w:val="both"/>
      </w:pPr>
      <w:r w:rsidRPr="00771368">
        <w:t>No quesito provedor do lar, a pesquisa revelou um percentual de 37% das mulheres que são as provedoras do lar, em seguida, com 43% do percentual, estão os homens como a figura principal na provisão familiar e os 20% restantes revelam que ambos são os provedores. Esse dado representa uma informação relevante acerca da condição financeira da família, onde a mulher em situação de violência está inserida e destaca a sua participação na administração financeira familiar em 57% dos lares, seja como provedora principal ou como participante da renda.</w:t>
      </w:r>
    </w:p>
    <w:p w:rsidR="00D24E61" w:rsidRPr="00771368" w:rsidRDefault="00D24E61" w:rsidP="00D24E61">
      <w:pPr>
        <w:spacing w:line="360" w:lineRule="auto"/>
        <w:ind w:firstLine="851"/>
        <w:jc w:val="both"/>
      </w:pPr>
      <w:r w:rsidRPr="00771368">
        <w:t xml:space="preserve">A análise da </w:t>
      </w:r>
      <w:r w:rsidRPr="00771368">
        <w:rPr>
          <w:bCs/>
        </w:rPr>
        <w:t xml:space="preserve">situação profissional dos agressores e/ou perpetradores da violência </w:t>
      </w:r>
      <w:r w:rsidRPr="00771368">
        <w:t xml:space="preserve">revela que </w:t>
      </w:r>
      <w:r w:rsidRPr="00771368">
        <w:rPr>
          <w:bCs/>
        </w:rPr>
        <w:t>83%</w:t>
      </w:r>
      <w:r w:rsidRPr="00771368">
        <w:t xml:space="preserve"> desenvolvem atividade produtiva remunerada, distribuídos entre as seguintes situações profissionais: empregado com carteira 47%, empregado sem carteira 7%, militar 13%, funcionário público 13% e conta própria/autônomo sem INSS 3%. Destaca-se ainda que o percentual com renda sobe para 93% se considerar a renda dos “aposentados” e 7% representa o percentual dos desempregados. Observa-se que o percentual de homens que desenvolvem atividades produtivas é maior se comparado às mulheres. </w:t>
      </w:r>
    </w:p>
    <w:p w:rsidR="00D24E61" w:rsidRPr="00771368" w:rsidRDefault="00D24E61" w:rsidP="00D24E61">
      <w:pPr>
        <w:spacing w:line="360" w:lineRule="auto"/>
        <w:jc w:val="both"/>
      </w:pPr>
    </w:p>
    <w:p w:rsidR="00D24E61" w:rsidRPr="00771368" w:rsidRDefault="00D24E61" w:rsidP="00D24E61">
      <w:pPr>
        <w:spacing w:line="360" w:lineRule="auto"/>
        <w:jc w:val="both"/>
      </w:pPr>
      <w:r w:rsidRPr="00771368">
        <w:rPr>
          <w:b/>
        </w:rPr>
        <w:t>A presença das drogas na situação de violência</w:t>
      </w:r>
    </w:p>
    <w:p w:rsidR="00D24E61" w:rsidRPr="00771368" w:rsidRDefault="00D24E61" w:rsidP="00D24E61">
      <w:pPr>
        <w:spacing w:line="360" w:lineRule="auto"/>
        <w:jc w:val="both"/>
      </w:pPr>
    </w:p>
    <w:p w:rsidR="00D24E61" w:rsidRPr="00771368" w:rsidRDefault="00D24E61" w:rsidP="00D24E61">
      <w:pPr>
        <w:spacing w:line="360" w:lineRule="auto"/>
        <w:ind w:firstLine="851"/>
        <w:jc w:val="both"/>
      </w:pPr>
      <w:r w:rsidRPr="00771368">
        <w:t>Sobre a presença das drogas na situação de violência, foram considerados o uso de drogas pelo agressor e/ou perpetrador da violência e o uso de drogas pela agredida no ato da violência.</w:t>
      </w:r>
    </w:p>
    <w:p w:rsidR="00D24E61" w:rsidRPr="00771368" w:rsidRDefault="00D24E61" w:rsidP="00D24E61">
      <w:pPr>
        <w:autoSpaceDE w:val="0"/>
        <w:spacing w:line="360" w:lineRule="auto"/>
        <w:ind w:firstLine="851"/>
        <w:jc w:val="both"/>
      </w:pPr>
      <w:r w:rsidRPr="00771368">
        <w:t xml:space="preserve">O </w:t>
      </w:r>
      <w:r w:rsidRPr="00771368">
        <w:rPr>
          <w:bCs/>
        </w:rPr>
        <w:t xml:space="preserve">uso de drogas pelo agressor e/ou perpetrador da violência </w:t>
      </w:r>
      <w:r w:rsidRPr="00771368">
        <w:t xml:space="preserve">tem relevância para essa pesquisa, visto ser um fator que, pode exercer influência no comportamento do usuário e que também serve para minimizar a responsabilização quando a violência contra a mulher é perpetrada sob seu efeito. A naturalização com que a violência contra as mulheres foi tratada historicamente serviu para justificar como “doença” as agressões perpetradas por homens sob influência principalmente de álcool, mas também de todas as demais drogas lícitas ou ilícitas (ALVES, 2011, p. 109). O percentual de maior expressão é de </w:t>
      </w:r>
      <w:r w:rsidRPr="00771368">
        <w:rPr>
          <w:bCs/>
        </w:rPr>
        <w:t xml:space="preserve">40%, </w:t>
      </w:r>
      <w:r w:rsidRPr="00771368">
        <w:t xml:space="preserve">que diz respeito à ingestão de álcool pelo agressor na ocasião da perpetração do ato violento, considerado droga lícita. Em seguida, com um percentual de 37% tem-se a resposta afirmativa do não uso de drogas e 23% das mulheres pesquisadas afirmaram que o companheiro/cônjuge faz uso de drogas ilícitas, com destaque para a maconha, cocaína e crack. Essa pesquisa revela que, em sua maioria, as situações de violência independem do uso/dependência de drogas, contudo indica que em 63% das situações de violência as drogas lícitas ou ilícitas estavam presentes. </w:t>
      </w:r>
    </w:p>
    <w:p w:rsidR="00D24E61" w:rsidRPr="00771368" w:rsidRDefault="00D24E61" w:rsidP="00D24E61">
      <w:pPr>
        <w:autoSpaceDE w:val="0"/>
        <w:spacing w:line="360" w:lineRule="auto"/>
        <w:ind w:firstLine="851"/>
        <w:jc w:val="both"/>
      </w:pPr>
      <w:r w:rsidRPr="00771368">
        <w:rPr>
          <w:b/>
        </w:rPr>
        <w:t xml:space="preserve">                       </w:t>
      </w:r>
    </w:p>
    <w:p w:rsidR="00D24E61" w:rsidRPr="00771368" w:rsidRDefault="00D24E61" w:rsidP="00D24E61">
      <w:pPr>
        <w:rPr>
          <w:b/>
        </w:rPr>
      </w:pPr>
      <w:r w:rsidRPr="00771368">
        <w:rPr>
          <w:b/>
        </w:rPr>
        <w:t>Relação entre mídia e violência</w:t>
      </w:r>
    </w:p>
    <w:p w:rsidR="00D24E61" w:rsidRPr="00771368" w:rsidRDefault="00D24E61" w:rsidP="00D24E61">
      <w:pPr>
        <w:spacing w:line="360" w:lineRule="auto"/>
        <w:jc w:val="both"/>
      </w:pPr>
    </w:p>
    <w:p w:rsidR="00D24E61" w:rsidRPr="00771368" w:rsidRDefault="00D24E61" w:rsidP="00D24E61">
      <w:pPr>
        <w:spacing w:line="360" w:lineRule="auto"/>
        <w:ind w:firstLine="851"/>
        <w:jc w:val="both"/>
      </w:pPr>
      <w:r w:rsidRPr="00771368">
        <w:t>No que tange a relação entre mídia e violência, foram avaliados a contribuição da mídia para o aumento da violência contra a mulher e o apelo sexual vinculando a figura da mulher, principalmente em comerciais de cerveja, novelas e letras de música.</w:t>
      </w:r>
    </w:p>
    <w:p w:rsidR="00D24E61" w:rsidRPr="00771368" w:rsidRDefault="00D24E61" w:rsidP="00D24E61">
      <w:pPr>
        <w:spacing w:line="360" w:lineRule="auto"/>
        <w:ind w:firstLine="851"/>
        <w:jc w:val="both"/>
      </w:pPr>
      <w:r w:rsidRPr="00771368">
        <w:t>As mulheres pesquisadas responderam com um percentual de 80% que a mídia contribui para o aumento da violência contra a mulher, enquanto 20% das entrevistadas responderam que não. Cabe ressaltar que, a mídia por ser um instrumento/veículo de informação em massa tem um papel importante no que diz respeito aos acontecimentos no Brasil e no mundo e que, dependendo da maneira como transmite as notícias pode tendenciar para uma interpretação equivocada dos fatos por parte dos telespectadores, “naturalizando”, por exemplo, as situações de violência contra a mulher.</w:t>
      </w:r>
    </w:p>
    <w:p w:rsidR="00D24E61" w:rsidRPr="00771368" w:rsidRDefault="00D24E61" w:rsidP="00D24E61">
      <w:pPr>
        <w:pStyle w:val="Default"/>
        <w:spacing w:line="360" w:lineRule="auto"/>
        <w:ind w:firstLine="851"/>
        <w:jc w:val="both"/>
      </w:pPr>
      <w:r w:rsidRPr="00771368">
        <w:t xml:space="preserve">Sob esta ótica, entende-se que a violência é um produto a ser consumido pelos indivíduos, servindo como fonte de lucro e privilegiando a indústria de artigos de segurança, ou seja, a mídia fortalece a lógica do capital e se transforma em uma mercadoria como qualquer outra (PEREIRA, 2011, p. 28). Segundo Freire e Carvalho (2008) a própria mídia cria a necessidade dos indivíduos consumirem os fatos violentos passados por ela sem que estes percebam que estão sendo manipulados. Cabe sinalizar que, todas as mulheres que colaboraram para a realização desse estudo, apontaram os comerciais de cerveja, novelas e letras de música, com destaque para o gênero musical </w:t>
      </w:r>
      <w:r w:rsidRPr="00771368">
        <w:rPr>
          <w:i/>
        </w:rPr>
        <w:t>funk</w:t>
      </w:r>
      <w:r w:rsidRPr="00771368">
        <w:t xml:space="preserve"> como grandes potencializadores de apelo sexual, onde as mulheres têm a imagem depreciada e desmoralizada. </w:t>
      </w:r>
    </w:p>
    <w:p w:rsidR="00D24E61" w:rsidRPr="00771368" w:rsidRDefault="00D24E61" w:rsidP="00D24E61">
      <w:pPr>
        <w:rPr>
          <w:b/>
        </w:rPr>
      </w:pPr>
    </w:p>
    <w:p w:rsidR="00D24E61" w:rsidRPr="00771368" w:rsidRDefault="00D24E61" w:rsidP="00D24E61">
      <w:pPr>
        <w:rPr>
          <w:b/>
        </w:rPr>
      </w:pPr>
    </w:p>
    <w:p w:rsidR="00D24E61" w:rsidRPr="00771368" w:rsidRDefault="00D24E61" w:rsidP="00D24E61">
      <w:pPr>
        <w:rPr>
          <w:b/>
        </w:rPr>
      </w:pPr>
    </w:p>
    <w:p w:rsidR="00D24E61" w:rsidRPr="00771368" w:rsidRDefault="00D24E61" w:rsidP="00D24E61">
      <w:pPr>
        <w:rPr>
          <w:b/>
        </w:rPr>
      </w:pPr>
    </w:p>
    <w:p w:rsidR="00D24E61" w:rsidRPr="00771368" w:rsidRDefault="00D24E61" w:rsidP="00D24E61">
      <w:pPr>
        <w:rPr>
          <w:b/>
        </w:rPr>
      </w:pPr>
      <w:r w:rsidRPr="00771368">
        <w:rPr>
          <w:b/>
        </w:rPr>
        <w:t>TECENDO BREVES CONCLUSÕES</w:t>
      </w:r>
    </w:p>
    <w:p w:rsidR="00D24E61" w:rsidRPr="00771368" w:rsidRDefault="00D24E61" w:rsidP="00D24E61">
      <w:pPr>
        <w:pStyle w:val="Default"/>
        <w:spacing w:line="360" w:lineRule="auto"/>
        <w:jc w:val="both"/>
        <w:rPr>
          <w:b/>
        </w:rPr>
      </w:pPr>
    </w:p>
    <w:p w:rsidR="00D24E61" w:rsidRPr="00771368" w:rsidRDefault="00D24E61" w:rsidP="00D24E61">
      <w:pPr>
        <w:spacing w:line="360" w:lineRule="auto"/>
        <w:ind w:firstLine="851"/>
        <w:jc w:val="both"/>
      </w:pPr>
      <w:r w:rsidRPr="00771368">
        <w:t>No Brasil, país com notável desigualdade social, étnica e de gênero, a análise de aspectos sociais e de políticas públicas requer um resgate histórico e crítico sobre a participação efetiva das mulheres no que tange as lutas por democracia, cidadania e igualdade. Essa participação se dá através de um processo político e histórico de conflitos e embates entre interesses antagônicos. E as conquistas alcançadas são fruto da luta de homens e mulheres pela construção democrática, no mundo do trabalho e inclusão de demanda de políticas sociais na agenda do Estado.</w:t>
      </w:r>
    </w:p>
    <w:p w:rsidR="00D24E61" w:rsidRPr="00771368" w:rsidRDefault="00D24E61" w:rsidP="00D24E61">
      <w:pPr>
        <w:spacing w:line="360" w:lineRule="auto"/>
        <w:ind w:firstLine="851"/>
        <w:jc w:val="both"/>
      </w:pPr>
      <w:r w:rsidRPr="00771368">
        <w:t>O avanço das políticas públicas tem sido fundamental na promoção da justiça social e melhoria da qualidade de vida das pessoas sob um prisma voltado para a coletividade. Nesse contexto se inscreve a história de lutas e conquistas das mulheres em meio a uma sociedade ainda com forte traço patriarcal, excludente e discriminatório. O conceito de gênero permeou a fundamentação central da pesquisa ora apresentada. Gênero, enquanto categoria analítica tem sido uma importante referência teórica para os estudos das relações sociais e o fenômeno da violência contra as mulheres.</w:t>
      </w:r>
    </w:p>
    <w:p w:rsidR="00D24E61" w:rsidRPr="00771368" w:rsidRDefault="00D24E61" w:rsidP="00D24E61">
      <w:pPr>
        <w:spacing w:line="360" w:lineRule="auto"/>
        <w:ind w:firstLine="851"/>
        <w:jc w:val="both"/>
      </w:pPr>
      <w:r w:rsidRPr="00771368">
        <w:t xml:space="preserve">Nesse sentido, foram elencados os aspectos socais que permeiam as relações entre homens e mulheres e que trazem rebatimentos na esfera reprodutiva, seja material e/ou subjetiva dos sujeitos em questão, a fim de se pensar nesses elementos como possíveis potencializadores da violência contra a mulher. De acordo com os dados obtidos durante a pesquisa, a violência atinge mulheres de faixa etária, etnia e grau de instrução diversos. Observa-se que a violência contra a mulher possui características que englobam determinados aspectos sociais, porém, a base da desigualdade de gênero está ancorada num modelo de sociedade que privilegia a figura masculina. A questão da mulher enquanto chefe de família, a escolaridade, a renda, etc., são elementos sociais que podem desencadear a situação de violência, visto que, em nossa sociedade o sustento do lar foi designado ao homem e em algumas situações de violência, o homem se vale da condição de marido/companheiro para legitimar o papel de “líder” dentro do lar, através da ação violenta. Nota-se através de pesquisas que as mulheres vêm adquirindo um nível de escolaridade maior que os homens, porém ainda sofrem com a desigualdade salarial. A pesquisa realizada com as mulheres atendidas pelo Centro de Referência e Atendimento a Mulher em situação de Violência de Cabo Frio/RJ possibilitou a identificação de aspectos sociais presentes na situação de violência e que podem potencializar o ato violento, dentre os quais, destacam-se o ciúme como uma desculpa/justificativa para a ação violenta, a droga presente na maioria das vezes em que a violência foi perpetrada, a influência da mídia no que tange a depreciação da mulher, seja em novelas ou comerciais de cerveja. Embora a mídia tenha um papel importante na transmissão de informações, vale ressaltar que, só se transmite o que é lucrativo. E se a violência contra a mulher for um elemento lucrativo, esta poderá transmitir de maneira equivocada as situações de violência, ou até mesmo, incentivar o ato violento. </w:t>
      </w:r>
    </w:p>
    <w:p w:rsidR="00D24E61" w:rsidRPr="00771368" w:rsidRDefault="00D24E61" w:rsidP="00D24E61">
      <w:pPr>
        <w:spacing w:line="360" w:lineRule="auto"/>
        <w:ind w:firstLine="851"/>
        <w:jc w:val="both"/>
      </w:pPr>
      <w:r w:rsidRPr="00771368">
        <w:t>Mediante o presente trabalho pretendemos fornecer alguma contribuição às alternativas que possam contribuir para o enfrentamento da violência contra a mulher. Dessa forma, levando-se em conta os aspectos sociais por serem elementos considerados relevantes e por se manifestarem no cotidiano de homens e mulheres e nas relações sociais, no sentido de estimular novas possibilidades de atuação profissional, bem como, políticas públicas voltadas para o enfrentamento da violência.</w:t>
      </w:r>
    </w:p>
    <w:p w:rsidR="00D24E61" w:rsidRPr="00771368" w:rsidRDefault="00D24E61" w:rsidP="00D24E61">
      <w:pPr>
        <w:spacing w:line="360" w:lineRule="auto"/>
        <w:ind w:firstLine="851"/>
        <w:jc w:val="both"/>
      </w:pPr>
      <w:r w:rsidRPr="00771368">
        <w:t>Estas são as breves considerações finais, pois é notória a necessidade de ampliação e aprofundamento da pesquisa referente ao tema em foco e sendo assim, gostaria de suscitar e estimular a reflexão e colaborar para o aumento e fortalecimento do estímulo ao referido tema.</w:t>
      </w:r>
    </w:p>
    <w:p w:rsidR="00D24E61" w:rsidRPr="00771368" w:rsidRDefault="00D24E61" w:rsidP="00D24E61">
      <w:pPr>
        <w:spacing w:line="360" w:lineRule="auto"/>
        <w:ind w:firstLine="851"/>
        <w:jc w:val="both"/>
      </w:pPr>
    </w:p>
    <w:p w:rsidR="00D24E61" w:rsidRPr="00771368" w:rsidRDefault="00D24E61" w:rsidP="00D24E61">
      <w:pPr>
        <w:spacing w:line="360" w:lineRule="auto"/>
        <w:jc w:val="both"/>
        <w:rPr>
          <w:b/>
        </w:rPr>
      </w:pPr>
      <w:r w:rsidRPr="00771368">
        <w:rPr>
          <w:b/>
        </w:rPr>
        <w:t>REFERÊNCIAS BIBLIOGRÁFICAS</w:t>
      </w:r>
    </w:p>
    <w:p w:rsidR="00D24E61" w:rsidRPr="00771368" w:rsidRDefault="00D24E61" w:rsidP="00D24E61">
      <w:pPr>
        <w:pStyle w:val="western"/>
        <w:spacing w:after="280"/>
        <w:jc w:val="both"/>
      </w:pPr>
      <w:r w:rsidRPr="00771368">
        <w:t xml:space="preserve">ALVES, Marileia Bezerra. </w:t>
      </w:r>
      <w:r w:rsidRPr="00771368">
        <w:rPr>
          <w:b/>
        </w:rPr>
        <w:t>Políticas Públicas de enfrentamento à violência de gênero: uma análise do perfil das mulheres em situação de violência doméstica e familiar em Cabo Frio</w:t>
      </w:r>
      <w:r w:rsidRPr="00771368">
        <w:t xml:space="preserve">. Dissertação de Mestrado, ESS/UFF, Niterói, 2011. </w:t>
      </w:r>
    </w:p>
    <w:p w:rsidR="00D24E61" w:rsidRPr="00771368" w:rsidRDefault="00D24E61" w:rsidP="00D24E61">
      <w:pPr>
        <w:pStyle w:val="western"/>
        <w:spacing w:after="280"/>
        <w:jc w:val="both"/>
      </w:pPr>
      <w:r w:rsidRPr="00771368">
        <w:t>BRASIL. Presidência da República. Secretaria Especial de Políticas para as Mulheres.</w:t>
      </w:r>
      <w:r w:rsidRPr="00771368">
        <w:rPr>
          <w:b/>
        </w:rPr>
        <w:t xml:space="preserve"> Norma Técnica de Uniformização dos Centros de Referência de Atendimento à Mulher em situação de violência</w:t>
      </w:r>
      <w:r w:rsidRPr="00771368">
        <w:t>.</w:t>
      </w:r>
      <w:r w:rsidRPr="00771368">
        <w:rPr>
          <w:b/>
        </w:rPr>
        <w:t xml:space="preserve"> </w:t>
      </w:r>
      <w:r w:rsidRPr="00771368">
        <w:t>Brasília, DF, 2006. Disponível em: &lt;http://www.observatoriodegenero.gov.br/menu/publicacoes/norma-tecnica-de uniformizacao-centros-de-referencia-de-atendimento-a-mulher-em-situacao-de-violencia/view&gt;. Acesso em: 13 ago. 2013.</w:t>
      </w:r>
    </w:p>
    <w:p w:rsidR="00D24E61" w:rsidRPr="00771368" w:rsidRDefault="00D24E61" w:rsidP="00D24E61">
      <w:pPr>
        <w:pStyle w:val="western"/>
        <w:spacing w:after="280"/>
        <w:jc w:val="both"/>
      </w:pPr>
      <w:r w:rsidRPr="00771368">
        <w:t>BRASIL. Presidência da República. Lei nº 11.340, de 07 de agosto de 2006.</w:t>
      </w:r>
    </w:p>
    <w:p w:rsidR="00D24E61" w:rsidRPr="00771368" w:rsidRDefault="00D24E61" w:rsidP="00D24E61">
      <w:pPr>
        <w:autoSpaceDE w:val="0"/>
        <w:jc w:val="both"/>
      </w:pPr>
      <w:r w:rsidRPr="00771368">
        <w:t xml:space="preserve">BRASIL. Presidência da República. Secretaria Especial de Políticas para as Mulheres. </w:t>
      </w:r>
      <w:r w:rsidRPr="00771368">
        <w:rPr>
          <w:b/>
          <w:iCs/>
        </w:rPr>
        <w:t>II Plano Nacional de Políticas para as Mulheres</w:t>
      </w:r>
      <w:r w:rsidRPr="00771368">
        <w:t>. Brasília, DF, p. 95-114, 2008.</w:t>
      </w:r>
    </w:p>
    <w:p w:rsidR="00D24E61" w:rsidRPr="00771368" w:rsidRDefault="00D24E61" w:rsidP="00D24E61">
      <w:pPr>
        <w:autoSpaceDE w:val="0"/>
        <w:jc w:val="both"/>
        <w:rPr>
          <w:iCs/>
        </w:rPr>
      </w:pPr>
    </w:p>
    <w:p w:rsidR="00D24E61" w:rsidRPr="00771368" w:rsidRDefault="00D24E61" w:rsidP="00D24E61">
      <w:pPr>
        <w:jc w:val="both"/>
      </w:pPr>
      <w:r w:rsidRPr="00771368">
        <w:t xml:space="preserve">BRASIL. Presidência da República. Secretaria Especial de Políticas para as Mulheres. </w:t>
      </w:r>
      <w:r w:rsidRPr="00771368">
        <w:rPr>
          <w:b/>
        </w:rPr>
        <w:t>Norma Técnica de Padronização das delegacias Especializadas de Atendimento às Mulheres</w:t>
      </w:r>
      <w:r w:rsidRPr="00771368">
        <w:t>. Brasília, DF, 2010.</w:t>
      </w:r>
    </w:p>
    <w:p w:rsidR="00D24E61" w:rsidRPr="00771368" w:rsidRDefault="00D24E61" w:rsidP="00D24E61">
      <w:pPr>
        <w:jc w:val="both"/>
      </w:pPr>
    </w:p>
    <w:p w:rsidR="00D24E61" w:rsidRPr="00771368" w:rsidRDefault="00D24E61" w:rsidP="00D24E61">
      <w:pPr>
        <w:autoSpaceDE w:val="0"/>
      </w:pPr>
      <w:r w:rsidRPr="00771368">
        <w:t xml:space="preserve">CAMPOS, Gisele da F. S. </w:t>
      </w:r>
      <w:r w:rsidRPr="00771368">
        <w:rPr>
          <w:b/>
        </w:rPr>
        <w:t>Entre a resignação, o sacrifício e a ação: pensando o fenômeno contemporâneo da violência contra a mulher no segmento evangélico brasileiro</w:t>
      </w:r>
      <w:r w:rsidRPr="00771368">
        <w:t>. Trabalho de Conclusão de Curso, ESS/UFF, Rio das Ostras, 2011.</w:t>
      </w:r>
    </w:p>
    <w:p w:rsidR="00D24E61" w:rsidRPr="00771368" w:rsidRDefault="00D24E61" w:rsidP="00D24E61">
      <w:pPr>
        <w:pStyle w:val="western"/>
        <w:spacing w:after="280"/>
        <w:jc w:val="both"/>
      </w:pPr>
      <w:r w:rsidRPr="00771368">
        <w:t>IAMAMOTO, Marilda Vilela e CARVALHO, Raul</w:t>
      </w:r>
      <w:r w:rsidRPr="00771368">
        <w:rPr>
          <w:b/>
          <w:bCs/>
        </w:rPr>
        <w:t>. Relações Sociais e Serviço Social no Brasil</w:t>
      </w:r>
      <w:r w:rsidRPr="00771368">
        <w:t>: Esboço de uma interpretação histórico-metodológica. 28ª edição. São Paulo: Editora Cortez, 2009.</w:t>
      </w:r>
    </w:p>
    <w:p w:rsidR="00D24E61" w:rsidRPr="00771368" w:rsidRDefault="00D24E61" w:rsidP="00D24E61">
      <w:pPr>
        <w:autoSpaceDE w:val="0"/>
        <w:jc w:val="both"/>
      </w:pPr>
      <w:r w:rsidRPr="00771368">
        <w:t xml:space="preserve">IBGE. Instituto Brasileiro de Geografia e Estatística. </w:t>
      </w:r>
      <w:r w:rsidRPr="00771368">
        <w:rPr>
          <w:b/>
        </w:rPr>
        <w:t>Síntese de Indicadores Sociais</w:t>
      </w:r>
      <w:r w:rsidRPr="00771368">
        <w:t>. Disponível em:</w:t>
      </w:r>
      <w:r w:rsidRPr="00771368">
        <w:rPr>
          <w:b/>
        </w:rPr>
        <w:t xml:space="preserve"> </w:t>
      </w:r>
      <w:r w:rsidRPr="00771368">
        <w:t>&lt;http://www.ibge.gov.br/home/estatistica/populacao/condicaodevida/indicadoresminimos/sinteseindicsociais2010&gt;. Acesso em: 21 ago 2013.</w:t>
      </w:r>
    </w:p>
    <w:p w:rsidR="00D24E61" w:rsidRPr="00771368" w:rsidRDefault="00D24E61" w:rsidP="00D24E61">
      <w:pPr>
        <w:autoSpaceDE w:val="0"/>
        <w:jc w:val="both"/>
      </w:pPr>
    </w:p>
    <w:p w:rsidR="00D24E61" w:rsidRPr="00771368" w:rsidRDefault="00D24E61" w:rsidP="00D24E61">
      <w:pPr>
        <w:autoSpaceDE w:val="0"/>
        <w:jc w:val="both"/>
        <w:rPr>
          <w:shd w:val="clear" w:color="auto" w:fill="FFFFFF"/>
        </w:rPr>
      </w:pPr>
      <w:r w:rsidRPr="00771368">
        <w:rPr>
          <w:rStyle w:val="nfase"/>
          <w:i w:val="0"/>
        </w:rPr>
        <w:t xml:space="preserve">Instituto AVON. Pesquisa: </w:t>
      </w:r>
      <w:r w:rsidRPr="00771368">
        <w:rPr>
          <w:rStyle w:val="nfase"/>
          <w:b/>
          <w:i w:val="0"/>
        </w:rPr>
        <w:t>“Percepções sobre a Violência Doméstica contra a Mulher no Brasil</w:t>
      </w:r>
      <w:r w:rsidRPr="00771368">
        <w:rPr>
          <w:b/>
        </w:rPr>
        <w:t>”</w:t>
      </w:r>
      <w:r w:rsidRPr="00771368">
        <w:t>, 2011. Disponível em: &lt;http:/</w:t>
      </w:r>
      <w:r w:rsidRPr="00771368">
        <w:rPr>
          <w:shd w:val="clear" w:color="auto" w:fill="FFFFFF"/>
        </w:rPr>
        <w:t>www.</w:t>
      </w:r>
      <w:r w:rsidRPr="00771368">
        <w:rPr>
          <w:bCs/>
          <w:shd w:val="clear" w:color="auto" w:fill="FFFFFF"/>
        </w:rPr>
        <w:t>institutoavon</w:t>
      </w:r>
      <w:r w:rsidRPr="00771368">
        <w:rPr>
          <w:shd w:val="clear" w:color="auto" w:fill="FFFFFF"/>
        </w:rPr>
        <w:t>.org.br&gt;. Acesso em: 19 jul. 2013.</w:t>
      </w:r>
    </w:p>
    <w:p w:rsidR="00D24E61" w:rsidRPr="00771368" w:rsidRDefault="00D24E61" w:rsidP="00D24E61">
      <w:pPr>
        <w:autoSpaceDE w:val="0"/>
        <w:jc w:val="both"/>
        <w:rPr>
          <w:shd w:val="clear" w:color="auto" w:fill="FFFFFF"/>
        </w:rPr>
      </w:pPr>
    </w:p>
    <w:p w:rsidR="00D24E61" w:rsidRPr="00771368" w:rsidRDefault="00D24E61" w:rsidP="00D24E61">
      <w:pPr>
        <w:autoSpaceDE w:val="0"/>
        <w:jc w:val="both"/>
        <w:rPr>
          <w:shd w:val="clear" w:color="auto" w:fill="FFFFFF"/>
        </w:rPr>
      </w:pPr>
      <w:r w:rsidRPr="00771368">
        <w:t>Instituto NOOS e Instituto PROMUNDO. Pesquisa:</w:t>
      </w:r>
      <w:r w:rsidRPr="00771368">
        <w:rPr>
          <w:b/>
        </w:rPr>
        <w:t xml:space="preserve"> </w:t>
      </w:r>
      <w:r w:rsidRPr="00771368">
        <w:rPr>
          <w:b/>
          <w:iCs/>
        </w:rPr>
        <w:t>“Homens, violência de gênero e saúde sexual e reprodutiva: um estudo sobre</w:t>
      </w:r>
      <w:r w:rsidRPr="00771368">
        <w:rPr>
          <w:b/>
        </w:rPr>
        <w:t xml:space="preserve"> </w:t>
      </w:r>
      <w:r w:rsidRPr="00771368">
        <w:rPr>
          <w:b/>
          <w:iCs/>
        </w:rPr>
        <w:t>homens no Rio de Janeiro”</w:t>
      </w:r>
      <w:r w:rsidRPr="00771368">
        <w:rPr>
          <w:iCs/>
        </w:rPr>
        <w:t>, 2003. Disponível em: &lt;http:/</w:t>
      </w:r>
      <w:r w:rsidRPr="00771368">
        <w:rPr>
          <w:shd w:val="clear" w:color="auto" w:fill="FFFFFF"/>
        </w:rPr>
        <w:t>www.noos.org.br/docs/Pesquisa-</w:t>
      </w:r>
      <w:r w:rsidRPr="00771368">
        <w:rPr>
          <w:bCs/>
          <w:shd w:val="clear" w:color="auto" w:fill="FFFFFF"/>
        </w:rPr>
        <w:t>Homens</w:t>
      </w:r>
      <w:r w:rsidRPr="00771368">
        <w:rPr>
          <w:shd w:val="clear" w:color="auto" w:fill="FFFFFF"/>
        </w:rPr>
        <w:t>-</w:t>
      </w:r>
      <w:r w:rsidRPr="00771368">
        <w:rPr>
          <w:bCs/>
          <w:shd w:val="clear" w:color="auto" w:fill="FFFFFF"/>
        </w:rPr>
        <w:t>violencia-de-genero</w:t>
      </w:r>
      <w:r w:rsidRPr="00771368">
        <w:rPr>
          <w:shd w:val="clear" w:color="auto" w:fill="FFFFFF"/>
        </w:rPr>
        <w:t>.pdf&gt;. Acesso em: 20 ago. 2013.</w:t>
      </w:r>
    </w:p>
    <w:p w:rsidR="00D24E61" w:rsidRPr="00771368" w:rsidRDefault="00D24E61" w:rsidP="00D24E61">
      <w:pPr>
        <w:autoSpaceDE w:val="0"/>
        <w:jc w:val="both"/>
        <w:rPr>
          <w:shd w:val="clear" w:color="auto" w:fill="FFFFFF"/>
        </w:rPr>
      </w:pPr>
    </w:p>
    <w:p w:rsidR="00D24E61" w:rsidRPr="00771368" w:rsidRDefault="00D24E61" w:rsidP="00D24E61">
      <w:pPr>
        <w:jc w:val="both"/>
      </w:pPr>
      <w:r w:rsidRPr="00771368">
        <w:t xml:space="preserve">PEREIRA, Cláudia N. de A. </w:t>
      </w:r>
      <w:r w:rsidRPr="00771368">
        <w:rPr>
          <w:b/>
        </w:rPr>
        <w:t>Violência contra a mulher e mídia: um estudo sobre a influência da mídia nas violências cometida as mulheres do Município de Macaé, RJ</w:t>
      </w:r>
      <w:r w:rsidRPr="00771368">
        <w:t>.    Trabalho de Conclusão de Curso, ESS/UFF, Rio das Ostras, 2011.</w:t>
      </w:r>
    </w:p>
    <w:p w:rsidR="00D24E61" w:rsidRPr="00771368" w:rsidRDefault="00D24E61" w:rsidP="00D24E61">
      <w:pPr>
        <w:autoSpaceDE w:val="0"/>
        <w:jc w:val="both"/>
        <w:rPr>
          <w:shd w:val="clear" w:color="auto" w:fill="FFFFFF"/>
        </w:rPr>
      </w:pPr>
    </w:p>
    <w:p w:rsidR="00D24E61" w:rsidRPr="00771368" w:rsidRDefault="00D24E61" w:rsidP="00D24E61">
      <w:pPr>
        <w:autoSpaceDE w:val="0"/>
        <w:jc w:val="both"/>
        <w:rPr>
          <w:bCs/>
        </w:rPr>
      </w:pPr>
      <w:r w:rsidRPr="00771368">
        <w:rPr>
          <w:bCs/>
        </w:rPr>
        <w:t xml:space="preserve">REVISTA CAROS AMIGOS: </w:t>
      </w:r>
      <w:r w:rsidRPr="00771368">
        <w:rPr>
          <w:b/>
          <w:bCs/>
        </w:rPr>
        <w:t>A era da mulher: conquistas e desafios</w:t>
      </w:r>
      <w:r w:rsidRPr="00771368">
        <w:rPr>
          <w:bCs/>
        </w:rPr>
        <w:t>. Edição Especial, Ano XV, nº 55, p. 12-16, março de 2012.</w:t>
      </w:r>
    </w:p>
    <w:p w:rsidR="00D24E61" w:rsidRPr="00771368" w:rsidRDefault="00D24E61" w:rsidP="00D24E61">
      <w:pPr>
        <w:autoSpaceDE w:val="0"/>
        <w:jc w:val="both"/>
        <w:rPr>
          <w:bCs/>
        </w:rPr>
      </w:pPr>
      <w:r w:rsidRPr="00771368">
        <w:t xml:space="preserve">REVISTA SERVIÇO SOCIAL E SOCIEDADE: </w:t>
      </w:r>
      <w:r w:rsidRPr="00771368">
        <w:rPr>
          <w:b/>
        </w:rPr>
        <w:t>Viver em família como experiência de cuidado mútuo: desafios de um mundo em mudança</w:t>
      </w:r>
      <w:r w:rsidRPr="00771368">
        <w:t>. Ano XXIII, nº 71, p. 9-25, setembro de 2002.</w:t>
      </w:r>
    </w:p>
    <w:p w:rsidR="00D24E61" w:rsidRPr="00771368" w:rsidRDefault="00D24E61" w:rsidP="00D24E61">
      <w:pPr>
        <w:spacing w:before="280" w:after="280"/>
        <w:jc w:val="both"/>
      </w:pPr>
      <w:r w:rsidRPr="00771368">
        <w:t xml:space="preserve">SAFFIOTI, Heleieth I. B. </w:t>
      </w:r>
      <w:r w:rsidRPr="00771368">
        <w:rPr>
          <w:b/>
          <w:bCs/>
        </w:rPr>
        <w:t>O Poder do Macho</w:t>
      </w:r>
      <w:r w:rsidRPr="00771368">
        <w:t xml:space="preserve">. Coleção Polêmica, São Paulo: Editora Moderna, 1987. </w:t>
      </w:r>
    </w:p>
    <w:p w:rsidR="00D24E61" w:rsidRPr="00771368" w:rsidRDefault="00D24E61" w:rsidP="00D24E61">
      <w:pPr>
        <w:autoSpaceDE w:val="0"/>
        <w:jc w:val="both"/>
      </w:pPr>
      <w:r w:rsidRPr="00771368">
        <w:t xml:space="preserve">SCHRAIBER, Lilia Blima et al. </w:t>
      </w:r>
      <w:r w:rsidRPr="00771368">
        <w:rPr>
          <w:b/>
          <w:bCs/>
        </w:rPr>
        <w:t>Violência dói e não é direito</w:t>
      </w:r>
      <w:r w:rsidRPr="00771368">
        <w:rPr>
          <w:bCs/>
        </w:rPr>
        <w:t>: a violência contra a mulher, a saúde e os direitos humanos</w:t>
      </w:r>
      <w:r w:rsidRPr="00771368">
        <w:t>. São Paulo: Editora UNESP, 2005.</w:t>
      </w:r>
    </w:p>
    <w:p w:rsidR="00D24E61" w:rsidRPr="00771368" w:rsidRDefault="00D24E61" w:rsidP="00D24E61">
      <w:pPr>
        <w:autoSpaceDE w:val="0"/>
        <w:jc w:val="both"/>
      </w:pPr>
    </w:p>
    <w:p w:rsidR="00D24E61" w:rsidRPr="00771368" w:rsidRDefault="00D24E61" w:rsidP="00D24E61">
      <w:pPr>
        <w:autoSpaceDE w:val="0"/>
        <w:jc w:val="both"/>
        <w:rPr>
          <w:rStyle w:val="x-archive-meta-description"/>
        </w:rPr>
      </w:pPr>
      <w:r w:rsidRPr="00771368">
        <w:rPr>
          <w:rStyle w:val="x-archive-meta-description"/>
        </w:rPr>
        <w:t xml:space="preserve">SCOTT, Joan Wallach. </w:t>
      </w:r>
      <w:r w:rsidRPr="00771368">
        <w:rPr>
          <w:rStyle w:val="x-archive-meta-description"/>
          <w:b/>
        </w:rPr>
        <w:t>“Gênero: uma categoria útil de análise histórica”</w:t>
      </w:r>
      <w:r w:rsidRPr="00771368">
        <w:rPr>
          <w:rStyle w:val="x-archive-meta-description"/>
        </w:rPr>
        <w:t>. Educação &amp; Realidade. Porto Alegre, vol. 20, nº 2, p. 71-99, jul./dez. 1995.</w:t>
      </w:r>
    </w:p>
    <w:p w:rsidR="00D24E61" w:rsidRPr="00771368" w:rsidRDefault="00D24E61" w:rsidP="00D24E61">
      <w:pPr>
        <w:autoSpaceDE w:val="0"/>
        <w:jc w:val="both"/>
        <w:rPr>
          <w:rStyle w:val="x-archive-meta-description"/>
        </w:rPr>
      </w:pPr>
    </w:p>
    <w:p w:rsidR="00D24E61" w:rsidRPr="00771368" w:rsidRDefault="00D24E61" w:rsidP="00D24E61">
      <w:pPr>
        <w:autoSpaceDE w:val="0"/>
        <w:jc w:val="both"/>
        <w:rPr>
          <w:rStyle w:val="x-archive-meta-description"/>
        </w:rPr>
      </w:pPr>
    </w:p>
    <w:p w:rsidR="00D24E61" w:rsidRPr="00771368" w:rsidRDefault="00D24E61">
      <w:pPr>
        <w:ind w:left="120"/>
        <w:rPr>
          <w:sz w:val="20"/>
          <w:szCs w:val="20"/>
        </w:rPr>
      </w:pPr>
      <w:r w:rsidRPr="00771368">
        <w:rPr>
          <w:rFonts w:eastAsia="Arial"/>
          <w:b/>
          <w:bCs/>
          <w:sz w:val="28"/>
          <w:szCs w:val="28"/>
        </w:rPr>
        <w:t>EDUCAÇÃO PROFISSIONAL NO BRASIL E SUA RELAÇÃO COM A</w:t>
      </w:r>
    </w:p>
    <w:p w:rsidR="00D24E61" w:rsidRPr="00771368" w:rsidRDefault="00D24E61">
      <w:pPr>
        <w:spacing w:line="161" w:lineRule="exact"/>
        <w:rPr>
          <w:sz w:val="24"/>
          <w:szCs w:val="24"/>
        </w:rPr>
      </w:pPr>
    </w:p>
    <w:p w:rsidR="00D24E61" w:rsidRPr="00771368" w:rsidRDefault="00D24E61">
      <w:pPr>
        <w:ind w:left="660"/>
        <w:rPr>
          <w:sz w:val="20"/>
          <w:szCs w:val="20"/>
        </w:rPr>
      </w:pPr>
      <w:r w:rsidRPr="00771368">
        <w:rPr>
          <w:rFonts w:eastAsia="Arial"/>
          <w:b/>
          <w:bCs/>
          <w:sz w:val="28"/>
          <w:szCs w:val="28"/>
        </w:rPr>
        <w:t>PARTICIPAÇÃO FEMININA NA INSERÇÃO AO MUNDO DO</w:t>
      </w:r>
    </w:p>
    <w:p w:rsidR="00D24E61" w:rsidRPr="00771368" w:rsidRDefault="00D24E61">
      <w:pPr>
        <w:spacing w:line="160" w:lineRule="exact"/>
        <w:rPr>
          <w:sz w:val="24"/>
          <w:szCs w:val="24"/>
        </w:rPr>
      </w:pPr>
    </w:p>
    <w:p w:rsidR="00D24E61" w:rsidRPr="00771368" w:rsidRDefault="00D24E61">
      <w:pPr>
        <w:ind w:left="3740"/>
        <w:rPr>
          <w:sz w:val="20"/>
          <w:szCs w:val="20"/>
        </w:rPr>
      </w:pPr>
      <w:r w:rsidRPr="00771368">
        <w:rPr>
          <w:rFonts w:eastAsia="Arial"/>
          <w:b/>
          <w:bCs/>
          <w:sz w:val="28"/>
          <w:szCs w:val="28"/>
        </w:rPr>
        <w:t>TRABALHO</w:t>
      </w:r>
    </w:p>
    <w:p w:rsidR="00D24E61" w:rsidRPr="00771368" w:rsidRDefault="00D24E61">
      <w:pPr>
        <w:spacing w:line="200" w:lineRule="exact"/>
        <w:rPr>
          <w:sz w:val="24"/>
          <w:szCs w:val="24"/>
        </w:rPr>
      </w:pPr>
    </w:p>
    <w:p w:rsidR="00D24E61" w:rsidRPr="00771368" w:rsidRDefault="00D24E61">
      <w:pPr>
        <w:spacing w:line="271" w:lineRule="exact"/>
        <w:rPr>
          <w:sz w:val="24"/>
          <w:szCs w:val="24"/>
        </w:rPr>
      </w:pPr>
    </w:p>
    <w:p w:rsidR="00D24E61" w:rsidRPr="00771368" w:rsidRDefault="00D24E61" w:rsidP="00EA38AA">
      <w:pPr>
        <w:pStyle w:val="Ttulo1"/>
        <w:rPr>
          <w:sz w:val="20"/>
          <w:szCs w:val="20"/>
        </w:rPr>
      </w:pPr>
      <w:bookmarkStart w:id="43" w:name="_Toc442034732"/>
      <w:r w:rsidRPr="00EA38AA">
        <w:rPr>
          <w:rFonts w:eastAsia="Arial"/>
        </w:rPr>
        <w:t>Denise Cristina Silva Rosa</w:t>
      </w:r>
      <w:r w:rsidRPr="00771368">
        <w:rPr>
          <w:rFonts w:eastAsia="Arial"/>
          <w:sz w:val="32"/>
          <w:szCs w:val="32"/>
          <w:vertAlign w:val="superscript"/>
        </w:rPr>
        <w:t>i</w:t>
      </w:r>
      <w:bookmarkEnd w:id="43"/>
    </w:p>
    <w:p w:rsidR="00D24E61" w:rsidRPr="00771368" w:rsidRDefault="00D24E61">
      <w:pPr>
        <w:spacing w:line="200" w:lineRule="exact"/>
        <w:rPr>
          <w:sz w:val="24"/>
          <w:szCs w:val="24"/>
        </w:rPr>
      </w:pPr>
    </w:p>
    <w:p w:rsidR="00D24E61" w:rsidRPr="00771368" w:rsidRDefault="00D24E61">
      <w:pPr>
        <w:spacing w:line="258" w:lineRule="exact"/>
        <w:rPr>
          <w:sz w:val="24"/>
          <w:szCs w:val="24"/>
        </w:rPr>
      </w:pPr>
    </w:p>
    <w:p w:rsidR="00D24E61" w:rsidRPr="00771368" w:rsidRDefault="00D24E61">
      <w:pPr>
        <w:spacing w:line="236" w:lineRule="auto"/>
        <w:ind w:right="20"/>
        <w:jc w:val="both"/>
        <w:rPr>
          <w:sz w:val="20"/>
          <w:szCs w:val="20"/>
        </w:rPr>
      </w:pPr>
      <w:r w:rsidRPr="00771368">
        <w:rPr>
          <w:rFonts w:eastAsia="Arial"/>
          <w:b/>
          <w:bCs/>
          <w:sz w:val="24"/>
          <w:szCs w:val="24"/>
        </w:rPr>
        <w:t xml:space="preserve">Resumo: </w:t>
      </w:r>
      <w:r w:rsidRPr="00771368">
        <w:rPr>
          <w:rFonts w:eastAsia="Arial"/>
          <w:sz w:val="24"/>
          <w:szCs w:val="24"/>
        </w:rPr>
        <w:t>a educação profissional no Brasil durante um longo tempo foi uma busca</w:t>
      </w:r>
      <w:r w:rsidRPr="00771368">
        <w:rPr>
          <w:rFonts w:eastAsia="Arial"/>
          <w:b/>
          <w:bCs/>
          <w:sz w:val="24"/>
          <w:szCs w:val="24"/>
        </w:rPr>
        <w:t xml:space="preserve"> </w:t>
      </w:r>
      <w:r w:rsidRPr="00771368">
        <w:rPr>
          <w:rFonts w:eastAsia="Arial"/>
          <w:sz w:val="24"/>
          <w:szCs w:val="24"/>
        </w:rPr>
        <w:t>predominada pelo sexo masculino, no entanto, há índices do aumento nos últimos anos da busca feminina por esta qualificação. Considerando este aspecto é que este artigo pretende contextualizar a educação profissional no Brasil, bem como refletir sobre a participação feminina neste processo de formação e sua inserção ao mundo do trabalho. Este estudo foi desenvolvido a partir da pesquisa bibliográfica e documental de uma instituição de educação profissional em Aracaju. É possível dizer que, o mercado de trabalho tem se mostrando mais aberto em relação à participação feminina nesse universo do trabalho. No entanto, a questão da discriminação da mulher nesse contexto permanece, pois os homens continuam ocupando os mais altos cargos e ganhando os melhores salários.</w:t>
      </w:r>
    </w:p>
    <w:p w:rsidR="00D24E61" w:rsidRPr="00771368" w:rsidRDefault="00D24E61">
      <w:pPr>
        <w:spacing w:line="274" w:lineRule="exact"/>
        <w:rPr>
          <w:sz w:val="24"/>
          <w:szCs w:val="24"/>
        </w:rPr>
      </w:pPr>
    </w:p>
    <w:p w:rsidR="00D24E61" w:rsidRPr="00771368" w:rsidRDefault="00D24E61">
      <w:pPr>
        <w:rPr>
          <w:sz w:val="20"/>
          <w:szCs w:val="20"/>
        </w:rPr>
      </w:pPr>
      <w:r w:rsidRPr="00771368">
        <w:rPr>
          <w:rFonts w:eastAsia="Arial"/>
          <w:b/>
          <w:bCs/>
          <w:sz w:val="24"/>
          <w:szCs w:val="24"/>
        </w:rPr>
        <w:t xml:space="preserve">Palavras-chaves: </w:t>
      </w:r>
      <w:r w:rsidRPr="00771368">
        <w:rPr>
          <w:rFonts w:eastAsia="Arial"/>
          <w:sz w:val="24"/>
          <w:szCs w:val="24"/>
        </w:rPr>
        <w:t>Educação Profissional; Trabalho; Gênero.</w:t>
      </w:r>
    </w:p>
    <w:p w:rsidR="00D24E61" w:rsidRPr="00771368" w:rsidRDefault="00D24E61">
      <w:pPr>
        <w:spacing w:line="327" w:lineRule="exact"/>
        <w:rPr>
          <w:sz w:val="24"/>
          <w:szCs w:val="24"/>
        </w:rPr>
      </w:pPr>
    </w:p>
    <w:p w:rsidR="00D24E61" w:rsidRPr="00D61223" w:rsidRDefault="00D24E61">
      <w:pPr>
        <w:spacing w:line="235" w:lineRule="auto"/>
        <w:ind w:right="20"/>
        <w:jc w:val="both"/>
        <w:rPr>
          <w:sz w:val="20"/>
          <w:szCs w:val="20"/>
          <w:lang w:val="en-US"/>
        </w:rPr>
      </w:pPr>
      <w:r w:rsidRPr="00D61223">
        <w:rPr>
          <w:rFonts w:eastAsia="Arial"/>
          <w:b/>
          <w:bCs/>
          <w:sz w:val="24"/>
          <w:szCs w:val="24"/>
          <w:lang w:val="en-US"/>
        </w:rPr>
        <w:t>Abstract</w:t>
      </w:r>
      <w:r w:rsidRPr="00D61223">
        <w:rPr>
          <w:rFonts w:eastAsia="Arial"/>
          <w:sz w:val="24"/>
          <w:szCs w:val="24"/>
          <w:lang w:val="en-US"/>
        </w:rPr>
        <w:t>: professional education in Brazil has been a long time search for males</w:t>
      </w:r>
      <w:r w:rsidRPr="00D61223">
        <w:rPr>
          <w:rFonts w:eastAsia="Arial"/>
          <w:b/>
          <w:bCs/>
          <w:sz w:val="24"/>
          <w:szCs w:val="24"/>
          <w:lang w:val="en-US"/>
        </w:rPr>
        <w:t xml:space="preserve"> </w:t>
      </w:r>
      <w:r w:rsidRPr="00D61223">
        <w:rPr>
          <w:rFonts w:eastAsia="Arial"/>
          <w:sz w:val="24"/>
          <w:szCs w:val="24"/>
          <w:lang w:val="en-US"/>
        </w:rPr>
        <w:t>predominated, however, there are increasing rates in recent years of women search this qualification. Considering this aspect is that this article seeks to contextualize the professional education in Brazil, as well as reflect on women's participation in this process of training and their integration into the world of work. This study was developed from the research literature and documents from an institution of professional education in Aracaju. You can say that the labor market has been more open with regard to female participation in the world of work. However the question of discrimination against women in this context remains, as men still occupy the highest positions and earning the highest salaries.</w:t>
      </w:r>
    </w:p>
    <w:p w:rsidR="00D24E61" w:rsidRPr="00D61223" w:rsidRDefault="00D24E61">
      <w:pPr>
        <w:spacing w:line="283" w:lineRule="exact"/>
        <w:rPr>
          <w:sz w:val="24"/>
          <w:szCs w:val="24"/>
          <w:lang w:val="en-US"/>
        </w:rPr>
      </w:pPr>
    </w:p>
    <w:p w:rsidR="00D24E61" w:rsidRPr="00D61223" w:rsidRDefault="00D24E61">
      <w:pPr>
        <w:ind w:left="60"/>
        <w:rPr>
          <w:sz w:val="20"/>
          <w:szCs w:val="20"/>
          <w:lang w:val="en-US"/>
        </w:rPr>
      </w:pPr>
      <w:r w:rsidRPr="00D61223">
        <w:rPr>
          <w:rFonts w:eastAsia="Arial"/>
          <w:sz w:val="24"/>
          <w:szCs w:val="24"/>
          <w:lang w:val="en-US"/>
        </w:rPr>
        <w:t>Keywords: Professional Education; Labor; Gender.</w:t>
      </w:r>
    </w:p>
    <w:p w:rsidR="00D24E61" w:rsidRPr="00771368" w:rsidRDefault="00D24E61">
      <w:pPr>
        <w:spacing w:line="239" w:lineRule="auto"/>
        <w:ind w:left="8960"/>
        <w:rPr>
          <w:sz w:val="20"/>
          <w:szCs w:val="20"/>
        </w:rPr>
      </w:pPr>
      <w:r w:rsidRPr="00771368">
        <w:rPr>
          <w:rFonts w:eastAsia="Calibri"/>
        </w:rPr>
        <w:t>2</w:t>
      </w:r>
    </w:p>
    <w:p w:rsidR="00D24E61" w:rsidRPr="00771368" w:rsidRDefault="00D24E61">
      <w:pPr>
        <w:spacing w:line="200" w:lineRule="exact"/>
        <w:rPr>
          <w:sz w:val="20"/>
          <w:szCs w:val="20"/>
        </w:rPr>
      </w:pPr>
    </w:p>
    <w:p w:rsidR="00D24E61" w:rsidRPr="00771368" w:rsidRDefault="00D24E61">
      <w:pPr>
        <w:spacing w:line="248" w:lineRule="exact"/>
        <w:rPr>
          <w:sz w:val="20"/>
          <w:szCs w:val="20"/>
        </w:rPr>
      </w:pPr>
    </w:p>
    <w:p w:rsidR="00D24E61" w:rsidRPr="00771368" w:rsidRDefault="00D24E61">
      <w:pPr>
        <w:rPr>
          <w:sz w:val="20"/>
          <w:szCs w:val="20"/>
        </w:rPr>
      </w:pPr>
      <w:r w:rsidRPr="00771368">
        <w:rPr>
          <w:rFonts w:eastAsia="Arial"/>
          <w:b/>
          <w:bCs/>
          <w:sz w:val="24"/>
          <w:szCs w:val="24"/>
        </w:rPr>
        <w:t>Introdução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Pr="00771368" w:rsidRDefault="00D24E61">
      <w:pPr>
        <w:spacing w:line="349" w:lineRule="auto"/>
        <w:ind w:right="20" w:firstLine="1133"/>
        <w:jc w:val="both"/>
        <w:rPr>
          <w:sz w:val="20"/>
          <w:szCs w:val="20"/>
        </w:rPr>
      </w:pPr>
      <w:r w:rsidRPr="00771368">
        <w:rPr>
          <w:rFonts w:eastAsia="Arial"/>
          <w:sz w:val="24"/>
          <w:szCs w:val="24"/>
        </w:rPr>
        <w:t>A discussão a respeito da questão de gênero em torno do mundo do trabalho não é recente, porém é atual e emergente, visto que já avançamos de certa forma a respeito das reflexões realizadas por estudiosos e pesquisadores defensores dos direitos humanos e mais especificamente os estudos relacionados à divisão sexual do trabalho.</w:t>
      </w:r>
    </w:p>
    <w:p w:rsidR="00D24E61" w:rsidRPr="00771368" w:rsidRDefault="00D24E61">
      <w:pPr>
        <w:spacing w:line="62" w:lineRule="exact"/>
        <w:rPr>
          <w:sz w:val="20"/>
          <w:szCs w:val="20"/>
        </w:rPr>
      </w:pPr>
    </w:p>
    <w:p w:rsidR="00D24E61" w:rsidRPr="00771368" w:rsidRDefault="00D24E61">
      <w:pPr>
        <w:spacing w:line="345" w:lineRule="auto"/>
        <w:ind w:right="20" w:firstLine="1133"/>
        <w:jc w:val="both"/>
        <w:rPr>
          <w:sz w:val="20"/>
          <w:szCs w:val="20"/>
        </w:rPr>
      </w:pPr>
      <w:r w:rsidRPr="00771368">
        <w:rPr>
          <w:rFonts w:eastAsia="Arial"/>
          <w:sz w:val="24"/>
          <w:szCs w:val="24"/>
        </w:rPr>
        <w:t>Entender os elementos que constituem a relação entre educação profissional, trabalho e gênero é o que fundamenta este artigo, para isso, este estudo foi realizado a partir de uma revisão bibliográfica e documental de uma instituição de Educação Profissional de Aracaju.</w:t>
      </w:r>
    </w:p>
    <w:p w:rsidR="00D24E61" w:rsidRPr="00771368" w:rsidRDefault="00D24E61">
      <w:pPr>
        <w:spacing w:line="70" w:lineRule="exact"/>
        <w:rPr>
          <w:sz w:val="20"/>
          <w:szCs w:val="20"/>
        </w:rPr>
      </w:pPr>
    </w:p>
    <w:p w:rsidR="00D24E61" w:rsidRPr="00771368" w:rsidRDefault="00D24E61">
      <w:pPr>
        <w:spacing w:line="352" w:lineRule="auto"/>
        <w:ind w:right="20" w:firstLine="1133"/>
        <w:jc w:val="both"/>
        <w:rPr>
          <w:sz w:val="20"/>
          <w:szCs w:val="20"/>
        </w:rPr>
      </w:pPr>
      <w:r w:rsidRPr="00771368">
        <w:rPr>
          <w:rFonts w:eastAsia="Arial"/>
          <w:sz w:val="24"/>
          <w:szCs w:val="24"/>
        </w:rPr>
        <w:t>A presença feminina no mundo do trabalho não data somente do processo de industrialização das sociedades, mas foi, indubitavelmente, a partir da intensificação da separação da produção de bens e serviços das outras atividades e das transformações tecnológicas que o trabalho da mulher foi sendo empurrado para fora do âmbito doméstico. Este processo ocorreu de forma universal, à medida que as sociedades foram caminhando no sentido da intensificação da regulação capitalista do processo produtivo.</w:t>
      </w:r>
    </w:p>
    <w:p w:rsidR="00D24E61" w:rsidRPr="00771368" w:rsidRDefault="00D24E61">
      <w:pPr>
        <w:spacing w:line="66"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A participação da mulher no sistema produtivo é uma realidade inquestionável e crescente em todo o mundo. No Brasil, a participação das mulheres na força de trabalho vem se dando de forma expressiva nas últimas décadas do século XX e tem sido considerada como uma das principais transformações sócio-econômico-culturais do mundo moderno.</w:t>
      </w:r>
    </w:p>
    <w:p w:rsidR="00D24E61" w:rsidRPr="00771368" w:rsidRDefault="00D24E61">
      <w:pPr>
        <w:spacing w:line="62" w:lineRule="exact"/>
        <w:rPr>
          <w:sz w:val="20"/>
          <w:szCs w:val="20"/>
        </w:rPr>
      </w:pPr>
    </w:p>
    <w:p w:rsidR="00D24E61" w:rsidRPr="00771368" w:rsidRDefault="00D24E61">
      <w:pPr>
        <w:spacing w:line="353" w:lineRule="auto"/>
        <w:ind w:firstLine="1133"/>
        <w:jc w:val="both"/>
        <w:rPr>
          <w:sz w:val="20"/>
          <w:szCs w:val="20"/>
        </w:rPr>
      </w:pPr>
      <w:r w:rsidRPr="00771368">
        <w:rPr>
          <w:rFonts w:eastAsia="Arial"/>
          <w:sz w:val="24"/>
          <w:szCs w:val="24"/>
        </w:rPr>
        <w:t>No entanto, a forma como o trabalho da mulher vem se incorporando ao mundo do trabalho tem colocado novas questões e novas práticas para os diferentes atores sociais que integram as relações sociais aí estabelecidas. Alguns indicadores sociais como salário, tipo de atividade desenvolvida por mulheres e o número de mulheres em cargos de chefia nos ajudam a melhor compreender a inserção e a representatividade específica da força de trabalho feminina brasileira. Ajuda-nos a compreender a maneira como o mercado de trabalho acolheu e manteve esta força de trabalho em atividade.</w:t>
      </w:r>
    </w:p>
    <w:p w:rsidR="00D24E61" w:rsidRPr="00771368" w:rsidRDefault="00D24E61">
      <w:pPr>
        <w:spacing w:line="65" w:lineRule="exact"/>
        <w:rPr>
          <w:sz w:val="20"/>
          <w:szCs w:val="20"/>
        </w:rPr>
      </w:pPr>
    </w:p>
    <w:p w:rsidR="00D24E61" w:rsidRPr="00771368" w:rsidRDefault="00D24E61" w:rsidP="00EA38AA">
      <w:pPr>
        <w:spacing w:line="337" w:lineRule="auto"/>
        <w:ind w:right="20" w:firstLine="1133"/>
        <w:jc w:val="both"/>
        <w:rPr>
          <w:sz w:val="20"/>
          <w:szCs w:val="20"/>
        </w:rPr>
      </w:pPr>
      <w:r w:rsidRPr="00771368">
        <w:rPr>
          <w:rFonts w:eastAsia="Arial"/>
          <w:sz w:val="24"/>
          <w:szCs w:val="24"/>
        </w:rPr>
        <w:t>A busca por uma formação profissional de qualidade por parte das mulheres já é um indicativo bastante significativo, no entanto se faz necessário refletir sobre a absorção das mesmas no mundo trabalho, pois somente a busca da</w:t>
      </w:r>
      <w:r w:rsidR="00EA38AA">
        <w:rPr>
          <w:rFonts w:eastAsia="Arial"/>
          <w:sz w:val="24"/>
          <w:szCs w:val="24"/>
        </w:rPr>
        <w:t xml:space="preserve"> </w:t>
      </w:r>
      <w:r w:rsidRPr="00771368">
        <w:rPr>
          <w:rFonts w:eastAsia="Arial"/>
          <w:sz w:val="24"/>
          <w:szCs w:val="24"/>
        </w:rPr>
        <w:t>formação não garante as mesmas o seu direito à cidadania. Muito ainda há que se fazer para que as mulheres se legitimem enquanto agentes sociais capazes moverem a economia.</w:t>
      </w:r>
    </w:p>
    <w:p w:rsidR="00D24E61" w:rsidRPr="00771368" w:rsidRDefault="00D24E61">
      <w:pPr>
        <w:spacing w:line="200" w:lineRule="exact"/>
        <w:rPr>
          <w:sz w:val="20"/>
          <w:szCs w:val="20"/>
        </w:rPr>
      </w:pPr>
    </w:p>
    <w:p w:rsidR="00D24E61" w:rsidRPr="00771368" w:rsidRDefault="00D24E61">
      <w:pPr>
        <w:spacing w:line="240" w:lineRule="exact"/>
        <w:rPr>
          <w:sz w:val="20"/>
          <w:szCs w:val="20"/>
        </w:rPr>
      </w:pPr>
    </w:p>
    <w:p w:rsidR="00D24E61" w:rsidRPr="00771368" w:rsidRDefault="00D24E61">
      <w:pPr>
        <w:rPr>
          <w:sz w:val="20"/>
          <w:szCs w:val="20"/>
        </w:rPr>
      </w:pPr>
      <w:r w:rsidRPr="00771368">
        <w:rPr>
          <w:rFonts w:eastAsia="Arial"/>
          <w:b/>
          <w:bCs/>
          <w:sz w:val="24"/>
          <w:szCs w:val="24"/>
        </w:rPr>
        <w:t>Educação profissional no Brasil</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6" w:lineRule="exact"/>
        <w:rPr>
          <w:sz w:val="20"/>
          <w:szCs w:val="20"/>
        </w:rPr>
      </w:pPr>
    </w:p>
    <w:p w:rsidR="00D24E61" w:rsidRPr="00771368" w:rsidRDefault="00D24E61">
      <w:pPr>
        <w:spacing w:line="314" w:lineRule="auto"/>
        <w:ind w:right="20" w:firstLine="852"/>
        <w:jc w:val="both"/>
        <w:rPr>
          <w:sz w:val="20"/>
          <w:szCs w:val="20"/>
        </w:rPr>
      </w:pPr>
      <w:r w:rsidRPr="00771368">
        <w:rPr>
          <w:rFonts w:eastAsia="Arial"/>
          <w:sz w:val="24"/>
          <w:szCs w:val="24"/>
        </w:rPr>
        <w:t>A educação profissional no Brasil já assumiu diferentes funções no decorrer de toda a história educacional brasileira.</w:t>
      </w:r>
    </w:p>
    <w:p w:rsidR="00D24E61" w:rsidRPr="00771368" w:rsidRDefault="00D24E61">
      <w:pPr>
        <w:spacing w:line="106" w:lineRule="exact"/>
        <w:rPr>
          <w:sz w:val="20"/>
          <w:szCs w:val="20"/>
        </w:rPr>
      </w:pPr>
    </w:p>
    <w:p w:rsidR="00D24E61" w:rsidRPr="00771368" w:rsidRDefault="00D24E61">
      <w:pPr>
        <w:spacing w:line="351" w:lineRule="auto"/>
        <w:ind w:firstLine="852"/>
        <w:jc w:val="both"/>
        <w:rPr>
          <w:sz w:val="20"/>
          <w:szCs w:val="20"/>
        </w:rPr>
      </w:pPr>
      <w:r w:rsidRPr="00771368">
        <w:rPr>
          <w:rFonts w:eastAsia="Arial"/>
          <w:sz w:val="24"/>
          <w:szCs w:val="24"/>
        </w:rPr>
        <w:t>Até a promulgação da atual LDBEN, a educação profissional esteve agregada ao ensino de 2º grau (atual ensino médio), quando então passou a ter identidade própria, cuja característica marcante é a sua capacidade de integrar-se às diferentes formas de educação, ao trabalho, à ciência e à tecnologia, com vistas a conduzir o educando ao permanente desenvolvimento de aptidões para a vida produtiva (BRASIL, 1996, art. 39).</w:t>
      </w:r>
    </w:p>
    <w:p w:rsidR="00D24E61" w:rsidRPr="00771368" w:rsidRDefault="00D24E61">
      <w:pPr>
        <w:spacing w:line="63" w:lineRule="exact"/>
        <w:rPr>
          <w:sz w:val="20"/>
          <w:szCs w:val="20"/>
        </w:rPr>
      </w:pPr>
    </w:p>
    <w:p w:rsidR="00D24E61" w:rsidRPr="00771368" w:rsidRDefault="00D24E61">
      <w:pPr>
        <w:spacing w:line="349" w:lineRule="auto"/>
        <w:ind w:right="20" w:firstLine="852"/>
        <w:jc w:val="both"/>
        <w:rPr>
          <w:sz w:val="20"/>
          <w:szCs w:val="20"/>
        </w:rPr>
      </w:pPr>
      <w:r w:rsidRPr="00771368">
        <w:rPr>
          <w:rFonts w:eastAsia="Arial"/>
          <w:sz w:val="24"/>
          <w:szCs w:val="24"/>
        </w:rPr>
        <w:t>Num país como o Brasil, que apresenta diversidades físicas, socioculturais e econômicas marcantes, o modelo educacional adotado para a profissionalização tinha de ser flexível. Os novos currículos voltaram-se para atender tanto ao mercado nacional como às características das diferentes regiões brasileiras, além de se adaptarem às exigências dos setores produtivos.</w:t>
      </w:r>
    </w:p>
    <w:p w:rsidR="00D24E61" w:rsidRPr="00771368" w:rsidRDefault="00D24E61">
      <w:pPr>
        <w:spacing w:line="63" w:lineRule="exact"/>
        <w:rPr>
          <w:sz w:val="20"/>
          <w:szCs w:val="20"/>
        </w:rPr>
      </w:pPr>
    </w:p>
    <w:p w:rsidR="00D24E61" w:rsidRPr="00771368" w:rsidRDefault="00D24E61">
      <w:pPr>
        <w:spacing w:line="349" w:lineRule="auto"/>
        <w:ind w:right="20" w:firstLine="852"/>
        <w:jc w:val="both"/>
        <w:rPr>
          <w:sz w:val="20"/>
          <w:szCs w:val="20"/>
        </w:rPr>
      </w:pPr>
      <w:r w:rsidRPr="00771368">
        <w:rPr>
          <w:rFonts w:eastAsia="Arial"/>
          <w:sz w:val="24"/>
          <w:szCs w:val="24"/>
        </w:rPr>
        <w:t>O objetivo da Educação Profissional é criar cursos que garantam perspectivas de trabalho para os jovens e que facilitem seu acesso ao mercado; e que atendam, também, os profissionais que já estão no mercado, mas sentem falta de uma melhor qualificação para exercerem suas atividades, e, ainda, seja um instrumento eficaz na reinserção do trabalhador no mercado de trabalho.</w:t>
      </w:r>
    </w:p>
    <w:p w:rsidR="00D24E61" w:rsidRPr="00771368" w:rsidRDefault="00D24E61">
      <w:pPr>
        <w:spacing w:line="65" w:lineRule="exact"/>
        <w:rPr>
          <w:sz w:val="20"/>
          <w:szCs w:val="20"/>
        </w:rPr>
      </w:pPr>
    </w:p>
    <w:p w:rsidR="00D24E61" w:rsidRPr="00771368" w:rsidRDefault="00D24E61">
      <w:pPr>
        <w:spacing w:line="345" w:lineRule="auto"/>
        <w:ind w:right="20" w:firstLine="852"/>
        <w:jc w:val="both"/>
        <w:rPr>
          <w:sz w:val="20"/>
          <w:szCs w:val="20"/>
        </w:rPr>
      </w:pPr>
      <w:r w:rsidRPr="00771368">
        <w:rPr>
          <w:rFonts w:eastAsia="Arial"/>
          <w:sz w:val="24"/>
          <w:szCs w:val="24"/>
        </w:rPr>
        <w:t>A formação profissional não se esgota na conquista de um certificado ou diploma. A nova política estabelece a educação continuada, permanente, como forma de atualizar, especializar e aperfeiçoar jovens e adultos em seus conhecimentos tecnológicos.</w:t>
      </w:r>
    </w:p>
    <w:p w:rsidR="00D24E61" w:rsidRPr="00771368" w:rsidRDefault="00D24E61">
      <w:pPr>
        <w:spacing w:line="70" w:lineRule="exact"/>
        <w:rPr>
          <w:sz w:val="20"/>
          <w:szCs w:val="20"/>
        </w:rPr>
      </w:pPr>
    </w:p>
    <w:p w:rsidR="00D24E61" w:rsidRPr="00771368" w:rsidRDefault="00D24E61">
      <w:pPr>
        <w:spacing w:line="336" w:lineRule="auto"/>
        <w:ind w:right="20" w:firstLine="852"/>
        <w:jc w:val="both"/>
        <w:rPr>
          <w:sz w:val="20"/>
          <w:szCs w:val="20"/>
        </w:rPr>
      </w:pPr>
      <w:r w:rsidRPr="00771368">
        <w:rPr>
          <w:rFonts w:eastAsia="Arial"/>
          <w:sz w:val="24"/>
          <w:szCs w:val="24"/>
        </w:rPr>
        <w:t>A educação profissional no Brasil sempre esteve associada à formação de mão-de-obra, pois, desde seus primórdios, estava reservada às camadas menos favorecida economicamente.</w:t>
      </w:r>
    </w:p>
    <w:p w:rsidR="00D24E61" w:rsidRPr="00771368" w:rsidRDefault="00D24E61">
      <w:pPr>
        <w:spacing w:line="82" w:lineRule="exact"/>
        <w:rPr>
          <w:sz w:val="20"/>
          <w:szCs w:val="20"/>
        </w:rPr>
      </w:pPr>
    </w:p>
    <w:p w:rsidR="00D24E61" w:rsidRPr="00771368" w:rsidRDefault="00D24E61" w:rsidP="00EA38AA">
      <w:pPr>
        <w:spacing w:line="314" w:lineRule="auto"/>
        <w:ind w:right="20" w:firstLine="852"/>
        <w:jc w:val="both"/>
        <w:rPr>
          <w:sz w:val="20"/>
          <w:szCs w:val="20"/>
        </w:rPr>
      </w:pPr>
      <w:r w:rsidRPr="00771368">
        <w:rPr>
          <w:rFonts w:eastAsia="Arial"/>
          <w:sz w:val="24"/>
          <w:szCs w:val="24"/>
        </w:rPr>
        <w:t>Durante o Estado Novo (1937-1945) a regulamentação do ensino foi levada a efeito a partir de 1942, com a Reforma Capanema, sob o nome das Leis Orgânicas</w:t>
      </w:r>
      <w:r w:rsidR="00EA38AA">
        <w:rPr>
          <w:sz w:val="20"/>
          <w:szCs w:val="20"/>
        </w:rPr>
        <w:t xml:space="preserve"> </w:t>
      </w:r>
      <w:r w:rsidRPr="00771368">
        <w:rPr>
          <w:rFonts w:eastAsia="Arial"/>
          <w:sz w:val="24"/>
          <w:szCs w:val="24"/>
        </w:rPr>
        <w:t>do Ensino, que estruturou o ensino industrial, reformou o ensino comercial e criou o Serviço Nacional de Aprendizagem Industrial – SENAI, como também trouxe mudanças no ensino secundário, cujo objetivo do ensino secundário e normal era</w:t>
      </w:r>
      <w:r w:rsidR="00EA38AA">
        <w:rPr>
          <w:rFonts w:eastAsia="Arial"/>
          <w:sz w:val="24"/>
          <w:szCs w:val="24"/>
        </w:rPr>
        <w:t xml:space="preserve"> </w:t>
      </w:r>
      <w:r w:rsidRPr="00771368">
        <w:rPr>
          <w:rFonts w:eastAsia="Arial"/>
          <w:sz w:val="24"/>
          <w:szCs w:val="24"/>
        </w:rPr>
        <w:t>“formar as elites condutoras do país”, ficando para o ensino profissional o objetivo de oferecer “formação adequada aos filhos dos operários, aos desvalidos da sorte e aos menos afortunados, aqueles que necessitam ingressar precocemente na força de trabalho” (ROMANELLI, 1978; ARANHA, 2002; RIBEIRO, 2003).</w:t>
      </w:r>
    </w:p>
    <w:p w:rsidR="00D24E61" w:rsidRPr="00771368" w:rsidRDefault="00D24E61">
      <w:pPr>
        <w:spacing w:line="69" w:lineRule="exact"/>
        <w:rPr>
          <w:sz w:val="20"/>
          <w:szCs w:val="20"/>
        </w:rPr>
      </w:pPr>
    </w:p>
    <w:p w:rsidR="00D24E61" w:rsidRPr="00771368" w:rsidRDefault="00D24E61">
      <w:pPr>
        <w:spacing w:line="351" w:lineRule="auto"/>
        <w:ind w:firstLine="852"/>
        <w:jc w:val="both"/>
        <w:rPr>
          <w:sz w:val="20"/>
          <w:szCs w:val="20"/>
        </w:rPr>
      </w:pPr>
      <w:r w:rsidRPr="00771368">
        <w:rPr>
          <w:rFonts w:eastAsia="Arial"/>
          <w:sz w:val="24"/>
          <w:szCs w:val="24"/>
        </w:rPr>
        <w:t>Com isso, cristalizou-se na sociedade a idéia de que o ensino secundário, ao lado do ensino normal e do ensino superior, era destinado aos que detinham o saber, enquanto o ensino profissional estava voltado apenas àqueles que executavam as tarefas manuais. Assim, a partir do próprio texto legal, promovia-se a separação entre os que “pensam” e os que “fazem”, e a educação profissional, preconceituosamente, era considerada como uma educação de segunda categoria.</w:t>
      </w:r>
    </w:p>
    <w:p w:rsidR="00D24E61" w:rsidRPr="00771368" w:rsidRDefault="00D24E61">
      <w:pPr>
        <w:spacing w:line="63" w:lineRule="exact"/>
        <w:rPr>
          <w:sz w:val="20"/>
          <w:szCs w:val="20"/>
        </w:rPr>
      </w:pPr>
    </w:p>
    <w:p w:rsidR="00D24E61" w:rsidRPr="00771368" w:rsidRDefault="00D24E61">
      <w:pPr>
        <w:spacing w:line="353" w:lineRule="auto"/>
        <w:ind w:firstLine="852"/>
        <w:jc w:val="both"/>
        <w:rPr>
          <w:sz w:val="20"/>
          <w:szCs w:val="20"/>
        </w:rPr>
      </w:pPr>
      <w:r w:rsidRPr="00771368">
        <w:rPr>
          <w:rFonts w:eastAsia="Arial"/>
          <w:sz w:val="24"/>
          <w:szCs w:val="24"/>
        </w:rPr>
        <w:t>Até a década de 70, formação profissional se traduzia no treinamento para a produção em série e padronizada. O resultado desse tipo de formação era a incorporação ao mercado de trabalho de operadores semi-qualificados, desempenhando tarefas simples, rotineiras e previamente delimitadas. Havia pouca margem de autonomia para o trabalhador, pois o conhecimento técnico e organizacional cabia quase sempre apenas aos níveis gerenciais. A baixa escolaridade dos trabalhadores não era considerada entrave significativo à expansão econômica.</w:t>
      </w:r>
    </w:p>
    <w:p w:rsidR="00D24E61" w:rsidRPr="00771368" w:rsidRDefault="00D24E61">
      <w:pPr>
        <w:spacing w:line="65" w:lineRule="exact"/>
        <w:rPr>
          <w:sz w:val="20"/>
          <w:szCs w:val="20"/>
        </w:rPr>
      </w:pPr>
    </w:p>
    <w:p w:rsidR="00D24E61" w:rsidRPr="00771368" w:rsidRDefault="00D24E61">
      <w:pPr>
        <w:spacing w:line="351" w:lineRule="auto"/>
        <w:ind w:right="20" w:firstLine="852"/>
        <w:jc w:val="both"/>
        <w:rPr>
          <w:sz w:val="20"/>
          <w:szCs w:val="20"/>
        </w:rPr>
      </w:pPr>
      <w:r w:rsidRPr="00771368">
        <w:rPr>
          <w:rFonts w:eastAsia="Arial"/>
          <w:sz w:val="24"/>
          <w:szCs w:val="24"/>
        </w:rPr>
        <w:t>A partir da década de 80, novas formas de organização e de gestão modificaram estruturalmente o mundo do trabalho e as empresas passaram a exigir empregados mais qualificados. Além da destreza manual, novas competências passaram a ser requeridas como inovação, criatividade, capacidade para o trabalho em equipe e autonomia na tomada de decisões. Tudo isso, mediado pela utilização de novas tecnologias da informação.</w:t>
      </w:r>
    </w:p>
    <w:p w:rsidR="00D24E61" w:rsidRPr="00771368" w:rsidRDefault="00D24E61">
      <w:pPr>
        <w:spacing w:line="63" w:lineRule="exact"/>
        <w:rPr>
          <w:sz w:val="20"/>
          <w:szCs w:val="20"/>
        </w:rPr>
      </w:pPr>
    </w:p>
    <w:p w:rsidR="00D24E61" w:rsidRPr="00771368" w:rsidRDefault="00D24E61" w:rsidP="00EA38AA">
      <w:pPr>
        <w:spacing w:line="350" w:lineRule="auto"/>
        <w:ind w:firstLine="852"/>
        <w:jc w:val="both"/>
        <w:rPr>
          <w:sz w:val="20"/>
          <w:szCs w:val="20"/>
        </w:rPr>
      </w:pPr>
      <w:r w:rsidRPr="00771368">
        <w:rPr>
          <w:rFonts w:eastAsia="Arial"/>
          <w:sz w:val="24"/>
          <w:szCs w:val="24"/>
        </w:rPr>
        <w:t>Hoje, a educação profissional não mais consiste em simples instrumento de política assistencialista nem se resume à simples preparação do indivíduo para execução de um determinado conjunto de tarefas. Pelo contrário, depois da nova Lei de Diretrizes e Bases da Educação Nacional, Lei Federal 9.394/96, a educação profissional passou a significar muito mais: o domínio operacional de um determinado fazer, acompanhado da compreensão global do processo produtivo,</w:t>
      </w:r>
      <w:r w:rsidR="00EA38AA">
        <w:rPr>
          <w:rFonts w:eastAsia="Arial"/>
          <w:sz w:val="24"/>
          <w:szCs w:val="24"/>
        </w:rPr>
        <w:t xml:space="preserve"> </w:t>
      </w:r>
      <w:r w:rsidRPr="00771368">
        <w:rPr>
          <w:rFonts w:eastAsia="Arial"/>
          <w:sz w:val="24"/>
          <w:szCs w:val="24"/>
        </w:rPr>
        <w:t>com a apreensão do saber tecnológico, a valorização da cultura do trabalho e a mobilização dos valores necessários à tomada de decisões.</w:t>
      </w:r>
    </w:p>
    <w:p w:rsidR="00D24E61" w:rsidRPr="00771368" w:rsidRDefault="00D24E61">
      <w:pPr>
        <w:spacing w:line="104" w:lineRule="exact"/>
        <w:rPr>
          <w:sz w:val="20"/>
          <w:szCs w:val="20"/>
        </w:rPr>
      </w:pPr>
    </w:p>
    <w:p w:rsidR="00D24E61" w:rsidRPr="00771368" w:rsidRDefault="00D24E61">
      <w:pPr>
        <w:spacing w:line="344" w:lineRule="auto"/>
        <w:ind w:right="20" w:firstLine="852"/>
        <w:jc w:val="both"/>
        <w:rPr>
          <w:sz w:val="20"/>
          <w:szCs w:val="20"/>
        </w:rPr>
      </w:pPr>
      <w:r w:rsidRPr="00771368">
        <w:rPr>
          <w:rFonts w:eastAsia="Arial"/>
          <w:sz w:val="24"/>
          <w:szCs w:val="24"/>
        </w:rPr>
        <w:t>Podemos perceber que a nova LDB, rever o seu texto frente à Educação Profissional, uma vez que transcende com o modelo taylorismo e o fordismo quanto à organização do trabalho e forma de preparar para o mesmo, para assumir características da empresa japonesa.</w:t>
      </w:r>
    </w:p>
    <w:p w:rsidR="00D24E61" w:rsidRPr="00771368" w:rsidRDefault="00D24E61">
      <w:pPr>
        <w:spacing w:line="74" w:lineRule="exact"/>
        <w:rPr>
          <w:sz w:val="20"/>
          <w:szCs w:val="20"/>
        </w:rPr>
      </w:pPr>
    </w:p>
    <w:p w:rsidR="00D24E61" w:rsidRPr="00771368" w:rsidRDefault="00D24E61">
      <w:pPr>
        <w:spacing w:line="314" w:lineRule="auto"/>
        <w:ind w:right="20" w:firstLine="852"/>
        <w:jc w:val="both"/>
        <w:rPr>
          <w:sz w:val="20"/>
          <w:szCs w:val="20"/>
        </w:rPr>
      </w:pPr>
      <w:r w:rsidRPr="00771368">
        <w:rPr>
          <w:rFonts w:eastAsia="Arial"/>
          <w:sz w:val="24"/>
          <w:szCs w:val="24"/>
        </w:rPr>
        <w:t>De acordo com Ferreti (1994, p. 126), as qualidades solicitadas para atender esse novo modelo de produção perpassam pela:</w:t>
      </w:r>
    </w:p>
    <w:p w:rsidR="00D24E61" w:rsidRPr="00771368" w:rsidRDefault="00D24E61">
      <w:pPr>
        <w:spacing w:line="99" w:lineRule="exact"/>
        <w:rPr>
          <w:sz w:val="20"/>
          <w:szCs w:val="20"/>
        </w:rPr>
      </w:pPr>
    </w:p>
    <w:p w:rsidR="00D24E61" w:rsidRPr="00771368" w:rsidRDefault="00D24E61">
      <w:pPr>
        <w:spacing w:line="229" w:lineRule="auto"/>
        <w:ind w:left="2260" w:right="20"/>
        <w:jc w:val="both"/>
        <w:rPr>
          <w:sz w:val="20"/>
          <w:szCs w:val="20"/>
        </w:rPr>
      </w:pPr>
      <w:r w:rsidRPr="00771368">
        <w:rPr>
          <w:rFonts w:eastAsia="Arial"/>
        </w:rPr>
        <w:t>capacidade de pensar, de decidir, de ter iniciativa e responsabilidade, de fabricar e de consertar, de administrar a produção e qualidade a partir da linha, isto é, ser simultaneamente operário de produção e de manutenção, inspetor de qualidade e engenheiro.</w:t>
      </w:r>
    </w:p>
    <w:p w:rsidR="00D24E61" w:rsidRPr="00771368" w:rsidRDefault="00D24E61">
      <w:pPr>
        <w:spacing w:line="282" w:lineRule="exact"/>
        <w:rPr>
          <w:sz w:val="20"/>
          <w:szCs w:val="20"/>
        </w:rPr>
      </w:pPr>
    </w:p>
    <w:p w:rsidR="00D24E61" w:rsidRPr="00771368" w:rsidRDefault="00D24E61">
      <w:pPr>
        <w:spacing w:line="354" w:lineRule="auto"/>
        <w:ind w:firstLine="852"/>
        <w:jc w:val="both"/>
        <w:rPr>
          <w:sz w:val="20"/>
          <w:szCs w:val="20"/>
        </w:rPr>
      </w:pPr>
      <w:r w:rsidRPr="00771368">
        <w:rPr>
          <w:rFonts w:eastAsia="Arial"/>
          <w:sz w:val="24"/>
          <w:szCs w:val="24"/>
        </w:rPr>
        <w:t>A abordagem das atividades produtivas que constituem o mundo do trabalho leva a identificar três grandes segmentos: produção de bens, produção de conhecimentos e produção de serviços. Essas atividades produtivas são as bases em que se assentam as diretrizes curriculares nacionais. Cada um desses segmentos - bens, conhecimentos e serviços - tem processos próprios, ou seja, demandam funções específicas, que realizam operações segundo determinadas normas, métodos e técnicas. Os diferentes processos produtivos guardam entre si semelhanças e dessemelhanças, e sobre as semelhanças é que se constituem as grandes áreas profissionais.</w:t>
      </w:r>
    </w:p>
    <w:p w:rsidR="00D24E61" w:rsidRPr="00771368" w:rsidRDefault="00D24E61">
      <w:pPr>
        <w:spacing w:line="64" w:lineRule="exact"/>
        <w:rPr>
          <w:sz w:val="20"/>
          <w:szCs w:val="20"/>
        </w:rPr>
      </w:pPr>
    </w:p>
    <w:p w:rsidR="00D24E61" w:rsidRPr="00771368" w:rsidRDefault="00D24E61">
      <w:pPr>
        <w:spacing w:line="344" w:lineRule="auto"/>
        <w:ind w:right="20" w:firstLine="852"/>
        <w:jc w:val="both"/>
        <w:rPr>
          <w:sz w:val="20"/>
          <w:szCs w:val="20"/>
        </w:rPr>
      </w:pPr>
      <w:r w:rsidRPr="00771368">
        <w:rPr>
          <w:rFonts w:eastAsia="Arial"/>
          <w:sz w:val="24"/>
          <w:szCs w:val="24"/>
        </w:rPr>
        <w:t>Por outro lado, os processos produtivos de cada área profissional se desdobram em funções e sub-funções, e a partir destas últimas é que são identificadas as competências e habilidades, construídas sobre as bases tecnológicas a elas referenciadas.</w:t>
      </w:r>
    </w:p>
    <w:p w:rsidR="00D24E61" w:rsidRPr="00771368" w:rsidRDefault="00D24E61">
      <w:pPr>
        <w:spacing w:line="71" w:lineRule="exact"/>
        <w:rPr>
          <w:sz w:val="20"/>
          <w:szCs w:val="20"/>
        </w:rPr>
      </w:pPr>
    </w:p>
    <w:p w:rsidR="00D24E61" w:rsidRPr="00771368" w:rsidRDefault="00D24E61">
      <w:pPr>
        <w:spacing w:line="355" w:lineRule="auto"/>
        <w:ind w:firstLine="852"/>
        <w:jc w:val="both"/>
        <w:rPr>
          <w:sz w:val="20"/>
          <w:szCs w:val="20"/>
        </w:rPr>
      </w:pPr>
      <w:r w:rsidRPr="00771368">
        <w:rPr>
          <w:rFonts w:eastAsia="Arial"/>
          <w:sz w:val="24"/>
          <w:szCs w:val="24"/>
        </w:rPr>
        <w:t>Portanto, a definição de competências e habilidades e das bases tecnológicas requeridas para a formação de um profissional devem estar embasadas em uma análise do processo produtivo de cada área profissional. A descrição das etapas deste processo, das funções e sub-funções a serem desempenhadas pelos trabalhadores, deve ser objeto de investigação por técnicos em elaboração curricular, articulados com profissionais do setor ou área de produção. O desenho deste quadro permitirá, então, que se estabeleçam as competências, ou seja, as operações mentais-sócio-afetivas, psicomotoras ou cognitivas - que precisam ser desenvolvidas pelos estudantes, numa ótica para a qual saber fazer não é resultado de uma instrução mecanicista, mas de uma construção mental que pode incorporar</w:t>
      </w:r>
    </w:p>
    <w:p w:rsidR="00D24E61" w:rsidRPr="00771368" w:rsidRDefault="00D24E61">
      <w:pPr>
        <w:spacing w:line="315" w:lineRule="auto"/>
        <w:ind w:right="20"/>
        <w:jc w:val="both"/>
        <w:rPr>
          <w:sz w:val="20"/>
          <w:szCs w:val="20"/>
        </w:rPr>
      </w:pPr>
      <w:r w:rsidRPr="00771368">
        <w:rPr>
          <w:rFonts w:eastAsia="Arial"/>
          <w:sz w:val="24"/>
          <w:szCs w:val="24"/>
        </w:rPr>
        <w:t>novos saberes, viabilizando uma requalificação e uma reprofissionalização em função das mudanças econômicas e tecnológicas.</w:t>
      </w:r>
    </w:p>
    <w:p w:rsidR="00D24E61" w:rsidRPr="00771368" w:rsidRDefault="00D24E61">
      <w:pPr>
        <w:spacing w:line="104" w:lineRule="exact"/>
        <w:rPr>
          <w:sz w:val="20"/>
          <w:szCs w:val="20"/>
        </w:rPr>
      </w:pPr>
    </w:p>
    <w:p w:rsidR="00D24E61" w:rsidRPr="00771368" w:rsidRDefault="00D24E61">
      <w:pPr>
        <w:spacing w:line="352" w:lineRule="auto"/>
        <w:ind w:right="20" w:firstLine="852"/>
        <w:jc w:val="both"/>
        <w:rPr>
          <w:sz w:val="20"/>
          <w:szCs w:val="20"/>
        </w:rPr>
      </w:pPr>
      <w:r w:rsidRPr="00771368">
        <w:rPr>
          <w:rFonts w:eastAsia="Arial"/>
          <w:sz w:val="24"/>
          <w:szCs w:val="24"/>
        </w:rPr>
        <w:t>A educação profissional precisa ser sempre complementar à educação básica, de caráter geral. Grande parte dos perfis profissionais propostos pelo setor produtivo apresentam características muito vinculadas à formação geral do trabalhador, no sentido de que ele precisa ter uma forte base humanística, científica e tecnológica, e competências para tomada de decisão, para o trabalho em grupo e para a adequação às constantes mudanças que se processam no mundo do trabalho.</w:t>
      </w:r>
    </w:p>
    <w:p w:rsidR="00D24E61" w:rsidRPr="00771368" w:rsidRDefault="00D24E61">
      <w:pPr>
        <w:spacing w:line="64" w:lineRule="exact"/>
        <w:rPr>
          <w:sz w:val="20"/>
          <w:szCs w:val="20"/>
        </w:rPr>
      </w:pPr>
    </w:p>
    <w:p w:rsidR="00D24E61" w:rsidRPr="00771368" w:rsidRDefault="00D24E61">
      <w:pPr>
        <w:spacing w:line="351" w:lineRule="auto"/>
        <w:ind w:right="20" w:firstLine="852"/>
        <w:jc w:val="both"/>
        <w:rPr>
          <w:sz w:val="20"/>
          <w:szCs w:val="20"/>
        </w:rPr>
      </w:pPr>
      <w:r w:rsidRPr="00771368">
        <w:rPr>
          <w:rFonts w:eastAsia="Arial"/>
          <w:sz w:val="24"/>
          <w:szCs w:val="24"/>
        </w:rPr>
        <w:t>Mesmo percebendo os avanços frente ao novo modelo de produção, bem como na forma como se organiza a formação para esse modelo, a questão da qualidade e competência ainda não foi pensada a partir das relações de poder, ou seja, no interior do trabalho e de todos os modelos que pensam sobre a questão da organização da produção, a relação de gênero tem sido ignorada pelos estudiosos do tema em questão (FERRETI, 1994).</w:t>
      </w:r>
    </w:p>
    <w:p w:rsidR="00D24E61" w:rsidRPr="00771368" w:rsidRDefault="00D24E61">
      <w:pPr>
        <w:spacing w:line="200" w:lineRule="exact"/>
        <w:rPr>
          <w:sz w:val="20"/>
          <w:szCs w:val="20"/>
        </w:rPr>
      </w:pPr>
    </w:p>
    <w:p w:rsidR="00D24E61" w:rsidRPr="00771368" w:rsidRDefault="00D24E61">
      <w:pPr>
        <w:spacing w:line="227" w:lineRule="exact"/>
        <w:rPr>
          <w:sz w:val="20"/>
          <w:szCs w:val="20"/>
        </w:rPr>
      </w:pPr>
    </w:p>
    <w:p w:rsidR="00D24E61" w:rsidRPr="00771368" w:rsidRDefault="00D24E61">
      <w:pPr>
        <w:rPr>
          <w:sz w:val="20"/>
          <w:szCs w:val="20"/>
        </w:rPr>
      </w:pPr>
      <w:r w:rsidRPr="00771368">
        <w:rPr>
          <w:rFonts w:eastAsia="Arial"/>
          <w:b/>
          <w:bCs/>
          <w:sz w:val="24"/>
          <w:szCs w:val="24"/>
        </w:rPr>
        <w:t>Educação profissional e trabalho: um lugar para mulher?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Pr="00771368" w:rsidRDefault="00D24E61">
      <w:pPr>
        <w:spacing w:line="344" w:lineRule="auto"/>
        <w:ind w:right="20" w:firstLine="852"/>
        <w:jc w:val="both"/>
        <w:rPr>
          <w:sz w:val="20"/>
          <w:szCs w:val="20"/>
        </w:rPr>
      </w:pPr>
      <w:r w:rsidRPr="00771368">
        <w:rPr>
          <w:rFonts w:eastAsia="Arial"/>
          <w:sz w:val="24"/>
          <w:szCs w:val="24"/>
        </w:rPr>
        <w:t>Para pensarmos sobre o lugar que a mulher vem ocupando no mundo do trabalho, se faz relevante inicialmente entendermos o que vem a ser trabalho. Pois, podemos afirmar que o trabalho é uma ação humana, e enquanto tal está suscetível a transformações tanto quanto o ser humano também está.</w:t>
      </w:r>
    </w:p>
    <w:p w:rsidR="00D24E61" w:rsidRPr="00771368" w:rsidRDefault="00D24E61">
      <w:pPr>
        <w:spacing w:line="23" w:lineRule="exact"/>
        <w:rPr>
          <w:sz w:val="20"/>
          <w:szCs w:val="20"/>
        </w:rPr>
      </w:pPr>
    </w:p>
    <w:p w:rsidR="00D24E61" w:rsidRPr="00771368" w:rsidRDefault="00D24E61">
      <w:pPr>
        <w:ind w:left="1140"/>
        <w:rPr>
          <w:sz w:val="20"/>
          <w:szCs w:val="20"/>
        </w:rPr>
      </w:pPr>
      <w:r w:rsidRPr="00771368">
        <w:rPr>
          <w:rFonts w:eastAsia="Arial"/>
          <w:sz w:val="24"/>
          <w:szCs w:val="24"/>
        </w:rPr>
        <w:t>Hirata e Zarafian (2003, 65), dizem que para Marx o trabalho:</w:t>
      </w:r>
    </w:p>
    <w:p w:rsidR="00D24E61" w:rsidRPr="00771368" w:rsidRDefault="00D24E61">
      <w:pPr>
        <w:spacing w:line="181" w:lineRule="exact"/>
        <w:rPr>
          <w:sz w:val="20"/>
          <w:szCs w:val="20"/>
        </w:rPr>
      </w:pPr>
    </w:p>
    <w:p w:rsidR="00D24E61" w:rsidRPr="00771368" w:rsidRDefault="00D24E61">
      <w:pPr>
        <w:spacing w:line="233" w:lineRule="auto"/>
        <w:ind w:left="2260" w:right="20"/>
        <w:jc w:val="both"/>
        <w:rPr>
          <w:sz w:val="20"/>
          <w:szCs w:val="20"/>
        </w:rPr>
      </w:pPr>
      <w:r w:rsidRPr="00771368">
        <w:rPr>
          <w:rFonts w:eastAsia="Arial"/>
        </w:rPr>
        <w:t>é em essência um ato que se passa entre o homem e a natureza. O próprio homem exerce em relação à natureza o papel de uma potência natural específica. Ele põe em movimento sua inteligência e sua força a fim de transformar matérias e lhes dar uma forma útil à sua vida. Ao mesmo tempo em que age por esse movimento sobre a natureza exterior e a modifica, ele modifica sua própria natureza e desenvolve suas faculdades aí adormecidas.</w:t>
      </w:r>
    </w:p>
    <w:p w:rsidR="00D24E61" w:rsidRPr="00771368" w:rsidRDefault="00D24E61">
      <w:pPr>
        <w:spacing w:line="311" w:lineRule="exact"/>
        <w:rPr>
          <w:sz w:val="20"/>
          <w:szCs w:val="20"/>
        </w:rPr>
      </w:pPr>
    </w:p>
    <w:p w:rsidR="00D24E61" w:rsidRPr="00771368" w:rsidRDefault="00D24E61" w:rsidP="00EA38AA">
      <w:pPr>
        <w:spacing w:line="351" w:lineRule="auto"/>
        <w:ind w:right="20" w:firstLine="852"/>
        <w:jc w:val="both"/>
        <w:rPr>
          <w:sz w:val="20"/>
          <w:szCs w:val="20"/>
        </w:rPr>
      </w:pPr>
      <w:r w:rsidRPr="00771368">
        <w:rPr>
          <w:rFonts w:eastAsia="Arial"/>
          <w:sz w:val="24"/>
          <w:szCs w:val="24"/>
        </w:rPr>
        <w:t>É importante dizer que o trabalho humano quando deixou de ser uma atividade de subsistência e passou a ser uma atividade de acúmulo de bens, esse passa a incorporar características de um universo pertinente apenas para o sexo masculino, não havendo espaço para mulher na produção da economia, pois esta era somente vista como aquela que destinava seu tempo para os afazeres domésticos, estando ligada “as relações afetivas no seio da família e fundada na</w:t>
      </w:r>
      <w:r w:rsidR="00EA38AA">
        <w:rPr>
          <w:sz w:val="20"/>
          <w:szCs w:val="20"/>
        </w:rPr>
        <w:t xml:space="preserve"> </w:t>
      </w:r>
      <w:r w:rsidR="00EA38AA">
        <w:rPr>
          <w:rFonts w:eastAsia="Arial"/>
          <w:sz w:val="24"/>
          <w:szCs w:val="24"/>
        </w:rPr>
        <w:t>d</w:t>
      </w:r>
      <w:r w:rsidRPr="00771368">
        <w:rPr>
          <w:rFonts w:eastAsia="Arial"/>
          <w:sz w:val="24"/>
          <w:szCs w:val="24"/>
        </w:rPr>
        <w:t>isponibilidade materna e conjugal das mulheres [...] Sendo a forma privilegiada de expressão do amor na esfera dita ‘privada” (HIRATA; ZARIFIAN, 2003, p. 66).</w:t>
      </w:r>
    </w:p>
    <w:p w:rsidR="00D24E61" w:rsidRPr="00771368" w:rsidRDefault="00D24E61">
      <w:pPr>
        <w:spacing w:line="98" w:lineRule="exact"/>
        <w:rPr>
          <w:sz w:val="20"/>
          <w:szCs w:val="20"/>
        </w:rPr>
      </w:pPr>
    </w:p>
    <w:p w:rsidR="00D24E61" w:rsidRPr="00771368" w:rsidRDefault="00D24E61">
      <w:pPr>
        <w:spacing w:line="234" w:lineRule="auto"/>
        <w:ind w:left="2260"/>
        <w:jc w:val="both"/>
        <w:rPr>
          <w:sz w:val="20"/>
          <w:szCs w:val="20"/>
        </w:rPr>
      </w:pPr>
      <w:r w:rsidRPr="00771368">
        <w:rPr>
          <w:rFonts w:eastAsia="Arial"/>
        </w:rPr>
        <w:t>O desenvolvimento histórico do conceito de trabalho é formalmente interpelado nos anos de 1970 com o desenvolvimento das pesquisas que introduziam a dimensão sexuada na análise do trabalho. É a partir da problemática da divisão sexual do trabalho que DanièleKergoat procede a uma desconstrução/construção do conceito de trabalho e seus conceitos conexos, como o de qualificação, introduzindo a dimensão do trabalho doméstico e a esfera da reprodução.</w:t>
      </w:r>
    </w:p>
    <w:p w:rsidR="00D24E61" w:rsidRPr="00771368" w:rsidRDefault="00D24E61">
      <w:pPr>
        <w:spacing w:line="287" w:lineRule="exact"/>
        <w:rPr>
          <w:sz w:val="20"/>
          <w:szCs w:val="20"/>
        </w:rPr>
      </w:pPr>
    </w:p>
    <w:p w:rsidR="00D24E61" w:rsidRPr="00771368" w:rsidRDefault="00D24E61">
      <w:pPr>
        <w:spacing w:line="352" w:lineRule="auto"/>
        <w:ind w:right="20" w:firstLine="852"/>
        <w:jc w:val="both"/>
        <w:rPr>
          <w:sz w:val="20"/>
          <w:szCs w:val="20"/>
        </w:rPr>
      </w:pPr>
      <w:r w:rsidRPr="00771368">
        <w:rPr>
          <w:rFonts w:eastAsia="Arial"/>
          <w:sz w:val="24"/>
          <w:szCs w:val="24"/>
        </w:rPr>
        <w:t>A análise da relação entre formação profissional e inserção no mercado de trabalho necessita realizar-se através da mediação de fatores socioeconômicos, que afetam e modificam essa relação. Ou seja, o processo de construção social das qualificações constitui-se em um dos elementos cruciais a serem considerados na análise da relação que se estabelece entre formação profissional, em sentido amplo (ou seja, envolvendo os processos de educação formal e de socialização dos indivíduos) e inserção no mercado de trabalho.</w:t>
      </w:r>
    </w:p>
    <w:p w:rsidR="00D24E61" w:rsidRPr="00771368" w:rsidRDefault="00D24E61">
      <w:pPr>
        <w:spacing w:line="64" w:lineRule="exact"/>
        <w:rPr>
          <w:sz w:val="20"/>
          <w:szCs w:val="20"/>
        </w:rPr>
      </w:pPr>
    </w:p>
    <w:p w:rsidR="00D24E61" w:rsidRPr="00771368" w:rsidRDefault="00D24E61">
      <w:pPr>
        <w:spacing w:line="352" w:lineRule="auto"/>
        <w:ind w:right="20" w:firstLine="852"/>
        <w:jc w:val="both"/>
        <w:rPr>
          <w:sz w:val="20"/>
          <w:szCs w:val="20"/>
        </w:rPr>
      </w:pPr>
      <w:r w:rsidRPr="00771368">
        <w:rPr>
          <w:rFonts w:eastAsia="Arial"/>
          <w:sz w:val="24"/>
          <w:szCs w:val="24"/>
        </w:rPr>
        <w:t>As relações sociais de gênero, as relações raciais e étnicas, as relações inter-geracionais, a origem social da força de trabalho, assim como as características da organização empresarial nos diversos ramos de atividade considerados, e de seus mercados de produtos, são importantes fatores explicativos da dinâmica de articulação entre qualificação, formação profissional, inserção no mercado de trabalho e rendimentos obtidos pelos trabalhadores assalariados (LIEDKE, 1993).</w:t>
      </w:r>
    </w:p>
    <w:p w:rsidR="00D24E61" w:rsidRPr="00771368" w:rsidRDefault="00D24E61">
      <w:pPr>
        <w:spacing w:line="66" w:lineRule="exact"/>
        <w:rPr>
          <w:sz w:val="20"/>
          <w:szCs w:val="20"/>
        </w:rPr>
      </w:pPr>
    </w:p>
    <w:p w:rsidR="00D24E61" w:rsidRPr="00771368" w:rsidRDefault="00D24E61">
      <w:pPr>
        <w:spacing w:line="337" w:lineRule="auto"/>
        <w:ind w:right="20" w:firstLine="852"/>
        <w:jc w:val="both"/>
        <w:rPr>
          <w:sz w:val="20"/>
          <w:szCs w:val="20"/>
        </w:rPr>
      </w:pPr>
      <w:r w:rsidRPr="00771368">
        <w:rPr>
          <w:rFonts w:eastAsia="Arial"/>
          <w:sz w:val="24"/>
          <w:szCs w:val="24"/>
        </w:rPr>
        <w:t>Metodologicamente, a análise da qualificação da força de trabalho, em que se inclui a formação profissional, pode ser abordada a partir de seu desdobramento em quatro elementos constitutivos:</w:t>
      </w:r>
    </w:p>
    <w:p w:rsidR="00D24E61" w:rsidRPr="00771368" w:rsidRDefault="00D24E61">
      <w:pPr>
        <w:spacing w:line="78" w:lineRule="exact"/>
        <w:rPr>
          <w:sz w:val="20"/>
          <w:szCs w:val="20"/>
        </w:rPr>
      </w:pPr>
    </w:p>
    <w:p w:rsidR="00D24E61" w:rsidRPr="00771368" w:rsidRDefault="00D24E61" w:rsidP="00D24E61">
      <w:pPr>
        <w:numPr>
          <w:ilvl w:val="0"/>
          <w:numId w:val="11"/>
        </w:numPr>
        <w:tabs>
          <w:tab w:val="left" w:pos="720"/>
        </w:tabs>
        <w:spacing w:line="190" w:lineRule="auto"/>
        <w:ind w:left="720" w:right="20" w:hanging="361"/>
        <w:jc w:val="both"/>
        <w:rPr>
          <w:rFonts w:eastAsia="Wingdings"/>
          <w:sz w:val="48"/>
          <w:szCs w:val="48"/>
          <w:vertAlign w:val="superscript"/>
        </w:rPr>
      </w:pPr>
      <w:r w:rsidRPr="00771368">
        <w:rPr>
          <w:rFonts w:eastAsia="Arial"/>
          <w:sz w:val="24"/>
          <w:szCs w:val="24"/>
        </w:rPr>
        <w:t>conteúdos cognitivos, que compreendem conhecimentos básicos gerais, propiciados, em maior ou menor medida, pela formação escolar, e</w:t>
      </w:r>
    </w:p>
    <w:p w:rsidR="00D24E61" w:rsidRPr="00771368" w:rsidRDefault="00D24E61">
      <w:pPr>
        <w:spacing w:line="188" w:lineRule="exact"/>
        <w:rPr>
          <w:rFonts w:eastAsia="Wingdings"/>
          <w:sz w:val="48"/>
          <w:szCs w:val="48"/>
          <w:vertAlign w:val="superscript"/>
        </w:rPr>
      </w:pPr>
    </w:p>
    <w:p w:rsidR="00D24E61" w:rsidRPr="00771368" w:rsidRDefault="00D24E61" w:rsidP="00EA38AA">
      <w:pPr>
        <w:spacing w:line="352" w:lineRule="auto"/>
        <w:ind w:left="720"/>
        <w:jc w:val="both"/>
        <w:rPr>
          <w:sz w:val="20"/>
          <w:szCs w:val="20"/>
        </w:rPr>
      </w:pPr>
      <w:r w:rsidRPr="00771368">
        <w:rPr>
          <w:rFonts w:eastAsia="Arial"/>
          <w:sz w:val="24"/>
          <w:szCs w:val="24"/>
        </w:rPr>
        <w:t xml:space="preserve">conhecimentos técnicos, obtidos através de cursos orientados para o desempenho profissional; conforme apontado por Paiva (1990), a redefinição do conteúdo do trabalho pela incorporação de novas tarefas requer do trabalhador o desenvolvimento formal de sua capacidade de pensar e de buscar soluções criativas; nas empresas da indústria de transformação, em que se adotam técnicas de fabricação como </w:t>
      </w:r>
      <w:r w:rsidRPr="00771368">
        <w:rPr>
          <w:rFonts w:eastAsia="Arial"/>
          <w:i/>
          <w:iCs/>
          <w:sz w:val="24"/>
          <w:szCs w:val="24"/>
        </w:rPr>
        <w:t>just in time, kanban</w:t>
      </w:r>
      <w:r w:rsidRPr="00771368">
        <w:rPr>
          <w:rFonts w:eastAsia="Arial"/>
          <w:sz w:val="24"/>
          <w:szCs w:val="24"/>
        </w:rPr>
        <w:t>, controle estatístico de processo, embora associadas a graus diferenciados deautomação microeletrônica, cresce em importância a capacidade de raciocínio sintético, de reduzir uma grande variedade de informações, de modo a viabilizar a elaboração de diagnósticos (KIRSCHNER, 1993);</w:t>
      </w:r>
    </w:p>
    <w:p w:rsidR="00D24E61" w:rsidRPr="00771368" w:rsidRDefault="00D24E61">
      <w:pPr>
        <w:spacing w:line="75" w:lineRule="exact"/>
        <w:rPr>
          <w:sz w:val="20"/>
          <w:szCs w:val="20"/>
        </w:rPr>
      </w:pPr>
    </w:p>
    <w:p w:rsidR="00D24E61" w:rsidRPr="00771368" w:rsidRDefault="00D24E61" w:rsidP="00D24E61">
      <w:pPr>
        <w:numPr>
          <w:ilvl w:val="0"/>
          <w:numId w:val="1"/>
        </w:numPr>
        <w:tabs>
          <w:tab w:val="left" w:pos="720"/>
        </w:tabs>
        <w:spacing w:line="190" w:lineRule="auto"/>
        <w:ind w:left="720" w:right="20" w:hanging="361"/>
        <w:jc w:val="both"/>
        <w:rPr>
          <w:rFonts w:eastAsia="Wingdings"/>
          <w:sz w:val="48"/>
          <w:szCs w:val="48"/>
          <w:vertAlign w:val="superscript"/>
        </w:rPr>
      </w:pPr>
      <w:r w:rsidRPr="00771368">
        <w:rPr>
          <w:rFonts w:eastAsia="Arial"/>
          <w:sz w:val="24"/>
          <w:szCs w:val="24"/>
        </w:rPr>
        <w:t>conteúdos ético-disciplinares, de cunho psico-social, referentes ao processo individual de socialização, à formação da personalidade; igualmente</w:t>
      </w:r>
    </w:p>
    <w:p w:rsidR="00D24E61" w:rsidRPr="00771368" w:rsidRDefault="00D24E61">
      <w:pPr>
        <w:spacing w:line="187" w:lineRule="exact"/>
        <w:rPr>
          <w:rFonts w:eastAsia="Wingdings"/>
          <w:sz w:val="48"/>
          <w:szCs w:val="48"/>
          <w:vertAlign w:val="superscript"/>
        </w:rPr>
      </w:pPr>
    </w:p>
    <w:p w:rsidR="00D24E61" w:rsidRPr="00771368" w:rsidRDefault="00D24E61">
      <w:pPr>
        <w:spacing w:line="351" w:lineRule="auto"/>
        <w:ind w:left="720"/>
        <w:jc w:val="both"/>
        <w:rPr>
          <w:rFonts w:eastAsia="Wingdings"/>
          <w:sz w:val="48"/>
          <w:szCs w:val="48"/>
          <w:vertAlign w:val="superscript"/>
        </w:rPr>
      </w:pPr>
      <w:r w:rsidRPr="00771368">
        <w:rPr>
          <w:rFonts w:eastAsia="Arial"/>
          <w:sz w:val="24"/>
          <w:szCs w:val="24"/>
        </w:rPr>
        <w:t>apontadas por Paiva (1990), adquirem relevância habilidades de comunicação interpessoal e atitudes cooperativas; da mesma forma, atitudes de valorização positiva do trabalho, autodisciplina e iniciativa para a solução de problemas tornam-se importantes requisitos, de modo a favorecer o cumprimento das normas internas da empresa; evitar o absenteísmo e elevar a disposição para aceitar novas tarefas;</w:t>
      </w:r>
    </w:p>
    <w:p w:rsidR="00D24E61" w:rsidRPr="00771368" w:rsidRDefault="00D24E61">
      <w:pPr>
        <w:spacing w:line="62" w:lineRule="exact"/>
        <w:rPr>
          <w:rFonts w:eastAsia="Wingdings"/>
          <w:sz w:val="48"/>
          <w:szCs w:val="48"/>
          <w:vertAlign w:val="superscript"/>
        </w:rPr>
      </w:pPr>
    </w:p>
    <w:p w:rsidR="00D24E61" w:rsidRPr="00771368" w:rsidRDefault="00D24E61" w:rsidP="00D24E61">
      <w:pPr>
        <w:numPr>
          <w:ilvl w:val="0"/>
          <w:numId w:val="1"/>
        </w:numPr>
        <w:tabs>
          <w:tab w:val="left" w:pos="720"/>
        </w:tabs>
        <w:spacing w:line="190" w:lineRule="auto"/>
        <w:ind w:left="720" w:right="20" w:hanging="361"/>
        <w:jc w:val="both"/>
        <w:rPr>
          <w:rFonts w:eastAsia="Wingdings"/>
          <w:sz w:val="48"/>
          <w:szCs w:val="48"/>
          <w:vertAlign w:val="superscript"/>
        </w:rPr>
      </w:pPr>
      <w:r w:rsidRPr="00771368">
        <w:rPr>
          <w:rFonts w:eastAsia="Arial"/>
          <w:sz w:val="24"/>
          <w:szCs w:val="24"/>
        </w:rPr>
        <w:t>características socioculturais, correspondentes à dimensão descritiva do processo de estratificação social (Hasenbalg, 1988), relativas ao status</w:t>
      </w:r>
    </w:p>
    <w:p w:rsidR="00D24E61" w:rsidRPr="00771368" w:rsidRDefault="00D24E61">
      <w:pPr>
        <w:spacing w:line="187" w:lineRule="exact"/>
        <w:rPr>
          <w:rFonts w:eastAsia="Wingdings"/>
          <w:sz w:val="48"/>
          <w:szCs w:val="48"/>
          <w:vertAlign w:val="superscript"/>
        </w:rPr>
      </w:pPr>
    </w:p>
    <w:p w:rsidR="00D24E61" w:rsidRPr="00771368" w:rsidRDefault="00D24E61">
      <w:pPr>
        <w:spacing w:line="349" w:lineRule="auto"/>
        <w:ind w:left="720" w:right="20"/>
        <w:jc w:val="both"/>
        <w:rPr>
          <w:rFonts w:eastAsia="Wingdings"/>
          <w:sz w:val="48"/>
          <w:szCs w:val="48"/>
          <w:vertAlign w:val="superscript"/>
        </w:rPr>
      </w:pPr>
      <w:r w:rsidRPr="00771368">
        <w:rPr>
          <w:rFonts w:eastAsia="Arial"/>
          <w:sz w:val="24"/>
          <w:szCs w:val="24"/>
        </w:rPr>
        <w:t>atribuído, como decorrência de relações sociais de sexo, gênero, raça, etnia, geracionais e familiares, cujos conteúdos são continuamente reelaborados, modificados, no processo de transformação das relações societárias mais abrangentes, em conexão com o processo de classificação social baseado em critérios adquiridos; e</w:t>
      </w:r>
    </w:p>
    <w:p w:rsidR="00D24E61" w:rsidRPr="00771368" w:rsidRDefault="00D24E61">
      <w:pPr>
        <w:spacing w:line="65" w:lineRule="exact"/>
        <w:rPr>
          <w:rFonts w:eastAsia="Wingdings"/>
          <w:sz w:val="48"/>
          <w:szCs w:val="48"/>
          <w:vertAlign w:val="superscript"/>
        </w:rPr>
      </w:pPr>
    </w:p>
    <w:p w:rsidR="00D24E61" w:rsidRPr="00771368" w:rsidRDefault="00D24E61" w:rsidP="00D24E61">
      <w:pPr>
        <w:numPr>
          <w:ilvl w:val="0"/>
          <w:numId w:val="1"/>
        </w:numPr>
        <w:tabs>
          <w:tab w:val="left" w:pos="720"/>
        </w:tabs>
        <w:spacing w:line="189" w:lineRule="auto"/>
        <w:ind w:left="720" w:right="20" w:hanging="361"/>
        <w:jc w:val="both"/>
        <w:rPr>
          <w:rFonts w:eastAsia="Wingdings"/>
          <w:sz w:val="48"/>
          <w:szCs w:val="48"/>
          <w:vertAlign w:val="superscript"/>
        </w:rPr>
      </w:pPr>
      <w:r w:rsidRPr="00771368">
        <w:rPr>
          <w:rFonts w:eastAsia="Arial"/>
          <w:sz w:val="24"/>
          <w:szCs w:val="24"/>
        </w:rPr>
        <w:t>conhecimentos obtidos da experiência de trabalho anterior, correspondentes aos conhecimentos práticos, informais dos trabalhadores, adquiridos ao longo</w:t>
      </w:r>
    </w:p>
    <w:p w:rsidR="00D24E61" w:rsidRPr="00771368" w:rsidRDefault="00D24E61">
      <w:pPr>
        <w:spacing w:line="140" w:lineRule="exact"/>
        <w:rPr>
          <w:sz w:val="20"/>
          <w:szCs w:val="20"/>
        </w:rPr>
      </w:pPr>
    </w:p>
    <w:p w:rsidR="00D24E61" w:rsidRPr="00771368" w:rsidRDefault="00D24E61">
      <w:pPr>
        <w:ind w:left="720"/>
        <w:rPr>
          <w:sz w:val="20"/>
          <w:szCs w:val="20"/>
        </w:rPr>
      </w:pPr>
      <w:r w:rsidRPr="00771368">
        <w:rPr>
          <w:rFonts w:eastAsia="Arial"/>
          <w:sz w:val="24"/>
          <w:szCs w:val="24"/>
        </w:rPr>
        <w:t>de sua trajetória profissional (FRANZOI, 1991; DEL PINO, 1993).</w:t>
      </w:r>
    </w:p>
    <w:p w:rsidR="00D24E61" w:rsidRPr="00771368" w:rsidRDefault="00D24E61">
      <w:pPr>
        <w:spacing w:line="188" w:lineRule="exact"/>
        <w:rPr>
          <w:sz w:val="20"/>
          <w:szCs w:val="20"/>
        </w:rPr>
      </w:pPr>
    </w:p>
    <w:p w:rsidR="00D24E61" w:rsidRPr="00771368" w:rsidRDefault="00D24E61">
      <w:pPr>
        <w:spacing w:line="349" w:lineRule="auto"/>
        <w:ind w:right="20" w:firstLine="1133"/>
        <w:jc w:val="both"/>
        <w:rPr>
          <w:sz w:val="20"/>
          <w:szCs w:val="20"/>
        </w:rPr>
      </w:pPr>
      <w:r w:rsidRPr="00771368">
        <w:rPr>
          <w:rFonts w:eastAsia="Arial"/>
          <w:sz w:val="24"/>
          <w:szCs w:val="24"/>
        </w:rPr>
        <w:t>Sobre o novo paradigma da flexibilidade e da organização do novo modelo produtivo em cadeias demonstram a existências de empresas que comportam enorme diversidade no emprego da mão-de-obra, nas condições de trabalho, na utilização da tecnologia e nas novas formas de gestão e, também, assinalam os aspectos diferenciados sobre as exigências da qualificação.</w:t>
      </w:r>
    </w:p>
    <w:p w:rsidR="00D24E61" w:rsidRPr="00771368" w:rsidRDefault="00D24E61">
      <w:pPr>
        <w:spacing w:line="62" w:lineRule="exact"/>
        <w:rPr>
          <w:sz w:val="20"/>
          <w:szCs w:val="20"/>
        </w:rPr>
      </w:pPr>
    </w:p>
    <w:p w:rsidR="00D24E61" w:rsidRPr="00771368" w:rsidRDefault="00D24E61">
      <w:pPr>
        <w:spacing w:line="352" w:lineRule="auto"/>
        <w:ind w:right="20" w:firstLine="1133"/>
        <w:jc w:val="both"/>
        <w:rPr>
          <w:sz w:val="20"/>
          <w:szCs w:val="20"/>
        </w:rPr>
      </w:pPr>
      <w:r w:rsidRPr="00771368">
        <w:rPr>
          <w:rFonts w:eastAsia="Arial"/>
          <w:sz w:val="24"/>
          <w:szCs w:val="24"/>
        </w:rPr>
        <w:t>De maneira mais ampla, a qualificação do trabalhador compõe um conjunto de saberes escolares, técnicos e sociais que o tornam capacitados profissionalmente. Sabe-se que a noção de qualificação envolve diferentes dimensões e uma das mais importantes foi apontada nos estudos e análises realizados por Kergoat (1987), qual seja, a qualificação entendida como relação social na dinâmica conflitante da relação capital/trabalho. Ora, num primeiro momento da reestruturação produtiva, uma questão fortemente colocada no debate</w:t>
      </w:r>
    </w:p>
    <w:p w:rsidR="00D24E61" w:rsidRPr="00771368" w:rsidRDefault="00D24E61">
      <w:pPr>
        <w:spacing w:line="315" w:lineRule="auto"/>
        <w:ind w:right="20"/>
        <w:jc w:val="both"/>
        <w:rPr>
          <w:sz w:val="20"/>
          <w:szCs w:val="20"/>
        </w:rPr>
      </w:pPr>
      <w:r w:rsidRPr="00771368">
        <w:rPr>
          <w:rFonts w:eastAsia="Arial"/>
          <w:sz w:val="24"/>
          <w:szCs w:val="24"/>
        </w:rPr>
        <w:t>das conseqüências produzidas pelas transformações tecnológicas era até que ponto as novas tecnologias qualificavam ou desqualificavam o trabalhador.</w:t>
      </w:r>
    </w:p>
    <w:p w:rsidR="00D24E61" w:rsidRPr="00771368" w:rsidRDefault="00D24E61">
      <w:pPr>
        <w:spacing w:line="104" w:lineRule="exact"/>
        <w:rPr>
          <w:sz w:val="20"/>
          <w:szCs w:val="20"/>
        </w:rPr>
      </w:pPr>
    </w:p>
    <w:p w:rsidR="00D24E61" w:rsidRPr="00771368" w:rsidRDefault="00D24E61">
      <w:pPr>
        <w:spacing w:line="344" w:lineRule="auto"/>
        <w:ind w:firstLine="1133"/>
        <w:jc w:val="both"/>
        <w:rPr>
          <w:sz w:val="20"/>
          <w:szCs w:val="20"/>
        </w:rPr>
      </w:pPr>
      <w:r w:rsidRPr="00771368">
        <w:rPr>
          <w:rFonts w:eastAsia="Arial"/>
          <w:sz w:val="24"/>
          <w:szCs w:val="24"/>
        </w:rPr>
        <w:t>A qualificação no novo contexto passa a ser definida como competência – da qual, segundo Hirata (1994), está totalmente ausente a idéia de relação social – e sua gênese estaria associada à crise de noção de posto de trabalho e a de um certo modelo de classificação e de relações profissionais.</w:t>
      </w:r>
    </w:p>
    <w:p w:rsidR="00D24E61" w:rsidRPr="00771368" w:rsidRDefault="00D24E61">
      <w:pPr>
        <w:spacing w:line="74" w:lineRule="exact"/>
        <w:rPr>
          <w:sz w:val="20"/>
          <w:szCs w:val="20"/>
        </w:rPr>
      </w:pPr>
    </w:p>
    <w:p w:rsidR="00D24E61" w:rsidRPr="00771368" w:rsidRDefault="00D24E61">
      <w:pPr>
        <w:spacing w:line="345" w:lineRule="auto"/>
        <w:ind w:right="20" w:firstLine="1133"/>
        <w:jc w:val="both"/>
        <w:rPr>
          <w:sz w:val="20"/>
          <w:szCs w:val="20"/>
        </w:rPr>
      </w:pPr>
      <w:r w:rsidRPr="00771368">
        <w:rPr>
          <w:rFonts w:eastAsia="Arial"/>
          <w:sz w:val="24"/>
          <w:szCs w:val="24"/>
        </w:rPr>
        <w:t>A noção de competência, assim entendida, reduz a noção de qualificação compreendida em seus aspectos multidimensionais e se apresenta centrada na habilidade individual de se mobilizar para resoluções de problemas, muito mais do que na sua bagagem de conhecimentos.</w:t>
      </w:r>
    </w:p>
    <w:p w:rsidR="00D24E61" w:rsidRPr="00771368" w:rsidRDefault="00D24E61">
      <w:pPr>
        <w:spacing w:line="70" w:lineRule="exact"/>
        <w:rPr>
          <w:sz w:val="20"/>
          <w:szCs w:val="20"/>
        </w:rPr>
      </w:pPr>
    </w:p>
    <w:p w:rsidR="00D24E61" w:rsidRPr="00771368" w:rsidRDefault="00D24E61">
      <w:pPr>
        <w:spacing w:line="314" w:lineRule="auto"/>
        <w:ind w:right="20" w:firstLine="1133"/>
        <w:jc w:val="both"/>
        <w:rPr>
          <w:sz w:val="20"/>
          <w:szCs w:val="20"/>
        </w:rPr>
      </w:pPr>
      <w:r w:rsidRPr="00771368">
        <w:rPr>
          <w:rFonts w:eastAsia="Arial"/>
          <w:sz w:val="24"/>
          <w:szCs w:val="24"/>
        </w:rPr>
        <w:t>Portanto, a qualificação não é só uma habilidade para reagir aos imprevistos, mas também a capacidade de criá-lo e provocá-lo.</w:t>
      </w:r>
    </w:p>
    <w:p w:rsidR="00D24E61" w:rsidRPr="00771368" w:rsidRDefault="00D24E61">
      <w:pPr>
        <w:spacing w:line="106" w:lineRule="exact"/>
        <w:rPr>
          <w:sz w:val="20"/>
          <w:szCs w:val="20"/>
        </w:rPr>
      </w:pPr>
    </w:p>
    <w:p w:rsidR="00D24E61" w:rsidRPr="00771368" w:rsidRDefault="00D24E61">
      <w:pPr>
        <w:spacing w:line="354" w:lineRule="auto"/>
        <w:ind w:firstLine="1133"/>
        <w:jc w:val="both"/>
        <w:rPr>
          <w:sz w:val="20"/>
          <w:szCs w:val="20"/>
        </w:rPr>
      </w:pPr>
      <w:r w:rsidRPr="00771368">
        <w:rPr>
          <w:rFonts w:eastAsia="Arial"/>
          <w:sz w:val="24"/>
          <w:szCs w:val="24"/>
        </w:rPr>
        <w:t>Do ponto de vista do trabalho feminino, o que se constata é que, apesar das inovações tecnológicas, a divisão sexual do trabalho permanece. Conforme aponta Abreu (1993), a tese de que as novas tecnologias microeletrônicas iriam permitir real igualdade entre homens e mulheres foi sendo desmentida. A eliminação das tarefas pesadas, sujas e insalubres próprias para o desempenho masculino – de acordo com a concepção que marca as relações de gênero na sociedade –, com a entrada das inovações tecnológicas, permitiria maior incorporação das mulheres e a eliminação da discriminação a que estão submetidas no local de trabalho. Mas, na realidade, essa transformação não ocorreu.</w:t>
      </w:r>
    </w:p>
    <w:p w:rsidR="00D24E61" w:rsidRPr="00771368" w:rsidRDefault="00D24E61">
      <w:pPr>
        <w:spacing w:line="62" w:lineRule="exact"/>
        <w:rPr>
          <w:sz w:val="20"/>
          <w:szCs w:val="20"/>
        </w:rPr>
      </w:pPr>
    </w:p>
    <w:p w:rsidR="00D24E61" w:rsidRPr="00771368" w:rsidRDefault="00D24E61">
      <w:pPr>
        <w:spacing w:line="352" w:lineRule="auto"/>
        <w:ind w:right="20" w:firstLine="1133"/>
        <w:jc w:val="both"/>
        <w:rPr>
          <w:sz w:val="20"/>
          <w:szCs w:val="20"/>
        </w:rPr>
      </w:pPr>
      <w:r w:rsidRPr="00771368">
        <w:rPr>
          <w:rFonts w:eastAsia="Arial"/>
          <w:sz w:val="24"/>
          <w:szCs w:val="24"/>
        </w:rPr>
        <w:t>A análise apresentada por diversas pesquisas vem demonstrando que a relação entre a tecnologia e o trabalho feminino é definida muito mais pelo conteúdo ideológico, que discrimina as mulheres, do que pela competência técnica. Segundo Kergoat (1987), a questão da qualificação é fundamental para analisarmos as diferenças entre as tarefas femininas e masculinas. A qualificação atribuída às mulheres é definida pela educação informal, pela experiência nas tarefas domésticas, mas que não tem o reconhecimento no local de trabalho.</w:t>
      </w:r>
    </w:p>
    <w:p w:rsidR="00D24E61" w:rsidRPr="00771368" w:rsidRDefault="00D24E61">
      <w:pPr>
        <w:spacing w:line="64" w:lineRule="exact"/>
        <w:rPr>
          <w:sz w:val="20"/>
          <w:szCs w:val="20"/>
        </w:rPr>
      </w:pPr>
    </w:p>
    <w:p w:rsidR="00D24E61" w:rsidRPr="00771368" w:rsidRDefault="00D24E61" w:rsidP="00EA38AA">
      <w:pPr>
        <w:spacing w:line="348" w:lineRule="auto"/>
        <w:ind w:right="20" w:firstLine="1133"/>
        <w:jc w:val="both"/>
        <w:rPr>
          <w:sz w:val="20"/>
          <w:szCs w:val="20"/>
        </w:rPr>
      </w:pPr>
      <w:r w:rsidRPr="00771368">
        <w:rPr>
          <w:rFonts w:eastAsia="Arial"/>
          <w:sz w:val="24"/>
          <w:szCs w:val="24"/>
        </w:rPr>
        <w:t>A estrutura do mercado de trabalho também tem passado por mudanças: altas taxas de desemprego são acompanhadas da crescente insegurança e precariedade das novas formas de ocupação. A flexibilização da força de trabalho (contratos de tempo parcial, subcontratação, terceirização, etc.) inscreve-se no mesmo processo que articula o discurso por maiores níveis de escolaridade para os</w:t>
      </w:r>
      <w:r w:rsidR="00EA38AA">
        <w:rPr>
          <w:sz w:val="20"/>
          <w:szCs w:val="20"/>
        </w:rPr>
        <w:t xml:space="preserve"> </w:t>
      </w:r>
      <w:r w:rsidRPr="00771368">
        <w:rPr>
          <w:rFonts w:eastAsia="Arial"/>
          <w:sz w:val="24"/>
          <w:szCs w:val="24"/>
        </w:rPr>
        <w:t>trabalhadores que permanecem empregados e ocupam postos de trabalho considerados essenciais para os processos produtivos nos quais se inserem.</w:t>
      </w:r>
    </w:p>
    <w:p w:rsidR="00D24E61" w:rsidRPr="00771368" w:rsidRDefault="00D24E61">
      <w:pPr>
        <w:spacing w:line="104"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Nesse sentido, a educação e a formação profissional aparecem hoje como questões centrais, pois a elas são conferidas funções essencialmente instrumentais, ou seja, capazes de possibilitar a competitividade e intensificar a concorrência, adaptar trabalhadores às mudanças técnicas e minimizar os efeitos do desemprego.</w:t>
      </w:r>
    </w:p>
    <w:p w:rsidR="00D24E61" w:rsidRPr="00771368" w:rsidRDefault="00D24E61">
      <w:pPr>
        <w:spacing w:line="62" w:lineRule="exact"/>
        <w:rPr>
          <w:sz w:val="20"/>
          <w:szCs w:val="20"/>
        </w:rPr>
      </w:pPr>
    </w:p>
    <w:p w:rsidR="00D24E61" w:rsidRPr="00771368" w:rsidRDefault="00D24E61">
      <w:pPr>
        <w:spacing w:line="355" w:lineRule="auto"/>
        <w:ind w:right="20" w:firstLine="1133"/>
        <w:jc w:val="both"/>
        <w:rPr>
          <w:sz w:val="20"/>
          <w:szCs w:val="20"/>
        </w:rPr>
      </w:pPr>
      <w:r w:rsidRPr="00771368">
        <w:rPr>
          <w:rFonts w:eastAsia="Arial"/>
          <w:sz w:val="24"/>
          <w:szCs w:val="24"/>
        </w:rPr>
        <w:t>Em pesquisa realizada numa Instituição de Educação Profissional de Aracaju, confirmou-se que houve um crescimento bastante considerável quanto à participação da mulher em cursos profissionalizantes. Em 2007 existiu um quantitativo de 1312 mulheres matriculadas em cursos profissionalizantes voltados para o setor da indústria, como também para o setor de serviços. Durante cinco anos, foi possível perceber a crescente procura pelo público feminino na educação profissional, visto que, em 2011, 6.608 mulheres se matricularam em diversos cursos profissionalizantes, dessas matrículas cerca de 63% estão voltados para o setor de serviços (cursos na área de gestão), o que dificulta a mulher ocupar postos de trabalhos automatizados, que exigem competências mais específicas (SISTEMA DE GESTÃO ESCOLAR-GE, AP 2010).</w:t>
      </w:r>
    </w:p>
    <w:p w:rsidR="00D24E61" w:rsidRPr="00771368" w:rsidRDefault="00D24E61">
      <w:pPr>
        <w:spacing w:line="66" w:lineRule="exact"/>
        <w:rPr>
          <w:sz w:val="20"/>
          <w:szCs w:val="20"/>
        </w:rPr>
      </w:pPr>
    </w:p>
    <w:p w:rsidR="00D24E61" w:rsidRPr="00771368" w:rsidRDefault="00D24E61">
      <w:pPr>
        <w:spacing w:line="352" w:lineRule="auto"/>
        <w:ind w:firstLine="1133"/>
        <w:jc w:val="both"/>
        <w:rPr>
          <w:sz w:val="20"/>
          <w:szCs w:val="20"/>
        </w:rPr>
      </w:pPr>
      <w:r w:rsidRPr="00771368">
        <w:rPr>
          <w:rFonts w:eastAsia="Arial"/>
          <w:sz w:val="24"/>
          <w:szCs w:val="24"/>
        </w:rPr>
        <w:t>Talvez, a procura por esses cursos seja ainda resquícios de um campo de formação predominantemente caracterizado pelo público masculino. Dessa forma, os cargos de produção em que estão as melhores remunerações ainda seja fortemente preenchida pelo sexo masculino. Uma problemática que pode ser suscitada é: a falta de procura das mulheres por cursos na área de automação estaria relacionada, a sua não absorção no campo do trabalho, visto este ser ainda entendido e absorvido pelo sexo masculino?</w:t>
      </w:r>
    </w:p>
    <w:p w:rsidR="00D24E61" w:rsidRPr="00771368" w:rsidRDefault="00D24E61">
      <w:pPr>
        <w:spacing w:line="63" w:lineRule="exact"/>
        <w:rPr>
          <w:sz w:val="20"/>
          <w:szCs w:val="20"/>
        </w:rPr>
      </w:pPr>
    </w:p>
    <w:p w:rsidR="00D24E61" w:rsidRPr="00771368" w:rsidRDefault="00D24E61" w:rsidP="00EA38AA">
      <w:pPr>
        <w:spacing w:line="353" w:lineRule="auto"/>
        <w:ind w:firstLine="1133"/>
        <w:jc w:val="both"/>
        <w:rPr>
          <w:sz w:val="20"/>
          <w:szCs w:val="20"/>
        </w:rPr>
      </w:pPr>
      <w:r w:rsidRPr="00771368">
        <w:rPr>
          <w:rFonts w:eastAsia="Arial"/>
          <w:sz w:val="24"/>
          <w:szCs w:val="24"/>
        </w:rPr>
        <w:t>O crescimento da participação feminina no mercado de trabalho brasileiro foi uma das mais importantes transformações sociais ocorridas no país a partir da década de 70, ampliando-se de forma acentuada e diversificada entre 1985 e 1995, passando de 37% para 53%, enquanto a masculina passou de 76% para 78%, com menor alteração, sobretudo no marcado de trabalho urbano, e não mostra nenhuma tendência a retroceder, apesar das sucessivas crises econômicas que tem assolado o país a partir dos anos 80 (ORGANIZAÇÃO INTERNACIONAL DO TRABALHO-OIT, 2007). Apesar de incrementar dia a dia sua cota de participação no trabalho e</w:t>
      </w:r>
      <w:r w:rsidR="00EA38AA">
        <w:rPr>
          <w:sz w:val="20"/>
          <w:szCs w:val="20"/>
        </w:rPr>
        <w:t xml:space="preserve"> </w:t>
      </w:r>
      <w:r w:rsidRPr="00771368">
        <w:rPr>
          <w:rFonts w:eastAsia="Arial"/>
          <w:sz w:val="24"/>
          <w:szCs w:val="24"/>
        </w:rPr>
        <w:t>em postos de direção, uma coisa mostra-se clara: a taxa de mudança continua a ser lenta e desigual, em ritmo de avanços para as mulheres.</w:t>
      </w:r>
    </w:p>
    <w:p w:rsidR="00D24E61" w:rsidRPr="00771368" w:rsidRDefault="00D24E61">
      <w:pPr>
        <w:spacing w:line="104"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A expansão das mulheres no mercado de trabalho tem sido alvo de muitos estudos, pelo fato de ser um fenômeno recente e estar carregado de relações sociais. Estudos a respeito da crescente participação da mulher no mercado de trabalho concluem este estar relacionado a fatores culturais, demográficos e econômicos.</w:t>
      </w:r>
    </w:p>
    <w:p w:rsidR="00D24E61" w:rsidRPr="00771368" w:rsidRDefault="00D24E61">
      <w:pPr>
        <w:spacing w:line="62" w:lineRule="exact"/>
        <w:rPr>
          <w:sz w:val="20"/>
          <w:szCs w:val="20"/>
        </w:rPr>
      </w:pPr>
    </w:p>
    <w:p w:rsidR="00D24E61" w:rsidRPr="00771368" w:rsidRDefault="00D24E61">
      <w:pPr>
        <w:spacing w:line="349" w:lineRule="auto"/>
        <w:ind w:right="20" w:firstLine="1133"/>
        <w:jc w:val="both"/>
        <w:rPr>
          <w:sz w:val="20"/>
          <w:szCs w:val="20"/>
        </w:rPr>
      </w:pPr>
      <w:r w:rsidRPr="00771368">
        <w:rPr>
          <w:rFonts w:eastAsia="Arial"/>
          <w:sz w:val="24"/>
          <w:szCs w:val="24"/>
        </w:rPr>
        <w:t>Há algumas décadas a porcentagem de mulheres economicamente ativas tem aumentado consideravelmente. Isso se deve também, entre outros fatores, aos movimentos políticos e sociais ocorridos no mundo entre as décadas de 60 e 70. Essa mudança de padrões culturais impulsionou as mulheres a estudarem mais e a participar do mercado de trabalho de forma consistente.</w:t>
      </w:r>
    </w:p>
    <w:p w:rsidR="00D24E61" w:rsidRPr="00771368" w:rsidRDefault="00D24E61">
      <w:pPr>
        <w:spacing w:line="65" w:lineRule="exact"/>
        <w:rPr>
          <w:sz w:val="20"/>
          <w:szCs w:val="20"/>
        </w:rPr>
      </w:pPr>
    </w:p>
    <w:p w:rsidR="00D24E61" w:rsidRPr="00771368" w:rsidRDefault="00D24E61">
      <w:pPr>
        <w:spacing w:line="337" w:lineRule="auto"/>
        <w:ind w:right="20" w:firstLine="1133"/>
        <w:jc w:val="both"/>
        <w:rPr>
          <w:sz w:val="20"/>
          <w:szCs w:val="20"/>
        </w:rPr>
      </w:pPr>
      <w:r w:rsidRPr="00771368">
        <w:rPr>
          <w:rFonts w:eastAsia="Arial"/>
          <w:sz w:val="24"/>
          <w:szCs w:val="24"/>
        </w:rPr>
        <w:t>Vários estudos sobre a crescente participação da mulher no mercado de trabalho concluem que esse aumento das mulheres tem vários motivos, e não somente a mudanças de padrões culturais.</w:t>
      </w:r>
    </w:p>
    <w:p w:rsidR="00D24E61" w:rsidRPr="00771368" w:rsidRDefault="00D24E61">
      <w:pPr>
        <w:spacing w:line="72" w:lineRule="exact"/>
        <w:rPr>
          <w:sz w:val="20"/>
          <w:szCs w:val="20"/>
        </w:rPr>
      </w:pPr>
    </w:p>
    <w:p w:rsidR="00D24E61" w:rsidRPr="00771368" w:rsidRDefault="00D24E61">
      <w:pPr>
        <w:spacing w:line="235" w:lineRule="auto"/>
        <w:ind w:left="2260"/>
        <w:jc w:val="both"/>
        <w:rPr>
          <w:sz w:val="20"/>
          <w:szCs w:val="20"/>
        </w:rPr>
      </w:pPr>
      <w:r w:rsidRPr="00771368">
        <w:rPr>
          <w:rFonts w:eastAsia="Arial"/>
        </w:rPr>
        <w:t>Na literatura nacional há um consenso de que o fator primordial a determinar a ‘feminização’ do mercado de trabalho é o aumento do nível de escolaridade da mulher brasileira nos últimos anos, graças à evolução dos seus valores sociais. Este fator tem levado também à queda da taxa de fecundidade devido à adoção de métodos anticonceptivos, os quais se tornaram mais acessíveis e diversificados nos últimos tempos. Desse modo, mulheres mais instruídas acabam tendo menor número de filhos, o que as torna mais disponíveis para a atividade econômica (BRUSCHINI; LOMBARDI, 1996 apud MAIA; LIRA).</w:t>
      </w:r>
    </w:p>
    <w:p w:rsidR="00D24E61" w:rsidRPr="00771368" w:rsidRDefault="00D24E61">
      <w:pPr>
        <w:spacing w:line="290" w:lineRule="exact"/>
        <w:rPr>
          <w:sz w:val="20"/>
          <w:szCs w:val="20"/>
        </w:rPr>
      </w:pPr>
    </w:p>
    <w:p w:rsidR="00D24E61" w:rsidRPr="00771368" w:rsidRDefault="00D24E61">
      <w:pPr>
        <w:spacing w:line="351" w:lineRule="auto"/>
        <w:ind w:firstLine="1133"/>
        <w:jc w:val="both"/>
        <w:rPr>
          <w:sz w:val="20"/>
          <w:szCs w:val="20"/>
        </w:rPr>
      </w:pPr>
      <w:r w:rsidRPr="00771368">
        <w:rPr>
          <w:rFonts w:eastAsia="Arial"/>
          <w:sz w:val="24"/>
          <w:szCs w:val="24"/>
        </w:rPr>
        <w:t>Outro fator de grande relevância para a crescente participação das mulheres no mercado de trabalho refere-se à estagnação econômica, elevada inflação e mudanças na estrutura do emprego vividas pelo Brasil na década de 80. Os fatores econômicos reforçaram a maior participação feminina no mercado na tentativa de evitar o empobrecimento das famílias, não deixando de considerar as profundas transformações sociais que vem ocorrendo ao longo dos anos.</w:t>
      </w:r>
    </w:p>
    <w:p w:rsidR="00D24E61" w:rsidRPr="00771368" w:rsidRDefault="00D24E61">
      <w:pPr>
        <w:spacing w:line="63" w:lineRule="exact"/>
        <w:rPr>
          <w:sz w:val="20"/>
          <w:szCs w:val="20"/>
        </w:rPr>
      </w:pPr>
    </w:p>
    <w:p w:rsidR="00D24E61" w:rsidRPr="00771368" w:rsidRDefault="00D24E61">
      <w:pPr>
        <w:spacing w:line="349" w:lineRule="auto"/>
        <w:ind w:right="20" w:firstLine="1133"/>
        <w:jc w:val="both"/>
        <w:rPr>
          <w:sz w:val="20"/>
          <w:szCs w:val="20"/>
        </w:rPr>
      </w:pPr>
      <w:r w:rsidRPr="00771368">
        <w:rPr>
          <w:rFonts w:eastAsia="Arial"/>
          <w:sz w:val="24"/>
          <w:szCs w:val="24"/>
        </w:rPr>
        <w:t>Seja por motivos financeiros ou mudanças nos padrões culturais ou até por realização pessoal é fato que as mulheres têm entrado de forma consistente no mercado de trabalho. O que fica evidenciado em estudos de vários autores é que o aumento da participação das mulheres no mercado de trabalho não correspondeu a uma diminuição da discriminação.</w:t>
      </w:r>
    </w:p>
    <w:p w:rsidR="00D24E61" w:rsidRPr="00771368" w:rsidRDefault="00D24E61">
      <w:pPr>
        <w:spacing w:line="349" w:lineRule="auto"/>
        <w:ind w:right="20" w:firstLine="1133"/>
        <w:jc w:val="both"/>
        <w:rPr>
          <w:sz w:val="20"/>
          <w:szCs w:val="20"/>
        </w:rPr>
      </w:pPr>
      <w:r w:rsidRPr="00771368">
        <w:rPr>
          <w:rFonts w:eastAsia="Arial"/>
          <w:sz w:val="24"/>
          <w:szCs w:val="24"/>
        </w:rPr>
        <w:t>Para Abramo (2001) a maior participação das mulheres no mercado de trabalho não foi acompanhada por uma diminuição das desigualdades profissionais entre homens e mulheres. Estas ocupam alguns setores e profissões, uma segmentação que torna mais forte as desigualdades entre homens e mulheres no mercado de trabalho.</w:t>
      </w:r>
    </w:p>
    <w:p w:rsidR="00D24E61" w:rsidRPr="00771368" w:rsidRDefault="00D24E61">
      <w:pPr>
        <w:spacing w:line="63" w:lineRule="exact"/>
        <w:rPr>
          <w:sz w:val="20"/>
          <w:szCs w:val="20"/>
        </w:rPr>
      </w:pPr>
    </w:p>
    <w:p w:rsidR="00D24E61" w:rsidRPr="00771368" w:rsidRDefault="00D24E61">
      <w:pPr>
        <w:spacing w:line="345" w:lineRule="auto"/>
        <w:ind w:firstLine="1133"/>
        <w:jc w:val="both"/>
        <w:rPr>
          <w:sz w:val="20"/>
          <w:szCs w:val="20"/>
        </w:rPr>
      </w:pPr>
      <w:r w:rsidRPr="00771368">
        <w:rPr>
          <w:rFonts w:eastAsia="Arial"/>
          <w:sz w:val="24"/>
          <w:szCs w:val="24"/>
        </w:rPr>
        <w:t>Para Cruz (2005, p. 29), “predominantemente, no chão da fábrica, as mulheres estão alocadas em postos tradicionalmente femininos. Elas são submetidas ao controle de chefias masculinas com metas prescritas, dificultando sua autonomia e criatividade”.</w:t>
      </w:r>
    </w:p>
    <w:p w:rsidR="00D24E61" w:rsidRPr="00771368" w:rsidRDefault="00D24E61">
      <w:pPr>
        <w:spacing w:line="200" w:lineRule="exact"/>
        <w:rPr>
          <w:sz w:val="20"/>
          <w:szCs w:val="20"/>
        </w:rPr>
      </w:pPr>
    </w:p>
    <w:p w:rsidR="00D24E61" w:rsidRPr="00771368" w:rsidRDefault="00D24E61">
      <w:pPr>
        <w:spacing w:line="337" w:lineRule="exact"/>
        <w:rPr>
          <w:sz w:val="20"/>
          <w:szCs w:val="20"/>
        </w:rPr>
      </w:pPr>
    </w:p>
    <w:p w:rsidR="00D24E61" w:rsidRPr="00771368" w:rsidRDefault="00D24E61">
      <w:pPr>
        <w:rPr>
          <w:sz w:val="20"/>
          <w:szCs w:val="20"/>
        </w:rPr>
      </w:pPr>
      <w:r w:rsidRPr="00771368">
        <w:rPr>
          <w:rFonts w:eastAsia="Arial"/>
          <w:b/>
          <w:bCs/>
          <w:sz w:val="24"/>
          <w:szCs w:val="24"/>
        </w:rPr>
        <w:t>Considerações finais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6" w:lineRule="exact"/>
        <w:rPr>
          <w:sz w:val="20"/>
          <w:szCs w:val="20"/>
        </w:rPr>
      </w:pPr>
    </w:p>
    <w:p w:rsidR="00D24E61" w:rsidRPr="00771368" w:rsidRDefault="00D24E61">
      <w:pPr>
        <w:spacing w:line="349" w:lineRule="auto"/>
        <w:ind w:right="20" w:firstLine="1133"/>
        <w:jc w:val="both"/>
        <w:rPr>
          <w:sz w:val="20"/>
          <w:szCs w:val="20"/>
        </w:rPr>
      </w:pPr>
      <w:r w:rsidRPr="00771368">
        <w:rPr>
          <w:rFonts w:eastAsia="Arial"/>
          <w:sz w:val="24"/>
          <w:szCs w:val="24"/>
        </w:rPr>
        <w:t>A presença das mulheres na força de trabalho no Brasil vem crescendo de forma expressiva nas últimas décadas. As mudanças de valores culturais decorrentes dos movimentos políticos e sociais da década de 60 e 70 tiveram como conseqüência a maior escolarização das mulheres, a procura inclusive em cursos profissionalizantes e nas carreiras universitárias.</w:t>
      </w:r>
    </w:p>
    <w:p w:rsidR="00D24E61" w:rsidRPr="00771368" w:rsidRDefault="00D24E61">
      <w:pPr>
        <w:spacing w:line="62" w:lineRule="exact"/>
        <w:rPr>
          <w:sz w:val="20"/>
          <w:szCs w:val="20"/>
        </w:rPr>
      </w:pPr>
    </w:p>
    <w:p w:rsidR="00D24E61" w:rsidRPr="00771368" w:rsidRDefault="00D24E61">
      <w:pPr>
        <w:spacing w:line="349" w:lineRule="auto"/>
        <w:ind w:right="20" w:firstLine="1133"/>
        <w:jc w:val="both"/>
        <w:rPr>
          <w:sz w:val="20"/>
          <w:szCs w:val="20"/>
        </w:rPr>
      </w:pPr>
      <w:r w:rsidRPr="00771368">
        <w:rPr>
          <w:rFonts w:eastAsia="Arial"/>
          <w:sz w:val="24"/>
          <w:szCs w:val="24"/>
        </w:rPr>
        <w:t>No entanto, estudos comprovam que as mulheres recebem menores salários, mesmo possuindo iguais características, como a escolaridade. Embora tenha se verificado mudanças importantes no mundo do trabalho, a questão da discriminação da mulher no mercado de trabalho permanece, pois os homens continuam ocupando os mais altos cargos e ganhando os maiores salários.</w:t>
      </w:r>
    </w:p>
    <w:p w:rsidR="00D24E61" w:rsidRPr="00771368" w:rsidRDefault="00D24E61">
      <w:pPr>
        <w:spacing w:line="65" w:lineRule="exact"/>
        <w:rPr>
          <w:sz w:val="20"/>
          <w:szCs w:val="20"/>
        </w:rPr>
      </w:pPr>
    </w:p>
    <w:p w:rsidR="00D24E61" w:rsidRPr="00771368" w:rsidRDefault="00D24E61">
      <w:pPr>
        <w:spacing w:line="351" w:lineRule="auto"/>
        <w:ind w:right="20" w:firstLine="1133"/>
        <w:jc w:val="both"/>
        <w:rPr>
          <w:sz w:val="20"/>
          <w:szCs w:val="20"/>
        </w:rPr>
      </w:pPr>
      <w:r w:rsidRPr="00771368">
        <w:rPr>
          <w:rFonts w:eastAsia="Arial"/>
          <w:sz w:val="24"/>
          <w:szCs w:val="24"/>
        </w:rPr>
        <w:t>A busca por uma formação profissional de qualidade em que evidencia a busca de competências por parte das mulheres, já é um indicativo bastante significativo, no entanto, se faz necessário refletir sobre a absorção das mesmas no mundo trabalho, pois somente a busca da formação não garante as mesmas o seu direito à cidadania. Muito ainda há que se fazer, para que as mulheres se legitimem enquanto agentes sociais capazes moverem a economia.</w:t>
      </w:r>
    </w:p>
    <w:p w:rsidR="00D24E61" w:rsidRPr="00771368" w:rsidRDefault="00D24E61">
      <w:pPr>
        <w:spacing w:line="63" w:lineRule="exact"/>
        <w:rPr>
          <w:sz w:val="20"/>
          <w:szCs w:val="20"/>
        </w:rPr>
      </w:pPr>
    </w:p>
    <w:p w:rsidR="00D24E61" w:rsidRPr="00771368" w:rsidRDefault="00D24E61">
      <w:pPr>
        <w:spacing w:line="344" w:lineRule="auto"/>
        <w:ind w:right="20" w:firstLine="1133"/>
        <w:jc w:val="both"/>
        <w:rPr>
          <w:sz w:val="20"/>
          <w:szCs w:val="20"/>
        </w:rPr>
      </w:pPr>
      <w:r w:rsidRPr="00771368">
        <w:rPr>
          <w:rFonts w:eastAsia="Arial"/>
          <w:sz w:val="24"/>
          <w:szCs w:val="24"/>
        </w:rPr>
        <w:t>É fato de que a absorção das mulheres no mundo do trabalho já é uma realidade, realidade essa que vem senso delineada desde meados da década de 70 e se fortalecendo no novo milênio. Porém, de acordo com Lombardi (2010), o setor que mais tem absorvido a mulher é o do comércio e de serviços.</w:t>
      </w:r>
    </w:p>
    <w:p w:rsidR="00D24E61" w:rsidRPr="00771368" w:rsidRDefault="00D24E61">
      <w:pPr>
        <w:spacing w:line="345" w:lineRule="auto"/>
        <w:ind w:right="20" w:firstLine="1200"/>
        <w:jc w:val="both"/>
        <w:rPr>
          <w:sz w:val="20"/>
          <w:szCs w:val="20"/>
        </w:rPr>
      </w:pPr>
      <w:r w:rsidRPr="00771368">
        <w:rPr>
          <w:rFonts w:eastAsia="Arial"/>
          <w:sz w:val="24"/>
          <w:szCs w:val="24"/>
        </w:rPr>
        <w:t>Por esta razão, é que se faz necessário uma investigação mais minuciosa sobre a qualidade dos postos ocupados pelas mulheres nas últimas décadas, bem como sobre o tipo de contrato e remuneração destinados ao sexo feminino.</w:t>
      </w:r>
    </w:p>
    <w:p w:rsidR="00D24E61" w:rsidRPr="00771368" w:rsidRDefault="00D24E61">
      <w:pPr>
        <w:spacing w:line="200" w:lineRule="exact"/>
        <w:rPr>
          <w:sz w:val="20"/>
          <w:szCs w:val="20"/>
        </w:rPr>
      </w:pPr>
    </w:p>
    <w:p w:rsidR="00D24E61" w:rsidRPr="00771368" w:rsidRDefault="00D24E61">
      <w:pPr>
        <w:spacing w:line="232" w:lineRule="exact"/>
        <w:rPr>
          <w:sz w:val="20"/>
          <w:szCs w:val="20"/>
        </w:rPr>
      </w:pPr>
    </w:p>
    <w:p w:rsidR="00D24E61" w:rsidRPr="00771368" w:rsidRDefault="00D24E61">
      <w:pPr>
        <w:rPr>
          <w:sz w:val="20"/>
          <w:szCs w:val="20"/>
        </w:rPr>
      </w:pPr>
      <w:r w:rsidRPr="00771368">
        <w:rPr>
          <w:rFonts w:eastAsia="Arial"/>
          <w:b/>
          <w:bCs/>
          <w:sz w:val="24"/>
          <w:szCs w:val="24"/>
        </w:rPr>
        <w:t>Referências Bibliográficas</w:t>
      </w:r>
    </w:p>
    <w:p w:rsidR="00D24E61" w:rsidRPr="00771368" w:rsidRDefault="00D24E61">
      <w:pPr>
        <w:spacing w:line="293" w:lineRule="exact"/>
        <w:rPr>
          <w:sz w:val="20"/>
          <w:szCs w:val="20"/>
        </w:rPr>
      </w:pPr>
    </w:p>
    <w:p w:rsidR="00D24E61" w:rsidRPr="00771368" w:rsidRDefault="00D24E61">
      <w:pPr>
        <w:spacing w:line="337" w:lineRule="auto"/>
        <w:ind w:right="20"/>
        <w:jc w:val="both"/>
        <w:rPr>
          <w:sz w:val="20"/>
          <w:szCs w:val="20"/>
        </w:rPr>
      </w:pPr>
      <w:r w:rsidRPr="00771368">
        <w:rPr>
          <w:rFonts w:eastAsia="Arial"/>
          <w:sz w:val="24"/>
          <w:szCs w:val="24"/>
        </w:rPr>
        <w:t xml:space="preserve">ABRAMO, Laís. </w:t>
      </w:r>
      <w:r w:rsidRPr="00771368">
        <w:rPr>
          <w:rFonts w:eastAsia="Arial"/>
          <w:b/>
          <w:bCs/>
          <w:sz w:val="24"/>
          <w:szCs w:val="24"/>
        </w:rPr>
        <w:t>A situação da mulher latino-americana. O mercado de trabalho</w:t>
      </w:r>
      <w:r w:rsidRPr="00771368">
        <w:rPr>
          <w:rFonts w:eastAsia="Arial"/>
          <w:sz w:val="24"/>
          <w:szCs w:val="24"/>
        </w:rPr>
        <w:t xml:space="preserve"> </w:t>
      </w:r>
      <w:r w:rsidRPr="00771368">
        <w:rPr>
          <w:rFonts w:eastAsia="Arial"/>
          <w:b/>
          <w:bCs/>
          <w:sz w:val="24"/>
          <w:szCs w:val="24"/>
        </w:rPr>
        <w:t>no contexto da reestruturação. Mulher e Trabalho Experiências de ação afirmativa</w:t>
      </w:r>
      <w:r w:rsidRPr="00771368">
        <w:rPr>
          <w:rFonts w:eastAsia="Arial"/>
          <w:sz w:val="24"/>
          <w:szCs w:val="24"/>
        </w:rPr>
        <w:t>. São Paulo: Boitempo Editorial, abril de 2000.</w:t>
      </w:r>
    </w:p>
    <w:p w:rsidR="00D24E61" w:rsidRPr="00771368" w:rsidRDefault="00D24E61">
      <w:pPr>
        <w:spacing w:line="79" w:lineRule="exact"/>
        <w:rPr>
          <w:sz w:val="20"/>
          <w:szCs w:val="20"/>
        </w:rPr>
      </w:pPr>
    </w:p>
    <w:p w:rsidR="00D24E61" w:rsidRPr="00771368" w:rsidRDefault="00D24E61">
      <w:pPr>
        <w:spacing w:line="316" w:lineRule="auto"/>
        <w:jc w:val="both"/>
        <w:rPr>
          <w:sz w:val="20"/>
          <w:szCs w:val="20"/>
        </w:rPr>
      </w:pPr>
      <w:r w:rsidRPr="00771368">
        <w:rPr>
          <w:rFonts w:eastAsia="Arial"/>
          <w:sz w:val="24"/>
          <w:szCs w:val="24"/>
        </w:rPr>
        <w:t xml:space="preserve">ABREU, A. R. P. </w:t>
      </w:r>
      <w:r w:rsidRPr="00771368">
        <w:rPr>
          <w:rFonts w:eastAsia="Arial"/>
          <w:b/>
          <w:bCs/>
          <w:sz w:val="24"/>
          <w:szCs w:val="24"/>
        </w:rPr>
        <w:t>Mudança tecnológica e gênero no Brasil</w:t>
      </w:r>
      <w:r w:rsidRPr="00771368">
        <w:rPr>
          <w:rFonts w:eastAsia="Arial"/>
          <w:sz w:val="24"/>
          <w:szCs w:val="24"/>
        </w:rPr>
        <w:t>. In: Novos Estudos Cebrap, São Paulo: Cebrap, nº 35, mar. 1993.</w:t>
      </w:r>
    </w:p>
    <w:p w:rsidR="00D24E61" w:rsidRPr="00771368" w:rsidRDefault="00D24E61">
      <w:pPr>
        <w:spacing w:line="101" w:lineRule="exact"/>
        <w:rPr>
          <w:sz w:val="20"/>
          <w:szCs w:val="20"/>
        </w:rPr>
      </w:pPr>
    </w:p>
    <w:p w:rsidR="00D24E61" w:rsidRPr="00771368" w:rsidRDefault="00D24E61">
      <w:pPr>
        <w:spacing w:line="337" w:lineRule="auto"/>
        <w:ind w:right="20"/>
        <w:jc w:val="both"/>
        <w:rPr>
          <w:sz w:val="20"/>
          <w:szCs w:val="20"/>
        </w:rPr>
      </w:pPr>
      <w:r w:rsidRPr="00771368">
        <w:rPr>
          <w:rFonts w:eastAsia="Arial"/>
          <w:sz w:val="24"/>
          <w:szCs w:val="24"/>
        </w:rPr>
        <w:t xml:space="preserve">ARANHA, M. L. A. </w:t>
      </w:r>
      <w:r w:rsidRPr="00771368">
        <w:rPr>
          <w:rFonts w:eastAsia="Arial"/>
          <w:b/>
          <w:bCs/>
          <w:sz w:val="24"/>
          <w:szCs w:val="24"/>
        </w:rPr>
        <w:t>História da educação</w:t>
      </w:r>
      <w:r w:rsidRPr="00771368">
        <w:rPr>
          <w:rFonts w:eastAsia="Arial"/>
          <w:sz w:val="24"/>
          <w:szCs w:val="24"/>
        </w:rPr>
        <w:t xml:space="preserve">. São Paulo, Moderna, 2002. RIBEIRO, M. L. </w:t>
      </w:r>
      <w:r w:rsidRPr="00771368">
        <w:rPr>
          <w:rFonts w:eastAsia="Arial"/>
          <w:b/>
          <w:bCs/>
          <w:sz w:val="24"/>
          <w:szCs w:val="24"/>
        </w:rPr>
        <w:t>História da educação brasileira</w:t>
      </w:r>
      <w:r w:rsidRPr="00771368">
        <w:rPr>
          <w:rFonts w:eastAsia="Arial"/>
          <w:sz w:val="24"/>
          <w:szCs w:val="24"/>
        </w:rPr>
        <w:t>. A Organização Escolar. Campinas, Autores Associados, 2003.</w:t>
      </w:r>
    </w:p>
    <w:p w:rsidR="00D24E61" w:rsidRPr="00771368" w:rsidRDefault="00D24E61">
      <w:pPr>
        <w:spacing w:line="81" w:lineRule="exact"/>
        <w:rPr>
          <w:sz w:val="20"/>
          <w:szCs w:val="20"/>
        </w:rPr>
      </w:pPr>
    </w:p>
    <w:p w:rsidR="00D24E61" w:rsidRPr="00771368" w:rsidRDefault="00D24E61">
      <w:pPr>
        <w:spacing w:line="337" w:lineRule="auto"/>
        <w:rPr>
          <w:sz w:val="20"/>
          <w:szCs w:val="20"/>
        </w:rPr>
      </w:pPr>
      <w:r w:rsidRPr="00771368">
        <w:rPr>
          <w:rFonts w:eastAsia="Arial"/>
          <w:sz w:val="24"/>
          <w:szCs w:val="24"/>
        </w:rPr>
        <w:t xml:space="preserve">BRASIL, </w:t>
      </w:r>
      <w:r w:rsidRPr="00771368">
        <w:rPr>
          <w:rFonts w:eastAsia="Arial"/>
          <w:b/>
          <w:bCs/>
          <w:sz w:val="24"/>
          <w:szCs w:val="24"/>
        </w:rPr>
        <w:t>LEI DE DIRETRIZES E BASES NACIONAL</w:t>
      </w:r>
      <w:r w:rsidRPr="00771368">
        <w:rPr>
          <w:rFonts w:eastAsia="Arial"/>
          <w:sz w:val="24"/>
          <w:szCs w:val="24"/>
        </w:rPr>
        <w:t xml:space="preserve"> (LDBEN) 9.394/96, 1996. BRUSCHINI, Cristina; LOMBARDI, Maria Rosa. </w:t>
      </w:r>
      <w:r w:rsidRPr="00771368">
        <w:rPr>
          <w:rFonts w:eastAsia="Arial"/>
          <w:b/>
          <w:bCs/>
          <w:sz w:val="24"/>
          <w:szCs w:val="24"/>
        </w:rPr>
        <w:t>A Bi-Polaridade do Trabalho</w:t>
      </w:r>
      <w:r w:rsidRPr="00771368">
        <w:rPr>
          <w:rFonts w:eastAsia="Arial"/>
          <w:sz w:val="24"/>
          <w:szCs w:val="24"/>
        </w:rPr>
        <w:t xml:space="preserve"> </w:t>
      </w:r>
      <w:r w:rsidRPr="00771368">
        <w:rPr>
          <w:rFonts w:eastAsia="Arial"/>
          <w:b/>
          <w:bCs/>
          <w:sz w:val="24"/>
          <w:szCs w:val="24"/>
        </w:rPr>
        <w:t>Feminino no Brasil</w:t>
      </w:r>
      <w:r w:rsidRPr="00771368">
        <w:rPr>
          <w:rFonts w:eastAsia="Arial"/>
          <w:sz w:val="24"/>
          <w:szCs w:val="24"/>
        </w:rPr>
        <w:t>: O Emprego Doméstico e as “Novas” Ocupações. Mulher e</w:t>
      </w:r>
    </w:p>
    <w:p w:rsidR="00D24E61" w:rsidRPr="00771368" w:rsidRDefault="00D24E61">
      <w:pPr>
        <w:spacing w:line="28" w:lineRule="exact"/>
        <w:rPr>
          <w:sz w:val="20"/>
          <w:szCs w:val="20"/>
        </w:rPr>
      </w:pPr>
    </w:p>
    <w:p w:rsidR="00D24E61" w:rsidRPr="00771368" w:rsidRDefault="00D24E61">
      <w:pPr>
        <w:rPr>
          <w:sz w:val="20"/>
          <w:szCs w:val="20"/>
        </w:rPr>
      </w:pPr>
      <w:r w:rsidRPr="00771368">
        <w:rPr>
          <w:rFonts w:eastAsia="Arial"/>
          <w:sz w:val="24"/>
          <w:szCs w:val="24"/>
        </w:rPr>
        <w:t>Ocupação. São Paulo: Nobel, 1999.</w:t>
      </w:r>
    </w:p>
    <w:p w:rsidR="00D24E61" w:rsidRPr="00771368" w:rsidRDefault="00D24E61">
      <w:pPr>
        <w:spacing w:line="190" w:lineRule="exact"/>
        <w:rPr>
          <w:sz w:val="20"/>
          <w:szCs w:val="20"/>
        </w:rPr>
      </w:pPr>
    </w:p>
    <w:p w:rsidR="00D24E61" w:rsidRPr="00771368" w:rsidRDefault="00D24E61">
      <w:pPr>
        <w:spacing w:line="344" w:lineRule="auto"/>
        <w:jc w:val="both"/>
        <w:rPr>
          <w:sz w:val="20"/>
          <w:szCs w:val="20"/>
        </w:rPr>
      </w:pPr>
      <w:r w:rsidRPr="00771368">
        <w:rPr>
          <w:rFonts w:eastAsia="Arial"/>
          <w:sz w:val="24"/>
          <w:szCs w:val="24"/>
        </w:rPr>
        <w:t xml:space="preserve">CRUZ, Maria Helena. Mudanças tecnológicas nas relações de trabalho: um olhar de gênero na indústria têxtil. </w:t>
      </w:r>
      <w:r w:rsidRPr="00771368">
        <w:rPr>
          <w:rFonts w:eastAsia="Arial"/>
          <w:b/>
          <w:bCs/>
          <w:sz w:val="24"/>
          <w:szCs w:val="24"/>
        </w:rPr>
        <w:t>Revista do Departamento de filosofia e ciências</w:t>
      </w:r>
      <w:r w:rsidRPr="00771368">
        <w:rPr>
          <w:rFonts w:eastAsia="Arial"/>
          <w:sz w:val="24"/>
          <w:szCs w:val="24"/>
        </w:rPr>
        <w:t xml:space="preserve"> </w:t>
      </w:r>
      <w:r w:rsidRPr="00771368">
        <w:rPr>
          <w:rFonts w:eastAsia="Arial"/>
          <w:b/>
          <w:bCs/>
          <w:sz w:val="24"/>
          <w:szCs w:val="24"/>
        </w:rPr>
        <w:t>humanas da universidade Federal do Sudoeste da Bahia.</w:t>
      </w:r>
      <w:r w:rsidRPr="00771368">
        <w:rPr>
          <w:rFonts w:eastAsia="Arial"/>
          <w:sz w:val="24"/>
          <w:szCs w:val="24"/>
        </w:rPr>
        <w:t>n.1 (nov., 2005)</w:t>
      </w:r>
      <w:r w:rsidRPr="00771368">
        <w:rPr>
          <w:rFonts w:eastAsia="Arial"/>
          <w:b/>
          <w:bCs/>
          <w:sz w:val="24"/>
          <w:szCs w:val="24"/>
        </w:rPr>
        <w:t xml:space="preserve"> </w:t>
      </w:r>
      <w:r w:rsidRPr="00771368">
        <w:rPr>
          <w:rFonts w:eastAsia="Arial"/>
          <w:sz w:val="24"/>
          <w:szCs w:val="24"/>
        </w:rPr>
        <w:t>–</w:t>
      </w:r>
      <w:r w:rsidRPr="00771368">
        <w:rPr>
          <w:rFonts w:eastAsia="Arial"/>
          <w:b/>
          <w:bCs/>
          <w:sz w:val="24"/>
          <w:szCs w:val="24"/>
        </w:rPr>
        <w:t xml:space="preserve"> </w:t>
      </w:r>
      <w:r w:rsidRPr="00771368">
        <w:rPr>
          <w:rFonts w:eastAsia="Arial"/>
          <w:sz w:val="24"/>
          <w:szCs w:val="24"/>
        </w:rPr>
        <w:t>Vitória da Conquista, adições Vesb, 2005.</w:t>
      </w:r>
    </w:p>
    <w:p w:rsidR="00D24E61" w:rsidRPr="00771368" w:rsidRDefault="00D24E61">
      <w:pPr>
        <w:spacing w:line="74" w:lineRule="exact"/>
        <w:rPr>
          <w:sz w:val="20"/>
          <w:szCs w:val="20"/>
        </w:rPr>
      </w:pPr>
    </w:p>
    <w:p w:rsidR="00D24E61" w:rsidRPr="00771368" w:rsidRDefault="00D24E61">
      <w:pPr>
        <w:spacing w:line="337" w:lineRule="auto"/>
        <w:ind w:right="20"/>
        <w:jc w:val="both"/>
        <w:rPr>
          <w:sz w:val="20"/>
          <w:szCs w:val="20"/>
        </w:rPr>
      </w:pPr>
      <w:r w:rsidRPr="00771368">
        <w:rPr>
          <w:rFonts w:eastAsia="Arial"/>
          <w:sz w:val="24"/>
          <w:szCs w:val="24"/>
        </w:rPr>
        <w:t xml:space="preserve">DEL PINO, Mauro Augusto Burkert. Novas tecnologias, educação e exploração: o que mudou? </w:t>
      </w:r>
      <w:r w:rsidRPr="00771368">
        <w:rPr>
          <w:rFonts w:eastAsia="Arial"/>
          <w:b/>
          <w:bCs/>
          <w:sz w:val="24"/>
          <w:szCs w:val="24"/>
        </w:rPr>
        <w:t>Educação e Filosofia</w:t>
      </w:r>
      <w:r w:rsidRPr="00771368">
        <w:rPr>
          <w:rFonts w:eastAsia="Arial"/>
          <w:sz w:val="24"/>
          <w:szCs w:val="24"/>
        </w:rPr>
        <w:t>, v. 7, n. 14, Universidade Federal de Uberlândia, jul./dez, 1993.</w:t>
      </w:r>
    </w:p>
    <w:p w:rsidR="00D24E61" w:rsidRPr="00771368" w:rsidRDefault="00D24E61">
      <w:pPr>
        <w:spacing w:line="78" w:lineRule="exact"/>
        <w:rPr>
          <w:sz w:val="20"/>
          <w:szCs w:val="20"/>
        </w:rPr>
      </w:pPr>
    </w:p>
    <w:p w:rsidR="00D24E61" w:rsidRPr="00771368" w:rsidRDefault="00D24E61">
      <w:pPr>
        <w:spacing w:line="338" w:lineRule="auto"/>
        <w:ind w:right="20"/>
        <w:jc w:val="both"/>
        <w:rPr>
          <w:sz w:val="20"/>
          <w:szCs w:val="20"/>
        </w:rPr>
      </w:pPr>
      <w:r w:rsidRPr="00771368">
        <w:rPr>
          <w:rFonts w:eastAsia="Arial"/>
          <w:sz w:val="24"/>
          <w:szCs w:val="24"/>
        </w:rPr>
        <w:t xml:space="preserve">FRANZOI, Nairar Lisboa. </w:t>
      </w:r>
      <w:r w:rsidRPr="00771368">
        <w:rPr>
          <w:rFonts w:eastAsia="Arial"/>
          <w:b/>
          <w:bCs/>
          <w:sz w:val="24"/>
          <w:szCs w:val="24"/>
        </w:rPr>
        <w:t>O modelo japonês e o conhecimento informal do</w:t>
      </w:r>
      <w:r w:rsidRPr="00771368">
        <w:rPr>
          <w:rFonts w:eastAsia="Arial"/>
          <w:sz w:val="24"/>
          <w:szCs w:val="24"/>
        </w:rPr>
        <w:t xml:space="preserve"> </w:t>
      </w:r>
      <w:r w:rsidRPr="00771368">
        <w:rPr>
          <w:rFonts w:eastAsia="Arial"/>
          <w:b/>
          <w:bCs/>
          <w:sz w:val="24"/>
          <w:szCs w:val="24"/>
        </w:rPr>
        <w:t>trabalhador no chão da fábrica</w:t>
      </w:r>
      <w:r w:rsidRPr="00771368">
        <w:rPr>
          <w:rFonts w:eastAsia="Arial"/>
          <w:sz w:val="24"/>
          <w:szCs w:val="24"/>
        </w:rPr>
        <w:t>. Dissertação de mestrado. Universidade Federal do</w:t>
      </w:r>
      <w:r w:rsidRPr="00771368">
        <w:rPr>
          <w:rFonts w:eastAsia="Arial"/>
          <w:b/>
          <w:bCs/>
          <w:sz w:val="24"/>
          <w:szCs w:val="24"/>
        </w:rPr>
        <w:t xml:space="preserve"> </w:t>
      </w:r>
      <w:r w:rsidRPr="00771368">
        <w:rPr>
          <w:rFonts w:eastAsia="Arial"/>
          <w:sz w:val="24"/>
          <w:szCs w:val="24"/>
        </w:rPr>
        <w:t>Rio Grande do Sul, 1991.</w:t>
      </w:r>
    </w:p>
    <w:p w:rsidR="00D24E61" w:rsidRPr="00771368" w:rsidRDefault="00D24E61">
      <w:pPr>
        <w:spacing w:line="78" w:lineRule="exact"/>
        <w:rPr>
          <w:sz w:val="20"/>
          <w:szCs w:val="20"/>
        </w:rPr>
      </w:pPr>
    </w:p>
    <w:p w:rsidR="00D24E61" w:rsidRPr="00771368" w:rsidRDefault="00D24E61">
      <w:pPr>
        <w:spacing w:line="336" w:lineRule="auto"/>
        <w:jc w:val="both"/>
        <w:rPr>
          <w:sz w:val="20"/>
          <w:szCs w:val="20"/>
        </w:rPr>
      </w:pPr>
      <w:r w:rsidRPr="00771368">
        <w:rPr>
          <w:rFonts w:eastAsia="Arial"/>
          <w:sz w:val="24"/>
          <w:szCs w:val="24"/>
        </w:rPr>
        <w:t xml:space="preserve">HASENBALG, Carlos. Desigualdades raciais no Brasil. In: HASENBALG, Carlos, SILVA; Nelson do Valle. </w:t>
      </w:r>
      <w:r w:rsidRPr="00771368">
        <w:rPr>
          <w:rFonts w:eastAsia="Arial"/>
          <w:b/>
          <w:bCs/>
          <w:sz w:val="24"/>
          <w:szCs w:val="24"/>
        </w:rPr>
        <w:t>Estrutura social, mobilidade e raça</w:t>
      </w:r>
      <w:r w:rsidRPr="00771368">
        <w:rPr>
          <w:rFonts w:eastAsia="Arial"/>
          <w:sz w:val="24"/>
          <w:szCs w:val="24"/>
        </w:rPr>
        <w:t>. São Paulo: Vértice/Editora Revista dos Tribunais; Rio de Janeiro: IUPERJ, 1998.</w:t>
      </w:r>
    </w:p>
    <w:p w:rsidR="00D24E61" w:rsidRPr="00771368" w:rsidRDefault="00D24E61">
      <w:pPr>
        <w:spacing w:line="338" w:lineRule="auto"/>
        <w:jc w:val="both"/>
        <w:rPr>
          <w:sz w:val="20"/>
          <w:szCs w:val="20"/>
        </w:rPr>
      </w:pPr>
      <w:r w:rsidRPr="00771368">
        <w:rPr>
          <w:rFonts w:eastAsia="Arial"/>
          <w:sz w:val="24"/>
          <w:szCs w:val="24"/>
        </w:rPr>
        <w:t xml:space="preserve">HIRATA, H. Das polarizações das qualificações ao modelo da competência. In: FERRETI, C. J. el al. (orgs). </w:t>
      </w:r>
      <w:r w:rsidRPr="00771368">
        <w:rPr>
          <w:rFonts w:eastAsia="Arial"/>
          <w:b/>
          <w:bCs/>
          <w:sz w:val="24"/>
          <w:szCs w:val="24"/>
        </w:rPr>
        <w:t>Novas tecnologias, trabalho e educação</w:t>
      </w:r>
      <w:r w:rsidRPr="00771368">
        <w:rPr>
          <w:rFonts w:eastAsia="Arial"/>
          <w:sz w:val="24"/>
          <w:szCs w:val="24"/>
        </w:rPr>
        <w:t>: um debate multidisciplinar. Petrópolis: Vozes, 1994.</w:t>
      </w:r>
    </w:p>
    <w:p w:rsidR="00D24E61" w:rsidRPr="00771368" w:rsidRDefault="00D24E61">
      <w:pPr>
        <w:spacing w:line="75" w:lineRule="exact"/>
        <w:rPr>
          <w:sz w:val="20"/>
          <w:szCs w:val="20"/>
        </w:rPr>
      </w:pPr>
    </w:p>
    <w:p w:rsidR="00D24E61" w:rsidRPr="00771368" w:rsidRDefault="00D24E61">
      <w:pPr>
        <w:spacing w:line="337" w:lineRule="auto"/>
        <w:jc w:val="both"/>
        <w:rPr>
          <w:sz w:val="20"/>
          <w:szCs w:val="20"/>
        </w:rPr>
      </w:pPr>
      <w:r w:rsidRPr="00771368">
        <w:rPr>
          <w:rFonts w:eastAsia="Arial"/>
          <w:sz w:val="24"/>
          <w:szCs w:val="24"/>
        </w:rPr>
        <w:t xml:space="preserve">HIRATA, Helena; ZARIFIAN, Philipe. </w:t>
      </w:r>
      <w:r w:rsidRPr="00771368">
        <w:rPr>
          <w:rFonts w:eastAsia="Arial"/>
          <w:b/>
          <w:bCs/>
          <w:sz w:val="24"/>
          <w:szCs w:val="24"/>
        </w:rPr>
        <w:t>O conceito de trabalho.</w:t>
      </w:r>
      <w:r w:rsidRPr="00771368">
        <w:rPr>
          <w:rFonts w:eastAsia="Arial"/>
          <w:sz w:val="24"/>
          <w:szCs w:val="24"/>
        </w:rPr>
        <w:t xml:space="preserve"> In: Trabalho e Cidadania ativa para as mulheres. Desafios para políticas públicas. Marli Emílio (Org.) São Paulo: Coordenadoria Especial da Mulher, 2003.</w:t>
      </w:r>
    </w:p>
    <w:p w:rsidR="00D24E61" w:rsidRPr="00771368" w:rsidRDefault="00D24E61">
      <w:pPr>
        <w:spacing w:line="81" w:lineRule="exact"/>
        <w:rPr>
          <w:sz w:val="20"/>
          <w:szCs w:val="20"/>
        </w:rPr>
      </w:pPr>
    </w:p>
    <w:p w:rsidR="00D24E61" w:rsidRPr="00771368" w:rsidRDefault="00D24E61">
      <w:pPr>
        <w:spacing w:line="314" w:lineRule="auto"/>
        <w:ind w:right="20"/>
        <w:jc w:val="both"/>
        <w:rPr>
          <w:sz w:val="20"/>
          <w:szCs w:val="20"/>
        </w:rPr>
      </w:pPr>
      <w:r w:rsidRPr="00771368">
        <w:rPr>
          <w:rFonts w:eastAsia="Arial"/>
          <w:sz w:val="24"/>
          <w:szCs w:val="24"/>
        </w:rPr>
        <w:t xml:space="preserve">KERGOAT, D. </w:t>
      </w:r>
      <w:r w:rsidRPr="00771368">
        <w:rPr>
          <w:rFonts w:eastAsia="Arial"/>
          <w:b/>
          <w:bCs/>
          <w:sz w:val="24"/>
          <w:szCs w:val="24"/>
        </w:rPr>
        <w:t>Da divisão sexual do trabalho entre os sexos</w:t>
      </w:r>
      <w:r w:rsidRPr="00771368">
        <w:rPr>
          <w:rFonts w:eastAsia="Arial"/>
          <w:sz w:val="24"/>
          <w:szCs w:val="24"/>
        </w:rPr>
        <w:t>. São Paulo: USP, 1987. (mímeo).</w:t>
      </w:r>
    </w:p>
    <w:p w:rsidR="00D24E61" w:rsidRPr="00771368" w:rsidRDefault="00D24E61">
      <w:pPr>
        <w:spacing w:line="106" w:lineRule="exact"/>
        <w:rPr>
          <w:sz w:val="20"/>
          <w:szCs w:val="20"/>
        </w:rPr>
      </w:pPr>
    </w:p>
    <w:p w:rsidR="00D24E61" w:rsidRPr="00771368" w:rsidRDefault="00D24E61">
      <w:pPr>
        <w:spacing w:line="338" w:lineRule="auto"/>
        <w:jc w:val="both"/>
        <w:rPr>
          <w:sz w:val="20"/>
          <w:szCs w:val="20"/>
        </w:rPr>
      </w:pPr>
      <w:r w:rsidRPr="00771368">
        <w:rPr>
          <w:rFonts w:eastAsia="Arial"/>
          <w:sz w:val="24"/>
          <w:szCs w:val="24"/>
        </w:rPr>
        <w:t xml:space="preserve">KIRSCHNER, Tereza Cristina. Modernização tecnológica e formação técnico-profissional no Brasil impasses e desafios. </w:t>
      </w:r>
      <w:r w:rsidRPr="00771368">
        <w:rPr>
          <w:rFonts w:eastAsia="Arial"/>
          <w:b/>
          <w:bCs/>
          <w:sz w:val="24"/>
          <w:szCs w:val="24"/>
        </w:rPr>
        <w:t>Textos para Discussão</w:t>
      </w:r>
      <w:r w:rsidRPr="00771368">
        <w:rPr>
          <w:rFonts w:eastAsia="Arial"/>
          <w:sz w:val="24"/>
          <w:szCs w:val="24"/>
        </w:rPr>
        <w:t>, nº 295, Brasília: IPEA, mar, 1993.</w:t>
      </w:r>
    </w:p>
    <w:p w:rsidR="00D24E61" w:rsidRPr="00771368" w:rsidRDefault="00D24E61">
      <w:pPr>
        <w:spacing w:line="75" w:lineRule="exact"/>
        <w:rPr>
          <w:sz w:val="20"/>
          <w:szCs w:val="20"/>
        </w:rPr>
      </w:pPr>
    </w:p>
    <w:p w:rsidR="00D24E61" w:rsidRPr="00771368" w:rsidRDefault="00D24E61">
      <w:pPr>
        <w:spacing w:line="337" w:lineRule="auto"/>
        <w:jc w:val="both"/>
        <w:rPr>
          <w:sz w:val="20"/>
          <w:szCs w:val="20"/>
        </w:rPr>
      </w:pPr>
      <w:r w:rsidRPr="00771368">
        <w:rPr>
          <w:rFonts w:eastAsia="Arial"/>
          <w:sz w:val="24"/>
          <w:szCs w:val="24"/>
        </w:rPr>
        <w:t>LIEDKE, Elida R., SILVA, Lorena H. da.</w:t>
      </w:r>
      <w:r w:rsidRPr="00771368">
        <w:rPr>
          <w:rFonts w:eastAsia="Arial"/>
          <w:b/>
          <w:bCs/>
          <w:sz w:val="24"/>
          <w:szCs w:val="24"/>
        </w:rPr>
        <w:t>Inovações na organização do processo de</w:t>
      </w:r>
      <w:r w:rsidRPr="00771368">
        <w:rPr>
          <w:rFonts w:eastAsia="Arial"/>
          <w:sz w:val="24"/>
          <w:szCs w:val="24"/>
        </w:rPr>
        <w:t xml:space="preserve"> </w:t>
      </w:r>
      <w:r w:rsidRPr="00771368">
        <w:rPr>
          <w:rFonts w:eastAsia="Arial"/>
          <w:b/>
          <w:bCs/>
          <w:sz w:val="24"/>
          <w:szCs w:val="24"/>
        </w:rPr>
        <w:t>trabalho e relações de gênero</w:t>
      </w:r>
      <w:r w:rsidRPr="00771368">
        <w:rPr>
          <w:rFonts w:eastAsia="Arial"/>
          <w:sz w:val="24"/>
          <w:szCs w:val="24"/>
        </w:rPr>
        <w:t>. Educação e Sociedade, nº 45, ano XIV, Campinas:</w:t>
      </w:r>
      <w:r w:rsidRPr="00771368">
        <w:rPr>
          <w:rFonts w:eastAsia="Arial"/>
          <w:b/>
          <w:bCs/>
          <w:sz w:val="24"/>
          <w:szCs w:val="24"/>
        </w:rPr>
        <w:t xml:space="preserve"> </w:t>
      </w:r>
      <w:r w:rsidRPr="00771368">
        <w:rPr>
          <w:rFonts w:eastAsia="Arial"/>
          <w:sz w:val="24"/>
          <w:szCs w:val="24"/>
        </w:rPr>
        <w:t>CEDES/PAPIRUS, ago, 1993</w:t>
      </w:r>
    </w:p>
    <w:p w:rsidR="00D24E61" w:rsidRPr="00771368" w:rsidRDefault="00D24E61">
      <w:pPr>
        <w:spacing w:line="81" w:lineRule="exact"/>
        <w:rPr>
          <w:sz w:val="20"/>
          <w:szCs w:val="20"/>
        </w:rPr>
      </w:pPr>
    </w:p>
    <w:p w:rsidR="00D24E61" w:rsidRPr="00771368" w:rsidRDefault="00D24E61">
      <w:pPr>
        <w:spacing w:line="337" w:lineRule="auto"/>
        <w:jc w:val="both"/>
        <w:rPr>
          <w:sz w:val="20"/>
          <w:szCs w:val="20"/>
        </w:rPr>
      </w:pPr>
      <w:r w:rsidRPr="00771368">
        <w:rPr>
          <w:rFonts w:eastAsia="Arial"/>
          <w:sz w:val="24"/>
          <w:szCs w:val="24"/>
        </w:rPr>
        <w:t xml:space="preserve">LOMBARDI, Maria Rosa. A Persistência das desigualdades de gênero no mercado de trabalho. In. COSTA, Albertina, et al (Orgs.). </w:t>
      </w:r>
      <w:r w:rsidRPr="00771368">
        <w:rPr>
          <w:rFonts w:eastAsia="Arial"/>
          <w:b/>
          <w:bCs/>
          <w:sz w:val="24"/>
          <w:szCs w:val="24"/>
        </w:rPr>
        <w:t>Divisão sexual do trabalho, crise</w:t>
      </w:r>
      <w:r w:rsidRPr="00771368">
        <w:rPr>
          <w:rFonts w:eastAsia="Arial"/>
          <w:sz w:val="24"/>
          <w:szCs w:val="24"/>
        </w:rPr>
        <w:t xml:space="preserve"> </w:t>
      </w:r>
      <w:r w:rsidRPr="00771368">
        <w:rPr>
          <w:rFonts w:eastAsia="Arial"/>
          <w:b/>
          <w:bCs/>
          <w:sz w:val="24"/>
          <w:szCs w:val="24"/>
        </w:rPr>
        <w:t xml:space="preserve">do capitalismo. </w:t>
      </w:r>
      <w:r w:rsidRPr="00771368">
        <w:rPr>
          <w:rFonts w:eastAsia="Arial"/>
          <w:sz w:val="24"/>
          <w:szCs w:val="24"/>
        </w:rPr>
        <w:t>Recife: SOS/CORPO-Instituto Feminista para a Democracia, 2010.</w:t>
      </w:r>
    </w:p>
    <w:p w:rsidR="00D24E61" w:rsidRPr="00771368" w:rsidRDefault="00D24E61">
      <w:pPr>
        <w:spacing w:line="78" w:lineRule="exact"/>
        <w:rPr>
          <w:sz w:val="20"/>
          <w:szCs w:val="20"/>
        </w:rPr>
      </w:pPr>
    </w:p>
    <w:p w:rsidR="00D24E61" w:rsidRPr="00771368" w:rsidRDefault="00D24E61">
      <w:pPr>
        <w:spacing w:line="317" w:lineRule="auto"/>
        <w:ind w:right="20"/>
        <w:jc w:val="both"/>
        <w:rPr>
          <w:sz w:val="20"/>
          <w:szCs w:val="20"/>
        </w:rPr>
      </w:pPr>
      <w:r w:rsidRPr="00771368">
        <w:rPr>
          <w:rFonts w:eastAsia="Arial"/>
          <w:b/>
          <w:bCs/>
          <w:sz w:val="24"/>
          <w:szCs w:val="24"/>
        </w:rPr>
        <w:t xml:space="preserve">ORGANIZAÇÃO INTERNACIONAL DO TRABALHO </w:t>
      </w:r>
      <w:r w:rsidRPr="00771368">
        <w:rPr>
          <w:rFonts w:eastAsia="Arial"/>
          <w:sz w:val="24"/>
          <w:szCs w:val="24"/>
        </w:rPr>
        <w:t>(OIT). Relatório “Panorama da</w:t>
      </w:r>
      <w:r w:rsidRPr="00771368">
        <w:rPr>
          <w:rFonts w:eastAsia="Arial"/>
          <w:b/>
          <w:bCs/>
          <w:sz w:val="24"/>
          <w:szCs w:val="24"/>
        </w:rPr>
        <w:t xml:space="preserve"> </w:t>
      </w:r>
      <w:r w:rsidRPr="00771368">
        <w:rPr>
          <w:rFonts w:eastAsia="Arial"/>
          <w:sz w:val="24"/>
          <w:szCs w:val="24"/>
        </w:rPr>
        <w:t>situação de trabalho de mulheres”, 6 mar.2007.</w:t>
      </w:r>
    </w:p>
    <w:p w:rsidR="00D24E61" w:rsidRPr="00771368" w:rsidRDefault="00D24E61">
      <w:pPr>
        <w:spacing w:line="99" w:lineRule="exact"/>
        <w:rPr>
          <w:sz w:val="20"/>
          <w:szCs w:val="20"/>
        </w:rPr>
      </w:pPr>
    </w:p>
    <w:p w:rsidR="00D24E61" w:rsidRPr="00771368" w:rsidRDefault="00D24E61">
      <w:pPr>
        <w:spacing w:line="337" w:lineRule="auto"/>
        <w:ind w:right="20"/>
        <w:jc w:val="both"/>
        <w:rPr>
          <w:sz w:val="20"/>
          <w:szCs w:val="20"/>
        </w:rPr>
      </w:pPr>
      <w:r w:rsidRPr="00771368">
        <w:rPr>
          <w:rFonts w:eastAsia="Arial"/>
          <w:sz w:val="24"/>
          <w:szCs w:val="24"/>
        </w:rPr>
        <w:t xml:space="preserve">PAIVA. Produção e qualificação do trabalho. In: FRANCO, Maria Laura, ZIBAS, Dagmar (org.). </w:t>
      </w:r>
      <w:r w:rsidRPr="00771368">
        <w:rPr>
          <w:rFonts w:eastAsia="Arial"/>
          <w:b/>
          <w:bCs/>
          <w:sz w:val="24"/>
          <w:szCs w:val="24"/>
        </w:rPr>
        <w:t>Final do século</w:t>
      </w:r>
      <w:r w:rsidRPr="00771368">
        <w:rPr>
          <w:rFonts w:eastAsia="Arial"/>
          <w:sz w:val="24"/>
          <w:szCs w:val="24"/>
        </w:rPr>
        <w:t>: desafios da educação na América Latina. São Paulo: Cortez/CLACSO/REDUC, 1990.</w:t>
      </w:r>
    </w:p>
    <w:p w:rsidR="00D24E61" w:rsidRPr="00771368" w:rsidRDefault="00D24E61">
      <w:pPr>
        <w:spacing w:line="81" w:lineRule="exact"/>
        <w:rPr>
          <w:sz w:val="20"/>
          <w:szCs w:val="20"/>
        </w:rPr>
      </w:pPr>
    </w:p>
    <w:p w:rsidR="00D24E61" w:rsidRPr="00771368" w:rsidRDefault="00D24E61">
      <w:pPr>
        <w:spacing w:line="344" w:lineRule="auto"/>
        <w:ind w:right="20"/>
        <w:jc w:val="both"/>
        <w:rPr>
          <w:sz w:val="20"/>
          <w:szCs w:val="20"/>
        </w:rPr>
      </w:pPr>
      <w:r w:rsidRPr="00771368">
        <w:rPr>
          <w:rFonts w:eastAsia="Arial"/>
          <w:sz w:val="24"/>
          <w:szCs w:val="24"/>
        </w:rPr>
        <w:t xml:space="preserve">PERRENOUD, Philippe. </w:t>
      </w:r>
      <w:r w:rsidRPr="00771368">
        <w:rPr>
          <w:rFonts w:eastAsia="Arial"/>
          <w:b/>
          <w:bCs/>
          <w:sz w:val="24"/>
          <w:szCs w:val="24"/>
        </w:rPr>
        <w:t>A qualidade de uma formação profissional é executada</w:t>
      </w:r>
      <w:r w:rsidRPr="00771368">
        <w:rPr>
          <w:rFonts w:eastAsia="Arial"/>
          <w:sz w:val="24"/>
          <w:szCs w:val="24"/>
        </w:rPr>
        <w:t xml:space="preserve"> </w:t>
      </w:r>
      <w:r w:rsidRPr="00771368">
        <w:rPr>
          <w:rFonts w:eastAsia="Arial"/>
          <w:b/>
          <w:bCs/>
          <w:sz w:val="24"/>
          <w:szCs w:val="24"/>
        </w:rPr>
        <w:t>primeiramente em sua concepção</w:t>
      </w:r>
      <w:r w:rsidRPr="00771368">
        <w:rPr>
          <w:rFonts w:eastAsia="Arial"/>
          <w:sz w:val="24"/>
          <w:szCs w:val="24"/>
        </w:rPr>
        <w:t>. Texto de uma intervenção no Encontro dos</w:t>
      </w:r>
      <w:r w:rsidRPr="00771368">
        <w:rPr>
          <w:rFonts w:eastAsia="Arial"/>
          <w:b/>
          <w:bCs/>
          <w:sz w:val="24"/>
          <w:szCs w:val="24"/>
        </w:rPr>
        <w:t xml:space="preserve"> </w:t>
      </w:r>
      <w:r w:rsidRPr="00771368">
        <w:rPr>
          <w:rFonts w:eastAsia="Arial"/>
          <w:sz w:val="24"/>
          <w:szCs w:val="24"/>
        </w:rPr>
        <w:t>profissionais da saúde. CEFIEC. Marseille. Novembro de 1997. Tradução para uso como texto de trabalho.</w:t>
      </w:r>
    </w:p>
    <w:p w:rsidR="00D24E61" w:rsidRPr="00771368" w:rsidRDefault="00D24E61">
      <w:pPr>
        <w:spacing w:line="21" w:lineRule="exact"/>
        <w:rPr>
          <w:sz w:val="20"/>
          <w:szCs w:val="20"/>
        </w:rPr>
      </w:pPr>
    </w:p>
    <w:p w:rsidR="00D24E61" w:rsidRPr="00771368" w:rsidRDefault="00D24E61">
      <w:pPr>
        <w:rPr>
          <w:sz w:val="20"/>
          <w:szCs w:val="20"/>
        </w:rPr>
      </w:pPr>
      <w:r w:rsidRPr="00771368">
        <w:rPr>
          <w:rFonts w:eastAsia="Arial"/>
          <w:sz w:val="24"/>
          <w:szCs w:val="24"/>
        </w:rPr>
        <w:t xml:space="preserve">ROMANELLI, O. </w:t>
      </w:r>
      <w:r w:rsidRPr="00771368">
        <w:rPr>
          <w:rFonts w:eastAsia="Arial"/>
          <w:b/>
          <w:bCs/>
          <w:sz w:val="24"/>
          <w:szCs w:val="24"/>
        </w:rPr>
        <w:t>História da educação no Brasil 1930-73</w:t>
      </w:r>
      <w:r w:rsidRPr="00771368">
        <w:rPr>
          <w:rFonts w:eastAsia="Arial"/>
          <w:sz w:val="24"/>
          <w:szCs w:val="24"/>
        </w:rPr>
        <w:t>. Petrópolis: Vozes, 1978.</w:t>
      </w:r>
    </w:p>
    <w:p w:rsidR="00D24E61" w:rsidRPr="00771368" w:rsidRDefault="00D24E61">
      <w:pPr>
        <w:spacing w:line="140" w:lineRule="exact"/>
        <w:rPr>
          <w:sz w:val="20"/>
          <w:szCs w:val="20"/>
        </w:rPr>
      </w:pPr>
    </w:p>
    <w:p w:rsidR="00D24E61" w:rsidRPr="00771368" w:rsidRDefault="00D24E61">
      <w:pPr>
        <w:rPr>
          <w:sz w:val="20"/>
          <w:szCs w:val="20"/>
        </w:rPr>
      </w:pPr>
      <w:r w:rsidRPr="00771368">
        <w:rPr>
          <w:rFonts w:eastAsia="Arial"/>
          <w:b/>
          <w:bCs/>
          <w:sz w:val="24"/>
          <w:szCs w:val="24"/>
        </w:rPr>
        <w:t xml:space="preserve">SISTEMA DE GESTÃO ESCOLAR </w:t>
      </w:r>
      <w:r w:rsidRPr="00771368">
        <w:rPr>
          <w:rFonts w:eastAsia="Arial"/>
          <w:sz w:val="24"/>
          <w:szCs w:val="24"/>
        </w:rPr>
        <w:t>(GE), ERP-AP10.</w:t>
      </w:r>
    </w:p>
    <w:p w:rsidR="00D24E61" w:rsidRPr="00771368" w:rsidRDefault="00D24E61">
      <w:pPr>
        <w:spacing w:line="188" w:lineRule="exact"/>
        <w:rPr>
          <w:sz w:val="20"/>
          <w:szCs w:val="20"/>
        </w:rPr>
      </w:pPr>
    </w:p>
    <w:p w:rsidR="00D24E61" w:rsidRPr="00771368" w:rsidRDefault="00D24E61">
      <w:pPr>
        <w:spacing w:line="316" w:lineRule="auto"/>
        <w:jc w:val="both"/>
        <w:rPr>
          <w:rFonts w:eastAsia="Arial"/>
          <w:sz w:val="24"/>
          <w:szCs w:val="24"/>
        </w:rPr>
      </w:pPr>
      <w:r w:rsidRPr="00771368">
        <w:rPr>
          <w:rFonts w:eastAsia="Arial"/>
          <w:sz w:val="24"/>
          <w:szCs w:val="24"/>
        </w:rPr>
        <w:t xml:space="preserve">Texto elaborado pela Prattein para o </w:t>
      </w:r>
      <w:r w:rsidRPr="00771368">
        <w:rPr>
          <w:rFonts w:eastAsia="Arial"/>
          <w:b/>
          <w:bCs/>
          <w:sz w:val="24"/>
          <w:szCs w:val="24"/>
        </w:rPr>
        <w:t>curso Aprender &amp; Ensinar</w:t>
      </w:r>
      <w:r w:rsidRPr="00771368">
        <w:rPr>
          <w:rFonts w:eastAsia="Arial"/>
          <w:sz w:val="24"/>
          <w:szCs w:val="24"/>
        </w:rPr>
        <w:t xml:space="preserve"> – SENAI-SP. </w:t>
      </w:r>
      <w:hyperlink r:id="rId91">
        <w:r w:rsidRPr="00771368">
          <w:rPr>
            <w:rFonts w:eastAsia="Arial"/>
            <w:sz w:val="24"/>
            <w:szCs w:val="24"/>
            <w:u w:val="single"/>
          </w:rPr>
          <w:t>www.prattein.com.br</w:t>
        </w:r>
        <w:r w:rsidRPr="00771368">
          <w:rPr>
            <w:rFonts w:eastAsia="Arial"/>
            <w:sz w:val="24"/>
            <w:szCs w:val="24"/>
          </w:rPr>
          <w:t xml:space="preserve">. </w:t>
        </w:r>
      </w:hyperlink>
      <w:r w:rsidRPr="00771368">
        <w:rPr>
          <w:rFonts w:eastAsia="Arial"/>
          <w:sz w:val="24"/>
          <w:szCs w:val="24"/>
        </w:rPr>
        <w:t>2010.</w:t>
      </w:r>
    </w:p>
    <w:p w:rsidR="00D24E61" w:rsidRPr="00771368" w:rsidRDefault="00D24E61">
      <w:pPr>
        <w:spacing w:line="316" w:lineRule="auto"/>
        <w:jc w:val="both"/>
        <w:rPr>
          <w:sz w:val="20"/>
          <w:szCs w:val="20"/>
        </w:rPr>
        <w:sectPr w:rsidR="00D24E61" w:rsidRPr="00771368">
          <w:pgSz w:w="11900" w:h="16838"/>
          <w:pgMar w:top="699" w:right="1400" w:bottom="1440" w:left="1420" w:header="0" w:footer="0" w:gutter="0"/>
          <w:cols w:space="720" w:equalWidth="0">
            <w:col w:w="9080"/>
          </w:cols>
        </w:sectPr>
      </w:pPr>
    </w:p>
    <w:p w:rsidR="00D24E61" w:rsidRPr="00EA38AA" w:rsidRDefault="00D24E61">
      <w:pPr>
        <w:spacing w:line="311" w:lineRule="exact"/>
        <w:rPr>
          <w:b/>
          <w:sz w:val="20"/>
          <w:szCs w:val="20"/>
        </w:rPr>
      </w:pPr>
    </w:p>
    <w:p w:rsidR="00D24E61" w:rsidRPr="00EA38AA" w:rsidRDefault="00D24E61">
      <w:pPr>
        <w:ind w:left="1140"/>
        <w:rPr>
          <w:b/>
          <w:sz w:val="20"/>
          <w:szCs w:val="20"/>
        </w:rPr>
      </w:pPr>
      <w:r w:rsidRPr="00EA38AA">
        <w:rPr>
          <w:b/>
          <w:sz w:val="24"/>
          <w:szCs w:val="24"/>
        </w:rPr>
        <w:t>IGUALDADE DE GÊNERO PARA A REVOLUÇÃO SOCIAL</w:t>
      </w:r>
    </w:p>
    <w:p w:rsidR="00D24E61" w:rsidRPr="00EA38AA" w:rsidRDefault="00D24E61">
      <w:pPr>
        <w:spacing w:line="140" w:lineRule="exact"/>
        <w:rPr>
          <w:b/>
          <w:sz w:val="24"/>
          <w:szCs w:val="24"/>
        </w:rPr>
      </w:pPr>
    </w:p>
    <w:p w:rsidR="00D24E61" w:rsidRPr="00EA38AA" w:rsidRDefault="00D24E61">
      <w:pPr>
        <w:ind w:left="40"/>
        <w:rPr>
          <w:b/>
          <w:sz w:val="20"/>
          <w:szCs w:val="20"/>
        </w:rPr>
      </w:pPr>
      <w:r w:rsidRPr="00EA38AA">
        <w:rPr>
          <w:b/>
          <w:sz w:val="24"/>
          <w:szCs w:val="24"/>
        </w:rPr>
        <w:t>ESTUDO COMPARATIVO DAS POLÍTICAS NÓRDICAS DE BEM-ESTAR E SUA</w:t>
      </w:r>
    </w:p>
    <w:p w:rsidR="00D24E61" w:rsidRPr="00EA38AA" w:rsidRDefault="00D24E61">
      <w:pPr>
        <w:spacing w:line="123" w:lineRule="exact"/>
        <w:rPr>
          <w:b/>
          <w:sz w:val="24"/>
          <w:szCs w:val="24"/>
        </w:rPr>
      </w:pPr>
    </w:p>
    <w:p w:rsidR="00D24E61" w:rsidRPr="00EA38AA" w:rsidRDefault="00D24E61">
      <w:pPr>
        <w:ind w:left="1900"/>
        <w:rPr>
          <w:b/>
          <w:sz w:val="20"/>
          <w:szCs w:val="20"/>
        </w:rPr>
      </w:pPr>
      <w:r w:rsidRPr="00EA38AA">
        <w:rPr>
          <w:b/>
          <w:sz w:val="24"/>
          <w:szCs w:val="24"/>
        </w:rPr>
        <w:t>APLICABILIDADE AO CASO BRASILEIRO.</w:t>
      </w:r>
      <w:r w:rsidRPr="00EA38AA">
        <w:rPr>
          <w:b/>
          <w:sz w:val="32"/>
          <w:szCs w:val="32"/>
          <w:vertAlign w:val="superscript"/>
        </w:rPr>
        <w:t>1</w:t>
      </w:r>
    </w:p>
    <w:p w:rsidR="00D24E61" w:rsidRPr="00771368" w:rsidRDefault="00D24E61">
      <w:pPr>
        <w:spacing w:line="200" w:lineRule="exact"/>
        <w:rPr>
          <w:sz w:val="24"/>
          <w:szCs w:val="24"/>
        </w:rPr>
      </w:pPr>
    </w:p>
    <w:p w:rsidR="00D24E61" w:rsidRPr="00771368" w:rsidRDefault="00D24E61">
      <w:pPr>
        <w:spacing w:line="274" w:lineRule="exact"/>
        <w:rPr>
          <w:sz w:val="24"/>
          <w:szCs w:val="24"/>
        </w:rPr>
      </w:pPr>
    </w:p>
    <w:p w:rsidR="00D24E61" w:rsidRPr="00771368" w:rsidRDefault="00D24E61" w:rsidP="00EA38AA">
      <w:pPr>
        <w:pStyle w:val="Ttulo1"/>
        <w:rPr>
          <w:sz w:val="20"/>
          <w:szCs w:val="20"/>
        </w:rPr>
      </w:pPr>
      <w:bookmarkStart w:id="44" w:name="_Toc442034733"/>
      <w:r w:rsidRPr="00771368">
        <w:t>Marina Grandi Giongo</w:t>
      </w:r>
      <w:bookmarkEnd w:id="44"/>
    </w:p>
    <w:p w:rsidR="00D24E61" w:rsidRPr="00771368" w:rsidRDefault="00D24E61">
      <w:pPr>
        <w:spacing w:line="139" w:lineRule="exact"/>
        <w:rPr>
          <w:sz w:val="24"/>
          <w:szCs w:val="24"/>
        </w:rPr>
      </w:pPr>
    </w:p>
    <w:p w:rsidR="00D24E61" w:rsidRPr="00771368" w:rsidRDefault="00D24E61">
      <w:pPr>
        <w:rPr>
          <w:sz w:val="20"/>
          <w:szCs w:val="20"/>
        </w:rPr>
      </w:pPr>
      <w:r w:rsidRPr="00771368">
        <w:rPr>
          <w:sz w:val="24"/>
          <w:szCs w:val="24"/>
        </w:rPr>
        <w:t>Pontifícia Universidade Católica do Rio Grande do Sul (PUCRS)</w:t>
      </w:r>
    </w:p>
    <w:p w:rsidR="00D24E61" w:rsidRPr="00771368" w:rsidRDefault="00D24E61">
      <w:pPr>
        <w:spacing w:line="137" w:lineRule="exact"/>
        <w:rPr>
          <w:sz w:val="24"/>
          <w:szCs w:val="24"/>
        </w:rPr>
      </w:pPr>
    </w:p>
    <w:p w:rsidR="00D24E61" w:rsidRPr="00771368" w:rsidRDefault="00D24E61">
      <w:pPr>
        <w:rPr>
          <w:sz w:val="20"/>
          <w:szCs w:val="20"/>
        </w:rPr>
      </w:pPr>
      <w:r w:rsidRPr="00771368">
        <w:rPr>
          <w:sz w:val="24"/>
          <w:szCs w:val="24"/>
        </w:rPr>
        <w:t>Orientadora: Profª. Drª. Clarice Beatriz da Costa Söhngen</w:t>
      </w:r>
    </w:p>
    <w:p w:rsidR="00D24E61" w:rsidRPr="00771368" w:rsidRDefault="00D24E61">
      <w:pPr>
        <w:spacing w:line="200" w:lineRule="exact"/>
        <w:rPr>
          <w:sz w:val="24"/>
          <w:szCs w:val="24"/>
        </w:rPr>
      </w:pPr>
    </w:p>
    <w:p w:rsidR="00D24E61" w:rsidRPr="00771368" w:rsidRDefault="00D24E61">
      <w:pPr>
        <w:spacing w:line="218" w:lineRule="exact"/>
        <w:rPr>
          <w:sz w:val="24"/>
          <w:szCs w:val="24"/>
        </w:rPr>
      </w:pPr>
    </w:p>
    <w:p w:rsidR="00D24E61" w:rsidRPr="00771368" w:rsidRDefault="00D24E61">
      <w:pPr>
        <w:rPr>
          <w:sz w:val="20"/>
          <w:szCs w:val="20"/>
        </w:rPr>
      </w:pPr>
      <w:r w:rsidRPr="00771368">
        <w:rPr>
          <w:b/>
          <w:bCs/>
          <w:sz w:val="24"/>
          <w:szCs w:val="24"/>
        </w:rPr>
        <w:t>Introdução</w:t>
      </w:r>
    </w:p>
    <w:p w:rsidR="00D24E61" w:rsidRPr="00771368" w:rsidRDefault="00D24E61">
      <w:pPr>
        <w:spacing w:line="332" w:lineRule="exact"/>
        <w:rPr>
          <w:sz w:val="24"/>
          <w:szCs w:val="24"/>
        </w:rPr>
      </w:pPr>
    </w:p>
    <w:p w:rsidR="00D24E61" w:rsidRPr="00771368" w:rsidRDefault="00D24E61">
      <w:pPr>
        <w:spacing w:line="327" w:lineRule="auto"/>
        <w:ind w:firstLine="708"/>
        <w:jc w:val="both"/>
        <w:rPr>
          <w:sz w:val="20"/>
          <w:szCs w:val="20"/>
        </w:rPr>
      </w:pPr>
      <w:r w:rsidRPr="00771368">
        <w:rPr>
          <w:sz w:val="24"/>
          <w:szCs w:val="24"/>
        </w:rPr>
        <w:t>As palavras do filósofo Gilles Lipovetsky traduzem de forma brilhante a Pós-Modernidade, ao afirmar que ―sem dúvida, nenhuma revolução social da nossa época foi tão profunda, tão rápida, tão rica de futuro quanto a emancipação feminina.‖</w:t>
      </w:r>
      <w:r w:rsidRPr="00771368">
        <w:rPr>
          <w:sz w:val="32"/>
          <w:szCs w:val="32"/>
          <w:vertAlign w:val="superscript"/>
        </w:rPr>
        <w:t>2</w:t>
      </w:r>
      <w:r w:rsidRPr="00771368">
        <w:rPr>
          <w:sz w:val="24"/>
          <w:szCs w:val="24"/>
        </w:rPr>
        <w:t xml:space="preserve"> E de fato, como não nos interrogarmos sobre a nova posição das mulheres e suas relações com os homens quando nosso último meio século transformou mais a condição feminina do que todos os milênios anteriores?</w:t>
      </w:r>
    </w:p>
    <w:p w:rsidR="00D24E61" w:rsidRPr="00771368" w:rsidRDefault="00D24E61">
      <w:pPr>
        <w:spacing w:line="103" w:lineRule="exact"/>
        <w:rPr>
          <w:sz w:val="24"/>
          <w:szCs w:val="24"/>
        </w:rPr>
      </w:pPr>
    </w:p>
    <w:p w:rsidR="00D24E61" w:rsidRPr="00771368" w:rsidRDefault="00D24E61">
      <w:pPr>
        <w:spacing w:line="352" w:lineRule="auto"/>
        <w:ind w:right="20" w:firstLine="708"/>
        <w:jc w:val="both"/>
        <w:rPr>
          <w:sz w:val="20"/>
          <w:szCs w:val="20"/>
        </w:rPr>
      </w:pPr>
      <w:r w:rsidRPr="00771368">
        <w:rPr>
          <w:sz w:val="24"/>
          <w:szCs w:val="24"/>
        </w:rPr>
        <w:t xml:space="preserve">O papel da mulher na família e na sociedade sofreu profundas alterações, e as estatísticas no mundo todo comprovam a inserção das mulheres no mercado de trabalho, em praticamente todas as esferas da economia. O acesso à educação, que permite com que obtenham os mesmos diplomas e os mesmos cargos que os homens, a liberdade sexual coroada com o advento dos métodos contraceptivos, a igualdade política e a conquista do </w:t>
      </w:r>
      <w:r w:rsidRPr="00771368">
        <w:rPr>
          <w:i/>
          <w:iCs/>
          <w:sz w:val="24"/>
          <w:szCs w:val="24"/>
        </w:rPr>
        <w:t>status</w:t>
      </w:r>
      <w:r w:rsidRPr="00771368">
        <w:rPr>
          <w:sz w:val="24"/>
          <w:szCs w:val="24"/>
        </w:rPr>
        <w:t xml:space="preserve"> de cidadãs, são alguns dos componentes deste processo irreversível, que deixou de ser uma utopia para se tornar a realidade de mulheres em todas as partes do globo.</w:t>
      </w:r>
    </w:p>
    <w:p w:rsidR="00D24E61" w:rsidRPr="00771368" w:rsidRDefault="00D24E61">
      <w:pPr>
        <w:spacing w:line="74" w:lineRule="exact"/>
        <w:rPr>
          <w:sz w:val="24"/>
          <w:szCs w:val="24"/>
        </w:rPr>
      </w:pPr>
    </w:p>
    <w:p w:rsidR="00EA38AA" w:rsidRPr="00771368" w:rsidRDefault="00D24E61" w:rsidP="00EA38AA">
      <w:pPr>
        <w:spacing w:line="351" w:lineRule="auto"/>
        <w:ind w:firstLine="708"/>
        <w:jc w:val="both"/>
        <w:rPr>
          <w:sz w:val="20"/>
          <w:szCs w:val="20"/>
        </w:rPr>
      </w:pPr>
      <w:r w:rsidRPr="00771368">
        <w:rPr>
          <w:sz w:val="24"/>
          <w:szCs w:val="24"/>
        </w:rPr>
        <w:t>Em tempos marcados pela instabilidade, conflitos armados e disputa por territórios, é notável a aparição das mulheres como agentes pacificadores de transformação social. O prêmio Nobel da Paz, caracterizado principalmente pelo forte caráter político devido à mensagem que transmite, teve em 2011 o maior número de indicados na história da premiação. Na ocasião, foram laureadas a presidente da Libéria, Ellen Johnson-Sirleaf, e sua compatriota Leymah Gbowee, pela atuação conjunta à frente dos movimentos femininos contra a guerra no país. Elas dividiram o prêmio com</w:t>
      </w:r>
      <w:r w:rsidR="00EA38AA">
        <w:rPr>
          <w:sz w:val="24"/>
          <w:szCs w:val="24"/>
        </w:rPr>
        <w:t xml:space="preserve"> </w:t>
      </w:r>
      <w:r w:rsidR="00EA38AA" w:rsidRPr="00771368">
        <w:rPr>
          <w:sz w:val="24"/>
          <w:szCs w:val="24"/>
        </w:rPr>
        <w:t>a jornalista e ativista iemenita Tawakkul Karman, considerada um ícone da revolução pelos direitos das mulheres e democracia no Iêmen.</w:t>
      </w:r>
    </w:p>
    <w:p w:rsidR="00D24E61" w:rsidRPr="00771368" w:rsidRDefault="00013211" w:rsidP="00EA38AA">
      <w:pPr>
        <w:spacing w:line="200" w:lineRule="exact"/>
        <w:rPr>
          <w:sz w:val="24"/>
          <w:szCs w:val="24"/>
        </w:rPr>
      </w:pPr>
      <w:r>
        <w:rPr>
          <w:noProof/>
          <w:sz w:val="24"/>
          <w:szCs w:val="24"/>
        </w:rPr>
        <mc:AlternateContent>
          <mc:Choice Requires="wps">
            <w:drawing>
              <wp:anchor distT="0" distB="0" distL="0" distR="0" simplePos="0" relativeHeight="251621888" behindDoc="0" locked="0" layoutInCell="0" allowOverlap="1">
                <wp:simplePos x="0" y="0"/>
                <wp:positionH relativeFrom="column">
                  <wp:posOffset>1270</wp:posOffset>
                </wp:positionH>
                <wp:positionV relativeFrom="paragraph">
                  <wp:posOffset>76200</wp:posOffset>
                </wp:positionV>
                <wp:extent cx="1828800" cy="0"/>
                <wp:effectExtent l="10795" t="9525" r="8255" b="9525"/>
                <wp:wrapNone/>
                <wp:docPr id="30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2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pt" to="144.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tYFQIAACs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" o:allowincell="f" strokeweight=".6pt"/>
            </w:pict>
          </mc:Fallback>
        </mc:AlternateContent>
      </w:r>
    </w:p>
    <w:p w:rsidR="00D24E61" w:rsidRPr="00771368" w:rsidRDefault="00EA38AA" w:rsidP="00EA38AA">
      <w:pPr>
        <w:tabs>
          <w:tab w:val="left" w:pos="280"/>
        </w:tabs>
        <w:spacing w:line="211" w:lineRule="auto"/>
        <w:ind w:right="20"/>
        <w:rPr>
          <w:sz w:val="26"/>
          <w:szCs w:val="26"/>
          <w:vertAlign w:val="superscript"/>
        </w:rPr>
      </w:pPr>
      <w:r w:rsidRPr="00EA38AA">
        <w:rPr>
          <w:sz w:val="24"/>
          <w:szCs w:val="24"/>
          <w:vertAlign w:val="superscript"/>
        </w:rPr>
        <w:t>1</w:t>
      </w:r>
      <w:r w:rsidR="00D24E61" w:rsidRPr="00EA38AA">
        <w:rPr>
          <w:sz w:val="20"/>
          <w:szCs w:val="20"/>
        </w:rPr>
        <w:t xml:space="preserve">Este artigo é uma versão adaptada dos capítulos 6 e 7 de minha monografia, apresentada em junho de 2012 para a obtenção do grau de especialista em Direito de Família e Sucessões pela PUCRS, intitulada </w:t>
      </w:r>
      <w:r w:rsidR="00D24E61" w:rsidRPr="00EA38AA">
        <w:rPr>
          <w:i/>
          <w:iCs/>
          <w:sz w:val="20"/>
          <w:szCs w:val="20"/>
        </w:rPr>
        <w:t>A evolução dos conceitos de família e perspectivas contemporâneas destinadas à igualdade</w:t>
      </w:r>
      <w:r w:rsidR="00D24E61" w:rsidRPr="00EA38AA">
        <w:rPr>
          <w:sz w:val="20"/>
          <w:szCs w:val="20"/>
        </w:rPr>
        <w:t xml:space="preserve"> </w:t>
      </w:r>
      <w:r w:rsidR="00D24E61" w:rsidRPr="00EA38AA">
        <w:rPr>
          <w:i/>
          <w:iCs/>
          <w:sz w:val="20"/>
          <w:szCs w:val="20"/>
        </w:rPr>
        <w:t>de gênero: a aplicabilidade do sistema escandinavo de bem-estar social no contexto brasileiro.</w:t>
      </w:r>
    </w:p>
    <w:p w:rsidR="00D24E61" w:rsidRPr="00771368" w:rsidRDefault="00EA38AA" w:rsidP="00EA38AA">
      <w:pPr>
        <w:tabs>
          <w:tab w:val="left" w:pos="280"/>
        </w:tabs>
        <w:spacing w:line="186" w:lineRule="auto"/>
        <w:ind w:right="20"/>
        <w:jc w:val="both"/>
        <w:rPr>
          <w:sz w:val="26"/>
          <w:szCs w:val="26"/>
          <w:vertAlign w:val="superscript"/>
        </w:rPr>
      </w:pPr>
      <w:r w:rsidRPr="00EA38AA">
        <w:rPr>
          <w:sz w:val="24"/>
          <w:szCs w:val="24"/>
          <w:vertAlign w:val="superscript"/>
        </w:rPr>
        <w:t>2</w:t>
      </w:r>
      <w:r w:rsidR="00D24E61" w:rsidRPr="00771368">
        <w:rPr>
          <w:sz w:val="20"/>
          <w:szCs w:val="20"/>
        </w:rPr>
        <w:t xml:space="preserve">LIPOVETSKY, Gilles. </w:t>
      </w:r>
      <w:r w:rsidR="00D24E61" w:rsidRPr="00771368">
        <w:rPr>
          <w:b/>
          <w:bCs/>
          <w:sz w:val="20"/>
          <w:szCs w:val="20"/>
        </w:rPr>
        <w:t>A terceira mulher:</w:t>
      </w:r>
      <w:r w:rsidR="00D24E61" w:rsidRPr="00771368">
        <w:rPr>
          <w:sz w:val="20"/>
          <w:szCs w:val="20"/>
        </w:rPr>
        <w:t xml:space="preserve"> permanência e revolução do feminino. São Paulo: Companhia das Letras, 2000. p. 11.</w:t>
      </w: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60" w:lineRule="exact"/>
        <w:rPr>
          <w:sz w:val="20"/>
          <w:szCs w:val="20"/>
        </w:rPr>
      </w:pPr>
    </w:p>
    <w:p w:rsidR="00D24E61" w:rsidRPr="00771368" w:rsidRDefault="00D24E61">
      <w:pPr>
        <w:spacing w:line="339" w:lineRule="auto"/>
        <w:ind w:firstLine="708"/>
        <w:jc w:val="both"/>
        <w:rPr>
          <w:sz w:val="20"/>
          <w:szCs w:val="20"/>
        </w:rPr>
      </w:pPr>
      <w:r w:rsidRPr="00771368">
        <w:rPr>
          <w:sz w:val="24"/>
          <w:szCs w:val="24"/>
        </w:rPr>
        <w:t>Segundo o Comitê Norueguês do Nobel</w:t>
      </w:r>
      <w:r w:rsidRPr="00771368">
        <w:rPr>
          <w:sz w:val="32"/>
          <w:szCs w:val="32"/>
          <w:vertAlign w:val="superscript"/>
        </w:rPr>
        <w:t>3</w:t>
      </w:r>
      <w:r w:rsidRPr="00771368">
        <w:rPr>
          <w:sz w:val="24"/>
          <w:szCs w:val="24"/>
        </w:rPr>
        <w:t>, a esperança é que a escolha ajude a pôr fim à repressão existente às mulheres em muitos países, pois não se alcança a democracia e a paz duradoura no mundo se as mulheres não obtêm as mesmas oportunidades que os homens para influir nos acontecimentos em todas as esferas da sociedade. Em 2012, por sua vez, a União Europeia consagrou-se vencedora do prêmio, e dentre os critérios observados pelo júri foi destacado o especial compromisso e os permanentes esforços da entidade ―em proteger os direitos das mulheres em todo o mundo e em contribuir para o seu empoderamento.‖</w:t>
      </w:r>
      <w:r w:rsidRPr="00771368">
        <w:rPr>
          <w:sz w:val="32"/>
          <w:szCs w:val="32"/>
          <w:vertAlign w:val="superscript"/>
        </w:rPr>
        <w:t>4</w:t>
      </w:r>
      <w:r w:rsidRPr="00771368">
        <w:rPr>
          <w:sz w:val="24"/>
          <w:szCs w:val="24"/>
        </w:rPr>
        <w:t xml:space="preserve"> As últimas edições do Nobel têm posto em evidência a importância do papel desempenhado por mulheres em processos de paz, reforçando a concepção de que a paz sustentável e duradoura não passa apenas pela deposição das armas após anos de guerra, mas também pela construção da democracia e pelo direito à igualdade entre indivíduos.</w:t>
      </w:r>
    </w:p>
    <w:p w:rsidR="00D24E61" w:rsidRPr="00771368" w:rsidRDefault="00D24E61">
      <w:pPr>
        <w:spacing w:line="86" w:lineRule="exact"/>
        <w:rPr>
          <w:sz w:val="20"/>
          <w:szCs w:val="20"/>
        </w:rPr>
      </w:pPr>
    </w:p>
    <w:p w:rsidR="00D24E61" w:rsidRPr="00771368" w:rsidRDefault="00D24E61">
      <w:pPr>
        <w:spacing w:line="343" w:lineRule="auto"/>
        <w:ind w:firstLine="708"/>
        <w:jc w:val="both"/>
        <w:rPr>
          <w:sz w:val="20"/>
          <w:szCs w:val="20"/>
        </w:rPr>
      </w:pPr>
      <w:r w:rsidRPr="00771368">
        <w:rPr>
          <w:sz w:val="24"/>
          <w:szCs w:val="24"/>
        </w:rPr>
        <w:t>A ascensão das mulheres ao poder e a cargos de chefia de Estado é um fato bastante recente, e no início de 2011 o Brasil viu isto acontecer pela primeira vez em seus 500 anos de história. Segunda mulher mais poderosa do mundo conforme o ranking publicado em maio de 2013 pela revista Forbes</w:t>
      </w:r>
      <w:r w:rsidRPr="00771368">
        <w:rPr>
          <w:sz w:val="32"/>
          <w:szCs w:val="32"/>
          <w:vertAlign w:val="superscript"/>
        </w:rPr>
        <w:t>5</w:t>
      </w:r>
      <w:r w:rsidRPr="00771368">
        <w:rPr>
          <w:sz w:val="24"/>
          <w:szCs w:val="24"/>
        </w:rPr>
        <w:t>, a eleição de Dilma Rousseff para a Presidência do Brasil representou um ganho real e simbólico, pois desde o início de seu mandato ela tem realizado grandes mudanças voltadas a melhorias para a equidade de gênero. Provando, assim, que não veio apenas para ―mudar o sexo‖ do dirigente máximo do país, ela vem trabalhando incansavelmente para implementar políticas públicas de redução das desigualdades sociais entre homens e mulheres, reiterando de tempos em tempos este seu compromisso com a população, convicta de que o progresso só é possível quando as oportunidades são iguais para todos.</w:t>
      </w:r>
    </w:p>
    <w:p w:rsidR="00D24E61" w:rsidRPr="00771368" w:rsidRDefault="00D24E61">
      <w:pPr>
        <w:spacing w:line="86" w:lineRule="exact"/>
        <w:rPr>
          <w:sz w:val="20"/>
          <w:szCs w:val="20"/>
        </w:rPr>
      </w:pPr>
    </w:p>
    <w:p w:rsidR="00D24E61" w:rsidRPr="00771368" w:rsidRDefault="00D24E61">
      <w:pPr>
        <w:spacing w:line="349" w:lineRule="auto"/>
        <w:ind w:firstLine="708"/>
        <w:jc w:val="both"/>
        <w:rPr>
          <w:sz w:val="20"/>
          <w:szCs w:val="20"/>
        </w:rPr>
      </w:pPr>
      <w:r w:rsidRPr="00771368">
        <w:rPr>
          <w:sz w:val="24"/>
          <w:szCs w:val="24"/>
        </w:rPr>
        <w:t>Apesar dos avanços consolidados a partir da Constituição Federal de 1988, a realidade da mulher brasileira ainda está muito distante do ideal. Mesmo quando as proteções e garantias legais se fazem presentes, os abismos entre a Lei e a sua efetividade se sobressaem, dando mostras que a tutela do Estado, por si só, não é capaz de neutralizar as profundas marcas deixadas por um sistema patriarcal que historicamente sempre posicionou a mulher à margem da sociedade. Esse fenômeno</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22912" behindDoc="0" locked="0" layoutInCell="0" allowOverlap="1">
                <wp:simplePos x="0" y="0"/>
                <wp:positionH relativeFrom="column">
                  <wp:posOffset>1270</wp:posOffset>
                </wp:positionH>
                <wp:positionV relativeFrom="paragraph">
                  <wp:posOffset>257810</wp:posOffset>
                </wp:positionV>
                <wp:extent cx="1828800" cy="0"/>
                <wp:effectExtent l="10795" t="10160" r="8255" b="8890"/>
                <wp:wrapNone/>
                <wp:docPr id="30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2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0.3pt" to="144.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" o:allowincell="f" strokeweight=".6pt"/>
            </w:pict>
          </mc:Fallback>
        </mc:AlternateContent>
      </w:r>
    </w:p>
    <w:p w:rsidR="00D24E61" w:rsidRPr="00771368" w:rsidRDefault="00D24E61">
      <w:pPr>
        <w:spacing w:line="364" w:lineRule="exact"/>
        <w:rPr>
          <w:sz w:val="20"/>
          <w:szCs w:val="20"/>
        </w:rPr>
      </w:pPr>
    </w:p>
    <w:p w:rsidR="00D24E61" w:rsidRPr="00771368" w:rsidRDefault="00D24E61" w:rsidP="00FA0ABA">
      <w:pPr>
        <w:numPr>
          <w:ilvl w:val="0"/>
          <w:numId w:val="25"/>
        </w:numPr>
        <w:tabs>
          <w:tab w:val="left" w:pos="280"/>
        </w:tabs>
        <w:spacing w:line="186" w:lineRule="auto"/>
        <w:ind w:left="280" w:hanging="278"/>
        <w:jc w:val="both"/>
        <w:rPr>
          <w:sz w:val="26"/>
          <w:szCs w:val="26"/>
          <w:vertAlign w:val="superscript"/>
        </w:rPr>
      </w:pPr>
      <w:r w:rsidRPr="00D61223">
        <w:rPr>
          <w:sz w:val="20"/>
          <w:szCs w:val="20"/>
          <w:lang w:val="en-US"/>
        </w:rPr>
        <w:t xml:space="preserve">THE NOBEL PEACE PRIZE 2011. </w:t>
      </w:r>
      <w:r w:rsidRPr="00D61223">
        <w:rPr>
          <w:b/>
          <w:bCs/>
          <w:sz w:val="20"/>
          <w:szCs w:val="20"/>
          <w:lang w:val="en-US"/>
        </w:rPr>
        <w:t>Presentation Speech</w:t>
      </w:r>
      <w:r w:rsidRPr="00D61223">
        <w:rPr>
          <w:sz w:val="20"/>
          <w:szCs w:val="20"/>
          <w:lang w:val="en-US"/>
        </w:rPr>
        <w:t xml:space="preserve">. </w:t>
      </w:r>
      <w:r w:rsidRPr="00771368">
        <w:rPr>
          <w:sz w:val="20"/>
          <w:szCs w:val="20"/>
        </w:rPr>
        <w:t>Nobelprize.org. 14 Sep. 2012. Disponível em: &lt;http://goo.gl/7DzxR&gt; Acesso em: 1 maio 2012.</w:t>
      </w:r>
    </w:p>
    <w:p w:rsidR="00D24E61" w:rsidRPr="00771368" w:rsidRDefault="00D24E61">
      <w:pPr>
        <w:spacing w:line="50" w:lineRule="exact"/>
        <w:rPr>
          <w:sz w:val="26"/>
          <w:szCs w:val="26"/>
          <w:vertAlign w:val="superscript"/>
        </w:rPr>
      </w:pPr>
    </w:p>
    <w:p w:rsidR="00D24E61" w:rsidRPr="00771368" w:rsidRDefault="00D24E61" w:rsidP="00FA0ABA">
      <w:pPr>
        <w:numPr>
          <w:ilvl w:val="0"/>
          <w:numId w:val="25"/>
        </w:numPr>
        <w:tabs>
          <w:tab w:val="left" w:pos="280"/>
        </w:tabs>
        <w:spacing w:line="186" w:lineRule="auto"/>
        <w:ind w:left="280" w:hanging="278"/>
        <w:jc w:val="both"/>
        <w:rPr>
          <w:sz w:val="26"/>
          <w:szCs w:val="26"/>
          <w:vertAlign w:val="superscript"/>
        </w:rPr>
      </w:pPr>
      <w:r w:rsidRPr="00D61223">
        <w:rPr>
          <w:sz w:val="20"/>
          <w:szCs w:val="20"/>
          <w:lang w:val="en-US"/>
        </w:rPr>
        <w:t xml:space="preserve">THE NOBEL PEACE PRIZE. </w:t>
      </w:r>
      <w:r w:rsidRPr="00D61223">
        <w:rPr>
          <w:b/>
          <w:bCs/>
          <w:sz w:val="20"/>
          <w:szCs w:val="20"/>
          <w:lang w:val="en-US"/>
        </w:rPr>
        <w:t>"From war to peace: a European tale",</w:t>
      </w:r>
      <w:r w:rsidRPr="00D61223">
        <w:rPr>
          <w:sz w:val="20"/>
          <w:szCs w:val="20"/>
          <w:lang w:val="en-US"/>
        </w:rPr>
        <w:t xml:space="preserve"> The Nobel Lecture given by The European Union. </w:t>
      </w:r>
      <w:r w:rsidRPr="00771368">
        <w:rPr>
          <w:sz w:val="20"/>
          <w:szCs w:val="20"/>
        </w:rPr>
        <w:t>10 Dec. 2012. Disponível em: &lt;http://goo.gl/4FkDqf&gt;. Acesso em: 9 ago. 2013.</w:t>
      </w:r>
    </w:p>
    <w:p w:rsidR="00D24E61" w:rsidRPr="00771368" w:rsidRDefault="00D24E61">
      <w:pPr>
        <w:spacing w:line="48" w:lineRule="exact"/>
        <w:rPr>
          <w:sz w:val="26"/>
          <w:szCs w:val="26"/>
          <w:vertAlign w:val="superscript"/>
        </w:rPr>
      </w:pPr>
    </w:p>
    <w:p w:rsidR="00D24E61" w:rsidRPr="00771368" w:rsidRDefault="00D24E61" w:rsidP="00FA0ABA">
      <w:pPr>
        <w:numPr>
          <w:ilvl w:val="0"/>
          <w:numId w:val="25"/>
        </w:numPr>
        <w:tabs>
          <w:tab w:val="left" w:pos="280"/>
        </w:tabs>
        <w:spacing w:line="186" w:lineRule="auto"/>
        <w:ind w:left="280" w:hanging="278"/>
        <w:jc w:val="both"/>
        <w:rPr>
          <w:sz w:val="26"/>
          <w:szCs w:val="26"/>
          <w:vertAlign w:val="superscript"/>
        </w:rPr>
      </w:pPr>
      <w:r w:rsidRPr="00D61223">
        <w:rPr>
          <w:sz w:val="20"/>
          <w:szCs w:val="20"/>
          <w:lang w:val="en-US"/>
        </w:rPr>
        <w:t xml:space="preserve">HOWARD, Caroline. The World’s 100 Most Powerful Women. </w:t>
      </w:r>
      <w:r w:rsidRPr="00D61223">
        <w:rPr>
          <w:b/>
          <w:bCs/>
          <w:sz w:val="20"/>
          <w:szCs w:val="20"/>
          <w:lang w:val="en-US"/>
        </w:rPr>
        <w:t>Forbes Magazine</w:t>
      </w:r>
      <w:r w:rsidRPr="00D61223">
        <w:rPr>
          <w:sz w:val="20"/>
          <w:szCs w:val="20"/>
          <w:lang w:val="en-US"/>
        </w:rPr>
        <w:t xml:space="preserve">. New York, May 2013. </w:t>
      </w:r>
      <w:r w:rsidRPr="00771368">
        <w:rPr>
          <w:sz w:val="20"/>
          <w:szCs w:val="20"/>
        </w:rPr>
        <w:t>Disponível em: &lt;http://www.forbes.com/power-women/&gt; Acesso em: 23 ago. 2013.</w:t>
      </w:r>
    </w:p>
    <w:p w:rsidR="00D24E61" w:rsidRPr="00771368" w:rsidRDefault="00D24E61">
      <w:pPr>
        <w:sectPr w:rsidR="00D24E61" w:rsidRPr="00771368">
          <w:pgSz w:w="11900" w:h="16838"/>
          <w:pgMar w:top="1183" w:right="1700" w:bottom="725" w:left="1700" w:header="0" w:footer="0" w:gutter="0"/>
          <w:cols w:space="720" w:equalWidth="0">
            <w:col w:w="8500"/>
          </w:cols>
        </w:sectPr>
      </w:pPr>
    </w:p>
    <w:p w:rsidR="00D24E61" w:rsidRPr="00771368" w:rsidRDefault="00D24E61">
      <w:pPr>
        <w:spacing w:line="352" w:lineRule="auto"/>
        <w:jc w:val="both"/>
        <w:rPr>
          <w:sz w:val="20"/>
          <w:szCs w:val="20"/>
        </w:rPr>
      </w:pPr>
      <w:r w:rsidRPr="00771368">
        <w:rPr>
          <w:sz w:val="24"/>
          <w:szCs w:val="24"/>
        </w:rPr>
        <w:t>caracterizado pelo distanciamento entre uma legislação tecnicamente ideal e a implementação dessas medidas não é um traço exclusivo de nosso país, devendo ser encarado como um sintoma de que a transmissão geracional de novos valores, em determinado momento desse processo de transformação cultural, é falha. Dentro deste contexto, que aproxima e tornam semelhantes os problemas enfrentados por mulheres de diferentes condições sociais, raciais, étnicas e religiosas, é que se demandam novas e mais enfáticas políticas públicas e ações em escala global para diminuir o impacto da desigualdade em suas vidas.</w:t>
      </w:r>
    </w:p>
    <w:p w:rsidR="00D24E61" w:rsidRPr="00771368" w:rsidRDefault="00D24E61">
      <w:pPr>
        <w:spacing w:line="74" w:lineRule="exact"/>
        <w:rPr>
          <w:sz w:val="20"/>
          <w:szCs w:val="20"/>
        </w:rPr>
      </w:pPr>
    </w:p>
    <w:p w:rsidR="00D24E61" w:rsidRPr="00771368" w:rsidRDefault="00D24E61">
      <w:pPr>
        <w:spacing w:line="355" w:lineRule="auto"/>
        <w:ind w:firstLine="708"/>
        <w:jc w:val="both"/>
        <w:rPr>
          <w:sz w:val="20"/>
          <w:szCs w:val="20"/>
        </w:rPr>
      </w:pPr>
      <w:r w:rsidRPr="00771368">
        <w:rPr>
          <w:sz w:val="24"/>
          <w:szCs w:val="24"/>
        </w:rPr>
        <w:t>Países emergentes como o Brasil devem continuar se empenhando para sustentar os avanços e consolidar as importantes conquistas obtidas pelas mulheres nos últimos tempos. Mas para quebrar o preconceito, a violência e a desigualdade de forma plena, é essencial expandir horizontes, buscando encontrar respostas em iniciativas que deram certo em outras culturas, a exemplo do sistema de políticas públicas de nações que são referência mundial em igualdade de gênero, como a Noruega, Islândia, Suécia, Dinamarca e Finlândia. Há anos esses países apresentam índices impressionantes de desenvolvimento humano, consolidando a hegemonia nórdica no topo de todas as pesquisas relativas a qualidade de vida, educação, saúde e segurança – e a análise que ora se apresenta, trouxe evidências de que esses resultados não vêm ocorrendo por acaso.</w:t>
      </w:r>
    </w:p>
    <w:p w:rsidR="00D24E61" w:rsidRPr="00771368" w:rsidRDefault="00D24E61">
      <w:pPr>
        <w:spacing w:line="66" w:lineRule="exact"/>
        <w:rPr>
          <w:sz w:val="20"/>
          <w:szCs w:val="20"/>
        </w:rPr>
      </w:pPr>
    </w:p>
    <w:p w:rsidR="00D24E61" w:rsidRPr="00771368" w:rsidRDefault="00D24E61">
      <w:pPr>
        <w:spacing w:line="349" w:lineRule="auto"/>
        <w:ind w:firstLine="708"/>
        <w:jc w:val="both"/>
        <w:rPr>
          <w:sz w:val="20"/>
          <w:szCs w:val="20"/>
        </w:rPr>
      </w:pPr>
      <w:r w:rsidRPr="00771368">
        <w:rPr>
          <w:sz w:val="24"/>
          <w:szCs w:val="24"/>
        </w:rPr>
        <w:t>O objetivo principal desse artigo consiste em investigar, partindo das mais recentes publicações no meio científico, dentro do perímetro que compreende os países integrantes do Conselho Nórdico, as estratégias de prevenção e os mecanismos de combate à desigualdade de gênero, correlacionando os dados coletados para posteriormente avaliar a possibilidade de aplicação/adequação dessas medidas em sistemas de países em desenvolvimento, principalmente no caso do Brasil.</w:t>
      </w:r>
    </w:p>
    <w:p w:rsidR="00D24E61" w:rsidRPr="00771368" w:rsidRDefault="00D24E61">
      <w:pPr>
        <w:spacing w:line="77" w:lineRule="exact"/>
        <w:rPr>
          <w:sz w:val="20"/>
          <w:szCs w:val="20"/>
        </w:rPr>
      </w:pPr>
    </w:p>
    <w:p w:rsidR="00D24E61" w:rsidRPr="00771368" w:rsidRDefault="00D24E61">
      <w:pPr>
        <w:spacing w:line="349" w:lineRule="auto"/>
        <w:ind w:firstLine="708"/>
        <w:jc w:val="both"/>
        <w:rPr>
          <w:sz w:val="20"/>
          <w:szCs w:val="20"/>
        </w:rPr>
      </w:pPr>
      <w:r w:rsidRPr="00771368">
        <w:rPr>
          <w:sz w:val="24"/>
          <w:szCs w:val="24"/>
        </w:rPr>
        <w:t xml:space="preserve">Dentre os objetivos específicos, é realizada a análise das principais prerrogativas que as mulheres escandinavas possuem no que tange à tutela de seus direitos, através de uma breve revisão da bibliografia estrangeira que traz as características conceituais, epistemológicas e políticas consoantes às diretrizes e políticas públicas do Modelo Nórdico de Bem-Estar social, especialmente aquelas direcionadas à </w:t>
      </w:r>
      <w:r w:rsidRPr="00771368">
        <w:rPr>
          <w:b/>
          <w:bCs/>
          <w:sz w:val="24"/>
          <w:szCs w:val="24"/>
        </w:rPr>
        <w:t>educação e saúde</w:t>
      </w:r>
      <w:r w:rsidRPr="00771368">
        <w:rPr>
          <w:sz w:val="24"/>
          <w:szCs w:val="24"/>
        </w:rPr>
        <w:t xml:space="preserve"> de suas mulheres e crianças.</w:t>
      </w:r>
    </w:p>
    <w:p w:rsidR="00D24E61" w:rsidRPr="00771368" w:rsidRDefault="00D24E61">
      <w:pPr>
        <w:sectPr w:rsidR="00D24E61" w:rsidRPr="00771368">
          <w:pgSz w:w="11900" w:h="16838"/>
          <w:pgMar w:top="1183" w:right="1700" w:bottom="1440" w:left="1700" w:header="0" w:footer="0" w:gutter="0"/>
          <w:cols w:space="720" w:equalWidth="0">
            <w:col w:w="8500"/>
          </w:cols>
        </w:sectPr>
      </w:pPr>
    </w:p>
    <w:p w:rsidR="00D24E61" w:rsidRPr="00771368" w:rsidRDefault="00D24E61">
      <w:pPr>
        <w:rPr>
          <w:sz w:val="20"/>
          <w:szCs w:val="20"/>
        </w:rPr>
      </w:pPr>
      <w:r w:rsidRPr="00771368">
        <w:rPr>
          <w:b/>
          <w:bCs/>
          <w:sz w:val="24"/>
          <w:szCs w:val="24"/>
        </w:rPr>
        <w:t>A formalização da disciplina Direito das Mulheres: tradição em estudos de gênero</w:t>
      </w:r>
    </w:p>
    <w:p w:rsidR="00D24E61" w:rsidRPr="00771368" w:rsidRDefault="00D24E61">
      <w:pPr>
        <w:spacing w:line="140" w:lineRule="exact"/>
        <w:rPr>
          <w:sz w:val="20"/>
          <w:szCs w:val="20"/>
        </w:rPr>
      </w:pPr>
    </w:p>
    <w:p w:rsidR="00D24E61" w:rsidRPr="00771368" w:rsidRDefault="00D24E61">
      <w:pPr>
        <w:rPr>
          <w:sz w:val="20"/>
          <w:szCs w:val="20"/>
        </w:rPr>
      </w:pPr>
      <w:r w:rsidRPr="00771368">
        <w:rPr>
          <w:b/>
          <w:bCs/>
          <w:sz w:val="24"/>
          <w:szCs w:val="24"/>
        </w:rPr>
        <w:t>e a relação direta da matéria com o desenvolvimento das nações</w:t>
      </w:r>
    </w:p>
    <w:p w:rsidR="00D24E61" w:rsidRPr="00771368" w:rsidRDefault="00D24E61">
      <w:pPr>
        <w:spacing w:line="200" w:lineRule="exact"/>
        <w:rPr>
          <w:sz w:val="20"/>
          <w:szCs w:val="20"/>
        </w:rPr>
      </w:pPr>
    </w:p>
    <w:p w:rsidR="00D24E61" w:rsidRPr="00771368" w:rsidRDefault="00D24E61">
      <w:pPr>
        <w:spacing w:line="396" w:lineRule="exact"/>
        <w:rPr>
          <w:sz w:val="20"/>
          <w:szCs w:val="20"/>
        </w:rPr>
      </w:pPr>
    </w:p>
    <w:p w:rsidR="00D24E61" w:rsidRPr="00771368" w:rsidRDefault="00D24E61">
      <w:pPr>
        <w:spacing w:line="232" w:lineRule="auto"/>
        <w:ind w:left="2280"/>
        <w:jc w:val="both"/>
        <w:rPr>
          <w:sz w:val="20"/>
          <w:szCs w:val="20"/>
        </w:rPr>
      </w:pPr>
      <w:r w:rsidRPr="00771368">
        <w:rPr>
          <w:sz w:val="20"/>
          <w:szCs w:val="20"/>
        </w:rPr>
        <w:t>Em 1974, a Faculdade de Direito da Universidade de Oslo reconheceu o Direito das Mulheres como disciplina jurídica autônoma e, em 1975, funcionou o seu primeiro curso. O ensino e a investigação têm vindo a processar-se regularmente, estando desde 1978, integrados no Instituto de Direito das Mulheres, do Departamento de Direito Público. Tanto quanto nos é dado saber, a Faculdade de Direito de Oslo não só foi precursora no domínio do Direito das Mulheres como promoveu o seu desenvolvimento, facultando, para tal, meios pouco comuns nas universidades ocidentais.</w:t>
      </w:r>
    </w:p>
    <w:p w:rsidR="00D24E61" w:rsidRPr="00771368" w:rsidRDefault="00D24E61">
      <w:pPr>
        <w:spacing w:line="20" w:lineRule="exact"/>
        <w:rPr>
          <w:sz w:val="20"/>
          <w:szCs w:val="20"/>
        </w:rPr>
      </w:pPr>
    </w:p>
    <w:p w:rsidR="00D24E61" w:rsidRPr="00771368" w:rsidRDefault="00D24E61">
      <w:pPr>
        <w:ind w:left="4200"/>
        <w:rPr>
          <w:sz w:val="20"/>
          <w:szCs w:val="20"/>
        </w:rPr>
      </w:pPr>
      <w:r w:rsidRPr="00771368">
        <w:rPr>
          <w:sz w:val="19"/>
          <w:szCs w:val="19"/>
        </w:rPr>
        <w:t>Prefácio da obra de Tove Stang Dahl, junho de 1992.</w:t>
      </w:r>
      <w:r w:rsidRPr="00771368">
        <w:rPr>
          <w:sz w:val="24"/>
          <w:szCs w:val="24"/>
          <w:vertAlign w:val="superscript"/>
        </w:rPr>
        <w:t>6</w:t>
      </w:r>
    </w:p>
    <w:p w:rsidR="00D24E61" w:rsidRPr="00771368" w:rsidRDefault="00D24E61">
      <w:pPr>
        <w:spacing w:line="200" w:lineRule="exact"/>
        <w:rPr>
          <w:sz w:val="20"/>
          <w:szCs w:val="20"/>
        </w:rPr>
      </w:pPr>
    </w:p>
    <w:p w:rsidR="00D24E61" w:rsidRPr="00771368" w:rsidRDefault="00D24E61">
      <w:pPr>
        <w:spacing w:line="220" w:lineRule="exact"/>
        <w:rPr>
          <w:sz w:val="20"/>
          <w:szCs w:val="20"/>
        </w:rPr>
      </w:pPr>
    </w:p>
    <w:p w:rsidR="00D24E61" w:rsidRPr="00771368" w:rsidRDefault="00D24E61">
      <w:pPr>
        <w:spacing w:line="329" w:lineRule="auto"/>
        <w:ind w:firstLine="708"/>
        <w:jc w:val="both"/>
        <w:rPr>
          <w:sz w:val="20"/>
          <w:szCs w:val="20"/>
        </w:rPr>
      </w:pPr>
      <w:r w:rsidRPr="00771368">
        <w:rPr>
          <w:sz w:val="24"/>
          <w:szCs w:val="24"/>
        </w:rPr>
        <w:t xml:space="preserve">Ao ler o trecho inicial do livro da jurista noruguesa, podemos sentir o quanto estamos atrasados com relação à tutela dos direitos das mulheres. Não é por nada que em maio de 2012 a Noruega conquistou mais um feliz índice. Em comemoração ao Dia das Mães, a organização não-governamental internacional Save the Children publicou o décimo terceiro Relatório Anual </w:t>
      </w:r>
      <w:r w:rsidRPr="00771368">
        <w:rPr>
          <w:i/>
          <w:iCs/>
          <w:sz w:val="24"/>
          <w:szCs w:val="24"/>
        </w:rPr>
        <w:t>State of the World’s Mothers 2012</w:t>
      </w:r>
      <w:r w:rsidRPr="00771368">
        <w:rPr>
          <w:sz w:val="24"/>
          <w:szCs w:val="24"/>
        </w:rPr>
        <w:t xml:space="preserve"> </w:t>
      </w:r>
      <w:r w:rsidRPr="00771368">
        <w:rPr>
          <w:sz w:val="32"/>
          <w:szCs w:val="32"/>
          <w:vertAlign w:val="superscript"/>
        </w:rPr>
        <w:t>7</w:t>
      </w:r>
      <w:r w:rsidRPr="00771368">
        <w:rPr>
          <w:sz w:val="24"/>
          <w:szCs w:val="24"/>
        </w:rPr>
        <w:t xml:space="preserve">, que compara o bem-estar de mães e crianças em 165 países. Mantendo-se entre os três primeiros lugares também no levantamento de 2013 </w:t>
      </w:r>
      <w:r w:rsidRPr="00771368">
        <w:rPr>
          <w:sz w:val="32"/>
          <w:szCs w:val="32"/>
          <w:vertAlign w:val="superscript"/>
        </w:rPr>
        <w:t>8</w:t>
      </w:r>
      <w:r w:rsidRPr="00771368">
        <w:rPr>
          <w:sz w:val="24"/>
          <w:szCs w:val="24"/>
        </w:rPr>
        <w:t>, a Noruega conquistou no ano passado o primeiro lugar geral, atestando sua excelência em quesitos relacionados à saúde materna, educação e status econômico das mulheres, além de ótimas condições de saúde, nutrição e taxas de mortalidade infantil.</w:t>
      </w:r>
    </w:p>
    <w:p w:rsidR="00D24E61" w:rsidRPr="00771368" w:rsidRDefault="00D24E61">
      <w:pPr>
        <w:spacing w:line="105" w:lineRule="exact"/>
        <w:rPr>
          <w:sz w:val="20"/>
          <w:szCs w:val="20"/>
        </w:rPr>
      </w:pPr>
    </w:p>
    <w:p w:rsidR="00D24E61" w:rsidRPr="00771368" w:rsidRDefault="00D24E61">
      <w:pPr>
        <w:spacing w:line="349" w:lineRule="auto"/>
        <w:ind w:firstLine="708"/>
        <w:jc w:val="both"/>
        <w:rPr>
          <w:sz w:val="20"/>
          <w:szCs w:val="20"/>
        </w:rPr>
      </w:pPr>
      <w:r w:rsidRPr="00771368">
        <w:rPr>
          <w:sz w:val="24"/>
          <w:szCs w:val="24"/>
        </w:rPr>
        <w:t>Pois há exatos vinte anos atrás, a disciplina Direito das Mulheres e suas áreas subjacentes (por exemplo, Direito do Dinheiro, Direito das Donas de Casa, Direito do Trabalho Assalariado, Direito da Maternidade e outros) eram assuntos amplamente discutidos no meio acadêmico e consolidados no currículo dos cursos de Direito. Naquela época, se colocava como prioridade uma série de questões que só agora países em desenvolvimento, como o Brasil, vêm questionando e trabalhando.</w:t>
      </w:r>
    </w:p>
    <w:p w:rsidR="00D24E61" w:rsidRPr="00771368" w:rsidRDefault="00D24E61">
      <w:pPr>
        <w:spacing w:line="77" w:lineRule="exact"/>
        <w:rPr>
          <w:sz w:val="20"/>
          <w:szCs w:val="20"/>
        </w:rPr>
      </w:pPr>
    </w:p>
    <w:p w:rsidR="00D24E61" w:rsidRPr="00771368" w:rsidRDefault="00D24E61">
      <w:pPr>
        <w:spacing w:line="308" w:lineRule="auto"/>
        <w:ind w:firstLine="708"/>
        <w:jc w:val="both"/>
        <w:rPr>
          <w:sz w:val="20"/>
          <w:szCs w:val="20"/>
        </w:rPr>
      </w:pPr>
      <w:r w:rsidRPr="00771368">
        <w:rPr>
          <w:sz w:val="24"/>
          <w:szCs w:val="24"/>
        </w:rPr>
        <w:t>No clássico ―O Segundo Sexo‖, Simone de Beauvoir já destacava a vanguarda dos países nórdicos, que desde fins do século XIX se manifestavam por direitos iguais:</w:t>
      </w:r>
    </w:p>
    <w:p w:rsidR="00D24E61" w:rsidRPr="00771368" w:rsidRDefault="00D24E61">
      <w:pPr>
        <w:spacing w:line="338" w:lineRule="exact"/>
        <w:rPr>
          <w:sz w:val="20"/>
          <w:szCs w:val="20"/>
        </w:rPr>
      </w:pPr>
    </w:p>
    <w:p w:rsidR="00D24E61" w:rsidRPr="00771368" w:rsidRDefault="00D24E61">
      <w:pPr>
        <w:spacing w:line="227" w:lineRule="auto"/>
        <w:ind w:left="2280"/>
        <w:jc w:val="both"/>
        <w:rPr>
          <w:sz w:val="20"/>
          <w:szCs w:val="20"/>
        </w:rPr>
      </w:pPr>
      <w:r w:rsidRPr="00771368">
        <w:rPr>
          <w:sz w:val="20"/>
          <w:szCs w:val="20"/>
        </w:rPr>
        <w:t>Na Suécia existe também um movimento feminista muito importante. Em nome das velhas tradições, as suecas reivindicam o direito "à instrução, ao trabalho, à liberdade". São principalmente as letradas que dirigem a luta e é o aspecto moral do problema que as interessa primeiramente; mais tarde,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013211">
      <w:pPr>
        <w:spacing w:line="225" w:lineRule="exact"/>
        <w:rPr>
          <w:sz w:val="20"/>
          <w:szCs w:val="20"/>
        </w:rPr>
      </w:pPr>
      <w:r>
        <w:rPr>
          <w:noProof/>
          <w:sz w:val="20"/>
          <w:szCs w:val="20"/>
        </w:rPr>
        <mc:AlternateContent>
          <mc:Choice Requires="wps">
            <w:drawing>
              <wp:anchor distT="0" distB="0" distL="0" distR="0" simplePos="0" relativeHeight="251623936" behindDoc="0" locked="0" layoutInCell="0" allowOverlap="1">
                <wp:simplePos x="0" y="0"/>
                <wp:positionH relativeFrom="column">
                  <wp:posOffset>1270</wp:posOffset>
                </wp:positionH>
                <wp:positionV relativeFrom="paragraph">
                  <wp:posOffset>97155</wp:posOffset>
                </wp:positionV>
                <wp:extent cx="1828800" cy="0"/>
                <wp:effectExtent l="10795" t="11430" r="8255" b="7620"/>
                <wp:wrapNone/>
                <wp:docPr id="30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2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7.65pt" to="144.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6jFgIAACsEAAAOAAAAZHJzL2Uyb0RvYy54bWysU8uO2yAU3VfqPyD2ie2Mm3G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" o:allowincell="f" strokeweight=".21164mm"/>
            </w:pict>
          </mc:Fallback>
        </mc:AlternateContent>
      </w:r>
    </w:p>
    <w:p w:rsidR="00D24E61" w:rsidRPr="00771368" w:rsidRDefault="00D24E61" w:rsidP="00FA0ABA">
      <w:pPr>
        <w:numPr>
          <w:ilvl w:val="0"/>
          <w:numId w:val="26"/>
        </w:numPr>
        <w:tabs>
          <w:tab w:val="left" w:pos="280"/>
        </w:tabs>
        <w:spacing w:line="186" w:lineRule="auto"/>
        <w:ind w:left="280" w:hanging="278"/>
        <w:jc w:val="both"/>
        <w:rPr>
          <w:sz w:val="26"/>
          <w:szCs w:val="26"/>
          <w:vertAlign w:val="superscript"/>
        </w:rPr>
      </w:pPr>
      <w:r w:rsidRPr="00771368">
        <w:rPr>
          <w:sz w:val="20"/>
          <w:szCs w:val="20"/>
        </w:rPr>
        <w:t xml:space="preserve">DAHL, Tove Stang. </w:t>
      </w:r>
      <w:r w:rsidRPr="00771368">
        <w:rPr>
          <w:b/>
          <w:bCs/>
          <w:sz w:val="20"/>
          <w:szCs w:val="20"/>
        </w:rPr>
        <w:t>O Direito das Mulheres</w:t>
      </w:r>
      <w:r w:rsidRPr="00771368">
        <w:rPr>
          <w:sz w:val="20"/>
          <w:szCs w:val="20"/>
        </w:rPr>
        <w:t>: uma introdução à teoria do direito feminista. Lisboa: FCG, 1993. [Prefácio].</w:t>
      </w:r>
    </w:p>
    <w:p w:rsidR="00D24E61" w:rsidRPr="00771368" w:rsidRDefault="00D24E61">
      <w:pPr>
        <w:spacing w:line="1" w:lineRule="exact"/>
        <w:rPr>
          <w:sz w:val="26"/>
          <w:szCs w:val="26"/>
          <w:vertAlign w:val="superscript"/>
        </w:rPr>
      </w:pPr>
    </w:p>
    <w:p w:rsidR="00D24E61" w:rsidRPr="00D61223" w:rsidRDefault="00D24E61" w:rsidP="00FA0ABA">
      <w:pPr>
        <w:numPr>
          <w:ilvl w:val="0"/>
          <w:numId w:val="26"/>
        </w:numPr>
        <w:tabs>
          <w:tab w:val="left" w:pos="280"/>
        </w:tabs>
        <w:spacing w:line="184" w:lineRule="auto"/>
        <w:ind w:left="280" w:hanging="278"/>
        <w:jc w:val="both"/>
        <w:rPr>
          <w:sz w:val="26"/>
          <w:szCs w:val="26"/>
          <w:vertAlign w:val="superscript"/>
          <w:lang w:val="en-US"/>
        </w:rPr>
      </w:pPr>
      <w:r w:rsidRPr="00D61223">
        <w:rPr>
          <w:sz w:val="20"/>
          <w:szCs w:val="20"/>
          <w:lang w:val="en-US"/>
        </w:rPr>
        <w:t>SUTTON, Colleen Barton; CHRISTIAN, Wendy. Save the Children’s Annual State of the World’s</w:t>
      </w:r>
    </w:p>
    <w:p w:rsidR="00D24E61" w:rsidRPr="00D61223" w:rsidRDefault="00D24E61">
      <w:pPr>
        <w:spacing w:line="50" w:lineRule="exact"/>
        <w:rPr>
          <w:sz w:val="26"/>
          <w:szCs w:val="26"/>
          <w:vertAlign w:val="superscript"/>
          <w:lang w:val="en-US"/>
        </w:rPr>
      </w:pPr>
    </w:p>
    <w:p w:rsidR="00D24E61" w:rsidRPr="00771368" w:rsidRDefault="00D24E61">
      <w:pPr>
        <w:spacing w:line="214" w:lineRule="auto"/>
        <w:ind w:left="280"/>
        <w:jc w:val="both"/>
        <w:rPr>
          <w:sz w:val="26"/>
          <w:szCs w:val="26"/>
          <w:vertAlign w:val="superscript"/>
        </w:rPr>
      </w:pPr>
      <w:r w:rsidRPr="00D61223">
        <w:rPr>
          <w:sz w:val="20"/>
          <w:szCs w:val="20"/>
          <w:lang w:val="en-US"/>
        </w:rPr>
        <w:t xml:space="preserve">Mothers Report Lists Norway as the Best Place to Be a Mother. </w:t>
      </w:r>
      <w:r w:rsidRPr="00D61223">
        <w:rPr>
          <w:b/>
          <w:bCs/>
          <w:sz w:val="20"/>
          <w:szCs w:val="20"/>
          <w:lang w:val="en-US"/>
        </w:rPr>
        <w:t>Save The Children</w:t>
      </w:r>
      <w:r w:rsidRPr="00D61223">
        <w:rPr>
          <w:sz w:val="20"/>
          <w:szCs w:val="20"/>
          <w:lang w:val="en-US"/>
        </w:rPr>
        <w:t xml:space="preserve">. Westport, 8 May 2012. </w:t>
      </w:r>
      <w:r w:rsidRPr="00771368">
        <w:rPr>
          <w:sz w:val="20"/>
          <w:szCs w:val="20"/>
        </w:rPr>
        <w:t>Disponível em: &lt; http://goo.gl/A6SIE&gt; Acesso em: 10 maio 2012.</w:t>
      </w:r>
    </w:p>
    <w:p w:rsidR="00D24E61" w:rsidRPr="00771368" w:rsidRDefault="00D24E61">
      <w:pPr>
        <w:spacing w:line="48" w:lineRule="exact"/>
        <w:rPr>
          <w:sz w:val="26"/>
          <w:szCs w:val="26"/>
          <w:vertAlign w:val="superscript"/>
        </w:rPr>
      </w:pPr>
    </w:p>
    <w:p w:rsidR="00D24E61" w:rsidRPr="00771368" w:rsidRDefault="00D24E61" w:rsidP="00FA0ABA">
      <w:pPr>
        <w:numPr>
          <w:ilvl w:val="0"/>
          <w:numId w:val="26"/>
        </w:numPr>
        <w:tabs>
          <w:tab w:val="left" w:pos="280"/>
        </w:tabs>
        <w:spacing w:line="186" w:lineRule="auto"/>
        <w:ind w:left="280" w:hanging="278"/>
        <w:jc w:val="both"/>
        <w:rPr>
          <w:sz w:val="26"/>
          <w:szCs w:val="26"/>
          <w:vertAlign w:val="superscript"/>
        </w:rPr>
      </w:pPr>
      <w:r w:rsidRPr="00D61223">
        <w:rPr>
          <w:sz w:val="20"/>
          <w:szCs w:val="20"/>
          <w:lang w:val="en-US"/>
        </w:rPr>
        <w:t xml:space="preserve">SAVE THE CHILDREN. Surviving the first day: </w:t>
      </w:r>
      <w:r w:rsidRPr="00D61223">
        <w:rPr>
          <w:b/>
          <w:bCs/>
          <w:sz w:val="20"/>
          <w:szCs w:val="20"/>
          <w:lang w:val="en-US"/>
        </w:rPr>
        <w:t>State of the World's Mothers 2013</w:t>
      </w:r>
      <w:r w:rsidRPr="00D61223">
        <w:rPr>
          <w:sz w:val="20"/>
          <w:szCs w:val="20"/>
          <w:lang w:val="en-US"/>
        </w:rPr>
        <w:t xml:space="preserve">. </w:t>
      </w:r>
      <w:r w:rsidRPr="00771368">
        <w:rPr>
          <w:sz w:val="20"/>
          <w:szCs w:val="20"/>
        </w:rPr>
        <w:t>Westport, 8 May 2013. Disponível em: &lt;http://goo.gl/WZCmNa&gt; Acesso em: 25 maio 2013.</w:t>
      </w:r>
    </w:p>
    <w:p w:rsidR="00D24E61" w:rsidRPr="00771368" w:rsidRDefault="00D24E61">
      <w:pPr>
        <w:sectPr w:rsidR="00D24E61" w:rsidRPr="00771368">
          <w:pgSz w:w="11900" w:h="16838"/>
          <w:pgMar w:top="1130" w:right="1700" w:bottom="725" w:left="1700" w:header="0" w:footer="0" w:gutter="0"/>
          <w:cols w:space="720" w:equalWidth="0">
            <w:col w:w="8500"/>
          </w:cols>
        </w:sectPr>
      </w:pPr>
    </w:p>
    <w:p w:rsidR="00D24E61" w:rsidRPr="00771368" w:rsidRDefault="00D24E61">
      <w:pPr>
        <w:spacing w:line="217" w:lineRule="auto"/>
        <w:ind w:left="2280" w:right="20"/>
        <w:rPr>
          <w:sz w:val="20"/>
          <w:szCs w:val="20"/>
        </w:rPr>
      </w:pPr>
      <w:r w:rsidRPr="00771368">
        <w:rPr>
          <w:sz w:val="20"/>
          <w:szCs w:val="20"/>
        </w:rPr>
        <w:t>reunidas em associações poderosas, elas conquistam os liberais, mas chocam-se contra os conservadores.</w:t>
      </w:r>
      <w:r w:rsidRPr="00771368">
        <w:rPr>
          <w:sz w:val="25"/>
          <w:szCs w:val="25"/>
          <w:vertAlign w:val="superscript"/>
        </w:rPr>
        <w:t>9</w:t>
      </w:r>
    </w:p>
    <w:p w:rsidR="00D24E61" w:rsidRPr="00771368" w:rsidRDefault="00D24E61">
      <w:pPr>
        <w:spacing w:line="218" w:lineRule="exact"/>
        <w:rPr>
          <w:sz w:val="20"/>
          <w:szCs w:val="20"/>
        </w:rPr>
      </w:pPr>
    </w:p>
    <w:p w:rsidR="00D24E61" w:rsidRPr="00771368" w:rsidRDefault="00D24E61">
      <w:pPr>
        <w:spacing w:line="336" w:lineRule="auto"/>
        <w:ind w:firstLine="708"/>
        <w:jc w:val="both"/>
        <w:rPr>
          <w:sz w:val="20"/>
          <w:szCs w:val="20"/>
        </w:rPr>
      </w:pPr>
      <w:r w:rsidRPr="00771368">
        <w:rPr>
          <w:sz w:val="24"/>
          <w:szCs w:val="24"/>
        </w:rPr>
        <w:t xml:space="preserve">Os países nórdicos figuram entre os mais desenvolvidos do mundo, e isto se reflete diretamente no modo como a sociedade trata a questão da igualdade entre homens e mulheres. Dados da pesquisa divulgada em 2012 pelo Forum Econômico Mundial confirmaram mais uma vez a supremacia desses países com relação à igualdade de gênero: com resultados semelhantes aos últimos anos, o relatório </w:t>
      </w:r>
      <w:r w:rsidRPr="00771368">
        <w:rPr>
          <w:i/>
          <w:iCs/>
          <w:sz w:val="24"/>
          <w:szCs w:val="24"/>
        </w:rPr>
        <w:t>The</w:t>
      </w:r>
      <w:r w:rsidRPr="00771368">
        <w:rPr>
          <w:sz w:val="24"/>
          <w:szCs w:val="24"/>
        </w:rPr>
        <w:t xml:space="preserve"> </w:t>
      </w:r>
      <w:r w:rsidRPr="00771368">
        <w:rPr>
          <w:i/>
          <w:iCs/>
          <w:sz w:val="24"/>
          <w:szCs w:val="24"/>
        </w:rPr>
        <w:t>Global Gender Gap</w:t>
      </w:r>
      <w:r w:rsidRPr="00771368">
        <w:rPr>
          <w:sz w:val="32"/>
          <w:szCs w:val="32"/>
          <w:vertAlign w:val="superscript"/>
        </w:rPr>
        <w:t>10</w:t>
      </w:r>
      <w:r w:rsidRPr="00771368">
        <w:rPr>
          <w:i/>
          <w:iCs/>
          <w:sz w:val="24"/>
          <w:szCs w:val="24"/>
        </w:rPr>
        <w:t xml:space="preserve"> </w:t>
      </w:r>
      <w:r w:rsidRPr="00771368">
        <w:rPr>
          <w:sz w:val="24"/>
          <w:szCs w:val="24"/>
        </w:rPr>
        <w:t>colocou a Islândia em primeiro lugar no ranking mundial, seguida</w:t>
      </w:r>
      <w:r w:rsidRPr="00771368">
        <w:rPr>
          <w:i/>
          <w:iCs/>
          <w:sz w:val="24"/>
          <w:szCs w:val="24"/>
        </w:rPr>
        <w:t xml:space="preserve"> </w:t>
      </w:r>
      <w:r w:rsidRPr="00771368">
        <w:rPr>
          <w:sz w:val="24"/>
          <w:szCs w:val="24"/>
        </w:rPr>
        <w:t>pela Finlândia, Noruega em terceiro e Suécia em quarto, trazendo ainda a Dinamarca na sétima colocação.</w:t>
      </w:r>
    </w:p>
    <w:p w:rsidR="00D24E61" w:rsidRPr="00771368" w:rsidRDefault="00D24E61">
      <w:pPr>
        <w:spacing w:line="93" w:lineRule="exact"/>
        <w:rPr>
          <w:sz w:val="20"/>
          <w:szCs w:val="20"/>
        </w:rPr>
      </w:pPr>
    </w:p>
    <w:p w:rsidR="00D24E61" w:rsidRPr="00771368" w:rsidRDefault="00D24E61">
      <w:pPr>
        <w:spacing w:line="354" w:lineRule="auto"/>
        <w:ind w:right="20" w:firstLine="708"/>
        <w:jc w:val="both"/>
        <w:rPr>
          <w:sz w:val="20"/>
          <w:szCs w:val="20"/>
        </w:rPr>
      </w:pPr>
      <w:r w:rsidRPr="00771368">
        <w:rPr>
          <w:sz w:val="24"/>
          <w:szCs w:val="24"/>
        </w:rPr>
        <w:t xml:space="preserve">O </w:t>
      </w:r>
      <w:r w:rsidRPr="00771368">
        <w:rPr>
          <w:i/>
          <w:iCs/>
          <w:sz w:val="24"/>
          <w:szCs w:val="24"/>
        </w:rPr>
        <w:t>Global Gender Gap</w:t>
      </w:r>
      <w:r w:rsidRPr="00771368">
        <w:rPr>
          <w:sz w:val="24"/>
          <w:szCs w:val="24"/>
        </w:rPr>
        <w:t xml:space="preserve"> é uma análise de dados obtidos em outras pesquisas, e que procura identificar os níveis de disparidade de gênero nos países. Na primeira edição em 2006, foram analisados dados de 115 países, sendo que atualmente já são 135 os países estudados. A pesquisa é realizada através da análise da participação de homens e mulheres em quatro áreas temáticas consideradas fundamentais: participação econômica, educação, saúde e poder político. Cada uma dessas áreas é estudada mediante variáveis obtidas por meio de pesquisas de diversas instituições internacionais. O </w:t>
      </w:r>
      <w:r w:rsidRPr="00771368">
        <w:rPr>
          <w:i/>
          <w:iCs/>
          <w:sz w:val="24"/>
          <w:szCs w:val="24"/>
        </w:rPr>
        <w:t>Global Gender Gap</w:t>
      </w:r>
      <w:r w:rsidRPr="00771368">
        <w:rPr>
          <w:sz w:val="24"/>
          <w:szCs w:val="24"/>
        </w:rPr>
        <w:t xml:space="preserve"> utiliza levantamentos realizados pela Organização Internacional do Trabalho, Fórum Econômico Mundial, Unesco, CIA, Organização Mundial de Saúde e União Interparlamentar.</w:t>
      </w:r>
    </w:p>
    <w:p w:rsidR="00D24E61" w:rsidRPr="00771368" w:rsidRDefault="00D24E61">
      <w:pPr>
        <w:spacing w:line="67"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Ao traçar o perfil de cada país integrante, o Fórum Econômico Mundial é capaz de quantificar a magnitude das disparidades globais relativas ao gênero, acompanhando o seu progresso ao longo do tempo. Ao fornecer um quadro em escala internacional, o relatório revela os países que são modelos em dividir os seus recursos equitativamente entre homens e mulheres, independentemente do nível geral desses recursos. O professor Klaus Schwab, fundador e presidente executivo da instituição foi enfático em afirmar que "as mulheres representam metade da base de talentos em potencial em todo o mundo e, portanto, ao longo do tempo, a competitividade de uma nação depende significativamente de como educa e utiliza seu talento feminino.‖</w:t>
      </w:r>
      <w:r w:rsidRPr="00771368">
        <w:rPr>
          <w:sz w:val="32"/>
          <w:szCs w:val="32"/>
          <w:vertAlign w:val="superscript"/>
        </w:rPr>
        <w:t>11</w:t>
      </w:r>
    </w:p>
    <w:p w:rsidR="00D24E61" w:rsidRPr="00771368" w:rsidRDefault="00D24E61">
      <w:pPr>
        <w:spacing w:line="4"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 força de trabalho e a capacidade que as mulheres possuem de atuar positivamente na sociedade e na economia são reconhecidas há décadas pelos países que compõem o Conselho Nórdico. Tal assertiva foi comprovada mediante buscas nos</w:t>
      </w:r>
    </w:p>
    <w:p w:rsidR="00D24E61" w:rsidRPr="00771368" w:rsidRDefault="00013211">
      <w:pPr>
        <w:spacing w:line="230" w:lineRule="exact"/>
        <w:rPr>
          <w:sz w:val="20"/>
          <w:szCs w:val="20"/>
        </w:rPr>
      </w:pPr>
      <w:r>
        <w:rPr>
          <w:noProof/>
          <w:sz w:val="20"/>
          <w:szCs w:val="20"/>
        </w:rPr>
        <mc:AlternateContent>
          <mc:Choice Requires="wps">
            <w:drawing>
              <wp:anchor distT="0" distB="0" distL="0" distR="0" simplePos="0" relativeHeight="251624960" behindDoc="0" locked="0" layoutInCell="0" allowOverlap="1">
                <wp:simplePos x="0" y="0"/>
                <wp:positionH relativeFrom="column">
                  <wp:posOffset>1270</wp:posOffset>
                </wp:positionH>
                <wp:positionV relativeFrom="paragraph">
                  <wp:posOffset>120650</wp:posOffset>
                </wp:positionV>
                <wp:extent cx="1828800" cy="0"/>
                <wp:effectExtent l="10795" t="6350" r="8255" b="12700"/>
                <wp:wrapNone/>
                <wp:docPr id="30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2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9.5pt" to="144.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pDFAIAACsEAAAOAAAAZHJzL2Uyb0RvYy54bWysU8GO2jAQvVfqP1i+QxKg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" o:allowincell="f" strokeweight=".21164mm"/>
            </w:pict>
          </mc:Fallback>
        </mc:AlternateContent>
      </w:r>
    </w:p>
    <w:p w:rsidR="00D24E61" w:rsidRPr="00771368" w:rsidRDefault="00D24E61" w:rsidP="00FA0ABA">
      <w:pPr>
        <w:numPr>
          <w:ilvl w:val="0"/>
          <w:numId w:val="27"/>
        </w:numPr>
        <w:tabs>
          <w:tab w:val="left" w:pos="280"/>
        </w:tabs>
        <w:ind w:left="280" w:hanging="278"/>
        <w:jc w:val="both"/>
        <w:rPr>
          <w:sz w:val="26"/>
          <w:szCs w:val="26"/>
          <w:vertAlign w:val="superscript"/>
        </w:rPr>
      </w:pPr>
      <w:r w:rsidRPr="00771368">
        <w:rPr>
          <w:sz w:val="20"/>
          <w:szCs w:val="20"/>
        </w:rPr>
        <w:t xml:space="preserve">BEAUVOIR, Simone de. </w:t>
      </w:r>
      <w:r w:rsidRPr="00771368">
        <w:rPr>
          <w:b/>
          <w:bCs/>
          <w:sz w:val="20"/>
          <w:szCs w:val="20"/>
        </w:rPr>
        <w:t>O Segundo Sexo.</w:t>
      </w:r>
      <w:r w:rsidRPr="00771368">
        <w:rPr>
          <w:sz w:val="20"/>
          <w:szCs w:val="20"/>
        </w:rPr>
        <w:t xml:space="preserve"> Rio de Janeiro: Nova Fronteira, 2000. p. 164.</w:t>
      </w:r>
    </w:p>
    <w:p w:rsidR="00D24E61" w:rsidRPr="00771368" w:rsidRDefault="00D24E61">
      <w:pPr>
        <w:spacing w:line="49" w:lineRule="exact"/>
        <w:rPr>
          <w:sz w:val="26"/>
          <w:szCs w:val="26"/>
          <w:vertAlign w:val="superscript"/>
        </w:rPr>
      </w:pPr>
    </w:p>
    <w:p w:rsidR="00D24E61" w:rsidRPr="00771368" w:rsidRDefault="00D24E61" w:rsidP="00FA0ABA">
      <w:pPr>
        <w:numPr>
          <w:ilvl w:val="0"/>
          <w:numId w:val="27"/>
        </w:numPr>
        <w:tabs>
          <w:tab w:val="left" w:pos="280"/>
        </w:tabs>
        <w:spacing w:line="186" w:lineRule="auto"/>
        <w:ind w:left="280" w:right="20" w:hanging="278"/>
        <w:jc w:val="both"/>
        <w:rPr>
          <w:sz w:val="26"/>
          <w:szCs w:val="26"/>
          <w:vertAlign w:val="superscript"/>
        </w:rPr>
      </w:pPr>
      <w:r w:rsidRPr="00D61223">
        <w:rPr>
          <w:sz w:val="20"/>
          <w:szCs w:val="20"/>
          <w:lang w:val="en-US"/>
        </w:rPr>
        <w:t xml:space="preserve">WORLD ECONOMIC FORUM. </w:t>
      </w:r>
      <w:r w:rsidRPr="00D61223">
        <w:rPr>
          <w:b/>
          <w:bCs/>
          <w:sz w:val="20"/>
          <w:szCs w:val="20"/>
          <w:lang w:val="en-US"/>
        </w:rPr>
        <w:t>The Global Gender Gap Report 2012.</w:t>
      </w:r>
      <w:r w:rsidRPr="00D61223">
        <w:rPr>
          <w:sz w:val="20"/>
          <w:szCs w:val="20"/>
          <w:lang w:val="en-US"/>
        </w:rPr>
        <w:t xml:space="preserve"> </w:t>
      </w:r>
      <w:r w:rsidRPr="00771368">
        <w:rPr>
          <w:sz w:val="20"/>
          <w:szCs w:val="20"/>
        </w:rPr>
        <w:t>Geneva: 2012. p. 8. Disponível em: &lt; http://goo.gl/12SCm&gt; Acesso em: 27 abr. 2013.</w:t>
      </w:r>
    </w:p>
    <w:p w:rsidR="00D24E61" w:rsidRPr="00771368" w:rsidRDefault="00D24E61">
      <w:pPr>
        <w:spacing w:line="48" w:lineRule="exact"/>
        <w:rPr>
          <w:sz w:val="26"/>
          <w:szCs w:val="26"/>
          <w:vertAlign w:val="superscript"/>
        </w:rPr>
      </w:pPr>
    </w:p>
    <w:p w:rsidR="00D24E61" w:rsidRPr="00771368" w:rsidRDefault="00D24E61" w:rsidP="00FA0ABA">
      <w:pPr>
        <w:numPr>
          <w:ilvl w:val="0"/>
          <w:numId w:val="27"/>
        </w:numPr>
        <w:tabs>
          <w:tab w:val="left" w:pos="280"/>
        </w:tabs>
        <w:spacing w:line="186" w:lineRule="auto"/>
        <w:ind w:left="280" w:right="20" w:hanging="278"/>
        <w:jc w:val="both"/>
        <w:rPr>
          <w:sz w:val="26"/>
          <w:szCs w:val="26"/>
          <w:vertAlign w:val="superscript"/>
        </w:rPr>
      </w:pPr>
      <w:r w:rsidRPr="00D61223">
        <w:rPr>
          <w:sz w:val="20"/>
          <w:szCs w:val="20"/>
          <w:lang w:val="en-US"/>
        </w:rPr>
        <w:t xml:space="preserve">WORLD ECONOMIC FORUM. </w:t>
      </w:r>
      <w:r w:rsidRPr="00D61223">
        <w:rPr>
          <w:b/>
          <w:bCs/>
          <w:sz w:val="20"/>
          <w:szCs w:val="20"/>
          <w:lang w:val="en-US"/>
        </w:rPr>
        <w:t>Corporate Gender Gap.</w:t>
      </w:r>
      <w:r w:rsidRPr="00D61223">
        <w:rPr>
          <w:sz w:val="20"/>
          <w:szCs w:val="20"/>
          <w:lang w:val="en-US"/>
        </w:rPr>
        <w:t xml:space="preserve"> </w:t>
      </w:r>
      <w:r w:rsidRPr="00771368">
        <w:rPr>
          <w:sz w:val="20"/>
          <w:szCs w:val="20"/>
        </w:rPr>
        <w:t>Geneva: 2011. Disponível em: &lt;http://goo.gl/0MXzA&gt; Acesso em: 1 mar. 2012.</w:t>
      </w:r>
    </w:p>
    <w:p w:rsidR="00D24E61" w:rsidRPr="00771368" w:rsidRDefault="00D24E61">
      <w:pPr>
        <w:sectPr w:rsidR="00D24E61" w:rsidRPr="00771368">
          <w:pgSz w:w="11900" w:h="16838"/>
          <w:pgMar w:top="1173" w:right="1680" w:bottom="725" w:left="1700" w:header="0" w:footer="0" w:gutter="0"/>
          <w:cols w:space="720" w:equalWidth="0">
            <w:col w:w="8520"/>
          </w:cols>
        </w:sectPr>
      </w:pPr>
    </w:p>
    <w:p w:rsidR="00D24E61" w:rsidRPr="00771368" w:rsidRDefault="00D24E61">
      <w:pPr>
        <w:spacing w:line="347" w:lineRule="auto"/>
        <w:jc w:val="both"/>
        <w:rPr>
          <w:sz w:val="20"/>
          <w:szCs w:val="20"/>
        </w:rPr>
      </w:pPr>
      <w:r w:rsidRPr="00771368">
        <w:rPr>
          <w:sz w:val="24"/>
          <w:szCs w:val="24"/>
        </w:rPr>
        <w:t xml:space="preserve">bancos de dados da organização oficial Norden.Org – </w:t>
      </w:r>
      <w:r w:rsidRPr="00771368">
        <w:rPr>
          <w:i/>
          <w:iCs/>
          <w:sz w:val="24"/>
          <w:szCs w:val="24"/>
        </w:rPr>
        <w:t>Nordic Council of Ministers</w:t>
      </w:r>
      <w:r w:rsidRPr="00771368">
        <w:rPr>
          <w:sz w:val="24"/>
          <w:szCs w:val="24"/>
        </w:rPr>
        <w:t>. É impressionante a quantidade e a qualidade das publicações oficiais dedicadas a promover a igualdade de gênero, tema que mobiliza renomados pesquisadores das mais diversas áreas a manter em constante atualização os dados e prestações periódicas de contas à população do que está sendo realizado pelos ministérios.</w:t>
      </w:r>
    </w:p>
    <w:p w:rsidR="00D24E61" w:rsidRPr="00771368" w:rsidRDefault="00D24E61">
      <w:pPr>
        <w:spacing w:line="77" w:lineRule="exact"/>
        <w:rPr>
          <w:sz w:val="20"/>
          <w:szCs w:val="20"/>
        </w:rPr>
      </w:pPr>
    </w:p>
    <w:p w:rsidR="00D24E61" w:rsidRPr="00771368" w:rsidRDefault="00D24E61">
      <w:pPr>
        <w:spacing w:line="347" w:lineRule="auto"/>
        <w:ind w:firstLine="708"/>
        <w:jc w:val="both"/>
        <w:rPr>
          <w:sz w:val="20"/>
          <w:szCs w:val="20"/>
        </w:rPr>
      </w:pPr>
      <w:r w:rsidRPr="00771368">
        <w:rPr>
          <w:sz w:val="24"/>
          <w:szCs w:val="24"/>
        </w:rPr>
        <w:t xml:space="preserve">Logo na introdução do dossiê </w:t>
      </w:r>
      <w:r w:rsidRPr="00771368">
        <w:rPr>
          <w:i/>
          <w:iCs/>
          <w:sz w:val="24"/>
          <w:szCs w:val="24"/>
        </w:rPr>
        <w:t>“Parental leave, childcare and gender equality in</w:t>
      </w:r>
      <w:r w:rsidRPr="00771368">
        <w:rPr>
          <w:sz w:val="24"/>
          <w:szCs w:val="24"/>
        </w:rPr>
        <w:t xml:space="preserve"> </w:t>
      </w:r>
      <w:r w:rsidRPr="00771368">
        <w:rPr>
          <w:i/>
          <w:iCs/>
          <w:sz w:val="24"/>
          <w:szCs w:val="24"/>
        </w:rPr>
        <w:t>the Nordic countries”</w:t>
      </w:r>
      <w:r w:rsidRPr="00771368">
        <w:rPr>
          <w:sz w:val="32"/>
          <w:szCs w:val="32"/>
          <w:vertAlign w:val="superscript"/>
        </w:rPr>
        <w:t>12</w:t>
      </w:r>
      <w:r w:rsidRPr="00771368">
        <w:rPr>
          <w:sz w:val="24"/>
          <w:szCs w:val="24"/>
        </w:rPr>
        <w:t>, o sociólogo Ingólfur V. Gíslason coloca que a publicação em</w:t>
      </w:r>
      <w:r w:rsidRPr="00771368">
        <w:rPr>
          <w:i/>
          <w:iCs/>
          <w:sz w:val="24"/>
          <w:szCs w:val="24"/>
        </w:rPr>
        <w:t xml:space="preserve"> </w:t>
      </w:r>
      <w:r w:rsidRPr="00771368">
        <w:rPr>
          <w:sz w:val="24"/>
          <w:szCs w:val="24"/>
        </w:rPr>
        <w:t>questão põe em pauta a complexa interface entre os cuidados com as crianças e a igualdade de gênero, bem como a extrema relevância que permeia este território de pesquisa, sustentando inclusive que o futuro do modelo Nórdico de Bem-Estar depende diretamente do êxito em executar perfeitamente tal interação. O autor afirma que a segregação de gênero é resultado de fatores sociais, e não decorrente da pré-determinação biológica, como poderia se pensar. A proposta para alterar os modelos tradicionais de comportamento, de modo que todos os adultos possam usufruir das mesmas oportunidades de trabalho remunerado, é composta de dois princípios basilares: a primeira estratégia consiste em equalizar a licença parental de modo a aumentar a participação do pai na criação dos filhos e na divisão dos serviços domésticos; a segunda é a ampla oferta de creches alinhada ao investimento pesado do Estado em educação.</w:t>
      </w:r>
    </w:p>
    <w:p w:rsidR="00D24E61" w:rsidRPr="00771368" w:rsidRDefault="00D24E61">
      <w:pPr>
        <w:spacing w:line="78" w:lineRule="exact"/>
        <w:rPr>
          <w:sz w:val="20"/>
          <w:szCs w:val="20"/>
        </w:rPr>
      </w:pPr>
    </w:p>
    <w:p w:rsidR="00D24E61" w:rsidRPr="00771368" w:rsidRDefault="00D24E61">
      <w:pPr>
        <w:spacing w:line="349" w:lineRule="auto"/>
        <w:ind w:firstLine="708"/>
        <w:jc w:val="both"/>
        <w:rPr>
          <w:sz w:val="20"/>
          <w:szCs w:val="20"/>
        </w:rPr>
      </w:pPr>
      <w:r w:rsidRPr="00771368">
        <w:rPr>
          <w:sz w:val="24"/>
          <w:szCs w:val="24"/>
        </w:rPr>
        <w:t>Tal postura coloca em evidência o caráter fundamental de se discutir o papel das mulheres na sociedade, promovendo sua valorização desde o jardim de infância, passando por todas as fases da educação, culminando no ensino superior. Além disso, o fato de incorporar à grade curricular de cursos universitários disciplinas vinculadas aos Estudos de Gênero, revela que a reflexão e o esclarecimento são os principais aliados no combate à desigualdade e ao preconceito entre homens e mulheres.</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rPr>
          <w:sz w:val="20"/>
          <w:szCs w:val="20"/>
        </w:rPr>
      </w:pPr>
      <w:r w:rsidRPr="00771368">
        <w:rPr>
          <w:b/>
          <w:bCs/>
          <w:sz w:val="24"/>
          <w:szCs w:val="24"/>
        </w:rPr>
        <w:t>Um modelo exemplar de Bem-Estar Social</w:t>
      </w:r>
    </w:p>
    <w:p w:rsidR="00D24E61" w:rsidRPr="00771368" w:rsidRDefault="00D24E61">
      <w:pPr>
        <w:spacing w:line="200" w:lineRule="exact"/>
        <w:rPr>
          <w:sz w:val="20"/>
          <w:szCs w:val="20"/>
        </w:rPr>
      </w:pPr>
    </w:p>
    <w:p w:rsidR="00D24E61" w:rsidRPr="00771368" w:rsidRDefault="00D24E61">
      <w:pPr>
        <w:spacing w:line="343" w:lineRule="auto"/>
        <w:ind w:firstLine="708"/>
        <w:jc w:val="both"/>
        <w:rPr>
          <w:sz w:val="20"/>
          <w:szCs w:val="20"/>
        </w:rPr>
      </w:pPr>
      <w:r w:rsidRPr="00771368">
        <w:rPr>
          <w:sz w:val="24"/>
          <w:szCs w:val="24"/>
        </w:rPr>
        <w:t>A doutrina estrangeira que trata sobre o histórico dos países nórdicos e sua experiência bem sucedida em políticas públicas de bem-estar social, familiar e de gênero é riquíssima, mas infelizmente essa vasta bibliografia têm sido muito pouco explorada no Brasil.</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013211">
      <w:pPr>
        <w:spacing w:line="244" w:lineRule="exact"/>
        <w:rPr>
          <w:sz w:val="20"/>
          <w:szCs w:val="20"/>
        </w:rPr>
      </w:pPr>
      <w:r>
        <w:rPr>
          <w:noProof/>
          <w:sz w:val="20"/>
          <w:szCs w:val="20"/>
        </w:rPr>
        <mc:AlternateContent>
          <mc:Choice Requires="wps">
            <w:drawing>
              <wp:anchor distT="0" distB="0" distL="0" distR="0" simplePos="0" relativeHeight="251625984" behindDoc="0" locked="0" layoutInCell="0" allowOverlap="1">
                <wp:simplePos x="0" y="0"/>
                <wp:positionH relativeFrom="column">
                  <wp:posOffset>1270</wp:posOffset>
                </wp:positionH>
                <wp:positionV relativeFrom="paragraph">
                  <wp:posOffset>67310</wp:posOffset>
                </wp:positionV>
                <wp:extent cx="1828800" cy="0"/>
                <wp:effectExtent l="10795" t="10160" r="8255" b="8890"/>
                <wp:wrapNone/>
                <wp:docPr id="30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2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3pt" to="144.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" o:allowincell="f" strokeweight=".6pt"/>
            </w:pict>
          </mc:Fallback>
        </mc:AlternateContent>
      </w:r>
    </w:p>
    <w:p w:rsidR="00D24E61" w:rsidRPr="00771368" w:rsidRDefault="00D24E61">
      <w:pPr>
        <w:numPr>
          <w:ilvl w:val="0"/>
          <w:numId w:val="5"/>
        </w:numPr>
        <w:tabs>
          <w:tab w:val="left" w:pos="280"/>
        </w:tabs>
        <w:spacing w:line="202" w:lineRule="auto"/>
        <w:ind w:left="280" w:hanging="278"/>
        <w:jc w:val="both"/>
        <w:rPr>
          <w:sz w:val="26"/>
          <w:szCs w:val="26"/>
          <w:vertAlign w:val="superscript"/>
        </w:rPr>
      </w:pPr>
      <w:r w:rsidRPr="00D61223">
        <w:rPr>
          <w:sz w:val="20"/>
          <w:szCs w:val="20"/>
          <w:lang w:val="en-US"/>
        </w:rPr>
        <w:t xml:space="preserve">GÍSLASON, Ingólfur V.; EYDAL, Guðný Björk et al. (Org.). </w:t>
      </w:r>
      <w:r w:rsidRPr="00D61223">
        <w:rPr>
          <w:b/>
          <w:bCs/>
          <w:sz w:val="20"/>
          <w:szCs w:val="20"/>
          <w:lang w:val="en-US"/>
        </w:rPr>
        <w:t>Parental leave, childcare and gender</w:t>
      </w:r>
      <w:r w:rsidRPr="00D61223">
        <w:rPr>
          <w:sz w:val="20"/>
          <w:szCs w:val="20"/>
          <w:lang w:val="en-US"/>
        </w:rPr>
        <w:t xml:space="preserve"> </w:t>
      </w:r>
      <w:r w:rsidRPr="00D61223">
        <w:rPr>
          <w:b/>
          <w:bCs/>
          <w:sz w:val="20"/>
          <w:szCs w:val="20"/>
          <w:lang w:val="en-US"/>
        </w:rPr>
        <w:t xml:space="preserve">equality in the Nordic countries. </w:t>
      </w:r>
      <w:r w:rsidRPr="00771368">
        <w:rPr>
          <w:sz w:val="20"/>
          <w:szCs w:val="20"/>
        </w:rPr>
        <w:t>Copenhagen: Nordic Council of Ministers, 6 Jan. 2012. p. 14.</w:t>
      </w:r>
      <w:r w:rsidRPr="00771368">
        <w:rPr>
          <w:b/>
          <w:bCs/>
          <w:sz w:val="20"/>
          <w:szCs w:val="20"/>
        </w:rPr>
        <w:t xml:space="preserve"> </w:t>
      </w:r>
      <w:r w:rsidRPr="00771368">
        <w:rPr>
          <w:sz w:val="20"/>
          <w:szCs w:val="20"/>
        </w:rPr>
        <w:t>Disponível em: &lt;http://goo.gl/PdnPp&gt; Acesso em: 28 jul. 2013.</w:t>
      </w:r>
    </w:p>
    <w:p w:rsidR="00D24E61" w:rsidRPr="00771368" w:rsidRDefault="00D24E61">
      <w:pPr>
        <w:sectPr w:rsidR="00D24E61" w:rsidRPr="00771368">
          <w:pgSz w:w="11900" w:h="16838"/>
          <w:pgMar w:top="1183" w:right="1700" w:bottom="724" w:left="1700" w:header="0" w:footer="0" w:gutter="0"/>
          <w:cols w:space="720" w:equalWidth="0">
            <w:col w:w="8500"/>
          </w:cols>
        </w:sectPr>
      </w:pPr>
    </w:p>
    <w:p w:rsidR="00D24E61" w:rsidRPr="00771368" w:rsidRDefault="00D24E61">
      <w:pPr>
        <w:spacing w:line="358" w:lineRule="auto"/>
        <w:ind w:firstLine="708"/>
        <w:jc w:val="both"/>
        <w:rPr>
          <w:sz w:val="20"/>
          <w:szCs w:val="20"/>
        </w:rPr>
      </w:pPr>
      <w:r w:rsidRPr="00771368">
        <w:rPr>
          <w:sz w:val="23"/>
          <w:szCs w:val="23"/>
        </w:rPr>
        <w:t>Formalizado em 1952, entre Dinamarca, Finlândia, Islândia, Noruega, Suécia, e três áreas autônomas (Ilhas Faroé, Groenlândia e Åland), o Conselho Nórdico é um dos melhores exemplos de cooperação interparlamentar que surgiram no período pós-guerra. Segundo o sociólogo dinamarquês Gøsta Esping-Andersen, um dos mais renomados teóricos sobre políticas sociais, o sistema social-democrata escandinavo de bem-estar social desenvolveu desde o início um regime de mercado distinto dos demais países europeus, sendo considerada ―uma peculiar fusão de liberalismo e socialismo.‖</w:t>
      </w:r>
      <w:r w:rsidRPr="00771368">
        <w:rPr>
          <w:sz w:val="31"/>
          <w:szCs w:val="31"/>
          <w:vertAlign w:val="superscript"/>
        </w:rPr>
        <w:t>13</w:t>
      </w:r>
    </w:p>
    <w:p w:rsidR="00D24E61" w:rsidRPr="00771368" w:rsidRDefault="00D24E61">
      <w:pPr>
        <w:spacing w:line="1" w:lineRule="exact"/>
        <w:rPr>
          <w:sz w:val="20"/>
          <w:szCs w:val="20"/>
        </w:rPr>
      </w:pPr>
    </w:p>
    <w:p w:rsidR="00D24E61" w:rsidRPr="00771368" w:rsidRDefault="00D24E61">
      <w:pPr>
        <w:spacing w:line="328" w:lineRule="auto"/>
        <w:ind w:firstLine="708"/>
        <w:jc w:val="both"/>
        <w:rPr>
          <w:sz w:val="20"/>
          <w:szCs w:val="20"/>
        </w:rPr>
      </w:pPr>
      <w:r w:rsidRPr="00771368">
        <w:rPr>
          <w:sz w:val="24"/>
          <w:szCs w:val="24"/>
        </w:rPr>
        <w:t>Seus países-membros há anos desfrutam de reputação internacional por terem implementado diretrizes governamentais que combinam excelentes políticas de bem-estar social em consonância com um rápido crescimento econômico, promovendo ações afirmativas para a igualdade de gênero no trabalho, mantendo a taxa de desemprego sob controle e apresentando os maiores índices de desenvolvimento humano do mundo.</w:t>
      </w:r>
      <w:r w:rsidRPr="00771368">
        <w:rPr>
          <w:sz w:val="32"/>
          <w:szCs w:val="32"/>
          <w:vertAlign w:val="superscript"/>
        </w:rPr>
        <w:t>14</w:t>
      </w:r>
    </w:p>
    <w:p w:rsidR="00D24E61" w:rsidRPr="00771368" w:rsidRDefault="00D24E61">
      <w:pPr>
        <w:spacing w:line="3" w:lineRule="exact"/>
        <w:rPr>
          <w:sz w:val="20"/>
          <w:szCs w:val="20"/>
        </w:rPr>
      </w:pPr>
    </w:p>
    <w:p w:rsidR="00D24E61" w:rsidRPr="00771368" w:rsidRDefault="00D24E61">
      <w:pPr>
        <w:spacing w:line="337" w:lineRule="auto"/>
        <w:ind w:firstLine="708"/>
        <w:jc w:val="both"/>
        <w:rPr>
          <w:sz w:val="20"/>
          <w:szCs w:val="20"/>
        </w:rPr>
      </w:pPr>
      <w:r w:rsidRPr="00771368">
        <w:rPr>
          <w:sz w:val="24"/>
          <w:szCs w:val="24"/>
        </w:rPr>
        <w:t>Em um importante estudo</w:t>
      </w:r>
      <w:r w:rsidRPr="00771368">
        <w:rPr>
          <w:sz w:val="32"/>
          <w:szCs w:val="32"/>
          <w:vertAlign w:val="superscript"/>
        </w:rPr>
        <w:t>15</w:t>
      </w:r>
      <w:r w:rsidRPr="00771368">
        <w:rPr>
          <w:sz w:val="24"/>
          <w:szCs w:val="24"/>
        </w:rPr>
        <w:t xml:space="preserve"> realizado em 1995 e subsidiado pelo Instituto de Pesquisa da Organização das Nações Unidas, o professor de Ciência Política e Sociologia e pesquisador convidado pelo Colégio Sueco de Estudos Sociais Avançados, John D. Stephens, traçou um histórico das políticas públicas com base na igualdade de gênero implementadas na Suécia, Noruega, Finlândia e Dinamarca, cuja expansão máxima se deu em meados dos anos 80.</w:t>
      </w:r>
    </w:p>
    <w:p w:rsidR="00D24E61" w:rsidRPr="00771368" w:rsidRDefault="00D24E61">
      <w:pPr>
        <w:spacing w:line="85" w:lineRule="exact"/>
        <w:rPr>
          <w:sz w:val="20"/>
          <w:szCs w:val="20"/>
        </w:rPr>
      </w:pPr>
    </w:p>
    <w:p w:rsidR="00D24E61" w:rsidRPr="00771368" w:rsidRDefault="00D24E61">
      <w:pPr>
        <w:spacing w:line="353" w:lineRule="auto"/>
        <w:ind w:firstLine="708"/>
        <w:jc w:val="both"/>
        <w:rPr>
          <w:sz w:val="20"/>
          <w:szCs w:val="20"/>
        </w:rPr>
      </w:pPr>
      <w:r w:rsidRPr="00771368">
        <w:rPr>
          <w:sz w:val="24"/>
          <w:szCs w:val="24"/>
        </w:rPr>
        <w:t>Com a progressiva diminuição da prosperidade característica dos ―anos dourados‖, esses estados começaram a enfrentar sérias dificuldades econômicas, apresentando taxas historicamente sem precedentes de desemprego. Na época, analistas e cientistas políticos levantaram especulações associando o pobre desempenho econômico com o pesado investimento em políticas públicas, e argumentaram que o alto valor empregado para a garantia dos direitos sociais diminuiria a competitividade das economias escandinavas perante os mercados financeiros mundiais. Esta visão crítica elaborada pelos economistas aparentemente conquistou certo grau de aceitação, mesmo entre os principais arquitetos do Estado-Providência, os membros dos partidos social-</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013211">
      <w:pPr>
        <w:spacing w:line="238" w:lineRule="exact"/>
        <w:rPr>
          <w:sz w:val="20"/>
          <w:szCs w:val="20"/>
        </w:rPr>
      </w:pPr>
      <w:r>
        <w:rPr>
          <w:noProof/>
          <w:sz w:val="20"/>
          <w:szCs w:val="20"/>
        </w:rPr>
        <mc:AlternateContent>
          <mc:Choice Requires="wps">
            <w:drawing>
              <wp:anchor distT="0" distB="0" distL="0" distR="0" simplePos="0" relativeHeight="251627008" behindDoc="0" locked="0" layoutInCell="0" allowOverlap="1">
                <wp:simplePos x="0" y="0"/>
                <wp:positionH relativeFrom="column">
                  <wp:posOffset>1270</wp:posOffset>
                </wp:positionH>
                <wp:positionV relativeFrom="paragraph">
                  <wp:posOffset>105410</wp:posOffset>
                </wp:positionV>
                <wp:extent cx="1828800" cy="0"/>
                <wp:effectExtent l="10795" t="10160" r="8255" b="8890"/>
                <wp:wrapNone/>
                <wp:docPr id="30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2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3pt" to="144.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5wFAIAACs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" o:allowincell="f" strokeweight=".21164mm"/>
            </w:pict>
          </mc:Fallback>
        </mc:AlternateContent>
      </w:r>
    </w:p>
    <w:p w:rsidR="00D24E61" w:rsidRPr="00771368" w:rsidRDefault="00D24E61">
      <w:pPr>
        <w:numPr>
          <w:ilvl w:val="0"/>
          <w:numId w:val="6"/>
        </w:numPr>
        <w:tabs>
          <w:tab w:val="left" w:pos="280"/>
        </w:tabs>
        <w:spacing w:line="186" w:lineRule="auto"/>
        <w:ind w:left="280" w:hanging="278"/>
        <w:jc w:val="both"/>
        <w:rPr>
          <w:sz w:val="26"/>
          <w:szCs w:val="26"/>
          <w:vertAlign w:val="superscript"/>
        </w:rPr>
      </w:pPr>
      <w:r w:rsidRPr="00D61223">
        <w:rPr>
          <w:sz w:val="20"/>
          <w:szCs w:val="20"/>
          <w:lang w:val="en-US"/>
        </w:rPr>
        <w:t xml:space="preserve">ESPING-ANDERSEN, Gøsta, in CHRISTIANSEN, Niels Finn et al. (Org.). </w:t>
      </w:r>
      <w:r w:rsidRPr="00D61223">
        <w:rPr>
          <w:b/>
          <w:bCs/>
          <w:sz w:val="20"/>
          <w:szCs w:val="20"/>
          <w:lang w:val="en-US"/>
        </w:rPr>
        <w:t>The Nordic Model of</w:t>
      </w:r>
      <w:r w:rsidRPr="00D61223">
        <w:rPr>
          <w:sz w:val="20"/>
          <w:szCs w:val="20"/>
          <w:lang w:val="en-US"/>
        </w:rPr>
        <w:t xml:space="preserve"> </w:t>
      </w:r>
      <w:r w:rsidRPr="00D61223">
        <w:rPr>
          <w:b/>
          <w:bCs/>
          <w:sz w:val="20"/>
          <w:szCs w:val="20"/>
          <w:lang w:val="en-US"/>
        </w:rPr>
        <w:t xml:space="preserve">Welfare. </w:t>
      </w:r>
      <w:r w:rsidRPr="00771368">
        <w:rPr>
          <w:sz w:val="20"/>
          <w:szCs w:val="20"/>
        </w:rPr>
        <w:t>Copenhagen: Museum Tusculanum Press, 2005. p. 13.</w:t>
      </w:r>
    </w:p>
    <w:p w:rsidR="00D24E61" w:rsidRPr="00771368" w:rsidRDefault="00D24E61">
      <w:pPr>
        <w:spacing w:line="50" w:lineRule="exact"/>
        <w:rPr>
          <w:sz w:val="26"/>
          <w:szCs w:val="26"/>
          <w:vertAlign w:val="superscript"/>
        </w:rPr>
      </w:pPr>
    </w:p>
    <w:p w:rsidR="00D24E61" w:rsidRPr="00771368" w:rsidRDefault="00D24E61">
      <w:pPr>
        <w:numPr>
          <w:ilvl w:val="0"/>
          <w:numId w:val="6"/>
        </w:numPr>
        <w:tabs>
          <w:tab w:val="left" w:pos="280"/>
        </w:tabs>
        <w:spacing w:line="223" w:lineRule="auto"/>
        <w:ind w:left="280" w:hanging="278"/>
        <w:jc w:val="both"/>
        <w:rPr>
          <w:sz w:val="26"/>
          <w:szCs w:val="26"/>
          <w:vertAlign w:val="superscript"/>
        </w:rPr>
      </w:pPr>
      <w:r w:rsidRPr="00771368">
        <w:rPr>
          <w:sz w:val="20"/>
          <w:szCs w:val="20"/>
        </w:rPr>
        <w:t xml:space="preserve">Divulgado em 2013 pela Organização das Nações Unidas, o último ranking mundial do índice de desenvolvimento humano elencou os países nórdicos na categoria ―muito elevado‖, com a Noruega ocupando o primeiro lugar geral, Suécia em 7º, Islândia em 13º, Dinamarca em 15º e Finlândia em 21º lugar, respectivamente. Programa das Nações Unidas para o Desenvolvimento. MALIK, Khalid et al. (Org.) </w:t>
      </w:r>
      <w:r w:rsidRPr="00771368">
        <w:rPr>
          <w:b/>
          <w:bCs/>
          <w:sz w:val="20"/>
          <w:szCs w:val="20"/>
        </w:rPr>
        <w:t>Relatório do Desenvolvimento Humano 2013</w:t>
      </w:r>
      <w:r w:rsidRPr="00771368">
        <w:rPr>
          <w:sz w:val="20"/>
          <w:szCs w:val="20"/>
        </w:rPr>
        <w:t xml:space="preserve"> - ―A Ascensão do Sul: Progresso Humano num Mundo Diversificado‖. Tabela 1 - Índice de desenvolvimento humano e seus componentes. p. 150. Disponível em: &lt; http://goo.gl/X0Gs1D&gt; Acesso em: 5 set. 2013.</w:t>
      </w:r>
    </w:p>
    <w:p w:rsidR="00D24E61" w:rsidRPr="00771368" w:rsidRDefault="00D24E61">
      <w:pPr>
        <w:spacing w:line="50" w:lineRule="exact"/>
        <w:rPr>
          <w:sz w:val="26"/>
          <w:szCs w:val="26"/>
          <w:vertAlign w:val="superscript"/>
        </w:rPr>
      </w:pPr>
    </w:p>
    <w:p w:rsidR="00D24E61" w:rsidRPr="00771368" w:rsidRDefault="00D24E61">
      <w:pPr>
        <w:numPr>
          <w:ilvl w:val="0"/>
          <w:numId w:val="6"/>
        </w:numPr>
        <w:tabs>
          <w:tab w:val="left" w:pos="280"/>
        </w:tabs>
        <w:spacing w:line="202" w:lineRule="auto"/>
        <w:ind w:left="280" w:hanging="278"/>
        <w:jc w:val="both"/>
        <w:rPr>
          <w:sz w:val="26"/>
          <w:szCs w:val="26"/>
          <w:vertAlign w:val="superscript"/>
        </w:rPr>
      </w:pPr>
      <w:r w:rsidRPr="00D61223">
        <w:rPr>
          <w:sz w:val="20"/>
          <w:szCs w:val="20"/>
          <w:lang w:val="en-US"/>
        </w:rPr>
        <w:t xml:space="preserve">STEPHENS, John D. </w:t>
      </w:r>
      <w:r w:rsidRPr="00D61223">
        <w:rPr>
          <w:b/>
          <w:bCs/>
          <w:sz w:val="20"/>
          <w:szCs w:val="20"/>
          <w:lang w:val="en-US"/>
        </w:rPr>
        <w:t>The Scandinavian Welfare States</w:t>
      </w:r>
      <w:r w:rsidRPr="00D61223">
        <w:rPr>
          <w:sz w:val="20"/>
          <w:szCs w:val="20"/>
          <w:lang w:val="en-US"/>
        </w:rPr>
        <w:t xml:space="preserve">: achievements, crisis and prospects. United Nations Research Institute for Social Development (UNRISD) Discussion Paper Nº 67. </w:t>
      </w:r>
      <w:r w:rsidRPr="00771368">
        <w:rPr>
          <w:sz w:val="20"/>
          <w:szCs w:val="20"/>
        </w:rPr>
        <w:t>June/ 1995. Disponível em: &lt;http://goo.gl/oYsAH&gt; Acesso em: 10 maio 2012.</w:t>
      </w:r>
    </w:p>
    <w:p w:rsidR="00D24E61" w:rsidRPr="00771368" w:rsidRDefault="00D24E61">
      <w:pPr>
        <w:sectPr w:rsidR="00D24E61" w:rsidRPr="00771368">
          <w:pgSz w:w="11900" w:h="16838"/>
          <w:pgMar w:top="1183" w:right="1700" w:bottom="724" w:left="1700" w:header="0" w:footer="0" w:gutter="0"/>
          <w:cols w:space="720" w:equalWidth="0">
            <w:col w:w="8500"/>
          </w:cols>
        </w:sectPr>
      </w:pPr>
    </w:p>
    <w:p w:rsidR="00D24E61" w:rsidRPr="00771368" w:rsidRDefault="00D24E61">
      <w:pPr>
        <w:spacing w:line="310" w:lineRule="auto"/>
        <w:ind w:right="20"/>
        <w:jc w:val="both"/>
        <w:rPr>
          <w:sz w:val="20"/>
          <w:szCs w:val="20"/>
        </w:rPr>
      </w:pPr>
      <w:r w:rsidRPr="00771368">
        <w:rPr>
          <w:sz w:val="24"/>
          <w:szCs w:val="24"/>
        </w:rPr>
        <w:t>democratas e os sindicatos, que aos poucos cederam às recomendações e concordaram com o corte de alguns benefícios.</w:t>
      </w:r>
    </w:p>
    <w:p w:rsidR="00D24E61" w:rsidRPr="00771368" w:rsidRDefault="00D24E61">
      <w:pPr>
        <w:spacing w:line="115" w:lineRule="exact"/>
        <w:rPr>
          <w:sz w:val="20"/>
          <w:szCs w:val="20"/>
        </w:rPr>
      </w:pPr>
    </w:p>
    <w:p w:rsidR="00D24E61" w:rsidRPr="00771368" w:rsidRDefault="00D24E61">
      <w:pPr>
        <w:spacing w:line="353" w:lineRule="auto"/>
        <w:ind w:right="20" w:firstLine="708"/>
        <w:jc w:val="both"/>
        <w:rPr>
          <w:sz w:val="20"/>
          <w:szCs w:val="20"/>
        </w:rPr>
      </w:pPr>
      <w:r w:rsidRPr="00771368">
        <w:rPr>
          <w:sz w:val="24"/>
          <w:szCs w:val="24"/>
        </w:rPr>
        <w:t>Contrapondo os argumentos suscitados à época pelos economistas, a tese central proposta por Stephens tinha por principal objetivo comprovar que o investimento em políticas voltadas ao bem-estar social desempenhava um papel pouco significativo se associado aos problemas econômicos apresentados pelos países escandinavos a partir dos anos 90. Do ponto de vista do pesquisador, longe de comprometer o progresso, uma mão de obra mais qualificada, igualitária, com acesso à saúde e principalmente à educação, seguramente aumentaria a longo prazo o potencial de competição com os mercados internacionais.</w:t>
      </w:r>
    </w:p>
    <w:p w:rsidR="00D24E61" w:rsidRPr="00771368" w:rsidRDefault="00D24E61">
      <w:pPr>
        <w:spacing w:line="65" w:lineRule="exact"/>
        <w:rPr>
          <w:sz w:val="20"/>
          <w:szCs w:val="20"/>
        </w:rPr>
      </w:pPr>
    </w:p>
    <w:p w:rsidR="00D24E61" w:rsidRPr="00771368" w:rsidRDefault="00D24E61">
      <w:pPr>
        <w:spacing w:line="326" w:lineRule="auto"/>
        <w:ind w:firstLine="708"/>
        <w:jc w:val="both"/>
        <w:rPr>
          <w:sz w:val="20"/>
          <w:szCs w:val="20"/>
        </w:rPr>
      </w:pPr>
      <w:r w:rsidRPr="00771368">
        <w:rPr>
          <w:sz w:val="24"/>
          <w:szCs w:val="24"/>
        </w:rPr>
        <w:t xml:space="preserve">Ao contrário de países como Alemanha, França, Suíça e Áustria, que recrutaram em massa a mão de obra estrangeira no período pós-guerra, os escandinavos reforçaram sua política interna abrindo oportunidades de emprego para as mulheres tanto no setor privado, quanto no serviço público. A inclusão das mulheres, associada ao </w:t>
      </w:r>
      <w:r w:rsidRPr="00771368">
        <w:rPr>
          <w:i/>
          <w:iCs/>
          <w:sz w:val="24"/>
          <w:szCs w:val="24"/>
        </w:rPr>
        <w:t>“baby</w:t>
      </w:r>
      <w:r w:rsidRPr="00771368">
        <w:rPr>
          <w:sz w:val="24"/>
          <w:szCs w:val="24"/>
        </w:rPr>
        <w:t xml:space="preserve"> </w:t>
      </w:r>
      <w:r w:rsidRPr="00771368">
        <w:rPr>
          <w:i/>
          <w:iCs/>
          <w:sz w:val="24"/>
          <w:szCs w:val="24"/>
        </w:rPr>
        <w:t>boom”</w:t>
      </w:r>
      <w:r w:rsidRPr="00771368">
        <w:rPr>
          <w:sz w:val="32"/>
          <w:szCs w:val="32"/>
          <w:vertAlign w:val="superscript"/>
        </w:rPr>
        <w:t>16</w:t>
      </w:r>
      <w:r w:rsidRPr="00771368">
        <w:rPr>
          <w:i/>
          <w:iCs/>
          <w:sz w:val="24"/>
          <w:szCs w:val="24"/>
        </w:rPr>
        <w:t xml:space="preserve"> </w:t>
      </w:r>
      <w:r w:rsidRPr="00771368">
        <w:rPr>
          <w:sz w:val="24"/>
          <w:szCs w:val="24"/>
        </w:rPr>
        <w:t>dos anos 60, só estimulou e aumentou a qualidade dos serviços voltados ao</w:t>
      </w:r>
      <w:r w:rsidRPr="00771368">
        <w:rPr>
          <w:i/>
          <w:iCs/>
          <w:sz w:val="24"/>
          <w:szCs w:val="24"/>
        </w:rPr>
        <w:t xml:space="preserve"> </w:t>
      </w:r>
      <w:r w:rsidRPr="00771368">
        <w:rPr>
          <w:sz w:val="24"/>
          <w:szCs w:val="24"/>
        </w:rPr>
        <w:t>bem-estar, já que amparadas por políticas de proteção à maternidade, elas ingressaram maciçamente em setores como saúde pública, enfermagem e educação primária.</w:t>
      </w:r>
      <w:r w:rsidRPr="00771368">
        <w:rPr>
          <w:sz w:val="32"/>
          <w:szCs w:val="32"/>
          <w:vertAlign w:val="superscript"/>
        </w:rPr>
        <w:t>17</w:t>
      </w:r>
    </w:p>
    <w:p w:rsidR="00D24E61" w:rsidRPr="00771368" w:rsidRDefault="00D24E61">
      <w:pPr>
        <w:spacing w:line="26"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 xml:space="preserve">Em um levantamento realizado em 2000, Trude Lappegård, pesquisadora-sênior do departamento de demografia e estatística familiar da </w:t>
      </w:r>
      <w:r w:rsidRPr="00771368">
        <w:rPr>
          <w:i/>
          <w:iCs/>
          <w:sz w:val="24"/>
          <w:szCs w:val="24"/>
        </w:rPr>
        <w:t>Statistics Norway</w:t>
      </w:r>
      <w:r w:rsidRPr="00771368">
        <w:rPr>
          <w:sz w:val="32"/>
          <w:szCs w:val="32"/>
          <w:vertAlign w:val="superscript"/>
        </w:rPr>
        <w:t>18</w:t>
      </w:r>
      <w:r w:rsidRPr="00771368">
        <w:rPr>
          <w:sz w:val="24"/>
          <w:szCs w:val="24"/>
        </w:rPr>
        <w:t>, constatou que após anos apresentando níveis de fertilidade estáveis, e particularmente altos durante a década de 1990, este padrão começou a sofrer inúmeras alterações.</w:t>
      </w:r>
    </w:p>
    <w:p w:rsidR="00D24E61" w:rsidRPr="00771368" w:rsidRDefault="00D24E61">
      <w:pPr>
        <w:spacing w:line="121" w:lineRule="exact"/>
        <w:rPr>
          <w:sz w:val="20"/>
          <w:szCs w:val="20"/>
        </w:rPr>
      </w:pPr>
    </w:p>
    <w:p w:rsidR="00D24E61" w:rsidRPr="00771368" w:rsidRDefault="00D24E61">
      <w:pPr>
        <w:spacing w:line="353" w:lineRule="auto"/>
        <w:ind w:right="20" w:firstLine="708"/>
        <w:jc w:val="both"/>
        <w:rPr>
          <w:sz w:val="20"/>
          <w:szCs w:val="20"/>
        </w:rPr>
      </w:pPr>
      <w:r w:rsidRPr="00771368">
        <w:rPr>
          <w:sz w:val="24"/>
          <w:szCs w:val="24"/>
        </w:rPr>
        <w:t>A especialista afirma que o principal fato gerador dessas modificações foi a expansão educacional, já que para a maior parte das norueguesas – público-alvo da análise – a formação acadêmica é considerada o critério determinante na escolha do melhor momento de se tornarem mães. A pesquisa mostrou que a proporção de mulheres com ensino superior dobrou desde 1980, e em 1996 mais de 20% das mulheres com idade acima de 16 anos já possuía ensino médio completo. A educação agregada às oportunidades de participação na força de trabalho é considerada pelas norueguesas o melhor caminho de emancipação social e econômica, e os reflexos dessa alteração têm sido bastante positivos.</w:t>
      </w:r>
    </w:p>
    <w:p w:rsidR="00D24E61" w:rsidRPr="00771368" w:rsidRDefault="00013211" w:rsidP="00ED7B83">
      <w:pPr>
        <w:spacing w:line="200" w:lineRule="exact"/>
        <w:rPr>
          <w:sz w:val="20"/>
          <w:szCs w:val="20"/>
        </w:rPr>
      </w:pPr>
      <w:r>
        <w:rPr>
          <w:noProof/>
          <w:sz w:val="20"/>
          <w:szCs w:val="20"/>
        </w:rPr>
        <mc:AlternateContent>
          <mc:Choice Requires="wps">
            <w:drawing>
              <wp:anchor distT="0" distB="0" distL="0" distR="0" simplePos="0" relativeHeight="251628032" behindDoc="0" locked="0" layoutInCell="0" allowOverlap="1">
                <wp:simplePos x="0" y="0"/>
                <wp:positionH relativeFrom="column">
                  <wp:posOffset>1270</wp:posOffset>
                </wp:positionH>
                <wp:positionV relativeFrom="paragraph">
                  <wp:posOffset>107315</wp:posOffset>
                </wp:positionV>
                <wp:extent cx="1828800" cy="0"/>
                <wp:effectExtent l="10795" t="12065" r="8255" b="6985"/>
                <wp:wrapNone/>
                <wp:docPr id="30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2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45pt" to="144.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5KFAIAACs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" o:allowincell="f" strokeweight=".21164mm"/>
            </w:pict>
          </mc:Fallback>
        </mc:AlternateContent>
      </w:r>
    </w:p>
    <w:p w:rsidR="00D24E61" w:rsidRPr="00771368" w:rsidRDefault="00D24E61" w:rsidP="00FA0ABA">
      <w:pPr>
        <w:numPr>
          <w:ilvl w:val="0"/>
          <w:numId w:val="28"/>
        </w:numPr>
        <w:tabs>
          <w:tab w:val="left" w:pos="280"/>
        </w:tabs>
        <w:spacing w:line="198" w:lineRule="auto"/>
        <w:ind w:left="280" w:right="20" w:hanging="278"/>
        <w:jc w:val="both"/>
        <w:rPr>
          <w:sz w:val="26"/>
          <w:szCs w:val="26"/>
          <w:vertAlign w:val="superscript"/>
        </w:rPr>
      </w:pPr>
      <w:r w:rsidRPr="00D61223">
        <w:rPr>
          <w:sz w:val="20"/>
          <w:szCs w:val="20"/>
          <w:lang w:val="en-US"/>
        </w:rPr>
        <w:t xml:space="preserve">STEPHENS, John D. </w:t>
      </w:r>
      <w:r w:rsidRPr="00D61223">
        <w:rPr>
          <w:b/>
          <w:bCs/>
          <w:sz w:val="20"/>
          <w:szCs w:val="20"/>
          <w:lang w:val="en-US"/>
        </w:rPr>
        <w:t>The Scandinavian Welfare States</w:t>
      </w:r>
      <w:r w:rsidRPr="00D61223">
        <w:rPr>
          <w:sz w:val="20"/>
          <w:szCs w:val="20"/>
          <w:lang w:val="en-US"/>
        </w:rPr>
        <w:t xml:space="preserve">: achievements, crisis and prospects. United Nations Research Institute for Social Development (UNRISD) Discussion Paper Nº 67. </w:t>
      </w:r>
      <w:r w:rsidRPr="00771368">
        <w:rPr>
          <w:sz w:val="20"/>
          <w:szCs w:val="20"/>
        </w:rPr>
        <w:t>June/1995. Disponível em: &lt;http://goo.gl/oYsAH&gt; Acesso em: 10 maio 2012. p. 17.</w:t>
      </w:r>
    </w:p>
    <w:p w:rsidR="00D24E61" w:rsidRPr="00771368" w:rsidRDefault="00D24E61">
      <w:pPr>
        <w:spacing w:line="2" w:lineRule="exact"/>
        <w:rPr>
          <w:sz w:val="26"/>
          <w:szCs w:val="26"/>
          <w:vertAlign w:val="superscript"/>
        </w:rPr>
      </w:pPr>
    </w:p>
    <w:p w:rsidR="00D24E61" w:rsidRPr="00771368" w:rsidRDefault="00D24E61" w:rsidP="00FA0ABA">
      <w:pPr>
        <w:numPr>
          <w:ilvl w:val="0"/>
          <w:numId w:val="28"/>
        </w:numPr>
        <w:tabs>
          <w:tab w:val="left" w:pos="280"/>
        </w:tabs>
        <w:spacing w:line="195" w:lineRule="auto"/>
        <w:ind w:left="280" w:hanging="278"/>
        <w:jc w:val="both"/>
        <w:rPr>
          <w:sz w:val="26"/>
          <w:szCs w:val="26"/>
          <w:vertAlign w:val="superscript"/>
        </w:rPr>
      </w:pPr>
      <w:r w:rsidRPr="00771368">
        <w:rPr>
          <w:sz w:val="20"/>
          <w:szCs w:val="20"/>
        </w:rPr>
        <w:t>Ibid, p. 8.</w:t>
      </w:r>
    </w:p>
    <w:p w:rsidR="00D24E61" w:rsidRPr="00771368" w:rsidRDefault="00D24E61">
      <w:pPr>
        <w:spacing w:line="49" w:lineRule="exact"/>
        <w:rPr>
          <w:sz w:val="26"/>
          <w:szCs w:val="26"/>
          <w:vertAlign w:val="superscript"/>
        </w:rPr>
      </w:pPr>
    </w:p>
    <w:p w:rsidR="00D24E61" w:rsidRPr="00771368" w:rsidRDefault="00D24E61" w:rsidP="00FA0ABA">
      <w:pPr>
        <w:numPr>
          <w:ilvl w:val="0"/>
          <w:numId w:val="28"/>
        </w:numPr>
        <w:tabs>
          <w:tab w:val="left" w:pos="280"/>
        </w:tabs>
        <w:spacing w:line="202" w:lineRule="auto"/>
        <w:ind w:left="280" w:right="20" w:hanging="278"/>
        <w:jc w:val="both"/>
        <w:rPr>
          <w:sz w:val="26"/>
          <w:szCs w:val="26"/>
          <w:vertAlign w:val="superscript"/>
        </w:rPr>
      </w:pPr>
      <w:r w:rsidRPr="00D61223">
        <w:rPr>
          <w:sz w:val="20"/>
          <w:szCs w:val="20"/>
          <w:lang w:val="en-US"/>
        </w:rPr>
        <w:t xml:space="preserve">LAPPEGÅRD, Trude. New fertility trends in Norway. </w:t>
      </w:r>
      <w:r w:rsidRPr="00D61223">
        <w:rPr>
          <w:b/>
          <w:bCs/>
          <w:sz w:val="20"/>
          <w:szCs w:val="20"/>
          <w:lang w:val="en-US"/>
        </w:rPr>
        <w:t>Demographic Research</w:t>
      </w:r>
      <w:r w:rsidRPr="00D61223">
        <w:rPr>
          <w:sz w:val="20"/>
          <w:szCs w:val="20"/>
          <w:lang w:val="en-US"/>
        </w:rPr>
        <w:t xml:space="preserve">. Rostock: Max Planck Institute for Demographic Research. v. 2, article 3. </w:t>
      </w:r>
      <w:r w:rsidRPr="00771368">
        <w:rPr>
          <w:sz w:val="20"/>
          <w:szCs w:val="20"/>
        </w:rPr>
        <w:t>Mar. 2000. Disponível em: &lt;http://goo.gl/2cRHI&gt; Acesso em: 25 abr. 2012.</w:t>
      </w:r>
    </w:p>
    <w:p w:rsidR="00D24E61" w:rsidRPr="00771368" w:rsidRDefault="00D24E61">
      <w:pPr>
        <w:sectPr w:rsidR="00D24E61" w:rsidRPr="00771368">
          <w:pgSz w:w="11900" w:h="16838"/>
          <w:pgMar w:top="1183" w:right="1680" w:bottom="724" w:left="1700" w:header="0" w:footer="0" w:gutter="0"/>
          <w:cols w:space="720" w:equalWidth="0">
            <w:col w:w="8520"/>
          </w:cols>
        </w:sectPr>
      </w:pPr>
    </w:p>
    <w:p w:rsidR="00D24E61" w:rsidRPr="00771368" w:rsidRDefault="00D24E61">
      <w:pPr>
        <w:spacing w:line="343" w:lineRule="auto"/>
        <w:ind w:firstLine="708"/>
        <w:jc w:val="both"/>
        <w:rPr>
          <w:sz w:val="20"/>
          <w:szCs w:val="20"/>
        </w:rPr>
      </w:pPr>
      <w:r w:rsidRPr="00771368">
        <w:rPr>
          <w:sz w:val="24"/>
          <w:szCs w:val="24"/>
        </w:rPr>
        <w:t>Ao contrário de Lappegård, o sociólogo alemão Herwig Reiter sugere que essa questão tem potencial para ser analisada através de vários aspectos. Mais do que ser apenas reduzida a indicadores estatísticos e demográficos, as causas da maternidade tardia devem ser desvendadas a partir de um prisma interdisciplinar.</w:t>
      </w:r>
      <w:r w:rsidRPr="00771368">
        <w:rPr>
          <w:sz w:val="32"/>
          <w:szCs w:val="32"/>
          <w:vertAlign w:val="superscript"/>
        </w:rPr>
        <w:t>19</w:t>
      </w:r>
      <w:r w:rsidRPr="00771368">
        <w:rPr>
          <w:sz w:val="24"/>
          <w:szCs w:val="24"/>
        </w:rPr>
        <w:t xml:space="preserve"> Sua teoria propõe que a explicação para a queda da natalidade das mulheres européias a partir dos anos 90 apóia-se em um triângulo formado pelo contexto histórico da Europa (após a queda do muro de Berlim), pelo programa institucional de cada país, e a reconstrução biográfica da nova posição das mulheres enquanto indivíduos. Outro elemento suscitado pelo sociólogo diz respeito ao avanço da medicina e das técnicas de reprodução assistida, que atualmente proporciona maiores chances de se levar uma gravidez tardia, sem causar tantos riscos para a gestante e para o bebê.</w:t>
      </w:r>
    </w:p>
    <w:p w:rsidR="00D24E61" w:rsidRPr="00771368" w:rsidRDefault="00D24E61">
      <w:pPr>
        <w:spacing w:line="86" w:lineRule="exact"/>
        <w:rPr>
          <w:sz w:val="20"/>
          <w:szCs w:val="20"/>
        </w:rPr>
      </w:pPr>
    </w:p>
    <w:p w:rsidR="00D24E61" w:rsidRPr="00771368" w:rsidRDefault="00D24E61">
      <w:pPr>
        <w:spacing w:line="341" w:lineRule="auto"/>
        <w:ind w:firstLine="708"/>
        <w:jc w:val="both"/>
        <w:rPr>
          <w:sz w:val="20"/>
          <w:szCs w:val="20"/>
        </w:rPr>
      </w:pPr>
      <w:r w:rsidRPr="00771368">
        <w:rPr>
          <w:sz w:val="24"/>
          <w:szCs w:val="24"/>
        </w:rPr>
        <w:t>Contudo, apesar de adiarem a maternidade e priorizarem a qualificação nos estudos e na carreira profissional, não significa que elas não pretendem ter filhos. As pesquisas indicam que as mulheres ainda desejam constituir família, mas preocupam-se bastante em poder conciliar as duas funções. A instituição familiar é um valor fortemente enraizado e estimado pela sociedade norueguesa.</w:t>
      </w:r>
      <w:r w:rsidRPr="00771368">
        <w:rPr>
          <w:sz w:val="32"/>
          <w:szCs w:val="32"/>
          <w:vertAlign w:val="superscript"/>
        </w:rPr>
        <w:t>20</w:t>
      </w:r>
      <w:r w:rsidRPr="00771368">
        <w:rPr>
          <w:sz w:val="24"/>
          <w:szCs w:val="24"/>
        </w:rPr>
        <w:t xml:space="preserve"> Gerações de mulheres viveram suas vidas influenciadas por diferentes regimes de políticas familiares, e as gerações mais jovens cresceram em uma época na qual a igualdade de gênero e novos padrões de arranjos familiares já se encontram estabelecidos. Se a análise for feita levando-se em conta a história de vida dessas mulheres, provavelmente as mais jovens consideram a participação no mercado de trabalho tão natural quanto a criação de filhos.</w:t>
      </w:r>
    </w:p>
    <w:p w:rsidR="00D24E61" w:rsidRPr="00771368" w:rsidRDefault="00D24E61">
      <w:pPr>
        <w:spacing w:line="89" w:lineRule="exact"/>
        <w:rPr>
          <w:sz w:val="20"/>
          <w:szCs w:val="20"/>
        </w:rPr>
      </w:pPr>
    </w:p>
    <w:p w:rsidR="00D24E61" w:rsidRPr="00771368" w:rsidRDefault="00D24E61">
      <w:pPr>
        <w:spacing w:line="345" w:lineRule="auto"/>
        <w:ind w:firstLine="708"/>
        <w:jc w:val="both"/>
        <w:rPr>
          <w:sz w:val="20"/>
          <w:szCs w:val="20"/>
        </w:rPr>
      </w:pPr>
      <w:r w:rsidRPr="00771368">
        <w:rPr>
          <w:sz w:val="24"/>
          <w:szCs w:val="24"/>
        </w:rPr>
        <w:t xml:space="preserve">Em edição atualizada, publicada em janeiro de 2010 pela </w:t>
      </w:r>
      <w:r w:rsidRPr="00771368">
        <w:rPr>
          <w:i/>
          <w:iCs/>
          <w:sz w:val="24"/>
          <w:szCs w:val="24"/>
        </w:rPr>
        <w:t>Statistics Norway</w:t>
      </w:r>
      <w:r w:rsidRPr="00771368">
        <w:rPr>
          <w:sz w:val="24"/>
          <w:szCs w:val="24"/>
        </w:rPr>
        <w:t>, foi possível constatar um fenômeno que vêm se manifestando não apenas na Noruega, mas em vários outros países no mundo, embora apresentados em diferentes escalas. Desde meados dos anos 1980, as mulheres norueguesas constituem a maioria no ensino superior, sendo que atualmente, seis ou mais em cada dez estudantes são mulheres. A proporção aumenta particularmente nas universidades, correspondendo a 64% do corpo discente. Em 2010, 55% dos alunos de mestrado são mulheres, e elas são maior índice também entre os alunos que fazem intercâmbio no exterior (59% do total).</w:t>
      </w:r>
      <w:r w:rsidRPr="00771368">
        <w:rPr>
          <w:sz w:val="32"/>
          <w:szCs w:val="32"/>
          <w:vertAlign w:val="superscript"/>
        </w:rPr>
        <w:t>21</w:t>
      </w:r>
    </w:p>
    <w:p w:rsidR="00D24E61" w:rsidRPr="00771368" w:rsidRDefault="00013211" w:rsidP="00ED7B83">
      <w:pPr>
        <w:spacing w:line="200" w:lineRule="exact"/>
        <w:rPr>
          <w:sz w:val="20"/>
          <w:szCs w:val="20"/>
        </w:rPr>
      </w:pPr>
      <w:r>
        <w:rPr>
          <w:noProof/>
          <w:sz w:val="20"/>
          <w:szCs w:val="20"/>
        </w:rPr>
        <mc:AlternateContent>
          <mc:Choice Requires="wps">
            <w:drawing>
              <wp:anchor distT="0" distB="0" distL="0" distR="0" simplePos="0" relativeHeight="251629056" behindDoc="0" locked="0" layoutInCell="0" allowOverlap="1">
                <wp:simplePos x="0" y="0"/>
                <wp:positionH relativeFrom="column">
                  <wp:posOffset>1270</wp:posOffset>
                </wp:positionH>
                <wp:positionV relativeFrom="paragraph">
                  <wp:posOffset>70485</wp:posOffset>
                </wp:positionV>
                <wp:extent cx="1828800" cy="0"/>
                <wp:effectExtent l="10795" t="13335" r="8255" b="5715"/>
                <wp:wrapNone/>
                <wp:docPr id="29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2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5pt" to="144.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pKFQIAACs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" o:allowincell="f" strokeweight=".21164mm"/>
            </w:pict>
          </mc:Fallback>
        </mc:AlternateContent>
      </w:r>
    </w:p>
    <w:p w:rsidR="00D24E61" w:rsidRPr="00D61223" w:rsidRDefault="00D24E61" w:rsidP="00FA0ABA">
      <w:pPr>
        <w:numPr>
          <w:ilvl w:val="0"/>
          <w:numId w:val="29"/>
        </w:numPr>
        <w:tabs>
          <w:tab w:val="left" w:pos="280"/>
        </w:tabs>
        <w:spacing w:line="211" w:lineRule="auto"/>
        <w:ind w:left="280" w:hanging="278"/>
        <w:jc w:val="both"/>
        <w:rPr>
          <w:sz w:val="26"/>
          <w:szCs w:val="26"/>
          <w:vertAlign w:val="superscript"/>
          <w:lang w:val="en-US"/>
        </w:rPr>
      </w:pPr>
      <w:r w:rsidRPr="00D61223">
        <w:rPr>
          <w:sz w:val="20"/>
          <w:szCs w:val="20"/>
          <w:lang w:val="en-US"/>
        </w:rPr>
        <w:t xml:space="preserve">REITER, Herwig. </w:t>
      </w:r>
      <w:r w:rsidRPr="00D61223">
        <w:rPr>
          <w:b/>
          <w:bCs/>
          <w:sz w:val="20"/>
          <w:szCs w:val="20"/>
          <w:lang w:val="en-US"/>
        </w:rPr>
        <w:t>Beyond the equation model of society</w:t>
      </w:r>
      <w:r w:rsidRPr="00D61223">
        <w:rPr>
          <w:sz w:val="20"/>
          <w:szCs w:val="20"/>
          <w:lang w:val="en-US"/>
        </w:rPr>
        <w:t xml:space="preserve"> – the postponement of motherhood in post-state socialism in an interdisciplinary life-course perspective. Innovation: The European Journal of Social Science Research, 22:2, 233-246. (2009) p. 240-241. Disponível em: &lt; http://goo.gl/Klrqz&gt; Acesso em: 28 abr. 2012.</w:t>
      </w:r>
    </w:p>
    <w:p w:rsidR="00D24E61" w:rsidRPr="00D61223" w:rsidRDefault="00D24E61">
      <w:pPr>
        <w:spacing w:line="50" w:lineRule="exact"/>
        <w:rPr>
          <w:sz w:val="26"/>
          <w:szCs w:val="26"/>
          <w:vertAlign w:val="superscript"/>
          <w:lang w:val="en-US"/>
        </w:rPr>
      </w:pPr>
    </w:p>
    <w:p w:rsidR="00D24E61" w:rsidRPr="00771368" w:rsidRDefault="00D24E61" w:rsidP="00FA0ABA">
      <w:pPr>
        <w:numPr>
          <w:ilvl w:val="0"/>
          <w:numId w:val="29"/>
        </w:numPr>
        <w:tabs>
          <w:tab w:val="left" w:pos="232"/>
        </w:tabs>
        <w:spacing w:line="202" w:lineRule="auto"/>
        <w:ind w:left="280" w:hanging="278"/>
        <w:jc w:val="both"/>
        <w:rPr>
          <w:sz w:val="26"/>
          <w:szCs w:val="26"/>
          <w:vertAlign w:val="superscript"/>
        </w:rPr>
      </w:pPr>
      <w:r w:rsidRPr="00D61223">
        <w:rPr>
          <w:sz w:val="20"/>
          <w:szCs w:val="20"/>
          <w:lang w:val="en-US"/>
        </w:rPr>
        <w:t xml:space="preserve">LAPPEGÅRD, Trude. New fertility trends in Norway. </w:t>
      </w:r>
      <w:r w:rsidRPr="00D61223">
        <w:rPr>
          <w:b/>
          <w:bCs/>
          <w:sz w:val="20"/>
          <w:szCs w:val="20"/>
          <w:lang w:val="en-US"/>
        </w:rPr>
        <w:t>Demographic Research</w:t>
      </w:r>
      <w:r w:rsidRPr="00D61223">
        <w:rPr>
          <w:sz w:val="20"/>
          <w:szCs w:val="20"/>
          <w:lang w:val="en-US"/>
        </w:rPr>
        <w:t xml:space="preserve">. Rostock: Max Planck Institute for Demographic Research. v. 2, article 3. </w:t>
      </w:r>
      <w:r w:rsidRPr="00771368">
        <w:rPr>
          <w:sz w:val="20"/>
          <w:szCs w:val="20"/>
        </w:rPr>
        <w:t>Mar. 2000. Disponível em: &lt;http://goo.gl/2cRHI&gt; Acesso em: 25 abr. 2012.</w:t>
      </w:r>
    </w:p>
    <w:p w:rsidR="00D24E61" w:rsidRPr="00771368" w:rsidRDefault="00D24E61">
      <w:pPr>
        <w:spacing w:line="50" w:lineRule="exact"/>
        <w:rPr>
          <w:sz w:val="26"/>
          <w:szCs w:val="26"/>
          <w:vertAlign w:val="superscript"/>
        </w:rPr>
      </w:pPr>
    </w:p>
    <w:p w:rsidR="00D24E61" w:rsidRPr="00771368" w:rsidRDefault="00D24E61" w:rsidP="00FA0ABA">
      <w:pPr>
        <w:numPr>
          <w:ilvl w:val="0"/>
          <w:numId w:val="29"/>
        </w:numPr>
        <w:tabs>
          <w:tab w:val="left" w:pos="280"/>
        </w:tabs>
        <w:spacing w:line="186" w:lineRule="auto"/>
        <w:ind w:left="280" w:hanging="278"/>
        <w:jc w:val="both"/>
        <w:rPr>
          <w:sz w:val="26"/>
          <w:szCs w:val="26"/>
          <w:vertAlign w:val="superscript"/>
        </w:rPr>
      </w:pPr>
      <w:r w:rsidRPr="00D61223">
        <w:rPr>
          <w:sz w:val="20"/>
          <w:szCs w:val="20"/>
          <w:lang w:val="en-US"/>
        </w:rPr>
        <w:t xml:space="preserve">HIRSCH, Agnes Aaby (Ed.) et al. </w:t>
      </w:r>
      <w:r w:rsidRPr="00D61223">
        <w:rPr>
          <w:b/>
          <w:bCs/>
          <w:sz w:val="20"/>
          <w:szCs w:val="20"/>
          <w:lang w:val="en-US"/>
        </w:rPr>
        <w:t>Women and men in Norway</w:t>
      </w:r>
      <w:r w:rsidRPr="00D61223">
        <w:rPr>
          <w:sz w:val="20"/>
          <w:szCs w:val="20"/>
          <w:lang w:val="en-US"/>
        </w:rPr>
        <w:t xml:space="preserve">: What the figures say. </w:t>
      </w:r>
      <w:r w:rsidRPr="00771368">
        <w:rPr>
          <w:sz w:val="20"/>
          <w:szCs w:val="20"/>
        </w:rPr>
        <w:t>Oslo: Statistics Norway, 2010. Disponível em: &lt;http://goo.gl/THpIA&gt; Acesso em: 28 abr. 2012. p. 10-11.</w:t>
      </w:r>
    </w:p>
    <w:p w:rsidR="00D24E61" w:rsidRPr="00771368" w:rsidRDefault="00D24E61">
      <w:pPr>
        <w:sectPr w:rsidR="00D24E61" w:rsidRPr="00771368">
          <w:pgSz w:w="11900" w:h="16838"/>
          <w:pgMar w:top="1183" w:right="1700" w:bottom="725" w:left="1700" w:header="0" w:footer="0" w:gutter="0"/>
          <w:cols w:space="720" w:equalWidth="0">
            <w:col w:w="8500"/>
          </w:cols>
        </w:sectPr>
      </w:pPr>
    </w:p>
    <w:p w:rsidR="00D24E61" w:rsidRPr="00771368" w:rsidRDefault="00D24E61">
      <w:pPr>
        <w:spacing w:line="343" w:lineRule="auto"/>
        <w:ind w:right="20" w:firstLine="708"/>
        <w:jc w:val="both"/>
        <w:rPr>
          <w:sz w:val="20"/>
          <w:szCs w:val="20"/>
        </w:rPr>
      </w:pPr>
      <w:r w:rsidRPr="00771368">
        <w:rPr>
          <w:sz w:val="24"/>
          <w:szCs w:val="24"/>
        </w:rPr>
        <w:t>Enquanto os homens majoritariamente trabalham no setor privado e em áreas mais técnicas, como as engenharias e exatas, as mulheres são maioria no setor público, nas áreas da saúde e educação, estando menos sujeitas a alterações do mercado. O setor público segue mantendo o mesmo padrão característico do ―Modelo Escandinavo‖ pós</w:t>
      </w:r>
    </w:p>
    <w:p w:rsidR="00D24E61" w:rsidRPr="00771368" w:rsidRDefault="00D24E61">
      <w:pPr>
        <w:spacing w:line="79" w:lineRule="exact"/>
        <w:rPr>
          <w:sz w:val="20"/>
          <w:szCs w:val="20"/>
        </w:rPr>
      </w:pPr>
    </w:p>
    <w:p w:rsidR="00D24E61" w:rsidRPr="00771368" w:rsidRDefault="00D24E61">
      <w:pPr>
        <w:spacing w:line="350" w:lineRule="auto"/>
        <w:ind w:right="20"/>
        <w:jc w:val="both"/>
        <w:rPr>
          <w:sz w:val="20"/>
          <w:szCs w:val="20"/>
        </w:rPr>
      </w:pPr>
      <w:r w:rsidRPr="00771368">
        <w:rPr>
          <w:sz w:val="24"/>
          <w:szCs w:val="24"/>
        </w:rPr>
        <w:t>Segunda Guerra, que sempre dá mostras de ser mais compreensivo com a questão maternidade/carreira, disponibilizando uma série de benefícios que facilitam a vida das novas mães, como por exemplo a concessão de licença-maternidade, licença parental e ampla rede de creches públicas de qualidade, fator que tranquiliza tanto as mães quanto os órgãos empregadores, já que permite a elas não se ausentarem do trabalho por longos períodos.</w:t>
      </w:r>
    </w:p>
    <w:p w:rsidR="00D24E61" w:rsidRPr="00771368" w:rsidRDefault="00D24E61">
      <w:pPr>
        <w:spacing w:line="70" w:lineRule="exact"/>
        <w:rPr>
          <w:sz w:val="20"/>
          <w:szCs w:val="20"/>
        </w:rPr>
      </w:pPr>
    </w:p>
    <w:p w:rsidR="00D24E61" w:rsidRPr="00771368" w:rsidRDefault="00D24E61">
      <w:pPr>
        <w:spacing w:line="352" w:lineRule="auto"/>
        <w:ind w:right="20" w:firstLine="708"/>
        <w:jc w:val="both"/>
        <w:rPr>
          <w:sz w:val="20"/>
          <w:szCs w:val="20"/>
        </w:rPr>
      </w:pPr>
      <w:r w:rsidRPr="00771368">
        <w:rPr>
          <w:sz w:val="24"/>
          <w:szCs w:val="24"/>
        </w:rPr>
        <w:t xml:space="preserve">O último livro de Esping-Andersen intitulado </w:t>
      </w:r>
      <w:r w:rsidRPr="00771368">
        <w:rPr>
          <w:i/>
          <w:iCs/>
          <w:sz w:val="24"/>
          <w:szCs w:val="24"/>
        </w:rPr>
        <w:t>“The Incomplete Revolution:</w:t>
      </w:r>
      <w:r w:rsidRPr="00771368">
        <w:rPr>
          <w:sz w:val="24"/>
          <w:szCs w:val="24"/>
        </w:rPr>
        <w:t xml:space="preserve"> </w:t>
      </w:r>
      <w:r w:rsidRPr="00771368">
        <w:rPr>
          <w:i/>
          <w:iCs/>
          <w:sz w:val="24"/>
          <w:szCs w:val="24"/>
        </w:rPr>
        <w:t>adapting to women’s new roles”</w:t>
      </w:r>
      <w:r w:rsidRPr="00771368">
        <w:rPr>
          <w:sz w:val="24"/>
          <w:szCs w:val="24"/>
        </w:rPr>
        <w:t>, ainda sem versão para o português, confronta toda a</w:t>
      </w:r>
      <w:r w:rsidRPr="00771368">
        <w:rPr>
          <w:i/>
          <w:iCs/>
          <w:sz w:val="24"/>
          <w:szCs w:val="24"/>
        </w:rPr>
        <w:t xml:space="preserve"> </w:t>
      </w:r>
      <w:r w:rsidRPr="00771368">
        <w:rPr>
          <w:sz w:val="24"/>
          <w:szCs w:val="24"/>
        </w:rPr>
        <w:t>gama de elementos suscitados acima com as transformações sociais dos últimos anos, principalmente a nova dinâmica demográfica relacionada à entrada das mulheres no mercado de trabalho (um dos grandes responsáveis por provocar queda das taxas de fecundidade), o progressivo envelhecimento da população e os diferentes arranjos familiares, a exemplo do novo padrão de família monoparental que se apresenta em grande parte das sociedades pós-modernas.</w:t>
      </w:r>
    </w:p>
    <w:p w:rsidR="00D24E61" w:rsidRPr="00771368" w:rsidRDefault="00D24E61">
      <w:pPr>
        <w:spacing w:line="74" w:lineRule="exact"/>
        <w:rPr>
          <w:sz w:val="20"/>
          <w:szCs w:val="20"/>
        </w:rPr>
      </w:pPr>
    </w:p>
    <w:p w:rsidR="00D24E61" w:rsidRPr="00771368" w:rsidRDefault="00D24E61">
      <w:pPr>
        <w:spacing w:line="353" w:lineRule="auto"/>
        <w:ind w:firstLine="708"/>
        <w:jc w:val="both"/>
        <w:rPr>
          <w:sz w:val="20"/>
          <w:szCs w:val="20"/>
        </w:rPr>
      </w:pPr>
      <w:r w:rsidRPr="00771368">
        <w:rPr>
          <w:sz w:val="24"/>
          <w:szCs w:val="24"/>
        </w:rPr>
        <w:t>A tese principal da obra sustenta que a revolução pela qual as mulheres têm passado nas últimas décadas ainda não atingiu sua plenitude, privilegiando apenas as mulheres de classe média e alta, estas com maiores níveis de escolaridade e melhor remuneração. As mulheres mais pobres e pouco instruídas encontram-se à margem desse contexto de emancipação, pois além de apresentarem maiores índices de natalidade, a maioria delas encontra-se em situação de vulnerabilidade social, estando mais propensas a perpetuar a partir do próprio núcleo familiar o ciclo dos papéis tradicionais de mãe e dona de casa.</w:t>
      </w:r>
    </w:p>
    <w:p w:rsidR="00D24E61" w:rsidRPr="00771368" w:rsidRDefault="00D24E61">
      <w:pPr>
        <w:spacing w:line="65"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O autor procura identificar quais as espécies de políticas públicas que o Estado deve empreender para otimizar a qualidade de vida da população como um todo, apresentando propostas destinadas a eliminar os contrastes sociais. Um dos grandes obstáculos que a Europa atualmente enfrenta é que, ao contrário do que se pensava, a universalização do acesso ao ensino superior não foi capaz de neutralizar a totalidade das desigualdades sociais e do preconceito de gênero.</w:t>
      </w:r>
    </w:p>
    <w:p w:rsidR="00D24E61" w:rsidRPr="00771368" w:rsidRDefault="00D24E61">
      <w:pPr>
        <w:sectPr w:rsidR="00D24E61" w:rsidRPr="00771368">
          <w:pgSz w:w="11900" w:h="16838"/>
          <w:pgMar w:top="1183" w:right="1680" w:bottom="1440" w:left="1700" w:header="0" w:footer="0" w:gutter="0"/>
          <w:cols w:space="720" w:equalWidth="0">
            <w:col w:w="8520"/>
          </w:cols>
        </w:sectPr>
      </w:pPr>
    </w:p>
    <w:p w:rsidR="00D24E61" w:rsidRPr="00771368" w:rsidRDefault="00D24E61">
      <w:pPr>
        <w:spacing w:line="343" w:lineRule="auto"/>
        <w:ind w:firstLine="708"/>
        <w:jc w:val="both"/>
        <w:rPr>
          <w:sz w:val="20"/>
          <w:szCs w:val="20"/>
        </w:rPr>
      </w:pPr>
      <w:r w:rsidRPr="00771368">
        <w:rPr>
          <w:sz w:val="24"/>
          <w:szCs w:val="24"/>
        </w:rPr>
        <w:t>Por meio desse diagnóstico é que Esping-Andersen reforça a ideia de que ―toda e qualquer reforma da Previdência começa com os bebês‖</w:t>
      </w:r>
      <w:r w:rsidRPr="00771368">
        <w:rPr>
          <w:sz w:val="32"/>
          <w:szCs w:val="32"/>
          <w:vertAlign w:val="superscript"/>
        </w:rPr>
        <w:t>22</w:t>
      </w:r>
      <w:r w:rsidRPr="00771368">
        <w:rPr>
          <w:sz w:val="24"/>
          <w:szCs w:val="24"/>
        </w:rPr>
        <w:t>, asseverando que as políticas que privilegiam a primeira infância constituem uma poderosa ferramenta de mudança social. Para atingir tal estágio, o autor diz ser fundamental o investimento em políticas de apoio às mulheres, incluindo um regime de tributação individual, creches subsidiadas pelo Estado, licença parental paga a ambos os pais, que lhes assegure estabilidade no emprego. A fórmula responsável por proporcionar igualdade de oportunidades desde o berço – composta pelo livre acesso a creches de qualidade, saúde e educação infantil – é a prerrogativa básica apontada pelo autor para se alcançar uma sociedade digna, norteada pelo imperativo ético da justiça, com a garantia dos direitos humanos para todos.</w:t>
      </w:r>
    </w:p>
    <w:p w:rsidR="00D24E61" w:rsidRPr="00771368" w:rsidRDefault="00D24E61">
      <w:pPr>
        <w:spacing w:line="200" w:lineRule="exact"/>
        <w:rPr>
          <w:sz w:val="20"/>
          <w:szCs w:val="20"/>
        </w:rPr>
      </w:pPr>
    </w:p>
    <w:p w:rsidR="00D24E61" w:rsidRPr="00771368" w:rsidRDefault="00D24E61">
      <w:pPr>
        <w:spacing w:line="243" w:lineRule="exact"/>
        <w:rPr>
          <w:sz w:val="20"/>
          <w:szCs w:val="20"/>
        </w:rPr>
      </w:pPr>
    </w:p>
    <w:p w:rsidR="00D24E61" w:rsidRPr="00771368" w:rsidRDefault="00D24E61">
      <w:pPr>
        <w:rPr>
          <w:sz w:val="20"/>
          <w:szCs w:val="20"/>
        </w:rPr>
      </w:pPr>
      <w:r w:rsidRPr="00771368">
        <w:rPr>
          <w:b/>
          <w:bCs/>
          <w:sz w:val="24"/>
          <w:szCs w:val="24"/>
        </w:rPr>
        <w:t>Políticas públicas destinadas à igualdade de gênero: o caso da Noruega</w:t>
      </w:r>
    </w:p>
    <w:p w:rsidR="00D24E61" w:rsidRPr="00771368" w:rsidRDefault="00D24E61">
      <w:pPr>
        <w:spacing w:line="332" w:lineRule="exact"/>
        <w:rPr>
          <w:sz w:val="20"/>
          <w:szCs w:val="20"/>
        </w:rPr>
      </w:pPr>
    </w:p>
    <w:p w:rsidR="00D24E61" w:rsidRPr="00771368" w:rsidRDefault="00D24E61">
      <w:pPr>
        <w:spacing w:line="333" w:lineRule="auto"/>
        <w:ind w:firstLine="708"/>
        <w:jc w:val="both"/>
        <w:rPr>
          <w:sz w:val="20"/>
          <w:szCs w:val="20"/>
        </w:rPr>
      </w:pPr>
      <w:r w:rsidRPr="00771368">
        <w:rPr>
          <w:sz w:val="24"/>
          <w:szCs w:val="24"/>
        </w:rPr>
        <w:t>Assim como seus vizinhos Dinamarca e Suécia, o sistema judiciário norueguês é altamente sofisticado em termos de tecnologia da informação, disponibilizando uma ampla gama de plataformas online</w:t>
      </w:r>
      <w:r w:rsidRPr="00771368">
        <w:rPr>
          <w:sz w:val="32"/>
          <w:szCs w:val="32"/>
          <w:vertAlign w:val="superscript"/>
        </w:rPr>
        <w:t>23</w:t>
      </w:r>
      <w:r w:rsidRPr="00771368">
        <w:rPr>
          <w:sz w:val="24"/>
          <w:szCs w:val="24"/>
        </w:rPr>
        <w:t xml:space="preserve"> e bases de dados com acesso à legislação, jurisprudência, dentre outras fontes de Direito, como estatutos, disposições administrativas e doutrina especializada. A maioria dos documentos pode ser acessada gratuitamente, e para os pesquisadores ou público que não esteja familiarizado com o idioma local, as versões em inglês se apresentam bastante satisfatórias.</w:t>
      </w:r>
    </w:p>
    <w:p w:rsidR="00D24E61" w:rsidRPr="00771368" w:rsidRDefault="00D24E61">
      <w:pPr>
        <w:spacing w:line="92" w:lineRule="exact"/>
        <w:rPr>
          <w:sz w:val="20"/>
          <w:szCs w:val="20"/>
        </w:rPr>
      </w:pPr>
    </w:p>
    <w:p w:rsidR="00D24E61" w:rsidRPr="00771368" w:rsidRDefault="00D24E61">
      <w:pPr>
        <w:spacing w:line="331" w:lineRule="auto"/>
        <w:ind w:firstLine="708"/>
        <w:jc w:val="both"/>
        <w:rPr>
          <w:sz w:val="20"/>
          <w:szCs w:val="20"/>
        </w:rPr>
      </w:pPr>
      <w:r w:rsidRPr="00771368">
        <w:rPr>
          <w:sz w:val="24"/>
          <w:szCs w:val="24"/>
        </w:rPr>
        <w:t xml:space="preserve">Para a presente investigação, foram coletadas informações oficiais em diversos portais de matéria jurídica norueguesa, e posteriormente realizada uma triagem dos dispositivos legais mais relevantes a tutelar os direitos das mulheres e das crianças naquele país. Pela análise do material, a lei mais antiga e específica que versa sobre igualdade de gênero é a Lei nº 45, promulgada em 09 de junho de 1978, chamada Lei da Igualdade </w:t>
      </w:r>
      <w:r w:rsidRPr="00771368">
        <w:rPr>
          <w:i/>
          <w:iCs/>
          <w:sz w:val="24"/>
          <w:szCs w:val="24"/>
        </w:rPr>
        <w:t>(Likestillingsloven)</w:t>
      </w:r>
      <w:r w:rsidRPr="00771368">
        <w:rPr>
          <w:sz w:val="32"/>
          <w:szCs w:val="32"/>
          <w:vertAlign w:val="superscript"/>
        </w:rPr>
        <w:t>24</w:t>
      </w:r>
      <w:r w:rsidRPr="00771368">
        <w:rPr>
          <w:sz w:val="24"/>
          <w:szCs w:val="24"/>
        </w:rPr>
        <w:t>. A forma como ela é redigida difere um pouco da formatação das leis brasileiras, já que em sua versão original</w:t>
      </w:r>
      <w:r w:rsidRPr="00771368">
        <w:rPr>
          <w:sz w:val="32"/>
          <w:szCs w:val="32"/>
          <w:vertAlign w:val="superscript"/>
        </w:rPr>
        <w:t>25</w:t>
      </w:r>
      <w:r w:rsidRPr="00771368">
        <w:rPr>
          <w:sz w:val="24"/>
          <w:szCs w:val="24"/>
        </w:rPr>
        <w:t xml:space="preserve"> ela não é dividida em</w:t>
      </w:r>
    </w:p>
    <w:p w:rsidR="00D24E61" w:rsidRPr="00771368" w:rsidRDefault="00013211" w:rsidP="00ED7B83">
      <w:pPr>
        <w:spacing w:line="200" w:lineRule="exact"/>
        <w:rPr>
          <w:sz w:val="20"/>
          <w:szCs w:val="20"/>
        </w:rPr>
      </w:pPr>
      <w:r>
        <w:rPr>
          <w:noProof/>
          <w:sz w:val="20"/>
          <w:szCs w:val="20"/>
        </w:rPr>
        <mc:AlternateContent>
          <mc:Choice Requires="wps">
            <w:drawing>
              <wp:anchor distT="0" distB="0" distL="0" distR="0" simplePos="0" relativeHeight="251630080" behindDoc="0" locked="0" layoutInCell="0" allowOverlap="1">
                <wp:simplePos x="0" y="0"/>
                <wp:positionH relativeFrom="column">
                  <wp:posOffset>1270</wp:posOffset>
                </wp:positionH>
                <wp:positionV relativeFrom="paragraph">
                  <wp:posOffset>88265</wp:posOffset>
                </wp:positionV>
                <wp:extent cx="1828800" cy="0"/>
                <wp:effectExtent l="10795" t="12065" r="8255" b="6985"/>
                <wp:wrapNone/>
                <wp:docPr id="298"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9" o:spid="_x0000_s1026" style="position:absolute;z-index:25163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95pt" to="144.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xAEwIAACs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" o:allowincell="f" strokeweight=".21164mm"/>
            </w:pict>
          </mc:Fallback>
        </mc:AlternateContent>
      </w:r>
    </w:p>
    <w:p w:rsidR="00D24E61" w:rsidRPr="00D61223" w:rsidRDefault="00D24E61" w:rsidP="00FA0ABA">
      <w:pPr>
        <w:numPr>
          <w:ilvl w:val="0"/>
          <w:numId w:val="30"/>
        </w:numPr>
        <w:tabs>
          <w:tab w:val="left" w:pos="280"/>
        </w:tabs>
        <w:spacing w:line="239" w:lineRule="auto"/>
        <w:ind w:left="280" w:hanging="278"/>
        <w:jc w:val="both"/>
        <w:rPr>
          <w:sz w:val="26"/>
          <w:szCs w:val="26"/>
          <w:vertAlign w:val="superscript"/>
          <w:lang w:val="en-US"/>
        </w:rPr>
      </w:pPr>
      <w:r w:rsidRPr="00D61223">
        <w:rPr>
          <w:sz w:val="20"/>
          <w:szCs w:val="20"/>
          <w:lang w:val="en-US"/>
        </w:rPr>
        <w:t xml:space="preserve">ESPING-ANDERSEN,  Gøsta.  </w:t>
      </w:r>
      <w:r w:rsidRPr="00D61223">
        <w:rPr>
          <w:b/>
          <w:bCs/>
          <w:sz w:val="20"/>
          <w:szCs w:val="20"/>
          <w:lang w:val="en-US"/>
        </w:rPr>
        <w:t>The  incomplete  revolution</w:t>
      </w:r>
      <w:r w:rsidRPr="00D61223">
        <w:rPr>
          <w:sz w:val="20"/>
          <w:szCs w:val="20"/>
          <w:lang w:val="en-US"/>
        </w:rPr>
        <w:t>:  adapting  to  women’s  new  roles.</w:t>
      </w:r>
    </w:p>
    <w:p w:rsidR="00D24E61" w:rsidRPr="00D61223" w:rsidRDefault="00D24E61">
      <w:pPr>
        <w:spacing w:line="20" w:lineRule="exact"/>
        <w:rPr>
          <w:sz w:val="26"/>
          <w:szCs w:val="26"/>
          <w:vertAlign w:val="superscript"/>
          <w:lang w:val="en-US"/>
        </w:rPr>
      </w:pPr>
    </w:p>
    <w:p w:rsidR="00D24E61" w:rsidRPr="00771368" w:rsidRDefault="00D24E61">
      <w:pPr>
        <w:spacing w:line="220" w:lineRule="auto"/>
        <w:ind w:left="280"/>
        <w:jc w:val="both"/>
        <w:rPr>
          <w:sz w:val="26"/>
          <w:szCs w:val="26"/>
          <w:vertAlign w:val="superscript"/>
        </w:rPr>
      </w:pPr>
      <w:r w:rsidRPr="00771368">
        <w:rPr>
          <w:sz w:val="20"/>
          <w:szCs w:val="20"/>
        </w:rPr>
        <w:t>Cambridge: Polity Press, 2009. p. 4.</w:t>
      </w:r>
    </w:p>
    <w:p w:rsidR="00D24E61" w:rsidRPr="00771368" w:rsidRDefault="00D24E61">
      <w:pPr>
        <w:spacing w:line="49" w:lineRule="exact"/>
        <w:rPr>
          <w:sz w:val="26"/>
          <w:szCs w:val="26"/>
          <w:vertAlign w:val="superscript"/>
        </w:rPr>
      </w:pPr>
    </w:p>
    <w:p w:rsidR="00D24E61" w:rsidRPr="00771368" w:rsidRDefault="00D24E61" w:rsidP="00FA0ABA">
      <w:pPr>
        <w:numPr>
          <w:ilvl w:val="0"/>
          <w:numId w:val="30"/>
        </w:numPr>
        <w:tabs>
          <w:tab w:val="left" w:pos="222"/>
        </w:tabs>
        <w:spacing w:line="202" w:lineRule="auto"/>
        <w:ind w:left="280" w:hanging="278"/>
        <w:jc w:val="both"/>
        <w:rPr>
          <w:sz w:val="26"/>
          <w:szCs w:val="26"/>
          <w:vertAlign w:val="superscript"/>
        </w:rPr>
      </w:pPr>
      <w:r w:rsidRPr="00771368">
        <w:rPr>
          <w:sz w:val="20"/>
          <w:szCs w:val="20"/>
        </w:rPr>
        <w:t xml:space="preserve">As principais plataformas online que disponibilizam documentos jurídicos da Noruega em outros idiomas são o site </w:t>
      </w:r>
      <w:r w:rsidRPr="00771368">
        <w:rPr>
          <w:i/>
          <w:iCs/>
          <w:sz w:val="20"/>
          <w:szCs w:val="20"/>
        </w:rPr>
        <w:t>Lovdata</w:t>
      </w:r>
      <w:r w:rsidRPr="00771368">
        <w:rPr>
          <w:sz w:val="20"/>
          <w:szCs w:val="20"/>
        </w:rPr>
        <w:t xml:space="preserve"> &lt;http://www.lovdata.no/&gt; e o site </w:t>
      </w:r>
      <w:r w:rsidRPr="00771368">
        <w:rPr>
          <w:i/>
          <w:iCs/>
          <w:sz w:val="20"/>
          <w:szCs w:val="20"/>
        </w:rPr>
        <w:t>Universitetsbiblioteket i Oslo</w:t>
      </w:r>
      <w:r w:rsidRPr="00771368">
        <w:rPr>
          <w:sz w:val="20"/>
          <w:szCs w:val="20"/>
        </w:rPr>
        <w:t>, cujo catálogo completo com a legislação oficial norueguesa encontra-se no seguinte endereço eletrônico:</w:t>
      </w:r>
    </w:p>
    <w:p w:rsidR="00D24E61" w:rsidRPr="00771368" w:rsidRDefault="00D24E61">
      <w:pPr>
        <w:spacing w:line="1" w:lineRule="exact"/>
        <w:rPr>
          <w:sz w:val="26"/>
          <w:szCs w:val="26"/>
          <w:vertAlign w:val="superscript"/>
        </w:rPr>
      </w:pPr>
    </w:p>
    <w:p w:rsidR="00D24E61" w:rsidRPr="00771368" w:rsidRDefault="00D24E61">
      <w:pPr>
        <w:spacing w:line="239" w:lineRule="auto"/>
        <w:ind w:left="280"/>
        <w:jc w:val="both"/>
        <w:rPr>
          <w:sz w:val="26"/>
          <w:szCs w:val="26"/>
          <w:vertAlign w:val="superscript"/>
        </w:rPr>
      </w:pPr>
      <w:r w:rsidRPr="00771368">
        <w:rPr>
          <w:sz w:val="20"/>
          <w:szCs w:val="20"/>
        </w:rPr>
        <w:t>&lt;http://www.ub.uio.no/cgi-bin/ujur/ulov/sok.cgi?type=LOV&gt;</w:t>
      </w:r>
    </w:p>
    <w:p w:rsidR="00D24E61" w:rsidRPr="00771368" w:rsidRDefault="00D24E61">
      <w:pPr>
        <w:spacing w:line="50" w:lineRule="exact"/>
        <w:rPr>
          <w:sz w:val="26"/>
          <w:szCs w:val="26"/>
          <w:vertAlign w:val="superscript"/>
        </w:rPr>
      </w:pPr>
    </w:p>
    <w:p w:rsidR="00D24E61" w:rsidRPr="00D61223" w:rsidRDefault="00D24E61" w:rsidP="00FA0ABA">
      <w:pPr>
        <w:numPr>
          <w:ilvl w:val="0"/>
          <w:numId w:val="30"/>
        </w:numPr>
        <w:tabs>
          <w:tab w:val="left" w:pos="280"/>
        </w:tabs>
        <w:spacing w:line="211" w:lineRule="auto"/>
        <w:ind w:left="280" w:hanging="278"/>
        <w:jc w:val="both"/>
        <w:rPr>
          <w:sz w:val="26"/>
          <w:szCs w:val="26"/>
          <w:vertAlign w:val="superscript"/>
          <w:lang w:val="en-US"/>
        </w:rPr>
      </w:pPr>
      <w:r w:rsidRPr="00771368">
        <w:rPr>
          <w:sz w:val="20"/>
          <w:szCs w:val="20"/>
        </w:rPr>
        <w:t xml:space="preserve">Texto disponível em inglês na página oficial do Governo Norueguês. </w:t>
      </w:r>
      <w:r w:rsidRPr="00D61223">
        <w:rPr>
          <w:sz w:val="20"/>
          <w:szCs w:val="20"/>
          <w:lang w:val="en-US"/>
        </w:rPr>
        <w:t>Ministry of Children, Equality and Social Inclusion &lt;http://www.regjeringen.no/en/dep/bld/documents/Laws-and-rules/Laws.html?id=334&gt; e na plataforma juridica &lt;http://www.lovdata.no/all/hl-19780609-045.html&gt;.</w:t>
      </w:r>
    </w:p>
    <w:p w:rsidR="00D24E61" w:rsidRPr="00771368" w:rsidRDefault="00D24E61" w:rsidP="00FA0ABA">
      <w:pPr>
        <w:numPr>
          <w:ilvl w:val="0"/>
          <w:numId w:val="30"/>
        </w:numPr>
        <w:tabs>
          <w:tab w:val="left" w:pos="280"/>
        </w:tabs>
        <w:spacing w:line="184" w:lineRule="auto"/>
        <w:ind w:left="280" w:hanging="278"/>
        <w:jc w:val="both"/>
        <w:rPr>
          <w:sz w:val="26"/>
          <w:szCs w:val="26"/>
          <w:vertAlign w:val="superscript"/>
        </w:rPr>
      </w:pPr>
      <w:r w:rsidRPr="00771368">
        <w:rPr>
          <w:sz w:val="20"/>
          <w:szCs w:val="20"/>
        </w:rPr>
        <w:t>Texto original em norueguês disponível em: &lt;http://www.lovdata.no/all/tl-19780609-045-0.html#1&gt;</w:t>
      </w:r>
    </w:p>
    <w:p w:rsidR="00D24E61" w:rsidRPr="00771368" w:rsidRDefault="00D24E61">
      <w:pPr>
        <w:sectPr w:rsidR="00D24E61" w:rsidRPr="00771368">
          <w:pgSz w:w="11900" w:h="16838"/>
          <w:pgMar w:top="1183" w:right="1700" w:bottom="724" w:left="1700" w:header="0" w:footer="0" w:gutter="0"/>
          <w:cols w:space="720" w:equalWidth="0">
            <w:col w:w="8500"/>
          </w:cols>
        </w:sectPr>
      </w:pPr>
    </w:p>
    <w:p w:rsidR="00D24E61" w:rsidRPr="00771368" w:rsidRDefault="00D24E61">
      <w:pPr>
        <w:spacing w:line="310" w:lineRule="auto"/>
        <w:jc w:val="both"/>
        <w:rPr>
          <w:sz w:val="20"/>
          <w:szCs w:val="20"/>
        </w:rPr>
      </w:pPr>
      <w:r w:rsidRPr="00771368">
        <w:rPr>
          <w:sz w:val="24"/>
          <w:szCs w:val="24"/>
        </w:rPr>
        <w:t>artigos, mas sim em uma sequência de vinte e duas seções, representadas por parágrafos.</w:t>
      </w:r>
    </w:p>
    <w:p w:rsidR="00D24E61" w:rsidRPr="00771368" w:rsidRDefault="00D24E61">
      <w:pPr>
        <w:spacing w:line="115" w:lineRule="exact"/>
        <w:rPr>
          <w:sz w:val="20"/>
          <w:szCs w:val="20"/>
        </w:rPr>
      </w:pPr>
    </w:p>
    <w:p w:rsidR="00D24E61" w:rsidRPr="00771368" w:rsidRDefault="00D24E61">
      <w:pPr>
        <w:spacing w:line="346" w:lineRule="auto"/>
        <w:ind w:firstLine="708"/>
        <w:jc w:val="both"/>
        <w:rPr>
          <w:sz w:val="20"/>
          <w:szCs w:val="20"/>
        </w:rPr>
      </w:pPr>
      <w:r w:rsidRPr="00771368">
        <w:rPr>
          <w:sz w:val="24"/>
          <w:szCs w:val="24"/>
        </w:rPr>
        <w:t>A primeira seção aponta o princípio norteador dos subsequentes, fundamentados na igualdade de oportunidades em praticamente todos os domínios sociais, educação, emprego, desenvolvimento cultural e profissional. Seu texto é breve, mas quando analisado mais atentamente, é possível constatar seu denso teor, tanto no aspecto regulamentar, quanto pelo seu caráter coercitivo e paternalista, já que em diversas passagens o legislador alerta e convoca a sociedade para atuar como fiscal da Lei. Suas características eminentemente normativas podem ser explicadas se inserirmos a lei ao momento histórico da época em que foi redigida, enquadrando a mesma à vanguarda acadêmica com relação aos Direitos das Mulheres</w:t>
      </w:r>
      <w:r w:rsidRPr="00771368">
        <w:rPr>
          <w:sz w:val="32"/>
          <w:szCs w:val="32"/>
          <w:vertAlign w:val="superscript"/>
        </w:rPr>
        <w:t>26</w:t>
      </w:r>
      <w:r w:rsidRPr="00771368">
        <w:rPr>
          <w:sz w:val="24"/>
          <w:szCs w:val="24"/>
        </w:rPr>
        <w:t>. O conjunto desses elementos sutilmente pode nos levar a pensar que os costumes e o respeito às mulheres já se encontravam inseridos e consolidados em um padrão comportamental coletivo, e que a Lei da Igualdade surgiu para suprir uma lacuna, constituindo apenas um dispositivo formal a regulamentar esse fato social já existente.</w:t>
      </w:r>
    </w:p>
    <w:p w:rsidR="00D24E61" w:rsidRPr="00771368" w:rsidRDefault="00D24E61">
      <w:pPr>
        <w:spacing w:line="21" w:lineRule="exact"/>
        <w:rPr>
          <w:sz w:val="20"/>
          <w:szCs w:val="20"/>
        </w:rPr>
      </w:pPr>
    </w:p>
    <w:p w:rsidR="00D24E61" w:rsidRPr="00771368" w:rsidRDefault="00D24E61">
      <w:pPr>
        <w:ind w:left="720"/>
        <w:rPr>
          <w:sz w:val="20"/>
          <w:szCs w:val="20"/>
        </w:rPr>
      </w:pPr>
      <w:r w:rsidRPr="00771368">
        <w:rPr>
          <w:sz w:val="24"/>
          <w:szCs w:val="24"/>
        </w:rPr>
        <w:t>Outro mecanismo interessante que o sistema norueguês possui é a figura do</w:t>
      </w:r>
    </w:p>
    <w:p w:rsidR="00D24E61" w:rsidRPr="00771368" w:rsidRDefault="00D24E61">
      <w:pPr>
        <w:spacing w:line="195" w:lineRule="exact"/>
        <w:rPr>
          <w:sz w:val="20"/>
          <w:szCs w:val="20"/>
        </w:rPr>
      </w:pPr>
    </w:p>
    <w:p w:rsidR="00D24E61" w:rsidRPr="00771368" w:rsidRDefault="00D24E61">
      <w:pPr>
        <w:spacing w:line="328" w:lineRule="auto"/>
        <w:jc w:val="both"/>
        <w:rPr>
          <w:sz w:val="20"/>
          <w:szCs w:val="20"/>
        </w:rPr>
      </w:pPr>
      <w:r w:rsidRPr="00771368">
        <w:rPr>
          <w:sz w:val="24"/>
          <w:szCs w:val="24"/>
        </w:rPr>
        <w:t xml:space="preserve">―Provedor para a Igualdade‖ </w:t>
      </w:r>
      <w:r w:rsidRPr="00771368">
        <w:rPr>
          <w:i/>
          <w:iCs/>
          <w:sz w:val="24"/>
          <w:szCs w:val="24"/>
        </w:rPr>
        <w:t>(Ombudsman)</w:t>
      </w:r>
      <w:r w:rsidRPr="00771368">
        <w:rPr>
          <w:sz w:val="24"/>
          <w:szCs w:val="24"/>
        </w:rPr>
        <w:t>, que ao lado da Comissão de Apelo para a Igualdade, atuam exclusivamente para impulsionar o cumprimento dessa lei.</w:t>
      </w:r>
      <w:r w:rsidRPr="00771368">
        <w:rPr>
          <w:sz w:val="32"/>
          <w:szCs w:val="32"/>
          <w:vertAlign w:val="superscript"/>
        </w:rPr>
        <w:t>27</w:t>
      </w:r>
      <w:r w:rsidRPr="00771368">
        <w:rPr>
          <w:sz w:val="24"/>
          <w:szCs w:val="24"/>
        </w:rPr>
        <w:t xml:space="preserve"> A fiscalização está prevista na segunda seção, e impõe às autoridades e órgãos públicos a apresentarem relatórios anuais detalhando as medidas que foram aplicadas para garantir os direitos à igualdade, prestando contas à sociedade, tornando público seu compromisso e esforços empregados no combate à discriminação contra as mulheres.</w:t>
      </w:r>
    </w:p>
    <w:p w:rsidR="00D24E61" w:rsidRPr="00771368" w:rsidRDefault="00D24E61">
      <w:pPr>
        <w:spacing w:line="95" w:lineRule="exact"/>
        <w:rPr>
          <w:sz w:val="20"/>
          <w:szCs w:val="20"/>
        </w:rPr>
      </w:pPr>
    </w:p>
    <w:p w:rsidR="00D24E61" w:rsidRPr="00771368" w:rsidRDefault="00D24E61">
      <w:pPr>
        <w:spacing w:line="341" w:lineRule="auto"/>
        <w:ind w:firstLine="708"/>
        <w:jc w:val="both"/>
        <w:rPr>
          <w:sz w:val="20"/>
          <w:szCs w:val="20"/>
        </w:rPr>
      </w:pPr>
      <w:r w:rsidRPr="00771368">
        <w:rPr>
          <w:sz w:val="24"/>
          <w:szCs w:val="24"/>
        </w:rPr>
        <w:t>Tove Stang Dahl ensina que a seção 21 da Lei da Igualdade é resultado de dois decretos reais (1973 e 1976) e que à época suscitou inúmeras controvérsias no meio político. Através desse dispositivo, o Governo tem o dever legal de incluir uma porcentagem de mulheres em todos os cargos e comissões públicas, caracterizando assim um típico exemplo de política afirmativa, subdividindo-se em duas categorias: cotas de atribuição e cotas de prioridade.</w:t>
      </w:r>
      <w:r w:rsidRPr="00771368">
        <w:rPr>
          <w:sz w:val="32"/>
          <w:szCs w:val="32"/>
          <w:vertAlign w:val="superscript"/>
        </w:rPr>
        <w:t>28</w:t>
      </w:r>
    </w:p>
    <w:p w:rsidR="00D24E61" w:rsidRPr="00771368" w:rsidRDefault="00D24E61">
      <w:pPr>
        <w:spacing w:line="1"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 questão relativa à política de cotas divide opiniões, e quase sempre emerge acompanhada de discussões. De um lado, os opositores temem que indivíduos sem qualificações possam ocupar cargos que não possam desempenhar, com o risco de</w:t>
      </w:r>
    </w:p>
    <w:p w:rsidR="00D24E61" w:rsidRPr="00771368" w:rsidRDefault="00013211" w:rsidP="00ED7B83">
      <w:pPr>
        <w:spacing w:line="200" w:lineRule="exact"/>
        <w:rPr>
          <w:sz w:val="20"/>
          <w:szCs w:val="20"/>
        </w:rPr>
      </w:pPr>
      <w:r>
        <w:rPr>
          <w:noProof/>
          <w:sz w:val="20"/>
          <w:szCs w:val="20"/>
        </w:rPr>
        <mc:AlternateContent>
          <mc:Choice Requires="wps">
            <w:drawing>
              <wp:anchor distT="0" distB="0" distL="0" distR="0" simplePos="0" relativeHeight="251631104" behindDoc="0" locked="0" layoutInCell="0" allowOverlap="1">
                <wp:simplePos x="0" y="0"/>
                <wp:positionH relativeFrom="column">
                  <wp:posOffset>1270</wp:posOffset>
                </wp:positionH>
                <wp:positionV relativeFrom="paragraph">
                  <wp:posOffset>62230</wp:posOffset>
                </wp:positionV>
                <wp:extent cx="1828800" cy="0"/>
                <wp:effectExtent l="10795" t="5080" r="8255" b="13970"/>
                <wp:wrapNone/>
                <wp:docPr id="29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3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9pt" to="144.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" o:allowincell="f" strokeweight=".6pt"/>
            </w:pict>
          </mc:Fallback>
        </mc:AlternateContent>
      </w:r>
    </w:p>
    <w:p w:rsidR="00D24E61" w:rsidRPr="00771368" w:rsidRDefault="00D24E61" w:rsidP="00FA0ABA">
      <w:pPr>
        <w:numPr>
          <w:ilvl w:val="0"/>
          <w:numId w:val="31"/>
        </w:numPr>
        <w:tabs>
          <w:tab w:val="left" w:pos="280"/>
        </w:tabs>
        <w:spacing w:line="202" w:lineRule="auto"/>
        <w:ind w:left="280" w:hanging="278"/>
        <w:jc w:val="both"/>
        <w:rPr>
          <w:sz w:val="26"/>
          <w:szCs w:val="26"/>
          <w:vertAlign w:val="superscript"/>
        </w:rPr>
      </w:pPr>
      <w:r w:rsidRPr="00771368">
        <w:rPr>
          <w:sz w:val="20"/>
          <w:szCs w:val="20"/>
        </w:rPr>
        <w:t>Como já apontado anteriormente em passagem do livro de Tove Stang Dahl, em 1974 a disciplina Direito das Mulheres foi implantada à grade curricular do curso de Direito da Universidade de Oslo, e desde 1978 constitui instituto autônomo no departamento de Direito Público.</w:t>
      </w:r>
    </w:p>
    <w:p w:rsidR="00D24E61" w:rsidRPr="00771368" w:rsidRDefault="00D24E61">
      <w:pPr>
        <w:spacing w:line="52" w:lineRule="exact"/>
        <w:rPr>
          <w:sz w:val="26"/>
          <w:szCs w:val="26"/>
          <w:vertAlign w:val="superscript"/>
        </w:rPr>
      </w:pPr>
    </w:p>
    <w:p w:rsidR="00D24E61" w:rsidRPr="00771368" w:rsidRDefault="00D24E61" w:rsidP="00FA0ABA">
      <w:pPr>
        <w:numPr>
          <w:ilvl w:val="0"/>
          <w:numId w:val="31"/>
        </w:numPr>
        <w:tabs>
          <w:tab w:val="left" w:pos="280"/>
        </w:tabs>
        <w:spacing w:line="185" w:lineRule="auto"/>
        <w:ind w:left="280" w:hanging="278"/>
        <w:jc w:val="both"/>
        <w:rPr>
          <w:sz w:val="26"/>
          <w:szCs w:val="26"/>
          <w:vertAlign w:val="superscript"/>
        </w:rPr>
      </w:pPr>
      <w:r w:rsidRPr="00771368">
        <w:rPr>
          <w:sz w:val="20"/>
          <w:szCs w:val="20"/>
        </w:rPr>
        <w:t xml:space="preserve">DAHL, Tove Stang. </w:t>
      </w:r>
      <w:r w:rsidRPr="00771368">
        <w:rPr>
          <w:b/>
          <w:bCs/>
          <w:sz w:val="20"/>
          <w:szCs w:val="20"/>
        </w:rPr>
        <w:t>O Direito das Mulheres</w:t>
      </w:r>
      <w:r w:rsidRPr="00771368">
        <w:rPr>
          <w:sz w:val="20"/>
          <w:szCs w:val="20"/>
        </w:rPr>
        <w:t>: uma introdução à teoria do direito feminista. Lisboa: FCG, 1993. p. 90.</w:t>
      </w:r>
    </w:p>
    <w:p w:rsidR="00D24E61" w:rsidRPr="00771368" w:rsidRDefault="00D24E61">
      <w:pPr>
        <w:spacing w:line="1" w:lineRule="exact"/>
        <w:rPr>
          <w:sz w:val="26"/>
          <w:szCs w:val="26"/>
          <w:vertAlign w:val="superscript"/>
        </w:rPr>
      </w:pPr>
    </w:p>
    <w:p w:rsidR="00D24E61" w:rsidRPr="00771368" w:rsidRDefault="00D24E61" w:rsidP="00FA0ABA">
      <w:pPr>
        <w:numPr>
          <w:ilvl w:val="0"/>
          <w:numId w:val="31"/>
        </w:numPr>
        <w:tabs>
          <w:tab w:val="left" w:pos="280"/>
        </w:tabs>
        <w:spacing w:line="184" w:lineRule="auto"/>
        <w:ind w:left="280" w:hanging="278"/>
        <w:jc w:val="both"/>
        <w:rPr>
          <w:sz w:val="26"/>
          <w:szCs w:val="26"/>
          <w:vertAlign w:val="superscript"/>
        </w:rPr>
      </w:pPr>
      <w:r w:rsidRPr="00771368">
        <w:rPr>
          <w:sz w:val="20"/>
          <w:szCs w:val="20"/>
        </w:rPr>
        <w:t>Ibid., p. 47-51.</w:t>
      </w:r>
    </w:p>
    <w:p w:rsidR="00D24E61" w:rsidRPr="00771368" w:rsidRDefault="00D24E61">
      <w:pPr>
        <w:sectPr w:rsidR="00D24E61" w:rsidRPr="00771368">
          <w:pgSz w:w="11900" w:h="16838"/>
          <w:pgMar w:top="1183" w:right="1700" w:bottom="724" w:left="1700" w:header="0" w:footer="0" w:gutter="0"/>
          <w:cols w:space="720" w:equalWidth="0">
            <w:col w:w="8500"/>
          </w:cols>
        </w:sectPr>
      </w:pPr>
    </w:p>
    <w:p w:rsidR="00D24E61" w:rsidRPr="00771368" w:rsidRDefault="00D24E61">
      <w:pPr>
        <w:spacing w:line="350" w:lineRule="auto"/>
        <w:jc w:val="both"/>
        <w:rPr>
          <w:sz w:val="20"/>
          <w:szCs w:val="20"/>
        </w:rPr>
      </w:pPr>
      <w:r w:rsidRPr="00771368">
        <w:rPr>
          <w:sz w:val="24"/>
          <w:szCs w:val="24"/>
        </w:rPr>
        <w:t>interferir na meritocracia. Já os defensores acreditam principalmente que é mediante o uso e força da lei, associada à implantação de medidas afirmativas que pode ser revertida uma situação histórica de discriminação, pois assim se abrem caminhos para se construir uma igualdade de fato – o que não significa que sejam contrárias ou anulem a idéia de mérito individual: a política afirmativa apenas garante o acesso e aumenta as chances para que este possa efetivamente existir.</w:t>
      </w:r>
    </w:p>
    <w:p w:rsidR="00D24E61" w:rsidRPr="00771368" w:rsidRDefault="00D24E61">
      <w:pPr>
        <w:spacing w:line="70" w:lineRule="exact"/>
        <w:rPr>
          <w:sz w:val="20"/>
          <w:szCs w:val="20"/>
        </w:rPr>
      </w:pPr>
    </w:p>
    <w:p w:rsidR="00D24E61" w:rsidRPr="00771368" w:rsidRDefault="00D24E61">
      <w:pPr>
        <w:spacing w:line="350" w:lineRule="auto"/>
        <w:ind w:firstLine="708"/>
        <w:jc w:val="both"/>
        <w:rPr>
          <w:sz w:val="20"/>
          <w:szCs w:val="20"/>
        </w:rPr>
      </w:pPr>
      <w:r w:rsidRPr="00771368">
        <w:rPr>
          <w:sz w:val="24"/>
          <w:szCs w:val="24"/>
        </w:rPr>
        <w:t>A jurista afirma que as leis sobre igualdade de tratamento não são capazes de produzir por si só, resultados iguais e justos. É evidente que as mulheres são diferentes dos homens, e a lei surge para minimizar o abismo que há entre as realidades. Por detrás da fachada de direitos e concessões oficialmente garantidos a todos, na prática ocorrem injustiças, isso porque a discriminação contra as mulheres vai muito além das violações a uma lei idealista sobre discriminação de gênero.</w:t>
      </w:r>
    </w:p>
    <w:p w:rsidR="00D24E61" w:rsidRPr="00771368" w:rsidRDefault="00D24E61">
      <w:pPr>
        <w:spacing w:line="70" w:lineRule="exact"/>
        <w:rPr>
          <w:sz w:val="20"/>
          <w:szCs w:val="20"/>
        </w:rPr>
      </w:pPr>
    </w:p>
    <w:p w:rsidR="00D24E61" w:rsidRPr="00771368" w:rsidRDefault="00D24E61">
      <w:pPr>
        <w:spacing w:line="343" w:lineRule="auto"/>
        <w:ind w:firstLine="708"/>
        <w:jc w:val="both"/>
        <w:rPr>
          <w:sz w:val="20"/>
          <w:szCs w:val="20"/>
        </w:rPr>
      </w:pPr>
      <w:r w:rsidRPr="00771368">
        <w:rPr>
          <w:sz w:val="24"/>
          <w:szCs w:val="24"/>
        </w:rPr>
        <w:t>Para melhorar a situação das mulheres com a ajuda do Direito, é preciso ter em mente a relação ―direito no papel‖ e ―direito na realidade‖, pois enquanto vivermos em um contexto social em que percursos e condições de vida, bem como as necessidades e oportunidades funcionarem de maneira diferente, certamente as leis vão afetar homens e mulheres de forma diferente. Portanto, ao menos de início, é preciso dispor um tratamento desigual, de modo a garantir àqueles grupos ou categorias desfavorecidas oportunidades de igualdade de mérito correspondentes.</w:t>
      </w:r>
      <w:r w:rsidRPr="00771368">
        <w:rPr>
          <w:sz w:val="32"/>
          <w:szCs w:val="32"/>
          <w:vertAlign w:val="superscript"/>
        </w:rPr>
        <w:t>29</w:t>
      </w:r>
    </w:p>
    <w:p w:rsidR="00D24E61" w:rsidRPr="00771368" w:rsidRDefault="00D24E61">
      <w:pPr>
        <w:spacing w:line="7" w:lineRule="exact"/>
        <w:rPr>
          <w:sz w:val="20"/>
          <w:szCs w:val="20"/>
        </w:rPr>
      </w:pPr>
    </w:p>
    <w:p w:rsidR="00D24E61" w:rsidRPr="00771368" w:rsidRDefault="00D24E61" w:rsidP="00ED7B83">
      <w:pPr>
        <w:ind w:firstLine="709"/>
        <w:jc w:val="both"/>
        <w:rPr>
          <w:sz w:val="20"/>
          <w:szCs w:val="20"/>
        </w:rPr>
      </w:pPr>
      <w:r w:rsidRPr="00771368">
        <w:rPr>
          <w:sz w:val="24"/>
          <w:szCs w:val="24"/>
        </w:rPr>
        <w:t>Esta percepção do legislador sobre os fatos da vida estendeu-se para outras esferas. Além da exigência imposta aos entes públicos para que destinem cotas para mulheres visando equilibrar as instâncias do poder, em 2003 foi promulgada na Noruega uma nova lei nesse sentido, mas dessa vez para que as empresas privadas destinem parte dos cargos de seus conselhos administrativos. Dependendo do número de membros, uma empresa podem ser obrigada a ter entre 33% e 50% do quadro de cada gênero, o que levou a um aumento significativo do número de mulheres nos conselhos de empresas norueguesas.</w:t>
      </w:r>
      <w:r w:rsidRPr="00771368">
        <w:rPr>
          <w:sz w:val="32"/>
          <w:szCs w:val="32"/>
          <w:vertAlign w:val="superscript"/>
        </w:rPr>
        <w:t>30</w:t>
      </w:r>
    </w:p>
    <w:p w:rsidR="00D24E61" w:rsidRPr="00771368" w:rsidRDefault="00D24E61">
      <w:pPr>
        <w:spacing w:line="7" w:lineRule="exact"/>
        <w:rPr>
          <w:sz w:val="20"/>
          <w:szCs w:val="20"/>
        </w:rPr>
      </w:pPr>
    </w:p>
    <w:p w:rsidR="00D24E61" w:rsidRPr="00771368" w:rsidRDefault="00D24E61">
      <w:pPr>
        <w:spacing w:line="347" w:lineRule="auto"/>
        <w:ind w:firstLine="708"/>
        <w:jc w:val="both"/>
        <w:rPr>
          <w:sz w:val="20"/>
          <w:szCs w:val="20"/>
        </w:rPr>
      </w:pPr>
      <w:r w:rsidRPr="00771368">
        <w:rPr>
          <w:sz w:val="24"/>
          <w:szCs w:val="24"/>
        </w:rPr>
        <w:t xml:space="preserve">Outra inovação decorrente dessa série de políticas destinadas à igualdade entre homens e mulheres, foi o benefício da licença-paternidade, que surgiu não apenas para reduzir as diferenças nas médias salariais e nas condições de trabalho, mas também com o objetivo de tornar mais igualitária a divisão de tarefas no âmbito doméstico – já que a dupla-jornada </w:t>
      </w:r>
      <w:r w:rsidRPr="00771368">
        <w:rPr>
          <w:sz w:val="23"/>
          <w:szCs w:val="23"/>
        </w:rPr>
        <w:t>sempre consistiu a maior fonte de desgaste para as mulheres. Os países</w:t>
      </w:r>
    </w:p>
    <w:p w:rsidR="00D24E61" w:rsidRPr="00771368" w:rsidRDefault="00013211">
      <w:pPr>
        <w:spacing w:line="379" w:lineRule="exact"/>
        <w:rPr>
          <w:sz w:val="20"/>
          <w:szCs w:val="20"/>
        </w:rPr>
      </w:pPr>
      <w:r>
        <w:rPr>
          <w:noProof/>
          <w:sz w:val="20"/>
          <w:szCs w:val="20"/>
        </w:rPr>
        <mc:AlternateContent>
          <mc:Choice Requires="wps">
            <w:drawing>
              <wp:anchor distT="0" distB="0" distL="0" distR="0" simplePos="0" relativeHeight="251632128" behindDoc="0" locked="0" layoutInCell="0" allowOverlap="1">
                <wp:simplePos x="0" y="0"/>
                <wp:positionH relativeFrom="column">
                  <wp:posOffset>1270</wp:posOffset>
                </wp:positionH>
                <wp:positionV relativeFrom="paragraph">
                  <wp:posOffset>140335</wp:posOffset>
                </wp:positionV>
                <wp:extent cx="1828800" cy="0"/>
                <wp:effectExtent l="10795" t="6985" r="8255" b="12065"/>
                <wp:wrapNone/>
                <wp:docPr id="29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3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1.05pt" to="144.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kFQIAACs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" o:allowincell="f" strokeweight=".21164mm"/>
            </w:pict>
          </mc:Fallback>
        </mc:AlternateContent>
      </w:r>
    </w:p>
    <w:p w:rsidR="00D24E61" w:rsidRPr="00771368" w:rsidRDefault="00D24E61" w:rsidP="00FA0ABA">
      <w:pPr>
        <w:numPr>
          <w:ilvl w:val="0"/>
          <w:numId w:val="32"/>
        </w:numPr>
        <w:tabs>
          <w:tab w:val="left" w:pos="280"/>
        </w:tabs>
        <w:spacing w:line="186" w:lineRule="auto"/>
        <w:ind w:left="280" w:hanging="278"/>
        <w:jc w:val="both"/>
        <w:rPr>
          <w:sz w:val="26"/>
          <w:szCs w:val="26"/>
          <w:vertAlign w:val="superscript"/>
        </w:rPr>
      </w:pPr>
      <w:r w:rsidRPr="00771368">
        <w:rPr>
          <w:sz w:val="20"/>
          <w:szCs w:val="20"/>
        </w:rPr>
        <w:t xml:space="preserve">DAHL, Tove Stang. </w:t>
      </w:r>
      <w:r w:rsidRPr="00771368">
        <w:rPr>
          <w:b/>
          <w:bCs/>
          <w:sz w:val="20"/>
          <w:szCs w:val="20"/>
        </w:rPr>
        <w:t>O Direito das Mulheres</w:t>
      </w:r>
      <w:r w:rsidRPr="00771368">
        <w:rPr>
          <w:sz w:val="20"/>
          <w:szCs w:val="20"/>
        </w:rPr>
        <w:t>: uma introdução à teoria do direito feminista. Lisboa: FCG, 1993. p. 4.</w:t>
      </w:r>
    </w:p>
    <w:p w:rsidR="00D24E61" w:rsidRPr="00771368" w:rsidRDefault="00D24E61">
      <w:pPr>
        <w:spacing w:line="50" w:lineRule="exact"/>
        <w:rPr>
          <w:sz w:val="26"/>
          <w:szCs w:val="26"/>
          <w:vertAlign w:val="superscript"/>
        </w:rPr>
      </w:pPr>
    </w:p>
    <w:p w:rsidR="00D24E61" w:rsidRPr="00771368" w:rsidRDefault="00D24E61" w:rsidP="00FA0ABA">
      <w:pPr>
        <w:numPr>
          <w:ilvl w:val="0"/>
          <w:numId w:val="32"/>
        </w:numPr>
        <w:tabs>
          <w:tab w:val="left" w:pos="280"/>
        </w:tabs>
        <w:spacing w:line="202" w:lineRule="auto"/>
        <w:ind w:left="280" w:hanging="278"/>
        <w:jc w:val="both"/>
        <w:rPr>
          <w:sz w:val="26"/>
          <w:szCs w:val="26"/>
          <w:vertAlign w:val="superscript"/>
        </w:rPr>
      </w:pPr>
      <w:r w:rsidRPr="00D61223">
        <w:rPr>
          <w:sz w:val="20"/>
          <w:szCs w:val="20"/>
          <w:lang w:val="en-US"/>
        </w:rPr>
        <w:t xml:space="preserve">GLADMAN, Kimberly; LAMB, Michelle. </w:t>
      </w:r>
      <w:r w:rsidRPr="00D61223">
        <w:rPr>
          <w:b/>
          <w:bCs/>
          <w:sz w:val="20"/>
          <w:szCs w:val="20"/>
          <w:lang w:val="en-US"/>
        </w:rPr>
        <w:t>GMI Ratings’ 2012 Women</w:t>
      </w:r>
      <w:r w:rsidRPr="00D61223">
        <w:rPr>
          <w:sz w:val="20"/>
          <w:szCs w:val="20"/>
          <w:lang w:val="en-US"/>
        </w:rPr>
        <w:t xml:space="preserve"> </w:t>
      </w:r>
      <w:r w:rsidRPr="00D61223">
        <w:rPr>
          <w:b/>
          <w:bCs/>
          <w:sz w:val="20"/>
          <w:szCs w:val="20"/>
          <w:lang w:val="en-US"/>
        </w:rPr>
        <w:t>on Boards Survey</w:t>
      </w:r>
      <w:r w:rsidRPr="00D61223">
        <w:rPr>
          <w:sz w:val="20"/>
          <w:szCs w:val="20"/>
          <w:lang w:val="en-US"/>
        </w:rPr>
        <w:t xml:space="preserve">. </w:t>
      </w:r>
      <w:r w:rsidRPr="00771368">
        <w:rPr>
          <w:sz w:val="20"/>
          <w:szCs w:val="20"/>
        </w:rPr>
        <w:t>New York: Governance Metrics International (GMI). Mar. 2012. Disponível em: &lt;http://goo.gl/UB6R2&gt; Acesso em: 10 maio 2012.</w:t>
      </w:r>
    </w:p>
    <w:p w:rsidR="00D24E61" w:rsidRPr="00771368" w:rsidRDefault="00D24E61">
      <w:pPr>
        <w:sectPr w:rsidR="00D24E61" w:rsidRPr="00771368">
          <w:pgSz w:w="11900" w:h="16838"/>
          <w:pgMar w:top="1183" w:right="1700" w:bottom="724" w:left="1700" w:header="0" w:footer="0" w:gutter="0"/>
          <w:cols w:space="720" w:equalWidth="0">
            <w:col w:w="8500"/>
          </w:cols>
        </w:sectPr>
      </w:pPr>
    </w:p>
    <w:p w:rsidR="00D24E61" w:rsidRPr="00771368" w:rsidRDefault="00D24E61">
      <w:pPr>
        <w:spacing w:line="343" w:lineRule="auto"/>
        <w:ind w:left="100" w:right="440"/>
        <w:jc w:val="both"/>
        <w:rPr>
          <w:sz w:val="20"/>
          <w:szCs w:val="20"/>
        </w:rPr>
      </w:pPr>
      <w:r w:rsidRPr="00771368">
        <w:rPr>
          <w:sz w:val="23"/>
          <w:szCs w:val="23"/>
        </w:rPr>
        <w:t>nórdicos são pioneiros em legislar sobre o tema</w:t>
      </w:r>
      <w:r w:rsidRPr="00771368">
        <w:rPr>
          <w:sz w:val="30"/>
          <w:szCs w:val="30"/>
          <w:vertAlign w:val="superscript"/>
        </w:rPr>
        <w:t>31</w:t>
      </w:r>
      <w:r w:rsidRPr="00771368">
        <w:rPr>
          <w:sz w:val="23"/>
          <w:szCs w:val="23"/>
        </w:rPr>
        <w:t>, s</w:t>
      </w:r>
      <w:r w:rsidRPr="00771368">
        <w:rPr>
          <w:sz w:val="24"/>
          <w:szCs w:val="24"/>
        </w:rPr>
        <w:t>endo que a Noruega foi a primeira no</w:t>
      </w:r>
      <w:r w:rsidRPr="00771368">
        <w:rPr>
          <w:sz w:val="23"/>
          <w:szCs w:val="23"/>
        </w:rPr>
        <w:t xml:space="preserve"> </w:t>
      </w:r>
      <w:r w:rsidRPr="00771368">
        <w:rPr>
          <w:sz w:val="24"/>
          <w:szCs w:val="24"/>
        </w:rPr>
        <w:t>mundo a garantir juridicamente os direitos da gestante, no ano de 1892. Lá os pais e as mães têm direito a uma licença remunerada no primeiro ano de vida do bebê, e para incentivar mais homens a participarem da criação dos filhos, dez semanas desta licença são reservadas ao pai. Pela lei, pais e mães noruegueses podem escolher entre tirar um total de 46 semanas de licença com 100% do salário ou 56 semanas com 80% do salário.</w:t>
      </w:r>
    </w:p>
    <w:p w:rsidR="00D24E61" w:rsidRPr="00771368" w:rsidRDefault="00D24E61">
      <w:pPr>
        <w:spacing w:line="76" w:lineRule="exact"/>
        <w:rPr>
          <w:sz w:val="20"/>
          <w:szCs w:val="20"/>
        </w:rPr>
      </w:pPr>
    </w:p>
    <w:p w:rsidR="00D24E61" w:rsidRPr="00771368" w:rsidRDefault="00D24E61">
      <w:pPr>
        <w:spacing w:line="351" w:lineRule="auto"/>
        <w:ind w:left="100" w:right="440" w:firstLine="708"/>
        <w:jc w:val="both"/>
        <w:rPr>
          <w:sz w:val="20"/>
          <w:szCs w:val="20"/>
        </w:rPr>
      </w:pPr>
      <w:r w:rsidRPr="00771368">
        <w:rPr>
          <w:sz w:val="23"/>
          <w:szCs w:val="23"/>
        </w:rPr>
        <w:t>Desde 1977 é garantido ao pai partilhar a licença de parto com a mãe, mas mesmo assim, apenas 2% a 3% dos pais tiraram proveito desta oportunidade no início dos anos 90. Em 1993, introduziu-se uma cota que deu direito a quatro semanas exclusivamente para o pai a fim de estimular que mais pais participem da criação durante o primeiro ano de vida do filho, e em 2009, esse período destinado ao pai foi ampliado de seis para dez semanas. Por se tratar de um direito intransferível, se o pai não utilizar sua parte, a família perde o benefício.</w:t>
      </w:r>
    </w:p>
    <w:p w:rsidR="00D24E61" w:rsidRPr="00771368" w:rsidRDefault="00D24E61">
      <w:pPr>
        <w:spacing w:line="70" w:lineRule="exact"/>
        <w:rPr>
          <w:sz w:val="20"/>
          <w:szCs w:val="20"/>
        </w:rPr>
      </w:pPr>
    </w:p>
    <w:p w:rsidR="00D24E61" w:rsidRPr="00771368" w:rsidRDefault="00D24E61">
      <w:pPr>
        <w:spacing w:line="329" w:lineRule="auto"/>
        <w:ind w:left="100" w:right="440" w:firstLine="708"/>
        <w:jc w:val="both"/>
        <w:rPr>
          <w:sz w:val="20"/>
          <w:szCs w:val="20"/>
        </w:rPr>
      </w:pPr>
      <w:r w:rsidRPr="00771368">
        <w:rPr>
          <w:sz w:val="23"/>
          <w:szCs w:val="23"/>
        </w:rPr>
        <w:t>Segundo o site da Embaixada Real da Noruega no Brasil, em 2008 quase 90% das famílias utilizaram a cota do pai. A parcela de homens que tiram licença para além do mínimo também está aumentando. Em 2008, 16,5% dos pais tiraram uma licença maior que a cota do pai, sendo que no ano 2000, esta parcela foi de 11%. A tabela</w:t>
      </w:r>
      <w:r w:rsidRPr="00771368">
        <w:rPr>
          <w:sz w:val="30"/>
          <w:szCs w:val="30"/>
          <w:vertAlign w:val="superscript"/>
        </w:rPr>
        <w:t>32</w:t>
      </w:r>
      <w:r w:rsidRPr="00771368">
        <w:rPr>
          <w:sz w:val="23"/>
          <w:szCs w:val="23"/>
        </w:rPr>
        <w:t xml:space="preserve"> abaixo dispõe de todos os dados relativos à data de implementação de cada nova diretriz jurídica escandinava sobre os direitos que envolvem a maternidade e a paternidade:</w:t>
      </w:r>
    </w:p>
    <w:p w:rsidR="00D24E61" w:rsidRPr="00771368" w:rsidRDefault="00D24E61">
      <w:pPr>
        <w:spacing w:line="200" w:lineRule="exact"/>
        <w:rPr>
          <w:sz w:val="20"/>
          <w:szCs w:val="20"/>
        </w:rPr>
      </w:pPr>
    </w:p>
    <w:p w:rsidR="00D24E61" w:rsidRPr="00771368" w:rsidRDefault="00D24E61">
      <w:pPr>
        <w:spacing w:line="219" w:lineRule="exact"/>
        <w:rPr>
          <w:sz w:val="20"/>
          <w:szCs w:val="20"/>
        </w:rPr>
      </w:pPr>
    </w:p>
    <w:p w:rsidR="00D24E61" w:rsidRPr="00771368" w:rsidRDefault="00D24E61">
      <w:pPr>
        <w:ind w:left="100"/>
        <w:rPr>
          <w:sz w:val="20"/>
          <w:szCs w:val="20"/>
        </w:rPr>
      </w:pPr>
      <w:r w:rsidRPr="00771368">
        <w:rPr>
          <w:b/>
          <w:bCs/>
          <w:sz w:val="18"/>
          <w:szCs w:val="18"/>
        </w:rPr>
        <w:t>Tabela 1. Desenvolvimento Histórico dos Regimes de Licenças</w:t>
      </w:r>
    </w:p>
    <w:p w:rsidR="00D24E61" w:rsidRPr="00771368" w:rsidRDefault="00013211">
      <w:pPr>
        <w:spacing w:line="115" w:lineRule="exact"/>
        <w:rPr>
          <w:sz w:val="20"/>
          <w:szCs w:val="20"/>
        </w:rPr>
      </w:pPr>
      <w:r>
        <w:rPr>
          <w:noProof/>
          <w:sz w:val="20"/>
          <w:szCs w:val="20"/>
        </w:rPr>
        <mc:AlternateContent>
          <mc:Choice Requires="wps">
            <w:drawing>
              <wp:anchor distT="0" distB="0" distL="0" distR="0" simplePos="0" relativeHeight="251633152" behindDoc="0" locked="0" layoutInCell="0" allowOverlap="1">
                <wp:simplePos x="0" y="0"/>
                <wp:positionH relativeFrom="column">
                  <wp:posOffset>-3175</wp:posOffset>
                </wp:positionH>
                <wp:positionV relativeFrom="paragraph">
                  <wp:posOffset>36195</wp:posOffset>
                </wp:positionV>
                <wp:extent cx="5738495" cy="0"/>
                <wp:effectExtent l="6350" t="7620" r="8255" b="11430"/>
                <wp:wrapNone/>
                <wp:docPr id="29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849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3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pt,2.85pt" to="451.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TwFAIAACw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" o:allowincell="f" strokeweight=".33864mm"/>
            </w:pict>
          </mc:Fallback>
        </mc:AlternateContent>
      </w:r>
    </w:p>
    <w:tbl>
      <w:tblPr>
        <w:tblW w:w="0" w:type="auto"/>
        <w:tblLayout w:type="fixed"/>
        <w:tblCellMar>
          <w:left w:w="0" w:type="dxa"/>
          <w:right w:w="0" w:type="dxa"/>
        </w:tblCellMar>
        <w:tblLook w:val="04A0" w:firstRow="1" w:lastRow="0" w:firstColumn="1" w:lastColumn="0" w:noHBand="0" w:noVBand="1"/>
      </w:tblPr>
      <w:tblGrid>
        <w:gridCol w:w="100"/>
        <w:gridCol w:w="2860"/>
        <w:gridCol w:w="1280"/>
        <w:gridCol w:w="1140"/>
        <w:gridCol w:w="1280"/>
        <w:gridCol w:w="100"/>
        <w:gridCol w:w="880"/>
        <w:gridCol w:w="1280"/>
        <w:gridCol w:w="100"/>
        <w:gridCol w:w="20"/>
        <w:gridCol w:w="20"/>
      </w:tblGrid>
      <w:tr w:rsidR="00D24E61" w:rsidRPr="00771368">
        <w:trPr>
          <w:trHeight w:val="207"/>
        </w:trPr>
        <w:tc>
          <w:tcPr>
            <w:tcW w:w="100" w:type="dxa"/>
            <w:vAlign w:val="bottom"/>
          </w:tcPr>
          <w:p w:rsidR="00D24E61" w:rsidRPr="00771368" w:rsidRDefault="00D24E61">
            <w:pPr>
              <w:rPr>
                <w:sz w:val="18"/>
                <w:szCs w:val="18"/>
              </w:rPr>
            </w:pPr>
          </w:p>
        </w:tc>
        <w:tc>
          <w:tcPr>
            <w:tcW w:w="2860" w:type="dxa"/>
            <w:vAlign w:val="bottom"/>
          </w:tcPr>
          <w:p w:rsidR="00D24E61" w:rsidRPr="00771368" w:rsidRDefault="00D24E61">
            <w:pPr>
              <w:rPr>
                <w:sz w:val="18"/>
                <w:szCs w:val="18"/>
              </w:rPr>
            </w:pPr>
          </w:p>
        </w:tc>
        <w:tc>
          <w:tcPr>
            <w:tcW w:w="1280" w:type="dxa"/>
            <w:vAlign w:val="bottom"/>
          </w:tcPr>
          <w:p w:rsidR="00D24E61" w:rsidRPr="00771368" w:rsidRDefault="00D24E61">
            <w:pPr>
              <w:ind w:left="320"/>
              <w:rPr>
                <w:sz w:val="20"/>
                <w:szCs w:val="20"/>
              </w:rPr>
            </w:pPr>
            <w:r w:rsidRPr="00771368">
              <w:rPr>
                <w:b/>
                <w:bCs/>
                <w:sz w:val="18"/>
                <w:szCs w:val="18"/>
              </w:rPr>
              <w:t>Dinamarca</w:t>
            </w:r>
          </w:p>
        </w:tc>
        <w:tc>
          <w:tcPr>
            <w:tcW w:w="1140" w:type="dxa"/>
            <w:vAlign w:val="bottom"/>
          </w:tcPr>
          <w:p w:rsidR="00D24E61" w:rsidRPr="00771368" w:rsidRDefault="00D24E61">
            <w:pPr>
              <w:ind w:left="110"/>
              <w:jc w:val="center"/>
              <w:rPr>
                <w:sz w:val="20"/>
                <w:szCs w:val="20"/>
              </w:rPr>
            </w:pPr>
            <w:r w:rsidRPr="00771368">
              <w:rPr>
                <w:b/>
                <w:bCs/>
                <w:w w:val="99"/>
                <w:sz w:val="18"/>
                <w:szCs w:val="18"/>
              </w:rPr>
              <w:t>Finlândia</w:t>
            </w:r>
          </w:p>
        </w:tc>
        <w:tc>
          <w:tcPr>
            <w:tcW w:w="1380" w:type="dxa"/>
            <w:gridSpan w:val="2"/>
            <w:vAlign w:val="bottom"/>
          </w:tcPr>
          <w:p w:rsidR="00D24E61" w:rsidRPr="00771368" w:rsidRDefault="00D24E61">
            <w:pPr>
              <w:ind w:left="30"/>
              <w:jc w:val="center"/>
              <w:rPr>
                <w:sz w:val="20"/>
                <w:szCs w:val="20"/>
              </w:rPr>
            </w:pPr>
            <w:r w:rsidRPr="00771368">
              <w:rPr>
                <w:b/>
                <w:bCs/>
                <w:w w:val="99"/>
                <w:sz w:val="18"/>
                <w:szCs w:val="18"/>
              </w:rPr>
              <w:t>Islândia</w:t>
            </w:r>
          </w:p>
        </w:tc>
        <w:tc>
          <w:tcPr>
            <w:tcW w:w="880" w:type="dxa"/>
            <w:vAlign w:val="bottom"/>
          </w:tcPr>
          <w:p w:rsidR="00D24E61" w:rsidRPr="00771368" w:rsidRDefault="00D24E61">
            <w:pPr>
              <w:ind w:left="10"/>
              <w:jc w:val="center"/>
              <w:rPr>
                <w:sz w:val="20"/>
                <w:szCs w:val="20"/>
              </w:rPr>
            </w:pPr>
            <w:r w:rsidRPr="00771368">
              <w:rPr>
                <w:b/>
                <w:bCs/>
                <w:w w:val="99"/>
                <w:sz w:val="18"/>
                <w:szCs w:val="18"/>
              </w:rPr>
              <w:t>Noruega</w:t>
            </w:r>
          </w:p>
        </w:tc>
        <w:tc>
          <w:tcPr>
            <w:tcW w:w="1380" w:type="dxa"/>
            <w:gridSpan w:val="2"/>
            <w:vAlign w:val="bottom"/>
          </w:tcPr>
          <w:p w:rsidR="00D24E61" w:rsidRPr="00771368" w:rsidRDefault="00D24E61">
            <w:pPr>
              <w:ind w:left="500"/>
              <w:rPr>
                <w:sz w:val="20"/>
                <w:szCs w:val="20"/>
              </w:rPr>
            </w:pPr>
            <w:r w:rsidRPr="00771368">
              <w:rPr>
                <w:b/>
                <w:bCs/>
                <w:sz w:val="18"/>
                <w:szCs w:val="18"/>
              </w:rPr>
              <w:t>Suécia</w:t>
            </w:r>
          </w:p>
        </w:tc>
        <w:tc>
          <w:tcPr>
            <w:tcW w:w="20" w:type="dxa"/>
            <w:vAlign w:val="bottom"/>
          </w:tcPr>
          <w:p w:rsidR="00D24E61" w:rsidRPr="00771368" w:rsidRDefault="00D24E61">
            <w:pPr>
              <w:rPr>
                <w:sz w:val="18"/>
                <w:szCs w:val="18"/>
              </w:rPr>
            </w:pPr>
          </w:p>
        </w:tc>
        <w:tc>
          <w:tcPr>
            <w:tcW w:w="0" w:type="dxa"/>
            <w:vAlign w:val="bottom"/>
          </w:tcPr>
          <w:p w:rsidR="00D24E61" w:rsidRPr="00771368" w:rsidRDefault="00D24E61">
            <w:pPr>
              <w:rPr>
                <w:sz w:val="1"/>
                <w:szCs w:val="1"/>
              </w:rPr>
            </w:pPr>
          </w:p>
        </w:tc>
      </w:tr>
      <w:tr w:rsidR="00D24E61" w:rsidRPr="00771368">
        <w:trPr>
          <w:trHeight w:val="51"/>
        </w:trPr>
        <w:tc>
          <w:tcPr>
            <w:tcW w:w="2960" w:type="dxa"/>
            <w:gridSpan w:val="2"/>
            <w:tcBorders>
              <w:bottom w:val="single" w:sz="8" w:space="0" w:color="auto"/>
            </w:tcBorders>
            <w:vAlign w:val="bottom"/>
          </w:tcPr>
          <w:p w:rsidR="00D24E61" w:rsidRPr="00771368" w:rsidRDefault="00D24E61">
            <w:pPr>
              <w:rPr>
                <w:sz w:val="4"/>
                <w:szCs w:val="4"/>
              </w:rPr>
            </w:pPr>
          </w:p>
        </w:tc>
        <w:tc>
          <w:tcPr>
            <w:tcW w:w="1280" w:type="dxa"/>
            <w:tcBorders>
              <w:bottom w:val="single" w:sz="8" w:space="0" w:color="auto"/>
            </w:tcBorders>
            <w:vAlign w:val="bottom"/>
          </w:tcPr>
          <w:p w:rsidR="00D24E61" w:rsidRPr="00771368" w:rsidRDefault="00D24E61">
            <w:pPr>
              <w:rPr>
                <w:sz w:val="4"/>
                <w:szCs w:val="4"/>
              </w:rPr>
            </w:pPr>
          </w:p>
        </w:tc>
        <w:tc>
          <w:tcPr>
            <w:tcW w:w="1140" w:type="dxa"/>
            <w:tcBorders>
              <w:bottom w:val="single" w:sz="8" w:space="0" w:color="auto"/>
            </w:tcBorders>
            <w:vAlign w:val="bottom"/>
          </w:tcPr>
          <w:p w:rsidR="00D24E61" w:rsidRPr="00771368" w:rsidRDefault="00D24E61">
            <w:pPr>
              <w:rPr>
                <w:sz w:val="4"/>
                <w:szCs w:val="4"/>
              </w:rPr>
            </w:pPr>
          </w:p>
        </w:tc>
        <w:tc>
          <w:tcPr>
            <w:tcW w:w="1280" w:type="dxa"/>
            <w:tcBorders>
              <w:bottom w:val="single" w:sz="8" w:space="0" w:color="auto"/>
            </w:tcBorders>
            <w:vAlign w:val="bottom"/>
          </w:tcPr>
          <w:p w:rsidR="00D24E61" w:rsidRPr="00771368" w:rsidRDefault="00D24E61">
            <w:pPr>
              <w:rPr>
                <w:sz w:val="4"/>
                <w:szCs w:val="4"/>
              </w:rPr>
            </w:pPr>
          </w:p>
        </w:tc>
        <w:tc>
          <w:tcPr>
            <w:tcW w:w="100" w:type="dxa"/>
            <w:tcBorders>
              <w:bottom w:val="single" w:sz="8" w:space="0" w:color="auto"/>
            </w:tcBorders>
            <w:vAlign w:val="bottom"/>
          </w:tcPr>
          <w:p w:rsidR="00D24E61" w:rsidRPr="00771368" w:rsidRDefault="00D24E61">
            <w:pPr>
              <w:rPr>
                <w:sz w:val="4"/>
                <w:szCs w:val="4"/>
              </w:rPr>
            </w:pPr>
          </w:p>
        </w:tc>
        <w:tc>
          <w:tcPr>
            <w:tcW w:w="880" w:type="dxa"/>
            <w:tcBorders>
              <w:bottom w:val="single" w:sz="8" w:space="0" w:color="auto"/>
            </w:tcBorders>
            <w:vAlign w:val="bottom"/>
          </w:tcPr>
          <w:p w:rsidR="00D24E61" w:rsidRPr="00771368" w:rsidRDefault="00D24E61">
            <w:pPr>
              <w:rPr>
                <w:sz w:val="4"/>
                <w:szCs w:val="4"/>
              </w:rPr>
            </w:pPr>
          </w:p>
        </w:tc>
        <w:tc>
          <w:tcPr>
            <w:tcW w:w="1280" w:type="dxa"/>
            <w:tcBorders>
              <w:bottom w:val="single" w:sz="8" w:space="0" w:color="auto"/>
            </w:tcBorders>
            <w:vAlign w:val="bottom"/>
          </w:tcPr>
          <w:p w:rsidR="00D24E61" w:rsidRPr="00771368" w:rsidRDefault="00D24E61">
            <w:pPr>
              <w:rPr>
                <w:sz w:val="4"/>
                <w:szCs w:val="4"/>
              </w:rPr>
            </w:pPr>
          </w:p>
        </w:tc>
        <w:tc>
          <w:tcPr>
            <w:tcW w:w="100" w:type="dxa"/>
            <w:tcBorders>
              <w:bottom w:val="single" w:sz="8" w:space="0" w:color="auto"/>
            </w:tcBorders>
            <w:vAlign w:val="bottom"/>
          </w:tcPr>
          <w:p w:rsidR="00D24E61" w:rsidRPr="00771368" w:rsidRDefault="00D24E61">
            <w:pPr>
              <w:rPr>
                <w:sz w:val="4"/>
                <w:szCs w:val="4"/>
              </w:rPr>
            </w:pPr>
          </w:p>
        </w:tc>
        <w:tc>
          <w:tcPr>
            <w:tcW w:w="20" w:type="dxa"/>
            <w:tcBorders>
              <w:bottom w:val="single" w:sz="8" w:space="0" w:color="auto"/>
            </w:tcBorders>
            <w:vAlign w:val="bottom"/>
          </w:tcPr>
          <w:p w:rsidR="00D24E61" w:rsidRPr="00771368" w:rsidRDefault="00D24E61">
            <w:pPr>
              <w:rPr>
                <w:sz w:val="4"/>
                <w:szCs w:val="4"/>
              </w:rPr>
            </w:pPr>
          </w:p>
        </w:tc>
        <w:tc>
          <w:tcPr>
            <w:tcW w:w="0" w:type="dxa"/>
            <w:vAlign w:val="bottom"/>
          </w:tcPr>
          <w:p w:rsidR="00D24E61" w:rsidRPr="00771368" w:rsidRDefault="00D24E61">
            <w:pPr>
              <w:rPr>
                <w:sz w:val="1"/>
                <w:szCs w:val="1"/>
              </w:rPr>
            </w:pPr>
          </w:p>
        </w:tc>
      </w:tr>
      <w:tr w:rsidR="00D24E61" w:rsidRPr="00771368">
        <w:trPr>
          <w:trHeight w:val="253"/>
        </w:trPr>
        <w:tc>
          <w:tcPr>
            <w:tcW w:w="100" w:type="dxa"/>
            <w:shd w:val="clear" w:color="auto" w:fill="C0C0C0"/>
            <w:vAlign w:val="bottom"/>
          </w:tcPr>
          <w:p w:rsidR="00D24E61" w:rsidRPr="00771368" w:rsidRDefault="00D24E61"/>
        </w:tc>
        <w:tc>
          <w:tcPr>
            <w:tcW w:w="2860" w:type="dxa"/>
            <w:shd w:val="clear" w:color="auto" w:fill="C0C0C0"/>
            <w:vAlign w:val="bottom"/>
          </w:tcPr>
          <w:p w:rsidR="00D24E61" w:rsidRPr="00771368" w:rsidRDefault="00D24E61">
            <w:pPr>
              <w:rPr>
                <w:sz w:val="20"/>
                <w:szCs w:val="20"/>
              </w:rPr>
            </w:pPr>
            <w:r w:rsidRPr="00771368">
              <w:rPr>
                <w:b/>
                <w:bCs/>
                <w:sz w:val="18"/>
                <w:szCs w:val="18"/>
              </w:rPr>
              <w:t>Primeira legislação de proteção à</w:t>
            </w:r>
          </w:p>
        </w:tc>
        <w:tc>
          <w:tcPr>
            <w:tcW w:w="1280" w:type="dxa"/>
            <w:shd w:val="clear" w:color="auto" w:fill="C0C0C0"/>
            <w:vAlign w:val="bottom"/>
          </w:tcPr>
          <w:p w:rsidR="00D24E61" w:rsidRPr="00771368" w:rsidRDefault="00D24E61">
            <w:pPr>
              <w:ind w:left="150"/>
              <w:jc w:val="center"/>
              <w:rPr>
                <w:sz w:val="20"/>
                <w:szCs w:val="20"/>
              </w:rPr>
            </w:pPr>
            <w:r w:rsidRPr="00771368">
              <w:rPr>
                <w:w w:val="99"/>
                <w:sz w:val="18"/>
                <w:szCs w:val="18"/>
              </w:rPr>
              <w:t>1901</w:t>
            </w:r>
          </w:p>
        </w:tc>
        <w:tc>
          <w:tcPr>
            <w:tcW w:w="1140" w:type="dxa"/>
            <w:shd w:val="clear" w:color="auto" w:fill="C0C0C0"/>
            <w:vAlign w:val="bottom"/>
          </w:tcPr>
          <w:p w:rsidR="00D24E61" w:rsidRPr="00771368" w:rsidRDefault="00D24E61">
            <w:pPr>
              <w:ind w:left="130"/>
              <w:jc w:val="center"/>
              <w:rPr>
                <w:sz w:val="20"/>
                <w:szCs w:val="20"/>
              </w:rPr>
            </w:pPr>
            <w:r w:rsidRPr="00771368">
              <w:rPr>
                <w:w w:val="99"/>
                <w:sz w:val="18"/>
                <w:szCs w:val="18"/>
              </w:rPr>
              <w:t>1917</w:t>
            </w:r>
          </w:p>
        </w:tc>
        <w:tc>
          <w:tcPr>
            <w:tcW w:w="1280" w:type="dxa"/>
            <w:shd w:val="clear" w:color="auto" w:fill="C0C0C0"/>
            <w:vAlign w:val="bottom"/>
          </w:tcPr>
          <w:p w:rsidR="00D24E61" w:rsidRPr="00771368" w:rsidRDefault="00D24E61">
            <w:pPr>
              <w:ind w:left="110"/>
              <w:jc w:val="center"/>
              <w:rPr>
                <w:sz w:val="20"/>
                <w:szCs w:val="20"/>
              </w:rPr>
            </w:pPr>
            <w:r w:rsidRPr="00771368">
              <w:rPr>
                <w:w w:val="99"/>
                <w:sz w:val="18"/>
                <w:szCs w:val="18"/>
              </w:rPr>
              <w:t>1946</w:t>
            </w:r>
          </w:p>
        </w:tc>
        <w:tc>
          <w:tcPr>
            <w:tcW w:w="100" w:type="dxa"/>
            <w:shd w:val="clear" w:color="auto" w:fill="C0C0C0"/>
            <w:vAlign w:val="bottom"/>
          </w:tcPr>
          <w:p w:rsidR="00D24E61" w:rsidRPr="00771368" w:rsidRDefault="00D24E61"/>
        </w:tc>
        <w:tc>
          <w:tcPr>
            <w:tcW w:w="880" w:type="dxa"/>
            <w:shd w:val="clear" w:color="auto" w:fill="C0C0C0"/>
            <w:vAlign w:val="bottom"/>
          </w:tcPr>
          <w:p w:rsidR="00D24E61" w:rsidRPr="00771368" w:rsidRDefault="00D24E61">
            <w:pPr>
              <w:ind w:left="30"/>
              <w:jc w:val="center"/>
              <w:rPr>
                <w:sz w:val="20"/>
                <w:szCs w:val="20"/>
              </w:rPr>
            </w:pPr>
            <w:r w:rsidRPr="00771368">
              <w:rPr>
                <w:w w:val="99"/>
                <w:sz w:val="18"/>
                <w:szCs w:val="18"/>
              </w:rPr>
              <w:t>1892</w:t>
            </w:r>
          </w:p>
        </w:tc>
        <w:tc>
          <w:tcPr>
            <w:tcW w:w="1280" w:type="dxa"/>
            <w:shd w:val="clear" w:color="auto" w:fill="C0C0C0"/>
            <w:vAlign w:val="bottom"/>
          </w:tcPr>
          <w:p w:rsidR="00D24E61" w:rsidRPr="00771368" w:rsidRDefault="00D24E61">
            <w:pPr>
              <w:ind w:left="150"/>
              <w:jc w:val="center"/>
              <w:rPr>
                <w:sz w:val="20"/>
                <w:szCs w:val="20"/>
              </w:rPr>
            </w:pPr>
            <w:r w:rsidRPr="00771368">
              <w:rPr>
                <w:w w:val="99"/>
                <w:sz w:val="18"/>
                <w:szCs w:val="18"/>
              </w:rPr>
              <w:t>1900</w:t>
            </w:r>
          </w:p>
        </w:tc>
        <w:tc>
          <w:tcPr>
            <w:tcW w:w="100" w:type="dxa"/>
            <w:shd w:val="clear" w:color="auto" w:fill="C0C0C0"/>
            <w:vAlign w:val="bottom"/>
          </w:tcPr>
          <w:p w:rsidR="00D24E61" w:rsidRPr="00771368" w:rsidRDefault="00D24E61"/>
        </w:tc>
        <w:tc>
          <w:tcPr>
            <w:tcW w:w="20" w:type="dxa"/>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48"/>
        </w:trPr>
        <w:tc>
          <w:tcPr>
            <w:tcW w:w="100" w:type="dxa"/>
            <w:shd w:val="clear" w:color="auto" w:fill="C0C0C0"/>
            <w:vAlign w:val="bottom"/>
          </w:tcPr>
          <w:p w:rsidR="00D24E61" w:rsidRPr="00771368" w:rsidRDefault="00D24E61">
            <w:pPr>
              <w:rPr>
                <w:sz w:val="4"/>
                <w:szCs w:val="4"/>
              </w:rPr>
            </w:pPr>
          </w:p>
        </w:tc>
        <w:tc>
          <w:tcPr>
            <w:tcW w:w="2860" w:type="dxa"/>
            <w:vMerge w:val="restart"/>
            <w:shd w:val="clear" w:color="auto" w:fill="C0C0C0"/>
            <w:vAlign w:val="bottom"/>
          </w:tcPr>
          <w:p w:rsidR="00D24E61" w:rsidRPr="00771368" w:rsidRDefault="00D24E61">
            <w:pPr>
              <w:spacing w:line="206" w:lineRule="exact"/>
              <w:rPr>
                <w:sz w:val="20"/>
                <w:szCs w:val="20"/>
              </w:rPr>
            </w:pPr>
            <w:r w:rsidRPr="00771368">
              <w:rPr>
                <w:b/>
                <w:bCs/>
                <w:sz w:val="18"/>
                <w:szCs w:val="18"/>
              </w:rPr>
              <w:t>maternidade</w:t>
            </w:r>
          </w:p>
        </w:tc>
        <w:tc>
          <w:tcPr>
            <w:tcW w:w="1280" w:type="dxa"/>
            <w:shd w:val="clear" w:color="auto" w:fill="C0C0C0"/>
            <w:vAlign w:val="bottom"/>
          </w:tcPr>
          <w:p w:rsidR="00D24E61" w:rsidRPr="00771368" w:rsidRDefault="00D24E61">
            <w:pPr>
              <w:rPr>
                <w:sz w:val="4"/>
                <w:szCs w:val="4"/>
              </w:rPr>
            </w:pPr>
          </w:p>
        </w:tc>
        <w:tc>
          <w:tcPr>
            <w:tcW w:w="1140" w:type="dxa"/>
            <w:shd w:val="clear" w:color="auto" w:fill="C0C0C0"/>
            <w:vAlign w:val="bottom"/>
          </w:tcPr>
          <w:p w:rsidR="00D24E61" w:rsidRPr="00771368" w:rsidRDefault="00D24E61">
            <w:pPr>
              <w:rPr>
                <w:sz w:val="4"/>
                <w:szCs w:val="4"/>
              </w:rPr>
            </w:pPr>
          </w:p>
        </w:tc>
        <w:tc>
          <w:tcPr>
            <w:tcW w:w="1280" w:type="dxa"/>
            <w:shd w:val="clear" w:color="auto" w:fill="C0C0C0"/>
            <w:vAlign w:val="bottom"/>
          </w:tcPr>
          <w:p w:rsidR="00D24E61" w:rsidRPr="00771368" w:rsidRDefault="00D24E61">
            <w:pPr>
              <w:rPr>
                <w:sz w:val="4"/>
                <w:szCs w:val="4"/>
              </w:rPr>
            </w:pPr>
          </w:p>
        </w:tc>
        <w:tc>
          <w:tcPr>
            <w:tcW w:w="100" w:type="dxa"/>
            <w:shd w:val="clear" w:color="auto" w:fill="C0C0C0"/>
            <w:vAlign w:val="bottom"/>
          </w:tcPr>
          <w:p w:rsidR="00D24E61" w:rsidRPr="00771368" w:rsidRDefault="00D24E61">
            <w:pPr>
              <w:rPr>
                <w:sz w:val="4"/>
                <w:szCs w:val="4"/>
              </w:rPr>
            </w:pPr>
          </w:p>
        </w:tc>
        <w:tc>
          <w:tcPr>
            <w:tcW w:w="880" w:type="dxa"/>
            <w:shd w:val="clear" w:color="auto" w:fill="C0C0C0"/>
            <w:vAlign w:val="bottom"/>
          </w:tcPr>
          <w:p w:rsidR="00D24E61" w:rsidRPr="00771368" w:rsidRDefault="00D24E61">
            <w:pPr>
              <w:rPr>
                <w:sz w:val="4"/>
                <w:szCs w:val="4"/>
              </w:rPr>
            </w:pPr>
          </w:p>
        </w:tc>
        <w:tc>
          <w:tcPr>
            <w:tcW w:w="1280" w:type="dxa"/>
            <w:shd w:val="clear" w:color="auto" w:fill="C0C0C0"/>
            <w:vAlign w:val="bottom"/>
          </w:tcPr>
          <w:p w:rsidR="00D24E61" w:rsidRPr="00771368" w:rsidRDefault="00D24E61">
            <w:pPr>
              <w:rPr>
                <w:sz w:val="4"/>
                <w:szCs w:val="4"/>
              </w:rPr>
            </w:pPr>
          </w:p>
        </w:tc>
        <w:tc>
          <w:tcPr>
            <w:tcW w:w="100" w:type="dxa"/>
            <w:shd w:val="clear" w:color="auto" w:fill="C0C0C0"/>
            <w:vAlign w:val="bottom"/>
          </w:tcPr>
          <w:p w:rsidR="00D24E61" w:rsidRPr="00771368" w:rsidRDefault="00D24E61">
            <w:pPr>
              <w:rPr>
                <w:sz w:val="4"/>
                <w:szCs w:val="4"/>
              </w:rPr>
            </w:pPr>
          </w:p>
        </w:tc>
        <w:tc>
          <w:tcPr>
            <w:tcW w:w="20" w:type="dxa"/>
            <w:vAlign w:val="bottom"/>
          </w:tcPr>
          <w:p w:rsidR="00D24E61" w:rsidRPr="00771368" w:rsidRDefault="00D24E61">
            <w:pPr>
              <w:rPr>
                <w:sz w:val="4"/>
                <w:szCs w:val="4"/>
              </w:rPr>
            </w:pPr>
          </w:p>
        </w:tc>
        <w:tc>
          <w:tcPr>
            <w:tcW w:w="0" w:type="dxa"/>
            <w:vAlign w:val="bottom"/>
          </w:tcPr>
          <w:p w:rsidR="00D24E61" w:rsidRPr="00771368" w:rsidRDefault="00D24E61">
            <w:pPr>
              <w:rPr>
                <w:sz w:val="1"/>
                <w:szCs w:val="1"/>
              </w:rPr>
            </w:pPr>
          </w:p>
        </w:tc>
      </w:tr>
      <w:tr w:rsidR="00D24E61" w:rsidRPr="00771368">
        <w:trPr>
          <w:trHeight w:val="186"/>
        </w:trPr>
        <w:tc>
          <w:tcPr>
            <w:tcW w:w="100" w:type="dxa"/>
            <w:tcBorders>
              <w:bottom w:val="single" w:sz="8" w:space="0" w:color="C0C0C0"/>
            </w:tcBorders>
            <w:shd w:val="clear" w:color="auto" w:fill="C0C0C0"/>
            <w:vAlign w:val="bottom"/>
          </w:tcPr>
          <w:p w:rsidR="00D24E61" w:rsidRPr="00771368" w:rsidRDefault="00D24E61">
            <w:pPr>
              <w:rPr>
                <w:sz w:val="16"/>
                <w:szCs w:val="16"/>
              </w:rPr>
            </w:pPr>
          </w:p>
        </w:tc>
        <w:tc>
          <w:tcPr>
            <w:tcW w:w="2860" w:type="dxa"/>
            <w:vMerge/>
            <w:tcBorders>
              <w:bottom w:val="single" w:sz="8" w:space="0" w:color="C0C0C0"/>
            </w:tcBorders>
            <w:shd w:val="clear" w:color="auto" w:fill="C0C0C0"/>
            <w:vAlign w:val="bottom"/>
          </w:tcPr>
          <w:p w:rsidR="00D24E61" w:rsidRPr="00771368" w:rsidRDefault="00D24E61">
            <w:pPr>
              <w:rPr>
                <w:sz w:val="16"/>
                <w:szCs w:val="16"/>
              </w:rPr>
            </w:pPr>
          </w:p>
        </w:tc>
        <w:tc>
          <w:tcPr>
            <w:tcW w:w="1280" w:type="dxa"/>
            <w:tcBorders>
              <w:bottom w:val="single" w:sz="8" w:space="0" w:color="C0C0C0"/>
            </w:tcBorders>
            <w:shd w:val="clear" w:color="auto" w:fill="C0C0C0"/>
            <w:vAlign w:val="bottom"/>
          </w:tcPr>
          <w:p w:rsidR="00D24E61" w:rsidRPr="00771368" w:rsidRDefault="00D24E61">
            <w:pPr>
              <w:rPr>
                <w:sz w:val="16"/>
                <w:szCs w:val="16"/>
              </w:rPr>
            </w:pPr>
          </w:p>
        </w:tc>
        <w:tc>
          <w:tcPr>
            <w:tcW w:w="1140" w:type="dxa"/>
            <w:tcBorders>
              <w:bottom w:val="single" w:sz="8" w:space="0" w:color="C0C0C0"/>
            </w:tcBorders>
            <w:shd w:val="clear" w:color="auto" w:fill="C0C0C0"/>
            <w:vAlign w:val="bottom"/>
          </w:tcPr>
          <w:p w:rsidR="00D24E61" w:rsidRPr="00771368" w:rsidRDefault="00D24E61">
            <w:pPr>
              <w:rPr>
                <w:sz w:val="16"/>
                <w:szCs w:val="16"/>
              </w:rPr>
            </w:pPr>
          </w:p>
        </w:tc>
        <w:tc>
          <w:tcPr>
            <w:tcW w:w="1280" w:type="dxa"/>
            <w:tcBorders>
              <w:bottom w:val="single" w:sz="8" w:space="0" w:color="C0C0C0"/>
            </w:tcBorders>
            <w:shd w:val="clear" w:color="auto" w:fill="C0C0C0"/>
            <w:vAlign w:val="bottom"/>
          </w:tcPr>
          <w:p w:rsidR="00D24E61" w:rsidRPr="00771368" w:rsidRDefault="00D24E61">
            <w:pPr>
              <w:rPr>
                <w:sz w:val="16"/>
                <w:szCs w:val="16"/>
              </w:rPr>
            </w:pPr>
          </w:p>
        </w:tc>
        <w:tc>
          <w:tcPr>
            <w:tcW w:w="100" w:type="dxa"/>
            <w:tcBorders>
              <w:bottom w:val="single" w:sz="8" w:space="0" w:color="C0C0C0"/>
            </w:tcBorders>
            <w:shd w:val="clear" w:color="auto" w:fill="C0C0C0"/>
            <w:vAlign w:val="bottom"/>
          </w:tcPr>
          <w:p w:rsidR="00D24E61" w:rsidRPr="00771368" w:rsidRDefault="00D24E61">
            <w:pPr>
              <w:rPr>
                <w:sz w:val="16"/>
                <w:szCs w:val="16"/>
              </w:rPr>
            </w:pPr>
          </w:p>
        </w:tc>
        <w:tc>
          <w:tcPr>
            <w:tcW w:w="880" w:type="dxa"/>
            <w:tcBorders>
              <w:bottom w:val="single" w:sz="8" w:space="0" w:color="C0C0C0"/>
            </w:tcBorders>
            <w:shd w:val="clear" w:color="auto" w:fill="C0C0C0"/>
            <w:vAlign w:val="bottom"/>
          </w:tcPr>
          <w:p w:rsidR="00D24E61" w:rsidRPr="00771368" w:rsidRDefault="00D24E61">
            <w:pPr>
              <w:rPr>
                <w:sz w:val="16"/>
                <w:szCs w:val="16"/>
              </w:rPr>
            </w:pPr>
          </w:p>
        </w:tc>
        <w:tc>
          <w:tcPr>
            <w:tcW w:w="1280" w:type="dxa"/>
            <w:tcBorders>
              <w:bottom w:val="single" w:sz="8" w:space="0" w:color="C0C0C0"/>
            </w:tcBorders>
            <w:shd w:val="clear" w:color="auto" w:fill="C0C0C0"/>
            <w:vAlign w:val="bottom"/>
          </w:tcPr>
          <w:p w:rsidR="00D24E61" w:rsidRPr="00771368" w:rsidRDefault="00D24E61">
            <w:pPr>
              <w:rPr>
                <w:sz w:val="16"/>
                <w:szCs w:val="16"/>
              </w:rPr>
            </w:pPr>
          </w:p>
        </w:tc>
        <w:tc>
          <w:tcPr>
            <w:tcW w:w="100" w:type="dxa"/>
            <w:tcBorders>
              <w:bottom w:val="single" w:sz="8" w:space="0" w:color="C0C0C0"/>
            </w:tcBorders>
            <w:shd w:val="clear" w:color="auto" w:fill="C0C0C0"/>
            <w:vAlign w:val="bottom"/>
          </w:tcPr>
          <w:p w:rsidR="00D24E61" w:rsidRPr="00771368" w:rsidRDefault="00D24E61">
            <w:pPr>
              <w:rPr>
                <w:sz w:val="16"/>
                <w:szCs w:val="16"/>
              </w:rPr>
            </w:pPr>
          </w:p>
        </w:tc>
        <w:tc>
          <w:tcPr>
            <w:tcW w:w="20" w:type="dxa"/>
            <w:vAlign w:val="bottom"/>
          </w:tcPr>
          <w:p w:rsidR="00D24E61" w:rsidRPr="00771368" w:rsidRDefault="00D24E61">
            <w:pPr>
              <w:rPr>
                <w:sz w:val="16"/>
                <w:szCs w:val="16"/>
              </w:rPr>
            </w:pPr>
          </w:p>
        </w:tc>
        <w:tc>
          <w:tcPr>
            <w:tcW w:w="0" w:type="dxa"/>
            <w:vAlign w:val="bottom"/>
          </w:tcPr>
          <w:p w:rsidR="00D24E61" w:rsidRPr="00771368" w:rsidRDefault="00D24E61">
            <w:pPr>
              <w:rPr>
                <w:sz w:val="1"/>
                <w:szCs w:val="1"/>
              </w:rPr>
            </w:pPr>
          </w:p>
        </w:tc>
      </w:tr>
      <w:tr w:rsidR="00D24E61" w:rsidRPr="00771368">
        <w:trPr>
          <w:trHeight w:val="254"/>
        </w:trPr>
        <w:tc>
          <w:tcPr>
            <w:tcW w:w="2960" w:type="dxa"/>
            <w:gridSpan w:val="2"/>
            <w:vAlign w:val="bottom"/>
          </w:tcPr>
          <w:p w:rsidR="00D24E61" w:rsidRPr="00771368" w:rsidRDefault="00D24E61">
            <w:pPr>
              <w:ind w:left="100"/>
              <w:rPr>
                <w:sz w:val="20"/>
                <w:szCs w:val="20"/>
              </w:rPr>
            </w:pPr>
            <w:r w:rsidRPr="00771368">
              <w:rPr>
                <w:b/>
                <w:bCs/>
                <w:sz w:val="18"/>
                <w:szCs w:val="18"/>
              </w:rPr>
              <w:t>Licença Maternidade</w:t>
            </w:r>
          </w:p>
        </w:tc>
        <w:tc>
          <w:tcPr>
            <w:tcW w:w="1280" w:type="dxa"/>
            <w:vAlign w:val="bottom"/>
          </w:tcPr>
          <w:p w:rsidR="00D24E61" w:rsidRPr="00771368" w:rsidRDefault="00D24E61">
            <w:pPr>
              <w:ind w:left="150"/>
              <w:jc w:val="center"/>
              <w:rPr>
                <w:sz w:val="20"/>
                <w:szCs w:val="20"/>
              </w:rPr>
            </w:pPr>
            <w:r w:rsidRPr="00771368">
              <w:rPr>
                <w:w w:val="99"/>
                <w:sz w:val="18"/>
                <w:szCs w:val="18"/>
              </w:rPr>
              <w:t>1960</w:t>
            </w:r>
          </w:p>
        </w:tc>
        <w:tc>
          <w:tcPr>
            <w:tcW w:w="1140" w:type="dxa"/>
            <w:vAlign w:val="bottom"/>
          </w:tcPr>
          <w:p w:rsidR="00D24E61" w:rsidRPr="00771368" w:rsidRDefault="00D24E61">
            <w:pPr>
              <w:ind w:left="130"/>
              <w:jc w:val="center"/>
              <w:rPr>
                <w:sz w:val="20"/>
                <w:szCs w:val="20"/>
              </w:rPr>
            </w:pPr>
            <w:r w:rsidRPr="00771368">
              <w:rPr>
                <w:w w:val="99"/>
                <w:sz w:val="18"/>
                <w:szCs w:val="18"/>
              </w:rPr>
              <w:t>1964</w:t>
            </w:r>
          </w:p>
        </w:tc>
        <w:tc>
          <w:tcPr>
            <w:tcW w:w="1280" w:type="dxa"/>
            <w:vAlign w:val="bottom"/>
          </w:tcPr>
          <w:p w:rsidR="00D24E61" w:rsidRPr="00771368" w:rsidRDefault="00D24E61">
            <w:pPr>
              <w:ind w:left="110"/>
              <w:jc w:val="center"/>
              <w:rPr>
                <w:sz w:val="20"/>
                <w:szCs w:val="20"/>
              </w:rPr>
            </w:pPr>
            <w:r w:rsidRPr="00771368">
              <w:rPr>
                <w:w w:val="99"/>
                <w:sz w:val="18"/>
                <w:szCs w:val="18"/>
              </w:rPr>
              <w:t>1946</w:t>
            </w:r>
          </w:p>
        </w:tc>
        <w:tc>
          <w:tcPr>
            <w:tcW w:w="100" w:type="dxa"/>
            <w:vAlign w:val="bottom"/>
          </w:tcPr>
          <w:p w:rsidR="00D24E61" w:rsidRPr="00771368" w:rsidRDefault="00D24E61"/>
        </w:tc>
        <w:tc>
          <w:tcPr>
            <w:tcW w:w="880" w:type="dxa"/>
            <w:vAlign w:val="bottom"/>
          </w:tcPr>
          <w:p w:rsidR="00D24E61" w:rsidRPr="00771368" w:rsidRDefault="00D24E61">
            <w:pPr>
              <w:ind w:left="30"/>
              <w:jc w:val="center"/>
              <w:rPr>
                <w:sz w:val="20"/>
                <w:szCs w:val="20"/>
              </w:rPr>
            </w:pPr>
            <w:r w:rsidRPr="00771368">
              <w:rPr>
                <w:w w:val="99"/>
                <w:sz w:val="18"/>
                <w:szCs w:val="18"/>
              </w:rPr>
              <w:t>1956</w:t>
            </w:r>
          </w:p>
        </w:tc>
        <w:tc>
          <w:tcPr>
            <w:tcW w:w="1280" w:type="dxa"/>
            <w:vAlign w:val="bottom"/>
          </w:tcPr>
          <w:p w:rsidR="00D24E61" w:rsidRPr="00771368" w:rsidRDefault="00D24E61">
            <w:pPr>
              <w:ind w:left="150"/>
              <w:jc w:val="center"/>
              <w:rPr>
                <w:sz w:val="20"/>
                <w:szCs w:val="20"/>
              </w:rPr>
            </w:pPr>
            <w:r w:rsidRPr="00771368">
              <w:rPr>
                <w:w w:val="99"/>
                <w:sz w:val="18"/>
                <w:szCs w:val="18"/>
              </w:rPr>
              <w:t>1955</w:t>
            </w:r>
          </w:p>
        </w:tc>
        <w:tc>
          <w:tcPr>
            <w:tcW w:w="100" w:type="dxa"/>
            <w:vAlign w:val="bottom"/>
          </w:tcPr>
          <w:p w:rsidR="00D24E61" w:rsidRPr="00771368" w:rsidRDefault="00D24E61"/>
        </w:tc>
        <w:tc>
          <w:tcPr>
            <w:tcW w:w="20" w:type="dxa"/>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51"/>
        </w:trPr>
        <w:tc>
          <w:tcPr>
            <w:tcW w:w="2960" w:type="dxa"/>
            <w:gridSpan w:val="2"/>
            <w:vAlign w:val="bottom"/>
          </w:tcPr>
          <w:p w:rsidR="00D24E61" w:rsidRPr="00771368" w:rsidRDefault="00D24E61">
            <w:pPr>
              <w:rPr>
                <w:sz w:val="4"/>
                <w:szCs w:val="4"/>
              </w:rPr>
            </w:pPr>
          </w:p>
        </w:tc>
        <w:tc>
          <w:tcPr>
            <w:tcW w:w="1280" w:type="dxa"/>
            <w:vAlign w:val="bottom"/>
          </w:tcPr>
          <w:p w:rsidR="00D24E61" w:rsidRPr="00771368" w:rsidRDefault="00D24E61">
            <w:pPr>
              <w:rPr>
                <w:sz w:val="4"/>
                <w:szCs w:val="4"/>
              </w:rPr>
            </w:pPr>
          </w:p>
        </w:tc>
        <w:tc>
          <w:tcPr>
            <w:tcW w:w="1140" w:type="dxa"/>
            <w:vAlign w:val="bottom"/>
          </w:tcPr>
          <w:p w:rsidR="00D24E61" w:rsidRPr="00771368" w:rsidRDefault="00D24E61">
            <w:pPr>
              <w:rPr>
                <w:sz w:val="4"/>
                <w:szCs w:val="4"/>
              </w:rPr>
            </w:pPr>
          </w:p>
        </w:tc>
        <w:tc>
          <w:tcPr>
            <w:tcW w:w="1280" w:type="dxa"/>
            <w:vAlign w:val="bottom"/>
          </w:tcPr>
          <w:p w:rsidR="00D24E61" w:rsidRPr="00771368" w:rsidRDefault="00D24E61">
            <w:pPr>
              <w:rPr>
                <w:sz w:val="4"/>
                <w:szCs w:val="4"/>
              </w:rPr>
            </w:pPr>
          </w:p>
        </w:tc>
        <w:tc>
          <w:tcPr>
            <w:tcW w:w="100" w:type="dxa"/>
            <w:vAlign w:val="bottom"/>
          </w:tcPr>
          <w:p w:rsidR="00D24E61" w:rsidRPr="00771368" w:rsidRDefault="00D24E61">
            <w:pPr>
              <w:rPr>
                <w:sz w:val="4"/>
                <w:szCs w:val="4"/>
              </w:rPr>
            </w:pPr>
          </w:p>
        </w:tc>
        <w:tc>
          <w:tcPr>
            <w:tcW w:w="880" w:type="dxa"/>
            <w:vAlign w:val="bottom"/>
          </w:tcPr>
          <w:p w:rsidR="00D24E61" w:rsidRPr="00771368" w:rsidRDefault="00D24E61">
            <w:pPr>
              <w:rPr>
                <w:sz w:val="4"/>
                <w:szCs w:val="4"/>
              </w:rPr>
            </w:pPr>
          </w:p>
        </w:tc>
        <w:tc>
          <w:tcPr>
            <w:tcW w:w="1280" w:type="dxa"/>
            <w:vAlign w:val="bottom"/>
          </w:tcPr>
          <w:p w:rsidR="00D24E61" w:rsidRPr="00771368" w:rsidRDefault="00D24E61">
            <w:pPr>
              <w:rPr>
                <w:sz w:val="4"/>
                <w:szCs w:val="4"/>
              </w:rPr>
            </w:pPr>
          </w:p>
        </w:tc>
        <w:tc>
          <w:tcPr>
            <w:tcW w:w="100" w:type="dxa"/>
            <w:vAlign w:val="bottom"/>
          </w:tcPr>
          <w:p w:rsidR="00D24E61" w:rsidRPr="00771368" w:rsidRDefault="00D24E61">
            <w:pPr>
              <w:rPr>
                <w:sz w:val="4"/>
                <w:szCs w:val="4"/>
              </w:rPr>
            </w:pPr>
          </w:p>
        </w:tc>
        <w:tc>
          <w:tcPr>
            <w:tcW w:w="20" w:type="dxa"/>
            <w:vAlign w:val="bottom"/>
          </w:tcPr>
          <w:p w:rsidR="00D24E61" w:rsidRPr="00771368" w:rsidRDefault="00D24E61">
            <w:pPr>
              <w:rPr>
                <w:sz w:val="4"/>
                <w:szCs w:val="4"/>
              </w:rPr>
            </w:pPr>
          </w:p>
        </w:tc>
        <w:tc>
          <w:tcPr>
            <w:tcW w:w="0" w:type="dxa"/>
            <w:vAlign w:val="bottom"/>
          </w:tcPr>
          <w:p w:rsidR="00D24E61" w:rsidRPr="00771368" w:rsidRDefault="00D24E61">
            <w:pPr>
              <w:rPr>
                <w:sz w:val="1"/>
                <w:szCs w:val="1"/>
              </w:rPr>
            </w:pPr>
          </w:p>
        </w:tc>
      </w:tr>
      <w:tr w:rsidR="00D24E61" w:rsidRPr="00771368">
        <w:trPr>
          <w:trHeight w:val="282"/>
        </w:trPr>
        <w:tc>
          <w:tcPr>
            <w:tcW w:w="100" w:type="dxa"/>
            <w:tcBorders>
              <w:bottom w:val="single" w:sz="8" w:space="0" w:color="C0C0C0"/>
            </w:tcBorders>
            <w:shd w:val="clear" w:color="auto" w:fill="C0C0C0"/>
            <w:vAlign w:val="bottom"/>
          </w:tcPr>
          <w:p w:rsidR="00D24E61" w:rsidRPr="00771368" w:rsidRDefault="00D24E61">
            <w:pPr>
              <w:rPr>
                <w:sz w:val="24"/>
                <w:szCs w:val="24"/>
              </w:rPr>
            </w:pPr>
          </w:p>
        </w:tc>
        <w:tc>
          <w:tcPr>
            <w:tcW w:w="2860" w:type="dxa"/>
            <w:tcBorders>
              <w:bottom w:val="single" w:sz="8" w:space="0" w:color="C0C0C0"/>
            </w:tcBorders>
            <w:shd w:val="clear" w:color="auto" w:fill="C0C0C0"/>
            <w:vAlign w:val="bottom"/>
          </w:tcPr>
          <w:p w:rsidR="00D24E61" w:rsidRPr="00771368" w:rsidRDefault="00D24E61">
            <w:pPr>
              <w:rPr>
                <w:sz w:val="20"/>
                <w:szCs w:val="20"/>
              </w:rPr>
            </w:pPr>
            <w:r w:rsidRPr="00771368">
              <w:rPr>
                <w:b/>
                <w:bCs/>
                <w:sz w:val="18"/>
                <w:szCs w:val="18"/>
              </w:rPr>
              <w:t>Licença Paternidade</w:t>
            </w:r>
          </w:p>
        </w:tc>
        <w:tc>
          <w:tcPr>
            <w:tcW w:w="1280" w:type="dxa"/>
            <w:tcBorders>
              <w:bottom w:val="single" w:sz="8" w:space="0" w:color="C0C0C0"/>
            </w:tcBorders>
            <w:shd w:val="clear" w:color="auto" w:fill="C0C0C0"/>
            <w:vAlign w:val="bottom"/>
          </w:tcPr>
          <w:p w:rsidR="00D24E61" w:rsidRPr="00771368" w:rsidRDefault="00D24E61">
            <w:pPr>
              <w:ind w:left="150"/>
              <w:jc w:val="center"/>
              <w:rPr>
                <w:sz w:val="20"/>
                <w:szCs w:val="20"/>
              </w:rPr>
            </w:pPr>
            <w:r w:rsidRPr="00771368">
              <w:rPr>
                <w:w w:val="99"/>
                <w:sz w:val="18"/>
                <w:szCs w:val="18"/>
              </w:rPr>
              <w:t>1984</w:t>
            </w:r>
          </w:p>
        </w:tc>
        <w:tc>
          <w:tcPr>
            <w:tcW w:w="1140" w:type="dxa"/>
            <w:tcBorders>
              <w:bottom w:val="single" w:sz="8" w:space="0" w:color="C0C0C0"/>
            </w:tcBorders>
            <w:shd w:val="clear" w:color="auto" w:fill="C0C0C0"/>
            <w:vAlign w:val="bottom"/>
          </w:tcPr>
          <w:p w:rsidR="00D24E61" w:rsidRPr="00771368" w:rsidRDefault="00D24E61">
            <w:pPr>
              <w:ind w:left="130"/>
              <w:jc w:val="center"/>
              <w:rPr>
                <w:sz w:val="20"/>
                <w:szCs w:val="20"/>
              </w:rPr>
            </w:pPr>
            <w:r w:rsidRPr="00771368">
              <w:rPr>
                <w:w w:val="99"/>
                <w:sz w:val="18"/>
                <w:szCs w:val="18"/>
              </w:rPr>
              <w:t>1978</w:t>
            </w:r>
          </w:p>
        </w:tc>
        <w:tc>
          <w:tcPr>
            <w:tcW w:w="1280" w:type="dxa"/>
            <w:tcBorders>
              <w:bottom w:val="single" w:sz="8" w:space="0" w:color="C0C0C0"/>
            </w:tcBorders>
            <w:shd w:val="clear" w:color="auto" w:fill="C0C0C0"/>
            <w:vAlign w:val="bottom"/>
          </w:tcPr>
          <w:p w:rsidR="00D24E61" w:rsidRPr="00771368" w:rsidRDefault="00D24E61">
            <w:pPr>
              <w:ind w:left="110"/>
              <w:jc w:val="center"/>
              <w:rPr>
                <w:sz w:val="20"/>
                <w:szCs w:val="20"/>
              </w:rPr>
            </w:pPr>
            <w:r w:rsidRPr="00771368">
              <w:rPr>
                <w:w w:val="99"/>
                <w:sz w:val="18"/>
                <w:szCs w:val="18"/>
              </w:rPr>
              <w:t>1998</w:t>
            </w:r>
          </w:p>
        </w:tc>
        <w:tc>
          <w:tcPr>
            <w:tcW w:w="100" w:type="dxa"/>
            <w:tcBorders>
              <w:bottom w:val="single" w:sz="8" w:space="0" w:color="C0C0C0"/>
            </w:tcBorders>
            <w:shd w:val="clear" w:color="auto" w:fill="C0C0C0"/>
            <w:vAlign w:val="bottom"/>
          </w:tcPr>
          <w:p w:rsidR="00D24E61" w:rsidRPr="00771368" w:rsidRDefault="00D24E61">
            <w:pPr>
              <w:rPr>
                <w:sz w:val="24"/>
                <w:szCs w:val="24"/>
              </w:rPr>
            </w:pPr>
          </w:p>
        </w:tc>
        <w:tc>
          <w:tcPr>
            <w:tcW w:w="880" w:type="dxa"/>
            <w:tcBorders>
              <w:bottom w:val="single" w:sz="8" w:space="0" w:color="C0C0C0"/>
            </w:tcBorders>
            <w:shd w:val="clear" w:color="auto" w:fill="C0C0C0"/>
            <w:vAlign w:val="bottom"/>
          </w:tcPr>
          <w:p w:rsidR="00D24E61" w:rsidRPr="00771368" w:rsidRDefault="00D24E61">
            <w:pPr>
              <w:ind w:left="30"/>
              <w:jc w:val="center"/>
              <w:rPr>
                <w:sz w:val="20"/>
                <w:szCs w:val="20"/>
              </w:rPr>
            </w:pPr>
            <w:r w:rsidRPr="00771368">
              <w:rPr>
                <w:w w:val="99"/>
                <w:sz w:val="18"/>
                <w:szCs w:val="18"/>
              </w:rPr>
              <w:t>1977</w:t>
            </w:r>
          </w:p>
        </w:tc>
        <w:tc>
          <w:tcPr>
            <w:tcW w:w="1280" w:type="dxa"/>
            <w:tcBorders>
              <w:bottom w:val="single" w:sz="8" w:space="0" w:color="C0C0C0"/>
            </w:tcBorders>
            <w:shd w:val="clear" w:color="auto" w:fill="C0C0C0"/>
            <w:vAlign w:val="bottom"/>
          </w:tcPr>
          <w:p w:rsidR="00D24E61" w:rsidRPr="00771368" w:rsidRDefault="00D24E61">
            <w:pPr>
              <w:ind w:left="150"/>
              <w:jc w:val="center"/>
              <w:rPr>
                <w:sz w:val="20"/>
                <w:szCs w:val="20"/>
              </w:rPr>
            </w:pPr>
            <w:r w:rsidRPr="00771368">
              <w:rPr>
                <w:w w:val="99"/>
                <w:sz w:val="18"/>
                <w:szCs w:val="18"/>
              </w:rPr>
              <w:t>1980</w:t>
            </w:r>
          </w:p>
        </w:tc>
        <w:tc>
          <w:tcPr>
            <w:tcW w:w="100" w:type="dxa"/>
            <w:tcBorders>
              <w:bottom w:val="single" w:sz="8" w:space="0" w:color="C0C0C0"/>
            </w:tcBorders>
            <w:shd w:val="clear" w:color="auto" w:fill="C0C0C0"/>
            <w:vAlign w:val="bottom"/>
          </w:tcPr>
          <w:p w:rsidR="00D24E61" w:rsidRPr="00771368" w:rsidRDefault="00D24E61">
            <w:pPr>
              <w:rPr>
                <w:sz w:val="24"/>
                <w:szCs w:val="24"/>
              </w:rPr>
            </w:pPr>
          </w:p>
        </w:tc>
        <w:tc>
          <w:tcPr>
            <w:tcW w:w="20" w:type="dxa"/>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254"/>
        </w:trPr>
        <w:tc>
          <w:tcPr>
            <w:tcW w:w="2960" w:type="dxa"/>
            <w:gridSpan w:val="2"/>
            <w:vAlign w:val="bottom"/>
          </w:tcPr>
          <w:p w:rsidR="00D24E61" w:rsidRPr="00771368" w:rsidRDefault="00D24E61">
            <w:pPr>
              <w:ind w:left="100"/>
              <w:rPr>
                <w:sz w:val="20"/>
                <w:szCs w:val="20"/>
              </w:rPr>
            </w:pPr>
            <w:r w:rsidRPr="00771368">
              <w:rPr>
                <w:b/>
                <w:bCs/>
                <w:sz w:val="18"/>
                <w:szCs w:val="18"/>
              </w:rPr>
              <w:t>Licença Parental</w:t>
            </w:r>
          </w:p>
        </w:tc>
        <w:tc>
          <w:tcPr>
            <w:tcW w:w="1280" w:type="dxa"/>
            <w:vAlign w:val="bottom"/>
          </w:tcPr>
          <w:p w:rsidR="00D24E61" w:rsidRPr="00771368" w:rsidRDefault="00D24E61">
            <w:pPr>
              <w:ind w:left="150"/>
              <w:jc w:val="center"/>
              <w:rPr>
                <w:sz w:val="20"/>
                <w:szCs w:val="20"/>
              </w:rPr>
            </w:pPr>
            <w:r w:rsidRPr="00771368">
              <w:rPr>
                <w:w w:val="99"/>
                <w:sz w:val="18"/>
                <w:szCs w:val="18"/>
              </w:rPr>
              <w:t>1984</w:t>
            </w:r>
          </w:p>
        </w:tc>
        <w:tc>
          <w:tcPr>
            <w:tcW w:w="1140" w:type="dxa"/>
            <w:vAlign w:val="bottom"/>
          </w:tcPr>
          <w:p w:rsidR="00D24E61" w:rsidRPr="00771368" w:rsidRDefault="00D24E61">
            <w:pPr>
              <w:ind w:left="130"/>
              <w:jc w:val="center"/>
              <w:rPr>
                <w:sz w:val="20"/>
                <w:szCs w:val="20"/>
              </w:rPr>
            </w:pPr>
            <w:r w:rsidRPr="00771368">
              <w:rPr>
                <w:w w:val="99"/>
                <w:sz w:val="18"/>
                <w:szCs w:val="18"/>
              </w:rPr>
              <w:t>1985</w:t>
            </w:r>
          </w:p>
        </w:tc>
        <w:tc>
          <w:tcPr>
            <w:tcW w:w="1280" w:type="dxa"/>
            <w:vAlign w:val="bottom"/>
          </w:tcPr>
          <w:p w:rsidR="00D24E61" w:rsidRPr="00771368" w:rsidRDefault="00D24E61">
            <w:pPr>
              <w:ind w:left="110"/>
              <w:jc w:val="center"/>
              <w:rPr>
                <w:sz w:val="20"/>
                <w:szCs w:val="20"/>
              </w:rPr>
            </w:pPr>
            <w:r w:rsidRPr="00771368">
              <w:rPr>
                <w:w w:val="99"/>
                <w:sz w:val="18"/>
                <w:szCs w:val="18"/>
              </w:rPr>
              <w:t>1987</w:t>
            </w:r>
          </w:p>
        </w:tc>
        <w:tc>
          <w:tcPr>
            <w:tcW w:w="100" w:type="dxa"/>
            <w:vAlign w:val="bottom"/>
          </w:tcPr>
          <w:p w:rsidR="00D24E61" w:rsidRPr="00771368" w:rsidRDefault="00D24E61"/>
        </w:tc>
        <w:tc>
          <w:tcPr>
            <w:tcW w:w="880" w:type="dxa"/>
            <w:vAlign w:val="bottom"/>
          </w:tcPr>
          <w:p w:rsidR="00D24E61" w:rsidRPr="00771368" w:rsidRDefault="00D24E61">
            <w:pPr>
              <w:ind w:left="30"/>
              <w:jc w:val="center"/>
              <w:rPr>
                <w:sz w:val="20"/>
                <w:szCs w:val="20"/>
              </w:rPr>
            </w:pPr>
            <w:r w:rsidRPr="00771368">
              <w:rPr>
                <w:w w:val="99"/>
                <w:sz w:val="18"/>
                <w:szCs w:val="18"/>
              </w:rPr>
              <w:t>1978</w:t>
            </w:r>
          </w:p>
        </w:tc>
        <w:tc>
          <w:tcPr>
            <w:tcW w:w="1280" w:type="dxa"/>
            <w:vAlign w:val="bottom"/>
          </w:tcPr>
          <w:p w:rsidR="00D24E61" w:rsidRPr="00771368" w:rsidRDefault="00D24E61">
            <w:pPr>
              <w:ind w:left="150"/>
              <w:jc w:val="center"/>
              <w:rPr>
                <w:sz w:val="20"/>
                <w:szCs w:val="20"/>
              </w:rPr>
            </w:pPr>
            <w:r w:rsidRPr="00771368">
              <w:rPr>
                <w:w w:val="99"/>
                <w:sz w:val="18"/>
                <w:szCs w:val="18"/>
              </w:rPr>
              <w:t>1974</w:t>
            </w:r>
          </w:p>
        </w:tc>
        <w:tc>
          <w:tcPr>
            <w:tcW w:w="100" w:type="dxa"/>
            <w:vAlign w:val="bottom"/>
          </w:tcPr>
          <w:p w:rsidR="00D24E61" w:rsidRPr="00771368" w:rsidRDefault="00D24E61"/>
        </w:tc>
        <w:tc>
          <w:tcPr>
            <w:tcW w:w="20" w:type="dxa"/>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48"/>
        </w:trPr>
        <w:tc>
          <w:tcPr>
            <w:tcW w:w="2960" w:type="dxa"/>
            <w:gridSpan w:val="2"/>
            <w:vAlign w:val="bottom"/>
          </w:tcPr>
          <w:p w:rsidR="00D24E61" w:rsidRPr="00771368" w:rsidRDefault="00D24E61">
            <w:pPr>
              <w:rPr>
                <w:sz w:val="4"/>
                <w:szCs w:val="4"/>
              </w:rPr>
            </w:pPr>
          </w:p>
        </w:tc>
        <w:tc>
          <w:tcPr>
            <w:tcW w:w="1280" w:type="dxa"/>
            <w:vAlign w:val="bottom"/>
          </w:tcPr>
          <w:p w:rsidR="00D24E61" w:rsidRPr="00771368" w:rsidRDefault="00D24E61">
            <w:pPr>
              <w:rPr>
                <w:sz w:val="4"/>
                <w:szCs w:val="4"/>
              </w:rPr>
            </w:pPr>
          </w:p>
        </w:tc>
        <w:tc>
          <w:tcPr>
            <w:tcW w:w="1140" w:type="dxa"/>
            <w:vAlign w:val="bottom"/>
          </w:tcPr>
          <w:p w:rsidR="00D24E61" w:rsidRPr="00771368" w:rsidRDefault="00D24E61">
            <w:pPr>
              <w:rPr>
                <w:sz w:val="4"/>
                <w:szCs w:val="4"/>
              </w:rPr>
            </w:pPr>
          </w:p>
        </w:tc>
        <w:tc>
          <w:tcPr>
            <w:tcW w:w="1280" w:type="dxa"/>
            <w:vAlign w:val="bottom"/>
          </w:tcPr>
          <w:p w:rsidR="00D24E61" w:rsidRPr="00771368" w:rsidRDefault="00D24E61">
            <w:pPr>
              <w:rPr>
                <w:sz w:val="4"/>
                <w:szCs w:val="4"/>
              </w:rPr>
            </w:pPr>
          </w:p>
        </w:tc>
        <w:tc>
          <w:tcPr>
            <w:tcW w:w="100" w:type="dxa"/>
            <w:vAlign w:val="bottom"/>
          </w:tcPr>
          <w:p w:rsidR="00D24E61" w:rsidRPr="00771368" w:rsidRDefault="00D24E61">
            <w:pPr>
              <w:rPr>
                <w:sz w:val="4"/>
                <w:szCs w:val="4"/>
              </w:rPr>
            </w:pPr>
          </w:p>
        </w:tc>
        <w:tc>
          <w:tcPr>
            <w:tcW w:w="880" w:type="dxa"/>
            <w:vAlign w:val="bottom"/>
          </w:tcPr>
          <w:p w:rsidR="00D24E61" w:rsidRPr="00771368" w:rsidRDefault="00D24E61">
            <w:pPr>
              <w:rPr>
                <w:sz w:val="4"/>
                <w:szCs w:val="4"/>
              </w:rPr>
            </w:pPr>
          </w:p>
        </w:tc>
        <w:tc>
          <w:tcPr>
            <w:tcW w:w="1280" w:type="dxa"/>
            <w:vAlign w:val="bottom"/>
          </w:tcPr>
          <w:p w:rsidR="00D24E61" w:rsidRPr="00771368" w:rsidRDefault="00D24E61">
            <w:pPr>
              <w:rPr>
                <w:sz w:val="4"/>
                <w:szCs w:val="4"/>
              </w:rPr>
            </w:pPr>
          </w:p>
        </w:tc>
        <w:tc>
          <w:tcPr>
            <w:tcW w:w="100" w:type="dxa"/>
            <w:vAlign w:val="bottom"/>
          </w:tcPr>
          <w:p w:rsidR="00D24E61" w:rsidRPr="00771368" w:rsidRDefault="00D24E61">
            <w:pPr>
              <w:rPr>
                <w:sz w:val="4"/>
                <w:szCs w:val="4"/>
              </w:rPr>
            </w:pPr>
          </w:p>
        </w:tc>
        <w:tc>
          <w:tcPr>
            <w:tcW w:w="20" w:type="dxa"/>
            <w:vAlign w:val="bottom"/>
          </w:tcPr>
          <w:p w:rsidR="00D24E61" w:rsidRPr="00771368" w:rsidRDefault="00D24E61">
            <w:pPr>
              <w:rPr>
                <w:sz w:val="4"/>
                <w:szCs w:val="4"/>
              </w:rPr>
            </w:pPr>
          </w:p>
        </w:tc>
        <w:tc>
          <w:tcPr>
            <w:tcW w:w="0" w:type="dxa"/>
            <w:vAlign w:val="bottom"/>
          </w:tcPr>
          <w:p w:rsidR="00D24E61" w:rsidRPr="00771368" w:rsidRDefault="00D24E61">
            <w:pPr>
              <w:rPr>
                <w:sz w:val="1"/>
                <w:szCs w:val="1"/>
              </w:rPr>
            </w:pPr>
          </w:p>
        </w:tc>
      </w:tr>
      <w:tr w:rsidR="00D24E61" w:rsidRPr="00771368">
        <w:trPr>
          <w:trHeight w:val="282"/>
        </w:trPr>
        <w:tc>
          <w:tcPr>
            <w:tcW w:w="100" w:type="dxa"/>
            <w:tcBorders>
              <w:bottom w:val="single" w:sz="8" w:space="0" w:color="C0C0C0"/>
            </w:tcBorders>
            <w:shd w:val="clear" w:color="auto" w:fill="C0C0C0"/>
            <w:vAlign w:val="bottom"/>
          </w:tcPr>
          <w:p w:rsidR="00D24E61" w:rsidRPr="00771368" w:rsidRDefault="00D24E61">
            <w:pPr>
              <w:rPr>
                <w:sz w:val="24"/>
                <w:szCs w:val="24"/>
              </w:rPr>
            </w:pPr>
          </w:p>
        </w:tc>
        <w:tc>
          <w:tcPr>
            <w:tcW w:w="2860" w:type="dxa"/>
            <w:tcBorders>
              <w:bottom w:val="single" w:sz="8" w:space="0" w:color="C0C0C0"/>
            </w:tcBorders>
            <w:shd w:val="clear" w:color="auto" w:fill="C0C0C0"/>
            <w:vAlign w:val="bottom"/>
          </w:tcPr>
          <w:p w:rsidR="00D24E61" w:rsidRPr="00771368" w:rsidRDefault="00D24E61">
            <w:pPr>
              <w:spacing w:line="206" w:lineRule="exact"/>
              <w:rPr>
                <w:sz w:val="20"/>
                <w:szCs w:val="20"/>
              </w:rPr>
            </w:pPr>
            <w:r w:rsidRPr="00771368">
              <w:rPr>
                <w:b/>
                <w:bCs/>
                <w:sz w:val="18"/>
                <w:szCs w:val="18"/>
              </w:rPr>
              <w:t>Quota do pai</w:t>
            </w:r>
          </w:p>
        </w:tc>
        <w:tc>
          <w:tcPr>
            <w:tcW w:w="1280" w:type="dxa"/>
            <w:tcBorders>
              <w:bottom w:val="single" w:sz="8" w:space="0" w:color="C0C0C0"/>
            </w:tcBorders>
            <w:shd w:val="clear" w:color="auto" w:fill="C0C0C0"/>
            <w:vAlign w:val="bottom"/>
          </w:tcPr>
          <w:p w:rsidR="00D24E61" w:rsidRPr="00771368" w:rsidRDefault="00D24E61">
            <w:pPr>
              <w:ind w:left="130"/>
              <w:jc w:val="center"/>
              <w:rPr>
                <w:sz w:val="20"/>
                <w:szCs w:val="20"/>
              </w:rPr>
            </w:pPr>
            <w:r w:rsidRPr="00771368">
              <w:rPr>
                <w:sz w:val="18"/>
                <w:szCs w:val="18"/>
              </w:rPr>
              <w:t>1997*</w:t>
            </w:r>
          </w:p>
        </w:tc>
        <w:tc>
          <w:tcPr>
            <w:tcW w:w="1140" w:type="dxa"/>
            <w:tcBorders>
              <w:bottom w:val="single" w:sz="8" w:space="0" w:color="C0C0C0"/>
            </w:tcBorders>
            <w:shd w:val="clear" w:color="auto" w:fill="C0C0C0"/>
            <w:vAlign w:val="bottom"/>
          </w:tcPr>
          <w:p w:rsidR="00D24E61" w:rsidRPr="00771368" w:rsidRDefault="00D24E61">
            <w:pPr>
              <w:ind w:left="130"/>
              <w:jc w:val="center"/>
              <w:rPr>
                <w:sz w:val="20"/>
                <w:szCs w:val="20"/>
              </w:rPr>
            </w:pPr>
            <w:r w:rsidRPr="00771368">
              <w:rPr>
                <w:w w:val="99"/>
                <w:sz w:val="18"/>
                <w:szCs w:val="18"/>
              </w:rPr>
              <w:t>2003</w:t>
            </w:r>
          </w:p>
        </w:tc>
        <w:tc>
          <w:tcPr>
            <w:tcW w:w="1280" w:type="dxa"/>
            <w:tcBorders>
              <w:bottom w:val="single" w:sz="8" w:space="0" w:color="C0C0C0"/>
            </w:tcBorders>
            <w:shd w:val="clear" w:color="auto" w:fill="C0C0C0"/>
            <w:vAlign w:val="bottom"/>
          </w:tcPr>
          <w:p w:rsidR="00D24E61" w:rsidRPr="00771368" w:rsidRDefault="00D24E61">
            <w:pPr>
              <w:ind w:left="110"/>
              <w:jc w:val="center"/>
              <w:rPr>
                <w:sz w:val="20"/>
                <w:szCs w:val="20"/>
              </w:rPr>
            </w:pPr>
            <w:r w:rsidRPr="00771368">
              <w:rPr>
                <w:w w:val="99"/>
                <w:sz w:val="18"/>
                <w:szCs w:val="18"/>
              </w:rPr>
              <w:t>2001</w:t>
            </w:r>
          </w:p>
        </w:tc>
        <w:tc>
          <w:tcPr>
            <w:tcW w:w="100" w:type="dxa"/>
            <w:tcBorders>
              <w:bottom w:val="single" w:sz="8" w:space="0" w:color="C0C0C0"/>
            </w:tcBorders>
            <w:shd w:val="clear" w:color="auto" w:fill="C0C0C0"/>
            <w:vAlign w:val="bottom"/>
          </w:tcPr>
          <w:p w:rsidR="00D24E61" w:rsidRPr="00771368" w:rsidRDefault="00D24E61">
            <w:pPr>
              <w:rPr>
                <w:sz w:val="24"/>
                <w:szCs w:val="24"/>
              </w:rPr>
            </w:pPr>
          </w:p>
        </w:tc>
        <w:tc>
          <w:tcPr>
            <w:tcW w:w="880" w:type="dxa"/>
            <w:tcBorders>
              <w:bottom w:val="single" w:sz="8" w:space="0" w:color="C0C0C0"/>
            </w:tcBorders>
            <w:shd w:val="clear" w:color="auto" w:fill="C0C0C0"/>
            <w:vAlign w:val="bottom"/>
          </w:tcPr>
          <w:p w:rsidR="00D24E61" w:rsidRPr="00771368" w:rsidRDefault="00D24E61">
            <w:pPr>
              <w:ind w:left="30"/>
              <w:jc w:val="center"/>
              <w:rPr>
                <w:sz w:val="20"/>
                <w:szCs w:val="20"/>
              </w:rPr>
            </w:pPr>
            <w:r w:rsidRPr="00771368">
              <w:rPr>
                <w:w w:val="99"/>
                <w:sz w:val="18"/>
                <w:szCs w:val="18"/>
              </w:rPr>
              <w:t>1993</w:t>
            </w:r>
          </w:p>
        </w:tc>
        <w:tc>
          <w:tcPr>
            <w:tcW w:w="1280" w:type="dxa"/>
            <w:tcBorders>
              <w:bottom w:val="single" w:sz="8" w:space="0" w:color="C0C0C0"/>
            </w:tcBorders>
            <w:shd w:val="clear" w:color="auto" w:fill="C0C0C0"/>
            <w:vAlign w:val="bottom"/>
          </w:tcPr>
          <w:p w:rsidR="00D24E61" w:rsidRPr="00771368" w:rsidRDefault="00D24E61">
            <w:pPr>
              <w:ind w:left="150"/>
              <w:jc w:val="center"/>
              <w:rPr>
                <w:sz w:val="20"/>
                <w:szCs w:val="20"/>
              </w:rPr>
            </w:pPr>
            <w:r w:rsidRPr="00771368">
              <w:rPr>
                <w:w w:val="99"/>
                <w:sz w:val="18"/>
                <w:szCs w:val="18"/>
              </w:rPr>
              <w:t>1995</w:t>
            </w:r>
          </w:p>
        </w:tc>
        <w:tc>
          <w:tcPr>
            <w:tcW w:w="100" w:type="dxa"/>
            <w:tcBorders>
              <w:bottom w:val="single" w:sz="8" w:space="0" w:color="C0C0C0"/>
            </w:tcBorders>
            <w:shd w:val="clear" w:color="auto" w:fill="C0C0C0"/>
            <w:vAlign w:val="bottom"/>
          </w:tcPr>
          <w:p w:rsidR="00D24E61" w:rsidRPr="00771368" w:rsidRDefault="00D24E61">
            <w:pPr>
              <w:rPr>
                <w:sz w:val="24"/>
                <w:szCs w:val="24"/>
              </w:rPr>
            </w:pPr>
          </w:p>
        </w:tc>
        <w:tc>
          <w:tcPr>
            <w:tcW w:w="20" w:type="dxa"/>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254"/>
        </w:trPr>
        <w:tc>
          <w:tcPr>
            <w:tcW w:w="2960" w:type="dxa"/>
            <w:gridSpan w:val="2"/>
            <w:vAlign w:val="bottom"/>
          </w:tcPr>
          <w:p w:rsidR="00D24E61" w:rsidRPr="00771368" w:rsidRDefault="00D24E61">
            <w:pPr>
              <w:ind w:left="100"/>
              <w:rPr>
                <w:sz w:val="20"/>
                <w:szCs w:val="20"/>
              </w:rPr>
            </w:pPr>
            <w:r w:rsidRPr="00771368">
              <w:rPr>
                <w:b/>
                <w:bCs/>
                <w:sz w:val="18"/>
                <w:szCs w:val="18"/>
              </w:rPr>
              <w:t>Licença para cuidados com as</w:t>
            </w:r>
          </w:p>
        </w:tc>
        <w:tc>
          <w:tcPr>
            <w:tcW w:w="1280" w:type="dxa"/>
            <w:vAlign w:val="bottom"/>
          </w:tcPr>
          <w:p w:rsidR="00D24E61" w:rsidRPr="00771368" w:rsidRDefault="00D24E61"/>
        </w:tc>
        <w:tc>
          <w:tcPr>
            <w:tcW w:w="1140" w:type="dxa"/>
            <w:vAlign w:val="bottom"/>
          </w:tcPr>
          <w:p w:rsidR="00D24E61" w:rsidRPr="00771368" w:rsidRDefault="00D24E61"/>
        </w:tc>
        <w:tc>
          <w:tcPr>
            <w:tcW w:w="1280" w:type="dxa"/>
            <w:vAlign w:val="bottom"/>
          </w:tcPr>
          <w:p w:rsidR="00D24E61" w:rsidRPr="00771368" w:rsidRDefault="00D24E61"/>
        </w:tc>
        <w:tc>
          <w:tcPr>
            <w:tcW w:w="100" w:type="dxa"/>
            <w:vAlign w:val="bottom"/>
          </w:tcPr>
          <w:p w:rsidR="00D24E61" w:rsidRPr="00771368" w:rsidRDefault="00D24E61"/>
        </w:tc>
        <w:tc>
          <w:tcPr>
            <w:tcW w:w="880" w:type="dxa"/>
            <w:vAlign w:val="bottom"/>
          </w:tcPr>
          <w:p w:rsidR="00D24E61" w:rsidRPr="00771368" w:rsidRDefault="00D24E61"/>
        </w:tc>
        <w:tc>
          <w:tcPr>
            <w:tcW w:w="1280" w:type="dxa"/>
            <w:vAlign w:val="bottom"/>
          </w:tcPr>
          <w:p w:rsidR="00D24E61" w:rsidRPr="00771368" w:rsidRDefault="00D24E61"/>
        </w:tc>
        <w:tc>
          <w:tcPr>
            <w:tcW w:w="100" w:type="dxa"/>
            <w:vAlign w:val="bottom"/>
          </w:tcPr>
          <w:p w:rsidR="00D24E61" w:rsidRPr="00771368" w:rsidRDefault="00D24E61"/>
        </w:tc>
        <w:tc>
          <w:tcPr>
            <w:tcW w:w="20" w:type="dxa"/>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209"/>
        </w:trPr>
        <w:tc>
          <w:tcPr>
            <w:tcW w:w="2960" w:type="dxa"/>
            <w:gridSpan w:val="2"/>
            <w:vAlign w:val="bottom"/>
          </w:tcPr>
          <w:p w:rsidR="00D24E61" w:rsidRPr="00771368" w:rsidRDefault="00D24E61">
            <w:pPr>
              <w:ind w:left="100"/>
              <w:rPr>
                <w:sz w:val="20"/>
                <w:szCs w:val="20"/>
              </w:rPr>
            </w:pPr>
            <w:r w:rsidRPr="00771368">
              <w:rPr>
                <w:b/>
                <w:bCs/>
                <w:sz w:val="18"/>
                <w:szCs w:val="18"/>
              </w:rPr>
              <w:t>crianças (taxa fixa/não remunerada)</w:t>
            </w:r>
          </w:p>
        </w:tc>
        <w:tc>
          <w:tcPr>
            <w:tcW w:w="1280" w:type="dxa"/>
            <w:vMerge w:val="restart"/>
            <w:vAlign w:val="bottom"/>
          </w:tcPr>
          <w:p w:rsidR="00D24E61" w:rsidRPr="00771368" w:rsidRDefault="00D24E61">
            <w:pPr>
              <w:ind w:left="130"/>
              <w:jc w:val="center"/>
              <w:rPr>
                <w:sz w:val="20"/>
                <w:szCs w:val="20"/>
              </w:rPr>
            </w:pPr>
            <w:r w:rsidRPr="00771368">
              <w:rPr>
                <w:sz w:val="18"/>
                <w:szCs w:val="18"/>
              </w:rPr>
              <w:t>1992*</w:t>
            </w:r>
          </w:p>
        </w:tc>
        <w:tc>
          <w:tcPr>
            <w:tcW w:w="1140" w:type="dxa"/>
            <w:vMerge w:val="restart"/>
            <w:vAlign w:val="bottom"/>
          </w:tcPr>
          <w:p w:rsidR="00D24E61" w:rsidRPr="00771368" w:rsidRDefault="00D24E61">
            <w:pPr>
              <w:ind w:left="130"/>
              <w:jc w:val="center"/>
              <w:rPr>
                <w:sz w:val="20"/>
                <w:szCs w:val="20"/>
              </w:rPr>
            </w:pPr>
            <w:r w:rsidRPr="00771368">
              <w:rPr>
                <w:w w:val="99"/>
                <w:sz w:val="18"/>
                <w:szCs w:val="18"/>
              </w:rPr>
              <w:t>1985</w:t>
            </w:r>
          </w:p>
        </w:tc>
        <w:tc>
          <w:tcPr>
            <w:tcW w:w="1280" w:type="dxa"/>
            <w:vMerge w:val="restart"/>
            <w:vAlign w:val="bottom"/>
          </w:tcPr>
          <w:p w:rsidR="00D24E61" w:rsidRPr="00771368" w:rsidRDefault="00D24E61">
            <w:pPr>
              <w:ind w:left="110"/>
              <w:jc w:val="center"/>
              <w:rPr>
                <w:sz w:val="20"/>
                <w:szCs w:val="20"/>
              </w:rPr>
            </w:pPr>
            <w:r w:rsidRPr="00771368">
              <w:rPr>
                <w:w w:val="99"/>
                <w:sz w:val="18"/>
                <w:szCs w:val="18"/>
              </w:rPr>
              <w:t>2001</w:t>
            </w:r>
          </w:p>
        </w:tc>
        <w:tc>
          <w:tcPr>
            <w:tcW w:w="100" w:type="dxa"/>
            <w:vAlign w:val="bottom"/>
          </w:tcPr>
          <w:p w:rsidR="00D24E61" w:rsidRPr="00771368" w:rsidRDefault="00D24E61">
            <w:pPr>
              <w:rPr>
                <w:sz w:val="18"/>
                <w:szCs w:val="18"/>
              </w:rPr>
            </w:pPr>
          </w:p>
        </w:tc>
        <w:tc>
          <w:tcPr>
            <w:tcW w:w="880" w:type="dxa"/>
            <w:vMerge w:val="restart"/>
            <w:vAlign w:val="bottom"/>
          </w:tcPr>
          <w:p w:rsidR="00D24E61" w:rsidRPr="00771368" w:rsidRDefault="00D24E61">
            <w:pPr>
              <w:ind w:left="30"/>
              <w:jc w:val="center"/>
              <w:rPr>
                <w:sz w:val="20"/>
                <w:szCs w:val="20"/>
              </w:rPr>
            </w:pPr>
            <w:r w:rsidRPr="00771368">
              <w:rPr>
                <w:w w:val="99"/>
                <w:sz w:val="18"/>
                <w:szCs w:val="18"/>
              </w:rPr>
              <w:t>1978</w:t>
            </w:r>
          </w:p>
        </w:tc>
        <w:tc>
          <w:tcPr>
            <w:tcW w:w="1280" w:type="dxa"/>
            <w:vMerge w:val="restart"/>
            <w:vAlign w:val="bottom"/>
          </w:tcPr>
          <w:p w:rsidR="00D24E61" w:rsidRPr="00771368" w:rsidRDefault="00D24E61">
            <w:pPr>
              <w:ind w:left="130"/>
              <w:jc w:val="center"/>
              <w:rPr>
                <w:sz w:val="20"/>
                <w:szCs w:val="20"/>
              </w:rPr>
            </w:pPr>
            <w:r w:rsidRPr="00771368">
              <w:rPr>
                <w:w w:val="99"/>
                <w:sz w:val="18"/>
                <w:szCs w:val="18"/>
              </w:rPr>
              <w:t>1980**</w:t>
            </w:r>
          </w:p>
        </w:tc>
        <w:tc>
          <w:tcPr>
            <w:tcW w:w="100" w:type="dxa"/>
            <w:vAlign w:val="bottom"/>
          </w:tcPr>
          <w:p w:rsidR="00D24E61" w:rsidRPr="00771368" w:rsidRDefault="00D24E61">
            <w:pPr>
              <w:rPr>
                <w:sz w:val="18"/>
                <w:szCs w:val="18"/>
              </w:rPr>
            </w:pPr>
          </w:p>
        </w:tc>
        <w:tc>
          <w:tcPr>
            <w:tcW w:w="20" w:type="dxa"/>
            <w:vAlign w:val="bottom"/>
          </w:tcPr>
          <w:p w:rsidR="00D24E61" w:rsidRPr="00771368" w:rsidRDefault="00D24E61">
            <w:pPr>
              <w:rPr>
                <w:sz w:val="18"/>
                <w:szCs w:val="18"/>
              </w:rPr>
            </w:pPr>
          </w:p>
        </w:tc>
        <w:tc>
          <w:tcPr>
            <w:tcW w:w="0" w:type="dxa"/>
            <w:vAlign w:val="bottom"/>
          </w:tcPr>
          <w:p w:rsidR="00D24E61" w:rsidRPr="00771368" w:rsidRDefault="00D24E61">
            <w:pPr>
              <w:rPr>
                <w:sz w:val="1"/>
                <w:szCs w:val="1"/>
              </w:rPr>
            </w:pPr>
          </w:p>
        </w:tc>
      </w:tr>
      <w:tr w:rsidR="00D24E61" w:rsidRPr="00771368">
        <w:trPr>
          <w:trHeight w:val="43"/>
        </w:trPr>
        <w:tc>
          <w:tcPr>
            <w:tcW w:w="100" w:type="dxa"/>
            <w:vAlign w:val="bottom"/>
          </w:tcPr>
          <w:p w:rsidR="00D24E61" w:rsidRPr="00771368" w:rsidRDefault="00D24E61">
            <w:pPr>
              <w:rPr>
                <w:sz w:val="3"/>
                <w:szCs w:val="3"/>
              </w:rPr>
            </w:pPr>
          </w:p>
        </w:tc>
        <w:tc>
          <w:tcPr>
            <w:tcW w:w="2860" w:type="dxa"/>
            <w:vAlign w:val="bottom"/>
          </w:tcPr>
          <w:p w:rsidR="00D24E61" w:rsidRPr="00771368" w:rsidRDefault="00D24E61">
            <w:pPr>
              <w:rPr>
                <w:sz w:val="3"/>
                <w:szCs w:val="3"/>
              </w:rPr>
            </w:pPr>
          </w:p>
        </w:tc>
        <w:tc>
          <w:tcPr>
            <w:tcW w:w="1280" w:type="dxa"/>
            <w:vMerge/>
            <w:vAlign w:val="bottom"/>
          </w:tcPr>
          <w:p w:rsidR="00D24E61" w:rsidRPr="00771368" w:rsidRDefault="00D24E61">
            <w:pPr>
              <w:rPr>
                <w:sz w:val="3"/>
                <w:szCs w:val="3"/>
              </w:rPr>
            </w:pPr>
          </w:p>
        </w:tc>
        <w:tc>
          <w:tcPr>
            <w:tcW w:w="1140" w:type="dxa"/>
            <w:vMerge/>
            <w:vAlign w:val="bottom"/>
          </w:tcPr>
          <w:p w:rsidR="00D24E61" w:rsidRPr="00771368" w:rsidRDefault="00D24E61">
            <w:pPr>
              <w:rPr>
                <w:sz w:val="3"/>
                <w:szCs w:val="3"/>
              </w:rPr>
            </w:pPr>
          </w:p>
        </w:tc>
        <w:tc>
          <w:tcPr>
            <w:tcW w:w="1280" w:type="dxa"/>
            <w:vMerge/>
            <w:vAlign w:val="bottom"/>
          </w:tcPr>
          <w:p w:rsidR="00D24E61" w:rsidRPr="00771368" w:rsidRDefault="00D24E61">
            <w:pPr>
              <w:rPr>
                <w:sz w:val="3"/>
                <w:szCs w:val="3"/>
              </w:rPr>
            </w:pPr>
          </w:p>
        </w:tc>
        <w:tc>
          <w:tcPr>
            <w:tcW w:w="100" w:type="dxa"/>
            <w:vAlign w:val="bottom"/>
          </w:tcPr>
          <w:p w:rsidR="00D24E61" w:rsidRPr="00771368" w:rsidRDefault="00D24E61">
            <w:pPr>
              <w:rPr>
                <w:sz w:val="3"/>
                <w:szCs w:val="3"/>
              </w:rPr>
            </w:pPr>
          </w:p>
        </w:tc>
        <w:tc>
          <w:tcPr>
            <w:tcW w:w="880" w:type="dxa"/>
            <w:vMerge/>
            <w:vAlign w:val="bottom"/>
          </w:tcPr>
          <w:p w:rsidR="00D24E61" w:rsidRPr="00771368" w:rsidRDefault="00D24E61">
            <w:pPr>
              <w:rPr>
                <w:sz w:val="3"/>
                <w:szCs w:val="3"/>
              </w:rPr>
            </w:pPr>
          </w:p>
        </w:tc>
        <w:tc>
          <w:tcPr>
            <w:tcW w:w="1280" w:type="dxa"/>
            <w:vMerge/>
            <w:vAlign w:val="bottom"/>
          </w:tcPr>
          <w:p w:rsidR="00D24E61" w:rsidRPr="00771368" w:rsidRDefault="00D24E61">
            <w:pPr>
              <w:rPr>
                <w:sz w:val="3"/>
                <w:szCs w:val="3"/>
              </w:rPr>
            </w:pPr>
          </w:p>
        </w:tc>
        <w:tc>
          <w:tcPr>
            <w:tcW w:w="100" w:type="dxa"/>
            <w:vAlign w:val="bottom"/>
          </w:tcPr>
          <w:p w:rsidR="00D24E61" w:rsidRPr="00771368" w:rsidRDefault="00D24E61">
            <w:pPr>
              <w:rPr>
                <w:sz w:val="3"/>
                <w:szCs w:val="3"/>
              </w:rPr>
            </w:pPr>
          </w:p>
        </w:tc>
        <w:tc>
          <w:tcPr>
            <w:tcW w:w="20" w:type="dxa"/>
            <w:vAlign w:val="bottom"/>
          </w:tcPr>
          <w:p w:rsidR="00D24E61" w:rsidRPr="00771368" w:rsidRDefault="00D24E61">
            <w:pPr>
              <w:rPr>
                <w:sz w:val="3"/>
                <w:szCs w:val="3"/>
              </w:rPr>
            </w:pPr>
          </w:p>
        </w:tc>
        <w:tc>
          <w:tcPr>
            <w:tcW w:w="0" w:type="dxa"/>
            <w:vAlign w:val="bottom"/>
          </w:tcPr>
          <w:p w:rsidR="00D24E61" w:rsidRPr="00771368" w:rsidRDefault="00D24E61">
            <w:pPr>
              <w:rPr>
                <w:sz w:val="1"/>
                <w:szCs w:val="1"/>
              </w:rPr>
            </w:pPr>
          </w:p>
        </w:tc>
      </w:tr>
    </w:tbl>
    <w:p w:rsidR="00D24E61" w:rsidRPr="00771368" w:rsidRDefault="00013211">
      <w:pPr>
        <w:spacing w:line="115" w:lineRule="exact"/>
        <w:rPr>
          <w:sz w:val="20"/>
          <w:szCs w:val="20"/>
        </w:rPr>
      </w:pPr>
      <w:r>
        <w:rPr>
          <w:noProof/>
          <w:sz w:val="20"/>
          <w:szCs w:val="20"/>
        </w:rPr>
        <mc:AlternateContent>
          <mc:Choice Requires="wps">
            <w:drawing>
              <wp:anchor distT="0" distB="0" distL="0" distR="0" simplePos="0" relativeHeight="251634176" behindDoc="0" locked="0" layoutInCell="0" allowOverlap="1">
                <wp:simplePos x="0" y="0"/>
                <wp:positionH relativeFrom="column">
                  <wp:posOffset>-12700</wp:posOffset>
                </wp:positionH>
                <wp:positionV relativeFrom="paragraph">
                  <wp:posOffset>39370</wp:posOffset>
                </wp:positionV>
                <wp:extent cx="5748020" cy="0"/>
                <wp:effectExtent l="6350" t="10795" r="8255" b="8255"/>
                <wp:wrapNone/>
                <wp:docPr id="29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802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3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3.1pt" to="451.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" o:allowincell="f" strokeweight=".33864mm"/>
            </w:pict>
          </mc:Fallback>
        </mc:AlternateContent>
      </w:r>
    </w:p>
    <w:p w:rsidR="00D24E61" w:rsidRPr="00771368" w:rsidRDefault="00D24E61" w:rsidP="00D24E61">
      <w:pPr>
        <w:numPr>
          <w:ilvl w:val="0"/>
          <w:numId w:val="7"/>
        </w:numPr>
        <w:tabs>
          <w:tab w:val="left" w:pos="240"/>
        </w:tabs>
        <w:ind w:left="240" w:hanging="138"/>
        <w:jc w:val="both"/>
        <w:rPr>
          <w:sz w:val="18"/>
          <w:szCs w:val="18"/>
        </w:rPr>
      </w:pPr>
      <w:r w:rsidRPr="00771368">
        <w:rPr>
          <w:sz w:val="18"/>
          <w:szCs w:val="18"/>
        </w:rPr>
        <w:t>Abolido em 2002; quota paterna re-introduzida no setor industrial em 2007.</w:t>
      </w:r>
    </w:p>
    <w:p w:rsidR="00D24E61" w:rsidRPr="00771368" w:rsidRDefault="00D24E61">
      <w:pPr>
        <w:spacing w:line="47" w:lineRule="exact"/>
        <w:rPr>
          <w:sz w:val="18"/>
          <w:szCs w:val="18"/>
        </w:rPr>
      </w:pPr>
    </w:p>
    <w:p w:rsidR="00D24E61" w:rsidRPr="00771368" w:rsidRDefault="00D24E61" w:rsidP="00D24E61">
      <w:pPr>
        <w:numPr>
          <w:ilvl w:val="0"/>
          <w:numId w:val="8"/>
        </w:numPr>
        <w:tabs>
          <w:tab w:val="left" w:pos="320"/>
        </w:tabs>
        <w:ind w:left="320" w:hanging="218"/>
        <w:jc w:val="both"/>
        <w:rPr>
          <w:sz w:val="18"/>
          <w:szCs w:val="18"/>
        </w:rPr>
      </w:pPr>
      <w:r w:rsidRPr="00771368">
        <w:rPr>
          <w:sz w:val="18"/>
          <w:szCs w:val="18"/>
        </w:rPr>
        <w:t>90 dias de licença parental fixa.</w:t>
      </w:r>
    </w:p>
    <w:p w:rsidR="00D24E61" w:rsidRPr="00771368" w:rsidRDefault="00D24E61">
      <w:pPr>
        <w:spacing w:line="370" w:lineRule="exact"/>
        <w:rPr>
          <w:sz w:val="20"/>
          <w:szCs w:val="20"/>
        </w:rPr>
      </w:pPr>
    </w:p>
    <w:p w:rsidR="00D24E61" w:rsidRPr="00771368" w:rsidRDefault="00D24E61">
      <w:pPr>
        <w:spacing w:line="308" w:lineRule="auto"/>
        <w:ind w:left="100" w:right="440" w:firstLine="708"/>
        <w:rPr>
          <w:sz w:val="20"/>
          <w:szCs w:val="20"/>
        </w:rPr>
      </w:pPr>
      <w:r w:rsidRPr="00771368">
        <w:rPr>
          <w:sz w:val="24"/>
          <w:szCs w:val="24"/>
        </w:rPr>
        <w:t>A política de igualdade da concessão de cotas para licença-paternidade contribuiu para uma nova concepção e valorização do papel do pai na criação dos filhos,</w:t>
      </w:r>
    </w:p>
    <w:p w:rsidR="00D24E61" w:rsidRPr="00771368" w:rsidRDefault="00013211">
      <w:pPr>
        <w:spacing w:line="269" w:lineRule="exact"/>
        <w:rPr>
          <w:sz w:val="20"/>
          <w:szCs w:val="20"/>
        </w:rPr>
      </w:pPr>
      <w:r>
        <w:rPr>
          <w:noProof/>
          <w:sz w:val="20"/>
          <w:szCs w:val="20"/>
        </w:rPr>
        <mc:AlternateContent>
          <mc:Choice Requires="wps">
            <w:drawing>
              <wp:anchor distT="0" distB="0" distL="0" distR="0" simplePos="0" relativeHeight="251635200" behindDoc="0" locked="0" layoutInCell="0" allowOverlap="1">
                <wp:simplePos x="0" y="0"/>
                <wp:positionH relativeFrom="column">
                  <wp:posOffset>64770</wp:posOffset>
                </wp:positionH>
                <wp:positionV relativeFrom="paragraph">
                  <wp:posOffset>166370</wp:posOffset>
                </wp:positionV>
                <wp:extent cx="1828800" cy="0"/>
                <wp:effectExtent l="7620" t="13970" r="11430" b="5080"/>
                <wp:wrapNone/>
                <wp:docPr id="29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3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13.1pt" to="149.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" o:allowincell="f" strokeweight=".21164mm"/>
            </w:pict>
          </mc:Fallback>
        </mc:AlternateContent>
      </w:r>
    </w:p>
    <w:p w:rsidR="00D24E61" w:rsidRPr="00771368" w:rsidRDefault="00D24E61" w:rsidP="00FA0ABA">
      <w:pPr>
        <w:numPr>
          <w:ilvl w:val="0"/>
          <w:numId w:val="33"/>
        </w:numPr>
        <w:tabs>
          <w:tab w:val="left" w:pos="380"/>
        </w:tabs>
        <w:ind w:left="380" w:hanging="278"/>
        <w:jc w:val="both"/>
        <w:rPr>
          <w:sz w:val="32"/>
          <w:szCs w:val="32"/>
          <w:vertAlign w:val="superscript"/>
        </w:rPr>
      </w:pPr>
      <w:r w:rsidRPr="00771368">
        <w:rPr>
          <w:sz w:val="20"/>
          <w:szCs w:val="20"/>
        </w:rPr>
        <w:t xml:space="preserve">EMBAIXADA REAL DA NORUEGA NO BRASIL. </w:t>
      </w:r>
      <w:r w:rsidRPr="00771368">
        <w:rPr>
          <w:b/>
          <w:bCs/>
          <w:sz w:val="20"/>
          <w:szCs w:val="20"/>
        </w:rPr>
        <w:t>Subsídio parental e licença de paternidade.</w:t>
      </w:r>
    </w:p>
    <w:p w:rsidR="00D24E61" w:rsidRPr="00771368" w:rsidRDefault="00D24E61">
      <w:pPr>
        <w:spacing w:line="28" w:lineRule="exact"/>
        <w:rPr>
          <w:sz w:val="32"/>
          <w:szCs w:val="32"/>
          <w:vertAlign w:val="superscript"/>
        </w:rPr>
      </w:pPr>
    </w:p>
    <w:p w:rsidR="00D24E61" w:rsidRPr="00771368" w:rsidRDefault="00D24E61">
      <w:pPr>
        <w:spacing w:line="220" w:lineRule="auto"/>
        <w:ind w:left="380"/>
        <w:jc w:val="both"/>
        <w:rPr>
          <w:sz w:val="32"/>
          <w:szCs w:val="32"/>
          <w:vertAlign w:val="superscript"/>
        </w:rPr>
      </w:pPr>
      <w:r w:rsidRPr="00771368">
        <w:rPr>
          <w:sz w:val="20"/>
          <w:szCs w:val="20"/>
        </w:rPr>
        <w:t>Disponível em: &lt;http://goo.gl/YlMCe&gt; Acesso em: 02 maio 2012.</w:t>
      </w:r>
    </w:p>
    <w:p w:rsidR="00D24E61" w:rsidRPr="00771368" w:rsidRDefault="00D24E61" w:rsidP="00FA0ABA">
      <w:pPr>
        <w:numPr>
          <w:ilvl w:val="0"/>
          <w:numId w:val="33"/>
        </w:numPr>
        <w:tabs>
          <w:tab w:val="left" w:pos="380"/>
        </w:tabs>
        <w:spacing w:line="184" w:lineRule="auto"/>
        <w:ind w:left="380" w:hanging="278"/>
        <w:jc w:val="both"/>
        <w:rPr>
          <w:sz w:val="26"/>
          <w:szCs w:val="26"/>
          <w:vertAlign w:val="superscript"/>
        </w:rPr>
      </w:pPr>
      <w:r w:rsidRPr="00771368">
        <w:rPr>
          <w:sz w:val="20"/>
          <w:szCs w:val="20"/>
        </w:rPr>
        <w:t>A tabela ilustrada é uma versão traduzida do original em inglês, extraído da página 22 do dossiê</w:t>
      </w:r>
    </w:p>
    <w:p w:rsidR="00D24E61" w:rsidRPr="00771368" w:rsidRDefault="00D24E61">
      <w:pPr>
        <w:spacing w:line="50" w:lineRule="exact"/>
        <w:rPr>
          <w:sz w:val="26"/>
          <w:szCs w:val="26"/>
          <w:vertAlign w:val="superscript"/>
        </w:rPr>
      </w:pPr>
    </w:p>
    <w:p w:rsidR="00D24E61" w:rsidRPr="00771368" w:rsidRDefault="00D24E61">
      <w:pPr>
        <w:spacing w:line="222" w:lineRule="auto"/>
        <w:ind w:left="380" w:right="440"/>
        <w:jc w:val="both"/>
        <w:rPr>
          <w:sz w:val="26"/>
          <w:szCs w:val="26"/>
          <w:vertAlign w:val="superscript"/>
        </w:rPr>
      </w:pPr>
      <w:r w:rsidRPr="00D61223">
        <w:rPr>
          <w:b/>
          <w:bCs/>
          <w:sz w:val="20"/>
          <w:szCs w:val="20"/>
          <w:lang w:val="en-US"/>
        </w:rPr>
        <w:t xml:space="preserve">Parental leave, Care Policies and Gender Equalities in the Nordic Countries - </w:t>
      </w:r>
      <w:r w:rsidRPr="00D61223">
        <w:rPr>
          <w:sz w:val="20"/>
          <w:szCs w:val="20"/>
          <w:lang w:val="en-US"/>
        </w:rPr>
        <w:t>Conference</w:t>
      </w:r>
      <w:r w:rsidRPr="00D61223">
        <w:rPr>
          <w:b/>
          <w:bCs/>
          <w:sz w:val="20"/>
          <w:szCs w:val="20"/>
          <w:lang w:val="en-US"/>
        </w:rPr>
        <w:t xml:space="preserve"> </w:t>
      </w:r>
      <w:r w:rsidRPr="00D61223">
        <w:rPr>
          <w:sz w:val="20"/>
          <w:szCs w:val="20"/>
          <w:lang w:val="en-US"/>
        </w:rPr>
        <w:t xml:space="preserve">arranged by the Nordic Council of Ministers 21–22 Oct./2009, Reykjavik: Iceland. </w:t>
      </w:r>
      <w:r w:rsidRPr="00771368">
        <w:rPr>
          <w:sz w:val="20"/>
          <w:szCs w:val="20"/>
        </w:rPr>
        <w:t>Disponível em: &lt; http://goo.gl/Bzxes&gt; Acesso em: 20 maio 2012.</w:t>
      </w:r>
    </w:p>
    <w:p w:rsidR="00D24E61" w:rsidRPr="00771368" w:rsidRDefault="00D24E61">
      <w:pPr>
        <w:sectPr w:rsidR="00D24E61" w:rsidRPr="00771368">
          <w:pgSz w:w="11900" w:h="16838"/>
          <w:pgMar w:top="1144" w:right="1260" w:bottom="724" w:left="1600" w:header="0" w:footer="0" w:gutter="0"/>
          <w:cols w:space="720" w:equalWidth="0">
            <w:col w:w="9040"/>
          </w:cols>
        </w:sectPr>
      </w:pPr>
    </w:p>
    <w:p w:rsidR="00D24E61" w:rsidRPr="00771368" w:rsidRDefault="00D24E61">
      <w:pPr>
        <w:spacing w:line="343" w:lineRule="auto"/>
        <w:jc w:val="both"/>
        <w:rPr>
          <w:sz w:val="20"/>
          <w:szCs w:val="20"/>
        </w:rPr>
      </w:pPr>
      <w:r w:rsidRPr="00771368">
        <w:rPr>
          <w:sz w:val="24"/>
          <w:szCs w:val="24"/>
        </w:rPr>
        <w:t>já que ao proporcionar também aos homens a chance de ter uma relação mais forte com os filhos desde o nascimento, o pai se conscientiza de que sua responsabilidade vai muito além do seu tradicional papel de ―provedor financeiro‖, e diz respeito também à educação das crianças e aos cuidados no lar.</w:t>
      </w:r>
    </w:p>
    <w:p w:rsidR="00D24E61" w:rsidRPr="00771368" w:rsidRDefault="00D24E61">
      <w:pPr>
        <w:spacing w:line="79" w:lineRule="exact"/>
        <w:rPr>
          <w:sz w:val="20"/>
          <w:szCs w:val="20"/>
        </w:rPr>
      </w:pPr>
    </w:p>
    <w:p w:rsidR="00D24E61" w:rsidRPr="00771368" w:rsidRDefault="00D24E61">
      <w:pPr>
        <w:spacing w:line="320" w:lineRule="auto"/>
        <w:ind w:firstLine="708"/>
        <w:jc w:val="both"/>
        <w:rPr>
          <w:sz w:val="20"/>
          <w:szCs w:val="20"/>
        </w:rPr>
      </w:pPr>
      <w:r w:rsidRPr="00771368">
        <w:rPr>
          <w:sz w:val="24"/>
          <w:szCs w:val="24"/>
        </w:rPr>
        <w:t xml:space="preserve">Esse novo comportamento gerou repercussões para além do período de licença, pois observa-se que os homens exigem cada vez mais em termos de igualdade, principalmente nos casos de regulação do poder parental. O fundamento legal da matéria encontra-se disposto no Ato nº 7 de 08 de abril de 1981 relativo aos pais e às crianças, a Lei das Crianças </w:t>
      </w:r>
      <w:r w:rsidRPr="00771368">
        <w:rPr>
          <w:i/>
          <w:iCs/>
          <w:sz w:val="24"/>
          <w:szCs w:val="24"/>
        </w:rPr>
        <w:t>(Barnelova)</w:t>
      </w:r>
      <w:r w:rsidRPr="00771368">
        <w:rPr>
          <w:sz w:val="32"/>
          <w:szCs w:val="32"/>
          <w:vertAlign w:val="superscript"/>
        </w:rPr>
        <w:t>33</w:t>
      </w:r>
      <w:r w:rsidRPr="00771368">
        <w:rPr>
          <w:sz w:val="24"/>
          <w:szCs w:val="24"/>
        </w:rPr>
        <w:t xml:space="preserve">; no Ato nº 100 de 17 de julho de 1992 nº 100 Lei dos Serviços de Bem-estar para as Crianças </w:t>
      </w:r>
      <w:r w:rsidRPr="00771368">
        <w:rPr>
          <w:i/>
          <w:iCs/>
          <w:sz w:val="24"/>
          <w:szCs w:val="24"/>
        </w:rPr>
        <w:t>(Barnevernloven)</w:t>
      </w:r>
      <w:r w:rsidRPr="00771368">
        <w:rPr>
          <w:sz w:val="32"/>
          <w:szCs w:val="32"/>
          <w:vertAlign w:val="superscript"/>
        </w:rPr>
        <w:t>34</w:t>
      </w:r>
      <w:r w:rsidRPr="00771368">
        <w:rPr>
          <w:sz w:val="24"/>
          <w:szCs w:val="24"/>
        </w:rPr>
        <w:t>; e o Ato nº 41 de 26 de junho de 1998, que regula o auxílio-natalidade para pais com crianças pequenas</w:t>
      </w:r>
    </w:p>
    <w:p w:rsidR="00D24E61" w:rsidRPr="00771368" w:rsidRDefault="00D24E61">
      <w:pPr>
        <w:spacing w:line="20" w:lineRule="exact"/>
        <w:rPr>
          <w:sz w:val="20"/>
          <w:szCs w:val="20"/>
        </w:rPr>
      </w:pPr>
    </w:p>
    <w:p w:rsidR="00D24E61" w:rsidRPr="00771368" w:rsidRDefault="00D24E61">
      <w:pPr>
        <w:rPr>
          <w:sz w:val="20"/>
          <w:szCs w:val="20"/>
        </w:rPr>
      </w:pPr>
      <w:r w:rsidRPr="00771368">
        <w:rPr>
          <w:i/>
          <w:iCs/>
          <w:sz w:val="24"/>
          <w:szCs w:val="24"/>
        </w:rPr>
        <w:t>(Kontantstøtteloven)</w:t>
      </w:r>
      <w:r w:rsidRPr="00771368">
        <w:rPr>
          <w:sz w:val="24"/>
          <w:szCs w:val="24"/>
        </w:rPr>
        <w:t>.</w:t>
      </w:r>
    </w:p>
    <w:p w:rsidR="00D24E61" w:rsidRPr="00771368" w:rsidRDefault="00D24E61">
      <w:pPr>
        <w:spacing w:line="200" w:lineRule="exact"/>
        <w:rPr>
          <w:sz w:val="20"/>
          <w:szCs w:val="20"/>
        </w:rPr>
      </w:pPr>
    </w:p>
    <w:p w:rsidR="00D24E61" w:rsidRPr="00771368" w:rsidRDefault="00D24E61">
      <w:pPr>
        <w:spacing w:line="357" w:lineRule="exact"/>
        <w:rPr>
          <w:sz w:val="20"/>
          <w:szCs w:val="20"/>
        </w:rPr>
      </w:pPr>
    </w:p>
    <w:p w:rsidR="00D24E61" w:rsidRPr="00771368" w:rsidRDefault="00D24E61">
      <w:pPr>
        <w:rPr>
          <w:sz w:val="20"/>
          <w:szCs w:val="20"/>
        </w:rPr>
      </w:pPr>
      <w:r w:rsidRPr="00771368">
        <w:rPr>
          <w:b/>
          <w:bCs/>
          <w:sz w:val="24"/>
          <w:szCs w:val="24"/>
        </w:rPr>
        <w:t>O exemplo nórdico de sucesso e sua articulação ao contexto brasileiro para o fim</w:t>
      </w:r>
    </w:p>
    <w:p w:rsidR="00D24E61" w:rsidRPr="00771368" w:rsidRDefault="00D24E61">
      <w:pPr>
        <w:spacing w:line="137" w:lineRule="exact"/>
        <w:rPr>
          <w:sz w:val="20"/>
          <w:szCs w:val="20"/>
        </w:rPr>
      </w:pPr>
    </w:p>
    <w:p w:rsidR="00D24E61" w:rsidRPr="00771368" w:rsidRDefault="00D24E61">
      <w:pPr>
        <w:rPr>
          <w:sz w:val="20"/>
          <w:szCs w:val="20"/>
        </w:rPr>
      </w:pPr>
      <w:r w:rsidRPr="00771368">
        <w:rPr>
          <w:b/>
          <w:bCs/>
          <w:sz w:val="24"/>
          <w:szCs w:val="24"/>
        </w:rPr>
        <w:t>da desigualdade de gênero: considerações finais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6" w:lineRule="exact"/>
        <w:rPr>
          <w:sz w:val="20"/>
          <w:szCs w:val="20"/>
        </w:rPr>
      </w:pPr>
    </w:p>
    <w:p w:rsidR="00D24E61" w:rsidRPr="00771368" w:rsidRDefault="00D24E61">
      <w:pPr>
        <w:spacing w:line="346" w:lineRule="auto"/>
        <w:ind w:firstLine="566"/>
        <w:jc w:val="both"/>
        <w:rPr>
          <w:sz w:val="20"/>
          <w:szCs w:val="20"/>
        </w:rPr>
      </w:pPr>
      <w:r w:rsidRPr="00771368">
        <w:rPr>
          <w:sz w:val="24"/>
          <w:szCs w:val="24"/>
        </w:rPr>
        <w:t>Publicado em agosto de 2012 pelo Banco Mundial, o relatório intitulado ―O efeito do poder econômico das mulheres na América Latina e no Caribe‖</w:t>
      </w:r>
      <w:r w:rsidRPr="00771368">
        <w:rPr>
          <w:sz w:val="32"/>
          <w:szCs w:val="32"/>
          <w:vertAlign w:val="superscript"/>
        </w:rPr>
        <w:t>35</w:t>
      </w:r>
      <w:r w:rsidRPr="00771368">
        <w:rPr>
          <w:sz w:val="24"/>
          <w:szCs w:val="24"/>
        </w:rPr>
        <w:t>, trouxe evidências que a crescente presença feminina no mercado de trabalho foi responsável por reduzir a pobreza extrema em até 30% na região. A última década trouxe avanços bastante significativos para as mulheres, cuja participação se intensificou na medida em que a força de trabalho masculina estagnou em decorrência da contração econômica. Neste contexto, a atuação feminina foi crucial para proteger as famílias das oscilações e choques econômicos, principalmente nos núcleos de baixa renda, mais propensas a serem atingidas pela vulnerabilidade social. O estudo mostrou ainda que o novo poder econômico das mulheres latino-americanas contribuiu para reduzir a desigualdade de gênero na educação, até mesmo revertendo antigos hiatos educacionais, já que as estatísticas apontam que o número de meninas matriculadas no ensino médio e superior atualmente supera o índice de meninos.</w:t>
      </w:r>
    </w:p>
    <w:p w:rsidR="00D24E61" w:rsidRPr="00771368" w:rsidRDefault="00D24E61">
      <w:pPr>
        <w:spacing w:line="200" w:lineRule="exact"/>
        <w:rPr>
          <w:sz w:val="20"/>
          <w:szCs w:val="20"/>
        </w:rPr>
      </w:pPr>
    </w:p>
    <w:p w:rsidR="00D24E61" w:rsidRPr="00771368" w:rsidRDefault="00013211">
      <w:pPr>
        <w:spacing w:line="305" w:lineRule="exact"/>
        <w:rPr>
          <w:sz w:val="20"/>
          <w:szCs w:val="20"/>
        </w:rPr>
      </w:pPr>
      <w:r>
        <w:rPr>
          <w:noProof/>
          <w:sz w:val="20"/>
          <w:szCs w:val="20"/>
        </w:rPr>
        <mc:AlternateContent>
          <mc:Choice Requires="wps">
            <w:drawing>
              <wp:anchor distT="0" distB="0" distL="0" distR="0" simplePos="0" relativeHeight="251636224" behindDoc="0" locked="0" layoutInCell="0" allowOverlap="1">
                <wp:simplePos x="0" y="0"/>
                <wp:positionH relativeFrom="column">
                  <wp:posOffset>1270</wp:posOffset>
                </wp:positionH>
                <wp:positionV relativeFrom="paragraph">
                  <wp:posOffset>72390</wp:posOffset>
                </wp:positionV>
                <wp:extent cx="1828800" cy="0"/>
                <wp:effectExtent l="10795" t="5715" r="8255" b="13335"/>
                <wp:wrapNone/>
                <wp:docPr id="29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3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7pt" to="144.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" o:allowincell="f" strokeweight=".21164mm"/>
            </w:pict>
          </mc:Fallback>
        </mc:AlternateContent>
      </w:r>
    </w:p>
    <w:p w:rsidR="00D24E61" w:rsidRPr="00771368" w:rsidRDefault="00D24E61" w:rsidP="00FA0ABA">
      <w:pPr>
        <w:numPr>
          <w:ilvl w:val="0"/>
          <w:numId w:val="34"/>
        </w:numPr>
        <w:tabs>
          <w:tab w:val="left" w:pos="280"/>
        </w:tabs>
        <w:spacing w:line="211" w:lineRule="auto"/>
        <w:ind w:left="280" w:hanging="278"/>
        <w:jc w:val="both"/>
        <w:rPr>
          <w:sz w:val="26"/>
          <w:szCs w:val="26"/>
          <w:vertAlign w:val="superscript"/>
        </w:rPr>
      </w:pPr>
      <w:r w:rsidRPr="00D61223">
        <w:rPr>
          <w:sz w:val="20"/>
          <w:szCs w:val="20"/>
          <w:lang w:val="en-US"/>
        </w:rPr>
        <w:t xml:space="preserve">GOVERNMENT.NORWAY. Information about the Government and the Ministries of Norway. </w:t>
      </w:r>
      <w:r w:rsidRPr="00D61223">
        <w:rPr>
          <w:b/>
          <w:bCs/>
          <w:sz w:val="20"/>
          <w:szCs w:val="20"/>
          <w:lang w:val="en-US"/>
        </w:rPr>
        <w:t>Act</w:t>
      </w:r>
      <w:r w:rsidRPr="00D61223">
        <w:rPr>
          <w:sz w:val="20"/>
          <w:szCs w:val="20"/>
          <w:lang w:val="en-US"/>
        </w:rPr>
        <w:t xml:space="preserve"> </w:t>
      </w:r>
      <w:r w:rsidRPr="00D61223">
        <w:rPr>
          <w:b/>
          <w:bCs/>
          <w:sz w:val="20"/>
          <w:szCs w:val="20"/>
          <w:lang w:val="en-US"/>
        </w:rPr>
        <w:t xml:space="preserve">Nº 7 of 8 April 1981 relating to Children and Parents (The Children Act) </w:t>
      </w:r>
      <w:r w:rsidRPr="00D61223">
        <w:rPr>
          <w:sz w:val="20"/>
          <w:szCs w:val="20"/>
          <w:lang w:val="en-US"/>
        </w:rPr>
        <w:t>Ministry of Children</w:t>
      </w:r>
      <w:r w:rsidRPr="00D61223">
        <w:rPr>
          <w:b/>
          <w:bCs/>
          <w:sz w:val="20"/>
          <w:szCs w:val="20"/>
          <w:lang w:val="en-US"/>
        </w:rPr>
        <w:t xml:space="preserve"> </w:t>
      </w:r>
      <w:r w:rsidRPr="00D61223">
        <w:rPr>
          <w:sz w:val="20"/>
          <w:szCs w:val="20"/>
          <w:lang w:val="en-US"/>
        </w:rPr>
        <w:t xml:space="preserve">and Equality. </w:t>
      </w:r>
      <w:r w:rsidRPr="00771368">
        <w:rPr>
          <w:sz w:val="20"/>
          <w:szCs w:val="20"/>
        </w:rPr>
        <w:t>Oslo, 1981. Versão inglesa do texto da lei original em norueguês. Disponível em: &lt;http://goo.gl/xP8QM&gt;. Acesso em: 2 maio 2012.</w:t>
      </w:r>
    </w:p>
    <w:p w:rsidR="00D24E61" w:rsidRPr="00D61223" w:rsidRDefault="00D24E61" w:rsidP="00FA0ABA">
      <w:pPr>
        <w:numPr>
          <w:ilvl w:val="0"/>
          <w:numId w:val="34"/>
        </w:numPr>
        <w:tabs>
          <w:tab w:val="left" w:pos="280"/>
        </w:tabs>
        <w:spacing w:line="184" w:lineRule="auto"/>
        <w:ind w:left="280" w:hanging="278"/>
        <w:jc w:val="both"/>
        <w:rPr>
          <w:sz w:val="26"/>
          <w:szCs w:val="26"/>
          <w:vertAlign w:val="superscript"/>
          <w:lang w:val="en-US"/>
        </w:rPr>
      </w:pPr>
      <w:r w:rsidRPr="00D61223">
        <w:rPr>
          <w:sz w:val="20"/>
          <w:szCs w:val="20"/>
          <w:lang w:val="en-US"/>
        </w:rPr>
        <w:t xml:space="preserve">Id. </w:t>
      </w:r>
      <w:r w:rsidRPr="00D61223">
        <w:rPr>
          <w:b/>
          <w:bCs/>
          <w:sz w:val="20"/>
          <w:szCs w:val="20"/>
          <w:lang w:val="en-US"/>
        </w:rPr>
        <w:t>Act of 17 July 1992 Nº 100 Relating to Child Welfare Services (The Child Welfare Act)</w:t>
      </w:r>
    </w:p>
    <w:p w:rsidR="00D24E61" w:rsidRPr="00D61223" w:rsidRDefault="00D24E61">
      <w:pPr>
        <w:spacing w:line="50" w:lineRule="exact"/>
        <w:rPr>
          <w:sz w:val="26"/>
          <w:szCs w:val="26"/>
          <w:vertAlign w:val="superscript"/>
          <w:lang w:val="en-US"/>
        </w:rPr>
      </w:pPr>
    </w:p>
    <w:p w:rsidR="00D24E61" w:rsidRPr="00771368" w:rsidRDefault="00D24E61">
      <w:pPr>
        <w:spacing w:line="214" w:lineRule="auto"/>
        <w:ind w:left="280"/>
        <w:jc w:val="both"/>
        <w:rPr>
          <w:sz w:val="26"/>
          <w:szCs w:val="26"/>
          <w:vertAlign w:val="superscript"/>
        </w:rPr>
      </w:pPr>
      <w:r w:rsidRPr="00D61223">
        <w:rPr>
          <w:sz w:val="20"/>
          <w:szCs w:val="20"/>
          <w:lang w:val="en-US"/>
        </w:rPr>
        <w:t xml:space="preserve">Ministry of Children, Equality and Social Inclusion. </w:t>
      </w:r>
      <w:r w:rsidRPr="00771368">
        <w:rPr>
          <w:sz w:val="20"/>
          <w:szCs w:val="20"/>
        </w:rPr>
        <w:t>Oslo, 1992. Versão inglesa do texto da lei original em norueguês. Disponível em: &lt;http://goo.gl/IV1Rd&gt; Acesso em: 5 maio 2012.</w:t>
      </w:r>
    </w:p>
    <w:p w:rsidR="00D24E61" w:rsidRPr="00771368" w:rsidRDefault="00D24E61">
      <w:pPr>
        <w:spacing w:line="48" w:lineRule="exact"/>
        <w:rPr>
          <w:sz w:val="26"/>
          <w:szCs w:val="26"/>
          <w:vertAlign w:val="superscript"/>
        </w:rPr>
      </w:pPr>
    </w:p>
    <w:p w:rsidR="00D24E61" w:rsidRPr="00771368" w:rsidRDefault="00D24E61" w:rsidP="00FA0ABA">
      <w:pPr>
        <w:numPr>
          <w:ilvl w:val="0"/>
          <w:numId w:val="34"/>
        </w:numPr>
        <w:tabs>
          <w:tab w:val="left" w:pos="280"/>
        </w:tabs>
        <w:spacing w:line="186" w:lineRule="auto"/>
        <w:ind w:left="280" w:hanging="278"/>
        <w:jc w:val="both"/>
        <w:rPr>
          <w:sz w:val="26"/>
          <w:szCs w:val="26"/>
          <w:vertAlign w:val="superscript"/>
        </w:rPr>
      </w:pPr>
      <w:r w:rsidRPr="00D61223">
        <w:rPr>
          <w:sz w:val="20"/>
          <w:szCs w:val="20"/>
          <w:lang w:val="en-US"/>
        </w:rPr>
        <w:t xml:space="preserve">WORLD BANK GROUP. </w:t>
      </w:r>
      <w:r w:rsidRPr="00D61223">
        <w:rPr>
          <w:b/>
          <w:bCs/>
          <w:sz w:val="20"/>
          <w:szCs w:val="20"/>
          <w:lang w:val="en-US"/>
        </w:rPr>
        <w:t>The effect of women's economic power in Latin America and the</w:t>
      </w:r>
      <w:r w:rsidRPr="00D61223">
        <w:rPr>
          <w:sz w:val="20"/>
          <w:szCs w:val="20"/>
          <w:lang w:val="en-US"/>
        </w:rPr>
        <w:t xml:space="preserve"> </w:t>
      </w:r>
      <w:r w:rsidRPr="00D61223">
        <w:rPr>
          <w:b/>
          <w:bCs/>
          <w:sz w:val="20"/>
          <w:szCs w:val="20"/>
          <w:lang w:val="en-US"/>
        </w:rPr>
        <w:t xml:space="preserve">Caribbean. </w:t>
      </w:r>
      <w:r w:rsidRPr="00771368">
        <w:rPr>
          <w:sz w:val="20"/>
          <w:szCs w:val="20"/>
        </w:rPr>
        <w:t>Washington, D.C: 2012. Disponível em: &lt;http://goo.gl/lp0A8&gt; Acesso em: 29 ago. 2012.</w:t>
      </w:r>
    </w:p>
    <w:p w:rsidR="00D24E61" w:rsidRPr="00771368" w:rsidRDefault="00D24E61">
      <w:pPr>
        <w:sectPr w:rsidR="00D24E61" w:rsidRPr="00771368">
          <w:pgSz w:w="11900" w:h="16838"/>
          <w:pgMar w:top="1183" w:right="1700" w:bottom="725" w:left="1700" w:header="0" w:footer="0" w:gutter="0"/>
          <w:cols w:space="720" w:equalWidth="0">
            <w:col w:w="8500"/>
          </w:cols>
        </w:sectPr>
      </w:pPr>
    </w:p>
    <w:p w:rsidR="00D24E61" w:rsidRPr="00771368" w:rsidRDefault="00D24E61">
      <w:pPr>
        <w:spacing w:line="336" w:lineRule="auto"/>
        <w:ind w:firstLine="708"/>
        <w:jc w:val="both"/>
        <w:rPr>
          <w:sz w:val="20"/>
          <w:szCs w:val="20"/>
        </w:rPr>
      </w:pPr>
      <w:r w:rsidRPr="00771368">
        <w:rPr>
          <w:sz w:val="24"/>
          <w:szCs w:val="24"/>
        </w:rPr>
        <w:t>O Presidente do Grupo Banco Mundial, Robert B. Zoellick, afirma que ―a igualdade de gênero está no coração do desenvolvimento‖</w:t>
      </w:r>
      <w:r w:rsidRPr="00771368">
        <w:rPr>
          <w:sz w:val="32"/>
          <w:szCs w:val="32"/>
          <w:vertAlign w:val="superscript"/>
        </w:rPr>
        <w:t>36</w:t>
      </w:r>
      <w:r w:rsidRPr="00771368">
        <w:rPr>
          <w:sz w:val="24"/>
          <w:szCs w:val="24"/>
        </w:rPr>
        <w:t xml:space="preserve"> e que focar em políticas públicas internas continua sendo atuação primordial para atingí-la. A igualdade de gênero é importante por si mesma, mas trata-se também de uma questão de economia inteligente: os países que criam melhores oportunidades e condições para mulheres e meninas podem aumentar sua produtividade, melhorar os resultados para as crianças, tornar as instituições mais representativas e avançar nas perspectivas de desenvolvimento para todos.</w:t>
      </w:r>
    </w:p>
    <w:p w:rsidR="00D24E61" w:rsidRPr="00771368" w:rsidRDefault="00D24E61">
      <w:pPr>
        <w:spacing w:line="93" w:lineRule="exact"/>
        <w:rPr>
          <w:sz w:val="20"/>
          <w:szCs w:val="20"/>
        </w:rPr>
      </w:pPr>
    </w:p>
    <w:p w:rsidR="00D24E61" w:rsidRPr="00771368" w:rsidRDefault="00D24E61">
      <w:pPr>
        <w:spacing w:line="328" w:lineRule="auto"/>
        <w:ind w:firstLine="708"/>
        <w:jc w:val="both"/>
        <w:rPr>
          <w:sz w:val="20"/>
          <w:szCs w:val="20"/>
        </w:rPr>
      </w:pPr>
      <w:r w:rsidRPr="00771368">
        <w:rPr>
          <w:sz w:val="24"/>
          <w:szCs w:val="24"/>
        </w:rPr>
        <w:t>Da capacidade feminina já tínhamos conhecimento, mas o reconhecimento proporcionado por todas as pesquisas citadas constitui prova incontestável de que a atuação das mulheres é determinante para o progresso e emancipação das famílias, por isso a sociedade não pode fechar os olhos, permitindo que elas carreguem ainda hoje os fardos da miséria, da violência e da desigualdade. É evidente que soaria ingênuo da nossa parte pretender colocar os índices de desenvolvimento apresentados pelos países escandinavos lado a lado da realidade brasileira, já que guardadas as devidas proporções, a Islândia tem hoje 319 mil habitantes</w:t>
      </w:r>
      <w:r w:rsidRPr="00771368">
        <w:rPr>
          <w:sz w:val="32"/>
          <w:szCs w:val="32"/>
          <w:vertAlign w:val="superscript"/>
        </w:rPr>
        <w:t>37</w:t>
      </w:r>
      <w:r w:rsidRPr="00771368">
        <w:rPr>
          <w:sz w:val="24"/>
          <w:szCs w:val="24"/>
        </w:rPr>
        <w:t>, a Noruega possui 5 milhões de habitantes</w:t>
      </w:r>
      <w:r w:rsidRPr="00771368">
        <w:rPr>
          <w:sz w:val="32"/>
          <w:szCs w:val="32"/>
          <w:vertAlign w:val="superscript"/>
        </w:rPr>
        <w:t>38</w:t>
      </w:r>
      <w:r w:rsidRPr="00771368">
        <w:rPr>
          <w:sz w:val="24"/>
          <w:szCs w:val="24"/>
        </w:rPr>
        <w:t>, enquanto o Brasil é o 5º país mais populoso do planeta, com praticamente 192 milhões de pessoas</w:t>
      </w:r>
      <w:r w:rsidRPr="00771368">
        <w:rPr>
          <w:sz w:val="32"/>
          <w:szCs w:val="32"/>
          <w:vertAlign w:val="superscript"/>
        </w:rPr>
        <w:t>39</w:t>
      </w:r>
      <w:r w:rsidRPr="00771368">
        <w:rPr>
          <w:sz w:val="24"/>
          <w:szCs w:val="24"/>
        </w:rPr>
        <w:t>. Ou seja, tanto as disparidades quanto os desafios que temos a cumprir são colossais, e administrativamente é muito mais difícil para um país grandioso como o nosso tentar modificar em pouco tempo todo um histórico marcado pela má distribuição de renda e exploração dos desvalidos.</w:t>
      </w:r>
    </w:p>
    <w:p w:rsidR="00D24E61" w:rsidRPr="00771368" w:rsidRDefault="00D24E61">
      <w:pPr>
        <w:spacing w:line="46" w:lineRule="exact"/>
        <w:rPr>
          <w:sz w:val="20"/>
          <w:szCs w:val="20"/>
        </w:rPr>
      </w:pPr>
    </w:p>
    <w:p w:rsidR="00D24E61" w:rsidRPr="00771368" w:rsidRDefault="00D24E61">
      <w:pPr>
        <w:ind w:left="560"/>
        <w:rPr>
          <w:sz w:val="20"/>
          <w:szCs w:val="20"/>
        </w:rPr>
      </w:pPr>
      <w:r w:rsidRPr="00771368">
        <w:rPr>
          <w:sz w:val="24"/>
          <w:szCs w:val="24"/>
        </w:rPr>
        <w:t>Segundo Amartya Sen, laureado com o Prêmio Nobel de Economia em 1998,</w:t>
      </w:r>
    </w:p>
    <w:p w:rsidR="00D24E61" w:rsidRPr="00771368" w:rsidRDefault="00D24E61">
      <w:pPr>
        <w:spacing w:line="140" w:lineRule="exact"/>
        <w:rPr>
          <w:sz w:val="20"/>
          <w:szCs w:val="20"/>
        </w:rPr>
      </w:pPr>
    </w:p>
    <w:p w:rsidR="00D24E61" w:rsidRPr="00771368" w:rsidRDefault="00D24E61">
      <w:pPr>
        <w:spacing w:line="323" w:lineRule="auto"/>
        <w:jc w:val="both"/>
        <w:rPr>
          <w:sz w:val="20"/>
          <w:szCs w:val="20"/>
        </w:rPr>
      </w:pPr>
      <w:r w:rsidRPr="00771368">
        <w:rPr>
          <w:sz w:val="24"/>
          <w:szCs w:val="24"/>
        </w:rPr>
        <w:t>―não há nenhum país perfeito no mundo, há lições para tirar de um ou de outro‖</w:t>
      </w:r>
      <w:r w:rsidRPr="00771368">
        <w:rPr>
          <w:sz w:val="32"/>
          <w:szCs w:val="32"/>
          <w:vertAlign w:val="superscript"/>
        </w:rPr>
        <w:t>40</w:t>
      </w:r>
      <w:r w:rsidRPr="00771368">
        <w:rPr>
          <w:sz w:val="24"/>
          <w:szCs w:val="24"/>
        </w:rPr>
        <w:t>. Para tanto, temos que começar por envolver a população com a temática de gênero, aprofundando debates, provocando a reflexão a partir de iniciativas que funcionaram em outros lugares, bem como repensar o papel do Estado e das comunidades.</w:t>
      </w:r>
    </w:p>
    <w:p w:rsidR="00D24E61" w:rsidRPr="00771368" w:rsidRDefault="00D24E61">
      <w:pPr>
        <w:spacing w:line="102" w:lineRule="exact"/>
        <w:rPr>
          <w:sz w:val="20"/>
          <w:szCs w:val="20"/>
        </w:rPr>
      </w:pPr>
    </w:p>
    <w:p w:rsidR="00D24E61" w:rsidRPr="00771368" w:rsidRDefault="00D24E61">
      <w:pPr>
        <w:spacing w:line="310" w:lineRule="auto"/>
        <w:ind w:firstLine="566"/>
        <w:jc w:val="both"/>
        <w:rPr>
          <w:sz w:val="20"/>
          <w:szCs w:val="20"/>
        </w:rPr>
      </w:pPr>
      <w:r w:rsidRPr="00771368">
        <w:rPr>
          <w:sz w:val="24"/>
          <w:szCs w:val="24"/>
        </w:rPr>
        <w:t>Na ótica da violência doméstica e familiar, por exemplo, é preciso levar a efeito determinadas estratégias de nível macro e micro, pautadas em políticas públicas</w:t>
      </w:r>
    </w:p>
    <w:p w:rsidR="00D24E61" w:rsidRPr="00771368" w:rsidRDefault="00013211" w:rsidP="00ED7B83">
      <w:pPr>
        <w:spacing w:line="200" w:lineRule="exact"/>
        <w:rPr>
          <w:sz w:val="20"/>
          <w:szCs w:val="20"/>
        </w:rPr>
      </w:pPr>
      <w:r>
        <w:rPr>
          <w:noProof/>
          <w:sz w:val="20"/>
          <w:szCs w:val="20"/>
        </w:rPr>
        <mc:AlternateContent>
          <mc:Choice Requires="wps">
            <w:drawing>
              <wp:anchor distT="0" distB="0" distL="0" distR="0" simplePos="0" relativeHeight="251637248" behindDoc="0" locked="0" layoutInCell="0" allowOverlap="1">
                <wp:simplePos x="0" y="0"/>
                <wp:positionH relativeFrom="column">
                  <wp:posOffset>1270</wp:posOffset>
                </wp:positionH>
                <wp:positionV relativeFrom="paragraph">
                  <wp:posOffset>58420</wp:posOffset>
                </wp:positionV>
                <wp:extent cx="1828800" cy="0"/>
                <wp:effectExtent l="10795" t="10795" r="8255" b="8255"/>
                <wp:wrapNone/>
                <wp:docPr id="29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3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6pt" to="144.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" o:allowincell="f" strokeweight=".21164mm"/>
            </w:pict>
          </mc:Fallback>
        </mc:AlternateContent>
      </w:r>
    </w:p>
    <w:p w:rsidR="00D24E61" w:rsidRPr="00771368" w:rsidRDefault="00D24E61" w:rsidP="00FA0ABA">
      <w:pPr>
        <w:numPr>
          <w:ilvl w:val="0"/>
          <w:numId w:val="35"/>
        </w:numPr>
        <w:tabs>
          <w:tab w:val="left" w:pos="280"/>
        </w:tabs>
        <w:spacing w:line="202" w:lineRule="auto"/>
        <w:ind w:left="280" w:hanging="278"/>
        <w:jc w:val="both"/>
        <w:rPr>
          <w:sz w:val="26"/>
          <w:szCs w:val="26"/>
          <w:vertAlign w:val="superscript"/>
        </w:rPr>
      </w:pPr>
      <w:r w:rsidRPr="00771368">
        <w:rPr>
          <w:sz w:val="20"/>
          <w:szCs w:val="20"/>
        </w:rPr>
        <w:t xml:space="preserve">WORLD BANK GROUP. </w:t>
      </w:r>
      <w:r w:rsidRPr="00771368">
        <w:rPr>
          <w:b/>
          <w:bCs/>
          <w:sz w:val="20"/>
          <w:szCs w:val="20"/>
        </w:rPr>
        <w:t>Relatório sobre o Desenvolvimento Mundial:</w:t>
      </w:r>
      <w:r w:rsidRPr="00771368">
        <w:rPr>
          <w:sz w:val="20"/>
          <w:szCs w:val="20"/>
        </w:rPr>
        <w:t xml:space="preserve"> Igualdade de Gênero e Desenvolvimento 2012. Washington, D.C., Copyright Clearance Center Inc. p. VIII. Disponível em: &lt;wdronline.worldbank.org/worldbank/a/langtrans/63&gt; Acesso em: 24 jun. 2012.</w:t>
      </w:r>
    </w:p>
    <w:p w:rsidR="00D24E61" w:rsidRPr="00771368" w:rsidRDefault="00D24E61">
      <w:pPr>
        <w:spacing w:line="52" w:lineRule="exact"/>
        <w:rPr>
          <w:sz w:val="26"/>
          <w:szCs w:val="26"/>
          <w:vertAlign w:val="superscript"/>
        </w:rPr>
      </w:pPr>
    </w:p>
    <w:p w:rsidR="00D24E61" w:rsidRPr="00771368" w:rsidRDefault="00D24E61" w:rsidP="00FA0ABA">
      <w:pPr>
        <w:numPr>
          <w:ilvl w:val="0"/>
          <w:numId w:val="35"/>
        </w:numPr>
        <w:tabs>
          <w:tab w:val="left" w:pos="280"/>
        </w:tabs>
        <w:spacing w:line="185" w:lineRule="auto"/>
        <w:ind w:left="280" w:hanging="278"/>
        <w:jc w:val="both"/>
        <w:rPr>
          <w:sz w:val="26"/>
          <w:szCs w:val="26"/>
          <w:vertAlign w:val="superscript"/>
        </w:rPr>
      </w:pPr>
      <w:r w:rsidRPr="00D61223">
        <w:rPr>
          <w:sz w:val="20"/>
          <w:szCs w:val="20"/>
          <w:lang w:val="en-US"/>
        </w:rPr>
        <w:t xml:space="preserve">STATISTICS ICELAND. </w:t>
      </w:r>
      <w:r w:rsidRPr="00D61223">
        <w:rPr>
          <w:b/>
          <w:bCs/>
          <w:sz w:val="20"/>
          <w:szCs w:val="20"/>
          <w:lang w:val="en-US"/>
        </w:rPr>
        <w:t>Key figures</w:t>
      </w:r>
      <w:r w:rsidRPr="00D61223">
        <w:rPr>
          <w:sz w:val="20"/>
          <w:szCs w:val="20"/>
          <w:lang w:val="en-US"/>
        </w:rPr>
        <w:t xml:space="preserve">: population index 1 Jan. 2012. Reykjavík: The National Statistical Institute of Iceland. </w:t>
      </w:r>
      <w:r w:rsidRPr="00771368">
        <w:rPr>
          <w:sz w:val="20"/>
          <w:szCs w:val="20"/>
        </w:rPr>
        <w:t>Disponível em: &lt;http://www.statice.is&gt; Acesso em: 10 set. 2012.</w:t>
      </w:r>
    </w:p>
    <w:p w:rsidR="00D24E61" w:rsidRPr="00771368" w:rsidRDefault="00D24E61">
      <w:pPr>
        <w:spacing w:line="51" w:lineRule="exact"/>
        <w:rPr>
          <w:sz w:val="26"/>
          <w:szCs w:val="26"/>
          <w:vertAlign w:val="superscript"/>
        </w:rPr>
      </w:pPr>
    </w:p>
    <w:p w:rsidR="00D24E61" w:rsidRPr="00771368" w:rsidRDefault="00D24E61" w:rsidP="00FA0ABA">
      <w:pPr>
        <w:numPr>
          <w:ilvl w:val="0"/>
          <w:numId w:val="35"/>
        </w:numPr>
        <w:tabs>
          <w:tab w:val="left" w:pos="280"/>
        </w:tabs>
        <w:spacing w:line="186" w:lineRule="auto"/>
        <w:ind w:left="280" w:hanging="278"/>
        <w:jc w:val="both"/>
        <w:rPr>
          <w:sz w:val="26"/>
          <w:szCs w:val="26"/>
          <w:vertAlign w:val="superscript"/>
        </w:rPr>
      </w:pPr>
      <w:r w:rsidRPr="00D61223">
        <w:rPr>
          <w:sz w:val="20"/>
          <w:szCs w:val="20"/>
          <w:lang w:val="en-US"/>
        </w:rPr>
        <w:t xml:space="preserve">STATISTICS NORWAY. </w:t>
      </w:r>
      <w:r w:rsidRPr="00D61223">
        <w:rPr>
          <w:b/>
          <w:bCs/>
          <w:sz w:val="20"/>
          <w:szCs w:val="20"/>
          <w:lang w:val="en-US"/>
        </w:rPr>
        <w:t>Key figures</w:t>
      </w:r>
      <w:r w:rsidRPr="00D61223">
        <w:rPr>
          <w:sz w:val="20"/>
          <w:szCs w:val="20"/>
          <w:lang w:val="en-US"/>
        </w:rPr>
        <w:t xml:space="preserve">: population index 1 July 2012. </w:t>
      </w:r>
      <w:r w:rsidRPr="00771368">
        <w:rPr>
          <w:sz w:val="20"/>
          <w:szCs w:val="20"/>
        </w:rPr>
        <w:t>Disponível em: &lt;http://www.ssb.no/befolkning_en/&gt; Acesso em: 10 set. 2012.</w:t>
      </w:r>
    </w:p>
    <w:p w:rsidR="00D24E61" w:rsidRPr="00771368" w:rsidRDefault="00D24E61">
      <w:pPr>
        <w:spacing w:line="50" w:lineRule="exact"/>
        <w:rPr>
          <w:sz w:val="26"/>
          <w:szCs w:val="26"/>
          <w:vertAlign w:val="superscript"/>
        </w:rPr>
      </w:pPr>
    </w:p>
    <w:p w:rsidR="00D24E61" w:rsidRPr="00771368" w:rsidRDefault="00D24E61" w:rsidP="00FA0ABA">
      <w:pPr>
        <w:numPr>
          <w:ilvl w:val="0"/>
          <w:numId w:val="35"/>
        </w:numPr>
        <w:tabs>
          <w:tab w:val="left" w:pos="280"/>
        </w:tabs>
        <w:spacing w:line="186" w:lineRule="auto"/>
        <w:ind w:left="280" w:hanging="278"/>
        <w:jc w:val="both"/>
        <w:rPr>
          <w:sz w:val="26"/>
          <w:szCs w:val="26"/>
          <w:vertAlign w:val="superscript"/>
        </w:rPr>
      </w:pPr>
      <w:r w:rsidRPr="00D61223">
        <w:rPr>
          <w:sz w:val="20"/>
          <w:szCs w:val="20"/>
          <w:lang w:val="en-US"/>
        </w:rPr>
        <w:t xml:space="preserve">UNESCO. </w:t>
      </w:r>
      <w:r w:rsidRPr="00D61223">
        <w:rPr>
          <w:b/>
          <w:bCs/>
          <w:sz w:val="20"/>
          <w:szCs w:val="20"/>
          <w:lang w:val="en-US"/>
        </w:rPr>
        <w:t>Dynamic Data Mapping</w:t>
      </w:r>
      <w:r w:rsidRPr="00D61223">
        <w:rPr>
          <w:sz w:val="20"/>
          <w:szCs w:val="20"/>
          <w:lang w:val="en-US"/>
        </w:rPr>
        <w:t xml:space="preserve">: Brazil Overview. </w:t>
      </w:r>
      <w:r w:rsidRPr="00771368">
        <w:rPr>
          <w:sz w:val="20"/>
          <w:szCs w:val="20"/>
        </w:rPr>
        <w:t>Disponível em: &lt;http://goo.gl/lCLvU&gt; Acesso em: 11 set. 2012.</w:t>
      </w:r>
    </w:p>
    <w:p w:rsidR="00D24E61" w:rsidRPr="00771368" w:rsidRDefault="00D24E61">
      <w:pPr>
        <w:spacing w:line="50" w:lineRule="exact"/>
        <w:rPr>
          <w:sz w:val="26"/>
          <w:szCs w:val="26"/>
          <w:vertAlign w:val="superscript"/>
        </w:rPr>
      </w:pPr>
    </w:p>
    <w:p w:rsidR="00D24E61" w:rsidRPr="00771368" w:rsidRDefault="00D24E61" w:rsidP="00FA0ABA">
      <w:pPr>
        <w:numPr>
          <w:ilvl w:val="0"/>
          <w:numId w:val="35"/>
        </w:numPr>
        <w:tabs>
          <w:tab w:val="left" w:pos="280"/>
        </w:tabs>
        <w:spacing w:line="202" w:lineRule="auto"/>
        <w:ind w:left="280" w:hanging="278"/>
        <w:jc w:val="both"/>
        <w:rPr>
          <w:sz w:val="26"/>
          <w:szCs w:val="26"/>
          <w:vertAlign w:val="superscript"/>
        </w:rPr>
      </w:pPr>
      <w:r w:rsidRPr="00771368">
        <w:rPr>
          <w:sz w:val="20"/>
          <w:szCs w:val="20"/>
        </w:rPr>
        <w:t xml:space="preserve">GUANDALINI, Giuliano. Entrevista com o Nobel de Economia Amartya Sen: ele fala sobre China, Índia, Brasil — e diz que a crise na Europa se resolve com ênfase no crescimento. </w:t>
      </w:r>
      <w:r w:rsidRPr="00771368">
        <w:rPr>
          <w:b/>
          <w:bCs/>
          <w:sz w:val="20"/>
          <w:szCs w:val="20"/>
        </w:rPr>
        <w:t>Revista Veja,</w:t>
      </w:r>
      <w:r w:rsidRPr="00771368">
        <w:rPr>
          <w:sz w:val="20"/>
          <w:szCs w:val="20"/>
        </w:rPr>
        <w:t xml:space="preserve"> São Paulo: Editora Abril. Maio/2012. Disponível em: &lt;http://goo.gl/RjpiO&gt; Acesso em: 20 ago. 2012.</w:t>
      </w:r>
    </w:p>
    <w:p w:rsidR="00D24E61" w:rsidRPr="00771368" w:rsidRDefault="00D24E61">
      <w:pPr>
        <w:sectPr w:rsidR="00D24E61" w:rsidRPr="00771368">
          <w:pgSz w:w="11900" w:h="16838"/>
          <w:pgMar w:top="1183" w:right="1700" w:bottom="724" w:left="1700" w:header="0" w:footer="0" w:gutter="0"/>
          <w:cols w:space="720" w:equalWidth="0">
            <w:col w:w="8500"/>
          </w:cols>
        </w:sectPr>
      </w:pPr>
    </w:p>
    <w:p w:rsidR="00D24E61" w:rsidRPr="00771368" w:rsidRDefault="00D24E61">
      <w:pPr>
        <w:spacing w:line="351" w:lineRule="auto"/>
        <w:jc w:val="both"/>
        <w:rPr>
          <w:sz w:val="20"/>
          <w:szCs w:val="20"/>
        </w:rPr>
      </w:pPr>
      <w:r w:rsidRPr="00771368">
        <w:rPr>
          <w:sz w:val="24"/>
          <w:szCs w:val="24"/>
        </w:rPr>
        <w:t>adequadas à complexidade do problema, implementando ações que envolvam as famílias e toda a sociedade. Uma possibilidade capaz de gerar efeitos positivos seria através de treinamento dos profissionais da área médica e jurídica, para que sejam instruídos em seus cursos sobre como agir mediante casos de violência, tanto no trato com as mulheres vítimas de agressão, mas igualmente dispor de um atendimento psicológico adequado para os homens serem ouvidos em suas necessidades, buscando outra solução para seus conflitos que não sejam em forma de atos violentos.</w:t>
      </w:r>
    </w:p>
    <w:p w:rsidR="00D24E61" w:rsidRPr="00771368" w:rsidRDefault="00D24E61">
      <w:pPr>
        <w:spacing w:line="74" w:lineRule="exact"/>
        <w:rPr>
          <w:sz w:val="20"/>
          <w:szCs w:val="20"/>
        </w:rPr>
      </w:pPr>
    </w:p>
    <w:p w:rsidR="00D24E61" w:rsidRPr="00771368" w:rsidRDefault="00D24E61">
      <w:pPr>
        <w:spacing w:line="349" w:lineRule="auto"/>
        <w:ind w:firstLine="566"/>
        <w:jc w:val="both"/>
        <w:rPr>
          <w:sz w:val="20"/>
          <w:szCs w:val="20"/>
        </w:rPr>
      </w:pPr>
      <w:r w:rsidRPr="00771368">
        <w:rPr>
          <w:sz w:val="24"/>
          <w:szCs w:val="24"/>
        </w:rPr>
        <w:t>Cumpre aqui ressaltar que, ao contrário do que possa se pensar, os homens constituem potencialmente um importante contingente de ação para reverter esse quadro, portanto é fundamental a criação de políticas que invistam em trabalhos de prevenção junto à população masculina, e esforços concentrados na educação integral das crianças desde a mais tenra infância, de modo a reorganizar costumes, desconstruir estereótipos de gênero, papéis e funções já arraigadas no tecido social.</w:t>
      </w:r>
    </w:p>
    <w:p w:rsidR="00D24E61" w:rsidRPr="00771368" w:rsidRDefault="00D24E61">
      <w:pPr>
        <w:spacing w:line="77" w:lineRule="exact"/>
        <w:rPr>
          <w:sz w:val="20"/>
          <w:szCs w:val="20"/>
        </w:rPr>
      </w:pPr>
    </w:p>
    <w:p w:rsidR="00D24E61" w:rsidRPr="00771368" w:rsidRDefault="00D24E61">
      <w:pPr>
        <w:spacing w:line="347" w:lineRule="auto"/>
        <w:ind w:firstLine="708"/>
        <w:jc w:val="both"/>
        <w:rPr>
          <w:sz w:val="20"/>
          <w:szCs w:val="20"/>
        </w:rPr>
      </w:pPr>
      <w:r w:rsidRPr="00771368">
        <w:rPr>
          <w:sz w:val="24"/>
          <w:szCs w:val="24"/>
        </w:rPr>
        <w:t>Tal imperativo exige a mobilização da sociedade aliada às instituições de ensino, com vistas a erradicar de forma contundente qualquer manifestação ou prática de caráter segregário, excludente ou classificatório no âmbito das práticas pedagógicas. Nesse sentido, o relatório ―O futuro que as mulheres querem: uma visão do desenvolvimento sustentável para todos‖, apresentado em setembro de 2012 pela organização ONU</w:t>
      </w:r>
    </w:p>
    <w:p w:rsidR="00D24E61" w:rsidRPr="00771368" w:rsidRDefault="00D24E61">
      <w:pPr>
        <w:spacing w:line="74" w:lineRule="exact"/>
        <w:rPr>
          <w:sz w:val="20"/>
          <w:szCs w:val="20"/>
        </w:rPr>
      </w:pPr>
    </w:p>
    <w:p w:rsidR="00D24E61" w:rsidRPr="00771368" w:rsidRDefault="00D24E61">
      <w:pPr>
        <w:spacing w:line="310" w:lineRule="auto"/>
        <w:jc w:val="both"/>
        <w:rPr>
          <w:sz w:val="20"/>
          <w:szCs w:val="20"/>
        </w:rPr>
      </w:pPr>
      <w:r w:rsidRPr="00771368">
        <w:rPr>
          <w:sz w:val="24"/>
          <w:szCs w:val="24"/>
        </w:rPr>
        <w:t>Mulheres, orienta para a capacitação dos profissionais de ensino, como também adverte para que os currículos sejam readequados de modo a contemplar a diversidade:</w:t>
      </w:r>
    </w:p>
    <w:p w:rsidR="00D24E61" w:rsidRPr="00771368" w:rsidRDefault="00D24E61">
      <w:pPr>
        <w:spacing w:line="381" w:lineRule="exact"/>
        <w:rPr>
          <w:sz w:val="20"/>
          <w:szCs w:val="20"/>
        </w:rPr>
      </w:pPr>
    </w:p>
    <w:p w:rsidR="00D24E61" w:rsidRPr="00771368" w:rsidRDefault="00D24E61">
      <w:pPr>
        <w:spacing w:line="227" w:lineRule="auto"/>
        <w:ind w:left="2280"/>
        <w:jc w:val="both"/>
        <w:rPr>
          <w:sz w:val="20"/>
          <w:szCs w:val="20"/>
        </w:rPr>
      </w:pPr>
      <w:r w:rsidRPr="00771368">
        <w:rPr>
          <w:sz w:val="20"/>
          <w:szCs w:val="20"/>
        </w:rPr>
        <w:t>Os conceitos de igualdade de gênero, empoderamento das mulheres e direitos humanos devem ser integrados na educação primária, secundária, terciária e superior. Devem ser tomadas medidas para encorajar tanto mulheres quanto homens a seguir áreas de estudo não tradicionais, como as ciências e a</w:t>
      </w:r>
    </w:p>
    <w:p w:rsidR="00D24E61" w:rsidRPr="00771368" w:rsidRDefault="00D24E61">
      <w:pPr>
        <w:spacing w:line="49" w:lineRule="exact"/>
        <w:rPr>
          <w:sz w:val="20"/>
          <w:szCs w:val="20"/>
        </w:rPr>
      </w:pPr>
    </w:p>
    <w:p w:rsidR="00D24E61" w:rsidRPr="00771368" w:rsidRDefault="00D24E61">
      <w:pPr>
        <w:spacing w:line="217" w:lineRule="auto"/>
        <w:ind w:left="2280"/>
        <w:jc w:val="both"/>
        <w:rPr>
          <w:sz w:val="20"/>
          <w:szCs w:val="20"/>
        </w:rPr>
      </w:pPr>
      <w:r w:rsidRPr="00771368">
        <w:rPr>
          <w:sz w:val="20"/>
          <w:szCs w:val="20"/>
        </w:rPr>
        <w:t>tecnologia para as mulheres, e a enfermagem e outras áreas de cuidado para os homens.</w:t>
      </w:r>
      <w:r w:rsidRPr="00771368">
        <w:rPr>
          <w:sz w:val="25"/>
          <w:szCs w:val="25"/>
          <w:vertAlign w:val="superscript"/>
        </w:rPr>
        <w:t>41</w:t>
      </w:r>
    </w:p>
    <w:p w:rsidR="00D24E61" w:rsidRPr="00771368" w:rsidRDefault="00D24E61">
      <w:pPr>
        <w:spacing w:line="279" w:lineRule="exact"/>
        <w:rPr>
          <w:sz w:val="20"/>
          <w:szCs w:val="20"/>
        </w:rPr>
      </w:pPr>
    </w:p>
    <w:p w:rsidR="00D24E61" w:rsidRPr="00771368" w:rsidRDefault="00D24E61">
      <w:pPr>
        <w:spacing w:line="328" w:lineRule="auto"/>
        <w:ind w:firstLine="708"/>
        <w:jc w:val="both"/>
        <w:rPr>
          <w:sz w:val="20"/>
          <w:szCs w:val="20"/>
        </w:rPr>
      </w:pPr>
      <w:r w:rsidRPr="00771368">
        <w:rPr>
          <w:sz w:val="24"/>
          <w:szCs w:val="24"/>
        </w:rPr>
        <w:t>Abordagens dessa natureza seguramente viabilizariam novas perspectivas para a comunidade escolar, que passaria a compreender as estruturas simbólicas de dominação e resistência</w:t>
      </w:r>
      <w:r w:rsidRPr="00771368">
        <w:rPr>
          <w:sz w:val="32"/>
          <w:szCs w:val="32"/>
          <w:vertAlign w:val="superscript"/>
        </w:rPr>
        <w:t>42</w:t>
      </w:r>
      <w:r w:rsidRPr="00771368">
        <w:rPr>
          <w:sz w:val="24"/>
          <w:szCs w:val="24"/>
        </w:rPr>
        <w:t>, capacitando os indivíduos a posicionarem-se criticamente sobre as causas políticas, econômicas e sociais de fenômenos como discriminação de gênero e raça, xenofobia, etnocentrismo, homofobia, que ainda carregam consigo o peso do preconceito em condutas naturalizadas e aceitas culturalmente.</w:t>
      </w:r>
    </w:p>
    <w:p w:rsidR="00D24E61" w:rsidRPr="00771368" w:rsidRDefault="00D24E61">
      <w:pPr>
        <w:spacing w:line="95" w:lineRule="exact"/>
        <w:rPr>
          <w:sz w:val="20"/>
          <w:szCs w:val="20"/>
        </w:rPr>
      </w:pPr>
    </w:p>
    <w:p w:rsidR="00D24E61" w:rsidRPr="00771368" w:rsidRDefault="00D24E61" w:rsidP="00ED7B83">
      <w:pPr>
        <w:ind w:firstLine="709"/>
        <w:jc w:val="both"/>
        <w:rPr>
          <w:sz w:val="20"/>
          <w:szCs w:val="20"/>
        </w:rPr>
      </w:pPr>
      <w:r w:rsidRPr="00771368">
        <w:rPr>
          <w:sz w:val="24"/>
          <w:szCs w:val="24"/>
        </w:rPr>
        <w:t>Já foi comprovado pela experiência nórdica que as diferenças de gênero quanto ao acesso às oportunidades econômicas decorrem na maior parte das vezes devido às</w:t>
      </w:r>
    </w:p>
    <w:p w:rsidR="00D24E61" w:rsidRPr="00771368" w:rsidRDefault="00013211">
      <w:pPr>
        <w:spacing w:line="374" w:lineRule="exact"/>
        <w:rPr>
          <w:sz w:val="20"/>
          <w:szCs w:val="20"/>
        </w:rPr>
      </w:pPr>
      <w:r>
        <w:rPr>
          <w:noProof/>
          <w:sz w:val="20"/>
          <w:szCs w:val="20"/>
        </w:rPr>
        <mc:AlternateContent>
          <mc:Choice Requires="wps">
            <w:drawing>
              <wp:anchor distT="0" distB="0" distL="0" distR="0" simplePos="0" relativeHeight="251638272" behindDoc="0" locked="0" layoutInCell="0" allowOverlap="1">
                <wp:simplePos x="0" y="0"/>
                <wp:positionH relativeFrom="column">
                  <wp:posOffset>1270</wp:posOffset>
                </wp:positionH>
                <wp:positionV relativeFrom="paragraph">
                  <wp:posOffset>137795</wp:posOffset>
                </wp:positionV>
                <wp:extent cx="1828800" cy="0"/>
                <wp:effectExtent l="10795" t="13970" r="8255" b="5080"/>
                <wp:wrapNone/>
                <wp:docPr id="29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3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0.85pt" to="144.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" o:allowincell="f" strokeweight=".21164mm"/>
            </w:pict>
          </mc:Fallback>
        </mc:AlternateContent>
      </w:r>
    </w:p>
    <w:p w:rsidR="00D24E61" w:rsidRPr="00771368" w:rsidRDefault="00D24E61" w:rsidP="00FA0ABA">
      <w:pPr>
        <w:numPr>
          <w:ilvl w:val="0"/>
          <w:numId w:val="36"/>
        </w:numPr>
        <w:tabs>
          <w:tab w:val="left" w:pos="196"/>
        </w:tabs>
        <w:spacing w:line="186" w:lineRule="auto"/>
        <w:ind w:left="280" w:hanging="278"/>
        <w:jc w:val="both"/>
        <w:rPr>
          <w:sz w:val="26"/>
          <w:szCs w:val="26"/>
          <w:vertAlign w:val="superscript"/>
        </w:rPr>
      </w:pPr>
      <w:r w:rsidRPr="00771368">
        <w:rPr>
          <w:sz w:val="20"/>
          <w:szCs w:val="20"/>
        </w:rPr>
        <w:t xml:space="preserve">ONU MULHERES. </w:t>
      </w:r>
      <w:r w:rsidRPr="00771368">
        <w:rPr>
          <w:b/>
          <w:bCs/>
          <w:sz w:val="20"/>
          <w:szCs w:val="20"/>
        </w:rPr>
        <w:t>O futuro que as mulheres querem</w:t>
      </w:r>
      <w:r w:rsidRPr="00771368">
        <w:rPr>
          <w:sz w:val="20"/>
          <w:szCs w:val="20"/>
        </w:rPr>
        <w:t>: uma visão do desenvolvimento sustentável para todos. New York: 2012. p. 35. Disponível em: &lt;http://goo.gl/yp1z6&gt; Acesso em: 13 set. 2012.</w:t>
      </w:r>
    </w:p>
    <w:p w:rsidR="00D24E61" w:rsidRPr="00771368" w:rsidRDefault="00D24E61">
      <w:pPr>
        <w:spacing w:line="48" w:lineRule="exact"/>
        <w:rPr>
          <w:sz w:val="26"/>
          <w:szCs w:val="26"/>
          <w:vertAlign w:val="superscript"/>
        </w:rPr>
      </w:pPr>
    </w:p>
    <w:p w:rsidR="00D24E61" w:rsidRPr="00771368" w:rsidRDefault="00D24E61" w:rsidP="00FA0ABA">
      <w:pPr>
        <w:numPr>
          <w:ilvl w:val="0"/>
          <w:numId w:val="36"/>
        </w:numPr>
        <w:tabs>
          <w:tab w:val="left" w:pos="280"/>
        </w:tabs>
        <w:spacing w:line="186" w:lineRule="auto"/>
        <w:ind w:left="280" w:hanging="278"/>
        <w:jc w:val="both"/>
        <w:rPr>
          <w:sz w:val="26"/>
          <w:szCs w:val="26"/>
          <w:vertAlign w:val="superscript"/>
        </w:rPr>
      </w:pPr>
      <w:r w:rsidRPr="00771368">
        <w:rPr>
          <w:sz w:val="20"/>
          <w:szCs w:val="20"/>
        </w:rPr>
        <w:t xml:space="preserve">Mais sobre esse tema, ver obra de BOURDIEU, Pierre. </w:t>
      </w:r>
      <w:r w:rsidRPr="00771368">
        <w:rPr>
          <w:b/>
          <w:bCs/>
          <w:sz w:val="20"/>
          <w:szCs w:val="20"/>
        </w:rPr>
        <w:t>A dominação masculina</w:t>
      </w:r>
      <w:r w:rsidRPr="00771368">
        <w:rPr>
          <w:sz w:val="20"/>
          <w:szCs w:val="20"/>
        </w:rPr>
        <w:t>. Rio de Janeiro: Bertrand Brasil, 1999. 158 p.</w:t>
      </w:r>
    </w:p>
    <w:p w:rsidR="00D24E61" w:rsidRPr="00771368" w:rsidRDefault="00D24E61">
      <w:pPr>
        <w:sectPr w:rsidR="00D24E61" w:rsidRPr="00771368">
          <w:pgSz w:w="11900" w:h="16838"/>
          <w:pgMar w:top="1183" w:right="1700" w:bottom="725" w:left="1700" w:header="0" w:footer="0" w:gutter="0"/>
          <w:cols w:space="720" w:equalWidth="0">
            <w:col w:w="8500"/>
          </w:cols>
        </w:sectPr>
      </w:pPr>
    </w:p>
    <w:p w:rsidR="00D24E61" w:rsidRPr="00771368" w:rsidRDefault="00D24E61">
      <w:pPr>
        <w:spacing w:line="353" w:lineRule="auto"/>
        <w:jc w:val="both"/>
        <w:rPr>
          <w:sz w:val="20"/>
          <w:szCs w:val="20"/>
        </w:rPr>
      </w:pPr>
      <w:r w:rsidRPr="00771368">
        <w:rPr>
          <w:sz w:val="24"/>
          <w:szCs w:val="24"/>
        </w:rPr>
        <w:t>diferenças no uso do tempo, uma vez que estas provêm de normas sociais profundamente sedimentadas no que se refere à responsabilidade pelos cuidados com as crianças e trabalhos domésticos. Questionar essas normas culturais tidas como obrigatórias é o primeiro grande passo. Mas libertar as mulheres da ―dupla/tripla jornada‖ significa que o Brasil pode e deve ir mais além, adaptando os eixos fundamentais adotados pelo sistema nórdico: implementação de políticas que incluam ampla rede de creches acessíveis de qualidade, reformulação do sistema de licenças parentais, e políticas que promovam o empoderamento das mulheres, começando pela educação e pela reforma curricular.</w:t>
      </w:r>
    </w:p>
    <w:p w:rsidR="00D24E61" w:rsidRPr="00771368" w:rsidRDefault="00D24E61">
      <w:pPr>
        <w:spacing w:line="75" w:lineRule="exact"/>
        <w:rPr>
          <w:sz w:val="20"/>
          <w:szCs w:val="20"/>
        </w:rPr>
      </w:pPr>
    </w:p>
    <w:p w:rsidR="00D24E61" w:rsidRPr="00771368" w:rsidRDefault="00D24E61">
      <w:pPr>
        <w:spacing w:line="354" w:lineRule="auto"/>
        <w:ind w:firstLine="708"/>
        <w:jc w:val="both"/>
        <w:rPr>
          <w:sz w:val="20"/>
          <w:szCs w:val="20"/>
        </w:rPr>
      </w:pPr>
      <w:r w:rsidRPr="00771368">
        <w:rPr>
          <w:sz w:val="24"/>
          <w:szCs w:val="24"/>
        </w:rPr>
        <w:t>Está cada vez mais claro que um sistema onde as mulheres não estão representadas nos níveis mais altos, além de desigual, é um sistema ineficaz. Por isso, outro elemento-chave trabalhado pela iniciativa nórdica para a emancipação feminina, diz respeito à inclusão na esfera do poder político. A igualdade de gênero é inatingível se não vier acompanhada da igualdade política, pois para que as próprias mulheres decidam como aplicar as leis e políticas públicas na solução dos problemas e necessidades da família e de seu cotidiano, é estritamente necessária a sua presença nos ministérios, Parlamentos e chefias de Estado e governo – ao invés de deixar que tais situações sejam mediadas pelos homens, atualmente os maiores detentores do poder político.</w:t>
      </w:r>
    </w:p>
    <w:p w:rsidR="00D24E61" w:rsidRPr="00771368" w:rsidRDefault="00D24E61">
      <w:pPr>
        <w:spacing w:line="70" w:lineRule="exact"/>
        <w:rPr>
          <w:sz w:val="20"/>
          <w:szCs w:val="20"/>
        </w:rPr>
      </w:pPr>
    </w:p>
    <w:p w:rsidR="00D24E61" w:rsidRPr="00771368" w:rsidRDefault="00D24E61">
      <w:pPr>
        <w:spacing w:line="355" w:lineRule="auto"/>
        <w:ind w:firstLine="708"/>
        <w:jc w:val="both"/>
        <w:rPr>
          <w:sz w:val="20"/>
          <w:szCs w:val="20"/>
        </w:rPr>
      </w:pPr>
      <w:r w:rsidRPr="00771368">
        <w:rPr>
          <w:sz w:val="24"/>
          <w:szCs w:val="24"/>
        </w:rPr>
        <w:t>São luzes promissoras, que combinadas ao clima favorável de nosso país na arena econômica e geopolítica internacional, nos proporcionam uma agradável sensação de otimismo. É possível sim identificar e implementar as diretrizes que se mostraram bem sucedidas em outros contextos, cujas plataformas de ação podem se aplicar no contexto brasileiro, e que certamente trarão benefícios tangíveis para a sociedade no futuro. Políticas públicas que priorizam a educação, igualdade de gênero e bem-estar da criança e da família, muito mais do que apenas proporcionar direitos iguais para as mulheres escandinavas, deu origem a uma nova conjuntura social. Um efeito cascata de benefícios que repercutiu em todas as camadas da população, transformando os países nórdicos em uma morada onírica, na qual os valores humanos constituem os princípios basilares da sociedade.</w:t>
      </w:r>
    </w:p>
    <w:p w:rsidR="00D24E61" w:rsidRPr="00771368" w:rsidRDefault="00D24E61">
      <w:pPr>
        <w:spacing w:line="63" w:lineRule="exact"/>
        <w:rPr>
          <w:sz w:val="20"/>
          <w:szCs w:val="20"/>
        </w:rPr>
      </w:pPr>
    </w:p>
    <w:p w:rsidR="00D24E61" w:rsidRPr="00771368" w:rsidRDefault="00D24E61">
      <w:pPr>
        <w:spacing w:line="343" w:lineRule="auto"/>
        <w:ind w:firstLine="708"/>
        <w:jc w:val="both"/>
        <w:rPr>
          <w:sz w:val="20"/>
          <w:szCs w:val="20"/>
        </w:rPr>
      </w:pPr>
      <w:r w:rsidRPr="00771368">
        <w:rPr>
          <w:sz w:val="24"/>
          <w:szCs w:val="24"/>
        </w:rPr>
        <w:t>A cada ano que passa e a cada nova pesquisa, estes países comprovam de forma positiva e incontestável que o sistema de bem estar social é uma tendência e um investimento que tem retorno em todas as esferas sociais. Se pairam dúvidas entre os países emergentes sobre qual o melhor sistema a ser adotado para se atingir o progresso,</w:t>
      </w:r>
    </w:p>
    <w:p w:rsidR="00D24E61" w:rsidRPr="00771368" w:rsidRDefault="00D24E61">
      <w:pPr>
        <w:sectPr w:rsidR="00D24E61" w:rsidRPr="00771368">
          <w:pgSz w:w="11900" w:h="16838"/>
          <w:pgMar w:top="1183" w:right="1700" w:bottom="1440" w:left="1700" w:header="0" w:footer="0" w:gutter="0"/>
          <w:cols w:space="720" w:equalWidth="0">
            <w:col w:w="8500"/>
          </w:cols>
        </w:sectPr>
      </w:pPr>
    </w:p>
    <w:p w:rsidR="00D24E61" w:rsidRPr="00771368" w:rsidRDefault="00D24E61">
      <w:pPr>
        <w:spacing w:line="310" w:lineRule="auto"/>
        <w:ind w:right="280"/>
        <w:jc w:val="both"/>
        <w:rPr>
          <w:sz w:val="20"/>
          <w:szCs w:val="20"/>
        </w:rPr>
      </w:pPr>
      <w:r w:rsidRPr="00771368">
        <w:rPr>
          <w:sz w:val="24"/>
          <w:szCs w:val="24"/>
        </w:rPr>
        <w:t>esta é uma questão que já deveria ter sido ultrapassada, pois as evidências escancaram e transcendem quaisquer teorias políticas propostas.</w:t>
      </w:r>
    </w:p>
    <w:p w:rsidR="00D24E61" w:rsidRPr="00771368" w:rsidRDefault="00D24E61">
      <w:pPr>
        <w:spacing w:line="115" w:lineRule="exact"/>
        <w:rPr>
          <w:sz w:val="20"/>
          <w:szCs w:val="20"/>
        </w:rPr>
      </w:pPr>
    </w:p>
    <w:p w:rsidR="00D24E61" w:rsidRPr="00771368" w:rsidRDefault="00D24E61">
      <w:pPr>
        <w:spacing w:line="347" w:lineRule="auto"/>
        <w:ind w:right="280" w:firstLine="708"/>
        <w:jc w:val="both"/>
        <w:rPr>
          <w:sz w:val="20"/>
          <w:szCs w:val="20"/>
        </w:rPr>
      </w:pPr>
      <w:r w:rsidRPr="00771368">
        <w:rPr>
          <w:sz w:val="24"/>
          <w:szCs w:val="24"/>
        </w:rPr>
        <w:t>É verdade que não está a nosso alcance sentenciar conclusões absolutas, mas tudo leva a crer que os países que figuram no topo das pesquisas só foram capazes de chegar onde estão após valorizarem suas mulheres, investindo fortemente na educação e proporcionando igualdade de condições, tornando-as indivíduos livres, cidadãs atuantes na construção da democracia e da evolução do Estado.</w:t>
      </w:r>
    </w:p>
    <w:p w:rsidR="00D24E61" w:rsidRPr="00771368" w:rsidRDefault="00D24E61">
      <w:pPr>
        <w:spacing w:line="296" w:lineRule="exact"/>
        <w:rPr>
          <w:sz w:val="20"/>
          <w:szCs w:val="20"/>
        </w:rPr>
      </w:pPr>
    </w:p>
    <w:p w:rsidR="00D24E61" w:rsidRPr="00771368" w:rsidRDefault="00D24E61">
      <w:pPr>
        <w:rPr>
          <w:sz w:val="20"/>
          <w:szCs w:val="20"/>
        </w:rPr>
      </w:pPr>
      <w:r w:rsidRPr="00771368">
        <w:rPr>
          <w:b/>
          <w:bCs/>
          <w:sz w:val="24"/>
          <w:szCs w:val="24"/>
        </w:rPr>
        <w:t>Referências bibliográficas</w:t>
      </w:r>
    </w:p>
    <w:p w:rsidR="00D24E61" w:rsidRPr="00771368" w:rsidRDefault="00D24E61">
      <w:pPr>
        <w:spacing w:line="304" w:lineRule="exact"/>
        <w:rPr>
          <w:sz w:val="20"/>
          <w:szCs w:val="20"/>
        </w:rPr>
      </w:pPr>
    </w:p>
    <w:p w:rsidR="00D24E61" w:rsidRPr="00771368" w:rsidRDefault="00D24E61">
      <w:pPr>
        <w:spacing w:line="223" w:lineRule="auto"/>
        <w:ind w:right="280"/>
        <w:rPr>
          <w:sz w:val="20"/>
          <w:szCs w:val="20"/>
        </w:rPr>
      </w:pPr>
      <w:r w:rsidRPr="00771368">
        <w:t xml:space="preserve">BANCO MUNDIAL. </w:t>
      </w:r>
      <w:r w:rsidRPr="00771368">
        <w:rPr>
          <w:b/>
          <w:bCs/>
        </w:rPr>
        <w:t>Relatório sobre o Desenvolvimento Mundial: Igualdade de Gênero e</w:t>
      </w:r>
      <w:r w:rsidRPr="00771368">
        <w:t xml:space="preserve"> </w:t>
      </w:r>
      <w:r w:rsidRPr="00771368">
        <w:rPr>
          <w:b/>
          <w:bCs/>
        </w:rPr>
        <w:t xml:space="preserve">Desenvolvimento 2012. </w:t>
      </w:r>
      <w:r w:rsidRPr="00771368">
        <w:t>Washington, D.C., Copyright Clearance Center Inc. p. VIII. Disponível</w:t>
      </w:r>
      <w:r w:rsidRPr="00771368">
        <w:rPr>
          <w:b/>
          <w:bCs/>
        </w:rPr>
        <w:t xml:space="preserve"> </w:t>
      </w:r>
      <w:r w:rsidRPr="00771368">
        <w:t>em: &lt;wdronline.worldbank.org/worldbank/a/langtrans/63&gt; Acesso em: 24 jun. 2012.</w:t>
      </w:r>
    </w:p>
    <w:p w:rsidR="00D24E61" w:rsidRPr="00771368" w:rsidRDefault="00D24E61">
      <w:pPr>
        <w:spacing w:line="254" w:lineRule="exact"/>
        <w:rPr>
          <w:sz w:val="20"/>
          <w:szCs w:val="20"/>
        </w:rPr>
      </w:pPr>
    </w:p>
    <w:p w:rsidR="00D24E61" w:rsidRPr="00771368" w:rsidRDefault="00D24E61">
      <w:pPr>
        <w:rPr>
          <w:sz w:val="20"/>
          <w:szCs w:val="20"/>
        </w:rPr>
      </w:pPr>
      <w:r w:rsidRPr="00771368">
        <w:t xml:space="preserve">BEAUVOIR, Simone de. </w:t>
      </w:r>
      <w:r w:rsidRPr="00771368">
        <w:rPr>
          <w:b/>
          <w:bCs/>
        </w:rPr>
        <w:t>O Segundo Sexo.</w:t>
      </w:r>
      <w:r w:rsidRPr="00771368">
        <w:t xml:space="preserve"> Rio de Janeiro: Nova Fronteira, 2000.</w:t>
      </w:r>
    </w:p>
    <w:p w:rsidR="00D24E61" w:rsidRPr="00771368" w:rsidRDefault="00D24E61">
      <w:pPr>
        <w:spacing w:line="253" w:lineRule="exact"/>
        <w:rPr>
          <w:sz w:val="20"/>
          <w:szCs w:val="20"/>
        </w:rPr>
      </w:pPr>
    </w:p>
    <w:p w:rsidR="00D24E61" w:rsidRPr="00771368" w:rsidRDefault="00D24E61">
      <w:pPr>
        <w:rPr>
          <w:sz w:val="20"/>
          <w:szCs w:val="20"/>
        </w:rPr>
      </w:pPr>
      <w:r w:rsidRPr="00771368">
        <w:t xml:space="preserve">BOURDIEU, Pierre. </w:t>
      </w:r>
      <w:r w:rsidRPr="00771368">
        <w:rPr>
          <w:b/>
          <w:bCs/>
        </w:rPr>
        <w:t>A dominação masculina.</w:t>
      </w:r>
      <w:r w:rsidRPr="00771368">
        <w:t xml:space="preserve"> 2. ed. Rio de Janeiro: Bertrand Brasil, 2002. 158 p.</w:t>
      </w:r>
    </w:p>
    <w:p w:rsidR="00D24E61" w:rsidRPr="00771368" w:rsidRDefault="00D24E61">
      <w:pPr>
        <w:spacing w:line="307" w:lineRule="exact"/>
        <w:rPr>
          <w:sz w:val="20"/>
          <w:szCs w:val="20"/>
        </w:rPr>
      </w:pPr>
    </w:p>
    <w:p w:rsidR="00D24E61" w:rsidRPr="00771368" w:rsidRDefault="00D24E61">
      <w:pPr>
        <w:spacing w:line="214" w:lineRule="auto"/>
        <w:ind w:right="320"/>
        <w:rPr>
          <w:sz w:val="20"/>
          <w:szCs w:val="20"/>
        </w:rPr>
      </w:pPr>
      <w:r w:rsidRPr="00771368">
        <w:t xml:space="preserve">BRASIL. Constituição (1988). </w:t>
      </w:r>
      <w:r w:rsidRPr="00771368">
        <w:rPr>
          <w:b/>
          <w:bCs/>
        </w:rPr>
        <w:t>Constituição da República Federativa do Brasil.</w:t>
      </w:r>
      <w:r w:rsidRPr="00771368">
        <w:t xml:space="preserve"> Brasília, DF: Senado, 1988.</w:t>
      </w:r>
    </w:p>
    <w:p w:rsidR="00D24E61" w:rsidRPr="00771368" w:rsidRDefault="00D24E61">
      <w:pPr>
        <w:spacing w:line="307" w:lineRule="exact"/>
        <w:rPr>
          <w:sz w:val="20"/>
          <w:szCs w:val="20"/>
        </w:rPr>
      </w:pPr>
    </w:p>
    <w:p w:rsidR="00D24E61" w:rsidRPr="00771368" w:rsidRDefault="00D24E61">
      <w:pPr>
        <w:spacing w:line="214" w:lineRule="auto"/>
        <w:ind w:right="680"/>
        <w:rPr>
          <w:sz w:val="20"/>
          <w:szCs w:val="20"/>
        </w:rPr>
      </w:pPr>
      <w:r w:rsidRPr="00771368">
        <w:t xml:space="preserve">DAHL, Tove Stang. </w:t>
      </w:r>
      <w:r w:rsidRPr="00771368">
        <w:rPr>
          <w:b/>
          <w:bCs/>
        </w:rPr>
        <w:t>O Direito das Mulheres:</w:t>
      </w:r>
      <w:r w:rsidRPr="00771368">
        <w:t xml:space="preserve"> uma introdução à teoria do direito feminista. Lisboa: FCG, 1993. 284 p.</w:t>
      </w:r>
    </w:p>
    <w:p w:rsidR="00D24E61" w:rsidRPr="00771368" w:rsidRDefault="00D24E61">
      <w:pPr>
        <w:spacing w:line="308" w:lineRule="exact"/>
        <w:rPr>
          <w:sz w:val="20"/>
          <w:szCs w:val="20"/>
        </w:rPr>
      </w:pPr>
    </w:p>
    <w:p w:rsidR="00D24E61" w:rsidRPr="00771368" w:rsidRDefault="00D24E61">
      <w:pPr>
        <w:spacing w:line="214" w:lineRule="auto"/>
        <w:ind w:right="1200"/>
        <w:rPr>
          <w:sz w:val="20"/>
          <w:szCs w:val="20"/>
        </w:rPr>
      </w:pPr>
      <w:r w:rsidRPr="00771368">
        <w:t xml:space="preserve">EMBAIXADA REAL DA NORUEGA NO BRASIL. </w:t>
      </w:r>
      <w:r w:rsidRPr="00771368">
        <w:rPr>
          <w:b/>
          <w:bCs/>
        </w:rPr>
        <w:t>Subsídio parental e licença de</w:t>
      </w:r>
      <w:r w:rsidRPr="00771368">
        <w:t xml:space="preserve"> </w:t>
      </w:r>
      <w:r w:rsidRPr="00771368">
        <w:rPr>
          <w:b/>
          <w:bCs/>
        </w:rPr>
        <w:t xml:space="preserve">paternidade. </w:t>
      </w:r>
      <w:r w:rsidRPr="00771368">
        <w:t>Disponível em: &lt;http://goo.gl/YlMCe&gt; Acesso em: 02 maio 2012</w:t>
      </w:r>
    </w:p>
    <w:p w:rsidR="00D24E61" w:rsidRPr="00771368" w:rsidRDefault="00D24E61">
      <w:pPr>
        <w:spacing w:line="254" w:lineRule="exact"/>
        <w:rPr>
          <w:sz w:val="20"/>
          <w:szCs w:val="20"/>
        </w:rPr>
      </w:pPr>
    </w:p>
    <w:p w:rsidR="00D24E61" w:rsidRPr="00D61223" w:rsidRDefault="00D24E61">
      <w:pPr>
        <w:spacing w:line="239" w:lineRule="auto"/>
        <w:rPr>
          <w:sz w:val="20"/>
          <w:szCs w:val="20"/>
          <w:lang w:val="en-US"/>
        </w:rPr>
      </w:pPr>
      <w:r w:rsidRPr="00771368">
        <w:t xml:space="preserve">ESPING-ANDERSEN, Gøsta. </w:t>
      </w:r>
      <w:r w:rsidRPr="00D61223">
        <w:rPr>
          <w:b/>
          <w:bCs/>
          <w:lang w:val="en-US"/>
        </w:rPr>
        <w:t>The incomplete revolution</w:t>
      </w:r>
      <w:r w:rsidRPr="00D61223">
        <w:rPr>
          <w:lang w:val="en-US"/>
        </w:rPr>
        <w:t>: adapting to women’s new roles.</w:t>
      </w:r>
    </w:p>
    <w:p w:rsidR="00D24E61" w:rsidRPr="00D61223" w:rsidRDefault="00D24E61">
      <w:pPr>
        <w:spacing w:line="2" w:lineRule="exact"/>
        <w:rPr>
          <w:sz w:val="20"/>
          <w:szCs w:val="20"/>
          <w:lang w:val="en-US"/>
        </w:rPr>
      </w:pPr>
    </w:p>
    <w:p w:rsidR="00D24E61" w:rsidRPr="00D61223" w:rsidRDefault="00D24E61">
      <w:pPr>
        <w:spacing w:line="239" w:lineRule="auto"/>
        <w:rPr>
          <w:sz w:val="20"/>
          <w:szCs w:val="20"/>
          <w:lang w:val="en-US"/>
        </w:rPr>
      </w:pPr>
      <w:r w:rsidRPr="00D61223">
        <w:rPr>
          <w:lang w:val="en-US"/>
        </w:rPr>
        <w:t>Cambridge: Polity Press, 2009. p. 4.</w:t>
      </w:r>
    </w:p>
    <w:p w:rsidR="00D24E61" w:rsidRPr="00D61223" w:rsidRDefault="00D24E61">
      <w:pPr>
        <w:spacing w:line="306" w:lineRule="exact"/>
        <w:rPr>
          <w:sz w:val="20"/>
          <w:szCs w:val="20"/>
          <w:lang w:val="en-US"/>
        </w:rPr>
      </w:pPr>
    </w:p>
    <w:p w:rsidR="00D24E61" w:rsidRPr="00D61223" w:rsidRDefault="00D24E61">
      <w:pPr>
        <w:spacing w:line="215" w:lineRule="auto"/>
        <w:ind w:right="20"/>
        <w:rPr>
          <w:sz w:val="20"/>
          <w:szCs w:val="20"/>
          <w:lang w:val="en-US"/>
        </w:rPr>
      </w:pPr>
      <w:r w:rsidRPr="00D61223">
        <w:rPr>
          <w:lang w:val="en-US"/>
        </w:rPr>
        <w:t xml:space="preserve">ESPING-ANDERSEN, Gøsta, in CHRISTIANSEN, Niels Finn et al. (Org.). </w:t>
      </w:r>
      <w:r w:rsidRPr="00D61223">
        <w:rPr>
          <w:b/>
          <w:bCs/>
          <w:lang w:val="en-US"/>
        </w:rPr>
        <w:t>The Nordic Model of</w:t>
      </w:r>
      <w:r w:rsidRPr="00D61223">
        <w:rPr>
          <w:lang w:val="en-US"/>
        </w:rPr>
        <w:t xml:space="preserve"> </w:t>
      </w:r>
      <w:r w:rsidRPr="00D61223">
        <w:rPr>
          <w:b/>
          <w:bCs/>
          <w:lang w:val="en-US"/>
        </w:rPr>
        <w:t xml:space="preserve">Welfare. </w:t>
      </w:r>
      <w:r w:rsidRPr="00D61223">
        <w:rPr>
          <w:lang w:val="en-US"/>
        </w:rPr>
        <w:t>Copenhagen: Museum Tusculanum Press, 2005. p. 13.</w:t>
      </w:r>
    </w:p>
    <w:p w:rsidR="00D24E61" w:rsidRPr="00D61223" w:rsidRDefault="00D24E61">
      <w:pPr>
        <w:spacing w:line="308" w:lineRule="exact"/>
        <w:rPr>
          <w:sz w:val="20"/>
          <w:szCs w:val="20"/>
          <w:lang w:val="en-US"/>
        </w:rPr>
      </w:pPr>
    </w:p>
    <w:p w:rsidR="00D24E61" w:rsidRPr="00D61223" w:rsidRDefault="00D24E61">
      <w:pPr>
        <w:spacing w:line="222" w:lineRule="auto"/>
        <w:ind w:right="120"/>
        <w:rPr>
          <w:sz w:val="20"/>
          <w:szCs w:val="20"/>
          <w:lang w:val="en-US"/>
        </w:rPr>
      </w:pPr>
      <w:r w:rsidRPr="00D61223">
        <w:rPr>
          <w:lang w:val="en-US"/>
        </w:rPr>
        <w:t xml:space="preserve">GÍSLASON, Ingólfur V.; EYDAL, Guðný Björk et al. (Org.). </w:t>
      </w:r>
      <w:r w:rsidRPr="00D61223">
        <w:rPr>
          <w:b/>
          <w:bCs/>
          <w:lang w:val="en-US"/>
        </w:rPr>
        <w:t>Parental leave, childcare and</w:t>
      </w:r>
      <w:r w:rsidRPr="00D61223">
        <w:rPr>
          <w:lang w:val="en-US"/>
        </w:rPr>
        <w:t xml:space="preserve"> </w:t>
      </w:r>
      <w:r w:rsidRPr="00D61223">
        <w:rPr>
          <w:b/>
          <w:bCs/>
          <w:lang w:val="en-US"/>
        </w:rPr>
        <w:t xml:space="preserve">gender equality in the Nordic countries. </w:t>
      </w:r>
      <w:r w:rsidRPr="00D61223">
        <w:rPr>
          <w:lang w:val="en-US"/>
        </w:rPr>
        <w:t>Copenhagen: Nordic Council of Ministers, 6 Jan. 2012.</w:t>
      </w:r>
      <w:r w:rsidRPr="00D61223">
        <w:rPr>
          <w:b/>
          <w:bCs/>
          <w:lang w:val="en-US"/>
        </w:rPr>
        <w:t xml:space="preserve"> </w:t>
      </w:r>
      <w:r w:rsidRPr="00D61223">
        <w:rPr>
          <w:lang w:val="en-US"/>
        </w:rPr>
        <w:t>Disponível em: &lt;http://goo.gl/PdnPp&gt; Acesso em: 28 jul. 2012.</w:t>
      </w:r>
    </w:p>
    <w:p w:rsidR="00D24E61" w:rsidRPr="00D61223" w:rsidRDefault="00D24E61">
      <w:pPr>
        <w:spacing w:line="255" w:lineRule="exact"/>
        <w:rPr>
          <w:sz w:val="20"/>
          <w:szCs w:val="20"/>
          <w:lang w:val="en-US"/>
        </w:rPr>
      </w:pPr>
    </w:p>
    <w:p w:rsidR="00D24E61" w:rsidRPr="00771368" w:rsidRDefault="00D24E61">
      <w:pPr>
        <w:spacing w:line="239" w:lineRule="auto"/>
        <w:rPr>
          <w:sz w:val="20"/>
          <w:szCs w:val="20"/>
        </w:rPr>
      </w:pPr>
      <w:r w:rsidRPr="00D61223">
        <w:rPr>
          <w:lang w:val="en-US"/>
        </w:rPr>
        <w:t xml:space="preserve">GLADMAN, Kimberly; LAMB, Michelle. </w:t>
      </w:r>
      <w:r w:rsidRPr="00D61223">
        <w:rPr>
          <w:b/>
          <w:bCs/>
          <w:lang w:val="en-US"/>
        </w:rPr>
        <w:t>GMI Ratings’ 2012 Women on Boards Survey.</w:t>
      </w:r>
      <w:r w:rsidRPr="00D61223">
        <w:rPr>
          <w:lang w:val="en-US"/>
        </w:rPr>
        <w:t xml:space="preserve"> </w:t>
      </w:r>
      <w:r w:rsidRPr="00771368">
        <w:rPr>
          <w:b/>
          <w:bCs/>
        </w:rPr>
        <w:t>New</w:t>
      </w:r>
    </w:p>
    <w:p w:rsidR="00D24E61" w:rsidRPr="00771368" w:rsidRDefault="00D24E61">
      <w:pPr>
        <w:spacing w:line="56" w:lineRule="exact"/>
        <w:rPr>
          <w:sz w:val="20"/>
          <w:szCs w:val="20"/>
        </w:rPr>
      </w:pPr>
    </w:p>
    <w:p w:rsidR="00D24E61" w:rsidRPr="00771368" w:rsidRDefault="00D24E61">
      <w:pPr>
        <w:spacing w:line="214" w:lineRule="auto"/>
        <w:rPr>
          <w:sz w:val="20"/>
          <w:szCs w:val="20"/>
        </w:rPr>
      </w:pPr>
      <w:r w:rsidRPr="00771368">
        <w:t>York: Governance Metrics International (GMI). Mar. 2012. Disponível em: &lt;http://goo.gl/UB6R2&gt; Acesso em: 10 maio 2012.</w:t>
      </w:r>
    </w:p>
    <w:p w:rsidR="00D24E61" w:rsidRPr="00771368" w:rsidRDefault="00D24E61">
      <w:pPr>
        <w:spacing w:line="307" w:lineRule="exact"/>
        <w:rPr>
          <w:sz w:val="20"/>
          <w:szCs w:val="20"/>
        </w:rPr>
      </w:pPr>
    </w:p>
    <w:p w:rsidR="00D24E61" w:rsidRPr="00D61223" w:rsidRDefault="00D24E61">
      <w:pPr>
        <w:spacing w:line="223" w:lineRule="auto"/>
        <w:ind w:right="440"/>
        <w:rPr>
          <w:sz w:val="20"/>
          <w:szCs w:val="20"/>
          <w:lang w:val="en-US"/>
        </w:rPr>
      </w:pPr>
      <w:r w:rsidRPr="00D61223">
        <w:rPr>
          <w:lang w:val="en-US"/>
        </w:rPr>
        <w:t xml:space="preserve">GLICK, Alexis; CASSERLY, Meghan; GEROMEL, Ricardo. Power Woman Dilma Rousseff: Brazil's Entrepreneur-In-Chief. </w:t>
      </w:r>
      <w:r w:rsidRPr="00D61223">
        <w:rPr>
          <w:b/>
          <w:bCs/>
          <w:lang w:val="en-US"/>
        </w:rPr>
        <w:t>Forbes Magazine.</w:t>
      </w:r>
      <w:r w:rsidRPr="00D61223">
        <w:rPr>
          <w:lang w:val="en-US"/>
        </w:rPr>
        <w:t xml:space="preserve"> New York, Sept. 2012. Disponível em: &lt;http://goo.gl/dpNXT&gt; Acesso em: 23 ago. 2012.</w:t>
      </w:r>
    </w:p>
    <w:p w:rsidR="00D24E61" w:rsidRPr="00D61223" w:rsidRDefault="00D24E61">
      <w:pPr>
        <w:spacing w:line="254" w:lineRule="exact"/>
        <w:rPr>
          <w:sz w:val="20"/>
          <w:szCs w:val="20"/>
          <w:lang w:val="en-US"/>
        </w:rPr>
      </w:pPr>
    </w:p>
    <w:p w:rsidR="00D24E61" w:rsidRPr="00D61223" w:rsidRDefault="00D24E61">
      <w:pPr>
        <w:spacing w:line="239" w:lineRule="auto"/>
        <w:rPr>
          <w:sz w:val="20"/>
          <w:szCs w:val="20"/>
          <w:lang w:val="en-US"/>
        </w:rPr>
      </w:pPr>
      <w:r w:rsidRPr="00D61223">
        <w:rPr>
          <w:lang w:val="en-US"/>
        </w:rPr>
        <w:t>GOVERNMENT.NORWAY. Information about the Government and the Ministries of Norway.</w:t>
      </w:r>
    </w:p>
    <w:p w:rsidR="00D24E61" w:rsidRPr="00D61223" w:rsidRDefault="00D24E61">
      <w:pPr>
        <w:spacing w:line="54" w:lineRule="exact"/>
        <w:rPr>
          <w:sz w:val="20"/>
          <w:szCs w:val="20"/>
          <w:lang w:val="en-US"/>
        </w:rPr>
      </w:pPr>
    </w:p>
    <w:p w:rsidR="00D24E61" w:rsidRPr="00D61223" w:rsidRDefault="00D24E61">
      <w:pPr>
        <w:spacing w:line="223" w:lineRule="auto"/>
        <w:ind w:right="520"/>
        <w:rPr>
          <w:sz w:val="20"/>
          <w:szCs w:val="20"/>
          <w:lang w:val="en-US"/>
        </w:rPr>
      </w:pPr>
      <w:r w:rsidRPr="00D61223">
        <w:rPr>
          <w:b/>
          <w:bCs/>
          <w:lang w:val="en-US"/>
        </w:rPr>
        <w:t xml:space="preserve">Act Nº 7 of 8 April 1981 relating to Children and Parents (The Children Act) </w:t>
      </w:r>
      <w:r w:rsidRPr="00D61223">
        <w:rPr>
          <w:lang w:val="en-US"/>
        </w:rPr>
        <w:t>Ministry of</w:t>
      </w:r>
      <w:r w:rsidRPr="00D61223">
        <w:rPr>
          <w:b/>
          <w:bCs/>
          <w:lang w:val="en-US"/>
        </w:rPr>
        <w:t xml:space="preserve"> </w:t>
      </w:r>
      <w:r w:rsidRPr="00D61223">
        <w:rPr>
          <w:lang w:val="en-US"/>
        </w:rPr>
        <w:t xml:space="preserve">Children and Equality. </w:t>
      </w:r>
      <w:r w:rsidRPr="00771368">
        <w:t xml:space="preserve">Oslo, 1981. Versão inglesa do texto da lei original em norueguês. </w:t>
      </w:r>
      <w:r w:rsidRPr="00D61223">
        <w:rPr>
          <w:lang w:val="en-US"/>
        </w:rPr>
        <w:t>Disponível em: &lt;http://goo.gl/xP8QM&gt;. Acesso em: 2 maio 2012.</w:t>
      </w:r>
    </w:p>
    <w:p w:rsidR="00D24E61" w:rsidRPr="00D61223" w:rsidRDefault="00D24E61">
      <w:pPr>
        <w:spacing w:line="314" w:lineRule="exact"/>
        <w:rPr>
          <w:sz w:val="20"/>
          <w:szCs w:val="20"/>
          <w:lang w:val="en-US"/>
        </w:rPr>
      </w:pPr>
    </w:p>
    <w:p w:rsidR="00D24E61" w:rsidRPr="00771368" w:rsidRDefault="00D24E61">
      <w:pPr>
        <w:spacing w:line="220" w:lineRule="auto"/>
        <w:rPr>
          <w:sz w:val="20"/>
          <w:szCs w:val="20"/>
        </w:rPr>
      </w:pPr>
      <w:r w:rsidRPr="00D61223">
        <w:rPr>
          <w:b/>
          <w:bCs/>
          <w:lang w:val="en-US"/>
        </w:rPr>
        <w:t xml:space="preserve">______. Act of 17 July 1992 Nº 100 Relating to Child Welfare Services (The Child Welfare Act) </w:t>
      </w:r>
      <w:r w:rsidRPr="00D61223">
        <w:rPr>
          <w:lang w:val="en-US"/>
        </w:rPr>
        <w:t xml:space="preserve">Ministry of Children, Equality and Social Inclusion. </w:t>
      </w:r>
      <w:r w:rsidRPr="00771368">
        <w:t>Oslo, 1992. Versão inglesa do texto da lei</w:t>
      </w:r>
      <w:r w:rsidRPr="00771368">
        <w:rPr>
          <w:b/>
          <w:bCs/>
        </w:rPr>
        <w:t xml:space="preserve"> </w:t>
      </w:r>
      <w:r w:rsidRPr="00771368">
        <w:t>original em norueguês. Disponível em: &lt;http://goo.gl/IV1Rd&gt; Acesso em: 5 maio 2012.</w:t>
      </w:r>
    </w:p>
    <w:p w:rsidR="00D24E61" w:rsidRPr="00771368" w:rsidRDefault="00D24E61">
      <w:pPr>
        <w:sectPr w:rsidR="00D24E61" w:rsidRPr="00771368">
          <w:pgSz w:w="11900" w:h="16838"/>
          <w:pgMar w:top="1183" w:right="1420" w:bottom="854" w:left="1700" w:header="0" w:footer="0" w:gutter="0"/>
          <w:cols w:space="720" w:equalWidth="0">
            <w:col w:w="8780"/>
          </w:cols>
        </w:sectPr>
      </w:pPr>
    </w:p>
    <w:p w:rsidR="00D24E61" w:rsidRPr="00771368" w:rsidRDefault="00D24E61">
      <w:pPr>
        <w:spacing w:line="224" w:lineRule="auto"/>
        <w:ind w:right="280"/>
        <w:rPr>
          <w:sz w:val="20"/>
          <w:szCs w:val="20"/>
        </w:rPr>
      </w:pPr>
      <w:r w:rsidRPr="00771368">
        <w:rPr>
          <w:sz w:val="21"/>
          <w:szCs w:val="21"/>
        </w:rPr>
        <w:t xml:space="preserve">HIRSCH, Agnes Aaby (Ed.) et al. </w:t>
      </w:r>
      <w:r w:rsidRPr="00D61223">
        <w:rPr>
          <w:b/>
          <w:bCs/>
          <w:sz w:val="21"/>
          <w:szCs w:val="21"/>
          <w:lang w:val="en-US"/>
        </w:rPr>
        <w:t>Women and men in Norway</w:t>
      </w:r>
      <w:r w:rsidRPr="00D61223">
        <w:rPr>
          <w:sz w:val="21"/>
          <w:szCs w:val="21"/>
          <w:lang w:val="en-US"/>
        </w:rPr>
        <w:t xml:space="preserve">: What the figures say. </w:t>
      </w:r>
      <w:r w:rsidRPr="00771368">
        <w:rPr>
          <w:sz w:val="21"/>
          <w:szCs w:val="21"/>
        </w:rPr>
        <w:t>Oslo: Statistics Norway, 2010. Disponível em: &lt;http://goo.gl/THpIA&gt; Acesso em: 28 abr. 2012. p. 10-11.</w:t>
      </w:r>
    </w:p>
    <w:p w:rsidR="00D24E61" w:rsidRPr="00771368" w:rsidRDefault="00D24E61">
      <w:pPr>
        <w:spacing w:line="308" w:lineRule="exact"/>
        <w:rPr>
          <w:sz w:val="20"/>
          <w:szCs w:val="20"/>
        </w:rPr>
      </w:pPr>
    </w:p>
    <w:p w:rsidR="00D24E61" w:rsidRPr="00771368" w:rsidRDefault="00D24E61">
      <w:pPr>
        <w:spacing w:line="223" w:lineRule="auto"/>
        <w:ind w:right="640"/>
        <w:rPr>
          <w:sz w:val="20"/>
          <w:szCs w:val="20"/>
        </w:rPr>
      </w:pPr>
      <w:r w:rsidRPr="00D61223">
        <w:rPr>
          <w:lang w:val="en-US"/>
        </w:rPr>
        <w:t xml:space="preserve">LAPPEGÅRD, Trude. New fertility trends in Norway. </w:t>
      </w:r>
      <w:r w:rsidRPr="00D61223">
        <w:rPr>
          <w:b/>
          <w:bCs/>
          <w:lang w:val="en-US"/>
        </w:rPr>
        <w:t>Demographic Research</w:t>
      </w:r>
      <w:r w:rsidRPr="00D61223">
        <w:rPr>
          <w:lang w:val="en-US"/>
        </w:rPr>
        <w:t xml:space="preserve">. Rostock: Max Planck Institute for Demographic Research. v. 2, article 3. </w:t>
      </w:r>
      <w:r w:rsidRPr="00771368">
        <w:t>Mar. 2000. Disponível em: &lt;http://goo.gl/2cRHI&gt; Acesso em: 25 abr. 2012.</w:t>
      </w:r>
    </w:p>
    <w:p w:rsidR="00D24E61" w:rsidRPr="00771368" w:rsidRDefault="00D24E61">
      <w:pPr>
        <w:spacing w:line="308" w:lineRule="exact"/>
        <w:rPr>
          <w:sz w:val="20"/>
          <w:szCs w:val="20"/>
        </w:rPr>
      </w:pPr>
    </w:p>
    <w:p w:rsidR="00D24E61" w:rsidRPr="00771368" w:rsidRDefault="00D24E61">
      <w:pPr>
        <w:spacing w:line="214" w:lineRule="auto"/>
        <w:ind w:right="760"/>
        <w:rPr>
          <w:sz w:val="20"/>
          <w:szCs w:val="20"/>
        </w:rPr>
      </w:pPr>
      <w:r w:rsidRPr="00771368">
        <w:t xml:space="preserve">LIPOVETSKY, Gilles. </w:t>
      </w:r>
      <w:r w:rsidRPr="00771368">
        <w:rPr>
          <w:b/>
          <w:bCs/>
        </w:rPr>
        <w:t>A terceira mulher</w:t>
      </w:r>
      <w:r w:rsidRPr="00771368">
        <w:t>: permanência e revolução do feminino. São Paulo: Companhia das Letras, 2000. 339 p.</w:t>
      </w:r>
    </w:p>
    <w:p w:rsidR="00D24E61" w:rsidRPr="00771368" w:rsidRDefault="00D24E61">
      <w:pPr>
        <w:spacing w:line="307" w:lineRule="exact"/>
        <w:rPr>
          <w:sz w:val="20"/>
          <w:szCs w:val="20"/>
        </w:rPr>
      </w:pPr>
    </w:p>
    <w:p w:rsidR="00D24E61" w:rsidRPr="00771368" w:rsidRDefault="00D24E61">
      <w:pPr>
        <w:spacing w:line="227" w:lineRule="auto"/>
        <w:ind w:right="300"/>
        <w:rPr>
          <w:sz w:val="20"/>
          <w:szCs w:val="20"/>
        </w:rPr>
      </w:pPr>
      <w:r w:rsidRPr="00771368">
        <w:t xml:space="preserve">MALIK, Khalid et al. (Org.) </w:t>
      </w:r>
      <w:r w:rsidRPr="00771368">
        <w:rPr>
          <w:b/>
          <w:bCs/>
        </w:rPr>
        <w:t>Relatório do Desenvolvimento Humano 2013</w:t>
      </w:r>
      <w:r w:rsidRPr="00771368">
        <w:t xml:space="preserve"> ―A Ascensão do Sul: Progresso Humano num Mundo Diversificado‖. New York, NY: Programa das Nações Unidas para o Desenvolvimento, 2013. Report No.: USD 30 ISBN 978-92-1-126340-4. Tabela 1. p. 150. Disponível em: &lt;http://goo.gl/X0Gs1D&gt; Acesso em: 5 set. 2013.</w:t>
      </w:r>
    </w:p>
    <w:p w:rsidR="00D24E61" w:rsidRPr="00771368" w:rsidRDefault="00D24E61">
      <w:pPr>
        <w:spacing w:line="308" w:lineRule="exact"/>
        <w:rPr>
          <w:sz w:val="20"/>
          <w:szCs w:val="20"/>
        </w:rPr>
      </w:pPr>
    </w:p>
    <w:p w:rsidR="00D24E61" w:rsidRPr="00771368" w:rsidRDefault="00D24E61">
      <w:pPr>
        <w:spacing w:line="223" w:lineRule="auto"/>
        <w:ind w:right="460"/>
        <w:rPr>
          <w:sz w:val="20"/>
          <w:szCs w:val="20"/>
        </w:rPr>
      </w:pPr>
      <w:r w:rsidRPr="00771368">
        <w:t xml:space="preserve">ONU MULHERES. </w:t>
      </w:r>
      <w:r w:rsidRPr="00771368">
        <w:rPr>
          <w:b/>
          <w:bCs/>
        </w:rPr>
        <w:t>O futuro que as mulheres querem</w:t>
      </w:r>
      <w:r w:rsidRPr="00771368">
        <w:t>: uma visão do desenvolvimento sustentável para todos. New York: 2012. p. 35. Disponível em: &lt;http://goo.gl/yp1z6&gt; Acesso em: 13 set. 2012.</w:t>
      </w:r>
    </w:p>
    <w:p w:rsidR="00D24E61" w:rsidRPr="00771368" w:rsidRDefault="00D24E61">
      <w:pPr>
        <w:spacing w:line="308" w:lineRule="exact"/>
        <w:rPr>
          <w:sz w:val="20"/>
          <w:szCs w:val="20"/>
        </w:rPr>
      </w:pPr>
    </w:p>
    <w:p w:rsidR="00D24E61" w:rsidRPr="00D61223" w:rsidRDefault="00D24E61">
      <w:pPr>
        <w:spacing w:line="227" w:lineRule="auto"/>
        <w:ind w:right="640"/>
        <w:rPr>
          <w:sz w:val="20"/>
          <w:szCs w:val="20"/>
          <w:lang w:val="en-US"/>
        </w:rPr>
      </w:pPr>
      <w:r w:rsidRPr="00D61223">
        <w:rPr>
          <w:lang w:val="en-US"/>
        </w:rPr>
        <w:t xml:space="preserve">REITER, Herwig. </w:t>
      </w:r>
      <w:r w:rsidRPr="00D61223">
        <w:rPr>
          <w:b/>
          <w:bCs/>
          <w:lang w:val="en-US"/>
        </w:rPr>
        <w:t>Beyond the equation model of society:</w:t>
      </w:r>
      <w:r w:rsidRPr="00D61223">
        <w:rPr>
          <w:lang w:val="en-US"/>
        </w:rPr>
        <w:t xml:space="preserve"> the postponement of motherhood in post-state socialism in an interdisciplinary life-course perspective. Innovation: The European Journal of Social Science Research, 22:2, 233-246. (2009) p. 241. Disponível em: &lt; http://goo.gl/Klrqz&gt; Acesso em: 28 abr. 2012.</w:t>
      </w:r>
    </w:p>
    <w:p w:rsidR="00D24E61" w:rsidRPr="00D61223" w:rsidRDefault="00D24E61">
      <w:pPr>
        <w:spacing w:line="308" w:lineRule="exact"/>
        <w:rPr>
          <w:sz w:val="20"/>
          <w:szCs w:val="20"/>
          <w:lang w:val="en-US"/>
        </w:rPr>
      </w:pPr>
    </w:p>
    <w:p w:rsidR="00D24E61" w:rsidRPr="00771368" w:rsidRDefault="00D24E61">
      <w:pPr>
        <w:spacing w:line="224" w:lineRule="auto"/>
        <w:ind w:right="640"/>
        <w:rPr>
          <w:sz w:val="20"/>
          <w:szCs w:val="20"/>
        </w:rPr>
      </w:pPr>
      <w:r w:rsidRPr="00D61223">
        <w:rPr>
          <w:sz w:val="21"/>
          <w:szCs w:val="21"/>
          <w:lang w:val="en-US"/>
        </w:rPr>
        <w:t xml:space="preserve">STATISTICS ICELAND. </w:t>
      </w:r>
      <w:r w:rsidRPr="00D61223">
        <w:rPr>
          <w:b/>
          <w:bCs/>
          <w:sz w:val="21"/>
          <w:szCs w:val="21"/>
          <w:lang w:val="en-US"/>
        </w:rPr>
        <w:t>Key figures:</w:t>
      </w:r>
      <w:r w:rsidRPr="00D61223">
        <w:rPr>
          <w:sz w:val="21"/>
          <w:szCs w:val="21"/>
          <w:lang w:val="en-US"/>
        </w:rPr>
        <w:t xml:space="preserve"> population index 1 Jan. 2012. Reykjavík: The National Statistical Institute of Iceland. </w:t>
      </w:r>
      <w:r w:rsidRPr="00771368">
        <w:rPr>
          <w:sz w:val="21"/>
          <w:szCs w:val="21"/>
        </w:rPr>
        <w:t>Disponível em: &lt;http://www.statice.is&gt; Acesso em: 10 set. 2012.</w:t>
      </w:r>
    </w:p>
    <w:p w:rsidR="00D24E61" w:rsidRPr="00771368" w:rsidRDefault="00D24E61">
      <w:pPr>
        <w:spacing w:line="308" w:lineRule="exact"/>
        <w:rPr>
          <w:sz w:val="20"/>
          <w:szCs w:val="20"/>
        </w:rPr>
      </w:pPr>
    </w:p>
    <w:p w:rsidR="00D24E61" w:rsidRPr="00771368" w:rsidRDefault="00D24E61">
      <w:pPr>
        <w:spacing w:line="214" w:lineRule="auto"/>
        <w:ind w:right="1440"/>
        <w:rPr>
          <w:sz w:val="20"/>
          <w:szCs w:val="20"/>
        </w:rPr>
      </w:pPr>
      <w:r w:rsidRPr="00771368">
        <w:t xml:space="preserve">STATISTICS NORWAY. </w:t>
      </w:r>
      <w:r w:rsidRPr="00D61223">
        <w:rPr>
          <w:b/>
          <w:bCs/>
          <w:lang w:val="en-US"/>
        </w:rPr>
        <w:t>Key figures:</w:t>
      </w:r>
      <w:r w:rsidRPr="00D61223">
        <w:rPr>
          <w:lang w:val="en-US"/>
        </w:rPr>
        <w:t xml:space="preserve"> population index 1 July 2012. </w:t>
      </w:r>
      <w:r w:rsidRPr="00771368">
        <w:t>Disponível em: &lt;http://www.ssb.no/befolkning_en/&gt; Acesso em: 10 set. 2012.</w:t>
      </w:r>
    </w:p>
    <w:p w:rsidR="00D24E61" w:rsidRPr="00771368" w:rsidRDefault="00D24E61">
      <w:pPr>
        <w:spacing w:line="307" w:lineRule="exact"/>
        <w:rPr>
          <w:sz w:val="20"/>
          <w:szCs w:val="20"/>
        </w:rPr>
      </w:pPr>
    </w:p>
    <w:p w:rsidR="00D24E61" w:rsidRPr="00771368" w:rsidRDefault="00D24E61">
      <w:pPr>
        <w:spacing w:line="223" w:lineRule="auto"/>
        <w:ind w:right="720"/>
        <w:jc w:val="both"/>
        <w:rPr>
          <w:sz w:val="20"/>
          <w:szCs w:val="20"/>
        </w:rPr>
      </w:pPr>
      <w:r w:rsidRPr="00D61223">
        <w:rPr>
          <w:lang w:val="en-US"/>
        </w:rPr>
        <w:t xml:space="preserve">STEPHENS, John D. </w:t>
      </w:r>
      <w:r w:rsidRPr="00D61223">
        <w:rPr>
          <w:b/>
          <w:bCs/>
          <w:lang w:val="en-US"/>
        </w:rPr>
        <w:t>The Scandinavian Welfare States:</w:t>
      </w:r>
      <w:r w:rsidRPr="00D61223">
        <w:rPr>
          <w:lang w:val="en-US"/>
        </w:rPr>
        <w:t xml:space="preserve"> achievements, crisis and prospects. United Nations Research Institute for Social Development (UNRISD) Discussion Paper Nº 67. </w:t>
      </w:r>
      <w:r w:rsidRPr="00771368">
        <w:t>June/ 1995. Disponível em: &lt;http://goo.gl/oYsAH&gt; Acesso em: 10 maio 2012.</w:t>
      </w:r>
    </w:p>
    <w:p w:rsidR="00D24E61" w:rsidRPr="00771368" w:rsidRDefault="00D24E61">
      <w:pPr>
        <w:spacing w:line="308" w:lineRule="exact"/>
        <w:rPr>
          <w:sz w:val="20"/>
          <w:szCs w:val="20"/>
        </w:rPr>
      </w:pPr>
    </w:p>
    <w:p w:rsidR="00D24E61" w:rsidRPr="00D61223" w:rsidRDefault="00D24E61">
      <w:pPr>
        <w:spacing w:line="223" w:lineRule="auto"/>
        <w:ind w:right="520"/>
        <w:rPr>
          <w:sz w:val="20"/>
          <w:szCs w:val="20"/>
          <w:lang w:val="en-US"/>
        </w:rPr>
      </w:pPr>
      <w:r w:rsidRPr="00D61223">
        <w:rPr>
          <w:lang w:val="en-US"/>
        </w:rPr>
        <w:t xml:space="preserve">SUTTON, Colleen Barton; CHRISTIAN, Wendy. </w:t>
      </w:r>
      <w:r w:rsidRPr="00D61223">
        <w:rPr>
          <w:b/>
          <w:bCs/>
          <w:lang w:val="en-US"/>
        </w:rPr>
        <w:t>Save the Children’s Annual State of the</w:t>
      </w:r>
      <w:r w:rsidRPr="00D61223">
        <w:rPr>
          <w:lang w:val="en-US"/>
        </w:rPr>
        <w:t xml:space="preserve"> </w:t>
      </w:r>
      <w:r w:rsidRPr="00D61223">
        <w:rPr>
          <w:b/>
          <w:bCs/>
          <w:lang w:val="en-US"/>
        </w:rPr>
        <w:t xml:space="preserve">World’s Mothers Report Lists Norway as the Best Place to Be a Mother. </w:t>
      </w:r>
      <w:r w:rsidRPr="00D61223">
        <w:rPr>
          <w:lang w:val="en-US"/>
        </w:rPr>
        <w:t>Save The Children.</w:t>
      </w:r>
      <w:r w:rsidRPr="00D61223">
        <w:rPr>
          <w:b/>
          <w:bCs/>
          <w:lang w:val="en-US"/>
        </w:rPr>
        <w:t xml:space="preserve"> </w:t>
      </w:r>
      <w:r w:rsidRPr="00D61223">
        <w:rPr>
          <w:lang w:val="en-US"/>
        </w:rPr>
        <w:t>Westport, 8 May 2012. Disponível em: &lt; http://goo.gl/A6SIE&gt; Acesso em: 10 maio 2012.</w:t>
      </w:r>
    </w:p>
    <w:p w:rsidR="00D24E61" w:rsidRPr="00D61223" w:rsidRDefault="00D24E61">
      <w:pPr>
        <w:spacing w:line="306" w:lineRule="exact"/>
        <w:rPr>
          <w:sz w:val="20"/>
          <w:szCs w:val="20"/>
          <w:lang w:val="en-US"/>
        </w:rPr>
      </w:pPr>
    </w:p>
    <w:p w:rsidR="00D24E61" w:rsidRPr="00771368" w:rsidRDefault="00D24E61">
      <w:pPr>
        <w:spacing w:line="215" w:lineRule="auto"/>
        <w:ind w:right="1160"/>
        <w:rPr>
          <w:sz w:val="20"/>
          <w:szCs w:val="20"/>
        </w:rPr>
      </w:pPr>
      <w:r w:rsidRPr="00D61223">
        <w:rPr>
          <w:lang w:val="en-US"/>
        </w:rPr>
        <w:t xml:space="preserve">THE NOBEL PEACE PRIZE 2011. </w:t>
      </w:r>
      <w:r w:rsidRPr="00D61223">
        <w:rPr>
          <w:b/>
          <w:bCs/>
          <w:lang w:val="en-US"/>
        </w:rPr>
        <w:t>Presentation Speech.</w:t>
      </w:r>
      <w:r w:rsidRPr="00D61223">
        <w:rPr>
          <w:lang w:val="en-US"/>
        </w:rPr>
        <w:t xml:space="preserve"> Nobelprize.org. 14 Sep. 2012. </w:t>
      </w:r>
      <w:r w:rsidRPr="00771368">
        <w:t>Disponível em: &lt;http://goo.gl/7DzxR&gt; Acesso em: 1 maio 2012.</w:t>
      </w:r>
    </w:p>
    <w:p w:rsidR="00D24E61" w:rsidRPr="00771368" w:rsidRDefault="00D24E61">
      <w:pPr>
        <w:spacing w:line="308" w:lineRule="exact"/>
        <w:rPr>
          <w:sz w:val="20"/>
          <w:szCs w:val="20"/>
        </w:rPr>
      </w:pPr>
    </w:p>
    <w:p w:rsidR="00D24E61" w:rsidRPr="00771368" w:rsidRDefault="00D24E61">
      <w:pPr>
        <w:spacing w:line="214" w:lineRule="auto"/>
        <w:rPr>
          <w:sz w:val="20"/>
          <w:szCs w:val="20"/>
        </w:rPr>
      </w:pPr>
      <w:r w:rsidRPr="00771368">
        <w:t xml:space="preserve">UNESCO. </w:t>
      </w:r>
      <w:r w:rsidRPr="00D61223">
        <w:rPr>
          <w:b/>
          <w:bCs/>
          <w:lang w:val="en-US"/>
        </w:rPr>
        <w:t>Dynamic Data Mapping:</w:t>
      </w:r>
      <w:r w:rsidRPr="00D61223">
        <w:rPr>
          <w:lang w:val="en-US"/>
        </w:rPr>
        <w:t xml:space="preserve"> Brazil Overview. </w:t>
      </w:r>
      <w:r w:rsidRPr="00771368">
        <w:t>Disponível em: &lt;http://goo.gl/lCLvU&gt; Acesso em: 11 set. 2012.</w:t>
      </w:r>
    </w:p>
    <w:p w:rsidR="00D24E61" w:rsidRPr="00771368" w:rsidRDefault="00D24E61">
      <w:pPr>
        <w:spacing w:line="307" w:lineRule="exact"/>
        <w:rPr>
          <w:sz w:val="20"/>
          <w:szCs w:val="20"/>
        </w:rPr>
      </w:pPr>
    </w:p>
    <w:p w:rsidR="00D24E61" w:rsidRPr="00771368" w:rsidRDefault="00D24E61">
      <w:pPr>
        <w:spacing w:line="223" w:lineRule="auto"/>
        <w:ind w:right="620"/>
        <w:jc w:val="both"/>
        <w:rPr>
          <w:sz w:val="20"/>
          <w:szCs w:val="20"/>
        </w:rPr>
      </w:pPr>
      <w:r w:rsidRPr="00D61223">
        <w:rPr>
          <w:lang w:val="en-US"/>
        </w:rPr>
        <w:t xml:space="preserve">WORLD BANK GROUP. </w:t>
      </w:r>
      <w:r w:rsidRPr="00D61223">
        <w:rPr>
          <w:b/>
          <w:bCs/>
          <w:lang w:val="en-US"/>
        </w:rPr>
        <w:t>The effect of women's economic power in Latin America and the</w:t>
      </w:r>
      <w:r w:rsidRPr="00D61223">
        <w:rPr>
          <w:lang w:val="en-US"/>
        </w:rPr>
        <w:t xml:space="preserve"> </w:t>
      </w:r>
      <w:r w:rsidRPr="00D61223">
        <w:rPr>
          <w:b/>
          <w:bCs/>
          <w:lang w:val="en-US"/>
        </w:rPr>
        <w:t xml:space="preserve">Caribbean. </w:t>
      </w:r>
      <w:r w:rsidRPr="00771368">
        <w:t>Washington, D.C: 2012. Disponível em: &lt;http://goo.gl/lp0A8&gt; Acesso em: 29 ago.</w:t>
      </w:r>
      <w:r w:rsidRPr="00771368">
        <w:rPr>
          <w:b/>
          <w:bCs/>
        </w:rPr>
        <w:t xml:space="preserve"> </w:t>
      </w:r>
      <w:r w:rsidRPr="00771368">
        <w:t>2012.</w:t>
      </w:r>
    </w:p>
    <w:p w:rsidR="00D24E61" w:rsidRPr="00771368" w:rsidRDefault="00D24E61">
      <w:pPr>
        <w:spacing w:line="305" w:lineRule="exact"/>
        <w:rPr>
          <w:sz w:val="20"/>
          <w:szCs w:val="20"/>
        </w:rPr>
      </w:pPr>
    </w:p>
    <w:p w:rsidR="00D24E61" w:rsidRPr="00771368" w:rsidRDefault="00D24E61">
      <w:pPr>
        <w:spacing w:line="215" w:lineRule="auto"/>
        <w:ind w:right="1180"/>
        <w:rPr>
          <w:sz w:val="20"/>
          <w:szCs w:val="20"/>
        </w:rPr>
      </w:pPr>
      <w:r w:rsidRPr="00D61223">
        <w:rPr>
          <w:lang w:val="en-US"/>
        </w:rPr>
        <w:t xml:space="preserve">WORLD ECONOMIC FORUM. </w:t>
      </w:r>
      <w:r w:rsidRPr="00D61223">
        <w:rPr>
          <w:b/>
          <w:bCs/>
          <w:lang w:val="en-US"/>
        </w:rPr>
        <w:t>The Global Gender Gap Report 2011</w:t>
      </w:r>
      <w:r w:rsidRPr="00D61223">
        <w:rPr>
          <w:lang w:val="en-US"/>
        </w:rPr>
        <w:t xml:space="preserve">. </w:t>
      </w:r>
      <w:r w:rsidRPr="00771368">
        <w:t>Geneva: 2011. Disponível em: &lt;http://goo.gl/q7Zne&gt; Acesso em: 1 mar. 2012.</w:t>
      </w:r>
    </w:p>
    <w:p w:rsidR="00D24E61" w:rsidRPr="00771368" w:rsidRDefault="00D24E61">
      <w:pPr>
        <w:spacing w:line="308" w:lineRule="exact"/>
        <w:rPr>
          <w:sz w:val="20"/>
          <w:szCs w:val="20"/>
        </w:rPr>
      </w:pPr>
    </w:p>
    <w:p w:rsidR="00D24E61" w:rsidRPr="00771368" w:rsidRDefault="00D24E61">
      <w:pPr>
        <w:spacing w:line="214" w:lineRule="auto"/>
        <w:ind w:right="420"/>
        <w:rPr>
          <w:sz w:val="20"/>
          <w:szCs w:val="20"/>
        </w:rPr>
      </w:pPr>
      <w:r w:rsidRPr="00771368">
        <w:rPr>
          <w:b/>
          <w:bCs/>
        </w:rPr>
        <w:t xml:space="preserve">______. Corporate Gender Gap. </w:t>
      </w:r>
      <w:r w:rsidRPr="00771368">
        <w:t>Geneva: 2011. Disponível em: &lt;http://goo.gl/0MXzA&gt; Acesso</w:t>
      </w:r>
      <w:r w:rsidRPr="00771368">
        <w:rPr>
          <w:b/>
          <w:bCs/>
        </w:rPr>
        <w:t xml:space="preserve"> </w:t>
      </w:r>
      <w:r w:rsidRPr="00771368">
        <w:t>em: 1 mar. 2012.</w:t>
      </w:r>
    </w:p>
    <w:p w:rsidR="00D24E61" w:rsidRPr="00771368" w:rsidRDefault="00D24E61">
      <w:pPr>
        <w:spacing w:line="164" w:lineRule="exact"/>
        <w:rPr>
          <w:sz w:val="24"/>
          <w:szCs w:val="24"/>
        </w:rPr>
      </w:pPr>
    </w:p>
    <w:p w:rsidR="00D24E61" w:rsidRPr="00771368" w:rsidRDefault="00D24E61">
      <w:pPr>
        <w:spacing w:line="333" w:lineRule="auto"/>
        <w:ind w:left="1380"/>
        <w:jc w:val="right"/>
        <w:rPr>
          <w:sz w:val="20"/>
          <w:szCs w:val="20"/>
        </w:rPr>
      </w:pPr>
      <w:r w:rsidRPr="00771368">
        <w:rPr>
          <w:sz w:val="24"/>
          <w:szCs w:val="24"/>
        </w:rPr>
        <w:t xml:space="preserve">MULHERES: ORIENTAIS E OCIDENTAIS. SÃO SEMPRE MULHERES. </w:t>
      </w:r>
      <w:r w:rsidRPr="00EE4410">
        <w:rPr>
          <w:rStyle w:val="Ttulo1Char"/>
        </w:rPr>
        <w:t>Taciana Durão Leite Caldas</w:t>
      </w:r>
      <w:r w:rsidRPr="00ED7B83">
        <w:rPr>
          <w:rStyle w:val="Ttulo1Char"/>
        </w:rPr>
        <w:t xml:space="preserve"> Prefeitura</w:t>
      </w:r>
      <w:r w:rsidRPr="00771368">
        <w:rPr>
          <w:sz w:val="24"/>
          <w:szCs w:val="24"/>
        </w:rPr>
        <w:t xml:space="preserve">  da Cidade do Recife – Escola Municipal  Maria Sampaio de Lucena</w:t>
      </w:r>
    </w:p>
    <w:p w:rsidR="00D24E61" w:rsidRPr="00ED7B83" w:rsidRDefault="00D24E61">
      <w:pPr>
        <w:spacing w:line="200" w:lineRule="exact"/>
        <w:rPr>
          <w:sz w:val="24"/>
          <w:szCs w:val="24"/>
          <w:u w:val="single"/>
        </w:rPr>
      </w:pPr>
    </w:p>
    <w:p w:rsidR="00D24E61" w:rsidRPr="00771368" w:rsidRDefault="00D24E61">
      <w:pPr>
        <w:spacing w:line="244" w:lineRule="exact"/>
        <w:rPr>
          <w:sz w:val="24"/>
          <w:szCs w:val="24"/>
        </w:rPr>
      </w:pPr>
    </w:p>
    <w:p w:rsidR="00D24E61" w:rsidRPr="00771368" w:rsidRDefault="00D24E61">
      <w:pPr>
        <w:rPr>
          <w:sz w:val="20"/>
          <w:szCs w:val="20"/>
        </w:rPr>
      </w:pPr>
      <w:r w:rsidRPr="00771368">
        <w:rPr>
          <w:b/>
          <w:bCs/>
          <w:sz w:val="24"/>
          <w:szCs w:val="24"/>
        </w:rPr>
        <w:t>INTRODUÇÃO</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23" w:lineRule="exact"/>
        <w:rPr>
          <w:sz w:val="24"/>
          <w:szCs w:val="24"/>
        </w:rPr>
      </w:pPr>
    </w:p>
    <w:p w:rsidR="00D24E61" w:rsidRPr="00771368" w:rsidRDefault="00D24E61">
      <w:pPr>
        <w:spacing w:line="346" w:lineRule="auto"/>
        <w:ind w:firstLine="856"/>
        <w:jc w:val="both"/>
        <w:rPr>
          <w:sz w:val="20"/>
          <w:szCs w:val="20"/>
        </w:rPr>
      </w:pPr>
      <w:r w:rsidRPr="00771368">
        <w:rPr>
          <w:sz w:val="24"/>
          <w:szCs w:val="24"/>
        </w:rPr>
        <w:t>O papel fundamental da educação no desenvolvimento das pessoas e das sociedades amplia-se ainda mais no despertar do novo milênio e aponta para a necessidade de se construir uma escola voltada para cidadãos que devem estar prontos para construir um novo tipo de sociedade. Dessa forma buscamos, neste projeto, focalizar, nas questões de gênero, a mulher como tema central.</w:t>
      </w:r>
    </w:p>
    <w:p w:rsidR="00D24E61" w:rsidRPr="00771368" w:rsidRDefault="00D24E61">
      <w:pPr>
        <w:spacing w:line="128" w:lineRule="exact"/>
        <w:rPr>
          <w:sz w:val="24"/>
          <w:szCs w:val="24"/>
        </w:rPr>
      </w:pPr>
    </w:p>
    <w:p w:rsidR="00D24E61" w:rsidRPr="00771368" w:rsidRDefault="00D24E61">
      <w:pPr>
        <w:spacing w:line="346" w:lineRule="auto"/>
        <w:ind w:firstLine="856"/>
        <w:jc w:val="both"/>
        <w:rPr>
          <w:sz w:val="20"/>
          <w:szCs w:val="20"/>
        </w:rPr>
      </w:pPr>
      <w:r w:rsidRPr="00771368">
        <w:rPr>
          <w:sz w:val="24"/>
          <w:szCs w:val="24"/>
        </w:rPr>
        <w:t>Para abordar esse tema tratamos as diferenças de comportamento entre mulheres Ocidentais e Orientais, partindo sempre de uma análise comparativa entre estes dois comportamentos, e falando sobre os tipos de “liberdade” que envolve essas mulheres. No nosso caso, quando nos reportarmos às mulheres orientais, estaremos sempre nos referindo especificamente às mulheres do oriente médio.</w:t>
      </w:r>
    </w:p>
    <w:p w:rsidR="00D24E61" w:rsidRPr="00771368" w:rsidRDefault="00D24E61">
      <w:pPr>
        <w:spacing w:line="67" w:lineRule="exact"/>
        <w:rPr>
          <w:sz w:val="24"/>
          <w:szCs w:val="24"/>
        </w:rPr>
      </w:pPr>
    </w:p>
    <w:p w:rsidR="00D24E61" w:rsidRPr="00771368" w:rsidRDefault="00D24E61">
      <w:pPr>
        <w:spacing w:line="333" w:lineRule="auto"/>
        <w:ind w:firstLine="856"/>
        <w:jc w:val="both"/>
        <w:rPr>
          <w:sz w:val="20"/>
          <w:szCs w:val="20"/>
        </w:rPr>
      </w:pPr>
      <w:r w:rsidRPr="00771368">
        <w:rPr>
          <w:sz w:val="24"/>
          <w:szCs w:val="24"/>
        </w:rPr>
        <w:t>Dando segmento, chegamos a discussões sobre a gravidez, na adolescência, o principal tema para que nossos educandos reflitam e se conscientizem dessa responsabilidade.</w:t>
      </w:r>
    </w:p>
    <w:p w:rsidR="00D24E61" w:rsidRPr="00771368" w:rsidRDefault="00D24E61">
      <w:pPr>
        <w:spacing w:line="97" w:lineRule="exact"/>
        <w:rPr>
          <w:sz w:val="24"/>
          <w:szCs w:val="24"/>
        </w:rPr>
      </w:pPr>
    </w:p>
    <w:p w:rsidR="00D24E61" w:rsidRPr="00771368" w:rsidRDefault="00D24E61">
      <w:pPr>
        <w:spacing w:line="346" w:lineRule="auto"/>
        <w:ind w:firstLine="856"/>
        <w:jc w:val="both"/>
        <w:rPr>
          <w:sz w:val="20"/>
          <w:szCs w:val="20"/>
        </w:rPr>
      </w:pPr>
      <w:r w:rsidRPr="00771368">
        <w:rPr>
          <w:sz w:val="24"/>
          <w:szCs w:val="24"/>
        </w:rPr>
        <w:t>O projeto foi aplicado em cinco turmas do 4º ciclo, do 2º ano do turno da tarde da escola Municipal Maria Sampaio de Lucena, localizada no bairro do Ibura (periferia do Recife) no ano de 2008. Os alunos possuem em média 15 anos de idade, e as turmas estão com, aproximadamente, 40 alunos em cada sala de aula, num total aproximado de 200 alunos.</w:t>
      </w:r>
    </w:p>
    <w:p w:rsidR="00D24E61" w:rsidRPr="00771368" w:rsidRDefault="00D24E61">
      <w:pPr>
        <w:spacing w:line="83" w:lineRule="exact"/>
        <w:rPr>
          <w:sz w:val="24"/>
          <w:szCs w:val="24"/>
        </w:rPr>
      </w:pPr>
    </w:p>
    <w:p w:rsidR="00D24E61" w:rsidRPr="00771368" w:rsidRDefault="00D24E61">
      <w:pPr>
        <w:spacing w:line="314" w:lineRule="auto"/>
        <w:ind w:firstLine="856"/>
        <w:jc w:val="both"/>
        <w:rPr>
          <w:sz w:val="20"/>
          <w:szCs w:val="20"/>
        </w:rPr>
      </w:pPr>
      <w:r w:rsidRPr="00771368">
        <w:rPr>
          <w:sz w:val="24"/>
          <w:szCs w:val="24"/>
        </w:rPr>
        <w:t>Foram envolvidas as áreas de Linguagens e Códigos e Ciências Humanas e suas tecnologias, tendo como componentes curriculares foram artes, geografia e história.</w:t>
      </w:r>
    </w:p>
    <w:p w:rsidR="00D24E61" w:rsidRPr="00771368" w:rsidRDefault="00D24E61">
      <w:pPr>
        <w:spacing w:line="200" w:lineRule="exact"/>
        <w:rPr>
          <w:sz w:val="24"/>
          <w:szCs w:val="24"/>
        </w:rPr>
      </w:pPr>
    </w:p>
    <w:p w:rsidR="00D24E61" w:rsidRPr="00771368" w:rsidRDefault="00D24E61">
      <w:pPr>
        <w:spacing w:line="266" w:lineRule="exact"/>
        <w:rPr>
          <w:sz w:val="24"/>
          <w:szCs w:val="24"/>
        </w:rPr>
      </w:pPr>
    </w:p>
    <w:p w:rsidR="00D24E61" w:rsidRPr="00771368" w:rsidRDefault="00D24E61">
      <w:pPr>
        <w:rPr>
          <w:sz w:val="20"/>
          <w:szCs w:val="20"/>
        </w:rPr>
      </w:pPr>
      <w:r w:rsidRPr="00771368">
        <w:rPr>
          <w:b/>
          <w:bCs/>
          <w:sz w:val="24"/>
          <w:szCs w:val="24"/>
        </w:rPr>
        <w:t>OBJETIVOS</w:t>
      </w:r>
    </w:p>
    <w:p w:rsidR="00D24E61" w:rsidRDefault="00D24E61"/>
    <w:p w:rsidR="00ED7B83" w:rsidRPr="00771368" w:rsidRDefault="00ED7B83" w:rsidP="00ED7B83">
      <w:pPr>
        <w:spacing w:line="239" w:lineRule="auto"/>
        <w:rPr>
          <w:sz w:val="20"/>
          <w:szCs w:val="20"/>
        </w:rPr>
      </w:pPr>
      <w:r w:rsidRPr="00771368">
        <w:rPr>
          <w:b/>
          <w:bCs/>
          <w:sz w:val="23"/>
          <w:szCs w:val="23"/>
        </w:rPr>
        <w:t>Objetivo Geral:</w:t>
      </w:r>
    </w:p>
    <w:p w:rsidR="00D24E61" w:rsidRPr="00771368" w:rsidRDefault="00D24E61">
      <w:pPr>
        <w:spacing w:line="200" w:lineRule="exact"/>
        <w:rPr>
          <w:sz w:val="24"/>
          <w:szCs w:val="24"/>
        </w:rPr>
      </w:pPr>
    </w:p>
    <w:p w:rsidR="00D24E61" w:rsidRPr="00771368" w:rsidRDefault="00D24E61">
      <w:pPr>
        <w:spacing w:line="361" w:lineRule="exact"/>
        <w:rPr>
          <w:sz w:val="24"/>
          <w:szCs w:val="24"/>
        </w:rPr>
      </w:pPr>
    </w:p>
    <w:p w:rsidR="00D24E61" w:rsidRPr="00771368" w:rsidRDefault="00D24E61">
      <w:pPr>
        <w:spacing w:line="164" w:lineRule="exact"/>
        <w:rPr>
          <w:sz w:val="20"/>
          <w:szCs w:val="20"/>
        </w:rPr>
      </w:pPr>
    </w:p>
    <w:p w:rsidR="00D24E61" w:rsidRPr="00771368" w:rsidRDefault="00D24E61">
      <w:pPr>
        <w:spacing w:line="333" w:lineRule="auto"/>
        <w:ind w:right="20" w:firstLine="856"/>
        <w:jc w:val="both"/>
        <w:rPr>
          <w:sz w:val="20"/>
          <w:szCs w:val="20"/>
        </w:rPr>
      </w:pPr>
      <w:r w:rsidRPr="00771368">
        <w:rPr>
          <w:sz w:val="24"/>
          <w:szCs w:val="24"/>
        </w:rPr>
        <w:t>Trabalhar questões sociais de gênero de grande importância que venham a repercutir na vida futura dos alunos através da multiculturalidade entre o Oriente e o Ocidente.</w:t>
      </w:r>
    </w:p>
    <w:p w:rsidR="00D24E61" w:rsidRPr="00771368" w:rsidRDefault="00D24E61">
      <w:pPr>
        <w:spacing w:line="200" w:lineRule="exact"/>
        <w:rPr>
          <w:sz w:val="20"/>
          <w:szCs w:val="20"/>
        </w:rPr>
      </w:pPr>
    </w:p>
    <w:p w:rsidR="00D24E61" w:rsidRPr="00771368" w:rsidRDefault="00D24E61">
      <w:pPr>
        <w:spacing w:line="244" w:lineRule="exact"/>
        <w:rPr>
          <w:sz w:val="20"/>
          <w:szCs w:val="20"/>
        </w:rPr>
      </w:pPr>
    </w:p>
    <w:p w:rsidR="00D24E61" w:rsidRPr="00771368" w:rsidRDefault="00D24E61">
      <w:pPr>
        <w:rPr>
          <w:sz w:val="20"/>
          <w:szCs w:val="20"/>
        </w:rPr>
      </w:pPr>
      <w:r w:rsidRPr="00771368">
        <w:rPr>
          <w:b/>
          <w:bCs/>
          <w:sz w:val="24"/>
          <w:szCs w:val="24"/>
        </w:rPr>
        <w:t>Objetivos Específicos:</w:t>
      </w:r>
    </w:p>
    <w:p w:rsidR="00D24E61" w:rsidRPr="00771368" w:rsidRDefault="00D24E61">
      <w:pPr>
        <w:spacing w:line="203" w:lineRule="exact"/>
        <w:rPr>
          <w:sz w:val="20"/>
          <w:szCs w:val="20"/>
        </w:rPr>
      </w:pPr>
    </w:p>
    <w:p w:rsidR="00D24E61" w:rsidRPr="00771368" w:rsidRDefault="00D24E61" w:rsidP="00EA38AA">
      <w:pPr>
        <w:numPr>
          <w:ilvl w:val="0"/>
          <w:numId w:val="50"/>
        </w:numPr>
        <w:tabs>
          <w:tab w:val="left" w:pos="580"/>
        </w:tabs>
        <w:spacing w:line="333" w:lineRule="auto"/>
        <w:ind w:right="20"/>
        <w:jc w:val="both"/>
        <w:rPr>
          <w:sz w:val="24"/>
          <w:szCs w:val="24"/>
        </w:rPr>
      </w:pPr>
      <w:r w:rsidRPr="00771368">
        <w:rPr>
          <w:sz w:val="24"/>
          <w:szCs w:val="24"/>
        </w:rPr>
        <w:t>Fazer com que os educandos conheçam outras culturas, especialmente a do Oriente Médio. E entenderem o quanto as questões culturais podem contribuir para a diferença de gêneros.</w:t>
      </w:r>
    </w:p>
    <w:p w:rsidR="00D24E61" w:rsidRPr="00771368" w:rsidRDefault="00D24E61">
      <w:pPr>
        <w:spacing w:line="39" w:lineRule="exact"/>
        <w:rPr>
          <w:sz w:val="24"/>
          <w:szCs w:val="24"/>
        </w:rPr>
      </w:pPr>
    </w:p>
    <w:p w:rsidR="00D24E61" w:rsidRPr="00771368" w:rsidRDefault="00D24E61" w:rsidP="00EA38AA">
      <w:pPr>
        <w:numPr>
          <w:ilvl w:val="0"/>
          <w:numId w:val="50"/>
        </w:numPr>
        <w:tabs>
          <w:tab w:val="left" w:pos="580"/>
        </w:tabs>
        <w:jc w:val="both"/>
        <w:rPr>
          <w:sz w:val="24"/>
          <w:szCs w:val="24"/>
        </w:rPr>
      </w:pPr>
      <w:r w:rsidRPr="00771368">
        <w:rPr>
          <w:sz w:val="24"/>
          <w:szCs w:val="24"/>
        </w:rPr>
        <w:t>Apresentar  o  comportamento  feminino  do  Oriente  Médio,  comparando  com  o</w:t>
      </w:r>
    </w:p>
    <w:p w:rsidR="00D24E61" w:rsidRPr="00771368" w:rsidRDefault="00D24E61">
      <w:pPr>
        <w:spacing w:line="130" w:lineRule="exact"/>
        <w:rPr>
          <w:sz w:val="20"/>
          <w:szCs w:val="20"/>
        </w:rPr>
      </w:pPr>
    </w:p>
    <w:p w:rsidR="00D24E61" w:rsidRPr="00771368" w:rsidRDefault="00D24E61">
      <w:pPr>
        <w:ind w:left="580"/>
        <w:rPr>
          <w:sz w:val="20"/>
          <w:szCs w:val="20"/>
        </w:rPr>
      </w:pPr>
      <w:r w:rsidRPr="00771368">
        <w:rPr>
          <w:sz w:val="24"/>
          <w:szCs w:val="24"/>
        </w:rPr>
        <w:t>comportamento  feminino  do Ocidente a partir da influência  cultural de cada região.</w:t>
      </w:r>
    </w:p>
    <w:p w:rsidR="00D24E61" w:rsidRPr="00771368" w:rsidRDefault="00D24E61">
      <w:pPr>
        <w:spacing w:line="202" w:lineRule="exact"/>
        <w:rPr>
          <w:sz w:val="20"/>
          <w:szCs w:val="20"/>
        </w:rPr>
      </w:pPr>
    </w:p>
    <w:p w:rsidR="00D24E61" w:rsidRPr="00771368" w:rsidRDefault="00D24E61">
      <w:pPr>
        <w:numPr>
          <w:ilvl w:val="0"/>
          <w:numId w:val="2"/>
        </w:numPr>
        <w:tabs>
          <w:tab w:val="left" w:pos="580"/>
        </w:tabs>
        <w:spacing w:line="333" w:lineRule="auto"/>
        <w:ind w:left="580" w:hanging="573"/>
        <w:jc w:val="both"/>
        <w:rPr>
          <w:sz w:val="24"/>
          <w:szCs w:val="24"/>
        </w:rPr>
      </w:pPr>
      <w:r w:rsidRPr="00771368">
        <w:rPr>
          <w:sz w:val="24"/>
          <w:szCs w:val="24"/>
        </w:rPr>
        <w:t>Buscar uma maior conscientização por parte dos educandos sobre as responsabilidades de uma gravidez na adolescência, e suas consequências na vida desses adolescentes, principalmente nas meninas.</w:t>
      </w:r>
    </w:p>
    <w:p w:rsidR="00D24E61" w:rsidRPr="00771368" w:rsidRDefault="00D24E61">
      <w:pPr>
        <w:spacing w:line="97" w:lineRule="exact"/>
        <w:rPr>
          <w:sz w:val="24"/>
          <w:szCs w:val="24"/>
        </w:rPr>
      </w:pPr>
    </w:p>
    <w:p w:rsidR="00D24E61" w:rsidRPr="00771368" w:rsidRDefault="00D24E61">
      <w:pPr>
        <w:numPr>
          <w:ilvl w:val="0"/>
          <w:numId w:val="2"/>
        </w:numPr>
        <w:tabs>
          <w:tab w:val="left" w:pos="580"/>
        </w:tabs>
        <w:spacing w:line="301" w:lineRule="auto"/>
        <w:ind w:left="580" w:right="20" w:hanging="573"/>
        <w:jc w:val="both"/>
        <w:rPr>
          <w:sz w:val="24"/>
          <w:szCs w:val="24"/>
        </w:rPr>
      </w:pPr>
      <w:r w:rsidRPr="00771368">
        <w:rPr>
          <w:sz w:val="24"/>
          <w:szCs w:val="24"/>
        </w:rPr>
        <w:t>Levar os alunos a reconhecerem as obras de arte como um produto histórico-social e suas especificidades nas diversas culturas.</w:t>
      </w:r>
    </w:p>
    <w:p w:rsidR="00D24E61" w:rsidRPr="00771368" w:rsidRDefault="00D24E61">
      <w:pPr>
        <w:spacing w:line="75" w:lineRule="exact"/>
        <w:rPr>
          <w:sz w:val="20"/>
          <w:szCs w:val="20"/>
        </w:rPr>
      </w:pPr>
    </w:p>
    <w:p w:rsidR="00D24E61" w:rsidRPr="00771368" w:rsidRDefault="00D24E61">
      <w:pPr>
        <w:tabs>
          <w:tab w:val="left" w:pos="560"/>
          <w:tab w:val="left" w:pos="1660"/>
          <w:tab w:val="left" w:pos="2160"/>
          <w:tab w:val="left" w:pos="3020"/>
          <w:tab w:val="left" w:pos="3400"/>
          <w:tab w:val="left" w:pos="4680"/>
          <w:tab w:val="left" w:pos="5500"/>
          <w:tab w:val="left" w:pos="6400"/>
          <w:tab w:val="left" w:pos="7660"/>
        </w:tabs>
        <w:rPr>
          <w:sz w:val="20"/>
          <w:szCs w:val="20"/>
        </w:rPr>
      </w:pPr>
      <w:r w:rsidRPr="00771368">
        <w:rPr>
          <w:sz w:val="24"/>
          <w:szCs w:val="24"/>
        </w:rPr>
        <w:t>5.</w:t>
      </w:r>
      <w:r w:rsidRPr="00771368">
        <w:rPr>
          <w:sz w:val="20"/>
          <w:szCs w:val="20"/>
        </w:rPr>
        <w:tab/>
      </w:r>
      <w:r w:rsidRPr="00771368">
        <w:rPr>
          <w:sz w:val="24"/>
          <w:szCs w:val="24"/>
        </w:rPr>
        <w:t>Estimular</w:t>
      </w:r>
      <w:r w:rsidRPr="00771368">
        <w:rPr>
          <w:sz w:val="20"/>
          <w:szCs w:val="20"/>
        </w:rPr>
        <w:tab/>
      </w:r>
      <w:r w:rsidRPr="00771368">
        <w:rPr>
          <w:sz w:val="24"/>
          <w:szCs w:val="24"/>
        </w:rPr>
        <w:t>os</w:t>
      </w:r>
      <w:r w:rsidRPr="00771368">
        <w:rPr>
          <w:sz w:val="20"/>
          <w:szCs w:val="20"/>
        </w:rPr>
        <w:tab/>
      </w:r>
      <w:r w:rsidRPr="00771368">
        <w:rPr>
          <w:sz w:val="24"/>
          <w:szCs w:val="24"/>
        </w:rPr>
        <w:t>alunos</w:t>
      </w:r>
      <w:r w:rsidRPr="00771368">
        <w:rPr>
          <w:sz w:val="20"/>
          <w:szCs w:val="20"/>
        </w:rPr>
        <w:tab/>
      </w:r>
      <w:r w:rsidRPr="00771368">
        <w:rPr>
          <w:sz w:val="24"/>
          <w:szCs w:val="24"/>
        </w:rPr>
        <w:t>a</w:t>
      </w:r>
      <w:r w:rsidRPr="00771368">
        <w:rPr>
          <w:sz w:val="20"/>
          <w:szCs w:val="20"/>
        </w:rPr>
        <w:tab/>
      </w:r>
      <w:r w:rsidRPr="00771368">
        <w:rPr>
          <w:sz w:val="24"/>
          <w:szCs w:val="24"/>
        </w:rPr>
        <w:t>produzirem</w:t>
      </w:r>
      <w:r w:rsidRPr="00771368">
        <w:rPr>
          <w:sz w:val="20"/>
          <w:szCs w:val="20"/>
        </w:rPr>
        <w:tab/>
      </w:r>
      <w:r w:rsidRPr="00771368">
        <w:rPr>
          <w:sz w:val="24"/>
          <w:szCs w:val="24"/>
        </w:rPr>
        <w:t>textos</w:t>
      </w:r>
      <w:r w:rsidRPr="00771368">
        <w:rPr>
          <w:sz w:val="20"/>
          <w:szCs w:val="20"/>
        </w:rPr>
        <w:tab/>
      </w:r>
      <w:r w:rsidRPr="00771368">
        <w:rPr>
          <w:sz w:val="24"/>
          <w:szCs w:val="24"/>
        </w:rPr>
        <w:t>visuais,</w:t>
      </w:r>
      <w:r w:rsidRPr="00771368">
        <w:rPr>
          <w:sz w:val="20"/>
          <w:szCs w:val="20"/>
        </w:rPr>
        <w:tab/>
      </w:r>
      <w:r w:rsidRPr="00771368">
        <w:rPr>
          <w:sz w:val="24"/>
          <w:szCs w:val="24"/>
        </w:rPr>
        <w:t>articulando</w:t>
      </w:r>
      <w:r w:rsidRPr="00771368">
        <w:rPr>
          <w:sz w:val="20"/>
          <w:szCs w:val="20"/>
        </w:rPr>
        <w:tab/>
      </w:r>
      <w:r w:rsidRPr="00771368">
        <w:rPr>
          <w:sz w:val="23"/>
          <w:szCs w:val="23"/>
        </w:rPr>
        <w:t>percepções,</w:t>
      </w:r>
    </w:p>
    <w:p w:rsidR="00D24E61" w:rsidRPr="00771368" w:rsidRDefault="00D24E61">
      <w:pPr>
        <w:spacing w:line="144" w:lineRule="exact"/>
        <w:rPr>
          <w:sz w:val="20"/>
          <w:szCs w:val="20"/>
        </w:rPr>
      </w:pPr>
    </w:p>
    <w:p w:rsidR="00D24E61" w:rsidRPr="00771368" w:rsidRDefault="00D24E61">
      <w:pPr>
        <w:tabs>
          <w:tab w:val="left" w:pos="2040"/>
          <w:tab w:val="left" w:pos="2980"/>
          <w:tab w:val="left" w:pos="3240"/>
          <w:tab w:val="left" w:pos="4460"/>
          <w:tab w:val="left" w:pos="4820"/>
        </w:tabs>
        <w:spacing w:line="239" w:lineRule="auto"/>
        <w:ind w:left="580"/>
        <w:rPr>
          <w:sz w:val="20"/>
          <w:szCs w:val="20"/>
        </w:rPr>
      </w:pPr>
      <w:r w:rsidRPr="00771368">
        <w:rPr>
          <w:sz w:val="24"/>
          <w:szCs w:val="24"/>
        </w:rPr>
        <w:t>conhecimentos</w:t>
      </w:r>
      <w:r w:rsidRPr="00771368">
        <w:rPr>
          <w:sz w:val="20"/>
          <w:szCs w:val="20"/>
        </w:rPr>
        <w:tab/>
      </w:r>
      <w:r w:rsidRPr="00771368">
        <w:rPr>
          <w:sz w:val="24"/>
          <w:szCs w:val="24"/>
        </w:rPr>
        <w:t>artísticos</w:t>
      </w:r>
      <w:r w:rsidRPr="00771368">
        <w:rPr>
          <w:sz w:val="20"/>
          <w:szCs w:val="20"/>
        </w:rPr>
        <w:tab/>
      </w:r>
      <w:r w:rsidRPr="00771368">
        <w:rPr>
          <w:sz w:val="24"/>
          <w:szCs w:val="24"/>
        </w:rPr>
        <w:t>e</w:t>
      </w:r>
      <w:r w:rsidRPr="00771368">
        <w:rPr>
          <w:sz w:val="20"/>
          <w:szCs w:val="20"/>
        </w:rPr>
        <w:tab/>
      </w:r>
      <w:r w:rsidRPr="00771368">
        <w:rPr>
          <w:sz w:val="24"/>
          <w:szCs w:val="24"/>
        </w:rPr>
        <w:t>contextuais,</w:t>
      </w:r>
      <w:r w:rsidRPr="00771368">
        <w:rPr>
          <w:sz w:val="20"/>
          <w:szCs w:val="20"/>
        </w:rPr>
        <w:tab/>
      </w:r>
      <w:r w:rsidRPr="00771368">
        <w:rPr>
          <w:sz w:val="24"/>
          <w:szCs w:val="24"/>
        </w:rPr>
        <w:t>os</w:t>
      </w:r>
      <w:r w:rsidRPr="00771368">
        <w:rPr>
          <w:sz w:val="20"/>
          <w:szCs w:val="20"/>
        </w:rPr>
        <w:tab/>
      </w:r>
      <w:r w:rsidRPr="00771368">
        <w:t>elementos  compositivos,  signos,  materiais</w:t>
      </w:r>
    </w:p>
    <w:p w:rsidR="00D24E61" w:rsidRPr="00771368" w:rsidRDefault="00D24E61">
      <w:pPr>
        <w:spacing w:line="129" w:lineRule="exact"/>
        <w:rPr>
          <w:sz w:val="20"/>
          <w:szCs w:val="20"/>
        </w:rPr>
      </w:pPr>
    </w:p>
    <w:p w:rsidR="00D24E61" w:rsidRPr="00771368" w:rsidRDefault="00D24E61">
      <w:pPr>
        <w:ind w:left="580"/>
        <w:jc w:val="both"/>
        <w:rPr>
          <w:sz w:val="20"/>
          <w:szCs w:val="20"/>
        </w:rPr>
      </w:pPr>
      <w:r w:rsidRPr="00771368">
        <w:rPr>
          <w:sz w:val="24"/>
          <w:szCs w:val="24"/>
        </w:rPr>
        <w:t>e suportes.</w:t>
      </w:r>
    </w:p>
    <w:p w:rsidR="00D24E61" w:rsidRPr="00771368" w:rsidRDefault="00D24E61">
      <w:pPr>
        <w:spacing w:line="202" w:lineRule="exact"/>
        <w:rPr>
          <w:sz w:val="20"/>
          <w:szCs w:val="20"/>
        </w:rPr>
      </w:pPr>
    </w:p>
    <w:p w:rsidR="00D24E61" w:rsidRPr="00771368" w:rsidRDefault="00D24E61">
      <w:pPr>
        <w:numPr>
          <w:ilvl w:val="0"/>
          <w:numId w:val="3"/>
        </w:numPr>
        <w:tabs>
          <w:tab w:val="left" w:pos="580"/>
        </w:tabs>
        <w:spacing w:line="301" w:lineRule="auto"/>
        <w:ind w:left="580" w:right="20" w:hanging="573"/>
        <w:jc w:val="both"/>
        <w:rPr>
          <w:sz w:val="24"/>
          <w:szCs w:val="24"/>
        </w:rPr>
      </w:pPr>
      <w:r w:rsidRPr="00771368">
        <w:rPr>
          <w:sz w:val="24"/>
          <w:szCs w:val="24"/>
        </w:rPr>
        <w:t>Construir uma organização dentro do espaço de trabalho, explorando os materiais com zelo, valorizando como bem coletivo.</w:t>
      </w:r>
    </w:p>
    <w:p w:rsidR="00D24E61" w:rsidRPr="00771368" w:rsidRDefault="00D24E61">
      <w:pPr>
        <w:spacing w:line="200" w:lineRule="exact"/>
        <w:rPr>
          <w:sz w:val="20"/>
          <w:szCs w:val="20"/>
        </w:rPr>
      </w:pPr>
    </w:p>
    <w:p w:rsidR="00D24E61" w:rsidRPr="00771368" w:rsidRDefault="00D24E61">
      <w:pPr>
        <w:spacing w:line="296" w:lineRule="exact"/>
        <w:rPr>
          <w:sz w:val="20"/>
          <w:szCs w:val="20"/>
        </w:rPr>
      </w:pPr>
    </w:p>
    <w:p w:rsidR="00D24E61" w:rsidRPr="00771368" w:rsidRDefault="00D24E61">
      <w:pPr>
        <w:rPr>
          <w:sz w:val="20"/>
          <w:szCs w:val="20"/>
        </w:rPr>
      </w:pPr>
      <w:r w:rsidRPr="00771368">
        <w:rPr>
          <w:b/>
          <w:bCs/>
          <w:sz w:val="24"/>
          <w:szCs w:val="24"/>
        </w:rPr>
        <w:t>METODOLOGIA</w:t>
      </w:r>
    </w:p>
    <w:p w:rsidR="00D24E61" w:rsidRPr="00771368" w:rsidRDefault="00D24E61">
      <w:pPr>
        <w:spacing w:line="188" w:lineRule="exact"/>
        <w:rPr>
          <w:sz w:val="20"/>
          <w:szCs w:val="20"/>
        </w:rPr>
      </w:pPr>
    </w:p>
    <w:p w:rsidR="00D24E61" w:rsidRPr="00771368" w:rsidRDefault="00D24E61">
      <w:pPr>
        <w:spacing w:line="350" w:lineRule="auto"/>
        <w:ind w:firstLine="856"/>
        <w:jc w:val="both"/>
        <w:rPr>
          <w:sz w:val="20"/>
          <w:szCs w:val="20"/>
        </w:rPr>
      </w:pPr>
      <w:r w:rsidRPr="00771368">
        <w:rPr>
          <w:sz w:val="24"/>
          <w:szCs w:val="24"/>
        </w:rPr>
        <w:t>Antigamente, a grande maioria das mulheres só iniciava sua vida sexual após o casamento. Em geral, seus maridos já haviam tido experiências sexuais, muitas vezes em relações sem afeto. Hoje em dia, o acesso às informações sobre sexo melhorou bastante; além disso, os costumes em relação ao namoro e às atividades sexuais fora do casamento estão mais liberados, principalmente, nas grandes cidades e em populações de baixa renda. E, segundo o IBGE:</w:t>
      </w:r>
    </w:p>
    <w:p w:rsidR="00D24E61" w:rsidRPr="00771368" w:rsidRDefault="00D24E61">
      <w:pPr>
        <w:spacing w:line="238" w:lineRule="auto"/>
        <w:ind w:left="2220"/>
        <w:rPr>
          <w:sz w:val="20"/>
          <w:szCs w:val="20"/>
        </w:rPr>
      </w:pPr>
      <w:r w:rsidRPr="00771368">
        <w:rPr>
          <w:b/>
          <w:bCs/>
          <w:i/>
          <w:iCs/>
          <w:sz w:val="23"/>
          <w:szCs w:val="23"/>
        </w:rPr>
        <w:t xml:space="preserve">“ </w:t>
      </w:r>
      <w:r w:rsidRPr="00771368">
        <w:rPr>
          <w:i/>
          <w:iCs/>
          <w:sz w:val="23"/>
          <w:szCs w:val="23"/>
        </w:rPr>
        <w:t>Em 2001, 82,8% das mulheres de 25 a 49 anos são mães</w:t>
      </w:r>
    </w:p>
    <w:p w:rsidR="00D24E61" w:rsidRPr="00771368" w:rsidRDefault="00D24E61">
      <w:pPr>
        <w:spacing w:line="51" w:lineRule="exact"/>
        <w:rPr>
          <w:sz w:val="20"/>
          <w:szCs w:val="20"/>
        </w:rPr>
      </w:pPr>
    </w:p>
    <w:p w:rsidR="00D24E61" w:rsidRPr="00771368" w:rsidRDefault="00D24E61">
      <w:pPr>
        <w:spacing w:line="211" w:lineRule="auto"/>
        <w:ind w:left="2280" w:right="20" w:firstLine="661"/>
        <w:jc w:val="both"/>
        <w:rPr>
          <w:sz w:val="20"/>
          <w:szCs w:val="20"/>
        </w:rPr>
      </w:pPr>
      <w:r w:rsidRPr="00771368">
        <w:rPr>
          <w:i/>
          <w:iCs/>
          <w:sz w:val="23"/>
          <w:szCs w:val="23"/>
        </w:rPr>
        <w:t>A proporção de mulheres com filhos aumenta com a idade. Em 2001, na faixa de 25 e 49 anos, 82,8% tinham, pelo menos, um filho (tabela 11.1). Essa informação é importante porque como as mulheres</w:t>
      </w:r>
    </w:p>
    <w:p w:rsidR="00D24E61" w:rsidRPr="00771368" w:rsidRDefault="00D24E61">
      <w:pPr>
        <w:sectPr w:rsidR="00D24E61" w:rsidRPr="00771368">
          <w:pgSz w:w="11920" w:h="16845"/>
          <w:pgMar w:top="1440" w:right="1680" w:bottom="1440" w:left="1420" w:header="0" w:footer="0" w:gutter="0"/>
          <w:cols w:space="720" w:equalWidth="0">
            <w:col w:w="8820"/>
          </w:cols>
        </w:sectPr>
      </w:pPr>
    </w:p>
    <w:p w:rsidR="00D24E61" w:rsidRPr="00771368" w:rsidRDefault="00D24E61">
      <w:pPr>
        <w:spacing w:line="17" w:lineRule="exact"/>
        <w:rPr>
          <w:sz w:val="20"/>
          <w:szCs w:val="20"/>
        </w:rPr>
      </w:pPr>
    </w:p>
    <w:p w:rsidR="00D24E61" w:rsidRPr="00771368" w:rsidRDefault="00D24E61">
      <w:pPr>
        <w:spacing w:line="239" w:lineRule="auto"/>
        <w:rPr>
          <w:sz w:val="20"/>
          <w:szCs w:val="20"/>
        </w:rPr>
      </w:pPr>
      <w:r w:rsidRPr="00771368">
        <w:rPr>
          <w:i/>
          <w:iCs/>
          <w:sz w:val="21"/>
          <w:szCs w:val="21"/>
        </w:rPr>
        <w:t>têm a responsabilidade de cuidar dos filhos, sentem mais dificuldade de</w:t>
      </w:r>
    </w:p>
    <w:p w:rsidR="00D24E61" w:rsidRPr="00771368" w:rsidRDefault="00D24E61">
      <w:pPr>
        <w:sectPr w:rsidR="00D24E61" w:rsidRPr="00771368">
          <w:type w:val="continuous"/>
          <w:pgSz w:w="11920" w:h="16845"/>
          <w:pgMar w:top="1440" w:right="1700" w:bottom="1440" w:left="3700" w:header="0" w:footer="0" w:gutter="0"/>
          <w:cols w:space="720" w:equalWidth="0">
            <w:col w:w="6520"/>
          </w:cols>
        </w:sectPr>
      </w:pPr>
    </w:p>
    <w:p w:rsidR="00D24E61" w:rsidRPr="00771368" w:rsidRDefault="00D24E61">
      <w:pPr>
        <w:spacing w:line="145" w:lineRule="exact"/>
        <w:rPr>
          <w:sz w:val="20"/>
          <w:szCs w:val="20"/>
        </w:rPr>
      </w:pPr>
    </w:p>
    <w:p w:rsidR="00D24E61" w:rsidRPr="00771368" w:rsidRDefault="00D24E61">
      <w:pPr>
        <w:spacing w:line="208" w:lineRule="auto"/>
        <w:ind w:left="2280" w:right="40"/>
        <w:jc w:val="both"/>
        <w:rPr>
          <w:sz w:val="20"/>
          <w:szCs w:val="20"/>
        </w:rPr>
      </w:pPr>
      <w:r w:rsidRPr="00771368">
        <w:rPr>
          <w:i/>
          <w:iCs/>
          <w:sz w:val="23"/>
          <w:szCs w:val="23"/>
        </w:rPr>
        <w:t>ingressar e permanecer no mercado de trabalho e/ou dar continuidade aos estudos.</w:t>
      </w:r>
    </w:p>
    <w:p w:rsidR="00D24E61" w:rsidRPr="00771368" w:rsidRDefault="00D24E61">
      <w:pPr>
        <w:spacing w:line="52" w:lineRule="exact"/>
        <w:rPr>
          <w:sz w:val="20"/>
          <w:szCs w:val="20"/>
        </w:rPr>
      </w:pPr>
    </w:p>
    <w:p w:rsidR="00D24E61" w:rsidRPr="00771368" w:rsidRDefault="00D24E61">
      <w:pPr>
        <w:spacing w:line="224" w:lineRule="auto"/>
        <w:ind w:left="2280" w:right="20" w:firstLine="736"/>
        <w:jc w:val="both"/>
        <w:rPr>
          <w:sz w:val="20"/>
          <w:szCs w:val="20"/>
        </w:rPr>
      </w:pPr>
      <w:r w:rsidRPr="00771368">
        <w:rPr>
          <w:i/>
          <w:iCs/>
          <w:sz w:val="23"/>
          <w:szCs w:val="23"/>
        </w:rPr>
        <w:t>7,3% das jovens de 15 a 17 anos têm, pelo menos, um filho Os dados também revelam índices altos de gravidez na adolescência, uma vez que, entre as jovens de 15 a 17 anos, a proporção de mulheres com, pelo menos, um filho é de 7,3% no país. Na região metropolitana do Rio de Janeiro, esse índice chega a 4,6% e na região metropolitana de Fortaleza, 9,3%. Na comparação com as pesquisas anteriores, Maranhão, Ceará e Paraíba continuam apresentando altas proporções de jovens adolescentes com filhos.</w:t>
      </w:r>
    </w:p>
    <w:p w:rsidR="00D24E61" w:rsidRPr="00771368" w:rsidRDefault="00D24E61">
      <w:pPr>
        <w:spacing w:line="52" w:lineRule="exact"/>
        <w:rPr>
          <w:sz w:val="20"/>
          <w:szCs w:val="20"/>
        </w:rPr>
      </w:pPr>
    </w:p>
    <w:p w:rsidR="00D24E61" w:rsidRPr="00771368" w:rsidRDefault="00D24E61">
      <w:pPr>
        <w:spacing w:line="231" w:lineRule="auto"/>
        <w:ind w:left="2280" w:right="20" w:firstLine="586"/>
        <w:jc w:val="both"/>
        <w:rPr>
          <w:sz w:val="20"/>
          <w:szCs w:val="20"/>
        </w:rPr>
      </w:pPr>
      <w:r w:rsidRPr="00771368">
        <w:rPr>
          <w:i/>
          <w:iCs/>
          <w:sz w:val="21"/>
          <w:szCs w:val="21"/>
        </w:rPr>
        <w:t>... As maiores médias de filhos por mulher foram observadas no Norte (3,2) e no Nordeste (2,7), mas essas duas regiões foram as que apresentaram maior queda neste indicador (16,7% entre 1992 e 2001).</w:t>
      </w:r>
    </w:p>
    <w:p w:rsidR="00D24E61" w:rsidRPr="00771368" w:rsidRDefault="00D24E61">
      <w:pPr>
        <w:spacing w:line="53" w:lineRule="exact"/>
        <w:rPr>
          <w:sz w:val="20"/>
          <w:szCs w:val="20"/>
        </w:rPr>
      </w:pPr>
    </w:p>
    <w:p w:rsidR="00D24E61" w:rsidRPr="00771368" w:rsidRDefault="00D24E61">
      <w:pPr>
        <w:spacing w:line="223" w:lineRule="auto"/>
        <w:ind w:left="2280" w:right="20" w:firstLine="586"/>
        <w:jc w:val="both"/>
        <w:rPr>
          <w:sz w:val="20"/>
          <w:szCs w:val="20"/>
        </w:rPr>
      </w:pPr>
      <w:r w:rsidRPr="00771368">
        <w:rPr>
          <w:i/>
          <w:iCs/>
          <w:sz w:val="23"/>
          <w:szCs w:val="23"/>
        </w:rPr>
        <w:t>A queda da fecundidade também não se distribuiu por todas as faixas de idade. Ao contrário, a incidência de gravidez na adolescência (dos 15 aos 19 anos) aumentou em todas as regiões, entre 1992 e 2001. O maior crescimento foi registrado no Nordeste (40%), e o menor, no Centro-Oeste (7%).</w:t>
      </w:r>
      <w:r w:rsidRPr="00771368">
        <w:rPr>
          <w:i/>
          <w:iCs/>
          <w:sz w:val="27"/>
          <w:szCs w:val="27"/>
          <w:vertAlign w:val="superscript"/>
        </w:rPr>
        <w:t>1</w:t>
      </w:r>
    </w:p>
    <w:p w:rsidR="00D24E61" w:rsidRPr="00771368" w:rsidRDefault="00D24E61">
      <w:pPr>
        <w:spacing w:line="294" w:lineRule="exact"/>
        <w:rPr>
          <w:sz w:val="20"/>
          <w:szCs w:val="20"/>
        </w:rPr>
      </w:pPr>
    </w:p>
    <w:p w:rsidR="00D24E61" w:rsidRPr="00771368" w:rsidRDefault="00D24E61">
      <w:pPr>
        <w:spacing w:line="346" w:lineRule="auto"/>
        <w:ind w:right="20" w:firstLine="856"/>
        <w:jc w:val="both"/>
        <w:rPr>
          <w:sz w:val="20"/>
          <w:szCs w:val="20"/>
        </w:rPr>
      </w:pPr>
      <w:r w:rsidRPr="00771368">
        <w:rPr>
          <w:sz w:val="24"/>
          <w:szCs w:val="24"/>
        </w:rPr>
        <w:t>Essa maior liberdade sexual vem apresentando hoje em dia outra consequência: o aumento do número de adolescentes grávidas, com a gravidez acontecendo cada vez mais cedo na vida dessas meninas. Isso pode ocorrer por falta de informação sobre os métodos anticoncepcionais? Mas, segundo Osny Telles, no seu livro Começo de Conversa, Orientação Sexual p.51</w:t>
      </w:r>
    </w:p>
    <w:p w:rsidR="00D24E61" w:rsidRPr="00771368" w:rsidRDefault="00D24E61">
      <w:pPr>
        <w:spacing w:line="200" w:lineRule="exact"/>
        <w:rPr>
          <w:sz w:val="20"/>
          <w:szCs w:val="20"/>
        </w:rPr>
      </w:pPr>
    </w:p>
    <w:p w:rsidR="00D24E61" w:rsidRPr="00771368" w:rsidRDefault="00D24E61">
      <w:pPr>
        <w:spacing w:line="268" w:lineRule="exact"/>
        <w:rPr>
          <w:sz w:val="20"/>
          <w:szCs w:val="20"/>
        </w:rPr>
      </w:pPr>
    </w:p>
    <w:p w:rsidR="00D24E61" w:rsidRPr="00771368" w:rsidRDefault="00D24E61">
      <w:pPr>
        <w:spacing w:line="223" w:lineRule="auto"/>
        <w:ind w:left="2280" w:right="20"/>
        <w:jc w:val="both"/>
        <w:rPr>
          <w:sz w:val="20"/>
          <w:szCs w:val="20"/>
        </w:rPr>
      </w:pPr>
      <w:r w:rsidRPr="00771368">
        <w:rPr>
          <w:i/>
          <w:iCs/>
          <w:sz w:val="23"/>
          <w:szCs w:val="23"/>
        </w:rPr>
        <w:t>“...ocorre também porque muitas ado lescentes estão andando tão depressa, que mesmo tendo informação, não têm maturidade para compreender o risco de ficar grávida e as consequências que isso trará para sua vida: ter que cuidar o tempo todo de quem depende de você. Com os meninos, que se tornam pais precoces, o mais comum é que eles não aprenderam que o risco da gravidez também é seu problema e preferem deixar que a menina se preocupe sozinha.”</w:t>
      </w:r>
    </w:p>
    <w:p w:rsidR="00D24E61" w:rsidRPr="00771368" w:rsidRDefault="00D24E61">
      <w:pPr>
        <w:spacing w:line="326" w:lineRule="exact"/>
        <w:rPr>
          <w:sz w:val="20"/>
          <w:szCs w:val="20"/>
        </w:rPr>
      </w:pPr>
    </w:p>
    <w:p w:rsidR="00D24E61" w:rsidRPr="00771368" w:rsidRDefault="00D24E61">
      <w:pPr>
        <w:spacing w:line="344" w:lineRule="auto"/>
        <w:ind w:firstLine="856"/>
        <w:jc w:val="both"/>
        <w:rPr>
          <w:sz w:val="20"/>
          <w:szCs w:val="20"/>
        </w:rPr>
      </w:pPr>
      <w:r w:rsidRPr="00771368">
        <w:rPr>
          <w:sz w:val="24"/>
          <w:szCs w:val="24"/>
        </w:rPr>
        <w:t>Em uma conversa com um grupo de adolescentes, alunas do 2º ano do 4º ciclo, percebemos, extremamente, abismados, a simplicidade e a naturalidade com que as adolescentes falavam dos seus relacionamentos sexuais com seus parceiros e/ou namorados. Elas pareciam mulheres casadas falando de seus parceiros que eram apenas</w:t>
      </w:r>
    </w:p>
    <w:p w:rsidR="00D24E61" w:rsidRPr="00771368" w:rsidRDefault="00D24E61">
      <w:pPr>
        <w:spacing w:line="11" w:lineRule="exact"/>
        <w:rPr>
          <w:sz w:val="20"/>
          <w:szCs w:val="20"/>
        </w:rPr>
      </w:pPr>
    </w:p>
    <w:p w:rsidR="00D24E61" w:rsidRPr="00771368" w:rsidRDefault="00D24E61">
      <w:pPr>
        <w:rPr>
          <w:sz w:val="20"/>
          <w:szCs w:val="20"/>
        </w:rPr>
      </w:pPr>
      <w:r w:rsidRPr="00771368">
        <w:rPr>
          <w:sz w:val="24"/>
          <w:szCs w:val="24"/>
        </w:rPr>
        <w:t>“ficantes”.</w:t>
      </w:r>
    </w:p>
    <w:p w:rsidR="00D24E61" w:rsidRPr="00771368" w:rsidRDefault="00D24E61">
      <w:pPr>
        <w:spacing w:line="203" w:lineRule="exact"/>
        <w:rPr>
          <w:sz w:val="20"/>
          <w:szCs w:val="20"/>
        </w:rPr>
      </w:pPr>
    </w:p>
    <w:p w:rsidR="00D24E61" w:rsidRPr="00771368" w:rsidRDefault="00D24E61">
      <w:pPr>
        <w:spacing w:line="314" w:lineRule="auto"/>
        <w:ind w:right="20" w:firstLine="856"/>
        <w:jc w:val="both"/>
        <w:rPr>
          <w:sz w:val="20"/>
          <w:szCs w:val="20"/>
        </w:rPr>
      </w:pPr>
      <w:r w:rsidRPr="00771368">
        <w:rPr>
          <w:sz w:val="24"/>
          <w:szCs w:val="24"/>
        </w:rPr>
        <w:t>Logo após a conversa com o grupo de adolescentes conforme mencionamos acima, decidimos aplicar o filme sobre a vida do pintor Pollock. Nesse momento</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39296" behindDoc="0" locked="0" layoutInCell="0" allowOverlap="1">
                <wp:simplePos x="0" y="0"/>
                <wp:positionH relativeFrom="column">
                  <wp:posOffset>3810</wp:posOffset>
                </wp:positionH>
                <wp:positionV relativeFrom="paragraph">
                  <wp:posOffset>233680</wp:posOffset>
                </wp:positionV>
                <wp:extent cx="1831340" cy="0"/>
                <wp:effectExtent l="13335" t="5080" r="12700" b="13970"/>
                <wp:wrapNone/>
                <wp:docPr id="28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3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18.4pt" to="14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H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" o:allowincell="f"/>
            </w:pict>
          </mc:Fallback>
        </mc:AlternateContent>
      </w:r>
    </w:p>
    <w:p w:rsidR="00D24E61" w:rsidRPr="00771368" w:rsidRDefault="00D24E61">
      <w:pPr>
        <w:spacing w:line="251" w:lineRule="exact"/>
        <w:rPr>
          <w:sz w:val="20"/>
          <w:szCs w:val="20"/>
        </w:rPr>
      </w:pPr>
    </w:p>
    <w:p w:rsidR="00D24E61" w:rsidRPr="00771368" w:rsidRDefault="00295FC8">
      <w:pPr>
        <w:spacing w:line="239" w:lineRule="auto"/>
        <w:rPr>
          <w:color w:val="0000FF"/>
          <w:sz w:val="24"/>
          <w:szCs w:val="24"/>
        </w:rPr>
      </w:pPr>
      <w:hyperlink r:id="rId92"/>
      <w:r w:rsidR="00D24E61" w:rsidRPr="00771368">
        <w:rPr>
          <w:color w:val="000000"/>
          <w:sz w:val="33"/>
          <w:szCs w:val="33"/>
          <w:vertAlign w:val="superscript"/>
        </w:rPr>
        <w:t>1</w:t>
      </w:r>
      <w:r w:rsidR="00D24E61" w:rsidRPr="00771368">
        <w:rPr>
          <w:color w:val="0000FF"/>
          <w:sz w:val="24"/>
          <w:szCs w:val="24"/>
        </w:rPr>
        <w:t xml:space="preserve"> </w:t>
      </w:r>
      <w:hyperlink r:id="rId93">
        <w:r w:rsidR="00D24E61" w:rsidRPr="00771368">
          <w:rPr>
            <w:color w:val="0000FF"/>
            <w:sz w:val="24"/>
            <w:szCs w:val="24"/>
            <w:u w:val="single"/>
          </w:rPr>
          <w:t>http://www.ibge.gov.br/home/presidencia/noticias/12062003indic2002.shtm</w:t>
        </w:r>
      </w:hyperlink>
    </w:p>
    <w:p w:rsidR="00D24E61" w:rsidRPr="00771368" w:rsidRDefault="00D24E61">
      <w:pPr>
        <w:sectPr w:rsidR="00D24E61" w:rsidRPr="00771368">
          <w:pgSz w:w="11920" w:h="16845"/>
          <w:pgMar w:top="1440" w:right="1680" w:bottom="1440" w:left="1420" w:header="0" w:footer="0" w:gutter="0"/>
          <w:cols w:space="720" w:equalWidth="0">
            <w:col w:w="8820"/>
          </w:cols>
        </w:sectPr>
      </w:pPr>
    </w:p>
    <w:p w:rsidR="00D24E61" w:rsidRPr="00771368" w:rsidRDefault="00D24E61">
      <w:pPr>
        <w:spacing w:line="164" w:lineRule="exact"/>
        <w:rPr>
          <w:sz w:val="20"/>
          <w:szCs w:val="20"/>
        </w:rPr>
      </w:pPr>
    </w:p>
    <w:p w:rsidR="00D24E61" w:rsidRPr="00771368" w:rsidRDefault="00D24E61">
      <w:pPr>
        <w:spacing w:line="314" w:lineRule="auto"/>
        <w:ind w:right="20"/>
        <w:rPr>
          <w:sz w:val="20"/>
          <w:szCs w:val="20"/>
        </w:rPr>
      </w:pPr>
      <w:r w:rsidRPr="00771368">
        <w:rPr>
          <w:sz w:val="24"/>
          <w:szCs w:val="24"/>
        </w:rPr>
        <w:t>tencionávamos trabalhar com a arte abstrata e principalmente orientar discussões sobre o comportamento e atitudes de Lee, companheira do artista em questão.</w:t>
      </w:r>
    </w:p>
    <w:p w:rsidR="00D24E61" w:rsidRPr="00771368" w:rsidRDefault="00D24E61">
      <w:pPr>
        <w:spacing w:line="104" w:lineRule="exact"/>
        <w:rPr>
          <w:sz w:val="20"/>
          <w:szCs w:val="20"/>
        </w:rPr>
      </w:pPr>
    </w:p>
    <w:p w:rsidR="00D24E61" w:rsidRPr="00771368" w:rsidRDefault="00D24E61">
      <w:pPr>
        <w:spacing w:line="355" w:lineRule="auto"/>
        <w:ind w:firstLine="856"/>
        <w:jc w:val="both"/>
        <w:rPr>
          <w:sz w:val="20"/>
          <w:szCs w:val="20"/>
        </w:rPr>
      </w:pPr>
      <w:r w:rsidRPr="00771368">
        <w:rPr>
          <w:sz w:val="24"/>
          <w:szCs w:val="24"/>
        </w:rPr>
        <w:t>O filme abrange a arte moderna com o abstracionismo, na área das artes visuais, entretanto na área afetiva e psicológica, podemos abordar a dependência afetiva de Pollock sobre Lee. Dentro desse quadro, fizemos os alunos debaterem e refletirem sobre Lee uma mulher emancipada, dona de sua vida, que deixa tudo em função do amado, inclusive uma próspera carreira de pintora, abdicando de sua independência, de ser mãe, para viver a vida de Pollock, fazendo da sua vida a vida dele, sem que ele lhe pedisse ou exigisse nada. E a dependência afetiva de Pollock por Lee faz com que eles tenham quase uma relação maternal. Tudo isso em plena expansão do feminismo nas décadas de 1940 a 1960 em Nova York. Dirigimos dentro de um debate reflexões sobre as mulheres que norteiam as suas vidas, suas mães, suas tias, suas irmãs, suas primas, enfim um comparativo entre as atitudes destas mulheres com as atitudes de Lee.</w:t>
      </w:r>
    </w:p>
    <w:p w:rsidR="00D24E61" w:rsidRPr="00771368" w:rsidRDefault="00D24E61">
      <w:pPr>
        <w:spacing w:line="74" w:lineRule="exact"/>
        <w:rPr>
          <w:sz w:val="20"/>
          <w:szCs w:val="20"/>
        </w:rPr>
      </w:pPr>
    </w:p>
    <w:p w:rsidR="00D24E61" w:rsidRPr="00771368" w:rsidRDefault="00D24E61">
      <w:pPr>
        <w:spacing w:line="333" w:lineRule="auto"/>
        <w:ind w:right="20" w:firstLine="856"/>
        <w:jc w:val="both"/>
        <w:rPr>
          <w:sz w:val="20"/>
          <w:szCs w:val="20"/>
        </w:rPr>
      </w:pPr>
      <w:r w:rsidRPr="00771368">
        <w:rPr>
          <w:sz w:val="24"/>
          <w:szCs w:val="24"/>
        </w:rPr>
        <w:t>Nesse meio tempo, aconteceu uma capacitação sobre o Orientalismo no Instituto Ricardo Brennand, localizado na Várzea, abrindo horizontes para que nossas ideias se estruturassem para a organização desse projeto.</w:t>
      </w:r>
    </w:p>
    <w:p w:rsidR="00D24E61" w:rsidRPr="00771368" w:rsidRDefault="00D24E61">
      <w:pPr>
        <w:spacing w:line="97" w:lineRule="exact"/>
        <w:rPr>
          <w:sz w:val="20"/>
          <w:szCs w:val="20"/>
        </w:rPr>
      </w:pPr>
    </w:p>
    <w:p w:rsidR="00D24E61" w:rsidRPr="00771368" w:rsidRDefault="00D24E61">
      <w:pPr>
        <w:spacing w:line="352" w:lineRule="auto"/>
        <w:ind w:right="20" w:firstLine="856"/>
        <w:jc w:val="both"/>
        <w:rPr>
          <w:sz w:val="20"/>
          <w:szCs w:val="20"/>
        </w:rPr>
      </w:pPr>
      <w:r w:rsidRPr="00771368">
        <w:rPr>
          <w:sz w:val="24"/>
          <w:szCs w:val="24"/>
        </w:rPr>
        <w:t>Transpusemos alguns conhecimentos adquiridos durante a capacitação para a sala de aula. Iniciamos elucidando a localização geográfica do Ocidente e do Oriente, falamos sobre as congruências e diferenças culturais e as últimas relacionadas à área geográfica. Apresentamos dois mapas um sobre o Oriente Médio, outro sobre a Ásia. Neste último apresentamos a localização do Extremo Oriente relatando que apesar de estar localizado, no mapa, na parte oriental, possui grandes diferenças culturais em relação ao Oriente Médio. O conteúdo acima foi resumido sob a forma de um texto, escrito no quadro, e pedido aos alunos eles que copiassem, para um maior aprofundamento no estudo.</w:t>
      </w:r>
    </w:p>
    <w:p w:rsidR="00D24E61" w:rsidRPr="00771368" w:rsidRDefault="00D24E61">
      <w:pPr>
        <w:spacing w:line="350" w:lineRule="exact"/>
        <w:rPr>
          <w:sz w:val="20"/>
          <w:szCs w:val="20"/>
        </w:rPr>
      </w:pPr>
    </w:p>
    <w:p w:rsidR="00D24E61" w:rsidRPr="00771368" w:rsidRDefault="00D24E61">
      <w:pPr>
        <w:spacing w:line="350" w:lineRule="auto"/>
        <w:ind w:right="20"/>
        <w:jc w:val="both"/>
        <w:rPr>
          <w:sz w:val="20"/>
          <w:szCs w:val="20"/>
        </w:rPr>
      </w:pPr>
      <w:r w:rsidRPr="00771368">
        <w:rPr>
          <w:sz w:val="24"/>
          <w:szCs w:val="24"/>
        </w:rPr>
        <w:t>Em seguida focamos sobre os aspectos religiosos que dão origem aos aspectos culturais do Oriente Médio. Falamos um pouco sobre o Islamismo, o Afeganistão, o Alcorão, Maomé e os Mulçumanos. Finalmente passamos para eles várias proibições feitas às mulheres do Oriente Médio que seguem o Alcorão (livro sagrado, seguido pelos maometanos). Os itens abaixo foram lidos em sala de aula retirados do periódico Notícias Magazine, 21 de Outubro de 2001e em seguida debatidos com eles:</w:t>
      </w:r>
    </w:p>
    <w:p w:rsidR="00D24E61" w:rsidRPr="00771368" w:rsidRDefault="00D24E61">
      <w:pPr>
        <w:sectPr w:rsidR="00D24E61" w:rsidRPr="00771368">
          <w:pgSz w:w="11920" w:h="16845"/>
          <w:pgMar w:top="1440" w:right="1680" w:bottom="1440" w:left="1420" w:header="0" w:footer="0" w:gutter="0"/>
          <w:cols w:space="720" w:equalWidth="0">
            <w:col w:w="8820"/>
          </w:cols>
        </w:sectPr>
      </w:pPr>
    </w:p>
    <w:p w:rsidR="00D24E61" w:rsidRPr="00771368" w:rsidRDefault="00D24E61">
      <w:pPr>
        <w:spacing w:line="99" w:lineRule="exact"/>
        <w:rPr>
          <w:sz w:val="20"/>
          <w:szCs w:val="20"/>
        </w:rPr>
      </w:pPr>
    </w:p>
    <w:p w:rsidR="00D24E61" w:rsidRPr="00771368" w:rsidRDefault="00D24E61">
      <w:pPr>
        <w:tabs>
          <w:tab w:val="left" w:pos="840"/>
          <w:tab w:val="left" w:pos="1240"/>
          <w:tab w:val="left" w:pos="2180"/>
          <w:tab w:val="left" w:pos="2840"/>
        </w:tabs>
        <w:spacing w:line="239" w:lineRule="auto"/>
        <w:rPr>
          <w:sz w:val="20"/>
          <w:szCs w:val="20"/>
        </w:rPr>
      </w:pPr>
      <w:r w:rsidRPr="00771368">
        <w:rPr>
          <w:b/>
          <w:bCs/>
          <w:sz w:val="20"/>
          <w:szCs w:val="20"/>
        </w:rPr>
        <w:t>Algumas</w:t>
      </w:r>
      <w:r w:rsidRPr="00771368">
        <w:rPr>
          <w:sz w:val="20"/>
          <w:szCs w:val="20"/>
        </w:rPr>
        <w:tab/>
      </w:r>
      <w:r w:rsidRPr="00771368">
        <w:rPr>
          <w:b/>
          <w:bCs/>
          <w:sz w:val="20"/>
          <w:szCs w:val="20"/>
        </w:rPr>
        <w:t>das</w:t>
      </w:r>
      <w:r w:rsidRPr="00771368">
        <w:rPr>
          <w:sz w:val="20"/>
          <w:szCs w:val="20"/>
        </w:rPr>
        <w:tab/>
      </w:r>
      <w:r w:rsidRPr="00771368">
        <w:rPr>
          <w:b/>
          <w:bCs/>
          <w:sz w:val="20"/>
          <w:szCs w:val="20"/>
        </w:rPr>
        <w:t>principais</w:t>
      </w:r>
      <w:r w:rsidRPr="00771368">
        <w:rPr>
          <w:sz w:val="20"/>
          <w:szCs w:val="20"/>
        </w:rPr>
        <w:tab/>
      </w:r>
      <w:r w:rsidRPr="00771368">
        <w:rPr>
          <w:b/>
          <w:bCs/>
          <w:sz w:val="20"/>
          <w:szCs w:val="20"/>
        </w:rPr>
        <w:t>regras</w:t>
      </w:r>
      <w:r w:rsidRPr="00771368">
        <w:rPr>
          <w:sz w:val="20"/>
          <w:szCs w:val="20"/>
        </w:rPr>
        <w:tab/>
      </w:r>
      <w:r w:rsidRPr="00771368">
        <w:rPr>
          <w:b/>
          <w:bCs/>
          <w:sz w:val="20"/>
          <w:szCs w:val="20"/>
        </w:rPr>
        <w:t>que  a  mulher  afegã  tem  de  obedecer  durante  o regime  da milícia</w:t>
      </w:r>
    </w:p>
    <w:p w:rsidR="00D24E61" w:rsidRPr="00771368" w:rsidRDefault="00D24E61">
      <w:pPr>
        <w:spacing w:line="169" w:lineRule="exact"/>
        <w:rPr>
          <w:sz w:val="20"/>
          <w:szCs w:val="20"/>
        </w:rPr>
      </w:pPr>
    </w:p>
    <w:p w:rsidR="00D24E61" w:rsidRPr="00771368" w:rsidRDefault="00D24E61">
      <w:pPr>
        <w:spacing w:line="305" w:lineRule="auto"/>
        <w:ind w:right="20"/>
        <w:jc w:val="both"/>
        <w:rPr>
          <w:sz w:val="20"/>
          <w:szCs w:val="20"/>
        </w:rPr>
      </w:pPr>
      <w:r w:rsidRPr="00771368">
        <w:rPr>
          <w:b/>
          <w:bCs/>
          <w:sz w:val="20"/>
          <w:szCs w:val="20"/>
        </w:rPr>
        <w:t xml:space="preserve">islâmica talibã: 1. </w:t>
      </w:r>
      <w:r w:rsidRPr="00771368">
        <w:rPr>
          <w:sz w:val="20"/>
          <w:szCs w:val="20"/>
        </w:rPr>
        <w:t>É absolutamente proibido às mulheres qualquer tipo de trabalho fora de casa, incluindo</w:t>
      </w:r>
      <w:r w:rsidRPr="00771368">
        <w:rPr>
          <w:b/>
          <w:bCs/>
          <w:sz w:val="20"/>
          <w:szCs w:val="20"/>
        </w:rPr>
        <w:t xml:space="preserve"> </w:t>
      </w:r>
      <w:r w:rsidRPr="00771368">
        <w:rPr>
          <w:sz w:val="20"/>
          <w:szCs w:val="20"/>
        </w:rPr>
        <w:t>professoras, médicas, enfermeiras, engenheiras, etc.</w:t>
      </w:r>
      <w:r w:rsidRPr="00771368">
        <w:rPr>
          <w:b/>
          <w:bCs/>
          <w:sz w:val="20"/>
          <w:szCs w:val="20"/>
        </w:rPr>
        <w:t>2.</w:t>
      </w:r>
      <w:r w:rsidRPr="00771368">
        <w:rPr>
          <w:sz w:val="20"/>
          <w:szCs w:val="20"/>
        </w:rPr>
        <w:t xml:space="preserve"> É proibido às mulheres andar nas ruas sem a</w:t>
      </w:r>
    </w:p>
    <w:p w:rsidR="00D24E61" w:rsidRPr="00771368" w:rsidRDefault="00D24E61">
      <w:pPr>
        <w:spacing w:line="5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60"/>
        <w:gridCol w:w="1420"/>
        <w:gridCol w:w="5720"/>
      </w:tblGrid>
      <w:tr w:rsidR="00D24E61" w:rsidRPr="00771368">
        <w:trPr>
          <w:trHeight w:val="230"/>
        </w:trPr>
        <w:tc>
          <w:tcPr>
            <w:tcW w:w="1660" w:type="dxa"/>
            <w:vAlign w:val="bottom"/>
          </w:tcPr>
          <w:p w:rsidR="00D24E61" w:rsidRPr="00771368" w:rsidRDefault="00D24E61">
            <w:pPr>
              <w:spacing w:line="229" w:lineRule="exact"/>
              <w:rPr>
                <w:sz w:val="20"/>
                <w:szCs w:val="20"/>
              </w:rPr>
            </w:pPr>
            <w:r w:rsidRPr="00771368">
              <w:rPr>
                <w:sz w:val="20"/>
                <w:szCs w:val="20"/>
              </w:rPr>
              <w:t>companhia  de  um</w:t>
            </w:r>
          </w:p>
        </w:tc>
        <w:tc>
          <w:tcPr>
            <w:tcW w:w="1420" w:type="dxa"/>
            <w:vAlign w:val="bottom"/>
          </w:tcPr>
          <w:p w:rsidR="00D24E61" w:rsidRPr="00771368" w:rsidRDefault="00D24E61">
            <w:pPr>
              <w:spacing w:line="229" w:lineRule="exact"/>
              <w:ind w:left="60"/>
              <w:rPr>
                <w:sz w:val="20"/>
                <w:szCs w:val="20"/>
              </w:rPr>
            </w:pPr>
            <w:r w:rsidRPr="00771368">
              <w:rPr>
                <w:w w:val="96"/>
                <w:sz w:val="20"/>
                <w:szCs w:val="20"/>
              </w:rPr>
              <w:t>“nmahram”  (pai,</w:t>
            </w:r>
          </w:p>
        </w:tc>
        <w:tc>
          <w:tcPr>
            <w:tcW w:w="5720" w:type="dxa"/>
            <w:vAlign w:val="bottom"/>
          </w:tcPr>
          <w:p w:rsidR="00D24E61" w:rsidRPr="00771368" w:rsidRDefault="00D24E61">
            <w:pPr>
              <w:spacing w:line="229" w:lineRule="exact"/>
              <w:jc w:val="right"/>
              <w:rPr>
                <w:sz w:val="20"/>
                <w:szCs w:val="20"/>
              </w:rPr>
            </w:pPr>
            <w:r w:rsidRPr="00771368">
              <w:rPr>
                <w:sz w:val="20"/>
                <w:szCs w:val="20"/>
              </w:rPr>
              <w:t xml:space="preserve">irmão  ou  marido).  </w:t>
            </w:r>
            <w:r w:rsidRPr="00771368">
              <w:rPr>
                <w:b/>
                <w:bCs/>
                <w:sz w:val="20"/>
                <w:szCs w:val="20"/>
              </w:rPr>
              <w:t>3.</w:t>
            </w:r>
            <w:r w:rsidRPr="00771368">
              <w:rPr>
                <w:sz w:val="20"/>
                <w:szCs w:val="20"/>
              </w:rPr>
              <w:t xml:space="preserve">  É  proibido  falar  com  vendedores  homens.</w:t>
            </w:r>
          </w:p>
        </w:tc>
      </w:tr>
      <w:tr w:rsidR="00D24E61" w:rsidRPr="00771368">
        <w:trPr>
          <w:trHeight w:val="345"/>
        </w:trPr>
        <w:tc>
          <w:tcPr>
            <w:tcW w:w="1660" w:type="dxa"/>
            <w:vAlign w:val="bottom"/>
          </w:tcPr>
          <w:p w:rsidR="00D24E61" w:rsidRPr="00771368" w:rsidRDefault="00D24E61">
            <w:pPr>
              <w:spacing w:line="229" w:lineRule="exact"/>
              <w:rPr>
                <w:sz w:val="20"/>
                <w:szCs w:val="20"/>
              </w:rPr>
            </w:pPr>
            <w:r w:rsidRPr="00771368">
              <w:rPr>
                <w:b/>
                <w:bCs/>
                <w:sz w:val="20"/>
                <w:szCs w:val="20"/>
              </w:rPr>
              <w:t xml:space="preserve">4.   </w:t>
            </w:r>
            <w:r w:rsidRPr="00771368">
              <w:rPr>
                <w:sz w:val="20"/>
                <w:szCs w:val="20"/>
              </w:rPr>
              <w:t>É    proibido</w:t>
            </w:r>
          </w:p>
        </w:tc>
        <w:tc>
          <w:tcPr>
            <w:tcW w:w="1420" w:type="dxa"/>
            <w:vAlign w:val="bottom"/>
          </w:tcPr>
          <w:p w:rsidR="00D24E61" w:rsidRPr="00771368" w:rsidRDefault="00D24E61">
            <w:pPr>
              <w:spacing w:line="229" w:lineRule="exact"/>
              <w:ind w:left="80"/>
              <w:rPr>
                <w:sz w:val="20"/>
                <w:szCs w:val="20"/>
              </w:rPr>
            </w:pPr>
            <w:r w:rsidRPr="00771368">
              <w:rPr>
                <w:sz w:val="20"/>
                <w:szCs w:val="20"/>
              </w:rPr>
              <w:t>ser    tratada</w:t>
            </w:r>
          </w:p>
        </w:tc>
        <w:tc>
          <w:tcPr>
            <w:tcW w:w="5720" w:type="dxa"/>
            <w:vAlign w:val="bottom"/>
          </w:tcPr>
          <w:p w:rsidR="00D24E61" w:rsidRPr="00771368" w:rsidRDefault="00D24E61">
            <w:pPr>
              <w:spacing w:line="229" w:lineRule="exact"/>
              <w:jc w:val="right"/>
              <w:rPr>
                <w:sz w:val="20"/>
                <w:szCs w:val="20"/>
              </w:rPr>
            </w:pPr>
            <w:r w:rsidRPr="00771368">
              <w:rPr>
                <w:sz w:val="20"/>
                <w:szCs w:val="20"/>
              </w:rPr>
              <w:t>por    médicos    homens,   mesmo    que    em   risco    de    vida.</w:t>
            </w:r>
          </w:p>
        </w:tc>
      </w:tr>
    </w:tbl>
    <w:p w:rsidR="00D24E61" w:rsidRPr="00771368" w:rsidRDefault="00D24E61">
      <w:pPr>
        <w:spacing w:line="168" w:lineRule="exact"/>
        <w:rPr>
          <w:sz w:val="20"/>
          <w:szCs w:val="20"/>
        </w:rPr>
      </w:pPr>
    </w:p>
    <w:p w:rsidR="00D24E61" w:rsidRPr="00771368" w:rsidRDefault="00D24E61">
      <w:pPr>
        <w:spacing w:line="342" w:lineRule="auto"/>
        <w:jc w:val="both"/>
        <w:rPr>
          <w:sz w:val="20"/>
          <w:szCs w:val="20"/>
        </w:rPr>
      </w:pPr>
      <w:r w:rsidRPr="00771368">
        <w:rPr>
          <w:b/>
          <w:bCs/>
          <w:sz w:val="20"/>
          <w:szCs w:val="20"/>
        </w:rPr>
        <w:t xml:space="preserve">5. </w:t>
      </w:r>
      <w:r w:rsidRPr="00771368">
        <w:rPr>
          <w:sz w:val="20"/>
          <w:szCs w:val="20"/>
        </w:rPr>
        <w:t>É proibido o estudo em escolas, universidades ou qualquer outra instituição educacional.</w:t>
      </w:r>
      <w:r w:rsidRPr="00771368">
        <w:rPr>
          <w:b/>
          <w:bCs/>
          <w:sz w:val="20"/>
          <w:szCs w:val="20"/>
        </w:rPr>
        <w:t xml:space="preserve"> 6. </w:t>
      </w:r>
      <w:r w:rsidRPr="00771368">
        <w:rPr>
          <w:sz w:val="20"/>
          <w:szCs w:val="20"/>
        </w:rPr>
        <w:t>É obrigatório o</w:t>
      </w:r>
      <w:r w:rsidRPr="00771368">
        <w:rPr>
          <w:b/>
          <w:bCs/>
          <w:sz w:val="20"/>
          <w:szCs w:val="20"/>
        </w:rPr>
        <w:t xml:space="preserve"> </w:t>
      </w:r>
      <w:r w:rsidRPr="00771368">
        <w:rPr>
          <w:sz w:val="20"/>
          <w:szCs w:val="20"/>
        </w:rPr>
        <w:t xml:space="preserve">uso do véu completo (“burca”) que cobre a mulher dos pés à cabeça. </w:t>
      </w:r>
      <w:r w:rsidRPr="00771368">
        <w:rPr>
          <w:b/>
          <w:bCs/>
          <w:sz w:val="20"/>
          <w:szCs w:val="20"/>
        </w:rPr>
        <w:t>7.</w:t>
      </w:r>
      <w:r w:rsidRPr="00771368">
        <w:rPr>
          <w:sz w:val="20"/>
          <w:szCs w:val="20"/>
        </w:rPr>
        <w:t xml:space="preserve"> É permitido chicotear, bater ou agredir verbalmente as mulheres que não usarem as roupas adequadas (“burca”) ou que desob edeçam a uma ordem talibã.</w:t>
      </w:r>
      <w:r w:rsidRPr="00771368">
        <w:rPr>
          <w:b/>
          <w:bCs/>
          <w:sz w:val="20"/>
          <w:szCs w:val="20"/>
        </w:rPr>
        <w:t>8.</w:t>
      </w:r>
      <w:r w:rsidRPr="00771368">
        <w:rPr>
          <w:sz w:val="20"/>
          <w:szCs w:val="20"/>
        </w:rPr>
        <w:t xml:space="preserve"> É permitido chicotear mulheres em público se não estiverem com os calcanhares cobertos. </w:t>
      </w:r>
      <w:r w:rsidRPr="00771368">
        <w:rPr>
          <w:b/>
          <w:bCs/>
          <w:sz w:val="20"/>
          <w:szCs w:val="20"/>
        </w:rPr>
        <w:t>9.</w:t>
      </w:r>
    </w:p>
    <w:p w:rsidR="00D24E61" w:rsidRPr="00771368" w:rsidRDefault="00D24E61">
      <w:pPr>
        <w:spacing w:line="70" w:lineRule="exact"/>
        <w:rPr>
          <w:sz w:val="20"/>
          <w:szCs w:val="20"/>
        </w:rPr>
      </w:pPr>
    </w:p>
    <w:p w:rsidR="00D24E61" w:rsidRPr="00771368" w:rsidRDefault="00D24E61">
      <w:pPr>
        <w:spacing w:line="342" w:lineRule="auto"/>
        <w:ind w:right="20"/>
        <w:jc w:val="both"/>
        <w:rPr>
          <w:sz w:val="20"/>
          <w:szCs w:val="20"/>
        </w:rPr>
      </w:pPr>
      <w:r w:rsidRPr="00771368">
        <w:rPr>
          <w:sz w:val="20"/>
          <w:szCs w:val="20"/>
        </w:rPr>
        <w:t xml:space="preserve">É permitido atirar pedras publicamente a mulheres que tenham tido sexo fora do casamento, ou que sejam suspeitas de tal. </w:t>
      </w:r>
      <w:r w:rsidRPr="00771368">
        <w:rPr>
          <w:b/>
          <w:bCs/>
          <w:sz w:val="20"/>
          <w:szCs w:val="20"/>
        </w:rPr>
        <w:t>10.</w:t>
      </w:r>
      <w:r w:rsidRPr="00771368">
        <w:rPr>
          <w:sz w:val="20"/>
          <w:szCs w:val="20"/>
        </w:rPr>
        <w:t xml:space="preserve"> É proibido qualquer tipo de maquilhagem (foram cortados os dedos a muitas mulheres por pintarem as unhas). </w:t>
      </w:r>
      <w:r w:rsidRPr="00771368">
        <w:rPr>
          <w:b/>
          <w:bCs/>
          <w:sz w:val="20"/>
          <w:szCs w:val="20"/>
        </w:rPr>
        <w:t>11.</w:t>
      </w:r>
      <w:r w:rsidRPr="00771368">
        <w:rPr>
          <w:sz w:val="20"/>
          <w:szCs w:val="20"/>
        </w:rPr>
        <w:t xml:space="preserve"> É proibido falar ou apertar as mãos de estranhos. </w:t>
      </w:r>
      <w:r w:rsidRPr="00771368">
        <w:rPr>
          <w:b/>
          <w:bCs/>
          <w:sz w:val="20"/>
          <w:szCs w:val="20"/>
        </w:rPr>
        <w:t>12.</w:t>
      </w:r>
      <w:r w:rsidRPr="00771368">
        <w:rPr>
          <w:sz w:val="20"/>
          <w:szCs w:val="20"/>
        </w:rPr>
        <w:t xml:space="preserve"> É proibido à mulher rir alto (nenhum estranho pode sequer ouvir a voz da mulher). </w:t>
      </w:r>
      <w:r w:rsidRPr="00771368">
        <w:rPr>
          <w:b/>
          <w:bCs/>
          <w:sz w:val="20"/>
          <w:szCs w:val="20"/>
        </w:rPr>
        <w:t>13.</w:t>
      </w:r>
      <w:r w:rsidRPr="00771368">
        <w:rPr>
          <w:sz w:val="20"/>
          <w:szCs w:val="20"/>
        </w:rPr>
        <w:t xml:space="preserve"> É proibido usar saltos altos que possam produzir</w:t>
      </w:r>
    </w:p>
    <w:p w:rsidR="00D24E61" w:rsidRPr="00771368" w:rsidRDefault="00D24E61">
      <w:pPr>
        <w:spacing w:line="18" w:lineRule="exact"/>
        <w:rPr>
          <w:sz w:val="20"/>
          <w:szCs w:val="20"/>
        </w:rPr>
      </w:pPr>
    </w:p>
    <w:p w:rsidR="00D24E61" w:rsidRPr="00771368" w:rsidRDefault="00D24E61">
      <w:pPr>
        <w:tabs>
          <w:tab w:val="left" w:pos="520"/>
          <w:tab w:val="left" w:pos="1440"/>
          <w:tab w:val="left" w:pos="2160"/>
          <w:tab w:val="left" w:pos="2440"/>
          <w:tab w:val="left" w:pos="2900"/>
          <w:tab w:val="left" w:pos="3140"/>
          <w:tab w:val="left" w:pos="3960"/>
          <w:tab w:val="left" w:pos="4200"/>
          <w:tab w:val="left" w:pos="5040"/>
          <w:tab w:val="left" w:pos="5760"/>
          <w:tab w:val="left" w:pos="6340"/>
          <w:tab w:val="left" w:pos="6680"/>
          <w:tab w:val="left" w:pos="7380"/>
          <w:tab w:val="left" w:pos="7720"/>
          <w:tab w:val="left" w:pos="8180"/>
        </w:tabs>
        <w:rPr>
          <w:sz w:val="20"/>
          <w:szCs w:val="20"/>
        </w:rPr>
      </w:pPr>
      <w:r w:rsidRPr="00771368">
        <w:rPr>
          <w:sz w:val="20"/>
          <w:szCs w:val="20"/>
        </w:rPr>
        <w:t>sons</w:t>
      </w:r>
      <w:r w:rsidRPr="00771368">
        <w:rPr>
          <w:sz w:val="20"/>
          <w:szCs w:val="20"/>
        </w:rPr>
        <w:tab/>
        <w:t>enquanto</w:t>
      </w:r>
      <w:r w:rsidRPr="00771368">
        <w:rPr>
          <w:sz w:val="20"/>
          <w:szCs w:val="20"/>
        </w:rPr>
        <w:tab/>
        <w:t>andam,</w:t>
      </w:r>
      <w:r w:rsidRPr="00771368">
        <w:rPr>
          <w:sz w:val="20"/>
          <w:szCs w:val="20"/>
        </w:rPr>
        <w:tab/>
        <w:t>já</w:t>
      </w:r>
      <w:r w:rsidRPr="00771368">
        <w:rPr>
          <w:sz w:val="20"/>
          <w:szCs w:val="20"/>
        </w:rPr>
        <w:tab/>
        <w:t>que</w:t>
      </w:r>
      <w:r w:rsidRPr="00771368">
        <w:rPr>
          <w:sz w:val="20"/>
          <w:szCs w:val="20"/>
        </w:rPr>
        <w:tab/>
        <w:t>é</w:t>
      </w:r>
      <w:r w:rsidRPr="00771368">
        <w:rPr>
          <w:sz w:val="20"/>
          <w:szCs w:val="20"/>
        </w:rPr>
        <w:tab/>
        <w:t>proibido</w:t>
      </w:r>
      <w:r w:rsidRPr="00771368">
        <w:rPr>
          <w:sz w:val="20"/>
          <w:szCs w:val="20"/>
        </w:rPr>
        <w:tab/>
        <w:t>a</w:t>
      </w:r>
      <w:r w:rsidRPr="00771368">
        <w:rPr>
          <w:sz w:val="20"/>
          <w:szCs w:val="20"/>
        </w:rPr>
        <w:tab/>
        <w:t>qualquer</w:t>
      </w:r>
      <w:r w:rsidRPr="00771368">
        <w:rPr>
          <w:sz w:val="20"/>
          <w:szCs w:val="20"/>
        </w:rPr>
        <w:tab/>
        <w:t>homem</w:t>
      </w:r>
      <w:r w:rsidRPr="00771368">
        <w:rPr>
          <w:sz w:val="20"/>
          <w:szCs w:val="20"/>
        </w:rPr>
        <w:tab/>
        <w:t>ouvir</w:t>
      </w:r>
      <w:r w:rsidRPr="00771368">
        <w:rPr>
          <w:sz w:val="20"/>
          <w:szCs w:val="20"/>
        </w:rPr>
        <w:tab/>
        <w:t>os</w:t>
      </w:r>
      <w:r w:rsidRPr="00771368">
        <w:rPr>
          <w:sz w:val="20"/>
          <w:szCs w:val="20"/>
        </w:rPr>
        <w:tab/>
        <w:t>passos</w:t>
      </w:r>
      <w:r w:rsidRPr="00771368">
        <w:rPr>
          <w:sz w:val="20"/>
          <w:szCs w:val="20"/>
        </w:rPr>
        <w:tab/>
        <w:t>de</w:t>
      </w:r>
      <w:r w:rsidRPr="00771368">
        <w:rPr>
          <w:sz w:val="20"/>
          <w:szCs w:val="20"/>
        </w:rPr>
        <w:tab/>
        <w:t>uma</w:t>
      </w:r>
      <w:r w:rsidRPr="00771368">
        <w:rPr>
          <w:sz w:val="20"/>
          <w:szCs w:val="20"/>
        </w:rPr>
        <w:tab/>
      </w:r>
      <w:r w:rsidRPr="00771368">
        <w:rPr>
          <w:sz w:val="17"/>
          <w:szCs w:val="17"/>
        </w:rPr>
        <w:t>mulher.</w:t>
      </w:r>
    </w:p>
    <w:p w:rsidR="00D24E61" w:rsidRPr="00771368" w:rsidRDefault="00D24E61">
      <w:pPr>
        <w:spacing w:line="168" w:lineRule="exact"/>
        <w:rPr>
          <w:sz w:val="20"/>
          <w:szCs w:val="20"/>
        </w:rPr>
      </w:pPr>
    </w:p>
    <w:p w:rsidR="00D24E61" w:rsidRPr="00771368" w:rsidRDefault="00D24E61">
      <w:pPr>
        <w:spacing w:line="349" w:lineRule="auto"/>
        <w:jc w:val="both"/>
        <w:rPr>
          <w:sz w:val="20"/>
          <w:szCs w:val="20"/>
        </w:rPr>
      </w:pPr>
      <w:r w:rsidRPr="00771368">
        <w:rPr>
          <w:b/>
          <w:bCs/>
          <w:sz w:val="20"/>
          <w:szCs w:val="20"/>
        </w:rPr>
        <w:t xml:space="preserve">14. </w:t>
      </w:r>
      <w:r w:rsidRPr="00771368">
        <w:rPr>
          <w:sz w:val="20"/>
          <w:szCs w:val="20"/>
        </w:rPr>
        <w:t>A mulher não pode usar táxi sem a companhia de um “mahram”.</w:t>
      </w:r>
      <w:r w:rsidRPr="00771368">
        <w:rPr>
          <w:b/>
          <w:bCs/>
          <w:sz w:val="20"/>
          <w:szCs w:val="20"/>
        </w:rPr>
        <w:t xml:space="preserve"> 15. </w:t>
      </w:r>
      <w:r w:rsidRPr="00771368">
        <w:rPr>
          <w:sz w:val="20"/>
          <w:szCs w:val="20"/>
        </w:rPr>
        <w:t>É proibida a presença de mulheres</w:t>
      </w:r>
      <w:r w:rsidRPr="00771368">
        <w:rPr>
          <w:b/>
          <w:bCs/>
          <w:sz w:val="20"/>
          <w:szCs w:val="20"/>
        </w:rPr>
        <w:t xml:space="preserve"> </w:t>
      </w:r>
      <w:r w:rsidRPr="00771368">
        <w:rPr>
          <w:sz w:val="20"/>
          <w:szCs w:val="20"/>
        </w:rPr>
        <w:t xml:space="preserve">em rádios, televisão ou qualquer outro meio de comunicação. </w:t>
      </w:r>
      <w:r w:rsidRPr="00771368">
        <w:rPr>
          <w:b/>
          <w:bCs/>
          <w:sz w:val="20"/>
          <w:szCs w:val="20"/>
        </w:rPr>
        <w:t>16.</w:t>
      </w:r>
      <w:r w:rsidRPr="00771368">
        <w:rPr>
          <w:sz w:val="20"/>
          <w:szCs w:val="20"/>
        </w:rPr>
        <w:t xml:space="preserve"> É proibido às mulheres qualquer tipo de desporto ou mesmo entrar em clubes e locais desportivos. </w:t>
      </w:r>
      <w:r w:rsidRPr="00771368">
        <w:rPr>
          <w:b/>
          <w:bCs/>
          <w:sz w:val="20"/>
          <w:szCs w:val="20"/>
        </w:rPr>
        <w:t>17.</w:t>
      </w:r>
      <w:r w:rsidRPr="00771368">
        <w:rPr>
          <w:sz w:val="20"/>
          <w:szCs w:val="20"/>
        </w:rPr>
        <w:t xml:space="preserve"> É proibido andar de bicicleta ou motocicleta, mesmo com seus “maharams”. </w:t>
      </w:r>
      <w:r w:rsidRPr="00771368">
        <w:rPr>
          <w:b/>
          <w:bCs/>
          <w:sz w:val="20"/>
          <w:szCs w:val="20"/>
        </w:rPr>
        <w:t>18.</w:t>
      </w:r>
      <w:r w:rsidRPr="00771368">
        <w:rPr>
          <w:sz w:val="20"/>
          <w:szCs w:val="20"/>
        </w:rPr>
        <w:t xml:space="preserve"> É proibido o uso de roupas que sejam coloridas, ou seja, “que tenham cores sexualmente atraentes”.</w:t>
      </w:r>
      <w:r w:rsidRPr="00771368">
        <w:rPr>
          <w:b/>
          <w:bCs/>
          <w:sz w:val="20"/>
          <w:szCs w:val="20"/>
        </w:rPr>
        <w:t>19.</w:t>
      </w:r>
      <w:r w:rsidRPr="00771368">
        <w:rPr>
          <w:sz w:val="20"/>
          <w:szCs w:val="20"/>
        </w:rPr>
        <w:t xml:space="preserve"> . Os transportes públicos são divididos em dois tipos, para homens e mulheres. Os dois não podem viajar no mesmo. </w:t>
      </w:r>
      <w:r w:rsidRPr="00771368">
        <w:rPr>
          <w:b/>
          <w:bCs/>
          <w:sz w:val="20"/>
          <w:szCs w:val="20"/>
        </w:rPr>
        <w:t>20.</w:t>
      </w:r>
      <w:r w:rsidRPr="00771368">
        <w:rPr>
          <w:sz w:val="20"/>
          <w:szCs w:val="20"/>
        </w:rPr>
        <w:t xml:space="preserve"> É proibida a participação de mulheres em festividades.</w:t>
      </w:r>
    </w:p>
    <w:p w:rsidR="00D24E61" w:rsidRPr="00771368" w:rsidRDefault="00D24E61">
      <w:pPr>
        <w:spacing w:line="65" w:lineRule="exact"/>
        <w:rPr>
          <w:sz w:val="20"/>
          <w:szCs w:val="20"/>
        </w:rPr>
      </w:pPr>
    </w:p>
    <w:p w:rsidR="00D24E61" w:rsidRPr="00771368" w:rsidRDefault="00D24E61">
      <w:pPr>
        <w:spacing w:line="349" w:lineRule="auto"/>
        <w:jc w:val="both"/>
        <w:rPr>
          <w:sz w:val="20"/>
          <w:szCs w:val="20"/>
        </w:rPr>
      </w:pPr>
      <w:r w:rsidRPr="00771368">
        <w:rPr>
          <w:b/>
          <w:bCs/>
          <w:sz w:val="20"/>
          <w:szCs w:val="20"/>
        </w:rPr>
        <w:t xml:space="preserve">21. </w:t>
      </w:r>
      <w:r w:rsidRPr="00771368">
        <w:rPr>
          <w:sz w:val="20"/>
          <w:szCs w:val="20"/>
        </w:rPr>
        <w:t>É proibido o uso de calças compridas mesmo debaixo do véu.</w:t>
      </w:r>
      <w:r w:rsidRPr="00771368">
        <w:rPr>
          <w:b/>
          <w:bCs/>
          <w:sz w:val="20"/>
          <w:szCs w:val="20"/>
        </w:rPr>
        <w:t xml:space="preserve"> 22. </w:t>
      </w:r>
      <w:r w:rsidRPr="00771368">
        <w:rPr>
          <w:sz w:val="20"/>
          <w:szCs w:val="20"/>
        </w:rPr>
        <w:t>As mulheres estão proibidas de lavar</w:t>
      </w:r>
      <w:r w:rsidRPr="00771368">
        <w:rPr>
          <w:b/>
          <w:bCs/>
          <w:sz w:val="20"/>
          <w:szCs w:val="20"/>
        </w:rPr>
        <w:t xml:space="preserve"> </w:t>
      </w:r>
      <w:r w:rsidRPr="00771368">
        <w:rPr>
          <w:sz w:val="20"/>
          <w:szCs w:val="20"/>
        </w:rPr>
        <w:t>roupas nos rios ou locais públicos.</w:t>
      </w:r>
      <w:r w:rsidRPr="00771368">
        <w:rPr>
          <w:b/>
          <w:bCs/>
          <w:sz w:val="20"/>
          <w:szCs w:val="20"/>
        </w:rPr>
        <w:t>23.</w:t>
      </w:r>
      <w:r w:rsidRPr="00771368">
        <w:rPr>
          <w:sz w:val="20"/>
          <w:szCs w:val="20"/>
        </w:rPr>
        <w:t xml:space="preserve">As mulheres não se podem deixar fotografar ou filmar. </w:t>
      </w:r>
      <w:r w:rsidRPr="00771368">
        <w:rPr>
          <w:b/>
          <w:bCs/>
          <w:sz w:val="20"/>
          <w:szCs w:val="20"/>
        </w:rPr>
        <w:t>24.</w:t>
      </w:r>
      <w:r w:rsidRPr="00771368">
        <w:rPr>
          <w:sz w:val="20"/>
          <w:szCs w:val="20"/>
        </w:rPr>
        <w:t xml:space="preserve"> Todos os lugares com a palavra “mulher” devem ser mudados, por exemplo: O Jardim d a Mulher deve passar a chamar Jardim da Primavera. </w:t>
      </w:r>
      <w:r w:rsidRPr="00771368">
        <w:rPr>
          <w:b/>
          <w:bCs/>
          <w:sz w:val="20"/>
          <w:szCs w:val="20"/>
        </w:rPr>
        <w:t>25.</w:t>
      </w:r>
      <w:r w:rsidRPr="00771368">
        <w:rPr>
          <w:sz w:val="20"/>
          <w:szCs w:val="20"/>
        </w:rPr>
        <w:t xml:space="preserve"> Fotografias de mulheres não podem ser impressas em jornais, livros ou revistas ou penduradas em casas e lojas. </w:t>
      </w:r>
      <w:r w:rsidRPr="00771368">
        <w:rPr>
          <w:b/>
          <w:bCs/>
          <w:sz w:val="20"/>
          <w:szCs w:val="20"/>
        </w:rPr>
        <w:t>26.</w:t>
      </w:r>
      <w:r w:rsidRPr="00771368">
        <w:rPr>
          <w:sz w:val="20"/>
          <w:szCs w:val="20"/>
        </w:rPr>
        <w:t xml:space="preserve"> As mulheres são proibidas de aparecer nas varandas das suas casas. </w:t>
      </w:r>
      <w:r w:rsidRPr="00771368">
        <w:rPr>
          <w:b/>
          <w:bCs/>
          <w:sz w:val="20"/>
          <w:szCs w:val="20"/>
        </w:rPr>
        <w:t>27.</w:t>
      </w:r>
      <w:r w:rsidRPr="00771368">
        <w:rPr>
          <w:sz w:val="20"/>
          <w:szCs w:val="20"/>
        </w:rPr>
        <w:t xml:space="preserve"> O testemunho de uma mulher vale metade do testemunho masculino. </w:t>
      </w:r>
      <w:r w:rsidRPr="00771368">
        <w:rPr>
          <w:b/>
          <w:bCs/>
          <w:sz w:val="20"/>
          <w:szCs w:val="20"/>
        </w:rPr>
        <w:t>28.</w:t>
      </w:r>
      <w:r w:rsidRPr="00771368">
        <w:rPr>
          <w:sz w:val="20"/>
          <w:szCs w:val="20"/>
        </w:rPr>
        <w:t xml:space="preserve"> Todas as janelas devem ser pintadas de modo a que as mulheres não sejam vistas dentro de casa por quem estiver fora. </w:t>
      </w:r>
      <w:r w:rsidRPr="00771368">
        <w:rPr>
          <w:b/>
          <w:bCs/>
          <w:sz w:val="20"/>
          <w:szCs w:val="20"/>
        </w:rPr>
        <w:t>29.</w:t>
      </w:r>
      <w:r w:rsidRPr="00771368">
        <w:rPr>
          <w:sz w:val="20"/>
          <w:szCs w:val="20"/>
        </w:rPr>
        <w:t xml:space="preserve"> É proibido às mulheres cantar. </w:t>
      </w:r>
      <w:r w:rsidRPr="00771368">
        <w:rPr>
          <w:b/>
          <w:bCs/>
          <w:sz w:val="20"/>
          <w:szCs w:val="20"/>
        </w:rPr>
        <w:t>30.</w:t>
      </w:r>
      <w:r w:rsidRPr="00771368">
        <w:rPr>
          <w:sz w:val="20"/>
          <w:szCs w:val="20"/>
        </w:rPr>
        <w:t xml:space="preserve"> É proibido a homens e mulheres ouvir música. </w:t>
      </w:r>
      <w:r w:rsidRPr="00771368">
        <w:rPr>
          <w:b/>
          <w:bCs/>
          <w:sz w:val="20"/>
          <w:szCs w:val="20"/>
        </w:rPr>
        <w:t>31.</w:t>
      </w:r>
      <w:r w:rsidRPr="00771368">
        <w:rPr>
          <w:sz w:val="20"/>
          <w:szCs w:val="20"/>
        </w:rPr>
        <w:t xml:space="preserve"> Os alfaiates são proibidos de costurar roupas para mulheres. </w:t>
      </w:r>
      <w:r w:rsidRPr="00771368">
        <w:rPr>
          <w:b/>
          <w:bCs/>
          <w:sz w:val="20"/>
          <w:szCs w:val="20"/>
        </w:rPr>
        <w:t>32.</w:t>
      </w:r>
      <w:r w:rsidRPr="00771368">
        <w:rPr>
          <w:sz w:val="20"/>
          <w:szCs w:val="20"/>
        </w:rPr>
        <w:t xml:space="preserve"> É completamente proibido assistir a filmes, televisão, ou vídeo. </w:t>
      </w:r>
      <w:r w:rsidRPr="00771368">
        <w:rPr>
          <w:b/>
          <w:bCs/>
          <w:sz w:val="20"/>
          <w:szCs w:val="20"/>
        </w:rPr>
        <w:t>33.</w:t>
      </w:r>
      <w:r w:rsidRPr="00771368">
        <w:rPr>
          <w:sz w:val="20"/>
          <w:szCs w:val="20"/>
        </w:rPr>
        <w:t xml:space="preserve"> As mulheres são proibidas de usar as casas -de-banho públicas (a maioria não as tem em casa). Fonte: Revista Notícias Magazine, 21 de Outubro de 2001.</w:t>
      </w:r>
      <w:r w:rsidRPr="00771368">
        <w:rPr>
          <w:sz w:val="27"/>
          <w:szCs w:val="27"/>
          <w:vertAlign w:val="superscript"/>
        </w:rPr>
        <w:t>2</w:t>
      </w:r>
    </w:p>
    <w:p w:rsidR="00D24E61" w:rsidRPr="00771368" w:rsidRDefault="00D24E61">
      <w:pPr>
        <w:spacing w:line="301" w:lineRule="exact"/>
        <w:rPr>
          <w:sz w:val="20"/>
          <w:szCs w:val="20"/>
        </w:rPr>
      </w:pPr>
    </w:p>
    <w:p w:rsidR="00D24E61" w:rsidRPr="00771368" w:rsidRDefault="00D24E61">
      <w:pPr>
        <w:spacing w:line="340" w:lineRule="auto"/>
        <w:ind w:right="20" w:firstLine="796"/>
        <w:jc w:val="both"/>
        <w:rPr>
          <w:sz w:val="20"/>
          <w:szCs w:val="20"/>
        </w:rPr>
      </w:pPr>
      <w:r w:rsidRPr="00771368">
        <w:rPr>
          <w:sz w:val="24"/>
          <w:szCs w:val="24"/>
        </w:rPr>
        <w:t>É importante frisar que os educandos da oitava série se colocaram nos debates opinando como essas regras são absurdas e inviáveis. Repudiaram ao extremo a submissão das mulheres em relação à religião. Os próprios alunos homens se colocaram contra a tais proibições, mesmo conscientes de que todas essas regras fazem parte da religião e cultura</w:t>
      </w:r>
    </w:p>
    <w:p w:rsidR="00D24E61" w:rsidRPr="00771368" w:rsidRDefault="00013211">
      <w:pPr>
        <w:spacing w:line="340" w:lineRule="auto"/>
        <w:ind w:right="20" w:firstLine="796"/>
        <w:jc w:val="both"/>
        <w:rPr>
          <w:sz w:val="20"/>
          <w:szCs w:val="20"/>
        </w:rPr>
        <w:sectPr w:rsidR="00D24E61" w:rsidRPr="00771368">
          <w:pgSz w:w="11920" w:h="16845"/>
          <w:pgMar w:top="1440" w:right="1680" w:bottom="1440" w:left="1420" w:header="0" w:footer="0" w:gutter="0"/>
          <w:cols w:space="720" w:equalWidth="0">
            <w:col w:w="8820"/>
          </w:cols>
        </w:sectPr>
      </w:pPr>
      <w:r>
        <w:rPr>
          <w:noProof/>
          <w:sz w:val="20"/>
          <w:szCs w:val="20"/>
        </w:rPr>
        <mc:AlternateContent>
          <mc:Choice Requires="wps">
            <w:drawing>
              <wp:anchor distT="0" distB="0" distL="0" distR="0" simplePos="0" relativeHeight="251640320" behindDoc="0" locked="0" layoutInCell="0" allowOverlap="1">
                <wp:simplePos x="0" y="0"/>
                <wp:positionH relativeFrom="column">
                  <wp:posOffset>3810</wp:posOffset>
                </wp:positionH>
                <wp:positionV relativeFrom="paragraph">
                  <wp:posOffset>233680</wp:posOffset>
                </wp:positionV>
                <wp:extent cx="1831340" cy="0"/>
                <wp:effectExtent l="13335" t="5080" r="12700" b="13970"/>
                <wp:wrapNone/>
                <wp:docPr id="28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340" cy="0"/>
                        </a:xfrm>
                        <a:prstGeom prst="line">
                          <a:avLst/>
                        </a:prstGeom>
                        <a:noFill/>
                        <a:ln w="98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4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18.4pt" to="14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n/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" o:allowincell="f" strokeweight=".27339mm"/>
            </w:pict>
          </mc:Fallback>
        </mc:AlternateContent>
      </w:r>
    </w:p>
    <w:p w:rsidR="00D24E61" w:rsidRPr="00771368" w:rsidRDefault="00D24E61">
      <w:pPr>
        <w:spacing w:line="200" w:lineRule="exact"/>
        <w:rPr>
          <w:sz w:val="20"/>
          <w:szCs w:val="20"/>
        </w:rPr>
      </w:pPr>
    </w:p>
    <w:p w:rsidR="00D24E61" w:rsidRPr="00771368" w:rsidRDefault="00D24E61">
      <w:pPr>
        <w:spacing w:line="272" w:lineRule="exact"/>
        <w:rPr>
          <w:sz w:val="20"/>
          <w:szCs w:val="20"/>
        </w:rPr>
      </w:pPr>
    </w:p>
    <w:p w:rsidR="00D24E61" w:rsidRPr="00771368" w:rsidRDefault="00D24E61">
      <w:pPr>
        <w:rPr>
          <w:sz w:val="20"/>
          <w:szCs w:val="20"/>
        </w:rPr>
      </w:pPr>
      <w:r w:rsidRPr="00771368">
        <w:rPr>
          <w:sz w:val="26"/>
          <w:szCs w:val="26"/>
          <w:vertAlign w:val="superscript"/>
        </w:rPr>
        <w:t>2</w:t>
      </w:r>
      <w:r w:rsidRPr="00771368">
        <w:rPr>
          <w:sz w:val="19"/>
          <w:szCs w:val="19"/>
        </w:rPr>
        <w:t xml:space="preserve"> Notícias Magazine, 21 de Outubro de 2001</w:t>
      </w:r>
    </w:p>
    <w:p w:rsidR="00D24E61" w:rsidRPr="00771368" w:rsidRDefault="00D24E61">
      <w:pPr>
        <w:sectPr w:rsidR="00D24E61" w:rsidRPr="00771368">
          <w:type w:val="continuous"/>
          <w:pgSz w:w="11920" w:h="16845"/>
          <w:pgMar w:top="1440" w:right="6940" w:bottom="1440" w:left="1420" w:header="0" w:footer="0" w:gutter="0"/>
          <w:cols w:space="720" w:equalWidth="0">
            <w:col w:w="3560"/>
          </w:cols>
        </w:sectPr>
      </w:pPr>
    </w:p>
    <w:p w:rsidR="00D24E61" w:rsidRPr="00771368" w:rsidRDefault="00D24E61">
      <w:pPr>
        <w:spacing w:line="164" w:lineRule="exact"/>
        <w:rPr>
          <w:sz w:val="20"/>
          <w:szCs w:val="20"/>
        </w:rPr>
      </w:pPr>
    </w:p>
    <w:p w:rsidR="00D24E61" w:rsidRPr="00771368" w:rsidRDefault="00D24E61">
      <w:pPr>
        <w:spacing w:line="314" w:lineRule="auto"/>
        <w:ind w:right="20"/>
        <w:jc w:val="both"/>
        <w:rPr>
          <w:sz w:val="20"/>
          <w:szCs w:val="20"/>
        </w:rPr>
      </w:pPr>
      <w:r w:rsidRPr="00771368">
        <w:rPr>
          <w:sz w:val="24"/>
          <w:szCs w:val="24"/>
        </w:rPr>
        <w:t>deles. E, principalmente foi debatido o quanto esses tipos de proibições inibem a atividade profissional feminina que levam a total submissão do gênero masculino.</w:t>
      </w:r>
    </w:p>
    <w:p w:rsidR="00D24E61" w:rsidRPr="00771368" w:rsidRDefault="00D24E61">
      <w:pPr>
        <w:spacing w:line="104" w:lineRule="exact"/>
        <w:rPr>
          <w:sz w:val="20"/>
          <w:szCs w:val="20"/>
        </w:rPr>
      </w:pPr>
    </w:p>
    <w:p w:rsidR="00D24E61" w:rsidRPr="00771368" w:rsidRDefault="00D24E61">
      <w:pPr>
        <w:spacing w:line="352" w:lineRule="auto"/>
        <w:ind w:right="20" w:firstLine="796"/>
        <w:jc w:val="both"/>
        <w:rPr>
          <w:sz w:val="20"/>
          <w:szCs w:val="20"/>
        </w:rPr>
      </w:pPr>
      <w:r w:rsidRPr="00771368">
        <w:rPr>
          <w:sz w:val="24"/>
          <w:szCs w:val="24"/>
        </w:rPr>
        <w:t>Dando sequência ao debate abordamos os temas sobre os Haréns. Foi explicada a verdadeira função dos Haréns, de onde vêm às mulheres que lá moram, qual o interesse do Sultão nessas mulheres. Quem são os Eunucos e sua função nos Haréns, quais são os objetivos de um Eunuco em entrar para um Harém, enfim procuramos abordar tudo que podíamos para abranger a maior quantidade possível de conteúdos sobre os Haréns. Abaixo estão algumas imagens apresentadas a eles em tamanho A-3, como foram retiradas da internet não conseguimos todos os seus dados.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599872" behindDoc="1" locked="0" layoutInCell="0" allowOverlap="1">
            <wp:simplePos x="0" y="0"/>
            <wp:positionH relativeFrom="column">
              <wp:posOffset>31750</wp:posOffset>
            </wp:positionH>
            <wp:positionV relativeFrom="paragraph">
              <wp:posOffset>134620</wp:posOffset>
            </wp:positionV>
            <wp:extent cx="5638800" cy="1619250"/>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blip>
                    <a:srcRect/>
                    <a:stretch>
                      <a:fillRect/>
                    </a:stretch>
                  </pic:blipFill>
                  <pic:spPr bwMode="auto">
                    <a:xfrm>
                      <a:off x="0" y="0"/>
                      <a:ext cx="5638800" cy="161925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33"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3960"/>
        <w:gridCol w:w="900"/>
        <w:gridCol w:w="3620"/>
        <w:gridCol w:w="20"/>
      </w:tblGrid>
      <w:tr w:rsidR="00D24E61" w:rsidRPr="00771368">
        <w:trPr>
          <w:trHeight w:val="45"/>
        </w:trPr>
        <w:tc>
          <w:tcPr>
            <w:tcW w:w="3960" w:type="dxa"/>
            <w:vMerge w:val="restart"/>
            <w:vAlign w:val="bottom"/>
          </w:tcPr>
          <w:p w:rsidR="00D24E61" w:rsidRPr="00771368" w:rsidRDefault="00D24E61">
            <w:pPr>
              <w:ind w:left="140"/>
              <w:rPr>
                <w:sz w:val="20"/>
                <w:szCs w:val="20"/>
              </w:rPr>
            </w:pPr>
            <w:r w:rsidRPr="00771368">
              <w:rPr>
                <w:sz w:val="18"/>
                <w:szCs w:val="18"/>
              </w:rPr>
              <w:t>Tela de Domenico M orelli</w:t>
            </w:r>
          </w:p>
        </w:tc>
        <w:tc>
          <w:tcPr>
            <w:tcW w:w="900" w:type="dxa"/>
            <w:vAlign w:val="bottom"/>
          </w:tcPr>
          <w:p w:rsidR="00D24E61" w:rsidRPr="00771368" w:rsidRDefault="00D24E61">
            <w:pPr>
              <w:rPr>
                <w:sz w:val="3"/>
                <w:szCs w:val="3"/>
              </w:rPr>
            </w:pPr>
          </w:p>
        </w:tc>
        <w:tc>
          <w:tcPr>
            <w:tcW w:w="3620" w:type="dxa"/>
            <w:vAlign w:val="bottom"/>
          </w:tcPr>
          <w:p w:rsidR="00D24E61" w:rsidRPr="00771368" w:rsidRDefault="00D24E61">
            <w:pPr>
              <w:rPr>
                <w:sz w:val="3"/>
                <w:szCs w:val="3"/>
              </w:rPr>
            </w:pPr>
          </w:p>
        </w:tc>
        <w:tc>
          <w:tcPr>
            <w:tcW w:w="0" w:type="dxa"/>
            <w:vAlign w:val="bottom"/>
          </w:tcPr>
          <w:p w:rsidR="00D24E61" w:rsidRPr="00771368" w:rsidRDefault="00D24E61">
            <w:pPr>
              <w:rPr>
                <w:sz w:val="1"/>
                <w:szCs w:val="1"/>
              </w:rPr>
            </w:pPr>
          </w:p>
        </w:tc>
      </w:tr>
      <w:tr w:rsidR="00D24E61" w:rsidRPr="00771368">
        <w:trPr>
          <w:trHeight w:val="224"/>
        </w:trPr>
        <w:tc>
          <w:tcPr>
            <w:tcW w:w="3960" w:type="dxa"/>
            <w:vMerge/>
            <w:vAlign w:val="bottom"/>
          </w:tcPr>
          <w:p w:rsidR="00D24E61" w:rsidRPr="00771368" w:rsidRDefault="00D24E61">
            <w:pPr>
              <w:rPr>
                <w:sz w:val="19"/>
                <w:szCs w:val="19"/>
              </w:rPr>
            </w:pPr>
          </w:p>
        </w:tc>
        <w:tc>
          <w:tcPr>
            <w:tcW w:w="900" w:type="dxa"/>
            <w:vAlign w:val="bottom"/>
          </w:tcPr>
          <w:p w:rsidR="00D24E61" w:rsidRPr="00771368" w:rsidRDefault="00D24E61">
            <w:pPr>
              <w:rPr>
                <w:sz w:val="19"/>
                <w:szCs w:val="19"/>
              </w:rPr>
            </w:pPr>
          </w:p>
        </w:tc>
        <w:tc>
          <w:tcPr>
            <w:tcW w:w="3620" w:type="dxa"/>
            <w:vMerge w:val="restart"/>
            <w:vAlign w:val="bottom"/>
          </w:tcPr>
          <w:p w:rsidR="00D24E61" w:rsidRPr="00771368" w:rsidRDefault="00D24E61">
            <w:pPr>
              <w:spacing w:line="229" w:lineRule="exact"/>
              <w:ind w:left="160"/>
              <w:rPr>
                <w:sz w:val="20"/>
                <w:szCs w:val="20"/>
              </w:rPr>
            </w:pPr>
            <w:r w:rsidRPr="00771368">
              <w:rPr>
                <w:sz w:val="20"/>
                <w:szCs w:val="20"/>
              </w:rPr>
              <w:t>Gravura: Harém in Granada</w:t>
            </w:r>
          </w:p>
        </w:tc>
        <w:tc>
          <w:tcPr>
            <w:tcW w:w="0" w:type="dxa"/>
            <w:vAlign w:val="bottom"/>
          </w:tcPr>
          <w:p w:rsidR="00D24E61" w:rsidRPr="00771368" w:rsidRDefault="00D24E61">
            <w:pPr>
              <w:rPr>
                <w:sz w:val="1"/>
                <w:szCs w:val="1"/>
              </w:rPr>
            </w:pPr>
          </w:p>
        </w:tc>
      </w:tr>
      <w:tr w:rsidR="00D24E61" w:rsidRPr="00771368">
        <w:trPr>
          <w:trHeight w:val="94"/>
        </w:trPr>
        <w:tc>
          <w:tcPr>
            <w:tcW w:w="3960" w:type="dxa"/>
            <w:vMerge w:val="restart"/>
            <w:vAlign w:val="bottom"/>
          </w:tcPr>
          <w:p w:rsidR="00D24E61" w:rsidRPr="00771368" w:rsidRDefault="00D24E61">
            <w:pPr>
              <w:ind w:left="140"/>
              <w:rPr>
                <w:sz w:val="20"/>
                <w:szCs w:val="20"/>
              </w:rPr>
            </w:pPr>
            <w:r w:rsidRPr="00771368">
              <w:rPr>
                <w:sz w:val="18"/>
                <w:szCs w:val="18"/>
              </w:rPr>
              <w:t>Artista o período Otocentro Italiano</w:t>
            </w:r>
          </w:p>
        </w:tc>
        <w:tc>
          <w:tcPr>
            <w:tcW w:w="900" w:type="dxa"/>
            <w:vAlign w:val="bottom"/>
          </w:tcPr>
          <w:p w:rsidR="00D24E61" w:rsidRPr="00771368" w:rsidRDefault="00D24E61">
            <w:pPr>
              <w:rPr>
                <w:sz w:val="8"/>
                <w:szCs w:val="8"/>
              </w:rPr>
            </w:pPr>
          </w:p>
        </w:tc>
        <w:tc>
          <w:tcPr>
            <w:tcW w:w="3620" w:type="dxa"/>
            <w:vMerge/>
            <w:vAlign w:val="bottom"/>
          </w:tcPr>
          <w:p w:rsidR="00D24E61" w:rsidRPr="00771368" w:rsidRDefault="00D24E61">
            <w:pPr>
              <w:rPr>
                <w:sz w:val="8"/>
                <w:szCs w:val="8"/>
              </w:rPr>
            </w:pPr>
          </w:p>
        </w:tc>
        <w:tc>
          <w:tcPr>
            <w:tcW w:w="0" w:type="dxa"/>
            <w:vAlign w:val="bottom"/>
          </w:tcPr>
          <w:p w:rsidR="00D24E61" w:rsidRPr="00771368" w:rsidRDefault="00D24E61">
            <w:pPr>
              <w:rPr>
                <w:sz w:val="1"/>
                <w:szCs w:val="1"/>
              </w:rPr>
            </w:pPr>
          </w:p>
        </w:tc>
      </w:tr>
      <w:tr w:rsidR="00D24E61" w:rsidRPr="00771368">
        <w:trPr>
          <w:trHeight w:val="116"/>
        </w:trPr>
        <w:tc>
          <w:tcPr>
            <w:tcW w:w="3960" w:type="dxa"/>
            <w:vMerge/>
            <w:vAlign w:val="bottom"/>
          </w:tcPr>
          <w:p w:rsidR="00D24E61" w:rsidRPr="00771368" w:rsidRDefault="00D24E61">
            <w:pPr>
              <w:rPr>
                <w:sz w:val="10"/>
                <w:szCs w:val="10"/>
              </w:rPr>
            </w:pPr>
          </w:p>
        </w:tc>
        <w:tc>
          <w:tcPr>
            <w:tcW w:w="900" w:type="dxa"/>
            <w:vAlign w:val="bottom"/>
          </w:tcPr>
          <w:p w:rsidR="00D24E61" w:rsidRPr="00771368" w:rsidRDefault="00D24E61">
            <w:pPr>
              <w:rPr>
                <w:sz w:val="10"/>
                <w:szCs w:val="10"/>
              </w:rPr>
            </w:pPr>
          </w:p>
        </w:tc>
        <w:tc>
          <w:tcPr>
            <w:tcW w:w="3620" w:type="dxa"/>
            <w:vAlign w:val="bottom"/>
          </w:tcPr>
          <w:p w:rsidR="00D24E61" w:rsidRPr="00771368" w:rsidRDefault="00D24E61">
            <w:pPr>
              <w:rPr>
                <w:sz w:val="10"/>
                <w:szCs w:val="10"/>
              </w:rPr>
            </w:pPr>
          </w:p>
        </w:tc>
        <w:tc>
          <w:tcPr>
            <w:tcW w:w="0" w:type="dxa"/>
            <w:vAlign w:val="bottom"/>
          </w:tcPr>
          <w:p w:rsidR="00D24E61" w:rsidRPr="00771368" w:rsidRDefault="00D24E61">
            <w:pPr>
              <w:rPr>
                <w:sz w:val="1"/>
                <w:szCs w:val="1"/>
              </w:rPr>
            </w:pPr>
          </w:p>
        </w:tc>
      </w:tr>
      <w:tr w:rsidR="00D24E61" w:rsidRPr="00771368">
        <w:trPr>
          <w:trHeight w:val="285"/>
        </w:trPr>
        <w:tc>
          <w:tcPr>
            <w:tcW w:w="3960" w:type="dxa"/>
            <w:vAlign w:val="bottom"/>
          </w:tcPr>
          <w:p w:rsidR="00D24E61" w:rsidRPr="00771368" w:rsidRDefault="00D24E61">
            <w:pPr>
              <w:rPr>
                <w:sz w:val="24"/>
                <w:szCs w:val="24"/>
              </w:rPr>
            </w:pPr>
          </w:p>
        </w:tc>
        <w:tc>
          <w:tcPr>
            <w:tcW w:w="900" w:type="dxa"/>
            <w:vAlign w:val="bottom"/>
          </w:tcPr>
          <w:p w:rsidR="00D24E61" w:rsidRPr="00771368" w:rsidRDefault="00D24E61">
            <w:pPr>
              <w:rPr>
                <w:sz w:val="24"/>
                <w:szCs w:val="24"/>
              </w:rPr>
            </w:pPr>
          </w:p>
        </w:tc>
        <w:tc>
          <w:tcPr>
            <w:tcW w:w="3620" w:type="dxa"/>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108"/>
        </w:trPr>
        <w:tc>
          <w:tcPr>
            <w:tcW w:w="3960" w:type="dxa"/>
            <w:vAlign w:val="bottom"/>
          </w:tcPr>
          <w:p w:rsidR="00D24E61" w:rsidRPr="00771368" w:rsidRDefault="00D24E61">
            <w:pPr>
              <w:rPr>
                <w:sz w:val="9"/>
                <w:szCs w:val="9"/>
              </w:rPr>
            </w:pPr>
          </w:p>
        </w:tc>
        <w:tc>
          <w:tcPr>
            <w:tcW w:w="900" w:type="dxa"/>
            <w:vAlign w:val="bottom"/>
          </w:tcPr>
          <w:p w:rsidR="00D24E61" w:rsidRPr="00771368" w:rsidRDefault="00D24E61">
            <w:pPr>
              <w:rPr>
                <w:sz w:val="9"/>
                <w:szCs w:val="9"/>
              </w:rPr>
            </w:pPr>
          </w:p>
        </w:tc>
        <w:tc>
          <w:tcPr>
            <w:tcW w:w="3620" w:type="dxa"/>
            <w:vAlign w:val="bottom"/>
          </w:tcPr>
          <w:p w:rsidR="00D24E61" w:rsidRPr="00771368" w:rsidRDefault="00D24E61">
            <w:pPr>
              <w:rPr>
                <w:sz w:val="9"/>
                <w:szCs w:val="9"/>
              </w:rPr>
            </w:pPr>
          </w:p>
        </w:tc>
        <w:tc>
          <w:tcPr>
            <w:tcW w:w="0" w:type="dxa"/>
            <w:vAlign w:val="bottom"/>
          </w:tcPr>
          <w:p w:rsidR="00D24E61" w:rsidRPr="00771368" w:rsidRDefault="00D24E61">
            <w:pPr>
              <w:rPr>
                <w:sz w:val="1"/>
                <w:szCs w:val="1"/>
              </w:rPr>
            </w:pPr>
          </w:p>
        </w:tc>
      </w:tr>
    </w:tbl>
    <w:p w:rsidR="00D24E61" w:rsidRPr="00771368" w:rsidRDefault="00D24E61">
      <w:pPr>
        <w:spacing w:line="197" w:lineRule="exact"/>
        <w:rPr>
          <w:sz w:val="20"/>
          <w:szCs w:val="20"/>
        </w:rPr>
      </w:pPr>
      <w:r w:rsidRPr="00771368">
        <w:rPr>
          <w:noProof/>
          <w:sz w:val="20"/>
          <w:szCs w:val="20"/>
        </w:rPr>
        <w:drawing>
          <wp:anchor distT="0" distB="0" distL="114300" distR="114300" simplePos="0" relativeHeight="251601920" behindDoc="1" locked="0" layoutInCell="0" allowOverlap="1">
            <wp:simplePos x="0" y="0"/>
            <wp:positionH relativeFrom="column">
              <wp:posOffset>136525</wp:posOffset>
            </wp:positionH>
            <wp:positionV relativeFrom="paragraph">
              <wp:posOffset>-506730</wp:posOffset>
            </wp:positionV>
            <wp:extent cx="5391150" cy="457200"/>
            <wp:effectExtent l="0" t="0" r="0"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blip>
                    <a:srcRect/>
                    <a:stretch>
                      <a:fillRect/>
                    </a:stretch>
                  </pic:blipFill>
                  <pic:spPr bwMode="auto">
                    <a:xfrm>
                      <a:off x="0" y="0"/>
                      <a:ext cx="5391150" cy="457200"/>
                    </a:xfrm>
                    <a:prstGeom prst="rect">
                      <a:avLst/>
                    </a:prstGeom>
                    <a:noFill/>
                  </pic:spPr>
                </pic:pic>
              </a:graphicData>
            </a:graphic>
          </wp:anchor>
        </w:drawing>
      </w:r>
    </w:p>
    <w:p w:rsidR="00D24E61" w:rsidRPr="00771368" w:rsidRDefault="00D24E61">
      <w:pPr>
        <w:spacing w:line="301" w:lineRule="auto"/>
        <w:ind w:right="20" w:firstLine="856"/>
        <w:rPr>
          <w:sz w:val="20"/>
          <w:szCs w:val="20"/>
        </w:rPr>
      </w:pPr>
      <w:r w:rsidRPr="00771368">
        <w:rPr>
          <w:sz w:val="24"/>
          <w:szCs w:val="24"/>
        </w:rPr>
        <w:t>Depois de ter conhecido algumas das proibições feitas às mulheres do Oriente Médio e refletido em debates sobre o comportamento da mulher Ocidental, em relação à</w:t>
      </w:r>
    </w:p>
    <w:p w:rsidR="00D24E61" w:rsidRPr="00771368" w:rsidRDefault="00D24E61">
      <w:pPr>
        <w:spacing w:line="76" w:lineRule="exact"/>
        <w:rPr>
          <w:sz w:val="20"/>
          <w:szCs w:val="20"/>
        </w:rPr>
      </w:pPr>
    </w:p>
    <w:p w:rsidR="00D24E61" w:rsidRPr="00771368" w:rsidRDefault="00D24E61">
      <w:pPr>
        <w:rPr>
          <w:sz w:val="20"/>
          <w:szCs w:val="20"/>
        </w:rPr>
      </w:pPr>
      <w:r w:rsidRPr="00771368">
        <w:rPr>
          <w:sz w:val="24"/>
          <w:szCs w:val="24"/>
        </w:rPr>
        <w:t>sua vida e de sua família, pedimos aos educandos que formassem grupos de quatro alunos</w:t>
      </w:r>
    </w:p>
    <w:p w:rsidR="00D24E61" w:rsidRPr="00771368" w:rsidRDefault="00D24E61">
      <w:pPr>
        <w:spacing w:line="144" w:lineRule="exact"/>
        <w:rPr>
          <w:sz w:val="20"/>
          <w:szCs w:val="20"/>
        </w:rPr>
      </w:pPr>
    </w:p>
    <w:p w:rsidR="00D24E61" w:rsidRPr="00771368" w:rsidRDefault="00D24E61">
      <w:pPr>
        <w:rPr>
          <w:sz w:val="20"/>
          <w:szCs w:val="20"/>
        </w:rPr>
      </w:pPr>
      <w:r w:rsidRPr="00771368">
        <w:rPr>
          <w:sz w:val="24"/>
          <w:szCs w:val="24"/>
        </w:rPr>
        <w:t>e escrevessem um texto com, o mínimo  15 linhas,  respondendo à seguinte  pergunta:</w:t>
      </w:r>
    </w:p>
    <w:p w:rsidR="00D24E61" w:rsidRPr="00771368" w:rsidRDefault="00D24E61">
      <w:pPr>
        <w:spacing w:line="129" w:lineRule="exact"/>
        <w:rPr>
          <w:sz w:val="20"/>
          <w:szCs w:val="20"/>
        </w:rPr>
      </w:pPr>
    </w:p>
    <w:p w:rsidR="00D24E61" w:rsidRPr="00771368" w:rsidRDefault="00D24E61">
      <w:pPr>
        <w:ind w:left="920"/>
        <w:rPr>
          <w:sz w:val="20"/>
          <w:szCs w:val="20"/>
        </w:rPr>
      </w:pPr>
      <w:r w:rsidRPr="00771368">
        <w:rPr>
          <w:sz w:val="24"/>
          <w:szCs w:val="24"/>
        </w:rPr>
        <w:t>PARA VOCÊ QUAL SERIA A MULHER IDEAL?</w:t>
      </w:r>
    </w:p>
    <w:p w:rsidR="00D24E61" w:rsidRPr="00771368" w:rsidRDefault="00D24E61">
      <w:pPr>
        <w:spacing w:line="203" w:lineRule="exact"/>
        <w:rPr>
          <w:sz w:val="20"/>
          <w:szCs w:val="20"/>
        </w:rPr>
      </w:pPr>
    </w:p>
    <w:p w:rsidR="00D24E61" w:rsidRPr="00771368" w:rsidRDefault="00D24E61">
      <w:pPr>
        <w:spacing w:line="302" w:lineRule="auto"/>
        <w:ind w:firstLine="856"/>
        <w:rPr>
          <w:sz w:val="20"/>
          <w:szCs w:val="20"/>
        </w:rPr>
      </w:pPr>
      <w:r w:rsidRPr="00771368">
        <w:rPr>
          <w:sz w:val="24"/>
          <w:szCs w:val="24"/>
        </w:rPr>
        <w:t>Tivemos um total de oitenta e quatro alunos entregando seus depoimentos e sem esquecer que eles estavam agrupados em quatro alunos portanto, na nossa pesquisa, todos</w:t>
      </w:r>
    </w:p>
    <w:p w:rsidR="00D24E61" w:rsidRPr="00771368" w:rsidRDefault="00D24E61">
      <w:pPr>
        <w:spacing w:line="7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0"/>
        <w:gridCol w:w="5080"/>
        <w:gridCol w:w="440"/>
        <w:gridCol w:w="2960"/>
      </w:tblGrid>
      <w:tr w:rsidR="00D24E61" w:rsidRPr="00771368">
        <w:trPr>
          <w:trHeight w:val="276"/>
        </w:trPr>
        <w:tc>
          <w:tcPr>
            <w:tcW w:w="5160" w:type="dxa"/>
            <w:gridSpan w:val="2"/>
            <w:vAlign w:val="bottom"/>
          </w:tcPr>
          <w:p w:rsidR="00D24E61" w:rsidRPr="00771368" w:rsidRDefault="00D24E61">
            <w:pPr>
              <w:rPr>
                <w:sz w:val="20"/>
                <w:szCs w:val="20"/>
              </w:rPr>
            </w:pPr>
            <w:r w:rsidRPr="00771368">
              <w:rPr>
                <w:w w:val="99"/>
                <w:sz w:val="24"/>
                <w:szCs w:val="24"/>
              </w:rPr>
              <w:t>os dados,  de um texto tem seu resultado multiplicado</w:t>
            </w:r>
          </w:p>
        </w:tc>
        <w:tc>
          <w:tcPr>
            <w:tcW w:w="3400" w:type="dxa"/>
            <w:gridSpan w:val="2"/>
            <w:vAlign w:val="bottom"/>
          </w:tcPr>
          <w:p w:rsidR="00D24E61" w:rsidRPr="00771368" w:rsidRDefault="00D24E61">
            <w:pPr>
              <w:ind w:left="60"/>
              <w:rPr>
                <w:sz w:val="20"/>
                <w:szCs w:val="20"/>
              </w:rPr>
            </w:pPr>
            <w:r w:rsidRPr="00771368">
              <w:rPr>
                <w:sz w:val="24"/>
                <w:szCs w:val="24"/>
              </w:rPr>
              <w:t>por quatro.</w:t>
            </w:r>
          </w:p>
        </w:tc>
      </w:tr>
      <w:tr w:rsidR="00D24E61" w:rsidRPr="00771368">
        <w:trPr>
          <w:trHeight w:val="565"/>
        </w:trPr>
        <w:tc>
          <w:tcPr>
            <w:tcW w:w="80" w:type="dxa"/>
            <w:vAlign w:val="bottom"/>
          </w:tcPr>
          <w:p w:rsidR="00D24E61" w:rsidRPr="00771368" w:rsidRDefault="00D24E61">
            <w:pPr>
              <w:rPr>
                <w:sz w:val="24"/>
                <w:szCs w:val="24"/>
              </w:rPr>
            </w:pPr>
          </w:p>
        </w:tc>
        <w:tc>
          <w:tcPr>
            <w:tcW w:w="5080" w:type="dxa"/>
            <w:tcBorders>
              <w:bottom w:val="single" w:sz="8" w:space="0" w:color="auto"/>
            </w:tcBorders>
            <w:vAlign w:val="bottom"/>
          </w:tcPr>
          <w:p w:rsidR="00D24E61" w:rsidRPr="00771368" w:rsidRDefault="00D24E61">
            <w:pPr>
              <w:rPr>
                <w:sz w:val="24"/>
                <w:szCs w:val="24"/>
              </w:rPr>
            </w:pPr>
          </w:p>
        </w:tc>
        <w:tc>
          <w:tcPr>
            <w:tcW w:w="440" w:type="dxa"/>
            <w:tcBorders>
              <w:bottom w:val="single" w:sz="8" w:space="0" w:color="auto"/>
            </w:tcBorders>
            <w:vAlign w:val="bottom"/>
          </w:tcPr>
          <w:p w:rsidR="00D24E61" w:rsidRPr="00771368" w:rsidRDefault="00D24E61">
            <w:pPr>
              <w:rPr>
                <w:sz w:val="24"/>
                <w:szCs w:val="24"/>
              </w:rPr>
            </w:pPr>
          </w:p>
        </w:tc>
        <w:tc>
          <w:tcPr>
            <w:tcW w:w="2960" w:type="dxa"/>
            <w:tcBorders>
              <w:bottom w:val="single" w:sz="8" w:space="0" w:color="auto"/>
            </w:tcBorders>
            <w:vAlign w:val="bottom"/>
          </w:tcPr>
          <w:p w:rsidR="00D24E61" w:rsidRPr="00771368" w:rsidRDefault="00D24E61">
            <w:pPr>
              <w:rPr>
                <w:sz w:val="24"/>
                <w:szCs w:val="24"/>
              </w:rPr>
            </w:pPr>
          </w:p>
        </w:tc>
      </w:tr>
      <w:tr w:rsidR="00D24E61" w:rsidRPr="00771368">
        <w:trPr>
          <w:trHeight w:val="256"/>
        </w:trPr>
        <w:tc>
          <w:tcPr>
            <w:tcW w:w="80" w:type="dxa"/>
            <w:tcBorders>
              <w:right w:val="single" w:sz="8" w:space="0" w:color="auto"/>
            </w:tcBorders>
            <w:vAlign w:val="bottom"/>
          </w:tcPr>
          <w:p w:rsidR="00D24E61" w:rsidRPr="00771368" w:rsidRDefault="00D24E61"/>
        </w:tc>
        <w:tc>
          <w:tcPr>
            <w:tcW w:w="5080" w:type="dxa"/>
            <w:vAlign w:val="bottom"/>
          </w:tcPr>
          <w:p w:rsidR="00D24E61" w:rsidRPr="00771368" w:rsidRDefault="00D24E61">
            <w:pPr>
              <w:spacing w:line="255" w:lineRule="exact"/>
              <w:ind w:left="100"/>
              <w:rPr>
                <w:sz w:val="20"/>
                <w:szCs w:val="20"/>
              </w:rPr>
            </w:pPr>
            <w:r w:rsidRPr="00771368">
              <w:rPr>
                <w:sz w:val="24"/>
                <w:szCs w:val="24"/>
              </w:rPr>
              <w:t>Meu ideal de mulher  é aquela que:</w:t>
            </w:r>
          </w:p>
        </w:tc>
        <w:tc>
          <w:tcPr>
            <w:tcW w:w="440" w:type="dxa"/>
            <w:tcBorders>
              <w:right w:val="single" w:sz="8" w:space="0" w:color="auto"/>
            </w:tcBorders>
            <w:vAlign w:val="bottom"/>
          </w:tcPr>
          <w:p w:rsidR="00D24E61" w:rsidRPr="00771368" w:rsidRDefault="00D24E61"/>
        </w:tc>
        <w:tc>
          <w:tcPr>
            <w:tcW w:w="2960" w:type="dxa"/>
            <w:tcBorders>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Quantidade de respostas</w:t>
            </w:r>
          </w:p>
        </w:tc>
      </w:tr>
      <w:tr w:rsidR="00D24E61" w:rsidRPr="00771368">
        <w:trPr>
          <w:trHeight w:val="145"/>
        </w:trPr>
        <w:tc>
          <w:tcPr>
            <w:tcW w:w="80" w:type="dxa"/>
            <w:tcBorders>
              <w:right w:val="single" w:sz="8" w:space="0" w:color="auto"/>
            </w:tcBorders>
            <w:vAlign w:val="bottom"/>
          </w:tcPr>
          <w:p w:rsidR="00D24E61" w:rsidRPr="00771368" w:rsidRDefault="00D24E61">
            <w:pPr>
              <w:rPr>
                <w:sz w:val="12"/>
                <w:szCs w:val="12"/>
              </w:rPr>
            </w:pPr>
          </w:p>
        </w:tc>
        <w:tc>
          <w:tcPr>
            <w:tcW w:w="5080" w:type="dxa"/>
            <w:tcBorders>
              <w:bottom w:val="single" w:sz="8" w:space="0" w:color="auto"/>
            </w:tcBorders>
            <w:vAlign w:val="bottom"/>
          </w:tcPr>
          <w:p w:rsidR="00D24E61" w:rsidRPr="00771368" w:rsidRDefault="00D24E61">
            <w:pPr>
              <w:rPr>
                <w:sz w:val="12"/>
                <w:szCs w:val="12"/>
              </w:rPr>
            </w:pPr>
          </w:p>
        </w:tc>
        <w:tc>
          <w:tcPr>
            <w:tcW w:w="440" w:type="dxa"/>
            <w:tcBorders>
              <w:bottom w:val="single" w:sz="8" w:space="0" w:color="auto"/>
              <w:right w:val="single" w:sz="8" w:space="0" w:color="auto"/>
            </w:tcBorders>
            <w:vAlign w:val="bottom"/>
          </w:tcPr>
          <w:p w:rsidR="00D24E61" w:rsidRPr="00771368" w:rsidRDefault="00D24E61">
            <w:pPr>
              <w:rPr>
                <w:sz w:val="12"/>
                <w:szCs w:val="12"/>
              </w:rPr>
            </w:pPr>
          </w:p>
        </w:tc>
        <w:tc>
          <w:tcPr>
            <w:tcW w:w="2960" w:type="dxa"/>
            <w:tcBorders>
              <w:bottom w:val="single" w:sz="8" w:space="0" w:color="auto"/>
              <w:right w:val="single" w:sz="8" w:space="0" w:color="auto"/>
            </w:tcBorders>
            <w:vAlign w:val="bottom"/>
          </w:tcPr>
          <w:p w:rsidR="00D24E61" w:rsidRPr="00771368" w:rsidRDefault="00D24E61">
            <w:pPr>
              <w:rPr>
                <w:sz w:val="12"/>
                <w:szCs w:val="12"/>
              </w:rPr>
            </w:pPr>
          </w:p>
        </w:tc>
      </w:tr>
      <w:tr w:rsidR="00D24E61" w:rsidRPr="00771368">
        <w:trPr>
          <w:trHeight w:val="255"/>
        </w:trPr>
        <w:tc>
          <w:tcPr>
            <w:tcW w:w="80" w:type="dxa"/>
            <w:tcBorders>
              <w:right w:val="single" w:sz="8" w:space="0" w:color="auto"/>
            </w:tcBorders>
            <w:vAlign w:val="bottom"/>
          </w:tcPr>
          <w:p w:rsidR="00D24E61" w:rsidRPr="00771368" w:rsidRDefault="00D24E61"/>
        </w:tc>
        <w:tc>
          <w:tcPr>
            <w:tcW w:w="5080" w:type="dxa"/>
            <w:vAlign w:val="bottom"/>
          </w:tcPr>
          <w:p w:rsidR="00D24E61" w:rsidRPr="00771368" w:rsidRDefault="00D24E61">
            <w:pPr>
              <w:spacing w:line="255" w:lineRule="exact"/>
              <w:ind w:left="100"/>
              <w:rPr>
                <w:sz w:val="20"/>
                <w:szCs w:val="20"/>
              </w:rPr>
            </w:pPr>
            <w:r w:rsidRPr="00771368">
              <w:rPr>
                <w:sz w:val="24"/>
                <w:szCs w:val="24"/>
              </w:rPr>
              <w:t>É fiel ao marido.</w:t>
            </w:r>
          </w:p>
        </w:tc>
        <w:tc>
          <w:tcPr>
            <w:tcW w:w="440" w:type="dxa"/>
            <w:tcBorders>
              <w:right w:val="single" w:sz="8" w:space="0" w:color="auto"/>
            </w:tcBorders>
            <w:vAlign w:val="bottom"/>
          </w:tcPr>
          <w:p w:rsidR="00D24E61" w:rsidRPr="00771368" w:rsidRDefault="00D24E61"/>
        </w:tc>
        <w:tc>
          <w:tcPr>
            <w:tcW w:w="2960" w:type="dxa"/>
            <w:tcBorders>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44 alunos</w:t>
            </w:r>
          </w:p>
        </w:tc>
      </w:tr>
      <w:tr w:rsidR="00D24E61" w:rsidRPr="00771368">
        <w:trPr>
          <w:trHeight w:val="160"/>
        </w:trPr>
        <w:tc>
          <w:tcPr>
            <w:tcW w:w="80" w:type="dxa"/>
            <w:tcBorders>
              <w:right w:val="single" w:sz="8" w:space="0" w:color="auto"/>
            </w:tcBorders>
            <w:vAlign w:val="bottom"/>
          </w:tcPr>
          <w:p w:rsidR="00D24E61" w:rsidRPr="00771368" w:rsidRDefault="00D24E61">
            <w:pPr>
              <w:rPr>
                <w:sz w:val="13"/>
                <w:szCs w:val="13"/>
              </w:rPr>
            </w:pPr>
          </w:p>
        </w:tc>
        <w:tc>
          <w:tcPr>
            <w:tcW w:w="5080" w:type="dxa"/>
            <w:tcBorders>
              <w:bottom w:val="single" w:sz="8" w:space="0" w:color="auto"/>
            </w:tcBorders>
            <w:vAlign w:val="bottom"/>
          </w:tcPr>
          <w:p w:rsidR="00D24E61" w:rsidRPr="00771368" w:rsidRDefault="00D24E61">
            <w:pPr>
              <w:rPr>
                <w:sz w:val="13"/>
                <w:szCs w:val="13"/>
              </w:rPr>
            </w:pPr>
          </w:p>
        </w:tc>
        <w:tc>
          <w:tcPr>
            <w:tcW w:w="440" w:type="dxa"/>
            <w:tcBorders>
              <w:bottom w:val="single" w:sz="8" w:space="0" w:color="auto"/>
              <w:right w:val="single" w:sz="8" w:space="0" w:color="auto"/>
            </w:tcBorders>
            <w:vAlign w:val="bottom"/>
          </w:tcPr>
          <w:p w:rsidR="00D24E61" w:rsidRPr="00771368" w:rsidRDefault="00D24E61">
            <w:pPr>
              <w:rPr>
                <w:sz w:val="13"/>
                <w:szCs w:val="13"/>
              </w:rPr>
            </w:pPr>
          </w:p>
        </w:tc>
        <w:tc>
          <w:tcPr>
            <w:tcW w:w="2960" w:type="dxa"/>
            <w:tcBorders>
              <w:bottom w:val="single" w:sz="8" w:space="0" w:color="auto"/>
              <w:right w:val="single" w:sz="8" w:space="0" w:color="auto"/>
            </w:tcBorders>
            <w:vAlign w:val="bottom"/>
          </w:tcPr>
          <w:p w:rsidR="00D24E61" w:rsidRPr="00771368" w:rsidRDefault="00D24E61">
            <w:pPr>
              <w:rPr>
                <w:sz w:val="13"/>
                <w:szCs w:val="13"/>
              </w:rPr>
            </w:pPr>
          </w:p>
        </w:tc>
      </w:tr>
      <w:tr w:rsidR="00D24E61" w:rsidRPr="00771368">
        <w:trPr>
          <w:trHeight w:val="240"/>
        </w:trPr>
        <w:tc>
          <w:tcPr>
            <w:tcW w:w="80" w:type="dxa"/>
            <w:tcBorders>
              <w:right w:val="single" w:sz="8" w:space="0" w:color="auto"/>
            </w:tcBorders>
            <w:vAlign w:val="bottom"/>
          </w:tcPr>
          <w:p w:rsidR="00D24E61" w:rsidRPr="00771368" w:rsidRDefault="00D24E61">
            <w:pPr>
              <w:rPr>
                <w:sz w:val="20"/>
                <w:szCs w:val="20"/>
              </w:rPr>
            </w:pPr>
          </w:p>
        </w:tc>
        <w:tc>
          <w:tcPr>
            <w:tcW w:w="5080" w:type="dxa"/>
            <w:vAlign w:val="bottom"/>
          </w:tcPr>
          <w:p w:rsidR="00D24E61" w:rsidRPr="00771368" w:rsidRDefault="00D24E61">
            <w:pPr>
              <w:spacing w:line="239" w:lineRule="exact"/>
              <w:ind w:left="100"/>
              <w:rPr>
                <w:sz w:val="20"/>
                <w:szCs w:val="20"/>
              </w:rPr>
            </w:pPr>
            <w:r w:rsidRPr="00771368">
              <w:rPr>
                <w:sz w:val="24"/>
                <w:szCs w:val="24"/>
              </w:rPr>
              <w:t>É dedicada à família.</w:t>
            </w:r>
          </w:p>
        </w:tc>
        <w:tc>
          <w:tcPr>
            <w:tcW w:w="440" w:type="dxa"/>
            <w:tcBorders>
              <w:right w:val="single" w:sz="8" w:space="0" w:color="auto"/>
            </w:tcBorders>
            <w:vAlign w:val="bottom"/>
          </w:tcPr>
          <w:p w:rsidR="00D24E61" w:rsidRPr="00771368" w:rsidRDefault="00D24E61">
            <w:pPr>
              <w:rPr>
                <w:sz w:val="20"/>
                <w:szCs w:val="20"/>
              </w:rPr>
            </w:pPr>
          </w:p>
        </w:tc>
        <w:tc>
          <w:tcPr>
            <w:tcW w:w="2960" w:type="dxa"/>
            <w:tcBorders>
              <w:right w:val="single" w:sz="8" w:space="0" w:color="auto"/>
            </w:tcBorders>
            <w:vAlign w:val="bottom"/>
          </w:tcPr>
          <w:p w:rsidR="00D24E61" w:rsidRPr="00771368" w:rsidRDefault="00D24E61">
            <w:pPr>
              <w:spacing w:line="239" w:lineRule="exact"/>
              <w:ind w:left="100"/>
              <w:rPr>
                <w:sz w:val="20"/>
                <w:szCs w:val="20"/>
              </w:rPr>
            </w:pPr>
            <w:r w:rsidRPr="00771368">
              <w:rPr>
                <w:sz w:val="24"/>
                <w:szCs w:val="24"/>
              </w:rPr>
              <w:t>44 alunos</w:t>
            </w:r>
          </w:p>
        </w:tc>
      </w:tr>
      <w:tr w:rsidR="00D24E61" w:rsidRPr="00771368">
        <w:trPr>
          <w:trHeight w:val="160"/>
        </w:trPr>
        <w:tc>
          <w:tcPr>
            <w:tcW w:w="80" w:type="dxa"/>
            <w:tcBorders>
              <w:right w:val="single" w:sz="8" w:space="0" w:color="auto"/>
            </w:tcBorders>
            <w:vAlign w:val="bottom"/>
          </w:tcPr>
          <w:p w:rsidR="00D24E61" w:rsidRPr="00771368" w:rsidRDefault="00D24E61">
            <w:pPr>
              <w:rPr>
                <w:sz w:val="13"/>
                <w:szCs w:val="13"/>
              </w:rPr>
            </w:pPr>
          </w:p>
        </w:tc>
        <w:tc>
          <w:tcPr>
            <w:tcW w:w="5080" w:type="dxa"/>
            <w:tcBorders>
              <w:bottom w:val="single" w:sz="8" w:space="0" w:color="auto"/>
            </w:tcBorders>
            <w:vAlign w:val="bottom"/>
          </w:tcPr>
          <w:p w:rsidR="00D24E61" w:rsidRPr="00771368" w:rsidRDefault="00D24E61">
            <w:pPr>
              <w:rPr>
                <w:sz w:val="13"/>
                <w:szCs w:val="13"/>
              </w:rPr>
            </w:pPr>
          </w:p>
        </w:tc>
        <w:tc>
          <w:tcPr>
            <w:tcW w:w="440" w:type="dxa"/>
            <w:tcBorders>
              <w:bottom w:val="single" w:sz="8" w:space="0" w:color="auto"/>
              <w:right w:val="single" w:sz="8" w:space="0" w:color="auto"/>
            </w:tcBorders>
            <w:vAlign w:val="bottom"/>
          </w:tcPr>
          <w:p w:rsidR="00D24E61" w:rsidRPr="00771368" w:rsidRDefault="00D24E61">
            <w:pPr>
              <w:rPr>
                <w:sz w:val="13"/>
                <w:szCs w:val="13"/>
              </w:rPr>
            </w:pPr>
          </w:p>
        </w:tc>
        <w:tc>
          <w:tcPr>
            <w:tcW w:w="2960" w:type="dxa"/>
            <w:tcBorders>
              <w:bottom w:val="single" w:sz="8" w:space="0" w:color="auto"/>
              <w:right w:val="single" w:sz="8" w:space="0" w:color="auto"/>
            </w:tcBorders>
            <w:vAlign w:val="bottom"/>
          </w:tcPr>
          <w:p w:rsidR="00D24E61" w:rsidRPr="00771368" w:rsidRDefault="00D24E61">
            <w:pPr>
              <w:rPr>
                <w:sz w:val="13"/>
                <w:szCs w:val="13"/>
              </w:rPr>
            </w:pPr>
          </w:p>
        </w:tc>
      </w:tr>
      <w:tr w:rsidR="00D24E61" w:rsidRPr="00771368">
        <w:trPr>
          <w:trHeight w:val="255"/>
        </w:trPr>
        <w:tc>
          <w:tcPr>
            <w:tcW w:w="80" w:type="dxa"/>
            <w:tcBorders>
              <w:right w:val="single" w:sz="8" w:space="0" w:color="auto"/>
            </w:tcBorders>
            <w:vAlign w:val="bottom"/>
          </w:tcPr>
          <w:p w:rsidR="00D24E61" w:rsidRPr="00771368" w:rsidRDefault="00D24E61"/>
        </w:tc>
        <w:tc>
          <w:tcPr>
            <w:tcW w:w="5080" w:type="dxa"/>
            <w:vAlign w:val="bottom"/>
          </w:tcPr>
          <w:p w:rsidR="00D24E61" w:rsidRPr="00771368" w:rsidRDefault="00D24E61">
            <w:pPr>
              <w:spacing w:line="254" w:lineRule="exact"/>
              <w:ind w:left="100"/>
              <w:rPr>
                <w:sz w:val="20"/>
                <w:szCs w:val="20"/>
              </w:rPr>
            </w:pPr>
            <w:r w:rsidRPr="00771368">
              <w:rPr>
                <w:sz w:val="24"/>
                <w:szCs w:val="24"/>
              </w:rPr>
              <w:t>É carinhosa, sincera e humilde.</w:t>
            </w:r>
          </w:p>
        </w:tc>
        <w:tc>
          <w:tcPr>
            <w:tcW w:w="440" w:type="dxa"/>
            <w:tcBorders>
              <w:right w:val="single" w:sz="8" w:space="0" w:color="auto"/>
            </w:tcBorders>
            <w:vAlign w:val="bottom"/>
          </w:tcPr>
          <w:p w:rsidR="00D24E61" w:rsidRPr="00771368" w:rsidRDefault="00D24E61"/>
        </w:tc>
        <w:tc>
          <w:tcPr>
            <w:tcW w:w="2960" w:type="dxa"/>
            <w:tcBorders>
              <w:right w:val="single" w:sz="8" w:space="0" w:color="auto"/>
            </w:tcBorders>
            <w:vAlign w:val="bottom"/>
          </w:tcPr>
          <w:p w:rsidR="00D24E61" w:rsidRPr="00771368" w:rsidRDefault="00D24E61">
            <w:pPr>
              <w:spacing w:line="254" w:lineRule="exact"/>
              <w:ind w:left="100"/>
              <w:rPr>
                <w:sz w:val="20"/>
                <w:szCs w:val="20"/>
              </w:rPr>
            </w:pPr>
            <w:r w:rsidRPr="00771368">
              <w:rPr>
                <w:sz w:val="24"/>
                <w:szCs w:val="24"/>
              </w:rPr>
              <w:t>20 alunos</w:t>
            </w:r>
          </w:p>
        </w:tc>
      </w:tr>
      <w:tr w:rsidR="00D24E61" w:rsidRPr="00771368">
        <w:trPr>
          <w:trHeight w:val="145"/>
        </w:trPr>
        <w:tc>
          <w:tcPr>
            <w:tcW w:w="80" w:type="dxa"/>
            <w:tcBorders>
              <w:right w:val="single" w:sz="8" w:space="0" w:color="auto"/>
            </w:tcBorders>
            <w:vAlign w:val="bottom"/>
          </w:tcPr>
          <w:p w:rsidR="00D24E61" w:rsidRPr="00771368" w:rsidRDefault="00D24E61">
            <w:pPr>
              <w:rPr>
                <w:sz w:val="12"/>
                <w:szCs w:val="12"/>
              </w:rPr>
            </w:pPr>
          </w:p>
        </w:tc>
        <w:tc>
          <w:tcPr>
            <w:tcW w:w="5080" w:type="dxa"/>
            <w:tcBorders>
              <w:bottom w:val="single" w:sz="8" w:space="0" w:color="auto"/>
            </w:tcBorders>
            <w:vAlign w:val="bottom"/>
          </w:tcPr>
          <w:p w:rsidR="00D24E61" w:rsidRPr="00771368" w:rsidRDefault="00D24E61">
            <w:pPr>
              <w:rPr>
                <w:sz w:val="12"/>
                <w:szCs w:val="12"/>
              </w:rPr>
            </w:pPr>
          </w:p>
        </w:tc>
        <w:tc>
          <w:tcPr>
            <w:tcW w:w="440" w:type="dxa"/>
            <w:tcBorders>
              <w:bottom w:val="single" w:sz="8" w:space="0" w:color="auto"/>
              <w:right w:val="single" w:sz="8" w:space="0" w:color="auto"/>
            </w:tcBorders>
            <w:vAlign w:val="bottom"/>
          </w:tcPr>
          <w:p w:rsidR="00D24E61" w:rsidRPr="00771368" w:rsidRDefault="00D24E61">
            <w:pPr>
              <w:rPr>
                <w:sz w:val="12"/>
                <w:szCs w:val="12"/>
              </w:rPr>
            </w:pPr>
          </w:p>
        </w:tc>
        <w:tc>
          <w:tcPr>
            <w:tcW w:w="2960" w:type="dxa"/>
            <w:tcBorders>
              <w:bottom w:val="single" w:sz="8" w:space="0" w:color="auto"/>
              <w:right w:val="single" w:sz="8" w:space="0" w:color="auto"/>
            </w:tcBorders>
            <w:vAlign w:val="bottom"/>
          </w:tcPr>
          <w:p w:rsidR="00D24E61" w:rsidRPr="00771368" w:rsidRDefault="00D24E61">
            <w:pPr>
              <w:rPr>
                <w:sz w:val="12"/>
                <w:szCs w:val="12"/>
              </w:rPr>
            </w:pPr>
          </w:p>
        </w:tc>
      </w:tr>
    </w:tbl>
    <w:p w:rsidR="00D24E61" w:rsidRPr="00771368" w:rsidRDefault="00013211">
      <w:pPr>
        <w:rPr>
          <w:sz w:val="20"/>
          <w:szCs w:val="20"/>
        </w:rPr>
        <w:sectPr w:rsidR="00D24E61" w:rsidRPr="00771368">
          <w:pgSz w:w="11920" w:h="16845"/>
          <w:pgMar w:top="1440" w:right="1680" w:bottom="1440" w:left="1420" w:header="0" w:footer="0" w:gutter="0"/>
          <w:cols w:space="720" w:equalWidth="0">
            <w:col w:w="8820"/>
          </w:cols>
        </w:sectPr>
      </w:pPr>
      <w:r>
        <w:rPr>
          <w:noProof/>
          <w:sz w:val="20"/>
          <w:szCs w:val="20"/>
        </w:rPr>
        <mc:AlternateContent>
          <mc:Choice Requires="wps">
            <w:drawing>
              <wp:anchor distT="0" distB="0" distL="0" distR="0" simplePos="0" relativeHeight="251641344" behindDoc="1" locked="0" layoutInCell="0" allowOverlap="1">
                <wp:simplePos x="0" y="0"/>
                <wp:positionH relativeFrom="column">
                  <wp:posOffset>5419725</wp:posOffset>
                </wp:positionH>
                <wp:positionV relativeFrom="paragraph">
                  <wp:posOffset>-1087755</wp:posOffset>
                </wp:positionV>
                <wp:extent cx="12065" cy="12065"/>
                <wp:effectExtent l="0" t="0" r="0" b="0"/>
                <wp:wrapNone/>
                <wp:docPr id="28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26.75pt;margin-top:-85.65pt;width:.95pt;height:.9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QXcwIAAPs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" o:allowincell="f" fillcolor="black" stroked="f"/>
            </w:pict>
          </mc:Fallback>
        </mc:AlternateContent>
      </w:r>
    </w:p>
    <w:p w:rsidR="00D24E61" w:rsidRPr="00771368" w:rsidRDefault="00D24E61">
      <w:pPr>
        <w:spacing w:line="10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5540"/>
        <w:gridCol w:w="2960"/>
      </w:tblGrid>
      <w:tr w:rsidR="00D24E61" w:rsidRPr="00771368">
        <w:trPr>
          <w:trHeight w:val="275"/>
        </w:trPr>
        <w:tc>
          <w:tcPr>
            <w:tcW w:w="5540" w:type="dxa"/>
            <w:tcBorders>
              <w:top w:val="single" w:sz="8" w:space="0" w:color="auto"/>
              <w:left w:val="single" w:sz="8" w:space="0" w:color="auto"/>
              <w:right w:val="single" w:sz="8" w:space="0" w:color="auto"/>
            </w:tcBorders>
            <w:vAlign w:val="bottom"/>
          </w:tcPr>
          <w:p w:rsidR="00D24E61" w:rsidRPr="00771368" w:rsidRDefault="00D24E61">
            <w:pPr>
              <w:spacing w:line="275" w:lineRule="exact"/>
              <w:ind w:left="120"/>
              <w:rPr>
                <w:sz w:val="20"/>
                <w:szCs w:val="20"/>
              </w:rPr>
            </w:pPr>
            <w:r w:rsidRPr="00771368">
              <w:rPr>
                <w:sz w:val="24"/>
                <w:szCs w:val="24"/>
              </w:rPr>
              <w:t>Adquiri o respeito de sua rua.</w:t>
            </w:r>
          </w:p>
        </w:tc>
        <w:tc>
          <w:tcPr>
            <w:tcW w:w="2960" w:type="dxa"/>
            <w:tcBorders>
              <w:top w:val="single" w:sz="8" w:space="0" w:color="auto"/>
              <w:right w:val="single" w:sz="8" w:space="0" w:color="auto"/>
            </w:tcBorders>
            <w:vAlign w:val="bottom"/>
          </w:tcPr>
          <w:p w:rsidR="00D24E61" w:rsidRPr="00771368" w:rsidRDefault="00D24E61">
            <w:pPr>
              <w:spacing w:line="275" w:lineRule="exact"/>
              <w:ind w:left="100"/>
              <w:rPr>
                <w:sz w:val="20"/>
                <w:szCs w:val="20"/>
              </w:rPr>
            </w:pPr>
            <w:r w:rsidRPr="00771368">
              <w:rPr>
                <w:sz w:val="24"/>
                <w:szCs w:val="24"/>
              </w:rPr>
              <w:t>24 alunos</w:t>
            </w:r>
          </w:p>
        </w:tc>
      </w:tr>
      <w:tr w:rsidR="00D24E61" w:rsidRPr="00771368">
        <w:trPr>
          <w:trHeight w:val="145"/>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2960" w:type="dxa"/>
            <w:tcBorders>
              <w:bottom w:val="single" w:sz="8" w:space="0" w:color="auto"/>
              <w:right w:val="single" w:sz="8" w:space="0" w:color="auto"/>
            </w:tcBorders>
            <w:vAlign w:val="bottom"/>
          </w:tcPr>
          <w:p w:rsidR="00D24E61" w:rsidRPr="00771368" w:rsidRDefault="00D24E61">
            <w:pPr>
              <w:rPr>
                <w:sz w:val="12"/>
                <w:szCs w:val="12"/>
              </w:rPr>
            </w:pPr>
          </w:p>
        </w:tc>
      </w:tr>
      <w:tr w:rsidR="00D24E61" w:rsidRPr="00771368">
        <w:trPr>
          <w:trHeight w:val="255"/>
        </w:trPr>
        <w:tc>
          <w:tcPr>
            <w:tcW w:w="5540" w:type="dxa"/>
            <w:tcBorders>
              <w:left w:val="single" w:sz="8" w:space="0" w:color="auto"/>
              <w:right w:val="single" w:sz="8" w:space="0" w:color="auto"/>
            </w:tcBorders>
            <w:vAlign w:val="bottom"/>
          </w:tcPr>
          <w:p w:rsidR="00D24E61" w:rsidRPr="00771368" w:rsidRDefault="00D24E61">
            <w:pPr>
              <w:spacing w:line="255" w:lineRule="exact"/>
              <w:ind w:left="120"/>
              <w:rPr>
                <w:sz w:val="20"/>
                <w:szCs w:val="20"/>
              </w:rPr>
            </w:pPr>
            <w:r w:rsidRPr="00771368">
              <w:rPr>
                <w:sz w:val="24"/>
                <w:szCs w:val="24"/>
              </w:rPr>
              <w:t>É aquela que pega o homem certo.</w:t>
            </w:r>
          </w:p>
        </w:tc>
        <w:tc>
          <w:tcPr>
            <w:tcW w:w="2960" w:type="dxa"/>
            <w:tcBorders>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12 alunos</w:t>
            </w:r>
          </w:p>
        </w:tc>
      </w:tr>
      <w:tr w:rsidR="00D24E61" w:rsidRPr="00771368">
        <w:trPr>
          <w:trHeight w:val="160"/>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3"/>
                <w:szCs w:val="13"/>
              </w:rPr>
            </w:pPr>
          </w:p>
        </w:tc>
        <w:tc>
          <w:tcPr>
            <w:tcW w:w="2960" w:type="dxa"/>
            <w:tcBorders>
              <w:bottom w:val="single" w:sz="8" w:space="0" w:color="auto"/>
              <w:right w:val="single" w:sz="8" w:space="0" w:color="auto"/>
            </w:tcBorders>
            <w:vAlign w:val="bottom"/>
          </w:tcPr>
          <w:p w:rsidR="00D24E61" w:rsidRPr="00771368" w:rsidRDefault="00D24E61">
            <w:pPr>
              <w:rPr>
                <w:sz w:val="13"/>
                <w:szCs w:val="13"/>
              </w:rPr>
            </w:pPr>
          </w:p>
        </w:tc>
      </w:tr>
      <w:tr w:rsidR="00D24E61" w:rsidRPr="00771368">
        <w:trPr>
          <w:trHeight w:val="240"/>
        </w:trPr>
        <w:tc>
          <w:tcPr>
            <w:tcW w:w="5540" w:type="dxa"/>
            <w:tcBorders>
              <w:left w:val="single" w:sz="8" w:space="0" w:color="auto"/>
              <w:right w:val="single" w:sz="8" w:space="0" w:color="auto"/>
            </w:tcBorders>
            <w:vAlign w:val="bottom"/>
          </w:tcPr>
          <w:p w:rsidR="00D24E61" w:rsidRPr="00771368" w:rsidRDefault="00D24E61">
            <w:pPr>
              <w:spacing w:line="240" w:lineRule="exact"/>
              <w:ind w:left="120"/>
              <w:rPr>
                <w:sz w:val="20"/>
                <w:szCs w:val="20"/>
              </w:rPr>
            </w:pPr>
            <w:r w:rsidRPr="00771368">
              <w:rPr>
                <w:sz w:val="24"/>
                <w:szCs w:val="24"/>
              </w:rPr>
              <w:t>Sabe valorizar  o pouco que tem.</w:t>
            </w:r>
          </w:p>
        </w:tc>
        <w:tc>
          <w:tcPr>
            <w:tcW w:w="2960" w:type="dxa"/>
            <w:tcBorders>
              <w:right w:val="single" w:sz="8" w:space="0" w:color="auto"/>
            </w:tcBorders>
            <w:vAlign w:val="bottom"/>
          </w:tcPr>
          <w:p w:rsidR="00D24E61" w:rsidRPr="00771368" w:rsidRDefault="00D24E61">
            <w:pPr>
              <w:spacing w:line="240" w:lineRule="exact"/>
              <w:ind w:left="100"/>
              <w:rPr>
                <w:sz w:val="20"/>
                <w:szCs w:val="20"/>
              </w:rPr>
            </w:pPr>
            <w:r w:rsidRPr="00771368">
              <w:rPr>
                <w:sz w:val="24"/>
                <w:szCs w:val="24"/>
              </w:rPr>
              <w:t>08 alunos</w:t>
            </w:r>
          </w:p>
        </w:tc>
      </w:tr>
      <w:tr w:rsidR="00D24E61" w:rsidRPr="00771368">
        <w:trPr>
          <w:trHeight w:val="160"/>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3"/>
                <w:szCs w:val="13"/>
              </w:rPr>
            </w:pPr>
          </w:p>
        </w:tc>
        <w:tc>
          <w:tcPr>
            <w:tcW w:w="2960" w:type="dxa"/>
            <w:tcBorders>
              <w:bottom w:val="single" w:sz="8" w:space="0" w:color="auto"/>
              <w:right w:val="single" w:sz="8" w:space="0" w:color="auto"/>
            </w:tcBorders>
            <w:vAlign w:val="bottom"/>
          </w:tcPr>
          <w:p w:rsidR="00D24E61" w:rsidRPr="00771368" w:rsidRDefault="00D24E61">
            <w:pPr>
              <w:rPr>
                <w:sz w:val="13"/>
                <w:szCs w:val="13"/>
              </w:rPr>
            </w:pPr>
          </w:p>
        </w:tc>
      </w:tr>
      <w:tr w:rsidR="00D24E61" w:rsidRPr="00771368">
        <w:trPr>
          <w:trHeight w:val="240"/>
        </w:trPr>
        <w:tc>
          <w:tcPr>
            <w:tcW w:w="5540" w:type="dxa"/>
            <w:tcBorders>
              <w:left w:val="single" w:sz="8" w:space="0" w:color="auto"/>
              <w:right w:val="single" w:sz="8" w:space="0" w:color="auto"/>
            </w:tcBorders>
            <w:vAlign w:val="bottom"/>
          </w:tcPr>
          <w:p w:rsidR="00D24E61" w:rsidRPr="00771368" w:rsidRDefault="00D24E61">
            <w:pPr>
              <w:spacing w:line="239" w:lineRule="exact"/>
              <w:ind w:left="120"/>
              <w:rPr>
                <w:sz w:val="20"/>
                <w:szCs w:val="20"/>
              </w:rPr>
            </w:pPr>
            <w:r w:rsidRPr="00771368">
              <w:rPr>
                <w:sz w:val="24"/>
                <w:szCs w:val="24"/>
              </w:rPr>
              <w:t>É mãe batalhadora.</w:t>
            </w:r>
          </w:p>
        </w:tc>
        <w:tc>
          <w:tcPr>
            <w:tcW w:w="2960" w:type="dxa"/>
            <w:tcBorders>
              <w:right w:val="single" w:sz="8" w:space="0" w:color="auto"/>
            </w:tcBorders>
            <w:vAlign w:val="bottom"/>
          </w:tcPr>
          <w:p w:rsidR="00D24E61" w:rsidRPr="00771368" w:rsidRDefault="00D24E61">
            <w:pPr>
              <w:spacing w:line="239" w:lineRule="exact"/>
              <w:ind w:left="100"/>
              <w:rPr>
                <w:sz w:val="20"/>
                <w:szCs w:val="20"/>
              </w:rPr>
            </w:pPr>
            <w:r w:rsidRPr="00771368">
              <w:rPr>
                <w:sz w:val="24"/>
                <w:szCs w:val="24"/>
              </w:rPr>
              <w:t>08 alunos</w:t>
            </w:r>
          </w:p>
        </w:tc>
      </w:tr>
      <w:tr w:rsidR="00D24E61" w:rsidRPr="00771368">
        <w:trPr>
          <w:trHeight w:val="161"/>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3"/>
                <w:szCs w:val="13"/>
              </w:rPr>
            </w:pPr>
          </w:p>
        </w:tc>
        <w:tc>
          <w:tcPr>
            <w:tcW w:w="2960" w:type="dxa"/>
            <w:tcBorders>
              <w:bottom w:val="single" w:sz="8" w:space="0" w:color="auto"/>
              <w:right w:val="single" w:sz="8" w:space="0" w:color="auto"/>
            </w:tcBorders>
            <w:vAlign w:val="bottom"/>
          </w:tcPr>
          <w:p w:rsidR="00D24E61" w:rsidRPr="00771368" w:rsidRDefault="00D24E61">
            <w:pPr>
              <w:rPr>
                <w:sz w:val="13"/>
                <w:szCs w:val="13"/>
              </w:rPr>
            </w:pPr>
          </w:p>
        </w:tc>
      </w:tr>
      <w:tr w:rsidR="00D24E61" w:rsidRPr="00771368">
        <w:trPr>
          <w:trHeight w:val="255"/>
        </w:trPr>
        <w:tc>
          <w:tcPr>
            <w:tcW w:w="5540" w:type="dxa"/>
            <w:tcBorders>
              <w:left w:val="single" w:sz="8" w:space="0" w:color="auto"/>
              <w:right w:val="single" w:sz="8" w:space="0" w:color="auto"/>
            </w:tcBorders>
            <w:vAlign w:val="bottom"/>
          </w:tcPr>
          <w:p w:rsidR="00D24E61" w:rsidRPr="00771368" w:rsidRDefault="00D24E61">
            <w:pPr>
              <w:spacing w:line="254" w:lineRule="exact"/>
              <w:ind w:left="120"/>
              <w:rPr>
                <w:sz w:val="20"/>
                <w:szCs w:val="20"/>
              </w:rPr>
            </w:pPr>
            <w:r w:rsidRPr="00771368">
              <w:rPr>
                <w:sz w:val="24"/>
                <w:szCs w:val="24"/>
              </w:rPr>
              <w:t>Que tem senso de humor.</w:t>
            </w:r>
          </w:p>
        </w:tc>
        <w:tc>
          <w:tcPr>
            <w:tcW w:w="2960" w:type="dxa"/>
            <w:tcBorders>
              <w:right w:val="single" w:sz="8" w:space="0" w:color="auto"/>
            </w:tcBorders>
            <w:vAlign w:val="bottom"/>
          </w:tcPr>
          <w:p w:rsidR="00D24E61" w:rsidRPr="00771368" w:rsidRDefault="00D24E61">
            <w:pPr>
              <w:spacing w:line="254" w:lineRule="exact"/>
              <w:ind w:left="100"/>
              <w:rPr>
                <w:sz w:val="20"/>
                <w:szCs w:val="20"/>
              </w:rPr>
            </w:pPr>
            <w:r w:rsidRPr="00771368">
              <w:rPr>
                <w:sz w:val="24"/>
                <w:szCs w:val="24"/>
              </w:rPr>
              <w:t>08 alunos</w:t>
            </w:r>
          </w:p>
        </w:tc>
      </w:tr>
      <w:tr w:rsidR="00D24E61" w:rsidRPr="00771368">
        <w:trPr>
          <w:trHeight w:val="145"/>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2960" w:type="dxa"/>
            <w:tcBorders>
              <w:bottom w:val="single" w:sz="8" w:space="0" w:color="auto"/>
              <w:right w:val="single" w:sz="8" w:space="0" w:color="auto"/>
            </w:tcBorders>
            <w:vAlign w:val="bottom"/>
          </w:tcPr>
          <w:p w:rsidR="00D24E61" w:rsidRPr="00771368" w:rsidRDefault="00D24E61">
            <w:pPr>
              <w:rPr>
                <w:sz w:val="12"/>
                <w:szCs w:val="12"/>
              </w:rPr>
            </w:pPr>
          </w:p>
        </w:tc>
      </w:tr>
      <w:tr w:rsidR="00D24E61" w:rsidRPr="00771368">
        <w:trPr>
          <w:trHeight w:val="255"/>
        </w:trPr>
        <w:tc>
          <w:tcPr>
            <w:tcW w:w="5540" w:type="dxa"/>
            <w:tcBorders>
              <w:left w:val="single" w:sz="8" w:space="0" w:color="auto"/>
              <w:right w:val="single" w:sz="8" w:space="0" w:color="auto"/>
            </w:tcBorders>
            <w:vAlign w:val="bottom"/>
          </w:tcPr>
          <w:p w:rsidR="00D24E61" w:rsidRPr="00771368" w:rsidRDefault="00D24E61">
            <w:pPr>
              <w:spacing w:line="255" w:lineRule="exact"/>
              <w:ind w:left="120"/>
              <w:rPr>
                <w:sz w:val="20"/>
                <w:szCs w:val="20"/>
              </w:rPr>
            </w:pPr>
            <w:r w:rsidRPr="00771368">
              <w:rPr>
                <w:sz w:val="24"/>
                <w:szCs w:val="24"/>
              </w:rPr>
              <w:t>Ajuda o seu homem.</w:t>
            </w:r>
          </w:p>
        </w:tc>
        <w:tc>
          <w:tcPr>
            <w:tcW w:w="2960" w:type="dxa"/>
            <w:tcBorders>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08 alunos</w:t>
            </w:r>
          </w:p>
        </w:tc>
      </w:tr>
      <w:tr w:rsidR="00D24E61" w:rsidRPr="00771368">
        <w:trPr>
          <w:trHeight w:val="160"/>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3"/>
                <w:szCs w:val="13"/>
              </w:rPr>
            </w:pPr>
          </w:p>
        </w:tc>
        <w:tc>
          <w:tcPr>
            <w:tcW w:w="2960" w:type="dxa"/>
            <w:tcBorders>
              <w:bottom w:val="single" w:sz="8" w:space="0" w:color="auto"/>
              <w:right w:val="single" w:sz="8" w:space="0" w:color="auto"/>
            </w:tcBorders>
            <w:vAlign w:val="bottom"/>
          </w:tcPr>
          <w:p w:rsidR="00D24E61" w:rsidRPr="00771368" w:rsidRDefault="00D24E61">
            <w:pPr>
              <w:rPr>
                <w:sz w:val="13"/>
                <w:szCs w:val="13"/>
              </w:rPr>
            </w:pPr>
          </w:p>
        </w:tc>
      </w:tr>
      <w:tr w:rsidR="00D24E61" w:rsidRPr="00771368">
        <w:trPr>
          <w:trHeight w:val="241"/>
        </w:trPr>
        <w:tc>
          <w:tcPr>
            <w:tcW w:w="5540" w:type="dxa"/>
            <w:tcBorders>
              <w:left w:val="single" w:sz="8" w:space="0" w:color="auto"/>
              <w:right w:val="single" w:sz="8" w:space="0" w:color="auto"/>
            </w:tcBorders>
            <w:vAlign w:val="bottom"/>
          </w:tcPr>
          <w:p w:rsidR="00D24E61" w:rsidRPr="00771368" w:rsidRDefault="00D24E61">
            <w:pPr>
              <w:spacing w:line="240" w:lineRule="exact"/>
              <w:ind w:left="120"/>
              <w:rPr>
                <w:sz w:val="20"/>
                <w:szCs w:val="20"/>
              </w:rPr>
            </w:pPr>
            <w:r w:rsidRPr="00771368">
              <w:rPr>
                <w:sz w:val="24"/>
                <w:szCs w:val="24"/>
              </w:rPr>
              <w:t>Sabe cozinhar.</w:t>
            </w:r>
          </w:p>
        </w:tc>
        <w:tc>
          <w:tcPr>
            <w:tcW w:w="2960" w:type="dxa"/>
            <w:tcBorders>
              <w:right w:val="single" w:sz="8" w:space="0" w:color="auto"/>
            </w:tcBorders>
            <w:vAlign w:val="bottom"/>
          </w:tcPr>
          <w:p w:rsidR="00D24E61" w:rsidRPr="00771368" w:rsidRDefault="00D24E61">
            <w:pPr>
              <w:spacing w:line="240" w:lineRule="exact"/>
              <w:ind w:left="100"/>
              <w:rPr>
                <w:sz w:val="20"/>
                <w:szCs w:val="20"/>
              </w:rPr>
            </w:pPr>
            <w:r w:rsidRPr="00771368">
              <w:rPr>
                <w:sz w:val="24"/>
                <w:szCs w:val="24"/>
              </w:rPr>
              <w:t>04 alunos</w:t>
            </w:r>
          </w:p>
        </w:tc>
      </w:tr>
      <w:tr w:rsidR="00D24E61" w:rsidRPr="00771368">
        <w:trPr>
          <w:trHeight w:val="160"/>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3"/>
                <w:szCs w:val="13"/>
              </w:rPr>
            </w:pPr>
          </w:p>
        </w:tc>
        <w:tc>
          <w:tcPr>
            <w:tcW w:w="2960" w:type="dxa"/>
            <w:tcBorders>
              <w:bottom w:val="single" w:sz="8" w:space="0" w:color="auto"/>
              <w:right w:val="single" w:sz="8" w:space="0" w:color="auto"/>
            </w:tcBorders>
            <w:vAlign w:val="bottom"/>
          </w:tcPr>
          <w:p w:rsidR="00D24E61" w:rsidRPr="00771368" w:rsidRDefault="00D24E61">
            <w:pPr>
              <w:rPr>
                <w:sz w:val="13"/>
                <w:szCs w:val="13"/>
              </w:rPr>
            </w:pPr>
          </w:p>
        </w:tc>
      </w:tr>
      <w:tr w:rsidR="00D24E61" w:rsidRPr="00771368">
        <w:trPr>
          <w:trHeight w:val="255"/>
        </w:trPr>
        <w:tc>
          <w:tcPr>
            <w:tcW w:w="5540" w:type="dxa"/>
            <w:tcBorders>
              <w:left w:val="single" w:sz="8" w:space="0" w:color="auto"/>
              <w:right w:val="single" w:sz="8" w:space="0" w:color="auto"/>
            </w:tcBorders>
            <w:vAlign w:val="bottom"/>
          </w:tcPr>
          <w:p w:rsidR="00D24E61" w:rsidRPr="00771368" w:rsidRDefault="00D24E61">
            <w:pPr>
              <w:spacing w:line="254" w:lineRule="exact"/>
              <w:ind w:left="120"/>
              <w:rPr>
                <w:sz w:val="20"/>
                <w:szCs w:val="20"/>
              </w:rPr>
            </w:pPr>
            <w:r w:rsidRPr="00771368">
              <w:rPr>
                <w:sz w:val="24"/>
                <w:szCs w:val="24"/>
              </w:rPr>
              <w:t>Obedece e ajuda.</w:t>
            </w:r>
          </w:p>
        </w:tc>
        <w:tc>
          <w:tcPr>
            <w:tcW w:w="2960" w:type="dxa"/>
            <w:tcBorders>
              <w:right w:val="single" w:sz="8" w:space="0" w:color="auto"/>
            </w:tcBorders>
            <w:vAlign w:val="bottom"/>
          </w:tcPr>
          <w:p w:rsidR="00D24E61" w:rsidRPr="00771368" w:rsidRDefault="00D24E61">
            <w:pPr>
              <w:spacing w:line="254" w:lineRule="exact"/>
              <w:ind w:left="100"/>
              <w:rPr>
                <w:sz w:val="20"/>
                <w:szCs w:val="20"/>
              </w:rPr>
            </w:pPr>
            <w:r w:rsidRPr="00771368">
              <w:rPr>
                <w:sz w:val="24"/>
                <w:szCs w:val="24"/>
              </w:rPr>
              <w:t>04 alunos</w:t>
            </w:r>
          </w:p>
        </w:tc>
      </w:tr>
      <w:tr w:rsidR="00D24E61" w:rsidRPr="00771368">
        <w:trPr>
          <w:trHeight w:val="145"/>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2960" w:type="dxa"/>
            <w:tcBorders>
              <w:bottom w:val="single" w:sz="8" w:space="0" w:color="auto"/>
              <w:right w:val="single" w:sz="8" w:space="0" w:color="auto"/>
            </w:tcBorders>
            <w:vAlign w:val="bottom"/>
          </w:tcPr>
          <w:p w:rsidR="00D24E61" w:rsidRPr="00771368" w:rsidRDefault="00D24E61">
            <w:pPr>
              <w:rPr>
                <w:sz w:val="12"/>
                <w:szCs w:val="12"/>
              </w:rPr>
            </w:pPr>
          </w:p>
        </w:tc>
      </w:tr>
      <w:tr w:rsidR="00D24E61" w:rsidRPr="00771368">
        <w:trPr>
          <w:trHeight w:val="255"/>
        </w:trPr>
        <w:tc>
          <w:tcPr>
            <w:tcW w:w="5540" w:type="dxa"/>
            <w:tcBorders>
              <w:left w:val="single" w:sz="8" w:space="0" w:color="auto"/>
              <w:right w:val="single" w:sz="8" w:space="0" w:color="auto"/>
            </w:tcBorders>
            <w:vAlign w:val="bottom"/>
          </w:tcPr>
          <w:p w:rsidR="00D24E61" w:rsidRPr="00771368" w:rsidRDefault="00D24E61">
            <w:pPr>
              <w:spacing w:line="254" w:lineRule="exact"/>
              <w:ind w:left="120"/>
              <w:rPr>
                <w:sz w:val="20"/>
                <w:szCs w:val="20"/>
              </w:rPr>
            </w:pPr>
            <w:r w:rsidRPr="00771368">
              <w:rPr>
                <w:sz w:val="24"/>
                <w:szCs w:val="24"/>
              </w:rPr>
              <w:t>Sabe fazer de tudo um pouco.</w:t>
            </w:r>
          </w:p>
        </w:tc>
        <w:tc>
          <w:tcPr>
            <w:tcW w:w="2960" w:type="dxa"/>
            <w:tcBorders>
              <w:right w:val="single" w:sz="8" w:space="0" w:color="auto"/>
            </w:tcBorders>
            <w:vAlign w:val="bottom"/>
          </w:tcPr>
          <w:p w:rsidR="00D24E61" w:rsidRPr="00771368" w:rsidRDefault="00D24E61">
            <w:pPr>
              <w:spacing w:line="254" w:lineRule="exact"/>
              <w:ind w:left="100"/>
              <w:rPr>
                <w:sz w:val="20"/>
                <w:szCs w:val="20"/>
              </w:rPr>
            </w:pPr>
            <w:r w:rsidRPr="00771368">
              <w:rPr>
                <w:sz w:val="24"/>
                <w:szCs w:val="24"/>
              </w:rPr>
              <w:t>04 alunos</w:t>
            </w:r>
          </w:p>
        </w:tc>
      </w:tr>
      <w:tr w:rsidR="00D24E61" w:rsidRPr="00771368">
        <w:trPr>
          <w:trHeight w:val="145"/>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2960" w:type="dxa"/>
            <w:tcBorders>
              <w:bottom w:val="single" w:sz="8" w:space="0" w:color="auto"/>
              <w:right w:val="single" w:sz="8" w:space="0" w:color="auto"/>
            </w:tcBorders>
            <w:vAlign w:val="bottom"/>
          </w:tcPr>
          <w:p w:rsidR="00D24E61" w:rsidRPr="00771368" w:rsidRDefault="00D24E61">
            <w:pPr>
              <w:rPr>
                <w:sz w:val="12"/>
                <w:szCs w:val="12"/>
              </w:rPr>
            </w:pPr>
          </w:p>
        </w:tc>
      </w:tr>
      <w:tr w:rsidR="00D24E61" w:rsidRPr="00771368">
        <w:trPr>
          <w:trHeight w:val="256"/>
        </w:trPr>
        <w:tc>
          <w:tcPr>
            <w:tcW w:w="5540" w:type="dxa"/>
            <w:tcBorders>
              <w:left w:val="single" w:sz="8" w:space="0" w:color="auto"/>
              <w:right w:val="single" w:sz="8" w:space="0" w:color="auto"/>
            </w:tcBorders>
            <w:vAlign w:val="bottom"/>
          </w:tcPr>
          <w:p w:rsidR="00D24E61" w:rsidRPr="00771368" w:rsidRDefault="00D24E61">
            <w:pPr>
              <w:spacing w:line="255" w:lineRule="exact"/>
              <w:ind w:left="120"/>
              <w:rPr>
                <w:sz w:val="20"/>
                <w:szCs w:val="20"/>
              </w:rPr>
            </w:pPr>
            <w:r w:rsidRPr="00771368">
              <w:rPr>
                <w:sz w:val="24"/>
                <w:szCs w:val="24"/>
              </w:rPr>
              <w:t>Sabe dar amor, cuidar e dar confiança.</w:t>
            </w:r>
          </w:p>
        </w:tc>
        <w:tc>
          <w:tcPr>
            <w:tcW w:w="2960" w:type="dxa"/>
            <w:tcBorders>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04 alunos</w:t>
            </w:r>
          </w:p>
        </w:tc>
      </w:tr>
      <w:tr w:rsidR="00D24E61" w:rsidRPr="00771368">
        <w:trPr>
          <w:trHeight w:val="145"/>
        </w:trPr>
        <w:tc>
          <w:tcPr>
            <w:tcW w:w="554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2960" w:type="dxa"/>
            <w:tcBorders>
              <w:bottom w:val="single" w:sz="8" w:space="0" w:color="auto"/>
              <w:right w:val="single" w:sz="8" w:space="0" w:color="auto"/>
            </w:tcBorders>
            <w:vAlign w:val="bottom"/>
          </w:tcPr>
          <w:p w:rsidR="00D24E61" w:rsidRPr="00771368" w:rsidRDefault="00D24E61">
            <w:pPr>
              <w:rPr>
                <w:sz w:val="12"/>
                <w:szCs w:val="12"/>
              </w:rPr>
            </w:pPr>
          </w:p>
        </w:tc>
      </w:tr>
    </w:tbl>
    <w:p w:rsidR="00D24E61" w:rsidRPr="00771368" w:rsidRDefault="00D24E61">
      <w:pPr>
        <w:spacing w:line="200" w:lineRule="exact"/>
        <w:rPr>
          <w:sz w:val="20"/>
          <w:szCs w:val="20"/>
        </w:rPr>
      </w:pPr>
    </w:p>
    <w:p w:rsidR="00D24E61" w:rsidRPr="00771368" w:rsidRDefault="00D24E61">
      <w:pPr>
        <w:spacing w:line="263" w:lineRule="exact"/>
        <w:rPr>
          <w:sz w:val="20"/>
          <w:szCs w:val="20"/>
        </w:rPr>
      </w:pPr>
    </w:p>
    <w:p w:rsidR="00D24E61" w:rsidRPr="00771368" w:rsidRDefault="00D24E61">
      <w:pPr>
        <w:spacing w:line="314" w:lineRule="auto"/>
        <w:ind w:firstLine="856"/>
        <w:jc w:val="both"/>
        <w:rPr>
          <w:sz w:val="20"/>
          <w:szCs w:val="20"/>
        </w:rPr>
      </w:pPr>
      <w:r w:rsidRPr="00771368">
        <w:rPr>
          <w:sz w:val="24"/>
          <w:szCs w:val="24"/>
        </w:rPr>
        <w:t>Se somarmos a quantidade de alunos ultrapassará a quantidade de textos escritos, entretanto, tivemos vários desses itens repetidos em mais de um texto.</w:t>
      </w:r>
    </w:p>
    <w:p w:rsidR="00D24E61" w:rsidRPr="00771368" w:rsidRDefault="00D24E61">
      <w:pPr>
        <w:spacing w:line="104" w:lineRule="exact"/>
        <w:rPr>
          <w:sz w:val="20"/>
          <w:szCs w:val="20"/>
        </w:rPr>
      </w:pPr>
    </w:p>
    <w:p w:rsidR="00D24E61" w:rsidRPr="00771368" w:rsidRDefault="00D24E61">
      <w:pPr>
        <w:spacing w:line="344" w:lineRule="auto"/>
        <w:ind w:firstLine="856"/>
        <w:jc w:val="both"/>
        <w:rPr>
          <w:sz w:val="20"/>
          <w:szCs w:val="20"/>
        </w:rPr>
      </w:pPr>
      <w:r w:rsidRPr="00771368">
        <w:rPr>
          <w:sz w:val="24"/>
          <w:szCs w:val="24"/>
        </w:rPr>
        <w:t>Tivemos também 20 alunos colocando que a mulher ideal é a mulher que não deve desistir de seus sonhos. 16 alunos disseram que a mulher ideal deve ser batalhadora, 12 alunos colocaram que para ela ser ideal deve gostar de ter seu próprio dinheiro e finalmente 8 alunos colocaram que a mulher ideal deve ser baladeira.</w:t>
      </w:r>
    </w:p>
    <w:p w:rsidR="00D24E61" w:rsidRPr="00771368" w:rsidRDefault="00D24E61">
      <w:pPr>
        <w:spacing w:line="69" w:lineRule="exact"/>
        <w:rPr>
          <w:sz w:val="20"/>
          <w:szCs w:val="20"/>
        </w:rPr>
      </w:pPr>
    </w:p>
    <w:p w:rsidR="00D24E61" w:rsidRPr="00771368" w:rsidRDefault="00D24E61">
      <w:pPr>
        <w:spacing w:line="344" w:lineRule="auto"/>
        <w:ind w:firstLine="856"/>
        <w:jc w:val="both"/>
        <w:rPr>
          <w:sz w:val="20"/>
          <w:szCs w:val="20"/>
        </w:rPr>
      </w:pPr>
      <w:r w:rsidRPr="00771368">
        <w:rPr>
          <w:sz w:val="24"/>
          <w:szCs w:val="24"/>
        </w:rPr>
        <w:t>Após ter passado pela análise de conduta de Lee, no filme Pollock, seguindo sobre os ensinamentos e reflexões sobre o Orientalismo, foi chegada à hora de inserirmos o tema gravidez na adolescência. E através de um novo debate pedimos aos alunos que respondessem à seguinte pergunta:</w:t>
      </w:r>
    </w:p>
    <w:p w:rsidR="00D24E61" w:rsidRPr="00771368" w:rsidRDefault="00D24E61">
      <w:pPr>
        <w:spacing w:line="26" w:lineRule="exact"/>
        <w:rPr>
          <w:sz w:val="20"/>
          <w:szCs w:val="20"/>
        </w:rPr>
      </w:pPr>
    </w:p>
    <w:p w:rsidR="00D24E61" w:rsidRPr="00771368" w:rsidRDefault="00D24E61">
      <w:pPr>
        <w:tabs>
          <w:tab w:val="left" w:pos="2260"/>
          <w:tab w:val="left" w:pos="3100"/>
          <w:tab w:val="left" w:pos="5120"/>
          <w:tab w:val="left" w:pos="6140"/>
          <w:tab w:val="left" w:pos="6880"/>
          <w:tab w:val="left" w:pos="7320"/>
          <w:tab w:val="left" w:pos="8240"/>
        </w:tabs>
        <w:ind w:left="860"/>
        <w:rPr>
          <w:sz w:val="20"/>
          <w:szCs w:val="20"/>
        </w:rPr>
      </w:pPr>
      <w:r w:rsidRPr="00771368">
        <w:rPr>
          <w:sz w:val="24"/>
          <w:szCs w:val="24"/>
        </w:rPr>
        <w:t>IMAGINEM</w:t>
      </w:r>
      <w:r w:rsidRPr="00771368">
        <w:rPr>
          <w:sz w:val="20"/>
          <w:szCs w:val="20"/>
        </w:rPr>
        <w:tab/>
      </w:r>
      <w:r w:rsidRPr="00771368">
        <w:rPr>
          <w:sz w:val="24"/>
          <w:szCs w:val="24"/>
        </w:rPr>
        <w:t>DUAS</w:t>
      </w:r>
      <w:r w:rsidRPr="00771368">
        <w:rPr>
          <w:sz w:val="20"/>
          <w:szCs w:val="20"/>
        </w:rPr>
        <w:tab/>
      </w:r>
      <w:r w:rsidRPr="00771368">
        <w:rPr>
          <w:sz w:val="24"/>
          <w:szCs w:val="24"/>
        </w:rPr>
        <w:t>ADOLESCENTES</w:t>
      </w:r>
      <w:r w:rsidRPr="00771368">
        <w:rPr>
          <w:sz w:val="20"/>
          <w:szCs w:val="20"/>
        </w:rPr>
        <w:tab/>
      </w:r>
      <w:r w:rsidRPr="00771368">
        <w:rPr>
          <w:sz w:val="24"/>
          <w:szCs w:val="24"/>
        </w:rPr>
        <w:t>AMBAS</w:t>
      </w:r>
      <w:r w:rsidRPr="00771368">
        <w:rPr>
          <w:sz w:val="20"/>
          <w:szCs w:val="20"/>
        </w:rPr>
        <w:tab/>
      </w:r>
      <w:r w:rsidRPr="00771368">
        <w:rPr>
          <w:sz w:val="24"/>
          <w:szCs w:val="24"/>
        </w:rPr>
        <w:t>COM</w:t>
      </w:r>
      <w:r w:rsidRPr="00771368">
        <w:rPr>
          <w:sz w:val="20"/>
          <w:szCs w:val="20"/>
        </w:rPr>
        <w:tab/>
      </w:r>
      <w:r w:rsidRPr="00771368">
        <w:rPr>
          <w:sz w:val="24"/>
          <w:szCs w:val="24"/>
        </w:rPr>
        <w:t>15</w:t>
      </w:r>
      <w:r w:rsidRPr="00771368">
        <w:rPr>
          <w:sz w:val="20"/>
          <w:szCs w:val="20"/>
        </w:rPr>
        <w:tab/>
      </w:r>
      <w:r w:rsidRPr="00771368">
        <w:rPr>
          <w:sz w:val="24"/>
          <w:szCs w:val="24"/>
        </w:rPr>
        <w:t>ANOS,</w:t>
      </w:r>
      <w:r w:rsidRPr="00771368">
        <w:rPr>
          <w:sz w:val="20"/>
          <w:szCs w:val="20"/>
        </w:rPr>
        <w:tab/>
      </w:r>
      <w:r w:rsidRPr="00771368">
        <w:rPr>
          <w:sz w:val="23"/>
          <w:szCs w:val="23"/>
        </w:rPr>
        <w:t>UMA</w:t>
      </w:r>
    </w:p>
    <w:p w:rsidR="00D24E61" w:rsidRPr="00771368" w:rsidRDefault="00D24E61">
      <w:pPr>
        <w:spacing w:line="129" w:lineRule="exact"/>
        <w:rPr>
          <w:sz w:val="20"/>
          <w:szCs w:val="20"/>
        </w:rPr>
      </w:pPr>
    </w:p>
    <w:p w:rsidR="00D24E61" w:rsidRPr="00771368" w:rsidRDefault="00D24E61">
      <w:pPr>
        <w:tabs>
          <w:tab w:val="left" w:pos="1460"/>
          <w:tab w:val="left" w:pos="2980"/>
          <w:tab w:val="left" w:pos="3580"/>
          <w:tab w:val="left" w:pos="5540"/>
          <w:tab w:val="left" w:pos="5920"/>
          <w:tab w:val="left" w:pos="6360"/>
          <w:tab w:val="left" w:pos="7380"/>
        </w:tabs>
        <w:rPr>
          <w:sz w:val="20"/>
          <w:szCs w:val="20"/>
        </w:rPr>
      </w:pPr>
      <w:r w:rsidRPr="00771368">
        <w:rPr>
          <w:sz w:val="24"/>
          <w:szCs w:val="24"/>
        </w:rPr>
        <w:t>ORIENTAL,</w:t>
      </w:r>
      <w:r w:rsidRPr="00771368">
        <w:rPr>
          <w:sz w:val="20"/>
          <w:szCs w:val="20"/>
        </w:rPr>
        <w:tab/>
      </w:r>
      <w:r w:rsidRPr="00771368">
        <w:rPr>
          <w:sz w:val="24"/>
          <w:szCs w:val="24"/>
        </w:rPr>
        <w:t>RESIDINDO</w:t>
      </w:r>
      <w:r w:rsidRPr="00771368">
        <w:rPr>
          <w:sz w:val="20"/>
          <w:szCs w:val="20"/>
        </w:rPr>
        <w:tab/>
      </w:r>
      <w:r w:rsidRPr="00771368">
        <w:rPr>
          <w:sz w:val="24"/>
          <w:szCs w:val="24"/>
        </w:rPr>
        <w:t>NO</w:t>
      </w:r>
      <w:r w:rsidRPr="00771368">
        <w:rPr>
          <w:sz w:val="20"/>
          <w:szCs w:val="20"/>
        </w:rPr>
        <w:tab/>
      </w:r>
      <w:r w:rsidRPr="00771368">
        <w:rPr>
          <w:sz w:val="24"/>
          <w:szCs w:val="24"/>
        </w:rPr>
        <w:t>AFEGANISTÃO,</w:t>
      </w:r>
      <w:r w:rsidRPr="00771368">
        <w:rPr>
          <w:sz w:val="20"/>
          <w:szCs w:val="20"/>
        </w:rPr>
        <w:tab/>
      </w:r>
      <w:r w:rsidRPr="00771368">
        <w:rPr>
          <w:sz w:val="24"/>
          <w:szCs w:val="24"/>
        </w:rPr>
        <w:t>E</w:t>
      </w:r>
      <w:r w:rsidRPr="00771368">
        <w:rPr>
          <w:sz w:val="20"/>
          <w:szCs w:val="20"/>
        </w:rPr>
        <w:tab/>
      </w:r>
      <w:r w:rsidRPr="00771368">
        <w:rPr>
          <w:sz w:val="24"/>
          <w:szCs w:val="24"/>
        </w:rPr>
        <w:t>A</w:t>
      </w:r>
      <w:r w:rsidRPr="00771368">
        <w:rPr>
          <w:sz w:val="20"/>
          <w:szCs w:val="20"/>
        </w:rPr>
        <w:tab/>
      </w:r>
      <w:r w:rsidRPr="00771368">
        <w:rPr>
          <w:sz w:val="24"/>
          <w:szCs w:val="24"/>
        </w:rPr>
        <w:t>OUTRA</w:t>
      </w:r>
      <w:r w:rsidRPr="00771368">
        <w:rPr>
          <w:sz w:val="20"/>
          <w:szCs w:val="20"/>
        </w:rPr>
        <w:tab/>
      </w:r>
      <w:r w:rsidRPr="00771368">
        <w:rPr>
          <w:sz w:val="23"/>
          <w:szCs w:val="23"/>
        </w:rPr>
        <w:t>OCIDENTAL,</w:t>
      </w:r>
    </w:p>
    <w:p w:rsidR="00D24E61" w:rsidRPr="00771368" w:rsidRDefault="00D24E61">
      <w:pPr>
        <w:spacing w:line="145" w:lineRule="exact"/>
        <w:rPr>
          <w:sz w:val="20"/>
          <w:szCs w:val="20"/>
        </w:rPr>
      </w:pPr>
    </w:p>
    <w:p w:rsidR="00D24E61" w:rsidRPr="00771368" w:rsidRDefault="00D24E61">
      <w:pPr>
        <w:tabs>
          <w:tab w:val="left" w:pos="1220"/>
          <w:tab w:val="left" w:pos="2660"/>
          <w:tab w:val="left" w:pos="3200"/>
          <w:tab w:val="left" w:pos="4240"/>
          <w:tab w:val="left" w:pos="5060"/>
          <w:tab w:val="left" w:pos="5680"/>
          <w:tab w:val="left" w:pos="6480"/>
          <w:tab w:val="left" w:pos="7040"/>
          <w:tab w:val="left" w:pos="8180"/>
        </w:tabs>
        <w:rPr>
          <w:sz w:val="20"/>
          <w:szCs w:val="20"/>
        </w:rPr>
      </w:pPr>
      <w:r w:rsidRPr="00771368">
        <w:rPr>
          <w:sz w:val="24"/>
          <w:szCs w:val="24"/>
        </w:rPr>
        <w:t>GRÁVIDA</w:t>
      </w:r>
      <w:r w:rsidRPr="00771368">
        <w:rPr>
          <w:sz w:val="20"/>
          <w:szCs w:val="20"/>
        </w:rPr>
        <w:tab/>
      </w:r>
      <w:r w:rsidRPr="00771368">
        <w:rPr>
          <w:sz w:val="24"/>
          <w:szCs w:val="24"/>
        </w:rPr>
        <w:t>RESIDINDO</w:t>
      </w:r>
      <w:r w:rsidRPr="00771368">
        <w:rPr>
          <w:sz w:val="20"/>
          <w:szCs w:val="20"/>
        </w:rPr>
        <w:tab/>
      </w:r>
      <w:r w:rsidRPr="00771368">
        <w:rPr>
          <w:sz w:val="24"/>
          <w:szCs w:val="24"/>
        </w:rPr>
        <w:t>NO</w:t>
      </w:r>
      <w:r w:rsidRPr="00771368">
        <w:rPr>
          <w:sz w:val="20"/>
          <w:szCs w:val="20"/>
        </w:rPr>
        <w:tab/>
      </w:r>
      <w:r w:rsidRPr="00771368">
        <w:rPr>
          <w:sz w:val="24"/>
          <w:szCs w:val="24"/>
        </w:rPr>
        <w:t>BRASIL.</w:t>
      </w:r>
      <w:r w:rsidRPr="00771368">
        <w:rPr>
          <w:sz w:val="20"/>
          <w:szCs w:val="20"/>
        </w:rPr>
        <w:tab/>
      </w:r>
      <w:r w:rsidRPr="00771368">
        <w:rPr>
          <w:sz w:val="24"/>
          <w:szCs w:val="24"/>
        </w:rPr>
        <w:t>QUAL</w:t>
      </w:r>
      <w:r w:rsidRPr="00771368">
        <w:rPr>
          <w:sz w:val="20"/>
          <w:szCs w:val="20"/>
        </w:rPr>
        <w:tab/>
      </w:r>
      <w:r w:rsidRPr="00771368">
        <w:rPr>
          <w:sz w:val="24"/>
          <w:szCs w:val="24"/>
        </w:rPr>
        <w:t>DAS</w:t>
      </w:r>
      <w:r w:rsidRPr="00771368">
        <w:rPr>
          <w:sz w:val="20"/>
          <w:szCs w:val="20"/>
        </w:rPr>
        <w:tab/>
      </w:r>
      <w:r w:rsidRPr="00771368">
        <w:rPr>
          <w:sz w:val="24"/>
          <w:szCs w:val="24"/>
        </w:rPr>
        <w:t>DUAS</w:t>
      </w:r>
      <w:r w:rsidRPr="00771368">
        <w:rPr>
          <w:sz w:val="20"/>
          <w:szCs w:val="20"/>
        </w:rPr>
        <w:tab/>
      </w:r>
      <w:r w:rsidRPr="00771368">
        <w:rPr>
          <w:sz w:val="24"/>
          <w:szCs w:val="24"/>
        </w:rPr>
        <w:t>VAI</w:t>
      </w:r>
      <w:r w:rsidRPr="00771368">
        <w:rPr>
          <w:sz w:val="20"/>
          <w:szCs w:val="20"/>
        </w:rPr>
        <w:tab/>
      </w:r>
      <w:r w:rsidRPr="00771368">
        <w:rPr>
          <w:sz w:val="24"/>
          <w:szCs w:val="24"/>
        </w:rPr>
        <w:t>POSSUIR</w:t>
      </w:r>
      <w:r w:rsidRPr="00771368">
        <w:rPr>
          <w:sz w:val="20"/>
          <w:szCs w:val="20"/>
        </w:rPr>
        <w:tab/>
      </w:r>
      <w:r w:rsidRPr="00771368">
        <w:rPr>
          <w:sz w:val="23"/>
          <w:szCs w:val="23"/>
        </w:rPr>
        <w:t>MAIS</w:t>
      </w:r>
    </w:p>
    <w:p w:rsidR="00D24E61" w:rsidRPr="00771368" w:rsidRDefault="00D24E61">
      <w:pPr>
        <w:spacing w:line="145" w:lineRule="exact"/>
        <w:rPr>
          <w:sz w:val="20"/>
          <w:szCs w:val="20"/>
        </w:rPr>
      </w:pPr>
    </w:p>
    <w:p w:rsidR="00D24E61" w:rsidRPr="00771368" w:rsidRDefault="00D24E61">
      <w:pPr>
        <w:rPr>
          <w:sz w:val="20"/>
          <w:szCs w:val="20"/>
        </w:rPr>
      </w:pPr>
      <w:r w:rsidRPr="00771368">
        <w:rPr>
          <w:sz w:val="24"/>
          <w:szCs w:val="24"/>
        </w:rPr>
        <w:t>LIBERDADE?</w:t>
      </w:r>
    </w:p>
    <w:p w:rsidR="00D24E61" w:rsidRPr="00771368" w:rsidRDefault="00D24E61">
      <w:pPr>
        <w:spacing w:line="187" w:lineRule="exact"/>
        <w:rPr>
          <w:sz w:val="20"/>
          <w:szCs w:val="20"/>
        </w:rPr>
      </w:pPr>
    </w:p>
    <w:p w:rsidR="00D24E61" w:rsidRPr="00771368" w:rsidRDefault="00D24E61">
      <w:pPr>
        <w:spacing w:line="352" w:lineRule="auto"/>
        <w:ind w:firstLine="856"/>
        <w:jc w:val="both"/>
        <w:rPr>
          <w:sz w:val="20"/>
          <w:szCs w:val="20"/>
        </w:rPr>
      </w:pPr>
      <w:r w:rsidRPr="00771368">
        <w:rPr>
          <w:sz w:val="24"/>
          <w:szCs w:val="24"/>
        </w:rPr>
        <w:t>Realmente o debate gerou grande polêmica, alguns acharam que as proibições Orientais ainda eram maiores do que as responsabilidades com os filhos, porém a maioria dos educandos chegou à conclusão que uma forma de uma adolescente perder a liberdade é gerando um filho sem condições de criá-lo. Algo também percebido entre eles, foi o fato do pai da criança normalmente não assumir suas responsabilidades, sendo um item que também tolhe ainda mais a liberdade da mãe da criança; diferente do homem do Oriente que assume sua família, sendo isso um ponto de honra para eles.</w:t>
      </w:r>
    </w:p>
    <w:p w:rsidR="00D24E61" w:rsidRPr="00771368" w:rsidRDefault="00D24E61">
      <w:pPr>
        <w:sectPr w:rsidR="00D24E61" w:rsidRPr="00771368">
          <w:pgSz w:w="11920" w:h="16845"/>
          <w:pgMar w:top="1440" w:right="1700" w:bottom="1440" w:left="1420" w:header="0" w:footer="0" w:gutter="0"/>
          <w:cols w:space="720" w:equalWidth="0">
            <w:col w:w="8800"/>
          </w:cols>
        </w:sectPr>
      </w:pPr>
    </w:p>
    <w:p w:rsidR="00D24E61" w:rsidRPr="00771368" w:rsidRDefault="00D24E61">
      <w:pPr>
        <w:spacing w:line="164" w:lineRule="exact"/>
        <w:rPr>
          <w:sz w:val="20"/>
          <w:szCs w:val="20"/>
        </w:rPr>
      </w:pPr>
    </w:p>
    <w:p w:rsidR="00D24E61" w:rsidRPr="00771368" w:rsidRDefault="00D24E61">
      <w:pPr>
        <w:spacing w:line="346" w:lineRule="auto"/>
        <w:ind w:right="20" w:firstLine="856"/>
        <w:jc w:val="both"/>
        <w:rPr>
          <w:sz w:val="20"/>
          <w:szCs w:val="20"/>
        </w:rPr>
      </w:pPr>
      <w:r w:rsidRPr="00771368">
        <w:rPr>
          <w:sz w:val="24"/>
          <w:szCs w:val="24"/>
        </w:rPr>
        <w:t>Nessa discussão os educandos entenderam que se no Ocidente a mulher tem mais liberdade em relação à mulher do Oriente, e um dos fatores que levam a mulher ocidental a se submeter às regras masculinas, principalmente nas camadas menos favorecidas financeiramente, é a gravidez em um período que a os adolescentes estão se preparando para seguirem seus caminhos profissionais num futuro próximo.</w:t>
      </w:r>
    </w:p>
    <w:p w:rsidR="00D24E61" w:rsidRPr="00771368" w:rsidRDefault="00D24E61">
      <w:pPr>
        <w:spacing w:line="82" w:lineRule="exact"/>
        <w:rPr>
          <w:sz w:val="20"/>
          <w:szCs w:val="20"/>
        </w:rPr>
      </w:pPr>
    </w:p>
    <w:p w:rsidR="00D24E61" w:rsidRPr="00771368" w:rsidRDefault="00D24E61">
      <w:pPr>
        <w:spacing w:line="352" w:lineRule="auto"/>
        <w:ind w:firstLine="856"/>
        <w:jc w:val="both"/>
        <w:rPr>
          <w:sz w:val="20"/>
          <w:szCs w:val="20"/>
        </w:rPr>
      </w:pPr>
      <w:r w:rsidRPr="00771368">
        <w:rPr>
          <w:sz w:val="24"/>
          <w:szCs w:val="24"/>
        </w:rPr>
        <w:t>Pois como exemplo de vários dos alunos das turmas trabalhadas suas mães engravidaram enquanto adolescentes e tiveram suas vidas profissionais abortadas passaram a depender de suas famílias, pois o pai da criança, em sua maioria, não assume as responsabilidades. Toda a responsabilidade em criar a criança fica para a mãe, que na maioria das vezes abandona a escola, para poder cuidar do filho. Ou para de estudar para trabalhar e poder manter financeiramente seu filho, fazendo com que não se especialize o suficiente para assumir cargos com maiores responsabilidades e tenha que se submeter a subempregos.</w:t>
      </w:r>
    </w:p>
    <w:p w:rsidR="00D24E61" w:rsidRPr="00771368" w:rsidRDefault="00D24E61">
      <w:pPr>
        <w:spacing w:line="80" w:lineRule="exact"/>
        <w:rPr>
          <w:sz w:val="20"/>
          <w:szCs w:val="20"/>
        </w:rPr>
      </w:pPr>
    </w:p>
    <w:p w:rsidR="00D24E61" w:rsidRPr="00771368" w:rsidRDefault="00D24E61">
      <w:pPr>
        <w:spacing w:line="353" w:lineRule="auto"/>
        <w:ind w:firstLine="856"/>
        <w:jc w:val="both"/>
        <w:rPr>
          <w:sz w:val="20"/>
          <w:szCs w:val="20"/>
        </w:rPr>
      </w:pPr>
      <w:r w:rsidRPr="00771368">
        <w:rPr>
          <w:sz w:val="24"/>
          <w:szCs w:val="24"/>
        </w:rPr>
        <w:t>Após todos os debates e acaloradas discussões, os estudantes estavam prontos para o grande dia em que foram escolhidos 10 alunos de cada uma das cinco turmas de oitava série, para visitarem o Instituto Ricardo Brennand. Ao todo foram 50 alunos convidados. Dos 50 alunos, 48 realmente, foram ao Instituto. Dividimos os 48 alunos em dois grupos para se alternarem na visitação cujos temas foram Orientalismo e Mitologia. Não podemos esquecer que o tema realmente trabalhado em sala de aula foi o do Orientalismo.</w:t>
      </w:r>
    </w:p>
    <w:p w:rsidR="00D24E61" w:rsidRPr="00771368" w:rsidRDefault="00D24E61">
      <w:pPr>
        <w:spacing w:line="200" w:lineRule="exact"/>
        <w:rPr>
          <w:sz w:val="20"/>
          <w:szCs w:val="20"/>
        </w:rPr>
      </w:pPr>
    </w:p>
    <w:p w:rsidR="00D24E61" w:rsidRPr="00771368" w:rsidRDefault="00D24E61">
      <w:pPr>
        <w:spacing w:line="262" w:lineRule="exact"/>
        <w:rPr>
          <w:sz w:val="20"/>
          <w:szCs w:val="20"/>
        </w:rPr>
      </w:pPr>
    </w:p>
    <w:p w:rsidR="00D24E61" w:rsidRPr="00771368" w:rsidRDefault="00D24E61">
      <w:pPr>
        <w:spacing w:line="352" w:lineRule="auto"/>
        <w:ind w:right="20" w:firstLine="856"/>
        <w:jc w:val="both"/>
        <w:rPr>
          <w:sz w:val="20"/>
          <w:szCs w:val="20"/>
        </w:rPr>
      </w:pPr>
      <w:r w:rsidRPr="00771368">
        <w:rPr>
          <w:sz w:val="24"/>
          <w:szCs w:val="24"/>
        </w:rPr>
        <w:t>Os educandos ficaram extasiados. A maioria nunca tinha visitado o Instituto. As armas orientais e tudo que lhes foi apresentado sobre os cavaleiros medievais foram temas novos e interessantes, entretanto percebemos a verdadeira participação deles nas obras que desencadeavam o tema sobre as mulheres Orientais. Após as discussões sobre as proibições feitas às mulheres orientais, eles passaram a entender mais o porquê as famílias pobres virem nos Haréns um futuro para suas filhas, e por isso temos ainda hoje Haréns tão povoados.</w:t>
      </w:r>
    </w:p>
    <w:p w:rsidR="00D24E61" w:rsidRPr="00771368" w:rsidRDefault="00D24E61">
      <w:pPr>
        <w:spacing w:line="64" w:lineRule="exact"/>
        <w:rPr>
          <w:sz w:val="20"/>
          <w:szCs w:val="20"/>
        </w:rPr>
      </w:pPr>
    </w:p>
    <w:p w:rsidR="00D24E61" w:rsidRPr="00771368" w:rsidRDefault="00D24E61">
      <w:pPr>
        <w:spacing w:line="344" w:lineRule="auto"/>
        <w:ind w:right="20" w:firstLine="856"/>
        <w:jc w:val="both"/>
        <w:rPr>
          <w:sz w:val="20"/>
          <w:szCs w:val="20"/>
        </w:rPr>
      </w:pPr>
      <w:r w:rsidRPr="00771368">
        <w:rPr>
          <w:sz w:val="24"/>
          <w:szCs w:val="24"/>
        </w:rPr>
        <w:t>É importante colocarmos a eloquência dos mediadores do Instituto. Não só a apropriação dos conteúdos que as obras retratam, mas de toda uma contextualização das obras com a época em que querem retratar. A facilidade de buscar respostas para as perguntas que eles fazem e dirigem o raciocínio do aluno para o objetivo que é pensar</w:t>
      </w:r>
    </w:p>
    <w:p w:rsidR="00D24E61" w:rsidRPr="00771368" w:rsidRDefault="00D24E61">
      <w:pPr>
        <w:sectPr w:rsidR="00D24E61" w:rsidRPr="00771368">
          <w:pgSz w:w="11920" w:h="16845"/>
          <w:pgMar w:top="1440" w:right="1680" w:bottom="1440" w:left="1420" w:header="0" w:footer="0" w:gutter="0"/>
          <w:cols w:space="720" w:equalWidth="0">
            <w:col w:w="8820"/>
          </w:cols>
        </w:sectPr>
      </w:pPr>
    </w:p>
    <w:p w:rsidR="00D24E61" w:rsidRPr="00771368" w:rsidRDefault="00D24E61">
      <w:pPr>
        <w:spacing w:line="106" w:lineRule="exact"/>
        <w:rPr>
          <w:sz w:val="20"/>
          <w:szCs w:val="20"/>
        </w:rPr>
      </w:pPr>
    </w:p>
    <w:p w:rsidR="00D24E61" w:rsidRPr="00771368" w:rsidRDefault="00D24E61">
      <w:pPr>
        <w:ind w:left="420"/>
        <w:rPr>
          <w:sz w:val="20"/>
          <w:szCs w:val="20"/>
        </w:rPr>
      </w:pPr>
      <w:r w:rsidRPr="00771368">
        <w:rPr>
          <w:sz w:val="24"/>
          <w:szCs w:val="24"/>
        </w:rPr>
        <w:t>sobre o que esta sendo observado. Ainda mais importante é a relação que eles buscam entre</w:t>
      </w:r>
    </w:p>
    <w:p w:rsidR="00D24E61" w:rsidRPr="00771368" w:rsidRDefault="00D24E61">
      <w:pPr>
        <w:spacing w:line="144" w:lineRule="exact"/>
        <w:rPr>
          <w:sz w:val="20"/>
          <w:szCs w:val="20"/>
        </w:rPr>
      </w:pPr>
    </w:p>
    <w:p w:rsidR="00D24E61" w:rsidRPr="00771368" w:rsidRDefault="00D24E61">
      <w:pPr>
        <w:ind w:left="420"/>
        <w:rPr>
          <w:sz w:val="20"/>
          <w:szCs w:val="20"/>
        </w:rPr>
      </w:pPr>
      <w:r w:rsidRPr="00771368">
        <w:rPr>
          <w:sz w:val="24"/>
          <w:szCs w:val="24"/>
        </w:rPr>
        <w:t>obra, conteúdo, contextualização  e atualização.  Abaixo algumas  imagens  da visitação:</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03968" behindDoc="1" locked="0" layoutInCell="0" allowOverlap="1">
            <wp:simplePos x="0" y="0"/>
            <wp:positionH relativeFrom="column">
              <wp:posOffset>231775</wp:posOffset>
            </wp:positionH>
            <wp:positionV relativeFrom="paragraph">
              <wp:posOffset>481330</wp:posOffset>
            </wp:positionV>
            <wp:extent cx="2178685" cy="1657350"/>
            <wp:effectExtent l="0" t="0" r="0" b="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blip>
                    <a:srcRect/>
                    <a:stretch>
                      <a:fillRect/>
                    </a:stretch>
                  </pic:blipFill>
                  <pic:spPr bwMode="auto">
                    <a:xfrm>
                      <a:off x="0" y="0"/>
                      <a:ext cx="2178685" cy="165735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78" w:lineRule="exact"/>
        <w:rPr>
          <w:sz w:val="20"/>
          <w:szCs w:val="20"/>
        </w:rPr>
      </w:pPr>
    </w:p>
    <w:p w:rsidR="00D24E61" w:rsidRPr="00771368" w:rsidRDefault="00D24E61">
      <w:pPr>
        <w:spacing w:line="239" w:lineRule="auto"/>
        <w:ind w:left="4100"/>
        <w:rPr>
          <w:sz w:val="20"/>
          <w:szCs w:val="20"/>
        </w:rPr>
      </w:pPr>
      <w:r w:rsidRPr="00771368">
        <w:rPr>
          <w:sz w:val="20"/>
          <w:szCs w:val="20"/>
        </w:rPr>
        <w:t>Tela observada pelos alunos, percebendo assim quem são os</w:t>
      </w:r>
    </w:p>
    <w:p w:rsidR="00D24E61" w:rsidRPr="00771368" w:rsidRDefault="00D24E61">
      <w:pPr>
        <w:spacing w:line="11" w:lineRule="exact"/>
        <w:rPr>
          <w:sz w:val="20"/>
          <w:szCs w:val="20"/>
        </w:rPr>
      </w:pPr>
    </w:p>
    <w:p w:rsidR="00D24E61" w:rsidRPr="00771368" w:rsidRDefault="00D24E61">
      <w:pPr>
        <w:spacing w:line="239" w:lineRule="auto"/>
        <w:ind w:left="4100"/>
        <w:rPr>
          <w:sz w:val="20"/>
          <w:szCs w:val="20"/>
        </w:rPr>
      </w:pPr>
      <w:r w:rsidRPr="00771368">
        <w:rPr>
          <w:sz w:val="20"/>
          <w:szCs w:val="20"/>
        </w:rPr>
        <w:t>Enucos a chegada de uma escrava branca a um Harém.</w:t>
      </w:r>
    </w:p>
    <w:p w:rsidR="00D24E61" w:rsidRPr="00771368" w:rsidRDefault="00D24E61">
      <w:pPr>
        <w:spacing w:line="11" w:lineRule="exact"/>
        <w:rPr>
          <w:sz w:val="20"/>
          <w:szCs w:val="20"/>
        </w:rPr>
      </w:pPr>
    </w:p>
    <w:p w:rsidR="00D24E61" w:rsidRPr="00771368" w:rsidRDefault="00D24E61">
      <w:pPr>
        <w:spacing w:line="239" w:lineRule="auto"/>
        <w:ind w:left="4100"/>
        <w:rPr>
          <w:sz w:val="20"/>
          <w:szCs w:val="20"/>
        </w:rPr>
      </w:pPr>
      <w:r w:rsidRPr="00771368">
        <w:rPr>
          <w:sz w:val="20"/>
          <w:szCs w:val="20"/>
        </w:rPr>
        <w:t>Fonte: Instituto Ricardo Brennand</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06016" behindDoc="1" locked="0" layoutInCell="0" allowOverlap="1">
            <wp:simplePos x="0" y="0"/>
            <wp:positionH relativeFrom="column">
              <wp:posOffset>3454400</wp:posOffset>
            </wp:positionH>
            <wp:positionV relativeFrom="paragraph">
              <wp:posOffset>1404620</wp:posOffset>
            </wp:positionV>
            <wp:extent cx="2314575" cy="1724025"/>
            <wp:effectExtent l="0" t="0" r="0" b="0"/>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blip>
                    <a:srcRect/>
                    <a:stretch>
                      <a:fillRect/>
                    </a:stretch>
                  </pic:blipFill>
                  <pic:spPr bwMode="auto">
                    <a:xfrm>
                      <a:off x="0" y="0"/>
                      <a:ext cx="2314575" cy="172402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94" w:lineRule="exact"/>
        <w:rPr>
          <w:sz w:val="20"/>
          <w:szCs w:val="20"/>
        </w:rPr>
      </w:pPr>
    </w:p>
    <w:p w:rsidR="00D24E61" w:rsidRPr="00771368" w:rsidRDefault="00D24E61">
      <w:pPr>
        <w:tabs>
          <w:tab w:val="left" w:pos="2440"/>
        </w:tabs>
        <w:rPr>
          <w:sz w:val="20"/>
          <w:szCs w:val="20"/>
        </w:rPr>
      </w:pPr>
      <w:r w:rsidRPr="00771368">
        <w:rPr>
          <w:sz w:val="20"/>
          <w:szCs w:val="20"/>
        </w:rPr>
        <w:t>COMÉRCIO  DA  ESCRAVA</w:t>
      </w:r>
      <w:r w:rsidRPr="00771368">
        <w:rPr>
          <w:sz w:val="20"/>
          <w:szCs w:val="20"/>
        </w:rPr>
        <w:tab/>
        <w:t>– 1884 –  SLAVE MARKET –</w:t>
      </w:r>
    </w:p>
    <w:p w:rsidR="00D24E61" w:rsidRPr="00771368" w:rsidRDefault="00D24E61">
      <w:pPr>
        <w:spacing w:line="10" w:lineRule="exact"/>
        <w:rPr>
          <w:sz w:val="20"/>
          <w:szCs w:val="20"/>
        </w:rPr>
      </w:pPr>
    </w:p>
    <w:p w:rsidR="00D24E61" w:rsidRPr="00771368" w:rsidRDefault="00D24E61">
      <w:pPr>
        <w:spacing w:line="239" w:lineRule="auto"/>
        <w:rPr>
          <w:sz w:val="20"/>
          <w:szCs w:val="20"/>
        </w:rPr>
      </w:pPr>
      <w:r w:rsidRPr="00771368">
        <w:rPr>
          <w:sz w:val="20"/>
          <w:szCs w:val="20"/>
        </w:rPr>
        <w:t>DOMÊNICO  RUSSO  (2832-1902)</w:t>
      </w:r>
    </w:p>
    <w:p w:rsidR="00D24E61" w:rsidRPr="00771368" w:rsidRDefault="00D24E61">
      <w:pPr>
        <w:spacing w:line="236" w:lineRule="auto"/>
        <w:rPr>
          <w:sz w:val="20"/>
          <w:szCs w:val="20"/>
        </w:rPr>
      </w:pPr>
      <w:r w:rsidRPr="00771368">
        <w:rPr>
          <w:sz w:val="20"/>
          <w:szCs w:val="20"/>
        </w:rPr>
        <w:t>Fonte: Instituto Ricardo Brennand</w:t>
      </w:r>
    </w:p>
    <w:p w:rsidR="00D24E61" w:rsidRPr="00771368" w:rsidRDefault="00D24E61">
      <w:pPr>
        <w:spacing w:line="236" w:lineRule="auto"/>
        <w:rPr>
          <w:sz w:val="20"/>
          <w:szCs w:val="20"/>
        </w:rPr>
        <w:sectPr w:rsidR="00D24E61" w:rsidRPr="00771368">
          <w:pgSz w:w="11920" w:h="16845"/>
          <w:pgMar w:top="1440" w:right="1700" w:bottom="1440" w:left="1000" w:header="0" w:footer="0" w:gutter="0"/>
          <w:cols w:space="720" w:equalWidth="0">
            <w:col w:w="9220"/>
          </w:cols>
        </w:sectPr>
      </w:pPr>
      <w:r w:rsidRPr="00771368">
        <w:rPr>
          <w:noProof/>
          <w:sz w:val="20"/>
          <w:szCs w:val="20"/>
        </w:rPr>
        <w:drawing>
          <wp:anchor distT="0" distB="0" distL="114300" distR="114300" simplePos="0" relativeHeight="251608064" behindDoc="1" locked="0" layoutInCell="0" allowOverlap="1">
            <wp:simplePos x="0" y="0"/>
            <wp:positionH relativeFrom="column">
              <wp:posOffset>431800</wp:posOffset>
            </wp:positionH>
            <wp:positionV relativeFrom="paragraph">
              <wp:posOffset>1344295</wp:posOffset>
            </wp:positionV>
            <wp:extent cx="5374005" cy="2120900"/>
            <wp:effectExtent l="0" t="0" r="0" b="0"/>
            <wp:wrapNone/>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cstate="print">
                      <a:extLst/>
                    </a:blip>
                    <a:srcRect/>
                    <a:stretch>
                      <a:fillRect/>
                    </a:stretch>
                  </pic:blipFill>
                  <pic:spPr bwMode="auto">
                    <a:xfrm>
                      <a:off x="0" y="0"/>
                      <a:ext cx="5374005" cy="212090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98" w:lineRule="exact"/>
        <w:rPr>
          <w:sz w:val="20"/>
          <w:szCs w:val="20"/>
        </w:rPr>
      </w:pPr>
    </w:p>
    <w:p w:rsidR="00D24E61" w:rsidRPr="00771368" w:rsidRDefault="00D24E61">
      <w:pPr>
        <w:spacing w:line="223" w:lineRule="auto"/>
        <w:jc w:val="both"/>
        <w:rPr>
          <w:sz w:val="20"/>
          <w:szCs w:val="20"/>
        </w:rPr>
      </w:pPr>
      <w:r w:rsidRPr="00771368">
        <w:rPr>
          <w:sz w:val="20"/>
          <w:szCs w:val="20"/>
        </w:rPr>
        <w:t>Os alunos percebem a brincadeira feita onde nós, os espectadores da tela somos os sultões. Fonte: Instituto Ricardo Brennand</w:t>
      </w:r>
    </w:p>
    <w:p w:rsidR="00D24E61" w:rsidRPr="00771368" w:rsidRDefault="00D24E61">
      <w:pPr>
        <w:spacing w:line="200" w:lineRule="exact"/>
        <w:rPr>
          <w:sz w:val="20"/>
          <w:szCs w:val="20"/>
        </w:rPr>
      </w:pPr>
      <w:r w:rsidRPr="00771368">
        <w:rPr>
          <w:sz w:val="20"/>
          <w:szCs w:val="20"/>
        </w:rPr>
        <w:br w:type="column"/>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88" w:lineRule="exact"/>
        <w:rPr>
          <w:sz w:val="20"/>
          <w:szCs w:val="20"/>
        </w:rPr>
      </w:pPr>
    </w:p>
    <w:p w:rsidR="00D24E61" w:rsidRPr="00771368" w:rsidRDefault="00D24E61">
      <w:pPr>
        <w:spacing w:line="210" w:lineRule="auto"/>
        <w:rPr>
          <w:sz w:val="20"/>
          <w:szCs w:val="20"/>
        </w:rPr>
      </w:pPr>
      <w:r w:rsidRPr="00771368">
        <w:rPr>
          <w:sz w:val="20"/>
          <w:szCs w:val="20"/>
        </w:rPr>
        <w:t>DISTRAÇÃO DO SULTÃO – SÉC XIX de Edouard F. W. Richter 1844/ 1913.</w:t>
      </w:r>
    </w:p>
    <w:p w:rsidR="00D24E61" w:rsidRPr="00771368" w:rsidRDefault="00D24E61">
      <w:pPr>
        <w:spacing w:line="235" w:lineRule="auto"/>
        <w:rPr>
          <w:sz w:val="20"/>
          <w:szCs w:val="20"/>
        </w:rPr>
      </w:pPr>
      <w:r w:rsidRPr="00771368">
        <w:rPr>
          <w:sz w:val="20"/>
          <w:szCs w:val="20"/>
        </w:rPr>
        <w:t>Fonte: Instituto Ricardo Brennand</w:t>
      </w:r>
    </w:p>
    <w:p w:rsidR="00D24E61" w:rsidRPr="00771368" w:rsidRDefault="00D24E61">
      <w:pPr>
        <w:sectPr w:rsidR="00D24E61" w:rsidRPr="00771368">
          <w:type w:val="continuous"/>
          <w:pgSz w:w="11920" w:h="16845"/>
          <w:pgMar w:top="1440" w:right="2020" w:bottom="1440" w:left="1900" w:header="0" w:footer="0" w:gutter="0"/>
          <w:cols w:num="2" w:space="720" w:equalWidth="0">
            <w:col w:w="3700" w:space="420"/>
            <w:col w:w="3880"/>
          </w:cols>
        </w:sectPr>
      </w:pP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10112" behindDoc="1" locked="0" layoutInCell="0" allowOverlap="1">
            <wp:simplePos x="0" y="0"/>
            <wp:positionH relativeFrom="page">
              <wp:posOffset>900430</wp:posOffset>
            </wp:positionH>
            <wp:positionV relativeFrom="page">
              <wp:posOffset>990600</wp:posOffset>
            </wp:positionV>
            <wp:extent cx="5777865" cy="2586990"/>
            <wp:effectExtent l="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clrChange>
                        <a:clrFrom>
                          <a:srgbClr val="FFFFFF"/>
                        </a:clrFrom>
                        <a:clrTo>
                          <a:srgbClr val="FFFFFF">
                            <a:alpha val="0"/>
                          </a:srgbClr>
                        </a:clrTo>
                      </a:clrChange>
                      <a:extLst/>
                    </a:blip>
                    <a:srcRect/>
                    <a:stretch>
                      <a:fillRect/>
                    </a:stretch>
                  </pic:blipFill>
                  <pic:spPr bwMode="auto">
                    <a:xfrm>
                      <a:off x="0" y="0"/>
                      <a:ext cx="5777865" cy="258699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217" w:lineRule="auto"/>
        <w:ind w:left="3040" w:right="840" w:hanging="2206"/>
        <w:rPr>
          <w:sz w:val="20"/>
          <w:szCs w:val="20"/>
        </w:rPr>
      </w:pPr>
      <w:r w:rsidRPr="00771368">
        <w:rPr>
          <w:sz w:val="20"/>
          <w:szCs w:val="20"/>
        </w:rPr>
        <w:t>As armas Orientais também foi um momento na visitação de muito interesse por parte de Fonte: Instituto Ricardo Brennand</w:t>
      </w:r>
    </w:p>
    <w:p w:rsidR="00D24E61" w:rsidRPr="00771368" w:rsidRDefault="00D24E61">
      <w:pPr>
        <w:spacing w:line="200" w:lineRule="exact"/>
        <w:rPr>
          <w:sz w:val="20"/>
          <w:szCs w:val="20"/>
        </w:rPr>
      </w:pPr>
    </w:p>
    <w:p w:rsidR="00D24E61" w:rsidRPr="00771368" w:rsidRDefault="00D24E61">
      <w:pPr>
        <w:spacing w:line="237" w:lineRule="exact"/>
        <w:rPr>
          <w:sz w:val="20"/>
          <w:szCs w:val="20"/>
        </w:rPr>
      </w:pPr>
    </w:p>
    <w:p w:rsidR="00D24E61" w:rsidRPr="00771368" w:rsidRDefault="00D24E61">
      <w:pPr>
        <w:spacing w:line="346" w:lineRule="auto"/>
        <w:ind w:firstLine="856"/>
        <w:jc w:val="both"/>
        <w:rPr>
          <w:sz w:val="20"/>
          <w:szCs w:val="20"/>
        </w:rPr>
      </w:pPr>
      <w:r w:rsidRPr="00771368">
        <w:rPr>
          <w:sz w:val="24"/>
          <w:szCs w:val="24"/>
        </w:rPr>
        <w:t>Voltando para a escola, montamos uma oficina de pintura em tela e pedimos aos educandos que transpusessem para as telas, não apenas o seu virtuosismo, mas que tentassem transpor algo que mais os impressionou em tudo que foi estudado em sala de aula e no Instituto Ricardo Brennand. Vale salientar que o projeto foi aplicado com todos os alunos das cinco oitavas séries, não apenas com os alunos que visitaram o Instituto.</w:t>
      </w:r>
    </w:p>
    <w:p w:rsidR="00D24E61" w:rsidRPr="00771368" w:rsidRDefault="00D24E61">
      <w:pPr>
        <w:spacing w:line="24" w:lineRule="exact"/>
        <w:rPr>
          <w:sz w:val="20"/>
          <w:szCs w:val="20"/>
        </w:rPr>
      </w:pPr>
    </w:p>
    <w:p w:rsidR="00D24E61" w:rsidRPr="00771368" w:rsidRDefault="00D24E61">
      <w:pPr>
        <w:ind w:left="860"/>
        <w:rPr>
          <w:sz w:val="20"/>
          <w:szCs w:val="20"/>
        </w:rPr>
      </w:pPr>
      <w:r w:rsidRPr="00771368">
        <w:rPr>
          <w:sz w:val="24"/>
          <w:szCs w:val="24"/>
        </w:rPr>
        <w:t>Abaixo temos alguns  fotos da oficina: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12160" behindDoc="1" locked="0" layoutInCell="0" allowOverlap="1">
            <wp:simplePos x="0" y="0"/>
            <wp:positionH relativeFrom="column">
              <wp:posOffset>215900</wp:posOffset>
            </wp:positionH>
            <wp:positionV relativeFrom="paragraph">
              <wp:posOffset>266700</wp:posOffset>
            </wp:positionV>
            <wp:extent cx="5560695" cy="2148840"/>
            <wp:effectExtent l="0" t="0" r="0"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blip>
                    <a:srcRect/>
                    <a:stretch>
                      <a:fillRect/>
                    </a:stretch>
                  </pic:blipFill>
                  <pic:spPr bwMode="auto">
                    <a:xfrm>
                      <a:off x="0" y="0"/>
                      <a:ext cx="5560695" cy="214884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31" w:lineRule="exact"/>
        <w:rPr>
          <w:sz w:val="20"/>
          <w:szCs w:val="20"/>
        </w:rPr>
      </w:pPr>
    </w:p>
    <w:p w:rsidR="00D24E61" w:rsidRPr="00771368" w:rsidRDefault="00D24E61">
      <w:pPr>
        <w:spacing w:line="333" w:lineRule="auto"/>
        <w:ind w:firstLine="856"/>
        <w:jc w:val="both"/>
        <w:rPr>
          <w:sz w:val="20"/>
          <w:szCs w:val="20"/>
        </w:rPr>
      </w:pPr>
      <w:r w:rsidRPr="00771368">
        <w:rPr>
          <w:sz w:val="24"/>
          <w:szCs w:val="24"/>
        </w:rPr>
        <w:t>Conseguimos telas usadas com uma escola particular em que os alunos não quiseram levar as telas para casa, nossos alunos as pintaram de branco novamente e as reutilizaram. A escola conseguiu alguns pincéis, e uma parte das tintas. A outra parte das</w:t>
      </w:r>
    </w:p>
    <w:p w:rsidR="00D24E61" w:rsidRPr="00771368" w:rsidRDefault="00D24E61">
      <w:pPr>
        <w:sectPr w:rsidR="00D24E61" w:rsidRPr="00771368">
          <w:pgSz w:w="11920" w:h="16845"/>
          <w:pgMar w:top="1440" w:right="1700" w:bottom="1440" w:left="1420" w:header="0" w:footer="0" w:gutter="0"/>
          <w:cols w:space="720" w:equalWidth="0">
            <w:col w:w="8800"/>
          </w:cols>
        </w:sectPr>
      </w:pPr>
    </w:p>
    <w:p w:rsidR="00D24E61" w:rsidRPr="00771368" w:rsidRDefault="00D24E61">
      <w:pPr>
        <w:spacing w:line="117" w:lineRule="exact"/>
        <w:rPr>
          <w:sz w:val="20"/>
          <w:szCs w:val="20"/>
        </w:rPr>
      </w:pPr>
    </w:p>
    <w:p w:rsidR="00D24E61" w:rsidRPr="00771368" w:rsidRDefault="00D24E61">
      <w:pPr>
        <w:spacing w:line="239" w:lineRule="auto"/>
        <w:rPr>
          <w:sz w:val="20"/>
          <w:szCs w:val="20"/>
        </w:rPr>
      </w:pPr>
      <w:r w:rsidRPr="00771368">
        <w:rPr>
          <w:sz w:val="23"/>
          <w:szCs w:val="23"/>
        </w:rPr>
        <w:t>tintas  alguns  alunos  se  cotizaram e  trouxeram para  utilizarem na oficina. O  interessante é</w:t>
      </w:r>
    </w:p>
    <w:p w:rsidR="00D24E61" w:rsidRPr="00771368" w:rsidRDefault="00D24E61">
      <w:pPr>
        <w:spacing w:line="146" w:lineRule="exact"/>
        <w:rPr>
          <w:sz w:val="20"/>
          <w:szCs w:val="20"/>
        </w:rPr>
      </w:pPr>
    </w:p>
    <w:p w:rsidR="00D24E61" w:rsidRPr="00771368" w:rsidRDefault="00D24E61">
      <w:pPr>
        <w:tabs>
          <w:tab w:val="left" w:pos="480"/>
          <w:tab w:val="left" w:pos="1240"/>
          <w:tab w:val="left" w:pos="1740"/>
          <w:tab w:val="left" w:pos="2520"/>
          <w:tab w:val="left" w:pos="3460"/>
          <w:tab w:val="left" w:pos="3800"/>
          <w:tab w:val="left" w:pos="4420"/>
          <w:tab w:val="left" w:pos="5260"/>
          <w:tab w:val="left" w:pos="7100"/>
          <w:tab w:val="left" w:pos="8560"/>
        </w:tabs>
        <w:spacing w:line="239" w:lineRule="auto"/>
        <w:rPr>
          <w:sz w:val="20"/>
          <w:szCs w:val="20"/>
        </w:rPr>
      </w:pPr>
      <w:r w:rsidRPr="00771368">
        <w:rPr>
          <w:sz w:val="24"/>
          <w:szCs w:val="24"/>
        </w:rPr>
        <w:t>que</w:t>
      </w:r>
      <w:r w:rsidRPr="00771368">
        <w:rPr>
          <w:sz w:val="20"/>
          <w:szCs w:val="20"/>
        </w:rPr>
        <w:tab/>
      </w:r>
      <w:r w:rsidRPr="00771368">
        <w:rPr>
          <w:sz w:val="24"/>
          <w:szCs w:val="24"/>
        </w:rPr>
        <w:t>apesar</w:t>
      </w:r>
      <w:r w:rsidRPr="00771368">
        <w:rPr>
          <w:sz w:val="20"/>
          <w:szCs w:val="20"/>
        </w:rPr>
        <w:tab/>
      </w:r>
      <w:r w:rsidRPr="00771368">
        <w:rPr>
          <w:sz w:val="24"/>
          <w:szCs w:val="24"/>
        </w:rPr>
        <w:t>dos</w:t>
      </w:r>
      <w:r w:rsidRPr="00771368">
        <w:rPr>
          <w:sz w:val="20"/>
          <w:szCs w:val="20"/>
        </w:rPr>
        <w:tab/>
      </w:r>
      <w:r w:rsidRPr="00771368">
        <w:rPr>
          <w:sz w:val="24"/>
          <w:szCs w:val="24"/>
        </w:rPr>
        <w:t>parcos</w:t>
      </w:r>
      <w:r w:rsidRPr="00771368">
        <w:rPr>
          <w:sz w:val="20"/>
          <w:szCs w:val="20"/>
        </w:rPr>
        <w:tab/>
      </w:r>
      <w:r w:rsidRPr="00771368">
        <w:rPr>
          <w:sz w:val="24"/>
          <w:szCs w:val="24"/>
        </w:rPr>
        <w:t>recursos</w:t>
      </w:r>
      <w:r w:rsidRPr="00771368">
        <w:rPr>
          <w:sz w:val="20"/>
          <w:szCs w:val="20"/>
        </w:rPr>
        <w:tab/>
      </w:r>
      <w:r w:rsidRPr="00771368">
        <w:rPr>
          <w:sz w:val="24"/>
          <w:szCs w:val="24"/>
        </w:rPr>
        <w:t>as</w:t>
      </w:r>
      <w:r w:rsidRPr="00771368">
        <w:rPr>
          <w:sz w:val="20"/>
          <w:szCs w:val="20"/>
        </w:rPr>
        <w:tab/>
      </w:r>
      <w:r w:rsidRPr="00771368">
        <w:rPr>
          <w:sz w:val="24"/>
          <w:szCs w:val="24"/>
        </w:rPr>
        <w:t>tintas</w:t>
      </w:r>
      <w:r w:rsidRPr="00771368">
        <w:rPr>
          <w:sz w:val="20"/>
          <w:szCs w:val="20"/>
        </w:rPr>
        <w:tab/>
      </w:r>
      <w:r w:rsidRPr="00771368">
        <w:rPr>
          <w:sz w:val="24"/>
          <w:szCs w:val="24"/>
        </w:rPr>
        <w:t>trazidas</w:t>
      </w:r>
      <w:r w:rsidRPr="00771368">
        <w:rPr>
          <w:sz w:val="20"/>
          <w:szCs w:val="20"/>
        </w:rPr>
        <w:tab/>
      </w:r>
      <w:r w:rsidRPr="00771368">
        <w:rPr>
          <w:sz w:val="24"/>
          <w:szCs w:val="24"/>
        </w:rPr>
        <w:t>foram  misturadas,</w:t>
      </w:r>
      <w:r w:rsidRPr="00771368">
        <w:rPr>
          <w:sz w:val="20"/>
          <w:szCs w:val="20"/>
        </w:rPr>
        <w:tab/>
      </w:r>
      <w:r w:rsidRPr="00771368">
        <w:rPr>
          <w:sz w:val="24"/>
          <w:szCs w:val="24"/>
        </w:rPr>
        <w:t>sem  distinção</w:t>
      </w:r>
      <w:r w:rsidRPr="00771368">
        <w:rPr>
          <w:sz w:val="20"/>
          <w:szCs w:val="20"/>
        </w:rPr>
        <w:tab/>
      </w:r>
      <w:r w:rsidRPr="00771368">
        <w:rPr>
          <w:sz w:val="23"/>
          <w:szCs w:val="23"/>
        </w:rPr>
        <w:t>da</w:t>
      </w:r>
    </w:p>
    <w:p w:rsidR="00D24E61" w:rsidRPr="00771368" w:rsidRDefault="00D24E61">
      <w:pPr>
        <w:spacing w:line="12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20"/>
        <w:gridCol w:w="5680"/>
      </w:tblGrid>
      <w:tr w:rsidR="00D24E61" w:rsidRPr="00771368">
        <w:trPr>
          <w:trHeight w:val="276"/>
        </w:trPr>
        <w:tc>
          <w:tcPr>
            <w:tcW w:w="3120" w:type="dxa"/>
            <w:vAlign w:val="bottom"/>
          </w:tcPr>
          <w:p w:rsidR="00D24E61" w:rsidRPr="00771368" w:rsidRDefault="00D24E61">
            <w:pPr>
              <w:rPr>
                <w:sz w:val="20"/>
                <w:szCs w:val="20"/>
              </w:rPr>
            </w:pPr>
            <w:r w:rsidRPr="00771368">
              <w:rPr>
                <w:w w:val="96"/>
                <w:sz w:val="24"/>
                <w:szCs w:val="24"/>
              </w:rPr>
              <w:t>qualidade,  pois  algumas  turmas</w:t>
            </w:r>
          </w:p>
        </w:tc>
        <w:tc>
          <w:tcPr>
            <w:tcW w:w="5680" w:type="dxa"/>
            <w:vAlign w:val="bottom"/>
          </w:tcPr>
          <w:p w:rsidR="00D24E61" w:rsidRPr="00771368" w:rsidRDefault="00D24E61">
            <w:pPr>
              <w:ind w:left="60"/>
              <w:rPr>
                <w:sz w:val="20"/>
                <w:szCs w:val="20"/>
              </w:rPr>
            </w:pPr>
            <w:r w:rsidRPr="00771368">
              <w:rPr>
                <w:w w:val="98"/>
                <w:sz w:val="24"/>
                <w:szCs w:val="24"/>
              </w:rPr>
              <w:t>trouxeram tinta  de  melhor qualidade, não fizeram questão</w:t>
            </w:r>
          </w:p>
        </w:tc>
      </w:tr>
      <w:tr w:rsidR="00D24E61" w:rsidRPr="00771368">
        <w:trPr>
          <w:trHeight w:val="420"/>
        </w:trPr>
        <w:tc>
          <w:tcPr>
            <w:tcW w:w="3120" w:type="dxa"/>
            <w:vAlign w:val="bottom"/>
          </w:tcPr>
          <w:p w:rsidR="00D24E61" w:rsidRPr="00771368" w:rsidRDefault="00D24E61">
            <w:pPr>
              <w:rPr>
                <w:sz w:val="20"/>
                <w:szCs w:val="20"/>
              </w:rPr>
            </w:pPr>
            <w:r w:rsidRPr="00771368">
              <w:rPr>
                <w:w w:val="97"/>
                <w:sz w:val="24"/>
                <w:szCs w:val="24"/>
              </w:rPr>
              <w:t>e todos utilizaram  todas as tintas</w:t>
            </w:r>
          </w:p>
        </w:tc>
        <w:tc>
          <w:tcPr>
            <w:tcW w:w="5680" w:type="dxa"/>
            <w:vAlign w:val="bottom"/>
          </w:tcPr>
          <w:p w:rsidR="00D24E61" w:rsidRPr="00771368" w:rsidRDefault="00D24E61">
            <w:pPr>
              <w:ind w:left="80"/>
              <w:rPr>
                <w:sz w:val="20"/>
                <w:szCs w:val="20"/>
              </w:rPr>
            </w:pPr>
            <w:r w:rsidRPr="00771368">
              <w:rPr>
                <w:sz w:val="24"/>
                <w:szCs w:val="24"/>
              </w:rPr>
              <w:t>igualmente.</w:t>
            </w:r>
          </w:p>
        </w:tc>
      </w:tr>
      <w:tr w:rsidR="00D24E61" w:rsidRPr="00771368">
        <w:trPr>
          <w:trHeight w:val="406"/>
        </w:trPr>
        <w:tc>
          <w:tcPr>
            <w:tcW w:w="8800" w:type="dxa"/>
            <w:gridSpan w:val="2"/>
            <w:vAlign w:val="bottom"/>
          </w:tcPr>
          <w:p w:rsidR="00D24E61" w:rsidRPr="00771368" w:rsidRDefault="00D24E61">
            <w:pPr>
              <w:ind w:left="860"/>
              <w:rPr>
                <w:sz w:val="20"/>
                <w:szCs w:val="20"/>
              </w:rPr>
            </w:pPr>
            <w:r w:rsidRPr="00771368">
              <w:rPr>
                <w:w w:val="97"/>
                <w:sz w:val="24"/>
                <w:szCs w:val="24"/>
              </w:rPr>
              <w:t>Como  não  tínhamos  mesas  suficientes  forramos  jornais  no  chão  e  lá mesmo os</w:t>
            </w:r>
          </w:p>
        </w:tc>
      </w:tr>
      <w:tr w:rsidR="00D24E61" w:rsidRPr="00771368">
        <w:trPr>
          <w:trHeight w:val="420"/>
        </w:trPr>
        <w:tc>
          <w:tcPr>
            <w:tcW w:w="8800" w:type="dxa"/>
            <w:gridSpan w:val="2"/>
            <w:vAlign w:val="bottom"/>
          </w:tcPr>
          <w:p w:rsidR="00D24E61" w:rsidRPr="00771368" w:rsidRDefault="00D24E61">
            <w:pPr>
              <w:rPr>
                <w:sz w:val="20"/>
                <w:szCs w:val="20"/>
              </w:rPr>
            </w:pPr>
            <w:r w:rsidRPr="00771368">
              <w:rPr>
                <w:sz w:val="24"/>
                <w:szCs w:val="24"/>
              </w:rPr>
              <w:t>alunos se refastelaram em pintar suas telas.</w:t>
            </w:r>
          </w:p>
        </w:tc>
      </w:tr>
      <w:tr w:rsidR="00D24E61" w:rsidRPr="00771368">
        <w:trPr>
          <w:trHeight w:val="420"/>
        </w:trPr>
        <w:tc>
          <w:tcPr>
            <w:tcW w:w="3120" w:type="dxa"/>
            <w:vAlign w:val="bottom"/>
          </w:tcPr>
          <w:p w:rsidR="00D24E61" w:rsidRPr="00771368" w:rsidRDefault="00D24E61">
            <w:pPr>
              <w:ind w:left="860"/>
              <w:rPr>
                <w:sz w:val="20"/>
                <w:szCs w:val="20"/>
              </w:rPr>
            </w:pPr>
            <w:r w:rsidRPr="00771368">
              <w:rPr>
                <w:sz w:val="24"/>
                <w:szCs w:val="24"/>
              </w:rPr>
              <w:t>Quando chegávamos à</w:t>
            </w:r>
          </w:p>
        </w:tc>
        <w:tc>
          <w:tcPr>
            <w:tcW w:w="5680" w:type="dxa"/>
            <w:vAlign w:val="bottom"/>
          </w:tcPr>
          <w:p w:rsidR="00D24E61" w:rsidRPr="00771368" w:rsidRDefault="00D24E61">
            <w:pPr>
              <w:ind w:left="60"/>
              <w:rPr>
                <w:sz w:val="20"/>
                <w:szCs w:val="20"/>
              </w:rPr>
            </w:pPr>
            <w:r w:rsidRPr="00771368">
              <w:rPr>
                <w:sz w:val="24"/>
                <w:szCs w:val="24"/>
              </w:rPr>
              <w:t>escola os alunos que estavam pintando eram liberados das</w:t>
            </w:r>
          </w:p>
        </w:tc>
      </w:tr>
    </w:tbl>
    <w:p w:rsidR="00D24E61" w:rsidRPr="00771368" w:rsidRDefault="00D24E61">
      <w:pPr>
        <w:spacing w:line="130" w:lineRule="exact"/>
        <w:rPr>
          <w:sz w:val="20"/>
          <w:szCs w:val="20"/>
        </w:rPr>
      </w:pPr>
    </w:p>
    <w:p w:rsidR="00D24E61" w:rsidRPr="00771368" w:rsidRDefault="00D24E61">
      <w:pPr>
        <w:rPr>
          <w:sz w:val="20"/>
          <w:szCs w:val="20"/>
        </w:rPr>
      </w:pPr>
      <w:r w:rsidRPr="00771368">
        <w:rPr>
          <w:sz w:val="24"/>
          <w:szCs w:val="24"/>
        </w:rPr>
        <w:t>outras  aulas  para ficarem à tarde inteira pintando, nos ajudavam a retirar os materiais da</w:t>
      </w:r>
    </w:p>
    <w:p w:rsidR="00D24E61" w:rsidRPr="00771368" w:rsidRDefault="00D24E61">
      <w:pPr>
        <w:spacing w:line="14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80"/>
        <w:gridCol w:w="260"/>
        <w:gridCol w:w="220"/>
        <w:gridCol w:w="240"/>
        <w:gridCol w:w="480"/>
        <w:gridCol w:w="5100"/>
        <w:gridCol w:w="1640"/>
      </w:tblGrid>
      <w:tr w:rsidR="00D24E61" w:rsidRPr="00771368">
        <w:trPr>
          <w:trHeight w:val="276"/>
        </w:trPr>
        <w:tc>
          <w:tcPr>
            <w:tcW w:w="880" w:type="dxa"/>
            <w:vAlign w:val="bottom"/>
          </w:tcPr>
          <w:p w:rsidR="00D24E61" w:rsidRPr="00771368" w:rsidRDefault="00D24E61">
            <w:pPr>
              <w:rPr>
                <w:sz w:val="20"/>
                <w:szCs w:val="20"/>
              </w:rPr>
            </w:pPr>
            <w:r w:rsidRPr="00771368">
              <w:rPr>
                <w:w w:val="90"/>
                <w:sz w:val="24"/>
                <w:szCs w:val="24"/>
              </w:rPr>
              <w:t>biblioteca</w:t>
            </w:r>
          </w:p>
        </w:tc>
        <w:tc>
          <w:tcPr>
            <w:tcW w:w="720" w:type="dxa"/>
            <w:gridSpan w:val="3"/>
            <w:vAlign w:val="bottom"/>
          </w:tcPr>
          <w:p w:rsidR="00D24E61" w:rsidRPr="00771368" w:rsidRDefault="00D24E61">
            <w:pPr>
              <w:ind w:left="140"/>
              <w:rPr>
                <w:sz w:val="20"/>
                <w:szCs w:val="20"/>
              </w:rPr>
            </w:pPr>
            <w:r w:rsidRPr="00771368">
              <w:rPr>
                <w:sz w:val="24"/>
                <w:szCs w:val="24"/>
              </w:rPr>
              <w:t>(onde</w:t>
            </w:r>
          </w:p>
        </w:tc>
        <w:tc>
          <w:tcPr>
            <w:tcW w:w="480" w:type="dxa"/>
            <w:vAlign w:val="bottom"/>
          </w:tcPr>
          <w:p w:rsidR="00D24E61" w:rsidRPr="00771368" w:rsidRDefault="00D24E61">
            <w:pPr>
              <w:ind w:left="80"/>
              <w:rPr>
                <w:sz w:val="20"/>
                <w:szCs w:val="20"/>
              </w:rPr>
            </w:pPr>
            <w:r w:rsidRPr="00771368">
              <w:rPr>
                <w:sz w:val="24"/>
                <w:szCs w:val="24"/>
              </w:rPr>
              <w:t>são</w:t>
            </w:r>
          </w:p>
        </w:tc>
        <w:tc>
          <w:tcPr>
            <w:tcW w:w="6740" w:type="dxa"/>
            <w:gridSpan w:val="2"/>
            <w:vAlign w:val="bottom"/>
          </w:tcPr>
          <w:p w:rsidR="00D24E61" w:rsidRPr="00771368" w:rsidRDefault="00D24E61">
            <w:pPr>
              <w:jc w:val="right"/>
              <w:rPr>
                <w:sz w:val="20"/>
                <w:szCs w:val="20"/>
              </w:rPr>
            </w:pPr>
            <w:r w:rsidRPr="00771368">
              <w:rPr>
                <w:w w:val="96"/>
                <w:sz w:val="24"/>
                <w:szCs w:val="24"/>
              </w:rPr>
              <w:t>guardados),  arrumávamos  à  oficina  forrando  jornais,  enchendo  água</w:t>
            </w:r>
          </w:p>
        </w:tc>
      </w:tr>
      <w:tr w:rsidR="00D24E61" w:rsidRPr="00771368">
        <w:trPr>
          <w:trHeight w:val="406"/>
        </w:trPr>
        <w:tc>
          <w:tcPr>
            <w:tcW w:w="1600" w:type="dxa"/>
            <w:gridSpan w:val="4"/>
            <w:vAlign w:val="bottom"/>
          </w:tcPr>
          <w:p w:rsidR="00D24E61" w:rsidRPr="00771368" w:rsidRDefault="00D24E61">
            <w:pPr>
              <w:rPr>
                <w:sz w:val="20"/>
                <w:szCs w:val="20"/>
              </w:rPr>
            </w:pPr>
            <w:r w:rsidRPr="00771368">
              <w:rPr>
                <w:w w:val="99"/>
                <w:sz w:val="24"/>
                <w:szCs w:val="24"/>
              </w:rPr>
              <w:t>nos potes, enfim</w:t>
            </w:r>
          </w:p>
        </w:tc>
        <w:tc>
          <w:tcPr>
            <w:tcW w:w="5580" w:type="dxa"/>
            <w:gridSpan w:val="2"/>
            <w:vAlign w:val="bottom"/>
          </w:tcPr>
          <w:p w:rsidR="00D24E61" w:rsidRPr="00771368" w:rsidRDefault="00D24E61">
            <w:pPr>
              <w:ind w:left="40"/>
              <w:rPr>
                <w:sz w:val="20"/>
                <w:szCs w:val="20"/>
              </w:rPr>
            </w:pPr>
            <w:r w:rsidRPr="00771368">
              <w:rPr>
                <w:sz w:val="24"/>
                <w:szCs w:val="24"/>
              </w:rPr>
              <w:t>tudo que se faz necessário para uma oficina  de pintura.</w:t>
            </w:r>
          </w:p>
        </w:tc>
        <w:tc>
          <w:tcPr>
            <w:tcW w:w="1640" w:type="dxa"/>
            <w:vAlign w:val="bottom"/>
          </w:tcPr>
          <w:p w:rsidR="00D24E61" w:rsidRPr="00771368" w:rsidRDefault="00D24E61">
            <w:pPr>
              <w:rPr>
                <w:sz w:val="24"/>
                <w:szCs w:val="24"/>
              </w:rPr>
            </w:pPr>
          </w:p>
        </w:tc>
      </w:tr>
      <w:tr w:rsidR="00D24E61" w:rsidRPr="00771368">
        <w:trPr>
          <w:trHeight w:val="420"/>
        </w:trPr>
        <w:tc>
          <w:tcPr>
            <w:tcW w:w="8820" w:type="dxa"/>
            <w:gridSpan w:val="7"/>
            <w:vAlign w:val="bottom"/>
          </w:tcPr>
          <w:p w:rsidR="00D24E61" w:rsidRPr="00771368" w:rsidRDefault="00D24E61">
            <w:pPr>
              <w:jc w:val="right"/>
              <w:rPr>
                <w:sz w:val="20"/>
                <w:szCs w:val="20"/>
              </w:rPr>
            </w:pPr>
            <w:r w:rsidRPr="00771368">
              <w:rPr>
                <w:sz w:val="24"/>
                <w:szCs w:val="24"/>
              </w:rPr>
              <w:t>Ao  final cada  aluno  que  terminava  lavava  seu pincel limpava os potes de água,</w:t>
            </w:r>
          </w:p>
        </w:tc>
      </w:tr>
      <w:tr w:rsidR="00D24E61" w:rsidRPr="00771368">
        <w:trPr>
          <w:trHeight w:val="421"/>
        </w:trPr>
        <w:tc>
          <w:tcPr>
            <w:tcW w:w="1140" w:type="dxa"/>
            <w:gridSpan w:val="2"/>
            <w:vAlign w:val="bottom"/>
          </w:tcPr>
          <w:p w:rsidR="00D24E61" w:rsidRPr="00771368" w:rsidRDefault="00D24E61">
            <w:pPr>
              <w:rPr>
                <w:sz w:val="20"/>
                <w:szCs w:val="20"/>
              </w:rPr>
            </w:pPr>
            <w:r w:rsidRPr="00771368">
              <w:rPr>
                <w:w w:val="94"/>
                <w:sz w:val="24"/>
                <w:szCs w:val="24"/>
              </w:rPr>
              <w:t>organizando</w:t>
            </w:r>
          </w:p>
        </w:tc>
        <w:tc>
          <w:tcPr>
            <w:tcW w:w="6040" w:type="dxa"/>
            <w:gridSpan w:val="4"/>
            <w:vAlign w:val="bottom"/>
          </w:tcPr>
          <w:p w:rsidR="00D24E61" w:rsidRPr="00771368" w:rsidRDefault="00D24E61">
            <w:pPr>
              <w:ind w:left="120"/>
              <w:rPr>
                <w:sz w:val="20"/>
                <w:szCs w:val="20"/>
              </w:rPr>
            </w:pPr>
            <w:r w:rsidRPr="00771368">
              <w:rPr>
                <w:sz w:val="24"/>
                <w:szCs w:val="24"/>
              </w:rPr>
              <w:t>o espaço que havia utilizado.</w:t>
            </w:r>
          </w:p>
        </w:tc>
        <w:tc>
          <w:tcPr>
            <w:tcW w:w="1640" w:type="dxa"/>
            <w:vAlign w:val="bottom"/>
          </w:tcPr>
          <w:p w:rsidR="00D24E61" w:rsidRPr="00771368" w:rsidRDefault="00D24E61">
            <w:pPr>
              <w:rPr>
                <w:sz w:val="24"/>
                <w:szCs w:val="24"/>
              </w:rPr>
            </w:pPr>
          </w:p>
        </w:tc>
      </w:tr>
      <w:tr w:rsidR="00D24E61" w:rsidRPr="00771368">
        <w:trPr>
          <w:trHeight w:val="405"/>
        </w:trPr>
        <w:tc>
          <w:tcPr>
            <w:tcW w:w="8820" w:type="dxa"/>
            <w:gridSpan w:val="7"/>
            <w:vAlign w:val="bottom"/>
          </w:tcPr>
          <w:p w:rsidR="00D24E61" w:rsidRPr="00771368" w:rsidRDefault="00D24E61">
            <w:pPr>
              <w:jc w:val="right"/>
              <w:rPr>
                <w:sz w:val="20"/>
                <w:szCs w:val="20"/>
              </w:rPr>
            </w:pPr>
            <w:r w:rsidRPr="00771368">
              <w:rPr>
                <w:sz w:val="24"/>
                <w:szCs w:val="24"/>
              </w:rPr>
              <w:t>Como  sempre  alguns  com o  virtuosismo  aguçado,  outros  mais  humildes,  porém</w:t>
            </w:r>
          </w:p>
        </w:tc>
      </w:tr>
      <w:tr w:rsidR="00D24E61" w:rsidRPr="00771368">
        <w:trPr>
          <w:trHeight w:val="421"/>
        </w:trPr>
        <w:tc>
          <w:tcPr>
            <w:tcW w:w="880" w:type="dxa"/>
            <w:vAlign w:val="bottom"/>
          </w:tcPr>
          <w:p w:rsidR="00D24E61" w:rsidRPr="00771368" w:rsidRDefault="00D24E61">
            <w:pPr>
              <w:rPr>
                <w:sz w:val="20"/>
                <w:szCs w:val="20"/>
              </w:rPr>
            </w:pPr>
            <w:r w:rsidRPr="00771368">
              <w:rPr>
                <w:sz w:val="24"/>
                <w:szCs w:val="24"/>
              </w:rPr>
              <w:t>poucos</w:t>
            </w:r>
          </w:p>
        </w:tc>
        <w:tc>
          <w:tcPr>
            <w:tcW w:w="1200" w:type="dxa"/>
            <w:gridSpan w:val="4"/>
            <w:vAlign w:val="bottom"/>
          </w:tcPr>
          <w:p w:rsidR="00D24E61" w:rsidRPr="00771368" w:rsidRDefault="00D24E61">
            <w:pPr>
              <w:ind w:left="20"/>
              <w:rPr>
                <w:sz w:val="20"/>
                <w:szCs w:val="20"/>
              </w:rPr>
            </w:pPr>
            <w:r w:rsidRPr="00771368">
              <w:rPr>
                <w:sz w:val="24"/>
                <w:szCs w:val="24"/>
              </w:rPr>
              <w:t>articularam</w:t>
            </w:r>
          </w:p>
        </w:tc>
        <w:tc>
          <w:tcPr>
            <w:tcW w:w="5100" w:type="dxa"/>
            <w:vAlign w:val="bottom"/>
          </w:tcPr>
          <w:p w:rsidR="00D24E61" w:rsidRPr="00771368" w:rsidRDefault="00D24E61">
            <w:pPr>
              <w:ind w:left="20"/>
              <w:rPr>
                <w:sz w:val="20"/>
                <w:szCs w:val="20"/>
              </w:rPr>
            </w:pPr>
            <w:r w:rsidRPr="00771368">
              <w:rPr>
                <w:sz w:val="24"/>
                <w:szCs w:val="24"/>
              </w:rPr>
              <w:t>inteligentemente  as  imagens.  Em  nossa  opinião</w:t>
            </w:r>
          </w:p>
        </w:tc>
        <w:tc>
          <w:tcPr>
            <w:tcW w:w="1640" w:type="dxa"/>
            <w:vAlign w:val="bottom"/>
          </w:tcPr>
          <w:p w:rsidR="00D24E61" w:rsidRPr="00771368" w:rsidRDefault="00D24E61">
            <w:pPr>
              <w:jc w:val="right"/>
              <w:rPr>
                <w:sz w:val="20"/>
                <w:szCs w:val="20"/>
              </w:rPr>
            </w:pPr>
            <w:r w:rsidRPr="00771368">
              <w:rPr>
                <w:w w:val="99"/>
                <w:sz w:val="24"/>
                <w:szCs w:val="24"/>
              </w:rPr>
              <w:t>imagens  óbvias,</w:t>
            </w:r>
          </w:p>
        </w:tc>
      </w:tr>
      <w:tr w:rsidR="00D24E61" w:rsidRPr="00771368">
        <w:trPr>
          <w:trHeight w:val="405"/>
        </w:trPr>
        <w:tc>
          <w:tcPr>
            <w:tcW w:w="1140" w:type="dxa"/>
            <w:gridSpan w:val="2"/>
            <w:vAlign w:val="bottom"/>
          </w:tcPr>
          <w:p w:rsidR="00D24E61" w:rsidRPr="00771368" w:rsidRDefault="00D24E61">
            <w:pPr>
              <w:rPr>
                <w:sz w:val="20"/>
                <w:szCs w:val="20"/>
              </w:rPr>
            </w:pPr>
            <w:r w:rsidRPr="00771368">
              <w:rPr>
                <w:sz w:val="24"/>
                <w:szCs w:val="24"/>
              </w:rPr>
              <w:t>retratando</w:t>
            </w:r>
          </w:p>
        </w:tc>
        <w:tc>
          <w:tcPr>
            <w:tcW w:w="220" w:type="dxa"/>
            <w:vAlign w:val="bottom"/>
          </w:tcPr>
          <w:p w:rsidR="00D24E61" w:rsidRPr="00771368" w:rsidRDefault="00D24E61">
            <w:pPr>
              <w:ind w:left="40"/>
              <w:rPr>
                <w:sz w:val="20"/>
                <w:szCs w:val="20"/>
              </w:rPr>
            </w:pPr>
            <w:r w:rsidRPr="00771368">
              <w:rPr>
                <w:sz w:val="24"/>
                <w:szCs w:val="24"/>
              </w:rPr>
              <w:t>o</w:t>
            </w:r>
          </w:p>
        </w:tc>
        <w:tc>
          <w:tcPr>
            <w:tcW w:w="720" w:type="dxa"/>
            <w:gridSpan w:val="2"/>
            <w:vAlign w:val="bottom"/>
          </w:tcPr>
          <w:p w:rsidR="00D24E61" w:rsidRPr="00771368" w:rsidRDefault="00D24E61">
            <w:pPr>
              <w:ind w:left="180"/>
              <w:rPr>
                <w:sz w:val="20"/>
                <w:szCs w:val="20"/>
              </w:rPr>
            </w:pPr>
            <w:r w:rsidRPr="00771368">
              <w:rPr>
                <w:sz w:val="24"/>
                <w:szCs w:val="24"/>
              </w:rPr>
              <w:t>que</w:t>
            </w:r>
          </w:p>
        </w:tc>
        <w:tc>
          <w:tcPr>
            <w:tcW w:w="6740" w:type="dxa"/>
            <w:gridSpan w:val="2"/>
            <w:vAlign w:val="bottom"/>
          </w:tcPr>
          <w:p w:rsidR="00D24E61" w:rsidRPr="00771368" w:rsidRDefault="00D24E61">
            <w:pPr>
              <w:jc w:val="right"/>
              <w:rPr>
                <w:sz w:val="20"/>
                <w:szCs w:val="20"/>
              </w:rPr>
            </w:pPr>
            <w:r w:rsidRPr="00771368">
              <w:rPr>
                <w:w w:val="99"/>
                <w:sz w:val="24"/>
                <w:szCs w:val="24"/>
              </w:rPr>
              <w:t>nós   falamos   sem  muita   criatividade   na   utilização   de   recursos</w:t>
            </w:r>
          </w:p>
        </w:tc>
      </w:tr>
      <w:tr w:rsidR="00D24E61" w:rsidRPr="00771368">
        <w:trPr>
          <w:trHeight w:val="420"/>
        </w:trPr>
        <w:tc>
          <w:tcPr>
            <w:tcW w:w="1360" w:type="dxa"/>
            <w:gridSpan w:val="3"/>
            <w:vAlign w:val="bottom"/>
          </w:tcPr>
          <w:p w:rsidR="00D24E61" w:rsidRPr="00771368" w:rsidRDefault="00D24E61">
            <w:pPr>
              <w:rPr>
                <w:sz w:val="20"/>
                <w:szCs w:val="20"/>
              </w:rPr>
            </w:pPr>
            <w:r w:rsidRPr="00771368">
              <w:rPr>
                <w:w w:val="99"/>
                <w:sz w:val="24"/>
                <w:szCs w:val="24"/>
              </w:rPr>
              <w:t>diferenciados.</w:t>
            </w:r>
          </w:p>
        </w:tc>
        <w:tc>
          <w:tcPr>
            <w:tcW w:w="720" w:type="dxa"/>
            <w:gridSpan w:val="2"/>
            <w:vAlign w:val="bottom"/>
          </w:tcPr>
          <w:p w:rsidR="00D24E61" w:rsidRPr="00771368" w:rsidRDefault="00D24E61">
            <w:pPr>
              <w:ind w:left="80"/>
              <w:rPr>
                <w:sz w:val="20"/>
                <w:szCs w:val="20"/>
              </w:rPr>
            </w:pPr>
            <w:r w:rsidRPr="00771368">
              <w:rPr>
                <w:w w:val="98"/>
                <w:sz w:val="24"/>
                <w:szCs w:val="24"/>
              </w:rPr>
              <w:t>Porém</w:t>
            </w:r>
          </w:p>
        </w:tc>
        <w:tc>
          <w:tcPr>
            <w:tcW w:w="5100" w:type="dxa"/>
            <w:vAlign w:val="bottom"/>
          </w:tcPr>
          <w:p w:rsidR="00D24E61" w:rsidRPr="00771368" w:rsidRDefault="00D24E61">
            <w:pPr>
              <w:ind w:left="120"/>
              <w:rPr>
                <w:sz w:val="20"/>
                <w:szCs w:val="20"/>
              </w:rPr>
            </w:pPr>
            <w:r w:rsidRPr="00771368">
              <w:rPr>
                <w:w w:val="95"/>
                <w:sz w:val="24"/>
                <w:szCs w:val="24"/>
              </w:rPr>
              <w:t>esteticamente  belas  visualmente  a  conceitualmente,</w:t>
            </w:r>
          </w:p>
        </w:tc>
        <w:tc>
          <w:tcPr>
            <w:tcW w:w="1640" w:type="dxa"/>
            <w:vAlign w:val="bottom"/>
          </w:tcPr>
          <w:p w:rsidR="00D24E61" w:rsidRPr="00771368" w:rsidRDefault="00D24E61">
            <w:pPr>
              <w:jc w:val="right"/>
              <w:rPr>
                <w:sz w:val="20"/>
                <w:szCs w:val="20"/>
              </w:rPr>
            </w:pPr>
            <w:r w:rsidRPr="00771368">
              <w:rPr>
                <w:sz w:val="24"/>
                <w:szCs w:val="24"/>
              </w:rPr>
              <w:t>para  estudantes</w:t>
            </w:r>
          </w:p>
        </w:tc>
      </w:tr>
      <w:tr w:rsidR="00D24E61" w:rsidRPr="00771368">
        <w:trPr>
          <w:trHeight w:val="420"/>
        </w:trPr>
        <w:tc>
          <w:tcPr>
            <w:tcW w:w="7180" w:type="dxa"/>
            <w:gridSpan w:val="6"/>
            <w:vAlign w:val="bottom"/>
          </w:tcPr>
          <w:p w:rsidR="00D24E61" w:rsidRPr="00771368" w:rsidRDefault="00D24E61">
            <w:pPr>
              <w:rPr>
                <w:sz w:val="20"/>
                <w:szCs w:val="20"/>
              </w:rPr>
            </w:pPr>
            <w:r w:rsidRPr="00771368">
              <w:rPr>
                <w:sz w:val="24"/>
                <w:szCs w:val="24"/>
              </w:rPr>
              <w:t>que nunca pegaram em um pincel eles saíram-se muito bem.</w:t>
            </w:r>
          </w:p>
        </w:tc>
        <w:tc>
          <w:tcPr>
            <w:tcW w:w="1640" w:type="dxa"/>
            <w:vAlign w:val="bottom"/>
          </w:tcPr>
          <w:p w:rsidR="00D24E61" w:rsidRPr="00771368" w:rsidRDefault="00D24E61">
            <w:pPr>
              <w:rPr>
                <w:sz w:val="24"/>
                <w:szCs w:val="24"/>
              </w:rPr>
            </w:pPr>
          </w:p>
        </w:tc>
      </w:tr>
    </w:tbl>
    <w:p w:rsidR="00D24E61" w:rsidRPr="00771368" w:rsidRDefault="00D24E61">
      <w:pPr>
        <w:spacing w:line="129" w:lineRule="exact"/>
        <w:rPr>
          <w:sz w:val="20"/>
          <w:szCs w:val="20"/>
        </w:rPr>
      </w:pPr>
    </w:p>
    <w:p w:rsidR="00D24E61" w:rsidRPr="00771368" w:rsidRDefault="00D24E61">
      <w:pPr>
        <w:rPr>
          <w:sz w:val="20"/>
          <w:szCs w:val="20"/>
        </w:rPr>
      </w:pPr>
      <w:r w:rsidRPr="00771368">
        <w:rPr>
          <w:b/>
          <w:bCs/>
          <w:sz w:val="24"/>
          <w:szCs w:val="24"/>
        </w:rPr>
        <w:t>Resultados da pesquisa e discussão</w:t>
      </w:r>
    </w:p>
    <w:p w:rsidR="00D24E61" w:rsidRPr="00771368" w:rsidRDefault="00D24E61">
      <w:pPr>
        <w:spacing w:line="203" w:lineRule="exact"/>
        <w:rPr>
          <w:sz w:val="20"/>
          <w:szCs w:val="20"/>
        </w:rPr>
      </w:pPr>
    </w:p>
    <w:p w:rsidR="00D24E61" w:rsidRPr="00771368" w:rsidRDefault="00D24E61">
      <w:pPr>
        <w:spacing w:line="350" w:lineRule="auto"/>
        <w:ind w:firstLine="856"/>
        <w:jc w:val="both"/>
        <w:rPr>
          <w:sz w:val="20"/>
          <w:szCs w:val="20"/>
        </w:rPr>
      </w:pPr>
      <w:r w:rsidRPr="00771368">
        <w:rPr>
          <w:sz w:val="24"/>
          <w:szCs w:val="24"/>
        </w:rPr>
        <w:t>No tocante às telas, os alunos repassaram didaticamente, tudo o que foi aprendido. Com muitas dificuldades, pois apesar de um ano trabalhando com eles, esse tempo foi pequeno para desenvolver melhor os fundamentos da linguagem visual e receber assim produções mais elaboradas, bem como amadurecer o processo de leitura de uma obra de arte, já que nunca estudaram arte com um arte-educador. Porém segundo Anamelia Bueno no livro Olhos que Pintam – a leitura da imagem no ensino da arte página 43/ 44:</w:t>
      </w:r>
    </w:p>
    <w:p w:rsidR="00D24E61" w:rsidRPr="00771368" w:rsidRDefault="00D24E61">
      <w:pPr>
        <w:spacing w:line="200" w:lineRule="exact"/>
        <w:rPr>
          <w:sz w:val="20"/>
          <w:szCs w:val="20"/>
        </w:rPr>
      </w:pPr>
    </w:p>
    <w:p w:rsidR="00D24E61" w:rsidRPr="00771368" w:rsidRDefault="00D24E61">
      <w:pPr>
        <w:spacing w:line="264" w:lineRule="exact"/>
        <w:rPr>
          <w:sz w:val="20"/>
          <w:szCs w:val="20"/>
        </w:rPr>
      </w:pPr>
    </w:p>
    <w:p w:rsidR="00D24E61" w:rsidRPr="00771368" w:rsidRDefault="00D24E61">
      <w:pPr>
        <w:spacing w:line="225" w:lineRule="auto"/>
        <w:ind w:left="2280"/>
        <w:jc w:val="both"/>
        <w:rPr>
          <w:sz w:val="20"/>
          <w:szCs w:val="20"/>
        </w:rPr>
      </w:pPr>
      <w:r w:rsidRPr="00771368">
        <w:rPr>
          <w:i/>
          <w:iCs/>
          <w:sz w:val="23"/>
          <w:szCs w:val="23"/>
        </w:rPr>
        <w:t>“São os olhos leitores que colocam a obra em movimento, numa troca constante de papéis de sujeitos da ação, na medida em que, em determinado momento, é a obra de arte que atua como sujeito do processo de leitura. Tais relações que se estabelecem entre sujeito e observador e a obra de arte podem efetivamente gerar experiências estéticas, leituras visuais, apreciações, e fruições que devem ser conhecidas e reconhecidas pelo educador, de tal modo que atue como facilitador desse encontro, proporcionando, tanto quanto possível, os meios para que contatos sensíveis de seus alunos com o objeto de arte venham a acontecer.”</w:t>
      </w:r>
    </w:p>
    <w:p w:rsidR="00D24E61" w:rsidRPr="00771368" w:rsidRDefault="00D24E61">
      <w:pPr>
        <w:sectPr w:rsidR="00D24E61" w:rsidRPr="00771368">
          <w:pgSz w:w="11920" w:h="16845"/>
          <w:pgMar w:top="1440" w:right="1680" w:bottom="1440" w:left="1420" w:header="0" w:footer="0" w:gutter="0"/>
          <w:cols w:space="720" w:equalWidth="0">
            <w:col w:w="8820"/>
          </w:cols>
        </w:sectPr>
      </w:pPr>
    </w:p>
    <w:p w:rsidR="00D24E61" w:rsidRPr="00771368" w:rsidRDefault="00D24E61">
      <w:pPr>
        <w:spacing w:line="106" w:lineRule="exact"/>
        <w:rPr>
          <w:sz w:val="20"/>
          <w:szCs w:val="20"/>
        </w:rPr>
      </w:pPr>
    </w:p>
    <w:p w:rsidR="00D24E61" w:rsidRPr="00771368" w:rsidRDefault="00D24E61">
      <w:pPr>
        <w:ind w:left="860"/>
        <w:rPr>
          <w:sz w:val="20"/>
          <w:szCs w:val="20"/>
        </w:rPr>
      </w:pPr>
      <w:r w:rsidRPr="00771368">
        <w:rPr>
          <w:sz w:val="24"/>
          <w:szCs w:val="24"/>
        </w:rPr>
        <w:t>O encontro com a obra de arte aconteceu e dentro de nossas limitações os alunos</w:t>
      </w:r>
    </w:p>
    <w:p w:rsidR="00D24E61" w:rsidRPr="00771368" w:rsidRDefault="00D24E61">
      <w:pPr>
        <w:spacing w:line="203" w:lineRule="exact"/>
        <w:rPr>
          <w:sz w:val="20"/>
          <w:szCs w:val="20"/>
        </w:rPr>
      </w:pPr>
    </w:p>
    <w:p w:rsidR="00D24E61" w:rsidRPr="00771368" w:rsidRDefault="00D24E61">
      <w:pPr>
        <w:spacing w:line="346" w:lineRule="auto"/>
        <w:jc w:val="both"/>
        <w:rPr>
          <w:sz w:val="20"/>
          <w:szCs w:val="20"/>
        </w:rPr>
      </w:pPr>
      <w:r w:rsidRPr="00771368">
        <w:rPr>
          <w:sz w:val="24"/>
          <w:szCs w:val="24"/>
        </w:rPr>
        <w:t>realizaram seus textos visuais, a maioria deles possui um desenho bastante infantil podendo compará-los a alunos do 2º ciclo, entretanto buscaram retratar, ainda que de forma simples o que mais lhe chamou atenção. E o que mais chamou a atenção deles foi realmente o Orientalismo e a diferença de comportamento das mulheres em questão. As proibições feitas pelo Alcorão foram retratadas enfaticamente.</w:t>
      </w:r>
    </w:p>
    <w:p w:rsidR="00D24E61" w:rsidRPr="00771368" w:rsidRDefault="00D24E61">
      <w:pPr>
        <w:spacing w:line="82" w:lineRule="exact"/>
        <w:rPr>
          <w:sz w:val="20"/>
          <w:szCs w:val="20"/>
        </w:rPr>
      </w:pPr>
    </w:p>
    <w:p w:rsidR="00D24E61" w:rsidRPr="00771368" w:rsidRDefault="00D24E61">
      <w:pPr>
        <w:spacing w:line="346" w:lineRule="auto"/>
        <w:ind w:firstLine="856"/>
        <w:jc w:val="both"/>
        <w:rPr>
          <w:sz w:val="20"/>
          <w:szCs w:val="20"/>
        </w:rPr>
      </w:pPr>
      <w:r w:rsidRPr="00771368">
        <w:rPr>
          <w:sz w:val="24"/>
          <w:szCs w:val="24"/>
        </w:rPr>
        <w:t>Eles normalmente dividiam a tela em duas partes. Em uma delas retratavam um elemento da cultura Ocidental e; na outra parte, eles retratavam o mesmo elemento visto na cultura oriental. Apesar de ver a gravidez na adolescência retratada, em apenas uma tela, sabemos que o tema Orientalismo e a construção dos textos visuais com esse tema farão os nossos educandos refletir mais sobre a liberalidade em seus relacionamentos amorosos.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14208" behindDoc="1" locked="0" layoutInCell="0" allowOverlap="1">
            <wp:simplePos x="0" y="0"/>
            <wp:positionH relativeFrom="column">
              <wp:posOffset>307975</wp:posOffset>
            </wp:positionH>
            <wp:positionV relativeFrom="paragraph">
              <wp:posOffset>80645</wp:posOffset>
            </wp:positionV>
            <wp:extent cx="4978400" cy="2967990"/>
            <wp:effectExtent l="0" t="0" r="0"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blip>
                    <a:srcRect/>
                    <a:stretch>
                      <a:fillRect/>
                    </a:stretch>
                  </pic:blipFill>
                  <pic:spPr bwMode="auto">
                    <a:xfrm>
                      <a:off x="0" y="0"/>
                      <a:ext cx="4978400" cy="296799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8" w:lineRule="exact"/>
        <w:rPr>
          <w:sz w:val="20"/>
          <w:szCs w:val="20"/>
        </w:rPr>
      </w:pPr>
    </w:p>
    <w:p w:rsidR="00D24E61" w:rsidRPr="00771368" w:rsidRDefault="00D24E61">
      <w:pPr>
        <w:spacing w:line="332" w:lineRule="auto"/>
        <w:ind w:firstLine="705"/>
        <w:jc w:val="both"/>
        <w:rPr>
          <w:sz w:val="20"/>
          <w:szCs w:val="20"/>
        </w:rPr>
      </w:pPr>
      <w:r w:rsidRPr="00771368">
        <w:rPr>
          <w:sz w:val="23"/>
          <w:szCs w:val="23"/>
        </w:rPr>
        <w:t>O aluno Douglas do 2º ano do 4º ciclo D, representou a diferença na liberdade das indumentárias e do espaço físico da mulher do Ocidente com a mulher do Oriente. Embora ele tenha entendido que as mulheres do Oriente Médio se vestem desta forma por uma questão cultural, ele apresenta a mulher do Ocidente em uma paisagem mais livre com o mar no campo visual periférico, enquanto a mulher do oriente tem no seu campo visual periférico um palácio que teoricamente seria um lugar de reclusão.</w:t>
      </w:r>
    </w:p>
    <w:p w:rsidR="00D24E61" w:rsidRPr="00771368" w:rsidRDefault="00D24E61">
      <w:pPr>
        <w:spacing w:line="87" w:lineRule="exact"/>
        <w:rPr>
          <w:sz w:val="20"/>
          <w:szCs w:val="20"/>
        </w:rPr>
      </w:pPr>
    </w:p>
    <w:p w:rsidR="00D24E61" w:rsidRPr="00771368" w:rsidRDefault="00D24E61">
      <w:pPr>
        <w:spacing w:line="313" w:lineRule="auto"/>
        <w:ind w:right="20" w:firstLine="705"/>
        <w:jc w:val="both"/>
        <w:rPr>
          <w:sz w:val="20"/>
          <w:szCs w:val="20"/>
        </w:rPr>
      </w:pPr>
      <w:r w:rsidRPr="00771368">
        <w:rPr>
          <w:sz w:val="23"/>
          <w:szCs w:val="23"/>
        </w:rPr>
        <w:t>Em um de seus depoimentos o aluno relata sobre a questão cultural de que a mulher Ocidental tem a liberdade de ir à praia vestida com biquínis curtos abandonando a opção de, por ter essa escolha, ser um símbolo sexual.</w:t>
      </w:r>
    </w:p>
    <w:p w:rsidR="00D24E61" w:rsidRPr="00771368" w:rsidRDefault="00D24E61">
      <w:pPr>
        <w:sectPr w:rsidR="00D24E61" w:rsidRPr="00771368">
          <w:pgSz w:w="11920" w:h="16845"/>
          <w:pgMar w:top="1440" w:right="1680" w:bottom="1440" w:left="1420" w:header="0" w:footer="0" w:gutter="0"/>
          <w:cols w:space="720" w:equalWidth="0">
            <w:col w:w="8820"/>
          </w:cols>
        </w:sectPr>
      </w:pPr>
    </w:p>
    <w:p w:rsidR="00D24E61" w:rsidRPr="00771368" w:rsidRDefault="00D24E61">
      <w:pPr>
        <w:spacing w:line="160" w:lineRule="exact"/>
        <w:rPr>
          <w:sz w:val="20"/>
          <w:szCs w:val="20"/>
        </w:rPr>
      </w:pPr>
    </w:p>
    <w:p w:rsidR="00D24E61" w:rsidRPr="00771368" w:rsidRDefault="00D24E61">
      <w:pPr>
        <w:spacing w:line="286" w:lineRule="auto"/>
        <w:ind w:right="20" w:firstLine="705"/>
        <w:jc w:val="both"/>
        <w:rPr>
          <w:sz w:val="20"/>
          <w:szCs w:val="20"/>
        </w:rPr>
      </w:pPr>
      <w:r w:rsidRPr="00771368">
        <w:rPr>
          <w:sz w:val="23"/>
          <w:szCs w:val="23"/>
        </w:rPr>
        <w:t>Ele utiliza a linha do horizonte como divisão de planos para o campo visual focal com as duas mulheres, e o campo visual periférico com as demais paisagens.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16256" behindDoc="1" locked="0" layoutInCell="0" allowOverlap="1">
            <wp:simplePos x="0" y="0"/>
            <wp:positionH relativeFrom="column">
              <wp:posOffset>234950</wp:posOffset>
            </wp:positionH>
            <wp:positionV relativeFrom="paragraph">
              <wp:posOffset>91440</wp:posOffset>
            </wp:positionV>
            <wp:extent cx="5332730" cy="2548890"/>
            <wp:effectExtent l="0" t="0" r="0" b="0"/>
            <wp:wrapNone/>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blip>
                    <a:srcRect/>
                    <a:stretch>
                      <a:fillRect/>
                    </a:stretch>
                  </pic:blipFill>
                  <pic:spPr bwMode="auto">
                    <a:xfrm>
                      <a:off x="0" y="0"/>
                      <a:ext cx="5332730" cy="254889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79" w:lineRule="exact"/>
        <w:rPr>
          <w:sz w:val="20"/>
          <w:szCs w:val="20"/>
        </w:rPr>
      </w:pPr>
    </w:p>
    <w:p w:rsidR="00D24E61" w:rsidRPr="00771368" w:rsidRDefault="00D24E61">
      <w:pPr>
        <w:spacing w:line="330" w:lineRule="auto"/>
        <w:ind w:firstLine="705"/>
        <w:jc w:val="both"/>
        <w:rPr>
          <w:sz w:val="20"/>
          <w:szCs w:val="20"/>
        </w:rPr>
      </w:pPr>
      <w:r w:rsidRPr="00771368">
        <w:rPr>
          <w:sz w:val="23"/>
          <w:szCs w:val="23"/>
        </w:rPr>
        <w:t>Vanessa, aluna do 2º ano do 4º ciclo C, foi à única aluna que retratou a gravidez. A aluna comenta sobre a restrição da liberdade representada nesta obra pela gravidez da adolescente Ocidental, e na adolescente Oriental a restrição aparece na sua vestimenta e na casa retratada ao fundo. Segundo sua autora a adolescente ocidental desloca-se ao encontro da Oriental deixando ao fundo uma paisagem que simboliza a liberdade deixada para trás.</w:t>
      </w:r>
    </w:p>
    <w:p w:rsidR="00D24E61" w:rsidRPr="00771368" w:rsidRDefault="00D24E61">
      <w:pPr>
        <w:spacing w:line="73" w:lineRule="exact"/>
        <w:rPr>
          <w:sz w:val="20"/>
          <w:szCs w:val="20"/>
        </w:rPr>
      </w:pPr>
    </w:p>
    <w:p w:rsidR="00D24E61" w:rsidRPr="00771368" w:rsidRDefault="00D24E61">
      <w:pPr>
        <w:spacing w:line="365" w:lineRule="auto"/>
        <w:ind w:firstLine="705"/>
        <w:jc w:val="both"/>
        <w:rPr>
          <w:sz w:val="20"/>
          <w:szCs w:val="20"/>
        </w:rPr>
      </w:pPr>
      <w:r w:rsidRPr="00771368">
        <w:rPr>
          <w:sz w:val="21"/>
          <w:szCs w:val="21"/>
        </w:rPr>
        <w:t>Ainda segundo ela, pelo fato da adolescente engravidar, ela fica em desvantagem na igualdade de direitos em relação ao pai da criança que normalmente, não assume as responsabilidades. A mãe fica dependente financeiramente do pai da criança que sai para trabalhar, assume o comando financeiro da casa e faz com que a sua mulher se submeta as suas vontades.</w:t>
      </w:r>
    </w:p>
    <w:p w:rsidR="00D24E61" w:rsidRPr="00771368" w:rsidRDefault="00D24E61">
      <w:pPr>
        <w:spacing w:line="365" w:lineRule="auto"/>
        <w:ind w:firstLine="705"/>
        <w:jc w:val="both"/>
        <w:rPr>
          <w:sz w:val="20"/>
          <w:szCs w:val="20"/>
        </w:rPr>
        <w:sectPr w:rsidR="00D24E61" w:rsidRPr="00771368">
          <w:pgSz w:w="11920" w:h="16845"/>
          <w:pgMar w:top="1440" w:right="1700" w:bottom="1440" w:left="1420" w:header="0" w:footer="0" w:gutter="0"/>
          <w:cols w:space="720" w:equalWidth="0">
            <w:col w:w="8800"/>
          </w:cols>
        </w:sectPr>
      </w:pPr>
      <w:r w:rsidRPr="00771368">
        <w:rPr>
          <w:noProof/>
          <w:sz w:val="20"/>
          <w:szCs w:val="20"/>
        </w:rPr>
        <w:drawing>
          <wp:anchor distT="0" distB="0" distL="114300" distR="114300" simplePos="0" relativeHeight="251618304" behindDoc="1" locked="0" layoutInCell="0" allowOverlap="1">
            <wp:simplePos x="0" y="0"/>
            <wp:positionH relativeFrom="column">
              <wp:posOffset>107315</wp:posOffset>
            </wp:positionH>
            <wp:positionV relativeFrom="paragraph">
              <wp:posOffset>288925</wp:posOffset>
            </wp:positionV>
            <wp:extent cx="4961890" cy="2616200"/>
            <wp:effectExtent l="0" t="0" r="0" b="0"/>
            <wp:wrapNone/>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blip>
                    <a:srcRect/>
                    <a:stretch>
                      <a:fillRect/>
                    </a:stretch>
                  </pic:blipFill>
                  <pic:spPr bwMode="auto">
                    <a:xfrm>
                      <a:off x="0" y="0"/>
                      <a:ext cx="4961890" cy="2616200"/>
                    </a:xfrm>
                    <a:prstGeom prst="rect">
                      <a:avLst/>
                    </a:prstGeom>
                    <a:noFill/>
                  </pic:spPr>
                </pic:pic>
              </a:graphicData>
            </a:graphic>
          </wp:anchor>
        </w:drawing>
      </w:r>
    </w:p>
    <w:p w:rsidR="00D24E61" w:rsidRPr="00771368" w:rsidRDefault="00D24E61">
      <w:pPr>
        <w:spacing w:line="160" w:lineRule="exact"/>
        <w:rPr>
          <w:sz w:val="20"/>
          <w:szCs w:val="20"/>
        </w:rPr>
      </w:pPr>
    </w:p>
    <w:p w:rsidR="00D24E61" w:rsidRPr="00771368" w:rsidRDefault="00D24E61">
      <w:pPr>
        <w:spacing w:line="330" w:lineRule="auto"/>
        <w:ind w:firstLine="705"/>
        <w:jc w:val="both"/>
        <w:rPr>
          <w:sz w:val="20"/>
          <w:szCs w:val="20"/>
        </w:rPr>
      </w:pPr>
      <w:r w:rsidRPr="00771368">
        <w:rPr>
          <w:sz w:val="23"/>
          <w:szCs w:val="23"/>
        </w:rPr>
        <w:t>Anderson é um virtuoso, aluno do 2º ano do 4º ciclo D, possui habilidade para o desenho. Observamos que ele representa a dominação masculina sobre a feminina. A posição descansada do homem Oriental à espera de sua mulher, que vem se arrumando para ele, como se estivesse dançando. Sua silhueta se desenha com curvas, demonstrando uma mulher como objeto do desejo masculino.</w:t>
      </w:r>
    </w:p>
    <w:p w:rsidR="00D24E61" w:rsidRPr="00771368" w:rsidRDefault="00D24E61">
      <w:pPr>
        <w:spacing w:line="73" w:lineRule="exact"/>
        <w:rPr>
          <w:sz w:val="20"/>
          <w:szCs w:val="20"/>
        </w:rPr>
      </w:pPr>
    </w:p>
    <w:p w:rsidR="00D24E61" w:rsidRPr="00771368" w:rsidRDefault="00D24E61">
      <w:pPr>
        <w:spacing w:line="342" w:lineRule="auto"/>
        <w:ind w:firstLine="705"/>
        <w:jc w:val="both"/>
        <w:rPr>
          <w:sz w:val="20"/>
          <w:szCs w:val="20"/>
        </w:rPr>
      </w:pPr>
      <w:r w:rsidRPr="00771368">
        <w:rPr>
          <w:sz w:val="23"/>
          <w:szCs w:val="23"/>
        </w:rPr>
        <w:t xml:space="preserve">Na silhueta masculina observamos a musculatura, que simboliza a força física, a brutalidade, na qual também é percebida pelo desenho de algumas armas, escudos e objetos comumente utilizados por homens. Enfim, esse conjunto de signos nos faz perceber o poder e a força masculina. E fazendo uma leitura na busca da igualdade de gêneros entendemos o quão evidente está, através da obra do Anderson - um estudante da periferia do Recife - que para eles, o homem se sobressai devido ao uso de sua força física. </w:t>
      </w:r>
      <w:r w:rsidRPr="00771368">
        <w:rPr>
          <w:sz w:val="24"/>
          <w:szCs w:val="24"/>
        </w:rPr>
        <w:t>Percebemos que precisa de um maior</w:t>
      </w:r>
      <w:r w:rsidRPr="00771368">
        <w:rPr>
          <w:sz w:val="23"/>
          <w:szCs w:val="23"/>
        </w:rPr>
        <w:t xml:space="preserve"> </w:t>
      </w:r>
      <w:r w:rsidRPr="00771368">
        <w:rPr>
          <w:sz w:val="24"/>
          <w:szCs w:val="24"/>
        </w:rPr>
        <w:t>domínio na perspectiva. Porém, conseguiu apresentar uma ambiência própria do oriente utilizando um jogo de cores bem diferenciado das demais obras.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20352" behindDoc="1" locked="0" layoutInCell="0" allowOverlap="1">
            <wp:simplePos x="0" y="0"/>
            <wp:positionH relativeFrom="column">
              <wp:posOffset>-52070</wp:posOffset>
            </wp:positionH>
            <wp:positionV relativeFrom="paragraph">
              <wp:posOffset>209550</wp:posOffset>
            </wp:positionV>
            <wp:extent cx="5741670" cy="2905125"/>
            <wp:effectExtent l="0" t="0" r="0" b="0"/>
            <wp:wrapNone/>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blip>
                    <a:srcRect/>
                    <a:stretch>
                      <a:fillRect/>
                    </a:stretch>
                  </pic:blipFill>
                  <pic:spPr bwMode="auto">
                    <a:xfrm>
                      <a:off x="0" y="0"/>
                      <a:ext cx="5741670" cy="290512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83" w:lineRule="exact"/>
        <w:rPr>
          <w:sz w:val="20"/>
          <w:szCs w:val="20"/>
        </w:rPr>
      </w:pPr>
    </w:p>
    <w:p w:rsidR="00D24E61" w:rsidRPr="00771368" w:rsidRDefault="00D24E61">
      <w:pPr>
        <w:spacing w:line="350" w:lineRule="auto"/>
        <w:ind w:right="20" w:firstLine="705"/>
        <w:jc w:val="both"/>
        <w:rPr>
          <w:sz w:val="20"/>
          <w:szCs w:val="20"/>
        </w:rPr>
      </w:pPr>
      <w:r w:rsidRPr="00771368">
        <w:rPr>
          <w:sz w:val="24"/>
          <w:szCs w:val="24"/>
        </w:rPr>
        <w:t>Flávio, aluno do 2º ano do 4º ciclo A, iniciou seu desenho como está apresentado acima, num desenho no papel feito à lápis grafite no lado direito do papel, ele retratou uma das proibições do Alcorão às mulheres orientais que é não poder sair à rua sozinha sem a presença de seu pai, irmão ou marido. Mostrou sua ideia e pediu ajuda. Neste momento, sem perceber, tolhemos a criatividade dele com explicações técnicas de perspectiva que eram menos importantes do que sua ideia. Mostramos a ele a necessidade da utilização do ponto de fuga puxando todas as linhas.</w:t>
      </w:r>
    </w:p>
    <w:p w:rsidR="00D24E61" w:rsidRPr="00771368" w:rsidRDefault="00D24E61">
      <w:pPr>
        <w:sectPr w:rsidR="00D24E61" w:rsidRPr="00771368">
          <w:pgSz w:w="11920" w:h="16845"/>
          <w:pgMar w:top="1440" w:right="1680" w:bottom="1440" w:left="1420" w:header="0" w:footer="0" w:gutter="0"/>
          <w:cols w:space="720" w:equalWidth="0">
            <w:col w:w="8820"/>
          </w:cols>
        </w:sectPr>
      </w:pPr>
    </w:p>
    <w:p w:rsidR="00D24E61" w:rsidRPr="00771368" w:rsidRDefault="00D24E61">
      <w:pPr>
        <w:spacing w:line="164" w:lineRule="exact"/>
        <w:rPr>
          <w:sz w:val="20"/>
          <w:szCs w:val="20"/>
        </w:rPr>
      </w:pPr>
    </w:p>
    <w:p w:rsidR="00D24E61" w:rsidRPr="00771368" w:rsidRDefault="00D24E61">
      <w:pPr>
        <w:spacing w:line="352" w:lineRule="auto"/>
        <w:ind w:firstLine="765"/>
        <w:jc w:val="both"/>
        <w:rPr>
          <w:sz w:val="20"/>
          <w:szCs w:val="20"/>
        </w:rPr>
      </w:pPr>
      <w:r w:rsidRPr="00771368">
        <w:rPr>
          <w:sz w:val="24"/>
          <w:szCs w:val="24"/>
        </w:rPr>
        <w:t xml:space="preserve">Demonstramos que no seu desenho víamos algumas casas comerciais de frente, e no canto inferior direito, a casa comercial estava sendo retratada como se estivesse sendo vista de cima. E infelizmente ele desistiu e mudou seu desenho para o que está do lado esquerdo todo colorido. Achávamos que estávamos ajudando-o a melhorar seu desenho, entretanto ele recuou alegando que não conseguiria e não quis mais voltar a fazer o desenho inicial, disse ele: </w:t>
      </w:r>
      <w:r w:rsidRPr="00771368">
        <w:rPr>
          <w:i/>
          <w:iCs/>
          <w:sz w:val="24"/>
          <w:szCs w:val="24"/>
        </w:rPr>
        <w:t>“... não adianta professora eu não sei fazer, e</w:t>
      </w:r>
      <w:r w:rsidRPr="00771368">
        <w:rPr>
          <w:sz w:val="24"/>
          <w:szCs w:val="24"/>
        </w:rPr>
        <w:t xml:space="preserve"> </w:t>
      </w:r>
      <w:r w:rsidRPr="00771368">
        <w:rPr>
          <w:i/>
          <w:iCs/>
          <w:sz w:val="24"/>
          <w:szCs w:val="24"/>
        </w:rPr>
        <w:t>o primeiro está</w:t>
      </w:r>
      <w:r w:rsidRPr="00771368">
        <w:rPr>
          <w:sz w:val="24"/>
          <w:szCs w:val="24"/>
        </w:rPr>
        <w:t xml:space="preserve"> </w:t>
      </w:r>
      <w:r w:rsidRPr="00771368">
        <w:rPr>
          <w:i/>
          <w:iCs/>
          <w:sz w:val="24"/>
          <w:szCs w:val="24"/>
        </w:rPr>
        <w:t>desenhado errado.”</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22400" behindDoc="1" locked="0" layoutInCell="0" allowOverlap="1">
            <wp:simplePos x="0" y="0"/>
            <wp:positionH relativeFrom="column">
              <wp:posOffset>336550</wp:posOffset>
            </wp:positionH>
            <wp:positionV relativeFrom="paragraph">
              <wp:posOffset>137160</wp:posOffset>
            </wp:positionV>
            <wp:extent cx="5339715" cy="2428875"/>
            <wp:effectExtent l="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blip>
                    <a:srcRect/>
                    <a:stretch>
                      <a:fillRect/>
                    </a:stretch>
                  </pic:blipFill>
                  <pic:spPr bwMode="auto">
                    <a:xfrm>
                      <a:off x="0" y="0"/>
                      <a:ext cx="5339715" cy="242887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8" w:lineRule="exact"/>
        <w:rPr>
          <w:sz w:val="20"/>
          <w:szCs w:val="20"/>
        </w:rPr>
      </w:pPr>
    </w:p>
    <w:p w:rsidR="00D24E61" w:rsidRPr="00771368" w:rsidRDefault="00D24E61">
      <w:pPr>
        <w:spacing w:line="350" w:lineRule="auto"/>
        <w:ind w:firstLine="705"/>
        <w:jc w:val="both"/>
        <w:rPr>
          <w:sz w:val="20"/>
          <w:szCs w:val="20"/>
        </w:rPr>
      </w:pPr>
      <w:r w:rsidRPr="00771368">
        <w:rPr>
          <w:sz w:val="24"/>
          <w:szCs w:val="24"/>
        </w:rPr>
        <w:t>Bruno do 2º ano do 4º ciclo A, apresentou de forma bem didática, sua obra. Colocou um mapa representando países Ocidentais e países Orientais sendo dividido pelo Meridiano de Greenwich, e a linha do Equador. Desenhou diversos objetos de uso dos países Orientais espalhas inclusive por países Ocidentais, e segundo o autor da obra isso demonstra que a cultura oriental pode estar sendo vivenciada em qualquer parte do mundo. E, finalmente ele apresenta uma mulher Oriental, no centro dos países, tentando dançar, e querendo dominar o mundo.</w:t>
      </w:r>
    </w:p>
    <w:p w:rsidR="00D24E61" w:rsidRPr="00771368" w:rsidRDefault="00D24E61">
      <w:pPr>
        <w:spacing w:line="80" w:lineRule="exact"/>
        <w:rPr>
          <w:sz w:val="20"/>
          <w:szCs w:val="20"/>
        </w:rPr>
      </w:pPr>
    </w:p>
    <w:p w:rsidR="00D24E61" w:rsidRPr="00771368" w:rsidRDefault="00D24E61">
      <w:pPr>
        <w:spacing w:line="344" w:lineRule="auto"/>
        <w:ind w:firstLine="856"/>
        <w:jc w:val="both"/>
        <w:rPr>
          <w:sz w:val="20"/>
          <w:szCs w:val="20"/>
        </w:rPr>
      </w:pPr>
      <w:r w:rsidRPr="00771368">
        <w:rPr>
          <w:sz w:val="24"/>
          <w:szCs w:val="24"/>
        </w:rPr>
        <w:t xml:space="preserve">Vale salientar que Bruno sem inspiração para iniciar sua obra, buscou o texto passado em sala sobre o Orientalismo e assim comunicou visualmente tudo o que foi lido. Foi um dos primeiros a começar, provou ser muito inteligente e persistente. Por várias vezes tentou desistir, </w:t>
      </w:r>
      <w:r w:rsidRPr="00771368">
        <w:rPr>
          <w:i/>
          <w:iCs/>
          <w:sz w:val="24"/>
          <w:szCs w:val="24"/>
        </w:rPr>
        <w:t>“Pintar não é comigo professora, acabou o suplicio...”.</w:t>
      </w:r>
    </w:p>
    <w:p w:rsidR="00D24E61" w:rsidRPr="00771368" w:rsidRDefault="00D24E61">
      <w:pPr>
        <w:spacing w:line="200" w:lineRule="exact"/>
        <w:rPr>
          <w:sz w:val="20"/>
          <w:szCs w:val="20"/>
        </w:rPr>
      </w:pPr>
    </w:p>
    <w:p w:rsidR="00D24E61" w:rsidRPr="00771368" w:rsidRDefault="00D24E61">
      <w:pPr>
        <w:spacing w:line="290" w:lineRule="exact"/>
        <w:rPr>
          <w:sz w:val="20"/>
          <w:szCs w:val="20"/>
        </w:rPr>
      </w:pPr>
    </w:p>
    <w:p w:rsidR="00D24E61" w:rsidRPr="00771368" w:rsidRDefault="00D24E61">
      <w:pPr>
        <w:spacing w:line="315" w:lineRule="auto"/>
        <w:ind w:firstLine="705"/>
        <w:jc w:val="both"/>
        <w:rPr>
          <w:sz w:val="20"/>
          <w:szCs w:val="20"/>
        </w:rPr>
      </w:pPr>
      <w:r w:rsidRPr="00771368">
        <w:rPr>
          <w:sz w:val="24"/>
          <w:szCs w:val="24"/>
        </w:rPr>
        <w:t>Luciano, aluno do 2º ano do 4º ciclo D, enfatiza na imagem da próxima página, o vermelho como cor predominante. Uma cor forte ligada ao gênero feminino.</w:t>
      </w:r>
    </w:p>
    <w:p w:rsidR="00D24E61" w:rsidRPr="00771368" w:rsidRDefault="00D24E61">
      <w:pPr>
        <w:sectPr w:rsidR="00D24E61" w:rsidRPr="00771368">
          <w:pgSz w:w="11920" w:h="16845"/>
          <w:pgMar w:top="1440" w:right="1700" w:bottom="1440" w:left="1420" w:header="0" w:footer="0" w:gutter="0"/>
          <w:cols w:space="720" w:equalWidth="0">
            <w:col w:w="8800"/>
          </w:cols>
        </w:sectPr>
      </w:pPr>
    </w:p>
    <w:p w:rsidR="00D24E61" w:rsidRPr="00771368" w:rsidRDefault="00D24E61">
      <w:pPr>
        <w:spacing w:line="164" w:lineRule="exact"/>
        <w:rPr>
          <w:sz w:val="20"/>
          <w:szCs w:val="20"/>
        </w:rPr>
      </w:pPr>
    </w:p>
    <w:p w:rsidR="00D24E61" w:rsidRPr="00771368" w:rsidRDefault="00D24E61">
      <w:pPr>
        <w:spacing w:line="333" w:lineRule="auto"/>
        <w:ind w:firstLine="705"/>
        <w:jc w:val="both"/>
        <w:rPr>
          <w:sz w:val="20"/>
          <w:szCs w:val="20"/>
        </w:rPr>
      </w:pPr>
      <w:r w:rsidRPr="00771368">
        <w:rPr>
          <w:sz w:val="24"/>
          <w:szCs w:val="24"/>
        </w:rPr>
        <w:t>Retrata expressivamente a dor de um homem Oriental, pela possível perda de sua mulher. Coloca a personagem masculina na posição do homem na escultura de Rodin, O Pensador – efetua assim uma releitura.</w:t>
      </w:r>
    </w:p>
    <w:p w:rsidR="00D24E61" w:rsidRPr="00771368" w:rsidRDefault="00D24E61">
      <w:pPr>
        <w:spacing w:line="97" w:lineRule="exact"/>
        <w:rPr>
          <w:sz w:val="20"/>
          <w:szCs w:val="20"/>
        </w:rPr>
      </w:pPr>
    </w:p>
    <w:p w:rsidR="00D24E61" w:rsidRPr="00771368" w:rsidRDefault="00D24E61">
      <w:pPr>
        <w:spacing w:line="350" w:lineRule="auto"/>
        <w:ind w:firstLine="705"/>
        <w:jc w:val="both"/>
        <w:rPr>
          <w:sz w:val="20"/>
          <w:szCs w:val="20"/>
        </w:rPr>
      </w:pPr>
      <w:r w:rsidRPr="00771368">
        <w:rPr>
          <w:sz w:val="24"/>
          <w:szCs w:val="24"/>
        </w:rPr>
        <w:t xml:space="preserve">E, agora o que fazer sem a minha mulher? Segundo Luciano é a pergunta que a personagem masculina deve estar se fazendo ao ser retratado, “... </w:t>
      </w:r>
      <w:r w:rsidRPr="00771368">
        <w:rPr>
          <w:i/>
          <w:iCs/>
          <w:sz w:val="24"/>
          <w:szCs w:val="24"/>
        </w:rPr>
        <w:t>pois é professora, o</w:t>
      </w:r>
      <w:r w:rsidRPr="00771368">
        <w:rPr>
          <w:sz w:val="24"/>
          <w:szCs w:val="24"/>
        </w:rPr>
        <w:t xml:space="preserve"> </w:t>
      </w:r>
      <w:r w:rsidRPr="00771368">
        <w:rPr>
          <w:i/>
          <w:iCs/>
          <w:sz w:val="24"/>
          <w:szCs w:val="24"/>
        </w:rPr>
        <w:t>homem pensa que é mais forte que a mulher, mas, só fisicamente, emocionalmente, não conseguimos ficar sem elas. O que me faz pensar é porquê as mulheres se submetem as vontades dos homens? Elas são tão fortes quanto os nós, sem elas não somos praticamente nada. Porque essa briga? Acho que falta os homens deixarem essa arrogância e o egoísmo para trás e ... ”.</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24448" behindDoc="1" locked="0" layoutInCell="0" allowOverlap="1">
            <wp:simplePos x="0" y="0"/>
            <wp:positionH relativeFrom="column">
              <wp:posOffset>-635</wp:posOffset>
            </wp:positionH>
            <wp:positionV relativeFrom="paragraph">
              <wp:posOffset>287655</wp:posOffset>
            </wp:positionV>
            <wp:extent cx="2409825" cy="3206115"/>
            <wp:effectExtent l="0" t="0" r="0" b="0"/>
            <wp:wrapNone/>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extLst/>
                    </a:blip>
                    <a:srcRect/>
                    <a:stretch>
                      <a:fillRect/>
                    </a:stretch>
                  </pic:blipFill>
                  <pic:spPr bwMode="auto">
                    <a:xfrm>
                      <a:off x="0" y="0"/>
                      <a:ext cx="2409825" cy="320611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ind w:left="3660"/>
        <w:rPr>
          <w:sz w:val="20"/>
          <w:szCs w:val="20"/>
        </w:rPr>
      </w:pPr>
      <w:r w:rsidRPr="00771368">
        <w:rPr>
          <w:b/>
          <w:bCs/>
          <w:sz w:val="24"/>
          <w:szCs w:val="24"/>
        </w:rPr>
        <w:t>CONCLUSÃO</w:t>
      </w:r>
    </w:p>
    <w:p w:rsidR="00D24E61" w:rsidRPr="00771368" w:rsidRDefault="00D24E61">
      <w:pPr>
        <w:spacing w:line="202" w:lineRule="exact"/>
        <w:rPr>
          <w:sz w:val="20"/>
          <w:szCs w:val="20"/>
        </w:rPr>
      </w:pPr>
    </w:p>
    <w:p w:rsidR="00D24E61" w:rsidRPr="00771368" w:rsidRDefault="00D24E61">
      <w:pPr>
        <w:spacing w:line="346" w:lineRule="auto"/>
        <w:ind w:firstLine="856"/>
        <w:jc w:val="both"/>
        <w:rPr>
          <w:sz w:val="20"/>
          <w:szCs w:val="20"/>
        </w:rPr>
      </w:pPr>
      <w:r w:rsidRPr="00771368">
        <w:rPr>
          <w:sz w:val="24"/>
          <w:szCs w:val="24"/>
        </w:rPr>
        <w:t>Este trabalho apresentou situações dicotômicas que nos faz refletir o porquê da sociedade está encaminhando-se para algumas situações difíceis. Vejamos, inicialmente, os educandos em debate repugnaram a forma como as mulheres do Oriente Médio são tratadas, não aceitaram a sua falta de liberdade, entretanto em seus textos verbais a maioria dos educandos escreveu que a mulher ideal é aquela que segue uma linha de submissão ao</w:t>
      </w:r>
    </w:p>
    <w:p w:rsidR="00D24E61" w:rsidRPr="00771368" w:rsidRDefault="00D24E61">
      <w:pPr>
        <w:sectPr w:rsidR="00D24E61" w:rsidRPr="00771368">
          <w:pgSz w:w="11920" w:h="16845"/>
          <w:pgMar w:top="1440" w:right="1700" w:bottom="1440" w:left="1420" w:header="0" w:footer="0" w:gutter="0"/>
          <w:cols w:space="720" w:equalWidth="0">
            <w:col w:w="8800"/>
          </w:cols>
        </w:sectPr>
      </w:pPr>
    </w:p>
    <w:p w:rsidR="00D24E61" w:rsidRPr="00771368" w:rsidRDefault="00D24E61">
      <w:pPr>
        <w:spacing w:line="164" w:lineRule="exact"/>
        <w:rPr>
          <w:sz w:val="20"/>
          <w:szCs w:val="20"/>
        </w:rPr>
      </w:pPr>
    </w:p>
    <w:p w:rsidR="00D24E61" w:rsidRPr="00771368" w:rsidRDefault="00D24E61">
      <w:pPr>
        <w:spacing w:line="314" w:lineRule="auto"/>
        <w:ind w:right="20"/>
        <w:jc w:val="both"/>
        <w:rPr>
          <w:sz w:val="20"/>
          <w:szCs w:val="20"/>
        </w:rPr>
      </w:pPr>
      <w:r w:rsidRPr="00771368">
        <w:rPr>
          <w:sz w:val="24"/>
          <w:szCs w:val="24"/>
        </w:rPr>
        <w:t>marido, é dona de casa, fiel a seu marido, tendo que ter bom humor e compreensão para com tudo e com todos.</w:t>
      </w:r>
    </w:p>
    <w:p w:rsidR="00D24E61" w:rsidRPr="00771368" w:rsidRDefault="00D24E61">
      <w:pPr>
        <w:spacing w:line="104" w:lineRule="exact"/>
        <w:rPr>
          <w:sz w:val="20"/>
          <w:szCs w:val="20"/>
        </w:rPr>
      </w:pPr>
    </w:p>
    <w:p w:rsidR="00D24E61" w:rsidRPr="00771368" w:rsidRDefault="00D24E61">
      <w:pPr>
        <w:spacing w:line="344" w:lineRule="auto"/>
        <w:ind w:firstLine="856"/>
        <w:jc w:val="both"/>
        <w:rPr>
          <w:sz w:val="20"/>
          <w:szCs w:val="20"/>
        </w:rPr>
      </w:pPr>
      <w:r w:rsidRPr="00771368">
        <w:rPr>
          <w:sz w:val="24"/>
          <w:szCs w:val="24"/>
        </w:rPr>
        <w:t>Ou seja, eles não aceitam os exageros e a forma proibitiva a que as mulheres Orientais têm que submeter-se, porém eles aprovam à submissão da mulher Ocidental em relação a seu marido, e à sua família. Colocando quase em sua totalidade, a mulher como mãe. Percebemos apenas um aluno colocando que as mulheres que tem filhos são safadas,</w:t>
      </w:r>
    </w:p>
    <w:p w:rsidR="00D24E61" w:rsidRPr="00771368" w:rsidRDefault="00D24E61">
      <w:pPr>
        <w:spacing w:line="26" w:lineRule="exact"/>
        <w:rPr>
          <w:sz w:val="20"/>
          <w:szCs w:val="20"/>
        </w:rPr>
      </w:pPr>
    </w:p>
    <w:p w:rsidR="00D24E61" w:rsidRPr="00771368" w:rsidRDefault="00D24E61">
      <w:pPr>
        <w:rPr>
          <w:sz w:val="20"/>
          <w:szCs w:val="20"/>
        </w:rPr>
      </w:pPr>
      <w:r w:rsidRPr="00771368">
        <w:rPr>
          <w:sz w:val="24"/>
          <w:szCs w:val="24"/>
        </w:rPr>
        <w:t>que elas devem ter apenas um filho,  no máximo.</w:t>
      </w:r>
    </w:p>
    <w:p w:rsidR="00D24E61" w:rsidRPr="00771368" w:rsidRDefault="00D24E61">
      <w:pPr>
        <w:spacing w:line="130" w:lineRule="exact"/>
        <w:rPr>
          <w:sz w:val="20"/>
          <w:szCs w:val="20"/>
        </w:rPr>
      </w:pPr>
    </w:p>
    <w:p w:rsidR="00D24E61" w:rsidRPr="00771368" w:rsidRDefault="00D24E61">
      <w:pPr>
        <w:tabs>
          <w:tab w:val="left" w:pos="1840"/>
          <w:tab w:val="left" w:pos="2560"/>
          <w:tab w:val="left" w:pos="3460"/>
          <w:tab w:val="left" w:pos="4540"/>
          <w:tab w:val="left" w:pos="5740"/>
          <w:tab w:val="left" w:pos="6300"/>
          <w:tab w:val="left" w:pos="6960"/>
          <w:tab w:val="left" w:pos="7500"/>
          <w:tab w:val="left" w:pos="8440"/>
        </w:tabs>
        <w:spacing w:line="239" w:lineRule="auto"/>
        <w:ind w:left="860"/>
        <w:rPr>
          <w:sz w:val="20"/>
          <w:szCs w:val="20"/>
        </w:rPr>
      </w:pPr>
      <w:r w:rsidRPr="00771368">
        <w:rPr>
          <w:sz w:val="24"/>
          <w:szCs w:val="24"/>
        </w:rPr>
        <w:t>Partindo</w:t>
      </w:r>
      <w:r w:rsidRPr="00771368">
        <w:rPr>
          <w:sz w:val="20"/>
          <w:szCs w:val="20"/>
        </w:rPr>
        <w:tab/>
      </w:r>
      <w:r w:rsidRPr="00771368">
        <w:rPr>
          <w:sz w:val="24"/>
          <w:szCs w:val="24"/>
        </w:rPr>
        <w:t>desta</w:t>
      </w:r>
      <w:r w:rsidRPr="00771368">
        <w:rPr>
          <w:sz w:val="20"/>
          <w:szCs w:val="20"/>
        </w:rPr>
        <w:tab/>
      </w:r>
      <w:r w:rsidRPr="00771368">
        <w:rPr>
          <w:sz w:val="24"/>
          <w:szCs w:val="24"/>
        </w:rPr>
        <w:t>análise,</w:t>
      </w:r>
      <w:r w:rsidRPr="00771368">
        <w:rPr>
          <w:sz w:val="20"/>
          <w:szCs w:val="20"/>
        </w:rPr>
        <w:tab/>
      </w:r>
      <w:r w:rsidRPr="00771368">
        <w:rPr>
          <w:sz w:val="24"/>
          <w:szCs w:val="24"/>
        </w:rPr>
        <w:t>podemos</w:t>
      </w:r>
      <w:r w:rsidRPr="00771368">
        <w:rPr>
          <w:sz w:val="20"/>
          <w:szCs w:val="20"/>
        </w:rPr>
        <w:tab/>
      </w:r>
      <w:r w:rsidRPr="00771368">
        <w:rPr>
          <w:sz w:val="24"/>
          <w:szCs w:val="24"/>
        </w:rPr>
        <w:t>considerar</w:t>
      </w:r>
      <w:r w:rsidRPr="00771368">
        <w:rPr>
          <w:sz w:val="20"/>
          <w:szCs w:val="20"/>
        </w:rPr>
        <w:tab/>
      </w:r>
      <w:r w:rsidRPr="00771368">
        <w:rPr>
          <w:sz w:val="24"/>
          <w:szCs w:val="24"/>
        </w:rPr>
        <w:t>que</w:t>
      </w:r>
      <w:r w:rsidRPr="00771368">
        <w:rPr>
          <w:sz w:val="20"/>
          <w:szCs w:val="20"/>
        </w:rPr>
        <w:tab/>
      </w:r>
      <w:r w:rsidRPr="00771368">
        <w:rPr>
          <w:sz w:val="24"/>
          <w:szCs w:val="24"/>
        </w:rPr>
        <w:t>90%</w:t>
      </w:r>
      <w:r w:rsidRPr="00771368">
        <w:rPr>
          <w:sz w:val="20"/>
          <w:szCs w:val="20"/>
        </w:rPr>
        <w:tab/>
      </w:r>
      <w:r w:rsidRPr="00771368">
        <w:rPr>
          <w:sz w:val="24"/>
          <w:szCs w:val="24"/>
        </w:rPr>
        <w:t>das</w:t>
      </w:r>
      <w:r w:rsidRPr="00771368">
        <w:rPr>
          <w:sz w:val="20"/>
          <w:szCs w:val="20"/>
        </w:rPr>
        <w:tab/>
      </w:r>
      <w:r w:rsidRPr="00771368">
        <w:rPr>
          <w:sz w:val="24"/>
          <w:szCs w:val="24"/>
        </w:rPr>
        <w:t>meninas</w:t>
      </w:r>
      <w:r w:rsidRPr="00771368">
        <w:rPr>
          <w:sz w:val="20"/>
          <w:szCs w:val="20"/>
        </w:rPr>
        <w:tab/>
      </w:r>
      <w:r w:rsidRPr="00771368">
        <w:rPr>
          <w:sz w:val="23"/>
          <w:szCs w:val="23"/>
        </w:rPr>
        <w:t>que</w:t>
      </w:r>
    </w:p>
    <w:p w:rsidR="00D24E61" w:rsidRPr="00771368" w:rsidRDefault="00D24E61">
      <w:pPr>
        <w:spacing w:line="203" w:lineRule="exact"/>
        <w:rPr>
          <w:sz w:val="20"/>
          <w:szCs w:val="20"/>
        </w:rPr>
      </w:pPr>
    </w:p>
    <w:p w:rsidR="00D24E61" w:rsidRPr="00771368" w:rsidRDefault="00D24E61">
      <w:pPr>
        <w:spacing w:line="350" w:lineRule="auto"/>
        <w:ind w:right="20"/>
        <w:jc w:val="both"/>
        <w:rPr>
          <w:sz w:val="20"/>
          <w:szCs w:val="20"/>
        </w:rPr>
      </w:pPr>
      <w:r w:rsidRPr="00771368">
        <w:rPr>
          <w:sz w:val="24"/>
          <w:szCs w:val="24"/>
        </w:rPr>
        <w:t>participaram deste projeto se percebem mães, veem-se cuidando do lar e de seus filhos, portanto já é de se esperar que elas não percebam a gravidez precoce e sem estrutura, como algo que vai atrapalhar seu futuro, e quando colocam nos textos, que a mulher ideal é aquela que sabe valorizar o que tem, ajudar o seu homem, sabe cozinhar, obedece e ajuda, é aquela que pega o homem certo e outras mais, demonstram total resignação no futuro que se vislumbra à sua frente.</w:t>
      </w:r>
    </w:p>
    <w:p w:rsidR="00D24E61" w:rsidRPr="00771368" w:rsidRDefault="00D24E61">
      <w:pPr>
        <w:spacing w:line="62" w:lineRule="exact"/>
        <w:rPr>
          <w:sz w:val="20"/>
          <w:szCs w:val="20"/>
        </w:rPr>
      </w:pPr>
    </w:p>
    <w:p w:rsidR="00D24E61" w:rsidRPr="00771368" w:rsidRDefault="00D24E61">
      <w:pPr>
        <w:spacing w:line="354" w:lineRule="auto"/>
        <w:ind w:firstLine="856"/>
        <w:jc w:val="both"/>
        <w:rPr>
          <w:sz w:val="20"/>
          <w:szCs w:val="20"/>
        </w:rPr>
      </w:pPr>
      <w:r w:rsidRPr="00771368">
        <w:rPr>
          <w:sz w:val="24"/>
          <w:szCs w:val="24"/>
        </w:rPr>
        <w:t>Em seus depoimentos durante os debates, os adolescentes demonstram e atuam como seres acomodados que estão acostumados com o que lhes acontece e não procuram ter persistência para sair da inércia e ir buscar vida melhor. Constatamos que o sistema educacional incentiva essa acomodação, pois tudo eles recebem gratuitamente, pelo menos na instituição escolar pública, fardamento, livros, escola, merenda, e passar de ano é de graça. Não é necessário nenhum esforço por parte dele, então o único esforço para receber bolsa escola é frequentar as aulas e ficou claro que nem o seu dever de estudar lhe é cobrado para que ele passe de ano.</w:t>
      </w:r>
    </w:p>
    <w:p w:rsidR="00D24E61" w:rsidRPr="00771368" w:rsidRDefault="00D24E61">
      <w:pPr>
        <w:spacing w:line="61" w:lineRule="exact"/>
        <w:rPr>
          <w:sz w:val="20"/>
          <w:szCs w:val="20"/>
        </w:rPr>
      </w:pPr>
    </w:p>
    <w:p w:rsidR="00D24E61" w:rsidRPr="00771368" w:rsidRDefault="00D24E61">
      <w:pPr>
        <w:spacing w:line="349" w:lineRule="auto"/>
        <w:ind w:firstLine="856"/>
        <w:jc w:val="both"/>
        <w:rPr>
          <w:sz w:val="20"/>
          <w:szCs w:val="20"/>
        </w:rPr>
      </w:pPr>
      <w:r w:rsidRPr="00771368">
        <w:rPr>
          <w:sz w:val="24"/>
          <w:szCs w:val="24"/>
        </w:rPr>
        <w:t>Ao dirigirmos um debate, aplicada à primeira pergunta os depoimentos demoram muito a aparecer e são muito simples, muitas vezes respondidos por monossílabos. Para que os depoimentos possuírem uma argumentação maior foi necessário muito esforço ao longo do ano para que agora eles se pronunciassem de forma mais fundamentada, mesmo nas proposições partidas apenas deles.</w:t>
      </w:r>
    </w:p>
    <w:p w:rsidR="00D24E61" w:rsidRPr="00771368" w:rsidRDefault="00D24E61">
      <w:pPr>
        <w:spacing w:line="66" w:lineRule="exact"/>
        <w:rPr>
          <w:sz w:val="20"/>
          <w:szCs w:val="20"/>
        </w:rPr>
      </w:pPr>
    </w:p>
    <w:p w:rsidR="00D24E61" w:rsidRPr="00771368" w:rsidRDefault="00D24E61">
      <w:pPr>
        <w:spacing w:line="349" w:lineRule="auto"/>
        <w:ind w:right="20" w:firstLine="856"/>
        <w:jc w:val="both"/>
        <w:rPr>
          <w:sz w:val="20"/>
          <w:szCs w:val="20"/>
        </w:rPr>
      </w:pPr>
      <w:r w:rsidRPr="00771368">
        <w:rPr>
          <w:sz w:val="24"/>
          <w:szCs w:val="24"/>
        </w:rPr>
        <w:t>E assim unindo esses conjuntos de fatores, sociedade, sistema educacional, falta de ideal por parte dos educandos, a perspectiva de conscientizar os adolescentes a pensarem em seu futuro, atinge a pouquíssimos alunos. É um trabalho lento como passos de formiga, no qual só veremos resultado a longuíssimo prazo. No entanto ao ler o texto abaixo redigido pela aluna do 2º ano do 4º ciclo D, da Escola Municipal Maria Sampaio de</w:t>
      </w:r>
    </w:p>
    <w:p w:rsidR="00D24E61" w:rsidRPr="00771368" w:rsidRDefault="00D24E61">
      <w:pPr>
        <w:sectPr w:rsidR="00D24E61" w:rsidRPr="00771368">
          <w:pgSz w:w="11920" w:h="16845"/>
          <w:pgMar w:top="1440" w:right="1680" w:bottom="1440" w:left="1420" w:header="0" w:footer="0" w:gutter="0"/>
          <w:cols w:space="720" w:equalWidth="0">
            <w:col w:w="8820"/>
          </w:cols>
        </w:sectPr>
      </w:pPr>
    </w:p>
    <w:p w:rsidR="00D24E61" w:rsidRPr="00771368" w:rsidRDefault="00D24E61">
      <w:pPr>
        <w:spacing w:line="164" w:lineRule="exact"/>
        <w:rPr>
          <w:sz w:val="20"/>
          <w:szCs w:val="20"/>
        </w:rPr>
      </w:pPr>
    </w:p>
    <w:p w:rsidR="00D24E61" w:rsidRPr="00771368" w:rsidRDefault="00D24E61">
      <w:pPr>
        <w:spacing w:line="314" w:lineRule="auto"/>
        <w:ind w:right="20"/>
        <w:rPr>
          <w:sz w:val="20"/>
          <w:szCs w:val="20"/>
        </w:rPr>
      </w:pPr>
      <w:r w:rsidRPr="00771368">
        <w:rPr>
          <w:sz w:val="24"/>
          <w:szCs w:val="24"/>
        </w:rPr>
        <w:t>Lucena, sentimo-nos revigorados a continuar plantando sementinha por sementinha até alcançar maiores resultados:</w:t>
      </w:r>
    </w:p>
    <w:p w:rsidR="00D24E61" w:rsidRPr="00771368" w:rsidRDefault="00D24E61">
      <w:pPr>
        <w:spacing w:line="104" w:lineRule="exact"/>
        <w:rPr>
          <w:sz w:val="20"/>
          <w:szCs w:val="20"/>
        </w:rPr>
      </w:pPr>
    </w:p>
    <w:p w:rsidR="00D24E61" w:rsidRPr="00771368" w:rsidRDefault="00D24E61">
      <w:pPr>
        <w:spacing w:line="314" w:lineRule="auto"/>
        <w:ind w:left="720" w:right="3820"/>
        <w:rPr>
          <w:sz w:val="20"/>
          <w:szCs w:val="20"/>
        </w:rPr>
      </w:pPr>
      <w:r w:rsidRPr="00771368">
        <w:rPr>
          <w:i/>
          <w:iCs/>
          <w:sz w:val="24"/>
          <w:szCs w:val="24"/>
        </w:rPr>
        <w:t>“ Mulher, como poderei eu falar de mulher? Mulher algo precioso e raro.</w:t>
      </w:r>
    </w:p>
    <w:p w:rsidR="00D24E61" w:rsidRPr="00771368" w:rsidRDefault="00D24E61">
      <w:pPr>
        <w:spacing w:line="103" w:lineRule="exact"/>
        <w:rPr>
          <w:sz w:val="20"/>
          <w:szCs w:val="20"/>
        </w:rPr>
      </w:pPr>
    </w:p>
    <w:p w:rsidR="00D24E61" w:rsidRPr="00771368" w:rsidRDefault="00D24E61">
      <w:pPr>
        <w:spacing w:line="314" w:lineRule="auto"/>
        <w:ind w:left="720" w:right="880"/>
        <w:rPr>
          <w:sz w:val="20"/>
          <w:szCs w:val="20"/>
        </w:rPr>
      </w:pPr>
      <w:r w:rsidRPr="00771368">
        <w:rPr>
          <w:i/>
          <w:iCs/>
          <w:sz w:val="24"/>
          <w:szCs w:val="24"/>
        </w:rPr>
        <w:t>Mulher é forte, inteligente, meiga, amável, enfim, como poderei eu falar de mulher?</w:t>
      </w:r>
    </w:p>
    <w:p w:rsidR="00D24E61" w:rsidRPr="00771368" w:rsidRDefault="00D24E61">
      <w:pPr>
        <w:spacing w:line="60" w:lineRule="exact"/>
        <w:rPr>
          <w:sz w:val="20"/>
          <w:szCs w:val="20"/>
        </w:rPr>
      </w:pPr>
    </w:p>
    <w:p w:rsidR="00D24E61" w:rsidRPr="00771368" w:rsidRDefault="00D24E61">
      <w:pPr>
        <w:ind w:left="720"/>
        <w:rPr>
          <w:sz w:val="20"/>
          <w:szCs w:val="20"/>
        </w:rPr>
      </w:pPr>
      <w:r w:rsidRPr="00771368">
        <w:rPr>
          <w:i/>
          <w:iCs/>
          <w:sz w:val="24"/>
          <w:szCs w:val="24"/>
        </w:rPr>
        <w:t>Preciosa e rara, porque é bela.</w:t>
      </w:r>
    </w:p>
    <w:p w:rsidR="00D24E61" w:rsidRPr="00771368" w:rsidRDefault="00D24E61">
      <w:pPr>
        <w:spacing w:line="188" w:lineRule="exact"/>
        <w:rPr>
          <w:sz w:val="20"/>
          <w:szCs w:val="20"/>
        </w:rPr>
      </w:pPr>
    </w:p>
    <w:p w:rsidR="00D24E61" w:rsidRPr="00771368" w:rsidRDefault="00D24E61">
      <w:pPr>
        <w:spacing w:line="314" w:lineRule="auto"/>
        <w:ind w:left="720" w:right="4040"/>
        <w:rPr>
          <w:sz w:val="20"/>
          <w:szCs w:val="20"/>
        </w:rPr>
      </w:pPr>
      <w:r w:rsidRPr="00771368">
        <w:rPr>
          <w:i/>
          <w:iCs/>
          <w:sz w:val="24"/>
          <w:szCs w:val="24"/>
        </w:rPr>
        <w:t>Forte e inteligente, porque é indestrutível. Meiga e amável, por quê?</w:t>
      </w:r>
    </w:p>
    <w:p w:rsidR="00D24E61" w:rsidRPr="00771368" w:rsidRDefault="00D24E61">
      <w:pPr>
        <w:spacing w:line="104" w:lineRule="exact"/>
        <w:rPr>
          <w:sz w:val="20"/>
          <w:szCs w:val="20"/>
        </w:rPr>
      </w:pPr>
    </w:p>
    <w:p w:rsidR="00D24E61" w:rsidRPr="00771368" w:rsidRDefault="00D24E61">
      <w:pPr>
        <w:spacing w:line="338" w:lineRule="auto"/>
        <w:ind w:left="720" w:right="3680"/>
        <w:rPr>
          <w:sz w:val="20"/>
          <w:szCs w:val="20"/>
        </w:rPr>
      </w:pPr>
      <w:r w:rsidRPr="00771368">
        <w:rPr>
          <w:i/>
          <w:iCs/>
          <w:sz w:val="23"/>
          <w:szCs w:val="23"/>
        </w:rPr>
        <w:t>Porque é preciosa, rara, forte e inteligente. Mulher, mulher, nasceste para ser admirada..</w:t>
      </w:r>
    </w:p>
    <w:p w:rsidR="00D24E61" w:rsidRPr="00771368" w:rsidRDefault="00D24E61">
      <w:pPr>
        <w:spacing w:line="96" w:lineRule="exact"/>
        <w:rPr>
          <w:sz w:val="20"/>
          <w:szCs w:val="20"/>
        </w:rPr>
      </w:pPr>
    </w:p>
    <w:p w:rsidR="00D24E61" w:rsidRPr="00771368" w:rsidRDefault="00D24E61">
      <w:pPr>
        <w:spacing w:line="301" w:lineRule="auto"/>
        <w:ind w:left="720" w:right="960"/>
        <w:rPr>
          <w:sz w:val="20"/>
          <w:szCs w:val="20"/>
        </w:rPr>
      </w:pPr>
      <w:r w:rsidRPr="00771368">
        <w:rPr>
          <w:i/>
          <w:iCs/>
          <w:sz w:val="24"/>
          <w:szCs w:val="24"/>
        </w:rPr>
        <w:t>Eu o que sou, sem tua coragem, sem tua compreensão, sem o teu “amor”. Ora! Ora! Mulher, como poderei eu falar de ti.”</w:t>
      </w:r>
    </w:p>
    <w:p w:rsidR="00D24E61" w:rsidRPr="00771368" w:rsidRDefault="00D24E61">
      <w:pPr>
        <w:spacing w:line="200" w:lineRule="exact"/>
        <w:rPr>
          <w:sz w:val="20"/>
          <w:szCs w:val="20"/>
        </w:rPr>
      </w:pPr>
    </w:p>
    <w:p w:rsidR="00D24E61" w:rsidRPr="00771368" w:rsidRDefault="00D24E61">
      <w:pPr>
        <w:spacing w:line="281" w:lineRule="exact"/>
        <w:rPr>
          <w:sz w:val="20"/>
          <w:szCs w:val="20"/>
        </w:rPr>
      </w:pPr>
    </w:p>
    <w:p w:rsidR="00D24E61" w:rsidRPr="00771368" w:rsidRDefault="00D24E61">
      <w:pPr>
        <w:ind w:left="720"/>
        <w:rPr>
          <w:sz w:val="20"/>
          <w:szCs w:val="20"/>
        </w:rPr>
      </w:pPr>
      <w:r w:rsidRPr="00771368">
        <w:rPr>
          <w:i/>
          <w:iCs/>
          <w:sz w:val="24"/>
          <w:szCs w:val="24"/>
        </w:rPr>
        <w:t>Aluna Camila Nascimento – 2º ano do 4º ciclo D.</w:t>
      </w:r>
    </w:p>
    <w:p w:rsidR="00D24E61" w:rsidRPr="00771368" w:rsidRDefault="00D24E61">
      <w:pPr>
        <w:spacing w:line="200" w:lineRule="exact"/>
        <w:rPr>
          <w:sz w:val="20"/>
          <w:szCs w:val="20"/>
        </w:rPr>
      </w:pPr>
    </w:p>
    <w:p w:rsidR="00D24E61" w:rsidRPr="00771368" w:rsidRDefault="00D24E61">
      <w:pPr>
        <w:spacing w:line="370" w:lineRule="exact"/>
        <w:rPr>
          <w:sz w:val="20"/>
          <w:szCs w:val="20"/>
        </w:rPr>
      </w:pPr>
    </w:p>
    <w:p w:rsidR="00D24E61" w:rsidRPr="00771368" w:rsidRDefault="00D24E61">
      <w:pPr>
        <w:ind w:left="2840"/>
        <w:rPr>
          <w:sz w:val="20"/>
          <w:szCs w:val="20"/>
        </w:rPr>
      </w:pPr>
      <w:r w:rsidRPr="00771368">
        <w:rPr>
          <w:b/>
          <w:bCs/>
          <w:sz w:val="24"/>
          <w:szCs w:val="24"/>
        </w:rPr>
        <w:t>REFERÊNCIAS BIBLIOGRÁFICAS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14" w:lineRule="auto"/>
        <w:rPr>
          <w:sz w:val="20"/>
          <w:szCs w:val="20"/>
        </w:rPr>
      </w:pPr>
      <w:r w:rsidRPr="00771368">
        <w:rPr>
          <w:sz w:val="24"/>
          <w:szCs w:val="24"/>
        </w:rPr>
        <w:t xml:space="preserve">ACHADO, Osny Telles Marcondes. </w:t>
      </w:r>
      <w:r w:rsidRPr="00771368">
        <w:rPr>
          <w:b/>
          <w:bCs/>
          <w:sz w:val="24"/>
          <w:szCs w:val="24"/>
        </w:rPr>
        <w:t>Começo de Conversa: Orientação Sexual.</w:t>
      </w:r>
      <w:r w:rsidRPr="00771368">
        <w:rPr>
          <w:sz w:val="24"/>
          <w:szCs w:val="24"/>
        </w:rPr>
        <w:t xml:space="preserve"> 1ª Edição, São Paulo:Ed. Saraiva, 1993.</w:t>
      </w:r>
    </w:p>
    <w:p w:rsidR="00D24E61" w:rsidRPr="00771368" w:rsidRDefault="00D24E61">
      <w:pPr>
        <w:spacing w:line="315" w:lineRule="auto"/>
        <w:ind w:right="20"/>
        <w:rPr>
          <w:sz w:val="20"/>
          <w:szCs w:val="20"/>
        </w:rPr>
      </w:pPr>
      <w:r w:rsidRPr="00771368">
        <w:rPr>
          <w:sz w:val="24"/>
          <w:szCs w:val="24"/>
        </w:rPr>
        <w:t xml:space="preserve">BARBOSA, Ana Mãe (Org). </w:t>
      </w:r>
      <w:r w:rsidRPr="00771368">
        <w:rPr>
          <w:b/>
          <w:bCs/>
          <w:sz w:val="24"/>
          <w:szCs w:val="24"/>
        </w:rPr>
        <w:t>Arte/Educação Contemporânea, Consonâncias</w:t>
      </w:r>
      <w:r w:rsidRPr="00771368">
        <w:rPr>
          <w:sz w:val="24"/>
          <w:szCs w:val="24"/>
        </w:rPr>
        <w:t xml:space="preserve"> </w:t>
      </w:r>
      <w:r w:rsidRPr="00771368">
        <w:rPr>
          <w:b/>
          <w:bCs/>
          <w:sz w:val="24"/>
          <w:szCs w:val="24"/>
        </w:rPr>
        <w:t>Internacionais</w:t>
      </w:r>
      <w:r w:rsidRPr="00771368">
        <w:rPr>
          <w:sz w:val="24"/>
          <w:szCs w:val="24"/>
        </w:rPr>
        <w:t>. 1ª Edição, São Paulo: Cortez Editora, 2005.</w:t>
      </w:r>
    </w:p>
    <w:p w:rsidR="00D24E61" w:rsidRPr="00771368" w:rsidRDefault="00D24E61">
      <w:pPr>
        <w:spacing w:line="301" w:lineRule="auto"/>
        <w:rPr>
          <w:sz w:val="20"/>
          <w:szCs w:val="20"/>
        </w:rPr>
      </w:pPr>
      <w:r w:rsidRPr="00771368">
        <w:rPr>
          <w:sz w:val="24"/>
          <w:szCs w:val="24"/>
        </w:rPr>
        <w:t xml:space="preserve">BUORO, Anamélia Bueno. </w:t>
      </w:r>
      <w:r w:rsidRPr="00771368">
        <w:rPr>
          <w:b/>
          <w:bCs/>
          <w:sz w:val="24"/>
          <w:szCs w:val="24"/>
        </w:rPr>
        <w:t>Olhos que pintam: a leitura da imagem e o ensino da arte</w:t>
      </w:r>
      <w:r w:rsidRPr="00771368">
        <w:rPr>
          <w:sz w:val="24"/>
          <w:szCs w:val="24"/>
        </w:rPr>
        <w:t xml:space="preserve"> . 2ª edição, São Paulo: Educ / Fapesp / Cortez, 2003.</w:t>
      </w:r>
    </w:p>
    <w:p w:rsidR="00D24E61" w:rsidRPr="00771368" w:rsidRDefault="00D24E61">
      <w:pPr>
        <w:spacing w:line="301" w:lineRule="auto"/>
        <w:rPr>
          <w:sz w:val="20"/>
          <w:szCs w:val="20"/>
        </w:rPr>
      </w:pPr>
      <w:r w:rsidRPr="00771368">
        <w:rPr>
          <w:sz w:val="24"/>
          <w:szCs w:val="24"/>
        </w:rPr>
        <w:t xml:space="preserve">CANTON, Kátia. </w:t>
      </w:r>
      <w:r w:rsidRPr="00771368">
        <w:rPr>
          <w:b/>
          <w:bCs/>
          <w:sz w:val="24"/>
          <w:szCs w:val="24"/>
        </w:rPr>
        <w:t>Retrato da Arte Moderna: Uma História no Brasil e no Mundo</w:t>
      </w:r>
      <w:r w:rsidRPr="00771368">
        <w:rPr>
          <w:sz w:val="24"/>
          <w:szCs w:val="24"/>
        </w:rPr>
        <w:t xml:space="preserve"> </w:t>
      </w:r>
      <w:r w:rsidRPr="00771368">
        <w:rPr>
          <w:b/>
          <w:bCs/>
          <w:sz w:val="24"/>
          <w:szCs w:val="24"/>
        </w:rPr>
        <w:t xml:space="preserve">Ocidental ( 1860- 1960). </w:t>
      </w:r>
      <w:r w:rsidRPr="00771368">
        <w:rPr>
          <w:sz w:val="24"/>
          <w:szCs w:val="24"/>
        </w:rPr>
        <w:t>1ª Edição, São Paulo: Martins Fontes, 2002.</w:t>
      </w:r>
    </w:p>
    <w:p w:rsidR="00D24E61" w:rsidRPr="00771368" w:rsidRDefault="00D24E61">
      <w:pPr>
        <w:spacing w:line="315" w:lineRule="auto"/>
        <w:rPr>
          <w:sz w:val="20"/>
          <w:szCs w:val="20"/>
        </w:rPr>
      </w:pPr>
      <w:r w:rsidRPr="00771368">
        <w:rPr>
          <w:sz w:val="24"/>
          <w:szCs w:val="24"/>
        </w:rPr>
        <w:t xml:space="preserve">MINISTÉRIO DA EDUCAÇÃO, </w:t>
      </w:r>
      <w:r w:rsidRPr="00771368">
        <w:rPr>
          <w:b/>
          <w:bCs/>
          <w:sz w:val="24"/>
          <w:szCs w:val="24"/>
        </w:rPr>
        <w:t>Parâmetros Curriculares Nacionais: terceiro e</w:t>
      </w:r>
      <w:r w:rsidRPr="00771368">
        <w:rPr>
          <w:sz w:val="24"/>
          <w:szCs w:val="24"/>
        </w:rPr>
        <w:t xml:space="preserve"> </w:t>
      </w:r>
      <w:r w:rsidRPr="00771368">
        <w:rPr>
          <w:b/>
          <w:bCs/>
          <w:sz w:val="24"/>
          <w:szCs w:val="24"/>
        </w:rPr>
        <w:t xml:space="preserve">quarto ciclos: apresentação dos temas transversais </w:t>
      </w:r>
      <w:r w:rsidRPr="00771368">
        <w:rPr>
          <w:sz w:val="24"/>
          <w:szCs w:val="24"/>
        </w:rPr>
        <w:t>. Secretaria de Educação: Brasília,</w:t>
      </w:r>
    </w:p>
    <w:p w:rsidR="00D24E61" w:rsidRPr="00771368" w:rsidRDefault="00D24E61">
      <w:pPr>
        <w:spacing w:line="58" w:lineRule="exact"/>
        <w:rPr>
          <w:sz w:val="20"/>
          <w:szCs w:val="20"/>
        </w:rPr>
      </w:pPr>
    </w:p>
    <w:p w:rsidR="00D24E61" w:rsidRPr="00771368" w:rsidRDefault="00D24E61">
      <w:pPr>
        <w:rPr>
          <w:sz w:val="20"/>
          <w:szCs w:val="20"/>
        </w:rPr>
      </w:pPr>
      <w:r w:rsidRPr="00771368">
        <w:rPr>
          <w:sz w:val="24"/>
          <w:szCs w:val="24"/>
        </w:rPr>
        <w:t>1998.</w:t>
      </w:r>
    </w:p>
    <w:p w:rsidR="00D24E61" w:rsidRPr="00771368" w:rsidRDefault="00D24E61">
      <w:pPr>
        <w:rPr>
          <w:sz w:val="20"/>
          <w:szCs w:val="20"/>
        </w:rPr>
      </w:pPr>
      <w:r w:rsidRPr="00771368">
        <w:rPr>
          <w:b/>
          <w:bCs/>
          <w:sz w:val="24"/>
          <w:szCs w:val="24"/>
        </w:rPr>
        <w:t>SITES PESQUISADOS:</w:t>
      </w:r>
    </w:p>
    <w:p w:rsidR="00D24E61" w:rsidRPr="00771368" w:rsidRDefault="00D24E61">
      <w:pPr>
        <w:spacing w:line="188" w:lineRule="exact"/>
        <w:rPr>
          <w:sz w:val="20"/>
          <w:szCs w:val="20"/>
        </w:rPr>
      </w:pPr>
    </w:p>
    <w:p w:rsidR="00D24E61" w:rsidRPr="00D61223" w:rsidRDefault="00295FC8">
      <w:pPr>
        <w:spacing w:line="338" w:lineRule="auto"/>
        <w:ind w:right="1520"/>
        <w:rPr>
          <w:color w:val="0000FF"/>
          <w:sz w:val="23"/>
          <w:szCs w:val="23"/>
          <w:u w:val="single"/>
          <w:lang w:val="en-US"/>
        </w:rPr>
      </w:pPr>
      <w:hyperlink r:id="rId107">
        <w:r w:rsidR="00D24E61" w:rsidRPr="00771368">
          <w:rPr>
            <w:color w:val="0000FF"/>
            <w:sz w:val="23"/>
            <w:szCs w:val="23"/>
            <w:u w:val="single"/>
          </w:rPr>
          <w:t>http://www.ibge.gov.br/home/presidencia/noticias/12062003indic2002.shtm</w:t>
        </w:r>
      </w:hyperlink>
      <w:r w:rsidR="00D24E61" w:rsidRPr="00771368">
        <w:rPr>
          <w:color w:val="0000FF"/>
          <w:sz w:val="23"/>
          <w:szCs w:val="23"/>
          <w:u w:val="single"/>
        </w:rPr>
        <w:t xml:space="preserve"> </w:t>
      </w:r>
      <w:r w:rsidR="00D24E61" w:rsidRPr="00771368">
        <w:rPr>
          <w:color w:val="000000"/>
          <w:sz w:val="23"/>
          <w:szCs w:val="23"/>
        </w:rPr>
        <w:t xml:space="preserve">www. </w:t>
      </w:r>
      <w:r w:rsidR="00D24E61" w:rsidRPr="00D61223">
        <w:rPr>
          <w:color w:val="000000"/>
          <w:sz w:val="23"/>
          <w:szCs w:val="23"/>
          <w:lang w:val="en-US"/>
        </w:rPr>
        <w:t>Wikipédia.org/ wiki/orientalismo.</w:t>
      </w:r>
    </w:p>
    <w:p w:rsidR="00D24E61" w:rsidRPr="00771368" w:rsidRDefault="00295FC8">
      <w:pPr>
        <w:spacing w:line="374" w:lineRule="auto"/>
        <w:ind w:right="2140"/>
        <w:rPr>
          <w:color w:val="0000FF"/>
        </w:rPr>
      </w:pPr>
      <w:hyperlink r:id="rId108">
        <w:r w:rsidR="00D24E61" w:rsidRPr="00D61223">
          <w:rPr>
            <w:color w:val="0000FF"/>
            <w:u w:val="single"/>
            <w:lang w:val="en-US"/>
          </w:rPr>
          <w:t>www.sapere.it/tca/minisite</w:t>
        </w:r>
        <w:r w:rsidR="00D24E61" w:rsidRPr="00D61223">
          <w:rPr>
            <w:color w:val="000000"/>
            <w:lang w:val="en-US"/>
          </w:rPr>
          <w:t>.</w:t>
        </w:r>
      </w:hyperlink>
      <w:r w:rsidR="00D24E61" w:rsidRPr="00D61223">
        <w:rPr>
          <w:color w:val="0000FF"/>
          <w:lang w:val="en-US"/>
        </w:rPr>
        <w:t xml:space="preserve"> </w:t>
      </w:r>
      <w:hyperlink r:id="rId109">
        <w:r w:rsidR="00D24E61" w:rsidRPr="00D61223">
          <w:rPr>
            <w:color w:val="000000"/>
            <w:u w:val="single"/>
            <w:lang w:val="en-US"/>
          </w:rPr>
          <w:t>www.theosophy.ca/theosophical.ws/Portuguese/OrienteOcidenteAB.htm</w:t>
        </w:r>
        <w:r w:rsidR="00D24E61" w:rsidRPr="00D61223">
          <w:rPr>
            <w:color w:val="000000"/>
            <w:lang w:val="en-US"/>
          </w:rPr>
          <w:t>.</w:t>
        </w:r>
      </w:hyperlink>
      <w:r w:rsidR="00D24E61" w:rsidRPr="00D61223">
        <w:rPr>
          <w:color w:val="000000"/>
          <w:lang w:val="en-US"/>
        </w:rPr>
        <w:t xml:space="preserve"> </w:t>
      </w:r>
      <w:hyperlink r:id="rId110">
        <w:r w:rsidR="00D24E61" w:rsidRPr="00771368">
          <w:rPr>
            <w:color w:val="0000FF"/>
            <w:u w:val="single"/>
          </w:rPr>
          <w:t>www.br.geocites.com/geografiadooriente/atual/limites</w:t>
        </w:r>
        <w:r w:rsidR="00D24E61" w:rsidRPr="00771368">
          <w:rPr>
            <w:color w:val="000000"/>
          </w:rPr>
          <w:t>.</w:t>
        </w:r>
      </w:hyperlink>
    </w:p>
    <w:p w:rsidR="00D24E61" w:rsidRPr="00771368" w:rsidRDefault="00295FC8">
      <w:pPr>
        <w:spacing w:line="231" w:lineRule="auto"/>
        <w:rPr>
          <w:color w:val="0000FF"/>
          <w:sz w:val="24"/>
          <w:szCs w:val="24"/>
        </w:rPr>
      </w:pPr>
      <w:hyperlink r:id="rId111">
        <w:r w:rsidR="00D24E61" w:rsidRPr="00771368">
          <w:rPr>
            <w:color w:val="0000FF"/>
            <w:sz w:val="24"/>
            <w:szCs w:val="24"/>
            <w:u w:val="single"/>
          </w:rPr>
          <w:t>www.br.geocites.com/geografiadooriente/glossário</w:t>
        </w:r>
        <w:r w:rsidR="00D24E61" w:rsidRPr="00771368">
          <w:rPr>
            <w:color w:val="000000"/>
            <w:sz w:val="24"/>
            <w:szCs w:val="24"/>
          </w:rPr>
          <w:t>.</w:t>
        </w:r>
      </w:hyperlink>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48" w:lineRule="exact"/>
        <w:rPr>
          <w:sz w:val="24"/>
          <w:szCs w:val="24"/>
        </w:rPr>
      </w:pPr>
    </w:p>
    <w:p w:rsidR="00D24E61" w:rsidRPr="00771368" w:rsidRDefault="00D24E61">
      <w:pPr>
        <w:ind w:left="540"/>
        <w:rPr>
          <w:sz w:val="20"/>
          <w:szCs w:val="20"/>
        </w:rPr>
      </w:pPr>
      <w:r w:rsidRPr="00771368">
        <w:rPr>
          <w:b/>
          <w:bCs/>
          <w:sz w:val="24"/>
          <w:szCs w:val="24"/>
        </w:rPr>
        <w:t>PREVALÊNCIA DA VIOLÊNCIA DOMÉSTICA E ABORDAGEM SÓCIO-</w:t>
      </w:r>
    </w:p>
    <w:p w:rsidR="00D24E61" w:rsidRPr="00771368" w:rsidRDefault="00D24E61">
      <w:pPr>
        <w:spacing w:line="137" w:lineRule="exact"/>
        <w:rPr>
          <w:sz w:val="24"/>
          <w:szCs w:val="24"/>
        </w:rPr>
      </w:pPr>
    </w:p>
    <w:p w:rsidR="00D24E61" w:rsidRPr="00771368" w:rsidRDefault="00D24E61">
      <w:pPr>
        <w:ind w:left="1080"/>
        <w:rPr>
          <w:sz w:val="20"/>
          <w:szCs w:val="20"/>
        </w:rPr>
      </w:pPr>
      <w:r w:rsidRPr="00771368">
        <w:rPr>
          <w:b/>
          <w:bCs/>
          <w:sz w:val="24"/>
          <w:szCs w:val="24"/>
        </w:rPr>
        <w:t>JURÍDICA DA REINSERSÃO SOCIAL DOS PORTADORES DE</w:t>
      </w:r>
    </w:p>
    <w:p w:rsidR="00D24E61" w:rsidRPr="00771368" w:rsidRDefault="00D24E61">
      <w:pPr>
        <w:spacing w:line="139" w:lineRule="exact"/>
        <w:rPr>
          <w:sz w:val="24"/>
          <w:szCs w:val="24"/>
        </w:rPr>
      </w:pPr>
    </w:p>
    <w:p w:rsidR="00D24E61" w:rsidRPr="00771368" w:rsidRDefault="00D24E61">
      <w:pPr>
        <w:ind w:left="1140"/>
        <w:rPr>
          <w:sz w:val="20"/>
          <w:szCs w:val="20"/>
        </w:rPr>
      </w:pPr>
      <w:r w:rsidRPr="00771368">
        <w:rPr>
          <w:b/>
          <w:bCs/>
          <w:sz w:val="24"/>
          <w:szCs w:val="24"/>
        </w:rPr>
        <w:t>DOENÇA/DEFICIÊNCIA MENTAL NO CAPS DO CRATO-CE</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55" w:lineRule="exact"/>
        <w:rPr>
          <w:sz w:val="24"/>
          <w:szCs w:val="24"/>
        </w:rPr>
      </w:pPr>
    </w:p>
    <w:p w:rsidR="00D24E61" w:rsidRPr="00771368" w:rsidRDefault="00D24E61">
      <w:pPr>
        <w:jc w:val="right"/>
        <w:rPr>
          <w:sz w:val="20"/>
          <w:szCs w:val="20"/>
        </w:rPr>
      </w:pPr>
      <w:r w:rsidRPr="00771368">
        <w:rPr>
          <w:rFonts w:eastAsia="Arial"/>
          <w:b/>
          <w:bCs/>
          <w:sz w:val="24"/>
          <w:szCs w:val="24"/>
        </w:rPr>
        <w:t>Autora: Natália Ester Bezerra</w:t>
      </w:r>
      <w:r w:rsidRPr="00771368">
        <w:rPr>
          <w:rFonts w:eastAsia="Arial"/>
          <w:b/>
          <w:bCs/>
          <w:sz w:val="32"/>
          <w:szCs w:val="32"/>
          <w:vertAlign w:val="superscript"/>
        </w:rPr>
        <w:t>1</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86" w:lineRule="exact"/>
        <w:rPr>
          <w:sz w:val="24"/>
          <w:szCs w:val="24"/>
        </w:rPr>
      </w:pPr>
    </w:p>
    <w:p w:rsidR="00D24E61" w:rsidRPr="00771368" w:rsidRDefault="00D24E61">
      <w:pPr>
        <w:ind w:left="3980"/>
        <w:rPr>
          <w:sz w:val="20"/>
          <w:szCs w:val="20"/>
        </w:rPr>
      </w:pPr>
      <w:r w:rsidRPr="00771368">
        <w:rPr>
          <w:rFonts w:eastAsia="Arial"/>
          <w:b/>
          <w:bCs/>
          <w:sz w:val="24"/>
          <w:szCs w:val="24"/>
        </w:rPr>
        <w:t>Universidade Regional do Cariri – URCA</w:t>
      </w:r>
    </w:p>
    <w:p w:rsidR="00D24E61" w:rsidRPr="00771368" w:rsidRDefault="00D24E61">
      <w:pPr>
        <w:spacing w:line="137" w:lineRule="exact"/>
        <w:rPr>
          <w:sz w:val="24"/>
          <w:szCs w:val="24"/>
        </w:rPr>
      </w:pPr>
    </w:p>
    <w:p w:rsidR="00D24E61" w:rsidRPr="00771368" w:rsidRDefault="00D24E61">
      <w:pPr>
        <w:ind w:left="3980"/>
        <w:rPr>
          <w:sz w:val="20"/>
          <w:szCs w:val="20"/>
        </w:rPr>
      </w:pPr>
      <w:r w:rsidRPr="00771368">
        <w:rPr>
          <w:rFonts w:eastAsia="Arial"/>
          <w:b/>
          <w:bCs/>
          <w:sz w:val="24"/>
          <w:szCs w:val="24"/>
        </w:rPr>
        <w:t>Centro de Humanidades</w:t>
      </w:r>
    </w:p>
    <w:p w:rsidR="00D24E61" w:rsidRPr="00771368" w:rsidRDefault="00D24E61">
      <w:pPr>
        <w:spacing w:line="139" w:lineRule="exact"/>
        <w:rPr>
          <w:sz w:val="24"/>
          <w:szCs w:val="24"/>
        </w:rPr>
      </w:pPr>
    </w:p>
    <w:p w:rsidR="00D24E61" w:rsidRPr="00771368" w:rsidRDefault="00D24E61">
      <w:pPr>
        <w:ind w:left="3980"/>
        <w:rPr>
          <w:sz w:val="20"/>
          <w:szCs w:val="20"/>
        </w:rPr>
      </w:pPr>
      <w:r w:rsidRPr="00771368">
        <w:rPr>
          <w:rFonts w:eastAsia="Arial"/>
          <w:b/>
          <w:bCs/>
          <w:sz w:val="24"/>
          <w:szCs w:val="24"/>
        </w:rPr>
        <w:t>Grupo de Estudos e Pesquisa em Ciência,</w:t>
      </w:r>
    </w:p>
    <w:p w:rsidR="00D24E61" w:rsidRPr="00771368" w:rsidRDefault="00D24E61">
      <w:pPr>
        <w:spacing w:line="137" w:lineRule="exact"/>
        <w:rPr>
          <w:sz w:val="24"/>
          <w:szCs w:val="24"/>
        </w:rPr>
      </w:pPr>
    </w:p>
    <w:p w:rsidR="00D24E61" w:rsidRPr="00771368" w:rsidRDefault="00D24E61">
      <w:pPr>
        <w:ind w:left="3980"/>
        <w:rPr>
          <w:sz w:val="20"/>
          <w:szCs w:val="20"/>
        </w:rPr>
      </w:pPr>
      <w:r w:rsidRPr="00771368">
        <w:rPr>
          <w:rFonts w:eastAsia="Arial"/>
          <w:b/>
          <w:bCs/>
          <w:sz w:val="24"/>
          <w:szCs w:val="24"/>
        </w:rPr>
        <w:t>Espiritualidade e Filosofia - NECEF</w:t>
      </w:r>
    </w:p>
    <w:p w:rsidR="00D24E61" w:rsidRPr="00771368" w:rsidRDefault="00D24E61">
      <w:pPr>
        <w:spacing w:line="200" w:lineRule="exact"/>
        <w:rPr>
          <w:sz w:val="24"/>
          <w:szCs w:val="24"/>
        </w:rPr>
      </w:pPr>
    </w:p>
    <w:p w:rsidR="00D24E61" w:rsidRPr="00771368" w:rsidRDefault="00D24E61">
      <w:pPr>
        <w:spacing w:line="364" w:lineRule="exact"/>
        <w:rPr>
          <w:sz w:val="24"/>
          <w:szCs w:val="24"/>
        </w:rPr>
      </w:pPr>
    </w:p>
    <w:p w:rsidR="00D24E61" w:rsidRPr="00771368" w:rsidRDefault="00D24E61">
      <w:pPr>
        <w:ind w:left="4500"/>
        <w:rPr>
          <w:sz w:val="20"/>
          <w:szCs w:val="20"/>
        </w:rPr>
      </w:pPr>
      <w:r w:rsidRPr="00771368">
        <w:rPr>
          <w:rFonts w:eastAsia="Arial"/>
          <w:b/>
          <w:bCs/>
          <w:sz w:val="23"/>
          <w:szCs w:val="23"/>
        </w:rPr>
        <w:t>Orientadora: Gislene Farias de Oliveira</w:t>
      </w:r>
    </w:p>
    <w:p w:rsidR="00D24E61" w:rsidRPr="00771368" w:rsidRDefault="00D24E61">
      <w:pPr>
        <w:spacing w:line="200" w:lineRule="exact"/>
        <w:rPr>
          <w:sz w:val="24"/>
          <w:szCs w:val="24"/>
        </w:rPr>
      </w:pPr>
    </w:p>
    <w:p w:rsidR="00D24E61" w:rsidRPr="00771368" w:rsidRDefault="00D24E61">
      <w:pPr>
        <w:spacing w:line="352" w:lineRule="exact"/>
        <w:rPr>
          <w:sz w:val="24"/>
          <w:szCs w:val="24"/>
        </w:rPr>
      </w:pPr>
    </w:p>
    <w:p w:rsidR="00D24E61" w:rsidRPr="00771368" w:rsidRDefault="00D24E61">
      <w:pPr>
        <w:rPr>
          <w:sz w:val="20"/>
          <w:szCs w:val="20"/>
        </w:rPr>
      </w:pPr>
      <w:r w:rsidRPr="00771368">
        <w:rPr>
          <w:rFonts w:eastAsia="Arial"/>
          <w:b/>
          <w:bCs/>
          <w:sz w:val="24"/>
          <w:szCs w:val="24"/>
        </w:rPr>
        <w:t>Introdução</w:t>
      </w:r>
    </w:p>
    <w:p w:rsidR="00D24E61" w:rsidRPr="00771368" w:rsidRDefault="00D24E61">
      <w:pPr>
        <w:spacing w:line="190" w:lineRule="exact"/>
        <w:rPr>
          <w:sz w:val="24"/>
          <w:szCs w:val="24"/>
        </w:rPr>
      </w:pPr>
    </w:p>
    <w:p w:rsidR="00D24E61" w:rsidRPr="00771368" w:rsidRDefault="00D24E61">
      <w:pPr>
        <w:spacing w:line="352" w:lineRule="auto"/>
        <w:ind w:firstLine="1133"/>
        <w:jc w:val="both"/>
        <w:rPr>
          <w:sz w:val="20"/>
          <w:szCs w:val="20"/>
        </w:rPr>
      </w:pPr>
      <w:r w:rsidRPr="00771368">
        <w:rPr>
          <w:rFonts w:eastAsia="Arial"/>
          <w:sz w:val="24"/>
          <w:szCs w:val="24"/>
        </w:rPr>
        <w:t>A violência doméstica, objeto de pesquisa desse projeto, é um assunto amplamente abordado e cada vez mais amparado pela sociedade e consequentemente pelas legislações brasileiras, um exemplo mais recente em nosso ordenamento foi a implantação da Lei 11.340/2006 da Violência Doméstica e Familiar contra a Mulher, outra regulamento já existente desde 1990 é o Estatuto da Criança e do Adolescente que abrange a proteção integral a esses sujeitos de direitos.</w:t>
      </w:r>
    </w:p>
    <w:p w:rsidR="00D24E61" w:rsidRPr="00771368" w:rsidRDefault="00D24E61">
      <w:pPr>
        <w:spacing w:line="13" w:lineRule="exact"/>
        <w:rPr>
          <w:sz w:val="24"/>
          <w:szCs w:val="24"/>
        </w:rPr>
      </w:pPr>
    </w:p>
    <w:p w:rsidR="00D24E61" w:rsidRPr="00771368" w:rsidRDefault="00D24E61">
      <w:pPr>
        <w:ind w:left="1140"/>
        <w:rPr>
          <w:sz w:val="20"/>
          <w:szCs w:val="20"/>
        </w:rPr>
      </w:pPr>
      <w:r w:rsidRPr="00771368">
        <w:rPr>
          <w:rFonts w:eastAsia="Arial"/>
          <w:sz w:val="24"/>
          <w:szCs w:val="24"/>
        </w:rPr>
        <w:t>Configura-se como violência doméstica:</w:t>
      </w:r>
    </w:p>
    <w:p w:rsidR="00D24E61" w:rsidRPr="00771368" w:rsidRDefault="00D24E61">
      <w:pPr>
        <w:spacing w:line="200" w:lineRule="exact"/>
        <w:rPr>
          <w:sz w:val="24"/>
          <w:szCs w:val="24"/>
        </w:rPr>
      </w:pPr>
    </w:p>
    <w:p w:rsidR="00D24E61" w:rsidRPr="00771368" w:rsidRDefault="00D24E61">
      <w:pPr>
        <w:spacing w:line="394" w:lineRule="exact"/>
        <w:rPr>
          <w:sz w:val="24"/>
          <w:szCs w:val="24"/>
        </w:rPr>
      </w:pPr>
    </w:p>
    <w:p w:rsidR="009D5D08" w:rsidRDefault="00D24E61">
      <w:pPr>
        <w:spacing w:line="230" w:lineRule="auto"/>
        <w:ind w:left="2280" w:right="20"/>
        <w:jc w:val="both"/>
        <w:rPr>
          <w:sz w:val="20"/>
          <w:szCs w:val="20"/>
        </w:rPr>
      </w:pPr>
      <w:r w:rsidRPr="00771368">
        <w:rPr>
          <w:rFonts w:eastAsia="Arial"/>
          <w:sz w:val="20"/>
          <w:szCs w:val="20"/>
        </w:rPr>
        <w:t>Qualquer acto, conduta ou omissão que sirva para infligir, reiteradamente e com intensidade, sofrimentos físicos, sexuais, mentais ou económicos, de modo directo ou indirecto (por meio de ameaças, enganos, coacção ou qualquer outro meio) a qualquer pessoa que habite no mesmo agregado doméstico privado (pessoas – crianças, jovens, mulheres adultas, homens</w:t>
      </w:r>
      <w:r w:rsidR="009D5D08">
        <w:rPr>
          <w:rFonts w:eastAsia="Arial"/>
          <w:sz w:val="20"/>
          <w:szCs w:val="20"/>
        </w:rPr>
        <w:t xml:space="preserve">, </w:t>
      </w:r>
      <w:r w:rsidR="009D5D08" w:rsidRPr="009D5D08">
        <w:rPr>
          <w:sz w:val="20"/>
          <w:szCs w:val="20"/>
        </w:rPr>
        <w:t>adultos ou idosos – a viver em alojamento comum) ou que, não habitando no mesmo agregado doméstico privado que o agente da violência, seja cônjuge ou companheiro marital ou ex-cônjuge ou ex-companheiro marital.(MACHADO e GONÇALVES, 2003)</w:t>
      </w:r>
    </w:p>
    <w:p w:rsidR="009D5D08" w:rsidRPr="00771368" w:rsidRDefault="009D5D08" w:rsidP="009D5D08">
      <w:pPr>
        <w:spacing w:line="337" w:lineRule="auto"/>
        <w:ind w:firstLine="1133"/>
        <w:jc w:val="both"/>
        <w:rPr>
          <w:sz w:val="20"/>
          <w:szCs w:val="20"/>
        </w:rPr>
      </w:pPr>
      <w:r w:rsidRPr="00771368">
        <w:rPr>
          <w:rFonts w:eastAsia="Arial"/>
          <w:sz w:val="24"/>
          <w:szCs w:val="24"/>
        </w:rPr>
        <w:t>Esse tipo de violência afeta diferentes vítimas, sem distinção de idade, sexo e classe social e é certo que a consequência dessas agressões podem originar sequelas tanto físicas, como psicológicas.</w:t>
      </w:r>
    </w:p>
    <w:p w:rsidR="009D5D08" w:rsidRPr="00771368" w:rsidRDefault="009D5D08" w:rsidP="009D5D08">
      <w:pPr>
        <w:spacing w:line="78" w:lineRule="exact"/>
        <w:rPr>
          <w:sz w:val="20"/>
          <w:szCs w:val="20"/>
        </w:rPr>
      </w:pPr>
    </w:p>
    <w:p w:rsidR="00D24E61" w:rsidRPr="00771368" w:rsidRDefault="00013211">
      <w:pPr>
        <w:spacing w:line="204" w:lineRule="exact"/>
        <w:rPr>
          <w:sz w:val="24"/>
          <w:szCs w:val="24"/>
        </w:rPr>
      </w:pPr>
      <w:r>
        <w:rPr>
          <w:noProof/>
          <w:sz w:val="24"/>
          <w:szCs w:val="24"/>
        </w:rPr>
        <mc:AlternateContent>
          <mc:Choice Requires="wps">
            <w:drawing>
              <wp:anchor distT="0" distB="0" distL="0" distR="0" simplePos="0" relativeHeight="251642368" behindDoc="0" locked="0" layoutInCell="0" allowOverlap="1">
                <wp:simplePos x="0" y="0"/>
                <wp:positionH relativeFrom="column">
                  <wp:posOffset>1270</wp:posOffset>
                </wp:positionH>
                <wp:positionV relativeFrom="paragraph">
                  <wp:posOffset>106680</wp:posOffset>
                </wp:positionV>
                <wp:extent cx="1828800" cy="0"/>
                <wp:effectExtent l="10795" t="11430" r="8255" b="7620"/>
                <wp:wrapNone/>
                <wp:docPr id="28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4pt" to="144.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" o:allowincell="f" strokeweight=".21164mm"/>
            </w:pict>
          </mc:Fallback>
        </mc:AlternateContent>
      </w:r>
    </w:p>
    <w:p w:rsidR="00D24E61" w:rsidRPr="00771368" w:rsidRDefault="00D24E61">
      <w:pPr>
        <w:rPr>
          <w:sz w:val="20"/>
          <w:szCs w:val="20"/>
        </w:rPr>
      </w:pPr>
      <w:r w:rsidRPr="00771368">
        <w:rPr>
          <w:sz w:val="32"/>
          <w:szCs w:val="32"/>
          <w:vertAlign w:val="superscript"/>
        </w:rPr>
        <w:t>1</w:t>
      </w:r>
      <w:r w:rsidRPr="00771368">
        <w:rPr>
          <w:b/>
          <w:bCs/>
          <w:sz w:val="20"/>
          <w:szCs w:val="20"/>
        </w:rPr>
        <w:t xml:space="preserve"> 1. Natália Ester Bezerra </w:t>
      </w:r>
      <w:r w:rsidRPr="00771368">
        <w:rPr>
          <w:sz w:val="20"/>
          <w:szCs w:val="20"/>
        </w:rPr>
        <w:t>é graduada em Direito pela Universidade Regional do Cariri</w:t>
      </w:r>
      <w:r w:rsidRPr="00771368">
        <w:rPr>
          <w:b/>
          <w:bCs/>
          <w:sz w:val="20"/>
          <w:szCs w:val="20"/>
        </w:rPr>
        <w:t xml:space="preserve"> </w:t>
      </w:r>
      <w:r w:rsidRPr="00771368">
        <w:rPr>
          <w:sz w:val="20"/>
          <w:szCs w:val="20"/>
        </w:rPr>
        <w:t>–</w:t>
      </w:r>
      <w:r w:rsidRPr="00771368">
        <w:rPr>
          <w:b/>
          <w:bCs/>
          <w:sz w:val="20"/>
          <w:szCs w:val="20"/>
        </w:rPr>
        <w:t xml:space="preserve"> </w:t>
      </w:r>
      <w:r w:rsidRPr="00771368">
        <w:rPr>
          <w:sz w:val="20"/>
          <w:szCs w:val="20"/>
        </w:rPr>
        <w:t>URCA.</w:t>
      </w:r>
    </w:p>
    <w:p w:rsidR="00D24E61" w:rsidRPr="00771368" w:rsidRDefault="00D24E61">
      <w:pPr>
        <w:spacing w:line="220" w:lineRule="auto"/>
        <w:rPr>
          <w:sz w:val="20"/>
          <w:szCs w:val="20"/>
        </w:rPr>
      </w:pPr>
      <w:r w:rsidRPr="00771368">
        <w:rPr>
          <w:sz w:val="20"/>
          <w:szCs w:val="20"/>
        </w:rPr>
        <w:t>. E-mail: naty-ester@hotmail.com.</w:t>
      </w: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9D5D08" w:rsidRPr="00771368" w:rsidRDefault="009D5D08" w:rsidP="009D5D08">
      <w:pPr>
        <w:spacing w:line="354" w:lineRule="auto"/>
        <w:ind w:firstLine="1133"/>
        <w:jc w:val="both"/>
        <w:rPr>
          <w:sz w:val="20"/>
          <w:szCs w:val="20"/>
        </w:rPr>
      </w:pPr>
      <w:r w:rsidRPr="00771368">
        <w:rPr>
          <w:rFonts w:eastAsia="Arial"/>
          <w:sz w:val="24"/>
          <w:szCs w:val="24"/>
        </w:rPr>
        <w:t>Os tipos de violência mais existentes quanto a essa abordagem intrafamiliar, são a violência física, que consiste no dano causado a outrem pela força física provocando lesões, através do uso de instrumentos ou não, violência psicológica, que vem a ser toda a ação ou omissão que causa dano ao desenvolvimento da pessoa, abalando a autoestima e até mesmo sua identidade, violência negligencial, que seria a falta de cuidados com o próximo, agindo de maneira omissa principalmente com aqueles que precisam de cuidados especiais, violência sexual, quando uma pessoa com sentimento de posse em relação a outra obriga-a a praticar relações sexuais utilizando-se da força física ou psicológica.</w:t>
      </w:r>
    </w:p>
    <w:p w:rsidR="00D24E61" w:rsidRPr="00771368" w:rsidRDefault="00D24E61">
      <w:pPr>
        <w:spacing w:line="62" w:lineRule="exact"/>
        <w:rPr>
          <w:sz w:val="20"/>
          <w:szCs w:val="20"/>
        </w:rPr>
      </w:pPr>
    </w:p>
    <w:p w:rsidR="00D24E61" w:rsidRPr="00771368" w:rsidRDefault="00D24E61">
      <w:pPr>
        <w:spacing w:line="345" w:lineRule="auto"/>
        <w:ind w:firstLine="1133"/>
        <w:jc w:val="both"/>
        <w:rPr>
          <w:sz w:val="20"/>
          <w:szCs w:val="20"/>
        </w:rPr>
      </w:pPr>
      <w:r w:rsidRPr="00771368">
        <w:rPr>
          <w:rFonts w:eastAsia="Arial"/>
          <w:sz w:val="24"/>
          <w:szCs w:val="24"/>
        </w:rPr>
        <w:t>Além da violência patrimonial, que se configura em qualquer conduta que retenha, subtraia ou destrua parcial ou totalmente objetos pessoais, e violência moral, entendida como qualquer conduta que implique em calunia, difamação ou injuria. (CUNHA, 2007, p. 38)</w:t>
      </w:r>
    </w:p>
    <w:p w:rsidR="00D24E61" w:rsidRPr="00771368" w:rsidRDefault="00D24E61">
      <w:pPr>
        <w:spacing w:line="70" w:lineRule="exact"/>
        <w:rPr>
          <w:sz w:val="20"/>
          <w:szCs w:val="20"/>
        </w:rPr>
      </w:pPr>
    </w:p>
    <w:p w:rsidR="00D24E61" w:rsidRPr="00771368" w:rsidRDefault="00D24E61">
      <w:pPr>
        <w:spacing w:line="345" w:lineRule="auto"/>
        <w:ind w:firstLine="1133"/>
        <w:jc w:val="both"/>
        <w:rPr>
          <w:sz w:val="20"/>
          <w:szCs w:val="20"/>
        </w:rPr>
      </w:pPr>
      <w:r w:rsidRPr="00771368">
        <w:rPr>
          <w:rFonts w:eastAsia="Arial"/>
          <w:sz w:val="24"/>
          <w:szCs w:val="24"/>
        </w:rPr>
        <w:t>A repercussão desse problema no mundo vem sendo amparada pelos direitos fundamentais dos seres humanos, à medida que o problema da violência foi sendo visto não só entre pessoas desconhecidas, mas sim entre os próprios membros da família, dotados com grau próximo de parentesco ou de afetividade.</w:t>
      </w:r>
    </w:p>
    <w:p w:rsidR="00D24E61" w:rsidRPr="00771368" w:rsidRDefault="00D24E61">
      <w:pPr>
        <w:spacing w:line="69" w:lineRule="exact"/>
        <w:rPr>
          <w:sz w:val="20"/>
          <w:szCs w:val="20"/>
        </w:rPr>
      </w:pPr>
    </w:p>
    <w:p w:rsidR="00D24E61" w:rsidRPr="00771368" w:rsidRDefault="00D24E61">
      <w:pPr>
        <w:spacing w:line="352" w:lineRule="auto"/>
        <w:ind w:firstLine="1133"/>
        <w:jc w:val="both"/>
        <w:rPr>
          <w:sz w:val="20"/>
          <w:szCs w:val="20"/>
        </w:rPr>
      </w:pPr>
      <w:r w:rsidRPr="00771368">
        <w:rPr>
          <w:rFonts w:eastAsia="Arial"/>
          <w:sz w:val="24"/>
          <w:szCs w:val="24"/>
        </w:rPr>
        <w:t>Um exemplo claro a esse amparo constitui na Lei Maria da Penha, criada no ano de 2006, um marco na história não só do Brasil, mas também do mundo, pois sua história ficou conhecida e seu caso foi analisado pela Comissão Interamericana de Direitos Humanos, órgão da Organização dos Estados Unidos (OEA), sediada em Washington - EUA e a partir do momento em que a lei foi sancionada no Brasil trouxe inúmeros benefícios para as vitimas de violência doméstica que não tinham o amparo judicial para denunciar esse crime.</w:t>
      </w:r>
    </w:p>
    <w:p w:rsidR="00D24E61" w:rsidRPr="00771368" w:rsidRDefault="00D24E61">
      <w:pPr>
        <w:spacing w:line="66" w:lineRule="exact"/>
        <w:rPr>
          <w:sz w:val="20"/>
          <w:szCs w:val="20"/>
        </w:rPr>
      </w:pPr>
    </w:p>
    <w:p w:rsidR="00D24E61" w:rsidRPr="00771368" w:rsidRDefault="00D24E61" w:rsidP="009D5D08">
      <w:pPr>
        <w:spacing w:line="314" w:lineRule="auto"/>
        <w:ind w:right="20" w:firstLine="1133"/>
        <w:jc w:val="both"/>
        <w:rPr>
          <w:sz w:val="20"/>
          <w:szCs w:val="20"/>
        </w:rPr>
      </w:pPr>
      <w:r w:rsidRPr="00771368">
        <w:rPr>
          <w:rFonts w:eastAsia="Arial"/>
          <w:sz w:val="24"/>
          <w:szCs w:val="24"/>
        </w:rPr>
        <w:t>A abordagem sobre a proteção à violência também é salvaguardado pela Lei 8.069 do ano de 1990, ECA, conhecido como o Estatuto da Criança e do</w:t>
      </w:r>
      <w:r w:rsidR="009D5D08">
        <w:rPr>
          <w:rFonts w:eastAsia="Arial"/>
          <w:sz w:val="24"/>
          <w:szCs w:val="24"/>
        </w:rPr>
        <w:t xml:space="preserve"> </w:t>
      </w:r>
      <w:r w:rsidRPr="00771368">
        <w:rPr>
          <w:rFonts w:eastAsia="Arial"/>
          <w:sz w:val="24"/>
          <w:szCs w:val="24"/>
        </w:rPr>
        <w:t>Adolescente e também na Lei 10.741 do ano de 2003, chamada de Estatuto do Idoso. Como se pode notar, os deficientes mentais não têm o amparo jurídico especifico consagrados em uma Lei própria, de tal forma que recebe um tratamento especial nos Centros de Atenção Psicossociais nas sedes de seus municípios, os conhecidos CAPS, compostos por uma multidisciplinaridade de profissionais, como médicos psiquiatras, psicólogos, assistentes sociais.</w:t>
      </w:r>
    </w:p>
    <w:p w:rsidR="00D24E61" w:rsidRPr="00771368" w:rsidRDefault="00D24E61">
      <w:pPr>
        <w:spacing w:line="63"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A deficiência mental segundo os critérios das classificações internacionais vem a ser um transtorno no desenvolvimento intelectual e geralmente se manifesta antes dos 18 anos. Também pela definição adotada pela AAMR (Associação Americana de Deficiência Mental) a principal característica do Retardo Mental é a pessoa ter:</w:t>
      </w:r>
    </w:p>
    <w:p w:rsidR="00D24E61" w:rsidRPr="00771368" w:rsidRDefault="00D24E61">
      <w:pPr>
        <w:spacing w:line="269" w:lineRule="exact"/>
        <w:rPr>
          <w:sz w:val="20"/>
          <w:szCs w:val="20"/>
        </w:rPr>
      </w:pPr>
    </w:p>
    <w:p w:rsidR="00D24E61" w:rsidRPr="00771368" w:rsidRDefault="00D24E61">
      <w:pPr>
        <w:spacing w:line="232" w:lineRule="auto"/>
        <w:ind w:left="2280"/>
        <w:jc w:val="both"/>
        <w:rPr>
          <w:sz w:val="20"/>
          <w:szCs w:val="20"/>
        </w:rPr>
      </w:pPr>
      <w:r w:rsidRPr="00771368">
        <w:rPr>
          <w:rFonts w:eastAsia="Arial"/>
          <w:sz w:val="20"/>
          <w:szCs w:val="20"/>
        </w:rPr>
        <w:t>Funcionamento intelectual significativamente inferior à média, acompanhado de limitações significativas no funcionamento adaptativo em pelo menos duas das seguintes áreas de habilidades: comunicação, auto-cuidados, vida doméstica, habilidades sociais, relacionamento interpessoal, uso de recursos comunitários, auto-suficiência, habilidades acadêmicas, trabalho, lazer, saúde e segurança.</w:t>
      </w:r>
    </w:p>
    <w:p w:rsidR="00D24E61" w:rsidRPr="00771368" w:rsidRDefault="00D24E61">
      <w:pPr>
        <w:spacing w:line="200" w:lineRule="exact"/>
        <w:rPr>
          <w:sz w:val="20"/>
          <w:szCs w:val="20"/>
        </w:rPr>
      </w:pPr>
    </w:p>
    <w:p w:rsidR="00D24E61" w:rsidRPr="00771368" w:rsidRDefault="00D24E61">
      <w:pPr>
        <w:spacing w:line="313" w:lineRule="exact"/>
        <w:rPr>
          <w:sz w:val="20"/>
          <w:szCs w:val="20"/>
        </w:rPr>
      </w:pPr>
    </w:p>
    <w:p w:rsidR="00D24E61" w:rsidRPr="00771368" w:rsidRDefault="00D24E61">
      <w:pPr>
        <w:spacing w:line="345" w:lineRule="auto"/>
        <w:ind w:firstLine="1133"/>
        <w:jc w:val="both"/>
        <w:rPr>
          <w:sz w:val="20"/>
          <w:szCs w:val="20"/>
        </w:rPr>
      </w:pPr>
      <w:r w:rsidRPr="00771368">
        <w:rPr>
          <w:rFonts w:eastAsia="Arial"/>
          <w:sz w:val="24"/>
          <w:szCs w:val="24"/>
        </w:rPr>
        <w:t>A violência doméstica tem se constituído num problema de saúde pública no Brasil. Esse tipo de violência afeta diferentes vítimas sem distinção de idade, sexo ou classe social e, são visíveis as consequências, tanto físicas, como psicológicas.</w:t>
      </w:r>
    </w:p>
    <w:p w:rsidR="00D24E61" w:rsidRPr="00771368" w:rsidRDefault="00D24E61">
      <w:pPr>
        <w:spacing w:line="70" w:lineRule="exact"/>
        <w:rPr>
          <w:sz w:val="20"/>
          <w:szCs w:val="20"/>
        </w:rPr>
      </w:pPr>
    </w:p>
    <w:p w:rsidR="00D24E61" w:rsidRPr="00771368" w:rsidRDefault="00D24E61">
      <w:pPr>
        <w:spacing w:line="345" w:lineRule="auto"/>
        <w:ind w:firstLine="1133"/>
        <w:jc w:val="both"/>
        <w:rPr>
          <w:sz w:val="20"/>
          <w:szCs w:val="20"/>
        </w:rPr>
      </w:pPr>
      <w:r w:rsidRPr="00771368">
        <w:rPr>
          <w:rFonts w:eastAsia="Arial"/>
          <w:sz w:val="24"/>
          <w:szCs w:val="24"/>
        </w:rPr>
        <w:t>A repercussão dessa problemática no mundo, vem sendo discutida, já que os direitos fundamentais dos seres humanos, têm sido negligenciado, pois que, a violência tem sido praticada até por membros da própria família dos sujeitos violentados.</w:t>
      </w:r>
    </w:p>
    <w:p w:rsidR="00D24E61" w:rsidRPr="00771368" w:rsidRDefault="00D24E61">
      <w:pPr>
        <w:spacing w:line="69" w:lineRule="exact"/>
        <w:rPr>
          <w:sz w:val="20"/>
          <w:szCs w:val="20"/>
        </w:rPr>
      </w:pPr>
    </w:p>
    <w:p w:rsidR="00D24E61" w:rsidRPr="00771368" w:rsidRDefault="00D24E61">
      <w:pPr>
        <w:spacing w:line="351" w:lineRule="auto"/>
        <w:ind w:firstLine="1133"/>
        <w:jc w:val="both"/>
        <w:rPr>
          <w:sz w:val="20"/>
          <w:szCs w:val="20"/>
        </w:rPr>
      </w:pPr>
      <w:r w:rsidRPr="00771368">
        <w:rPr>
          <w:rFonts w:eastAsia="Arial"/>
          <w:sz w:val="24"/>
          <w:szCs w:val="24"/>
        </w:rPr>
        <w:t>A legislação brasileira tem proporcionado mais visibilidade a este assunto, à partir da implantação da Lei 11.340/2006 da Violência Doméstica e Familiar contra a Mulher, bem como pela Lei 8.069 do ano de 1990, ECA, conhecido como o Estatuto da Criança e do Adolescente e também pela Lei 10.741 do ano de 2003, chamada de Estatuto do Idoso, que abrange a proteção integral contra a violência a esses sujeitos de direitos.</w:t>
      </w:r>
    </w:p>
    <w:p w:rsidR="00D24E61" w:rsidRPr="00771368" w:rsidRDefault="00D24E61">
      <w:pPr>
        <w:spacing w:line="63" w:lineRule="exact"/>
        <w:rPr>
          <w:sz w:val="20"/>
          <w:szCs w:val="20"/>
        </w:rPr>
      </w:pPr>
    </w:p>
    <w:p w:rsidR="00D24E61" w:rsidRPr="00771368" w:rsidRDefault="00D24E61" w:rsidP="009D5D08">
      <w:pPr>
        <w:spacing w:line="316" w:lineRule="auto"/>
        <w:ind w:firstLine="1133"/>
        <w:jc w:val="both"/>
        <w:rPr>
          <w:sz w:val="20"/>
          <w:szCs w:val="20"/>
        </w:rPr>
      </w:pPr>
      <w:r w:rsidRPr="00771368">
        <w:rPr>
          <w:rFonts w:eastAsia="Arial"/>
          <w:sz w:val="24"/>
          <w:szCs w:val="24"/>
        </w:rPr>
        <w:t>Esta situação se torna agravante, quando os molestados são pessoas com alguma vulnerabilidade, como é o caso dos portadores de deficiência mental.</w:t>
      </w:r>
      <w:r w:rsidR="009D5D08">
        <w:rPr>
          <w:rFonts w:eastAsia="Arial"/>
          <w:sz w:val="24"/>
          <w:szCs w:val="24"/>
        </w:rPr>
        <w:t xml:space="preserve"> </w:t>
      </w:r>
      <w:r w:rsidRPr="00771368">
        <w:rPr>
          <w:rFonts w:eastAsia="Arial"/>
          <w:sz w:val="24"/>
          <w:szCs w:val="24"/>
        </w:rPr>
        <w:t>Atualmente, no município do Crato-CE, não há dados disponíveis sobre a violência a esta classe específica da sociedade.</w:t>
      </w:r>
    </w:p>
    <w:p w:rsidR="00D24E61" w:rsidRPr="00771368" w:rsidRDefault="00D24E61">
      <w:pPr>
        <w:spacing w:line="99" w:lineRule="exact"/>
        <w:rPr>
          <w:sz w:val="20"/>
          <w:szCs w:val="20"/>
        </w:rPr>
      </w:pPr>
    </w:p>
    <w:p w:rsidR="00D24E61" w:rsidRPr="00771368" w:rsidRDefault="00D24E61">
      <w:pPr>
        <w:spacing w:line="345" w:lineRule="auto"/>
        <w:ind w:firstLine="1133"/>
        <w:jc w:val="both"/>
        <w:rPr>
          <w:sz w:val="20"/>
          <w:szCs w:val="20"/>
        </w:rPr>
      </w:pPr>
      <w:r w:rsidRPr="00771368">
        <w:rPr>
          <w:rFonts w:eastAsia="Arial"/>
          <w:sz w:val="24"/>
          <w:szCs w:val="24"/>
        </w:rPr>
        <w:t>Neste sentido, por se configurarem como pessoas indefesas e pela paciência que não é aplicada no cuidado e tratamentos destes, no próprio lar, acabam sendo vítima dos mais diversos tipos de violência, dificultando ainda mais, o equilíbrio da sua saúde física e mental.</w:t>
      </w:r>
    </w:p>
    <w:p w:rsidR="00D24E61" w:rsidRPr="00771368" w:rsidRDefault="00D24E61">
      <w:pPr>
        <w:spacing w:line="69" w:lineRule="exact"/>
        <w:rPr>
          <w:sz w:val="20"/>
          <w:szCs w:val="20"/>
        </w:rPr>
      </w:pPr>
    </w:p>
    <w:p w:rsidR="00D24E61" w:rsidRPr="00771368" w:rsidRDefault="00D24E61">
      <w:pPr>
        <w:spacing w:line="337" w:lineRule="auto"/>
        <w:ind w:right="20" w:firstLine="1133"/>
        <w:jc w:val="both"/>
        <w:rPr>
          <w:sz w:val="20"/>
          <w:szCs w:val="20"/>
        </w:rPr>
      </w:pPr>
      <w:r w:rsidRPr="00771368">
        <w:rPr>
          <w:rFonts w:eastAsia="Arial"/>
          <w:sz w:val="24"/>
          <w:szCs w:val="24"/>
        </w:rPr>
        <w:t>O presente estudo aborda a violência doméstica, onde os acometidos são pessoas com alguma vulnerabilidade mental em geral, pessoas usuárias do CAPS, homens e mulheres.</w:t>
      </w:r>
    </w:p>
    <w:p w:rsidR="00D24E61" w:rsidRPr="00771368" w:rsidRDefault="00D24E61">
      <w:pPr>
        <w:spacing w:line="81" w:lineRule="exact"/>
        <w:rPr>
          <w:sz w:val="20"/>
          <w:szCs w:val="20"/>
        </w:rPr>
      </w:pPr>
    </w:p>
    <w:p w:rsidR="00D24E61" w:rsidRPr="00771368" w:rsidRDefault="00D24E61">
      <w:pPr>
        <w:spacing w:line="354" w:lineRule="auto"/>
        <w:ind w:firstLine="1200"/>
        <w:jc w:val="both"/>
        <w:rPr>
          <w:sz w:val="20"/>
          <w:szCs w:val="20"/>
        </w:rPr>
      </w:pPr>
      <w:r w:rsidRPr="00771368">
        <w:rPr>
          <w:rFonts w:eastAsia="Arial"/>
          <w:sz w:val="24"/>
          <w:szCs w:val="24"/>
        </w:rPr>
        <w:t>São atos que descriminem algum tipo de violência com incidência dentro do ambiente familiar. Como violência intrafamiliar, este trabalho adotou como definição, toda violência doméstica, que de alguma forma, prejudicou ou ainda prejudique o bem-estar, a integridade física, psicológica ou a liberdade e o direito ao desenvolvimento de um ente na família. Podendo a agressão ou omissão ser cometido dentro ou fora do lar, por qualquer um dos integrantes da família, desde que esteja em relação de afetividade ou proximidade para com a vítima de agressão. Incluindo vizinhos, amigos, parentes distantes e próximos do ambiente de convívio do paciente.</w:t>
      </w:r>
    </w:p>
    <w:p w:rsidR="00D24E61" w:rsidRPr="00771368" w:rsidRDefault="00D24E61">
      <w:pPr>
        <w:spacing w:line="62" w:lineRule="exact"/>
        <w:rPr>
          <w:sz w:val="20"/>
          <w:szCs w:val="20"/>
        </w:rPr>
      </w:pPr>
    </w:p>
    <w:p w:rsidR="00D24E61" w:rsidRPr="00771368" w:rsidRDefault="00D24E61">
      <w:pPr>
        <w:spacing w:line="343" w:lineRule="auto"/>
        <w:ind w:firstLine="1133"/>
        <w:jc w:val="both"/>
        <w:rPr>
          <w:sz w:val="20"/>
          <w:szCs w:val="20"/>
        </w:rPr>
      </w:pPr>
      <w:r w:rsidRPr="00771368">
        <w:rPr>
          <w:rFonts w:eastAsia="Arial"/>
          <w:sz w:val="24"/>
          <w:szCs w:val="24"/>
        </w:rPr>
        <w:t>Estatísticas constantemente apresentam a seriedade do problema que é a violência doméstica em todos os seus âmbitos e à todos que alcançam. Já em 1997, uma pesquisa do governo gaúcho, utilizando uma amostra de 1579 crianças que viviam nas ruas, mostrou que 23,4% não retornavam para casa em função de maus-tratos, bem como, estimaram que 18% das adolescentes de Porto Alegre, com menos de 18 anos, haviam sido vítimas de algum abuso sexual por familiares.</w:t>
      </w:r>
      <w:r w:rsidRPr="00771368">
        <w:rPr>
          <w:rFonts w:eastAsia="Arial"/>
          <w:sz w:val="32"/>
          <w:szCs w:val="32"/>
          <w:vertAlign w:val="superscript"/>
        </w:rPr>
        <w:t>2</w:t>
      </w:r>
    </w:p>
    <w:p w:rsidR="00D24E61" w:rsidRPr="00771368" w:rsidRDefault="00D24E61">
      <w:pPr>
        <w:spacing w:line="5" w:lineRule="exact"/>
        <w:rPr>
          <w:sz w:val="20"/>
          <w:szCs w:val="20"/>
        </w:rPr>
      </w:pPr>
    </w:p>
    <w:p w:rsidR="009D5D08" w:rsidRPr="00771368" w:rsidRDefault="00D24E61" w:rsidP="009D5D08">
      <w:pPr>
        <w:spacing w:line="289" w:lineRule="auto"/>
        <w:jc w:val="both"/>
        <w:rPr>
          <w:sz w:val="20"/>
          <w:szCs w:val="20"/>
        </w:rPr>
      </w:pPr>
      <w:r w:rsidRPr="00771368">
        <w:rPr>
          <w:rFonts w:eastAsia="Arial"/>
          <w:sz w:val="24"/>
          <w:szCs w:val="24"/>
        </w:rPr>
        <w:t>Tanto a Constituição Federal quanto o Estatuto da Criança e do Adolescente passam a ser as referências para o sistema de Justiça, quanto a essa questão. A nova legislação, que prega a Doutrina da Proteção Integral, reconhece</w:t>
      </w:r>
      <w:r w:rsidR="009D5D08">
        <w:rPr>
          <w:rFonts w:eastAsia="Arial"/>
          <w:sz w:val="24"/>
          <w:szCs w:val="24"/>
        </w:rPr>
        <w:t xml:space="preserve"> </w:t>
      </w:r>
      <w:r w:rsidR="009D5D08" w:rsidRPr="00771368">
        <w:rPr>
          <w:rFonts w:eastAsia="Arial"/>
          <w:sz w:val="24"/>
          <w:szCs w:val="24"/>
        </w:rPr>
        <w:t>diversos direitos à criança e ao adolescente, que respeitam seu estágio de desenvolvimento.</w:t>
      </w:r>
      <w:r w:rsidR="009D5D08" w:rsidRPr="00771368">
        <w:rPr>
          <w:rFonts w:eastAsia="Arial"/>
          <w:sz w:val="32"/>
          <w:szCs w:val="32"/>
          <w:vertAlign w:val="superscript"/>
        </w:rPr>
        <w:t>3</w:t>
      </w:r>
      <w:r w:rsidR="009D5D08" w:rsidRPr="00771368">
        <w:rPr>
          <w:rFonts w:eastAsia="Arial"/>
          <w:sz w:val="24"/>
          <w:szCs w:val="24"/>
        </w:rPr>
        <w:t xml:space="preserve"> (AZAMBUJA, 1999)</w:t>
      </w:r>
    </w:p>
    <w:p w:rsidR="009D5D08" w:rsidRPr="00771368" w:rsidRDefault="009D5D08" w:rsidP="009D5D08">
      <w:pPr>
        <w:spacing w:line="53" w:lineRule="exact"/>
        <w:rPr>
          <w:sz w:val="20"/>
          <w:szCs w:val="20"/>
        </w:rPr>
      </w:pPr>
    </w:p>
    <w:p w:rsidR="009D5D08" w:rsidRPr="00771368" w:rsidRDefault="009D5D08" w:rsidP="009D5D08">
      <w:pPr>
        <w:spacing w:line="344" w:lineRule="auto"/>
        <w:ind w:firstLine="1133"/>
        <w:jc w:val="both"/>
        <w:rPr>
          <w:sz w:val="20"/>
          <w:szCs w:val="20"/>
        </w:rPr>
      </w:pPr>
      <w:r w:rsidRPr="00771368">
        <w:rPr>
          <w:rFonts w:eastAsia="Arial"/>
          <w:sz w:val="24"/>
          <w:szCs w:val="24"/>
        </w:rPr>
        <w:t>Trata-se de uma das legislações mais avançadas do mundo inteiro, que aos poucos a criança brasileira, passou a ter este status de pessoa, assim como para a população feminina que, no sec. XX conquistou significativos espaços e também ônus sociais.</w:t>
      </w:r>
    </w:p>
    <w:p w:rsidR="009D5D08" w:rsidRPr="00771368" w:rsidRDefault="009D5D08" w:rsidP="009D5D08">
      <w:pPr>
        <w:spacing w:line="74" w:lineRule="exact"/>
        <w:rPr>
          <w:sz w:val="20"/>
          <w:szCs w:val="20"/>
        </w:rPr>
      </w:pPr>
    </w:p>
    <w:p w:rsidR="009D5D08" w:rsidRDefault="009D5D08" w:rsidP="009D5D08">
      <w:pPr>
        <w:spacing w:line="331" w:lineRule="auto"/>
        <w:ind w:firstLine="1133"/>
        <w:jc w:val="both"/>
        <w:rPr>
          <w:rFonts w:eastAsia="Arial"/>
          <w:sz w:val="32"/>
          <w:szCs w:val="32"/>
          <w:vertAlign w:val="superscript"/>
        </w:rPr>
      </w:pPr>
      <w:r w:rsidRPr="00771368">
        <w:rPr>
          <w:rFonts w:eastAsia="Arial"/>
          <w:sz w:val="24"/>
          <w:szCs w:val="24"/>
        </w:rPr>
        <w:t>O aumento da expectativa de vida tornou o idoso uma nova realidade a ser absorvida pela sociedade. Esta evolução permitiu que fosse identificado dentro dos lares os problemas familiares com mais clareza, a fim de que pudesse ser buscado uma solução para a aceitação social aparentemente existente.</w:t>
      </w:r>
      <w:r w:rsidRPr="00771368">
        <w:rPr>
          <w:rFonts w:eastAsia="Arial"/>
          <w:sz w:val="32"/>
          <w:szCs w:val="32"/>
          <w:vertAlign w:val="superscript"/>
        </w:rPr>
        <w:t>4</w:t>
      </w:r>
    </w:p>
    <w:p w:rsidR="009D5D08" w:rsidRPr="00771368" w:rsidRDefault="009D5D08" w:rsidP="009D5D08">
      <w:pPr>
        <w:spacing w:line="353" w:lineRule="auto"/>
        <w:ind w:firstLine="1133"/>
        <w:jc w:val="both"/>
        <w:rPr>
          <w:sz w:val="20"/>
          <w:szCs w:val="20"/>
        </w:rPr>
      </w:pPr>
      <w:r w:rsidRPr="00771368">
        <w:rPr>
          <w:rFonts w:eastAsia="Arial"/>
          <w:sz w:val="24"/>
          <w:szCs w:val="24"/>
        </w:rPr>
        <w:t>O ambiente familiar, não está privado de tais mazelas, nem mesmo pelas ligações afetivas, ficando os membros vulneráveis à violência doméstica. Os crimes cometidos por doentes mentais de grande repercussão social e na mídia passavam a falsa ideia de que atos desta natureza seriam atos de exceção cometidos por psicóticos, de forma imprevisível, restritos a situações raras, infortúnios de difícil prevenção e o que se constatou através do presente estudo, é que são os deficientes mentais os principais vulneráveis à sofrerem violência no âmbito familiar.</w:t>
      </w:r>
    </w:p>
    <w:p w:rsidR="009D5D08" w:rsidRPr="00771368" w:rsidRDefault="009D5D08" w:rsidP="009D5D08">
      <w:pPr>
        <w:spacing w:line="331" w:lineRule="auto"/>
        <w:ind w:firstLine="1133"/>
        <w:jc w:val="both"/>
        <w:rPr>
          <w:sz w:val="20"/>
          <w:szCs w:val="20"/>
        </w:rPr>
      </w:pPr>
      <w:r w:rsidRPr="00771368">
        <w:rPr>
          <w:rFonts w:eastAsia="Arial"/>
          <w:sz w:val="24"/>
          <w:szCs w:val="24"/>
        </w:rPr>
        <w:t>Os delitos cometidos por psicóticos são uma minoria, com características não menos relevantes, mas, sem dúvida, numericamente pouco expressiva, comparados aos outros fatores que colaboram para a disseminada, contínua e cumulativa violência doméstica que atinge todas as populações do mundo, independente de nível cultural, social e econômico</w:t>
      </w:r>
    </w:p>
    <w:p w:rsidR="00D24E61" w:rsidRPr="00771368" w:rsidRDefault="00D24E61">
      <w:pPr>
        <w:spacing w:line="337" w:lineRule="auto"/>
        <w:ind w:firstLine="1133"/>
        <w:jc w:val="both"/>
        <w:rPr>
          <w:sz w:val="20"/>
          <w:szCs w:val="20"/>
        </w:rPr>
      </w:pPr>
    </w:p>
    <w:p w:rsidR="00D24E61" w:rsidRPr="00771368" w:rsidRDefault="00013211">
      <w:pPr>
        <w:spacing w:line="310" w:lineRule="exact"/>
        <w:rPr>
          <w:sz w:val="20"/>
          <w:szCs w:val="20"/>
        </w:rPr>
      </w:pPr>
      <w:r>
        <w:rPr>
          <w:noProof/>
          <w:sz w:val="20"/>
          <w:szCs w:val="20"/>
        </w:rPr>
        <mc:AlternateContent>
          <mc:Choice Requires="wps">
            <w:drawing>
              <wp:anchor distT="0" distB="0" distL="0" distR="0" simplePos="0" relativeHeight="251643392" behindDoc="0" locked="0" layoutInCell="0" allowOverlap="1">
                <wp:simplePos x="0" y="0"/>
                <wp:positionH relativeFrom="column">
                  <wp:posOffset>1270</wp:posOffset>
                </wp:positionH>
                <wp:positionV relativeFrom="paragraph">
                  <wp:posOffset>121920</wp:posOffset>
                </wp:positionV>
                <wp:extent cx="1828800" cy="0"/>
                <wp:effectExtent l="10795" t="7620" r="8255" b="11430"/>
                <wp:wrapNone/>
                <wp:docPr id="28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9.6pt" to="144.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" o:allowincell="f" strokeweight=".21164mm"/>
            </w:pict>
          </mc:Fallback>
        </mc:AlternateContent>
      </w:r>
    </w:p>
    <w:p w:rsidR="00D24E61" w:rsidRPr="00771368" w:rsidRDefault="00D24E61">
      <w:pPr>
        <w:spacing w:line="290" w:lineRule="auto"/>
        <w:jc w:val="both"/>
        <w:rPr>
          <w:sz w:val="20"/>
          <w:szCs w:val="20"/>
        </w:rPr>
      </w:pPr>
      <w:r w:rsidRPr="00771368">
        <w:rPr>
          <w:sz w:val="25"/>
          <w:szCs w:val="25"/>
          <w:vertAlign w:val="superscript"/>
        </w:rPr>
        <w:t>2</w:t>
      </w:r>
      <w:r w:rsidRPr="00771368">
        <w:rPr>
          <w:rFonts w:eastAsia="Arial"/>
          <w:i/>
          <w:iCs/>
          <w:sz w:val="20"/>
          <w:szCs w:val="20"/>
        </w:rPr>
        <w:t xml:space="preserve"> Oliveira</w:t>
      </w:r>
      <w:r w:rsidRPr="00771368">
        <w:rPr>
          <w:rFonts w:eastAsia="Arial"/>
          <w:sz w:val="20"/>
          <w:szCs w:val="20"/>
        </w:rPr>
        <w:t>,</w:t>
      </w:r>
      <w:r w:rsidRPr="00771368">
        <w:rPr>
          <w:rFonts w:eastAsia="Arial"/>
          <w:i/>
          <w:iCs/>
          <w:sz w:val="20"/>
          <w:szCs w:val="20"/>
        </w:rPr>
        <w:t xml:space="preserve"> M. S.</w:t>
      </w:r>
      <w:r w:rsidRPr="00771368">
        <w:rPr>
          <w:rFonts w:eastAsia="Arial"/>
          <w:sz w:val="20"/>
          <w:szCs w:val="20"/>
        </w:rPr>
        <w:t>, &amp;</w:t>
      </w:r>
      <w:r w:rsidRPr="00771368">
        <w:rPr>
          <w:rFonts w:eastAsia="Arial"/>
          <w:i/>
          <w:iCs/>
          <w:sz w:val="20"/>
          <w:szCs w:val="20"/>
        </w:rPr>
        <w:t xml:space="preserve"> Flores</w:t>
      </w:r>
      <w:r w:rsidRPr="00771368">
        <w:rPr>
          <w:rFonts w:eastAsia="Arial"/>
          <w:sz w:val="20"/>
          <w:szCs w:val="20"/>
        </w:rPr>
        <w:t>,</w:t>
      </w:r>
      <w:r w:rsidRPr="00771368">
        <w:rPr>
          <w:rFonts w:eastAsia="Arial"/>
          <w:i/>
          <w:iCs/>
          <w:sz w:val="20"/>
          <w:szCs w:val="20"/>
        </w:rPr>
        <w:t xml:space="preserve"> R. Z. </w:t>
      </w:r>
      <w:r w:rsidRPr="00771368">
        <w:rPr>
          <w:rFonts w:eastAsia="Arial"/>
          <w:sz w:val="20"/>
          <w:szCs w:val="20"/>
        </w:rPr>
        <w:t>(1999).</w:t>
      </w:r>
      <w:r w:rsidRPr="00771368">
        <w:rPr>
          <w:rFonts w:eastAsia="Arial"/>
          <w:i/>
          <w:iCs/>
          <w:sz w:val="20"/>
          <w:szCs w:val="20"/>
        </w:rPr>
        <w:t xml:space="preserve"> Violência contra crianças </w:t>
      </w:r>
      <w:r w:rsidRPr="00771368">
        <w:rPr>
          <w:rFonts w:eastAsia="Arial"/>
          <w:sz w:val="20"/>
          <w:szCs w:val="20"/>
        </w:rPr>
        <w:t>e</w:t>
      </w:r>
      <w:r w:rsidRPr="00771368">
        <w:rPr>
          <w:rFonts w:eastAsia="Arial"/>
          <w:i/>
          <w:iCs/>
          <w:sz w:val="20"/>
          <w:szCs w:val="20"/>
        </w:rPr>
        <w:t xml:space="preserve"> adolescentes </w:t>
      </w:r>
      <w:r w:rsidRPr="00771368">
        <w:rPr>
          <w:rFonts w:eastAsia="Arial"/>
          <w:sz w:val="20"/>
          <w:szCs w:val="20"/>
        </w:rPr>
        <w:t>na</w:t>
      </w:r>
      <w:r w:rsidRPr="00771368">
        <w:rPr>
          <w:rFonts w:eastAsia="Arial"/>
          <w:i/>
          <w:iCs/>
          <w:sz w:val="20"/>
          <w:szCs w:val="20"/>
        </w:rPr>
        <w:t xml:space="preserve"> Grande Porto Alegre</w:t>
      </w:r>
      <w:r w:rsidRPr="00771368">
        <w:rPr>
          <w:rFonts w:eastAsia="Arial"/>
          <w:sz w:val="20"/>
          <w:szCs w:val="20"/>
        </w:rPr>
        <w:t>. In AMENCAR (Ed.). Violência doméstica (p. 71-86).</w:t>
      </w:r>
    </w:p>
    <w:p w:rsidR="009D5D08" w:rsidRPr="00771368" w:rsidRDefault="009D5D08" w:rsidP="009D5D08">
      <w:pPr>
        <w:tabs>
          <w:tab w:val="left" w:pos="100"/>
        </w:tabs>
        <w:spacing w:line="239" w:lineRule="auto"/>
        <w:jc w:val="both"/>
        <w:rPr>
          <w:sz w:val="26"/>
          <w:szCs w:val="26"/>
          <w:vertAlign w:val="superscript"/>
        </w:rPr>
      </w:pPr>
      <w:r>
        <w:rPr>
          <w:sz w:val="20"/>
          <w:szCs w:val="20"/>
        </w:rPr>
        <w:t>3</w:t>
      </w:r>
      <w:r w:rsidRPr="009D5D08">
        <w:rPr>
          <w:sz w:val="20"/>
          <w:szCs w:val="20"/>
        </w:rPr>
        <w:t xml:space="preserve"> </w:t>
      </w:r>
      <w:r w:rsidRPr="00771368">
        <w:rPr>
          <w:sz w:val="20"/>
          <w:szCs w:val="20"/>
        </w:rPr>
        <w:t>Azambuja MRF. O caminho percorrido pela criança-vítima. In: Violência Doméstica. p.118-124. 1999.</w:t>
      </w:r>
    </w:p>
    <w:p w:rsidR="009D5D08" w:rsidRPr="00771368" w:rsidRDefault="009D5D08" w:rsidP="009D5D08">
      <w:pPr>
        <w:tabs>
          <w:tab w:val="left" w:pos="124"/>
        </w:tabs>
        <w:spacing w:line="186" w:lineRule="auto"/>
        <w:ind w:right="220"/>
        <w:jc w:val="both"/>
        <w:rPr>
          <w:sz w:val="26"/>
          <w:szCs w:val="26"/>
          <w:vertAlign w:val="superscript"/>
        </w:rPr>
      </w:pPr>
      <w:r>
        <w:t xml:space="preserve">4 </w:t>
      </w:r>
      <w:r w:rsidRPr="00771368">
        <w:rPr>
          <w:sz w:val="20"/>
          <w:szCs w:val="20"/>
        </w:rPr>
        <w:t>Ministério da Saúde. Secretaria de Políticas de Saúde. Violência Intrafamiliar: Orientações para práticas em serviço. Brasília: MS; 2001.</w:t>
      </w:r>
    </w:p>
    <w:p w:rsidR="009D5D08" w:rsidRDefault="009D5D08"/>
    <w:p w:rsidR="009D5D08" w:rsidRPr="00771368" w:rsidRDefault="009D5D08">
      <w:pPr>
        <w:sectPr w:rsidR="009D5D08" w:rsidRPr="00771368">
          <w:pgSz w:w="11900" w:h="16836"/>
          <w:pgMar w:top="981" w:right="1260" w:bottom="1440" w:left="1700" w:header="0" w:footer="0" w:gutter="0"/>
          <w:cols w:space="720" w:equalWidth="0">
            <w:col w:w="8940"/>
          </w:cols>
        </w:sectPr>
      </w:pPr>
    </w:p>
    <w:p w:rsidR="00D24E61" w:rsidRPr="00771368" w:rsidRDefault="00D24E61">
      <w:pPr>
        <w:spacing w:line="7" w:lineRule="exact"/>
        <w:rPr>
          <w:sz w:val="20"/>
          <w:szCs w:val="20"/>
        </w:rPr>
      </w:pPr>
    </w:p>
    <w:p w:rsidR="00D24E61" w:rsidRPr="00771368" w:rsidRDefault="00D24E61">
      <w:pPr>
        <w:spacing w:line="320" w:lineRule="auto"/>
        <w:ind w:firstLine="1133"/>
        <w:jc w:val="both"/>
        <w:rPr>
          <w:sz w:val="20"/>
          <w:szCs w:val="20"/>
        </w:rPr>
      </w:pPr>
      <w:r w:rsidRPr="00771368">
        <w:rPr>
          <w:rFonts w:eastAsia="Arial"/>
          <w:sz w:val="24"/>
          <w:szCs w:val="24"/>
        </w:rPr>
        <w:t>São identificados pelos núcleos de assistência social quatro formas mais comuns de violência doméstica, como já foi anteriormente abordado: a física, a psicológica, a negligencial e a sexual.</w:t>
      </w:r>
      <w:r w:rsidRPr="00771368">
        <w:rPr>
          <w:rFonts w:eastAsia="Arial"/>
          <w:sz w:val="32"/>
          <w:szCs w:val="32"/>
          <w:vertAlign w:val="superscript"/>
        </w:rPr>
        <w:t>5</w:t>
      </w:r>
      <w:r w:rsidRPr="00771368">
        <w:rPr>
          <w:rFonts w:eastAsia="Arial"/>
          <w:sz w:val="24"/>
          <w:szCs w:val="24"/>
        </w:rPr>
        <w:t xml:space="preserve"> (BRASIL, 2001; MONTEIRO et al, 1995).</w:t>
      </w:r>
    </w:p>
    <w:p w:rsidR="00D24E61" w:rsidRPr="00771368" w:rsidRDefault="00D24E61">
      <w:pPr>
        <w:spacing w:line="14" w:lineRule="exact"/>
        <w:rPr>
          <w:sz w:val="20"/>
          <w:szCs w:val="20"/>
        </w:rPr>
      </w:pPr>
    </w:p>
    <w:p w:rsidR="00D24E61" w:rsidRPr="00771368" w:rsidRDefault="00D24E61">
      <w:pPr>
        <w:spacing w:line="338" w:lineRule="auto"/>
        <w:ind w:right="20" w:firstLine="1133"/>
        <w:jc w:val="both"/>
        <w:rPr>
          <w:sz w:val="20"/>
          <w:szCs w:val="20"/>
        </w:rPr>
      </w:pPr>
      <w:r w:rsidRPr="00771368">
        <w:rPr>
          <w:rFonts w:eastAsia="Arial"/>
          <w:sz w:val="24"/>
          <w:szCs w:val="24"/>
        </w:rPr>
        <w:t>A violência física ocorre quando é causado algum tipo de lesão corporal na vítima, utilizando de algum tipo de arma ou instrumento que possa causar lesões internas, externas ou ambas.</w:t>
      </w:r>
    </w:p>
    <w:p w:rsidR="009D5D08" w:rsidRPr="00771368" w:rsidRDefault="009D5D08" w:rsidP="009D5D08">
      <w:pPr>
        <w:spacing w:line="351" w:lineRule="auto"/>
        <w:ind w:firstLine="1133"/>
        <w:jc w:val="both"/>
        <w:rPr>
          <w:sz w:val="20"/>
          <w:szCs w:val="20"/>
        </w:rPr>
      </w:pPr>
      <w:r w:rsidRPr="00771368">
        <w:rPr>
          <w:rFonts w:eastAsia="Arial"/>
          <w:sz w:val="24"/>
          <w:szCs w:val="24"/>
        </w:rPr>
        <w:t>A violência psicológica inclui toda ação ou omissão que causa ou visa a causar dano à ao desenvolvimento da pessoa, bem como sua autoestima. A negligência é a omissão de responsabilidade de um ou mais membros da família em relação a outro, sobretudo àqueles que precisam de ajuda por questões de idade ou alguma condição física, permanente ou temporária, esse tipo de violência se identifica com o abandono àquele que precisa de cuidados para uma vida digna.</w:t>
      </w:r>
    </w:p>
    <w:p w:rsidR="009D5D08" w:rsidRPr="00771368" w:rsidRDefault="009D5D08" w:rsidP="009D5D08">
      <w:pPr>
        <w:spacing w:line="63" w:lineRule="exact"/>
        <w:rPr>
          <w:sz w:val="20"/>
          <w:szCs w:val="20"/>
        </w:rPr>
      </w:pPr>
    </w:p>
    <w:p w:rsidR="009D5D08" w:rsidRPr="00771368" w:rsidRDefault="009D5D08" w:rsidP="009D5D08">
      <w:pPr>
        <w:spacing w:line="337" w:lineRule="auto"/>
        <w:ind w:firstLine="1133"/>
        <w:jc w:val="both"/>
        <w:rPr>
          <w:sz w:val="20"/>
          <w:szCs w:val="20"/>
        </w:rPr>
      </w:pPr>
      <w:r w:rsidRPr="00771368">
        <w:rPr>
          <w:rFonts w:eastAsia="Arial"/>
          <w:sz w:val="24"/>
          <w:szCs w:val="24"/>
        </w:rPr>
        <w:t>A violência sexual é toda ação na qual uma pessoa, em situação de poder, obriga a vítima à realização de atos libidinosos ou práticas sexuais, utilizando força física, influência psicológica ou uso de armas ou drogas.</w:t>
      </w:r>
    </w:p>
    <w:p w:rsidR="009D5D08" w:rsidRPr="00771368" w:rsidRDefault="009D5D08" w:rsidP="009D5D08">
      <w:pPr>
        <w:spacing w:line="81" w:lineRule="exact"/>
        <w:rPr>
          <w:sz w:val="20"/>
          <w:szCs w:val="20"/>
        </w:rPr>
      </w:pPr>
    </w:p>
    <w:p w:rsidR="009D5D08" w:rsidRPr="00771368" w:rsidRDefault="009D5D08" w:rsidP="009D5D08">
      <w:pPr>
        <w:spacing w:line="338" w:lineRule="auto"/>
        <w:ind w:right="20" w:firstLine="1133"/>
        <w:jc w:val="both"/>
        <w:rPr>
          <w:sz w:val="20"/>
          <w:szCs w:val="20"/>
        </w:rPr>
      </w:pPr>
      <w:r w:rsidRPr="00771368">
        <w:rPr>
          <w:rFonts w:eastAsia="Arial"/>
          <w:sz w:val="24"/>
          <w:szCs w:val="24"/>
        </w:rPr>
        <w:t>Em função das peculiaridades do tema, o trabalho descreveu as diferentes formas, utilizando como parâmetro principal as vítimas preferenciais para fins de tornar mais objetivo o relato.</w:t>
      </w:r>
    </w:p>
    <w:p w:rsidR="009D5D08" w:rsidRDefault="009D5D08" w:rsidP="009D5D08">
      <w:pPr>
        <w:rPr>
          <w:rFonts w:eastAsia="Arial"/>
          <w:b/>
          <w:bCs/>
          <w:sz w:val="24"/>
          <w:szCs w:val="24"/>
        </w:rPr>
      </w:pPr>
    </w:p>
    <w:p w:rsidR="009D5D08" w:rsidRDefault="009D5D08" w:rsidP="009D5D08">
      <w:pPr>
        <w:rPr>
          <w:rFonts w:eastAsia="Arial"/>
          <w:b/>
          <w:bCs/>
          <w:sz w:val="24"/>
          <w:szCs w:val="24"/>
        </w:rPr>
      </w:pPr>
    </w:p>
    <w:p w:rsidR="009D5D08" w:rsidRPr="00771368" w:rsidRDefault="009D5D08" w:rsidP="009D5D08">
      <w:pPr>
        <w:rPr>
          <w:sz w:val="20"/>
          <w:szCs w:val="20"/>
        </w:rPr>
      </w:pPr>
      <w:r w:rsidRPr="00771368">
        <w:rPr>
          <w:rFonts w:eastAsia="Arial"/>
          <w:b/>
          <w:bCs/>
          <w:sz w:val="24"/>
          <w:szCs w:val="24"/>
        </w:rPr>
        <w:t>Objetivos e Metodologia</w:t>
      </w:r>
    </w:p>
    <w:p w:rsidR="009D5D08" w:rsidRPr="00771368" w:rsidRDefault="009D5D08" w:rsidP="009D5D08">
      <w:pPr>
        <w:spacing w:line="351" w:lineRule="auto"/>
        <w:ind w:firstLine="1133"/>
        <w:jc w:val="both"/>
        <w:rPr>
          <w:sz w:val="20"/>
          <w:szCs w:val="20"/>
        </w:rPr>
      </w:pPr>
      <w:r w:rsidRPr="00771368">
        <w:rPr>
          <w:rFonts w:eastAsia="Arial"/>
          <w:sz w:val="24"/>
          <w:szCs w:val="24"/>
        </w:rPr>
        <w:t>A pesquisa foi realizada com o intuito de conhecer a realidade social dos portadores de deficiência mental vítimas de algum tipo de violência doméstica, sendo os pacientes usuários do CAPS, localizada na cidade do Crato, Sul do Ceará, através de um questionário sócio-demográfico, bem como um questionário especializado em identificar possíveis causas de violência doméstica e as consequências judiciais advindas.</w:t>
      </w:r>
    </w:p>
    <w:p w:rsidR="009D5D08" w:rsidRPr="00771368" w:rsidRDefault="009D5D08" w:rsidP="009D5D08">
      <w:pPr>
        <w:spacing w:line="63" w:lineRule="exact"/>
        <w:rPr>
          <w:sz w:val="20"/>
          <w:szCs w:val="20"/>
        </w:rPr>
      </w:pPr>
    </w:p>
    <w:p w:rsidR="009D5D08" w:rsidRPr="00771368" w:rsidRDefault="009D5D08" w:rsidP="009D5D08">
      <w:pPr>
        <w:spacing w:line="336" w:lineRule="auto"/>
        <w:ind w:right="20" w:firstLine="1200"/>
        <w:jc w:val="both"/>
        <w:rPr>
          <w:sz w:val="20"/>
          <w:szCs w:val="20"/>
        </w:rPr>
      </w:pPr>
      <w:r w:rsidRPr="00771368">
        <w:rPr>
          <w:rFonts w:eastAsia="Arial"/>
          <w:sz w:val="24"/>
          <w:szCs w:val="24"/>
        </w:rPr>
        <w:t>Esta pesquisa se constitui num substrato de informações que representa, potencialmente, um valioso subsídio para qualquer iniciativa de intervenção junto a essa população específica.</w:t>
      </w:r>
    </w:p>
    <w:p w:rsidR="009D5D08" w:rsidRPr="00771368" w:rsidRDefault="009D5D08" w:rsidP="009D5D08">
      <w:pPr>
        <w:spacing w:line="337" w:lineRule="auto"/>
        <w:ind w:right="20" w:firstLine="1133"/>
        <w:jc w:val="both"/>
        <w:rPr>
          <w:sz w:val="20"/>
          <w:szCs w:val="20"/>
        </w:rPr>
      </w:pPr>
      <w:r w:rsidRPr="00771368">
        <w:rPr>
          <w:rFonts w:eastAsia="Arial"/>
          <w:sz w:val="24"/>
          <w:szCs w:val="24"/>
        </w:rPr>
        <w:t>A coleta de dados foi realizada no período de junho a setembro de 2012. A amostra foi de conveniência, uma vez que contou apenas com a participação daqueles que se dispuseram a responder.</w:t>
      </w:r>
    </w:p>
    <w:p w:rsidR="009D5D08" w:rsidRPr="00771368" w:rsidRDefault="009D5D08" w:rsidP="009D5D08">
      <w:pPr>
        <w:spacing w:line="78" w:lineRule="exact"/>
        <w:rPr>
          <w:sz w:val="20"/>
          <w:szCs w:val="20"/>
        </w:rPr>
      </w:pPr>
    </w:p>
    <w:p w:rsidR="009D5D08" w:rsidRDefault="009D5D08">
      <w:pPr>
        <w:spacing w:line="229" w:lineRule="exact"/>
        <w:rPr>
          <w:sz w:val="20"/>
          <w:szCs w:val="20"/>
        </w:rPr>
      </w:pPr>
    </w:p>
    <w:p w:rsidR="00D24E61" w:rsidRPr="00771368" w:rsidRDefault="00013211">
      <w:pPr>
        <w:spacing w:line="229" w:lineRule="exact"/>
        <w:rPr>
          <w:sz w:val="20"/>
          <w:szCs w:val="20"/>
        </w:rPr>
      </w:pPr>
      <w:r>
        <w:rPr>
          <w:noProof/>
          <w:sz w:val="20"/>
          <w:szCs w:val="20"/>
        </w:rPr>
        <mc:AlternateContent>
          <mc:Choice Requires="wps">
            <w:drawing>
              <wp:anchor distT="0" distB="0" distL="0" distR="0" simplePos="0" relativeHeight="251644416" behindDoc="0" locked="0" layoutInCell="0" allowOverlap="1">
                <wp:simplePos x="0" y="0"/>
                <wp:positionH relativeFrom="column">
                  <wp:posOffset>1270</wp:posOffset>
                </wp:positionH>
                <wp:positionV relativeFrom="paragraph">
                  <wp:posOffset>120015</wp:posOffset>
                </wp:positionV>
                <wp:extent cx="1828800" cy="0"/>
                <wp:effectExtent l="10795" t="5715" r="8255" b="13335"/>
                <wp:wrapNone/>
                <wp:docPr id="28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9.45pt" to="144.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" o:allowincell="f" strokeweight=".6pt"/>
            </w:pict>
          </mc:Fallback>
        </mc:AlternateContent>
      </w:r>
    </w:p>
    <w:p w:rsidR="00D24E61" w:rsidRPr="00771368" w:rsidRDefault="00D24E61">
      <w:pPr>
        <w:spacing w:line="50" w:lineRule="exact"/>
        <w:rPr>
          <w:sz w:val="26"/>
          <w:szCs w:val="26"/>
          <w:vertAlign w:val="superscript"/>
        </w:rPr>
      </w:pPr>
    </w:p>
    <w:p w:rsidR="00D24E61" w:rsidRPr="00771368" w:rsidRDefault="00D24E61">
      <w:pPr>
        <w:spacing w:line="1" w:lineRule="exact"/>
        <w:rPr>
          <w:sz w:val="26"/>
          <w:szCs w:val="26"/>
          <w:vertAlign w:val="superscript"/>
        </w:rPr>
      </w:pPr>
    </w:p>
    <w:p w:rsidR="00D24E61" w:rsidRPr="009D5D08" w:rsidRDefault="009D5D08" w:rsidP="009D5D08">
      <w:pPr>
        <w:tabs>
          <w:tab w:val="left" w:pos="120"/>
        </w:tabs>
        <w:spacing w:line="190" w:lineRule="auto"/>
        <w:rPr>
          <w:sz w:val="25"/>
          <w:szCs w:val="25"/>
          <w:vertAlign w:val="superscript"/>
        </w:rPr>
      </w:pPr>
      <w:r>
        <w:rPr>
          <w:sz w:val="19"/>
          <w:szCs w:val="19"/>
        </w:rPr>
        <w:t>5.</w:t>
      </w:r>
      <w:r w:rsidR="00D24E61" w:rsidRPr="009D5D08">
        <w:rPr>
          <w:sz w:val="19"/>
          <w:szCs w:val="19"/>
        </w:rPr>
        <w:t>Monteiro MC, Cabral MA, Morgado AF. Violências contra crianças e adolescentes: uma revisão bibliográfica.</w:t>
      </w:r>
    </w:p>
    <w:p w:rsidR="00D24E61" w:rsidRPr="00771368" w:rsidRDefault="00D24E61">
      <w:pPr>
        <w:sectPr w:rsidR="00D24E61" w:rsidRPr="00771368">
          <w:pgSz w:w="11900" w:h="16836"/>
          <w:pgMar w:top="1440" w:right="1260" w:bottom="1440" w:left="1700" w:header="0" w:footer="0" w:gutter="0"/>
          <w:cols w:space="720" w:equalWidth="0">
            <w:col w:w="8940"/>
          </w:cols>
        </w:sectPr>
      </w:pPr>
    </w:p>
    <w:p w:rsidR="009D5D08" w:rsidRPr="00771368" w:rsidRDefault="009D5D08" w:rsidP="009D5D08">
      <w:pPr>
        <w:spacing w:line="317" w:lineRule="auto"/>
        <w:ind w:firstLine="1200"/>
        <w:jc w:val="both"/>
        <w:rPr>
          <w:sz w:val="20"/>
          <w:szCs w:val="20"/>
        </w:rPr>
      </w:pPr>
      <w:r w:rsidRPr="00771368">
        <w:rPr>
          <w:rFonts w:eastAsia="Arial"/>
          <w:sz w:val="24"/>
          <w:szCs w:val="24"/>
        </w:rPr>
        <w:t>A abordagem constou da aplicação de questionário estruturado, perguntas que procuravam conhecer os seguintes aspectos:</w:t>
      </w:r>
    </w:p>
    <w:p w:rsidR="00D24E61" w:rsidRPr="00771368" w:rsidRDefault="00D24E61">
      <w:pPr>
        <w:spacing w:line="170" w:lineRule="exact"/>
        <w:rPr>
          <w:sz w:val="20"/>
          <w:szCs w:val="20"/>
        </w:rPr>
      </w:pPr>
    </w:p>
    <w:p w:rsidR="00D24E61" w:rsidRPr="00771368" w:rsidRDefault="00D24E61" w:rsidP="00EA38AA">
      <w:pPr>
        <w:numPr>
          <w:ilvl w:val="0"/>
          <w:numId w:val="50"/>
        </w:numPr>
        <w:tabs>
          <w:tab w:val="left" w:pos="1800"/>
        </w:tabs>
        <w:spacing w:line="338" w:lineRule="auto"/>
        <w:jc w:val="both"/>
        <w:rPr>
          <w:rFonts w:eastAsia="Arial"/>
          <w:sz w:val="24"/>
          <w:szCs w:val="24"/>
        </w:rPr>
      </w:pPr>
      <w:r w:rsidRPr="00771368">
        <w:rPr>
          <w:rFonts w:eastAsia="Arial"/>
          <w:sz w:val="24"/>
          <w:szCs w:val="24"/>
        </w:rPr>
        <w:t>Características Sócio-Demográficas. Retratar o perfil da amostra, através de questões tais como: sexo, idade, profissão, tempo em que é usuário do CAPS, religião, dentre outras.</w:t>
      </w:r>
    </w:p>
    <w:p w:rsidR="00D24E61" w:rsidRPr="00771368" w:rsidRDefault="00D24E61">
      <w:pPr>
        <w:spacing w:line="351" w:lineRule="auto"/>
        <w:ind w:firstLine="1133"/>
        <w:jc w:val="both"/>
        <w:rPr>
          <w:sz w:val="20"/>
          <w:szCs w:val="20"/>
        </w:rPr>
      </w:pPr>
      <w:r w:rsidRPr="00771368">
        <w:rPr>
          <w:rFonts w:eastAsia="Arial"/>
          <w:sz w:val="24"/>
          <w:szCs w:val="24"/>
        </w:rPr>
        <w:t>A análise dos dados foi realizada através de estatísticas descritivas, viabilizadas pelo pacote estatístico SPSS (</w:t>
      </w:r>
      <w:r w:rsidRPr="00771368">
        <w:rPr>
          <w:rFonts w:eastAsia="Arial"/>
          <w:i/>
          <w:iCs/>
          <w:sz w:val="24"/>
          <w:szCs w:val="24"/>
        </w:rPr>
        <w:t>Statistical Package for the Social</w:t>
      </w:r>
      <w:r w:rsidRPr="00771368">
        <w:rPr>
          <w:rFonts w:eastAsia="Arial"/>
          <w:sz w:val="24"/>
          <w:szCs w:val="24"/>
        </w:rPr>
        <w:t xml:space="preserve"> </w:t>
      </w:r>
      <w:r w:rsidRPr="00771368">
        <w:rPr>
          <w:rFonts w:eastAsia="Arial"/>
          <w:i/>
          <w:iCs/>
          <w:sz w:val="24"/>
          <w:szCs w:val="24"/>
        </w:rPr>
        <w:t>Sciences</w:t>
      </w:r>
      <w:r w:rsidRPr="00771368">
        <w:rPr>
          <w:rFonts w:eastAsia="Arial"/>
          <w:sz w:val="24"/>
          <w:szCs w:val="24"/>
        </w:rPr>
        <w:t>), na versão 11.5. A margem de erro utilizada foi de, mais ou menos, cinco</w:t>
      </w:r>
      <w:r w:rsidRPr="00771368">
        <w:rPr>
          <w:rFonts w:eastAsia="Arial"/>
          <w:i/>
          <w:iCs/>
          <w:sz w:val="24"/>
          <w:szCs w:val="24"/>
        </w:rPr>
        <w:t xml:space="preserve"> </w:t>
      </w:r>
      <w:r w:rsidRPr="00771368">
        <w:rPr>
          <w:rFonts w:eastAsia="Arial"/>
          <w:sz w:val="24"/>
          <w:szCs w:val="24"/>
        </w:rPr>
        <w:t>pontos percentuais, com intervalo de confiança de 95%. O erro amostral, ferramenta que identifica, o quanto os resultados de um estudo podem variar, foi de 5%.</w:t>
      </w:r>
    </w:p>
    <w:p w:rsidR="00D24E61" w:rsidRPr="00771368" w:rsidRDefault="00D24E61">
      <w:pPr>
        <w:spacing w:line="63" w:lineRule="exact"/>
        <w:rPr>
          <w:sz w:val="20"/>
          <w:szCs w:val="20"/>
        </w:rPr>
      </w:pPr>
    </w:p>
    <w:p w:rsidR="00D24E61" w:rsidRPr="00771368" w:rsidRDefault="00D24E61">
      <w:pPr>
        <w:spacing w:line="337" w:lineRule="auto"/>
        <w:ind w:right="20" w:firstLine="1133"/>
        <w:jc w:val="both"/>
        <w:rPr>
          <w:sz w:val="20"/>
          <w:szCs w:val="20"/>
        </w:rPr>
      </w:pPr>
      <w:r w:rsidRPr="00771368">
        <w:rPr>
          <w:rFonts w:eastAsia="Arial"/>
          <w:sz w:val="24"/>
          <w:szCs w:val="24"/>
        </w:rPr>
        <w:t>Com relação às questões abertas, reveladoras sobre o objeto de pesquisa, qual seja, violência doméstica, estas foram agrupadas em categorias, de acordo com a Análise de Conteúdo utilizada por Laurence Bardin (2010).</w:t>
      </w:r>
    </w:p>
    <w:p w:rsidR="00D24E61" w:rsidRPr="00771368" w:rsidRDefault="00D24E61">
      <w:pPr>
        <w:spacing w:line="78" w:lineRule="exact"/>
        <w:rPr>
          <w:sz w:val="20"/>
          <w:szCs w:val="20"/>
        </w:rPr>
      </w:pPr>
    </w:p>
    <w:p w:rsidR="00D24E61" w:rsidRPr="00771368" w:rsidRDefault="00D24E61">
      <w:pPr>
        <w:spacing w:line="316" w:lineRule="auto"/>
        <w:ind w:right="20" w:firstLine="1133"/>
        <w:jc w:val="both"/>
        <w:rPr>
          <w:sz w:val="20"/>
          <w:szCs w:val="20"/>
        </w:rPr>
      </w:pPr>
      <w:r w:rsidRPr="00771368">
        <w:rPr>
          <w:rFonts w:eastAsia="Arial"/>
          <w:sz w:val="24"/>
          <w:szCs w:val="24"/>
        </w:rPr>
        <w:t>O presente estudo atendeu às determinações da Resolução 196/96 que trata sobre a ética na experimentação com seres humanos.</w:t>
      </w:r>
    </w:p>
    <w:p w:rsidR="00D24E61" w:rsidRPr="00771368" w:rsidRDefault="00D24E61">
      <w:pPr>
        <w:spacing w:line="200" w:lineRule="exact"/>
        <w:rPr>
          <w:sz w:val="20"/>
          <w:szCs w:val="20"/>
        </w:rPr>
      </w:pPr>
    </w:p>
    <w:p w:rsidR="00D24E61" w:rsidRPr="00771368" w:rsidRDefault="00D24E61">
      <w:pPr>
        <w:spacing w:line="266" w:lineRule="exact"/>
        <w:rPr>
          <w:sz w:val="20"/>
          <w:szCs w:val="20"/>
        </w:rPr>
      </w:pPr>
    </w:p>
    <w:p w:rsidR="00D24E61" w:rsidRPr="00771368" w:rsidRDefault="00D24E61">
      <w:pPr>
        <w:rPr>
          <w:sz w:val="20"/>
          <w:szCs w:val="20"/>
        </w:rPr>
      </w:pPr>
      <w:r w:rsidRPr="00771368">
        <w:rPr>
          <w:rFonts w:eastAsia="Arial"/>
          <w:b/>
          <w:bCs/>
          <w:sz w:val="24"/>
          <w:szCs w:val="24"/>
        </w:rPr>
        <w:t>Resultados</w:t>
      </w:r>
    </w:p>
    <w:p w:rsidR="00D24E61" w:rsidRPr="00771368" w:rsidRDefault="00D24E61">
      <w:pPr>
        <w:spacing w:line="188" w:lineRule="exact"/>
        <w:rPr>
          <w:sz w:val="20"/>
          <w:szCs w:val="20"/>
        </w:rPr>
      </w:pPr>
    </w:p>
    <w:p w:rsidR="00D24E61" w:rsidRPr="00771368" w:rsidRDefault="00D24E61">
      <w:pPr>
        <w:spacing w:line="345" w:lineRule="auto"/>
        <w:ind w:firstLine="1133"/>
        <w:jc w:val="both"/>
        <w:rPr>
          <w:sz w:val="20"/>
          <w:szCs w:val="20"/>
        </w:rPr>
      </w:pPr>
      <w:r w:rsidRPr="00771368">
        <w:rPr>
          <w:rFonts w:eastAsia="Arial"/>
          <w:sz w:val="24"/>
          <w:szCs w:val="24"/>
        </w:rPr>
        <w:t>Fizeram parte deste estudo 20 sujeitos, todos pacientes do CAPS, localizado no bairro Seminário em Crato, Ceará e, que não se opuseram à participação. Suas idades variaram entre 17 a 79 anos (média 40,7 anos. Dp= 15,553), a maioria do sexo feminino (65,0%) contra 31,0% do sexo masculino.</w:t>
      </w:r>
    </w:p>
    <w:p w:rsidR="00D24E61" w:rsidRPr="00771368" w:rsidRDefault="00D24E61">
      <w:pPr>
        <w:spacing w:line="70" w:lineRule="exact"/>
        <w:rPr>
          <w:sz w:val="20"/>
          <w:szCs w:val="20"/>
        </w:rPr>
      </w:pPr>
    </w:p>
    <w:p w:rsidR="00D24E61" w:rsidRPr="00771368" w:rsidRDefault="00D24E61">
      <w:pPr>
        <w:spacing w:line="316" w:lineRule="auto"/>
        <w:ind w:firstLine="1133"/>
        <w:jc w:val="both"/>
        <w:rPr>
          <w:sz w:val="20"/>
          <w:szCs w:val="20"/>
        </w:rPr>
      </w:pPr>
      <w:r w:rsidRPr="00771368">
        <w:rPr>
          <w:rFonts w:eastAsia="Arial"/>
          <w:sz w:val="24"/>
          <w:szCs w:val="24"/>
        </w:rPr>
        <w:t>A seguir, a distribuição de frequência relacionada ao sexo e as idades dos respondentes.</w:t>
      </w:r>
    </w:p>
    <w:p w:rsidR="00D24E61" w:rsidRPr="00771368" w:rsidRDefault="00D24E61">
      <w:pPr>
        <w:spacing w:line="316" w:lineRule="auto"/>
        <w:ind w:firstLine="1133"/>
        <w:jc w:val="both"/>
        <w:rPr>
          <w:sz w:val="20"/>
          <w:szCs w:val="20"/>
        </w:rPr>
        <w:sectPr w:rsidR="00D24E61" w:rsidRPr="00771368">
          <w:pgSz w:w="11900" w:h="16836"/>
          <w:pgMar w:top="1440" w:right="1260" w:bottom="1440" w:left="1700" w:header="0" w:footer="0" w:gutter="0"/>
          <w:cols w:space="720" w:equalWidth="0">
            <w:col w:w="8940"/>
          </w:cols>
        </w:sectPr>
      </w:pPr>
      <w:r w:rsidRPr="00771368">
        <w:rPr>
          <w:noProof/>
          <w:sz w:val="20"/>
          <w:szCs w:val="20"/>
        </w:rPr>
        <w:drawing>
          <wp:anchor distT="0" distB="0" distL="114300" distR="114300" simplePos="0" relativeHeight="251626496" behindDoc="1" locked="0" layoutInCell="0" allowOverlap="1">
            <wp:simplePos x="0" y="0"/>
            <wp:positionH relativeFrom="column">
              <wp:posOffset>1270</wp:posOffset>
            </wp:positionH>
            <wp:positionV relativeFrom="paragraph">
              <wp:posOffset>295275</wp:posOffset>
            </wp:positionV>
            <wp:extent cx="5662930" cy="2110740"/>
            <wp:effectExtent l="0" t="0" r="0" b="0"/>
            <wp:wrapNone/>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blip>
                    <a:srcRect/>
                    <a:stretch>
                      <a:fillRect/>
                    </a:stretch>
                  </pic:blipFill>
                  <pic:spPr bwMode="auto">
                    <a:xfrm>
                      <a:off x="0" y="0"/>
                      <a:ext cx="5662930" cy="2110740"/>
                    </a:xfrm>
                    <a:prstGeom prst="rect">
                      <a:avLst/>
                    </a:prstGeom>
                    <a:noFill/>
                  </pic:spPr>
                </pic:pic>
              </a:graphicData>
            </a:graphic>
          </wp:anchor>
        </w:drawing>
      </w:r>
    </w:p>
    <w:p w:rsidR="00D24E61" w:rsidRPr="00771368" w:rsidRDefault="00D24E61">
      <w:pPr>
        <w:spacing w:line="349" w:lineRule="auto"/>
        <w:ind w:firstLine="1133"/>
        <w:jc w:val="both"/>
        <w:rPr>
          <w:sz w:val="20"/>
          <w:szCs w:val="20"/>
        </w:rPr>
      </w:pPr>
      <w:r w:rsidRPr="00771368">
        <w:rPr>
          <w:rFonts w:eastAsia="Arial"/>
          <w:sz w:val="24"/>
          <w:szCs w:val="24"/>
        </w:rPr>
        <w:t>Com relação às idades, a amostra se comportou da seguinte forma: até 20 anos, um sujeito (5%); De 21 30 anos, 6 sujeitos (30%); De 31 a 40 anos, 3 sujeitos (15%); De 41 a 50 anos, 5 sujeitos (25%); De 51 a 60 anos, 4 sujeitos (20%) e, um sujeito com mais de 60 anos (5%). Observa-se, neste caso, que não há uma distribuição, relativamente regular com relação às idades.</w:t>
      </w:r>
    </w:p>
    <w:p w:rsidR="00D24E61" w:rsidRPr="00771368" w:rsidRDefault="00D24E61">
      <w:pPr>
        <w:spacing w:line="200" w:lineRule="exact"/>
        <w:rPr>
          <w:sz w:val="20"/>
          <w:szCs w:val="20"/>
        </w:rPr>
      </w:pPr>
    </w:p>
    <w:p w:rsidR="00D24E61" w:rsidRPr="00771368" w:rsidRDefault="00D24E61">
      <w:pPr>
        <w:spacing w:line="227" w:lineRule="exact"/>
        <w:rPr>
          <w:sz w:val="20"/>
          <w:szCs w:val="20"/>
        </w:rPr>
      </w:pPr>
    </w:p>
    <w:p w:rsidR="00D24E61" w:rsidRPr="00771368" w:rsidRDefault="00D24E61">
      <w:pPr>
        <w:ind w:left="1140"/>
        <w:rPr>
          <w:sz w:val="20"/>
          <w:szCs w:val="20"/>
        </w:rPr>
      </w:pPr>
      <w:r w:rsidRPr="00771368">
        <w:rPr>
          <w:rFonts w:eastAsia="Arial"/>
          <w:sz w:val="24"/>
          <w:szCs w:val="24"/>
        </w:rPr>
        <w:t>Observou-se também, o estado civil dos respondentes.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28544" behindDoc="1" locked="0" layoutInCell="0" allowOverlap="1">
            <wp:simplePos x="0" y="0"/>
            <wp:positionH relativeFrom="column">
              <wp:posOffset>1270</wp:posOffset>
            </wp:positionH>
            <wp:positionV relativeFrom="paragraph">
              <wp:posOffset>351790</wp:posOffset>
            </wp:positionV>
            <wp:extent cx="5670550" cy="1920240"/>
            <wp:effectExtent l="0" t="0" r="0" b="0"/>
            <wp:wrapNone/>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blip>
                    <a:srcRect/>
                    <a:stretch>
                      <a:fillRect/>
                    </a:stretch>
                  </pic:blipFill>
                  <pic:spPr bwMode="auto">
                    <a:xfrm>
                      <a:off x="0" y="0"/>
                      <a:ext cx="5670550" cy="192024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77" w:lineRule="exact"/>
        <w:rPr>
          <w:sz w:val="20"/>
          <w:szCs w:val="20"/>
        </w:rPr>
      </w:pPr>
    </w:p>
    <w:p w:rsidR="00D24E61" w:rsidRPr="00771368" w:rsidRDefault="00D24E61">
      <w:pPr>
        <w:spacing w:line="317" w:lineRule="auto"/>
        <w:ind w:right="20" w:firstLine="1133"/>
        <w:jc w:val="both"/>
        <w:rPr>
          <w:sz w:val="20"/>
          <w:szCs w:val="20"/>
        </w:rPr>
      </w:pPr>
      <w:r w:rsidRPr="00771368">
        <w:rPr>
          <w:rFonts w:eastAsia="Arial"/>
          <w:sz w:val="24"/>
          <w:szCs w:val="24"/>
        </w:rPr>
        <w:t>Outro aspecto importante a ser considerado foi a religião, cujos resultados encontram-se disposto na tabela abaixo:</w:t>
      </w:r>
    </w:p>
    <w:p w:rsidR="00D24E61" w:rsidRPr="00771368" w:rsidRDefault="00D24E61">
      <w:pPr>
        <w:spacing w:line="317" w:lineRule="auto"/>
        <w:ind w:right="20" w:firstLine="1133"/>
        <w:jc w:val="both"/>
        <w:rPr>
          <w:sz w:val="20"/>
          <w:szCs w:val="20"/>
        </w:rPr>
        <w:sectPr w:rsidR="00D24E61" w:rsidRPr="00771368">
          <w:pgSz w:w="11900" w:h="16836"/>
          <w:pgMar w:top="981" w:right="1260" w:bottom="1440" w:left="1700" w:header="0" w:footer="0" w:gutter="0"/>
          <w:cols w:space="720" w:equalWidth="0">
            <w:col w:w="8940"/>
          </w:cols>
        </w:sectPr>
      </w:pPr>
      <w:r w:rsidRPr="00771368">
        <w:rPr>
          <w:noProof/>
          <w:sz w:val="20"/>
          <w:szCs w:val="20"/>
        </w:rPr>
        <w:drawing>
          <wp:anchor distT="0" distB="0" distL="114300" distR="114300" simplePos="0" relativeHeight="251630592" behindDoc="1" locked="0" layoutInCell="0" allowOverlap="1">
            <wp:simplePos x="0" y="0"/>
            <wp:positionH relativeFrom="column">
              <wp:posOffset>1270</wp:posOffset>
            </wp:positionH>
            <wp:positionV relativeFrom="paragraph">
              <wp:posOffset>295275</wp:posOffset>
            </wp:positionV>
            <wp:extent cx="5664200" cy="1972310"/>
            <wp:effectExtent l="0" t="0" r="0" b="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blip>
                    <a:srcRect/>
                    <a:stretch>
                      <a:fillRect/>
                    </a:stretch>
                  </pic:blipFill>
                  <pic:spPr bwMode="auto">
                    <a:xfrm>
                      <a:off x="0" y="0"/>
                      <a:ext cx="5664200" cy="1972310"/>
                    </a:xfrm>
                    <a:prstGeom prst="rect">
                      <a:avLst/>
                    </a:prstGeom>
                    <a:noFill/>
                  </pic:spPr>
                </pic:pic>
              </a:graphicData>
            </a:graphic>
          </wp:anchor>
        </w:drawing>
      </w:r>
    </w:p>
    <w:p w:rsidR="00D24E61" w:rsidRPr="00771368" w:rsidRDefault="00D24E61">
      <w:pPr>
        <w:spacing w:line="170" w:lineRule="exact"/>
        <w:rPr>
          <w:sz w:val="20"/>
          <w:szCs w:val="20"/>
        </w:rPr>
      </w:pPr>
    </w:p>
    <w:p w:rsidR="00D24E61" w:rsidRPr="00771368" w:rsidRDefault="00D24E61">
      <w:pPr>
        <w:spacing w:line="338" w:lineRule="auto"/>
        <w:ind w:firstLine="1133"/>
        <w:jc w:val="both"/>
        <w:rPr>
          <w:sz w:val="20"/>
          <w:szCs w:val="20"/>
        </w:rPr>
      </w:pPr>
      <w:r w:rsidRPr="00771368">
        <w:rPr>
          <w:rFonts w:eastAsia="Arial"/>
          <w:sz w:val="24"/>
          <w:szCs w:val="24"/>
        </w:rPr>
        <w:t>Neste aspecto os respondentes se auto-denominaram como Católicos (70,0%), Evangélicos (10,0%), Espíritas (5,0%) e três pessoas (15,0%) responderam pertencer a outra religião.</w:t>
      </w:r>
    </w:p>
    <w:p w:rsidR="00D24E61" w:rsidRPr="00771368" w:rsidRDefault="00D24E61">
      <w:pPr>
        <w:spacing w:line="75" w:lineRule="exact"/>
        <w:rPr>
          <w:sz w:val="20"/>
          <w:szCs w:val="20"/>
        </w:rPr>
      </w:pPr>
    </w:p>
    <w:p w:rsidR="00D24E61" w:rsidRPr="00771368" w:rsidRDefault="00D24E61">
      <w:pPr>
        <w:spacing w:line="351" w:lineRule="auto"/>
        <w:ind w:firstLine="994"/>
        <w:jc w:val="both"/>
        <w:rPr>
          <w:sz w:val="20"/>
          <w:szCs w:val="20"/>
        </w:rPr>
      </w:pPr>
      <w:r w:rsidRPr="00771368">
        <w:rPr>
          <w:rFonts w:eastAsia="Arial"/>
          <w:sz w:val="24"/>
          <w:szCs w:val="24"/>
        </w:rPr>
        <w:t>A Religião, em alguns estudos (NICARETTA, RIBEIRO e BARBOSA, 1995; PETRAITIS, FLAY e MILLER, 1995; FORMIGA, 2005), tem sido apontada como uma medida que protege o surgimento de comportamentos anti-sociais e delitivos. A religião parece ser facilitadora da adesão às normas sociais, bem como aos valores normativos e morais, e que evitam eventos desencadeadores de estresse e violência.</w:t>
      </w:r>
    </w:p>
    <w:p w:rsidR="00D24E61" w:rsidRPr="00771368" w:rsidRDefault="00D24E61">
      <w:pPr>
        <w:spacing w:line="62"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Assim, o investimento em programas que promovam intervenções, que permitam uma reflexão dos valores sociais e normativos, certamente resultaria em consequências positivas, promovendo uma reelaboração de determinadas situações conflituosas. Quem sabe, minimizando as tendências desviantes das normas e, preservando dessa forma, a saúde social e psicológica dos envolvidos.</w:t>
      </w:r>
    </w:p>
    <w:p w:rsidR="00D24E61" w:rsidRPr="00771368" w:rsidRDefault="00D24E61">
      <w:pPr>
        <w:spacing w:line="65" w:lineRule="exact"/>
        <w:rPr>
          <w:sz w:val="20"/>
          <w:szCs w:val="20"/>
        </w:rPr>
      </w:pPr>
    </w:p>
    <w:p w:rsidR="00D24E61" w:rsidRPr="00771368" w:rsidRDefault="00D24E61">
      <w:pPr>
        <w:spacing w:line="314" w:lineRule="auto"/>
        <w:ind w:right="20" w:firstLine="1133"/>
        <w:jc w:val="both"/>
        <w:rPr>
          <w:sz w:val="20"/>
          <w:szCs w:val="20"/>
        </w:rPr>
      </w:pPr>
      <w:r w:rsidRPr="00771368">
        <w:rPr>
          <w:rFonts w:eastAsia="Arial"/>
          <w:sz w:val="24"/>
          <w:szCs w:val="24"/>
        </w:rPr>
        <w:t>Na tabela 4, são apresentados os dados referentes à escolaridade dos participantes do estudo.</w:t>
      </w:r>
    </w:p>
    <w:p w:rsidR="00D24E61" w:rsidRPr="00771368" w:rsidRDefault="00D24E61">
      <w:pPr>
        <w:spacing w:line="200" w:lineRule="exact"/>
        <w:rPr>
          <w:sz w:val="20"/>
          <w:szCs w:val="20"/>
        </w:rPr>
      </w:pPr>
    </w:p>
    <w:p w:rsidR="00D24E61" w:rsidRPr="00771368" w:rsidRDefault="00D24E61">
      <w:pPr>
        <w:spacing w:line="268" w:lineRule="exact"/>
        <w:rPr>
          <w:sz w:val="20"/>
          <w:szCs w:val="20"/>
        </w:rPr>
      </w:pPr>
    </w:p>
    <w:p w:rsidR="00D24E61" w:rsidRPr="00771368" w:rsidRDefault="00D24E61">
      <w:pPr>
        <w:rPr>
          <w:sz w:val="20"/>
          <w:szCs w:val="20"/>
        </w:rPr>
      </w:pPr>
      <w:r w:rsidRPr="00771368">
        <w:rPr>
          <w:rFonts w:eastAsia="Arial"/>
          <w:b/>
          <w:bCs/>
          <w:sz w:val="24"/>
          <w:szCs w:val="24"/>
        </w:rPr>
        <w:t xml:space="preserve">Tabela 4: </w:t>
      </w:r>
      <w:r w:rsidRPr="00771368">
        <w:rPr>
          <w:rFonts w:eastAsia="Arial"/>
          <w:sz w:val="24"/>
          <w:szCs w:val="24"/>
        </w:rPr>
        <w:t>Escolaridade dos sujeitos da amostra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32640" behindDoc="1" locked="0" layoutInCell="0" allowOverlap="1">
            <wp:simplePos x="0" y="0"/>
            <wp:positionH relativeFrom="column">
              <wp:posOffset>1270</wp:posOffset>
            </wp:positionH>
            <wp:positionV relativeFrom="paragraph">
              <wp:posOffset>89535</wp:posOffset>
            </wp:positionV>
            <wp:extent cx="5666105" cy="2002790"/>
            <wp:effectExtent l="0" t="0" r="0" b="0"/>
            <wp:wrapNone/>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blip>
                    <a:srcRect/>
                    <a:stretch>
                      <a:fillRect/>
                    </a:stretch>
                  </pic:blipFill>
                  <pic:spPr bwMode="auto">
                    <a:xfrm>
                      <a:off x="0" y="0"/>
                      <a:ext cx="5666105" cy="200279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94"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Com relação à Escolaridade, 75% não estudou ou possui o ensino fundamental incompleto, 5% completou o ensino fundamental e 20% possui o ensino médio completo, portanto pessoas com pouca ou nenhuma instrução formal. Segundo artigo publicado nos Cadernos de Saúde Pública, uma pesquisa realizada em Recife, Pernambuco, revelou que muitos casos de violência doméstica,</w:t>
      </w:r>
    </w:p>
    <w:p w:rsidR="00D24E61" w:rsidRPr="00771368" w:rsidRDefault="00D24E61">
      <w:pPr>
        <w:sectPr w:rsidR="00D24E61" w:rsidRPr="00771368">
          <w:pgSz w:w="11900" w:h="16836"/>
          <w:pgMar w:top="1440" w:right="1260" w:bottom="1440" w:left="1700" w:header="0" w:footer="0" w:gutter="0"/>
          <w:cols w:space="720" w:equalWidth="0">
            <w:col w:w="8940"/>
          </w:cols>
        </w:sectPr>
      </w:pPr>
    </w:p>
    <w:p w:rsidR="00D24E61" w:rsidRPr="00771368" w:rsidRDefault="00D24E61">
      <w:pPr>
        <w:ind w:left="8700"/>
        <w:rPr>
          <w:sz w:val="20"/>
          <w:szCs w:val="20"/>
        </w:rPr>
      </w:pPr>
      <w:r w:rsidRPr="00771368">
        <w:rPr>
          <w:sz w:val="24"/>
          <w:szCs w:val="24"/>
        </w:rPr>
        <w:t>10</w:t>
      </w:r>
    </w:p>
    <w:p w:rsidR="00D24E61" w:rsidRPr="00771368" w:rsidRDefault="00D24E61">
      <w:pPr>
        <w:spacing w:line="334" w:lineRule="exact"/>
        <w:rPr>
          <w:sz w:val="20"/>
          <w:szCs w:val="20"/>
        </w:rPr>
      </w:pPr>
    </w:p>
    <w:p w:rsidR="00D24E61" w:rsidRPr="00771368" w:rsidRDefault="00D24E61">
      <w:pPr>
        <w:spacing w:line="317" w:lineRule="auto"/>
        <w:ind w:right="20"/>
        <w:jc w:val="both"/>
        <w:rPr>
          <w:sz w:val="20"/>
          <w:szCs w:val="20"/>
        </w:rPr>
      </w:pPr>
      <w:r w:rsidRPr="00771368">
        <w:rPr>
          <w:rFonts w:eastAsia="Arial"/>
          <w:sz w:val="24"/>
          <w:szCs w:val="24"/>
        </w:rPr>
        <w:t>principalmente contra a mulher, estaria relacionada com fatores como alcoolismo, baixa escolaridade e problemas psiquiátricos.</w:t>
      </w:r>
    </w:p>
    <w:p w:rsidR="00D24E61" w:rsidRPr="00771368" w:rsidRDefault="00D24E61">
      <w:pPr>
        <w:spacing w:line="99" w:lineRule="exact"/>
        <w:rPr>
          <w:sz w:val="20"/>
          <w:szCs w:val="20"/>
        </w:rPr>
      </w:pPr>
    </w:p>
    <w:p w:rsidR="00D24E61" w:rsidRPr="00771368" w:rsidRDefault="00D24E61">
      <w:pPr>
        <w:spacing w:line="351" w:lineRule="auto"/>
        <w:ind w:firstLine="1133"/>
        <w:jc w:val="both"/>
        <w:rPr>
          <w:sz w:val="20"/>
          <w:szCs w:val="20"/>
        </w:rPr>
      </w:pPr>
      <w:r w:rsidRPr="00771368">
        <w:rPr>
          <w:rFonts w:eastAsia="Arial"/>
          <w:sz w:val="24"/>
          <w:szCs w:val="24"/>
        </w:rPr>
        <w:t>Trata-se de um importante trabalho de Maria Arleide da Silva, do Instituto de Medicina Integral Prof. Fernando Figueira (IMIP), e colaboradores que foi disponibilizado na edição de fevereiro de 2010 do referido periódico. No nosso estudo não foi possível identificar a instrução do agressor, mas pode-se ter uma ideia à partir dos sujeitos abusados, já que são parentes próximos e convivem na mesma residência, na maioria dos casos.</w:t>
      </w:r>
    </w:p>
    <w:p w:rsidR="00D24E61" w:rsidRPr="00771368" w:rsidRDefault="00D24E61">
      <w:pPr>
        <w:spacing w:line="200" w:lineRule="exact"/>
        <w:rPr>
          <w:sz w:val="20"/>
          <w:szCs w:val="20"/>
        </w:rPr>
      </w:pPr>
    </w:p>
    <w:p w:rsidR="00D24E61" w:rsidRPr="00771368" w:rsidRDefault="00D24E61">
      <w:pPr>
        <w:spacing w:line="227" w:lineRule="exact"/>
        <w:rPr>
          <w:sz w:val="20"/>
          <w:szCs w:val="20"/>
        </w:rPr>
      </w:pPr>
    </w:p>
    <w:p w:rsidR="00D24E61" w:rsidRPr="00771368" w:rsidRDefault="00D24E61">
      <w:pPr>
        <w:ind w:left="1140"/>
        <w:rPr>
          <w:sz w:val="20"/>
          <w:szCs w:val="20"/>
        </w:rPr>
      </w:pPr>
      <w:r w:rsidRPr="00771368">
        <w:rPr>
          <w:rFonts w:eastAsia="Arial"/>
          <w:sz w:val="24"/>
          <w:szCs w:val="24"/>
        </w:rPr>
        <w:t>A seguir, demonstra-se na tabela 5, o tempo de tratamento dos sujeitos:</w:t>
      </w:r>
    </w:p>
    <w:p w:rsidR="00D24E61" w:rsidRPr="00771368" w:rsidRDefault="00D24E61">
      <w:pPr>
        <w:spacing w:line="200" w:lineRule="exact"/>
        <w:rPr>
          <w:sz w:val="20"/>
          <w:szCs w:val="20"/>
        </w:rPr>
      </w:pPr>
    </w:p>
    <w:p w:rsidR="00D24E61" w:rsidRPr="00771368" w:rsidRDefault="00D24E61">
      <w:pPr>
        <w:spacing w:line="353" w:lineRule="exact"/>
        <w:rPr>
          <w:sz w:val="20"/>
          <w:szCs w:val="20"/>
        </w:rPr>
      </w:pPr>
    </w:p>
    <w:p w:rsidR="00D24E61" w:rsidRPr="00771368" w:rsidRDefault="00D24E61">
      <w:pPr>
        <w:ind w:left="140"/>
        <w:rPr>
          <w:sz w:val="20"/>
          <w:szCs w:val="20"/>
        </w:rPr>
      </w:pPr>
      <w:r w:rsidRPr="00771368">
        <w:rPr>
          <w:rFonts w:eastAsia="Arial"/>
          <w:b/>
          <w:bCs/>
          <w:sz w:val="24"/>
          <w:szCs w:val="24"/>
        </w:rPr>
        <w:t xml:space="preserve">Tabela 5: </w:t>
      </w:r>
      <w:r w:rsidRPr="00771368">
        <w:rPr>
          <w:rFonts w:eastAsia="Arial"/>
          <w:sz w:val="24"/>
          <w:szCs w:val="24"/>
        </w:rPr>
        <w:t>Tempo de tratamento dos sujeitos da amostra: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34688" behindDoc="1" locked="0" layoutInCell="0" allowOverlap="1">
            <wp:simplePos x="0" y="0"/>
            <wp:positionH relativeFrom="column">
              <wp:posOffset>1270</wp:posOffset>
            </wp:positionH>
            <wp:positionV relativeFrom="paragraph">
              <wp:posOffset>87630</wp:posOffset>
            </wp:positionV>
            <wp:extent cx="5667375" cy="1950720"/>
            <wp:effectExtent l="0" t="0" r="0" b="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blip>
                    <a:srcRect/>
                    <a:stretch>
                      <a:fillRect/>
                    </a:stretch>
                  </pic:blipFill>
                  <pic:spPr bwMode="auto">
                    <a:xfrm>
                      <a:off x="0" y="0"/>
                      <a:ext cx="5667375" cy="195072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2" w:lineRule="exact"/>
        <w:rPr>
          <w:sz w:val="20"/>
          <w:szCs w:val="20"/>
        </w:rPr>
      </w:pPr>
    </w:p>
    <w:p w:rsidR="00D24E61" w:rsidRPr="00771368" w:rsidRDefault="00D24E61">
      <w:pPr>
        <w:spacing w:line="337" w:lineRule="auto"/>
        <w:ind w:right="20" w:firstLine="1133"/>
        <w:jc w:val="both"/>
        <w:rPr>
          <w:sz w:val="20"/>
          <w:szCs w:val="20"/>
        </w:rPr>
      </w:pPr>
      <w:r w:rsidRPr="00771368">
        <w:rPr>
          <w:rFonts w:eastAsia="Arial"/>
          <w:sz w:val="24"/>
          <w:szCs w:val="24"/>
        </w:rPr>
        <w:t>Com relação ao tempo de tratamento dos sujeitos, 1 (5%) está em tratamento de 9 a 10 anos; 3(15%) de 7 a 8 anos; 4(20%) de 5 a 6 anos; 7 (35%) de 3 a 4 anos e, 2 (25%) com até dois anos de tratamento.</w:t>
      </w:r>
    </w:p>
    <w:p w:rsidR="00D24E61" w:rsidRPr="00771368" w:rsidRDefault="00D24E61">
      <w:pPr>
        <w:spacing w:line="78"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O tempo de tratamento pode revelar a extensão do comprometimento mental dos sujeitos e o quanto são capazes ou não de decidir por seus atos. Portanto, o fato de que 75% dos sujeitos está em tratamento por no mínimo 3 a 4 anos, nos dá uma ideia de que parecem ter um comprometimento muito sério de suas capacidades de decidir por si mesmos.</w:t>
      </w:r>
    </w:p>
    <w:p w:rsidR="00D24E61" w:rsidRPr="00771368" w:rsidRDefault="00D24E61">
      <w:pPr>
        <w:spacing w:line="65" w:lineRule="exact"/>
        <w:rPr>
          <w:sz w:val="20"/>
          <w:szCs w:val="20"/>
        </w:rPr>
      </w:pPr>
    </w:p>
    <w:p w:rsidR="00D24E61" w:rsidRPr="00771368" w:rsidRDefault="00D24E61">
      <w:pPr>
        <w:spacing w:line="337" w:lineRule="auto"/>
        <w:ind w:firstLine="1133"/>
        <w:jc w:val="both"/>
        <w:rPr>
          <w:sz w:val="20"/>
          <w:szCs w:val="20"/>
        </w:rPr>
      </w:pPr>
      <w:r w:rsidRPr="00771368">
        <w:rPr>
          <w:rFonts w:eastAsia="Arial"/>
          <w:sz w:val="24"/>
          <w:szCs w:val="24"/>
        </w:rPr>
        <w:t>Essa situação tende a conferir ao abusador a sensação de maior poder sobre os mesmos. Quando relacionamos essa dimensão com outras como baixa renda familiar e/ou desemprego, uso do álcool associado e a possibilidade de</w:t>
      </w:r>
    </w:p>
    <w:p w:rsidR="00D24E61" w:rsidRPr="00771368" w:rsidRDefault="00D24E61">
      <w:pPr>
        <w:sectPr w:rsidR="00D24E61" w:rsidRPr="00771368">
          <w:pgSz w:w="11900" w:h="16836"/>
          <w:pgMar w:top="981" w:right="1260" w:bottom="1440" w:left="1700" w:header="0" w:footer="0" w:gutter="0"/>
          <w:cols w:space="720" w:equalWidth="0">
            <w:col w:w="8940"/>
          </w:cols>
        </w:sectPr>
      </w:pPr>
    </w:p>
    <w:p w:rsidR="00D24E61" w:rsidRPr="00771368" w:rsidRDefault="00D24E61">
      <w:pPr>
        <w:spacing w:line="170" w:lineRule="exact"/>
        <w:rPr>
          <w:sz w:val="20"/>
          <w:szCs w:val="20"/>
        </w:rPr>
      </w:pPr>
    </w:p>
    <w:p w:rsidR="00D24E61" w:rsidRPr="00771368" w:rsidRDefault="00D24E61">
      <w:pPr>
        <w:spacing w:line="315" w:lineRule="auto"/>
        <w:ind w:right="20"/>
        <w:jc w:val="both"/>
        <w:rPr>
          <w:sz w:val="20"/>
          <w:szCs w:val="20"/>
        </w:rPr>
      </w:pPr>
      <w:r w:rsidRPr="00771368">
        <w:rPr>
          <w:rFonts w:eastAsia="Arial"/>
          <w:sz w:val="24"/>
          <w:szCs w:val="24"/>
        </w:rPr>
        <w:t>conviver diretamente no mesmo domicílio, há um favorecimento para que o abuso aconteça.</w:t>
      </w:r>
    </w:p>
    <w:p w:rsidR="00D24E61" w:rsidRPr="00771368" w:rsidRDefault="00D24E61">
      <w:pPr>
        <w:spacing w:line="104" w:lineRule="exact"/>
        <w:rPr>
          <w:sz w:val="20"/>
          <w:szCs w:val="20"/>
        </w:rPr>
      </w:pPr>
    </w:p>
    <w:p w:rsidR="00D24E61" w:rsidRPr="00771368" w:rsidRDefault="00D24E61">
      <w:pPr>
        <w:spacing w:line="314" w:lineRule="auto"/>
        <w:ind w:right="20" w:firstLine="1133"/>
        <w:jc w:val="both"/>
        <w:rPr>
          <w:sz w:val="20"/>
          <w:szCs w:val="20"/>
        </w:rPr>
      </w:pPr>
      <w:r w:rsidRPr="00771368">
        <w:rPr>
          <w:rFonts w:eastAsia="Arial"/>
          <w:sz w:val="24"/>
          <w:szCs w:val="24"/>
        </w:rPr>
        <w:t>A seguir, a tabela 6 mostra a distribuição dos participantes quanto a quem é seu representante jurídico.</w:t>
      </w:r>
    </w:p>
    <w:p w:rsidR="00D24E61" w:rsidRPr="00771368" w:rsidRDefault="00D24E61">
      <w:pPr>
        <w:spacing w:line="200" w:lineRule="exact"/>
        <w:rPr>
          <w:sz w:val="20"/>
          <w:szCs w:val="20"/>
        </w:rPr>
      </w:pPr>
    </w:p>
    <w:p w:rsidR="00D24E61" w:rsidRPr="00771368" w:rsidRDefault="00D24E61">
      <w:pPr>
        <w:spacing w:line="319" w:lineRule="exact"/>
        <w:rPr>
          <w:sz w:val="20"/>
          <w:szCs w:val="20"/>
        </w:rPr>
      </w:pPr>
    </w:p>
    <w:p w:rsidR="00D24E61" w:rsidRPr="00771368" w:rsidRDefault="00D24E61">
      <w:pPr>
        <w:spacing w:line="316" w:lineRule="auto"/>
        <w:ind w:right="20"/>
        <w:jc w:val="both"/>
        <w:rPr>
          <w:sz w:val="20"/>
          <w:szCs w:val="20"/>
        </w:rPr>
      </w:pPr>
      <w:r w:rsidRPr="00771368">
        <w:rPr>
          <w:rFonts w:eastAsia="Arial"/>
          <w:b/>
          <w:bCs/>
          <w:sz w:val="24"/>
          <w:szCs w:val="24"/>
        </w:rPr>
        <w:t xml:space="preserve">Tabela 6: </w:t>
      </w:r>
      <w:r w:rsidRPr="00771368">
        <w:rPr>
          <w:rFonts w:eastAsia="Arial"/>
          <w:sz w:val="24"/>
          <w:szCs w:val="24"/>
        </w:rPr>
        <w:t>Distribuição de quem responde como representante dos sujeitos da</w:t>
      </w:r>
      <w:r w:rsidRPr="00771368">
        <w:rPr>
          <w:rFonts w:eastAsia="Arial"/>
          <w:b/>
          <w:bCs/>
          <w:sz w:val="24"/>
          <w:szCs w:val="24"/>
        </w:rPr>
        <w:t xml:space="preserve"> </w:t>
      </w:r>
      <w:r w:rsidRPr="00771368">
        <w:rPr>
          <w:rFonts w:eastAsia="Arial"/>
          <w:sz w:val="24"/>
          <w:szCs w:val="24"/>
        </w:rPr>
        <w:t>pesquisa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36736" behindDoc="1" locked="0" layoutInCell="0" allowOverlap="1">
            <wp:simplePos x="0" y="0"/>
            <wp:positionH relativeFrom="column">
              <wp:posOffset>1270</wp:posOffset>
            </wp:positionH>
            <wp:positionV relativeFrom="paragraph">
              <wp:posOffset>33655</wp:posOffset>
            </wp:positionV>
            <wp:extent cx="5670550" cy="1957070"/>
            <wp:effectExtent l="0" t="0" r="0" b="0"/>
            <wp:wrapNone/>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blip>
                    <a:srcRect/>
                    <a:stretch>
                      <a:fillRect/>
                    </a:stretch>
                  </pic:blipFill>
                  <pic:spPr bwMode="auto">
                    <a:xfrm>
                      <a:off x="0" y="0"/>
                      <a:ext cx="5670550" cy="195707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20"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Com relação a quem responde como representante dos sujeitos, em 45% dos casos foi a mãe, em 25% dos casos é outro parente, em 15% dos casos é o irmão(ã), em 10% dos casos é outra pessoa e, somente em 5% dos casos é o pai. Portanto pessoas com um grau importante de vulnerabilidade, já que há quem responda pelos seus atos, muitas dessas vezes juridicamente.</w:t>
      </w:r>
    </w:p>
    <w:p w:rsidR="00D24E61" w:rsidRPr="00771368" w:rsidRDefault="00D24E61">
      <w:pPr>
        <w:spacing w:line="14" w:lineRule="exact"/>
        <w:rPr>
          <w:sz w:val="20"/>
          <w:szCs w:val="20"/>
        </w:rPr>
      </w:pPr>
    </w:p>
    <w:p w:rsidR="00D24E61" w:rsidRPr="00771368" w:rsidRDefault="00D24E61">
      <w:pPr>
        <w:ind w:left="1140"/>
        <w:rPr>
          <w:sz w:val="20"/>
          <w:szCs w:val="20"/>
        </w:rPr>
      </w:pPr>
      <w:r w:rsidRPr="00771368">
        <w:rPr>
          <w:rFonts w:eastAsia="Arial"/>
          <w:sz w:val="24"/>
          <w:szCs w:val="24"/>
        </w:rPr>
        <w:t>A seguir, a distribuição dos sujeitos sobre se já sofreu algum tipo de</w:t>
      </w:r>
    </w:p>
    <w:p w:rsidR="00D24E61" w:rsidRPr="00771368" w:rsidRDefault="00D24E61">
      <w:pPr>
        <w:spacing w:line="137" w:lineRule="exact"/>
        <w:rPr>
          <w:sz w:val="20"/>
          <w:szCs w:val="20"/>
        </w:rPr>
      </w:pPr>
    </w:p>
    <w:p w:rsidR="00D24E61" w:rsidRPr="00771368" w:rsidRDefault="00D24E61">
      <w:pPr>
        <w:rPr>
          <w:sz w:val="20"/>
          <w:szCs w:val="20"/>
        </w:rPr>
      </w:pPr>
      <w:r w:rsidRPr="00771368">
        <w:rPr>
          <w:rFonts w:eastAsia="Arial"/>
          <w:sz w:val="24"/>
          <w:szCs w:val="24"/>
        </w:rPr>
        <w:t>violência.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Pr="00771368" w:rsidRDefault="00D24E61">
      <w:pPr>
        <w:spacing w:line="316" w:lineRule="auto"/>
        <w:ind w:right="20" w:firstLine="1133"/>
        <w:jc w:val="both"/>
        <w:rPr>
          <w:sz w:val="20"/>
          <w:szCs w:val="20"/>
        </w:rPr>
      </w:pPr>
      <w:r w:rsidRPr="00771368">
        <w:rPr>
          <w:rFonts w:eastAsia="Arial"/>
          <w:b/>
          <w:bCs/>
          <w:sz w:val="24"/>
          <w:szCs w:val="24"/>
        </w:rPr>
        <w:t xml:space="preserve">Tabela 7: </w:t>
      </w:r>
      <w:r w:rsidRPr="00771368">
        <w:rPr>
          <w:rFonts w:eastAsia="Arial"/>
          <w:sz w:val="24"/>
          <w:szCs w:val="24"/>
        </w:rPr>
        <w:t>Distribuição dos sujeitos da pesquisa sobre se já sofreram</w:t>
      </w:r>
      <w:r w:rsidRPr="00771368">
        <w:rPr>
          <w:rFonts w:eastAsia="Arial"/>
          <w:b/>
          <w:bCs/>
          <w:sz w:val="24"/>
          <w:szCs w:val="24"/>
        </w:rPr>
        <w:t xml:space="preserve"> </w:t>
      </w:r>
      <w:r w:rsidRPr="00771368">
        <w:rPr>
          <w:rFonts w:eastAsia="Arial"/>
          <w:sz w:val="24"/>
          <w:szCs w:val="24"/>
        </w:rPr>
        <w:t>algum tipo de violência doméstica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38784" behindDoc="1" locked="0" layoutInCell="0" allowOverlap="1">
            <wp:simplePos x="0" y="0"/>
            <wp:positionH relativeFrom="column">
              <wp:posOffset>1270</wp:posOffset>
            </wp:positionH>
            <wp:positionV relativeFrom="paragraph">
              <wp:posOffset>33020</wp:posOffset>
            </wp:positionV>
            <wp:extent cx="5667375" cy="1173480"/>
            <wp:effectExtent l="0" t="0" r="0" b="0"/>
            <wp:wrapNone/>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blip>
                    <a:srcRect/>
                    <a:stretch>
                      <a:fillRect/>
                    </a:stretch>
                  </pic:blipFill>
                  <pic:spPr bwMode="auto">
                    <a:xfrm>
                      <a:off x="0" y="0"/>
                      <a:ext cx="5667375" cy="117348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2" w:lineRule="exact"/>
        <w:rPr>
          <w:sz w:val="20"/>
          <w:szCs w:val="20"/>
        </w:rPr>
      </w:pPr>
    </w:p>
    <w:p w:rsidR="00D24E61" w:rsidRPr="00771368" w:rsidRDefault="00D24E61">
      <w:pPr>
        <w:spacing w:line="314" w:lineRule="auto"/>
        <w:ind w:firstLine="1133"/>
        <w:jc w:val="both"/>
        <w:rPr>
          <w:sz w:val="20"/>
          <w:szCs w:val="20"/>
        </w:rPr>
      </w:pPr>
      <w:r w:rsidRPr="00771368">
        <w:rPr>
          <w:rFonts w:eastAsia="Arial"/>
          <w:sz w:val="24"/>
          <w:szCs w:val="24"/>
        </w:rPr>
        <w:t>Observa-se que 8 (40%) sofreram algum tipo de violência doméstica. No caso, os que sofreram violência relataram: insultos verbais (5,0%); agressões</w:t>
      </w:r>
    </w:p>
    <w:p w:rsidR="00D24E61" w:rsidRPr="00771368" w:rsidRDefault="00D24E61">
      <w:pPr>
        <w:sectPr w:rsidR="00D24E61" w:rsidRPr="00771368">
          <w:pgSz w:w="11900" w:h="16836"/>
          <w:pgMar w:top="1440" w:right="1260" w:bottom="1440" w:left="1700" w:header="0" w:footer="0" w:gutter="0"/>
          <w:cols w:space="720" w:equalWidth="0">
            <w:col w:w="8940"/>
          </w:cols>
        </w:sectPr>
      </w:pPr>
    </w:p>
    <w:p w:rsidR="00D24E61" w:rsidRPr="00771368" w:rsidRDefault="00D24E61">
      <w:pPr>
        <w:ind w:left="8700"/>
        <w:rPr>
          <w:sz w:val="20"/>
          <w:szCs w:val="20"/>
        </w:rPr>
      </w:pPr>
      <w:r w:rsidRPr="00771368">
        <w:rPr>
          <w:sz w:val="24"/>
          <w:szCs w:val="24"/>
        </w:rPr>
        <w:t>12</w:t>
      </w:r>
    </w:p>
    <w:p w:rsidR="00D24E61" w:rsidRPr="00771368" w:rsidRDefault="00D24E61">
      <w:pPr>
        <w:spacing w:line="334" w:lineRule="exact"/>
        <w:rPr>
          <w:sz w:val="20"/>
          <w:szCs w:val="20"/>
        </w:rPr>
      </w:pPr>
    </w:p>
    <w:p w:rsidR="00D24E61" w:rsidRPr="00771368" w:rsidRDefault="00D24E61">
      <w:pPr>
        <w:spacing w:line="317" w:lineRule="auto"/>
        <w:jc w:val="both"/>
        <w:rPr>
          <w:sz w:val="20"/>
          <w:szCs w:val="20"/>
        </w:rPr>
      </w:pPr>
      <w:r w:rsidRPr="00771368">
        <w:rPr>
          <w:rFonts w:eastAsia="Arial"/>
          <w:sz w:val="24"/>
          <w:szCs w:val="24"/>
        </w:rPr>
        <w:t>físicas (35,0%). Relataram também que o ofensor, nestes casos foi: um parente consanguíneo próximo (30,0%); outra pessoa (10,0%).</w:t>
      </w:r>
    </w:p>
    <w:p w:rsidR="00D24E61" w:rsidRPr="00771368" w:rsidRDefault="00D24E61">
      <w:pPr>
        <w:spacing w:line="99" w:lineRule="exact"/>
        <w:rPr>
          <w:sz w:val="20"/>
          <w:szCs w:val="20"/>
        </w:rPr>
      </w:pPr>
    </w:p>
    <w:p w:rsidR="00D24E61" w:rsidRPr="00771368" w:rsidRDefault="00D24E61">
      <w:pPr>
        <w:spacing w:line="316" w:lineRule="auto"/>
        <w:ind w:right="20" w:firstLine="1133"/>
        <w:jc w:val="both"/>
        <w:rPr>
          <w:sz w:val="20"/>
          <w:szCs w:val="20"/>
        </w:rPr>
      </w:pPr>
      <w:r w:rsidRPr="00771368">
        <w:rPr>
          <w:rFonts w:eastAsia="Arial"/>
          <w:sz w:val="24"/>
          <w:szCs w:val="24"/>
        </w:rPr>
        <w:t>Indagados sobre se onde o ofensor residia com a vítima, as respostas foram as seguintes: Na mesma casa da vítima (35,0%) e, na vizinhança (5,0%).</w:t>
      </w:r>
    </w:p>
    <w:p w:rsidR="00D24E61" w:rsidRPr="00771368" w:rsidRDefault="00D24E61">
      <w:pPr>
        <w:spacing w:line="101" w:lineRule="exact"/>
        <w:rPr>
          <w:sz w:val="20"/>
          <w:szCs w:val="20"/>
        </w:rPr>
      </w:pPr>
    </w:p>
    <w:p w:rsidR="00D24E61" w:rsidRPr="00771368" w:rsidRDefault="00D24E61">
      <w:pPr>
        <w:spacing w:line="337" w:lineRule="auto"/>
        <w:ind w:firstLine="1133"/>
        <w:jc w:val="both"/>
        <w:rPr>
          <w:sz w:val="20"/>
          <w:szCs w:val="20"/>
        </w:rPr>
      </w:pPr>
      <w:r w:rsidRPr="00771368">
        <w:rPr>
          <w:rFonts w:eastAsia="Arial"/>
          <w:sz w:val="24"/>
          <w:szCs w:val="24"/>
        </w:rPr>
        <w:t>Com relação aos 8 sujeitos que sofreram violência, indagados sobre a frequência em que ocorria a violência doméstica, os sujeitos responderam de acordo com a tabela a seguir:</w:t>
      </w:r>
    </w:p>
    <w:p w:rsidR="00D24E61" w:rsidRPr="00771368" w:rsidRDefault="00D24E61">
      <w:pPr>
        <w:spacing w:line="200" w:lineRule="exact"/>
        <w:rPr>
          <w:sz w:val="20"/>
          <w:szCs w:val="20"/>
        </w:rPr>
      </w:pPr>
    </w:p>
    <w:p w:rsidR="00D24E61" w:rsidRPr="00771368" w:rsidRDefault="00D24E61">
      <w:pPr>
        <w:spacing w:line="293" w:lineRule="exact"/>
        <w:rPr>
          <w:sz w:val="20"/>
          <w:szCs w:val="20"/>
        </w:rPr>
      </w:pPr>
    </w:p>
    <w:p w:rsidR="00D24E61" w:rsidRPr="00771368" w:rsidRDefault="00D24E61">
      <w:pPr>
        <w:spacing w:line="316" w:lineRule="auto"/>
        <w:ind w:right="20"/>
        <w:jc w:val="both"/>
        <w:rPr>
          <w:sz w:val="20"/>
          <w:szCs w:val="20"/>
        </w:rPr>
      </w:pPr>
      <w:r w:rsidRPr="00771368">
        <w:rPr>
          <w:rFonts w:eastAsia="Arial"/>
          <w:b/>
          <w:bCs/>
          <w:sz w:val="24"/>
          <w:szCs w:val="24"/>
        </w:rPr>
        <w:t xml:space="preserve">Tabela 8: </w:t>
      </w:r>
      <w:r w:rsidRPr="00771368">
        <w:rPr>
          <w:rFonts w:eastAsia="Arial"/>
          <w:sz w:val="24"/>
          <w:szCs w:val="24"/>
        </w:rPr>
        <w:t>Distribuição da Frequência com que sofre violência, dos sujeitos da</w:t>
      </w:r>
      <w:r w:rsidRPr="00771368">
        <w:rPr>
          <w:rFonts w:eastAsia="Arial"/>
          <w:b/>
          <w:bCs/>
          <w:sz w:val="24"/>
          <w:szCs w:val="24"/>
        </w:rPr>
        <w:t xml:space="preserve"> </w:t>
      </w:r>
      <w:r w:rsidRPr="00771368">
        <w:rPr>
          <w:rFonts w:eastAsia="Arial"/>
          <w:sz w:val="24"/>
          <w:szCs w:val="24"/>
        </w:rPr>
        <w:t>pesquisa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40832" behindDoc="1" locked="0" layoutInCell="0" allowOverlap="1">
            <wp:simplePos x="0" y="0"/>
            <wp:positionH relativeFrom="column">
              <wp:posOffset>1270</wp:posOffset>
            </wp:positionH>
            <wp:positionV relativeFrom="paragraph">
              <wp:posOffset>33655</wp:posOffset>
            </wp:positionV>
            <wp:extent cx="5662930" cy="2103120"/>
            <wp:effectExtent l="0" t="0" r="0" b="0"/>
            <wp:wrapNone/>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blip>
                    <a:srcRect/>
                    <a:stretch>
                      <a:fillRect/>
                    </a:stretch>
                  </pic:blipFill>
                  <pic:spPr bwMode="auto">
                    <a:xfrm>
                      <a:off x="0" y="0"/>
                      <a:ext cx="5662930" cy="210312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53"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Na tabela 8, observa-se que, um (12,5%) raramente sofreram violência; dois sujeitos (25%) algumas vezes, isto é sofreram violência pelo menos uma vez ao mês; um sujeito (12,5%) sofreu violência quase sempre, pelo menos uma vez na semana e, 4 sujeitos (50%) afirmou sofrer violência sempre, isto é, mais de uma vez por semana.</w:t>
      </w:r>
    </w:p>
    <w:p w:rsidR="00D24E61" w:rsidRPr="00771368" w:rsidRDefault="00D24E61">
      <w:pPr>
        <w:spacing w:line="63" w:lineRule="exact"/>
        <w:rPr>
          <w:sz w:val="20"/>
          <w:szCs w:val="20"/>
        </w:rPr>
      </w:pPr>
    </w:p>
    <w:p w:rsidR="00D24E61" w:rsidRPr="00771368" w:rsidRDefault="00D24E61">
      <w:pPr>
        <w:spacing w:line="337" w:lineRule="auto"/>
        <w:ind w:right="20" w:firstLine="1133"/>
        <w:jc w:val="both"/>
        <w:rPr>
          <w:sz w:val="20"/>
          <w:szCs w:val="20"/>
        </w:rPr>
      </w:pPr>
      <w:r w:rsidRPr="00771368">
        <w:rPr>
          <w:rFonts w:eastAsia="Arial"/>
          <w:sz w:val="24"/>
          <w:szCs w:val="24"/>
        </w:rPr>
        <w:t>No Brasil, existe uma espécie muitos casos onde há dependência entre as gerações, isto é, observa-se ser comum muitas pessoas de gerações diferentes residirem no mesmo domicílio (CARMARANO, 2002).</w:t>
      </w:r>
    </w:p>
    <w:p w:rsidR="00D24E61" w:rsidRPr="00771368" w:rsidRDefault="00D24E61">
      <w:pPr>
        <w:spacing w:line="81" w:lineRule="exact"/>
        <w:rPr>
          <w:sz w:val="20"/>
          <w:szCs w:val="20"/>
        </w:rPr>
      </w:pPr>
    </w:p>
    <w:p w:rsidR="00D24E61" w:rsidRPr="00771368" w:rsidRDefault="00D24E61">
      <w:pPr>
        <w:spacing w:line="351" w:lineRule="auto"/>
        <w:ind w:firstLine="1133"/>
        <w:jc w:val="both"/>
        <w:rPr>
          <w:sz w:val="20"/>
          <w:szCs w:val="20"/>
        </w:rPr>
      </w:pPr>
      <w:r w:rsidRPr="00771368">
        <w:rPr>
          <w:rFonts w:eastAsia="Arial"/>
          <w:sz w:val="24"/>
          <w:szCs w:val="24"/>
        </w:rPr>
        <w:t>A residência compartilhada tende a intensificar o convívio, acarretando uma diversidade de valores partilhados, o que pode exaurir a convivência em si, dificultando em repartir equitativamente os recursos financeiros, principalmente quando são escassos ou quando há alguém com dificuldades de locomoção, distúrbios comportamentais e déficits cognitivos NERI e CARVALHO, 2002; SOUZA, MEIRA e NERI, 2002).</w:t>
      </w:r>
    </w:p>
    <w:p w:rsidR="00D24E61" w:rsidRPr="00771368" w:rsidRDefault="00D24E61">
      <w:pPr>
        <w:sectPr w:rsidR="00D24E61" w:rsidRPr="00771368">
          <w:pgSz w:w="11900" w:h="16836"/>
          <w:pgMar w:top="981" w:right="1260" w:bottom="1440" w:left="1700" w:header="0" w:footer="0" w:gutter="0"/>
          <w:cols w:space="720" w:equalWidth="0">
            <w:col w:w="8940"/>
          </w:cols>
        </w:sectPr>
      </w:pPr>
    </w:p>
    <w:p w:rsidR="00D24E61" w:rsidRPr="00771368" w:rsidRDefault="00D24E61">
      <w:pPr>
        <w:spacing w:line="337" w:lineRule="auto"/>
        <w:ind w:firstLine="1133"/>
        <w:jc w:val="both"/>
        <w:rPr>
          <w:sz w:val="20"/>
          <w:szCs w:val="20"/>
        </w:rPr>
      </w:pPr>
      <w:r w:rsidRPr="00771368">
        <w:rPr>
          <w:rFonts w:eastAsia="Arial"/>
          <w:sz w:val="24"/>
          <w:szCs w:val="24"/>
        </w:rPr>
        <w:t>Qualquer dessas situações geram um cenário propício para o estabelecimento de conflitos no espaço doméstico que, muitas vezes, resultam em violência.</w:t>
      </w:r>
    </w:p>
    <w:p w:rsidR="00D24E61" w:rsidRPr="00771368" w:rsidRDefault="00D24E61">
      <w:pPr>
        <w:spacing w:line="81" w:lineRule="exact"/>
        <w:rPr>
          <w:sz w:val="20"/>
          <w:szCs w:val="20"/>
        </w:rPr>
      </w:pPr>
    </w:p>
    <w:p w:rsidR="00D24E61" w:rsidRPr="00771368" w:rsidRDefault="00D24E61">
      <w:pPr>
        <w:spacing w:line="344" w:lineRule="auto"/>
        <w:ind w:right="20" w:firstLine="1133"/>
        <w:jc w:val="both"/>
        <w:rPr>
          <w:sz w:val="20"/>
          <w:szCs w:val="20"/>
        </w:rPr>
      </w:pPr>
      <w:r w:rsidRPr="00771368">
        <w:rPr>
          <w:rFonts w:eastAsia="Arial"/>
          <w:sz w:val="24"/>
          <w:szCs w:val="24"/>
        </w:rPr>
        <w:t>As relações enfraquecidas, conjuntamente com a história familiar prévia de violência favorecem o surgimento desse evento (NERI e CARVALHO, 2002). Além disso, famílias despreparadas para compreender, tolerar e administrar seus próprios conflitos tendem a serem mais violentas (BRASIL, 2001).</w:t>
      </w:r>
    </w:p>
    <w:p w:rsidR="00D24E61" w:rsidRPr="00771368" w:rsidRDefault="00D24E61">
      <w:pPr>
        <w:spacing w:line="74"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Em contrapartida, Neri e Carvalho (2002) afirmam que, independentemente do agressor ser um parente ou não, a qualidade da relação entre ele e o abusado depende também de crenças, concepções e valores sobre o vulnerável e sua relação com o mesmo. Possivelmente, todas essas dimensões influenciam a ocorrência da violência doméstica.</w:t>
      </w:r>
    </w:p>
    <w:p w:rsidR="00D24E61" w:rsidRPr="00771368" w:rsidRDefault="00D24E61">
      <w:pPr>
        <w:spacing w:line="63" w:lineRule="exact"/>
        <w:rPr>
          <w:sz w:val="20"/>
          <w:szCs w:val="20"/>
        </w:rPr>
      </w:pPr>
    </w:p>
    <w:p w:rsidR="00D24E61" w:rsidRPr="00771368" w:rsidRDefault="00D24E61">
      <w:pPr>
        <w:spacing w:line="351" w:lineRule="auto"/>
        <w:ind w:firstLine="994"/>
        <w:rPr>
          <w:sz w:val="20"/>
          <w:szCs w:val="20"/>
        </w:rPr>
      </w:pPr>
      <w:r w:rsidRPr="00771368">
        <w:rPr>
          <w:rFonts w:eastAsia="Arial"/>
          <w:sz w:val="24"/>
          <w:szCs w:val="24"/>
        </w:rPr>
        <w:t>Em resumo, mesmo quando se procurou descrever a violência doméstica contra pessoas com deficiência mental da forma mais próxima possível da realidade, denota-se que ainda há muitas questões a serem exploradas em estudos futuros. Esta pesquisa apresenta algumas limitações, decorrentes da restrição da população a casos ocorridos em um determinado lugar, o que limita o estudo às diversas variáveis possíveis.</w:t>
      </w:r>
    </w:p>
    <w:p w:rsidR="00D24E61" w:rsidRPr="00771368" w:rsidRDefault="00D24E61">
      <w:pPr>
        <w:spacing w:line="63" w:lineRule="exact"/>
        <w:rPr>
          <w:sz w:val="20"/>
          <w:szCs w:val="20"/>
        </w:rPr>
      </w:pPr>
    </w:p>
    <w:p w:rsidR="00D24E61" w:rsidRPr="00771368" w:rsidRDefault="00D24E61">
      <w:pPr>
        <w:spacing w:line="337" w:lineRule="auto"/>
        <w:ind w:right="20" w:firstLine="1133"/>
        <w:jc w:val="both"/>
        <w:rPr>
          <w:sz w:val="20"/>
          <w:szCs w:val="20"/>
        </w:rPr>
      </w:pPr>
      <w:r w:rsidRPr="00771368">
        <w:rPr>
          <w:rFonts w:eastAsia="Arial"/>
          <w:sz w:val="24"/>
          <w:szCs w:val="24"/>
        </w:rPr>
        <w:t>Nesse sentido, a discussão sobre esse tema não se esgota nos aspectos destacados, e será possível futuramente, outras interpretações que complementem assim, esta investigação.</w:t>
      </w:r>
    </w:p>
    <w:p w:rsidR="00D24E61" w:rsidRPr="00771368" w:rsidRDefault="00D24E61">
      <w:pPr>
        <w:spacing w:line="81" w:lineRule="exact"/>
        <w:rPr>
          <w:sz w:val="20"/>
          <w:szCs w:val="20"/>
        </w:rPr>
      </w:pPr>
    </w:p>
    <w:p w:rsidR="00D24E61" w:rsidRPr="00771368" w:rsidRDefault="00D24E61">
      <w:pPr>
        <w:spacing w:line="348" w:lineRule="auto"/>
        <w:ind w:firstLine="1133"/>
        <w:jc w:val="both"/>
        <w:rPr>
          <w:sz w:val="20"/>
          <w:szCs w:val="20"/>
        </w:rPr>
      </w:pPr>
      <w:r w:rsidRPr="00771368">
        <w:rPr>
          <w:rFonts w:eastAsia="Arial"/>
          <w:sz w:val="24"/>
          <w:szCs w:val="24"/>
        </w:rPr>
        <w:t>Outras questões também foram investigadas, como se o sujeito contou para alguém sobre o ocorrido. As respostas foram: Dos 8 que afirmaram terem sido abusados com violência, seis responderam que Sim (75%) e dois responderam que Não (25%). Sobre o que aconteceu após a agressão, 5 disseram não ter acontecido nada (62,5%) e 3 disseram ter tomado alguma providência (37,5%).</w:t>
      </w:r>
    </w:p>
    <w:p w:rsidR="00D24E61" w:rsidRPr="00771368" w:rsidRDefault="00D24E61">
      <w:pPr>
        <w:spacing w:line="68" w:lineRule="exact"/>
        <w:rPr>
          <w:sz w:val="20"/>
          <w:szCs w:val="20"/>
        </w:rPr>
      </w:pPr>
    </w:p>
    <w:p w:rsidR="00D24E61" w:rsidRPr="00771368" w:rsidRDefault="00D24E61" w:rsidP="009D5D08">
      <w:pPr>
        <w:spacing w:line="349" w:lineRule="auto"/>
        <w:ind w:firstLine="1133"/>
        <w:jc w:val="both"/>
        <w:rPr>
          <w:sz w:val="20"/>
          <w:szCs w:val="20"/>
        </w:rPr>
      </w:pPr>
      <w:r w:rsidRPr="00771368">
        <w:rPr>
          <w:rFonts w:eastAsia="Arial"/>
          <w:sz w:val="24"/>
          <w:szCs w:val="24"/>
        </w:rPr>
        <w:t>Quanto ao fato do agressor ter sido denunciado, 1 (12,5%) disseram que sim e, 7 (87,5%) disseram que não. Indagados se ficou com alguma sequela da violência sofrida? 7 responderam que Sim (87,5%) e um respondeu que não (12,5%). Perguntado como se sentem em relação ao ocorrido, 2 sentem que houve justiça no caso (25%), 3 sentem-se injustiçados (37,5%) e 3 sentem-se indiferentes</w:t>
      </w:r>
      <w:r w:rsidR="009D5D08">
        <w:rPr>
          <w:rFonts w:eastAsia="Arial"/>
          <w:sz w:val="24"/>
          <w:szCs w:val="24"/>
        </w:rPr>
        <w:t xml:space="preserve"> </w:t>
      </w:r>
      <w:r w:rsidRPr="00771368">
        <w:rPr>
          <w:rFonts w:eastAsia="Arial"/>
          <w:sz w:val="24"/>
          <w:szCs w:val="24"/>
        </w:rPr>
        <w:t>ao caso (37,5%).</w:t>
      </w:r>
    </w:p>
    <w:p w:rsidR="00D24E61" w:rsidRPr="00771368" w:rsidRDefault="00D24E61">
      <w:pPr>
        <w:spacing w:line="190" w:lineRule="exact"/>
        <w:rPr>
          <w:sz w:val="20"/>
          <w:szCs w:val="20"/>
        </w:rPr>
      </w:pPr>
    </w:p>
    <w:p w:rsidR="00D24E61" w:rsidRPr="00771368" w:rsidRDefault="00D24E61">
      <w:pPr>
        <w:spacing w:line="351" w:lineRule="auto"/>
        <w:ind w:firstLine="1133"/>
        <w:jc w:val="both"/>
        <w:rPr>
          <w:sz w:val="20"/>
          <w:szCs w:val="20"/>
        </w:rPr>
      </w:pPr>
      <w:r w:rsidRPr="00771368">
        <w:rPr>
          <w:rFonts w:eastAsia="Arial"/>
          <w:sz w:val="24"/>
          <w:szCs w:val="24"/>
        </w:rPr>
        <w:t>Com relação a impunidade do agressor, apesar da lei oferecer a possibilidade de punição, nem sempre os agressores são denunciados. Uma das causas é a vergonha que a vítima tende a sentir, ou o fato da possibilidade da denúncia representar também a possibilidade de mais violência, ou ainda, a dificuldade em relação à credibilidade da vítima para fazer a denúncia, principalmente nos casos de deficiência mental.</w:t>
      </w:r>
    </w:p>
    <w:p w:rsidR="00D24E61" w:rsidRPr="00771368" w:rsidRDefault="00D24E61">
      <w:pPr>
        <w:spacing w:line="62" w:lineRule="exact"/>
        <w:rPr>
          <w:sz w:val="20"/>
          <w:szCs w:val="20"/>
        </w:rPr>
      </w:pPr>
    </w:p>
    <w:p w:rsidR="00D24E61" w:rsidRPr="00771368" w:rsidRDefault="00D24E61">
      <w:pPr>
        <w:spacing w:line="337" w:lineRule="auto"/>
        <w:ind w:firstLine="1133"/>
        <w:jc w:val="both"/>
        <w:rPr>
          <w:sz w:val="20"/>
          <w:szCs w:val="20"/>
        </w:rPr>
      </w:pPr>
      <w:r w:rsidRPr="00771368">
        <w:rPr>
          <w:rFonts w:eastAsia="Arial"/>
          <w:sz w:val="24"/>
          <w:szCs w:val="24"/>
        </w:rPr>
        <w:t>Apesar de haver delegacias especializadas em Defesa da Mulher, da criança e do adolescente e, dos idosos, ainda é incipiente a relação entre os abusos sofridos e as denúncias formalizadas.</w:t>
      </w:r>
    </w:p>
    <w:p w:rsidR="00D24E61" w:rsidRPr="00771368" w:rsidRDefault="00D24E61">
      <w:pPr>
        <w:spacing w:line="200" w:lineRule="exact"/>
        <w:rPr>
          <w:sz w:val="20"/>
          <w:szCs w:val="20"/>
        </w:rPr>
      </w:pPr>
    </w:p>
    <w:p w:rsidR="00D24E61" w:rsidRPr="00771368" w:rsidRDefault="00D24E61">
      <w:pPr>
        <w:spacing w:line="243" w:lineRule="exact"/>
        <w:rPr>
          <w:sz w:val="20"/>
          <w:szCs w:val="20"/>
        </w:rPr>
      </w:pPr>
    </w:p>
    <w:p w:rsidR="00D24E61" w:rsidRPr="00771368" w:rsidRDefault="00D24E61">
      <w:pPr>
        <w:rPr>
          <w:sz w:val="20"/>
          <w:szCs w:val="20"/>
        </w:rPr>
      </w:pPr>
      <w:r w:rsidRPr="00771368">
        <w:rPr>
          <w:rFonts w:eastAsia="Arial"/>
          <w:b/>
          <w:bCs/>
          <w:sz w:val="24"/>
          <w:szCs w:val="24"/>
        </w:rPr>
        <w:t>Conclusões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Pr="00771368" w:rsidRDefault="00D24E61">
      <w:pPr>
        <w:spacing w:line="344" w:lineRule="auto"/>
        <w:ind w:firstLine="1133"/>
        <w:jc w:val="both"/>
        <w:rPr>
          <w:sz w:val="20"/>
          <w:szCs w:val="20"/>
        </w:rPr>
      </w:pPr>
      <w:r w:rsidRPr="00771368">
        <w:rPr>
          <w:rFonts w:eastAsia="Arial"/>
          <w:sz w:val="24"/>
          <w:szCs w:val="24"/>
        </w:rPr>
        <w:t>Este trabalho buscou compreender a violência doméstica sofrida por portadores de deficiência mental. Entendeu-se aqui violência como a expressão física ou psicológica, tanto do amor como do ódio, quando desvinculados do interesse pela vida e pelos valores humanos como o respeito.</w:t>
      </w:r>
    </w:p>
    <w:p w:rsidR="00D24E61" w:rsidRPr="00771368" w:rsidRDefault="00D24E61">
      <w:pPr>
        <w:spacing w:line="74" w:lineRule="exact"/>
        <w:rPr>
          <w:sz w:val="20"/>
          <w:szCs w:val="20"/>
        </w:rPr>
      </w:pPr>
    </w:p>
    <w:p w:rsidR="00D24E61" w:rsidRPr="00771368" w:rsidRDefault="00D24E61">
      <w:pPr>
        <w:spacing w:line="345" w:lineRule="auto"/>
        <w:ind w:firstLine="1133"/>
        <w:jc w:val="both"/>
        <w:rPr>
          <w:sz w:val="20"/>
          <w:szCs w:val="20"/>
        </w:rPr>
      </w:pPr>
      <w:r w:rsidRPr="00771368">
        <w:rPr>
          <w:rFonts w:eastAsia="Arial"/>
          <w:sz w:val="24"/>
          <w:szCs w:val="24"/>
        </w:rPr>
        <w:t>É importante se levar em conta a formação de profissionais no sentido de que haja uma recepção emocional adequada no trato com os denunciantes de violência domestica e ao resguardo da pessoa, de forma a garantir um mínimo de suporte emocional a estas e suas famílias.</w:t>
      </w:r>
    </w:p>
    <w:p w:rsidR="00D24E61" w:rsidRPr="00771368" w:rsidRDefault="00D24E61">
      <w:pPr>
        <w:spacing w:line="70" w:lineRule="exact"/>
        <w:rPr>
          <w:sz w:val="20"/>
          <w:szCs w:val="20"/>
        </w:rPr>
      </w:pPr>
    </w:p>
    <w:p w:rsidR="00D24E61" w:rsidRPr="00771368" w:rsidRDefault="00D24E61">
      <w:pPr>
        <w:spacing w:line="344" w:lineRule="auto"/>
        <w:ind w:firstLine="1133"/>
        <w:jc w:val="both"/>
        <w:rPr>
          <w:sz w:val="20"/>
          <w:szCs w:val="20"/>
        </w:rPr>
      </w:pPr>
      <w:r w:rsidRPr="00771368">
        <w:rPr>
          <w:rFonts w:eastAsia="Arial"/>
          <w:sz w:val="24"/>
          <w:szCs w:val="24"/>
        </w:rPr>
        <w:t>A real extensão da violência doméstica é ainda difícil de ser verificada, em razão de diversas variáveis implicadas. Desde as variações metodológicas quanto à definição de violência, ou tamanho da amostra, ou ainda quanto a metodologia adotada (HEISE; PITANGUY e GERMAIN, 1994).</w:t>
      </w:r>
    </w:p>
    <w:p w:rsidR="00D24E61" w:rsidRPr="00771368" w:rsidRDefault="00D24E61">
      <w:pPr>
        <w:spacing w:line="71" w:lineRule="exact"/>
        <w:rPr>
          <w:sz w:val="20"/>
          <w:szCs w:val="20"/>
        </w:rPr>
      </w:pPr>
    </w:p>
    <w:p w:rsidR="00D24E61" w:rsidRPr="00771368" w:rsidRDefault="00D24E61">
      <w:pPr>
        <w:spacing w:line="351" w:lineRule="auto"/>
        <w:ind w:firstLine="1133"/>
        <w:jc w:val="both"/>
        <w:rPr>
          <w:sz w:val="20"/>
          <w:szCs w:val="20"/>
        </w:rPr>
      </w:pPr>
      <w:r w:rsidRPr="00771368">
        <w:rPr>
          <w:rFonts w:eastAsia="Arial"/>
          <w:sz w:val="24"/>
          <w:szCs w:val="24"/>
        </w:rPr>
        <w:t>Além disso, alguns profissionais de saúde não estão em geral, habilitados especificamente para diagnosticar a presença da violência doméstica. Por isso, dificilmente irão indagar às vítimas sobre o assunto, durante a anamnese. No estudo de Rodriguez et al.(1999), apenas 9 a 11% dos médicos investigaram sobre a violência doméstica em pacientes procurando serviços de assistência primária à saúde.</w:t>
      </w:r>
    </w:p>
    <w:p w:rsidR="00D24E61" w:rsidRPr="00771368" w:rsidRDefault="00D24E61">
      <w:pPr>
        <w:spacing w:line="351" w:lineRule="auto"/>
        <w:ind w:firstLine="1133"/>
        <w:jc w:val="both"/>
        <w:rPr>
          <w:sz w:val="20"/>
          <w:szCs w:val="20"/>
        </w:rPr>
      </w:pPr>
      <w:r w:rsidRPr="00771368">
        <w:rPr>
          <w:rFonts w:eastAsia="Arial"/>
          <w:sz w:val="24"/>
          <w:szCs w:val="24"/>
        </w:rPr>
        <w:t>A partir dos resultados apresentados, pode-se concluir que a violência doméstica aponta não só para uma dinâmica viciosa que envolve privação e traumas, mas, essencialmente, aponta para uma profunda incapacidade dos membros familiares propiciar uma integração permanente de novas experiências que ampliem as possibilidades de reconhecimento de que algo precisa ser mudado em suas atitudes e percepções.</w:t>
      </w:r>
    </w:p>
    <w:p w:rsidR="00D24E61" w:rsidRPr="00771368" w:rsidRDefault="00D24E61">
      <w:pPr>
        <w:spacing w:line="63"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A formação dos profissionais que trabalham com famílias nas áreas de saúde, educação, direito ou social, tem demonstrado o quanto essas famílias podem ser ajudadas na recuperação das funções mentais suprimidas, de maneira a interromper esse circuito vicioso de violência e vulnerabilidade, principalmente dos incapazes.</w:t>
      </w:r>
    </w:p>
    <w:p w:rsidR="00D24E61" w:rsidRPr="00771368" w:rsidRDefault="00D24E61">
      <w:pPr>
        <w:spacing w:line="63" w:lineRule="exact"/>
        <w:rPr>
          <w:sz w:val="20"/>
          <w:szCs w:val="20"/>
        </w:rPr>
      </w:pPr>
    </w:p>
    <w:p w:rsidR="00D24E61" w:rsidRPr="00771368" w:rsidRDefault="00D24E61">
      <w:pPr>
        <w:spacing w:line="345" w:lineRule="auto"/>
        <w:ind w:firstLine="1133"/>
        <w:jc w:val="both"/>
        <w:rPr>
          <w:sz w:val="20"/>
          <w:szCs w:val="20"/>
        </w:rPr>
      </w:pPr>
      <w:r w:rsidRPr="00771368">
        <w:rPr>
          <w:rFonts w:eastAsia="Arial"/>
          <w:sz w:val="24"/>
          <w:szCs w:val="24"/>
        </w:rPr>
        <w:t>A possibilidade de estarem todos juntos, num mesmo espaço, sendo ao mesmo tempo testemunhas e vítimas do relato de cada um, abre um espaço para se discutir o funcionamento grupal, onde o outro pode estar sendo uma réplica do próprio eu.</w:t>
      </w:r>
    </w:p>
    <w:p w:rsidR="00D24E61" w:rsidRPr="00771368" w:rsidRDefault="00D24E61">
      <w:pPr>
        <w:spacing w:line="69" w:lineRule="exact"/>
        <w:rPr>
          <w:sz w:val="20"/>
          <w:szCs w:val="20"/>
        </w:rPr>
      </w:pPr>
    </w:p>
    <w:p w:rsidR="00D24E61" w:rsidRPr="00771368" w:rsidRDefault="00D24E61">
      <w:pPr>
        <w:spacing w:line="349" w:lineRule="auto"/>
        <w:ind w:firstLine="1133"/>
        <w:jc w:val="both"/>
        <w:rPr>
          <w:sz w:val="20"/>
          <w:szCs w:val="20"/>
        </w:rPr>
      </w:pPr>
      <w:r w:rsidRPr="00771368">
        <w:rPr>
          <w:rFonts w:eastAsia="Arial"/>
          <w:sz w:val="24"/>
          <w:szCs w:val="24"/>
        </w:rPr>
        <w:t>A complexidade da tarefa exigida dos profissionais envolvidos, requer muito estudo teórico, supervisão e auto-conhecimento. Frente à alta incidência de violência para com pessoas em situação de vulnerabilidade mental, tornam-se relevantes não apenas estudos estatísticos e revisões bibliográficas, mas também trabalhos de campo que envolvam um número maior de sujeitos e variáveis.</w:t>
      </w:r>
    </w:p>
    <w:p w:rsidR="00D24E61" w:rsidRPr="00771368" w:rsidRDefault="00D24E61">
      <w:pPr>
        <w:spacing w:line="65" w:lineRule="exact"/>
        <w:rPr>
          <w:sz w:val="20"/>
          <w:szCs w:val="20"/>
        </w:rPr>
      </w:pPr>
    </w:p>
    <w:p w:rsidR="00D24E61" w:rsidRPr="00771368" w:rsidRDefault="00D24E61">
      <w:pPr>
        <w:spacing w:line="337" w:lineRule="auto"/>
        <w:ind w:firstLine="1133"/>
        <w:jc w:val="both"/>
        <w:rPr>
          <w:sz w:val="20"/>
          <w:szCs w:val="20"/>
        </w:rPr>
      </w:pPr>
      <w:r w:rsidRPr="00771368">
        <w:rPr>
          <w:rFonts w:eastAsia="Arial"/>
          <w:sz w:val="24"/>
          <w:szCs w:val="24"/>
        </w:rPr>
        <w:t>Assim, o tema tomará uma maior abrangência e, poderá impactar com mais efetividade, os profissionais envolvidos com a temática, de forma a tentar minimizar esse desconcertante agravo para a saúde e para a sociedade.</w:t>
      </w:r>
    </w:p>
    <w:p w:rsidR="00D24E61" w:rsidRPr="00771368" w:rsidRDefault="00D24E61">
      <w:pPr>
        <w:spacing w:line="200" w:lineRule="exact"/>
        <w:rPr>
          <w:sz w:val="20"/>
          <w:szCs w:val="20"/>
        </w:rPr>
      </w:pPr>
    </w:p>
    <w:p w:rsidR="00D24E61" w:rsidRPr="00771368" w:rsidRDefault="00D24E61">
      <w:pPr>
        <w:spacing w:line="240" w:lineRule="exact"/>
        <w:rPr>
          <w:sz w:val="20"/>
          <w:szCs w:val="20"/>
        </w:rPr>
      </w:pPr>
    </w:p>
    <w:p w:rsidR="00D24E61" w:rsidRPr="00771368" w:rsidRDefault="00D24E61">
      <w:pPr>
        <w:rPr>
          <w:sz w:val="20"/>
          <w:szCs w:val="20"/>
        </w:rPr>
      </w:pPr>
      <w:r w:rsidRPr="00771368">
        <w:rPr>
          <w:rFonts w:eastAsia="Arial"/>
          <w:b/>
          <w:bCs/>
          <w:sz w:val="24"/>
          <w:szCs w:val="24"/>
        </w:rPr>
        <w:t>Referências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Pr="00771368" w:rsidRDefault="00D24E61">
      <w:pPr>
        <w:spacing w:line="316" w:lineRule="auto"/>
        <w:jc w:val="both"/>
        <w:rPr>
          <w:sz w:val="20"/>
          <w:szCs w:val="20"/>
        </w:rPr>
      </w:pPr>
      <w:r w:rsidRPr="00771368">
        <w:rPr>
          <w:rFonts w:eastAsia="Arial"/>
          <w:sz w:val="24"/>
          <w:szCs w:val="24"/>
        </w:rPr>
        <w:t xml:space="preserve">BALLONE, GJ - </w:t>
      </w:r>
      <w:r w:rsidRPr="00771368">
        <w:rPr>
          <w:rFonts w:eastAsia="Arial"/>
          <w:b/>
          <w:bCs/>
          <w:sz w:val="24"/>
          <w:szCs w:val="24"/>
        </w:rPr>
        <w:t>Deficiência Mental</w:t>
      </w:r>
      <w:r w:rsidRPr="00771368">
        <w:rPr>
          <w:rFonts w:eastAsia="Arial"/>
          <w:sz w:val="24"/>
          <w:szCs w:val="24"/>
        </w:rPr>
        <w:t xml:space="preserve"> – PsiqWeb, Internet, disponível em &lt;http://sites.uol.com.br/gballone/infantil/dm1.html, acesso em 20 de junho de 2010.</w:t>
      </w:r>
    </w:p>
    <w:p w:rsidR="00D24E61" w:rsidRPr="00771368" w:rsidRDefault="00D24E61">
      <w:pPr>
        <w:spacing w:line="200" w:lineRule="exact"/>
        <w:rPr>
          <w:sz w:val="20"/>
          <w:szCs w:val="20"/>
        </w:rPr>
      </w:pPr>
    </w:p>
    <w:p w:rsidR="00D24E61" w:rsidRPr="00771368" w:rsidRDefault="00D24E61">
      <w:pPr>
        <w:spacing w:line="317" w:lineRule="exact"/>
        <w:rPr>
          <w:sz w:val="20"/>
          <w:szCs w:val="20"/>
        </w:rPr>
      </w:pPr>
    </w:p>
    <w:p w:rsidR="00D24E61" w:rsidRPr="00771368" w:rsidRDefault="00D24E61">
      <w:pPr>
        <w:spacing w:line="314" w:lineRule="auto"/>
        <w:jc w:val="both"/>
        <w:rPr>
          <w:sz w:val="20"/>
          <w:szCs w:val="20"/>
        </w:rPr>
      </w:pPr>
      <w:r w:rsidRPr="00771368">
        <w:rPr>
          <w:rFonts w:eastAsia="Arial"/>
          <w:sz w:val="24"/>
          <w:szCs w:val="24"/>
        </w:rPr>
        <w:t xml:space="preserve">BASTOS, Celso Ribeiro. </w:t>
      </w:r>
      <w:r w:rsidRPr="00771368">
        <w:rPr>
          <w:rFonts w:eastAsia="Arial"/>
          <w:b/>
          <w:bCs/>
          <w:sz w:val="24"/>
          <w:szCs w:val="24"/>
        </w:rPr>
        <w:t>Curso de Direito Constitucional</w:t>
      </w:r>
      <w:r w:rsidRPr="00771368">
        <w:rPr>
          <w:rFonts w:eastAsia="Arial"/>
          <w:sz w:val="24"/>
          <w:szCs w:val="24"/>
        </w:rPr>
        <w:t>. São Paulo: Saraiva, 1978, p.225.</w:t>
      </w:r>
    </w:p>
    <w:p w:rsidR="009D5D08" w:rsidRDefault="009D5D08">
      <w:pPr>
        <w:spacing w:line="317" w:lineRule="auto"/>
        <w:jc w:val="both"/>
        <w:rPr>
          <w:rFonts w:eastAsia="Arial"/>
          <w:sz w:val="24"/>
          <w:szCs w:val="24"/>
        </w:rPr>
      </w:pPr>
    </w:p>
    <w:p w:rsidR="00D24E61" w:rsidRPr="00771368" w:rsidRDefault="00D24E61">
      <w:pPr>
        <w:spacing w:line="317" w:lineRule="auto"/>
        <w:jc w:val="both"/>
        <w:rPr>
          <w:sz w:val="20"/>
          <w:szCs w:val="20"/>
        </w:rPr>
      </w:pPr>
      <w:r w:rsidRPr="00771368">
        <w:rPr>
          <w:rFonts w:eastAsia="Arial"/>
          <w:sz w:val="24"/>
          <w:szCs w:val="24"/>
        </w:rPr>
        <w:t xml:space="preserve">BRASIL. MINISTÉRIO DA SAÚDE. </w:t>
      </w:r>
      <w:r w:rsidRPr="00771368">
        <w:rPr>
          <w:rFonts w:eastAsia="Arial"/>
          <w:b/>
          <w:bCs/>
          <w:sz w:val="24"/>
          <w:szCs w:val="24"/>
        </w:rPr>
        <w:t>Violência intrafamiliar: orientações para</w:t>
      </w:r>
      <w:r w:rsidRPr="00771368">
        <w:rPr>
          <w:rFonts w:eastAsia="Arial"/>
          <w:sz w:val="24"/>
          <w:szCs w:val="24"/>
        </w:rPr>
        <w:t xml:space="preserve"> </w:t>
      </w:r>
      <w:r w:rsidRPr="00771368">
        <w:rPr>
          <w:rFonts w:eastAsia="Arial"/>
          <w:b/>
          <w:bCs/>
          <w:sz w:val="24"/>
          <w:szCs w:val="24"/>
        </w:rPr>
        <w:t>prática em serviço</w:t>
      </w:r>
      <w:r w:rsidRPr="00771368">
        <w:rPr>
          <w:rFonts w:eastAsia="Arial"/>
          <w:sz w:val="24"/>
          <w:szCs w:val="24"/>
        </w:rPr>
        <w:t>. Brasília: Ministério da Saúde; 2001</w:t>
      </w:r>
    </w:p>
    <w:p w:rsidR="00D24E61" w:rsidRPr="00771368" w:rsidRDefault="00D24E61">
      <w:pPr>
        <w:spacing w:line="99" w:lineRule="exact"/>
        <w:rPr>
          <w:sz w:val="20"/>
          <w:szCs w:val="20"/>
        </w:rPr>
      </w:pPr>
    </w:p>
    <w:p w:rsidR="00D24E61" w:rsidRPr="00771368" w:rsidRDefault="00D24E61">
      <w:pPr>
        <w:spacing w:line="337" w:lineRule="auto"/>
        <w:jc w:val="both"/>
        <w:rPr>
          <w:sz w:val="20"/>
          <w:szCs w:val="20"/>
        </w:rPr>
      </w:pPr>
      <w:r w:rsidRPr="00771368">
        <w:rPr>
          <w:rFonts w:eastAsia="Arial"/>
          <w:sz w:val="24"/>
          <w:szCs w:val="24"/>
        </w:rPr>
        <w:t xml:space="preserve">BRUNO, Denise Duarte, Artigo sobre </w:t>
      </w:r>
      <w:r w:rsidRPr="00771368">
        <w:rPr>
          <w:rFonts w:eastAsia="Arial"/>
          <w:b/>
          <w:bCs/>
          <w:sz w:val="24"/>
          <w:szCs w:val="24"/>
        </w:rPr>
        <w:t>intimidade e racionalidade: a inter-relação</w:t>
      </w:r>
      <w:r w:rsidRPr="00771368">
        <w:rPr>
          <w:rFonts w:eastAsia="Arial"/>
          <w:sz w:val="24"/>
          <w:szCs w:val="24"/>
        </w:rPr>
        <w:t xml:space="preserve"> </w:t>
      </w:r>
      <w:r w:rsidRPr="00771368">
        <w:rPr>
          <w:rFonts w:eastAsia="Arial"/>
          <w:b/>
          <w:bCs/>
          <w:sz w:val="24"/>
          <w:szCs w:val="24"/>
        </w:rPr>
        <w:t>da família com o Direito</w:t>
      </w:r>
      <w:r w:rsidRPr="00771368">
        <w:rPr>
          <w:rFonts w:eastAsia="Arial"/>
          <w:sz w:val="24"/>
          <w:szCs w:val="24"/>
        </w:rPr>
        <w:t>. Rio Grande do Sul, 2005. Disponível em</w:t>
      </w:r>
      <w:r w:rsidRPr="00771368">
        <w:rPr>
          <w:rFonts w:eastAsia="Arial"/>
          <w:b/>
          <w:bCs/>
          <w:sz w:val="24"/>
          <w:szCs w:val="24"/>
        </w:rPr>
        <w:t xml:space="preserve"> </w:t>
      </w:r>
      <w:r w:rsidRPr="00771368">
        <w:rPr>
          <w:rFonts w:eastAsia="Arial"/>
          <w:sz w:val="24"/>
          <w:szCs w:val="24"/>
        </w:rPr>
        <w:t>&lt;www.scielo.br&gt;, acesso em 20 de junho de 2010.</w:t>
      </w:r>
    </w:p>
    <w:p w:rsidR="00D24E61" w:rsidRPr="00771368" w:rsidRDefault="00D24E61">
      <w:pPr>
        <w:spacing w:line="200" w:lineRule="exact"/>
        <w:rPr>
          <w:sz w:val="20"/>
          <w:szCs w:val="20"/>
        </w:rPr>
      </w:pPr>
    </w:p>
    <w:p w:rsidR="00D24E61" w:rsidRPr="00771368" w:rsidRDefault="00D24E61">
      <w:pPr>
        <w:spacing w:line="293" w:lineRule="exact"/>
        <w:rPr>
          <w:sz w:val="20"/>
          <w:szCs w:val="20"/>
        </w:rPr>
      </w:pPr>
    </w:p>
    <w:p w:rsidR="00D24E61" w:rsidRPr="00771368" w:rsidRDefault="00D24E61">
      <w:pPr>
        <w:spacing w:line="337" w:lineRule="auto"/>
        <w:ind w:right="20"/>
        <w:rPr>
          <w:rFonts w:eastAsia="Arial"/>
          <w:sz w:val="24"/>
          <w:szCs w:val="24"/>
        </w:rPr>
      </w:pPr>
      <w:r w:rsidRPr="00771368">
        <w:rPr>
          <w:rFonts w:eastAsia="Arial"/>
          <w:sz w:val="24"/>
          <w:szCs w:val="24"/>
        </w:rPr>
        <w:t xml:space="preserve">CAMARANO AA. Envelhecimento da população brasileira: uma contribuição demográfica. Texto para discussão nº 858 [online]. 2002; Disponível em: URL: </w:t>
      </w:r>
      <w:hyperlink r:id="rId120">
        <w:r w:rsidRPr="00771368">
          <w:rPr>
            <w:rFonts w:eastAsia="Arial"/>
            <w:sz w:val="24"/>
            <w:szCs w:val="24"/>
          </w:rPr>
          <w:t>http://www.ipea.gov.br/pub/td/2002/td_0858.pdf</w:t>
        </w:r>
      </w:hyperlink>
    </w:p>
    <w:p w:rsidR="00D24E61" w:rsidRPr="00771368" w:rsidRDefault="00D24E61">
      <w:pPr>
        <w:spacing w:line="200" w:lineRule="exact"/>
        <w:rPr>
          <w:sz w:val="20"/>
          <w:szCs w:val="20"/>
        </w:rPr>
      </w:pPr>
    </w:p>
    <w:p w:rsidR="00D24E61" w:rsidRPr="00771368" w:rsidRDefault="00D24E61">
      <w:pPr>
        <w:spacing w:line="294" w:lineRule="exact"/>
        <w:rPr>
          <w:sz w:val="20"/>
          <w:szCs w:val="20"/>
        </w:rPr>
      </w:pPr>
    </w:p>
    <w:p w:rsidR="00D24E61" w:rsidRPr="00771368" w:rsidRDefault="00D24E61">
      <w:pPr>
        <w:spacing w:line="316" w:lineRule="auto"/>
        <w:jc w:val="both"/>
        <w:rPr>
          <w:sz w:val="20"/>
          <w:szCs w:val="20"/>
        </w:rPr>
      </w:pPr>
      <w:r w:rsidRPr="00771368">
        <w:rPr>
          <w:rFonts w:eastAsia="Arial"/>
          <w:sz w:val="24"/>
          <w:szCs w:val="24"/>
        </w:rPr>
        <w:t xml:space="preserve">CUNHA, Rogério Sanches, </w:t>
      </w:r>
      <w:r w:rsidRPr="00771368">
        <w:rPr>
          <w:rFonts w:eastAsia="Arial"/>
          <w:b/>
          <w:bCs/>
          <w:sz w:val="24"/>
          <w:szCs w:val="24"/>
        </w:rPr>
        <w:t>violência doméstica.</w:t>
      </w:r>
      <w:r w:rsidRPr="00771368">
        <w:rPr>
          <w:rFonts w:eastAsia="Arial"/>
          <w:sz w:val="24"/>
          <w:szCs w:val="24"/>
        </w:rPr>
        <w:t xml:space="preserve"> São Paulo: Revista dos Tribunais, 2007.</w:t>
      </w:r>
    </w:p>
    <w:p w:rsidR="00D24E61" w:rsidRPr="00771368" w:rsidRDefault="00D24E61">
      <w:pPr>
        <w:spacing w:line="200" w:lineRule="exact"/>
        <w:rPr>
          <w:sz w:val="20"/>
          <w:szCs w:val="20"/>
        </w:rPr>
      </w:pPr>
    </w:p>
    <w:p w:rsidR="00D24E61" w:rsidRPr="00771368" w:rsidRDefault="00D24E61">
      <w:pPr>
        <w:spacing w:line="316" w:lineRule="exact"/>
        <w:rPr>
          <w:sz w:val="20"/>
          <w:szCs w:val="20"/>
        </w:rPr>
      </w:pPr>
    </w:p>
    <w:p w:rsidR="00D24E61" w:rsidRPr="00771368" w:rsidRDefault="00D24E61">
      <w:pPr>
        <w:spacing w:line="337" w:lineRule="auto"/>
        <w:jc w:val="both"/>
        <w:rPr>
          <w:sz w:val="20"/>
          <w:szCs w:val="20"/>
        </w:rPr>
      </w:pPr>
      <w:r w:rsidRPr="00771368">
        <w:rPr>
          <w:rFonts w:eastAsia="Arial"/>
          <w:sz w:val="24"/>
          <w:szCs w:val="24"/>
        </w:rPr>
        <w:t xml:space="preserve">FILHO, Waldyr Grisard, </w:t>
      </w:r>
      <w:r w:rsidRPr="00771368">
        <w:rPr>
          <w:rFonts w:eastAsia="Arial"/>
          <w:b/>
          <w:bCs/>
          <w:sz w:val="24"/>
          <w:szCs w:val="24"/>
        </w:rPr>
        <w:t>O recurso da mediação nos conflitos de família</w:t>
      </w:r>
      <w:r w:rsidRPr="00771368">
        <w:rPr>
          <w:rFonts w:eastAsia="Arial"/>
          <w:sz w:val="24"/>
          <w:szCs w:val="24"/>
        </w:rPr>
        <w:t>, artigo publicado na Rev. Brasileira de Direito de Família nº 14 , JUL-AGO-SET/2002, p. 11.</w:t>
      </w:r>
    </w:p>
    <w:p w:rsidR="00D24E61" w:rsidRPr="00771368" w:rsidRDefault="00D24E61">
      <w:pPr>
        <w:spacing w:line="200" w:lineRule="exact"/>
        <w:rPr>
          <w:sz w:val="20"/>
          <w:szCs w:val="20"/>
        </w:rPr>
      </w:pPr>
    </w:p>
    <w:p w:rsidR="00D24E61" w:rsidRPr="00771368" w:rsidRDefault="00D24E61">
      <w:pPr>
        <w:spacing w:line="293" w:lineRule="exact"/>
        <w:rPr>
          <w:sz w:val="20"/>
          <w:szCs w:val="20"/>
        </w:rPr>
      </w:pPr>
    </w:p>
    <w:p w:rsidR="00D24E61" w:rsidRPr="00D61223" w:rsidRDefault="00D24E61">
      <w:pPr>
        <w:spacing w:line="314" w:lineRule="auto"/>
        <w:jc w:val="both"/>
        <w:rPr>
          <w:sz w:val="20"/>
          <w:szCs w:val="20"/>
          <w:lang w:val="en-US"/>
        </w:rPr>
      </w:pPr>
      <w:r w:rsidRPr="00D61223">
        <w:rPr>
          <w:rFonts w:eastAsia="Arial"/>
          <w:sz w:val="24"/>
          <w:szCs w:val="24"/>
          <w:lang w:val="en-US"/>
        </w:rPr>
        <w:t xml:space="preserve">HEISE L, PITANGUY A, GERMAIN A. </w:t>
      </w:r>
      <w:r w:rsidRPr="00D61223">
        <w:rPr>
          <w:rFonts w:eastAsia="Arial"/>
          <w:b/>
          <w:bCs/>
          <w:sz w:val="24"/>
          <w:szCs w:val="24"/>
          <w:lang w:val="en-US"/>
        </w:rPr>
        <w:t>Violence against women: the hidden</w:t>
      </w:r>
      <w:r w:rsidRPr="00D61223">
        <w:rPr>
          <w:rFonts w:eastAsia="Arial"/>
          <w:sz w:val="24"/>
          <w:szCs w:val="24"/>
          <w:lang w:val="en-US"/>
        </w:rPr>
        <w:t xml:space="preserve"> </w:t>
      </w:r>
      <w:r w:rsidRPr="00D61223">
        <w:rPr>
          <w:rFonts w:eastAsia="Arial"/>
          <w:b/>
          <w:bCs/>
          <w:sz w:val="24"/>
          <w:szCs w:val="24"/>
          <w:lang w:val="en-US"/>
        </w:rPr>
        <w:t>health burden</w:t>
      </w:r>
      <w:r w:rsidRPr="00D61223">
        <w:rPr>
          <w:rFonts w:eastAsia="Arial"/>
          <w:sz w:val="24"/>
          <w:szCs w:val="24"/>
          <w:lang w:val="en-US"/>
        </w:rPr>
        <w:t>. 1st ed. Washington, DC: The World Bank; 1994.</w:t>
      </w:r>
    </w:p>
    <w:p w:rsidR="00D24E61" w:rsidRPr="00D61223" w:rsidRDefault="00D24E61">
      <w:pPr>
        <w:spacing w:line="200" w:lineRule="exact"/>
        <w:rPr>
          <w:sz w:val="20"/>
          <w:szCs w:val="20"/>
          <w:lang w:val="en-US"/>
        </w:rPr>
      </w:pPr>
    </w:p>
    <w:p w:rsidR="00D24E61" w:rsidRPr="00D61223" w:rsidRDefault="00D24E61">
      <w:pPr>
        <w:spacing w:line="319" w:lineRule="exact"/>
        <w:rPr>
          <w:sz w:val="20"/>
          <w:szCs w:val="20"/>
          <w:lang w:val="en-US"/>
        </w:rPr>
      </w:pPr>
    </w:p>
    <w:p w:rsidR="00D24E61" w:rsidRPr="00771368" w:rsidRDefault="00D24E61">
      <w:pPr>
        <w:spacing w:line="337" w:lineRule="auto"/>
        <w:rPr>
          <w:sz w:val="20"/>
          <w:szCs w:val="20"/>
        </w:rPr>
      </w:pPr>
      <w:r w:rsidRPr="00D61223">
        <w:rPr>
          <w:rFonts w:eastAsia="Arial"/>
          <w:sz w:val="24"/>
          <w:szCs w:val="24"/>
          <w:lang w:val="en-US"/>
        </w:rPr>
        <w:t xml:space="preserve">KLEINSCHMIDT KC. Elder abuse: a review. </w:t>
      </w:r>
      <w:r w:rsidRPr="00771368">
        <w:rPr>
          <w:rFonts w:eastAsia="Arial"/>
          <w:sz w:val="24"/>
          <w:szCs w:val="24"/>
        </w:rPr>
        <w:t xml:space="preserve">Ann Emerg Med 1997; 30(4): 463-72. MACHADO, Carla e Gonçalves, </w:t>
      </w:r>
      <w:r w:rsidRPr="00771368">
        <w:rPr>
          <w:rFonts w:eastAsia="Arial"/>
          <w:b/>
          <w:bCs/>
          <w:sz w:val="24"/>
          <w:szCs w:val="24"/>
        </w:rPr>
        <w:t>violência e vítimas de crimes</w:t>
      </w:r>
      <w:r w:rsidRPr="00771368">
        <w:rPr>
          <w:rFonts w:eastAsia="Arial"/>
          <w:i/>
          <w:iCs/>
          <w:sz w:val="24"/>
          <w:szCs w:val="24"/>
        </w:rPr>
        <w:t>.</w:t>
      </w:r>
      <w:r w:rsidRPr="00771368">
        <w:rPr>
          <w:rFonts w:eastAsia="Arial"/>
          <w:sz w:val="24"/>
          <w:szCs w:val="24"/>
        </w:rPr>
        <w:t xml:space="preserve"> Coimbra: Quarteto, 2003.</w:t>
      </w:r>
    </w:p>
    <w:p w:rsidR="00D24E61" w:rsidRPr="00771368" w:rsidRDefault="00D24E61">
      <w:pPr>
        <w:spacing w:line="200" w:lineRule="exact"/>
        <w:rPr>
          <w:sz w:val="20"/>
          <w:szCs w:val="20"/>
        </w:rPr>
      </w:pPr>
    </w:p>
    <w:p w:rsidR="00D24E61" w:rsidRPr="00771368" w:rsidRDefault="00D24E61">
      <w:pPr>
        <w:spacing w:line="293" w:lineRule="exact"/>
        <w:rPr>
          <w:sz w:val="20"/>
          <w:szCs w:val="20"/>
        </w:rPr>
      </w:pPr>
    </w:p>
    <w:p w:rsidR="00D24E61" w:rsidRPr="00771368" w:rsidRDefault="00D24E61">
      <w:pPr>
        <w:spacing w:line="337" w:lineRule="auto"/>
        <w:jc w:val="both"/>
        <w:rPr>
          <w:sz w:val="20"/>
          <w:szCs w:val="20"/>
        </w:rPr>
      </w:pPr>
      <w:r w:rsidRPr="00771368">
        <w:rPr>
          <w:rFonts w:eastAsia="Arial"/>
          <w:sz w:val="24"/>
          <w:szCs w:val="24"/>
        </w:rPr>
        <w:t xml:space="preserve">NERI AL, CARVALHO VAML. </w:t>
      </w:r>
      <w:r w:rsidRPr="00771368">
        <w:rPr>
          <w:rFonts w:eastAsia="Arial"/>
          <w:b/>
          <w:bCs/>
          <w:sz w:val="24"/>
          <w:szCs w:val="24"/>
        </w:rPr>
        <w:t>O bem-estar do cuidador: aspectos</w:t>
      </w:r>
      <w:r w:rsidRPr="00771368">
        <w:rPr>
          <w:rFonts w:eastAsia="Arial"/>
          <w:sz w:val="24"/>
          <w:szCs w:val="24"/>
        </w:rPr>
        <w:t xml:space="preserve"> </w:t>
      </w:r>
      <w:r w:rsidRPr="00771368">
        <w:rPr>
          <w:rFonts w:eastAsia="Arial"/>
          <w:b/>
          <w:bCs/>
          <w:sz w:val="24"/>
          <w:szCs w:val="24"/>
        </w:rPr>
        <w:t>psicossociais</w:t>
      </w:r>
      <w:r w:rsidRPr="00771368">
        <w:rPr>
          <w:rFonts w:eastAsia="Arial"/>
          <w:sz w:val="24"/>
          <w:szCs w:val="24"/>
        </w:rPr>
        <w:t>. In: Freitas EV, Xavier FA. Tratado de geriatria e gerontologia. Rio</w:t>
      </w:r>
      <w:r w:rsidRPr="00771368">
        <w:rPr>
          <w:rFonts w:eastAsia="Arial"/>
          <w:b/>
          <w:bCs/>
          <w:sz w:val="24"/>
          <w:szCs w:val="24"/>
        </w:rPr>
        <w:t xml:space="preserve"> </w:t>
      </w:r>
      <w:r w:rsidRPr="00771368">
        <w:rPr>
          <w:rFonts w:eastAsia="Arial"/>
          <w:sz w:val="24"/>
          <w:szCs w:val="24"/>
        </w:rPr>
        <w:t>de Janeiro: Guanabara Koogan; 2002. p. 778-90.</w:t>
      </w:r>
    </w:p>
    <w:p w:rsidR="00D24E61" w:rsidRPr="00771368" w:rsidRDefault="00D24E61">
      <w:pPr>
        <w:spacing w:line="200" w:lineRule="exact"/>
        <w:rPr>
          <w:sz w:val="20"/>
          <w:szCs w:val="20"/>
        </w:rPr>
      </w:pPr>
    </w:p>
    <w:p w:rsidR="00D24E61" w:rsidRPr="00771368" w:rsidRDefault="00D24E61">
      <w:pPr>
        <w:spacing w:line="294" w:lineRule="exact"/>
        <w:rPr>
          <w:sz w:val="20"/>
          <w:szCs w:val="20"/>
        </w:rPr>
      </w:pPr>
    </w:p>
    <w:p w:rsidR="00D24E61" w:rsidRPr="00771368" w:rsidRDefault="00D24E61">
      <w:pPr>
        <w:spacing w:line="337" w:lineRule="auto"/>
        <w:jc w:val="both"/>
        <w:rPr>
          <w:sz w:val="20"/>
          <w:szCs w:val="20"/>
        </w:rPr>
      </w:pPr>
      <w:r w:rsidRPr="00771368">
        <w:rPr>
          <w:rFonts w:eastAsia="Arial"/>
          <w:sz w:val="24"/>
          <w:szCs w:val="24"/>
        </w:rPr>
        <w:t xml:space="preserve">PERES, Vivian, Artigo publicado na Revista de Psiquiatria do Rio Grande do Sul, tema: </w:t>
      </w:r>
      <w:r w:rsidRPr="00771368">
        <w:rPr>
          <w:rFonts w:eastAsia="Arial"/>
          <w:b/>
          <w:bCs/>
          <w:sz w:val="24"/>
          <w:szCs w:val="24"/>
        </w:rPr>
        <w:t>violência doméstica e suas diferentes manifestações,</w:t>
      </w:r>
      <w:r w:rsidRPr="00771368">
        <w:rPr>
          <w:rFonts w:eastAsia="Arial"/>
          <w:sz w:val="24"/>
          <w:szCs w:val="24"/>
        </w:rPr>
        <w:t xml:space="preserve"> disponível em &lt;www.scielo.br&gt;, acesso em 01 de julho de 2010.</w:t>
      </w:r>
    </w:p>
    <w:p w:rsidR="00D24E61" w:rsidRPr="00771368" w:rsidRDefault="00D24E61">
      <w:pPr>
        <w:spacing w:line="170" w:lineRule="exact"/>
        <w:rPr>
          <w:sz w:val="20"/>
          <w:szCs w:val="20"/>
        </w:rPr>
      </w:pPr>
    </w:p>
    <w:p w:rsidR="00D24E61" w:rsidRPr="00771368" w:rsidRDefault="00D24E61">
      <w:pPr>
        <w:spacing w:line="315" w:lineRule="auto"/>
        <w:ind w:right="620"/>
        <w:rPr>
          <w:sz w:val="20"/>
          <w:szCs w:val="20"/>
        </w:rPr>
      </w:pPr>
      <w:r w:rsidRPr="00771368">
        <w:rPr>
          <w:rFonts w:eastAsia="Arial"/>
          <w:sz w:val="24"/>
          <w:szCs w:val="24"/>
        </w:rPr>
        <w:t xml:space="preserve">SANTOS, Ângela. </w:t>
      </w:r>
      <w:r w:rsidRPr="00771368">
        <w:rPr>
          <w:rFonts w:eastAsia="Arial"/>
          <w:b/>
          <w:bCs/>
          <w:sz w:val="24"/>
          <w:szCs w:val="24"/>
        </w:rPr>
        <w:t>Violência Domestica - Um caso exemplar</w:t>
      </w:r>
      <w:r w:rsidRPr="00771368">
        <w:rPr>
          <w:rFonts w:eastAsia="Arial"/>
          <w:sz w:val="24"/>
          <w:szCs w:val="24"/>
        </w:rPr>
        <w:t>. Disponível em &lt;www.mulheresnobrasil.org.br&gt; acesso em 20 de junho de 2010.</w:t>
      </w:r>
    </w:p>
    <w:p w:rsidR="00D24E61" w:rsidRPr="00771368" w:rsidRDefault="00D24E61">
      <w:pPr>
        <w:spacing w:line="104" w:lineRule="exact"/>
        <w:rPr>
          <w:sz w:val="20"/>
          <w:szCs w:val="20"/>
        </w:rPr>
      </w:pPr>
    </w:p>
    <w:p w:rsidR="00D24E61" w:rsidRPr="00771368" w:rsidRDefault="00D24E61">
      <w:pPr>
        <w:spacing w:line="337" w:lineRule="auto"/>
        <w:jc w:val="both"/>
        <w:rPr>
          <w:sz w:val="20"/>
          <w:szCs w:val="20"/>
        </w:rPr>
      </w:pPr>
      <w:r w:rsidRPr="00D61223">
        <w:rPr>
          <w:rFonts w:eastAsia="Arial"/>
          <w:sz w:val="24"/>
          <w:szCs w:val="24"/>
          <w:lang w:val="en-US"/>
        </w:rPr>
        <w:t xml:space="preserve">RODRIGUEZ MA, BAUER HM, MCLOUGHLIN E, GRUMBACH K. </w:t>
      </w:r>
      <w:r w:rsidRPr="00D61223">
        <w:rPr>
          <w:rFonts w:eastAsia="Arial"/>
          <w:b/>
          <w:bCs/>
          <w:sz w:val="24"/>
          <w:szCs w:val="24"/>
          <w:lang w:val="en-US"/>
        </w:rPr>
        <w:t>Screening and</w:t>
      </w:r>
      <w:r w:rsidRPr="00D61223">
        <w:rPr>
          <w:rFonts w:eastAsia="Arial"/>
          <w:sz w:val="24"/>
          <w:szCs w:val="24"/>
          <w:lang w:val="en-US"/>
        </w:rPr>
        <w:t xml:space="preserve"> </w:t>
      </w:r>
      <w:r w:rsidRPr="00D61223">
        <w:rPr>
          <w:rFonts w:eastAsia="Arial"/>
          <w:b/>
          <w:bCs/>
          <w:sz w:val="24"/>
          <w:szCs w:val="24"/>
          <w:lang w:val="en-US"/>
        </w:rPr>
        <w:t>intervention for intimate partner abuse: practices and attitudes of primary care physicians</w:t>
      </w:r>
      <w:r w:rsidRPr="00D61223">
        <w:rPr>
          <w:rFonts w:eastAsia="Arial"/>
          <w:sz w:val="24"/>
          <w:szCs w:val="24"/>
          <w:lang w:val="en-US"/>
        </w:rPr>
        <w:t xml:space="preserve">. </w:t>
      </w:r>
      <w:r w:rsidRPr="00771368">
        <w:rPr>
          <w:rFonts w:eastAsia="Arial"/>
          <w:sz w:val="24"/>
          <w:szCs w:val="24"/>
        </w:rPr>
        <w:t>JAMA 1999; 282:468- 74.</w:t>
      </w:r>
    </w:p>
    <w:p w:rsidR="00D24E61" w:rsidRPr="00771368" w:rsidRDefault="00D24E61">
      <w:pPr>
        <w:spacing w:line="200" w:lineRule="exact"/>
        <w:rPr>
          <w:sz w:val="20"/>
          <w:szCs w:val="20"/>
        </w:rPr>
      </w:pPr>
    </w:p>
    <w:p w:rsidR="00D24E61" w:rsidRPr="00771368" w:rsidRDefault="00D24E61">
      <w:pPr>
        <w:spacing w:line="293" w:lineRule="exact"/>
        <w:rPr>
          <w:sz w:val="20"/>
          <w:szCs w:val="20"/>
        </w:rPr>
      </w:pPr>
    </w:p>
    <w:p w:rsidR="00D24E61" w:rsidRPr="00771368" w:rsidRDefault="00D24E61">
      <w:pPr>
        <w:spacing w:line="337" w:lineRule="auto"/>
        <w:jc w:val="both"/>
        <w:rPr>
          <w:sz w:val="20"/>
          <w:szCs w:val="20"/>
        </w:rPr>
      </w:pPr>
      <w:r w:rsidRPr="00771368">
        <w:rPr>
          <w:rFonts w:eastAsia="Arial"/>
          <w:sz w:val="24"/>
          <w:szCs w:val="24"/>
        </w:rPr>
        <w:t xml:space="preserve">SOUZA AS, MEIRA EC, NERI IG. </w:t>
      </w:r>
      <w:r w:rsidRPr="00771368">
        <w:rPr>
          <w:rFonts w:eastAsia="Arial"/>
          <w:b/>
          <w:bCs/>
          <w:sz w:val="24"/>
          <w:szCs w:val="24"/>
        </w:rPr>
        <w:t>Fatores de risco de maus-tratos ao idoso na</w:t>
      </w:r>
      <w:r w:rsidRPr="00771368">
        <w:rPr>
          <w:rFonts w:eastAsia="Arial"/>
          <w:sz w:val="24"/>
          <w:szCs w:val="24"/>
        </w:rPr>
        <w:t xml:space="preserve"> </w:t>
      </w:r>
      <w:r w:rsidRPr="00771368">
        <w:rPr>
          <w:rFonts w:eastAsia="Arial"/>
          <w:b/>
          <w:bCs/>
          <w:sz w:val="24"/>
          <w:szCs w:val="24"/>
        </w:rPr>
        <w:t>relação idoso/cuidador em convivência intrafamiliar</w:t>
      </w:r>
      <w:r w:rsidRPr="00771368">
        <w:rPr>
          <w:rFonts w:eastAsia="Arial"/>
          <w:sz w:val="24"/>
          <w:szCs w:val="24"/>
        </w:rPr>
        <w:t>. Textos Envelhecimento</w:t>
      </w:r>
      <w:r w:rsidRPr="00771368">
        <w:rPr>
          <w:rFonts w:eastAsia="Arial"/>
          <w:b/>
          <w:bCs/>
          <w:sz w:val="24"/>
          <w:szCs w:val="24"/>
        </w:rPr>
        <w:t xml:space="preserve"> </w:t>
      </w:r>
      <w:r w:rsidRPr="00771368">
        <w:rPr>
          <w:rFonts w:eastAsia="Arial"/>
          <w:sz w:val="24"/>
          <w:szCs w:val="24"/>
        </w:rPr>
        <w:t>2004; 7(2): 63-84.</w:t>
      </w:r>
    </w:p>
    <w:p w:rsidR="00D24E61" w:rsidRPr="00771368" w:rsidRDefault="00D24E61">
      <w:pPr>
        <w:spacing w:line="200" w:lineRule="exact"/>
        <w:rPr>
          <w:sz w:val="20"/>
          <w:szCs w:val="20"/>
        </w:rPr>
      </w:pPr>
    </w:p>
    <w:p w:rsidR="00D24E61" w:rsidRPr="00771368" w:rsidRDefault="00D24E61">
      <w:pPr>
        <w:spacing w:line="294" w:lineRule="exact"/>
        <w:rPr>
          <w:sz w:val="20"/>
          <w:szCs w:val="20"/>
        </w:rPr>
      </w:pPr>
    </w:p>
    <w:p w:rsidR="00D24E61" w:rsidRPr="00771368" w:rsidRDefault="00D24E61">
      <w:pPr>
        <w:spacing w:line="344" w:lineRule="auto"/>
        <w:jc w:val="both"/>
        <w:rPr>
          <w:sz w:val="20"/>
          <w:szCs w:val="20"/>
        </w:rPr>
      </w:pPr>
      <w:r w:rsidRPr="00771368">
        <w:rPr>
          <w:rFonts w:eastAsia="Arial"/>
          <w:sz w:val="24"/>
          <w:szCs w:val="24"/>
        </w:rPr>
        <w:t xml:space="preserve">WILLIAMS, Lúcia Cavalcanti de Albuquerque, Artigo publicado na Rev. Bras. Ed. Esp., Marília, Jul.- Dez. 2003. </w:t>
      </w:r>
      <w:r w:rsidRPr="00771368">
        <w:rPr>
          <w:rFonts w:eastAsia="Arial"/>
          <w:b/>
          <w:bCs/>
          <w:sz w:val="24"/>
          <w:szCs w:val="24"/>
        </w:rPr>
        <w:t>Sobre deficiência e violência: reflexões para uma</w:t>
      </w:r>
      <w:r w:rsidRPr="00771368">
        <w:rPr>
          <w:rFonts w:eastAsia="Arial"/>
          <w:sz w:val="24"/>
          <w:szCs w:val="24"/>
        </w:rPr>
        <w:t xml:space="preserve"> </w:t>
      </w:r>
      <w:r w:rsidRPr="00771368">
        <w:rPr>
          <w:rFonts w:eastAsia="Arial"/>
          <w:b/>
          <w:bCs/>
          <w:sz w:val="24"/>
          <w:szCs w:val="24"/>
        </w:rPr>
        <w:t xml:space="preserve">análise de revisão de área. </w:t>
      </w:r>
      <w:r w:rsidRPr="00771368">
        <w:rPr>
          <w:rFonts w:eastAsia="Arial"/>
          <w:sz w:val="24"/>
          <w:szCs w:val="24"/>
        </w:rPr>
        <w:t>Disponível em &lt;www.scielo.br&gt;, acesso em 10 de</w:t>
      </w:r>
      <w:r w:rsidRPr="00771368">
        <w:rPr>
          <w:rFonts w:eastAsia="Arial"/>
          <w:b/>
          <w:bCs/>
          <w:sz w:val="24"/>
          <w:szCs w:val="24"/>
        </w:rPr>
        <w:t xml:space="preserve"> </w:t>
      </w:r>
      <w:r w:rsidRPr="00771368">
        <w:rPr>
          <w:rFonts w:eastAsia="Arial"/>
          <w:sz w:val="24"/>
          <w:szCs w:val="24"/>
        </w:rPr>
        <w:t>junho de 2010.</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ind w:left="100"/>
        <w:rPr>
          <w:sz w:val="20"/>
          <w:szCs w:val="20"/>
        </w:rPr>
      </w:pPr>
      <w:r w:rsidRPr="00771368">
        <w:rPr>
          <w:b/>
          <w:bCs/>
          <w:sz w:val="24"/>
          <w:szCs w:val="24"/>
        </w:rPr>
        <w:t>IFMA - INSTITUTO FEDERAL DE EDUCAÇÃO, CIÊNCIA E TECNOLOGIA</w:t>
      </w:r>
    </w:p>
    <w:p w:rsidR="00D24E61" w:rsidRPr="00771368" w:rsidRDefault="00D24E61">
      <w:pPr>
        <w:spacing w:line="44" w:lineRule="exact"/>
        <w:rPr>
          <w:sz w:val="20"/>
          <w:szCs w:val="20"/>
        </w:rPr>
      </w:pPr>
    </w:p>
    <w:p w:rsidR="00D24E61" w:rsidRPr="00771368" w:rsidRDefault="00D24E61">
      <w:pPr>
        <w:ind w:left="3300"/>
        <w:rPr>
          <w:sz w:val="20"/>
          <w:szCs w:val="20"/>
        </w:rPr>
      </w:pPr>
      <w:r w:rsidRPr="00771368">
        <w:rPr>
          <w:b/>
          <w:bCs/>
          <w:sz w:val="24"/>
          <w:szCs w:val="24"/>
        </w:rPr>
        <w:t>DO MARANHÃO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5" w:lineRule="exact"/>
        <w:rPr>
          <w:sz w:val="20"/>
          <w:szCs w:val="20"/>
        </w:rPr>
      </w:pPr>
    </w:p>
    <w:p w:rsidR="00D24E61" w:rsidRPr="00771368" w:rsidRDefault="00D24E61">
      <w:pPr>
        <w:ind w:left="560"/>
        <w:rPr>
          <w:sz w:val="20"/>
          <w:szCs w:val="20"/>
        </w:rPr>
      </w:pPr>
      <w:r w:rsidRPr="00771368">
        <w:rPr>
          <w:b/>
          <w:bCs/>
          <w:sz w:val="24"/>
          <w:szCs w:val="24"/>
        </w:rPr>
        <w:t>MULHERES MIL: A EXPERIÊNCIA DO INSTITUTO FEDERAL DE</w:t>
      </w:r>
    </w:p>
    <w:p w:rsidR="00D24E61" w:rsidRPr="00771368" w:rsidRDefault="00D24E61">
      <w:pPr>
        <w:spacing w:line="137" w:lineRule="exact"/>
        <w:rPr>
          <w:sz w:val="20"/>
          <w:szCs w:val="20"/>
        </w:rPr>
      </w:pPr>
    </w:p>
    <w:p w:rsidR="00D24E61" w:rsidRPr="00771368" w:rsidRDefault="00D24E61">
      <w:pPr>
        <w:ind w:left="20"/>
        <w:rPr>
          <w:sz w:val="20"/>
          <w:szCs w:val="20"/>
        </w:rPr>
      </w:pPr>
      <w:r w:rsidRPr="00771368">
        <w:rPr>
          <w:b/>
          <w:bCs/>
          <w:sz w:val="24"/>
          <w:szCs w:val="24"/>
        </w:rPr>
        <w:t>EDUCAÇÃO, CIÊNCIA E TECNOLOGIA DO MARANHÃO – CAMPUS CODÓ</w:t>
      </w:r>
    </w:p>
    <w:p w:rsidR="00D24E61" w:rsidRPr="00771368" w:rsidRDefault="00D24E61">
      <w:pPr>
        <w:spacing w:line="200" w:lineRule="exact"/>
        <w:rPr>
          <w:sz w:val="20"/>
          <w:szCs w:val="20"/>
        </w:rPr>
      </w:pPr>
    </w:p>
    <w:p w:rsidR="00D24E61" w:rsidRPr="00771368" w:rsidRDefault="00D24E61">
      <w:pPr>
        <w:spacing w:line="364" w:lineRule="exact"/>
        <w:rPr>
          <w:sz w:val="20"/>
          <w:szCs w:val="20"/>
        </w:rPr>
      </w:pPr>
    </w:p>
    <w:p w:rsidR="00D24E61" w:rsidRPr="00771368" w:rsidRDefault="00D24E61" w:rsidP="009D5D08">
      <w:pPr>
        <w:pStyle w:val="Ttulo1"/>
        <w:rPr>
          <w:sz w:val="20"/>
          <w:szCs w:val="20"/>
        </w:rPr>
      </w:pPr>
      <w:bookmarkStart w:id="45" w:name="_Toc442034734"/>
      <w:r w:rsidRPr="00771368">
        <w:t>Adriana Beserra Silva</w:t>
      </w:r>
      <w:bookmarkEnd w:id="45"/>
    </w:p>
    <w:p w:rsidR="00D24E61" w:rsidRPr="00771368" w:rsidRDefault="00D24E61">
      <w:pPr>
        <w:spacing w:line="194" w:lineRule="exact"/>
        <w:rPr>
          <w:sz w:val="20"/>
          <w:szCs w:val="20"/>
        </w:rPr>
      </w:pPr>
    </w:p>
    <w:p w:rsidR="00D24E61" w:rsidRPr="00771368" w:rsidRDefault="00D24E61">
      <w:pPr>
        <w:spacing w:line="354" w:lineRule="auto"/>
        <w:jc w:val="both"/>
        <w:rPr>
          <w:sz w:val="20"/>
          <w:szCs w:val="20"/>
        </w:rPr>
      </w:pPr>
      <w:r w:rsidRPr="00771368">
        <w:rPr>
          <w:b/>
          <w:bCs/>
          <w:sz w:val="24"/>
          <w:szCs w:val="24"/>
        </w:rPr>
        <w:t xml:space="preserve">Resumo: </w:t>
      </w:r>
      <w:r w:rsidRPr="00771368">
        <w:rPr>
          <w:sz w:val="24"/>
          <w:szCs w:val="24"/>
        </w:rPr>
        <w:t>O presente trabalho tem como objetivo precípuo descrever a experiência do</w:t>
      </w:r>
      <w:r w:rsidRPr="00771368">
        <w:rPr>
          <w:b/>
          <w:bCs/>
          <w:sz w:val="24"/>
          <w:szCs w:val="24"/>
        </w:rPr>
        <w:t xml:space="preserve"> </w:t>
      </w:r>
      <w:r w:rsidRPr="00771368">
        <w:rPr>
          <w:sz w:val="24"/>
          <w:szCs w:val="24"/>
        </w:rPr>
        <w:t xml:space="preserve">Projeto Mulheres Mil no Instituto Federal de Educação, Ciência e Tecnologia do Maranhão – </w:t>
      </w:r>
      <w:r w:rsidRPr="00771368">
        <w:rPr>
          <w:i/>
          <w:iCs/>
          <w:sz w:val="24"/>
          <w:szCs w:val="24"/>
        </w:rPr>
        <w:t>Campus</w:t>
      </w:r>
      <w:r w:rsidRPr="00771368">
        <w:rPr>
          <w:sz w:val="24"/>
          <w:szCs w:val="24"/>
        </w:rPr>
        <w:t xml:space="preserve"> Codó, bem como seus impactos para a expansão do Programa Mulheres Mil enquanto uma ferramenta educacional para o benefício de mulheres em situação de vulnerabilidade social e excluídas da sua cidadania possibilitando a sua inserção na educação profissional e à elevação da escolaridade. Estruturado em três eixos – Educação, Cidadania e Desenvolvimento Sustentável – o programa possibilita a inclusão social, por meio da oferta de formação focada na autonomia e na criação de alternativas para a inserção no mundo do trabalho, para que essas mulheres consigam melhorar a qualidade de suas vidas e de suas comunidades. Nessa perspectiva o IFMA –</w:t>
      </w:r>
    </w:p>
    <w:p w:rsidR="00D24E61" w:rsidRPr="00771368" w:rsidRDefault="00D24E61">
      <w:pPr>
        <w:spacing w:line="70" w:lineRule="exact"/>
        <w:rPr>
          <w:sz w:val="20"/>
          <w:szCs w:val="20"/>
        </w:rPr>
      </w:pPr>
    </w:p>
    <w:p w:rsidR="00D24E61" w:rsidRPr="00771368" w:rsidRDefault="00D24E61">
      <w:pPr>
        <w:spacing w:line="356" w:lineRule="auto"/>
        <w:jc w:val="both"/>
        <w:rPr>
          <w:sz w:val="20"/>
          <w:szCs w:val="20"/>
        </w:rPr>
      </w:pPr>
      <w:r w:rsidRPr="00771368">
        <w:rPr>
          <w:i/>
          <w:iCs/>
          <w:sz w:val="24"/>
          <w:szCs w:val="24"/>
        </w:rPr>
        <w:t xml:space="preserve">Campus </w:t>
      </w:r>
      <w:r w:rsidRPr="00771368">
        <w:rPr>
          <w:sz w:val="24"/>
          <w:szCs w:val="24"/>
        </w:rPr>
        <w:t>Codó está desenvolvendo esta experiência viabilizando o ingresso e a</w:t>
      </w:r>
      <w:r w:rsidRPr="00771368">
        <w:rPr>
          <w:i/>
          <w:iCs/>
          <w:sz w:val="24"/>
          <w:szCs w:val="24"/>
        </w:rPr>
        <w:t xml:space="preserve"> </w:t>
      </w:r>
      <w:r w:rsidRPr="00771368">
        <w:rPr>
          <w:sz w:val="24"/>
          <w:szCs w:val="24"/>
        </w:rPr>
        <w:t xml:space="preserve">permanência com êxito da população feminina das comunidades que ficam localizadas no entorno do Instituto Federal. O Projeto surge como uma possibilidade de aliar a educação ao trabalho, visando à diminuição de problemas sociais em comunidades de baixo índice de desenvolvimento humano. Enquanto ação nacional, essa iniciativa pode assumir papel importante no objetivo governamental de erradicação da miséria no país até 2014. Neste contexto, se apresenta a experiência do Programa Mulheres Mil no Município de Codó-MA, por se tratar de um município que tem elevada concentração de pessoas em situação de extrema pobreza e por possuir um Índice de Desenvolvimento Humano - IDH correspondente a 0, 558, segundo dados do Instituto Brasileiro de Geografia e Estatística-IBGE (2009). O Município depara-se com diversos impactos sociais, tais como aumento da prostituição e exploração sexual infantil e aumento da violência doméstica. Com o afã de promover o acesso à educação profissional, a ascensão da escolaridade, elevação da autoestima, consciência dos direitos sociais e políticos, inclusão digital dessas mulheres, entre outros, o Instituto Federal de Educação, Ciência e Tecnologia do Maranhão - </w:t>
      </w:r>
      <w:r w:rsidRPr="00771368">
        <w:rPr>
          <w:i/>
          <w:iCs/>
          <w:sz w:val="24"/>
          <w:szCs w:val="24"/>
        </w:rPr>
        <w:t>Campus</w:t>
      </w:r>
      <w:r w:rsidRPr="00771368">
        <w:rPr>
          <w:sz w:val="24"/>
          <w:szCs w:val="24"/>
        </w:rPr>
        <w:t xml:space="preserve"> Codó, aderiu ao Programa na Chamada Pública MEC/SETEC - 06/2012, para atender mulheres no</w:t>
      </w:r>
    </w:p>
    <w:p w:rsidR="00D24E61" w:rsidRPr="00771368" w:rsidRDefault="00D24E61">
      <w:pPr>
        <w:sectPr w:rsidR="00D24E61" w:rsidRPr="00771368">
          <w:pgSz w:w="11900" w:h="16838"/>
          <w:pgMar w:top="1413" w:right="1700" w:bottom="1089"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56" w:lineRule="auto"/>
        <w:jc w:val="both"/>
        <w:rPr>
          <w:sz w:val="20"/>
          <w:szCs w:val="20"/>
        </w:rPr>
      </w:pPr>
      <w:r w:rsidRPr="00771368">
        <w:rPr>
          <w:sz w:val="24"/>
          <w:szCs w:val="24"/>
        </w:rPr>
        <w:t xml:space="preserve">período de 2012/2013 em Cursos Básico de Qualificação Profissional nas áreas de Artesanato e Panificação. No respectivo município, foram beneficiadas 100 (cem) mulheres que estão à margem da exclusão social em todas as suas dimensões pertencentes às comunidades que fazem parte do Município de Codó. A relevância desta experiência está contida na problemática das minorias que estão à margem de políticas públicas compensatórias e reparadoras para a igualdade de gênero. Porém, o que se observa é que gradativamente o Projeto Mulheres Mil vem se expandindo na Rede Federal de Educação e ganhando espaço nos meios midiáticos, ambiência nas discussões acadêmicas e políticas, sendo reflexo das lutas sociais pela igualdade e eqüidade de gênero no país e sendo passível de pesquisa científica e/ou tecnológica. É com essa proposta que o Instituto Federal de Educação, Ciência e Tecnologia do Maranhão – </w:t>
      </w:r>
      <w:r w:rsidRPr="00771368">
        <w:rPr>
          <w:i/>
          <w:iCs/>
          <w:sz w:val="24"/>
          <w:szCs w:val="24"/>
        </w:rPr>
        <w:t>Campus</w:t>
      </w:r>
      <w:r w:rsidRPr="00771368">
        <w:rPr>
          <w:sz w:val="24"/>
          <w:szCs w:val="24"/>
        </w:rPr>
        <w:t xml:space="preserve"> Codó, se apresenta enquanto </w:t>
      </w:r>
      <w:r w:rsidRPr="00771368">
        <w:rPr>
          <w:i/>
          <w:iCs/>
          <w:sz w:val="24"/>
          <w:szCs w:val="24"/>
        </w:rPr>
        <w:t>locus</w:t>
      </w:r>
      <w:r w:rsidRPr="00771368">
        <w:rPr>
          <w:sz w:val="24"/>
          <w:szCs w:val="24"/>
        </w:rPr>
        <w:t xml:space="preserve"> legítimo do Programa Mulheres Mil com a intenção de agregar valor ao processo de acesso, reconhecendo a aprendizagem prévia dessas mulheres, respeitando sua trajetória de vida e sua construção social. Destarte, considero como relevante esta experiência, uma vez que visa fomentar a eqüidade de gênero, a emancipação e o empoderamento das mulheres por meio do acesso à educação e ao mundo do trabalho.</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ind w:left="60"/>
        <w:rPr>
          <w:sz w:val="20"/>
          <w:szCs w:val="20"/>
        </w:rPr>
      </w:pPr>
      <w:r w:rsidRPr="00771368">
        <w:rPr>
          <w:b/>
          <w:bCs/>
          <w:sz w:val="24"/>
          <w:szCs w:val="24"/>
        </w:rPr>
        <w:t xml:space="preserve">Palavras-chave: </w:t>
      </w:r>
      <w:r w:rsidRPr="00771368">
        <w:rPr>
          <w:sz w:val="24"/>
          <w:szCs w:val="24"/>
        </w:rPr>
        <w:t>Acesso; Educação; Cidadania; Mulheres; Vulnerabilidade.</w:t>
      </w:r>
    </w:p>
    <w:p w:rsidR="009D5D08" w:rsidRDefault="009D5D08">
      <w:pPr>
        <w:rPr>
          <w:b/>
          <w:bCs/>
          <w:sz w:val="24"/>
          <w:szCs w:val="24"/>
        </w:rPr>
      </w:pPr>
    </w:p>
    <w:p w:rsidR="00D24E61" w:rsidRPr="00771368" w:rsidRDefault="00D24E61">
      <w:pPr>
        <w:rPr>
          <w:sz w:val="20"/>
          <w:szCs w:val="20"/>
        </w:rPr>
      </w:pPr>
      <w:r w:rsidRPr="00771368">
        <w:rPr>
          <w:b/>
          <w:bCs/>
          <w:sz w:val="24"/>
          <w:szCs w:val="24"/>
        </w:rPr>
        <w:t>1. INTRODUÇÃO</w:t>
      </w:r>
    </w:p>
    <w:p w:rsidR="00D24E61" w:rsidRPr="00771368" w:rsidRDefault="00D24E61">
      <w:pPr>
        <w:spacing w:line="193" w:lineRule="exact"/>
        <w:rPr>
          <w:sz w:val="20"/>
          <w:szCs w:val="20"/>
        </w:rPr>
      </w:pPr>
    </w:p>
    <w:p w:rsidR="00D24E61" w:rsidRPr="00771368" w:rsidRDefault="00D24E61">
      <w:pPr>
        <w:spacing w:line="355" w:lineRule="auto"/>
        <w:ind w:firstLine="708"/>
        <w:jc w:val="both"/>
        <w:rPr>
          <w:sz w:val="20"/>
          <w:szCs w:val="20"/>
        </w:rPr>
      </w:pPr>
      <w:r w:rsidRPr="00771368">
        <w:rPr>
          <w:sz w:val="24"/>
          <w:szCs w:val="24"/>
        </w:rPr>
        <w:t>Constituídos pela Lei Federal nº 11.892/2008, os Institutos Federais de Educação, Ciência e Tecnologia, nos art.2, §2, art.6º, §I, IV, IX; art.7º, §II, V, obrigam-se a criar mecanismos para a promoção do acesso das populações tradicionalmente afastadas da possibilidade de inclusão ao conhecimento, à tecnologia e à inovação, gerados nos Institutos Federais, sendo-lhes atribuídas as responsabilidades de promover a educação profissional e tecnológica para jovens e adultos, por meio da Formação Inicial e Continuada, atendendo as demandas sociais e peculiaridades regionais (BRASIL, 2008). O Programa Nacional Mulheres Mil, instituído pela Portaria Nº 1.015, de 21 de julho de 2011, vem a ser um desses mecanismos de atendimento à formação profissional e tecnológica, em consonância com a elevação da escolaridade de mulheres em situação de vulnerabilidade social. O Programa deve ser ofertado por Instituições de Educação Profissional e Tecnológica e permite parceria com instituições de ensino regular (BRASIL, 2011).</w:t>
      </w:r>
    </w:p>
    <w:p w:rsidR="00D24E61" w:rsidRPr="00771368" w:rsidRDefault="00D24E61">
      <w:pPr>
        <w:spacing w:line="75" w:lineRule="exact"/>
        <w:rPr>
          <w:sz w:val="20"/>
          <w:szCs w:val="20"/>
        </w:rPr>
      </w:pPr>
    </w:p>
    <w:p w:rsidR="00D24E61" w:rsidRPr="00771368" w:rsidRDefault="00D24E61">
      <w:pPr>
        <w:spacing w:line="353" w:lineRule="auto"/>
        <w:ind w:firstLine="708"/>
        <w:jc w:val="both"/>
        <w:rPr>
          <w:sz w:val="20"/>
          <w:szCs w:val="20"/>
        </w:rPr>
      </w:pPr>
      <w:r w:rsidRPr="00771368">
        <w:rPr>
          <w:sz w:val="24"/>
          <w:szCs w:val="24"/>
        </w:rPr>
        <w:t>As diretrizes estabelecidas pelo programa são: o acesso à educação, a contribuição para a redução das desigualdades sociais e econômicas de mulheres, a defesa da igualdade de gênero, o combate à violência à mulher e a promoção da inclusão social. Em 1992, as mulheres eram referência para aproximadamente 22% das famílias brasileiras e em 2002, passaram a ser referência para próximo de 29% das famílias. Esta tendência de crescimento ocorreu de forma diferente entre as regiões do país e foi mais acentuada nas regiões metropolitanas (PNAS, 2004). Observamos que as mulheres ocupam espaços sociais na família antes referência do homem, hoje muita mulheres ocupa espaços de provedoras dos lares.</w:t>
      </w:r>
    </w:p>
    <w:p w:rsidR="00D24E61" w:rsidRPr="00771368" w:rsidRDefault="00D24E61">
      <w:pPr>
        <w:spacing w:line="74" w:lineRule="exact"/>
        <w:rPr>
          <w:sz w:val="20"/>
          <w:szCs w:val="20"/>
        </w:rPr>
      </w:pPr>
    </w:p>
    <w:p w:rsidR="00D24E61" w:rsidRPr="00771368" w:rsidRDefault="00D24E61">
      <w:pPr>
        <w:spacing w:line="354" w:lineRule="auto"/>
        <w:ind w:firstLine="708"/>
        <w:jc w:val="both"/>
        <w:rPr>
          <w:sz w:val="20"/>
          <w:szCs w:val="20"/>
        </w:rPr>
      </w:pPr>
      <w:r w:rsidRPr="00771368">
        <w:rPr>
          <w:sz w:val="24"/>
          <w:szCs w:val="24"/>
        </w:rPr>
        <w:t>Partindo-se do princípio de se trabalhar com as mulheres, tornando-as protagonista na busca pela sua cidadania, o Projeto Mulheres Mil propicia a estas mulheres a possibilidade de produzir mudanças significativas em suas vidas, no que concerne ao seu processo de emancipação, bem como propiciar mudanças em sua família e suas comunidades. A operacionalização deste projeto intenciona contribuir para a implementação de políticas públicas voltadas para as mulheres, a partir do entendimento de que o trabalho com este recorte de gênero em especial requer mais ações que atendam as demandas que já se apresentam e as demais que vão surgindo no cotidiano. Neste sentido, vale lembrar que esse processo de formação inclusiva tende a contribuir positivamente para que jovens e adultas trabalhadoras, desempregadas e/ou subempregadas, superem suas condições precárias de vida, sendo capazes de imprimir a</w:t>
      </w:r>
    </w:p>
    <w:p w:rsidR="00D24E61" w:rsidRPr="00771368" w:rsidRDefault="00D24E61">
      <w:pPr>
        <w:spacing w:line="27" w:lineRule="exact"/>
        <w:rPr>
          <w:sz w:val="20"/>
          <w:szCs w:val="20"/>
        </w:rPr>
      </w:pPr>
    </w:p>
    <w:p w:rsidR="00D24E61" w:rsidRPr="00771368" w:rsidRDefault="00D24E61">
      <w:pPr>
        <w:spacing w:line="347" w:lineRule="auto"/>
        <w:jc w:val="both"/>
        <w:rPr>
          <w:sz w:val="20"/>
          <w:szCs w:val="20"/>
        </w:rPr>
      </w:pPr>
      <w:r w:rsidRPr="00771368">
        <w:rPr>
          <w:sz w:val="24"/>
          <w:szCs w:val="24"/>
        </w:rPr>
        <w:t xml:space="preserve">suas vidas a merecida mobilidade social, a qual, certamente, lhes trará melhores condições de vida. Implantado no </w:t>
      </w:r>
      <w:r w:rsidRPr="00771368">
        <w:rPr>
          <w:i/>
          <w:iCs/>
          <w:sz w:val="24"/>
          <w:szCs w:val="24"/>
        </w:rPr>
        <w:t>Campus</w:t>
      </w:r>
      <w:r w:rsidRPr="00771368">
        <w:rPr>
          <w:sz w:val="24"/>
          <w:szCs w:val="24"/>
        </w:rPr>
        <w:t xml:space="preserve"> Codó, o Programa Mulheres Mil está inserido no rol de obrigações institucionais consagradas em Legislação Federal e no ordenamento jurídico do Instituto Federal de Educação, Ciência e Tecnologia do Maranhão, como uma de suas áreas temáticas de atuação.</w:t>
      </w:r>
    </w:p>
    <w:p w:rsidR="00D24E61" w:rsidRPr="00771368" w:rsidRDefault="00D24E61">
      <w:pPr>
        <w:spacing w:line="77" w:lineRule="exact"/>
        <w:rPr>
          <w:sz w:val="20"/>
          <w:szCs w:val="20"/>
        </w:rPr>
      </w:pPr>
    </w:p>
    <w:p w:rsidR="00D24E61" w:rsidRPr="00771368" w:rsidRDefault="00D24E61">
      <w:pPr>
        <w:spacing w:line="356" w:lineRule="auto"/>
        <w:ind w:firstLine="708"/>
        <w:jc w:val="both"/>
        <w:rPr>
          <w:sz w:val="20"/>
          <w:szCs w:val="20"/>
        </w:rPr>
      </w:pPr>
      <w:r w:rsidRPr="00771368">
        <w:rPr>
          <w:sz w:val="24"/>
          <w:szCs w:val="24"/>
        </w:rPr>
        <w:t xml:space="preserve">Esse Programa tem como objetivo ainda fomentar a construção de uma identidade do sujeito individual e coletivo, capaz de lidar com o avanço da Ciência e da Tecnologia, de compreender a realidade econômica, política, cultural e do mundo do trabalho para nela atuar, construir e transformar, de maneira ética e cidadã. Ele vem atender a uma necessidade histórica de inserção profissional da mulher, que, há muito, sofre um elevado grau de discriminação, não só no que tange à qualidade das ocupações que lhes têm sido criadas, tanto no setor formal como no informal do mercado de trabalho, mas principalmente no que se refere à desigualdade salarial de que é vítima, apesar da evidente mudança nos arranjos familiares, que se reflete, sobretudo, na pessoa de referência da família, já que no Brasil, da década passada até 2002, houve um crescimento de 30% da participação da mulher como pessoa de referência da família (PNAS, 2004). O Programa Mulheres Mil desenvolvido no </w:t>
      </w:r>
      <w:r w:rsidRPr="00771368">
        <w:rPr>
          <w:i/>
          <w:iCs/>
          <w:sz w:val="24"/>
          <w:szCs w:val="24"/>
        </w:rPr>
        <w:t>Campus</w:t>
      </w:r>
      <w:r w:rsidRPr="00771368">
        <w:rPr>
          <w:sz w:val="24"/>
          <w:szCs w:val="24"/>
        </w:rPr>
        <w:t xml:space="preserve"> Codó busca fornecer as ferramentas e os caminhos às mulheres em situação de vulnerabilidade social, de algumas comunidades do município de Codó, a exemplo de Codó Novo, Barra do Saco, Santa Filomena, São Pedro, São Sebastião, Nova Jerusalém, Santa Terezinha entre outras. Mulheres essas com perfis diversos e difusos, pois na sua maioria são domésticas, costureiras, extrativistas, lavradoras.</w:t>
      </w:r>
    </w:p>
    <w:p w:rsidR="00D24E61" w:rsidRPr="00771368" w:rsidRDefault="00D24E61">
      <w:pPr>
        <w:spacing w:line="20" w:lineRule="exact"/>
        <w:rPr>
          <w:sz w:val="20"/>
          <w:szCs w:val="20"/>
        </w:rPr>
      </w:pPr>
    </w:p>
    <w:p w:rsidR="00D24E61" w:rsidRPr="00771368" w:rsidRDefault="00D24E61">
      <w:pPr>
        <w:ind w:left="720"/>
        <w:rPr>
          <w:sz w:val="20"/>
          <w:szCs w:val="20"/>
        </w:rPr>
      </w:pPr>
      <w:r w:rsidRPr="00771368">
        <w:rPr>
          <w:sz w:val="24"/>
          <w:szCs w:val="24"/>
        </w:rPr>
        <w:t>Dentro dessa estimativa, muitas mulheres perdem sua identidade social: são as</w:t>
      </w:r>
    </w:p>
    <w:p w:rsidR="00D24E61" w:rsidRPr="00771368" w:rsidRDefault="00D24E61">
      <w:pPr>
        <w:spacing w:line="197" w:lineRule="exact"/>
        <w:rPr>
          <w:sz w:val="20"/>
          <w:szCs w:val="20"/>
        </w:rPr>
      </w:pPr>
    </w:p>
    <w:p w:rsidR="00D24E61" w:rsidRPr="00771368" w:rsidRDefault="00D24E61" w:rsidP="009D5D08">
      <w:pPr>
        <w:spacing w:line="354" w:lineRule="auto"/>
        <w:jc w:val="both"/>
        <w:rPr>
          <w:sz w:val="20"/>
          <w:szCs w:val="20"/>
        </w:rPr>
      </w:pPr>
      <w:r w:rsidRPr="00771368">
        <w:rPr>
          <w:sz w:val="24"/>
          <w:szCs w:val="24"/>
        </w:rPr>
        <w:t>“MARIAS” tão somente, dentre tantas outras. Espera-se que, com as diretrizes estabelecidas pelo Programa Mulheres Mil, mediante desenvolvimento de um trabalho balizado pelos eixos da Educação, Cidadania e Desenvolvimento Sustentável, haja o crescimento pessoal/profissional e elevação da auto-estima dessas mulheres, a fim de que elas possam assumir seu papel e lugar social, com identidade própria, com voz e vez, conforme preconiza a denominação do Projeto</w:t>
      </w:r>
      <w:r w:rsidRPr="00771368">
        <w:rPr>
          <w:i/>
          <w:iCs/>
          <w:sz w:val="24"/>
          <w:szCs w:val="24"/>
        </w:rPr>
        <w:t>.</w:t>
      </w:r>
      <w:r w:rsidRPr="00771368">
        <w:rPr>
          <w:sz w:val="24"/>
          <w:szCs w:val="24"/>
        </w:rPr>
        <w:t xml:space="preserve"> Nesse cenário, o Programa Mulheres Mil apresenta-se como uma possibilidade concreta de valorização de formação profissional e elevação da empregabilidade, através de uma perspectiva de sustentabilidade social, que está ligada intimamente à idéia de garantia direitos e melhoria da qualidade de vida dos cidadãos. O Programa Mulheres Mil desenvolvido no IFMA - </w:t>
      </w:r>
      <w:r w:rsidRPr="00771368">
        <w:rPr>
          <w:i/>
          <w:iCs/>
          <w:sz w:val="24"/>
          <w:szCs w:val="24"/>
        </w:rPr>
        <w:t>Campus</w:t>
      </w:r>
      <w:r w:rsidRPr="00771368">
        <w:rPr>
          <w:sz w:val="24"/>
          <w:szCs w:val="24"/>
        </w:rPr>
        <w:t xml:space="preserve"> Codó possui uma equipe Multidisciplinar composta por Coordenadores</w:t>
      </w:r>
      <w:r w:rsidR="009D5D08">
        <w:rPr>
          <w:sz w:val="24"/>
          <w:szCs w:val="24"/>
        </w:rPr>
        <w:t xml:space="preserve"> </w:t>
      </w:r>
      <w:r w:rsidRPr="00771368">
        <w:rPr>
          <w:sz w:val="24"/>
          <w:szCs w:val="24"/>
        </w:rPr>
        <w:t>do Programa, Discentes e Funcionários do Instituto Federal com o objetivo de ordenar e</w:t>
      </w:r>
      <w:r w:rsidR="009D5D08">
        <w:rPr>
          <w:sz w:val="24"/>
          <w:szCs w:val="24"/>
        </w:rPr>
        <w:t xml:space="preserve"> </w:t>
      </w:r>
      <w:r w:rsidRPr="00771368">
        <w:rPr>
          <w:sz w:val="24"/>
          <w:szCs w:val="24"/>
        </w:rPr>
        <w:t>desenvolver as atividades do Programa com maior agilidade, competência e êxito.</w:t>
      </w:r>
    </w:p>
    <w:p w:rsidR="00D24E61" w:rsidRPr="00771368" w:rsidRDefault="00D24E61">
      <w:pPr>
        <w:spacing w:line="1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380"/>
        <w:gridCol w:w="80"/>
        <w:gridCol w:w="4160"/>
        <w:gridCol w:w="140"/>
        <w:gridCol w:w="30"/>
      </w:tblGrid>
      <w:tr w:rsidR="00D24E61" w:rsidRPr="00771368">
        <w:trPr>
          <w:trHeight w:val="262"/>
        </w:trPr>
        <w:tc>
          <w:tcPr>
            <w:tcW w:w="8620" w:type="dxa"/>
            <w:gridSpan w:val="3"/>
            <w:tcBorders>
              <w:top w:val="single" w:sz="8" w:space="0" w:color="auto"/>
              <w:left w:val="single" w:sz="8" w:space="0" w:color="auto"/>
            </w:tcBorders>
            <w:shd w:val="clear" w:color="auto" w:fill="DDD9C3"/>
            <w:vAlign w:val="bottom"/>
          </w:tcPr>
          <w:p w:rsidR="00D24E61" w:rsidRPr="00771368" w:rsidRDefault="00D24E61">
            <w:pPr>
              <w:ind w:left="30"/>
              <w:jc w:val="center"/>
              <w:rPr>
                <w:sz w:val="20"/>
                <w:szCs w:val="20"/>
              </w:rPr>
            </w:pPr>
            <w:r w:rsidRPr="00771368">
              <w:rPr>
                <w:b/>
                <w:bCs/>
                <w:w w:val="99"/>
              </w:rPr>
              <w:t>EQUIPE DO PROJETO</w:t>
            </w:r>
          </w:p>
        </w:tc>
        <w:tc>
          <w:tcPr>
            <w:tcW w:w="140" w:type="dxa"/>
            <w:tcBorders>
              <w:top w:val="single" w:sz="8" w:space="0" w:color="auto"/>
              <w:right w:val="single" w:sz="8" w:space="0" w:color="auto"/>
            </w:tcBorders>
            <w:shd w:val="clear" w:color="auto" w:fill="DDD9C3"/>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129"/>
        </w:trPr>
        <w:tc>
          <w:tcPr>
            <w:tcW w:w="4380" w:type="dxa"/>
            <w:tcBorders>
              <w:left w:val="single" w:sz="8" w:space="0" w:color="auto"/>
              <w:bottom w:val="single" w:sz="8" w:space="0" w:color="auto"/>
              <w:right w:val="single" w:sz="8" w:space="0" w:color="DDD9C3"/>
            </w:tcBorders>
            <w:shd w:val="clear" w:color="auto" w:fill="DDD9C3"/>
            <w:vAlign w:val="bottom"/>
          </w:tcPr>
          <w:p w:rsidR="00D24E61" w:rsidRPr="00771368" w:rsidRDefault="00D24E61">
            <w:pPr>
              <w:rPr>
                <w:sz w:val="11"/>
                <w:szCs w:val="11"/>
              </w:rPr>
            </w:pPr>
          </w:p>
        </w:tc>
        <w:tc>
          <w:tcPr>
            <w:tcW w:w="80" w:type="dxa"/>
            <w:tcBorders>
              <w:bottom w:val="single" w:sz="8" w:space="0" w:color="auto"/>
            </w:tcBorders>
            <w:shd w:val="clear" w:color="auto" w:fill="DDD9C3"/>
            <w:vAlign w:val="bottom"/>
          </w:tcPr>
          <w:p w:rsidR="00D24E61" w:rsidRPr="00771368" w:rsidRDefault="00D24E61">
            <w:pPr>
              <w:rPr>
                <w:sz w:val="11"/>
                <w:szCs w:val="11"/>
              </w:rPr>
            </w:pPr>
          </w:p>
        </w:tc>
        <w:tc>
          <w:tcPr>
            <w:tcW w:w="4160" w:type="dxa"/>
            <w:tcBorders>
              <w:bottom w:val="single" w:sz="8" w:space="0" w:color="auto"/>
            </w:tcBorders>
            <w:shd w:val="clear" w:color="auto" w:fill="DDD9C3"/>
            <w:vAlign w:val="bottom"/>
          </w:tcPr>
          <w:p w:rsidR="00D24E61" w:rsidRPr="00771368" w:rsidRDefault="00D24E61">
            <w:pPr>
              <w:rPr>
                <w:sz w:val="11"/>
                <w:szCs w:val="11"/>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40"/>
        </w:trPr>
        <w:tc>
          <w:tcPr>
            <w:tcW w:w="4380" w:type="dxa"/>
            <w:tcBorders>
              <w:left w:val="single" w:sz="8" w:space="0" w:color="auto"/>
              <w:right w:val="single" w:sz="8" w:space="0" w:color="auto"/>
            </w:tcBorders>
            <w:shd w:val="clear" w:color="auto" w:fill="DDD9C3"/>
            <w:vAlign w:val="bottom"/>
          </w:tcPr>
          <w:p w:rsidR="00D24E61" w:rsidRPr="00771368" w:rsidRDefault="00D24E61">
            <w:pPr>
              <w:spacing w:line="239" w:lineRule="exact"/>
              <w:ind w:left="120"/>
              <w:rPr>
                <w:sz w:val="20"/>
                <w:szCs w:val="20"/>
              </w:rPr>
            </w:pPr>
            <w:r w:rsidRPr="00771368">
              <w:rPr>
                <w:b/>
                <w:bCs/>
              </w:rPr>
              <w:t>NOME</w:t>
            </w:r>
          </w:p>
        </w:tc>
        <w:tc>
          <w:tcPr>
            <w:tcW w:w="80" w:type="dxa"/>
            <w:shd w:val="clear" w:color="auto" w:fill="DDD9C3"/>
            <w:vAlign w:val="bottom"/>
          </w:tcPr>
          <w:p w:rsidR="00D24E61" w:rsidRPr="00771368" w:rsidRDefault="00D24E61">
            <w:pPr>
              <w:rPr>
                <w:sz w:val="20"/>
                <w:szCs w:val="20"/>
              </w:rPr>
            </w:pPr>
          </w:p>
        </w:tc>
        <w:tc>
          <w:tcPr>
            <w:tcW w:w="4160" w:type="dxa"/>
            <w:shd w:val="clear" w:color="auto" w:fill="DDD9C3"/>
            <w:vAlign w:val="bottom"/>
          </w:tcPr>
          <w:p w:rsidR="00D24E61" w:rsidRPr="00771368" w:rsidRDefault="00D24E61">
            <w:pPr>
              <w:spacing w:line="239" w:lineRule="exact"/>
              <w:rPr>
                <w:sz w:val="20"/>
                <w:szCs w:val="20"/>
              </w:rPr>
            </w:pPr>
            <w:r w:rsidRPr="00771368">
              <w:rPr>
                <w:b/>
                <w:bCs/>
              </w:rPr>
              <w:t>FUNÇÃO</w:t>
            </w:r>
          </w:p>
        </w:tc>
        <w:tc>
          <w:tcPr>
            <w:tcW w:w="140" w:type="dxa"/>
            <w:tcBorders>
              <w:right w:val="single" w:sz="8" w:space="0" w:color="auto"/>
            </w:tcBorders>
            <w:shd w:val="clear" w:color="auto" w:fill="DDD9C3"/>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29"/>
        </w:trPr>
        <w:tc>
          <w:tcPr>
            <w:tcW w:w="4380" w:type="dxa"/>
            <w:tcBorders>
              <w:left w:val="single" w:sz="8" w:space="0" w:color="auto"/>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80" w:type="dxa"/>
            <w:tcBorders>
              <w:bottom w:val="single" w:sz="8" w:space="0" w:color="auto"/>
            </w:tcBorders>
            <w:shd w:val="clear" w:color="auto" w:fill="DDD9C3"/>
            <w:vAlign w:val="bottom"/>
          </w:tcPr>
          <w:p w:rsidR="00D24E61" w:rsidRPr="00771368" w:rsidRDefault="00D24E61">
            <w:pPr>
              <w:rPr>
                <w:sz w:val="11"/>
                <w:szCs w:val="11"/>
              </w:rPr>
            </w:pPr>
          </w:p>
        </w:tc>
        <w:tc>
          <w:tcPr>
            <w:tcW w:w="4160" w:type="dxa"/>
            <w:tcBorders>
              <w:bottom w:val="single" w:sz="8" w:space="0" w:color="auto"/>
            </w:tcBorders>
            <w:shd w:val="clear" w:color="auto" w:fill="DDD9C3"/>
            <w:vAlign w:val="bottom"/>
          </w:tcPr>
          <w:p w:rsidR="00D24E61" w:rsidRPr="00771368" w:rsidRDefault="00D24E61">
            <w:pPr>
              <w:rPr>
                <w:sz w:val="11"/>
                <w:szCs w:val="11"/>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Adriana Beserra Silva</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Coordenadora do Programa</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Lívia Oliveira da Silva Bonfim</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Coordenadora do Programa</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6"/>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4240" w:type="dxa"/>
            <w:gridSpan w:val="2"/>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40"/>
        </w:trPr>
        <w:tc>
          <w:tcPr>
            <w:tcW w:w="8620" w:type="dxa"/>
            <w:gridSpan w:val="3"/>
            <w:tcBorders>
              <w:left w:val="single" w:sz="8" w:space="0" w:color="auto"/>
            </w:tcBorders>
            <w:shd w:val="clear" w:color="auto" w:fill="DDD9C3"/>
            <w:vAlign w:val="bottom"/>
          </w:tcPr>
          <w:p w:rsidR="00D24E61" w:rsidRPr="00771368" w:rsidRDefault="00D24E61">
            <w:pPr>
              <w:spacing w:line="239" w:lineRule="exact"/>
              <w:ind w:left="10"/>
              <w:jc w:val="center"/>
              <w:rPr>
                <w:sz w:val="20"/>
                <w:szCs w:val="20"/>
              </w:rPr>
            </w:pPr>
            <w:r w:rsidRPr="00771368">
              <w:rPr>
                <w:b/>
                <w:bCs/>
              </w:rPr>
              <w:t>EQUIPE EXECUTIVA</w:t>
            </w:r>
          </w:p>
        </w:tc>
        <w:tc>
          <w:tcPr>
            <w:tcW w:w="140" w:type="dxa"/>
            <w:tcBorders>
              <w:right w:val="single" w:sz="8" w:space="0" w:color="auto"/>
            </w:tcBorders>
            <w:shd w:val="clear" w:color="auto" w:fill="DDD9C3"/>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29"/>
        </w:trPr>
        <w:tc>
          <w:tcPr>
            <w:tcW w:w="4380" w:type="dxa"/>
            <w:tcBorders>
              <w:left w:val="single" w:sz="8" w:space="0" w:color="auto"/>
              <w:bottom w:val="single" w:sz="8" w:space="0" w:color="auto"/>
              <w:right w:val="single" w:sz="8" w:space="0" w:color="DDD9C3"/>
            </w:tcBorders>
            <w:shd w:val="clear" w:color="auto" w:fill="DDD9C3"/>
            <w:vAlign w:val="bottom"/>
          </w:tcPr>
          <w:p w:rsidR="00D24E61" w:rsidRPr="00771368" w:rsidRDefault="00D24E61">
            <w:pPr>
              <w:rPr>
                <w:sz w:val="11"/>
                <w:szCs w:val="11"/>
              </w:rPr>
            </w:pPr>
          </w:p>
        </w:tc>
        <w:tc>
          <w:tcPr>
            <w:tcW w:w="80" w:type="dxa"/>
            <w:tcBorders>
              <w:bottom w:val="single" w:sz="8" w:space="0" w:color="auto"/>
            </w:tcBorders>
            <w:shd w:val="clear" w:color="auto" w:fill="DDD9C3"/>
            <w:vAlign w:val="bottom"/>
          </w:tcPr>
          <w:p w:rsidR="00D24E61" w:rsidRPr="00771368" w:rsidRDefault="00D24E61">
            <w:pPr>
              <w:rPr>
                <w:sz w:val="11"/>
                <w:szCs w:val="11"/>
              </w:rPr>
            </w:pPr>
          </w:p>
        </w:tc>
        <w:tc>
          <w:tcPr>
            <w:tcW w:w="4160" w:type="dxa"/>
            <w:tcBorders>
              <w:bottom w:val="single" w:sz="8" w:space="0" w:color="auto"/>
            </w:tcBorders>
            <w:shd w:val="clear" w:color="auto" w:fill="DDD9C3"/>
            <w:vAlign w:val="bottom"/>
          </w:tcPr>
          <w:p w:rsidR="00D24E61" w:rsidRPr="00771368" w:rsidRDefault="00D24E61">
            <w:pPr>
              <w:rPr>
                <w:sz w:val="11"/>
                <w:szCs w:val="11"/>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40"/>
        </w:trPr>
        <w:tc>
          <w:tcPr>
            <w:tcW w:w="4380" w:type="dxa"/>
            <w:tcBorders>
              <w:left w:val="single" w:sz="8" w:space="0" w:color="auto"/>
              <w:right w:val="single" w:sz="8" w:space="0" w:color="auto"/>
            </w:tcBorders>
            <w:shd w:val="clear" w:color="auto" w:fill="DDD9C3"/>
            <w:vAlign w:val="bottom"/>
          </w:tcPr>
          <w:p w:rsidR="00D24E61" w:rsidRPr="00771368" w:rsidRDefault="00D24E61">
            <w:pPr>
              <w:spacing w:line="239" w:lineRule="exact"/>
              <w:ind w:left="120"/>
              <w:rPr>
                <w:sz w:val="20"/>
                <w:szCs w:val="20"/>
              </w:rPr>
            </w:pPr>
            <w:r w:rsidRPr="00771368">
              <w:rPr>
                <w:b/>
                <w:bCs/>
              </w:rPr>
              <w:t>NOME</w:t>
            </w:r>
          </w:p>
        </w:tc>
        <w:tc>
          <w:tcPr>
            <w:tcW w:w="80" w:type="dxa"/>
            <w:shd w:val="clear" w:color="auto" w:fill="DDD9C3"/>
            <w:vAlign w:val="bottom"/>
          </w:tcPr>
          <w:p w:rsidR="00D24E61" w:rsidRPr="00771368" w:rsidRDefault="00D24E61">
            <w:pPr>
              <w:rPr>
                <w:sz w:val="20"/>
                <w:szCs w:val="20"/>
              </w:rPr>
            </w:pPr>
          </w:p>
        </w:tc>
        <w:tc>
          <w:tcPr>
            <w:tcW w:w="4160" w:type="dxa"/>
            <w:shd w:val="clear" w:color="auto" w:fill="DDD9C3"/>
            <w:vAlign w:val="bottom"/>
          </w:tcPr>
          <w:p w:rsidR="00D24E61" w:rsidRPr="00771368" w:rsidRDefault="00D24E61">
            <w:pPr>
              <w:spacing w:line="239" w:lineRule="exact"/>
              <w:rPr>
                <w:sz w:val="20"/>
                <w:szCs w:val="20"/>
              </w:rPr>
            </w:pPr>
            <w:r w:rsidRPr="00771368">
              <w:rPr>
                <w:b/>
                <w:bCs/>
              </w:rPr>
              <w:t>FUNÇÃO</w:t>
            </w:r>
          </w:p>
        </w:tc>
        <w:tc>
          <w:tcPr>
            <w:tcW w:w="140" w:type="dxa"/>
            <w:tcBorders>
              <w:right w:val="single" w:sz="8" w:space="0" w:color="auto"/>
            </w:tcBorders>
            <w:shd w:val="clear" w:color="auto" w:fill="DDD9C3"/>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29"/>
        </w:trPr>
        <w:tc>
          <w:tcPr>
            <w:tcW w:w="4380" w:type="dxa"/>
            <w:tcBorders>
              <w:left w:val="single" w:sz="8" w:space="0" w:color="auto"/>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80" w:type="dxa"/>
            <w:tcBorders>
              <w:bottom w:val="single" w:sz="8" w:space="0" w:color="auto"/>
            </w:tcBorders>
            <w:shd w:val="clear" w:color="auto" w:fill="DDD9C3"/>
            <w:vAlign w:val="bottom"/>
          </w:tcPr>
          <w:p w:rsidR="00D24E61" w:rsidRPr="00771368" w:rsidRDefault="00D24E61">
            <w:pPr>
              <w:rPr>
                <w:sz w:val="11"/>
                <w:szCs w:val="11"/>
              </w:rPr>
            </w:pPr>
          </w:p>
        </w:tc>
        <w:tc>
          <w:tcPr>
            <w:tcW w:w="4160" w:type="dxa"/>
            <w:tcBorders>
              <w:bottom w:val="single" w:sz="8" w:space="0" w:color="auto"/>
            </w:tcBorders>
            <w:shd w:val="clear" w:color="auto" w:fill="DDD9C3"/>
            <w:vAlign w:val="bottom"/>
          </w:tcPr>
          <w:p w:rsidR="00D24E61" w:rsidRPr="00771368" w:rsidRDefault="00D24E61">
            <w:pPr>
              <w:rPr>
                <w:sz w:val="11"/>
                <w:szCs w:val="11"/>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Francisco da Silva Paiva</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Orientação Educacional</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7"/>
        </w:trPr>
        <w:tc>
          <w:tcPr>
            <w:tcW w:w="4380" w:type="dxa"/>
            <w:tcBorders>
              <w:left w:val="single" w:sz="8" w:space="0" w:color="auto"/>
              <w:right w:val="single" w:sz="8" w:space="0" w:color="auto"/>
            </w:tcBorders>
            <w:vAlign w:val="bottom"/>
          </w:tcPr>
          <w:p w:rsidR="00D24E61" w:rsidRPr="00771368" w:rsidRDefault="00D24E61">
            <w:pPr>
              <w:spacing w:line="237" w:lineRule="exact"/>
              <w:ind w:left="120"/>
              <w:rPr>
                <w:sz w:val="20"/>
                <w:szCs w:val="20"/>
              </w:rPr>
            </w:pPr>
            <w:r w:rsidRPr="00771368">
              <w:t>Soraya Tatiara Lopes</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7" w:lineRule="exact"/>
              <w:rPr>
                <w:sz w:val="20"/>
                <w:szCs w:val="20"/>
              </w:rPr>
            </w:pPr>
            <w:r w:rsidRPr="00771368">
              <w:t>Pedagoga</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Ana Carolina Cerveira Tavares</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Assistente Social</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5"/>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Diego Carvalho de Meneses</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Responsável Sistec-Mulheres Mil</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Francisca Vieira da Silva</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Diretora de Desenvolvimento Educacional</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7"/>
        </w:trPr>
        <w:tc>
          <w:tcPr>
            <w:tcW w:w="4380" w:type="dxa"/>
            <w:tcBorders>
              <w:left w:val="single" w:sz="8" w:space="0" w:color="auto"/>
              <w:right w:val="single" w:sz="8" w:space="0" w:color="auto"/>
            </w:tcBorders>
            <w:vAlign w:val="bottom"/>
          </w:tcPr>
          <w:p w:rsidR="00D24E61" w:rsidRPr="00771368" w:rsidRDefault="00D24E61">
            <w:pPr>
              <w:spacing w:line="237" w:lineRule="exact"/>
              <w:ind w:left="120"/>
              <w:rPr>
                <w:sz w:val="20"/>
                <w:szCs w:val="20"/>
              </w:rPr>
            </w:pPr>
            <w:r w:rsidRPr="00771368">
              <w:t>Maria Ivana Sousa Duailibe</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7" w:lineRule="exact"/>
              <w:rPr>
                <w:sz w:val="20"/>
                <w:szCs w:val="20"/>
              </w:rPr>
            </w:pPr>
            <w:r w:rsidRPr="00771368">
              <w:t>Diretora de Ensino</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4240" w:type="dxa"/>
            <w:gridSpan w:val="2"/>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40"/>
        </w:trPr>
        <w:tc>
          <w:tcPr>
            <w:tcW w:w="8620" w:type="dxa"/>
            <w:gridSpan w:val="3"/>
            <w:tcBorders>
              <w:left w:val="single" w:sz="8" w:space="0" w:color="auto"/>
            </w:tcBorders>
            <w:shd w:val="clear" w:color="auto" w:fill="DDD9C3"/>
            <w:vAlign w:val="bottom"/>
          </w:tcPr>
          <w:p w:rsidR="00D24E61" w:rsidRPr="00771368" w:rsidRDefault="00D24E61">
            <w:pPr>
              <w:spacing w:line="239" w:lineRule="exact"/>
              <w:ind w:left="10"/>
              <w:jc w:val="center"/>
              <w:rPr>
                <w:sz w:val="20"/>
                <w:szCs w:val="20"/>
              </w:rPr>
            </w:pPr>
            <w:r w:rsidRPr="00771368">
              <w:rPr>
                <w:b/>
                <w:bCs/>
                <w:w w:val="99"/>
              </w:rPr>
              <w:t>PROFESSORES</w:t>
            </w:r>
          </w:p>
        </w:tc>
        <w:tc>
          <w:tcPr>
            <w:tcW w:w="140" w:type="dxa"/>
            <w:tcBorders>
              <w:right w:val="single" w:sz="8" w:space="0" w:color="auto"/>
            </w:tcBorders>
            <w:shd w:val="clear" w:color="auto" w:fill="DDD9C3"/>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29"/>
        </w:trPr>
        <w:tc>
          <w:tcPr>
            <w:tcW w:w="4380" w:type="dxa"/>
            <w:tcBorders>
              <w:left w:val="single" w:sz="8" w:space="0" w:color="auto"/>
              <w:bottom w:val="single" w:sz="8" w:space="0" w:color="auto"/>
              <w:right w:val="single" w:sz="8" w:space="0" w:color="DDD9C3"/>
            </w:tcBorders>
            <w:shd w:val="clear" w:color="auto" w:fill="DDD9C3"/>
            <w:vAlign w:val="bottom"/>
          </w:tcPr>
          <w:p w:rsidR="00D24E61" w:rsidRPr="00771368" w:rsidRDefault="00D24E61">
            <w:pPr>
              <w:rPr>
                <w:sz w:val="11"/>
                <w:szCs w:val="11"/>
              </w:rPr>
            </w:pPr>
          </w:p>
        </w:tc>
        <w:tc>
          <w:tcPr>
            <w:tcW w:w="80" w:type="dxa"/>
            <w:tcBorders>
              <w:bottom w:val="single" w:sz="8" w:space="0" w:color="auto"/>
            </w:tcBorders>
            <w:shd w:val="clear" w:color="auto" w:fill="DDD9C3"/>
            <w:vAlign w:val="bottom"/>
          </w:tcPr>
          <w:p w:rsidR="00D24E61" w:rsidRPr="00771368" w:rsidRDefault="00D24E61">
            <w:pPr>
              <w:rPr>
                <w:sz w:val="11"/>
                <w:szCs w:val="11"/>
              </w:rPr>
            </w:pPr>
          </w:p>
        </w:tc>
        <w:tc>
          <w:tcPr>
            <w:tcW w:w="4160" w:type="dxa"/>
            <w:tcBorders>
              <w:bottom w:val="single" w:sz="8" w:space="0" w:color="auto"/>
            </w:tcBorders>
            <w:shd w:val="clear" w:color="auto" w:fill="DDD9C3"/>
            <w:vAlign w:val="bottom"/>
          </w:tcPr>
          <w:p w:rsidR="00D24E61" w:rsidRPr="00771368" w:rsidRDefault="00D24E61">
            <w:pPr>
              <w:rPr>
                <w:sz w:val="11"/>
                <w:szCs w:val="11"/>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44"/>
        </w:trPr>
        <w:tc>
          <w:tcPr>
            <w:tcW w:w="4380" w:type="dxa"/>
            <w:tcBorders>
              <w:left w:val="single" w:sz="8" w:space="0" w:color="auto"/>
              <w:right w:val="single" w:sz="8" w:space="0" w:color="auto"/>
            </w:tcBorders>
            <w:shd w:val="clear" w:color="auto" w:fill="DDD9C3"/>
            <w:vAlign w:val="bottom"/>
          </w:tcPr>
          <w:p w:rsidR="00D24E61" w:rsidRPr="00771368" w:rsidRDefault="00D24E61">
            <w:pPr>
              <w:spacing w:line="239" w:lineRule="exact"/>
              <w:ind w:left="120"/>
              <w:rPr>
                <w:sz w:val="20"/>
                <w:szCs w:val="20"/>
              </w:rPr>
            </w:pPr>
            <w:r w:rsidRPr="00771368">
              <w:rPr>
                <w:b/>
                <w:bCs/>
              </w:rPr>
              <w:t>NOME</w:t>
            </w:r>
          </w:p>
        </w:tc>
        <w:tc>
          <w:tcPr>
            <w:tcW w:w="80" w:type="dxa"/>
            <w:shd w:val="clear" w:color="auto" w:fill="DDD9C3"/>
            <w:vAlign w:val="bottom"/>
          </w:tcPr>
          <w:p w:rsidR="00D24E61" w:rsidRPr="00771368" w:rsidRDefault="00D24E61">
            <w:pPr>
              <w:rPr>
                <w:sz w:val="21"/>
                <w:szCs w:val="21"/>
              </w:rPr>
            </w:pPr>
          </w:p>
        </w:tc>
        <w:tc>
          <w:tcPr>
            <w:tcW w:w="4160" w:type="dxa"/>
            <w:shd w:val="clear" w:color="auto" w:fill="DDD9C3"/>
            <w:vAlign w:val="bottom"/>
          </w:tcPr>
          <w:p w:rsidR="00D24E61" w:rsidRPr="00771368" w:rsidRDefault="00D24E61">
            <w:pPr>
              <w:spacing w:line="239" w:lineRule="exact"/>
              <w:rPr>
                <w:sz w:val="20"/>
                <w:szCs w:val="20"/>
              </w:rPr>
            </w:pPr>
            <w:r w:rsidRPr="00771368">
              <w:rPr>
                <w:b/>
                <w:bCs/>
              </w:rPr>
              <w:t>FUNÇÃO</w:t>
            </w:r>
          </w:p>
        </w:tc>
        <w:tc>
          <w:tcPr>
            <w:tcW w:w="140" w:type="dxa"/>
            <w:tcBorders>
              <w:right w:val="single" w:sz="8" w:space="0" w:color="auto"/>
            </w:tcBorders>
            <w:shd w:val="clear" w:color="auto" w:fill="DDD9C3"/>
            <w:vAlign w:val="bottom"/>
          </w:tcPr>
          <w:p w:rsidR="00D24E61" w:rsidRPr="00771368" w:rsidRDefault="00D24E61">
            <w:pPr>
              <w:rPr>
                <w:sz w:val="21"/>
                <w:szCs w:val="21"/>
              </w:rPr>
            </w:pPr>
          </w:p>
        </w:tc>
        <w:tc>
          <w:tcPr>
            <w:tcW w:w="0" w:type="dxa"/>
            <w:vAlign w:val="bottom"/>
          </w:tcPr>
          <w:p w:rsidR="00D24E61" w:rsidRPr="00771368" w:rsidRDefault="00D24E61">
            <w:pPr>
              <w:rPr>
                <w:sz w:val="1"/>
                <w:szCs w:val="1"/>
              </w:rPr>
            </w:pPr>
          </w:p>
        </w:tc>
      </w:tr>
      <w:tr w:rsidR="00D24E61" w:rsidRPr="00771368">
        <w:trPr>
          <w:trHeight w:val="125"/>
        </w:trPr>
        <w:tc>
          <w:tcPr>
            <w:tcW w:w="4380" w:type="dxa"/>
            <w:tcBorders>
              <w:left w:val="single" w:sz="8" w:space="0" w:color="auto"/>
              <w:bottom w:val="single" w:sz="8" w:space="0" w:color="auto"/>
              <w:right w:val="single" w:sz="8" w:space="0" w:color="auto"/>
            </w:tcBorders>
            <w:shd w:val="clear" w:color="auto" w:fill="DDD9C3"/>
            <w:vAlign w:val="bottom"/>
          </w:tcPr>
          <w:p w:rsidR="00D24E61" w:rsidRPr="00771368" w:rsidRDefault="00D24E61">
            <w:pPr>
              <w:rPr>
                <w:sz w:val="10"/>
                <w:szCs w:val="10"/>
              </w:rPr>
            </w:pPr>
          </w:p>
        </w:tc>
        <w:tc>
          <w:tcPr>
            <w:tcW w:w="80" w:type="dxa"/>
            <w:tcBorders>
              <w:bottom w:val="single" w:sz="8" w:space="0" w:color="auto"/>
            </w:tcBorders>
            <w:shd w:val="clear" w:color="auto" w:fill="DDD9C3"/>
            <w:vAlign w:val="bottom"/>
          </w:tcPr>
          <w:p w:rsidR="00D24E61" w:rsidRPr="00771368" w:rsidRDefault="00D24E61">
            <w:pPr>
              <w:rPr>
                <w:sz w:val="10"/>
                <w:szCs w:val="10"/>
              </w:rPr>
            </w:pPr>
          </w:p>
        </w:tc>
        <w:tc>
          <w:tcPr>
            <w:tcW w:w="4160" w:type="dxa"/>
            <w:tcBorders>
              <w:bottom w:val="single" w:sz="8" w:space="0" w:color="auto"/>
            </w:tcBorders>
            <w:shd w:val="clear" w:color="auto" w:fill="DDD9C3"/>
            <w:vAlign w:val="bottom"/>
          </w:tcPr>
          <w:p w:rsidR="00D24E61" w:rsidRPr="00771368" w:rsidRDefault="00D24E61">
            <w:pPr>
              <w:rPr>
                <w:sz w:val="10"/>
                <w:szCs w:val="10"/>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0"/>
                <w:szCs w:val="10"/>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Carlos  Magno  de  Morais,  Cecília  Tereza</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rPr>
                <w:sz w:val="20"/>
                <w:szCs w:val="20"/>
              </w:rPr>
            </w:pP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254"/>
        </w:trPr>
        <w:tc>
          <w:tcPr>
            <w:tcW w:w="4380" w:type="dxa"/>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Muniz,  Daniel  Dantas  Campelo,  Marinalva</w:t>
            </w:r>
          </w:p>
        </w:tc>
        <w:tc>
          <w:tcPr>
            <w:tcW w:w="80" w:type="dxa"/>
            <w:vAlign w:val="bottom"/>
          </w:tcPr>
          <w:p w:rsidR="00D24E61" w:rsidRPr="00771368" w:rsidRDefault="00D24E61"/>
        </w:tc>
        <w:tc>
          <w:tcPr>
            <w:tcW w:w="4160" w:type="dxa"/>
            <w:vAlign w:val="bottom"/>
          </w:tcPr>
          <w:p w:rsidR="00D24E61" w:rsidRPr="00771368" w:rsidRDefault="00D24E61"/>
        </w:tc>
        <w:tc>
          <w:tcPr>
            <w:tcW w:w="140" w:type="dxa"/>
            <w:tcBorders>
              <w:right w:val="single" w:sz="8" w:space="0" w:color="auto"/>
            </w:tcBorders>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252"/>
        </w:trPr>
        <w:tc>
          <w:tcPr>
            <w:tcW w:w="4380" w:type="dxa"/>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das Neves, Isabela Nogueira Cordeiro, Maria</w:t>
            </w:r>
          </w:p>
        </w:tc>
        <w:tc>
          <w:tcPr>
            <w:tcW w:w="80" w:type="dxa"/>
            <w:vAlign w:val="bottom"/>
          </w:tcPr>
          <w:p w:rsidR="00D24E61" w:rsidRPr="00771368" w:rsidRDefault="00D24E61">
            <w:pPr>
              <w:rPr>
                <w:sz w:val="21"/>
                <w:szCs w:val="21"/>
              </w:rPr>
            </w:pPr>
          </w:p>
        </w:tc>
        <w:tc>
          <w:tcPr>
            <w:tcW w:w="4160" w:type="dxa"/>
            <w:vAlign w:val="bottom"/>
          </w:tcPr>
          <w:p w:rsidR="00D24E61" w:rsidRPr="00771368" w:rsidRDefault="00D24E61">
            <w:pPr>
              <w:rPr>
                <w:sz w:val="21"/>
                <w:szCs w:val="21"/>
              </w:rPr>
            </w:pPr>
          </w:p>
        </w:tc>
        <w:tc>
          <w:tcPr>
            <w:tcW w:w="140" w:type="dxa"/>
            <w:tcBorders>
              <w:right w:val="single" w:sz="8" w:space="0" w:color="auto"/>
            </w:tcBorders>
            <w:vAlign w:val="bottom"/>
          </w:tcPr>
          <w:p w:rsidR="00D24E61" w:rsidRPr="00771368" w:rsidRDefault="00D24E61">
            <w:pPr>
              <w:rPr>
                <w:sz w:val="21"/>
                <w:szCs w:val="21"/>
              </w:rPr>
            </w:pPr>
          </w:p>
        </w:tc>
        <w:tc>
          <w:tcPr>
            <w:tcW w:w="0" w:type="dxa"/>
            <w:vAlign w:val="bottom"/>
          </w:tcPr>
          <w:p w:rsidR="00D24E61" w:rsidRPr="00771368" w:rsidRDefault="00D24E61">
            <w:pPr>
              <w:rPr>
                <w:sz w:val="1"/>
                <w:szCs w:val="1"/>
              </w:rPr>
            </w:pPr>
          </w:p>
        </w:tc>
      </w:tr>
      <w:tr w:rsidR="00D24E61" w:rsidRPr="00771368">
        <w:trPr>
          <w:trHeight w:val="254"/>
        </w:trPr>
        <w:tc>
          <w:tcPr>
            <w:tcW w:w="4380" w:type="dxa"/>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Jaciara  de  Moura  Costa,  Francisca  Inalda</w:t>
            </w:r>
          </w:p>
        </w:tc>
        <w:tc>
          <w:tcPr>
            <w:tcW w:w="80" w:type="dxa"/>
            <w:vAlign w:val="bottom"/>
          </w:tcPr>
          <w:p w:rsidR="00D24E61" w:rsidRPr="00771368" w:rsidRDefault="00D24E61"/>
        </w:tc>
        <w:tc>
          <w:tcPr>
            <w:tcW w:w="4160" w:type="dxa"/>
            <w:vAlign w:val="bottom"/>
          </w:tcPr>
          <w:p w:rsidR="00D24E61" w:rsidRPr="00771368" w:rsidRDefault="00D24E61"/>
        </w:tc>
        <w:tc>
          <w:tcPr>
            <w:tcW w:w="140" w:type="dxa"/>
            <w:tcBorders>
              <w:right w:val="single" w:sz="8" w:space="0" w:color="auto"/>
            </w:tcBorders>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252"/>
        </w:trPr>
        <w:tc>
          <w:tcPr>
            <w:tcW w:w="4380" w:type="dxa"/>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Oliveira Santos, Carlos Augusto Sá, Francisca</w:t>
            </w:r>
          </w:p>
        </w:tc>
        <w:tc>
          <w:tcPr>
            <w:tcW w:w="80" w:type="dxa"/>
            <w:vAlign w:val="bottom"/>
          </w:tcPr>
          <w:p w:rsidR="00D24E61" w:rsidRPr="00771368" w:rsidRDefault="00D24E61">
            <w:pPr>
              <w:rPr>
                <w:sz w:val="21"/>
                <w:szCs w:val="21"/>
              </w:rPr>
            </w:pPr>
          </w:p>
        </w:tc>
        <w:tc>
          <w:tcPr>
            <w:tcW w:w="4160" w:type="dxa"/>
            <w:vMerge w:val="restart"/>
            <w:vAlign w:val="bottom"/>
          </w:tcPr>
          <w:p w:rsidR="00D24E61" w:rsidRPr="00771368" w:rsidRDefault="00D24E61">
            <w:pPr>
              <w:spacing w:line="252" w:lineRule="exact"/>
              <w:rPr>
                <w:sz w:val="20"/>
                <w:szCs w:val="20"/>
              </w:rPr>
            </w:pPr>
            <w:r w:rsidRPr="00771368">
              <w:t>Professores  Envolvidos  diretamente  com  o</w:t>
            </w:r>
          </w:p>
        </w:tc>
        <w:tc>
          <w:tcPr>
            <w:tcW w:w="140" w:type="dxa"/>
            <w:tcBorders>
              <w:right w:val="single" w:sz="8" w:space="0" w:color="auto"/>
            </w:tcBorders>
            <w:vAlign w:val="bottom"/>
          </w:tcPr>
          <w:p w:rsidR="00D24E61" w:rsidRPr="00771368" w:rsidRDefault="00D24E61">
            <w:pPr>
              <w:rPr>
                <w:sz w:val="21"/>
                <w:szCs w:val="21"/>
              </w:rPr>
            </w:pPr>
          </w:p>
        </w:tc>
        <w:tc>
          <w:tcPr>
            <w:tcW w:w="0" w:type="dxa"/>
            <w:vAlign w:val="bottom"/>
          </w:tcPr>
          <w:p w:rsidR="00D24E61" w:rsidRPr="00771368" w:rsidRDefault="00D24E61">
            <w:pPr>
              <w:rPr>
                <w:sz w:val="1"/>
                <w:szCs w:val="1"/>
              </w:rPr>
            </w:pPr>
          </w:p>
        </w:tc>
      </w:tr>
      <w:tr w:rsidR="00D24E61" w:rsidRPr="00771368">
        <w:trPr>
          <w:trHeight w:val="127"/>
        </w:trPr>
        <w:tc>
          <w:tcPr>
            <w:tcW w:w="4380" w:type="dxa"/>
            <w:vMerge w:val="restart"/>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Inalda Oliveira Santos, Maiany Gonçalves de</w:t>
            </w:r>
          </w:p>
        </w:tc>
        <w:tc>
          <w:tcPr>
            <w:tcW w:w="80" w:type="dxa"/>
            <w:vAlign w:val="bottom"/>
          </w:tcPr>
          <w:p w:rsidR="00D24E61" w:rsidRPr="00771368" w:rsidRDefault="00D24E61">
            <w:pPr>
              <w:rPr>
                <w:sz w:val="11"/>
                <w:szCs w:val="11"/>
              </w:rPr>
            </w:pPr>
          </w:p>
        </w:tc>
        <w:tc>
          <w:tcPr>
            <w:tcW w:w="4160" w:type="dxa"/>
            <w:vMerge/>
            <w:vAlign w:val="bottom"/>
          </w:tcPr>
          <w:p w:rsidR="00D24E61" w:rsidRPr="00771368" w:rsidRDefault="00D24E61">
            <w:pPr>
              <w:rPr>
                <w:sz w:val="11"/>
                <w:szCs w:val="11"/>
              </w:rPr>
            </w:pPr>
          </w:p>
        </w:tc>
        <w:tc>
          <w:tcPr>
            <w:tcW w:w="140" w:type="dxa"/>
            <w:tcBorders>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125"/>
        </w:trPr>
        <w:tc>
          <w:tcPr>
            <w:tcW w:w="4380" w:type="dxa"/>
            <w:vMerge/>
            <w:tcBorders>
              <w:left w:val="single" w:sz="8" w:space="0" w:color="auto"/>
              <w:right w:val="single" w:sz="8" w:space="0" w:color="auto"/>
            </w:tcBorders>
            <w:vAlign w:val="bottom"/>
          </w:tcPr>
          <w:p w:rsidR="00D24E61" w:rsidRPr="00771368" w:rsidRDefault="00D24E61">
            <w:pPr>
              <w:rPr>
                <w:sz w:val="10"/>
                <w:szCs w:val="10"/>
              </w:rPr>
            </w:pPr>
          </w:p>
        </w:tc>
        <w:tc>
          <w:tcPr>
            <w:tcW w:w="80" w:type="dxa"/>
            <w:vAlign w:val="bottom"/>
          </w:tcPr>
          <w:p w:rsidR="00D24E61" w:rsidRPr="00771368" w:rsidRDefault="00D24E61">
            <w:pPr>
              <w:rPr>
                <w:sz w:val="10"/>
                <w:szCs w:val="10"/>
              </w:rPr>
            </w:pPr>
          </w:p>
        </w:tc>
        <w:tc>
          <w:tcPr>
            <w:tcW w:w="4160" w:type="dxa"/>
            <w:vAlign w:val="bottom"/>
          </w:tcPr>
          <w:p w:rsidR="00D24E61" w:rsidRPr="00771368" w:rsidRDefault="00D24E61">
            <w:pPr>
              <w:rPr>
                <w:sz w:val="10"/>
                <w:szCs w:val="10"/>
              </w:rPr>
            </w:pPr>
          </w:p>
        </w:tc>
        <w:tc>
          <w:tcPr>
            <w:tcW w:w="140" w:type="dxa"/>
            <w:tcBorders>
              <w:right w:val="single" w:sz="8" w:space="0" w:color="auto"/>
            </w:tcBorders>
            <w:vAlign w:val="bottom"/>
          </w:tcPr>
          <w:p w:rsidR="00D24E61" w:rsidRPr="00771368" w:rsidRDefault="00D24E61">
            <w:pPr>
              <w:rPr>
                <w:sz w:val="10"/>
                <w:szCs w:val="10"/>
              </w:rPr>
            </w:pPr>
          </w:p>
        </w:tc>
        <w:tc>
          <w:tcPr>
            <w:tcW w:w="0" w:type="dxa"/>
            <w:vAlign w:val="bottom"/>
          </w:tcPr>
          <w:p w:rsidR="00D24E61" w:rsidRPr="00771368" w:rsidRDefault="00D24E61">
            <w:pPr>
              <w:rPr>
                <w:sz w:val="1"/>
                <w:szCs w:val="1"/>
              </w:rPr>
            </w:pPr>
          </w:p>
        </w:tc>
      </w:tr>
      <w:tr w:rsidR="00D24E61" w:rsidRPr="00771368">
        <w:trPr>
          <w:trHeight w:val="255"/>
        </w:trPr>
        <w:tc>
          <w:tcPr>
            <w:tcW w:w="4380" w:type="dxa"/>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Carvalho, Jandherson Moura Silva, Richele da</w:t>
            </w:r>
          </w:p>
        </w:tc>
        <w:tc>
          <w:tcPr>
            <w:tcW w:w="80" w:type="dxa"/>
            <w:vAlign w:val="bottom"/>
          </w:tcPr>
          <w:p w:rsidR="00D24E61" w:rsidRPr="00771368" w:rsidRDefault="00D24E61"/>
        </w:tc>
        <w:tc>
          <w:tcPr>
            <w:tcW w:w="4160" w:type="dxa"/>
            <w:vAlign w:val="bottom"/>
          </w:tcPr>
          <w:p w:rsidR="00D24E61" w:rsidRPr="00771368" w:rsidRDefault="00D24E61">
            <w:pPr>
              <w:spacing w:line="252" w:lineRule="exact"/>
              <w:rPr>
                <w:sz w:val="20"/>
                <w:szCs w:val="20"/>
              </w:rPr>
            </w:pPr>
            <w:r w:rsidRPr="00771368">
              <w:t xml:space="preserve">Programa Mulheres Mil no IFMA – </w:t>
            </w:r>
            <w:r w:rsidRPr="00771368">
              <w:rPr>
                <w:i/>
                <w:iCs/>
              </w:rPr>
              <w:t>Campus</w:t>
            </w:r>
          </w:p>
        </w:tc>
        <w:tc>
          <w:tcPr>
            <w:tcW w:w="140" w:type="dxa"/>
            <w:tcBorders>
              <w:right w:val="single" w:sz="8" w:space="0" w:color="auto"/>
            </w:tcBorders>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252"/>
        </w:trPr>
        <w:tc>
          <w:tcPr>
            <w:tcW w:w="4380" w:type="dxa"/>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Rocha Rego, Paulo Roberto de Jesus Silva,</w:t>
            </w:r>
          </w:p>
        </w:tc>
        <w:tc>
          <w:tcPr>
            <w:tcW w:w="80" w:type="dxa"/>
            <w:vAlign w:val="bottom"/>
          </w:tcPr>
          <w:p w:rsidR="00D24E61" w:rsidRPr="00771368" w:rsidRDefault="00D24E61">
            <w:pPr>
              <w:rPr>
                <w:sz w:val="21"/>
                <w:szCs w:val="21"/>
              </w:rPr>
            </w:pPr>
          </w:p>
        </w:tc>
        <w:tc>
          <w:tcPr>
            <w:tcW w:w="4160" w:type="dxa"/>
            <w:vMerge w:val="restart"/>
            <w:vAlign w:val="bottom"/>
          </w:tcPr>
          <w:p w:rsidR="00D24E61" w:rsidRPr="00771368" w:rsidRDefault="00D24E61">
            <w:pPr>
              <w:spacing w:line="252" w:lineRule="exact"/>
              <w:rPr>
                <w:sz w:val="20"/>
                <w:szCs w:val="20"/>
              </w:rPr>
            </w:pPr>
            <w:r w:rsidRPr="00771368">
              <w:t>Codó</w:t>
            </w:r>
          </w:p>
        </w:tc>
        <w:tc>
          <w:tcPr>
            <w:tcW w:w="140" w:type="dxa"/>
            <w:tcBorders>
              <w:right w:val="single" w:sz="8" w:space="0" w:color="auto"/>
            </w:tcBorders>
            <w:vAlign w:val="bottom"/>
          </w:tcPr>
          <w:p w:rsidR="00D24E61" w:rsidRPr="00771368" w:rsidRDefault="00D24E61">
            <w:pPr>
              <w:rPr>
                <w:sz w:val="21"/>
                <w:szCs w:val="21"/>
              </w:rPr>
            </w:pPr>
          </w:p>
        </w:tc>
        <w:tc>
          <w:tcPr>
            <w:tcW w:w="0" w:type="dxa"/>
            <w:vAlign w:val="bottom"/>
          </w:tcPr>
          <w:p w:rsidR="00D24E61" w:rsidRPr="00771368" w:rsidRDefault="00D24E61">
            <w:pPr>
              <w:rPr>
                <w:sz w:val="1"/>
                <w:szCs w:val="1"/>
              </w:rPr>
            </w:pPr>
          </w:p>
        </w:tc>
      </w:tr>
      <w:tr w:rsidR="00D24E61" w:rsidRPr="00771368">
        <w:trPr>
          <w:trHeight w:val="127"/>
        </w:trPr>
        <w:tc>
          <w:tcPr>
            <w:tcW w:w="4380" w:type="dxa"/>
            <w:vMerge w:val="restart"/>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Álvaro Itaúna Schalcher Pereira, Renato Alves</w:t>
            </w:r>
          </w:p>
        </w:tc>
        <w:tc>
          <w:tcPr>
            <w:tcW w:w="80" w:type="dxa"/>
            <w:vAlign w:val="bottom"/>
          </w:tcPr>
          <w:p w:rsidR="00D24E61" w:rsidRPr="00771368" w:rsidRDefault="00D24E61">
            <w:pPr>
              <w:rPr>
                <w:sz w:val="11"/>
                <w:szCs w:val="11"/>
              </w:rPr>
            </w:pPr>
          </w:p>
        </w:tc>
        <w:tc>
          <w:tcPr>
            <w:tcW w:w="4160" w:type="dxa"/>
            <w:vMerge/>
            <w:vAlign w:val="bottom"/>
          </w:tcPr>
          <w:p w:rsidR="00D24E61" w:rsidRPr="00771368" w:rsidRDefault="00D24E61">
            <w:pPr>
              <w:rPr>
                <w:sz w:val="11"/>
                <w:szCs w:val="11"/>
              </w:rPr>
            </w:pPr>
          </w:p>
        </w:tc>
        <w:tc>
          <w:tcPr>
            <w:tcW w:w="140" w:type="dxa"/>
            <w:tcBorders>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127"/>
        </w:trPr>
        <w:tc>
          <w:tcPr>
            <w:tcW w:w="4380" w:type="dxa"/>
            <w:vMerge/>
            <w:tcBorders>
              <w:left w:val="single" w:sz="8" w:space="0" w:color="auto"/>
              <w:right w:val="single" w:sz="8" w:space="0" w:color="auto"/>
            </w:tcBorders>
            <w:vAlign w:val="bottom"/>
          </w:tcPr>
          <w:p w:rsidR="00D24E61" w:rsidRPr="00771368" w:rsidRDefault="00D24E61">
            <w:pPr>
              <w:rPr>
                <w:sz w:val="11"/>
                <w:szCs w:val="11"/>
              </w:rPr>
            </w:pPr>
          </w:p>
        </w:tc>
        <w:tc>
          <w:tcPr>
            <w:tcW w:w="80" w:type="dxa"/>
            <w:vAlign w:val="bottom"/>
          </w:tcPr>
          <w:p w:rsidR="00D24E61" w:rsidRPr="00771368" w:rsidRDefault="00D24E61">
            <w:pPr>
              <w:rPr>
                <w:sz w:val="11"/>
                <w:szCs w:val="11"/>
              </w:rPr>
            </w:pPr>
          </w:p>
        </w:tc>
        <w:tc>
          <w:tcPr>
            <w:tcW w:w="4160" w:type="dxa"/>
            <w:vAlign w:val="bottom"/>
          </w:tcPr>
          <w:p w:rsidR="00D24E61" w:rsidRPr="00771368" w:rsidRDefault="00D24E61">
            <w:pPr>
              <w:rPr>
                <w:sz w:val="11"/>
                <w:szCs w:val="11"/>
              </w:rPr>
            </w:pPr>
          </w:p>
        </w:tc>
        <w:tc>
          <w:tcPr>
            <w:tcW w:w="140" w:type="dxa"/>
            <w:tcBorders>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52"/>
        </w:trPr>
        <w:tc>
          <w:tcPr>
            <w:tcW w:w="4380" w:type="dxa"/>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Pedrosa,  Rebeca  Reis  Carvalho,  Francisco</w:t>
            </w:r>
          </w:p>
        </w:tc>
        <w:tc>
          <w:tcPr>
            <w:tcW w:w="80" w:type="dxa"/>
            <w:vAlign w:val="bottom"/>
          </w:tcPr>
          <w:p w:rsidR="00D24E61" w:rsidRPr="00771368" w:rsidRDefault="00D24E61">
            <w:pPr>
              <w:rPr>
                <w:sz w:val="21"/>
                <w:szCs w:val="21"/>
              </w:rPr>
            </w:pPr>
          </w:p>
        </w:tc>
        <w:tc>
          <w:tcPr>
            <w:tcW w:w="4160" w:type="dxa"/>
            <w:vAlign w:val="bottom"/>
          </w:tcPr>
          <w:p w:rsidR="00D24E61" w:rsidRPr="00771368" w:rsidRDefault="00D24E61">
            <w:pPr>
              <w:rPr>
                <w:sz w:val="21"/>
                <w:szCs w:val="21"/>
              </w:rPr>
            </w:pPr>
          </w:p>
        </w:tc>
        <w:tc>
          <w:tcPr>
            <w:tcW w:w="140" w:type="dxa"/>
            <w:tcBorders>
              <w:right w:val="single" w:sz="8" w:space="0" w:color="auto"/>
            </w:tcBorders>
            <w:vAlign w:val="bottom"/>
          </w:tcPr>
          <w:p w:rsidR="00D24E61" w:rsidRPr="00771368" w:rsidRDefault="00D24E61">
            <w:pPr>
              <w:rPr>
                <w:sz w:val="21"/>
                <w:szCs w:val="21"/>
              </w:rPr>
            </w:pPr>
          </w:p>
        </w:tc>
        <w:tc>
          <w:tcPr>
            <w:tcW w:w="0" w:type="dxa"/>
            <w:vAlign w:val="bottom"/>
          </w:tcPr>
          <w:p w:rsidR="00D24E61" w:rsidRPr="00771368" w:rsidRDefault="00D24E61">
            <w:pPr>
              <w:rPr>
                <w:sz w:val="1"/>
                <w:szCs w:val="1"/>
              </w:rPr>
            </w:pPr>
          </w:p>
        </w:tc>
      </w:tr>
      <w:tr w:rsidR="00D24E61" w:rsidRPr="00771368">
        <w:trPr>
          <w:trHeight w:val="254"/>
        </w:trPr>
        <w:tc>
          <w:tcPr>
            <w:tcW w:w="4380" w:type="dxa"/>
            <w:tcBorders>
              <w:left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Adelton Alves Ribeiro, Carlyanne Nascimento</w:t>
            </w:r>
          </w:p>
        </w:tc>
        <w:tc>
          <w:tcPr>
            <w:tcW w:w="80" w:type="dxa"/>
            <w:vAlign w:val="bottom"/>
          </w:tcPr>
          <w:p w:rsidR="00D24E61" w:rsidRPr="00771368" w:rsidRDefault="00D24E61"/>
        </w:tc>
        <w:tc>
          <w:tcPr>
            <w:tcW w:w="4160" w:type="dxa"/>
            <w:vAlign w:val="bottom"/>
          </w:tcPr>
          <w:p w:rsidR="00D24E61" w:rsidRPr="00771368" w:rsidRDefault="00D24E61"/>
        </w:tc>
        <w:tc>
          <w:tcPr>
            <w:tcW w:w="140" w:type="dxa"/>
            <w:tcBorders>
              <w:right w:val="single" w:sz="8" w:space="0" w:color="auto"/>
            </w:tcBorders>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255"/>
        </w:trPr>
        <w:tc>
          <w:tcPr>
            <w:tcW w:w="4380" w:type="dxa"/>
            <w:tcBorders>
              <w:left w:val="single" w:sz="8" w:space="0" w:color="auto"/>
              <w:bottom w:val="single" w:sz="8" w:space="0" w:color="auto"/>
              <w:right w:val="single" w:sz="8" w:space="0" w:color="auto"/>
            </w:tcBorders>
            <w:vAlign w:val="bottom"/>
          </w:tcPr>
          <w:p w:rsidR="00D24E61" w:rsidRPr="00771368" w:rsidRDefault="00D24E61">
            <w:pPr>
              <w:spacing w:line="252" w:lineRule="exact"/>
              <w:ind w:left="120"/>
              <w:rPr>
                <w:sz w:val="20"/>
                <w:szCs w:val="20"/>
              </w:rPr>
            </w:pPr>
            <w:r w:rsidRPr="00771368">
              <w:t>Costa, Francisco Miranda da Cruz.</w:t>
            </w:r>
          </w:p>
        </w:tc>
        <w:tc>
          <w:tcPr>
            <w:tcW w:w="80" w:type="dxa"/>
            <w:tcBorders>
              <w:bottom w:val="single" w:sz="8" w:space="0" w:color="auto"/>
            </w:tcBorders>
            <w:vAlign w:val="bottom"/>
          </w:tcPr>
          <w:p w:rsidR="00D24E61" w:rsidRPr="00771368" w:rsidRDefault="00D24E61"/>
        </w:tc>
        <w:tc>
          <w:tcPr>
            <w:tcW w:w="4160" w:type="dxa"/>
            <w:tcBorders>
              <w:bottom w:val="single" w:sz="8" w:space="0" w:color="auto"/>
            </w:tcBorders>
            <w:vAlign w:val="bottom"/>
          </w:tcPr>
          <w:p w:rsidR="00D24E61" w:rsidRPr="00771368" w:rsidRDefault="00D24E61"/>
        </w:tc>
        <w:tc>
          <w:tcPr>
            <w:tcW w:w="140" w:type="dxa"/>
            <w:tcBorders>
              <w:bottom w:val="single" w:sz="8" w:space="0" w:color="auto"/>
              <w:right w:val="single" w:sz="8" w:space="0" w:color="auto"/>
            </w:tcBorders>
            <w:vAlign w:val="bottom"/>
          </w:tcPr>
          <w:p w:rsidR="00D24E61" w:rsidRPr="00771368" w:rsidRDefault="00D24E61"/>
        </w:tc>
        <w:tc>
          <w:tcPr>
            <w:tcW w:w="0" w:type="dxa"/>
            <w:vAlign w:val="bottom"/>
          </w:tcPr>
          <w:p w:rsidR="00D24E61" w:rsidRPr="00771368" w:rsidRDefault="00D24E61">
            <w:pPr>
              <w:rPr>
                <w:sz w:val="1"/>
                <w:szCs w:val="1"/>
              </w:rPr>
            </w:pPr>
          </w:p>
        </w:tc>
      </w:tr>
      <w:tr w:rsidR="00D24E61" w:rsidRPr="00771368">
        <w:trPr>
          <w:trHeight w:val="245"/>
        </w:trPr>
        <w:tc>
          <w:tcPr>
            <w:tcW w:w="8620" w:type="dxa"/>
            <w:gridSpan w:val="3"/>
            <w:tcBorders>
              <w:left w:val="single" w:sz="8" w:space="0" w:color="auto"/>
            </w:tcBorders>
            <w:shd w:val="clear" w:color="auto" w:fill="DDD9C3"/>
            <w:vAlign w:val="bottom"/>
          </w:tcPr>
          <w:p w:rsidR="00D24E61" w:rsidRPr="00771368" w:rsidRDefault="00D24E61">
            <w:pPr>
              <w:spacing w:line="245" w:lineRule="exact"/>
              <w:ind w:left="10"/>
              <w:jc w:val="center"/>
              <w:rPr>
                <w:sz w:val="20"/>
                <w:szCs w:val="20"/>
              </w:rPr>
            </w:pPr>
            <w:r w:rsidRPr="00771368">
              <w:rPr>
                <w:b/>
                <w:bCs/>
                <w:w w:val="99"/>
              </w:rPr>
              <w:t>BOLSISTAS</w:t>
            </w:r>
          </w:p>
        </w:tc>
        <w:tc>
          <w:tcPr>
            <w:tcW w:w="140" w:type="dxa"/>
            <w:tcBorders>
              <w:right w:val="single" w:sz="8" w:space="0" w:color="auto"/>
            </w:tcBorders>
            <w:shd w:val="clear" w:color="auto" w:fill="DDD9C3"/>
            <w:vAlign w:val="bottom"/>
          </w:tcPr>
          <w:p w:rsidR="00D24E61" w:rsidRPr="00771368" w:rsidRDefault="00D24E61">
            <w:pPr>
              <w:rPr>
                <w:sz w:val="21"/>
                <w:szCs w:val="21"/>
              </w:rPr>
            </w:pPr>
          </w:p>
        </w:tc>
        <w:tc>
          <w:tcPr>
            <w:tcW w:w="0" w:type="dxa"/>
            <w:vAlign w:val="bottom"/>
          </w:tcPr>
          <w:p w:rsidR="00D24E61" w:rsidRPr="00771368" w:rsidRDefault="00D24E61">
            <w:pPr>
              <w:rPr>
                <w:sz w:val="1"/>
                <w:szCs w:val="1"/>
              </w:rPr>
            </w:pPr>
          </w:p>
        </w:tc>
      </w:tr>
      <w:tr w:rsidR="00D24E61" w:rsidRPr="00771368">
        <w:trPr>
          <w:trHeight w:val="129"/>
        </w:trPr>
        <w:tc>
          <w:tcPr>
            <w:tcW w:w="4380" w:type="dxa"/>
            <w:tcBorders>
              <w:left w:val="single" w:sz="8" w:space="0" w:color="auto"/>
              <w:bottom w:val="single" w:sz="8" w:space="0" w:color="auto"/>
              <w:right w:val="single" w:sz="8" w:space="0" w:color="DDD9C3"/>
            </w:tcBorders>
            <w:shd w:val="clear" w:color="auto" w:fill="DDD9C3"/>
            <w:vAlign w:val="bottom"/>
          </w:tcPr>
          <w:p w:rsidR="00D24E61" w:rsidRPr="00771368" w:rsidRDefault="00D24E61">
            <w:pPr>
              <w:rPr>
                <w:sz w:val="11"/>
                <w:szCs w:val="11"/>
              </w:rPr>
            </w:pPr>
          </w:p>
        </w:tc>
        <w:tc>
          <w:tcPr>
            <w:tcW w:w="80" w:type="dxa"/>
            <w:tcBorders>
              <w:bottom w:val="single" w:sz="8" w:space="0" w:color="auto"/>
            </w:tcBorders>
            <w:shd w:val="clear" w:color="auto" w:fill="DDD9C3"/>
            <w:vAlign w:val="bottom"/>
          </w:tcPr>
          <w:p w:rsidR="00D24E61" w:rsidRPr="00771368" w:rsidRDefault="00D24E61">
            <w:pPr>
              <w:rPr>
                <w:sz w:val="11"/>
                <w:szCs w:val="11"/>
              </w:rPr>
            </w:pPr>
          </w:p>
        </w:tc>
        <w:tc>
          <w:tcPr>
            <w:tcW w:w="4160" w:type="dxa"/>
            <w:tcBorders>
              <w:bottom w:val="single" w:sz="8" w:space="0" w:color="auto"/>
            </w:tcBorders>
            <w:shd w:val="clear" w:color="auto" w:fill="DDD9C3"/>
            <w:vAlign w:val="bottom"/>
          </w:tcPr>
          <w:p w:rsidR="00D24E61" w:rsidRPr="00771368" w:rsidRDefault="00D24E61">
            <w:pPr>
              <w:rPr>
                <w:sz w:val="11"/>
                <w:szCs w:val="11"/>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40"/>
        </w:trPr>
        <w:tc>
          <w:tcPr>
            <w:tcW w:w="4380" w:type="dxa"/>
            <w:tcBorders>
              <w:left w:val="single" w:sz="8" w:space="0" w:color="auto"/>
              <w:right w:val="single" w:sz="8" w:space="0" w:color="auto"/>
            </w:tcBorders>
            <w:shd w:val="clear" w:color="auto" w:fill="DDD9C3"/>
            <w:vAlign w:val="bottom"/>
          </w:tcPr>
          <w:p w:rsidR="00D24E61" w:rsidRPr="00771368" w:rsidRDefault="00D24E61">
            <w:pPr>
              <w:spacing w:line="239" w:lineRule="exact"/>
              <w:ind w:left="120"/>
              <w:rPr>
                <w:sz w:val="20"/>
                <w:szCs w:val="20"/>
              </w:rPr>
            </w:pPr>
            <w:r w:rsidRPr="00771368">
              <w:rPr>
                <w:b/>
                <w:bCs/>
              </w:rPr>
              <w:t>NOME</w:t>
            </w:r>
          </w:p>
        </w:tc>
        <w:tc>
          <w:tcPr>
            <w:tcW w:w="80" w:type="dxa"/>
            <w:shd w:val="clear" w:color="auto" w:fill="DDD9C3"/>
            <w:vAlign w:val="bottom"/>
          </w:tcPr>
          <w:p w:rsidR="00D24E61" w:rsidRPr="00771368" w:rsidRDefault="00D24E61">
            <w:pPr>
              <w:rPr>
                <w:sz w:val="20"/>
                <w:szCs w:val="20"/>
              </w:rPr>
            </w:pPr>
          </w:p>
        </w:tc>
        <w:tc>
          <w:tcPr>
            <w:tcW w:w="4160" w:type="dxa"/>
            <w:shd w:val="clear" w:color="auto" w:fill="DDD9C3"/>
            <w:vAlign w:val="bottom"/>
          </w:tcPr>
          <w:p w:rsidR="00D24E61" w:rsidRPr="00771368" w:rsidRDefault="00D24E61">
            <w:pPr>
              <w:spacing w:line="239" w:lineRule="exact"/>
              <w:rPr>
                <w:sz w:val="20"/>
                <w:szCs w:val="20"/>
              </w:rPr>
            </w:pPr>
            <w:r w:rsidRPr="00771368">
              <w:rPr>
                <w:b/>
                <w:bCs/>
              </w:rPr>
              <w:t>FUNÇÃO</w:t>
            </w:r>
          </w:p>
        </w:tc>
        <w:tc>
          <w:tcPr>
            <w:tcW w:w="140" w:type="dxa"/>
            <w:tcBorders>
              <w:right w:val="single" w:sz="8" w:space="0" w:color="auto"/>
            </w:tcBorders>
            <w:shd w:val="clear" w:color="auto" w:fill="DDD9C3"/>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29"/>
        </w:trPr>
        <w:tc>
          <w:tcPr>
            <w:tcW w:w="4380" w:type="dxa"/>
            <w:tcBorders>
              <w:left w:val="single" w:sz="8" w:space="0" w:color="auto"/>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80" w:type="dxa"/>
            <w:tcBorders>
              <w:bottom w:val="single" w:sz="8" w:space="0" w:color="auto"/>
            </w:tcBorders>
            <w:shd w:val="clear" w:color="auto" w:fill="DDD9C3"/>
            <w:vAlign w:val="bottom"/>
          </w:tcPr>
          <w:p w:rsidR="00D24E61" w:rsidRPr="00771368" w:rsidRDefault="00D24E61">
            <w:pPr>
              <w:rPr>
                <w:sz w:val="11"/>
                <w:szCs w:val="11"/>
              </w:rPr>
            </w:pPr>
          </w:p>
        </w:tc>
        <w:tc>
          <w:tcPr>
            <w:tcW w:w="4160" w:type="dxa"/>
            <w:tcBorders>
              <w:bottom w:val="single" w:sz="8" w:space="0" w:color="auto"/>
            </w:tcBorders>
            <w:shd w:val="clear" w:color="auto" w:fill="DDD9C3"/>
            <w:vAlign w:val="bottom"/>
          </w:tcPr>
          <w:p w:rsidR="00D24E61" w:rsidRPr="00771368" w:rsidRDefault="00D24E61">
            <w:pPr>
              <w:rPr>
                <w:sz w:val="11"/>
                <w:szCs w:val="11"/>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Raianne da Cruz Lopes de Araújo</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Discente Bolsista do Programa</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Danielle Oliveira</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Discente Bolsista do Programa</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7"/>
        </w:trPr>
        <w:tc>
          <w:tcPr>
            <w:tcW w:w="4380" w:type="dxa"/>
            <w:tcBorders>
              <w:left w:val="single" w:sz="8" w:space="0" w:color="auto"/>
              <w:right w:val="single" w:sz="8" w:space="0" w:color="auto"/>
            </w:tcBorders>
            <w:vAlign w:val="bottom"/>
          </w:tcPr>
          <w:p w:rsidR="00D24E61" w:rsidRPr="00771368" w:rsidRDefault="00D24E61">
            <w:pPr>
              <w:spacing w:line="237" w:lineRule="exact"/>
              <w:ind w:left="120"/>
              <w:rPr>
                <w:sz w:val="20"/>
                <w:szCs w:val="20"/>
              </w:rPr>
            </w:pPr>
            <w:r w:rsidRPr="00771368">
              <w:t>Cristiane Maria Paiva</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7" w:lineRule="exact"/>
              <w:rPr>
                <w:sz w:val="20"/>
                <w:szCs w:val="20"/>
              </w:rPr>
            </w:pPr>
            <w:r w:rsidRPr="00771368">
              <w:t>Discente Bolsista do Programa</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4240" w:type="dxa"/>
            <w:gridSpan w:val="2"/>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40"/>
        </w:trPr>
        <w:tc>
          <w:tcPr>
            <w:tcW w:w="8620" w:type="dxa"/>
            <w:gridSpan w:val="3"/>
            <w:tcBorders>
              <w:left w:val="single" w:sz="8" w:space="0" w:color="auto"/>
            </w:tcBorders>
            <w:shd w:val="clear" w:color="auto" w:fill="DDD9C3"/>
            <w:vAlign w:val="bottom"/>
          </w:tcPr>
          <w:p w:rsidR="00D24E61" w:rsidRPr="00771368" w:rsidRDefault="00D24E61">
            <w:pPr>
              <w:spacing w:line="239" w:lineRule="exact"/>
              <w:ind w:left="30"/>
              <w:jc w:val="center"/>
              <w:rPr>
                <w:sz w:val="20"/>
                <w:szCs w:val="20"/>
              </w:rPr>
            </w:pPr>
            <w:r w:rsidRPr="00771368">
              <w:rPr>
                <w:b/>
                <w:bCs/>
              </w:rPr>
              <w:t>OUTROS SERVIÇOS</w:t>
            </w:r>
          </w:p>
        </w:tc>
        <w:tc>
          <w:tcPr>
            <w:tcW w:w="140" w:type="dxa"/>
            <w:tcBorders>
              <w:right w:val="single" w:sz="8" w:space="0" w:color="auto"/>
            </w:tcBorders>
            <w:shd w:val="clear" w:color="auto" w:fill="DDD9C3"/>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0"/>
        </w:trPr>
        <w:tc>
          <w:tcPr>
            <w:tcW w:w="4380" w:type="dxa"/>
            <w:tcBorders>
              <w:left w:val="single" w:sz="8" w:space="0" w:color="auto"/>
              <w:bottom w:val="single" w:sz="8" w:space="0" w:color="auto"/>
              <w:right w:val="single" w:sz="8" w:space="0" w:color="DDD9C3"/>
            </w:tcBorders>
            <w:shd w:val="clear" w:color="auto" w:fill="DDD9C3"/>
            <w:vAlign w:val="bottom"/>
          </w:tcPr>
          <w:p w:rsidR="00D24E61" w:rsidRPr="00771368" w:rsidRDefault="00D24E61">
            <w:pPr>
              <w:rPr>
                <w:sz w:val="11"/>
                <w:szCs w:val="11"/>
              </w:rPr>
            </w:pPr>
          </w:p>
        </w:tc>
        <w:tc>
          <w:tcPr>
            <w:tcW w:w="80" w:type="dxa"/>
            <w:tcBorders>
              <w:bottom w:val="single" w:sz="8" w:space="0" w:color="auto"/>
            </w:tcBorders>
            <w:shd w:val="clear" w:color="auto" w:fill="DDD9C3"/>
            <w:vAlign w:val="bottom"/>
          </w:tcPr>
          <w:p w:rsidR="00D24E61" w:rsidRPr="00771368" w:rsidRDefault="00D24E61">
            <w:pPr>
              <w:rPr>
                <w:sz w:val="11"/>
                <w:szCs w:val="11"/>
              </w:rPr>
            </w:pPr>
          </w:p>
        </w:tc>
        <w:tc>
          <w:tcPr>
            <w:tcW w:w="4160" w:type="dxa"/>
            <w:tcBorders>
              <w:bottom w:val="single" w:sz="8" w:space="0" w:color="auto"/>
            </w:tcBorders>
            <w:shd w:val="clear" w:color="auto" w:fill="DDD9C3"/>
            <w:vAlign w:val="bottom"/>
          </w:tcPr>
          <w:p w:rsidR="00D24E61" w:rsidRPr="00771368" w:rsidRDefault="00D24E61">
            <w:pPr>
              <w:rPr>
                <w:sz w:val="11"/>
                <w:szCs w:val="11"/>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40"/>
        </w:trPr>
        <w:tc>
          <w:tcPr>
            <w:tcW w:w="4380" w:type="dxa"/>
            <w:tcBorders>
              <w:left w:val="single" w:sz="8" w:space="0" w:color="auto"/>
              <w:right w:val="single" w:sz="8" w:space="0" w:color="auto"/>
            </w:tcBorders>
            <w:shd w:val="clear" w:color="auto" w:fill="DDD9C3"/>
            <w:vAlign w:val="bottom"/>
          </w:tcPr>
          <w:p w:rsidR="00D24E61" w:rsidRPr="00771368" w:rsidRDefault="00D24E61">
            <w:pPr>
              <w:spacing w:line="239" w:lineRule="exact"/>
              <w:ind w:left="120"/>
              <w:rPr>
                <w:sz w:val="20"/>
                <w:szCs w:val="20"/>
              </w:rPr>
            </w:pPr>
            <w:r w:rsidRPr="00771368">
              <w:rPr>
                <w:b/>
                <w:bCs/>
              </w:rPr>
              <w:t>NOME</w:t>
            </w:r>
          </w:p>
        </w:tc>
        <w:tc>
          <w:tcPr>
            <w:tcW w:w="80" w:type="dxa"/>
            <w:shd w:val="clear" w:color="auto" w:fill="DDD9C3"/>
            <w:vAlign w:val="bottom"/>
          </w:tcPr>
          <w:p w:rsidR="00D24E61" w:rsidRPr="00771368" w:rsidRDefault="00D24E61">
            <w:pPr>
              <w:rPr>
                <w:sz w:val="20"/>
                <w:szCs w:val="20"/>
              </w:rPr>
            </w:pPr>
          </w:p>
        </w:tc>
        <w:tc>
          <w:tcPr>
            <w:tcW w:w="4160" w:type="dxa"/>
            <w:shd w:val="clear" w:color="auto" w:fill="DDD9C3"/>
            <w:vAlign w:val="bottom"/>
          </w:tcPr>
          <w:p w:rsidR="00D24E61" w:rsidRPr="00771368" w:rsidRDefault="00D24E61">
            <w:pPr>
              <w:spacing w:line="239" w:lineRule="exact"/>
              <w:rPr>
                <w:sz w:val="20"/>
                <w:szCs w:val="20"/>
              </w:rPr>
            </w:pPr>
            <w:r w:rsidRPr="00771368">
              <w:rPr>
                <w:b/>
                <w:bCs/>
              </w:rPr>
              <w:t>FUNÇÃO</w:t>
            </w:r>
          </w:p>
        </w:tc>
        <w:tc>
          <w:tcPr>
            <w:tcW w:w="140" w:type="dxa"/>
            <w:tcBorders>
              <w:right w:val="single" w:sz="8" w:space="0" w:color="auto"/>
            </w:tcBorders>
            <w:shd w:val="clear" w:color="auto" w:fill="DDD9C3"/>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29"/>
        </w:trPr>
        <w:tc>
          <w:tcPr>
            <w:tcW w:w="4380" w:type="dxa"/>
            <w:tcBorders>
              <w:left w:val="single" w:sz="8" w:space="0" w:color="auto"/>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80" w:type="dxa"/>
            <w:tcBorders>
              <w:bottom w:val="single" w:sz="8" w:space="0" w:color="auto"/>
            </w:tcBorders>
            <w:shd w:val="clear" w:color="auto" w:fill="DDD9C3"/>
            <w:vAlign w:val="bottom"/>
          </w:tcPr>
          <w:p w:rsidR="00D24E61" w:rsidRPr="00771368" w:rsidRDefault="00D24E61">
            <w:pPr>
              <w:rPr>
                <w:sz w:val="11"/>
                <w:szCs w:val="11"/>
              </w:rPr>
            </w:pPr>
          </w:p>
        </w:tc>
        <w:tc>
          <w:tcPr>
            <w:tcW w:w="4160" w:type="dxa"/>
            <w:tcBorders>
              <w:bottom w:val="single" w:sz="8" w:space="0" w:color="auto"/>
            </w:tcBorders>
            <w:shd w:val="clear" w:color="auto" w:fill="DDD9C3"/>
            <w:vAlign w:val="bottom"/>
          </w:tcPr>
          <w:p w:rsidR="00D24E61" w:rsidRPr="00771368" w:rsidRDefault="00D24E61">
            <w:pPr>
              <w:rPr>
                <w:sz w:val="11"/>
                <w:szCs w:val="11"/>
              </w:rPr>
            </w:pPr>
          </w:p>
        </w:tc>
        <w:tc>
          <w:tcPr>
            <w:tcW w:w="140" w:type="dxa"/>
            <w:tcBorders>
              <w:bottom w:val="single" w:sz="8" w:space="0" w:color="auto"/>
              <w:right w:val="single" w:sz="8" w:space="0" w:color="auto"/>
            </w:tcBorders>
            <w:shd w:val="clear" w:color="auto" w:fill="DDD9C3"/>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Ellen Arouche</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Assistência Odontológica</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6"/>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r w:rsidR="00D24E61" w:rsidRPr="00771368">
        <w:trPr>
          <w:trHeight w:val="235"/>
        </w:trPr>
        <w:tc>
          <w:tcPr>
            <w:tcW w:w="4380" w:type="dxa"/>
            <w:tcBorders>
              <w:left w:val="single" w:sz="8" w:space="0" w:color="auto"/>
              <w:right w:val="single" w:sz="8" w:space="0" w:color="auto"/>
            </w:tcBorders>
            <w:vAlign w:val="bottom"/>
          </w:tcPr>
          <w:p w:rsidR="00D24E61" w:rsidRPr="00771368" w:rsidRDefault="00D24E61">
            <w:pPr>
              <w:spacing w:line="234" w:lineRule="exact"/>
              <w:ind w:left="120"/>
              <w:rPr>
                <w:sz w:val="20"/>
                <w:szCs w:val="20"/>
              </w:rPr>
            </w:pPr>
            <w:r w:rsidRPr="00771368">
              <w:t>José Wybson</w:t>
            </w:r>
          </w:p>
        </w:tc>
        <w:tc>
          <w:tcPr>
            <w:tcW w:w="80" w:type="dxa"/>
            <w:vAlign w:val="bottom"/>
          </w:tcPr>
          <w:p w:rsidR="00D24E61" w:rsidRPr="00771368" w:rsidRDefault="00D24E61">
            <w:pPr>
              <w:rPr>
                <w:sz w:val="20"/>
                <w:szCs w:val="20"/>
              </w:rPr>
            </w:pPr>
          </w:p>
        </w:tc>
        <w:tc>
          <w:tcPr>
            <w:tcW w:w="4160" w:type="dxa"/>
            <w:vAlign w:val="bottom"/>
          </w:tcPr>
          <w:p w:rsidR="00D24E61" w:rsidRPr="00771368" w:rsidRDefault="00D24E61">
            <w:pPr>
              <w:spacing w:line="234" w:lineRule="exact"/>
              <w:rPr>
                <w:sz w:val="20"/>
                <w:szCs w:val="20"/>
              </w:rPr>
            </w:pPr>
            <w:r w:rsidRPr="00771368">
              <w:t>Assistência Odontológica</w:t>
            </w:r>
          </w:p>
        </w:tc>
        <w:tc>
          <w:tcPr>
            <w:tcW w:w="140" w:type="dxa"/>
            <w:tcBorders>
              <w:right w:val="single" w:sz="8" w:space="0" w:color="auto"/>
            </w:tcBorders>
            <w:vAlign w:val="bottom"/>
          </w:tcPr>
          <w:p w:rsidR="00D24E61" w:rsidRPr="00771368" w:rsidRDefault="00D24E61">
            <w:pPr>
              <w:rPr>
                <w:sz w:val="20"/>
                <w:szCs w:val="20"/>
              </w:rPr>
            </w:pPr>
          </w:p>
        </w:tc>
        <w:tc>
          <w:tcPr>
            <w:tcW w:w="0" w:type="dxa"/>
            <w:vAlign w:val="bottom"/>
          </w:tcPr>
          <w:p w:rsidR="00D24E61" w:rsidRPr="00771368" w:rsidRDefault="00D24E61">
            <w:pPr>
              <w:rPr>
                <w:sz w:val="1"/>
                <w:szCs w:val="1"/>
              </w:rPr>
            </w:pPr>
          </w:p>
        </w:tc>
      </w:tr>
      <w:tr w:rsidR="00D24E61" w:rsidRPr="00771368">
        <w:trPr>
          <w:trHeight w:val="134"/>
        </w:trPr>
        <w:tc>
          <w:tcPr>
            <w:tcW w:w="4380" w:type="dxa"/>
            <w:tcBorders>
              <w:left w:val="single" w:sz="8" w:space="0" w:color="auto"/>
              <w:bottom w:val="single" w:sz="8" w:space="0" w:color="auto"/>
              <w:right w:val="single" w:sz="8" w:space="0" w:color="auto"/>
            </w:tcBorders>
            <w:vAlign w:val="bottom"/>
          </w:tcPr>
          <w:p w:rsidR="00D24E61" w:rsidRPr="00771368" w:rsidRDefault="00D24E61">
            <w:pPr>
              <w:rPr>
                <w:sz w:val="11"/>
                <w:szCs w:val="11"/>
              </w:rPr>
            </w:pPr>
          </w:p>
        </w:tc>
        <w:tc>
          <w:tcPr>
            <w:tcW w:w="80" w:type="dxa"/>
            <w:tcBorders>
              <w:bottom w:val="single" w:sz="8" w:space="0" w:color="auto"/>
            </w:tcBorders>
            <w:vAlign w:val="bottom"/>
          </w:tcPr>
          <w:p w:rsidR="00D24E61" w:rsidRPr="00771368" w:rsidRDefault="00D24E61">
            <w:pPr>
              <w:rPr>
                <w:sz w:val="11"/>
                <w:szCs w:val="11"/>
              </w:rPr>
            </w:pPr>
          </w:p>
        </w:tc>
        <w:tc>
          <w:tcPr>
            <w:tcW w:w="4160" w:type="dxa"/>
            <w:tcBorders>
              <w:bottom w:val="single" w:sz="8" w:space="0" w:color="auto"/>
            </w:tcBorders>
            <w:vAlign w:val="bottom"/>
          </w:tcPr>
          <w:p w:rsidR="00D24E61" w:rsidRPr="00771368" w:rsidRDefault="00D24E61">
            <w:pPr>
              <w:rPr>
                <w:sz w:val="11"/>
                <w:szCs w:val="11"/>
              </w:rPr>
            </w:pPr>
          </w:p>
        </w:tc>
        <w:tc>
          <w:tcPr>
            <w:tcW w:w="140" w:type="dxa"/>
            <w:tcBorders>
              <w:bottom w:val="single" w:sz="8" w:space="0" w:color="auto"/>
              <w:right w:val="single" w:sz="8" w:space="0" w:color="auto"/>
            </w:tcBorders>
            <w:vAlign w:val="bottom"/>
          </w:tcPr>
          <w:p w:rsidR="00D24E61" w:rsidRPr="00771368" w:rsidRDefault="00D24E61">
            <w:pPr>
              <w:rPr>
                <w:sz w:val="11"/>
                <w:szCs w:val="11"/>
              </w:rPr>
            </w:pPr>
          </w:p>
        </w:tc>
        <w:tc>
          <w:tcPr>
            <w:tcW w:w="0" w:type="dxa"/>
            <w:vAlign w:val="bottom"/>
          </w:tcPr>
          <w:p w:rsidR="00D24E61" w:rsidRPr="00771368" w:rsidRDefault="00D24E61">
            <w:pPr>
              <w:rPr>
                <w:sz w:val="1"/>
                <w:szCs w:val="1"/>
              </w:rPr>
            </w:pPr>
          </w:p>
        </w:tc>
      </w:tr>
    </w:tbl>
    <w:p w:rsidR="00D24E61" w:rsidRDefault="00D24E61">
      <w:pPr>
        <w:spacing w:line="231" w:lineRule="auto"/>
        <w:ind w:left="840"/>
        <w:rPr>
          <w:b/>
          <w:bCs/>
          <w:sz w:val="20"/>
          <w:szCs w:val="20"/>
        </w:rPr>
      </w:pPr>
      <w:r w:rsidRPr="00771368">
        <w:rPr>
          <w:b/>
          <w:bCs/>
          <w:sz w:val="20"/>
          <w:szCs w:val="20"/>
        </w:rPr>
        <w:t>Tabela 1</w:t>
      </w:r>
      <w:r w:rsidRPr="00771368">
        <w:rPr>
          <w:sz w:val="20"/>
          <w:szCs w:val="20"/>
        </w:rPr>
        <w:t>.</w:t>
      </w:r>
      <w:r w:rsidRPr="00771368">
        <w:rPr>
          <w:b/>
          <w:bCs/>
          <w:sz w:val="20"/>
          <w:szCs w:val="20"/>
        </w:rPr>
        <w:t xml:space="preserve"> Quadro da Equipe Multidisciplinar do Programa Mulheres Mil</w:t>
      </w:r>
    </w:p>
    <w:p w:rsidR="009D5D08" w:rsidRPr="00771368" w:rsidRDefault="009D5D08">
      <w:pPr>
        <w:spacing w:line="231" w:lineRule="auto"/>
        <w:ind w:left="840"/>
        <w:rPr>
          <w:sz w:val="20"/>
          <w:szCs w:val="20"/>
        </w:rPr>
      </w:pPr>
    </w:p>
    <w:p w:rsidR="00D24E61" w:rsidRPr="00771368" w:rsidRDefault="00D24E61">
      <w:pPr>
        <w:spacing w:line="27" w:lineRule="exact"/>
        <w:rPr>
          <w:sz w:val="20"/>
          <w:szCs w:val="20"/>
        </w:rPr>
      </w:pPr>
    </w:p>
    <w:p w:rsidR="00D24E61" w:rsidRPr="00771368" w:rsidRDefault="00D24E61">
      <w:pPr>
        <w:spacing w:line="357" w:lineRule="auto"/>
        <w:ind w:firstLine="708"/>
        <w:jc w:val="both"/>
        <w:rPr>
          <w:sz w:val="20"/>
          <w:szCs w:val="20"/>
        </w:rPr>
      </w:pPr>
      <w:r w:rsidRPr="00771368">
        <w:rPr>
          <w:sz w:val="24"/>
          <w:szCs w:val="24"/>
        </w:rPr>
        <w:t>Assim, o programa promove o crescimento humano dessas mulheres, por meio da melhoria de suas condições de vida (sociocultural e econômica), o que aumenta a possibilidade de elas contribuírem com a liderança de suas comunidades, na medida em que se transformam em cidadãs, social e economicamente emancipadas. O Programa Mulheres Mil reconhece e valoriza os saberes construídos na comunidade, na realidade do cotidiano dessas mulheres oportunizando um diálogo com as diversidades, integrando o conhecimento formal ao itinerário formativo dessas mulheres vítimas de uma identidade marginalizada cultural e socialmente. A opção pelo recorte de gênero se deu pelo seu caráter multiplicador que a mulher assume diante de sua família e de sua comunidade. Por outro lado, a escolha do recorte de gênero também gera alguns desafios. Dentre eles, pode-se citar: a necessidade de lidar com casos de violência doméstica, a mudança de concepção para que a mulher seja vista como uma agente social além do seu círculo familiar, a superação das limitações impostas pela sociedade que são internalizadas por algumas dessas mulheres, dentre outros. Para superar esses desafios, é fundamental que a formação alie aspectos do ensino propedêutico com a profissionalização, sendo complementada por temáticas como cidadania, direitos da mulher, autoestima e meio ambiente, etc. Enquanto ação educacional, o Programa Mulheres Mil contribui para a ampliação do alcance da educação de jovens e adultos, visando à elevação de escolaridade de suas beneficiárias.</w:t>
      </w:r>
    </w:p>
    <w:p w:rsidR="00D24E61" w:rsidRPr="00771368" w:rsidRDefault="00D24E61">
      <w:pPr>
        <w:spacing w:line="69" w:lineRule="exact"/>
        <w:rPr>
          <w:sz w:val="20"/>
          <w:szCs w:val="20"/>
        </w:rPr>
      </w:pPr>
    </w:p>
    <w:p w:rsidR="00D24E61" w:rsidRPr="00771368" w:rsidRDefault="00D24E61">
      <w:pPr>
        <w:spacing w:line="355" w:lineRule="auto"/>
        <w:ind w:firstLine="708"/>
        <w:jc w:val="both"/>
        <w:rPr>
          <w:sz w:val="20"/>
          <w:szCs w:val="20"/>
        </w:rPr>
      </w:pPr>
      <w:r w:rsidRPr="00771368">
        <w:rPr>
          <w:sz w:val="24"/>
          <w:szCs w:val="24"/>
        </w:rPr>
        <w:t xml:space="preserve">A oferta de formação do programa é criada de acordo com a identificação da experiência não formal adquirida pela mulher ao longo da vida e de acordo com os anseios pessoais e profissionais. Em síntese, o programa abre a possibilidade de formação para mulheres que vivem à margem da estrutura social e econômica, garantindo-lhes cidadania e renda, por meio da elevação de escolaridade, da formação profissional e do desenvolvimento de instrumentos para o alcance do êxito no mundo do trabalho. A realização da experiência do Programa Mulheres Mil no Instituto Federal de Educação, Ciência e Tecnologia do Maranhão - </w:t>
      </w:r>
      <w:r w:rsidRPr="00771368">
        <w:rPr>
          <w:i/>
          <w:iCs/>
          <w:sz w:val="24"/>
          <w:szCs w:val="24"/>
        </w:rPr>
        <w:t>Campus</w:t>
      </w:r>
      <w:r w:rsidRPr="00771368">
        <w:rPr>
          <w:sz w:val="24"/>
          <w:szCs w:val="24"/>
        </w:rPr>
        <w:t xml:space="preserve"> Codó se explica na análise que foi empreendida acerca das contribuições e impactos do Programa no </w:t>
      </w:r>
      <w:r w:rsidRPr="00771368">
        <w:rPr>
          <w:i/>
          <w:iCs/>
          <w:sz w:val="24"/>
          <w:szCs w:val="24"/>
        </w:rPr>
        <w:t>Campus</w:t>
      </w:r>
      <w:r w:rsidRPr="00771368">
        <w:rPr>
          <w:sz w:val="24"/>
          <w:szCs w:val="24"/>
        </w:rPr>
        <w:t xml:space="preserve"> Codó. Sob essa perspectiva considero como crucial esta experiência, uma vez que aponta de forma suscita a realização de um relato de campo acerca da experiência do Projeto Mulheres Mil e seus desdobramentos para o resgate da cidadania de mulheres excluídas do contexto educacional, social e político da sociedade.</w:t>
      </w:r>
    </w:p>
    <w:p w:rsidR="00D24E61" w:rsidRPr="00771368" w:rsidRDefault="00D24E61">
      <w:pPr>
        <w:spacing w:line="75" w:lineRule="exact"/>
        <w:rPr>
          <w:sz w:val="20"/>
          <w:szCs w:val="20"/>
        </w:rPr>
      </w:pPr>
    </w:p>
    <w:p w:rsidR="00D24E61" w:rsidRPr="00771368" w:rsidRDefault="00D24E61">
      <w:pPr>
        <w:spacing w:line="308" w:lineRule="auto"/>
        <w:ind w:firstLine="708"/>
        <w:jc w:val="both"/>
        <w:rPr>
          <w:sz w:val="20"/>
          <w:szCs w:val="20"/>
        </w:rPr>
      </w:pPr>
      <w:r w:rsidRPr="00771368">
        <w:rPr>
          <w:sz w:val="24"/>
          <w:szCs w:val="24"/>
        </w:rPr>
        <w:t xml:space="preserve">A experiência aqui relatada é resultado da efetivação do Programa Mulheres Mil no Instituto Federal de Educação, Ciência e Tecnologia do Maranhão – </w:t>
      </w:r>
      <w:r w:rsidRPr="00771368">
        <w:rPr>
          <w:i/>
          <w:iCs/>
          <w:sz w:val="24"/>
          <w:szCs w:val="24"/>
        </w:rPr>
        <w:t>Campus</w:t>
      </w:r>
      <w:r w:rsidRPr="00771368">
        <w:rPr>
          <w:sz w:val="24"/>
          <w:szCs w:val="24"/>
        </w:rPr>
        <w:t xml:space="preserve"> Codó e</w:t>
      </w:r>
    </w:p>
    <w:p w:rsidR="00D24E61" w:rsidRPr="00771368" w:rsidRDefault="00D24E61">
      <w:pPr>
        <w:spacing w:line="27" w:lineRule="exact"/>
        <w:rPr>
          <w:sz w:val="20"/>
          <w:szCs w:val="20"/>
        </w:rPr>
      </w:pPr>
    </w:p>
    <w:p w:rsidR="00D24E61" w:rsidRPr="00771368" w:rsidRDefault="00D24E61">
      <w:pPr>
        <w:spacing w:line="353" w:lineRule="auto"/>
        <w:jc w:val="both"/>
        <w:rPr>
          <w:sz w:val="20"/>
          <w:szCs w:val="20"/>
        </w:rPr>
      </w:pPr>
      <w:r w:rsidRPr="00771368">
        <w:rPr>
          <w:sz w:val="24"/>
          <w:szCs w:val="24"/>
        </w:rPr>
        <w:t>também se justifica por ter a missão de proporcionar reflexões acerca das garantias dos direitos humanos dos cidadãos, de segurança, melhoria da qualidade de vida de diversas mulheres, promoção da igualdade de oportunidades, inclusão nos processos de decisão social, promoção da autonomia da solidariedade e garantia de meios de proteção social fundamentais para os cidadãos. Em síntese, o Programa pretende ampliar o atendimento, garantindo o direito o direito à educação, oportunidade de melhoria de renda por meio do acesso ao trabalho decente. Assim, contribuirá para reduzir os índices de miséria e pobreza, para elevar os níveis educacionais e impulsionar o desenvolvimento econômico e social do País, com mais equidade e justiça social.</w:t>
      </w:r>
    </w:p>
    <w:p w:rsidR="009D5D08" w:rsidRDefault="009D5D08">
      <w:pPr>
        <w:rPr>
          <w:b/>
          <w:bCs/>
          <w:sz w:val="24"/>
          <w:szCs w:val="24"/>
        </w:rPr>
      </w:pPr>
    </w:p>
    <w:p w:rsidR="00D24E61" w:rsidRPr="00771368" w:rsidRDefault="00D24E61">
      <w:pPr>
        <w:rPr>
          <w:sz w:val="20"/>
          <w:szCs w:val="20"/>
        </w:rPr>
      </w:pPr>
      <w:r w:rsidRPr="00771368">
        <w:rPr>
          <w:b/>
          <w:bCs/>
          <w:sz w:val="24"/>
          <w:szCs w:val="24"/>
        </w:rPr>
        <w:t>2. OBJETIVOS</w:t>
      </w:r>
    </w:p>
    <w:p w:rsidR="00D24E61" w:rsidRPr="00771368" w:rsidRDefault="00D24E61">
      <w:pPr>
        <w:spacing w:line="140" w:lineRule="exact"/>
        <w:rPr>
          <w:sz w:val="20"/>
          <w:szCs w:val="20"/>
        </w:rPr>
      </w:pPr>
    </w:p>
    <w:p w:rsidR="00D24E61" w:rsidRPr="00771368" w:rsidRDefault="00D24E61">
      <w:pPr>
        <w:rPr>
          <w:sz w:val="20"/>
          <w:szCs w:val="20"/>
        </w:rPr>
      </w:pPr>
      <w:r w:rsidRPr="00771368">
        <w:rPr>
          <w:b/>
          <w:bCs/>
          <w:sz w:val="24"/>
          <w:szCs w:val="24"/>
        </w:rPr>
        <w:t>2.1 OBJETIVO GERAL</w:t>
      </w:r>
    </w:p>
    <w:p w:rsidR="00D24E61" w:rsidRPr="00771368" w:rsidRDefault="00D24E61">
      <w:pPr>
        <w:spacing w:line="190" w:lineRule="exact"/>
        <w:rPr>
          <w:sz w:val="20"/>
          <w:szCs w:val="20"/>
        </w:rPr>
      </w:pPr>
    </w:p>
    <w:p w:rsidR="00D24E61" w:rsidRPr="00771368" w:rsidRDefault="00D24E61">
      <w:pPr>
        <w:spacing w:line="343" w:lineRule="auto"/>
        <w:ind w:firstLine="708"/>
        <w:jc w:val="both"/>
        <w:rPr>
          <w:sz w:val="20"/>
          <w:szCs w:val="20"/>
        </w:rPr>
      </w:pPr>
      <w:r w:rsidRPr="00771368">
        <w:rPr>
          <w:sz w:val="24"/>
          <w:szCs w:val="24"/>
        </w:rPr>
        <w:t xml:space="preserve">Descrever as contribuições e os impactos do Programa Mulheres Mil no Instituto Federal de Educação, Ciência e Tecnologia do Maranhão – </w:t>
      </w:r>
      <w:r w:rsidRPr="00771368">
        <w:rPr>
          <w:i/>
          <w:iCs/>
          <w:sz w:val="24"/>
          <w:szCs w:val="24"/>
        </w:rPr>
        <w:t>Campus</w:t>
      </w:r>
      <w:r w:rsidRPr="00771368">
        <w:rPr>
          <w:sz w:val="24"/>
          <w:szCs w:val="24"/>
        </w:rPr>
        <w:t xml:space="preserve"> Codó, a partir da análise descritiva da experiência de acesso, permanência e êxito da população feminina das comunidades localizadas no Município de Codó-MA.</w:t>
      </w:r>
    </w:p>
    <w:p w:rsidR="00D24E61" w:rsidRPr="00771368" w:rsidRDefault="00D24E61">
      <w:pPr>
        <w:spacing w:line="200" w:lineRule="exact"/>
        <w:rPr>
          <w:sz w:val="20"/>
          <w:szCs w:val="20"/>
        </w:rPr>
      </w:pPr>
    </w:p>
    <w:p w:rsidR="00D24E61" w:rsidRPr="00771368" w:rsidRDefault="00D24E61">
      <w:pPr>
        <w:spacing w:line="240" w:lineRule="exact"/>
        <w:rPr>
          <w:sz w:val="20"/>
          <w:szCs w:val="20"/>
        </w:rPr>
      </w:pPr>
    </w:p>
    <w:p w:rsidR="00D24E61" w:rsidRPr="00771368" w:rsidRDefault="00D24E61">
      <w:pPr>
        <w:rPr>
          <w:sz w:val="20"/>
          <w:szCs w:val="20"/>
        </w:rPr>
      </w:pPr>
      <w:r w:rsidRPr="00771368">
        <w:rPr>
          <w:b/>
          <w:bCs/>
          <w:sz w:val="24"/>
          <w:szCs w:val="24"/>
        </w:rPr>
        <w:t>2.2. OBJETIVOS ESPECÍFICOS</w:t>
      </w:r>
    </w:p>
    <w:p w:rsidR="00D24E61" w:rsidRPr="00771368" w:rsidRDefault="00D24E61">
      <w:pPr>
        <w:spacing w:line="190" w:lineRule="exact"/>
        <w:rPr>
          <w:sz w:val="20"/>
          <w:szCs w:val="20"/>
        </w:rPr>
      </w:pPr>
    </w:p>
    <w:p w:rsidR="00D24E61" w:rsidRPr="00771368" w:rsidRDefault="00D24E61" w:rsidP="00EA38AA">
      <w:pPr>
        <w:numPr>
          <w:ilvl w:val="0"/>
          <w:numId w:val="50"/>
        </w:numPr>
        <w:tabs>
          <w:tab w:val="left" w:pos="317"/>
        </w:tabs>
        <w:spacing w:line="310" w:lineRule="auto"/>
        <w:jc w:val="both"/>
        <w:rPr>
          <w:b/>
          <w:bCs/>
          <w:sz w:val="24"/>
          <w:szCs w:val="24"/>
        </w:rPr>
      </w:pPr>
      <w:r w:rsidRPr="00771368">
        <w:rPr>
          <w:sz w:val="24"/>
          <w:szCs w:val="24"/>
        </w:rPr>
        <w:t>Aproximar, compreender e estabelecer diálogo do Instituto Federal com as comunidades e pessoas beneficiadas pelo Programa Mulheres Mil;</w:t>
      </w:r>
    </w:p>
    <w:p w:rsidR="00D24E61" w:rsidRPr="00771368" w:rsidRDefault="00D24E61">
      <w:pPr>
        <w:spacing w:line="115" w:lineRule="exact"/>
        <w:rPr>
          <w:b/>
          <w:bCs/>
          <w:sz w:val="24"/>
          <w:szCs w:val="24"/>
        </w:rPr>
      </w:pPr>
    </w:p>
    <w:p w:rsidR="00D24E61" w:rsidRPr="00771368" w:rsidRDefault="00D24E61" w:rsidP="00EA38AA">
      <w:pPr>
        <w:numPr>
          <w:ilvl w:val="0"/>
          <w:numId w:val="50"/>
        </w:numPr>
        <w:tabs>
          <w:tab w:val="left" w:pos="254"/>
        </w:tabs>
        <w:spacing w:line="310" w:lineRule="auto"/>
        <w:jc w:val="both"/>
        <w:rPr>
          <w:b/>
          <w:bCs/>
          <w:sz w:val="24"/>
          <w:szCs w:val="24"/>
        </w:rPr>
      </w:pPr>
      <w:r w:rsidRPr="00771368">
        <w:rPr>
          <w:sz w:val="24"/>
          <w:szCs w:val="24"/>
        </w:rPr>
        <w:t>Estimular a inclusão educacional, produtiva e social de mulheres em situação de vulnerabilidade social;</w:t>
      </w:r>
    </w:p>
    <w:p w:rsidR="00D24E61" w:rsidRPr="00771368" w:rsidRDefault="00D24E61">
      <w:pPr>
        <w:spacing w:line="56" w:lineRule="exact"/>
        <w:rPr>
          <w:b/>
          <w:bCs/>
          <w:sz w:val="24"/>
          <w:szCs w:val="24"/>
        </w:rPr>
      </w:pPr>
    </w:p>
    <w:p w:rsidR="00D24E61" w:rsidRPr="00771368" w:rsidRDefault="00D24E61" w:rsidP="00EA38AA">
      <w:pPr>
        <w:numPr>
          <w:ilvl w:val="0"/>
          <w:numId w:val="50"/>
        </w:numPr>
        <w:tabs>
          <w:tab w:val="left" w:pos="200"/>
        </w:tabs>
        <w:jc w:val="both"/>
        <w:rPr>
          <w:sz w:val="24"/>
          <w:szCs w:val="24"/>
        </w:rPr>
      </w:pPr>
      <w:r w:rsidRPr="00771368">
        <w:rPr>
          <w:sz w:val="24"/>
          <w:szCs w:val="24"/>
        </w:rPr>
        <w:t>Fomentar a eqüidade de gênero, a emancipação e o empoderamento das mulheres pelo</w:t>
      </w:r>
    </w:p>
    <w:p w:rsidR="00D24E61" w:rsidRPr="00771368" w:rsidRDefault="00D24E61">
      <w:pPr>
        <w:spacing w:line="139" w:lineRule="exact"/>
        <w:rPr>
          <w:sz w:val="20"/>
          <w:szCs w:val="20"/>
        </w:rPr>
      </w:pPr>
    </w:p>
    <w:p w:rsidR="00D24E61" w:rsidRPr="00771368" w:rsidRDefault="00D24E61">
      <w:pPr>
        <w:rPr>
          <w:sz w:val="20"/>
          <w:szCs w:val="20"/>
        </w:rPr>
      </w:pPr>
      <w:r w:rsidRPr="00771368">
        <w:rPr>
          <w:sz w:val="24"/>
          <w:szCs w:val="24"/>
        </w:rPr>
        <w:t>acesso à educação e ao mundo do trabalho;</w:t>
      </w:r>
    </w:p>
    <w:p w:rsidR="00D24E61" w:rsidRPr="00771368" w:rsidRDefault="00D24E61">
      <w:pPr>
        <w:spacing w:line="195" w:lineRule="exact"/>
        <w:rPr>
          <w:sz w:val="20"/>
          <w:szCs w:val="20"/>
        </w:rPr>
      </w:pPr>
    </w:p>
    <w:p w:rsidR="00D24E61" w:rsidRPr="00771368" w:rsidRDefault="00D24E61">
      <w:pPr>
        <w:numPr>
          <w:ilvl w:val="0"/>
          <w:numId w:val="2"/>
        </w:numPr>
        <w:tabs>
          <w:tab w:val="left" w:pos="268"/>
        </w:tabs>
        <w:spacing w:line="334" w:lineRule="auto"/>
        <w:ind w:firstLine="2"/>
        <w:jc w:val="both"/>
        <w:rPr>
          <w:sz w:val="24"/>
          <w:szCs w:val="24"/>
        </w:rPr>
      </w:pPr>
      <w:r w:rsidRPr="00771368">
        <w:rPr>
          <w:sz w:val="24"/>
          <w:szCs w:val="24"/>
        </w:rPr>
        <w:t>Agregar valor ao processo de ingresso, reconhecendo a aprendizagem e saberes previamente adquiridos pelas mulheres e respeitando sua trajetória de vida e sua construção social;</w:t>
      </w:r>
    </w:p>
    <w:p w:rsidR="00D24E61" w:rsidRPr="00771368" w:rsidRDefault="00D24E61">
      <w:pPr>
        <w:spacing w:line="32" w:lineRule="exact"/>
        <w:rPr>
          <w:sz w:val="24"/>
          <w:szCs w:val="24"/>
        </w:rPr>
      </w:pPr>
    </w:p>
    <w:p w:rsidR="00D24E61" w:rsidRPr="00771368" w:rsidRDefault="00D24E61">
      <w:pPr>
        <w:numPr>
          <w:ilvl w:val="0"/>
          <w:numId w:val="2"/>
        </w:numPr>
        <w:tabs>
          <w:tab w:val="left" w:pos="260"/>
        </w:tabs>
        <w:ind w:left="260" w:hanging="258"/>
        <w:jc w:val="both"/>
        <w:rPr>
          <w:sz w:val="24"/>
          <w:szCs w:val="24"/>
        </w:rPr>
      </w:pPr>
      <w:r w:rsidRPr="00771368">
        <w:rPr>
          <w:sz w:val="24"/>
          <w:szCs w:val="24"/>
        </w:rPr>
        <w:t>Contribuir com o desenvolvimento da competência institucional na  aplicação de</w:t>
      </w:r>
    </w:p>
    <w:p w:rsidR="00D24E61" w:rsidRPr="00771368" w:rsidRDefault="00D24E61">
      <w:pPr>
        <w:spacing w:line="195" w:lineRule="exact"/>
        <w:rPr>
          <w:sz w:val="20"/>
          <w:szCs w:val="20"/>
        </w:rPr>
      </w:pPr>
    </w:p>
    <w:p w:rsidR="00D24E61" w:rsidRPr="00771368" w:rsidRDefault="00D24E61">
      <w:pPr>
        <w:spacing w:line="334" w:lineRule="auto"/>
        <w:jc w:val="both"/>
        <w:rPr>
          <w:sz w:val="20"/>
          <w:szCs w:val="20"/>
        </w:rPr>
      </w:pPr>
      <w:r w:rsidRPr="00771368">
        <w:rPr>
          <w:sz w:val="24"/>
          <w:szCs w:val="24"/>
        </w:rPr>
        <w:t>metodologia, instrumentos e currículos que materializem os processos de inclusão e permanência das populações historicamente excluídas do sistema educacional e do mundo do trabalho;</w:t>
      </w:r>
    </w:p>
    <w:p w:rsidR="00D24E61" w:rsidRPr="00771368" w:rsidRDefault="00D24E61">
      <w:pPr>
        <w:spacing w:line="91" w:lineRule="exact"/>
        <w:rPr>
          <w:sz w:val="20"/>
          <w:szCs w:val="20"/>
        </w:rPr>
      </w:pPr>
    </w:p>
    <w:p w:rsidR="00D24E61" w:rsidRPr="00771368" w:rsidRDefault="00D24E61">
      <w:pPr>
        <w:numPr>
          <w:ilvl w:val="0"/>
          <w:numId w:val="3"/>
        </w:numPr>
        <w:tabs>
          <w:tab w:val="left" w:pos="280"/>
        </w:tabs>
        <w:spacing w:line="308" w:lineRule="auto"/>
        <w:ind w:firstLine="2"/>
        <w:jc w:val="both"/>
        <w:rPr>
          <w:sz w:val="24"/>
          <w:szCs w:val="24"/>
        </w:rPr>
      </w:pPr>
      <w:r w:rsidRPr="00771368">
        <w:rPr>
          <w:sz w:val="24"/>
          <w:szCs w:val="24"/>
        </w:rPr>
        <w:t>Garantir a permanência com êxito do público alvo na Instituição Educacional, minimizando as possibilidades de baixo rendimento escolar e/ou desistência;</w:t>
      </w:r>
    </w:p>
    <w:p w:rsidR="00D24E61" w:rsidRPr="00771368" w:rsidRDefault="00D24E61">
      <w:pPr>
        <w:spacing w:line="61" w:lineRule="exact"/>
        <w:rPr>
          <w:sz w:val="24"/>
          <w:szCs w:val="24"/>
        </w:rPr>
      </w:pPr>
    </w:p>
    <w:p w:rsidR="00D24E61" w:rsidRPr="00771368" w:rsidRDefault="00D24E61">
      <w:pPr>
        <w:numPr>
          <w:ilvl w:val="0"/>
          <w:numId w:val="3"/>
        </w:numPr>
        <w:tabs>
          <w:tab w:val="left" w:pos="200"/>
        </w:tabs>
        <w:ind w:left="200" w:hanging="198"/>
        <w:jc w:val="both"/>
        <w:rPr>
          <w:b/>
          <w:bCs/>
          <w:sz w:val="24"/>
          <w:szCs w:val="24"/>
        </w:rPr>
      </w:pPr>
      <w:r w:rsidRPr="00771368">
        <w:rPr>
          <w:sz w:val="24"/>
          <w:szCs w:val="24"/>
        </w:rPr>
        <w:t>Permitir o acesso à educação profissional e tecnológica do alunado não tradicional;</w:t>
      </w:r>
    </w:p>
    <w:p w:rsidR="00D24E61" w:rsidRPr="00771368" w:rsidRDefault="00D24E61">
      <w:pPr>
        <w:spacing w:line="195" w:lineRule="exact"/>
        <w:rPr>
          <w:b/>
          <w:bCs/>
          <w:sz w:val="24"/>
          <w:szCs w:val="24"/>
        </w:rPr>
      </w:pPr>
    </w:p>
    <w:p w:rsidR="00D24E61" w:rsidRPr="00771368" w:rsidRDefault="00D24E61">
      <w:pPr>
        <w:numPr>
          <w:ilvl w:val="0"/>
          <w:numId w:val="3"/>
        </w:numPr>
        <w:tabs>
          <w:tab w:val="left" w:pos="269"/>
        </w:tabs>
        <w:spacing w:line="334" w:lineRule="auto"/>
        <w:ind w:firstLine="2"/>
        <w:jc w:val="both"/>
        <w:rPr>
          <w:b/>
          <w:bCs/>
          <w:sz w:val="24"/>
          <w:szCs w:val="24"/>
        </w:rPr>
      </w:pPr>
      <w:r w:rsidRPr="00771368">
        <w:rPr>
          <w:sz w:val="24"/>
          <w:szCs w:val="24"/>
        </w:rPr>
        <w:t>Possibilitar o suporte, em forma de serviços e espaços, às mulheres, alunas do programa, para que elas resgatem sua segurança e sintam confiança na equipe multidisciplinar e na instituição;</w:t>
      </w:r>
    </w:p>
    <w:p w:rsidR="00D24E61" w:rsidRPr="00771368" w:rsidRDefault="00D24E61">
      <w:pPr>
        <w:spacing w:line="90" w:lineRule="exact"/>
        <w:rPr>
          <w:b/>
          <w:bCs/>
          <w:sz w:val="24"/>
          <w:szCs w:val="24"/>
        </w:rPr>
      </w:pPr>
    </w:p>
    <w:p w:rsidR="00D24E61" w:rsidRPr="00771368" w:rsidRDefault="00D24E61">
      <w:pPr>
        <w:numPr>
          <w:ilvl w:val="0"/>
          <w:numId w:val="3"/>
        </w:numPr>
        <w:tabs>
          <w:tab w:val="left" w:pos="209"/>
        </w:tabs>
        <w:spacing w:line="308" w:lineRule="auto"/>
        <w:ind w:firstLine="2"/>
        <w:jc w:val="both"/>
        <w:rPr>
          <w:b/>
          <w:bCs/>
          <w:sz w:val="24"/>
          <w:szCs w:val="24"/>
        </w:rPr>
      </w:pPr>
      <w:r w:rsidRPr="00771368">
        <w:rPr>
          <w:sz w:val="24"/>
          <w:szCs w:val="24"/>
        </w:rPr>
        <w:t>Estabelecer diálogos e parcerias com o mundo do trabalho para possibilitar o ingresso e a permanência das educandas nos seus empregos e empreendimentos.</w:t>
      </w:r>
    </w:p>
    <w:p w:rsidR="009D5D08" w:rsidRDefault="009D5D08">
      <w:pPr>
        <w:rPr>
          <w:b/>
          <w:bCs/>
          <w:sz w:val="24"/>
          <w:szCs w:val="24"/>
        </w:rPr>
      </w:pPr>
    </w:p>
    <w:p w:rsidR="00D24E61" w:rsidRPr="00771368" w:rsidRDefault="00D24E61">
      <w:pPr>
        <w:rPr>
          <w:sz w:val="20"/>
          <w:szCs w:val="20"/>
        </w:rPr>
      </w:pPr>
      <w:r w:rsidRPr="00771368">
        <w:rPr>
          <w:b/>
          <w:bCs/>
          <w:sz w:val="24"/>
          <w:szCs w:val="24"/>
        </w:rPr>
        <w:t>3. MÉTODOS E PROCEDIMENTOS</w:t>
      </w:r>
    </w:p>
    <w:p w:rsidR="00D24E61" w:rsidRPr="00771368" w:rsidRDefault="00D24E61">
      <w:pPr>
        <w:spacing w:line="193" w:lineRule="exact"/>
        <w:rPr>
          <w:sz w:val="20"/>
          <w:szCs w:val="20"/>
        </w:rPr>
      </w:pPr>
    </w:p>
    <w:p w:rsidR="00D24E61" w:rsidRPr="00771368" w:rsidRDefault="00D24E61" w:rsidP="00D63CBC">
      <w:pPr>
        <w:spacing w:line="358" w:lineRule="auto"/>
        <w:ind w:firstLine="708"/>
        <w:jc w:val="both"/>
        <w:rPr>
          <w:sz w:val="20"/>
          <w:szCs w:val="20"/>
        </w:rPr>
      </w:pPr>
      <w:r w:rsidRPr="00771368">
        <w:rPr>
          <w:sz w:val="24"/>
          <w:szCs w:val="24"/>
        </w:rPr>
        <w:t xml:space="preserve">A inserção do </w:t>
      </w:r>
      <w:r w:rsidRPr="00771368">
        <w:rPr>
          <w:i/>
          <w:iCs/>
          <w:sz w:val="24"/>
          <w:szCs w:val="24"/>
        </w:rPr>
        <w:t>Campus</w:t>
      </w:r>
      <w:r w:rsidRPr="00771368">
        <w:rPr>
          <w:sz w:val="24"/>
          <w:szCs w:val="24"/>
        </w:rPr>
        <w:t xml:space="preserve"> Codó nesse programa ocorreu por via de adesão à chamada pública MEC/SETEC – 06/2012. Tão logo, tendo sido aprovado o Projeto, iniciamos os contatos com as mulheres das comunidades a serem trabalhadas. Essas atividades eram inicialmente as de sensibilização, através das quais as mulheres ficavam informadas acerca do Programa, Diálogos com a Equipe Multidisciplinar do </w:t>
      </w:r>
      <w:r w:rsidRPr="00771368">
        <w:rPr>
          <w:i/>
          <w:iCs/>
          <w:sz w:val="24"/>
          <w:szCs w:val="24"/>
        </w:rPr>
        <w:t>Campus</w:t>
      </w:r>
      <w:r w:rsidRPr="00771368">
        <w:rPr>
          <w:sz w:val="24"/>
          <w:szCs w:val="24"/>
        </w:rPr>
        <w:t xml:space="preserve"> e Entrevistas com as mulheres das diversas comunidades do entorno do Instituto Federal do Maranhão. Foram exatamente as entrevistas que nos forneceram subsídios para a coleta das informações constantes desse trabalho, o qual se caracteriza quanto aos objetivos, como uma pesquisa descritiva. Segundo Gil (1999), a pesquisa descritiva visa delinear características de determinada população, fenômeno ou estabelecimento de relações entre variáveis. Neste sentido, Andrade (2002) complementa que a pesquisa descritiva se preocupa em observar, registrar, analisar, classificar e interpretar os fatos, sem que haja a manipulação do pesquisador. O fato de analisar o resultado de entrevistas caracteriza essa pesquisa, quanto aos procedimentos, igualmente como de tipologia documental, Silva e Grigolo (2002) definem a pesquisa documental como aquela direcionada a materiais que não tiveram uma análise aprofundada e visa selecionar, tratar e interpretar a informação bruta com o fim de extrair dela sentido e valor. Gil (1999) complementa a idéia, ao dividir os documentos em dois tipos principais: fontes de primeira mão, que são aquelas que não receberam qualquer análise, como documentos oficiais e reportagens jornalísticas; e fontes de segunda mão, que consistem em materiais que, de algum modo, já foram analisados, tais como relatórios de pesquisa e tabelas estatísticas. Desta forma, os dados resultantes das Entrevistas Individuais Dialogadas são caracterizados como de primeira mão. O instrumento de pesquisa utilizado neste trabalho foi a Entrevista. Essa escolha se justifica em função do fato que a Entrevista individual Dialogada configura-se como instrumento mais adequado à aferição dos dados, haja vista ter sido uma atividade que possibilitou uma maior aproximação entre membros da equipe de avaliadores e as candidatas que concorriam às vagas do Programa. A entrevista constitui-se uma parte importante do processo de seleção. De acordo com Duarte (2004), as entrevistas são básicas quando se precisa ou se deseja mapear práticas, crenças, valores e sistemas classificatórios de universo sociais específicos. Para tanto, essa etapa foi operacionalizada por uma equipe multiprofissional composta de Profissionais do Serviço social, Pedagogos e Técnicos em Educação. O tipo de entrevista utilizada foi a Entrevista estruturada, a qual, segundo</w:t>
      </w:r>
    </w:p>
    <w:p w:rsidR="00D24E61" w:rsidRPr="00771368" w:rsidRDefault="00D24E61">
      <w:pPr>
        <w:spacing w:line="357" w:lineRule="auto"/>
        <w:jc w:val="both"/>
        <w:rPr>
          <w:sz w:val="20"/>
          <w:szCs w:val="20"/>
        </w:rPr>
      </w:pPr>
      <w:r w:rsidRPr="00771368">
        <w:rPr>
          <w:sz w:val="24"/>
          <w:szCs w:val="24"/>
        </w:rPr>
        <w:t xml:space="preserve">Severino (2012), consiste no instrumento em que as questões estão antecipadamente formadas e direcionadas, além de possuírem uma articulação interna. Esse tipo de entrevista se apresenta como útil no desenvolvimento de levantamentos sociais, pois, como as questões são diretivas, facilita-se a categorização das respostas. É importante ressaltar que houve a preocupação da equipe multidisciplinar com a formulação das questões da Entrevista, para que apresentassem uma linguagem direta, clara e simples, que possibilitassem respostas objetivas e que deixassem as mulheres à vontade para se expressarem. Esse instrumento possibilitou à equipe do Programa identificar a situação econômica, educacional e social atual, além das aspirações das futuras alunas do Programa Mulheres Mil, no que diz respeito à escolaridade e os aspectos motivacionais envolvidos nesse processo, além de fornecer as percepções sobre o Programa e os possíveis benefícios que o mesmo promove. O roteiro de Entrevista foi formulado com 25 questões assim sistematizadas: questões fechadas, as quais solicitavam das entrevistadas dados sobre o estado civil, a quantidade de membros na família, a escolaridade, a renda familiar mensal, a inclusão em programas assistenciais, a situação de trabalho atual, a localização da residência (zona urbana ou rural), as condições dessa moradia (própria, alugada, cedida), a existência (ou não) de doenças na família, a posse (ou não) de microcomputador e a frequência de uso deste, e outras questões abertas que versavam sobre o meio pelo qual as candidatas tomaram conhecimento sobre o Programa Mulheres Mil, a motivação inicial e as expectativas futuras sobre este programa. No cabeçalho constavam campos a serem respondidos com o nome completo, data de nascimento e município de origem. Foram analisadas as 100(cem) entrevistas das mulheres contempladas com o Programa Mulheres Mil do </w:t>
      </w:r>
      <w:r w:rsidRPr="00771368">
        <w:rPr>
          <w:i/>
          <w:iCs/>
          <w:sz w:val="24"/>
          <w:szCs w:val="24"/>
        </w:rPr>
        <w:t>Campus</w:t>
      </w:r>
    </w:p>
    <w:p w:rsidR="00D24E61" w:rsidRPr="00771368" w:rsidRDefault="00D24E61">
      <w:pPr>
        <w:spacing w:line="83" w:lineRule="exact"/>
        <w:rPr>
          <w:sz w:val="20"/>
          <w:szCs w:val="20"/>
        </w:rPr>
      </w:pPr>
    </w:p>
    <w:p w:rsidR="00D24E61" w:rsidRPr="00771368" w:rsidRDefault="00D24E61" w:rsidP="00D63CBC">
      <w:pPr>
        <w:spacing w:line="354" w:lineRule="auto"/>
        <w:jc w:val="both"/>
        <w:rPr>
          <w:sz w:val="20"/>
          <w:szCs w:val="20"/>
        </w:rPr>
      </w:pPr>
      <w:r w:rsidRPr="00771368">
        <w:rPr>
          <w:sz w:val="24"/>
          <w:szCs w:val="24"/>
        </w:rPr>
        <w:t>Codó. A opção por estas questões se deu pela escolha da equipe executora do Programa, fundamentada em assuntos relevantes para o conhecimento dos docentes que compunham a equipe e necessitavam de informações sobre o perfil socioeconômico e educacional, a fim de deterem melhores condições para organizar os conteúdos das disciplinas que ministrariam para este público. As respostas foram registradas pelos profissionais da equipe durante o momento de entrevista. Após a coleta dos dados, sua apuração ocorreu através da soma e processamento estatístico dos mesmos. Quanto à análise de dados, foi feita com base em uma abordagem quantitativo-qualitativa, já que esta não se prende apenas aos aspectos subjetivos, mas também aos numéricos (MINAYO, 1993). De posse dessas informações iniciou-se o processo de seleção e matrículas dessas alunas para as Turmas dos Cursos Básicos de Qualificação</w:t>
      </w:r>
      <w:r w:rsidR="00D63CBC">
        <w:rPr>
          <w:sz w:val="24"/>
          <w:szCs w:val="24"/>
        </w:rPr>
        <w:t xml:space="preserve"> </w:t>
      </w:r>
      <w:r w:rsidRPr="00771368">
        <w:rPr>
          <w:sz w:val="24"/>
          <w:szCs w:val="24"/>
        </w:rPr>
        <w:t xml:space="preserve">Profissional em Artesanato e Panificação, sendo 50 alunas distribuídas para cada Curso em horários, turnos e dias diferenciados, por entender que são donas de casas e possuem como atividade econômica a agricultura precisando dessa forma ter um horário de estudo que atendesse suas necessidades domésticas e do campo. As aulas do Curso Básico de Artesanato tiveram início imediato ainda em meados do mês de outubro de 2013 com intervalos para recessos e férias, pois tínhamos que seguir o calendário pedagógico do Instituto Federal – </w:t>
      </w:r>
      <w:r w:rsidRPr="00771368">
        <w:rPr>
          <w:i/>
          <w:iCs/>
          <w:sz w:val="24"/>
          <w:szCs w:val="24"/>
        </w:rPr>
        <w:t>Campus</w:t>
      </w:r>
      <w:r w:rsidRPr="00771368">
        <w:rPr>
          <w:sz w:val="24"/>
          <w:szCs w:val="24"/>
        </w:rPr>
        <w:t xml:space="preserve"> Codó. No dia 19 de Abril de 2013 Formamos a 1ª Turma do Programa Mulheres Mil no Curso Básico de Qualificação Profissional em Artesanato, sendo que 48 alunas concluíram o curso, com apenas 2 (duas) alunas desistente. No dia 29 de abril de 2013 iniciaram-se as aulas para as alunas selecionadas para o Curso Básico de Qualificação Profissional em Panificação, também com pausas para recessos e férias. E no dia 27 de Setembro de 2013 Formamos 45 alunas do Curso Básico de Qualificação profissional em Panificação, tendo um índice insignificante de desistência, apenas 5 (cinco) alunas não concluíram o curso. Nessa perspectiva, o potencial do Programa Mil consolidou-se como uma proposta efetiva de replicabilidade de suas experiências com novas turmas de Curso Básico de Formação Inicial e Continuada ainda no ano de 2013 com o Curso de Olericultura (Produção de Hortas) atendendo mais 100(cem) mulheres das diversas comunidades do Município de Codó. Diante do relato exposto observa-se que o Instituto Federal de Educação, Ciência e Tecnologia do Maranhão – </w:t>
      </w:r>
      <w:r w:rsidRPr="00771368">
        <w:rPr>
          <w:i/>
          <w:iCs/>
          <w:sz w:val="24"/>
          <w:szCs w:val="24"/>
        </w:rPr>
        <w:t>Campus</w:t>
      </w:r>
      <w:r w:rsidRPr="00771368">
        <w:rPr>
          <w:sz w:val="24"/>
          <w:szCs w:val="24"/>
        </w:rPr>
        <w:t xml:space="preserve"> Codó com a inserção do Programa Mulheres Mil torna-se um espaço legítimo para a promoção do ingresso, permanência e êxito das mulheres assistidas pelo programa. Reconhecendo a aprendizagem prévia dessas mulheres, respeitando sua trajetória de vida e sua construção social.</w:t>
      </w:r>
    </w:p>
    <w:p w:rsidR="00D63CBC" w:rsidRDefault="00D63CBC">
      <w:pPr>
        <w:rPr>
          <w:b/>
          <w:bCs/>
          <w:sz w:val="24"/>
          <w:szCs w:val="24"/>
        </w:rPr>
      </w:pPr>
    </w:p>
    <w:p w:rsidR="00D24E61" w:rsidRPr="00771368" w:rsidRDefault="00D24E61">
      <w:pPr>
        <w:rPr>
          <w:sz w:val="20"/>
          <w:szCs w:val="20"/>
        </w:rPr>
      </w:pPr>
      <w:r w:rsidRPr="00771368">
        <w:rPr>
          <w:b/>
          <w:bCs/>
          <w:sz w:val="24"/>
          <w:szCs w:val="24"/>
        </w:rPr>
        <w:t>4. RESULTADOS E DISCUSSÃO</w:t>
      </w:r>
    </w:p>
    <w:p w:rsidR="00D24E61" w:rsidRPr="00771368" w:rsidRDefault="00D24E61">
      <w:pPr>
        <w:spacing w:line="193" w:lineRule="exact"/>
        <w:rPr>
          <w:sz w:val="20"/>
          <w:szCs w:val="20"/>
        </w:rPr>
      </w:pPr>
    </w:p>
    <w:p w:rsidR="00D24E61" w:rsidRPr="00771368" w:rsidRDefault="00D24E61">
      <w:pPr>
        <w:spacing w:line="355" w:lineRule="auto"/>
        <w:ind w:firstLine="708"/>
        <w:jc w:val="both"/>
        <w:rPr>
          <w:sz w:val="20"/>
          <w:szCs w:val="20"/>
        </w:rPr>
      </w:pPr>
      <w:r w:rsidRPr="00771368">
        <w:rPr>
          <w:sz w:val="24"/>
          <w:szCs w:val="24"/>
        </w:rPr>
        <w:t xml:space="preserve">Este estudo resulta da experiência do Programa Mulheres no Instituto Federal de Educação, Ciência e Tecnologia do Maranhão – </w:t>
      </w:r>
      <w:r w:rsidRPr="00771368">
        <w:rPr>
          <w:i/>
          <w:iCs/>
          <w:sz w:val="24"/>
          <w:szCs w:val="24"/>
        </w:rPr>
        <w:t>Campus</w:t>
      </w:r>
      <w:r w:rsidRPr="00771368">
        <w:rPr>
          <w:sz w:val="24"/>
          <w:szCs w:val="24"/>
        </w:rPr>
        <w:t xml:space="preserve"> Codó e surge de um olhar sobre os benefícios que esse projeto empreende nas alunas assistidas pelo Mulheres Mil. A priori atende-se 100(cem) mulheres das comunidades vizinhas do Instituto Federal, sendo estas: codó novo, barra do saco, santa Filomena, são Pedro, são Francisco, Trizidela, santa Terezinha (comunidade esta em que fica localizado o Aterro Sanitário do Município), São José dentre outras. A maioria dessas mulheres é extrativista, ou seja, tem como economia de subsistência a quebra do coco babaçu e algumas outras beneficiárias de Programas Sociais do Governo Federal, a exemplo da “Bolsa Família” e “Bolsa Escola”. Destarte, para a consolidação do Programa Mulheres Mil, o fazer pedagógico é um instrumento transformador, sintonizado com as demandas sociais, econômicas e culturais, permeando-se das questões de diversidade cultural pautado na ética da responsabilidade social.</w:t>
      </w:r>
    </w:p>
    <w:p w:rsidR="00D24E61" w:rsidRPr="00771368" w:rsidRDefault="00D24E61">
      <w:pPr>
        <w:spacing w:line="75" w:lineRule="exact"/>
        <w:rPr>
          <w:sz w:val="20"/>
          <w:szCs w:val="20"/>
        </w:rPr>
      </w:pPr>
    </w:p>
    <w:p w:rsidR="00D24E61" w:rsidRPr="00771368" w:rsidRDefault="00D24E61">
      <w:pPr>
        <w:spacing w:line="355" w:lineRule="auto"/>
        <w:ind w:firstLine="708"/>
        <w:jc w:val="both"/>
        <w:rPr>
          <w:sz w:val="20"/>
          <w:szCs w:val="20"/>
        </w:rPr>
      </w:pPr>
      <w:r w:rsidRPr="00771368">
        <w:rPr>
          <w:sz w:val="24"/>
          <w:szCs w:val="24"/>
        </w:rPr>
        <w:t xml:space="preserve">Assim sendo, garantir a formação de mulheres que estão à margem da vulnerabilidade social significa superar as barreiras imposta pela sociedade e enfrentar novos desafios através da Educação e da Cidadania. Possibilitando a essas mulheres uma vida mais justa e digna. O desafio que se impõem hoje pelo Instituto Federal de Educação, Ciência e Tecnologia do Maranhão - </w:t>
      </w:r>
      <w:r w:rsidRPr="00771368">
        <w:rPr>
          <w:i/>
          <w:iCs/>
          <w:sz w:val="24"/>
          <w:szCs w:val="24"/>
        </w:rPr>
        <w:t>Campus</w:t>
      </w:r>
      <w:r w:rsidRPr="00771368">
        <w:rPr>
          <w:sz w:val="24"/>
          <w:szCs w:val="24"/>
        </w:rPr>
        <w:t xml:space="preserve"> Codó que legitimou o Projeto Mulheres Mil é o de assegurar a permanência dessas alunas em sala de aulas e proferir a oferta da elevação da escolaridade. O impacto esperado e alcançado foi o de que a formação contribuiu para que essas mulheres assistidas pelo Programa desenvolvam sua autonomia e exerçam, de forma plena, sua cidadania. O Programa Mulheres Mil contempla o reconhecimento de aprendizagem adquiridas ao longo da vida e um serviço de aconselhamento e atendimento às demandas das mulheres, por meio de equipe multidisciplinar capacitada para encaminhar o alunado não tradicional e desfavorecido para o desenvolvimento de programas personalizados.</w:t>
      </w:r>
    </w:p>
    <w:p w:rsidR="00D24E61" w:rsidRPr="00771368" w:rsidRDefault="00D24E61">
      <w:pPr>
        <w:spacing w:line="77" w:lineRule="exact"/>
        <w:rPr>
          <w:sz w:val="20"/>
          <w:szCs w:val="20"/>
        </w:rPr>
      </w:pPr>
    </w:p>
    <w:p w:rsidR="00D24E61" w:rsidRPr="00771368" w:rsidRDefault="00D24E61" w:rsidP="00D63CBC">
      <w:pPr>
        <w:spacing w:line="351" w:lineRule="auto"/>
        <w:ind w:firstLine="708"/>
        <w:jc w:val="both"/>
        <w:rPr>
          <w:sz w:val="20"/>
          <w:szCs w:val="20"/>
        </w:rPr>
      </w:pPr>
      <w:r w:rsidRPr="00771368">
        <w:rPr>
          <w:sz w:val="24"/>
          <w:szCs w:val="24"/>
        </w:rPr>
        <w:t>As narrativas orais das mulheres participantes refletem que houve uma transformação substantiva na vida pessoal e familiar, como sujeitos da sua própria história. Há casos em que os filhos voltaram a estudar porque querem seguir o exemplo da mãe; outras já garantem a renda familiar com a própria produção etc. Os primeiros resultados esperados já apontavam para o caminho da institucionalização da experiência como política pública inovadora, na qual a educação e a formação profissional e tecnológica se consolidam como instrumento para a inclusão, a equidade e o</w:t>
      </w:r>
      <w:r w:rsidR="00D63CBC">
        <w:rPr>
          <w:sz w:val="24"/>
          <w:szCs w:val="24"/>
        </w:rPr>
        <w:t xml:space="preserve"> </w:t>
      </w:r>
      <w:r w:rsidRPr="00771368">
        <w:rPr>
          <w:sz w:val="24"/>
          <w:szCs w:val="24"/>
        </w:rPr>
        <w:t>desenvolvimento sustentável de comunidades contempladas com o Programa. Os resultados obtidos nessa experiência demonstram a importância de implantar políticas educacionais com recorte de gênero. Segundo narrativas orais das alunas, detectou-se o acesso à formação educacional e profissional contribuiu para mudanças na vida dessas mulheres em diversos aspectos, desde a inserção de egressas no mundo do trabalho, nas relações familiares, na melhoria do desempenho dos seus filhos na escola, visto que elas passaram a auxiliá-los e incentivá-los nos estudos. Além disso, elas conquistaram respeito dos seus cônjuges e companheiros, reduzindo a violência doméstica, assim como assumiram o papel de multiplicadoras de conhecimento nas suas comunidades, incentivando e mobilizando outras mulheres a seguir a mesma trajetória.</w:t>
      </w:r>
    </w:p>
    <w:p w:rsidR="00D63CBC" w:rsidRDefault="00D63CBC">
      <w:pPr>
        <w:rPr>
          <w:b/>
          <w:bCs/>
          <w:sz w:val="24"/>
          <w:szCs w:val="24"/>
        </w:rPr>
      </w:pPr>
    </w:p>
    <w:p w:rsidR="00D24E61" w:rsidRPr="00771368" w:rsidRDefault="00D24E61">
      <w:pPr>
        <w:rPr>
          <w:sz w:val="20"/>
          <w:szCs w:val="20"/>
        </w:rPr>
      </w:pPr>
      <w:r w:rsidRPr="00771368">
        <w:rPr>
          <w:b/>
          <w:bCs/>
          <w:sz w:val="24"/>
          <w:szCs w:val="24"/>
        </w:rPr>
        <w:t>5. CONCLUSÃO</w:t>
      </w:r>
    </w:p>
    <w:p w:rsidR="00D24E61" w:rsidRPr="00771368" w:rsidRDefault="00D24E61">
      <w:pPr>
        <w:spacing w:line="296" w:lineRule="exact"/>
        <w:rPr>
          <w:sz w:val="20"/>
          <w:szCs w:val="20"/>
        </w:rPr>
      </w:pPr>
    </w:p>
    <w:p w:rsidR="00D24E61" w:rsidRPr="00771368" w:rsidRDefault="00D24E61" w:rsidP="00D63CBC">
      <w:pPr>
        <w:spacing w:line="358" w:lineRule="auto"/>
        <w:ind w:firstLine="708"/>
        <w:jc w:val="both"/>
        <w:rPr>
          <w:sz w:val="20"/>
          <w:szCs w:val="20"/>
        </w:rPr>
      </w:pPr>
      <w:r w:rsidRPr="00771368">
        <w:rPr>
          <w:sz w:val="24"/>
          <w:szCs w:val="24"/>
        </w:rPr>
        <w:t xml:space="preserve">O Programa Mulheres Mil é uma proposta de aliar a educação ao trabalho, visando à diminuição de problemas sociais em comunidades com baixo índice de desenvolvimento humano. Enquanto ação nacional, essa iniciativa aportará contribuições significativas para a inserção de mulheres em situação de vulnerabilidade social no contexto social e educacional como forma de promover o resgate de sua cidadania e consequentemente de seus direitos que estavam à margem da exclusão. Não obstante observa-se que o Programa promove a ampliação da formação de jovens e adultos para atender as demandas da sociedade. O recorte de gênero dá-se pelo crescente número de mulheres que ampliam o seu papel na sociedade e em suas comunidades, assumindo a chefia das suas famílias, e que são responsáveis não só pelo sustento financeiro das suas residências, mas também pelo desenvolvimento cultural, social e educacional dos seus filhos e demais membros da família, fato que repercute nas futuras gerações e no desenvolvimento igualitário e justo do País. O Programa Mulheres Mil alcança uma concentração institucional por meio da melhoria do acesso de mulheres à educação e ao mundo do trabalho, promovendo, assim, o crescimento humano, com a melhoria das condições de vida sociocultural e econômica e governança de suas comunidades, conforme se transformam em cidadã, social e economicamente emancipadas. Nessa perspectiva, o Programa é um instrumento promotor de educação, qualificação e formação profissional e tecnológica de mulheres em situação de vulnerabilidade. A experiência do Programa Mulheres Mil no Instituto Federal de Educação, Ciência e Tecnologia do Maranhão – </w:t>
      </w:r>
      <w:r w:rsidRPr="00771368">
        <w:rPr>
          <w:i/>
          <w:iCs/>
          <w:sz w:val="24"/>
          <w:szCs w:val="24"/>
        </w:rPr>
        <w:t>Campus</w:t>
      </w:r>
      <w:r w:rsidRPr="00771368">
        <w:rPr>
          <w:sz w:val="24"/>
          <w:szCs w:val="24"/>
        </w:rPr>
        <w:t xml:space="preserve"> Codó é de extrema importância por seu caráter de acesso inclusivo e afirmativo de mulheres que ao longo da vida perderam sua identidade social e que precisam resgatar seus saberes adquiridos ao longo do processo de exclusão. O relato aqui exposto sobre a Experiência do Programa Mulheres Mil no IFMA - </w:t>
      </w:r>
      <w:r w:rsidRPr="00771368">
        <w:rPr>
          <w:i/>
          <w:iCs/>
          <w:sz w:val="24"/>
          <w:szCs w:val="24"/>
        </w:rPr>
        <w:t>Campus</w:t>
      </w:r>
      <w:r w:rsidRPr="00771368">
        <w:rPr>
          <w:sz w:val="24"/>
          <w:szCs w:val="24"/>
        </w:rPr>
        <w:t xml:space="preserve"> Codó corrobora para a grande necessidade de se promover ações para o desenvolvimento humano e social de mulheres, no tange ao aumento da escolaridade, capacitação para o mercado de trabalho e ampliação da renda familiar. O Programa promove a socialização, por meio da oferta de formação focada na autonomia e na criação de alternativas para a inserção no mundo do trabalho, para que essas mulheres consigam melhorar a qualidade de suas vidas e de suas comunidades. É com essa proposta que o IFMA </w:t>
      </w:r>
      <w:r w:rsidRPr="00771368">
        <w:rPr>
          <w:i/>
          <w:iCs/>
          <w:sz w:val="24"/>
          <w:szCs w:val="24"/>
        </w:rPr>
        <w:t>–</w:t>
      </w:r>
      <w:r w:rsidRPr="00771368">
        <w:rPr>
          <w:sz w:val="24"/>
          <w:szCs w:val="24"/>
        </w:rPr>
        <w:t xml:space="preserve"> </w:t>
      </w:r>
      <w:r w:rsidRPr="00771368">
        <w:rPr>
          <w:i/>
          <w:iCs/>
          <w:sz w:val="24"/>
          <w:szCs w:val="24"/>
        </w:rPr>
        <w:t>Campus</w:t>
      </w:r>
      <w:r w:rsidRPr="00771368">
        <w:rPr>
          <w:sz w:val="24"/>
          <w:szCs w:val="24"/>
        </w:rPr>
        <w:t xml:space="preserve"> Codó, se apresenta como espaço de referência com a intenção de agregar valor ao processo de ingresso, reconhecendo a</w:t>
      </w:r>
    </w:p>
    <w:p w:rsidR="00D24E61" w:rsidRPr="00771368" w:rsidRDefault="00D24E61">
      <w:pPr>
        <w:spacing w:line="352" w:lineRule="auto"/>
        <w:jc w:val="both"/>
        <w:rPr>
          <w:sz w:val="20"/>
          <w:szCs w:val="20"/>
        </w:rPr>
      </w:pPr>
      <w:r w:rsidRPr="00771368">
        <w:rPr>
          <w:sz w:val="24"/>
          <w:szCs w:val="24"/>
        </w:rPr>
        <w:t xml:space="preserve">aprendizagem prévia dessas mulheres, respeitando sua trajetória de vida e sua construção social. Destarte, considero como crucial esse relato de experiência, uma vez que visa estimular a inclusão afirmativa, educacional, produtiva e social de mulheres em situação de vulnerabilidade social e principalmente fomentar a eqüidade de gênero, a emancipação e o fortalecimento das mulheres pelo acesso à educação. Nessa perspectiva, conclui-se que a implantação e implementação do Programa Mulheres Mil no Instituto Federal do Maranhão – </w:t>
      </w:r>
      <w:r w:rsidRPr="00771368">
        <w:rPr>
          <w:i/>
          <w:iCs/>
          <w:sz w:val="24"/>
          <w:szCs w:val="24"/>
        </w:rPr>
        <w:t>Campus</w:t>
      </w:r>
      <w:r w:rsidRPr="00771368">
        <w:rPr>
          <w:sz w:val="24"/>
          <w:szCs w:val="24"/>
        </w:rPr>
        <w:t xml:space="preserve"> Codó efetivamente amplia a escolaridade e melhora a autoestima das mulheres atendidas pelo projeto.</w:t>
      </w:r>
    </w:p>
    <w:p w:rsidR="00D24E61" w:rsidRPr="00771368" w:rsidRDefault="00D24E61">
      <w:pPr>
        <w:ind w:left="2300"/>
        <w:rPr>
          <w:sz w:val="20"/>
          <w:szCs w:val="20"/>
        </w:rPr>
      </w:pPr>
      <w:r w:rsidRPr="00771368">
        <w:rPr>
          <w:b/>
          <w:bCs/>
          <w:sz w:val="24"/>
          <w:szCs w:val="24"/>
        </w:rPr>
        <w:t>REFERÊNCIAS BIBLIOGRÁFICAS</w:t>
      </w:r>
    </w:p>
    <w:p w:rsidR="00D24E61" w:rsidRPr="00771368" w:rsidRDefault="00D24E61">
      <w:pPr>
        <w:spacing w:line="392" w:lineRule="exact"/>
        <w:rPr>
          <w:sz w:val="20"/>
          <w:szCs w:val="20"/>
        </w:rPr>
      </w:pPr>
    </w:p>
    <w:p w:rsidR="00D24E61" w:rsidRPr="00771368" w:rsidRDefault="00D24E61">
      <w:pPr>
        <w:spacing w:line="310" w:lineRule="auto"/>
        <w:jc w:val="both"/>
        <w:rPr>
          <w:sz w:val="20"/>
          <w:szCs w:val="20"/>
        </w:rPr>
      </w:pPr>
      <w:r w:rsidRPr="00771368">
        <w:rPr>
          <w:b/>
          <w:bCs/>
          <w:sz w:val="24"/>
          <w:szCs w:val="24"/>
        </w:rPr>
        <w:t>ASSIS</w:t>
      </w:r>
      <w:r w:rsidRPr="00771368">
        <w:rPr>
          <w:sz w:val="24"/>
          <w:szCs w:val="24"/>
        </w:rPr>
        <w:t>, Mariza de Paula e Silva.</w:t>
      </w:r>
      <w:r w:rsidRPr="00771368">
        <w:rPr>
          <w:b/>
          <w:bCs/>
          <w:sz w:val="24"/>
          <w:szCs w:val="24"/>
        </w:rPr>
        <w:t xml:space="preserve"> Formação de Professores: memória, realidade e desafios futuros</w:t>
      </w:r>
      <w:r w:rsidRPr="00771368">
        <w:rPr>
          <w:sz w:val="24"/>
          <w:szCs w:val="24"/>
        </w:rPr>
        <w:t>. Rio de Janeiro: UERJ, Faculdade de Educação, NUPE, 2001.</w:t>
      </w:r>
    </w:p>
    <w:p w:rsidR="00D24E61" w:rsidRPr="00771368" w:rsidRDefault="00D24E61">
      <w:pPr>
        <w:spacing w:line="263" w:lineRule="exact"/>
        <w:rPr>
          <w:sz w:val="20"/>
          <w:szCs w:val="20"/>
        </w:rPr>
      </w:pPr>
    </w:p>
    <w:p w:rsidR="00D24E61" w:rsidRPr="00771368" w:rsidRDefault="00D24E61">
      <w:pPr>
        <w:tabs>
          <w:tab w:val="left" w:pos="1120"/>
          <w:tab w:val="left" w:pos="2640"/>
          <w:tab w:val="left" w:pos="4340"/>
          <w:tab w:val="left" w:pos="4860"/>
          <w:tab w:val="left" w:pos="6520"/>
          <w:tab w:val="left" w:pos="6880"/>
        </w:tabs>
        <w:spacing w:line="239" w:lineRule="auto"/>
        <w:rPr>
          <w:sz w:val="20"/>
          <w:szCs w:val="20"/>
        </w:rPr>
      </w:pPr>
      <w:r w:rsidRPr="00771368">
        <w:rPr>
          <w:b/>
          <w:bCs/>
          <w:sz w:val="24"/>
          <w:szCs w:val="24"/>
        </w:rPr>
        <w:t>BRASIL,</w:t>
      </w:r>
      <w:r w:rsidRPr="00771368">
        <w:rPr>
          <w:sz w:val="20"/>
          <w:szCs w:val="20"/>
        </w:rPr>
        <w:tab/>
      </w:r>
      <w:r w:rsidRPr="00771368">
        <w:rPr>
          <w:b/>
          <w:bCs/>
          <w:sz w:val="24"/>
          <w:szCs w:val="24"/>
        </w:rPr>
        <w:t>INSTITUTO</w:t>
      </w:r>
      <w:r w:rsidRPr="00771368">
        <w:rPr>
          <w:sz w:val="20"/>
          <w:szCs w:val="20"/>
        </w:rPr>
        <w:tab/>
      </w:r>
      <w:r w:rsidRPr="00771368">
        <w:rPr>
          <w:b/>
          <w:bCs/>
          <w:sz w:val="24"/>
          <w:szCs w:val="24"/>
        </w:rPr>
        <w:t>BRASILEIRO</w:t>
      </w:r>
      <w:r w:rsidRPr="00771368">
        <w:rPr>
          <w:sz w:val="20"/>
          <w:szCs w:val="20"/>
        </w:rPr>
        <w:tab/>
      </w:r>
      <w:r w:rsidRPr="00771368">
        <w:rPr>
          <w:b/>
          <w:bCs/>
          <w:sz w:val="24"/>
          <w:szCs w:val="24"/>
        </w:rPr>
        <w:t>DE</w:t>
      </w:r>
      <w:r w:rsidRPr="00771368">
        <w:rPr>
          <w:sz w:val="20"/>
          <w:szCs w:val="20"/>
        </w:rPr>
        <w:tab/>
      </w:r>
      <w:r w:rsidRPr="00771368">
        <w:rPr>
          <w:b/>
          <w:bCs/>
          <w:sz w:val="24"/>
          <w:szCs w:val="24"/>
        </w:rPr>
        <w:t>GEOGRAFIA</w:t>
      </w:r>
      <w:r w:rsidRPr="00771368">
        <w:rPr>
          <w:sz w:val="20"/>
          <w:szCs w:val="20"/>
        </w:rPr>
        <w:tab/>
      </w:r>
      <w:r w:rsidRPr="00771368">
        <w:rPr>
          <w:b/>
          <w:bCs/>
          <w:sz w:val="24"/>
          <w:szCs w:val="24"/>
        </w:rPr>
        <w:t>E</w:t>
      </w:r>
      <w:r w:rsidRPr="00771368">
        <w:rPr>
          <w:sz w:val="20"/>
          <w:szCs w:val="20"/>
        </w:rPr>
        <w:tab/>
      </w:r>
      <w:r w:rsidRPr="00771368">
        <w:rPr>
          <w:b/>
          <w:bCs/>
          <w:sz w:val="23"/>
          <w:szCs w:val="23"/>
        </w:rPr>
        <w:t>ESTATÍSTICA</w:t>
      </w:r>
    </w:p>
    <w:p w:rsidR="00D24E61" w:rsidRPr="00771368" w:rsidRDefault="00D24E61">
      <w:pPr>
        <w:spacing w:line="132" w:lineRule="exact"/>
        <w:rPr>
          <w:sz w:val="20"/>
          <w:szCs w:val="20"/>
        </w:rPr>
      </w:pPr>
    </w:p>
    <w:p w:rsidR="00D24E61" w:rsidRPr="00771368" w:rsidRDefault="00D24E61">
      <w:pPr>
        <w:rPr>
          <w:sz w:val="20"/>
          <w:szCs w:val="20"/>
        </w:rPr>
      </w:pPr>
      <w:r w:rsidRPr="00771368">
        <w:rPr>
          <w:sz w:val="24"/>
          <w:szCs w:val="24"/>
        </w:rPr>
        <w:t xml:space="preserve">(IBGE). </w:t>
      </w:r>
      <w:r w:rsidRPr="00771368">
        <w:rPr>
          <w:b/>
          <w:bCs/>
          <w:sz w:val="24"/>
          <w:szCs w:val="24"/>
        </w:rPr>
        <w:t>Síntese dos Indicadores Sociais</w:t>
      </w:r>
      <w:r w:rsidRPr="00771368">
        <w:rPr>
          <w:sz w:val="24"/>
          <w:szCs w:val="24"/>
        </w:rPr>
        <w:t>, julho, 2009.</w:t>
      </w:r>
    </w:p>
    <w:p w:rsidR="00D24E61" w:rsidRPr="00771368" w:rsidRDefault="00D24E61">
      <w:pPr>
        <w:spacing w:line="308" w:lineRule="auto"/>
        <w:jc w:val="both"/>
        <w:rPr>
          <w:sz w:val="20"/>
          <w:szCs w:val="20"/>
        </w:rPr>
      </w:pPr>
      <w:r w:rsidRPr="00771368">
        <w:rPr>
          <w:sz w:val="24"/>
          <w:szCs w:val="24"/>
        </w:rPr>
        <w:t xml:space="preserve">____________ </w:t>
      </w:r>
      <w:r w:rsidRPr="00771368">
        <w:rPr>
          <w:b/>
          <w:bCs/>
          <w:sz w:val="24"/>
          <w:szCs w:val="24"/>
        </w:rPr>
        <w:t>Ministério da Educação e Cultura</w:t>
      </w:r>
      <w:r w:rsidRPr="00771368">
        <w:rPr>
          <w:sz w:val="24"/>
          <w:szCs w:val="24"/>
        </w:rPr>
        <w:t xml:space="preserve">. Secretaria de Educação Profissional e Tecnológica. </w:t>
      </w:r>
      <w:r w:rsidRPr="00771368">
        <w:rPr>
          <w:b/>
          <w:bCs/>
          <w:sz w:val="24"/>
          <w:szCs w:val="24"/>
        </w:rPr>
        <w:t>O que é o Mulheres Mil</w:t>
      </w:r>
      <w:r w:rsidRPr="00771368">
        <w:rPr>
          <w:sz w:val="24"/>
          <w:szCs w:val="24"/>
        </w:rPr>
        <w:t>, 2009.</w:t>
      </w:r>
    </w:p>
    <w:p w:rsidR="00D24E61" w:rsidRPr="00771368" w:rsidRDefault="00D24E61">
      <w:pPr>
        <w:spacing w:line="343" w:lineRule="auto"/>
        <w:jc w:val="both"/>
        <w:rPr>
          <w:sz w:val="20"/>
          <w:szCs w:val="20"/>
        </w:rPr>
      </w:pPr>
      <w:r w:rsidRPr="00771368">
        <w:rPr>
          <w:b/>
          <w:bCs/>
          <w:sz w:val="24"/>
          <w:szCs w:val="24"/>
        </w:rPr>
        <w:t>BRASIL</w:t>
      </w:r>
      <w:r w:rsidRPr="00771368">
        <w:rPr>
          <w:sz w:val="24"/>
          <w:szCs w:val="24"/>
        </w:rPr>
        <w:t>,</w:t>
      </w:r>
      <w:r w:rsidRPr="00771368">
        <w:rPr>
          <w:b/>
          <w:bCs/>
          <w:sz w:val="24"/>
          <w:szCs w:val="24"/>
        </w:rPr>
        <w:t xml:space="preserve"> POLÍTICA NACIONAL DE ASSISTÊNCIA SOCIAL – PNAS</w:t>
      </w:r>
      <w:r w:rsidRPr="00771368">
        <w:rPr>
          <w:sz w:val="24"/>
          <w:szCs w:val="24"/>
        </w:rPr>
        <w:t>, aprovada</w:t>
      </w:r>
      <w:r w:rsidRPr="00771368">
        <w:rPr>
          <w:b/>
          <w:bCs/>
          <w:sz w:val="24"/>
          <w:szCs w:val="24"/>
        </w:rPr>
        <w:t xml:space="preserve"> </w:t>
      </w:r>
      <w:r w:rsidRPr="00771368">
        <w:rPr>
          <w:sz w:val="24"/>
          <w:szCs w:val="24"/>
        </w:rPr>
        <w:t xml:space="preserve">pelo Conselho Nacional de Assistência Social por intermédio da Resolução nº 145 de 15 de e outubro de 2004; e publicada no </w:t>
      </w:r>
      <w:r w:rsidRPr="00771368">
        <w:rPr>
          <w:b/>
          <w:bCs/>
          <w:sz w:val="24"/>
          <w:szCs w:val="24"/>
        </w:rPr>
        <w:t>Diário Oficial da União</w:t>
      </w:r>
      <w:r w:rsidRPr="00771368">
        <w:rPr>
          <w:sz w:val="24"/>
          <w:szCs w:val="24"/>
        </w:rPr>
        <w:t xml:space="preserve"> – DOU do dia 28 de outubro de 2004.</w:t>
      </w:r>
    </w:p>
    <w:p w:rsidR="00D24E61" w:rsidRPr="00771368" w:rsidRDefault="00D24E61">
      <w:pPr>
        <w:spacing w:line="278" w:lineRule="exact"/>
        <w:rPr>
          <w:sz w:val="20"/>
          <w:szCs w:val="20"/>
        </w:rPr>
      </w:pPr>
    </w:p>
    <w:p w:rsidR="00D24E61" w:rsidRPr="00771368" w:rsidRDefault="00D24E61">
      <w:pPr>
        <w:spacing w:line="310" w:lineRule="auto"/>
        <w:jc w:val="both"/>
        <w:rPr>
          <w:sz w:val="20"/>
          <w:szCs w:val="20"/>
        </w:rPr>
      </w:pPr>
      <w:r w:rsidRPr="00771368">
        <w:rPr>
          <w:b/>
          <w:bCs/>
          <w:sz w:val="24"/>
          <w:szCs w:val="24"/>
        </w:rPr>
        <w:t>COLL</w:t>
      </w:r>
      <w:r w:rsidRPr="00771368">
        <w:rPr>
          <w:sz w:val="24"/>
          <w:szCs w:val="24"/>
        </w:rPr>
        <w:t>, C.</w:t>
      </w:r>
      <w:r w:rsidRPr="00771368">
        <w:rPr>
          <w:b/>
          <w:bCs/>
          <w:sz w:val="24"/>
          <w:szCs w:val="24"/>
        </w:rPr>
        <w:t xml:space="preserve"> Os Conteúdos na Reforma</w:t>
      </w:r>
      <w:r w:rsidRPr="00771368">
        <w:rPr>
          <w:sz w:val="24"/>
          <w:szCs w:val="24"/>
        </w:rPr>
        <w:t>: ensino e aprendizagem de conceitos,</w:t>
      </w:r>
      <w:r w:rsidRPr="00771368">
        <w:rPr>
          <w:b/>
          <w:bCs/>
          <w:sz w:val="24"/>
          <w:szCs w:val="24"/>
        </w:rPr>
        <w:t xml:space="preserve"> </w:t>
      </w:r>
      <w:r w:rsidRPr="00771368">
        <w:rPr>
          <w:sz w:val="24"/>
          <w:szCs w:val="24"/>
        </w:rPr>
        <w:t>procedimentos e atitudes. Porto Alegre: Artes Médicas, 1998.</w:t>
      </w:r>
    </w:p>
    <w:p w:rsidR="00D24E61" w:rsidRPr="00771368" w:rsidRDefault="00D24E61">
      <w:pPr>
        <w:spacing w:line="297" w:lineRule="exact"/>
        <w:rPr>
          <w:sz w:val="20"/>
          <w:szCs w:val="20"/>
        </w:rPr>
      </w:pPr>
    </w:p>
    <w:p w:rsidR="00D24E61" w:rsidRPr="00771368" w:rsidRDefault="00D24E61">
      <w:pPr>
        <w:rPr>
          <w:sz w:val="20"/>
          <w:szCs w:val="20"/>
        </w:rPr>
      </w:pPr>
      <w:r w:rsidRPr="00771368">
        <w:rPr>
          <w:sz w:val="24"/>
          <w:szCs w:val="24"/>
        </w:rPr>
        <w:t xml:space="preserve">____________ </w:t>
      </w:r>
      <w:r w:rsidRPr="00771368">
        <w:rPr>
          <w:b/>
          <w:bCs/>
          <w:sz w:val="24"/>
          <w:szCs w:val="24"/>
        </w:rPr>
        <w:t>O Construtivismo na Sala de Aula</w:t>
      </w:r>
      <w:r w:rsidRPr="00771368">
        <w:rPr>
          <w:sz w:val="24"/>
          <w:szCs w:val="24"/>
        </w:rPr>
        <w:t>. São Paulo: Ática, 2001.</w:t>
      </w:r>
    </w:p>
    <w:p w:rsidR="00D24E61" w:rsidRPr="00771368" w:rsidRDefault="00D24E61">
      <w:pPr>
        <w:spacing w:line="379" w:lineRule="exact"/>
        <w:rPr>
          <w:sz w:val="20"/>
          <w:szCs w:val="20"/>
        </w:rPr>
      </w:pPr>
    </w:p>
    <w:p w:rsidR="00D24E61" w:rsidRPr="00771368" w:rsidRDefault="00D24E61">
      <w:pPr>
        <w:rPr>
          <w:sz w:val="20"/>
          <w:szCs w:val="20"/>
        </w:rPr>
      </w:pPr>
      <w:r w:rsidRPr="00771368">
        <w:rPr>
          <w:b/>
          <w:bCs/>
          <w:sz w:val="24"/>
          <w:szCs w:val="24"/>
        </w:rPr>
        <w:t>DEMO</w:t>
      </w:r>
      <w:r w:rsidRPr="00771368">
        <w:rPr>
          <w:sz w:val="24"/>
          <w:szCs w:val="24"/>
        </w:rPr>
        <w:t>, Pedro.</w:t>
      </w:r>
      <w:r w:rsidRPr="00771368">
        <w:rPr>
          <w:b/>
          <w:bCs/>
          <w:sz w:val="24"/>
          <w:szCs w:val="24"/>
        </w:rPr>
        <w:t xml:space="preserve"> Desafios Modernos da Educação</w:t>
      </w:r>
      <w:r w:rsidRPr="00771368">
        <w:rPr>
          <w:sz w:val="24"/>
          <w:szCs w:val="24"/>
        </w:rPr>
        <w:t>. 13ª Edição: Petrópolis, RJ, 2004.</w:t>
      </w:r>
    </w:p>
    <w:p w:rsidR="00D24E61" w:rsidRPr="00771368" w:rsidRDefault="00D24E61">
      <w:pPr>
        <w:spacing w:line="377" w:lineRule="exact"/>
        <w:rPr>
          <w:sz w:val="20"/>
          <w:szCs w:val="20"/>
        </w:rPr>
      </w:pPr>
    </w:p>
    <w:p w:rsidR="00D24E61" w:rsidRPr="00771368" w:rsidRDefault="00D24E61">
      <w:pPr>
        <w:rPr>
          <w:sz w:val="20"/>
          <w:szCs w:val="20"/>
        </w:rPr>
      </w:pPr>
      <w:r w:rsidRPr="00771368">
        <w:rPr>
          <w:b/>
          <w:bCs/>
          <w:sz w:val="24"/>
          <w:szCs w:val="24"/>
        </w:rPr>
        <w:t>FERNANDES</w:t>
      </w:r>
      <w:r w:rsidRPr="00771368">
        <w:rPr>
          <w:sz w:val="24"/>
          <w:szCs w:val="24"/>
        </w:rPr>
        <w:t>, E. Adaptação e Equilibração.</w:t>
      </w:r>
      <w:r w:rsidRPr="00771368">
        <w:rPr>
          <w:b/>
          <w:bCs/>
          <w:sz w:val="24"/>
          <w:szCs w:val="24"/>
        </w:rPr>
        <w:t xml:space="preserve"> Nova Escola</w:t>
      </w:r>
      <w:r w:rsidRPr="00771368">
        <w:rPr>
          <w:sz w:val="24"/>
          <w:szCs w:val="24"/>
        </w:rPr>
        <w:t>, nº 241. Editora: Abril,</w:t>
      </w:r>
    </w:p>
    <w:p w:rsidR="00D24E61" w:rsidRPr="00771368" w:rsidRDefault="00D24E61">
      <w:pPr>
        <w:spacing w:line="139" w:lineRule="exact"/>
        <w:rPr>
          <w:sz w:val="20"/>
          <w:szCs w:val="20"/>
        </w:rPr>
      </w:pPr>
    </w:p>
    <w:p w:rsidR="00D24E61" w:rsidRPr="00771368" w:rsidRDefault="00D24E61">
      <w:pPr>
        <w:rPr>
          <w:sz w:val="20"/>
          <w:szCs w:val="20"/>
        </w:rPr>
      </w:pPr>
      <w:r w:rsidRPr="00771368">
        <w:rPr>
          <w:sz w:val="24"/>
          <w:szCs w:val="24"/>
        </w:rPr>
        <w:t>2011.</w:t>
      </w:r>
    </w:p>
    <w:p w:rsidR="00D24E61" w:rsidRPr="00771368" w:rsidRDefault="00D24E61">
      <w:pPr>
        <w:spacing w:line="377" w:lineRule="exact"/>
        <w:rPr>
          <w:sz w:val="20"/>
          <w:szCs w:val="20"/>
        </w:rPr>
      </w:pPr>
    </w:p>
    <w:p w:rsidR="00D24E61" w:rsidRPr="00771368" w:rsidRDefault="00D24E61">
      <w:pPr>
        <w:rPr>
          <w:sz w:val="20"/>
          <w:szCs w:val="20"/>
        </w:rPr>
      </w:pPr>
      <w:r w:rsidRPr="00771368">
        <w:rPr>
          <w:b/>
          <w:bCs/>
          <w:sz w:val="24"/>
          <w:szCs w:val="24"/>
        </w:rPr>
        <w:t>FREIRE</w:t>
      </w:r>
      <w:r w:rsidRPr="00771368">
        <w:rPr>
          <w:sz w:val="24"/>
          <w:szCs w:val="24"/>
        </w:rPr>
        <w:t>, Paulo.</w:t>
      </w:r>
      <w:r w:rsidRPr="00771368">
        <w:rPr>
          <w:b/>
          <w:bCs/>
          <w:sz w:val="24"/>
          <w:szCs w:val="24"/>
        </w:rPr>
        <w:t xml:space="preserve"> Educação e Mudança</w:t>
      </w:r>
      <w:r w:rsidRPr="00771368">
        <w:rPr>
          <w:sz w:val="24"/>
          <w:szCs w:val="24"/>
        </w:rPr>
        <w:t>. São Paulo: Paz e Terra, 30ª Ed.2007.</w:t>
      </w:r>
    </w:p>
    <w:p w:rsidR="00D24E61" w:rsidRPr="00771368" w:rsidRDefault="00D24E61">
      <w:pPr>
        <w:spacing w:line="338" w:lineRule="exact"/>
        <w:rPr>
          <w:sz w:val="20"/>
          <w:szCs w:val="20"/>
        </w:rPr>
      </w:pPr>
    </w:p>
    <w:p w:rsidR="00D24E61" w:rsidRPr="00771368" w:rsidRDefault="00D24E61">
      <w:pPr>
        <w:rPr>
          <w:sz w:val="20"/>
          <w:szCs w:val="20"/>
        </w:rPr>
      </w:pPr>
      <w:r w:rsidRPr="00771368">
        <w:rPr>
          <w:b/>
          <w:bCs/>
          <w:sz w:val="24"/>
          <w:szCs w:val="24"/>
        </w:rPr>
        <w:t>GIL</w:t>
      </w:r>
      <w:r w:rsidRPr="00771368">
        <w:rPr>
          <w:sz w:val="24"/>
          <w:szCs w:val="24"/>
        </w:rPr>
        <w:t>, A. C.</w:t>
      </w:r>
      <w:r w:rsidRPr="00771368">
        <w:rPr>
          <w:b/>
          <w:bCs/>
          <w:sz w:val="24"/>
          <w:szCs w:val="24"/>
        </w:rPr>
        <w:t xml:space="preserve"> Métodos e Técnicas de Pesquisa Social</w:t>
      </w:r>
      <w:r w:rsidRPr="00771368">
        <w:rPr>
          <w:sz w:val="24"/>
          <w:szCs w:val="24"/>
        </w:rPr>
        <w:t>. 5ª Ed. São Paulo: Atlas, 1999.</w:t>
      </w:r>
    </w:p>
    <w:p w:rsidR="00D24E61" w:rsidRPr="00771368" w:rsidRDefault="00D24E61">
      <w:pPr>
        <w:spacing w:line="397" w:lineRule="exact"/>
        <w:rPr>
          <w:sz w:val="20"/>
          <w:szCs w:val="20"/>
        </w:rPr>
      </w:pPr>
    </w:p>
    <w:p w:rsidR="00D24E61" w:rsidRPr="00771368" w:rsidRDefault="00D24E61">
      <w:pPr>
        <w:spacing w:line="308" w:lineRule="auto"/>
        <w:jc w:val="both"/>
        <w:rPr>
          <w:sz w:val="20"/>
          <w:szCs w:val="20"/>
        </w:rPr>
      </w:pPr>
      <w:r w:rsidRPr="00771368">
        <w:rPr>
          <w:b/>
          <w:bCs/>
          <w:sz w:val="24"/>
          <w:szCs w:val="24"/>
        </w:rPr>
        <w:t>MANFREDI</w:t>
      </w:r>
      <w:r w:rsidRPr="00771368">
        <w:rPr>
          <w:sz w:val="24"/>
          <w:szCs w:val="24"/>
        </w:rPr>
        <w:t>, Sílvia Maria.</w:t>
      </w:r>
      <w:r w:rsidRPr="00771368">
        <w:rPr>
          <w:b/>
          <w:bCs/>
          <w:sz w:val="24"/>
          <w:szCs w:val="24"/>
        </w:rPr>
        <w:t xml:space="preserve"> Metodologia de Orientação Profissional Aplicada à Certificação Profissional</w:t>
      </w:r>
      <w:r w:rsidRPr="00771368">
        <w:rPr>
          <w:sz w:val="24"/>
          <w:szCs w:val="24"/>
        </w:rPr>
        <w:t>. TEM/OIT. Brasília: 2006. P.30.</w:t>
      </w:r>
    </w:p>
    <w:p w:rsidR="00D24E61" w:rsidRPr="00771368" w:rsidRDefault="00D24E61">
      <w:pPr>
        <w:spacing w:line="261" w:lineRule="exact"/>
        <w:rPr>
          <w:sz w:val="20"/>
          <w:szCs w:val="20"/>
        </w:rPr>
      </w:pPr>
    </w:p>
    <w:p w:rsidR="00D24E61" w:rsidRPr="00771368" w:rsidRDefault="00D24E61">
      <w:pPr>
        <w:rPr>
          <w:sz w:val="20"/>
          <w:szCs w:val="20"/>
        </w:rPr>
      </w:pPr>
      <w:r w:rsidRPr="00771368">
        <w:rPr>
          <w:b/>
          <w:bCs/>
          <w:sz w:val="24"/>
          <w:szCs w:val="24"/>
        </w:rPr>
        <w:t xml:space="preserve">MINAYO, </w:t>
      </w:r>
      <w:r w:rsidRPr="00771368">
        <w:rPr>
          <w:sz w:val="24"/>
          <w:szCs w:val="24"/>
        </w:rPr>
        <w:t>M. C. de S.</w:t>
      </w:r>
      <w:r w:rsidRPr="00771368">
        <w:rPr>
          <w:b/>
          <w:bCs/>
          <w:sz w:val="24"/>
          <w:szCs w:val="24"/>
        </w:rPr>
        <w:t xml:space="preserve"> O Desafio do Conhecimento</w:t>
      </w:r>
      <w:r w:rsidRPr="00771368">
        <w:rPr>
          <w:sz w:val="24"/>
          <w:szCs w:val="24"/>
        </w:rPr>
        <w:t>. 2ªEdição São Paulo: SP, 1993.</w:t>
      </w:r>
    </w:p>
    <w:p w:rsidR="00D24E61" w:rsidRPr="00771368" w:rsidRDefault="00D24E61">
      <w:pPr>
        <w:spacing w:line="397" w:lineRule="exact"/>
        <w:rPr>
          <w:sz w:val="20"/>
          <w:szCs w:val="20"/>
        </w:rPr>
      </w:pPr>
    </w:p>
    <w:p w:rsidR="00D24E61" w:rsidRPr="00771368" w:rsidRDefault="00D24E61">
      <w:pPr>
        <w:spacing w:line="310" w:lineRule="auto"/>
        <w:jc w:val="both"/>
        <w:rPr>
          <w:sz w:val="20"/>
          <w:szCs w:val="20"/>
        </w:rPr>
      </w:pPr>
      <w:r w:rsidRPr="00771368">
        <w:rPr>
          <w:b/>
          <w:bCs/>
          <w:sz w:val="24"/>
          <w:szCs w:val="24"/>
        </w:rPr>
        <w:t>SEVERINO</w:t>
      </w:r>
      <w:r w:rsidRPr="00771368">
        <w:rPr>
          <w:sz w:val="24"/>
          <w:szCs w:val="24"/>
        </w:rPr>
        <w:t>, Antônio Joaquim.</w:t>
      </w:r>
      <w:r w:rsidRPr="00771368">
        <w:rPr>
          <w:b/>
          <w:bCs/>
          <w:sz w:val="24"/>
          <w:szCs w:val="24"/>
        </w:rPr>
        <w:t xml:space="preserve"> Metodologia do Trabalho Científico</w:t>
      </w:r>
      <w:r w:rsidRPr="00771368">
        <w:rPr>
          <w:sz w:val="24"/>
          <w:szCs w:val="24"/>
        </w:rPr>
        <w:t>. 23ª Ed. Revista</w:t>
      </w:r>
      <w:r w:rsidRPr="00771368">
        <w:rPr>
          <w:b/>
          <w:bCs/>
          <w:sz w:val="24"/>
          <w:szCs w:val="24"/>
        </w:rPr>
        <w:t xml:space="preserve"> </w:t>
      </w:r>
      <w:r w:rsidRPr="00771368">
        <w:rPr>
          <w:sz w:val="24"/>
          <w:szCs w:val="24"/>
        </w:rPr>
        <w:t>e Atualizada. São Paulo: Cortez, 2012.</w:t>
      </w:r>
    </w:p>
    <w:p w:rsidR="00D24E61" w:rsidRPr="00771368" w:rsidRDefault="00D24E61">
      <w:pPr>
        <w:spacing w:line="256" w:lineRule="exact"/>
        <w:rPr>
          <w:sz w:val="20"/>
          <w:szCs w:val="20"/>
        </w:rPr>
      </w:pPr>
    </w:p>
    <w:p w:rsidR="00D24E61" w:rsidRPr="00771368" w:rsidRDefault="00D24E61">
      <w:pPr>
        <w:rPr>
          <w:sz w:val="20"/>
          <w:szCs w:val="20"/>
        </w:rPr>
      </w:pPr>
      <w:r w:rsidRPr="00771368">
        <w:rPr>
          <w:b/>
          <w:bCs/>
          <w:sz w:val="24"/>
          <w:szCs w:val="24"/>
        </w:rPr>
        <w:t>SILVA</w:t>
      </w:r>
      <w:r w:rsidRPr="00771368">
        <w:rPr>
          <w:sz w:val="24"/>
          <w:szCs w:val="24"/>
        </w:rPr>
        <w:t>, Marise Borba da;</w:t>
      </w:r>
      <w:r w:rsidRPr="00771368">
        <w:rPr>
          <w:b/>
          <w:bCs/>
          <w:sz w:val="24"/>
          <w:szCs w:val="24"/>
        </w:rPr>
        <w:t xml:space="preserve"> GRIGOLO</w:t>
      </w:r>
      <w:r w:rsidRPr="00771368">
        <w:rPr>
          <w:sz w:val="24"/>
          <w:szCs w:val="24"/>
        </w:rPr>
        <w:t>, Tânia Maris.</w:t>
      </w:r>
      <w:r w:rsidRPr="00771368">
        <w:rPr>
          <w:b/>
          <w:bCs/>
          <w:sz w:val="24"/>
          <w:szCs w:val="24"/>
        </w:rPr>
        <w:t xml:space="preserve"> Metodologia para a Iniciação</w:t>
      </w:r>
    </w:p>
    <w:p w:rsidR="00D24E61" w:rsidRPr="00771368" w:rsidRDefault="00D24E61">
      <w:pPr>
        <w:spacing w:line="139" w:lineRule="exact"/>
        <w:rPr>
          <w:sz w:val="20"/>
          <w:szCs w:val="20"/>
        </w:rPr>
      </w:pPr>
    </w:p>
    <w:p w:rsidR="00D24E61" w:rsidRPr="00771368" w:rsidRDefault="00D24E61">
      <w:pPr>
        <w:rPr>
          <w:sz w:val="20"/>
          <w:szCs w:val="20"/>
        </w:rPr>
      </w:pPr>
      <w:r w:rsidRPr="00771368">
        <w:rPr>
          <w:b/>
          <w:bCs/>
          <w:sz w:val="24"/>
          <w:szCs w:val="24"/>
        </w:rPr>
        <w:t>Científica à Prática da Pesquisa e da Extensão</w:t>
      </w:r>
      <w:r w:rsidRPr="00771368">
        <w:rPr>
          <w:sz w:val="24"/>
          <w:szCs w:val="24"/>
        </w:rPr>
        <w:t>. Caderno Pedagógico. Florianópolis:</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UDESC, 2002.</w:t>
      </w:r>
    </w:p>
    <w:p w:rsidR="00D24E61" w:rsidRPr="00D63CBC" w:rsidRDefault="00D24E61" w:rsidP="00D63CBC">
      <w:pPr>
        <w:jc w:val="center"/>
        <w:rPr>
          <w:sz w:val="24"/>
          <w:szCs w:val="20"/>
        </w:rPr>
      </w:pPr>
      <w:r w:rsidRPr="00D63CBC">
        <w:rPr>
          <w:b/>
          <w:bCs/>
          <w:sz w:val="32"/>
          <w:szCs w:val="24"/>
        </w:rPr>
        <w:t xml:space="preserve">Não as matem! - A figuração do uxoricídio em </w:t>
      </w:r>
      <w:r w:rsidRPr="00D63CBC">
        <w:rPr>
          <w:b/>
          <w:bCs/>
          <w:i/>
          <w:iCs/>
          <w:sz w:val="32"/>
          <w:szCs w:val="24"/>
        </w:rPr>
        <w:t>A Cartomante</w:t>
      </w:r>
      <w:r w:rsidRPr="00D63CBC">
        <w:rPr>
          <w:b/>
          <w:bCs/>
          <w:sz w:val="32"/>
          <w:szCs w:val="24"/>
        </w:rPr>
        <w:t>, de Machado de Assis</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rsidP="00D63CBC">
      <w:pPr>
        <w:pStyle w:val="Ttulo1"/>
        <w:rPr>
          <w:sz w:val="20"/>
          <w:szCs w:val="20"/>
        </w:rPr>
      </w:pPr>
      <w:bookmarkStart w:id="46" w:name="_Toc442034735"/>
      <w:r w:rsidRPr="00771368">
        <w:t>Daniel Gomes da Fonseca</w:t>
      </w:r>
      <w:bookmarkEnd w:id="46"/>
    </w:p>
    <w:p w:rsidR="00D24E61" w:rsidRPr="00771368" w:rsidRDefault="00D24E61">
      <w:pPr>
        <w:spacing w:line="137" w:lineRule="exact"/>
        <w:rPr>
          <w:sz w:val="24"/>
          <w:szCs w:val="24"/>
        </w:rPr>
      </w:pPr>
    </w:p>
    <w:p w:rsidR="00D24E61" w:rsidRPr="00771368" w:rsidRDefault="00D24E61" w:rsidP="00D63CBC">
      <w:pPr>
        <w:jc w:val="right"/>
        <w:rPr>
          <w:sz w:val="20"/>
          <w:szCs w:val="20"/>
        </w:rPr>
      </w:pPr>
      <w:r w:rsidRPr="00771368">
        <w:rPr>
          <w:sz w:val="24"/>
          <w:szCs w:val="24"/>
        </w:rPr>
        <w:t>Universidade de São Paulo</w:t>
      </w:r>
    </w:p>
    <w:p w:rsidR="00D24E61" w:rsidRPr="00771368" w:rsidRDefault="00D24E61" w:rsidP="00D63CBC">
      <w:pPr>
        <w:spacing w:line="139" w:lineRule="exact"/>
        <w:jc w:val="right"/>
        <w:rPr>
          <w:sz w:val="24"/>
          <w:szCs w:val="24"/>
        </w:rPr>
      </w:pPr>
    </w:p>
    <w:p w:rsidR="00D24E61" w:rsidRPr="00771368" w:rsidRDefault="00D24E61" w:rsidP="00D63CBC">
      <w:pPr>
        <w:jc w:val="right"/>
        <w:rPr>
          <w:sz w:val="20"/>
          <w:szCs w:val="20"/>
        </w:rPr>
      </w:pPr>
      <w:r w:rsidRPr="00771368">
        <w:rPr>
          <w:sz w:val="24"/>
          <w:szCs w:val="24"/>
        </w:rPr>
        <w:t>Orientador: Edu Teruki Otsuka</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33" w:lineRule="exact"/>
        <w:rPr>
          <w:sz w:val="24"/>
          <w:szCs w:val="24"/>
        </w:rPr>
      </w:pPr>
    </w:p>
    <w:p w:rsidR="00D24E61" w:rsidRPr="00771368" w:rsidRDefault="00D24E61">
      <w:pPr>
        <w:spacing w:line="268" w:lineRule="auto"/>
        <w:ind w:left="2280"/>
        <w:jc w:val="both"/>
        <w:rPr>
          <w:sz w:val="20"/>
          <w:szCs w:val="20"/>
        </w:rPr>
      </w:pPr>
      <w:r w:rsidRPr="00771368">
        <w:t>Contra um ignóbil e iníquo estado de espírito dessa ordem, que tende a se perpetuar entre nós, aviltando a mulher, rebaixando-a ao estado social da barbárie medieval, de quase escrava, sem vontade, sem direito aos seus sentimentos profundos, e tão profundos são que ela joga no satisfazê-los, a vida; degradando-a à condição de cousa, de animal doméstico, de propriedade nas mãos dos maridos, com direito de vida e morte sobre ela; não lhe respeitando a consciência e a liberdade de amar a quem lhe parecer melhor, quando e onde quiser.</w:t>
      </w:r>
    </w:p>
    <w:p w:rsidR="00D24E61" w:rsidRPr="00771368" w:rsidRDefault="00D24E61">
      <w:pPr>
        <w:spacing w:line="306" w:lineRule="exact"/>
        <w:rPr>
          <w:sz w:val="24"/>
          <w:szCs w:val="24"/>
        </w:rPr>
      </w:pPr>
    </w:p>
    <w:p w:rsidR="00D24E61" w:rsidRPr="00771368" w:rsidRDefault="00D24E61">
      <w:pPr>
        <w:spacing w:line="239" w:lineRule="auto"/>
        <w:ind w:left="7320"/>
        <w:rPr>
          <w:sz w:val="20"/>
          <w:szCs w:val="20"/>
        </w:rPr>
      </w:pPr>
      <w:r w:rsidRPr="00771368">
        <w:t>Lima Barreto</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85" w:lineRule="exact"/>
        <w:rPr>
          <w:sz w:val="24"/>
          <w:szCs w:val="24"/>
        </w:rPr>
      </w:pPr>
    </w:p>
    <w:p w:rsidR="00D24E61" w:rsidRPr="00771368" w:rsidRDefault="00D24E61">
      <w:pPr>
        <w:ind w:left="720"/>
        <w:rPr>
          <w:sz w:val="20"/>
          <w:szCs w:val="20"/>
        </w:rPr>
      </w:pPr>
      <w:r w:rsidRPr="00771368">
        <w:rPr>
          <w:b/>
          <w:bCs/>
          <w:sz w:val="24"/>
          <w:szCs w:val="24"/>
        </w:rPr>
        <w:t>1. Introdução</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5" w:lineRule="exact"/>
        <w:rPr>
          <w:sz w:val="24"/>
          <w:szCs w:val="24"/>
        </w:rPr>
      </w:pPr>
    </w:p>
    <w:p w:rsidR="00D24E61" w:rsidRPr="00771368" w:rsidRDefault="00D24E61">
      <w:pPr>
        <w:spacing w:line="355" w:lineRule="auto"/>
        <w:ind w:firstLine="708"/>
        <w:jc w:val="both"/>
        <w:rPr>
          <w:sz w:val="20"/>
          <w:szCs w:val="20"/>
        </w:rPr>
      </w:pPr>
      <w:r w:rsidRPr="00771368">
        <w:rPr>
          <w:sz w:val="24"/>
          <w:szCs w:val="24"/>
        </w:rPr>
        <w:t xml:space="preserve">O uxoricídio, o assassínio de mulher cometido por seu cônjuge, é uma das faces do grave problema que é a violência contra a mulher no Brasil. O </w:t>
      </w:r>
      <w:r w:rsidRPr="00771368">
        <w:rPr>
          <w:i/>
          <w:iCs/>
          <w:sz w:val="24"/>
          <w:szCs w:val="24"/>
        </w:rPr>
        <w:t>Mapa da Violência</w:t>
      </w:r>
      <w:r w:rsidRPr="00771368">
        <w:rPr>
          <w:sz w:val="24"/>
          <w:szCs w:val="24"/>
        </w:rPr>
        <w:t xml:space="preserve"> </w:t>
      </w:r>
      <w:r w:rsidRPr="00771368">
        <w:rPr>
          <w:i/>
          <w:iCs/>
          <w:sz w:val="24"/>
          <w:szCs w:val="24"/>
        </w:rPr>
        <w:t>2012 - Atualização: Homicídio de mulheres no Brasil</w:t>
      </w:r>
      <w:r w:rsidRPr="00771368">
        <w:rPr>
          <w:sz w:val="24"/>
          <w:szCs w:val="24"/>
        </w:rPr>
        <w:t>, de Julio Waiselfisz, traz dados</w:t>
      </w:r>
      <w:r w:rsidRPr="00771368">
        <w:rPr>
          <w:i/>
          <w:iCs/>
          <w:sz w:val="24"/>
          <w:szCs w:val="24"/>
        </w:rPr>
        <w:t xml:space="preserve"> </w:t>
      </w:r>
      <w:r w:rsidRPr="00771368">
        <w:rPr>
          <w:sz w:val="24"/>
          <w:szCs w:val="24"/>
        </w:rPr>
        <w:t>alarmantes: entre 1980 e 2010, a taxa de homicídios de mulheres dobrou, passando de 2,3 para 4,6 (em 100 mil). Só no ano de 2010 foram assassinadas 4.465 mulheres, 49,2% delas com arma de fogo, e 41% em sua própria residência (entre os homens, esse número cai para 14,3%). Em uma lista de 84 países, o Brasil tem a 7ª maior taxa de feminicídio. A mesma publicação aponta, com base em dados fornecidos pelo Sistema Único de Saúde, que, em 2011, 36,1% das agressões contra mulheres foram praticadas por cônjuges ou ex-cônjuges, e se acrescentamos as cometidas por namorados ou ex-namorados, o número chega a 43,4%; enquanto a porcentagem de agressores desconhecidos foi de 13%, e de “amigos”, 15,3%.</w:t>
      </w: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27" w:lineRule="exact"/>
        <w:rPr>
          <w:sz w:val="20"/>
          <w:szCs w:val="20"/>
        </w:rPr>
      </w:pPr>
    </w:p>
    <w:p w:rsidR="00D24E61" w:rsidRPr="00771368" w:rsidRDefault="00D24E61">
      <w:pPr>
        <w:spacing w:line="354" w:lineRule="auto"/>
        <w:ind w:firstLine="708"/>
        <w:jc w:val="both"/>
        <w:rPr>
          <w:sz w:val="20"/>
          <w:szCs w:val="20"/>
        </w:rPr>
      </w:pPr>
      <w:r w:rsidRPr="00771368">
        <w:rPr>
          <w:sz w:val="24"/>
          <w:szCs w:val="24"/>
        </w:rPr>
        <w:t xml:space="preserve">Esse artigo tem como objeto o homicídio da mulher realizado por seu cônjuge, mas em viés literário e histórico, por meio da análise de </w:t>
      </w:r>
      <w:r w:rsidRPr="00771368">
        <w:rPr>
          <w:i/>
          <w:iCs/>
          <w:sz w:val="24"/>
          <w:szCs w:val="24"/>
        </w:rPr>
        <w:t>A cartomante</w:t>
      </w:r>
      <w:r w:rsidRPr="00771368">
        <w:rPr>
          <w:sz w:val="24"/>
          <w:szCs w:val="24"/>
        </w:rPr>
        <w:t>, de Machado de Assis. Com isso, espera-se apontar como a análise do conto ajuda a perceber que, da época de sua publicação nos jornais, em 1884, até hoje, houve tanto avanços, principalmente na legislação, que passou a condenar o assassino, quanto permanências, a manutenção do espírito de propriedade da mulher por parte do homem, e que o faz considerar-se no direito de privá-la da vida. A problematização recorrerá a outras narrativas do escritor, que exploram temas afins. O resultado poderá surpreender aqueles que ainda consideram Machado um escritor omisso diante da opressão sofrida pelas mulheres.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5" w:lineRule="exact"/>
        <w:rPr>
          <w:sz w:val="20"/>
          <w:szCs w:val="20"/>
        </w:rPr>
      </w:pPr>
    </w:p>
    <w:p w:rsidR="00D24E61" w:rsidRPr="00771368" w:rsidRDefault="00D24E61">
      <w:pPr>
        <w:ind w:left="720"/>
        <w:rPr>
          <w:sz w:val="20"/>
          <w:szCs w:val="20"/>
        </w:rPr>
      </w:pPr>
      <w:r w:rsidRPr="00771368">
        <w:rPr>
          <w:b/>
          <w:bCs/>
          <w:sz w:val="24"/>
          <w:szCs w:val="24"/>
        </w:rPr>
        <w:t>2. Objetivos e metodologia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51" w:lineRule="auto"/>
        <w:ind w:firstLine="708"/>
        <w:jc w:val="both"/>
        <w:rPr>
          <w:sz w:val="20"/>
          <w:szCs w:val="20"/>
        </w:rPr>
      </w:pPr>
      <w:r w:rsidRPr="00771368">
        <w:rPr>
          <w:sz w:val="24"/>
          <w:szCs w:val="24"/>
        </w:rPr>
        <w:t xml:space="preserve">Esse artigo tem como objetivo apresentar como Machado de Assis figura literariamente o uxoricídio em </w:t>
      </w:r>
      <w:r w:rsidRPr="00771368">
        <w:rPr>
          <w:i/>
          <w:iCs/>
          <w:sz w:val="24"/>
          <w:szCs w:val="24"/>
        </w:rPr>
        <w:t>A Cartomante</w:t>
      </w:r>
      <w:r w:rsidRPr="00771368">
        <w:rPr>
          <w:sz w:val="24"/>
          <w:szCs w:val="24"/>
        </w:rPr>
        <w:t xml:space="preserve"> e como essa problemática revela a assimetria de condições entre homens e mulheres no Brasil da segunda metade do século XIX. Para isso, realizou-se a análise do conto em perspectiva histórica, principalmente no que se refere à legislação da época dedicada ao matrimônio e ao uxoricídio, e por vezes, em perspectiva intertextual, por meio da comparação com outras obras do escritor brasileiro.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9" w:lineRule="exact"/>
        <w:rPr>
          <w:sz w:val="20"/>
          <w:szCs w:val="20"/>
        </w:rPr>
      </w:pPr>
    </w:p>
    <w:p w:rsidR="00D24E61" w:rsidRPr="00771368" w:rsidRDefault="00D24E61">
      <w:pPr>
        <w:ind w:left="720"/>
        <w:rPr>
          <w:sz w:val="20"/>
          <w:szCs w:val="20"/>
        </w:rPr>
      </w:pPr>
      <w:r w:rsidRPr="00771368">
        <w:rPr>
          <w:b/>
          <w:bCs/>
          <w:sz w:val="24"/>
          <w:szCs w:val="24"/>
        </w:rPr>
        <w:t>3. Discussão e resultados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53" w:lineRule="auto"/>
        <w:ind w:firstLine="708"/>
        <w:jc w:val="both"/>
        <w:rPr>
          <w:sz w:val="20"/>
          <w:szCs w:val="20"/>
        </w:rPr>
      </w:pPr>
      <w:r w:rsidRPr="00771368">
        <w:rPr>
          <w:i/>
          <w:iCs/>
          <w:sz w:val="24"/>
          <w:szCs w:val="24"/>
        </w:rPr>
        <w:t xml:space="preserve">A Cartomante </w:t>
      </w:r>
      <w:r w:rsidRPr="00771368">
        <w:rPr>
          <w:sz w:val="24"/>
          <w:szCs w:val="24"/>
        </w:rPr>
        <w:t>se encerra com o uxoricídio de Rita e com o homicídio de seu</w:t>
      </w:r>
      <w:r w:rsidRPr="00771368">
        <w:rPr>
          <w:i/>
          <w:iCs/>
          <w:sz w:val="24"/>
          <w:szCs w:val="24"/>
        </w:rPr>
        <w:t xml:space="preserve"> </w:t>
      </w:r>
      <w:r w:rsidRPr="00771368">
        <w:rPr>
          <w:sz w:val="24"/>
          <w:szCs w:val="24"/>
        </w:rPr>
        <w:t xml:space="preserve">amante, Camilo. Antes de receber dois tiros do marido de Rita, Camilo dá um grito de terror, ao vê-la ao fundo, sobre o canapé, morta e ensanguentada. Alfredo Pujol, ao comentar a cena, afirma que “de toda a vasta obra de Machado de Assis, só o conto </w:t>
      </w:r>
      <w:r w:rsidRPr="00771368">
        <w:rPr>
          <w:i/>
          <w:iCs/>
          <w:sz w:val="24"/>
          <w:szCs w:val="24"/>
        </w:rPr>
        <w:t>A</w:t>
      </w:r>
      <w:r w:rsidRPr="00771368">
        <w:rPr>
          <w:sz w:val="24"/>
          <w:szCs w:val="24"/>
        </w:rPr>
        <w:t xml:space="preserve"> </w:t>
      </w:r>
      <w:r w:rsidRPr="00771368">
        <w:rPr>
          <w:i/>
          <w:iCs/>
          <w:sz w:val="24"/>
          <w:szCs w:val="24"/>
        </w:rPr>
        <w:t xml:space="preserve">Cartomante </w:t>
      </w:r>
      <w:r w:rsidRPr="00771368">
        <w:rPr>
          <w:sz w:val="24"/>
          <w:szCs w:val="24"/>
        </w:rPr>
        <w:t>nos depara uma cena violenta de tragédia”</w:t>
      </w:r>
      <w:r w:rsidRPr="00771368">
        <w:rPr>
          <w:i/>
          <w:iCs/>
          <w:sz w:val="24"/>
          <w:szCs w:val="24"/>
        </w:rPr>
        <w:t xml:space="preserve"> </w:t>
      </w:r>
      <w:r w:rsidRPr="00771368">
        <w:rPr>
          <w:sz w:val="24"/>
          <w:szCs w:val="24"/>
        </w:rPr>
        <w:t>(PUJOL, 1934, p. 187). Sem</w:t>
      </w:r>
      <w:r w:rsidRPr="00771368">
        <w:rPr>
          <w:i/>
          <w:iCs/>
          <w:sz w:val="24"/>
          <w:szCs w:val="24"/>
        </w:rPr>
        <w:t xml:space="preserve"> </w:t>
      </w:r>
      <w:r w:rsidRPr="00771368">
        <w:rPr>
          <w:sz w:val="24"/>
          <w:szCs w:val="24"/>
        </w:rPr>
        <w:t>desprezar o potencial trágico e o caráter sangrento de outras cenas, tais como o desfecho do conto “Pai contra mãe”, cumpre admitir que execuções sumárias são, no mínimo, raras na obra de Machado de Assis. O presente artigo procurará apresentar uma justificativa para tão hediondo desfecho, o que equivale a buscar estabelecer seu efeito</w:t>
      </w:r>
    </w:p>
    <w:p w:rsidR="00D24E61" w:rsidRPr="00771368" w:rsidRDefault="00D24E61">
      <w:pPr>
        <w:sectPr w:rsidR="00D24E61" w:rsidRPr="00771368">
          <w:pgSz w:w="11900" w:h="16838"/>
          <w:pgMar w:top="1440" w:right="1700" w:bottom="1089"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34" w:lineRule="auto"/>
        <w:ind w:right="20"/>
        <w:jc w:val="both"/>
        <w:rPr>
          <w:sz w:val="20"/>
          <w:szCs w:val="20"/>
        </w:rPr>
      </w:pPr>
      <w:r w:rsidRPr="00771368">
        <w:rPr>
          <w:sz w:val="24"/>
          <w:szCs w:val="24"/>
        </w:rPr>
        <w:t>de sentido, bem como propor algumas demandas às quais responde. A hipótese central é a de que o desfecho ratifica a unidade do conto ao unificar dois percursos temáticos entrelaçados:</w:t>
      </w:r>
    </w:p>
    <w:p w:rsidR="00D24E61" w:rsidRPr="00771368" w:rsidRDefault="00D24E61">
      <w:pPr>
        <w:spacing w:line="33" w:lineRule="exact"/>
        <w:rPr>
          <w:sz w:val="20"/>
          <w:szCs w:val="20"/>
        </w:rPr>
      </w:pPr>
    </w:p>
    <w:p w:rsidR="00D24E61" w:rsidRPr="00771368" w:rsidRDefault="00D24E61" w:rsidP="00D24E61">
      <w:pPr>
        <w:numPr>
          <w:ilvl w:val="0"/>
          <w:numId w:val="9"/>
        </w:numPr>
        <w:tabs>
          <w:tab w:val="left" w:pos="960"/>
        </w:tabs>
        <w:ind w:left="960" w:hanging="250"/>
        <w:jc w:val="both"/>
        <w:rPr>
          <w:sz w:val="24"/>
          <w:szCs w:val="24"/>
        </w:rPr>
      </w:pPr>
      <w:r w:rsidRPr="00771368">
        <w:rPr>
          <w:sz w:val="24"/>
          <w:szCs w:val="24"/>
        </w:rPr>
        <w:t>o da realização amorosa, do ciúme e do adultério;</w:t>
      </w:r>
    </w:p>
    <w:p w:rsidR="00D24E61" w:rsidRPr="00771368" w:rsidRDefault="00D24E61">
      <w:pPr>
        <w:spacing w:line="195" w:lineRule="exact"/>
        <w:rPr>
          <w:sz w:val="24"/>
          <w:szCs w:val="24"/>
        </w:rPr>
      </w:pPr>
    </w:p>
    <w:p w:rsidR="00D24E61" w:rsidRPr="00771368" w:rsidRDefault="00D24E61" w:rsidP="00D24E61">
      <w:pPr>
        <w:numPr>
          <w:ilvl w:val="0"/>
          <w:numId w:val="9"/>
        </w:numPr>
        <w:tabs>
          <w:tab w:val="left" w:pos="972"/>
        </w:tabs>
        <w:spacing w:line="310" w:lineRule="auto"/>
        <w:ind w:right="20" w:firstLine="710"/>
        <w:jc w:val="both"/>
        <w:rPr>
          <w:sz w:val="24"/>
          <w:szCs w:val="24"/>
        </w:rPr>
      </w:pPr>
      <w:r w:rsidRPr="00771368">
        <w:rPr>
          <w:sz w:val="24"/>
          <w:szCs w:val="24"/>
        </w:rPr>
        <w:t>o da superstição, do misticismo como consolo do espírito em face da angústia e do desconhecido.</w:t>
      </w:r>
    </w:p>
    <w:p w:rsidR="00D24E61" w:rsidRPr="00771368" w:rsidRDefault="00D24E61">
      <w:pPr>
        <w:spacing w:line="115" w:lineRule="exact"/>
        <w:rPr>
          <w:sz w:val="24"/>
          <w:szCs w:val="24"/>
        </w:rPr>
      </w:pPr>
    </w:p>
    <w:p w:rsidR="00D24E61" w:rsidRPr="00771368" w:rsidRDefault="00D24E61">
      <w:pPr>
        <w:spacing w:line="343" w:lineRule="auto"/>
        <w:ind w:right="20" w:firstLine="708"/>
        <w:jc w:val="both"/>
        <w:rPr>
          <w:sz w:val="24"/>
          <w:szCs w:val="24"/>
        </w:rPr>
      </w:pPr>
      <w:r w:rsidRPr="00771368">
        <w:rPr>
          <w:sz w:val="24"/>
          <w:szCs w:val="24"/>
        </w:rPr>
        <w:t>Partiremos dos delineamentos essenciais de cada um desses eixos temáticos para, por fim, centrarmo-nos no significado de sua complementaridade e interdependência. Com isso, esperamos apontar aspectos da figuração literária do uxoricídio e da situação de opressão da mulher no contexto nacional da época.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4" w:lineRule="exact"/>
        <w:rPr>
          <w:sz w:val="20"/>
          <w:szCs w:val="20"/>
        </w:rPr>
      </w:pPr>
    </w:p>
    <w:p w:rsidR="00D24E61" w:rsidRPr="00771368" w:rsidRDefault="00D24E61">
      <w:pPr>
        <w:ind w:left="720"/>
        <w:rPr>
          <w:sz w:val="20"/>
          <w:szCs w:val="20"/>
        </w:rPr>
      </w:pPr>
      <w:r w:rsidRPr="00771368">
        <w:rPr>
          <w:b/>
          <w:bCs/>
          <w:sz w:val="24"/>
          <w:szCs w:val="24"/>
        </w:rPr>
        <w:t>3.1. Realização amorosa, ciúme e adultério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41" w:lineRule="auto"/>
        <w:ind w:right="20" w:firstLine="708"/>
        <w:jc w:val="both"/>
        <w:rPr>
          <w:sz w:val="20"/>
          <w:szCs w:val="20"/>
        </w:rPr>
      </w:pPr>
      <w:r w:rsidRPr="00771368">
        <w:rPr>
          <w:sz w:val="24"/>
          <w:szCs w:val="24"/>
        </w:rPr>
        <w:t xml:space="preserve">Percebe-se que o amor, o ciúme e o adultério constituem um núcleo temático importante já pelo fato de que o drama figurado no conto envolve um triângulo amoroso. O amor de Rita e Camilo constitui um adultério penalizado com o assassínio de ambos. Vilela, o marido, age movido pelo ciúme. Nesse sentido, não deixa de ser expressivo que </w:t>
      </w:r>
      <w:r w:rsidRPr="00771368">
        <w:rPr>
          <w:i/>
          <w:iCs/>
          <w:sz w:val="24"/>
          <w:szCs w:val="24"/>
        </w:rPr>
        <w:t>A Cartomante</w:t>
      </w:r>
      <w:r w:rsidRPr="00771368">
        <w:rPr>
          <w:sz w:val="24"/>
          <w:szCs w:val="24"/>
        </w:rPr>
        <w:t xml:space="preserve"> seja o único conto, num total de quinze, a figurar em ambas as mais recentes antologias do autor dedicadas a esses assuntos.</w:t>
      </w:r>
      <w:r w:rsidRPr="00771368">
        <w:rPr>
          <w:sz w:val="32"/>
          <w:szCs w:val="32"/>
          <w:vertAlign w:val="superscript"/>
        </w:rPr>
        <w:t>1</w:t>
      </w:r>
    </w:p>
    <w:p w:rsidR="00D24E61" w:rsidRPr="00771368" w:rsidRDefault="00D24E61">
      <w:pPr>
        <w:spacing w:line="1" w:lineRule="exact"/>
        <w:rPr>
          <w:sz w:val="20"/>
          <w:szCs w:val="20"/>
        </w:rPr>
      </w:pPr>
    </w:p>
    <w:p w:rsidR="00D24E61" w:rsidRPr="00771368" w:rsidRDefault="00D24E61">
      <w:pPr>
        <w:spacing w:line="355" w:lineRule="auto"/>
        <w:ind w:firstLine="708"/>
        <w:jc w:val="both"/>
        <w:rPr>
          <w:sz w:val="20"/>
          <w:szCs w:val="20"/>
        </w:rPr>
      </w:pPr>
      <w:r w:rsidRPr="00771368">
        <w:rPr>
          <w:sz w:val="24"/>
          <w:szCs w:val="24"/>
        </w:rPr>
        <w:t xml:space="preserve">A relação entre as personagens principia por uma sincera amizade. Camilo e Vilela são amigos de infância. O primeiro é caracterizado como pouco propenso ao trabalho. Conta-nos o narrador que ele preferia o ócio à medicina, à qual era destinado pelo pai. Com a morte deste, só graças a esforços da mãe se torna funcionário público. É definido pelo narrador “como um </w:t>
      </w:r>
      <w:r w:rsidRPr="00771368">
        <w:rPr>
          <w:i/>
          <w:iCs/>
          <w:sz w:val="24"/>
          <w:szCs w:val="24"/>
        </w:rPr>
        <w:t>ingênuo</w:t>
      </w:r>
      <w:r w:rsidRPr="00771368">
        <w:rPr>
          <w:sz w:val="24"/>
          <w:szCs w:val="24"/>
        </w:rPr>
        <w:t xml:space="preserve"> na vida moral e prática”, e aos 26 anos é caracterizado como alguém que não tem experiência nem intuição. O segundo, Vilela, é completamente diferente, é um homem grave, que segundo o narrador, com 29 anos parece mais velho do que a esposa, de trinta. É um homem de leis que exercia a magistratura na província, onde conheceu Rita e com ela se casou. Ambicioso, abandona a magistratura para abrir banca de advogado na capital, trazendo consigo a esposa. Sua capacidade de autodeterminação revela que é uma pessoa mais séria e decidida.</w:t>
      </w:r>
    </w:p>
    <w:p w:rsidR="00D24E61" w:rsidRPr="00771368" w:rsidRDefault="00013211">
      <w:pPr>
        <w:spacing w:line="355" w:lineRule="auto"/>
        <w:ind w:firstLine="708"/>
        <w:jc w:val="both"/>
        <w:rPr>
          <w:sz w:val="20"/>
          <w:szCs w:val="20"/>
        </w:rPr>
        <w:sectPr w:rsidR="00D24E61" w:rsidRPr="00771368">
          <w:pgSz w:w="11900" w:h="16838"/>
          <w:pgMar w:top="1440" w:right="1680" w:bottom="1147" w:left="1700" w:header="0" w:footer="0" w:gutter="0"/>
          <w:cols w:space="720" w:equalWidth="0">
            <w:col w:w="8520"/>
          </w:cols>
        </w:sectPr>
      </w:pPr>
      <w:r>
        <w:rPr>
          <w:noProof/>
          <w:sz w:val="20"/>
          <w:szCs w:val="20"/>
        </w:rPr>
        <mc:AlternateContent>
          <mc:Choice Requires="wps">
            <w:drawing>
              <wp:anchor distT="0" distB="0" distL="0" distR="0" simplePos="0" relativeHeight="251645440" behindDoc="0" locked="0" layoutInCell="0" allowOverlap="1">
                <wp:simplePos x="0" y="0"/>
                <wp:positionH relativeFrom="column">
                  <wp:posOffset>1270</wp:posOffset>
                </wp:positionH>
                <wp:positionV relativeFrom="paragraph">
                  <wp:posOffset>130810</wp:posOffset>
                </wp:positionV>
                <wp:extent cx="1828800" cy="0"/>
                <wp:effectExtent l="10795" t="6985" r="8255" b="12065"/>
                <wp:wrapNone/>
                <wp:docPr id="28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0.3pt" to="144.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6jFAIAACs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" o:allowincell="f" strokeweight=".25397mm"/>
            </w:pict>
          </mc:Fallback>
        </mc:AlternateContent>
      </w:r>
    </w:p>
    <w:p w:rsidR="00D24E61" w:rsidRPr="00771368" w:rsidRDefault="00D24E61">
      <w:pPr>
        <w:spacing w:line="316" w:lineRule="exact"/>
        <w:rPr>
          <w:sz w:val="20"/>
          <w:szCs w:val="20"/>
        </w:rPr>
      </w:pPr>
    </w:p>
    <w:p w:rsidR="00D24E61" w:rsidRPr="00771368" w:rsidRDefault="00D24E61">
      <w:pPr>
        <w:spacing w:line="210" w:lineRule="auto"/>
        <w:rPr>
          <w:sz w:val="20"/>
          <w:szCs w:val="20"/>
        </w:rPr>
      </w:pPr>
      <w:r w:rsidRPr="00771368">
        <w:rPr>
          <w:sz w:val="25"/>
          <w:szCs w:val="25"/>
          <w:vertAlign w:val="superscript"/>
        </w:rPr>
        <w:t>1</w:t>
      </w:r>
      <w:r w:rsidRPr="00771368">
        <w:rPr>
          <w:i/>
          <w:iCs/>
          <w:sz w:val="20"/>
          <w:szCs w:val="20"/>
        </w:rPr>
        <w:t xml:space="preserve"> Contos de amor e ciúme – Machado de Assis </w:t>
      </w:r>
      <w:r w:rsidRPr="00771368">
        <w:rPr>
          <w:sz w:val="20"/>
          <w:szCs w:val="20"/>
        </w:rPr>
        <w:t>e</w:t>
      </w:r>
      <w:r w:rsidRPr="00771368">
        <w:rPr>
          <w:i/>
          <w:iCs/>
          <w:sz w:val="20"/>
          <w:szCs w:val="20"/>
        </w:rPr>
        <w:t xml:space="preserve"> Contos de Machado de Assis, v2: adultério e ciúme</w:t>
      </w:r>
      <w:r w:rsidRPr="00771368">
        <w:rPr>
          <w:sz w:val="20"/>
          <w:szCs w:val="20"/>
        </w:rPr>
        <w:t>. Cf.</w:t>
      </w:r>
      <w:r w:rsidRPr="00771368">
        <w:rPr>
          <w:i/>
          <w:iCs/>
          <w:sz w:val="20"/>
          <w:szCs w:val="20"/>
        </w:rPr>
        <w:t xml:space="preserve"> </w:t>
      </w:r>
      <w:r w:rsidRPr="00771368">
        <w:rPr>
          <w:sz w:val="20"/>
          <w:szCs w:val="20"/>
        </w:rPr>
        <w:t>Bibliografia.</w:t>
      </w:r>
    </w:p>
    <w:p w:rsidR="00D24E61" w:rsidRPr="00771368" w:rsidRDefault="00D24E61">
      <w:pPr>
        <w:sectPr w:rsidR="00D24E61" w:rsidRPr="00771368">
          <w:type w:val="continuous"/>
          <w:pgSz w:w="11900" w:h="16838"/>
          <w:pgMar w:top="1440" w:right="1700" w:bottom="1147"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Na chegada ao Rio de Janeiro, ocorre a primeira demonstração de amizade: Camilo lhes arranja a casa, em Botafogo, e vai a bordo recebê-los. Ali conhece Rita, de quem só tinha notícia por cartas, e os três estabelecem laços de fraterna amizade. Meses depois, morre a mãe de Camilo, e a amizade se estreita: Vilela cuida do enterro e dos trâmites legais; Rita, dos assuntos sentimentais.</w:t>
      </w:r>
    </w:p>
    <w:p w:rsidR="00D24E61" w:rsidRPr="00771368" w:rsidRDefault="00D24E61">
      <w:pPr>
        <w:spacing w:line="77" w:lineRule="exact"/>
        <w:rPr>
          <w:sz w:val="20"/>
          <w:szCs w:val="20"/>
        </w:rPr>
      </w:pPr>
    </w:p>
    <w:p w:rsidR="00D24E61" w:rsidRPr="00771368" w:rsidRDefault="00D24E61">
      <w:pPr>
        <w:spacing w:line="352" w:lineRule="auto"/>
        <w:ind w:firstLine="708"/>
        <w:jc w:val="both"/>
        <w:rPr>
          <w:sz w:val="20"/>
          <w:szCs w:val="20"/>
        </w:rPr>
      </w:pPr>
      <w:r w:rsidRPr="00771368">
        <w:rPr>
          <w:sz w:val="24"/>
          <w:szCs w:val="24"/>
        </w:rPr>
        <w:t>A beleza é o principal traço de Rita. É a primeira personagem apresentada no conto, por meio da expressão “a bela Rita”. Ela é considerada uma “dama formosa e tonta”, “graciosa e viva nos gestos”, tem “olhos cálidos” e “boca fina e interrogativa”, diz o narrador que “era mulher e bonita” e, por fim, a atração recíproca entre ela e Camilo se traduz em que “</w:t>
      </w:r>
      <w:r w:rsidRPr="00771368">
        <w:rPr>
          <w:i/>
          <w:iCs/>
          <w:sz w:val="24"/>
          <w:szCs w:val="24"/>
        </w:rPr>
        <w:t>odor di femmina</w:t>
      </w:r>
      <w:r w:rsidRPr="00771368">
        <w:rPr>
          <w:sz w:val="24"/>
          <w:szCs w:val="24"/>
        </w:rPr>
        <w:t>” era o que ele “aspirava nela, e em volta dela, para incorporar em si próprio”. Além da beleza, concorre para o nascimento do amor por Camilo a compatibilidade de gênios. Rita tem maior afinidade com ele do que com o marido. Lembremos que o traço de personalidade com que o narrador a define,</w:t>
      </w:r>
    </w:p>
    <w:p w:rsidR="00D24E61" w:rsidRPr="00771368" w:rsidRDefault="00D24E61">
      <w:pPr>
        <w:spacing w:line="74" w:lineRule="exact"/>
        <w:rPr>
          <w:sz w:val="20"/>
          <w:szCs w:val="20"/>
        </w:rPr>
      </w:pPr>
    </w:p>
    <w:p w:rsidR="00D24E61" w:rsidRPr="00771368" w:rsidRDefault="00D24E61">
      <w:pPr>
        <w:spacing w:line="349" w:lineRule="auto"/>
        <w:ind w:right="20"/>
        <w:jc w:val="both"/>
        <w:rPr>
          <w:sz w:val="20"/>
          <w:szCs w:val="20"/>
        </w:rPr>
      </w:pPr>
      <w:r w:rsidRPr="00771368">
        <w:rPr>
          <w:sz w:val="24"/>
          <w:szCs w:val="24"/>
        </w:rPr>
        <w:t xml:space="preserve">“tonta”, significa “simplória, ingênua” e é também a ingenuidade o traço dominante do caráter de Camilo, em oposição, ambos, à gravidade de Vilela. Essa afinidade se consubstancia em interesses e divertimentos comuns: “Liam os mesmos livros, iam juntos a teatros e passeios. Camilo ensinou-lhe as damas e o xadrez”, “como daí chegaram ao amor, não o soube ele nunca. A verdade é que </w:t>
      </w:r>
      <w:r w:rsidRPr="00771368">
        <w:rPr>
          <w:i/>
          <w:iCs/>
          <w:sz w:val="24"/>
          <w:szCs w:val="24"/>
        </w:rPr>
        <w:t>gostava de passar horas</w:t>
      </w:r>
      <w:r w:rsidRPr="00771368">
        <w:rPr>
          <w:sz w:val="24"/>
          <w:szCs w:val="24"/>
        </w:rPr>
        <w:t xml:space="preserve"> ao lado dela”, ela era sua “enfermeira moral”.</w:t>
      </w:r>
    </w:p>
    <w:p w:rsidR="00D24E61" w:rsidRPr="00771368" w:rsidRDefault="00D24E61">
      <w:pPr>
        <w:spacing w:line="77" w:lineRule="exact"/>
        <w:rPr>
          <w:sz w:val="20"/>
          <w:szCs w:val="20"/>
        </w:rPr>
      </w:pPr>
    </w:p>
    <w:p w:rsidR="00D24E61" w:rsidRPr="00771368" w:rsidRDefault="00D24E61">
      <w:pPr>
        <w:spacing w:line="356" w:lineRule="auto"/>
        <w:ind w:right="20" w:firstLine="708"/>
        <w:jc w:val="both"/>
        <w:rPr>
          <w:sz w:val="20"/>
          <w:szCs w:val="20"/>
        </w:rPr>
      </w:pPr>
      <w:r w:rsidRPr="00771368">
        <w:rPr>
          <w:sz w:val="24"/>
          <w:szCs w:val="24"/>
        </w:rPr>
        <w:t xml:space="preserve">Rita e Camilo se apaixonam, e é ela quem assume a iniciativa de conquistá-lo. Sua ação encontra analogia no bote de uma serpente, tradicional símbolo da tentação. A comparação inicial: “Rita, como uma serpente” é incrementada por um conjunto de metáforas: “foi-se acercando dele, envolveu-o todo, fez-lhe estalar os ossos num espasmo, e pingou-lhe o veneno na boca. Ele ficou atordoado e subjugado”. O primeiro beijo, espécie de pecado original, é figurado como o veneno com que o predador rende sua vítima. A culpa não demora a martirizá-los: “Vexame, sustos, remorsos, desejos, tudo sentiu de mistura”. Mas a contradição entre desejo e remorso é breve: “a </w:t>
      </w:r>
      <w:r w:rsidRPr="00771368">
        <w:rPr>
          <w:i/>
          <w:iCs/>
          <w:sz w:val="24"/>
          <w:szCs w:val="24"/>
        </w:rPr>
        <w:t>batalha</w:t>
      </w:r>
      <w:r w:rsidRPr="00771368">
        <w:rPr>
          <w:sz w:val="24"/>
          <w:szCs w:val="24"/>
        </w:rPr>
        <w:t xml:space="preserve"> foi curta e a </w:t>
      </w:r>
      <w:r w:rsidRPr="00771368">
        <w:rPr>
          <w:i/>
          <w:iCs/>
          <w:sz w:val="24"/>
          <w:szCs w:val="24"/>
        </w:rPr>
        <w:t>vitória</w:t>
      </w:r>
      <w:r w:rsidRPr="00771368">
        <w:rPr>
          <w:sz w:val="24"/>
          <w:szCs w:val="24"/>
        </w:rPr>
        <w:t xml:space="preserve"> delirante. Adeus, escrúpulos!” A metáfora, do campo semântico das guerras, é seguida da figuração do </w:t>
      </w:r>
      <w:r w:rsidRPr="00771368">
        <w:rPr>
          <w:i/>
          <w:iCs/>
          <w:sz w:val="24"/>
          <w:szCs w:val="24"/>
        </w:rPr>
        <w:t>relaxamento moral</w:t>
      </w:r>
      <w:r w:rsidRPr="00771368">
        <w:rPr>
          <w:sz w:val="24"/>
          <w:szCs w:val="24"/>
        </w:rPr>
        <w:t>: “Não tardou que o sapato se acomodasse ao pé”. Resulta a felicidade da realização amorosa livre de culpa: “e aí foram ambos, estrada fora, braços dados, pisando folgadamente por cima de ervas e pedregulhos, sem padecer nada mais que algumas saudades, quando estavam ausentes um do outro”.</w:t>
      </w:r>
    </w:p>
    <w:p w:rsidR="00D24E61" w:rsidRPr="00771368" w:rsidRDefault="00D24E61">
      <w:pPr>
        <w:sectPr w:rsidR="00D24E61" w:rsidRPr="00771368">
          <w:pgSz w:w="11900" w:h="16838"/>
          <w:pgMar w:top="1440" w:right="1680" w:bottom="1440" w:left="1700" w:header="0" w:footer="0" w:gutter="0"/>
          <w:cols w:space="720" w:equalWidth="0">
            <w:col w:w="8520"/>
          </w:cols>
        </w:sectPr>
      </w:pPr>
    </w:p>
    <w:p w:rsidR="00D24E61" w:rsidRPr="00771368" w:rsidRDefault="00D24E61">
      <w:pPr>
        <w:spacing w:line="27" w:lineRule="exact"/>
        <w:rPr>
          <w:sz w:val="20"/>
          <w:szCs w:val="20"/>
        </w:rPr>
      </w:pPr>
    </w:p>
    <w:p w:rsidR="00D24E61" w:rsidRPr="00771368" w:rsidRDefault="00D24E61">
      <w:pPr>
        <w:spacing w:line="352" w:lineRule="auto"/>
        <w:ind w:firstLine="708"/>
        <w:jc w:val="both"/>
        <w:rPr>
          <w:sz w:val="20"/>
          <w:szCs w:val="20"/>
        </w:rPr>
      </w:pPr>
      <w:r w:rsidRPr="00771368">
        <w:rPr>
          <w:sz w:val="24"/>
          <w:szCs w:val="24"/>
        </w:rPr>
        <w:t xml:space="preserve">A relação entre os amantes se estabelece e Vilela, no princípio, não desconfia de nada e dedica a mesma estima e confiança a ambos. Encerrada a apresentação das circunstâncias que determinam o estado inicial das personagens e suas relações, percebemos que o primeiro conflito, de ordem moral e restrito ao casal, pouco dá de si. O verdadeiro </w:t>
      </w:r>
      <w:r w:rsidRPr="00771368">
        <w:rPr>
          <w:i/>
          <w:iCs/>
          <w:sz w:val="24"/>
          <w:szCs w:val="24"/>
        </w:rPr>
        <w:t>nó</w:t>
      </w:r>
      <w:r w:rsidRPr="00771368">
        <w:rPr>
          <w:sz w:val="24"/>
          <w:szCs w:val="24"/>
        </w:rPr>
        <w:t xml:space="preserve"> da narrativa – compreendido como o conjunto de motivos que viola a imobilidade da situação inicial e provoca a ação (TOMACHEVSKI, 1971, p. 178) – deve-se a uma quarta pessoa, exterior ao triângulo amoroso, um personagem incógnito e despeitado, que envia uma carta a Camilo, ameaçando-os.</w:t>
      </w:r>
    </w:p>
    <w:p w:rsidR="00D24E61" w:rsidRPr="00771368" w:rsidRDefault="00D24E61">
      <w:pPr>
        <w:spacing w:line="74" w:lineRule="exact"/>
        <w:rPr>
          <w:sz w:val="20"/>
          <w:szCs w:val="20"/>
        </w:rPr>
      </w:pPr>
    </w:p>
    <w:p w:rsidR="00D24E61" w:rsidRPr="00771368" w:rsidRDefault="00D24E61">
      <w:pPr>
        <w:spacing w:line="350" w:lineRule="auto"/>
        <w:ind w:firstLine="708"/>
        <w:jc w:val="both"/>
        <w:rPr>
          <w:sz w:val="20"/>
          <w:szCs w:val="20"/>
        </w:rPr>
      </w:pPr>
      <w:r w:rsidRPr="00771368">
        <w:rPr>
          <w:sz w:val="24"/>
          <w:szCs w:val="24"/>
        </w:rPr>
        <w:t>O medo, a vontade de despistar e talvez “um pouco de amor-próprio” fazem o amante rarear as visitas a Vilela. A ausência é notada por este e adiante pesará na condenação dos amantes. A situação é agravada pela fragilidade da justificativa. Como acreditar que Camilo deixa de frequentar a casa de Vilela por padecer “uma paixão frívola de rapaz”? Ele parece não perceber a falta de verossimilhança desse pretexto, diante da amizade que nutriam.</w:t>
      </w:r>
    </w:p>
    <w:p w:rsidR="00D24E61" w:rsidRPr="00771368" w:rsidRDefault="00D24E61">
      <w:pPr>
        <w:spacing w:line="70" w:lineRule="exact"/>
        <w:rPr>
          <w:sz w:val="20"/>
          <w:szCs w:val="20"/>
        </w:rPr>
      </w:pPr>
    </w:p>
    <w:p w:rsidR="00D24E61" w:rsidRPr="00771368" w:rsidRDefault="00D24E61">
      <w:pPr>
        <w:spacing w:line="355" w:lineRule="auto"/>
        <w:ind w:firstLine="708"/>
        <w:jc w:val="both"/>
        <w:rPr>
          <w:sz w:val="20"/>
          <w:szCs w:val="20"/>
        </w:rPr>
      </w:pPr>
      <w:r w:rsidRPr="00771368">
        <w:rPr>
          <w:sz w:val="24"/>
          <w:szCs w:val="24"/>
        </w:rPr>
        <w:t>É devido a esse distanciamento de Camilo que Rita procura a cartomante, desconfiada de que ele não mais a ama. A cena, que ocupa o início do conto, que não é narrado de forma linear, contém a narração da consulta à cartomante, que a tranquiliza ao confirmar o amor de Camilo. Este, ao ter notícia do acontecimento, não consegue parar de rir da superstição da amante. Descobrimos que seu riso advém do desprezo à educação supersticiosa e religiosa que ele mesmo recebera da mãe. Embora se sinta lisonjeado por vê-la “correr às cartomantes”, não deixa de censurar a imprudência dela, pois procurando outras pessoas aumenta a chance de Vilela “sabê-lo, e depois...” Nessas reticências, radica a dúvida com relação à reação de Vilela à descoberta do adultério. Apesar da sensação de perigo, ambos se separam contentes, dada a certeza do amor recíproco. Nesse momento, a ingenuidade, a leviandade e a imperícia do casal beiram a estupidez.</w:t>
      </w:r>
    </w:p>
    <w:p w:rsidR="00D24E61" w:rsidRPr="00771368" w:rsidRDefault="00D24E61">
      <w:pPr>
        <w:spacing w:line="70" w:lineRule="exact"/>
        <w:rPr>
          <w:sz w:val="20"/>
          <w:szCs w:val="20"/>
        </w:rPr>
      </w:pPr>
    </w:p>
    <w:p w:rsidR="00D24E61" w:rsidRPr="00771368" w:rsidRDefault="00D24E61">
      <w:pPr>
        <w:spacing w:line="349" w:lineRule="auto"/>
        <w:ind w:firstLine="708"/>
        <w:jc w:val="both"/>
        <w:rPr>
          <w:sz w:val="20"/>
          <w:szCs w:val="20"/>
        </w:rPr>
      </w:pPr>
      <w:r w:rsidRPr="00771368">
        <w:rPr>
          <w:sz w:val="24"/>
          <w:szCs w:val="24"/>
        </w:rPr>
        <w:t>O conflito agrava-se, pois Camilo recebe mais duas ou três cartas com ameaças. Rita guarda consigo o envelope de uma delas, para que, identificando a letra, pudesse interceptar qualquer correspondência do anônimo que por acaso fosse enviada a Vilela, em sua casa. Ocorre novo agravamento do conflito, pois o marido subitamente fica sombrio, calado, desconfiado. Os amantes se reúnem, combinam passar algumas semanas sem se ver e a partida, que antes se deu entre risos, agora dá-se entre lágrimas.</w:t>
      </w:r>
    </w:p>
    <w:p w:rsidR="00D24E61" w:rsidRPr="00771368" w:rsidRDefault="00D24E61">
      <w:pPr>
        <w:spacing w:line="77" w:lineRule="exact"/>
        <w:rPr>
          <w:sz w:val="20"/>
          <w:szCs w:val="20"/>
        </w:rPr>
      </w:pPr>
    </w:p>
    <w:p w:rsidR="00D24E61" w:rsidRPr="00771368" w:rsidRDefault="00D24E61">
      <w:pPr>
        <w:spacing w:line="308" w:lineRule="auto"/>
        <w:ind w:firstLine="708"/>
        <w:jc w:val="both"/>
        <w:rPr>
          <w:sz w:val="20"/>
          <w:szCs w:val="20"/>
        </w:rPr>
      </w:pPr>
      <w:r w:rsidRPr="00771368">
        <w:rPr>
          <w:sz w:val="24"/>
          <w:szCs w:val="24"/>
        </w:rPr>
        <w:t>No dia seguinte, Camilo recebe um bilhete de Vilela, pedindo que compareça a casa deste com urgência. O estado de tensão e medo de Camilo torna-se insuportável.</w:t>
      </w:r>
    </w:p>
    <w:p w:rsidR="00D24E61" w:rsidRPr="00771368" w:rsidRDefault="00D24E61">
      <w:pPr>
        <w:sectPr w:rsidR="00D24E61" w:rsidRPr="00771368">
          <w:pgSz w:w="11900" w:h="16838"/>
          <w:pgMar w:top="1440" w:right="1700" w:bottom="1137"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47" w:lineRule="auto"/>
        <w:ind w:right="20"/>
        <w:jc w:val="both"/>
        <w:rPr>
          <w:sz w:val="20"/>
          <w:szCs w:val="20"/>
        </w:rPr>
      </w:pPr>
      <w:r w:rsidRPr="00771368">
        <w:rPr>
          <w:sz w:val="24"/>
          <w:szCs w:val="24"/>
        </w:rPr>
        <w:t>Pensa em armar-se, mas, ingenuamente, rejeita a ideia. Toma um tílburi e um acaso o retém perto da residência da cartomante. Resolve, não sem luta interior, consultá-la. A vidente o tranquiliza, ele segue aliviado e despreocupado para a casa de Vilela. O resultado já sabemos: este, transfigurado, encaminha-o para dentro, mostra-lhe o cadáver de Rita e desfecha-lhe dois tiros.</w:t>
      </w:r>
    </w:p>
    <w:p w:rsidR="00D24E61" w:rsidRPr="00771368" w:rsidRDefault="00D24E61">
      <w:pPr>
        <w:spacing w:line="77" w:lineRule="exact"/>
        <w:rPr>
          <w:sz w:val="20"/>
          <w:szCs w:val="20"/>
        </w:rPr>
      </w:pPr>
    </w:p>
    <w:p w:rsidR="00D24E61" w:rsidRPr="00771368" w:rsidRDefault="00D24E61">
      <w:pPr>
        <w:spacing w:line="351" w:lineRule="auto"/>
        <w:ind w:right="20" w:firstLine="708"/>
        <w:jc w:val="both"/>
        <w:rPr>
          <w:sz w:val="20"/>
          <w:szCs w:val="20"/>
        </w:rPr>
      </w:pPr>
      <w:r w:rsidRPr="00771368">
        <w:rPr>
          <w:sz w:val="24"/>
          <w:szCs w:val="24"/>
        </w:rPr>
        <w:t xml:space="preserve">A história de amizade, amor e adultério termina em uxoricídio seguido de homicídio. O ano é de 1870, no Rio de Janeiro, o assassino é um </w:t>
      </w:r>
      <w:r w:rsidRPr="00771368">
        <w:rPr>
          <w:i/>
          <w:iCs/>
          <w:sz w:val="24"/>
          <w:szCs w:val="24"/>
        </w:rPr>
        <w:t>advogado</w:t>
      </w:r>
      <w:r w:rsidRPr="00771368">
        <w:rPr>
          <w:sz w:val="24"/>
          <w:szCs w:val="24"/>
        </w:rPr>
        <w:t xml:space="preserve"> e </w:t>
      </w:r>
      <w:r w:rsidRPr="00771368">
        <w:rPr>
          <w:i/>
          <w:iCs/>
          <w:sz w:val="24"/>
          <w:szCs w:val="24"/>
        </w:rPr>
        <w:t>ex-magistrado</w:t>
      </w:r>
      <w:r w:rsidRPr="00771368">
        <w:rPr>
          <w:sz w:val="24"/>
          <w:szCs w:val="24"/>
        </w:rPr>
        <w:t>. Desprezemos o grau de premeditação que acompanha os dois atos, pois que</w:t>
      </w:r>
      <w:r w:rsidRPr="00771368">
        <w:rPr>
          <w:i/>
          <w:iCs/>
          <w:sz w:val="24"/>
          <w:szCs w:val="24"/>
        </w:rPr>
        <w:t xml:space="preserve"> </w:t>
      </w:r>
      <w:r w:rsidRPr="00771368">
        <w:rPr>
          <w:sz w:val="24"/>
          <w:szCs w:val="24"/>
        </w:rPr>
        <w:t xml:space="preserve">a não premeditação não lhes atenuaria a gravidade nem lhes alteraria o significado, e concentremo-nos no fato de que quem os comete não é ninguém menos do que um homem de leis. Um homem que foi a lei, conhece a lei, e acima de tudo </w:t>
      </w:r>
      <w:r w:rsidRPr="00771368">
        <w:rPr>
          <w:i/>
          <w:iCs/>
          <w:sz w:val="24"/>
          <w:szCs w:val="24"/>
        </w:rPr>
        <w:t>age dentro da</w:t>
      </w:r>
      <w:r w:rsidRPr="00771368">
        <w:rPr>
          <w:sz w:val="24"/>
          <w:szCs w:val="24"/>
        </w:rPr>
        <w:t xml:space="preserve"> </w:t>
      </w:r>
      <w:r w:rsidRPr="00771368">
        <w:rPr>
          <w:i/>
          <w:iCs/>
          <w:sz w:val="24"/>
          <w:szCs w:val="24"/>
        </w:rPr>
        <w:t>lei</w:t>
      </w:r>
      <w:r w:rsidRPr="00771368">
        <w:rPr>
          <w:sz w:val="24"/>
          <w:szCs w:val="24"/>
        </w:rPr>
        <w:t>.</w:t>
      </w:r>
    </w:p>
    <w:p w:rsidR="00D24E61" w:rsidRPr="00771368" w:rsidRDefault="00D24E61">
      <w:pPr>
        <w:spacing w:line="72"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 xml:space="preserve">Segundo Vasconcellos, embora o </w:t>
      </w:r>
      <w:r w:rsidRPr="00771368">
        <w:rPr>
          <w:i/>
          <w:iCs/>
          <w:sz w:val="24"/>
          <w:szCs w:val="24"/>
        </w:rPr>
        <w:t>Código Criminal Brasileiro de 1830</w:t>
      </w:r>
      <w:r w:rsidRPr="00771368">
        <w:rPr>
          <w:sz w:val="24"/>
          <w:szCs w:val="24"/>
        </w:rPr>
        <w:t xml:space="preserve">, nos artigos 251 e 252, estabelecesse pena de prisão temporária para o crime de adultério, o que orientava a prática jurídica eram o direito consuetudinário – baseado no costume – e as </w:t>
      </w:r>
      <w:r w:rsidRPr="00771368">
        <w:rPr>
          <w:i/>
          <w:iCs/>
          <w:sz w:val="24"/>
          <w:szCs w:val="24"/>
        </w:rPr>
        <w:t>Ordenações Filipinas</w:t>
      </w:r>
      <w:r w:rsidRPr="00771368">
        <w:rPr>
          <w:sz w:val="24"/>
          <w:szCs w:val="24"/>
        </w:rPr>
        <w:t xml:space="preserve"> (1603), que estabelecem, no Livro V, tít. XXXVIII: “Achando o homem casado sua mulher em adultério, licitamente poderá matar assim a ela, como o adúltero”.</w:t>
      </w:r>
    </w:p>
    <w:p w:rsidR="00D24E61" w:rsidRPr="00771368" w:rsidRDefault="00D24E61">
      <w:pPr>
        <w:spacing w:line="69"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 xml:space="preserve">Ao criar semelhante desfecho e atribuir o uxoricídio a um personagem refletido, grave, advogado e ex-magistrado, Machado promove a figuração literária e simultaneamente a denúncia de uma sociedade em que a propriedade da mulher pelo homem é sacramentada pelo Estado. O duplo assassínio é a face mais cruel e aguda do </w:t>
      </w:r>
      <w:r w:rsidRPr="00771368">
        <w:rPr>
          <w:i/>
          <w:iCs/>
          <w:sz w:val="24"/>
          <w:szCs w:val="24"/>
        </w:rPr>
        <w:t>pater familias</w:t>
      </w:r>
      <w:r w:rsidRPr="00771368">
        <w:rPr>
          <w:sz w:val="24"/>
          <w:szCs w:val="24"/>
        </w:rPr>
        <w:t>, da família patriarcal, em que o poder está nas mãos do homem e a</w:t>
      </w:r>
      <w:r w:rsidRPr="00771368">
        <w:rPr>
          <w:i/>
          <w:iCs/>
          <w:sz w:val="24"/>
          <w:szCs w:val="24"/>
        </w:rPr>
        <w:t xml:space="preserve"> </w:t>
      </w:r>
      <w:r w:rsidRPr="00771368">
        <w:rPr>
          <w:sz w:val="24"/>
          <w:szCs w:val="24"/>
        </w:rPr>
        <w:t xml:space="preserve">mulher é considerada juridicamente incapaz. As </w:t>
      </w:r>
      <w:r w:rsidRPr="00771368">
        <w:rPr>
          <w:i/>
          <w:iCs/>
          <w:sz w:val="24"/>
          <w:szCs w:val="24"/>
        </w:rPr>
        <w:t>Ordenações Filipinas</w:t>
      </w:r>
      <w:r w:rsidRPr="00771368">
        <w:rPr>
          <w:sz w:val="24"/>
          <w:szCs w:val="24"/>
        </w:rPr>
        <w:t xml:space="preserve"> (Liv. IV, tít.</w:t>
      </w:r>
    </w:p>
    <w:p w:rsidR="00D24E61" w:rsidRPr="00771368" w:rsidRDefault="00D24E61">
      <w:pPr>
        <w:spacing w:line="70" w:lineRule="exact"/>
        <w:rPr>
          <w:sz w:val="20"/>
          <w:szCs w:val="20"/>
        </w:rPr>
      </w:pPr>
    </w:p>
    <w:p w:rsidR="00D24E61" w:rsidRPr="00771368" w:rsidRDefault="00D24E61">
      <w:pPr>
        <w:spacing w:line="310" w:lineRule="auto"/>
        <w:ind w:right="20"/>
        <w:jc w:val="both"/>
        <w:rPr>
          <w:sz w:val="20"/>
          <w:szCs w:val="20"/>
        </w:rPr>
      </w:pPr>
      <w:r w:rsidRPr="00771368">
        <w:rPr>
          <w:sz w:val="24"/>
          <w:szCs w:val="24"/>
        </w:rPr>
        <w:t>XCV) determinam que somente “Morto o marido, a mulher fica em posse e cabeça de casal”. Voltando a casar-se, voltava a ficar juridicamente incapaz, o que se estendeu ao</w:t>
      </w:r>
    </w:p>
    <w:p w:rsidR="00D24E61" w:rsidRPr="00771368" w:rsidRDefault="00D24E61">
      <w:pPr>
        <w:spacing w:line="115" w:lineRule="exact"/>
        <w:rPr>
          <w:sz w:val="20"/>
          <w:szCs w:val="20"/>
        </w:rPr>
      </w:pPr>
    </w:p>
    <w:p w:rsidR="00D24E61" w:rsidRPr="00771368" w:rsidRDefault="00D24E61">
      <w:pPr>
        <w:spacing w:line="310" w:lineRule="auto"/>
        <w:ind w:right="20"/>
        <w:jc w:val="both"/>
        <w:rPr>
          <w:sz w:val="20"/>
          <w:szCs w:val="20"/>
        </w:rPr>
      </w:pPr>
      <w:r w:rsidRPr="00771368">
        <w:rPr>
          <w:i/>
          <w:iCs/>
          <w:sz w:val="24"/>
          <w:szCs w:val="24"/>
        </w:rPr>
        <w:t xml:space="preserve">Decreto-lei nº 181 de 1890 </w:t>
      </w:r>
      <w:r w:rsidRPr="00771368">
        <w:rPr>
          <w:sz w:val="24"/>
          <w:szCs w:val="24"/>
        </w:rPr>
        <w:t>–</w:t>
      </w:r>
      <w:r w:rsidRPr="00771368">
        <w:rPr>
          <w:i/>
          <w:iCs/>
          <w:sz w:val="24"/>
          <w:szCs w:val="24"/>
        </w:rPr>
        <w:t xml:space="preserve"> </w:t>
      </w:r>
      <w:r w:rsidRPr="00771368">
        <w:rPr>
          <w:sz w:val="24"/>
          <w:szCs w:val="24"/>
        </w:rPr>
        <w:t>que instituiu, pela primeira vez, o casamento civil e o</w:t>
      </w:r>
      <w:r w:rsidRPr="00771368">
        <w:rPr>
          <w:i/>
          <w:iCs/>
          <w:sz w:val="24"/>
          <w:szCs w:val="24"/>
        </w:rPr>
        <w:t xml:space="preserve"> </w:t>
      </w:r>
      <w:r w:rsidRPr="00771368">
        <w:rPr>
          <w:sz w:val="24"/>
          <w:szCs w:val="24"/>
        </w:rPr>
        <w:t xml:space="preserve">divórcio – e ao primeiro </w:t>
      </w:r>
      <w:r w:rsidRPr="00771368">
        <w:rPr>
          <w:i/>
          <w:iCs/>
          <w:sz w:val="24"/>
          <w:szCs w:val="24"/>
        </w:rPr>
        <w:t>Código Civil</w:t>
      </w:r>
      <w:r w:rsidRPr="00771368">
        <w:rPr>
          <w:sz w:val="24"/>
          <w:szCs w:val="24"/>
        </w:rPr>
        <w:t>, de 1916. Daí o comentário de Bevilacqua:</w:t>
      </w:r>
    </w:p>
    <w:p w:rsidR="00D24E61" w:rsidRPr="00771368" w:rsidRDefault="00D24E61">
      <w:pPr>
        <w:spacing w:line="200" w:lineRule="exact"/>
        <w:rPr>
          <w:sz w:val="20"/>
          <w:szCs w:val="20"/>
        </w:rPr>
      </w:pPr>
    </w:p>
    <w:p w:rsidR="00D24E61" w:rsidRPr="00771368" w:rsidRDefault="00D24E61">
      <w:pPr>
        <w:spacing w:line="324" w:lineRule="exact"/>
        <w:rPr>
          <w:sz w:val="20"/>
          <w:szCs w:val="20"/>
        </w:rPr>
      </w:pPr>
    </w:p>
    <w:p w:rsidR="00D24E61" w:rsidRPr="00771368" w:rsidRDefault="00D24E61">
      <w:pPr>
        <w:spacing w:line="230" w:lineRule="auto"/>
        <w:ind w:left="2280"/>
        <w:jc w:val="both"/>
        <w:rPr>
          <w:sz w:val="20"/>
          <w:szCs w:val="20"/>
        </w:rPr>
      </w:pPr>
      <w:r w:rsidRPr="00771368">
        <w:t xml:space="preserve">A mulher goza da mesma capacidade atribuída ao homem. Casando-se, essa capacidade se restringe, </w:t>
      </w:r>
      <w:r w:rsidRPr="00771368">
        <w:rPr>
          <w:i/>
          <w:iCs/>
        </w:rPr>
        <w:t>para não estouvar a direção da</w:t>
      </w:r>
      <w:r w:rsidRPr="00771368">
        <w:t xml:space="preserve"> </w:t>
      </w:r>
      <w:r w:rsidRPr="00771368">
        <w:rPr>
          <w:i/>
          <w:iCs/>
        </w:rPr>
        <w:t xml:space="preserve">família </w:t>
      </w:r>
      <w:r w:rsidRPr="00771368">
        <w:t>entregue ao marido. Quando este, temporária ou</w:t>
      </w:r>
      <w:r w:rsidRPr="00771368">
        <w:rPr>
          <w:i/>
          <w:iCs/>
        </w:rPr>
        <w:t xml:space="preserve"> </w:t>
      </w:r>
      <w:r w:rsidRPr="00771368">
        <w:t xml:space="preserve">definitivamente, deixa a direção do lar, </w:t>
      </w:r>
      <w:r w:rsidRPr="00771368">
        <w:rPr>
          <w:i/>
          <w:iCs/>
        </w:rPr>
        <w:t>cessa o motivo da</w:t>
      </w:r>
      <w:r w:rsidRPr="00771368">
        <w:t xml:space="preserve"> </w:t>
      </w:r>
      <w:r w:rsidRPr="00771368">
        <w:rPr>
          <w:i/>
          <w:iCs/>
        </w:rPr>
        <w:t xml:space="preserve">incapacidade da mulher. </w:t>
      </w:r>
      <w:r w:rsidRPr="00771368">
        <w:t>(BEVILACQUA, 1949, p. 153, grifo nosso)</w:t>
      </w:r>
    </w:p>
    <w:p w:rsidR="00D24E61" w:rsidRPr="00771368" w:rsidRDefault="00D24E61">
      <w:pPr>
        <w:sectPr w:rsidR="00D24E61" w:rsidRPr="00771368">
          <w:pgSz w:w="11900" w:h="16838"/>
          <w:pgMar w:top="1440" w:right="1680" w:bottom="1440" w:left="1700" w:header="0" w:footer="0" w:gutter="0"/>
          <w:cols w:space="720" w:equalWidth="0">
            <w:col w:w="8520"/>
          </w:cols>
        </w:sectPr>
      </w:pPr>
    </w:p>
    <w:p w:rsidR="00D24E61" w:rsidRPr="00771368" w:rsidRDefault="00D24E61">
      <w:pPr>
        <w:spacing w:line="27" w:lineRule="exact"/>
        <w:rPr>
          <w:sz w:val="20"/>
          <w:szCs w:val="20"/>
        </w:rPr>
      </w:pPr>
    </w:p>
    <w:p w:rsidR="00D24E61" w:rsidRPr="00771368" w:rsidRDefault="00D24E61">
      <w:pPr>
        <w:spacing w:line="351" w:lineRule="auto"/>
        <w:jc w:val="both"/>
        <w:rPr>
          <w:sz w:val="20"/>
          <w:szCs w:val="20"/>
        </w:rPr>
      </w:pPr>
      <w:r w:rsidRPr="00771368">
        <w:rPr>
          <w:sz w:val="24"/>
          <w:szCs w:val="24"/>
        </w:rPr>
        <w:t xml:space="preserve">A presença do homem é sinônimo de incapacidade jurídica da mulher, que só volta a gozar essa capacidade se ele morrer ou abandonar o lar. Segundo Conselheiro Lafayette Pereira, em </w:t>
      </w:r>
      <w:r w:rsidRPr="00771368">
        <w:rPr>
          <w:i/>
          <w:iCs/>
          <w:sz w:val="24"/>
          <w:szCs w:val="24"/>
        </w:rPr>
        <w:t>Direito da família</w:t>
      </w:r>
      <w:r w:rsidRPr="00771368">
        <w:rPr>
          <w:sz w:val="24"/>
          <w:szCs w:val="24"/>
        </w:rPr>
        <w:t xml:space="preserve">, em virtude do “poder marital”, o homem contava com: “o direito de exigir obediência da mulher, a qual é </w:t>
      </w:r>
      <w:r w:rsidRPr="00771368">
        <w:rPr>
          <w:i/>
          <w:iCs/>
          <w:sz w:val="24"/>
          <w:szCs w:val="24"/>
        </w:rPr>
        <w:t>obrigada a moldar suas ações pela</w:t>
      </w:r>
      <w:r w:rsidRPr="00771368">
        <w:rPr>
          <w:sz w:val="24"/>
          <w:szCs w:val="24"/>
        </w:rPr>
        <w:t xml:space="preserve"> </w:t>
      </w:r>
      <w:r w:rsidRPr="00771368">
        <w:rPr>
          <w:i/>
          <w:iCs/>
          <w:sz w:val="24"/>
          <w:szCs w:val="24"/>
        </w:rPr>
        <w:t xml:space="preserve">vontade dele </w:t>
      </w:r>
      <w:r w:rsidRPr="00771368">
        <w:rPr>
          <w:sz w:val="24"/>
          <w:szCs w:val="24"/>
        </w:rPr>
        <w:t>em tudo o que for honesto e justo”; “o direito de escolher e fixar domicílio</w:t>
      </w:r>
      <w:r w:rsidRPr="00771368">
        <w:rPr>
          <w:i/>
          <w:iCs/>
          <w:sz w:val="24"/>
          <w:szCs w:val="24"/>
        </w:rPr>
        <w:t xml:space="preserve"> </w:t>
      </w:r>
      <w:r w:rsidRPr="00771368">
        <w:rPr>
          <w:sz w:val="24"/>
          <w:szCs w:val="24"/>
        </w:rPr>
        <w:t xml:space="preserve">conjugal, no qual </w:t>
      </w:r>
      <w:r w:rsidRPr="00771368">
        <w:rPr>
          <w:i/>
          <w:iCs/>
          <w:sz w:val="24"/>
          <w:szCs w:val="24"/>
        </w:rPr>
        <w:t>a mulher deve acompanhá-lo</w:t>
      </w:r>
      <w:r w:rsidRPr="00771368">
        <w:rPr>
          <w:sz w:val="24"/>
          <w:szCs w:val="24"/>
        </w:rPr>
        <w:t xml:space="preserve">”; “o direito de </w:t>
      </w:r>
      <w:r w:rsidRPr="00771368">
        <w:rPr>
          <w:i/>
          <w:iCs/>
          <w:sz w:val="24"/>
          <w:szCs w:val="24"/>
        </w:rPr>
        <w:t>representar e defender a</w:t>
      </w:r>
      <w:r w:rsidRPr="00771368">
        <w:rPr>
          <w:sz w:val="24"/>
          <w:szCs w:val="24"/>
        </w:rPr>
        <w:t xml:space="preserve"> </w:t>
      </w:r>
      <w:r w:rsidRPr="00771368">
        <w:rPr>
          <w:i/>
          <w:iCs/>
          <w:sz w:val="24"/>
          <w:szCs w:val="24"/>
        </w:rPr>
        <w:t xml:space="preserve">mulher </w:t>
      </w:r>
      <w:r w:rsidRPr="00771368">
        <w:rPr>
          <w:sz w:val="24"/>
          <w:szCs w:val="24"/>
        </w:rPr>
        <w:t>nos atos judiciais e extrajudiciais” e “o direito de administrar</w:t>
      </w:r>
      <w:r w:rsidRPr="00771368">
        <w:rPr>
          <w:i/>
          <w:iCs/>
          <w:sz w:val="24"/>
          <w:szCs w:val="24"/>
        </w:rPr>
        <w:t xml:space="preserve"> os bens do casal</w:t>
      </w:r>
      <w:r w:rsidRPr="00771368">
        <w:rPr>
          <w:sz w:val="24"/>
          <w:szCs w:val="24"/>
        </w:rPr>
        <w:t>”</w:t>
      </w:r>
    </w:p>
    <w:p w:rsidR="00D24E61" w:rsidRPr="00771368" w:rsidRDefault="00D24E61">
      <w:pPr>
        <w:spacing w:line="74" w:lineRule="exact"/>
        <w:rPr>
          <w:sz w:val="20"/>
          <w:szCs w:val="20"/>
        </w:rPr>
      </w:pPr>
    </w:p>
    <w:p w:rsidR="00D24E61" w:rsidRPr="00771368" w:rsidRDefault="00D24E61">
      <w:pPr>
        <w:spacing w:line="347" w:lineRule="auto"/>
        <w:jc w:val="both"/>
        <w:rPr>
          <w:sz w:val="20"/>
          <w:szCs w:val="20"/>
        </w:rPr>
      </w:pPr>
      <w:r w:rsidRPr="00771368">
        <w:rPr>
          <w:sz w:val="24"/>
          <w:szCs w:val="24"/>
        </w:rPr>
        <w:t>(PEREIRA, 1918, p. 107, grifos nossos). Ao contrário da nossa época, em que a subordinação da mulher se dá a despeito das leis, encontramos a assertiva, explícita, de que a mulher não é dona de suas vontades, deve se submeter a viver onde o marido escolher e ser representada por ele em circunstâncias de qualquer natureza, além de perder o controle de seus bens.</w:t>
      </w:r>
    </w:p>
    <w:p w:rsidR="00D24E61" w:rsidRPr="00771368" w:rsidRDefault="00D24E61">
      <w:pPr>
        <w:spacing w:line="74" w:lineRule="exact"/>
        <w:rPr>
          <w:sz w:val="20"/>
          <w:szCs w:val="20"/>
        </w:rPr>
      </w:pPr>
    </w:p>
    <w:p w:rsidR="00D24E61" w:rsidRPr="00771368" w:rsidRDefault="00D24E61">
      <w:pPr>
        <w:spacing w:line="336" w:lineRule="auto"/>
        <w:ind w:firstLine="708"/>
        <w:jc w:val="both"/>
        <w:rPr>
          <w:sz w:val="20"/>
          <w:szCs w:val="20"/>
        </w:rPr>
      </w:pPr>
      <w:r w:rsidRPr="00771368">
        <w:rPr>
          <w:sz w:val="24"/>
          <w:szCs w:val="24"/>
        </w:rPr>
        <w:t>Para piorar, embora na prática casais deixassem de viver juntos, havia ainda ao alcance do homem a prerrogativa da indissolubilidade do casamento; e, mesmo em 1890, o divórcio, então introduzido,</w:t>
      </w:r>
      <w:r w:rsidRPr="00771368">
        <w:rPr>
          <w:sz w:val="32"/>
          <w:szCs w:val="32"/>
          <w:vertAlign w:val="superscript"/>
        </w:rPr>
        <w:t>2</w:t>
      </w:r>
      <w:r w:rsidRPr="00771368">
        <w:rPr>
          <w:sz w:val="24"/>
          <w:szCs w:val="24"/>
        </w:rPr>
        <w:t xml:space="preserve"> não significava extinção do vínculo matrimonial, mas uma regulamentação da separação de corpos e bens, vedando-se a possibilidade de novos casamentos. Ao que parece, mau marido “bom” era mau marido “morto”, e o casamento, por representar a alienação de bens e direitos fundamentais – como o de livre circulação, ação e eleição do local de residência – poderia tornar-se dantesco para as mulheres: “Deixai toda esperança, ó vós que entrais”.</w:t>
      </w:r>
    </w:p>
    <w:p w:rsidR="00D24E61" w:rsidRPr="00771368" w:rsidRDefault="00D24E61">
      <w:pPr>
        <w:spacing w:line="93" w:lineRule="exact"/>
        <w:rPr>
          <w:sz w:val="20"/>
          <w:szCs w:val="20"/>
        </w:rPr>
      </w:pPr>
    </w:p>
    <w:p w:rsidR="00D24E61" w:rsidRPr="00771368" w:rsidRDefault="00D24E61">
      <w:pPr>
        <w:spacing w:line="354" w:lineRule="auto"/>
        <w:ind w:firstLine="708"/>
        <w:jc w:val="both"/>
        <w:rPr>
          <w:sz w:val="20"/>
          <w:szCs w:val="20"/>
        </w:rPr>
      </w:pPr>
      <w:r w:rsidRPr="00771368">
        <w:rPr>
          <w:sz w:val="24"/>
          <w:szCs w:val="24"/>
        </w:rPr>
        <w:t xml:space="preserve">Machado de Assis não foi indiferente à condição de subordinação das mulheres, que retratou não só por meio do uxoricídio, mas também em narrações em que elas sofrem interdições, restrições e maus-tratos. Basta lembrarmo-nos de Capitu, proibida de mostrar os braços e de ficar à janela, e de seu enclausuramento progressivo, das acusações, da tortura da indiferença cotidiana e da imposição do exílio por fim. Convém recordar também a trajetória de Maria Luísa (do conto </w:t>
      </w:r>
      <w:r w:rsidRPr="00771368">
        <w:rPr>
          <w:i/>
          <w:iCs/>
          <w:sz w:val="24"/>
          <w:szCs w:val="24"/>
        </w:rPr>
        <w:t>A causa secreta</w:t>
      </w:r>
      <w:r w:rsidRPr="00771368">
        <w:rPr>
          <w:sz w:val="24"/>
          <w:szCs w:val="24"/>
        </w:rPr>
        <w:t>), que ao casar era uma jovem “esbelta, airosa”, mas logo passou a manifestar “resignação” e “temor” pelo marido, Fortunato, devido a seus sucessivos e bárbaros espetáculos de tortura e gozo sádico. A violência moral sofrida a deixa cada vez mais “nervosa e frágil”, triste, submissa, até que enfim adoece, definha e morre.</w:t>
      </w:r>
    </w:p>
    <w:p w:rsidR="00D24E61" w:rsidRPr="00771368" w:rsidRDefault="00D24E61">
      <w:pPr>
        <w:spacing w:line="70" w:lineRule="exact"/>
        <w:rPr>
          <w:sz w:val="20"/>
          <w:szCs w:val="20"/>
        </w:rPr>
      </w:pPr>
    </w:p>
    <w:p w:rsidR="00D24E61" w:rsidRPr="00771368" w:rsidRDefault="00D24E61">
      <w:pPr>
        <w:spacing w:line="308" w:lineRule="auto"/>
        <w:ind w:firstLine="708"/>
        <w:jc w:val="both"/>
        <w:rPr>
          <w:sz w:val="20"/>
          <w:szCs w:val="20"/>
        </w:rPr>
      </w:pPr>
      <w:r w:rsidRPr="00771368">
        <w:rPr>
          <w:sz w:val="24"/>
          <w:szCs w:val="24"/>
        </w:rPr>
        <w:t>Machado também não foi omisso diante da assimetria de condições entre homem e mulher nas relações amorosas, nem diante da dupla moral existente. Um caso</w:t>
      </w:r>
    </w:p>
    <w:p w:rsidR="00D24E61" w:rsidRPr="00771368" w:rsidRDefault="00013211">
      <w:pPr>
        <w:spacing w:line="308" w:lineRule="auto"/>
        <w:ind w:firstLine="708"/>
        <w:jc w:val="both"/>
        <w:rPr>
          <w:sz w:val="20"/>
          <w:szCs w:val="20"/>
        </w:rPr>
        <w:sectPr w:rsidR="00D24E61" w:rsidRPr="00771368">
          <w:pgSz w:w="11900" w:h="16838"/>
          <w:pgMar w:top="1440" w:right="1700" w:bottom="1147" w:left="1700" w:header="0" w:footer="0" w:gutter="0"/>
          <w:cols w:space="720" w:equalWidth="0">
            <w:col w:w="8500"/>
          </w:cols>
        </w:sectPr>
      </w:pPr>
      <w:r>
        <w:rPr>
          <w:noProof/>
          <w:sz w:val="20"/>
          <w:szCs w:val="20"/>
        </w:rPr>
        <mc:AlternateContent>
          <mc:Choice Requires="wps">
            <w:drawing>
              <wp:anchor distT="0" distB="0" distL="0" distR="0" simplePos="0" relativeHeight="251646464" behindDoc="0" locked="0" layoutInCell="0" allowOverlap="1">
                <wp:simplePos x="0" y="0"/>
                <wp:positionH relativeFrom="column">
                  <wp:posOffset>1270</wp:posOffset>
                </wp:positionH>
                <wp:positionV relativeFrom="paragraph">
                  <wp:posOffset>162560</wp:posOffset>
                </wp:positionV>
                <wp:extent cx="1828800" cy="0"/>
                <wp:effectExtent l="10795" t="10160" r="8255" b="8890"/>
                <wp:wrapNone/>
                <wp:docPr id="28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2.8pt" to="144.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D9FAIAACs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" o:allowincell="f" strokeweight=".25397mm"/>
            </w:pict>
          </mc:Fallback>
        </mc:AlternateContent>
      </w:r>
    </w:p>
    <w:p w:rsidR="00D24E61" w:rsidRPr="00771368" w:rsidRDefault="00D24E61">
      <w:pPr>
        <w:spacing w:line="365" w:lineRule="exact"/>
        <w:rPr>
          <w:sz w:val="20"/>
          <w:szCs w:val="20"/>
        </w:rPr>
      </w:pPr>
    </w:p>
    <w:p w:rsidR="00D24E61" w:rsidRPr="00771368" w:rsidRDefault="00D24E61">
      <w:pPr>
        <w:spacing w:line="210" w:lineRule="auto"/>
        <w:rPr>
          <w:sz w:val="20"/>
          <w:szCs w:val="20"/>
        </w:rPr>
      </w:pPr>
      <w:r w:rsidRPr="00771368">
        <w:rPr>
          <w:sz w:val="25"/>
          <w:szCs w:val="25"/>
          <w:vertAlign w:val="superscript"/>
        </w:rPr>
        <w:t>2</w:t>
      </w:r>
      <w:r w:rsidRPr="00771368">
        <w:rPr>
          <w:sz w:val="20"/>
          <w:szCs w:val="20"/>
        </w:rPr>
        <w:t xml:space="preserve"> Pelo decreto 181, de 24 de janeiro de 1890. O código Civil de 1916 mudou a nomenclatura de divórcio para desquite. A Constituição de 1934 volta a proibir o divórcio no país.</w:t>
      </w:r>
    </w:p>
    <w:p w:rsidR="00D24E61" w:rsidRPr="00771368" w:rsidRDefault="00D24E61">
      <w:pPr>
        <w:sectPr w:rsidR="00D24E61" w:rsidRPr="00771368">
          <w:type w:val="continuous"/>
          <w:pgSz w:w="11900" w:h="16838"/>
          <w:pgMar w:top="1440" w:right="1700" w:bottom="1147"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34" w:lineRule="auto"/>
        <w:jc w:val="both"/>
        <w:rPr>
          <w:sz w:val="20"/>
          <w:szCs w:val="20"/>
        </w:rPr>
      </w:pPr>
      <w:r w:rsidRPr="00771368">
        <w:rPr>
          <w:sz w:val="24"/>
          <w:szCs w:val="24"/>
        </w:rPr>
        <w:t xml:space="preserve">expressivo é o do conto </w:t>
      </w:r>
      <w:r w:rsidRPr="00771368">
        <w:rPr>
          <w:i/>
          <w:iCs/>
          <w:sz w:val="24"/>
          <w:szCs w:val="24"/>
        </w:rPr>
        <w:t>Singular ocorrência</w:t>
      </w:r>
      <w:r w:rsidRPr="00771368">
        <w:rPr>
          <w:sz w:val="24"/>
          <w:szCs w:val="24"/>
        </w:rPr>
        <w:t>, em que Marocas, amante de Andrade, é terrivelmente humilhada por ele por manter relação sexual com outro homem, na noite de São João, quando o próprio Andrade passava com a família: um peso, duas medidas.</w:t>
      </w:r>
    </w:p>
    <w:p w:rsidR="00D24E61" w:rsidRPr="00771368" w:rsidRDefault="00D24E61">
      <w:pPr>
        <w:spacing w:line="91" w:lineRule="exact"/>
        <w:rPr>
          <w:sz w:val="20"/>
          <w:szCs w:val="20"/>
        </w:rPr>
      </w:pPr>
    </w:p>
    <w:p w:rsidR="00D24E61" w:rsidRPr="00771368" w:rsidRDefault="00D24E61">
      <w:pPr>
        <w:spacing w:line="342" w:lineRule="auto"/>
        <w:jc w:val="both"/>
        <w:rPr>
          <w:sz w:val="20"/>
          <w:szCs w:val="20"/>
        </w:rPr>
      </w:pPr>
      <w:r w:rsidRPr="00771368">
        <w:rPr>
          <w:sz w:val="24"/>
          <w:szCs w:val="24"/>
        </w:rPr>
        <w:t xml:space="preserve">Em </w:t>
      </w:r>
      <w:r w:rsidRPr="00771368">
        <w:rPr>
          <w:i/>
          <w:iCs/>
          <w:sz w:val="24"/>
          <w:szCs w:val="24"/>
        </w:rPr>
        <w:t>A missa do galo</w:t>
      </w:r>
      <w:r w:rsidRPr="00771368">
        <w:rPr>
          <w:sz w:val="24"/>
          <w:szCs w:val="24"/>
        </w:rPr>
        <w:t>, todos da casa sabem que Meneses, sob pretexto de ir ao teatro, passa uma noite por semana na casa da amante, o que se torna motivo de risos entre as escravas. Os casos se multiplicam e evidenciam a dupla moral existente e a opressão sofrida por uma galeria de mulheres infelizes.</w:t>
      </w:r>
    </w:p>
    <w:p w:rsidR="00D24E61" w:rsidRPr="00771368" w:rsidRDefault="00D24E61">
      <w:pPr>
        <w:spacing w:line="83" w:lineRule="exact"/>
        <w:rPr>
          <w:sz w:val="20"/>
          <w:szCs w:val="20"/>
        </w:rPr>
      </w:pPr>
    </w:p>
    <w:p w:rsidR="00D24E61" w:rsidRPr="00771368" w:rsidRDefault="00D24E61">
      <w:pPr>
        <w:spacing w:line="347" w:lineRule="auto"/>
        <w:ind w:firstLine="708"/>
        <w:jc w:val="both"/>
        <w:rPr>
          <w:sz w:val="20"/>
          <w:szCs w:val="20"/>
        </w:rPr>
      </w:pPr>
      <w:r w:rsidRPr="00771368">
        <w:rPr>
          <w:sz w:val="24"/>
          <w:szCs w:val="24"/>
        </w:rPr>
        <w:t xml:space="preserve">O caso mais caro a nosso estudo, no entanto, é a comparação entre </w:t>
      </w:r>
      <w:r w:rsidRPr="00771368">
        <w:rPr>
          <w:i/>
          <w:iCs/>
          <w:sz w:val="24"/>
          <w:szCs w:val="24"/>
        </w:rPr>
        <w:t>A</w:t>
      </w:r>
      <w:r w:rsidRPr="00771368">
        <w:rPr>
          <w:sz w:val="24"/>
          <w:szCs w:val="24"/>
        </w:rPr>
        <w:t xml:space="preserve"> </w:t>
      </w:r>
      <w:r w:rsidRPr="00771368">
        <w:rPr>
          <w:i/>
          <w:iCs/>
          <w:sz w:val="24"/>
          <w:szCs w:val="24"/>
        </w:rPr>
        <w:t xml:space="preserve">Cartomante </w:t>
      </w:r>
      <w:r w:rsidRPr="00771368">
        <w:rPr>
          <w:sz w:val="24"/>
          <w:szCs w:val="24"/>
        </w:rPr>
        <w:t>e</w:t>
      </w:r>
      <w:r w:rsidRPr="00771368">
        <w:rPr>
          <w:i/>
          <w:iCs/>
          <w:sz w:val="24"/>
          <w:szCs w:val="24"/>
        </w:rPr>
        <w:t xml:space="preserve"> O relógio de ouro</w:t>
      </w:r>
      <w:r w:rsidRPr="00771368">
        <w:rPr>
          <w:sz w:val="24"/>
          <w:szCs w:val="24"/>
        </w:rPr>
        <w:t>. Neste, Luís Negreiros tem uma amante, que pretende</w:t>
      </w:r>
      <w:r w:rsidRPr="00771368">
        <w:rPr>
          <w:i/>
          <w:iCs/>
          <w:sz w:val="24"/>
          <w:szCs w:val="24"/>
        </w:rPr>
        <w:t xml:space="preserve"> </w:t>
      </w:r>
      <w:r w:rsidRPr="00771368">
        <w:rPr>
          <w:sz w:val="24"/>
          <w:szCs w:val="24"/>
        </w:rPr>
        <w:t>presenteá-lo com um relógio. Como ele não estava no escritório, o embrulho foi remetido para sua residência. Lá, Clarinha, sua mulher, recebe o embrulho com o bilhete: “Meu nhonhô. Sei que amanhã fazes anos; mando-te esta lembrança. – Tua</w:t>
      </w:r>
    </w:p>
    <w:p w:rsidR="00D24E61" w:rsidRPr="00771368" w:rsidRDefault="00D24E61">
      <w:pPr>
        <w:spacing w:line="74" w:lineRule="exact"/>
        <w:rPr>
          <w:sz w:val="20"/>
          <w:szCs w:val="20"/>
        </w:rPr>
      </w:pPr>
    </w:p>
    <w:p w:rsidR="00D24E61" w:rsidRPr="00771368" w:rsidRDefault="00D24E61">
      <w:pPr>
        <w:spacing w:line="355" w:lineRule="auto"/>
        <w:jc w:val="both"/>
        <w:rPr>
          <w:sz w:val="20"/>
          <w:szCs w:val="20"/>
        </w:rPr>
      </w:pPr>
      <w:r w:rsidRPr="00771368">
        <w:rPr>
          <w:sz w:val="24"/>
          <w:szCs w:val="24"/>
        </w:rPr>
        <w:t xml:space="preserve">Iaiá”. O contraste com a reação do marido traído de </w:t>
      </w:r>
      <w:r w:rsidRPr="00771368">
        <w:rPr>
          <w:i/>
          <w:iCs/>
          <w:sz w:val="24"/>
          <w:szCs w:val="24"/>
        </w:rPr>
        <w:t>A Cartomante</w:t>
      </w:r>
      <w:r w:rsidRPr="00771368">
        <w:rPr>
          <w:sz w:val="24"/>
          <w:szCs w:val="24"/>
        </w:rPr>
        <w:t xml:space="preserve"> não poderia ser maior. Clarinha não mata Luís Negreiros, nem usa de violência contra ele. Ela sequer o interroga. Deixa o relógio sobre a mesa do quarto e cala-se. Luís Negreiros o encontra e supõe ser de um amante de Clarinha. Interroga-a acerca da origem do objeto, mas ela, vexada, nega-se insistentemente a responder. O conflito se intensifica até o homem, fora de si, ameaçá-la: “– Responde, demônio, ou morres!” Subjugada, ela lhe revela o bilhete, quando então o conto se encerra. Se a reação de Clarinha, mulher efetivamente traída, afasta-se do assassínio bárbaro cometido por Vilela, o mesmo não se pode dizer do comportamento de seu homólogo, Luís Negreiros: meras suspeitas bastam para coagir a esposa com ameaça de morte. A realização do uxoricídio em </w:t>
      </w:r>
      <w:r w:rsidRPr="00771368">
        <w:rPr>
          <w:i/>
          <w:iCs/>
          <w:sz w:val="24"/>
          <w:szCs w:val="24"/>
        </w:rPr>
        <w:t>A Cartomante</w:t>
      </w:r>
      <w:r w:rsidRPr="00771368">
        <w:rPr>
          <w:sz w:val="24"/>
          <w:szCs w:val="24"/>
        </w:rPr>
        <w:t xml:space="preserve"> e a ameaça em </w:t>
      </w:r>
      <w:r w:rsidRPr="00771368">
        <w:rPr>
          <w:i/>
          <w:iCs/>
          <w:sz w:val="24"/>
          <w:szCs w:val="24"/>
        </w:rPr>
        <w:t>O relógio de ouro</w:t>
      </w:r>
      <w:r w:rsidRPr="00771368">
        <w:rPr>
          <w:sz w:val="24"/>
          <w:szCs w:val="24"/>
        </w:rPr>
        <w:t xml:space="preserve"> têm o traço comum de retratá-lo como instrumento do homem para opressão e controle da mulher. Revela-se, assim, a verdadeira natureza da</w:t>
      </w:r>
    </w:p>
    <w:p w:rsidR="00D24E61" w:rsidRPr="00771368" w:rsidRDefault="00D24E61">
      <w:pPr>
        <w:spacing w:line="12" w:lineRule="exact"/>
        <w:rPr>
          <w:sz w:val="20"/>
          <w:szCs w:val="20"/>
        </w:rPr>
      </w:pPr>
    </w:p>
    <w:p w:rsidR="00D24E61" w:rsidRPr="00771368" w:rsidRDefault="00D24E61">
      <w:pPr>
        <w:rPr>
          <w:sz w:val="20"/>
          <w:szCs w:val="20"/>
        </w:rPr>
      </w:pPr>
      <w:r w:rsidRPr="00771368">
        <w:rPr>
          <w:sz w:val="24"/>
          <w:szCs w:val="24"/>
        </w:rPr>
        <w:t>“defesa da honra”: ser a mais extrema ferramenta de agrilhoamento.</w:t>
      </w:r>
    </w:p>
    <w:p w:rsidR="00D24E61" w:rsidRPr="00771368" w:rsidRDefault="00D24E61">
      <w:pPr>
        <w:spacing w:line="197" w:lineRule="exact"/>
        <w:rPr>
          <w:sz w:val="20"/>
          <w:szCs w:val="20"/>
        </w:rPr>
      </w:pPr>
    </w:p>
    <w:p w:rsidR="00D24E61" w:rsidRPr="00771368" w:rsidRDefault="00D24E61">
      <w:pPr>
        <w:spacing w:line="353" w:lineRule="auto"/>
        <w:ind w:firstLine="708"/>
        <w:jc w:val="both"/>
        <w:rPr>
          <w:sz w:val="20"/>
          <w:szCs w:val="20"/>
        </w:rPr>
      </w:pPr>
      <w:r w:rsidRPr="00771368">
        <w:rPr>
          <w:sz w:val="24"/>
          <w:szCs w:val="24"/>
        </w:rPr>
        <w:t xml:space="preserve">Nada, em </w:t>
      </w:r>
      <w:r w:rsidRPr="00771368">
        <w:rPr>
          <w:i/>
          <w:iCs/>
          <w:sz w:val="24"/>
          <w:szCs w:val="24"/>
        </w:rPr>
        <w:t>A Cartomante</w:t>
      </w:r>
      <w:r w:rsidRPr="00771368">
        <w:rPr>
          <w:sz w:val="24"/>
          <w:szCs w:val="24"/>
        </w:rPr>
        <w:t>, permite supor que Rita fosse especialmente oprimida pelo marido, ou que a problemática que a envolve seja uma exceção, à época. Quando o narrador nos revela que “A confiança e a estima de Vilela continuavam as mesmas”, fica implícito que eram confiança e estima devotadas a Camilo e à esposa. Inclusive, o triângulo amoroso carrega a particularidade de que todas as ligações são sinceras e possuem legitimidade. Em nenhum momento Rita critica Vilela ou revela sofrer maus-tratos. A amizade entre marido e comborço, como vimos, é retratada como genuína. O amor de Rita e Camilo surge espontaneamente e é fruto da compatibilidade de temperamentos. Nenhum personagem do triângulo amoroso, em suma, deseja o mal a</w:t>
      </w:r>
    </w:p>
    <w:p w:rsidR="00D24E61" w:rsidRPr="00771368" w:rsidRDefault="00D24E61">
      <w:pPr>
        <w:sectPr w:rsidR="00D24E61" w:rsidRPr="00771368">
          <w:pgSz w:w="11900" w:h="16838"/>
          <w:pgMar w:top="1440" w:right="1700" w:bottom="1089"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51" w:lineRule="auto"/>
        <w:jc w:val="both"/>
        <w:rPr>
          <w:sz w:val="20"/>
          <w:szCs w:val="20"/>
        </w:rPr>
      </w:pPr>
      <w:r w:rsidRPr="00771368">
        <w:rPr>
          <w:sz w:val="24"/>
          <w:szCs w:val="24"/>
        </w:rPr>
        <w:t xml:space="preserve">outro. Para fazer justiça a Vilela, é forçoso reconhecer que esse, ao dar cabo de Camilo, tem “as feições decompostas” e nada nos permite imaginar que o duplo assassinato fosse capaz de restituir-lhe a paz. Desse modo, se amor e amizade encontram-se em contradição, a responsabilidade dessa oposição não pode residir tão somente nos indivíduos envolvidos, mas em um sentimento engendrado pela organização social: o ciúme, sentimento de </w:t>
      </w:r>
      <w:r w:rsidRPr="00771368">
        <w:rPr>
          <w:i/>
          <w:iCs/>
          <w:sz w:val="24"/>
          <w:szCs w:val="24"/>
        </w:rPr>
        <w:t>propriedade</w:t>
      </w:r>
      <w:r w:rsidRPr="00771368">
        <w:rPr>
          <w:sz w:val="24"/>
          <w:szCs w:val="24"/>
        </w:rPr>
        <w:t xml:space="preserve"> amorosa, o que confere amplitude histórico-social à atitude de Vilela.</w:t>
      </w:r>
    </w:p>
    <w:p w:rsidR="00D24E61" w:rsidRPr="00771368" w:rsidRDefault="00D24E61">
      <w:pPr>
        <w:spacing w:line="74" w:lineRule="exact"/>
        <w:rPr>
          <w:sz w:val="20"/>
          <w:szCs w:val="20"/>
        </w:rPr>
      </w:pPr>
    </w:p>
    <w:p w:rsidR="00D24E61" w:rsidRPr="00771368" w:rsidRDefault="00D24E61">
      <w:pPr>
        <w:spacing w:line="308" w:lineRule="auto"/>
        <w:ind w:firstLine="708"/>
        <w:jc w:val="both"/>
        <w:rPr>
          <w:sz w:val="20"/>
          <w:szCs w:val="20"/>
        </w:rPr>
      </w:pPr>
      <w:r w:rsidRPr="00771368">
        <w:rPr>
          <w:sz w:val="24"/>
          <w:szCs w:val="24"/>
        </w:rPr>
        <w:t>A ligação entre casamento e propriedade já foi traçada por mais de um estudioso. Conselheiro Lafayette Pereira escreve que:</w:t>
      </w:r>
    </w:p>
    <w:p w:rsidR="00D24E61" w:rsidRPr="00771368" w:rsidRDefault="00D24E61">
      <w:pPr>
        <w:spacing w:line="200" w:lineRule="exact"/>
        <w:rPr>
          <w:sz w:val="20"/>
          <w:szCs w:val="20"/>
        </w:rPr>
      </w:pPr>
    </w:p>
    <w:p w:rsidR="00D24E61" w:rsidRPr="00771368" w:rsidRDefault="00D24E61">
      <w:pPr>
        <w:spacing w:line="328" w:lineRule="exact"/>
        <w:rPr>
          <w:sz w:val="20"/>
          <w:szCs w:val="20"/>
        </w:rPr>
      </w:pPr>
    </w:p>
    <w:p w:rsidR="00D24E61" w:rsidRPr="00771368" w:rsidRDefault="00D24E61">
      <w:pPr>
        <w:spacing w:line="263" w:lineRule="auto"/>
        <w:ind w:left="2280"/>
        <w:jc w:val="both"/>
        <w:rPr>
          <w:sz w:val="20"/>
          <w:szCs w:val="20"/>
        </w:rPr>
      </w:pPr>
      <w:r w:rsidRPr="00771368">
        <w:t>É inegável (...) que a infração de um tal dever [o de fidelidade] por parte da mulher se reveste de um caráter mais grave (...) porque a sua infidelidade pode dar lugar a nascimentos dos filhos adúlteros e dest‟arte, introduzir no seio da família elementos de perpétua luta e desordem (PEREIRA, 1918, p. 105).</w:t>
      </w:r>
    </w:p>
    <w:p w:rsidR="00D24E61" w:rsidRPr="00771368" w:rsidRDefault="00D24E61">
      <w:pPr>
        <w:spacing w:line="200" w:lineRule="exact"/>
        <w:rPr>
          <w:sz w:val="20"/>
          <w:szCs w:val="20"/>
        </w:rPr>
      </w:pPr>
    </w:p>
    <w:p w:rsidR="00D24E61" w:rsidRPr="00771368" w:rsidRDefault="00D24E61">
      <w:pPr>
        <w:spacing w:line="288" w:lineRule="exact"/>
        <w:rPr>
          <w:sz w:val="20"/>
          <w:szCs w:val="20"/>
        </w:rPr>
      </w:pPr>
    </w:p>
    <w:p w:rsidR="00D24E61" w:rsidRPr="00771368" w:rsidRDefault="00D24E61">
      <w:pPr>
        <w:spacing w:line="351" w:lineRule="auto"/>
        <w:jc w:val="both"/>
        <w:rPr>
          <w:sz w:val="20"/>
          <w:szCs w:val="20"/>
        </w:rPr>
      </w:pPr>
      <w:r w:rsidRPr="00771368">
        <w:rPr>
          <w:sz w:val="24"/>
          <w:szCs w:val="24"/>
        </w:rPr>
        <w:t xml:space="preserve">O raciocínio de Pereira evidencia o caráter prático da dupla moral: a monogamia da mulher serve para preservar a propriedade no interior de um mesmo grupo sanguíneo. Essa seria a justificativa para atribuir diferentes pesos ao adultério masculino e ao feminino. O próprio </w:t>
      </w:r>
      <w:r w:rsidRPr="00771368">
        <w:rPr>
          <w:i/>
          <w:iCs/>
          <w:sz w:val="24"/>
          <w:szCs w:val="24"/>
        </w:rPr>
        <w:t>Código Penal Brasileiro de 1890</w:t>
      </w:r>
      <w:r w:rsidRPr="00771368">
        <w:rPr>
          <w:sz w:val="24"/>
          <w:szCs w:val="24"/>
        </w:rPr>
        <w:t xml:space="preserve"> só considerava que um homem era adúltero se tivesse concubina “teúda e manteúda”, ou seja, se ele empenhasse parte da propriedade do casal para mantê-la. Mais uma vez, moral e propriedade congraçam-se em verdadeira harmonia.</w:t>
      </w:r>
    </w:p>
    <w:p w:rsidR="00D24E61" w:rsidRPr="00771368" w:rsidRDefault="00D24E61">
      <w:pPr>
        <w:spacing w:line="72" w:lineRule="exact"/>
        <w:rPr>
          <w:sz w:val="20"/>
          <w:szCs w:val="20"/>
        </w:rPr>
      </w:pPr>
    </w:p>
    <w:p w:rsidR="00D24E61" w:rsidRPr="00771368" w:rsidRDefault="00D24E61">
      <w:pPr>
        <w:spacing w:line="310" w:lineRule="auto"/>
        <w:ind w:firstLine="708"/>
        <w:jc w:val="both"/>
        <w:rPr>
          <w:sz w:val="20"/>
          <w:szCs w:val="20"/>
        </w:rPr>
      </w:pPr>
      <w:r w:rsidRPr="00771368">
        <w:rPr>
          <w:sz w:val="24"/>
          <w:szCs w:val="24"/>
        </w:rPr>
        <w:t>Também Lima Barreto, que no princípio do século XX dedicou uma série de artigos à condenação do uxoricídio, assinalou a ligação entre casamento e propriedade.</w:t>
      </w:r>
    </w:p>
    <w:p w:rsidR="00D24E61" w:rsidRPr="00771368" w:rsidRDefault="00D24E61">
      <w:pPr>
        <w:spacing w:line="115" w:lineRule="exact"/>
        <w:rPr>
          <w:sz w:val="20"/>
          <w:szCs w:val="20"/>
        </w:rPr>
      </w:pPr>
    </w:p>
    <w:p w:rsidR="00D24E61" w:rsidRPr="00771368" w:rsidRDefault="00D24E61">
      <w:pPr>
        <w:spacing w:line="334" w:lineRule="auto"/>
        <w:jc w:val="both"/>
        <w:rPr>
          <w:sz w:val="20"/>
          <w:szCs w:val="20"/>
        </w:rPr>
      </w:pPr>
      <w:r w:rsidRPr="00771368">
        <w:rPr>
          <w:sz w:val="24"/>
          <w:szCs w:val="24"/>
        </w:rPr>
        <w:t>Para ele, o casamento degradava a mulher “à condição de cousa, de animal doméstico, de propriedade nas mãos dos maridos, com direito de vida e morte sobre ela” e roubava o direito de a mulher “amar a quem lhe parecer melhor, quando e onde quiser”</w:t>
      </w:r>
    </w:p>
    <w:p w:rsidR="00D24E61" w:rsidRPr="00771368" w:rsidRDefault="00D24E61">
      <w:pPr>
        <w:spacing w:line="91" w:lineRule="exact"/>
        <w:rPr>
          <w:sz w:val="20"/>
          <w:szCs w:val="20"/>
        </w:rPr>
      </w:pPr>
    </w:p>
    <w:p w:rsidR="00D24E61" w:rsidRPr="00771368" w:rsidRDefault="00D24E61">
      <w:pPr>
        <w:spacing w:line="308" w:lineRule="auto"/>
        <w:jc w:val="both"/>
        <w:rPr>
          <w:sz w:val="20"/>
          <w:szCs w:val="20"/>
        </w:rPr>
      </w:pPr>
      <w:r w:rsidRPr="00771368">
        <w:rPr>
          <w:sz w:val="24"/>
          <w:szCs w:val="24"/>
        </w:rPr>
        <w:t>(BARRETO, 1956a, p. 173). Outra de suas crônicas se encerrava com o apelo: “Deixem as mulheres amarem à vontade. Não as matem, pelo amor de Deus!” (BARRETO,</w:t>
      </w:r>
    </w:p>
    <w:p w:rsidR="00D24E61" w:rsidRPr="00771368" w:rsidRDefault="00D24E61">
      <w:pPr>
        <w:spacing w:line="62" w:lineRule="exact"/>
        <w:rPr>
          <w:sz w:val="20"/>
          <w:szCs w:val="20"/>
        </w:rPr>
      </w:pPr>
    </w:p>
    <w:p w:rsidR="00D24E61" w:rsidRPr="00771368" w:rsidRDefault="00D24E61">
      <w:pPr>
        <w:rPr>
          <w:sz w:val="20"/>
          <w:szCs w:val="20"/>
        </w:rPr>
      </w:pPr>
      <w:r w:rsidRPr="00771368">
        <w:rPr>
          <w:sz w:val="24"/>
          <w:szCs w:val="24"/>
        </w:rPr>
        <w:t>1956b, p. 85).</w:t>
      </w:r>
    </w:p>
    <w:p w:rsidR="00D24E61" w:rsidRPr="00771368" w:rsidRDefault="00D24E61">
      <w:pPr>
        <w:spacing w:line="195"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Alexandra Kollontai sublinha o caráter desumano da associação entre propriedade e indissolubilidade, dois princípios que governavam o casamento à época, tanto na Rússia pré-revolução de 1917 quanto no Brasil:</w:t>
      </w:r>
    </w:p>
    <w:p w:rsidR="00D24E61" w:rsidRPr="00771368" w:rsidRDefault="00D24E61">
      <w:pPr>
        <w:sectPr w:rsidR="00D24E61" w:rsidRPr="00771368">
          <w:pgSz w:w="11900" w:h="16838"/>
          <w:pgMar w:top="1440" w:right="1700" w:bottom="1440" w:left="1700" w:header="0" w:footer="0" w:gutter="0"/>
          <w:cols w:space="720" w:equalWidth="0">
            <w:col w:w="8500"/>
          </w:cols>
        </w:sectPr>
      </w:pPr>
    </w:p>
    <w:p w:rsidR="00D24E61" w:rsidRPr="00771368" w:rsidRDefault="00D24E61">
      <w:pPr>
        <w:spacing w:line="22" w:lineRule="exact"/>
        <w:rPr>
          <w:sz w:val="20"/>
          <w:szCs w:val="20"/>
        </w:rPr>
      </w:pPr>
    </w:p>
    <w:p w:rsidR="00D24E61" w:rsidRPr="00771368" w:rsidRDefault="00D24E61">
      <w:pPr>
        <w:spacing w:line="271" w:lineRule="auto"/>
        <w:ind w:left="2280"/>
        <w:jc w:val="both"/>
        <w:rPr>
          <w:sz w:val="20"/>
          <w:szCs w:val="20"/>
        </w:rPr>
      </w:pPr>
      <w:r w:rsidRPr="00771368">
        <w:t>O matrimônio legal está fundado em dois princípios igualmente falsos: a indissolubilidade, por um lado, e o conceito de propriedade, da posse absoluta de um dos cônjuges por outro (...). A indissolubilidade do matrimônio legal está baseada numa concepção contrária a toda a ciência psicológica; na invariabilidade da psicologia humana no decorrer de uma longa vida (...). O absolutismo da posse encerra, irremediavelmente, a presença contínua desses dois seres, associação que é tão doentia para um como para o outro. (...) as exigências inevitáveis que se fazem ao objeto possuído são a causa de como um ardente amor se transforma em indiferença (...) que leva dentro de si raciocínios insuportáveis e mesquinhos. (KOLLONTAI, 1978, p. 26)</w:t>
      </w:r>
    </w:p>
    <w:p w:rsidR="00D24E61" w:rsidRPr="00771368" w:rsidRDefault="00D24E61">
      <w:pPr>
        <w:spacing w:line="200" w:lineRule="exact"/>
        <w:rPr>
          <w:sz w:val="20"/>
          <w:szCs w:val="20"/>
        </w:rPr>
      </w:pPr>
    </w:p>
    <w:p w:rsidR="00D24E61" w:rsidRPr="00771368" w:rsidRDefault="00D24E61">
      <w:pPr>
        <w:spacing w:line="285" w:lineRule="exact"/>
        <w:rPr>
          <w:sz w:val="20"/>
          <w:szCs w:val="20"/>
        </w:rPr>
      </w:pPr>
    </w:p>
    <w:p w:rsidR="00D24E61" w:rsidRPr="00771368" w:rsidRDefault="00D24E61">
      <w:pPr>
        <w:spacing w:line="346" w:lineRule="auto"/>
        <w:jc w:val="both"/>
        <w:rPr>
          <w:sz w:val="20"/>
          <w:szCs w:val="20"/>
        </w:rPr>
      </w:pPr>
      <w:r w:rsidRPr="00771368">
        <w:rPr>
          <w:sz w:val="24"/>
          <w:szCs w:val="24"/>
        </w:rPr>
        <w:t>Daí a perniciosa ligação entre amor e propriedade privada transformar o amor-livre em crime, que da perspectiva do ser “traído” assume a aparência de roubo, e do “traidor”, apesar das contradições envolvidas, de “restituição de si a si mesmo”. O gesto de Vilela, movido pelo ciúme e amparado nas leis e na moral, em última instância, reflete as limitações da realização amorosa sob o regime da propriedade privada.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4" w:lineRule="exact"/>
        <w:rPr>
          <w:sz w:val="20"/>
          <w:szCs w:val="20"/>
        </w:rPr>
      </w:pPr>
    </w:p>
    <w:p w:rsidR="00D24E61" w:rsidRPr="00771368" w:rsidRDefault="00D24E61">
      <w:pPr>
        <w:ind w:left="720"/>
        <w:rPr>
          <w:sz w:val="20"/>
          <w:szCs w:val="20"/>
        </w:rPr>
      </w:pPr>
      <w:r w:rsidRPr="00771368">
        <w:rPr>
          <w:b/>
          <w:bCs/>
          <w:sz w:val="24"/>
          <w:szCs w:val="24"/>
        </w:rPr>
        <w:t>3. 2. Superstição e misticismo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51" w:lineRule="auto"/>
        <w:ind w:firstLine="708"/>
        <w:jc w:val="both"/>
        <w:rPr>
          <w:sz w:val="20"/>
          <w:szCs w:val="20"/>
        </w:rPr>
      </w:pPr>
      <w:r w:rsidRPr="00771368">
        <w:rPr>
          <w:sz w:val="24"/>
          <w:szCs w:val="24"/>
        </w:rPr>
        <w:t>Vimos, a partir de questões suscitadas pelo conto, a sugestão de que o sentimento de propriedade do ser amado, o ciúme, tem origem social, fere a liberdade individual e impede a plena realização amorosa. Vimos também que, na relação entre os sexos, as mulheres constituem o polo historicamente injustiçado, sofrendo, além da opressão tácita, uma opressão oficializada em mais de um código jurídico. Observamos ainda que Machado de Assis não se omitiu diante dessas questões, que encontram expressão literária em diversas obras.</w:t>
      </w:r>
    </w:p>
    <w:p w:rsidR="00D24E61" w:rsidRPr="00771368" w:rsidRDefault="00D24E61">
      <w:pPr>
        <w:spacing w:line="72" w:lineRule="exact"/>
        <w:rPr>
          <w:sz w:val="20"/>
          <w:szCs w:val="20"/>
        </w:rPr>
      </w:pPr>
    </w:p>
    <w:p w:rsidR="00D24E61" w:rsidRPr="00771368" w:rsidRDefault="00D24E61">
      <w:pPr>
        <w:spacing w:line="353" w:lineRule="auto"/>
        <w:ind w:firstLine="708"/>
        <w:jc w:val="both"/>
        <w:rPr>
          <w:sz w:val="20"/>
          <w:szCs w:val="20"/>
        </w:rPr>
      </w:pPr>
      <w:r w:rsidRPr="00771368">
        <w:rPr>
          <w:sz w:val="24"/>
          <w:szCs w:val="24"/>
        </w:rPr>
        <w:t>Passemos ao tema da superstição, ou do misticismo como alívio do ser diante do desconhecido e da iminência do perigo. O próprio título do conto evidencia que a superstição faz parte de sua temática. Nele, quem recebe destaque não é Camilo, personagem em cuja perspectiva o narrador em terceira pessoa situa o leitor, nem nenhuma das outras personagens que vivenciam diretamente o drama, e sim a cartomante. Também a trama, em sua organização, destaca a participação da vidente. A narrativa não é apresentada em ordem cronológica, ela é organizada de forma que a primeira menção à cartomante esteja no início e a outra menção a ela, a cena em que</w:t>
      </w:r>
    </w:p>
    <w:p w:rsidR="00D24E61" w:rsidRPr="00771368" w:rsidRDefault="00D24E61">
      <w:pPr>
        <w:sectPr w:rsidR="00D24E61" w:rsidRPr="00771368">
          <w:pgSz w:w="11900" w:h="16838"/>
          <w:pgMar w:top="1440" w:right="1700" w:bottom="1440"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34" w:lineRule="auto"/>
        <w:jc w:val="both"/>
        <w:rPr>
          <w:sz w:val="20"/>
          <w:szCs w:val="20"/>
        </w:rPr>
      </w:pPr>
      <w:r w:rsidRPr="00771368">
        <w:rPr>
          <w:sz w:val="24"/>
          <w:szCs w:val="24"/>
        </w:rPr>
        <w:t>efetivamente ganha destaque, dê-se também em um momento privilegiado, momentos antes do desfecho. Enfim, a organização da matéria evidencia que as duas participações dessa personagem pautam a construção do conto.</w:t>
      </w:r>
    </w:p>
    <w:p w:rsidR="00D24E61" w:rsidRPr="00771368" w:rsidRDefault="00D24E61">
      <w:pPr>
        <w:spacing w:line="91" w:lineRule="exact"/>
        <w:rPr>
          <w:sz w:val="20"/>
          <w:szCs w:val="20"/>
        </w:rPr>
      </w:pPr>
    </w:p>
    <w:p w:rsidR="00D24E61" w:rsidRPr="00771368" w:rsidRDefault="00D24E61">
      <w:pPr>
        <w:spacing w:line="308" w:lineRule="auto"/>
        <w:ind w:firstLine="708"/>
        <w:jc w:val="both"/>
        <w:rPr>
          <w:sz w:val="20"/>
          <w:szCs w:val="20"/>
        </w:rPr>
      </w:pPr>
      <w:r w:rsidRPr="00771368">
        <w:rPr>
          <w:sz w:val="24"/>
          <w:szCs w:val="24"/>
        </w:rPr>
        <w:t>A referência intertextual à tragédia de Shakespeare que inicia o conto: “Hamlet observa a Horácio que há mais coisas no céu e na terra do que sonha a nossa filosofia”,</w:t>
      </w:r>
    </w:p>
    <w:p w:rsidR="00D24E61" w:rsidRPr="00771368" w:rsidRDefault="00D24E61">
      <w:pPr>
        <w:spacing w:line="120" w:lineRule="exact"/>
        <w:rPr>
          <w:sz w:val="20"/>
          <w:szCs w:val="20"/>
        </w:rPr>
      </w:pPr>
    </w:p>
    <w:p w:rsidR="00D24E61" w:rsidRPr="00771368" w:rsidRDefault="00D24E61">
      <w:pPr>
        <w:spacing w:line="349" w:lineRule="auto"/>
        <w:jc w:val="both"/>
        <w:rPr>
          <w:sz w:val="20"/>
          <w:szCs w:val="20"/>
        </w:rPr>
      </w:pPr>
      <w:r w:rsidRPr="00771368">
        <w:rPr>
          <w:sz w:val="24"/>
          <w:szCs w:val="24"/>
        </w:rPr>
        <w:t>é uma tradução da tese de Rita de que, na vida, há fatos misteriosos, entre eles a capacidade de adivinhar o futuro da cartomante. Essa referência funciona como sugestão de que a adivinha efetivamente teria acesso ao mistério, às coisas entre o céu e a terra com que a nossa filosofia não sonha. Tese inicial desmentida pelo conjunto do conto, em que a participação da cartomante é a de uma charlatã, que para ganhar dinheiro diz aquilo que o consulente quer ouvir, como propõe Maria Augusta Fonseca:</w:t>
      </w:r>
    </w:p>
    <w:p w:rsidR="00D24E61" w:rsidRPr="00771368" w:rsidRDefault="00D24E61">
      <w:pPr>
        <w:spacing w:line="200" w:lineRule="exact"/>
        <w:rPr>
          <w:sz w:val="20"/>
          <w:szCs w:val="20"/>
        </w:rPr>
      </w:pPr>
    </w:p>
    <w:p w:rsidR="00D24E61" w:rsidRPr="00771368" w:rsidRDefault="00D24E61">
      <w:pPr>
        <w:spacing w:line="285" w:lineRule="exact"/>
        <w:rPr>
          <w:sz w:val="20"/>
          <w:szCs w:val="20"/>
        </w:rPr>
      </w:pPr>
    </w:p>
    <w:p w:rsidR="00D24E61" w:rsidRPr="00771368" w:rsidRDefault="00D24E61">
      <w:pPr>
        <w:spacing w:line="259" w:lineRule="auto"/>
        <w:ind w:left="2280"/>
        <w:jc w:val="both"/>
        <w:rPr>
          <w:sz w:val="20"/>
          <w:szCs w:val="20"/>
        </w:rPr>
      </w:pPr>
      <w:r w:rsidRPr="00771368">
        <w:t>Rita (...) não é capaz de perceber o ardil da cartomante, que por um enunciado reticente – „A senhora gosta de uma pessoa...‟ – extrai a confissão e despeja as palavras que Rita desejava ouvir (FONSECA, 2008, p. 191)</w:t>
      </w:r>
    </w:p>
    <w:p w:rsidR="00D24E61" w:rsidRPr="00771368" w:rsidRDefault="00D24E61">
      <w:pPr>
        <w:spacing w:line="200" w:lineRule="exact"/>
        <w:rPr>
          <w:sz w:val="20"/>
          <w:szCs w:val="20"/>
        </w:rPr>
      </w:pPr>
    </w:p>
    <w:p w:rsidR="00D24E61" w:rsidRPr="00771368" w:rsidRDefault="00D24E61">
      <w:pPr>
        <w:spacing w:line="292" w:lineRule="exact"/>
        <w:rPr>
          <w:sz w:val="20"/>
          <w:szCs w:val="20"/>
        </w:rPr>
      </w:pPr>
    </w:p>
    <w:p w:rsidR="00D24E61" w:rsidRPr="00771368" w:rsidRDefault="00D24E61">
      <w:pPr>
        <w:spacing w:line="334" w:lineRule="auto"/>
        <w:jc w:val="both"/>
        <w:rPr>
          <w:sz w:val="20"/>
          <w:szCs w:val="20"/>
        </w:rPr>
      </w:pPr>
      <w:r w:rsidRPr="00771368">
        <w:rPr>
          <w:sz w:val="24"/>
          <w:szCs w:val="24"/>
        </w:rPr>
        <w:t>Curiosamente, Machado se expressou sobre o assunto em crônica, em 10 de março de 1895. Nela, a posição assumida é a mesma manifestada no conto. Ao comentar a prisão de duas feiticeiras e uma cartomante, escreve:</w:t>
      </w:r>
    </w:p>
    <w:p w:rsidR="00D24E61" w:rsidRPr="00771368" w:rsidRDefault="00D24E61">
      <w:pPr>
        <w:spacing w:line="200" w:lineRule="exact"/>
        <w:rPr>
          <w:sz w:val="20"/>
          <w:szCs w:val="20"/>
        </w:rPr>
      </w:pPr>
    </w:p>
    <w:p w:rsidR="00D24E61" w:rsidRPr="00771368" w:rsidRDefault="00D24E61">
      <w:pPr>
        <w:spacing w:line="299" w:lineRule="exact"/>
        <w:rPr>
          <w:sz w:val="20"/>
          <w:szCs w:val="20"/>
        </w:rPr>
      </w:pPr>
    </w:p>
    <w:p w:rsidR="00D24E61" w:rsidRPr="00771368" w:rsidRDefault="00D24E61">
      <w:pPr>
        <w:spacing w:line="265" w:lineRule="auto"/>
        <w:ind w:left="2280"/>
        <w:jc w:val="both"/>
        <w:rPr>
          <w:sz w:val="20"/>
          <w:szCs w:val="20"/>
        </w:rPr>
      </w:pPr>
      <w:r w:rsidRPr="00771368">
        <w:t>Não se diga que a feitiçaria é ilusão das pessoas crédulas. (...) Que é ilusão? Conheceis Poe? Não é jurisconsulto, posto desse um bom juiz formador de culpa. Ora, Poe escreveu a respeito do povo: “O nariz do povo é a sua imaginação; por ele é que a gente pode levá-lo, em qualquer tempo aonde quiser”. O que chamais ilusão é a imaginação do povo, isto é, o seu próprio nariz. (ASSIS, 1946, p. 330)</w:t>
      </w:r>
    </w:p>
    <w:p w:rsidR="00D24E61" w:rsidRPr="00771368" w:rsidRDefault="00D24E61">
      <w:pPr>
        <w:spacing w:line="200" w:lineRule="exact"/>
        <w:rPr>
          <w:sz w:val="20"/>
          <w:szCs w:val="20"/>
        </w:rPr>
      </w:pPr>
    </w:p>
    <w:p w:rsidR="00D24E61" w:rsidRPr="00771368" w:rsidRDefault="00D24E61">
      <w:pPr>
        <w:spacing w:line="287" w:lineRule="exact"/>
        <w:rPr>
          <w:sz w:val="20"/>
          <w:szCs w:val="20"/>
        </w:rPr>
      </w:pPr>
    </w:p>
    <w:p w:rsidR="00D24E61" w:rsidRPr="00771368" w:rsidRDefault="00D24E61">
      <w:pPr>
        <w:spacing w:line="350" w:lineRule="auto"/>
        <w:jc w:val="both"/>
        <w:rPr>
          <w:sz w:val="20"/>
          <w:szCs w:val="20"/>
        </w:rPr>
      </w:pPr>
      <w:r w:rsidRPr="00771368">
        <w:rPr>
          <w:sz w:val="24"/>
          <w:szCs w:val="24"/>
        </w:rPr>
        <w:t xml:space="preserve">Como se vê, o expediente básico é alimentar a imaginação do consulente, dizer o que ele quer ouvir, guia-lo “pelo próprio nariz”. É o que ocorre também no romance </w:t>
      </w:r>
      <w:r w:rsidRPr="00771368">
        <w:rPr>
          <w:i/>
          <w:iCs/>
          <w:sz w:val="24"/>
          <w:szCs w:val="24"/>
        </w:rPr>
        <w:t>Esaú e</w:t>
      </w:r>
      <w:r w:rsidRPr="00771368">
        <w:rPr>
          <w:sz w:val="24"/>
          <w:szCs w:val="24"/>
        </w:rPr>
        <w:t xml:space="preserve"> </w:t>
      </w:r>
      <w:r w:rsidRPr="00771368">
        <w:rPr>
          <w:i/>
          <w:iCs/>
          <w:sz w:val="24"/>
          <w:szCs w:val="24"/>
        </w:rPr>
        <w:t>Jacó</w:t>
      </w:r>
      <w:r w:rsidRPr="00771368">
        <w:rPr>
          <w:sz w:val="24"/>
          <w:szCs w:val="24"/>
        </w:rPr>
        <w:t>, em que Natividade consulta a cabocla do Morro do Castelo, e esta meramente</w:t>
      </w:r>
      <w:r w:rsidRPr="00771368">
        <w:rPr>
          <w:i/>
          <w:iCs/>
          <w:sz w:val="24"/>
          <w:szCs w:val="24"/>
        </w:rPr>
        <w:t xml:space="preserve"> </w:t>
      </w:r>
      <w:r w:rsidRPr="00771368">
        <w:rPr>
          <w:sz w:val="24"/>
          <w:szCs w:val="24"/>
        </w:rPr>
        <w:t>traduz as expectativas da outra, sem que haja margem para qualquer verdadeiro vaticínio. Bárbara, a cabocla, à semelhança da cartomante, tem olhos “opacos”, mas “lúcidos e agudos”, que “revolviam o coração [de Natividade] e tornavam cá fora”.</w:t>
      </w:r>
    </w:p>
    <w:p w:rsidR="00D24E61" w:rsidRPr="00771368" w:rsidRDefault="00D24E61">
      <w:pPr>
        <w:spacing w:line="12" w:lineRule="exact"/>
        <w:rPr>
          <w:sz w:val="20"/>
          <w:szCs w:val="20"/>
        </w:rPr>
      </w:pPr>
    </w:p>
    <w:p w:rsidR="00D24E61" w:rsidRPr="00771368" w:rsidRDefault="00D24E61">
      <w:pPr>
        <w:rPr>
          <w:sz w:val="20"/>
          <w:szCs w:val="20"/>
        </w:rPr>
      </w:pPr>
      <w:r w:rsidRPr="00771368">
        <w:rPr>
          <w:sz w:val="24"/>
          <w:szCs w:val="24"/>
        </w:rPr>
        <w:t>Questionada sobre o que está vendo, repete a frase evasiva “Coisas futuras”, até que</w:t>
      </w:r>
    </w:p>
    <w:p w:rsidR="00D24E61" w:rsidRPr="00771368" w:rsidRDefault="00D24E61">
      <w:pPr>
        <w:spacing w:line="139" w:lineRule="exact"/>
        <w:rPr>
          <w:sz w:val="20"/>
          <w:szCs w:val="20"/>
        </w:rPr>
      </w:pPr>
    </w:p>
    <w:p w:rsidR="00D24E61" w:rsidRPr="00771368" w:rsidRDefault="00D24E61">
      <w:pPr>
        <w:rPr>
          <w:sz w:val="20"/>
          <w:szCs w:val="20"/>
        </w:rPr>
      </w:pPr>
      <w:r w:rsidRPr="00771368">
        <w:rPr>
          <w:sz w:val="24"/>
          <w:szCs w:val="24"/>
        </w:rPr>
        <w:t>Natividade, ansiosa por conhecer o destino de seus filhos, revela aquilo que quer ouvir:</w:t>
      </w:r>
    </w:p>
    <w:p w:rsidR="00D24E61" w:rsidRPr="00771368" w:rsidRDefault="00D24E61">
      <w:pPr>
        <w:sectPr w:rsidR="00D24E61" w:rsidRPr="00771368">
          <w:pgSz w:w="11900" w:h="16838"/>
          <w:pgMar w:top="1440" w:right="1700" w:bottom="1440"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10" w:lineRule="auto"/>
        <w:jc w:val="both"/>
        <w:rPr>
          <w:sz w:val="20"/>
          <w:szCs w:val="20"/>
        </w:rPr>
      </w:pPr>
      <w:r w:rsidRPr="00771368">
        <w:rPr>
          <w:sz w:val="24"/>
          <w:szCs w:val="24"/>
        </w:rPr>
        <w:t>“Coisas feias?”, “Serão felizes?”, “Serão grandes?” (ASSIS, 2006, p. 18). O procedimento básico é o mesmo da cartomante; já o pagamento, o quíntuplo.</w:t>
      </w:r>
    </w:p>
    <w:p w:rsidR="00D24E61" w:rsidRPr="00771368" w:rsidRDefault="00D24E61">
      <w:pPr>
        <w:spacing w:line="115" w:lineRule="exact"/>
        <w:rPr>
          <w:sz w:val="20"/>
          <w:szCs w:val="20"/>
        </w:rPr>
      </w:pPr>
    </w:p>
    <w:p w:rsidR="00D24E61" w:rsidRPr="00771368" w:rsidRDefault="00D24E61">
      <w:pPr>
        <w:spacing w:line="350" w:lineRule="auto"/>
        <w:ind w:firstLine="708"/>
        <w:jc w:val="both"/>
        <w:rPr>
          <w:sz w:val="20"/>
          <w:szCs w:val="20"/>
        </w:rPr>
      </w:pPr>
      <w:r w:rsidRPr="00771368">
        <w:rPr>
          <w:sz w:val="24"/>
          <w:szCs w:val="24"/>
        </w:rPr>
        <w:t>Na primeira predição, Rita foi “conduzida pelo nariz”, ouviu o que queria e houve coincidência com a realidade, mas o mesmo não aconteceu com o amante. Se Rita é levada aos braços do amoroso Camilo, este é conduzido aos dois tiros de Vilela. Examinemos mais de perto os momentos que antecedem seu homicídio, para podermos apreciar como, indiretamente e por contraste, esses momentos agregam significado ao uxoricídio sofrido por Rita.</w:t>
      </w:r>
    </w:p>
    <w:p w:rsidR="00D24E61" w:rsidRPr="00771368" w:rsidRDefault="00D24E61">
      <w:pPr>
        <w:spacing w:line="69" w:lineRule="exact"/>
        <w:rPr>
          <w:sz w:val="20"/>
          <w:szCs w:val="20"/>
        </w:rPr>
      </w:pPr>
    </w:p>
    <w:p w:rsidR="00D24E61" w:rsidRPr="00771368" w:rsidRDefault="00D24E61">
      <w:pPr>
        <w:spacing w:line="353" w:lineRule="auto"/>
        <w:ind w:firstLine="708"/>
        <w:jc w:val="both"/>
        <w:rPr>
          <w:sz w:val="20"/>
          <w:szCs w:val="20"/>
        </w:rPr>
      </w:pPr>
      <w:r w:rsidRPr="00771368">
        <w:rPr>
          <w:sz w:val="24"/>
          <w:szCs w:val="24"/>
        </w:rPr>
        <w:t>A sequência inicia quando Camilo recebe o bilhete de Vilela: “vem já, já, à nossa casa; preciso falar</w:t>
      </w:r>
      <w:r w:rsidRPr="00771368">
        <w:rPr>
          <w:b/>
          <w:bCs/>
          <w:sz w:val="24"/>
          <w:szCs w:val="24"/>
        </w:rPr>
        <w:t>-</w:t>
      </w:r>
      <w:r w:rsidRPr="00771368">
        <w:rPr>
          <w:sz w:val="24"/>
          <w:szCs w:val="24"/>
        </w:rPr>
        <w:t>te sem demora”. A urgência do chamado se traduz no uso do imperativo e na sucessão de adjuntos adverbiais de tempo: “já, já”, “sem demora”. O bilhete deixará nosso herói em estado de pânico, acentuado diversas vezes pelo narrador: “tinha medo”, “ia andando inquieto e nervoso”, “a comoção crescia de minuto a minuto”. O esgarçamento do tempo narrativo, que transcorre mais lentamente, colabora para sugerir ao leitor o estado de terrível tensão em que o personagem se encontra, o que é confirmado pela repetição esporádica do texto do bilhete, “vem já, já...”, que ecoa na cabeça de Camilo.</w:t>
      </w:r>
    </w:p>
    <w:p w:rsidR="00D24E61" w:rsidRPr="00771368" w:rsidRDefault="00D24E61">
      <w:pPr>
        <w:spacing w:line="75" w:lineRule="exact"/>
        <w:rPr>
          <w:sz w:val="20"/>
          <w:szCs w:val="20"/>
        </w:rPr>
      </w:pPr>
    </w:p>
    <w:p w:rsidR="00D24E61" w:rsidRPr="00771368" w:rsidRDefault="00D24E61">
      <w:pPr>
        <w:spacing w:line="347" w:lineRule="auto"/>
        <w:ind w:firstLine="708"/>
        <w:jc w:val="both"/>
        <w:rPr>
          <w:sz w:val="20"/>
          <w:szCs w:val="20"/>
        </w:rPr>
      </w:pPr>
      <w:r w:rsidRPr="00771368">
        <w:rPr>
          <w:sz w:val="24"/>
          <w:szCs w:val="24"/>
        </w:rPr>
        <w:t>Ele tem consciência do perigo, e ocorrem-lhe os indícios de que Vilela descobrira tudo: a sisudez comunicada por Rita na véspera, a letra trêmula no bilhete, o fato de que foi chamado à casa, e não ao escritório. Em um lampejo de lucidez, antecipa os acontecimentos vindouros: “Rita subjugada e lacrimosa, Vilela indignado, pegando da pena e escrevendo o bilhete, certo de que ele acudiria, e esperando-o para matá-lo”.</w:t>
      </w:r>
    </w:p>
    <w:p w:rsidR="00D24E61" w:rsidRPr="00771368" w:rsidRDefault="00D24E61">
      <w:pPr>
        <w:spacing w:line="16" w:lineRule="exact"/>
        <w:rPr>
          <w:sz w:val="20"/>
          <w:szCs w:val="20"/>
        </w:rPr>
      </w:pPr>
    </w:p>
    <w:p w:rsidR="00D24E61" w:rsidRPr="00771368" w:rsidRDefault="00D24E61">
      <w:pPr>
        <w:rPr>
          <w:sz w:val="20"/>
          <w:szCs w:val="20"/>
        </w:rPr>
      </w:pPr>
      <w:r w:rsidRPr="00771368">
        <w:rPr>
          <w:sz w:val="24"/>
          <w:szCs w:val="24"/>
        </w:rPr>
        <w:t>Pensa em ir armado, mas envergonhado de si, rejeita a ideia.</w:t>
      </w:r>
    </w:p>
    <w:p w:rsidR="00D24E61" w:rsidRPr="00771368" w:rsidRDefault="00D24E61">
      <w:pPr>
        <w:spacing w:line="197" w:lineRule="exact"/>
        <w:rPr>
          <w:sz w:val="20"/>
          <w:szCs w:val="20"/>
        </w:rPr>
      </w:pPr>
    </w:p>
    <w:p w:rsidR="00D24E61" w:rsidRPr="00771368" w:rsidRDefault="00D24E61">
      <w:pPr>
        <w:spacing w:line="347" w:lineRule="auto"/>
        <w:ind w:firstLine="708"/>
        <w:jc w:val="both"/>
        <w:rPr>
          <w:sz w:val="20"/>
          <w:szCs w:val="20"/>
        </w:rPr>
      </w:pPr>
      <w:r w:rsidRPr="00771368">
        <w:rPr>
          <w:sz w:val="24"/>
          <w:szCs w:val="24"/>
        </w:rPr>
        <w:t xml:space="preserve">O acaso, na forma de uma carroça caída, faz o carro em que está parar diante da casa da cartomante. Sente vontade de consultá-la, a aflição revive as antigas superstições, transmitidas pela mãe. A divisão de seu ser encontra expressão na sinédoque: “As </w:t>
      </w:r>
      <w:r w:rsidRPr="00771368">
        <w:rPr>
          <w:i/>
          <w:iCs/>
          <w:sz w:val="24"/>
          <w:szCs w:val="24"/>
        </w:rPr>
        <w:t>pernas</w:t>
      </w:r>
      <w:r w:rsidRPr="00771368">
        <w:rPr>
          <w:sz w:val="24"/>
          <w:szCs w:val="24"/>
        </w:rPr>
        <w:t xml:space="preserve"> queriam entrar”, na ação irrefletida: “</w:t>
      </w:r>
      <w:r w:rsidRPr="00771368">
        <w:rPr>
          <w:i/>
          <w:iCs/>
          <w:sz w:val="24"/>
          <w:szCs w:val="24"/>
        </w:rPr>
        <w:t>Deu por si</w:t>
      </w:r>
      <w:r w:rsidRPr="00771368">
        <w:rPr>
          <w:sz w:val="24"/>
          <w:szCs w:val="24"/>
        </w:rPr>
        <w:t xml:space="preserve"> na calçada”, e na metáfora da ideia </w:t>
      </w:r>
      <w:r w:rsidRPr="00771368">
        <w:rPr>
          <w:i/>
          <w:iCs/>
          <w:sz w:val="24"/>
          <w:szCs w:val="24"/>
        </w:rPr>
        <w:t>com asas</w:t>
      </w:r>
      <w:r w:rsidRPr="00771368">
        <w:rPr>
          <w:sz w:val="24"/>
          <w:szCs w:val="24"/>
        </w:rPr>
        <w:t xml:space="preserve"> que aparece e desaparece, em “giros concêntricos”.</w:t>
      </w:r>
    </w:p>
    <w:p w:rsidR="00D24E61" w:rsidRPr="00771368" w:rsidRDefault="00D24E61">
      <w:pPr>
        <w:spacing w:line="74" w:lineRule="exact"/>
        <w:rPr>
          <w:sz w:val="20"/>
          <w:szCs w:val="20"/>
        </w:rPr>
      </w:pPr>
    </w:p>
    <w:p w:rsidR="00D24E61" w:rsidRPr="00771368" w:rsidRDefault="00D24E61">
      <w:pPr>
        <w:spacing w:line="349" w:lineRule="auto"/>
        <w:ind w:firstLine="708"/>
        <w:jc w:val="both"/>
        <w:rPr>
          <w:sz w:val="20"/>
          <w:szCs w:val="20"/>
        </w:rPr>
      </w:pPr>
      <w:r w:rsidRPr="00771368">
        <w:rPr>
          <w:sz w:val="24"/>
          <w:szCs w:val="24"/>
        </w:rPr>
        <w:t xml:space="preserve">Camilo cede e procura a cartomante, atitude de Rita que antes lhe provocara risos. Nesse instante, assim como em </w:t>
      </w:r>
      <w:r w:rsidRPr="00771368">
        <w:rPr>
          <w:i/>
          <w:iCs/>
          <w:sz w:val="24"/>
          <w:szCs w:val="24"/>
        </w:rPr>
        <w:t>Esaú e Jacó</w:t>
      </w:r>
      <w:r w:rsidRPr="00771368">
        <w:rPr>
          <w:sz w:val="24"/>
          <w:szCs w:val="24"/>
        </w:rPr>
        <w:t>, a vidente é caracterizada como uma charlatã. Como a cabocla do Morro do Castelo, tem olhos “sonsos e agudos”, que podiam fitá-lo com tranquilidade uma vez que ela se posicionava contra a luz. O procedimento básico é o mesmo: sondar até descobrir aquilo que o cliente quer ouvir. A predição inicial, para quem sabe do estado do nosso pobre herói, é cômica: “O senhor</w:t>
      </w:r>
    </w:p>
    <w:p w:rsidR="00D24E61" w:rsidRPr="00771368" w:rsidRDefault="00D24E61">
      <w:pPr>
        <w:sectPr w:rsidR="00D24E61" w:rsidRPr="00771368">
          <w:pgSz w:w="11900" w:h="16838"/>
          <w:pgMar w:top="1440" w:right="1700" w:bottom="1093"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50" w:lineRule="auto"/>
        <w:jc w:val="both"/>
        <w:rPr>
          <w:sz w:val="20"/>
          <w:szCs w:val="20"/>
        </w:rPr>
      </w:pPr>
      <w:r w:rsidRPr="00771368">
        <w:rPr>
          <w:sz w:val="24"/>
          <w:szCs w:val="24"/>
        </w:rPr>
        <w:t>tem um grande susto...” A seguinte: “– E quer saber (...) se lhe acontecerá alguma coisa ou não...” tem como resposta de Camilo: “A mim e a ela”. Nesse instante, o personagem já havia revelado tudo o que a cartomante precisa ouvir. O narrador comenta: “A cartomante não sorriu”. Por que haveria de sorrir, senão por ter o consulente, para utilizarmos os termos do próprio Machado, entregue o nariz para ser conduzido aonde bem entendesse?</w:t>
      </w:r>
    </w:p>
    <w:p w:rsidR="00D24E61" w:rsidRPr="00771368" w:rsidRDefault="00D24E61">
      <w:pPr>
        <w:spacing w:line="70" w:lineRule="exact"/>
        <w:rPr>
          <w:sz w:val="20"/>
          <w:szCs w:val="20"/>
        </w:rPr>
      </w:pPr>
    </w:p>
    <w:p w:rsidR="00D24E61" w:rsidRPr="00771368" w:rsidRDefault="00D24E61">
      <w:pPr>
        <w:spacing w:line="353" w:lineRule="auto"/>
        <w:ind w:firstLine="708"/>
        <w:jc w:val="both"/>
        <w:rPr>
          <w:sz w:val="20"/>
          <w:szCs w:val="20"/>
        </w:rPr>
      </w:pPr>
      <w:r w:rsidRPr="00771368">
        <w:rPr>
          <w:sz w:val="24"/>
          <w:szCs w:val="24"/>
        </w:rPr>
        <w:t xml:space="preserve">O resultado da consulta se resume em “ela declarou que não tivesse medo de nada (...) ele, o terceiro, ignorava tudo” e a seguir “– Vá, disse ela; vá”, que com o “– Vem, já, já...” do bilhete e o “– Vamos, vamos depressa”, que Camilo exclama ao cocheiro, compõem um coro em torno do cordeiro que se entrega ao sacrifício. Os efeitos do vaticínio são traduzidos pela transfiguração do exterior em razão do bem-estar interior: “Tudo lhe parecia agora melhor, as outras coisas traziam outro aspecto, o céu estava limpo e as caras joviais. Chegou a rir dos seus receios”. Ao passar pela praia da Glória, olha para o mar e tem “uma sensação do futuro, </w:t>
      </w:r>
      <w:r w:rsidRPr="00771368">
        <w:rPr>
          <w:i/>
          <w:iCs/>
          <w:sz w:val="24"/>
          <w:szCs w:val="24"/>
        </w:rPr>
        <w:t>longo, longo, interminável</w:t>
      </w:r>
      <w:r w:rsidRPr="00771368">
        <w:rPr>
          <w:sz w:val="24"/>
          <w:szCs w:val="24"/>
        </w:rPr>
        <w:t>”.</w:t>
      </w:r>
    </w:p>
    <w:p w:rsidR="00D24E61" w:rsidRPr="00771368" w:rsidRDefault="00D24E61">
      <w:pPr>
        <w:spacing w:line="7" w:lineRule="exact"/>
        <w:rPr>
          <w:sz w:val="20"/>
          <w:szCs w:val="20"/>
        </w:rPr>
      </w:pPr>
    </w:p>
    <w:p w:rsidR="00D24E61" w:rsidRPr="00771368" w:rsidRDefault="00D24E61">
      <w:pPr>
        <w:rPr>
          <w:sz w:val="20"/>
          <w:szCs w:val="20"/>
        </w:rPr>
      </w:pPr>
      <w:r w:rsidRPr="00771368">
        <w:rPr>
          <w:sz w:val="24"/>
          <w:szCs w:val="24"/>
        </w:rPr>
        <w:t>Já sabemos o quão breve seria seu futuro. O desfecho é um golpe definitivo na predição:</w:t>
      </w:r>
    </w:p>
    <w:p w:rsidR="00D24E61" w:rsidRPr="00771368" w:rsidRDefault="00D24E61">
      <w:pPr>
        <w:spacing w:line="197" w:lineRule="exact"/>
        <w:rPr>
          <w:sz w:val="20"/>
          <w:szCs w:val="20"/>
        </w:rPr>
      </w:pPr>
    </w:p>
    <w:p w:rsidR="00D24E61" w:rsidRPr="00771368" w:rsidRDefault="00D24E61">
      <w:pPr>
        <w:spacing w:line="308" w:lineRule="auto"/>
        <w:jc w:val="both"/>
        <w:rPr>
          <w:sz w:val="20"/>
          <w:szCs w:val="20"/>
        </w:rPr>
      </w:pPr>
      <w:r w:rsidRPr="00771368">
        <w:rPr>
          <w:sz w:val="24"/>
          <w:szCs w:val="24"/>
        </w:rPr>
        <w:t>“ele, o terceiro, ignorava tudo”, e na recomendação: “Vá, vá, tranquilo” e frustrará quaisquer expectativas supersticiosas.</w:t>
      </w:r>
    </w:p>
    <w:p w:rsidR="00D24E61" w:rsidRPr="00771368" w:rsidRDefault="00D24E61">
      <w:pPr>
        <w:spacing w:line="120" w:lineRule="exact"/>
        <w:rPr>
          <w:sz w:val="20"/>
          <w:szCs w:val="20"/>
        </w:rPr>
      </w:pPr>
    </w:p>
    <w:p w:rsidR="00D24E61" w:rsidRPr="00771368" w:rsidRDefault="00D24E61">
      <w:pPr>
        <w:spacing w:line="354" w:lineRule="auto"/>
        <w:ind w:firstLine="708"/>
        <w:jc w:val="both"/>
        <w:rPr>
          <w:sz w:val="20"/>
          <w:szCs w:val="20"/>
        </w:rPr>
      </w:pPr>
      <w:r w:rsidRPr="00771368">
        <w:rPr>
          <w:sz w:val="24"/>
          <w:szCs w:val="24"/>
        </w:rPr>
        <w:t xml:space="preserve">O desfecho, ainda, parece ter um significado maior à nossa linha de raciocínio. Vilela só atira em Camilo depois de ele se deixar conduzir, passivamente, até o cadáver de Rita. O amante teve de ir até a casa de Rita e Vilela, já ela, como costuma acontecer a grande parte das mulheres assassinadas hoje, foi morta em sua </w:t>
      </w:r>
      <w:r w:rsidRPr="00771368">
        <w:rPr>
          <w:i/>
          <w:iCs/>
          <w:sz w:val="24"/>
          <w:szCs w:val="24"/>
        </w:rPr>
        <w:t>própria residência</w:t>
      </w:r>
      <w:r w:rsidRPr="00771368">
        <w:rPr>
          <w:sz w:val="24"/>
          <w:szCs w:val="24"/>
        </w:rPr>
        <w:t xml:space="preserve">. Ele só sucumbe após desprezar um grande conjunto de indícios que denunciavam o estado de Vilela: a letra trêmula no bilhete, a sisudez e a desconfiança da véspera, o chamado ao lar em detrimento do escritório. Ele só é assassinado após deixar de lado o lampejo de lucidez no qual vira Rita morta e o marido a esperá-lo, e depois de ceder à tentação de buscar alívio com a cartomante. Além disso, Camilo contou com </w:t>
      </w:r>
      <w:r w:rsidRPr="00771368">
        <w:rPr>
          <w:i/>
          <w:iCs/>
          <w:sz w:val="24"/>
          <w:szCs w:val="24"/>
        </w:rPr>
        <w:t>a chance de se</w:t>
      </w:r>
      <w:r w:rsidRPr="00771368">
        <w:rPr>
          <w:sz w:val="24"/>
          <w:szCs w:val="24"/>
        </w:rPr>
        <w:t xml:space="preserve"> </w:t>
      </w:r>
      <w:r w:rsidRPr="00771368">
        <w:rPr>
          <w:i/>
          <w:iCs/>
          <w:sz w:val="24"/>
          <w:szCs w:val="24"/>
        </w:rPr>
        <w:t>defender de fato, em pé de igualdade</w:t>
      </w:r>
      <w:r w:rsidRPr="00771368">
        <w:rPr>
          <w:sz w:val="24"/>
          <w:szCs w:val="24"/>
        </w:rPr>
        <w:t>,</w:t>
      </w:r>
      <w:r w:rsidRPr="00771368">
        <w:rPr>
          <w:i/>
          <w:iCs/>
          <w:sz w:val="24"/>
          <w:szCs w:val="24"/>
        </w:rPr>
        <w:t xml:space="preserve"> armando-se</w:t>
      </w:r>
      <w:r w:rsidRPr="00771368">
        <w:rPr>
          <w:sz w:val="24"/>
          <w:szCs w:val="24"/>
        </w:rPr>
        <w:t>; Rita, não. Ela, na condição de</w:t>
      </w:r>
    </w:p>
    <w:p w:rsidR="00D24E61" w:rsidRPr="00771368" w:rsidRDefault="00D24E61">
      <w:pPr>
        <w:spacing w:line="70" w:lineRule="exact"/>
        <w:rPr>
          <w:sz w:val="20"/>
          <w:szCs w:val="20"/>
        </w:rPr>
      </w:pPr>
    </w:p>
    <w:p w:rsidR="00D24E61" w:rsidRPr="00771368" w:rsidRDefault="00D24E61">
      <w:pPr>
        <w:spacing w:line="346" w:lineRule="auto"/>
        <w:jc w:val="both"/>
        <w:rPr>
          <w:sz w:val="20"/>
          <w:szCs w:val="20"/>
        </w:rPr>
      </w:pPr>
      <w:r w:rsidRPr="00771368">
        <w:rPr>
          <w:sz w:val="24"/>
          <w:szCs w:val="24"/>
        </w:rPr>
        <w:t>“objeto possuído” – para ficarmos com a expressão de Alexandra Kollontai – tem suas chances de escapar à morte reduzidas a praticamente zero. A comparação entre o uxoricídio de Rita e o homicídio de Camilo, o contraste possível entre o semelhante destino trágico dos amantes, reforça a assimetria de condições entre homens e mulheres e a restrição ainda maior à liberdade das últimas.</w:t>
      </w:r>
    </w:p>
    <w:p w:rsidR="00D24E61" w:rsidRPr="00771368" w:rsidRDefault="00D24E61">
      <w:pPr>
        <w:sectPr w:rsidR="00D24E61" w:rsidRPr="00771368">
          <w:pgSz w:w="11900" w:h="16838"/>
          <w:pgMar w:top="1440" w:right="1700" w:bottom="1440" w:left="1700" w:header="0" w:footer="0" w:gutter="0"/>
          <w:cols w:space="720" w:equalWidth="0">
            <w:col w:w="8500"/>
          </w:cols>
        </w:sectPr>
      </w:pPr>
    </w:p>
    <w:p w:rsidR="00D24E61" w:rsidRPr="00771368" w:rsidRDefault="00D24E61">
      <w:pPr>
        <w:ind w:left="720"/>
        <w:rPr>
          <w:sz w:val="20"/>
          <w:szCs w:val="20"/>
        </w:rPr>
      </w:pPr>
      <w:r w:rsidRPr="00771368">
        <w:rPr>
          <w:b/>
          <w:bCs/>
          <w:sz w:val="24"/>
          <w:szCs w:val="24"/>
        </w:rPr>
        <w:t>4. Considerações finais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6"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Ao tratar de histórias fantásticas, Soloviov aponta um traço recorrente em sua construção, a possibilidade de enxergar na ação a existência de uma dupla causalidade, uma propriamente fantástica e outra materialista:</w:t>
      </w:r>
    </w:p>
    <w:p w:rsidR="00D24E61" w:rsidRPr="00771368" w:rsidRDefault="00D24E61">
      <w:pPr>
        <w:spacing w:line="200" w:lineRule="exact"/>
        <w:rPr>
          <w:sz w:val="20"/>
          <w:szCs w:val="20"/>
        </w:rPr>
      </w:pPr>
    </w:p>
    <w:p w:rsidR="00D24E61" w:rsidRPr="00771368" w:rsidRDefault="00D24E61">
      <w:pPr>
        <w:spacing w:line="299" w:lineRule="exact"/>
        <w:rPr>
          <w:sz w:val="20"/>
          <w:szCs w:val="20"/>
        </w:rPr>
      </w:pPr>
    </w:p>
    <w:p w:rsidR="00D24E61" w:rsidRPr="00771368" w:rsidRDefault="00D24E61">
      <w:pPr>
        <w:spacing w:line="263" w:lineRule="auto"/>
        <w:ind w:left="2280"/>
        <w:jc w:val="both"/>
        <w:rPr>
          <w:sz w:val="20"/>
          <w:szCs w:val="20"/>
        </w:rPr>
      </w:pPr>
      <w:r w:rsidRPr="00771368">
        <w:t>O interesse essencial da significação fantástica em poesia baseia-se na certeza de que tudo o que acontece no mundo e sobretudo na vida humana depende, além de causas presentes e evidentes, de uma outra causalidade mais profunda e universal, mas menos clara. (SOLOVIOV apud TOMACHEVSKI</w:t>
      </w:r>
      <w:r w:rsidRPr="00771368">
        <w:rPr>
          <w:i/>
          <w:iCs/>
        </w:rPr>
        <w:t>,</w:t>
      </w:r>
      <w:r w:rsidRPr="00771368">
        <w:t xml:space="preserve"> 1971, p. 189)</w:t>
      </w:r>
    </w:p>
    <w:p w:rsidR="00D24E61" w:rsidRPr="00771368" w:rsidRDefault="00D24E61">
      <w:pPr>
        <w:spacing w:line="200" w:lineRule="exact"/>
        <w:rPr>
          <w:sz w:val="20"/>
          <w:szCs w:val="20"/>
        </w:rPr>
      </w:pPr>
    </w:p>
    <w:p w:rsidR="00D24E61" w:rsidRPr="00771368" w:rsidRDefault="00D24E61">
      <w:pPr>
        <w:spacing w:line="289" w:lineRule="exact"/>
        <w:rPr>
          <w:sz w:val="20"/>
          <w:szCs w:val="20"/>
        </w:rPr>
      </w:pPr>
    </w:p>
    <w:p w:rsidR="00D24E61" w:rsidRPr="00771368" w:rsidRDefault="00D24E61">
      <w:pPr>
        <w:spacing w:line="334" w:lineRule="auto"/>
        <w:jc w:val="both"/>
        <w:rPr>
          <w:sz w:val="20"/>
          <w:szCs w:val="20"/>
        </w:rPr>
      </w:pPr>
      <w:r w:rsidRPr="00771368">
        <w:rPr>
          <w:sz w:val="24"/>
          <w:szCs w:val="24"/>
        </w:rPr>
        <w:t>Dessa dupla causalidade advém a possibilidade de que essas histórias deem margem a uma dupla interpretação da fábula: pode-se compreendê-las como acontecimentos movidos por fatores terrenos ou elementos mágicos. É o que acontece, por exemplo, em</w:t>
      </w:r>
    </w:p>
    <w:p w:rsidR="00D24E61" w:rsidRPr="00771368" w:rsidRDefault="00D24E61">
      <w:pPr>
        <w:spacing w:line="89" w:lineRule="exact"/>
        <w:rPr>
          <w:sz w:val="20"/>
          <w:szCs w:val="20"/>
        </w:rPr>
      </w:pPr>
    </w:p>
    <w:p w:rsidR="00D24E61" w:rsidRPr="00771368" w:rsidRDefault="00D24E61">
      <w:pPr>
        <w:spacing w:line="334" w:lineRule="auto"/>
        <w:jc w:val="both"/>
        <w:rPr>
          <w:sz w:val="20"/>
          <w:szCs w:val="20"/>
        </w:rPr>
      </w:pPr>
      <w:r w:rsidRPr="00771368">
        <w:rPr>
          <w:i/>
          <w:iCs/>
          <w:sz w:val="24"/>
          <w:szCs w:val="24"/>
        </w:rPr>
        <w:t>A outra volta do parafuso</w:t>
      </w:r>
      <w:r w:rsidRPr="00771368">
        <w:rPr>
          <w:sz w:val="24"/>
          <w:szCs w:val="24"/>
        </w:rPr>
        <w:t>, de Henry James, em que a visão de fantasmas também pode</w:t>
      </w:r>
      <w:r w:rsidRPr="00771368">
        <w:rPr>
          <w:i/>
          <w:iCs/>
          <w:sz w:val="24"/>
          <w:szCs w:val="24"/>
        </w:rPr>
        <w:t xml:space="preserve"> </w:t>
      </w:r>
      <w:r w:rsidRPr="00771368">
        <w:rPr>
          <w:sz w:val="24"/>
          <w:szCs w:val="24"/>
        </w:rPr>
        <w:t>ser explicada pelo transtorno mental de uma mulher exposta a condições enlouquecedoras. É o caso também do conto “O espelho”, do próprio Machado de</w:t>
      </w:r>
    </w:p>
    <w:p w:rsidR="00D24E61" w:rsidRPr="00771368" w:rsidRDefault="00D24E61">
      <w:pPr>
        <w:spacing w:line="91" w:lineRule="exact"/>
        <w:rPr>
          <w:sz w:val="20"/>
          <w:szCs w:val="20"/>
        </w:rPr>
      </w:pPr>
    </w:p>
    <w:p w:rsidR="00D24E61" w:rsidRPr="00771368" w:rsidRDefault="00D24E61">
      <w:pPr>
        <w:spacing w:line="308" w:lineRule="auto"/>
        <w:jc w:val="both"/>
        <w:rPr>
          <w:sz w:val="20"/>
          <w:szCs w:val="20"/>
        </w:rPr>
      </w:pPr>
      <w:r w:rsidRPr="00771368">
        <w:rPr>
          <w:sz w:val="24"/>
          <w:szCs w:val="24"/>
        </w:rPr>
        <w:t>Assis, em que a ausência de reflexo no espelho pode ser encarada como capacidade mágica ou como resultado do transtorno mental do protagonista.</w:t>
      </w:r>
    </w:p>
    <w:p w:rsidR="00D24E61" w:rsidRPr="00771368" w:rsidRDefault="00D24E61">
      <w:pPr>
        <w:spacing w:line="120" w:lineRule="exact"/>
        <w:rPr>
          <w:sz w:val="20"/>
          <w:szCs w:val="20"/>
        </w:rPr>
      </w:pPr>
    </w:p>
    <w:p w:rsidR="00D24E61" w:rsidRPr="00771368" w:rsidRDefault="00D24E61">
      <w:pPr>
        <w:spacing w:line="356" w:lineRule="auto"/>
        <w:ind w:firstLine="708"/>
        <w:jc w:val="both"/>
        <w:rPr>
          <w:sz w:val="20"/>
          <w:szCs w:val="20"/>
        </w:rPr>
      </w:pPr>
      <w:r w:rsidRPr="00771368">
        <w:rPr>
          <w:sz w:val="24"/>
          <w:szCs w:val="24"/>
        </w:rPr>
        <w:t xml:space="preserve">Em </w:t>
      </w:r>
      <w:r w:rsidRPr="00771368">
        <w:rPr>
          <w:i/>
          <w:iCs/>
          <w:sz w:val="24"/>
          <w:szCs w:val="24"/>
        </w:rPr>
        <w:t>A Cartomante</w:t>
      </w:r>
      <w:r w:rsidRPr="00771368">
        <w:rPr>
          <w:sz w:val="24"/>
          <w:szCs w:val="24"/>
        </w:rPr>
        <w:t>, o desfecho veda qualquer interpretação fantástica, a narrativa é abertamente desmistificadora, contra superstição, e questiona a ideia de que as coisas entre o céu e a terra com que não sonha nossa filosofia sejam veladas pelo mistério e possam ser descobertas pela vidência. A superstição é figurada enquanto superstição à medida que, pelo entrelaçamento temático, o conto apresenta uma causalidade materialista e alicerçada na história para as circunstâncias narradas. Se outros fatores, como o despeito do personagem incógnito ou a educação supersticiosa, influenciaram a sorte das personagens, o sentimento de propriedade amorosa – sob a proteção da lei, da moral e dos bons costumes – foi “a causalidade mais profunda e universal”, a força social preponderante na determinação dos destinos, embora estes só se configurem, em última instância, em uma específica inter-relação entre as personagens. O destino nem é inexoravelmente articulado por uma força misteriosa, exterior e superior à humanidade, nem está nas mãos de indivíduo algum, isoladamente. O realismo do conto reside em mostrar como os seres o constroem em uma complexa relação entre ação individual, acaso e necessidade social. Nessa ligação estreita entre liberdade e fatalidade, Machado</w:t>
      </w:r>
    </w:p>
    <w:p w:rsidR="00D24E61" w:rsidRPr="00771368" w:rsidRDefault="00D24E61">
      <w:pPr>
        <w:sectPr w:rsidR="00D24E61" w:rsidRPr="00771368">
          <w:pgSz w:w="11900" w:h="16838"/>
          <w:pgMar w:top="1413" w:right="1700" w:bottom="1440" w:left="1700" w:header="0" w:footer="0" w:gutter="0"/>
          <w:cols w:space="720" w:equalWidth="0">
            <w:col w:w="8500"/>
          </w:cols>
        </w:sectPr>
      </w:pPr>
    </w:p>
    <w:p w:rsidR="00D24E61" w:rsidRPr="00771368" w:rsidRDefault="00D24E61">
      <w:pPr>
        <w:spacing w:line="27" w:lineRule="exact"/>
        <w:rPr>
          <w:sz w:val="20"/>
          <w:szCs w:val="20"/>
        </w:rPr>
      </w:pPr>
    </w:p>
    <w:p w:rsidR="00D24E61" w:rsidRPr="00771368" w:rsidRDefault="00D24E61">
      <w:pPr>
        <w:spacing w:line="353" w:lineRule="auto"/>
        <w:jc w:val="both"/>
        <w:rPr>
          <w:sz w:val="20"/>
          <w:szCs w:val="20"/>
        </w:rPr>
      </w:pPr>
      <w:r w:rsidRPr="00771368">
        <w:rPr>
          <w:sz w:val="24"/>
          <w:szCs w:val="24"/>
        </w:rPr>
        <w:t xml:space="preserve">promove a denúncia do uxoricídio, do direito de propriedade sobre a mulher, de sua redução a objeto, do constrangimento de sua liberdade e da negação do direito à livre realização amorosa, em mais uma manifestação do feminismo “agressivo” e “liberador” que um consagrando crítico contemporâneo observou em </w:t>
      </w:r>
      <w:r w:rsidRPr="00771368">
        <w:rPr>
          <w:i/>
          <w:iCs/>
          <w:sz w:val="24"/>
          <w:szCs w:val="24"/>
        </w:rPr>
        <w:t>Dom Casmurro</w:t>
      </w:r>
      <w:r w:rsidRPr="00771368">
        <w:rPr>
          <w:sz w:val="24"/>
          <w:szCs w:val="24"/>
        </w:rPr>
        <w:t xml:space="preserve"> (GLEDSON, 2006, p. 346). E se hoje, diferentemente da época retratada no conto, as leis não mais amparam o uxoricida, pelo contrário, o punem (como é o caso da lei 11340, conhecida como Lei Maria da Penha), cada homem que mata sua companheira mantém vivo o sentimento de propriedade amorosa retratado em </w:t>
      </w:r>
      <w:r w:rsidRPr="00771368">
        <w:rPr>
          <w:i/>
          <w:iCs/>
          <w:sz w:val="24"/>
          <w:szCs w:val="24"/>
        </w:rPr>
        <w:t>A Cartomante</w:t>
      </w:r>
      <w:r w:rsidRPr="00771368">
        <w:rPr>
          <w:sz w:val="24"/>
          <w:szCs w:val="24"/>
        </w:rPr>
        <w:t>, pelo Bruxo do Cosme Velho.</w:t>
      </w:r>
    </w:p>
    <w:p w:rsidR="00D24E61" w:rsidRPr="00771368" w:rsidRDefault="00D24E61">
      <w:pPr>
        <w:spacing w:line="250" w:lineRule="exact"/>
        <w:rPr>
          <w:sz w:val="20"/>
          <w:szCs w:val="20"/>
        </w:rPr>
      </w:pPr>
    </w:p>
    <w:p w:rsidR="00D24E61" w:rsidRPr="00771368" w:rsidRDefault="00D24E61">
      <w:pPr>
        <w:ind w:left="720"/>
        <w:rPr>
          <w:sz w:val="20"/>
          <w:szCs w:val="20"/>
        </w:rPr>
      </w:pPr>
      <w:r w:rsidRPr="00771368">
        <w:rPr>
          <w:b/>
          <w:bCs/>
          <w:sz w:val="24"/>
          <w:szCs w:val="24"/>
        </w:rPr>
        <w:t>5. Referências bibliográficas</w:t>
      </w:r>
    </w:p>
    <w:p w:rsidR="00D24E61" w:rsidRPr="00771368" w:rsidRDefault="00D24E61">
      <w:pPr>
        <w:spacing w:line="200" w:lineRule="exact"/>
        <w:rPr>
          <w:sz w:val="20"/>
          <w:szCs w:val="20"/>
        </w:rPr>
      </w:pPr>
    </w:p>
    <w:p w:rsidR="00D24E61" w:rsidRPr="00771368" w:rsidRDefault="00D24E61">
      <w:pPr>
        <w:spacing w:line="308" w:lineRule="auto"/>
        <w:ind w:firstLine="708"/>
        <w:jc w:val="both"/>
        <w:rPr>
          <w:sz w:val="20"/>
          <w:szCs w:val="20"/>
        </w:rPr>
      </w:pPr>
      <w:r w:rsidRPr="00771368">
        <w:rPr>
          <w:sz w:val="24"/>
          <w:szCs w:val="24"/>
        </w:rPr>
        <w:t xml:space="preserve">ASSIS, Joaquim Maria Machado de. A cartomante. </w:t>
      </w:r>
      <w:r w:rsidRPr="00771368">
        <w:rPr>
          <w:i/>
          <w:iCs/>
          <w:sz w:val="24"/>
          <w:szCs w:val="24"/>
        </w:rPr>
        <w:t>In: Várias histórias</w:t>
      </w:r>
      <w:r w:rsidRPr="00771368">
        <w:rPr>
          <w:sz w:val="24"/>
          <w:szCs w:val="24"/>
        </w:rPr>
        <w:t>. Rio de Janeiro/Belo Horizonte: Garnier, 1989.</w:t>
      </w:r>
    </w:p>
    <w:p w:rsidR="00D24E61" w:rsidRPr="00771368" w:rsidRDefault="00D24E61">
      <w:pPr>
        <w:spacing w:line="61" w:lineRule="exact"/>
        <w:rPr>
          <w:sz w:val="20"/>
          <w:szCs w:val="20"/>
        </w:rPr>
      </w:pPr>
    </w:p>
    <w:p w:rsidR="00D24E61" w:rsidRPr="00771368" w:rsidRDefault="00D24E61">
      <w:pPr>
        <w:ind w:left="720"/>
        <w:rPr>
          <w:sz w:val="20"/>
          <w:szCs w:val="20"/>
        </w:rPr>
      </w:pPr>
      <w:r w:rsidRPr="00771368">
        <w:rPr>
          <w:sz w:val="24"/>
          <w:szCs w:val="24"/>
        </w:rPr>
        <w:t xml:space="preserve">______. </w:t>
      </w:r>
      <w:r w:rsidRPr="00771368">
        <w:rPr>
          <w:i/>
          <w:iCs/>
          <w:sz w:val="24"/>
          <w:szCs w:val="24"/>
        </w:rPr>
        <w:t>Obra Completa - Conto e teatro, v2,</w:t>
      </w:r>
      <w:r w:rsidRPr="00771368">
        <w:rPr>
          <w:sz w:val="24"/>
          <w:szCs w:val="24"/>
        </w:rPr>
        <w:t>. Rio de Janeiro: José Aguilar,</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1959.</w:t>
      </w:r>
    </w:p>
    <w:p w:rsidR="00D24E61" w:rsidRPr="00771368" w:rsidRDefault="00D24E61">
      <w:pPr>
        <w:spacing w:line="197" w:lineRule="exact"/>
        <w:rPr>
          <w:sz w:val="20"/>
          <w:szCs w:val="20"/>
        </w:rPr>
      </w:pPr>
    </w:p>
    <w:p w:rsidR="00D24E61" w:rsidRPr="00771368" w:rsidRDefault="00D24E61">
      <w:pPr>
        <w:spacing w:line="308" w:lineRule="auto"/>
        <w:ind w:firstLine="708"/>
        <w:jc w:val="both"/>
        <w:rPr>
          <w:sz w:val="20"/>
          <w:szCs w:val="20"/>
        </w:rPr>
      </w:pPr>
      <w:r w:rsidRPr="00771368">
        <w:rPr>
          <w:sz w:val="24"/>
          <w:szCs w:val="24"/>
        </w:rPr>
        <w:t xml:space="preserve">______. </w:t>
      </w:r>
      <w:r w:rsidRPr="00771368">
        <w:rPr>
          <w:i/>
          <w:iCs/>
          <w:sz w:val="24"/>
          <w:szCs w:val="24"/>
        </w:rPr>
        <w:t>Contos de Machado de Assis, v2: adultério e ciúme</w:t>
      </w:r>
      <w:r w:rsidRPr="00771368">
        <w:rPr>
          <w:sz w:val="24"/>
          <w:szCs w:val="24"/>
        </w:rPr>
        <w:t>. Organização de João Cezar de Castro Rocha. Rio de Janeiro: Record, 2008.</w:t>
      </w:r>
    </w:p>
    <w:p w:rsidR="00D24E61" w:rsidRPr="00771368" w:rsidRDefault="00D24E61">
      <w:pPr>
        <w:spacing w:line="120" w:lineRule="exact"/>
        <w:rPr>
          <w:sz w:val="20"/>
          <w:szCs w:val="20"/>
        </w:rPr>
      </w:pPr>
    </w:p>
    <w:p w:rsidR="00D24E61" w:rsidRPr="00771368" w:rsidRDefault="00D24E61">
      <w:pPr>
        <w:spacing w:line="308" w:lineRule="auto"/>
        <w:ind w:firstLine="708"/>
        <w:jc w:val="both"/>
        <w:rPr>
          <w:sz w:val="20"/>
          <w:szCs w:val="20"/>
        </w:rPr>
      </w:pPr>
      <w:r w:rsidRPr="00771368">
        <w:rPr>
          <w:sz w:val="24"/>
          <w:szCs w:val="24"/>
        </w:rPr>
        <w:t xml:space="preserve">______. </w:t>
      </w:r>
      <w:r w:rsidRPr="00771368">
        <w:rPr>
          <w:i/>
          <w:iCs/>
          <w:sz w:val="24"/>
          <w:szCs w:val="24"/>
        </w:rPr>
        <w:t>Contos de amor e ciúme</w:t>
      </w:r>
      <w:r w:rsidRPr="00771368">
        <w:rPr>
          <w:sz w:val="24"/>
          <w:szCs w:val="24"/>
        </w:rPr>
        <w:t xml:space="preserve"> </w:t>
      </w:r>
      <w:r w:rsidRPr="00771368">
        <w:rPr>
          <w:i/>
          <w:iCs/>
          <w:sz w:val="24"/>
          <w:szCs w:val="24"/>
        </w:rPr>
        <w:t>–</w:t>
      </w:r>
      <w:r w:rsidRPr="00771368">
        <w:rPr>
          <w:sz w:val="24"/>
          <w:szCs w:val="24"/>
        </w:rPr>
        <w:t xml:space="preserve"> </w:t>
      </w:r>
      <w:r w:rsidRPr="00771368">
        <w:rPr>
          <w:i/>
          <w:iCs/>
          <w:sz w:val="24"/>
          <w:szCs w:val="24"/>
        </w:rPr>
        <w:t>Machado de Assis</w:t>
      </w:r>
      <w:r w:rsidRPr="00771368">
        <w:rPr>
          <w:sz w:val="24"/>
          <w:szCs w:val="24"/>
        </w:rPr>
        <w:t>. Organização de Gustavo Bernardo. Rio de Janeiro: Rocco Jovens Leitores, 2008.</w:t>
      </w:r>
    </w:p>
    <w:p w:rsidR="00D24E61" w:rsidRPr="00771368" w:rsidRDefault="00D24E61">
      <w:pPr>
        <w:spacing w:line="120" w:lineRule="exact"/>
        <w:rPr>
          <w:sz w:val="20"/>
          <w:szCs w:val="20"/>
        </w:rPr>
      </w:pPr>
    </w:p>
    <w:p w:rsidR="00D24E61" w:rsidRPr="00771368" w:rsidRDefault="00D24E61">
      <w:pPr>
        <w:spacing w:line="308" w:lineRule="auto"/>
        <w:ind w:firstLine="708"/>
        <w:jc w:val="both"/>
        <w:rPr>
          <w:sz w:val="20"/>
          <w:szCs w:val="20"/>
        </w:rPr>
      </w:pPr>
      <w:r w:rsidRPr="00771368">
        <w:rPr>
          <w:sz w:val="24"/>
          <w:szCs w:val="24"/>
        </w:rPr>
        <w:t xml:space="preserve">______. O espelho: esboço de uma nova teoria da alma humana. </w:t>
      </w:r>
      <w:r w:rsidRPr="00771368">
        <w:rPr>
          <w:i/>
          <w:iCs/>
          <w:sz w:val="24"/>
          <w:szCs w:val="24"/>
        </w:rPr>
        <w:t>In Obra</w:t>
      </w:r>
      <w:r w:rsidRPr="00771368">
        <w:rPr>
          <w:sz w:val="24"/>
          <w:szCs w:val="24"/>
        </w:rPr>
        <w:t xml:space="preserve"> </w:t>
      </w:r>
      <w:r w:rsidRPr="00771368">
        <w:rPr>
          <w:i/>
          <w:iCs/>
          <w:sz w:val="24"/>
          <w:szCs w:val="24"/>
        </w:rPr>
        <w:t>Completa</w:t>
      </w:r>
      <w:r w:rsidRPr="00771368">
        <w:rPr>
          <w:sz w:val="24"/>
          <w:szCs w:val="24"/>
        </w:rPr>
        <w:t>, volume 2. Rio de Janeiro: José Aguilar, 1959.</w:t>
      </w:r>
    </w:p>
    <w:p w:rsidR="00D24E61" w:rsidRPr="00771368" w:rsidRDefault="00D24E61">
      <w:pPr>
        <w:spacing w:line="61" w:lineRule="exact"/>
        <w:rPr>
          <w:sz w:val="20"/>
          <w:szCs w:val="20"/>
        </w:rPr>
      </w:pPr>
    </w:p>
    <w:p w:rsidR="00D24E61" w:rsidRPr="00771368" w:rsidRDefault="00D24E61">
      <w:pPr>
        <w:ind w:left="720"/>
        <w:rPr>
          <w:sz w:val="20"/>
          <w:szCs w:val="20"/>
        </w:rPr>
      </w:pPr>
      <w:r w:rsidRPr="00771368">
        <w:rPr>
          <w:sz w:val="24"/>
          <w:szCs w:val="24"/>
        </w:rPr>
        <w:t xml:space="preserve">______. </w:t>
      </w:r>
      <w:r w:rsidRPr="00771368">
        <w:rPr>
          <w:i/>
          <w:iCs/>
          <w:sz w:val="24"/>
          <w:szCs w:val="24"/>
        </w:rPr>
        <w:t>Esaú e Jacó</w:t>
      </w:r>
      <w:r w:rsidRPr="00771368">
        <w:rPr>
          <w:sz w:val="24"/>
          <w:szCs w:val="24"/>
        </w:rPr>
        <w:t>. São Paulo: Ática, 2006.</w:t>
      </w:r>
    </w:p>
    <w:p w:rsidR="00D24E61" w:rsidRPr="00771368" w:rsidRDefault="00D24E61">
      <w:pPr>
        <w:spacing w:line="195" w:lineRule="exact"/>
        <w:rPr>
          <w:sz w:val="20"/>
          <w:szCs w:val="20"/>
        </w:rPr>
      </w:pPr>
    </w:p>
    <w:p w:rsidR="00D24E61" w:rsidRPr="00771368" w:rsidRDefault="00D24E61">
      <w:pPr>
        <w:spacing w:line="310" w:lineRule="auto"/>
        <w:ind w:firstLine="708"/>
        <w:jc w:val="both"/>
        <w:rPr>
          <w:sz w:val="20"/>
          <w:szCs w:val="20"/>
        </w:rPr>
      </w:pPr>
      <w:r w:rsidRPr="00771368">
        <w:rPr>
          <w:sz w:val="24"/>
          <w:szCs w:val="24"/>
        </w:rPr>
        <w:t xml:space="preserve">______. </w:t>
      </w:r>
      <w:r w:rsidRPr="00771368">
        <w:rPr>
          <w:i/>
          <w:iCs/>
          <w:sz w:val="24"/>
          <w:szCs w:val="24"/>
        </w:rPr>
        <w:t>A semana</w:t>
      </w:r>
      <w:r w:rsidRPr="00771368">
        <w:rPr>
          <w:sz w:val="24"/>
          <w:szCs w:val="24"/>
        </w:rPr>
        <w:t>. Rio de Janeiro, Porto Alegre, São Paulo: W. M. Jackson Inc. Editores, 1946.</w:t>
      </w:r>
    </w:p>
    <w:p w:rsidR="00D24E61" w:rsidRPr="00771368" w:rsidRDefault="00D24E61">
      <w:pPr>
        <w:spacing w:line="115" w:lineRule="exact"/>
        <w:rPr>
          <w:sz w:val="20"/>
          <w:szCs w:val="20"/>
        </w:rPr>
      </w:pPr>
    </w:p>
    <w:p w:rsidR="00D24E61" w:rsidRPr="00771368" w:rsidRDefault="00D24E61">
      <w:pPr>
        <w:spacing w:line="310" w:lineRule="auto"/>
        <w:ind w:firstLine="708"/>
        <w:jc w:val="both"/>
        <w:rPr>
          <w:sz w:val="20"/>
          <w:szCs w:val="20"/>
        </w:rPr>
      </w:pPr>
      <w:r w:rsidRPr="00771368">
        <w:rPr>
          <w:sz w:val="24"/>
          <w:szCs w:val="24"/>
        </w:rPr>
        <w:t xml:space="preserve">______. </w:t>
      </w:r>
      <w:r w:rsidRPr="00771368">
        <w:rPr>
          <w:i/>
          <w:iCs/>
          <w:sz w:val="24"/>
          <w:szCs w:val="24"/>
        </w:rPr>
        <w:t>Dom Casmurro</w:t>
      </w:r>
      <w:r w:rsidRPr="00771368">
        <w:rPr>
          <w:sz w:val="24"/>
          <w:szCs w:val="24"/>
        </w:rPr>
        <w:t>. Rio de Janeiro: Instituto Nacional do Livro, Comissão Machado de Assis, 1969.</w:t>
      </w:r>
    </w:p>
    <w:p w:rsidR="00D24E61" w:rsidRPr="00771368" w:rsidRDefault="00D24E61">
      <w:pPr>
        <w:spacing w:line="57" w:lineRule="exact"/>
        <w:rPr>
          <w:sz w:val="20"/>
          <w:szCs w:val="20"/>
        </w:rPr>
      </w:pPr>
    </w:p>
    <w:p w:rsidR="00D24E61" w:rsidRPr="00771368" w:rsidRDefault="00D24E61">
      <w:pPr>
        <w:ind w:left="720"/>
        <w:rPr>
          <w:sz w:val="20"/>
          <w:szCs w:val="20"/>
        </w:rPr>
      </w:pPr>
      <w:r w:rsidRPr="00771368">
        <w:rPr>
          <w:sz w:val="24"/>
          <w:szCs w:val="24"/>
        </w:rPr>
        <w:t xml:space="preserve">BARRETO, Lima. </w:t>
      </w:r>
      <w:r w:rsidRPr="00771368">
        <w:rPr>
          <w:i/>
          <w:iCs/>
          <w:sz w:val="24"/>
          <w:szCs w:val="24"/>
        </w:rPr>
        <w:t>Bagatelas</w:t>
      </w:r>
      <w:r w:rsidRPr="00771368">
        <w:rPr>
          <w:sz w:val="24"/>
          <w:szCs w:val="24"/>
        </w:rPr>
        <w:t>. São Paulo: Brasiliense, 1956a.</w:t>
      </w:r>
    </w:p>
    <w:p w:rsidR="00D24E61" w:rsidRPr="00771368" w:rsidRDefault="00D24E61">
      <w:pPr>
        <w:spacing w:line="137" w:lineRule="exact"/>
        <w:rPr>
          <w:sz w:val="20"/>
          <w:szCs w:val="20"/>
        </w:rPr>
      </w:pPr>
    </w:p>
    <w:p w:rsidR="00D24E61" w:rsidRPr="00771368" w:rsidRDefault="00D24E61">
      <w:pPr>
        <w:ind w:left="720"/>
        <w:rPr>
          <w:sz w:val="20"/>
          <w:szCs w:val="20"/>
        </w:rPr>
      </w:pPr>
      <w:r w:rsidRPr="00771368">
        <w:rPr>
          <w:sz w:val="24"/>
          <w:szCs w:val="24"/>
        </w:rPr>
        <w:t xml:space="preserve">______. </w:t>
      </w:r>
      <w:r w:rsidRPr="00771368">
        <w:rPr>
          <w:i/>
          <w:iCs/>
          <w:sz w:val="24"/>
          <w:szCs w:val="24"/>
        </w:rPr>
        <w:t>Vida urbana</w:t>
      </w:r>
      <w:r w:rsidRPr="00771368">
        <w:rPr>
          <w:sz w:val="24"/>
          <w:szCs w:val="24"/>
        </w:rPr>
        <w:t>. São Paulo: Brasiliense, 1956b.</w:t>
      </w:r>
    </w:p>
    <w:p w:rsidR="00D24E61" w:rsidRPr="00771368" w:rsidRDefault="00D24E61">
      <w:pPr>
        <w:spacing w:line="197" w:lineRule="exact"/>
        <w:rPr>
          <w:sz w:val="20"/>
          <w:szCs w:val="20"/>
        </w:rPr>
      </w:pPr>
    </w:p>
    <w:p w:rsidR="00D24E61" w:rsidRPr="00771368" w:rsidRDefault="00D24E61">
      <w:pPr>
        <w:spacing w:line="308" w:lineRule="auto"/>
        <w:ind w:firstLine="708"/>
        <w:jc w:val="both"/>
        <w:rPr>
          <w:sz w:val="20"/>
          <w:szCs w:val="20"/>
        </w:rPr>
      </w:pPr>
      <w:r w:rsidRPr="00771368">
        <w:rPr>
          <w:sz w:val="24"/>
          <w:szCs w:val="24"/>
        </w:rPr>
        <w:t xml:space="preserve">BEVILACQUA, Clóvis. </w:t>
      </w:r>
      <w:r w:rsidRPr="00771368">
        <w:rPr>
          <w:i/>
          <w:iCs/>
          <w:sz w:val="24"/>
          <w:szCs w:val="24"/>
        </w:rPr>
        <w:t>Código Civil dos Estados Unidos do Brasil</w:t>
      </w:r>
      <w:r w:rsidRPr="00771368">
        <w:rPr>
          <w:sz w:val="24"/>
          <w:szCs w:val="24"/>
        </w:rPr>
        <w:t>. Vol. 2. Rio de Janeiro: F. Alves, 1949.</w:t>
      </w:r>
    </w:p>
    <w:p w:rsidR="00D24E61" w:rsidRPr="00771368" w:rsidRDefault="00D24E61">
      <w:pPr>
        <w:spacing w:line="27" w:lineRule="exact"/>
        <w:rPr>
          <w:sz w:val="20"/>
          <w:szCs w:val="20"/>
        </w:rPr>
      </w:pPr>
    </w:p>
    <w:p w:rsidR="00D24E61" w:rsidRPr="00771368" w:rsidRDefault="00D24E61">
      <w:pPr>
        <w:spacing w:line="334" w:lineRule="auto"/>
        <w:ind w:firstLine="708"/>
        <w:jc w:val="both"/>
        <w:rPr>
          <w:sz w:val="20"/>
          <w:szCs w:val="20"/>
        </w:rPr>
      </w:pPr>
      <w:r w:rsidRPr="00771368">
        <w:rPr>
          <w:sz w:val="24"/>
          <w:szCs w:val="24"/>
        </w:rPr>
        <w:t xml:space="preserve">FONSECA, Maria Augusta. “A cartomante”: ciladas do conto. </w:t>
      </w:r>
      <w:r w:rsidRPr="00771368">
        <w:rPr>
          <w:i/>
          <w:iCs/>
          <w:sz w:val="24"/>
          <w:szCs w:val="24"/>
        </w:rPr>
        <w:t>In</w:t>
      </w:r>
      <w:r w:rsidRPr="00771368">
        <w:rPr>
          <w:sz w:val="24"/>
          <w:szCs w:val="24"/>
        </w:rPr>
        <w:t xml:space="preserve">: FANTINI, Marli (org). </w:t>
      </w:r>
      <w:r w:rsidRPr="00771368">
        <w:rPr>
          <w:i/>
          <w:iCs/>
          <w:sz w:val="24"/>
          <w:szCs w:val="24"/>
        </w:rPr>
        <w:t>Crônicas da antiga corte: literatura e memória em Machado de Assis</w:t>
      </w:r>
      <w:r w:rsidRPr="00771368">
        <w:rPr>
          <w:sz w:val="24"/>
          <w:szCs w:val="24"/>
        </w:rPr>
        <w:t>. Belo Horizonte: Editora UFMG, 2008, p 185-214.</w:t>
      </w:r>
    </w:p>
    <w:p w:rsidR="00D24E61" w:rsidRPr="00771368" w:rsidRDefault="00D24E61">
      <w:pPr>
        <w:spacing w:line="91" w:lineRule="exact"/>
        <w:rPr>
          <w:sz w:val="20"/>
          <w:szCs w:val="20"/>
        </w:rPr>
      </w:pPr>
    </w:p>
    <w:p w:rsidR="00D24E61" w:rsidRPr="00771368" w:rsidRDefault="00D24E61">
      <w:pPr>
        <w:spacing w:line="308" w:lineRule="auto"/>
        <w:ind w:firstLine="708"/>
        <w:jc w:val="both"/>
        <w:rPr>
          <w:sz w:val="20"/>
          <w:szCs w:val="20"/>
        </w:rPr>
      </w:pPr>
      <w:r w:rsidRPr="00771368">
        <w:rPr>
          <w:sz w:val="24"/>
          <w:szCs w:val="24"/>
        </w:rPr>
        <w:t xml:space="preserve">GLEDSON, John. </w:t>
      </w:r>
      <w:r w:rsidRPr="00771368">
        <w:rPr>
          <w:i/>
          <w:iCs/>
          <w:sz w:val="24"/>
          <w:szCs w:val="24"/>
        </w:rPr>
        <w:t>Por um novo Machado de Assis</w:t>
      </w:r>
      <w:r w:rsidRPr="00771368">
        <w:rPr>
          <w:sz w:val="24"/>
          <w:szCs w:val="24"/>
        </w:rPr>
        <w:t>. São Paulo: Companhia das Letras, 2006.</w:t>
      </w:r>
    </w:p>
    <w:p w:rsidR="00D24E61" w:rsidRPr="00771368" w:rsidRDefault="00D24E61">
      <w:pPr>
        <w:spacing w:line="120" w:lineRule="exact"/>
        <w:rPr>
          <w:sz w:val="20"/>
          <w:szCs w:val="20"/>
        </w:rPr>
      </w:pPr>
    </w:p>
    <w:p w:rsidR="00D24E61" w:rsidRPr="00771368" w:rsidRDefault="00D24E61">
      <w:pPr>
        <w:spacing w:line="308" w:lineRule="auto"/>
        <w:ind w:left="720"/>
        <w:rPr>
          <w:sz w:val="20"/>
          <w:szCs w:val="20"/>
        </w:rPr>
      </w:pPr>
      <w:r w:rsidRPr="00771368">
        <w:rPr>
          <w:sz w:val="24"/>
          <w:szCs w:val="24"/>
        </w:rPr>
        <w:t xml:space="preserve">JAMES, Henry. </w:t>
      </w:r>
      <w:r w:rsidRPr="00771368">
        <w:rPr>
          <w:i/>
          <w:iCs/>
          <w:sz w:val="24"/>
          <w:szCs w:val="24"/>
        </w:rPr>
        <w:t>Outra volta do parafuso</w:t>
      </w:r>
      <w:r w:rsidRPr="00771368">
        <w:rPr>
          <w:sz w:val="24"/>
          <w:szCs w:val="24"/>
        </w:rPr>
        <w:t xml:space="preserve">. São Paulo: Abril, 2010. KOLLONTAI, Alexandra. </w:t>
      </w:r>
      <w:r w:rsidRPr="00771368">
        <w:rPr>
          <w:i/>
          <w:iCs/>
          <w:sz w:val="24"/>
          <w:szCs w:val="24"/>
        </w:rPr>
        <w:t>A nova mulher e a moral sexual</w:t>
      </w:r>
      <w:r w:rsidRPr="00771368">
        <w:rPr>
          <w:sz w:val="24"/>
          <w:szCs w:val="24"/>
        </w:rPr>
        <w:t>. São Paulo: Global,</w:t>
      </w:r>
    </w:p>
    <w:p w:rsidR="00D24E61" w:rsidRPr="00771368" w:rsidRDefault="00D24E61">
      <w:pPr>
        <w:spacing w:line="61" w:lineRule="exact"/>
        <w:rPr>
          <w:sz w:val="20"/>
          <w:szCs w:val="20"/>
        </w:rPr>
      </w:pPr>
    </w:p>
    <w:p w:rsidR="00D24E61" w:rsidRPr="00771368" w:rsidRDefault="00D24E61">
      <w:pPr>
        <w:rPr>
          <w:sz w:val="20"/>
          <w:szCs w:val="20"/>
        </w:rPr>
      </w:pPr>
      <w:r w:rsidRPr="00771368">
        <w:rPr>
          <w:sz w:val="24"/>
          <w:szCs w:val="24"/>
        </w:rPr>
        <w:t>1978.</w:t>
      </w:r>
    </w:p>
    <w:p w:rsidR="00D24E61" w:rsidRPr="00771368" w:rsidRDefault="00D24E61">
      <w:pPr>
        <w:spacing w:line="137" w:lineRule="exact"/>
        <w:rPr>
          <w:sz w:val="20"/>
          <w:szCs w:val="20"/>
        </w:rPr>
      </w:pPr>
    </w:p>
    <w:p w:rsidR="00D24E61" w:rsidRPr="00771368" w:rsidRDefault="00D24E61">
      <w:pPr>
        <w:ind w:left="720"/>
        <w:rPr>
          <w:sz w:val="20"/>
          <w:szCs w:val="20"/>
        </w:rPr>
      </w:pPr>
      <w:r w:rsidRPr="00771368">
        <w:rPr>
          <w:sz w:val="24"/>
          <w:szCs w:val="24"/>
        </w:rPr>
        <w:t xml:space="preserve">PEREIRA, Lafayette Rodrigues. </w:t>
      </w:r>
      <w:r w:rsidRPr="00771368">
        <w:rPr>
          <w:i/>
          <w:iCs/>
          <w:sz w:val="24"/>
          <w:szCs w:val="24"/>
        </w:rPr>
        <w:t>Direito de Família</w:t>
      </w:r>
      <w:r w:rsidRPr="00771368">
        <w:rPr>
          <w:sz w:val="24"/>
          <w:szCs w:val="24"/>
        </w:rPr>
        <w:t>. Rio de Janeiro: V. Maia,</w:t>
      </w:r>
    </w:p>
    <w:p w:rsidR="00D24E61" w:rsidRPr="00771368" w:rsidRDefault="00D24E61">
      <w:pPr>
        <w:spacing w:line="139" w:lineRule="exact"/>
        <w:rPr>
          <w:sz w:val="20"/>
          <w:szCs w:val="20"/>
        </w:rPr>
      </w:pPr>
    </w:p>
    <w:p w:rsidR="00D24E61" w:rsidRPr="00771368" w:rsidRDefault="00D24E61">
      <w:pPr>
        <w:rPr>
          <w:sz w:val="20"/>
          <w:szCs w:val="20"/>
        </w:rPr>
      </w:pPr>
      <w:r w:rsidRPr="00771368">
        <w:rPr>
          <w:sz w:val="24"/>
          <w:szCs w:val="24"/>
        </w:rPr>
        <w:t>1918.</w:t>
      </w:r>
    </w:p>
    <w:p w:rsidR="00D24E61" w:rsidRPr="00771368" w:rsidRDefault="00D24E61">
      <w:pPr>
        <w:spacing w:line="196" w:lineRule="exact"/>
        <w:rPr>
          <w:sz w:val="20"/>
          <w:szCs w:val="20"/>
        </w:rPr>
      </w:pPr>
    </w:p>
    <w:p w:rsidR="00D24E61" w:rsidRPr="00771368" w:rsidRDefault="00D24E61">
      <w:pPr>
        <w:spacing w:line="334" w:lineRule="auto"/>
        <w:ind w:left="720"/>
        <w:rPr>
          <w:sz w:val="20"/>
          <w:szCs w:val="20"/>
        </w:rPr>
      </w:pPr>
      <w:r w:rsidRPr="00771368">
        <w:rPr>
          <w:sz w:val="24"/>
          <w:szCs w:val="24"/>
        </w:rPr>
        <w:t xml:space="preserve">PUJOL, Alfredo. </w:t>
      </w:r>
      <w:r w:rsidRPr="00771368">
        <w:rPr>
          <w:i/>
          <w:iCs/>
          <w:sz w:val="24"/>
          <w:szCs w:val="24"/>
        </w:rPr>
        <w:t>Machado de Assis</w:t>
      </w:r>
      <w:r w:rsidRPr="00771368">
        <w:rPr>
          <w:sz w:val="24"/>
          <w:szCs w:val="24"/>
        </w:rPr>
        <w:t xml:space="preserve">. Rio de Janeiro: José Olympio, 1934. SCHWARZ, Roberto. </w:t>
      </w:r>
      <w:r w:rsidRPr="00771368">
        <w:rPr>
          <w:i/>
          <w:iCs/>
          <w:sz w:val="24"/>
          <w:szCs w:val="24"/>
        </w:rPr>
        <w:t>Duas meninas</w:t>
      </w:r>
      <w:r w:rsidRPr="00771368">
        <w:rPr>
          <w:sz w:val="24"/>
          <w:szCs w:val="24"/>
        </w:rPr>
        <w:t xml:space="preserve">. São Paulo: Companhia das Letras, 1997. SOARES, Oscar de Macedo. </w:t>
      </w:r>
      <w:r w:rsidRPr="00771368">
        <w:rPr>
          <w:i/>
          <w:iCs/>
          <w:sz w:val="24"/>
          <w:szCs w:val="24"/>
        </w:rPr>
        <w:t>Casamento civil decreto n. 181 de 24 de janeiro de</w:t>
      </w:r>
    </w:p>
    <w:p w:rsidR="00D24E61" w:rsidRPr="00771368" w:rsidRDefault="00D24E61">
      <w:pPr>
        <w:spacing w:line="33" w:lineRule="exact"/>
        <w:rPr>
          <w:sz w:val="20"/>
          <w:szCs w:val="20"/>
        </w:rPr>
      </w:pPr>
    </w:p>
    <w:p w:rsidR="00D24E61" w:rsidRPr="00771368" w:rsidRDefault="00D24E61">
      <w:pPr>
        <w:rPr>
          <w:sz w:val="20"/>
          <w:szCs w:val="20"/>
        </w:rPr>
      </w:pPr>
      <w:r w:rsidRPr="00771368">
        <w:rPr>
          <w:i/>
          <w:iCs/>
          <w:sz w:val="24"/>
          <w:szCs w:val="24"/>
        </w:rPr>
        <w:t>1890</w:t>
      </w:r>
      <w:r w:rsidRPr="00771368">
        <w:rPr>
          <w:sz w:val="24"/>
          <w:szCs w:val="24"/>
        </w:rPr>
        <w:t>, comentado. Rio de Janeiro: Garnier, 1909.</w:t>
      </w:r>
    </w:p>
    <w:p w:rsidR="00D24E61" w:rsidRPr="00771368" w:rsidRDefault="00D24E61">
      <w:pPr>
        <w:spacing w:line="195" w:lineRule="exact"/>
        <w:rPr>
          <w:sz w:val="20"/>
          <w:szCs w:val="20"/>
        </w:rPr>
      </w:pPr>
    </w:p>
    <w:p w:rsidR="00D24E61" w:rsidRPr="00771368" w:rsidRDefault="00D24E61">
      <w:pPr>
        <w:spacing w:line="310" w:lineRule="auto"/>
        <w:ind w:firstLine="708"/>
        <w:jc w:val="both"/>
        <w:rPr>
          <w:sz w:val="20"/>
          <w:szCs w:val="20"/>
        </w:rPr>
      </w:pPr>
      <w:r w:rsidRPr="00D61223">
        <w:rPr>
          <w:sz w:val="24"/>
          <w:szCs w:val="24"/>
          <w:lang w:val="en-US"/>
        </w:rPr>
        <w:t xml:space="preserve">TOMACHEVSKI, B. “Temática”. </w:t>
      </w:r>
      <w:r w:rsidRPr="00D61223">
        <w:rPr>
          <w:i/>
          <w:iCs/>
          <w:sz w:val="24"/>
          <w:szCs w:val="24"/>
          <w:lang w:val="en-US"/>
        </w:rPr>
        <w:t>In</w:t>
      </w:r>
      <w:r w:rsidRPr="00D61223">
        <w:rPr>
          <w:sz w:val="24"/>
          <w:szCs w:val="24"/>
          <w:lang w:val="en-US"/>
        </w:rPr>
        <w:t xml:space="preserve"> TOMACHEVSKI </w:t>
      </w:r>
      <w:r w:rsidRPr="00D61223">
        <w:rPr>
          <w:i/>
          <w:iCs/>
          <w:sz w:val="24"/>
          <w:szCs w:val="24"/>
          <w:lang w:val="en-US"/>
        </w:rPr>
        <w:t>et alli</w:t>
      </w:r>
      <w:r w:rsidRPr="00D61223">
        <w:rPr>
          <w:sz w:val="24"/>
          <w:szCs w:val="24"/>
          <w:lang w:val="en-US"/>
        </w:rPr>
        <w:t xml:space="preserve">. </w:t>
      </w:r>
      <w:r w:rsidRPr="00771368">
        <w:rPr>
          <w:i/>
          <w:iCs/>
          <w:sz w:val="24"/>
          <w:szCs w:val="24"/>
        </w:rPr>
        <w:t>Teoria da</w:t>
      </w:r>
      <w:r w:rsidRPr="00771368">
        <w:rPr>
          <w:sz w:val="24"/>
          <w:szCs w:val="24"/>
        </w:rPr>
        <w:t xml:space="preserve"> </w:t>
      </w:r>
      <w:r w:rsidRPr="00771368">
        <w:rPr>
          <w:i/>
          <w:iCs/>
          <w:sz w:val="24"/>
          <w:szCs w:val="24"/>
        </w:rPr>
        <w:t>literatura: formalistas russos</w:t>
      </w:r>
      <w:r w:rsidRPr="00771368">
        <w:rPr>
          <w:sz w:val="24"/>
          <w:szCs w:val="24"/>
        </w:rPr>
        <w:t>. Porto Alegre: Globo, 1971.</w:t>
      </w:r>
    </w:p>
    <w:p w:rsidR="00D24E61" w:rsidRPr="00771368" w:rsidRDefault="00D24E61">
      <w:pPr>
        <w:spacing w:line="115" w:lineRule="exact"/>
        <w:rPr>
          <w:sz w:val="20"/>
          <w:szCs w:val="20"/>
        </w:rPr>
      </w:pPr>
    </w:p>
    <w:p w:rsidR="00D24E61" w:rsidRPr="00771368" w:rsidRDefault="00D24E61">
      <w:pPr>
        <w:spacing w:line="334" w:lineRule="auto"/>
        <w:ind w:firstLine="708"/>
        <w:jc w:val="both"/>
        <w:rPr>
          <w:sz w:val="24"/>
          <w:szCs w:val="24"/>
        </w:rPr>
      </w:pPr>
      <w:r w:rsidRPr="00771368">
        <w:rPr>
          <w:sz w:val="24"/>
          <w:szCs w:val="24"/>
        </w:rPr>
        <w:t xml:space="preserve">VASCONCELLOS, Eliane. “Não as matem”. Fundação Casa de Rui Barbosa, </w:t>
      </w:r>
      <w:hyperlink r:id="rId121">
        <w:r w:rsidRPr="00771368">
          <w:rPr>
            <w:sz w:val="24"/>
            <w:szCs w:val="24"/>
          </w:rPr>
          <w:t>s/d.www.casaruibarbosa.gov.br/dados/DOC/artigos/oz/FCRB_ElianeVasconcellos_Nao</w:t>
        </w:r>
      </w:hyperlink>
      <w:r w:rsidRPr="00771368">
        <w:rPr>
          <w:sz w:val="24"/>
          <w:szCs w:val="24"/>
        </w:rPr>
        <w:t xml:space="preserve"> </w:t>
      </w:r>
      <w:hyperlink r:id="rId122">
        <w:r w:rsidRPr="00771368">
          <w:rPr>
            <w:sz w:val="24"/>
            <w:szCs w:val="24"/>
          </w:rPr>
          <w:t xml:space="preserve">_as_matem.pdf </w:t>
        </w:r>
      </w:hyperlink>
      <w:r w:rsidRPr="00771368">
        <w:rPr>
          <w:sz w:val="24"/>
          <w:szCs w:val="24"/>
        </w:rPr>
        <w:t>. Acessado em 29 de setembro de 2011.</w:t>
      </w:r>
    </w:p>
    <w:p w:rsidR="00D24E61" w:rsidRPr="00771368" w:rsidRDefault="00D24E61">
      <w:pPr>
        <w:spacing w:line="91" w:lineRule="exact"/>
        <w:rPr>
          <w:sz w:val="20"/>
          <w:szCs w:val="20"/>
        </w:rPr>
      </w:pPr>
    </w:p>
    <w:p w:rsidR="00D24E61" w:rsidRPr="00771368" w:rsidRDefault="00D24E61">
      <w:pPr>
        <w:spacing w:line="334" w:lineRule="auto"/>
        <w:ind w:firstLine="708"/>
        <w:jc w:val="both"/>
        <w:rPr>
          <w:sz w:val="20"/>
          <w:szCs w:val="20"/>
        </w:rPr>
      </w:pPr>
      <w:r w:rsidRPr="00771368">
        <w:rPr>
          <w:sz w:val="24"/>
          <w:szCs w:val="24"/>
        </w:rPr>
        <w:t xml:space="preserve">WAISELFISZ, Julio Jacobo. </w:t>
      </w:r>
      <w:r w:rsidRPr="00771368">
        <w:rPr>
          <w:i/>
          <w:iCs/>
          <w:sz w:val="24"/>
          <w:szCs w:val="24"/>
        </w:rPr>
        <w:t>Mapa da Violência 2012 - Atualização: Homicídio</w:t>
      </w:r>
      <w:r w:rsidRPr="00771368">
        <w:rPr>
          <w:sz w:val="24"/>
          <w:szCs w:val="24"/>
        </w:rPr>
        <w:t xml:space="preserve"> </w:t>
      </w:r>
      <w:r w:rsidRPr="00771368">
        <w:rPr>
          <w:i/>
          <w:iCs/>
          <w:sz w:val="24"/>
          <w:szCs w:val="24"/>
        </w:rPr>
        <w:t xml:space="preserve">de mulheres no Brasil. </w:t>
      </w:r>
      <w:r w:rsidRPr="00771368">
        <w:rPr>
          <w:sz w:val="24"/>
          <w:szCs w:val="24"/>
        </w:rPr>
        <w:t>CEBELA: Centro Brasileiro de Estudos Latino-Americanos /</w:t>
      </w:r>
      <w:r w:rsidRPr="00771368">
        <w:rPr>
          <w:i/>
          <w:iCs/>
          <w:sz w:val="24"/>
          <w:szCs w:val="24"/>
        </w:rPr>
        <w:t xml:space="preserve"> </w:t>
      </w:r>
      <w:r w:rsidRPr="00771368">
        <w:rPr>
          <w:sz w:val="24"/>
          <w:szCs w:val="24"/>
        </w:rPr>
        <w:t>FLACSO Brasil, 2012.</w:t>
      </w:r>
    </w:p>
    <w:p w:rsidR="00D24E61" w:rsidRPr="00771368" w:rsidRDefault="00D24E61">
      <w:pPr>
        <w:spacing w:line="89" w:lineRule="exact"/>
        <w:rPr>
          <w:sz w:val="20"/>
          <w:szCs w:val="20"/>
        </w:rPr>
      </w:pPr>
    </w:p>
    <w:p w:rsidR="00D24E61" w:rsidRPr="00771368" w:rsidRDefault="00D24E61">
      <w:pPr>
        <w:spacing w:line="310" w:lineRule="auto"/>
        <w:ind w:firstLine="708"/>
        <w:jc w:val="both"/>
        <w:rPr>
          <w:sz w:val="20"/>
          <w:szCs w:val="20"/>
        </w:rPr>
      </w:pPr>
      <w:r w:rsidRPr="00771368">
        <w:rPr>
          <w:i/>
          <w:iCs/>
          <w:sz w:val="24"/>
          <w:szCs w:val="24"/>
        </w:rPr>
        <w:t>Código penal brasileiro: decreto n. 847, de 11 de outubro de 1890</w:t>
      </w:r>
      <w:r w:rsidRPr="00771368">
        <w:rPr>
          <w:sz w:val="24"/>
          <w:szCs w:val="24"/>
        </w:rPr>
        <w:t>. São</w:t>
      </w:r>
      <w:r w:rsidRPr="00771368">
        <w:rPr>
          <w:i/>
          <w:iCs/>
          <w:sz w:val="24"/>
          <w:szCs w:val="24"/>
        </w:rPr>
        <w:t xml:space="preserve"> </w:t>
      </w:r>
      <w:r w:rsidRPr="00771368">
        <w:rPr>
          <w:sz w:val="24"/>
          <w:szCs w:val="24"/>
        </w:rPr>
        <w:t>Paulo: Saraiva, 1929.</w:t>
      </w:r>
    </w:p>
    <w:p w:rsidR="00D24E61" w:rsidRPr="00771368" w:rsidRDefault="00D24E61">
      <w:pPr>
        <w:spacing w:line="115" w:lineRule="exact"/>
        <w:rPr>
          <w:sz w:val="20"/>
          <w:szCs w:val="20"/>
        </w:rPr>
      </w:pPr>
    </w:p>
    <w:p w:rsidR="00D24E61" w:rsidRPr="00771368" w:rsidRDefault="00D24E61">
      <w:pPr>
        <w:spacing w:line="310" w:lineRule="auto"/>
        <w:ind w:firstLine="708"/>
        <w:jc w:val="both"/>
        <w:rPr>
          <w:sz w:val="20"/>
          <w:szCs w:val="20"/>
        </w:rPr>
      </w:pPr>
      <w:r w:rsidRPr="00771368">
        <w:rPr>
          <w:i/>
          <w:iCs/>
          <w:sz w:val="24"/>
          <w:szCs w:val="24"/>
        </w:rPr>
        <w:t>Constituição promulgada em 16 de julho de 1934</w:t>
      </w:r>
      <w:r w:rsidRPr="00771368">
        <w:rPr>
          <w:sz w:val="24"/>
          <w:szCs w:val="24"/>
        </w:rPr>
        <w:t>. São Paulo: Imprensa Oficial</w:t>
      </w:r>
      <w:r w:rsidRPr="00771368">
        <w:rPr>
          <w:i/>
          <w:iCs/>
          <w:sz w:val="24"/>
          <w:szCs w:val="24"/>
        </w:rPr>
        <w:t xml:space="preserve"> </w:t>
      </w:r>
      <w:r w:rsidRPr="00771368">
        <w:rPr>
          <w:sz w:val="24"/>
          <w:szCs w:val="24"/>
        </w:rPr>
        <w:t>do Estado, 1934.</w:t>
      </w:r>
    </w:p>
    <w:p w:rsidR="00D24E61" w:rsidRPr="00771368" w:rsidRDefault="00D24E61">
      <w:pPr>
        <w:spacing w:line="57" w:lineRule="exact"/>
        <w:rPr>
          <w:sz w:val="20"/>
          <w:szCs w:val="20"/>
        </w:rPr>
      </w:pPr>
    </w:p>
    <w:p w:rsidR="00D24E61" w:rsidRDefault="00D24E61">
      <w:pPr>
        <w:ind w:left="720"/>
      </w:pPr>
      <w:r w:rsidRPr="00771368">
        <w:rPr>
          <w:i/>
          <w:iCs/>
          <w:sz w:val="24"/>
          <w:szCs w:val="24"/>
        </w:rPr>
        <w:t>Ordenações Filipinas</w:t>
      </w:r>
      <w:r w:rsidRPr="00771368">
        <w:rPr>
          <w:sz w:val="24"/>
          <w:szCs w:val="24"/>
        </w:rPr>
        <w:t xml:space="preserve">. </w:t>
      </w:r>
      <w:hyperlink r:id="rId123">
        <w:r w:rsidRPr="00771368">
          <w:rPr>
            <w:sz w:val="24"/>
            <w:szCs w:val="24"/>
          </w:rPr>
          <w:t>http://www.ci.uc.pt/ihti/proj/filipinas/</w:t>
        </w:r>
      </w:hyperlink>
    </w:p>
    <w:p w:rsidR="00D63CBC" w:rsidRDefault="00D63CBC">
      <w:pPr>
        <w:ind w:left="720"/>
        <w:rPr>
          <w:i/>
          <w:iCs/>
          <w:sz w:val="24"/>
          <w:szCs w:val="24"/>
        </w:rPr>
      </w:pPr>
    </w:p>
    <w:p w:rsidR="00D63CBC" w:rsidRPr="00771368" w:rsidRDefault="00D63CBC">
      <w:pPr>
        <w:ind w:left="720"/>
        <w:rPr>
          <w:i/>
          <w:iCs/>
          <w:sz w:val="24"/>
          <w:szCs w:val="24"/>
        </w:rPr>
      </w:pPr>
    </w:p>
    <w:p w:rsidR="00D24E61" w:rsidRPr="00D63CBC" w:rsidRDefault="00D24E61" w:rsidP="00D24E61">
      <w:pPr>
        <w:jc w:val="center"/>
        <w:rPr>
          <w:b/>
          <w:sz w:val="32"/>
          <w:szCs w:val="28"/>
        </w:rPr>
      </w:pPr>
      <w:r w:rsidRPr="00D63CBC">
        <w:rPr>
          <w:b/>
          <w:sz w:val="32"/>
          <w:szCs w:val="28"/>
        </w:rPr>
        <w:t xml:space="preserve">PRECONCEITO </w:t>
      </w:r>
    </w:p>
    <w:p w:rsidR="00D24E61" w:rsidRPr="00D63CBC" w:rsidRDefault="00D24E61" w:rsidP="00D24E61">
      <w:pPr>
        <w:jc w:val="center"/>
        <w:rPr>
          <w:b/>
          <w:sz w:val="32"/>
          <w:szCs w:val="28"/>
        </w:rPr>
      </w:pPr>
      <w:r w:rsidRPr="00D63CBC">
        <w:rPr>
          <w:b/>
          <w:sz w:val="32"/>
          <w:szCs w:val="28"/>
        </w:rPr>
        <w:t xml:space="preserve"> Uma visão holística das influencias precursoras do preconceito na infância e na adolescência.</w:t>
      </w:r>
    </w:p>
    <w:p w:rsidR="00D24E61" w:rsidRPr="00771368" w:rsidRDefault="00D24E61" w:rsidP="00D24E61">
      <w:pPr>
        <w:jc w:val="right"/>
        <w:rPr>
          <w:sz w:val="24"/>
          <w:szCs w:val="24"/>
        </w:rPr>
      </w:pPr>
      <w:bookmarkStart w:id="47" w:name="_Toc442034736"/>
      <w:r w:rsidRPr="00D63CBC">
        <w:rPr>
          <w:rStyle w:val="Ttulo1Char"/>
        </w:rPr>
        <w:t>Marcos T. G. Paterra</w:t>
      </w:r>
      <w:bookmarkEnd w:id="47"/>
      <w:r w:rsidRPr="00771368">
        <w:rPr>
          <w:rStyle w:val="Refdenotaderodap"/>
          <w:rFonts w:eastAsia="Calibri"/>
          <w:sz w:val="24"/>
          <w:szCs w:val="24"/>
        </w:rPr>
        <w:footnoteReference w:id="52"/>
      </w:r>
      <w:r w:rsidRPr="00771368">
        <w:rPr>
          <w:sz w:val="24"/>
          <w:szCs w:val="24"/>
        </w:rPr>
        <w:t xml:space="preserve"> </w:t>
      </w:r>
    </w:p>
    <w:p w:rsidR="00D24E61" w:rsidRPr="00771368" w:rsidRDefault="00D24E61" w:rsidP="00D24E61">
      <w:pPr>
        <w:jc w:val="right"/>
        <w:rPr>
          <w:sz w:val="24"/>
          <w:szCs w:val="24"/>
        </w:rPr>
      </w:pPr>
    </w:p>
    <w:p w:rsidR="00D24E61" w:rsidRPr="00771368" w:rsidRDefault="00D24E61" w:rsidP="00D24E61">
      <w:pPr>
        <w:jc w:val="right"/>
        <w:rPr>
          <w:sz w:val="24"/>
          <w:szCs w:val="24"/>
        </w:rPr>
      </w:pPr>
      <w:r w:rsidRPr="00771368">
        <w:rPr>
          <w:sz w:val="24"/>
          <w:szCs w:val="24"/>
        </w:rPr>
        <w:t>Grupo de pesquisa Exclusão, Inclusão e Diversidade/UFPB.</w:t>
      </w:r>
    </w:p>
    <w:p w:rsidR="00D24E61" w:rsidRPr="00771368" w:rsidRDefault="00D24E61" w:rsidP="00D24E61">
      <w:pPr>
        <w:pStyle w:val="Default"/>
        <w:spacing w:line="360" w:lineRule="auto"/>
        <w:ind w:firstLine="709"/>
        <w:jc w:val="center"/>
        <w:rPr>
          <w:b/>
        </w:rPr>
      </w:pPr>
    </w:p>
    <w:p w:rsidR="00D24E61" w:rsidRPr="00771368" w:rsidRDefault="00D24E61" w:rsidP="00D24E61">
      <w:pPr>
        <w:spacing w:line="360" w:lineRule="auto"/>
        <w:ind w:firstLine="709"/>
        <w:jc w:val="both"/>
      </w:pPr>
    </w:p>
    <w:p w:rsidR="00D24E61" w:rsidRPr="00771368" w:rsidRDefault="00D24E61" w:rsidP="00D24E61">
      <w:pPr>
        <w:spacing w:line="360" w:lineRule="auto"/>
        <w:ind w:firstLine="709"/>
        <w:jc w:val="both"/>
        <w:rPr>
          <w:bCs/>
        </w:rPr>
      </w:pPr>
      <w:r w:rsidRPr="00771368">
        <w:rPr>
          <w:b/>
        </w:rPr>
        <w:t>Resumo:</w:t>
      </w:r>
      <w:r w:rsidRPr="00771368">
        <w:t xml:space="preserve"> O presente artigo pretende através de analise bibliográfica sobre as diversas perspectivas das causas precursoras do preconceito, e de forma charneira cruzar a “biopsicossociologia”</w:t>
      </w:r>
      <w:r w:rsidRPr="00771368">
        <w:rPr>
          <w:rStyle w:val="Refdenotaderodap"/>
          <w:rFonts w:eastAsia="Calibri"/>
          <w:color w:val="000000"/>
        </w:rPr>
        <w:t xml:space="preserve"> </w:t>
      </w:r>
      <w:r w:rsidRPr="00771368">
        <w:rPr>
          <w:rStyle w:val="Refdenotaderodap"/>
          <w:rFonts w:eastAsia="Calibri"/>
          <w:color w:val="000000"/>
        </w:rPr>
        <w:footnoteReference w:id="53"/>
      </w:r>
      <w:r w:rsidRPr="00771368">
        <w:t xml:space="preserve"> e a suas relações  “</w:t>
      </w:r>
      <w:r w:rsidRPr="00771368">
        <w:rPr>
          <w:bCs/>
        </w:rPr>
        <w:t>Somatopsíquicas”</w:t>
      </w:r>
      <w:r w:rsidRPr="00771368">
        <w:rPr>
          <w:bCs/>
          <w:vertAlign w:val="superscript"/>
        </w:rPr>
        <w:footnoteReference w:id="54"/>
      </w:r>
      <w:r w:rsidRPr="00771368">
        <w:rPr>
          <w:bCs/>
        </w:rPr>
        <w:t xml:space="preserve"> refletindo diretamente em fenômenos psicossociais</w:t>
      </w:r>
      <w:r w:rsidRPr="00771368">
        <w:rPr>
          <w:rStyle w:val="Refdenotaderodap"/>
          <w:bCs/>
        </w:rPr>
        <w:footnoteReference w:id="55"/>
      </w:r>
      <w:r w:rsidRPr="00771368">
        <w:rPr>
          <w:bCs/>
        </w:rPr>
        <w:t>. Baseando-se em estudos sobre pesquisas e analises de experientes e renomados cientistas, abordaremos as formas em que a mente pode influenciar e/ou ser influenciada e de forma reflexa causar incentivar o preconceito.</w:t>
      </w:r>
    </w:p>
    <w:p w:rsidR="00D24E61" w:rsidRPr="00771368" w:rsidRDefault="00D24E61" w:rsidP="00D24E61">
      <w:pPr>
        <w:spacing w:line="360" w:lineRule="auto"/>
        <w:ind w:firstLine="709"/>
        <w:jc w:val="both"/>
        <w:rPr>
          <w:bCs/>
        </w:rPr>
      </w:pPr>
      <w:r w:rsidRPr="00771368">
        <w:rPr>
          <w:bCs/>
        </w:rPr>
        <w:t>Sobre esse prisma concluímos a necessidade do homem reavaliar seus conceitos e analisar a forma de pensar e agir, amenizando assim suas atitudes para com o outro e consequentemente reduzindo o preconceito.</w:t>
      </w:r>
    </w:p>
    <w:p w:rsidR="00D24E61" w:rsidRPr="00771368" w:rsidRDefault="00D24E61" w:rsidP="00D24E61">
      <w:pPr>
        <w:spacing w:line="360" w:lineRule="auto"/>
        <w:ind w:firstLine="709"/>
        <w:jc w:val="both"/>
        <w:rPr>
          <w:b/>
        </w:rPr>
      </w:pPr>
    </w:p>
    <w:p w:rsidR="00D24E61" w:rsidRPr="00D61223" w:rsidRDefault="00D24E61" w:rsidP="00D24E61">
      <w:pPr>
        <w:spacing w:line="360" w:lineRule="auto"/>
        <w:ind w:firstLine="709"/>
        <w:jc w:val="both"/>
        <w:rPr>
          <w:lang w:val="en-US"/>
        </w:rPr>
      </w:pPr>
      <w:r w:rsidRPr="00771368">
        <w:rPr>
          <w:b/>
        </w:rPr>
        <w:t>Palavras – Chave</w:t>
      </w:r>
      <w:r w:rsidRPr="00771368">
        <w:t xml:space="preserve">: Preconceito. Cérebro. Mente. </w:t>
      </w:r>
      <w:r w:rsidRPr="00D61223">
        <w:rPr>
          <w:lang w:val="en-US"/>
        </w:rPr>
        <w:t>Linguagem.</w:t>
      </w:r>
    </w:p>
    <w:p w:rsidR="00D24E61" w:rsidRPr="00D61223" w:rsidRDefault="00D24E61" w:rsidP="00D24E61">
      <w:pPr>
        <w:pStyle w:val="Default"/>
        <w:spacing w:line="360" w:lineRule="auto"/>
        <w:ind w:firstLine="709"/>
        <w:jc w:val="both"/>
        <w:rPr>
          <w:lang w:val="en-US"/>
        </w:rPr>
      </w:pPr>
    </w:p>
    <w:p w:rsidR="00D24E61" w:rsidRPr="00771368" w:rsidRDefault="00D24E61" w:rsidP="00D24E61">
      <w:pPr>
        <w:pStyle w:val="Default"/>
        <w:spacing w:line="360" w:lineRule="auto"/>
        <w:ind w:firstLine="709"/>
        <w:jc w:val="both"/>
        <w:rPr>
          <w:lang w:val="en-US"/>
        </w:rPr>
      </w:pPr>
      <w:r w:rsidRPr="00771368">
        <w:rPr>
          <w:b/>
          <w:lang w:val="en-US"/>
        </w:rPr>
        <w:t>Abstract:</w:t>
      </w:r>
      <w:r w:rsidRPr="00771368">
        <w:rPr>
          <w:lang w:val="en-US"/>
        </w:rPr>
        <w:t xml:space="preserve"> This paper aims through review of literature on the various perspectives of the causes precursor of prejudice, and so cross the hinge "biopsicossociologia" and their relations "somatopsychic" directly reflecting psychosocial phenomena. Based on studies on research and analysis of experienced and renowned scientists will discuss the ways in which the mind can influence and / or be influenced and reflexively cause encourage prejudice.</w:t>
      </w:r>
    </w:p>
    <w:p w:rsidR="00D24E61" w:rsidRPr="00771368" w:rsidRDefault="00D24E61" w:rsidP="00D24E61">
      <w:pPr>
        <w:pStyle w:val="Default"/>
        <w:spacing w:line="360" w:lineRule="auto"/>
        <w:ind w:firstLine="709"/>
        <w:jc w:val="both"/>
        <w:rPr>
          <w:lang w:val="en-US"/>
        </w:rPr>
      </w:pPr>
      <w:r w:rsidRPr="00771368">
        <w:rPr>
          <w:lang w:val="en-US"/>
        </w:rPr>
        <w:t>About this prism concluded man's need to reevaluate their concepts and consider how to think and act, thus softening their attitudes toward each other and consequently reducing prejudice.</w:t>
      </w:r>
    </w:p>
    <w:p w:rsidR="00D24E61" w:rsidRPr="00771368" w:rsidRDefault="00D24E61" w:rsidP="00D24E61">
      <w:pPr>
        <w:pStyle w:val="Default"/>
        <w:spacing w:line="360" w:lineRule="auto"/>
        <w:ind w:firstLine="709"/>
        <w:jc w:val="center"/>
        <w:rPr>
          <w:b/>
          <w:lang w:val="en-US"/>
        </w:rPr>
      </w:pPr>
    </w:p>
    <w:p w:rsidR="00D24E61" w:rsidRPr="00771368" w:rsidRDefault="00D24E61" w:rsidP="00D24E61">
      <w:pPr>
        <w:pStyle w:val="Default"/>
        <w:spacing w:line="360" w:lineRule="auto"/>
        <w:ind w:firstLine="709"/>
        <w:jc w:val="both"/>
      </w:pPr>
      <w:r w:rsidRPr="00771368">
        <w:rPr>
          <w:b/>
          <w:lang w:val="en-US"/>
        </w:rPr>
        <w:t>Key - Words:</w:t>
      </w:r>
      <w:r w:rsidRPr="00771368">
        <w:rPr>
          <w:lang w:val="en-US"/>
        </w:rPr>
        <w:t xml:space="preserve"> Prejudice. Brain. Mind. </w:t>
      </w:r>
      <w:r w:rsidRPr="00771368">
        <w:t>Language.</w:t>
      </w:r>
    </w:p>
    <w:p w:rsidR="00D24E61" w:rsidRPr="00771368" w:rsidRDefault="00D24E61" w:rsidP="00D24E61">
      <w:pPr>
        <w:pStyle w:val="Default"/>
        <w:spacing w:line="360" w:lineRule="auto"/>
        <w:ind w:firstLine="709"/>
        <w:jc w:val="center"/>
        <w:rPr>
          <w:b/>
        </w:rPr>
      </w:pPr>
    </w:p>
    <w:p w:rsidR="00D24E61" w:rsidRPr="00771368" w:rsidRDefault="00D24E61" w:rsidP="00D24E61">
      <w:pPr>
        <w:pStyle w:val="Default"/>
        <w:spacing w:line="360" w:lineRule="auto"/>
        <w:ind w:firstLine="709"/>
        <w:jc w:val="center"/>
        <w:rPr>
          <w:b/>
        </w:rPr>
      </w:pPr>
    </w:p>
    <w:p w:rsidR="00D24E61" w:rsidRPr="00771368" w:rsidRDefault="00D24E61" w:rsidP="00D24E61">
      <w:pPr>
        <w:pStyle w:val="Default"/>
        <w:spacing w:line="360" w:lineRule="auto"/>
        <w:ind w:firstLine="709"/>
        <w:jc w:val="center"/>
        <w:rPr>
          <w:b/>
        </w:rPr>
      </w:pPr>
      <w:r w:rsidRPr="00771368">
        <w:rPr>
          <w:b/>
        </w:rPr>
        <w:t>INTRODUÇÃO</w:t>
      </w:r>
    </w:p>
    <w:p w:rsidR="00D24E61" w:rsidRPr="00771368" w:rsidRDefault="00D24E61" w:rsidP="00D24E61">
      <w:pPr>
        <w:pStyle w:val="Default"/>
        <w:spacing w:line="360" w:lineRule="auto"/>
        <w:ind w:firstLine="709"/>
        <w:jc w:val="both"/>
      </w:pPr>
      <w:r w:rsidRPr="00771368">
        <w:t>Esse artigo foi elaborado com abordagem internacionalista onde analisa o Homem como um “Ser Biopsicossocial”, sujeito as influencias sociais e culturais, que o induzem de maneira subliminar  a agir de forma preconceituosa a diversos contextos.</w:t>
      </w:r>
    </w:p>
    <w:p w:rsidR="00D24E61" w:rsidRPr="00771368" w:rsidRDefault="00D24E61" w:rsidP="00D24E61">
      <w:pPr>
        <w:pStyle w:val="Default"/>
        <w:spacing w:line="360" w:lineRule="auto"/>
        <w:ind w:firstLine="709"/>
        <w:jc w:val="both"/>
      </w:pPr>
      <w:r w:rsidRPr="00771368">
        <w:t>Não pretendemos direcionar este artigo somente ao preconceito quanto a opções sexuais ou atitudes que confrontam paradigmas relacionados ao gênero; pois consideramos o preconceito uma atitude mutável  conforme os avanços socioculturais.</w:t>
      </w:r>
    </w:p>
    <w:p w:rsidR="00D24E61" w:rsidRPr="00771368" w:rsidRDefault="00D24E61" w:rsidP="00D24E61">
      <w:pPr>
        <w:spacing w:line="360" w:lineRule="auto"/>
        <w:ind w:firstLine="709"/>
        <w:jc w:val="both"/>
        <w:rPr>
          <w:sz w:val="24"/>
          <w:szCs w:val="24"/>
        </w:rPr>
      </w:pPr>
      <w:r w:rsidRPr="00771368">
        <w:rPr>
          <w:color w:val="000000"/>
        </w:rPr>
        <w:t>Conforme Alexis Leontiev</w:t>
      </w:r>
      <w:r w:rsidRPr="00771368">
        <w:rPr>
          <w:rStyle w:val="Refdenotaderodap"/>
          <w:rFonts w:eastAsia="Calibri"/>
          <w:color w:val="000000"/>
        </w:rPr>
        <w:footnoteReference w:id="56"/>
      </w:r>
      <w:r w:rsidRPr="00771368">
        <w:rPr>
          <w:color w:val="000000"/>
        </w:rPr>
        <w:t xml:space="preserve"> (1978), </w:t>
      </w:r>
      <w:r w:rsidRPr="00771368">
        <w:rPr>
          <w:sz w:val="24"/>
          <w:szCs w:val="24"/>
        </w:rPr>
        <w:t>no  decorrer da evolução do homem atual são cerca de 5 milhões de anos desde o  aparecimento do australopithecus aferensis, primeiro antropoide ou macaco com características humanoides, nossos antepassados diretos, aprendemos a transformar o instrumento em instrumento de trabalho (instrumento com objetivo  determinado), a registrá-lo simbolicamente em nosso sistema nervoso central (aparecimento da consciência) e a denominá-lo (aparecimento da linguagem).</w:t>
      </w:r>
    </w:p>
    <w:p w:rsidR="00D24E61" w:rsidRPr="00771368" w:rsidRDefault="00D24E61" w:rsidP="00D24E61">
      <w:pPr>
        <w:spacing w:line="360" w:lineRule="auto"/>
        <w:ind w:firstLine="709"/>
        <w:jc w:val="both"/>
        <w:rPr>
          <w:sz w:val="24"/>
          <w:szCs w:val="24"/>
        </w:rPr>
      </w:pPr>
      <w:r w:rsidRPr="00771368">
        <w:rPr>
          <w:sz w:val="24"/>
          <w:szCs w:val="24"/>
        </w:rPr>
        <w:t>A consciência reflete o mundo objetivo. É a construção, no nível subjetivo, da realidade objetiva. Sua formação se deve ao trabalho e às relações sociais surgidas entre os homens no decorrer da produção dos meios necessários para a vida.</w:t>
      </w:r>
    </w:p>
    <w:p w:rsidR="00D24E61" w:rsidRPr="00771368" w:rsidRDefault="00D24E61" w:rsidP="00D24E61">
      <w:pPr>
        <w:spacing w:line="360" w:lineRule="auto"/>
        <w:ind w:firstLine="709"/>
        <w:jc w:val="both"/>
        <w:rPr>
          <w:sz w:val="24"/>
          <w:szCs w:val="24"/>
        </w:rPr>
      </w:pPr>
      <w:r w:rsidRPr="00771368">
        <w:rPr>
          <w:sz w:val="24"/>
          <w:szCs w:val="24"/>
        </w:rPr>
        <w:t>Este fator fundamental, a consciência, separa o homem dos outros animais e é o que lhe dá condições de avaliar o mundo que o cerca e a si mesmo. Só o homem é capaz de fazer uma poesia perguntando uma coisa muito difícil de responder: Quem sou eu? De onde vim?</w:t>
      </w:r>
    </w:p>
    <w:p w:rsidR="00D24E61" w:rsidRPr="00771368" w:rsidRDefault="00D24E61" w:rsidP="00D24E61">
      <w:pPr>
        <w:pStyle w:val="Default"/>
        <w:spacing w:line="360" w:lineRule="auto"/>
        <w:ind w:firstLine="709"/>
        <w:jc w:val="both"/>
      </w:pPr>
      <w:r w:rsidRPr="00771368">
        <w:rPr>
          <w:i/>
        </w:rPr>
        <w:t xml:space="preserve">“Podemos dizer que cada indivíduo aprende a ser um homem. O que a natureza lhe dá quando nasce não lhe basta para viver em sociedade. É-lhe ainda preciso adquirir o que foi alcançado no decurso do desenvolvimento histórico pela sociedade humana” </w:t>
      </w:r>
      <w:r w:rsidRPr="00771368">
        <w:t>(LEONTIEV, p.267,1978).</w:t>
      </w:r>
    </w:p>
    <w:p w:rsidR="00D24E61" w:rsidRPr="00771368" w:rsidRDefault="00D24E61" w:rsidP="00D24E61">
      <w:pPr>
        <w:pStyle w:val="Default"/>
        <w:spacing w:line="360" w:lineRule="auto"/>
        <w:ind w:firstLine="709"/>
        <w:jc w:val="both"/>
      </w:pPr>
      <w:r w:rsidRPr="00771368">
        <w:t>E esta no pensamento e na linguagem boa parte do direcionamento de nosso artigo, mostrando por diversos ângulos como podemos influenciar ou sermos influenciados através da comunicação.</w:t>
      </w:r>
    </w:p>
    <w:p w:rsidR="00D24E61" w:rsidRPr="00771368" w:rsidRDefault="00D24E61" w:rsidP="00D24E61">
      <w:pPr>
        <w:pStyle w:val="Default"/>
        <w:spacing w:line="360" w:lineRule="auto"/>
        <w:ind w:firstLine="709"/>
        <w:jc w:val="both"/>
        <w:rPr>
          <w:b/>
        </w:rPr>
      </w:pPr>
    </w:p>
    <w:p w:rsidR="00D24E61" w:rsidRPr="00771368" w:rsidRDefault="00D24E61" w:rsidP="00D24E61">
      <w:pPr>
        <w:pStyle w:val="Default"/>
        <w:spacing w:line="360" w:lineRule="auto"/>
        <w:ind w:firstLine="709"/>
        <w:jc w:val="both"/>
        <w:rPr>
          <w:b/>
        </w:rPr>
      </w:pPr>
    </w:p>
    <w:p w:rsidR="00D24E61" w:rsidRPr="00771368" w:rsidRDefault="00D24E61" w:rsidP="00D24E61">
      <w:pPr>
        <w:pStyle w:val="Default"/>
        <w:spacing w:line="360" w:lineRule="auto"/>
        <w:ind w:firstLine="709"/>
        <w:jc w:val="both"/>
        <w:rPr>
          <w:b/>
        </w:rPr>
      </w:pPr>
      <w:r w:rsidRPr="00771368">
        <w:rPr>
          <w:b/>
        </w:rPr>
        <w:t>INFLUENCIAS SOCIO- CULTURAIS NO DECORRER DA HISTÓRIA</w:t>
      </w:r>
    </w:p>
    <w:p w:rsidR="00D24E61" w:rsidRPr="00771368" w:rsidRDefault="00D24E61" w:rsidP="00D24E61">
      <w:pPr>
        <w:pStyle w:val="Default"/>
        <w:spacing w:line="360" w:lineRule="auto"/>
        <w:ind w:firstLine="709"/>
        <w:jc w:val="both"/>
      </w:pPr>
      <w:r w:rsidRPr="00771368">
        <w:t>Os adolescentes ainda em definição (ou afirmação) de sua sexualidade buscam entre si, respostas para suas diversas curiosidades, e muitas vezes a falta de respostas a essas curiosidades ocasionam conflitos sociais, familiares e escolares.</w:t>
      </w:r>
    </w:p>
    <w:p w:rsidR="00D24E61" w:rsidRPr="00771368" w:rsidRDefault="00D24E61" w:rsidP="00D24E61">
      <w:pPr>
        <w:spacing w:line="360" w:lineRule="auto"/>
        <w:ind w:firstLine="709"/>
        <w:jc w:val="both"/>
        <w:rPr>
          <w:sz w:val="24"/>
          <w:szCs w:val="24"/>
        </w:rPr>
      </w:pPr>
      <w:r w:rsidRPr="00771368">
        <w:rPr>
          <w:color w:val="000000"/>
          <w:sz w:val="24"/>
          <w:szCs w:val="24"/>
        </w:rPr>
        <w:t xml:space="preserve">No caso das crianças existem alguns agravantes, exemplificamos o </w:t>
      </w:r>
      <w:r w:rsidRPr="00771368">
        <w:rPr>
          <w:sz w:val="24"/>
          <w:szCs w:val="24"/>
        </w:rPr>
        <w:t>desenvolvimento da inteligência, este assim como, de todas as outras funções cognitivas, esta ligado ao aprendizado; Jean Piaget</w:t>
      </w:r>
      <w:r w:rsidRPr="00771368">
        <w:rPr>
          <w:sz w:val="24"/>
          <w:szCs w:val="24"/>
          <w:vertAlign w:val="superscript"/>
        </w:rPr>
        <w:footnoteReference w:id="57"/>
      </w:r>
      <w:r w:rsidRPr="00771368">
        <w:rPr>
          <w:sz w:val="24"/>
          <w:szCs w:val="24"/>
        </w:rPr>
        <w:t>, eminente psicólogo suíço, observando cuidadosamente o desenvolvimento dos seus próprios filhos, demonstrou que a inteligência se adquire em fases ou etapas que se caracterizam por estratégias específicas que a criança usa para solucionar suas dificuldades e alcançar seus objetivos.</w:t>
      </w:r>
    </w:p>
    <w:p w:rsidR="00D24E61" w:rsidRPr="00771368" w:rsidRDefault="00D24E61" w:rsidP="00D24E61">
      <w:pPr>
        <w:spacing w:line="360" w:lineRule="auto"/>
        <w:ind w:firstLine="709"/>
        <w:jc w:val="both"/>
        <w:rPr>
          <w:sz w:val="24"/>
          <w:szCs w:val="24"/>
        </w:rPr>
      </w:pPr>
      <w:r w:rsidRPr="00771368">
        <w:rPr>
          <w:sz w:val="24"/>
          <w:szCs w:val="24"/>
        </w:rPr>
        <w:t>Piaget apontou sobre a interação entre indivíduo e meio constituída através de dois processos: organização interna das experiências e ad</w:t>
      </w:r>
      <w:r w:rsidR="00D63CBC">
        <w:rPr>
          <w:sz w:val="24"/>
          <w:szCs w:val="24"/>
        </w:rPr>
        <w:t xml:space="preserve">aptação ao meio. Paralelamente </w:t>
      </w:r>
      <w:r w:rsidRPr="00771368">
        <w:rPr>
          <w:sz w:val="24"/>
          <w:szCs w:val="24"/>
        </w:rPr>
        <w:t>Vygotsky</w:t>
      </w:r>
      <w:r w:rsidRPr="00771368">
        <w:rPr>
          <w:sz w:val="24"/>
          <w:szCs w:val="24"/>
          <w:vertAlign w:val="superscript"/>
        </w:rPr>
        <w:footnoteReference w:id="58"/>
      </w:r>
      <w:r w:rsidRPr="00771368">
        <w:rPr>
          <w:sz w:val="24"/>
          <w:szCs w:val="24"/>
        </w:rPr>
        <w:t>(2002) através da teoria do  desenvolvimento proximal, demonstra  a necessidade do ser humano em  interagir com o outro para aprender e desenvolver suas habilidades.</w:t>
      </w:r>
    </w:p>
    <w:p w:rsidR="00D24E61" w:rsidRPr="00771368" w:rsidRDefault="00D24E61" w:rsidP="00D24E61">
      <w:pPr>
        <w:spacing w:line="360" w:lineRule="auto"/>
        <w:ind w:firstLine="709"/>
        <w:jc w:val="both"/>
        <w:rPr>
          <w:sz w:val="24"/>
          <w:szCs w:val="24"/>
        </w:rPr>
      </w:pPr>
      <w:r w:rsidRPr="00771368">
        <w:rPr>
          <w:sz w:val="24"/>
          <w:szCs w:val="24"/>
        </w:rPr>
        <w:t xml:space="preserve">Vygotsky considera o papel da instrução um fator positivo, no qual a criança aprende conceitos socialmente adquiridos de experiências passadas e passarão a trabalhar com essas situações de forma consciente. Se uma transformação social pode alterar o funcionamento cognitivo e pode reduzir o preconceito e conflitos sociais, então esses processos psicológicos são de natureza social. Devem ser analisados e trabalhados através de fatores sociais. </w:t>
      </w:r>
    </w:p>
    <w:p w:rsidR="00D24E61" w:rsidRPr="00771368" w:rsidRDefault="00D24E61" w:rsidP="00D24E61">
      <w:pPr>
        <w:spacing w:line="360" w:lineRule="auto"/>
        <w:ind w:firstLine="709"/>
        <w:jc w:val="both"/>
        <w:rPr>
          <w:i/>
          <w:sz w:val="24"/>
          <w:szCs w:val="24"/>
        </w:rPr>
      </w:pPr>
      <w:r w:rsidRPr="00771368">
        <w:rPr>
          <w:sz w:val="24"/>
          <w:szCs w:val="24"/>
        </w:rPr>
        <w:t>No século XVII Jean Jacques Rousseau</w:t>
      </w:r>
      <w:r w:rsidRPr="00771368">
        <w:rPr>
          <w:sz w:val="24"/>
          <w:szCs w:val="24"/>
          <w:vertAlign w:val="superscript"/>
        </w:rPr>
        <w:footnoteReference w:id="59"/>
      </w:r>
      <w:r w:rsidRPr="00771368">
        <w:rPr>
          <w:sz w:val="24"/>
          <w:szCs w:val="24"/>
        </w:rPr>
        <w:t xml:space="preserve"> (1992) mostra-nos como a criança é facilmente influenciada com a frase: </w:t>
      </w:r>
      <w:r w:rsidRPr="00771368">
        <w:rPr>
          <w:i/>
          <w:sz w:val="24"/>
          <w:szCs w:val="24"/>
        </w:rPr>
        <w:t xml:space="preserve">“A criança tem um modo singular de entender e de ver o mundo”, </w:t>
      </w:r>
      <w:r w:rsidRPr="00771368">
        <w:rPr>
          <w:sz w:val="24"/>
          <w:szCs w:val="24"/>
        </w:rPr>
        <w:t>e é devido a esse “Modo singular” que devemos ter maior cuidado com o que nossos filhos veem ou escutam, Paulo Freire</w:t>
      </w:r>
      <w:r w:rsidRPr="00771368">
        <w:rPr>
          <w:sz w:val="24"/>
          <w:szCs w:val="24"/>
          <w:vertAlign w:val="superscript"/>
        </w:rPr>
        <w:footnoteReference w:id="60"/>
      </w:r>
      <w:r w:rsidRPr="00771368">
        <w:rPr>
          <w:sz w:val="24"/>
          <w:szCs w:val="24"/>
        </w:rPr>
        <w:t xml:space="preserve">(1996) dizia </w:t>
      </w:r>
      <w:r w:rsidRPr="00771368">
        <w:rPr>
          <w:i/>
          <w:sz w:val="24"/>
          <w:szCs w:val="24"/>
        </w:rPr>
        <w:t>: “ A leitura do mundo precede  a leitura da palavra”</w:t>
      </w:r>
      <w:r w:rsidRPr="00771368">
        <w:rPr>
          <w:sz w:val="24"/>
          <w:szCs w:val="24"/>
        </w:rPr>
        <w:t xml:space="preserve">  sobre esse ângulo atentamos às  conclusões do pesquisador Vygotsky: “</w:t>
      </w:r>
      <w:r w:rsidRPr="00771368">
        <w:rPr>
          <w:i/>
          <w:sz w:val="24"/>
          <w:szCs w:val="24"/>
        </w:rPr>
        <w:t>com a modelação de conhecimento e a interação do meio social, os indivíduos podem adquirir conhecimentos que antes não podiam”</w:t>
      </w:r>
      <w:r w:rsidRPr="00771368">
        <w:rPr>
          <w:i/>
          <w:sz w:val="24"/>
          <w:szCs w:val="24"/>
          <w:vertAlign w:val="superscript"/>
        </w:rPr>
        <w:footnoteReference w:id="61"/>
      </w:r>
    </w:p>
    <w:p w:rsidR="00D24E61" w:rsidRPr="00771368" w:rsidRDefault="00D24E61" w:rsidP="00D24E61">
      <w:pPr>
        <w:ind w:firstLine="709"/>
        <w:jc w:val="both"/>
        <w:rPr>
          <w:sz w:val="20"/>
          <w:szCs w:val="24"/>
        </w:rPr>
      </w:pPr>
    </w:p>
    <w:p w:rsidR="00D24E61" w:rsidRPr="00771368" w:rsidRDefault="00D24E61" w:rsidP="00D24E61">
      <w:pPr>
        <w:tabs>
          <w:tab w:val="left" w:pos="2595"/>
        </w:tabs>
        <w:suppressAutoHyphens/>
        <w:ind w:left="2268"/>
        <w:jc w:val="both"/>
        <w:rPr>
          <w:iCs/>
          <w:color w:val="FF0000"/>
          <w:sz w:val="32"/>
          <w:szCs w:val="20"/>
          <w:lang w:eastAsia="zh-CN" w:bidi="en-US"/>
        </w:rPr>
      </w:pPr>
      <w:r w:rsidRPr="00771368">
        <w:rPr>
          <w:sz w:val="20"/>
          <w:szCs w:val="24"/>
          <w:lang w:eastAsia="zh-CN" w:bidi="en-US"/>
        </w:rPr>
        <w:t>A natureza quer que as crianças sejam crianças antes de serem homens. Se quisermos perturbar essa ordem, produziremos frutos prematuros que não terão nem madureza nem sabor, e não tardarão a se corromper; teremos doutores infantis e crianças velhas. A infância tem maneiras de ver, de pensar, de sentir que lhe são próprias. (ROUSSEAU. P.74. 2004).</w:t>
      </w:r>
    </w:p>
    <w:p w:rsidR="00D24E61" w:rsidRPr="00771368" w:rsidRDefault="00D24E61" w:rsidP="00D24E61">
      <w:pPr>
        <w:autoSpaceDE w:val="0"/>
        <w:autoSpaceDN w:val="0"/>
        <w:adjustRightInd w:val="0"/>
        <w:spacing w:line="360" w:lineRule="auto"/>
        <w:ind w:firstLine="709"/>
        <w:jc w:val="both"/>
        <w:rPr>
          <w:color w:val="000000"/>
          <w:sz w:val="24"/>
          <w:szCs w:val="24"/>
        </w:rPr>
      </w:pPr>
    </w:p>
    <w:p w:rsidR="00D24E61" w:rsidRPr="00771368" w:rsidRDefault="00D24E61" w:rsidP="00D24E61">
      <w:pPr>
        <w:pStyle w:val="Default"/>
        <w:spacing w:line="360" w:lineRule="auto"/>
        <w:ind w:firstLine="709"/>
        <w:jc w:val="both"/>
      </w:pPr>
      <w:r w:rsidRPr="00771368">
        <w:t xml:space="preserve">Devemos atentar de que Rousseau foi um visionário, pois até o século XVII as crianças eram tratadas como adultas.  Paterra (2010) em seu artigo “Trabalho Infantil no Brasil” o abuso uso e abuso de crianças é praticado há muito tempo: </w:t>
      </w:r>
    </w:p>
    <w:p w:rsidR="00D24E61" w:rsidRPr="00771368" w:rsidRDefault="00D24E61" w:rsidP="00D24E61">
      <w:pPr>
        <w:pStyle w:val="Default"/>
        <w:spacing w:line="360" w:lineRule="auto"/>
        <w:ind w:firstLine="709"/>
        <w:jc w:val="both"/>
        <w:rPr>
          <w:i/>
        </w:rPr>
      </w:pPr>
      <w:r w:rsidRPr="00771368">
        <w:rPr>
          <w:i/>
        </w:rPr>
        <w:t xml:space="preserve"> “[...] O problema é cultural sim, mas vem desde quando as caravelas vindas de Portugal para colonizar a ainda chamada "Terra de Santa Cruz". Esses navios traziam homens, algumas mulheres e crianças que eram para lhes servir como grumetes, pajens, ou "órfãos do rei” (meninas pobres dos orfanatos, para se casar com os colonizadores portugueses); essas crianças sofriam, eram abusadas sexualmente, tinham dias inteiros de trabalhos pesados e perigosos, quando os navios sofriam ataques de piratas, eram com frequência assassinadas ou escravizadas, sendo prostituídas e exauridas até desfalecerem, quando ocorria algum naufrágio, as crianças eram sempre esquecidas e às vezes lançadas ao mar para não ocuparem espaço nos barcos salva-vidas.”</w:t>
      </w:r>
    </w:p>
    <w:p w:rsidR="00D24E61" w:rsidRPr="00771368" w:rsidRDefault="00D24E61" w:rsidP="00D24E61">
      <w:pPr>
        <w:pStyle w:val="Default"/>
        <w:spacing w:line="360" w:lineRule="auto"/>
        <w:ind w:firstLine="709"/>
        <w:jc w:val="both"/>
      </w:pPr>
      <w:r w:rsidRPr="00771368">
        <w:t>Conforme o autor no século XIX na Revolução Industrial as mulheres trabalhavam como escravas e nascia assim à criança operária, potencial vítima das transformações econômicas, sociais e familiares impulsionadas pela referida revolução. A sua mão de obra era aproveitada e assumia-se muitas vezes como fundamental na manutenção econômica do agregado familiar.</w:t>
      </w:r>
    </w:p>
    <w:p w:rsidR="00D24E61" w:rsidRPr="00771368" w:rsidRDefault="00D24E61" w:rsidP="00D24E61">
      <w:pPr>
        <w:autoSpaceDE w:val="0"/>
        <w:autoSpaceDN w:val="0"/>
        <w:adjustRightInd w:val="0"/>
        <w:ind w:left="2268"/>
        <w:jc w:val="both"/>
        <w:rPr>
          <w:sz w:val="20"/>
          <w:szCs w:val="20"/>
        </w:rPr>
      </w:pPr>
      <w:r w:rsidRPr="00771368">
        <w:rPr>
          <w:color w:val="000000"/>
          <w:sz w:val="20"/>
          <w:szCs w:val="20"/>
        </w:rPr>
        <w:t xml:space="preserve">No Brasil, as crianças eram tratadas como animais domésticos, após completarem aproximadamente cinco anos de idade, eram inseridas no contexto do trabalho escravo, quando milagrosamente sobreviviam, pois as mães trabalhavam excessivamente durante a gravidez em más condições de alimentação e higiene. As crianças negras, filhos dos escravos, só eram "menos mal tratadas" quando o dono dos escravos tinha poucos escravos e situação econômica mais precária, vivendo do trabalho dos seus escravos, vendo por tanto lucro no nascimento de mais um escravo "uma benção de Deus". É constatado que no tocante a educação uma parcela da "sociedade" era excluída, não possuía qualquer valor. [...] </w:t>
      </w:r>
      <w:r w:rsidRPr="00771368">
        <w:rPr>
          <w:sz w:val="20"/>
          <w:szCs w:val="20"/>
        </w:rPr>
        <w:t>Os adultos se relacionavam com as crianças sem discriminações, falavam vulgaridades, realizavam brincadeiras grosseiras, todos os tipos de assuntos eram discutidos na sua frente, inclusive a participação em jogos sexuais. Isto ocorria porque não acreditavam na possibilidade da existência de uma inocência pueril, ou na diferença de características entre adultos e crianças. (PATERRA. 2010)</w:t>
      </w:r>
    </w:p>
    <w:p w:rsidR="00D24E61" w:rsidRPr="00771368" w:rsidRDefault="00D24E61" w:rsidP="00D24E61">
      <w:pPr>
        <w:autoSpaceDE w:val="0"/>
        <w:autoSpaceDN w:val="0"/>
        <w:adjustRightInd w:val="0"/>
        <w:spacing w:line="360" w:lineRule="auto"/>
        <w:ind w:firstLine="709"/>
        <w:jc w:val="both"/>
        <w:rPr>
          <w:b/>
          <w:sz w:val="24"/>
          <w:szCs w:val="24"/>
        </w:rPr>
      </w:pP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Avaliando nessa perspectiva, não é difícil perceber que culturalmente as crianças foram tratadas de maneira preconceituosa e transmitiram esse costume de geração em geração. Estamos assim enfocando que as atitudes racistas e preconceituosas, tão evidentes   na nossa cultura podem estar atreladas á “Eugenia”</w:t>
      </w:r>
      <w:r w:rsidRPr="00771368">
        <w:rPr>
          <w:rStyle w:val="Refdenotaderodap"/>
          <w:rFonts w:eastAsia="Calibri"/>
          <w:sz w:val="24"/>
          <w:szCs w:val="24"/>
        </w:rPr>
        <w:footnoteReference w:id="62"/>
      </w:r>
      <w:r w:rsidRPr="00771368">
        <w:rPr>
          <w:sz w:val="24"/>
          <w:szCs w:val="24"/>
        </w:rPr>
        <w:t>.</w:t>
      </w:r>
    </w:p>
    <w:p w:rsidR="00D24E61" w:rsidRPr="00771368" w:rsidRDefault="00D24E61" w:rsidP="00D24E61">
      <w:pPr>
        <w:autoSpaceDE w:val="0"/>
        <w:autoSpaceDN w:val="0"/>
        <w:adjustRightInd w:val="0"/>
        <w:ind w:left="2268"/>
        <w:jc w:val="both"/>
        <w:rPr>
          <w:sz w:val="20"/>
          <w:szCs w:val="24"/>
        </w:rPr>
      </w:pPr>
      <w:r w:rsidRPr="00771368">
        <w:rPr>
          <w:sz w:val="20"/>
          <w:szCs w:val="24"/>
        </w:rPr>
        <w:t>"Entre os selvagens, os corpos ou as mentes doentes são rapidamente eliminados, os homens civilizados, entretanto, constroem asilos para os imbecis, os incapacitados e os doentes e nossos médicos põem o melhor de seu talento em conservar a vida de todos e cada um até o último momento, permitindo assim que se propaguem os membros fracos das nossas sociedades civilizadas. Ninguém que tenha trabalhado na reprodução de animais domésticos terá dúvidas de que isto é extremamente  prejudicial para a raça humana". (DARWIN. 1985)</w:t>
      </w:r>
      <w:r w:rsidRPr="00771368">
        <w:rPr>
          <w:rStyle w:val="Refdenotaderodap"/>
          <w:rFonts w:eastAsia="Calibri"/>
          <w:szCs w:val="24"/>
        </w:rPr>
        <w:footnoteReference w:id="63"/>
      </w:r>
    </w:p>
    <w:p w:rsidR="00D24E61" w:rsidRPr="00771368" w:rsidRDefault="00D24E61" w:rsidP="00D24E61">
      <w:pPr>
        <w:autoSpaceDE w:val="0"/>
        <w:autoSpaceDN w:val="0"/>
        <w:adjustRightInd w:val="0"/>
        <w:spacing w:line="360" w:lineRule="auto"/>
        <w:ind w:firstLine="709"/>
        <w:jc w:val="both"/>
        <w:rPr>
          <w:b/>
          <w:sz w:val="24"/>
          <w:szCs w:val="24"/>
        </w:rPr>
      </w:pP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O pesquisador britânico Francis Galton</w:t>
      </w:r>
      <w:r w:rsidRPr="00771368">
        <w:rPr>
          <w:rStyle w:val="Refdenotaderodap"/>
          <w:rFonts w:eastAsia="Calibri"/>
          <w:sz w:val="24"/>
          <w:szCs w:val="24"/>
        </w:rPr>
        <w:footnoteReference w:id="64"/>
      </w:r>
      <w:r w:rsidRPr="00771368">
        <w:rPr>
          <w:sz w:val="24"/>
          <w:szCs w:val="24"/>
        </w:rPr>
        <w:t>, baseado em Darwin desenvolveu a nova ciência (Eugenia). Galton definiu eugenia como o estudo dos agentes sob o controle social que podem melhorar ou empobrecer as qualidades raciais das futuras gerações seja física ou mentalmente. Em outras palavras, melhoramento genético.</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Seu objetivo: o aperfeiçoamento da espécie humana por meio de casamentos entre os “bem-dotados biologicamente” e o desenvolvimento de programas educacionais para a reprodução consciente de casais saudáveis; para o eugenista Galton o mongolismo</w:t>
      </w:r>
      <w:r w:rsidRPr="00771368">
        <w:rPr>
          <w:rStyle w:val="Refdenotaderodap"/>
          <w:rFonts w:eastAsia="Calibri"/>
          <w:sz w:val="24"/>
          <w:szCs w:val="24"/>
        </w:rPr>
        <w:footnoteReference w:id="65"/>
      </w:r>
      <w:r w:rsidRPr="00771368">
        <w:rPr>
          <w:sz w:val="24"/>
          <w:szCs w:val="24"/>
        </w:rPr>
        <w:t xml:space="preserve"> seria: </w:t>
      </w:r>
      <w:r w:rsidRPr="00771368">
        <w:rPr>
          <w:i/>
          <w:sz w:val="24"/>
          <w:szCs w:val="24"/>
        </w:rPr>
        <w:t>"[...] a degeneração da raça em direção regressiva, de modo a se multiplicarem os nascimentos de tipos étnicos já ultrapassados na história da humanidade".</w:t>
      </w:r>
      <w:r w:rsidRPr="00771368">
        <w:rPr>
          <w:sz w:val="24"/>
          <w:szCs w:val="24"/>
        </w:rPr>
        <w:t xml:space="preserve"> (apud PESSOTTI, 1984, p. 143).</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Sob esse prisma, percebemos como as influencias culturais e sociais no decorrer da história moldou de forma direta e indireta as atitudes comportamentais de homens e mulheres, dobre tudo com relação ao preconceito.</w:t>
      </w:r>
    </w:p>
    <w:p w:rsidR="00D24E61" w:rsidRPr="00771368" w:rsidRDefault="00D24E61" w:rsidP="00D24E61">
      <w:pPr>
        <w:autoSpaceDE w:val="0"/>
        <w:autoSpaceDN w:val="0"/>
        <w:adjustRightInd w:val="0"/>
        <w:ind w:left="2268"/>
        <w:jc w:val="both"/>
        <w:rPr>
          <w:sz w:val="20"/>
          <w:szCs w:val="24"/>
        </w:rPr>
      </w:pPr>
      <w:r w:rsidRPr="00771368">
        <w:rPr>
          <w:sz w:val="20"/>
          <w:szCs w:val="24"/>
        </w:rPr>
        <w:t>O modo como homens e mulheres se comportam em sociedade corresponde a um intenso aprendizado sociocultural que nos ensina a agir conforme as prescrições de cada gênero. Há uma expectativa social em relação à maneira como homens e mulheres devem andar, falar, sentar, mostrar seu corpo, brincar, dançar, namorar, cuidar do outro, amar etc. Conforme o gênero, também há modos específicos de trabalhar, gerenciar outras pessoas, ensinar, dirigir o carro, gastar o dinheiro, ingerir bebidas, dentre outras atividades. (CARRARA.  P.41 2009)</w:t>
      </w:r>
    </w:p>
    <w:p w:rsidR="00D24E61" w:rsidRPr="00771368" w:rsidRDefault="00D24E61" w:rsidP="00D24E61">
      <w:pPr>
        <w:autoSpaceDE w:val="0"/>
        <w:autoSpaceDN w:val="0"/>
        <w:adjustRightInd w:val="0"/>
        <w:ind w:left="2268"/>
        <w:jc w:val="both"/>
        <w:rPr>
          <w:sz w:val="20"/>
          <w:szCs w:val="24"/>
        </w:rPr>
      </w:pPr>
    </w:p>
    <w:p w:rsidR="00D24E61" w:rsidRPr="00771368" w:rsidRDefault="00D24E61" w:rsidP="00D24E61">
      <w:pPr>
        <w:pStyle w:val="Default"/>
        <w:spacing w:line="360" w:lineRule="auto"/>
        <w:ind w:firstLine="709"/>
        <w:jc w:val="both"/>
      </w:pPr>
      <w:r w:rsidRPr="00771368">
        <w:rPr>
          <w:i/>
        </w:rPr>
        <w:t>“As linguagens visual, sonora e corporal são essenciais para a organização do pensamento [...] elas formam, organizam e expressam o pensamento, possibilitando também o desenvolvimento humano.”</w:t>
      </w:r>
      <w:r w:rsidRPr="00771368">
        <w:t xml:space="preserve"> (LEONTIEV. 1994).</w:t>
      </w:r>
    </w:p>
    <w:p w:rsidR="00D24E61" w:rsidRPr="00771368" w:rsidRDefault="00D24E61" w:rsidP="00D24E61">
      <w:pPr>
        <w:autoSpaceDE w:val="0"/>
        <w:autoSpaceDN w:val="0"/>
        <w:adjustRightInd w:val="0"/>
        <w:spacing w:line="360" w:lineRule="auto"/>
        <w:ind w:firstLine="709"/>
        <w:jc w:val="both"/>
        <w:rPr>
          <w:sz w:val="24"/>
          <w:szCs w:val="24"/>
        </w:rPr>
      </w:pPr>
    </w:p>
    <w:p w:rsidR="00D24E61" w:rsidRPr="00771368" w:rsidRDefault="00D24E61" w:rsidP="00D24E61">
      <w:pPr>
        <w:autoSpaceDE w:val="0"/>
        <w:autoSpaceDN w:val="0"/>
        <w:adjustRightInd w:val="0"/>
        <w:spacing w:line="360" w:lineRule="auto"/>
        <w:ind w:firstLine="709"/>
        <w:jc w:val="both"/>
        <w:rPr>
          <w:b/>
          <w:sz w:val="24"/>
          <w:szCs w:val="24"/>
        </w:rPr>
      </w:pPr>
    </w:p>
    <w:p w:rsidR="00D24E61" w:rsidRPr="00771368" w:rsidRDefault="00D24E61" w:rsidP="00D24E61">
      <w:pPr>
        <w:autoSpaceDE w:val="0"/>
        <w:autoSpaceDN w:val="0"/>
        <w:adjustRightInd w:val="0"/>
        <w:spacing w:line="360" w:lineRule="auto"/>
        <w:ind w:firstLine="709"/>
        <w:jc w:val="both"/>
        <w:rPr>
          <w:b/>
          <w:sz w:val="24"/>
          <w:szCs w:val="24"/>
        </w:rPr>
      </w:pPr>
      <w:r w:rsidRPr="00771368">
        <w:rPr>
          <w:b/>
          <w:sz w:val="24"/>
          <w:szCs w:val="24"/>
        </w:rPr>
        <w:t xml:space="preserve">INFLUENCIAS SOBRE A FORMAÇÃO DA CRIANÇA </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Podemos avaliar os diferentes tipos de segregações ou preconceitos que envolvam gênero e a sexualidade através das influencias do meio desde a infância, essas influencias podem ser diretas ou indiretas, para embasarmos essa tese pretendemos através de analises bibliográficas sobre as diversas perspectivas avaliar as  influencias  sobre o desenvolvimento  do </w:t>
      </w:r>
      <w:r w:rsidRPr="00771368">
        <w:rPr>
          <w:bCs/>
          <w:sz w:val="24"/>
          <w:szCs w:val="24"/>
        </w:rPr>
        <w:t>“Ser Cognoscente”</w:t>
      </w:r>
      <w:r w:rsidRPr="00771368">
        <w:rPr>
          <w:bCs/>
          <w:sz w:val="24"/>
          <w:szCs w:val="24"/>
          <w:vertAlign w:val="superscript"/>
        </w:rPr>
        <w:footnoteReference w:id="66"/>
      </w:r>
      <w:r w:rsidRPr="00771368">
        <w:rPr>
          <w:bCs/>
          <w:sz w:val="24"/>
          <w:szCs w:val="24"/>
        </w:rPr>
        <w:t xml:space="preserve"> </w:t>
      </w:r>
      <w:r w:rsidRPr="00771368">
        <w:rPr>
          <w:sz w:val="24"/>
          <w:szCs w:val="24"/>
        </w:rPr>
        <w:t>, para tanto baseamo-nos em estudos sobre pesquisas e analises de experientes e renomados cientistas;  abordaremos as formas em que a mente pode influenciar e/ou ser influenciada e de forma reflexa causar os fenômenos  de preconceito, racismo e segregação.</w:t>
      </w:r>
    </w:p>
    <w:p w:rsidR="00D24E61" w:rsidRPr="00771368" w:rsidRDefault="00D24E61" w:rsidP="00D24E61">
      <w:pPr>
        <w:spacing w:line="360" w:lineRule="auto"/>
        <w:ind w:firstLine="709"/>
        <w:jc w:val="both"/>
        <w:rPr>
          <w:sz w:val="24"/>
          <w:szCs w:val="24"/>
        </w:rPr>
      </w:pPr>
      <w:r w:rsidRPr="00771368">
        <w:rPr>
          <w:sz w:val="24"/>
          <w:szCs w:val="24"/>
        </w:rPr>
        <w:t>O pai da psicanalise Sigmund Freud</w:t>
      </w:r>
      <w:r w:rsidRPr="00771368">
        <w:rPr>
          <w:sz w:val="24"/>
          <w:szCs w:val="24"/>
          <w:vertAlign w:val="superscript"/>
        </w:rPr>
        <w:footnoteReference w:id="67"/>
      </w:r>
      <w:r w:rsidRPr="00771368">
        <w:rPr>
          <w:sz w:val="24"/>
          <w:szCs w:val="24"/>
        </w:rPr>
        <w:t xml:space="preserve"> a par da evolução relacionada com o conhecimento do cérebro, desenvolvida pela neurologia na segunda metade do século XIX, inaugurou-se uma investigação extraordinária da natureza íntima do ser humano; frequentador da escola neurológica de Charcot</w:t>
      </w:r>
      <w:r w:rsidRPr="00771368">
        <w:rPr>
          <w:sz w:val="24"/>
          <w:szCs w:val="24"/>
          <w:vertAlign w:val="superscript"/>
        </w:rPr>
        <w:footnoteReference w:id="68"/>
      </w:r>
      <w:r w:rsidRPr="00771368">
        <w:rPr>
          <w:sz w:val="24"/>
          <w:szCs w:val="24"/>
        </w:rPr>
        <w:t xml:space="preserve"> e conhecedor dos avanços da hipnose da escola de Lyon pode desenvolver uma Teoria da psique estudando os quadros de neuroses de seus pacientes.</w:t>
      </w:r>
    </w:p>
    <w:p w:rsidR="00D24E61" w:rsidRPr="00771368" w:rsidRDefault="00D24E61" w:rsidP="00D24E61">
      <w:pPr>
        <w:spacing w:line="360" w:lineRule="auto"/>
        <w:ind w:firstLine="709"/>
        <w:jc w:val="both"/>
        <w:rPr>
          <w:sz w:val="24"/>
          <w:szCs w:val="24"/>
        </w:rPr>
      </w:pPr>
      <w:r w:rsidRPr="00771368">
        <w:rPr>
          <w:sz w:val="24"/>
          <w:szCs w:val="24"/>
        </w:rPr>
        <w:t>Ele sugeriu uma organização para o nosso aparelho psíquico, esclareceu a natureza do inconsciente, sua importância na determinação das nossas condutas e os métodos para desvendar as mensagens sutis amortecidas por este inconsciente. Para Freud, o inconsciente retêm os nossos desejos que não podem ser expressos na consciência devido a censura ética e moral a que estão submetidos.</w:t>
      </w:r>
    </w:p>
    <w:p w:rsidR="00D24E61" w:rsidRPr="00771368" w:rsidRDefault="00D24E61" w:rsidP="00D24E61">
      <w:pPr>
        <w:ind w:left="2268"/>
        <w:jc w:val="both"/>
        <w:rPr>
          <w:sz w:val="20"/>
        </w:rPr>
      </w:pPr>
      <w:r w:rsidRPr="00771368">
        <w:rPr>
          <w:sz w:val="20"/>
        </w:rPr>
        <w:t>Assim, essas formações de pensamento que foram retidas num estado de inconsciência aspiram a uma expressão apropriada a seu valor afetivo, a uma descarga, e, no caso da histeria, encontram-na mediante o processo de conversão em fenômenos somáticos - justamente os sintomas histéricos. Pela retransformação sistemática (com a ajuda de uma técnica especial) dos sintomas em representações investidas de afeto já agora conscientizadas, fica-se em condições de averiguar com a máxima precisão a natureza e a origem dessas formações psíquicas antes inconscientes. (FREUD. 1921*- 1987)</w:t>
      </w:r>
    </w:p>
    <w:p w:rsidR="00D24E61" w:rsidRPr="00771368" w:rsidRDefault="00D24E61" w:rsidP="00D24E61">
      <w:pPr>
        <w:autoSpaceDE w:val="0"/>
        <w:autoSpaceDN w:val="0"/>
        <w:adjustRightInd w:val="0"/>
        <w:spacing w:line="360" w:lineRule="auto"/>
        <w:ind w:firstLine="709"/>
        <w:jc w:val="both"/>
        <w:rPr>
          <w:sz w:val="24"/>
          <w:szCs w:val="24"/>
        </w:rPr>
      </w:pPr>
    </w:p>
    <w:p w:rsidR="00D24E61" w:rsidRPr="00771368" w:rsidRDefault="00D24E61" w:rsidP="00D24E61">
      <w:pPr>
        <w:ind w:firstLine="709"/>
        <w:jc w:val="both"/>
        <w:rPr>
          <w:sz w:val="24"/>
          <w:szCs w:val="24"/>
        </w:rPr>
      </w:pPr>
      <w:r w:rsidRPr="00771368">
        <w:rPr>
          <w:sz w:val="24"/>
          <w:szCs w:val="24"/>
        </w:rPr>
        <w:t>O pensamento não é guiado apenas por considerações estritamente atreladas à realidade, ele também flui motivado por estímulos interiores, abstratos e afetivos ou até instintivos. A criação humana, por exemplo, ultrapassa muitas vezes a realidade dos fatos, refletindo estados interiores variados e de enorme valor para a construção de nosso patrimônio cultural.</w:t>
      </w:r>
    </w:p>
    <w:p w:rsidR="00D24E61" w:rsidRPr="00771368" w:rsidRDefault="00D24E61" w:rsidP="00D24E61">
      <w:pPr>
        <w:ind w:firstLine="709"/>
        <w:jc w:val="both"/>
        <w:rPr>
          <w:sz w:val="24"/>
          <w:szCs w:val="24"/>
        </w:rPr>
      </w:pPr>
      <w:r w:rsidRPr="00771368">
        <w:rPr>
          <w:sz w:val="24"/>
          <w:szCs w:val="24"/>
        </w:rPr>
        <w:t>Ferdinand de Saussure</w:t>
      </w:r>
      <w:r w:rsidRPr="00771368">
        <w:rPr>
          <w:sz w:val="24"/>
          <w:szCs w:val="24"/>
          <w:vertAlign w:val="superscript"/>
        </w:rPr>
        <w:footnoteReference w:id="69"/>
      </w:r>
      <w:r w:rsidRPr="00771368">
        <w:rPr>
          <w:sz w:val="24"/>
          <w:szCs w:val="24"/>
        </w:rPr>
        <w:t xml:space="preserve"> filósofo suíço cujas elaborações teóricas propiciaram o desenvolvimento da linguística enquanto ciência e desencadearam o surgimento do estruturalismo, introduziu a ideia de signo linguístico, que se constitui numa combinação de significante e significado, como se fossem dois lados de uma moeda.</w:t>
      </w:r>
    </w:p>
    <w:p w:rsidR="00D24E61" w:rsidRPr="00771368" w:rsidRDefault="00D24E61" w:rsidP="00D24E61">
      <w:pPr>
        <w:ind w:firstLine="709"/>
        <w:jc w:val="both"/>
        <w:rPr>
          <w:sz w:val="24"/>
          <w:szCs w:val="24"/>
        </w:rPr>
      </w:pPr>
      <w:r w:rsidRPr="00771368">
        <w:rPr>
          <w:sz w:val="24"/>
          <w:szCs w:val="24"/>
        </w:rPr>
        <w:t>• O significante do signo linguístico é uma "imagem acústica" (cadeia de sons). Consiste no plano da forma.</w:t>
      </w:r>
    </w:p>
    <w:p w:rsidR="00D24E61" w:rsidRPr="00771368" w:rsidRDefault="00D24E61" w:rsidP="00D24E61">
      <w:pPr>
        <w:ind w:firstLine="709"/>
        <w:jc w:val="both"/>
        <w:rPr>
          <w:sz w:val="24"/>
          <w:szCs w:val="24"/>
        </w:rPr>
      </w:pPr>
      <w:r w:rsidRPr="00771368">
        <w:rPr>
          <w:sz w:val="24"/>
          <w:szCs w:val="24"/>
        </w:rPr>
        <w:t>• O significado é o conceito, reside no plano do conteúdo.</w:t>
      </w:r>
    </w:p>
    <w:p w:rsidR="00D24E61" w:rsidRPr="00771368" w:rsidRDefault="00D24E61" w:rsidP="00D24E61">
      <w:pPr>
        <w:ind w:firstLine="709"/>
        <w:jc w:val="both"/>
        <w:rPr>
          <w:sz w:val="24"/>
          <w:szCs w:val="24"/>
        </w:rPr>
      </w:pPr>
      <w:r w:rsidRPr="00771368">
        <w:rPr>
          <w:sz w:val="24"/>
          <w:szCs w:val="24"/>
        </w:rPr>
        <w:t>Através desse signo conforme sua forma ou estilo em determinados contextos  podemos nos sobrepor e/ou excluir  outros com quem temos contato.</w:t>
      </w:r>
    </w:p>
    <w:p w:rsidR="00D24E61" w:rsidRPr="00771368" w:rsidRDefault="00D24E61" w:rsidP="00D24E61">
      <w:pPr>
        <w:ind w:firstLine="709"/>
        <w:jc w:val="both"/>
        <w:rPr>
          <w:sz w:val="24"/>
          <w:szCs w:val="24"/>
        </w:rPr>
      </w:pPr>
      <w:r w:rsidRPr="00771368">
        <w:rPr>
          <w:sz w:val="24"/>
          <w:szCs w:val="24"/>
        </w:rPr>
        <w:t xml:space="preserve">Ex: - Você errou!  Fez coisa de negro! </w:t>
      </w:r>
    </w:p>
    <w:p w:rsidR="00D24E61" w:rsidRPr="00771368" w:rsidRDefault="00D24E61" w:rsidP="00D24E61">
      <w:pPr>
        <w:ind w:firstLine="709"/>
        <w:jc w:val="both"/>
        <w:rPr>
          <w:sz w:val="24"/>
          <w:szCs w:val="24"/>
        </w:rPr>
      </w:pPr>
      <w:r w:rsidRPr="00771368">
        <w:rPr>
          <w:sz w:val="24"/>
          <w:szCs w:val="24"/>
        </w:rPr>
        <w:t xml:space="preserve">- Vichi... Mais um nordestino aqui! </w:t>
      </w:r>
    </w:p>
    <w:p w:rsidR="00D24E61" w:rsidRPr="00771368" w:rsidRDefault="00D24E61" w:rsidP="00D24E61">
      <w:pPr>
        <w:ind w:firstLine="709"/>
        <w:jc w:val="both"/>
        <w:rPr>
          <w:sz w:val="24"/>
          <w:szCs w:val="24"/>
        </w:rPr>
      </w:pPr>
      <w:r w:rsidRPr="00771368">
        <w:rPr>
          <w:sz w:val="24"/>
          <w:szCs w:val="24"/>
        </w:rPr>
        <w:t>- Acertei mais questões... Eu sou mais inteligente!</w:t>
      </w:r>
    </w:p>
    <w:p w:rsidR="00D24E61" w:rsidRPr="00771368" w:rsidRDefault="00D24E61" w:rsidP="00D24E61">
      <w:pPr>
        <w:ind w:firstLine="709"/>
        <w:jc w:val="both"/>
        <w:rPr>
          <w:sz w:val="24"/>
          <w:szCs w:val="24"/>
        </w:rPr>
      </w:pPr>
      <w:r w:rsidRPr="00771368">
        <w:rPr>
          <w:sz w:val="24"/>
          <w:szCs w:val="24"/>
        </w:rPr>
        <w:t xml:space="preserve"> Conforme Saussure ficaria implícito na mente de quem fala e de quem ouve toda a carga de informações transformando-se em um paradigma cultural, ao se afirmar: </w:t>
      </w:r>
    </w:p>
    <w:p w:rsidR="00D24E61" w:rsidRPr="00771368" w:rsidRDefault="00D24E61" w:rsidP="00D24E61">
      <w:pPr>
        <w:ind w:firstLine="709"/>
        <w:jc w:val="both"/>
        <w:rPr>
          <w:sz w:val="24"/>
          <w:szCs w:val="24"/>
        </w:rPr>
      </w:pPr>
      <w:r w:rsidRPr="00771368">
        <w:rPr>
          <w:sz w:val="24"/>
          <w:szCs w:val="24"/>
        </w:rPr>
        <w:t>“- Hoje tenho de trabalhar, é dia de Banco!”             * fica implícito que branco é trabalhador e negro não.</w:t>
      </w:r>
    </w:p>
    <w:p w:rsidR="00D24E61" w:rsidRPr="00771368" w:rsidRDefault="00D24E61" w:rsidP="00D24E61">
      <w:pPr>
        <w:ind w:firstLine="709"/>
        <w:jc w:val="both"/>
        <w:rPr>
          <w:bCs/>
          <w:sz w:val="24"/>
          <w:szCs w:val="24"/>
        </w:rPr>
      </w:pPr>
      <w:r w:rsidRPr="00771368">
        <w:rPr>
          <w:bCs/>
          <w:sz w:val="24"/>
          <w:szCs w:val="24"/>
        </w:rPr>
        <w:t>João Fernandes Teixeira</w:t>
      </w:r>
      <w:r w:rsidRPr="00771368">
        <w:rPr>
          <w:bCs/>
          <w:sz w:val="24"/>
          <w:szCs w:val="24"/>
          <w:vertAlign w:val="superscript"/>
        </w:rPr>
        <w:footnoteReference w:id="70"/>
      </w:r>
      <w:r w:rsidRPr="00771368">
        <w:rPr>
          <w:bCs/>
          <w:sz w:val="24"/>
          <w:szCs w:val="24"/>
        </w:rPr>
        <w:t xml:space="preserve"> (1994)</w:t>
      </w:r>
      <w:r w:rsidRPr="00771368">
        <w:rPr>
          <w:sz w:val="24"/>
          <w:szCs w:val="24"/>
        </w:rPr>
        <w:t xml:space="preserve"> afirma que a </w:t>
      </w:r>
      <w:r w:rsidRPr="00771368">
        <w:rPr>
          <w:bCs/>
          <w:sz w:val="24"/>
          <w:szCs w:val="24"/>
        </w:rPr>
        <w:t>mente e cérebro podem ser coisas distintas, mas certamente estão ligados de alguma maneira. Em sua obra “O que é Filosofia da mente”, destaca que Descartes</w:t>
      </w:r>
      <w:r w:rsidRPr="00771368">
        <w:rPr>
          <w:sz w:val="24"/>
          <w:szCs w:val="24"/>
          <w:vertAlign w:val="superscript"/>
        </w:rPr>
        <w:footnoteReference w:id="71"/>
      </w:r>
      <w:r w:rsidRPr="00771368">
        <w:rPr>
          <w:sz w:val="24"/>
          <w:szCs w:val="24"/>
        </w:rPr>
        <w:t>,</w:t>
      </w:r>
      <w:r w:rsidRPr="00771368">
        <w:rPr>
          <w:bCs/>
          <w:sz w:val="24"/>
          <w:szCs w:val="24"/>
        </w:rPr>
        <w:t xml:space="preserve"> era um dualista onde ele supunha que mente e matéria teriam propriedades radicalmente diferentes. Teixeira enfoca que no século XIX a filosofia se ocupava de outras questões que pareciam mais urgentes, como, por exemplo, os destinos da humanidade, da história e dos conflitos sociais, destacando a psicanálise de Sigmund Freud, e com ela os médicos e cientistas voltam a se perguntar se mente cérebro seriam uma só e mesma coisa.</w:t>
      </w:r>
    </w:p>
    <w:p w:rsidR="00D24E61" w:rsidRPr="00771368" w:rsidRDefault="00D24E61" w:rsidP="00D24E61">
      <w:pPr>
        <w:ind w:firstLine="709"/>
        <w:jc w:val="both"/>
        <w:rPr>
          <w:sz w:val="24"/>
          <w:szCs w:val="24"/>
        </w:rPr>
      </w:pPr>
      <w:r w:rsidRPr="00771368">
        <w:rPr>
          <w:bCs/>
          <w:sz w:val="24"/>
          <w:szCs w:val="24"/>
        </w:rPr>
        <w:t>Assevera ainda que é no século XX que surge a “Filosofia da Mente” propriamente dita e enfoca</w:t>
      </w:r>
      <w:r w:rsidRPr="00771368">
        <w:rPr>
          <w:sz w:val="24"/>
          <w:szCs w:val="24"/>
        </w:rPr>
        <w:t xml:space="preserve"> </w:t>
      </w:r>
      <w:r w:rsidRPr="00771368">
        <w:rPr>
          <w:bCs/>
          <w:sz w:val="24"/>
          <w:szCs w:val="24"/>
        </w:rPr>
        <w:t xml:space="preserve">a afirmativa de  Gilbert Ryle </w:t>
      </w:r>
      <w:r w:rsidRPr="00771368">
        <w:rPr>
          <w:bCs/>
          <w:sz w:val="24"/>
          <w:szCs w:val="24"/>
          <w:vertAlign w:val="superscript"/>
        </w:rPr>
        <w:footnoteReference w:id="72"/>
      </w:r>
      <w:r w:rsidRPr="00771368">
        <w:rPr>
          <w:bCs/>
          <w:sz w:val="24"/>
          <w:szCs w:val="24"/>
        </w:rPr>
        <w:t>:</w:t>
      </w:r>
    </w:p>
    <w:p w:rsidR="00D24E61" w:rsidRPr="00771368" w:rsidRDefault="00D24E61" w:rsidP="00D24E61">
      <w:pPr>
        <w:ind w:firstLine="709"/>
        <w:jc w:val="both"/>
        <w:rPr>
          <w:i/>
          <w:sz w:val="24"/>
          <w:szCs w:val="24"/>
        </w:rPr>
      </w:pPr>
      <w:r w:rsidRPr="00771368">
        <w:rPr>
          <w:i/>
          <w:sz w:val="24"/>
          <w:szCs w:val="24"/>
        </w:rPr>
        <w:t>“Ao longo dos séculos nossa cultura teria gerado, equivocadamente dois tipos de vocabulários: um "vocabulário do físico" e um "vocabulário do mental". Os dois falam exatamente da mesma coisa, mas eu emprego errôneo levou-nos a crer que o físico e o mental são duas substâncias diferentes e incompatíveis. Se procedermos a uma análise rigorosa do emprego da nossa linguagem veremos, no final, que nem faz sentido falar de um problema mente-corpo. Este problema seria uma ilusão que deveria ser dissipada, e esta seria a tarefa que o filósofo da mente teria de empreender através da análise linguística.</w:t>
      </w:r>
    </w:p>
    <w:p w:rsidR="00D24E61" w:rsidRPr="00771368" w:rsidRDefault="00D24E61" w:rsidP="00D24E61">
      <w:pPr>
        <w:ind w:firstLine="709"/>
        <w:jc w:val="both"/>
        <w:rPr>
          <w:bCs/>
          <w:sz w:val="24"/>
          <w:vertAlign w:val="superscript"/>
        </w:rPr>
      </w:pPr>
      <w:r w:rsidRPr="00771368">
        <w:rPr>
          <w:i/>
          <w:sz w:val="24"/>
        </w:rPr>
        <w:t xml:space="preserve">Por exemplo, quando dizemos "minha mente está cansada de tanto estudar" ou "estes pensamento me causam dor de cabeça" estaríamos alimentando tal ilusão, pois essas são expressões que implicitamente se referem à mente como uma coisa ou uma substância concebível como algo separado do corpo. “ </w:t>
      </w:r>
      <w:r w:rsidRPr="00771368">
        <w:rPr>
          <w:sz w:val="24"/>
        </w:rPr>
        <w:t>(RYLE. l994)</w:t>
      </w:r>
      <w:r w:rsidRPr="00771368">
        <w:rPr>
          <w:bCs/>
          <w:sz w:val="24"/>
          <w:vertAlign w:val="superscript"/>
        </w:rPr>
        <w:t xml:space="preserve"> </w:t>
      </w:r>
      <w:r w:rsidRPr="00771368">
        <w:rPr>
          <w:rStyle w:val="Refdenotaderodap"/>
          <w:bCs/>
          <w:sz w:val="24"/>
        </w:rPr>
        <w:footnoteReference w:id="73"/>
      </w:r>
    </w:p>
    <w:p w:rsidR="00D24E61" w:rsidRPr="00771368" w:rsidRDefault="00D24E61" w:rsidP="00D24E61">
      <w:pPr>
        <w:ind w:firstLine="709"/>
        <w:jc w:val="both"/>
        <w:rPr>
          <w:bCs/>
          <w:sz w:val="24"/>
        </w:rPr>
      </w:pPr>
      <w:r w:rsidRPr="00771368">
        <w:rPr>
          <w:bCs/>
          <w:sz w:val="24"/>
        </w:rPr>
        <w:t xml:space="preserve">Essa afirmação reforça as indagações de Saussure, mostrando que a força do pensamento pode nos influenciar. </w:t>
      </w:r>
    </w:p>
    <w:p w:rsidR="00D24E61" w:rsidRPr="00771368" w:rsidRDefault="00D24E61" w:rsidP="00D24E61">
      <w:pPr>
        <w:ind w:firstLine="709"/>
        <w:jc w:val="both"/>
        <w:rPr>
          <w:bCs/>
          <w:sz w:val="24"/>
        </w:rPr>
      </w:pPr>
      <w:r w:rsidRPr="00771368">
        <w:rPr>
          <w:bCs/>
          <w:sz w:val="24"/>
        </w:rPr>
        <w:t xml:space="preserve">  Percebemos, portanto que os fenômenos mentais são invisíveis e impossíveis de serem medidos. E são inacessíveis à observação. Se afirmo que tenho febre, alguém pode colocar um termômetro sob o meu braço e, após alguns minutos, afirmar: "Não, você não tem febre, o termômetro marca apenas 36,5 graus". Mas se digo “Estou com dor de cabeça", ninguém, exceto eu, pode saber se estou mentindo ou dizendo a verdade. Alguém pode dizer e fingir que está com dor de cabeça: somente essa pessoa saberá se o que diz é verdade ou não.</w:t>
      </w:r>
    </w:p>
    <w:p w:rsidR="00D24E61" w:rsidRPr="00771368" w:rsidRDefault="00D24E61" w:rsidP="00D24E61">
      <w:pPr>
        <w:ind w:firstLine="709"/>
        <w:jc w:val="both"/>
        <w:rPr>
          <w:bCs/>
          <w:sz w:val="24"/>
        </w:rPr>
      </w:pPr>
      <w:r w:rsidRPr="00771368">
        <w:rPr>
          <w:bCs/>
          <w:sz w:val="24"/>
        </w:rPr>
        <w:t xml:space="preserve">A inacessibilidade dos fenômenos mentais torna-os essencialmente </w:t>
      </w:r>
      <w:r w:rsidRPr="00771368">
        <w:rPr>
          <w:bCs/>
          <w:i/>
          <w:iCs/>
          <w:sz w:val="24"/>
        </w:rPr>
        <w:t xml:space="preserve">subjetivos </w:t>
      </w:r>
      <w:r w:rsidRPr="00771368">
        <w:rPr>
          <w:bCs/>
          <w:sz w:val="24"/>
        </w:rPr>
        <w:t xml:space="preserve">ou </w:t>
      </w:r>
      <w:r w:rsidRPr="00771368">
        <w:rPr>
          <w:bCs/>
          <w:i/>
          <w:iCs/>
          <w:sz w:val="24"/>
        </w:rPr>
        <w:t>privados</w:t>
      </w:r>
      <w:r w:rsidRPr="00771368">
        <w:rPr>
          <w:bCs/>
          <w:sz w:val="24"/>
        </w:rPr>
        <w:t>, para usar o jargão filosófico, se não podemos observar uma idéia, um sentimento ou uma emoção, porque são imateriais, isto equivale a dizer que pensamentos não podem ser destruídos: só podemos destruir coisas que estão no mundo. Seria possível aniquilar criaturas e seus cérebros, mas não ideias e pensamentos.</w:t>
      </w:r>
    </w:p>
    <w:p w:rsidR="00D24E61" w:rsidRPr="00771368" w:rsidRDefault="00D24E61" w:rsidP="00D24E61">
      <w:pPr>
        <w:ind w:firstLine="709"/>
        <w:jc w:val="both"/>
        <w:rPr>
          <w:bCs/>
          <w:sz w:val="24"/>
        </w:rPr>
      </w:pPr>
      <w:r w:rsidRPr="00771368">
        <w:rPr>
          <w:bCs/>
          <w:sz w:val="24"/>
        </w:rPr>
        <w:t>Para Damásio (2004), a investigação da forma como os pensamentos desencadeiam as emoções e de como as modificações do corpo durante as emoções se transformam nos fenômenos mentais que chamamos de sentimentos sustenta algo novo sobre o corpo e sobre a mente, duas manifestações aparentemente separadas de um organismo integrado e singular.</w:t>
      </w:r>
    </w:p>
    <w:p w:rsidR="00D24E61" w:rsidRPr="00771368" w:rsidRDefault="00D24E61" w:rsidP="00D24E61">
      <w:pPr>
        <w:ind w:left="2268"/>
        <w:jc w:val="both"/>
        <w:rPr>
          <w:bCs/>
        </w:rPr>
      </w:pPr>
    </w:p>
    <w:p w:rsidR="00D24E61" w:rsidRPr="00771368" w:rsidRDefault="00D24E61" w:rsidP="00D24E61">
      <w:pPr>
        <w:ind w:left="2268"/>
        <w:jc w:val="both"/>
        <w:rPr>
          <w:bCs/>
          <w:sz w:val="20"/>
        </w:rPr>
      </w:pPr>
      <w:r w:rsidRPr="00771368">
        <w:rPr>
          <w:bCs/>
          <w:sz w:val="20"/>
        </w:rPr>
        <w:t>A forma como os pensamentos desencadeiam as emoções e de como as modificações do corpo durante as emoções se transformam em fenômenos mentais, interferem sobre o corpo e a psique, duas manifestações aparentemente separadas de um organismo integrado. (</w:t>
      </w:r>
      <w:r w:rsidRPr="00771368">
        <w:rPr>
          <w:sz w:val="20"/>
        </w:rPr>
        <w:t>DAMÁSIO, 2004)</w:t>
      </w:r>
    </w:p>
    <w:p w:rsidR="00D24E61" w:rsidRPr="00771368" w:rsidRDefault="00D24E61" w:rsidP="00D24E61">
      <w:pPr>
        <w:ind w:firstLine="709"/>
        <w:jc w:val="both"/>
        <w:rPr>
          <w:bCs/>
          <w:sz w:val="24"/>
        </w:rPr>
      </w:pPr>
    </w:p>
    <w:p w:rsidR="00D24E61" w:rsidRPr="00771368" w:rsidRDefault="00D24E61" w:rsidP="00D24E61">
      <w:pPr>
        <w:ind w:firstLine="709"/>
        <w:jc w:val="both"/>
        <w:rPr>
          <w:bCs/>
          <w:sz w:val="24"/>
        </w:rPr>
      </w:pPr>
      <w:r w:rsidRPr="00771368">
        <w:rPr>
          <w:bCs/>
          <w:sz w:val="24"/>
        </w:rPr>
        <w:t>Teixeira  mostra também a teoria da identidade entre mente e cérebro, criada pelo filósofo australiano, J.J.C.Smart</w:t>
      </w:r>
      <w:r w:rsidRPr="00771368">
        <w:rPr>
          <w:bCs/>
          <w:sz w:val="24"/>
          <w:vertAlign w:val="superscript"/>
        </w:rPr>
        <w:footnoteReference w:id="74"/>
      </w:r>
      <w:r w:rsidRPr="00771368">
        <w:rPr>
          <w:bCs/>
          <w:sz w:val="24"/>
        </w:rPr>
        <w:t>, o qual sustentava que estados mentais são idênticos a estados cerebrais. Uns e outros seriam a mesma coisa, com uma diferença apenas aparente, da mesma maneira que as nuvens e gotículas de água são a mesma coisa, embora seja comum nos referimos a elas como elementos distintos.</w:t>
      </w:r>
    </w:p>
    <w:p w:rsidR="00D24E61" w:rsidRPr="00771368" w:rsidRDefault="00D24E61" w:rsidP="00D24E61">
      <w:pPr>
        <w:ind w:firstLine="709"/>
        <w:jc w:val="both"/>
        <w:rPr>
          <w:bCs/>
          <w:sz w:val="24"/>
        </w:rPr>
      </w:pPr>
      <w:r w:rsidRPr="00771368">
        <w:rPr>
          <w:bCs/>
          <w:sz w:val="24"/>
        </w:rPr>
        <w:t>Analisando mais profundamente esse ponto de vista, lembramos a teoria de “Ego ou Self” de Carl Jung</w:t>
      </w:r>
      <w:r w:rsidRPr="00771368">
        <w:rPr>
          <w:rStyle w:val="Refdenotaderodap"/>
          <w:bCs/>
          <w:sz w:val="24"/>
        </w:rPr>
        <w:footnoteReference w:id="75"/>
      </w:r>
      <w:r w:rsidRPr="00771368">
        <w:rPr>
          <w:bCs/>
          <w:sz w:val="24"/>
        </w:rPr>
        <w:t xml:space="preserve"> (1984) onde afirma que o “Ego” é o sujeito da ação consciente. Num certo sentido é o primeiro complexo a se formar na consciência, sendo seu centro. Estrutura-se a partir do inconsciente e é, muitas vezes, confundido com o centro organizador e diretor do aparelho psíquico. Conhecer a si mesmo não é conhecer o eu ou ego, que só conhece seus próprios conteúdos, mas, também, aquele centro organizador. O processo de desenvolvimento da personalidade, a individuação, consiste em diferenciar o ego de suas estruturas arquetípicas</w:t>
      </w:r>
      <w:r w:rsidRPr="00771368">
        <w:rPr>
          <w:bCs/>
          <w:sz w:val="24"/>
          <w:vertAlign w:val="superscript"/>
        </w:rPr>
        <w:footnoteReference w:id="76"/>
      </w:r>
      <w:r w:rsidRPr="00771368">
        <w:rPr>
          <w:bCs/>
          <w:sz w:val="24"/>
        </w:rPr>
        <w:t xml:space="preserve"> auxiliares. O Self (centro organizador da psiquê) e o ego onírico (o eu dos sonhos) são instâncias psíquicas diferentes. O ego se baseia no arquétipo do Si-Mesmo, sendo, de certa forma, seu agente no mundo da consciência.</w:t>
      </w:r>
    </w:p>
    <w:p w:rsidR="00D24E61" w:rsidRPr="00771368" w:rsidRDefault="00D24E61" w:rsidP="00D24E61">
      <w:pPr>
        <w:ind w:firstLine="709"/>
        <w:jc w:val="both"/>
        <w:rPr>
          <w:bCs/>
          <w:sz w:val="24"/>
        </w:rPr>
      </w:pPr>
      <w:r w:rsidRPr="00771368">
        <w:rPr>
          <w:bCs/>
          <w:sz w:val="24"/>
        </w:rPr>
        <w:t xml:space="preserve">Para Jung o homem como ser civilizado não pode vivenciar uma série de instintos e desejos, simplesmente porque são incompatíveis com a lei e com a moral, para adaptar-se a sociedade o homem se vê obrigado a reprimir tais desejos. Em casos individuais, e em consequência da repressão, os desejos tornam-se inconscientes. Ele é esquecido e em seu lugar surge uma justificativa mais ou menos racional. Jung chamou este processo onde um desejo incompatível se torna inconsciente de repressão e de recalque quando o desejo continua consciente. Diante disso, o conceito de inconsciente pode ser descrito por Jung como </w:t>
      </w:r>
      <w:r w:rsidRPr="00771368">
        <w:rPr>
          <w:bCs/>
          <w:i/>
          <w:sz w:val="24"/>
        </w:rPr>
        <w:t>"[...] a soma total dos desejos incompatíveis e reprimidos, incluindo todas as recordações penosas e por isso reprimidas."</w:t>
      </w:r>
      <w:r w:rsidRPr="00771368">
        <w:rPr>
          <w:bCs/>
          <w:sz w:val="24"/>
        </w:rPr>
        <w:t xml:space="preserve"> ( JUNG. 1984)</w:t>
      </w:r>
    </w:p>
    <w:p w:rsidR="00D24E61" w:rsidRPr="00771368" w:rsidRDefault="00D24E61" w:rsidP="00D24E61">
      <w:pPr>
        <w:ind w:firstLine="709"/>
        <w:jc w:val="both"/>
      </w:pPr>
      <w:r w:rsidRPr="00771368">
        <w:t>Nubor Orlando Facure,.</w:t>
      </w:r>
      <w:r w:rsidRPr="00771368">
        <w:rPr>
          <w:vertAlign w:val="superscript"/>
        </w:rPr>
        <w:footnoteReference w:id="77"/>
      </w:r>
      <w:r w:rsidRPr="00771368">
        <w:t xml:space="preserve"> Em sua obra  A CONQUISTA DO CORPO E DA MENTE, afirma que  nossos pensamentos podem influenciar tanto ao outro quanto anos mesmo, e que sob esse prisma devemos atentar ao que pensamos e/ou falamos.</w:t>
      </w:r>
    </w:p>
    <w:p w:rsidR="00D24E61" w:rsidRPr="00771368" w:rsidRDefault="00D24E61" w:rsidP="00D24E61">
      <w:pPr>
        <w:autoSpaceDE w:val="0"/>
        <w:autoSpaceDN w:val="0"/>
        <w:adjustRightInd w:val="0"/>
        <w:ind w:left="2268"/>
        <w:jc w:val="both"/>
        <w:rPr>
          <w:b/>
          <w:sz w:val="20"/>
          <w:szCs w:val="20"/>
        </w:rPr>
      </w:pPr>
      <w:r w:rsidRPr="00771368">
        <w:rPr>
          <w:sz w:val="20"/>
          <w:szCs w:val="20"/>
        </w:rPr>
        <w:t>O pensamento é energia que expressa nossos desejos. Somos sensibilizados por estímulos  externos que desencadeiam percepções cerebrais de vários matizes. As cores, os sons, os sabores ou os afetos geram em nós sensações que despertam desejos, criam ideias e organizam pensamentos que expressamos pela linguagem. Esta experiência sensorial nos permitiu desenvolver reflexos, hábitos, instintos, automatismos, discernimento, raciocínio e, finalmente, a  inteligência e a consciência de si mesmo num processo evolutivo do ser unicelular ao homem com seus bilhões de neurônios. Por efeito das vibrações que emitimos ao pensar, estamos obrigatoriamente ligados, por sintonia mental, à todas as criaturas que no mundo inteiro pensam como nós.[...] Somos livres para pensar e induzir aos outros a pensarem como nós. Porém, somos escravos das ideias que fixamos para nós mesmos e das sugestões que nos  incomodam.</w:t>
      </w:r>
      <w:r w:rsidRPr="00771368">
        <w:rPr>
          <w:b/>
          <w:sz w:val="20"/>
          <w:szCs w:val="20"/>
        </w:rPr>
        <w:t xml:space="preserve"> </w:t>
      </w:r>
      <w:r w:rsidRPr="00771368">
        <w:rPr>
          <w:sz w:val="20"/>
          <w:szCs w:val="20"/>
        </w:rPr>
        <w:t>(FACURE, 2004)</w:t>
      </w:r>
    </w:p>
    <w:p w:rsidR="00D24E61" w:rsidRPr="00771368" w:rsidRDefault="00D24E61" w:rsidP="00D24E61">
      <w:pPr>
        <w:autoSpaceDE w:val="0"/>
        <w:autoSpaceDN w:val="0"/>
        <w:adjustRightInd w:val="0"/>
        <w:spacing w:line="360" w:lineRule="auto"/>
        <w:ind w:firstLine="709"/>
        <w:jc w:val="both"/>
        <w:rPr>
          <w:b/>
          <w:sz w:val="24"/>
          <w:szCs w:val="24"/>
        </w:rPr>
      </w:pPr>
    </w:p>
    <w:p w:rsidR="00D24E61" w:rsidRPr="00771368" w:rsidRDefault="00D24E61" w:rsidP="00D24E61">
      <w:pPr>
        <w:ind w:firstLine="709"/>
        <w:jc w:val="both"/>
        <w:rPr>
          <w:bCs/>
          <w:sz w:val="24"/>
        </w:rPr>
      </w:pPr>
      <w:r w:rsidRPr="00771368">
        <w:rPr>
          <w:bCs/>
          <w:sz w:val="24"/>
        </w:rPr>
        <w:t>Percebemos, portanto que  a construção de nosso “Ser Cognoscente” esta vinculada diretamente a cultura social e familiar formando assim paradigmas culturais, reforçando novamente os ditos de Ferdinand Saussure e Gilbert Ryle e adentrando nos ditos de Pierre Bourdieu</w:t>
      </w:r>
      <w:r w:rsidRPr="00771368">
        <w:rPr>
          <w:bCs/>
          <w:sz w:val="24"/>
          <w:vertAlign w:val="superscript"/>
        </w:rPr>
        <w:footnoteReference w:id="78"/>
      </w:r>
      <w:r w:rsidRPr="00771368">
        <w:rPr>
          <w:sz w:val="24"/>
        </w:rPr>
        <w:t xml:space="preserve">  o qual lançou  uma </w:t>
      </w:r>
      <w:r w:rsidRPr="00771368">
        <w:rPr>
          <w:bCs/>
          <w:sz w:val="24"/>
        </w:rPr>
        <w:t xml:space="preserve">discussão sociológica que  centralizou-se, ao longo na tarefa de desvendar os mecanismos da reprodução social, que legitimam as diversas formas de dominação. Para empreender essa tarefa, Bourdieu desenvolve conceitos específicos, retirando os fatores econômicos do epicentro das análises da sociedade, a partir de um conceito concebido por ele como </w:t>
      </w:r>
      <w:r w:rsidRPr="00771368">
        <w:rPr>
          <w:b/>
          <w:bCs/>
          <w:sz w:val="24"/>
        </w:rPr>
        <w:t>violência simbólica</w:t>
      </w:r>
      <w:r w:rsidRPr="00771368">
        <w:rPr>
          <w:b/>
          <w:bCs/>
          <w:sz w:val="24"/>
          <w:vertAlign w:val="superscript"/>
        </w:rPr>
        <w:footnoteReference w:id="79"/>
      </w:r>
      <w:r w:rsidRPr="00771368">
        <w:rPr>
          <w:bCs/>
          <w:sz w:val="24"/>
        </w:rPr>
        <w:t>. Esse conceito foi criado por para descrever o processo pelo qual a classe que domina economicamente impõe sua cultura aos dominados. Bourdieu, juntamente com o sociólogo Jean-Claude Passeron</w:t>
      </w:r>
      <w:r w:rsidRPr="00771368">
        <w:rPr>
          <w:bCs/>
          <w:sz w:val="24"/>
          <w:vertAlign w:val="superscript"/>
        </w:rPr>
        <w:footnoteReference w:id="80"/>
      </w:r>
      <w:r w:rsidRPr="00771368">
        <w:rPr>
          <w:bCs/>
          <w:sz w:val="24"/>
        </w:rPr>
        <w:t>, partem do princípio de que a cultura, ou o sistema simbólico, é arbitrária, uma vez que não se assenta numa realidade dada como natural. O sistema simbólico de uma determinada cultura é uma construção social e sua manutenção é fundamental para a perpetuação de uma determinada sociedade, através da interiorização da cultura por todos os membros da mesma. A violência simbólica expressa-se na imposição "legítima" e dissimulada, com a interiorização da cultura dominante, reproduzindo as relações do mundo do trabalho. O dominado não se opõe ao seu opressor, já que não se percebe como vítima deste processo: ao contrário, o oprimido considera a situação natural e inevitável.</w:t>
      </w:r>
    </w:p>
    <w:p w:rsidR="00D24E61" w:rsidRPr="00771368" w:rsidRDefault="00D24E61" w:rsidP="00D24E61">
      <w:pPr>
        <w:ind w:firstLine="709"/>
        <w:jc w:val="both"/>
        <w:rPr>
          <w:bCs/>
          <w:sz w:val="24"/>
          <w:szCs w:val="24"/>
        </w:rPr>
      </w:pPr>
      <w:r w:rsidRPr="00771368">
        <w:rPr>
          <w:bCs/>
          <w:sz w:val="24"/>
          <w:szCs w:val="24"/>
        </w:rPr>
        <w:t xml:space="preserve">A violência simbólica pode ser exercida por diferentes instituições da sociedade: o Estado, a mídia, a escola, etc. </w:t>
      </w:r>
    </w:p>
    <w:p w:rsidR="00D24E61" w:rsidRPr="00771368" w:rsidRDefault="00D24E61" w:rsidP="00D24E61">
      <w:pPr>
        <w:spacing w:line="360" w:lineRule="auto"/>
        <w:ind w:firstLine="709"/>
        <w:jc w:val="both"/>
        <w:rPr>
          <w:bCs/>
          <w:sz w:val="24"/>
          <w:szCs w:val="24"/>
        </w:rPr>
      </w:pPr>
      <w:r w:rsidRPr="00771368">
        <w:rPr>
          <w:bCs/>
          <w:sz w:val="24"/>
          <w:szCs w:val="24"/>
        </w:rPr>
        <w:t xml:space="preserve">Podemos assim, destacar o desiquilíbrio de valores morais pertinentes nos dias de hoje, questionar se a ética não é de maneira equivocada abordada nos veículos de comunicação, transformando a mídia em método de alienação e manipulação, As novelas, comerciais de T.V., propagandas estariam influenciando as crianças com  a suas atitudes e/ou ao gênero/opção sexual ?  Os princípios morais estariam desestruturados?  </w:t>
      </w:r>
    </w:p>
    <w:p w:rsidR="00D24E61" w:rsidRPr="00771368" w:rsidRDefault="00D24E61" w:rsidP="00D24E61">
      <w:pPr>
        <w:spacing w:line="360" w:lineRule="auto"/>
        <w:ind w:firstLine="709"/>
        <w:jc w:val="both"/>
        <w:rPr>
          <w:bCs/>
          <w:sz w:val="24"/>
          <w:szCs w:val="24"/>
        </w:rPr>
      </w:pPr>
      <w:r w:rsidRPr="00771368">
        <w:rPr>
          <w:bCs/>
          <w:sz w:val="24"/>
          <w:szCs w:val="24"/>
        </w:rPr>
        <w:t xml:space="preserve">Sobre essa ótica a construção de nosso “Eu” estaria comprometido, nossas ideias são culturalmente e socialmente pré-concebidas através da sugestão da fala e imagem, destacamos nesse aspecto a frase do psicólogo Adenáuer M. F. de Novaes: </w:t>
      </w:r>
    </w:p>
    <w:p w:rsidR="00D24E61" w:rsidRPr="00771368" w:rsidRDefault="00D24E61" w:rsidP="00D24E61">
      <w:pPr>
        <w:ind w:left="2268"/>
        <w:jc w:val="both"/>
        <w:rPr>
          <w:bCs/>
          <w:sz w:val="20"/>
        </w:rPr>
      </w:pPr>
      <w:r w:rsidRPr="00771368">
        <w:rPr>
          <w:bCs/>
          <w:sz w:val="20"/>
        </w:rPr>
        <w:t xml:space="preserve">Os valores sociais, fortalecidos pela mídia que propagandeia a vulgaridade, tornam o uso da sexualidade quase como uma obrigação a que todos têm que se submeter. Não há qualquer preocupação com idade, nível evolutivo, momento de vida, pois têm que usá-la a qualquer preço. A compulsão para o uso passa a ser moda, e motivo  de preocupação para quem não tenha a libido à flor da pele, pois se sentirá diferente dos demais.[...] O modismo e os exageros na sexualidade promovem o festival de fetiches ou artefatos para promover o prazer a  qualquer custo, sem a preocupação quanto às interferências no psiquismo do próprio indivíduo. O fetiche, enquanto instrumento de ampliação do prazer, passa a se tornar, com o tempo,  imprescindível e determinante para que se alcance a liberação do desejo compulsivo, até que, mais tarde se torne também indispensável, levando o indivíduo a novas e cada vez mais alucinantes aventuras. </w:t>
      </w:r>
      <w:r w:rsidRPr="00771368">
        <w:rPr>
          <w:sz w:val="20"/>
        </w:rPr>
        <w:t xml:space="preserve"> (NOVAES , 1999)</w:t>
      </w:r>
    </w:p>
    <w:p w:rsidR="00D24E61" w:rsidRPr="00771368" w:rsidRDefault="00D24E61" w:rsidP="00D24E61">
      <w:pPr>
        <w:spacing w:line="360" w:lineRule="auto"/>
        <w:ind w:firstLine="709"/>
        <w:jc w:val="both"/>
      </w:pPr>
    </w:p>
    <w:p w:rsidR="00D24E61" w:rsidRPr="00771368" w:rsidRDefault="00D24E61" w:rsidP="00D24E61">
      <w:pPr>
        <w:spacing w:line="360" w:lineRule="auto"/>
        <w:ind w:firstLine="709"/>
        <w:jc w:val="both"/>
        <w:rPr>
          <w:bCs/>
          <w:sz w:val="24"/>
          <w:szCs w:val="24"/>
        </w:rPr>
      </w:pPr>
      <w:r w:rsidRPr="00771368">
        <w:rPr>
          <w:sz w:val="24"/>
          <w:szCs w:val="24"/>
        </w:rPr>
        <w:t>Dr. Içami Tiba</w:t>
      </w:r>
      <w:r w:rsidRPr="00771368">
        <w:rPr>
          <w:rStyle w:val="Refdenotaderodap"/>
          <w:rFonts w:eastAsia="Calibri"/>
          <w:color w:val="000000"/>
          <w:sz w:val="24"/>
          <w:szCs w:val="24"/>
        </w:rPr>
        <w:footnoteReference w:id="81"/>
      </w:r>
      <w:r w:rsidRPr="00771368">
        <w:rPr>
          <w:sz w:val="24"/>
          <w:szCs w:val="24"/>
        </w:rPr>
        <w:t>, em seu livro</w:t>
      </w:r>
      <w:r w:rsidRPr="00771368">
        <w:t xml:space="preserve"> “</w:t>
      </w:r>
      <w:r w:rsidRPr="00771368">
        <w:rPr>
          <w:sz w:val="24"/>
          <w:szCs w:val="24"/>
        </w:rPr>
        <w:t xml:space="preserve">Disciplina - O Limite na Medida Certa” nos afirma que </w:t>
      </w:r>
      <w:r w:rsidRPr="00771368">
        <w:rPr>
          <w:b/>
          <w:bCs/>
          <w:color w:val="FF0000"/>
          <w:sz w:val="24"/>
          <w:szCs w:val="24"/>
        </w:rPr>
        <w:t xml:space="preserve"> </w:t>
      </w:r>
      <w:r w:rsidRPr="00771368">
        <w:rPr>
          <w:bCs/>
          <w:sz w:val="24"/>
          <w:szCs w:val="24"/>
        </w:rPr>
        <w:t>mídia, principalmente a televisão, tem forte influência sobre adolescentes com relação ao consumismo, a cultura do prazer pelo prazer, a erotização e a ausência de limites,  devido á  falta de disciplina, atribuindo como um problema sociocultural.</w:t>
      </w:r>
    </w:p>
    <w:p w:rsidR="00D24E61" w:rsidRPr="00771368" w:rsidRDefault="00D24E61" w:rsidP="00D24E61">
      <w:pPr>
        <w:spacing w:line="360" w:lineRule="auto"/>
        <w:ind w:firstLine="709"/>
        <w:jc w:val="both"/>
        <w:rPr>
          <w:sz w:val="24"/>
          <w:szCs w:val="24"/>
        </w:rPr>
      </w:pPr>
      <w:r w:rsidRPr="00771368">
        <w:rPr>
          <w:i/>
          <w:sz w:val="24"/>
          <w:szCs w:val="24"/>
        </w:rPr>
        <w:t>“Acho que a mídia funciona assim porque tem mercado para isso que é oferecido. Ela não é muito culpada. Oferece o que é consumido. O consumo não é problema de uma pessoa e sim de todas as gerações. É uma questão social. É importante que cada família reaprenda a ver televisão. Esperar que a TV regule sua programação por sua ética é algo em vão. São empresas que visam lucro.[...]”</w:t>
      </w:r>
      <w:r w:rsidRPr="00771368">
        <w:rPr>
          <w:rStyle w:val="Refdenotaderodap"/>
          <w:rFonts w:eastAsia="Calibri"/>
          <w:i/>
          <w:sz w:val="24"/>
          <w:szCs w:val="24"/>
        </w:rPr>
        <w:footnoteReference w:id="82"/>
      </w:r>
      <w:r w:rsidRPr="00771368">
        <w:rPr>
          <w:sz w:val="24"/>
          <w:szCs w:val="24"/>
        </w:rPr>
        <w:t>(TIBA. 2006)</w:t>
      </w:r>
    </w:p>
    <w:p w:rsidR="00D24E61" w:rsidRPr="00771368" w:rsidRDefault="00D24E61" w:rsidP="00D24E61">
      <w:pPr>
        <w:spacing w:line="360" w:lineRule="auto"/>
        <w:ind w:firstLine="709"/>
        <w:jc w:val="both"/>
        <w:rPr>
          <w:sz w:val="24"/>
          <w:szCs w:val="24"/>
        </w:rPr>
      </w:pPr>
      <w:r w:rsidRPr="00771368">
        <w:rPr>
          <w:sz w:val="24"/>
          <w:szCs w:val="24"/>
        </w:rPr>
        <w:t xml:space="preserve">As sociólogas Felícia Madeira e Eliana Rodrigues (1998), no artigo “Recado dos jovens,” enfatizam que a história, a tradição e a cultura contribuem para a expressão dos valores dos jovens, pois apesar das diferenças existentes entre eles e independentemente de condição socioeconômica, esse grupo etário apresenta e cultiva identidade própria. </w:t>
      </w:r>
    </w:p>
    <w:p w:rsidR="00D24E61" w:rsidRPr="00771368" w:rsidRDefault="00D24E61" w:rsidP="00D24E61">
      <w:pPr>
        <w:spacing w:line="360" w:lineRule="auto"/>
        <w:ind w:firstLine="709"/>
        <w:jc w:val="both"/>
        <w:rPr>
          <w:color w:val="000000"/>
          <w:sz w:val="24"/>
          <w:szCs w:val="24"/>
        </w:rPr>
      </w:pPr>
      <w:r w:rsidRPr="00771368">
        <w:rPr>
          <w:sz w:val="24"/>
          <w:szCs w:val="24"/>
        </w:rPr>
        <w:t xml:space="preserve">As crianças hoje adentram nas escolas já com influencias tecnológicas  enfrentando novos conceitos e informações que muitas vezes batem de frente com os paradigmas já construídos pela mídia, sobre esse aspecto </w:t>
      </w:r>
      <w:r w:rsidRPr="00771368">
        <w:rPr>
          <w:color w:val="000000"/>
          <w:sz w:val="24"/>
          <w:szCs w:val="24"/>
        </w:rPr>
        <w:t xml:space="preserve">Rousseau afirma em seu livro “Emilio ou da Educação” que devemos instigar a curiosidade, pois todo o processo da pesquisar  levanta novas hipóteses a serem investigadas, percebemos  portanto  que Rousseau em seu tratado pedagógico da educação natural constrói de forma autêntica e natural, que é importante educar e respeitar a criança em seu mundo e que os valores morais e éticos devem ser construídos na necessidade e no cuidado que o adulto deve fornecer durante a infância. Assim é importante perceber que a infância precisa ter um acompanhamento não de repressão ou de imposição do mercado, mas sim de liberdade </w:t>
      </w:r>
      <w:r w:rsidRPr="00771368">
        <w:rPr>
          <w:color w:val="000000"/>
          <w:sz w:val="24"/>
          <w:szCs w:val="24"/>
          <w:u w:val="single"/>
        </w:rPr>
        <w:t>bem regrada</w:t>
      </w:r>
      <w:r w:rsidRPr="00771368">
        <w:rPr>
          <w:color w:val="000000"/>
          <w:sz w:val="24"/>
          <w:szCs w:val="24"/>
        </w:rPr>
        <w:t xml:space="preserve"> logo na infância.</w:t>
      </w:r>
    </w:p>
    <w:p w:rsidR="00D24E61" w:rsidRPr="00771368" w:rsidRDefault="00D24E61" w:rsidP="00D24E61">
      <w:pPr>
        <w:spacing w:line="360" w:lineRule="auto"/>
        <w:ind w:firstLine="709"/>
        <w:jc w:val="both"/>
        <w:rPr>
          <w:sz w:val="24"/>
          <w:szCs w:val="24"/>
        </w:rPr>
      </w:pPr>
      <w:r w:rsidRPr="00771368">
        <w:rPr>
          <w:sz w:val="24"/>
          <w:szCs w:val="24"/>
        </w:rPr>
        <w:t>O grande filósofo Émile  Durkheim</w:t>
      </w:r>
      <w:r w:rsidRPr="00771368">
        <w:rPr>
          <w:sz w:val="24"/>
          <w:szCs w:val="24"/>
          <w:vertAlign w:val="superscript"/>
        </w:rPr>
        <w:footnoteReference w:id="83"/>
      </w:r>
      <w:r w:rsidRPr="00771368">
        <w:rPr>
          <w:sz w:val="24"/>
          <w:szCs w:val="24"/>
        </w:rPr>
        <w:t xml:space="preserve"> em suas obras nos dá parâmetros sobre esse aspecto e afirma que a sociedade  através da  educação influencia e doutrina desde a infância:</w:t>
      </w:r>
    </w:p>
    <w:p w:rsidR="00D24E61" w:rsidRPr="00771368" w:rsidRDefault="00D24E61" w:rsidP="00D24E61">
      <w:pPr>
        <w:tabs>
          <w:tab w:val="left" w:pos="0"/>
        </w:tabs>
        <w:spacing w:line="360" w:lineRule="auto"/>
        <w:ind w:firstLine="709"/>
        <w:jc w:val="both"/>
        <w:rPr>
          <w:i/>
          <w:sz w:val="20"/>
        </w:rPr>
      </w:pPr>
      <w:r w:rsidRPr="00771368">
        <w:rPr>
          <w:sz w:val="20"/>
        </w:rPr>
        <w:t xml:space="preserve"> </w:t>
      </w:r>
      <w:r w:rsidRPr="00771368">
        <w:rPr>
          <w:i/>
          <w:sz w:val="24"/>
        </w:rPr>
        <w:t xml:space="preserve">“[...] a educação é a ação exercida, pelas gerações adultas, sobre as gerações que não se encontrem ainda preparadas para a vida social”, tendo por finalidade “suscitar e desenvolver, na criança, certo número de estados físicos, intelectuais e morais, reclamados pela sociedade política, no seu conjunto, e pelo meio especial a que a criança, particularmente, se destine”. </w:t>
      </w:r>
      <w:r w:rsidRPr="00771368">
        <w:rPr>
          <w:sz w:val="24"/>
        </w:rPr>
        <w:t>(DURKHEIM,  p.32 . 1955)</w:t>
      </w:r>
      <w:r w:rsidRPr="00771368">
        <w:rPr>
          <w:i/>
          <w:sz w:val="24"/>
        </w:rPr>
        <w:t xml:space="preserve"> </w:t>
      </w:r>
    </w:p>
    <w:p w:rsidR="00D24E61" w:rsidRPr="00771368" w:rsidRDefault="00D24E61" w:rsidP="00D24E61">
      <w:pPr>
        <w:spacing w:line="360" w:lineRule="auto"/>
        <w:ind w:firstLine="709"/>
        <w:jc w:val="both"/>
        <w:rPr>
          <w:color w:val="000000"/>
          <w:sz w:val="24"/>
          <w:szCs w:val="24"/>
        </w:rPr>
      </w:pPr>
      <w:r w:rsidRPr="00771368">
        <w:rPr>
          <w:sz w:val="24"/>
          <w:szCs w:val="24"/>
        </w:rPr>
        <w:t xml:space="preserve"> Conforme Jean-Claude Filloux  (2010)</w:t>
      </w:r>
      <w:r w:rsidRPr="00771368">
        <w:rPr>
          <w:rStyle w:val="Refdenotaderodap"/>
          <w:rFonts w:eastAsia="Calibri"/>
          <w:sz w:val="24"/>
          <w:szCs w:val="24"/>
        </w:rPr>
        <w:footnoteReference w:id="84"/>
      </w:r>
      <w:r w:rsidRPr="00771368">
        <w:rPr>
          <w:sz w:val="24"/>
          <w:szCs w:val="24"/>
        </w:rPr>
        <w:t xml:space="preserve"> em sua obra  “Émile Durkheim”,  enfatiza de que a palavra educação tem sido muitas vezes empregada em sentido demasiadamente amplo, para designar o conjunto de influências que, sobre nossa inteligência ou sobre a nossa vontade, exercem os outros homens, ou, em seu conjunto, realiza a natureza:  </w:t>
      </w:r>
      <w:r w:rsidRPr="00771368">
        <w:rPr>
          <w:i/>
          <w:sz w:val="24"/>
          <w:szCs w:val="24"/>
        </w:rPr>
        <w:t>“A educação não é, pois, para a sociedade, senão o meio pelo qual ela prepara, no íntimo das crianças, as condições essenciais da própria existência.”</w:t>
      </w:r>
      <w:r w:rsidRPr="00771368">
        <w:rPr>
          <w:color w:val="000000"/>
          <w:sz w:val="24"/>
          <w:szCs w:val="24"/>
        </w:rPr>
        <w:t xml:space="preserve"> </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Segundo Içami Tiba (1996), existe outro fator que deve ser abordado que é o adulto envolvido com as novas tecnologias e seu trato com as crianças. </w:t>
      </w:r>
    </w:p>
    <w:p w:rsidR="00D24E61" w:rsidRPr="00771368" w:rsidRDefault="00D24E61" w:rsidP="00D24E61">
      <w:pPr>
        <w:ind w:left="2268"/>
        <w:jc w:val="both"/>
        <w:rPr>
          <w:color w:val="000000"/>
          <w:sz w:val="20"/>
          <w:szCs w:val="24"/>
        </w:rPr>
      </w:pPr>
      <w:r w:rsidRPr="00771368">
        <w:rPr>
          <w:color w:val="000000"/>
          <w:sz w:val="24"/>
          <w:szCs w:val="24"/>
        </w:rPr>
        <w:t>“</w:t>
      </w:r>
      <w:r w:rsidRPr="00771368">
        <w:rPr>
          <w:color w:val="000000"/>
          <w:sz w:val="20"/>
          <w:szCs w:val="24"/>
        </w:rPr>
        <w:t>Quando o pai chega em casa, o que ele mais quer é paz para fazer o que não pôde durante o dia de trabalho: ver o noticiário da TV, acessar a Internet etc. E o que o filho mais deseja é brincar com o pai. O filho, em busca de companhia, faz de tudo para chamar a atenção do pai. As crianças estabelecem com os adultos uma relação em forma de túnel: elas ficam de um lado, o adulto de outro. Se o pai der atenção para outra pessoa ou mesmo para o jornal, o filho sente-se excluído. É como se o pai se instalasse numa das pontas do corredor, colocasse a televisão ou o computador no meio, e o filho ficasse na outra ponta. A relação com o filho foi bloqueada.” (TIBA. P.69. 1996).</w:t>
      </w:r>
    </w:p>
    <w:p w:rsidR="00D24E61" w:rsidRPr="00771368" w:rsidRDefault="00D24E61" w:rsidP="00D24E61">
      <w:pPr>
        <w:spacing w:line="360" w:lineRule="auto"/>
        <w:ind w:left="2268"/>
        <w:jc w:val="both"/>
        <w:rPr>
          <w:color w:val="000000"/>
          <w:sz w:val="20"/>
          <w:szCs w:val="24"/>
        </w:rPr>
      </w:pP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Conforme Içami Tiba, através da convivência, os filhos absorvem o comportamento dos pais. É o “como-somos” que se transmite gratuitamente, sem intenção educacional. </w:t>
      </w:r>
    </w:p>
    <w:p w:rsidR="00D24E61" w:rsidRPr="00771368" w:rsidRDefault="00D24E61" w:rsidP="00D24E61">
      <w:pPr>
        <w:rPr>
          <w:i/>
          <w:sz w:val="24"/>
          <w:szCs w:val="28"/>
        </w:rPr>
      </w:pPr>
    </w:p>
    <w:p w:rsidR="00D24E61" w:rsidRPr="00771368" w:rsidRDefault="00D24E61" w:rsidP="00D24E61">
      <w:pPr>
        <w:rPr>
          <w:sz w:val="24"/>
          <w:szCs w:val="28"/>
        </w:rPr>
      </w:pPr>
      <w:r w:rsidRPr="00771368">
        <w:rPr>
          <w:i/>
          <w:sz w:val="24"/>
          <w:szCs w:val="28"/>
        </w:rPr>
        <w:t xml:space="preserve">“A Grandeza do ser humano não esta no quanto ele sabe, mas no quanto ele tem consciência  que não sabe. O destino não é frequentemente inevitável, mas uma questão de escolha. Quem faz escolha, escreve sua própria história, constrói seus próprios mundos” </w:t>
      </w:r>
      <w:r w:rsidRPr="00771368">
        <w:rPr>
          <w:rStyle w:val="Refdenotaderodap"/>
          <w:rFonts w:eastAsia="Calibri"/>
          <w:i/>
          <w:sz w:val="24"/>
          <w:szCs w:val="28"/>
        </w:rPr>
        <w:footnoteReference w:id="85"/>
      </w:r>
      <w:r w:rsidRPr="00771368">
        <w:rPr>
          <w:i/>
          <w:sz w:val="24"/>
          <w:szCs w:val="28"/>
        </w:rPr>
        <w:t xml:space="preserve">. </w:t>
      </w:r>
      <w:r w:rsidRPr="00771368">
        <w:rPr>
          <w:sz w:val="24"/>
          <w:szCs w:val="28"/>
        </w:rPr>
        <w:t xml:space="preserve">(CURY. 2007). </w:t>
      </w:r>
    </w:p>
    <w:p w:rsidR="00D24E61" w:rsidRPr="00771368" w:rsidRDefault="00D24E61" w:rsidP="00D24E61">
      <w:pPr>
        <w:autoSpaceDE w:val="0"/>
        <w:autoSpaceDN w:val="0"/>
        <w:adjustRightInd w:val="0"/>
        <w:jc w:val="center"/>
        <w:rPr>
          <w:b/>
          <w:bCs/>
          <w:sz w:val="28"/>
          <w:szCs w:val="28"/>
        </w:rPr>
      </w:pPr>
    </w:p>
    <w:p w:rsidR="00D24E61" w:rsidRPr="00771368" w:rsidRDefault="00D24E61" w:rsidP="00D24E61">
      <w:pPr>
        <w:autoSpaceDE w:val="0"/>
        <w:autoSpaceDN w:val="0"/>
        <w:adjustRightInd w:val="0"/>
        <w:spacing w:line="360" w:lineRule="auto"/>
        <w:ind w:firstLine="709"/>
        <w:jc w:val="both"/>
        <w:rPr>
          <w:b/>
          <w:sz w:val="24"/>
          <w:szCs w:val="24"/>
        </w:rPr>
      </w:pPr>
    </w:p>
    <w:p w:rsidR="00D24E61" w:rsidRPr="00771368" w:rsidRDefault="00D24E61" w:rsidP="00D24E61">
      <w:pPr>
        <w:autoSpaceDE w:val="0"/>
        <w:autoSpaceDN w:val="0"/>
        <w:adjustRightInd w:val="0"/>
        <w:spacing w:line="360" w:lineRule="auto"/>
        <w:ind w:firstLine="709"/>
        <w:jc w:val="both"/>
        <w:rPr>
          <w:b/>
          <w:sz w:val="24"/>
          <w:szCs w:val="24"/>
        </w:rPr>
      </w:pPr>
      <w:r w:rsidRPr="00771368">
        <w:rPr>
          <w:b/>
          <w:sz w:val="24"/>
          <w:szCs w:val="24"/>
        </w:rPr>
        <w:t>INFLUENCIAS NA EDUCAÇÃO DAS ESCOLAS :</w:t>
      </w:r>
    </w:p>
    <w:p w:rsidR="00D24E61" w:rsidRPr="00771368" w:rsidRDefault="00D24E61" w:rsidP="00D24E61">
      <w:pPr>
        <w:spacing w:line="360" w:lineRule="auto"/>
        <w:ind w:firstLine="709"/>
        <w:jc w:val="both"/>
        <w:rPr>
          <w:sz w:val="24"/>
          <w:szCs w:val="24"/>
        </w:rPr>
      </w:pPr>
    </w:p>
    <w:p w:rsidR="00D24E61" w:rsidRPr="00771368" w:rsidRDefault="00D24E61" w:rsidP="00D24E61">
      <w:pPr>
        <w:spacing w:line="360" w:lineRule="auto"/>
        <w:ind w:firstLine="709"/>
        <w:jc w:val="both"/>
        <w:rPr>
          <w:sz w:val="24"/>
          <w:szCs w:val="24"/>
        </w:rPr>
      </w:pPr>
      <w:r w:rsidRPr="00771368">
        <w:rPr>
          <w:sz w:val="24"/>
          <w:szCs w:val="24"/>
        </w:rPr>
        <w:t xml:space="preserve">Ao se abordar infância e adolescência e relacionarmos o tema ao Gênero e Sexualidade, percebemos o quanto complexo e delicado é o assunto, onde toda influencia psicossocial do jovem, pode  ocasionar a evasão escolar, o bullying, a  pedofilia e etc. </w:t>
      </w:r>
    </w:p>
    <w:p w:rsidR="00D24E61" w:rsidRPr="00771368" w:rsidRDefault="00D24E61" w:rsidP="00D24E61">
      <w:pPr>
        <w:spacing w:line="360" w:lineRule="auto"/>
        <w:ind w:firstLine="709"/>
        <w:jc w:val="both"/>
        <w:rPr>
          <w:color w:val="000000"/>
          <w:sz w:val="24"/>
          <w:szCs w:val="24"/>
        </w:rPr>
      </w:pPr>
      <w:r w:rsidRPr="00771368">
        <w:rPr>
          <w:sz w:val="24"/>
          <w:szCs w:val="24"/>
        </w:rPr>
        <w:t xml:space="preserve">Quando falamos em adolescentes temos de levar em conta  que a  legislação brasileira considera  adolescência, </w:t>
      </w:r>
      <w:r w:rsidRPr="00771368">
        <w:rPr>
          <w:b/>
          <w:bCs/>
          <w:i/>
          <w:iCs/>
          <w:sz w:val="24"/>
          <w:szCs w:val="24"/>
        </w:rPr>
        <w:t>entre os doze e os dezoito anos</w:t>
      </w:r>
      <w:r w:rsidRPr="00771368">
        <w:rPr>
          <w:sz w:val="24"/>
          <w:szCs w:val="24"/>
        </w:rPr>
        <w:t xml:space="preserve"> e passíveis apenas da aplicação de medidas protetoras quando cometem infração (delinquência) ou se encontram em situação de risco, de acordo com o </w:t>
      </w:r>
      <w:r w:rsidRPr="00771368">
        <w:rPr>
          <w:bCs/>
          <w:iCs/>
          <w:sz w:val="24"/>
          <w:szCs w:val="24"/>
        </w:rPr>
        <w:t>art.</w:t>
      </w:r>
      <w:r w:rsidRPr="00771368">
        <w:rPr>
          <w:sz w:val="24"/>
          <w:szCs w:val="24"/>
        </w:rPr>
        <w:t xml:space="preserve"> </w:t>
      </w:r>
      <w:r w:rsidRPr="00771368">
        <w:rPr>
          <w:bCs/>
          <w:iCs/>
          <w:sz w:val="24"/>
          <w:szCs w:val="24"/>
        </w:rPr>
        <w:t>112</w:t>
      </w:r>
      <w:r w:rsidRPr="00771368">
        <w:rPr>
          <w:b/>
          <w:bCs/>
          <w:i/>
          <w:iCs/>
          <w:sz w:val="24"/>
          <w:szCs w:val="24"/>
        </w:rPr>
        <w:t xml:space="preserve"> </w:t>
      </w:r>
      <w:r w:rsidRPr="00771368">
        <w:rPr>
          <w:sz w:val="24"/>
          <w:szCs w:val="24"/>
        </w:rPr>
        <w:t>da Lei n. 8069/90</w:t>
      </w:r>
      <w:r w:rsidRPr="00771368">
        <w:rPr>
          <w:b/>
          <w:bCs/>
          <w:i/>
          <w:iCs/>
          <w:sz w:val="24"/>
          <w:szCs w:val="24"/>
        </w:rPr>
        <w:t xml:space="preserve"> </w:t>
      </w:r>
      <w:r w:rsidRPr="00771368">
        <w:rPr>
          <w:bCs/>
          <w:iCs/>
          <w:sz w:val="24"/>
          <w:szCs w:val="24"/>
        </w:rPr>
        <w:t>do</w:t>
      </w:r>
      <w:r w:rsidRPr="00771368">
        <w:rPr>
          <w:b/>
          <w:bCs/>
          <w:i/>
          <w:iCs/>
          <w:sz w:val="24"/>
          <w:szCs w:val="24"/>
        </w:rPr>
        <w:t xml:space="preserve"> </w:t>
      </w:r>
      <w:r w:rsidRPr="00771368">
        <w:rPr>
          <w:iCs/>
          <w:sz w:val="24"/>
          <w:szCs w:val="24"/>
        </w:rPr>
        <w:t>Estatuto da Criança e do Adolescente</w:t>
      </w:r>
      <w:r w:rsidRPr="00771368">
        <w:rPr>
          <w:sz w:val="24"/>
          <w:szCs w:val="24"/>
        </w:rPr>
        <w:t>.</w:t>
      </w:r>
      <w:r w:rsidRPr="00771368">
        <w:rPr>
          <w:color w:val="000000"/>
          <w:sz w:val="24"/>
          <w:szCs w:val="24"/>
        </w:rPr>
        <w:t xml:space="preserve"> </w:t>
      </w:r>
    </w:p>
    <w:p w:rsidR="00D24E61" w:rsidRPr="00771368" w:rsidRDefault="00D24E61" w:rsidP="00D24E61">
      <w:pPr>
        <w:pStyle w:val="Default"/>
        <w:spacing w:line="360" w:lineRule="auto"/>
        <w:ind w:firstLine="709"/>
        <w:jc w:val="both"/>
      </w:pPr>
      <w:r w:rsidRPr="00771368">
        <w:t>Em uma Pesquisa da UNESCO (2004) mostra que as meninas entre 15 a 17 anos abandonam mais a escola (56%) do que os meninos. Isto se deve a três principais fatores: a necessidade de trabalhar, as dificuldades no aprendizado e a gravidez na adolescência.</w:t>
      </w:r>
    </w:p>
    <w:p w:rsidR="00D24E61" w:rsidRPr="00771368" w:rsidRDefault="00D24E61" w:rsidP="00D24E61">
      <w:pPr>
        <w:autoSpaceDE w:val="0"/>
        <w:autoSpaceDN w:val="0"/>
        <w:adjustRightInd w:val="0"/>
        <w:spacing w:line="360" w:lineRule="auto"/>
        <w:ind w:firstLine="709"/>
        <w:jc w:val="both"/>
        <w:rPr>
          <w:color w:val="000000"/>
          <w:sz w:val="24"/>
          <w:szCs w:val="24"/>
        </w:rPr>
      </w:pPr>
      <w:r w:rsidRPr="00771368">
        <w:rPr>
          <w:color w:val="000000"/>
          <w:sz w:val="24"/>
          <w:szCs w:val="24"/>
        </w:rPr>
        <w:t>Se atentarmos bem aos dados acima, são apenas jovens ainda em formação de seu “eu” onde uma gravidez indesejada ou o fato de ser o “varão” da casa, ter de trabalhar para o sustento da família; podemos sem temor afirmar que a questão é cultural atentando que não ha muito tempo atrás ainda no século XX  uma das justificativas para a não às mulheres não terem direito ao voto baseava-se na ideia de que elas possuíam um cérebro menor e menos desenvolvido que o dos homens.</w:t>
      </w:r>
    </w:p>
    <w:p w:rsidR="00D24E61" w:rsidRPr="00771368" w:rsidRDefault="00D24E61" w:rsidP="00D24E61">
      <w:pPr>
        <w:autoSpaceDE w:val="0"/>
        <w:autoSpaceDN w:val="0"/>
        <w:adjustRightInd w:val="0"/>
        <w:spacing w:line="360" w:lineRule="auto"/>
        <w:ind w:firstLine="709"/>
        <w:jc w:val="both"/>
        <w:rPr>
          <w:color w:val="000000"/>
          <w:sz w:val="24"/>
          <w:szCs w:val="24"/>
        </w:rPr>
      </w:pPr>
      <w:r w:rsidRPr="00771368">
        <w:rPr>
          <w:color w:val="000000"/>
          <w:sz w:val="24"/>
          <w:szCs w:val="24"/>
        </w:rPr>
        <w:t>Essa questão esta implícita no cotidiano a qual evidencia  uma espécie de sinergia entre atitudes e discursos racistas, sexistas e homofóbicos. Um exemplo talvez banal: se um adolescente ou aluno manifesta qualquer sinal de homossexualidade, logo aparece alguém o chamando de “menininha” ou “mariquinha”.</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Sobre esse prisma devemos analisar a escola como instituição formal de educação e também como lugar de espaços sociais, que se entrelaçam o simbólico, o imaginário, o tempo, o espaço, a troca, a violência, e a sexualidade está sempre ali, latente e pulsante, manifestando-se  incessantemente, pois não há como separá-la, nem definir onde pode e deve aparecer.</w:t>
      </w:r>
    </w:p>
    <w:p w:rsidR="00D24E61" w:rsidRPr="00771368" w:rsidRDefault="00D24E61" w:rsidP="00D24E61">
      <w:pPr>
        <w:autoSpaceDE w:val="0"/>
        <w:autoSpaceDN w:val="0"/>
        <w:adjustRightInd w:val="0"/>
        <w:spacing w:line="360" w:lineRule="auto"/>
        <w:ind w:firstLine="709"/>
        <w:jc w:val="both"/>
        <w:rPr>
          <w:color w:val="231F20"/>
          <w:sz w:val="24"/>
          <w:szCs w:val="24"/>
        </w:rPr>
      </w:pPr>
      <w:r w:rsidRPr="00771368">
        <w:rPr>
          <w:sz w:val="24"/>
          <w:szCs w:val="24"/>
        </w:rPr>
        <w:t xml:space="preserve">Até o ano de 2004 em nosso país, havia uma insuficiência de políticas públicas, de programas e ações de saúde e educação que abarquem com exclusividade o estrato populacional que é definido como adolescência e juventude. </w:t>
      </w:r>
      <w:r w:rsidRPr="00771368">
        <w:rPr>
          <w:color w:val="231F20"/>
          <w:sz w:val="24"/>
          <w:szCs w:val="24"/>
        </w:rPr>
        <w:t>Em 2004, o Governo Federal brasileiro, por meio da Secretaria Especial de Políticas para as Mulheres (SPM) estabeleceu uma articulação institucional com o British Council,</w:t>
      </w:r>
      <w:r w:rsidRPr="00771368">
        <w:rPr>
          <w:rStyle w:val="Refdenotaderodap"/>
          <w:rFonts w:eastAsia="Calibri"/>
          <w:color w:val="231F20"/>
          <w:sz w:val="24"/>
          <w:szCs w:val="24"/>
        </w:rPr>
        <w:footnoteReference w:id="86"/>
      </w:r>
      <w:r w:rsidRPr="00771368">
        <w:rPr>
          <w:color w:val="231F20"/>
          <w:sz w:val="24"/>
          <w:szCs w:val="24"/>
        </w:rPr>
        <w:t xml:space="preserve"> visando à elaboração de um projeto de formação de profissionais de educação tendo como foco a temática de gênero. No mesmo ano, o debate se ampliou com a inclusão das temáticas de discriminação étnico-racial e da diversidade de orientação sexual à medida que o MEC e a Seppir-PR foram incorporados ao projeto.</w:t>
      </w:r>
    </w:p>
    <w:p w:rsidR="00D24E61" w:rsidRPr="00771368" w:rsidRDefault="00D24E61" w:rsidP="00D24E61">
      <w:pPr>
        <w:autoSpaceDE w:val="0"/>
        <w:autoSpaceDN w:val="0"/>
        <w:adjustRightInd w:val="0"/>
        <w:spacing w:line="360" w:lineRule="auto"/>
        <w:ind w:firstLine="709"/>
        <w:jc w:val="both"/>
        <w:rPr>
          <w:color w:val="231F20"/>
          <w:sz w:val="24"/>
          <w:szCs w:val="24"/>
        </w:rPr>
      </w:pPr>
      <w:r w:rsidRPr="00771368">
        <w:rPr>
          <w:color w:val="231F20"/>
          <w:sz w:val="24"/>
          <w:szCs w:val="24"/>
        </w:rPr>
        <w:t>Em 2005 os coordenadores do projeto no âmbito do Governo Federal, liderados pela SPM, convidaram o Centro Latino-Americano em sexualidade e direitos humanos o   “CLAM” para ingressar no projeto com a missão de desenvolver um curso de educação a distância que tratasse conjuntamente as temáticas de gênero, raça/etnia e sexualidade. O convite representou uma confluência de interesses, uma vez que o Clam já vinha promovendo debates e seminários que abordavam transversalmente esses temas.</w:t>
      </w:r>
    </w:p>
    <w:p w:rsidR="00D24E61" w:rsidRPr="00771368" w:rsidRDefault="00D24E61" w:rsidP="00D24E61">
      <w:pPr>
        <w:autoSpaceDE w:val="0"/>
        <w:autoSpaceDN w:val="0"/>
        <w:adjustRightInd w:val="0"/>
        <w:spacing w:line="360" w:lineRule="auto"/>
        <w:ind w:firstLine="709"/>
        <w:jc w:val="both"/>
        <w:rPr>
          <w:color w:val="231F20"/>
          <w:sz w:val="24"/>
          <w:szCs w:val="24"/>
        </w:rPr>
      </w:pPr>
      <w:r w:rsidRPr="00771368">
        <w:rPr>
          <w:color w:val="231F20"/>
          <w:sz w:val="24"/>
          <w:szCs w:val="24"/>
        </w:rPr>
        <w:t xml:space="preserve">Nesses cursos as  principais  abordagens são : </w:t>
      </w:r>
    </w:p>
    <w:p w:rsidR="00D24E61" w:rsidRPr="00771368" w:rsidRDefault="00D24E61" w:rsidP="00FA0ABA">
      <w:pPr>
        <w:pStyle w:val="PargrafodaLista"/>
        <w:numPr>
          <w:ilvl w:val="0"/>
          <w:numId w:val="37"/>
        </w:numPr>
        <w:autoSpaceDE w:val="0"/>
        <w:autoSpaceDN w:val="0"/>
        <w:adjustRightInd w:val="0"/>
        <w:spacing w:after="0" w:line="360" w:lineRule="auto"/>
        <w:ind w:left="0" w:firstLine="709"/>
        <w:rPr>
          <w:rFonts w:ascii="Times New Roman" w:hAnsi="Times New Roman"/>
          <w:color w:val="231F20"/>
          <w:sz w:val="24"/>
          <w:szCs w:val="24"/>
        </w:rPr>
      </w:pPr>
      <w:r w:rsidRPr="00771368">
        <w:rPr>
          <w:rFonts w:ascii="Times New Roman" w:hAnsi="Times New Roman"/>
          <w:color w:val="231F20"/>
          <w:sz w:val="24"/>
          <w:szCs w:val="24"/>
        </w:rPr>
        <w:t xml:space="preserve"> Diferenças de gênero, de orientação sexual, de raça/ etnia devem ser respeitadas e valorizadas, não devendo ser utilizadas como critério de exclusão social e política;</w:t>
      </w:r>
    </w:p>
    <w:p w:rsidR="00D24E61" w:rsidRPr="00771368" w:rsidRDefault="00D24E61" w:rsidP="00FA0ABA">
      <w:pPr>
        <w:pStyle w:val="PargrafodaLista"/>
        <w:numPr>
          <w:ilvl w:val="0"/>
          <w:numId w:val="37"/>
        </w:numPr>
        <w:autoSpaceDE w:val="0"/>
        <w:autoSpaceDN w:val="0"/>
        <w:adjustRightInd w:val="0"/>
        <w:spacing w:after="0" w:line="360" w:lineRule="auto"/>
        <w:ind w:left="0" w:firstLine="709"/>
        <w:rPr>
          <w:rFonts w:ascii="Times New Roman" w:hAnsi="Times New Roman"/>
          <w:color w:val="231F20"/>
          <w:sz w:val="24"/>
          <w:szCs w:val="24"/>
        </w:rPr>
      </w:pPr>
      <w:r w:rsidRPr="00771368">
        <w:rPr>
          <w:rFonts w:ascii="Times New Roman" w:hAnsi="Times New Roman"/>
          <w:color w:val="231F20"/>
          <w:sz w:val="24"/>
          <w:szCs w:val="24"/>
        </w:rPr>
        <w:t>Discriminações baseadas em raça/etnia, gênero e sexualidade estão imbricadas na vida social e na história de diferentes sociedades, necessitando por isso uma abordagem conjunta e transversal;</w:t>
      </w:r>
    </w:p>
    <w:p w:rsidR="00D24E61" w:rsidRPr="00771368" w:rsidRDefault="00D24E61" w:rsidP="00FA0ABA">
      <w:pPr>
        <w:pStyle w:val="PargrafodaLista"/>
        <w:numPr>
          <w:ilvl w:val="0"/>
          <w:numId w:val="38"/>
        </w:numPr>
        <w:autoSpaceDE w:val="0"/>
        <w:autoSpaceDN w:val="0"/>
        <w:adjustRightInd w:val="0"/>
        <w:spacing w:after="0" w:line="360" w:lineRule="auto"/>
        <w:ind w:left="0" w:firstLine="709"/>
        <w:rPr>
          <w:rFonts w:ascii="Times New Roman" w:hAnsi="Times New Roman"/>
          <w:color w:val="231F20"/>
          <w:sz w:val="24"/>
          <w:szCs w:val="24"/>
        </w:rPr>
      </w:pPr>
      <w:r w:rsidRPr="00771368">
        <w:rPr>
          <w:rFonts w:ascii="Times New Roman" w:hAnsi="Times New Roman"/>
          <w:color w:val="231F20"/>
          <w:sz w:val="24"/>
          <w:szCs w:val="24"/>
        </w:rPr>
        <w:t>A escola, embora tenha se constituído historicamente como espaço de reprodução de preconceitos, é local estratégico para o processo de transformação e deve cumprir sua missão de formar pessoas dotadas de espírito crítico;</w:t>
      </w:r>
    </w:p>
    <w:p w:rsidR="00D24E61" w:rsidRPr="00771368" w:rsidRDefault="00D24E61" w:rsidP="00FA0ABA">
      <w:pPr>
        <w:pStyle w:val="PargrafodaLista"/>
        <w:numPr>
          <w:ilvl w:val="0"/>
          <w:numId w:val="38"/>
        </w:numPr>
        <w:autoSpaceDE w:val="0"/>
        <w:autoSpaceDN w:val="0"/>
        <w:adjustRightInd w:val="0"/>
        <w:spacing w:after="0" w:line="360" w:lineRule="auto"/>
        <w:ind w:left="0" w:firstLine="709"/>
        <w:rPr>
          <w:rFonts w:ascii="Times New Roman" w:hAnsi="Times New Roman"/>
          <w:color w:val="000000"/>
          <w:sz w:val="24"/>
          <w:szCs w:val="24"/>
        </w:rPr>
      </w:pPr>
      <w:r w:rsidRPr="00771368">
        <w:rPr>
          <w:rFonts w:ascii="Times New Roman" w:hAnsi="Times New Roman"/>
          <w:color w:val="231F20"/>
          <w:sz w:val="24"/>
          <w:szCs w:val="24"/>
        </w:rPr>
        <w:t>O estatuto das diferenças de gênero, de raça e de orientação sexual é um debate aberto envolvendo delicadas questões morais, sendo que o curso não deve, portanto, pretender divulgar a “verdade” sobre tais diferenças pela adoção de qualquer tipo de cartilha ou doutrina. Nesse sentido, o fundamental é propiciar que os alunos e as alunas compreendam as implicações éticas das diferentes posições em jogo e construam sua própria opinião nesse debate.</w:t>
      </w:r>
    </w:p>
    <w:p w:rsidR="00D24E61" w:rsidRPr="00771368" w:rsidRDefault="00D24E61" w:rsidP="00D24E61">
      <w:pPr>
        <w:autoSpaceDE w:val="0"/>
        <w:autoSpaceDN w:val="0"/>
        <w:adjustRightInd w:val="0"/>
        <w:spacing w:line="360" w:lineRule="auto"/>
        <w:ind w:firstLine="709"/>
        <w:jc w:val="both"/>
        <w:rPr>
          <w:sz w:val="24"/>
          <w:szCs w:val="24"/>
        </w:rPr>
      </w:pPr>
      <w:r w:rsidRPr="00771368">
        <w:rPr>
          <w:color w:val="000000"/>
          <w:sz w:val="24"/>
          <w:szCs w:val="24"/>
        </w:rPr>
        <w:t xml:space="preserve">Todavia muito embora esses cursos tenham méritos, a </w:t>
      </w:r>
      <w:r w:rsidRPr="00771368">
        <w:rPr>
          <w:b/>
          <w:color w:val="000000"/>
          <w:sz w:val="24"/>
          <w:szCs w:val="24"/>
        </w:rPr>
        <w:t>realidade</w:t>
      </w:r>
      <w:r w:rsidRPr="00771368">
        <w:rPr>
          <w:color w:val="000000"/>
          <w:sz w:val="24"/>
          <w:szCs w:val="24"/>
        </w:rPr>
        <w:t>, é que os cursos de formação de professores não ofertam em sua grade curricular uma disciplina regular direcionada ao estudo da sexualidade ou da</w:t>
      </w:r>
      <w:r w:rsidRPr="00771368">
        <w:rPr>
          <w:sz w:val="24"/>
          <w:szCs w:val="24"/>
        </w:rPr>
        <w:t xml:space="preserve">  educação sexual. O que ocorre em algumas situações são atividades extensionistas sob a  forma de cursos como os expostos acima.</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De acordo com a lei de Diretrizes e Bases, número 9394 de 20 de dezembro de 1996</w:t>
      </w:r>
      <w:r w:rsidRPr="00771368">
        <w:rPr>
          <w:rStyle w:val="Refdenotaderodap"/>
          <w:rFonts w:eastAsia="Calibri"/>
          <w:sz w:val="24"/>
          <w:szCs w:val="24"/>
        </w:rPr>
        <w:footnoteReference w:id="87"/>
      </w:r>
      <w:r w:rsidRPr="00771368">
        <w:rPr>
          <w:sz w:val="24"/>
          <w:szCs w:val="24"/>
        </w:rPr>
        <w:t>, propõe orientações gerais sobre o currículo básico, entre essas a Orientação Sexual que de acordo com os Parâmetros Curriculares Nacionais, esse tema transversal busca considerar a sexualidade como algo inerente à vida e à saúde. Relaciona-se com o direito ao prazer e ao ‘exercício da sexualidade com responsabilidade’, focando em doenças sexualmente transmissíveis e deixando de abordar todo o fator politico social, e individual de cada jovem, não valorizando suas histórias de vida e singularidades.</w:t>
      </w:r>
    </w:p>
    <w:p w:rsidR="00D24E61" w:rsidRPr="00771368" w:rsidRDefault="00D24E61" w:rsidP="00D24E61">
      <w:pPr>
        <w:autoSpaceDE w:val="0"/>
        <w:autoSpaceDN w:val="0"/>
        <w:adjustRightInd w:val="0"/>
        <w:ind w:firstLine="709"/>
        <w:jc w:val="both"/>
        <w:rPr>
          <w:sz w:val="24"/>
          <w:szCs w:val="24"/>
        </w:rPr>
      </w:pPr>
    </w:p>
    <w:p w:rsidR="00D24E61" w:rsidRPr="00771368" w:rsidRDefault="00D24E61" w:rsidP="00D24E61">
      <w:pPr>
        <w:autoSpaceDE w:val="0"/>
        <w:autoSpaceDN w:val="0"/>
        <w:adjustRightInd w:val="0"/>
        <w:spacing w:line="360" w:lineRule="auto"/>
        <w:ind w:left="2268"/>
        <w:jc w:val="both"/>
        <w:rPr>
          <w:sz w:val="20"/>
          <w:szCs w:val="20"/>
        </w:rPr>
      </w:pPr>
      <w:r w:rsidRPr="00771368">
        <w:rPr>
          <w:sz w:val="20"/>
          <w:szCs w:val="20"/>
        </w:rPr>
        <w:t>Políticas sócio educacionais e práticas pedagógicas inclusivas, voltadas a garantir a permanência, a formação de qualidade, a igualdade de oportunidades e o reconhecimento das diversas orientações sexuais e identidades de gênero [e étnico-raciais], contribuem para a melhoria do contexto educacional e apresentam um potencial transformador que ultrapassa os limites da escola, em favor da consolidação da democracia (Conferência Nacional de LGBT</w:t>
      </w:r>
      <w:r w:rsidRPr="00771368">
        <w:rPr>
          <w:rStyle w:val="Refdenotaderodap"/>
          <w:rFonts w:eastAsia="Calibri"/>
        </w:rPr>
        <w:footnoteReference w:id="88"/>
      </w:r>
      <w:r w:rsidRPr="00771368">
        <w:rPr>
          <w:sz w:val="20"/>
          <w:szCs w:val="20"/>
        </w:rPr>
        <w:t xml:space="preserve"> . 2008)</w:t>
      </w:r>
      <w:r w:rsidRPr="00771368">
        <w:rPr>
          <w:rStyle w:val="Refdenotaderodap"/>
          <w:rFonts w:eastAsia="Calibri"/>
        </w:rPr>
        <w:footnoteReference w:id="89"/>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Estudos de Ana Célia da Silva (2005) mostram que apesar da diversidade cultural registrados nos documentos oficiais, porque os bancos escolares são frequentados por alunos de diferente origem étnico-raciais e gênero, os conteúdos programáticos dos livros didáticos e dos currículos escolares apresentam ainda como padrão o homem, branco e heterossexual; conforme a autora nos livros didáticos, nos currículos escolares e nas falas dos professores, ainda há uma invisibilidade ou a visibilidade subalterna de diversos grupos sociais, como os negros, os indígenas e as mulheres. O preconceito instituído e manifestado na prática pedagógica pode levar tais grupos a uma auto rejeição e rejeição ao seu grupo social, comprometendo os processos constitutivos de sua identidade(s).</w:t>
      </w:r>
    </w:p>
    <w:p w:rsidR="00D24E61" w:rsidRPr="00771368" w:rsidRDefault="00D24E61" w:rsidP="00D24E61">
      <w:pPr>
        <w:spacing w:line="360" w:lineRule="auto"/>
        <w:ind w:firstLine="709"/>
        <w:jc w:val="both"/>
        <w:rPr>
          <w:sz w:val="24"/>
          <w:szCs w:val="24"/>
        </w:rPr>
      </w:pPr>
      <w:r w:rsidRPr="00771368">
        <w:rPr>
          <w:sz w:val="24"/>
          <w:szCs w:val="24"/>
        </w:rPr>
        <w:t xml:space="preserve">Conforme Paterra e Rodrigues (2013), seria hipocrisia  crer em um escola perfeita que assume o papel da inclusão sem as arestas das dificuldades financeiras, politicas e sociais, porém conforme os autores o envolvimento do aluno no processo de aprendizagem , evidenciando  seu papel ativo, sua motivação para investigar, explorar e compartilhar suas descobertas frente ao grupo, contribuem  significativamente na aquisição de novos  conhecimentos, abre  assim precedentes para o aluno </w:t>
      </w:r>
      <w:r w:rsidRPr="00771368">
        <w:rPr>
          <w:sz w:val="24"/>
          <w:szCs w:val="24"/>
          <w:u w:val="single"/>
        </w:rPr>
        <w:t>incluir-se</w:t>
      </w:r>
      <w:r w:rsidRPr="00771368">
        <w:rPr>
          <w:sz w:val="24"/>
          <w:szCs w:val="24"/>
        </w:rPr>
        <w:t xml:space="preserve"> socialmente.</w:t>
      </w:r>
    </w:p>
    <w:p w:rsidR="00D24E61" w:rsidRPr="00771368" w:rsidRDefault="00D24E61" w:rsidP="00D24E61">
      <w:pPr>
        <w:autoSpaceDE w:val="0"/>
        <w:autoSpaceDN w:val="0"/>
        <w:adjustRightInd w:val="0"/>
        <w:rPr>
          <w:sz w:val="20"/>
          <w:szCs w:val="20"/>
        </w:rPr>
      </w:pPr>
    </w:p>
    <w:p w:rsidR="00D24E61" w:rsidRPr="00771368" w:rsidRDefault="00D24E61" w:rsidP="00D24E61">
      <w:pPr>
        <w:autoSpaceDE w:val="0"/>
        <w:autoSpaceDN w:val="0"/>
        <w:adjustRightInd w:val="0"/>
        <w:ind w:left="2268"/>
        <w:jc w:val="both"/>
        <w:rPr>
          <w:sz w:val="20"/>
          <w:szCs w:val="20"/>
        </w:rPr>
      </w:pPr>
      <w:r w:rsidRPr="00771368">
        <w:rPr>
          <w:sz w:val="20"/>
          <w:szCs w:val="20"/>
        </w:rPr>
        <w:t>Através da ação educativa o meio social exerce influencia sobre os indivíduos e estes, ao assimilarem essas influencias, tornam-se capazes de estabelecer uma relação ativa e transformadora em relação ao meio social. (PATERRA e RODRIGUES. P.2.2013).</w:t>
      </w:r>
    </w:p>
    <w:p w:rsidR="00D24E61" w:rsidRPr="00771368" w:rsidRDefault="00D24E61" w:rsidP="00D24E61">
      <w:pPr>
        <w:autoSpaceDE w:val="0"/>
        <w:autoSpaceDN w:val="0"/>
        <w:adjustRightInd w:val="0"/>
        <w:jc w:val="center"/>
        <w:rPr>
          <w:sz w:val="28"/>
          <w:szCs w:val="28"/>
        </w:rPr>
      </w:pPr>
    </w:p>
    <w:p w:rsidR="00D24E61" w:rsidRPr="00771368" w:rsidRDefault="00D24E61" w:rsidP="00D24E61">
      <w:pPr>
        <w:spacing w:line="360" w:lineRule="auto"/>
        <w:jc w:val="both"/>
        <w:rPr>
          <w:sz w:val="24"/>
          <w:szCs w:val="24"/>
        </w:rPr>
      </w:pPr>
      <w:r w:rsidRPr="00771368">
        <w:rPr>
          <w:sz w:val="24"/>
          <w:szCs w:val="24"/>
        </w:rPr>
        <w:t>Wilson H. Aragão</w:t>
      </w:r>
      <w:r w:rsidRPr="00771368">
        <w:rPr>
          <w:sz w:val="24"/>
          <w:szCs w:val="24"/>
          <w:vertAlign w:val="superscript"/>
        </w:rPr>
        <w:footnoteReference w:id="90"/>
      </w:r>
      <w:r w:rsidRPr="00771368">
        <w:rPr>
          <w:sz w:val="24"/>
          <w:szCs w:val="24"/>
        </w:rPr>
        <w:t>, aborda brilhantemente em seu artigo “Perspectivas das púbicas para educação básica”, que entre diversas informações pertinentes que foi  graças a revolução Francesa no Século XVIII onde surge os “Direitos do Homem e do Cidadão” (1789) que se registrou que “ a  instrução  é necessidade de todos”</w:t>
      </w:r>
      <w:r w:rsidRPr="00771368">
        <w:rPr>
          <w:sz w:val="24"/>
          <w:szCs w:val="24"/>
          <w:vertAlign w:val="superscript"/>
        </w:rPr>
        <w:footnoteReference w:id="91"/>
      </w:r>
      <w:r w:rsidRPr="00771368">
        <w:rPr>
          <w:sz w:val="24"/>
          <w:szCs w:val="24"/>
        </w:rPr>
        <w:t>; também  nos oferece a visão de Gramsci o qual  afirma que o Estado  consiste na representação do poder formal e reivindica para  si o status  de produto final da razão, e também faz afirmações sobre à sociedade civil  o qual considera  que ela não esta no campo  da “estrutura”, mas na esfera  das “superestruturas”, e seriam um conjunto de organismos vivos e envolvidos por relações ideológicas e culturais.</w:t>
      </w:r>
    </w:p>
    <w:p w:rsidR="00D24E61" w:rsidRPr="00771368" w:rsidRDefault="00D24E61" w:rsidP="00D24E61">
      <w:pPr>
        <w:spacing w:line="360" w:lineRule="auto"/>
        <w:ind w:firstLine="709"/>
        <w:jc w:val="both"/>
        <w:rPr>
          <w:sz w:val="24"/>
          <w:szCs w:val="24"/>
        </w:rPr>
      </w:pPr>
      <w:r w:rsidRPr="00771368">
        <w:rPr>
          <w:sz w:val="24"/>
          <w:szCs w:val="24"/>
        </w:rPr>
        <w:t xml:space="preserve"> Sob esse prisma a educação como direito no contexto dos direitos humanos  deve ser abordada  em dez pontos</w:t>
      </w:r>
      <w:r w:rsidRPr="00771368">
        <w:rPr>
          <w:sz w:val="24"/>
          <w:szCs w:val="24"/>
          <w:vertAlign w:val="superscript"/>
        </w:rPr>
        <w:footnoteReference w:id="92"/>
      </w:r>
      <w:r w:rsidRPr="00771368">
        <w:rPr>
          <w:sz w:val="24"/>
          <w:szCs w:val="24"/>
        </w:rPr>
        <w:t>, o qual o primeiro parte de uma reflexão a respeito do direito a educação, onde o elemento importante para os educadores(as) que através de diferentes modalidades e atividades possam colocar em pratica e desenvolver os conceitos  que dão substancia aos processos   de ensino e aprendizagem.</w:t>
      </w:r>
    </w:p>
    <w:p w:rsidR="00D24E61" w:rsidRPr="00771368" w:rsidRDefault="00D24E61" w:rsidP="00D24E61">
      <w:pPr>
        <w:spacing w:line="360" w:lineRule="auto"/>
        <w:ind w:firstLine="709"/>
        <w:jc w:val="both"/>
        <w:rPr>
          <w:sz w:val="24"/>
          <w:szCs w:val="24"/>
        </w:rPr>
      </w:pPr>
      <w:r w:rsidRPr="00771368">
        <w:rPr>
          <w:sz w:val="24"/>
          <w:szCs w:val="24"/>
        </w:rPr>
        <w:t>O segundo ponto enfatiza-se o direito a educação é uma conquista histórica da humanidade, e que surgiu resultante de  conflitos, lutas e acordos que vem se processando de maneira gradual desde à a Declaração dos Direitos do Homem e do Cidadão, votada pela assembleia Nacional Francesa em 1789, no artigo XXII.</w:t>
      </w:r>
      <w:r w:rsidRPr="00771368">
        <w:rPr>
          <w:sz w:val="24"/>
          <w:szCs w:val="24"/>
          <w:vertAlign w:val="superscript"/>
        </w:rPr>
        <w:footnoteReference w:id="93"/>
      </w:r>
    </w:p>
    <w:p w:rsidR="00D24E61" w:rsidRPr="00771368" w:rsidRDefault="00D24E61" w:rsidP="00D24E61">
      <w:pPr>
        <w:spacing w:line="360" w:lineRule="auto"/>
        <w:ind w:firstLine="709"/>
        <w:jc w:val="both"/>
        <w:rPr>
          <w:sz w:val="24"/>
          <w:szCs w:val="24"/>
        </w:rPr>
      </w:pPr>
      <w:r w:rsidRPr="00771368">
        <w:rPr>
          <w:sz w:val="24"/>
          <w:szCs w:val="24"/>
        </w:rPr>
        <w:t>O terceiro ponto é sobre o contexto da sociedade Brasileira no século XVIII, onde relembra de que éramos então colônia  e que mantínhamos o regime escravista  enfocando o  trabalho escravo dos negros africanos, mostrando que a educação era destinada à elites e os escravos eram considerados “coisas” e portanto não eram considerados cidadãos, porem no artigo 179</w:t>
      </w:r>
      <w:r w:rsidRPr="00771368">
        <w:rPr>
          <w:sz w:val="24"/>
          <w:szCs w:val="24"/>
          <w:vertAlign w:val="superscript"/>
        </w:rPr>
        <w:footnoteReference w:id="94"/>
      </w:r>
      <w:r w:rsidRPr="00771368">
        <w:rPr>
          <w:sz w:val="24"/>
          <w:szCs w:val="24"/>
        </w:rPr>
        <w:t xml:space="preserve"> da constituição de  1834, garantiu ( pelo menos no papel) educação a todos.</w:t>
      </w:r>
    </w:p>
    <w:p w:rsidR="00D24E61" w:rsidRPr="00771368" w:rsidRDefault="00D24E61" w:rsidP="00D24E61">
      <w:pPr>
        <w:spacing w:line="360" w:lineRule="auto"/>
        <w:ind w:firstLine="709"/>
        <w:jc w:val="both"/>
        <w:rPr>
          <w:sz w:val="24"/>
          <w:szCs w:val="24"/>
        </w:rPr>
      </w:pPr>
      <w:r w:rsidRPr="00771368">
        <w:rPr>
          <w:sz w:val="24"/>
          <w:szCs w:val="24"/>
        </w:rPr>
        <w:t>O quarto item acercar-se a implantação da “ordem burguesa” e desta que o Brasil  após libertar-se de Portugal os princípios liberais foram usados  para legitimar a  própria escravidão, definindo através da constituição de 1834 quem era cidadão, porem não foi mencionado os escravos ( “coisas”) esses foram excluídos com exceção dos criados  da Casa Imperial.</w:t>
      </w:r>
    </w:p>
    <w:p w:rsidR="00D24E61" w:rsidRPr="00771368" w:rsidRDefault="00D24E61" w:rsidP="00D24E61">
      <w:pPr>
        <w:spacing w:line="360" w:lineRule="auto"/>
        <w:ind w:firstLine="709"/>
        <w:jc w:val="both"/>
        <w:rPr>
          <w:sz w:val="24"/>
          <w:szCs w:val="24"/>
        </w:rPr>
      </w:pPr>
      <w:r w:rsidRPr="00771368">
        <w:rPr>
          <w:sz w:val="24"/>
          <w:szCs w:val="24"/>
        </w:rPr>
        <w:t>O quinto e sexto pontos  esclarecem sobre as evoluções dos direitos humanos , através a Declaração Universal dos Direitos Humanos de 1948 e ratificada na Declaração Universal de Direitos Humanos de Viena, em 1993. E  a criação da Declaração Universal dos Direitos do Homem, reafirmando-se na Declaração dos Direitos da Criança (1959) , Convenção relativa à luta contra as Discriminações na Esfera de Ensino (1960) , Pacto Internacional Relativo ao Direitos Econômicos, Sociais e Culturais (1966) e a Declaração  Mundial da Educação (1990)</w:t>
      </w:r>
      <w:r w:rsidRPr="00771368">
        <w:rPr>
          <w:sz w:val="24"/>
          <w:szCs w:val="24"/>
          <w:vertAlign w:val="superscript"/>
        </w:rPr>
        <w:footnoteReference w:id="95"/>
      </w:r>
      <w:r w:rsidRPr="00771368">
        <w:rPr>
          <w:sz w:val="24"/>
          <w:szCs w:val="24"/>
        </w:rPr>
        <w:t>.</w:t>
      </w:r>
    </w:p>
    <w:p w:rsidR="00D24E61" w:rsidRPr="00771368" w:rsidRDefault="00D24E61" w:rsidP="00D24E61">
      <w:pPr>
        <w:spacing w:line="360" w:lineRule="auto"/>
        <w:ind w:firstLine="709"/>
        <w:jc w:val="both"/>
        <w:rPr>
          <w:sz w:val="24"/>
          <w:szCs w:val="24"/>
        </w:rPr>
      </w:pPr>
      <w:r w:rsidRPr="00771368">
        <w:rPr>
          <w:sz w:val="24"/>
          <w:szCs w:val="24"/>
        </w:rPr>
        <w:t>A abordagem do sétimo e oitavo  ponto, focaliza  as iniciativas de caráter mundial que buscam o direito à educação, citando exemplos como o Fórum Mundial da educação  e  o consenso universal que praticamente  se generalizou durante o século XX, destacando que esse consenso surgiu dos padrões sociais ,  políticos e econômicos que configuram-se nas sociedades modernas.</w:t>
      </w:r>
    </w:p>
    <w:p w:rsidR="00D24E61" w:rsidRPr="00771368" w:rsidRDefault="00D24E61" w:rsidP="00D24E61">
      <w:pPr>
        <w:spacing w:line="360" w:lineRule="auto"/>
        <w:ind w:firstLine="709"/>
        <w:jc w:val="both"/>
        <w:rPr>
          <w:sz w:val="24"/>
          <w:szCs w:val="24"/>
        </w:rPr>
      </w:pPr>
      <w:r w:rsidRPr="00771368">
        <w:rPr>
          <w:sz w:val="24"/>
          <w:szCs w:val="24"/>
        </w:rPr>
        <w:t xml:space="preserve"> Os pontos nono e decimo enfatizam o fato de que a educação é elemento fundamental do processo e construção e afirmação da democracia como modo de organização social e politico das coletividades humanas; o texto enfoca no decimo ponto o fato de que muito embora sejam reconhecidos os direitos humanos muitas das  coisas que foram registradas permanecem na inercia entre o que  se esta em  lei e o que se é de fato em uso, ou seja muito se tem feito e elaborado em pró aos direitos humanos, porem à uma distancia grande no que esta no papel e o que ocorre de fato; sobre esse prisma o texto afirma que a educação voltada aos direitos humanos ainda não faz parte da prática nem do currículo da escola brasileira.</w:t>
      </w:r>
    </w:p>
    <w:p w:rsidR="00D24E61" w:rsidRPr="00771368" w:rsidRDefault="00D24E61" w:rsidP="00D24E61">
      <w:pPr>
        <w:spacing w:line="360" w:lineRule="auto"/>
        <w:ind w:firstLine="709"/>
        <w:jc w:val="both"/>
        <w:rPr>
          <w:sz w:val="24"/>
          <w:szCs w:val="24"/>
        </w:rPr>
      </w:pPr>
      <w:r w:rsidRPr="00771368">
        <w:rPr>
          <w:sz w:val="24"/>
          <w:szCs w:val="24"/>
        </w:rPr>
        <w:t xml:space="preserve"> </w:t>
      </w:r>
      <w:r w:rsidRPr="00771368">
        <w:rPr>
          <w:i/>
          <w:sz w:val="24"/>
          <w:szCs w:val="24"/>
        </w:rPr>
        <w:t xml:space="preserve">“(...) a educação contribui também para: a) criar uma cultura universal dos direitos humanos; b) exercitar o respeito, a tolerância, a promoção e a valorização das diversidades (étnico-racial, religiosa, cultural, geracional, territorial, físico-individual, de gênero, de orientação sexual, de nacionalidade, de opção política, dentre outras) e a solidariedade entre povos e nações; c) assegurar a todas as pessoas o acesso à participação efetiva em uma sociedade livre.” </w:t>
      </w:r>
      <w:r w:rsidRPr="00771368">
        <w:rPr>
          <w:sz w:val="24"/>
          <w:szCs w:val="24"/>
        </w:rPr>
        <w:t>(PMDH, 2005, p. 25)</w:t>
      </w:r>
      <w:r w:rsidRPr="00771368">
        <w:rPr>
          <w:sz w:val="24"/>
          <w:szCs w:val="24"/>
          <w:vertAlign w:val="superscript"/>
        </w:rPr>
        <w:footnoteReference w:id="96"/>
      </w:r>
      <w:r w:rsidRPr="00771368">
        <w:rPr>
          <w:sz w:val="24"/>
          <w:szCs w:val="24"/>
        </w:rPr>
        <w:t xml:space="preserve">, </w:t>
      </w:r>
    </w:p>
    <w:p w:rsidR="00D24E61" w:rsidRPr="00771368" w:rsidRDefault="00D24E61" w:rsidP="00D24E61">
      <w:pPr>
        <w:spacing w:line="360" w:lineRule="auto"/>
        <w:ind w:firstLine="709"/>
        <w:jc w:val="center"/>
        <w:rPr>
          <w:b/>
          <w:sz w:val="24"/>
        </w:rPr>
      </w:pPr>
    </w:p>
    <w:p w:rsidR="00D24E61" w:rsidRPr="00771368" w:rsidRDefault="00D24E61" w:rsidP="00D24E61">
      <w:pPr>
        <w:spacing w:line="360" w:lineRule="auto"/>
        <w:ind w:firstLine="709"/>
        <w:jc w:val="center"/>
        <w:rPr>
          <w:b/>
          <w:sz w:val="24"/>
        </w:rPr>
      </w:pPr>
      <w:r w:rsidRPr="00771368">
        <w:rPr>
          <w:b/>
          <w:sz w:val="24"/>
        </w:rPr>
        <w:t>CONCLUSÃO</w:t>
      </w:r>
    </w:p>
    <w:p w:rsidR="00D24E61" w:rsidRPr="00771368" w:rsidRDefault="00D24E61" w:rsidP="00D24E61">
      <w:pPr>
        <w:spacing w:line="360" w:lineRule="auto"/>
        <w:ind w:firstLine="709"/>
        <w:jc w:val="both"/>
        <w:rPr>
          <w:sz w:val="24"/>
        </w:rPr>
      </w:pPr>
      <w:r w:rsidRPr="00771368">
        <w:rPr>
          <w:sz w:val="24"/>
        </w:rPr>
        <w:t>Os preconceitos são constituídos pela ação da mente sobre o corpo,  sua ação é devido a equívocos de pensamentos formados durante centenas de  gerações na cultura e sociedade.</w:t>
      </w:r>
    </w:p>
    <w:p w:rsidR="00D24E61" w:rsidRPr="00771368" w:rsidRDefault="00D24E61" w:rsidP="00D24E61">
      <w:pPr>
        <w:spacing w:line="360" w:lineRule="auto"/>
        <w:ind w:firstLine="709"/>
        <w:jc w:val="both"/>
        <w:rPr>
          <w:sz w:val="24"/>
        </w:rPr>
      </w:pPr>
      <w:r w:rsidRPr="00771368">
        <w:rPr>
          <w:sz w:val="24"/>
        </w:rPr>
        <w:t>Uma das maneiras e a prevenir é ter o conhecimento de como somos  susceptíveis a sugestões e reavaliarmos os  valores morais e sociais a qual nos submetemos.</w:t>
      </w:r>
    </w:p>
    <w:p w:rsidR="00D24E61" w:rsidRPr="00771368" w:rsidRDefault="00D24E61" w:rsidP="00D24E61">
      <w:pPr>
        <w:spacing w:line="360" w:lineRule="auto"/>
        <w:ind w:firstLine="709"/>
        <w:jc w:val="both"/>
        <w:rPr>
          <w:sz w:val="24"/>
        </w:rPr>
      </w:pPr>
      <w:r w:rsidRPr="00771368">
        <w:rPr>
          <w:sz w:val="24"/>
        </w:rPr>
        <w:t>Assim uma redefinição de valores éticos é um mínimo necessário para modificar nosso modo de pensar, sobre esse prisma no I Congresso Internacional de Transdisciplinaridade</w:t>
      </w:r>
      <w:r w:rsidRPr="00771368">
        <w:rPr>
          <w:sz w:val="24"/>
          <w:vertAlign w:val="superscript"/>
        </w:rPr>
        <w:footnoteReference w:id="97"/>
      </w:r>
      <w:r w:rsidRPr="00771368">
        <w:rPr>
          <w:sz w:val="24"/>
        </w:rPr>
        <w:t>, Complexidade e Ecoformação (ocorrido em Arábida Portugal-1994), em seu artigo I e II dão-nos o norteamento de atitudes éticas:</w:t>
      </w:r>
    </w:p>
    <w:p w:rsidR="00D24E61" w:rsidRPr="00771368" w:rsidRDefault="00D24E61" w:rsidP="00D24E61">
      <w:pPr>
        <w:spacing w:line="360" w:lineRule="auto"/>
        <w:ind w:firstLine="709"/>
        <w:jc w:val="both"/>
        <w:rPr>
          <w:sz w:val="24"/>
        </w:rPr>
      </w:pPr>
      <w:r w:rsidRPr="00771368">
        <w:rPr>
          <w:sz w:val="24"/>
        </w:rPr>
        <w:t>Artigo 1 - Qualquer tentativa de reduzir o ser humano a uma mera definição e de dissolvê-lo nas estruturas formais, sejam elas quais forem, é incompatível com a visão transdisciplinar.</w:t>
      </w:r>
    </w:p>
    <w:p w:rsidR="00D24E61" w:rsidRPr="00771368" w:rsidRDefault="00D24E61" w:rsidP="00D24E61">
      <w:pPr>
        <w:spacing w:line="360" w:lineRule="auto"/>
        <w:ind w:firstLine="709"/>
        <w:jc w:val="both"/>
        <w:rPr>
          <w:sz w:val="24"/>
        </w:rPr>
      </w:pPr>
      <w:r w:rsidRPr="00771368">
        <w:rPr>
          <w:sz w:val="24"/>
        </w:rPr>
        <w:t>Artigo 2 - O reconhecimento da existência de diferentes níveis de realidade, regido por lógicas diferentes é inerente à atitude transdisciplinar. Qualquer tentativa de reduzir a realidade a um único nível regido por uma única lógica não se situa no campo da transdisciplinaridade.</w:t>
      </w:r>
    </w:p>
    <w:p w:rsidR="00D24E61" w:rsidRPr="00771368" w:rsidRDefault="00D24E61" w:rsidP="00D24E61">
      <w:pPr>
        <w:spacing w:line="360" w:lineRule="auto"/>
        <w:ind w:firstLine="709"/>
        <w:jc w:val="both"/>
        <w:rPr>
          <w:sz w:val="24"/>
        </w:rPr>
      </w:pPr>
      <w:r w:rsidRPr="00771368">
        <w:rPr>
          <w:sz w:val="24"/>
        </w:rPr>
        <w:t xml:space="preserve">No seu Artigo 13 é veemente: </w:t>
      </w:r>
    </w:p>
    <w:p w:rsidR="00D24E61" w:rsidRPr="00771368" w:rsidRDefault="00D24E61" w:rsidP="00D24E61">
      <w:pPr>
        <w:spacing w:line="360" w:lineRule="auto"/>
        <w:ind w:firstLine="709"/>
        <w:jc w:val="both"/>
        <w:rPr>
          <w:sz w:val="24"/>
        </w:rPr>
      </w:pPr>
      <w:r w:rsidRPr="00771368">
        <w:rPr>
          <w:sz w:val="24"/>
        </w:rPr>
        <w:t>“A ética transdisciplinar recusa toda atitude que recusa o diálogo, a discussão, seja qual for sua origem – de ordem ideológica, científica, religiosa, econômica, política ou filosófica. O saber compartilhado deverá conduzir a uma compreensão compartilhada baseada no respeito absoluto das diferenças entre os seres, unidos pela vida comum sobre uma única e mesma Terra.”</w:t>
      </w:r>
    </w:p>
    <w:p w:rsidR="00D24E61" w:rsidRPr="00771368" w:rsidRDefault="00D24E61" w:rsidP="00D24E61">
      <w:pPr>
        <w:spacing w:line="360" w:lineRule="auto"/>
        <w:ind w:firstLine="709"/>
        <w:jc w:val="both"/>
        <w:rPr>
          <w:i/>
          <w:sz w:val="24"/>
          <w:szCs w:val="24"/>
        </w:rPr>
      </w:pPr>
      <w:r w:rsidRPr="00771368">
        <w:rPr>
          <w:i/>
          <w:sz w:val="24"/>
          <w:szCs w:val="24"/>
        </w:rPr>
        <w:t>“Todos os seres humanos nascem livres e iguais em dignidade e em direitos. Dotados de razão e de consciência, devem agir uns para com os outros em espírito de fraternidade” (DUH. 1948).</w:t>
      </w:r>
      <w:r w:rsidRPr="00771368">
        <w:rPr>
          <w:sz w:val="24"/>
          <w:szCs w:val="24"/>
          <w:vertAlign w:val="superscript"/>
        </w:rPr>
        <w:footnoteReference w:id="98"/>
      </w:r>
    </w:p>
    <w:p w:rsidR="00D24E61" w:rsidRPr="00771368" w:rsidRDefault="00D24E61" w:rsidP="00D24E61">
      <w:pPr>
        <w:autoSpaceDE w:val="0"/>
        <w:autoSpaceDN w:val="0"/>
        <w:adjustRightInd w:val="0"/>
        <w:jc w:val="center"/>
        <w:rPr>
          <w:sz w:val="28"/>
          <w:szCs w:val="28"/>
        </w:rPr>
      </w:pPr>
      <w:r w:rsidRPr="00771368">
        <w:rPr>
          <w:sz w:val="28"/>
          <w:szCs w:val="28"/>
        </w:rPr>
        <w:t>Referencias Bibliográficas:</w:t>
      </w:r>
    </w:p>
    <w:p w:rsidR="00D24E61" w:rsidRPr="00771368" w:rsidRDefault="00D24E61" w:rsidP="00D24E61">
      <w:pPr>
        <w:spacing w:line="360" w:lineRule="auto"/>
        <w:jc w:val="both"/>
        <w:rPr>
          <w:sz w:val="24"/>
        </w:rPr>
      </w:pPr>
    </w:p>
    <w:p w:rsidR="00D24E61" w:rsidRPr="00771368" w:rsidRDefault="00D24E61" w:rsidP="00D24E61">
      <w:pPr>
        <w:spacing w:line="360" w:lineRule="auto"/>
        <w:jc w:val="both"/>
        <w:rPr>
          <w:sz w:val="24"/>
        </w:rPr>
      </w:pPr>
      <w:r w:rsidRPr="00771368">
        <w:rPr>
          <w:sz w:val="24"/>
        </w:rPr>
        <w:t xml:space="preserve">ARAGÃO, Wilson H. </w:t>
      </w:r>
      <w:r w:rsidRPr="00771368">
        <w:rPr>
          <w:b/>
          <w:sz w:val="24"/>
        </w:rPr>
        <w:t>Perspectivas das púbicas para educação básica</w:t>
      </w:r>
      <w:r w:rsidRPr="00771368">
        <w:rPr>
          <w:sz w:val="24"/>
        </w:rPr>
        <w:t xml:space="preserve">. In: BRENNAND, Edna G. (org.). </w:t>
      </w:r>
      <w:r w:rsidRPr="00771368">
        <w:rPr>
          <w:b/>
          <w:sz w:val="24"/>
        </w:rPr>
        <w:t>Trilhas do aprendente.</w:t>
      </w:r>
      <w:r w:rsidRPr="00771368">
        <w:rPr>
          <w:sz w:val="24"/>
        </w:rPr>
        <w:t xml:space="preserve"> João Pessoa: Ed. Universitária, 2008. Vol. 2 [Série Educação à Distancia].</w:t>
      </w:r>
    </w:p>
    <w:p w:rsidR="00D24E61" w:rsidRPr="00771368" w:rsidRDefault="00D24E61" w:rsidP="00D24E61">
      <w:pPr>
        <w:autoSpaceDE w:val="0"/>
        <w:autoSpaceDN w:val="0"/>
        <w:adjustRightInd w:val="0"/>
        <w:spacing w:line="360" w:lineRule="auto"/>
        <w:jc w:val="both"/>
        <w:rPr>
          <w:sz w:val="24"/>
        </w:rPr>
      </w:pPr>
      <w:r w:rsidRPr="00771368">
        <w:rPr>
          <w:sz w:val="24"/>
        </w:rPr>
        <w:t xml:space="preserve">BRAGA, Eliane Maio. A questão do Gênero e da sexualidade na educação. In: RODRIGUES, Eliane; ROSIN, Sheila Maria (orgs). </w:t>
      </w:r>
      <w:r w:rsidRPr="00771368">
        <w:rPr>
          <w:b/>
          <w:sz w:val="24"/>
        </w:rPr>
        <w:t>Infância e práticas educativas</w:t>
      </w:r>
      <w:r w:rsidRPr="00771368">
        <w:rPr>
          <w:sz w:val="24"/>
        </w:rPr>
        <w:t xml:space="preserve">. Maringá – Pr. EDUEM. 2007. </w:t>
      </w:r>
    </w:p>
    <w:p w:rsidR="00D24E61" w:rsidRPr="00771368" w:rsidRDefault="00D24E61" w:rsidP="00D24E61">
      <w:pPr>
        <w:spacing w:line="360" w:lineRule="auto"/>
        <w:jc w:val="both"/>
        <w:rPr>
          <w:sz w:val="24"/>
        </w:rPr>
      </w:pPr>
      <w:r w:rsidRPr="00771368">
        <w:rPr>
          <w:sz w:val="24"/>
        </w:rPr>
        <w:t>BRASIL. Constituição da República Federativa do. Lei nº 8.069 de 13 de julho de 1990. São Paulo, cap. III - Da Educação, da Cultura e do Desporto, Saraiva,2000.</w:t>
      </w:r>
    </w:p>
    <w:p w:rsidR="00D24E61" w:rsidRPr="00771368" w:rsidRDefault="00D24E61" w:rsidP="00D24E61">
      <w:pPr>
        <w:spacing w:line="360" w:lineRule="auto"/>
        <w:jc w:val="both"/>
        <w:rPr>
          <w:sz w:val="24"/>
        </w:rPr>
      </w:pPr>
      <w:r w:rsidRPr="00771368">
        <w:rPr>
          <w:sz w:val="24"/>
        </w:rPr>
        <w:t xml:space="preserve">BRASIL, MEC/UFPB. Secretaria de Educação Básica; O direito à educação: limites e perspectivas”. In: </w:t>
      </w:r>
      <w:r w:rsidRPr="00771368">
        <w:rPr>
          <w:b/>
          <w:sz w:val="24"/>
        </w:rPr>
        <w:t>Curso de Especialização em Gestão Escolar</w:t>
      </w:r>
      <w:r w:rsidRPr="00771368">
        <w:rPr>
          <w:sz w:val="24"/>
        </w:rPr>
        <w:t>. Sala Fundamentos do Direito à Educação. Escola de Gestores da Educação Básica. Brasília. 2009</w:t>
      </w:r>
    </w:p>
    <w:p w:rsidR="00D24E61" w:rsidRPr="00771368" w:rsidRDefault="00D24E61" w:rsidP="00D24E61">
      <w:pPr>
        <w:pStyle w:val="Textodenotaderodap"/>
        <w:spacing w:line="360" w:lineRule="auto"/>
        <w:rPr>
          <w:rFonts w:ascii="Times New Roman" w:hAnsi="Times New Roman"/>
          <w:sz w:val="24"/>
          <w:szCs w:val="22"/>
        </w:rPr>
      </w:pPr>
      <w:r w:rsidRPr="00771368">
        <w:rPr>
          <w:rFonts w:ascii="Times New Roman" w:hAnsi="Times New Roman"/>
          <w:sz w:val="24"/>
          <w:szCs w:val="22"/>
        </w:rPr>
        <w:t xml:space="preserve">BOBBIO, Noberto. </w:t>
      </w:r>
      <w:r w:rsidRPr="00771368">
        <w:rPr>
          <w:rFonts w:ascii="Times New Roman" w:hAnsi="Times New Roman"/>
          <w:b/>
          <w:bCs/>
          <w:sz w:val="24"/>
          <w:szCs w:val="22"/>
        </w:rPr>
        <w:t>Ensaios sobre Gramsci</w:t>
      </w:r>
      <w:r w:rsidRPr="00771368">
        <w:rPr>
          <w:rFonts w:ascii="Times New Roman" w:hAnsi="Times New Roman"/>
          <w:sz w:val="24"/>
          <w:szCs w:val="22"/>
        </w:rPr>
        <w:t>: e o conceito sobre sociedade civil. São Paulo: Paz e Terra, 1999.</w:t>
      </w:r>
    </w:p>
    <w:p w:rsidR="00D24E61" w:rsidRPr="00771368" w:rsidRDefault="00D24E61" w:rsidP="00D24E61">
      <w:pPr>
        <w:autoSpaceDE w:val="0"/>
        <w:autoSpaceDN w:val="0"/>
        <w:adjustRightInd w:val="0"/>
        <w:spacing w:line="360" w:lineRule="auto"/>
        <w:jc w:val="both"/>
        <w:rPr>
          <w:caps/>
          <w:sz w:val="24"/>
        </w:rPr>
      </w:pPr>
      <w:r w:rsidRPr="00771368">
        <w:rPr>
          <w:caps/>
          <w:sz w:val="24"/>
        </w:rPr>
        <w:t>Cury A</w:t>
      </w:r>
      <w:r w:rsidRPr="00771368">
        <w:rPr>
          <w:sz w:val="24"/>
        </w:rPr>
        <w:t>ugusto.</w:t>
      </w:r>
      <w:r w:rsidRPr="00771368">
        <w:rPr>
          <w:caps/>
          <w:sz w:val="24"/>
        </w:rPr>
        <w:t xml:space="preserve">   </w:t>
      </w:r>
      <w:r w:rsidRPr="00771368">
        <w:rPr>
          <w:b/>
          <w:sz w:val="24"/>
        </w:rPr>
        <w:t>Filhos brilhantes, alunos fascinantes</w:t>
      </w:r>
      <w:r w:rsidRPr="00771368">
        <w:rPr>
          <w:sz w:val="24"/>
        </w:rPr>
        <w:t xml:space="preserve"> </w:t>
      </w:r>
      <w:r w:rsidRPr="00771368">
        <w:rPr>
          <w:caps/>
          <w:sz w:val="24"/>
        </w:rPr>
        <w:t>- E</w:t>
      </w:r>
      <w:r w:rsidRPr="00771368">
        <w:rPr>
          <w:sz w:val="24"/>
        </w:rPr>
        <w:t>d</w:t>
      </w:r>
      <w:r w:rsidRPr="00771368">
        <w:rPr>
          <w:caps/>
          <w:sz w:val="24"/>
        </w:rPr>
        <w:t>. P</w:t>
      </w:r>
      <w:r w:rsidRPr="00771368">
        <w:rPr>
          <w:sz w:val="24"/>
        </w:rPr>
        <w:t xml:space="preserve">laneta do </w:t>
      </w:r>
      <w:r w:rsidRPr="00771368">
        <w:rPr>
          <w:caps/>
          <w:sz w:val="24"/>
        </w:rPr>
        <w:t>B</w:t>
      </w:r>
      <w:r w:rsidRPr="00771368">
        <w:rPr>
          <w:sz w:val="24"/>
        </w:rPr>
        <w:t>rasil</w:t>
      </w:r>
      <w:r w:rsidRPr="00771368">
        <w:rPr>
          <w:caps/>
          <w:sz w:val="24"/>
        </w:rPr>
        <w:t>, S</w:t>
      </w:r>
      <w:r w:rsidRPr="00771368">
        <w:rPr>
          <w:sz w:val="24"/>
        </w:rPr>
        <w:t xml:space="preserve">ão </w:t>
      </w:r>
      <w:r w:rsidRPr="00771368">
        <w:rPr>
          <w:caps/>
          <w:sz w:val="24"/>
        </w:rPr>
        <w:t>P</w:t>
      </w:r>
      <w:r w:rsidRPr="00771368">
        <w:rPr>
          <w:sz w:val="24"/>
        </w:rPr>
        <w:t>aulo</w:t>
      </w:r>
      <w:r w:rsidRPr="00771368">
        <w:rPr>
          <w:caps/>
          <w:sz w:val="24"/>
        </w:rPr>
        <w:t>. 2007</w:t>
      </w:r>
    </w:p>
    <w:p w:rsidR="00D24E61" w:rsidRPr="00771368" w:rsidRDefault="00D24E61" w:rsidP="00D24E61">
      <w:pPr>
        <w:pStyle w:val="Textodenotaderodap"/>
        <w:spacing w:line="360" w:lineRule="auto"/>
        <w:rPr>
          <w:rFonts w:ascii="Times New Roman" w:hAnsi="Times New Roman"/>
          <w:sz w:val="24"/>
          <w:szCs w:val="22"/>
        </w:rPr>
      </w:pPr>
      <w:r w:rsidRPr="00771368">
        <w:rPr>
          <w:rFonts w:ascii="Times New Roman" w:hAnsi="Times New Roman"/>
          <w:sz w:val="24"/>
          <w:szCs w:val="22"/>
        </w:rPr>
        <w:t xml:space="preserve">DAMÁSIO, A. </w:t>
      </w:r>
      <w:r w:rsidRPr="00771368">
        <w:rPr>
          <w:rFonts w:ascii="Times New Roman" w:hAnsi="Times New Roman"/>
          <w:b/>
          <w:sz w:val="24"/>
          <w:szCs w:val="22"/>
        </w:rPr>
        <w:t>Em busca de Espinosa: prazer e dor na ciência dos sentimentos</w:t>
      </w:r>
      <w:r w:rsidRPr="00771368">
        <w:rPr>
          <w:rFonts w:ascii="Times New Roman" w:hAnsi="Times New Roman"/>
          <w:sz w:val="24"/>
          <w:szCs w:val="22"/>
        </w:rPr>
        <w:t>. São Paulo: Companhia das Letras, 2004.</w:t>
      </w:r>
    </w:p>
    <w:p w:rsidR="00D24E61" w:rsidRPr="00771368" w:rsidRDefault="00D24E61" w:rsidP="00D24E61">
      <w:pPr>
        <w:pStyle w:val="Textodenotaderodap"/>
        <w:spacing w:line="360" w:lineRule="auto"/>
        <w:rPr>
          <w:rFonts w:ascii="Times New Roman" w:hAnsi="Times New Roman"/>
          <w:sz w:val="24"/>
          <w:szCs w:val="22"/>
        </w:rPr>
      </w:pPr>
      <w:r w:rsidRPr="00771368">
        <w:rPr>
          <w:rFonts w:ascii="Times New Roman" w:hAnsi="Times New Roman"/>
          <w:sz w:val="24"/>
          <w:szCs w:val="22"/>
        </w:rPr>
        <w:t xml:space="preserve">DARWIN, Charles Robert. </w:t>
      </w:r>
      <w:r w:rsidRPr="00771368">
        <w:rPr>
          <w:rFonts w:ascii="Times New Roman" w:hAnsi="Times New Roman"/>
          <w:b/>
          <w:sz w:val="24"/>
          <w:szCs w:val="22"/>
        </w:rPr>
        <w:t xml:space="preserve">A Origem das Espécies - teoria da evolução dos seres. (1859) </w:t>
      </w:r>
      <w:r w:rsidRPr="00771368">
        <w:rPr>
          <w:rFonts w:ascii="Times New Roman" w:hAnsi="Times New Roman"/>
          <w:sz w:val="24"/>
          <w:szCs w:val="22"/>
        </w:rPr>
        <w:t>São Paulo, EDUSP, 1985.</w:t>
      </w:r>
    </w:p>
    <w:p w:rsidR="00D24E61" w:rsidRPr="00771368" w:rsidRDefault="00D24E61" w:rsidP="00D24E61">
      <w:pPr>
        <w:autoSpaceDE w:val="0"/>
        <w:autoSpaceDN w:val="0"/>
        <w:adjustRightInd w:val="0"/>
        <w:spacing w:line="360" w:lineRule="auto"/>
        <w:jc w:val="both"/>
        <w:rPr>
          <w:sz w:val="24"/>
        </w:rPr>
      </w:pPr>
      <w:r w:rsidRPr="00771368">
        <w:rPr>
          <w:sz w:val="24"/>
        </w:rPr>
        <w:t xml:space="preserve">DURKHEIM, Émile. </w:t>
      </w:r>
      <w:r w:rsidRPr="00771368">
        <w:rPr>
          <w:b/>
          <w:sz w:val="24"/>
        </w:rPr>
        <w:t>Educação e sociologia</w:t>
      </w:r>
      <w:r w:rsidRPr="00771368">
        <w:rPr>
          <w:sz w:val="24"/>
        </w:rPr>
        <w:t>. Trad. Prof. Lourenço Filho. 4. ed. São Paulo: Edições Melhoramentos,1955.</w:t>
      </w:r>
    </w:p>
    <w:p w:rsidR="00D24E61" w:rsidRPr="00771368" w:rsidRDefault="00D24E61" w:rsidP="00D24E61">
      <w:pPr>
        <w:autoSpaceDE w:val="0"/>
        <w:autoSpaceDN w:val="0"/>
        <w:adjustRightInd w:val="0"/>
        <w:spacing w:line="360" w:lineRule="auto"/>
        <w:jc w:val="both"/>
        <w:rPr>
          <w:sz w:val="24"/>
        </w:rPr>
      </w:pPr>
      <w:r w:rsidRPr="00771368">
        <w:rPr>
          <w:sz w:val="24"/>
        </w:rPr>
        <w:t xml:space="preserve">FACURE, Nubor Orlando. A CONQUISTA DO CORPO E DA MENTE - in Jornal Espírita. Julho. 2004 disponível em </w:t>
      </w:r>
      <w:hyperlink r:id="rId124" w:history="1">
        <w:r w:rsidRPr="00771368">
          <w:rPr>
            <w:rStyle w:val="Hyperlink"/>
            <w:sz w:val="24"/>
          </w:rPr>
          <w:t>http://www.geocities.com/Nubor_Facure/tema3.html</w:t>
        </w:r>
      </w:hyperlink>
    </w:p>
    <w:p w:rsidR="00D24E61" w:rsidRPr="00771368" w:rsidRDefault="00D24E61" w:rsidP="00D24E61">
      <w:pPr>
        <w:autoSpaceDE w:val="0"/>
        <w:autoSpaceDN w:val="0"/>
        <w:adjustRightInd w:val="0"/>
        <w:spacing w:line="360" w:lineRule="auto"/>
        <w:jc w:val="both"/>
        <w:rPr>
          <w:color w:val="000000"/>
          <w:sz w:val="24"/>
        </w:rPr>
      </w:pPr>
      <w:r w:rsidRPr="00771368">
        <w:rPr>
          <w:bCs/>
          <w:iCs/>
          <w:caps/>
          <w:color w:val="000000"/>
          <w:sz w:val="24"/>
        </w:rPr>
        <w:t>Felipe</w:t>
      </w:r>
      <w:r w:rsidRPr="00771368">
        <w:rPr>
          <w:b/>
          <w:bCs/>
          <w:i/>
          <w:iCs/>
          <w:color w:val="000000"/>
          <w:sz w:val="24"/>
        </w:rPr>
        <w:t xml:space="preserve">, </w:t>
      </w:r>
      <w:r w:rsidRPr="00771368">
        <w:rPr>
          <w:bCs/>
          <w:iCs/>
          <w:color w:val="000000"/>
          <w:sz w:val="24"/>
        </w:rPr>
        <w:t>Jane</w:t>
      </w:r>
      <w:r w:rsidRPr="00771368">
        <w:rPr>
          <w:b/>
          <w:bCs/>
          <w:i/>
          <w:iCs/>
          <w:color w:val="000000"/>
          <w:sz w:val="24"/>
        </w:rPr>
        <w:t>.</w:t>
      </w:r>
      <w:r w:rsidRPr="00771368">
        <w:rPr>
          <w:sz w:val="24"/>
        </w:rPr>
        <w:t xml:space="preserve"> Educação para a igualdade de gênero. Revista  Salto para o Futuro.</w:t>
      </w:r>
      <w:r w:rsidRPr="00771368">
        <w:rPr>
          <w:i/>
          <w:iCs/>
          <w:sz w:val="24"/>
        </w:rPr>
        <w:t xml:space="preserve"> </w:t>
      </w:r>
      <w:r w:rsidRPr="00771368">
        <w:rPr>
          <w:iCs/>
          <w:sz w:val="24"/>
        </w:rPr>
        <w:t>TV Brasil;</w:t>
      </w:r>
      <w:r w:rsidRPr="00771368">
        <w:rPr>
          <w:color w:val="000000"/>
          <w:sz w:val="24"/>
        </w:rPr>
        <w:t xml:space="preserve"> </w:t>
      </w:r>
      <w:hyperlink r:id="rId125" w:history="1">
        <w:r w:rsidRPr="00771368">
          <w:rPr>
            <w:rStyle w:val="Hyperlink"/>
            <w:i/>
            <w:iCs/>
            <w:sz w:val="24"/>
          </w:rPr>
          <w:t>www.tvbrasil.org.br/salto</w:t>
        </w:r>
      </w:hyperlink>
      <w:r w:rsidRPr="00771368">
        <w:rPr>
          <w:color w:val="000000"/>
          <w:sz w:val="24"/>
        </w:rPr>
        <w:t>. Rio de Janeiro, Novembro de 2008.  Acesso em 15/09/2013</w:t>
      </w:r>
    </w:p>
    <w:p w:rsidR="00D24E61" w:rsidRPr="00771368" w:rsidRDefault="00D24E61" w:rsidP="00D24E61">
      <w:pPr>
        <w:suppressAutoHyphens/>
        <w:spacing w:line="360" w:lineRule="auto"/>
        <w:jc w:val="both"/>
        <w:rPr>
          <w:sz w:val="24"/>
          <w:lang w:val="es-ES_tradnl" w:eastAsia="zh-CN" w:bidi="en-US"/>
        </w:rPr>
      </w:pPr>
      <w:r w:rsidRPr="00771368">
        <w:rPr>
          <w:sz w:val="24"/>
          <w:lang w:val="es-ES_tradnl" w:eastAsia="zh-CN" w:bidi="en-US"/>
        </w:rPr>
        <w:t xml:space="preserve">FONSECA, Vitor da. </w:t>
      </w:r>
      <w:r w:rsidRPr="00771368">
        <w:rPr>
          <w:b/>
          <w:sz w:val="24"/>
          <w:lang w:val="es-ES_tradnl" w:eastAsia="zh-CN" w:bidi="en-US"/>
        </w:rPr>
        <w:t xml:space="preserve">Cognição Neuropsicologia e Aprendizagem: </w:t>
      </w:r>
      <w:r w:rsidRPr="00771368">
        <w:rPr>
          <w:sz w:val="24"/>
          <w:lang w:val="es-ES_tradnl" w:eastAsia="zh-CN" w:bidi="en-US"/>
        </w:rPr>
        <w:t>abordagem neuropsicológica e psicopedagógica Petrópolis, RJ: Vozes, 2007.</w:t>
      </w:r>
    </w:p>
    <w:p w:rsidR="00D24E61" w:rsidRPr="00771368" w:rsidRDefault="00D24E61" w:rsidP="00D24E61">
      <w:pPr>
        <w:pStyle w:val="Textodenotadefim"/>
        <w:spacing w:line="360" w:lineRule="auto"/>
        <w:jc w:val="both"/>
        <w:rPr>
          <w:rFonts w:ascii="Times New Roman" w:hAnsi="Times New Roman"/>
          <w:sz w:val="24"/>
          <w:szCs w:val="22"/>
        </w:rPr>
      </w:pPr>
      <w:r w:rsidRPr="00771368">
        <w:rPr>
          <w:rFonts w:ascii="Times New Roman" w:hAnsi="Times New Roman"/>
          <w:sz w:val="24"/>
          <w:szCs w:val="22"/>
          <w:lang w:val="en-US"/>
        </w:rPr>
        <w:t xml:space="preserve">FILLOUX Jean-Claude.  </w:t>
      </w:r>
      <w:r w:rsidRPr="00771368">
        <w:rPr>
          <w:rFonts w:ascii="Times New Roman" w:hAnsi="Times New Roman"/>
          <w:b/>
          <w:sz w:val="24"/>
          <w:szCs w:val="22"/>
          <w:lang w:val="en-US"/>
        </w:rPr>
        <w:t>Émile  Durkheim</w:t>
      </w:r>
      <w:r w:rsidRPr="00771368">
        <w:rPr>
          <w:rFonts w:ascii="Times New Roman" w:hAnsi="Times New Roman"/>
          <w:sz w:val="24"/>
          <w:szCs w:val="22"/>
          <w:lang w:val="en-US"/>
        </w:rPr>
        <w:t xml:space="preserve">. </w:t>
      </w:r>
      <w:r w:rsidRPr="00771368">
        <w:rPr>
          <w:rFonts w:ascii="Times New Roman" w:hAnsi="Times New Roman"/>
          <w:sz w:val="24"/>
          <w:szCs w:val="22"/>
        </w:rPr>
        <w:t>Coleção Educadores.  MEC/Fundação Joaquim Nabuco. Tradução : Maria Lúcia Salles Boudet . Ed. Massangana. 2010</w:t>
      </w:r>
    </w:p>
    <w:p w:rsidR="00D24E61" w:rsidRPr="00771368" w:rsidRDefault="00D24E61" w:rsidP="00D24E61">
      <w:pPr>
        <w:suppressAutoHyphens/>
        <w:spacing w:line="360" w:lineRule="auto"/>
        <w:jc w:val="both"/>
        <w:rPr>
          <w:sz w:val="24"/>
          <w:lang w:val="es-ES_tradnl" w:eastAsia="zh-CN" w:bidi="en-US"/>
        </w:rPr>
      </w:pPr>
      <w:r w:rsidRPr="00771368">
        <w:rPr>
          <w:sz w:val="24"/>
          <w:lang w:val="es-ES_tradnl" w:eastAsia="zh-CN" w:bidi="en-US"/>
        </w:rPr>
        <w:t xml:space="preserve">FREIRE, Paulo. </w:t>
      </w:r>
      <w:r w:rsidRPr="00771368">
        <w:rPr>
          <w:b/>
          <w:sz w:val="24"/>
          <w:lang w:val="es-ES_tradnl" w:eastAsia="zh-CN" w:bidi="en-US"/>
        </w:rPr>
        <w:t xml:space="preserve">Pedagogia da autonomia. </w:t>
      </w:r>
      <w:r w:rsidRPr="00771368">
        <w:rPr>
          <w:sz w:val="24"/>
          <w:lang w:val="es-ES_tradnl" w:eastAsia="zh-CN" w:bidi="en-US"/>
        </w:rPr>
        <w:t>Saberes necessários à prática educativa. São Paulo: Paz e Terra, 1996.</w:t>
      </w:r>
    </w:p>
    <w:p w:rsidR="00D24E61" w:rsidRPr="00771368" w:rsidRDefault="00D24E61" w:rsidP="00D24E61">
      <w:pPr>
        <w:suppressAutoHyphens/>
        <w:spacing w:line="360" w:lineRule="auto"/>
        <w:jc w:val="both"/>
        <w:rPr>
          <w:sz w:val="24"/>
          <w:lang w:val="es-ES_tradnl" w:eastAsia="zh-CN" w:bidi="en-US"/>
        </w:rPr>
      </w:pPr>
      <w:r w:rsidRPr="00771368">
        <w:rPr>
          <w:sz w:val="24"/>
          <w:lang w:val="es-ES_tradnl" w:eastAsia="zh-CN" w:bidi="en-US"/>
        </w:rPr>
        <w:t xml:space="preserve"> FREIRE, Paulo. </w:t>
      </w:r>
      <w:r w:rsidRPr="00771368">
        <w:rPr>
          <w:b/>
          <w:sz w:val="24"/>
          <w:lang w:val="es-ES_tradnl" w:eastAsia="zh-CN" w:bidi="en-US"/>
        </w:rPr>
        <w:t>Pedagogia do oprimido</w:t>
      </w:r>
      <w:r w:rsidRPr="00771368">
        <w:rPr>
          <w:sz w:val="24"/>
          <w:lang w:val="es-ES_tradnl" w:eastAsia="zh-CN" w:bidi="en-US"/>
        </w:rPr>
        <w:t>. São Paulo: Paz e Terra, 1998.</w:t>
      </w:r>
    </w:p>
    <w:p w:rsidR="00D24E61" w:rsidRPr="00771368" w:rsidRDefault="00D24E61" w:rsidP="00D24E61">
      <w:pPr>
        <w:suppressAutoHyphens/>
        <w:spacing w:line="360" w:lineRule="auto"/>
        <w:jc w:val="both"/>
        <w:rPr>
          <w:sz w:val="24"/>
          <w:lang w:val="es-ES_tradnl" w:eastAsia="zh-CN" w:bidi="en-US"/>
        </w:rPr>
      </w:pPr>
      <w:r w:rsidRPr="00771368">
        <w:rPr>
          <w:sz w:val="24"/>
          <w:lang w:val="es-ES_tradnl" w:eastAsia="zh-CN" w:bidi="en-US"/>
        </w:rPr>
        <w:t xml:space="preserve">FREUD, S. Fragmento da análise de um caso de histeria (1905). In: </w:t>
      </w:r>
      <w:r w:rsidRPr="00771368">
        <w:rPr>
          <w:b/>
          <w:sz w:val="24"/>
          <w:lang w:val="es-ES_tradnl" w:eastAsia="zh-CN" w:bidi="en-US"/>
        </w:rPr>
        <w:t>Edição Standard Brasileira das Obras Psicológicas Completas de Sigmund Freud</w:t>
      </w:r>
      <w:r w:rsidRPr="00771368">
        <w:rPr>
          <w:sz w:val="24"/>
          <w:lang w:val="es-ES_tradnl" w:eastAsia="zh-CN" w:bidi="en-US"/>
        </w:rPr>
        <w:t>. Trad. de Jayme Salomão. Rio de Janeiro: Imago, 1987, v. VII.</w:t>
      </w:r>
    </w:p>
    <w:p w:rsidR="00D24E61" w:rsidRPr="00771368" w:rsidRDefault="00D24E61" w:rsidP="00D24E61">
      <w:pPr>
        <w:suppressAutoHyphens/>
        <w:spacing w:line="360" w:lineRule="auto"/>
        <w:jc w:val="both"/>
        <w:rPr>
          <w:sz w:val="24"/>
          <w:lang w:val="es-ES_tradnl" w:eastAsia="zh-CN" w:bidi="en-US"/>
        </w:rPr>
      </w:pPr>
      <w:r w:rsidRPr="00771368">
        <w:rPr>
          <w:sz w:val="24"/>
          <w:lang w:val="es-ES_tradnl" w:eastAsia="zh-CN" w:bidi="en-US"/>
        </w:rPr>
        <w:t xml:space="preserve">FREUD, S. Psicologia de grupo e a análise do ego (1921). In: </w:t>
      </w:r>
      <w:r w:rsidRPr="00771368">
        <w:rPr>
          <w:b/>
          <w:sz w:val="24"/>
          <w:lang w:val="es-ES_tradnl" w:eastAsia="zh-CN" w:bidi="en-US"/>
        </w:rPr>
        <w:t>Edição Standard Brasileira das Obras Psicológicas Completas de Sigmund Freud</w:t>
      </w:r>
      <w:r w:rsidRPr="00771368">
        <w:rPr>
          <w:sz w:val="24"/>
          <w:lang w:val="es-ES_tradnl" w:eastAsia="zh-CN" w:bidi="en-US"/>
        </w:rPr>
        <w:t>. Trad. de Christiano Monteiro Oiticica. Rio de Janeiro: Imago, 1987, v. XVIII.</w:t>
      </w:r>
    </w:p>
    <w:p w:rsidR="00D24E61" w:rsidRPr="00771368" w:rsidRDefault="00D24E61" w:rsidP="00D24E61">
      <w:pPr>
        <w:suppressAutoHyphens/>
        <w:spacing w:line="360" w:lineRule="auto"/>
        <w:jc w:val="both"/>
        <w:rPr>
          <w:sz w:val="24"/>
          <w:lang w:val="es-ES_tradnl" w:eastAsia="zh-CN" w:bidi="en-US"/>
        </w:rPr>
      </w:pPr>
      <w:r w:rsidRPr="00771368">
        <w:rPr>
          <w:sz w:val="24"/>
          <w:lang w:val="es-ES_tradnl" w:eastAsia="zh-CN" w:bidi="en-US"/>
        </w:rPr>
        <w:t xml:space="preserve">FREITAS, A. C. </w:t>
      </w:r>
      <w:r w:rsidRPr="00771368">
        <w:rPr>
          <w:b/>
          <w:sz w:val="24"/>
          <w:lang w:val="es-ES_tradnl" w:eastAsia="zh-CN" w:bidi="en-US"/>
        </w:rPr>
        <w:t>Teorias da aprendizagem</w:t>
      </w:r>
      <w:r w:rsidRPr="00771368">
        <w:rPr>
          <w:sz w:val="24"/>
          <w:lang w:val="es-ES_tradnl" w:eastAsia="zh-CN" w:bidi="en-US"/>
        </w:rPr>
        <w:t xml:space="preserve">. </w:t>
      </w:r>
      <w:r w:rsidRPr="00771368">
        <w:rPr>
          <w:i/>
          <w:sz w:val="24"/>
          <w:lang w:val="es-ES_tradnl" w:eastAsia="zh-CN" w:bidi="en-US"/>
        </w:rPr>
        <w:t>Universidad Evangélica del Paraguay- UEP, Maestria y Doctorado en Ciencias de la Educación</w:t>
      </w:r>
      <w:r w:rsidRPr="00771368">
        <w:rPr>
          <w:sz w:val="24"/>
          <w:lang w:val="es-ES_tradnl" w:eastAsia="zh-CN" w:bidi="en-US"/>
        </w:rPr>
        <w:t xml:space="preserve">, 2006. </w:t>
      </w:r>
    </w:p>
    <w:p w:rsidR="00D24E61" w:rsidRPr="00771368" w:rsidRDefault="00D24E61" w:rsidP="00D24E61">
      <w:pPr>
        <w:autoSpaceDE w:val="0"/>
        <w:autoSpaceDN w:val="0"/>
        <w:adjustRightInd w:val="0"/>
        <w:spacing w:line="360" w:lineRule="auto"/>
        <w:jc w:val="both"/>
        <w:rPr>
          <w:color w:val="000000"/>
          <w:sz w:val="24"/>
        </w:rPr>
      </w:pPr>
      <w:r w:rsidRPr="00771368">
        <w:rPr>
          <w:sz w:val="24"/>
          <w:lang w:val="es-ES_tradnl" w:eastAsia="zh-CN" w:bidi="en-US"/>
        </w:rPr>
        <w:t xml:space="preserve">FONTES, C. </w:t>
      </w:r>
      <w:r w:rsidRPr="00771368">
        <w:rPr>
          <w:b/>
          <w:sz w:val="24"/>
          <w:lang w:val="es-ES_tradnl" w:eastAsia="zh-CN" w:bidi="en-US"/>
        </w:rPr>
        <w:t>Teorias de Aprendizagem e Software Educativo</w:t>
      </w:r>
    </w:p>
    <w:p w:rsidR="00D24E61" w:rsidRPr="00771368" w:rsidRDefault="00D24E61" w:rsidP="00D24E61">
      <w:pPr>
        <w:autoSpaceDE w:val="0"/>
        <w:autoSpaceDN w:val="0"/>
        <w:adjustRightInd w:val="0"/>
        <w:spacing w:line="360" w:lineRule="auto"/>
        <w:jc w:val="both"/>
        <w:rPr>
          <w:color w:val="000000"/>
          <w:sz w:val="24"/>
        </w:rPr>
      </w:pPr>
      <w:r w:rsidRPr="00771368">
        <w:rPr>
          <w:color w:val="000000"/>
          <w:sz w:val="24"/>
        </w:rPr>
        <w:t xml:space="preserve">UNESCO. </w:t>
      </w:r>
      <w:r w:rsidRPr="00771368">
        <w:rPr>
          <w:b/>
          <w:color w:val="000000"/>
          <w:sz w:val="24"/>
        </w:rPr>
        <w:t>Políticas públicas de/para/com as juventudes.</w:t>
      </w:r>
      <w:r w:rsidRPr="00771368">
        <w:rPr>
          <w:color w:val="000000"/>
          <w:sz w:val="24"/>
        </w:rPr>
        <w:t xml:space="preserve"> Brasília, UNESCO, 2004.</w:t>
      </w:r>
    </w:p>
    <w:p w:rsidR="00D24E61" w:rsidRPr="00771368" w:rsidRDefault="00D24E61" w:rsidP="00D24E61">
      <w:pPr>
        <w:autoSpaceDE w:val="0"/>
        <w:autoSpaceDN w:val="0"/>
        <w:adjustRightInd w:val="0"/>
        <w:spacing w:line="360" w:lineRule="auto"/>
        <w:jc w:val="both"/>
        <w:rPr>
          <w:sz w:val="24"/>
        </w:rPr>
      </w:pPr>
      <w:r w:rsidRPr="00771368">
        <w:rPr>
          <w:caps/>
          <w:sz w:val="24"/>
        </w:rPr>
        <w:t>Gênero e Diversidade Sexual – D</w:t>
      </w:r>
      <w:r w:rsidRPr="00771368">
        <w:rPr>
          <w:sz w:val="24"/>
        </w:rPr>
        <w:t>iversidade Sexual nas Escolas- Reconhecer as diferenças e enfrentar preconceitos. Caderno SECAD - Secretária de Educação Continuada, Alfabetização e Diversidade. 2007.</w:t>
      </w:r>
    </w:p>
    <w:p w:rsidR="00D24E61" w:rsidRPr="00771368" w:rsidRDefault="00D24E61" w:rsidP="00D24E61">
      <w:pPr>
        <w:suppressAutoHyphens/>
        <w:spacing w:line="360" w:lineRule="auto"/>
        <w:jc w:val="both"/>
        <w:rPr>
          <w:sz w:val="24"/>
          <w:lang w:val="es-ES_tradnl" w:eastAsia="zh-CN" w:bidi="en-US"/>
        </w:rPr>
      </w:pPr>
      <w:r w:rsidRPr="00771368">
        <w:rPr>
          <w:sz w:val="24"/>
          <w:lang w:val="es-ES_tradnl" w:eastAsia="zh-CN" w:bidi="en-US"/>
        </w:rPr>
        <w:t xml:space="preserve">GUZZO, R. S. L. (org.). </w:t>
      </w:r>
      <w:r w:rsidRPr="00771368">
        <w:rPr>
          <w:b/>
          <w:sz w:val="24"/>
          <w:lang w:val="es-ES_tradnl" w:eastAsia="zh-CN" w:bidi="en-US"/>
        </w:rPr>
        <w:t xml:space="preserve">Desenvolvimento infantil: </w:t>
      </w:r>
      <w:r w:rsidRPr="00771368">
        <w:rPr>
          <w:sz w:val="24"/>
          <w:lang w:val="es-ES_tradnl" w:eastAsia="zh-CN" w:bidi="en-US"/>
        </w:rPr>
        <w:t>família, proteção e risco. Campinas - São Paulo: Editora Alínea, 2007.</w:t>
      </w:r>
    </w:p>
    <w:p w:rsidR="00D24E61" w:rsidRPr="00771368" w:rsidRDefault="00D24E61" w:rsidP="00D24E61">
      <w:pPr>
        <w:spacing w:line="360" w:lineRule="auto"/>
        <w:jc w:val="both"/>
        <w:rPr>
          <w:sz w:val="24"/>
        </w:rPr>
      </w:pPr>
      <w:r w:rsidRPr="00771368">
        <w:rPr>
          <w:sz w:val="24"/>
        </w:rPr>
        <w:t xml:space="preserve">JUNG Carl Gustav.  </w:t>
      </w:r>
      <w:r w:rsidRPr="00771368">
        <w:rPr>
          <w:b/>
          <w:sz w:val="24"/>
        </w:rPr>
        <w:t xml:space="preserve">O desenvolvimento da personalidade. </w:t>
      </w:r>
      <w:r w:rsidRPr="00771368">
        <w:rPr>
          <w:sz w:val="24"/>
        </w:rPr>
        <w:t>Tradução: Frei Valdemar do Amaral. Ed. Nova Fronteira. Rio de Janeiro. 1972.</w:t>
      </w:r>
    </w:p>
    <w:p w:rsidR="00D24E61" w:rsidRPr="00771368" w:rsidRDefault="00D24E61" w:rsidP="00D24E61">
      <w:pPr>
        <w:spacing w:line="360" w:lineRule="auto"/>
        <w:jc w:val="both"/>
        <w:rPr>
          <w:sz w:val="24"/>
        </w:rPr>
      </w:pPr>
      <w:r w:rsidRPr="00771368">
        <w:rPr>
          <w:sz w:val="24"/>
        </w:rPr>
        <w:t xml:space="preserve">JUNG Carl Gustav.  </w:t>
      </w:r>
      <w:r w:rsidRPr="00771368">
        <w:rPr>
          <w:b/>
          <w:sz w:val="24"/>
        </w:rPr>
        <w:t>O Homem e seus Símbolos.</w:t>
      </w:r>
      <w:r w:rsidRPr="00771368">
        <w:rPr>
          <w:sz w:val="24"/>
        </w:rPr>
        <w:t xml:space="preserve"> Tradução: Maria Lúcia Pinho. Ed. Nova Fronteira. Rio de Janeiro. 1964.</w:t>
      </w:r>
    </w:p>
    <w:p w:rsidR="00D24E61" w:rsidRPr="00771368" w:rsidRDefault="00D24E61" w:rsidP="00D24E61">
      <w:pPr>
        <w:spacing w:line="360" w:lineRule="auto"/>
        <w:jc w:val="both"/>
        <w:rPr>
          <w:sz w:val="24"/>
        </w:rPr>
      </w:pPr>
      <w:r w:rsidRPr="00771368">
        <w:rPr>
          <w:sz w:val="24"/>
        </w:rPr>
        <w:t xml:space="preserve">JUNG Carl Gustav.  </w:t>
      </w:r>
      <w:r w:rsidRPr="00771368">
        <w:rPr>
          <w:b/>
          <w:sz w:val="24"/>
        </w:rPr>
        <w:t>A Natureza da Psique</w:t>
      </w:r>
      <w:r w:rsidRPr="00771368">
        <w:rPr>
          <w:sz w:val="24"/>
        </w:rPr>
        <w:t>.  Tradução de Pe. Dom Mateus Ramalho Rocha, Ed. Nova Fronteira. Rio de Janeiro. 1984</w:t>
      </w:r>
    </w:p>
    <w:p w:rsidR="00D24E61" w:rsidRPr="00771368" w:rsidRDefault="00D24E61" w:rsidP="00D24E61">
      <w:pPr>
        <w:spacing w:line="360" w:lineRule="auto"/>
        <w:jc w:val="both"/>
        <w:rPr>
          <w:sz w:val="24"/>
        </w:rPr>
      </w:pPr>
      <w:r w:rsidRPr="00771368">
        <w:rPr>
          <w:sz w:val="24"/>
        </w:rPr>
        <w:t xml:space="preserve">JUNG Carl Gustav.  </w:t>
      </w:r>
      <w:r w:rsidRPr="00771368">
        <w:rPr>
          <w:b/>
          <w:sz w:val="24"/>
        </w:rPr>
        <w:t>Os arquétipos do inconsciente coletivo.</w:t>
      </w:r>
      <w:r w:rsidRPr="00771368">
        <w:rPr>
          <w:sz w:val="24"/>
        </w:rPr>
        <w:t xml:space="preserve"> Tradução de Pe. Dom Mateus Ramalho Rocha, Ed. Nova Fronteira. Rio de Janeiro. 1982</w:t>
      </w:r>
    </w:p>
    <w:p w:rsidR="00D24E61" w:rsidRPr="00771368" w:rsidRDefault="00D24E61" w:rsidP="00D24E61">
      <w:pPr>
        <w:spacing w:line="360" w:lineRule="auto"/>
        <w:jc w:val="both"/>
        <w:rPr>
          <w:sz w:val="24"/>
        </w:rPr>
      </w:pPr>
      <w:r w:rsidRPr="00771368">
        <w:rPr>
          <w:sz w:val="24"/>
        </w:rPr>
        <w:t xml:space="preserve">LEONTIEV, A. </w:t>
      </w:r>
      <w:r w:rsidRPr="00771368">
        <w:rPr>
          <w:b/>
          <w:sz w:val="24"/>
        </w:rPr>
        <w:t>Uma contribuição à teoria do desenvolvimento da psique infantil</w:t>
      </w:r>
      <w:r w:rsidRPr="00771368">
        <w:rPr>
          <w:sz w:val="24"/>
        </w:rPr>
        <w:t xml:space="preserve">. IN: VIGOTSKY, L. LURIA, A.; LEONTIEV, </w:t>
      </w:r>
      <w:r w:rsidRPr="00771368">
        <w:rPr>
          <w:i/>
          <w:sz w:val="24"/>
        </w:rPr>
        <w:t>A. Linguagem, desenvolvimento e aprendizagem.</w:t>
      </w:r>
      <w:r w:rsidRPr="00771368">
        <w:rPr>
          <w:sz w:val="24"/>
        </w:rPr>
        <w:t xml:space="preserve"> Ed. São Paulo: Ícone / Edusp, 1994.</w:t>
      </w:r>
    </w:p>
    <w:p w:rsidR="00D24E61" w:rsidRPr="00771368" w:rsidRDefault="00D24E61" w:rsidP="00D24E61">
      <w:pPr>
        <w:spacing w:line="360" w:lineRule="auto"/>
        <w:jc w:val="both"/>
        <w:rPr>
          <w:sz w:val="24"/>
        </w:rPr>
      </w:pPr>
      <w:r w:rsidRPr="00771368">
        <w:rPr>
          <w:sz w:val="24"/>
        </w:rPr>
        <w:t>LEONTIEV, Alexis Nicokaievch. Atividade, Consciência e Personalidade. Tradução: Maria Silva Cintra Martins. Bueno Aires: Ciência del Hombre. 1978. Disponível em: http://www. domínio público.gov.br.&gt;.Acesso em: 09 de setembro de 2013</w:t>
      </w:r>
    </w:p>
    <w:p w:rsidR="00D24E61" w:rsidRPr="00771368" w:rsidRDefault="00D24E61" w:rsidP="00D24E61">
      <w:pPr>
        <w:suppressAutoHyphens/>
        <w:spacing w:line="360" w:lineRule="auto"/>
        <w:jc w:val="both"/>
        <w:rPr>
          <w:sz w:val="24"/>
          <w:lang w:val="es-ES_tradnl" w:eastAsia="zh-CN" w:bidi="en-US"/>
        </w:rPr>
      </w:pPr>
      <w:r w:rsidRPr="00771368">
        <w:rPr>
          <w:sz w:val="24"/>
        </w:rPr>
        <w:t>MADEIRA, F.R. &amp; Rodrigues, E.M</w:t>
      </w:r>
      <w:r w:rsidRPr="00771368">
        <w:rPr>
          <w:b/>
          <w:sz w:val="24"/>
        </w:rPr>
        <w:t>. Recado dos jovens: Mais Qualificação</w:t>
      </w:r>
      <w:r w:rsidRPr="00771368">
        <w:rPr>
          <w:sz w:val="24"/>
        </w:rPr>
        <w:t>. In: Jovens acontecendo nas trilhas das políticas públicas (E. Berquó, org.), Brasília: CNPq, 1998.</w:t>
      </w:r>
    </w:p>
    <w:p w:rsidR="00D24E61" w:rsidRPr="00771368" w:rsidRDefault="00D24E61" w:rsidP="00D24E61">
      <w:pPr>
        <w:suppressAutoHyphens/>
        <w:spacing w:line="360" w:lineRule="auto"/>
        <w:jc w:val="both"/>
        <w:rPr>
          <w:sz w:val="24"/>
        </w:rPr>
      </w:pPr>
      <w:r w:rsidRPr="00771368">
        <w:rPr>
          <w:sz w:val="24"/>
        </w:rPr>
        <w:t xml:space="preserve">NOVAES, Adenáuer Marcos Ferraz. </w:t>
      </w:r>
      <w:r w:rsidRPr="00771368">
        <w:rPr>
          <w:b/>
          <w:sz w:val="24"/>
        </w:rPr>
        <w:t>Psicologia e Espiritualidade</w:t>
      </w:r>
      <w:r w:rsidRPr="00771368">
        <w:rPr>
          <w:sz w:val="24"/>
        </w:rPr>
        <w:t xml:space="preserve"> – Cap. Sexualidade, p.149. Ed. Fundação Harmonia; Salvador/BA 1999.</w:t>
      </w:r>
    </w:p>
    <w:p w:rsidR="00D24E61" w:rsidRPr="00771368" w:rsidRDefault="00D24E61" w:rsidP="00D24E61">
      <w:pPr>
        <w:suppressAutoHyphens/>
        <w:spacing w:line="360" w:lineRule="auto"/>
        <w:jc w:val="both"/>
        <w:rPr>
          <w:sz w:val="24"/>
          <w:lang w:val="es-ES_tradnl" w:eastAsia="zh-CN" w:bidi="en-US"/>
        </w:rPr>
      </w:pPr>
      <w:r w:rsidRPr="00771368">
        <w:rPr>
          <w:sz w:val="24"/>
          <w:lang w:val="es-ES_tradnl" w:eastAsia="zh-CN" w:bidi="en-US"/>
        </w:rPr>
        <w:t xml:space="preserve">OLIVEIRA, M. K. </w:t>
      </w:r>
      <w:r w:rsidRPr="00771368">
        <w:rPr>
          <w:b/>
          <w:sz w:val="24"/>
          <w:lang w:val="es-ES_tradnl" w:eastAsia="zh-CN" w:bidi="en-US"/>
        </w:rPr>
        <w:t>Vygotsky - aprendizado e desenvolvimento: um desenvolvimento sócio histórico.</w:t>
      </w:r>
      <w:r w:rsidRPr="00771368">
        <w:rPr>
          <w:sz w:val="24"/>
          <w:lang w:val="es-ES_tradnl" w:eastAsia="zh-CN" w:bidi="en-US"/>
        </w:rPr>
        <w:t xml:space="preserve"> São Paulo: Scipione, 1997.</w:t>
      </w:r>
    </w:p>
    <w:p w:rsidR="00D24E61" w:rsidRPr="00771368" w:rsidRDefault="00D24E61" w:rsidP="00D24E61">
      <w:pPr>
        <w:suppressAutoHyphens/>
        <w:spacing w:line="360" w:lineRule="auto"/>
        <w:jc w:val="both"/>
        <w:rPr>
          <w:sz w:val="24"/>
          <w:lang w:eastAsia="zh-CN" w:bidi="en-US"/>
        </w:rPr>
      </w:pPr>
      <w:r w:rsidRPr="00771368">
        <w:rPr>
          <w:sz w:val="24"/>
          <w:lang w:val="es-ES_tradnl" w:eastAsia="zh-CN" w:bidi="en-US"/>
        </w:rPr>
        <w:t xml:space="preserve">PATERRA. Marcos T. G. </w:t>
      </w:r>
      <w:r w:rsidRPr="00771368">
        <w:rPr>
          <w:b/>
          <w:sz w:val="24"/>
          <w:lang w:val="es-ES_tradnl" w:eastAsia="zh-CN" w:bidi="en-US"/>
        </w:rPr>
        <w:t xml:space="preserve">Trabalho Infantil no Brasil. </w:t>
      </w:r>
      <w:hyperlink r:id="rId126" w:history="1">
        <w:r w:rsidRPr="00771368">
          <w:rPr>
            <w:rStyle w:val="Hyperlink"/>
            <w:sz w:val="24"/>
            <w:lang w:eastAsia="zh-CN" w:bidi="en-US"/>
          </w:rPr>
          <w:t>http://literaciasoscrianca.blogspot.com/2010_12_03_archive.html</w:t>
        </w:r>
      </w:hyperlink>
      <w:r w:rsidRPr="00771368">
        <w:rPr>
          <w:sz w:val="24"/>
          <w:lang w:eastAsia="zh-CN" w:bidi="en-US"/>
        </w:rPr>
        <w:t xml:space="preserve"> acessado em 16/09/201.</w:t>
      </w:r>
    </w:p>
    <w:p w:rsidR="00D24E61" w:rsidRPr="00771368" w:rsidRDefault="00D24E61" w:rsidP="00D24E61">
      <w:pPr>
        <w:suppressAutoHyphens/>
        <w:spacing w:line="360" w:lineRule="auto"/>
        <w:jc w:val="both"/>
        <w:rPr>
          <w:sz w:val="24"/>
          <w:lang w:val="es-ES_tradnl" w:eastAsia="zh-CN" w:bidi="en-US"/>
        </w:rPr>
      </w:pPr>
      <w:r w:rsidRPr="00771368">
        <w:rPr>
          <w:sz w:val="24"/>
        </w:rPr>
        <w:t xml:space="preserve">PATERRA, Marcos T. G.; RODRIGUES, Silvestre Coelho. </w:t>
      </w:r>
      <w:r w:rsidRPr="00771368">
        <w:rPr>
          <w:b/>
          <w:sz w:val="24"/>
        </w:rPr>
        <w:t>Atuação do psicopedagogo nos diversos e complexos contextos  de  dificuldades de aprendizagem nas instituições escolares</w:t>
      </w:r>
      <w:r w:rsidRPr="00771368">
        <w:rPr>
          <w:sz w:val="24"/>
        </w:rPr>
        <w:t xml:space="preserve">. In Revista Psicopedagogia Online. </w:t>
      </w:r>
      <w:hyperlink r:id="rId127" w:history="1">
        <w:r w:rsidRPr="00771368">
          <w:rPr>
            <w:rStyle w:val="Hyperlink"/>
            <w:sz w:val="24"/>
          </w:rPr>
          <w:t>http://www.psicopedagogia.com.br/new1_artigo.asp</w:t>
        </w:r>
      </w:hyperlink>
      <w:r w:rsidRPr="00771368">
        <w:rPr>
          <w:sz w:val="24"/>
        </w:rPr>
        <w:t>? Acessado em 11/09/2013</w:t>
      </w:r>
    </w:p>
    <w:p w:rsidR="00D24E61" w:rsidRPr="00771368" w:rsidRDefault="00D24E61" w:rsidP="00D24E61">
      <w:pPr>
        <w:autoSpaceDE w:val="0"/>
        <w:autoSpaceDN w:val="0"/>
        <w:adjustRightInd w:val="0"/>
        <w:spacing w:line="360" w:lineRule="auto"/>
        <w:jc w:val="both"/>
        <w:rPr>
          <w:sz w:val="24"/>
          <w:lang w:eastAsia="zh-CN" w:bidi="en-US"/>
        </w:rPr>
      </w:pPr>
      <w:r w:rsidRPr="00771368">
        <w:rPr>
          <w:sz w:val="24"/>
          <w:lang w:eastAsia="zh-CN" w:bidi="en-US"/>
        </w:rPr>
        <w:t xml:space="preserve">PESSOTTI, Isaías. </w:t>
      </w:r>
      <w:r w:rsidRPr="00771368">
        <w:rPr>
          <w:b/>
          <w:sz w:val="24"/>
          <w:lang w:eastAsia="zh-CN" w:bidi="en-US"/>
        </w:rPr>
        <w:t>Deficiência mental: da superstição à ciência</w:t>
      </w:r>
      <w:r w:rsidRPr="00771368">
        <w:rPr>
          <w:sz w:val="24"/>
          <w:lang w:eastAsia="zh-CN" w:bidi="en-US"/>
        </w:rPr>
        <w:t xml:space="preserve">. São Paulo: Queiroz/ Edusp, 1984. </w:t>
      </w:r>
    </w:p>
    <w:p w:rsidR="00D24E61" w:rsidRPr="00771368" w:rsidRDefault="00D24E61" w:rsidP="00D24E61">
      <w:pPr>
        <w:autoSpaceDE w:val="0"/>
        <w:autoSpaceDN w:val="0"/>
        <w:adjustRightInd w:val="0"/>
        <w:spacing w:line="360" w:lineRule="auto"/>
        <w:jc w:val="both"/>
        <w:rPr>
          <w:color w:val="000000"/>
          <w:sz w:val="24"/>
          <w:lang w:val="es-ES_tradnl"/>
        </w:rPr>
      </w:pPr>
      <w:r w:rsidRPr="00771368">
        <w:rPr>
          <w:sz w:val="24"/>
          <w:lang w:eastAsia="zh-CN" w:bidi="en-US"/>
        </w:rPr>
        <w:t xml:space="preserve">ROUSSEAU, Jean Jacques. </w:t>
      </w:r>
      <w:r w:rsidRPr="00771368">
        <w:rPr>
          <w:b/>
          <w:sz w:val="24"/>
          <w:lang w:eastAsia="zh-CN" w:bidi="en-US"/>
        </w:rPr>
        <w:t>Ensaios Pedagógicos</w:t>
      </w:r>
      <w:r w:rsidRPr="00771368">
        <w:rPr>
          <w:sz w:val="24"/>
          <w:lang w:eastAsia="zh-CN" w:bidi="en-US"/>
        </w:rPr>
        <w:t>. Bragança Paulista - SP: Editora Comenius, 2004.</w:t>
      </w:r>
    </w:p>
    <w:p w:rsidR="00D24E61" w:rsidRPr="00771368" w:rsidRDefault="00D24E61" w:rsidP="00D24E61">
      <w:pPr>
        <w:suppressAutoHyphens/>
        <w:spacing w:line="360" w:lineRule="auto"/>
        <w:jc w:val="both"/>
        <w:rPr>
          <w:sz w:val="24"/>
          <w:lang w:val="es-ES_tradnl" w:eastAsia="zh-CN" w:bidi="en-US"/>
        </w:rPr>
      </w:pPr>
      <w:r w:rsidRPr="00771368">
        <w:rPr>
          <w:sz w:val="24"/>
          <w:lang w:val="es-ES_tradnl" w:eastAsia="zh-CN" w:bidi="en-US"/>
        </w:rPr>
        <w:t xml:space="preserve">ROUSSEAU, </w:t>
      </w:r>
      <w:r w:rsidRPr="00771368">
        <w:rPr>
          <w:sz w:val="24"/>
          <w:lang w:eastAsia="zh-CN" w:bidi="en-US"/>
        </w:rPr>
        <w:t>Jean Jacques.</w:t>
      </w:r>
      <w:r w:rsidRPr="00771368">
        <w:rPr>
          <w:b/>
          <w:sz w:val="24"/>
          <w:lang w:val="es-ES_tradnl" w:eastAsia="zh-CN" w:bidi="en-US"/>
        </w:rPr>
        <w:t xml:space="preserve"> Emilio ou da Educação</w:t>
      </w:r>
      <w:r w:rsidRPr="00771368">
        <w:rPr>
          <w:sz w:val="24"/>
          <w:lang w:val="es-ES_tradnl" w:eastAsia="zh-CN" w:bidi="en-US"/>
        </w:rPr>
        <w:t>. Rio de Janeiro: Ed.  Bertrand Brasil S.A. 1992. .  Disponível em: http://educar.no.sapo.pt/teorias.htm Acesso em: 10/09/2013.</w:t>
      </w:r>
    </w:p>
    <w:p w:rsidR="00D24E61" w:rsidRPr="00771368" w:rsidRDefault="00D24E61" w:rsidP="00D24E61">
      <w:pPr>
        <w:autoSpaceDE w:val="0"/>
        <w:autoSpaceDN w:val="0"/>
        <w:adjustRightInd w:val="0"/>
        <w:spacing w:line="360" w:lineRule="auto"/>
        <w:jc w:val="both"/>
        <w:rPr>
          <w:caps/>
          <w:sz w:val="24"/>
        </w:rPr>
      </w:pPr>
      <w:r w:rsidRPr="00771368">
        <w:rPr>
          <w:caps/>
          <w:sz w:val="24"/>
        </w:rPr>
        <w:t>SILVA, A</w:t>
      </w:r>
      <w:r w:rsidRPr="00771368">
        <w:rPr>
          <w:sz w:val="24"/>
        </w:rPr>
        <w:t>na</w:t>
      </w:r>
      <w:r w:rsidRPr="00771368">
        <w:rPr>
          <w:caps/>
          <w:sz w:val="24"/>
        </w:rPr>
        <w:t xml:space="preserve"> C</w:t>
      </w:r>
      <w:r w:rsidRPr="00771368">
        <w:rPr>
          <w:sz w:val="24"/>
        </w:rPr>
        <w:t>élia da</w:t>
      </w:r>
      <w:r w:rsidRPr="00771368">
        <w:rPr>
          <w:caps/>
          <w:sz w:val="24"/>
        </w:rPr>
        <w:t xml:space="preserve">. </w:t>
      </w:r>
      <w:r w:rsidRPr="00771368">
        <w:rPr>
          <w:b/>
          <w:sz w:val="24"/>
        </w:rPr>
        <w:t>Desconstruindo a discriminação do negro no livro didático</w:t>
      </w:r>
      <w:r w:rsidRPr="00771368">
        <w:rPr>
          <w:sz w:val="24"/>
        </w:rPr>
        <w:t xml:space="preserve"> </w:t>
      </w:r>
      <w:r w:rsidRPr="00771368">
        <w:rPr>
          <w:caps/>
          <w:sz w:val="24"/>
        </w:rPr>
        <w:t>– S</w:t>
      </w:r>
      <w:r w:rsidRPr="00771368">
        <w:rPr>
          <w:sz w:val="24"/>
        </w:rPr>
        <w:t>alvador</w:t>
      </w:r>
      <w:r w:rsidRPr="00771368">
        <w:rPr>
          <w:caps/>
          <w:sz w:val="24"/>
        </w:rPr>
        <w:t>, BA, EDUFBA, 2005.</w:t>
      </w:r>
    </w:p>
    <w:p w:rsidR="00D24E61" w:rsidRPr="00771368" w:rsidRDefault="00D24E61" w:rsidP="00D24E61">
      <w:pPr>
        <w:spacing w:line="360" w:lineRule="auto"/>
        <w:jc w:val="both"/>
        <w:rPr>
          <w:bCs/>
          <w:sz w:val="24"/>
        </w:rPr>
      </w:pPr>
      <w:r w:rsidRPr="00771368">
        <w:rPr>
          <w:bCs/>
          <w:sz w:val="24"/>
        </w:rPr>
        <w:t xml:space="preserve">TEIXEIRA, João de Fernandes. </w:t>
      </w:r>
      <w:r w:rsidRPr="00771368">
        <w:rPr>
          <w:b/>
          <w:bCs/>
          <w:sz w:val="24"/>
        </w:rPr>
        <w:t>O QUE É FILOSOFIA DA MENTE.</w:t>
      </w:r>
      <w:r w:rsidRPr="00771368">
        <w:rPr>
          <w:bCs/>
          <w:sz w:val="24"/>
        </w:rPr>
        <w:t xml:space="preserve"> Editora Brasiliense – Coleção: Primeiros Passos.</w:t>
      </w:r>
      <w:r w:rsidRPr="00771368">
        <w:rPr>
          <w:sz w:val="24"/>
        </w:rPr>
        <w:t xml:space="preserve">  N º  </w:t>
      </w:r>
      <w:r w:rsidRPr="00771368">
        <w:rPr>
          <w:bCs/>
          <w:sz w:val="24"/>
        </w:rPr>
        <w:t>294. São Paulo. 1994.</w:t>
      </w:r>
    </w:p>
    <w:p w:rsidR="00D24E61" w:rsidRPr="00771368" w:rsidRDefault="00D24E61" w:rsidP="00D24E61">
      <w:pPr>
        <w:spacing w:line="360" w:lineRule="auto"/>
        <w:jc w:val="both"/>
        <w:rPr>
          <w:bCs/>
          <w:sz w:val="24"/>
        </w:rPr>
      </w:pPr>
      <w:r w:rsidRPr="00771368">
        <w:rPr>
          <w:bCs/>
          <w:sz w:val="24"/>
        </w:rPr>
        <w:t xml:space="preserve">TEIXEIRA, João de Fernandes. </w:t>
      </w:r>
      <w:r w:rsidRPr="00771368">
        <w:rPr>
          <w:b/>
          <w:bCs/>
          <w:sz w:val="24"/>
        </w:rPr>
        <w:t xml:space="preserve">FILOSOFIA DA MENTE NEUROCIÊNCIA, COGNIÇÃO E COMPORTAMENTO. </w:t>
      </w:r>
      <w:r w:rsidRPr="00771368">
        <w:rPr>
          <w:bCs/>
          <w:sz w:val="24"/>
        </w:rPr>
        <w:t xml:space="preserve"> Editora Claraluz, São Carlos – SP. 2005. </w:t>
      </w:r>
    </w:p>
    <w:p w:rsidR="00D24E61" w:rsidRPr="00771368" w:rsidRDefault="00D24E61" w:rsidP="00D24E61">
      <w:pPr>
        <w:pStyle w:val="Textodenotadefim"/>
        <w:spacing w:line="360" w:lineRule="auto"/>
        <w:jc w:val="both"/>
        <w:rPr>
          <w:rFonts w:ascii="Times New Roman" w:hAnsi="Times New Roman"/>
          <w:sz w:val="24"/>
          <w:szCs w:val="22"/>
        </w:rPr>
      </w:pPr>
      <w:r w:rsidRPr="00771368">
        <w:rPr>
          <w:rFonts w:ascii="Times New Roman" w:hAnsi="Times New Roman"/>
          <w:sz w:val="24"/>
          <w:szCs w:val="22"/>
        </w:rPr>
        <w:t xml:space="preserve">TIBA, Içami. </w:t>
      </w:r>
      <w:r w:rsidRPr="00771368">
        <w:rPr>
          <w:rFonts w:ascii="Times New Roman" w:hAnsi="Times New Roman"/>
          <w:b/>
          <w:sz w:val="24"/>
          <w:szCs w:val="22"/>
        </w:rPr>
        <w:t>Disciplina - O Limite na Medida Certa</w:t>
      </w:r>
      <w:r w:rsidRPr="00771368">
        <w:rPr>
          <w:rFonts w:ascii="Times New Roman" w:hAnsi="Times New Roman"/>
          <w:sz w:val="24"/>
          <w:szCs w:val="22"/>
        </w:rPr>
        <w:t>. Editora Gente. 1996.</w:t>
      </w:r>
    </w:p>
    <w:p w:rsidR="00D24E61" w:rsidRPr="00771368" w:rsidRDefault="00D24E61" w:rsidP="00D24E61">
      <w:pPr>
        <w:autoSpaceDE w:val="0"/>
        <w:autoSpaceDN w:val="0"/>
        <w:adjustRightInd w:val="0"/>
        <w:spacing w:line="360" w:lineRule="auto"/>
        <w:jc w:val="both"/>
        <w:rPr>
          <w:color w:val="000000"/>
          <w:lang w:val="es-ES_tradnl"/>
        </w:rPr>
      </w:pPr>
      <w:r w:rsidRPr="00771368">
        <w:rPr>
          <w:color w:val="000000"/>
          <w:sz w:val="24"/>
          <w:lang w:val="es-ES_tradnl"/>
        </w:rPr>
        <w:t xml:space="preserve">VYGOTSKY Lev Semionovich. </w:t>
      </w:r>
      <w:r w:rsidRPr="00771368">
        <w:rPr>
          <w:b/>
          <w:color w:val="000000"/>
          <w:sz w:val="24"/>
          <w:lang w:val="es-ES_tradnl"/>
        </w:rPr>
        <w:t>Pensamento e linguagem</w:t>
      </w:r>
      <w:r w:rsidRPr="00771368">
        <w:rPr>
          <w:color w:val="000000"/>
          <w:sz w:val="24"/>
          <w:lang w:val="es-ES_tradnl"/>
        </w:rPr>
        <w:t xml:space="preserve">. Edição eletrônica: Ed Ridendo Castigat Mores. </w:t>
      </w:r>
      <w:hyperlink r:id="rId128" w:history="1">
        <w:r w:rsidRPr="00771368">
          <w:rPr>
            <w:rStyle w:val="Hyperlink"/>
            <w:sz w:val="24"/>
            <w:lang w:val="es-ES_tradnl"/>
          </w:rPr>
          <w:t>file:///C|/site/livros_gratis/pensamento_linguagem.htm</w:t>
        </w:r>
      </w:hyperlink>
      <w:r w:rsidRPr="00771368">
        <w:rPr>
          <w:color w:val="000000"/>
          <w:sz w:val="24"/>
          <w:lang w:val="es-ES_tradnl"/>
        </w:rPr>
        <w:t xml:space="preserve"> acessado em 16/09/2013.</w:t>
      </w:r>
    </w:p>
    <w:p w:rsidR="00D24E61" w:rsidRPr="00D63CBC" w:rsidRDefault="00013211" w:rsidP="00D24E61">
      <w:pPr>
        <w:jc w:val="center"/>
        <w:rPr>
          <w:b/>
          <w:sz w:val="28"/>
        </w:rPr>
      </w:pPr>
      <w:r>
        <w:rPr>
          <w:b/>
          <w:noProof/>
          <w:sz w:val="28"/>
        </w:rPr>
        <mc:AlternateContent>
          <mc:Choice Requires="wps">
            <w:drawing>
              <wp:anchor distT="0" distB="0" distL="114300" distR="114300" simplePos="0" relativeHeight="251647488" behindDoc="0" locked="0" layoutInCell="1" allowOverlap="1">
                <wp:simplePos x="0" y="0"/>
                <wp:positionH relativeFrom="column">
                  <wp:posOffset>5330190</wp:posOffset>
                </wp:positionH>
                <wp:positionV relativeFrom="paragraph">
                  <wp:posOffset>-763270</wp:posOffset>
                </wp:positionV>
                <wp:extent cx="570230" cy="514350"/>
                <wp:effectExtent l="5715" t="8255" r="5080" b="10795"/>
                <wp:wrapNone/>
                <wp:docPr id="28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514350"/>
                        </a:xfrm>
                        <a:prstGeom prst="rect">
                          <a:avLst/>
                        </a:prstGeom>
                        <a:solidFill>
                          <a:srgbClr val="FFFFFF"/>
                        </a:solidFill>
                        <a:ln w="9525">
                          <a:solidFill>
                            <a:srgbClr val="FFFFFF"/>
                          </a:solidFill>
                          <a:miter lim="800000"/>
                          <a:headEnd/>
                          <a:tailEnd/>
                        </a:ln>
                      </wps:spPr>
                      <wps:txbx>
                        <w:txbxContent>
                          <w:p w:rsidR="00EC0E77" w:rsidRDefault="00EC0E77" w:rsidP="00D24E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28" type="#_x0000_t202" style="position:absolute;left:0;text-align:left;margin-left:419.7pt;margin-top:-60.1pt;width:44.9pt;height: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" strokecolor="white">
                <v:textbox>
                  <w:txbxContent>
                    <w:p w:rsidR="00EC0E77" w:rsidRDefault="00EC0E77" w:rsidP="00D24E61"/>
                  </w:txbxContent>
                </v:textbox>
              </v:shape>
            </w:pict>
          </mc:Fallback>
        </mc:AlternateContent>
      </w:r>
      <w:r w:rsidR="00D24E61" w:rsidRPr="00D63CBC">
        <w:rPr>
          <w:b/>
          <w:sz w:val="28"/>
        </w:rPr>
        <w:t>UNIVERSIDADE REGIONAL DO CARIRI - URCA</w:t>
      </w:r>
    </w:p>
    <w:p w:rsidR="00D24E61" w:rsidRPr="00D63CBC" w:rsidRDefault="00D24E61" w:rsidP="00D24E61">
      <w:pPr>
        <w:jc w:val="center"/>
        <w:rPr>
          <w:b/>
          <w:sz w:val="28"/>
        </w:rPr>
      </w:pPr>
      <w:r w:rsidRPr="00D63CBC">
        <w:rPr>
          <w:b/>
          <w:sz w:val="28"/>
        </w:rPr>
        <w:t>DEPARTAMENTO DE LINGUAS E LITERATURAS</w:t>
      </w:r>
    </w:p>
    <w:p w:rsidR="00D24E61" w:rsidRPr="00D63CBC" w:rsidRDefault="00D24E61" w:rsidP="00D24E61">
      <w:pPr>
        <w:jc w:val="center"/>
        <w:rPr>
          <w:b/>
          <w:sz w:val="28"/>
        </w:rPr>
      </w:pPr>
      <w:r w:rsidRPr="00D63CBC">
        <w:rPr>
          <w:b/>
          <w:sz w:val="28"/>
        </w:rPr>
        <w:t>CURSO DE LETRAS</w:t>
      </w:r>
    </w:p>
    <w:p w:rsidR="00D24E61" w:rsidRPr="00D63CBC" w:rsidRDefault="00D24E61" w:rsidP="00D24E61">
      <w:pPr>
        <w:jc w:val="center"/>
        <w:rPr>
          <w:b/>
          <w:sz w:val="28"/>
        </w:rPr>
      </w:pPr>
    </w:p>
    <w:p w:rsidR="00D24E61" w:rsidRPr="00D63CBC" w:rsidRDefault="00D24E61" w:rsidP="00D24E61">
      <w:pPr>
        <w:jc w:val="center"/>
        <w:rPr>
          <w:b/>
          <w:sz w:val="28"/>
        </w:rPr>
      </w:pPr>
      <w:r w:rsidRPr="00D63CBC">
        <w:rPr>
          <w:b/>
          <w:sz w:val="28"/>
        </w:rPr>
        <w:t>Eduardo e Mônica: A questão de Gênero</w:t>
      </w:r>
    </w:p>
    <w:p w:rsidR="00D24E61" w:rsidRPr="00771368" w:rsidRDefault="00D24E61" w:rsidP="00D63CBC">
      <w:pPr>
        <w:pStyle w:val="Ttulo1"/>
      </w:pPr>
      <w:bookmarkStart w:id="48" w:name="_Toc442034737"/>
      <w:r w:rsidRPr="00771368">
        <w:t>Dalvan José de Sousa</w:t>
      </w:r>
      <w:bookmarkEnd w:id="48"/>
    </w:p>
    <w:p w:rsidR="00D63CBC" w:rsidRDefault="00D63CBC" w:rsidP="00D24E61">
      <w:pPr>
        <w:tabs>
          <w:tab w:val="left" w:pos="3969"/>
        </w:tabs>
        <w:spacing w:line="720" w:lineRule="auto"/>
        <w:jc w:val="center"/>
      </w:pPr>
    </w:p>
    <w:p w:rsidR="00D24E61" w:rsidRPr="00D63CBC" w:rsidRDefault="00D24E61" w:rsidP="00D24E61">
      <w:pPr>
        <w:tabs>
          <w:tab w:val="left" w:pos="3969"/>
        </w:tabs>
        <w:spacing w:line="720" w:lineRule="auto"/>
        <w:jc w:val="center"/>
        <w:rPr>
          <w:b/>
          <w:sz w:val="24"/>
        </w:rPr>
      </w:pPr>
      <w:r w:rsidRPr="00D63CBC">
        <w:rPr>
          <w:b/>
          <w:sz w:val="24"/>
        </w:rPr>
        <w:t>Resumo</w:t>
      </w:r>
    </w:p>
    <w:p w:rsidR="00D24E61" w:rsidRPr="00D63CBC" w:rsidRDefault="00D24E61" w:rsidP="00D63CBC">
      <w:pPr>
        <w:jc w:val="both"/>
        <w:rPr>
          <w:sz w:val="24"/>
        </w:rPr>
      </w:pPr>
      <w:r w:rsidRPr="00D63CBC">
        <w:rPr>
          <w:sz w:val="24"/>
        </w:rPr>
        <w:t xml:space="preserve">Este artigo pretende discutir a questão de gênero apresentada na canção Eduardo e Mônica do cantor e compositor brasileiro Renato Russo, analisando o intento do mesmo ao colocar os dois sexos em constante embate. Procura, ainda, perceber a construção da identidade superior da mulher, quando o compositor coloca Eduardo sempre em segundo plano, sempre a sombra de Mônica, e o porquê de o compositor traçar meios para que os dois personagens se encontrem no final, apesar das diferenças apresentadas no início da canção. </w:t>
      </w:r>
    </w:p>
    <w:p w:rsidR="00D24E61" w:rsidRPr="00D63CBC" w:rsidRDefault="00D24E61" w:rsidP="00D63CBC">
      <w:pPr>
        <w:spacing w:before="240" w:after="240"/>
        <w:jc w:val="both"/>
        <w:rPr>
          <w:sz w:val="24"/>
        </w:rPr>
      </w:pPr>
    </w:p>
    <w:p w:rsidR="00D24E61" w:rsidRPr="00D63CBC" w:rsidRDefault="00D24E61" w:rsidP="00D24E61">
      <w:pPr>
        <w:rPr>
          <w:sz w:val="24"/>
        </w:rPr>
      </w:pPr>
      <w:r w:rsidRPr="00D63CBC">
        <w:rPr>
          <w:b/>
          <w:sz w:val="24"/>
        </w:rPr>
        <w:t>Palavras-Chave:</w:t>
      </w:r>
      <w:r w:rsidRPr="00D63CBC">
        <w:rPr>
          <w:color w:val="FF0000"/>
          <w:sz w:val="24"/>
        </w:rPr>
        <w:t xml:space="preserve"> </w:t>
      </w:r>
      <w:r w:rsidRPr="00D63CBC">
        <w:rPr>
          <w:sz w:val="24"/>
        </w:rPr>
        <w:t>Questão de Gênero, Eduardo, Mônica</w:t>
      </w:r>
    </w:p>
    <w:p w:rsidR="00D24E61" w:rsidRPr="00D63CBC" w:rsidRDefault="00D24E61" w:rsidP="00D24E61">
      <w:pPr>
        <w:rPr>
          <w:sz w:val="24"/>
        </w:rPr>
      </w:pPr>
    </w:p>
    <w:p w:rsidR="00D24E61" w:rsidRPr="00D63CBC" w:rsidRDefault="00D24E61" w:rsidP="00D24E61">
      <w:pPr>
        <w:rPr>
          <w:color w:val="FF0000"/>
          <w:sz w:val="24"/>
        </w:rPr>
      </w:pPr>
    </w:p>
    <w:p w:rsidR="00D24E61" w:rsidRPr="00D63CBC" w:rsidRDefault="00D24E61" w:rsidP="00D24E61">
      <w:pPr>
        <w:spacing w:before="240" w:after="240"/>
        <w:jc w:val="center"/>
        <w:rPr>
          <w:b/>
          <w:sz w:val="24"/>
          <w:lang w:val="en-US"/>
        </w:rPr>
      </w:pPr>
      <w:r w:rsidRPr="00D63CBC">
        <w:rPr>
          <w:b/>
          <w:sz w:val="24"/>
          <w:lang w:val="en-US"/>
        </w:rPr>
        <w:t>Abstract</w:t>
      </w:r>
    </w:p>
    <w:p w:rsidR="00D24E61" w:rsidRPr="00D61223" w:rsidRDefault="00D24E61" w:rsidP="00D63CBC">
      <w:pPr>
        <w:jc w:val="both"/>
        <w:rPr>
          <w:sz w:val="24"/>
          <w:lang w:val="en-US"/>
        </w:rPr>
      </w:pPr>
      <w:r w:rsidRPr="00D61223">
        <w:rPr>
          <w:rStyle w:val="hps"/>
          <w:sz w:val="24"/>
          <w:lang w:val="en-US"/>
        </w:rPr>
        <w:t>This article aims discusses</w:t>
      </w:r>
      <w:r w:rsidRPr="00D61223">
        <w:rPr>
          <w:sz w:val="24"/>
          <w:lang w:val="en-US"/>
        </w:rPr>
        <w:t xml:space="preserve"> </w:t>
      </w:r>
      <w:r w:rsidRPr="00D61223">
        <w:rPr>
          <w:rStyle w:val="hps"/>
          <w:sz w:val="24"/>
          <w:lang w:val="en-US"/>
        </w:rPr>
        <w:t>the issue of gender</w:t>
      </w:r>
      <w:r w:rsidRPr="00D61223">
        <w:rPr>
          <w:sz w:val="24"/>
          <w:lang w:val="en-US"/>
        </w:rPr>
        <w:t xml:space="preserve"> </w:t>
      </w:r>
      <w:r w:rsidRPr="00D61223">
        <w:rPr>
          <w:rStyle w:val="hps"/>
          <w:sz w:val="24"/>
          <w:lang w:val="en-US"/>
        </w:rPr>
        <w:t>in the song</w:t>
      </w:r>
      <w:r w:rsidRPr="00D61223">
        <w:rPr>
          <w:sz w:val="24"/>
          <w:lang w:val="en-US"/>
        </w:rPr>
        <w:t xml:space="preserve"> </w:t>
      </w:r>
      <w:r w:rsidRPr="00D61223">
        <w:rPr>
          <w:rStyle w:val="hps"/>
          <w:sz w:val="24"/>
          <w:lang w:val="en-US"/>
        </w:rPr>
        <w:t>Eduardo</w:t>
      </w:r>
      <w:r w:rsidRPr="00D61223">
        <w:rPr>
          <w:sz w:val="24"/>
          <w:lang w:val="en-US"/>
        </w:rPr>
        <w:t xml:space="preserve"> </w:t>
      </w:r>
      <w:r w:rsidRPr="00D61223">
        <w:rPr>
          <w:rStyle w:val="hps"/>
          <w:sz w:val="24"/>
          <w:lang w:val="en-US"/>
        </w:rPr>
        <w:t>and</w:t>
      </w:r>
      <w:r w:rsidRPr="00D61223">
        <w:rPr>
          <w:sz w:val="24"/>
          <w:lang w:val="en-US"/>
        </w:rPr>
        <w:t xml:space="preserve"> </w:t>
      </w:r>
      <w:r w:rsidRPr="00D61223">
        <w:rPr>
          <w:rStyle w:val="hps"/>
          <w:sz w:val="24"/>
          <w:lang w:val="en-US"/>
        </w:rPr>
        <w:t>Monica written and compoused by</w:t>
      </w:r>
      <w:r w:rsidRPr="00D61223">
        <w:rPr>
          <w:sz w:val="24"/>
          <w:lang w:val="en-US"/>
        </w:rPr>
        <w:t xml:space="preserve"> the Brazilian </w:t>
      </w:r>
      <w:r w:rsidRPr="00D61223">
        <w:rPr>
          <w:rStyle w:val="hps"/>
          <w:sz w:val="24"/>
          <w:lang w:val="en-US"/>
        </w:rPr>
        <w:t>singer</w:t>
      </w:r>
      <w:r w:rsidRPr="00D61223">
        <w:rPr>
          <w:sz w:val="24"/>
          <w:lang w:val="en-US"/>
        </w:rPr>
        <w:t xml:space="preserve"> </w:t>
      </w:r>
      <w:r w:rsidRPr="00D61223">
        <w:rPr>
          <w:rStyle w:val="hps"/>
          <w:sz w:val="24"/>
          <w:lang w:val="en-US"/>
        </w:rPr>
        <w:t>Renato</w:t>
      </w:r>
      <w:r w:rsidRPr="00D61223">
        <w:rPr>
          <w:sz w:val="24"/>
          <w:lang w:val="en-US"/>
        </w:rPr>
        <w:t xml:space="preserve"> </w:t>
      </w:r>
      <w:r w:rsidRPr="00D61223">
        <w:rPr>
          <w:rStyle w:val="hps"/>
          <w:sz w:val="24"/>
          <w:lang w:val="en-US"/>
        </w:rPr>
        <w:t>Russo</w:t>
      </w:r>
      <w:r w:rsidRPr="00D61223">
        <w:rPr>
          <w:sz w:val="24"/>
          <w:lang w:val="en-US"/>
        </w:rPr>
        <w:t xml:space="preserve">, analyzing </w:t>
      </w:r>
      <w:r w:rsidRPr="00D61223">
        <w:rPr>
          <w:rStyle w:val="hps"/>
          <w:sz w:val="24"/>
          <w:lang w:val="en-US"/>
        </w:rPr>
        <w:t>the intent</w:t>
      </w:r>
      <w:r w:rsidRPr="00D61223">
        <w:rPr>
          <w:sz w:val="24"/>
          <w:lang w:val="en-US"/>
        </w:rPr>
        <w:t xml:space="preserve"> </w:t>
      </w:r>
      <w:r w:rsidRPr="00D61223">
        <w:rPr>
          <w:rStyle w:val="hps"/>
          <w:sz w:val="24"/>
          <w:lang w:val="en-US"/>
        </w:rPr>
        <w:t>to</w:t>
      </w:r>
      <w:r w:rsidRPr="00D61223">
        <w:rPr>
          <w:sz w:val="24"/>
          <w:lang w:val="en-US"/>
        </w:rPr>
        <w:t xml:space="preserve"> </w:t>
      </w:r>
      <w:r w:rsidRPr="00D61223">
        <w:rPr>
          <w:rStyle w:val="hps"/>
          <w:sz w:val="24"/>
          <w:lang w:val="en-US"/>
        </w:rPr>
        <w:t>put</w:t>
      </w:r>
      <w:r w:rsidRPr="00D61223">
        <w:rPr>
          <w:sz w:val="24"/>
          <w:lang w:val="en-US"/>
        </w:rPr>
        <w:t xml:space="preserve"> </w:t>
      </w:r>
      <w:r w:rsidRPr="00D61223">
        <w:rPr>
          <w:rStyle w:val="hps"/>
          <w:sz w:val="24"/>
          <w:lang w:val="en-US"/>
        </w:rPr>
        <w:t>the same</w:t>
      </w:r>
      <w:r w:rsidRPr="00D61223">
        <w:rPr>
          <w:sz w:val="24"/>
          <w:lang w:val="en-US"/>
        </w:rPr>
        <w:t xml:space="preserve"> </w:t>
      </w:r>
      <w:r w:rsidRPr="00D61223">
        <w:rPr>
          <w:rStyle w:val="hps"/>
          <w:sz w:val="24"/>
          <w:lang w:val="en-US"/>
        </w:rPr>
        <w:t>sex in the</w:t>
      </w:r>
      <w:r w:rsidRPr="00D61223">
        <w:rPr>
          <w:sz w:val="24"/>
          <w:lang w:val="en-US"/>
        </w:rPr>
        <w:t xml:space="preserve"> </w:t>
      </w:r>
      <w:r w:rsidRPr="00D61223">
        <w:rPr>
          <w:rStyle w:val="hps"/>
          <w:sz w:val="24"/>
          <w:lang w:val="en-US"/>
        </w:rPr>
        <w:t>constant</w:t>
      </w:r>
      <w:r w:rsidRPr="00D61223">
        <w:rPr>
          <w:sz w:val="24"/>
          <w:lang w:val="en-US"/>
        </w:rPr>
        <w:t xml:space="preserve"> </w:t>
      </w:r>
      <w:r w:rsidRPr="00D61223">
        <w:rPr>
          <w:rStyle w:val="hps"/>
          <w:sz w:val="24"/>
          <w:lang w:val="en-US"/>
        </w:rPr>
        <w:t>struggle</w:t>
      </w:r>
      <w:r w:rsidRPr="00D61223">
        <w:rPr>
          <w:sz w:val="24"/>
          <w:lang w:val="en-US"/>
        </w:rPr>
        <w:t xml:space="preserve">. </w:t>
      </w:r>
      <w:r w:rsidRPr="00D61223">
        <w:rPr>
          <w:rStyle w:val="hps"/>
          <w:sz w:val="24"/>
          <w:lang w:val="en-US"/>
        </w:rPr>
        <w:t>It also aims</w:t>
      </w:r>
      <w:r w:rsidRPr="00D61223">
        <w:rPr>
          <w:sz w:val="24"/>
          <w:lang w:val="en-US"/>
        </w:rPr>
        <w:t xml:space="preserve"> </w:t>
      </w:r>
      <w:r w:rsidRPr="00D61223">
        <w:rPr>
          <w:rStyle w:val="hps"/>
          <w:sz w:val="24"/>
          <w:lang w:val="en-US"/>
        </w:rPr>
        <w:t>analyse</w:t>
      </w:r>
      <w:r w:rsidRPr="00D61223">
        <w:rPr>
          <w:sz w:val="24"/>
          <w:lang w:val="en-US"/>
        </w:rPr>
        <w:t xml:space="preserve"> </w:t>
      </w:r>
      <w:r w:rsidRPr="00D61223">
        <w:rPr>
          <w:rStyle w:val="hps"/>
          <w:sz w:val="24"/>
          <w:lang w:val="en-US"/>
        </w:rPr>
        <w:t>the construction</w:t>
      </w:r>
      <w:r w:rsidRPr="00D61223">
        <w:rPr>
          <w:sz w:val="24"/>
          <w:lang w:val="en-US"/>
        </w:rPr>
        <w:t xml:space="preserve"> </w:t>
      </w:r>
      <w:r w:rsidRPr="00D61223">
        <w:rPr>
          <w:rStyle w:val="hps"/>
          <w:sz w:val="24"/>
          <w:lang w:val="en-US"/>
        </w:rPr>
        <w:t>of the superiority  identity</w:t>
      </w:r>
      <w:r w:rsidRPr="00D61223">
        <w:rPr>
          <w:sz w:val="24"/>
          <w:lang w:val="en-US"/>
        </w:rPr>
        <w:t xml:space="preserve"> </w:t>
      </w:r>
      <w:r w:rsidRPr="00D61223">
        <w:rPr>
          <w:rStyle w:val="hps"/>
          <w:sz w:val="24"/>
          <w:lang w:val="en-US"/>
        </w:rPr>
        <w:t>of the woman</w:t>
      </w:r>
      <w:r w:rsidRPr="00D61223">
        <w:rPr>
          <w:sz w:val="24"/>
          <w:lang w:val="en-US"/>
        </w:rPr>
        <w:t xml:space="preserve">, </w:t>
      </w:r>
      <w:r w:rsidRPr="00D61223">
        <w:rPr>
          <w:rStyle w:val="hps"/>
          <w:sz w:val="24"/>
          <w:lang w:val="en-US"/>
        </w:rPr>
        <w:t>when the composer</w:t>
      </w:r>
      <w:r w:rsidRPr="00D61223">
        <w:rPr>
          <w:sz w:val="24"/>
          <w:lang w:val="en-US"/>
        </w:rPr>
        <w:t xml:space="preserve"> </w:t>
      </w:r>
      <w:r w:rsidRPr="00D61223">
        <w:rPr>
          <w:rStyle w:val="hps"/>
          <w:sz w:val="24"/>
          <w:lang w:val="en-US"/>
        </w:rPr>
        <w:t>puts</w:t>
      </w:r>
      <w:r w:rsidRPr="00D61223">
        <w:rPr>
          <w:sz w:val="24"/>
          <w:lang w:val="en-US"/>
        </w:rPr>
        <w:t xml:space="preserve"> </w:t>
      </w:r>
      <w:r w:rsidRPr="00D61223">
        <w:rPr>
          <w:rStyle w:val="hps"/>
          <w:sz w:val="24"/>
          <w:lang w:val="en-US"/>
        </w:rPr>
        <w:t>Eduardo</w:t>
      </w:r>
      <w:r w:rsidRPr="00D61223">
        <w:rPr>
          <w:sz w:val="24"/>
          <w:lang w:val="en-US"/>
        </w:rPr>
        <w:t xml:space="preserve"> </w:t>
      </w:r>
      <w:r w:rsidRPr="00D61223">
        <w:rPr>
          <w:rStyle w:val="hps"/>
          <w:sz w:val="24"/>
          <w:lang w:val="en-US"/>
        </w:rPr>
        <w:t>always</w:t>
      </w:r>
      <w:r w:rsidRPr="00D61223">
        <w:rPr>
          <w:sz w:val="24"/>
          <w:lang w:val="en-US"/>
        </w:rPr>
        <w:t xml:space="preserve"> </w:t>
      </w:r>
      <w:r w:rsidRPr="00D61223">
        <w:rPr>
          <w:rStyle w:val="hps"/>
          <w:sz w:val="24"/>
          <w:lang w:val="en-US"/>
        </w:rPr>
        <w:t>in the background</w:t>
      </w:r>
      <w:r w:rsidRPr="00D61223">
        <w:rPr>
          <w:sz w:val="24"/>
          <w:lang w:val="en-US"/>
        </w:rPr>
        <w:t xml:space="preserve">, </w:t>
      </w:r>
      <w:r w:rsidRPr="00D61223">
        <w:rPr>
          <w:rStyle w:val="hps"/>
          <w:sz w:val="24"/>
          <w:lang w:val="en-US"/>
        </w:rPr>
        <w:t>always</w:t>
      </w:r>
      <w:r w:rsidRPr="00D61223">
        <w:rPr>
          <w:sz w:val="24"/>
          <w:lang w:val="en-US"/>
        </w:rPr>
        <w:t xml:space="preserve"> </w:t>
      </w:r>
      <w:r w:rsidRPr="00D61223">
        <w:rPr>
          <w:rStyle w:val="hps"/>
          <w:sz w:val="24"/>
          <w:lang w:val="en-US"/>
        </w:rPr>
        <w:t>the shadow</w:t>
      </w:r>
      <w:r w:rsidRPr="00D61223">
        <w:rPr>
          <w:sz w:val="24"/>
          <w:lang w:val="en-US"/>
        </w:rPr>
        <w:t xml:space="preserve"> </w:t>
      </w:r>
      <w:r w:rsidRPr="00D61223">
        <w:rPr>
          <w:rStyle w:val="hps"/>
          <w:sz w:val="24"/>
          <w:lang w:val="en-US"/>
        </w:rPr>
        <w:t>of</w:t>
      </w:r>
      <w:r w:rsidRPr="00D61223">
        <w:rPr>
          <w:sz w:val="24"/>
          <w:lang w:val="en-US"/>
        </w:rPr>
        <w:t xml:space="preserve"> </w:t>
      </w:r>
      <w:r w:rsidRPr="00D61223">
        <w:rPr>
          <w:rStyle w:val="hps"/>
          <w:sz w:val="24"/>
          <w:lang w:val="en-US"/>
        </w:rPr>
        <w:t>Monica,</w:t>
      </w:r>
      <w:r w:rsidRPr="00D61223">
        <w:rPr>
          <w:sz w:val="24"/>
          <w:lang w:val="en-US"/>
        </w:rPr>
        <w:t xml:space="preserve"> </w:t>
      </w:r>
      <w:r w:rsidRPr="00D61223">
        <w:rPr>
          <w:rStyle w:val="hps"/>
          <w:sz w:val="24"/>
          <w:lang w:val="en-US"/>
        </w:rPr>
        <w:t>and why</w:t>
      </w:r>
      <w:r w:rsidRPr="00D61223">
        <w:rPr>
          <w:sz w:val="24"/>
          <w:lang w:val="en-US"/>
        </w:rPr>
        <w:t xml:space="preserve"> </w:t>
      </w:r>
      <w:r w:rsidRPr="00D61223">
        <w:rPr>
          <w:rStyle w:val="hps"/>
          <w:sz w:val="24"/>
          <w:lang w:val="en-US"/>
        </w:rPr>
        <w:t>the composer</w:t>
      </w:r>
      <w:r w:rsidRPr="00D61223">
        <w:rPr>
          <w:sz w:val="24"/>
          <w:lang w:val="en-US"/>
        </w:rPr>
        <w:t xml:space="preserve"> </w:t>
      </w:r>
      <w:r w:rsidRPr="00D61223">
        <w:rPr>
          <w:rStyle w:val="hps"/>
          <w:sz w:val="24"/>
          <w:lang w:val="en-US"/>
        </w:rPr>
        <w:t>to</w:t>
      </w:r>
      <w:r w:rsidRPr="00D61223">
        <w:rPr>
          <w:sz w:val="24"/>
          <w:lang w:val="en-US"/>
        </w:rPr>
        <w:t xml:space="preserve"> </w:t>
      </w:r>
      <w:r w:rsidRPr="00D61223">
        <w:rPr>
          <w:rStyle w:val="hps"/>
          <w:sz w:val="24"/>
          <w:lang w:val="en-US"/>
        </w:rPr>
        <w:t>draw</w:t>
      </w:r>
      <w:r w:rsidRPr="00D61223">
        <w:rPr>
          <w:sz w:val="24"/>
          <w:lang w:val="en-US"/>
        </w:rPr>
        <w:t xml:space="preserve"> </w:t>
      </w:r>
      <w:r w:rsidRPr="00D61223">
        <w:rPr>
          <w:rStyle w:val="hps"/>
          <w:sz w:val="24"/>
          <w:lang w:val="en-US"/>
        </w:rPr>
        <w:t>means</w:t>
      </w:r>
      <w:r w:rsidRPr="00D61223">
        <w:rPr>
          <w:sz w:val="24"/>
          <w:lang w:val="en-US"/>
        </w:rPr>
        <w:t xml:space="preserve"> </w:t>
      </w:r>
      <w:r w:rsidRPr="00D61223">
        <w:rPr>
          <w:rStyle w:val="hps"/>
          <w:sz w:val="24"/>
          <w:lang w:val="en-US"/>
        </w:rPr>
        <w:t>that the two characters</w:t>
      </w:r>
      <w:r w:rsidRPr="00D61223">
        <w:rPr>
          <w:sz w:val="24"/>
          <w:lang w:val="en-US"/>
        </w:rPr>
        <w:t xml:space="preserve"> </w:t>
      </w:r>
      <w:r w:rsidRPr="00D61223">
        <w:rPr>
          <w:rStyle w:val="hps"/>
          <w:sz w:val="24"/>
          <w:lang w:val="en-US"/>
        </w:rPr>
        <w:t>are in the</w:t>
      </w:r>
      <w:r w:rsidRPr="00D61223">
        <w:rPr>
          <w:sz w:val="24"/>
          <w:lang w:val="en-US"/>
        </w:rPr>
        <w:t xml:space="preserve"> </w:t>
      </w:r>
      <w:r w:rsidRPr="00D61223">
        <w:rPr>
          <w:rStyle w:val="hps"/>
          <w:sz w:val="24"/>
          <w:lang w:val="en-US"/>
        </w:rPr>
        <w:t>final,</w:t>
      </w:r>
      <w:r w:rsidRPr="00D61223">
        <w:rPr>
          <w:sz w:val="24"/>
          <w:lang w:val="en-US"/>
        </w:rPr>
        <w:t xml:space="preserve"> </w:t>
      </w:r>
      <w:r w:rsidRPr="00D61223">
        <w:rPr>
          <w:rStyle w:val="hps"/>
          <w:sz w:val="24"/>
          <w:lang w:val="en-US"/>
        </w:rPr>
        <w:t>despite differences showed in the beginning of the song</w:t>
      </w:r>
      <w:r w:rsidRPr="00D61223">
        <w:rPr>
          <w:sz w:val="24"/>
          <w:lang w:val="en-US"/>
        </w:rPr>
        <w:t>.</w:t>
      </w:r>
    </w:p>
    <w:p w:rsidR="00D24E61" w:rsidRPr="00D63CBC" w:rsidRDefault="00D24E61" w:rsidP="00D24E61">
      <w:pPr>
        <w:rPr>
          <w:sz w:val="24"/>
          <w:lang w:val="en-US"/>
        </w:rPr>
      </w:pPr>
    </w:p>
    <w:p w:rsidR="00D24E61" w:rsidRPr="00D63CBC" w:rsidRDefault="00D24E61" w:rsidP="00D24E61">
      <w:pPr>
        <w:rPr>
          <w:color w:val="FF0000"/>
          <w:sz w:val="24"/>
          <w:lang w:val="en-US"/>
        </w:rPr>
      </w:pPr>
      <w:r w:rsidRPr="00D63CBC">
        <w:rPr>
          <w:b/>
          <w:sz w:val="24"/>
          <w:lang w:val="en-US"/>
        </w:rPr>
        <w:t>Key-Words:</w:t>
      </w:r>
      <w:r w:rsidRPr="00D63CBC">
        <w:rPr>
          <w:sz w:val="24"/>
          <w:lang w:val="en-US"/>
        </w:rPr>
        <w:t xml:space="preserve"> </w:t>
      </w:r>
      <w:r w:rsidRPr="00D61223">
        <w:rPr>
          <w:rStyle w:val="hps"/>
          <w:sz w:val="24"/>
          <w:lang w:val="en-US"/>
        </w:rPr>
        <w:t>Issue of Gender, Eduardo, Mônica</w:t>
      </w:r>
    </w:p>
    <w:p w:rsidR="00D24E61" w:rsidRPr="00771368" w:rsidRDefault="00D24E61" w:rsidP="00D24E61">
      <w:pPr>
        <w:jc w:val="center"/>
        <w:rPr>
          <w:lang w:val="en-US"/>
        </w:rPr>
      </w:pPr>
    </w:p>
    <w:p w:rsidR="00D63CBC" w:rsidRDefault="00D63CBC">
      <w:pPr>
        <w:rPr>
          <w:lang w:val="en-US"/>
        </w:rPr>
      </w:pPr>
      <w:r>
        <w:rPr>
          <w:lang w:val="en-US"/>
        </w:rPr>
        <w:br w:type="page"/>
      </w:r>
    </w:p>
    <w:p w:rsidR="00D24E61" w:rsidRPr="00771368" w:rsidRDefault="00D24E61" w:rsidP="00D24E61">
      <w:pPr>
        <w:jc w:val="center"/>
        <w:rPr>
          <w:lang w:val="en-US"/>
        </w:rPr>
      </w:pPr>
    </w:p>
    <w:p w:rsidR="00D24E61" w:rsidRPr="00771368" w:rsidRDefault="00D24E61" w:rsidP="00D24E61">
      <w:pPr>
        <w:jc w:val="center"/>
        <w:rPr>
          <w:lang w:val="en-US"/>
        </w:rPr>
      </w:pPr>
    </w:p>
    <w:p w:rsidR="00D24E61" w:rsidRPr="00771368" w:rsidRDefault="00D24E61" w:rsidP="00D24E61">
      <w:pPr>
        <w:spacing w:after="200"/>
        <w:rPr>
          <w:b/>
        </w:rPr>
      </w:pPr>
      <w:r w:rsidRPr="00771368">
        <w:rPr>
          <w:b/>
        </w:rPr>
        <w:t>1 INTRODUÇÃO</w:t>
      </w:r>
    </w:p>
    <w:p w:rsidR="00D24E61" w:rsidRPr="00771368" w:rsidRDefault="00D24E61" w:rsidP="00D63CBC">
      <w:pPr>
        <w:pStyle w:val="NormalWeb"/>
        <w:spacing w:before="0" w:beforeAutospacing="0" w:after="200" w:afterAutospacing="0"/>
        <w:ind w:firstLine="709"/>
        <w:jc w:val="both"/>
      </w:pPr>
      <w:r w:rsidRPr="00771368">
        <w:t>Este trabalho científico objetiva analisar a música “Eduardo e Mônica”, de autoria do cantor e compositor brasileiro Renato Russo, vocalista da banda Legião Urbana, tendo como foco a questão de gênero evocada pelo autor ao confeccionar dois personagens representantes dos sexos opostos. Trata-se de uma das músicas mais conhecidas e emblemáticas da banda e que faz parte do álbum “dois” (segundo LP do grupo) gravado em julho de 1986. Sucesso de vendas no ano de lançamento e, posteriormente e até os dias atuais, a música narra uma impensável história de amor entre duas pessoas totalmente diferentes, como o próprio autor afirma na sétima estrofe: “Eduardo e Mônica eram nada parecidos...”. É por este viés que a história vai acontecer: serão evidencias as diferenças de comportamento, tendo como foco o comportamento evoluído de Mônica em relação ao de Eduardo.</w:t>
      </w:r>
    </w:p>
    <w:p w:rsidR="00D24E61" w:rsidRPr="00771368" w:rsidRDefault="00D24E61" w:rsidP="00D63CBC">
      <w:pPr>
        <w:pStyle w:val="NormalWeb"/>
        <w:spacing w:before="0" w:beforeAutospacing="0" w:after="200" w:afterAutospacing="0"/>
        <w:ind w:firstLine="709"/>
        <w:jc w:val="both"/>
      </w:pPr>
      <w:r w:rsidRPr="00771368">
        <w:t xml:space="preserve">Em estilo direto e com um tom de humor, a letra narra, em cinco minutos, o dia-a-dia do casal e leva o ouvinte a dois mundos muito diferentes, mas que ao final esses mundos se convergem, causando o inimaginável: a união de Eduardo e Mônica e a transformação de duas vidas opostas em uma única. Nela o compositor coloca em destaque a questão de gênero, ao criar dois personagens, sendo um masculino e outro feminino e ao analisar o personagem feminino sempre do ponto de vista da superioridade. </w:t>
      </w:r>
    </w:p>
    <w:p w:rsidR="00D24E61" w:rsidRPr="00771368" w:rsidRDefault="00D24E61" w:rsidP="00D63CBC">
      <w:pPr>
        <w:pStyle w:val="NormalWeb"/>
        <w:spacing w:before="0" w:beforeAutospacing="0" w:after="200" w:afterAutospacing="0"/>
        <w:ind w:firstLine="709"/>
        <w:jc w:val="both"/>
      </w:pPr>
      <w:r w:rsidRPr="00771368">
        <w:t>Nestes dois personagens, reside toda a temática abordada neste trabalho científico. O embate elencado pelo autor não está nos discursos ou vontades dos personagens, mas na forma como Renato Russo desenha Eduardo e Mônica: Mônica, apesar de ser o segundo nome do título, está sempre a frente do seu tempo e, principalmente, do tempo de Eduardo, sendo esta característica a causa do debate de gênero.</w:t>
      </w:r>
    </w:p>
    <w:p w:rsidR="00D24E61" w:rsidRPr="00771368" w:rsidRDefault="00D24E61" w:rsidP="00D24E61">
      <w:pPr>
        <w:pStyle w:val="NormalWeb"/>
        <w:spacing w:before="0" w:beforeAutospacing="0" w:after="200" w:afterAutospacing="0"/>
        <w:ind w:firstLine="709"/>
      </w:pPr>
    </w:p>
    <w:p w:rsidR="00D24E61" w:rsidRPr="00771368" w:rsidRDefault="00D24E61" w:rsidP="00D24E61">
      <w:pPr>
        <w:pStyle w:val="NormalWeb"/>
        <w:spacing w:before="0" w:beforeAutospacing="0" w:after="200" w:afterAutospacing="0"/>
        <w:rPr>
          <w:b/>
        </w:rPr>
      </w:pPr>
      <w:r w:rsidRPr="00771368">
        <w:rPr>
          <w:b/>
        </w:rPr>
        <w:t>OBJETIVOS:</w:t>
      </w:r>
    </w:p>
    <w:p w:rsidR="00D24E61" w:rsidRPr="00D63CBC" w:rsidRDefault="00D24E61" w:rsidP="00FA0ABA">
      <w:pPr>
        <w:numPr>
          <w:ilvl w:val="0"/>
          <w:numId w:val="39"/>
        </w:numPr>
        <w:spacing w:after="200" w:line="360" w:lineRule="auto"/>
        <w:jc w:val="both"/>
        <w:rPr>
          <w:sz w:val="24"/>
        </w:rPr>
      </w:pPr>
      <w:r w:rsidRPr="00D63CBC">
        <w:rPr>
          <w:sz w:val="24"/>
        </w:rPr>
        <w:t>Analisar a música “Eduardo e Mônica”, de autoria do cantor e compositor brasileiro Renato Russo, vocalista da banda Legião Urbana;</w:t>
      </w:r>
    </w:p>
    <w:p w:rsidR="00D24E61" w:rsidRPr="00D63CBC" w:rsidRDefault="00D24E61" w:rsidP="00FA0ABA">
      <w:pPr>
        <w:numPr>
          <w:ilvl w:val="0"/>
          <w:numId w:val="39"/>
        </w:numPr>
        <w:spacing w:after="200" w:line="360" w:lineRule="auto"/>
        <w:jc w:val="both"/>
        <w:rPr>
          <w:sz w:val="24"/>
        </w:rPr>
      </w:pPr>
      <w:r w:rsidRPr="00D63CBC">
        <w:rPr>
          <w:sz w:val="24"/>
        </w:rPr>
        <w:t>Elencar a questão de gênero evocada pelo autor ao confeccionar dois personagens representantes dos sexos opostos;</w:t>
      </w:r>
    </w:p>
    <w:p w:rsidR="00D24E61" w:rsidRPr="00D63CBC" w:rsidRDefault="00D24E61" w:rsidP="00FA0ABA">
      <w:pPr>
        <w:numPr>
          <w:ilvl w:val="0"/>
          <w:numId w:val="39"/>
        </w:numPr>
        <w:spacing w:after="200" w:line="360" w:lineRule="auto"/>
        <w:jc w:val="both"/>
        <w:rPr>
          <w:sz w:val="24"/>
        </w:rPr>
      </w:pPr>
      <w:r w:rsidRPr="00D63CBC">
        <w:rPr>
          <w:sz w:val="24"/>
        </w:rPr>
        <w:t>Analisar o que já foi pensado e escrito sobre a obra/música em debate.</w:t>
      </w:r>
    </w:p>
    <w:p w:rsidR="00D24E61" w:rsidRPr="00D63CBC" w:rsidRDefault="00D24E61" w:rsidP="00D24E61">
      <w:pPr>
        <w:spacing w:after="200"/>
        <w:rPr>
          <w:b/>
          <w:sz w:val="24"/>
        </w:rPr>
      </w:pPr>
      <w:r w:rsidRPr="00D63CBC">
        <w:rPr>
          <w:b/>
          <w:sz w:val="24"/>
        </w:rPr>
        <w:t>METODOLOGIA:</w:t>
      </w:r>
    </w:p>
    <w:p w:rsidR="00D24E61" w:rsidRPr="00D63CBC" w:rsidRDefault="00D24E61" w:rsidP="00D63CBC">
      <w:pPr>
        <w:spacing w:after="200"/>
        <w:ind w:firstLine="708"/>
        <w:jc w:val="both"/>
        <w:rPr>
          <w:sz w:val="24"/>
        </w:rPr>
      </w:pPr>
      <w:r w:rsidRPr="00D63CBC">
        <w:rPr>
          <w:sz w:val="24"/>
        </w:rPr>
        <w:t>Trata-se de uma pesquisa bibliográfica em que serão evidenciadas e comparadas opiniões e teses de outros autores que já discorreram sobre o tema, a fim de enriquecer tal pesquisa e a fim de se juntar a outras já existentes na literatura científica atual.</w:t>
      </w:r>
    </w:p>
    <w:p w:rsidR="00D24E61" w:rsidRPr="00D63CBC" w:rsidRDefault="00D24E61" w:rsidP="00D24E61">
      <w:pPr>
        <w:spacing w:after="200"/>
        <w:rPr>
          <w:b/>
          <w:sz w:val="24"/>
        </w:rPr>
      </w:pPr>
      <w:r w:rsidRPr="00D63CBC">
        <w:rPr>
          <w:b/>
          <w:sz w:val="24"/>
        </w:rPr>
        <w:t>RESULTADOS E DISCUSSÃO</w:t>
      </w:r>
    </w:p>
    <w:p w:rsidR="00D24E61" w:rsidRPr="00D63CBC" w:rsidRDefault="00D24E61" w:rsidP="00D63CBC">
      <w:pPr>
        <w:spacing w:after="200"/>
        <w:ind w:firstLine="567"/>
        <w:jc w:val="both"/>
        <w:rPr>
          <w:sz w:val="24"/>
        </w:rPr>
      </w:pPr>
      <w:r w:rsidRPr="00771368">
        <w:rPr>
          <w:b/>
        </w:rPr>
        <w:tab/>
      </w:r>
      <w:r w:rsidRPr="00D63CBC">
        <w:rPr>
          <w:sz w:val="24"/>
        </w:rPr>
        <w:t xml:space="preserve">Os resultados que se obteve a partir desta pesquisa bibliográfica são: 1- a questão de gênero é, de fato, elencada na letra da música e provada nas páginas deste trabalho; 2 – o autor coloca sempre a figura de Mônica em primeiro plano, mas no final coloca os dois personagens no mesmo patamar, comprovando assim a construção de uma igualdade de gênero pouco pensada no início da canção. </w:t>
      </w:r>
    </w:p>
    <w:p w:rsidR="00D24E61" w:rsidRPr="00D63CBC" w:rsidRDefault="00D24E61" w:rsidP="00D63CBC">
      <w:pPr>
        <w:spacing w:after="200"/>
        <w:ind w:firstLine="709"/>
        <w:jc w:val="both"/>
        <w:rPr>
          <w:sz w:val="24"/>
        </w:rPr>
      </w:pPr>
      <w:r w:rsidRPr="00D63CBC">
        <w:rPr>
          <w:sz w:val="24"/>
        </w:rPr>
        <w:t xml:space="preserve">Ao analisar outros escritos sobre a questão de gênero e sobre a própria canção em debate, percebeu-se que o embate dentro dessa questão social é constante e criado culturalmente, conforme Sandra Regina Goulart Almeida em </w:t>
      </w:r>
      <w:r w:rsidRPr="00D63CBC">
        <w:rPr>
          <w:i/>
          <w:sz w:val="24"/>
        </w:rPr>
        <w:t>Gênero, Identidade, Diferença</w:t>
      </w:r>
      <w:r w:rsidRPr="00D63CBC">
        <w:rPr>
          <w:sz w:val="24"/>
        </w:rPr>
        <w:t xml:space="preserve"> (2002) “[...] as diferenças sexuais seriam naturais, isto é, determinadas pela natureza e função biológica dos indivíduos, enquanto que as diferenças de gênero seriam construídas culturalmente”. (p. 02). Outros autores também discorrem de forma coerente sobre o tema, bem como o compositor Renato Russo, autor da canção analisada.</w:t>
      </w:r>
    </w:p>
    <w:p w:rsidR="00D24E61" w:rsidRPr="00D63CBC" w:rsidRDefault="00D24E61" w:rsidP="00D63CBC">
      <w:pPr>
        <w:tabs>
          <w:tab w:val="left" w:pos="1815"/>
        </w:tabs>
        <w:spacing w:after="200"/>
        <w:jc w:val="both"/>
        <w:rPr>
          <w:b/>
          <w:sz w:val="24"/>
        </w:rPr>
      </w:pPr>
      <w:r w:rsidRPr="00D63CBC">
        <w:rPr>
          <w:b/>
          <w:sz w:val="24"/>
        </w:rPr>
        <w:t>2 A QUESTÃO DE GÊNERO: UM CONSTANTE EMBATE</w:t>
      </w:r>
    </w:p>
    <w:p w:rsidR="00D24E61" w:rsidRPr="00D63CBC" w:rsidRDefault="00D24E61" w:rsidP="00D63CBC">
      <w:pPr>
        <w:spacing w:after="200"/>
        <w:ind w:firstLine="709"/>
        <w:jc w:val="both"/>
        <w:rPr>
          <w:b/>
          <w:sz w:val="24"/>
        </w:rPr>
      </w:pPr>
      <w:r w:rsidRPr="00D63CBC">
        <w:rPr>
          <w:sz w:val="24"/>
        </w:rPr>
        <w:t xml:space="preserve">Pensar a questão de gênero é pensar a história mundial marcada por idas e vindas, mediadas pela famigerada discussão entre homem e mulher na incessante busca pela legitimação de direitos e espaços sociais. Muitos destes já garantidos naturalmente, pelo simples fato de serem seres humanos merecedores de respeito e tratamento igual, independente da classe social, credo ou raça ou sexo. Segundo SCOTT, J.W. em </w:t>
      </w:r>
      <w:r w:rsidRPr="00D63CBC">
        <w:rPr>
          <w:i/>
          <w:sz w:val="24"/>
        </w:rPr>
        <w:t>Gênero como categoria</w:t>
      </w:r>
      <w:r w:rsidRPr="00D63CBC">
        <w:rPr>
          <w:sz w:val="24"/>
        </w:rPr>
        <w:t>... apud FILHO (2003)</w:t>
      </w:r>
      <w:r w:rsidRPr="00D63CBC">
        <w:rPr>
          <w:b/>
          <w:sz w:val="24"/>
        </w:rPr>
        <w:t xml:space="preserve"> </w:t>
      </w:r>
      <w:r w:rsidRPr="00D63CBC">
        <w:rPr>
          <w:sz w:val="24"/>
        </w:rPr>
        <w:t>“[...] um elemento constitutivo de relações sociais fundadas sobre as diferenças percebidas entre os sexos, e o gênero é um primeiro modo de dar significado às relações de poder”.</w:t>
      </w:r>
      <w:r w:rsidRPr="00D63CBC">
        <w:rPr>
          <w:b/>
          <w:sz w:val="24"/>
        </w:rPr>
        <w:t xml:space="preserve"> </w:t>
      </w:r>
      <w:r w:rsidRPr="00D63CBC">
        <w:rPr>
          <w:sz w:val="24"/>
        </w:rPr>
        <w:t>(Op. cit., p.14). De fato, a relação homem mulher sempre precisou de algo para dinamizá-la e tornar mais legitima a diferença entre os sexos. Este elemento constitutivo deixa sempre em evidencia a necessidade de lembrar que, apesar das diferenças entre os sexos, cada pessoa tem seu direito a liberdade e que nenhum desses direitos é inferior ou superior.</w:t>
      </w:r>
    </w:p>
    <w:p w:rsidR="00D24E61" w:rsidRPr="00D63CBC" w:rsidRDefault="00D24E61" w:rsidP="00D63CBC">
      <w:pPr>
        <w:spacing w:after="200"/>
        <w:ind w:firstLine="709"/>
        <w:jc w:val="both"/>
        <w:rPr>
          <w:sz w:val="24"/>
        </w:rPr>
      </w:pPr>
      <w:r w:rsidRPr="00D63CBC">
        <w:rPr>
          <w:sz w:val="24"/>
        </w:rPr>
        <w:t xml:space="preserve">Para Amílcar Torrão Filho em </w:t>
      </w:r>
      <w:r w:rsidRPr="00D63CBC">
        <w:rPr>
          <w:i/>
          <w:sz w:val="24"/>
        </w:rPr>
        <w:t>Uma questão de gênero: onde o masculino e o feminino se cruzam</w:t>
      </w:r>
      <w:r w:rsidRPr="00D63CBC">
        <w:rPr>
          <w:sz w:val="24"/>
        </w:rPr>
        <w:t xml:space="preserve"> (2003) a questão de gênero é “[...] uma categoria útil à história e não apenas à história das mulheres”. (p. 01). O embate que sempre se travou ao longo da trajetória humana, no tocante ao gênero, torna-se mais atual e inovador, uma vez que a mulher, de fato, vem legitimando o seu espaço e se colocando em um lugar de igual destaque em todas as áreas sociais. Essa luta se torna necessária não somente para a vida feminina, mas para a vida da humanidade como um todo. Assim, é importante ressaltar aqui que ao se propor discutir gênero, não se pretende tão somente analisar a história feminina e defendê-la arduamente, mas pensar e analisar a história das lutas sociais do homem e da mulher.</w:t>
      </w:r>
    </w:p>
    <w:p w:rsidR="00D24E61" w:rsidRPr="00D63CBC" w:rsidRDefault="00D24E61" w:rsidP="00D63CBC">
      <w:pPr>
        <w:spacing w:after="200"/>
        <w:ind w:firstLine="709"/>
        <w:jc w:val="both"/>
        <w:rPr>
          <w:sz w:val="24"/>
        </w:rPr>
      </w:pPr>
      <w:r w:rsidRPr="00D63CBC">
        <w:rPr>
          <w:sz w:val="24"/>
        </w:rPr>
        <w:t xml:space="preserve">Segundo ALMEIDA em </w:t>
      </w:r>
      <w:r w:rsidRPr="00D63CBC">
        <w:rPr>
          <w:i/>
          <w:sz w:val="24"/>
        </w:rPr>
        <w:t>Gênero, Identidade, Diferença</w:t>
      </w:r>
      <w:r w:rsidRPr="00D63CBC">
        <w:rPr>
          <w:sz w:val="24"/>
        </w:rPr>
        <w:t xml:space="preserve"> (2002) “[...] as diferenças sexuais seriam naturais, isto é, determinadas pela natureza e função biológica dos indivíduos, enquanto que as diferenças de gênero seriam construídas culturalmente”. (p. 02). A questão de gênero e tudo aquilo que permeia esta discussão histórica e insistente não se deu pelo simples fato de existir, de um lado a mulher e do outro o homem, mas se deu e ainda acontece por conta do fator cultural e histórico em que lutas e discursos importantes, obscuros e negativos ou não, vem sendo executados a todo instante. Neste ínterim, a mulher e aqueles que defendem as causas femininas vêm se inserindo no universo que, apesar de livre para todos, há muito era dominado pelo sexo oposto. De fato, não se pretende aqui levantar a bandeira da luta feminina em detrimento da derrota masculina, mas levantar questões que há tempos estavam apagadas ou esquecidas, tais como: o porquê que a mulher não pode ser mais evoluída que o homem em muitos campos sociais? Por que existem coisas, tarefas, cargos sociais que somente os homens podem fazer? Obviamente que estas questões não foram esquecidas pela classe científica, mas por boa parcela da sociedade. </w:t>
      </w:r>
    </w:p>
    <w:p w:rsidR="00D24E61" w:rsidRPr="00D63CBC" w:rsidRDefault="00D24E61" w:rsidP="00D63CBC">
      <w:pPr>
        <w:spacing w:after="200"/>
        <w:ind w:firstLine="709"/>
        <w:jc w:val="both"/>
        <w:rPr>
          <w:sz w:val="24"/>
        </w:rPr>
      </w:pPr>
      <w:r w:rsidRPr="00D63CBC">
        <w:rPr>
          <w:sz w:val="24"/>
        </w:rPr>
        <w:t>ALMEIDA (2002) vai refletir sobre esta importância que a classe científica tem dado às questões de gênero:</w:t>
      </w:r>
    </w:p>
    <w:p w:rsidR="00D24E61" w:rsidRPr="00D63CBC" w:rsidRDefault="00D24E61" w:rsidP="00D63CBC">
      <w:pPr>
        <w:spacing w:before="240" w:after="240"/>
        <w:ind w:firstLine="1134"/>
        <w:jc w:val="both"/>
        <w:rPr>
          <w:sz w:val="24"/>
        </w:rPr>
      </w:pPr>
    </w:p>
    <w:p w:rsidR="00D24E61" w:rsidRPr="00D63CBC" w:rsidRDefault="00D24E61" w:rsidP="00D63CBC">
      <w:pPr>
        <w:spacing w:before="240" w:after="240"/>
        <w:ind w:left="2268"/>
        <w:jc w:val="both"/>
        <w:rPr>
          <w:sz w:val="24"/>
        </w:rPr>
      </w:pPr>
      <w:r w:rsidRPr="00D63CBC">
        <w:rPr>
          <w:sz w:val="24"/>
        </w:rPr>
        <w:t>Os estudos de gênero, e sobretudo os estudos sobre as mulheres, foram, portanto, essenciais num redirecionamento da crítica contemporânea e continuam, apesar de várias afirmações dos meios de comunicação de que os ideais feministas fracassaram e de que vivenciamos na atualidade a era do pós-feminismo (no seu sentido pejorativo). (2002, Ibid, p. 04).</w:t>
      </w:r>
    </w:p>
    <w:p w:rsidR="00D24E61" w:rsidRPr="00771368" w:rsidRDefault="00D24E61" w:rsidP="00D24E61">
      <w:pPr>
        <w:spacing w:before="240" w:after="240"/>
      </w:pPr>
    </w:p>
    <w:p w:rsidR="00D24E61" w:rsidRPr="00D63CBC" w:rsidRDefault="00D24E61" w:rsidP="00D63CBC">
      <w:pPr>
        <w:spacing w:before="240" w:after="240"/>
        <w:ind w:firstLine="709"/>
        <w:jc w:val="both"/>
        <w:rPr>
          <w:sz w:val="24"/>
        </w:rPr>
      </w:pPr>
      <w:r w:rsidRPr="00D63CBC">
        <w:rPr>
          <w:sz w:val="24"/>
        </w:rPr>
        <w:t xml:space="preserve">Como expresso na introdução deste trabalho, o objetivo é se juntar a crítica acadêmico-científica para evocar a discussão sobre as questões sociais e culturais que envolvem o ser feminino e masculino, indo além da simples análise da mulher que necessita de defesa. </w:t>
      </w:r>
    </w:p>
    <w:p w:rsidR="00D24E61" w:rsidRPr="00D63CBC" w:rsidRDefault="00D24E61" w:rsidP="00D63CBC">
      <w:pPr>
        <w:spacing w:before="240" w:after="240"/>
        <w:jc w:val="both"/>
        <w:rPr>
          <w:sz w:val="24"/>
        </w:rPr>
      </w:pPr>
    </w:p>
    <w:p w:rsidR="00D24E61" w:rsidRPr="00D63CBC" w:rsidRDefault="00D24E61" w:rsidP="00D63CBC">
      <w:pPr>
        <w:spacing w:before="240" w:after="240"/>
        <w:ind w:left="2268"/>
        <w:jc w:val="both"/>
        <w:rPr>
          <w:sz w:val="24"/>
        </w:rPr>
      </w:pPr>
      <w:r w:rsidRPr="00D63CBC">
        <w:rPr>
          <w:sz w:val="24"/>
        </w:rPr>
        <w:t>A história das mulheres passou a ser entendida muitas vezes como um assunto de mulheres, mais especificamente de feministas, ou como uma história que diz respeito aos aspectos privados da casa, da família, da reprodução e do sexo, em oposição ao que realmente importaria à história, que é o domínio público da existência. (FILHO, 2003, p. 05)</w:t>
      </w:r>
    </w:p>
    <w:p w:rsidR="00D24E61" w:rsidRPr="00D63CBC" w:rsidRDefault="00D24E61" w:rsidP="00D63CBC">
      <w:pPr>
        <w:spacing w:before="240" w:after="240"/>
        <w:ind w:left="2268"/>
        <w:jc w:val="both"/>
        <w:rPr>
          <w:sz w:val="24"/>
        </w:rPr>
      </w:pPr>
    </w:p>
    <w:p w:rsidR="00D24E61" w:rsidRPr="00D63CBC" w:rsidRDefault="00D24E61" w:rsidP="00D63CBC">
      <w:pPr>
        <w:spacing w:after="200"/>
        <w:ind w:firstLine="709"/>
        <w:jc w:val="both"/>
        <w:rPr>
          <w:sz w:val="24"/>
        </w:rPr>
      </w:pPr>
      <w:r w:rsidRPr="00D63CBC">
        <w:rPr>
          <w:sz w:val="24"/>
        </w:rPr>
        <w:t xml:space="preserve">Assim, a discussão em foco não está pautada, única e simplesmente no que a mulher deveria fazer ou deixar de fazer ou na sua defesa, por conta da sua fragilidade, mas na reflexão sobre a simples necessidade de deixar a mulher legitimar o seu espaço público na história da existência humana. “[...] A guerra, a economia, a política e outros temas nobres não teriam assim nenhuma relação com as questões de gênero”. (Ibid, p. 05). Portanto, pensar gênero, muito mais que pensar a defesa da mulher, é pensar a legitimação de uma classe que desde sempre faz parte da sociedade e dela deve usufruir sem que nada seja negado ou usurpado. </w:t>
      </w:r>
    </w:p>
    <w:p w:rsidR="00D24E61" w:rsidRPr="00D63CBC" w:rsidRDefault="00D24E61" w:rsidP="00D63CBC">
      <w:pPr>
        <w:spacing w:after="200"/>
        <w:ind w:firstLine="709"/>
        <w:jc w:val="both"/>
        <w:rPr>
          <w:sz w:val="24"/>
        </w:rPr>
      </w:pPr>
    </w:p>
    <w:p w:rsidR="00D24E61" w:rsidRPr="00D63CBC" w:rsidRDefault="00D24E61" w:rsidP="00D63CBC">
      <w:pPr>
        <w:spacing w:after="200"/>
        <w:jc w:val="both"/>
        <w:rPr>
          <w:b/>
          <w:sz w:val="24"/>
        </w:rPr>
      </w:pPr>
      <w:r w:rsidRPr="00D63CBC">
        <w:rPr>
          <w:b/>
          <w:sz w:val="24"/>
        </w:rPr>
        <w:t xml:space="preserve">3  O DEBATE  ENTRE  EDUARDO  E MÔNICA  </w:t>
      </w:r>
    </w:p>
    <w:p w:rsidR="00D24E61" w:rsidRPr="00D63CBC" w:rsidRDefault="00D24E61" w:rsidP="00D63CBC">
      <w:pPr>
        <w:spacing w:after="200"/>
        <w:ind w:right="113" w:firstLine="709"/>
        <w:jc w:val="both"/>
        <w:rPr>
          <w:sz w:val="24"/>
        </w:rPr>
      </w:pPr>
      <w:r w:rsidRPr="00D63CBC">
        <w:rPr>
          <w:sz w:val="24"/>
        </w:rPr>
        <w:t>A partir do título já é possível perceber qual será o intento do autor: elencar a questão de gênero, levando os dois personagens, totalmente diferentes em pensamento, comportamento e classe social a travarem uma interessante batalha pela legitimação de um lugar e poder já garantidos naturalmente, mas negado cultural e socialmente. Renato Russo abre espaço para esses dois jovens colocarem em voga o debate em torno das questões referentes aos sexos masculino e feminino, apesar de a história também servir de introdução para um belo romance entre ambos e para uma improvável construção de uma igualdade de gênero. É apresentada, de um lado, Mônica, uma jovem madura e independente social e financeiramente, mesmo apesar de aparentar pouca idade. Do outro, o jovem Eduardo, 16 anos, totalmente dependente, mas que tenta vivenciar outros mundos, outras experiências. É baseado nesses dois mundos, totalmente diferentes, que o embate vai se dar.</w:t>
      </w:r>
    </w:p>
    <w:p w:rsidR="00D24E61" w:rsidRPr="00D63CBC" w:rsidRDefault="00D24E61" w:rsidP="00D63CBC">
      <w:pPr>
        <w:spacing w:after="200"/>
        <w:ind w:right="-34"/>
        <w:jc w:val="both"/>
        <w:rPr>
          <w:sz w:val="24"/>
        </w:rPr>
      </w:pPr>
      <w:r w:rsidRPr="00D63CBC">
        <w:rPr>
          <w:sz w:val="24"/>
        </w:rPr>
        <w:t>A começar pelos versos da segunda estrofe: “Eduardo abriu os olhos, mas não quis se levantar ficou deitado e viu que horas eram. Enquanto Mônica tomava um conhaque noutro canto da cidade como eles disseram”. Percebe-se que, de fato, a questão de gênero fica amplamente evidenciada por Renato Russo. O mesmo escreve de forma a realmente marcar a discussão ao usar a conjunção “enquanto” para introduzir a personagem Mônica na história, como se o propósito fosse mesmo chamar a atenção do ouvinte/leitor para a diferença entre os dois. Eduardo nem quer se levantar e Mônica já está de pé, tomando um conhaque em qualquer lugar da cidade. No caso de Eduardo, o autor o apresenta, sob um aspecto negativo: abrir os olhos e não querer levantar, enquanto o mundo já está na ativa é típico de alguém preguiçoso, sem atitude e sem planos.</w:t>
      </w:r>
    </w:p>
    <w:p w:rsidR="00D24E61" w:rsidRPr="00D63CBC" w:rsidRDefault="00D24E61" w:rsidP="00D63CBC">
      <w:pPr>
        <w:spacing w:after="200"/>
        <w:ind w:firstLine="709"/>
        <w:jc w:val="both"/>
        <w:rPr>
          <w:sz w:val="24"/>
        </w:rPr>
      </w:pPr>
      <w:r w:rsidRPr="00D63CBC">
        <w:rPr>
          <w:sz w:val="24"/>
        </w:rPr>
        <w:t xml:space="preserve">Ainda sobre o verso acima Adolar Gangorra em </w:t>
      </w:r>
      <w:r w:rsidRPr="00D63CBC">
        <w:rPr>
          <w:i/>
          <w:sz w:val="24"/>
        </w:rPr>
        <w:t xml:space="preserve">Mônica e Eduardo </w:t>
      </w:r>
      <w:r w:rsidRPr="00D63CBC">
        <w:rPr>
          <w:sz w:val="24"/>
        </w:rPr>
        <w:t xml:space="preserve">(2009) assim reflete: </w:t>
      </w:r>
    </w:p>
    <w:p w:rsidR="00D24E61" w:rsidRPr="00D63CBC" w:rsidRDefault="00D24E61" w:rsidP="00D63CBC">
      <w:pPr>
        <w:spacing w:before="240" w:after="240"/>
        <w:ind w:left="2268"/>
        <w:jc w:val="both"/>
        <w:rPr>
          <w:sz w:val="24"/>
        </w:rPr>
      </w:pPr>
      <w:r w:rsidRPr="00D63CBC">
        <w:rPr>
          <w:sz w:val="24"/>
        </w:rPr>
        <w:t xml:space="preserve">Ora, se esta cena tiver se passado de manhã como é provável, Eduardo só estaria fazendo sua obrigação: acordar. Já, Mônica, revelaria-se uma cachaceira profissional, pois virar um conhaque antes do almoço é só para quem conhece muito bem o ofício. (Disponível em: </w:t>
      </w:r>
    </w:p>
    <w:p w:rsidR="00D24E61" w:rsidRPr="00D63CBC" w:rsidRDefault="00D24E61" w:rsidP="00D63CBC">
      <w:pPr>
        <w:spacing w:before="240" w:after="240"/>
        <w:ind w:left="2268"/>
        <w:jc w:val="both"/>
        <w:rPr>
          <w:sz w:val="24"/>
        </w:rPr>
      </w:pPr>
    </w:p>
    <w:p w:rsidR="00D24E61" w:rsidRPr="00D63CBC" w:rsidRDefault="00D24E61" w:rsidP="00D63CBC">
      <w:pPr>
        <w:spacing w:after="200"/>
        <w:ind w:firstLine="709"/>
        <w:jc w:val="both"/>
        <w:rPr>
          <w:sz w:val="24"/>
        </w:rPr>
      </w:pPr>
      <w:r w:rsidRPr="00D63CBC">
        <w:rPr>
          <w:sz w:val="24"/>
        </w:rPr>
        <w:t xml:space="preserve"> Mônica já estava num lugar qualquer da cidade, tomando um conhaque (se é que acordar cedo para beber ou se embriagar seja uma evolução tão “evoluída”!?). Mas o certo é: enquanto um ainda estava dormindo, o outro já estava acordado e já tinha saído, talvez para o trabalho ou escola, ou simplesmente para “tomar umas”. E o autor coloca justamente Mônica como a pessoa que acorda cedo e encara a vida sem medo. </w:t>
      </w:r>
    </w:p>
    <w:p w:rsidR="00D24E61" w:rsidRPr="00D63CBC" w:rsidRDefault="00D24E61" w:rsidP="00D63CBC">
      <w:pPr>
        <w:spacing w:after="200"/>
        <w:ind w:right="-34" w:firstLine="709"/>
        <w:jc w:val="both"/>
        <w:rPr>
          <w:sz w:val="24"/>
        </w:rPr>
      </w:pPr>
      <w:r w:rsidRPr="00D63CBC">
        <w:rPr>
          <w:sz w:val="24"/>
        </w:rPr>
        <w:t xml:space="preserve">O autor coloca sempre a mulher, na pessoa da personagem Mônica, como um ser superior, do ponto de vista de uma escala intelectualmente evolutiva. Mônica, em oposição a Eduardo, é um ser socialmente elevado e dotado de imensurável inteligência e capacidade de progredir, apesar de o compositor não mencionar a idade da mesma. GANGORRA reflete: “[...] a figura masculina (Eduardo) é tratada sempre como alienada e inconsciente enquanto a feminina (Monica) é a portadora de uma sabedoria e um estilo de vida evoluidíssimos” (2009). Talvez tenha sido o objetivo de Renato: legitimar o sexo feminino e colocar as mulheres em um lugar que sempre lhes pertenceu, mas que é as vezes negado pelo sexo oposto, ou simplesmente lembrar que todas as pessoas, de qualquer sexo, são iguais e podem viver, pensar e fazer as mesmas coisas. </w:t>
      </w:r>
    </w:p>
    <w:p w:rsidR="00D24E61" w:rsidRPr="00D63CBC" w:rsidRDefault="00D24E61" w:rsidP="00D63CBC">
      <w:pPr>
        <w:spacing w:after="200"/>
        <w:ind w:firstLine="709"/>
        <w:jc w:val="both"/>
        <w:rPr>
          <w:sz w:val="24"/>
        </w:rPr>
      </w:pPr>
      <w:r w:rsidRPr="00D63CBC">
        <w:rPr>
          <w:sz w:val="24"/>
        </w:rPr>
        <w:t>Apesar de expor sempre as enormes divergências, em todos os aspectos, entre Eduardo e Mônica, Russo coloca um ponto de convergência, o que leva-se a pensar que a música vai falar de um simples encontrinho de paquera entre uma menina e um menino. Tal aspecto é encontrado nos dois primeiros versos da terceira estrofe: “Eduardo e Mônica um dia se encontraram sem querer/E conversaram muito mesmo pra tentar se conhecer...”. O autor também mostra o acaso do destino que faz pessoas desconhecidas se encontrarem e assim viverem intensas e eternas relações de afeto, amor, ódio e desencontros; perderem o rumo da vida ou acharem um caminho e viverem uma vida plena. Eduardo e Mônica se encontraram por acaso, “sem querer”. E esse encontro reservava muitas surpresas, principalmente para Eduardo, que ainda era socialmente infantilizado.</w:t>
      </w:r>
    </w:p>
    <w:p w:rsidR="00D24E61" w:rsidRPr="00D63CBC" w:rsidRDefault="00D24E61" w:rsidP="00D63CBC">
      <w:pPr>
        <w:spacing w:after="200"/>
        <w:ind w:right="-34" w:firstLine="709"/>
        <w:jc w:val="both"/>
        <w:rPr>
          <w:sz w:val="24"/>
        </w:rPr>
      </w:pPr>
      <w:r w:rsidRPr="00D63CBC">
        <w:rPr>
          <w:sz w:val="24"/>
        </w:rPr>
        <w:t xml:space="preserve">A partir do encontro com Mônica, as portas da sociabilidade começam a se abrirem para Eduardo. Um amigo o convida para uma festa que, vai ser “legal”, até porque é preciso se “divertir”. Mas Eduardo, ainda fechado no seu mundinho melindroso, não fica muito tempo na festa “estranha” com uma galera “esquisita”. Também pudera: ele “já tava pra lá de Bagdá” com uma ou duas “biritas”. Óbvio, ele nunca tinha bebido na vida e muito menos frequentado festas com uma turma.   </w:t>
      </w:r>
    </w:p>
    <w:p w:rsidR="00D24E61" w:rsidRPr="00D63CBC" w:rsidRDefault="00D24E61" w:rsidP="00D63CBC">
      <w:pPr>
        <w:spacing w:after="200"/>
        <w:ind w:firstLine="709"/>
        <w:jc w:val="both"/>
        <w:rPr>
          <w:sz w:val="24"/>
        </w:rPr>
      </w:pPr>
      <w:r w:rsidRPr="00D63CBC">
        <w:rPr>
          <w:sz w:val="24"/>
        </w:rPr>
        <w:t xml:space="preserve">Por outro lado Mônica, no auge da sua completude e auto-suficiência simplesmente “rir” (últimos versos da quarta estrofe), tirando uma onda da cara do novo e inexperiente amigo. Mas, a atitude de incertezas de Eduardo desperta uma curiosidade em Mônica a ponto de a mesma querer conhecê-lo um pouco mais. Na concepção da personagem, Eduardo queria tão somente “impressionar”. E ele “[...] meio tonto só pensava em ir pra casa” (versos finais da quarta estrofe). Ora, já são duas da manhã e para quem nunca saía era o stopim para uma encrenca daquelas com os pais.  </w:t>
      </w:r>
    </w:p>
    <w:p w:rsidR="00D24E61" w:rsidRPr="00D63CBC" w:rsidRDefault="00D24E61" w:rsidP="00D63CBC">
      <w:pPr>
        <w:pStyle w:val="NormalWeb"/>
        <w:spacing w:before="0" w:beforeAutospacing="0" w:after="200" w:afterAutospacing="0"/>
        <w:ind w:firstLine="709"/>
        <w:jc w:val="both"/>
      </w:pPr>
      <w:r w:rsidRPr="00D63CBC">
        <w:t xml:space="preserve">Os dois trocaram algumas ligações e marcaram um encontro. Novamente o autor coloca Mônica num degrau mais elevado: “O Eduardo sugeriu uma lanchonete/ Mas a Mônica queria ver o filme do Godard” (quinta estrofe). Enquanto ele pensava simples, ela pensava longe. Ele queria conversar num lugar convencional, acessível, uma lanchonete, e ela num lugar de destaque social, um cinema, vendo um filme do cineasta Jean-Luc Godard. Os dois então decidem ir para o parque da cidade, se bem que nesse momento, Renato Russo faz Mônica ceder e os dois chagarem a um acordo. Mônica vai “[...] de moto e o Eduardo de camêlo”. (sexta estrofe). Até nas coisas mais elementares, Renato Russo coloca Mônica sempre na frente, em relação a Eduardo, o que comprova o ferrenho debate entre os dois sexos proposto pelo autor. Mônica foi de moto, Eduardo foi de bicicleta. </w:t>
      </w:r>
    </w:p>
    <w:p w:rsidR="00D24E61" w:rsidRPr="00D63CBC" w:rsidRDefault="00D24E61" w:rsidP="00D63CBC">
      <w:pPr>
        <w:pStyle w:val="NormalWeb"/>
        <w:spacing w:before="0" w:beforeAutospacing="0" w:after="200" w:afterAutospacing="0"/>
        <w:ind w:firstLine="709"/>
        <w:jc w:val="both"/>
        <w:rPr>
          <w:sz w:val="28"/>
        </w:rPr>
      </w:pPr>
      <w:r w:rsidRPr="00D63CBC">
        <w:rPr>
          <w:sz w:val="28"/>
        </w:rPr>
        <w:t>Nos versos seguintes e últimos da sexta estrofe, mais uma prova da falta de vivência e conhecimento de mundo por parte de Eduardo. Ele acha estranho Mônica ter o cabelo pintado. “O Eduardo achou estranho, e melhor não comentar/ Mas a menina tinha tinta no cabelo”. Essa inocência absurda não se justifica pela pouca idade, mas pela forma como o garoto vivia, talvez forçado pelos pais que são muito antiquados e fechados as novas tendências. Vale lembrar que a tinta pode significa que o cabelo dela esteja pintado ou que caiu alguma tinta no cabelo. O autor não especifica esta questão.</w:t>
      </w:r>
    </w:p>
    <w:p w:rsidR="00D24E61" w:rsidRPr="00D63CBC" w:rsidRDefault="00D24E61" w:rsidP="00D63CBC">
      <w:pPr>
        <w:pStyle w:val="NormalWeb"/>
        <w:spacing w:before="0" w:beforeAutospacing="0" w:after="200" w:afterAutospacing="0"/>
        <w:ind w:firstLine="709"/>
        <w:jc w:val="both"/>
        <w:rPr>
          <w:sz w:val="28"/>
        </w:rPr>
      </w:pPr>
      <w:r w:rsidRPr="00D63CBC">
        <w:rPr>
          <w:sz w:val="28"/>
        </w:rPr>
        <w:t xml:space="preserve">Na sétima estrofe, Renato Russo comprova, de forma objetiva, a enorme diferença entre os dois: “Eduardo e Mônica era nada parecidos/Ela era de Leão e ele tinha dezesseis”.  Quanto a Eduardo, o autor se resume a dizer somente que ele tinha 16 anos. Quanto a Mônica, ela era leonina. Pessoas desse signo são firmes, têm autoconfiança, são extrovertidas e conhecedoras dos seus direitos. Ou seja, são pessoas super independentes e que sabem o que querem. </w:t>
      </w:r>
    </w:p>
    <w:p w:rsidR="00D24E61" w:rsidRPr="00D63CBC" w:rsidRDefault="00D24E61" w:rsidP="00D63CBC">
      <w:pPr>
        <w:pStyle w:val="NormalWeb"/>
        <w:spacing w:before="0" w:beforeAutospacing="0" w:after="200" w:afterAutospacing="0"/>
        <w:ind w:firstLine="709"/>
        <w:jc w:val="both"/>
        <w:rPr>
          <w:sz w:val="28"/>
        </w:rPr>
      </w:pPr>
      <w:r w:rsidRPr="00D63CBC">
        <w:rPr>
          <w:sz w:val="28"/>
        </w:rPr>
        <w:t>Mais a frente: “Ela fazia Medicina e falava alemão/E ele ainda nas aulinhas de inglês”. Observe que o sexo feminino na canção é sempre evidenciado e defendido em detrimento do sexo oposto. Essa autoconfiança e firmeza de Mônica a coloca sempre no mais alto lugar de destaque. Eduardo ainda fazia cursinho, aulinhas de inglês. Veja que o autor coloca o termo “aulinhas” para se referir ao que o garoto fazia. Não se sabe se a escolha do termo no diminutivo se deu para ironizar o atraso de Eduardo ou simplesmente para completar a sílaba poética, uma vez que ficaria quebrado dizer: “e ele ainda nas “aulas” de inglês”. E Mônica? A garota já cursava medicina e já era poliglota.</w:t>
      </w:r>
    </w:p>
    <w:p w:rsidR="00D24E61" w:rsidRPr="00D63CBC" w:rsidRDefault="00D24E61" w:rsidP="00D63CBC">
      <w:pPr>
        <w:pStyle w:val="NormalWeb"/>
        <w:spacing w:before="0" w:beforeAutospacing="0" w:after="200" w:afterAutospacing="0"/>
        <w:ind w:firstLine="709"/>
        <w:jc w:val="both"/>
        <w:rPr>
          <w:sz w:val="28"/>
        </w:rPr>
      </w:pPr>
      <w:r w:rsidRPr="00D63CBC">
        <w:rPr>
          <w:sz w:val="28"/>
        </w:rPr>
        <w:t>As diferenças não são somente no comportamento e na independência da mulher. A cultura de ambos também é divergente. Mônica curte uma galera tida como os melhores da cultura erudita, tanto do exterior como nacional: Bandeira, Bauhaus, Van Gogh, Rimbaud, Mutantes, Caetano. Eduardo ainda curte uma novela e um futebolzinho-de-botão com o avô, coisas de quem ainda está na fase adolescência. Mônica entendia um pouco de tudo. Falava sobre política, magia, métodos milenares de relaxamento, mas Eduardo “[...] ainda tava no esquema escola, cinema, clube e televisão.” (versos finais da nona estrofe). De fato, o garoto era só um pouquinho sedentário, o cara ia algumas vezes ao clube e ao cinema, mas só isso. O resto ele fazia por obrigação, como ir à escola. Ao voltar, o divertimento era a famigerada televisão, motivo de tanta alienação de muitos adolescentes e jovens mundo afora. Veja que Renato Russo, mais uma vez fornece uma característica pejorativa às atividades de Eduardo: “escola cinema, clube e televisão”. O autor usa aspas dando um sentido cômico ao que o personagem faz. Objetiva-se enfatizar que são atividades infantilizadas e, que portanto, Mônica é o perfil ideal de adolescente/jovem.</w:t>
      </w:r>
    </w:p>
    <w:p w:rsidR="00D24E61" w:rsidRPr="00D63CBC" w:rsidRDefault="00D24E61" w:rsidP="00D63CBC">
      <w:pPr>
        <w:pStyle w:val="NormalWeb"/>
        <w:spacing w:before="0" w:beforeAutospacing="0" w:after="200" w:afterAutospacing="0"/>
        <w:ind w:firstLine="709"/>
        <w:jc w:val="both"/>
        <w:rPr>
          <w:sz w:val="28"/>
        </w:rPr>
      </w:pPr>
      <w:r w:rsidRPr="00D63CBC">
        <w:rPr>
          <w:sz w:val="28"/>
        </w:rPr>
        <w:t>Mas, seguindo a máxima popular que diz: os opostos se atraem, o autor converge toda a divergência entre os personagens, levando os a aprenderem a conviver em meio a essa gama de diferenças. “E mesmo com tudo diferente, veio mesmo, de repente/Uma vontade de se ver/E os dois se encontravam todo dia/E a vontade crescia, como tinha de ser...”. (décima estrofe). Era nas diferenças que ambos se encantariam e tudo se tornaria belo.</w:t>
      </w:r>
    </w:p>
    <w:p w:rsidR="00D24E61" w:rsidRPr="00D63CBC" w:rsidRDefault="00D24E61" w:rsidP="00D63CBC">
      <w:pPr>
        <w:pStyle w:val="NormalWeb"/>
        <w:spacing w:before="0" w:beforeAutospacing="0" w:after="200" w:afterAutospacing="0"/>
        <w:ind w:firstLine="709"/>
        <w:jc w:val="both"/>
        <w:rPr>
          <w:sz w:val="28"/>
        </w:rPr>
      </w:pPr>
      <w:r w:rsidRPr="00D63CBC">
        <w:rPr>
          <w:sz w:val="28"/>
        </w:rPr>
        <w:t xml:space="preserve">Os constantes desencontros agora são lindas experiências vividas juntos. “Eduardo e Mônica fizeram natação, fotografia/Teatro, artesanato, e foram viajar”. Note que ao se tratar das atividades feitas pelos dois, Russo não usa nenhuma marca tipográfica para destacar o ironizar. Mas, o que chama mais atenção, apesar da simplicidade de algumas experiências, é a mudança de Eduardo. Um rapaz acostumado ao mundo caseiro em que a diversão maior era a televisão e o futebol-de-botão, de uma hora para outra, se ver viajando, fazendo teatro, artesanato... Realmente Mônica, sexo feminino, estava destinada a revolucionar a vida simplória de Eduardo.  </w:t>
      </w:r>
    </w:p>
    <w:p w:rsidR="00D24E61" w:rsidRPr="00D63CBC" w:rsidRDefault="00D24E61" w:rsidP="00D63CBC">
      <w:pPr>
        <w:pStyle w:val="NormalWeb"/>
        <w:spacing w:before="0" w:beforeAutospacing="0" w:after="200" w:afterAutospacing="0"/>
        <w:ind w:firstLine="709"/>
        <w:jc w:val="both"/>
        <w:rPr>
          <w:sz w:val="28"/>
        </w:rPr>
      </w:pPr>
      <w:r w:rsidRPr="00D63CBC">
        <w:rPr>
          <w:sz w:val="28"/>
        </w:rPr>
        <w:t>Apesar da relação de profundo afeto que acabara de nascer entre ambos, a garota não deixa de mostrar-se auto-suficiente, intelectualmente falando: “A Mônica explicava pro Eduardo/Coisas sobre o céu, a terra, a água e o ar...”. Sempre na ponta, Mônica toma a iniciativa e aproveita os momentos oportunos para mostrar a sua inteligência, aparentemente imensurável e inigualável. Não que isto seja prepotência, talvez muito uma vontade de ajudar, ensinar.</w:t>
      </w:r>
    </w:p>
    <w:p w:rsidR="00D24E61" w:rsidRPr="00D63CBC" w:rsidRDefault="00D24E61" w:rsidP="00D63CBC">
      <w:pPr>
        <w:pStyle w:val="NormalWeb"/>
        <w:spacing w:before="0" w:beforeAutospacing="0" w:after="200" w:afterAutospacing="0"/>
        <w:ind w:firstLine="709"/>
        <w:jc w:val="both"/>
        <w:rPr>
          <w:sz w:val="28"/>
        </w:rPr>
      </w:pPr>
      <w:r w:rsidRPr="00D63CBC">
        <w:rPr>
          <w:sz w:val="28"/>
        </w:rPr>
        <w:t xml:space="preserve">“Ele aprendeu a beber, deixou o cabelo crescer/E decidiu trabalhar/E ela se formou no mesmo mês/Que ele passou no vestibular”.  Definitivamente, Eduardo se insere no mundo elevado da amada. O carinha/boyzinho que tentava impressionar; que achava as festas estranhas; com gente esquisita; que ficava tonto com uma ou duas “biritas” e que morria de medo de chegar tarde da noite em casa, agora já sabia beber (não que aprender a beber seja lá um grande feito na vida de um ser humano), deixou o cabelo crescer. Esse mesmo “carinha” que achou estranho Mônica ter o cabelo pintado, agora anda de cabelo grande. O mesmo “boyzinho” que tinha um único esquema: escola, cinema, clube, televisão, novela e futebol-de-botão com o avô, agora tinha um emprego e, o melhor: saiu do cursinho e das “aulinhas” de inglês direto para a universidade. </w:t>
      </w:r>
    </w:p>
    <w:p w:rsidR="00D24E61" w:rsidRPr="00D63CBC" w:rsidRDefault="00D24E61" w:rsidP="00D63CBC">
      <w:pPr>
        <w:pStyle w:val="NormalWeb"/>
        <w:spacing w:before="0" w:beforeAutospacing="0" w:after="200" w:afterAutospacing="0"/>
        <w:ind w:firstLine="709"/>
        <w:jc w:val="both"/>
        <w:rPr>
          <w:sz w:val="28"/>
        </w:rPr>
      </w:pPr>
      <w:r w:rsidRPr="00D63CBC">
        <w:rPr>
          <w:sz w:val="28"/>
        </w:rPr>
        <w:t xml:space="preserve">E como em toda e qualquer boa relação as brigas e os desentendimentos surgiram, mas, também, como em toda e qualquer boa relação os dois devem se completar e resolver tudo juntos. Eduardo e Mônica batalharam, construíram sua casinha, “seguraram legal a barra mais pesada que tiveram” (ultima estrofe) e o resultado de tudo foi um lindo casal de gêmeos. Após a viagem, ambos retornam para Brasília onde tudo começou e onde tudo deve terminar, claro, com um super final feliz para os três. </w:t>
      </w:r>
    </w:p>
    <w:p w:rsidR="00D24E61" w:rsidRPr="00771368" w:rsidRDefault="00D24E61" w:rsidP="00D24E61">
      <w:pPr>
        <w:pStyle w:val="NormalWeb"/>
        <w:spacing w:before="0" w:beforeAutospacing="0" w:after="200" w:afterAutospacing="0"/>
        <w:ind w:firstLine="709"/>
      </w:pPr>
      <w:r w:rsidRPr="00771368">
        <w:t xml:space="preserve">Renato Russo encerra a canção com a mesma estrofe do início: “E quem um dia irá dizer/Que existe razão/Nas coisas feitas pelo coração?/E quem irá dizer/Que não existe razão!”. De fato, não há explicações para as coisas do coração. O que se sabe é que em se tratando de sentimentos do coração tudo pode acontecer inclusive o amor, mesmo que em meio ao diferente, ao aparentemente oposto. </w:t>
      </w:r>
    </w:p>
    <w:p w:rsidR="00D24E61" w:rsidRPr="00A54BAE" w:rsidRDefault="00D24E61" w:rsidP="00A54BAE">
      <w:pPr>
        <w:spacing w:after="200"/>
        <w:jc w:val="both"/>
        <w:rPr>
          <w:b/>
          <w:sz w:val="24"/>
          <w:szCs w:val="24"/>
        </w:rPr>
      </w:pPr>
      <w:r w:rsidRPr="00A54BAE">
        <w:rPr>
          <w:b/>
          <w:sz w:val="24"/>
          <w:szCs w:val="24"/>
        </w:rPr>
        <w:t>3.1  Mônica e sua trajetória</w:t>
      </w:r>
    </w:p>
    <w:p w:rsidR="00D24E61" w:rsidRPr="00A54BAE" w:rsidRDefault="00D24E61" w:rsidP="00A54BAE">
      <w:pPr>
        <w:spacing w:after="200"/>
        <w:ind w:firstLine="709"/>
        <w:jc w:val="both"/>
        <w:rPr>
          <w:sz w:val="24"/>
          <w:szCs w:val="24"/>
        </w:rPr>
      </w:pPr>
      <w:r w:rsidRPr="00A54BAE">
        <w:rPr>
          <w:sz w:val="24"/>
          <w:szCs w:val="24"/>
        </w:rPr>
        <w:t xml:space="preserve">A independente e madura Mônica faz sua trajetória baseada nela mesma. Seus sonhos e desejos são o guia no caminho que ela decidiu percorrer. A Mônica de Eduardo e Mônica é talvez o retrato do que toda mulher pensa ser: livre e obstinada, mesmo que os princípios sociais digam o contrário. Tal trajetória não se encerra no simples fato de Mônica acordar cedo e ir ao centro da cidade tomar uma dose de conhaque ou fazer coisas contrárias as normas sociais. Além dessas práticas Mônica “falava coisas sobre o Planalto Central, também magia e meditação”. (9ª estrofe). Mônica não é só uma mulher além do seu tempo, quando se trata de quebrar as regras sociais que tentam ditar o comportamento feminino, ela é culta e, talvez por isso, tenha a liberdade e capacidade de fazer o que bem entender e estar onde bem quiser sem ser mal interpretada. </w:t>
      </w:r>
    </w:p>
    <w:p w:rsidR="00D24E61" w:rsidRPr="00A54BAE" w:rsidRDefault="00D24E61" w:rsidP="00A54BAE">
      <w:pPr>
        <w:spacing w:after="200"/>
        <w:ind w:firstLine="709"/>
        <w:jc w:val="both"/>
        <w:rPr>
          <w:sz w:val="24"/>
          <w:szCs w:val="24"/>
        </w:rPr>
      </w:pPr>
      <w:r w:rsidRPr="00A54BAE">
        <w:rPr>
          <w:sz w:val="24"/>
          <w:szCs w:val="24"/>
        </w:rPr>
        <w:t xml:space="preserve">Enquanto seu futuro companheiro Eduardo falava coisas simples e sem atrativo, ela deixava sua marca discutindo assuntos comuns aos grandes pensadores e intelectuais. Mônica não pode ser vista como uma mulher vulgar ou metida, ela apenas é o quer ser e isso não a torna diferente das demais, nem tampouco a transforma na ovelha negra da classe feminina. Ela é confeccionada por Renato Russo para ser sim o oposto de Eduardo, mas principalmente para passar ao interlocutor e à sociedade a necessidade de pensar a mulher como sexo forte e como pessoa capaz de agir e pensar da mesma forma que as outras. </w:t>
      </w:r>
    </w:p>
    <w:p w:rsidR="00D24E61" w:rsidRPr="00A54BAE" w:rsidRDefault="00D24E61" w:rsidP="00A54BAE">
      <w:pPr>
        <w:pStyle w:val="NormalWeb"/>
        <w:spacing w:before="120" w:beforeAutospacing="0" w:after="120" w:afterAutospacing="0"/>
        <w:ind w:firstLine="708"/>
        <w:jc w:val="both"/>
      </w:pPr>
      <w:r w:rsidRPr="00A54BAE">
        <w:t>Apesar de apresentada como mais elevada social e culturalmente desde o início da canção, aparentando assim uma desigualdade de gênero, é no final que o autor iguala Mônica a Eduardo, tornando ambos semelhantes em comportamento, ideologia e vida social. “Batalharam grana, seguraram legal a barra mais pesada que tiveram..” (última estrofe). Os dois personagens não se conhecem e nem se imaginam passar pelo que passaram, entretanto tudo se converge para uma aproximação inimaginável, por parte do leitor/ouvinte, mostrando que não “existe razão nas coisas feitas pelo coração...”.</w:t>
      </w:r>
    </w:p>
    <w:p w:rsidR="00D24E61" w:rsidRPr="00A54BAE" w:rsidRDefault="00D24E61" w:rsidP="00A54BAE">
      <w:pPr>
        <w:spacing w:before="120" w:after="120"/>
        <w:jc w:val="both"/>
        <w:rPr>
          <w:b/>
          <w:sz w:val="24"/>
          <w:szCs w:val="24"/>
        </w:rPr>
      </w:pPr>
      <w:r w:rsidRPr="00A54BAE">
        <w:rPr>
          <w:b/>
          <w:sz w:val="24"/>
          <w:szCs w:val="24"/>
        </w:rPr>
        <w:t>3.2 Eduardo traça o percurso de Mônica</w:t>
      </w:r>
    </w:p>
    <w:p w:rsidR="00D24E61" w:rsidRPr="00A54BAE" w:rsidRDefault="00D24E61" w:rsidP="00A54BAE">
      <w:pPr>
        <w:pStyle w:val="NormalWeb"/>
        <w:spacing w:before="0" w:beforeAutospacing="0" w:after="0" w:afterAutospacing="0"/>
        <w:ind w:firstLine="708"/>
        <w:jc w:val="both"/>
      </w:pPr>
      <w:r w:rsidRPr="00A54BAE">
        <w:t>Apesar de ser o oposto de Mônica, Eduardo tenta traçar o mesmo percurso da personagem. Não exatamente por admiração ou por tê-la como modelo a ser seguido, mas pelo fato de Mônica ter sido a primeira amiga/enamorada do mesmo e a primeira a compreendê-lo. Embalado pela a amizade criada com Mônica, de forma impensada, Eduardo segue rumos diferentes, daqueles descritos nos primeiros versos da canção. “Eduardo e Mônica um dia se encontraram sem querer e conversaram muito mesmo pra tentar se conhecer” (segunda estrofe). Aquele que não tinha coragem nem se quer para levantar: “abriu os olhos, mas não quis se levantar...” (primeira estrofe), agora seguia seu novo caminho ao lado de Mônica, apesar do seu receio constante, conforme expressa o narrador neste verso na terceira estrofe da canção: “Festa estranha, com gente esquisita "Eu não tô legal", não agüento mais birita...". Os medos não o impedem de se aproximar de Mônica e deixar os seus comportamentos caseiros.</w:t>
      </w:r>
    </w:p>
    <w:p w:rsidR="00D24E61" w:rsidRPr="00A54BAE" w:rsidRDefault="00D24E61" w:rsidP="00A54BAE">
      <w:pPr>
        <w:pStyle w:val="NormalWeb"/>
        <w:spacing w:before="0" w:beforeAutospacing="0" w:after="0" w:afterAutospacing="0"/>
        <w:ind w:firstLine="708"/>
        <w:jc w:val="both"/>
      </w:pPr>
      <w:r w:rsidRPr="00A54BAE">
        <w:t>Para GANGORRA, Eduardo é “uma vítima de uma cultura pop de caderno cultural de jornais, que Mônica lhe obriga a seguir”. Entretanto, Eduardo não é obrigado a seguir Mônica. As mudanças na sua trajetória de vida se dão por conta da sua aproximação com a personagem feminina, o que é natural, pois ele passa a acompanhá-la e frequentar os lugares que Mônica frequentava. De repente ele se vê inserido no mesmo meio social de Mônica, mas não de forma obrigatória, imposta, apenas aconteceu. Eduardo traça o percurso de Mônica, mas não por obrigação e sim</w:t>
      </w:r>
    </w:p>
    <w:p w:rsidR="00D24E61" w:rsidRPr="00A54BAE" w:rsidRDefault="00D24E61" w:rsidP="00A54BAE">
      <w:pPr>
        <w:pStyle w:val="NormalWeb"/>
        <w:spacing w:before="120" w:beforeAutospacing="0" w:after="120" w:afterAutospacing="0"/>
        <w:jc w:val="both"/>
        <w:rPr>
          <w:b/>
        </w:rPr>
      </w:pPr>
      <w:r w:rsidRPr="00A54BAE">
        <w:rPr>
          <w:b/>
        </w:rPr>
        <w:t>4 CONSIDERAÇÕES FINAIS</w:t>
      </w:r>
    </w:p>
    <w:p w:rsidR="00D24E61" w:rsidRPr="00A54BAE" w:rsidRDefault="00D24E61" w:rsidP="00A54BAE">
      <w:pPr>
        <w:pStyle w:val="NormalWeb"/>
        <w:spacing w:before="0" w:beforeAutospacing="0" w:after="200" w:afterAutospacing="0"/>
        <w:ind w:firstLine="709"/>
        <w:jc w:val="both"/>
      </w:pPr>
      <w:r w:rsidRPr="00A54BAE">
        <w:t>Quanto a questão de gênero, objeto de análise deste trabalho científico, pôde-se comprovar que a mesma fica bastante evidenciada na história do casal Eduardo e Mônica. Em todas as estrofes e versos, fica claro o intento do autor ao elencar as virtudes e as atitudes típicas de uma mulher madura e independente, como Mônica, em oposição às atitudes infantis ou imaturas de Eduardo.  Renato Russo tem uma atitude tendenciosa ao se referir a Mônica, entretanto, ao se referir a Eduardo o tom é sempre depreciativo. Mônica é sempre inserida na história como alguém que já sabe tudo e que já viveu muito, enquanto que Eduardo não tem o mesmo tratamento, pelo contrário ele vai aprender com Mônica.</w:t>
      </w:r>
    </w:p>
    <w:p w:rsidR="00D24E61" w:rsidRPr="00A54BAE" w:rsidRDefault="00D24E61" w:rsidP="00A54BAE">
      <w:pPr>
        <w:pStyle w:val="NormalWeb"/>
        <w:spacing w:before="0" w:beforeAutospacing="0" w:after="200" w:afterAutospacing="0"/>
        <w:ind w:firstLine="709"/>
        <w:jc w:val="both"/>
      </w:pPr>
      <w:r w:rsidRPr="00A54BAE">
        <w:t>O tema da canção poderia ser apenas falar das diferenças entre dois jovens que se conhecem e vivem um grande romance, o que teria uma ar de suavidade e romantismo, mas não é isso que fica claro ao analisar a letra da canção, partindo dessa perspectiva. Assim, percebe-se um constante embate entre os sexos masculino e feminino, representado pelos personagens Eduardo e Mônica. O autor também coloca algo que jamais pensariam os leitores de acontecer: os dois personagens acabam vivendo uma linda história de amor.</w:t>
      </w:r>
    </w:p>
    <w:p w:rsidR="00D24E61" w:rsidRPr="00A54BAE" w:rsidRDefault="00D24E61" w:rsidP="00A54BAE">
      <w:pPr>
        <w:spacing w:after="200"/>
        <w:ind w:firstLine="709"/>
        <w:jc w:val="both"/>
        <w:rPr>
          <w:sz w:val="24"/>
          <w:szCs w:val="24"/>
        </w:rPr>
      </w:pPr>
      <w:r w:rsidRPr="00A54BAE">
        <w:rPr>
          <w:sz w:val="24"/>
          <w:szCs w:val="24"/>
        </w:rPr>
        <w:t>Esta reflexão não encerra a discussão sobre a evocação da questão de gênero na obra/música analisada, mas abre-se uma prerrogativa importante na literatura acadêmica regional, no sentido de despertar todos para a necessidade de abordar tal tema e vertente de análise nos próximos estudos científicos.</w:t>
      </w:r>
    </w:p>
    <w:p w:rsidR="00D24E61" w:rsidRPr="00771368" w:rsidRDefault="00D24E61" w:rsidP="00D24E61">
      <w:pPr>
        <w:pStyle w:val="NormalWeb"/>
        <w:spacing w:before="240" w:beforeAutospacing="0" w:after="240" w:afterAutospacing="0"/>
        <w:rPr>
          <w:b/>
        </w:rPr>
      </w:pPr>
      <w:r w:rsidRPr="00771368">
        <w:rPr>
          <w:b/>
        </w:rPr>
        <w:t>REFERÊNCIAS BIBLIOGRÁFICAS</w:t>
      </w:r>
    </w:p>
    <w:p w:rsidR="00D24E61" w:rsidRPr="00771368" w:rsidRDefault="00D24E61" w:rsidP="00D24E61">
      <w:pPr>
        <w:pStyle w:val="NormalWeb"/>
        <w:spacing w:before="240" w:beforeAutospacing="0" w:after="240" w:afterAutospacing="0"/>
      </w:pPr>
      <w:r w:rsidRPr="00771368">
        <w:t xml:space="preserve">Disponível em: </w:t>
      </w:r>
      <w:hyperlink r:id="rId129" w:history="1">
        <w:r w:rsidRPr="00771368">
          <w:rPr>
            <w:rStyle w:val="Hyperlink"/>
          </w:rPr>
          <w:t>http://letras.mus.br/legiao-urbana/22497/</w:t>
        </w:r>
      </w:hyperlink>
      <w:r w:rsidRPr="00771368">
        <w:t>. Acesso em: 30/10/2012.</w:t>
      </w:r>
    </w:p>
    <w:p w:rsidR="00D24E61" w:rsidRPr="00771368" w:rsidRDefault="00D24E61" w:rsidP="00D24E61">
      <w:pPr>
        <w:pStyle w:val="NormalWeb"/>
        <w:spacing w:before="240" w:after="240"/>
      </w:pPr>
      <w:r w:rsidRPr="00771368">
        <w:t>FREIRE, Paulo. Pedagogia do Oprimido. RJ. 32ª ed. Paz e Terra. 1989.</w:t>
      </w:r>
    </w:p>
    <w:p w:rsidR="00D24E61" w:rsidRPr="00771368" w:rsidRDefault="00D24E61" w:rsidP="00D24E61">
      <w:pPr>
        <w:pStyle w:val="NormalWeb"/>
        <w:spacing w:before="240" w:beforeAutospacing="0" w:after="240" w:afterAutospacing="0"/>
      </w:pPr>
      <w:r w:rsidRPr="00771368">
        <w:t>GEBARA, Ivone. Cultura e Relações de Gênero. São Paulo. Cepis, 2001.</w:t>
      </w:r>
    </w:p>
    <w:p w:rsidR="00D24E61" w:rsidRPr="00771368" w:rsidRDefault="00D24E61" w:rsidP="00D24E61">
      <w:pPr>
        <w:autoSpaceDE w:val="0"/>
        <w:autoSpaceDN w:val="0"/>
        <w:adjustRightInd w:val="0"/>
      </w:pPr>
      <w:r w:rsidRPr="00771368">
        <w:t xml:space="preserve">URBANA, Legião: </w:t>
      </w:r>
      <w:r w:rsidRPr="00771368">
        <w:rPr>
          <w:b/>
        </w:rPr>
        <w:t>Eduardo e Mônica</w:t>
      </w:r>
      <w:r w:rsidRPr="00771368">
        <w:t>. R. Russo [compositor] In: ____. Dois 1986: Emi-Brasil. 1CD (ca. 47:00 min.). Faixa 4 (5 min.).</w:t>
      </w:r>
    </w:p>
    <w:p w:rsidR="00D24E61" w:rsidRPr="00771368" w:rsidRDefault="00D24E61" w:rsidP="00D24E61">
      <w:pPr>
        <w:autoSpaceDE w:val="0"/>
        <w:autoSpaceDN w:val="0"/>
        <w:adjustRightInd w:val="0"/>
      </w:pPr>
    </w:p>
    <w:p w:rsidR="00D24E61" w:rsidRPr="00771368" w:rsidRDefault="00D24E61" w:rsidP="00D24E61">
      <w:pPr>
        <w:autoSpaceDE w:val="0"/>
        <w:autoSpaceDN w:val="0"/>
        <w:adjustRightInd w:val="0"/>
      </w:pPr>
      <w:r w:rsidRPr="00771368">
        <w:t xml:space="preserve">Disponível em: </w:t>
      </w:r>
      <w:hyperlink r:id="rId130" w:history="1">
        <w:r w:rsidRPr="00771368">
          <w:rPr>
            <w:rStyle w:val="Hyperlink"/>
          </w:rPr>
          <w:t>http://adolargangorra.blogspot.com.br/2009/03/monica-e-eduardo.html</w:t>
        </w:r>
      </w:hyperlink>
      <w:r w:rsidRPr="00771368">
        <w:t>. Acesso em: 31/10/2012.</w:t>
      </w:r>
    </w:p>
    <w:p w:rsidR="00D24E61" w:rsidRPr="00771368" w:rsidRDefault="00D24E61" w:rsidP="00D24E61">
      <w:pPr>
        <w:autoSpaceDE w:val="0"/>
        <w:autoSpaceDN w:val="0"/>
        <w:adjustRightInd w:val="0"/>
      </w:pPr>
    </w:p>
    <w:p w:rsidR="00D24E61" w:rsidRPr="00771368" w:rsidRDefault="00D24E61" w:rsidP="00D24E61">
      <w:pPr>
        <w:pStyle w:val="NormalWeb"/>
        <w:spacing w:before="0" w:beforeAutospacing="0" w:after="0" w:afterAutospacing="0"/>
      </w:pPr>
      <w:r w:rsidRPr="00771368">
        <w:t xml:space="preserve">FILHO, Amílcar Torrão. </w:t>
      </w:r>
      <w:r w:rsidRPr="00771368">
        <w:rPr>
          <w:b/>
        </w:rPr>
        <w:t>Uma questão de gênero: onde o masculino e o feminino se cruzam</w:t>
      </w:r>
      <w:r w:rsidRPr="00771368">
        <w:t>. cadernos pagu (24), janeiro-junho de 2005, pp.127-152.</w:t>
      </w:r>
    </w:p>
    <w:p w:rsidR="00D24E61" w:rsidRPr="00771368" w:rsidRDefault="00D24E61" w:rsidP="00D24E61">
      <w:pPr>
        <w:pStyle w:val="NormalWeb"/>
      </w:pPr>
      <w:r w:rsidRPr="00771368">
        <w:t>ALMEIDA, Sandra Regina Goulart.</w:t>
      </w:r>
      <w:r w:rsidRPr="00771368">
        <w:rPr>
          <w:b/>
        </w:rPr>
        <w:t xml:space="preserve"> Gênero, Identidade, Diferença. </w:t>
      </w:r>
      <w:r w:rsidRPr="00771368">
        <w:t>UFMG, 2002.</w:t>
      </w:r>
    </w:p>
    <w:p w:rsidR="00D24E61" w:rsidRPr="00771368" w:rsidRDefault="00D24E61" w:rsidP="00A54BAE">
      <w:pPr>
        <w:pStyle w:val="NormalWeb"/>
        <w:jc w:val="center"/>
        <w:rPr>
          <w:b/>
          <w:color w:val="000000"/>
        </w:rPr>
      </w:pPr>
      <w:r w:rsidRPr="00771368">
        <w:rPr>
          <w:b/>
          <w:color w:val="000000"/>
        </w:rPr>
        <w:t>INCLUSÃO E PROMOÇÃO DE EQUIDADE E GÊNERO: RELATOS DO PROGRAMA NACIONAL MULHERES MIL</w:t>
      </w:r>
    </w:p>
    <w:p w:rsidR="00D24E61" w:rsidRPr="00771368" w:rsidRDefault="00D24E61" w:rsidP="00D24E61">
      <w:pPr>
        <w:spacing w:line="360" w:lineRule="auto"/>
        <w:jc w:val="center"/>
        <w:rPr>
          <w:b/>
          <w:color w:val="000000"/>
          <w:sz w:val="20"/>
          <w:szCs w:val="20"/>
        </w:rPr>
      </w:pPr>
    </w:p>
    <w:p w:rsidR="00D24E61" w:rsidRPr="00771368" w:rsidRDefault="00D24E61" w:rsidP="00D24E61">
      <w:pPr>
        <w:tabs>
          <w:tab w:val="left" w:pos="0"/>
        </w:tabs>
        <w:autoSpaceDE w:val="0"/>
        <w:spacing w:line="360" w:lineRule="auto"/>
        <w:jc w:val="center"/>
        <w:rPr>
          <w:color w:val="000000"/>
          <w:sz w:val="20"/>
          <w:szCs w:val="20"/>
        </w:rPr>
      </w:pPr>
      <w:bookmarkStart w:id="49" w:name="_Toc442034738"/>
      <w:r w:rsidRPr="00A54BAE">
        <w:rPr>
          <w:rStyle w:val="Ttulo1Char"/>
        </w:rPr>
        <w:t>Aline Alves Moraes</w:t>
      </w:r>
      <w:bookmarkEnd w:id="49"/>
      <w:r w:rsidRPr="00771368">
        <w:rPr>
          <w:color w:val="000000"/>
          <w:sz w:val="20"/>
          <w:szCs w:val="20"/>
        </w:rPr>
        <w:t xml:space="preserve">¹; </w:t>
      </w:r>
      <w:r w:rsidRPr="00771368">
        <w:rPr>
          <w:rFonts w:eastAsia="Tahoma"/>
          <w:color w:val="000000"/>
          <w:sz w:val="20"/>
          <w:szCs w:val="20"/>
        </w:rPr>
        <w:t xml:space="preserve">Instituto Federal de Educação, Ciência e Tecnologia de Rondônia </w:t>
      </w:r>
      <w:r w:rsidRPr="00771368">
        <w:rPr>
          <w:rFonts w:eastAsia="Tahoma"/>
          <w:i/>
          <w:color w:val="000000"/>
          <w:sz w:val="20"/>
          <w:szCs w:val="20"/>
        </w:rPr>
        <w:t>Campus</w:t>
      </w:r>
      <w:r w:rsidRPr="00771368">
        <w:rPr>
          <w:rFonts w:eastAsia="Tahoma"/>
          <w:color w:val="000000"/>
          <w:sz w:val="20"/>
          <w:szCs w:val="20"/>
        </w:rPr>
        <w:t xml:space="preserve"> Vilhena; </w:t>
      </w:r>
      <w:r w:rsidRPr="00771368">
        <w:rPr>
          <w:color w:val="000000"/>
          <w:sz w:val="20"/>
          <w:szCs w:val="20"/>
        </w:rPr>
        <w:t>Lirian Keli dos Santos²</w:t>
      </w:r>
    </w:p>
    <w:p w:rsidR="00D24E61" w:rsidRPr="00771368" w:rsidRDefault="00D24E61" w:rsidP="00D24E61">
      <w:pPr>
        <w:spacing w:line="360" w:lineRule="auto"/>
        <w:jc w:val="both"/>
        <w:rPr>
          <w:color w:val="000000"/>
          <w:sz w:val="24"/>
          <w:szCs w:val="24"/>
        </w:rPr>
      </w:pPr>
    </w:p>
    <w:p w:rsidR="00D24E61" w:rsidRPr="00771368" w:rsidRDefault="00D24E61" w:rsidP="00D24E61">
      <w:pPr>
        <w:spacing w:line="360" w:lineRule="auto"/>
        <w:jc w:val="both"/>
        <w:rPr>
          <w:color w:val="000000"/>
          <w:sz w:val="24"/>
          <w:szCs w:val="24"/>
        </w:rPr>
      </w:pPr>
    </w:p>
    <w:p w:rsidR="00D24E61" w:rsidRPr="00771368" w:rsidRDefault="00D24E61" w:rsidP="00D24E61">
      <w:pPr>
        <w:spacing w:line="360" w:lineRule="auto"/>
        <w:jc w:val="both"/>
        <w:rPr>
          <w:color w:val="000000"/>
          <w:sz w:val="24"/>
          <w:szCs w:val="24"/>
        </w:rPr>
      </w:pPr>
      <w:r w:rsidRPr="00771368">
        <w:rPr>
          <w:b/>
          <w:color w:val="000000"/>
          <w:sz w:val="24"/>
          <w:szCs w:val="24"/>
        </w:rPr>
        <w:t>Introdução</w:t>
      </w:r>
    </w:p>
    <w:p w:rsidR="00D24E61" w:rsidRPr="00771368" w:rsidRDefault="00D24E61" w:rsidP="00D24E61">
      <w:pPr>
        <w:spacing w:line="360" w:lineRule="auto"/>
        <w:ind w:firstLine="851"/>
        <w:jc w:val="both"/>
        <w:rPr>
          <w:color w:val="000000"/>
          <w:sz w:val="24"/>
          <w:szCs w:val="24"/>
        </w:rPr>
      </w:pP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Na última década, temos vivenciado mudanças econômicas e políticas no Brasil. Como resultado, percebemos maior investimento em políticas sociais universais com objetivo de proteger os segmentos sociais mais vulneráveis da indigência; e as mulheres, principalmente a mulher negra, estão na ponta desse iceberg. </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Não se pode negar a importância das respostas do governo brasileiro em favor do reconhecimento e legitimação de políticas emancipatórias para as mulheres como forma de garantir a inclusão e promover igualdade de oportunidades, porém ainda estão aquém das necessidades reais da população feminina do Brasil. No atual cenário, merece destaque os Institutos Federais de Educação, Ciência e Tecnologia (IF’s), instituídos através da Lei 11.892, de 29 de dezembro de 2008. Os institutos foram implantados com a finalidade de atender às demandas sociais e peculiaridades regionais, constituindo um instrumento de promoção de políticas públicas e de inclusão social, promovendo, o acesso a populações tradicionalmente afastadas da possibilidade de inclusão ao conhecimento, à tecnologia e à inovação. </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Nesse sentido, foi a partir da concepção de educação inclusiva que os Institutos Federais aderiram ao </w:t>
      </w:r>
      <w:r w:rsidRPr="00771368">
        <w:rPr>
          <w:i/>
          <w:color w:val="000000"/>
          <w:sz w:val="24"/>
          <w:szCs w:val="24"/>
        </w:rPr>
        <w:t>Programa Nacional Mulheres Mil</w:t>
      </w:r>
      <w:r w:rsidRPr="00771368">
        <w:rPr>
          <w:color w:val="000000"/>
          <w:sz w:val="24"/>
          <w:szCs w:val="24"/>
        </w:rPr>
        <w:t>, uma política pública voltada para a formação profissional e tecnológica articulada com elevação de escolaridade de mulheres em situação de vulnerabilidade social, passando a oferecer formação educacional, profissional e cidadã às mulheres de seu território.</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O </w:t>
      </w:r>
      <w:r w:rsidRPr="00771368">
        <w:rPr>
          <w:i/>
          <w:color w:val="000000"/>
          <w:sz w:val="24"/>
          <w:szCs w:val="24"/>
        </w:rPr>
        <w:t>Programa Nacional Mulheres Mil</w:t>
      </w:r>
      <w:r w:rsidRPr="00771368">
        <w:rPr>
          <w:color w:val="000000"/>
          <w:sz w:val="24"/>
          <w:szCs w:val="24"/>
        </w:rPr>
        <w:t xml:space="preserve"> se apoia nos princípios do Plano Nacional de Políticas para as Mulheres (PNPM), reiterando que “igualar mulheres e homens através do princípio da equidade deve ser um compromisso social inerente às políticas públicas. Que as mulheres possam apropriar-se dos bens materiais e simbólicos da modernidade tanto quanto os homens!” (LISBOA; MANFRINI, 2005, p. 71).</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Nessa perspectiva, o </w:t>
      </w:r>
      <w:r w:rsidRPr="00771368">
        <w:rPr>
          <w:i/>
          <w:color w:val="000000"/>
          <w:sz w:val="24"/>
          <w:szCs w:val="24"/>
        </w:rPr>
        <w:t>Mulheres Mil</w:t>
      </w:r>
      <w:r w:rsidRPr="00771368">
        <w:rPr>
          <w:color w:val="000000"/>
          <w:sz w:val="24"/>
          <w:szCs w:val="24"/>
        </w:rPr>
        <w:t xml:space="preserve"> deve constituir uma especial ferramenta de promoção de equidade e gênero, atuando como instrumento de inclusão, reconhecendo e valorizando os saberes construídos na comunidade, promovendo, assim, o desenvolvimento humano das mulheres, a melhoria de suas condições de vida e o crescimento econômico de suas comunidades (SETEC, 2012).</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Com base nessa premissa, desenvolvemos uma pesquisa para compreender o(s) impacto(s) que o </w:t>
      </w:r>
      <w:r w:rsidRPr="00771368">
        <w:rPr>
          <w:i/>
          <w:color w:val="000000"/>
          <w:sz w:val="24"/>
          <w:szCs w:val="24"/>
        </w:rPr>
        <w:t>Programa Nacional Mulheres Mil</w:t>
      </w:r>
      <w:r w:rsidRPr="00771368">
        <w:rPr>
          <w:color w:val="000000"/>
          <w:sz w:val="24"/>
          <w:szCs w:val="24"/>
        </w:rPr>
        <w:t xml:space="preserve"> tem produzido sobre a vida das mulheres por ele atendidas no Instituto Federal de Educação, Ciência e Tecnologia </w:t>
      </w:r>
      <w:r w:rsidRPr="00771368">
        <w:rPr>
          <w:i/>
          <w:color w:val="000000"/>
          <w:sz w:val="24"/>
          <w:szCs w:val="24"/>
        </w:rPr>
        <w:t>Campus</w:t>
      </w:r>
      <w:r w:rsidRPr="00771368">
        <w:rPr>
          <w:color w:val="000000"/>
          <w:sz w:val="24"/>
          <w:szCs w:val="24"/>
        </w:rPr>
        <w:t xml:space="preserve"> Vilhena. Nessa perspectiva, é essencial desenvolver uma reflexão e instigar o debate sobre o </w:t>
      </w:r>
      <w:r w:rsidRPr="00771368">
        <w:rPr>
          <w:i/>
          <w:color w:val="000000"/>
          <w:sz w:val="24"/>
          <w:szCs w:val="24"/>
        </w:rPr>
        <w:t>Programa Nacional Mulheres Mil</w:t>
      </w:r>
      <w:r w:rsidRPr="00771368">
        <w:rPr>
          <w:color w:val="000000"/>
          <w:sz w:val="24"/>
          <w:szCs w:val="24"/>
        </w:rPr>
        <w:t>, a fim de repensar a implementação desta política pública para mulheres, suas implicações e contribuições para a promoção da equidade de gênero no município de Vilhena-RO.</w:t>
      </w:r>
    </w:p>
    <w:p w:rsidR="00D24E61" w:rsidRPr="00771368" w:rsidRDefault="00D24E61" w:rsidP="00D24E61">
      <w:pPr>
        <w:spacing w:line="360" w:lineRule="auto"/>
        <w:rPr>
          <w:b/>
          <w:color w:val="000000"/>
          <w:sz w:val="24"/>
          <w:szCs w:val="24"/>
        </w:rPr>
      </w:pPr>
    </w:p>
    <w:p w:rsidR="00D24E61" w:rsidRPr="00771368" w:rsidRDefault="00D24E61" w:rsidP="00D24E61">
      <w:pPr>
        <w:spacing w:line="360" w:lineRule="auto"/>
        <w:rPr>
          <w:color w:val="000000"/>
          <w:sz w:val="24"/>
          <w:szCs w:val="24"/>
        </w:rPr>
      </w:pPr>
      <w:r w:rsidRPr="00771368">
        <w:rPr>
          <w:b/>
          <w:color w:val="000000"/>
          <w:sz w:val="24"/>
          <w:szCs w:val="24"/>
        </w:rPr>
        <w:t xml:space="preserve">Objetivos </w:t>
      </w:r>
    </w:p>
    <w:p w:rsidR="00D24E61" w:rsidRPr="00771368" w:rsidRDefault="00D24E61" w:rsidP="00D24E61">
      <w:pPr>
        <w:spacing w:line="360" w:lineRule="auto"/>
        <w:jc w:val="both"/>
        <w:rPr>
          <w:color w:val="000000"/>
          <w:sz w:val="24"/>
          <w:szCs w:val="24"/>
        </w:rPr>
      </w:pPr>
      <w:r w:rsidRPr="00771368">
        <w:rPr>
          <w:color w:val="000000"/>
          <w:sz w:val="24"/>
          <w:szCs w:val="24"/>
        </w:rPr>
        <w:tab/>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A pesquisa buscou compreender quais os reais impacto(s) que o </w:t>
      </w:r>
      <w:r w:rsidRPr="00771368">
        <w:rPr>
          <w:i/>
          <w:color w:val="000000"/>
          <w:sz w:val="24"/>
          <w:szCs w:val="24"/>
        </w:rPr>
        <w:t xml:space="preserve">Programa Nacional Mulheres Mil </w:t>
      </w:r>
      <w:r w:rsidRPr="00771368">
        <w:rPr>
          <w:color w:val="000000"/>
          <w:sz w:val="24"/>
          <w:szCs w:val="24"/>
        </w:rPr>
        <w:t xml:space="preserve">proporcionou à comunidade feminina por ele atendida no Instituto Federal de Educação, Ciência e Tecnologia </w:t>
      </w:r>
      <w:r w:rsidRPr="00771368">
        <w:rPr>
          <w:i/>
          <w:color w:val="000000"/>
          <w:sz w:val="24"/>
          <w:szCs w:val="24"/>
        </w:rPr>
        <w:t>Campus</w:t>
      </w:r>
      <w:r w:rsidRPr="00771368">
        <w:rPr>
          <w:color w:val="000000"/>
          <w:sz w:val="24"/>
          <w:szCs w:val="24"/>
        </w:rPr>
        <w:t xml:space="preserve"> Vilhena. Além da análise do processo, objetivamos ampliar as reflexões e as discussões sobre a inclusão e a promoção de equidade e gênero, o que, por sua vez, pode contribuir para a consolidação de políticas públicas eficazes. Especificamente, buscamos:</w:t>
      </w:r>
    </w:p>
    <w:p w:rsidR="00D24E61" w:rsidRPr="00771368" w:rsidRDefault="00D24E61" w:rsidP="00FA0ABA">
      <w:pPr>
        <w:numPr>
          <w:ilvl w:val="0"/>
          <w:numId w:val="40"/>
        </w:numPr>
        <w:tabs>
          <w:tab w:val="left" w:pos="993"/>
        </w:tabs>
        <w:spacing w:line="360" w:lineRule="auto"/>
        <w:ind w:hanging="11"/>
        <w:jc w:val="both"/>
        <w:rPr>
          <w:color w:val="000000"/>
          <w:sz w:val="24"/>
          <w:szCs w:val="24"/>
        </w:rPr>
      </w:pPr>
      <w:r w:rsidRPr="00771368">
        <w:rPr>
          <w:color w:val="000000"/>
          <w:sz w:val="24"/>
          <w:szCs w:val="24"/>
        </w:rPr>
        <w:t>Conhecer que mudanças o Programa proporcionou nos âmbitos social, educacional, econômico e pessoal das mulheres por ele atendidas;</w:t>
      </w:r>
    </w:p>
    <w:p w:rsidR="00D24E61" w:rsidRPr="00771368" w:rsidRDefault="00D24E61" w:rsidP="00FA0ABA">
      <w:pPr>
        <w:numPr>
          <w:ilvl w:val="0"/>
          <w:numId w:val="40"/>
        </w:numPr>
        <w:tabs>
          <w:tab w:val="left" w:pos="993"/>
        </w:tabs>
        <w:spacing w:line="360" w:lineRule="auto"/>
        <w:ind w:hanging="11"/>
        <w:jc w:val="both"/>
        <w:rPr>
          <w:color w:val="000000"/>
          <w:sz w:val="24"/>
          <w:szCs w:val="24"/>
        </w:rPr>
      </w:pPr>
      <w:r w:rsidRPr="00771368">
        <w:rPr>
          <w:color w:val="000000"/>
          <w:sz w:val="24"/>
          <w:szCs w:val="24"/>
        </w:rPr>
        <w:t>Refletir se as mudanças em suas vidas pautaram-se pela perspectiva da inclusão social e promoção de equidade e gênero;</w:t>
      </w:r>
    </w:p>
    <w:p w:rsidR="00D24E61" w:rsidRPr="00771368" w:rsidRDefault="00D24E61" w:rsidP="00FA0ABA">
      <w:pPr>
        <w:numPr>
          <w:ilvl w:val="0"/>
          <w:numId w:val="40"/>
        </w:numPr>
        <w:tabs>
          <w:tab w:val="left" w:pos="993"/>
        </w:tabs>
        <w:spacing w:line="360" w:lineRule="auto"/>
        <w:ind w:hanging="11"/>
        <w:jc w:val="both"/>
        <w:rPr>
          <w:color w:val="000000"/>
          <w:sz w:val="24"/>
          <w:szCs w:val="24"/>
        </w:rPr>
      </w:pPr>
      <w:r w:rsidRPr="00771368">
        <w:rPr>
          <w:color w:val="000000"/>
          <w:sz w:val="24"/>
          <w:szCs w:val="24"/>
        </w:rPr>
        <w:t>Avaliar a real efetividade desse Programa como política pública;</w:t>
      </w:r>
    </w:p>
    <w:p w:rsidR="00D24E61" w:rsidRPr="00771368" w:rsidRDefault="00D24E61" w:rsidP="00FA0ABA">
      <w:pPr>
        <w:numPr>
          <w:ilvl w:val="0"/>
          <w:numId w:val="40"/>
        </w:numPr>
        <w:tabs>
          <w:tab w:val="left" w:pos="993"/>
        </w:tabs>
        <w:spacing w:line="360" w:lineRule="auto"/>
        <w:ind w:hanging="11"/>
        <w:jc w:val="both"/>
        <w:rPr>
          <w:color w:val="000000"/>
          <w:sz w:val="24"/>
          <w:szCs w:val="24"/>
        </w:rPr>
      </w:pPr>
      <w:r w:rsidRPr="00771368">
        <w:rPr>
          <w:color w:val="000000"/>
          <w:sz w:val="24"/>
          <w:szCs w:val="24"/>
        </w:rPr>
        <w:t>Indicar possíveis melhorias quanto a sua metodologia de acesso, permanência e êxito.</w:t>
      </w:r>
    </w:p>
    <w:p w:rsidR="00D24E61" w:rsidRPr="00771368" w:rsidRDefault="00D24E61" w:rsidP="00D24E61">
      <w:pPr>
        <w:spacing w:line="360" w:lineRule="auto"/>
        <w:rPr>
          <w:b/>
          <w:color w:val="000000"/>
          <w:sz w:val="24"/>
          <w:szCs w:val="24"/>
        </w:rPr>
      </w:pPr>
    </w:p>
    <w:p w:rsidR="00D24E61" w:rsidRPr="00771368" w:rsidRDefault="00D24E61" w:rsidP="00D24E61">
      <w:pPr>
        <w:spacing w:line="360" w:lineRule="auto"/>
        <w:rPr>
          <w:color w:val="000000"/>
          <w:sz w:val="24"/>
          <w:szCs w:val="24"/>
        </w:rPr>
      </w:pPr>
      <w:r w:rsidRPr="00771368">
        <w:rPr>
          <w:b/>
          <w:color w:val="000000"/>
          <w:sz w:val="24"/>
          <w:szCs w:val="24"/>
        </w:rPr>
        <w:t>Metodologia</w:t>
      </w:r>
    </w:p>
    <w:p w:rsidR="00D24E61" w:rsidRPr="00771368" w:rsidRDefault="00D24E61" w:rsidP="00D24E61">
      <w:pPr>
        <w:spacing w:line="360" w:lineRule="auto"/>
        <w:rPr>
          <w:color w:val="000000"/>
          <w:sz w:val="24"/>
          <w:szCs w:val="24"/>
        </w:rPr>
      </w:pPr>
      <w:r w:rsidRPr="00771368">
        <w:rPr>
          <w:color w:val="000000"/>
          <w:sz w:val="24"/>
          <w:szCs w:val="24"/>
        </w:rPr>
        <w:tab/>
      </w:r>
    </w:p>
    <w:p w:rsidR="00D24E61" w:rsidRPr="00771368" w:rsidRDefault="00D24E61" w:rsidP="00D24E61">
      <w:pPr>
        <w:autoSpaceDE w:val="0"/>
        <w:autoSpaceDN w:val="0"/>
        <w:adjustRightInd w:val="0"/>
        <w:spacing w:line="360" w:lineRule="auto"/>
        <w:ind w:firstLine="851"/>
        <w:jc w:val="both"/>
        <w:rPr>
          <w:b/>
          <w:color w:val="000000"/>
          <w:sz w:val="24"/>
          <w:szCs w:val="24"/>
        </w:rPr>
      </w:pPr>
      <w:r w:rsidRPr="00771368">
        <w:rPr>
          <w:color w:val="000000"/>
          <w:sz w:val="24"/>
          <w:szCs w:val="24"/>
        </w:rPr>
        <w:t xml:space="preserve">A pesquisa situa-se no campo da pesquisa qualitativa em decorrência da necessidade de apreensão da subjetividade existente nas relações sociais; já que estas se entrelaçam com valores e regras existentes em sua organização social e não pode ser reduzida à operacionalização de variáveis (MINAYO, 2001). </w:t>
      </w:r>
    </w:p>
    <w:p w:rsidR="00D24E61" w:rsidRPr="00771368" w:rsidRDefault="00D24E61" w:rsidP="00D24E61">
      <w:pPr>
        <w:pStyle w:val="Default"/>
        <w:spacing w:line="360" w:lineRule="auto"/>
        <w:ind w:firstLine="851"/>
        <w:jc w:val="both"/>
      </w:pPr>
      <w:r w:rsidRPr="00771368">
        <w:t>Dentre as possibilidades de abordagens, escolhemos desenvolver um estudo de caso, por entendermos que é o método que mais se enquadra no tipo de estudo a que nos propusemos realizar, pois se trata de um fenômeno inserido em um determinado contexto da vida real, através do qual podem ser obtidas informações, as quais permitem, inclusive, decisões políticas (ANDRÉ, 2005).</w:t>
      </w:r>
    </w:p>
    <w:p w:rsidR="00D24E61" w:rsidRPr="00771368" w:rsidRDefault="00D24E61" w:rsidP="00D24E61">
      <w:pPr>
        <w:pStyle w:val="Default"/>
        <w:spacing w:line="360" w:lineRule="auto"/>
        <w:ind w:firstLine="851"/>
        <w:jc w:val="both"/>
      </w:pPr>
      <w:r w:rsidRPr="00771368">
        <w:t xml:space="preserve">Os dados foram coletados por meio da observação direta e participante (YIN, 2005) das práticas cotidianas das cursistas do </w:t>
      </w:r>
      <w:r w:rsidRPr="00771368">
        <w:rPr>
          <w:i/>
        </w:rPr>
        <w:t>Programa Nacional Mulheres Mil</w:t>
      </w:r>
      <w:r w:rsidRPr="00771368">
        <w:t xml:space="preserve"> desenvolvido no IFRO - </w:t>
      </w:r>
      <w:r w:rsidRPr="00771368">
        <w:rPr>
          <w:i/>
        </w:rPr>
        <w:t>Campus</w:t>
      </w:r>
      <w:r w:rsidRPr="00771368">
        <w:t xml:space="preserve"> Vilhena. Além disso, nos utilizamos de uma revisão bibliográfica dos documentos publicados sobre o Programa Mulheres Mil, bem como de publicações na área de políticas públicas de equidade e gênero.</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Também foram aplicados questionários no início e ao final da formação; o primeiro, com a finalidade de traçar um perfil das cursistas, destacando-se as informações referentes à escolaridade, formação profissional, inserção no mercado de trabalho, renda </w:t>
      </w:r>
      <w:r w:rsidRPr="00771368">
        <w:rPr>
          <w:i/>
          <w:color w:val="000000"/>
          <w:sz w:val="24"/>
          <w:szCs w:val="24"/>
        </w:rPr>
        <w:t>per capita</w:t>
      </w:r>
      <w:r w:rsidRPr="00771368">
        <w:rPr>
          <w:color w:val="000000"/>
          <w:sz w:val="24"/>
          <w:szCs w:val="24"/>
        </w:rPr>
        <w:t>, composição familiar, expectativas em relação ao Programa, entre outras. Já o segundo, teve como objetivo compreender e interpretar os reais impactos gerados por essa política pública na vida das cursistas, bem como as suas debilidades e possíveis melhorias.</w:t>
      </w:r>
    </w:p>
    <w:p w:rsidR="00D24E61" w:rsidRPr="00771368" w:rsidRDefault="00D24E61" w:rsidP="00D24E61">
      <w:pPr>
        <w:spacing w:line="360" w:lineRule="auto"/>
        <w:rPr>
          <w:b/>
          <w:color w:val="000000"/>
          <w:sz w:val="24"/>
          <w:szCs w:val="24"/>
        </w:rPr>
      </w:pPr>
    </w:p>
    <w:p w:rsidR="00D24E61" w:rsidRPr="00771368" w:rsidRDefault="00D24E61" w:rsidP="00D24E61">
      <w:pPr>
        <w:spacing w:line="360" w:lineRule="auto"/>
        <w:rPr>
          <w:b/>
          <w:color w:val="000000"/>
          <w:sz w:val="24"/>
          <w:szCs w:val="24"/>
        </w:rPr>
      </w:pPr>
    </w:p>
    <w:p w:rsidR="00D24E61" w:rsidRPr="00771368" w:rsidRDefault="00D24E61" w:rsidP="00D24E61">
      <w:pPr>
        <w:spacing w:line="360" w:lineRule="auto"/>
        <w:rPr>
          <w:b/>
          <w:color w:val="000000"/>
          <w:sz w:val="24"/>
          <w:szCs w:val="24"/>
        </w:rPr>
      </w:pPr>
      <w:r w:rsidRPr="00771368">
        <w:rPr>
          <w:b/>
          <w:color w:val="000000"/>
          <w:sz w:val="24"/>
          <w:szCs w:val="24"/>
        </w:rPr>
        <w:t>Políticas Públicas de Equidade e Gênero</w:t>
      </w:r>
    </w:p>
    <w:p w:rsidR="00D24E61" w:rsidRPr="00771368" w:rsidRDefault="00D24E61" w:rsidP="00D24E61">
      <w:pPr>
        <w:spacing w:line="360" w:lineRule="auto"/>
        <w:rPr>
          <w:b/>
          <w:color w:val="000000"/>
          <w:sz w:val="24"/>
          <w:szCs w:val="24"/>
        </w:rPr>
      </w:pPr>
    </w:p>
    <w:p w:rsidR="00D24E61" w:rsidRPr="00771368" w:rsidRDefault="00D24E61" w:rsidP="00D24E61">
      <w:pPr>
        <w:autoSpaceDE w:val="0"/>
        <w:autoSpaceDN w:val="0"/>
        <w:adjustRightInd w:val="0"/>
        <w:spacing w:line="360" w:lineRule="auto"/>
        <w:ind w:firstLine="851"/>
        <w:jc w:val="both"/>
        <w:rPr>
          <w:color w:val="000000"/>
          <w:sz w:val="24"/>
          <w:szCs w:val="24"/>
        </w:rPr>
      </w:pPr>
      <w:r w:rsidRPr="00771368">
        <w:rPr>
          <w:bCs/>
          <w:color w:val="000000"/>
          <w:sz w:val="24"/>
          <w:szCs w:val="24"/>
        </w:rPr>
        <w:t>As desigualdades de gênero no Brasil remontam a sua constituição, apresentadas sob formas de ideias estereotipadas sobre a mulher, sempre em posições subalternas em relação ao homem. À mulher foi imposto um papel de invisibilidade perante a sociedade, posição que a impediu de exercer os seus direitos sociais, políticos e econômicos. A</w:t>
      </w:r>
      <w:r w:rsidRPr="00771368">
        <w:rPr>
          <w:color w:val="000000"/>
          <w:sz w:val="24"/>
          <w:szCs w:val="24"/>
        </w:rPr>
        <w:t>o longo da sua construção histórica, as mulheres, principalmente as que vivem em situação</w:t>
      </w:r>
      <w:r w:rsidRPr="00771368">
        <w:rPr>
          <w:bCs/>
          <w:color w:val="000000"/>
          <w:sz w:val="24"/>
          <w:szCs w:val="24"/>
        </w:rPr>
        <w:t xml:space="preserve"> de vulnerabilidade,</w:t>
      </w:r>
      <w:r w:rsidRPr="00771368">
        <w:rPr>
          <w:color w:val="000000"/>
          <w:sz w:val="24"/>
          <w:szCs w:val="24"/>
        </w:rPr>
        <w:t xml:space="preserve"> enfrentaram e ainda enfrentam cotidianamente desafios como a ausência de autonomia pessoal em relação ao corpo e à sexualidade, desigualdade no mercado de trabalho, violência sexual, dentre outras.</w:t>
      </w:r>
    </w:p>
    <w:p w:rsidR="00D24E61" w:rsidRPr="00771368" w:rsidRDefault="00D24E61" w:rsidP="00D24E61">
      <w:pPr>
        <w:autoSpaceDE w:val="0"/>
        <w:autoSpaceDN w:val="0"/>
        <w:adjustRightInd w:val="0"/>
        <w:ind w:left="2126"/>
        <w:jc w:val="both"/>
        <w:rPr>
          <w:color w:val="000000"/>
          <w:szCs w:val="20"/>
        </w:rPr>
      </w:pPr>
      <w:r w:rsidRPr="00771368">
        <w:rPr>
          <w:color w:val="000000"/>
          <w:szCs w:val="20"/>
        </w:rPr>
        <w:t>As mulheres pobres no Brasil passam por situações extremamente injustas no que diz respeito a seus direitos e interesses. Chegamos ao século XXI que está sendo apontado por estudiosos como o século das mulheres! Basta assistirmos aos noticiários da tevê, ou nos inteirarmos sobre o assunto para podemos afirmar que milhões de mulheres no mundo ainda estão longe de serem cidadãs, porque, além de viverem em condições de extrema pobreza, a elas cabem somente deveres e proibições. As ideologias patriarcais têm calado profundamente as mulheres e, para muitas delas, parece paradoxal ter direitos por serem mulheres, pois para elas, recorrer a direitos específicos é o mesmo que buscar privilégios (LISBOA; MANFRINI, 2005, p. 68).</w:t>
      </w:r>
    </w:p>
    <w:p w:rsidR="00D24E61" w:rsidRPr="00771368" w:rsidRDefault="00D24E61" w:rsidP="00D24E61">
      <w:pPr>
        <w:autoSpaceDE w:val="0"/>
        <w:autoSpaceDN w:val="0"/>
        <w:adjustRightInd w:val="0"/>
        <w:spacing w:line="360" w:lineRule="auto"/>
        <w:ind w:left="2268" w:firstLine="851"/>
        <w:jc w:val="both"/>
        <w:rPr>
          <w:color w:val="000000"/>
          <w:sz w:val="24"/>
          <w:szCs w:val="24"/>
        </w:rPr>
      </w:pPr>
    </w:p>
    <w:p w:rsidR="00D24E61" w:rsidRPr="00771368" w:rsidRDefault="00D24E61" w:rsidP="00D24E61">
      <w:pPr>
        <w:autoSpaceDE w:val="0"/>
        <w:autoSpaceDN w:val="0"/>
        <w:adjustRightInd w:val="0"/>
        <w:spacing w:line="360" w:lineRule="auto"/>
        <w:ind w:firstLine="851"/>
        <w:jc w:val="both"/>
        <w:rPr>
          <w:bCs/>
          <w:color w:val="000000"/>
          <w:sz w:val="24"/>
          <w:szCs w:val="24"/>
        </w:rPr>
      </w:pPr>
      <w:r w:rsidRPr="00771368">
        <w:rPr>
          <w:bCs/>
          <w:color w:val="000000"/>
          <w:sz w:val="24"/>
          <w:szCs w:val="24"/>
        </w:rPr>
        <w:t xml:space="preserve">Diante de tal contexto, a sociedade tem exigido reflexões acerca dessa temática, especialmente por parte de ativistas de movimentos sociais – como as feministas e simpatizantes com a causa da mulher. Desde a década de 1980, esses grupos vêm cobrando do poder público medidas para dirimir as diferenças, tornando possível a ampliação do debate, estendendo-o a outros segmentos da sociedade que também passaram a exigir tomada de decisões que proporcionassem a construção da equiparação de direitos entre mulheres e homens. Respondendo a essas reivindicações e atendendo à demanda do próprio processo de democratização, </w:t>
      </w:r>
      <w:r w:rsidRPr="00771368">
        <w:rPr>
          <w:color w:val="000000"/>
          <w:sz w:val="24"/>
          <w:szCs w:val="24"/>
        </w:rPr>
        <w:t xml:space="preserve">a questão de gênero passou a fazer parte da agenda pública. </w:t>
      </w:r>
      <w:r w:rsidRPr="00771368">
        <w:rPr>
          <w:bCs/>
          <w:color w:val="000000"/>
          <w:sz w:val="24"/>
          <w:szCs w:val="24"/>
        </w:rPr>
        <w:t>Segundo Soares,</w:t>
      </w:r>
    </w:p>
    <w:p w:rsidR="00D24E61" w:rsidRPr="00771368" w:rsidRDefault="00D24E61" w:rsidP="00D24E61">
      <w:pPr>
        <w:autoSpaceDE w:val="0"/>
        <w:autoSpaceDN w:val="0"/>
        <w:adjustRightInd w:val="0"/>
        <w:spacing w:line="360" w:lineRule="auto"/>
        <w:ind w:firstLine="851"/>
        <w:jc w:val="both"/>
        <w:rPr>
          <w:bCs/>
          <w:color w:val="000000"/>
          <w:sz w:val="24"/>
          <w:szCs w:val="24"/>
        </w:rPr>
      </w:pPr>
      <w:r w:rsidRPr="00771368">
        <w:rPr>
          <w:bCs/>
          <w:color w:val="000000"/>
          <w:sz w:val="24"/>
          <w:szCs w:val="24"/>
        </w:rPr>
        <w:t xml:space="preserve"> </w:t>
      </w:r>
    </w:p>
    <w:p w:rsidR="00D24E61" w:rsidRPr="00771368" w:rsidRDefault="00D24E61" w:rsidP="00D24E61">
      <w:pPr>
        <w:autoSpaceDE w:val="0"/>
        <w:autoSpaceDN w:val="0"/>
        <w:adjustRightInd w:val="0"/>
        <w:ind w:left="2268"/>
        <w:jc w:val="both"/>
        <w:rPr>
          <w:color w:val="000000"/>
          <w:szCs w:val="20"/>
        </w:rPr>
      </w:pPr>
      <w:r w:rsidRPr="00771368">
        <w:rPr>
          <w:color w:val="000000"/>
          <w:szCs w:val="20"/>
        </w:rPr>
        <w:t>O papel do Estado é determinante na construção da igualdade, mas não só na regulação das leis que coíbem a discriminação, também como agente de mudanças culturais e das condições de vida das mulheres, na proposição de políticas que incorporem as dimensões de gênero e raça. O Estado nas suas ações não é neutro em relação às desigualdades presentes na sociedade e ao assumir, dentro se sua organização, um lugar para a construção de políticas que visem à igualdade, como são, por exemplo, as coordenadorias ou as secretarias de políticas para as mulheres, também dialoga com concepções que acreditam que a condição de subordinação das mulheres será superada sem que seja imperativa uma ação do Estado, que isso deverá acontecer naturalmente na sociedade (SOARES, 2004, p. 114).</w:t>
      </w:r>
    </w:p>
    <w:p w:rsidR="00D24E61" w:rsidRPr="00771368" w:rsidRDefault="00D24E61" w:rsidP="00D24E61">
      <w:pPr>
        <w:autoSpaceDE w:val="0"/>
        <w:autoSpaceDN w:val="0"/>
        <w:adjustRightInd w:val="0"/>
        <w:spacing w:line="360" w:lineRule="auto"/>
        <w:ind w:left="2268"/>
        <w:jc w:val="both"/>
        <w:rPr>
          <w:color w:val="000000"/>
          <w:szCs w:val="20"/>
        </w:rPr>
      </w:pPr>
    </w:p>
    <w:p w:rsidR="00D24E61" w:rsidRPr="00771368" w:rsidRDefault="00D24E61" w:rsidP="00D24E61">
      <w:pPr>
        <w:autoSpaceDE w:val="0"/>
        <w:autoSpaceDN w:val="0"/>
        <w:adjustRightInd w:val="0"/>
        <w:spacing w:line="360" w:lineRule="auto"/>
        <w:ind w:firstLine="851"/>
        <w:jc w:val="both"/>
        <w:rPr>
          <w:color w:val="000000"/>
          <w:sz w:val="24"/>
          <w:szCs w:val="24"/>
        </w:rPr>
      </w:pPr>
      <w:r w:rsidRPr="00771368">
        <w:rPr>
          <w:color w:val="000000"/>
          <w:sz w:val="24"/>
          <w:szCs w:val="24"/>
        </w:rPr>
        <w:t>Cabe, portanto, ao Estado romper com a situação de desigualdade entre mulheres e homens, através da elaboração e execução de políticas públicas que primem pela equidade entre os gêneros e, assim, desnaturalizar o preconceito e a discriminação vivenciados pelas mulheres, derrubar a barreira de silêncio e invisibilidade em que se encontram.</w:t>
      </w:r>
    </w:p>
    <w:p w:rsidR="00D24E61" w:rsidRPr="00771368" w:rsidRDefault="00D24E61" w:rsidP="00D24E61">
      <w:pPr>
        <w:autoSpaceDE w:val="0"/>
        <w:autoSpaceDN w:val="0"/>
        <w:adjustRightInd w:val="0"/>
        <w:spacing w:line="360" w:lineRule="auto"/>
        <w:ind w:firstLine="851"/>
        <w:jc w:val="both"/>
        <w:rPr>
          <w:color w:val="000000"/>
          <w:sz w:val="24"/>
          <w:szCs w:val="24"/>
        </w:rPr>
      </w:pPr>
    </w:p>
    <w:p w:rsidR="00D24E61" w:rsidRPr="00771368" w:rsidRDefault="00D24E61" w:rsidP="00D24E61">
      <w:pPr>
        <w:autoSpaceDE w:val="0"/>
        <w:autoSpaceDN w:val="0"/>
        <w:adjustRightInd w:val="0"/>
        <w:ind w:left="2268"/>
        <w:jc w:val="both"/>
        <w:rPr>
          <w:color w:val="000000"/>
          <w:szCs w:val="20"/>
        </w:rPr>
      </w:pPr>
      <w:r w:rsidRPr="00771368">
        <w:rPr>
          <w:color w:val="000000"/>
          <w:szCs w:val="20"/>
        </w:rPr>
        <w:t xml:space="preserve">[...] uma ação governamental orientada pela perspectiva de gênero consiste </w:t>
      </w:r>
      <w:r w:rsidRPr="00771368">
        <w:rPr>
          <w:b/>
          <w:bCs/>
          <w:color w:val="000000"/>
          <w:szCs w:val="20"/>
        </w:rPr>
        <w:t xml:space="preserve">na redução das desigualdades de gênero, </w:t>
      </w:r>
      <w:r w:rsidRPr="00771368">
        <w:rPr>
          <w:color w:val="000000"/>
          <w:szCs w:val="20"/>
        </w:rPr>
        <w:t>isto é, das desigualdades entre homens e mulheres (e entre meninos e meninas). Falar em reduzir desigualdades de gênero não significa negar a diversidade. Trata-se de reconhecer a diversidade e a diferença – entre homens e mulheres – mas atribuindo a ambos “igual valor”, reconhecendo, portanto, que suas necessidades “específicas” e nem sempre “iguais” devem ser igualmente contempladas pela sociedade e pelo Estado (</w:t>
      </w:r>
      <w:r w:rsidRPr="00771368">
        <w:rPr>
          <w:bCs/>
          <w:color w:val="000000"/>
          <w:szCs w:val="20"/>
        </w:rPr>
        <w:t>FARAH, 2004, p. 127, grifo nosso</w:t>
      </w:r>
      <w:r w:rsidRPr="00771368">
        <w:rPr>
          <w:color w:val="000000"/>
          <w:szCs w:val="20"/>
        </w:rPr>
        <w:t>).</w:t>
      </w:r>
    </w:p>
    <w:p w:rsidR="00D24E61" w:rsidRPr="00771368" w:rsidRDefault="00D24E61" w:rsidP="00D24E61">
      <w:pPr>
        <w:autoSpaceDE w:val="0"/>
        <w:autoSpaceDN w:val="0"/>
        <w:adjustRightInd w:val="0"/>
        <w:spacing w:line="360" w:lineRule="auto"/>
        <w:ind w:left="2268"/>
        <w:jc w:val="both"/>
        <w:rPr>
          <w:bCs/>
          <w:color w:val="000000"/>
          <w:szCs w:val="20"/>
        </w:rPr>
      </w:pP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No atual cenário, destaca-se o Plano Nacional de Políticas para as Mulheres (PNPM) elaborado em 2004, a partir da I Conferência Nacional de Políticas para as Mulheres (CNPM), cuja base: </w:t>
      </w:r>
    </w:p>
    <w:p w:rsidR="00D24E61" w:rsidRPr="00771368" w:rsidRDefault="00D24E61" w:rsidP="00D24E61">
      <w:pPr>
        <w:spacing w:line="360" w:lineRule="auto"/>
        <w:ind w:firstLine="851"/>
        <w:jc w:val="both"/>
        <w:rPr>
          <w:color w:val="000000"/>
          <w:sz w:val="24"/>
          <w:szCs w:val="24"/>
        </w:rPr>
      </w:pPr>
    </w:p>
    <w:p w:rsidR="00D24E61" w:rsidRPr="00771368" w:rsidRDefault="00D24E61" w:rsidP="00D24E61">
      <w:pPr>
        <w:ind w:left="2160"/>
        <w:jc w:val="both"/>
        <w:rPr>
          <w:color w:val="000000"/>
          <w:szCs w:val="24"/>
        </w:rPr>
      </w:pPr>
      <w:r w:rsidRPr="00771368">
        <w:rPr>
          <w:color w:val="000000"/>
          <w:szCs w:val="24"/>
        </w:rPr>
        <w:t xml:space="preserve">orienta-se pelos princípios de igualdade e respeito à diversidade, de equidade, de autonomia das mulheres, de laicidade do Estado, de universalidade das políticas, de justiça social, de transparência dos atos públicos e de participação e controle social (BRASIL, 2008, p. 29). </w:t>
      </w:r>
    </w:p>
    <w:p w:rsidR="00D24E61" w:rsidRPr="00771368" w:rsidRDefault="00D24E61" w:rsidP="00D24E61">
      <w:pPr>
        <w:spacing w:line="360" w:lineRule="auto"/>
        <w:ind w:left="2160"/>
        <w:jc w:val="both"/>
        <w:rPr>
          <w:color w:val="000000"/>
          <w:szCs w:val="24"/>
        </w:rPr>
      </w:pP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O plano encontra-se em sua terceira edição, elaborada na III Conferência Nacional de Políticas para as Mulheres, realizada em agosto de 2011. Também merece relevo o </w:t>
      </w:r>
      <w:r w:rsidRPr="00771368">
        <w:rPr>
          <w:i/>
          <w:color w:val="000000"/>
          <w:sz w:val="24"/>
          <w:szCs w:val="24"/>
        </w:rPr>
        <w:t>Programa Nacional Mulheres Mil</w:t>
      </w:r>
      <w:r w:rsidRPr="00771368">
        <w:rPr>
          <w:color w:val="000000"/>
          <w:sz w:val="24"/>
          <w:szCs w:val="24"/>
        </w:rPr>
        <w:t>, implementado como política pública em 2011, sobre o qual trataremos mais a frente, e que tem como meta a equidade de gênero, proporcionando à mulher a posição de sujeito da sua história, e não apenas a de objeto que sofre as ações impostas por uma sociedade machista e preconceituosa.</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Com a presente explanação, pretendemos realizar uma análise crítica sobre a atuação do Estado com a implementação do </w:t>
      </w:r>
      <w:r w:rsidRPr="00771368">
        <w:rPr>
          <w:i/>
          <w:color w:val="000000"/>
          <w:sz w:val="24"/>
          <w:szCs w:val="24"/>
        </w:rPr>
        <w:t>Programa Nacional Mulheres Mil</w:t>
      </w:r>
      <w:r w:rsidRPr="00771368">
        <w:rPr>
          <w:color w:val="000000"/>
          <w:sz w:val="24"/>
          <w:szCs w:val="24"/>
        </w:rPr>
        <w:t xml:space="preserve"> como uma política pública para a supressão das desigualdades sociais de gênero, mais especificamente, o desenvolvimento desta política pública no </w:t>
      </w:r>
      <w:r w:rsidRPr="00771368">
        <w:rPr>
          <w:i/>
          <w:color w:val="000000"/>
          <w:sz w:val="24"/>
          <w:szCs w:val="24"/>
        </w:rPr>
        <w:t>Campus</w:t>
      </w:r>
      <w:r w:rsidRPr="00771368">
        <w:rPr>
          <w:color w:val="000000"/>
          <w:sz w:val="24"/>
          <w:szCs w:val="24"/>
        </w:rPr>
        <w:t xml:space="preserve"> Vilhena, buscando destacar as debilidades, avanços e os desafios do programa</w:t>
      </w:r>
      <w:r w:rsidRPr="00771368">
        <w:rPr>
          <w:i/>
          <w:color w:val="000000"/>
          <w:sz w:val="24"/>
          <w:szCs w:val="24"/>
        </w:rPr>
        <w:t xml:space="preserve"> </w:t>
      </w:r>
      <w:r w:rsidRPr="00771368">
        <w:rPr>
          <w:color w:val="000000"/>
          <w:sz w:val="24"/>
          <w:szCs w:val="24"/>
        </w:rPr>
        <w:t xml:space="preserve">para a promoção da equidade de gênero, ou seja, expor as questões que devem ser revistas pelo Estado para que de fato esta política pública se efetive de maneira eficaz.  </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Nesse sentido, partimos do pressuposto de que para que essa política pública se concretize, faz-se necessário promover a equidade como um dos princípios primordiais na formulação e implementação de políticas públicas para as mulheres, pois reitera o acesso de todas as pessoas aos direitos universais e a adoção de ações aﬁrmativas voltadas para grupos historicamente discriminados.</w:t>
      </w:r>
    </w:p>
    <w:p w:rsidR="00D24E61" w:rsidRPr="00771368" w:rsidRDefault="00D24E61" w:rsidP="00D24E61">
      <w:pPr>
        <w:spacing w:line="360" w:lineRule="auto"/>
        <w:ind w:firstLine="851"/>
        <w:jc w:val="both"/>
        <w:rPr>
          <w:color w:val="000000"/>
          <w:sz w:val="24"/>
          <w:szCs w:val="24"/>
        </w:rPr>
      </w:pPr>
    </w:p>
    <w:p w:rsidR="00D24E61" w:rsidRPr="00771368" w:rsidRDefault="00D24E61" w:rsidP="00D24E61">
      <w:pPr>
        <w:ind w:left="2160"/>
        <w:jc w:val="both"/>
        <w:rPr>
          <w:color w:val="000000"/>
          <w:szCs w:val="20"/>
        </w:rPr>
      </w:pPr>
      <w:r w:rsidRPr="00771368">
        <w:rPr>
          <w:color w:val="000000"/>
          <w:szCs w:val="20"/>
        </w:rPr>
        <w:t>Igualar mulheres e homens através do princípio da equidade deve ser um compromisso social inerente às políticas públicas. Que as mulheres possam apropriar-se dos bens materiais e simbólicos da modernidade tanto quanto os homens! Não podemos esquecer que a grande maioria desses bens foi gerada e reproduzida por mulheres que são proibidas de usá-las, consumi-las e dirigi-las a seu favor (LISBOA; MANFRINI, 2005, p. 71).</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Deve-se, ainda, incluir no debate acerca de política para as mulheres, a perspectiva de gênero, a qual permite compreender que as relações de desigualdade e iniquidade entre os gêneros são produto da ordem social dominante; e que as múltiplas opressões de classe, raça, etnia, geração, que se exercem sobre a mulher, configuram uma superposição de domínio.</w:t>
      </w:r>
    </w:p>
    <w:p w:rsidR="00D24E61" w:rsidRPr="00771368" w:rsidRDefault="00D24E61" w:rsidP="00D24E61">
      <w:pPr>
        <w:spacing w:line="360" w:lineRule="auto"/>
        <w:rPr>
          <w:b/>
          <w:color w:val="000000"/>
          <w:sz w:val="24"/>
          <w:szCs w:val="24"/>
        </w:rPr>
      </w:pPr>
    </w:p>
    <w:p w:rsidR="00D24E61" w:rsidRPr="00771368" w:rsidRDefault="00D24E61" w:rsidP="00D24E61">
      <w:pPr>
        <w:spacing w:line="360" w:lineRule="auto"/>
        <w:rPr>
          <w:b/>
          <w:color w:val="000000"/>
          <w:sz w:val="24"/>
          <w:szCs w:val="24"/>
        </w:rPr>
      </w:pPr>
      <w:r w:rsidRPr="00771368">
        <w:rPr>
          <w:b/>
          <w:color w:val="000000"/>
          <w:sz w:val="24"/>
          <w:szCs w:val="24"/>
        </w:rPr>
        <w:t>Programa Nacional Mulheres Mil: História e atuação</w:t>
      </w:r>
    </w:p>
    <w:p w:rsidR="00D24E61" w:rsidRPr="00771368" w:rsidRDefault="00D24E61" w:rsidP="00D24E61">
      <w:pPr>
        <w:spacing w:line="360" w:lineRule="auto"/>
        <w:ind w:firstLine="851"/>
        <w:jc w:val="both"/>
        <w:rPr>
          <w:color w:val="000000"/>
          <w:sz w:val="24"/>
          <w:szCs w:val="24"/>
        </w:rPr>
      </w:pP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O </w:t>
      </w:r>
      <w:r w:rsidRPr="00771368">
        <w:rPr>
          <w:i/>
          <w:color w:val="000000"/>
          <w:sz w:val="24"/>
          <w:szCs w:val="24"/>
        </w:rPr>
        <w:t>Programa Nacional Mulheres Mil</w:t>
      </w:r>
      <w:r w:rsidRPr="00771368">
        <w:rPr>
          <w:color w:val="000000"/>
          <w:sz w:val="24"/>
          <w:szCs w:val="24"/>
        </w:rPr>
        <w:t xml:space="preserve"> foi instituído pela Portaria Nº 1.015, de 21 de julho de 2011. Trata-se de uma política pública voltada para a formação cidadã, profissional e tecnológica articulada com elevação de escolaridade de mulheres em situação de vulnerabilidade social. Está inserido no Plano Brasil sem Miséria, instituído pelo Decreto Nº 7.492, de 2 de julho de 2011, o qual integra um conjunto de ações que consolidam as políticas públicas e diretrizes governamentais de inclusão educacional, social e produtiva de populações em situação de vulnerabilidade.</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O Programa teve origem em 2005, quando a Secretaria de Educação Profissional e Tecnológica do Ministério da Educação (SETEC/MEC) em cooperação com o governo canadense, por meio da Agência Canadense para o Desenvolvimento Internacional (CIDA/ACDI) e da Associação dos </w:t>
      </w:r>
      <w:r w:rsidRPr="00771368">
        <w:rPr>
          <w:i/>
          <w:color w:val="000000"/>
          <w:sz w:val="24"/>
          <w:szCs w:val="24"/>
        </w:rPr>
        <w:t>Colleges</w:t>
      </w:r>
      <w:r w:rsidRPr="00771368">
        <w:rPr>
          <w:color w:val="000000"/>
          <w:sz w:val="24"/>
          <w:szCs w:val="24"/>
        </w:rPr>
        <w:t xml:space="preserve"> Comunitários do Canadá (ACCC) desenvolveu um projeto piloto no Instituto Federal, Ciência e Tecnologia do Rio Grande do Norte (IFRN). </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Entre 2007 e 2011, o Programa passou por uma ampliação para os Institutos Federais do norte e do nordeste do Brasil, num total de 13 Institutos, entre eles o Instituto Federal de Rondônia, em que a meta era formar mil mulheres, daí o nome </w:t>
      </w:r>
      <w:r w:rsidRPr="00771368">
        <w:rPr>
          <w:i/>
          <w:color w:val="000000"/>
          <w:sz w:val="24"/>
          <w:szCs w:val="24"/>
        </w:rPr>
        <w:t>mulheres mil</w:t>
      </w:r>
      <w:r w:rsidRPr="00771368">
        <w:rPr>
          <w:color w:val="000000"/>
          <w:sz w:val="24"/>
          <w:szCs w:val="24"/>
        </w:rPr>
        <w:t>. Nesse momento, os trabalhos foram voltados para a construção de metodologias, ferramentas, técnicas e currículos que promovessem o acesso, permanência e êxito das beneficiárias nos processos educacionais, de formação e inserção no mundo do trabalho. As mulheres atendidas tinham entre 18 e 60 anos, apresentavam quadro de total exclusão social, educacional e econômica (SETEC, 2011).</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Em 2011, o Programa Nacional Mulheres Mil é elevado à condição de política pública, passando a ser ofertado em todos os Institutos Federais de Educação, Ciência e Tecnologia do Brasil, promovendo o acesso de mulheres historicamente marginalizadas ao conhecimento, à tecnologia e à inovação no mundo profissional; criando as pontes necessárias para que essas mulheres incrementem o seu potencial produtivo, promovam a melhoria das condições de vida de suas famílias, de suas comunidades e contribuam para o desenvolvimento econômico sustentável (SETEC, 2012b).</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Nesse mesmo ano, os Institutos Federais (IFs) selecionados pela Chamada Pública indicaram 98 campi, nos quais foram implantados novos núcleos do Mulheres Mil em todas as regiões do país. A meta para 2012 foi expandir a iniciativa para mais 102 novos campi dos IFs, em que estes foram desfiados a realizar 100 (cem) matrículas, totalizando o atendimento de 10.200 (dez mil e duzentas) mulheres de baixa renda e vulneráveis socialmente (SETEC, 2012a).</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Ao longo desse processo de implantação, vêm sendo desenvolvidas metodologias, ferramentas técnicas e currículos que promovam o acesso e a permanência dessas mulheres em sala de aula, no âmbito da educação e do trabalho e a formação em áreas profissionais específicas de cada localidade.</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Nesse sentido, foi construída, adaptada e sistematizada uma metodologia brasileira, a princípio desenvolvida no Canadá, pelos </w:t>
      </w:r>
      <w:r w:rsidRPr="00771368">
        <w:rPr>
          <w:i/>
          <w:color w:val="000000"/>
          <w:sz w:val="24"/>
          <w:szCs w:val="24"/>
        </w:rPr>
        <w:t>Community</w:t>
      </w:r>
      <w:r w:rsidRPr="00771368">
        <w:rPr>
          <w:color w:val="000000"/>
          <w:sz w:val="24"/>
          <w:szCs w:val="24"/>
        </w:rPr>
        <w:t xml:space="preserve"> </w:t>
      </w:r>
      <w:r w:rsidRPr="00771368">
        <w:rPr>
          <w:i/>
          <w:color w:val="000000"/>
          <w:sz w:val="24"/>
          <w:szCs w:val="24"/>
        </w:rPr>
        <w:t>Colleges</w:t>
      </w:r>
      <w:r w:rsidRPr="00771368">
        <w:rPr>
          <w:color w:val="000000"/>
          <w:sz w:val="24"/>
          <w:szCs w:val="24"/>
        </w:rPr>
        <w:t xml:space="preserve"> </w:t>
      </w:r>
      <w:r w:rsidRPr="00771368">
        <w:rPr>
          <w:i/>
          <w:color w:val="000000"/>
          <w:sz w:val="24"/>
          <w:szCs w:val="24"/>
        </w:rPr>
        <w:t>Canadenses</w:t>
      </w:r>
      <w:r w:rsidRPr="00771368">
        <w:rPr>
          <w:color w:val="000000"/>
          <w:sz w:val="24"/>
          <w:szCs w:val="24"/>
        </w:rPr>
        <w:t>, chamada Sistema ARAP (Avaliação e Reconhecimento de Aprendizagem Prévia). Tal metodologia contempla o reconhecimento de aprendizagens adquiridas ao longo da vida e um serviço de aconselhamento e atendimento às demandas das mulheres, por meio de equipe multidisciplinar capacitada para encaminhar o alunado não tradicional e desfavorecido para o desenvolvimento de programas personalizados (SETEC, 2012b).</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No contexto brasileiro, a metodologia ARAP foi inovadora, ao contemplar instrumentos e mecanismos de acolhimento e fortalecimento de vínculos e relações de mulheres em situação de vulnerabilidade social, preconizando, acima de tudo, o respeito e a solidariedade.</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O </w:t>
      </w:r>
      <w:r w:rsidRPr="00771368">
        <w:rPr>
          <w:i/>
          <w:color w:val="000000"/>
          <w:sz w:val="24"/>
          <w:szCs w:val="24"/>
        </w:rPr>
        <w:t>Programa Nacional Mulheres Mil</w:t>
      </w:r>
      <w:r w:rsidRPr="00771368">
        <w:rPr>
          <w:color w:val="000000"/>
          <w:sz w:val="24"/>
          <w:szCs w:val="24"/>
        </w:rPr>
        <w:t xml:space="preserve"> tem como principal meta, entre 2011 e 2014, a formação de 100 mil mulheres, moradoras de comunidades com baixo índice de desenvolvimento humano.</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No IFRO </w:t>
      </w:r>
      <w:r w:rsidRPr="00771368">
        <w:rPr>
          <w:i/>
          <w:color w:val="000000"/>
          <w:sz w:val="24"/>
          <w:szCs w:val="24"/>
        </w:rPr>
        <w:t>Campus</w:t>
      </w:r>
      <w:r w:rsidRPr="00771368">
        <w:rPr>
          <w:color w:val="000000"/>
          <w:sz w:val="24"/>
          <w:szCs w:val="24"/>
        </w:rPr>
        <w:t xml:space="preserve"> Vilhena, o </w:t>
      </w:r>
      <w:r w:rsidRPr="00771368">
        <w:rPr>
          <w:i/>
          <w:color w:val="000000"/>
          <w:sz w:val="24"/>
          <w:szCs w:val="24"/>
        </w:rPr>
        <w:t xml:space="preserve">Programa Nacional Mulheres Mil </w:t>
      </w:r>
      <w:r w:rsidRPr="00771368">
        <w:rPr>
          <w:color w:val="000000"/>
          <w:sz w:val="24"/>
          <w:szCs w:val="24"/>
        </w:rPr>
        <w:t>iniciou suas atividades em 2012, quando atendeu a chamada pública MEC/SETEC – 001/2012, que convocava os Institutos Federais de Educação, Ciência e Tecnologia a apresentarem propostas de adesão ao Programa Mulheres Mil – Educação, Cidadania e Desenvolvimento Sustentável.</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Em seguida, tivemos as atividades de capacitação das gestoras institucionais, seleção da equipe interdisciplinar, estabelecimento de diálogo com a comunidade beneficiária e oferta do Curso de Formação Inicial e Continuada em Empreendedorismo. Foram ofertadas 50 vagas para o primeiro semestre de 2013, das quais 44 foram preenchidas, destas 33 iniciaram o curso e 26 concluíram.</w:t>
      </w:r>
    </w:p>
    <w:p w:rsidR="00D24E61" w:rsidRPr="00771368" w:rsidRDefault="00D24E61" w:rsidP="00D24E61">
      <w:pPr>
        <w:spacing w:line="360" w:lineRule="auto"/>
        <w:ind w:firstLine="708"/>
        <w:jc w:val="both"/>
        <w:rPr>
          <w:color w:val="000000"/>
          <w:sz w:val="24"/>
          <w:szCs w:val="24"/>
        </w:rPr>
      </w:pPr>
      <w:r w:rsidRPr="00771368">
        <w:rPr>
          <w:color w:val="000000"/>
          <w:sz w:val="24"/>
          <w:szCs w:val="24"/>
        </w:rPr>
        <w:t>O curso de Empreendedorismo teve como objetivo habilitar mulheres em situação de vulnerabilidade social para se inserirem no mundo do trabalho através da prestação de serviços para terceiros ou para empreenderem o próprio negócio individualmente ou através de modelos cooperados e solidários de produção.</w:t>
      </w:r>
    </w:p>
    <w:p w:rsidR="00D24E61" w:rsidRPr="00771368" w:rsidRDefault="00D24E61" w:rsidP="00D24E61">
      <w:pPr>
        <w:spacing w:line="360" w:lineRule="auto"/>
        <w:ind w:firstLine="851"/>
        <w:jc w:val="both"/>
        <w:rPr>
          <w:color w:val="000000"/>
          <w:sz w:val="24"/>
          <w:szCs w:val="24"/>
        </w:rPr>
      </w:pPr>
      <w:r w:rsidRPr="00771368">
        <w:rPr>
          <w:color w:val="000000"/>
          <w:sz w:val="24"/>
          <w:szCs w:val="24"/>
        </w:rPr>
        <w:t xml:space="preserve"> A formação teve duração de quatro meses, sendo desenvolvido em quatro módulos; envolvendo desde as disciplinas básicas como português e matemática, até disciplinas técnicas como marketing, serviços, aspectos legais para a abertura de uma empresa, bem como questões relacionadas à questão de gênero, saúde, direito da mulher, dentre outras.</w:t>
      </w:r>
    </w:p>
    <w:p w:rsidR="00D24E61" w:rsidRPr="00771368" w:rsidRDefault="00D24E61" w:rsidP="00D24E61">
      <w:pPr>
        <w:spacing w:line="360" w:lineRule="auto"/>
        <w:jc w:val="both"/>
        <w:rPr>
          <w:b/>
          <w:color w:val="000000"/>
          <w:sz w:val="24"/>
          <w:szCs w:val="24"/>
        </w:rPr>
      </w:pPr>
    </w:p>
    <w:p w:rsidR="00D24E61" w:rsidRPr="00771368" w:rsidRDefault="00D24E61" w:rsidP="00D24E61">
      <w:pPr>
        <w:spacing w:line="360" w:lineRule="auto"/>
        <w:jc w:val="both"/>
        <w:rPr>
          <w:b/>
          <w:color w:val="000000"/>
          <w:sz w:val="24"/>
          <w:szCs w:val="24"/>
        </w:rPr>
      </w:pPr>
    </w:p>
    <w:p w:rsidR="00D24E61" w:rsidRPr="00771368" w:rsidRDefault="00D24E61" w:rsidP="00D24E61">
      <w:pPr>
        <w:spacing w:line="360" w:lineRule="auto"/>
        <w:jc w:val="both"/>
        <w:rPr>
          <w:b/>
          <w:color w:val="000000"/>
          <w:sz w:val="24"/>
          <w:szCs w:val="24"/>
        </w:rPr>
      </w:pPr>
      <w:r w:rsidRPr="00771368">
        <w:rPr>
          <w:b/>
          <w:color w:val="000000"/>
          <w:sz w:val="24"/>
          <w:szCs w:val="24"/>
        </w:rPr>
        <w:t xml:space="preserve">Resultados da Pesquisa e Discussão: Relatos sobre Inclusão, Gênero e Equidade </w:t>
      </w:r>
    </w:p>
    <w:p w:rsidR="00D24E61" w:rsidRPr="00771368" w:rsidRDefault="00D24E61" w:rsidP="00D24E61">
      <w:pPr>
        <w:spacing w:line="360" w:lineRule="auto"/>
        <w:jc w:val="both"/>
        <w:rPr>
          <w:b/>
          <w:color w:val="000000"/>
          <w:sz w:val="24"/>
          <w:szCs w:val="24"/>
        </w:rPr>
      </w:pPr>
      <w:r w:rsidRPr="00771368">
        <w:rPr>
          <w:b/>
          <w:color w:val="000000"/>
          <w:sz w:val="24"/>
          <w:szCs w:val="24"/>
        </w:rPr>
        <w:tab/>
      </w:r>
    </w:p>
    <w:p w:rsidR="00D24E61" w:rsidRPr="00771368" w:rsidRDefault="00D24E61" w:rsidP="00D24E61">
      <w:pPr>
        <w:spacing w:line="360" w:lineRule="auto"/>
        <w:ind w:firstLine="708"/>
        <w:jc w:val="both"/>
        <w:rPr>
          <w:color w:val="000000"/>
          <w:sz w:val="24"/>
          <w:szCs w:val="24"/>
        </w:rPr>
      </w:pPr>
      <w:r w:rsidRPr="00771368">
        <w:rPr>
          <w:color w:val="000000"/>
          <w:sz w:val="24"/>
          <w:szCs w:val="24"/>
        </w:rPr>
        <w:t xml:space="preserve">A fim de realizar uma análise crítica sobre a implementação do </w:t>
      </w:r>
      <w:r w:rsidRPr="00771368">
        <w:rPr>
          <w:i/>
          <w:color w:val="000000"/>
          <w:sz w:val="24"/>
          <w:szCs w:val="24"/>
        </w:rPr>
        <w:t>Programa Nacional Mulheres Mil</w:t>
      </w:r>
      <w:r w:rsidRPr="00771368">
        <w:rPr>
          <w:color w:val="000000"/>
          <w:sz w:val="24"/>
          <w:szCs w:val="24"/>
        </w:rPr>
        <w:t xml:space="preserve"> no IFRO </w:t>
      </w:r>
      <w:r w:rsidRPr="00771368">
        <w:rPr>
          <w:i/>
          <w:color w:val="000000"/>
          <w:sz w:val="24"/>
          <w:szCs w:val="24"/>
        </w:rPr>
        <w:t>Campus</w:t>
      </w:r>
      <w:r w:rsidRPr="00771368">
        <w:rPr>
          <w:color w:val="000000"/>
          <w:sz w:val="24"/>
          <w:szCs w:val="24"/>
        </w:rPr>
        <w:t xml:space="preserve"> Vilhena, utilizamos um questionário socioeconômico, que foi aplicado com as cursistas no ato da matrícula e de um questionário com perguntas abertas e fechadas sobre a Formação Inicial e Continuada em Empreendedorismo empregado ao final do curso. </w:t>
      </w:r>
    </w:p>
    <w:p w:rsidR="00D24E61" w:rsidRPr="00771368" w:rsidRDefault="00D24E61" w:rsidP="00D24E61">
      <w:pPr>
        <w:tabs>
          <w:tab w:val="left" w:pos="0"/>
        </w:tabs>
        <w:autoSpaceDE w:val="0"/>
        <w:spacing w:line="360" w:lineRule="auto"/>
        <w:ind w:firstLine="709"/>
        <w:jc w:val="both"/>
        <w:rPr>
          <w:rFonts w:eastAsia="Tahoma"/>
          <w:color w:val="000000"/>
          <w:sz w:val="24"/>
          <w:szCs w:val="24"/>
        </w:rPr>
      </w:pPr>
      <w:r w:rsidRPr="00771368">
        <w:rPr>
          <w:rFonts w:eastAsia="Tahoma"/>
          <w:color w:val="000000"/>
          <w:sz w:val="24"/>
          <w:szCs w:val="24"/>
        </w:rPr>
        <w:t>Na análise dos dados qualitativos e quantitativos procuramos compreender e interpretar algumas representações das mulheres e suas vivências, buscando identificar no discurso destas mulheres a promoção (ou não) da equidade e gênero.</w:t>
      </w:r>
    </w:p>
    <w:p w:rsidR="00D24E61" w:rsidRPr="00771368" w:rsidRDefault="00D24E61" w:rsidP="00D24E61">
      <w:pPr>
        <w:tabs>
          <w:tab w:val="left" w:pos="0"/>
        </w:tabs>
        <w:autoSpaceDE w:val="0"/>
        <w:spacing w:line="360" w:lineRule="auto"/>
        <w:ind w:firstLine="709"/>
        <w:jc w:val="both"/>
        <w:rPr>
          <w:color w:val="000000"/>
          <w:sz w:val="24"/>
          <w:szCs w:val="24"/>
        </w:rPr>
      </w:pPr>
      <w:r w:rsidRPr="00771368">
        <w:rPr>
          <w:color w:val="000000"/>
          <w:sz w:val="24"/>
          <w:szCs w:val="24"/>
        </w:rPr>
        <w:t>As informações coletadas no questionário socioeconômico possibilitaram verificar que vinte e cinco mulheres possuíam o ensino médio completo, em sua maioria, conquistado através da Educação de Jovens e Adultos (EJA); duas possuíam o ensino médio incompleto; quatro, o ensino fundamental completo; uma, o ensino fundamental incompleto, e apenas uma mulher não possuía nenhuma escolaridade, mas conseguia ler com dificuldade. Essa heterogeneidade de formação lançou um grande desafio aos docentes, ao mesmo tempo em que reafirmou a necessidade da aplicação da metodologia ARAP (Avaliação e Reconhecimento de Aprendizagem Prévia), própria do Programa.</w:t>
      </w:r>
    </w:p>
    <w:p w:rsidR="00D24E61" w:rsidRPr="00771368" w:rsidRDefault="00D24E61" w:rsidP="00D24E61">
      <w:pPr>
        <w:spacing w:line="360" w:lineRule="auto"/>
        <w:ind w:firstLine="708"/>
        <w:jc w:val="both"/>
        <w:rPr>
          <w:color w:val="000000"/>
          <w:sz w:val="24"/>
          <w:szCs w:val="24"/>
        </w:rPr>
      </w:pPr>
    </w:p>
    <w:p w:rsidR="00D24E61" w:rsidRPr="00771368" w:rsidRDefault="00D24E61" w:rsidP="00D24E61">
      <w:pPr>
        <w:ind w:left="2268"/>
        <w:jc w:val="both"/>
        <w:rPr>
          <w:color w:val="000000"/>
        </w:rPr>
      </w:pPr>
      <w:r w:rsidRPr="00771368">
        <w:rPr>
          <w:color w:val="000000"/>
        </w:rPr>
        <w:t>A concepção pedagógica do Programa baseia-se na flexibilidade, sendo, portanto, capaz de aceitar desenhos novos e instituir itinerários formativos que permitam o diálogo com os saberes não formais e com o conhecimento de mundo trazido pelas mulheres, bem como de permitir um trabalho na verticalização do ensino, promovendo a integração dos diferentes níveis de educação inicial e continuada com a pesquisa e a extensão (SETEC, 2012b, p. 9).</w:t>
      </w:r>
    </w:p>
    <w:p w:rsidR="00D24E61" w:rsidRPr="00771368" w:rsidRDefault="00D24E61" w:rsidP="00D24E61">
      <w:pPr>
        <w:spacing w:line="360" w:lineRule="auto"/>
        <w:ind w:firstLine="708"/>
        <w:jc w:val="both"/>
        <w:rPr>
          <w:color w:val="000000"/>
          <w:sz w:val="24"/>
          <w:szCs w:val="24"/>
        </w:rPr>
      </w:pP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Ao analisar os dados escolares como a faixa etária que compreende de dezoito a cinquenta anos de idade, é possível perceber a dinâmica de exclusão e inclusão em nossa sociedade; se por um lado muitas abdicaram dos estudos por longos períodos de suas vidas em prol da necessidade de cuidar dos filhos, do marido, ou ainda se lançarem no mercado de trabalho formal/informal para sustentar sua família; por outro, vemos a possibilidade de inclusão social destas mulheres através da Educação de Jovens e Adultos, o que seguramente constitui práticas de promoção da cidadania, ao possibilitar a essas mulheres o retorno à educação formal. </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Quanto à renda familiar, constatamos que cinco delas declararam renda menor de meio salário mínimo; nove afirmaram que a renda chega até um salário mínimo; quatorze declaram que a renda gira em torno de um a dois salários mínimos; dezesseis disseram que vivem com dois a cinco salários mínimos; e cinco delas declararam que são chefes de família. Os valores declarados estão associados a programas sociais como bolsa família, auxílio permanência ao estudante, dentre outros. </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Outro fator relevante percebido no questionário socioeconômico, é que na distribuição das mulheres por etnia, verificamos que quinze mulheres se declaram brancas; vinte quatro, pardas; apenas quatro mulheres se declararam negras; e uma delas se declarou indígena. No entanto, esteticamente, seria possível classificar a todas como negras. Isso denuncia a fragilidade sobre a questão étnica presente em nossa sociedade.</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Em relação ao número de filhos, três delas declaram não possuir filhos; seis disseram que possuem apenas um filho; vinte falaram que possuem dois filhos; nove declararam ter três filhos; cinco delas possuem quatro filhos; e apenas uma possuem seis filhos. Isso revela que as políticas de acesso aos direitos reprodutivos das mulheres têm influenciado de maneira positiva o planejamento familiar; e que, aos poucos, a mulher vem conquistando o direito de decidir sobre o seu corpo: ter filhos? quantos filhos? ou não ter filhos? </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É interessante destacar que o fator motivador apontado por grande parte das mulheres quanto à participação na formação foi a “oportunidade de capacitação e obter novos conhecimentos”, o que significa que as nossas mulheres anseiam pelo acesso ao mundo da educação, contrariando as </w:t>
      </w:r>
      <w:r w:rsidRPr="00771368">
        <w:rPr>
          <w:bCs/>
          <w:color w:val="000000"/>
          <w:sz w:val="24"/>
          <w:szCs w:val="24"/>
        </w:rPr>
        <w:t>ideias estereotipadas sobre a mulher ao longo da história</w:t>
      </w:r>
      <w:r w:rsidRPr="00771368">
        <w:rPr>
          <w:color w:val="000000"/>
          <w:sz w:val="24"/>
          <w:szCs w:val="24"/>
        </w:rPr>
        <w:t>.</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Por outro lado, ao serem questionadas sobre o diferencial do </w:t>
      </w:r>
      <w:r w:rsidRPr="00771368">
        <w:rPr>
          <w:i/>
          <w:color w:val="000000"/>
          <w:sz w:val="24"/>
          <w:szCs w:val="24"/>
        </w:rPr>
        <w:t>Programa Nacional Mulheres Mil</w:t>
      </w:r>
      <w:r w:rsidRPr="00771368">
        <w:rPr>
          <w:color w:val="000000"/>
          <w:sz w:val="24"/>
          <w:szCs w:val="24"/>
        </w:rPr>
        <w:t xml:space="preserve"> em relação a outras formações já realizadas, a maioria apontou que não havia realizado nenhum curso profissionalizante, denunciando o fato de não estar ou estarem em menor medida qualificadas profissionalmente.</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Outro ponto de destaque, levantado pelas cursistas, é que se sentiram incentivadas a permanecer e terminar a formação, e que um dos temas chave para que isso ocorresse foi o conteúdo ministrado nas aulas, bem como o ambiente acolhedor proporcionado pela instituição, uma vez que é prerrogativa do Programa o acolhimento como metodologia principal.</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Sobre o questionamento quanto aos impactos/mudanças geradas pelo Programa em suas vidas nos âmbitos social, econômico, educacional e pessoal, muitos foram os relatos de benefícios advindos com a inclusão das mesmas no </w:t>
      </w:r>
      <w:r w:rsidRPr="00771368">
        <w:rPr>
          <w:i/>
          <w:color w:val="000000"/>
          <w:sz w:val="24"/>
          <w:szCs w:val="24"/>
        </w:rPr>
        <w:t>Programa Nacional Mulheres Mil</w:t>
      </w:r>
      <w:r w:rsidRPr="00771368">
        <w:rPr>
          <w:color w:val="000000"/>
          <w:sz w:val="24"/>
          <w:szCs w:val="24"/>
        </w:rPr>
        <w:t>, os quais serão destacados a seguir.</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No âmbito econômico os relatos foram relacionados ao aprendizado de economia, pois no dia a dia do lar administravam a vida doméstica, mas não sabiam como promover e gerenciar o próprio negócio.</w:t>
      </w:r>
    </w:p>
    <w:p w:rsidR="00D24E61" w:rsidRPr="00771368" w:rsidRDefault="00D24E61" w:rsidP="00D24E61">
      <w:pPr>
        <w:spacing w:line="360" w:lineRule="auto"/>
        <w:ind w:firstLine="709"/>
        <w:jc w:val="both"/>
        <w:rPr>
          <w:color w:val="000000"/>
          <w:sz w:val="24"/>
          <w:szCs w:val="24"/>
        </w:rPr>
      </w:pPr>
    </w:p>
    <w:p w:rsidR="00D24E61" w:rsidRPr="00771368" w:rsidRDefault="00D24E61" w:rsidP="00D24E61">
      <w:pPr>
        <w:spacing w:line="360" w:lineRule="auto"/>
        <w:ind w:left="709"/>
        <w:jc w:val="both"/>
        <w:rPr>
          <w:color w:val="000000"/>
          <w:szCs w:val="20"/>
        </w:rPr>
      </w:pPr>
      <w:r w:rsidRPr="00771368">
        <w:rPr>
          <w:color w:val="000000"/>
          <w:szCs w:val="20"/>
        </w:rPr>
        <w:t>“descobri que não sabia administrar os meus negócios” (Fala da cursista A)</w:t>
      </w:r>
    </w:p>
    <w:p w:rsidR="00D24E61" w:rsidRPr="00771368" w:rsidRDefault="00D24E61" w:rsidP="00D24E61">
      <w:pPr>
        <w:spacing w:line="360" w:lineRule="auto"/>
        <w:ind w:left="709"/>
        <w:jc w:val="both"/>
        <w:rPr>
          <w:color w:val="000000"/>
          <w:szCs w:val="20"/>
        </w:rPr>
      </w:pPr>
      <w:r w:rsidRPr="00771368">
        <w:rPr>
          <w:color w:val="000000"/>
          <w:szCs w:val="20"/>
        </w:rPr>
        <w:t>“aprendi a me organizar melhor financeiramente” (Fala da cursista B)</w:t>
      </w:r>
    </w:p>
    <w:p w:rsidR="00D24E61" w:rsidRPr="00771368" w:rsidRDefault="00D24E61" w:rsidP="00D24E61">
      <w:pPr>
        <w:spacing w:line="360" w:lineRule="auto"/>
        <w:ind w:left="709"/>
        <w:jc w:val="both"/>
        <w:rPr>
          <w:color w:val="000000"/>
          <w:szCs w:val="20"/>
        </w:rPr>
      </w:pPr>
      <w:r w:rsidRPr="00771368">
        <w:rPr>
          <w:color w:val="000000"/>
          <w:szCs w:val="20"/>
        </w:rPr>
        <w:t>“proporcionou uma coisa muito boa que agora eu sei administrar” (Fala da cursista C)</w:t>
      </w:r>
    </w:p>
    <w:p w:rsidR="00A54BAE" w:rsidRDefault="00A54BAE" w:rsidP="00D24E61">
      <w:pPr>
        <w:spacing w:line="360" w:lineRule="auto"/>
        <w:ind w:firstLine="709"/>
        <w:jc w:val="both"/>
        <w:rPr>
          <w:color w:val="000000"/>
          <w:sz w:val="24"/>
          <w:szCs w:val="24"/>
        </w:rPr>
      </w:pPr>
    </w:p>
    <w:p w:rsidR="00D24E61" w:rsidRPr="00771368" w:rsidRDefault="00D24E61" w:rsidP="00D24E61">
      <w:pPr>
        <w:spacing w:line="360" w:lineRule="auto"/>
        <w:ind w:firstLine="709"/>
        <w:jc w:val="both"/>
        <w:rPr>
          <w:color w:val="000000"/>
          <w:sz w:val="24"/>
          <w:szCs w:val="24"/>
        </w:rPr>
      </w:pPr>
      <w:r w:rsidRPr="00771368">
        <w:rPr>
          <w:color w:val="000000"/>
          <w:sz w:val="24"/>
          <w:szCs w:val="24"/>
        </w:rPr>
        <w:t>Quanto a mudanças no âmbito pessoal, estas diziam respeito a melhorias nas relações interpessoais, no humor, na autoestima, na formulação de projetos de vida, entre outros; constituindo os maiores relatos formulados; e demonstrando que a educação constitui importante instrumento de inclusão e promoção de equidade e gênero. Nas palavras de Fuck “que a educação seja o processo através do qual o indivíduo toma a história em suas próprias mãos, a fim de mudar o rumo da mesma” (1994, p. 14).</w:t>
      </w:r>
    </w:p>
    <w:p w:rsidR="00D24E61" w:rsidRPr="00771368" w:rsidRDefault="00D24E61" w:rsidP="00D24E61">
      <w:pPr>
        <w:spacing w:line="360" w:lineRule="auto"/>
        <w:ind w:firstLine="709"/>
        <w:jc w:val="both"/>
        <w:rPr>
          <w:color w:val="000000"/>
          <w:sz w:val="24"/>
          <w:szCs w:val="24"/>
        </w:rPr>
      </w:pPr>
    </w:p>
    <w:p w:rsidR="00D24E61" w:rsidRPr="00771368" w:rsidRDefault="00D24E61" w:rsidP="00D24E61">
      <w:pPr>
        <w:spacing w:line="360" w:lineRule="auto"/>
        <w:ind w:left="709"/>
        <w:jc w:val="both"/>
        <w:rPr>
          <w:color w:val="000000"/>
          <w:szCs w:val="20"/>
        </w:rPr>
      </w:pPr>
      <w:r w:rsidRPr="00771368">
        <w:rPr>
          <w:color w:val="000000"/>
          <w:szCs w:val="20"/>
        </w:rPr>
        <w:t>“aprendi a lidar melhor com as pessoas” (Fala da cursista D)</w:t>
      </w:r>
    </w:p>
    <w:p w:rsidR="00D24E61" w:rsidRPr="00771368" w:rsidRDefault="00D24E61" w:rsidP="00D24E61">
      <w:pPr>
        <w:spacing w:line="360" w:lineRule="auto"/>
        <w:ind w:left="709"/>
        <w:jc w:val="both"/>
        <w:rPr>
          <w:color w:val="000000"/>
          <w:szCs w:val="20"/>
        </w:rPr>
      </w:pPr>
      <w:r w:rsidRPr="00771368">
        <w:rPr>
          <w:color w:val="000000"/>
          <w:szCs w:val="20"/>
        </w:rPr>
        <w:t>“cheguei aqui muito apática e triste, e com a convivência com todas as mulheres mil, consegui vencer esta apatia e dar um salto para novas perspectivas” (Fala da cursista F)</w:t>
      </w:r>
    </w:p>
    <w:p w:rsidR="00D24E61" w:rsidRPr="00771368" w:rsidRDefault="00D24E61" w:rsidP="00D24E61">
      <w:pPr>
        <w:spacing w:line="360" w:lineRule="auto"/>
        <w:ind w:left="709"/>
        <w:jc w:val="both"/>
        <w:rPr>
          <w:color w:val="000000"/>
          <w:szCs w:val="20"/>
        </w:rPr>
      </w:pPr>
      <w:r w:rsidRPr="00771368">
        <w:rPr>
          <w:color w:val="000000"/>
          <w:szCs w:val="20"/>
        </w:rPr>
        <w:t>“melhorei em casa, fiquei mais calma, tive uma perda na família e o curso me ajudou a não entrar em depressão” (Fala da cursista G)</w:t>
      </w:r>
    </w:p>
    <w:p w:rsidR="00D24E61" w:rsidRPr="00771368" w:rsidRDefault="00D24E61" w:rsidP="00D24E61">
      <w:pPr>
        <w:spacing w:line="360" w:lineRule="auto"/>
        <w:ind w:left="709"/>
        <w:jc w:val="both"/>
        <w:rPr>
          <w:color w:val="000000"/>
          <w:szCs w:val="20"/>
        </w:rPr>
      </w:pPr>
      <w:r w:rsidRPr="00771368">
        <w:rPr>
          <w:color w:val="000000"/>
          <w:szCs w:val="20"/>
        </w:rPr>
        <w:t>“consegui sair do meu casulo e vi que a vida é muito mais importante, e que meus filhos continuam sendo meu maior incentivo na vida” (Fala da cursista L)</w:t>
      </w:r>
    </w:p>
    <w:p w:rsidR="00D24E61" w:rsidRPr="00771368" w:rsidRDefault="00D24E61" w:rsidP="00D24E61">
      <w:pPr>
        <w:spacing w:line="360" w:lineRule="auto"/>
        <w:ind w:left="709"/>
        <w:jc w:val="both"/>
        <w:rPr>
          <w:color w:val="000000"/>
          <w:szCs w:val="20"/>
        </w:rPr>
      </w:pPr>
      <w:r w:rsidRPr="00771368">
        <w:rPr>
          <w:color w:val="000000"/>
          <w:szCs w:val="20"/>
        </w:rPr>
        <w:t>“me sinto mais confiante minha autoestima melhorou muito” (Fala da cursista H)</w:t>
      </w:r>
    </w:p>
    <w:p w:rsidR="00D24E61" w:rsidRPr="00771368" w:rsidRDefault="00D24E61" w:rsidP="00D24E61">
      <w:pPr>
        <w:spacing w:line="360" w:lineRule="auto"/>
        <w:ind w:left="709"/>
        <w:jc w:val="both"/>
        <w:rPr>
          <w:color w:val="000000"/>
          <w:szCs w:val="20"/>
        </w:rPr>
      </w:pPr>
      <w:r w:rsidRPr="00771368">
        <w:rPr>
          <w:color w:val="000000"/>
          <w:szCs w:val="20"/>
        </w:rPr>
        <w:t>“comecei a ter mais expectativa e saber que eu posso, e que vou conseguir vencer” (Fala da cursista I)</w:t>
      </w:r>
    </w:p>
    <w:p w:rsidR="00D24E61" w:rsidRPr="00771368" w:rsidRDefault="00D24E61" w:rsidP="00D24E61">
      <w:pPr>
        <w:spacing w:line="360" w:lineRule="auto"/>
        <w:ind w:firstLine="709"/>
        <w:jc w:val="both"/>
        <w:rPr>
          <w:color w:val="000000"/>
          <w:sz w:val="24"/>
          <w:szCs w:val="24"/>
        </w:rPr>
      </w:pPr>
    </w:p>
    <w:p w:rsidR="00D24E61" w:rsidRPr="00771368" w:rsidRDefault="00D24E61" w:rsidP="00D24E61">
      <w:pPr>
        <w:spacing w:line="360" w:lineRule="auto"/>
        <w:ind w:firstLine="709"/>
        <w:jc w:val="both"/>
        <w:rPr>
          <w:color w:val="000000"/>
          <w:sz w:val="24"/>
          <w:szCs w:val="24"/>
        </w:rPr>
      </w:pPr>
      <w:r w:rsidRPr="00771368">
        <w:rPr>
          <w:color w:val="000000"/>
          <w:sz w:val="24"/>
          <w:szCs w:val="24"/>
        </w:rPr>
        <w:t>No tocante ao âmbito educacional, pudemos verificar que a participação no Programa propiciou acesso não só ao saber técnico, mas também ao autoconhecimento e autorrealização; e que a inclusão é motivadora de autonomia e empoderamento das mulheres.</w:t>
      </w:r>
    </w:p>
    <w:p w:rsidR="00D24E61" w:rsidRPr="00771368" w:rsidRDefault="00D24E61" w:rsidP="00D24E61">
      <w:pPr>
        <w:spacing w:line="360" w:lineRule="auto"/>
        <w:ind w:firstLine="709"/>
        <w:jc w:val="both"/>
        <w:rPr>
          <w:color w:val="000000"/>
          <w:sz w:val="24"/>
          <w:szCs w:val="24"/>
        </w:rPr>
      </w:pPr>
    </w:p>
    <w:p w:rsidR="00D24E61" w:rsidRPr="00771368" w:rsidRDefault="00D24E61" w:rsidP="00D24E61">
      <w:pPr>
        <w:spacing w:line="360" w:lineRule="auto"/>
        <w:ind w:left="709"/>
        <w:jc w:val="both"/>
        <w:rPr>
          <w:color w:val="000000"/>
          <w:szCs w:val="20"/>
        </w:rPr>
      </w:pPr>
      <w:r w:rsidRPr="00771368">
        <w:rPr>
          <w:color w:val="000000"/>
          <w:szCs w:val="20"/>
        </w:rPr>
        <w:t xml:space="preserve"> “consegui lembrar de matérias que já não dominava tanto assim, por estar muito tempo fora da escola” (Fala da cursista E)</w:t>
      </w:r>
    </w:p>
    <w:p w:rsidR="00D24E61" w:rsidRPr="00771368" w:rsidRDefault="00D24E61" w:rsidP="00D24E61">
      <w:pPr>
        <w:spacing w:line="360" w:lineRule="auto"/>
        <w:ind w:left="709"/>
        <w:jc w:val="both"/>
        <w:rPr>
          <w:color w:val="000000"/>
          <w:szCs w:val="20"/>
        </w:rPr>
      </w:pPr>
      <w:r w:rsidRPr="00771368">
        <w:rPr>
          <w:color w:val="000000"/>
          <w:szCs w:val="20"/>
        </w:rPr>
        <w:t xml:space="preserve"> “despertar as minhas artes que estavam escondidas” (Fala da cursista J)</w:t>
      </w:r>
    </w:p>
    <w:p w:rsidR="00D24E61" w:rsidRPr="00771368" w:rsidRDefault="00D24E61" w:rsidP="00D24E61">
      <w:pPr>
        <w:spacing w:line="360" w:lineRule="auto"/>
        <w:ind w:left="709"/>
        <w:jc w:val="both"/>
        <w:rPr>
          <w:color w:val="000000"/>
          <w:szCs w:val="20"/>
        </w:rPr>
      </w:pPr>
      <w:r w:rsidRPr="00771368">
        <w:rPr>
          <w:color w:val="000000"/>
          <w:szCs w:val="20"/>
        </w:rPr>
        <w:t>“passei até a discutir matérias com os meus filhos” (Fala da cursista M)</w:t>
      </w:r>
    </w:p>
    <w:p w:rsidR="00D24E61" w:rsidRPr="00771368" w:rsidRDefault="00D24E61" w:rsidP="00D24E61">
      <w:pPr>
        <w:spacing w:line="360" w:lineRule="auto"/>
        <w:ind w:left="709"/>
        <w:jc w:val="both"/>
        <w:rPr>
          <w:color w:val="000000"/>
          <w:szCs w:val="20"/>
        </w:rPr>
      </w:pPr>
      <w:r w:rsidRPr="00771368">
        <w:rPr>
          <w:color w:val="000000"/>
          <w:szCs w:val="20"/>
        </w:rPr>
        <w:t>“Ao concluir o curso será capaz de aplicar na prática os conhecimentos adquiridos...” (Fala da cursista N)</w:t>
      </w:r>
    </w:p>
    <w:p w:rsidR="00D24E61" w:rsidRPr="00771368" w:rsidRDefault="00D24E61" w:rsidP="00D24E61">
      <w:pPr>
        <w:spacing w:line="360" w:lineRule="auto"/>
        <w:ind w:left="709"/>
        <w:jc w:val="both"/>
        <w:rPr>
          <w:color w:val="000000"/>
          <w:szCs w:val="20"/>
        </w:rPr>
      </w:pPr>
      <w:r w:rsidRPr="00771368">
        <w:rPr>
          <w:color w:val="000000"/>
          <w:szCs w:val="20"/>
        </w:rPr>
        <w:t>“espero que sim, farei o melhor e adaptarei todos os conhecimentos aqui adquiridos” (Fala da cursista O)</w:t>
      </w:r>
    </w:p>
    <w:p w:rsidR="00D24E61" w:rsidRPr="00771368" w:rsidRDefault="00D24E61" w:rsidP="00D24E61">
      <w:pPr>
        <w:spacing w:line="360" w:lineRule="auto"/>
        <w:ind w:left="709"/>
        <w:jc w:val="both"/>
        <w:rPr>
          <w:color w:val="000000"/>
          <w:szCs w:val="20"/>
        </w:rPr>
      </w:pPr>
      <w:r w:rsidRPr="00771368">
        <w:rPr>
          <w:color w:val="000000"/>
          <w:szCs w:val="20"/>
        </w:rPr>
        <w:t>“sim, posso administrar com certeza os meus ganhos financeiros e os do meu esposo” (Fala da cursista P)</w:t>
      </w:r>
    </w:p>
    <w:p w:rsidR="00D24E61" w:rsidRPr="00771368" w:rsidRDefault="00D24E61" w:rsidP="00D24E61">
      <w:pPr>
        <w:spacing w:line="360" w:lineRule="auto"/>
        <w:ind w:left="709"/>
        <w:jc w:val="both"/>
        <w:rPr>
          <w:color w:val="000000"/>
          <w:szCs w:val="20"/>
        </w:rPr>
      </w:pP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O acesso à educação por meio do </w:t>
      </w:r>
      <w:r w:rsidRPr="00771368">
        <w:rPr>
          <w:i/>
          <w:color w:val="000000"/>
          <w:sz w:val="24"/>
          <w:szCs w:val="24"/>
        </w:rPr>
        <w:t>Programa Nacional Mulheres Mil</w:t>
      </w:r>
      <w:r w:rsidRPr="00771368">
        <w:rPr>
          <w:color w:val="000000"/>
          <w:sz w:val="24"/>
          <w:szCs w:val="24"/>
        </w:rPr>
        <w:t xml:space="preserve"> promoveu descobertas e lançou esperança de dias melhores na vida dessas mulheres. Isso nos remete a Paulo Freire quando propôs uma educação libertadora, promotora de transformação da realidade, criadora de novas alternativas de vida, de contínuas decisões, avaliações e novas reflexões.</w:t>
      </w:r>
    </w:p>
    <w:p w:rsidR="00D24E61" w:rsidRPr="00771368" w:rsidRDefault="00D24E61" w:rsidP="00D24E61">
      <w:pPr>
        <w:ind w:left="2268"/>
        <w:jc w:val="both"/>
        <w:rPr>
          <w:color w:val="000000"/>
        </w:rPr>
      </w:pPr>
      <w:r w:rsidRPr="00771368">
        <w:rPr>
          <w:color w:val="000000"/>
        </w:rPr>
        <w:t>Toda prática educativa libertadora, valorizando o exercício da vontade, da decisão, da resistência, da escolha; o papel das emoções, dos sentimentos, dos desejos, dos limites; a importância da consciência na história, o sentido ético da presença humana no mundo, a compreensão da história como possibilidade jamais como determinação, é substantivamente esperançosa e, por isso mesmo, provocadora da esperança (FREIRE, 2000a, p. 23).</w:t>
      </w:r>
    </w:p>
    <w:p w:rsidR="00D24E61" w:rsidRPr="00771368" w:rsidRDefault="00D24E61" w:rsidP="00D24E61">
      <w:pPr>
        <w:spacing w:line="360" w:lineRule="auto"/>
        <w:ind w:firstLine="709"/>
        <w:jc w:val="both"/>
        <w:rPr>
          <w:color w:val="000000"/>
          <w:sz w:val="24"/>
          <w:szCs w:val="24"/>
        </w:rPr>
      </w:pPr>
    </w:p>
    <w:p w:rsidR="00D24E61" w:rsidRPr="00771368" w:rsidRDefault="00D24E61" w:rsidP="00D24E61">
      <w:pPr>
        <w:spacing w:line="360" w:lineRule="auto"/>
        <w:ind w:firstLine="709"/>
        <w:jc w:val="both"/>
        <w:rPr>
          <w:color w:val="000000"/>
          <w:sz w:val="24"/>
          <w:szCs w:val="24"/>
        </w:rPr>
      </w:pPr>
      <w:r w:rsidRPr="00771368">
        <w:rPr>
          <w:color w:val="000000"/>
          <w:sz w:val="24"/>
          <w:szCs w:val="24"/>
        </w:rPr>
        <w:t>Como se pode verificar pela fala das cursistas, o curso proporcionou uma série de melhorias na vida social e econômica destas mulheres. Propiciou a reflexão de que são capazes de lutar e conquistar os seus direitos sociais, políticos e econômicos; não precisam ficar à margem ou a sombra de ninguém; e muitas delas almejam, com a conclusão do curso, abrir o próprio negócio, conseguir emprego e continuar buscando qualificação. Abaixo podemos verificar o que a formação significou para as cursistas:</w:t>
      </w:r>
    </w:p>
    <w:p w:rsidR="00D24E61" w:rsidRPr="00771368" w:rsidRDefault="00D24E61" w:rsidP="00D24E61">
      <w:pPr>
        <w:spacing w:line="360" w:lineRule="auto"/>
        <w:ind w:firstLine="708"/>
        <w:jc w:val="both"/>
        <w:rPr>
          <w:color w:val="000000"/>
          <w:sz w:val="24"/>
          <w:szCs w:val="24"/>
        </w:rPr>
      </w:pPr>
    </w:p>
    <w:p w:rsidR="00D24E61" w:rsidRPr="00771368" w:rsidRDefault="00D24E61" w:rsidP="00D24E61">
      <w:pPr>
        <w:spacing w:line="360" w:lineRule="auto"/>
        <w:ind w:left="709"/>
        <w:jc w:val="both"/>
        <w:rPr>
          <w:color w:val="000000"/>
          <w:sz w:val="20"/>
          <w:szCs w:val="20"/>
        </w:rPr>
      </w:pPr>
      <w:r w:rsidRPr="00771368">
        <w:rPr>
          <w:color w:val="000000"/>
          <w:sz w:val="20"/>
          <w:szCs w:val="20"/>
        </w:rPr>
        <w:t>“estou estudando os pontos, mas de início eu e outra colega já combinamos que vamos começar a vender nossos produtos juntas na feira” (Fala da cursista Q)</w:t>
      </w:r>
    </w:p>
    <w:p w:rsidR="00D24E61" w:rsidRPr="00771368" w:rsidRDefault="00D24E61" w:rsidP="00D24E61">
      <w:pPr>
        <w:spacing w:line="360" w:lineRule="auto"/>
        <w:ind w:left="709"/>
        <w:jc w:val="both"/>
        <w:rPr>
          <w:color w:val="000000"/>
          <w:sz w:val="20"/>
          <w:szCs w:val="20"/>
        </w:rPr>
      </w:pPr>
      <w:r w:rsidRPr="00771368">
        <w:rPr>
          <w:color w:val="000000"/>
          <w:sz w:val="20"/>
          <w:szCs w:val="20"/>
        </w:rPr>
        <w:t>“continuar estudando, porque hoje sei que sou capaz, que tenho potencial” (Fala da cursista R)</w:t>
      </w:r>
    </w:p>
    <w:p w:rsidR="00D24E61" w:rsidRPr="00771368" w:rsidRDefault="00D24E61" w:rsidP="00D24E61">
      <w:pPr>
        <w:spacing w:line="360" w:lineRule="auto"/>
        <w:ind w:left="709"/>
        <w:jc w:val="both"/>
        <w:rPr>
          <w:color w:val="000000"/>
          <w:sz w:val="20"/>
          <w:szCs w:val="20"/>
        </w:rPr>
      </w:pPr>
      <w:r w:rsidRPr="00771368">
        <w:rPr>
          <w:color w:val="000000"/>
          <w:sz w:val="20"/>
          <w:szCs w:val="20"/>
        </w:rPr>
        <w:t>“abrir minha empresa, sabendo como administrá-la corretamente” (Fala da cursista S)</w:t>
      </w:r>
    </w:p>
    <w:p w:rsidR="00D24E61" w:rsidRPr="00771368" w:rsidRDefault="00D24E61" w:rsidP="00D24E61">
      <w:pPr>
        <w:spacing w:line="360" w:lineRule="auto"/>
        <w:ind w:left="709"/>
        <w:jc w:val="both"/>
        <w:rPr>
          <w:color w:val="000000"/>
          <w:sz w:val="20"/>
          <w:szCs w:val="20"/>
        </w:rPr>
      </w:pPr>
      <w:r w:rsidRPr="00771368">
        <w:rPr>
          <w:color w:val="000000"/>
          <w:sz w:val="20"/>
          <w:szCs w:val="20"/>
        </w:rPr>
        <w:t>“muito gratificante, sei que posso realizar algo meu, que era um sonho adormecido, mas que agora acordou e tudo posso fazer para alcançá-lo” (Fala da cursista T)</w:t>
      </w:r>
    </w:p>
    <w:p w:rsidR="00D24E61" w:rsidRPr="00771368" w:rsidRDefault="00D24E61" w:rsidP="00D24E61">
      <w:pPr>
        <w:spacing w:line="360" w:lineRule="auto"/>
        <w:ind w:left="709"/>
        <w:jc w:val="both"/>
        <w:rPr>
          <w:color w:val="000000"/>
          <w:sz w:val="20"/>
          <w:szCs w:val="20"/>
        </w:rPr>
      </w:pPr>
      <w:r w:rsidRPr="00771368">
        <w:rPr>
          <w:color w:val="000000"/>
          <w:sz w:val="20"/>
          <w:szCs w:val="20"/>
        </w:rPr>
        <w:t>“significou muito, pude ver que sou capaz de aprender coisas novas e quero continuar a fazer outras” (Fala da cursista U)</w:t>
      </w:r>
    </w:p>
    <w:p w:rsidR="00D24E61" w:rsidRPr="00771368" w:rsidRDefault="00D24E61" w:rsidP="00D24E61">
      <w:pPr>
        <w:spacing w:line="360" w:lineRule="auto"/>
        <w:ind w:left="709"/>
        <w:jc w:val="both"/>
        <w:rPr>
          <w:color w:val="000000"/>
          <w:sz w:val="20"/>
          <w:szCs w:val="20"/>
        </w:rPr>
      </w:pPr>
      <w:r w:rsidRPr="00771368">
        <w:rPr>
          <w:color w:val="000000"/>
          <w:sz w:val="20"/>
          <w:szCs w:val="20"/>
        </w:rPr>
        <w:t>“despertou a vontade de voltar a estudar” (Fala da cursista V)</w:t>
      </w:r>
    </w:p>
    <w:p w:rsidR="00D24E61" w:rsidRPr="00771368" w:rsidRDefault="00D24E61" w:rsidP="00D24E61">
      <w:pPr>
        <w:spacing w:line="360" w:lineRule="auto"/>
        <w:ind w:left="709"/>
        <w:jc w:val="both"/>
        <w:rPr>
          <w:color w:val="000000"/>
          <w:sz w:val="20"/>
          <w:szCs w:val="20"/>
        </w:rPr>
      </w:pPr>
      <w:r w:rsidRPr="00771368">
        <w:rPr>
          <w:color w:val="000000"/>
          <w:sz w:val="20"/>
          <w:szCs w:val="20"/>
        </w:rPr>
        <w:t>“meu despertar para o meu próprio sustento; pois eu já sabia fazer muitas coisas; agora sei dar valor” (Fala da cursista X)</w:t>
      </w:r>
    </w:p>
    <w:p w:rsidR="00D24E61" w:rsidRPr="00771368" w:rsidRDefault="00D24E61" w:rsidP="00D24E61">
      <w:pPr>
        <w:spacing w:line="360" w:lineRule="auto"/>
        <w:ind w:left="709"/>
        <w:jc w:val="both"/>
        <w:rPr>
          <w:color w:val="000000"/>
          <w:sz w:val="20"/>
          <w:szCs w:val="20"/>
        </w:rPr>
      </w:pPr>
    </w:p>
    <w:p w:rsidR="00D24E61" w:rsidRPr="00771368" w:rsidRDefault="00D24E61" w:rsidP="00D24E61">
      <w:pPr>
        <w:spacing w:line="360" w:lineRule="auto"/>
        <w:ind w:firstLine="709"/>
        <w:jc w:val="both"/>
        <w:rPr>
          <w:color w:val="000000"/>
          <w:sz w:val="24"/>
          <w:szCs w:val="24"/>
        </w:rPr>
      </w:pPr>
      <w:r w:rsidRPr="00771368">
        <w:rPr>
          <w:color w:val="000000"/>
          <w:sz w:val="24"/>
          <w:szCs w:val="24"/>
        </w:rPr>
        <w:t>Ao serem questionadas se recomendariam a formação para outras mulheres, muitas afirmaram que sim, relacionando o curso à possibilidade de proporcionar a independência e autonomia da mulher: “sim, porque é um curso muito bom, porque ajuda as mulheres a serem independentes”.  Outra fala interessante foi a de que recomendariam “porque as mulheres tem que acordar para a vida”, ou seja, desta tutela que nos é imposta desde que nascemos de sermos cuidadoras, mãe, esposa, ou seja, sempre em prol do outro, quase nunca em relação a nós mesmas, ou as nossas vontades e desejos.</w:t>
      </w:r>
    </w:p>
    <w:p w:rsidR="00D24E61" w:rsidRPr="00771368" w:rsidRDefault="00D24E61" w:rsidP="00D24E61">
      <w:pPr>
        <w:spacing w:line="360" w:lineRule="auto"/>
        <w:ind w:firstLine="708"/>
        <w:jc w:val="both"/>
        <w:rPr>
          <w:color w:val="000000"/>
          <w:sz w:val="24"/>
          <w:szCs w:val="24"/>
        </w:rPr>
      </w:pPr>
    </w:p>
    <w:p w:rsidR="00D24E61" w:rsidRPr="00771368" w:rsidRDefault="00D24E61" w:rsidP="00D24E61">
      <w:pPr>
        <w:spacing w:line="360" w:lineRule="auto"/>
        <w:jc w:val="both"/>
        <w:rPr>
          <w:b/>
          <w:color w:val="000000"/>
          <w:sz w:val="24"/>
          <w:szCs w:val="24"/>
        </w:rPr>
      </w:pPr>
      <w:r w:rsidRPr="00771368">
        <w:rPr>
          <w:b/>
          <w:color w:val="000000"/>
          <w:sz w:val="24"/>
          <w:szCs w:val="24"/>
        </w:rPr>
        <w:t>Conclusões</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Este artigo procurou apresentar os resultados da pesquisa realizada sobre a implementação do </w:t>
      </w:r>
      <w:r w:rsidRPr="00771368">
        <w:rPr>
          <w:i/>
          <w:color w:val="000000"/>
          <w:sz w:val="24"/>
          <w:szCs w:val="24"/>
        </w:rPr>
        <w:t>Programa Nacional Mulheres Mil</w:t>
      </w:r>
      <w:r w:rsidRPr="00771368">
        <w:rPr>
          <w:color w:val="000000"/>
          <w:sz w:val="24"/>
          <w:szCs w:val="24"/>
        </w:rPr>
        <w:t xml:space="preserve"> desenvolvida no IFRO </w:t>
      </w:r>
      <w:r w:rsidRPr="00771368">
        <w:rPr>
          <w:i/>
          <w:color w:val="000000"/>
          <w:sz w:val="24"/>
          <w:szCs w:val="24"/>
        </w:rPr>
        <w:t xml:space="preserve">Campus </w:t>
      </w:r>
      <w:r w:rsidRPr="00771368">
        <w:rPr>
          <w:color w:val="000000"/>
          <w:sz w:val="24"/>
          <w:szCs w:val="24"/>
        </w:rPr>
        <w:t>Vilhena, refletindo sobre promoção da equidade e gênero ao grupo de mulheres por ele atendida.</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Neste cenário, foi possível constatar, principalmente, através dos relatos das mulheres, que a participação no Programa proporcionou uma série de melhorias na vida social, econômica, educacional e pessoal das mesmas; propiciando a reflexão de que são capazes de lutar e conquistar os seus direitos sociais, políticos e econômicos; que não precisam ficar à margem ou a sombra de outrem; e que projetos de vida são possíveis de serem formulados a qualquer momento de nossas vidas.</w:t>
      </w:r>
    </w:p>
    <w:p w:rsidR="00D24E61" w:rsidRPr="00771368" w:rsidRDefault="00D24E61" w:rsidP="00D24E61">
      <w:pPr>
        <w:spacing w:line="360" w:lineRule="auto"/>
        <w:ind w:firstLine="708"/>
        <w:jc w:val="both"/>
        <w:rPr>
          <w:color w:val="000000"/>
          <w:sz w:val="24"/>
          <w:szCs w:val="24"/>
        </w:rPr>
      </w:pPr>
      <w:r w:rsidRPr="00771368">
        <w:rPr>
          <w:color w:val="000000"/>
          <w:sz w:val="24"/>
          <w:szCs w:val="24"/>
        </w:rPr>
        <w:t xml:space="preserve">Portanto, pensamos que a formação cumpriu com seus objetivos; e que o Programa tem proporcionado se não a equidade e gênero, ao menos reflexões de uma nova cultura sobre a questão da mulher e seu papel na sociedade.  </w:t>
      </w:r>
    </w:p>
    <w:p w:rsidR="00D24E61" w:rsidRPr="00771368" w:rsidRDefault="00D24E61" w:rsidP="00D24E61">
      <w:pPr>
        <w:spacing w:line="360" w:lineRule="auto"/>
        <w:ind w:firstLine="708"/>
        <w:jc w:val="both"/>
        <w:rPr>
          <w:color w:val="000000"/>
          <w:sz w:val="24"/>
          <w:szCs w:val="24"/>
        </w:rPr>
      </w:pPr>
      <w:r w:rsidRPr="00771368">
        <w:rPr>
          <w:color w:val="000000"/>
          <w:sz w:val="24"/>
          <w:szCs w:val="24"/>
        </w:rPr>
        <w:t xml:space="preserve">Nossa constatação está relacionada à avaliação bastante positiva sobre a formação proporcionada pelo Programa realizada pelas mulheres participantes, as quais recomendam, inclusive, para que outras mulheres também possam conquistar sua autonomia. Do ponto de vista pessoal e educacional, vemos a importância do desenvolvimento pessoal, da autoestima, da formulação de projeto de vida, da elevação da escolaridade e qualificação profissional para a conquista e promoção da equidade e gênero. </w:t>
      </w:r>
    </w:p>
    <w:p w:rsidR="00D24E61" w:rsidRPr="00771368" w:rsidRDefault="00D24E61" w:rsidP="00D24E61">
      <w:pPr>
        <w:spacing w:line="360" w:lineRule="auto"/>
        <w:ind w:firstLine="709"/>
        <w:jc w:val="both"/>
        <w:rPr>
          <w:color w:val="000000"/>
          <w:sz w:val="24"/>
          <w:szCs w:val="24"/>
        </w:rPr>
      </w:pPr>
      <w:r w:rsidRPr="00771368">
        <w:rPr>
          <w:color w:val="000000"/>
          <w:sz w:val="24"/>
          <w:szCs w:val="24"/>
        </w:rPr>
        <w:t>Em decorrência disso, ressaltamos a importância de estudos de gênero, de práticas e reflexões sobra à temática para a consolidação de uma política pública eficaz que atenda às peculiaridades de ser mulher em nossa sociedade e funcione como instrumento promoção e de inclusão social. Concordamos com Paulo Freire quando este destaca que</w:t>
      </w:r>
    </w:p>
    <w:p w:rsidR="00D24E61" w:rsidRPr="00771368" w:rsidRDefault="00D24E61" w:rsidP="00D24E61">
      <w:pPr>
        <w:spacing w:line="360" w:lineRule="auto"/>
        <w:ind w:left="2268"/>
        <w:jc w:val="both"/>
        <w:rPr>
          <w:color w:val="000000"/>
          <w:sz w:val="24"/>
          <w:szCs w:val="24"/>
        </w:rPr>
      </w:pPr>
    </w:p>
    <w:p w:rsidR="00D24E61" w:rsidRPr="00771368" w:rsidRDefault="00D24E61" w:rsidP="00D24E61">
      <w:pPr>
        <w:ind w:left="2268"/>
        <w:jc w:val="both"/>
        <w:rPr>
          <w:color w:val="000000"/>
          <w:szCs w:val="24"/>
        </w:rPr>
      </w:pPr>
      <w:r w:rsidRPr="00771368">
        <w:rPr>
          <w:color w:val="000000"/>
          <w:szCs w:val="24"/>
        </w:rPr>
        <w:t xml:space="preserve">Cabe à educação problematizar o futuro para que a utopia de um mundo melhor não se perca. Dizer que a educação vai suprimir todas as injustiças, opressões, e assim mudar completamente a sociedade suprimindo todas heteronomias, é ingenuidade, da mesma forma que dizer que a educação não pode realizar mudança alguma. Temos que estar conscientes do nosso condicionamento, mas não somos determinados, há possibilidade da transformação (FREIRE, 2000b, p. 80). </w:t>
      </w:r>
    </w:p>
    <w:p w:rsidR="00D24E61" w:rsidRPr="00771368" w:rsidRDefault="00D24E61" w:rsidP="00D24E61">
      <w:pPr>
        <w:spacing w:line="360" w:lineRule="auto"/>
        <w:jc w:val="both"/>
        <w:rPr>
          <w:b/>
          <w:color w:val="000000"/>
          <w:sz w:val="24"/>
          <w:szCs w:val="24"/>
        </w:rPr>
      </w:pPr>
    </w:p>
    <w:p w:rsidR="00D24E61" w:rsidRPr="00771368" w:rsidRDefault="00D24E61" w:rsidP="00D24E61">
      <w:pPr>
        <w:spacing w:line="360" w:lineRule="auto"/>
        <w:ind w:firstLine="709"/>
        <w:jc w:val="both"/>
        <w:rPr>
          <w:color w:val="000000"/>
          <w:sz w:val="24"/>
          <w:szCs w:val="24"/>
        </w:rPr>
      </w:pPr>
      <w:r w:rsidRPr="00771368">
        <w:rPr>
          <w:color w:val="000000"/>
          <w:sz w:val="24"/>
          <w:szCs w:val="24"/>
        </w:rPr>
        <w:t xml:space="preserve">E nesta perspectiva, entendemos que a educação constitui ferramenta central no processo de promoção de equidade de gênero, assim como transformação social do papel feminino na sociedade em que vivemos. Nesta conjuntura, vislumbramos o empoderamento social, político e psicológico da mulher. </w:t>
      </w:r>
    </w:p>
    <w:p w:rsidR="00A54BAE" w:rsidRDefault="00A54BAE">
      <w:pPr>
        <w:rPr>
          <w:b/>
          <w:color w:val="000000"/>
          <w:sz w:val="24"/>
          <w:szCs w:val="24"/>
        </w:rPr>
      </w:pPr>
    </w:p>
    <w:p w:rsidR="00D24E61" w:rsidRPr="00771368" w:rsidRDefault="00D24E61" w:rsidP="00D24E61">
      <w:pPr>
        <w:spacing w:line="360" w:lineRule="auto"/>
        <w:jc w:val="both"/>
        <w:rPr>
          <w:b/>
          <w:color w:val="000000"/>
          <w:sz w:val="24"/>
          <w:szCs w:val="24"/>
        </w:rPr>
      </w:pPr>
      <w:r w:rsidRPr="00771368">
        <w:rPr>
          <w:b/>
          <w:color w:val="000000"/>
          <w:sz w:val="24"/>
          <w:szCs w:val="24"/>
        </w:rPr>
        <w:t>Referências Bibliográficas</w:t>
      </w:r>
    </w:p>
    <w:p w:rsidR="00D24E61" w:rsidRPr="00771368" w:rsidRDefault="00D24E61" w:rsidP="00D24E61">
      <w:pPr>
        <w:jc w:val="both"/>
        <w:rPr>
          <w:color w:val="000000"/>
          <w:sz w:val="24"/>
          <w:szCs w:val="24"/>
        </w:rPr>
      </w:pPr>
      <w:r w:rsidRPr="00771368">
        <w:rPr>
          <w:color w:val="000000"/>
          <w:sz w:val="24"/>
          <w:szCs w:val="24"/>
        </w:rPr>
        <w:t xml:space="preserve">ANDRÉ, M. E. D. A. </w:t>
      </w:r>
      <w:r w:rsidRPr="00771368">
        <w:rPr>
          <w:b/>
          <w:color w:val="000000"/>
          <w:sz w:val="24"/>
          <w:szCs w:val="24"/>
        </w:rPr>
        <w:t>Estudo de Caso em Pesquisa e avaliação educacional.</w:t>
      </w:r>
      <w:r w:rsidRPr="00771368">
        <w:rPr>
          <w:color w:val="000000"/>
          <w:sz w:val="24"/>
          <w:szCs w:val="24"/>
        </w:rPr>
        <w:t xml:space="preserve"> Brasília: Liber Livro Editora, 2005.</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 xml:space="preserve">BRASIL. </w:t>
      </w:r>
      <w:r w:rsidRPr="00771368">
        <w:rPr>
          <w:b/>
          <w:color w:val="000000"/>
          <w:sz w:val="24"/>
          <w:szCs w:val="24"/>
        </w:rPr>
        <w:t>Portaria Nº 1.1015, de 21 de julho de 2011.</w:t>
      </w:r>
      <w:r w:rsidRPr="00771368">
        <w:rPr>
          <w:color w:val="000000"/>
          <w:sz w:val="24"/>
          <w:szCs w:val="24"/>
        </w:rPr>
        <w:t xml:space="preserve"> Institui o Programa Nacional Mulheres MIL – Educação, Cidadania e Desenvolvimento Sustentável. Ministério da Educação, 2011.</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_____. Presidência da República. Secretaria Especial de Políticas para as Mulheres.</w:t>
      </w:r>
      <w:r w:rsidRPr="00771368">
        <w:rPr>
          <w:b/>
          <w:color w:val="000000"/>
          <w:sz w:val="24"/>
          <w:szCs w:val="24"/>
        </w:rPr>
        <w:t xml:space="preserve"> Plano Nacional de Políticas para as Mulheres.</w:t>
      </w:r>
      <w:r w:rsidRPr="00771368">
        <w:rPr>
          <w:color w:val="000000"/>
          <w:sz w:val="24"/>
          <w:szCs w:val="24"/>
        </w:rPr>
        <w:t xml:space="preserve"> Brasília: Secretaria Especial de Políticas para as Mulheres, 2004.</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 xml:space="preserve">_____. Presidência da República. Secretaria Especial de Políticas para as Mulheres. </w:t>
      </w:r>
      <w:r w:rsidRPr="00771368">
        <w:rPr>
          <w:b/>
          <w:color w:val="000000"/>
          <w:sz w:val="24"/>
          <w:szCs w:val="24"/>
        </w:rPr>
        <w:t>II Plano Nacional de Políticas para as Mulheres.</w:t>
      </w:r>
      <w:r w:rsidRPr="00771368">
        <w:rPr>
          <w:color w:val="000000"/>
          <w:sz w:val="24"/>
          <w:szCs w:val="24"/>
        </w:rPr>
        <w:t xml:space="preserve"> 2ª Reimpressão. Brasília: Secretaria Especial de Políticas para as Mulheres, 2008. </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 xml:space="preserve">FREIRE, P. </w:t>
      </w:r>
      <w:r w:rsidRPr="00771368">
        <w:rPr>
          <w:b/>
          <w:color w:val="000000"/>
          <w:sz w:val="24"/>
          <w:szCs w:val="24"/>
        </w:rPr>
        <w:t>Pedagogia da indignação: cartas pedagógicas e outros escritos.</w:t>
      </w:r>
      <w:r w:rsidRPr="00771368">
        <w:rPr>
          <w:color w:val="000000"/>
          <w:sz w:val="24"/>
          <w:szCs w:val="24"/>
        </w:rPr>
        <w:t xml:space="preserve"> São Paulo: Editora UNESP, 2000a.</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_____.</w:t>
      </w:r>
      <w:r w:rsidRPr="00771368">
        <w:rPr>
          <w:b/>
          <w:color w:val="000000"/>
          <w:sz w:val="24"/>
          <w:szCs w:val="24"/>
        </w:rPr>
        <w:t xml:space="preserve"> Pedagogia da autonomia: saberes necessários à prática educativa.</w:t>
      </w:r>
      <w:r w:rsidRPr="00771368">
        <w:rPr>
          <w:color w:val="000000"/>
          <w:sz w:val="24"/>
          <w:szCs w:val="24"/>
        </w:rPr>
        <w:t xml:space="preserve"> 15ª ed. São Paulo: Paz e Terra, 2000b.</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 xml:space="preserve">LISBOA, T.K. ; MANFRINI, D.B. </w:t>
      </w:r>
      <w:r w:rsidRPr="00771368">
        <w:rPr>
          <w:b/>
          <w:color w:val="000000"/>
          <w:sz w:val="24"/>
          <w:szCs w:val="24"/>
        </w:rPr>
        <w:t>Cidadania e equidade de gênero: políticas públicas para mulheres excluídas dos direitos mínimos.</w:t>
      </w:r>
      <w:r w:rsidRPr="00771368">
        <w:rPr>
          <w:color w:val="000000"/>
          <w:sz w:val="24"/>
          <w:szCs w:val="24"/>
        </w:rPr>
        <w:t xml:space="preserve"> Florianópolis: Katálysis, v. 8, n. 1, p. 67-77, 2005.</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 xml:space="preserve">MINAYO, M. C. S. (Org.). </w:t>
      </w:r>
      <w:r w:rsidRPr="00771368">
        <w:rPr>
          <w:b/>
          <w:color w:val="000000"/>
          <w:sz w:val="24"/>
          <w:szCs w:val="24"/>
        </w:rPr>
        <w:t>Pesquisa social: teoria, método e criatividade.</w:t>
      </w:r>
      <w:r w:rsidRPr="00771368">
        <w:rPr>
          <w:color w:val="000000"/>
          <w:sz w:val="24"/>
          <w:szCs w:val="24"/>
        </w:rPr>
        <w:t xml:space="preserve"> Petrópolis, RJ: Vozes, 2001.</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 xml:space="preserve">SETEC. </w:t>
      </w:r>
      <w:r w:rsidRPr="00771368">
        <w:rPr>
          <w:b/>
          <w:color w:val="000000"/>
          <w:sz w:val="24"/>
          <w:szCs w:val="24"/>
        </w:rPr>
        <w:t>Chamada Pública MEC/SETEC 001/2012 - Programa Mulheres Mil – Educação, Cidadania e Desenvolvimento Sustentável.</w:t>
      </w:r>
      <w:r w:rsidRPr="00771368">
        <w:rPr>
          <w:color w:val="000000"/>
          <w:sz w:val="24"/>
          <w:szCs w:val="24"/>
        </w:rPr>
        <w:t xml:space="preserve"> Brasília: SETEC/MEC, 2012a.</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 xml:space="preserve">______. </w:t>
      </w:r>
      <w:r w:rsidRPr="00771368">
        <w:rPr>
          <w:b/>
          <w:color w:val="000000"/>
          <w:sz w:val="24"/>
          <w:szCs w:val="24"/>
        </w:rPr>
        <w:t>Guia metodológico do sistema de acesso, permanência e êxito.</w:t>
      </w:r>
      <w:r w:rsidRPr="00771368">
        <w:rPr>
          <w:color w:val="000000"/>
          <w:sz w:val="24"/>
          <w:szCs w:val="24"/>
        </w:rPr>
        <w:t xml:space="preserve"> 2012b. Disponível em: http://portal.mec.gov.br/index.php?option=com_content&amp;view=article&amp;id=12299&amp;Itemid=603. Acesso em: 19/02/2013.</w:t>
      </w:r>
    </w:p>
    <w:p w:rsidR="00D24E61" w:rsidRPr="00771368" w:rsidRDefault="00D24E61" w:rsidP="00D24E61">
      <w:pPr>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______.</w:t>
      </w:r>
      <w:r w:rsidRPr="00771368">
        <w:rPr>
          <w:b/>
          <w:color w:val="000000"/>
          <w:sz w:val="24"/>
          <w:szCs w:val="24"/>
        </w:rPr>
        <w:t>Programa Mulheres Mil.</w:t>
      </w:r>
      <w:r w:rsidRPr="00771368">
        <w:rPr>
          <w:color w:val="000000"/>
          <w:sz w:val="24"/>
          <w:szCs w:val="24"/>
        </w:rPr>
        <w:t xml:space="preserve"> 2011. Disponível em: http://portal.mec.gov.br/index.php?option=com_content&amp;view=article&amp;id=12299&amp;Itemid=603. Acesso em: 19/02/2013.</w:t>
      </w:r>
    </w:p>
    <w:p w:rsidR="00D24E61" w:rsidRPr="00771368" w:rsidRDefault="00D24E61" w:rsidP="00D24E61">
      <w:pPr>
        <w:jc w:val="both"/>
        <w:rPr>
          <w:color w:val="000000"/>
          <w:sz w:val="24"/>
          <w:szCs w:val="24"/>
        </w:rPr>
      </w:pPr>
    </w:p>
    <w:p w:rsidR="00D24E61" w:rsidRPr="00771368" w:rsidRDefault="00D24E61" w:rsidP="00D24E61">
      <w:pPr>
        <w:autoSpaceDE w:val="0"/>
        <w:autoSpaceDN w:val="0"/>
        <w:adjustRightInd w:val="0"/>
        <w:jc w:val="both"/>
        <w:rPr>
          <w:color w:val="000000"/>
          <w:sz w:val="24"/>
          <w:szCs w:val="24"/>
        </w:rPr>
      </w:pPr>
      <w:r w:rsidRPr="00771368">
        <w:rPr>
          <w:bCs/>
          <w:color w:val="000000"/>
          <w:sz w:val="24"/>
          <w:szCs w:val="24"/>
        </w:rPr>
        <w:t xml:space="preserve">FARAH, Marta Ferreira Santos. </w:t>
      </w:r>
      <w:r w:rsidRPr="00771368">
        <w:rPr>
          <w:b/>
          <w:bCs/>
          <w:color w:val="000000"/>
          <w:sz w:val="24"/>
          <w:szCs w:val="24"/>
        </w:rPr>
        <w:t>Políticas públicas e gênero.</w:t>
      </w:r>
      <w:r w:rsidRPr="00771368">
        <w:rPr>
          <w:bCs/>
          <w:color w:val="000000"/>
          <w:sz w:val="24"/>
          <w:szCs w:val="24"/>
        </w:rPr>
        <w:t xml:space="preserve"> </w:t>
      </w:r>
      <w:r w:rsidRPr="00771368">
        <w:rPr>
          <w:color w:val="000000"/>
          <w:sz w:val="24"/>
          <w:szCs w:val="24"/>
        </w:rPr>
        <w:t xml:space="preserve">In. GODINHO, Tatau; SILVEIRA, Maria Lúcia da (orgs.). </w:t>
      </w:r>
      <w:r w:rsidRPr="00771368">
        <w:rPr>
          <w:i/>
          <w:color w:val="000000"/>
          <w:sz w:val="24"/>
          <w:szCs w:val="24"/>
        </w:rPr>
        <w:t>Políticas públicas e igualdade de gênero</w:t>
      </w:r>
      <w:r w:rsidRPr="00771368">
        <w:rPr>
          <w:color w:val="000000"/>
          <w:sz w:val="24"/>
          <w:szCs w:val="24"/>
        </w:rPr>
        <w:t>. São Paulo: Coordenadoria Especial da Mulher, 2004, 188 p. (Cadernos da Coordenadoria Especial da Mulher, 8).</w:t>
      </w:r>
    </w:p>
    <w:p w:rsidR="00D24E61" w:rsidRPr="00771368" w:rsidRDefault="00D24E61" w:rsidP="00D24E61">
      <w:pPr>
        <w:autoSpaceDE w:val="0"/>
        <w:autoSpaceDN w:val="0"/>
        <w:adjustRightInd w:val="0"/>
        <w:jc w:val="both"/>
        <w:rPr>
          <w:color w:val="000000"/>
          <w:sz w:val="24"/>
          <w:szCs w:val="24"/>
        </w:rPr>
      </w:pPr>
    </w:p>
    <w:p w:rsidR="00D24E61" w:rsidRPr="00771368" w:rsidRDefault="00D24E61" w:rsidP="00D24E61">
      <w:pPr>
        <w:jc w:val="both"/>
        <w:rPr>
          <w:color w:val="000000"/>
          <w:sz w:val="24"/>
          <w:szCs w:val="24"/>
        </w:rPr>
      </w:pPr>
      <w:r w:rsidRPr="00771368">
        <w:rPr>
          <w:color w:val="000000"/>
          <w:sz w:val="24"/>
          <w:szCs w:val="24"/>
        </w:rPr>
        <w:t xml:space="preserve">FUCK, Irene Terezinha. </w:t>
      </w:r>
      <w:r w:rsidRPr="00771368">
        <w:rPr>
          <w:b/>
          <w:color w:val="000000"/>
          <w:sz w:val="24"/>
          <w:szCs w:val="24"/>
        </w:rPr>
        <w:t>Alfabetização de Adultos.</w:t>
      </w:r>
      <w:r w:rsidRPr="00771368">
        <w:rPr>
          <w:color w:val="000000"/>
          <w:sz w:val="24"/>
          <w:szCs w:val="24"/>
        </w:rPr>
        <w:t xml:space="preserve">  Relato de uma experiência construtivista. 2. ed. Petrópolis: Vozes,1994.</w:t>
      </w:r>
    </w:p>
    <w:p w:rsidR="00D24E61" w:rsidRPr="00771368" w:rsidRDefault="00D24E61" w:rsidP="00D24E61">
      <w:pPr>
        <w:autoSpaceDE w:val="0"/>
        <w:autoSpaceDN w:val="0"/>
        <w:adjustRightInd w:val="0"/>
        <w:jc w:val="both"/>
        <w:rPr>
          <w:color w:val="000000"/>
          <w:sz w:val="24"/>
          <w:szCs w:val="24"/>
        </w:rPr>
      </w:pPr>
      <w:r w:rsidRPr="00771368">
        <w:rPr>
          <w:color w:val="000000"/>
          <w:sz w:val="24"/>
          <w:szCs w:val="24"/>
        </w:rPr>
        <w:t xml:space="preserve">SOARES, Vera. </w:t>
      </w:r>
      <w:r w:rsidRPr="00771368">
        <w:rPr>
          <w:b/>
          <w:color w:val="000000"/>
          <w:sz w:val="24"/>
          <w:szCs w:val="24"/>
        </w:rPr>
        <w:t>Políticas públicas para igualdade: papel do Estado e diretrizes.</w:t>
      </w:r>
      <w:r w:rsidRPr="00771368">
        <w:rPr>
          <w:color w:val="000000"/>
          <w:sz w:val="24"/>
          <w:szCs w:val="24"/>
        </w:rPr>
        <w:t xml:space="preserve"> In. </w:t>
      </w:r>
    </w:p>
    <w:p w:rsidR="00D24E61" w:rsidRPr="00771368" w:rsidRDefault="00D24E61" w:rsidP="00D24E61">
      <w:pPr>
        <w:autoSpaceDE w:val="0"/>
        <w:autoSpaceDN w:val="0"/>
        <w:adjustRightInd w:val="0"/>
        <w:jc w:val="both"/>
        <w:rPr>
          <w:color w:val="000000"/>
          <w:sz w:val="24"/>
          <w:szCs w:val="24"/>
        </w:rPr>
      </w:pPr>
      <w:r w:rsidRPr="00771368">
        <w:rPr>
          <w:color w:val="000000"/>
          <w:sz w:val="24"/>
          <w:szCs w:val="24"/>
        </w:rPr>
        <w:t xml:space="preserve">GODINHO, T.; SILVEIRA, M. L. (orgs.). </w:t>
      </w:r>
      <w:r w:rsidRPr="00771368">
        <w:rPr>
          <w:b/>
          <w:color w:val="000000"/>
          <w:sz w:val="24"/>
          <w:szCs w:val="24"/>
        </w:rPr>
        <w:t>Políticas públicas e igualdade de gênero</w:t>
      </w:r>
      <w:r w:rsidRPr="00771368">
        <w:rPr>
          <w:color w:val="000000"/>
          <w:sz w:val="24"/>
          <w:szCs w:val="24"/>
        </w:rPr>
        <w:t>. São Paulo: Coordenadoria Especial da Mulher, 2004, 188 p. (Cadernos da Coordenadoria Especial da Mulher, 8).</w:t>
      </w:r>
    </w:p>
    <w:p w:rsidR="00D24E61" w:rsidRPr="00771368" w:rsidRDefault="00D24E61" w:rsidP="00D24E61">
      <w:pPr>
        <w:autoSpaceDE w:val="0"/>
        <w:autoSpaceDN w:val="0"/>
        <w:adjustRightInd w:val="0"/>
        <w:jc w:val="both"/>
        <w:rPr>
          <w:color w:val="000000"/>
          <w:sz w:val="24"/>
          <w:szCs w:val="24"/>
        </w:rPr>
      </w:pPr>
    </w:p>
    <w:p w:rsidR="00D24E61" w:rsidRPr="00771368" w:rsidRDefault="00D24E61" w:rsidP="00D24E61">
      <w:pPr>
        <w:autoSpaceDE w:val="0"/>
        <w:autoSpaceDN w:val="0"/>
        <w:adjustRightInd w:val="0"/>
        <w:jc w:val="both"/>
        <w:rPr>
          <w:color w:val="000000"/>
          <w:sz w:val="24"/>
          <w:szCs w:val="24"/>
          <w:lang w:val="en-US"/>
        </w:rPr>
      </w:pPr>
      <w:r w:rsidRPr="00771368">
        <w:rPr>
          <w:color w:val="000000"/>
          <w:sz w:val="24"/>
          <w:szCs w:val="24"/>
        </w:rPr>
        <w:t xml:space="preserve">YIN, R.K. </w:t>
      </w:r>
      <w:r w:rsidRPr="00771368">
        <w:rPr>
          <w:b/>
          <w:color w:val="000000"/>
          <w:sz w:val="24"/>
          <w:szCs w:val="24"/>
        </w:rPr>
        <w:t>Estudo de caso: planejamento e métodos.</w:t>
      </w:r>
      <w:r w:rsidRPr="00771368">
        <w:rPr>
          <w:color w:val="000000"/>
          <w:sz w:val="24"/>
          <w:szCs w:val="24"/>
        </w:rPr>
        <w:t xml:space="preserve"> </w:t>
      </w:r>
      <w:r w:rsidRPr="00771368">
        <w:rPr>
          <w:color w:val="000000"/>
          <w:sz w:val="24"/>
          <w:szCs w:val="24"/>
          <w:lang w:val="en-US"/>
        </w:rPr>
        <w:t>3. ed. Porto Alegre: Book man, 2005.</w:t>
      </w:r>
    </w:p>
    <w:p w:rsidR="00D24E61" w:rsidRPr="00D61223" w:rsidRDefault="00D24E61" w:rsidP="00D24E61">
      <w:pPr>
        <w:spacing w:line="480" w:lineRule="auto"/>
        <w:jc w:val="center"/>
        <w:rPr>
          <w:b/>
          <w:color w:val="000000"/>
          <w:sz w:val="24"/>
          <w:szCs w:val="24"/>
          <w:lang w:val="en-US"/>
        </w:rPr>
      </w:pPr>
    </w:p>
    <w:p w:rsidR="00D24E61" w:rsidRPr="00D61223" w:rsidRDefault="00D24E61" w:rsidP="00D24E61">
      <w:pPr>
        <w:spacing w:line="480" w:lineRule="auto"/>
        <w:jc w:val="both"/>
        <w:rPr>
          <w:b/>
          <w:color w:val="000000"/>
          <w:sz w:val="24"/>
          <w:szCs w:val="24"/>
          <w:lang w:val="en-US"/>
        </w:rPr>
      </w:pPr>
    </w:p>
    <w:p w:rsidR="00D24E61" w:rsidRPr="00771368" w:rsidRDefault="00D24E61" w:rsidP="00D24E61">
      <w:pPr>
        <w:spacing w:line="480" w:lineRule="auto"/>
        <w:jc w:val="both"/>
        <w:rPr>
          <w:color w:val="000000"/>
          <w:sz w:val="24"/>
          <w:szCs w:val="24"/>
        </w:rPr>
      </w:pPr>
      <w:r w:rsidRPr="00771368">
        <w:rPr>
          <w:b/>
          <w:color w:val="000000"/>
          <w:sz w:val="24"/>
          <w:szCs w:val="24"/>
        </w:rPr>
        <w:t>O BANHEIRO DA ESCOLA: AS CONTRADIÇÕES DE AMBIENTES DE PROIBIÇÕES, EXPERIÊNCIAS E DESCOBERTAS.</w:t>
      </w:r>
    </w:p>
    <w:p w:rsidR="00D24E61" w:rsidRPr="00771368" w:rsidRDefault="00D24E61" w:rsidP="00D24E61">
      <w:pPr>
        <w:pStyle w:val="FG9autor"/>
        <w:spacing w:line="480" w:lineRule="auto"/>
        <w:rPr>
          <w:szCs w:val="24"/>
        </w:rPr>
      </w:pPr>
    </w:p>
    <w:p w:rsidR="00D24E61" w:rsidRPr="00771368" w:rsidRDefault="00D24E61" w:rsidP="00D24E61">
      <w:pPr>
        <w:spacing w:line="480" w:lineRule="auto"/>
        <w:jc w:val="right"/>
        <w:rPr>
          <w:color w:val="000000"/>
          <w:sz w:val="24"/>
          <w:szCs w:val="24"/>
        </w:rPr>
      </w:pPr>
      <w:bookmarkStart w:id="50" w:name="_Toc442034739"/>
      <w:r w:rsidRPr="00E25CBB">
        <w:rPr>
          <w:rStyle w:val="Ttulo1Char"/>
        </w:rPr>
        <w:t>Alex Ribeiro Nunes</w:t>
      </w:r>
      <w:bookmarkEnd w:id="50"/>
      <w:r w:rsidRPr="00771368">
        <w:rPr>
          <w:color w:val="000000"/>
          <w:sz w:val="24"/>
          <w:szCs w:val="24"/>
          <w:vertAlign w:val="superscript"/>
        </w:rPr>
        <w:footnoteReference w:id="99"/>
      </w:r>
    </w:p>
    <w:p w:rsidR="00D24E61" w:rsidRPr="00771368" w:rsidRDefault="00D24E61" w:rsidP="00D24E61">
      <w:pPr>
        <w:pStyle w:val="FG9autor"/>
        <w:spacing w:line="480" w:lineRule="auto"/>
        <w:rPr>
          <w:szCs w:val="24"/>
        </w:rPr>
      </w:pPr>
    </w:p>
    <w:p w:rsidR="00D24E61" w:rsidRPr="00771368" w:rsidRDefault="00D24E61" w:rsidP="00D24E61">
      <w:pPr>
        <w:spacing w:line="360" w:lineRule="auto"/>
        <w:jc w:val="both"/>
        <w:rPr>
          <w:color w:val="000000"/>
          <w:sz w:val="24"/>
          <w:szCs w:val="24"/>
        </w:rPr>
      </w:pPr>
      <w:r w:rsidRPr="00771368">
        <w:rPr>
          <w:b/>
          <w:sz w:val="24"/>
          <w:szCs w:val="24"/>
        </w:rPr>
        <w:t>Resumo</w:t>
      </w:r>
      <w:r w:rsidRPr="00771368">
        <w:rPr>
          <w:sz w:val="24"/>
          <w:szCs w:val="24"/>
        </w:rPr>
        <w:t xml:space="preserve">: </w:t>
      </w:r>
      <w:r w:rsidRPr="00771368">
        <w:rPr>
          <w:color w:val="000000"/>
          <w:sz w:val="24"/>
          <w:szCs w:val="24"/>
        </w:rPr>
        <w:t xml:space="preserve">Este artigo procura promover reflexões acerca dos banheiros das escolas, buscando evidenciar as convenções às quais estes espaços vêm sendo submetidos e as significações surgidas a partir daí para crianças e equipe escolar. É uma tentativa de navegar por esses locais como espaços marcados pelas relações de poder, relações de submissão e, ainda, convidativos às transgressões e experiências. Para tanto, foram problematizadas três falas de crianças e profissionais que fazem parte de uma escola municipal do Sul de Minas Gerais. O processo analítico baseou-se nos estudos pós-estruturalistas e nas ferramentas foucaultianas sobre temáticas que envolvem gênero e sexualidade, com vistas a discutir que esse é um espaço coberto por verdades e simbolismos e possibilita reflexões sobre os corpos. Através das falas descritas, compõe-se um </w:t>
      </w:r>
      <w:r w:rsidRPr="00771368">
        <w:rPr>
          <w:i/>
          <w:color w:val="000000"/>
          <w:sz w:val="24"/>
          <w:szCs w:val="24"/>
        </w:rPr>
        <w:t>corpus de análise,</w:t>
      </w:r>
      <w:r w:rsidRPr="00771368">
        <w:rPr>
          <w:color w:val="000000"/>
          <w:sz w:val="24"/>
          <w:szCs w:val="24"/>
        </w:rPr>
        <w:t xml:space="preserve"> expressão de experiências que sugerem comportamentos estereotipados e repressores. Problematizar o universo dos banheiros escolares surge como possibilidades para desconstruções, com vistas a incitar o surgimento de novas alternativas para o cotidiano das escolas. </w:t>
      </w:r>
    </w:p>
    <w:p w:rsidR="00D24E61" w:rsidRPr="00771368" w:rsidRDefault="00D24E61" w:rsidP="00D24E61">
      <w:pPr>
        <w:spacing w:line="360" w:lineRule="auto"/>
        <w:jc w:val="both"/>
        <w:rPr>
          <w:b/>
          <w:sz w:val="24"/>
          <w:szCs w:val="24"/>
        </w:rPr>
      </w:pPr>
    </w:p>
    <w:p w:rsidR="00D24E61" w:rsidRPr="00771368" w:rsidRDefault="00D24E61" w:rsidP="00D24E61">
      <w:pPr>
        <w:spacing w:line="480" w:lineRule="auto"/>
        <w:jc w:val="both"/>
        <w:rPr>
          <w:color w:val="000000"/>
          <w:sz w:val="24"/>
          <w:szCs w:val="24"/>
        </w:rPr>
      </w:pPr>
      <w:r w:rsidRPr="00771368">
        <w:rPr>
          <w:b/>
          <w:sz w:val="24"/>
          <w:szCs w:val="24"/>
        </w:rPr>
        <w:t>Palavras-chave</w:t>
      </w:r>
      <w:r w:rsidRPr="00771368">
        <w:rPr>
          <w:sz w:val="24"/>
          <w:szCs w:val="24"/>
        </w:rPr>
        <w:t xml:space="preserve">: </w:t>
      </w:r>
      <w:r w:rsidRPr="00771368">
        <w:rPr>
          <w:color w:val="000000"/>
          <w:sz w:val="24"/>
          <w:szCs w:val="24"/>
        </w:rPr>
        <w:t>Banheiros escolares; simbolismo; gênero; sexualidade; desvendamentos.</w:t>
      </w:r>
    </w:p>
    <w:p w:rsidR="00D24E61" w:rsidRPr="00771368" w:rsidRDefault="00D24E61" w:rsidP="00D24E61">
      <w:pPr>
        <w:pStyle w:val="Default"/>
        <w:spacing w:line="480" w:lineRule="auto"/>
        <w:rPr>
          <w:b/>
          <w:bCs/>
        </w:rPr>
      </w:pPr>
    </w:p>
    <w:p w:rsidR="00D24E61" w:rsidRPr="00771368" w:rsidRDefault="00D24E61" w:rsidP="00D24E61">
      <w:pPr>
        <w:pStyle w:val="Default"/>
        <w:spacing w:line="480" w:lineRule="auto"/>
        <w:rPr>
          <w:b/>
          <w:bCs/>
        </w:rPr>
      </w:pPr>
      <w:r w:rsidRPr="00771368">
        <w:rPr>
          <w:b/>
          <w:bCs/>
        </w:rPr>
        <w:t xml:space="preserve">1. INTRODUÇÃO </w:t>
      </w:r>
    </w:p>
    <w:p w:rsidR="00D24E61" w:rsidRPr="00771368" w:rsidRDefault="00D24E61" w:rsidP="00D24E61">
      <w:pPr>
        <w:pStyle w:val="Default"/>
        <w:spacing w:line="480" w:lineRule="auto"/>
      </w:pPr>
    </w:p>
    <w:p w:rsidR="00D24E61" w:rsidRPr="00771368" w:rsidRDefault="00D24E61" w:rsidP="00D24E61">
      <w:pPr>
        <w:autoSpaceDE w:val="0"/>
        <w:autoSpaceDN w:val="0"/>
        <w:adjustRightInd w:val="0"/>
        <w:spacing w:line="480" w:lineRule="auto"/>
        <w:ind w:firstLine="708"/>
        <w:jc w:val="both"/>
        <w:rPr>
          <w:sz w:val="24"/>
          <w:szCs w:val="24"/>
        </w:rPr>
      </w:pPr>
      <w:r w:rsidRPr="00771368">
        <w:rPr>
          <w:color w:val="000000"/>
          <w:sz w:val="24"/>
          <w:szCs w:val="24"/>
        </w:rPr>
        <w:t xml:space="preserve"> O banheiro da escola tem sido, cada vez mais, alvo de indignações, discussões e problematizações</w:t>
      </w:r>
      <w:r w:rsidRPr="00771368">
        <w:rPr>
          <w:rStyle w:val="Refdenotaderodap"/>
          <w:color w:val="000000"/>
          <w:sz w:val="24"/>
          <w:szCs w:val="24"/>
        </w:rPr>
        <w:footnoteReference w:id="100"/>
      </w:r>
      <w:r w:rsidRPr="00771368">
        <w:rPr>
          <w:color w:val="000000"/>
          <w:sz w:val="24"/>
          <w:szCs w:val="24"/>
        </w:rPr>
        <w:t xml:space="preserve"> que surgem como formas de repensar e reinventar  este espaço tão enigmático dentro da instituição escolar. Percebe-se que este é um lugar de e para a produção das diferenças de sexo e gênero, sustentadas por atitudes, falas e posturas que sugerem e reforçam desigualdades e violências. Podemos perceber, ainda, que ao seu redor, circulam as mais diversas formas de preconceito e discriminação. Pensando a escola como o lugar que supostamente funcionaria como local de convivência e trocas entre as diferenças e acessibilidade democrática ao conhecimento, o que podemos observar é que, em muitos casos, a falta de preparo em lidar com a sexualidade, remete a escola às atitudes de desrespeito</w:t>
      </w:r>
      <w:r w:rsidRPr="00771368">
        <w:rPr>
          <w:color w:val="FF0000"/>
          <w:sz w:val="24"/>
          <w:szCs w:val="24"/>
        </w:rPr>
        <w:t xml:space="preserve"> </w:t>
      </w:r>
      <w:r w:rsidRPr="00771368">
        <w:rPr>
          <w:color w:val="000000"/>
          <w:sz w:val="24"/>
          <w:szCs w:val="24"/>
        </w:rPr>
        <w:t>e à exclusão ao produzir e reforçar padrões heteronormativos</w:t>
      </w:r>
      <w:r w:rsidRPr="00771368">
        <w:rPr>
          <w:rStyle w:val="Refdenotaderodap"/>
          <w:color w:val="000000"/>
          <w:sz w:val="24"/>
          <w:szCs w:val="24"/>
        </w:rPr>
        <w:footnoteReference w:id="101"/>
      </w:r>
      <w:r w:rsidRPr="00771368">
        <w:rPr>
          <w:color w:val="000000"/>
          <w:sz w:val="24"/>
          <w:szCs w:val="24"/>
        </w:rPr>
        <w:t>, por vezes, presentes e naturalizados em nossa sociedade.</w:t>
      </w:r>
    </w:p>
    <w:p w:rsidR="00D24E61" w:rsidRPr="00771368" w:rsidRDefault="00D24E61" w:rsidP="00D24E61">
      <w:pPr>
        <w:autoSpaceDE w:val="0"/>
        <w:autoSpaceDN w:val="0"/>
        <w:adjustRightInd w:val="0"/>
        <w:spacing w:line="480" w:lineRule="auto"/>
        <w:ind w:firstLine="708"/>
        <w:jc w:val="both"/>
        <w:rPr>
          <w:sz w:val="24"/>
          <w:szCs w:val="24"/>
        </w:rPr>
      </w:pPr>
      <w:r w:rsidRPr="00771368">
        <w:rPr>
          <w:sz w:val="24"/>
          <w:szCs w:val="24"/>
        </w:rPr>
        <w:t>Assim, as discussões e problematizações dos banheiros escolares aqui apresentadas, nos levam a perceber que estes são espaços simbólicos e de muitas significações, portanto, aparecem como espaços sujeitos a investigações e análises sobre as relações de gênero e sexualidade.</w:t>
      </w:r>
    </w:p>
    <w:p w:rsidR="00D24E61" w:rsidRPr="00771368" w:rsidRDefault="00D24E61" w:rsidP="00D24E61">
      <w:pPr>
        <w:autoSpaceDE w:val="0"/>
        <w:autoSpaceDN w:val="0"/>
        <w:adjustRightInd w:val="0"/>
        <w:spacing w:line="480" w:lineRule="auto"/>
        <w:ind w:firstLine="708"/>
        <w:jc w:val="both"/>
        <w:rPr>
          <w:sz w:val="24"/>
          <w:szCs w:val="24"/>
        </w:rPr>
      </w:pPr>
      <w:r w:rsidRPr="00771368">
        <w:rPr>
          <w:sz w:val="24"/>
          <w:szCs w:val="24"/>
        </w:rPr>
        <w:t xml:space="preserve">Este trabalho procura promover reflexões acerca dos banheiros das escolas, buscando evidenciar as convenções às quais estes espaços vêm sendo submetidos e as significações surgidas a partir daí para </w:t>
      </w:r>
      <w:r w:rsidRPr="00771368">
        <w:rPr>
          <w:color w:val="000000"/>
          <w:sz w:val="24"/>
          <w:szCs w:val="24"/>
        </w:rPr>
        <w:t>crianças</w:t>
      </w:r>
      <w:r w:rsidRPr="00771368">
        <w:rPr>
          <w:sz w:val="24"/>
          <w:szCs w:val="24"/>
        </w:rPr>
        <w:t xml:space="preserve"> e equipe escolar. É uma tentativa de navegar por esses locais como espaços marcados pelas relações de poder, relações de submissão e ainda, convidativos às transgressões e experiências.</w:t>
      </w:r>
    </w:p>
    <w:p w:rsidR="00D24E61" w:rsidRPr="00771368" w:rsidRDefault="00D24E61" w:rsidP="00D24E61">
      <w:pPr>
        <w:pStyle w:val="Default"/>
        <w:spacing w:line="480" w:lineRule="auto"/>
        <w:ind w:firstLine="708"/>
        <w:jc w:val="both"/>
      </w:pPr>
      <w:r w:rsidRPr="00771368">
        <w:t>Perpassando rapidamente por momentos da nossa história, lembramos-nos do convívio com nossos pais, e percebemos hoje, que tivemos uma educação baseada em princípios machistas e, por vezes, severos. Surgiram algumas discordâncias e resistências</w:t>
      </w:r>
      <w:r w:rsidRPr="00771368">
        <w:rPr>
          <w:rStyle w:val="Refdenotaderodap"/>
        </w:rPr>
        <w:footnoteReference w:id="102"/>
      </w:r>
      <w:r w:rsidRPr="00771368">
        <w:t xml:space="preserve"> frente a estas condutas, como por exemplo, nos negarmos à prática do esporte que ele julgava como “correta” para homens, o futebol.</w:t>
      </w:r>
      <w:r w:rsidRPr="00771368">
        <w:rPr>
          <w:color w:val="FF0000"/>
        </w:rPr>
        <w:t xml:space="preserve"> </w:t>
      </w:r>
      <w:r w:rsidRPr="00771368">
        <w:rPr>
          <w:color w:val="FF0000"/>
        </w:rPr>
        <w:tab/>
      </w:r>
      <w:r w:rsidRPr="00771368">
        <w:t xml:space="preserve">As indignações se formavam nos vestiários, onde ocorria uma ausência de privacidade das pessoas que ali estavam. As duchas coletivas impulsionavam, entre aqueles homens, uma série de brincadeiras, comparações, constrangimentos e perturbações. </w:t>
      </w:r>
    </w:p>
    <w:p w:rsidR="00D24E61" w:rsidRPr="00771368" w:rsidRDefault="00D24E61" w:rsidP="00D24E61">
      <w:pPr>
        <w:pStyle w:val="Default"/>
        <w:spacing w:line="480" w:lineRule="auto"/>
        <w:ind w:firstLine="708"/>
        <w:jc w:val="both"/>
      </w:pPr>
      <w:r w:rsidRPr="00771368">
        <w:t xml:space="preserve">Na escola as indignações cresciam ainda mais, pois acostumarmo-nos com as normatizações impostas a nós, era um grande sacrifício. Ir ao banheiro se resumia em uma vez apenas, em horário pré-determinado e de forma coletiva, sempre vigiados por alguém, seja a professora ou os serviçais. A estrutura física do ambiente também não permitia nenhuma forma de privacidade. O “fazer xixi” era, por vezes, violado, tendo outros garotos por perto, estando nós, sujeitos a nos mostrarmos. Isso ocorria entrecruzando olhares, enfatizando curiosidades e até mesmo, estabelecendo alguns confrontos.  </w:t>
      </w:r>
    </w:p>
    <w:p w:rsidR="00D24E61" w:rsidRPr="00771368" w:rsidRDefault="00D24E61" w:rsidP="00D24E61">
      <w:pPr>
        <w:pStyle w:val="Default"/>
        <w:spacing w:line="480" w:lineRule="auto"/>
        <w:ind w:firstLine="708"/>
        <w:jc w:val="both"/>
        <w:rPr>
          <w:bCs/>
        </w:rPr>
      </w:pPr>
      <w:r w:rsidRPr="00771368">
        <w:rPr>
          <w:bCs/>
        </w:rPr>
        <w:t>Para o desenvolvimento deste trabalho, foram descritas e problematizadas três falas de crianças e profissionais que fazem parte de uma escola pública municipal do Sul de Minas Gerais. O processo analítico baseou-se nos estudos pós-estruturalistas e nas ferramentas foucaultianas sobre temáticas que envolvem gênero e sexualidade, com vistas a discutir que esse é um espaço coberto por verdades e simbolismos e possibilita reflexões sobre os corpos. As</w:t>
      </w:r>
      <w:r w:rsidRPr="00771368">
        <w:rPr>
          <w:bCs/>
          <w:color w:val="FF0000"/>
        </w:rPr>
        <w:t xml:space="preserve"> </w:t>
      </w:r>
      <w:r w:rsidRPr="00771368">
        <w:rPr>
          <w:bCs/>
        </w:rPr>
        <w:t xml:space="preserve">falas descritas, compõem um </w:t>
      </w:r>
      <w:r w:rsidRPr="00771368">
        <w:rPr>
          <w:bCs/>
          <w:i/>
        </w:rPr>
        <w:t>corpus de análise,</w:t>
      </w:r>
      <w:r w:rsidRPr="00771368">
        <w:rPr>
          <w:bCs/>
        </w:rPr>
        <w:t xml:space="preserve"> expressão de experiências que sugerem comportamentos padronizados</w:t>
      </w:r>
      <w:r w:rsidRPr="00771368">
        <w:rPr>
          <w:bCs/>
          <w:color w:val="FF0000"/>
        </w:rPr>
        <w:t xml:space="preserve"> </w:t>
      </w:r>
      <w:r w:rsidRPr="00771368">
        <w:rPr>
          <w:bCs/>
        </w:rPr>
        <w:t>e repressores. Problematizar o universo dos banheiros escolares surge como possibilidades para desconstruções com vistas a incitar o surgimento de novas alternativas para o cotidiano das escolas.</w:t>
      </w:r>
    </w:p>
    <w:p w:rsidR="00D24E61" w:rsidRPr="00771368" w:rsidRDefault="00D24E61" w:rsidP="00D24E61">
      <w:pPr>
        <w:pStyle w:val="Default"/>
        <w:spacing w:line="480" w:lineRule="auto"/>
        <w:ind w:firstLine="708"/>
        <w:jc w:val="both"/>
        <w:rPr>
          <w:bCs/>
        </w:rPr>
      </w:pPr>
      <w:r w:rsidRPr="00771368">
        <w:rPr>
          <w:bCs/>
        </w:rPr>
        <w:t>Procuramos estabelecer como objetivo deste trabalho descrever e problematizar alguns pontos que envolvem o banheiro escolar, observando aspectos sobre a sexualidade e as relações de gênero que o atravessam. Todos estes aspectos serão discutidos considerando a contribuição de</w:t>
      </w:r>
      <w:r w:rsidRPr="00771368">
        <w:rPr>
          <w:bCs/>
          <w:color w:val="FF0000"/>
        </w:rPr>
        <w:t xml:space="preserve"> </w:t>
      </w:r>
      <w:r w:rsidRPr="00771368">
        <w:rPr>
          <w:bCs/>
        </w:rPr>
        <w:t xml:space="preserve">alguns autores e autoras e suas teorias, visto que, para tantas indagações e inquietações, faz-se necessário “beber” em fontes de conhecimentos que embasam o tema proposto para aprofundar os estudos e, portanto, construir e estabelecer uma visão complexa acerca desta temática. </w:t>
      </w:r>
    </w:p>
    <w:p w:rsidR="00D24E61" w:rsidRPr="00771368" w:rsidRDefault="00D24E61" w:rsidP="00D24E61">
      <w:pPr>
        <w:pStyle w:val="Default"/>
        <w:spacing w:line="480" w:lineRule="auto"/>
        <w:ind w:firstLine="708"/>
        <w:jc w:val="both"/>
        <w:rPr>
          <w:bCs/>
        </w:rPr>
      </w:pPr>
      <w:r w:rsidRPr="00771368">
        <w:rPr>
          <w:bCs/>
        </w:rPr>
        <w:t xml:space="preserve">De acordo com Kristeva (1974, p.64) “todo texto se constrói como mosaico de citações, todo texto é absorção e transformação de um outro texto.” </w:t>
      </w:r>
    </w:p>
    <w:p w:rsidR="00D24E61" w:rsidRPr="00771368" w:rsidRDefault="00D24E61" w:rsidP="00D24E61">
      <w:pPr>
        <w:pStyle w:val="Default"/>
        <w:spacing w:line="480" w:lineRule="auto"/>
        <w:ind w:firstLine="708"/>
        <w:jc w:val="both"/>
        <w:rPr>
          <w:bCs/>
        </w:rPr>
      </w:pPr>
      <w:r w:rsidRPr="00771368">
        <w:rPr>
          <w:bCs/>
        </w:rPr>
        <w:t xml:space="preserve">Este trabalho justifica-se na necessidade de perceber que a escola ocupa um lugar importante na vida de crianças, jovens e adolescentes, podendo garantir acessos às informações e promover uma atitude reflexiva, crítica e responsável. </w:t>
      </w:r>
    </w:p>
    <w:p w:rsidR="00D24E61" w:rsidRPr="00771368" w:rsidRDefault="00D24E61" w:rsidP="00D24E61">
      <w:pPr>
        <w:pStyle w:val="Default"/>
        <w:spacing w:line="480" w:lineRule="auto"/>
        <w:ind w:firstLine="708"/>
        <w:jc w:val="both"/>
        <w:rPr>
          <w:bCs/>
        </w:rPr>
      </w:pPr>
    </w:p>
    <w:p w:rsidR="00D24E61" w:rsidRPr="00771368" w:rsidRDefault="00D24E61" w:rsidP="00D24E61">
      <w:pPr>
        <w:pStyle w:val="Default"/>
        <w:spacing w:line="480" w:lineRule="auto"/>
        <w:jc w:val="both"/>
        <w:rPr>
          <w:b/>
          <w:bCs/>
        </w:rPr>
      </w:pPr>
      <w:r w:rsidRPr="00771368">
        <w:rPr>
          <w:b/>
          <w:bCs/>
        </w:rPr>
        <w:t>2. PROBLEMATIZAR PARA REINVENTAR</w:t>
      </w:r>
    </w:p>
    <w:p w:rsidR="00D24E61" w:rsidRPr="00771368" w:rsidRDefault="00D24E61" w:rsidP="00D24E61">
      <w:pPr>
        <w:pStyle w:val="Default"/>
        <w:spacing w:line="480" w:lineRule="auto"/>
        <w:jc w:val="right"/>
        <w:rPr>
          <w:i/>
        </w:rPr>
      </w:pPr>
      <w:r w:rsidRPr="00771368">
        <w:rPr>
          <w:i/>
        </w:rPr>
        <w:t>Pois minha imaginação não tem estrada. E eu não gosto mesmo da estrada. Gosto do desvio e do desver.</w:t>
      </w:r>
    </w:p>
    <w:p w:rsidR="00D24E61" w:rsidRPr="00771368" w:rsidRDefault="00D24E61" w:rsidP="00D24E61">
      <w:pPr>
        <w:pStyle w:val="Default"/>
        <w:spacing w:line="480" w:lineRule="auto"/>
        <w:jc w:val="right"/>
        <w:rPr>
          <w:i/>
        </w:rPr>
      </w:pPr>
      <w:r w:rsidRPr="00771368">
        <w:rPr>
          <w:i/>
        </w:rPr>
        <w:t>Manoel de Barros</w:t>
      </w:r>
    </w:p>
    <w:p w:rsidR="00D24E61" w:rsidRPr="00771368" w:rsidRDefault="00D24E61" w:rsidP="00D24E61">
      <w:pPr>
        <w:pStyle w:val="Default"/>
        <w:spacing w:line="480" w:lineRule="auto"/>
        <w:ind w:firstLine="708"/>
        <w:jc w:val="both"/>
      </w:pPr>
      <w:r w:rsidRPr="00771368">
        <w:t>Viajando pelas palavras de Manoel de Barros percebemos que em nossas</w:t>
      </w:r>
      <w:r w:rsidRPr="00771368">
        <w:rPr>
          <w:color w:val="FF0000"/>
        </w:rPr>
        <w:t xml:space="preserve"> </w:t>
      </w:r>
      <w:r w:rsidRPr="00771368">
        <w:t>estradas, os desvios foram fundamentais e em nossas</w:t>
      </w:r>
      <w:r w:rsidRPr="00771368">
        <w:rPr>
          <w:color w:val="FF0000"/>
        </w:rPr>
        <w:t xml:space="preserve"> </w:t>
      </w:r>
      <w:r w:rsidRPr="00771368">
        <w:t>vivências, enquanto sujeitos e educadores, sempre encontramo-nos</w:t>
      </w:r>
      <w:r w:rsidRPr="00771368">
        <w:rPr>
          <w:color w:val="FF0000"/>
        </w:rPr>
        <w:t xml:space="preserve"> </w:t>
      </w:r>
      <w:r w:rsidRPr="00771368">
        <w:t>instigados a discutir questões relacionadas às diferenças e sua relação com a esfera da educação, procurando compreender, analisar, criar discussões e elaborar críticas para assim desconstruir aspectos que permeiam as questões de gênero e sexualidade na educação. Assim chegamos à primeira fala que nos</w:t>
      </w:r>
      <w:r w:rsidRPr="00771368">
        <w:rPr>
          <w:color w:val="FF0000"/>
        </w:rPr>
        <w:t xml:space="preserve"> </w:t>
      </w:r>
      <w:r w:rsidRPr="00771368">
        <w:t>instiga a pensarmos o conceito de sexualidade.</w:t>
      </w:r>
    </w:p>
    <w:p w:rsidR="00D24E61" w:rsidRPr="00771368" w:rsidRDefault="00D24E61" w:rsidP="00D24E61">
      <w:pPr>
        <w:pStyle w:val="Default"/>
        <w:spacing w:line="360" w:lineRule="auto"/>
        <w:ind w:firstLine="708"/>
        <w:jc w:val="both"/>
        <w:rPr>
          <w:i/>
        </w:rPr>
      </w:pPr>
      <w:r w:rsidRPr="00771368">
        <w:rPr>
          <w:b/>
        </w:rPr>
        <w:t>Primeira fala:</w:t>
      </w:r>
      <w:r w:rsidRPr="00771368">
        <w:rPr>
          <w:i/>
        </w:rPr>
        <w:t>“Vamos no banheiro, a gente beija lá, ninguém vai ver, ninguém vai saber, lá a gente faz o que quiser”.</w:t>
      </w:r>
      <w:r w:rsidRPr="00771368">
        <w:rPr>
          <w:rStyle w:val="Refdenotaderodap"/>
          <w:i/>
        </w:rPr>
        <w:footnoteReference w:id="103"/>
      </w:r>
      <w:r w:rsidRPr="00771368">
        <w:rPr>
          <w:i/>
        </w:rPr>
        <w:t xml:space="preserve"> </w:t>
      </w:r>
    </w:p>
    <w:p w:rsidR="00D24E61" w:rsidRPr="00771368" w:rsidRDefault="00D24E61" w:rsidP="00D24E61">
      <w:pPr>
        <w:pStyle w:val="Default"/>
        <w:spacing w:line="480" w:lineRule="auto"/>
        <w:ind w:firstLine="708"/>
        <w:jc w:val="both"/>
      </w:pPr>
      <w:r w:rsidRPr="00771368">
        <w:t>De acordo com Carvalho, Teixeira e Raposo (2008, p.97) “os banheiros garantem privacidade e anonimato ainda que em ambientes públicos, permitindo assim transgressões e manifestações de impulsos sexuais. Destas possibilidades nascem fantasias e receios (...)”. Os banheiros, mais do que simples lugares destinados às nossas necessidades fisiológicas, portanto naturais do ser humano, é um espaço no qual se transgride.</w:t>
      </w:r>
    </w:p>
    <w:p w:rsidR="00D24E61" w:rsidRPr="00771368" w:rsidRDefault="00D24E61" w:rsidP="00D24E61">
      <w:pPr>
        <w:pStyle w:val="Default"/>
        <w:spacing w:line="480" w:lineRule="auto"/>
        <w:ind w:firstLine="708"/>
        <w:jc w:val="both"/>
      </w:pPr>
      <w:r w:rsidRPr="00771368">
        <w:t xml:space="preserve">É um desafio para educadoras e educadores adotarem um olhar reflexivo sobre este ambiente que é atravessado por desejos e descobertas, com vistas a promover discussões sobre o controle dos corpos e a sexualidade.  Para tanto é importante considerar aspectos relacionados à complexidade do conceito de sexualidade, a saber: </w:t>
      </w:r>
    </w:p>
    <w:p w:rsidR="00D24E61" w:rsidRPr="00771368" w:rsidRDefault="00D24E61" w:rsidP="00D24E61">
      <w:pPr>
        <w:pStyle w:val="Default"/>
        <w:spacing w:line="360" w:lineRule="auto"/>
        <w:ind w:left="2832"/>
        <w:jc w:val="both"/>
        <w:rPr>
          <w:sz w:val="22"/>
          <w:szCs w:val="22"/>
        </w:rPr>
      </w:pPr>
      <w:r w:rsidRPr="00771368">
        <w:rPr>
          <w:sz w:val="22"/>
          <w:szCs w:val="22"/>
        </w:rPr>
        <w:t xml:space="preserve">A sexualidade humana integra componentes sensoriais e emotivos-afectivos, cognitivos e volitivos, sociais, éticos e espirituais. Adquire sentido no contexto de um projecto de vida que promova o conhecimento e aceitação de si próprio e o conhecimento e aceitação do outro. (DIAS; RAMALHEIRA; MARQUES et al., 2002, p.27) </w:t>
      </w:r>
    </w:p>
    <w:p w:rsidR="00D24E61" w:rsidRPr="00771368" w:rsidRDefault="00D24E61" w:rsidP="00D24E61">
      <w:pPr>
        <w:pStyle w:val="Default"/>
        <w:ind w:firstLine="708"/>
      </w:pPr>
    </w:p>
    <w:p w:rsidR="00D24E61" w:rsidRPr="00771368" w:rsidRDefault="00D24E61" w:rsidP="00D24E61">
      <w:pPr>
        <w:pStyle w:val="Default"/>
        <w:spacing w:line="480" w:lineRule="auto"/>
        <w:ind w:firstLine="708"/>
        <w:jc w:val="both"/>
      </w:pPr>
      <w:r w:rsidRPr="00771368">
        <w:t xml:space="preserve">A sexualidade está presente no cotidiano escolar de várias maneiras e está no centro de muitas controvérsias contemporâneas que dizem respeito ao futuro das relações sociais de gênero, dos direitos das pessoas decidirem sobre seu corpo, do casamento, das variadas modalidades de famílias e das relações afetivas. Sexualidade é, portanto, um assunto não somente pessoal, mas também político. </w:t>
      </w:r>
    </w:p>
    <w:p w:rsidR="00D24E61" w:rsidRPr="00771368" w:rsidRDefault="00D24E61" w:rsidP="00D24E61">
      <w:pPr>
        <w:pStyle w:val="Default"/>
        <w:spacing w:line="480" w:lineRule="auto"/>
        <w:ind w:firstLine="708"/>
        <w:jc w:val="both"/>
      </w:pPr>
      <w:r w:rsidRPr="00771368">
        <w:t>Assim, torna-se fundamental que a educação contemple reflexões acerca desta temática, que as palavras sejam problematizadas e que os sentidos sejam discutidos, pois perpassam “verdades” que</w:t>
      </w:r>
      <w:r w:rsidRPr="00771368">
        <w:rPr>
          <w:color w:val="FF0000"/>
        </w:rPr>
        <w:t xml:space="preserve"> </w:t>
      </w:r>
      <w:r w:rsidRPr="00771368">
        <w:t xml:space="preserve">reproduzimos e muitas vezes não estamos atentas/os as possibilidades de exercer o poder que para Foucault (1988) é capilar. </w:t>
      </w:r>
    </w:p>
    <w:p w:rsidR="00D24E61" w:rsidRPr="00771368" w:rsidRDefault="00D24E61" w:rsidP="00D24E61">
      <w:pPr>
        <w:pStyle w:val="Default"/>
        <w:spacing w:line="480" w:lineRule="auto"/>
        <w:ind w:firstLine="708"/>
        <w:jc w:val="both"/>
      </w:pPr>
      <w:r w:rsidRPr="00771368">
        <w:t>Percebemos que a escola deveria buscar manter em suas propostas, ações de alcance para professoras e professores construindo uma política pedagógica que insira uma Educação para a Sexualidade e desta maneira possa discutir, dentre outros assuntos, as significações do banheiro escolar.  Além disso, não se deve reduzir a sexualidade ao espaço das respostas certas ou erradas. Pensar em uma Educação para a Sexualidade, é pensar conforme aponta Jane Felipe (2007), buscando tecer algumas reflexões a respeito:</w:t>
      </w:r>
    </w:p>
    <w:p w:rsidR="00D24E61" w:rsidRPr="00771368" w:rsidRDefault="00D24E61" w:rsidP="00D24E61">
      <w:pPr>
        <w:pStyle w:val="Default"/>
        <w:spacing w:line="360" w:lineRule="auto"/>
        <w:ind w:left="2832"/>
        <w:jc w:val="both"/>
        <w:rPr>
          <w:sz w:val="22"/>
          <w:szCs w:val="22"/>
        </w:rPr>
      </w:pPr>
      <w:r w:rsidRPr="00771368">
        <w:rPr>
          <w:sz w:val="22"/>
          <w:szCs w:val="22"/>
        </w:rPr>
        <w:t xml:space="preserve">Como uma construção histórica e cultural, o amor, a paixão, bem como seus desdobramentos em termos de relação, merecem ser amplamente discutidos na perspectiva de uma </w:t>
      </w:r>
      <w:r w:rsidRPr="00771368">
        <w:rPr>
          <w:b/>
          <w:sz w:val="22"/>
          <w:szCs w:val="22"/>
        </w:rPr>
        <w:t>educação para a sexualidade</w:t>
      </w:r>
      <w:r w:rsidRPr="00771368">
        <w:rPr>
          <w:sz w:val="22"/>
          <w:szCs w:val="22"/>
        </w:rPr>
        <w:t>, e aqui utilizo essa expressão por entender que ela pode acionar discussões mais abrangentes quando se trata de refletir sobre nossos prazeres e desejos, não se restringindo ao sexo como ato, mas proporcionando outras vias de discussão e temáticas diversas, para além do viés biologicista. O amor como tema de uma educação para a sexualidade, pode ser visto também, assim como quase tudo, na sua transitoriedade, inconstância e fluidez. Mas nem por isso essa experimentação dos desejos e dos afetos se torna menos valiosa (ainda que tenha data de validade!). (FELIPE, 2007, p.42).</w:t>
      </w:r>
    </w:p>
    <w:p w:rsidR="00D24E61" w:rsidRPr="00771368" w:rsidRDefault="00D24E61" w:rsidP="00D24E61">
      <w:pPr>
        <w:pStyle w:val="Default"/>
        <w:spacing w:line="360" w:lineRule="auto"/>
        <w:ind w:firstLine="708"/>
        <w:jc w:val="both"/>
      </w:pPr>
    </w:p>
    <w:p w:rsidR="00D24E61" w:rsidRPr="00771368" w:rsidRDefault="00D24E61" w:rsidP="00D24E61">
      <w:pPr>
        <w:pStyle w:val="Default"/>
        <w:spacing w:line="480" w:lineRule="auto"/>
        <w:ind w:firstLine="708"/>
        <w:jc w:val="both"/>
      </w:pPr>
      <w:r w:rsidRPr="00771368">
        <w:t xml:space="preserve">Dessa forma, surge uma pergunta, com vistas a percebermos os motivos que nos levam a problematizarmos o cotidiano escolar e seus diversos ambientes, inclusive os banheiros. O que o universo dos banheiros escolares nos revela? </w:t>
      </w:r>
    </w:p>
    <w:p w:rsidR="00D24E61" w:rsidRPr="00771368" w:rsidRDefault="00D24E61" w:rsidP="00D24E61">
      <w:pPr>
        <w:pStyle w:val="Default"/>
        <w:spacing w:line="480" w:lineRule="auto"/>
        <w:ind w:firstLine="708"/>
        <w:jc w:val="both"/>
      </w:pPr>
      <w:r w:rsidRPr="00771368">
        <w:t>A partir deste questionamento, passamos ao segundo episódio, recortando e problematizando mais uma fala.</w:t>
      </w:r>
    </w:p>
    <w:p w:rsidR="00D24E61" w:rsidRPr="00771368" w:rsidRDefault="00D24E61" w:rsidP="00D24E61">
      <w:pPr>
        <w:pStyle w:val="Default"/>
        <w:spacing w:line="480" w:lineRule="auto"/>
        <w:ind w:firstLine="708"/>
        <w:jc w:val="both"/>
      </w:pPr>
      <w:r w:rsidRPr="00771368">
        <w:rPr>
          <w:b/>
        </w:rPr>
        <w:t xml:space="preserve">Segunda fala: </w:t>
      </w:r>
      <w:r w:rsidRPr="00771368">
        <w:rPr>
          <w:i/>
        </w:rPr>
        <w:t>“Menino! Não pode entrar aí, isso é banheiro de menina, você quer virar mulherzinha?”</w:t>
      </w:r>
      <w:r w:rsidRPr="00771368">
        <w:rPr>
          <w:rStyle w:val="Refdenotaderodap"/>
          <w:i/>
        </w:rPr>
        <w:footnoteReference w:id="104"/>
      </w:r>
      <w:r w:rsidRPr="00771368">
        <w:rPr>
          <w:i/>
        </w:rPr>
        <w:t>.</w:t>
      </w:r>
      <w:r w:rsidRPr="00771368">
        <w:t xml:space="preserve"> </w:t>
      </w:r>
    </w:p>
    <w:p w:rsidR="00D24E61" w:rsidRPr="00771368" w:rsidRDefault="00D24E61" w:rsidP="00D24E61">
      <w:pPr>
        <w:pStyle w:val="Default"/>
        <w:spacing w:line="480" w:lineRule="auto"/>
        <w:ind w:firstLine="708"/>
        <w:jc w:val="both"/>
      </w:pPr>
      <w:r w:rsidRPr="00771368">
        <w:t>Neste momento, portanto, faz-se necessário rever e aprofundar em outro conceito importante para este trabalho, a saber o que nos apresenta Silva (2000 p.63) quando relata que gênero é o conceito central na teoria feminista contemporânea, referindo-se principalmente em oposição à dimensão simplesmente biológica do processo de diferenciação sexual, enfatizando os aspectos culturais e sociais das relações entre os sexos. Louro (1996, p.2), ainda pontua que:</w:t>
      </w:r>
    </w:p>
    <w:p w:rsidR="00D24E61" w:rsidRPr="00771368" w:rsidRDefault="00D24E61" w:rsidP="00D24E61">
      <w:pPr>
        <w:pStyle w:val="Default"/>
        <w:spacing w:line="360" w:lineRule="auto"/>
        <w:ind w:left="2832"/>
        <w:jc w:val="both"/>
        <w:rPr>
          <w:sz w:val="22"/>
          <w:szCs w:val="22"/>
        </w:rPr>
      </w:pPr>
      <w:r w:rsidRPr="00771368">
        <w:rPr>
          <w:sz w:val="22"/>
          <w:szCs w:val="22"/>
        </w:rPr>
        <w:t>não pretende significar o mesmo que sexo; ou seja, enquanto sexo se refere à identidade biológica de uma pessoa, gênero está ligado à sua constituição social como sujeito masculino e feminino. Uma decorrência imediata para o trabalho prático: agora não se trata mais de focalizar apenas as mulheres como objeto de estudo, mas sim os processos de formação da feminilidade e da masculinidade, ou os sujeitos femininos e masculinos. O conceito parece acenar também imediatamente para a ideia de relação; os sujeitos se produzem em relação e na relação. (LOURO, 1996, p. 2).</w:t>
      </w:r>
    </w:p>
    <w:p w:rsidR="00D24E61" w:rsidRPr="00771368" w:rsidRDefault="00D24E61" w:rsidP="00D24E61">
      <w:pPr>
        <w:pStyle w:val="Default"/>
        <w:spacing w:line="360" w:lineRule="auto"/>
        <w:ind w:firstLine="708"/>
        <w:jc w:val="both"/>
      </w:pPr>
    </w:p>
    <w:p w:rsidR="00D24E61" w:rsidRPr="00771368" w:rsidRDefault="00D24E61" w:rsidP="00D24E61">
      <w:pPr>
        <w:pStyle w:val="Default"/>
        <w:spacing w:line="480" w:lineRule="auto"/>
        <w:ind w:firstLine="708"/>
        <w:jc w:val="both"/>
      </w:pPr>
      <w:r w:rsidRPr="00771368">
        <w:t>As formas como se encontram organizadas as relações de gênero em diversos contextos e como são formadas as representações, demonstram como vão se constituindo as instituições. Os significados, os comportamentos, os modos de apresentação, as diferenças corporais se constroem e se reproduzem, são aprendidas e ensinadas, ao mesmo tempo que são legitimadas, de diversas maneiras.</w:t>
      </w:r>
    </w:p>
    <w:p w:rsidR="00D24E61" w:rsidRPr="00771368" w:rsidRDefault="00D24E61" w:rsidP="00D24E61">
      <w:pPr>
        <w:pStyle w:val="Default"/>
        <w:spacing w:line="480" w:lineRule="auto"/>
        <w:ind w:firstLine="708"/>
        <w:jc w:val="both"/>
      </w:pPr>
      <w:r w:rsidRPr="00771368">
        <w:t xml:space="preserve">De acordo com Teixeira e Raposo (2007, p.1), o banheiro emerge como um ambiente emblemático da constituição das diferenças de gênero, um espaço marcado por jogos sexuais, ameaças e potencialidades. A autora diz: </w:t>
      </w:r>
    </w:p>
    <w:p w:rsidR="00D24E61" w:rsidRPr="00771368" w:rsidRDefault="00D24E61" w:rsidP="00D24E61">
      <w:pPr>
        <w:pStyle w:val="Default"/>
        <w:spacing w:line="360" w:lineRule="auto"/>
        <w:ind w:left="2832"/>
        <w:jc w:val="both"/>
        <w:rPr>
          <w:sz w:val="22"/>
          <w:szCs w:val="22"/>
        </w:rPr>
      </w:pPr>
      <w:r w:rsidRPr="00771368">
        <w:rPr>
          <w:sz w:val="22"/>
          <w:szCs w:val="22"/>
        </w:rPr>
        <w:t xml:space="preserve">Os banheiros são espaços de alta densidade simbólica para a investigação das relações de gênero e sexualidade no contexto público e escolar. Materializam e expressam concepções e práticas de cuidado do corpo e do meio ambiente - já que são locais de depósito das excreções – marcadas por significados de sexo e gênero: como são arquitetados e organizados? Como são usados? Quem os mantém limpos? Tais questões sugerem reflexões que articula gênero, sexualidade, corpo e educação. (TEIXEIRA E RAPOSO, 2007. p. 1) </w:t>
      </w:r>
    </w:p>
    <w:p w:rsidR="00D24E61" w:rsidRPr="00771368" w:rsidRDefault="00D24E61" w:rsidP="00D24E61">
      <w:pPr>
        <w:pStyle w:val="Default"/>
        <w:spacing w:line="360" w:lineRule="auto"/>
        <w:jc w:val="both"/>
      </w:pPr>
    </w:p>
    <w:p w:rsidR="00D24E61" w:rsidRPr="00771368" w:rsidRDefault="00D24E61" w:rsidP="00D24E61">
      <w:pPr>
        <w:pStyle w:val="Default"/>
        <w:spacing w:line="480" w:lineRule="auto"/>
        <w:ind w:firstLine="708"/>
        <w:jc w:val="both"/>
      </w:pPr>
      <w:r w:rsidRPr="00771368">
        <w:t>Para tanto, é interessante perceber que a interpretação de que existem dois corpos diferentes, o corpo do homem e o corpo da mulher, aparecem radicalmente como sendo opostos, de tal maneira que é necessário ter um banheiro específico para cada sexo.</w:t>
      </w:r>
    </w:p>
    <w:p w:rsidR="00D24E61" w:rsidRPr="00771368" w:rsidRDefault="00D24E61" w:rsidP="00D24E61">
      <w:pPr>
        <w:pStyle w:val="Default"/>
        <w:spacing w:line="480" w:lineRule="auto"/>
        <w:ind w:firstLine="708"/>
        <w:jc w:val="both"/>
      </w:pPr>
      <w:r w:rsidRPr="00771368">
        <w:t xml:space="preserve">Ainda, de acordo com as ideias de Carvalho, Teixeira e Raposo (2008, p.105), a utilização comum dos espaços públicos, sobretudo dos banheiros, requer uma série de aprendizagens do cuidado e conservação do ambiente, além do cultivo do respeito pelo outro, sem distinções de sexo e gênero. Por que meninos e meninas, jovens, adultos, hetero, homo e trans, não poderiam compartilhar banheiros, convivendo nesses espaços assim como convivem nas salas de aula e em outros espaços públicos? </w:t>
      </w:r>
    </w:p>
    <w:p w:rsidR="00D24E61" w:rsidRPr="00771368" w:rsidRDefault="00D24E61" w:rsidP="00D24E61">
      <w:pPr>
        <w:pStyle w:val="Default"/>
        <w:spacing w:line="480" w:lineRule="auto"/>
        <w:ind w:firstLine="708"/>
        <w:jc w:val="both"/>
        <w:rPr>
          <w:i/>
        </w:rPr>
      </w:pPr>
      <w:r w:rsidRPr="00771368">
        <w:rPr>
          <w:b/>
        </w:rPr>
        <w:t>Terceira fala</w:t>
      </w:r>
      <w:r w:rsidRPr="00771368">
        <w:t xml:space="preserve">: </w:t>
      </w:r>
      <w:r w:rsidRPr="00771368">
        <w:rPr>
          <w:i/>
        </w:rPr>
        <w:t>“Pergunta: - professora, posso ir ao banheiro com o João? Resposta: - não! Vai um de cada vez. Porquê vocês querem ir juntos, o que vão fazer lá”</w:t>
      </w:r>
      <w:r w:rsidRPr="00771368">
        <w:rPr>
          <w:rStyle w:val="Refdenotaderodap"/>
          <w:i/>
        </w:rPr>
        <w:footnoteReference w:id="105"/>
      </w:r>
      <w:r w:rsidRPr="00771368">
        <w:rPr>
          <w:i/>
        </w:rPr>
        <w:t>.</w:t>
      </w:r>
    </w:p>
    <w:p w:rsidR="00D24E61" w:rsidRPr="00771368" w:rsidRDefault="00D24E61" w:rsidP="00D24E61">
      <w:pPr>
        <w:pStyle w:val="Default"/>
        <w:spacing w:line="480" w:lineRule="auto"/>
        <w:ind w:firstLine="708"/>
        <w:jc w:val="both"/>
      </w:pPr>
      <w:r w:rsidRPr="00771368">
        <w:t>Diante desta fala e desta atitude da professora, é perceptível que a invisibilidade da temática sexualidade, bem como, a ausência de discussões e reflexões acerca do tema, por parte de educadoras e educadores concorrem para que consideravelmente algumas violências perpetuem. Adultos/as não estão acostumados/as a reconhecerem crianças e adolescentes como sujeitos de direitos que incluam a sexualidade, reforçando assim, uma corrente habituada a tecer convicções próprias que se baseiam em proibições e repressões. Desta maneira o banheiro, é por um lado, reconhecido pelas/os alunas/os, como um lugar convidativo para ver e/ou tocar o/a outro/a. No entanto, por outro lado, as/os professoras/os percebem este ambiente apenas como uma possível ameaça aos “</w:t>
      </w:r>
      <w:r w:rsidRPr="00771368">
        <w:rPr>
          <w:i/>
        </w:rPr>
        <w:t>princípios e valores familiares</w:t>
      </w:r>
      <w:r w:rsidRPr="00771368">
        <w:t>”, visto que, para elas/es ali é local apropriado para “</w:t>
      </w:r>
      <w:r w:rsidRPr="00771368">
        <w:rPr>
          <w:i/>
        </w:rPr>
        <w:t>fazer coisa errada</w:t>
      </w:r>
      <w:r w:rsidRPr="00771368">
        <w:t>”.</w:t>
      </w:r>
    </w:p>
    <w:p w:rsidR="00D24E61" w:rsidRPr="00771368" w:rsidRDefault="00D24E61" w:rsidP="00D24E61">
      <w:pPr>
        <w:pStyle w:val="Default"/>
        <w:spacing w:line="480" w:lineRule="auto"/>
        <w:ind w:firstLine="708"/>
        <w:jc w:val="both"/>
      </w:pPr>
      <w:r w:rsidRPr="00771368">
        <w:t xml:space="preserve">É preciso ampliarmos nossas discussões sobre sexualidade para irmos além das ideias convencionais, muitas vezes, baseadas apenas na fisiologia dos corpos ou em aspectos voltados ao pecado. É necessário questionarmos estas visões, e refletirmos reinventando assim os lugares, as ideias, as maneiras, não contribuindo para a reprodução de uma ordem desigual e injusta. </w:t>
      </w:r>
    </w:p>
    <w:p w:rsidR="00D24E61" w:rsidRPr="00771368" w:rsidRDefault="00D24E61" w:rsidP="00D24E61">
      <w:pPr>
        <w:pStyle w:val="Default"/>
        <w:spacing w:line="480" w:lineRule="auto"/>
        <w:jc w:val="both"/>
        <w:rPr>
          <w:b/>
        </w:rPr>
      </w:pPr>
    </w:p>
    <w:p w:rsidR="00D24E61" w:rsidRPr="00771368" w:rsidRDefault="00D24E61" w:rsidP="00D24E61">
      <w:pPr>
        <w:pStyle w:val="Default"/>
        <w:spacing w:line="480" w:lineRule="auto"/>
        <w:jc w:val="both"/>
        <w:rPr>
          <w:b/>
        </w:rPr>
      </w:pPr>
      <w:r w:rsidRPr="00771368">
        <w:rPr>
          <w:b/>
        </w:rPr>
        <w:t>3. CONSIDERAÇÕES FINAIS</w:t>
      </w:r>
    </w:p>
    <w:p w:rsidR="00D24E61" w:rsidRPr="00771368" w:rsidRDefault="00D24E61" w:rsidP="00D24E61">
      <w:pPr>
        <w:pStyle w:val="Default"/>
        <w:spacing w:line="480" w:lineRule="auto"/>
        <w:jc w:val="both"/>
        <w:rPr>
          <w:b/>
        </w:rPr>
      </w:pPr>
    </w:p>
    <w:p w:rsidR="00D24E61" w:rsidRPr="00771368" w:rsidRDefault="00D24E61" w:rsidP="00D24E61">
      <w:pPr>
        <w:pStyle w:val="Default"/>
        <w:spacing w:line="480" w:lineRule="auto"/>
        <w:jc w:val="right"/>
        <w:rPr>
          <w:i/>
          <w:lang w:val="pt-PT"/>
        </w:rPr>
      </w:pPr>
      <w:r w:rsidRPr="00771368">
        <w:rPr>
          <w:i/>
          <w:lang w:val="pt-PT"/>
        </w:rPr>
        <w:t>“Eu não amava que botassem data na minha existência. A gente usava mais era encher o tempo. Nossa data maior era o quando. O quando mandava em nós. A gente era o que quisesse ser...”</w:t>
      </w:r>
    </w:p>
    <w:p w:rsidR="00D24E61" w:rsidRPr="00771368" w:rsidRDefault="00D24E61" w:rsidP="00D24E61">
      <w:pPr>
        <w:pStyle w:val="Default"/>
        <w:spacing w:line="480" w:lineRule="auto"/>
        <w:jc w:val="right"/>
        <w:rPr>
          <w:b/>
        </w:rPr>
      </w:pPr>
      <w:r w:rsidRPr="00771368">
        <w:rPr>
          <w:i/>
          <w:lang w:val="pt-PT"/>
        </w:rPr>
        <w:t>Manoel de Barros</w:t>
      </w:r>
      <w:r w:rsidRPr="00771368">
        <w:rPr>
          <w:b/>
        </w:rPr>
        <w:tab/>
      </w:r>
    </w:p>
    <w:p w:rsidR="00D24E61" w:rsidRPr="00771368" w:rsidRDefault="00D24E61" w:rsidP="00D24E61">
      <w:pPr>
        <w:pStyle w:val="Default"/>
        <w:spacing w:line="480" w:lineRule="auto"/>
        <w:ind w:firstLine="708"/>
        <w:jc w:val="both"/>
      </w:pPr>
    </w:p>
    <w:p w:rsidR="00D24E61" w:rsidRPr="00771368" w:rsidRDefault="00D24E61" w:rsidP="00D24E61">
      <w:pPr>
        <w:pStyle w:val="Default"/>
        <w:spacing w:line="480" w:lineRule="auto"/>
        <w:ind w:firstLine="708"/>
        <w:jc w:val="both"/>
      </w:pPr>
      <w:r w:rsidRPr="00771368">
        <w:t xml:space="preserve">Embalados pela suavidade das palavras de Manoel de Barros, emergem algumas inquietações e transbordam alguns desejos. Permanecer apenas na pergunta - </w:t>
      </w:r>
      <w:r w:rsidRPr="00771368">
        <w:rPr>
          <w:i/>
        </w:rPr>
        <w:t>Até quando?</w:t>
      </w:r>
      <w:r w:rsidRPr="00771368">
        <w:t xml:space="preserve"> – é pouco demais para quem anseia vislumbrar outras maneiras de ser. Fazer dessa pergunta um pontapé inicial para possibilitar mudanças, é recarregar cotidianamente a vida. Estamos em busca de sermos o que quisermos e sendo assim, ao final deste trabalho, reiteramos</w:t>
      </w:r>
      <w:r w:rsidRPr="00771368">
        <w:rPr>
          <w:color w:val="FF0000"/>
        </w:rPr>
        <w:t xml:space="preserve"> </w:t>
      </w:r>
      <w:r w:rsidRPr="00771368">
        <w:t>seu propósito. Qual a relevância desse estudo? O que desejamos ao problematizar o banheiro da escola? Ao sustentar o desejo de construir um texto teórico sobre o banheiro da escola? Consideramos que um desafio é provocar diálogos que evidenciem as relações estabelecidas com e neste espaço. Possibilitar as trocas e não os silêncios, a liberdade e não a repressão, as sensações e não o disciplinamento dos corpos, façam-nos problematizar este diálogo. E que o novo esteja presente nestes contextos, os novos olhares, as novas posturas, os novos saberes. E que esses, possibilitem os corpos sentirem, os corpos buscarem para si essas novas possibilidades.</w:t>
      </w:r>
    </w:p>
    <w:p w:rsidR="00D24E61" w:rsidRPr="00771368" w:rsidRDefault="00D24E61" w:rsidP="00D24E61">
      <w:pPr>
        <w:pStyle w:val="Default"/>
        <w:spacing w:line="480" w:lineRule="auto"/>
        <w:ind w:firstLine="708"/>
        <w:jc w:val="both"/>
      </w:pPr>
      <w:r w:rsidRPr="00771368">
        <w:t xml:space="preserve">É preciso reiterar, ainda, diante das falas descritas e problematizadas neste trabalho, a necessidade de uma escola que contemple a Educação para a Sexualidade, como relata as autoras Camargo e Ribeiro (1999. p. 40) ao dizerem que esta é uma ação que implica a discussão de questões sociais, éticas e morais e que as relações entre liberdade, autonomia e respeito à intimidade devem estar presentes no trabalho educativo e, principalmente, naqueles que tratam da sexualidade. As mesmas afirmam também que, para compreender a sexualidade humana é essencial que ela possa ser entendida e discutida com liberdade. </w:t>
      </w:r>
    </w:p>
    <w:p w:rsidR="00D24E61" w:rsidRPr="00771368" w:rsidRDefault="00D24E61" w:rsidP="00D24E61">
      <w:pPr>
        <w:pStyle w:val="Default"/>
        <w:spacing w:line="480" w:lineRule="auto"/>
        <w:jc w:val="both"/>
        <w:rPr>
          <w:b/>
          <w:bCs/>
        </w:rPr>
      </w:pPr>
    </w:p>
    <w:p w:rsidR="00D24E61" w:rsidRPr="00771368" w:rsidRDefault="00D24E61" w:rsidP="00D24E61">
      <w:pPr>
        <w:pStyle w:val="Default"/>
        <w:spacing w:line="480" w:lineRule="auto"/>
        <w:jc w:val="both"/>
      </w:pPr>
      <w:r w:rsidRPr="00771368">
        <w:rPr>
          <w:b/>
          <w:bCs/>
        </w:rPr>
        <w:t xml:space="preserve">REFERÊNCIAS </w:t>
      </w:r>
    </w:p>
    <w:p w:rsidR="00D24E61" w:rsidRPr="00771368" w:rsidRDefault="00D24E61" w:rsidP="00D24E61">
      <w:pPr>
        <w:pStyle w:val="Default"/>
        <w:spacing w:line="480" w:lineRule="auto"/>
      </w:pPr>
      <w:r w:rsidRPr="00771368">
        <w:t>BARROS. M</w:t>
      </w:r>
      <w:r w:rsidRPr="00771368">
        <w:rPr>
          <w:b/>
        </w:rPr>
        <w:t xml:space="preserve">. </w:t>
      </w:r>
      <w:r w:rsidRPr="00771368">
        <w:rPr>
          <w:i/>
          <w:iCs/>
        </w:rPr>
        <w:t>Retrato do artista quando coisa</w:t>
      </w:r>
      <w:r w:rsidRPr="00771368">
        <w:t>. São Paulo, Record. 1998.</w:t>
      </w:r>
    </w:p>
    <w:p w:rsidR="00D24E61" w:rsidRPr="00771368" w:rsidRDefault="00D24E61" w:rsidP="00D24E61">
      <w:pPr>
        <w:pStyle w:val="Default"/>
        <w:spacing w:line="276" w:lineRule="auto"/>
      </w:pPr>
      <w:r w:rsidRPr="00771368">
        <w:t xml:space="preserve">CAMARGO, A.M.F.; RIBEIRO, C. </w:t>
      </w:r>
      <w:r w:rsidRPr="00771368">
        <w:rPr>
          <w:i/>
          <w:iCs/>
        </w:rPr>
        <w:t>Sexualidade(s) e Infância(s) – a sexualidade como um tema transversal</w:t>
      </w:r>
      <w:r w:rsidRPr="00771368">
        <w:t xml:space="preserve">. Campinas, São Paulo: Moderna, 1999. 144p. </w:t>
      </w:r>
    </w:p>
    <w:p w:rsidR="00D24E61" w:rsidRPr="00771368" w:rsidRDefault="00D24E61" w:rsidP="00D24E61">
      <w:pPr>
        <w:pStyle w:val="Default"/>
      </w:pPr>
    </w:p>
    <w:p w:rsidR="00D24E61" w:rsidRPr="00771368" w:rsidRDefault="00D24E61" w:rsidP="00D24E61">
      <w:pPr>
        <w:pStyle w:val="Default"/>
        <w:spacing w:line="276" w:lineRule="auto"/>
      </w:pPr>
      <w:r w:rsidRPr="00771368">
        <w:t xml:space="preserve">CARVALHO, M.E.P.; TEIXEIRA, A.B.M.; RAPOSO, A.E.S.S. </w:t>
      </w:r>
      <w:r w:rsidRPr="00771368">
        <w:rPr>
          <w:i/>
        </w:rPr>
        <w:t>Banheiros escolares e reprodução de gênero</w:t>
      </w:r>
      <w:r w:rsidRPr="00771368">
        <w:t xml:space="preserve">. In: RIBEIRO, C.M. &amp; SOUZA I.M.S. (Orgs). </w:t>
      </w:r>
      <w:r w:rsidRPr="00771368">
        <w:rPr>
          <w:i/>
          <w:iCs/>
        </w:rPr>
        <w:t>Educação Inclusiva: Tecendo Gênero e Diversidade Sexual nas Redes de Proteção</w:t>
      </w:r>
      <w:r w:rsidRPr="00771368">
        <w:t xml:space="preserve">. Lavras: ULFA, 2008. 3l8p.:il. </w:t>
      </w:r>
    </w:p>
    <w:p w:rsidR="00D24E61" w:rsidRPr="00771368" w:rsidRDefault="00D24E61" w:rsidP="00D24E61">
      <w:pPr>
        <w:pStyle w:val="Default"/>
        <w:spacing w:line="276" w:lineRule="auto"/>
        <w:jc w:val="both"/>
      </w:pPr>
    </w:p>
    <w:p w:rsidR="00D24E61" w:rsidRPr="00771368" w:rsidRDefault="00D24E61" w:rsidP="00D24E61">
      <w:pPr>
        <w:pStyle w:val="Default"/>
        <w:spacing w:line="276" w:lineRule="auto"/>
      </w:pPr>
      <w:r w:rsidRPr="00771368">
        <w:t xml:space="preserve">DIAS, A. M.; RAMALHEIRA, C.; MARQUES, L.; SEABRA, M. E.; ANTUNES, M. L. C. </w:t>
      </w:r>
      <w:r w:rsidRPr="00771368">
        <w:rPr>
          <w:i/>
        </w:rPr>
        <w:t>Educação da sexualidade: no dia-a-dia da prática educativa</w:t>
      </w:r>
      <w:r w:rsidRPr="00771368">
        <w:t>. Braga: Edições Casa do Professor, 2002.</w:t>
      </w:r>
    </w:p>
    <w:p w:rsidR="00D24E61" w:rsidRPr="00771368" w:rsidRDefault="00D24E61" w:rsidP="00D24E61">
      <w:pPr>
        <w:pStyle w:val="Default"/>
        <w:spacing w:line="276" w:lineRule="auto"/>
        <w:jc w:val="both"/>
      </w:pPr>
    </w:p>
    <w:p w:rsidR="00D24E61" w:rsidRPr="00771368" w:rsidRDefault="00D24E61" w:rsidP="00D24E61">
      <w:pPr>
        <w:rPr>
          <w:sz w:val="24"/>
          <w:szCs w:val="24"/>
        </w:rPr>
      </w:pPr>
      <w:r w:rsidRPr="00771368">
        <w:rPr>
          <w:sz w:val="24"/>
          <w:szCs w:val="24"/>
        </w:rPr>
        <w:t xml:space="preserve">DIAS, Souza. </w:t>
      </w:r>
      <w:r w:rsidRPr="00771368">
        <w:rPr>
          <w:i/>
          <w:sz w:val="24"/>
          <w:szCs w:val="24"/>
        </w:rPr>
        <w:t>Lógica do Acontecimento</w:t>
      </w:r>
      <w:r w:rsidRPr="00771368">
        <w:rPr>
          <w:sz w:val="24"/>
          <w:szCs w:val="24"/>
        </w:rPr>
        <w:t xml:space="preserve">. Deleuze e a filosofia. Porto, Portugal. Edições Afrontamento, 1995. In </w:t>
      </w:r>
      <w:r w:rsidRPr="00771368">
        <w:rPr>
          <w:i/>
          <w:sz w:val="24"/>
          <w:szCs w:val="24"/>
        </w:rPr>
        <w:t>O imaginário das águas, Eros e a criança</w:t>
      </w:r>
      <w:r w:rsidRPr="00771368">
        <w:rPr>
          <w:sz w:val="24"/>
          <w:szCs w:val="24"/>
        </w:rPr>
        <w:t>. Tese de doutorado: Andrade, C.M.R. Campinas/SP, 2001, 194p.</w:t>
      </w:r>
    </w:p>
    <w:p w:rsidR="00D24E61" w:rsidRPr="00771368" w:rsidRDefault="00D24E61" w:rsidP="00D24E61">
      <w:pPr>
        <w:rPr>
          <w:sz w:val="24"/>
          <w:szCs w:val="24"/>
        </w:rPr>
      </w:pPr>
      <w:r w:rsidRPr="00771368">
        <w:rPr>
          <w:sz w:val="24"/>
          <w:szCs w:val="24"/>
        </w:rPr>
        <w:t xml:space="preserve">FELIPE, J. </w:t>
      </w:r>
      <w:r w:rsidRPr="00771368">
        <w:rPr>
          <w:i/>
          <w:sz w:val="24"/>
          <w:szCs w:val="24"/>
        </w:rPr>
        <w:t>Do amor (ou de como glamourizar a vida): apontamentos em torno de uma educação para a sexualidade</w:t>
      </w:r>
      <w:r w:rsidRPr="00771368">
        <w:rPr>
          <w:sz w:val="24"/>
          <w:szCs w:val="24"/>
        </w:rPr>
        <w:t>. 2007. In FILHA, Constantina Xavier. et all. . Educação para a Sexualidade, para a Equidade de Gênero e para a Diversidade Sexual. Campo Grande: Editora UFMS.</w:t>
      </w:r>
    </w:p>
    <w:p w:rsidR="00D24E61" w:rsidRPr="00771368" w:rsidRDefault="00D24E61" w:rsidP="00D24E61">
      <w:pPr>
        <w:pStyle w:val="Default"/>
        <w:spacing w:line="276" w:lineRule="auto"/>
      </w:pPr>
      <w:r w:rsidRPr="00771368">
        <w:t xml:space="preserve">FOUCAULT, M. </w:t>
      </w:r>
      <w:r w:rsidRPr="00771368">
        <w:rPr>
          <w:i/>
        </w:rPr>
        <w:t>A Ordem do Discurso, aula inaugural no Collège de France pronunciada em 2 de dezembro de 1970</w:t>
      </w:r>
      <w:r w:rsidRPr="00771368">
        <w:t>. Tradução Laura Fraga de Almeida Sampaio. 20. ed. São Paulo, Loyola. 2010. 79p.</w:t>
      </w:r>
    </w:p>
    <w:p w:rsidR="00D24E61" w:rsidRPr="00771368" w:rsidRDefault="00D24E61" w:rsidP="00D24E61">
      <w:pPr>
        <w:pStyle w:val="Default"/>
        <w:spacing w:line="276" w:lineRule="auto"/>
      </w:pPr>
    </w:p>
    <w:p w:rsidR="00D24E61" w:rsidRPr="00771368" w:rsidRDefault="00D24E61" w:rsidP="00D24E61">
      <w:pPr>
        <w:pStyle w:val="Default"/>
        <w:spacing w:line="276" w:lineRule="auto"/>
      </w:pPr>
      <w:r w:rsidRPr="00771368">
        <w:t xml:space="preserve">KRISTEVA, J. </w:t>
      </w:r>
      <w:r w:rsidRPr="00771368">
        <w:rPr>
          <w:i/>
          <w:iCs/>
        </w:rPr>
        <w:t>Introdução à semanálise</w:t>
      </w:r>
      <w:r w:rsidRPr="00771368">
        <w:t>. Tradução de Ferraz, L.H.F.São Paulo: Perspectiva, 1974. (Coleção Debates).</w:t>
      </w:r>
    </w:p>
    <w:p w:rsidR="00D24E61" w:rsidRPr="00771368" w:rsidRDefault="00D24E61" w:rsidP="00D24E61">
      <w:pPr>
        <w:pStyle w:val="Default"/>
        <w:spacing w:line="276" w:lineRule="auto"/>
      </w:pPr>
      <w:r w:rsidRPr="00771368">
        <w:t xml:space="preserve"> </w:t>
      </w:r>
    </w:p>
    <w:p w:rsidR="00D24E61" w:rsidRPr="00771368" w:rsidRDefault="00D24E61" w:rsidP="00D24E61">
      <w:pPr>
        <w:pStyle w:val="Default"/>
        <w:spacing w:line="276" w:lineRule="auto"/>
      </w:pPr>
      <w:r w:rsidRPr="00771368">
        <w:t xml:space="preserve">LOURO, G.L. </w:t>
      </w:r>
      <w:r w:rsidRPr="00771368">
        <w:rPr>
          <w:i/>
        </w:rPr>
        <w:t>Segredos e Mentiras do Currículo: Sexualidade e Gênero nas Práticas Escolares</w:t>
      </w:r>
      <w:r w:rsidRPr="00771368">
        <w:t xml:space="preserve">. In: LOURO, G.L. et al. (Org). </w:t>
      </w:r>
      <w:r w:rsidRPr="00771368">
        <w:rPr>
          <w:i/>
          <w:iCs/>
        </w:rPr>
        <w:t>A escola Cidadã no Contexto da Globalização</w:t>
      </w:r>
      <w:r w:rsidRPr="00771368">
        <w:t xml:space="preserve">. 2. ed. Petrópolis: Vozes, 1996. 452 p. </w:t>
      </w:r>
    </w:p>
    <w:p w:rsidR="00D24E61" w:rsidRPr="00771368" w:rsidRDefault="00D24E61" w:rsidP="00D24E61">
      <w:pPr>
        <w:pStyle w:val="Default"/>
        <w:spacing w:line="276" w:lineRule="auto"/>
      </w:pPr>
    </w:p>
    <w:p w:rsidR="00D24E61" w:rsidRPr="00771368" w:rsidRDefault="00D24E61" w:rsidP="00D24E61">
      <w:pPr>
        <w:pStyle w:val="Default"/>
        <w:spacing w:line="276" w:lineRule="auto"/>
      </w:pPr>
      <w:r w:rsidRPr="00771368">
        <w:t xml:space="preserve">SILVA, T.T. </w:t>
      </w:r>
      <w:r w:rsidRPr="00771368">
        <w:rPr>
          <w:i/>
          <w:iCs/>
        </w:rPr>
        <w:t>Teoria cultural e educação – um vocabulário crítico</w:t>
      </w:r>
      <w:r w:rsidRPr="00771368">
        <w:t xml:space="preserve">. Belo Horizonte: Autêntica, 2000. 128 p. </w:t>
      </w:r>
    </w:p>
    <w:p w:rsidR="00D24E61" w:rsidRPr="00771368" w:rsidRDefault="00D24E61" w:rsidP="00D24E61">
      <w:pPr>
        <w:pStyle w:val="Default"/>
        <w:spacing w:line="276" w:lineRule="auto"/>
      </w:pPr>
    </w:p>
    <w:p w:rsidR="00D24E61" w:rsidRPr="00771368" w:rsidRDefault="00D24E61" w:rsidP="00D24E61">
      <w:pPr>
        <w:rPr>
          <w:color w:val="000000"/>
          <w:sz w:val="24"/>
          <w:szCs w:val="24"/>
        </w:rPr>
      </w:pPr>
      <w:r w:rsidRPr="00771368">
        <w:rPr>
          <w:sz w:val="24"/>
          <w:szCs w:val="24"/>
        </w:rPr>
        <w:t>TEIXEIRA, A.B.M.; RAPOSO, A.E.S.S. Banheiros escolares promotores de diferenças de gênero</w:t>
      </w:r>
      <w:r w:rsidRPr="00771368">
        <w:rPr>
          <w:i/>
          <w:iCs/>
          <w:sz w:val="24"/>
          <w:szCs w:val="24"/>
        </w:rPr>
        <w:t xml:space="preserve">. </w:t>
      </w:r>
      <w:r w:rsidRPr="00771368">
        <w:rPr>
          <w:sz w:val="24"/>
          <w:szCs w:val="24"/>
        </w:rPr>
        <w:t xml:space="preserve">In: CRUZ, S.E. </w:t>
      </w:r>
      <w:r w:rsidRPr="00771368">
        <w:rPr>
          <w:i/>
          <w:iCs/>
          <w:sz w:val="24"/>
          <w:szCs w:val="24"/>
        </w:rPr>
        <w:t xml:space="preserve">Fazendo Gênero – Corpo, Violência e Poder. A identidade no banheiro: Travestis, relações de gêneros e diferenças no cotidiano da escola. </w:t>
      </w:r>
      <w:r w:rsidRPr="00771368">
        <w:rPr>
          <w:sz w:val="24"/>
          <w:szCs w:val="24"/>
        </w:rPr>
        <w:t>Florianópolis: 8p. Disponível em: http://www.fazendogenero.ufsc.br/8/sts/ST5/Elizabete_Franco_Cruz_05.pdf. Acesso em: 20 de junho de 2013.</w:t>
      </w:r>
    </w:p>
    <w:p w:rsidR="00D24E61" w:rsidRPr="00771368" w:rsidRDefault="00D24E61" w:rsidP="00D24E61">
      <w:pPr>
        <w:spacing w:line="480" w:lineRule="auto"/>
        <w:rPr>
          <w:color w:val="000000"/>
          <w:sz w:val="24"/>
          <w:szCs w:val="24"/>
        </w:rPr>
      </w:pPr>
    </w:p>
    <w:p w:rsidR="00D24E61" w:rsidRPr="00D61223" w:rsidRDefault="00D24E61" w:rsidP="00D24E61">
      <w:pPr>
        <w:spacing w:line="480" w:lineRule="auto"/>
        <w:jc w:val="both"/>
        <w:rPr>
          <w:b/>
          <w:color w:val="000000"/>
          <w:sz w:val="24"/>
          <w:szCs w:val="24"/>
        </w:rPr>
      </w:pPr>
    </w:p>
    <w:p w:rsidR="00C107A5" w:rsidRDefault="00C107A5">
      <w:pPr>
        <w:rPr>
          <w:b/>
          <w:bCs/>
          <w:sz w:val="24"/>
          <w:szCs w:val="24"/>
        </w:rPr>
      </w:pPr>
      <w:r>
        <w:rPr>
          <w:b/>
          <w:bCs/>
          <w:sz w:val="24"/>
          <w:szCs w:val="24"/>
        </w:rPr>
        <w:br w:type="page"/>
      </w:r>
    </w:p>
    <w:p w:rsidR="00D24E61" w:rsidRPr="00771368" w:rsidRDefault="00D24E61">
      <w:pPr>
        <w:spacing w:line="332" w:lineRule="auto"/>
        <w:ind w:left="800" w:right="800"/>
        <w:jc w:val="center"/>
        <w:rPr>
          <w:sz w:val="20"/>
          <w:szCs w:val="20"/>
        </w:rPr>
      </w:pPr>
      <w:r w:rsidRPr="00771368">
        <w:rPr>
          <w:b/>
          <w:bCs/>
          <w:sz w:val="24"/>
          <w:szCs w:val="24"/>
        </w:rPr>
        <w:t>A PRESENÇA DA MULHER ALUNA NO ENSINO SUPERIOR: Uma analise das relações de Gênero nos Cursos de Graduação da área tecnológica e exata na Universidade Federal do Maranhão.</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66" w:lineRule="exact"/>
        <w:rPr>
          <w:sz w:val="24"/>
          <w:szCs w:val="24"/>
        </w:rPr>
      </w:pPr>
    </w:p>
    <w:p w:rsidR="00D24E61" w:rsidRPr="00771368" w:rsidRDefault="00D24E61" w:rsidP="00E25CBB">
      <w:pPr>
        <w:pStyle w:val="Ttulo1"/>
        <w:rPr>
          <w:sz w:val="20"/>
          <w:szCs w:val="20"/>
        </w:rPr>
      </w:pPr>
      <w:bookmarkStart w:id="51" w:name="_Toc442034740"/>
      <w:r w:rsidRPr="00771368">
        <w:t>Maria Célia Macedo Araújo Melo</w:t>
      </w:r>
      <w:r w:rsidRPr="00771368">
        <w:rPr>
          <w:sz w:val="30"/>
          <w:szCs w:val="30"/>
          <w:vertAlign w:val="superscript"/>
        </w:rPr>
        <w:t>1</w:t>
      </w:r>
      <w:bookmarkEnd w:id="51"/>
    </w:p>
    <w:p w:rsidR="00D24E61" w:rsidRPr="00771368" w:rsidRDefault="00D24E61">
      <w:pPr>
        <w:spacing w:line="63" w:lineRule="exact"/>
        <w:rPr>
          <w:sz w:val="24"/>
          <w:szCs w:val="24"/>
        </w:rPr>
      </w:pPr>
    </w:p>
    <w:p w:rsidR="00D24E61" w:rsidRPr="00771368" w:rsidRDefault="00D24E61">
      <w:pPr>
        <w:ind w:left="5260"/>
        <w:rPr>
          <w:sz w:val="20"/>
          <w:szCs w:val="20"/>
        </w:rPr>
      </w:pPr>
      <w:r w:rsidRPr="00771368">
        <w:rPr>
          <w:b/>
          <w:bCs/>
          <w:sz w:val="24"/>
          <w:szCs w:val="24"/>
        </w:rPr>
        <w:t>Diomar das Graças Motta</w:t>
      </w:r>
      <w:r w:rsidRPr="00771368">
        <w:rPr>
          <w:b/>
          <w:bCs/>
          <w:sz w:val="31"/>
          <w:szCs w:val="31"/>
          <w:vertAlign w:val="superscript"/>
        </w:rPr>
        <w:t>2</w:t>
      </w:r>
    </w:p>
    <w:p w:rsidR="00D24E61" w:rsidRPr="00771368" w:rsidRDefault="00D24E61">
      <w:pPr>
        <w:spacing w:line="200" w:lineRule="exact"/>
        <w:rPr>
          <w:sz w:val="24"/>
          <w:szCs w:val="24"/>
        </w:rPr>
      </w:pPr>
    </w:p>
    <w:p w:rsidR="00D24E61" w:rsidRPr="00771368" w:rsidRDefault="00D24E61">
      <w:pPr>
        <w:spacing w:line="275" w:lineRule="exact"/>
        <w:rPr>
          <w:sz w:val="24"/>
          <w:szCs w:val="24"/>
        </w:rPr>
      </w:pPr>
    </w:p>
    <w:p w:rsidR="00D24E61" w:rsidRPr="00771368" w:rsidRDefault="00D24E61">
      <w:pPr>
        <w:ind w:left="3940"/>
        <w:rPr>
          <w:sz w:val="20"/>
          <w:szCs w:val="20"/>
        </w:rPr>
      </w:pPr>
      <w:r w:rsidRPr="00771368">
        <w:rPr>
          <w:b/>
          <w:bCs/>
          <w:sz w:val="24"/>
          <w:szCs w:val="24"/>
        </w:rPr>
        <w:t>Resumo:</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5" w:lineRule="exact"/>
        <w:rPr>
          <w:sz w:val="24"/>
          <w:szCs w:val="24"/>
        </w:rPr>
      </w:pPr>
    </w:p>
    <w:p w:rsidR="00E25CBB" w:rsidRPr="00771368" w:rsidRDefault="00D24E61" w:rsidP="00E25CBB">
      <w:pPr>
        <w:spacing w:line="343" w:lineRule="auto"/>
        <w:ind w:right="20"/>
        <w:jc w:val="both"/>
        <w:rPr>
          <w:sz w:val="20"/>
          <w:szCs w:val="20"/>
        </w:rPr>
      </w:pPr>
      <w:r w:rsidRPr="00771368">
        <w:rPr>
          <w:sz w:val="24"/>
          <w:szCs w:val="24"/>
        </w:rPr>
        <w:t>Nosso objetivo neste trabalho é analisar a presença da mulher aluna do Centro de Ciências Exatas e Tecnológicas (CCET) da Universidade Federal do Maranhão, para tanto, começamos traçando um histórico da Educação Superior no Brasil e no Mundo. Na sequência, apontamos a singela presença da mulher na Escola durante séculos, mostrando que sua presença foi crescendo paulatinamente, chegando aos dias atuais quase em condições de igualdade dos homens. Dando prosseguimento, descrevemos a Universidade Federal do Maranhão e, nela, o CCET, mostrando como tem sido a presença da mulher neste centro. Acadêmico. Para o desenvolvimento da pesquisa foi utilizado método predominantemente qualitativo, valendo-se do quantitativo quando esse se fez absolutamente necessário. O recurso da entrevista semiestruturada foi utilizado para coleta</w:t>
      </w:r>
      <w:r w:rsidR="00E25CBB">
        <w:rPr>
          <w:sz w:val="24"/>
          <w:szCs w:val="24"/>
        </w:rPr>
        <w:t xml:space="preserve"> </w:t>
      </w:r>
      <w:r w:rsidR="00E25CBB" w:rsidRPr="00771368">
        <w:rPr>
          <w:sz w:val="24"/>
          <w:szCs w:val="24"/>
        </w:rPr>
        <w:t>de dados e o aporte teórico além do da Historiografia da Educação foi o da História Cultural. Ao final do trabalho concluímos que, apesar de todo marco legal dos direitos iguais, ainda persistem violência, preconceitos e discriminação, mesmo que velados, quanto à presença da mulher em áreas ou cursos considerados redutos masculinos.</w:t>
      </w:r>
    </w:p>
    <w:p w:rsidR="00E25CBB" w:rsidRPr="00771368" w:rsidRDefault="00E25CBB" w:rsidP="00E25CBB">
      <w:pPr>
        <w:spacing w:line="200" w:lineRule="exact"/>
        <w:rPr>
          <w:sz w:val="20"/>
          <w:szCs w:val="20"/>
        </w:rPr>
      </w:pPr>
    </w:p>
    <w:p w:rsidR="00E25CBB" w:rsidRPr="00771368" w:rsidRDefault="00E25CBB" w:rsidP="00E25CBB">
      <w:pPr>
        <w:spacing w:line="237" w:lineRule="exact"/>
        <w:rPr>
          <w:sz w:val="20"/>
          <w:szCs w:val="20"/>
        </w:rPr>
      </w:pPr>
    </w:p>
    <w:p w:rsidR="00E25CBB" w:rsidRDefault="00E25CBB" w:rsidP="00E25CBB">
      <w:pPr>
        <w:rPr>
          <w:sz w:val="24"/>
          <w:szCs w:val="24"/>
        </w:rPr>
      </w:pPr>
      <w:r w:rsidRPr="00771368">
        <w:rPr>
          <w:b/>
          <w:bCs/>
          <w:sz w:val="24"/>
          <w:szCs w:val="24"/>
        </w:rPr>
        <w:t>Palavras-chave</w:t>
      </w:r>
      <w:r w:rsidRPr="00771368">
        <w:rPr>
          <w:sz w:val="24"/>
          <w:szCs w:val="24"/>
        </w:rPr>
        <w:t>: Educação; Gênero; Presença da Mulher; CCET</w:t>
      </w:r>
    </w:p>
    <w:p w:rsidR="00C107A5" w:rsidRPr="00771368" w:rsidRDefault="00C107A5" w:rsidP="00E25CBB">
      <w:pPr>
        <w:rPr>
          <w:sz w:val="20"/>
          <w:szCs w:val="20"/>
        </w:rPr>
      </w:pPr>
    </w:p>
    <w:p w:rsidR="00C107A5" w:rsidRPr="00771368" w:rsidRDefault="00013211" w:rsidP="00C107A5">
      <w:pPr>
        <w:spacing w:line="235" w:lineRule="exact"/>
        <w:rPr>
          <w:sz w:val="24"/>
          <w:szCs w:val="24"/>
        </w:rPr>
      </w:pPr>
      <w:r>
        <w:rPr>
          <w:noProof/>
          <w:sz w:val="24"/>
          <w:szCs w:val="24"/>
        </w:rPr>
        <mc:AlternateContent>
          <mc:Choice Requires="wps">
            <w:drawing>
              <wp:anchor distT="0" distB="0" distL="0" distR="0" simplePos="0" relativeHeight="251648512" behindDoc="0" locked="0" layoutInCell="0" allowOverlap="1">
                <wp:simplePos x="0" y="0"/>
                <wp:positionH relativeFrom="column">
                  <wp:posOffset>-28575</wp:posOffset>
                </wp:positionH>
                <wp:positionV relativeFrom="paragraph">
                  <wp:posOffset>85725</wp:posOffset>
                </wp:positionV>
                <wp:extent cx="2535555" cy="0"/>
                <wp:effectExtent l="9525" t="9525" r="7620" b="9525"/>
                <wp:wrapNone/>
                <wp:docPr id="28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555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pt,6.75pt" to="197.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bIFAIAACs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" o:allowincell="f" strokeweight=".72pt"/>
            </w:pict>
          </mc:Fallback>
        </mc:AlternateContent>
      </w:r>
    </w:p>
    <w:p w:rsidR="00C107A5" w:rsidRPr="00771368" w:rsidRDefault="00C107A5" w:rsidP="00C107A5">
      <w:pPr>
        <w:spacing w:line="225" w:lineRule="auto"/>
        <w:jc w:val="both"/>
        <w:rPr>
          <w:sz w:val="20"/>
          <w:szCs w:val="20"/>
        </w:rPr>
      </w:pPr>
      <w:r w:rsidRPr="00771368">
        <w:rPr>
          <w:rFonts w:eastAsia="Calibri"/>
          <w:sz w:val="25"/>
          <w:szCs w:val="25"/>
          <w:vertAlign w:val="superscript"/>
        </w:rPr>
        <w:t>1</w:t>
      </w:r>
      <w:r w:rsidRPr="00771368">
        <w:rPr>
          <w:sz w:val="20"/>
          <w:szCs w:val="20"/>
        </w:rPr>
        <w:t xml:space="preserve"> Especialista em Educação. Mestranda do Programa de Pós-Graduação em Educação da Universidade Federal do Maranhão. Diretora da Divisão de Cursos de Graduação e Estágio Curricular da Pró-Reitoria de Ensino. Técnica em Assuntos Educacionais. Universidade Federal do Maranhão (UFMA). E-mail: celitamelo@uol.com.br.</w:t>
      </w:r>
    </w:p>
    <w:p w:rsidR="00C107A5" w:rsidRPr="00771368" w:rsidRDefault="00C107A5" w:rsidP="00C107A5">
      <w:pPr>
        <w:tabs>
          <w:tab w:val="left" w:pos="3245"/>
        </w:tabs>
        <w:spacing w:line="3" w:lineRule="exact"/>
        <w:rPr>
          <w:sz w:val="24"/>
          <w:szCs w:val="24"/>
        </w:rPr>
      </w:pPr>
      <w:r>
        <w:rPr>
          <w:sz w:val="24"/>
          <w:szCs w:val="24"/>
        </w:rPr>
        <w:tab/>
      </w:r>
    </w:p>
    <w:p w:rsidR="00C107A5" w:rsidRPr="00771368" w:rsidRDefault="00C107A5" w:rsidP="00C107A5">
      <w:pPr>
        <w:spacing w:line="222" w:lineRule="auto"/>
        <w:ind w:right="20"/>
        <w:jc w:val="both"/>
        <w:rPr>
          <w:sz w:val="20"/>
          <w:szCs w:val="20"/>
        </w:rPr>
      </w:pPr>
      <w:r w:rsidRPr="00771368">
        <w:rPr>
          <w:rFonts w:eastAsia="Calibri"/>
          <w:sz w:val="25"/>
          <w:szCs w:val="25"/>
          <w:vertAlign w:val="superscript"/>
        </w:rPr>
        <w:t>2</w:t>
      </w:r>
      <w:r w:rsidRPr="00771368">
        <w:rPr>
          <w:sz w:val="20"/>
          <w:szCs w:val="20"/>
        </w:rPr>
        <w:t xml:space="preserve"> Doutora em Educação pela Universidade Federal Fluminense – UFF, docente do Departamento de Educação II e dos Programas de Pós-Graduação: Mestrado em Educação e Mestrado Materno Infantil da Universidade Federal do Maranhão - UFMA. E-mail: diomar@elo.com.br.</w:t>
      </w:r>
    </w:p>
    <w:p w:rsidR="00E25CBB" w:rsidRPr="00771368" w:rsidRDefault="00E25CBB" w:rsidP="00E25CBB">
      <w:pPr>
        <w:spacing w:line="200" w:lineRule="exact"/>
        <w:rPr>
          <w:sz w:val="20"/>
          <w:szCs w:val="20"/>
        </w:rPr>
      </w:pPr>
    </w:p>
    <w:p w:rsidR="00E25CBB" w:rsidRDefault="00E25CBB" w:rsidP="00E25CBB">
      <w:pPr>
        <w:tabs>
          <w:tab w:val="left" w:pos="320"/>
        </w:tabs>
        <w:rPr>
          <w:b/>
          <w:bCs/>
          <w:sz w:val="24"/>
          <w:szCs w:val="24"/>
        </w:rPr>
      </w:pPr>
    </w:p>
    <w:p w:rsidR="00E25CBB" w:rsidRPr="00771368" w:rsidRDefault="00E25CBB" w:rsidP="00E25CBB">
      <w:pPr>
        <w:tabs>
          <w:tab w:val="left" w:pos="320"/>
        </w:tabs>
        <w:rPr>
          <w:sz w:val="20"/>
          <w:szCs w:val="20"/>
        </w:rPr>
      </w:pPr>
      <w:r w:rsidRPr="00771368">
        <w:rPr>
          <w:b/>
          <w:bCs/>
          <w:sz w:val="24"/>
          <w:szCs w:val="24"/>
        </w:rPr>
        <w:t>1</w:t>
      </w:r>
      <w:r>
        <w:rPr>
          <w:sz w:val="20"/>
          <w:szCs w:val="20"/>
        </w:rPr>
        <w:t xml:space="preserve">. </w:t>
      </w:r>
      <w:r w:rsidRPr="00771368">
        <w:rPr>
          <w:b/>
          <w:bCs/>
          <w:sz w:val="24"/>
          <w:szCs w:val="24"/>
        </w:rPr>
        <w:t>INTRODUÇÃO</w:t>
      </w:r>
    </w:p>
    <w:p w:rsidR="00E25CBB" w:rsidRPr="00771368" w:rsidRDefault="00E25CBB" w:rsidP="00E25CBB">
      <w:pPr>
        <w:spacing w:line="200" w:lineRule="exact"/>
        <w:rPr>
          <w:sz w:val="20"/>
          <w:szCs w:val="20"/>
        </w:rPr>
      </w:pPr>
    </w:p>
    <w:p w:rsidR="00E25CBB" w:rsidRPr="00771368" w:rsidRDefault="00E25CBB" w:rsidP="00E25CBB">
      <w:pPr>
        <w:spacing w:line="200" w:lineRule="exact"/>
        <w:rPr>
          <w:sz w:val="20"/>
          <w:szCs w:val="20"/>
        </w:rPr>
      </w:pPr>
    </w:p>
    <w:p w:rsidR="00E25CBB" w:rsidRPr="00771368" w:rsidRDefault="00E25CBB" w:rsidP="00E25CBB">
      <w:pPr>
        <w:spacing w:line="205" w:lineRule="exact"/>
        <w:rPr>
          <w:sz w:val="20"/>
          <w:szCs w:val="20"/>
        </w:rPr>
      </w:pPr>
    </w:p>
    <w:p w:rsidR="00E25CBB" w:rsidRPr="00771368" w:rsidRDefault="00E25CBB" w:rsidP="00E25CBB">
      <w:pPr>
        <w:spacing w:line="354" w:lineRule="auto"/>
        <w:ind w:right="20" w:firstLine="1189"/>
        <w:jc w:val="both"/>
        <w:rPr>
          <w:sz w:val="20"/>
          <w:szCs w:val="20"/>
        </w:rPr>
      </w:pPr>
      <w:r w:rsidRPr="00771368">
        <w:rPr>
          <w:sz w:val="24"/>
          <w:szCs w:val="24"/>
        </w:rPr>
        <w:t>É de conhecimento geral que as mulheres, por muito tempo, foram subjugadas e dadas a ler pela forma como os homens as viam na sociedade: quando se referiam a ela, restringiam-se a falar do modelo subserviente que elas deveriam seguir e, principalmente, a delimitar seus espaços de atuação na sociedade. Isso porque ela foi, ao longo da história, sempre preterida em relação ao homem. Desde a Grécia Antiga, filósofos como Aristóteles e Platão, pregavam a inferioridade da mulher, dizendo que a mesma era um ser incompleto sem capacidade para o raciocínio, que servia apenas para a procriação. Na Idade Média, a Igreja ajudou a cristalizar estes princípios. Santo Agostinho, por exemplo, dentre outros religiosos, proclamava a culpa às mulheres por ser um instrumento do demônio e atração do desejo. São Tomas de Aquino ajudou a firmar o ideia aristotélica de que a mulher seria inferior ao homem, pregando-a com um ser incompleto.</w:t>
      </w:r>
    </w:p>
    <w:p w:rsidR="00E25CBB" w:rsidRPr="00771368" w:rsidRDefault="00E25CBB" w:rsidP="00E25CBB">
      <w:pPr>
        <w:spacing w:line="129" w:lineRule="exact"/>
        <w:rPr>
          <w:sz w:val="20"/>
          <w:szCs w:val="20"/>
        </w:rPr>
      </w:pPr>
    </w:p>
    <w:p w:rsidR="00D24E61" w:rsidRDefault="00E25CBB" w:rsidP="00C107A5">
      <w:pPr>
        <w:spacing w:line="341" w:lineRule="auto"/>
        <w:ind w:right="20" w:firstLine="1131"/>
        <w:jc w:val="both"/>
        <w:rPr>
          <w:sz w:val="24"/>
          <w:szCs w:val="24"/>
        </w:rPr>
      </w:pPr>
      <w:r w:rsidRPr="00771368">
        <w:rPr>
          <w:sz w:val="24"/>
          <w:szCs w:val="24"/>
        </w:rPr>
        <w:t>Apreender a complexidade existente nas relações entre homens e mulheres, bem como as experiências, resistências, improvisações e iniciativas destas no processo sócio- histórico constituem algumas das finalidades científicas e políticas da História das Mulheres e dos estudos de gênero.</w:t>
      </w:r>
    </w:p>
    <w:p w:rsidR="00C107A5" w:rsidRPr="00771368" w:rsidRDefault="00C107A5" w:rsidP="00C107A5">
      <w:pPr>
        <w:spacing w:line="14" w:lineRule="exact"/>
        <w:rPr>
          <w:sz w:val="20"/>
          <w:szCs w:val="20"/>
        </w:rPr>
      </w:pPr>
    </w:p>
    <w:p w:rsidR="00C107A5" w:rsidRPr="00771368" w:rsidRDefault="00C107A5" w:rsidP="00C107A5">
      <w:pPr>
        <w:spacing w:line="304" w:lineRule="auto"/>
        <w:ind w:right="20" w:firstLine="720"/>
        <w:jc w:val="both"/>
        <w:rPr>
          <w:sz w:val="20"/>
          <w:szCs w:val="20"/>
        </w:rPr>
      </w:pPr>
      <w:r w:rsidRPr="00771368">
        <w:rPr>
          <w:sz w:val="24"/>
          <w:szCs w:val="24"/>
        </w:rPr>
        <w:t>O sistema patriarcal incorporou de tal forma estas “verdades”, que até hoje(com grandes, mas insuficientes progressos) as mulheres vivem as consequências destes conceitos equivocados.</w:t>
      </w:r>
    </w:p>
    <w:p w:rsidR="00C107A5" w:rsidRPr="00771368" w:rsidRDefault="00C107A5" w:rsidP="00C107A5">
      <w:pPr>
        <w:spacing w:line="89" w:lineRule="exact"/>
        <w:rPr>
          <w:sz w:val="20"/>
          <w:szCs w:val="20"/>
        </w:rPr>
      </w:pPr>
    </w:p>
    <w:p w:rsidR="00C107A5" w:rsidRPr="00771368" w:rsidRDefault="00C107A5" w:rsidP="00C107A5">
      <w:pPr>
        <w:spacing w:line="349" w:lineRule="auto"/>
        <w:ind w:right="20" w:firstLine="1131"/>
        <w:jc w:val="both"/>
        <w:rPr>
          <w:sz w:val="20"/>
          <w:szCs w:val="20"/>
        </w:rPr>
      </w:pPr>
      <w:r w:rsidRPr="00771368">
        <w:rPr>
          <w:sz w:val="24"/>
          <w:szCs w:val="24"/>
        </w:rPr>
        <w:t>Num forte momento de renovação do questionamento científico no interior dos diversos campos do conhecimento e segmentos da sociedade, a História passou a ser revisada, voltando-se para temáticas e grupos antes vistos como de inexpressiva importância. O desenvolvimento do estudo das minorias, nos novos campos como a história das mentalidades e a história cultural, contribuiu significativamente para que as mulheres fossem incorporadas nessa preocupação.</w:t>
      </w:r>
    </w:p>
    <w:p w:rsidR="00D24E61" w:rsidRPr="00771368" w:rsidRDefault="00D24E61">
      <w:pPr>
        <w:spacing w:line="347" w:lineRule="auto"/>
        <w:ind w:right="20" w:firstLine="1131"/>
        <w:jc w:val="both"/>
        <w:rPr>
          <w:sz w:val="20"/>
          <w:szCs w:val="20"/>
        </w:rPr>
      </w:pPr>
      <w:r w:rsidRPr="00771368">
        <w:rPr>
          <w:sz w:val="24"/>
          <w:szCs w:val="24"/>
        </w:rPr>
        <w:t>E é exatamente sobre a mulher que trataremos neste trabalho. Nosso objetivo é averiguar porque poucas mulheres estão inseridas nos cursos de graduação da área tecnológicas e como são as relações de genro nos espaços acadêmicos do Centro de Ciências Exatas e Tecnológicas (CCET) da Universidade Federal do Maranhão, reconhecido reduto masculino.</w:t>
      </w:r>
    </w:p>
    <w:p w:rsidR="00D24E61" w:rsidRPr="00771368" w:rsidRDefault="00D24E61">
      <w:pPr>
        <w:spacing w:line="80" w:lineRule="exact"/>
        <w:rPr>
          <w:sz w:val="20"/>
          <w:szCs w:val="20"/>
        </w:rPr>
      </w:pPr>
    </w:p>
    <w:p w:rsidR="00D24E61" w:rsidRPr="00771368" w:rsidRDefault="00D24E61">
      <w:pPr>
        <w:spacing w:line="333" w:lineRule="auto"/>
        <w:ind w:firstLine="1419"/>
        <w:jc w:val="both"/>
        <w:rPr>
          <w:sz w:val="20"/>
          <w:szCs w:val="20"/>
        </w:rPr>
      </w:pPr>
      <w:r w:rsidRPr="00771368">
        <w:rPr>
          <w:sz w:val="24"/>
          <w:szCs w:val="24"/>
        </w:rPr>
        <w:t>Nosso trabalho apoia-se nos pressupostos da História Cultural, no que tange à discussão dos gêneros, e da Historiografia da Educação, avaliando seu percurso através dos séculos, assunto sobre o qual discorreremos a seguir.</w:t>
      </w:r>
    </w:p>
    <w:p w:rsidR="00D24E61" w:rsidRPr="00771368" w:rsidRDefault="00D24E61">
      <w:pPr>
        <w:spacing w:line="200" w:lineRule="exact"/>
        <w:rPr>
          <w:sz w:val="20"/>
          <w:szCs w:val="20"/>
        </w:rPr>
      </w:pPr>
    </w:p>
    <w:p w:rsidR="00D24E61" w:rsidRPr="00771368" w:rsidRDefault="00D24E61">
      <w:pPr>
        <w:spacing w:line="255" w:lineRule="exact"/>
        <w:rPr>
          <w:sz w:val="20"/>
          <w:szCs w:val="20"/>
        </w:rPr>
      </w:pPr>
    </w:p>
    <w:p w:rsidR="00D24E61" w:rsidRPr="00771368" w:rsidRDefault="00D24E61">
      <w:pPr>
        <w:tabs>
          <w:tab w:val="left" w:pos="400"/>
        </w:tabs>
        <w:rPr>
          <w:sz w:val="20"/>
          <w:szCs w:val="20"/>
        </w:rPr>
      </w:pPr>
      <w:r w:rsidRPr="00771368">
        <w:rPr>
          <w:b/>
          <w:bCs/>
          <w:sz w:val="24"/>
          <w:szCs w:val="24"/>
        </w:rPr>
        <w:t>2</w:t>
      </w:r>
      <w:r w:rsidRPr="00771368">
        <w:rPr>
          <w:sz w:val="20"/>
          <w:szCs w:val="20"/>
        </w:rPr>
        <w:tab/>
      </w:r>
      <w:r w:rsidRPr="00771368">
        <w:rPr>
          <w:b/>
          <w:bCs/>
          <w:sz w:val="24"/>
          <w:szCs w:val="24"/>
        </w:rPr>
        <w:t>A PRESENÇA DA MULHER NA ESCOLA BRASILEIRA</w:t>
      </w:r>
    </w:p>
    <w:p w:rsidR="00D24E61" w:rsidRPr="00771368" w:rsidRDefault="00D24E61">
      <w:pPr>
        <w:spacing w:line="187" w:lineRule="exact"/>
        <w:rPr>
          <w:sz w:val="20"/>
          <w:szCs w:val="20"/>
        </w:rPr>
      </w:pPr>
    </w:p>
    <w:p w:rsidR="00D24E61" w:rsidRPr="00771368" w:rsidRDefault="00D24E61">
      <w:pPr>
        <w:spacing w:line="347" w:lineRule="auto"/>
        <w:ind w:right="20" w:firstLine="1131"/>
        <w:jc w:val="both"/>
        <w:rPr>
          <w:sz w:val="20"/>
          <w:szCs w:val="20"/>
        </w:rPr>
      </w:pPr>
      <w:r w:rsidRPr="00771368">
        <w:rPr>
          <w:sz w:val="24"/>
          <w:szCs w:val="24"/>
        </w:rPr>
        <w:t>O processo educativo em geral, e o escolar, em especifico, tem grande importância na naturalização de uma situação que é socialmente construída. Isto porque sabemos que a educação é um ato político, que o seu fazer não é inócuo. Ao contrario, é comprometido e serve para formar a personalidade das pessoas, transmitir valores, determinar proibições, enfim, modelar a identidade.</w:t>
      </w:r>
    </w:p>
    <w:p w:rsidR="00D24E61" w:rsidRPr="00771368" w:rsidRDefault="00D24E61">
      <w:pPr>
        <w:spacing w:line="80" w:lineRule="exact"/>
        <w:rPr>
          <w:sz w:val="20"/>
          <w:szCs w:val="20"/>
        </w:rPr>
      </w:pPr>
    </w:p>
    <w:p w:rsidR="00D24E61" w:rsidRPr="00771368" w:rsidRDefault="00D24E61">
      <w:pPr>
        <w:spacing w:line="355" w:lineRule="auto"/>
        <w:ind w:right="20" w:firstLine="1131"/>
        <w:jc w:val="both"/>
        <w:rPr>
          <w:sz w:val="20"/>
          <w:szCs w:val="20"/>
        </w:rPr>
      </w:pPr>
      <w:r w:rsidRPr="00771368">
        <w:rPr>
          <w:sz w:val="24"/>
          <w:szCs w:val="24"/>
        </w:rPr>
        <w:t>No Brasil, a necessidade de educação para a mulher só passa a ser sugerida a partir das últimas décadas do século XIX, sob o discurso da “ordem e progresso”, porém vinculada à modernização do diferenciado de homens e mulheres ao ensino superior. Os estudos evidenciam que, no Brasil, as mulheres começam tardiamente a ingressar na universidade. Somente a partir do final do século XIX, as mulheres brasileiras adquirem o direito de ingressar no ensino superior. O pioneirismo do acesso feminino à universidade cabe à médica Rita Lobato Velho Lopes, formada pela Faculdade de Medicina da Bahia, em 1887. O importante a notar que, é durante o século XIX e a primeira metade do século XX, a exclusão feminina dos cursos secundários inviabilizou a entrada de mulheres nos cursos superiores. Assim, a dualidade e a segmentação de gênero estiveram, desde sempre, presentes na gênese do sistema educacional brasileiro, sendo que as mulheres tinham menores taxas de alfabetização e tinham o acesso restringido aos graus mais elevado de instrução.</w:t>
      </w:r>
    </w:p>
    <w:p w:rsidR="00D24E61" w:rsidRPr="00771368" w:rsidRDefault="00D24E61">
      <w:pPr>
        <w:spacing w:line="74" w:lineRule="exact"/>
        <w:rPr>
          <w:sz w:val="20"/>
          <w:szCs w:val="20"/>
        </w:rPr>
      </w:pPr>
    </w:p>
    <w:p w:rsidR="00D24E61" w:rsidRPr="00771368" w:rsidRDefault="00D24E61">
      <w:pPr>
        <w:spacing w:line="347" w:lineRule="auto"/>
        <w:ind w:right="20" w:firstLine="1419"/>
        <w:jc w:val="both"/>
        <w:rPr>
          <w:sz w:val="20"/>
          <w:szCs w:val="20"/>
        </w:rPr>
      </w:pPr>
      <w:r w:rsidRPr="00771368">
        <w:rPr>
          <w:sz w:val="24"/>
          <w:szCs w:val="24"/>
        </w:rPr>
        <w:t>Conforme dados divulgados pelo Inep (Instituto Nacional de Estudos e Pesquisas Educacionais) mostram que, em 13 anos, o número de mulheres matriculadas em instituições de ensino superior cresceu 22% a mais que as matrículas de homens. No mesmo período, entre 1991 e 2004, o número de estudantes do sexo feminino cresceu 181% frente ao crescimento de 148% de estudantes masculinos.</w:t>
      </w:r>
    </w:p>
    <w:p w:rsidR="00D24E61" w:rsidRPr="00771368" w:rsidRDefault="00D24E61">
      <w:pPr>
        <w:spacing w:line="343" w:lineRule="auto"/>
        <w:ind w:right="20" w:firstLine="1131"/>
        <w:jc w:val="both"/>
        <w:rPr>
          <w:sz w:val="20"/>
          <w:szCs w:val="20"/>
        </w:rPr>
      </w:pPr>
      <w:r w:rsidRPr="00771368">
        <w:rPr>
          <w:sz w:val="24"/>
          <w:szCs w:val="24"/>
        </w:rPr>
        <w:t>Em 1991, a diferença de matrículas entre os dois sexos era de 132 mil, hoje ela já chega a 529 mil. Atualmente, cerca de 60% das matrículas nos cursos de graduação pertencem a mulheres. Isso em uma sociedade em que as mulheres representam cerca de 50,7% da população.</w:t>
      </w:r>
    </w:p>
    <w:p w:rsidR="00D24E61" w:rsidRPr="00771368" w:rsidRDefault="00D24E61">
      <w:pPr>
        <w:spacing w:line="79" w:lineRule="exact"/>
        <w:rPr>
          <w:sz w:val="20"/>
          <w:szCs w:val="20"/>
        </w:rPr>
      </w:pPr>
    </w:p>
    <w:p w:rsidR="00D24E61" w:rsidRPr="00771368" w:rsidRDefault="00D24E61">
      <w:pPr>
        <w:spacing w:line="351" w:lineRule="auto"/>
        <w:ind w:right="20" w:firstLine="1131"/>
        <w:jc w:val="both"/>
        <w:rPr>
          <w:sz w:val="20"/>
          <w:szCs w:val="20"/>
        </w:rPr>
      </w:pPr>
      <w:r w:rsidRPr="00771368">
        <w:rPr>
          <w:sz w:val="24"/>
          <w:szCs w:val="24"/>
        </w:rPr>
        <w:t>Se, por um lado, os números permitem inferir que, na educação superior, a barreira entre os sexos vem sendo rapidamente rompida, com igualdade de oportunidades para todos, os conflitos existente no espaço da academia e as preferências naturalizadas por certas áreas do conhecimento precisam ser analisadas com mais profundidade para identificar as valorações sociais que explicam esse fenômeno. Posso então afirmar que o maior número de mulheres na Educação Superior , não é indicador suficiente para garantir mudanças efetivas nas relações de gênero que são socialmente construídas entre os sexo,</w:t>
      </w:r>
    </w:p>
    <w:p w:rsidR="00D24E61" w:rsidRPr="00771368" w:rsidRDefault="00D24E61">
      <w:pPr>
        <w:spacing w:line="78" w:lineRule="exact"/>
        <w:rPr>
          <w:sz w:val="20"/>
          <w:szCs w:val="20"/>
        </w:rPr>
      </w:pPr>
    </w:p>
    <w:p w:rsidR="00D24E61" w:rsidRPr="00771368" w:rsidRDefault="00D24E61">
      <w:pPr>
        <w:spacing w:line="349" w:lineRule="auto"/>
        <w:ind w:firstLine="1131"/>
        <w:jc w:val="both"/>
        <w:rPr>
          <w:sz w:val="20"/>
          <w:szCs w:val="20"/>
        </w:rPr>
      </w:pPr>
      <w:r w:rsidRPr="00771368">
        <w:rPr>
          <w:sz w:val="24"/>
          <w:szCs w:val="24"/>
        </w:rPr>
        <w:t>No contexto atual a mulher tem conquistado alguns papéis antes apenas desempenhados pelo homem na sociedade, conseguiu direitos garantidos por lei que lhe asseguram a igualdade entre os sexos. Um desses direitos conquistados pela mulher foi o acesso à educação. Mas essa conquista só foi alcançada após árduas lutas, travadas durante muito tempo pelas mulheres. Entretanto, as mulheres, ainda hoje, têm desafios a serem vencidos dentro da Universidade.</w:t>
      </w:r>
    </w:p>
    <w:p w:rsidR="00D24E61" w:rsidRPr="00771368" w:rsidRDefault="00D24E61">
      <w:pPr>
        <w:spacing w:line="77" w:lineRule="exact"/>
        <w:rPr>
          <w:sz w:val="20"/>
          <w:szCs w:val="20"/>
        </w:rPr>
      </w:pPr>
    </w:p>
    <w:p w:rsidR="00D24E61" w:rsidRPr="00771368" w:rsidRDefault="00D24E61">
      <w:pPr>
        <w:spacing w:line="347" w:lineRule="auto"/>
        <w:ind w:right="20" w:firstLine="1131"/>
        <w:jc w:val="both"/>
        <w:rPr>
          <w:sz w:val="20"/>
          <w:szCs w:val="20"/>
        </w:rPr>
      </w:pPr>
      <w:r w:rsidRPr="00771368">
        <w:rPr>
          <w:sz w:val="24"/>
          <w:szCs w:val="24"/>
        </w:rPr>
        <w:t>A criação em 2003 da Secretaria Especial de Políticas para as Mulheres, com atuação em âmbito federal, amplia a possibilidade de mudanças concretas no campo da educação. Além disso, começaram a ser produzidos materiais didáticos específicos sobre gênero, etnia, orientação sexual e estimuladas investigações sobre as questões de gênero em diferentes áreas do conhecimento,</w:t>
      </w:r>
    </w:p>
    <w:p w:rsidR="00D24E61" w:rsidRPr="00771368" w:rsidRDefault="00D24E61">
      <w:pPr>
        <w:spacing w:line="72" w:lineRule="exact"/>
        <w:rPr>
          <w:sz w:val="20"/>
          <w:szCs w:val="20"/>
        </w:rPr>
      </w:pPr>
    </w:p>
    <w:p w:rsidR="00D24E61" w:rsidRPr="00771368" w:rsidRDefault="00D24E61">
      <w:pPr>
        <w:spacing w:line="350" w:lineRule="auto"/>
        <w:ind w:right="20" w:firstLine="1131"/>
        <w:jc w:val="both"/>
        <w:rPr>
          <w:sz w:val="20"/>
          <w:szCs w:val="20"/>
        </w:rPr>
      </w:pPr>
      <w:r w:rsidRPr="00771368">
        <w:rPr>
          <w:sz w:val="24"/>
          <w:szCs w:val="24"/>
        </w:rPr>
        <w:t>Entre as modificações sociais nas relações de gênero que ocorreram na sociedade brasileira nas últimas décadas, a inserção da mulher na Universidade tem se mostrado uma das mais significativas (ROMANELLI, 2007). Ao contrário do que aconteceu no passado da história das mulheres no Brasil, quando o acesso ao ensino superior lhes foi durante tanto tempo negado, atualmente as mulheres são maioria nesse segmento de ensino no país</w:t>
      </w:r>
    </w:p>
    <w:p w:rsidR="00D24E61" w:rsidRPr="00771368" w:rsidRDefault="00D24E61">
      <w:pPr>
        <w:spacing w:line="70" w:lineRule="exact"/>
        <w:rPr>
          <w:sz w:val="20"/>
          <w:szCs w:val="20"/>
        </w:rPr>
      </w:pPr>
    </w:p>
    <w:p w:rsidR="00D24E61" w:rsidRPr="00771368" w:rsidRDefault="00D24E61">
      <w:pPr>
        <w:spacing w:line="343" w:lineRule="auto"/>
        <w:ind w:right="20" w:firstLine="1131"/>
        <w:jc w:val="both"/>
        <w:rPr>
          <w:sz w:val="20"/>
          <w:szCs w:val="20"/>
        </w:rPr>
      </w:pPr>
      <w:r w:rsidRPr="00771368">
        <w:rPr>
          <w:sz w:val="24"/>
          <w:szCs w:val="24"/>
        </w:rPr>
        <w:t xml:space="preserve">Vale ressaltar que a literatura que trata do estudo de gênero faz uma diferenciação entre sexo e gênero. A palavra sexo vem do latim </w:t>
      </w:r>
      <w:r w:rsidRPr="00771368">
        <w:rPr>
          <w:i/>
          <w:iCs/>
          <w:sz w:val="24"/>
          <w:szCs w:val="24"/>
        </w:rPr>
        <w:t>sexus</w:t>
      </w:r>
      <w:r w:rsidRPr="00771368">
        <w:rPr>
          <w:sz w:val="24"/>
          <w:szCs w:val="24"/>
        </w:rPr>
        <w:t xml:space="preserve"> e refere-se à condição orgânica (anátomo-fisiológica), que distingue o macho da fêmea. Sua principal característica reside na estabilidade através do tempo.</w:t>
      </w:r>
    </w:p>
    <w:p w:rsidR="00D24E61" w:rsidRPr="00771368" w:rsidRDefault="00D24E61">
      <w:pPr>
        <w:spacing w:line="355" w:lineRule="auto"/>
        <w:ind w:firstLine="1131"/>
        <w:jc w:val="both"/>
        <w:rPr>
          <w:sz w:val="20"/>
          <w:szCs w:val="20"/>
        </w:rPr>
      </w:pPr>
      <w:r w:rsidRPr="00771368">
        <w:rPr>
          <w:sz w:val="24"/>
          <w:szCs w:val="24"/>
        </w:rPr>
        <w:t xml:space="preserve">A palavra gênero também tem origem latina e vem de </w:t>
      </w:r>
      <w:r w:rsidRPr="00771368">
        <w:rPr>
          <w:i/>
          <w:iCs/>
          <w:sz w:val="24"/>
          <w:szCs w:val="24"/>
        </w:rPr>
        <w:t>gnê, ou gen</w:t>
      </w:r>
      <w:r w:rsidRPr="00771368">
        <w:rPr>
          <w:sz w:val="24"/>
          <w:szCs w:val="24"/>
        </w:rPr>
        <w:t>, referindo-se à “origem, surgimento”. Hoje seu conceito está relacionado ao código de conduta que rege a organização social das relações entre homens e mulheres. Sua principal característica está na mutabilidade, isto é, na possibilidade de mudança entre homens e mulheres através do tempo. Não se trata de um atributo individual, mas que se adquire através da interação com os outros e contribui para reprodução da ordem social. Portanto, sexo se refere ao que é anatômico e fisiologicamente herdado geneticamente, e gênero seria o que diferencia homens e mulheres através de uma construção histórica, social e cultural.</w:t>
      </w: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ind w:left="1080"/>
        <w:rPr>
          <w:sz w:val="20"/>
          <w:szCs w:val="20"/>
        </w:rPr>
      </w:pPr>
      <w:r w:rsidRPr="00771368">
        <w:rPr>
          <w:sz w:val="24"/>
          <w:szCs w:val="24"/>
        </w:rPr>
        <w:t>Para Alambert (1986), a palavra gênero está:</w:t>
      </w:r>
    </w:p>
    <w:p w:rsidR="00D24E61" w:rsidRPr="00771368" w:rsidRDefault="00D24E61">
      <w:pPr>
        <w:spacing w:line="200" w:lineRule="exact"/>
        <w:rPr>
          <w:sz w:val="20"/>
          <w:szCs w:val="20"/>
        </w:rPr>
      </w:pPr>
    </w:p>
    <w:p w:rsidR="00D24E61" w:rsidRPr="00771368" w:rsidRDefault="00D24E61">
      <w:pPr>
        <w:spacing w:line="394" w:lineRule="exact"/>
        <w:rPr>
          <w:sz w:val="20"/>
          <w:szCs w:val="20"/>
        </w:rPr>
      </w:pPr>
    </w:p>
    <w:p w:rsidR="00D24E61" w:rsidRPr="00771368" w:rsidRDefault="00D24E61">
      <w:pPr>
        <w:spacing w:line="231" w:lineRule="auto"/>
        <w:ind w:left="2260" w:right="20"/>
        <w:jc w:val="both"/>
        <w:rPr>
          <w:sz w:val="20"/>
          <w:szCs w:val="20"/>
        </w:rPr>
      </w:pPr>
      <w:r w:rsidRPr="00771368">
        <w:rPr>
          <w:sz w:val="20"/>
          <w:szCs w:val="20"/>
        </w:rPr>
        <w:t>(...) cada vez mais presente no vocabulário das organizações e movimentos sociais. Trata-se de uma categoria de análise social que estuda as relações entre homens e mulheres na sociedade: relações construídas ao longo da história. Significa o sexo social que permanentemente construído, ou seja, "um conjunto de práticas, símbolos, representações, normas e valores sociais que as sociedades elaboram, continuamente, a partir de diferenças sexuais, anátomo-fisiológicas”.</w:t>
      </w:r>
    </w:p>
    <w:p w:rsidR="00D24E61" w:rsidRPr="00771368" w:rsidRDefault="00D24E61">
      <w:pPr>
        <w:spacing w:line="200" w:lineRule="exact"/>
        <w:rPr>
          <w:sz w:val="20"/>
          <w:szCs w:val="20"/>
        </w:rPr>
      </w:pPr>
    </w:p>
    <w:p w:rsidR="00D24E61" w:rsidRPr="00771368" w:rsidRDefault="00D24E61">
      <w:pPr>
        <w:spacing w:line="284" w:lineRule="exact"/>
        <w:rPr>
          <w:sz w:val="20"/>
          <w:szCs w:val="20"/>
        </w:rPr>
      </w:pPr>
    </w:p>
    <w:p w:rsidR="00D24E61" w:rsidRPr="00771368" w:rsidRDefault="00D24E61">
      <w:pPr>
        <w:spacing w:line="352" w:lineRule="auto"/>
        <w:ind w:right="20" w:firstLine="1131"/>
        <w:jc w:val="both"/>
        <w:rPr>
          <w:sz w:val="20"/>
          <w:szCs w:val="20"/>
        </w:rPr>
      </w:pPr>
      <w:r w:rsidRPr="00771368">
        <w:rPr>
          <w:sz w:val="24"/>
          <w:szCs w:val="24"/>
        </w:rPr>
        <w:t>No Brasil, os estudos do gênero surgem como consequências dos movimentos feministas das décadas de 1960 e 1970. A problemática de gênero dentro desses movimentos traz consigo a necessidade de explicações teóricas sobre a construção social do cotidiano feminino, contrapondo-se ao determinismo biológico e designa as relações entre os sexos e, mais do que isso, refere-se à criação exclusivamente social das identidades subjetivas e papéis atribuídos às mulheres e aos homens. Desse modo, gênero é uma categoria social imposta sobre um corpo sexuado e marcada por relações de poder (SCOTT, 1991).</w:t>
      </w:r>
    </w:p>
    <w:p w:rsidR="00D24E61" w:rsidRPr="00771368" w:rsidRDefault="00D24E61">
      <w:pPr>
        <w:spacing w:line="75" w:lineRule="exact"/>
        <w:rPr>
          <w:sz w:val="20"/>
          <w:szCs w:val="20"/>
        </w:rPr>
      </w:pPr>
    </w:p>
    <w:p w:rsidR="00D24E61" w:rsidRPr="00771368" w:rsidRDefault="00D24E61">
      <w:pPr>
        <w:spacing w:line="351" w:lineRule="auto"/>
        <w:ind w:right="20" w:firstLine="1131"/>
        <w:jc w:val="both"/>
        <w:rPr>
          <w:sz w:val="20"/>
          <w:szCs w:val="20"/>
        </w:rPr>
      </w:pPr>
      <w:r w:rsidRPr="00771368">
        <w:rPr>
          <w:sz w:val="24"/>
          <w:szCs w:val="24"/>
        </w:rPr>
        <w:t xml:space="preserve">Apesar de muito usado como sinônimo de mulheres, </w:t>
      </w:r>
      <w:r w:rsidRPr="00771368">
        <w:rPr>
          <w:i/>
          <w:iCs/>
          <w:sz w:val="24"/>
          <w:szCs w:val="24"/>
        </w:rPr>
        <w:t>gênero</w:t>
      </w:r>
      <w:r w:rsidRPr="00771368">
        <w:rPr>
          <w:sz w:val="24"/>
          <w:szCs w:val="24"/>
        </w:rPr>
        <w:t xml:space="preserve"> procura destacar o caráter social das relações entre os sexos, mostrando que a definição das identidades masculinas e femininas é produzida por símbolos culturalmente disponíveis e conceitos normativos que expressam os significados destes símbolos, presentes em doutrinas religiosas, educativas, científicas, políticas e jurídicas, nas instituições e na própria organização social. Além disso, o aspecto hierárquico nestas relações é a forma primária de dar significado às relações de poder na sociedade (</w:t>
      </w:r>
      <w:r w:rsidRPr="00771368">
        <w:rPr>
          <w:i/>
          <w:iCs/>
          <w:sz w:val="24"/>
          <w:szCs w:val="24"/>
        </w:rPr>
        <w:t>opus cit.</w:t>
      </w:r>
      <w:r w:rsidRPr="00771368">
        <w:rPr>
          <w:sz w:val="24"/>
          <w:szCs w:val="24"/>
        </w:rPr>
        <w:t>, 1991).</w:t>
      </w:r>
    </w:p>
    <w:p w:rsidR="00D24E61" w:rsidRPr="00771368" w:rsidRDefault="00D24E61">
      <w:pPr>
        <w:spacing w:line="70" w:lineRule="exact"/>
        <w:rPr>
          <w:sz w:val="20"/>
          <w:szCs w:val="20"/>
        </w:rPr>
      </w:pPr>
    </w:p>
    <w:p w:rsidR="00D24E61" w:rsidRPr="00771368" w:rsidRDefault="00D24E61" w:rsidP="002E3256">
      <w:pPr>
        <w:spacing w:line="334" w:lineRule="auto"/>
        <w:ind w:right="20" w:firstLine="1131"/>
        <w:jc w:val="both"/>
        <w:rPr>
          <w:sz w:val="20"/>
          <w:szCs w:val="20"/>
        </w:rPr>
      </w:pPr>
      <w:r w:rsidRPr="00771368">
        <w:rPr>
          <w:sz w:val="24"/>
          <w:szCs w:val="24"/>
        </w:rPr>
        <w:t>Dessa forma, a categoria gênero indica “construções culturais”, ao designar a esfera da cultura como origem dos papéis adequados para homens e mulheres. Estas relações de poder supõem transformações constantes, pois em qualquer sociedade</w:t>
      </w:r>
      <w:r w:rsidR="002E3256">
        <w:rPr>
          <w:sz w:val="24"/>
          <w:szCs w:val="24"/>
        </w:rPr>
        <w:t xml:space="preserve"> </w:t>
      </w:r>
      <w:r w:rsidRPr="00771368">
        <w:rPr>
          <w:sz w:val="24"/>
          <w:szCs w:val="24"/>
        </w:rPr>
        <w:t>constituída por sujeitos diferentes, mas que buscam serem politicamente iguais, suas múltiplas diferenças talvez possam ser motivo de solidariedades, disputas, trocas e negociações (LOURO, 2007).</w:t>
      </w:r>
    </w:p>
    <w:p w:rsidR="00D24E61" w:rsidRPr="00771368" w:rsidRDefault="00D24E61">
      <w:pPr>
        <w:spacing w:line="97" w:lineRule="exact"/>
        <w:rPr>
          <w:sz w:val="20"/>
          <w:szCs w:val="20"/>
        </w:rPr>
      </w:pPr>
    </w:p>
    <w:p w:rsidR="00D24E61" w:rsidRPr="00771368" w:rsidRDefault="00D24E61">
      <w:pPr>
        <w:spacing w:line="352" w:lineRule="auto"/>
        <w:ind w:right="20" w:firstLine="1131"/>
        <w:jc w:val="both"/>
        <w:rPr>
          <w:sz w:val="20"/>
          <w:szCs w:val="20"/>
        </w:rPr>
      </w:pPr>
      <w:r w:rsidRPr="00771368">
        <w:rPr>
          <w:sz w:val="24"/>
          <w:szCs w:val="24"/>
        </w:rPr>
        <w:t>Compreendemos, assim, que, como categoria analítica ou como processo social, o gênero está sempre relacionado por e através de partes interdependentes (o feminino e o masculino). Estas relações, quando acontecem dentro dos espaços sociais, interiorizam interesses, como jogos de poder, conflitos e hierarquia. Partindo desse entendimento, concebemos gênero como a forma pela qual a pessoa é representada na sociedade, por isso, a formação da identidade de gênero se processa através das relações entre o corpo e o social, na medida em que, exercendo papéis, mulheres e homens vão sendo investidos socialmente de diferentes graus de valorização e juízo.</w:t>
      </w:r>
    </w:p>
    <w:p w:rsidR="00D24E61" w:rsidRPr="00771368" w:rsidRDefault="00D24E61">
      <w:pPr>
        <w:spacing w:line="75" w:lineRule="exact"/>
        <w:rPr>
          <w:sz w:val="20"/>
          <w:szCs w:val="20"/>
        </w:rPr>
      </w:pPr>
    </w:p>
    <w:p w:rsidR="00D24E61" w:rsidRPr="00771368" w:rsidRDefault="00D24E61">
      <w:pPr>
        <w:spacing w:line="349" w:lineRule="auto"/>
        <w:ind w:right="20" w:firstLine="1131"/>
        <w:jc w:val="both"/>
        <w:rPr>
          <w:sz w:val="20"/>
          <w:szCs w:val="20"/>
        </w:rPr>
      </w:pPr>
      <w:r w:rsidRPr="00771368">
        <w:rPr>
          <w:sz w:val="24"/>
          <w:szCs w:val="24"/>
        </w:rPr>
        <w:t>A eficácia deste poder simbólico encontra-se no contínuo e duradouro trabalho realizado pela sociedade, pela igreja, pela família, pelos pais e pelos professores quando orientam, desde muito cedo, meninos e meninas a desenvolverem atividades sexualmente diferenciadas. Essas orientações encontram-se embrenhadas nos, aparentemente insignificantes, atos cotidianos (principalmente no espaço escolar e doméstico) que contribuem para fabricar inclinações e aptidões.</w:t>
      </w:r>
    </w:p>
    <w:p w:rsidR="00D24E61" w:rsidRPr="00771368" w:rsidRDefault="00D24E61">
      <w:pPr>
        <w:spacing w:line="77" w:lineRule="exact"/>
        <w:rPr>
          <w:sz w:val="20"/>
          <w:szCs w:val="20"/>
        </w:rPr>
      </w:pPr>
    </w:p>
    <w:p w:rsidR="00D24E61" w:rsidRPr="00771368" w:rsidRDefault="00D24E61">
      <w:pPr>
        <w:spacing w:line="347" w:lineRule="auto"/>
        <w:ind w:right="20" w:firstLine="1131"/>
        <w:jc w:val="both"/>
        <w:rPr>
          <w:sz w:val="20"/>
          <w:szCs w:val="20"/>
        </w:rPr>
      </w:pPr>
      <w:r w:rsidRPr="00771368">
        <w:rPr>
          <w:sz w:val="24"/>
          <w:szCs w:val="24"/>
        </w:rPr>
        <w:t>Para Britzman (1999), as relações de poder existentes entre homens e mulheres possibilitam desigualdades como macro social nas relações de gênero. Nessa suposta relação dominação/submissão em que espaços são abertos para resistência e transformação, elas só podem ter conotação de poder, porque pressupõem sujeitos livres e possibilidades de resistência, reação e transformação, a fim de escapar da sujeição do outro.</w:t>
      </w:r>
    </w:p>
    <w:p w:rsidR="00D24E61" w:rsidRPr="00771368" w:rsidRDefault="00D24E61">
      <w:pPr>
        <w:spacing w:line="72" w:lineRule="exact"/>
        <w:rPr>
          <w:sz w:val="20"/>
          <w:szCs w:val="20"/>
        </w:rPr>
      </w:pPr>
    </w:p>
    <w:p w:rsidR="00D24E61" w:rsidRPr="00771368" w:rsidRDefault="00D24E61">
      <w:pPr>
        <w:spacing w:line="351" w:lineRule="auto"/>
        <w:ind w:right="20" w:firstLine="1131"/>
        <w:jc w:val="both"/>
        <w:rPr>
          <w:sz w:val="20"/>
          <w:szCs w:val="20"/>
        </w:rPr>
      </w:pPr>
      <w:r w:rsidRPr="00771368">
        <w:rPr>
          <w:sz w:val="24"/>
          <w:szCs w:val="24"/>
        </w:rPr>
        <w:t>Para Foucault (1989), força e poder são correlações em constantes movimentos, que se aglutinam, se separam se enfrentam com ideias diferentes ou formam sistema mais amplo. Numa retrospectiva histórica, os direitos políticos e a cidadania da mulher têm, cada vez mais, se efetivado na medida em que a mulher adquire poder social, sustentado pela educação e capacitação, permitindo-lhe usufruir de seus direitos. Portanto, urge que, cada vez mais, deite-se um novo olhar sobre as relações de gênero e sobre as formas de se possibilitar às mulheres esse acesso ao poder.</w:t>
      </w:r>
    </w:p>
    <w:p w:rsidR="00D24E61" w:rsidRPr="00771368" w:rsidRDefault="00D24E61">
      <w:pPr>
        <w:spacing w:line="77" w:lineRule="exact"/>
        <w:rPr>
          <w:sz w:val="20"/>
          <w:szCs w:val="20"/>
        </w:rPr>
      </w:pPr>
    </w:p>
    <w:p w:rsidR="00D24E61" w:rsidRPr="00771368" w:rsidRDefault="00D24E61">
      <w:pPr>
        <w:spacing w:line="341" w:lineRule="auto"/>
        <w:ind w:right="20" w:firstLine="1131"/>
        <w:jc w:val="both"/>
        <w:rPr>
          <w:sz w:val="20"/>
          <w:szCs w:val="20"/>
        </w:rPr>
      </w:pPr>
      <w:r w:rsidRPr="00771368">
        <w:rPr>
          <w:sz w:val="24"/>
          <w:szCs w:val="24"/>
        </w:rPr>
        <w:t xml:space="preserve">A categoria </w:t>
      </w:r>
      <w:r w:rsidRPr="00771368">
        <w:rPr>
          <w:i/>
          <w:iCs/>
          <w:sz w:val="24"/>
          <w:szCs w:val="24"/>
        </w:rPr>
        <w:t>relações de gênero,</w:t>
      </w:r>
      <w:r w:rsidRPr="00771368">
        <w:rPr>
          <w:sz w:val="24"/>
          <w:szCs w:val="24"/>
        </w:rPr>
        <w:t xml:space="preserve"> vista como um processo de construção social, guiada através de discursos e práticas femininas e masculinas, revela em seu âmago um conteúdo sobretudo de diferenças marcantes que impõe limites e privilégios respectivos. Estas diferenças são evidenciadas no interior das organizações em geral e especificamente</w:t>
      </w:r>
    </w:p>
    <w:p w:rsidR="00D24E61" w:rsidRPr="00771368" w:rsidRDefault="00D24E61">
      <w:pPr>
        <w:spacing w:line="343" w:lineRule="auto"/>
        <w:ind w:right="20"/>
        <w:jc w:val="both"/>
        <w:rPr>
          <w:sz w:val="20"/>
          <w:szCs w:val="20"/>
        </w:rPr>
      </w:pPr>
      <w:r w:rsidRPr="00771368">
        <w:rPr>
          <w:sz w:val="24"/>
          <w:szCs w:val="24"/>
        </w:rPr>
        <w:t>nas educacionais. A ausência durante muito tempo das mulheres na educação acarretou sua invisibilidade nesta área, e a análise das relações de gênero só é possível considerando a condição global das pessoas e o movimento histórico e cultural em que ocorre (LOURO, 2007).</w:t>
      </w:r>
    </w:p>
    <w:p w:rsidR="00D24E61" w:rsidRPr="00771368" w:rsidRDefault="00D24E61">
      <w:pPr>
        <w:spacing w:line="79" w:lineRule="exact"/>
        <w:rPr>
          <w:sz w:val="20"/>
          <w:szCs w:val="20"/>
        </w:rPr>
      </w:pPr>
    </w:p>
    <w:p w:rsidR="00D24E61" w:rsidRPr="00771368" w:rsidRDefault="00D24E61">
      <w:pPr>
        <w:spacing w:line="347" w:lineRule="auto"/>
        <w:ind w:right="20" w:firstLine="1131"/>
        <w:jc w:val="both"/>
        <w:rPr>
          <w:sz w:val="20"/>
          <w:szCs w:val="20"/>
        </w:rPr>
      </w:pPr>
      <w:r w:rsidRPr="00771368">
        <w:rPr>
          <w:sz w:val="24"/>
          <w:szCs w:val="24"/>
        </w:rPr>
        <w:t>Para investigar como se dão as relações de gênero nos espaços acadêmicos do Centro de Ciências Exatas e Tecnologia -CCET, espaço do nosso estudo, é preciso compreender que o ensino superior detém poder de atração e expansão, que se voltam às pressões sociais, com fim de fortalecer e ou perpetuar o poder dominante. Sobre esse assunto discorreremos a seguir.</w:t>
      </w:r>
    </w:p>
    <w:p w:rsidR="00D24E61" w:rsidRPr="00771368" w:rsidRDefault="00D24E61">
      <w:pPr>
        <w:spacing w:line="200" w:lineRule="exact"/>
        <w:rPr>
          <w:sz w:val="20"/>
          <w:szCs w:val="20"/>
        </w:rPr>
      </w:pPr>
    </w:p>
    <w:p w:rsidR="00D24E61" w:rsidRPr="00771368" w:rsidRDefault="00D24E61">
      <w:pPr>
        <w:spacing w:line="237" w:lineRule="exact"/>
        <w:rPr>
          <w:sz w:val="20"/>
          <w:szCs w:val="20"/>
        </w:rPr>
      </w:pPr>
    </w:p>
    <w:p w:rsidR="00D24E61" w:rsidRPr="00771368" w:rsidRDefault="00D24E61">
      <w:pPr>
        <w:rPr>
          <w:sz w:val="20"/>
          <w:szCs w:val="20"/>
        </w:rPr>
      </w:pPr>
      <w:r w:rsidRPr="00771368">
        <w:rPr>
          <w:b/>
          <w:bCs/>
          <w:sz w:val="24"/>
          <w:szCs w:val="24"/>
        </w:rPr>
        <w:t>3 AS RELAÇÕES DE GÊNERO NO ENSINO SUPERIOR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43" w:lineRule="auto"/>
        <w:ind w:right="20" w:firstLine="1131"/>
        <w:jc w:val="both"/>
        <w:rPr>
          <w:sz w:val="20"/>
          <w:szCs w:val="20"/>
        </w:rPr>
      </w:pPr>
      <w:r w:rsidRPr="00771368">
        <w:rPr>
          <w:sz w:val="24"/>
          <w:szCs w:val="24"/>
        </w:rPr>
        <w:t>A mulher, tanto ao longo da história como nos dias atuais, viu-se de várias maneiras preterida em relação ao homem. Na Grécia Antiga, filósofos como Aristóteles e Platão pregavam a inferioridade da mulher, dizendo que a mesma era um ser incompleto, sem capacidade para o raciocínio, que servia apenas para a procriação.</w:t>
      </w:r>
    </w:p>
    <w:p w:rsidR="00D24E61" w:rsidRPr="00771368" w:rsidRDefault="00D24E61">
      <w:pPr>
        <w:spacing w:line="79" w:lineRule="exact"/>
        <w:rPr>
          <w:sz w:val="20"/>
          <w:szCs w:val="20"/>
        </w:rPr>
      </w:pPr>
    </w:p>
    <w:p w:rsidR="00D24E61" w:rsidRPr="00771368" w:rsidRDefault="00D24E61">
      <w:pPr>
        <w:spacing w:line="350" w:lineRule="auto"/>
        <w:ind w:firstLine="1131"/>
        <w:jc w:val="both"/>
        <w:rPr>
          <w:sz w:val="20"/>
          <w:szCs w:val="20"/>
        </w:rPr>
      </w:pPr>
      <w:r w:rsidRPr="00771368">
        <w:rPr>
          <w:sz w:val="24"/>
          <w:szCs w:val="24"/>
        </w:rPr>
        <w:t>Na Idade Média, padres da igreja ajudaram a cristalizar estes princípios, como Santo Agostinho, que fez parte daqueles que atribuíam a culpa às mulheres, por serem um instrumento do demônio e atração do desejo. São Tomas de Aquino ajudou a firmar o principio aristotélico, pregando que a mulher era um ser incompleto. O sistema patriarcal incorporou de tal forma estas “verdades”, que até hoje (com grandes, mas insuficientes progressos) as mulheres vivem as consequências destes conceitos equivocados.</w:t>
      </w:r>
    </w:p>
    <w:p w:rsidR="00D24E61" w:rsidRPr="00771368" w:rsidRDefault="00D24E61">
      <w:pPr>
        <w:spacing w:line="70" w:lineRule="exact"/>
        <w:rPr>
          <w:sz w:val="20"/>
          <w:szCs w:val="20"/>
        </w:rPr>
      </w:pPr>
    </w:p>
    <w:p w:rsidR="00D24E61" w:rsidRPr="00771368" w:rsidRDefault="00D24E61">
      <w:pPr>
        <w:spacing w:line="353" w:lineRule="auto"/>
        <w:ind w:right="20" w:firstLine="1131"/>
        <w:jc w:val="both"/>
        <w:rPr>
          <w:sz w:val="20"/>
          <w:szCs w:val="20"/>
        </w:rPr>
      </w:pPr>
      <w:r w:rsidRPr="00771368">
        <w:rPr>
          <w:sz w:val="24"/>
          <w:szCs w:val="24"/>
        </w:rPr>
        <w:t>Na história das civilizações, várias foram as manifestações com relação à educação das mulheres, mas essa preocupação foi voltada para a educação doméstica. As mulheres eram ensinadas a bordar e costurar. Algumas tinham também aulas de etiquetas e às mulheres de famílias com maior poder econômico era ensinada também outra língua, principalmente o francês. Bem diferente da educação que era dada aos homens, que desde cedo eram ensinados a ler, a escrever, fazendo com que, diferentemente das mulheres, pudessem ter acesso com enorme facilidade ao ensino superior. Embora houvesse essa preocupação com a educação das mulheres, o que lhes era ensinado era dentro de suas casas.</w:t>
      </w:r>
    </w:p>
    <w:p w:rsidR="00D24E61" w:rsidRPr="00771368" w:rsidRDefault="00D24E61">
      <w:pPr>
        <w:spacing w:line="78" w:lineRule="exact"/>
        <w:rPr>
          <w:sz w:val="20"/>
          <w:szCs w:val="20"/>
        </w:rPr>
      </w:pPr>
    </w:p>
    <w:p w:rsidR="00D24E61" w:rsidRPr="00771368" w:rsidRDefault="00D24E61">
      <w:pPr>
        <w:spacing w:line="304" w:lineRule="auto"/>
        <w:ind w:right="20" w:firstLine="1131"/>
        <w:jc w:val="both"/>
        <w:rPr>
          <w:sz w:val="20"/>
          <w:szCs w:val="20"/>
        </w:rPr>
      </w:pPr>
      <w:r w:rsidRPr="00771368">
        <w:rPr>
          <w:sz w:val="24"/>
          <w:szCs w:val="24"/>
        </w:rPr>
        <w:t>Houve uma grande demora em que as mulheres pudessem ter acesso ao ensino regular em uma escola formal. Convém ressaltar que o objetivo do ensino das mulheres</w:t>
      </w:r>
    </w:p>
    <w:p w:rsidR="00D24E61" w:rsidRPr="00771368" w:rsidRDefault="00D24E61">
      <w:pPr>
        <w:spacing w:line="347" w:lineRule="auto"/>
        <w:ind w:right="20"/>
        <w:jc w:val="both"/>
        <w:rPr>
          <w:sz w:val="20"/>
          <w:szCs w:val="20"/>
        </w:rPr>
      </w:pPr>
      <w:r w:rsidRPr="00771368">
        <w:rPr>
          <w:sz w:val="24"/>
          <w:szCs w:val="24"/>
        </w:rPr>
        <w:t>era totalmente diferente do objetivo do ensino dos homens. Os homens eram educados para serem principalmente advogados e médicos, enquanto que às mulheres eram ensinadas apenas as prendas domésticas importantes para encontrarem o que lhes era destinado: o casamento. As mulheres eram educadas para se tornarem donas de casa, mães e esposas dedicadas aos seus maridos.</w:t>
      </w:r>
    </w:p>
    <w:p w:rsidR="00D24E61" w:rsidRPr="00771368" w:rsidRDefault="00D24E61">
      <w:pPr>
        <w:spacing w:line="80" w:lineRule="exact"/>
        <w:rPr>
          <w:sz w:val="20"/>
          <w:szCs w:val="20"/>
        </w:rPr>
      </w:pPr>
    </w:p>
    <w:p w:rsidR="00D24E61" w:rsidRPr="00771368" w:rsidRDefault="00D24E61">
      <w:pPr>
        <w:spacing w:line="341" w:lineRule="auto"/>
        <w:ind w:right="20" w:firstLine="1131"/>
        <w:jc w:val="both"/>
        <w:rPr>
          <w:sz w:val="20"/>
          <w:szCs w:val="20"/>
        </w:rPr>
      </w:pPr>
      <w:r w:rsidRPr="00771368">
        <w:rPr>
          <w:sz w:val="24"/>
          <w:szCs w:val="24"/>
        </w:rPr>
        <w:t>Na história das mulheres, o saber, durante muito tempo, foi visto como algo oposto à feminilidade. O acesso das mulheres ao conhecimento, especialmente à leitura e à escrita, foi impulsionado pela Reforma Protestante, à medida que ler a Bíblia era uma obrigação de cada indivíduo.</w:t>
      </w:r>
    </w:p>
    <w:p w:rsidR="00D24E61" w:rsidRPr="00771368" w:rsidRDefault="00D24E61">
      <w:pPr>
        <w:spacing w:line="88" w:lineRule="exact"/>
        <w:rPr>
          <w:sz w:val="20"/>
          <w:szCs w:val="20"/>
        </w:rPr>
      </w:pPr>
    </w:p>
    <w:p w:rsidR="00D24E61" w:rsidRPr="00771368" w:rsidRDefault="00D24E61">
      <w:pPr>
        <w:spacing w:line="334" w:lineRule="auto"/>
        <w:ind w:right="20" w:firstLine="1131"/>
        <w:jc w:val="both"/>
        <w:rPr>
          <w:sz w:val="20"/>
          <w:szCs w:val="20"/>
        </w:rPr>
      </w:pPr>
      <w:r w:rsidRPr="00771368">
        <w:rPr>
          <w:sz w:val="24"/>
          <w:szCs w:val="24"/>
        </w:rPr>
        <w:t>Entretanto, a elas foi concedido um saber incompleto e sob vigilância; o temor do livre pensamento e o perigo que representava uma mulher culta à ordem socialmente estabelecida fundamentou os princípios de uma formação para educá-las e não instruí-las.</w:t>
      </w:r>
    </w:p>
    <w:p w:rsidR="00D24E61" w:rsidRPr="00771368" w:rsidRDefault="00D24E61">
      <w:pPr>
        <w:spacing w:line="87" w:lineRule="exact"/>
        <w:rPr>
          <w:sz w:val="20"/>
          <w:szCs w:val="20"/>
        </w:rPr>
      </w:pPr>
    </w:p>
    <w:p w:rsidR="00D24E61" w:rsidRPr="00771368" w:rsidRDefault="00D24E61">
      <w:pPr>
        <w:spacing w:line="343" w:lineRule="auto"/>
        <w:ind w:right="20" w:firstLine="1131"/>
        <w:jc w:val="both"/>
        <w:rPr>
          <w:sz w:val="20"/>
          <w:szCs w:val="20"/>
        </w:rPr>
      </w:pPr>
      <w:r w:rsidRPr="00771368">
        <w:rPr>
          <w:sz w:val="24"/>
          <w:szCs w:val="24"/>
        </w:rPr>
        <w:t>O ingresso no mundo acadêmico é, sem duvida, atravessado por diversas formas de discriminação e manifestação que contribuem para a formatação da trajetória universitária para homens e mulheres, assim como uma participação desigual no próprio exercício do poder acadêmico.</w:t>
      </w:r>
    </w:p>
    <w:p w:rsidR="00D24E61" w:rsidRPr="00771368" w:rsidRDefault="00D24E61">
      <w:pPr>
        <w:spacing w:line="79" w:lineRule="exact"/>
        <w:rPr>
          <w:sz w:val="20"/>
          <w:szCs w:val="20"/>
        </w:rPr>
      </w:pPr>
    </w:p>
    <w:p w:rsidR="00D24E61" w:rsidRPr="00771368" w:rsidRDefault="00D24E61">
      <w:pPr>
        <w:spacing w:line="343" w:lineRule="auto"/>
        <w:ind w:right="20" w:firstLine="1131"/>
        <w:jc w:val="both"/>
        <w:rPr>
          <w:sz w:val="20"/>
          <w:szCs w:val="20"/>
        </w:rPr>
      </w:pPr>
      <w:r w:rsidRPr="00771368">
        <w:rPr>
          <w:sz w:val="24"/>
          <w:szCs w:val="24"/>
        </w:rPr>
        <w:t>O processo de apropriação e transformação do conhecimento científico por parte das mulheres tem implicado a construção de trajetórias individuais e coletivas, transgredindo limites, fazendo incursões em territórios proibidos, transitando por espaços quase intransponíveis e rompendo antigas fronteiras entre questões privadas e públicas.</w:t>
      </w:r>
    </w:p>
    <w:p w:rsidR="00D24E61" w:rsidRPr="00771368" w:rsidRDefault="00D24E61">
      <w:pPr>
        <w:spacing w:line="79" w:lineRule="exact"/>
        <w:rPr>
          <w:sz w:val="20"/>
          <w:szCs w:val="20"/>
        </w:rPr>
      </w:pPr>
    </w:p>
    <w:p w:rsidR="00D24E61" w:rsidRPr="00771368" w:rsidRDefault="00D24E61">
      <w:pPr>
        <w:spacing w:line="354" w:lineRule="auto"/>
        <w:ind w:right="20" w:firstLine="1131"/>
        <w:jc w:val="both"/>
        <w:rPr>
          <w:sz w:val="20"/>
          <w:szCs w:val="20"/>
        </w:rPr>
      </w:pPr>
      <w:r w:rsidRPr="00771368">
        <w:rPr>
          <w:sz w:val="24"/>
          <w:szCs w:val="24"/>
        </w:rPr>
        <w:t>As instituições de ensino têm papel importante na formação e construção da identidade de homens e mulheres. Em alguns momentos, o espaço escolar age de forma a reforçar as diferenças estabelecidas socialmente entre homens e mulheres; em outros, possibilita que novas relações sejam construídas. Portanto, para abordar as relações de gênero no ensino superior é preciso primeiro definir sua estabilidade através do tempo, a maneira como se constroem as identidades femininas e masculinas, e como se desenvolvem os conceitos e construções simbólicos do gênero e sua estrutura social. É necessário destacar com clareza o marco das relações que se estabelecem entre homens e mulheres dentro de cada sexo, incluindo a questão do gênero nos estudos dos conflitos sociais.</w:t>
      </w:r>
    </w:p>
    <w:p w:rsidR="00D24E61" w:rsidRPr="00771368" w:rsidRDefault="00D24E61">
      <w:pPr>
        <w:spacing w:line="71" w:lineRule="exact"/>
        <w:rPr>
          <w:sz w:val="20"/>
          <w:szCs w:val="20"/>
        </w:rPr>
      </w:pPr>
    </w:p>
    <w:p w:rsidR="00D24E61" w:rsidRPr="00771368" w:rsidRDefault="00D24E61" w:rsidP="002E3256">
      <w:pPr>
        <w:spacing w:line="310" w:lineRule="auto"/>
        <w:ind w:right="20" w:firstLine="1131"/>
        <w:jc w:val="both"/>
        <w:rPr>
          <w:sz w:val="20"/>
          <w:szCs w:val="20"/>
        </w:rPr>
      </w:pPr>
      <w:r w:rsidRPr="00771368">
        <w:rPr>
          <w:sz w:val="24"/>
          <w:szCs w:val="24"/>
        </w:rPr>
        <w:t>Sonnet (1991), ao tecer considerações em torno da historicidade da educação das mulheres no contexto francês, indica que isto passou a ser uma prioridade para os</w:t>
      </w:r>
      <w:r w:rsidR="002E3256">
        <w:rPr>
          <w:sz w:val="24"/>
          <w:szCs w:val="24"/>
        </w:rPr>
        <w:t xml:space="preserve"> </w:t>
      </w:r>
      <w:r w:rsidRPr="00771368">
        <w:rPr>
          <w:sz w:val="24"/>
          <w:szCs w:val="24"/>
        </w:rPr>
        <w:t>reformadores católicos a partir do Concílio de Trento (1545-1563), enquanto elemento fundamental no processo de conquista religiosa e moral da sociedade.</w:t>
      </w:r>
    </w:p>
    <w:p w:rsidR="00D24E61" w:rsidRPr="00771368" w:rsidRDefault="00D24E61">
      <w:pPr>
        <w:spacing w:line="115" w:lineRule="exact"/>
        <w:rPr>
          <w:sz w:val="20"/>
          <w:szCs w:val="20"/>
        </w:rPr>
      </w:pPr>
    </w:p>
    <w:p w:rsidR="00D24E61" w:rsidRPr="00771368" w:rsidRDefault="00D24E61">
      <w:pPr>
        <w:spacing w:line="350" w:lineRule="auto"/>
        <w:ind w:right="20" w:firstLine="1131"/>
        <w:jc w:val="both"/>
        <w:rPr>
          <w:sz w:val="20"/>
          <w:szCs w:val="20"/>
        </w:rPr>
      </w:pPr>
      <w:r w:rsidRPr="00771368">
        <w:rPr>
          <w:sz w:val="24"/>
          <w:szCs w:val="24"/>
        </w:rPr>
        <w:t>Depois do lar, o convento, a escola elementar ou colégio interno, confessional e laico foram algumas das alternativas para a educação das meninas, dependendo da classe social. O ensino era sacrificado e secundarizado em benefício do trabalho com as agulhas e exercícios de piedade, principalmente para a estudante/operária da classe popular, que desde cedo ajudava nas despesas de casa com o aprendizado do ofício. O que para os irmãos era aprofundado, para elas só se permitia o acesso de alguns conhecimentos:</w:t>
      </w:r>
    </w:p>
    <w:p w:rsidR="00D24E61" w:rsidRPr="00771368" w:rsidRDefault="00D24E61">
      <w:pPr>
        <w:spacing w:line="200" w:lineRule="exact"/>
        <w:rPr>
          <w:sz w:val="20"/>
          <w:szCs w:val="20"/>
        </w:rPr>
      </w:pPr>
    </w:p>
    <w:p w:rsidR="00D24E61" w:rsidRPr="00771368" w:rsidRDefault="00D24E61">
      <w:pPr>
        <w:spacing w:line="270" w:lineRule="exact"/>
        <w:rPr>
          <w:sz w:val="20"/>
          <w:szCs w:val="20"/>
        </w:rPr>
      </w:pPr>
    </w:p>
    <w:p w:rsidR="00D24E61" w:rsidRPr="00771368" w:rsidRDefault="00D24E61">
      <w:pPr>
        <w:spacing w:line="231" w:lineRule="auto"/>
        <w:ind w:left="2260" w:right="20"/>
        <w:jc w:val="both"/>
        <w:rPr>
          <w:sz w:val="20"/>
          <w:szCs w:val="20"/>
        </w:rPr>
      </w:pPr>
      <w:r w:rsidRPr="00771368">
        <w:rPr>
          <w:sz w:val="20"/>
          <w:szCs w:val="20"/>
        </w:rPr>
        <w:t>Tem-se sempre medo de ensinar demasiado às raparigas, de as fazer perderem-se na vaidade dos conhecimentos supérfluos. Iniciações rápidas, um material escolar limitado ao indispensável e uma pedagogia que tem mais a ver com a tolerância para com as raparigas do que com um verdadeiro acolhimento são testemunho da enorme suspeita que continua a pesar sobre as mulheres (LOURO, 2007 p. 43)</w:t>
      </w:r>
    </w:p>
    <w:p w:rsidR="00D24E61" w:rsidRPr="00771368" w:rsidRDefault="00D24E61">
      <w:pPr>
        <w:spacing w:line="200" w:lineRule="exact"/>
        <w:rPr>
          <w:sz w:val="20"/>
          <w:szCs w:val="20"/>
        </w:rPr>
      </w:pPr>
    </w:p>
    <w:p w:rsidR="00D24E61" w:rsidRPr="00771368" w:rsidRDefault="00D24E61">
      <w:pPr>
        <w:spacing w:line="284" w:lineRule="exact"/>
        <w:rPr>
          <w:sz w:val="20"/>
          <w:szCs w:val="20"/>
        </w:rPr>
      </w:pPr>
    </w:p>
    <w:p w:rsidR="00D24E61" w:rsidRPr="00771368" w:rsidRDefault="00D24E61">
      <w:pPr>
        <w:spacing w:line="347" w:lineRule="auto"/>
        <w:ind w:right="20" w:firstLine="1131"/>
        <w:jc w:val="both"/>
        <w:rPr>
          <w:sz w:val="20"/>
          <w:szCs w:val="20"/>
        </w:rPr>
      </w:pPr>
      <w:r w:rsidRPr="00771368">
        <w:rPr>
          <w:sz w:val="24"/>
          <w:szCs w:val="24"/>
        </w:rPr>
        <w:t>Em meados do século XIV, devido a uma grave crise econômica, a mulher foi banida do mundo do trabalho, ficando reclusa ao lar. A subordinação feminina era quase que total. Elas foram excluídas de atividades que desde tempos remotos realizavam, como, por exemplo, a enfermagem. As universidades, instituições criadas no século XII, também foram proibidas às mulheres.</w:t>
      </w:r>
    </w:p>
    <w:p w:rsidR="00D24E61" w:rsidRPr="00771368" w:rsidRDefault="00D24E61">
      <w:pPr>
        <w:spacing w:line="72" w:lineRule="exact"/>
        <w:rPr>
          <w:sz w:val="20"/>
          <w:szCs w:val="20"/>
        </w:rPr>
      </w:pPr>
    </w:p>
    <w:p w:rsidR="00D24E61" w:rsidRPr="00771368" w:rsidRDefault="00D24E61">
      <w:pPr>
        <w:spacing w:line="354" w:lineRule="auto"/>
        <w:ind w:firstLine="1131"/>
        <w:jc w:val="both"/>
        <w:rPr>
          <w:sz w:val="20"/>
          <w:szCs w:val="20"/>
        </w:rPr>
      </w:pPr>
      <w:r w:rsidRPr="00771368">
        <w:rPr>
          <w:sz w:val="24"/>
          <w:szCs w:val="24"/>
        </w:rPr>
        <w:t>É com a Revolução Industrial que a mulher começa a romper os muros que as prendiam em casa, começando a trabalhar em atividades fora do lar. A Revolução fez com que a mulher da classe pouco favorecida economicamente conseguisse sair de casa, indo trabalhar nas inúmeras fábricas que foram surgindo, começando seu processo de emancipação. Porém, esse trabalho não oferecia uma real melhora em sua qualidade de vida, já que a mulher, embora exercendo a mesma função que um homem em uma fábrica, ganhava bem menos. Nesse sentido, afirmam Alves e Pitanguy (1981, p.68): “(...) o trabalho feminino sempre recebeu remuneração inferior ao do homem. Esta desvalorização, por outro lado, provocou a hostilidade dos trabalhadores homens contra o trabalho da mulher”.</w:t>
      </w:r>
    </w:p>
    <w:p w:rsidR="00D24E61" w:rsidRPr="00771368" w:rsidRDefault="00D24E61">
      <w:pPr>
        <w:spacing w:line="71" w:lineRule="exact"/>
        <w:rPr>
          <w:sz w:val="20"/>
          <w:szCs w:val="20"/>
        </w:rPr>
      </w:pPr>
    </w:p>
    <w:p w:rsidR="00D24E61" w:rsidRPr="00771368" w:rsidRDefault="00D24E61">
      <w:pPr>
        <w:spacing w:line="334" w:lineRule="auto"/>
        <w:ind w:right="20" w:firstLine="1131"/>
        <w:jc w:val="both"/>
        <w:rPr>
          <w:sz w:val="20"/>
          <w:szCs w:val="20"/>
        </w:rPr>
      </w:pPr>
      <w:r w:rsidRPr="00771368">
        <w:rPr>
          <w:sz w:val="24"/>
          <w:szCs w:val="24"/>
        </w:rPr>
        <w:t>Para Louro (2007), atrelada à função maternal, a defesa de um ensino para a mulher inspira-se nas novidades das ciências e das ideias positivistas, associando novos conceitos científicos às velhas concepções da essência feminina.</w:t>
      </w:r>
    </w:p>
    <w:p w:rsidR="00D24E61" w:rsidRPr="00771368" w:rsidRDefault="00D24E61">
      <w:pPr>
        <w:spacing w:line="94" w:lineRule="exact"/>
        <w:rPr>
          <w:sz w:val="20"/>
          <w:szCs w:val="20"/>
        </w:rPr>
      </w:pPr>
    </w:p>
    <w:p w:rsidR="00D24E61" w:rsidRPr="00771368" w:rsidRDefault="00D24E61" w:rsidP="002E3256">
      <w:pPr>
        <w:spacing w:line="304" w:lineRule="auto"/>
        <w:ind w:right="20" w:firstLine="1131"/>
        <w:jc w:val="both"/>
        <w:rPr>
          <w:sz w:val="20"/>
          <w:szCs w:val="20"/>
        </w:rPr>
      </w:pPr>
      <w:r w:rsidRPr="00771368">
        <w:rPr>
          <w:sz w:val="24"/>
          <w:szCs w:val="24"/>
        </w:rPr>
        <w:t>A entrada das mulheres no ensino superior no continente americano aconteceu primeiramente nos Estados Unidos no ano de 1837, com a criação de universidades</w:t>
      </w:r>
      <w:r w:rsidR="002E3256">
        <w:rPr>
          <w:sz w:val="24"/>
          <w:szCs w:val="24"/>
        </w:rPr>
        <w:t xml:space="preserve"> </w:t>
      </w:r>
      <w:r w:rsidRPr="00771368">
        <w:rPr>
          <w:sz w:val="24"/>
          <w:szCs w:val="24"/>
        </w:rPr>
        <w:t xml:space="preserve">exclusivas para as mulheres. É no Estado de Ohio que surge a primeira universidade feminina, o Women’s College, e na segunda metade do século XIX as universidades femininas se espalham por boa parte dos Estados Unidos. Porém, a maioria dos </w:t>
      </w:r>
      <w:r w:rsidRPr="00771368">
        <w:rPr>
          <w:i/>
          <w:iCs/>
          <w:sz w:val="24"/>
          <w:szCs w:val="24"/>
        </w:rPr>
        <w:t>Women’s</w:t>
      </w:r>
    </w:p>
    <w:p w:rsidR="00D24E61" w:rsidRPr="00771368" w:rsidRDefault="00D24E61">
      <w:pPr>
        <w:spacing w:line="97" w:lineRule="exact"/>
        <w:rPr>
          <w:sz w:val="20"/>
          <w:szCs w:val="20"/>
        </w:rPr>
      </w:pPr>
    </w:p>
    <w:p w:rsidR="00D24E61" w:rsidRPr="00771368" w:rsidRDefault="00D24E61">
      <w:pPr>
        <w:spacing w:line="304" w:lineRule="auto"/>
        <w:ind w:right="20"/>
        <w:jc w:val="both"/>
        <w:rPr>
          <w:sz w:val="20"/>
          <w:szCs w:val="20"/>
        </w:rPr>
      </w:pPr>
      <w:r w:rsidRPr="00771368">
        <w:rPr>
          <w:i/>
          <w:iCs/>
          <w:sz w:val="24"/>
          <w:szCs w:val="24"/>
        </w:rPr>
        <w:t xml:space="preserve">College </w:t>
      </w:r>
      <w:r w:rsidRPr="00771368">
        <w:rPr>
          <w:sz w:val="24"/>
          <w:szCs w:val="24"/>
        </w:rPr>
        <w:t>só oferecia o bacharelado para as mulheres; poucos eram os que ofereciam cursos</w:t>
      </w:r>
      <w:r w:rsidRPr="00771368">
        <w:rPr>
          <w:i/>
          <w:iCs/>
          <w:sz w:val="24"/>
          <w:szCs w:val="24"/>
        </w:rPr>
        <w:t xml:space="preserve"> </w:t>
      </w:r>
      <w:r w:rsidRPr="00771368">
        <w:rPr>
          <w:sz w:val="24"/>
          <w:szCs w:val="24"/>
        </w:rPr>
        <w:t>de licenciatura, mestrado, e menos ainda os que ofereciam a opção de cursos de doutorado.</w:t>
      </w:r>
    </w:p>
    <w:p w:rsidR="00D24E61" w:rsidRPr="00771368" w:rsidRDefault="00D24E61">
      <w:pPr>
        <w:spacing w:line="129" w:lineRule="exact"/>
        <w:rPr>
          <w:sz w:val="20"/>
          <w:szCs w:val="20"/>
        </w:rPr>
      </w:pPr>
    </w:p>
    <w:p w:rsidR="00D24E61" w:rsidRPr="00771368" w:rsidRDefault="00D24E61">
      <w:pPr>
        <w:spacing w:line="353" w:lineRule="auto"/>
        <w:ind w:right="20" w:firstLine="1131"/>
        <w:jc w:val="both"/>
        <w:rPr>
          <w:sz w:val="20"/>
          <w:szCs w:val="20"/>
        </w:rPr>
      </w:pPr>
      <w:r w:rsidRPr="00771368">
        <w:rPr>
          <w:sz w:val="24"/>
          <w:szCs w:val="24"/>
        </w:rPr>
        <w:t>A educação feminina desenvolvida por uma instituição escolar é um fenômeno recente na historiografia no Brasil. No ensino superior, a mulher só teve ingresso no final do século XIX. A primeira mulher a ingressar na universidade no Brasil foi no estado da Bahia, no ano de 1887, formando-se na Faculdade de Medicina. As mulheres só foram autorizadas a frequentar um curso superior no ano de 1879, quando a elas foi concedido o direito de frequentarem o ensino universitário, por Dom Pedro II, então Imperador do Brasil. Esse ato do Imperador deveu-se ao fato de Augusta Generosa Estrela, que se formou em medicina em Nova York no ano de 1876, ao retornar ao Brasil, ter sido proibida de exercer sua profissão. (CUNHA, 2007 p. 138)</w:t>
      </w:r>
    </w:p>
    <w:p w:rsidR="00D24E61" w:rsidRPr="00771368" w:rsidRDefault="00D24E61">
      <w:pPr>
        <w:spacing w:line="71" w:lineRule="exact"/>
        <w:rPr>
          <w:sz w:val="20"/>
          <w:szCs w:val="20"/>
        </w:rPr>
      </w:pPr>
    </w:p>
    <w:p w:rsidR="00D24E61" w:rsidRPr="00771368" w:rsidRDefault="00D24E61">
      <w:pPr>
        <w:spacing w:line="347" w:lineRule="auto"/>
        <w:ind w:right="20" w:firstLine="1131"/>
        <w:jc w:val="both"/>
        <w:rPr>
          <w:sz w:val="20"/>
          <w:szCs w:val="20"/>
        </w:rPr>
      </w:pPr>
      <w:r w:rsidRPr="00771368">
        <w:rPr>
          <w:sz w:val="24"/>
          <w:szCs w:val="24"/>
        </w:rPr>
        <w:t>As primeiras mulheres a concluir o curso de Medicina no Brasil foram Rita Lobato Velho Lopes (Bahia), Ermelinda Lopes de Vasconcelos e Antonieta Cesar Dias (Rio de janeiro). As pioneiras a finalizar o curso de Engenharia foram Edwiges Maria Becker, Anita Dubugras, Iracema da Nóbrega Dias e Maria Esther Correa Ramalho (Rio de Janeiro).</w:t>
      </w:r>
    </w:p>
    <w:p w:rsidR="00D24E61" w:rsidRPr="00771368" w:rsidRDefault="00D24E61">
      <w:pPr>
        <w:spacing w:line="80" w:lineRule="exact"/>
        <w:rPr>
          <w:sz w:val="20"/>
          <w:szCs w:val="20"/>
        </w:rPr>
      </w:pPr>
    </w:p>
    <w:p w:rsidR="00D24E61" w:rsidRPr="00771368" w:rsidRDefault="00D24E61">
      <w:pPr>
        <w:spacing w:line="333" w:lineRule="auto"/>
        <w:ind w:right="20" w:firstLine="1131"/>
        <w:jc w:val="both"/>
        <w:rPr>
          <w:sz w:val="20"/>
          <w:szCs w:val="20"/>
        </w:rPr>
      </w:pPr>
      <w:r w:rsidRPr="00771368">
        <w:rPr>
          <w:sz w:val="24"/>
          <w:szCs w:val="24"/>
        </w:rPr>
        <w:t>As mulheres foram por muito tempo tidas como biologicamente inferiores, menos inteligentes que os homens. Essa inferiorização da mulher em relação ao homem contribuiu para o seu difícil acesso ao ensino superior.</w:t>
      </w:r>
    </w:p>
    <w:p w:rsidR="00D24E61" w:rsidRPr="00771368" w:rsidRDefault="00D24E61">
      <w:pPr>
        <w:spacing w:line="90" w:lineRule="exact"/>
        <w:rPr>
          <w:sz w:val="20"/>
          <w:szCs w:val="20"/>
        </w:rPr>
      </w:pPr>
    </w:p>
    <w:p w:rsidR="00D24E61" w:rsidRPr="00771368" w:rsidRDefault="00D24E61">
      <w:pPr>
        <w:spacing w:line="353" w:lineRule="auto"/>
        <w:ind w:right="20" w:firstLine="1131"/>
        <w:jc w:val="both"/>
        <w:rPr>
          <w:sz w:val="20"/>
          <w:szCs w:val="20"/>
        </w:rPr>
      </w:pPr>
      <w:r w:rsidRPr="00771368">
        <w:rPr>
          <w:sz w:val="24"/>
          <w:szCs w:val="24"/>
        </w:rPr>
        <w:t>Atualmente, a ideia de que a mulher seja inferior ao homem já foi ultrapassada, e mesmo considerando que toda regra tem suas exceções, a situação é bem diferente daquela do início da luta da mulher contra a sua invisibilidade no espaço educacional. Foi uma longa batalha, vencida depois de muito tempo e de muita dificuldade. Hoje, as mulheres, felizmente, já conseguiram ultrapassar a construção social que se criou a respeito de que espaço deveriam ocupar na sociedade e buscam, assim, a garantia de que realmente ocupem um lugar de igualdade, juntamente com os homens na sociedade, em especial na educação.</w:t>
      </w:r>
    </w:p>
    <w:p w:rsidR="00D24E61" w:rsidRPr="00771368" w:rsidRDefault="00D24E61">
      <w:pPr>
        <w:spacing w:line="66" w:lineRule="exact"/>
        <w:rPr>
          <w:sz w:val="20"/>
          <w:szCs w:val="20"/>
        </w:rPr>
      </w:pPr>
    </w:p>
    <w:p w:rsidR="00D24E61" w:rsidRPr="00771368" w:rsidRDefault="00D24E61">
      <w:pPr>
        <w:spacing w:line="334" w:lineRule="auto"/>
        <w:ind w:right="20" w:firstLine="1131"/>
        <w:jc w:val="both"/>
        <w:rPr>
          <w:sz w:val="20"/>
          <w:szCs w:val="20"/>
        </w:rPr>
      </w:pPr>
      <w:r w:rsidRPr="00771368">
        <w:rPr>
          <w:sz w:val="24"/>
          <w:szCs w:val="24"/>
        </w:rPr>
        <w:t>O ensino universitário em seu início foi criado para atender estritamente a educação masculina, excluindo assim as mulheres. Por essa razão, as mulheres tiveram que travar uma difícil luta para adentrarem no ensino superior.</w:t>
      </w:r>
    </w:p>
    <w:p w:rsidR="00D24E61" w:rsidRPr="00771368" w:rsidRDefault="00D24E61">
      <w:pPr>
        <w:spacing w:line="353" w:lineRule="auto"/>
        <w:ind w:right="20" w:firstLine="1131"/>
        <w:jc w:val="both"/>
        <w:rPr>
          <w:sz w:val="20"/>
          <w:szCs w:val="20"/>
        </w:rPr>
      </w:pPr>
      <w:r w:rsidRPr="00771368">
        <w:rPr>
          <w:sz w:val="24"/>
          <w:szCs w:val="24"/>
        </w:rPr>
        <w:t>A partir da década de 1940, com a expansão da rede de ensino de nível médio e a maior aceitação da participação da mulher no mercado de trabalho, principalmente no magistério, novos cursos pertencentes às Faculdades de Filosofia passaram a ser frequentados pelas moças que ingressavam na universidade e aspiravam dedicar-se ao magistério de nível médio. Essas faculdades multiplicaram-se pelo país, sendo que, a maioria delas não passava de um aglomerado de escolas, nas quais cada curso preparava um tipo específico de professor: de história, de matemática, de química, entre outros. A escassez de recursos materiais e humanos limitou esses cursos às atividades de ensino sem qualquer comprometimento com a pesquisa.</w:t>
      </w:r>
    </w:p>
    <w:p w:rsidR="00D24E61" w:rsidRPr="00771368" w:rsidRDefault="00D24E61">
      <w:pPr>
        <w:spacing w:line="78" w:lineRule="exact"/>
        <w:rPr>
          <w:sz w:val="20"/>
          <w:szCs w:val="20"/>
        </w:rPr>
      </w:pPr>
    </w:p>
    <w:p w:rsidR="00D24E61" w:rsidRPr="00771368" w:rsidRDefault="00D24E61">
      <w:pPr>
        <w:spacing w:line="334" w:lineRule="auto"/>
        <w:ind w:right="20" w:firstLine="1131"/>
        <w:jc w:val="both"/>
        <w:rPr>
          <w:sz w:val="20"/>
          <w:szCs w:val="20"/>
        </w:rPr>
      </w:pPr>
      <w:r w:rsidRPr="00771368">
        <w:rPr>
          <w:sz w:val="24"/>
          <w:szCs w:val="24"/>
        </w:rPr>
        <w:t>Com a grande expansão que ocorreu no ensino superior na década de 1970 é que as mulheres começam a fazer parte de uma forma bem expressiva nesse grau de ensino no Brasil.</w:t>
      </w:r>
    </w:p>
    <w:p w:rsidR="00D24E61" w:rsidRPr="00771368" w:rsidRDefault="00D24E61">
      <w:pPr>
        <w:spacing w:line="87" w:lineRule="exact"/>
        <w:rPr>
          <w:sz w:val="20"/>
          <w:szCs w:val="20"/>
        </w:rPr>
      </w:pPr>
    </w:p>
    <w:p w:rsidR="00D24E61" w:rsidRPr="00771368" w:rsidRDefault="00D24E61">
      <w:pPr>
        <w:spacing w:line="350" w:lineRule="auto"/>
        <w:ind w:right="20" w:firstLine="1131"/>
        <w:jc w:val="both"/>
        <w:rPr>
          <w:sz w:val="20"/>
          <w:szCs w:val="20"/>
        </w:rPr>
      </w:pPr>
      <w:r w:rsidRPr="00771368">
        <w:rPr>
          <w:sz w:val="24"/>
          <w:szCs w:val="24"/>
        </w:rPr>
        <w:t>Hoje se fala em igualdade de condições entre homens e mulheres, mas as relações desenvolvidas nos espaços acadêmicos demonstram determinada exclusão e relativa indiferença à presença da mulher neste contexto universitário. Nos estudos de Leon (1994) e Yannoulas (1994), essa comparação das representações e práticas das mulheres e homens em diferentes momentos permite descobrir diversas formas de violência e discriminação:</w:t>
      </w:r>
    </w:p>
    <w:p w:rsidR="00D24E61" w:rsidRPr="00771368" w:rsidRDefault="00D24E61">
      <w:pPr>
        <w:spacing w:line="70" w:lineRule="exact"/>
        <w:rPr>
          <w:sz w:val="20"/>
          <w:szCs w:val="20"/>
        </w:rPr>
      </w:pPr>
    </w:p>
    <w:p w:rsidR="00D24E61" w:rsidRPr="00771368" w:rsidRDefault="00D24E61">
      <w:pPr>
        <w:spacing w:line="353" w:lineRule="auto"/>
        <w:ind w:right="20" w:firstLine="1131"/>
        <w:jc w:val="both"/>
        <w:rPr>
          <w:sz w:val="20"/>
          <w:szCs w:val="20"/>
        </w:rPr>
      </w:pPr>
      <w:r w:rsidRPr="00771368">
        <w:rPr>
          <w:b/>
          <w:bCs/>
          <w:sz w:val="24"/>
          <w:szCs w:val="24"/>
        </w:rPr>
        <w:t>Direta ou Manifesta</w:t>
      </w:r>
      <w:r w:rsidRPr="00771368">
        <w:rPr>
          <w:sz w:val="24"/>
          <w:szCs w:val="24"/>
        </w:rPr>
        <w:t>: quando se apresentam códigos e regras assegurando os</w:t>
      </w:r>
      <w:r w:rsidRPr="00771368">
        <w:rPr>
          <w:b/>
          <w:bCs/>
          <w:sz w:val="24"/>
          <w:szCs w:val="24"/>
        </w:rPr>
        <w:t xml:space="preserve"> </w:t>
      </w:r>
      <w:r w:rsidRPr="00771368">
        <w:rPr>
          <w:sz w:val="24"/>
          <w:szCs w:val="24"/>
        </w:rPr>
        <w:t>espaços ou o poder. Nesse caso, a exclusão é justificada em função de sexo, idade, raça, cor, nacionalidade e tem como consequência a manutenção dos elementos do grupo em situação desvantajosa. Podemos dizer que hoje essa descriminação não é mais permitida legalmente, tendo em vista a igualdade determinada pelas normas internacionais, como a Convenção da Organização das Nações Unidas de 1979 sobre a Eliminação de Todas as Formas de Discriminação da Mulher e pelas legislações nacionais, como a constituição de 1988, que diz em seu artigo 206 que o ensino deve ser ministrado com base nos princípios de igualdade e liberdade.</w:t>
      </w:r>
    </w:p>
    <w:p w:rsidR="00D24E61" w:rsidRPr="00771368" w:rsidRDefault="00D24E61">
      <w:pPr>
        <w:spacing w:line="78" w:lineRule="exact"/>
        <w:rPr>
          <w:sz w:val="20"/>
          <w:szCs w:val="20"/>
        </w:rPr>
      </w:pPr>
    </w:p>
    <w:p w:rsidR="00D24E61" w:rsidRPr="00771368" w:rsidRDefault="00D24E61" w:rsidP="002E3256">
      <w:pPr>
        <w:spacing w:line="366" w:lineRule="auto"/>
        <w:ind w:right="20" w:firstLine="1131"/>
        <w:jc w:val="both"/>
        <w:rPr>
          <w:sz w:val="20"/>
          <w:szCs w:val="20"/>
        </w:rPr>
      </w:pPr>
      <w:r w:rsidRPr="00771368">
        <w:rPr>
          <w:b/>
          <w:bCs/>
          <w:sz w:val="23"/>
          <w:szCs w:val="23"/>
        </w:rPr>
        <w:t>Encoberta ou Indireta</w:t>
      </w:r>
      <w:r w:rsidRPr="00771368">
        <w:rPr>
          <w:sz w:val="23"/>
          <w:szCs w:val="23"/>
        </w:rPr>
        <w:t>: consiste em ideias e práticas admitidas informalmente,</w:t>
      </w:r>
      <w:r w:rsidRPr="00771368">
        <w:rPr>
          <w:b/>
          <w:bCs/>
          <w:sz w:val="23"/>
          <w:szCs w:val="23"/>
        </w:rPr>
        <w:t xml:space="preserve"> </w:t>
      </w:r>
      <w:r w:rsidRPr="00771368">
        <w:rPr>
          <w:sz w:val="23"/>
          <w:szCs w:val="23"/>
        </w:rPr>
        <w:t>influenciando um comportamento usual e válido para cada grupo social. Assim, quando as falas no cotidiano do Centro Tecnológico dizem “curso muito prático” - fala masculina - , induzem ao entendimento de que a mulher não é prática; ou, na fala feminina: exigem matemática e só os homens têm aptidão. Destacamos a ideia da própria mulher admitindo que somente o homem tem condições de fazer os cursos da Área Tecnológica, porque as</w:t>
      </w:r>
      <w:r w:rsidR="002E3256">
        <w:rPr>
          <w:sz w:val="23"/>
          <w:szCs w:val="23"/>
        </w:rPr>
        <w:t xml:space="preserve"> </w:t>
      </w:r>
      <w:r w:rsidRPr="00771368">
        <w:rPr>
          <w:sz w:val="24"/>
          <w:szCs w:val="24"/>
        </w:rPr>
        <w:t>mulheres não sabem Matemática. Essas atitudes e práticas, que aparentemente são neutras, vão inserindo desigualdades entre as pessoas com condições idênticas, em razão de sua raça, sexo, religião, identidade sexual.</w:t>
      </w:r>
    </w:p>
    <w:p w:rsidR="00D24E61" w:rsidRPr="00771368" w:rsidRDefault="00D24E61">
      <w:pPr>
        <w:spacing w:line="97" w:lineRule="exact"/>
        <w:rPr>
          <w:sz w:val="20"/>
          <w:szCs w:val="20"/>
        </w:rPr>
      </w:pPr>
    </w:p>
    <w:p w:rsidR="00D24E61" w:rsidRPr="00771368" w:rsidRDefault="00D24E61">
      <w:pPr>
        <w:spacing w:line="352" w:lineRule="auto"/>
        <w:ind w:right="20" w:firstLine="1131"/>
        <w:jc w:val="both"/>
        <w:rPr>
          <w:sz w:val="20"/>
          <w:szCs w:val="20"/>
        </w:rPr>
      </w:pPr>
      <w:r w:rsidRPr="00771368">
        <w:rPr>
          <w:b/>
          <w:bCs/>
          <w:sz w:val="24"/>
          <w:szCs w:val="24"/>
        </w:rPr>
        <w:t>Autodiscriminação</w:t>
      </w:r>
      <w:r w:rsidRPr="00771368">
        <w:rPr>
          <w:sz w:val="24"/>
          <w:szCs w:val="24"/>
        </w:rPr>
        <w:t>: caracteriza-se por uma vigilância internalizada, induzindo</w:t>
      </w:r>
      <w:r w:rsidRPr="00771368">
        <w:rPr>
          <w:b/>
          <w:bCs/>
          <w:sz w:val="24"/>
          <w:szCs w:val="24"/>
        </w:rPr>
        <w:t xml:space="preserve"> </w:t>
      </w:r>
      <w:r w:rsidRPr="00771368">
        <w:rPr>
          <w:sz w:val="24"/>
          <w:szCs w:val="24"/>
        </w:rPr>
        <w:t>a comportamentos e atitudes delimitados por manifestação encoberta ou indireta, tornando-se um mecanismo interno de repressão, modelando desejos, expectativas, anseios e motivações das pessoas ou grupos sociais, de forma que as opções educacionais ou profissionais tornam-se impensáveis, condicionadas ou orientadas para o ambiente. Podemos dizer que os mecanismos de repressão interna que dão origem à autodiscriminação parecem tão naturais que na maioria das vezes são compreendidos como autodeterminação, e não escolhas sutilmente baseadas em normas sociais.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1" w:lineRule="exact"/>
        <w:rPr>
          <w:sz w:val="20"/>
          <w:szCs w:val="20"/>
        </w:rPr>
      </w:pPr>
    </w:p>
    <w:p w:rsidR="00D24E61" w:rsidRPr="00771368" w:rsidRDefault="00D24E61">
      <w:pPr>
        <w:ind w:left="60"/>
        <w:rPr>
          <w:sz w:val="20"/>
          <w:szCs w:val="20"/>
        </w:rPr>
      </w:pPr>
      <w:r w:rsidRPr="00771368">
        <w:rPr>
          <w:b/>
          <w:bCs/>
          <w:sz w:val="24"/>
          <w:szCs w:val="24"/>
        </w:rPr>
        <w:t>4 AS VOZES SOBRE A PRESENÇA DA MULHER NO COTIDIANO - CCET</w:t>
      </w:r>
    </w:p>
    <w:p w:rsidR="00D24E61" w:rsidRPr="00771368" w:rsidRDefault="00D24E61">
      <w:pPr>
        <w:spacing w:line="200" w:lineRule="exact"/>
        <w:rPr>
          <w:sz w:val="20"/>
          <w:szCs w:val="20"/>
        </w:rPr>
      </w:pPr>
    </w:p>
    <w:p w:rsidR="00D24E61" w:rsidRPr="00771368" w:rsidRDefault="00D24E61">
      <w:pPr>
        <w:rPr>
          <w:sz w:val="20"/>
          <w:szCs w:val="20"/>
        </w:rPr>
      </w:pPr>
      <w:r w:rsidRPr="00771368">
        <w:rPr>
          <w:sz w:val="24"/>
          <w:szCs w:val="24"/>
        </w:rPr>
        <w:t>4.1 CONHECENDO O ESPAÇO E OS AGENTES</w:t>
      </w:r>
    </w:p>
    <w:p w:rsidR="00D24E61" w:rsidRPr="00771368" w:rsidRDefault="00D24E61">
      <w:pPr>
        <w:spacing w:line="200" w:lineRule="exact"/>
        <w:rPr>
          <w:sz w:val="20"/>
          <w:szCs w:val="20"/>
        </w:rPr>
      </w:pPr>
    </w:p>
    <w:p w:rsidR="00D24E61" w:rsidRPr="00771368" w:rsidRDefault="00D24E61">
      <w:pPr>
        <w:spacing w:line="353" w:lineRule="auto"/>
        <w:ind w:right="20" w:firstLine="1131"/>
        <w:jc w:val="both"/>
        <w:rPr>
          <w:sz w:val="20"/>
          <w:szCs w:val="20"/>
        </w:rPr>
      </w:pPr>
      <w:r w:rsidRPr="00771368">
        <w:rPr>
          <w:sz w:val="24"/>
          <w:szCs w:val="24"/>
        </w:rPr>
        <w:t>Antes de iniciarmos nossas discussões, vale destacar que, primeiramente, visitamos a Direção do Centro, que demonstrou satisfação com o objeto da pesquisa, colocando-se à disposição para contribuir com o desenvolvimento da mesma. Visitamos também os Departamentos de Desenho e Tecnologia – DEDET, Engenharia de Eletricidade – DEEE, Física - DEFIS, Química – DEQUI, Tecnologia Química – DETQUI, Informática – DEINF, Matemática - DEMAT, onde foi possível conversamos com professores e professoras. Observamos as coordenações dos cursos de Matemática, Física, Engenharia Elétrica, Design, Engenharia Química, Química, Computação, Química Industrial e seus laboratórios.</w:t>
      </w:r>
    </w:p>
    <w:p w:rsidR="00D24E61" w:rsidRPr="00771368" w:rsidRDefault="00D24E61">
      <w:pPr>
        <w:spacing w:line="71" w:lineRule="exact"/>
        <w:rPr>
          <w:sz w:val="20"/>
          <w:szCs w:val="20"/>
        </w:rPr>
      </w:pPr>
    </w:p>
    <w:p w:rsidR="00D24E61" w:rsidRPr="00771368" w:rsidRDefault="00D24E61">
      <w:pPr>
        <w:spacing w:line="343" w:lineRule="auto"/>
        <w:ind w:right="20" w:firstLine="1131"/>
        <w:jc w:val="both"/>
        <w:rPr>
          <w:sz w:val="20"/>
          <w:szCs w:val="20"/>
        </w:rPr>
      </w:pPr>
      <w:r w:rsidRPr="00771368">
        <w:rPr>
          <w:sz w:val="24"/>
          <w:szCs w:val="24"/>
        </w:rPr>
        <w:t>Ao adentramos estes espaços, procuramos estabelecer um diálogo construtivo entre os envolvidos acerca da pouca presença da mulher nos cursos da área tecnológica observando como acontece a relação de gênero no espaço acadêmico. Percebemos das falas, inúmeras opiniões e sugestões, dentre as quais destacamos a ideia de que:</w:t>
      </w:r>
    </w:p>
    <w:p w:rsidR="00D24E61" w:rsidRPr="00771368" w:rsidRDefault="00D24E61">
      <w:pPr>
        <w:ind w:left="1140"/>
        <w:rPr>
          <w:sz w:val="20"/>
          <w:szCs w:val="20"/>
        </w:rPr>
      </w:pPr>
      <w:r w:rsidRPr="00771368">
        <w:rPr>
          <w:sz w:val="24"/>
          <w:szCs w:val="24"/>
        </w:rPr>
        <w:t>- “É uma questão histórica os cursos de a área tecnológica ser frequentados por</w:t>
      </w:r>
    </w:p>
    <w:p w:rsidR="00D24E61" w:rsidRPr="00771368" w:rsidRDefault="00D24E61">
      <w:pPr>
        <w:spacing w:line="142" w:lineRule="exact"/>
        <w:rPr>
          <w:sz w:val="20"/>
          <w:szCs w:val="20"/>
        </w:rPr>
      </w:pPr>
    </w:p>
    <w:p w:rsidR="00D24E61" w:rsidRPr="00771368" w:rsidRDefault="00D24E61">
      <w:pPr>
        <w:rPr>
          <w:sz w:val="20"/>
          <w:szCs w:val="20"/>
        </w:rPr>
      </w:pPr>
      <w:r w:rsidRPr="00771368">
        <w:rPr>
          <w:sz w:val="24"/>
          <w:szCs w:val="24"/>
        </w:rPr>
        <w:t>homens;”</w:t>
      </w:r>
    </w:p>
    <w:p w:rsidR="00D24E61" w:rsidRPr="00771368" w:rsidRDefault="00D24E61">
      <w:pPr>
        <w:spacing w:line="134" w:lineRule="exact"/>
        <w:rPr>
          <w:sz w:val="20"/>
          <w:szCs w:val="20"/>
        </w:rPr>
      </w:pPr>
    </w:p>
    <w:p w:rsidR="00D24E61" w:rsidRPr="00771368" w:rsidRDefault="00D24E61">
      <w:pPr>
        <w:ind w:left="1140"/>
        <w:rPr>
          <w:sz w:val="20"/>
          <w:szCs w:val="20"/>
        </w:rPr>
      </w:pPr>
      <w:r w:rsidRPr="00771368">
        <w:rPr>
          <w:sz w:val="24"/>
          <w:szCs w:val="24"/>
        </w:rPr>
        <w:t>- “As mulheres até já marcam presença nos cursos, mas no começo só tinha</w:t>
      </w:r>
    </w:p>
    <w:p w:rsidR="00D24E61" w:rsidRPr="00771368" w:rsidRDefault="00D24E61">
      <w:pPr>
        <w:spacing w:line="142" w:lineRule="exact"/>
        <w:rPr>
          <w:sz w:val="20"/>
          <w:szCs w:val="20"/>
        </w:rPr>
      </w:pPr>
    </w:p>
    <w:p w:rsidR="00D24E61" w:rsidRPr="00771368" w:rsidRDefault="00D24E61">
      <w:pPr>
        <w:rPr>
          <w:sz w:val="20"/>
          <w:szCs w:val="20"/>
        </w:rPr>
      </w:pPr>
      <w:r w:rsidRPr="00771368">
        <w:rPr>
          <w:sz w:val="24"/>
          <w:szCs w:val="24"/>
        </w:rPr>
        <w:t>homens;”</w:t>
      </w:r>
    </w:p>
    <w:p w:rsidR="00D24E61" w:rsidRPr="00771368" w:rsidRDefault="00D24E61">
      <w:pPr>
        <w:spacing w:line="195" w:lineRule="exact"/>
        <w:rPr>
          <w:sz w:val="20"/>
          <w:szCs w:val="20"/>
        </w:rPr>
      </w:pPr>
    </w:p>
    <w:p w:rsidR="00D24E61" w:rsidRPr="00771368" w:rsidRDefault="00D24E61">
      <w:pPr>
        <w:spacing w:line="311" w:lineRule="auto"/>
        <w:ind w:right="20" w:firstLine="1131"/>
        <w:rPr>
          <w:sz w:val="20"/>
          <w:szCs w:val="20"/>
        </w:rPr>
      </w:pPr>
      <w:r w:rsidRPr="00771368">
        <w:rPr>
          <w:sz w:val="24"/>
          <w:szCs w:val="24"/>
        </w:rPr>
        <w:t>– “As mulheres não vêm para os cursos da área tecnológica porque não sabem Matemática;”</w:t>
      </w:r>
    </w:p>
    <w:p w:rsidR="00D24E61" w:rsidRPr="00771368" w:rsidRDefault="00D24E61">
      <w:pPr>
        <w:spacing w:line="113" w:lineRule="exact"/>
        <w:rPr>
          <w:sz w:val="20"/>
          <w:szCs w:val="20"/>
        </w:rPr>
      </w:pPr>
    </w:p>
    <w:p w:rsidR="00D24E61" w:rsidRPr="00771368" w:rsidRDefault="00D24E61">
      <w:pPr>
        <w:spacing w:line="310" w:lineRule="auto"/>
        <w:ind w:right="20" w:firstLine="1131"/>
        <w:rPr>
          <w:sz w:val="20"/>
          <w:szCs w:val="20"/>
        </w:rPr>
      </w:pPr>
      <w:r w:rsidRPr="00771368">
        <w:rPr>
          <w:sz w:val="24"/>
          <w:szCs w:val="24"/>
        </w:rPr>
        <w:t>- “Sempre foi assim; tem poucas mulheres nos cursos, não vejo nada fora do normal, é uma questão de escolha:”</w:t>
      </w:r>
    </w:p>
    <w:p w:rsidR="00D24E61" w:rsidRPr="00771368" w:rsidRDefault="00D24E61">
      <w:pPr>
        <w:spacing w:line="55" w:lineRule="exact"/>
        <w:rPr>
          <w:sz w:val="20"/>
          <w:szCs w:val="20"/>
        </w:rPr>
      </w:pPr>
    </w:p>
    <w:p w:rsidR="00D24E61" w:rsidRPr="00771368" w:rsidRDefault="00D24E61" w:rsidP="009D5D08">
      <w:pPr>
        <w:numPr>
          <w:ilvl w:val="1"/>
          <w:numId w:val="1"/>
        </w:numPr>
        <w:tabs>
          <w:tab w:val="left" w:pos="1320"/>
        </w:tabs>
        <w:ind w:left="1320" w:hanging="131"/>
        <w:jc w:val="both"/>
        <w:rPr>
          <w:sz w:val="24"/>
          <w:szCs w:val="24"/>
        </w:rPr>
      </w:pPr>
      <w:r w:rsidRPr="00771368">
        <w:rPr>
          <w:sz w:val="24"/>
          <w:szCs w:val="24"/>
        </w:rPr>
        <w:t>“A questão de poucas mulheres nos cursos é cultural”;</w:t>
      </w:r>
    </w:p>
    <w:p w:rsidR="00D24E61" w:rsidRPr="00771368" w:rsidRDefault="00D24E61">
      <w:pPr>
        <w:spacing w:line="141" w:lineRule="exact"/>
        <w:rPr>
          <w:sz w:val="24"/>
          <w:szCs w:val="24"/>
        </w:rPr>
      </w:pPr>
    </w:p>
    <w:p w:rsidR="00D24E61" w:rsidRPr="00771368" w:rsidRDefault="00D24E61" w:rsidP="009D5D08">
      <w:pPr>
        <w:numPr>
          <w:ilvl w:val="0"/>
          <w:numId w:val="1"/>
        </w:numPr>
        <w:tabs>
          <w:tab w:val="left" w:pos="1360"/>
        </w:tabs>
        <w:ind w:left="1360" w:hanging="228"/>
        <w:jc w:val="both"/>
        <w:rPr>
          <w:sz w:val="24"/>
          <w:szCs w:val="24"/>
        </w:rPr>
      </w:pPr>
      <w:r w:rsidRPr="00771368">
        <w:rPr>
          <w:sz w:val="24"/>
          <w:szCs w:val="24"/>
        </w:rPr>
        <w:t>“As  mulheres  são  poucas  mas  apresentam  rendimento  melhor  que  os</w:t>
      </w:r>
    </w:p>
    <w:p w:rsidR="00D24E61" w:rsidRPr="00771368" w:rsidRDefault="00D24E61">
      <w:pPr>
        <w:spacing w:line="134" w:lineRule="exact"/>
        <w:rPr>
          <w:sz w:val="20"/>
          <w:szCs w:val="20"/>
        </w:rPr>
      </w:pPr>
    </w:p>
    <w:p w:rsidR="00D24E61" w:rsidRPr="00771368" w:rsidRDefault="00D24E61">
      <w:pPr>
        <w:rPr>
          <w:sz w:val="20"/>
          <w:szCs w:val="20"/>
        </w:rPr>
      </w:pPr>
      <w:r w:rsidRPr="00771368">
        <w:rPr>
          <w:sz w:val="24"/>
          <w:szCs w:val="24"/>
        </w:rPr>
        <w:t>homens”;</w:t>
      </w:r>
    </w:p>
    <w:p w:rsidR="00D24E61" w:rsidRPr="00771368" w:rsidRDefault="00D24E61">
      <w:pPr>
        <w:spacing w:line="142" w:lineRule="exact"/>
        <w:rPr>
          <w:sz w:val="20"/>
          <w:szCs w:val="20"/>
        </w:rPr>
      </w:pPr>
    </w:p>
    <w:p w:rsidR="00D24E61" w:rsidRPr="00771368" w:rsidRDefault="00D24E61" w:rsidP="00EA38AA">
      <w:pPr>
        <w:numPr>
          <w:ilvl w:val="0"/>
          <w:numId w:val="50"/>
        </w:numPr>
        <w:tabs>
          <w:tab w:val="left" w:pos="1260"/>
        </w:tabs>
        <w:jc w:val="both"/>
        <w:rPr>
          <w:sz w:val="24"/>
          <w:szCs w:val="24"/>
        </w:rPr>
      </w:pPr>
      <w:r w:rsidRPr="00771368">
        <w:rPr>
          <w:sz w:val="24"/>
          <w:szCs w:val="24"/>
        </w:rPr>
        <w:t>“A maioria se identifica com cursos de outras áreas”;</w:t>
      </w:r>
    </w:p>
    <w:p w:rsidR="00D24E61" w:rsidRPr="00771368" w:rsidRDefault="00D24E61">
      <w:pPr>
        <w:spacing w:line="200" w:lineRule="exact"/>
        <w:rPr>
          <w:sz w:val="24"/>
          <w:szCs w:val="24"/>
        </w:rPr>
      </w:pPr>
    </w:p>
    <w:p w:rsidR="00D24E61" w:rsidRPr="00771368" w:rsidRDefault="00D24E61">
      <w:pPr>
        <w:spacing w:line="352" w:lineRule="exact"/>
        <w:rPr>
          <w:sz w:val="24"/>
          <w:szCs w:val="24"/>
        </w:rPr>
      </w:pPr>
    </w:p>
    <w:p w:rsidR="00D24E61" w:rsidRPr="00771368" w:rsidRDefault="00D24E61" w:rsidP="00EA38AA">
      <w:pPr>
        <w:numPr>
          <w:ilvl w:val="0"/>
          <w:numId w:val="50"/>
        </w:numPr>
        <w:tabs>
          <w:tab w:val="left" w:pos="1260"/>
        </w:tabs>
        <w:jc w:val="both"/>
        <w:rPr>
          <w:sz w:val="24"/>
          <w:szCs w:val="24"/>
        </w:rPr>
      </w:pPr>
      <w:r w:rsidRPr="00771368">
        <w:rPr>
          <w:sz w:val="24"/>
          <w:szCs w:val="24"/>
        </w:rPr>
        <w:t>“Acham-se incapazes de fazer os cursos”;</w:t>
      </w:r>
    </w:p>
    <w:p w:rsidR="00D24E61" w:rsidRPr="00771368" w:rsidRDefault="00D24E61">
      <w:pPr>
        <w:spacing w:line="200" w:lineRule="exact"/>
        <w:rPr>
          <w:sz w:val="24"/>
          <w:szCs w:val="24"/>
        </w:rPr>
      </w:pPr>
    </w:p>
    <w:p w:rsidR="00D24E61" w:rsidRPr="00771368" w:rsidRDefault="00D24E61">
      <w:pPr>
        <w:spacing w:line="352" w:lineRule="exact"/>
        <w:rPr>
          <w:sz w:val="24"/>
          <w:szCs w:val="24"/>
        </w:rPr>
      </w:pPr>
    </w:p>
    <w:p w:rsidR="00D24E61" w:rsidRPr="00771368" w:rsidRDefault="00D24E61" w:rsidP="00EA38AA">
      <w:pPr>
        <w:numPr>
          <w:ilvl w:val="0"/>
          <w:numId w:val="50"/>
        </w:numPr>
        <w:tabs>
          <w:tab w:val="left" w:pos="1260"/>
        </w:tabs>
        <w:jc w:val="both"/>
        <w:rPr>
          <w:sz w:val="24"/>
          <w:szCs w:val="24"/>
        </w:rPr>
      </w:pPr>
      <w:r w:rsidRPr="00771368">
        <w:rPr>
          <w:sz w:val="24"/>
          <w:szCs w:val="24"/>
        </w:rPr>
        <w:t>“São cursos muito prático, diferente da perspectiva feminina”;</w:t>
      </w:r>
    </w:p>
    <w:p w:rsidR="00D24E61" w:rsidRPr="00771368" w:rsidRDefault="00D24E61">
      <w:pPr>
        <w:spacing w:line="200" w:lineRule="exact"/>
        <w:rPr>
          <w:sz w:val="24"/>
          <w:szCs w:val="24"/>
        </w:rPr>
      </w:pPr>
    </w:p>
    <w:p w:rsidR="00D24E61" w:rsidRPr="00771368" w:rsidRDefault="00D24E61">
      <w:pPr>
        <w:spacing w:line="352" w:lineRule="exact"/>
        <w:rPr>
          <w:sz w:val="24"/>
          <w:szCs w:val="24"/>
        </w:rPr>
      </w:pPr>
    </w:p>
    <w:p w:rsidR="00D24E61" w:rsidRPr="00771368" w:rsidRDefault="00D24E61" w:rsidP="00EA38AA">
      <w:pPr>
        <w:numPr>
          <w:ilvl w:val="0"/>
          <w:numId w:val="50"/>
        </w:numPr>
        <w:tabs>
          <w:tab w:val="left" w:pos="1300"/>
        </w:tabs>
        <w:jc w:val="both"/>
        <w:rPr>
          <w:sz w:val="24"/>
          <w:szCs w:val="24"/>
        </w:rPr>
      </w:pPr>
      <w:r w:rsidRPr="00771368">
        <w:rPr>
          <w:sz w:val="24"/>
          <w:szCs w:val="24"/>
        </w:rPr>
        <w:t>“Mulheres são por natureza mais sensível, subjetiva e escolhem cursos que</w:t>
      </w:r>
    </w:p>
    <w:p w:rsidR="00D24E61" w:rsidRPr="00771368" w:rsidRDefault="00D24E61">
      <w:pPr>
        <w:spacing w:line="134" w:lineRule="exact"/>
        <w:rPr>
          <w:sz w:val="20"/>
          <w:szCs w:val="20"/>
        </w:rPr>
      </w:pPr>
    </w:p>
    <w:p w:rsidR="00D24E61" w:rsidRPr="00771368" w:rsidRDefault="00D24E61">
      <w:pPr>
        <w:rPr>
          <w:sz w:val="20"/>
          <w:szCs w:val="20"/>
        </w:rPr>
      </w:pPr>
      <w:r w:rsidRPr="00771368">
        <w:rPr>
          <w:sz w:val="24"/>
          <w:szCs w:val="24"/>
        </w:rPr>
        <w:t>possam aflorar seu lado feminino, maternal”;</w:t>
      </w:r>
    </w:p>
    <w:p w:rsidR="00D24E61" w:rsidRPr="00771368" w:rsidRDefault="00D24E61">
      <w:pPr>
        <w:spacing w:line="200" w:lineRule="exact"/>
        <w:rPr>
          <w:sz w:val="20"/>
          <w:szCs w:val="20"/>
        </w:rPr>
      </w:pPr>
    </w:p>
    <w:p w:rsidR="00D24E61" w:rsidRPr="00771368" w:rsidRDefault="00D24E61">
      <w:pPr>
        <w:spacing w:line="353" w:lineRule="exact"/>
        <w:rPr>
          <w:sz w:val="20"/>
          <w:szCs w:val="20"/>
        </w:rPr>
      </w:pPr>
    </w:p>
    <w:p w:rsidR="00D24E61" w:rsidRPr="00771368" w:rsidRDefault="00D24E61">
      <w:pPr>
        <w:ind w:left="1140"/>
        <w:rPr>
          <w:sz w:val="20"/>
          <w:szCs w:val="20"/>
        </w:rPr>
      </w:pPr>
      <w:r w:rsidRPr="00771368">
        <w:rPr>
          <w:sz w:val="24"/>
          <w:szCs w:val="24"/>
        </w:rPr>
        <w:t>- “Na pós-graduação as mulheres estão presentes e são mais envolvidas nas</w:t>
      </w:r>
    </w:p>
    <w:p w:rsidR="00D24E61" w:rsidRPr="00771368" w:rsidRDefault="00D24E61">
      <w:pPr>
        <w:spacing w:line="142" w:lineRule="exact"/>
        <w:rPr>
          <w:sz w:val="20"/>
          <w:szCs w:val="20"/>
        </w:rPr>
      </w:pPr>
    </w:p>
    <w:p w:rsidR="00D24E61" w:rsidRPr="00771368" w:rsidRDefault="00D24E61">
      <w:pPr>
        <w:rPr>
          <w:sz w:val="20"/>
          <w:szCs w:val="20"/>
        </w:rPr>
      </w:pPr>
      <w:r w:rsidRPr="00771368">
        <w:rPr>
          <w:sz w:val="24"/>
          <w:szCs w:val="24"/>
        </w:rPr>
        <w:t>pesquisas”;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3" w:lineRule="exact"/>
        <w:rPr>
          <w:sz w:val="20"/>
          <w:szCs w:val="20"/>
        </w:rPr>
      </w:pPr>
    </w:p>
    <w:p w:rsidR="00D24E61" w:rsidRPr="00771368" w:rsidRDefault="00D24E61">
      <w:pPr>
        <w:spacing w:line="304" w:lineRule="auto"/>
        <w:ind w:right="20" w:firstLine="1131"/>
        <w:jc w:val="both"/>
        <w:rPr>
          <w:sz w:val="20"/>
          <w:szCs w:val="20"/>
        </w:rPr>
      </w:pPr>
      <w:r w:rsidRPr="00771368">
        <w:rPr>
          <w:sz w:val="24"/>
          <w:szCs w:val="24"/>
        </w:rPr>
        <w:t>Esses posicionamentos retratam que a violência e o preconceito cultural em relação à presença da mulher aluna na academia está enraizados no imaginário coletivo.</w:t>
      </w:r>
    </w:p>
    <w:p w:rsidR="00D24E61" w:rsidRPr="00771368" w:rsidRDefault="00D24E61">
      <w:pPr>
        <w:spacing w:line="129" w:lineRule="exact"/>
        <w:rPr>
          <w:sz w:val="20"/>
          <w:szCs w:val="20"/>
        </w:rPr>
      </w:pPr>
    </w:p>
    <w:p w:rsidR="00D24E61" w:rsidRPr="00771368" w:rsidRDefault="00D24E61">
      <w:pPr>
        <w:spacing w:line="334" w:lineRule="auto"/>
        <w:ind w:firstLine="1131"/>
        <w:jc w:val="both"/>
        <w:rPr>
          <w:sz w:val="20"/>
          <w:szCs w:val="20"/>
        </w:rPr>
      </w:pPr>
      <w:r w:rsidRPr="00771368">
        <w:rPr>
          <w:sz w:val="24"/>
          <w:szCs w:val="24"/>
        </w:rPr>
        <w:t>Na sequência, a fim de melhor traçar o perfil do grupo feminino do CCET, foi efetuada a entrevista semiestruturada, planejada para as professoras e alunas, sobre o que discorreremos a seguir.</w:t>
      </w:r>
    </w:p>
    <w:p w:rsidR="00D24E61" w:rsidRPr="00771368" w:rsidRDefault="00D24E61">
      <w:pPr>
        <w:spacing w:line="27" w:lineRule="exact"/>
        <w:rPr>
          <w:sz w:val="20"/>
          <w:szCs w:val="20"/>
        </w:rPr>
      </w:pPr>
    </w:p>
    <w:p w:rsidR="00D24E61" w:rsidRPr="00771368" w:rsidRDefault="00D24E61">
      <w:pPr>
        <w:rPr>
          <w:sz w:val="20"/>
          <w:szCs w:val="20"/>
        </w:rPr>
      </w:pPr>
      <w:r w:rsidRPr="00771368">
        <w:rPr>
          <w:sz w:val="24"/>
          <w:szCs w:val="24"/>
        </w:rPr>
        <w:t>4.2 A VOZ FEMININA NO CCET</w:t>
      </w:r>
    </w:p>
    <w:p w:rsidR="00D24E61" w:rsidRPr="00771368" w:rsidRDefault="00D24E61">
      <w:pPr>
        <w:spacing w:line="202" w:lineRule="exact"/>
        <w:rPr>
          <w:sz w:val="20"/>
          <w:szCs w:val="20"/>
        </w:rPr>
      </w:pPr>
    </w:p>
    <w:p w:rsidR="00D24E61" w:rsidRPr="00771368" w:rsidRDefault="00D24E61">
      <w:pPr>
        <w:spacing w:line="341" w:lineRule="auto"/>
        <w:ind w:right="20" w:firstLine="1131"/>
        <w:jc w:val="both"/>
        <w:rPr>
          <w:sz w:val="20"/>
          <w:szCs w:val="20"/>
        </w:rPr>
      </w:pPr>
      <w:r w:rsidRPr="00771368">
        <w:rPr>
          <w:sz w:val="24"/>
          <w:szCs w:val="24"/>
        </w:rPr>
        <w:t>Iniciamos as entrevistas, perguntando às alunas acerca da motivação em relação à escolha do curso. As alunas verbalizaram que o estavam fazendo porque se identificam com a área tecnológica e por sentirem ter aptidão para ela. Fizeram questão de dizer que a família sempre as apoiara em suas decisões.</w:t>
      </w:r>
    </w:p>
    <w:p w:rsidR="00D24E61" w:rsidRPr="00771368" w:rsidRDefault="00D24E61">
      <w:pPr>
        <w:spacing w:line="343" w:lineRule="auto"/>
        <w:ind w:right="20" w:firstLine="1131"/>
        <w:jc w:val="both"/>
        <w:rPr>
          <w:sz w:val="20"/>
          <w:szCs w:val="20"/>
        </w:rPr>
      </w:pPr>
      <w:r w:rsidRPr="00771368">
        <w:rPr>
          <w:sz w:val="24"/>
          <w:szCs w:val="24"/>
        </w:rPr>
        <w:t>Essa afirmação demonstra-nos que a presença feminina nas Universidades está contribuindo para a percepção das mulheres como sujeitos e objetos de pesquisa e, simultaneamente, para a transformação da ciência androcêntrica, desmitificando preconceitos, como o de que as mulheres não gostam ou não querem cursos da área</w:t>
      </w:r>
    </w:p>
    <w:p w:rsidR="00D24E61" w:rsidRPr="00771368" w:rsidRDefault="00D24E61">
      <w:pPr>
        <w:spacing w:line="18" w:lineRule="exact"/>
        <w:rPr>
          <w:sz w:val="20"/>
          <w:szCs w:val="20"/>
        </w:rPr>
      </w:pPr>
    </w:p>
    <w:p w:rsidR="00D24E61" w:rsidRPr="00771368" w:rsidRDefault="00D24E61">
      <w:pPr>
        <w:rPr>
          <w:sz w:val="20"/>
          <w:szCs w:val="20"/>
        </w:rPr>
      </w:pPr>
      <w:r w:rsidRPr="00771368">
        <w:rPr>
          <w:sz w:val="24"/>
          <w:szCs w:val="24"/>
        </w:rPr>
        <w:t>tecnológica. As respostas apresentadas rompem, em parte, com esses preconceitos.</w:t>
      </w:r>
    </w:p>
    <w:p w:rsidR="00D24E61" w:rsidRPr="00771368" w:rsidRDefault="00D24E61">
      <w:pPr>
        <w:spacing w:line="341" w:lineRule="auto"/>
        <w:ind w:firstLine="1131"/>
        <w:jc w:val="both"/>
        <w:rPr>
          <w:sz w:val="20"/>
          <w:szCs w:val="20"/>
        </w:rPr>
      </w:pPr>
      <w:r w:rsidRPr="00771368">
        <w:rPr>
          <w:sz w:val="24"/>
          <w:szCs w:val="24"/>
        </w:rPr>
        <w:t>Outra questão abordada na entrevista diz respeito ao assédio, preconceitos ou discriminação sofridos nos espaços acadêmicos pela mulher. A esse respeito, elas disseram que nunca haviam passado por situações como tais, ou seja, nunca haviam sofrido assédio sexual, mas quanto ao preconceito por fazer um curso da área tecnológica com</w:t>
      </w:r>
    </w:p>
    <w:p w:rsidR="00D24E61" w:rsidRPr="00771368" w:rsidRDefault="00D24E61">
      <w:pPr>
        <w:spacing w:line="88" w:lineRule="exact"/>
        <w:rPr>
          <w:sz w:val="20"/>
          <w:szCs w:val="20"/>
        </w:rPr>
      </w:pPr>
    </w:p>
    <w:p w:rsidR="00D24E61" w:rsidRPr="00771368" w:rsidRDefault="00D24E61">
      <w:pPr>
        <w:spacing w:line="304" w:lineRule="auto"/>
        <w:jc w:val="both"/>
        <w:rPr>
          <w:sz w:val="20"/>
          <w:szCs w:val="20"/>
        </w:rPr>
      </w:pPr>
      <w:r w:rsidRPr="00771368">
        <w:rPr>
          <w:sz w:val="24"/>
          <w:szCs w:val="24"/>
        </w:rPr>
        <w:t>predominância da presença masculina, responderam afirmativamente e acrescentaram que maioria das mulheres passam por isso.</w:t>
      </w:r>
    </w:p>
    <w:p w:rsidR="00D24E61" w:rsidRPr="00771368" w:rsidRDefault="00D24E61">
      <w:pPr>
        <w:spacing w:line="129" w:lineRule="exact"/>
        <w:rPr>
          <w:sz w:val="20"/>
          <w:szCs w:val="20"/>
        </w:rPr>
      </w:pPr>
    </w:p>
    <w:p w:rsidR="00D24E61" w:rsidRPr="00771368" w:rsidRDefault="00D24E61">
      <w:pPr>
        <w:spacing w:line="347" w:lineRule="auto"/>
        <w:ind w:right="20" w:firstLine="1131"/>
        <w:jc w:val="both"/>
        <w:rPr>
          <w:sz w:val="20"/>
          <w:szCs w:val="20"/>
        </w:rPr>
      </w:pPr>
      <w:r w:rsidRPr="00771368">
        <w:rPr>
          <w:sz w:val="24"/>
          <w:szCs w:val="24"/>
        </w:rPr>
        <w:t xml:space="preserve">Sublinhamos que embora tenham afirmado não terem passado por situações de discriminação e assédio, percebe-se uma descriminação velada, com práticas de ideias e atitudes já abolidas legalmente, mas realizadas de formas sutis contra as mulheres em afirmações como: </w:t>
      </w:r>
      <w:r w:rsidRPr="00771368">
        <w:rPr>
          <w:i/>
          <w:iCs/>
          <w:sz w:val="24"/>
          <w:szCs w:val="24"/>
        </w:rPr>
        <w:t>“passei por situações que a maioria das mulheres passa em qualquer</w:t>
      </w:r>
      <w:r w:rsidRPr="00771368">
        <w:rPr>
          <w:sz w:val="24"/>
          <w:szCs w:val="24"/>
        </w:rPr>
        <w:t xml:space="preserve"> </w:t>
      </w:r>
      <w:r w:rsidRPr="00771368">
        <w:rPr>
          <w:i/>
          <w:iCs/>
          <w:sz w:val="24"/>
          <w:szCs w:val="24"/>
        </w:rPr>
        <w:t xml:space="preserve">área e profissão” </w:t>
      </w:r>
      <w:r w:rsidRPr="00771368">
        <w:rPr>
          <w:sz w:val="24"/>
          <w:szCs w:val="24"/>
        </w:rPr>
        <w:t>há uma naturalização dessas questões.</w:t>
      </w:r>
    </w:p>
    <w:p w:rsidR="00D24E61" w:rsidRPr="00771368" w:rsidRDefault="00D24E61">
      <w:pPr>
        <w:spacing w:line="72" w:lineRule="exact"/>
        <w:rPr>
          <w:sz w:val="20"/>
          <w:szCs w:val="20"/>
        </w:rPr>
      </w:pPr>
    </w:p>
    <w:p w:rsidR="00D24E61" w:rsidRPr="00771368" w:rsidRDefault="00D24E61">
      <w:pPr>
        <w:spacing w:line="333" w:lineRule="auto"/>
        <w:ind w:right="20" w:firstLine="1131"/>
        <w:jc w:val="both"/>
        <w:rPr>
          <w:sz w:val="20"/>
          <w:szCs w:val="20"/>
        </w:rPr>
      </w:pPr>
      <w:r w:rsidRPr="00771368">
        <w:rPr>
          <w:sz w:val="24"/>
          <w:szCs w:val="24"/>
        </w:rPr>
        <w:t>Quanto às professoras, observamos que em alguns questionamentos houve concordância com as vozes do alunado, ao dizerem, por exemplo, que é uma questão cultural a presença de poucas mulheres nos cursos da área tecnológica.</w:t>
      </w:r>
    </w:p>
    <w:p w:rsidR="00D24E61" w:rsidRPr="00771368" w:rsidRDefault="00D24E61">
      <w:pPr>
        <w:spacing w:line="97" w:lineRule="exact"/>
        <w:rPr>
          <w:sz w:val="20"/>
          <w:szCs w:val="20"/>
        </w:rPr>
      </w:pPr>
    </w:p>
    <w:p w:rsidR="00D24E61" w:rsidRPr="00771368" w:rsidRDefault="00D24E61">
      <w:pPr>
        <w:spacing w:line="347" w:lineRule="auto"/>
        <w:ind w:firstLine="1131"/>
        <w:jc w:val="both"/>
        <w:rPr>
          <w:sz w:val="20"/>
          <w:szCs w:val="20"/>
        </w:rPr>
      </w:pPr>
      <w:r w:rsidRPr="00771368">
        <w:rPr>
          <w:sz w:val="24"/>
          <w:szCs w:val="24"/>
        </w:rPr>
        <w:t>Finalmente, avaliamos que, quando se trata do relacionamento entre os gêneros no âmbito do Centro, os docentes, de modo geral, admitem que não existem atitudes de preconceito, discriminação, mas em relação ao público masculino, alguns, contrariamente, pontuaram que há, sim, preconceitos e discriminação, tanto por parte de alunos como de professores.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7" w:lineRule="exact"/>
        <w:rPr>
          <w:sz w:val="20"/>
          <w:szCs w:val="20"/>
        </w:rPr>
      </w:pPr>
    </w:p>
    <w:p w:rsidR="00D24E61" w:rsidRPr="00771368" w:rsidRDefault="00D24E61">
      <w:pPr>
        <w:rPr>
          <w:sz w:val="20"/>
          <w:szCs w:val="20"/>
        </w:rPr>
      </w:pPr>
      <w:r w:rsidRPr="00771368">
        <w:rPr>
          <w:b/>
          <w:bCs/>
          <w:sz w:val="24"/>
          <w:szCs w:val="24"/>
        </w:rPr>
        <w:t>5 CONSIDERAÇÕES FINAIS</w:t>
      </w:r>
    </w:p>
    <w:p w:rsidR="00D24E61" w:rsidRPr="00771368" w:rsidRDefault="00D24E61">
      <w:pPr>
        <w:spacing w:line="200" w:lineRule="exact"/>
        <w:rPr>
          <w:sz w:val="20"/>
          <w:szCs w:val="20"/>
        </w:rPr>
      </w:pPr>
    </w:p>
    <w:p w:rsidR="00D24E61" w:rsidRPr="00771368" w:rsidRDefault="00D24E61">
      <w:pPr>
        <w:spacing w:line="223" w:lineRule="exact"/>
        <w:rPr>
          <w:sz w:val="20"/>
          <w:szCs w:val="20"/>
        </w:rPr>
      </w:pPr>
    </w:p>
    <w:p w:rsidR="00D24E61" w:rsidRPr="00771368" w:rsidRDefault="00D24E61">
      <w:pPr>
        <w:spacing w:line="341" w:lineRule="auto"/>
        <w:ind w:right="20" w:firstLine="1131"/>
        <w:jc w:val="both"/>
        <w:rPr>
          <w:sz w:val="20"/>
          <w:szCs w:val="20"/>
        </w:rPr>
      </w:pPr>
      <w:r w:rsidRPr="00771368">
        <w:rPr>
          <w:sz w:val="24"/>
          <w:szCs w:val="24"/>
        </w:rPr>
        <w:t>Nosso objetivo neste estudo foi o de averiguar a presença da mulher em cursos superiores, em especial no CCET, da Universidade Federal do Maranhão. Sabemos que, atualmente, e as estatísticas comprovam que a presença da mulher é maioria neste nível de ensino. Dados elaborados pelo INEP, no período de 2001 a 2010, revelam que a presença</w:t>
      </w:r>
    </w:p>
    <w:p w:rsidR="00D24E61" w:rsidRPr="00771368" w:rsidRDefault="00D24E61">
      <w:pPr>
        <w:spacing w:line="310" w:lineRule="auto"/>
        <w:ind w:right="20"/>
        <w:jc w:val="both"/>
        <w:rPr>
          <w:sz w:val="20"/>
          <w:szCs w:val="20"/>
        </w:rPr>
      </w:pPr>
      <w:r w:rsidRPr="00771368">
        <w:rPr>
          <w:sz w:val="24"/>
          <w:szCs w:val="24"/>
        </w:rPr>
        <w:t>da mulher no ensino superior passa de 59%, enquanto que a presença masculina é de apenas 41%.</w:t>
      </w:r>
    </w:p>
    <w:p w:rsidR="00D24E61" w:rsidRPr="00771368" w:rsidRDefault="00D24E61">
      <w:pPr>
        <w:spacing w:line="115" w:lineRule="exact"/>
        <w:rPr>
          <w:sz w:val="20"/>
          <w:szCs w:val="20"/>
        </w:rPr>
      </w:pPr>
    </w:p>
    <w:p w:rsidR="00D24E61" w:rsidRPr="00771368" w:rsidRDefault="00D24E61">
      <w:pPr>
        <w:spacing w:line="355" w:lineRule="auto"/>
        <w:ind w:right="20" w:firstLine="1131"/>
        <w:jc w:val="both"/>
        <w:rPr>
          <w:sz w:val="20"/>
          <w:szCs w:val="20"/>
        </w:rPr>
      </w:pPr>
      <w:r w:rsidRPr="00771368">
        <w:rPr>
          <w:sz w:val="24"/>
          <w:szCs w:val="24"/>
        </w:rPr>
        <w:t>Na Universidade Federal do Maranhão, campo empírico do nosso estudo, no mesmo período, a matrícula feminina foi, também, maioria, representando 56%, contra 44% das masculinas. Entretanto, a presença da mulher concentra -se em cursos das áreas de Saúde, Humanas e Sociais, tradicionalmente intitulados femininos, como Enfermagem, Pedagogia e Serviço Social, enquanto que na área tecnológica a presença da mulher ainda é tímida, especialmente nos cursos de Ciência da Computação e Engenharia Elétrica. As que, rompendo barreiras, frequentam esses cursos contribuem para a percepção da mulher como sujeito e objeto de pesquisa e, simultaneamente, para a transformação da ciência androcêntrica, desmitificando os preconceitos de que as mulheres não gostam ou não querem cursos da área tecnológica. Corroborando esta perspectiva, diz Tourane (2010) assevera: “aquilo que pensam e fazem as mulheres é diferente, e até mesmo o oposto, daquilo que se diz que elas dizem e fazem”.</w:t>
      </w:r>
    </w:p>
    <w:p w:rsidR="00D24E61" w:rsidRPr="00771368" w:rsidRDefault="00D24E61">
      <w:pPr>
        <w:spacing w:line="72" w:lineRule="exact"/>
        <w:rPr>
          <w:sz w:val="20"/>
          <w:szCs w:val="20"/>
        </w:rPr>
      </w:pPr>
    </w:p>
    <w:p w:rsidR="00D24E61" w:rsidRPr="00771368" w:rsidRDefault="00D24E61">
      <w:pPr>
        <w:spacing w:line="350" w:lineRule="auto"/>
        <w:ind w:right="20" w:firstLine="1131"/>
        <w:jc w:val="both"/>
        <w:rPr>
          <w:sz w:val="20"/>
          <w:szCs w:val="20"/>
        </w:rPr>
      </w:pPr>
      <w:r w:rsidRPr="00771368">
        <w:rPr>
          <w:sz w:val="24"/>
          <w:szCs w:val="24"/>
        </w:rPr>
        <w:t>Apesar de todo marco legal dos direitos iguais, ainda persistem preconceitos e discriminação, mesmo que velados, quanto à presença da mulher em áreas ou cursos considerados redutos masculinos. Diz-se que as mulheres não estão nos cursos desta área porque “não gostam de Matemática, que o curso é puxado, que se sentem incapazes para fazer os cursos da área tecnológica”, mas esses são estereótipos que mostram o enfrentamento da mulher a diversas formas de preconceito e discriminação.</w:t>
      </w:r>
    </w:p>
    <w:p w:rsidR="00D24E61" w:rsidRPr="00771368" w:rsidRDefault="00D24E61">
      <w:pPr>
        <w:spacing w:line="70" w:lineRule="exact"/>
        <w:rPr>
          <w:sz w:val="20"/>
          <w:szCs w:val="20"/>
        </w:rPr>
      </w:pPr>
    </w:p>
    <w:p w:rsidR="00D24E61" w:rsidRPr="00771368" w:rsidRDefault="00D24E61">
      <w:pPr>
        <w:spacing w:line="347" w:lineRule="auto"/>
        <w:ind w:right="20" w:firstLine="1131"/>
        <w:jc w:val="both"/>
        <w:rPr>
          <w:sz w:val="20"/>
          <w:szCs w:val="20"/>
        </w:rPr>
      </w:pPr>
      <w:r w:rsidRPr="00771368">
        <w:rPr>
          <w:sz w:val="24"/>
          <w:szCs w:val="24"/>
        </w:rPr>
        <w:t>Evidenciamos que as mulheres que rompem com essas questões estão em cursos da área tecnológica por aptidão, satisfação pessoal e escolha própria, diferentemente de épocas passadas em que as mulheres deixavam de frequentar cursos desta área, não por falta de vocação e sim porque estes cursos eram tidos como masculinos, inibindo a sua presença.</w:t>
      </w:r>
    </w:p>
    <w:p w:rsidR="00D24E61" w:rsidRPr="00771368" w:rsidRDefault="00D24E61">
      <w:pPr>
        <w:spacing w:line="79" w:lineRule="exact"/>
        <w:rPr>
          <w:sz w:val="20"/>
          <w:szCs w:val="20"/>
        </w:rPr>
      </w:pPr>
    </w:p>
    <w:p w:rsidR="00D24E61" w:rsidRPr="00771368" w:rsidRDefault="00D24E61">
      <w:pPr>
        <w:spacing w:line="334" w:lineRule="auto"/>
        <w:ind w:right="20" w:firstLine="1131"/>
        <w:jc w:val="both"/>
        <w:rPr>
          <w:sz w:val="20"/>
          <w:szCs w:val="20"/>
        </w:rPr>
      </w:pPr>
      <w:r w:rsidRPr="00771368">
        <w:rPr>
          <w:sz w:val="24"/>
          <w:szCs w:val="24"/>
        </w:rPr>
        <w:t>Essas constatações apontam que se pode vislumbrar um anseio de mudança social e que esta mudança só poderá ser vivenciada quando as discussões emergirem dos espaços acadêmicos para a sociedade em geral, na formação básica do cidadão.</w:t>
      </w:r>
    </w:p>
    <w:p w:rsidR="002E3256" w:rsidRDefault="002E3256">
      <w:pPr>
        <w:ind w:left="3540"/>
        <w:rPr>
          <w:b/>
          <w:bCs/>
          <w:sz w:val="24"/>
          <w:szCs w:val="24"/>
        </w:rPr>
      </w:pPr>
    </w:p>
    <w:p w:rsidR="002E3256" w:rsidRDefault="002E3256">
      <w:pPr>
        <w:ind w:left="3540"/>
        <w:rPr>
          <w:b/>
          <w:bCs/>
          <w:sz w:val="24"/>
          <w:szCs w:val="24"/>
        </w:rPr>
      </w:pPr>
    </w:p>
    <w:p w:rsidR="00D24E61" w:rsidRPr="00771368" w:rsidRDefault="00D24E61">
      <w:pPr>
        <w:ind w:left="3540"/>
        <w:rPr>
          <w:sz w:val="20"/>
          <w:szCs w:val="20"/>
        </w:rPr>
      </w:pPr>
      <w:r w:rsidRPr="00771368">
        <w:rPr>
          <w:b/>
          <w:bCs/>
          <w:sz w:val="24"/>
          <w:szCs w:val="24"/>
        </w:rPr>
        <w:t>REFERÊNCIAS</w:t>
      </w:r>
    </w:p>
    <w:p w:rsidR="00D24E61" w:rsidRPr="00771368" w:rsidRDefault="00D24E61">
      <w:pPr>
        <w:spacing w:line="200" w:lineRule="exact"/>
        <w:rPr>
          <w:sz w:val="20"/>
          <w:szCs w:val="20"/>
        </w:rPr>
      </w:pPr>
    </w:p>
    <w:p w:rsidR="00D24E61" w:rsidRPr="00771368" w:rsidRDefault="00D24E61">
      <w:pPr>
        <w:rPr>
          <w:sz w:val="20"/>
          <w:szCs w:val="20"/>
        </w:rPr>
      </w:pPr>
      <w:r w:rsidRPr="00771368">
        <w:rPr>
          <w:sz w:val="24"/>
          <w:szCs w:val="24"/>
        </w:rPr>
        <w:t xml:space="preserve">ALAMBERT, Zuleika. </w:t>
      </w:r>
      <w:r w:rsidRPr="00771368">
        <w:rPr>
          <w:b/>
          <w:bCs/>
          <w:sz w:val="24"/>
          <w:szCs w:val="24"/>
        </w:rPr>
        <w:t>Feminismo: o ponto de vista marxista</w:t>
      </w:r>
      <w:r w:rsidRPr="00771368">
        <w:rPr>
          <w:sz w:val="24"/>
          <w:szCs w:val="24"/>
        </w:rPr>
        <w:t>. São Paulo: Nobel, 1986.</w:t>
      </w:r>
    </w:p>
    <w:p w:rsidR="00D24E61" w:rsidRPr="00771368" w:rsidRDefault="00D24E61">
      <w:pPr>
        <w:spacing w:line="339" w:lineRule="exact"/>
        <w:rPr>
          <w:sz w:val="20"/>
          <w:szCs w:val="20"/>
        </w:rPr>
      </w:pPr>
    </w:p>
    <w:p w:rsidR="00D24E61" w:rsidRPr="00771368" w:rsidRDefault="00D24E61">
      <w:pPr>
        <w:spacing w:line="212" w:lineRule="auto"/>
        <w:ind w:right="20"/>
        <w:jc w:val="both"/>
        <w:rPr>
          <w:sz w:val="20"/>
          <w:szCs w:val="20"/>
        </w:rPr>
      </w:pPr>
      <w:r w:rsidRPr="00771368">
        <w:rPr>
          <w:sz w:val="24"/>
          <w:szCs w:val="24"/>
        </w:rPr>
        <w:t xml:space="preserve">ALVES, B. M. PITANGUY. J. </w:t>
      </w:r>
      <w:r w:rsidRPr="00771368">
        <w:rPr>
          <w:b/>
          <w:bCs/>
          <w:sz w:val="24"/>
          <w:szCs w:val="24"/>
        </w:rPr>
        <w:t>O que é feminismo.</w:t>
      </w:r>
      <w:r w:rsidRPr="00771368">
        <w:rPr>
          <w:sz w:val="24"/>
          <w:szCs w:val="24"/>
        </w:rPr>
        <w:t xml:space="preserve"> São Paulo: Abril Cultural; Brasiliense, 1981.</w:t>
      </w:r>
    </w:p>
    <w:p w:rsidR="00D24E61" w:rsidRPr="00771368" w:rsidRDefault="00D24E61">
      <w:pPr>
        <w:spacing w:line="340" w:lineRule="exact"/>
        <w:rPr>
          <w:sz w:val="20"/>
          <w:szCs w:val="20"/>
        </w:rPr>
      </w:pPr>
    </w:p>
    <w:p w:rsidR="00D24E61" w:rsidRPr="00771368" w:rsidRDefault="00D24E61">
      <w:pPr>
        <w:spacing w:line="223" w:lineRule="auto"/>
        <w:ind w:right="20"/>
        <w:jc w:val="both"/>
        <w:rPr>
          <w:sz w:val="24"/>
          <w:szCs w:val="24"/>
        </w:rPr>
      </w:pPr>
      <w:r w:rsidRPr="00771368">
        <w:rPr>
          <w:sz w:val="24"/>
          <w:szCs w:val="24"/>
        </w:rPr>
        <w:t xml:space="preserve">BOHRER, Iza N. </w:t>
      </w:r>
      <w:r w:rsidRPr="00771368">
        <w:rPr>
          <w:i/>
          <w:iCs/>
          <w:sz w:val="24"/>
          <w:szCs w:val="24"/>
        </w:rPr>
        <w:t>et al.</w:t>
      </w:r>
      <w:r w:rsidRPr="00771368">
        <w:rPr>
          <w:sz w:val="24"/>
          <w:szCs w:val="24"/>
        </w:rPr>
        <w:t xml:space="preserve"> </w:t>
      </w:r>
      <w:r w:rsidRPr="00771368">
        <w:rPr>
          <w:b/>
          <w:bCs/>
          <w:sz w:val="24"/>
          <w:szCs w:val="24"/>
        </w:rPr>
        <w:t>A história das universidades:</w:t>
      </w:r>
      <w:r w:rsidRPr="00771368">
        <w:rPr>
          <w:sz w:val="24"/>
          <w:szCs w:val="24"/>
        </w:rPr>
        <w:t xml:space="preserve"> o despertar do conhecimento, 2008. Disponível em: &lt;</w:t>
      </w:r>
      <w:hyperlink r:id="rId131">
        <w:r w:rsidRPr="00771368">
          <w:rPr>
            <w:sz w:val="24"/>
            <w:szCs w:val="24"/>
            <w:u w:val="single"/>
          </w:rPr>
          <w:t>http://www.unifra.br/eventos/jne2008/Trabalhos/114.pdf</w:t>
        </w:r>
      </w:hyperlink>
      <w:r w:rsidRPr="00771368">
        <w:rPr>
          <w:sz w:val="24"/>
          <w:szCs w:val="24"/>
        </w:rPr>
        <w:t>&gt;. Acesso em: 5 maio 2010</w:t>
      </w:r>
    </w:p>
    <w:p w:rsidR="00D24E61" w:rsidRPr="00771368" w:rsidRDefault="00D24E61">
      <w:pPr>
        <w:spacing w:line="272" w:lineRule="exact"/>
        <w:rPr>
          <w:sz w:val="20"/>
          <w:szCs w:val="20"/>
        </w:rPr>
      </w:pPr>
    </w:p>
    <w:p w:rsidR="00D24E61" w:rsidRPr="00771368" w:rsidRDefault="00D24E61">
      <w:pPr>
        <w:rPr>
          <w:sz w:val="20"/>
          <w:szCs w:val="20"/>
        </w:rPr>
      </w:pPr>
      <w:r w:rsidRPr="00771368">
        <w:rPr>
          <w:sz w:val="24"/>
          <w:szCs w:val="24"/>
        </w:rPr>
        <w:t xml:space="preserve">BOURDIEU, Pierre </w:t>
      </w:r>
      <w:r w:rsidRPr="00771368">
        <w:rPr>
          <w:b/>
          <w:bCs/>
          <w:sz w:val="24"/>
          <w:szCs w:val="24"/>
        </w:rPr>
        <w:t>Dominação masculina</w:t>
      </w:r>
      <w:r w:rsidRPr="00771368">
        <w:rPr>
          <w:sz w:val="24"/>
          <w:szCs w:val="24"/>
        </w:rPr>
        <w:t>. Bertrand Brasil, Rio de Janeiro: 1999.</w:t>
      </w:r>
    </w:p>
    <w:p w:rsidR="00D24E61" w:rsidRPr="00771368" w:rsidRDefault="00D24E61">
      <w:pPr>
        <w:spacing w:line="358" w:lineRule="exact"/>
        <w:rPr>
          <w:sz w:val="20"/>
          <w:szCs w:val="20"/>
        </w:rPr>
      </w:pPr>
    </w:p>
    <w:p w:rsidR="00D24E61" w:rsidRPr="00771368" w:rsidRDefault="00D24E61">
      <w:pPr>
        <w:spacing w:line="239" w:lineRule="auto"/>
        <w:rPr>
          <w:sz w:val="20"/>
          <w:szCs w:val="20"/>
        </w:rPr>
      </w:pPr>
      <w:r w:rsidRPr="00771368">
        <w:rPr>
          <w:sz w:val="24"/>
          <w:szCs w:val="24"/>
        </w:rPr>
        <w:t xml:space="preserve">BRITZMAN, Deborah P.: </w:t>
      </w:r>
      <w:r w:rsidRPr="00771368">
        <w:rPr>
          <w:b/>
          <w:bCs/>
          <w:sz w:val="24"/>
          <w:szCs w:val="24"/>
        </w:rPr>
        <w:t>Identidade sexual, educação e currículo.</w:t>
      </w:r>
      <w:r w:rsidRPr="00771368">
        <w:rPr>
          <w:sz w:val="24"/>
          <w:szCs w:val="24"/>
        </w:rPr>
        <w:t xml:space="preserve"> Revista Educação e</w:t>
      </w:r>
    </w:p>
    <w:p w:rsidR="00D24E61" w:rsidRPr="00771368" w:rsidRDefault="00D24E61">
      <w:pPr>
        <w:spacing w:line="143" w:lineRule="exact"/>
        <w:rPr>
          <w:sz w:val="20"/>
          <w:szCs w:val="20"/>
        </w:rPr>
      </w:pPr>
    </w:p>
    <w:p w:rsidR="00D24E61" w:rsidRPr="00771368" w:rsidRDefault="00D24E61">
      <w:pPr>
        <w:rPr>
          <w:sz w:val="20"/>
          <w:szCs w:val="20"/>
        </w:rPr>
      </w:pPr>
      <w:r w:rsidRPr="00771368">
        <w:rPr>
          <w:sz w:val="24"/>
          <w:szCs w:val="24"/>
        </w:rPr>
        <w:t>Realidade. v.21, n. 1, p.71-96, Jan-Jun., 1999.</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3" w:lineRule="exact"/>
        <w:rPr>
          <w:sz w:val="20"/>
          <w:szCs w:val="20"/>
        </w:rPr>
      </w:pPr>
    </w:p>
    <w:p w:rsidR="00D24E61" w:rsidRPr="00771368" w:rsidRDefault="00D24E61">
      <w:pPr>
        <w:spacing w:line="231" w:lineRule="auto"/>
        <w:jc w:val="both"/>
        <w:rPr>
          <w:sz w:val="20"/>
          <w:szCs w:val="20"/>
        </w:rPr>
      </w:pPr>
      <w:r w:rsidRPr="00771368">
        <w:rPr>
          <w:sz w:val="24"/>
          <w:szCs w:val="24"/>
        </w:rPr>
        <w:t xml:space="preserve">CARDOSO, Ciro Flamarion; VAINFAS, Ronaldo. </w:t>
      </w:r>
      <w:r w:rsidRPr="00771368">
        <w:rPr>
          <w:b/>
          <w:bCs/>
          <w:sz w:val="24"/>
          <w:szCs w:val="24"/>
        </w:rPr>
        <w:t>Domínios da história:</w:t>
      </w:r>
      <w:r w:rsidRPr="00771368">
        <w:rPr>
          <w:sz w:val="24"/>
          <w:szCs w:val="24"/>
        </w:rPr>
        <w:t xml:space="preserve"> ensaios de teoria e metodologia. Rio de Janeiro, Campus, 1997.</w:t>
      </w:r>
    </w:p>
    <w:p w:rsidR="00D24E61" w:rsidRPr="00771368" w:rsidRDefault="00D24E61">
      <w:pPr>
        <w:spacing w:line="200" w:lineRule="exact"/>
        <w:rPr>
          <w:sz w:val="20"/>
          <w:szCs w:val="20"/>
        </w:rPr>
      </w:pPr>
    </w:p>
    <w:p w:rsidR="00D24E61" w:rsidRPr="00771368" w:rsidRDefault="00D24E61">
      <w:pPr>
        <w:spacing w:line="220" w:lineRule="exact"/>
        <w:rPr>
          <w:sz w:val="20"/>
          <w:szCs w:val="20"/>
        </w:rPr>
      </w:pPr>
    </w:p>
    <w:p w:rsidR="00D24E61" w:rsidRPr="00771368" w:rsidRDefault="00D24E61">
      <w:pPr>
        <w:spacing w:line="231" w:lineRule="auto"/>
        <w:ind w:right="20"/>
        <w:jc w:val="both"/>
        <w:rPr>
          <w:sz w:val="20"/>
          <w:szCs w:val="20"/>
        </w:rPr>
      </w:pPr>
      <w:r w:rsidRPr="00771368">
        <w:rPr>
          <w:sz w:val="24"/>
          <w:szCs w:val="24"/>
        </w:rPr>
        <w:t xml:space="preserve">CUNHA, Luiz Antonio. </w:t>
      </w:r>
      <w:r w:rsidRPr="00771368">
        <w:rPr>
          <w:b/>
          <w:bCs/>
          <w:sz w:val="24"/>
          <w:szCs w:val="24"/>
        </w:rPr>
        <w:t>A universidade temporã:</w:t>
      </w:r>
      <w:r w:rsidRPr="00771368">
        <w:rPr>
          <w:sz w:val="24"/>
          <w:szCs w:val="24"/>
        </w:rPr>
        <w:t xml:space="preserve"> O ensino superior, da Colônia à Era Vargas. 3ª edição [revista].São Paulo. UNESP, 2007.</w:t>
      </w:r>
    </w:p>
    <w:p w:rsidR="00D24E61" w:rsidRPr="00771368" w:rsidRDefault="00D24E61">
      <w:pPr>
        <w:spacing w:line="359" w:lineRule="exact"/>
        <w:rPr>
          <w:sz w:val="20"/>
          <w:szCs w:val="20"/>
        </w:rPr>
      </w:pPr>
    </w:p>
    <w:p w:rsidR="00D24E61" w:rsidRPr="00771368" w:rsidRDefault="00D24E61">
      <w:pPr>
        <w:rPr>
          <w:sz w:val="20"/>
          <w:szCs w:val="20"/>
        </w:rPr>
      </w:pPr>
      <w:r w:rsidRPr="00771368">
        <w:rPr>
          <w:sz w:val="24"/>
          <w:szCs w:val="24"/>
        </w:rPr>
        <w:t>DIAS  SOBRINHO,  José.  Educação  superior,  globalização  e  democratização.  Qual  a</w:t>
      </w:r>
    </w:p>
    <w:p w:rsidR="00D24E61" w:rsidRPr="00771368" w:rsidRDefault="00D24E61">
      <w:pPr>
        <w:spacing w:line="142" w:lineRule="exact"/>
        <w:rPr>
          <w:sz w:val="20"/>
          <w:szCs w:val="20"/>
        </w:rPr>
      </w:pPr>
    </w:p>
    <w:p w:rsidR="00D24E61" w:rsidRPr="00771368" w:rsidRDefault="00D24E61">
      <w:pPr>
        <w:rPr>
          <w:sz w:val="20"/>
          <w:szCs w:val="20"/>
        </w:rPr>
      </w:pPr>
      <w:r w:rsidRPr="00771368">
        <w:rPr>
          <w:sz w:val="24"/>
          <w:szCs w:val="24"/>
        </w:rPr>
        <w:t xml:space="preserve">Universidade? </w:t>
      </w:r>
      <w:r w:rsidRPr="00771368">
        <w:rPr>
          <w:b/>
          <w:bCs/>
          <w:sz w:val="24"/>
          <w:szCs w:val="24"/>
        </w:rPr>
        <w:t>Revista Brasileira de Educação</w:t>
      </w:r>
      <w:r w:rsidRPr="00771368">
        <w:rPr>
          <w:sz w:val="24"/>
          <w:szCs w:val="24"/>
        </w:rPr>
        <w:t>, R/ Janeiro, nº 28/2005 .</w:t>
      </w:r>
    </w:p>
    <w:p w:rsidR="00D24E61" w:rsidRPr="00771368" w:rsidRDefault="00D24E61">
      <w:pPr>
        <w:spacing w:line="200" w:lineRule="exact"/>
        <w:rPr>
          <w:sz w:val="20"/>
          <w:szCs w:val="20"/>
        </w:rPr>
      </w:pPr>
    </w:p>
    <w:p w:rsidR="00D24E61" w:rsidRPr="00771368" w:rsidRDefault="00D24E61">
      <w:pPr>
        <w:spacing w:line="352" w:lineRule="exact"/>
        <w:rPr>
          <w:sz w:val="20"/>
          <w:szCs w:val="20"/>
        </w:rPr>
      </w:pPr>
    </w:p>
    <w:p w:rsidR="00D24E61" w:rsidRPr="00771368" w:rsidRDefault="00D24E61">
      <w:pPr>
        <w:rPr>
          <w:sz w:val="20"/>
          <w:szCs w:val="20"/>
        </w:rPr>
      </w:pPr>
      <w:r w:rsidRPr="00771368">
        <w:rPr>
          <w:sz w:val="24"/>
          <w:szCs w:val="24"/>
        </w:rPr>
        <w:t xml:space="preserve">DUKHEIM, Emile. </w:t>
      </w:r>
      <w:r w:rsidRPr="00771368">
        <w:rPr>
          <w:b/>
          <w:bCs/>
          <w:sz w:val="24"/>
          <w:szCs w:val="24"/>
        </w:rPr>
        <w:t>A evolução pedagógica</w:t>
      </w:r>
      <w:r w:rsidRPr="00771368">
        <w:rPr>
          <w:sz w:val="24"/>
          <w:szCs w:val="24"/>
        </w:rPr>
        <w:t>: trad. Bruno Charles Magne. Porto Alegre:</w:t>
      </w:r>
    </w:p>
    <w:p w:rsidR="00D24E61" w:rsidRPr="00771368" w:rsidRDefault="00D24E61">
      <w:pPr>
        <w:spacing w:line="134" w:lineRule="exact"/>
        <w:rPr>
          <w:sz w:val="20"/>
          <w:szCs w:val="20"/>
        </w:rPr>
      </w:pPr>
    </w:p>
    <w:p w:rsidR="00D24E61" w:rsidRPr="00771368" w:rsidRDefault="00D24E61">
      <w:pPr>
        <w:rPr>
          <w:sz w:val="20"/>
          <w:szCs w:val="20"/>
        </w:rPr>
      </w:pPr>
      <w:r w:rsidRPr="00771368">
        <w:rPr>
          <w:sz w:val="24"/>
          <w:szCs w:val="24"/>
        </w:rPr>
        <w:t>Artes Médicas, 2002.</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3" w:lineRule="exact"/>
        <w:rPr>
          <w:sz w:val="20"/>
          <w:szCs w:val="20"/>
        </w:rPr>
      </w:pPr>
    </w:p>
    <w:p w:rsidR="00D24E61" w:rsidRPr="00771368" w:rsidRDefault="00D24E61">
      <w:pPr>
        <w:spacing w:line="231" w:lineRule="auto"/>
        <w:ind w:right="20"/>
        <w:jc w:val="both"/>
        <w:rPr>
          <w:sz w:val="20"/>
          <w:szCs w:val="20"/>
        </w:rPr>
      </w:pPr>
      <w:r w:rsidRPr="00771368">
        <w:rPr>
          <w:sz w:val="24"/>
          <w:szCs w:val="24"/>
        </w:rPr>
        <w:t xml:space="preserve">FERREIRA, Marieta de Moraes. </w:t>
      </w:r>
      <w:r w:rsidRPr="00771368">
        <w:rPr>
          <w:b/>
          <w:bCs/>
          <w:sz w:val="24"/>
          <w:szCs w:val="24"/>
        </w:rPr>
        <w:t>História Oral e multidisciplinaridade</w:t>
      </w:r>
      <w:r w:rsidRPr="00771368">
        <w:rPr>
          <w:sz w:val="24"/>
          <w:szCs w:val="24"/>
        </w:rPr>
        <w:t>. Rio de Janeiro: Diadorim Editora, 1994.</w:t>
      </w:r>
    </w:p>
    <w:p w:rsidR="00D24E61" w:rsidRPr="00771368" w:rsidRDefault="00D24E61">
      <w:pPr>
        <w:spacing w:line="200" w:lineRule="exact"/>
        <w:rPr>
          <w:sz w:val="20"/>
          <w:szCs w:val="20"/>
        </w:rPr>
      </w:pPr>
    </w:p>
    <w:p w:rsidR="00D24E61" w:rsidRPr="00771368" w:rsidRDefault="00D24E61">
      <w:pPr>
        <w:spacing w:line="227" w:lineRule="exact"/>
        <w:rPr>
          <w:sz w:val="20"/>
          <w:szCs w:val="20"/>
        </w:rPr>
      </w:pPr>
    </w:p>
    <w:p w:rsidR="00D24E61" w:rsidRPr="00771368" w:rsidRDefault="00D24E61">
      <w:pPr>
        <w:spacing w:line="231" w:lineRule="auto"/>
        <w:ind w:right="20"/>
        <w:jc w:val="both"/>
        <w:rPr>
          <w:sz w:val="20"/>
          <w:szCs w:val="20"/>
        </w:rPr>
      </w:pPr>
      <w:r w:rsidRPr="00771368">
        <w:rPr>
          <w:sz w:val="24"/>
          <w:szCs w:val="24"/>
        </w:rPr>
        <w:t xml:space="preserve">FLORESTA, Nísia. </w:t>
      </w:r>
      <w:r w:rsidRPr="00771368">
        <w:rPr>
          <w:b/>
          <w:bCs/>
          <w:sz w:val="24"/>
          <w:szCs w:val="24"/>
        </w:rPr>
        <w:t>Opúsculo humanitário</w:t>
      </w:r>
      <w:r w:rsidRPr="00771368">
        <w:rPr>
          <w:sz w:val="24"/>
          <w:szCs w:val="24"/>
        </w:rPr>
        <w:t>. São Paulo: Cortez; [Brasília, DF]: INEP, 1989.</w:t>
      </w:r>
    </w:p>
    <w:p w:rsidR="00D24E61" w:rsidRPr="00771368" w:rsidRDefault="00D24E61">
      <w:pPr>
        <w:spacing w:line="359" w:lineRule="exact"/>
        <w:rPr>
          <w:sz w:val="20"/>
          <w:szCs w:val="20"/>
        </w:rPr>
      </w:pPr>
    </w:p>
    <w:p w:rsidR="00D24E61" w:rsidRPr="00771368" w:rsidRDefault="00D24E61">
      <w:pPr>
        <w:rPr>
          <w:sz w:val="20"/>
          <w:szCs w:val="20"/>
        </w:rPr>
      </w:pPr>
      <w:r w:rsidRPr="00771368">
        <w:rPr>
          <w:sz w:val="24"/>
          <w:szCs w:val="24"/>
        </w:rPr>
        <w:t xml:space="preserve">FOUCAULT, M. </w:t>
      </w:r>
      <w:r w:rsidRPr="00771368">
        <w:rPr>
          <w:b/>
          <w:bCs/>
          <w:sz w:val="24"/>
          <w:szCs w:val="24"/>
        </w:rPr>
        <w:t>História da sexualidade III</w:t>
      </w:r>
      <w:r w:rsidRPr="00771368">
        <w:rPr>
          <w:sz w:val="24"/>
          <w:szCs w:val="24"/>
        </w:rPr>
        <w:t>: O cuidado de si. Grall: Rio de Janeiro.</w:t>
      </w:r>
    </w:p>
    <w:p w:rsidR="00D24E61" w:rsidRPr="00771368" w:rsidRDefault="00D24E61">
      <w:pPr>
        <w:spacing w:line="134" w:lineRule="exact"/>
        <w:rPr>
          <w:sz w:val="20"/>
          <w:szCs w:val="20"/>
        </w:rPr>
      </w:pPr>
    </w:p>
    <w:p w:rsidR="00D24E61" w:rsidRPr="00771368" w:rsidRDefault="00D24E61">
      <w:pPr>
        <w:rPr>
          <w:sz w:val="20"/>
          <w:szCs w:val="20"/>
        </w:rPr>
      </w:pPr>
      <w:r w:rsidRPr="00771368">
        <w:rPr>
          <w:sz w:val="24"/>
          <w:szCs w:val="24"/>
        </w:rPr>
        <w:t>1989.</w:t>
      </w:r>
    </w:p>
    <w:p w:rsidR="00D24E61" w:rsidRPr="00771368" w:rsidRDefault="00D24E61">
      <w:pPr>
        <w:spacing w:line="142" w:lineRule="exact"/>
        <w:rPr>
          <w:sz w:val="20"/>
          <w:szCs w:val="20"/>
        </w:rPr>
      </w:pPr>
    </w:p>
    <w:p w:rsidR="00D24E61" w:rsidRPr="00771368" w:rsidRDefault="00D24E61">
      <w:pPr>
        <w:rPr>
          <w:sz w:val="20"/>
          <w:szCs w:val="20"/>
        </w:rPr>
      </w:pPr>
      <w:r w:rsidRPr="00771368">
        <w:rPr>
          <w:sz w:val="24"/>
          <w:szCs w:val="24"/>
        </w:rPr>
        <w:t xml:space="preserve">LEÓN, María A. G. de. </w:t>
      </w:r>
      <w:r w:rsidRPr="00771368">
        <w:rPr>
          <w:b/>
          <w:bCs/>
          <w:sz w:val="24"/>
          <w:szCs w:val="24"/>
        </w:rPr>
        <w:t>Elites discriminadas</w:t>
      </w:r>
      <w:r w:rsidRPr="00771368">
        <w:rPr>
          <w:sz w:val="24"/>
          <w:szCs w:val="24"/>
        </w:rPr>
        <w:t>. Barcelona: Anthropós, 1994.</w:t>
      </w:r>
    </w:p>
    <w:p w:rsidR="002E3256" w:rsidRDefault="002E3256">
      <w:pPr>
        <w:spacing w:line="264" w:lineRule="auto"/>
        <w:jc w:val="both"/>
        <w:rPr>
          <w:sz w:val="24"/>
          <w:szCs w:val="24"/>
        </w:rPr>
      </w:pPr>
    </w:p>
    <w:p w:rsidR="00D24E61" w:rsidRPr="00771368" w:rsidRDefault="00D24E61">
      <w:pPr>
        <w:spacing w:line="264" w:lineRule="auto"/>
        <w:jc w:val="both"/>
        <w:rPr>
          <w:sz w:val="20"/>
          <w:szCs w:val="20"/>
        </w:rPr>
      </w:pPr>
      <w:r w:rsidRPr="00771368">
        <w:rPr>
          <w:sz w:val="24"/>
          <w:szCs w:val="24"/>
        </w:rPr>
        <w:t xml:space="preserve">LIMA, Alceu Amoroso. Humanismo pedagógico. Rio de Janeiro: Agir, 1954. In: MAGALDI, Ana Maria Bandeira de Mello; NEVES, Carla Villanova. Valores pedagógicos e profissão docente: um estudo sobre representações em torno do magistério e do “ser professora” (1930-1945). </w:t>
      </w:r>
      <w:r w:rsidRPr="00771368">
        <w:rPr>
          <w:b/>
          <w:bCs/>
          <w:sz w:val="24"/>
          <w:szCs w:val="24"/>
        </w:rPr>
        <w:t>Revista Brasileira de História da Educação.</w:t>
      </w:r>
      <w:r w:rsidRPr="00771368">
        <w:rPr>
          <w:sz w:val="24"/>
          <w:szCs w:val="24"/>
        </w:rPr>
        <w:t xml:space="preserve"> Campinas, n. 15, set./dez. 2007.</w:t>
      </w:r>
    </w:p>
    <w:p w:rsidR="00D24E61" w:rsidRPr="00771368" w:rsidRDefault="00D24E61">
      <w:pPr>
        <w:spacing w:line="331" w:lineRule="exact"/>
        <w:rPr>
          <w:sz w:val="20"/>
          <w:szCs w:val="20"/>
        </w:rPr>
      </w:pPr>
    </w:p>
    <w:p w:rsidR="00D24E61" w:rsidRPr="00D61223" w:rsidRDefault="00D24E61">
      <w:pPr>
        <w:rPr>
          <w:sz w:val="20"/>
          <w:szCs w:val="20"/>
          <w:lang w:val="en-US"/>
        </w:rPr>
      </w:pPr>
      <w:r w:rsidRPr="00771368">
        <w:rPr>
          <w:sz w:val="24"/>
          <w:szCs w:val="24"/>
        </w:rPr>
        <w:t xml:space="preserve">LOURO,  Guacira  Lopes.  Mulheres  na  sala  de  aula.  </w:t>
      </w:r>
      <w:r w:rsidRPr="00D61223">
        <w:rPr>
          <w:sz w:val="24"/>
          <w:szCs w:val="24"/>
          <w:lang w:val="en-US"/>
        </w:rPr>
        <w:t>In:  DEL  PRIORE,  Mary  (org.).</w:t>
      </w:r>
    </w:p>
    <w:p w:rsidR="00D24E61" w:rsidRPr="00D61223" w:rsidRDefault="00D24E61">
      <w:pPr>
        <w:spacing w:line="41" w:lineRule="exact"/>
        <w:rPr>
          <w:sz w:val="20"/>
          <w:szCs w:val="20"/>
          <w:lang w:val="en-US"/>
        </w:rPr>
      </w:pPr>
    </w:p>
    <w:p w:rsidR="00D24E61" w:rsidRPr="00771368" w:rsidRDefault="00D24E61">
      <w:pPr>
        <w:rPr>
          <w:sz w:val="20"/>
          <w:szCs w:val="20"/>
        </w:rPr>
      </w:pPr>
      <w:r w:rsidRPr="00771368">
        <w:rPr>
          <w:b/>
          <w:bCs/>
          <w:sz w:val="24"/>
          <w:szCs w:val="24"/>
        </w:rPr>
        <w:t xml:space="preserve">História das mulheres no Brasil. </w:t>
      </w:r>
      <w:r w:rsidRPr="00771368">
        <w:rPr>
          <w:sz w:val="24"/>
          <w:szCs w:val="24"/>
        </w:rPr>
        <w:t>São Paulo: Contexto, 2007.</w:t>
      </w:r>
    </w:p>
    <w:p w:rsidR="00D24E61" w:rsidRPr="00771368" w:rsidRDefault="00D24E61">
      <w:pPr>
        <w:spacing w:line="200" w:lineRule="exact"/>
        <w:rPr>
          <w:sz w:val="20"/>
          <w:szCs w:val="20"/>
        </w:rPr>
      </w:pPr>
    </w:p>
    <w:p w:rsidR="00D24E61" w:rsidRPr="00771368" w:rsidRDefault="00D24E61">
      <w:pPr>
        <w:spacing w:line="218" w:lineRule="exact"/>
        <w:rPr>
          <w:sz w:val="20"/>
          <w:szCs w:val="20"/>
        </w:rPr>
      </w:pPr>
    </w:p>
    <w:p w:rsidR="00D24E61" w:rsidRPr="00771368" w:rsidRDefault="00D24E61">
      <w:pPr>
        <w:spacing w:line="258" w:lineRule="auto"/>
        <w:jc w:val="both"/>
        <w:rPr>
          <w:sz w:val="20"/>
          <w:szCs w:val="20"/>
        </w:rPr>
      </w:pPr>
      <w:r w:rsidRPr="00771368">
        <w:rPr>
          <w:sz w:val="24"/>
          <w:szCs w:val="24"/>
        </w:rPr>
        <w:t xml:space="preserve">MAGALDI, Ana Maria Bandeira de Mello; NEVES, Carla Villanova. Valores pedagógicos e profissão docente: um estudo sobre representações em torno do magistério e do “ser professora” (1930-1945). </w:t>
      </w:r>
      <w:r w:rsidRPr="00771368">
        <w:rPr>
          <w:b/>
          <w:bCs/>
          <w:sz w:val="24"/>
          <w:szCs w:val="24"/>
        </w:rPr>
        <w:t>Revista Brasileira de História da Educação.</w:t>
      </w:r>
      <w:r w:rsidRPr="00771368">
        <w:rPr>
          <w:sz w:val="24"/>
          <w:szCs w:val="24"/>
        </w:rPr>
        <w:t xml:space="preserve"> Campinas, n. 15, set./dez. 2007.</w:t>
      </w:r>
    </w:p>
    <w:p w:rsidR="00D24E61" w:rsidRPr="00771368" w:rsidRDefault="00D24E61">
      <w:pPr>
        <w:spacing w:line="398" w:lineRule="exact"/>
        <w:rPr>
          <w:sz w:val="20"/>
          <w:szCs w:val="20"/>
        </w:rPr>
      </w:pPr>
    </w:p>
    <w:p w:rsidR="00D24E61" w:rsidRPr="00771368" w:rsidRDefault="00D24E61">
      <w:pPr>
        <w:spacing w:line="252" w:lineRule="auto"/>
        <w:ind w:right="20"/>
        <w:jc w:val="both"/>
        <w:rPr>
          <w:sz w:val="20"/>
          <w:szCs w:val="20"/>
        </w:rPr>
      </w:pPr>
      <w:r w:rsidRPr="00771368">
        <w:rPr>
          <w:sz w:val="24"/>
          <w:szCs w:val="24"/>
        </w:rPr>
        <w:t xml:space="preserve">NUNES, Clarice; CARVALHO, Marta Maria Chagas de. Historiografia da educação e fontes. IN: GONDRA, José Gonçalves (org.). </w:t>
      </w:r>
      <w:r w:rsidRPr="00771368">
        <w:rPr>
          <w:b/>
          <w:bCs/>
          <w:sz w:val="24"/>
          <w:szCs w:val="24"/>
        </w:rPr>
        <w:t>Pesquisa em história da educação no</w:t>
      </w:r>
      <w:r w:rsidRPr="00771368">
        <w:rPr>
          <w:sz w:val="24"/>
          <w:szCs w:val="24"/>
        </w:rPr>
        <w:t xml:space="preserve"> </w:t>
      </w:r>
      <w:r w:rsidRPr="00771368">
        <w:rPr>
          <w:b/>
          <w:bCs/>
          <w:sz w:val="24"/>
          <w:szCs w:val="24"/>
        </w:rPr>
        <w:t xml:space="preserve">Brasil. </w:t>
      </w:r>
      <w:r w:rsidRPr="00771368">
        <w:rPr>
          <w:sz w:val="24"/>
          <w:szCs w:val="24"/>
        </w:rPr>
        <w:t>Rio de Janeiro: DP&amp;A, 2005.</w:t>
      </w:r>
    </w:p>
    <w:p w:rsidR="00D24E61" w:rsidRPr="00771368" w:rsidRDefault="00D24E61">
      <w:pPr>
        <w:spacing w:line="345" w:lineRule="exact"/>
        <w:rPr>
          <w:sz w:val="20"/>
          <w:szCs w:val="20"/>
        </w:rPr>
      </w:pPr>
    </w:p>
    <w:p w:rsidR="00D24E61" w:rsidRPr="00771368" w:rsidRDefault="00D24E61">
      <w:pPr>
        <w:rPr>
          <w:sz w:val="20"/>
          <w:szCs w:val="20"/>
        </w:rPr>
      </w:pPr>
      <w:r w:rsidRPr="00771368">
        <w:rPr>
          <w:sz w:val="24"/>
          <w:szCs w:val="24"/>
        </w:rPr>
        <w:t xml:space="preserve">ROMANELLI, Otaiza de Oliveira. </w:t>
      </w:r>
      <w:r w:rsidRPr="00771368">
        <w:rPr>
          <w:b/>
          <w:bCs/>
          <w:sz w:val="24"/>
          <w:szCs w:val="24"/>
        </w:rPr>
        <w:t>História da Educação no Brasil</w:t>
      </w:r>
      <w:r w:rsidRPr="00771368">
        <w:rPr>
          <w:sz w:val="24"/>
          <w:szCs w:val="24"/>
        </w:rPr>
        <w:t>, 1930-1973. 18a ed.</w:t>
      </w:r>
    </w:p>
    <w:p w:rsidR="00D24E61" w:rsidRPr="00771368" w:rsidRDefault="00D24E61">
      <w:pPr>
        <w:spacing w:line="134" w:lineRule="exact"/>
        <w:rPr>
          <w:sz w:val="20"/>
          <w:szCs w:val="20"/>
        </w:rPr>
      </w:pPr>
    </w:p>
    <w:p w:rsidR="00D24E61" w:rsidRPr="00771368" w:rsidRDefault="00D24E61">
      <w:pPr>
        <w:rPr>
          <w:sz w:val="20"/>
          <w:szCs w:val="20"/>
        </w:rPr>
      </w:pPr>
      <w:r w:rsidRPr="00771368">
        <w:rPr>
          <w:sz w:val="24"/>
          <w:szCs w:val="24"/>
        </w:rPr>
        <w:t>Petrópolis: Editora Vozes, 2007</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3" w:lineRule="exact"/>
        <w:rPr>
          <w:sz w:val="20"/>
          <w:szCs w:val="20"/>
        </w:rPr>
      </w:pPr>
    </w:p>
    <w:p w:rsidR="00D24E61" w:rsidRPr="00771368" w:rsidRDefault="00D24E61">
      <w:pPr>
        <w:spacing w:line="231" w:lineRule="auto"/>
        <w:ind w:right="20"/>
        <w:jc w:val="both"/>
        <w:rPr>
          <w:sz w:val="20"/>
          <w:szCs w:val="20"/>
        </w:rPr>
      </w:pPr>
      <w:r w:rsidRPr="00771368">
        <w:rPr>
          <w:sz w:val="24"/>
          <w:szCs w:val="24"/>
        </w:rPr>
        <w:t xml:space="preserve">SCOTT, Joan. Gênero: uma categoria útil de análise história. </w:t>
      </w:r>
      <w:r w:rsidRPr="00771368">
        <w:rPr>
          <w:b/>
          <w:bCs/>
          <w:sz w:val="24"/>
          <w:szCs w:val="24"/>
        </w:rPr>
        <w:t>Educação e Realidade.</w:t>
      </w:r>
      <w:r w:rsidRPr="00771368">
        <w:rPr>
          <w:sz w:val="24"/>
          <w:szCs w:val="24"/>
        </w:rPr>
        <w:t xml:space="preserve"> 20(2): 71-99 jul/dez.1995.</w:t>
      </w:r>
    </w:p>
    <w:p w:rsidR="00D24E61" w:rsidRPr="00771368" w:rsidRDefault="00D24E61">
      <w:pPr>
        <w:spacing w:line="200" w:lineRule="exact"/>
        <w:rPr>
          <w:sz w:val="20"/>
          <w:szCs w:val="20"/>
        </w:rPr>
      </w:pPr>
    </w:p>
    <w:p w:rsidR="00D24E61" w:rsidRPr="00771368" w:rsidRDefault="00D24E61">
      <w:pPr>
        <w:spacing w:line="220" w:lineRule="exact"/>
        <w:rPr>
          <w:sz w:val="20"/>
          <w:szCs w:val="20"/>
        </w:rPr>
      </w:pPr>
    </w:p>
    <w:p w:rsidR="00D24E61" w:rsidRPr="00771368" w:rsidRDefault="00D24E61">
      <w:pPr>
        <w:spacing w:line="260" w:lineRule="auto"/>
        <w:ind w:right="20"/>
        <w:jc w:val="both"/>
        <w:rPr>
          <w:sz w:val="20"/>
          <w:szCs w:val="20"/>
        </w:rPr>
      </w:pPr>
      <w:r w:rsidRPr="00771368">
        <w:rPr>
          <w:sz w:val="24"/>
          <w:szCs w:val="24"/>
        </w:rPr>
        <w:t xml:space="preserve">SILVA, Vera Lúcia Gaspar da. Profissão: Professora! In: CAMPOS, Maria Christina Siqueira de Souza Campos; SILVA, Vera Lúcia Gaspar da (Coord.). </w:t>
      </w:r>
      <w:r w:rsidRPr="00771368">
        <w:rPr>
          <w:b/>
          <w:bCs/>
          <w:sz w:val="24"/>
          <w:szCs w:val="24"/>
        </w:rPr>
        <w:t>Feminização do</w:t>
      </w:r>
      <w:r w:rsidRPr="00771368">
        <w:rPr>
          <w:sz w:val="24"/>
          <w:szCs w:val="24"/>
        </w:rPr>
        <w:t xml:space="preserve"> </w:t>
      </w:r>
      <w:r w:rsidRPr="00771368">
        <w:rPr>
          <w:b/>
          <w:bCs/>
          <w:sz w:val="24"/>
          <w:szCs w:val="24"/>
        </w:rPr>
        <w:t xml:space="preserve">Magistério: vestígios do passado que marcam o presente. </w:t>
      </w:r>
      <w:r w:rsidRPr="00771368">
        <w:rPr>
          <w:sz w:val="24"/>
          <w:szCs w:val="24"/>
        </w:rPr>
        <w:t>Bragança Paulista: EDUSF,</w:t>
      </w:r>
      <w:r w:rsidRPr="00771368">
        <w:rPr>
          <w:b/>
          <w:bCs/>
          <w:sz w:val="24"/>
          <w:szCs w:val="24"/>
        </w:rPr>
        <w:t xml:space="preserve"> </w:t>
      </w:r>
      <w:r w:rsidRPr="00771368">
        <w:rPr>
          <w:sz w:val="24"/>
          <w:szCs w:val="24"/>
        </w:rPr>
        <w:t>2002.</w:t>
      </w:r>
    </w:p>
    <w:p w:rsidR="00D24E61" w:rsidRPr="00771368" w:rsidRDefault="00D24E61">
      <w:pPr>
        <w:spacing w:line="396" w:lineRule="exact"/>
        <w:rPr>
          <w:sz w:val="20"/>
          <w:szCs w:val="20"/>
        </w:rPr>
      </w:pPr>
    </w:p>
    <w:p w:rsidR="00D24E61" w:rsidRPr="00771368" w:rsidRDefault="00D24E61">
      <w:pPr>
        <w:spacing w:line="231" w:lineRule="auto"/>
        <w:ind w:right="20"/>
        <w:jc w:val="both"/>
        <w:rPr>
          <w:sz w:val="20"/>
          <w:szCs w:val="20"/>
        </w:rPr>
      </w:pPr>
      <w:r w:rsidRPr="00771368">
        <w:rPr>
          <w:sz w:val="24"/>
          <w:szCs w:val="24"/>
        </w:rPr>
        <w:t xml:space="preserve">SMITH, Bonnie G. </w:t>
      </w:r>
      <w:r w:rsidRPr="00771368">
        <w:rPr>
          <w:b/>
          <w:bCs/>
          <w:sz w:val="24"/>
          <w:szCs w:val="24"/>
        </w:rPr>
        <w:t>Gênero e História:</w:t>
      </w:r>
      <w:r w:rsidRPr="00771368">
        <w:rPr>
          <w:sz w:val="24"/>
          <w:szCs w:val="24"/>
        </w:rPr>
        <w:t xml:space="preserve"> homens, mulheres e a prática histórica. Bauru: EDUSC, 2003.</w:t>
      </w:r>
    </w:p>
    <w:p w:rsidR="00D24E61" w:rsidRPr="00771368" w:rsidRDefault="00D24E61">
      <w:pPr>
        <w:spacing w:line="200" w:lineRule="exact"/>
        <w:rPr>
          <w:sz w:val="20"/>
          <w:szCs w:val="20"/>
        </w:rPr>
      </w:pPr>
    </w:p>
    <w:p w:rsidR="00D24E61" w:rsidRPr="00771368" w:rsidRDefault="00D24E61">
      <w:pPr>
        <w:spacing w:line="220" w:lineRule="exact"/>
        <w:rPr>
          <w:sz w:val="20"/>
          <w:szCs w:val="20"/>
        </w:rPr>
      </w:pPr>
    </w:p>
    <w:p w:rsidR="00D24E61" w:rsidRPr="00771368" w:rsidRDefault="00D24E61">
      <w:pPr>
        <w:spacing w:line="249" w:lineRule="auto"/>
        <w:ind w:right="20"/>
        <w:rPr>
          <w:sz w:val="20"/>
          <w:szCs w:val="20"/>
        </w:rPr>
      </w:pPr>
      <w:r w:rsidRPr="00771368">
        <w:rPr>
          <w:sz w:val="24"/>
          <w:szCs w:val="24"/>
        </w:rPr>
        <w:t xml:space="preserve">SONNET, Martine. Uma filha para educar. In: PERROT, Michelle; DUBY, Georges (orgs.). </w:t>
      </w:r>
      <w:r w:rsidRPr="00771368">
        <w:rPr>
          <w:b/>
          <w:bCs/>
          <w:sz w:val="24"/>
          <w:szCs w:val="24"/>
        </w:rPr>
        <w:t>História das mulheres no Ocidente</w:t>
      </w:r>
      <w:r w:rsidRPr="00771368">
        <w:rPr>
          <w:sz w:val="24"/>
          <w:szCs w:val="24"/>
        </w:rPr>
        <w:t xml:space="preserve">. Porto: Edições Afrontamento, 1991. TOURAINE, Alain. O mundo das mulheres: tradução de Francisco Morás.2 ed. </w:t>
      </w:r>
      <w:r w:rsidRPr="00771368">
        <w:rPr>
          <w:b/>
          <w:bCs/>
          <w:sz w:val="24"/>
          <w:szCs w:val="24"/>
        </w:rPr>
        <w:t>Revista</w:t>
      </w:r>
      <w:r w:rsidRPr="00771368">
        <w:rPr>
          <w:sz w:val="24"/>
          <w:szCs w:val="24"/>
        </w:rPr>
        <w:t xml:space="preserve"> </w:t>
      </w:r>
      <w:r w:rsidRPr="00771368">
        <w:rPr>
          <w:b/>
          <w:bCs/>
          <w:sz w:val="24"/>
          <w:szCs w:val="24"/>
        </w:rPr>
        <w:t>–</w:t>
      </w:r>
    </w:p>
    <w:p w:rsidR="00D24E61" w:rsidRPr="00771368" w:rsidRDefault="00D24E61">
      <w:pPr>
        <w:spacing w:line="133" w:lineRule="exact"/>
        <w:rPr>
          <w:sz w:val="20"/>
          <w:szCs w:val="20"/>
        </w:rPr>
      </w:pPr>
    </w:p>
    <w:p w:rsidR="00D24E61" w:rsidRPr="00771368" w:rsidRDefault="00D24E61">
      <w:pPr>
        <w:rPr>
          <w:sz w:val="20"/>
          <w:szCs w:val="20"/>
        </w:rPr>
      </w:pPr>
      <w:r w:rsidRPr="00771368">
        <w:rPr>
          <w:b/>
          <w:bCs/>
          <w:sz w:val="24"/>
          <w:szCs w:val="24"/>
        </w:rPr>
        <w:t>Petrópolis</w:t>
      </w:r>
      <w:r w:rsidRPr="00771368">
        <w:rPr>
          <w:sz w:val="24"/>
          <w:szCs w:val="24"/>
        </w:rPr>
        <w:t>, RJ: Vozes, 2010.</w:t>
      </w:r>
    </w:p>
    <w:p w:rsidR="00D24E61" w:rsidRPr="00771368" w:rsidRDefault="00D24E61" w:rsidP="00D24E61">
      <w:pPr>
        <w:jc w:val="center"/>
      </w:pPr>
    </w:p>
    <w:p w:rsidR="002E3256" w:rsidRDefault="002E3256">
      <w:pPr>
        <w:rPr>
          <w:b/>
          <w:sz w:val="24"/>
          <w:szCs w:val="24"/>
        </w:rPr>
      </w:pPr>
      <w:r>
        <w:rPr>
          <w:b/>
          <w:sz w:val="24"/>
          <w:szCs w:val="24"/>
        </w:rPr>
        <w:br w:type="page"/>
      </w:r>
    </w:p>
    <w:p w:rsidR="00D24E61" w:rsidRPr="00771368" w:rsidRDefault="00D24E61" w:rsidP="00D24E61">
      <w:pPr>
        <w:jc w:val="center"/>
        <w:rPr>
          <w:b/>
          <w:sz w:val="24"/>
          <w:szCs w:val="24"/>
        </w:rPr>
      </w:pPr>
      <w:r w:rsidRPr="00771368">
        <w:rPr>
          <w:b/>
          <w:sz w:val="24"/>
          <w:szCs w:val="24"/>
        </w:rPr>
        <w:t>Faculdade Santíssimo Sacramento</w:t>
      </w:r>
    </w:p>
    <w:p w:rsidR="00D24E61" w:rsidRPr="00771368" w:rsidRDefault="00D24E61" w:rsidP="00D24E61">
      <w:pPr>
        <w:jc w:val="center"/>
        <w:rPr>
          <w:b/>
          <w:sz w:val="24"/>
          <w:szCs w:val="24"/>
        </w:rPr>
      </w:pPr>
      <w:r w:rsidRPr="00771368">
        <w:rPr>
          <w:b/>
          <w:sz w:val="24"/>
          <w:szCs w:val="24"/>
        </w:rPr>
        <w:t>Pós Graduação Pós - graduação em Saúde Coletiva com Ênfase em Saúde da Família.</w:t>
      </w:r>
    </w:p>
    <w:p w:rsidR="00D24E61" w:rsidRPr="00771368" w:rsidRDefault="00D24E61" w:rsidP="00D24E61">
      <w:pPr>
        <w:tabs>
          <w:tab w:val="left" w:pos="2610"/>
        </w:tabs>
        <w:jc w:val="center"/>
        <w:rPr>
          <w:b/>
          <w:sz w:val="24"/>
          <w:szCs w:val="24"/>
        </w:rPr>
      </w:pPr>
    </w:p>
    <w:p w:rsidR="00D24E61" w:rsidRPr="00771368" w:rsidRDefault="00D24E61" w:rsidP="00D24E61">
      <w:pPr>
        <w:tabs>
          <w:tab w:val="left" w:pos="2610"/>
        </w:tabs>
        <w:jc w:val="center"/>
        <w:rPr>
          <w:b/>
          <w:sz w:val="24"/>
          <w:szCs w:val="24"/>
        </w:rPr>
      </w:pPr>
      <w:r w:rsidRPr="00771368">
        <w:rPr>
          <w:b/>
          <w:sz w:val="24"/>
          <w:szCs w:val="24"/>
        </w:rPr>
        <w:t xml:space="preserve">Diferenças entre os sexos: Perfil epidemiológico da Hipertensão Arterial em mulheres de </w:t>
      </w:r>
      <w:smartTag w:uri="urn:schemas-microsoft-com:office:smarttags" w:element="metricconverter">
        <w:smartTagPr>
          <w:attr w:name="ProductID" w:val="20 a"/>
        </w:smartTagPr>
        <w:r w:rsidRPr="00771368">
          <w:rPr>
            <w:b/>
            <w:sz w:val="24"/>
            <w:szCs w:val="24"/>
          </w:rPr>
          <w:t>20 a</w:t>
        </w:r>
      </w:smartTag>
      <w:r w:rsidRPr="00771368">
        <w:rPr>
          <w:b/>
          <w:sz w:val="24"/>
          <w:szCs w:val="24"/>
        </w:rPr>
        <w:t xml:space="preserve"> 60 anos no bairro da URBIS III no município de Alagoinhas, BAHIA.</w:t>
      </w:r>
    </w:p>
    <w:p w:rsidR="00D24E61" w:rsidRPr="00771368" w:rsidRDefault="00D24E61" w:rsidP="002E3256">
      <w:pPr>
        <w:pStyle w:val="Ttulo1"/>
      </w:pPr>
      <w:bookmarkStart w:id="52" w:name="_Toc442034741"/>
      <w:r w:rsidRPr="00771368">
        <w:t>Ana Claudia Santos Pinheiro</w:t>
      </w:r>
      <w:r w:rsidRPr="00771368">
        <w:rPr>
          <w:rStyle w:val="Refdenotaderodap"/>
          <w:b/>
          <w:szCs w:val="24"/>
        </w:rPr>
        <w:footnoteReference w:id="106"/>
      </w:r>
      <w:bookmarkEnd w:id="52"/>
      <w:r w:rsidRPr="00771368">
        <w:t xml:space="preserve"> </w:t>
      </w:r>
    </w:p>
    <w:p w:rsidR="00D24E61" w:rsidRPr="00771368" w:rsidRDefault="00D24E61" w:rsidP="00D24E61">
      <w:pPr>
        <w:jc w:val="right"/>
        <w:rPr>
          <w:b/>
          <w:sz w:val="24"/>
          <w:szCs w:val="24"/>
        </w:rPr>
      </w:pPr>
      <w:r w:rsidRPr="00771368">
        <w:rPr>
          <w:b/>
          <w:sz w:val="24"/>
          <w:szCs w:val="24"/>
        </w:rPr>
        <w:t>Claudia Cerqueira Graça</w:t>
      </w:r>
      <w:r w:rsidRPr="00771368">
        <w:rPr>
          <w:rStyle w:val="Refdenotaderodap"/>
          <w:b/>
          <w:sz w:val="24"/>
          <w:szCs w:val="24"/>
        </w:rPr>
        <w:footnoteReference w:id="107"/>
      </w:r>
    </w:p>
    <w:p w:rsidR="00D24E61" w:rsidRPr="00771368" w:rsidRDefault="00D24E61" w:rsidP="00D24E61">
      <w:pPr>
        <w:rPr>
          <w:b/>
          <w:caps/>
        </w:rPr>
      </w:pPr>
      <w:r w:rsidRPr="00771368">
        <w:rPr>
          <w:b/>
          <w:caps/>
        </w:rPr>
        <w:t xml:space="preserve">Resumo </w:t>
      </w:r>
    </w:p>
    <w:p w:rsidR="00D24E61" w:rsidRPr="00771368" w:rsidRDefault="00D24E61" w:rsidP="00D24E61">
      <w:pPr>
        <w:tabs>
          <w:tab w:val="left" w:pos="2685"/>
        </w:tabs>
        <w:contextualSpacing/>
        <w:jc w:val="both"/>
        <w:rPr>
          <w:shd w:val="clear" w:color="auto" w:fill="FFFFFF"/>
        </w:rPr>
      </w:pPr>
      <w:r w:rsidRPr="00771368">
        <w:t xml:space="preserve">Os hábitos de vida e os fatores de risco para hipertensão arterial tem tornado as mulheres modernas mais expostas às doenças do aparelho circulatório. A hipertensão arterial sistêmica (HAS) representa na atualidade um grave problema de saúde publica e o infarto é a primeira causa de mortalidade entre as mulheres. O objetivo deste estudo foi Identificar o perfil epidemiológico das mulheres com Hipertensão Arterial Sistêmica, </w:t>
      </w:r>
      <w:r w:rsidRPr="00771368">
        <w:rPr>
          <w:shd w:val="clear" w:color="auto" w:fill="FFFFFF"/>
        </w:rPr>
        <w:t xml:space="preserve">na faixa etária de </w:t>
      </w:r>
      <w:smartTag w:uri="urn:schemas-microsoft-com:office:smarttags" w:element="metricconverter">
        <w:smartTagPr>
          <w:attr w:name="ProductID" w:val="20 a"/>
        </w:smartTagPr>
        <w:r w:rsidRPr="00771368">
          <w:rPr>
            <w:shd w:val="clear" w:color="auto" w:fill="FFFFFF"/>
          </w:rPr>
          <w:t>20 a</w:t>
        </w:r>
      </w:smartTag>
      <w:r w:rsidRPr="00771368">
        <w:rPr>
          <w:shd w:val="clear" w:color="auto" w:fill="FFFFFF"/>
        </w:rPr>
        <w:t xml:space="preserve"> 60 anos</w:t>
      </w:r>
      <w:r w:rsidRPr="00771368">
        <w:t>, residente na URBIS III na Cidade de Alagoinhas, abordando os fatores socioeconômicos, culturais e a tripla jornada de vida.</w:t>
      </w:r>
      <w:r w:rsidRPr="00771368">
        <w:rPr>
          <w:shd w:val="clear" w:color="auto" w:fill="FFFFFF"/>
        </w:rPr>
        <w:t xml:space="preserve"> </w:t>
      </w:r>
      <w:r w:rsidRPr="00771368">
        <w:t xml:space="preserve">Para a coleta de dados foi utilizado um questionário estruturado e aferição da PA. Todas as 26 mulheres entrevistadas possuíam tripla jornada de vida e diagnostico medico para HAS. Das mulheres pesquisadas todas possuíam tripla jornada de vida, destas 26 foi o alvo da pesquisa, pois possuíam diagnostico medico para HAS. 25% de </w:t>
      </w:r>
      <w:smartTag w:uri="urn:schemas-microsoft-com:office:smarttags" w:element="metricconverter">
        <w:smartTagPr>
          <w:attr w:name="ProductID" w:val="31 A"/>
        </w:smartTagPr>
        <w:r w:rsidRPr="00771368">
          <w:t>31 a</w:t>
        </w:r>
      </w:smartTag>
      <w:r w:rsidRPr="00771368">
        <w:t xml:space="preserve"> 40 anos, 30% de </w:t>
      </w:r>
      <w:smartTag w:uri="urn:schemas-microsoft-com:office:smarttags" w:element="metricconverter">
        <w:smartTagPr>
          <w:attr w:name="ProductID" w:val="41 a"/>
        </w:smartTagPr>
        <w:r w:rsidRPr="00771368">
          <w:t>41 a</w:t>
        </w:r>
      </w:smartTag>
      <w:r w:rsidRPr="00771368">
        <w:t xml:space="preserve"> 50 anos, 45% de </w:t>
      </w:r>
      <w:smartTag w:uri="urn:schemas-microsoft-com:office:smarttags" w:element="metricconverter">
        <w:smartTagPr>
          <w:attr w:name="ProductID" w:val="51 A"/>
        </w:smartTagPr>
        <w:r w:rsidRPr="00771368">
          <w:t>51 a</w:t>
        </w:r>
      </w:smartTag>
      <w:r w:rsidRPr="00771368">
        <w:t xml:space="preserve"> 60 anos. O caráter hereditário para hipertensão arterial apareceu em 100%. Quanto ao uso do anti-hipertensivo 34% já fez uso, 62% fazem uso, 4% às vezes. Quanto ao uso de contraceptivo hormonal 65 % já fez uso, 64% consumiam bebida alcoólica, 50% eram tabagistas e 50% não eram tabagistas, 66% praticavam atividade física regularmente, 62% estavam no período da menopausa.</w:t>
      </w:r>
      <w:r w:rsidRPr="00771368">
        <w:rPr>
          <w:b/>
          <w:color w:val="FF0000"/>
          <w:shd w:val="clear" w:color="auto" w:fill="FFFFFF"/>
        </w:rPr>
        <w:t xml:space="preserve"> </w:t>
      </w:r>
      <w:r w:rsidRPr="00771368">
        <w:rPr>
          <w:shd w:val="clear" w:color="auto" w:fill="FFFFFF"/>
        </w:rPr>
        <w:t>Este estudo epidemiológico tem grande importância para a ciência, pois associados a novos estudos podem auxiliar na formulação de políticas e pratica de saúde voltada a prevenção da hipertensão arterial em mulheres.</w:t>
      </w:r>
    </w:p>
    <w:p w:rsidR="00D24E61" w:rsidRPr="00771368" w:rsidRDefault="00D24E61" w:rsidP="00D24E61">
      <w:pPr>
        <w:tabs>
          <w:tab w:val="left" w:pos="2685"/>
        </w:tabs>
        <w:contextualSpacing/>
        <w:jc w:val="both"/>
        <w:rPr>
          <w:shd w:val="clear" w:color="auto" w:fill="FFFFFF"/>
        </w:rPr>
      </w:pPr>
    </w:p>
    <w:p w:rsidR="00D24E61" w:rsidRPr="00771368" w:rsidRDefault="00D24E61" w:rsidP="00D24E61">
      <w:pPr>
        <w:tabs>
          <w:tab w:val="left" w:pos="2685"/>
        </w:tabs>
        <w:contextualSpacing/>
        <w:jc w:val="both"/>
      </w:pPr>
      <w:r w:rsidRPr="00771368">
        <w:rPr>
          <w:b/>
        </w:rPr>
        <w:t>Palavra chave</w:t>
      </w:r>
      <w:r w:rsidRPr="00771368">
        <w:t>- perfil epidemiológico; estilo de vida; hipertensão arterial em mulheres.</w:t>
      </w:r>
    </w:p>
    <w:p w:rsidR="00D24E61" w:rsidRPr="00771368" w:rsidRDefault="00D24E61" w:rsidP="00D24E61">
      <w:pPr>
        <w:tabs>
          <w:tab w:val="left" w:pos="2685"/>
        </w:tabs>
        <w:contextualSpacing/>
        <w:jc w:val="both"/>
      </w:pPr>
      <w:r w:rsidRPr="00771368">
        <w:t xml:space="preserve"> </w:t>
      </w:r>
    </w:p>
    <w:p w:rsidR="00D24E61" w:rsidRPr="00771368" w:rsidRDefault="00D24E61" w:rsidP="00D24E61">
      <w:pPr>
        <w:textAlignment w:val="top"/>
        <w:rPr>
          <w:b/>
          <w:caps/>
          <w:lang w:val="en-US"/>
        </w:rPr>
      </w:pPr>
      <w:r w:rsidRPr="00771368">
        <w:rPr>
          <w:b/>
          <w:caps/>
          <w:lang w:val="en-US"/>
        </w:rPr>
        <w:t xml:space="preserve">Abstract </w:t>
      </w:r>
    </w:p>
    <w:p w:rsidR="00D24E61" w:rsidRPr="00D61223" w:rsidRDefault="00D24E61" w:rsidP="00D24E61">
      <w:pPr>
        <w:textAlignment w:val="top"/>
        <w:rPr>
          <w:color w:val="888888"/>
          <w:sz w:val="20"/>
          <w:szCs w:val="20"/>
          <w:lang w:val="en-US"/>
        </w:rPr>
      </w:pPr>
    </w:p>
    <w:p w:rsidR="00D24E61" w:rsidRPr="00D61223" w:rsidRDefault="00D24E61" w:rsidP="00D24E61">
      <w:pPr>
        <w:jc w:val="both"/>
        <w:textAlignment w:val="top"/>
        <w:rPr>
          <w:color w:val="888888"/>
          <w:sz w:val="20"/>
          <w:szCs w:val="20"/>
          <w:lang w:val="en-US"/>
        </w:rPr>
      </w:pPr>
      <w:r w:rsidRPr="00771368">
        <w:rPr>
          <w:color w:val="000000"/>
          <w:sz w:val="24"/>
          <w:szCs w:val="24"/>
          <w:lang w:val="en-US"/>
        </w:rPr>
        <w:t xml:space="preserve">Life habits and risk factors for hypertension has become modern women more vulnerable to diseases of the circulatory system. Hypertension (HTN) is nowadays a serious public health problem and infarction is the leading cause of mortality among women. The aim of this study was to identify the epidemiological profile of women with systemic hypertension, aged 20-60 years, resident in the City of URBIS III Alagoinhas, addressing the socioeconomic, cultural and triple life journey. To collect data we used a structured questionnaire and blood pressure values. All 26 women interviewed had long hours of life and medical diagnosis for hypertension. </w:t>
      </w:r>
      <w:r w:rsidRPr="00D61223">
        <w:rPr>
          <w:color w:val="000000"/>
          <w:sz w:val="24"/>
          <w:szCs w:val="24"/>
          <w:lang w:val="en-US"/>
        </w:rPr>
        <w:t>Of all women surveyed had long hours of life, these 26 was the target of research because had a medical diagnosis for hypertension. 25% from 31 to 40 years, 30% from 41 to 50 years, 45% from 51 to 60 years. The hereditary hypertension appeared to be 100%. Regarding the use of antihypertensive has used 34%, 62% use, 4% sometimes. Regarding the use of hormonal contraceptives has used 65%, 64% consumed alcohol, 50% were smokers and 50% were smokers, 66% exercised regularly, 62% were in the menopausal period.</w:t>
      </w:r>
      <w:r w:rsidRPr="00771368">
        <w:rPr>
          <w:color w:val="000000"/>
          <w:sz w:val="24"/>
          <w:szCs w:val="24"/>
          <w:lang w:val="en-US"/>
        </w:rPr>
        <w:t>This epidemiological study is of great importance to science, as related to new studies can be created policies and practices aimed at health prevention of hypertension in women.</w:t>
      </w:r>
    </w:p>
    <w:p w:rsidR="00D24E61" w:rsidRPr="00D61223" w:rsidRDefault="00D24E61" w:rsidP="00D24E61">
      <w:pPr>
        <w:spacing w:before="100" w:beforeAutospacing="1" w:after="100" w:afterAutospacing="1"/>
        <w:jc w:val="both"/>
        <w:textAlignment w:val="top"/>
        <w:rPr>
          <w:lang w:val="en-US"/>
        </w:rPr>
      </w:pPr>
      <w:r w:rsidRPr="00D61223">
        <w:rPr>
          <w:b/>
          <w:caps/>
          <w:lang w:val="en-US"/>
        </w:rPr>
        <w:t>Keyword-</w:t>
      </w:r>
      <w:r w:rsidRPr="00D61223">
        <w:rPr>
          <w:b/>
          <w:lang w:val="en-US"/>
        </w:rPr>
        <w:t xml:space="preserve"> </w:t>
      </w:r>
      <w:r w:rsidRPr="00D61223">
        <w:rPr>
          <w:lang w:val="en-US"/>
        </w:rPr>
        <w:t>epidemiological profile, lifestyle, arterial hypertension in women.</w:t>
      </w:r>
    </w:p>
    <w:p w:rsidR="00D24E61" w:rsidRPr="00771368" w:rsidRDefault="00D24E61" w:rsidP="00D24E61">
      <w:pPr>
        <w:spacing w:line="360" w:lineRule="auto"/>
        <w:jc w:val="both"/>
        <w:rPr>
          <w:b/>
          <w:sz w:val="24"/>
          <w:szCs w:val="28"/>
          <w:shd w:val="clear" w:color="auto" w:fill="FFFFFF"/>
        </w:rPr>
      </w:pPr>
      <w:r w:rsidRPr="00771368">
        <w:rPr>
          <w:b/>
          <w:sz w:val="24"/>
          <w:szCs w:val="28"/>
          <w:shd w:val="clear" w:color="auto" w:fill="FFFFFF"/>
        </w:rPr>
        <w:t>INTRODUÇÃO</w:t>
      </w:r>
    </w:p>
    <w:p w:rsidR="00D24E61" w:rsidRPr="00771368" w:rsidRDefault="00D24E61" w:rsidP="00D24E61">
      <w:pPr>
        <w:pStyle w:val="NormalWeb"/>
        <w:spacing w:before="0" w:beforeAutospacing="0" w:after="0" w:afterAutospacing="0" w:line="360" w:lineRule="auto"/>
        <w:ind w:firstLine="709"/>
        <w:contextualSpacing/>
        <w:jc w:val="both"/>
      </w:pPr>
      <w:r w:rsidRPr="00771368">
        <w:rPr>
          <w:bCs/>
        </w:rPr>
        <w:t xml:space="preserve">Os hábitos de vida e os fatores de risco para hipertensão arterial tem tornado as mulheres modernas mais expostas às doenças do aparelho circulatório. Comprovam isso dados </w:t>
      </w:r>
      <w:r w:rsidRPr="00771368">
        <w:t xml:space="preserve">dos estudos realizados por Lessa (2001) e Hartmann et al. (2007) que verificaram que no Brasil, no período de janeiro de </w:t>
      </w:r>
      <w:smartTag w:uri="urn:schemas-microsoft-com:office:smarttags" w:element="metricconverter">
        <w:smartTagPr>
          <w:attr w:name="ProductID" w:val="1998 a"/>
        </w:smartTagPr>
        <w:r w:rsidRPr="00771368">
          <w:t>1998 a</w:t>
        </w:r>
      </w:smartTag>
      <w:r w:rsidRPr="00771368">
        <w:t xml:space="preserve"> junho de 2001, ocorreram cerca de 204.227 internações hospitalares de mulheres por Hipertensão Arterial Sistêmica (HAS), o que representou 11,6% das internações por doenças cardiovasculares específicas.</w:t>
      </w:r>
    </w:p>
    <w:p w:rsidR="00D24E61" w:rsidRPr="00771368" w:rsidRDefault="00D24E61" w:rsidP="00D24E61">
      <w:pPr>
        <w:pStyle w:val="NormalWeb"/>
        <w:spacing w:before="0" w:beforeAutospacing="0" w:after="0" w:afterAutospacing="0" w:line="360" w:lineRule="auto"/>
        <w:ind w:firstLine="709"/>
        <w:contextualSpacing/>
        <w:jc w:val="both"/>
      </w:pPr>
      <w:r w:rsidRPr="00771368">
        <w:t xml:space="preserve">A mulher moderna tem conquistado seu espaço através de sua competência, dedicação e empenho, não medindo esforços para encarar novos desafios. Em contrapartida, enfrenta a dura realidade de conciliar três funções: a vida profissional, a vida pessoal e a maternidade. Administrar essa “tripla jornada” de vida, com a exigência da sociedade em ser bem sucedida nas três atribuições, não é tarefa fácil. Para assumir essa missão sem stress é necessário o apoio de todos os envolvidos, o que na prática nem sempre acontece. </w:t>
      </w:r>
    </w:p>
    <w:p w:rsidR="00D24E61" w:rsidRPr="00771368" w:rsidRDefault="00D24E61" w:rsidP="00D24E61">
      <w:pPr>
        <w:spacing w:line="360" w:lineRule="auto"/>
        <w:ind w:firstLine="709"/>
        <w:contextualSpacing/>
        <w:jc w:val="both"/>
        <w:rPr>
          <w:sz w:val="24"/>
          <w:szCs w:val="24"/>
          <w:shd w:val="clear" w:color="auto" w:fill="FFFFFF"/>
        </w:rPr>
      </w:pPr>
      <w:r w:rsidRPr="00771368">
        <w:rPr>
          <w:bCs/>
          <w:sz w:val="24"/>
          <w:szCs w:val="24"/>
        </w:rPr>
        <w:t xml:space="preserve">O infarto é hoje a primeira causa de mortalidade entre as mulheres. </w:t>
      </w:r>
      <w:r w:rsidRPr="00771368">
        <w:rPr>
          <w:sz w:val="24"/>
          <w:szCs w:val="24"/>
        </w:rPr>
        <w:t>Há aproximadamente uma década, para cada dez infartos do miocárdio, nove ocorriam em homens e somente um em mulheres. Hoje, esta proporção de infarto do miocárdio aumentou, pois para cada três pessoas infartadas uma é mulher. Sabe-se também que o risco de doenças coronárias em mulheres aumenta em quatro vezes após a menopausa (BRASIL, 2003).</w:t>
      </w:r>
    </w:p>
    <w:p w:rsidR="00D24E61" w:rsidRPr="00771368" w:rsidRDefault="00D24E61" w:rsidP="00D24E61">
      <w:pPr>
        <w:spacing w:line="360" w:lineRule="auto"/>
        <w:ind w:firstLine="709"/>
        <w:contextualSpacing/>
        <w:jc w:val="both"/>
        <w:rPr>
          <w:sz w:val="24"/>
          <w:szCs w:val="24"/>
        </w:rPr>
      </w:pPr>
      <w:r w:rsidRPr="00771368">
        <w:rPr>
          <w:sz w:val="24"/>
          <w:szCs w:val="24"/>
        </w:rPr>
        <w:t>Segundo a Organização Mundial de Saúde (OMS), a mortalidade entre mulheres provocada por infarto e por acidente vascular cerebral é duas vezes mais elevada do que por todos os tipos de câncer somados. O Acidente Vascular cerebral (AVC) é atualmente a terceira causa de mortalidade para o público feminino.</w:t>
      </w:r>
    </w:p>
    <w:p w:rsidR="00D24E61" w:rsidRPr="00771368" w:rsidRDefault="00D24E61" w:rsidP="00D24E61">
      <w:pPr>
        <w:pStyle w:val="NormalWeb"/>
        <w:spacing w:before="0" w:beforeAutospacing="0" w:after="0" w:afterAutospacing="0" w:line="360" w:lineRule="auto"/>
        <w:ind w:firstLine="709"/>
        <w:contextualSpacing/>
        <w:jc w:val="both"/>
      </w:pPr>
      <w:r w:rsidRPr="00771368">
        <w:t>Quatro grandes grupos de fatores têm sido relacionados como determinantes para os “riscos de problemas do aparelho circulatório”: 1) determinantes constitucionais que são aqueles inerentes ao indivíduo e não são passíveis de modificação; 2) os comportamentais que estão relacionados a comportamentos e hábitos de vida, sendo passíveis de modificação; 3) os relacionados a patologias ou distúrbios metabólicos, gerados por uma combinação de fatores genéticos e ambientais que, uma vez eliminados, reduzidos ou controlados, apresentam significativo impacto na ocorrência de morbimortalidade; 4) e os ligados a aspectos econômicos e culturais, que demandam profundas modificações nas estruturas e relações sociais (BLOCH, 1998).</w:t>
      </w:r>
    </w:p>
    <w:p w:rsidR="00D24E61" w:rsidRPr="00771368" w:rsidRDefault="00D24E61" w:rsidP="00D24E61">
      <w:pPr>
        <w:pStyle w:val="NormalWeb"/>
        <w:spacing w:before="0" w:beforeAutospacing="0" w:after="0" w:afterAutospacing="0" w:line="360" w:lineRule="auto"/>
        <w:ind w:firstLine="709"/>
        <w:contextualSpacing/>
        <w:jc w:val="both"/>
        <w:rPr>
          <w:color w:val="000000"/>
          <w:sz w:val="27"/>
          <w:szCs w:val="27"/>
        </w:rPr>
      </w:pPr>
      <w:r w:rsidRPr="00771368">
        <w:rPr>
          <w:color w:val="000000"/>
        </w:rPr>
        <w:t xml:space="preserve">Hipertensão arterial é uma síndrome clínica caracterizada pela elevação da pressão arterial a níveis iguais ou superiores a </w:t>
      </w:r>
      <w:smartTag w:uri="urn:schemas-microsoft-com:office:smarttags" w:element="metricconverter">
        <w:smartTagPr>
          <w:attr w:name="ProductID" w:val="140 mm"/>
        </w:smartTagPr>
        <w:r w:rsidRPr="00771368">
          <w:rPr>
            <w:color w:val="000000"/>
          </w:rPr>
          <w:t>140 mm</w:t>
        </w:r>
      </w:smartTag>
      <w:r w:rsidRPr="00771368">
        <w:rPr>
          <w:color w:val="000000"/>
        </w:rPr>
        <w:t xml:space="preserve"> Hg de pressão sistólica e/ ou </w:t>
      </w:r>
      <w:smartTag w:uri="urn:schemas-microsoft-com:office:smarttags" w:element="metricconverter">
        <w:smartTagPr>
          <w:attr w:name="ProductID" w:val="90 mm"/>
        </w:smartTagPr>
        <w:r w:rsidRPr="00771368">
          <w:rPr>
            <w:color w:val="000000"/>
          </w:rPr>
          <w:t>90 mm</w:t>
        </w:r>
      </w:smartTag>
      <w:r w:rsidRPr="00771368">
        <w:rPr>
          <w:color w:val="000000"/>
        </w:rPr>
        <w:t xml:space="preserve"> Hg de diastólica — em pelo menos duas aferições subseqüentes — obtidas em dias diferentes, ou em condições de repouso e ambiente tranqüilo. Quase sempre, acompanham esses achados de forma progressiva, lesões nos vasos sanguíneos com conseqüentes alterações de órgãos alvos como cérebro, coração, rins e retina. Geralmente, é uma doença silenciosa: não dói, não provoca sintomas, entretanto, pode matar. Quando ocorrem sintomas, já decorrem de complicações.</w:t>
      </w:r>
    </w:p>
    <w:p w:rsidR="00D24E61" w:rsidRPr="00771368" w:rsidRDefault="00D24E61" w:rsidP="00D24E61">
      <w:pPr>
        <w:pStyle w:val="NormalWeb"/>
        <w:spacing w:before="0" w:beforeAutospacing="0" w:after="0" w:afterAutospacing="0" w:line="360" w:lineRule="auto"/>
        <w:ind w:firstLine="709"/>
        <w:contextualSpacing/>
        <w:jc w:val="both"/>
      </w:pPr>
      <w:r w:rsidRPr="00771368">
        <w:t xml:space="preserve">Portanto a hipertensão arterial sistêmica (HAS) é uma das doenças do aparelho circulatório, que acomete muitas mulheres, representa na atualidade um grave problema de saúde pública, pois são freqüentes as internações levando ao aumento dos custos financeiros para o sistema de saúde publica riscos de infecção hospitalar, maior número de aposentados por invalidez, aumento de despesas para a previdência social, custos com reabilitação e a necessidade de adequação dos espaços para estes pacientes, devido aos agravos relacionados aos fatores de risco. </w:t>
      </w:r>
    </w:p>
    <w:p w:rsidR="00D24E61" w:rsidRPr="00771368" w:rsidRDefault="00D24E61" w:rsidP="00D24E61">
      <w:pPr>
        <w:pStyle w:val="NormalWeb"/>
        <w:spacing w:before="0" w:beforeAutospacing="0" w:after="0" w:afterAutospacing="0" w:line="360" w:lineRule="auto"/>
        <w:ind w:firstLine="709"/>
        <w:contextualSpacing/>
        <w:jc w:val="both"/>
        <w:rPr>
          <w:b/>
          <w:bCs/>
        </w:rPr>
      </w:pPr>
      <w:r w:rsidRPr="00771368">
        <w:t>Diante do exposto, identificar o perfil epidemiológico das mulheres com hipertensão arterial sistêmica associado a tripla jornada de vida, é o que se pretende nesse trabalho.</w:t>
      </w:r>
    </w:p>
    <w:p w:rsidR="00D24E61" w:rsidRPr="00771368" w:rsidRDefault="00D24E61" w:rsidP="00D24E61">
      <w:pPr>
        <w:spacing w:line="360" w:lineRule="auto"/>
        <w:contextualSpacing/>
        <w:jc w:val="both"/>
        <w:rPr>
          <w:b/>
          <w:sz w:val="24"/>
          <w:szCs w:val="28"/>
        </w:rPr>
      </w:pPr>
      <w:r w:rsidRPr="00771368">
        <w:rPr>
          <w:b/>
          <w:sz w:val="24"/>
          <w:szCs w:val="28"/>
        </w:rPr>
        <w:t>METODOLOGIA</w:t>
      </w:r>
    </w:p>
    <w:p w:rsidR="00D24E61" w:rsidRPr="00771368" w:rsidRDefault="00D24E61" w:rsidP="00D24E61">
      <w:pPr>
        <w:spacing w:line="360" w:lineRule="auto"/>
        <w:ind w:firstLine="709"/>
        <w:contextualSpacing/>
        <w:jc w:val="both"/>
        <w:rPr>
          <w:sz w:val="24"/>
          <w:szCs w:val="24"/>
        </w:rPr>
      </w:pPr>
      <w:r w:rsidRPr="00771368">
        <w:rPr>
          <w:sz w:val="24"/>
          <w:szCs w:val="24"/>
        </w:rPr>
        <w:t>Desenvolveu-se um estudo epidemiológico, transversal de abordagem quantitativa de caráter descritivo, sendo escolhido pela possibilidade de descrever as características de determinada população, fenômeno ou estabelecimento de relações entre variáveis com baixo custo e o alto potencial descritivo.</w:t>
      </w:r>
    </w:p>
    <w:p w:rsidR="00D24E61" w:rsidRPr="00771368" w:rsidRDefault="00D24E61" w:rsidP="00D24E61">
      <w:pPr>
        <w:pStyle w:val="NormalWeb"/>
        <w:spacing w:before="0" w:beforeAutospacing="0" w:after="0" w:afterAutospacing="0" w:line="360" w:lineRule="auto"/>
        <w:ind w:firstLine="709"/>
        <w:contextualSpacing/>
        <w:jc w:val="both"/>
      </w:pPr>
      <w:r w:rsidRPr="00771368">
        <w:rPr>
          <w:bCs/>
        </w:rPr>
        <w:t>A pesquisa desenvolveu-se no município de Alagoinhas</w:t>
      </w:r>
      <w:r w:rsidRPr="00771368">
        <w:rPr>
          <w:rStyle w:val="apple-converted-space"/>
          <w:rFonts w:eastAsia="Calibri"/>
        </w:rPr>
        <w:t> </w:t>
      </w:r>
      <w:r w:rsidRPr="00771368">
        <w:t>que está localizado no leste da</w:t>
      </w:r>
      <w:r w:rsidRPr="00771368">
        <w:rPr>
          <w:rStyle w:val="apple-converted-space"/>
          <w:rFonts w:eastAsia="Calibri"/>
        </w:rPr>
        <w:t> </w:t>
      </w:r>
      <w:hyperlink r:id="rId132" w:tooltip="Bahia" w:history="1">
        <w:r w:rsidRPr="00771368">
          <w:rPr>
            <w:rStyle w:val="Hyperlink"/>
          </w:rPr>
          <w:t>Bahia</w:t>
        </w:r>
      </w:hyperlink>
      <w:r w:rsidRPr="00771368">
        <w:t>, possui extensão territorial de 752,39</w:t>
      </w:r>
      <w:r w:rsidRPr="00771368">
        <w:rPr>
          <w:rStyle w:val="apple-converted-space"/>
          <w:rFonts w:eastAsia="Calibri"/>
        </w:rPr>
        <w:t> </w:t>
      </w:r>
      <w:hyperlink r:id="rId133" w:tooltip="Km²" w:history="1">
        <w:r w:rsidRPr="00771368">
          <w:rPr>
            <w:rStyle w:val="Hyperlink"/>
          </w:rPr>
          <w:t>km²</w:t>
        </w:r>
      </w:hyperlink>
      <w:r w:rsidRPr="00771368">
        <w:rPr>
          <w:rStyle w:val="apple-converted-space"/>
          <w:rFonts w:eastAsia="Calibri"/>
        </w:rPr>
        <w:t xml:space="preserve">  </w:t>
      </w:r>
      <w:r w:rsidRPr="00771368">
        <w:t xml:space="preserve">e a 11ª cidade do estado em densidade demográfica, com uma população estimada em 142.160 habitantes. Do total dos habitantes 124.245 habitantes residem na zona urbana, havendo uma ligeira predominância do sexo feminino com numero total de 74.779 e 67.381 homens (IBGE, 2010). </w:t>
      </w:r>
    </w:p>
    <w:p w:rsidR="00D24E61" w:rsidRPr="00771368" w:rsidRDefault="00D24E61" w:rsidP="00D24E61">
      <w:pPr>
        <w:autoSpaceDE w:val="0"/>
        <w:autoSpaceDN w:val="0"/>
        <w:adjustRightInd w:val="0"/>
        <w:spacing w:line="360" w:lineRule="auto"/>
        <w:ind w:firstLine="709"/>
        <w:contextualSpacing/>
        <w:jc w:val="both"/>
        <w:rPr>
          <w:sz w:val="24"/>
          <w:szCs w:val="24"/>
          <w:shd w:val="clear" w:color="auto" w:fill="FFFFFF"/>
        </w:rPr>
      </w:pPr>
      <w:r w:rsidRPr="00771368">
        <w:rPr>
          <w:sz w:val="24"/>
          <w:szCs w:val="24"/>
          <w:shd w:val="clear" w:color="auto" w:fill="FFFFFF"/>
        </w:rPr>
        <w:t xml:space="preserve">O conjunto URBIS III, bairro localizado no bairro da Rua do Catu foi eleito para pesquisa de campo. A URBIS III recebe a denominação de Conjunto Habitacional Frei Leão de Marotta, foi inaugurado em 19/06/1982 no governo de Antonio Carlos Magalhães. </w:t>
      </w:r>
    </w:p>
    <w:p w:rsidR="00D24E61" w:rsidRPr="00771368" w:rsidRDefault="00D24E61" w:rsidP="00D24E61">
      <w:pPr>
        <w:pStyle w:val="Corpodetexto"/>
        <w:spacing w:before="0" w:beforeAutospacing="0" w:after="0" w:afterAutospacing="0" w:line="360" w:lineRule="auto"/>
        <w:ind w:firstLine="709"/>
        <w:contextualSpacing/>
        <w:jc w:val="both"/>
        <w:rPr>
          <w:shd w:val="clear" w:color="auto" w:fill="FFFFFF"/>
        </w:rPr>
      </w:pPr>
      <w:r w:rsidRPr="00771368">
        <w:rPr>
          <w:shd w:val="clear" w:color="auto" w:fill="FFFFFF"/>
        </w:rPr>
        <w:t xml:space="preserve">Os sujeitos da pesquisa foram moradoras do bairro URBIS III  na faixa etária de </w:t>
      </w:r>
      <w:smartTag w:uri="urn:schemas-microsoft-com:office:smarttags" w:element="metricconverter">
        <w:smartTagPr>
          <w:attr w:name="ProductID" w:val="20 a"/>
        </w:smartTagPr>
        <w:r w:rsidRPr="00771368">
          <w:rPr>
            <w:shd w:val="clear" w:color="auto" w:fill="FFFFFF"/>
          </w:rPr>
          <w:t>20 a</w:t>
        </w:r>
      </w:smartTag>
      <w:r w:rsidRPr="00771368">
        <w:rPr>
          <w:shd w:val="clear" w:color="auto" w:fill="FFFFFF"/>
        </w:rPr>
        <w:t xml:space="preserve"> 60 anos. Foram entrevistadas 60 mulheres escolhidas de forma intencional, através dos dados coletados na associação de moradores, tendo como fator de inclusão tripla jornada de vida e estar na faixa etária de </w:t>
      </w:r>
      <w:smartTag w:uri="urn:schemas-microsoft-com:office:smarttags" w:element="metricconverter">
        <w:smartTagPr>
          <w:attr w:name="ProductID" w:val="20 a"/>
        </w:smartTagPr>
        <w:r w:rsidRPr="00771368">
          <w:rPr>
            <w:shd w:val="clear" w:color="auto" w:fill="FFFFFF"/>
          </w:rPr>
          <w:t>20 a</w:t>
        </w:r>
      </w:smartTag>
      <w:r w:rsidRPr="00771368">
        <w:rPr>
          <w:shd w:val="clear" w:color="auto" w:fill="FFFFFF"/>
        </w:rPr>
        <w:t xml:space="preserve"> 60 anos, objetivando-se conhecer o estilo de vida do grupo, destacando os fatores de risco para hipertensão arterial. Do total da amostra apenas os dados de 26 mulheres que possuíam diagnostico medico para HAS foram utilizados para a construção do perfil epidemiológico de hipertensão arterial feminina.  Foram excluídas mulheres menores que 20 e maiores de 60 anos, que não possuíssem tripla jornada de vida e não apresentasse diagnostico para HAS. </w:t>
      </w:r>
    </w:p>
    <w:p w:rsidR="00D24E61" w:rsidRPr="00771368" w:rsidRDefault="00D24E61" w:rsidP="00D24E61">
      <w:pPr>
        <w:autoSpaceDE w:val="0"/>
        <w:autoSpaceDN w:val="0"/>
        <w:adjustRightInd w:val="0"/>
        <w:spacing w:line="360" w:lineRule="auto"/>
        <w:ind w:firstLine="709"/>
        <w:contextualSpacing/>
        <w:jc w:val="both"/>
        <w:rPr>
          <w:b/>
          <w:sz w:val="24"/>
          <w:szCs w:val="24"/>
        </w:rPr>
      </w:pPr>
      <w:r w:rsidRPr="00771368">
        <w:rPr>
          <w:sz w:val="24"/>
          <w:szCs w:val="24"/>
        </w:rPr>
        <w:t xml:space="preserve">Para a coleta de dados foi utilizado um questionário estruturado com 11 perguntas, abordando assuntos pertinentes a fatores de risco para hipertensão, como hereditariedade, etilismo, tabagismo, pratica de atividade física, hábitos alimentares, uso de anti-hipertensivos, contraceptivos oral ou injetável, faixa etária, obesidade e menopausa. Ao final do questionário foram anotados os valores pressóricos mensurados 15 minutos </w:t>
      </w:r>
      <w:r w:rsidRPr="00771368">
        <w:rPr>
          <w:sz w:val="24"/>
          <w:szCs w:val="24"/>
          <w:shd w:val="clear" w:color="auto" w:fill="FFFFFF"/>
        </w:rPr>
        <w:t xml:space="preserve">após a chegada do entrevistador. Durante este tempo as mulheres foram orientadas sobre hipertensão arterial (conceito, fatores de risco, prognostico, tratamento), </w:t>
      </w:r>
      <w:r w:rsidRPr="00771368">
        <w:rPr>
          <w:sz w:val="24"/>
          <w:szCs w:val="24"/>
        </w:rPr>
        <w:t>num período de cinco dias consecutivos durante uma semana.</w:t>
      </w:r>
    </w:p>
    <w:p w:rsidR="00D24E61" w:rsidRPr="00771368" w:rsidRDefault="00D24E61" w:rsidP="00D24E61">
      <w:pPr>
        <w:pStyle w:val="Corpodetexto"/>
        <w:spacing w:before="0" w:beforeAutospacing="0" w:after="0" w:afterAutospacing="0" w:line="360" w:lineRule="auto"/>
        <w:ind w:firstLine="709"/>
        <w:contextualSpacing/>
        <w:jc w:val="both"/>
      </w:pPr>
      <w:r w:rsidRPr="00771368">
        <w:t>Os dados coletados foram condensados e a partir deles construídos tabelas e gráficos para descrever o perfil epidemiológico das mulheres da URBIS III da Cidade de Alagoinhas, utilizando-se o programa computacional Microsoft Excel 2007.</w:t>
      </w:r>
    </w:p>
    <w:p w:rsidR="00D24E61" w:rsidRPr="00771368" w:rsidRDefault="00D24E61" w:rsidP="00D24E61">
      <w:pPr>
        <w:pStyle w:val="Corpodetexto"/>
        <w:spacing w:before="0" w:beforeAutospacing="0" w:after="0" w:afterAutospacing="0" w:line="360" w:lineRule="auto"/>
        <w:ind w:firstLine="709"/>
        <w:contextualSpacing/>
        <w:jc w:val="both"/>
      </w:pPr>
      <w:r w:rsidRPr="00771368">
        <w:t>Todos os participantes da pesquisa assinaram um Termo de Consentimento Livre e Esclarecido contendo informações referentes ao desenvolvimento da pesquisa, a participação aconteceu por livre e espontânea vontade.</w:t>
      </w:r>
    </w:p>
    <w:p w:rsidR="00D24E61" w:rsidRPr="00771368" w:rsidRDefault="00D24E61" w:rsidP="00D24E61">
      <w:pPr>
        <w:pStyle w:val="Corpodetexto"/>
        <w:spacing w:before="0" w:beforeAutospacing="0" w:after="0" w:afterAutospacing="0" w:line="360" w:lineRule="auto"/>
        <w:contextualSpacing/>
        <w:jc w:val="both"/>
        <w:rPr>
          <w:b/>
          <w:szCs w:val="28"/>
        </w:rPr>
      </w:pPr>
      <w:r w:rsidRPr="00771368">
        <w:rPr>
          <w:b/>
          <w:szCs w:val="28"/>
        </w:rPr>
        <w:t xml:space="preserve">RESULTADOS E DISCUSSÃO </w:t>
      </w:r>
    </w:p>
    <w:p w:rsidR="00D24E61" w:rsidRPr="00771368" w:rsidRDefault="00D24E61" w:rsidP="00D24E61">
      <w:pPr>
        <w:spacing w:line="360" w:lineRule="auto"/>
        <w:ind w:firstLine="709"/>
        <w:contextualSpacing/>
        <w:jc w:val="both"/>
        <w:rPr>
          <w:sz w:val="24"/>
          <w:szCs w:val="24"/>
        </w:rPr>
      </w:pPr>
      <w:r w:rsidRPr="00771368">
        <w:rPr>
          <w:sz w:val="24"/>
          <w:szCs w:val="24"/>
        </w:rPr>
        <w:t xml:space="preserve">No gráfico 1, das mulheres hipertensas entrevistadas, 25% estavam na faixa etária de </w:t>
      </w:r>
      <w:smartTag w:uri="urn:schemas-microsoft-com:office:smarttags" w:element="metricconverter">
        <w:smartTagPr>
          <w:attr w:name="ProductID" w:val="31 A"/>
        </w:smartTagPr>
        <w:r w:rsidRPr="00771368">
          <w:rPr>
            <w:sz w:val="24"/>
            <w:szCs w:val="24"/>
          </w:rPr>
          <w:t>31 a</w:t>
        </w:r>
      </w:smartTag>
      <w:r w:rsidRPr="00771368">
        <w:rPr>
          <w:sz w:val="24"/>
          <w:szCs w:val="24"/>
        </w:rPr>
        <w:t xml:space="preserve"> 40 anos, 30% estavam na faixa etária de </w:t>
      </w:r>
      <w:smartTag w:uri="urn:schemas-microsoft-com:office:smarttags" w:element="metricconverter">
        <w:smartTagPr>
          <w:attr w:name="ProductID" w:val="41 a"/>
        </w:smartTagPr>
        <w:r w:rsidRPr="00771368">
          <w:rPr>
            <w:sz w:val="24"/>
            <w:szCs w:val="24"/>
          </w:rPr>
          <w:t>41 a</w:t>
        </w:r>
      </w:smartTag>
      <w:r w:rsidRPr="00771368">
        <w:rPr>
          <w:sz w:val="24"/>
          <w:szCs w:val="24"/>
        </w:rPr>
        <w:t xml:space="preserve"> 50 anos, 45% estavam na faixa etária de </w:t>
      </w:r>
      <w:smartTag w:uri="urn:schemas-microsoft-com:office:smarttags" w:element="metricconverter">
        <w:smartTagPr>
          <w:attr w:name="ProductID" w:val="51 A"/>
        </w:smartTagPr>
        <w:r w:rsidRPr="00771368">
          <w:rPr>
            <w:sz w:val="24"/>
            <w:szCs w:val="24"/>
          </w:rPr>
          <w:t>51 a</w:t>
        </w:r>
      </w:smartTag>
      <w:r w:rsidRPr="00771368">
        <w:rPr>
          <w:sz w:val="24"/>
          <w:szCs w:val="24"/>
        </w:rPr>
        <w:t xml:space="preserve"> 60 anos .</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Percebe-se, através da análise de conteúdos de literatura científica, que o aumento da pressão com o avançar da idade tem sido observado, embora segundo III Consenso Brasileiro de Hipertensão Arterial (CBHA,BRASIL, 2001) indique que esse aumento não represente um comportamento fisiológico normal. Preveni-lo constitui o meio mais eficiente de combater a hipertensão arterial, evitando as dificuldades e o elevado custo social de seu tratamento e de suas complicações. </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Para Lessa (1998), a presença de HAS em idosos merece maior atenção devido à vulnerabilidade frente às complicações cardiovasculares determinadas não só pela hipertensão, como também por outros fatores de risco que se acumulam com o passar do tempo.</w:t>
      </w:r>
    </w:p>
    <w:p w:rsidR="00D24E61" w:rsidRPr="00771368" w:rsidRDefault="00D24E61" w:rsidP="00D24E61">
      <w:pPr>
        <w:pStyle w:val="NormalWeb"/>
        <w:spacing w:before="0" w:beforeAutospacing="0" w:after="0" w:afterAutospacing="0" w:line="360" w:lineRule="auto"/>
        <w:ind w:firstLine="709"/>
        <w:contextualSpacing/>
        <w:jc w:val="both"/>
      </w:pPr>
      <w:r w:rsidRPr="00771368">
        <w:t>    Em estudo multicêntrico desenvolvido por Taddei et al. (1997) verificou-se que a doença de maior prevalência em populações com idade avançada foi a HAS. Tal fator também é salientado por Ferreira e Zanella (2000) que apontam o envelhecimento populacional como um fator importante para o aumento da prevalência desta patologia. Tais afirmações corroboram com o achado deste estudo, que identificou, em mulheres, um aumento linear da prevalência da HAS com o aumento da idade, achado este, também identificado por Hartmann et al. (2007).</w:t>
      </w:r>
    </w:p>
    <w:p w:rsidR="00D24E61" w:rsidRPr="00771368" w:rsidRDefault="00D24E61" w:rsidP="00D24E61">
      <w:pPr>
        <w:pStyle w:val="NormalWeb"/>
        <w:spacing w:before="0" w:beforeAutospacing="0" w:after="0" w:afterAutospacing="0" w:line="360" w:lineRule="auto"/>
        <w:contextualSpacing/>
        <w:jc w:val="both"/>
      </w:pPr>
      <w:r w:rsidRPr="00771368">
        <w:rPr>
          <w:b/>
        </w:rPr>
        <w:t>Gráfico 1.</w:t>
      </w:r>
      <w:r w:rsidRPr="00771368">
        <w:t xml:space="preserve"> </w:t>
      </w:r>
      <w:r w:rsidRPr="00771368">
        <w:rPr>
          <w:bCs/>
        </w:rPr>
        <w:t xml:space="preserve">Distribuição percentual das mulheres hipertensas de acordo com a faixa etária, URBIS III, 2010. </w:t>
      </w:r>
    </w:p>
    <w:p w:rsidR="00D24E61" w:rsidRPr="00771368" w:rsidRDefault="00013211" w:rsidP="00D24E61">
      <w:pPr>
        <w:pStyle w:val="NormalWeb"/>
        <w:tabs>
          <w:tab w:val="left" w:pos="2552"/>
        </w:tabs>
        <w:spacing w:before="0" w:beforeAutospacing="0" w:after="0" w:afterAutospacing="0" w:line="360" w:lineRule="auto"/>
        <w:ind w:firstLine="709"/>
        <w:contextualSpacing/>
        <w:jc w:val="both"/>
        <w:rPr>
          <w:color w:val="FF0000"/>
        </w:rPr>
      </w:pPr>
      <w:r>
        <w:rPr>
          <w:noProof/>
        </w:rPr>
        <w:drawing>
          <wp:inline distT="0" distB="0" distL="0" distR="0">
            <wp:extent cx="4927600" cy="2277745"/>
            <wp:effectExtent l="0" t="0" r="0" b="0"/>
            <wp:docPr id="121" name="Objet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No gráfico 2, o caráter hereditário para HAS apareceu em 100% das mulheres pesquisadas. Para Barreto –Filho &amp; Krieger (2003), dos fatores envolvidos na fisiopatogênese da hipertensão arterial, um terço deles pode ser atribuído a fatores genéticos. Citam como exemplo o sistema regulador da pressão arterial e sensibilidade ao sal. Os autores deixam claro que a hipertensão arterial pode ser entendida como uma síndrome multifatorial, de patogênese pouco elucidada, na qual interações complexas entre fatores genéticos e ambientais causam elevação sustentada da pressão. Em aproximadamente 90% a 95% dos casos não existe etiologia conhecida ou cura, sendo o controle da pressão arterial obtido por mudanças do estilo de vida e tratamento farmacológico.</w:t>
      </w:r>
    </w:p>
    <w:p w:rsidR="00D24E61" w:rsidRPr="00771368" w:rsidRDefault="00D24E61" w:rsidP="00D24E61">
      <w:pPr>
        <w:autoSpaceDE w:val="0"/>
        <w:autoSpaceDN w:val="0"/>
        <w:adjustRightInd w:val="0"/>
        <w:spacing w:line="360" w:lineRule="auto"/>
        <w:contextualSpacing/>
        <w:jc w:val="both"/>
        <w:rPr>
          <w:sz w:val="24"/>
          <w:szCs w:val="24"/>
        </w:rPr>
      </w:pPr>
      <w:r w:rsidRPr="00771368">
        <w:rPr>
          <w:b/>
          <w:sz w:val="24"/>
          <w:szCs w:val="24"/>
        </w:rPr>
        <w:t>Gráfico 2.</w:t>
      </w:r>
      <w:r w:rsidRPr="00771368">
        <w:rPr>
          <w:b/>
          <w:bCs/>
          <w:color w:val="000000"/>
          <w:kern w:val="24"/>
          <w:sz w:val="24"/>
          <w:szCs w:val="24"/>
        </w:rPr>
        <w:t xml:space="preserve"> </w:t>
      </w:r>
      <w:r w:rsidRPr="00771368">
        <w:rPr>
          <w:bCs/>
          <w:color w:val="000000"/>
          <w:kern w:val="24"/>
          <w:sz w:val="24"/>
          <w:szCs w:val="24"/>
        </w:rPr>
        <w:t>Distribuição percentual das mulheres hipertensas com fator hereditariedade, URBIS III, 2010.</w:t>
      </w:r>
      <w:r w:rsidRPr="00771368">
        <w:rPr>
          <w:bCs/>
          <w:sz w:val="24"/>
          <w:szCs w:val="24"/>
        </w:rPr>
        <w:t xml:space="preserve"> </w:t>
      </w:r>
    </w:p>
    <w:p w:rsidR="00D24E61" w:rsidRPr="00771368" w:rsidRDefault="00013211" w:rsidP="00D24E61">
      <w:pPr>
        <w:autoSpaceDE w:val="0"/>
        <w:autoSpaceDN w:val="0"/>
        <w:adjustRightInd w:val="0"/>
        <w:spacing w:line="360" w:lineRule="auto"/>
        <w:ind w:firstLine="709"/>
        <w:contextualSpacing/>
        <w:jc w:val="both"/>
        <w:rPr>
          <w:sz w:val="24"/>
          <w:szCs w:val="24"/>
        </w:rPr>
      </w:pPr>
      <w:r>
        <w:rPr>
          <w:noProof/>
          <w:sz w:val="24"/>
          <w:szCs w:val="24"/>
        </w:rPr>
        <w:drawing>
          <wp:anchor distT="0" distB="1905" distL="114300" distR="114300" simplePos="0" relativeHeight="251649536" behindDoc="1" locked="0" layoutInCell="1" allowOverlap="1">
            <wp:simplePos x="0" y="0"/>
            <wp:positionH relativeFrom="column">
              <wp:posOffset>412750</wp:posOffset>
            </wp:positionH>
            <wp:positionV relativeFrom="paragraph">
              <wp:posOffset>62865</wp:posOffset>
            </wp:positionV>
            <wp:extent cx="4906010" cy="2435860"/>
            <wp:effectExtent l="3175" t="5715" r="0" b="0"/>
            <wp:wrapNone/>
            <wp:docPr id="279" name="Objeto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page">
              <wp14:pctWidth>0</wp14:pctWidth>
            </wp14:sizeRelH>
            <wp14:sizeRelV relativeFrom="page">
              <wp14:pctHeight>0</wp14:pctHeight>
            </wp14:sizeRelV>
          </wp:anchor>
        </w:drawing>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Das 26 mulheres hipertensas pesquisadas, 100%  possuíam diagnostico medico  para HAS. Destas, 62% fazem uso de anti-hipertensivo, 34% fazem uso às vezes e 4% não fazem uso de anti-hipertensivo, mesmo sabendo do seu diagnostico (Gráfico 3) .</w:t>
      </w:r>
    </w:p>
    <w:p w:rsidR="00D24E61" w:rsidRPr="00771368" w:rsidRDefault="00D24E61" w:rsidP="00D24E61">
      <w:pPr>
        <w:autoSpaceDE w:val="0"/>
        <w:autoSpaceDN w:val="0"/>
        <w:adjustRightInd w:val="0"/>
        <w:spacing w:before="100" w:beforeAutospacing="1" w:after="100" w:afterAutospacing="1" w:line="360" w:lineRule="auto"/>
        <w:ind w:firstLine="709"/>
        <w:contextualSpacing/>
        <w:jc w:val="both"/>
        <w:rPr>
          <w:sz w:val="24"/>
          <w:szCs w:val="24"/>
        </w:rPr>
      </w:pPr>
      <w:r w:rsidRPr="00771368">
        <w:rPr>
          <w:sz w:val="24"/>
          <w:szCs w:val="24"/>
        </w:rPr>
        <w:t>O tratamento anti-hipertensivo tem, como principal objetivo, reduzir a morbidade e mortalidade cardiovasculares (BETHESDA, 1999; HYPERTENS, 1999).</w:t>
      </w:r>
    </w:p>
    <w:p w:rsidR="00D24E61" w:rsidRPr="00771368" w:rsidRDefault="00D24E61" w:rsidP="00D24E61">
      <w:pPr>
        <w:autoSpaceDE w:val="0"/>
        <w:autoSpaceDN w:val="0"/>
        <w:adjustRightInd w:val="0"/>
        <w:spacing w:before="100" w:beforeAutospacing="1" w:after="100" w:afterAutospacing="1" w:line="360" w:lineRule="auto"/>
        <w:ind w:firstLine="709"/>
        <w:contextualSpacing/>
        <w:jc w:val="both"/>
        <w:rPr>
          <w:sz w:val="24"/>
          <w:szCs w:val="24"/>
        </w:rPr>
      </w:pPr>
      <w:r w:rsidRPr="00771368">
        <w:rPr>
          <w:sz w:val="24"/>
          <w:szCs w:val="24"/>
        </w:rPr>
        <w:t xml:space="preserve">O III Consenso Brasileiro de Hipertensão Arterial, distribuído e divulgado para toda comunidade médica brasileira, recomenda que o tratamento do paciente hipertenso deve ser instituído quando os níveis de pressão arterial são iguais ou superiores a 140/90 mmHg. </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Do ponto de vista farmacológico, é recomendada, no início do tratamento para hipertensos leves, uma droga pertencente a uma das 6 classes de anti-hipertensivos, a saber: diuréticos, betabloqueadores, simpatolíticos de ação central, antagonistas dos canais de cálcio, inibidores da enzima conversora da angiotensina e antagonistas do receptor da angiotensina II. Quando não há controle da pressão arterial com mono-terapia ou surgem efeitos adversos, pode-se aumentar a dose da droga em uso, adicionar uma segunda droga ou substituir a mono-terapia.</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Ainda de acordo com o III Consenso Brasileiro de Hipertensão Arterial</w:t>
      </w:r>
      <w:r w:rsidRPr="00771368">
        <w:rPr>
          <w:sz w:val="24"/>
          <w:szCs w:val="24"/>
          <w:vertAlign w:val="superscript"/>
        </w:rPr>
        <w:t xml:space="preserve"> </w:t>
      </w:r>
      <w:r w:rsidRPr="00771368">
        <w:rPr>
          <w:sz w:val="24"/>
          <w:szCs w:val="24"/>
        </w:rPr>
        <w:t>apesar do progresso alcançado pela indústria farmacêutica na formulação de medicamentos eficazes e com baixos índices de efeitos indesejáveis, o controle da doença nem sempre é adequado. A falha no seguimento do tratamento proposto, caracterizando falta de adesão e conseqüente controle inadequado da pressão arterial é freqüente e está associado a vários fatores. Em relação ao tratamento medicamentoso, efeitos indesejáveis das drogas e custo têm sido apontados como elementos importantes.</w:t>
      </w:r>
    </w:p>
    <w:p w:rsidR="00D24E61" w:rsidRPr="00771368" w:rsidRDefault="00D24E61" w:rsidP="00D24E61">
      <w:pPr>
        <w:autoSpaceDE w:val="0"/>
        <w:autoSpaceDN w:val="0"/>
        <w:adjustRightInd w:val="0"/>
        <w:spacing w:line="360" w:lineRule="auto"/>
        <w:contextualSpacing/>
        <w:jc w:val="both"/>
        <w:rPr>
          <w:sz w:val="24"/>
          <w:szCs w:val="24"/>
        </w:rPr>
      </w:pPr>
      <w:r w:rsidRPr="00771368">
        <w:rPr>
          <w:b/>
          <w:sz w:val="24"/>
          <w:szCs w:val="24"/>
        </w:rPr>
        <w:t>Gráfico 3.</w:t>
      </w:r>
      <w:r w:rsidRPr="00771368">
        <w:rPr>
          <w:sz w:val="24"/>
          <w:szCs w:val="24"/>
        </w:rPr>
        <w:t xml:space="preserve"> Distribuição percentual da freqüência do uso de anti-hipertensivo em mulheres hipertensas, URBIS III, 2010.</w:t>
      </w:r>
    </w:p>
    <w:p w:rsidR="00D24E61" w:rsidRPr="00771368" w:rsidRDefault="00013211" w:rsidP="00D24E61">
      <w:pPr>
        <w:autoSpaceDE w:val="0"/>
        <w:autoSpaceDN w:val="0"/>
        <w:adjustRightInd w:val="0"/>
        <w:spacing w:line="360" w:lineRule="auto"/>
        <w:ind w:firstLine="709"/>
        <w:contextualSpacing/>
        <w:jc w:val="both"/>
        <w:rPr>
          <w:sz w:val="24"/>
          <w:szCs w:val="24"/>
        </w:rPr>
      </w:pPr>
      <w:r>
        <w:rPr>
          <w:noProof/>
          <w:color w:val="FF0000"/>
          <w:sz w:val="24"/>
          <w:szCs w:val="24"/>
        </w:rPr>
        <w:drawing>
          <wp:inline distT="0" distB="0" distL="0" distR="0">
            <wp:extent cx="5410200" cy="2844800"/>
            <wp:effectExtent l="0" t="0" r="0" b="0"/>
            <wp:docPr id="120"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No gráfico 4 observa-se que 65% das mulheres hipertensas  pesquisadas  já fizeram uso de contraceptivo, 10% fazem uso de contraceptivo hormonal oral ou injetável, 25% fazem uso as vezes. O uso do contraceptivo é mais um fator de risco para hipertensão. O III CBHA (BRASIL, 2001) afirma que a ingestão de anticoncepcionais orais deve ser considerada como possível causa de hipertensão arterial.</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Embora não haja contra indicação formal, </w:t>
      </w:r>
      <w:r w:rsidRPr="00771368">
        <w:rPr>
          <w:iCs/>
          <w:sz w:val="24"/>
          <w:szCs w:val="24"/>
        </w:rPr>
        <w:t xml:space="preserve">o </w:t>
      </w:r>
      <w:r w:rsidRPr="00771368">
        <w:rPr>
          <w:sz w:val="24"/>
          <w:szCs w:val="24"/>
        </w:rPr>
        <w:t>“uso de anticoncepcionais orais deve ser evitado em mulheres com mais de 35 anos de idade e em obesas, pelo maior risco de hipertensão arterial. Em mulheres com mais de 35 anos e fumantes irredutíveis, o anticoncepcional oral está formalmente contra indicado” (BRASIL, 2001, p. 28).</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O uso de contraceptivos orais pode aumentar os níveis de pressão arterial e o risco de desenvolver hipertensão arterial após o uso prolongado. A gestação é outro fator que pode levar ao desenvolvimento de hipertensão arterial (CHOBANIAN et al.,2003).</w:t>
      </w:r>
    </w:p>
    <w:p w:rsidR="00D24E61" w:rsidRPr="00771368" w:rsidRDefault="00D24E61" w:rsidP="00D24E61">
      <w:pPr>
        <w:autoSpaceDE w:val="0"/>
        <w:autoSpaceDN w:val="0"/>
        <w:adjustRightInd w:val="0"/>
        <w:spacing w:line="360" w:lineRule="auto"/>
        <w:contextualSpacing/>
        <w:jc w:val="both"/>
        <w:rPr>
          <w:sz w:val="24"/>
          <w:szCs w:val="24"/>
        </w:rPr>
      </w:pPr>
      <w:r w:rsidRPr="00771368">
        <w:rPr>
          <w:b/>
          <w:sz w:val="24"/>
          <w:szCs w:val="24"/>
        </w:rPr>
        <w:t>Gráfico 4.</w:t>
      </w:r>
      <w:r w:rsidRPr="00771368">
        <w:rPr>
          <w:sz w:val="24"/>
          <w:szCs w:val="24"/>
        </w:rPr>
        <w:t xml:space="preserve"> Distribuição percentual do uso de contraceptivo oral ou injetável em mulheres hipertensas, URBIS III, 2010.</w:t>
      </w:r>
    </w:p>
    <w:p w:rsidR="00D24E61" w:rsidRPr="00771368" w:rsidRDefault="00013211" w:rsidP="00D24E61">
      <w:pPr>
        <w:autoSpaceDE w:val="0"/>
        <w:autoSpaceDN w:val="0"/>
        <w:adjustRightInd w:val="0"/>
        <w:spacing w:line="360" w:lineRule="auto"/>
        <w:ind w:firstLine="709"/>
        <w:contextualSpacing/>
        <w:jc w:val="both"/>
        <w:rPr>
          <w:sz w:val="24"/>
          <w:szCs w:val="24"/>
        </w:rPr>
      </w:pPr>
      <w:r>
        <w:rPr>
          <w:noProof/>
          <w:color w:val="FF0000"/>
          <w:sz w:val="24"/>
          <w:szCs w:val="24"/>
        </w:rPr>
        <w:drawing>
          <wp:inline distT="0" distB="0" distL="0" distR="0">
            <wp:extent cx="5139055" cy="1811655"/>
            <wp:effectExtent l="0" t="0" r="0" b="0"/>
            <wp:docPr id="119" name="Objet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No gráfico 5 das mulheres hipertensas pesquisadas, 36% declararam-se não consumidoras de bebidas alcoólicas, enquanto 64% bebem socialmente.“O consumo de álcool eleva a PA tanto agudo quanto cronicamente” (OPARIL, 1997, p.290) “Padrões de consumo e comportamento são os principais fatores de risco para HA. Destacam-se o consumo excessivo de calorias e de bebidas alcoólicas, a inatividade física, a baixa ingestão de potássio e o elevado consumo de sódio” (LESSA, 1998, p.84).</w:t>
      </w:r>
    </w:p>
    <w:p w:rsidR="00D24E61" w:rsidRPr="00771368" w:rsidRDefault="00D24E61" w:rsidP="00D24E61">
      <w:pPr>
        <w:autoSpaceDE w:val="0"/>
        <w:autoSpaceDN w:val="0"/>
        <w:adjustRightInd w:val="0"/>
        <w:spacing w:line="360" w:lineRule="auto"/>
        <w:contextualSpacing/>
        <w:jc w:val="both"/>
        <w:rPr>
          <w:sz w:val="24"/>
          <w:szCs w:val="24"/>
        </w:rPr>
      </w:pPr>
      <w:r w:rsidRPr="00771368">
        <w:rPr>
          <w:b/>
          <w:sz w:val="24"/>
          <w:szCs w:val="24"/>
        </w:rPr>
        <w:t>Gráfico 5.</w:t>
      </w:r>
      <w:r w:rsidRPr="00771368">
        <w:rPr>
          <w:sz w:val="24"/>
          <w:szCs w:val="24"/>
        </w:rPr>
        <w:t xml:space="preserve"> Distribuição percentual do uso de álcool em mulheres hipertensas, URBIS III, 2010.</w:t>
      </w:r>
    </w:p>
    <w:p w:rsidR="00D24E61" w:rsidRPr="00771368" w:rsidRDefault="00013211" w:rsidP="00D24E61">
      <w:pPr>
        <w:autoSpaceDE w:val="0"/>
        <w:autoSpaceDN w:val="0"/>
        <w:adjustRightInd w:val="0"/>
        <w:spacing w:line="360" w:lineRule="auto"/>
        <w:ind w:firstLine="709"/>
        <w:contextualSpacing/>
        <w:jc w:val="both"/>
        <w:rPr>
          <w:sz w:val="24"/>
          <w:szCs w:val="24"/>
        </w:rPr>
      </w:pPr>
      <w:r>
        <w:rPr>
          <w:noProof/>
        </w:rPr>
        <w:drawing>
          <wp:anchor distT="0" distB="0" distL="114300" distR="114300" simplePos="0" relativeHeight="251655680" behindDoc="0" locked="0" layoutInCell="1" allowOverlap="1">
            <wp:simplePos x="0" y="0"/>
            <wp:positionH relativeFrom="column">
              <wp:posOffset>409575</wp:posOffset>
            </wp:positionH>
            <wp:positionV relativeFrom="paragraph">
              <wp:posOffset>68580</wp:posOffset>
            </wp:positionV>
            <wp:extent cx="4904740" cy="2263140"/>
            <wp:effectExtent l="0" t="0" r="0" b="3810"/>
            <wp:wrapNone/>
            <wp:docPr id="278"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04740" cy="2263140"/>
                    </a:xfrm>
                    <a:prstGeom prst="rect">
                      <a:avLst/>
                    </a:prstGeom>
                    <a:noFill/>
                  </pic:spPr>
                </pic:pic>
              </a:graphicData>
            </a:graphic>
            <wp14:sizeRelH relativeFrom="page">
              <wp14:pctWidth>0</wp14:pctWidth>
            </wp14:sizeRelH>
            <wp14:sizeRelV relativeFrom="page">
              <wp14:pctHeight>0</wp14:pctHeight>
            </wp14:sizeRelV>
          </wp:anchor>
        </w:drawing>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No gráfico 6, das 26 mulheres hipertensas entrevistadas, 50% não fazem uso do tabaco. Segundo a literatura, os efeitos do tabagismo são maléficos em curto ou longo prazo para saúde. O fator vasoconstricção é o mais relevante, além de acelerar o processo de arteriosclerose. Geralmente, o fumante busca o famoso “cafezinho”, nas situações estressantes e também condicionam o uso do tabaco ao consumo de cafeína. Oparil (1997, p.291) afirma que “a cafeína e a nicotina elevam agudamente a PA”. Segundo o III CBHA (BRASIL, 2001), o tabagismo colabora para o efeito adverso da terapêutica de redução dos lípides séricos e induz resistência ao efeito de drogas anti-hipertensivas.</w:t>
      </w:r>
    </w:p>
    <w:p w:rsidR="00D24E61" w:rsidRPr="00771368" w:rsidRDefault="00D24E61" w:rsidP="00D24E61">
      <w:pPr>
        <w:autoSpaceDE w:val="0"/>
        <w:autoSpaceDN w:val="0"/>
        <w:adjustRightInd w:val="0"/>
        <w:spacing w:line="360" w:lineRule="auto"/>
        <w:contextualSpacing/>
        <w:jc w:val="both"/>
        <w:rPr>
          <w:sz w:val="24"/>
          <w:szCs w:val="24"/>
        </w:rPr>
      </w:pPr>
      <w:r w:rsidRPr="00771368">
        <w:rPr>
          <w:b/>
          <w:sz w:val="24"/>
          <w:szCs w:val="24"/>
        </w:rPr>
        <w:t>Gráfico 6.</w:t>
      </w:r>
      <w:r w:rsidRPr="00771368">
        <w:rPr>
          <w:sz w:val="24"/>
          <w:szCs w:val="24"/>
        </w:rPr>
        <w:t xml:space="preserve"> Distribuição percentual das mulheres hipertensas em relação ao uso do tabaco, URBIS III, 2010.</w:t>
      </w:r>
    </w:p>
    <w:p w:rsidR="00D24E61" w:rsidRPr="00771368" w:rsidRDefault="00013211" w:rsidP="00D24E61">
      <w:pPr>
        <w:autoSpaceDE w:val="0"/>
        <w:autoSpaceDN w:val="0"/>
        <w:adjustRightInd w:val="0"/>
        <w:spacing w:line="360" w:lineRule="auto"/>
        <w:ind w:firstLine="709"/>
        <w:contextualSpacing/>
        <w:jc w:val="both"/>
        <w:rPr>
          <w:sz w:val="24"/>
          <w:szCs w:val="24"/>
        </w:rPr>
      </w:pPr>
      <w:r>
        <w:rPr>
          <w:b/>
          <w:noProof/>
          <w:sz w:val="24"/>
          <w:szCs w:val="24"/>
        </w:rPr>
        <w:drawing>
          <wp:anchor distT="0" distB="1905" distL="114300" distR="114300" simplePos="0" relativeHeight="251650560" behindDoc="1" locked="0" layoutInCell="1" allowOverlap="1">
            <wp:simplePos x="0" y="0"/>
            <wp:positionH relativeFrom="column">
              <wp:posOffset>450850</wp:posOffset>
            </wp:positionH>
            <wp:positionV relativeFrom="paragraph">
              <wp:posOffset>-6985</wp:posOffset>
            </wp:positionV>
            <wp:extent cx="4906010" cy="2437130"/>
            <wp:effectExtent l="3175" t="2540" r="0" b="0"/>
            <wp:wrapNone/>
            <wp:docPr id="277" name="Objeto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page">
              <wp14:pctWidth>0</wp14:pctWidth>
            </wp14:sizeRelH>
            <wp14:sizeRelV relativeFrom="page">
              <wp14:pctHeight>0</wp14:pctHeight>
            </wp14:sizeRelV>
          </wp:anchor>
        </w:drawing>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No gráfico 7 os  dados mostram que 34% das mulheres hipertensas  não praticam atividade física regularmente; contra os 66% que praticam alguma atividade física com regularidade. Entretanto, é necessário avaliar a freqüência e intensidade desses exercícios referidos pelas mulheres. </w:t>
      </w:r>
    </w:p>
    <w:p w:rsidR="00D24E61" w:rsidRPr="00771368" w:rsidRDefault="00D24E61" w:rsidP="00D24E61">
      <w:pPr>
        <w:pStyle w:val="NormalWeb"/>
        <w:spacing w:before="0" w:beforeAutospacing="0" w:after="0" w:afterAutospacing="0" w:line="360" w:lineRule="auto"/>
        <w:ind w:firstLine="709"/>
        <w:contextualSpacing/>
        <w:jc w:val="both"/>
      </w:pPr>
      <w:r w:rsidRPr="00771368">
        <w:t>A prática regular de exercícios físicos vem sendo apresentada como uma alternativa não-farmacológica importante para a prevenção e tratamento da HAS alcançando reduções de pressão arterial sistólica e diastólica de 6,9 e 4,9 mmHg respectivamente (SOCIEDADE BRASILEIRA DE CARDIOLOGIA, 2006).</w:t>
      </w:r>
    </w:p>
    <w:p w:rsidR="00D24E61" w:rsidRPr="00771368" w:rsidRDefault="00013211" w:rsidP="00D24E61">
      <w:pPr>
        <w:autoSpaceDE w:val="0"/>
        <w:autoSpaceDN w:val="0"/>
        <w:adjustRightInd w:val="0"/>
        <w:spacing w:line="360" w:lineRule="auto"/>
        <w:contextualSpacing/>
        <w:jc w:val="both"/>
        <w:rPr>
          <w:sz w:val="24"/>
          <w:szCs w:val="24"/>
        </w:rPr>
      </w:pPr>
      <w:r>
        <w:rPr>
          <w:b/>
          <w:noProof/>
          <w:sz w:val="24"/>
          <w:szCs w:val="24"/>
        </w:rPr>
        <w:drawing>
          <wp:anchor distT="0" distB="1905" distL="114300" distR="114300" simplePos="0" relativeHeight="251651584" behindDoc="1" locked="0" layoutInCell="1" allowOverlap="1">
            <wp:simplePos x="0" y="0"/>
            <wp:positionH relativeFrom="column">
              <wp:posOffset>413385</wp:posOffset>
            </wp:positionH>
            <wp:positionV relativeFrom="paragraph">
              <wp:posOffset>387350</wp:posOffset>
            </wp:positionV>
            <wp:extent cx="4943475" cy="2621915"/>
            <wp:effectExtent l="3810" t="0" r="0" b="635"/>
            <wp:wrapNone/>
            <wp:docPr id="276" name="Objeto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page">
              <wp14:pctWidth>0</wp14:pctWidth>
            </wp14:sizeRelH>
            <wp14:sizeRelV relativeFrom="page">
              <wp14:pctHeight>0</wp14:pctHeight>
            </wp14:sizeRelV>
          </wp:anchor>
        </w:drawing>
      </w:r>
      <w:r w:rsidR="00D24E61" w:rsidRPr="00771368">
        <w:rPr>
          <w:b/>
          <w:sz w:val="24"/>
          <w:szCs w:val="24"/>
        </w:rPr>
        <w:t>Gráfico 7</w:t>
      </w:r>
      <w:r w:rsidR="00D24E61" w:rsidRPr="00771368">
        <w:rPr>
          <w:sz w:val="24"/>
          <w:szCs w:val="24"/>
        </w:rPr>
        <w:t>. Distribuição percentual das mulheres hipertensas que praticam atividade física, URBIS III, 2010.</w:t>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tabs>
          <w:tab w:val="left" w:pos="2445"/>
        </w:tabs>
        <w:autoSpaceDE w:val="0"/>
        <w:autoSpaceDN w:val="0"/>
        <w:adjustRightInd w:val="0"/>
        <w:spacing w:line="360" w:lineRule="auto"/>
        <w:ind w:firstLine="709"/>
        <w:contextualSpacing/>
        <w:jc w:val="both"/>
        <w:rPr>
          <w:sz w:val="24"/>
          <w:szCs w:val="24"/>
        </w:rPr>
      </w:pPr>
      <w:r w:rsidRPr="00771368">
        <w:rPr>
          <w:sz w:val="24"/>
          <w:szCs w:val="24"/>
        </w:rPr>
        <w:tab/>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No gráfico 8, quanto ao número de refeições das mulheres hipertensas pesquisadas, 27 % informou que faz quatro refeições ao dia, 27% faz mais de quatro refeições, 30% das mulheres fazem três refeições e 16% fazem apenas duas refeições ao dia. Porém, segundo a literatura, o mais importante sobre a alimentação não é o número de vezes, mas sim a qualidade do que é ingerido. Sal, refrigerantes, charque e massas estão no cardápio das mulheres pesquisadas. Quando não é possível uma alimentação adequada, esta é substituída por lanches que, do ponto de vista nutricional, deixam a desejar, além de ser uma boa fonte de calorias e gorduras saturadas. </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 O estudo de Lopes (2003, p.68) demonstra que uma dieta rica em ácidos graxos não esterificados que atuam no sistema nervoso central, responsável pela liberação de substâncias vasoconstritoras, pode resultar no aumento da pressão pelo menos agudamente. </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Os especialistas recomendam </w:t>
      </w:r>
      <w:smartTag w:uri="urn:schemas-microsoft-com:office:smarttags" w:element="metricconverter">
        <w:smartTagPr>
          <w:attr w:name="ProductID" w:val="9 gramas"/>
        </w:smartTagPr>
        <w:r w:rsidRPr="00771368">
          <w:rPr>
            <w:sz w:val="24"/>
            <w:szCs w:val="24"/>
          </w:rPr>
          <w:t>9 gramas</w:t>
        </w:r>
      </w:smartTag>
      <w:r w:rsidRPr="00771368">
        <w:rPr>
          <w:sz w:val="24"/>
          <w:szCs w:val="24"/>
        </w:rPr>
        <w:t xml:space="preserve"> de sal por dia que pode ser conseguido naturalmente durante uma refeição se não for controlado o uso de cloreto de sódio. Uma dieta básica para o controle/profilaxia da HAS inclui </w:t>
      </w:r>
      <w:smartTag w:uri="urn:schemas-microsoft-com:office:smarttags" w:element="metricconverter">
        <w:smartTagPr>
          <w:attr w:name="ProductID" w:val="90 g"/>
        </w:smartTagPr>
        <w:r w:rsidRPr="00771368">
          <w:rPr>
            <w:sz w:val="24"/>
            <w:szCs w:val="24"/>
          </w:rPr>
          <w:t>90 g</w:t>
        </w:r>
      </w:smartTag>
      <w:r w:rsidRPr="00771368">
        <w:rPr>
          <w:sz w:val="24"/>
          <w:szCs w:val="24"/>
        </w:rPr>
        <w:t xml:space="preserve"> de carne branca peixe ou ave como afirmam Nettina et al (2003).</w:t>
      </w:r>
    </w:p>
    <w:p w:rsidR="00D24E61" w:rsidRPr="00771368" w:rsidRDefault="00D24E61" w:rsidP="00D24E61">
      <w:pPr>
        <w:autoSpaceDE w:val="0"/>
        <w:autoSpaceDN w:val="0"/>
        <w:adjustRightInd w:val="0"/>
        <w:spacing w:line="360" w:lineRule="auto"/>
        <w:contextualSpacing/>
        <w:jc w:val="both"/>
        <w:rPr>
          <w:sz w:val="24"/>
          <w:szCs w:val="24"/>
        </w:rPr>
      </w:pPr>
      <w:r w:rsidRPr="00771368">
        <w:rPr>
          <w:b/>
          <w:sz w:val="24"/>
          <w:szCs w:val="24"/>
        </w:rPr>
        <w:t>Gráfico 8.</w:t>
      </w:r>
      <w:r w:rsidRPr="00771368">
        <w:rPr>
          <w:sz w:val="24"/>
          <w:szCs w:val="24"/>
        </w:rPr>
        <w:t xml:space="preserve"> Distribuição percentual do numero de refeições das mulheres hipertensas, URBIS III, 2010.</w:t>
      </w:r>
    </w:p>
    <w:p w:rsidR="00D24E61" w:rsidRPr="00771368" w:rsidRDefault="00013211" w:rsidP="00D24E61">
      <w:pPr>
        <w:autoSpaceDE w:val="0"/>
        <w:autoSpaceDN w:val="0"/>
        <w:adjustRightInd w:val="0"/>
        <w:spacing w:line="360" w:lineRule="auto"/>
        <w:ind w:firstLine="709"/>
        <w:contextualSpacing/>
        <w:jc w:val="both"/>
        <w:rPr>
          <w:sz w:val="24"/>
          <w:szCs w:val="24"/>
        </w:rPr>
      </w:pPr>
      <w:r>
        <w:rPr>
          <w:noProof/>
          <w:sz w:val="24"/>
          <w:szCs w:val="24"/>
        </w:rPr>
        <w:drawing>
          <wp:anchor distT="0" distB="1905" distL="114300" distR="114300" simplePos="0" relativeHeight="251652608" behindDoc="1" locked="0" layoutInCell="1" allowOverlap="1">
            <wp:simplePos x="0" y="0"/>
            <wp:positionH relativeFrom="column">
              <wp:posOffset>457200</wp:posOffset>
            </wp:positionH>
            <wp:positionV relativeFrom="paragraph">
              <wp:posOffset>211455</wp:posOffset>
            </wp:positionV>
            <wp:extent cx="4867275" cy="2436495"/>
            <wp:effectExtent l="0" t="1905" r="0" b="0"/>
            <wp:wrapNone/>
            <wp:docPr id="275" name="Objeto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page">
              <wp14:pctWidth>0</wp14:pctWidth>
            </wp14:sizeRelH>
            <wp14:sizeRelV relativeFrom="page">
              <wp14:pctHeight>0</wp14:pctHeight>
            </wp14:sizeRelV>
          </wp:anchor>
        </w:drawing>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  </w:t>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No gráfico 9 das mulheres hipertensas pesquisadas apenas 64% estão com peso ideal de acordo com o índice de massa corpórea e 36 % estão acima do peso, considerando IMC ideal até 25, segundo classificação da OMS. </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Existem fortes evidências, corroboradas por diversos estudos epidemiológicos, tais como Intersalt e Monica (1998) de que o peso corporal excessivo é um importante preditor da hipertensão arterial sendo que a prevalência de excesso de peso aumenta com a idade tanto em homens quanto em mulheres, sendo nessas em maior intensidade (BEILIN et al.,1999: KORNITZE.,1999).</w:t>
      </w:r>
    </w:p>
    <w:p w:rsidR="00D24E61" w:rsidRPr="00771368" w:rsidRDefault="00D24E61" w:rsidP="00D24E61">
      <w:pPr>
        <w:autoSpaceDE w:val="0"/>
        <w:autoSpaceDN w:val="0"/>
        <w:adjustRightInd w:val="0"/>
        <w:spacing w:line="360" w:lineRule="auto"/>
        <w:contextualSpacing/>
        <w:jc w:val="both"/>
        <w:rPr>
          <w:sz w:val="24"/>
          <w:szCs w:val="24"/>
        </w:rPr>
      </w:pPr>
      <w:r w:rsidRPr="00771368">
        <w:rPr>
          <w:b/>
          <w:sz w:val="24"/>
          <w:szCs w:val="24"/>
        </w:rPr>
        <w:t>Gráfico 9.</w:t>
      </w:r>
      <w:r w:rsidRPr="00771368">
        <w:rPr>
          <w:sz w:val="24"/>
          <w:szCs w:val="24"/>
        </w:rPr>
        <w:t xml:space="preserve"> Distribuição percentual das mulheres hipertensas com peso ideal de acordo com IMC, URBIS III, 2010.</w:t>
      </w:r>
    </w:p>
    <w:p w:rsidR="00D24E61" w:rsidRPr="00771368" w:rsidRDefault="00013211" w:rsidP="00D24E61">
      <w:pPr>
        <w:autoSpaceDE w:val="0"/>
        <w:autoSpaceDN w:val="0"/>
        <w:adjustRightInd w:val="0"/>
        <w:spacing w:line="360" w:lineRule="auto"/>
        <w:ind w:firstLine="709"/>
        <w:contextualSpacing/>
        <w:jc w:val="both"/>
        <w:rPr>
          <w:sz w:val="24"/>
          <w:szCs w:val="24"/>
        </w:rPr>
      </w:pPr>
      <w:r>
        <w:rPr>
          <w:noProof/>
          <w:sz w:val="24"/>
          <w:szCs w:val="24"/>
        </w:rPr>
        <w:drawing>
          <wp:anchor distT="0" distB="1905" distL="114300" distR="114300" simplePos="0" relativeHeight="251653632" behindDoc="1" locked="0" layoutInCell="1" allowOverlap="1">
            <wp:simplePos x="0" y="0"/>
            <wp:positionH relativeFrom="column">
              <wp:posOffset>504825</wp:posOffset>
            </wp:positionH>
            <wp:positionV relativeFrom="paragraph">
              <wp:posOffset>24130</wp:posOffset>
            </wp:positionV>
            <wp:extent cx="4906010" cy="2262505"/>
            <wp:effectExtent l="0" t="5080" r="0" b="0"/>
            <wp:wrapNone/>
            <wp:docPr id="274" name="Objeto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page">
              <wp14:pctWidth>0</wp14:pctWidth>
            </wp14:sizeRelH>
            <wp14:sizeRelV relativeFrom="page">
              <wp14:pctHeight>0</wp14:pctHeight>
            </wp14:sizeRelV>
          </wp:anchor>
        </w:drawing>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                        </w:t>
      </w: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pStyle w:val="NormalWeb"/>
        <w:spacing w:before="0" w:beforeAutospacing="0" w:after="0" w:afterAutospacing="0" w:line="360" w:lineRule="auto"/>
        <w:ind w:firstLine="709"/>
        <w:contextualSpacing/>
        <w:jc w:val="both"/>
      </w:pPr>
    </w:p>
    <w:p w:rsidR="00D24E61" w:rsidRPr="00771368" w:rsidRDefault="00D24E61" w:rsidP="00D24E61">
      <w:pPr>
        <w:pStyle w:val="NormalWeb"/>
        <w:spacing w:before="0" w:beforeAutospacing="0" w:after="0" w:afterAutospacing="0" w:line="360" w:lineRule="auto"/>
        <w:ind w:firstLine="709"/>
        <w:contextualSpacing/>
        <w:jc w:val="both"/>
      </w:pPr>
    </w:p>
    <w:p w:rsidR="00D24E61" w:rsidRPr="00771368" w:rsidRDefault="00D24E61" w:rsidP="00D24E61">
      <w:pPr>
        <w:pStyle w:val="NormalWeb"/>
        <w:spacing w:before="0" w:beforeAutospacing="0" w:after="0" w:afterAutospacing="0" w:line="360" w:lineRule="auto"/>
        <w:ind w:firstLine="709"/>
        <w:contextualSpacing/>
        <w:jc w:val="both"/>
      </w:pPr>
    </w:p>
    <w:p w:rsidR="00D24E61" w:rsidRPr="00771368" w:rsidRDefault="00D24E61" w:rsidP="00D24E61">
      <w:pPr>
        <w:pStyle w:val="NormalWeb"/>
        <w:spacing w:before="0" w:beforeAutospacing="0" w:after="0" w:afterAutospacing="0" w:line="360" w:lineRule="auto"/>
        <w:ind w:firstLine="709"/>
        <w:contextualSpacing/>
        <w:jc w:val="both"/>
      </w:pPr>
    </w:p>
    <w:p w:rsidR="00D24E61" w:rsidRPr="00771368" w:rsidRDefault="00D24E61" w:rsidP="00D24E61">
      <w:pPr>
        <w:pStyle w:val="NormalWeb"/>
        <w:spacing w:before="240" w:beforeAutospacing="0" w:after="0" w:afterAutospacing="0" w:line="360" w:lineRule="auto"/>
        <w:ind w:firstLine="709"/>
        <w:contextualSpacing/>
        <w:jc w:val="both"/>
      </w:pPr>
    </w:p>
    <w:p w:rsidR="00D24E61" w:rsidRPr="00771368" w:rsidRDefault="00D24E61" w:rsidP="00D24E61">
      <w:pPr>
        <w:pStyle w:val="NormalWeb"/>
        <w:spacing w:before="240" w:beforeAutospacing="0" w:after="0" w:afterAutospacing="0" w:line="360" w:lineRule="auto"/>
        <w:ind w:firstLine="709"/>
        <w:contextualSpacing/>
        <w:jc w:val="both"/>
        <w:rPr>
          <w:color w:val="FF0000"/>
        </w:rPr>
      </w:pPr>
      <w:r w:rsidRPr="00771368">
        <w:t xml:space="preserve">No gráfico 10, os dados demonstram que 75% estão na faixa etária de </w:t>
      </w:r>
      <w:smartTag w:uri="urn:schemas-microsoft-com:office:smarttags" w:element="metricconverter">
        <w:smartTagPr>
          <w:attr w:name="ProductID" w:val="40 a"/>
        </w:smartTagPr>
        <w:r w:rsidRPr="00771368">
          <w:t>40 a</w:t>
        </w:r>
      </w:smartTag>
      <w:r w:rsidRPr="00771368">
        <w:t xml:space="preserve"> 60 anos de idade, estando, portanto na menopausa, de acordo com a Sociedade Brasileira de Climatério.</w:t>
      </w:r>
      <w:r w:rsidRPr="00771368">
        <w:rPr>
          <w:color w:val="FF0000"/>
        </w:rPr>
        <w:t xml:space="preserve"> </w:t>
      </w:r>
    </w:p>
    <w:p w:rsidR="00D24E61" w:rsidRPr="00771368" w:rsidRDefault="00D24E61" w:rsidP="00D24E61">
      <w:pPr>
        <w:pStyle w:val="NormalWeb"/>
        <w:spacing w:before="0" w:beforeAutospacing="0" w:after="0" w:afterAutospacing="0" w:line="360" w:lineRule="auto"/>
        <w:ind w:firstLine="709"/>
        <w:contextualSpacing/>
        <w:jc w:val="both"/>
      </w:pPr>
      <w:r w:rsidRPr="00771368">
        <w:t>    Tal aumento da prevalência da HAS para o sexo feminino é explicado por Padilha</w:t>
      </w:r>
      <w:r w:rsidRPr="00771368">
        <w:rPr>
          <w:b/>
          <w:color w:val="FF0000"/>
        </w:rPr>
        <w:t xml:space="preserve"> </w:t>
      </w:r>
      <w:r w:rsidRPr="00771368">
        <w:t xml:space="preserve">Junior et al. (2007) que identificaram o climatério, período do ciclo biológico da vida da mulher situado entre a menacme e a senescência composto por quatro fases (pré-menopausa, perimenopausa, menopausa e pós-menopausa) que compreende a faixa etária de </w:t>
      </w:r>
      <w:smartTag w:uri="urn:schemas-microsoft-com:office:smarttags" w:element="metricconverter">
        <w:smartTagPr>
          <w:attr w:name="ProductID" w:val="40 a"/>
        </w:smartTagPr>
        <w:r w:rsidRPr="00771368">
          <w:t>40 a</w:t>
        </w:r>
      </w:smartTag>
      <w:r w:rsidRPr="00771368">
        <w:t xml:space="preserve"> 65 anos.</w:t>
      </w:r>
    </w:p>
    <w:p w:rsidR="00D24E61" w:rsidRPr="00771368" w:rsidRDefault="00D24E61" w:rsidP="00D24E61">
      <w:pPr>
        <w:pStyle w:val="NormalWeb"/>
        <w:spacing w:before="0" w:beforeAutospacing="0" w:after="0" w:afterAutospacing="0" w:line="360" w:lineRule="auto"/>
        <w:ind w:firstLine="709"/>
        <w:contextualSpacing/>
        <w:jc w:val="both"/>
      </w:pPr>
      <w:r w:rsidRPr="00771368">
        <w:t xml:space="preserve"> O principal responsável pelo aumento linear da prevalência de HAS nesta faixa etária, se dá devido diminuição dos níveis circulantes de estrogênio e progesterona, e a entrada da mulher na quarta fase do climatério que resulta em alterações antropométricas, metabólicas, hemodinâmicas e emocionais, culminando na predisposição e aparecimento de doenças cardiovasculares, já que evidências indicam que estrógeno endógeno, produzido durante a menacme, teria um efeito cardioprotetor (MIKKOLA; CLARKSON, 2002; CASANOVA; SPRITZER, 2007).</w:t>
      </w:r>
    </w:p>
    <w:p w:rsidR="00D24E61" w:rsidRPr="00771368" w:rsidRDefault="00D24E61" w:rsidP="00D24E61">
      <w:pPr>
        <w:autoSpaceDE w:val="0"/>
        <w:autoSpaceDN w:val="0"/>
        <w:adjustRightInd w:val="0"/>
        <w:spacing w:line="360" w:lineRule="auto"/>
        <w:contextualSpacing/>
        <w:jc w:val="both"/>
        <w:rPr>
          <w:sz w:val="24"/>
          <w:szCs w:val="24"/>
        </w:rPr>
      </w:pPr>
      <w:r w:rsidRPr="00771368">
        <w:rPr>
          <w:b/>
          <w:sz w:val="24"/>
          <w:szCs w:val="24"/>
        </w:rPr>
        <w:t>Gráfico 10.</w:t>
      </w:r>
      <w:r w:rsidRPr="00771368">
        <w:rPr>
          <w:sz w:val="24"/>
          <w:szCs w:val="24"/>
        </w:rPr>
        <w:t xml:space="preserve"> Distribuição percentual das mulheres hipertensas menopausadas, URBIS III, 2010.</w:t>
      </w:r>
    </w:p>
    <w:p w:rsidR="00D24E61" w:rsidRPr="00771368" w:rsidRDefault="00013211" w:rsidP="00D24E61">
      <w:pPr>
        <w:autoSpaceDE w:val="0"/>
        <w:autoSpaceDN w:val="0"/>
        <w:adjustRightInd w:val="0"/>
        <w:spacing w:line="360" w:lineRule="auto"/>
        <w:ind w:firstLine="709"/>
        <w:contextualSpacing/>
        <w:jc w:val="both"/>
        <w:rPr>
          <w:sz w:val="24"/>
          <w:szCs w:val="24"/>
        </w:rPr>
      </w:pPr>
      <w:r>
        <w:rPr>
          <w:noProof/>
          <w:sz w:val="24"/>
          <w:szCs w:val="24"/>
        </w:rPr>
        <w:drawing>
          <wp:anchor distT="0" distB="1905" distL="114300" distR="114300" simplePos="0" relativeHeight="251654656" behindDoc="1" locked="0" layoutInCell="1" allowOverlap="1">
            <wp:simplePos x="0" y="0"/>
            <wp:positionH relativeFrom="column">
              <wp:posOffset>504825</wp:posOffset>
            </wp:positionH>
            <wp:positionV relativeFrom="paragraph">
              <wp:posOffset>55880</wp:posOffset>
            </wp:positionV>
            <wp:extent cx="4906010" cy="1610995"/>
            <wp:effectExtent l="0" t="0" r="0" b="0"/>
            <wp:wrapNone/>
            <wp:docPr id="273" name="Objeto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page">
              <wp14:pctWidth>0</wp14:pctWidth>
            </wp14:sizeRelH>
            <wp14:sizeRelV relativeFrom="page">
              <wp14:pctHeight>0</wp14:pctHeight>
            </wp14:sizeRelV>
          </wp:anchor>
        </w:drawing>
      </w:r>
    </w:p>
    <w:p w:rsidR="00D24E61" w:rsidRPr="00771368" w:rsidRDefault="00D24E61" w:rsidP="00D24E61">
      <w:pPr>
        <w:pStyle w:val="NormalWeb"/>
        <w:spacing w:before="0" w:beforeAutospacing="0" w:after="0" w:afterAutospacing="0" w:line="360" w:lineRule="auto"/>
        <w:ind w:firstLine="709"/>
        <w:contextualSpacing/>
        <w:jc w:val="both"/>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ind w:firstLine="709"/>
        <w:contextualSpacing/>
        <w:jc w:val="both"/>
        <w:rPr>
          <w:sz w:val="24"/>
          <w:szCs w:val="24"/>
        </w:rPr>
      </w:pPr>
    </w:p>
    <w:p w:rsidR="00D24E61" w:rsidRPr="00771368" w:rsidRDefault="00D24E61" w:rsidP="00D24E61">
      <w:pPr>
        <w:autoSpaceDE w:val="0"/>
        <w:autoSpaceDN w:val="0"/>
        <w:adjustRightInd w:val="0"/>
        <w:spacing w:line="360" w:lineRule="auto"/>
        <w:contextualSpacing/>
        <w:jc w:val="both"/>
        <w:rPr>
          <w:b/>
          <w:sz w:val="24"/>
          <w:szCs w:val="24"/>
        </w:rPr>
      </w:pPr>
    </w:p>
    <w:p w:rsidR="00D24E61" w:rsidRPr="00771368" w:rsidRDefault="00D24E61" w:rsidP="00D24E61">
      <w:pPr>
        <w:autoSpaceDE w:val="0"/>
        <w:autoSpaceDN w:val="0"/>
        <w:adjustRightInd w:val="0"/>
        <w:spacing w:line="360" w:lineRule="auto"/>
        <w:contextualSpacing/>
        <w:jc w:val="both"/>
        <w:rPr>
          <w:b/>
          <w:sz w:val="24"/>
          <w:szCs w:val="24"/>
        </w:rPr>
      </w:pPr>
      <w:r w:rsidRPr="00771368">
        <w:rPr>
          <w:b/>
          <w:sz w:val="24"/>
          <w:szCs w:val="24"/>
        </w:rPr>
        <w:t xml:space="preserve">CONSIDERAÇÕES FINAIS </w:t>
      </w:r>
    </w:p>
    <w:p w:rsidR="00D24E61" w:rsidRPr="00771368" w:rsidRDefault="00D24E61" w:rsidP="00D24E61">
      <w:pPr>
        <w:autoSpaceDE w:val="0"/>
        <w:autoSpaceDN w:val="0"/>
        <w:adjustRightInd w:val="0"/>
        <w:spacing w:line="360" w:lineRule="auto"/>
        <w:ind w:firstLine="709"/>
        <w:contextualSpacing/>
        <w:jc w:val="both"/>
        <w:rPr>
          <w:sz w:val="24"/>
          <w:szCs w:val="24"/>
        </w:rPr>
      </w:pPr>
      <w:r w:rsidRPr="00771368">
        <w:rPr>
          <w:sz w:val="24"/>
          <w:szCs w:val="24"/>
        </w:rPr>
        <w:t xml:space="preserve">Considerando PA até 120 x </w:t>
      </w:r>
      <w:smartTag w:uri="urn:schemas-microsoft-com:office:smarttags" w:element="metricconverter">
        <w:smartTagPr>
          <w:attr w:name="ProductID" w:val="80 mm"/>
        </w:smartTagPr>
        <w:r w:rsidRPr="00771368">
          <w:rPr>
            <w:sz w:val="24"/>
            <w:szCs w:val="24"/>
          </w:rPr>
          <w:t>80 mm</w:t>
        </w:r>
      </w:smartTag>
      <w:r w:rsidRPr="00771368">
        <w:rPr>
          <w:sz w:val="24"/>
          <w:szCs w:val="24"/>
        </w:rPr>
        <w:t xml:space="preserve"> Hg, índice preconizado pelo Ministério da Saúde e pelo III CBHA atualmente, como PA ideal; das 26 mulheres hipertensas estudadas todas apresentavam índices pressóricos acima do preconizado. Indivíduos com índices pressóricos acima do ideal somados aos hábitos de vida podem desencadear o surgimento da síndrome em índices pressóricos mais elevados (BRASIL, 2001). </w:t>
      </w:r>
    </w:p>
    <w:p w:rsidR="00D24E61" w:rsidRPr="00771368" w:rsidRDefault="00D24E61" w:rsidP="00D24E61">
      <w:pPr>
        <w:tabs>
          <w:tab w:val="left" w:pos="2685"/>
        </w:tabs>
        <w:spacing w:line="360" w:lineRule="auto"/>
        <w:ind w:firstLine="709"/>
        <w:contextualSpacing/>
        <w:jc w:val="both"/>
        <w:rPr>
          <w:sz w:val="24"/>
          <w:szCs w:val="24"/>
          <w:shd w:val="clear" w:color="auto" w:fill="FFFFFF"/>
        </w:rPr>
      </w:pPr>
      <w:r w:rsidRPr="00771368">
        <w:rPr>
          <w:sz w:val="24"/>
          <w:szCs w:val="24"/>
          <w:shd w:val="clear" w:color="auto" w:fill="FFFFFF"/>
        </w:rPr>
        <w:t>O presente estudo também corrobora com pesquisas previas de que o aumento da prevalência de hipertensão arterial em mulheres possui relação significativa com o estilo de vida e o avanço da idade.</w:t>
      </w:r>
    </w:p>
    <w:p w:rsidR="00D24E61" w:rsidRPr="00771368" w:rsidRDefault="00D24E61" w:rsidP="00D24E61">
      <w:pPr>
        <w:tabs>
          <w:tab w:val="left" w:pos="2685"/>
        </w:tabs>
        <w:spacing w:line="360" w:lineRule="auto"/>
        <w:ind w:firstLine="709"/>
        <w:contextualSpacing/>
        <w:jc w:val="both"/>
        <w:rPr>
          <w:sz w:val="24"/>
          <w:szCs w:val="24"/>
          <w:shd w:val="clear" w:color="auto" w:fill="FFFFFF"/>
        </w:rPr>
      </w:pPr>
      <w:r w:rsidRPr="00771368">
        <w:rPr>
          <w:sz w:val="24"/>
          <w:szCs w:val="24"/>
          <w:shd w:val="clear" w:color="auto" w:fill="FFFFFF"/>
        </w:rPr>
        <w:t>As modificações no estilo de vida (dieta saudável, abstenção de fumo e álcool, realização de atividade física, controle diário da pressão arterial e lazer) associado ao tratamento medicamentoso são os principais fatores responsáveis para redução dos índices da pressão arterial, e também suas complicações.</w:t>
      </w:r>
    </w:p>
    <w:p w:rsidR="00D24E61" w:rsidRPr="00771368" w:rsidRDefault="00D24E61" w:rsidP="00D24E61">
      <w:pPr>
        <w:tabs>
          <w:tab w:val="left" w:pos="2685"/>
        </w:tabs>
        <w:spacing w:line="360" w:lineRule="auto"/>
        <w:ind w:firstLine="709"/>
        <w:contextualSpacing/>
        <w:jc w:val="both"/>
        <w:rPr>
          <w:sz w:val="24"/>
          <w:szCs w:val="24"/>
          <w:shd w:val="clear" w:color="auto" w:fill="FFFFFF"/>
        </w:rPr>
      </w:pPr>
      <w:r w:rsidRPr="00771368">
        <w:rPr>
          <w:sz w:val="24"/>
          <w:szCs w:val="24"/>
          <w:shd w:val="clear" w:color="auto" w:fill="FFFFFF"/>
        </w:rPr>
        <w:t>O estudo sobre hipertensão arterial em mulheres traz a demonstração da necessidade da mudança de estilo de vida que associados a fatores de risco tornam-nas cada vez mais susceptíveis a serem hipertensas.</w:t>
      </w:r>
    </w:p>
    <w:p w:rsidR="00D24E61" w:rsidRPr="00771368" w:rsidRDefault="00D24E61" w:rsidP="00D24E61">
      <w:pPr>
        <w:tabs>
          <w:tab w:val="left" w:pos="2685"/>
        </w:tabs>
        <w:spacing w:line="360" w:lineRule="auto"/>
        <w:ind w:firstLine="709"/>
        <w:contextualSpacing/>
        <w:jc w:val="both"/>
        <w:rPr>
          <w:sz w:val="24"/>
          <w:szCs w:val="24"/>
        </w:rPr>
      </w:pPr>
      <w:r w:rsidRPr="00771368">
        <w:rPr>
          <w:sz w:val="24"/>
          <w:szCs w:val="24"/>
        </w:rPr>
        <w:t>Contudo, entende-se que somente este estudo não é suficiente para traçar o perfil epidemiológico das mulheres hipertensas e da diferença que há entre homens e mulheres hipertensos, mas ficou evidente que as mudanças que ocorreram aos longos dos anos no padrão de vida feminino interferem diretamente neste fator, portando faz-se necessário, que novos estudos sejam realizados,</w:t>
      </w:r>
      <w:r w:rsidRPr="00771368">
        <w:rPr>
          <w:sz w:val="24"/>
          <w:szCs w:val="24"/>
          <w:shd w:val="clear" w:color="auto" w:fill="FFFFFF"/>
        </w:rPr>
        <w:t xml:space="preserve"> utilizando uma amostragem maior, pois dessa maneira será possível criar políticas e pratica de saúde voltada a prevenção da hipertensão arterial em mulheres com tripla jornada.</w:t>
      </w:r>
    </w:p>
    <w:p w:rsidR="00D24E61" w:rsidRPr="00771368" w:rsidRDefault="00D24E61" w:rsidP="00D24E61">
      <w:pPr>
        <w:autoSpaceDE w:val="0"/>
        <w:autoSpaceDN w:val="0"/>
        <w:adjustRightInd w:val="0"/>
        <w:spacing w:before="100" w:beforeAutospacing="1" w:after="100" w:afterAutospacing="1" w:line="360" w:lineRule="auto"/>
        <w:jc w:val="both"/>
        <w:rPr>
          <w:b/>
          <w:bCs/>
          <w:sz w:val="24"/>
          <w:szCs w:val="28"/>
        </w:rPr>
      </w:pPr>
      <w:r w:rsidRPr="00771368">
        <w:rPr>
          <w:b/>
          <w:bCs/>
          <w:sz w:val="24"/>
          <w:szCs w:val="28"/>
        </w:rPr>
        <w:t>REFERÊNCIAS</w:t>
      </w:r>
    </w:p>
    <w:p w:rsidR="00D24E61" w:rsidRPr="00771368" w:rsidRDefault="00D24E61" w:rsidP="00D24E61">
      <w:pPr>
        <w:contextualSpacing/>
        <w:jc w:val="both"/>
        <w:rPr>
          <w:rStyle w:val="apple-style-span"/>
        </w:rPr>
      </w:pPr>
      <w:r w:rsidRPr="00771368">
        <w:rPr>
          <w:rStyle w:val="apple-style-span"/>
        </w:rPr>
        <w:t>AYRES, J. R. De C. M.</w:t>
      </w:r>
      <w:r w:rsidRPr="00771368">
        <w:rPr>
          <w:rStyle w:val="apple-converted-space"/>
          <w:rFonts w:eastAsia="Calibri"/>
        </w:rPr>
        <w:t> </w:t>
      </w:r>
      <w:r w:rsidRPr="00771368">
        <w:rPr>
          <w:rStyle w:val="apple-style-span"/>
          <w:b/>
          <w:iCs/>
        </w:rPr>
        <w:t>Sobre o risco. Para compreender a epidemiologia</w:t>
      </w:r>
      <w:r w:rsidRPr="00771368">
        <w:rPr>
          <w:rStyle w:val="apple-style-span"/>
        </w:rPr>
        <w:t>. São Paulo: Hucitec, 1997.</w:t>
      </w:r>
    </w:p>
    <w:p w:rsidR="00D24E61" w:rsidRPr="00771368" w:rsidRDefault="00D24E61" w:rsidP="00D24E61">
      <w:pPr>
        <w:contextualSpacing/>
        <w:jc w:val="both"/>
        <w:rPr>
          <w:rStyle w:val="apple-style-span"/>
        </w:rPr>
      </w:pPr>
    </w:p>
    <w:p w:rsidR="00D24E61" w:rsidRPr="00771368" w:rsidRDefault="00D24E61" w:rsidP="00D24E61">
      <w:pPr>
        <w:contextualSpacing/>
        <w:jc w:val="both"/>
      </w:pPr>
    </w:p>
    <w:p w:rsidR="00D24E61" w:rsidRPr="00771368" w:rsidRDefault="00D24E61" w:rsidP="00D24E61">
      <w:pPr>
        <w:contextualSpacing/>
        <w:jc w:val="both"/>
      </w:pPr>
      <w:r w:rsidRPr="00771368">
        <w:t xml:space="preserve">BARROS, SALOMÃO A. </w:t>
      </w:r>
      <w:r w:rsidRPr="00771368">
        <w:rPr>
          <w:b/>
        </w:rPr>
        <w:t>Vultos e feitos do município de alagoinhas</w:t>
      </w:r>
      <w:r w:rsidRPr="00771368">
        <w:t>. Salvador. Bahia: 1979.</w:t>
      </w:r>
    </w:p>
    <w:p w:rsidR="00D24E61" w:rsidRPr="00771368" w:rsidRDefault="00D24E61" w:rsidP="00D24E61">
      <w:pPr>
        <w:contextualSpacing/>
        <w:jc w:val="both"/>
      </w:pPr>
    </w:p>
    <w:p w:rsidR="00D24E61" w:rsidRPr="00771368" w:rsidRDefault="00D24E61" w:rsidP="00D24E61">
      <w:pPr>
        <w:contextualSpacing/>
        <w:jc w:val="both"/>
      </w:pPr>
    </w:p>
    <w:p w:rsidR="00D24E61" w:rsidRPr="00771368" w:rsidRDefault="00D24E61" w:rsidP="00D24E61">
      <w:pPr>
        <w:pStyle w:val="NormalWeb"/>
        <w:spacing w:before="0" w:beforeAutospacing="0" w:after="0" w:afterAutospacing="0"/>
        <w:contextualSpacing/>
        <w:jc w:val="both"/>
        <w:rPr>
          <w:rStyle w:val="apple-style-span"/>
        </w:rPr>
      </w:pPr>
      <w:r w:rsidRPr="00771368">
        <w:rPr>
          <w:rStyle w:val="apple-style-span"/>
        </w:rPr>
        <w:t xml:space="preserve">Blackburn, H. </w:t>
      </w:r>
      <w:r w:rsidRPr="00771368">
        <w:rPr>
          <w:rStyle w:val="apple-style-span"/>
          <w:b/>
        </w:rPr>
        <w:t>O conceito de risco.</w:t>
      </w:r>
      <w:r w:rsidRPr="00771368">
        <w:rPr>
          <w:rStyle w:val="apple-converted-space"/>
          <w:rFonts w:eastAsia="Calibri"/>
          <w:b/>
        </w:rPr>
        <w:t> </w:t>
      </w:r>
      <w:r w:rsidRPr="00771368">
        <w:rPr>
          <w:rStyle w:val="apple-style-span"/>
          <w:b/>
          <w:iCs/>
        </w:rPr>
        <w:t>American heart association</w:t>
      </w:r>
      <w:r w:rsidRPr="00771368">
        <w:rPr>
          <w:rStyle w:val="apple-style-span"/>
        </w:rPr>
        <w:t>. (Compêndio de cardiologia preventiva),1997.</w:t>
      </w:r>
    </w:p>
    <w:p w:rsidR="00D24E61" w:rsidRPr="00771368" w:rsidRDefault="00D24E61" w:rsidP="00D24E61">
      <w:pPr>
        <w:pStyle w:val="NormalWeb"/>
        <w:spacing w:before="0" w:beforeAutospacing="0" w:after="0" w:afterAutospacing="0"/>
        <w:contextualSpacing/>
        <w:jc w:val="both"/>
        <w:rPr>
          <w:rStyle w:val="apple-style-span"/>
        </w:rPr>
      </w:pPr>
    </w:p>
    <w:p w:rsidR="00D24E61" w:rsidRPr="00771368" w:rsidRDefault="00D24E61" w:rsidP="00D24E61">
      <w:pPr>
        <w:pStyle w:val="NormalWeb"/>
        <w:spacing w:before="0" w:beforeAutospacing="0" w:after="0" w:afterAutospacing="0"/>
        <w:contextualSpacing/>
        <w:jc w:val="both"/>
        <w:rPr>
          <w:rStyle w:val="apple-style-span"/>
        </w:rPr>
      </w:pPr>
    </w:p>
    <w:p w:rsidR="00D24E61" w:rsidRPr="00771368" w:rsidRDefault="00D24E61" w:rsidP="00D24E61">
      <w:pPr>
        <w:contextualSpacing/>
        <w:jc w:val="both"/>
        <w:rPr>
          <w:rStyle w:val="apple-style-span"/>
          <w:color w:val="000000"/>
        </w:rPr>
      </w:pPr>
      <w:r w:rsidRPr="00771368">
        <w:rPr>
          <w:rStyle w:val="apple-style-span"/>
        </w:rPr>
        <w:t xml:space="preserve">BLOCH, K. V. </w:t>
      </w:r>
      <w:r w:rsidRPr="00771368">
        <w:rPr>
          <w:rStyle w:val="apple-style-span"/>
          <w:b/>
        </w:rPr>
        <w:t>Fatores de risco cardiovasculares e para a diabete mellitus</w:t>
      </w:r>
      <w:r w:rsidRPr="00771368">
        <w:rPr>
          <w:rStyle w:val="apple-style-span"/>
        </w:rPr>
        <w:t xml:space="preserve">. </w:t>
      </w:r>
      <w:r w:rsidRPr="00771368">
        <w:rPr>
          <w:rStyle w:val="apple-style-span"/>
          <w:color w:val="000000"/>
        </w:rPr>
        <w:t>In:</w:t>
      </w:r>
      <w:r w:rsidRPr="00771368">
        <w:rPr>
          <w:rStyle w:val="apple-converted-space"/>
          <w:rFonts w:eastAsia="Calibri"/>
        </w:rPr>
        <w:t> </w:t>
      </w:r>
      <w:r w:rsidRPr="00771368">
        <w:rPr>
          <w:rStyle w:val="apple-style-span"/>
          <w:iCs/>
          <w:color w:val="000000"/>
        </w:rPr>
        <w:t>O Adulto Brasileiro e as Doenças da Modernidade: Epidemiologia das Doenças Crônicas Não-Transmissíveis</w:t>
      </w:r>
      <w:r w:rsidRPr="00771368">
        <w:rPr>
          <w:rStyle w:val="apple-converted-space"/>
          <w:rFonts w:eastAsia="Calibri"/>
        </w:rPr>
        <w:t> </w:t>
      </w:r>
      <w:r w:rsidRPr="00771368">
        <w:rPr>
          <w:rStyle w:val="apple-style-span"/>
          <w:color w:val="000000"/>
        </w:rPr>
        <w:t>(I. Lessa, org.), pp. 43-72, São Paulo: Editora Hucitec/Rio de Janeiro: Abraso,2008.</w:t>
      </w:r>
    </w:p>
    <w:p w:rsidR="00D24E61" w:rsidRPr="00771368" w:rsidRDefault="00D24E61" w:rsidP="00D24E61">
      <w:pPr>
        <w:contextualSpacing/>
        <w:jc w:val="both"/>
        <w:rPr>
          <w:rStyle w:val="apple-style-span"/>
          <w:color w:val="000000"/>
        </w:rPr>
      </w:pPr>
    </w:p>
    <w:p w:rsidR="00D24E61" w:rsidRPr="00771368" w:rsidRDefault="00D24E61" w:rsidP="00D24E61">
      <w:pPr>
        <w:contextualSpacing/>
        <w:jc w:val="both"/>
        <w:rPr>
          <w:rStyle w:val="apple-style-span"/>
          <w:color w:val="000000"/>
        </w:rPr>
      </w:pPr>
    </w:p>
    <w:p w:rsidR="00D24E61" w:rsidRPr="00771368" w:rsidRDefault="00D24E61" w:rsidP="00D24E61">
      <w:pPr>
        <w:autoSpaceDE w:val="0"/>
        <w:autoSpaceDN w:val="0"/>
        <w:adjustRightInd w:val="0"/>
        <w:contextualSpacing/>
        <w:jc w:val="both"/>
      </w:pPr>
      <w:r w:rsidRPr="00771368">
        <w:t xml:space="preserve">BRASIL. </w:t>
      </w:r>
      <w:r w:rsidRPr="00771368">
        <w:rPr>
          <w:b/>
        </w:rPr>
        <w:t xml:space="preserve">Ministério da Saúde. Secretaria de políticas de saúde. Departamento de ações programáticas estratégicas. </w:t>
      </w:r>
      <w:r w:rsidRPr="00771368">
        <w:rPr>
          <w:b/>
          <w:iCs/>
        </w:rPr>
        <w:t>Plano de reorganização da atenção à hipertensão arterial e diabetes mellitus</w:t>
      </w:r>
      <w:r w:rsidRPr="00771368">
        <w:t>. Brasília (DF), 2001.</w:t>
      </w: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p>
    <w:p w:rsidR="00D24E61" w:rsidRPr="00771368" w:rsidRDefault="00D24E61" w:rsidP="00D24E61">
      <w:pPr>
        <w:contextualSpacing/>
        <w:jc w:val="both"/>
        <w:rPr>
          <w:color w:val="FF0000"/>
        </w:rPr>
      </w:pPr>
      <w:r w:rsidRPr="00771368">
        <w:t xml:space="preserve">BRASIL. </w:t>
      </w:r>
      <w:r w:rsidRPr="00771368">
        <w:rPr>
          <w:b/>
        </w:rPr>
        <w:t xml:space="preserve">Ministério da Saúde. Conselho nacional de Saúde. Resolução 196 de 10 de outubro de 1996. Diretrizes e normas regulamentadoras de pesquisa envolvendo seres humanos. </w:t>
      </w:r>
      <w:r w:rsidRPr="00771368">
        <w:t>Brasil. 1996</w:t>
      </w:r>
      <w:r w:rsidRPr="00771368">
        <w:rPr>
          <w:color w:val="FF0000"/>
        </w:rPr>
        <w:t>.</w:t>
      </w:r>
    </w:p>
    <w:p w:rsidR="00D24E61" w:rsidRPr="00771368" w:rsidRDefault="00D24E61" w:rsidP="00D24E61">
      <w:pPr>
        <w:contextualSpacing/>
        <w:jc w:val="both"/>
        <w:rPr>
          <w:color w:val="FF0000"/>
        </w:rPr>
      </w:pPr>
    </w:p>
    <w:p w:rsidR="00D24E61" w:rsidRPr="00771368" w:rsidRDefault="00D24E61" w:rsidP="00D24E61">
      <w:pPr>
        <w:contextualSpacing/>
        <w:jc w:val="both"/>
        <w:rPr>
          <w:color w:val="FF0000"/>
        </w:rPr>
      </w:pPr>
    </w:p>
    <w:p w:rsidR="00D24E61" w:rsidRPr="00771368" w:rsidRDefault="00D24E61" w:rsidP="00D24E61">
      <w:pPr>
        <w:autoSpaceDE w:val="0"/>
        <w:autoSpaceDN w:val="0"/>
        <w:adjustRightInd w:val="0"/>
        <w:contextualSpacing/>
        <w:jc w:val="both"/>
      </w:pPr>
      <w:r w:rsidRPr="00771368">
        <w:t xml:space="preserve">CAMPOS JR., R.; COLOMBARI, E; CRAVO, S.; LOPES, O. U. </w:t>
      </w:r>
      <w:r w:rsidRPr="00771368">
        <w:rPr>
          <w:b/>
        </w:rPr>
        <w:t>Hipertensão arterial: o eu tem a dizer o sistema nervoso</w:t>
      </w:r>
      <w:r w:rsidRPr="00771368">
        <w:t xml:space="preserve">, 2001. </w:t>
      </w: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p>
    <w:p w:rsidR="00D24E61" w:rsidRPr="00771368" w:rsidRDefault="00D24E61" w:rsidP="00D24E61">
      <w:pPr>
        <w:contextualSpacing/>
        <w:jc w:val="both"/>
      </w:pPr>
      <w:r w:rsidRPr="00771368">
        <w:t xml:space="preserve">IBGE- </w:t>
      </w:r>
      <w:hyperlink r:id="rId144" w:tooltip="http://www.ibge.gov.br/home/estatistica/populacao/estimativa2008/POP2008_DOU.pdf" w:history="1">
        <w:r w:rsidRPr="00771368">
          <w:rPr>
            <w:rStyle w:val="Hyperlink"/>
            <w:iCs/>
          </w:rPr>
          <w:t>Estimativas da populacional,contagem 2010.</w:t>
        </w:r>
      </w:hyperlink>
      <w:r w:rsidRPr="00771368">
        <w:t xml:space="preserve"> Disponível em &lt; </w:t>
      </w:r>
      <w:hyperlink r:id="rId145" w:history="1">
        <w:r w:rsidRPr="00771368">
          <w:rPr>
            <w:rStyle w:val="Hyperlink"/>
          </w:rPr>
          <w:t>www.ibge.gov.br</w:t>
        </w:r>
      </w:hyperlink>
      <w:r w:rsidRPr="00771368">
        <w:t xml:space="preserve"> &gt;Acesso em 17 de dezembro de 2010.</w:t>
      </w:r>
    </w:p>
    <w:p w:rsidR="00D24E61" w:rsidRPr="00771368" w:rsidRDefault="00D24E61" w:rsidP="00D24E61">
      <w:pPr>
        <w:contextualSpacing/>
        <w:jc w:val="both"/>
      </w:pPr>
    </w:p>
    <w:p w:rsidR="00D24E61" w:rsidRPr="00771368" w:rsidRDefault="00D24E61" w:rsidP="00D24E61">
      <w:pPr>
        <w:contextualSpacing/>
        <w:jc w:val="both"/>
        <w:rPr>
          <w:rStyle w:val="apple-style-span"/>
        </w:rPr>
      </w:pPr>
    </w:p>
    <w:p w:rsidR="00D24E61" w:rsidRPr="00771368" w:rsidRDefault="00D24E61" w:rsidP="00D24E61">
      <w:pPr>
        <w:autoSpaceDE w:val="0"/>
        <w:autoSpaceDN w:val="0"/>
        <w:adjustRightInd w:val="0"/>
        <w:contextualSpacing/>
        <w:jc w:val="both"/>
      </w:pPr>
      <w:r w:rsidRPr="00771368">
        <w:t xml:space="preserve">FUCHS F, MOREIRA LB, MORAES RS, BREDEMEIR M, CARDOZO SC. </w:t>
      </w:r>
      <w:r w:rsidRPr="00771368">
        <w:rPr>
          <w:b/>
        </w:rPr>
        <w:t>Prevalência de hipertensão arterial sistêmica e fatores associados na região urbana de porto alegre</w:t>
      </w:r>
      <w:r w:rsidRPr="00771368">
        <w:t>: estudo de base populacional. Arq Bras Cardiol. 1995.</w:t>
      </w: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p>
    <w:p w:rsidR="00D24E61" w:rsidRPr="00771368" w:rsidRDefault="00D24E61" w:rsidP="00D24E61">
      <w:pPr>
        <w:pStyle w:val="NormalWeb"/>
        <w:spacing w:before="0" w:beforeAutospacing="0" w:after="0" w:afterAutospacing="0"/>
        <w:contextualSpacing/>
        <w:jc w:val="both"/>
      </w:pPr>
      <w:r w:rsidRPr="00771368">
        <w:t>JENICEK, M.; CLÉROUX, R.</w:t>
      </w:r>
      <w:r w:rsidRPr="00771368">
        <w:rPr>
          <w:rStyle w:val="apple-converted-space"/>
          <w:rFonts w:eastAsia="Calibri"/>
          <w:b/>
        </w:rPr>
        <w:t> </w:t>
      </w:r>
      <w:r w:rsidRPr="00771368">
        <w:rPr>
          <w:b/>
          <w:iCs/>
        </w:rPr>
        <w:t>Epidemiología. Princípios, técnicas y aplicaciones</w:t>
      </w:r>
      <w:r w:rsidRPr="00771368">
        <w:rPr>
          <w:b/>
        </w:rPr>
        <w:t>. Barcelona</w:t>
      </w:r>
      <w:r w:rsidRPr="00771368">
        <w:t>: Salvat, 1987.</w:t>
      </w:r>
    </w:p>
    <w:p w:rsidR="00D24E61" w:rsidRPr="00771368" w:rsidRDefault="00D24E61" w:rsidP="00D24E61">
      <w:pPr>
        <w:pStyle w:val="NormalWeb"/>
        <w:spacing w:before="0" w:beforeAutospacing="0" w:after="0" w:afterAutospacing="0"/>
        <w:contextualSpacing/>
        <w:jc w:val="both"/>
      </w:pPr>
    </w:p>
    <w:p w:rsidR="00D24E61" w:rsidRPr="00771368" w:rsidRDefault="00D24E61" w:rsidP="00D24E61">
      <w:pPr>
        <w:pStyle w:val="NormalWeb"/>
        <w:spacing w:before="0" w:beforeAutospacing="0" w:after="0" w:afterAutospacing="0"/>
        <w:contextualSpacing/>
        <w:jc w:val="both"/>
        <w:rPr>
          <w:rStyle w:val="apple-style-span"/>
        </w:rPr>
      </w:pPr>
    </w:p>
    <w:p w:rsidR="00D24E61" w:rsidRPr="00771368" w:rsidRDefault="00D24E61" w:rsidP="00D24E61">
      <w:pPr>
        <w:contextualSpacing/>
        <w:jc w:val="both"/>
        <w:rPr>
          <w:rStyle w:val="apple-style-span"/>
        </w:rPr>
      </w:pPr>
      <w:r w:rsidRPr="00771368">
        <w:rPr>
          <w:rStyle w:val="apple-style-span"/>
        </w:rPr>
        <w:t xml:space="preserve">Lessa, I. </w:t>
      </w:r>
      <w:r w:rsidRPr="00771368">
        <w:rPr>
          <w:rStyle w:val="apple-style-span"/>
          <w:b/>
        </w:rPr>
        <w:t>Epidemiologia da hipertensão arterial</w:t>
      </w:r>
      <w:r w:rsidRPr="00771368">
        <w:rPr>
          <w:rStyle w:val="apple-style-span"/>
        </w:rPr>
        <w:t>. In: lessa, i</w:t>
      </w:r>
      <w:r w:rsidRPr="00771368">
        <w:rPr>
          <w:rStyle w:val="apple-style-span"/>
          <w:b/>
        </w:rPr>
        <w:t>.</w:t>
      </w:r>
      <w:r w:rsidRPr="00771368">
        <w:rPr>
          <w:rStyle w:val="apple-converted-space"/>
          <w:rFonts w:eastAsia="Calibri"/>
          <w:b/>
        </w:rPr>
        <w:t> </w:t>
      </w:r>
      <w:r w:rsidRPr="00771368">
        <w:rPr>
          <w:rStyle w:val="apple-style-span"/>
          <w:b/>
          <w:iCs/>
        </w:rPr>
        <w:t>O adulto brasileiro e as doenças da modernidade</w:t>
      </w:r>
      <w:r w:rsidRPr="00771368">
        <w:rPr>
          <w:rStyle w:val="apple-style-span"/>
          <w:b/>
        </w:rPr>
        <w:t>. Epidemiologia das doenças crônicas não-transmissíveis</w:t>
      </w:r>
      <w:r w:rsidRPr="00771368">
        <w:rPr>
          <w:rStyle w:val="apple-style-span"/>
        </w:rPr>
        <w:t>. São Paulo: Hucitec, 1998.</w:t>
      </w:r>
    </w:p>
    <w:p w:rsidR="00D24E61" w:rsidRPr="00771368" w:rsidRDefault="00D24E61" w:rsidP="00D24E61">
      <w:pPr>
        <w:pStyle w:val="NormalWeb"/>
        <w:spacing w:before="0" w:beforeAutospacing="0" w:after="0" w:afterAutospacing="0"/>
        <w:contextualSpacing/>
        <w:jc w:val="both"/>
      </w:pPr>
      <w:r w:rsidRPr="00771368">
        <w:t xml:space="preserve">Lessa, I. </w:t>
      </w:r>
      <w:r w:rsidRPr="00771368">
        <w:rPr>
          <w:b/>
        </w:rPr>
        <w:t>Epidemiologia da hipertensão arteria</w:t>
      </w:r>
      <w:r w:rsidRPr="00771368">
        <w:t>l. In: LESSA, I.</w:t>
      </w:r>
      <w:r w:rsidRPr="00771368">
        <w:rPr>
          <w:rStyle w:val="apple-converted-space"/>
          <w:rFonts w:eastAsia="Calibri"/>
        </w:rPr>
        <w:t> </w:t>
      </w:r>
      <w:r w:rsidRPr="00771368">
        <w:rPr>
          <w:b/>
          <w:iCs/>
        </w:rPr>
        <w:t>O adulto brasileiro e as doenças da modernidade</w:t>
      </w:r>
      <w:r w:rsidRPr="00771368">
        <w:rPr>
          <w:b/>
        </w:rPr>
        <w:t>. Epidemiologia das doenças crônicas não-transmissíveis.</w:t>
      </w:r>
      <w:r w:rsidRPr="00771368">
        <w:t xml:space="preserve"> São Paulo: Hucitec, 1998.</w:t>
      </w:r>
    </w:p>
    <w:p w:rsidR="00D24E61" w:rsidRPr="00771368" w:rsidRDefault="00D24E61" w:rsidP="00D24E61">
      <w:pPr>
        <w:pStyle w:val="NormalWeb"/>
        <w:spacing w:before="0" w:beforeAutospacing="0" w:after="0" w:afterAutospacing="0"/>
        <w:contextualSpacing/>
        <w:jc w:val="both"/>
      </w:pPr>
    </w:p>
    <w:p w:rsidR="00D24E61" w:rsidRPr="00771368" w:rsidRDefault="00D24E61" w:rsidP="00D24E61">
      <w:pPr>
        <w:pStyle w:val="NormalWeb"/>
        <w:spacing w:before="0" w:beforeAutospacing="0" w:after="0" w:afterAutospacing="0"/>
        <w:contextualSpacing/>
        <w:jc w:val="both"/>
      </w:pPr>
    </w:p>
    <w:p w:rsidR="00D24E61" w:rsidRPr="00771368" w:rsidRDefault="00D24E61" w:rsidP="00D24E61">
      <w:pPr>
        <w:pStyle w:val="NormalWeb"/>
        <w:spacing w:before="0" w:beforeAutospacing="0" w:after="0" w:afterAutospacing="0"/>
        <w:contextualSpacing/>
        <w:jc w:val="both"/>
        <w:rPr>
          <w:rStyle w:val="apple-style-span"/>
        </w:rPr>
      </w:pPr>
      <w:r w:rsidRPr="00771368">
        <w:rPr>
          <w:rStyle w:val="apple-style-span"/>
        </w:rPr>
        <w:t xml:space="preserve">Lessa, I. </w:t>
      </w:r>
      <w:r w:rsidRPr="00771368">
        <w:rPr>
          <w:rStyle w:val="apple-converted-space"/>
          <w:rFonts w:eastAsia="Calibri"/>
        </w:rPr>
        <w:t> </w:t>
      </w:r>
      <w:r w:rsidRPr="00771368">
        <w:rPr>
          <w:rStyle w:val="apple-style-span"/>
          <w:b/>
          <w:iCs/>
        </w:rPr>
        <w:t>O adulto brasileiro e as doenças da modernidade. Epidemiologia das doenças crônicas não-transmissíveis</w:t>
      </w:r>
      <w:r w:rsidRPr="00771368">
        <w:rPr>
          <w:rStyle w:val="apple-style-span"/>
        </w:rPr>
        <w:t>. São Paulo: Hucitec, 1998.</w:t>
      </w:r>
    </w:p>
    <w:p w:rsidR="00D24E61" w:rsidRPr="00771368" w:rsidRDefault="00D24E61" w:rsidP="00D24E61">
      <w:pPr>
        <w:pStyle w:val="NormalWeb"/>
        <w:spacing w:before="0" w:beforeAutospacing="0" w:after="0" w:afterAutospacing="0"/>
        <w:contextualSpacing/>
        <w:jc w:val="both"/>
        <w:rPr>
          <w:rStyle w:val="apple-style-span"/>
        </w:rPr>
      </w:pPr>
    </w:p>
    <w:p w:rsidR="00D24E61" w:rsidRPr="00771368" w:rsidRDefault="00D24E61" w:rsidP="00D24E61">
      <w:pPr>
        <w:pStyle w:val="NormalWeb"/>
        <w:spacing w:before="0" w:beforeAutospacing="0" w:after="0" w:afterAutospacing="0"/>
        <w:contextualSpacing/>
        <w:jc w:val="both"/>
      </w:pPr>
    </w:p>
    <w:p w:rsidR="00D24E61" w:rsidRPr="00771368" w:rsidRDefault="00D24E61" w:rsidP="00D24E61">
      <w:pPr>
        <w:autoSpaceDE w:val="0"/>
        <w:autoSpaceDN w:val="0"/>
        <w:adjustRightInd w:val="0"/>
        <w:contextualSpacing/>
        <w:jc w:val="both"/>
      </w:pPr>
      <w:r w:rsidRPr="00771368">
        <w:t xml:space="preserve">LESSA I, FONSECA J. RAÇA. </w:t>
      </w:r>
      <w:r w:rsidRPr="00771368">
        <w:rPr>
          <w:b/>
        </w:rPr>
        <w:t>Aderência ao tratamento e/ou consultas e controle da hipertensão arterial</w:t>
      </w:r>
      <w:r w:rsidRPr="00771368">
        <w:t xml:space="preserve">. Arq Bras Cardiol 2012. </w:t>
      </w: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r w:rsidRPr="00771368">
        <w:t xml:space="preserve">Lessa, I. </w:t>
      </w:r>
      <w:r w:rsidRPr="00771368">
        <w:rPr>
          <w:b/>
          <w:iCs/>
        </w:rPr>
        <w:t>O adulto brasileiro e as doenças da modernidade</w:t>
      </w:r>
      <w:r w:rsidRPr="00771368">
        <w:rPr>
          <w:b/>
        </w:rPr>
        <w:t>: epidemiologia das doenças crônicas não transmissíveis</w:t>
      </w:r>
      <w:r w:rsidRPr="00771368">
        <w:t>. São Paulo -Rio de Janeiro: Hucitec Abrasco,1998.</w:t>
      </w: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r w:rsidRPr="00771368">
        <w:t xml:space="preserve">LOPES H, F. </w:t>
      </w:r>
      <w:r w:rsidRPr="00771368">
        <w:rPr>
          <w:b/>
        </w:rPr>
        <w:t>Hipertensão arterial e síndrome metabólica: além da associação</w:t>
      </w:r>
      <w:r w:rsidRPr="00771368">
        <w:t xml:space="preserve">. </w:t>
      </w:r>
      <w:r w:rsidRPr="00771368">
        <w:rPr>
          <w:iCs/>
        </w:rPr>
        <w:t>Rev. Soc. Bras,</w:t>
      </w:r>
      <w:r w:rsidRPr="00771368">
        <w:t xml:space="preserve"> 2003.</w:t>
      </w:r>
    </w:p>
    <w:p w:rsidR="00D24E61" w:rsidRPr="00771368" w:rsidRDefault="00D24E61" w:rsidP="00D24E61">
      <w:pPr>
        <w:pStyle w:val="NormalWeb"/>
        <w:spacing w:before="0" w:beforeAutospacing="0" w:after="0" w:afterAutospacing="0"/>
        <w:contextualSpacing/>
        <w:jc w:val="both"/>
      </w:pPr>
      <w:r w:rsidRPr="00771368">
        <w:t>MERLEAU-PONTY, M.</w:t>
      </w:r>
      <w:r w:rsidRPr="00771368">
        <w:rPr>
          <w:rStyle w:val="apple-converted-space"/>
          <w:rFonts w:eastAsia="Calibri"/>
        </w:rPr>
        <w:t> </w:t>
      </w:r>
      <w:r w:rsidRPr="00771368">
        <w:rPr>
          <w:b/>
          <w:iCs/>
        </w:rPr>
        <w:t>A</w:t>
      </w:r>
      <w:r w:rsidRPr="00771368">
        <w:rPr>
          <w:iCs/>
        </w:rPr>
        <w:t xml:space="preserve"> </w:t>
      </w:r>
      <w:r w:rsidRPr="00771368">
        <w:rPr>
          <w:b/>
          <w:iCs/>
        </w:rPr>
        <w:t>fenomenologia da percepção</w:t>
      </w:r>
      <w:r w:rsidRPr="00771368">
        <w:t>. São Paulo: Martins Fontes.</w:t>
      </w:r>
    </w:p>
    <w:p w:rsidR="00D24E61" w:rsidRPr="00771368" w:rsidRDefault="00D24E61" w:rsidP="00D24E61">
      <w:pPr>
        <w:pStyle w:val="NormalWeb"/>
        <w:spacing w:before="0" w:beforeAutospacing="0" w:after="0" w:afterAutospacing="0"/>
        <w:contextualSpacing/>
        <w:jc w:val="both"/>
      </w:pPr>
    </w:p>
    <w:p w:rsidR="00D24E61" w:rsidRPr="00771368" w:rsidRDefault="00D24E61" w:rsidP="00D24E61">
      <w:pPr>
        <w:pStyle w:val="NormalWeb"/>
        <w:spacing w:before="0" w:beforeAutospacing="0" w:after="0" w:afterAutospacing="0"/>
        <w:contextualSpacing/>
        <w:jc w:val="both"/>
        <w:rPr>
          <w:rStyle w:val="apple-style-span"/>
        </w:rPr>
      </w:pPr>
    </w:p>
    <w:p w:rsidR="00D24E61" w:rsidRPr="00771368" w:rsidRDefault="00D24E61" w:rsidP="00D24E61">
      <w:pPr>
        <w:pStyle w:val="NormalWeb"/>
        <w:spacing w:before="0" w:beforeAutospacing="0" w:after="0" w:afterAutospacing="0"/>
        <w:contextualSpacing/>
        <w:jc w:val="both"/>
      </w:pPr>
      <w:r w:rsidRPr="00771368">
        <w:t xml:space="preserve">MINAYO, M. C. DE S. </w:t>
      </w:r>
      <w:r w:rsidRPr="00771368">
        <w:rPr>
          <w:b/>
        </w:rPr>
        <w:t>Estrutura e sujeito, determinismo e protágonismo histórico. Uma reflexão sobre a práxis da saúde coletiva.</w:t>
      </w:r>
      <w:r w:rsidRPr="00771368">
        <w:rPr>
          <w:rStyle w:val="apple-converted-space"/>
          <w:rFonts w:eastAsia="Calibri"/>
          <w:b/>
        </w:rPr>
        <w:t> </w:t>
      </w:r>
      <w:r w:rsidRPr="00771368">
        <w:rPr>
          <w:b/>
          <w:iCs/>
        </w:rPr>
        <w:t>Ciência e saúde coletiva</w:t>
      </w:r>
      <w:r w:rsidRPr="00771368">
        <w:t>, 2000.</w:t>
      </w:r>
    </w:p>
    <w:p w:rsidR="00D24E61" w:rsidRPr="00771368" w:rsidRDefault="00D24E61" w:rsidP="00D24E61">
      <w:pPr>
        <w:pStyle w:val="NormalWeb"/>
        <w:spacing w:before="0" w:beforeAutospacing="0" w:after="0" w:afterAutospacing="0"/>
        <w:contextualSpacing/>
        <w:jc w:val="both"/>
      </w:pPr>
    </w:p>
    <w:p w:rsidR="00D24E61" w:rsidRPr="00771368" w:rsidRDefault="00D24E61" w:rsidP="00D24E61">
      <w:pPr>
        <w:pStyle w:val="NormalWeb"/>
        <w:spacing w:before="0" w:beforeAutospacing="0" w:after="0" w:afterAutospacing="0"/>
        <w:contextualSpacing/>
        <w:jc w:val="both"/>
      </w:pPr>
    </w:p>
    <w:p w:rsidR="00D24E61" w:rsidRPr="00771368" w:rsidRDefault="00D24E61" w:rsidP="00D24E61">
      <w:pPr>
        <w:autoSpaceDE w:val="0"/>
        <w:autoSpaceDN w:val="0"/>
        <w:adjustRightInd w:val="0"/>
        <w:contextualSpacing/>
        <w:jc w:val="both"/>
      </w:pPr>
      <w:r w:rsidRPr="00771368">
        <w:t xml:space="preserve">MINAYO, M. C. S. (ORG). </w:t>
      </w:r>
      <w:r w:rsidRPr="00771368">
        <w:rPr>
          <w:iCs/>
        </w:rPr>
        <w:t xml:space="preserve">Pesquisa </w:t>
      </w:r>
      <w:r w:rsidRPr="00771368">
        <w:rPr>
          <w:b/>
          <w:iCs/>
        </w:rPr>
        <w:t>social</w:t>
      </w:r>
      <w:r w:rsidRPr="00771368">
        <w:rPr>
          <w:b/>
        </w:rPr>
        <w:t>: teoria, método e criatividade</w:t>
      </w:r>
      <w:r w:rsidRPr="00771368">
        <w:t>. 19ªed. Petrópolis: Vozes, 2001.</w:t>
      </w: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r w:rsidRPr="00771368">
        <w:t xml:space="preserve">RUDIO, V. F. </w:t>
      </w:r>
      <w:r w:rsidRPr="00771368">
        <w:rPr>
          <w:b/>
          <w:iCs/>
        </w:rPr>
        <w:t>Introdução Ao Projeto De Pesquisa Científica.</w:t>
      </w:r>
      <w:r w:rsidRPr="00771368">
        <w:rPr>
          <w:iCs/>
        </w:rPr>
        <w:t xml:space="preserve"> </w:t>
      </w:r>
      <w:r w:rsidRPr="00771368">
        <w:t>9ªed. Petrópolis: Vozes, 2001.</w:t>
      </w: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p>
    <w:p w:rsidR="00D24E61" w:rsidRPr="00771368" w:rsidRDefault="00D24E61" w:rsidP="00D24E61">
      <w:pPr>
        <w:autoSpaceDE w:val="0"/>
        <w:autoSpaceDN w:val="0"/>
        <w:adjustRightInd w:val="0"/>
        <w:contextualSpacing/>
        <w:jc w:val="both"/>
      </w:pPr>
      <w:r w:rsidRPr="00771368">
        <w:t xml:space="preserve">TOBAR, F; YALOUR M.R. </w:t>
      </w:r>
      <w:r w:rsidRPr="00771368">
        <w:rPr>
          <w:b/>
          <w:iCs/>
        </w:rPr>
        <w:t xml:space="preserve">Como fazer teses em saúde pública </w:t>
      </w:r>
      <w:r w:rsidRPr="00771368">
        <w:rPr>
          <w:b/>
        </w:rPr>
        <w:t xml:space="preserve">– </w:t>
      </w:r>
      <w:r w:rsidRPr="00771368">
        <w:rPr>
          <w:b/>
          <w:iCs/>
        </w:rPr>
        <w:t>conselhos e idéias para formular projetos e redigir teses e informes de pesquisa</w:t>
      </w:r>
      <w:r w:rsidRPr="00771368">
        <w:rPr>
          <w:iCs/>
        </w:rPr>
        <w:t xml:space="preserve">. </w:t>
      </w:r>
      <w:r w:rsidRPr="00771368">
        <w:t>Rio de Janeiro: Fiocruz, 2002. Qualitativa em saúde. 7ªed. São Paulo – Rio de Janeiro: Hucitec-Abrasco, 2000.</w:t>
      </w:r>
    </w:p>
    <w:p w:rsidR="00D24E61" w:rsidRPr="00771368" w:rsidRDefault="00D24E61" w:rsidP="00D24E61">
      <w:pPr>
        <w:autoSpaceDE w:val="0"/>
        <w:autoSpaceDN w:val="0"/>
        <w:adjustRightInd w:val="0"/>
        <w:spacing w:before="100" w:beforeAutospacing="1" w:after="100" w:afterAutospacing="1"/>
        <w:jc w:val="both"/>
      </w:pPr>
    </w:p>
    <w:p w:rsidR="00D24E61" w:rsidRPr="00771368" w:rsidRDefault="00D24E61" w:rsidP="00D24E61">
      <w:pPr>
        <w:spacing w:before="100" w:beforeAutospacing="1" w:after="100" w:afterAutospacing="1" w:line="360" w:lineRule="auto"/>
        <w:jc w:val="both"/>
      </w:pPr>
    </w:p>
    <w:p w:rsidR="00D24E61" w:rsidRPr="00771368" w:rsidRDefault="00D24E61" w:rsidP="00D24E61">
      <w:pPr>
        <w:spacing w:before="100" w:beforeAutospacing="1" w:after="100" w:afterAutospacing="1" w:line="360" w:lineRule="auto"/>
        <w:jc w:val="both"/>
        <w:rPr>
          <w:b/>
          <w:bCs/>
        </w:rPr>
      </w:pPr>
    </w:p>
    <w:p w:rsidR="00D24E61" w:rsidRPr="00771368" w:rsidRDefault="00D24E61" w:rsidP="00D24E61">
      <w:pPr>
        <w:spacing w:before="100" w:beforeAutospacing="1" w:after="100" w:afterAutospacing="1" w:line="360" w:lineRule="auto"/>
        <w:jc w:val="both"/>
        <w:rPr>
          <w:b/>
          <w:bCs/>
        </w:rPr>
      </w:pPr>
    </w:p>
    <w:p w:rsidR="00D24E61" w:rsidRPr="00771368" w:rsidRDefault="00D24E61" w:rsidP="00D24E61">
      <w:pPr>
        <w:spacing w:line="360" w:lineRule="auto"/>
        <w:contextualSpacing/>
        <w:jc w:val="both"/>
        <w:rPr>
          <w:b/>
          <w:sz w:val="24"/>
          <w:szCs w:val="28"/>
        </w:rPr>
      </w:pPr>
      <w:r w:rsidRPr="00771368">
        <w:rPr>
          <w:b/>
          <w:sz w:val="24"/>
          <w:szCs w:val="28"/>
        </w:rPr>
        <w:t>ANEXOS</w:t>
      </w:r>
    </w:p>
    <w:p w:rsidR="00D24E61" w:rsidRPr="00771368" w:rsidRDefault="00D24E61" w:rsidP="00D24E61">
      <w:pPr>
        <w:jc w:val="center"/>
      </w:pPr>
    </w:p>
    <w:p w:rsidR="00D24E61" w:rsidRPr="00771368" w:rsidRDefault="00D24E61" w:rsidP="00D24E61">
      <w:pPr>
        <w:jc w:val="center"/>
        <w:rPr>
          <w:b/>
          <w:sz w:val="24"/>
          <w:szCs w:val="24"/>
        </w:rPr>
      </w:pPr>
      <w:r w:rsidRPr="00771368">
        <w:rPr>
          <w:b/>
          <w:sz w:val="24"/>
          <w:szCs w:val="24"/>
        </w:rPr>
        <w:t>Faculdade Santíssimo Sacramento</w:t>
      </w:r>
    </w:p>
    <w:p w:rsidR="00D24E61" w:rsidRPr="00771368" w:rsidRDefault="00D24E61" w:rsidP="00D24E61">
      <w:pPr>
        <w:jc w:val="center"/>
        <w:rPr>
          <w:b/>
          <w:sz w:val="24"/>
          <w:szCs w:val="24"/>
        </w:rPr>
      </w:pPr>
      <w:r w:rsidRPr="00771368">
        <w:rPr>
          <w:b/>
          <w:sz w:val="24"/>
          <w:szCs w:val="24"/>
        </w:rPr>
        <w:t>Pós Graduação Pós - graduação em Saúde Coletiva com Ênfase em Saúde da Família.</w:t>
      </w:r>
    </w:p>
    <w:p w:rsidR="00D24E61" w:rsidRPr="00771368" w:rsidRDefault="00D24E61" w:rsidP="00D24E61">
      <w:pPr>
        <w:tabs>
          <w:tab w:val="left" w:pos="2610"/>
        </w:tabs>
        <w:jc w:val="center"/>
        <w:rPr>
          <w:b/>
          <w:sz w:val="24"/>
          <w:szCs w:val="24"/>
        </w:rPr>
      </w:pPr>
    </w:p>
    <w:p w:rsidR="00D24E61" w:rsidRPr="00771368" w:rsidRDefault="00D24E61" w:rsidP="00D24E61">
      <w:pPr>
        <w:tabs>
          <w:tab w:val="left" w:pos="2610"/>
        </w:tabs>
        <w:jc w:val="center"/>
        <w:rPr>
          <w:b/>
          <w:sz w:val="24"/>
          <w:szCs w:val="24"/>
        </w:rPr>
      </w:pPr>
      <w:r w:rsidRPr="00771368">
        <w:rPr>
          <w:b/>
          <w:sz w:val="24"/>
          <w:szCs w:val="24"/>
        </w:rPr>
        <w:t xml:space="preserve">Diferenças entre os sexos: Perfil epidemiológico da Hipertensão Arterial em mulheres de </w:t>
      </w:r>
      <w:smartTag w:uri="urn:schemas-microsoft-com:office:smarttags" w:element="metricconverter">
        <w:smartTagPr>
          <w:attr w:name="ProductID" w:val="20 a"/>
        </w:smartTagPr>
        <w:r w:rsidRPr="00771368">
          <w:rPr>
            <w:b/>
            <w:sz w:val="24"/>
            <w:szCs w:val="24"/>
          </w:rPr>
          <w:t>20 a</w:t>
        </w:r>
      </w:smartTag>
      <w:r w:rsidRPr="00771368">
        <w:rPr>
          <w:b/>
          <w:sz w:val="24"/>
          <w:szCs w:val="24"/>
        </w:rPr>
        <w:t xml:space="preserve"> 60 anos no bairro da URBIS III no município de Alagoinhas, BAHIA.</w:t>
      </w:r>
    </w:p>
    <w:p w:rsidR="00D24E61" w:rsidRPr="00771368" w:rsidRDefault="00D24E61" w:rsidP="00D24E61">
      <w:pPr>
        <w:jc w:val="right"/>
        <w:rPr>
          <w:b/>
          <w:sz w:val="24"/>
          <w:szCs w:val="24"/>
        </w:rPr>
      </w:pPr>
      <w:r w:rsidRPr="00771368">
        <w:rPr>
          <w:b/>
          <w:sz w:val="24"/>
          <w:szCs w:val="24"/>
        </w:rPr>
        <w:t>Ana Claudia Santos Pinheiro</w:t>
      </w:r>
      <w:r w:rsidRPr="00771368">
        <w:rPr>
          <w:rStyle w:val="Refdenotaderodap"/>
          <w:b/>
          <w:sz w:val="24"/>
          <w:szCs w:val="24"/>
        </w:rPr>
        <w:footnoteReference w:id="108"/>
      </w:r>
      <w:r w:rsidRPr="00771368">
        <w:rPr>
          <w:b/>
          <w:sz w:val="24"/>
          <w:szCs w:val="24"/>
        </w:rPr>
        <w:t xml:space="preserve"> </w:t>
      </w:r>
    </w:p>
    <w:p w:rsidR="00D24E61" w:rsidRPr="00771368" w:rsidRDefault="00D24E61" w:rsidP="00D24E61">
      <w:pPr>
        <w:jc w:val="right"/>
        <w:rPr>
          <w:b/>
          <w:sz w:val="24"/>
          <w:szCs w:val="24"/>
        </w:rPr>
      </w:pPr>
      <w:r w:rsidRPr="00771368">
        <w:rPr>
          <w:b/>
          <w:sz w:val="24"/>
          <w:szCs w:val="24"/>
        </w:rPr>
        <w:t>Claudia Cerqueira Graça</w:t>
      </w:r>
      <w:r w:rsidRPr="00771368">
        <w:rPr>
          <w:rStyle w:val="Refdenotaderodap"/>
          <w:b/>
          <w:sz w:val="24"/>
          <w:szCs w:val="24"/>
        </w:rPr>
        <w:footnoteReference w:id="109"/>
      </w:r>
    </w:p>
    <w:p w:rsidR="00D24E61" w:rsidRPr="00771368" w:rsidRDefault="00D24E61" w:rsidP="00D24E61">
      <w:pPr>
        <w:spacing w:line="360" w:lineRule="auto"/>
        <w:ind w:firstLine="709"/>
        <w:contextualSpacing/>
        <w:jc w:val="center"/>
        <w:rPr>
          <w:b/>
          <w:sz w:val="28"/>
          <w:szCs w:val="28"/>
        </w:rPr>
      </w:pPr>
    </w:p>
    <w:p w:rsidR="00D24E61" w:rsidRPr="00771368" w:rsidRDefault="00D24E61" w:rsidP="00D24E61">
      <w:pPr>
        <w:spacing w:line="360" w:lineRule="auto"/>
        <w:ind w:firstLine="709"/>
        <w:contextualSpacing/>
        <w:jc w:val="center"/>
        <w:rPr>
          <w:b/>
          <w:sz w:val="28"/>
          <w:szCs w:val="28"/>
        </w:rPr>
      </w:pPr>
      <w:r w:rsidRPr="00771368">
        <w:rPr>
          <w:b/>
          <w:sz w:val="28"/>
          <w:szCs w:val="28"/>
        </w:rPr>
        <w:t>QUESTIONÁRIO</w:t>
      </w:r>
    </w:p>
    <w:p w:rsidR="00D24E61" w:rsidRPr="00771368" w:rsidRDefault="00D24E61" w:rsidP="00D24E61">
      <w:pPr>
        <w:spacing w:line="360" w:lineRule="auto"/>
        <w:contextualSpacing/>
        <w:jc w:val="both"/>
        <w:rPr>
          <w:sz w:val="24"/>
          <w:szCs w:val="24"/>
        </w:rPr>
      </w:pPr>
      <w:r w:rsidRPr="00771368">
        <w:rPr>
          <w:sz w:val="24"/>
          <w:szCs w:val="24"/>
        </w:rPr>
        <w:t xml:space="preserve">1º Qual a faixa etária? </w:t>
      </w:r>
    </w:p>
    <w:p w:rsidR="00D24E61" w:rsidRPr="00771368" w:rsidRDefault="00D24E61" w:rsidP="00D24E61">
      <w:pPr>
        <w:spacing w:line="360" w:lineRule="auto"/>
        <w:contextualSpacing/>
        <w:jc w:val="both"/>
        <w:rPr>
          <w:sz w:val="24"/>
          <w:szCs w:val="24"/>
        </w:rPr>
      </w:pPr>
      <w:r w:rsidRPr="00771368">
        <w:rPr>
          <w:sz w:val="24"/>
          <w:szCs w:val="24"/>
        </w:rPr>
        <w:t>20 - 30 (    )</w:t>
      </w:r>
      <w:r w:rsidRPr="00771368">
        <w:rPr>
          <w:sz w:val="24"/>
          <w:szCs w:val="24"/>
        </w:rPr>
        <w:tab/>
      </w:r>
      <w:r w:rsidRPr="00771368">
        <w:rPr>
          <w:sz w:val="24"/>
          <w:szCs w:val="24"/>
        </w:rPr>
        <w:tab/>
      </w:r>
      <w:r w:rsidRPr="00771368">
        <w:rPr>
          <w:sz w:val="24"/>
          <w:szCs w:val="24"/>
        </w:rPr>
        <w:tab/>
      </w:r>
      <w:r w:rsidRPr="00771368">
        <w:rPr>
          <w:sz w:val="24"/>
          <w:szCs w:val="24"/>
        </w:rPr>
        <w:tab/>
        <w:t>31 - 40 (    )</w:t>
      </w:r>
      <w:r w:rsidRPr="00771368">
        <w:rPr>
          <w:sz w:val="24"/>
          <w:szCs w:val="24"/>
        </w:rPr>
        <w:tab/>
      </w:r>
      <w:r w:rsidRPr="00771368">
        <w:rPr>
          <w:sz w:val="24"/>
          <w:szCs w:val="24"/>
        </w:rPr>
        <w:tab/>
      </w:r>
      <w:r w:rsidRPr="00771368">
        <w:rPr>
          <w:sz w:val="24"/>
          <w:szCs w:val="24"/>
        </w:rPr>
        <w:tab/>
      </w:r>
      <w:r w:rsidRPr="00771368">
        <w:rPr>
          <w:sz w:val="24"/>
          <w:szCs w:val="24"/>
        </w:rPr>
        <w:tab/>
      </w:r>
    </w:p>
    <w:p w:rsidR="00D24E61" w:rsidRPr="00771368" w:rsidRDefault="00D24E61" w:rsidP="00D24E61">
      <w:pPr>
        <w:spacing w:line="360" w:lineRule="auto"/>
        <w:ind w:firstLine="709"/>
        <w:contextualSpacing/>
        <w:jc w:val="both"/>
        <w:rPr>
          <w:sz w:val="24"/>
          <w:szCs w:val="24"/>
        </w:rPr>
      </w:pPr>
      <w:r w:rsidRPr="00771368">
        <w:rPr>
          <w:sz w:val="24"/>
          <w:szCs w:val="24"/>
        </w:rPr>
        <w:t xml:space="preserve">   </w:t>
      </w:r>
    </w:p>
    <w:p w:rsidR="00D24E61" w:rsidRPr="00771368" w:rsidRDefault="00D24E61" w:rsidP="00D24E61">
      <w:pPr>
        <w:spacing w:line="360" w:lineRule="auto"/>
        <w:contextualSpacing/>
        <w:jc w:val="both"/>
        <w:rPr>
          <w:sz w:val="24"/>
          <w:szCs w:val="24"/>
        </w:rPr>
      </w:pPr>
      <w:r w:rsidRPr="00771368">
        <w:rPr>
          <w:sz w:val="24"/>
          <w:szCs w:val="24"/>
        </w:rPr>
        <w:t>41 - 50 (    )</w:t>
      </w:r>
      <w:r w:rsidRPr="00771368">
        <w:rPr>
          <w:sz w:val="24"/>
          <w:szCs w:val="24"/>
        </w:rPr>
        <w:tab/>
      </w:r>
      <w:r w:rsidRPr="00771368">
        <w:rPr>
          <w:sz w:val="24"/>
          <w:szCs w:val="24"/>
        </w:rPr>
        <w:tab/>
      </w:r>
      <w:r w:rsidRPr="00771368">
        <w:rPr>
          <w:sz w:val="24"/>
          <w:szCs w:val="24"/>
        </w:rPr>
        <w:tab/>
      </w:r>
      <w:r w:rsidRPr="00771368">
        <w:rPr>
          <w:sz w:val="24"/>
          <w:szCs w:val="24"/>
        </w:rPr>
        <w:tab/>
        <w:t>51 - 60 (    )</w:t>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2º Possui história familiar para hipertensão?</w:t>
      </w:r>
    </w:p>
    <w:p w:rsidR="00D24E61" w:rsidRPr="00771368" w:rsidRDefault="00D24E61" w:rsidP="00D24E61">
      <w:pPr>
        <w:spacing w:line="360" w:lineRule="auto"/>
        <w:contextualSpacing/>
        <w:jc w:val="both"/>
        <w:rPr>
          <w:sz w:val="24"/>
          <w:szCs w:val="24"/>
        </w:rPr>
      </w:pPr>
      <w:r w:rsidRPr="00771368">
        <w:rPr>
          <w:sz w:val="24"/>
          <w:szCs w:val="24"/>
        </w:rPr>
        <w:t>Sim (    )</w:t>
      </w:r>
      <w:r w:rsidRPr="00771368">
        <w:rPr>
          <w:sz w:val="24"/>
          <w:szCs w:val="24"/>
        </w:rPr>
        <w:tab/>
      </w:r>
      <w:r w:rsidRPr="00771368">
        <w:rPr>
          <w:sz w:val="24"/>
          <w:szCs w:val="24"/>
        </w:rPr>
        <w:tab/>
      </w:r>
      <w:r w:rsidRPr="00771368">
        <w:rPr>
          <w:sz w:val="24"/>
          <w:szCs w:val="24"/>
        </w:rPr>
        <w:tab/>
      </w:r>
      <w:r w:rsidRPr="00771368">
        <w:rPr>
          <w:sz w:val="24"/>
          <w:szCs w:val="24"/>
        </w:rPr>
        <w:tab/>
      </w:r>
      <w:r w:rsidRPr="00771368">
        <w:rPr>
          <w:sz w:val="24"/>
          <w:szCs w:val="24"/>
        </w:rPr>
        <w:tab/>
        <w:t>Não(    )</w:t>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 xml:space="preserve">3° Possui diagnostico para Hipertensão Arterial Sistêmica (HAS)?  </w:t>
      </w:r>
    </w:p>
    <w:p w:rsidR="00D24E61" w:rsidRPr="00771368" w:rsidRDefault="00D24E61" w:rsidP="00D24E61">
      <w:pPr>
        <w:spacing w:line="360" w:lineRule="auto"/>
        <w:contextualSpacing/>
        <w:jc w:val="both"/>
        <w:rPr>
          <w:sz w:val="24"/>
          <w:szCs w:val="24"/>
        </w:rPr>
      </w:pPr>
      <w:r w:rsidRPr="00771368">
        <w:rPr>
          <w:sz w:val="24"/>
          <w:szCs w:val="24"/>
        </w:rPr>
        <w:t>Sim (    )</w:t>
      </w:r>
      <w:r w:rsidRPr="00771368">
        <w:rPr>
          <w:sz w:val="24"/>
          <w:szCs w:val="24"/>
        </w:rPr>
        <w:tab/>
      </w:r>
      <w:r w:rsidRPr="00771368">
        <w:rPr>
          <w:sz w:val="24"/>
          <w:szCs w:val="24"/>
        </w:rPr>
        <w:tab/>
      </w:r>
      <w:r w:rsidRPr="00771368">
        <w:rPr>
          <w:sz w:val="24"/>
          <w:szCs w:val="24"/>
        </w:rPr>
        <w:tab/>
      </w:r>
      <w:r w:rsidRPr="00771368">
        <w:rPr>
          <w:sz w:val="24"/>
          <w:szCs w:val="24"/>
        </w:rPr>
        <w:tab/>
      </w:r>
      <w:r w:rsidRPr="00771368">
        <w:rPr>
          <w:sz w:val="24"/>
          <w:szCs w:val="24"/>
        </w:rPr>
        <w:tab/>
        <w:t>Não(    )</w:t>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4° Possuindo diagnóstico para Hipertensão Arterial Sistêmica (HAS), faz uso anti- hipertensivo?</w:t>
      </w:r>
    </w:p>
    <w:p w:rsidR="00D24E61" w:rsidRPr="00771368" w:rsidRDefault="00D24E61" w:rsidP="00D24E61">
      <w:pPr>
        <w:spacing w:line="360" w:lineRule="auto"/>
        <w:contextualSpacing/>
        <w:jc w:val="both"/>
        <w:rPr>
          <w:sz w:val="24"/>
          <w:szCs w:val="24"/>
        </w:rPr>
      </w:pPr>
      <w:r w:rsidRPr="00771368">
        <w:rPr>
          <w:sz w:val="24"/>
          <w:szCs w:val="24"/>
        </w:rPr>
        <w:t>Sim (    )</w:t>
      </w:r>
      <w:r w:rsidRPr="00771368">
        <w:rPr>
          <w:sz w:val="24"/>
          <w:szCs w:val="24"/>
        </w:rPr>
        <w:tab/>
        <w:t xml:space="preserve">       Não(    )</w:t>
      </w:r>
      <w:r w:rsidRPr="00771368">
        <w:rPr>
          <w:sz w:val="24"/>
          <w:szCs w:val="24"/>
        </w:rPr>
        <w:tab/>
      </w:r>
      <w:r w:rsidRPr="00771368">
        <w:rPr>
          <w:sz w:val="24"/>
          <w:szCs w:val="24"/>
        </w:rPr>
        <w:tab/>
      </w:r>
      <w:r w:rsidRPr="00771368">
        <w:rPr>
          <w:sz w:val="24"/>
          <w:szCs w:val="24"/>
        </w:rPr>
        <w:tab/>
        <w:t>As vezes (    )</w:t>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5º Faz uso de contraceptivo oral ou injetável?</w:t>
      </w:r>
    </w:p>
    <w:p w:rsidR="00D24E61" w:rsidRPr="00771368" w:rsidRDefault="00D24E61" w:rsidP="00D24E61">
      <w:pPr>
        <w:spacing w:line="360" w:lineRule="auto"/>
        <w:contextualSpacing/>
        <w:jc w:val="both"/>
        <w:rPr>
          <w:sz w:val="24"/>
          <w:szCs w:val="24"/>
        </w:rPr>
      </w:pPr>
      <w:r w:rsidRPr="00771368">
        <w:rPr>
          <w:sz w:val="24"/>
          <w:szCs w:val="24"/>
        </w:rPr>
        <w:t xml:space="preserve">Já fez (    ) </w:t>
      </w:r>
      <w:r w:rsidRPr="00771368">
        <w:rPr>
          <w:sz w:val="24"/>
          <w:szCs w:val="24"/>
        </w:rPr>
        <w:tab/>
      </w:r>
      <w:r w:rsidRPr="00771368">
        <w:rPr>
          <w:sz w:val="24"/>
          <w:szCs w:val="24"/>
        </w:rPr>
        <w:tab/>
      </w:r>
      <w:r w:rsidRPr="00771368">
        <w:rPr>
          <w:sz w:val="24"/>
          <w:szCs w:val="24"/>
        </w:rPr>
        <w:tab/>
        <w:t xml:space="preserve">Faz Uso (    ) </w:t>
      </w:r>
      <w:r w:rsidRPr="00771368">
        <w:rPr>
          <w:sz w:val="24"/>
          <w:szCs w:val="24"/>
        </w:rPr>
        <w:tab/>
      </w:r>
      <w:r w:rsidRPr="00771368">
        <w:rPr>
          <w:sz w:val="24"/>
          <w:szCs w:val="24"/>
        </w:rPr>
        <w:tab/>
      </w:r>
      <w:r w:rsidRPr="00771368">
        <w:rPr>
          <w:sz w:val="24"/>
          <w:szCs w:val="24"/>
        </w:rPr>
        <w:tab/>
        <w:t>Nunca (    )</w:t>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6º Faz uso de bebida alcoólica?</w:t>
      </w:r>
    </w:p>
    <w:p w:rsidR="00D24E61" w:rsidRPr="00771368" w:rsidRDefault="00D24E61" w:rsidP="00D24E61">
      <w:pPr>
        <w:spacing w:line="360" w:lineRule="auto"/>
        <w:contextualSpacing/>
        <w:jc w:val="both"/>
        <w:rPr>
          <w:sz w:val="24"/>
          <w:szCs w:val="24"/>
        </w:rPr>
      </w:pPr>
      <w:r w:rsidRPr="00771368">
        <w:rPr>
          <w:sz w:val="24"/>
          <w:szCs w:val="24"/>
        </w:rPr>
        <w:t xml:space="preserve">Sim (    ) </w:t>
      </w:r>
      <w:r w:rsidRPr="00771368">
        <w:rPr>
          <w:sz w:val="24"/>
          <w:szCs w:val="24"/>
        </w:rPr>
        <w:tab/>
        <w:t xml:space="preserve">                                                     Não (    )</w:t>
      </w:r>
      <w:r w:rsidRPr="00771368">
        <w:rPr>
          <w:sz w:val="24"/>
          <w:szCs w:val="24"/>
        </w:rPr>
        <w:tab/>
      </w:r>
      <w:r w:rsidRPr="00771368">
        <w:rPr>
          <w:sz w:val="24"/>
          <w:szCs w:val="24"/>
        </w:rPr>
        <w:tab/>
      </w:r>
      <w:r w:rsidRPr="00771368">
        <w:rPr>
          <w:sz w:val="24"/>
          <w:szCs w:val="24"/>
        </w:rPr>
        <w:tab/>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7º É Tabagista?</w:t>
      </w:r>
    </w:p>
    <w:p w:rsidR="00D24E61" w:rsidRPr="00771368" w:rsidRDefault="00D24E61" w:rsidP="00D24E61">
      <w:pPr>
        <w:spacing w:line="360" w:lineRule="auto"/>
        <w:contextualSpacing/>
        <w:jc w:val="both"/>
        <w:rPr>
          <w:sz w:val="24"/>
          <w:szCs w:val="24"/>
        </w:rPr>
      </w:pPr>
      <w:r w:rsidRPr="00771368">
        <w:rPr>
          <w:sz w:val="24"/>
          <w:szCs w:val="24"/>
        </w:rPr>
        <w:t xml:space="preserve">Sim (    ) </w:t>
      </w:r>
      <w:r w:rsidRPr="00771368">
        <w:rPr>
          <w:sz w:val="24"/>
          <w:szCs w:val="24"/>
        </w:rPr>
        <w:tab/>
        <w:t xml:space="preserve">                                                     Não (    )</w:t>
      </w:r>
      <w:r w:rsidRPr="00771368">
        <w:rPr>
          <w:sz w:val="24"/>
          <w:szCs w:val="24"/>
        </w:rPr>
        <w:tab/>
      </w:r>
    </w:p>
    <w:p w:rsidR="00D24E61" w:rsidRPr="00771368" w:rsidRDefault="00D24E61" w:rsidP="00D24E61">
      <w:pPr>
        <w:spacing w:line="360" w:lineRule="auto"/>
        <w:ind w:firstLine="709"/>
        <w:contextualSpacing/>
        <w:jc w:val="both"/>
        <w:rPr>
          <w:sz w:val="24"/>
          <w:szCs w:val="24"/>
        </w:rPr>
      </w:pPr>
      <w:r w:rsidRPr="00771368">
        <w:rPr>
          <w:sz w:val="24"/>
          <w:szCs w:val="24"/>
        </w:rPr>
        <w:tab/>
      </w:r>
      <w:r w:rsidRPr="00771368">
        <w:rPr>
          <w:sz w:val="24"/>
          <w:szCs w:val="24"/>
        </w:rPr>
        <w:tab/>
      </w:r>
    </w:p>
    <w:p w:rsidR="00D24E61" w:rsidRPr="00771368" w:rsidRDefault="00D24E61" w:rsidP="00D24E61">
      <w:pPr>
        <w:spacing w:line="360" w:lineRule="auto"/>
        <w:contextualSpacing/>
        <w:jc w:val="both"/>
        <w:rPr>
          <w:sz w:val="24"/>
          <w:szCs w:val="24"/>
        </w:rPr>
      </w:pPr>
      <w:r w:rsidRPr="00771368">
        <w:rPr>
          <w:sz w:val="24"/>
          <w:szCs w:val="24"/>
        </w:rPr>
        <w:t>8º Pratica atividade física? (caminhada, academia, outros).</w:t>
      </w:r>
    </w:p>
    <w:p w:rsidR="00D24E61" w:rsidRPr="00771368" w:rsidRDefault="00D24E61" w:rsidP="00D24E61">
      <w:pPr>
        <w:spacing w:line="360" w:lineRule="auto"/>
        <w:contextualSpacing/>
        <w:jc w:val="both"/>
        <w:rPr>
          <w:sz w:val="24"/>
          <w:szCs w:val="24"/>
        </w:rPr>
      </w:pPr>
      <w:r w:rsidRPr="00771368">
        <w:rPr>
          <w:sz w:val="24"/>
          <w:szCs w:val="24"/>
        </w:rPr>
        <w:t>Sim (    )</w:t>
      </w:r>
      <w:r w:rsidRPr="00771368">
        <w:rPr>
          <w:sz w:val="24"/>
          <w:szCs w:val="24"/>
        </w:rPr>
        <w:tab/>
        <w:t xml:space="preserve">                                                     Não (    )</w:t>
      </w:r>
      <w:r w:rsidRPr="00771368">
        <w:rPr>
          <w:sz w:val="24"/>
          <w:szCs w:val="24"/>
        </w:rPr>
        <w:tab/>
      </w:r>
    </w:p>
    <w:p w:rsidR="00D24E61" w:rsidRPr="00771368" w:rsidRDefault="00D24E61" w:rsidP="00D24E61">
      <w:pPr>
        <w:spacing w:line="360" w:lineRule="auto"/>
        <w:ind w:firstLine="709"/>
        <w:contextualSpacing/>
        <w:jc w:val="both"/>
        <w:rPr>
          <w:sz w:val="24"/>
          <w:szCs w:val="24"/>
        </w:rPr>
      </w:pPr>
      <w:r w:rsidRPr="00771368">
        <w:rPr>
          <w:sz w:val="24"/>
          <w:szCs w:val="24"/>
        </w:rPr>
        <w:tab/>
      </w:r>
      <w:r w:rsidRPr="00771368">
        <w:rPr>
          <w:sz w:val="24"/>
          <w:szCs w:val="24"/>
        </w:rPr>
        <w:tab/>
      </w:r>
    </w:p>
    <w:p w:rsidR="00D24E61" w:rsidRPr="00771368" w:rsidRDefault="00D24E61" w:rsidP="00D24E61">
      <w:pPr>
        <w:spacing w:line="360" w:lineRule="auto"/>
        <w:contextualSpacing/>
        <w:jc w:val="both"/>
        <w:rPr>
          <w:sz w:val="24"/>
          <w:szCs w:val="24"/>
        </w:rPr>
      </w:pPr>
      <w:r w:rsidRPr="00771368">
        <w:rPr>
          <w:sz w:val="24"/>
          <w:szCs w:val="24"/>
        </w:rPr>
        <w:t>9º Quantas refeições faz por dia?</w:t>
      </w:r>
    </w:p>
    <w:p w:rsidR="00D24E61" w:rsidRPr="00771368" w:rsidRDefault="00D24E61" w:rsidP="00D24E61">
      <w:pPr>
        <w:spacing w:line="360" w:lineRule="auto"/>
        <w:contextualSpacing/>
        <w:jc w:val="both"/>
        <w:rPr>
          <w:sz w:val="24"/>
          <w:szCs w:val="24"/>
        </w:rPr>
      </w:pPr>
      <w:r w:rsidRPr="00771368">
        <w:rPr>
          <w:sz w:val="24"/>
          <w:szCs w:val="24"/>
        </w:rPr>
        <w:t>2  (    )</w:t>
      </w:r>
      <w:r w:rsidRPr="00771368">
        <w:rPr>
          <w:sz w:val="24"/>
          <w:szCs w:val="24"/>
        </w:rPr>
        <w:tab/>
      </w:r>
      <w:r w:rsidRPr="00771368">
        <w:rPr>
          <w:sz w:val="24"/>
          <w:szCs w:val="24"/>
        </w:rPr>
        <w:tab/>
        <w:t>3 (    )</w:t>
      </w:r>
      <w:r w:rsidRPr="00771368">
        <w:rPr>
          <w:sz w:val="24"/>
          <w:szCs w:val="24"/>
        </w:rPr>
        <w:tab/>
      </w:r>
      <w:r w:rsidRPr="00771368">
        <w:rPr>
          <w:sz w:val="24"/>
          <w:szCs w:val="24"/>
        </w:rPr>
        <w:tab/>
        <w:t>4(    )              mais de 4 (    )</w:t>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10º O que mais consume durante as refeições?</w:t>
      </w:r>
    </w:p>
    <w:p w:rsidR="00D24E61" w:rsidRPr="00771368" w:rsidRDefault="00D24E61" w:rsidP="00D24E61">
      <w:pPr>
        <w:spacing w:line="360" w:lineRule="auto"/>
        <w:contextualSpacing/>
        <w:jc w:val="both"/>
        <w:rPr>
          <w:sz w:val="24"/>
          <w:szCs w:val="24"/>
        </w:rPr>
      </w:pPr>
      <w:r w:rsidRPr="00771368">
        <w:rPr>
          <w:sz w:val="24"/>
          <w:szCs w:val="24"/>
        </w:rPr>
        <w:t>Frutas, verduras e carne branca (    )</w:t>
      </w:r>
      <w:r w:rsidRPr="00771368">
        <w:rPr>
          <w:sz w:val="24"/>
          <w:szCs w:val="24"/>
        </w:rPr>
        <w:tab/>
      </w:r>
      <w:r w:rsidRPr="00771368">
        <w:rPr>
          <w:sz w:val="24"/>
          <w:szCs w:val="24"/>
        </w:rPr>
        <w:tab/>
      </w:r>
    </w:p>
    <w:p w:rsidR="00D24E61" w:rsidRPr="00771368" w:rsidRDefault="00D24E61" w:rsidP="00D24E61">
      <w:pPr>
        <w:spacing w:line="360" w:lineRule="auto"/>
        <w:contextualSpacing/>
        <w:jc w:val="both"/>
        <w:rPr>
          <w:sz w:val="24"/>
          <w:szCs w:val="24"/>
        </w:rPr>
      </w:pPr>
      <w:r w:rsidRPr="00771368">
        <w:rPr>
          <w:sz w:val="24"/>
          <w:szCs w:val="24"/>
        </w:rPr>
        <w:t xml:space="preserve">Lanches e massas (    ) </w:t>
      </w:r>
      <w:r w:rsidRPr="00771368">
        <w:rPr>
          <w:sz w:val="24"/>
          <w:szCs w:val="24"/>
        </w:rPr>
        <w:tab/>
      </w:r>
      <w:r w:rsidRPr="00771368">
        <w:rPr>
          <w:sz w:val="24"/>
          <w:szCs w:val="24"/>
        </w:rPr>
        <w:tab/>
      </w:r>
    </w:p>
    <w:p w:rsidR="00D24E61" w:rsidRPr="00771368" w:rsidRDefault="00D24E61" w:rsidP="00D24E61">
      <w:pPr>
        <w:spacing w:line="360" w:lineRule="auto"/>
        <w:contextualSpacing/>
        <w:jc w:val="both"/>
        <w:rPr>
          <w:sz w:val="24"/>
          <w:szCs w:val="24"/>
        </w:rPr>
      </w:pPr>
      <w:r w:rsidRPr="00771368">
        <w:rPr>
          <w:sz w:val="24"/>
          <w:szCs w:val="24"/>
        </w:rPr>
        <w:t>Enlatados, frituras e conservados (    )</w:t>
      </w:r>
    </w:p>
    <w:p w:rsidR="00D24E61" w:rsidRPr="00771368" w:rsidRDefault="00D24E61" w:rsidP="00D24E61">
      <w:pPr>
        <w:spacing w:line="360" w:lineRule="auto"/>
        <w:contextualSpacing/>
        <w:jc w:val="both"/>
        <w:rPr>
          <w:sz w:val="24"/>
          <w:szCs w:val="24"/>
        </w:rPr>
      </w:pPr>
      <w:r w:rsidRPr="00771368">
        <w:rPr>
          <w:sz w:val="24"/>
          <w:szCs w:val="24"/>
        </w:rPr>
        <w:t>Leites, derivados e Carnes vermelha (    )</w:t>
      </w:r>
      <w:r w:rsidRPr="00771368">
        <w:rPr>
          <w:sz w:val="24"/>
          <w:szCs w:val="24"/>
        </w:rPr>
        <w:tab/>
      </w:r>
    </w:p>
    <w:p w:rsidR="00D24E61" w:rsidRPr="00771368" w:rsidRDefault="00D24E61" w:rsidP="00D24E61">
      <w:pPr>
        <w:spacing w:line="360" w:lineRule="auto"/>
        <w:contextualSpacing/>
        <w:jc w:val="both"/>
        <w:rPr>
          <w:sz w:val="24"/>
          <w:szCs w:val="24"/>
        </w:rPr>
      </w:pPr>
      <w:r w:rsidRPr="00771368">
        <w:rPr>
          <w:sz w:val="24"/>
          <w:szCs w:val="24"/>
        </w:rPr>
        <w:t xml:space="preserve">11º Esta com peso ideal de acordo com o Índice de Massa Corpórea (IMC)?  </w:t>
      </w:r>
    </w:p>
    <w:p w:rsidR="00D24E61" w:rsidRPr="00771368" w:rsidRDefault="00D24E61" w:rsidP="00D24E61">
      <w:pPr>
        <w:spacing w:line="360" w:lineRule="auto"/>
        <w:contextualSpacing/>
        <w:jc w:val="both"/>
        <w:rPr>
          <w:sz w:val="24"/>
          <w:szCs w:val="24"/>
        </w:rPr>
      </w:pPr>
      <w:r w:rsidRPr="00771368">
        <w:rPr>
          <w:sz w:val="24"/>
          <w:szCs w:val="24"/>
        </w:rPr>
        <w:t>Sim (    )</w:t>
      </w:r>
      <w:r w:rsidRPr="00771368">
        <w:rPr>
          <w:sz w:val="24"/>
          <w:szCs w:val="24"/>
        </w:rPr>
        <w:tab/>
        <w:t xml:space="preserve">                                                     Não(    )</w:t>
      </w:r>
      <w:r w:rsidRPr="00771368">
        <w:rPr>
          <w:sz w:val="24"/>
          <w:szCs w:val="24"/>
        </w:rPr>
        <w:tab/>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12° Esta na menopausa de acordo com a Sociedade Brasileira do Climatério (SOBRAC).</w:t>
      </w:r>
    </w:p>
    <w:p w:rsidR="00D24E61" w:rsidRPr="00771368" w:rsidRDefault="00D24E61" w:rsidP="00D24E61">
      <w:pPr>
        <w:spacing w:line="360" w:lineRule="auto"/>
        <w:contextualSpacing/>
        <w:jc w:val="both"/>
        <w:rPr>
          <w:sz w:val="24"/>
          <w:szCs w:val="24"/>
        </w:rPr>
      </w:pPr>
      <w:r w:rsidRPr="00771368">
        <w:rPr>
          <w:sz w:val="24"/>
          <w:szCs w:val="24"/>
        </w:rPr>
        <w:t>Sim (    )                                                                   Não (    )</w:t>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13º Aferição da pressão arterial (PA) cinco vezes seguindo normas estabelecidas pelo III Consenso Brasileiro de Hipertensão.</w:t>
      </w:r>
    </w:p>
    <w:p w:rsidR="00D24E61" w:rsidRPr="00771368" w:rsidRDefault="00D24E61" w:rsidP="00D24E61">
      <w:pPr>
        <w:spacing w:line="360" w:lineRule="auto"/>
        <w:contextualSpacing/>
        <w:jc w:val="both"/>
        <w:rPr>
          <w:sz w:val="24"/>
          <w:szCs w:val="24"/>
        </w:rPr>
      </w:pPr>
    </w:p>
    <w:p w:rsidR="00D24E61" w:rsidRPr="00771368" w:rsidRDefault="00D24E61" w:rsidP="00D24E61">
      <w:pPr>
        <w:spacing w:line="360" w:lineRule="auto"/>
        <w:contextualSpacing/>
        <w:jc w:val="both"/>
        <w:rPr>
          <w:sz w:val="24"/>
          <w:szCs w:val="24"/>
        </w:rPr>
      </w:pPr>
      <w:r w:rsidRPr="00771368">
        <w:rPr>
          <w:sz w:val="24"/>
          <w:szCs w:val="24"/>
        </w:rPr>
        <w:t>ulheres com PA abaixo de 140x90 (    )</w:t>
      </w:r>
    </w:p>
    <w:p w:rsidR="00D24E61" w:rsidRPr="00771368" w:rsidRDefault="00D24E61" w:rsidP="00D24E61">
      <w:pPr>
        <w:spacing w:line="360" w:lineRule="auto"/>
        <w:contextualSpacing/>
        <w:jc w:val="both"/>
        <w:rPr>
          <w:sz w:val="24"/>
          <w:szCs w:val="24"/>
        </w:rPr>
      </w:pPr>
      <w:r w:rsidRPr="00771368">
        <w:rPr>
          <w:sz w:val="24"/>
          <w:szCs w:val="24"/>
        </w:rPr>
        <w:t>Mulheres com PA acima de 140x90 (    )</w:t>
      </w:r>
    </w:p>
    <w:p w:rsidR="00D24E61" w:rsidRPr="00771368" w:rsidRDefault="00D24E61" w:rsidP="00D24E61">
      <w:pPr>
        <w:spacing w:line="360" w:lineRule="auto"/>
        <w:ind w:firstLine="709"/>
        <w:contextualSpacing/>
        <w:jc w:val="both"/>
      </w:pPr>
    </w:p>
    <w:p w:rsidR="00D24E61" w:rsidRPr="00771368" w:rsidRDefault="00D24E61" w:rsidP="00D24E61">
      <w:pPr>
        <w:spacing w:line="360" w:lineRule="auto"/>
        <w:contextualSpacing/>
        <w:rPr>
          <w:b/>
          <w:caps/>
          <w:sz w:val="24"/>
        </w:rPr>
      </w:pPr>
      <w:r w:rsidRPr="00771368">
        <w:rPr>
          <w:b/>
          <w:caps/>
          <w:sz w:val="24"/>
          <w:szCs w:val="28"/>
        </w:rPr>
        <w:t>Ficha de acompanhamento da pressão arterial diária das 60 mulheres pesquisadas</w:t>
      </w:r>
      <w:r w:rsidRPr="00771368">
        <w:rPr>
          <w:b/>
          <w:caps/>
          <w:sz w:val="24"/>
        </w:rPr>
        <w:t>.</w:t>
      </w:r>
    </w:p>
    <w:p w:rsidR="00D24E61" w:rsidRPr="00771368" w:rsidRDefault="00D24E61" w:rsidP="00D24E61">
      <w:pPr>
        <w:spacing w:line="360" w:lineRule="auto"/>
        <w:ind w:firstLine="709"/>
        <w:contextualSpacing/>
        <w:jc w:val="both"/>
      </w:pPr>
    </w:p>
    <w:tbl>
      <w:tblPr>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54"/>
        <w:gridCol w:w="4654"/>
      </w:tblGrid>
      <w:tr w:rsidR="00D24E61" w:rsidRPr="00771368" w:rsidTr="00D24E61">
        <w:trPr>
          <w:trHeight w:val="432"/>
        </w:trPr>
        <w:tc>
          <w:tcPr>
            <w:tcW w:w="4654" w:type="dxa"/>
          </w:tcPr>
          <w:p w:rsidR="00D24E61" w:rsidRPr="00771368" w:rsidRDefault="00D24E61" w:rsidP="00D24E61">
            <w:pPr>
              <w:spacing w:line="360" w:lineRule="auto"/>
              <w:ind w:firstLine="709"/>
              <w:contextualSpacing/>
              <w:jc w:val="both"/>
            </w:pPr>
            <w:r w:rsidRPr="00771368">
              <w:t xml:space="preserve">Dia da Semana </w:t>
            </w:r>
          </w:p>
        </w:tc>
        <w:tc>
          <w:tcPr>
            <w:tcW w:w="4654" w:type="dxa"/>
          </w:tcPr>
          <w:p w:rsidR="00D24E61" w:rsidRPr="00771368" w:rsidRDefault="00D24E61" w:rsidP="00D24E61">
            <w:pPr>
              <w:spacing w:line="360" w:lineRule="auto"/>
              <w:ind w:firstLine="709"/>
              <w:contextualSpacing/>
              <w:jc w:val="both"/>
            </w:pPr>
            <w:r w:rsidRPr="00771368">
              <w:t>Valor da PA</w:t>
            </w:r>
          </w:p>
        </w:tc>
      </w:tr>
      <w:tr w:rsidR="00D24E61" w:rsidRPr="00771368" w:rsidTr="00D24E61">
        <w:trPr>
          <w:trHeight w:val="417"/>
        </w:trPr>
        <w:tc>
          <w:tcPr>
            <w:tcW w:w="4654" w:type="dxa"/>
          </w:tcPr>
          <w:p w:rsidR="00D24E61" w:rsidRPr="00771368" w:rsidRDefault="00D24E61" w:rsidP="00D24E61">
            <w:pPr>
              <w:spacing w:line="360" w:lineRule="auto"/>
              <w:ind w:firstLine="709"/>
              <w:contextualSpacing/>
              <w:jc w:val="both"/>
            </w:pPr>
            <w:r w:rsidRPr="00771368">
              <w:t xml:space="preserve">Segunda-feira </w:t>
            </w:r>
          </w:p>
        </w:tc>
        <w:tc>
          <w:tcPr>
            <w:tcW w:w="4654" w:type="dxa"/>
          </w:tcPr>
          <w:p w:rsidR="00D24E61" w:rsidRPr="00771368" w:rsidRDefault="00D24E61" w:rsidP="00D24E61">
            <w:pPr>
              <w:spacing w:line="360" w:lineRule="auto"/>
              <w:ind w:firstLine="709"/>
              <w:contextualSpacing/>
              <w:jc w:val="both"/>
            </w:pPr>
          </w:p>
        </w:tc>
      </w:tr>
      <w:tr w:rsidR="00D24E61" w:rsidRPr="00771368" w:rsidTr="00D24E61">
        <w:trPr>
          <w:trHeight w:val="417"/>
        </w:trPr>
        <w:tc>
          <w:tcPr>
            <w:tcW w:w="4654" w:type="dxa"/>
          </w:tcPr>
          <w:p w:rsidR="00D24E61" w:rsidRPr="00771368" w:rsidRDefault="00D24E61" w:rsidP="00D24E61">
            <w:pPr>
              <w:spacing w:line="360" w:lineRule="auto"/>
              <w:ind w:firstLine="709"/>
              <w:contextualSpacing/>
              <w:jc w:val="both"/>
            </w:pPr>
            <w:r w:rsidRPr="00771368">
              <w:t>Terça-feira</w:t>
            </w:r>
          </w:p>
        </w:tc>
        <w:tc>
          <w:tcPr>
            <w:tcW w:w="4654" w:type="dxa"/>
          </w:tcPr>
          <w:p w:rsidR="00D24E61" w:rsidRPr="00771368" w:rsidRDefault="00D24E61" w:rsidP="00D24E61">
            <w:pPr>
              <w:spacing w:line="360" w:lineRule="auto"/>
              <w:ind w:firstLine="709"/>
              <w:contextualSpacing/>
              <w:jc w:val="both"/>
            </w:pPr>
          </w:p>
        </w:tc>
      </w:tr>
      <w:tr w:rsidR="00D24E61" w:rsidRPr="00771368" w:rsidTr="00D24E61">
        <w:trPr>
          <w:trHeight w:val="417"/>
        </w:trPr>
        <w:tc>
          <w:tcPr>
            <w:tcW w:w="4654" w:type="dxa"/>
          </w:tcPr>
          <w:p w:rsidR="00D24E61" w:rsidRPr="00771368" w:rsidRDefault="00D24E61" w:rsidP="00D24E61">
            <w:pPr>
              <w:spacing w:line="360" w:lineRule="auto"/>
              <w:ind w:firstLine="709"/>
              <w:contextualSpacing/>
              <w:jc w:val="both"/>
            </w:pPr>
            <w:r w:rsidRPr="00771368">
              <w:t>Quarta-feira</w:t>
            </w:r>
          </w:p>
        </w:tc>
        <w:tc>
          <w:tcPr>
            <w:tcW w:w="4654" w:type="dxa"/>
          </w:tcPr>
          <w:p w:rsidR="00D24E61" w:rsidRPr="00771368" w:rsidRDefault="00D24E61" w:rsidP="00D24E61">
            <w:pPr>
              <w:spacing w:line="360" w:lineRule="auto"/>
              <w:ind w:firstLine="709"/>
              <w:contextualSpacing/>
              <w:jc w:val="both"/>
            </w:pPr>
          </w:p>
        </w:tc>
      </w:tr>
      <w:tr w:rsidR="00D24E61" w:rsidRPr="00771368" w:rsidTr="00D24E61">
        <w:trPr>
          <w:trHeight w:val="432"/>
        </w:trPr>
        <w:tc>
          <w:tcPr>
            <w:tcW w:w="4654" w:type="dxa"/>
          </w:tcPr>
          <w:p w:rsidR="00D24E61" w:rsidRPr="00771368" w:rsidRDefault="00D24E61" w:rsidP="00D24E61">
            <w:pPr>
              <w:spacing w:line="360" w:lineRule="auto"/>
              <w:ind w:firstLine="709"/>
              <w:contextualSpacing/>
              <w:jc w:val="both"/>
            </w:pPr>
            <w:r w:rsidRPr="00771368">
              <w:t>Quinta-feira</w:t>
            </w:r>
          </w:p>
        </w:tc>
        <w:tc>
          <w:tcPr>
            <w:tcW w:w="4654" w:type="dxa"/>
          </w:tcPr>
          <w:p w:rsidR="00D24E61" w:rsidRPr="00771368" w:rsidRDefault="00D24E61" w:rsidP="00D24E61">
            <w:pPr>
              <w:spacing w:line="360" w:lineRule="auto"/>
              <w:ind w:firstLine="709"/>
              <w:contextualSpacing/>
              <w:jc w:val="both"/>
            </w:pPr>
          </w:p>
        </w:tc>
      </w:tr>
      <w:tr w:rsidR="00D24E61" w:rsidRPr="00771368" w:rsidTr="00D24E61">
        <w:trPr>
          <w:trHeight w:val="432"/>
        </w:trPr>
        <w:tc>
          <w:tcPr>
            <w:tcW w:w="4654" w:type="dxa"/>
          </w:tcPr>
          <w:p w:rsidR="00D24E61" w:rsidRPr="00771368" w:rsidRDefault="00D24E61" w:rsidP="00D24E61">
            <w:pPr>
              <w:spacing w:line="360" w:lineRule="auto"/>
              <w:ind w:firstLine="709"/>
              <w:contextualSpacing/>
              <w:jc w:val="both"/>
            </w:pPr>
            <w:r w:rsidRPr="00771368">
              <w:t>Sexta-feira</w:t>
            </w:r>
          </w:p>
        </w:tc>
        <w:tc>
          <w:tcPr>
            <w:tcW w:w="4654" w:type="dxa"/>
          </w:tcPr>
          <w:p w:rsidR="00D24E61" w:rsidRPr="00771368" w:rsidRDefault="00D24E61" w:rsidP="00D24E61">
            <w:pPr>
              <w:spacing w:line="360" w:lineRule="auto"/>
              <w:ind w:firstLine="709"/>
              <w:contextualSpacing/>
              <w:jc w:val="both"/>
            </w:pPr>
          </w:p>
        </w:tc>
      </w:tr>
    </w:tbl>
    <w:p w:rsidR="00D24E61" w:rsidRPr="00771368" w:rsidRDefault="00D24E61" w:rsidP="00D24E61">
      <w:pPr>
        <w:spacing w:line="360" w:lineRule="auto"/>
        <w:ind w:firstLine="709"/>
        <w:contextualSpacing/>
        <w:jc w:val="both"/>
      </w:pPr>
    </w:p>
    <w:p w:rsidR="00D24E61" w:rsidRPr="00771368" w:rsidRDefault="00D24E61" w:rsidP="00D24E61">
      <w:pPr>
        <w:jc w:val="center"/>
        <w:rPr>
          <w:noProof/>
          <w:color w:val="0000FF"/>
        </w:rPr>
      </w:pPr>
    </w:p>
    <w:p w:rsidR="00D24E61" w:rsidRPr="00771368" w:rsidRDefault="00D24E61" w:rsidP="00D24E61">
      <w:pPr>
        <w:jc w:val="center"/>
        <w:rPr>
          <w:b/>
          <w:sz w:val="24"/>
          <w:szCs w:val="24"/>
        </w:rPr>
      </w:pPr>
      <w:r w:rsidRPr="00771368">
        <w:rPr>
          <w:b/>
          <w:sz w:val="24"/>
          <w:szCs w:val="24"/>
        </w:rPr>
        <w:t>Faculdade Santíssimo Sacramento</w:t>
      </w:r>
    </w:p>
    <w:p w:rsidR="00D24E61" w:rsidRPr="00771368" w:rsidRDefault="00D24E61" w:rsidP="00D24E61">
      <w:pPr>
        <w:jc w:val="center"/>
        <w:rPr>
          <w:b/>
          <w:sz w:val="24"/>
          <w:szCs w:val="24"/>
        </w:rPr>
      </w:pPr>
      <w:r w:rsidRPr="00771368">
        <w:rPr>
          <w:b/>
          <w:sz w:val="24"/>
          <w:szCs w:val="24"/>
        </w:rPr>
        <w:t>Pós Graduação Pós - graduação em Saúde Coletiva com Ênfase em Saúde da Família.</w:t>
      </w:r>
    </w:p>
    <w:p w:rsidR="00D24E61" w:rsidRPr="00771368" w:rsidRDefault="00D24E61" w:rsidP="00D24E61">
      <w:pPr>
        <w:tabs>
          <w:tab w:val="left" w:pos="2610"/>
        </w:tabs>
        <w:jc w:val="center"/>
        <w:rPr>
          <w:b/>
          <w:sz w:val="24"/>
          <w:szCs w:val="24"/>
        </w:rPr>
      </w:pPr>
    </w:p>
    <w:p w:rsidR="00D24E61" w:rsidRPr="00771368" w:rsidRDefault="00D24E61" w:rsidP="00D24E61">
      <w:pPr>
        <w:tabs>
          <w:tab w:val="left" w:pos="2610"/>
        </w:tabs>
        <w:jc w:val="center"/>
        <w:rPr>
          <w:b/>
          <w:sz w:val="24"/>
          <w:szCs w:val="24"/>
        </w:rPr>
      </w:pPr>
      <w:r w:rsidRPr="00771368">
        <w:rPr>
          <w:b/>
          <w:sz w:val="24"/>
          <w:szCs w:val="24"/>
        </w:rPr>
        <w:t xml:space="preserve">Diferenças entre os sexos: Perfil epidemiológico da Hipertensão Arterial em mulheres de </w:t>
      </w:r>
      <w:smartTag w:uri="urn:schemas-microsoft-com:office:smarttags" w:element="metricconverter">
        <w:smartTagPr>
          <w:attr w:name="ProductID" w:val="20 a"/>
        </w:smartTagPr>
        <w:r w:rsidRPr="00771368">
          <w:rPr>
            <w:b/>
            <w:sz w:val="24"/>
            <w:szCs w:val="24"/>
          </w:rPr>
          <w:t>20 a</w:t>
        </w:r>
      </w:smartTag>
      <w:r w:rsidRPr="00771368">
        <w:rPr>
          <w:b/>
          <w:sz w:val="24"/>
          <w:szCs w:val="24"/>
        </w:rPr>
        <w:t xml:space="preserve"> 60 anos no bairro da URBIS III no município de Alagoinhas, BAHIA.</w:t>
      </w:r>
    </w:p>
    <w:p w:rsidR="00D24E61" w:rsidRPr="00771368" w:rsidRDefault="00D24E61" w:rsidP="00D24E61">
      <w:pPr>
        <w:jc w:val="right"/>
        <w:rPr>
          <w:b/>
          <w:sz w:val="24"/>
          <w:szCs w:val="24"/>
        </w:rPr>
      </w:pPr>
      <w:r w:rsidRPr="00771368">
        <w:rPr>
          <w:b/>
          <w:sz w:val="24"/>
          <w:szCs w:val="24"/>
        </w:rPr>
        <w:t>Ana Claudia Santos Pinheiro</w:t>
      </w:r>
    </w:p>
    <w:p w:rsidR="00D24E61" w:rsidRPr="00771368" w:rsidRDefault="00D24E61" w:rsidP="00D24E61">
      <w:pPr>
        <w:jc w:val="right"/>
        <w:rPr>
          <w:b/>
          <w:sz w:val="24"/>
          <w:szCs w:val="24"/>
        </w:rPr>
      </w:pPr>
      <w:r w:rsidRPr="00771368">
        <w:rPr>
          <w:b/>
          <w:sz w:val="24"/>
          <w:szCs w:val="24"/>
        </w:rPr>
        <w:t>Claudia Cerqueira Graça</w:t>
      </w:r>
    </w:p>
    <w:p w:rsidR="00D24E61" w:rsidRPr="00771368" w:rsidRDefault="00D24E61" w:rsidP="00D24E61">
      <w:pPr>
        <w:spacing w:line="360" w:lineRule="auto"/>
        <w:contextualSpacing/>
        <w:jc w:val="both"/>
        <w:rPr>
          <w:sz w:val="24"/>
          <w:szCs w:val="24"/>
        </w:rPr>
      </w:pPr>
      <w:r w:rsidRPr="00771368">
        <w:rPr>
          <w:sz w:val="24"/>
          <w:szCs w:val="24"/>
        </w:rPr>
        <w:t>Dados do sujeito da pesquisa.</w:t>
      </w:r>
    </w:p>
    <w:p w:rsidR="00D24E61" w:rsidRPr="00771368" w:rsidRDefault="00D24E61" w:rsidP="00D24E61">
      <w:pPr>
        <w:spacing w:line="360" w:lineRule="auto"/>
        <w:contextualSpacing/>
        <w:jc w:val="both"/>
        <w:rPr>
          <w:sz w:val="24"/>
          <w:szCs w:val="24"/>
        </w:rPr>
      </w:pPr>
      <w:r w:rsidRPr="00771368">
        <w:rPr>
          <w:sz w:val="24"/>
          <w:szCs w:val="24"/>
        </w:rPr>
        <w:t>Nome:_________________________________________________________</w:t>
      </w:r>
    </w:p>
    <w:p w:rsidR="00D24E61" w:rsidRPr="00771368" w:rsidRDefault="00D24E61" w:rsidP="00D24E61">
      <w:pPr>
        <w:spacing w:line="360" w:lineRule="auto"/>
        <w:contextualSpacing/>
        <w:jc w:val="both"/>
        <w:rPr>
          <w:sz w:val="24"/>
          <w:szCs w:val="24"/>
        </w:rPr>
      </w:pPr>
      <w:r w:rsidRPr="00771368">
        <w:rPr>
          <w:sz w:val="24"/>
          <w:szCs w:val="24"/>
        </w:rPr>
        <w:t>Nascimento: _______/________/________</w:t>
      </w:r>
    </w:p>
    <w:p w:rsidR="00D24E61" w:rsidRPr="00771368" w:rsidRDefault="00D24E61" w:rsidP="00D24E61">
      <w:pPr>
        <w:spacing w:line="360" w:lineRule="auto"/>
        <w:ind w:firstLine="709"/>
        <w:contextualSpacing/>
        <w:jc w:val="both"/>
        <w:rPr>
          <w:sz w:val="24"/>
          <w:szCs w:val="24"/>
        </w:rPr>
      </w:pPr>
      <w:r w:rsidRPr="00771368">
        <w:rPr>
          <w:sz w:val="24"/>
          <w:szCs w:val="24"/>
        </w:rPr>
        <w:t xml:space="preserve"> </w:t>
      </w:r>
    </w:p>
    <w:p w:rsidR="00D24E61" w:rsidRPr="00771368" w:rsidRDefault="00D24E61" w:rsidP="00D24E61">
      <w:pPr>
        <w:spacing w:line="360" w:lineRule="auto"/>
        <w:ind w:firstLine="709"/>
        <w:contextualSpacing/>
        <w:jc w:val="center"/>
        <w:rPr>
          <w:b/>
          <w:sz w:val="24"/>
          <w:szCs w:val="24"/>
        </w:rPr>
      </w:pPr>
      <w:r w:rsidRPr="00771368">
        <w:rPr>
          <w:b/>
          <w:sz w:val="24"/>
          <w:szCs w:val="24"/>
        </w:rPr>
        <w:t>TERMO DE CONSENTIMENTO</w:t>
      </w:r>
    </w:p>
    <w:p w:rsidR="00D24E61" w:rsidRPr="00771368" w:rsidRDefault="00D24E61" w:rsidP="00D24E61">
      <w:pPr>
        <w:spacing w:line="360" w:lineRule="auto"/>
        <w:ind w:firstLine="709"/>
        <w:contextualSpacing/>
        <w:jc w:val="both"/>
        <w:rPr>
          <w:b/>
          <w:sz w:val="24"/>
          <w:szCs w:val="24"/>
        </w:rPr>
      </w:pPr>
    </w:p>
    <w:p w:rsidR="00D24E61" w:rsidRPr="00771368" w:rsidRDefault="00D24E61" w:rsidP="00D24E61">
      <w:pPr>
        <w:spacing w:line="360" w:lineRule="auto"/>
        <w:ind w:firstLine="709"/>
        <w:contextualSpacing/>
        <w:jc w:val="both"/>
        <w:rPr>
          <w:sz w:val="24"/>
          <w:szCs w:val="24"/>
        </w:rPr>
      </w:pPr>
      <w:r w:rsidRPr="00771368">
        <w:rPr>
          <w:sz w:val="24"/>
          <w:szCs w:val="24"/>
        </w:rPr>
        <w:t>Eu, acima identificado e abaixo assinado, fui devidamente informado e esclarecido sobre o projeto de pesquisa especificado neste documento. Compreendi perfeitamente os esclarecimentos que recebi. Estou ciente dos objetivos, métodos e procedimentos que serão realizados. É de livre vontade que participo e autorizo as pesquisadoras a divulgar os resultados obtidos. Tenho segurança também de que será mantido meu total anonimato, já que, só serão usados minhas iniciais, entendo também, que tenho direito a abandonar e ter acesso ao projeto, sem restrições ou consequências de acordo com a resolução 196/96.</w:t>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ind w:firstLine="709"/>
        <w:contextualSpacing/>
        <w:jc w:val="both"/>
        <w:rPr>
          <w:sz w:val="24"/>
          <w:szCs w:val="24"/>
        </w:rPr>
      </w:pPr>
      <w:r w:rsidRPr="00771368">
        <w:rPr>
          <w:sz w:val="24"/>
          <w:szCs w:val="24"/>
        </w:rPr>
        <w:t>Data: _______/________/__________</w:t>
      </w: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ind w:firstLine="709"/>
        <w:contextualSpacing/>
        <w:jc w:val="both"/>
        <w:rPr>
          <w:sz w:val="24"/>
          <w:szCs w:val="24"/>
        </w:rPr>
      </w:pPr>
    </w:p>
    <w:p w:rsidR="00D24E61" w:rsidRPr="00771368" w:rsidRDefault="00D24E61" w:rsidP="00D24E61">
      <w:pPr>
        <w:spacing w:line="360" w:lineRule="auto"/>
        <w:ind w:firstLine="709"/>
        <w:contextualSpacing/>
        <w:jc w:val="both"/>
        <w:rPr>
          <w:sz w:val="24"/>
          <w:szCs w:val="24"/>
        </w:rPr>
      </w:pPr>
      <w:r w:rsidRPr="00771368">
        <w:rPr>
          <w:sz w:val="24"/>
          <w:szCs w:val="24"/>
        </w:rPr>
        <w:t>______________________________________________________________</w:t>
      </w:r>
    </w:p>
    <w:p w:rsidR="00D24E61" w:rsidRPr="00771368" w:rsidRDefault="00D24E61" w:rsidP="00D24E61">
      <w:pPr>
        <w:spacing w:line="360" w:lineRule="auto"/>
        <w:ind w:firstLine="709"/>
        <w:contextualSpacing/>
      </w:pPr>
      <w:r w:rsidRPr="00771368">
        <w:rPr>
          <w:b/>
          <w:sz w:val="24"/>
          <w:szCs w:val="24"/>
        </w:rPr>
        <w:t>Assinatura.</w:t>
      </w:r>
    </w:p>
    <w:p w:rsidR="002E3256" w:rsidRDefault="002E3256">
      <w:pPr>
        <w:rPr>
          <w:sz w:val="20"/>
          <w:szCs w:val="20"/>
        </w:rPr>
      </w:pPr>
      <w:r>
        <w:rPr>
          <w:sz w:val="20"/>
          <w:szCs w:val="20"/>
        </w:rPr>
        <w:br w:type="page"/>
      </w:r>
    </w:p>
    <w:p w:rsidR="00D24E61" w:rsidRPr="00771368" w:rsidRDefault="00D24E61" w:rsidP="00D24E61">
      <w:pPr>
        <w:spacing w:before="100" w:beforeAutospacing="1" w:after="100" w:afterAutospacing="1" w:line="360" w:lineRule="auto"/>
        <w:ind w:firstLine="709"/>
        <w:jc w:val="both"/>
        <w:textAlignment w:val="top"/>
        <w:rPr>
          <w:vanish/>
          <w:sz w:val="20"/>
          <w:szCs w:val="20"/>
        </w:rPr>
      </w:pPr>
      <w:r w:rsidRPr="00771368">
        <w:rPr>
          <w:vanish/>
          <w:sz w:val="20"/>
          <w:szCs w:val="20"/>
        </w:rPr>
        <w:t>Ouvir</w:t>
      </w:r>
    </w:p>
    <w:p w:rsidR="00D24E61" w:rsidRPr="00771368" w:rsidRDefault="00D24E61" w:rsidP="00D24E61">
      <w:pPr>
        <w:spacing w:before="100" w:beforeAutospacing="1" w:after="100" w:afterAutospacing="1" w:line="360" w:lineRule="auto"/>
        <w:ind w:firstLine="709"/>
        <w:jc w:val="both"/>
        <w:textAlignment w:val="top"/>
        <w:rPr>
          <w:vanish/>
          <w:sz w:val="20"/>
          <w:szCs w:val="20"/>
        </w:rPr>
      </w:pPr>
      <w:r w:rsidRPr="00771368">
        <w:rPr>
          <w:vanish/>
          <w:sz w:val="20"/>
          <w:szCs w:val="20"/>
        </w:rPr>
        <w:t>Ler foneticamente</w:t>
      </w:r>
    </w:p>
    <w:p w:rsidR="00D24E61" w:rsidRPr="00771368" w:rsidRDefault="00D24E61" w:rsidP="00D24E61">
      <w:pPr>
        <w:spacing w:before="100" w:beforeAutospacing="1" w:after="100" w:afterAutospacing="1" w:line="360" w:lineRule="auto"/>
        <w:ind w:firstLine="709"/>
        <w:jc w:val="both"/>
        <w:textAlignment w:val="top"/>
        <w:rPr>
          <w:vanish/>
          <w:sz w:val="20"/>
          <w:szCs w:val="20"/>
        </w:rPr>
      </w:pPr>
      <w:r w:rsidRPr="00771368">
        <w:rPr>
          <w:vanish/>
          <w:sz w:val="20"/>
          <w:szCs w:val="20"/>
        </w:rPr>
        <w:t> </w:t>
      </w:r>
    </w:p>
    <w:p w:rsidR="00D24E61" w:rsidRPr="00771368" w:rsidRDefault="00D24E61" w:rsidP="00D24E61">
      <w:pPr>
        <w:spacing w:before="100" w:beforeAutospacing="1" w:after="100" w:afterAutospacing="1" w:line="360" w:lineRule="auto"/>
        <w:ind w:firstLine="709"/>
        <w:jc w:val="both"/>
        <w:textAlignment w:val="top"/>
        <w:outlineLvl w:val="3"/>
        <w:rPr>
          <w:vanish/>
          <w:sz w:val="20"/>
          <w:szCs w:val="20"/>
        </w:rPr>
      </w:pPr>
      <w:r w:rsidRPr="00771368">
        <w:rPr>
          <w:vanish/>
          <w:sz w:val="20"/>
          <w:szCs w:val="20"/>
        </w:rPr>
        <w:t xml:space="preserve">Dicionário - </w:t>
      </w:r>
      <w:hyperlink r:id="rId146" w:history="1">
        <w:r w:rsidRPr="00771368">
          <w:rPr>
            <w:vanish/>
            <w:sz w:val="20"/>
            <w:szCs w:val="20"/>
          </w:rPr>
          <w:t>Ver dicionário detalhado</w:t>
        </w:r>
      </w:hyperlink>
    </w:p>
    <w:p w:rsidR="00D24E61" w:rsidRPr="00771368" w:rsidRDefault="00D24E61" w:rsidP="00D24E61">
      <w:pPr>
        <w:spacing w:before="100" w:beforeAutospacing="1" w:after="100" w:afterAutospacing="1" w:line="360" w:lineRule="auto"/>
        <w:ind w:firstLine="709"/>
        <w:jc w:val="both"/>
        <w:textAlignment w:val="top"/>
        <w:outlineLvl w:val="3"/>
        <w:rPr>
          <w:b/>
          <w:bCs/>
          <w:vanish/>
          <w:sz w:val="20"/>
          <w:szCs w:val="20"/>
        </w:rPr>
      </w:pPr>
      <w:r w:rsidRPr="00771368">
        <w:rPr>
          <w:b/>
          <w:bCs/>
          <w:vanish/>
          <w:sz w:val="20"/>
          <w:szCs w:val="20"/>
        </w:rPr>
        <w:t>Traduza qualquer site</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47" w:history="1">
        <w:r w:rsidR="00D24E61" w:rsidRPr="00771368">
          <w:rPr>
            <w:vanish/>
            <w:sz w:val="20"/>
            <w:szCs w:val="20"/>
          </w:rPr>
          <w:t>OneIndia</w:t>
        </w:r>
      </w:hyperlink>
      <w:r w:rsidR="00D24E61" w:rsidRPr="00771368">
        <w:rPr>
          <w:vanish/>
          <w:sz w:val="20"/>
          <w:szCs w:val="20"/>
        </w:rPr>
        <w:t>-hindi</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48" w:history="1">
        <w:r w:rsidR="00D24E61" w:rsidRPr="00771368">
          <w:rPr>
            <w:vanish/>
            <w:sz w:val="20"/>
            <w:szCs w:val="20"/>
          </w:rPr>
          <w:t>Focus Online</w:t>
        </w:r>
      </w:hyperlink>
      <w:r w:rsidR="00D24E61" w:rsidRPr="00771368">
        <w:rPr>
          <w:vanish/>
          <w:sz w:val="20"/>
          <w:szCs w:val="20"/>
        </w:rPr>
        <w:t>-Alemanha</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49" w:history="1">
        <w:r w:rsidR="00D24E61" w:rsidRPr="00771368">
          <w:rPr>
            <w:vanish/>
            <w:sz w:val="20"/>
            <w:szCs w:val="20"/>
          </w:rPr>
          <w:t>Arte Toreo</w:t>
        </w:r>
      </w:hyperlink>
      <w:r w:rsidR="00D24E61" w:rsidRPr="00771368">
        <w:rPr>
          <w:vanish/>
          <w:sz w:val="20"/>
          <w:szCs w:val="20"/>
        </w:rPr>
        <w:t>-Espanha</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50" w:history="1">
        <w:r w:rsidR="00D24E61" w:rsidRPr="00771368">
          <w:rPr>
            <w:vanish/>
            <w:sz w:val="20"/>
            <w:szCs w:val="20"/>
          </w:rPr>
          <w:t>Guardian.co.uk</w:t>
        </w:r>
      </w:hyperlink>
      <w:r w:rsidR="00D24E61" w:rsidRPr="00771368">
        <w:rPr>
          <w:vanish/>
          <w:sz w:val="20"/>
          <w:szCs w:val="20"/>
        </w:rPr>
        <w:t>-Reino Unido</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51" w:history="1">
        <w:r w:rsidR="00D24E61" w:rsidRPr="00771368">
          <w:rPr>
            <w:vanish/>
            <w:sz w:val="20"/>
            <w:szCs w:val="20"/>
          </w:rPr>
          <w:t>Spiegel Online</w:t>
        </w:r>
      </w:hyperlink>
      <w:r w:rsidR="00D24E61" w:rsidRPr="00771368">
        <w:rPr>
          <w:vanish/>
          <w:sz w:val="20"/>
          <w:szCs w:val="20"/>
        </w:rPr>
        <w:t>-Alemanha</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52" w:history="1">
        <w:r w:rsidR="00D24E61" w:rsidRPr="00771368">
          <w:rPr>
            <w:vanish/>
            <w:sz w:val="20"/>
            <w:szCs w:val="20"/>
          </w:rPr>
          <w:t>The Washington Post</w:t>
        </w:r>
      </w:hyperlink>
      <w:r w:rsidR="00D24E61" w:rsidRPr="00771368">
        <w:rPr>
          <w:vanish/>
          <w:sz w:val="20"/>
          <w:szCs w:val="20"/>
        </w:rPr>
        <w:t>-Estados Unidos</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53" w:history="1">
        <w:r w:rsidR="00D24E61" w:rsidRPr="00771368">
          <w:rPr>
            <w:vanish/>
            <w:sz w:val="20"/>
            <w:szCs w:val="20"/>
          </w:rPr>
          <w:t>The White House</w:t>
        </w:r>
      </w:hyperlink>
      <w:r w:rsidR="00D24E61" w:rsidRPr="00771368">
        <w:rPr>
          <w:vanish/>
          <w:sz w:val="20"/>
          <w:szCs w:val="20"/>
        </w:rPr>
        <w:t>-Estados Unidos</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54" w:history="1">
        <w:r w:rsidR="00D24E61" w:rsidRPr="00771368">
          <w:rPr>
            <w:vanish/>
            <w:sz w:val="20"/>
            <w:szCs w:val="20"/>
          </w:rPr>
          <w:t>La Información</w:t>
        </w:r>
      </w:hyperlink>
      <w:r w:rsidR="00D24E61" w:rsidRPr="00771368">
        <w:rPr>
          <w:vanish/>
          <w:sz w:val="20"/>
          <w:szCs w:val="20"/>
        </w:rPr>
        <w:t>-Espanha</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55" w:history="1">
        <w:r w:rsidR="00D24E61" w:rsidRPr="00771368">
          <w:rPr>
            <w:vanish/>
            <w:sz w:val="20"/>
            <w:szCs w:val="20"/>
          </w:rPr>
          <w:t>Xinhua Net</w:t>
        </w:r>
      </w:hyperlink>
      <w:r w:rsidR="00D24E61" w:rsidRPr="00771368">
        <w:rPr>
          <w:vanish/>
          <w:sz w:val="20"/>
          <w:szCs w:val="20"/>
        </w:rPr>
        <w:t>-China</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56" w:history="1">
        <w:r w:rsidR="00D24E61" w:rsidRPr="00771368">
          <w:rPr>
            <w:vanish/>
            <w:sz w:val="20"/>
            <w:szCs w:val="20"/>
          </w:rPr>
          <w:t>Museo del Prado</w:t>
        </w:r>
      </w:hyperlink>
      <w:r w:rsidR="00D24E61" w:rsidRPr="00771368">
        <w:rPr>
          <w:vanish/>
          <w:sz w:val="20"/>
          <w:szCs w:val="20"/>
        </w:rPr>
        <w:t>-Espanha</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57" w:history="1">
        <w:r w:rsidR="00D24E61" w:rsidRPr="00771368">
          <w:rPr>
            <w:vanish/>
            <w:sz w:val="20"/>
            <w:szCs w:val="20"/>
          </w:rPr>
          <w:t>Louvre</w:t>
        </w:r>
      </w:hyperlink>
      <w:r w:rsidR="00D24E61" w:rsidRPr="00771368">
        <w:rPr>
          <w:vanish/>
          <w:sz w:val="20"/>
          <w:szCs w:val="20"/>
        </w:rPr>
        <w:t>-França</w:t>
      </w:r>
    </w:p>
    <w:p w:rsidR="00D24E61" w:rsidRPr="00771368" w:rsidRDefault="00295FC8" w:rsidP="00FA0ABA">
      <w:pPr>
        <w:numPr>
          <w:ilvl w:val="0"/>
          <w:numId w:val="41"/>
        </w:numPr>
        <w:spacing w:before="100" w:beforeAutospacing="1" w:after="100" w:afterAutospacing="1" w:line="360" w:lineRule="auto"/>
        <w:ind w:left="0" w:firstLine="709"/>
        <w:jc w:val="both"/>
        <w:textAlignment w:val="top"/>
        <w:rPr>
          <w:vanish/>
          <w:sz w:val="20"/>
          <w:szCs w:val="20"/>
        </w:rPr>
      </w:pPr>
      <w:hyperlink r:id="rId158" w:history="1">
        <w:r w:rsidR="00D24E61" w:rsidRPr="00771368">
          <w:rPr>
            <w:vanish/>
            <w:sz w:val="20"/>
            <w:szCs w:val="20"/>
          </w:rPr>
          <w:t>Yomuiri Online</w:t>
        </w:r>
      </w:hyperlink>
      <w:r w:rsidR="00D24E61" w:rsidRPr="00771368">
        <w:rPr>
          <w:vanish/>
          <w:sz w:val="20"/>
          <w:szCs w:val="20"/>
        </w:rPr>
        <w:t>-Japão</w:t>
      </w:r>
    </w:p>
    <w:p w:rsidR="00D24E61" w:rsidRPr="00771368" w:rsidRDefault="00D24E61" w:rsidP="00D24E61">
      <w:pPr>
        <w:pStyle w:val="Corpodetexto"/>
        <w:spacing w:line="360" w:lineRule="auto"/>
        <w:ind w:firstLine="709"/>
        <w:jc w:val="both"/>
        <w:rPr>
          <w:b/>
          <w:sz w:val="20"/>
          <w:szCs w:val="20"/>
        </w:rPr>
      </w:pPr>
    </w:p>
    <w:p w:rsidR="00D24E61" w:rsidRPr="002E3256" w:rsidRDefault="00D24E61" w:rsidP="002E3256">
      <w:pPr>
        <w:ind w:left="2700"/>
        <w:jc w:val="center"/>
        <w:rPr>
          <w:sz w:val="24"/>
          <w:szCs w:val="20"/>
        </w:rPr>
      </w:pPr>
      <w:r w:rsidRPr="002E3256">
        <w:rPr>
          <w:rFonts w:eastAsia="Times"/>
          <w:b/>
          <w:bCs/>
          <w:sz w:val="32"/>
          <w:szCs w:val="24"/>
        </w:rPr>
        <w:t>O destino das filhas do Iêmen:</w:t>
      </w:r>
    </w:p>
    <w:p w:rsidR="00D24E61" w:rsidRPr="002E3256" w:rsidRDefault="00D24E61" w:rsidP="002E3256">
      <w:pPr>
        <w:spacing w:line="13" w:lineRule="exact"/>
        <w:jc w:val="center"/>
        <w:rPr>
          <w:sz w:val="32"/>
          <w:szCs w:val="24"/>
        </w:rPr>
      </w:pPr>
    </w:p>
    <w:p w:rsidR="00D24E61" w:rsidRPr="002E3256" w:rsidRDefault="00D24E61" w:rsidP="002E3256">
      <w:pPr>
        <w:spacing w:line="183" w:lineRule="auto"/>
        <w:ind w:left="2140" w:right="780" w:hanging="1653"/>
        <w:jc w:val="center"/>
        <w:rPr>
          <w:sz w:val="24"/>
          <w:szCs w:val="20"/>
        </w:rPr>
      </w:pPr>
      <w:r w:rsidRPr="002E3256">
        <w:rPr>
          <w:rFonts w:eastAsia="Times"/>
          <w:sz w:val="32"/>
          <w:szCs w:val="24"/>
        </w:rPr>
        <w:t>As águas brasileiras refletem o Oriente Médio em uma breve reflexão sobre as violências sofridas pelas jovens prematuras.</w:t>
      </w:r>
    </w:p>
    <w:p w:rsidR="00D24E61" w:rsidRPr="002E3256" w:rsidRDefault="00D24E61" w:rsidP="002E3256">
      <w:pPr>
        <w:spacing w:line="200" w:lineRule="exact"/>
        <w:jc w:val="center"/>
        <w:rPr>
          <w:sz w:val="32"/>
          <w:szCs w:val="24"/>
        </w:rPr>
      </w:pPr>
    </w:p>
    <w:p w:rsidR="00D24E61" w:rsidRPr="002E3256" w:rsidRDefault="00D24E61" w:rsidP="002E3256">
      <w:pPr>
        <w:spacing w:line="200" w:lineRule="exact"/>
        <w:jc w:val="center"/>
        <w:rPr>
          <w:sz w:val="32"/>
          <w:szCs w:val="24"/>
        </w:rPr>
      </w:pPr>
    </w:p>
    <w:p w:rsidR="00D24E61" w:rsidRPr="00771368" w:rsidRDefault="00D24E61">
      <w:pPr>
        <w:spacing w:line="267" w:lineRule="exact"/>
        <w:rPr>
          <w:sz w:val="24"/>
          <w:szCs w:val="24"/>
        </w:rPr>
      </w:pPr>
    </w:p>
    <w:p w:rsidR="00D24E61" w:rsidRPr="00771368" w:rsidRDefault="00D24E61">
      <w:pPr>
        <w:spacing w:line="191" w:lineRule="auto"/>
        <w:ind w:left="2000" w:firstLine="4056"/>
        <w:rPr>
          <w:sz w:val="20"/>
          <w:szCs w:val="20"/>
        </w:rPr>
      </w:pPr>
      <w:bookmarkStart w:id="53" w:name="_Toc442034742"/>
      <w:r w:rsidRPr="002E3256">
        <w:rPr>
          <w:rStyle w:val="Ttulo1Char"/>
          <w:rFonts w:eastAsia="Times"/>
        </w:rPr>
        <w:t>Adriana Almeida Gonçalves</w:t>
      </w:r>
      <w:bookmarkEnd w:id="53"/>
      <w:r w:rsidRPr="00771368">
        <w:rPr>
          <w:rFonts w:eastAsia="Times"/>
          <w:sz w:val="23"/>
          <w:szCs w:val="23"/>
        </w:rPr>
        <w:t xml:space="preserve"> Instituto Sumaré de Educação Superior (ISES) – Unidade Sumaré - SP</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rPr>
          <w:sz w:val="20"/>
          <w:szCs w:val="20"/>
        </w:rPr>
      </w:pPr>
      <w:r w:rsidRPr="00771368">
        <w:rPr>
          <w:rFonts w:eastAsia="Times"/>
          <w:b/>
          <w:bCs/>
          <w:sz w:val="24"/>
          <w:szCs w:val="24"/>
        </w:rPr>
        <w:t>Introdução:</w:t>
      </w:r>
    </w:p>
    <w:p w:rsidR="00D24E61" w:rsidRPr="00771368" w:rsidRDefault="00D24E61">
      <w:pPr>
        <w:spacing w:line="10" w:lineRule="exact"/>
        <w:rPr>
          <w:sz w:val="24"/>
          <w:szCs w:val="24"/>
        </w:rPr>
      </w:pPr>
    </w:p>
    <w:p w:rsidR="00D24E61" w:rsidRPr="00771368" w:rsidRDefault="00D24E61">
      <w:pPr>
        <w:spacing w:line="225" w:lineRule="auto"/>
        <w:ind w:right="300" w:firstLine="708"/>
        <w:jc w:val="both"/>
        <w:rPr>
          <w:sz w:val="20"/>
          <w:szCs w:val="20"/>
        </w:rPr>
      </w:pPr>
      <w:r w:rsidRPr="00771368">
        <w:rPr>
          <w:rFonts w:eastAsia="Times"/>
          <w:sz w:val="24"/>
          <w:szCs w:val="24"/>
        </w:rPr>
        <w:t>Quando A’isha bint de Abu Bakr nasceu às mulheres eram vistas como bens pessoais, propriedades dos homens. Aos 6 anos quando estava brincando no quintal de casa soube por sua mãe que iria se casar.</w:t>
      </w:r>
    </w:p>
    <w:p w:rsidR="00D24E61" w:rsidRPr="00771368" w:rsidRDefault="00D24E61">
      <w:pPr>
        <w:spacing w:line="131" w:lineRule="exact"/>
        <w:rPr>
          <w:sz w:val="24"/>
          <w:szCs w:val="24"/>
        </w:rPr>
      </w:pPr>
    </w:p>
    <w:p w:rsidR="00D24E61" w:rsidRPr="00771368" w:rsidRDefault="00D24E61">
      <w:pPr>
        <w:spacing w:line="225" w:lineRule="auto"/>
        <w:ind w:right="300" w:firstLine="768"/>
        <w:jc w:val="both"/>
        <w:rPr>
          <w:sz w:val="20"/>
          <w:szCs w:val="20"/>
        </w:rPr>
      </w:pPr>
      <w:r w:rsidRPr="00771368">
        <w:rPr>
          <w:rFonts w:eastAsia="Times"/>
          <w:sz w:val="24"/>
          <w:szCs w:val="24"/>
        </w:rPr>
        <w:t>A mãe da menina deu a notícia e avisou que, a partir daquele dia estava proibido "brincar fora de casa", pois estava em ¹</w:t>
      </w:r>
      <w:r w:rsidRPr="00771368">
        <w:rPr>
          <w:rFonts w:eastAsia="Times"/>
          <w:i/>
          <w:iCs/>
          <w:sz w:val="24"/>
          <w:szCs w:val="24"/>
        </w:rPr>
        <w:t>purdah</w:t>
      </w:r>
      <w:r w:rsidRPr="00771368">
        <w:rPr>
          <w:rFonts w:eastAsia="Times"/>
          <w:sz w:val="24"/>
          <w:szCs w:val="24"/>
        </w:rPr>
        <w:t>. Passava então a ser aprisionada dentro da casa de seu pai.</w:t>
      </w:r>
    </w:p>
    <w:p w:rsidR="00D24E61" w:rsidRPr="00771368" w:rsidRDefault="00D24E61">
      <w:pPr>
        <w:spacing w:line="129" w:lineRule="exact"/>
        <w:rPr>
          <w:sz w:val="24"/>
          <w:szCs w:val="24"/>
        </w:rPr>
      </w:pPr>
    </w:p>
    <w:p w:rsidR="00D24E61" w:rsidRPr="00771368" w:rsidRDefault="00D24E61">
      <w:pPr>
        <w:spacing w:line="236" w:lineRule="auto"/>
        <w:ind w:right="300" w:firstLine="708"/>
        <w:jc w:val="both"/>
        <w:rPr>
          <w:sz w:val="20"/>
          <w:szCs w:val="20"/>
        </w:rPr>
      </w:pPr>
      <w:r w:rsidRPr="00771368">
        <w:rPr>
          <w:rFonts w:eastAsia="Times"/>
          <w:sz w:val="24"/>
          <w:szCs w:val="24"/>
        </w:rPr>
        <w:t>O futuro marido era o melhor amigo do seu pai, Abu Bakr, e tinha 51 anos. O casamento foi realizada em 623 D.C. numa cerimônia sóbria, na casa da família da noiva, em Medina, Arábia Saudita. A’isha se tornava a terceira mulher de Maomé, o criador do islamismo. Com nove anos se casou, mas apenas com doze anos, e assim que começou a sangrar, que A’isha foi morar com seu marido.</w:t>
      </w:r>
    </w:p>
    <w:p w:rsidR="00D24E61" w:rsidRPr="00771368" w:rsidRDefault="00D24E61">
      <w:pPr>
        <w:spacing w:line="125" w:lineRule="exact"/>
        <w:rPr>
          <w:sz w:val="24"/>
          <w:szCs w:val="24"/>
        </w:rPr>
      </w:pPr>
    </w:p>
    <w:p w:rsidR="00D24E61" w:rsidRPr="00771368" w:rsidRDefault="00D24E61">
      <w:pPr>
        <w:spacing w:line="238" w:lineRule="auto"/>
        <w:ind w:right="300" w:firstLine="708"/>
        <w:jc w:val="both"/>
        <w:rPr>
          <w:sz w:val="20"/>
          <w:szCs w:val="20"/>
        </w:rPr>
      </w:pPr>
      <w:r w:rsidRPr="00771368">
        <w:rPr>
          <w:rFonts w:eastAsia="Times"/>
          <w:sz w:val="24"/>
          <w:szCs w:val="24"/>
        </w:rPr>
        <w:t>Dona de seu destino estabelece seu lugar à comunidade, lutando contra a perseguição religiosa, intrigas políticas e ciúmes das outras 12 esposas do harém. Com seu gênio difícil A’isha segue os conselhos de sua mãe e luta para ser a primeira esposa do harém. Conforme passa a amar Maomé sua devoção inteligência e perspicácias fazem dela uma conselheira indispensável tornando-a a mulher mais importante do islã (JONES, 2009).</w:t>
      </w:r>
    </w:p>
    <w:p w:rsidR="00D24E61" w:rsidRPr="00771368" w:rsidRDefault="00D24E61">
      <w:pPr>
        <w:spacing w:line="132" w:lineRule="exact"/>
        <w:rPr>
          <w:sz w:val="24"/>
          <w:szCs w:val="24"/>
        </w:rPr>
      </w:pPr>
    </w:p>
    <w:p w:rsidR="00D24E61" w:rsidRPr="00771368" w:rsidRDefault="00D24E61">
      <w:pPr>
        <w:spacing w:line="225" w:lineRule="auto"/>
        <w:ind w:right="300" w:firstLine="708"/>
        <w:jc w:val="both"/>
        <w:rPr>
          <w:sz w:val="20"/>
          <w:szCs w:val="20"/>
        </w:rPr>
      </w:pPr>
      <w:r w:rsidRPr="00771368">
        <w:rPr>
          <w:rFonts w:eastAsia="Times"/>
          <w:sz w:val="24"/>
          <w:szCs w:val="24"/>
        </w:rPr>
        <w:t>Foi, para sempre, a preferida do harém. Quando perguntaram ao profeta a quem mais amava no mundo, ele foi direto: A’isha. Nos braços dela, morreu nove anos depois, e no quarto da favorita foi enterrado.</w:t>
      </w:r>
    </w:p>
    <w:p w:rsidR="00D24E61" w:rsidRPr="00771368" w:rsidRDefault="00D24E61">
      <w:pPr>
        <w:spacing w:line="131" w:lineRule="exact"/>
        <w:rPr>
          <w:sz w:val="24"/>
          <w:szCs w:val="24"/>
        </w:rPr>
      </w:pPr>
    </w:p>
    <w:p w:rsidR="00D24E61" w:rsidRDefault="00D24E61">
      <w:pPr>
        <w:spacing w:line="212" w:lineRule="auto"/>
        <w:ind w:right="300" w:firstLine="708"/>
        <w:jc w:val="both"/>
        <w:rPr>
          <w:rFonts w:eastAsia="Times"/>
          <w:sz w:val="24"/>
          <w:szCs w:val="24"/>
        </w:rPr>
      </w:pPr>
      <w:r w:rsidRPr="00771368">
        <w:rPr>
          <w:rFonts w:eastAsia="Times"/>
          <w:sz w:val="24"/>
          <w:szCs w:val="24"/>
        </w:rPr>
        <w:t>A triste realidade vivida pelas meninas do Oriente Médio é algo comum naquela região, países de costumes antigos e estrutura social tribal.</w:t>
      </w:r>
    </w:p>
    <w:p w:rsidR="002E3256" w:rsidRPr="00771368" w:rsidRDefault="002E3256" w:rsidP="002E3256">
      <w:pPr>
        <w:spacing w:line="243" w:lineRule="auto"/>
        <w:ind w:firstLine="708"/>
        <w:jc w:val="both"/>
        <w:rPr>
          <w:sz w:val="20"/>
          <w:szCs w:val="20"/>
        </w:rPr>
      </w:pPr>
      <w:r w:rsidRPr="00771368">
        <w:rPr>
          <w:rFonts w:eastAsia="Times"/>
          <w:sz w:val="24"/>
          <w:szCs w:val="24"/>
        </w:rPr>
        <w:t>As razões que levam à tragédia das esposas-crianças, não somente no Iêmen, são principalmente as seguintes: A pobreza, ou seja, famílias que vendem suas filhas por motivos econômicos, tais como a quitação de uma dívida ou simplesmente para ter uma boca a menos para alimentar; A “proteção” da sexualidade feminina, porque protegeria a mulher, mas principalmente a família dela, de eventuais desonras caso ela não chegasse virgem ao matrimônio; A discriminação de gênero em culturas e tradições que desprezam tanto a mulher e que justificam todo tipo de violência; E finalmente, leis inadequadas ou também inexistentes, ou que não são aplicadas (COLOMBO, 2013, on-line).</w:t>
      </w:r>
    </w:p>
    <w:p w:rsidR="002E3256" w:rsidRPr="00771368" w:rsidRDefault="002E3256" w:rsidP="002E3256">
      <w:pPr>
        <w:spacing w:line="125" w:lineRule="exact"/>
        <w:rPr>
          <w:sz w:val="20"/>
          <w:szCs w:val="20"/>
        </w:rPr>
      </w:pPr>
    </w:p>
    <w:p w:rsidR="002E3256" w:rsidRPr="00771368" w:rsidRDefault="002E3256" w:rsidP="002E3256">
      <w:pPr>
        <w:spacing w:line="236" w:lineRule="auto"/>
        <w:ind w:firstLine="768"/>
        <w:jc w:val="both"/>
        <w:rPr>
          <w:sz w:val="20"/>
          <w:szCs w:val="20"/>
        </w:rPr>
      </w:pPr>
      <w:r w:rsidRPr="00771368">
        <w:rPr>
          <w:rFonts w:eastAsia="Times"/>
          <w:sz w:val="24"/>
          <w:szCs w:val="24"/>
        </w:rPr>
        <w:t>A historia de A’isha é um exemplo dos relatos da discriminação de gênero que as mulheres vêm sofrendo desde os tempos primórdios até os dias atuais, as heranças do ocidente são visíveis em nossa cultura, pois muitas mulheres ainda são submissas aos maridos e sofrem com a violência doméstica. Em pesquisas vemos que muitos são os casos de abusos e estupro infantil que acontecem dentro de casa.</w:t>
      </w:r>
    </w:p>
    <w:p w:rsidR="002E3256" w:rsidRPr="00771368" w:rsidRDefault="002E3256" w:rsidP="002E3256">
      <w:pPr>
        <w:spacing w:line="212" w:lineRule="auto"/>
        <w:ind w:right="300"/>
        <w:jc w:val="both"/>
        <w:rPr>
          <w:sz w:val="20"/>
          <w:szCs w:val="20"/>
        </w:rPr>
      </w:pPr>
    </w:p>
    <w:p w:rsidR="00D24E61" w:rsidRPr="00771368" w:rsidRDefault="00D24E61">
      <w:pPr>
        <w:spacing w:line="22" w:lineRule="exact"/>
        <w:rPr>
          <w:sz w:val="24"/>
          <w:szCs w:val="24"/>
        </w:rPr>
      </w:pPr>
    </w:p>
    <w:p w:rsidR="00D24E61" w:rsidRPr="00771368" w:rsidRDefault="00D24E61">
      <w:pPr>
        <w:ind w:left="700"/>
        <w:rPr>
          <w:sz w:val="20"/>
          <w:szCs w:val="20"/>
        </w:rPr>
      </w:pPr>
      <w:r w:rsidRPr="00771368">
        <w:rPr>
          <w:rFonts w:eastAsia="Times"/>
          <w:sz w:val="24"/>
          <w:szCs w:val="24"/>
        </w:rPr>
        <w:t>_______________________________________</w:t>
      </w:r>
    </w:p>
    <w:p w:rsidR="00D24E61" w:rsidRPr="00771368" w:rsidRDefault="00D24E61">
      <w:pPr>
        <w:spacing w:line="53" w:lineRule="exact"/>
        <w:rPr>
          <w:sz w:val="24"/>
          <w:szCs w:val="24"/>
        </w:rPr>
      </w:pPr>
    </w:p>
    <w:p w:rsidR="00D24E61" w:rsidRPr="002E3256" w:rsidRDefault="00D24E61">
      <w:pPr>
        <w:rPr>
          <w:sz w:val="20"/>
          <w:szCs w:val="20"/>
        </w:rPr>
        <w:sectPr w:rsidR="00D24E61" w:rsidRPr="002E3256" w:rsidSect="00D24E61">
          <w:pgSz w:w="11900" w:h="16840"/>
          <w:pgMar w:top="690" w:right="1420" w:bottom="1440" w:left="1420" w:header="0" w:footer="0" w:gutter="0"/>
          <w:cols w:space="720" w:equalWidth="0">
            <w:col w:w="9060"/>
          </w:cols>
        </w:sectPr>
      </w:pPr>
      <w:r w:rsidRPr="00771368">
        <w:rPr>
          <w:rFonts w:eastAsia="Times"/>
          <w:sz w:val="16"/>
          <w:szCs w:val="16"/>
        </w:rPr>
        <w:t>1 – Purdah é a prática de impedir as mulheres de serem vistas pelos homens que não sejam seus parentes diretos (WIKIPÉDIA).</w:t>
      </w:r>
    </w:p>
    <w:p w:rsidR="002E3256" w:rsidRPr="00771368" w:rsidRDefault="002E3256">
      <w:pPr>
        <w:spacing w:line="341" w:lineRule="exact"/>
        <w:rPr>
          <w:sz w:val="20"/>
          <w:szCs w:val="20"/>
        </w:rPr>
      </w:pPr>
    </w:p>
    <w:p w:rsidR="00D24E61" w:rsidRPr="00771368" w:rsidRDefault="00D24E61">
      <w:pPr>
        <w:spacing w:line="241" w:lineRule="auto"/>
        <w:ind w:firstLine="708"/>
        <w:jc w:val="both"/>
        <w:rPr>
          <w:sz w:val="20"/>
          <w:szCs w:val="20"/>
        </w:rPr>
      </w:pPr>
      <w:r w:rsidRPr="00771368">
        <w:rPr>
          <w:rFonts w:eastAsia="Times"/>
          <w:sz w:val="24"/>
          <w:szCs w:val="24"/>
        </w:rPr>
        <w:t>Desta forma, o objetivo deste artigo é analisar as diversas situações que caracterizam a violência contra a mulher na faze da puberdade. Considerando que muitas das características das situações violentas vividas pelas mulheres dependem da etapa de seu ciclo de vida. Assim como no Oriente Médio as mulheres brasileiras adolescentes são as que mais sofrem com violência sexual. Observando a situação alarmante em que as meninas do Iêmen e as brasileiras se encontram, uma solução governamental julga-se de fundamental importância. Em cima deste questionamento busco compreender: Quantas violências devo sofrer só por ser mulher?</w:t>
      </w:r>
    </w:p>
    <w:p w:rsidR="00D24E61" w:rsidRPr="00771368" w:rsidRDefault="00D24E61">
      <w:pPr>
        <w:spacing w:line="336" w:lineRule="exact"/>
        <w:rPr>
          <w:sz w:val="20"/>
          <w:szCs w:val="20"/>
        </w:rPr>
      </w:pPr>
    </w:p>
    <w:p w:rsidR="00D24E61" w:rsidRPr="00771368" w:rsidRDefault="00D24E61">
      <w:pPr>
        <w:spacing w:line="238" w:lineRule="auto"/>
        <w:ind w:firstLine="708"/>
        <w:jc w:val="both"/>
        <w:rPr>
          <w:sz w:val="20"/>
          <w:szCs w:val="20"/>
        </w:rPr>
      </w:pPr>
      <w:r w:rsidRPr="00771368">
        <w:rPr>
          <w:rFonts w:eastAsia="Times"/>
          <w:sz w:val="24"/>
          <w:szCs w:val="24"/>
        </w:rPr>
        <w:t>Para realização desta pesquisa utilizei a obra Jóia de Medina de Sherry Jones como ponto de partida. A partir desta obra podemos observar um relato histórico pelos olhos de uma grande personagem feminina que mostrou toda uma perspicácia e inteligência para alcançar seus objetivos de vida em uma época em que a discriminação de gênero era extrema. Com a história de Rawan podemos observar o extremo da violência em que uma sociedade sem controle pode alcançar.</w:t>
      </w:r>
    </w:p>
    <w:p w:rsidR="00D24E61" w:rsidRPr="00771368" w:rsidRDefault="00D24E61">
      <w:pPr>
        <w:spacing w:line="132"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Nos artigos jornalísticos que inclui nesta pesquisa relatam historias reais e atuais de sofrimento e violência contra a mulher, em contra partida esses fatos funcionam como alavanca impulsionadora para a evolução das leis Brasileiras.</w:t>
      </w:r>
    </w:p>
    <w:p w:rsidR="002E3256" w:rsidRDefault="002E3256">
      <w:pPr>
        <w:spacing w:line="236" w:lineRule="auto"/>
        <w:ind w:firstLine="708"/>
        <w:jc w:val="both"/>
        <w:rPr>
          <w:rFonts w:eastAsia="Times"/>
          <w:sz w:val="24"/>
          <w:szCs w:val="24"/>
        </w:rPr>
      </w:pPr>
    </w:p>
    <w:p w:rsidR="00D24E61" w:rsidRPr="00771368" w:rsidRDefault="00D24E61">
      <w:pPr>
        <w:spacing w:line="236" w:lineRule="auto"/>
        <w:ind w:firstLine="708"/>
        <w:jc w:val="both"/>
        <w:rPr>
          <w:sz w:val="20"/>
          <w:szCs w:val="20"/>
        </w:rPr>
      </w:pPr>
      <w:r w:rsidRPr="00771368">
        <w:rPr>
          <w:rFonts w:eastAsia="Times"/>
          <w:sz w:val="24"/>
          <w:szCs w:val="24"/>
        </w:rPr>
        <w:t>No combate a desigualdade de gênero o Brasil teve um grande avanço, em considerando a criação de novas leis de defesa das mulheres. Porém ainda há em diversas comunidades brasileiras com uma vasta população feminina que carece de informação, como exposto nos guias e pesquisas do IBGE o aumento de grávidas precoce é um problema preocupante.</w:t>
      </w:r>
    </w:p>
    <w:p w:rsidR="00D24E61" w:rsidRPr="00771368" w:rsidRDefault="00D24E61">
      <w:pPr>
        <w:spacing w:line="128" w:lineRule="exact"/>
        <w:rPr>
          <w:sz w:val="20"/>
          <w:szCs w:val="20"/>
        </w:rPr>
      </w:pPr>
    </w:p>
    <w:p w:rsidR="00D24E61" w:rsidRPr="00771368" w:rsidRDefault="00D24E61">
      <w:pPr>
        <w:spacing w:line="232" w:lineRule="auto"/>
        <w:ind w:firstLine="708"/>
        <w:jc w:val="both"/>
        <w:rPr>
          <w:sz w:val="20"/>
          <w:szCs w:val="20"/>
        </w:rPr>
      </w:pPr>
      <w:r w:rsidRPr="00771368">
        <w:rPr>
          <w:rFonts w:eastAsia="Times"/>
          <w:sz w:val="24"/>
          <w:szCs w:val="24"/>
        </w:rPr>
        <w:t>Tais artigos jornalísticos constituem um universo riquíssimo para pesquisa, uma vez que através deles é possível compreender varias semelhanças culturais entre o Oriente Médio e o Brasil, no enfoque dos casamentos, gravidez precoce e violência doméstica.</w:t>
      </w:r>
    </w:p>
    <w:p w:rsidR="00D24E61" w:rsidRPr="00771368" w:rsidRDefault="00D24E61">
      <w:pPr>
        <w:spacing w:line="128"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Em 2006 o Brasil adotou a Lei Maria da Penha, um grande avanço no combate a violência contra a mulher brasileira. Além desta lei exponho nesta pesquisa diversos artigos do Código Penal Brasileiro que podem ser usados na defesa das mulheres.</w:t>
      </w:r>
    </w:p>
    <w:p w:rsidR="00D24E61" w:rsidRPr="00771368" w:rsidRDefault="00D24E61">
      <w:pPr>
        <w:spacing w:line="129" w:lineRule="exact"/>
        <w:rPr>
          <w:sz w:val="20"/>
          <w:szCs w:val="20"/>
        </w:rPr>
      </w:pPr>
    </w:p>
    <w:p w:rsidR="00D24E61" w:rsidRPr="00771368" w:rsidRDefault="00D24E61">
      <w:pPr>
        <w:spacing w:line="232" w:lineRule="auto"/>
        <w:ind w:firstLine="708"/>
        <w:jc w:val="both"/>
        <w:rPr>
          <w:sz w:val="20"/>
          <w:szCs w:val="20"/>
        </w:rPr>
      </w:pPr>
      <w:r w:rsidRPr="00771368">
        <w:rPr>
          <w:rFonts w:eastAsia="Times"/>
          <w:sz w:val="24"/>
          <w:szCs w:val="24"/>
        </w:rPr>
        <w:t>Conforme os artigos pesquisados a falta de orientação sexual na adolescência pode ser um dos motivos que levam ao aumento de gravidez na adolescência. Porém algo desencadeia, segundo pesquisas quantitativas do SINAN, um aumento de violência sexual nesta faixa etária.</w:t>
      </w:r>
    </w:p>
    <w:p w:rsidR="00D24E61" w:rsidRPr="00771368" w:rsidRDefault="00D24E61">
      <w:pPr>
        <w:spacing w:line="26" w:lineRule="exact"/>
        <w:rPr>
          <w:sz w:val="20"/>
          <w:szCs w:val="20"/>
        </w:rPr>
      </w:pPr>
    </w:p>
    <w:p w:rsidR="00D24E61" w:rsidRPr="00771368" w:rsidRDefault="00D24E61">
      <w:pPr>
        <w:rPr>
          <w:sz w:val="20"/>
          <w:szCs w:val="20"/>
        </w:rPr>
      </w:pPr>
      <w:r w:rsidRPr="00771368">
        <w:rPr>
          <w:rFonts w:eastAsia="Times"/>
          <w:b/>
          <w:bCs/>
          <w:sz w:val="24"/>
          <w:szCs w:val="24"/>
        </w:rPr>
        <w:t>As Mulheres do Oriente e do Ocidente</w:t>
      </w:r>
    </w:p>
    <w:p w:rsidR="00D24E61" w:rsidRPr="00771368" w:rsidRDefault="00D24E61">
      <w:pPr>
        <w:spacing w:line="109" w:lineRule="exact"/>
        <w:rPr>
          <w:sz w:val="20"/>
          <w:szCs w:val="20"/>
        </w:rPr>
      </w:pPr>
    </w:p>
    <w:p w:rsidR="00D24E61" w:rsidRPr="00771368" w:rsidRDefault="00D24E61">
      <w:pPr>
        <w:spacing w:line="238" w:lineRule="auto"/>
        <w:ind w:firstLine="708"/>
        <w:jc w:val="both"/>
        <w:rPr>
          <w:sz w:val="20"/>
          <w:szCs w:val="20"/>
        </w:rPr>
      </w:pPr>
      <w:r w:rsidRPr="00771368">
        <w:rPr>
          <w:rFonts w:eastAsia="Times"/>
          <w:sz w:val="24"/>
          <w:szCs w:val="24"/>
        </w:rPr>
        <w:t>Localizado na extremidade sudoeste da península Árabe. Tido como um dos “berços da civilização”, o Iêmen também é lar de uma série de construções antigas, das quais muitas são patrimônios mundiais da UNESCO. A maioria da população segue o islamismo. No Iêmen, as mulheres são proibidas de conversar com estrangeiros, não podem mostrar o rosto ou o corpo e andando sempre cobertas por uma burca preta (FRANCISCO, F; JUNIOR, O, 2008).</w:t>
      </w:r>
    </w:p>
    <w:p w:rsidR="00D24E61" w:rsidRPr="00771368" w:rsidRDefault="00D24E61">
      <w:pPr>
        <w:spacing w:line="132" w:lineRule="exact"/>
        <w:rPr>
          <w:sz w:val="20"/>
          <w:szCs w:val="20"/>
        </w:rPr>
      </w:pPr>
    </w:p>
    <w:p w:rsidR="00D24E61" w:rsidRPr="00771368" w:rsidRDefault="00D24E61">
      <w:pPr>
        <w:spacing w:line="244" w:lineRule="auto"/>
        <w:ind w:firstLine="708"/>
        <w:jc w:val="both"/>
        <w:rPr>
          <w:sz w:val="20"/>
          <w:szCs w:val="20"/>
        </w:rPr>
      </w:pPr>
      <w:r w:rsidRPr="00771368">
        <w:rPr>
          <w:rFonts w:eastAsia="Times"/>
          <w:sz w:val="24"/>
          <w:szCs w:val="24"/>
        </w:rPr>
        <w:t>Antes das revelações recebidas por Maomé no século VII, era hábito no Oriente Médio entre os religiosos enterrar as suas filhas vivas. Isso, entre outras práticas exploratórias, tornava a mulher um ser submisso ao homem, tratada como ser de segunda espécie. Durante e após a revelação do Alcorão, estes hábitos foram abolidos, tendo em vista de que a condição da mulher na sociedade do Oriente Médio foi revista, colocando-a como ser de igual nível ao homem, digna, respeitável, a ser protegida pelo homem. Já no século VII, com a revelação do Alcorão, a mulher possuía direitos: a individualidade, educação e instrução, liberdade de expressão, direito de contratar, direito de herança, direito ao divórcio, entre outros, mas a prática destes foram conquistados no Oriente apenas no século XX. Na maioria dos países muçulmanos, as</w:t>
      </w:r>
    </w:p>
    <w:p w:rsidR="00D24E61" w:rsidRPr="00771368" w:rsidRDefault="00D24E61">
      <w:pPr>
        <w:spacing w:line="213" w:lineRule="auto"/>
        <w:jc w:val="both"/>
        <w:rPr>
          <w:sz w:val="20"/>
          <w:szCs w:val="20"/>
        </w:rPr>
      </w:pPr>
      <w:r w:rsidRPr="00771368">
        <w:rPr>
          <w:rFonts w:eastAsia="Times"/>
          <w:sz w:val="24"/>
          <w:szCs w:val="24"/>
        </w:rPr>
        <w:t>mulheres têm um estatuto legal diferente ao dos homens. Na Arábia, por exemplo, não estão autorizadas a conduzir automóveis (WIKIPÉDIA, 2013, on-line).</w:t>
      </w:r>
    </w:p>
    <w:p w:rsidR="00D24E61" w:rsidRPr="00771368" w:rsidRDefault="00D24E61">
      <w:pPr>
        <w:spacing w:line="126" w:lineRule="exact"/>
        <w:rPr>
          <w:sz w:val="20"/>
          <w:szCs w:val="20"/>
        </w:rPr>
      </w:pPr>
    </w:p>
    <w:p w:rsidR="00D24E61" w:rsidRPr="00771368" w:rsidRDefault="00D24E61">
      <w:pPr>
        <w:spacing w:line="232" w:lineRule="auto"/>
        <w:ind w:firstLine="708"/>
        <w:jc w:val="both"/>
        <w:rPr>
          <w:sz w:val="20"/>
          <w:szCs w:val="20"/>
        </w:rPr>
      </w:pPr>
      <w:r w:rsidRPr="00771368">
        <w:rPr>
          <w:rFonts w:eastAsia="Times"/>
          <w:sz w:val="24"/>
          <w:szCs w:val="24"/>
        </w:rPr>
        <w:t>A exclusão feminina não está presente nas fundações do islamismo, mas apenas no edifício que se erigiu sobre elas. O Alcorão, livro sagrado dos muçulmanos, contém versículos dedicados a deixar claro que, aos olhos de Alá, homens e mulheres são iguais (EDITORA ABRIL, 2013).</w:t>
      </w:r>
    </w:p>
    <w:p w:rsidR="00D24E61" w:rsidRPr="00771368" w:rsidRDefault="00D24E61">
      <w:pPr>
        <w:spacing w:line="128"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Mas a realidade é outra elas vivem em regime de submissão absoluta, em alguns lugares as meninas são proibidas de ir à escola e condenadas ao analfabetismo. Mulheres são impedidas de trabalhar e andar pelas ruas sozinhas.</w:t>
      </w:r>
    </w:p>
    <w:p w:rsidR="00D24E61" w:rsidRPr="00771368" w:rsidRDefault="00D24E61">
      <w:pPr>
        <w:spacing w:line="34" w:lineRule="exact"/>
        <w:rPr>
          <w:sz w:val="20"/>
          <w:szCs w:val="20"/>
        </w:rPr>
      </w:pPr>
    </w:p>
    <w:p w:rsidR="00D24E61" w:rsidRPr="00771368" w:rsidRDefault="00D24E61">
      <w:pPr>
        <w:ind w:left="700"/>
        <w:rPr>
          <w:sz w:val="20"/>
          <w:szCs w:val="20"/>
        </w:rPr>
      </w:pPr>
      <w:r w:rsidRPr="00771368">
        <w:rPr>
          <w:rFonts w:eastAsia="Times"/>
        </w:rPr>
        <w:t>Em entrevista Nujood, menina divorciada de 10 anos, relata como era sua vida no</w:t>
      </w:r>
    </w:p>
    <w:p w:rsidR="00D24E61" w:rsidRPr="00771368" w:rsidRDefault="00D24E61">
      <w:pPr>
        <w:spacing w:line="115" w:lineRule="exact"/>
        <w:rPr>
          <w:sz w:val="20"/>
          <w:szCs w:val="20"/>
        </w:rPr>
      </w:pPr>
    </w:p>
    <w:p w:rsidR="00D24E61" w:rsidRPr="00771368" w:rsidRDefault="00D24E61">
      <w:pPr>
        <w:spacing w:line="245" w:lineRule="auto"/>
        <w:jc w:val="both"/>
        <w:rPr>
          <w:sz w:val="20"/>
          <w:szCs w:val="20"/>
        </w:rPr>
      </w:pPr>
      <w:r w:rsidRPr="00771368">
        <w:rPr>
          <w:rFonts w:eastAsia="Times"/>
          <w:sz w:val="24"/>
          <w:szCs w:val="24"/>
        </w:rPr>
        <w:t>Iêmen “</w:t>
      </w:r>
      <w:r w:rsidRPr="00771368">
        <w:rPr>
          <w:rFonts w:eastAsia="Times"/>
          <w:i/>
          <w:iCs/>
          <w:sz w:val="24"/>
          <w:szCs w:val="24"/>
        </w:rPr>
        <w:t>Onde nasci às mulheres não são ensinadas a fazer escolhas</w:t>
      </w:r>
      <w:r w:rsidRPr="00771368">
        <w:rPr>
          <w:rFonts w:eastAsia="Times"/>
          <w:sz w:val="24"/>
          <w:szCs w:val="24"/>
        </w:rPr>
        <w:t xml:space="preserve">” (ALI, 2013, on-line). Ainda segundo Nujood os pais acreditam que casando suas filhas cedo é uma forma de protegê-las, assim não serão violadas, outro motivo é a pobreza que as famílias enfrentarem, casando cedo será uma boca a menos para alimentar. Muitas das crianças que nascem nas aldeias iemenitas não têm certidão de nascimento, o que dificulta o divórcio. O casamento é feito por meio de um contrato aprovado pelos homens da família, de acordo com a tradição do país. Um valor de dote é fixado e o contrato é assinado. A partir de então a mulher é obrigada a se cobrir com uma burca para não denegrir a honra de seu marido. No Iêmen ninguém se surpreende com a pouca idade das meninas, os casamentos com crianças não são raros no interior do país, é uma tradição antiga. Na região existe um provérbio que diz: “Se queres um casamento feliz, casa com uma rapariga de nove anos”. </w:t>
      </w:r>
      <w:r w:rsidRPr="00771368">
        <w:rPr>
          <w:rFonts w:eastAsia="Times"/>
          <w:sz w:val="19"/>
          <w:szCs w:val="19"/>
        </w:rPr>
        <w:t>(ALI, 2013, on-line)</w:t>
      </w:r>
    </w:p>
    <w:p w:rsidR="00D24E61" w:rsidRPr="00771368" w:rsidRDefault="00D24E61">
      <w:pPr>
        <w:spacing w:line="126" w:lineRule="exact"/>
        <w:rPr>
          <w:sz w:val="20"/>
          <w:szCs w:val="20"/>
        </w:rPr>
      </w:pPr>
    </w:p>
    <w:p w:rsidR="00D24E61" w:rsidRPr="00771368" w:rsidRDefault="00D24E61">
      <w:pPr>
        <w:spacing w:line="242" w:lineRule="auto"/>
        <w:ind w:firstLine="708"/>
        <w:jc w:val="both"/>
        <w:rPr>
          <w:sz w:val="20"/>
          <w:szCs w:val="20"/>
        </w:rPr>
      </w:pPr>
      <w:r w:rsidRPr="00771368">
        <w:rPr>
          <w:rFonts w:eastAsia="Times"/>
          <w:sz w:val="20"/>
          <w:szCs w:val="20"/>
        </w:rPr>
        <w:t>E</w:t>
      </w:r>
      <w:r w:rsidRPr="00771368">
        <w:rPr>
          <w:rFonts w:eastAsia="Times"/>
          <w:sz w:val="23"/>
          <w:szCs w:val="23"/>
        </w:rPr>
        <w:t>m abril de 2009, o parlamento Iemenita aprovou uma lei que aumenta a idade</w:t>
      </w:r>
      <w:r w:rsidRPr="00771368">
        <w:rPr>
          <w:rFonts w:eastAsia="Times"/>
          <w:sz w:val="20"/>
          <w:szCs w:val="20"/>
        </w:rPr>
        <w:t xml:space="preserve"> </w:t>
      </w:r>
      <w:r w:rsidRPr="00771368">
        <w:rPr>
          <w:rFonts w:eastAsia="Times"/>
          <w:sz w:val="23"/>
          <w:szCs w:val="23"/>
        </w:rPr>
        <w:t>de consentimento para os 17 anos, mas a lei foi revogada no dia a seguir por pressão dos partidos conservadores. A alteração da idade legal de consentimento está ainda em discussão.</w:t>
      </w:r>
    </w:p>
    <w:p w:rsidR="00D24E61" w:rsidRPr="00771368" w:rsidRDefault="00D24E61">
      <w:pPr>
        <w:spacing w:line="128" w:lineRule="exact"/>
        <w:rPr>
          <w:sz w:val="20"/>
          <w:szCs w:val="20"/>
        </w:rPr>
      </w:pPr>
    </w:p>
    <w:p w:rsidR="00D24E61" w:rsidRPr="00771368" w:rsidRDefault="00D24E61">
      <w:pPr>
        <w:spacing w:line="232" w:lineRule="auto"/>
        <w:ind w:firstLine="708"/>
        <w:jc w:val="both"/>
        <w:rPr>
          <w:sz w:val="20"/>
          <w:szCs w:val="20"/>
        </w:rPr>
      </w:pPr>
      <w:r w:rsidRPr="00771368">
        <w:rPr>
          <w:rFonts w:eastAsia="Times"/>
          <w:sz w:val="24"/>
          <w:szCs w:val="24"/>
        </w:rPr>
        <w:t>Um relatório da organização de direitos humanos Human Rights Watch, divulgado em dezembro de 2011, afirma que o casamento infantil prejudica o acesso das mulheres iemenitas á educação, representa riscos à sua saúde, as mantêm como “cidadãs de segunda classe” e potencializa suas chances de sofrer violência.</w:t>
      </w:r>
    </w:p>
    <w:p w:rsidR="00D24E61" w:rsidRPr="00771368" w:rsidRDefault="00D24E61">
      <w:pPr>
        <w:spacing w:line="128"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A pesquisa, realizada entre agosto e setembro de 2010 por Nadya Khalife, especialista da Human Rights Watch para Oriente Médio e Norte da África, afirma que o fato de lei iemenita não prever um limite mínimo de idade para o casamento faz com</w:t>
      </w:r>
    </w:p>
    <w:p w:rsidR="00D24E61" w:rsidRPr="00771368" w:rsidRDefault="00D24E61">
      <w:pPr>
        <w:spacing w:line="213" w:lineRule="auto"/>
        <w:jc w:val="both"/>
        <w:rPr>
          <w:sz w:val="20"/>
          <w:szCs w:val="20"/>
        </w:rPr>
      </w:pPr>
      <w:r w:rsidRPr="00771368">
        <w:rPr>
          <w:rFonts w:eastAsia="Times"/>
          <w:sz w:val="24"/>
          <w:szCs w:val="24"/>
        </w:rPr>
        <w:t>que a prática seja extremamente comum mesmo entre meninas que nem chegaram à puberdade.</w:t>
      </w:r>
    </w:p>
    <w:p w:rsidR="00D24E61" w:rsidRPr="00771368" w:rsidRDefault="00D24E61">
      <w:pPr>
        <w:spacing w:line="126"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Dados do governo do Iêmen e da Organização das Nações Unidas divulgados em 2006 indicam que cerca de 14% das mulheres do país se casam antes dos 15 anos e 52 % antes dos 18 (PÉCORA, 2011, on-line)</w:t>
      </w:r>
      <w:r w:rsidRPr="00771368">
        <w:rPr>
          <w:rFonts w:eastAsia="Times"/>
          <w:color w:val="0070C1"/>
          <w:sz w:val="24"/>
          <w:szCs w:val="24"/>
        </w:rPr>
        <w:t>.</w:t>
      </w:r>
    </w:p>
    <w:p w:rsidR="00D24E61" w:rsidRPr="00771368" w:rsidRDefault="00D24E61">
      <w:pPr>
        <w:spacing w:line="131" w:lineRule="exact"/>
        <w:rPr>
          <w:sz w:val="20"/>
          <w:szCs w:val="20"/>
        </w:rPr>
      </w:pPr>
    </w:p>
    <w:p w:rsidR="00D24E61" w:rsidRPr="00771368" w:rsidRDefault="00D24E61">
      <w:pPr>
        <w:spacing w:line="232" w:lineRule="auto"/>
        <w:ind w:firstLine="763"/>
        <w:jc w:val="both"/>
        <w:rPr>
          <w:sz w:val="20"/>
          <w:szCs w:val="20"/>
        </w:rPr>
      </w:pPr>
      <w:r w:rsidRPr="00771368">
        <w:rPr>
          <w:rFonts w:eastAsia="Times"/>
          <w:sz w:val="24"/>
          <w:szCs w:val="24"/>
        </w:rPr>
        <w:t>Nos relatos ouvidos pela pesquisadora Nadya Kahalife (2010), as historias se repetem: jovens forçadas pelas famílias a se casar, para logo depois engravidar e deixar os estudos. Algumas também relatam terem sido estupradas pelo marido ao se negarem a manter relações sexuais.</w:t>
      </w:r>
    </w:p>
    <w:p w:rsidR="00D24E61" w:rsidRPr="00771368" w:rsidRDefault="00D24E61">
      <w:pPr>
        <w:spacing w:line="128" w:lineRule="exact"/>
        <w:rPr>
          <w:sz w:val="20"/>
          <w:szCs w:val="20"/>
        </w:rPr>
      </w:pPr>
    </w:p>
    <w:p w:rsidR="00D24E61" w:rsidRPr="00771368" w:rsidRDefault="00D24E61">
      <w:pPr>
        <w:spacing w:line="236" w:lineRule="auto"/>
        <w:ind w:firstLine="708"/>
        <w:jc w:val="both"/>
        <w:rPr>
          <w:sz w:val="20"/>
          <w:szCs w:val="20"/>
        </w:rPr>
      </w:pPr>
      <w:r w:rsidRPr="00771368">
        <w:rPr>
          <w:rFonts w:eastAsia="Times"/>
          <w:sz w:val="24"/>
          <w:szCs w:val="24"/>
        </w:rPr>
        <w:t>Um estudo feito pelo governo em 2003 mostra que 59 % das mulheres que vivem em áreas rurais e 71% das que vivem em regiões urbanas dizem ter sido agredidas fisicamente por seus maridos. Outro levantamento indica que 74% das mulheres que morrem no parto se casam antes dos 20 anos e muitas vezes morrem porque seus corpos ainda não estão totalmente preparados para a gravidez.</w:t>
      </w:r>
    </w:p>
    <w:p w:rsidR="00D24E61" w:rsidRPr="00771368" w:rsidRDefault="00D24E61">
      <w:pPr>
        <w:spacing w:line="125"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Para a Human Rights Watch, o Iêmen deve estabelecer 18 anos como idade mínima para o casamento, na tentativa de melhorar as oportunidades das mulheres e proteger os direitos humanos (PÉCORA, 2011, on-line).</w:t>
      </w:r>
    </w:p>
    <w:p w:rsidR="00D24E61" w:rsidRPr="00771368" w:rsidRDefault="00D24E61">
      <w:pPr>
        <w:spacing w:line="131"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Um caso recente no Iêmen que provocou espanto em todo mundo, e esta sendo publicado em todos os jornais brasileiro, é o casamento de menina iemenita de oito anos:</w:t>
      </w:r>
    </w:p>
    <w:p w:rsidR="00D24E61" w:rsidRPr="00771368" w:rsidRDefault="00D24E61">
      <w:pPr>
        <w:spacing w:line="129" w:lineRule="exact"/>
        <w:rPr>
          <w:sz w:val="20"/>
          <w:szCs w:val="20"/>
        </w:rPr>
      </w:pPr>
    </w:p>
    <w:p w:rsidR="00D24E61" w:rsidRPr="00771368" w:rsidRDefault="00D24E61">
      <w:pPr>
        <w:spacing w:line="245" w:lineRule="auto"/>
        <w:ind w:firstLine="708"/>
        <w:jc w:val="both"/>
        <w:rPr>
          <w:sz w:val="20"/>
          <w:szCs w:val="20"/>
        </w:rPr>
      </w:pPr>
      <w:r w:rsidRPr="00771368">
        <w:rPr>
          <w:rFonts w:eastAsia="Times"/>
          <w:sz w:val="24"/>
          <w:szCs w:val="24"/>
        </w:rPr>
        <w:t xml:space="preserve">Uma criança de oito anos morreu no sábado (07/09/2013) no Iêmen após a lua de mel com o marido de 40 anos, informaram na segunda-feira (09/09/2013) as </w:t>
      </w:r>
      <w:r w:rsidRPr="00771368">
        <w:rPr>
          <w:rFonts w:eastAsia="Times"/>
          <w:i/>
          <w:iCs/>
          <w:sz w:val="24"/>
          <w:szCs w:val="24"/>
        </w:rPr>
        <w:t>agências dpa e AFP</w:t>
      </w:r>
      <w:r w:rsidRPr="00771368">
        <w:rPr>
          <w:rFonts w:eastAsia="Times"/>
          <w:sz w:val="24"/>
          <w:szCs w:val="24"/>
        </w:rPr>
        <w:t>. Segundo os médicos, a menina morreu com ferimentos internos no</w:t>
      </w:r>
      <w:r w:rsidRPr="00771368">
        <w:rPr>
          <w:rFonts w:eastAsia="Times"/>
          <w:i/>
          <w:iCs/>
          <w:sz w:val="24"/>
          <w:szCs w:val="24"/>
        </w:rPr>
        <w:t xml:space="preserve"> </w:t>
      </w:r>
      <w:r w:rsidRPr="00771368">
        <w:rPr>
          <w:rFonts w:eastAsia="Times"/>
          <w:sz w:val="24"/>
          <w:szCs w:val="24"/>
        </w:rPr>
        <w:t xml:space="preserve">útero. A jovem, chamada Rawan, foi vendida pelo padrasto para um saudita por cerca de R$ 6 mil, segundo o jornal alemão </w:t>
      </w:r>
      <w:r w:rsidRPr="00771368">
        <w:rPr>
          <w:rFonts w:eastAsia="Times"/>
          <w:i/>
          <w:iCs/>
          <w:sz w:val="24"/>
          <w:szCs w:val="24"/>
        </w:rPr>
        <w:t>Der Tagesspiegel</w:t>
      </w:r>
      <w:r w:rsidRPr="00771368">
        <w:rPr>
          <w:rFonts w:eastAsia="Times"/>
          <w:sz w:val="24"/>
          <w:szCs w:val="24"/>
        </w:rPr>
        <w:t>. A morte aconteceu na área tribal de Hardh, na fronteira com a Arábia Saudita. Ativistas de direitos humanos pressionam para que o saudita e a família da menina sejam responsabilizados pela morte. “Após este caso horrível, repetimos nossa exigência para uma lei que restrinja o casamento para maiores de 18 anos”, afirmou um membro do Centro Iemenita de Direitos Humanos para a dpa. Em 2010, outra garota de 13 anos já havia morrido com sangramentos internos cinco dias após o casamento (forçado), de acordo com outra organização de direitos humanos que atua na região. Há quatro anos, uma lei tentou colocar a idade mínima de 17 anos para o casamento. No entanto, ela foi rejeitada por</w:t>
      </w:r>
    </w:p>
    <w:p w:rsidR="00D24E61" w:rsidRPr="00771368" w:rsidRDefault="00D24E61">
      <w:pPr>
        <w:spacing w:line="213" w:lineRule="auto"/>
        <w:jc w:val="both"/>
        <w:rPr>
          <w:sz w:val="20"/>
          <w:szCs w:val="20"/>
        </w:rPr>
      </w:pPr>
      <w:r w:rsidRPr="00771368">
        <w:rPr>
          <w:rFonts w:eastAsia="Times"/>
          <w:sz w:val="24"/>
          <w:szCs w:val="24"/>
        </w:rPr>
        <w:t>parlamentares conservadores, que a classificaram de “não islâmica” (CANDEU, 2013, on-line).</w:t>
      </w:r>
    </w:p>
    <w:p w:rsidR="00D24E61" w:rsidRPr="00771368" w:rsidRDefault="00D24E61">
      <w:pPr>
        <w:spacing w:line="201" w:lineRule="exact"/>
        <w:rPr>
          <w:sz w:val="20"/>
          <w:szCs w:val="20"/>
        </w:rPr>
      </w:pPr>
    </w:p>
    <w:p w:rsidR="00D24E61" w:rsidRPr="00771368" w:rsidRDefault="00D24E61">
      <w:pPr>
        <w:spacing w:line="213" w:lineRule="auto"/>
        <w:ind w:firstLine="708"/>
        <w:jc w:val="both"/>
        <w:rPr>
          <w:sz w:val="20"/>
          <w:szCs w:val="20"/>
        </w:rPr>
      </w:pPr>
      <w:r w:rsidRPr="00771368">
        <w:rPr>
          <w:rFonts w:eastAsia="Times"/>
          <w:sz w:val="24"/>
          <w:szCs w:val="24"/>
        </w:rPr>
        <w:t>Os inúmeros atos de violência contra a mulher tem se justificado na disseminação da cultura patriarcal, herança da cultura árabe.</w:t>
      </w:r>
    </w:p>
    <w:p w:rsidR="00D24E61" w:rsidRPr="00771368" w:rsidRDefault="00D24E61">
      <w:pPr>
        <w:spacing w:line="203" w:lineRule="exact"/>
        <w:rPr>
          <w:sz w:val="20"/>
          <w:szCs w:val="20"/>
        </w:rPr>
      </w:pPr>
    </w:p>
    <w:p w:rsidR="00D24E61" w:rsidRPr="00771368" w:rsidRDefault="00D24E61">
      <w:pPr>
        <w:spacing w:line="236" w:lineRule="auto"/>
        <w:ind w:firstLine="708"/>
        <w:jc w:val="both"/>
        <w:rPr>
          <w:sz w:val="20"/>
          <w:szCs w:val="20"/>
        </w:rPr>
      </w:pPr>
      <w:r w:rsidRPr="00771368">
        <w:rPr>
          <w:rFonts w:eastAsia="Times"/>
          <w:sz w:val="24"/>
          <w:szCs w:val="24"/>
        </w:rPr>
        <w:t>Os primeiros traços culturais árabes no Brasil chegaram com os portugueses, resultado da influência que observaram em quase oito séculos de dominação árabe na península Ibérica. Junto com os colonizadores, no século XVI, desembarcaram heranças da língua, da música, da culinária entre outras (TRUZZI, 2011, on-line) Consideravelmente junto trouxeram o modelo de família patriarcal.</w:t>
      </w:r>
    </w:p>
    <w:p w:rsidR="00D24E61" w:rsidRPr="00771368" w:rsidRDefault="00D24E61">
      <w:pPr>
        <w:spacing w:line="201" w:lineRule="exact"/>
        <w:rPr>
          <w:sz w:val="20"/>
          <w:szCs w:val="20"/>
        </w:rPr>
      </w:pPr>
    </w:p>
    <w:p w:rsidR="00D24E61" w:rsidRPr="00771368" w:rsidRDefault="00D24E61">
      <w:pPr>
        <w:spacing w:line="234" w:lineRule="auto"/>
        <w:ind w:left="2120" w:firstLine="53"/>
        <w:jc w:val="both"/>
        <w:rPr>
          <w:sz w:val="20"/>
          <w:szCs w:val="20"/>
        </w:rPr>
      </w:pPr>
      <w:r w:rsidRPr="00771368">
        <w:rPr>
          <w:rFonts w:eastAsia="Times"/>
          <w:sz w:val="18"/>
          <w:szCs w:val="18"/>
        </w:rPr>
        <w:t>A cultura patriarcal tem uma dimensão particularmente perversa: a de criar a ideia na opinião pública que as mulheres são oprimidas e, como tal, vítimas indefesas e silenciosas. Este estereótipo torna possível ignorar ou desvalorizar as lutas de resistência e a capacidade de inovação política das mulheres (SANTOS, 2011, on-line)</w:t>
      </w:r>
    </w:p>
    <w:p w:rsidR="00D24E61" w:rsidRPr="00771368" w:rsidRDefault="00D24E61">
      <w:pPr>
        <w:spacing w:line="373" w:lineRule="exact"/>
        <w:rPr>
          <w:sz w:val="20"/>
          <w:szCs w:val="20"/>
        </w:rPr>
      </w:pPr>
    </w:p>
    <w:p w:rsidR="00D24E61" w:rsidRPr="00771368" w:rsidRDefault="00D24E61">
      <w:pPr>
        <w:spacing w:line="221" w:lineRule="auto"/>
        <w:ind w:firstLine="708"/>
        <w:jc w:val="both"/>
        <w:rPr>
          <w:sz w:val="20"/>
          <w:szCs w:val="20"/>
        </w:rPr>
      </w:pPr>
      <w:r w:rsidRPr="00771368">
        <w:rPr>
          <w:rFonts w:eastAsia="Times"/>
          <w:sz w:val="23"/>
          <w:szCs w:val="23"/>
        </w:rPr>
        <w:t>As causas dos abusos e violência contra mulher são matérias de estudo de vários autores, que em seus estudos tentam justificar o comportamento do homem adulto.</w:t>
      </w:r>
    </w:p>
    <w:p w:rsidR="00D24E61" w:rsidRPr="00771368" w:rsidRDefault="00D24E61">
      <w:pPr>
        <w:spacing w:line="205" w:lineRule="exact"/>
        <w:rPr>
          <w:sz w:val="20"/>
          <w:szCs w:val="20"/>
        </w:rPr>
      </w:pPr>
    </w:p>
    <w:p w:rsidR="00D24E61" w:rsidRPr="00771368" w:rsidRDefault="00D24E61">
      <w:pPr>
        <w:spacing w:line="236" w:lineRule="auto"/>
        <w:ind w:firstLine="708"/>
        <w:jc w:val="both"/>
        <w:rPr>
          <w:sz w:val="20"/>
          <w:szCs w:val="20"/>
        </w:rPr>
      </w:pPr>
      <w:r w:rsidRPr="00771368">
        <w:rPr>
          <w:rFonts w:eastAsia="Times"/>
          <w:sz w:val="24"/>
          <w:szCs w:val="24"/>
        </w:rPr>
        <w:t>Como determinante do enfoque interpessoal da violência doméstica, destacam-se a cultura patriarcal e adultocêntrica, ou seja, o poder do homem adulto sobre a mulher e a criança. Entre os fatores interpessoais encontramos a questão do temperamento, do sexo, da condição biológica e cognitiva, para justificar as agressões do adulto. (AZEVEDO; GUERRA, 2000, p.35)</w:t>
      </w:r>
    </w:p>
    <w:p w:rsidR="00D24E61" w:rsidRPr="00771368" w:rsidRDefault="00D24E61">
      <w:pPr>
        <w:spacing w:line="202" w:lineRule="exact"/>
        <w:rPr>
          <w:sz w:val="20"/>
          <w:szCs w:val="20"/>
        </w:rPr>
      </w:pPr>
    </w:p>
    <w:p w:rsidR="00D24E61" w:rsidRPr="00771368" w:rsidRDefault="00D24E61">
      <w:pPr>
        <w:spacing w:line="232" w:lineRule="auto"/>
        <w:ind w:firstLine="708"/>
        <w:jc w:val="both"/>
        <w:rPr>
          <w:sz w:val="20"/>
          <w:szCs w:val="20"/>
        </w:rPr>
      </w:pPr>
      <w:r w:rsidRPr="00771368">
        <w:rPr>
          <w:rFonts w:eastAsia="Times"/>
          <w:sz w:val="24"/>
          <w:szCs w:val="24"/>
        </w:rPr>
        <w:t>O abuso sexual, por exemplo, é um fenômeno complexo e suas causas são multifatoriais, ou seja, é preciso estudar os diversos fatores que desencadeiam essa violência e como eles se combinam em certos indivíduos, grupos sociais, culturas e em certos momentos históricos (SANTOS; IPPOLITO, 2004).</w:t>
      </w:r>
    </w:p>
    <w:p w:rsidR="00D24E61" w:rsidRPr="00771368" w:rsidRDefault="00D24E61">
      <w:pPr>
        <w:spacing w:line="202" w:lineRule="exact"/>
        <w:rPr>
          <w:sz w:val="20"/>
          <w:szCs w:val="20"/>
        </w:rPr>
      </w:pPr>
    </w:p>
    <w:p w:rsidR="00D24E61" w:rsidRPr="00771368" w:rsidRDefault="00D24E61">
      <w:pPr>
        <w:spacing w:line="243" w:lineRule="auto"/>
        <w:ind w:firstLine="708"/>
        <w:jc w:val="both"/>
        <w:rPr>
          <w:sz w:val="20"/>
          <w:szCs w:val="20"/>
        </w:rPr>
      </w:pPr>
      <w:r w:rsidRPr="00771368">
        <w:rPr>
          <w:rFonts w:eastAsia="Times"/>
          <w:sz w:val="24"/>
          <w:szCs w:val="24"/>
        </w:rPr>
        <w:t>Existem vários fatores que desencadeiam diversos tipos de características de agressor, como por exemplo, os pedófilos e os que praticam incesto, esses possuem similaridades em seus comportamentos, muitos desses indivíduos sofreram violência sexual quando crianças. Para esses indivíduos a relação de poder e dominação é um forte motor, mesmo que utilizem a sexualidade da criança muito mais como uma gratificação compensatória de sentimentos de impotência e baixa estima do que gratificação sexual. O desvirginamento de uma mulher é “prato” altamente cobiçado e sua conquista é generosamente celebrada no mundo da auto-afirmação da masculinidade.</w:t>
      </w:r>
    </w:p>
    <w:p w:rsidR="00D24E61" w:rsidRPr="00771368" w:rsidRDefault="00D24E61">
      <w:pPr>
        <w:spacing w:line="243" w:lineRule="auto"/>
        <w:ind w:firstLine="708"/>
        <w:jc w:val="both"/>
        <w:rPr>
          <w:sz w:val="20"/>
          <w:szCs w:val="20"/>
        </w:rPr>
      </w:pPr>
      <w:r w:rsidRPr="00771368">
        <w:rPr>
          <w:rFonts w:eastAsia="Times"/>
          <w:sz w:val="24"/>
          <w:szCs w:val="24"/>
        </w:rPr>
        <w:t>Uma das formas de abuso sexual contra mulheres adolescentes é o casamento precoce. Há determinadas regiões do oeste e leste da África e Sul da Ásia onde é muito comum o casamento de crianças pré-púberes. O casamento de adolescentes entre dezesseis e dezoito anos é também comum em algumas regiões da América Latina e Europa Oriental. Alguns são obrigados a essa união, outros são demasiado jovens para tomar uma decisão. Em várias partes do mundo, se conhecem casos em que pais, premidos pela pobreza, são persuadidos a entregar suas filhas sob a promessa de falsos matrimônios, usados para enganar as meninas e introduzi-las na prostituição em outros países (SANTOS; IPPOLITO, 2004).</w:t>
      </w:r>
    </w:p>
    <w:p w:rsidR="00D24E61" w:rsidRPr="00771368" w:rsidRDefault="00D24E61">
      <w:pPr>
        <w:spacing w:line="236" w:lineRule="auto"/>
        <w:ind w:firstLine="708"/>
        <w:jc w:val="both"/>
        <w:rPr>
          <w:sz w:val="20"/>
          <w:szCs w:val="20"/>
        </w:rPr>
      </w:pPr>
      <w:r w:rsidRPr="00771368">
        <w:rPr>
          <w:rFonts w:eastAsia="Times"/>
          <w:sz w:val="24"/>
          <w:szCs w:val="24"/>
        </w:rPr>
        <w:t>Os dados do governo demonstram que o número de adolescentes entre 10 e 19 anos que se tornam mães no Brasil vem aumentando nos últimos quatro anos. Só no ano passado, elas responderam por cerca de 31% do total de partos realizados nos hospitais do SUS. Cerca de 300 mil mulheres nessa faixa de idade foram submetidas à curetagem pós-aborto.</w:t>
      </w:r>
    </w:p>
    <w:p w:rsidR="00D24E61" w:rsidRPr="00771368" w:rsidRDefault="00D24E61">
      <w:pPr>
        <w:spacing w:line="125" w:lineRule="exact"/>
        <w:rPr>
          <w:sz w:val="20"/>
          <w:szCs w:val="20"/>
        </w:rPr>
      </w:pPr>
    </w:p>
    <w:p w:rsidR="00D24E61" w:rsidRPr="00771368" w:rsidRDefault="00D24E61">
      <w:pPr>
        <w:spacing w:line="236" w:lineRule="auto"/>
        <w:ind w:firstLine="768"/>
        <w:jc w:val="both"/>
        <w:rPr>
          <w:sz w:val="20"/>
          <w:szCs w:val="20"/>
        </w:rPr>
      </w:pPr>
      <w:r w:rsidRPr="00771368">
        <w:rPr>
          <w:rFonts w:eastAsia="Times"/>
          <w:sz w:val="24"/>
          <w:szCs w:val="24"/>
        </w:rPr>
        <w:t>Dados do Instituto Brasileiro de Geografia e Estatística (IBGE) indicam que o número de adolescentes grávidas também está crescendo no país. Entre 2011 e 2012, o total de filhos gerados quando as mães tinham entre 15 e 19 anos quase dobrou: de 4.500 para 8.300. Ainda segundo o IBGE, nessa faixa de idade 18% das mulheres já engravidaram ao menos uma vez.</w:t>
      </w:r>
    </w:p>
    <w:p w:rsidR="00D24E61" w:rsidRPr="00771368" w:rsidRDefault="00D24E61">
      <w:pPr>
        <w:spacing w:line="128" w:lineRule="exact"/>
        <w:rPr>
          <w:sz w:val="20"/>
          <w:szCs w:val="20"/>
        </w:rPr>
      </w:pPr>
    </w:p>
    <w:p w:rsidR="00D24E61" w:rsidRPr="00771368" w:rsidRDefault="00D24E61">
      <w:pPr>
        <w:spacing w:line="232" w:lineRule="auto"/>
        <w:ind w:firstLine="708"/>
        <w:jc w:val="both"/>
        <w:rPr>
          <w:sz w:val="20"/>
          <w:szCs w:val="20"/>
        </w:rPr>
      </w:pPr>
      <w:r w:rsidRPr="00771368">
        <w:rPr>
          <w:rFonts w:eastAsia="Times"/>
          <w:sz w:val="24"/>
          <w:szCs w:val="24"/>
        </w:rPr>
        <w:t>A cada dia no Brasil e no mundo aumentam o número de jovens que tem a sua vida interrompida por uma gravidez não planejada. Um estudo recente comprovou que existe um grande número de mulheres adultas com dificuldade de engravidar enquanto meninas sem nenhum preparo engravidam.</w:t>
      </w:r>
    </w:p>
    <w:p w:rsidR="00D24E61" w:rsidRPr="00771368" w:rsidRDefault="00D24E61">
      <w:pPr>
        <w:spacing w:line="128" w:lineRule="exact"/>
        <w:rPr>
          <w:sz w:val="20"/>
          <w:szCs w:val="20"/>
        </w:rPr>
      </w:pPr>
    </w:p>
    <w:p w:rsidR="00D24E61" w:rsidRPr="00771368" w:rsidRDefault="00D24E61">
      <w:pPr>
        <w:spacing w:line="235" w:lineRule="auto"/>
        <w:ind w:firstLine="708"/>
        <w:jc w:val="both"/>
        <w:rPr>
          <w:sz w:val="20"/>
          <w:szCs w:val="20"/>
        </w:rPr>
      </w:pPr>
      <w:r w:rsidRPr="00771368">
        <w:rPr>
          <w:rFonts w:eastAsia="Times"/>
          <w:sz w:val="23"/>
          <w:szCs w:val="23"/>
        </w:rPr>
        <w:t>Só no Brasil são cerca de 700 mil meninas sendo mães todos os anos e desse total pelo menos 2% tem entre 10 e 14 anos, sendo que elas não têm nenhuma preparação psicológica e nem financeira para poder dar um bom futuro a essas crianças.</w:t>
      </w:r>
    </w:p>
    <w:p w:rsidR="00D24E61" w:rsidRPr="00771368" w:rsidRDefault="00D24E61">
      <w:pPr>
        <w:spacing w:line="128" w:lineRule="exact"/>
        <w:rPr>
          <w:sz w:val="20"/>
          <w:szCs w:val="20"/>
        </w:rPr>
      </w:pPr>
    </w:p>
    <w:p w:rsidR="00D24E61" w:rsidRPr="00771368" w:rsidRDefault="00D24E61">
      <w:pPr>
        <w:spacing w:line="232" w:lineRule="auto"/>
        <w:ind w:firstLine="708"/>
        <w:jc w:val="both"/>
        <w:rPr>
          <w:sz w:val="20"/>
          <w:szCs w:val="20"/>
        </w:rPr>
      </w:pPr>
      <w:r w:rsidRPr="00771368">
        <w:rPr>
          <w:rFonts w:eastAsia="Times"/>
          <w:sz w:val="24"/>
          <w:szCs w:val="24"/>
        </w:rPr>
        <w:t>Apesar de o aborto ser uma prática proibida no Brasil, mais da metade das adolescentes grávidas da classe média alta, fazem uso dessa prática, quando não podem ou não querem essa gestação, muitas vezes fazem isso com o apoio dos próprios pais que acham que não é a hora do filho assumir tal responsabilidade.</w:t>
      </w:r>
    </w:p>
    <w:p w:rsidR="00D24E61" w:rsidRPr="00771368" w:rsidRDefault="00D24E61">
      <w:pPr>
        <w:spacing w:line="128"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Já não causa tanto espanto sabermos que meninas de 10, 11, 12 anos tenham vida sexual ativa, assim como aparecem em consultórios portando alguma doença sexualmente transmissível (DSTs) e ou grávida (CARLOS, 2013, on-line).</w:t>
      </w:r>
    </w:p>
    <w:p w:rsidR="00D24E61" w:rsidRPr="00771368" w:rsidRDefault="00D24E61">
      <w:pPr>
        <w:sectPr w:rsidR="00D24E61" w:rsidRPr="00771368">
          <w:pgSz w:w="11900" w:h="16840"/>
          <w:pgMar w:top="1412" w:right="1700" w:bottom="1440" w:left="1700" w:header="0" w:footer="0" w:gutter="0"/>
          <w:cols w:space="720" w:equalWidth="0">
            <w:col w:w="8500"/>
          </w:cols>
        </w:sectPr>
      </w:pPr>
    </w:p>
    <w:p w:rsidR="00D24E61" w:rsidRPr="00771368" w:rsidRDefault="00D24E61">
      <w:pPr>
        <w:spacing w:line="243" w:lineRule="auto"/>
        <w:ind w:firstLine="708"/>
        <w:jc w:val="both"/>
        <w:rPr>
          <w:sz w:val="20"/>
          <w:szCs w:val="20"/>
        </w:rPr>
      </w:pPr>
      <w:r w:rsidRPr="00771368">
        <w:rPr>
          <w:rFonts w:eastAsia="Times"/>
          <w:sz w:val="23"/>
          <w:szCs w:val="23"/>
        </w:rPr>
        <w:t>O Ministério da Saúde divulgou no mês de setembro 2013 que a partir de março de 2014, a vacina contra o HPV será oferecida na rede pública brasileira, inicialmente, para meninas de 11 a 13 anos. E anunciou também que vai ampliar o grupo prioritário já em 2015, quando meninas de 9 e 10 anos também serão contempladas pela vacinação.</w:t>
      </w:r>
    </w:p>
    <w:p w:rsidR="00D24E61" w:rsidRPr="00771368" w:rsidRDefault="00D24E61">
      <w:pPr>
        <w:spacing w:line="122"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No próximo ano, o governo pretende distribuir 18 milhões de doses por todo o país. A vacinação deverá acontecer nos postos de saúde e nas escolas públicas e particulares.</w:t>
      </w:r>
    </w:p>
    <w:p w:rsidR="00D24E61" w:rsidRPr="00771368" w:rsidRDefault="00D24E61">
      <w:pPr>
        <w:spacing w:line="131" w:lineRule="exact"/>
        <w:rPr>
          <w:sz w:val="20"/>
          <w:szCs w:val="20"/>
        </w:rPr>
      </w:pPr>
    </w:p>
    <w:p w:rsidR="00D24E61" w:rsidRPr="00771368" w:rsidRDefault="00D24E61">
      <w:pPr>
        <w:spacing w:line="238" w:lineRule="auto"/>
        <w:jc w:val="both"/>
        <w:rPr>
          <w:sz w:val="20"/>
          <w:szCs w:val="20"/>
        </w:rPr>
      </w:pPr>
      <w:r w:rsidRPr="00771368">
        <w:rPr>
          <w:rFonts w:eastAsia="Times"/>
          <w:sz w:val="24"/>
          <w:szCs w:val="24"/>
        </w:rPr>
        <w:t>A idade mínima para tomar a primeira dose foi definida a partir de pesquisas sobre o início da vida sexual das adolescentes brasileiras. Atualmente, cerca de uma em cada cinco mulheres no oitavo ano do ensino fundamental (13 ou 14 anos) afirma já ter feito sexo, de acordo com dados do Ministério. As evidências científicas mostram que a vacina é mais eficaz quando introduzida antes do início da atividade sexual (BOURROUL, 2013, on-line).</w:t>
      </w:r>
    </w:p>
    <w:p w:rsidR="00D24E61" w:rsidRPr="00771368" w:rsidRDefault="00D24E61">
      <w:pPr>
        <w:spacing w:line="132"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Nunca foram tão divulgados os meios para evitar a gravidez como nos dias atuais, e mesmo assim, o número de adolescentes grávidas é cada vez maior. Existem vários fatores que contribuem com esse quadro:</w:t>
      </w:r>
    </w:p>
    <w:p w:rsidR="00D24E61" w:rsidRPr="00771368" w:rsidRDefault="00D24E61">
      <w:pPr>
        <w:spacing w:line="129" w:lineRule="exact"/>
        <w:rPr>
          <w:sz w:val="20"/>
          <w:szCs w:val="20"/>
        </w:rPr>
      </w:pPr>
    </w:p>
    <w:p w:rsidR="00D24E61" w:rsidRPr="00771368" w:rsidRDefault="00D24E61" w:rsidP="009D5D08">
      <w:pPr>
        <w:numPr>
          <w:ilvl w:val="0"/>
          <w:numId w:val="1"/>
        </w:numPr>
        <w:tabs>
          <w:tab w:val="left" w:pos="149"/>
        </w:tabs>
        <w:spacing w:line="213" w:lineRule="auto"/>
        <w:ind w:firstLine="2"/>
        <w:jc w:val="both"/>
        <w:rPr>
          <w:rFonts w:eastAsia="Times"/>
          <w:sz w:val="24"/>
          <w:szCs w:val="24"/>
        </w:rPr>
      </w:pPr>
      <w:r w:rsidRPr="00771368">
        <w:rPr>
          <w:rFonts w:eastAsia="Times"/>
          <w:sz w:val="24"/>
          <w:szCs w:val="24"/>
        </w:rPr>
        <w:t>A falta de um projeto de orientação sexual nas escolas, família, comunidade de bairro, igrejas.</w:t>
      </w:r>
    </w:p>
    <w:p w:rsidR="00D24E61" w:rsidRPr="00771368" w:rsidRDefault="00D24E61">
      <w:pPr>
        <w:spacing w:line="18" w:lineRule="exact"/>
        <w:rPr>
          <w:rFonts w:eastAsia="Times"/>
          <w:sz w:val="24"/>
          <w:szCs w:val="24"/>
        </w:rPr>
      </w:pPr>
    </w:p>
    <w:p w:rsidR="00D24E61" w:rsidRPr="00771368" w:rsidRDefault="00D24E61" w:rsidP="009D5D08">
      <w:pPr>
        <w:numPr>
          <w:ilvl w:val="0"/>
          <w:numId w:val="1"/>
        </w:numPr>
        <w:tabs>
          <w:tab w:val="left" w:pos="180"/>
        </w:tabs>
        <w:ind w:left="180" w:hanging="178"/>
        <w:jc w:val="both"/>
        <w:rPr>
          <w:rFonts w:eastAsia="Times"/>
          <w:sz w:val="24"/>
          <w:szCs w:val="24"/>
        </w:rPr>
      </w:pPr>
      <w:r w:rsidRPr="00771368">
        <w:rPr>
          <w:rFonts w:eastAsia="Times"/>
          <w:sz w:val="24"/>
          <w:szCs w:val="24"/>
        </w:rPr>
        <w:t>A mídia é outro vilão nessa questão, exagerando na erotização do corpo feminino.</w:t>
      </w:r>
    </w:p>
    <w:p w:rsidR="00D24E61" w:rsidRPr="00771368" w:rsidRDefault="00D24E61">
      <w:pPr>
        <w:spacing w:line="127" w:lineRule="exact"/>
        <w:rPr>
          <w:rFonts w:eastAsia="Times"/>
          <w:sz w:val="24"/>
          <w:szCs w:val="24"/>
        </w:rPr>
      </w:pPr>
    </w:p>
    <w:p w:rsidR="00D24E61" w:rsidRPr="00771368" w:rsidRDefault="00D24E61" w:rsidP="009D5D08">
      <w:pPr>
        <w:numPr>
          <w:ilvl w:val="0"/>
          <w:numId w:val="1"/>
        </w:numPr>
        <w:tabs>
          <w:tab w:val="left" w:pos="166"/>
        </w:tabs>
        <w:spacing w:line="212" w:lineRule="auto"/>
        <w:ind w:firstLine="2"/>
        <w:jc w:val="both"/>
        <w:rPr>
          <w:rFonts w:eastAsia="Times"/>
          <w:sz w:val="24"/>
          <w:szCs w:val="24"/>
        </w:rPr>
      </w:pPr>
      <w:r w:rsidRPr="00771368">
        <w:rPr>
          <w:rFonts w:eastAsia="Times"/>
          <w:sz w:val="24"/>
          <w:szCs w:val="24"/>
        </w:rPr>
        <w:t>Algumas pessoas que são vistas na passarela, revista, cinema e televisão são para os adolescentes verdadeiros ídolos, ídolos esses que passam uma imagem de liberação</w:t>
      </w:r>
    </w:p>
    <w:p w:rsidR="00D24E61" w:rsidRPr="00771368" w:rsidRDefault="00D24E61">
      <w:pPr>
        <w:spacing w:line="22" w:lineRule="exact"/>
        <w:rPr>
          <w:sz w:val="20"/>
          <w:szCs w:val="20"/>
        </w:rPr>
      </w:pPr>
    </w:p>
    <w:p w:rsidR="00D24E61" w:rsidRPr="00771368" w:rsidRDefault="00D24E61">
      <w:pPr>
        <w:tabs>
          <w:tab w:val="left" w:pos="860"/>
          <w:tab w:val="left" w:pos="1180"/>
          <w:tab w:val="left" w:pos="1500"/>
          <w:tab w:val="left" w:pos="2640"/>
          <w:tab w:val="left" w:pos="3060"/>
          <w:tab w:val="left" w:pos="3580"/>
          <w:tab w:val="left" w:pos="3980"/>
          <w:tab w:val="left" w:pos="4300"/>
          <w:tab w:val="left" w:pos="5200"/>
          <w:tab w:val="left" w:pos="6020"/>
          <w:tab w:val="left" w:pos="6340"/>
          <w:tab w:val="left" w:pos="6900"/>
          <w:tab w:val="left" w:pos="7440"/>
          <w:tab w:val="left" w:pos="8140"/>
        </w:tabs>
        <w:spacing w:line="239" w:lineRule="auto"/>
        <w:rPr>
          <w:sz w:val="20"/>
          <w:szCs w:val="20"/>
        </w:rPr>
      </w:pPr>
      <w:r w:rsidRPr="00771368">
        <w:rPr>
          <w:rFonts w:eastAsia="Times"/>
          <w:sz w:val="24"/>
          <w:szCs w:val="24"/>
        </w:rPr>
        <w:t>sexual,</w:t>
      </w:r>
      <w:r w:rsidRPr="00771368">
        <w:rPr>
          <w:sz w:val="20"/>
          <w:szCs w:val="20"/>
        </w:rPr>
        <w:tab/>
      </w:r>
      <w:r w:rsidRPr="00771368">
        <w:rPr>
          <w:rFonts w:eastAsia="Times"/>
          <w:sz w:val="24"/>
          <w:szCs w:val="24"/>
        </w:rPr>
        <w:t>e</w:t>
      </w:r>
      <w:r w:rsidRPr="00771368">
        <w:rPr>
          <w:sz w:val="20"/>
          <w:szCs w:val="20"/>
        </w:rPr>
        <w:tab/>
      </w:r>
      <w:r w:rsidRPr="00771368">
        <w:rPr>
          <w:rFonts w:eastAsia="Times"/>
          <w:sz w:val="24"/>
          <w:szCs w:val="24"/>
        </w:rPr>
        <w:t>a</w:t>
      </w:r>
      <w:r w:rsidRPr="00771368">
        <w:rPr>
          <w:sz w:val="20"/>
          <w:szCs w:val="20"/>
        </w:rPr>
        <w:tab/>
      </w:r>
      <w:r w:rsidRPr="00771368">
        <w:rPr>
          <w:rFonts w:eastAsia="Times"/>
          <w:sz w:val="24"/>
          <w:szCs w:val="24"/>
        </w:rPr>
        <w:t>tendência</w:t>
      </w:r>
      <w:r w:rsidRPr="00771368">
        <w:rPr>
          <w:sz w:val="20"/>
          <w:szCs w:val="20"/>
        </w:rPr>
        <w:tab/>
      </w:r>
      <w:r w:rsidRPr="00771368">
        <w:rPr>
          <w:rFonts w:eastAsia="Times"/>
          <w:sz w:val="24"/>
          <w:szCs w:val="24"/>
        </w:rPr>
        <w:t>de</w:t>
      </w:r>
      <w:r w:rsidRPr="00771368">
        <w:rPr>
          <w:sz w:val="20"/>
          <w:szCs w:val="20"/>
        </w:rPr>
        <w:tab/>
      </w:r>
      <w:r w:rsidRPr="00771368">
        <w:rPr>
          <w:rFonts w:eastAsia="Times"/>
          <w:sz w:val="24"/>
          <w:szCs w:val="24"/>
        </w:rPr>
        <w:t>um</w:t>
      </w:r>
      <w:r w:rsidRPr="00771368">
        <w:rPr>
          <w:sz w:val="20"/>
          <w:szCs w:val="20"/>
        </w:rPr>
        <w:tab/>
      </w:r>
      <w:r w:rsidRPr="00771368">
        <w:rPr>
          <w:rFonts w:eastAsia="Times"/>
          <w:sz w:val="24"/>
          <w:szCs w:val="24"/>
        </w:rPr>
        <w:t>fã</w:t>
      </w:r>
      <w:r w:rsidRPr="00771368">
        <w:rPr>
          <w:sz w:val="20"/>
          <w:szCs w:val="20"/>
        </w:rPr>
        <w:tab/>
      </w:r>
      <w:r w:rsidRPr="00771368">
        <w:rPr>
          <w:rFonts w:eastAsia="Times"/>
          <w:sz w:val="24"/>
          <w:szCs w:val="24"/>
        </w:rPr>
        <w:t>é</w:t>
      </w:r>
      <w:r w:rsidRPr="00771368">
        <w:rPr>
          <w:sz w:val="20"/>
          <w:szCs w:val="20"/>
        </w:rPr>
        <w:tab/>
      </w:r>
      <w:r w:rsidRPr="00771368">
        <w:rPr>
          <w:rFonts w:eastAsia="Times"/>
          <w:sz w:val="24"/>
          <w:szCs w:val="24"/>
        </w:rPr>
        <w:t>sempre</w:t>
      </w:r>
      <w:r w:rsidRPr="00771368">
        <w:rPr>
          <w:sz w:val="20"/>
          <w:szCs w:val="20"/>
        </w:rPr>
        <w:tab/>
      </w:r>
      <w:r w:rsidRPr="00771368">
        <w:rPr>
          <w:rFonts w:eastAsia="Times"/>
          <w:sz w:val="24"/>
          <w:szCs w:val="24"/>
        </w:rPr>
        <w:t>copiar</w:t>
      </w:r>
      <w:r w:rsidRPr="00771368">
        <w:rPr>
          <w:sz w:val="20"/>
          <w:szCs w:val="20"/>
        </w:rPr>
        <w:tab/>
      </w:r>
      <w:r w:rsidRPr="00771368">
        <w:rPr>
          <w:rFonts w:eastAsia="Times"/>
          <w:sz w:val="24"/>
          <w:szCs w:val="24"/>
        </w:rPr>
        <w:t>o</w:t>
      </w:r>
      <w:r w:rsidRPr="00771368">
        <w:rPr>
          <w:sz w:val="20"/>
          <w:szCs w:val="20"/>
        </w:rPr>
        <w:tab/>
      </w:r>
      <w:r w:rsidRPr="00771368">
        <w:rPr>
          <w:rFonts w:eastAsia="Times"/>
          <w:sz w:val="24"/>
          <w:szCs w:val="24"/>
        </w:rPr>
        <w:t>que</w:t>
      </w:r>
      <w:r w:rsidRPr="00771368">
        <w:rPr>
          <w:sz w:val="20"/>
          <w:szCs w:val="20"/>
        </w:rPr>
        <w:tab/>
      </w:r>
      <w:r w:rsidRPr="00771368">
        <w:rPr>
          <w:rFonts w:eastAsia="Times"/>
          <w:sz w:val="24"/>
          <w:szCs w:val="24"/>
        </w:rPr>
        <w:t>seu</w:t>
      </w:r>
      <w:r w:rsidRPr="00771368">
        <w:rPr>
          <w:sz w:val="20"/>
          <w:szCs w:val="20"/>
        </w:rPr>
        <w:tab/>
      </w:r>
      <w:r w:rsidRPr="00771368">
        <w:rPr>
          <w:rFonts w:eastAsia="Times"/>
          <w:sz w:val="24"/>
          <w:szCs w:val="24"/>
        </w:rPr>
        <w:t>ídolo</w:t>
      </w:r>
      <w:r w:rsidRPr="00771368">
        <w:rPr>
          <w:sz w:val="20"/>
          <w:szCs w:val="20"/>
        </w:rPr>
        <w:tab/>
      </w:r>
      <w:r w:rsidRPr="00771368">
        <w:rPr>
          <w:rFonts w:eastAsia="Times"/>
          <w:sz w:val="23"/>
          <w:szCs w:val="23"/>
        </w:rPr>
        <w:t>faz.</w:t>
      </w:r>
    </w:p>
    <w:p w:rsidR="00D24E61" w:rsidRPr="00771368" w:rsidRDefault="00D24E61">
      <w:pPr>
        <w:spacing w:line="125" w:lineRule="exact"/>
        <w:rPr>
          <w:sz w:val="20"/>
          <w:szCs w:val="20"/>
        </w:rPr>
      </w:pPr>
    </w:p>
    <w:p w:rsidR="00D24E61" w:rsidRPr="00771368" w:rsidRDefault="00D24E61">
      <w:pPr>
        <w:spacing w:line="236" w:lineRule="auto"/>
        <w:jc w:val="both"/>
        <w:rPr>
          <w:sz w:val="20"/>
          <w:szCs w:val="20"/>
        </w:rPr>
      </w:pPr>
      <w:r w:rsidRPr="00771368">
        <w:rPr>
          <w:rFonts w:eastAsia="Times"/>
          <w:sz w:val="24"/>
          <w:szCs w:val="24"/>
        </w:rPr>
        <w:t>• A falta de informação dos pais de adolescentes é um fator fundamental. Não havendo em casa alguém que possa informá-los, que sirva de modelo, que tire suas dúvidas e angústias, como esperar dos adolescentes comportamentos mais adequados? Como querer que eles aguardem o tempo mais adequado para aproveitar a sexualidade como algo bom, saudável e necessário para o ser humano?</w:t>
      </w:r>
    </w:p>
    <w:p w:rsidR="00D24E61" w:rsidRPr="00771368" w:rsidRDefault="00D24E61">
      <w:pPr>
        <w:spacing w:line="128"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O senso mostra que há no Brasil 43 mil meninas com menos de 14 anos que são casadas. A repórter Danielle França mostra como é a vida delas no interior de Sergipe. Muitas abandonaram os estudos e se casaram por vontade própria.</w:t>
      </w:r>
    </w:p>
    <w:p w:rsidR="00D24E61" w:rsidRPr="00771368" w:rsidRDefault="00D24E61">
      <w:pPr>
        <w:spacing w:line="129"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O relato dos adolescentes mostra que a sexualidade precoce, o desconhecimento do próprio corpo, com a chegada da primeira menstruação, e a visão mágica de que nada lhes acontecerá são alguns dos responsáveis por esse tipo de gravidez.</w:t>
      </w:r>
    </w:p>
    <w:p w:rsidR="00D24E61" w:rsidRPr="00771368" w:rsidRDefault="00D24E61">
      <w:pPr>
        <w:spacing w:line="236" w:lineRule="auto"/>
        <w:ind w:firstLine="708"/>
        <w:jc w:val="both"/>
        <w:rPr>
          <w:sz w:val="20"/>
          <w:szCs w:val="20"/>
        </w:rPr>
      </w:pPr>
      <w:r w:rsidRPr="00771368">
        <w:rPr>
          <w:rFonts w:eastAsia="Times"/>
          <w:sz w:val="24"/>
          <w:szCs w:val="24"/>
        </w:rPr>
        <w:t>O resultado são adolescentes fora da escola, sem chances no mercado de trabalho, que não têm renda para sustentar sozinhos seus filhos. Uma vida marcada pela falta de planejamento, de perspectivas, de opções, como pontua Célia Márcia Birchler, referência técnica na saúde do adolescente da Secretaria Estadual de Saúde (CARLOS, 2013, on-line).</w:t>
      </w:r>
    </w:p>
    <w:p w:rsidR="00D24E61" w:rsidRPr="00771368" w:rsidRDefault="00D24E61">
      <w:pPr>
        <w:spacing w:line="200" w:lineRule="exact"/>
        <w:rPr>
          <w:sz w:val="20"/>
          <w:szCs w:val="20"/>
        </w:rPr>
      </w:pPr>
    </w:p>
    <w:p w:rsidR="00D24E61" w:rsidRPr="00771368" w:rsidRDefault="00D24E61">
      <w:pPr>
        <w:spacing w:line="211" w:lineRule="exact"/>
        <w:rPr>
          <w:sz w:val="20"/>
          <w:szCs w:val="20"/>
        </w:rPr>
      </w:pPr>
    </w:p>
    <w:p w:rsidR="00D24E61" w:rsidRPr="00771368" w:rsidRDefault="00D24E61">
      <w:pPr>
        <w:rPr>
          <w:sz w:val="20"/>
          <w:szCs w:val="20"/>
        </w:rPr>
      </w:pPr>
      <w:r w:rsidRPr="00771368">
        <w:rPr>
          <w:rFonts w:eastAsia="Times"/>
          <w:b/>
          <w:bCs/>
          <w:sz w:val="24"/>
          <w:szCs w:val="24"/>
        </w:rPr>
        <w:t>Violência sexual</w:t>
      </w:r>
    </w:p>
    <w:p w:rsidR="00D24E61" w:rsidRPr="00771368" w:rsidRDefault="00D24E61">
      <w:pPr>
        <w:spacing w:line="239" w:lineRule="auto"/>
        <w:ind w:firstLine="708"/>
        <w:jc w:val="both"/>
        <w:rPr>
          <w:sz w:val="20"/>
          <w:szCs w:val="20"/>
        </w:rPr>
      </w:pPr>
      <w:r w:rsidRPr="00771368">
        <w:rPr>
          <w:rFonts w:eastAsia="Times"/>
          <w:sz w:val="24"/>
          <w:szCs w:val="24"/>
        </w:rPr>
        <w:t>No instrutivo, o (SINAN) caracteriza como violência sexual toda ação na qual uma pessoa, em situação de poder, obriga uma outra à realização de práticas sexuais, contra a vontade, por meio de força física, influência psicológica, uso de armas ou drogas (Código Penal Brasileiro). Ex.: jogos sexuais, práticas eróticas impostas a outros/as, estupro, atentado violento ao pudor, sexo forçado no casamento, assédio sexual, pornografia infantil, voyeurismo, etc.</w:t>
      </w:r>
    </w:p>
    <w:p w:rsidR="00D24E61" w:rsidRPr="00771368" w:rsidRDefault="00D24E61">
      <w:pPr>
        <w:spacing w:line="129" w:lineRule="exact"/>
        <w:rPr>
          <w:sz w:val="20"/>
          <w:szCs w:val="20"/>
        </w:rPr>
      </w:pPr>
    </w:p>
    <w:p w:rsidR="00D24E61" w:rsidRPr="00771368" w:rsidRDefault="00D24E61">
      <w:pPr>
        <w:ind w:firstLine="708"/>
        <w:jc w:val="both"/>
        <w:rPr>
          <w:sz w:val="20"/>
          <w:szCs w:val="20"/>
        </w:rPr>
      </w:pPr>
      <w:r w:rsidRPr="00771368">
        <w:rPr>
          <w:rFonts w:eastAsia="Times"/>
          <w:sz w:val="24"/>
          <w:szCs w:val="24"/>
        </w:rPr>
        <w:t>Pelos registros do SINAN foi atendido, em 2011, um total de 10.425 crianças e adolescentes vítimas de violência sexual. A grande maioria do sexo feminino: 83,2%. Com poucas oscilações entre as faixas etárias, podemos ver também que vai ser entre os 15 e os 19 anos que os índices femininos atingem sua máxima expressão: 93,8%. Ao todo, foram 16,4 atendimentos para cada 100 mil crianças e adolescentes. A maior incidência de atendimentos registra-se na faixa de 10 a 14 anos, com uma taxa de 89,2% notificações para cada 100 mil adolescentes.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42880" behindDoc="1" locked="0" layoutInCell="0" allowOverlap="1">
            <wp:simplePos x="0" y="0"/>
            <wp:positionH relativeFrom="column">
              <wp:posOffset>-327660</wp:posOffset>
            </wp:positionH>
            <wp:positionV relativeFrom="paragraph">
              <wp:posOffset>45085</wp:posOffset>
            </wp:positionV>
            <wp:extent cx="5843270" cy="2139950"/>
            <wp:effectExtent l="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blip>
                    <a:srcRect/>
                    <a:stretch>
                      <a:fillRect/>
                    </a:stretch>
                  </pic:blipFill>
                  <pic:spPr bwMode="auto">
                    <a:xfrm>
                      <a:off x="0" y="0"/>
                      <a:ext cx="5843270" cy="213995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2" w:lineRule="exact"/>
        <w:rPr>
          <w:sz w:val="20"/>
          <w:szCs w:val="20"/>
        </w:rPr>
      </w:pPr>
    </w:p>
    <w:p w:rsidR="00D24E61" w:rsidRPr="00771368" w:rsidRDefault="00D24E61">
      <w:pPr>
        <w:spacing w:line="238" w:lineRule="auto"/>
        <w:ind w:firstLine="708"/>
        <w:jc w:val="both"/>
        <w:rPr>
          <w:sz w:val="20"/>
          <w:szCs w:val="20"/>
        </w:rPr>
      </w:pPr>
      <w:r w:rsidRPr="00771368">
        <w:rPr>
          <w:rFonts w:eastAsia="Times"/>
          <w:sz w:val="24"/>
          <w:szCs w:val="24"/>
        </w:rPr>
        <w:t>O estupro, definido pelo instrutivo do SINAN segundo o Código Penal Brasileiro, como constranger mulher à conjunção carnal, mediante violência ou grave ameaça, conjunção carnal que ocorre quando há penetração pênis-vagina, é a mais frequente entre violências sexuais que demandaram atendimento do SUS. Concentrou 59% do total de atendimentos por violências sexuais notificadas, sendo maior sua incidência na faixa de 10 a 14 anos de idade, com uma taxa de 61,4 atendimentos para</w:t>
      </w:r>
    </w:p>
    <w:p w:rsidR="00D24E61" w:rsidRPr="00771368" w:rsidRDefault="00D24E61">
      <w:pPr>
        <w:spacing w:line="213" w:lineRule="auto"/>
        <w:jc w:val="both"/>
        <w:rPr>
          <w:sz w:val="20"/>
          <w:szCs w:val="20"/>
        </w:rPr>
      </w:pPr>
      <w:r w:rsidRPr="00771368">
        <w:rPr>
          <w:rFonts w:eastAsia="Times"/>
          <w:sz w:val="24"/>
          <w:szCs w:val="24"/>
        </w:rPr>
        <w:t>cada 100 mil crianças e adolescentes nessa faixa etária, mas também, em escala menor, nas faixas contíguas: 5 a 9 e 15 a 18 anos de idade.</w:t>
      </w:r>
    </w:p>
    <w:p w:rsidR="00D24E61" w:rsidRPr="00771368" w:rsidRDefault="00D24E61">
      <w:pPr>
        <w:spacing w:line="126" w:lineRule="exact"/>
        <w:rPr>
          <w:sz w:val="20"/>
          <w:szCs w:val="20"/>
        </w:rPr>
      </w:pPr>
    </w:p>
    <w:p w:rsidR="00D24E61" w:rsidRPr="00771368" w:rsidRDefault="00D24E61">
      <w:pPr>
        <w:spacing w:line="254" w:lineRule="auto"/>
        <w:ind w:firstLine="708"/>
        <w:jc w:val="both"/>
        <w:rPr>
          <w:sz w:val="20"/>
          <w:szCs w:val="20"/>
        </w:rPr>
      </w:pPr>
      <w:r w:rsidRPr="00771368">
        <w:rPr>
          <w:rFonts w:eastAsia="Times"/>
          <w:sz w:val="23"/>
          <w:szCs w:val="23"/>
        </w:rPr>
        <w:t>Em segundo lugar, com 19,2% dos atendimentos, vem o assédio sexual caracterizado pelo instrutivo como a insistência importuna, independente do sexo ou opção sexual, com perguntas, propostas, pretensões, ou outra forma de abordagem forçada e não desejada. É o ato de constranger alguém com gestos, palavras, ou com o emprego de violência, prevalecendo-se de relações de confiança, de ascendência, de superioridade hierárquica, de autoridade, ou de relação com vínculo empregatício, com o escopo de obter vantagem sexual. As maiores taxas de atendimento foram registradas também na faixa de 10 a 14 anos e, em segundo lugar, na faixa de 5 a 9 a nos de idade.</w:t>
      </w:r>
    </w:p>
    <w:p w:rsidR="00D24E61" w:rsidRPr="00771368" w:rsidRDefault="00D24E61">
      <w:pPr>
        <w:spacing w:line="105" w:lineRule="exact"/>
        <w:rPr>
          <w:sz w:val="20"/>
          <w:szCs w:val="20"/>
        </w:rPr>
      </w:pPr>
    </w:p>
    <w:p w:rsidR="00D24E61" w:rsidRPr="00771368" w:rsidRDefault="00D24E61">
      <w:pPr>
        <w:spacing w:line="232" w:lineRule="auto"/>
        <w:ind w:firstLine="708"/>
        <w:jc w:val="both"/>
        <w:rPr>
          <w:sz w:val="20"/>
          <w:szCs w:val="20"/>
        </w:rPr>
      </w:pPr>
      <w:r w:rsidRPr="00771368">
        <w:rPr>
          <w:rFonts w:eastAsia="Times"/>
          <w:sz w:val="24"/>
          <w:szCs w:val="24"/>
        </w:rPr>
        <w:t>Em terceiro lugar tem o atentado violento ao pudor que ocorre ao se constranger alguém, mediante violência ou grave ameaça, ao praticar ou permitir que com ele pratique ato libidinoso diverso da conjunção carnal. Representam 15,1% dos atendimentos, e tem maior peso dos 5 aos 9 anos, mas também dos 10 aos 14 anos.</w:t>
      </w:r>
    </w:p>
    <w:p w:rsidR="00D24E61" w:rsidRPr="00771368" w:rsidRDefault="00D24E61">
      <w:pPr>
        <w:spacing w:line="232" w:lineRule="auto"/>
        <w:ind w:firstLine="708"/>
        <w:jc w:val="both"/>
        <w:rPr>
          <w:sz w:val="20"/>
          <w:szCs w:val="20"/>
        </w:rPr>
        <w:sectPr w:rsidR="00D24E61" w:rsidRPr="00771368">
          <w:pgSz w:w="11900" w:h="16840"/>
          <w:pgMar w:top="1412" w:right="1700" w:bottom="1440" w:left="1700" w:header="0" w:footer="0" w:gutter="0"/>
          <w:cols w:space="720" w:equalWidth="0">
            <w:col w:w="8500"/>
          </w:cols>
        </w:sectPr>
      </w:pPr>
      <w:r w:rsidRPr="00771368">
        <w:rPr>
          <w:noProof/>
          <w:sz w:val="20"/>
          <w:szCs w:val="20"/>
        </w:rPr>
        <w:drawing>
          <wp:anchor distT="0" distB="0" distL="114300" distR="114300" simplePos="0" relativeHeight="251644928" behindDoc="1" locked="0" layoutInCell="0" allowOverlap="1">
            <wp:simplePos x="0" y="0"/>
            <wp:positionH relativeFrom="column">
              <wp:posOffset>24130</wp:posOffset>
            </wp:positionH>
            <wp:positionV relativeFrom="paragraph">
              <wp:posOffset>87630</wp:posOffset>
            </wp:positionV>
            <wp:extent cx="5020310" cy="4759325"/>
            <wp:effectExtent l="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blip>
                    <a:srcRect/>
                    <a:stretch>
                      <a:fillRect/>
                    </a:stretch>
                  </pic:blipFill>
                  <pic:spPr bwMode="auto">
                    <a:xfrm>
                      <a:off x="0" y="0"/>
                      <a:ext cx="5020310" cy="4759325"/>
                    </a:xfrm>
                    <a:prstGeom prst="rect">
                      <a:avLst/>
                    </a:prstGeom>
                    <a:noFill/>
                  </pic:spPr>
                </pic:pic>
              </a:graphicData>
            </a:graphic>
          </wp:anchor>
        </w:drawing>
      </w:r>
    </w:p>
    <w:p w:rsidR="00D24E61" w:rsidRPr="00771368" w:rsidRDefault="00D24E61">
      <w:pPr>
        <w:spacing w:line="232" w:lineRule="auto"/>
        <w:ind w:firstLine="708"/>
        <w:jc w:val="both"/>
        <w:rPr>
          <w:sz w:val="20"/>
          <w:szCs w:val="20"/>
        </w:rPr>
      </w:pPr>
      <w:r w:rsidRPr="00771368">
        <w:rPr>
          <w:rFonts w:eastAsia="Times"/>
          <w:sz w:val="24"/>
          <w:szCs w:val="24"/>
        </w:rPr>
        <w:t>Pais e padrastos aparecem como as categorias de maior peso, responsáveis por aproximadamente e 10% dos atendimentos. Em conjunto, a família nuclear (pai, mãe, padrasto, madrasta, conjugue, filhos e irmãos) representam 26,5% dos prováveis agressores das crianças e adolescentes (WAISELFISZ, 2012, p.70).</w:t>
      </w:r>
    </w:p>
    <w:p w:rsidR="00D24E61" w:rsidRPr="00771368" w:rsidRDefault="00D24E61">
      <w:pPr>
        <w:spacing w:line="128"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A violência de gênero atinge todas as faixas etárias e sociais no Brasil. Apesar das dificuldades, muitos são os exemplos de mulheres que conseguem denunciar o ciclo de agressões (MACEDO, 2013, on-line).</w:t>
      </w:r>
    </w:p>
    <w:p w:rsidR="00D24E61" w:rsidRPr="00771368" w:rsidRDefault="00D24E61">
      <w:pPr>
        <w:spacing w:line="131" w:lineRule="exact"/>
        <w:rPr>
          <w:sz w:val="20"/>
          <w:szCs w:val="20"/>
        </w:rPr>
      </w:pPr>
    </w:p>
    <w:p w:rsidR="00D24E61" w:rsidRPr="00771368" w:rsidRDefault="00D24E61">
      <w:pPr>
        <w:spacing w:line="237" w:lineRule="auto"/>
        <w:ind w:firstLine="708"/>
        <w:jc w:val="both"/>
        <w:rPr>
          <w:sz w:val="20"/>
          <w:szCs w:val="20"/>
        </w:rPr>
      </w:pPr>
      <w:r w:rsidRPr="00771368">
        <w:rPr>
          <w:rFonts w:eastAsia="Times"/>
          <w:sz w:val="24"/>
          <w:szCs w:val="24"/>
        </w:rPr>
        <w:t xml:space="preserve">A Secretaria de Políticas para as Mulheres quer incentivar mais vítimas a denunciarem agressões e ofensas, pelo Ligue </w:t>
      </w:r>
      <w:r w:rsidRPr="00771368">
        <w:rPr>
          <w:rFonts w:eastAsia="Times"/>
          <w:b/>
          <w:bCs/>
          <w:sz w:val="24"/>
          <w:szCs w:val="24"/>
        </w:rPr>
        <w:t>180</w:t>
      </w:r>
      <w:r w:rsidRPr="00771368">
        <w:rPr>
          <w:rFonts w:eastAsia="Times"/>
          <w:sz w:val="24"/>
          <w:szCs w:val="24"/>
        </w:rPr>
        <w:t xml:space="preserve"> ou em delegacias. Até o próximo ano, estão previstas cinco campanhas na TV sobre o tema, dentro do programa “Mulher, Viver sem Violência”. Além disso, devem ser construídas nas 27 capitais as chamadas Casas da Mulher Brasileira, onde estarão integrados serviços de delegacia, juizado especializado, defensoria, ministério público e assistência social.</w:t>
      </w:r>
    </w:p>
    <w:p w:rsidR="00D24E61" w:rsidRPr="00771368" w:rsidRDefault="00D24E61">
      <w:pPr>
        <w:spacing w:line="129"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A Lei Maria da Penha é, sim, um avanço. Ela nomeia a violência doméstica, de gênero, como uma questão prioritária do Estado, uma questão de direitos humanos e que o combate a ela é o que vai garantir a igualdade de gênero.</w:t>
      </w:r>
    </w:p>
    <w:p w:rsidR="00D24E61" w:rsidRPr="00771368" w:rsidRDefault="00D24E61">
      <w:pPr>
        <w:spacing w:line="129"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Um recente pesquisa no Data Popular mostra que para 70% das pessoas ouvidas, a casa é o local onde ocorre a maioria das ofensas e agressões. Para 89%, a violência cresceu nos últimos cinco anos (MACEDO, 2013, on-line).</w:t>
      </w:r>
    </w:p>
    <w:p w:rsidR="00D24E61" w:rsidRPr="00771368" w:rsidRDefault="00D24E61">
      <w:pPr>
        <w:spacing w:line="104" w:lineRule="exact"/>
        <w:rPr>
          <w:sz w:val="20"/>
          <w:szCs w:val="20"/>
        </w:rPr>
      </w:pPr>
    </w:p>
    <w:p w:rsidR="00D24E61" w:rsidRPr="00771368" w:rsidRDefault="00D24E61">
      <w:pPr>
        <w:rPr>
          <w:sz w:val="20"/>
          <w:szCs w:val="20"/>
        </w:rPr>
      </w:pPr>
      <w:r w:rsidRPr="00771368">
        <w:rPr>
          <w:rFonts w:eastAsia="Times"/>
          <w:b/>
          <w:bCs/>
          <w:sz w:val="24"/>
          <w:szCs w:val="24"/>
        </w:rPr>
        <w:t>A Lei a favor da mulher</w:t>
      </w:r>
    </w:p>
    <w:p w:rsidR="00D24E61" w:rsidRPr="00771368" w:rsidRDefault="00D24E61">
      <w:pPr>
        <w:spacing w:line="183" w:lineRule="exact"/>
        <w:rPr>
          <w:sz w:val="20"/>
          <w:szCs w:val="20"/>
        </w:rPr>
      </w:pPr>
    </w:p>
    <w:p w:rsidR="00D24E61" w:rsidRPr="00771368" w:rsidRDefault="00D24E61">
      <w:pPr>
        <w:spacing w:line="244" w:lineRule="auto"/>
        <w:ind w:firstLine="708"/>
        <w:jc w:val="both"/>
        <w:rPr>
          <w:sz w:val="20"/>
          <w:szCs w:val="20"/>
        </w:rPr>
      </w:pPr>
      <w:r w:rsidRPr="00771368">
        <w:rPr>
          <w:rFonts w:eastAsia="Times"/>
          <w:sz w:val="24"/>
          <w:szCs w:val="24"/>
        </w:rPr>
        <w:t>A existência e a persistência do abuso sexual contra mulheres não tem só a ver com os atos dos autores da agressão contra as vítimas, mas também com a capacidade normatizadora, controladora e fiscalizadora da sociedade, ou seja, a sociedade por meio de instituições do legislativo, executivo e judiciário, tem o poder de regular quais práticas sexuais são legais e ilegais e quais modalidades são consideradas violência e crime. Tem também o poder de exigir e fiscalizar o cumprimento da lei e estabelecer medidas para corrigir as transgressões e violações dessas leis e normais sociais. Há um poder desigual entre homens adultos, mulheres e crianças, por isso o homem deve respeitar e proteger as mulheres crianças e adolescentes, aprender lidar com o desejo e se responsabilizar pelas transgressões da lei.</w:t>
      </w:r>
    </w:p>
    <w:p w:rsidR="00D24E61" w:rsidRPr="00771368" w:rsidRDefault="00D24E61">
      <w:pPr>
        <w:spacing w:line="119" w:lineRule="exact"/>
        <w:rPr>
          <w:sz w:val="20"/>
          <w:szCs w:val="20"/>
        </w:rPr>
      </w:pPr>
    </w:p>
    <w:p w:rsidR="00D24E61" w:rsidRPr="00771368" w:rsidRDefault="00D24E61" w:rsidP="002E3256">
      <w:pPr>
        <w:spacing w:line="213" w:lineRule="auto"/>
        <w:ind w:firstLine="708"/>
        <w:jc w:val="both"/>
        <w:rPr>
          <w:sz w:val="20"/>
          <w:szCs w:val="20"/>
        </w:rPr>
      </w:pPr>
      <w:r w:rsidRPr="00771368">
        <w:rPr>
          <w:rFonts w:eastAsia="Times"/>
          <w:sz w:val="24"/>
          <w:szCs w:val="24"/>
        </w:rPr>
        <w:t>A existência de leis apropriadas e claras contra o abuso sexual, acompanhadas de campanhas educativas, representa um reforço do cumprimento rigoroso das leis e</w:t>
      </w:r>
      <w:r w:rsidR="002E3256">
        <w:rPr>
          <w:sz w:val="20"/>
          <w:szCs w:val="20"/>
        </w:rPr>
        <w:t xml:space="preserve"> </w:t>
      </w:r>
      <w:r w:rsidRPr="00771368">
        <w:rPr>
          <w:rFonts w:eastAsia="Times"/>
          <w:sz w:val="24"/>
          <w:szCs w:val="24"/>
        </w:rPr>
        <w:t>punição exemplar dos transgressores, podendo romper o ciclo de impunidade que impera nessa área (WAISELFISZ, 2012, p.70).</w:t>
      </w:r>
    </w:p>
    <w:p w:rsidR="00D24E61" w:rsidRPr="00771368" w:rsidRDefault="00D24E61">
      <w:pPr>
        <w:spacing w:line="126" w:lineRule="exact"/>
        <w:rPr>
          <w:sz w:val="20"/>
          <w:szCs w:val="20"/>
        </w:rPr>
      </w:pPr>
    </w:p>
    <w:p w:rsidR="00D24E61" w:rsidRPr="00771368" w:rsidRDefault="00D24E61">
      <w:pPr>
        <w:spacing w:line="238" w:lineRule="auto"/>
        <w:ind w:firstLine="708"/>
        <w:jc w:val="both"/>
        <w:rPr>
          <w:sz w:val="20"/>
          <w:szCs w:val="20"/>
        </w:rPr>
      </w:pPr>
      <w:r w:rsidRPr="00771368">
        <w:rPr>
          <w:rFonts w:eastAsia="Times"/>
          <w:sz w:val="24"/>
          <w:szCs w:val="24"/>
        </w:rPr>
        <w:t>A informação é um elemento fundamental nesta defesa. Para muitas mulheres o acesso à justiça parece difícil, às vezes, impossível. Na medida em que se torna acessível as informações sobre como se defender, usando a lei como recurso, é e será um instrumento útil e até que as mentalidades mudem e os comportamentos violentos de homens contra mulheres desapareçam do cotidiano de nossas vidas (DHNET, 2013, on-line).</w:t>
      </w:r>
    </w:p>
    <w:p w:rsidR="00D24E61" w:rsidRPr="00771368" w:rsidRDefault="00D24E61">
      <w:pPr>
        <w:spacing w:line="132" w:lineRule="exact"/>
        <w:rPr>
          <w:sz w:val="20"/>
          <w:szCs w:val="20"/>
        </w:rPr>
      </w:pPr>
    </w:p>
    <w:p w:rsidR="00D24E61" w:rsidRPr="00771368" w:rsidRDefault="00D24E61">
      <w:pPr>
        <w:spacing w:line="213" w:lineRule="auto"/>
        <w:ind w:left="700"/>
        <w:rPr>
          <w:sz w:val="20"/>
          <w:szCs w:val="20"/>
        </w:rPr>
      </w:pPr>
      <w:r w:rsidRPr="00771368">
        <w:rPr>
          <w:rFonts w:eastAsia="Times"/>
          <w:sz w:val="24"/>
          <w:szCs w:val="24"/>
        </w:rPr>
        <w:t>Segue algumas Leis que podem ser usadas na defesa de direitos femininos: Constrangimento ilegal: Às vezes, por trás de um comportamento inexplicável</w:t>
      </w:r>
    </w:p>
    <w:p w:rsidR="00D24E61" w:rsidRPr="00771368" w:rsidRDefault="00D24E61">
      <w:pPr>
        <w:spacing w:line="126" w:lineRule="exact"/>
        <w:rPr>
          <w:sz w:val="20"/>
          <w:szCs w:val="20"/>
        </w:rPr>
      </w:pPr>
    </w:p>
    <w:p w:rsidR="00D24E61" w:rsidRPr="00771368" w:rsidRDefault="00D24E61">
      <w:pPr>
        <w:jc w:val="both"/>
        <w:rPr>
          <w:sz w:val="20"/>
          <w:szCs w:val="20"/>
        </w:rPr>
      </w:pPr>
      <w:r w:rsidRPr="00771368">
        <w:rPr>
          <w:rFonts w:eastAsia="Times"/>
          <w:sz w:val="24"/>
          <w:szCs w:val="24"/>
        </w:rPr>
        <w:t>ou de um desrespeito flagrante à lei, se esconde uma pressão que se exerce sobre a mulher. Por exemplo, se uma mulher deseja ter um emprego remunerado, o que a lei lhe permite enquanto cidadã e se alguém lhe impede de fazê-lo, ameaçando-a com violência, você está vivendo uma situação de constrangimento ilegal. Neste caso deve se comunicar o fato na delegacia mais próxima e exigir o registro da queixa, no Boletim de Ocorrência. Os parentes e amigos podem ser usados como testemunhas (DHNET, 2013, on-line).</w:t>
      </w:r>
    </w:p>
    <w:p w:rsidR="00D24E61" w:rsidRPr="00771368" w:rsidRDefault="00D24E61">
      <w:pPr>
        <w:spacing w:line="132" w:lineRule="exact"/>
        <w:rPr>
          <w:sz w:val="20"/>
          <w:szCs w:val="20"/>
        </w:rPr>
      </w:pPr>
    </w:p>
    <w:p w:rsidR="00D24E61" w:rsidRPr="00771368" w:rsidRDefault="00D24E61">
      <w:pPr>
        <w:spacing w:line="186" w:lineRule="auto"/>
        <w:ind w:left="1980" w:firstLine="48"/>
        <w:jc w:val="both"/>
        <w:rPr>
          <w:sz w:val="20"/>
          <w:szCs w:val="20"/>
        </w:rPr>
      </w:pPr>
      <w:r w:rsidRPr="00771368">
        <w:rPr>
          <w:rFonts w:eastAsia="Times"/>
          <w:sz w:val="18"/>
          <w:szCs w:val="18"/>
        </w:rPr>
        <w:t>Art. 146 “Constranger alguém, mediante violência ou grave ameaça, ou depois de lhe haver reduzido, por qualquer outro meio, a capacidade de resistência, a não fazer o que a lei permite, ou a fazer o que ela não manda”.“Pena: Detenção de 3 meses a 1 ano”. (Código Penal - Decreto Lei në 2.848)</w:t>
      </w:r>
    </w:p>
    <w:p w:rsidR="00D24E61" w:rsidRPr="00771368" w:rsidRDefault="00D24E61">
      <w:pPr>
        <w:spacing w:line="1" w:lineRule="exact"/>
        <w:rPr>
          <w:sz w:val="20"/>
          <w:szCs w:val="20"/>
        </w:rPr>
      </w:pPr>
    </w:p>
    <w:p w:rsidR="00D24E61" w:rsidRPr="00771368" w:rsidRDefault="00D24E61">
      <w:pPr>
        <w:spacing w:line="250" w:lineRule="auto"/>
        <w:ind w:firstLine="708"/>
        <w:jc w:val="both"/>
        <w:rPr>
          <w:sz w:val="20"/>
          <w:szCs w:val="20"/>
        </w:rPr>
      </w:pPr>
      <w:r w:rsidRPr="00771368">
        <w:rPr>
          <w:rFonts w:eastAsia="Times"/>
          <w:sz w:val="23"/>
          <w:szCs w:val="23"/>
        </w:rPr>
        <w:t>Ameaça: Em caso de ameaça de morte ou de agressão seria o mais prudente chamar a polícia, pois ameaça em si já é um crime, mas pode desembocar em outro. Caso a ameaça seja grave, como por exemplo, ameaça de morte, a presença da policia deve ser imediata. Se houver testemunha esta deve acompanhar a agredida à Delegacia e a declaração deve ser anotada no Boletim de Ocorrência. A agredida pode e tem o direto de exigir proteção policial contra aquele que a está ameaçando (DHNET, 2013, on-line).</w:t>
      </w:r>
    </w:p>
    <w:p w:rsidR="00D24E61" w:rsidRPr="00771368" w:rsidRDefault="00D24E61">
      <w:pPr>
        <w:spacing w:line="116" w:lineRule="exact"/>
        <w:rPr>
          <w:sz w:val="20"/>
          <w:szCs w:val="20"/>
        </w:rPr>
      </w:pPr>
    </w:p>
    <w:p w:rsidR="00D24E61" w:rsidRPr="00771368" w:rsidRDefault="00D24E61">
      <w:pPr>
        <w:spacing w:line="189" w:lineRule="auto"/>
        <w:ind w:left="1980" w:hanging="1"/>
        <w:rPr>
          <w:sz w:val="20"/>
          <w:szCs w:val="20"/>
        </w:rPr>
      </w:pPr>
      <w:r w:rsidRPr="00771368">
        <w:rPr>
          <w:rFonts w:eastAsia="Times"/>
          <w:sz w:val="18"/>
          <w:szCs w:val="18"/>
        </w:rPr>
        <w:t>Art. 147 – “Ameaçar alguém, por palavras, escrito ou gesto, ou qualquer outro meio simbólico, de causar-lhe mal injusto e grave”. “Pena: Detenção de um a</w:t>
      </w:r>
    </w:p>
    <w:p w:rsidR="00D24E61" w:rsidRPr="00771368" w:rsidRDefault="00D24E61">
      <w:pPr>
        <w:spacing w:line="189" w:lineRule="auto"/>
        <w:ind w:left="1980"/>
        <w:rPr>
          <w:sz w:val="20"/>
          <w:szCs w:val="20"/>
        </w:rPr>
      </w:pPr>
      <w:r w:rsidRPr="00771368">
        <w:rPr>
          <w:rFonts w:eastAsia="Times"/>
          <w:sz w:val="20"/>
          <w:szCs w:val="20"/>
        </w:rPr>
        <w:t>seis meses”. (Código Penal</w:t>
      </w:r>
    </w:p>
    <w:p w:rsidR="00D24E61" w:rsidRPr="00771368" w:rsidRDefault="00D24E61">
      <w:pPr>
        <w:spacing w:line="203" w:lineRule="exact"/>
        <w:rPr>
          <w:sz w:val="20"/>
          <w:szCs w:val="20"/>
        </w:rPr>
      </w:pPr>
    </w:p>
    <w:p w:rsidR="00D24E61" w:rsidRPr="00771368" w:rsidRDefault="00D24E61" w:rsidP="002E3256">
      <w:pPr>
        <w:spacing w:line="250" w:lineRule="auto"/>
        <w:ind w:firstLine="708"/>
        <w:jc w:val="both"/>
        <w:rPr>
          <w:sz w:val="20"/>
          <w:szCs w:val="20"/>
        </w:rPr>
      </w:pPr>
      <w:r w:rsidRPr="00771368">
        <w:rPr>
          <w:rFonts w:eastAsia="Times"/>
          <w:sz w:val="23"/>
          <w:szCs w:val="23"/>
        </w:rPr>
        <w:t>Destruição de documentos: Os documentos são a prova de que você é você, uma cidadã brasileira. Sem eles os atos simples da vida cotidiana ficam muito complicados. Acontece que alguns homens ainda acham que as mulheres não precisam ser cidadãs (ser eleitora, ter um trabalho remunerado, ter carteira de identidade, frequentar uma escola) e são esses que, criminosamente, destroem ou desaparecem com os documentos da mulher, da companheira ou da filha. Na Delegacia Policial a declaração da destruição</w:t>
      </w:r>
      <w:r w:rsidR="002E3256">
        <w:rPr>
          <w:rFonts w:eastAsia="Times"/>
          <w:sz w:val="23"/>
          <w:szCs w:val="23"/>
        </w:rPr>
        <w:t xml:space="preserve"> </w:t>
      </w:r>
      <w:r w:rsidRPr="00771368">
        <w:rPr>
          <w:rFonts w:eastAsia="Times"/>
          <w:sz w:val="24"/>
          <w:szCs w:val="24"/>
        </w:rPr>
        <w:t>ou desaparecimento de seus documentos, deve ser indicado o autor desse crime. (DHNET, 2013, on-line).</w:t>
      </w:r>
    </w:p>
    <w:p w:rsidR="00D24E61" w:rsidRPr="00771368" w:rsidRDefault="00D24E61">
      <w:pPr>
        <w:spacing w:line="126" w:lineRule="exact"/>
        <w:rPr>
          <w:sz w:val="20"/>
          <w:szCs w:val="20"/>
        </w:rPr>
      </w:pPr>
    </w:p>
    <w:p w:rsidR="00D24E61" w:rsidRPr="00771368" w:rsidRDefault="00D24E61">
      <w:pPr>
        <w:spacing w:line="238" w:lineRule="auto"/>
        <w:ind w:left="1980"/>
        <w:jc w:val="both"/>
        <w:rPr>
          <w:sz w:val="20"/>
          <w:szCs w:val="20"/>
        </w:rPr>
      </w:pPr>
      <w:r w:rsidRPr="00771368">
        <w:rPr>
          <w:rFonts w:eastAsia="Times"/>
          <w:sz w:val="19"/>
          <w:szCs w:val="19"/>
        </w:rPr>
        <w:t>Art. 305 – “Destruir, suprimir ou ocultar em benefício próprio ou de outrem, ou em prejuízo alheio, documento público ou particular verdadeiros, de que não poderia dispor. Pena: reclusão de 2 a 7 anos”. (Código Penal - Decreto Lei në 2.848)</w:t>
      </w:r>
    </w:p>
    <w:p w:rsidR="00D24E61" w:rsidRPr="00771368" w:rsidRDefault="00D24E61">
      <w:pPr>
        <w:spacing w:line="191" w:lineRule="exact"/>
        <w:rPr>
          <w:sz w:val="20"/>
          <w:szCs w:val="20"/>
        </w:rPr>
      </w:pPr>
    </w:p>
    <w:p w:rsidR="00D24E61" w:rsidRPr="00771368" w:rsidRDefault="00D24E61">
      <w:pPr>
        <w:spacing w:line="241" w:lineRule="auto"/>
        <w:ind w:right="40" w:firstLine="708"/>
        <w:jc w:val="both"/>
        <w:rPr>
          <w:sz w:val="20"/>
          <w:szCs w:val="20"/>
        </w:rPr>
      </w:pPr>
      <w:r w:rsidRPr="00771368">
        <w:rPr>
          <w:rFonts w:eastAsia="Times"/>
          <w:sz w:val="24"/>
          <w:szCs w:val="24"/>
        </w:rPr>
        <w:t>Calúnia, difamação e injúria: são chamados crimes contra a honra. Só com a denúncia da vítima esses crimes podem ser apurados. Toda sociedade atribui à honra e à reputação das mulheres uma importância fundamental. Por isso mesmo, quando se quer atingir uma mulher, o caminho fácil é o da calúnia, da difamação ou da injúria. A denúncia desses três crimes tem o mesmo encaminhamento a denuncia em uma delegacia e levando a queixa por escrito ou o policial fará a declaração. Havendo testemunhas estas devem ser indicadas a policia polícia para que elas possam depor a favor (DHNET, 2013, on-line).</w:t>
      </w:r>
    </w:p>
    <w:p w:rsidR="00D24E61" w:rsidRPr="00771368" w:rsidRDefault="00D24E61">
      <w:pPr>
        <w:spacing w:line="136" w:lineRule="exact"/>
        <w:rPr>
          <w:sz w:val="20"/>
          <w:szCs w:val="20"/>
        </w:rPr>
      </w:pPr>
    </w:p>
    <w:p w:rsidR="00D24E61" w:rsidRPr="00771368" w:rsidRDefault="00D24E61">
      <w:pPr>
        <w:ind w:left="1980"/>
        <w:jc w:val="both"/>
        <w:rPr>
          <w:sz w:val="20"/>
          <w:szCs w:val="20"/>
        </w:rPr>
      </w:pPr>
      <w:r w:rsidRPr="00771368">
        <w:rPr>
          <w:rFonts w:eastAsia="Times"/>
          <w:sz w:val="19"/>
          <w:szCs w:val="19"/>
        </w:rPr>
        <w:t>Art. 138 – “Caluniar alguém, imputando-lhe falsamente fato definido como crime. Pena: detenção de seis meses a dois anos”. (Código Penal - Decreto Lei në 2.848)</w:t>
      </w:r>
    </w:p>
    <w:p w:rsidR="00D24E61" w:rsidRPr="00771368" w:rsidRDefault="00D24E61">
      <w:pPr>
        <w:spacing w:line="344" w:lineRule="exact"/>
        <w:rPr>
          <w:sz w:val="20"/>
          <w:szCs w:val="20"/>
        </w:rPr>
      </w:pPr>
    </w:p>
    <w:p w:rsidR="00D24E61" w:rsidRPr="00771368" w:rsidRDefault="00D24E61">
      <w:pPr>
        <w:spacing w:line="189" w:lineRule="auto"/>
        <w:ind w:left="1980" w:right="40"/>
        <w:rPr>
          <w:sz w:val="20"/>
          <w:szCs w:val="20"/>
        </w:rPr>
      </w:pPr>
      <w:r w:rsidRPr="00771368">
        <w:rPr>
          <w:rFonts w:eastAsia="Times"/>
          <w:sz w:val="18"/>
          <w:szCs w:val="18"/>
        </w:rPr>
        <w:t>Art. 139 – “Difamar alguém, imputando-lhe fato ofensivo à sua reputação. Pena: detenção de três meses a um ano”. (Código Penal - Decreto Lei në 2.848)</w:t>
      </w:r>
    </w:p>
    <w:p w:rsidR="00D24E61" w:rsidRPr="00771368" w:rsidRDefault="00D24E61">
      <w:pPr>
        <w:spacing w:line="272" w:lineRule="exact"/>
        <w:rPr>
          <w:sz w:val="20"/>
          <w:szCs w:val="20"/>
        </w:rPr>
      </w:pPr>
    </w:p>
    <w:p w:rsidR="00D24E61" w:rsidRPr="00771368" w:rsidRDefault="00D24E61">
      <w:pPr>
        <w:spacing w:line="189" w:lineRule="auto"/>
        <w:ind w:left="1980" w:right="40"/>
        <w:rPr>
          <w:sz w:val="20"/>
          <w:szCs w:val="20"/>
        </w:rPr>
      </w:pPr>
      <w:r w:rsidRPr="00771368">
        <w:rPr>
          <w:rFonts w:eastAsia="Times"/>
          <w:sz w:val="18"/>
          <w:szCs w:val="18"/>
        </w:rPr>
        <w:t>Art. 140 – “Injuriar alguém, ofendendo-lhe a dignidade e o decoro. Pena: detenção de um a seis meses”. (Código Penal - Decreto Lei në 2.848)</w:t>
      </w:r>
    </w:p>
    <w:p w:rsidR="00D24E61" w:rsidRPr="00771368" w:rsidRDefault="00D24E61">
      <w:pPr>
        <w:spacing w:line="275" w:lineRule="exact"/>
        <w:rPr>
          <w:sz w:val="20"/>
          <w:szCs w:val="20"/>
        </w:rPr>
      </w:pPr>
    </w:p>
    <w:p w:rsidR="00D24E61" w:rsidRPr="00771368" w:rsidRDefault="00D24E61">
      <w:pPr>
        <w:spacing w:line="244" w:lineRule="auto"/>
        <w:ind w:right="40" w:firstLine="708"/>
        <w:jc w:val="both"/>
        <w:rPr>
          <w:sz w:val="20"/>
          <w:szCs w:val="20"/>
        </w:rPr>
      </w:pPr>
      <w:r w:rsidRPr="00771368">
        <w:rPr>
          <w:rFonts w:eastAsia="Times"/>
          <w:sz w:val="24"/>
          <w:szCs w:val="24"/>
        </w:rPr>
        <w:t>Estupro: O estupro é a relação sexual forçada, imposta à mulher pela força ou coação, sem que ela possa se defender. No Brasil, os casos de estupro são diários e atingem principalmente menores. Quando cometido pelo pai, padrasto, pai adotivo, tutor, pessoas em quem a vítima confia o estupro torna-se ainda mais odioso e, por isso, a lei prevê um aumento de pena para o estuprador. Se a moça é menor de 14 anos ou é doente mental e, pela pouca idade ou pela doença, é mais vulnerável e indefesa, o estupro se caracteriza mesmo que não haja sinais de violência. A Constituição Federal no Art. 5ë Inc. XLIII diz que a lei considerará crimes inafiançáveis e insuscetíveis de graça ou anistia a prática da tortura, tráfico, terrorismo e os definidos como crimes hediondos (...). São crimes hediondos previstos na lei në 8.072/90 o estupro, atentado violento ao pudor entre outros.</w:t>
      </w:r>
    </w:p>
    <w:p w:rsidR="00D24E61" w:rsidRPr="00771368" w:rsidRDefault="00D24E61">
      <w:pPr>
        <w:spacing w:line="132" w:lineRule="exact"/>
        <w:rPr>
          <w:sz w:val="20"/>
          <w:szCs w:val="20"/>
        </w:rPr>
      </w:pPr>
    </w:p>
    <w:p w:rsidR="00D24E61" w:rsidRPr="00771368" w:rsidRDefault="00D24E61">
      <w:pPr>
        <w:spacing w:line="242" w:lineRule="auto"/>
        <w:ind w:right="40" w:firstLine="708"/>
        <w:jc w:val="both"/>
        <w:rPr>
          <w:sz w:val="20"/>
          <w:szCs w:val="20"/>
        </w:rPr>
      </w:pPr>
      <w:r w:rsidRPr="00771368">
        <w:rPr>
          <w:rFonts w:eastAsia="Times"/>
          <w:sz w:val="23"/>
          <w:szCs w:val="23"/>
        </w:rPr>
        <w:t>Entre adultos, e mesmo dentro do casamento, entre marido e mulher, a relação sexual é imposta pela violência também caracteriza o estupro. A existência do estupro é a mais cruel manifestação da violência contra a mulher. O estupro é a completa negação da vontade da mulher, brutalizada pela força do homem. O que é preciso deixar claro é</w:t>
      </w:r>
    </w:p>
    <w:p w:rsidR="00D24E61" w:rsidRPr="00771368" w:rsidRDefault="00D24E61">
      <w:pPr>
        <w:spacing w:line="236" w:lineRule="auto"/>
        <w:ind w:right="40"/>
        <w:jc w:val="both"/>
        <w:rPr>
          <w:sz w:val="20"/>
          <w:szCs w:val="20"/>
        </w:rPr>
      </w:pPr>
      <w:r w:rsidRPr="00771368">
        <w:rPr>
          <w:rFonts w:eastAsia="Times"/>
          <w:sz w:val="24"/>
          <w:szCs w:val="24"/>
        </w:rPr>
        <w:t>que esse homem é uma ameaça à segurança pública, um criminoso. O agressor precisa ser punido. Caso o estupro se realize deve se procurar a delegacia policial mais próxima, logo em seguida, e exigir que o caso seja registrado no Boletim de Ocorrência e que seja dada uma guia para exame médico no Instituto Médico Legal. Esse exame é fundamental para poder processar o agressor, chama-se corpo de delito.</w:t>
      </w:r>
    </w:p>
    <w:p w:rsidR="00D24E61" w:rsidRPr="00771368" w:rsidRDefault="00D24E61">
      <w:pPr>
        <w:spacing w:line="128" w:lineRule="exact"/>
        <w:rPr>
          <w:sz w:val="20"/>
          <w:szCs w:val="20"/>
        </w:rPr>
      </w:pPr>
    </w:p>
    <w:p w:rsidR="00D24E61" w:rsidRPr="00771368" w:rsidRDefault="00D24E61">
      <w:pPr>
        <w:spacing w:line="225" w:lineRule="auto"/>
        <w:ind w:right="40" w:firstLine="708"/>
        <w:jc w:val="both"/>
        <w:rPr>
          <w:sz w:val="20"/>
          <w:szCs w:val="20"/>
        </w:rPr>
      </w:pPr>
      <w:r w:rsidRPr="00771368">
        <w:rPr>
          <w:rFonts w:eastAsia="Times"/>
          <w:sz w:val="24"/>
          <w:szCs w:val="24"/>
        </w:rPr>
        <w:t>A vítima também pode ir a hospital público onde há, também, um policial de plantão que anotará a queixa. O médico do hospital dará um atestado onde esteja minuciosamente descrita a agressão que sofreu.</w:t>
      </w:r>
    </w:p>
    <w:p w:rsidR="00D24E61" w:rsidRPr="00771368" w:rsidRDefault="00D24E61">
      <w:pPr>
        <w:spacing w:line="129" w:lineRule="exact"/>
        <w:rPr>
          <w:sz w:val="20"/>
          <w:szCs w:val="20"/>
        </w:rPr>
      </w:pPr>
    </w:p>
    <w:p w:rsidR="00D24E61" w:rsidRPr="00771368" w:rsidRDefault="00D24E61">
      <w:pPr>
        <w:spacing w:line="242" w:lineRule="auto"/>
        <w:ind w:right="40" w:firstLine="708"/>
        <w:jc w:val="both"/>
        <w:rPr>
          <w:sz w:val="20"/>
          <w:szCs w:val="20"/>
        </w:rPr>
      </w:pPr>
      <w:r w:rsidRPr="00771368">
        <w:rPr>
          <w:rFonts w:eastAsia="Times"/>
          <w:sz w:val="24"/>
          <w:szCs w:val="24"/>
        </w:rPr>
        <w:t>Não deve ser feita nenhuma higiene íntima antes de ser examinada por um médico, de preferência no Instituto Médico Legal. Deve se verificar, inclusive a existência de algum contágio venéreo. Se o estupro resultar gravidez, por lei, tem direito a fazer um aborto. Por isso é importante o laudo do Instituto Médico Legal que comprove a violência sexual. Se mesmo diante da evidência do estupro, o médico se recusar a fazer o aborto o fato deve ser levado ao conhecimento de um promotor público ou de um juiz criminal exigindo autorização legal para a prática desse tipo de aborto permitido por lei (DHNET, 2013, on-line).</w:t>
      </w:r>
    </w:p>
    <w:p w:rsidR="00D24E61" w:rsidRPr="00771368" w:rsidRDefault="00D24E61">
      <w:pPr>
        <w:spacing w:line="200" w:lineRule="exact"/>
        <w:rPr>
          <w:sz w:val="20"/>
          <w:szCs w:val="20"/>
        </w:rPr>
      </w:pPr>
    </w:p>
    <w:p w:rsidR="00D24E61" w:rsidRPr="00771368" w:rsidRDefault="00D24E61">
      <w:pPr>
        <w:spacing w:line="204" w:lineRule="exact"/>
        <w:rPr>
          <w:sz w:val="20"/>
          <w:szCs w:val="20"/>
        </w:rPr>
      </w:pPr>
    </w:p>
    <w:p w:rsidR="00D24E61" w:rsidRPr="00771368" w:rsidRDefault="00D24E61">
      <w:pPr>
        <w:ind w:left="1980"/>
        <w:jc w:val="both"/>
        <w:rPr>
          <w:sz w:val="20"/>
          <w:szCs w:val="20"/>
        </w:rPr>
      </w:pPr>
      <w:r w:rsidRPr="00771368">
        <w:rPr>
          <w:rFonts w:eastAsia="Times"/>
          <w:sz w:val="19"/>
          <w:szCs w:val="19"/>
        </w:rPr>
        <w:t>Art. 213 – “Constranger mulher à conjunção carnal, mediante violência ou grave ameaça”. Pena: reclusão de três a oito anos”. (Código Penal - Decreto Lei në 2.848)</w:t>
      </w:r>
    </w:p>
    <w:p w:rsidR="00D24E61" w:rsidRPr="00771368" w:rsidRDefault="00D24E61">
      <w:pPr>
        <w:spacing w:line="344" w:lineRule="exact"/>
        <w:rPr>
          <w:sz w:val="20"/>
          <w:szCs w:val="20"/>
        </w:rPr>
      </w:pPr>
    </w:p>
    <w:p w:rsidR="00D24E61" w:rsidRPr="00771368" w:rsidRDefault="00D24E61">
      <w:pPr>
        <w:spacing w:line="241" w:lineRule="auto"/>
        <w:ind w:right="40" w:firstLine="708"/>
        <w:jc w:val="both"/>
        <w:rPr>
          <w:sz w:val="20"/>
          <w:szCs w:val="20"/>
        </w:rPr>
      </w:pPr>
      <w:r w:rsidRPr="00771368">
        <w:rPr>
          <w:rFonts w:eastAsia="Times"/>
          <w:sz w:val="24"/>
          <w:szCs w:val="24"/>
        </w:rPr>
        <w:t>Atentado violento ao pudor: O atentado violento ao pudor tem uma raiz comum com o crime de estupro. Aqui, também, o agressor ignora a vontade da vítima e se impõe a ela, sexualmente, pela força. Assim, como no caso de estupro, as mulheres hesitam em denunciar o crime porque se sentem marcadas pela violência que sofreram. Como no caso de estupro, a queixa deve ser realizada na delegacia policial detalhando a violência sexual que sofreu. No caso de ter sido ferida a vítima também deve fazer um exame de corpo delito no Instituto Médico Legal que servirá de prova contra seu agressor (DHNET, 2013, on-line).</w:t>
      </w:r>
    </w:p>
    <w:p w:rsidR="00D24E61" w:rsidRPr="00771368" w:rsidRDefault="00D24E61">
      <w:pPr>
        <w:spacing w:line="136" w:lineRule="exact"/>
        <w:rPr>
          <w:sz w:val="20"/>
          <w:szCs w:val="20"/>
        </w:rPr>
      </w:pPr>
    </w:p>
    <w:p w:rsidR="00D24E61" w:rsidRPr="00771368" w:rsidRDefault="00D24E61">
      <w:pPr>
        <w:spacing w:line="188" w:lineRule="auto"/>
        <w:ind w:left="1980" w:right="40"/>
        <w:jc w:val="both"/>
        <w:rPr>
          <w:sz w:val="20"/>
          <w:szCs w:val="20"/>
        </w:rPr>
      </w:pPr>
      <w:r w:rsidRPr="00771368">
        <w:rPr>
          <w:rFonts w:eastAsia="Times"/>
          <w:sz w:val="18"/>
          <w:szCs w:val="18"/>
        </w:rPr>
        <w:t>Art. 214 – “Constranger alguém, mediante violência ou grave ameaça, a praticar ou permitir que com ela se pratique ato libidinoso diverso da conjunção carnal. Pena: reclusão de dois a sete anos”. (Código Penal - Decreto Lei në 2.848)</w:t>
      </w:r>
    </w:p>
    <w:p w:rsidR="00D24E61" w:rsidRPr="00771368" w:rsidRDefault="00D24E61">
      <w:pPr>
        <w:spacing w:line="223" w:lineRule="exact"/>
        <w:rPr>
          <w:sz w:val="20"/>
          <w:szCs w:val="20"/>
        </w:rPr>
      </w:pPr>
    </w:p>
    <w:p w:rsidR="00D24E61" w:rsidRPr="00771368" w:rsidRDefault="00D24E61">
      <w:pPr>
        <w:spacing w:line="232" w:lineRule="auto"/>
        <w:ind w:right="40" w:firstLine="708"/>
        <w:jc w:val="both"/>
        <w:rPr>
          <w:sz w:val="20"/>
          <w:szCs w:val="20"/>
        </w:rPr>
      </w:pPr>
      <w:r w:rsidRPr="00771368">
        <w:rPr>
          <w:rFonts w:eastAsia="Times"/>
          <w:sz w:val="24"/>
          <w:szCs w:val="24"/>
        </w:rPr>
        <w:t>Sedução: Em que pese o conteúdo preconceituoso deste artigo nos tempos atuais, a lei pode ser um recurso útil se a jovem, engravidando dessa relação sexual, e pretender provar a paternidade do autor da sedução, se este se eximir de sua responsabilidade quanto ao filho. Os responsáveis pela menor devem levar o fato ao</w:t>
      </w:r>
    </w:p>
    <w:p w:rsidR="00D24E61" w:rsidRPr="00771368" w:rsidRDefault="00D24E61">
      <w:pPr>
        <w:spacing w:line="213" w:lineRule="auto"/>
        <w:rPr>
          <w:sz w:val="20"/>
          <w:szCs w:val="20"/>
        </w:rPr>
      </w:pPr>
      <w:r w:rsidRPr="00771368">
        <w:rPr>
          <w:rFonts w:eastAsia="Times"/>
          <w:sz w:val="24"/>
          <w:szCs w:val="24"/>
        </w:rPr>
        <w:t>conhecimento da delegacia de polícia que tem a obrigação de anotar tudo que for dito no Boletim de Ocorrência (DHNET, 2013, on-line).</w:t>
      </w:r>
    </w:p>
    <w:p w:rsidR="00D24E61" w:rsidRPr="00771368" w:rsidRDefault="00D24E61">
      <w:pPr>
        <w:spacing w:line="128" w:lineRule="exact"/>
        <w:rPr>
          <w:sz w:val="20"/>
          <w:szCs w:val="20"/>
        </w:rPr>
      </w:pPr>
    </w:p>
    <w:p w:rsidR="00D24E61" w:rsidRPr="00771368" w:rsidRDefault="00D24E61">
      <w:pPr>
        <w:spacing w:line="188" w:lineRule="auto"/>
        <w:ind w:left="1980" w:firstLine="50"/>
        <w:jc w:val="both"/>
        <w:rPr>
          <w:sz w:val="20"/>
          <w:szCs w:val="20"/>
        </w:rPr>
      </w:pPr>
      <w:r w:rsidRPr="00771368">
        <w:rPr>
          <w:rFonts w:eastAsia="Times"/>
          <w:sz w:val="20"/>
          <w:szCs w:val="20"/>
        </w:rPr>
        <w:t>Art. 217 – “Seduzir mulher virgem, menor de 18 anos e maior de quatorze anos e ter com ela conjunção carnal, aproveitando-se de sua inexperiência ou justificável confiança. Pena: reclusão de 2 à 4 anos”. (Código Penal - Decreto Lei në 2.848)</w:t>
      </w:r>
    </w:p>
    <w:p w:rsidR="00D24E61" w:rsidRPr="00771368" w:rsidRDefault="00D24E61">
      <w:pPr>
        <w:spacing w:line="226" w:lineRule="exact"/>
        <w:rPr>
          <w:sz w:val="20"/>
          <w:szCs w:val="20"/>
        </w:rPr>
      </w:pPr>
    </w:p>
    <w:p w:rsidR="00D24E61" w:rsidRPr="00771368" w:rsidRDefault="00D24E61">
      <w:pPr>
        <w:ind w:firstLine="708"/>
        <w:jc w:val="both"/>
        <w:rPr>
          <w:sz w:val="20"/>
          <w:szCs w:val="20"/>
        </w:rPr>
      </w:pPr>
      <w:r w:rsidRPr="00771368">
        <w:rPr>
          <w:rFonts w:eastAsia="Times"/>
          <w:sz w:val="24"/>
          <w:szCs w:val="24"/>
        </w:rPr>
        <w:t>Lesão corporal: Essa prática e tão largamente difundida e isso em todas as classes sociais que a polícia, a justiça e as próprias mulheres durante muito tempo tomaram diante dela uma atitude fatalista e simplificadora. O fato é que um silêncio irresponsável e cúmplice cerca o espancamento de mulheres. Só recentemente as mulheres começaram a se dar conta de que apanhando de homem sem dar queixa à polícia estavam deixando impune um crime. Denunciá-lo é a melhor maneira de prevenir uma segunda vez.</w:t>
      </w:r>
    </w:p>
    <w:p w:rsidR="00D24E61" w:rsidRPr="00771368" w:rsidRDefault="00D24E61">
      <w:pPr>
        <w:spacing w:line="130" w:lineRule="exact"/>
        <w:rPr>
          <w:sz w:val="20"/>
          <w:szCs w:val="20"/>
        </w:rPr>
      </w:pPr>
    </w:p>
    <w:p w:rsidR="00D24E61" w:rsidRPr="00771368" w:rsidRDefault="00D24E61">
      <w:pPr>
        <w:spacing w:line="244" w:lineRule="auto"/>
        <w:ind w:firstLine="708"/>
        <w:jc w:val="both"/>
        <w:rPr>
          <w:sz w:val="20"/>
          <w:szCs w:val="20"/>
        </w:rPr>
      </w:pPr>
      <w:r w:rsidRPr="00771368">
        <w:rPr>
          <w:rFonts w:eastAsia="Times"/>
          <w:sz w:val="24"/>
          <w:szCs w:val="24"/>
        </w:rPr>
        <w:t>Ora, pancada que, em si, já é um crime pode ter consequências mais graves: uma mulher grávida que, depois do espancamento aborta ou tem o parto acelerado, prejudicando a criança ou perde um de seus sentidos (visão, audição, fala) ou fica com deformidade permanente, são exemplos de casos em que a pena é aumentada. Caso a vítima se machuque com tal lesão deve ir direto a um hospital público onde há sempre um policial de plantão que anotará a sua queixa contra o agressor. Deve também formalizar a queixa numa delegacia de polícia, exigindo que se façam anotações no Boletim de Ocorrência e que lhe dêem uma guia para exame de corpo delito no Instituto Médico Legal. Esse exame é fundamental para processar criminalmente o agressor e até para lhe exigir, posteriormente, uma indenização pelos danos causados (DHNET, 2013, on-line).</w:t>
      </w:r>
    </w:p>
    <w:p w:rsidR="00D24E61" w:rsidRPr="00771368" w:rsidRDefault="00D24E61">
      <w:pPr>
        <w:spacing w:line="132" w:lineRule="exact"/>
        <w:rPr>
          <w:sz w:val="20"/>
          <w:szCs w:val="20"/>
        </w:rPr>
      </w:pPr>
    </w:p>
    <w:p w:rsidR="00D24E61" w:rsidRPr="00771368" w:rsidRDefault="00D24E61">
      <w:pPr>
        <w:spacing w:line="189" w:lineRule="auto"/>
        <w:ind w:left="1980"/>
        <w:jc w:val="both"/>
        <w:rPr>
          <w:sz w:val="20"/>
          <w:szCs w:val="20"/>
        </w:rPr>
      </w:pPr>
      <w:r w:rsidRPr="00771368">
        <w:rPr>
          <w:rFonts w:eastAsia="Times"/>
          <w:sz w:val="18"/>
          <w:szCs w:val="18"/>
        </w:rPr>
        <w:t>Art. 129 – “Ofender a integridade corporal ou a saúde a outrem. Pena: detenção de três meses a um ano”. (Código Penal - Decreto Lei në 2.848)</w:t>
      </w:r>
    </w:p>
    <w:p w:rsidR="00D24E61" w:rsidRPr="00771368" w:rsidRDefault="00D24E61">
      <w:pPr>
        <w:spacing w:line="275" w:lineRule="exact"/>
        <w:rPr>
          <w:sz w:val="20"/>
          <w:szCs w:val="20"/>
        </w:rPr>
      </w:pPr>
    </w:p>
    <w:p w:rsidR="00D24E61" w:rsidRPr="00771368" w:rsidRDefault="00D24E61">
      <w:pPr>
        <w:spacing w:line="187" w:lineRule="auto"/>
        <w:ind w:left="1980" w:firstLine="2"/>
        <w:jc w:val="both"/>
        <w:rPr>
          <w:sz w:val="20"/>
          <w:szCs w:val="20"/>
        </w:rPr>
      </w:pPr>
      <w:r w:rsidRPr="00771368">
        <w:rPr>
          <w:rFonts w:eastAsia="Times"/>
          <w:sz w:val="18"/>
          <w:szCs w:val="18"/>
        </w:rPr>
        <w:t>§ 9ë “Se a lesão for praticada contra ascendente, dependente, irmão, conjugue ou companheiro, ou com quem conviva ou tenha convivido, ou ainda, prevalecendo se o agente das relações domésticas, de coabitação ou de hospitalidade: Pena detenção de 3 meses a 3 anos”.</w:t>
      </w:r>
    </w:p>
    <w:p w:rsidR="00D24E61" w:rsidRPr="00771368" w:rsidRDefault="00D24E61">
      <w:pPr>
        <w:spacing w:line="277" w:lineRule="exact"/>
        <w:rPr>
          <w:sz w:val="20"/>
          <w:szCs w:val="20"/>
        </w:rPr>
      </w:pPr>
    </w:p>
    <w:p w:rsidR="00D24E61" w:rsidRPr="00771368" w:rsidRDefault="00D24E61">
      <w:pPr>
        <w:spacing w:line="238" w:lineRule="auto"/>
        <w:ind w:firstLine="708"/>
        <w:jc w:val="both"/>
        <w:rPr>
          <w:sz w:val="20"/>
          <w:szCs w:val="20"/>
        </w:rPr>
      </w:pPr>
      <w:r w:rsidRPr="00771368">
        <w:rPr>
          <w:rFonts w:eastAsia="Times"/>
          <w:sz w:val="24"/>
          <w:szCs w:val="24"/>
        </w:rPr>
        <w:t>Homicídio: Os homicídios contra as mulheres são numerosos e são, na maioria dos casos, o ponto de chegada de um caminho acidentado, feito de violência, pancada, berros e palavrões (DHNET, 2013, on-line). O homicídio é considerado o crime mais grave do Código Penal. Este Código, de acordo com as circunstâncias, prevê o aumento ou a diminuição da pena. A pena máxima pode chegar, com agravantes, até 30 anos de prisão.</w:t>
      </w:r>
    </w:p>
    <w:p w:rsidR="00D24E61" w:rsidRPr="00771368" w:rsidRDefault="00D24E61">
      <w:pPr>
        <w:spacing w:line="180" w:lineRule="auto"/>
        <w:ind w:left="1980"/>
        <w:rPr>
          <w:sz w:val="20"/>
          <w:szCs w:val="20"/>
        </w:rPr>
      </w:pPr>
      <w:r w:rsidRPr="00771368">
        <w:rPr>
          <w:rFonts w:eastAsia="Times"/>
          <w:sz w:val="19"/>
          <w:szCs w:val="19"/>
        </w:rPr>
        <w:t>Art. 121 – “Matar alguém. Pena: reclusão de seis a vinte anos”. (Código Penal - Decreto Lei në 2.848)</w:t>
      </w:r>
    </w:p>
    <w:p w:rsidR="00D24E61" w:rsidRPr="00771368" w:rsidRDefault="00D24E61">
      <w:pPr>
        <w:spacing w:line="191" w:lineRule="exact"/>
        <w:rPr>
          <w:sz w:val="20"/>
          <w:szCs w:val="20"/>
        </w:rPr>
      </w:pPr>
    </w:p>
    <w:p w:rsidR="00D24E61" w:rsidRPr="00771368" w:rsidRDefault="00D24E61">
      <w:pPr>
        <w:spacing w:line="242" w:lineRule="auto"/>
        <w:ind w:firstLine="708"/>
        <w:jc w:val="both"/>
        <w:rPr>
          <w:sz w:val="20"/>
          <w:szCs w:val="20"/>
        </w:rPr>
      </w:pPr>
      <w:r w:rsidRPr="00771368">
        <w:rPr>
          <w:rFonts w:eastAsia="Times"/>
          <w:sz w:val="24"/>
          <w:szCs w:val="24"/>
        </w:rPr>
        <w:t>A partir da queixa, a delegada inicia o inquérito policial, mandando chamar para ser ouvidas as testemunhas e o agressor, caso este tenha sido identificado. Terminado o inquérito policial, a delegada mandará o resultado da investigação para um Promotor de Justiça, para que o agressor seja processado, julgado e, se considerado culpado, condenado. Nos casos de violência sexual, particularmente, a vítima tem o prazo de seis meses para apresentar a queixa na delegacia. Tanto na delegacia quanto na justiça a vítima de violência sexual pode pedir que a identidade seja preservada (DHNET, 2013, on-line).</w:t>
      </w:r>
    </w:p>
    <w:p w:rsidR="00D24E61" w:rsidRPr="00771368" w:rsidRDefault="00D24E61">
      <w:pPr>
        <w:spacing w:line="17" w:lineRule="exact"/>
        <w:rPr>
          <w:sz w:val="20"/>
          <w:szCs w:val="20"/>
        </w:rPr>
      </w:pPr>
    </w:p>
    <w:p w:rsidR="00D24E61" w:rsidRPr="00771368" w:rsidRDefault="00D24E61">
      <w:pPr>
        <w:ind w:left="700"/>
        <w:rPr>
          <w:sz w:val="20"/>
          <w:szCs w:val="20"/>
        </w:rPr>
      </w:pPr>
      <w:r w:rsidRPr="00771368">
        <w:rPr>
          <w:rFonts w:eastAsia="Times"/>
          <w:b/>
          <w:bCs/>
          <w:sz w:val="24"/>
          <w:szCs w:val="24"/>
        </w:rPr>
        <w:t xml:space="preserve">Como prevenir os crimes contra as mulheres </w:t>
      </w:r>
      <w:r w:rsidRPr="00771368">
        <w:rPr>
          <w:rFonts w:eastAsia="Times"/>
          <w:sz w:val="24"/>
          <w:szCs w:val="24"/>
        </w:rPr>
        <w:t>(DHNET, 2013, on-line):</w:t>
      </w:r>
    </w:p>
    <w:p w:rsidR="00D24E61" w:rsidRPr="00771368" w:rsidRDefault="00D24E61">
      <w:pPr>
        <w:spacing w:line="6" w:lineRule="exact"/>
        <w:rPr>
          <w:sz w:val="20"/>
          <w:szCs w:val="20"/>
        </w:rPr>
      </w:pPr>
    </w:p>
    <w:p w:rsidR="00D24E61" w:rsidRPr="00771368" w:rsidRDefault="00D24E61" w:rsidP="00EA38AA">
      <w:pPr>
        <w:numPr>
          <w:ilvl w:val="0"/>
          <w:numId w:val="50"/>
        </w:numPr>
        <w:tabs>
          <w:tab w:val="left" w:pos="940"/>
        </w:tabs>
        <w:jc w:val="both"/>
        <w:rPr>
          <w:rFonts w:eastAsia="Times"/>
          <w:sz w:val="24"/>
          <w:szCs w:val="24"/>
        </w:rPr>
      </w:pPr>
      <w:r w:rsidRPr="00771368">
        <w:rPr>
          <w:rFonts w:eastAsia="Times"/>
          <w:sz w:val="24"/>
          <w:szCs w:val="24"/>
        </w:rPr>
        <w:t>Conhecer e fazer valer os seus direitos.</w:t>
      </w:r>
    </w:p>
    <w:p w:rsidR="00D24E61" w:rsidRPr="00771368" w:rsidRDefault="00D24E61">
      <w:pPr>
        <w:spacing w:line="125" w:lineRule="exact"/>
        <w:rPr>
          <w:rFonts w:eastAsia="Times"/>
          <w:sz w:val="24"/>
          <w:szCs w:val="24"/>
        </w:rPr>
      </w:pPr>
    </w:p>
    <w:p w:rsidR="00D24E61" w:rsidRPr="00771368" w:rsidRDefault="00D24E61" w:rsidP="00EA38AA">
      <w:pPr>
        <w:numPr>
          <w:ilvl w:val="0"/>
          <w:numId w:val="50"/>
        </w:numPr>
        <w:tabs>
          <w:tab w:val="left" w:pos="967"/>
        </w:tabs>
        <w:spacing w:line="213" w:lineRule="auto"/>
        <w:jc w:val="both"/>
        <w:rPr>
          <w:rFonts w:eastAsia="Times"/>
          <w:sz w:val="24"/>
          <w:szCs w:val="24"/>
        </w:rPr>
      </w:pPr>
      <w:r w:rsidRPr="00771368">
        <w:rPr>
          <w:rFonts w:eastAsia="Times"/>
          <w:sz w:val="24"/>
          <w:szCs w:val="24"/>
        </w:rPr>
        <w:t>Lutar contra a mentalidade e as leis que colocam as mulheres em posição de subordinação aos homens na sociedade.</w:t>
      </w:r>
    </w:p>
    <w:p w:rsidR="00D24E61" w:rsidRPr="00771368" w:rsidRDefault="00D24E61">
      <w:pPr>
        <w:spacing w:line="126" w:lineRule="exact"/>
        <w:rPr>
          <w:rFonts w:eastAsia="Times"/>
          <w:sz w:val="24"/>
          <w:szCs w:val="24"/>
        </w:rPr>
      </w:pPr>
    </w:p>
    <w:p w:rsidR="00D24E61" w:rsidRPr="00771368" w:rsidRDefault="00D24E61" w:rsidP="00EA38AA">
      <w:pPr>
        <w:numPr>
          <w:ilvl w:val="0"/>
          <w:numId w:val="50"/>
        </w:numPr>
        <w:tabs>
          <w:tab w:val="left" w:pos="955"/>
        </w:tabs>
        <w:spacing w:line="213" w:lineRule="auto"/>
        <w:jc w:val="both"/>
        <w:rPr>
          <w:rFonts w:eastAsia="Times"/>
          <w:sz w:val="24"/>
          <w:szCs w:val="24"/>
        </w:rPr>
      </w:pPr>
      <w:r w:rsidRPr="00771368">
        <w:rPr>
          <w:rFonts w:eastAsia="Times"/>
          <w:sz w:val="24"/>
          <w:szCs w:val="24"/>
        </w:rPr>
        <w:t>Atacar a indiferença social fazendo com que todos saibam e concordem que a violência contra a mulher é um crime.</w:t>
      </w:r>
    </w:p>
    <w:p w:rsidR="00D24E61" w:rsidRPr="00771368" w:rsidRDefault="00D24E61">
      <w:pPr>
        <w:spacing w:line="18" w:lineRule="exact"/>
        <w:rPr>
          <w:rFonts w:eastAsia="Times"/>
          <w:sz w:val="24"/>
          <w:szCs w:val="24"/>
        </w:rPr>
      </w:pPr>
    </w:p>
    <w:p w:rsidR="00D24E61" w:rsidRPr="00771368" w:rsidRDefault="00D24E61" w:rsidP="00EA38AA">
      <w:pPr>
        <w:numPr>
          <w:ilvl w:val="1"/>
          <w:numId w:val="50"/>
        </w:numPr>
        <w:tabs>
          <w:tab w:val="left" w:pos="1020"/>
        </w:tabs>
        <w:jc w:val="both"/>
        <w:rPr>
          <w:rFonts w:eastAsia="Times"/>
          <w:sz w:val="24"/>
          <w:szCs w:val="24"/>
        </w:rPr>
      </w:pPr>
      <w:r w:rsidRPr="00771368">
        <w:rPr>
          <w:rFonts w:eastAsia="Times"/>
          <w:sz w:val="24"/>
          <w:szCs w:val="24"/>
        </w:rPr>
        <w:t>Lutar contra a impunidade dos agressores.</w:t>
      </w:r>
    </w:p>
    <w:p w:rsidR="00D24E61" w:rsidRPr="00771368" w:rsidRDefault="00D24E61">
      <w:pPr>
        <w:spacing w:line="20" w:lineRule="exact"/>
        <w:rPr>
          <w:sz w:val="20"/>
          <w:szCs w:val="20"/>
        </w:rPr>
      </w:pPr>
    </w:p>
    <w:p w:rsidR="00D24E61" w:rsidRPr="00771368" w:rsidRDefault="00D24E61">
      <w:pPr>
        <w:ind w:left="700"/>
        <w:rPr>
          <w:sz w:val="20"/>
          <w:szCs w:val="20"/>
        </w:rPr>
      </w:pPr>
      <w:r w:rsidRPr="00771368">
        <w:rPr>
          <w:rFonts w:eastAsia="Times"/>
          <w:sz w:val="24"/>
          <w:szCs w:val="24"/>
        </w:rPr>
        <w:t>5. Romper o isolamento criando uma rede de denúncias.</w:t>
      </w:r>
    </w:p>
    <w:p w:rsidR="00D24E61" w:rsidRPr="00771368" w:rsidRDefault="00D24E61">
      <w:pPr>
        <w:spacing w:line="327" w:lineRule="exact"/>
        <w:rPr>
          <w:sz w:val="20"/>
          <w:szCs w:val="20"/>
        </w:rPr>
      </w:pPr>
    </w:p>
    <w:p w:rsidR="00D24E61" w:rsidRPr="00771368" w:rsidRDefault="00D24E61">
      <w:pPr>
        <w:spacing w:line="241" w:lineRule="auto"/>
        <w:ind w:firstLine="708"/>
        <w:jc w:val="both"/>
        <w:rPr>
          <w:sz w:val="20"/>
          <w:szCs w:val="20"/>
        </w:rPr>
      </w:pPr>
      <w:r w:rsidRPr="00771368">
        <w:rPr>
          <w:rFonts w:eastAsia="Times"/>
          <w:sz w:val="24"/>
          <w:szCs w:val="24"/>
        </w:rPr>
        <w:t>A luta pelo direito das mulheres vem sendo travada desde 1911, quando 130 operárias morreram carbonizadas em uma fábrica em Nova York, embora só em 1977 a ONU assinou o primeiro acordo internacional que afirma o princípio de igualdade entre homens e mulheres e reconhece o dia 08 de março como o dia Internacional das mulheres. No Brasil a partir de 1970 surgiram organizações que passaram a incluir na pauta dos discursos a igualdade entre gênero, a sexualidade e a saúde da mulher e em 1985 o feminismo passou a ter um dialogo importante com o aparecimento da primeira delegacia Especializada da Mulher (NADAL, 2013, on-line).</w:t>
      </w:r>
    </w:p>
    <w:p w:rsidR="00D24E61" w:rsidRPr="00771368" w:rsidRDefault="00D24E61">
      <w:pPr>
        <w:spacing w:line="335" w:lineRule="exact"/>
        <w:rPr>
          <w:sz w:val="20"/>
          <w:szCs w:val="20"/>
        </w:rPr>
      </w:pPr>
    </w:p>
    <w:p w:rsidR="00D24E61" w:rsidRPr="00771368" w:rsidRDefault="00D24E61">
      <w:pPr>
        <w:spacing w:line="185" w:lineRule="auto"/>
        <w:ind w:left="1980" w:hanging="1"/>
        <w:jc w:val="both"/>
        <w:rPr>
          <w:sz w:val="20"/>
          <w:szCs w:val="20"/>
        </w:rPr>
      </w:pPr>
      <w:r w:rsidRPr="00771368">
        <w:rPr>
          <w:rFonts w:eastAsia="Times"/>
          <w:sz w:val="18"/>
          <w:szCs w:val="18"/>
        </w:rPr>
        <w:t>Art.2ë - Toda mulher, independente de classe, raça, etnia, orientação sexual, renda, cultura, nível educacional, idade e religião, goza dos direitos fundamentais inerentes à pessoa humana, sendo-lhe asseguradas as oportunidades e facilidades para viver SEM VIOLÊNCIA, preservar sua saúde física e mental e seu aperfeiçoamento moral, intelectual e social (Lei në 11.340</w:t>
      </w:r>
    </w:p>
    <w:p w:rsidR="00D24E61" w:rsidRPr="00771368" w:rsidRDefault="00D24E61">
      <w:pPr>
        <w:spacing w:line="185" w:lineRule="auto"/>
        <w:ind w:left="1980"/>
        <w:rPr>
          <w:sz w:val="20"/>
          <w:szCs w:val="20"/>
        </w:rPr>
      </w:pPr>
      <w:r w:rsidRPr="00771368">
        <w:rPr>
          <w:rFonts w:eastAsia="Times"/>
          <w:sz w:val="20"/>
          <w:szCs w:val="20"/>
        </w:rPr>
        <w:t>de 07/08/2006 – Lei Maria da Penha</w:t>
      </w:r>
      <w:r w:rsidRPr="00771368">
        <w:rPr>
          <w:rFonts w:eastAsia="Times"/>
          <w:sz w:val="23"/>
          <w:szCs w:val="23"/>
        </w:rPr>
        <w:t>).</w:t>
      </w:r>
    </w:p>
    <w:p w:rsidR="00D24E61" w:rsidRPr="00771368" w:rsidRDefault="00D24E61">
      <w:pPr>
        <w:rPr>
          <w:sz w:val="20"/>
          <w:szCs w:val="20"/>
        </w:rPr>
      </w:pPr>
      <w:r w:rsidRPr="00771368">
        <w:rPr>
          <w:rFonts w:eastAsia="Times"/>
          <w:b/>
          <w:bCs/>
          <w:sz w:val="24"/>
          <w:szCs w:val="24"/>
        </w:rPr>
        <w:t>Conclusões</w:t>
      </w:r>
    </w:p>
    <w:p w:rsidR="00D24E61" w:rsidRPr="00771368" w:rsidRDefault="00D24E61">
      <w:pPr>
        <w:spacing w:line="109" w:lineRule="exact"/>
        <w:rPr>
          <w:sz w:val="20"/>
          <w:szCs w:val="20"/>
        </w:rPr>
      </w:pPr>
    </w:p>
    <w:p w:rsidR="00D24E61" w:rsidRPr="00771368" w:rsidRDefault="00D24E61">
      <w:pPr>
        <w:spacing w:line="225" w:lineRule="auto"/>
        <w:ind w:firstLine="708"/>
        <w:jc w:val="both"/>
        <w:rPr>
          <w:sz w:val="20"/>
          <w:szCs w:val="20"/>
        </w:rPr>
      </w:pPr>
      <w:r w:rsidRPr="00771368">
        <w:rPr>
          <w:rFonts w:eastAsia="Times"/>
          <w:sz w:val="24"/>
          <w:szCs w:val="24"/>
        </w:rPr>
        <w:t>Ao adotar a Lei Maria da Penha em 07 de agosto de 2006 o Brasil assumiu junto com a Constituição Federal o compromisso de coibir, prevenir, punir e erradicar a violência contra a mulher.</w:t>
      </w:r>
    </w:p>
    <w:p w:rsidR="00D24E61" w:rsidRPr="00771368" w:rsidRDefault="00D24E61">
      <w:pPr>
        <w:spacing w:line="129" w:lineRule="exact"/>
        <w:rPr>
          <w:sz w:val="20"/>
          <w:szCs w:val="20"/>
        </w:rPr>
      </w:pPr>
    </w:p>
    <w:p w:rsidR="00D24E61" w:rsidRPr="00771368" w:rsidRDefault="00D24E61">
      <w:pPr>
        <w:spacing w:line="243" w:lineRule="auto"/>
        <w:ind w:firstLine="708"/>
        <w:jc w:val="both"/>
        <w:rPr>
          <w:sz w:val="20"/>
          <w:szCs w:val="20"/>
        </w:rPr>
      </w:pPr>
      <w:r w:rsidRPr="00771368">
        <w:rPr>
          <w:rFonts w:eastAsia="Times"/>
          <w:sz w:val="23"/>
          <w:szCs w:val="23"/>
        </w:rPr>
        <w:t>Tendo em vista que o Brasil possui um vasto legado de Leis que podem defender as mulheres, a evolução destas leis é de suma importância para os dias atuais. As mulheres ainda enfrentam a descriminação de gênero causada pela violência da cultura patriarcal, onde os homens se projetam como seres de maior poder sobre as mulheres.</w:t>
      </w:r>
    </w:p>
    <w:p w:rsidR="00D24E61" w:rsidRPr="00771368" w:rsidRDefault="00D24E61">
      <w:pPr>
        <w:spacing w:line="122" w:lineRule="exact"/>
        <w:rPr>
          <w:sz w:val="20"/>
          <w:szCs w:val="20"/>
        </w:rPr>
      </w:pPr>
    </w:p>
    <w:p w:rsidR="00D24E61" w:rsidRPr="00771368" w:rsidRDefault="00D24E61">
      <w:pPr>
        <w:spacing w:line="236" w:lineRule="auto"/>
        <w:ind w:firstLine="708"/>
        <w:jc w:val="both"/>
        <w:rPr>
          <w:sz w:val="20"/>
          <w:szCs w:val="20"/>
        </w:rPr>
      </w:pPr>
      <w:r w:rsidRPr="00771368">
        <w:rPr>
          <w:rFonts w:eastAsia="Times"/>
          <w:sz w:val="24"/>
          <w:szCs w:val="24"/>
        </w:rPr>
        <w:t>A informação é um elemento fundamental de defesa. No entanto a falta de informação em vários cidades brasileiras é um ponto que carece de campanhas educativas. É nítida a necessidade de uma política educativa, de orientação sexual para crianças e adolescente e de cumprimento rigoroso das leis com punição exemplar aos agressores.</w:t>
      </w:r>
    </w:p>
    <w:p w:rsidR="00D24E61" w:rsidRPr="00771368" w:rsidRDefault="00D24E61">
      <w:pPr>
        <w:spacing w:line="128" w:lineRule="exact"/>
        <w:rPr>
          <w:sz w:val="20"/>
          <w:szCs w:val="20"/>
        </w:rPr>
      </w:pPr>
    </w:p>
    <w:p w:rsidR="00D24E61" w:rsidRPr="00771368" w:rsidRDefault="00D24E61">
      <w:pPr>
        <w:spacing w:line="238" w:lineRule="auto"/>
        <w:ind w:firstLine="708"/>
        <w:jc w:val="both"/>
        <w:rPr>
          <w:sz w:val="20"/>
          <w:szCs w:val="20"/>
        </w:rPr>
      </w:pPr>
      <w:r w:rsidRPr="00771368">
        <w:rPr>
          <w:rFonts w:eastAsia="Times"/>
          <w:sz w:val="24"/>
          <w:szCs w:val="24"/>
        </w:rPr>
        <w:t>Quando tratamos o caso das meninas iemenitas podemos observar que no berço da civilização a exclusão feminina ainda é uma questão muito forte. Em uma sociedade onde a lei que impera é a dos costumes antigos o que podemos observar é um regime de submissão absoluta. O casamento infantil é tratado como prática comum graças à cultura patriarcal do país, assunto esse que merece mais atenção, pois representa riscos à saúde das mulheres.</w:t>
      </w:r>
    </w:p>
    <w:p w:rsidR="00D24E61" w:rsidRPr="00771368" w:rsidRDefault="00D24E61">
      <w:pPr>
        <w:spacing w:line="132" w:lineRule="exact"/>
        <w:rPr>
          <w:sz w:val="20"/>
          <w:szCs w:val="20"/>
        </w:rPr>
      </w:pPr>
    </w:p>
    <w:p w:rsidR="00D24E61" w:rsidRPr="00771368" w:rsidRDefault="00D24E61">
      <w:pPr>
        <w:spacing w:line="241" w:lineRule="auto"/>
        <w:ind w:firstLine="708"/>
        <w:jc w:val="both"/>
        <w:rPr>
          <w:sz w:val="20"/>
          <w:szCs w:val="20"/>
        </w:rPr>
      </w:pPr>
      <w:r w:rsidRPr="00771368">
        <w:rPr>
          <w:rFonts w:eastAsia="Times"/>
          <w:sz w:val="24"/>
          <w:szCs w:val="24"/>
        </w:rPr>
        <w:t>Quando confrontamos os costumes da civilização feminina do Oriente Médio com a realidade vivida pelas brasileiras construímos uma consciência de mudança urgente que intriga o mundo masculino. A sexualidade precoce das brasileiras na faze da puberdade é um assunto preocupante, pois a gravidez na adolescência prejudica á educação e representa risco à saúde. Essas meninas são vistas como vítimas indefesas e silenciosas, o que potencializa os riscos de sofrerem violência. Esta visão vitimizada da mulher desencadeia a violência contra a mesma, tendo em vista que existe em nossa sociedade um sentimento de impunidade e medo que impera.</w:t>
      </w:r>
    </w:p>
    <w:p w:rsidR="00D24E61" w:rsidRPr="00771368" w:rsidRDefault="00D24E61">
      <w:pPr>
        <w:spacing w:line="137" w:lineRule="exact"/>
        <w:rPr>
          <w:sz w:val="20"/>
          <w:szCs w:val="20"/>
        </w:rPr>
      </w:pPr>
    </w:p>
    <w:p w:rsidR="00D24E61" w:rsidRPr="00771368" w:rsidRDefault="00D24E61">
      <w:pPr>
        <w:ind w:firstLine="708"/>
        <w:jc w:val="both"/>
        <w:rPr>
          <w:sz w:val="20"/>
          <w:szCs w:val="20"/>
        </w:rPr>
      </w:pPr>
      <w:r w:rsidRPr="00771368">
        <w:rPr>
          <w:rFonts w:eastAsia="Times"/>
          <w:sz w:val="24"/>
          <w:szCs w:val="24"/>
        </w:rPr>
        <w:t>No desdobrado desta pesquisa é possível perceber que existe uma grande necessidade de adoção de políticas públicas educativas para resgatar a inocência perdidas destas e de futuras gerações, bem como resgatar o respeito à mulher. No entanto só através do uso das leis brasileiras será possível romper o ciclo de impunidade. Visto que coibir a vitimização feminina, bem como a punição efetiva dos infratores potencializará os direitos femininos de viver sem violência, desta forma será possível construir a igualdade de gênero.</w:t>
      </w:r>
    </w:p>
    <w:p w:rsidR="002E3256" w:rsidRDefault="002E3256">
      <w:pPr>
        <w:rPr>
          <w:rFonts w:eastAsia="Times"/>
          <w:b/>
          <w:bCs/>
          <w:sz w:val="24"/>
          <w:szCs w:val="24"/>
        </w:rPr>
      </w:pPr>
    </w:p>
    <w:p w:rsidR="00D24E61" w:rsidRPr="00771368" w:rsidRDefault="00D24E61">
      <w:pPr>
        <w:rPr>
          <w:sz w:val="20"/>
          <w:szCs w:val="20"/>
        </w:rPr>
      </w:pPr>
      <w:r w:rsidRPr="00771368">
        <w:rPr>
          <w:rFonts w:eastAsia="Times"/>
          <w:b/>
          <w:bCs/>
          <w:sz w:val="24"/>
          <w:szCs w:val="24"/>
        </w:rPr>
        <w:t>Referencias Bibliográficas</w:t>
      </w:r>
    </w:p>
    <w:p w:rsidR="00D24E61" w:rsidRPr="00771368" w:rsidRDefault="00D24E61">
      <w:pPr>
        <w:spacing w:line="239" w:lineRule="exact"/>
        <w:rPr>
          <w:sz w:val="20"/>
          <w:szCs w:val="20"/>
        </w:rPr>
      </w:pPr>
    </w:p>
    <w:p w:rsidR="00D24E61" w:rsidRPr="00771368" w:rsidRDefault="00D24E61">
      <w:pPr>
        <w:spacing w:line="229" w:lineRule="auto"/>
        <w:rPr>
          <w:sz w:val="20"/>
          <w:szCs w:val="20"/>
        </w:rPr>
      </w:pPr>
      <w:r w:rsidRPr="00771368">
        <w:rPr>
          <w:rFonts w:eastAsia="Times"/>
          <w:sz w:val="24"/>
          <w:szCs w:val="24"/>
        </w:rPr>
        <w:t xml:space="preserve">JONES, Sherry. </w:t>
      </w:r>
      <w:r w:rsidRPr="00771368">
        <w:rPr>
          <w:rFonts w:eastAsia="Times"/>
          <w:b/>
          <w:bCs/>
          <w:sz w:val="24"/>
          <w:szCs w:val="24"/>
        </w:rPr>
        <w:t>A Joia de Medina</w:t>
      </w:r>
      <w:r w:rsidRPr="00771368">
        <w:rPr>
          <w:rFonts w:eastAsia="Times"/>
          <w:sz w:val="24"/>
          <w:szCs w:val="24"/>
        </w:rPr>
        <w:t xml:space="preserve">. 01. ed. Rio de Janeiro: Record, 2009. 428p. COLOMBO, Valentina. </w:t>
      </w:r>
      <w:r w:rsidRPr="00771368">
        <w:rPr>
          <w:rFonts w:eastAsia="Times"/>
          <w:b/>
          <w:bCs/>
          <w:sz w:val="24"/>
          <w:szCs w:val="24"/>
        </w:rPr>
        <w:t>Salvar as meninas-esposas</w:t>
      </w:r>
      <w:r w:rsidRPr="00771368">
        <w:rPr>
          <w:rFonts w:eastAsia="Times"/>
          <w:sz w:val="24"/>
          <w:szCs w:val="24"/>
        </w:rPr>
        <w:t>. Roma, 11 set. 2013. Disponível em: &lt;http://www.zenit.org/pt/articles/salvar-as-meninas-esposas&gt;. Acesso em: 13 set. 2013.</w:t>
      </w:r>
    </w:p>
    <w:p w:rsidR="00D24E61" w:rsidRPr="00771368" w:rsidRDefault="00D24E61">
      <w:pPr>
        <w:spacing w:line="123" w:lineRule="exact"/>
        <w:rPr>
          <w:sz w:val="20"/>
          <w:szCs w:val="20"/>
        </w:rPr>
      </w:pPr>
    </w:p>
    <w:p w:rsidR="00D24E61" w:rsidRPr="00771368" w:rsidRDefault="00D24E61">
      <w:pPr>
        <w:spacing w:line="225" w:lineRule="auto"/>
        <w:jc w:val="both"/>
        <w:rPr>
          <w:sz w:val="20"/>
          <w:szCs w:val="20"/>
        </w:rPr>
      </w:pPr>
      <w:r w:rsidRPr="00771368">
        <w:rPr>
          <w:rFonts w:eastAsia="Times"/>
          <w:sz w:val="24"/>
          <w:szCs w:val="24"/>
        </w:rPr>
        <w:t xml:space="preserve">FRANCISCO, Fábio; JUNIOR, Osmar. </w:t>
      </w:r>
      <w:r w:rsidRPr="00771368">
        <w:rPr>
          <w:rFonts w:eastAsia="Times"/>
          <w:b/>
          <w:bCs/>
          <w:sz w:val="24"/>
          <w:szCs w:val="24"/>
        </w:rPr>
        <w:t>Iêmen – O Segredo do Oriente</w:t>
      </w:r>
      <w:r w:rsidRPr="00771368">
        <w:rPr>
          <w:rFonts w:eastAsia="Times"/>
          <w:sz w:val="24"/>
          <w:szCs w:val="24"/>
        </w:rPr>
        <w:t>. [DVD]. Reportagem de Raul Dias Filho. América Central e América do Sul, Flashstar Filmes, 2008. 01 DVD, 60 min.</w:t>
      </w:r>
    </w:p>
    <w:p w:rsidR="00D24E61" w:rsidRPr="00771368" w:rsidRDefault="00D24E61">
      <w:pPr>
        <w:spacing w:line="119" w:lineRule="exact"/>
        <w:rPr>
          <w:sz w:val="20"/>
          <w:szCs w:val="20"/>
        </w:rPr>
      </w:pPr>
    </w:p>
    <w:p w:rsidR="00D24E61" w:rsidRPr="00771368" w:rsidRDefault="00D24E61">
      <w:pPr>
        <w:spacing w:line="211" w:lineRule="auto"/>
        <w:jc w:val="both"/>
        <w:rPr>
          <w:sz w:val="20"/>
          <w:szCs w:val="20"/>
        </w:rPr>
      </w:pPr>
      <w:r w:rsidRPr="00771368">
        <w:rPr>
          <w:rFonts w:eastAsia="Times"/>
          <w:sz w:val="24"/>
          <w:szCs w:val="24"/>
        </w:rPr>
        <w:t xml:space="preserve">WIKIPÉDIA, a enciclopédia livre. Charia: </w:t>
      </w:r>
      <w:r w:rsidRPr="00771368">
        <w:rPr>
          <w:rFonts w:eastAsia="Times"/>
          <w:b/>
          <w:bCs/>
          <w:sz w:val="24"/>
          <w:szCs w:val="24"/>
        </w:rPr>
        <w:t>O Papel da Mulher no Islão</w:t>
      </w:r>
      <w:r w:rsidRPr="00771368">
        <w:rPr>
          <w:rFonts w:eastAsia="Times"/>
          <w:sz w:val="24"/>
          <w:szCs w:val="24"/>
        </w:rPr>
        <w:t>. Disponível em: &lt; HTTP://pt.wikipedia.org/wiki/charia&gt;. Acesso em: 10 set. 2013.</w:t>
      </w:r>
    </w:p>
    <w:p w:rsidR="00D24E61" w:rsidRPr="00771368" w:rsidRDefault="00D24E61">
      <w:pPr>
        <w:spacing w:line="122" w:lineRule="exact"/>
        <w:rPr>
          <w:sz w:val="20"/>
          <w:szCs w:val="20"/>
        </w:rPr>
      </w:pPr>
    </w:p>
    <w:p w:rsidR="00D24E61" w:rsidRDefault="00D24E61">
      <w:pPr>
        <w:spacing w:line="225" w:lineRule="auto"/>
        <w:jc w:val="both"/>
        <w:rPr>
          <w:rFonts w:eastAsia="Times"/>
          <w:sz w:val="24"/>
          <w:szCs w:val="24"/>
        </w:rPr>
      </w:pPr>
      <w:r w:rsidRPr="00771368">
        <w:rPr>
          <w:rFonts w:eastAsia="Times"/>
          <w:sz w:val="24"/>
          <w:szCs w:val="24"/>
        </w:rPr>
        <w:t xml:space="preserve">EDITORA ABRIL S.A.. Contexto: </w:t>
      </w:r>
      <w:r w:rsidRPr="00771368">
        <w:rPr>
          <w:rFonts w:eastAsia="Times"/>
          <w:b/>
          <w:bCs/>
          <w:sz w:val="24"/>
          <w:szCs w:val="24"/>
        </w:rPr>
        <w:t>O Papel da Mulher no Islamismo</w:t>
      </w:r>
      <w:r w:rsidRPr="00771368">
        <w:rPr>
          <w:rFonts w:eastAsia="Times"/>
          <w:sz w:val="24"/>
          <w:szCs w:val="24"/>
        </w:rPr>
        <w:t>. Disponível em: &lt;HTTP://veja.abril.com.br/idade/exclusivo/islamismo/contexto_debate.html&gt;. Acesso em: 10 set. 2013.</w:t>
      </w:r>
    </w:p>
    <w:p w:rsidR="007279C8" w:rsidRPr="00771368" w:rsidRDefault="007279C8">
      <w:pPr>
        <w:spacing w:line="225" w:lineRule="auto"/>
        <w:jc w:val="both"/>
        <w:rPr>
          <w:sz w:val="20"/>
          <w:szCs w:val="20"/>
        </w:rPr>
      </w:pPr>
    </w:p>
    <w:p w:rsidR="00D24E61" w:rsidRPr="00771368" w:rsidRDefault="00D24E61">
      <w:pPr>
        <w:spacing w:line="117" w:lineRule="exact"/>
        <w:rPr>
          <w:sz w:val="20"/>
          <w:szCs w:val="20"/>
        </w:rPr>
      </w:pPr>
    </w:p>
    <w:p w:rsidR="00D24E61" w:rsidRDefault="00D24E61">
      <w:pPr>
        <w:spacing w:line="220" w:lineRule="auto"/>
        <w:jc w:val="both"/>
        <w:rPr>
          <w:rFonts w:eastAsia="Times"/>
          <w:sz w:val="24"/>
          <w:szCs w:val="24"/>
        </w:rPr>
      </w:pPr>
      <w:r w:rsidRPr="00771368">
        <w:rPr>
          <w:rFonts w:eastAsia="Times"/>
          <w:sz w:val="24"/>
          <w:szCs w:val="24"/>
        </w:rPr>
        <w:t xml:space="preserve">ALI, Nujood M.; Minoui, Delphine. </w:t>
      </w:r>
      <w:r w:rsidRPr="00771368">
        <w:rPr>
          <w:rFonts w:eastAsia="Times"/>
          <w:b/>
          <w:bCs/>
          <w:sz w:val="24"/>
          <w:szCs w:val="24"/>
        </w:rPr>
        <w:t>Chamo-me Nujood, tenho 10 anos e sou</w:t>
      </w:r>
      <w:r w:rsidRPr="00771368">
        <w:rPr>
          <w:rFonts w:eastAsia="Times"/>
          <w:sz w:val="24"/>
          <w:szCs w:val="24"/>
        </w:rPr>
        <w:t xml:space="preserve"> </w:t>
      </w:r>
      <w:r w:rsidRPr="00771368">
        <w:rPr>
          <w:rFonts w:eastAsia="Times"/>
          <w:b/>
          <w:bCs/>
          <w:sz w:val="24"/>
          <w:szCs w:val="24"/>
        </w:rPr>
        <w:t xml:space="preserve">divorciada. </w:t>
      </w:r>
      <w:r w:rsidRPr="00771368">
        <w:rPr>
          <w:rFonts w:eastAsia="Times"/>
          <w:sz w:val="24"/>
          <w:szCs w:val="24"/>
        </w:rPr>
        <w:t>Disponível em:&lt;HTTP://www.seleccoes.pt/chamo-me-nujood-tenho-10-anos-e-sou-divorciada&gt;. Acesso em: 17 set. 2013.</w:t>
      </w:r>
    </w:p>
    <w:p w:rsidR="007279C8" w:rsidRPr="00771368" w:rsidRDefault="007279C8">
      <w:pPr>
        <w:spacing w:line="220" w:lineRule="auto"/>
        <w:jc w:val="both"/>
        <w:rPr>
          <w:sz w:val="20"/>
          <w:szCs w:val="20"/>
        </w:rPr>
      </w:pPr>
    </w:p>
    <w:p w:rsidR="00D24E61" w:rsidRPr="00771368" w:rsidRDefault="00D24E61">
      <w:pPr>
        <w:spacing w:line="120" w:lineRule="exact"/>
        <w:rPr>
          <w:sz w:val="20"/>
          <w:szCs w:val="20"/>
        </w:rPr>
      </w:pPr>
    </w:p>
    <w:p w:rsidR="00D24E61" w:rsidRDefault="00D24E61">
      <w:pPr>
        <w:ind w:right="120"/>
        <w:rPr>
          <w:rFonts w:eastAsia="Times"/>
          <w:sz w:val="24"/>
          <w:szCs w:val="24"/>
        </w:rPr>
      </w:pPr>
      <w:r w:rsidRPr="00771368">
        <w:rPr>
          <w:rFonts w:eastAsia="Times"/>
          <w:sz w:val="24"/>
          <w:szCs w:val="24"/>
        </w:rPr>
        <w:t xml:space="preserve">PÉCORA, Luísa. </w:t>
      </w:r>
      <w:r w:rsidRPr="00771368">
        <w:rPr>
          <w:rFonts w:eastAsia="Times"/>
          <w:b/>
          <w:bCs/>
          <w:sz w:val="24"/>
          <w:szCs w:val="24"/>
        </w:rPr>
        <w:t>Casamento infantil dificulta situação das mulheres no Iêmen</w:t>
      </w:r>
      <w:r w:rsidRPr="00771368">
        <w:rPr>
          <w:rFonts w:eastAsia="Times"/>
          <w:sz w:val="24"/>
          <w:szCs w:val="24"/>
        </w:rPr>
        <w:t xml:space="preserve">. IG, São Paulo, Dez. 2011. Disponível em: &lt;http://ultimosegundo.ig.com.br/revoltamundoarabe/casamento-infantil-dificulta-situacao-das-mulheres-no-iemen/n1597400422169.html&gt;. Acesso em: 11 set. 2013. CANDEU, Rita. </w:t>
      </w:r>
      <w:r w:rsidRPr="00771368">
        <w:rPr>
          <w:rFonts w:eastAsia="Times"/>
          <w:b/>
          <w:bCs/>
          <w:sz w:val="24"/>
          <w:szCs w:val="24"/>
        </w:rPr>
        <w:t>Menina de oito anos morre em lua de meu com marido de 40</w:t>
      </w:r>
      <w:r w:rsidRPr="00771368">
        <w:rPr>
          <w:rFonts w:eastAsia="Times"/>
          <w:sz w:val="24"/>
          <w:szCs w:val="24"/>
        </w:rPr>
        <w:t>. Opera Mundi, set. 2013. Disponível em: &lt;http://culturadoestupro.blogspot.com.br/2013/09/menina-de-8-anos-morre-em-lua-de-mel.html&gt;. Acesso em: 12 set. 2013.</w:t>
      </w:r>
    </w:p>
    <w:p w:rsidR="007279C8" w:rsidRPr="00771368" w:rsidRDefault="007279C8">
      <w:pPr>
        <w:ind w:right="120"/>
        <w:rPr>
          <w:sz w:val="20"/>
          <w:szCs w:val="20"/>
        </w:rPr>
      </w:pPr>
    </w:p>
    <w:p w:rsidR="00D24E61" w:rsidRPr="00771368" w:rsidRDefault="00D24E61">
      <w:pPr>
        <w:spacing w:line="124" w:lineRule="exact"/>
        <w:rPr>
          <w:sz w:val="20"/>
          <w:szCs w:val="20"/>
        </w:rPr>
      </w:pPr>
    </w:p>
    <w:p w:rsidR="00D24E61" w:rsidRPr="00771368" w:rsidRDefault="00D24E61">
      <w:pPr>
        <w:spacing w:line="235" w:lineRule="auto"/>
        <w:ind w:right="160"/>
        <w:rPr>
          <w:sz w:val="20"/>
          <w:szCs w:val="20"/>
        </w:rPr>
      </w:pPr>
      <w:r w:rsidRPr="00771368">
        <w:rPr>
          <w:rFonts w:eastAsia="Times"/>
          <w:sz w:val="24"/>
          <w:szCs w:val="24"/>
        </w:rPr>
        <w:t xml:space="preserve">TRUZZI, Oswaldo. </w:t>
      </w:r>
      <w:r w:rsidRPr="00771368">
        <w:rPr>
          <w:rFonts w:eastAsia="Times"/>
          <w:b/>
          <w:bCs/>
          <w:sz w:val="24"/>
          <w:szCs w:val="24"/>
        </w:rPr>
        <w:t>Os árabes se adaptam muito bem ao Brasil</w:t>
      </w:r>
      <w:r w:rsidRPr="00771368">
        <w:rPr>
          <w:rFonts w:eastAsia="Times"/>
          <w:sz w:val="24"/>
          <w:szCs w:val="24"/>
        </w:rPr>
        <w:t>. Revista de Historia, 2009. Árabes no Brasil: Riqueza cultural e capacidade da adaptação são suas marcas. Ciência e cultura, 2011. Disponível em: &lt;http://cienciaecultura.bvs.br/scielo.php?pid=S0009-67252011000300022&amp;script=sci_arttext&gt;. Acesso em: 13 set. 2013.</w:t>
      </w:r>
    </w:p>
    <w:p w:rsidR="00D24E61" w:rsidRPr="00771368" w:rsidRDefault="00D24E61">
      <w:pPr>
        <w:spacing w:line="121" w:lineRule="exact"/>
        <w:rPr>
          <w:sz w:val="20"/>
          <w:szCs w:val="20"/>
        </w:rPr>
      </w:pPr>
    </w:p>
    <w:p w:rsidR="00D24E61" w:rsidRPr="00771368" w:rsidRDefault="00D24E61">
      <w:pPr>
        <w:spacing w:line="227" w:lineRule="auto"/>
        <w:ind w:right="320"/>
        <w:rPr>
          <w:sz w:val="20"/>
          <w:szCs w:val="20"/>
        </w:rPr>
      </w:pPr>
      <w:r w:rsidRPr="00771368">
        <w:rPr>
          <w:rFonts w:eastAsia="Times"/>
          <w:sz w:val="24"/>
          <w:szCs w:val="24"/>
        </w:rPr>
        <w:t xml:space="preserve">SANTOS, Boaventura de S. </w:t>
      </w:r>
      <w:r w:rsidRPr="00771368">
        <w:rPr>
          <w:rFonts w:eastAsia="Times"/>
          <w:b/>
          <w:bCs/>
          <w:sz w:val="24"/>
          <w:szCs w:val="24"/>
        </w:rPr>
        <w:t>As Mulheres não são homens</w:t>
      </w:r>
      <w:r w:rsidRPr="00771368">
        <w:rPr>
          <w:rFonts w:eastAsia="Times"/>
          <w:sz w:val="24"/>
          <w:szCs w:val="24"/>
        </w:rPr>
        <w:t xml:space="preserve">. Carta Maior, mar. 2011. Disponível em: </w:t>
      </w:r>
      <w:r w:rsidRPr="00771368">
        <w:rPr>
          <w:rFonts w:eastAsia="Times"/>
          <w:b/>
          <w:bCs/>
          <w:sz w:val="24"/>
          <w:szCs w:val="24"/>
        </w:rPr>
        <w:t>&lt;</w:t>
      </w:r>
      <w:r w:rsidRPr="00771368">
        <w:rPr>
          <w:rFonts w:eastAsia="Times"/>
          <w:sz w:val="24"/>
          <w:szCs w:val="24"/>
        </w:rPr>
        <w:t>http://www.cartamaior.com.br/templates/colunaMostrar.cfm?coluna_id=4984&gt;.</w:t>
      </w:r>
      <w:r w:rsidRPr="00771368">
        <w:rPr>
          <w:rFonts w:eastAsia="Times"/>
          <w:b/>
          <w:bCs/>
          <w:sz w:val="24"/>
          <w:szCs w:val="24"/>
        </w:rPr>
        <w:t xml:space="preserve"> </w:t>
      </w:r>
      <w:r w:rsidRPr="00771368">
        <w:rPr>
          <w:rFonts w:eastAsia="Times"/>
          <w:sz w:val="24"/>
          <w:szCs w:val="24"/>
        </w:rPr>
        <w:t>Acesso em: 13 set. 2013.</w:t>
      </w:r>
    </w:p>
    <w:p w:rsidR="00D24E61" w:rsidRDefault="002E3256">
      <w:pPr>
        <w:spacing w:line="213" w:lineRule="auto"/>
        <w:ind w:right="180"/>
        <w:rPr>
          <w:rFonts w:eastAsia="Times"/>
          <w:sz w:val="24"/>
          <w:szCs w:val="24"/>
        </w:rPr>
      </w:pPr>
      <w:r>
        <w:rPr>
          <w:rFonts w:eastAsia="Times"/>
          <w:sz w:val="24"/>
          <w:szCs w:val="24"/>
        </w:rPr>
        <w:t xml:space="preserve"> </w:t>
      </w:r>
      <w:r w:rsidR="00D24E61" w:rsidRPr="00771368">
        <w:rPr>
          <w:rFonts w:eastAsia="Times"/>
          <w:sz w:val="24"/>
          <w:szCs w:val="24"/>
        </w:rPr>
        <w:t>GUERRA, Viviane; AZEVEDO, Maria A.. Infância e Violência Doméstica: Fronteiras do Conhecimento. 3ë Ed. Cortez, 2000. P. 35.</w:t>
      </w:r>
    </w:p>
    <w:p w:rsidR="007279C8" w:rsidRPr="00771368" w:rsidRDefault="007279C8">
      <w:pPr>
        <w:spacing w:line="213" w:lineRule="auto"/>
        <w:ind w:right="180"/>
        <w:rPr>
          <w:sz w:val="20"/>
          <w:szCs w:val="20"/>
        </w:rPr>
      </w:pPr>
    </w:p>
    <w:p w:rsidR="00D24E61" w:rsidRPr="00771368" w:rsidRDefault="00D24E61">
      <w:pPr>
        <w:spacing w:line="126" w:lineRule="exact"/>
        <w:rPr>
          <w:sz w:val="20"/>
          <w:szCs w:val="20"/>
        </w:rPr>
      </w:pPr>
    </w:p>
    <w:p w:rsidR="00D24E61" w:rsidRDefault="00D24E61">
      <w:pPr>
        <w:spacing w:line="225" w:lineRule="auto"/>
        <w:ind w:right="40"/>
        <w:jc w:val="both"/>
        <w:rPr>
          <w:rFonts w:eastAsia="Times"/>
          <w:sz w:val="24"/>
          <w:szCs w:val="24"/>
        </w:rPr>
      </w:pPr>
      <w:r w:rsidRPr="00771368">
        <w:rPr>
          <w:rFonts w:eastAsia="Times"/>
          <w:sz w:val="24"/>
          <w:szCs w:val="24"/>
        </w:rPr>
        <w:t>SANTOS, Benedito R.; IPPOLITO, Rita. Guia Escolar: Métodos para Identificação de Sinais de Abuso e Exploração Sexual de Crianças e Adolescentes. Brasília: Secretaria de Direitos Humanos e Ministério da Educação, 2004. 163 p.</w:t>
      </w:r>
    </w:p>
    <w:p w:rsidR="007279C8" w:rsidRPr="00771368" w:rsidRDefault="007279C8">
      <w:pPr>
        <w:spacing w:line="225" w:lineRule="auto"/>
        <w:ind w:right="40"/>
        <w:jc w:val="both"/>
        <w:rPr>
          <w:sz w:val="20"/>
          <w:szCs w:val="20"/>
        </w:rPr>
      </w:pPr>
    </w:p>
    <w:p w:rsidR="00D24E61" w:rsidRPr="00771368" w:rsidRDefault="00D24E61">
      <w:pPr>
        <w:spacing w:line="131" w:lineRule="exact"/>
        <w:rPr>
          <w:sz w:val="20"/>
          <w:szCs w:val="20"/>
        </w:rPr>
      </w:pPr>
    </w:p>
    <w:p w:rsidR="00D24E61" w:rsidRDefault="00D24E61">
      <w:pPr>
        <w:spacing w:line="236" w:lineRule="auto"/>
        <w:ind w:right="40"/>
        <w:rPr>
          <w:rFonts w:eastAsia="Times"/>
          <w:sz w:val="24"/>
          <w:szCs w:val="24"/>
        </w:rPr>
      </w:pPr>
      <w:r w:rsidRPr="00771368">
        <w:rPr>
          <w:rFonts w:eastAsia="Times"/>
          <w:sz w:val="24"/>
          <w:szCs w:val="24"/>
        </w:rPr>
        <w:t>BOURROUL, Marcela. Vacina do HPV deve ser oferecida para meninas a partir dos 9 anos em 2015. Revista Crescer, set. 2013. Disponível em: &lt;http://revistacrescer.globo.com/Criancas/Saude/noticia/2013/07/vacina-do-hpv-sera-oferecida-gratuitamente-no-brasil-para-meninas-entre-10-e-11-anos.html&gt;. Acesso: em 19 set. 2013.</w:t>
      </w:r>
    </w:p>
    <w:p w:rsidR="007279C8" w:rsidRPr="00771368" w:rsidRDefault="007279C8">
      <w:pPr>
        <w:spacing w:line="236" w:lineRule="auto"/>
        <w:ind w:right="40"/>
        <w:rPr>
          <w:sz w:val="20"/>
          <w:szCs w:val="20"/>
        </w:rPr>
      </w:pPr>
    </w:p>
    <w:p w:rsidR="00D24E61" w:rsidRPr="00771368" w:rsidRDefault="00D24E61">
      <w:pPr>
        <w:spacing w:line="117" w:lineRule="exact"/>
        <w:rPr>
          <w:sz w:val="20"/>
          <w:szCs w:val="20"/>
        </w:rPr>
      </w:pPr>
    </w:p>
    <w:p w:rsidR="00D24E61" w:rsidRDefault="00D24E61">
      <w:pPr>
        <w:spacing w:line="225" w:lineRule="auto"/>
        <w:ind w:right="40"/>
        <w:jc w:val="both"/>
        <w:rPr>
          <w:rFonts w:eastAsia="Times"/>
          <w:sz w:val="24"/>
          <w:szCs w:val="24"/>
        </w:rPr>
      </w:pPr>
      <w:r w:rsidRPr="00771368">
        <w:rPr>
          <w:rFonts w:eastAsia="Times"/>
          <w:sz w:val="24"/>
          <w:szCs w:val="24"/>
        </w:rPr>
        <w:t>CARLOS, Roberto</w:t>
      </w:r>
      <w:r w:rsidRPr="00771368">
        <w:rPr>
          <w:rFonts w:eastAsia="Times"/>
          <w:i/>
          <w:iCs/>
          <w:sz w:val="24"/>
          <w:szCs w:val="24"/>
        </w:rPr>
        <w:t>.</w:t>
      </w:r>
      <w:r w:rsidRPr="00771368">
        <w:rPr>
          <w:rFonts w:eastAsia="Times"/>
          <w:sz w:val="24"/>
          <w:szCs w:val="24"/>
        </w:rPr>
        <w:t xml:space="preserve"> </w:t>
      </w:r>
      <w:r w:rsidRPr="00771368">
        <w:rPr>
          <w:rFonts w:eastAsia="Times"/>
          <w:b/>
          <w:bCs/>
          <w:sz w:val="24"/>
          <w:szCs w:val="24"/>
        </w:rPr>
        <w:t>Cresce o número de adolescentes grávidas no Brasil</w:t>
      </w:r>
      <w:r w:rsidRPr="00771368">
        <w:rPr>
          <w:rFonts w:eastAsia="Times"/>
          <w:sz w:val="24"/>
          <w:szCs w:val="24"/>
        </w:rPr>
        <w:t>. Gazeta Online, 2013. Disponível em</w:t>
      </w:r>
      <w:r w:rsidRPr="00771368">
        <w:rPr>
          <w:rFonts w:eastAsia="Times"/>
          <w:i/>
          <w:iCs/>
          <w:sz w:val="24"/>
          <w:szCs w:val="24"/>
        </w:rPr>
        <w:t>:</w:t>
      </w:r>
      <w:r w:rsidRPr="00771368">
        <w:rPr>
          <w:rFonts w:eastAsia="Times"/>
          <w:sz w:val="24"/>
          <w:szCs w:val="24"/>
        </w:rPr>
        <w:t>&lt;http://robertocarlosc.wordpress.com/2013/01/18/cresce-o-numero-de-adolescentes-gravidas-no-brasil/&gt;. Acesso em: 18 set. 2013.</w:t>
      </w:r>
    </w:p>
    <w:p w:rsidR="007279C8" w:rsidRPr="00771368" w:rsidRDefault="007279C8">
      <w:pPr>
        <w:spacing w:line="225" w:lineRule="auto"/>
        <w:ind w:right="40"/>
        <w:jc w:val="both"/>
        <w:rPr>
          <w:sz w:val="20"/>
          <w:szCs w:val="20"/>
        </w:rPr>
      </w:pPr>
    </w:p>
    <w:p w:rsidR="00D24E61" w:rsidRPr="00771368" w:rsidRDefault="00D24E61">
      <w:pPr>
        <w:spacing w:line="119" w:lineRule="exact"/>
        <w:rPr>
          <w:sz w:val="20"/>
          <w:szCs w:val="20"/>
        </w:rPr>
      </w:pPr>
    </w:p>
    <w:p w:rsidR="00D24E61" w:rsidRDefault="00D24E61">
      <w:pPr>
        <w:spacing w:line="211" w:lineRule="auto"/>
        <w:rPr>
          <w:rFonts w:eastAsia="Times"/>
          <w:sz w:val="24"/>
          <w:szCs w:val="24"/>
        </w:rPr>
      </w:pPr>
      <w:r w:rsidRPr="00771368">
        <w:rPr>
          <w:rFonts w:eastAsia="Times"/>
          <w:sz w:val="24"/>
          <w:szCs w:val="24"/>
        </w:rPr>
        <w:t xml:space="preserve">WAISELFISZ, Julio J. </w:t>
      </w:r>
      <w:r w:rsidRPr="00771368">
        <w:rPr>
          <w:rFonts w:eastAsia="Times"/>
          <w:b/>
          <w:bCs/>
          <w:sz w:val="24"/>
          <w:szCs w:val="24"/>
        </w:rPr>
        <w:t>Mapa da Violência 2012:</w:t>
      </w:r>
      <w:r w:rsidRPr="00771368">
        <w:rPr>
          <w:rFonts w:eastAsia="Times"/>
          <w:sz w:val="24"/>
          <w:szCs w:val="24"/>
        </w:rPr>
        <w:t xml:space="preserve"> Crianças e adolescentes do Brasil. 1ë ed. Rio de janeiro: Flacso Brasil, 2012. 84 p.</w:t>
      </w:r>
    </w:p>
    <w:p w:rsidR="007279C8" w:rsidRPr="00771368" w:rsidRDefault="007279C8">
      <w:pPr>
        <w:spacing w:line="211" w:lineRule="auto"/>
        <w:rPr>
          <w:sz w:val="20"/>
          <w:szCs w:val="20"/>
        </w:rPr>
      </w:pPr>
    </w:p>
    <w:p w:rsidR="00D24E61" w:rsidRPr="00771368" w:rsidRDefault="00D24E61">
      <w:pPr>
        <w:spacing w:line="122" w:lineRule="exact"/>
        <w:rPr>
          <w:sz w:val="20"/>
          <w:szCs w:val="20"/>
        </w:rPr>
      </w:pPr>
    </w:p>
    <w:p w:rsidR="00D24E61" w:rsidRPr="00771368" w:rsidRDefault="00D24E61">
      <w:pPr>
        <w:spacing w:line="212" w:lineRule="auto"/>
        <w:ind w:right="40"/>
        <w:rPr>
          <w:sz w:val="20"/>
          <w:szCs w:val="20"/>
        </w:rPr>
      </w:pPr>
      <w:r w:rsidRPr="00771368">
        <w:rPr>
          <w:rFonts w:eastAsia="Times"/>
          <w:sz w:val="24"/>
          <w:szCs w:val="24"/>
        </w:rPr>
        <w:t>MACEDO, Ana R</w:t>
      </w:r>
      <w:r w:rsidRPr="00771368">
        <w:rPr>
          <w:rFonts w:eastAsia="Times"/>
          <w:b/>
          <w:bCs/>
          <w:sz w:val="24"/>
          <w:szCs w:val="24"/>
        </w:rPr>
        <w:t>. Especialistas defendem mudança cultural para combater</w:t>
      </w:r>
      <w:r w:rsidRPr="00771368">
        <w:rPr>
          <w:rFonts w:eastAsia="Times"/>
          <w:sz w:val="24"/>
          <w:szCs w:val="24"/>
        </w:rPr>
        <w:t xml:space="preserve"> </w:t>
      </w:r>
      <w:r w:rsidRPr="00771368">
        <w:rPr>
          <w:rFonts w:eastAsia="Times"/>
          <w:b/>
          <w:bCs/>
          <w:sz w:val="24"/>
          <w:szCs w:val="24"/>
        </w:rPr>
        <w:t>violência contra mulher</w:t>
      </w:r>
      <w:r w:rsidRPr="00771368">
        <w:rPr>
          <w:rFonts w:eastAsia="Times"/>
          <w:sz w:val="24"/>
          <w:szCs w:val="24"/>
        </w:rPr>
        <w:t>. Brasília, set. 2013. Disponível em:</w:t>
      </w:r>
    </w:p>
    <w:p w:rsidR="00D24E61" w:rsidRPr="00771368" w:rsidRDefault="00D24E61">
      <w:pPr>
        <w:spacing w:line="190" w:lineRule="exact"/>
        <w:rPr>
          <w:sz w:val="20"/>
          <w:szCs w:val="20"/>
        </w:rPr>
      </w:pPr>
    </w:p>
    <w:p w:rsidR="00D24E61" w:rsidRDefault="00D24E61">
      <w:pPr>
        <w:spacing w:line="225" w:lineRule="auto"/>
        <w:ind w:right="400" w:firstLine="2"/>
        <w:rPr>
          <w:rFonts w:eastAsia="Times"/>
          <w:sz w:val="24"/>
          <w:szCs w:val="24"/>
        </w:rPr>
      </w:pPr>
      <w:r w:rsidRPr="00771368">
        <w:rPr>
          <w:rFonts w:eastAsia="Times"/>
          <w:sz w:val="24"/>
          <w:szCs w:val="24"/>
        </w:rPr>
        <w:t>&lt;http://www2.camara.leg.br/camaranoticias/radio/materias/</w:t>
      </w:r>
      <w:r w:rsidRPr="00771368">
        <w:rPr>
          <w:rFonts w:eastAsia="Times"/>
          <w:sz w:val="24"/>
          <w:szCs w:val="24"/>
          <w:u w:val="single"/>
        </w:rPr>
        <w:t>reportagem-especial/451339-especialistas-defendem-mudanca-cultural-para-combater-violencia-contra-mulher</w:t>
      </w:r>
      <w:r w:rsidRPr="00771368">
        <w:rPr>
          <w:rFonts w:eastAsia="Times"/>
          <w:sz w:val="24"/>
          <w:szCs w:val="24"/>
        </w:rPr>
        <w:t>.html&gt;. Acesso em: 18 set. 2013.</w:t>
      </w:r>
    </w:p>
    <w:p w:rsidR="007279C8" w:rsidRPr="00771368" w:rsidRDefault="007279C8">
      <w:pPr>
        <w:spacing w:line="225" w:lineRule="auto"/>
        <w:ind w:right="400" w:firstLine="2"/>
        <w:rPr>
          <w:sz w:val="20"/>
          <w:szCs w:val="20"/>
        </w:rPr>
      </w:pPr>
    </w:p>
    <w:p w:rsidR="00D24E61" w:rsidRPr="00771368" w:rsidRDefault="00D24E61">
      <w:pPr>
        <w:spacing w:line="197" w:lineRule="exact"/>
        <w:rPr>
          <w:sz w:val="20"/>
          <w:szCs w:val="20"/>
        </w:rPr>
      </w:pPr>
    </w:p>
    <w:p w:rsidR="00D24E61" w:rsidRDefault="00D24E61">
      <w:pPr>
        <w:spacing w:line="225" w:lineRule="auto"/>
        <w:ind w:right="40"/>
        <w:jc w:val="both"/>
        <w:rPr>
          <w:rFonts w:eastAsia="Times"/>
          <w:sz w:val="24"/>
          <w:szCs w:val="24"/>
        </w:rPr>
      </w:pPr>
      <w:r w:rsidRPr="00771368">
        <w:rPr>
          <w:rFonts w:eastAsia="Times"/>
          <w:sz w:val="24"/>
          <w:szCs w:val="24"/>
        </w:rPr>
        <w:t xml:space="preserve">DHNET. </w:t>
      </w:r>
      <w:r w:rsidRPr="00771368">
        <w:rPr>
          <w:rFonts w:eastAsia="Times"/>
          <w:b/>
          <w:bCs/>
          <w:sz w:val="24"/>
          <w:szCs w:val="24"/>
        </w:rPr>
        <w:t>Guia de Defesa das Mulheres Contra a Violência.</w:t>
      </w:r>
      <w:r w:rsidRPr="00771368">
        <w:rPr>
          <w:rFonts w:eastAsia="Times"/>
          <w:sz w:val="24"/>
          <w:szCs w:val="24"/>
        </w:rPr>
        <w:t xml:space="preserve"> Disponível em: &lt;http://www.dhnet.org.br/direitos/sos/mulheres/guiadefesamulher.html&gt;. Acesso em: 19 set. 2013.</w:t>
      </w:r>
    </w:p>
    <w:p w:rsidR="007279C8" w:rsidRPr="00771368" w:rsidRDefault="007279C8">
      <w:pPr>
        <w:spacing w:line="225" w:lineRule="auto"/>
        <w:ind w:right="40"/>
        <w:jc w:val="both"/>
        <w:rPr>
          <w:sz w:val="20"/>
          <w:szCs w:val="20"/>
        </w:rPr>
      </w:pPr>
    </w:p>
    <w:p w:rsidR="00D24E61" w:rsidRPr="00771368" w:rsidRDefault="00D24E61">
      <w:pPr>
        <w:spacing w:line="191" w:lineRule="exact"/>
        <w:rPr>
          <w:sz w:val="20"/>
          <w:szCs w:val="20"/>
        </w:rPr>
      </w:pPr>
    </w:p>
    <w:p w:rsidR="00D24E61" w:rsidRDefault="00D24E61">
      <w:pPr>
        <w:spacing w:line="213" w:lineRule="auto"/>
        <w:ind w:right="40"/>
        <w:jc w:val="both"/>
        <w:rPr>
          <w:rFonts w:eastAsia="Times"/>
          <w:sz w:val="24"/>
          <w:szCs w:val="24"/>
        </w:rPr>
      </w:pPr>
      <w:r w:rsidRPr="00771368">
        <w:rPr>
          <w:rFonts w:eastAsia="Times"/>
          <w:sz w:val="24"/>
          <w:szCs w:val="24"/>
        </w:rPr>
        <w:t>BRASIL. Código Penal Brasileiro</w:t>
      </w:r>
      <w:r w:rsidRPr="00771368">
        <w:rPr>
          <w:rFonts w:eastAsia="Times"/>
          <w:b/>
          <w:bCs/>
          <w:sz w:val="24"/>
          <w:szCs w:val="24"/>
        </w:rPr>
        <w:t>, Lei nº 2848, 07 dez. 1940. Código Penal e</w:t>
      </w:r>
      <w:r w:rsidRPr="00771368">
        <w:rPr>
          <w:rFonts w:eastAsia="Times"/>
          <w:sz w:val="24"/>
          <w:szCs w:val="24"/>
        </w:rPr>
        <w:t xml:space="preserve"> </w:t>
      </w:r>
      <w:r w:rsidRPr="00771368">
        <w:rPr>
          <w:rFonts w:eastAsia="Times"/>
          <w:b/>
          <w:bCs/>
          <w:sz w:val="24"/>
          <w:szCs w:val="24"/>
        </w:rPr>
        <w:t>Constituição Federal</w:t>
      </w:r>
      <w:r w:rsidRPr="00771368">
        <w:rPr>
          <w:rFonts w:eastAsia="Times"/>
          <w:sz w:val="24"/>
          <w:szCs w:val="24"/>
        </w:rPr>
        <w:t>. 51. ed. São Paulo: Saraiva, 2013. 808p.</w:t>
      </w:r>
    </w:p>
    <w:p w:rsidR="007279C8" w:rsidRPr="00771368" w:rsidRDefault="007279C8">
      <w:pPr>
        <w:spacing w:line="213" w:lineRule="auto"/>
        <w:ind w:right="40"/>
        <w:jc w:val="both"/>
        <w:rPr>
          <w:sz w:val="20"/>
          <w:szCs w:val="20"/>
        </w:rPr>
      </w:pPr>
    </w:p>
    <w:p w:rsidR="00D24E61" w:rsidRPr="00771368" w:rsidRDefault="00D24E61">
      <w:pPr>
        <w:spacing w:line="180" w:lineRule="exact"/>
        <w:rPr>
          <w:sz w:val="20"/>
          <w:szCs w:val="20"/>
        </w:rPr>
      </w:pPr>
    </w:p>
    <w:p w:rsidR="00D24E61" w:rsidRDefault="00D24E61">
      <w:pPr>
        <w:spacing w:line="231" w:lineRule="auto"/>
        <w:ind w:right="40"/>
        <w:jc w:val="both"/>
        <w:rPr>
          <w:rFonts w:eastAsia="Times"/>
          <w:sz w:val="24"/>
          <w:szCs w:val="24"/>
        </w:rPr>
      </w:pPr>
      <w:r w:rsidRPr="00771368">
        <w:rPr>
          <w:rFonts w:eastAsia="Times"/>
          <w:sz w:val="24"/>
          <w:szCs w:val="24"/>
        </w:rPr>
        <w:t xml:space="preserve">BRASIL. Lei në 11.340, 07 de agosto de 2006. </w:t>
      </w:r>
      <w:r w:rsidRPr="00771368">
        <w:rPr>
          <w:rFonts w:eastAsia="Times"/>
          <w:b/>
          <w:bCs/>
          <w:sz w:val="24"/>
          <w:szCs w:val="24"/>
        </w:rPr>
        <w:t>Lei Maria da Penha</w:t>
      </w:r>
      <w:r w:rsidRPr="00771368">
        <w:rPr>
          <w:rFonts w:eastAsia="Times"/>
          <w:sz w:val="24"/>
          <w:szCs w:val="24"/>
        </w:rPr>
        <w:t>. Diário Oficial da República Federativa do Brasil, Brasília, 08 agost. 2006. Disponível em: &lt;http://www.planalto.gov.br/ccivil_03/_ato2004-2006/2006/lei/l11340.htm&gt;. Acesso em: 21 set. 2013.</w:t>
      </w:r>
    </w:p>
    <w:p w:rsidR="007279C8" w:rsidRPr="00771368" w:rsidRDefault="007279C8">
      <w:pPr>
        <w:spacing w:line="231" w:lineRule="auto"/>
        <w:ind w:right="40"/>
        <w:jc w:val="both"/>
        <w:rPr>
          <w:sz w:val="20"/>
          <w:szCs w:val="20"/>
        </w:rPr>
      </w:pPr>
    </w:p>
    <w:p w:rsidR="00D24E61" w:rsidRPr="00771368" w:rsidRDefault="00D24E61">
      <w:pPr>
        <w:spacing w:line="119" w:lineRule="exact"/>
        <w:rPr>
          <w:sz w:val="20"/>
          <w:szCs w:val="20"/>
        </w:rPr>
      </w:pPr>
    </w:p>
    <w:p w:rsidR="00D24E61" w:rsidRPr="00771368" w:rsidRDefault="00D24E61">
      <w:pPr>
        <w:spacing w:line="225" w:lineRule="auto"/>
        <w:ind w:right="40"/>
        <w:rPr>
          <w:sz w:val="20"/>
          <w:szCs w:val="20"/>
        </w:rPr>
      </w:pPr>
      <w:r w:rsidRPr="00771368">
        <w:rPr>
          <w:rFonts w:eastAsia="Times"/>
          <w:sz w:val="24"/>
          <w:szCs w:val="24"/>
        </w:rPr>
        <w:t xml:space="preserve">NADAL, Paulo. </w:t>
      </w:r>
      <w:r w:rsidRPr="00771368">
        <w:rPr>
          <w:rFonts w:eastAsia="Times"/>
          <w:b/>
          <w:bCs/>
          <w:sz w:val="24"/>
          <w:szCs w:val="24"/>
        </w:rPr>
        <w:t>Por que 8 de março é dia Internacional da Mulher?</w:t>
      </w:r>
      <w:r w:rsidRPr="00771368">
        <w:rPr>
          <w:rFonts w:eastAsia="Times"/>
          <w:sz w:val="24"/>
          <w:szCs w:val="24"/>
        </w:rPr>
        <w:t>. Disponível em: &lt;http://revistaescola.abril.com.br/historia/pratica-pedagogica/8-marco-dia-internacional-mulher-genero-feminismo-537057.shtml&gt;. Acesso em: 23 set. 2013.</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21" w:lineRule="exact"/>
        <w:rPr>
          <w:sz w:val="24"/>
          <w:szCs w:val="24"/>
        </w:rPr>
      </w:pPr>
    </w:p>
    <w:p w:rsidR="007279C8" w:rsidRDefault="007279C8">
      <w:pPr>
        <w:rPr>
          <w:b/>
          <w:bCs/>
          <w:sz w:val="28"/>
          <w:szCs w:val="28"/>
        </w:rPr>
      </w:pPr>
      <w:r>
        <w:rPr>
          <w:b/>
          <w:bCs/>
          <w:sz w:val="28"/>
          <w:szCs w:val="28"/>
        </w:rPr>
        <w:br w:type="page"/>
      </w:r>
    </w:p>
    <w:p w:rsidR="00D24E61" w:rsidRPr="00771368" w:rsidRDefault="00D24E61">
      <w:pPr>
        <w:ind w:left="220"/>
        <w:rPr>
          <w:sz w:val="20"/>
          <w:szCs w:val="20"/>
        </w:rPr>
      </w:pPr>
      <w:r w:rsidRPr="00771368">
        <w:rPr>
          <w:b/>
          <w:bCs/>
          <w:sz w:val="28"/>
          <w:szCs w:val="28"/>
        </w:rPr>
        <w:t>A QUESTÃO DE GÊNERO NO PROGRAMA FAMÍLIA CIDADÃ DO</w:t>
      </w:r>
    </w:p>
    <w:p w:rsidR="00D24E61" w:rsidRPr="00771368" w:rsidRDefault="00D24E61">
      <w:pPr>
        <w:spacing w:line="239" w:lineRule="auto"/>
        <w:ind w:left="2840"/>
        <w:rPr>
          <w:sz w:val="20"/>
          <w:szCs w:val="20"/>
        </w:rPr>
      </w:pPr>
      <w:r w:rsidRPr="00771368">
        <w:rPr>
          <w:b/>
          <w:bCs/>
          <w:sz w:val="28"/>
          <w:szCs w:val="28"/>
        </w:rPr>
        <w:t>CRAS REGIÃO MARUÍPE</w:t>
      </w:r>
    </w:p>
    <w:p w:rsidR="00D24E61" w:rsidRPr="00771368" w:rsidRDefault="00D24E61">
      <w:pPr>
        <w:spacing w:line="200" w:lineRule="exact"/>
        <w:rPr>
          <w:sz w:val="24"/>
          <w:szCs w:val="24"/>
        </w:rPr>
      </w:pPr>
    </w:p>
    <w:p w:rsidR="00D24E61" w:rsidRPr="00771368" w:rsidRDefault="00D24E61">
      <w:pPr>
        <w:spacing w:line="254" w:lineRule="exact"/>
        <w:rPr>
          <w:sz w:val="24"/>
          <w:szCs w:val="24"/>
        </w:rPr>
      </w:pPr>
    </w:p>
    <w:p w:rsidR="00D24E61" w:rsidRPr="00771368" w:rsidRDefault="00D24E61" w:rsidP="004659AE">
      <w:pPr>
        <w:jc w:val="right"/>
        <w:rPr>
          <w:sz w:val="20"/>
          <w:szCs w:val="20"/>
        </w:rPr>
      </w:pPr>
      <w:r w:rsidRPr="00771368">
        <w:rPr>
          <w:rFonts w:eastAsia="Arial"/>
        </w:rPr>
        <w:t>Ana Carolina Nascimento</w:t>
      </w:r>
    </w:p>
    <w:p w:rsidR="00D24E61" w:rsidRPr="00771368" w:rsidRDefault="00D24E61" w:rsidP="004659AE">
      <w:pPr>
        <w:pStyle w:val="Ttulo1"/>
        <w:rPr>
          <w:sz w:val="20"/>
          <w:szCs w:val="20"/>
        </w:rPr>
      </w:pPr>
      <w:bookmarkStart w:id="54" w:name="_Toc442034743"/>
      <w:r w:rsidRPr="00771368">
        <w:rPr>
          <w:rFonts w:eastAsia="Arial"/>
        </w:rPr>
        <w:t>Fernanda Meneghini Machado</w:t>
      </w:r>
      <w:bookmarkEnd w:id="54"/>
    </w:p>
    <w:p w:rsidR="00D24E61" w:rsidRPr="00771368" w:rsidRDefault="00D24E61">
      <w:pPr>
        <w:spacing w:line="2" w:lineRule="exact"/>
        <w:rPr>
          <w:sz w:val="24"/>
          <w:szCs w:val="24"/>
        </w:rPr>
      </w:pPr>
    </w:p>
    <w:p w:rsidR="00D24E61" w:rsidRPr="00771368" w:rsidRDefault="00D24E61">
      <w:pPr>
        <w:spacing w:line="239" w:lineRule="auto"/>
        <w:ind w:right="20"/>
        <w:jc w:val="right"/>
        <w:rPr>
          <w:sz w:val="20"/>
          <w:szCs w:val="20"/>
        </w:rPr>
      </w:pPr>
      <w:r w:rsidRPr="00771368">
        <w:rPr>
          <w:rFonts w:eastAsia="Arial"/>
        </w:rPr>
        <w:t>ORIENTADOR: Maria Helena Elpídio Abreu</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47" w:lineRule="exact"/>
        <w:rPr>
          <w:sz w:val="24"/>
          <w:szCs w:val="24"/>
        </w:rPr>
      </w:pPr>
    </w:p>
    <w:p w:rsidR="00D24E61" w:rsidRPr="00771368" w:rsidRDefault="00D24E61">
      <w:pPr>
        <w:rPr>
          <w:sz w:val="20"/>
          <w:szCs w:val="20"/>
        </w:rPr>
      </w:pPr>
      <w:r w:rsidRPr="00771368">
        <w:rPr>
          <w:b/>
          <w:bCs/>
          <w:sz w:val="24"/>
          <w:szCs w:val="24"/>
        </w:rPr>
        <w:t>INTRODUÇÃO</w:t>
      </w:r>
    </w:p>
    <w:p w:rsidR="00D24E61" w:rsidRPr="00771368" w:rsidRDefault="00D24E61">
      <w:pPr>
        <w:spacing w:line="200" w:lineRule="exact"/>
        <w:rPr>
          <w:sz w:val="24"/>
          <w:szCs w:val="24"/>
        </w:rPr>
      </w:pPr>
    </w:p>
    <w:p w:rsidR="00D24E61" w:rsidRPr="00771368" w:rsidRDefault="00D24E61">
      <w:pPr>
        <w:spacing w:line="233" w:lineRule="exact"/>
        <w:rPr>
          <w:sz w:val="24"/>
          <w:szCs w:val="24"/>
        </w:rPr>
      </w:pPr>
    </w:p>
    <w:p w:rsidR="00D24E61" w:rsidRPr="00771368" w:rsidRDefault="00D24E61" w:rsidP="007279C8">
      <w:pPr>
        <w:spacing w:line="334" w:lineRule="auto"/>
        <w:ind w:firstLine="720"/>
        <w:jc w:val="both"/>
        <w:rPr>
          <w:sz w:val="20"/>
          <w:szCs w:val="20"/>
        </w:rPr>
      </w:pPr>
      <w:r w:rsidRPr="00771368">
        <w:rPr>
          <w:sz w:val="24"/>
          <w:szCs w:val="24"/>
        </w:rPr>
        <w:t>Este trabalho é resultado da análise sobre a questão de Gênero no Programa Família Cidadã – PFC que funciona no Centro de Referência de Assistência Social (CRAS) da Região de Maruípe no município de Vitória, ES.</w:t>
      </w:r>
    </w:p>
    <w:p w:rsidR="00D24E61" w:rsidRPr="00771368" w:rsidRDefault="00D24E61">
      <w:pPr>
        <w:spacing w:line="329" w:lineRule="exact"/>
        <w:rPr>
          <w:sz w:val="24"/>
          <w:szCs w:val="24"/>
        </w:rPr>
      </w:pPr>
    </w:p>
    <w:p w:rsidR="00D24E61" w:rsidRPr="00771368" w:rsidRDefault="00D24E61" w:rsidP="007279C8">
      <w:pPr>
        <w:spacing w:line="351" w:lineRule="auto"/>
        <w:ind w:firstLine="720"/>
        <w:jc w:val="both"/>
        <w:rPr>
          <w:sz w:val="20"/>
          <w:szCs w:val="20"/>
        </w:rPr>
      </w:pPr>
      <w:r w:rsidRPr="00771368">
        <w:rPr>
          <w:sz w:val="24"/>
          <w:szCs w:val="24"/>
        </w:rPr>
        <w:t>Gênero é entendido como uma construção social onde o macho e fêmea se transformam em homem e mulher. Esta condição é produzida e reproduzida por instituíções como igreja, família e escola. Analisando a relação entre homens e mulheres é possível identificar, em quase todas as sociedades, desigualdades construídas históricamente numa relação de dominação e exploração das mulheres pelos homens. A identidade social, tanto a da mulher, como a do homem, é delimitada através de distintos papéis que deverão ser cumpridos pelas diferentes categorias de sexo. (SAFFIOTI, 2004b)</w:t>
      </w:r>
    </w:p>
    <w:p w:rsidR="00D24E61" w:rsidRPr="00771368" w:rsidRDefault="00D24E61">
      <w:pPr>
        <w:spacing w:line="312" w:lineRule="exact"/>
        <w:rPr>
          <w:sz w:val="24"/>
          <w:szCs w:val="24"/>
        </w:rPr>
      </w:pPr>
    </w:p>
    <w:p w:rsidR="00D24E61" w:rsidRPr="00771368" w:rsidRDefault="00D24E61" w:rsidP="007279C8">
      <w:pPr>
        <w:spacing w:line="343" w:lineRule="auto"/>
        <w:ind w:right="20" w:firstLine="720"/>
        <w:jc w:val="both"/>
        <w:rPr>
          <w:sz w:val="20"/>
          <w:szCs w:val="20"/>
        </w:rPr>
      </w:pPr>
      <w:r w:rsidRPr="00771368">
        <w:rPr>
          <w:sz w:val="24"/>
          <w:szCs w:val="24"/>
        </w:rPr>
        <w:t>Nesta sociedade, como defende Saffioti (2004a), não é possível falar de gênero sem nos remeter à categoria do patriarcado. O patriarcado é fundamental para a análise de gênero, já que este conceito além de explicitar uma relação de hierarquia entre as categorias do sexo também deixa implicita uma contradição de interesses.</w:t>
      </w:r>
    </w:p>
    <w:p w:rsidR="00D24E61" w:rsidRPr="00771368" w:rsidRDefault="00D24E61">
      <w:pPr>
        <w:spacing w:line="319" w:lineRule="exact"/>
        <w:rPr>
          <w:sz w:val="24"/>
          <w:szCs w:val="24"/>
        </w:rPr>
      </w:pPr>
    </w:p>
    <w:p w:rsidR="00D24E61" w:rsidRPr="00771368" w:rsidRDefault="00D24E61" w:rsidP="007279C8">
      <w:pPr>
        <w:spacing w:line="347" w:lineRule="auto"/>
        <w:ind w:firstLine="720"/>
        <w:jc w:val="both"/>
        <w:rPr>
          <w:sz w:val="20"/>
          <w:szCs w:val="20"/>
        </w:rPr>
      </w:pPr>
      <w:r w:rsidRPr="00771368">
        <w:rPr>
          <w:sz w:val="24"/>
          <w:szCs w:val="24"/>
        </w:rPr>
        <w:t>Segundo a autora o patriarcado, ao lado do capitalismo, aliado também ao racismo são contradições que fazem com que as mulheres, inclusive as atendidas pelo PFC, sejam triplamente oprimidas. Por serem mulheres, pobres e pardas ou negras. E de acordo com Camacho (2000) e Saffioti (2004b), não há luta que sobreponha a outra. É necessário lutar contra a opressão de gênero, classe e contra a discriminação racial.</w:t>
      </w:r>
    </w:p>
    <w:p w:rsidR="007279C8" w:rsidRDefault="007279C8">
      <w:pPr>
        <w:spacing w:line="351" w:lineRule="auto"/>
        <w:ind w:right="20"/>
        <w:jc w:val="both"/>
        <w:rPr>
          <w:sz w:val="24"/>
          <w:szCs w:val="24"/>
        </w:rPr>
      </w:pPr>
    </w:p>
    <w:p w:rsidR="00D24E61" w:rsidRPr="00771368" w:rsidRDefault="00D24E61" w:rsidP="007279C8">
      <w:pPr>
        <w:spacing w:line="351" w:lineRule="auto"/>
        <w:ind w:right="20" w:firstLine="720"/>
        <w:jc w:val="both"/>
        <w:rPr>
          <w:sz w:val="20"/>
          <w:szCs w:val="20"/>
        </w:rPr>
      </w:pPr>
      <w:r w:rsidRPr="00771368">
        <w:rPr>
          <w:sz w:val="24"/>
          <w:szCs w:val="24"/>
        </w:rPr>
        <w:t>O interesse em estudar esse tema, surgiu com a nossa inserção nos CRAS de Vitória para cumprir a disciplina Estágio Supervisionado. O estágio possibilitou uma aproximação com a Política de Assistência bem como com o Programa Família Cidadã. O cotidiano do estágio fez com que levantássemos alguns questionamentos com relação às condições das mulheres inseridas no programa, nas famílias e na sociedade, em tempos em que as mulheres, ao mesmo tempo se inserem no mercado de trabalho e continuam no papel de reprodução como donas de casa, mães, mulheres e profissionais.</w:t>
      </w:r>
    </w:p>
    <w:p w:rsidR="00D24E61" w:rsidRPr="00771368" w:rsidRDefault="00D24E61">
      <w:pPr>
        <w:spacing w:line="312"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Dentre os programas da Assistência, escolhemos o PFC porque percebemos que a grande maioria dos usuários atendidos são mulheres, únicas ou principais provedoras da casa, cumprindo um papel fundamental em suas famílias.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31" w:lineRule="exact"/>
        <w:rPr>
          <w:sz w:val="20"/>
          <w:szCs w:val="20"/>
        </w:rPr>
      </w:pPr>
    </w:p>
    <w:p w:rsidR="00D24E61" w:rsidRPr="00771368" w:rsidRDefault="00D24E61">
      <w:pPr>
        <w:rPr>
          <w:sz w:val="20"/>
          <w:szCs w:val="20"/>
        </w:rPr>
      </w:pPr>
      <w:r w:rsidRPr="00771368">
        <w:rPr>
          <w:b/>
          <w:bCs/>
          <w:sz w:val="24"/>
          <w:szCs w:val="24"/>
        </w:rPr>
        <w:t>OBJETIVOS</w:t>
      </w:r>
    </w:p>
    <w:p w:rsidR="00D24E61" w:rsidRPr="00771368" w:rsidRDefault="00D24E61">
      <w:pPr>
        <w:spacing w:line="200" w:lineRule="exact"/>
        <w:rPr>
          <w:sz w:val="20"/>
          <w:szCs w:val="20"/>
        </w:rPr>
      </w:pPr>
    </w:p>
    <w:p w:rsidR="00D24E61" w:rsidRPr="00771368" w:rsidRDefault="00D24E61">
      <w:pPr>
        <w:spacing w:line="233" w:lineRule="exact"/>
        <w:rPr>
          <w:sz w:val="20"/>
          <w:szCs w:val="20"/>
        </w:rPr>
      </w:pPr>
    </w:p>
    <w:p w:rsidR="00D24E61" w:rsidRPr="00771368" w:rsidRDefault="00D24E61" w:rsidP="007279C8">
      <w:pPr>
        <w:spacing w:line="347" w:lineRule="auto"/>
        <w:ind w:firstLine="720"/>
        <w:jc w:val="both"/>
        <w:rPr>
          <w:sz w:val="20"/>
          <w:szCs w:val="20"/>
        </w:rPr>
      </w:pPr>
      <w:r w:rsidRPr="00771368">
        <w:rPr>
          <w:sz w:val="24"/>
          <w:szCs w:val="24"/>
        </w:rPr>
        <w:t>O objetivo central do trabalho foi identificar como a abordagem sobre a temática de gênero perpassa as políticas de Assistência Social, neste caso, mais precisamente o Programa Família Cidadã. Como objetivos específicos, temos a apreensão da relação das mulheres atendidas com o programa; análise das dimensões da participação das mulheres no mesmo e como elas se percebem nesse processo em relação a questão dos seus papéis e relações.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16" w:lineRule="exact"/>
        <w:rPr>
          <w:sz w:val="20"/>
          <w:szCs w:val="20"/>
        </w:rPr>
      </w:pPr>
    </w:p>
    <w:p w:rsidR="00D24E61" w:rsidRPr="00771368" w:rsidRDefault="00D24E61">
      <w:pPr>
        <w:rPr>
          <w:sz w:val="20"/>
          <w:szCs w:val="20"/>
        </w:rPr>
      </w:pPr>
      <w:r w:rsidRPr="00771368">
        <w:rPr>
          <w:b/>
          <w:bCs/>
          <w:sz w:val="24"/>
          <w:szCs w:val="24"/>
        </w:rPr>
        <w:t>METODOLOGIA</w:t>
      </w:r>
    </w:p>
    <w:p w:rsidR="00D24E61" w:rsidRPr="00771368" w:rsidRDefault="00D24E61">
      <w:pPr>
        <w:spacing w:line="200" w:lineRule="exact"/>
        <w:rPr>
          <w:sz w:val="20"/>
          <w:szCs w:val="20"/>
        </w:rPr>
      </w:pPr>
    </w:p>
    <w:p w:rsidR="00D24E61" w:rsidRPr="00771368" w:rsidRDefault="00D24E61">
      <w:pPr>
        <w:spacing w:line="230"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De acordo com Minayo (2002) a metodologia é entendida como discussão epistemológica sobre o caminho do pensamento que o tema ou o objeto de investigação requer, bem como a apresentação adequada e justificada dos métodos, das técnicas e dos instrumentos operativos que devam ser utilizados para as buscas relativas às indagações da investigação, o que envolve também a criatividade do pesquisador.</w:t>
      </w:r>
    </w:p>
    <w:p w:rsidR="00D24E61" w:rsidRPr="00771368" w:rsidRDefault="00D24E61">
      <w:pPr>
        <w:spacing w:line="314"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Quanto ao método de abordagem, uma pesquisa pode se configurar como qualitativa, quantitativa ou quali-quanti. Porém de acordo com Deslandes e Assis (2002) apenas nomear o estudo como qualitativo ou quantitativo não nos diz muito a respeito do seu método de construção, pois pode estereotipar mais do que esclarecer. Tentamos utilizar o método quali-quanti.</w:t>
      </w:r>
    </w:p>
    <w:p w:rsidR="00D24E61" w:rsidRPr="00771368" w:rsidRDefault="00D24E61">
      <w:pPr>
        <w:spacing w:line="293"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Buscamos articular as duas abordagens (qualitativa e quantitativa), verificando a freqüência em que o fenômeno em estudo ocorre, e também buscando interpretar a interpretação que os indivíduos possuem do mesmo (DESLANDES E ASSIS, 2002).</w:t>
      </w:r>
    </w:p>
    <w:p w:rsidR="00D24E61" w:rsidRPr="00771368" w:rsidRDefault="00D24E61">
      <w:pPr>
        <w:spacing w:line="329" w:lineRule="exact"/>
        <w:rPr>
          <w:sz w:val="20"/>
          <w:szCs w:val="20"/>
        </w:rPr>
      </w:pPr>
    </w:p>
    <w:p w:rsidR="00D24E61" w:rsidRPr="00771368" w:rsidRDefault="00D24E61" w:rsidP="007279C8">
      <w:pPr>
        <w:spacing w:line="343" w:lineRule="auto"/>
        <w:ind w:firstLine="720"/>
        <w:jc w:val="both"/>
        <w:rPr>
          <w:sz w:val="20"/>
          <w:szCs w:val="20"/>
        </w:rPr>
      </w:pPr>
      <w:r w:rsidRPr="00771368">
        <w:rPr>
          <w:sz w:val="24"/>
          <w:szCs w:val="24"/>
        </w:rPr>
        <w:t>Realizamos, inicialmente, um trabalho de pesquisa bibliográfica para delinearmos o objeto de estudo. Essa revisão bibliográfica permitiu uma apropriação de conhecimento além de balizarmos nossos conhecimentos com a adoção de autores que possuem uma vertente que coincide com os objetivos do nosso trabalho.</w:t>
      </w:r>
    </w:p>
    <w:p w:rsidR="00D24E61" w:rsidRPr="00771368" w:rsidRDefault="00D24E61">
      <w:pPr>
        <w:spacing w:line="318"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Também desenvolvemos análise documental, onde utilizamos os documentos do CRAS como regulamentações, relatórios, arquivos, pareceres e cadastros da instituição, tudo sob autorização.</w:t>
      </w:r>
    </w:p>
    <w:p w:rsidR="00D24E61" w:rsidRPr="00771368" w:rsidRDefault="00D24E61">
      <w:pPr>
        <w:spacing w:line="332" w:lineRule="exact"/>
        <w:rPr>
          <w:sz w:val="20"/>
          <w:szCs w:val="20"/>
        </w:rPr>
      </w:pPr>
    </w:p>
    <w:p w:rsidR="00D24E61" w:rsidRPr="00771368" w:rsidRDefault="00D24E61" w:rsidP="007279C8">
      <w:pPr>
        <w:spacing w:line="351" w:lineRule="auto"/>
        <w:ind w:firstLine="720"/>
        <w:jc w:val="both"/>
        <w:rPr>
          <w:sz w:val="20"/>
          <w:szCs w:val="20"/>
        </w:rPr>
      </w:pPr>
      <w:r w:rsidRPr="00771368">
        <w:rPr>
          <w:sz w:val="24"/>
          <w:szCs w:val="24"/>
        </w:rPr>
        <w:t>Para a coleta de dados utilizamos um roteiro de entrevista semi-estruturado, que consiste em uma série de perguntas abertas e fechadas. Esta foi realizada por meio de um questionário aplicado por nos pesquisadoras junto a 15 beneficiárias do PFC, tendo a preocupação com a imparcialidade no momento de aplicação do questionário com as usuárias. (LAVILLE, DIONNE E SIMAN 1999) A escolha da amostra e do local se deu pela maior facilidade de acesso aos dados e conhecimento prévio da realidade proporcionados pela experiência de estágio.</w:t>
      </w:r>
    </w:p>
    <w:p w:rsidR="00D24E61" w:rsidRPr="00771368" w:rsidRDefault="00D24E61">
      <w:pPr>
        <w:spacing w:line="312" w:lineRule="exact"/>
        <w:rPr>
          <w:sz w:val="20"/>
          <w:szCs w:val="20"/>
        </w:rPr>
      </w:pPr>
    </w:p>
    <w:p w:rsidR="00D24E61" w:rsidRPr="00771368" w:rsidRDefault="00D24E61" w:rsidP="007279C8">
      <w:pPr>
        <w:spacing w:line="310" w:lineRule="auto"/>
        <w:ind w:right="20" w:firstLine="720"/>
        <w:jc w:val="both"/>
        <w:rPr>
          <w:sz w:val="20"/>
          <w:szCs w:val="20"/>
        </w:rPr>
      </w:pPr>
      <w:r w:rsidRPr="00771368">
        <w:rPr>
          <w:sz w:val="24"/>
          <w:szCs w:val="24"/>
        </w:rPr>
        <w:t>Esse tipo de entrevista foi escolhido por entendermos, que essa seria a forma mais adequada para captarmos a realidade dos sujeitos entrevistados.</w:t>
      </w:r>
    </w:p>
    <w:p w:rsidR="00D24E61" w:rsidRPr="00771368" w:rsidRDefault="00D24E61">
      <w:pPr>
        <w:spacing w:line="355" w:lineRule="exact"/>
        <w:rPr>
          <w:sz w:val="20"/>
          <w:szCs w:val="20"/>
        </w:rPr>
      </w:pPr>
    </w:p>
    <w:p w:rsidR="00D24E61" w:rsidRPr="00771368" w:rsidRDefault="00D24E61" w:rsidP="007279C8">
      <w:pPr>
        <w:spacing w:line="349" w:lineRule="auto"/>
        <w:ind w:right="20" w:firstLine="720"/>
        <w:jc w:val="both"/>
        <w:rPr>
          <w:sz w:val="20"/>
          <w:szCs w:val="20"/>
        </w:rPr>
      </w:pPr>
      <w:r w:rsidRPr="00771368">
        <w:rPr>
          <w:sz w:val="24"/>
          <w:szCs w:val="24"/>
        </w:rPr>
        <w:t>Em referência aos procedimentos éticos, utilizamos em nossa pesquisa, o termo de Consentimento. Este consistiu no entendimento do participante em relação à pesquisa, na sua concordância e no estabelecimento de um contrato após explicação completa e pormenorizada sobre a natureza da pesquisa, seus objetivos, métodos, benefícios previstos, o incômodo que possa acarretar e a garantia de manter sigilo sobre a identidade dos sujeitos da pesquisa. (LAVILLE, DIONNE E SIMAN, 1999)</w:t>
      </w:r>
    </w:p>
    <w:p w:rsidR="00D24E61" w:rsidRPr="00771368" w:rsidRDefault="00D24E61">
      <w:pPr>
        <w:spacing w:line="317" w:lineRule="exact"/>
        <w:rPr>
          <w:sz w:val="20"/>
          <w:szCs w:val="20"/>
        </w:rPr>
      </w:pPr>
    </w:p>
    <w:p w:rsidR="00D24E61" w:rsidRPr="00771368" w:rsidRDefault="00D24E61" w:rsidP="007279C8">
      <w:pPr>
        <w:spacing w:line="347" w:lineRule="auto"/>
        <w:ind w:firstLine="720"/>
        <w:jc w:val="both"/>
        <w:rPr>
          <w:sz w:val="20"/>
          <w:szCs w:val="20"/>
        </w:rPr>
      </w:pPr>
      <w:r w:rsidRPr="00771368">
        <w:rPr>
          <w:sz w:val="24"/>
          <w:szCs w:val="24"/>
        </w:rPr>
        <w:t>Para a análise dos dados utilizamos a análise de conteúdo de Bardin (1977). A análise de conteúdo é uma técnica de pesquisa que busca a interpretação cifrada, do material de caráter qualitativo. Ela parte primeiro da leitura e sistematização das falas, depoimentos e documentos, para atingir um nível mais profundo, ultrapassando os sentidos manifestos do material. (MINAYO, 2002).</w:t>
      </w:r>
    </w:p>
    <w:p w:rsidR="00D24E61" w:rsidRPr="00771368" w:rsidRDefault="00D24E61">
      <w:pPr>
        <w:spacing w:line="293" w:lineRule="exact"/>
        <w:rPr>
          <w:sz w:val="20"/>
          <w:szCs w:val="20"/>
        </w:rPr>
      </w:pPr>
    </w:p>
    <w:p w:rsidR="00D24E61" w:rsidRPr="00771368" w:rsidRDefault="00D24E61" w:rsidP="007279C8">
      <w:pPr>
        <w:spacing w:line="347" w:lineRule="auto"/>
        <w:ind w:firstLine="720"/>
        <w:jc w:val="both"/>
        <w:rPr>
          <w:sz w:val="20"/>
          <w:szCs w:val="20"/>
        </w:rPr>
      </w:pPr>
      <w:r w:rsidRPr="00771368">
        <w:rPr>
          <w:sz w:val="24"/>
          <w:szCs w:val="24"/>
        </w:rPr>
        <w:t>Tendo em vista a importância de codificar os dados coletados, para depois de organizados, empreender um estudo minucioso de seu conteúdo, procuramos o sentido a fim de comprovar, avaliar, reconhecer o essencial através da estrutura e dos elementos desse conteúdo para esclarecer suas diferentes características e extrair sua significação destes na pesquisa. (LAVILLE, DIONNE E SIMAN, 1999)</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rPr>
          <w:sz w:val="20"/>
          <w:szCs w:val="20"/>
        </w:rPr>
      </w:pPr>
      <w:r w:rsidRPr="00771368">
        <w:rPr>
          <w:b/>
          <w:bCs/>
          <w:sz w:val="24"/>
          <w:szCs w:val="24"/>
        </w:rPr>
        <w:t>DISCUSSÃO</w:t>
      </w:r>
    </w:p>
    <w:p w:rsidR="00D24E61" w:rsidRPr="00771368" w:rsidRDefault="00D24E61">
      <w:pPr>
        <w:spacing w:line="200" w:lineRule="exact"/>
        <w:rPr>
          <w:sz w:val="20"/>
          <w:szCs w:val="20"/>
        </w:rPr>
      </w:pPr>
    </w:p>
    <w:p w:rsidR="00D24E61" w:rsidRPr="00771368" w:rsidRDefault="00D24E61">
      <w:pPr>
        <w:spacing w:line="230" w:lineRule="exact"/>
        <w:rPr>
          <w:sz w:val="20"/>
          <w:szCs w:val="20"/>
        </w:rPr>
      </w:pPr>
    </w:p>
    <w:p w:rsidR="00D24E61" w:rsidRPr="00771368" w:rsidRDefault="00D24E61" w:rsidP="007279C8">
      <w:pPr>
        <w:spacing w:line="351" w:lineRule="auto"/>
        <w:ind w:right="20" w:firstLine="720"/>
        <w:jc w:val="both"/>
        <w:rPr>
          <w:sz w:val="20"/>
          <w:szCs w:val="20"/>
        </w:rPr>
      </w:pPr>
      <w:r w:rsidRPr="00771368">
        <w:rPr>
          <w:sz w:val="24"/>
          <w:szCs w:val="24"/>
        </w:rPr>
        <w:t>Numa sociedade neoliberal, com perdas históricas de direitos, as mulheres chegam em desvantagens tanto no que se refere à conquista de direitos quanto às diferenças relativas ao recebimento histórico de salários mais baixos. Estas perdas podem ser constadas ao retomarmos a Falu (2007), que nos mostra documentos elaborados pela CEPAL (1994) para a Conferência Social reafirmam que “As mulheres constituem a maioria dos setores pobres e devem suportar a pior carga dentro dos lares que vivem sumidos na pobreza, mulheres em situações particularmente urbanas, aquelas que cumprem com a função de chefes de lar...”</w:t>
      </w:r>
    </w:p>
    <w:p w:rsidR="00D24E61" w:rsidRPr="00771368" w:rsidRDefault="00D24E61">
      <w:pPr>
        <w:spacing w:line="16" w:lineRule="exact"/>
        <w:rPr>
          <w:sz w:val="20"/>
          <w:szCs w:val="20"/>
        </w:rPr>
      </w:pPr>
    </w:p>
    <w:p w:rsidR="00D24E61" w:rsidRPr="00771368" w:rsidRDefault="00D24E61">
      <w:pPr>
        <w:rPr>
          <w:sz w:val="20"/>
          <w:szCs w:val="20"/>
        </w:rPr>
      </w:pPr>
      <w:r w:rsidRPr="00771368">
        <w:rPr>
          <w:sz w:val="24"/>
          <w:szCs w:val="24"/>
        </w:rPr>
        <w:t>(2007: s/p)</w:t>
      </w:r>
    </w:p>
    <w:p w:rsidR="00D24E61" w:rsidRPr="00771368" w:rsidRDefault="00D24E61">
      <w:pPr>
        <w:spacing w:line="200" w:lineRule="exact"/>
        <w:rPr>
          <w:sz w:val="20"/>
          <w:szCs w:val="20"/>
        </w:rPr>
      </w:pPr>
    </w:p>
    <w:p w:rsidR="00D24E61" w:rsidRPr="00771368" w:rsidRDefault="00D24E61">
      <w:pPr>
        <w:spacing w:line="235" w:lineRule="exact"/>
        <w:rPr>
          <w:sz w:val="20"/>
          <w:szCs w:val="20"/>
        </w:rPr>
      </w:pPr>
    </w:p>
    <w:p w:rsidR="00D24E61" w:rsidRPr="00771368" w:rsidRDefault="00D24E61" w:rsidP="007279C8">
      <w:pPr>
        <w:spacing w:line="350" w:lineRule="auto"/>
        <w:ind w:firstLine="720"/>
        <w:jc w:val="both"/>
        <w:rPr>
          <w:sz w:val="20"/>
          <w:szCs w:val="20"/>
        </w:rPr>
      </w:pPr>
      <w:r w:rsidRPr="00771368">
        <w:rPr>
          <w:sz w:val="24"/>
          <w:szCs w:val="24"/>
        </w:rPr>
        <w:t>Estudos mostram que as mulheres vêm se tornando mais pobres do que os homens, este fenômeno é denominado Feminização da Pobreza. Este conceito foi introduzido pela estadunidense Diane Pearce em artigo publicado em 1978. Para ela, a feminização da pobreza é um processo que se desenvolve a partir do momento em que a mulher com filhos passa a não ter mais marido ou companheiro morando no mesmo domicílio e se responsabilizando pelo sustento da família”. (NOVELLINO, 2004: 2)</w:t>
      </w:r>
    </w:p>
    <w:p w:rsidR="00D24E61" w:rsidRPr="00771368" w:rsidRDefault="00D24E61">
      <w:pPr>
        <w:spacing w:line="310" w:lineRule="exact"/>
        <w:rPr>
          <w:sz w:val="20"/>
          <w:szCs w:val="20"/>
        </w:rPr>
      </w:pPr>
    </w:p>
    <w:p w:rsidR="00D24E61" w:rsidRPr="00771368" w:rsidRDefault="00D24E61" w:rsidP="007279C8">
      <w:pPr>
        <w:spacing w:line="347" w:lineRule="auto"/>
        <w:ind w:firstLine="720"/>
        <w:jc w:val="both"/>
        <w:rPr>
          <w:sz w:val="20"/>
          <w:szCs w:val="20"/>
        </w:rPr>
      </w:pPr>
      <w:r w:rsidRPr="00771368">
        <w:rPr>
          <w:sz w:val="24"/>
          <w:szCs w:val="24"/>
        </w:rPr>
        <w:t>Soares (2003) também coloca a rigidez das funções que a sociedade atribui às mulheres, a restrição aos espaços de poder, à educação a aos recursos produtivos como fatores que contribuem para a feminização da pobreza; além de a participação das mulheres e a ausência do tratamento da questão de gênero no processo de fomento das políticas, o que é um fator agravante desta situação.</w:t>
      </w:r>
    </w:p>
    <w:p w:rsidR="00D24E61" w:rsidRPr="00771368" w:rsidRDefault="00D24E61">
      <w:pPr>
        <w:spacing w:line="314" w:lineRule="exact"/>
        <w:rPr>
          <w:sz w:val="20"/>
          <w:szCs w:val="20"/>
        </w:rPr>
      </w:pPr>
    </w:p>
    <w:p w:rsidR="00D24E61" w:rsidRPr="00771368" w:rsidRDefault="00D24E61" w:rsidP="007279C8">
      <w:pPr>
        <w:spacing w:line="343" w:lineRule="auto"/>
        <w:ind w:right="20" w:firstLine="720"/>
        <w:jc w:val="both"/>
        <w:rPr>
          <w:sz w:val="20"/>
          <w:szCs w:val="20"/>
        </w:rPr>
      </w:pPr>
      <w:r w:rsidRPr="00771368">
        <w:rPr>
          <w:sz w:val="24"/>
          <w:szCs w:val="24"/>
        </w:rPr>
        <w:t>Existem políticas públicas que visam o combate à pobreza e a redução do sofrimento dos pobres de determinadas regiões. Essas políticas devem incluir geração de renda, geração de empregos, linhas especiais de crédito, distribuição de propriedades, reforma agrária, educação e programas de emprego. “Os programas governamentais de combate à pobreza dirigidos a</w:t>
      </w:r>
      <w:r w:rsidR="007279C8">
        <w:rPr>
          <w:sz w:val="20"/>
          <w:szCs w:val="20"/>
        </w:rPr>
        <w:t xml:space="preserve"> </w:t>
      </w:r>
      <w:r w:rsidRPr="00771368">
        <w:rPr>
          <w:sz w:val="24"/>
          <w:szCs w:val="24"/>
        </w:rPr>
        <w:t>pequenos grupos têm se tornado uma prática cada vez mais usual, como parte da política neoliberal de redução dos gastos públicos e implementada pela maior parte dos países em desenvolvimento.” (NOVELLINO, 2004, s/p) São políticas com valores quantitativamente baixos, seletivas, temporárias e focalizadas.</w:t>
      </w:r>
    </w:p>
    <w:p w:rsidR="00D24E61" w:rsidRPr="00771368" w:rsidRDefault="00D24E61">
      <w:pPr>
        <w:spacing w:line="323"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Essas políticas são direcionadas à família, voltando-se mais para a sobrevivência das mulheres pobres e de seus filhos. Elas não apresentam, obrigatoriamente, políticas de gênero que conduzam a uma superação da desigualdade. (NOVELLINO, 2004).</w:t>
      </w:r>
    </w:p>
    <w:p w:rsidR="00D24E61" w:rsidRPr="00771368" w:rsidRDefault="007279C8" w:rsidP="007279C8">
      <w:pPr>
        <w:spacing w:line="329" w:lineRule="exact"/>
        <w:rPr>
          <w:sz w:val="20"/>
          <w:szCs w:val="20"/>
        </w:rPr>
      </w:pPr>
      <w:r>
        <w:rPr>
          <w:sz w:val="20"/>
          <w:szCs w:val="20"/>
        </w:rPr>
        <w:tab/>
      </w:r>
      <w:r w:rsidR="00D24E61" w:rsidRPr="00771368">
        <w:rPr>
          <w:sz w:val="24"/>
          <w:szCs w:val="24"/>
        </w:rPr>
        <w:t>Diante desta discussão teórica e de observações no decorrer do período de estágio supervisionado, surgiram questionamentos acerca de como é tratada a questão de gênero no Programa Família Cidadã (PFC).</w:t>
      </w:r>
    </w:p>
    <w:p w:rsidR="00D24E61" w:rsidRPr="00771368" w:rsidRDefault="00D24E61">
      <w:pPr>
        <w:spacing w:line="332" w:lineRule="exact"/>
        <w:rPr>
          <w:sz w:val="20"/>
          <w:szCs w:val="20"/>
        </w:rPr>
      </w:pPr>
    </w:p>
    <w:p w:rsidR="00D24E61" w:rsidRPr="00771368" w:rsidRDefault="00D24E61" w:rsidP="007279C8">
      <w:pPr>
        <w:spacing w:line="352" w:lineRule="auto"/>
        <w:ind w:right="20" w:firstLine="720"/>
        <w:jc w:val="both"/>
        <w:rPr>
          <w:sz w:val="20"/>
          <w:szCs w:val="20"/>
        </w:rPr>
      </w:pPr>
      <w:r w:rsidRPr="00771368">
        <w:rPr>
          <w:sz w:val="24"/>
          <w:szCs w:val="24"/>
        </w:rPr>
        <w:t>O PFC É voltado a famílias que possuem renda per capita igual ou inferior a 1/3 do salário mínimo; que residem em Vitória há pelo menos dois anos e que têm filhos menores de 14 anos. A família pode receber um valor que varia de R$ 74,88 à R$ 299,28. As famílias regularmente cadastradas no Programa Família Cidadã recebem os benefícios nele previstos pelo período de até um ano, podendo este prazo ser prorrogado por igual período. Os recursos financeiros para a realização do Programa ora instituído são consignados no orçamento da Secretaria Municipal. Esse programa funciona dentro dos CRAS do município de Vitória e está inserido dentro da Política de Assistência Social. (VITÓRIA, 2008)</w:t>
      </w:r>
    </w:p>
    <w:p w:rsidR="00D24E61" w:rsidRPr="00771368" w:rsidRDefault="00D24E61">
      <w:pPr>
        <w:spacing w:line="314" w:lineRule="exact"/>
        <w:rPr>
          <w:sz w:val="20"/>
          <w:szCs w:val="20"/>
        </w:rPr>
      </w:pPr>
    </w:p>
    <w:p w:rsidR="00D24E61" w:rsidRPr="00771368" w:rsidRDefault="00D24E61" w:rsidP="007279C8">
      <w:pPr>
        <w:spacing w:line="347" w:lineRule="auto"/>
        <w:ind w:firstLine="720"/>
        <w:jc w:val="both"/>
        <w:rPr>
          <w:sz w:val="20"/>
          <w:szCs w:val="20"/>
        </w:rPr>
      </w:pPr>
      <w:r w:rsidRPr="00771368">
        <w:rPr>
          <w:sz w:val="24"/>
          <w:szCs w:val="24"/>
        </w:rPr>
        <w:t>O Programa Família Cidadã no CRAS Maruípe, no período estudado, era composto por 30 familias acompanhadas por uma assistente social, uma psicóloga, uma estagiária de Serviço Social, subsidiada pela equipe técnica. O acompanhamento é feito através de reuniões mensais onde comparece um representante de cada família, atendimentos individuais, prestação de contas do benefício e visitas domiciliares.</w:t>
      </w:r>
    </w:p>
    <w:p w:rsidR="00D24E61" w:rsidRPr="00771368" w:rsidRDefault="00D24E61">
      <w:pPr>
        <w:spacing w:line="314"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Essas mulheres estão presentes como participantes, representando suas famílias, ou melhor, corporificando as famílias beneficiadas pelo Programa, pois são as mesmas que participam das atividades propostas pelo programa.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31" w:lineRule="exact"/>
        <w:rPr>
          <w:sz w:val="20"/>
          <w:szCs w:val="20"/>
        </w:rPr>
      </w:pPr>
    </w:p>
    <w:p w:rsidR="00D24E61" w:rsidRPr="00771368" w:rsidRDefault="00D24E61">
      <w:pPr>
        <w:spacing w:line="239" w:lineRule="auto"/>
        <w:rPr>
          <w:sz w:val="20"/>
          <w:szCs w:val="20"/>
        </w:rPr>
      </w:pPr>
      <w:r w:rsidRPr="00771368">
        <w:rPr>
          <w:b/>
          <w:bCs/>
          <w:sz w:val="24"/>
          <w:szCs w:val="24"/>
        </w:rPr>
        <w:t>RESULTADOS DA PESQUISA E DISCUSSÃO</w:t>
      </w:r>
    </w:p>
    <w:p w:rsidR="00D24E61" w:rsidRPr="00771368" w:rsidRDefault="00D24E61">
      <w:pPr>
        <w:spacing w:line="373" w:lineRule="exact"/>
        <w:rPr>
          <w:sz w:val="20"/>
          <w:szCs w:val="20"/>
        </w:rPr>
      </w:pPr>
    </w:p>
    <w:p w:rsidR="00D24E61" w:rsidRPr="00771368" w:rsidRDefault="00D24E61">
      <w:pPr>
        <w:rPr>
          <w:sz w:val="20"/>
          <w:szCs w:val="20"/>
        </w:rPr>
      </w:pPr>
      <w:r w:rsidRPr="00771368">
        <w:rPr>
          <w:sz w:val="24"/>
          <w:szCs w:val="24"/>
        </w:rPr>
        <w:t>ABORDAGENS TEÓRICAS: CLASSE, GÊNERO E PATRIARCADO</w:t>
      </w:r>
    </w:p>
    <w:p w:rsidR="00D24E61" w:rsidRPr="00771368" w:rsidRDefault="00D24E61">
      <w:pPr>
        <w:spacing w:line="293" w:lineRule="exact"/>
        <w:rPr>
          <w:sz w:val="20"/>
          <w:szCs w:val="20"/>
        </w:rPr>
      </w:pPr>
    </w:p>
    <w:p w:rsidR="00D24E61" w:rsidRPr="00771368" w:rsidRDefault="00D24E61" w:rsidP="007279C8">
      <w:pPr>
        <w:spacing w:line="352" w:lineRule="auto"/>
        <w:ind w:firstLine="720"/>
        <w:jc w:val="both"/>
        <w:rPr>
          <w:sz w:val="20"/>
          <w:szCs w:val="20"/>
        </w:rPr>
      </w:pPr>
      <w:r w:rsidRPr="00771368">
        <w:rPr>
          <w:sz w:val="24"/>
          <w:szCs w:val="24"/>
        </w:rPr>
        <w:t>De acordo com Marx e Engels no Manifesto Comunista em 1848: A história de todas as sociedades até agora tem sido a história das lutas de classe. O Manifesto Comunista considera a existência de duas classes sociais fundamentais: senhores e escravos no escravismo; senhores feudais e servos no modo de produção feudal; burguesia e proletariado no capitalismo. No entanto, Camacho (2000) menciona que cada formação social possui um conjunto de classes além das classes fundamentais - as classes secundárias ou subclasses: o campesinato, as classes médias, entre outras. Em muitos casos determinada classe ou subclasse pode assumir um papel de dominação no processo social.</w:t>
      </w:r>
    </w:p>
    <w:p w:rsidR="00D24E61" w:rsidRPr="00771368" w:rsidRDefault="00D24E61" w:rsidP="007279C8">
      <w:pPr>
        <w:spacing w:line="347" w:lineRule="auto"/>
        <w:ind w:right="20" w:firstLine="720"/>
        <w:jc w:val="both"/>
        <w:rPr>
          <w:sz w:val="20"/>
          <w:szCs w:val="20"/>
        </w:rPr>
      </w:pPr>
      <w:r w:rsidRPr="00771368">
        <w:rPr>
          <w:sz w:val="24"/>
          <w:szCs w:val="24"/>
        </w:rPr>
        <w:t>De acordo com Woods (2001), para muitos marxistas a causa original de todas as formas de opressão, inclusive a das mulheres, consiste na divisão da sociedade em classes, dando a entender que após a revolução socialista, a questão da desigualdade entre homens e mulheres fosse ser superada. Porém esse autor coloca que para que isso aconteça é necessário que sejam criadas as relações sociais ideais entre homens e mulheres.</w:t>
      </w:r>
    </w:p>
    <w:p w:rsidR="00D24E61" w:rsidRPr="00771368" w:rsidRDefault="00D24E61">
      <w:pPr>
        <w:spacing w:line="314" w:lineRule="exact"/>
        <w:rPr>
          <w:sz w:val="20"/>
          <w:szCs w:val="20"/>
        </w:rPr>
      </w:pPr>
    </w:p>
    <w:p w:rsidR="00D24E61" w:rsidRPr="00771368" w:rsidRDefault="00D24E61" w:rsidP="007279C8">
      <w:pPr>
        <w:spacing w:line="310" w:lineRule="auto"/>
        <w:ind w:right="20" w:firstLine="720"/>
        <w:jc w:val="both"/>
        <w:rPr>
          <w:sz w:val="20"/>
          <w:szCs w:val="20"/>
        </w:rPr>
      </w:pPr>
      <w:r w:rsidRPr="00771368">
        <w:rPr>
          <w:sz w:val="24"/>
          <w:szCs w:val="24"/>
        </w:rPr>
        <w:t>Camacho (2004) acredita nessa relação entre marxismo e feminismo e cita algumas autoras que se intitulam Feministas Socialistas.</w:t>
      </w:r>
    </w:p>
    <w:p w:rsidR="00D24E61" w:rsidRPr="00771368" w:rsidRDefault="00D24E61">
      <w:pPr>
        <w:spacing w:line="355" w:lineRule="exact"/>
        <w:rPr>
          <w:sz w:val="20"/>
          <w:szCs w:val="20"/>
        </w:rPr>
      </w:pPr>
    </w:p>
    <w:p w:rsidR="00D24E61" w:rsidRPr="00771368" w:rsidRDefault="00D24E61" w:rsidP="007279C8">
      <w:pPr>
        <w:spacing w:line="352" w:lineRule="auto"/>
        <w:ind w:firstLine="720"/>
        <w:jc w:val="both"/>
        <w:rPr>
          <w:sz w:val="20"/>
          <w:szCs w:val="20"/>
        </w:rPr>
      </w:pPr>
      <w:r w:rsidRPr="00771368">
        <w:rPr>
          <w:sz w:val="24"/>
          <w:szCs w:val="24"/>
        </w:rPr>
        <w:t>Heidi Hartmann é uma autora que se define como Feminista Socialista; ela busca a aproximação da teoria marxista através da noção de patriarcado. Numa sociedade patriarcal o homem possui poderes. As relações sociais nessa sociedade são desiguais e o patriarcado estimula essa desigualdade através de alguns métodos como a proibição da educação feminina por considerar as mulheres intelectualmente inferiores, até a violência física e psicológica, passando pela proibição do direito ao voto e aprovação de leis discriminatórias que impedem a igualdade entre os sexos, além da exclusão das mulheres das fontes essenciais de produção remunerada através dos lucros ou salários.</w:t>
      </w:r>
    </w:p>
    <w:p w:rsidR="00D24E61" w:rsidRPr="00771368" w:rsidRDefault="00D24E61">
      <w:pPr>
        <w:spacing w:line="314" w:lineRule="exact"/>
        <w:rPr>
          <w:sz w:val="20"/>
          <w:szCs w:val="20"/>
        </w:rPr>
      </w:pPr>
    </w:p>
    <w:p w:rsidR="00D24E61" w:rsidRPr="00771368" w:rsidRDefault="00D24E61" w:rsidP="007279C8">
      <w:pPr>
        <w:spacing w:line="352" w:lineRule="auto"/>
        <w:ind w:right="20" w:firstLine="720"/>
        <w:jc w:val="both"/>
        <w:rPr>
          <w:sz w:val="20"/>
          <w:szCs w:val="20"/>
        </w:rPr>
      </w:pPr>
      <w:r w:rsidRPr="00771368">
        <w:rPr>
          <w:sz w:val="24"/>
          <w:szCs w:val="24"/>
        </w:rPr>
        <w:t>Para Hartmann (1981, apud Camacho, 2000) as feministas radicais têm dificuldades em perceber como o sexo se torna gênero focando muitas vezes na questão biológica e de reprodução esquecendo os fenômenos sociais da relação do homem com a mulher; enquanto o marxismo foca as mulheres mais no ponto de vista econômico, ignorando quase sempre suas relações com o homem. “O marxismo tem sido cego para o sexo (sex blind), o feminismo tem sido cego para a história (blind to history)”. (Hartmann, 1981 apud Camacho, 2000: 59). Ela acredita que deve se ter uma aliança que considere não só a luta de classes; tampouco só a questão feminina, mas o Feminismo Socialista.</w:t>
      </w:r>
    </w:p>
    <w:p w:rsidR="00D24E61" w:rsidRPr="00771368" w:rsidRDefault="00D24E61">
      <w:pPr>
        <w:spacing w:line="293"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Marx, Engels e Lênin (1979) acreditam que enquanto as mulheres não participarem livremente da vida pública, cumprindo também as obrigações de um serviço cívico universal não pode haver socialismo, nem sequer democracia integral.</w:t>
      </w:r>
    </w:p>
    <w:p w:rsidR="00D24E61" w:rsidRPr="00771368" w:rsidRDefault="00D24E61">
      <w:pPr>
        <w:spacing w:line="329"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A opressão de gênero e a opressão de classe são duas faces da mesma moeda: o capitalismo patriarcal. Hartmann acredita, enquanto socialista feminista, que é necessário se organizar para lutar tanto contra a opressão e exploração econômica quanto contra o patriarcado.</w:t>
      </w:r>
    </w:p>
    <w:p w:rsidR="00D24E61" w:rsidRPr="00771368" w:rsidRDefault="00D24E61">
      <w:pPr>
        <w:spacing w:line="331"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Saffioti (2004a) considera que muitas feministas acrescentaram bastante para o estudo sobre as mulheres na década de 70 e anos anteriores, quando elas utilizam o conceito de patriarcado. Esta autora explica que este conceito de nada está relacionado com o constructo mental weberiano, uma vez que os tipos ideais de Weber só se prestam na realidade daqueles que o criaram e está atado ao contexto social onde teve sua gênese.</w:t>
      </w:r>
    </w:p>
    <w:p w:rsidR="00D24E61" w:rsidRPr="00771368" w:rsidRDefault="00D24E61">
      <w:pPr>
        <w:spacing w:line="314" w:lineRule="exact"/>
        <w:rPr>
          <w:sz w:val="20"/>
          <w:szCs w:val="20"/>
        </w:rPr>
      </w:pPr>
    </w:p>
    <w:p w:rsidR="00D24E61" w:rsidRPr="00771368" w:rsidRDefault="00D24E61" w:rsidP="007279C8">
      <w:pPr>
        <w:spacing w:line="355" w:lineRule="auto"/>
        <w:ind w:firstLine="720"/>
        <w:jc w:val="both"/>
        <w:rPr>
          <w:sz w:val="20"/>
          <w:szCs w:val="20"/>
        </w:rPr>
      </w:pPr>
      <w:r w:rsidRPr="00771368">
        <w:rPr>
          <w:sz w:val="24"/>
          <w:szCs w:val="24"/>
        </w:rPr>
        <w:t>A autora utiliza a definição de patriarcado de Hartmann (1979) que diz que este regime significa um pacto masculino para garantir a opressão das mulheres. O patriarcado é sustentado em uma maneira como os homens asseguram para si mesmos e para seus dependentes os meios necessários para reprodução da vida dentro de uma organização doméstica. Neste regime, as mulheres são objetos de satisfação sexual dos seus dominadores; reprodutoras de novas gerações e de força de trabalho. As mulheres são dominadas, exploradas e oprimidas. A dominação-exploração é na verdade o mesmo fenômeno que apresenta duas faces: a mulher é explorada no trabalho onde ganham salários historicamente menores e ocupam posições desprivilegiadas, como também são controladas na sua sexualidade e na capacidade reprodutiva, quando induzidas a ter determinados número de filhos e o tempo de tê-los determinados pelos homens, mesmo ela portando de elementos femininos que possam influenciar nesse processo. (SAFFIOTI, 2004a)</w:t>
      </w:r>
    </w:p>
    <w:p w:rsidR="00D24E61" w:rsidRPr="00771368" w:rsidRDefault="00D24E61">
      <w:pPr>
        <w:spacing w:line="310"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Há de se considerar que o patriarcado se manifesta de diferentes formas pelo mundo, podendo até ser observadas diferenças de grau de domínio exercido pelos homens sobre as mulheres, no entanto, a natureza do fenômeno é a mesma. O patriarcado se apresenta como um fenômeno que funciona quase que automaticamente, ele pode ser acionado inclusive por mulheres, por exemplo, através da educação dos filhos. (SAFFIOTI, 2004a)</w:t>
      </w:r>
    </w:p>
    <w:p w:rsidR="00D24E61" w:rsidRPr="00771368" w:rsidRDefault="00D24E61">
      <w:pPr>
        <w:spacing w:line="314" w:lineRule="exact"/>
        <w:rPr>
          <w:sz w:val="20"/>
          <w:szCs w:val="20"/>
        </w:rPr>
      </w:pPr>
    </w:p>
    <w:p w:rsidR="00D24E61" w:rsidRPr="00771368" w:rsidRDefault="00D24E61" w:rsidP="007279C8">
      <w:pPr>
        <w:spacing w:line="334" w:lineRule="auto"/>
        <w:ind w:firstLine="720"/>
        <w:jc w:val="both"/>
        <w:rPr>
          <w:sz w:val="20"/>
          <w:szCs w:val="20"/>
        </w:rPr>
      </w:pPr>
      <w:r w:rsidRPr="00771368">
        <w:rPr>
          <w:sz w:val="24"/>
          <w:szCs w:val="24"/>
        </w:rPr>
        <w:t>Considerando que o ser social, dotado de consciência, é responsável pelas transformações da sociedade e que para a transformação é fundamental conhecer as origens e natureza dos fenômenos, nota-se que é necessário recorrer a uma análise ontológica nos estudos de gênero.</w:t>
      </w:r>
    </w:p>
    <w:p w:rsidR="00D24E61" w:rsidRPr="00771368" w:rsidRDefault="00D24E61">
      <w:pPr>
        <w:spacing w:line="293" w:lineRule="exact"/>
        <w:rPr>
          <w:sz w:val="20"/>
          <w:szCs w:val="20"/>
        </w:rPr>
      </w:pPr>
    </w:p>
    <w:p w:rsidR="00D24E61" w:rsidRPr="00771368" w:rsidRDefault="00D24E61" w:rsidP="007279C8">
      <w:pPr>
        <w:spacing w:line="308" w:lineRule="auto"/>
        <w:ind w:right="20" w:firstLine="720"/>
        <w:jc w:val="both"/>
        <w:rPr>
          <w:sz w:val="20"/>
          <w:szCs w:val="20"/>
        </w:rPr>
      </w:pPr>
      <w:r w:rsidRPr="00771368">
        <w:rPr>
          <w:sz w:val="24"/>
          <w:szCs w:val="24"/>
        </w:rPr>
        <w:t>Essa análise não somente empoderaria as mulheres, mas também a categoria mulheres. (SAFFIOTI, 2004a)</w:t>
      </w:r>
    </w:p>
    <w:p w:rsidR="00D24E61" w:rsidRPr="00771368" w:rsidRDefault="00D24E61">
      <w:pPr>
        <w:spacing w:line="360" w:lineRule="exact"/>
        <w:rPr>
          <w:sz w:val="20"/>
          <w:szCs w:val="20"/>
        </w:rPr>
      </w:pPr>
    </w:p>
    <w:p w:rsidR="00D24E61" w:rsidRPr="00771368" w:rsidRDefault="00D24E61" w:rsidP="007279C8">
      <w:pPr>
        <w:spacing w:line="342" w:lineRule="auto"/>
        <w:ind w:right="20" w:firstLine="720"/>
        <w:jc w:val="both"/>
        <w:rPr>
          <w:sz w:val="20"/>
          <w:szCs w:val="20"/>
        </w:rPr>
      </w:pPr>
      <w:r w:rsidRPr="00771368">
        <w:rPr>
          <w:sz w:val="24"/>
          <w:szCs w:val="24"/>
        </w:rPr>
        <w:t>Diferentemente do que se pensa a primeira pessoa a formular o conceito gênero foi um homem, o estudioso Robert Stoller em 1968, porém somente na década de 70 com o artigo de Gayle Rubin, que este conceito prosperou com o caráter relacional, ou seja, a perspectiva de gênero. (SAFFIOTI, 2004a)</w:t>
      </w:r>
    </w:p>
    <w:p w:rsidR="00D24E61" w:rsidRPr="00771368" w:rsidRDefault="00D24E61">
      <w:pPr>
        <w:spacing w:line="323" w:lineRule="exact"/>
        <w:rPr>
          <w:sz w:val="20"/>
          <w:szCs w:val="20"/>
        </w:rPr>
      </w:pPr>
    </w:p>
    <w:p w:rsidR="00D24E61" w:rsidRPr="00771368" w:rsidRDefault="00D24E61" w:rsidP="007279C8">
      <w:pPr>
        <w:spacing w:line="349" w:lineRule="auto"/>
        <w:ind w:right="20" w:firstLine="720"/>
        <w:jc w:val="both"/>
        <w:rPr>
          <w:sz w:val="20"/>
          <w:szCs w:val="20"/>
        </w:rPr>
      </w:pPr>
      <w:r w:rsidRPr="00771368">
        <w:rPr>
          <w:sz w:val="24"/>
          <w:szCs w:val="24"/>
        </w:rPr>
        <w:t>Rubin em 1975 afirma a relação sexo/gênero como o processo pelo qual a sexualidade biológica é transformada em atividade humana. Ela faz distinção entre sexo e gênero, oferecendo elementos para a elaboração do conceito de gênero. Saffioti (2004b) coloca que a elaboração social do sexo não deve gerar a dicotomia sexo e gênero, pois se deve considerar sexo e gênero uma unidade, mas considera como ponto importante da Rabin de seu trabalho deixar relativamente livre o emprego simultâneo dos dois conceitos.</w:t>
      </w:r>
    </w:p>
    <w:p w:rsidR="00D24E61" w:rsidRPr="00771368" w:rsidRDefault="00D24E61">
      <w:pPr>
        <w:spacing w:line="317" w:lineRule="exact"/>
        <w:rPr>
          <w:sz w:val="20"/>
          <w:szCs w:val="20"/>
        </w:rPr>
      </w:pPr>
    </w:p>
    <w:p w:rsidR="00D24E61" w:rsidRPr="00771368" w:rsidRDefault="00D24E61" w:rsidP="007279C8">
      <w:pPr>
        <w:spacing w:line="353" w:lineRule="auto"/>
        <w:ind w:firstLine="720"/>
        <w:jc w:val="both"/>
        <w:rPr>
          <w:sz w:val="20"/>
          <w:szCs w:val="20"/>
        </w:rPr>
      </w:pPr>
      <w:r w:rsidRPr="00771368">
        <w:rPr>
          <w:sz w:val="24"/>
          <w:szCs w:val="24"/>
        </w:rPr>
        <w:t>No Brasil o conceito de gênero se difundiu na década de 90, através principalmente do artigo da Joan Scott (1988 apud SAFFIOTI, 2004a). Este artigo traz o conceito gênero como uma categoria de análise. Houve um avanço quando ela chama atenção para o caráter relacional das definições de feminino-masculino, porém gênero passa a ser essencialmente social esquecendo outros elementos como o corpo e a sexualidade. Com isso há uma perda, pois o ser humano deve ser visto como uma unidade, indivisível. Considera contribuição de Scott o fato de ela ter colocado o fenômeno do poder no centro da organização social de gênero. Ela, porém ressalta o poder como sendo elemento que pode ser usado tanto na direção da igualdade como da desigualdade entre as categorias de sexo. (SAFFIOTI, 2004a)</w:t>
      </w:r>
    </w:p>
    <w:p w:rsidR="00D24E61" w:rsidRPr="00771368" w:rsidRDefault="00D24E61">
      <w:pPr>
        <w:spacing w:line="312" w:lineRule="exact"/>
        <w:rPr>
          <w:sz w:val="20"/>
          <w:szCs w:val="20"/>
        </w:rPr>
      </w:pPr>
    </w:p>
    <w:p w:rsidR="00D24E61" w:rsidRPr="00771368" w:rsidRDefault="00D24E61" w:rsidP="007279C8">
      <w:pPr>
        <w:spacing w:line="342" w:lineRule="auto"/>
        <w:ind w:firstLine="720"/>
        <w:jc w:val="both"/>
        <w:rPr>
          <w:sz w:val="20"/>
          <w:szCs w:val="20"/>
        </w:rPr>
      </w:pPr>
      <w:r w:rsidRPr="00771368">
        <w:rPr>
          <w:sz w:val="24"/>
          <w:szCs w:val="24"/>
        </w:rPr>
        <w:t>Para situar a questão de gênero Heilborn (1991) associa essa questão à tomada de consciência por parte das mulheres. Tendo gênero como a distinção de atributos culturais entre os diferentes sexos e a dimensão biológica dos seres. Ela situa essa temática como variante de acordo com as perspectivas teóricas e ideológicas.</w:t>
      </w:r>
    </w:p>
    <w:p w:rsidR="00D24E61" w:rsidRPr="00771368" w:rsidRDefault="00D24E61">
      <w:pPr>
        <w:spacing w:line="323" w:lineRule="exact"/>
        <w:rPr>
          <w:sz w:val="20"/>
          <w:szCs w:val="20"/>
        </w:rPr>
      </w:pPr>
    </w:p>
    <w:p w:rsidR="00D24E61" w:rsidRPr="00771368" w:rsidRDefault="00D24E61" w:rsidP="007279C8">
      <w:pPr>
        <w:spacing w:line="349" w:lineRule="auto"/>
        <w:ind w:right="20" w:firstLine="720"/>
        <w:jc w:val="both"/>
        <w:rPr>
          <w:sz w:val="20"/>
          <w:szCs w:val="20"/>
        </w:rPr>
      </w:pPr>
      <w:r w:rsidRPr="00771368">
        <w:rPr>
          <w:sz w:val="24"/>
          <w:szCs w:val="24"/>
        </w:rPr>
        <w:t>Castro (1991) explica que gênero se realiza culturalmente por ideologias que tomam configurações específicas de acordo com cada momento histórico, e essa configuração está associada a apropriações político-econômicas do cultural. Este enfoque é uma contribuição de autores marxistas que visam tirar o feminismo do plano idealista, afirmando que as discriminações não são reproduzidas pela perversidade natural dos homens, e chamando atenção para um sistema de relações que se perpetua porque serve a interesses, ainda que não</w:t>
      </w:r>
    </w:p>
    <w:p w:rsidR="00D24E61" w:rsidRPr="00771368" w:rsidRDefault="00D24E61">
      <w:pPr>
        <w:spacing w:line="334" w:lineRule="auto"/>
        <w:jc w:val="both"/>
        <w:rPr>
          <w:sz w:val="20"/>
          <w:szCs w:val="20"/>
        </w:rPr>
      </w:pPr>
      <w:r w:rsidRPr="00771368">
        <w:rPr>
          <w:sz w:val="24"/>
          <w:szCs w:val="24"/>
        </w:rPr>
        <w:t>tenham sido produzidos para tal fim. Dessa forma faz-se uma relação entre classe e gênero, a autora chama a atenção que essas duas categorias se entrelaçam, mas gênero se realiza numa sociedade de classes, sendo, portanto este conceito mais abrangente.</w:t>
      </w:r>
    </w:p>
    <w:p w:rsidR="00D24E61" w:rsidRPr="00771368" w:rsidRDefault="00D24E61">
      <w:pPr>
        <w:spacing w:line="329" w:lineRule="exact"/>
        <w:rPr>
          <w:sz w:val="20"/>
          <w:szCs w:val="20"/>
        </w:rPr>
      </w:pPr>
    </w:p>
    <w:p w:rsidR="00D24E61" w:rsidRPr="00771368" w:rsidRDefault="00D24E61" w:rsidP="007279C8">
      <w:pPr>
        <w:spacing w:line="310" w:lineRule="auto"/>
        <w:ind w:right="20" w:firstLine="720"/>
        <w:jc w:val="both"/>
        <w:rPr>
          <w:sz w:val="20"/>
          <w:szCs w:val="20"/>
        </w:rPr>
      </w:pPr>
      <w:r w:rsidRPr="00771368">
        <w:rPr>
          <w:sz w:val="24"/>
          <w:szCs w:val="24"/>
        </w:rPr>
        <w:t>Saffioti (2004b) acredita que a teoria de gênero não dá conta de substituir a teoria do patriarcado:</w:t>
      </w:r>
    </w:p>
    <w:p w:rsidR="00D24E61" w:rsidRPr="00771368" w:rsidRDefault="00D24E61">
      <w:pPr>
        <w:spacing w:line="345" w:lineRule="exact"/>
        <w:rPr>
          <w:sz w:val="20"/>
          <w:szCs w:val="20"/>
        </w:rPr>
      </w:pPr>
    </w:p>
    <w:p w:rsidR="00D24E61" w:rsidRPr="00771368" w:rsidRDefault="00D24E61">
      <w:pPr>
        <w:spacing w:line="231" w:lineRule="auto"/>
        <w:ind w:left="2120" w:right="20"/>
        <w:jc w:val="both"/>
        <w:rPr>
          <w:sz w:val="20"/>
          <w:szCs w:val="20"/>
        </w:rPr>
      </w:pPr>
      <w:r w:rsidRPr="00771368">
        <w:rPr>
          <w:sz w:val="20"/>
          <w:szCs w:val="20"/>
        </w:rPr>
        <w:t>“Não se trata de abolir o uso do conceito gênero, mas de eliminar sua utilização exclusiva. Gênero é um conceito por demais palatável, porque é excessivamente geral, a-histórico, e pretensamente neutro. [...] O patriarcado ou ordem patriarcal de gênero, ao contrário, como vem explícito em seu nome, só se aplica a uma fase histórica, não tendo pretensão de generalidade nem de neutralidade, e deixa propositadamente explícito o vetor da dominação-exploração. (2004b: 43 e 44)</w:t>
      </w:r>
    </w:p>
    <w:p w:rsidR="00D24E61" w:rsidRPr="00771368" w:rsidRDefault="00D24E61">
      <w:pPr>
        <w:spacing w:line="305" w:lineRule="exact"/>
        <w:rPr>
          <w:sz w:val="20"/>
          <w:szCs w:val="20"/>
        </w:rPr>
      </w:pPr>
    </w:p>
    <w:p w:rsidR="00D24E61" w:rsidRPr="00771368" w:rsidRDefault="00D24E61" w:rsidP="007279C8">
      <w:pPr>
        <w:spacing w:line="349" w:lineRule="auto"/>
        <w:ind w:right="20" w:firstLine="720"/>
        <w:jc w:val="both"/>
        <w:rPr>
          <w:sz w:val="20"/>
          <w:szCs w:val="20"/>
        </w:rPr>
      </w:pPr>
      <w:r w:rsidRPr="00771368">
        <w:rPr>
          <w:sz w:val="24"/>
          <w:szCs w:val="24"/>
        </w:rPr>
        <w:t>O patriarcado não está restrito a ser apenas uma hierarquia entre as categorias de sexo. Este regime traz consigo uma contradição de interesses. Para superação da dominação-exploração das mulheres pelos homens, não basta aumentar os espaços a serem ocupados por mulheres, isso não vai anular a natureza do patriarcado. A contradição não encontra solução neste sistema, para se superar essa contradição são necessárias mudanças sociais mais amplas, onde sejam mantidas as diferenças e eliminadas as desigualdades. (SAFFIOTI, 2004a).</w:t>
      </w:r>
    </w:p>
    <w:p w:rsidR="00D24E61" w:rsidRPr="00771368" w:rsidRDefault="00D24E61">
      <w:pPr>
        <w:spacing w:line="314" w:lineRule="exact"/>
        <w:rPr>
          <w:sz w:val="20"/>
          <w:szCs w:val="20"/>
        </w:rPr>
      </w:pPr>
    </w:p>
    <w:p w:rsidR="00D24E61" w:rsidRPr="00771368" w:rsidRDefault="00D24E61" w:rsidP="007279C8">
      <w:pPr>
        <w:spacing w:line="343" w:lineRule="auto"/>
        <w:ind w:right="20" w:firstLine="720"/>
        <w:jc w:val="both"/>
        <w:rPr>
          <w:sz w:val="20"/>
          <w:szCs w:val="20"/>
        </w:rPr>
      </w:pPr>
      <w:r w:rsidRPr="00771368">
        <w:rPr>
          <w:sz w:val="24"/>
          <w:szCs w:val="24"/>
        </w:rPr>
        <w:t>Além dos aspectos das relações de gênero, aliadas à lógica patriarcal e capitalista, outras desigualdades estão indissociadas a esta forma de dominação, quando tratamos da relação de raça / etnia. Hoje outros segmentos também precisam ser analisados e apreendidos nesta trama de relações de dominação como, por exemplo, a questão LGBT.</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16" w:lineRule="exact"/>
        <w:rPr>
          <w:sz w:val="20"/>
          <w:szCs w:val="20"/>
        </w:rPr>
      </w:pPr>
    </w:p>
    <w:p w:rsidR="00D24E61" w:rsidRPr="00771368" w:rsidRDefault="00D24E61">
      <w:pPr>
        <w:rPr>
          <w:sz w:val="20"/>
          <w:szCs w:val="20"/>
        </w:rPr>
      </w:pPr>
      <w:r w:rsidRPr="00771368">
        <w:rPr>
          <w:sz w:val="24"/>
          <w:szCs w:val="24"/>
        </w:rPr>
        <w:t>GÊNERO, FAMÍLIA E POLÍTICAS SOCIAIS</w:t>
      </w:r>
    </w:p>
    <w:p w:rsidR="00D24E61" w:rsidRPr="00771368" w:rsidRDefault="00D24E61">
      <w:pPr>
        <w:spacing w:line="200" w:lineRule="exact"/>
        <w:rPr>
          <w:sz w:val="20"/>
          <w:szCs w:val="20"/>
        </w:rPr>
      </w:pPr>
    </w:p>
    <w:p w:rsidR="00D24E61" w:rsidRPr="00771368" w:rsidRDefault="00D24E61">
      <w:pPr>
        <w:spacing w:line="235" w:lineRule="exact"/>
        <w:rPr>
          <w:sz w:val="20"/>
          <w:szCs w:val="20"/>
        </w:rPr>
      </w:pPr>
    </w:p>
    <w:p w:rsidR="00D24E61" w:rsidRPr="00771368" w:rsidRDefault="00D24E61" w:rsidP="007279C8">
      <w:pPr>
        <w:spacing w:line="342" w:lineRule="auto"/>
        <w:ind w:right="20" w:firstLine="720"/>
        <w:jc w:val="both"/>
        <w:rPr>
          <w:sz w:val="20"/>
          <w:szCs w:val="20"/>
        </w:rPr>
      </w:pPr>
      <w:r w:rsidRPr="00771368">
        <w:rPr>
          <w:sz w:val="24"/>
          <w:szCs w:val="24"/>
        </w:rPr>
        <w:t>O desenvolvimento do capitalismo trouxe mudanças nas formas de proteção social. Antes da mercantilização cabia à família, à igreja e aos senhores feudais proteger por solidariedade os indivíduos, com o capitalismo desaparece alguns vínculos comunitários dando espaço às novas formas de organização e os modos de vida no meio urbano. (MIOTO, 2008)</w:t>
      </w:r>
    </w:p>
    <w:p w:rsidR="00D24E61" w:rsidRPr="00771368" w:rsidRDefault="00D24E61">
      <w:pPr>
        <w:spacing w:line="324" w:lineRule="exact"/>
        <w:rPr>
          <w:sz w:val="20"/>
          <w:szCs w:val="20"/>
        </w:rPr>
      </w:pPr>
    </w:p>
    <w:p w:rsidR="00D24E61" w:rsidRPr="00771368" w:rsidRDefault="00D24E61" w:rsidP="007279C8">
      <w:pPr>
        <w:spacing w:line="342" w:lineRule="auto"/>
        <w:ind w:right="20" w:firstLine="720"/>
        <w:jc w:val="both"/>
        <w:rPr>
          <w:sz w:val="20"/>
          <w:szCs w:val="20"/>
        </w:rPr>
      </w:pPr>
      <w:r w:rsidRPr="00771368">
        <w:rPr>
          <w:sz w:val="24"/>
          <w:szCs w:val="24"/>
        </w:rPr>
        <w:t>No mundo, o período de institucionalização da proteção social acontece junto com a expansão das idéias liberais de Estado Mínimo e do mercado como auto-regulador e regulador da vida social. No Brasil as idéias neoliberais só surgem nos anos 90, mas chegam impactando a proteção social conquistada com a constituição de 1988. (MIOTO, 2008)</w:t>
      </w:r>
    </w:p>
    <w:p w:rsidR="00D24E61" w:rsidRPr="00771368" w:rsidRDefault="00D24E61">
      <w:pPr>
        <w:spacing w:line="293" w:lineRule="exact"/>
        <w:rPr>
          <w:sz w:val="20"/>
          <w:szCs w:val="20"/>
        </w:rPr>
      </w:pPr>
    </w:p>
    <w:p w:rsidR="00D24E61" w:rsidRPr="00771368" w:rsidRDefault="00D24E61" w:rsidP="007279C8">
      <w:pPr>
        <w:spacing w:line="349" w:lineRule="auto"/>
        <w:ind w:right="20" w:firstLine="720"/>
        <w:jc w:val="both"/>
        <w:rPr>
          <w:sz w:val="20"/>
          <w:szCs w:val="20"/>
        </w:rPr>
      </w:pPr>
      <w:r w:rsidRPr="00771368">
        <w:rPr>
          <w:sz w:val="24"/>
          <w:szCs w:val="24"/>
        </w:rPr>
        <w:t>Para Abrahamson (2004 apud Mioto, 2008), na sociedade moderna houve mudanças relacionadas ao Estado de Bem-Estar, onde foi criado um novo consenso denominado pluralismo de bem-estar ou economia mista de bem-estar. Esse tipo de mudança, de acordo com Pereira (2004 apud Mioto, 2008) refere-se ao distanciamento do Estado como responsável pelo suprimento de bem-estar em favor do mercado e terceiro setor. (MIOTO, 2008)</w:t>
      </w:r>
    </w:p>
    <w:p w:rsidR="00D24E61" w:rsidRPr="00771368" w:rsidRDefault="00D24E61">
      <w:pPr>
        <w:spacing w:line="317" w:lineRule="exact"/>
        <w:rPr>
          <w:sz w:val="20"/>
          <w:szCs w:val="20"/>
        </w:rPr>
      </w:pPr>
    </w:p>
    <w:p w:rsidR="00D24E61" w:rsidRPr="00771368" w:rsidRDefault="00D24E61" w:rsidP="007279C8">
      <w:pPr>
        <w:spacing w:line="342" w:lineRule="auto"/>
        <w:ind w:right="20" w:firstLine="720"/>
        <w:jc w:val="both"/>
        <w:rPr>
          <w:sz w:val="20"/>
          <w:szCs w:val="20"/>
        </w:rPr>
      </w:pPr>
      <w:r w:rsidRPr="00771368">
        <w:rPr>
          <w:sz w:val="24"/>
          <w:szCs w:val="24"/>
        </w:rPr>
        <w:t>A crise do Estado de bem-estar social fez com que a família fosse “redescoberta” enquanto espaço autônomo capaz de resolver seus próprios problemas, num contexto onde se desfaz a responsabilidade coletiva e do Estado responsabilizando os indivíduos e as famílias para provimento de suas necessidades. (MIOTO, 2008)</w:t>
      </w:r>
    </w:p>
    <w:p w:rsidR="00D24E61" w:rsidRPr="00771368" w:rsidRDefault="00D24E61">
      <w:pPr>
        <w:spacing w:line="324" w:lineRule="exact"/>
        <w:rPr>
          <w:sz w:val="20"/>
          <w:szCs w:val="20"/>
        </w:rPr>
      </w:pPr>
    </w:p>
    <w:p w:rsidR="00D24E61" w:rsidRPr="00771368" w:rsidRDefault="00D24E61" w:rsidP="007279C8">
      <w:pPr>
        <w:spacing w:line="353" w:lineRule="auto"/>
        <w:ind w:firstLine="720"/>
        <w:jc w:val="both"/>
        <w:rPr>
          <w:sz w:val="20"/>
          <w:szCs w:val="20"/>
        </w:rPr>
      </w:pPr>
      <w:r w:rsidRPr="00771368">
        <w:rPr>
          <w:sz w:val="24"/>
          <w:szCs w:val="24"/>
        </w:rPr>
        <w:t>Com a precarização do trabalho acompanhado pela desproteção das mulheres e crianças, o capitalismo liberal fica mais limitado de garantir os direitos dos indivíduos, atribuindo às famílias a responsabilidade de promover o bem-estar aos seus membros. Com essas mudanças é feita a separação da família do resto da sociedade, consolidando esse espaço como instância privada. São reafirmadas as divisões de papéis de acordo com sexo, onde o homem é responsável pelo sustento do lar e as mulheres são responsáveis pelos cuidados ao marido e filhos. As mulheres também são alocadas de forma secundária no mercado, ocupando espaços precarizados e cumprindo dupla jornada de trabalho. A família como espaço privado passa a ser o lugar da proteção social dos seus membros. (MIOTO, 2008)</w:t>
      </w:r>
    </w:p>
    <w:p w:rsidR="00D24E61" w:rsidRPr="00771368" w:rsidRDefault="00D24E61">
      <w:pPr>
        <w:spacing w:line="312" w:lineRule="exact"/>
        <w:rPr>
          <w:sz w:val="20"/>
          <w:szCs w:val="20"/>
        </w:rPr>
      </w:pPr>
    </w:p>
    <w:p w:rsidR="00D24E61" w:rsidRPr="00771368" w:rsidRDefault="00D24E61" w:rsidP="007279C8">
      <w:pPr>
        <w:spacing w:line="347" w:lineRule="auto"/>
        <w:ind w:firstLine="720"/>
        <w:jc w:val="both"/>
        <w:rPr>
          <w:sz w:val="20"/>
          <w:szCs w:val="20"/>
        </w:rPr>
      </w:pPr>
      <w:r w:rsidRPr="00771368">
        <w:rPr>
          <w:sz w:val="24"/>
          <w:szCs w:val="24"/>
        </w:rPr>
        <w:t>Inicia-se um processo de supervalorização da família, principalmente no âmbito das políticas sociais. Surgem nesse momento vários programas que têm como objetivo o desenvolvimento das famílias, com ações do Estado se concentram, naquelas que não deram conta de sozinhas obterem as condições de sobrevivência. As ações públicas objetivam tornar as famílias capazes de garantir a estabilidade social. (MIOTO, 2000)</w:t>
      </w:r>
    </w:p>
    <w:p w:rsidR="00D24E61" w:rsidRPr="00771368" w:rsidRDefault="00D24E61">
      <w:pPr>
        <w:spacing w:line="256" w:lineRule="exact"/>
        <w:rPr>
          <w:sz w:val="20"/>
          <w:szCs w:val="20"/>
        </w:rPr>
      </w:pPr>
    </w:p>
    <w:p w:rsidR="00D24E61" w:rsidRPr="00771368" w:rsidRDefault="00D24E61">
      <w:pPr>
        <w:rPr>
          <w:sz w:val="20"/>
          <w:szCs w:val="20"/>
        </w:rPr>
      </w:pPr>
      <w:r w:rsidRPr="00771368">
        <w:rPr>
          <w:sz w:val="24"/>
          <w:szCs w:val="24"/>
        </w:rPr>
        <w:t>A autora exemplifica esse fenômeno:</w:t>
      </w:r>
    </w:p>
    <w:p w:rsidR="00D24E61" w:rsidRPr="00771368" w:rsidRDefault="00D24E61">
      <w:pPr>
        <w:spacing w:line="200" w:lineRule="exact"/>
        <w:rPr>
          <w:sz w:val="20"/>
          <w:szCs w:val="20"/>
        </w:rPr>
      </w:pPr>
    </w:p>
    <w:p w:rsidR="00D24E61" w:rsidRPr="00771368" w:rsidRDefault="00D24E61">
      <w:pPr>
        <w:spacing w:line="228" w:lineRule="exact"/>
        <w:rPr>
          <w:sz w:val="20"/>
          <w:szCs w:val="20"/>
        </w:rPr>
      </w:pPr>
    </w:p>
    <w:p w:rsidR="00D24E61" w:rsidRPr="00771368" w:rsidRDefault="00D24E61">
      <w:pPr>
        <w:spacing w:line="227" w:lineRule="auto"/>
        <w:ind w:left="2300"/>
        <w:jc w:val="both"/>
        <w:rPr>
          <w:sz w:val="20"/>
          <w:szCs w:val="20"/>
        </w:rPr>
      </w:pPr>
      <w:r w:rsidRPr="00771368">
        <w:rPr>
          <w:sz w:val="20"/>
          <w:szCs w:val="20"/>
        </w:rPr>
        <w:t>“pode ser citado o exemplo da LOAS que no seu artigo 2°, item 5, prevê “a garantia de 1 (um) salário mínimo de benefício mensal a pessoa portadora de deficiência e ao idoso que comprove não possuir meios de prover a própria manutenção ou de tê-la provida por sua família.”</w:t>
      </w:r>
    </w:p>
    <w:p w:rsidR="00D24E61" w:rsidRDefault="00D24E61">
      <w:pPr>
        <w:spacing w:line="293" w:lineRule="exact"/>
        <w:rPr>
          <w:sz w:val="20"/>
          <w:szCs w:val="20"/>
        </w:rPr>
      </w:pPr>
    </w:p>
    <w:p w:rsidR="007279C8" w:rsidRPr="00771368" w:rsidRDefault="007279C8">
      <w:pPr>
        <w:spacing w:line="293" w:lineRule="exact"/>
        <w:rPr>
          <w:sz w:val="20"/>
          <w:szCs w:val="20"/>
        </w:rPr>
      </w:pPr>
    </w:p>
    <w:p w:rsidR="00D24E61" w:rsidRPr="00771368" w:rsidRDefault="00D24E61" w:rsidP="007279C8">
      <w:pPr>
        <w:spacing w:line="308" w:lineRule="auto"/>
        <w:ind w:right="20" w:firstLine="720"/>
        <w:jc w:val="both"/>
        <w:rPr>
          <w:sz w:val="20"/>
          <w:szCs w:val="20"/>
        </w:rPr>
      </w:pPr>
      <w:r w:rsidRPr="00771368">
        <w:rPr>
          <w:sz w:val="24"/>
          <w:szCs w:val="24"/>
        </w:rPr>
        <w:t>A chamada privatização da família é apontada por Carloto (2006) como uma forma de transferir a responsabilidade do Estado às unidades familiares.</w:t>
      </w:r>
    </w:p>
    <w:p w:rsidR="00D24E61" w:rsidRPr="00771368" w:rsidRDefault="00D24E61">
      <w:pPr>
        <w:spacing w:line="360"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Percebe-se que essa centralidade na família das políticas sociais expressa conflitos entre diferentes concepções de proteção social. Essas tendências estão carregadas de ideologia, devendo ser analisado o plano de fundo em que base elas se inserem.</w:t>
      </w:r>
    </w:p>
    <w:p w:rsidR="00D24E61" w:rsidRPr="00771368" w:rsidRDefault="00D24E61">
      <w:pPr>
        <w:spacing w:line="329"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Segundo Carloto (2006), as principais estratégias das políticas e dos programas em desenvolvimento têm como foco principal o combate à pobreza. Entretanto, a sua principal estratégia como ressaltado anteriormente é a chamada privatização da família ou podendo também ser chamada de privatização da sobrevivência da família, através de programas que transferem as responsabilidades que deveriam ser assumidas pelo Estado.</w:t>
      </w:r>
    </w:p>
    <w:p w:rsidR="00D24E61" w:rsidRPr="00771368" w:rsidRDefault="00D24E61">
      <w:pPr>
        <w:spacing w:line="317" w:lineRule="exact"/>
        <w:rPr>
          <w:sz w:val="20"/>
          <w:szCs w:val="20"/>
        </w:rPr>
      </w:pPr>
    </w:p>
    <w:p w:rsidR="00D24E61" w:rsidRPr="00771368" w:rsidRDefault="00D24E61" w:rsidP="007279C8">
      <w:pPr>
        <w:spacing w:line="351" w:lineRule="auto"/>
        <w:ind w:right="20" w:firstLine="720"/>
        <w:jc w:val="both"/>
        <w:rPr>
          <w:sz w:val="20"/>
          <w:szCs w:val="20"/>
        </w:rPr>
      </w:pPr>
      <w:r w:rsidRPr="00771368">
        <w:rPr>
          <w:sz w:val="24"/>
          <w:szCs w:val="24"/>
        </w:rPr>
        <w:t>A centralidade na família gera debate nos profissionais preocupados com a questão de gênero, pois não há apenas uma centralidade na família por partes dos programas sociais, mas há um foco na mulher-mãe. Isso se percebe na gestão e operacionalização dos programas, quando a mulher continua sendo tratada e levada a participar de atividades socioeducativas, sendo as responsáveis pelos filhos, pela casa e responsáveis por cumprir os critérios dos programas. Há uma instrumentalização dos papéis das mulheres a partir das suas responsabilidades para o sucesso do programa. (CARLOTO, 2006)</w:t>
      </w:r>
    </w:p>
    <w:p w:rsidR="00D24E61" w:rsidRPr="00771368" w:rsidRDefault="00D24E61">
      <w:pPr>
        <w:spacing w:line="312"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Camuflando uma realidade, em que os seus saberes, suas competências enquanto mulheres, e seu tempo de trabalho são usufruídos pelo Estado, contribuindo para legitimação da opressão, dominação e exploração do trabalho, sob argumento da participação e valorização da sua família. As mulheres são assim utilizadas como maiores responsáveis pelo sucesso ou fracasso da família nos programas. (ARRAZOLA, 2008)</w:t>
      </w:r>
    </w:p>
    <w:p w:rsidR="00D24E61" w:rsidRPr="00771368" w:rsidRDefault="00D24E61">
      <w:pPr>
        <w:spacing w:line="316" w:lineRule="exact"/>
        <w:rPr>
          <w:sz w:val="20"/>
          <w:szCs w:val="20"/>
        </w:rPr>
      </w:pPr>
    </w:p>
    <w:p w:rsidR="00D24E61" w:rsidRPr="00771368" w:rsidRDefault="00D24E61" w:rsidP="007279C8">
      <w:pPr>
        <w:spacing w:line="342" w:lineRule="auto"/>
        <w:ind w:firstLine="720"/>
        <w:jc w:val="both"/>
        <w:rPr>
          <w:sz w:val="20"/>
          <w:szCs w:val="20"/>
        </w:rPr>
      </w:pPr>
      <w:r w:rsidRPr="00771368">
        <w:rPr>
          <w:sz w:val="24"/>
          <w:szCs w:val="24"/>
        </w:rPr>
        <w:t>As carências consubstanciais à condição feminina têm instrumentalizado políticas públicas, que tem por objetivo alcançar as mulheres, e não as relações homem-mulher e seus antagonismos, tornando-se ineficientes, mal sucedidas no alcance de seus objetivos pela emancipação.</w:t>
      </w:r>
    </w:p>
    <w:p w:rsidR="00D24E61" w:rsidRPr="00771368" w:rsidRDefault="00D24E61">
      <w:pPr>
        <w:spacing w:line="321"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Além de se caracterizarem como entrega direta de bens ou atividades de capacitação reforçando habilidades consideradas de donas-de-casa e mães não-trabalhadoras reafirmando a contradição existente entre homens e mulheres. (CARLOTO, 2006)</w:t>
      </w:r>
    </w:p>
    <w:p w:rsidR="00D24E61" w:rsidRPr="00771368" w:rsidRDefault="00D24E61">
      <w:pPr>
        <w:spacing w:line="293"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O sentido de família nestes programas de transferência de renda é centrado na representação social da mulher que identifica e associa mulher e feminino com família, em função da reprodução. (ARRAZOLA, 2008).</w:t>
      </w:r>
    </w:p>
    <w:p w:rsidR="00D24E61" w:rsidRPr="00771368" w:rsidRDefault="00D24E61">
      <w:pPr>
        <w:spacing w:line="329"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Esta concepção de modelo abstrato, estereotipado, de família, tem como principal problema o fato que não é reconhecido que a situação das donas-de-casa nas camadas mais pobres não é hegemônica em termos de estrutura familiar. (CARLOTO, 2006)</w:t>
      </w:r>
    </w:p>
    <w:p w:rsidR="00D24E61" w:rsidRPr="00771368" w:rsidRDefault="00D24E61">
      <w:pPr>
        <w:spacing w:line="331" w:lineRule="exact"/>
        <w:rPr>
          <w:sz w:val="20"/>
          <w:szCs w:val="20"/>
        </w:rPr>
      </w:pPr>
    </w:p>
    <w:p w:rsidR="00D24E61" w:rsidRPr="00771368" w:rsidRDefault="00D24E61" w:rsidP="007279C8">
      <w:pPr>
        <w:spacing w:line="342" w:lineRule="auto"/>
        <w:ind w:firstLine="720"/>
        <w:jc w:val="both"/>
        <w:rPr>
          <w:sz w:val="20"/>
          <w:szCs w:val="20"/>
        </w:rPr>
      </w:pPr>
      <w:r w:rsidRPr="00771368">
        <w:rPr>
          <w:sz w:val="24"/>
          <w:szCs w:val="24"/>
        </w:rPr>
        <w:t>Segundo Rodrigues (2008), mesmo que a família nuclear seja o modelo predominante, a forma mais conhecida culturalmente, composta de pai, mãe e filhos, podendo ser observada a presença de até três gerações no mesmo domicilio, não se pode eliminar a existências de outros tipos de famílias e suas especificidades.</w:t>
      </w:r>
    </w:p>
    <w:p w:rsidR="00D24E61" w:rsidRPr="00771368" w:rsidRDefault="00D24E61">
      <w:pPr>
        <w:spacing w:line="324" w:lineRule="exact"/>
        <w:rPr>
          <w:sz w:val="20"/>
          <w:szCs w:val="20"/>
        </w:rPr>
      </w:pPr>
    </w:p>
    <w:p w:rsidR="00D24E61" w:rsidRPr="00771368" w:rsidRDefault="00D24E61" w:rsidP="007279C8">
      <w:pPr>
        <w:spacing w:line="342" w:lineRule="auto"/>
        <w:ind w:right="20" w:firstLine="720"/>
        <w:jc w:val="both"/>
        <w:rPr>
          <w:sz w:val="20"/>
          <w:szCs w:val="20"/>
        </w:rPr>
      </w:pPr>
      <w:r w:rsidRPr="00771368">
        <w:rPr>
          <w:sz w:val="24"/>
          <w:szCs w:val="24"/>
        </w:rPr>
        <w:t>Nas últimas décadas transformações estão marcando a família; dentre as características mais significativas desta evolução, a redução da importância das famílias “nucleares”, e, em paralelo a esta redução, o crescimento de formas alternativas de organização domésticas, sobretudo, as constituídas por mulheres que vivem sós com seus filhos, ou que se tornam</w:t>
      </w:r>
      <w:r w:rsidR="007279C8">
        <w:rPr>
          <w:sz w:val="24"/>
          <w:szCs w:val="24"/>
        </w:rPr>
        <w:t xml:space="preserve"> </w:t>
      </w:r>
      <w:r w:rsidRPr="00771368">
        <w:rPr>
          <w:sz w:val="24"/>
          <w:szCs w:val="24"/>
        </w:rPr>
        <w:t>“chefes” da família, tendo um papel fundamental na manutenção econômica e afetiva. Nestas os homens estão ausentes, seja de forma temporária, ou permanente. (NADER, 1997).</w:t>
      </w:r>
    </w:p>
    <w:p w:rsidR="00D24E61" w:rsidRPr="00771368" w:rsidRDefault="00D24E61">
      <w:pPr>
        <w:spacing w:line="360"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De acordo com Carloto (2006), este acontecimento pode ser percebido inclusive nas classes menos favorecidas, tornando-se um fenômeno crescente em âmbito global, sendo associado ao também crescente fenômeno conhecido por feminização da pobreza.</w:t>
      </w:r>
    </w:p>
    <w:p w:rsidR="00D24E61" w:rsidRPr="00771368" w:rsidRDefault="00D24E61">
      <w:pPr>
        <w:spacing w:line="329" w:lineRule="exact"/>
        <w:rPr>
          <w:sz w:val="20"/>
          <w:szCs w:val="20"/>
        </w:rPr>
      </w:pPr>
    </w:p>
    <w:p w:rsidR="00D24E61" w:rsidRPr="00771368" w:rsidRDefault="00D24E61" w:rsidP="007279C8">
      <w:pPr>
        <w:spacing w:line="310" w:lineRule="auto"/>
        <w:ind w:right="20" w:firstLine="720"/>
        <w:jc w:val="both"/>
        <w:rPr>
          <w:sz w:val="20"/>
          <w:szCs w:val="20"/>
        </w:rPr>
      </w:pPr>
      <w:r w:rsidRPr="00771368">
        <w:rPr>
          <w:sz w:val="24"/>
          <w:szCs w:val="24"/>
        </w:rPr>
        <w:t>Este conceito „feminização da pobreza‟ representa a idéia de que as mulheres vêm se tornando mais pobres do que os homens, ou seja, se tornando mais vulneráveis.</w:t>
      </w:r>
    </w:p>
    <w:p w:rsidR="00D24E61" w:rsidRPr="00771368" w:rsidRDefault="00D24E61">
      <w:pPr>
        <w:spacing w:line="355" w:lineRule="exact"/>
        <w:rPr>
          <w:sz w:val="20"/>
          <w:szCs w:val="20"/>
        </w:rPr>
      </w:pPr>
    </w:p>
    <w:p w:rsidR="00D24E61" w:rsidRPr="00771368" w:rsidRDefault="00D24E61" w:rsidP="007279C8">
      <w:pPr>
        <w:spacing w:line="349" w:lineRule="auto"/>
        <w:ind w:right="20" w:firstLine="720"/>
        <w:jc w:val="both"/>
        <w:rPr>
          <w:sz w:val="20"/>
          <w:szCs w:val="20"/>
        </w:rPr>
      </w:pPr>
      <w:r w:rsidRPr="00771368">
        <w:rPr>
          <w:sz w:val="24"/>
          <w:szCs w:val="24"/>
        </w:rPr>
        <w:t>É importante destacar que ao mesmo tempo em que cresce o número de famílias chefiadas por mulheres, cresce também o índice de pobreza entre as mulheres. A condição de gênero acompanhada das responsabilidades atribuídas às mulheres indica uma situação de vulnerabilização das mulheres chefes de família. Essas mulheres apresentam geralmente baixa escolaridade, ocupam trabalhos precarizados e sem proteção previdenciária, fazendo com que estas elas tenham como única alternativa de amparo a Assistência Social. (CARLOTO, 2006)</w:t>
      </w:r>
    </w:p>
    <w:p w:rsidR="00D24E61" w:rsidRPr="00771368" w:rsidRDefault="00D24E61">
      <w:pPr>
        <w:spacing w:line="317"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De acordo com a contagem populacional realizada pelo IBGE (2002) encontrada no livro A mulher brasileira nos espaços público e privado de 2004, 41% das mulheres brasileiras exercem algum trabalho remunerado, destas 42% estão inseridas no mercado de trabalho</w:t>
      </w:r>
      <w:r w:rsidR="007279C8">
        <w:rPr>
          <w:sz w:val="24"/>
          <w:szCs w:val="24"/>
        </w:rPr>
        <w:t xml:space="preserve"> </w:t>
      </w:r>
      <w:r w:rsidRPr="00771368">
        <w:rPr>
          <w:sz w:val="24"/>
          <w:szCs w:val="24"/>
        </w:rPr>
        <w:t>formal e 57% no trabalho informal. Ou seja, mais da metade das trabalhadoras brasileiras que trabalham exercem suas atividades laborais sem garantias e benefícios, como férias, décimo terceiro salário, hora extra remunerada, FGTS, licença maternidade e seguro desemprego.</w:t>
      </w:r>
    </w:p>
    <w:p w:rsidR="00D24E61" w:rsidRPr="00771368" w:rsidRDefault="00D24E61">
      <w:pPr>
        <w:spacing w:line="329" w:lineRule="exact"/>
        <w:rPr>
          <w:sz w:val="20"/>
          <w:szCs w:val="20"/>
        </w:rPr>
      </w:pPr>
    </w:p>
    <w:p w:rsidR="00D24E61" w:rsidRPr="00771368" w:rsidRDefault="00D24E61" w:rsidP="007279C8">
      <w:pPr>
        <w:spacing w:line="343" w:lineRule="auto"/>
        <w:ind w:firstLine="720"/>
        <w:jc w:val="both"/>
        <w:rPr>
          <w:sz w:val="20"/>
          <w:szCs w:val="20"/>
        </w:rPr>
      </w:pPr>
      <w:r w:rsidRPr="00771368">
        <w:rPr>
          <w:sz w:val="24"/>
          <w:szCs w:val="24"/>
        </w:rPr>
        <w:t>A presença do homem na casa não quer dizer que situação das mulheres é amena, elas continuam sendo as responsáveis pelo trabalho doméstico, pelos filhos e a ocupar subempregos; em muitos casos ainda sofrem violência doméstica atentadas pelos maridos ou companheiros. (CARLOTO, 2006)</w:t>
      </w:r>
    </w:p>
    <w:p w:rsidR="00D24E61" w:rsidRPr="00771368" w:rsidRDefault="00D24E61">
      <w:pPr>
        <w:spacing w:line="318"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É nesse sentido que Carvalho (2003: 15) afirma a importância de “olhar a família em seu movimento”, pois existem várias formas de agrupamentos familiares. Ao tomarmos como modelo único a família nuclear e patriarcal, olhamos para as outras formas de arranjos familiares com muito estranhamento, muitas vezes intitulando-as como desestruturadas e incompletas.</w:t>
      </w:r>
    </w:p>
    <w:p w:rsidR="00D24E61" w:rsidRPr="00771368" w:rsidRDefault="00D24E61">
      <w:pPr>
        <w:spacing w:line="317" w:lineRule="exact"/>
        <w:rPr>
          <w:sz w:val="20"/>
          <w:szCs w:val="20"/>
        </w:rPr>
      </w:pPr>
    </w:p>
    <w:p w:rsidR="00D24E61" w:rsidRPr="00771368" w:rsidRDefault="00D24E61" w:rsidP="007279C8">
      <w:pPr>
        <w:spacing w:line="334" w:lineRule="auto"/>
        <w:ind w:right="20" w:firstLine="720"/>
        <w:jc w:val="both"/>
        <w:rPr>
          <w:sz w:val="20"/>
          <w:szCs w:val="20"/>
        </w:rPr>
      </w:pPr>
      <w:r w:rsidRPr="00771368">
        <w:rPr>
          <w:sz w:val="24"/>
          <w:szCs w:val="24"/>
        </w:rPr>
        <w:t>Segundo contagem do IBGE (2004) 57% das mulheres acima de 15 anos vivem com maridos ou companheiros e 43% estão solteiras, viúvas e/ou separadas. Dentre as mulheres solteiras, 22% delas têm filhos e dentre separadas, divorciadas e/ou viúvas 98% têm filhos.</w:t>
      </w:r>
    </w:p>
    <w:p w:rsidR="00D24E61" w:rsidRPr="00771368" w:rsidRDefault="00D24E61">
      <w:pPr>
        <w:spacing w:line="329" w:lineRule="exact"/>
        <w:rPr>
          <w:sz w:val="20"/>
          <w:szCs w:val="20"/>
        </w:rPr>
      </w:pPr>
    </w:p>
    <w:p w:rsidR="00D24E61" w:rsidRPr="00771368" w:rsidRDefault="00D24E61" w:rsidP="007279C8">
      <w:pPr>
        <w:spacing w:line="343" w:lineRule="auto"/>
        <w:ind w:right="20" w:firstLine="720"/>
        <w:jc w:val="both"/>
        <w:rPr>
          <w:sz w:val="20"/>
          <w:szCs w:val="20"/>
        </w:rPr>
      </w:pPr>
      <w:r w:rsidRPr="00771368">
        <w:rPr>
          <w:sz w:val="24"/>
          <w:szCs w:val="24"/>
        </w:rPr>
        <w:t>O documento do Sistema Único de Assistência Social - SUAS reconhece que os novos arranjos familiares estão dialeticamente condicionados às transformações societárias contemporâneas e tem como premissa superar a referência de tempo e lugar para a compreensão do conceito de família. (CARLOTO, 2006)</w:t>
      </w:r>
    </w:p>
    <w:p w:rsidR="00D24E61" w:rsidRPr="00771368" w:rsidRDefault="00D24E61">
      <w:pPr>
        <w:spacing w:line="319" w:lineRule="exact"/>
        <w:rPr>
          <w:sz w:val="20"/>
          <w:szCs w:val="20"/>
        </w:rPr>
      </w:pPr>
    </w:p>
    <w:p w:rsidR="00D24E61" w:rsidRPr="00771368" w:rsidRDefault="00D24E61" w:rsidP="007279C8">
      <w:pPr>
        <w:spacing w:line="343" w:lineRule="auto"/>
        <w:ind w:firstLine="720"/>
        <w:jc w:val="both"/>
        <w:rPr>
          <w:sz w:val="20"/>
          <w:szCs w:val="20"/>
        </w:rPr>
      </w:pPr>
      <w:r w:rsidRPr="00771368">
        <w:rPr>
          <w:sz w:val="24"/>
          <w:szCs w:val="24"/>
        </w:rPr>
        <w:t>Porém uma questão que se remete a esta definição se resume em problemas de operacionalização que tem como questão central como é definida a família a ser beneficiada e qual é a base desta concepção, tendo como ponto de partida o impacto que estas interpretações causam nas vidas dos beneficiários dos programas. (CARLOTO, 2006)</w:t>
      </w:r>
    </w:p>
    <w:p w:rsidR="00D24E61" w:rsidRPr="00771368" w:rsidRDefault="00D24E61">
      <w:pPr>
        <w:spacing w:line="318" w:lineRule="exact"/>
        <w:rPr>
          <w:sz w:val="20"/>
          <w:szCs w:val="20"/>
        </w:rPr>
      </w:pPr>
    </w:p>
    <w:p w:rsidR="00D24E61" w:rsidRPr="00771368" w:rsidRDefault="00D24E61">
      <w:pPr>
        <w:spacing w:line="334" w:lineRule="auto"/>
        <w:ind w:right="20"/>
        <w:jc w:val="both"/>
        <w:rPr>
          <w:sz w:val="20"/>
          <w:szCs w:val="20"/>
        </w:rPr>
      </w:pPr>
      <w:r w:rsidRPr="00771368">
        <w:rPr>
          <w:sz w:val="24"/>
          <w:szCs w:val="24"/>
        </w:rPr>
        <w:t>Essa questão surge quando consideramos relevante ressaltar que arranjos domiciliares não correspondem aos arranjos familiares e nem à visão que os próprios moradores desses domicílios têm destes arranjos e do que eles consideram família. (CARLOTO, 2006)</w:t>
      </w:r>
    </w:p>
    <w:p w:rsidR="00D24E61" w:rsidRPr="00771368" w:rsidRDefault="00D24E61">
      <w:pPr>
        <w:spacing w:line="329" w:lineRule="exact"/>
        <w:rPr>
          <w:sz w:val="20"/>
          <w:szCs w:val="20"/>
        </w:rPr>
      </w:pPr>
    </w:p>
    <w:p w:rsidR="00D24E61" w:rsidRPr="00771368" w:rsidRDefault="00D24E61">
      <w:pPr>
        <w:spacing w:line="343" w:lineRule="auto"/>
        <w:jc w:val="both"/>
        <w:rPr>
          <w:sz w:val="20"/>
          <w:szCs w:val="20"/>
        </w:rPr>
      </w:pPr>
      <w:r w:rsidRPr="00771368">
        <w:rPr>
          <w:sz w:val="24"/>
          <w:szCs w:val="24"/>
        </w:rPr>
        <w:t>Interessa dizer que não é pelo fato de que muitos programas sociais têm a mulher como elemento central, que significa que haja uma perspectiva de gênero. Muitas vezes a operacionalização desses programas reafirmam as relações tradicionais de gênero. (CARLOTO, 2006)</w:t>
      </w:r>
    </w:p>
    <w:p w:rsidR="007279C8" w:rsidRDefault="007279C8">
      <w:pPr>
        <w:spacing w:line="347" w:lineRule="auto"/>
        <w:jc w:val="both"/>
        <w:rPr>
          <w:sz w:val="24"/>
          <w:szCs w:val="24"/>
        </w:rPr>
      </w:pPr>
    </w:p>
    <w:p w:rsidR="00D24E61" w:rsidRPr="00771368" w:rsidRDefault="00D24E61" w:rsidP="007279C8">
      <w:pPr>
        <w:spacing w:line="347" w:lineRule="auto"/>
        <w:ind w:firstLine="720"/>
        <w:jc w:val="both"/>
        <w:rPr>
          <w:sz w:val="20"/>
          <w:szCs w:val="20"/>
        </w:rPr>
      </w:pPr>
      <w:r w:rsidRPr="00771368">
        <w:rPr>
          <w:sz w:val="24"/>
          <w:szCs w:val="24"/>
        </w:rPr>
        <w:t>A premissa básica para que a mulher seja co-responsável da família, advêm do fato de acreditarem que são mais confiáveis como mães, como também são mais confiáveis que os homens na aplicação correta do benefício e tão ou mais capazes, garantindo assim a eficácia dos programas pela via do controle das classes desfavorecidas que sempre foi exercido pelo Estado.</w:t>
      </w:r>
    </w:p>
    <w:p w:rsidR="00D24E61" w:rsidRPr="00771368" w:rsidRDefault="00D24E61">
      <w:pPr>
        <w:spacing w:line="314" w:lineRule="exact"/>
        <w:rPr>
          <w:sz w:val="20"/>
          <w:szCs w:val="20"/>
        </w:rPr>
      </w:pPr>
    </w:p>
    <w:p w:rsidR="00D24E61" w:rsidRPr="00771368" w:rsidRDefault="00D24E61" w:rsidP="007279C8">
      <w:pPr>
        <w:spacing w:line="343" w:lineRule="auto"/>
        <w:ind w:right="20" w:firstLine="720"/>
        <w:jc w:val="both"/>
        <w:rPr>
          <w:sz w:val="20"/>
          <w:szCs w:val="20"/>
        </w:rPr>
      </w:pPr>
      <w:r w:rsidRPr="00771368">
        <w:rPr>
          <w:sz w:val="24"/>
          <w:szCs w:val="24"/>
        </w:rPr>
        <w:t>Daí nossa indagação. Em que medida os programas que se colocam hoje sob o discurso da cidadania e promoção de direitos consideram / abordam a questão de gênero como um dos elementos centrais da realidade social e como estratégia de enfrentamento às desigualdades e fortalecimento de políticas públicas com esse recorte?</w:t>
      </w:r>
    </w:p>
    <w:p w:rsidR="00D24E61" w:rsidRPr="00771368" w:rsidRDefault="00D24E61">
      <w:pPr>
        <w:spacing w:line="200" w:lineRule="exact"/>
        <w:rPr>
          <w:sz w:val="20"/>
          <w:szCs w:val="20"/>
        </w:rPr>
      </w:pPr>
    </w:p>
    <w:p w:rsidR="00D24E61" w:rsidRPr="00771368" w:rsidRDefault="00D24E61">
      <w:pPr>
        <w:spacing w:line="321" w:lineRule="exact"/>
        <w:rPr>
          <w:sz w:val="20"/>
          <w:szCs w:val="20"/>
        </w:rPr>
      </w:pPr>
    </w:p>
    <w:p w:rsidR="00D24E61" w:rsidRPr="00771368" w:rsidRDefault="00D24E61">
      <w:pPr>
        <w:rPr>
          <w:sz w:val="20"/>
          <w:szCs w:val="20"/>
        </w:rPr>
      </w:pPr>
      <w:r w:rsidRPr="00771368">
        <w:rPr>
          <w:b/>
          <w:bCs/>
          <w:sz w:val="24"/>
          <w:szCs w:val="24"/>
        </w:rPr>
        <w:t>CONCLUSÕES</w:t>
      </w:r>
    </w:p>
    <w:p w:rsidR="00D24E61" w:rsidRPr="00771368" w:rsidRDefault="00D24E61">
      <w:pPr>
        <w:spacing w:line="200" w:lineRule="exact"/>
        <w:rPr>
          <w:sz w:val="20"/>
          <w:szCs w:val="20"/>
        </w:rPr>
      </w:pPr>
    </w:p>
    <w:p w:rsidR="00D24E61" w:rsidRPr="00771368" w:rsidRDefault="00D24E61" w:rsidP="007279C8">
      <w:pPr>
        <w:spacing w:line="343" w:lineRule="auto"/>
        <w:ind w:right="20" w:firstLine="720"/>
        <w:jc w:val="both"/>
        <w:rPr>
          <w:sz w:val="20"/>
          <w:szCs w:val="20"/>
        </w:rPr>
      </w:pPr>
      <w:r w:rsidRPr="00771368">
        <w:rPr>
          <w:sz w:val="24"/>
          <w:szCs w:val="24"/>
        </w:rPr>
        <w:t>A partir desse estudo identificamos que a reprodução de gênero perpassa o âmbito do privado, ou seja, dentro das famílias das mulheres atendidas; bem como no público, como na participação social, e nos programas de assistência a partir do momento em que não existe a discussão desta temática e a perspectiva de gênero não se faz presente.</w:t>
      </w:r>
    </w:p>
    <w:p w:rsidR="00D24E61" w:rsidRPr="00771368" w:rsidRDefault="00D24E61">
      <w:pPr>
        <w:spacing w:line="318" w:lineRule="exact"/>
        <w:rPr>
          <w:sz w:val="20"/>
          <w:szCs w:val="20"/>
        </w:rPr>
      </w:pPr>
    </w:p>
    <w:p w:rsidR="00D24E61" w:rsidRPr="00771368" w:rsidRDefault="00D24E61" w:rsidP="007279C8">
      <w:pPr>
        <w:spacing w:line="347" w:lineRule="auto"/>
        <w:ind w:firstLine="720"/>
        <w:jc w:val="both"/>
        <w:rPr>
          <w:sz w:val="20"/>
          <w:szCs w:val="20"/>
        </w:rPr>
      </w:pPr>
      <w:r w:rsidRPr="00771368">
        <w:rPr>
          <w:sz w:val="24"/>
          <w:szCs w:val="24"/>
        </w:rPr>
        <w:t>Entendemos o quanto é difícil traduzir as relações de poder entre os sexos devido ao fato de isto ser resultado de um processo histórico que têm sua origem junto com o surgimento das relações monogâmicas numa sociedade de classes. A opressão das mulheres é naturalizada e internalizada pela sociedade de tal maneira que é necessário um processo de investigação e leitura intenso para entender como ela se reproduz.</w:t>
      </w:r>
    </w:p>
    <w:p w:rsidR="00D24E61" w:rsidRPr="00771368" w:rsidRDefault="00D24E61">
      <w:pPr>
        <w:spacing w:line="317" w:lineRule="exact"/>
        <w:rPr>
          <w:sz w:val="20"/>
          <w:szCs w:val="20"/>
        </w:rPr>
      </w:pPr>
    </w:p>
    <w:p w:rsidR="00D24E61" w:rsidRPr="00771368" w:rsidRDefault="00D24E61" w:rsidP="007279C8">
      <w:pPr>
        <w:spacing w:line="346" w:lineRule="auto"/>
        <w:ind w:right="20" w:firstLine="720"/>
        <w:jc w:val="both"/>
        <w:rPr>
          <w:sz w:val="20"/>
          <w:szCs w:val="20"/>
        </w:rPr>
      </w:pPr>
      <w:r w:rsidRPr="00771368">
        <w:rPr>
          <w:sz w:val="24"/>
          <w:szCs w:val="24"/>
        </w:rPr>
        <w:t>Para entender como os resultados desta análise refletem nas mulheres do PFC foi necessário entender que estas mulheres estão inseridas numa sociedade capitalista patriarcal. São traços da sociedade machista encontrados entre as mulheres do PFC: a baixa auto-estima; a idealização de um modelo de família e a maternidade como o acontecimento mais importante na vida das mulheres; divisão sexual do trabalho; baixa escolaridade; e o mito da beleza.</w:t>
      </w:r>
    </w:p>
    <w:p w:rsidR="00D24E61" w:rsidRPr="00771368" w:rsidRDefault="00D24E61">
      <w:pPr>
        <w:spacing w:line="320" w:lineRule="exact"/>
        <w:rPr>
          <w:sz w:val="20"/>
          <w:szCs w:val="20"/>
        </w:rPr>
      </w:pPr>
    </w:p>
    <w:p w:rsidR="00D24E61" w:rsidRPr="00771368" w:rsidRDefault="00D24E61" w:rsidP="007279C8">
      <w:pPr>
        <w:spacing w:line="342" w:lineRule="auto"/>
        <w:ind w:right="20" w:firstLine="720"/>
        <w:jc w:val="both"/>
        <w:rPr>
          <w:sz w:val="20"/>
          <w:szCs w:val="20"/>
        </w:rPr>
      </w:pPr>
      <w:r w:rsidRPr="00771368">
        <w:rPr>
          <w:sz w:val="24"/>
          <w:szCs w:val="24"/>
        </w:rPr>
        <w:t>As mulheres do PFC enfrentam desafios como: conciliar trabalho e cuidados com a casa; e em estudar e cuidar do companheiro. Grande parte delas se declarou chefes de família. Alegaram o ser pelo fato de terem representativa participação no sustento dos lares e em alguma autonomia na tomada de decisões. Entretanto, apesar de algumas mudanças que pudemos</w:t>
      </w:r>
      <w:r w:rsidR="007279C8">
        <w:rPr>
          <w:sz w:val="24"/>
          <w:szCs w:val="24"/>
        </w:rPr>
        <w:t xml:space="preserve"> </w:t>
      </w:r>
      <w:r w:rsidRPr="00771368">
        <w:rPr>
          <w:sz w:val="24"/>
          <w:szCs w:val="24"/>
        </w:rPr>
        <w:t>observar na sociedade e entre as usuárias, sabemos que pouco se alterou as relações de poder entre homens e mulheres.</w:t>
      </w:r>
    </w:p>
    <w:p w:rsidR="00D24E61" w:rsidRPr="00771368" w:rsidRDefault="00D24E61">
      <w:pPr>
        <w:spacing w:line="360"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As mulheres se inseriram no mercado de trabalho, porém de maneira precarizada e permanece a divisão sexual do trabalho, e esta inserção não fez com que diminuísse as obrigações em casa. São as mulheres as maiores vítimas da pobreza, elas que participam do PFC entre outros programas de Assistência Social, cuidam da casa, educam os filhos e exercem atividades subalternizadas.</w:t>
      </w:r>
    </w:p>
    <w:p w:rsidR="00D24E61" w:rsidRPr="00771368" w:rsidRDefault="00D24E61">
      <w:pPr>
        <w:spacing w:line="314"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Observamos que na metodologia do PFC não se faz presente a perspectiva de gênero. O programa que trabalha os eixos moradia, saúde, geração de renda e educação até o momento da pesquisa não trabalhava com as mulheres as relações de poder entre sexos e outras temáticas que perpassam as especificidades das usuárias atendidas. Fica a pergunta: em que medida é possível trabalhar para a emancipação diante desta lacuna no programa?</w:t>
      </w:r>
    </w:p>
    <w:p w:rsidR="00D24E61" w:rsidRPr="00771368" w:rsidRDefault="00D24E61">
      <w:pPr>
        <w:spacing w:line="317" w:lineRule="exact"/>
        <w:rPr>
          <w:sz w:val="20"/>
          <w:szCs w:val="20"/>
        </w:rPr>
      </w:pPr>
    </w:p>
    <w:p w:rsidR="00D24E61" w:rsidRPr="00771368" w:rsidRDefault="00D24E61" w:rsidP="007279C8">
      <w:pPr>
        <w:spacing w:line="347" w:lineRule="auto"/>
        <w:ind w:right="20" w:firstLine="720"/>
        <w:jc w:val="both"/>
        <w:rPr>
          <w:sz w:val="20"/>
          <w:szCs w:val="20"/>
        </w:rPr>
      </w:pPr>
      <w:r w:rsidRPr="00771368">
        <w:rPr>
          <w:sz w:val="24"/>
          <w:szCs w:val="24"/>
        </w:rPr>
        <w:t xml:space="preserve">Deve-se considerar que o II Plano Nacional de Políticas para as Mulheres possui como orientação a universalidade das políticas, de forma que deve ser </w:t>
      </w:r>
      <w:r w:rsidRPr="00771368">
        <w:rPr>
          <w:color w:val="231F20"/>
          <w:sz w:val="24"/>
          <w:szCs w:val="24"/>
        </w:rPr>
        <w:t>incorporada a perspectiva de</w:t>
      </w:r>
      <w:r w:rsidRPr="00771368">
        <w:rPr>
          <w:sz w:val="24"/>
          <w:szCs w:val="24"/>
        </w:rPr>
        <w:t xml:space="preserve"> </w:t>
      </w:r>
      <w:r w:rsidRPr="00771368">
        <w:rPr>
          <w:color w:val="231F20"/>
          <w:sz w:val="24"/>
          <w:szCs w:val="24"/>
        </w:rPr>
        <w:t>gênero nas políticas públicas de forma a possibilitar o reconhecimento e enfrentamento das desigualdades entre homens e mulheres, estas diretrizes não são seguidas ou incorporadas de fato na concepção transversal nas políticas públicas.</w:t>
      </w:r>
    </w:p>
    <w:p w:rsidR="00D24E61" w:rsidRPr="00771368" w:rsidRDefault="00D24E61">
      <w:pPr>
        <w:spacing w:line="314" w:lineRule="exact"/>
        <w:rPr>
          <w:sz w:val="20"/>
          <w:szCs w:val="20"/>
        </w:rPr>
      </w:pPr>
    </w:p>
    <w:p w:rsidR="00D24E61" w:rsidRPr="00771368" w:rsidRDefault="00D24E61" w:rsidP="007279C8">
      <w:pPr>
        <w:spacing w:line="351" w:lineRule="auto"/>
        <w:ind w:right="20" w:firstLine="720"/>
        <w:jc w:val="both"/>
        <w:rPr>
          <w:sz w:val="20"/>
          <w:szCs w:val="20"/>
        </w:rPr>
      </w:pPr>
      <w:r w:rsidRPr="00771368">
        <w:rPr>
          <w:color w:val="231F20"/>
          <w:sz w:val="24"/>
          <w:szCs w:val="24"/>
        </w:rPr>
        <w:t>Outra questão de fundamental importância na discussão do programa é o termo Emancipação. A promoção/emancipação é uma proposta presente em vários programas assistenciais, inclusive o PFC, e estes termos são usados quase que cotidianamente durante o acompanhamento às famílias. Entretanto durante o estudo procuramos práticas que realmente potencializassem os usuários para formação de uma contra-hegemonia que possibilitasse a emancipação social dos indivíduos, porém não conseguimos identificar ações ou debates nesta perspectiva.</w:t>
      </w:r>
    </w:p>
    <w:p w:rsidR="00D24E61" w:rsidRPr="00771368" w:rsidRDefault="00D24E61">
      <w:pPr>
        <w:spacing w:line="311" w:lineRule="exact"/>
        <w:rPr>
          <w:sz w:val="20"/>
          <w:szCs w:val="20"/>
        </w:rPr>
      </w:pPr>
    </w:p>
    <w:p w:rsidR="00D24E61" w:rsidRPr="00771368" w:rsidRDefault="00D24E61" w:rsidP="007279C8">
      <w:pPr>
        <w:spacing w:line="351" w:lineRule="auto"/>
        <w:ind w:right="20" w:firstLine="720"/>
        <w:jc w:val="both"/>
        <w:rPr>
          <w:sz w:val="20"/>
          <w:szCs w:val="20"/>
        </w:rPr>
      </w:pPr>
      <w:r w:rsidRPr="00771368">
        <w:rPr>
          <w:color w:val="231F20"/>
          <w:sz w:val="24"/>
          <w:szCs w:val="24"/>
        </w:rPr>
        <w:t xml:space="preserve">Não são comuns atividades que possibilitam um conhecimento crítico acerca da sociedade e relações de poder, e para o Serviço Social, no seu projeto ético político e nas literaturas estudadas com uma vertente hegemônica do curso – </w:t>
      </w:r>
      <w:r w:rsidRPr="00771368">
        <w:rPr>
          <w:color w:val="000000"/>
          <w:sz w:val="24"/>
          <w:szCs w:val="24"/>
        </w:rPr>
        <w:t>a teoria crítica de Marx</w:t>
      </w:r>
      <w:r w:rsidRPr="00771368">
        <w:rPr>
          <w:color w:val="231F20"/>
          <w:sz w:val="24"/>
          <w:szCs w:val="24"/>
        </w:rPr>
        <w:t xml:space="preserve"> – emancipação social não se refere à possibilidade de moradia, acesso à saúde, à educação e à geração de renda; vai além de práticas empreendedoras; para nós, emancipação só acontece numa sociedade “onde o desenvolvimento de cada um será a condição do livre desenvolvimento de todos”. (Marx, apud Luiz, 2008)</w:t>
      </w:r>
    </w:p>
    <w:p w:rsidR="007279C8" w:rsidRDefault="007279C8">
      <w:pPr>
        <w:rPr>
          <w:color w:val="231F20"/>
          <w:sz w:val="24"/>
          <w:szCs w:val="24"/>
        </w:rPr>
      </w:pPr>
    </w:p>
    <w:p w:rsidR="00D24E61" w:rsidRPr="00771368" w:rsidRDefault="00D24E61" w:rsidP="007279C8">
      <w:pPr>
        <w:ind w:firstLine="720"/>
        <w:rPr>
          <w:sz w:val="20"/>
          <w:szCs w:val="20"/>
        </w:rPr>
      </w:pPr>
      <w:r w:rsidRPr="00771368">
        <w:rPr>
          <w:color w:val="231F20"/>
          <w:sz w:val="24"/>
          <w:szCs w:val="24"/>
        </w:rPr>
        <w:t>Desta  maneira  acreditamos  que  para  se  falar  de  emancipação  no  PFC  é  necessário  que</w:t>
      </w:r>
    </w:p>
    <w:p w:rsidR="00D24E61" w:rsidRPr="00771368" w:rsidRDefault="00D24E61">
      <w:pPr>
        <w:spacing w:line="137" w:lineRule="exact"/>
        <w:rPr>
          <w:sz w:val="20"/>
          <w:szCs w:val="20"/>
        </w:rPr>
      </w:pPr>
    </w:p>
    <w:p w:rsidR="00D24E61" w:rsidRPr="00771368" w:rsidRDefault="00D24E61">
      <w:pPr>
        <w:rPr>
          <w:sz w:val="20"/>
          <w:szCs w:val="20"/>
        </w:rPr>
      </w:pPr>
      <w:r w:rsidRPr="00771368">
        <w:rPr>
          <w:color w:val="231F20"/>
          <w:sz w:val="24"/>
          <w:szCs w:val="24"/>
        </w:rPr>
        <w:t>primeiramente sejam inseridos as temáticas gênero e sociedade de classes. É fundamental</w:t>
      </w:r>
    </w:p>
    <w:p w:rsidR="00D24E61" w:rsidRPr="00771368" w:rsidRDefault="00D24E61">
      <w:pPr>
        <w:spacing w:line="139" w:lineRule="exact"/>
        <w:rPr>
          <w:sz w:val="20"/>
          <w:szCs w:val="20"/>
        </w:rPr>
      </w:pPr>
    </w:p>
    <w:p w:rsidR="00D24E61" w:rsidRPr="00771368" w:rsidRDefault="00D24E61">
      <w:pPr>
        <w:rPr>
          <w:sz w:val="20"/>
          <w:szCs w:val="20"/>
        </w:rPr>
      </w:pPr>
      <w:r w:rsidRPr="00771368">
        <w:rPr>
          <w:color w:val="231F20"/>
          <w:sz w:val="24"/>
          <w:szCs w:val="24"/>
        </w:rPr>
        <w:t>também ser discutidas questões raciais. Não podemos falar de emancipação numa sociedade</w:t>
      </w:r>
    </w:p>
    <w:p w:rsidR="00D24E61" w:rsidRPr="00771368" w:rsidRDefault="00D24E61">
      <w:pPr>
        <w:spacing w:line="137" w:lineRule="exact"/>
        <w:rPr>
          <w:sz w:val="20"/>
          <w:szCs w:val="20"/>
        </w:rPr>
      </w:pPr>
    </w:p>
    <w:p w:rsidR="00D24E61" w:rsidRPr="00771368" w:rsidRDefault="00D24E61">
      <w:pPr>
        <w:rPr>
          <w:sz w:val="20"/>
          <w:szCs w:val="20"/>
        </w:rPr>
      </w:pPr>
      <w:r w:rsidRPr="00771368">
        <w:rPr>
          <w:color w:val="231F20"/>
          <w:sz w:val="24"/>
          <w:szCs w:val="24"/>
        </w:rPr>
        <w:t>machista, classista e racista.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37" w:lineRule="exact"/>
        <w:rPr>
          <w:sz w:val="20"/>
          <w:szCs w:val="20"/>
        </w:rPr>
      </w:pPr>
    </w:p>
    <w:p w:rsidR="00D24E61" w:rsidRPr="00771368" w:rsidRDefault="00D24E61">
      <w:pPr>
        <w:rPr>
          <w:sz w:val="20"/>
          <w:szCs w:val="20"/>
        </w:rPr>
      </w:pPr>
      <w:r w:rsidRPr="00771368">
        <w:rPr>
          <w:b/>
          <w:bCs/>
          <w:sz w:val="24"/>
          <w:szCs w:val="24"/>
        </w:rPr>
        <w:t>REFERÊNCIAS</w:t>
      </w:r>
    </w:p>
    <w:p w:rsidR="00D24E61" w:rsidRPr="00771368" w:rsidRDefault="00D24E61">
      <w:pPr>
        <w:spacing w:line="200" w:lineRule="exact"/>
        <w:rPr>
          <w:sz w:val="20"/>
          <w:szCs w:val="20"/>
        </w:rPr>
      </w:pPr>
    </w:p>
    <w:p w:rsidR="00D24E61" w:rsidRPr="00771368" w:rsidRDefault="00D24E61">
      <w:pPr>
        <w:spacing w:line="230" w:lineRule="exact"/>
        <w:rPr>
          <w:sz w:val="20"/>
          <w:szCs w:val="20"/>
        </w:rPr>
      </w:pPr>
    </w:p>
    <w:p w:rsidR="00D24E61" w:rsidRPr="00771368" w:rsidRDefault="00D24E61">
      <w:pPr>
        <w:spacing w:line="223" w:lineRule="auto"/>
        <w:jc w:val="both"/>
        <w:rPr>
          <w:sz w:val="20"/>
          <w:szCs w:val="20"/>
        </w:rPr>
      </w:pPr>
      <w:r w:rsidRPr="00771368">
        <w:rPr>
          <w:sz w:val="24"/>
          <w:szCs w:val="24"/>
        </w:rPr>
        <w:t xml:space="preserve">ARRAZOLA,Laura Suzana Duque. </w:t>
      </w:r>
      <w:r w:rsidRPr="00771368">
        <w:rPr>
          <w:b/>
          <w:bCs/>
          <w:sz w:val="24"/>
          <w:szCs w:val="24"/>
        </w:rPr>
        <w:t>O Sujeito Feminino nas Políticas de Assistência Social</w:t>
      </w:r>
      <w:r w:rsidRPr="00771368">
        <w:rPr>
          <w:sz w:val="24"/>
          <w:szCs w:val="24"/>
        </w:rPr>
        <w:t>. In: MOTA,Ana Elizabete.(Org.). O Mito da Assistência Social:ensaios sobre Estado, Política e Sociedade. Recife:Ed Universitária da UFPE, 2008.</w:t>
      </w:r>
    </w:p>
    <w:p w:rsidR="00D24E61" w:rsidRPr="00771368" w:rsidRDefault="00D24E61">
      <w:pPr>
        <w:spacing w:line="241" w:lineRule="exact"/>
        <w:rPr>
          <w:sz w:val="20"/>
          <w:szCs w:val="20"/>
        </w:rPr>
      </w:pPr>
    </w:p>
    <w:p w:rsidR="00D24E61" w:rsidRPr="00771368" w:rsidRDefault="00D24E61">
      <w:pPr>
        <w:rPr>
          <w:sz w:val="20"/>
          <w:szCs w:val="20"/>
        </w:rPr>
      </w:pPr>
      <w:r w:rsidRPr="00771368">
        <w:rPr>
          <w:sz w:val="24"/>
          <w:szCs w:val="24"/>
        </w:rPr>
        <w:t xml:space="preserve">BARDIN, L. </w:t>
      </w:r>
      <w:r w:rsidRPr="00771368">
        <w:rPr>
          <w:b/>
          <w:bCs/>
          <w:sz w:val="24"/>
          <w:szCs w:val="24"/>
        </w:rPr>
        <w:t>Análise de conteúdo.</w:t>
      </w:r>
      <w:r w:rsidRPr="00771368">
        <w:rPr>
          <w:sz w:val="24"/>
          <w:szCs w:val="24"/>
        </w:rPr>
        <w:t xml:space="preserve"> Lisboa Ed. 70, 1977.</w:t>
      </w:r>
    </w:p>
    <w:p w:rsidR="00D24E61" w:rsidRPr="00771368" w:rsidRDefault="00D24E61">
      <w:pPr>
        <w:spacing w:line="298" w:lineRule="exact"/>
        <w:rPr>
          <w:sz w:val="20"/>
          <w:szCs w:val="20"/>
        </w:rPr>
      </w:pPr>
    </w:p>
    <w:p w:rsidR="00D24E61" w:rsidRPr="00771368" w:rsidRDefault="00D24E61">
      <w:pPr>
        <w:spacing w:line="214" w:lineRule="auto"/>
        <w:jc w:val="both"/>
        <w:rPr>
          <w:sz w:val="20"/>
          <w:szCs w:val="20"/>
        </w:rPr>
      </w:pPr>
      <w:r w:rsidRPr="00771368">
        <w:rPr>
          <w:sz w:val="24"/>
          <w:szCs w:val="24"/>
        </w:rPr>
        <w:t xml:space="preserve">CAMACHO, Thimoteo; Classes </w:t>
      </w:r>
      <w:r w:rsidRPr="00771368">
        <w:rPr>
          <w:b/>
          <w:bCs/>
          <w:sz w:val="24"/>
          <w:szCs w:val="24"/>
        </w:rPr>
        <w:t>Sociais e Relações de Gênero na Teoria Marxista</w:t>
      </w:r>
      <w:r w:rsidRPr="00771368">
        <w:rPr>
          <w:sz w:val="24"/>
          <w:szCs w:val="24"/>
        </w:rPr>
        <w:t>. Fórum Social Capixaba, Vitória - ES, v. 1, n. 1, p. 49-61, 2000</w:t>
      </w:r>
    </w:p>
    <w:p w:rsidR="00D24E61" w:rsidRPr="00771368" w:rsidRDefault="00D24E61">
      <w:pPr>
        <w:spacing w:line="300" w:lineRule="exact"/>
        <w:rPr>
          <w:sz w:val="20"/>
          <w:szCs w:val="20"/>
        </w:rPr>
      </w:pPr>
    </w:p>
    <w:p w:rsidR="00D24E61" w:rsidRPr="00771368" w:rsidRDefault="00D24E61">
      <w:pPr>
        <w:spacing w:line="214" w:lineRule="auto"/>
        <w:jc w:val="both"/>
        <w:rPr>
          <w:sz w:val="20"/>
          <w:szCs w:val="20"/>
        </w:rPr>
      </w:pPr>
      <w:r w:rsidRPr="00771368">
        <w:rPr>
          <w:sz w:val="24"/>
          <w:szCs w:val="24"/>
        </w:rPr>
        <w:t xml:space="preserve">CARLOTO, Cássia Maria- </w:t>
      </w:r>
      <w:r w:rsidRPr="00771368">
        <w:rPr>
          <w:b/>
          <w:bCs/>
          <w:sz w:val="24"/>
          <w:szCs w:val="24"/>
        </w:rPr>
        <w:t>Gênero, políticas públicas e centralidade na família</w:t>
      </w:r>
      <w:r w:rsidRPr="00771368">
        <w:rPr>
          <w:sz w:val="24"/>
          <w:szCs w:val="24"/>
        </w:rPr>
        <w:t xml:space="preserve"> – Revista Serviço Social e Sociedade – Ano 86, 2006</w:t>
      </w:r>
    </w:p>
    <w:p w:rsidR="00D24E61" w:rsidRPr="00771368" w:rsidRDefault="00D24E61">
      <w:pPr>
        <w:spacing w:line="300" w:lineRule="exact"/>
        <w:rPr>
          <w:sz w:val="20"/>
          <w:szCs w:val="20"/>
        </w:rPr>
      </w:pPr>
    </w:p>
    <w:p w:rsidR="00D24E61" w:rsidRPr="00771368" w:rsidRDefault="00D24E61">
      <w:pPr>
        <w:spacing w:line="214" w:lineRule="auto"/>
        <w:jc w:val="both"/>
        <w:rPr>
          <w:sz w:val="20"/>
          <w:szCs w:val="20"/>
        </w:rPr>
      </w:pPr>
      <w:r w:rsidRPr="00771368">
        <w:rPr>
          <w:sz w:val="24"/>
          <w:szCs w:val="24"/>
        </w:rPr>
        <w:t xml:space="preserve">CARVALHO, M. C. B. O lugar da família na política social. In: _____. </w:t>
      </w:r>
      <w:r w:rsidRPr="00771368">
        <w:rPr>
          <w:b/>
          <w:bCs/>
          <w:sz w:val="24"/>
          <w:szCs w:val="24"/>
        </w:rPr>
        <w:t>A família</w:t>
      </w:r>
      <w:r w:rsidRPr="00771368">
        <w:rPr>
          <w:sz w:val="24"/>
          <w:szCs w:val="24"/>
        </w:rPr>
        <w:t xml:space="preserve"> </w:t>
      </w:r>
      <w:r w:rsidRPr="00771368">
        <w:rPr>
          <w:b/>
          <w:bCs/>
          <w:sz w:val="24"/>
          <w:szCs w:val="24"/>
        </w:rPr>
        <w:t xml:space="preserve">contemporânea em debate. </w:t>
      </w:r>
      <w:r w:rsidRPr="00771368">
        <w:rPr>
          <w:sz w:val="24"/>
          <w:szCs w:val="24"/>
        </w:rPr>
        <w:t>5 ed. São Paulo: EDUC/Cortez, 2003. p. 15-22.</w:t>
      </w:r>
    </w:p>
    <w:p w:rsidR="00D24E61" w:rsidRPr="00771368" w:rsidRDefault="00D24E61">
      <w:pPr>
        <w:spacing w:line="300" w:lineRule="exact"/>
        <w:rPr>
          <w:sz w:val="20"/>
          <w:szCs w:val="20"/>
        </w:rPr>
      </w:pPr>
    </w:p>
    <w:p w:rsidR="00D24E61" w:rsidRPr="00771368" w:rsidRDefault="00D24E61">
      <w:pPr>
        <w:spacing w:line="227" w:lineRule="auto"/>
        <w:ind w:right="20"/>
        <w:jc w:val="both"/>
        <w:rPr>
          <w:sz w:val="20"/>
          <w:szCs w:val="20"/>
        </w:rPr>
      </w:pPr>
      <w:r w:rsidRPr="00771368">
        <w:rPr>
          <w:sz w:val="24"/>
          <w:szCs w:val="24"/>
        </w:rPr>
        <w:t xml:space="preserve">CASTRO, Mary Garcia. </w:t>
      </w:r>
      <w:r w:rsidRPr="00771368">
        <w:rPr>
          <w:b/>
          <w:bCs/>
          <w:sz w:val="24"/>
          <w:szCs w:val="24"/>
        </w:rPr>
        <w:t>A Dinâmica entre Classe e Gênero na América Latina:</w:t>
      </w:r>
      <w:r w:rsidRPr="00771368">
        <w:rPr>
          <w:sz w:val="24"/>
          <w:szCs w:val="24"/>
        </w:rPr>
        <w:t xml:space="preserve"> </w:t>
      </w:r>
      <w:r w:rsidRPr="00771368">
        <w:rPr>
          <w:b/>
          <w:bCs/>
          <w:sz w:val="24"/>
          <w:szCs w:val="24"/>
        </w:rPr>
        <w:t xml:space="preserve">apontamentos para uma teoria regional sobre gênero. </w:t>
      </w:r>
      <w:r w:rsidRPr="00771368">
        <w:rPr>
          <w:sz w:val="24"/>
          <w:szCs w:val="24"/>
        </w:rPr>
        <w:t>Mulher e Políticas Públicas.</w:t>
      </w:r>
      <w:r w:rsidRPr="00771368">
        <w:rPr>
          <w:b/>
          <w:bCs/>
          <w:sz w:val="24"/>
          <w:szCs w:val="24"/>
        </w:rPr>
        <w:t xml:space="preserve"> </w:t>
      </w:r>
      <w:r w:rsidRPr="00771368">
        <w:rPr>
          <w:sz w:val="24"/>
          <w:szCs w:val="24"/>
        </w:rPr>
        <w:t>Instituto Brasileiro de Administração Municipal, Rio de Janeiro. Escola Nacional de Serviços Urbanos. Núcleo de Estudos Mulher e Políticas Públicas. Rio de Janeiro, 1991.</w:t>
      </w:r>
    </w:p>
    <w:p w:rsidR="00D24E61" w:rsidRPr="00771368" w:rsidRDefault="00D24E61">
      <w:pPr>
        <w:spacing w:line="300"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DESLANDES, S. F.; ASSIS, S. G. DE. </w:t>
      </w:r>
      <w:r w:rsidRPr="00771368">
        <w:rPr>
          <w:b/>
          <w:bCs/>
          <w:sz w:val="24"/>
          <w:szCs w:val="24"/>
        </w:rPr>
        <w:t>Abordagens qualitativa e quantitativa em saúde: o</w:t>
      </w:r>
      <w:r w:rsidRPr="00771368">
        <w:rPr>
          <w:sz w:val="24"/>
          <w:szCs w:val="24"/>
        </w:rPr>
        <w:t xml:space="preserve"> </w:t>
      </w:r>
      <w:r w:rsidRPr="00771368">
        <w:rPr>
          <w:b/>
          <w:bCs/>
          <w:sz w:val="24"/>
          <w:szCs w:val="24"/>
        </w:rPr>
        <w:t>dialogo das diferenças</w:t>
      </w:r>
      <w:r w:rsidRPr="00771368">
        <w:rPr>
          <w:sz w:val="24"/>
          <w:szCs w:val="24"/>
        </w:rPr>
        <w:t>. In MINAYO, M. C. S.; DESLANDES, S. F. (org) caminhos do</w:t>
      </w:r>
      <w:r w:rsidRPr="00771368">
        <w:rPr>
          <w:b/>
          <w:bCs/>
          <w:sz w:val="24"/>
          <w:szCs w:val="24"/>
        </w:rPr>
        <w:t xml:space="preserve"> </w:t>
      </w:r>
      <w:r w:rsidRPr="00771368">
        <w:rPr>
          <w:sz w:val="24"/>
          <w:szCs w:val="24"/>
        </w:rPr>
        <w:t>pensamento: epistemologia e método. Rio de Janeiro: Editora Fiocruz, 2002, p.195-223.</w:t>
      </w:r>
    </w:p>
    <w:p w:rsidR="00D24E61" w:rsidRPr="00771368" w:rsidRDefault="00D24E61">
      <w:pPr>
        <w:spacing w:line="299"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FALU, Ana; </w:t>
      </w:r>
      <w:r w:rsidRPr="00771368">
        <w:rPr>
          <w:b/>
          <w:bCs/>
          <w:sz w:val="24"/>
          <w:szCs w:val="24"/>
        </w:rPr>
        <w:t>Pobreza urbana e Gênero</w:t>
      </w:r>
      <w:r w:rsidRPr="00771368">
        <w:rPr>
          <w:sz w:val="24"/>
          <w:szCs w:val="24"/>
        </w:rPr>
        <w:t>; 1998. Disponível em: http://wbln0018.worldbank.org/LAC/lacinfoclient.nsf/e9dd232c66d43b6b852567d2005ca3c5 /6f3adba76e46feee85256804004c3b09?OpenDocument. Acesso em: 02 nov. 2007</w:t>
      </w:r>
    </w:p>
    <w:p w:rsidR="00D24E61" w:rsidRPr="00771368" w:rsidRDefault="00D24E61">
      <w:pPr>
        <w:spacing w:line="299" w:lineRule="exact"/>
        <w:rPr>
          <w:sz w:val="20"/>
          <w:szCs w:val="20"/>
        </w:rPr>
      </w:pPr>
    </w:p>
    <w:p w:rsidR="00D24E61" w:rsidRPr="00771368" w:rsidRDefault="00D24E61">
      <w:pPr>
        <w:spacing w:line="227" w:lineRule="auto"/>
        <w:ind w:right="20"/>
        <w:jc w:val="both"/>
        <w:rPr>
          <w:sz w:val="20"/>
          <w:szCs w:val="20"/>
        </w:rPr>
      </w:pPr>
      <w:r w:rsidRPr="00771368">
        <w:rPr>
          <w:sz w:val="24"/>
          <w:szCs w:val="24"/>
        </w:rPr>
        <w:t xml:space="preserve">HEILBORN, Maria Luiza. </w:t>
      </w:r>
      <w:r w:rsidRPr="00771368">
        <w:rPr>
          <w:b/>
          <w:bCs/>
          <w:sz w:val="24"/>
          <w:szCs w:val="24"/>
        </w:rPr>
        <w:t>Gênero e Condição Feminina: Uma abordagem Antropológica</w:t>
      </w:r>
      <w:r w:rsidRPr="00771368">
        <w:rPr>
          <w:sz w:val="24"/>
          <w:szCs w:val="24"/>
        </w:rPr>
        <w:t xml:space="preserve"> in Mulher e Políticas Públicas. Instituto Brasileiro de Administração Municipal, Rio de Janeiro. Escola Nacional de Serviços Urbanos. Núcleo de Estudos Mulher e Políticas Públicas. Rio de Janeiro, 1991.</w:t>
      </w:r>
    </w:p>
    <w:p w:rsidR="00D24E61" w:rsidRPr="00771368" w:rsidRDefault="00D24E61">
      <w:pPr>
        <w:spacing w:line="300" w:lineRule="exact"/>
        <w:rPr>
          <w:sz w:val="20"/>
          <w:szCs w:val="20"/>
        </w:rPr>
      </w:pPr>
    </w:p>
    <w:p w:rsidR="00D24E61" w:rsidRPr="00771368" w:rsidRDefault="00D24E61">
      <w:pPr>
        <w:spacing w:line="222" w:lineRule="auto"/>
        <w:ind w:right="20"/>
        <w:jc w:val="both"/>
        <w:rPr>
          <w:sz w:val="24"/>
          <w:szCs w:val="24"/>
        </w:rPr>
      </w:pPr>
      <w:r w:rsidRPr="00771368">
        <w:rPr>
          <w:sz w:val="24"/>
          <w:szCs w:val="24"/>
        </w:rPr>
        <w:t xml:space="preserve">IBGE. </w:t>
      </w:r>
      <w:r w:rsidRPr="00771368">
        <w:rPr>
          <w:b/>
          <w:bCs/>
          <w:sz w:val="24"/>
          <w:szCs w:val="24"/>
        </w:rPr>
        <w:t>Síntese de indicadores sociais</w:t>
      </w:r>
      <w:r w:rsidRPr="00771368">
        <w:rPr>
          <w:sz w:val="24"/>
          <w:szCs w:val="24"/>
        </w:rPr>
        <w:t>. 2002. Disponível em: &lt;http://</w:t>
      </w:r>
      <w:hyperlink r:id="rId161">
        <w:r w:rsidRPr="00771368">
          <w:rPr>
            <w:sz w:val="24"/>
            <w:szCs w:val="24"/>
            <w:u w:val="single"/>
          </w:rPr>
          <w:t>www./home/presidencia/noticias/12062003indic2002.shtm</w:t>
        </w:r>
      </w:hyperlink>
      <w:r w:rsidRPr="00771368">
        <w:rPr>
          <w:sz w:val="24"/>
          <w:szCs w:val="24"/>
        </w:rPr>
        <w:t>&gt;. Acesso em 28 de setembro de 2008</w:t>
      </w:r>
    </w:p>
    <w:p w:rsidR="00D24E61" w:rsidRPr="00771368" w:rsidRDefault="00D24E61">
      <w:pPr>
        <w:spacing w:line="300"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LAVILLE, Christian.; DIONNE, Jean.; SIMAN, Lana Mara. </w:t>
      </w:r>
      <w:r w:rsidRPr="00771368">
        <w:rPr>
          <w:b/>
          <w:bCs/>
          <w:sz w:val="24"/>
          <w:szCs w:val="24"/>
        </w:rPr>
        <w:t>A construção do saber:</w:t>
      </w:r>
      <w:r w:rsidRPr="00771368">
        <w:rPr>
          <w:sz w:val="24"/>
          <w:szCs w:val="24"/>
        </w:rPr>
        <w:t xml:space="preserve"> </w:t>
      </w:r>
      <w:r w:rsidRPr="00771368">
        <w:rPr>
          <w:b/>
          <w:bCs/>
          <w:sz w:val="24"/>
          <w:szCs w:val="24"/>
        </w:rPr>
        <w:t xml:space="preserve">manual de metodologia da pesquisa em ciências humanas. </w:t>
      </w:r>
      <w:r w:rsidRPr="00771368">
        <w:rPr>
          <w:sz w:val="24"/>
          <w:szCs w:val="24"/>
        </w:rPr>
        <w:t>Porto Alegre: Artmed; Belo</w:t>
      </w:r>
      <w:r w:rsidRPr="00771368">
        <w:rPr>
          <w:b/>
          <w:bCs/>
          <w:sz w:val="24"/>
          <w:szCs w:val="24"/>
        </w:rPr>
        <w:t xml:space="preserve"> </w:t>
      </w:r>
      <w:r w:rsidRPr="00771368">
        <w:rPr>
          <w:sz w:val="24"/>
          <w:szCs w:val="24"/>
        </w:rPr>
        <w:t>Horizonte: Ed. da UFMG, 1999</w:t>
      </w:r>
    </w:p>
    <w:p w:rsidR="007279C8" w:rsidRDefault="007279C8">
      <w:pPr>
        <w:spacing w:line="214" w:lineRule="auto"/>
        <w:ind w:right="20"/>
        <w:jc w:val="both"/>
        <w:rPr>
          <w:sz w:val="24"/>
          <w:szCs w:val="24"/>
        </w:rPr>
      </w:pPr>
    </w:p>
    <w:p w:rsidR="00D24E61" w:rsidRPr="00771368" w:rsidRDefault="00D24E61">
      <w:pPr>
        <w:spacing w:line="214" w:lineRule="auto"/>
        <w:ind w:right="20"/>
        <w:jc w:val="both"/>
        <w:rPr>
          <w:sz w:val="20"/>
          <w:szCs w:val="20"/>
        </w:rPr>
      </w:pPr>
      <w:r w:rsidRPr="00771368">
        <w:rPr>
          <w:sz w:val="24"/>
          <w:szCs w:val="24"/>
        </w:rPr>
        <w:t xml:space="preserve">LUIZ, Danuta L. Cantoia. </w:t>
      </w:r>
      <w:r w:rsidRPr="00771368">
        <w:rPr>
          <w:b/>
          <w:bCs/>
          <w:sz w:val="24"/>
          <w:szCs w:val="24"/>
        </w:rPr>
        <w:t>Emancipação Social: fundamentos à prática social e</w:t>
      </w:r>
      <w:r w:rsidRPr="00771368">
        <w:rPr>
          <w:sz w:val="24"/>
          <w:szCs w:val="24"/>
        </w:rPr>
        <w:t xml:space="preserve"> </w:t>
      </w:r>
      <w:r w:rsidRPr="00771368">
        <w:rPr>
          <w:b/>
          <w:bCs/>
          <w:sz w:val="24"/>
          <w:szCs w:val="24"/>
        </w:rPr>
        <w:t xml:space="preserve">profissional. </w:t>
      </w:r>
      <w:r w:rsidRPr="00771368">
        <w:rPr>
          <w:sz w:val="24"/>
          <w:szCs w:val="24"/>
        </w:rPr>
        <w:t>In Revista Trimestral de Serviço Social, Ano XXIX</w:t>
      </w:r>
      <w:r w:rsidRPr="00771368">
        <w:rPr>
          <w:b/>
          <w:bCs/>
          <w:sz w:val="24"/>
          <w:szCs w:val="24"/>
        </w:rPr>
        <w:t xml:space="preserve"> </w:t>
      </w:r>
      <w:r w:rsidRPr="00771368">
        <w:rPr>
          <w:sz w:val="24"/>
          <w:szCs w:val="24"/>
        </w:rPr>
        <w:t>–</w:t>
      </w:r>
      <w:r w:rsidRPr="00771368">
        <w:rPr>
          <w:b/>
          <w:bCs/>
          <w:sz w:val="24"/>
          <w:szCs w:val="24"/>
        </w:rPr>
        <w:t xml:space="preserve"> </w:t>
      </w:r>
      <w:r w:rsidRPr="00771368">
        <w:rPr>
          <w:sz w:val="24"/>
          <w:szCs w:val="24"/>
        </w:rPr>
        <w:t>n. 94 - Junho de 2008</w:t>
      </w:r>
    </w:p>
    <w:p w:rsidR="00D24E61" w:rsidRPr="00771368" w:rsidRDefault="00D24E61">
      <w:pPr>
        <w:spacing w:line="300" w:lineRule="exact"/>
        <w:rPr>
          <w:sz w:val="20"/>
          <w:szCs w:val="20"/>
        </w:rPr>
      </w:pPr>
    </w:p>
    <w:p w:rsidR="00D24E61" w:rsidRPr="00771368" w:rsidRDefault="00D24E61">
      <w:pPr>
        <w:spacing w:line="214" w:lineRule="auto"/>
        <w:jc w:val="both"/>
        <w:rPr>
          <w:sz w:val="20"/>
          <w:szCs w:val="20"/>
        </w:rPr>
      </w:pPr>
      <w:r w:rsidRPr="00D61223">
        <w:rPr>
          <w:sz w:val="24"/>
          <w:szCs w:val="24"/>
          <w:lang w:val="en-US"/>
        </w:rPr>
        <w:t xml:space="preserve">MARX, Karl; ENGELS, Friedrich; LÊNIN, Vladimir Ilitch. </w:t>
      </w:r>
      <w:r w:rsidRPr="00771368">
        <w:rPr>
          <w:b/>
          <w:bCs/>
          <w:sz w:val="24"/>
          <w:szCs w:val="24"/>
        </w:rPr>
        <w:t>Sobre a mulher.</w:t>
      </w:r>
      <w:r w:rsidRPr="00771368">
        <w:rPr>
          <w:sz w:val="24"/>
          <w:szCs w:val="24"/>
        </w:rPr>
        <w:t xml:space="preserve"> São Paulo: Global, 1979.</w:t>
      </w:r>
    </w:p>
    <w:p w:rsidR="00D24E61" w:rsidRPr="00771368" w:rsidRDefault="00D24E61">
      <w:pPr>
        <w:spacing w:line="300"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MINAYO, M. C. S. Entre vôos de águia e passos de elefante: </w:t>
      </w:r>
      <w:r w:rsidRPr="00771368">
        <w:rPr>
          <w:b/>
          <w:bCs/>
          <w:sz w:val="24"/>
          <w:szCs w:val="24"/>
        </w:rPr>
        <w:t>caminhos da investigação na</w:t>
      </w:r>
      <w:r w:rsidRPr="00771368">
        <w:rPr>
          <w:sz w:val="24"/>
          <w:szCs w:val="24"/>
        </w:rPr>
        <w:t xml:space="preserve"> </w:t>
      </w:r>
      <w:r w:rsidRPr="00771368">
        <w:rPr>
          <w:b/>
          <w:bCs/>
          <w:sz w:val="24"/>
          <w:szCs w:val="24"/>
        </w:rPr>
        <w:t xml:space="preserve">atualidade. </w:t>
      </w:r>
      <w:r w:rsidRPr="00771368">
        <w:rPr>
          <w:sz w:val="24"/>
          <w:szCs w:val="24"/>
        </w:rPr>
        <w:t>In: Minayo, MCS; Deslandes, SF (org) Caminhos do pensamento: epistemologia</w:t>
      </w:r>
      <w:r w:rsidRPr="00771368">
        <w:rPr>
          <w:b/>
          <w:bCs/>
          <w:sz w:val="24"/>
          <w:szCs w:val="24"/>
        </w:rPr>
        <w:t xml:space="preserve"> </w:t>
      </w:r>
      <w:r w:rsidRPr="00771368">
        <w:rPr>
          <w:sz w:val="24"/>
          <w:szCs w:val="24"/>
        </w:rPr>
        <w:t>e método. Rio de Janeiro: Editora Fiocruz, 2002, p.17-27.</w:t>
      </w:r>
    </w:p>
    <w:p w:rsidR="00D24E61" w:rsidRPr="00771368" w:rsidRDefault="00D24E61">
      <w:pPr>
        <w:spacing w:line="299"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MOTA, Ana Elizabete Simões – </w:t>
      </w:r>
      <w:r w:rsidRPr="00771368">
        <w:rPr>
          <w:b/>
          <w:bCs/>
          <w:sz w:val="24"/>
          <w:szCs w:val="24"/>
        </w:rPr>
        <w:t>Cultura da crise e seguridade Social: um estudo sobre as</w:t>
      </w:r>
      <w:r w:rsidRPr="00771368">
        <w:rPr>
          <w:sz w:val="24"/>
          <w:szCs w:val="24"/>
        </w:rPr>
        <w:t xml:space="preserve"> </w:t>
      </w:r>
      <w:r w:rsidRPr="00771368">
        <w:rPr>
          <w:b/>
          <w:bCs/>
          <w:sz w:val="24"/>
          <w:szCs w:val="24"/>
        </w:rPr>
        <w:t xml:space="preserve">tendências da previdência e da assistência social brasileira nos anos 80 e 90 </w:t>
      </w:r>
      <w:r w:rsidRPr="00771368">
        <w:rPr>
          <w:sz w:val="24"/>
          <w:szCs w:val="24"/>
        </w:rPr>
        <w:t>–</w:t>
      </w:r>
      <w:r w:rsidRPr="00771368">
        <w:rPr>
          <w:b/>
          <w:bCs/>
          <w:sz w:val="24"/>
          <w:szCs w:val="24"/>
        </w:rPr>
        <w:t xml:space="preserve"> </w:t>
      </w:r>
      <w:r w:rsidRPr="00771368">
        <w:rPr>
          <w:sz w:val="24"/>
          <w:szCs w:val="24"/>
        </w:rPr>
        <w:t>4. Ed.</w:t>
      </w:r>
      <w:r w:rsidRPr="00771368">
        <w:rPr>
          <w:b/>
          <w:bCs/>
          <w:sz w:val="24"/>
          <w:szCs w:val="24"/>
        </w:rPr>
        <w:t xml:space="preserve"> </w:t>
      </w:r>
      <w:r w:rsidRPr="00771368">
        <w:rPr>
          <w:sz w:val="24"/>
          <w:szCs w:val="24"/>
        </w:rPr>
        <w:t>–</w:t>
      </w:r>
      <w:r w:rsidRPr="00771368">
        <w:rPr>
          <w:b/>
          <w:bCs/>
          <w:sz w:val="24"/>
          <w:szCs w:val="24"/>
        </w:rPr>
        <w:t xml:space="preserve"> </w:t>
      </w:r>
      <w:r w:rsidRPr="00771368">
        <w:rPr>
          <w:sz w:val="24"/>
          <w:szCs w:val="24"/>
        </w:rPr>
        <w:t>São</w:t>
      </w:r>
      <w:r w:rsidRPr="00771368">
        <w:rPr>
          <w:b/>
          <w:bCs/>
          <w:sz w:val="24"/>
          <w:szCs w:val="24"/>
        </w:rPr>
        <w:t xml:space="preserve"> </w:t>
      </w:r>
      <w:r w:rsidRPr="00771368">
        <w:rPr>
          <w:sz w:val="24"/>
          <w:szCs w:val="24"/>
        </w:rPr>
        <w:t>Paulo, Cortez, 2008</w:t>
      </w:r>
    </w:p>
    <w:p w:rsidR="00D24E61" w:rsidRPr="00771368" w:rsidRDefault="00D24E61">
      <w:pPr>
        <w:spacing w:line="299"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NADER, Mª Beatriz. </w:t>
      </w:r>
      <w:r w:rsidRPr="00771368">
        <w:rPr>
          <w:b/>
          <w:bCs/>
          <w:sz w:val="24"/>
          <w:szCs w:val="24"/>
        </w:rPr>
        <w:t>Mulher:</w:t>
      </w:r>
      <w:r w:rsidRPr="00771368">
        <w:rPr>
          <w:sz w:val="24"/>
          <w:szCs w:val="24"/>
        </w:rPr>
        <w:t xml:space="preserve"> do destino biológico ao destino social. Vitória. EDUFES, 1997.</w:t>
      </w:r>
    </w:p>
    <w:p w:rsidR="00D24E61" w:rsidRPr="00771368" w:rsidRDefault="00D24E61">
      <w:pPr>
        <w:spacing w:line="300"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NOVELLINO, Maria Salet Ferreira. </w:t>
      </w:r>
      <w:r w:rsidRPr="00771368">
        <w:rPr>
          <w:b/>
          <w:bCs/>
          <w:sz w:val="24"/>
          <w:szCs w:val="24"/>
        </w:rPr>
        <w:t>Os Estudos sobre Feminização da Pobreza e Políticas</w:t>
      </w:r>
      <w:r w:rsidRPr="00771368">
        <w:rPr>
          <w:sz w:val="24"/>
          <w:szCs w:val="24"/>
        </w:rPr>
        <w:t xml:space="preserve"> </w:t>
      </w:r>
      <w:r w:rsidRPr="00771368">
        <w:rPr>
          <w:b/>
          <w:bCs/>
          <w:sz w:val="24"/>
          <w:szCs w:val="24"/>
        </w:rPr>
        <w:t>Públicas para Mulheres</w:t>
      </w:r>
      <w:r w:rsidRPr="00771368">
        <w:rPr>
          <w:sz w:val="24"/>
          <w:szCs w:val="24"/>
        </w:rPr>
        <w:t>. 2004. Trabalho apresentado no XIV Encontro Nacional de Estudos</w:t>
      </w:r>
      <w:r w:rsidRPr="00771368">
        <w:rPr>
          <w:b/>
          <w:bCs/>
          <w:sz w:val="24"/>
          <w:szCs w:val="24"/>
        </w:rPr>
        <w:t xml:space="preserve"> </w:t>
      </w:r>
      <w:r w:rsidRPr="00771368">
        <w:rPr>
          <w:sz w:val="24"/>
          <w:szCs w:val="24"/>
        </w:rPr>
        <w:t>Populacionais, ABEP, Caxambí- MG, 2004</w:t>
      </w:r>
    </w:p>
    <w:p w:rsidR="00D24E61" w:rsidRPr="00771368" w:rsidRDefault="00D24E61">
      <w:pPr>
        <w:spacing w:line="299" w:lineRule="exact"/>
        <w:rPr>
          <w:sz w:val="20"/>
          <w:szCs w:val="20"/>
        </w:rPr>
      </w:pPr>
    </w:p>
    <w:p w:rsidR="00D24E61" w:rsidRPr="00771368" w:rsidRDefault="00D24E61">
      <w:pPr>
        <w:spacing w:line="227" w:lineRule="auto"/>
        <w:ind w:right="20"/>
        <w:jc w:val="both"/>
        <w:rPr>
          <w:sz w:val="20"/>
          <w:szCs w:val="20"/>
        </w:rPr>
      </w:pPr>
      <w:r w:rsidRPr="00771368">
        <w:rPr>
          <w:sz w:val="24"/>
          <w:szCs w:val="24"/>
        </w:rPr>
        <w:t xml:space="preserve">RODRIGUES,Marlene Teixeira. </w:t>
      </w:r>
      <w:r w:rsidRPr="00771368">
        <w:rPr>
          <w:b/>
          <w:bCs/>
          <w:sz w:val="24"/>
          <w:szCs w:val="24"/>
        </w:rPr>
        <w:t>Equidade de gênero e transferência de renda -reflexões a</w:t>
      </w:r>
      <w:r w:rsidRPr="00771368">
        <w:rPr>
          <w:sz w:val="24"/>
          <w:szCs w:val="24"/>
        </w:rPr>
        <w:t xml:space="preserve"> </w:t>
      </w:r>
      <w:r w:rsidRPr="00771368">
        <w:rPr>
          <w:b/>
          <w:bCs/>
          <w:sz w:val="24"/>
          <w:szCs w:val="24"/>
        </w:rPr>
        <w:t>partir do Programa Bolsa Família</w:t>
      </w:r>
      <w:r w:rsidRPr="00771368">
        <w:rPr>
          <w:sz w:val="24"/>
          <w:szCs w:val="24"/>
        </w:rPr>
        <w:t>. In: Boschete, Ivanete. BUINGH, Elaine Rosete.</w:t>
      </w:r>
      <w:r w:rsidRPr="00771368">
        <w:rPr>
          <w:b/>
          <w:bCs/>
          <w:sz w:val="24"/>
          <w:szCs w:val="24"/>
        </w:rPr>
        <w:t xml:space="preserve"> </w:t>
      </w:r>
      <w:r w:rsidRPr="00771368">
        <w:rPr>
          <w:sz w:val="24"/>
          <w:szCs w:val="24"/>
        </w:rPr>
        <w:t xml:space="preserve">MIOTTO,Revina Célia Tamatsu. SANTOS,Silva Moura de Morais. (Org). </w:t>
      </w:r>
      <w:r w:rsidRPr="00771368">
        <w:rPr>
          <w:b/>
          <w:bCs/>
          <w:sz w:val="24"/>
          <w:szCs w:val="24"/>
        </w:rPr>
        <w:t>Política Social no</w:t>
      </w:r>
      <w:r w:rsidRPr="00771368">
        <w:rPr>
          <w:sz w:val="24"/>
          <w:szCs w:val="24"/>
        </w:rPr>
        <w:t xml:space="preserve"> </w:t>
      </w:r>
      <w:r w:rsidRPr="00771368">
        <w:rPr>
          <w:b/>
          <w:bCs/>
          <w:sz w:val="24"/>
          <w:szCs w:val="24"/>
        </w:rPr>
        <w:t>Capitalismo: tendências contemporâneas</w:t>
      </w:r>
      <w:r w:rsidRPr="00771368">
        <w:rPr>
          <w:sz w:val="24"/>
          <w:szCs w:val="24"/>
        </w:rPr>
        <w:t>. São Paulo, 2008.</w:t>
      </w:r>
    </w:p>
    <w:p w:rsidR="00D24E61" w:rsidRPr="00771368" w:rsidRDefault="00D24E61">
      <w:pPr>
        <w:spacing w:line="300"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SAFFIOTI, Heleiete I.B. </w:t>
      </w:r>
      <w:r w:rsidRPr="00771368">
        <w:rPr>
          <w:b/>
          <w:bCs/>
          <w:sz w:val="24"/>
          <w:szCs w:val="24"/>
        </w:rPr>
        <w:t>Gênero e patriarcado: violência contra mulheres</w:t>
      </w:r>
      <w:r w:rsidRPr="00771368">
        <w:rPr>
          <w:sz w:val="24"/>
          <w:szCs w:val="24"/>
        </w:rPr>
        <w:t>. In: A mulher brasileira nos espaços público e privado.1. Ed.São Paulo: Fundação Perseu Abrano, 2004a</w:t>
      </w:r>
    </w:p>
    <w:p w:rsidR="00D24E61" w:rsidRPr="00771368" w:rsidRDefault="00D24E61">
      <w:pPr>
        <w:spacing w:line="300"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SAFFIOTI, Heleieth Iara Bongiovani. </w:t>
      </w:r>
      <w:r w:rsidRPr="00771368">
        <w:rPr>
          <w:b/>
          <w:bCs/>
          <w:sz w:val="24"/>
          <w:szCs w:val="24"/>
        </w:rPr>
        <w:t>Gênero, patriarcado, violência.</w:t>
      </w:r>
      <w:r w:rsidRPr="00771368">
        <w:rPr>
          <w:sz w:val="24"/>
          <w:szCs w:val="24"/>
        </w:rPr>
        <w:t xml:space="preserve"> São Paulo: Fundação Perseu Abramo, 2004b</w:t>
      </w:r>
    </w:p>
    <w:p w:rsidR="00D24E61" w:rsidRPr="00771368" w:rsidRDefault="00D24E61">
      <w:pPr>
        <w:spacing w:line="242" w:lineRule="exact"/>
        <w:rPr>
          <w:sz w:val="20"/>
          <w:szCs w:val="20"/>
        </w:rPr>
      </w:pPr>
    </w:p>
    <w:p w:rsidR="00D24E61" w:rsidRPr="00771368" w:rsidRDefault="00D24E61">
      <w:pPr>
        <w:rPr>
          <w:sz w:val="20"/>
          <w:szCs w:val="20"/>
        </w:rPr>
      </w:pPr>
      <w:r w:rsidRPr="00771368">
        <w:rPr>
          <w:sz w:val="24"/>
          <w:szCs w:val="24"/>
        </w:rPr>
        <w:t xml:space="preserve">SOARES, Laura Tavares R.; </w:t>
      </w:r>
      <w:r w:rsidRPr="00771368">
        <w:rPr>
          <w:b/>
          <w:bCs/>
          <w:sz w:val="24"/>
          <w:szCs w:val="24"/>
        </w:rPr>
        <w:t>O Desastre Social</w:t>
      </w:r>
      <w:r w:rsidRPr="00771368">
        <w:rPr>
          <w:sz w:val="24"/>
          <w:szCs w:val="24"/>
        </w:rPr>
        <w:t>. Rio de Janeiro: Record, 2003</w:t>
      </w:r>
    </w:p>
    <w:p w:rsidR="00D24E61" w:rsidRPr="00771368" w:rsidRDefault="00D24E61">
      <w:pPr>
        <w:spacing w:line="298"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VITÓRIA. </w:t>
      </w:r>
      <w:r w:rsidRPr="00771368">
        <w:rPr>
          <w:b/>
          <w:bCs/>
          <w:sz w:val="24"/>
          <w:szCs w:val="24"/>
        </w:rPr>
        <w:t>Documentos da Secretaria Municipal de Assistência Social da Prefeitura de</w:t>
      </w:r>
      <w:r w:rsidRPr="00771368">
        <w:rPr>
          <w:sz w:val="24"/>
          <w:szCs w:val="24"/>
        </w:rPr>
        <w:t xml:space="preserve"> </w:t>
      </w:r>
      <w:r w:rsidRPr="00771368">
        <w:rPr>
          <w:b/>
          <w:bCs/>
          <w:sz w:val="24"/>
          <w:szCs w:val="24"/>
        </w:rPr>
        <w:t xml:space="preserve">Vitória. </w:t>
      </w:r>
      <w:r w:rsidRPr="00771368">
        <w:rPr>
          <w:sz w:val="24"/>
          <w:szCs w:val="24"/>
        </w:rPr>
        <w:t>Disponível em: http://www.vitoria.es.gov.br/home.asp acessado em Outubro de</w:t>
      </w:r>
      <w:r w:rsidRPr="00771368">
        <w:rPr>
          <w:b/>
          <w:bCs/>
          <w:sz w:val="24"/>
          <w:szCs w:val="24"/>
        </w:rPr>
        <w:t xml:space="preserve"> </w:t>
      </w:r>
      <w:r w:rsidRPr="00771368">
        <w:rPr>
          <w:sz w:val="24"/>
          <w:szCs w:val="24"/>
        </w:rPr>
        <w:t>2008.</w:t>
      </w:r>
    </w:p>
    <w:p w:rsidR="00D24E61" w:rsidRPr="00771368" w:rsidRDefault="00D24E61">
      <w:pPr>
        <w:spacing w:line="299" w:lineRule="exact"/>
        <w:rPr>
          <w:sz w:val="20"/>
          <w:szCs w:val="20"/>
        </w:rPr>
      </w:pPr>
    </w:p>
    <w:p w:rsidR="00D24E61" w:rsidRDefault="00D24E61">
      <w:pPr>
        <w:spacing w:line="223" w:lineRule="auto"/>
        <w:jc w:val="both"/>
      </w:pPr>
      <w:r w:rsidRPr="00771368">
        <w:rPr>
          <w:sz w:val="24"/>
          <w:szCs w:val="24"/>
        </w:rPr>
        <w:t xml:space="preserve">WOODS, Alan. </w:t>
      </w:r>
      <w:r w:rsidRPr="00771368">
        <w:rPr>
          <w:b/>
          <w:bCs/>
          <w:sz w:val="24"/>
          <w:szCs w:val="24"/>
        </w:rPr>
        <w:t>Marxismo versus feminismo: A luta de classes e a emancipação da</w:t>
      </w:r>
      <w:r w:rsidRPr="00771368">
        <w:rPr>
          <w:sz w:val="24"/>
          <w:szCs w:val="24"/>
        </w:rPr>
        <w:t xml:space="preserve"> </w:t>
      </w:r>
      <w:r w:rsidRPr="00771368">
        <w:rPr>
          <w:b/>
          <w:bCs/>
          <w:sz w:val="24"/>
          <w:szCs w:val="24"/>
        </w:rPr>
        <w:t>mulher</w:t>
      </w:r>
      <w:r w:rsidRPr="00771368">
        <w:rPr>
          <w:sz w:val="24"/>
          <w:szCs w:val="24"/>
        </w:rPr>
        <w:t>, 2001, Disponível em:</w:t>
      </w:r>
      <w:r w:rsidRPr="00771368">
        <w:rPr>
          <w:b/>
          <w:bCs/>
          <w:sz w:val="24"/>
          <w:szCs w:val="24"/>
        </w:rPr>
        <w:t xml:space="preserve"> </w:t>
      </w:r>
      <w:hyperlink r:id="rId162">
        <w:r w:rsidRPr="00771368">
          <w:rPr>
            <w:sz w:val="24"/>
            <w:szCs w:val="24"/>
            <w:u w:val="single"/>
          </w:rPr>
          <w:t>http://www.engels.org/portugues/marxismo_versus_feminismo_a_luta</w:t>
        </w:r>
        <w:r w:rsidRPr="00771368">
          <w:rPr>
            <w:sz w:val="24"/>
            <w:szCs w:val="24"/>
          </w:rPr>
          <w:t>.</w:t>
        </w:r>
      </w:hyperlink>
    </w:p>
    <w:p w:rsidR="007279C8" w:rsidRDefault="007279C8">
      <w:pPr>
        <w:spacing w:line="223" w:lineRule="auto"/>
        <w:jc w:val="both"/>
      </w:pPr>
    </w:p>
    <w:p w:rsidR="007279C8" w:rsidRPr="00771368" w:rsidRDefault="007279C8">
      <w:pPr>
        <w:spacing w:line="223" w:lineRule="auto"/>
        <w:jc w:val="both"/>
        <w:rPr>
          <w:sz w:val="24"/>
          <w:szCs w:val="24"/>
        </w:rPr>
      </w:pPr>
    </w:p>
    <w:p w:rsidR="00D24E61" w:rsidRPr="00771368" w:rsidRDefault="00D24E61">
      <w:pPr>
        <w:ind w:left="1261"/>
        <w:rPr>
          <w:sz w:val="20"/>
          <w:szCs w:val="20"/>
        </w:rPr>
      </w:pPr>
      <w:r w:rsidRPr="00771368">
        <w:rPr>
          <w:b/>
          <w:bCs/>
          <w:sz w:val="24"/>
          <w:szCs w:val="24"/>
        </w:rPr>
        <w:t>VIOLÊNCIA CONTRA A MULHER: UM ESTUDO SOBRE A</w:t>
      </w:r>
    </w:p>
    <w:p w:rsidR="00D24E61" w:rsidRPr="00771368" w:rsidRDefault="00D24E61">
      <w:pPr>
        <w:spacing w:line="137" w:lineRule="exact"/>
        <w:rPr>
          <w:sz w:val="24"/>
          <w:szCs w:val="24"/>
        </w:rPr>
      </w:pPr>
    </w:p>
    <w:p w:rsidR="00D24E61" w:rsidRPr="00771368" w:rsidRDefault="00D24E61">
      <w:pPr>
        <w:ind w:left="461"/>
        <w:rPr>
          <w:sz w:val="20"/>
          <w:szCs w:val="20"/>
        </w:rPr>
      </w:pPr>
      <w:r w:rsidRPr="00771368">
        <w:rPr>
          <w:b/>
          <w:bCs/>
          <w:sz w:val="24"/>
          <w:szCs w:val="24"/>
        </w:rPr>
        <w:t>OPERACIONALIZAÇÃO DA POLÍTICA DE DEFESA DOS DIREITOS DAS</w:t>
      </w:r>
    </w:p>
    <w:p w:rsidR="00D24E61" w:rsidRPr="00771368" w:rsidRDefault="00D24E61">
      <w:pPr>
        <w:spacing w:line="126" w:lineRule="exact"/>
        <w:rPr>
          <w:sz w:val="24"/>
          <w:szCs w:val="24"/>
        </w:rPr>
      </w:pPr>
    </w:p>
    <w:p w:rsidR="00D24E61" w:rsidRPr="00771368" w:rsidRDefault="00D24E61">
      <w:pPr>
        <w:ind w:left="2021"/>
        <w:rPr>
          <w:sz w:val="20"/>
          <w:szCs w:val="20"/>
        </w:rPr>
      </w:pPr>
      <w:r w:rsidRPr="00771368">
        <w:rPr>
          <w:b/>
          <w:bCs/>
          <w:sz w:val="24"/>
          <w:szCs w:val="24"/>
        </w:rPr>
        <w:t xml:space="preserve">MULHERES NO MUNICÍPIO DE CURITIBA </w:t>
      </w:r>
      <w:r w:rsidRPr="00771368">
        <w:rPr>
          <w:b/>
          <w:bCs/>
          <w:sz w:val="32"/>
          <w:szCs w:val="32"/>
          <w:vertAlign w:val="superscript"/>
        </w:rPr>
        <w:t>1</w:t>
      </w:r>
    </w:p>
    <w:p w:rsidR="00D24E61" w:rsidRPr="00771368" w:rsidRDefault="00D24E61">
      <w:pPr>
        <w:spacing w:line="200" w:lineRule="exact"/>
        <w:rPr>
          <w:sz w:val="24"/>
          <w:szCs w:val="24"/>
        </w:rPr>
      </w:pPr>
    </w:p>
    <w:p w:rsidR="00D24E61" w:rsidRPr="00771368" w:rsidRDefault="00D24E61">
      <w:pPr>
        <w:spacing w:line="325" w:lineRule="exact"/>
        <w:rPr>
          <w:sz w:val="24"/>
          <w:szCs w:val="24"/>
        </w:rPr>
      </w:pPr>
    </w:p>
    <w:p w:rsidR="00D24E61" w:rsidRPr="00771368" w:rsidRDefault="00D24E61">
      <w:pPr>
        <w:spacing w:line="214" w:lineRule="auto"/>
        <w:ind w:left="1" w:right="20"/>
        <w:jc w:val="both"/>
        <w:rPr>
          <w:sz w:val="20"/>
          <w:szCs w:val="20"/>
        </w:rPr>
      </w:pPr>
      <w:bookmarkStart w:id="55" w:name="_Toc442034744"/>
      <w:r w:rsidRPr="000B0050">
        <w:rPr>
          <w:rStyle w:val="Ttulo1Char"/>
        </w:rPr>
        <w:t>Maira Deníce Gonçalves de Almeida</w:t>
      </w:r>
      <w:bookmarkEnd w:id="55"/>
      <w:r w:rsidRPr="00771368">
        <w:rPr>
          <w:sz w:val="24"/>
          <w:szCs w:val="24"/>
        </w:rPr>
        <w:t>, graduada em Serviço Social pela Pontifícia Universidade Católica do Paraná – PUCPR</w:t>
      </w:r>
    </w:p>
    <w:p w:rsidR="00D24E61" w:rsidRPr="00771368" w:rsidRDefault="00D24E61">
      <w:pPr>
        <w:spacing w:line="2" w:lineRule="exact"/>
        <w:rPr>
          <w:sz w:val="24"/>
          <w:szCs w:val="24"/>
        </w:rPr>
      </w:pPr>
    </w:p>
    <w:p w:rsidR="00D24E61" w:rsidRPr="00771368" w:rsidRDefault="00D24E61">
      <w:pPr>
        <w:ind w:left="1"/>
        <w:rPr>
          <w:sz w:val="20"/>
          <w:szCs w:val="20"/>
        </w:rPr>
      </w:pPr>
      <w:r w:rsidRPr="00771368">
        <w:rPr>
          <w:sz w:val="24"/>
          <w:szCs w:val="24"/>
        </w:rPr>
        <w:t>Solange Fernandes, Profª. Drª. Orientadora</w:t>
      </w:r>
    </w:p>
    <w:p w:rsidR="00D24E61" w:rsidRPr="00771368" w:rsidRDefault="00D24E61">
      <w:pPr>
        <w:spacing w:line="200" w:lineRule="exact"/>
        <w:rPr>
          <w:sz w:val="24"/>
          <w:szCs w:val="24"/>
        </w:rPr>
      </w:pPr>
    </w:p>
    <w:p w:rsidR="00D24E61" w:rsidRPr="00771368" w:rsidRDefault="00D24E61">
      <w:pPr>
        <w:spacing w:line="220" w:lineRule="exact"/>
        <w:rPr>
          <w:sz w:val="24"/>
          <w:szCs w:val="24"/>
        </w:rPr>
      </w:pPr>
    </w:p>
    <w:p w:rsidR="00D24E61" w:rsidRPr="00771368" w:rsidRDefault="00D24E61">
      <w:pPr>
        <w:ind w:left="1"/>
        <w:rPr>
          <w:sz w:val="20"/>
          <w:szCs w:val="20"/>
        </w:rPr>
      </w:pPr>
      <w:r w:rsidRPr="00771368">
        <w:rPr>
          <w:b/>
          <w:bCs/>
          <w:sz w:val="24"/>
          <w:szCs w:val="24"/>
        </w:rPr>
        <w:t>Introdução</w:t>
      </w:r>
    </w:p>
    <w:p w:rsidR="00D24E61" w:rsidRPr="00771368" w:rsidRDefault="00D24E61">
      <w:pPr>
        <w:spacing w:line="193" w:lineRule="exact"/>
        <w:rPr>
          <w:sz w:val="24"/>
          <w:szCs w:val="24"/>
        </w:rPr>
      </w:pPr>
    </w:p>
    <w:p w:rsidR="00D24E61" w:rsidRPr="00771368" w:rsidRDefault="00D24E61">
      <w:pPr>
        <w:spacing w:line="347" w:lineRule="auto"/>
        <w:ind w:left="1" w:right="20" w:firstLine="708"/>
        <w:jc w:val="both"/>
        <w:rPr>
          <w:sz w:val="20"/>
          <w:szCs w:val="20"/>
        </w:rPr>
      </w:pPr>
      <w:r w:rsidRPr="00771368">
        <w:rPr>
          <w:sz w:val="24"/>
          <w:szCs w:val="24"/>
        </w:rPr>
        <w:t>O presente artigo irá analisar a atual política de defesa das mulheres, efetivada na rede social de atendimento à mulher vitimizada, do município de Curitiba, identificando as dificuldades enfrentadas pelos profissionais no seu cotidiano de ação e compreender em que medida a Política de Defesa das mulheres está sendo efetivada pelas instituições que fazem parte da rede social que atende essa demanda.</w:t>
      </w:r>
    </w:p>
    <w:p w:rsidR="00D24E61" w:rsidRPr="00771368" w:rsidRDefault="00D24E61">
      <w:pPr>
        <w:spacing w:line="74" w:lineRule="exact"/>
        <w:rPr>
          <w:sz w:val="24"/>
          <w:szCs w:val="24"/>
        </w:rPr>
      </w:pPr>
    </w:p>
    <w:p w:rsidR="00D24E61" w:rsidRPr="00771368" w:rsidRDefault="00D24E61">
      <w:pPr>
        <w:spacing w:line="347" w:lineRule="auto"/>
        <w:ind w:left="1" w:firstLine="708"/>
        <w:jc w:val="both"/>
        <w:rPr>
          <w:sz w:val="20"/>
          <w:szCs w:val="20"/>
        </w:rPr>
      </w:pPr>
      <w:r w:rsidRPr="00771368">
        <w:rPr>
          <w:sz w:val="24"/>
          <w:szCs w:val="24"/>
        </w:rPr>
        <w:t>Desta forma, fez-se pertinente a realização de pesquisa qualitativa, que contou com um total de 08 (oito) instituições participantes da rede de atendimento à mulher vítima de violência; considerando a importância da discussão sobre a realidade atual das mulheres que tem seus direitos violados, analisando aspectos políticos, econômicos e culturais, bem como a real estruturação da rede de proteção a essas mulheres.</w:t>
      </w:r>
    </w:p>
    <w:p w:rsidR="00D24E61" w:rsidRPr="00771368" w:rsidRDefault="00D24E61">
      <w:pPr>
        <w:spacing w:line="77" w:lineRule="exact"/>
        <w:rPr>
          <w:sz w:val="24"/>
          <w:szCs w:val="24"/>
        </w:rPr>
      </w:pPr>
    </w:p>
    <w:p w:rsidR="00D24E61" w:rsidRPr="00771368" w:rsidRDefault="00D24E61">
      <w:pPr>
        <w:spacing w:line="316" w:lineRule="auto"/>
        <w:ind w:left="1" w:right="20" w:firstLine="708"/>
        <w:jc w:val="both"/>
        <w:rPr>
          <w:sz w:val="20"/>
          <w:szCs w:val="20"/>
        </w:rPr>
      </w:pPr>
      <w:r w:rsidRPr="00771368">
        <w:rPr>
          <w:sz w:val="24"/>
          <w:szCs w:val="24"/>
        </w:rPr>
        <w:t>O desconhecimento da efetividade atual da rede de atendimento e defesa de direitos das mulheres vítimas de violência, no município de Curitiba, levou-nos a querer identificar a realidade vivenciada pelas demais instituições participantes do Programa Mulher de Verdade</w:t>
      </w:r>
      <w:r w:rsidRPr="00771368">
        <w:rPr>
          <w:sz w:val="32"/>
          <w:szCs w:val="32"/>
          <w:vertAlign w:val="superscript"/>
        </w:rPr>
        <w:t>2</w:t>
      </w:r>
    </w:p>
    <w:p w:rsidR="00D24E61" w:rsidRPr="00771368" w:rsidRDefault="00D24E61">
      <w:pPr>
        <w:spacing w:line="215" w:lineRule="auto"/>
        <w:ind w:left="1"/>
        <w:rPr>
          <w:sz w:val="20"/>
          <w:szCs w:val="20"/>
        </w:rPr>
      </w:pPr>
      <w:r w:rsidRPr="00771368">
        <w:rPr>
          <w:sz w:val="24"/>
          <w:szCs w:val="24"/>
        </w:rPr>
        <w:t>– PMV, a fim de conhecer melhor o trabalho realizado por estas instituições.</w:t>
      </w:r>
    </w:p>
    <w:p w:rsidR="00D24E61" w:rsidRPr="00771368" w:rsidRDefault="00D24E61">
      <w:pPr>
        <w:spacing w:line="198" w:lineRule="exact"/>
        <w:rPr>
          <w:sz w:val="24"/>
          <w:szCs w:val="24"/>
        </w:rPr>
      </w:pPr>
    </w:p>
    <w:p w:rsidR="00D24E61" w:rsidRPr="00771368" w:rsidRDefault="00D24E61">
      <w:pPr>
        <w:spacing w:line="346" w:lineRule="auto"/>
        <w:ind w:left="1" w:right="20" w:firstLine="708"/>
        <w:jc w:val="both"/>
        <w:rPr>
          <w:sz w:val="20"/>
          <w:szCs w:val="20"/>
        </w:rPr>
      </w:pPr>
      <w:r w:rsidRPr="00771368">
        <w:rPr>
          <w:sz w:val="24"/>
          <w:szCs w:val="24"/>
        </w:rPr>
        <w:t>Este estudo teve como principal objetivo conhecer a rede de atendimento e defesa de direitos da mulher vítima de violência no município de Curitiba, além de buscar analisar a atual política de defesa dos direitos das mulheres, bem como analisar em que medida a política de defesa das mulheres está sendo efetivada pelas instituições que fazem parte da rede de atendimento à mulher vitimizada.</w:t>
      </w:r>
    </w:p>
    <w:p w:rsidR="00D24E61" w:rsidRPr="00771368" w:rsidRDefault="00D24E61">
      <w:pPr>
        <w:spacing w:line="200" w:lineRule="exact"/>
        <w:rPr>
          <w:sz w:val="24"/>
          <w:szCs w:val="24"/>
        </w:rPr>
      </w:pPr>
    </w:p>
    <w:p w:rsidR="00D24E61" w:rsidRPr="00771368" w:rsidRDefault="00D24E61">
      <w:pPr>
        <w:spacing w:line="239" w:lineRule="exact"/>
        <w:rPr>
          <w:sz w:val="24"/>
          <w:szCs w:val="24"/>
        </w:rPr>
      </w:pPr>
    </w:p>
    <w:p w:rsidR="00D24E61" w:rsidRPr="00771368" w:rsidRDefault="00D24E61">
      <w:pPr>
        <w:ind w:left="1"/>
        <w:rPr>
          <w:sz w:val="20"/>
          <w:szCs w:val="20"/>
        </w:rPr>
      </w:pPr>
      <w:r w:rsidRPr="00771368">
        <w:rPr>
          <w:b/>
          <w:bCs/>
          <w:sz w:val="24"/>
          <w:szCs w:val="24"/>
        </w:rPr>
        <w:t>Metodologia</w:t>
      </w:r>
    </w:p>
    <w:p w:rsidR="00D24E61" w:rsidRPr="00771368" w:rsidRDefault="00D24E61">
      <w:pPr>
        <w:spacing w:line="193" w:lineRule="exact"/>
        <w:rPr>
          <w:sz w:val="24"/>
          <w:szCs w:val="24"/>
        </w:rPr>
      </w:pPr>
    </w:p>
    <w:p w:rsidR="00283E5E" w:rsidRPr="00771368" w:rsidRDefault="00D24E61" w:rsidP="00283E5E">
      <w:pPr>
        <w:spacing w:line="308" w:lineRule="auto"/>
        <w:ind w:right="20" w:firstLine="1"/>
        <w:jc w:val="both"/>
        <w:rPr>
          <w:sz w:val="20"/>
          <w:szCs w:val="20"/>
        </w:rPr>
      </w:pPr>
      <w:r w:rsidRPr="00771368">
        <w:rPr>
          <w:sz w:val="24"/>
          <w:szCs w:val="24"/>
        </w:rPr>
        <w:t>Compreendendo a importância e relevância do Programa Mulher de Verdade no atendimento à mulher em situação de violência, procuramos respostas quanto à efetividade do</w:t>
      </w:r>
      <w:r w:rsidR="00283E5E">
        <w:rPr>
          <w:sz w:val="24"/>
          <w:szCs w:val="24"/>
        </w:rPr>
        <w:t xml:space="preserve"> </w:t>
      </w:r>
      <w:r w:rsidR="00283E5E" w:rsidRPr="00771368">
        <w:rPr>
          <w:sz w:val="24"/>
          <w:szCs w:val="24"/>
        </w:rPr>
        <w:t>trabalho realizado pelas instituições que compõem a rede de atendimento à mulher, do município de Curitiba.</w:t>
      </w:r>
    </w:p>
    <w:p w:rsidR="00283E5E" w:rsidRPr="00771368" w:rsidRDefault="00283E5E" w:rsidP="00283E5E">
      <w:pPr>
        <w:spacing w:line="120" w:lineRule="exact"/>
        <w:rPr>
          <w:sz w:val="20"/>
          <w:szCs w:val="20"/>
        </w:rPr>
      </w:pPr>
    </w:p>
    <w:p w:rsidR="00283E5E" w:rsidRPr="00771368" w:rsidRDefault="00283E5E" w:rsidP="00283E5E">
      <w:pPr>
        <w:spacing w:line="352" w:lineRule="auto"/>
        <w:ind w:firstLine="708"/>
        <w:jc w:val="both"/>
        <w:rPr>
          <w:sz w:val="20"/>
          <w:szCs w:val="20"/>
        </w:rPr>
      </w:pPr>
      <w:r w:rsidRPr="00771368">
        <w:rPr>
          <w:sz w:val="24"/>
          <w:szCs w:val="24"/>
        </w:rPr>
        <w:t>Cientes de que o universo que compõe a rede de atendimento em sua totalidade é muito amplo, optamos por um número pré-determinado de instituições para que pudéssemos analisar mais atentamente o trabalho dos profissionais que atuam diretamente com mulheres vítimas de violência: Hospital do Trabalhador; Hospital de Clínicas; Hospital Universitário Cajuru; Centro Municipal de Urgências Médicas regional Boqueirão – CMUM Boqueirão; Casa-Abrigo Pousada de Maria; Centro de Referência e Atendimento à Mulher; Delegacia da Mulher e Juizado de Violência Doméstica e Familiar Conta a Mulher - 13° Vara Criminal de Curitiba.</w:t>
      </w:r>
    </w:p>
    <w:p w:rsidR="00283E5E" w:rsidRPr="00771368" w:rsidRDefault="00283E5E" w:rsidP="00283E5E">
      <w:pPr>
        <w:spacing w:line="342" w:lineRule="auto"/>
        <w:ind w:right="20" w:firstLine="708"/>
        <w:jc w:val="both"/>
        <w:rPr>
          <w:sz w:val="20"/>
          <w:szCs w:val="20"/>
        </w:rPr>
      </w:pPr>
      <w:r w:rsidRPr="00771368">
        <w:rPr>
          <w:sz w:val="24"/>
          <w:szCs w:val="24"/>
        </w:rPr>
        <w:t>Além destas instituições, realizamos entrevista com a Sra. Maria da Penha Maia Fernandes, na qual a mesma expõe sua opinião sobre os limites e desafios enfrentados pelas vítimas de violência após a aprovação da lei que leva o seu nome, bem como nos faz refletir sobre a efetividade do aparato legal existente no momento.</w:t>
      </w:r>
    </w:p>
    <w:p w:rsidR="00283E5E" w:rsidRPr="00771368" w:rsidRDefault="00283E5E" w:rsidP="00283E5E">
      <w:pPr>
        <w:spacing w:line="342" w:lineRule="auto"/>
        <w:ind w:right="20" w:firstLine="708"/>
        <w:jc w:val="both"/>
        <w:rPr>
          <w:sz w:val="20"/>
          <w:szCs w:val="20"/>
        </w:rPr>
      </w:pPr>
      <w:r w:rsidRPr="00771368">
        <w:rPr>
          <w:sz w:val="24"/>
          <w:szCs w:val="24"/>
        </w:rPr>
        <w:t>Optamos por fazer uso da pesquisa qualitativa por entendermos que ela possa contribuir para responder questões particulares, preocupando-se com um nível de realidade que não pode ser medido, quantificado; trabalha com as representações, atitudes e valores, de forma descritiva e analítica.</w:t>
      </w:r>
    </w:p>
    <w:p w:rsidR="00283E5E" w:rsidRPr="00771368" w:rsidRDefault="00283E5E" w:rsidP="00283E5E">
      <w:pPr>
        <w:spacing w:line="347" w:lineRule="auto"/>
        <w:ind w:right="20" w:firstLine="708"/>
        <w:jc w:val="both"/>
        <w:rPr>
          <w:sz w:val="20"/>
          <w:szCs w:val="20"/>
        </w:rPr>
      </w:pPr>
      <w:r w:rsidRPr="00771368">
        <w:rPr>
          <w:sz w:val="24"/>
          <w:szCs w:val="24"/>
        </w:rPr>
        <w:t>Utilizamos como método geral o dialético, partindo da concepção sócio-histórica, pois acreditamos que o mesmo ultrapassa a lógica formal e possibilita uma melhor compreensão do real, das relações que os sujeitos estabelecem, entendendo que a realidade material vivida pelos mesmos é responsável por determinar sua consciência, bem como suas representações sociais, observa Quiroga (1991);</w:t>
      </w:r>
    </w:p>
    <w:p w:rsidR="00283E5E" w:rsidRPr="00771368" w:rsidRDefault="00283E5E" w:rsidP="00283E5E">
      <w:pPr>
        <w:spacing w:line="353" w:lineRule="auto"/>
        <w:ind w:left="2340"/>
        <w:jc w:val="both"/>
        <w:rPr>
          <w:sz w:val="20"/>
          <w:szCs w:val="20"/>
        </w:rPr>
      </w:pPr>
      <w:r w:rsidRPr="00771368">
        <w:rPr>
          <w:sz w:val="24"/>
          <w:szCs w:val="24"/>
        </w:rPr>
        <w:t xml:space="preserve">Esta é uma característica fundamental da dialética marxista: a consciência é produto do ser social e, a partir dessa consciência, o homem intervém para modificar a realidade, que, primeiramente, </w:t>
      </w:r>
    </w:p>
    <w:p w:rsidR="00283E5E" w:rsidRPr="00771368" w:rsidRDefault="00013211" w:rsidP="00283E5E">
      <w:pPr>
        <w:spacing w:line="360" w:lineRule="exact"/>
        <w:rPr>
          <w:sz w:val="24"/>
          <w:szCs w:val="24"/>
        </w:rPr>
      </w:pPr>
      <w:r>
        <w:rPr>
          <w:noProof/>
          <w:sz w:val="24"/>
          <w:szCs w:val="24"/>
        </w:rPr>
        <mc:AlternateContent>
          <mc:Choice Requires="wps">
            <w:drawing>
              <wp:anchor distT="0" distB="0" distL="0" distR="0" simplePos="0" relativeHeight="251809280" behindDoc="0" locked="0" layoutInCell="0" allowOverlap="1">
                <wp:simplePos x="0" y="0"/>
                <wp:positionH relativeFrom="column">
                  <wp:posOffset>0</wp:posOffset>
                </wp:positionH>
                <wp:positionV relativeFrom="paragraph">
                  <wp:posOffset>128270</wp:posOffset>
                </wp:positionV>
                <wp:extent cx="1828800" cy="0"/>
                <wp:effectExtent l="9525" t="13970" r="9525" b="5080"/>
                <wp:wrapNone/>
                <wp:docPr id="27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25180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0.1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" o:allowincell="f" strokeweight=".6pt"/>
            </w:pict>
          </mc:Fallback>
        </mc:AlternateContent>
      </w:r>
    </w:p>
    <w:p w:rsidR="00283E5E" w:rsidRPr="00771368" w:rsidRDefault="00283E5E" w:rsidP="00283E5E">
      <w:pPr>
        <w:tabs>
          <w:tab w:val="left" w:pos="138"/>
        </w:tabs>
        <w:spacing w:line="186" w:lineRule="auto"/>
        <w:ind w:right="20"/>
        <w:jc w:val="both"/>
        <w:rPr>
          <w:sz w:val="26"/>
          <w:szCs w:val="26"/>
          <w:vertAlign w:val="superscript"/>
        </w:rPr>
      </w:pPr>
      <w:r>
        <w:rPr>
          <w:sz w:val="20"/>
          <w:szCs w:val="20"/>
        </w:rPr>
        <w:t>1</w:t>
      </w:r>
      <w:r w:rsidRPr="00771368">
        <w:rPr>
          <w:sz w:val="20"/>
          <w:szCs w:val="20"/>
        </w:rPr>
        <w:t>O presente artigo foi derivado do Trabalho de Conclusão de Curso para obtenção do Título de Bacharel em Serviço Social pela Pontifícia Universidade Católica do Paraná, no ano de 2011.</w:t>
      </w:r>
    </w:p>
    <w:p w:rsidR="00283E5E" w:rsidRPr="00771368" w:rsidRDefault="00283E5E" w:rsidP="00283E5E">
      <w:pPr>
        <w:spacing w:line="48" w:lineRule="exact"/>
        <w:rPr>
          <w:sz w:val="26"/>
          <w:szCs w:val="26"/>
          <w:vertAlign w:val="superscript"/>
        </w:rPr>
      </w:pPr>
    </w:p>
    <w:p w:rsidR="00283E5E" w:rsidRPr="00771368" w:rsidRDefault="00283E5E" w:rsidP="00283E5E">
      <w:pPr>
        <w:tabs>
          <w:tab w:val="left" w:pos="143"/>
        </w:tabs>
        <w:spacing w:line="186" w:lineRule="auto"/>
        <w:ind w:right="20"/>
        <w:jc w:val="both"/>
        <w:rPr>
          <w:sz w:val="26"/>
          <w:szCs w:val="26"/>
          <w:vertAlign w:val="superscript"/>
        </w:rPr>
      </w:pPr>
      <w:r>
        <w:rPr>
          <w:sz w:val="20"/>
          <w:szCs w:val="20"/>
        </w:rPr>
        <w:t>2</w:t>
      </w:r>
      <w:r w:rsidRPr="00771368">
        <w:rPr>
          <w:sz w:val="20"/>
          <w:szCs w:val="20"/>
        </w:rPr>
        <w:t>Programa criado no município de Curitiba, no ano de 2002, como forma de estratégia de enfrentamento ás questões relativas a violência doméstica.</w:t>
      </w:r>
    </w:p>
    <w:p w:rsidR="00283E5E" w:rsidRPr="00771368" w:rsidRDefault="00283E5E" w:rsidP="00283E5E">
      <w:pPr>
        <w:sectPr w:rsidR="00283E5E" w:rsidRPr="00771368" w:rsidSect="00D24E61">
          <w:pgSz w:w="11900" w:h="16840"/>
          <w:pgMar w:top="690" w:right="1420" w:bottom="1440" w:left="1420" w:header="0" w:footer="0" w:gutter="0"/>
          <w:cols w:space="720" w:equalWidth="0">
            <w:col w:w="9060"/>
          </w:cols>
        </w:sectPr>
      </w:pPr>
    </w:p>
    <w:p w:rsidR="00283E5E" w:rsidRPr="00771368" w:rsidRDefault="00283E5E" w:rsidP="00283E5E">
      <w:pPr>
        <w:spacing w:line="353" w:lineRule="auto"/>
        <w:ind w:left="2340"/>
        <w:jc w:val="both"/>
        <w:rPr>
          <w:sz w:val="20"/>
          <w:szCs w:val="20"/>
        </w:rPr>
      </w:pPr>
      <w:r w:rsidRPr="00771368">
        <w:rPr>
          <w:sz w:val="24"/>
          <w:szCs w:val="24"/>
        </w:rPr>
        <w:t>gerou sua própria consciência. O conhecimento da realidade não é, pois, mero reflexo da realidade no pensamento. Ao captá-la, o homem a retém e elabora, utilizando como elemento dessa elaboração um conhecimento acumulado. Assim, a síntese da relação entre realidade e pensamento é superior à simples transformação mecânica da realidade para o pensamento. (QUIROGA, 1991, p. 75-76)</w:t>
      </w:r>
    </w:p>
    <w:p w:rsidR="00D24E61" w:rsidRPr="00771368" w:rsidRDefault="00D24E61">
      <w:pPr>
        <w:spacing w:line="29" w:lineRule="exact"/>
        <w:rPr>
          <w:sz w:val="20"/>
          <w:szCs w:val="20"/>
        </w:rPr>
      </w:pPr>
    </w:p>
    <w:p w:rsidR="00D24E61" w:rsidRPr="00771368" w:rsidRDefault="00D24E61">
      <w:pPr>
        <w:spacing w:line="74" w:lineRule="exact"/>
        <w:rPr>
          <w:sz w:val="20"/>
          <w:szCs w:val="20"/>
        </w:rPr>
      </w:pPr>
    </w:p>
    <w:p w:rsidR="00D24E61" w:rsidRPr="00771368" w:rsidRDefault="00D24E61">
      <w:pPr>
        <w:spacing w:line="83" w:lineRule="exact"/>
        <w:rPr>
          <w:sz w:val="20"/>
          <w:szCs w:val="20"/>
        </w:rPr>
      </w:pPr>
    </w:p>
    <w:p w:rsidR="00D24E61" w:rsidRPr="00771368" w:rsidRDefault="00D24E61">
      <w:pPr>
        <w:spacing w:line="83" w:lineRule="exact"/>
        <w:rPr>
          <w:sz w:val="20"/>
          <w:szCs w:val="20"/>
        </w:rPr>
      </w:pPr>
    </w:p>
    <w:p w:rsidR="00D24E61" w:rsidRPr="00771368" w:rsidRDefault="00D24E61">
      <w:pPr>
        <w:spacing w:line="74" w:lineRule="exact"/>
        <w:rPr>
          <w:sz w:val="20"/>
          <w:szCs w:val="20"/>
        </w:rPr>
      </w:pPr>
    </w:p>
    <w:p w:rsidR="00D24E61" w:rsidRPr="00771368" w:rsidRDefault="00D24E61">
      <w:pPr>
        <w:spacing w:line="29"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Utilizamos a análise de conteúdo objetivando compreender as informações obtidas através da coleta de dados, considerando que ela se refere à verificação de questões ou hipóteses, bem como a elucidação do que está por de trás do conteúdo sob investigação.</w:t>
      </w:r>
    </w:p>
    <w:p w:rsidR="00D24E61" w:rsidRPr="00771368" w:rsidRDefault="00D24E61">
      <w:pPr>
        <w:spacing w:line="89" w:lineRule="exact"/>
        <w:rPr>
          <w:sz w:val="20"/>
          <w:szCs w:val="20"/>
        </w:rPr>
      </w:pPr>
    </w:p>
    <w:p w:rsidR="00D24E61" w:rsidRPr="00771368" w:rsidRDefault="00D24E61">
      <w:pPr>
        <w:spacing w:line="334" w:lineRule="auto"/>
        <w:ind w:right="20"/>
        <w:jc w:val="both"/>
        <w:rPr>
          <w:sz w:val="20"/>
          <w:szCs w:val="20"/>
        </w:rPr>
      </w:pPr>
      <w:r w:rsidRPr="00771368">
        <w:rPr>
          <w:sz w:val="24"/>
          <w:szCs w:val="24"/>
        </w:rPr>
        <w:t>Conforme Minayo (2002, p. 74); ”através da análise de conteúdo, podemos encontrar respostas para as questões formuladas e também podemos confirmar ou não as afirmações estabelecidas antes do trabalho de investigação”.</w:t>
      </w:r>
    </w:p>
    <w:p w:rsidR="00D24E61" w:rsidRPr="00771368" w:rsidRDefault="00D24E61">
      <w:pPr>
        <w:spacing w:line="200" w:lineRule="exact"/>
        <w:rPr>
          <w:sz w:val="20"/>
          <w:szCs w:val="20"/>
        </w:rPr>
      </w:pPr>
    </w:p>
    <w:p w:rsidR="00D24E61" w:rsidRPr="00771368" w:rsidRDefault="00D24E61">
      <w:pPr>
        <w:spacing w:line="250" w:lineRule="exact"/>
        <w:rPr>
          <w:sz w:val="20"/>
          <w:szCs w:val="20"/>
        </w:rPr>
      </w:pPr>
    </w:p>
    <w:p w:rsidR="00D24E61" w:rsidRPr="00771368" w:rsidRDefault="00D24E61">
      <w:pPr>
        <w:rPr>
          <w:sz w:val="20"/>
          <w:szCs w:val="20"/>
        </w:rPr>
      </w:pPr>
      <w:r w:rsidRPr="00771368">
        <w:rPr>
          <w:b/>
          <w:bCs/>
          <w:sz w:val="24"/>
          <w:szCs w:val="24"/>
        </w:rPr>
        <w:t>A Violência como expressão cotidiana: uma incursão necessária</w:t>
      </w:r>
    </w:p>
    <w:p w:rsidR="00D24E61" w:rsidRPr="00771368" w:rsidRDefault="00D24E61">
      <w:pPr>
        <w:spacing w:line="193"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Quando nos referimos ao termo violência, é preciso ter clareza que o mesmo possui uma multiplicidade de agentes e ações: violência da desigualdade social, por parte do Estado e sistema econômico vigente; violência de atos criminosos; trabalho infantil; violência contra a mulher, o negro e o homoafetivo; violência nas relações cotidianas e também na violação de direitos, tanto civis quando políticos e sociais.</w:t>
      </w:r>
    </w:p>
    <w:p w:rsidR="00D24E61" w:rsidRPr="00771368" w:rsidRDefault="00D24E61">
      <w:pPr>
        <w:spacing w:line="74" w:lineRule="exact"/>
        <w:rPr>
          <w:sz w:val="20"/>
          <w:szCs w:val="20"/>
        </w:rPr>
      </w:pPr>
    </w:p>
    <w:p w:rsidR="00D24E61" w:rsidRPr="00771368" w:rsidRDefault="00D24E61">
      <w:pPr>
        <w:spacing w:line="310" w:lineRule="auto"/>
        <w:ind w:firstLine="708"/>
        <w:jc w:val="both"/>
        <w:rPr>
          <w:sz w:val="20"/>
          <w:szCs w:val="20"/>
        </w:rPr>
      </w:pPr>
      <w:r w:rsidRPr="00771368">
        <w:rPr>
          <w:sz w:val="24"/>
          <w:szCs w:val="24"/>
        </w:rPr>
        <w:t>A violência, seja ela explicita ou invisível, opõe-se diretamente aos Direitos Humanos. Veronese (1998) afirma que os Direitos Humanos:</w:t>
      </w:r>
    </w:p>
    <w:p w:rsidR="00D24E61" w:rsidRPr="00771368" w:rsidRDefault="00D24E61">
      <w:pPr>
        <w:spacing w:line="115" w:lineRule="exact"/>
        <w:rPr>
          <w:sz w:val="20"/>
          <w:szCs w:val="20"/>
        </w:rPr>
      </w:pPr>
    </w:p>
    <w:p w:rsidR="00D24E61" w:rsidRPr="00771368" w:rsidRDefault="00D24E61">
      <w:pPr>
        <w:spacing w:line="350" w:lineRule="auto"/>
        <w:ind w:left="2340" w:right="20"/>
        <w:jc w:val="both"/>
        <w:rPr>
          <w:sz w:val="20"/>
          <w:szCs w:val="20"/>
        </w:rPr>
      </w:pPr>
      <w:r w:rsidRPr="00771368">
        <w:rPr>
          <w:sz w:val="24"/>
          <w:szCs w:val="24"/>
        </w:rPr>
        <w:t>[...] devem ser concebidos como um conjunto de princípios que garantem a dignidade humana, princípios voltados para a não-agressão, a não-degradação da espécie humana. (...) Falar em Direitos Humanos significa defender a vida, a integridade física, a liberdade de expressão, de opinião, de religião, significa possibilitar distintas opções políticas e ideológicas. (VERONESE, 1998, p.07)</w:t>
      </w:r>
    </w:p>
    <w:p w:rsidR="00D24E61" w:rsidRPr="00771368" w:rsidRDefault="00D24E61">
      <w:pPr>
        <w:spacing w:line="70"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Sendo assim, na medida em que o ser humano é impedido de se desenvolver plenamente, desencadeia-se um processo de violência, manifestada das mais diferentes formas, relacionando-se diretamente com a origem da cultura, e principalmente pela tentativa de destruição repetitiva dos oprimidos pelos opressores.</w:t>
      </w:r>
    </w:p>
    <w:p w:rsidR="00D24E61" w:rsidRPr="00771368" w:rsidRDefault="00D24E61">
      <w:pPr>
        <w:spacing w:line="200" w:lineRule="exact"/>
        <w:rPr>
          <w:sz w:val="20"/>
          <w:szCs w:val="20"/>
        </w:rPr>
      </w:pPr>
    </w:p>
    <w:p w:rsidR="00D24E61" w:rsidRPr="00771368" w:rsidRDefault="00D24E61">
      <w:pPr>
        <w:spacing w:line="243" w:lineRule="exact"/>
        <w:rPr>
          <w:sz w:val="20"/>
          <w:szCs w:val="20"/>
        </w:rPr>
      </w:pPr>
    </w:p>
    <w:p w:rsidR="00283E5E" w:rsidRDefault="00283E5E">
      <w:pPr>
        <w:rPr>
          <w:b/>
          <w:bCs/>
          <w:sz w:val="24"/>
          <w:szCs w:val="24"/>
        </w:rPr>
      </w:pPr>
      <w:r>
        <w:rPr>
          <w:b/>
          <w:bCs/>
          <w:sz w:val="24"/>
          <w:szCs w:val="24"/>
        </w:rPr>
        <w:br w:type="page"/>
      </w:r>
    </w:p>
    <w:p w:rsidR="00D24E61" w:rsidRPr="00771368" w:rsidRDefault="00D24E61">
      <w:pPr>
        <w:rPr>
          <w:sz w:val="20"/>
          <w:szCs w:val="20"/>
        </w:rPr>
      </w:pPr>
      <w:r w:rsidRPr="00771368">
        <w:rPr>
          <w:b/>
          <w:bCs/>
          <w:sz w:val="24"/>
          <w:szCs w:val="24"/>
        </w:rPr>
        <w:t>Gênero: aspectos que incidem nas relações pautadas pela violência</w:t>
      </w:r>
    </w:p>
    <w:p w:rsidR="00D24E61" w:rsidRPr="00771368" w:rsidRDefault="00D24E61">
      <w:pPr>
        <w:spacing w:line="19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As diferenças de gênero são construídas socialmente, definindo o que é coisa de mulher e o que é coisa de homem, o que cada um deve vestir, falar, pensar e onde e como devem trabalhar. Em suma, é um padrão sócio-econômico e também cultural, que acaba por influenciar, em todos os aspectos, a vida de homens e mulheres.</w:t>
      </w:r>
    </w:p>
    <w:p w:rsidR="00D24E61" w:rsidRPr="00771368" w:rsidRDefault="00D24E61">
      <w:pPr>
        <w:spacing w:line="83"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A violência de gênero está estreitamente relacionada com a histórica discriminação sofrida pela mulher. Melo e Teles (2002) asseguram que;</w:t>
      </w:r>
    </w:p>
    <w:p w:rsidR="00D24E61" w:rsidRPr="00771368" w:rsidRDefault="00D24E61">
      <w:pPr>
        <w:spacing w:line="29" w:lineRule="exact"/>
        <w:rPr>
          <w:sz w:val="20"/>
          <w:szCs w:val="20"/>
        </w:rPr>
      </w:pPr>
    </w:p>
    <w:p w:rsidR="00D24E61" w:rsidRPr="00771368" w:rsidRDefault="00D24E61">
      <w:pPr>
        <w:spacing w:line="347" w:lineRule="auto"/>
        <w:ind w:left="2340"/>
        <w:jc w:val="both"/>
        <w:rPr>
          <w:sz w:val="20"/>
          <w:szCs w:val="20"/>
        </w:rPr>
      </w:pPr>
      <w:r w:rsidRPr="00771368">
        <w:rPr>
          <w:sz w:val="24"/>
          <w:szCs w:val="24"/>
        </w:rPr>
        <w:t>“A discriminação não deixa de ser um aspecto fundamental da violência. Significa o processo que sustenta e justifica os atos violentos. Ela foi se desenvolvendo com avanços e recuos de maneira a se tornar algo como que pertencente e vinculado intrinsecamente à natureza humana.”(MELO e TELES, 2002, p.28)</w:t>
      </w:r>
    </w:p>
    <w:p w:rsidR="00D24E61" w:rsidRPr="00771368" w:rsidRDefault="00D24E61">
      <w:pPr>
        <w:spacing w:line="74"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Este tipo de violência é praticado por aquele que nas relações estabelecidas, possui uma parcela maior de poder. Esse poder é resultado da dita superioridade do homem transmitida pela cultura da nossa sociedade, e se faz presente em diferentes lugares, carregando em si o aditivo dos preconceitos e das discriminações sociais.</w:t>
      </w:r>
    </w:p>
    <w:p w:rsidR="00D24E61" w:rsidRPr="00771368" w:rsidRDefault="00D24E61">
      <w:pPr>
        <w:spacing w:line="79"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 xml:space="preserve">Historicamente a mulher foi obrigada a balizar as suas necessidades às necessidades da família, ou seja, filhos e esposo. O próprio termo família, do latim </w:t>
      </w:r>
      <w:r w:rsidRPr="00771368">
        <w:rPr>
          <w:i/>
          <w:iCs/>
          <w:sz w:val="24"/>
          <w:szCs w:val="24"/>
        </w:rPr>
        <w:t>famulus,</w:t>
      </w:r>
      <w:r w:rsidRPr="00771368">
        <w:rPr>
          <w:sz w:val="24"/>
          <w:szCs w:val="24"/>
        </w:rPr>
        <w:t xml:space="preserve"> significa conjunto de servidores, escravos e séquitos, que vivem sobre o poder de um chefe ou senhor. Dentro dessa ótica, a sociedade patriarcal facilita a reprodução da violência de gênero, por meio da subordinação feminina.</w:t>
      </w:r>
    </w:p>
    <w:p w:rsidR="00D24E61" w:rsidRPr="00771368" w:rsidRDefault="00D24E61">
      <w:pPr>
        <w:spacing w:line="76"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 sociedade atual assiste a diferentes formas de reprodução do machismo, por meio de músicas que reportam à inferioridade da mulher. Isto pode acarretar atos violentos, considerando que a mídia é um importante formador de opinião.</w:t>
      </w:r>
    </w:p>
    <w:p w:rsidR="00D24E61" w:rsidRPr="00771368" w:rsidRDefault="00D24E61">
      <w:pPr>
        <w:spacing w:line="89" w:lineRule="exact"/>
        <w:rPr>
          <w:sz w:val="20"/>
          <w:szCs w:val="20"/>
        </w:rPr>
      </w:pPr>
    </w:p>
    <w:p w:rsidR="00D24E61" w:rsidRPr="00771368" w:rsidRDefault="00D24E61">
      <w:pPr>
        <w:spacing w:line="310" w:lineRule="auto"/>
        <w:ind w:right="20" w:firstLine="708"/>
        <w:jc w:val="both"/>
        <w:rPr>
          <w:sz w:val="20"/>
          <w:szCs w:val="20"/>
        </w:rPr>
      </w:pPr>
      <w:r w:rsidRPr="00771368">
        <w:rPr>
          <w:sz w:val="24"/>
          <w:szCs w:val="24"/>
        </w:rPr>
        <w:t>Inúmeras músicas tocadas em todas as rádios do país reforçam a idéia de que a mulher considera agradável e até gosta de apanhar, como podemos verificar neste trecho da música</w:t>
      </w:r>
    </w:p>
    <w:p w:rsidR="00D24E61" w:rsidRPr="00771368" w:rsidRDefault="00D24E61">
      <w:pPr>
        <w:spacing w:line="57" w:lineRule="exact"/>
        <w:rPr>
          <w:sz w:val="20"/>
          <w:szCs w:val="20"/>
        </w:rPr>
      </w:pPr>
    </w:p>
    <w:p w:rsidR="00D24E61" w:rsidRPr="00771368" w:rsidRDefault="00D24E61">
      <w:pPr>
        <w:rPr>
          <w:sz w:val="20"/>
          <w:szCs w:val="20"/>
        </w:rPr>
      </w:pPr>
      <w:r w:rsidRPr="00771368">
        <w:rPr>
          <w:i/>
          <w:iCs/>
          <w:sz w:val="24"/>
          <w:szCs w:val="24"/>
        </w:rPr>
        <w:t xml:space="preserve">Lapada na Rachada </w:t>
      </w:r>
      <w:r w:rsidRPr="00771368">
        <w:rPr>
          <w:sz w:val="24"/>
          <w:szCs w:val="24"/>
        </w:rPr>
        <w:t>da banda Forró Saia Rodada:</w:t>
      </w:r>
    </w:p>
    <w:p w:rsidR="00D24E61" w:rsidRPr="00771368" w:rsidRDefault="00D24E61">
      <w:pPr>
        <w:spacing w:line="197" w:lineRule="exact"/>
        <w:rPr>
          <w:sz w:val="20"/>
          <w:szCs w:val="20"/>
        </w:rPr>
      </w:pPr>
    </w:p>
    <w:p w:rsidR="00D24E61" w:rsidRPr="00771368" w:rsidRDefault="00D24E61">
      <w:pPr>
        <w:spacing w:line="332" w:lineRule="auto"/>
        <w:ind w:left="2340" w:right="3640"/>
        <w:rPr>
          <w:sz w:val="20"/>
          <w:szCs w:val="20"/>
        </w:rPr>
      </w:pPr>
      <w:r w:rsidRPr="00771368">
        <w:rPr>
          <w:sz w:val="23"/>
          <w:szCs w:val="23"/>
        </w:rPr>
        <w:t>Vai, dá tapinha na bundinha, vai Que eu sou sua cachorrinha, vai</w:t>
      </w:r>
    </w:p>
    <w:p w:rsidR="00D24E61" w:rsidRPr="00771368" w:rsidRDefault="00D24E61">
      <w:pPr>
        <w:spacing w:line="96" w:lineRule="exact"/>
        <w:rPr>
          <w:sz w:val="20"/>
          <w:szCs w:val="20"/>
        </w:rPr>
      </w:pPr>
    </w:p>
    <w:p w:rsidR="00D24E61" w:rsidRPr="00771368" w:rsidRDefault="00D24E61">
      <w:pPr>
        <w:spacing w:line="308" w:lineRule="auto"/>
        <w:ind w:left="2340" w:right="2240"/>
        <w:rPr>
          <w:sz w:val="20"/>
          <w:szCs w:val="20"/>
        </w:rPr>
      </w:pPr>
      <w:r w:rsidRPr="00771368">
        <w:rPr>
          <w:sz w:val="24"/>
          <w:szCs w:val="24"/>
        </w:rPr>
        <w:t>Fico muito assanhada, seu eu pedir você me dá Lapada na rachada</w:t>
      </w:r>
    </w:p>
    <w:p w:rsidR="00D24E61" w:rsidRPr="00771368" w:rsidRDefault="00D24E61">
      <w:pPr>
        <w:spacing w:line="60" w:lineRule="exact"/>
        <w:rPr>
          <w:sz w:val="20"/>
          <w:szCs w:val="20"/>
        </w:rPr>
      </w:pPr>
    </w:p>
    <w:p w:rsidR="00D24E61" w:rsidRPr="00771368" w:rsidRDefault="00D24E61">
      <w:pPr>
        <w:ind w:left="2340"/>
        <w:rPr>
          <w:sz w:val="20"/>
          <w:szCs w:val="20"/>
        </w:rPr>
      </w:pPr>
      <w:r w:rsidRPr="00771368">
        <w:rPr>
          <w:sz w:val="24"/>
          <w:szCs w:val="24"/>
        </w:rPr>
        <w:t>Toma gostosa, lapada na rachada...</w:t>
      </w:r>
    </w:p>
    <w:p w:rsidR="00D24E61" w:rsidRPr="00771368" w:rsidRDefault="00D24E61">
      <w:pPr>
        <w:spacing w:line="139" w:lineRule="exact"/>
        <w:rPr>
          <w:sz w:val="20"/>
          <w:szCs w:val="20"/>
        </w:rPr>
      </w:pPr>
    </w:p>
    <w:p w:rsidR="00D24E61" w:rsidRPr="00771368" w:rsidRDefault="00D24E61">
      <w:pPr>
        <w:ind w:left="2340"/>
        <w:rPr>
          <w:sz w:val="20"/>
          <w:szCs w:val="20"/>
        </w:rPr>
      </w:pPr>
      <w:r w:rsidRPr="00771368">
        <w:rPr>
          <w:sz w:val="24"/>
          <w:szCs w:val="24"/>
        </w:rPr>
        <w:t>Você pede e eu te dou, lapada na rachada</w:t>
      </w:r>
    </w:p>
    <w:p w:rsidR="00D24E61" w:rsidRPr="00771368" w:rsidRDefault="00D24E61">
      <w:pPr>
        <w:spacing w:line="137" w:lineRule="exact"/>
        <w:rPr>
          <w:sz w:val="20"/>
          <w:szCs w:val="20"/>
        </w:rPr>
      </w:pPr>
    </w:p>
    <w:p w:rsidR="00D24E61" w:rsidRPr="00771368" w:rsidRDefault="00D24E61">
      <w:pPr>
        <w:ind w:left="2340"/>
        <w:rPr>
          <w:sz w:val="20"/>
          <w:szCs w:val="20"/>
        </w:rPr>
      </w:pPr>
      <w:r w:rsidRPr="00771368">
        <w:rPr>
          <w:sz w:val="24"/>
          <w:szCs w:val="24"/>
        </w:rPr>
        <w:t xml:space="preserve">E aí, </w:t>
      </w:r>
      <w:r w:rsidRPr="00771368">
        <w:rPr>
          <w:i/>
          <w:iCs/>
          <w:sz w:val="24"/>
          <w:szCs w:val="24"/>
        </w:rPr>
        <w:t>tá</w:t>
      </w:r>
      <w:r w:rsidRPr="00771368">
        <w:rPr>
          <w:sz w:val="24"/>
          <w:szCs w:val="24"/>
        </w:rPr>
        <w:t xml:space="preserve"> gostoso? Lapada na rachada (CALDERON e SIMANTOV)</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Considerando os papéis socialmente atribuídos ao homem e a mulher, é possível afirmar que as relações sociais que os sujeitos estabelecem ao longo da vida são responsáveis pela construção das representações sociais.</w:t>
      </w:r>
    </w:p>
    <w:p w:rsidR="00D24E61" w:rsidRPr="00771368" w:rsidRDefault="00D24E61">
      <w:pPr>
        <w:spacing w:line="91"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Banalizar a violência é uma forma de justificar os altos índices de agressões que ocorrem todos os dias, nos mais diferentes lugares e nas mais diversas relações, e que em muitos casos, acabam sem penalidades.</w:t>
      </w:r>
    </w:p>
    <w:p w:rsidR="00D24E61" w:rsidRPr="00771368" w:rsidRDefault="00D24E61">
      <w:pPr>
        <w:spacing w:line="29" w:lineRule="exact"/>
        <w:rPr>
          <w:sz w:val="20"/>
          <w:szCs w:val="20"/>
        </w:rPr>
      </w:pPr>
    </w:p>
    <w:p w:rsidR="00D24E61" w:rsidRPr="00771368" w:rsidRDefault="00D24E61">
      <w:pPr>
        <w:spacing w:line="351" w:lineRule="auto"/>
        <w:ind w:right="20" w:firstLine="708"/>
        <w:jc w:val="both"/>
        <w:rPr>
          <w:sz w:val="20"/>
          <w:szCs w:val="20"/>
        </w:rPr>
      </w:pPr>
      <w:r w:rsidRPr="00771368">
        <w:rPr>
          <w:sz w:val="24"/>
          <w:szCs w:val="24"/>
        </w:rPr>
        <w:t xml:space="preserve">No seio dessas relações se constroem os costumes, ideologias, que muitas vezes se configuram em valores mistificados. Isto ocorre por meio de representações que explicam e garantem a conservação do </w:t>
      </w:r>
      <w:r w:rsidRPr="00771368">
        <w:rPr>
          <w:i/>
          <w:iCs/>
          <w:sz w:val="24"/>
          <w:szCs w:val="24"/>
        </w:rPr>
        <w:t>status quo</w:t>
      </w:r>
      <w:r w:rsidRPr="00771368">
        <w:rPr>
          <w:sz w:val="24"/>
          <w:szCs w:val="24"/>
        </w:rPr>
        <w:t>, ou seja, da ordem social estabelecida. Tais valores, segundo SILVA (1992), visam garantir os interesses de classes dominantes, na luta pela sua hegemonia. A sociedade patriarcal é fator preponderante na produção e reprodução da violência contra a mulher, tendo em vista que a dominação masculina internalizada por homens e mulheres está na base das representações sociais.</w:t>
      </w:r>
    </w:p>
    <w:p w:rsidR="00D24E61" w:rsidRPr="00771368" w:rsidRDefault="00D24E61">
      <w:pPr>
        <w:spacing w:line="200" w:lineRule="exact"/>
        <w:rPr>
          <w:sz w:val="20"/>
          <w:szCs w:val="20"/>
        </w:rPr>
      </w:pPr>
    </w:p>
    <w:p w:rsidR="00D24E61" w:rsidRPr="00771368" w:rsidRDefault="00D24E61">
      <w:pPr>
        <w:spacing w:line="234" w:lineRule="exact"/>
        <w:rPr>
          <w:sz w:val="20"/>
          <w:szCs w:val="20"/>
        </w:rPr>
      </w:pPr>
    </w:p>
    <w:p w:rsidR="00D24E61" w:rsidRPr="00771368" w:rsidRDefault="00D24E61">
      <w:pPr>
        <w:rPr>
          <w:sz w:val="20"/>
          <w:szCs w:val="20"/>
        </w:rPr>
      </w:pPr>
      <w:r w:rsidRPr="00771368">
        <w:rPr>
          <w:b/>
          <w:bCs/>
          <w:sz w:val="24"/>
          <w:szCs w:val="24"/>
        </w:rPr>
        <w:t>A Mulher e a História: cismas e reflexões de longos períodos</w:t>
      </w:r>
    </w:p>
    <w:p w:rsidR="00D24E61" w:rsidRPr="00771368" w:rsidRDefault="00D24E61">
      <w:pPr>
        <w:spacing w:line="190"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Historicamente à mulher foi reservado o papel de boa esposa e boa mãe, sendo inconcebível pensar nela como um ser altivo, questionador e independente. O filósofo grego Aristóteles (384-322 a.C.) justificava a inferioridade da mulher em virtude da mesma não possuir uma alma racional plena. Para ele era natural que o homem comandasse a família e os escravos;</w:t>
      </w:r>
    </w:p>
    <w:p w:rsidR="00D24E61" w:rsidRPr="00771368" w:rsidRDefault="00D24E61">
      <w:pPr>
        <w:spacing w:line="76" w:lineRule="exact"/>
        <w:rPr>
          <w:sz w:val="20"/>
          <w:szCs w:val="20"/>
        </w:rPr>
      </w:pPr>
    </w:p>
    <w:p w:rsidR="00D24E61" w:rsidRPr="00771368" w:rsidRDefault="00D24E61">
      <w:pPr>
        <w:spacing w:line="349" w:lineRule="auto"/>
        <w:ind w:left="2340" w:right="20"/>
        <w:jc w:val="both"/>
        <w:rPr>
          <w:sz w:val="20"/>
          <w:szCs w:val="20"/>
        </w:rPr>
      </w:pPr>
      <w:r w:rsidRPr="00771368">
        <w:rPr>
          <w:sz w:val="24"/>
          <w:szCs w:val="24"/>
        </w:rPr>
        <w:t>Há também, por obra da natureza e para a conservação das espécies, um ser que ordena e um ser que obedece. Porque aquele que possui inteligência capaz de previsão tem naturalmente autoridade e poder de chefe; o que nada mais possui além de a força física para executar, deve, forçosamente, obedecer e servir [...]. (ARISTÓTELES, 2006, p.11)</w:t>
      </w:r>
    </w:p>
    <w:p w:rsidR="00D24E61" w:rsidRPr="00771368" w:rsidRDefault="00D24E61">
      <w:pPr>
        <w:spacing w:line="200" w:lineRule="exact"/>
        <w:rPr>
          <w:sz w:val="20"/>
          <w:szCs w:val="20"/>
        </w:rPr>
      </w:pPr>
    </w:p>
    <w:p w:rsidR="00D24E61" w:rsidRPr="00771368" w:rsidRDefault="00D24E61">
      <w:pPr>
        <w:spacing w:line="289"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Esse filósofo, e tantos outros, entendiam a inferioridade e submissão da mulher como algo natural, próprio do ser humano, já que o homem, nessa visão, é dotado de inteligência e força superior à mulher.</w:t>
      </w:r>
    </w:p>
    <w:p w:rsidR="00D24E61" w:rsidRPr="00771368" w:rsidRDefault="00D24E61">
      <w:pPr>
        <w:spacing w:line="89" w:lineRule="exact"/>
        <w:rPr>
          <w:sz w:val="20"/>
          <w:szCs w:val="20"/>
        </w:rPr>
      </w:pPr>
    </w:p>
    <w:p w:rsidR="00D24E61" w:rsidRPr="00771368" w:rsidRDefault="00D24E61">
      <w:pPr>
        <w:spacing w:line="347" w:lineRule="auto"/>
        <w:ind w:firstLine="708"/>
        <w:jc w:val="both"/>
        <w:rPr>
          <w:sz w:val="20"/>
          <w:szCs w:val="20"/>
        </w:rPr>
      </w:pPr>
      <w:r w:rsidRPr="00771368">
        <w:rPr>
          <w:sz w:val="24"/>
          <w:szCs w:val="24"/>
        </w:rPr>
        <w:t>Com o advento do capitalismo, através da revolução industrial, a utilização da força de trabalho feminina encontrou sérios impedimentos, como o oferecimento de posições subalternas, intensificação do trabalho, salários extremamente baixos e extensão da jornada de trabalho; fazendo com que a mulher sofresse com o processo de marginalização do sistema produtivo.</w:t>
      </w:r>
    </w:p>
    <w:p w:rsidR="00D24E61" w:rsidRPr="00771368" w:rsidRDefault="00D24E61">
      <w:pPr>
        <w:spacing w:line="76"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Além de ser socialmente vista como um ser inferior ao homem, de ter salários mais baixos, dupla jornada de trabalho e obrigação de satisfazer todas as necessidades do marido, a mulher era negligenciada com relação à educação. Por não serem preparadas para o exercício de uma profissão, a elas cabe apenas terminar a escolarização média e começar a trabalhar como vendedora ou escrituraria, esperando pelo casamento.</w:t>
      </w:r>
    </w:p>
    <w:p w:rsidR="00D24E61" w:rsidRPr="00771368" w:rsidRDefault="00D24E61">
      <w:pPr>
        <w:spacing w:line="29" w:lineRule="exact"/>
        <w:rPr>
          <w:sz w:val="20"/>
          <w:szCs w:val="20"/>
        </w:rPr>
      </w:pPr>
    </w:p>
    <w:p w:rsidR="00D24E61" w:rsidRPr="00771368" w:rsidRDefault="00D24E61">
      <w:pPr>
        <w:spacing w:line="347" w:lineRule="auto"/>
        <w:ind w:firstLine="708"/>
        <w:jc w:val="both"/>
        <w:rPr>
          <w:sz w:val="20"/>
          <w:szCs w:val="20"/>
        </w:rPr>
      </w:pPr>
      <w:r w:rsidRPr="00771368">
        <w:rPr>
          <w:sz w:val="24"/>
          <w:szCs w:val="24"/>
        </w:rPr>
        <w:t>Nesse contexto nasce a luta das mulheres por melhores condições de trabalho, igualdade de jornada de trabalho para homens e mulheres; direitos trabalhistas e escolas para seus filhos; direito ao voto, etc. Lutou-se também pelo direito à maternidade, por entender que a mulher deveria possuir o poder sobre seu próprio corpo, e o momento que mais lhe aprouvesse ter um filho, ou até mesmo de não o ter.</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rPr>
          <w:sz w:val="20"/>
          <w:szCs w:val="20"/>
        </w:rPr>
      </w:pPr>
      <w:r w:rsidRPr="00771368">
        <w:rPr>
          <w:b/>
          <w:bCs/>
          <w:sz w:val="24"/>
          <w:szCs w:val="24"/>
        </w:rPr>
        <w:t>Lutas e conquistas de direitos na sociedade brasileira</w:t>
      </w:r>
    </w:p>
    <w:p w:rsidR="00D24E61" w:rsidRPr="00771368" w:rsidRDefault="00D24E61">
      <w:pPr>
        <w:spacing w:line="190" w:lineRule="exact"/>
        <w:rPr>
          <w:sz w:val="20"/>
          <w:szCs w:val="20"/>
        </w:rPr>
      </w:pPr>
    </w:p>
    <w:p w:rsidR="00D24E61" w:rsidRPr="00771368" w:rsidRDefault="00D24E61">
      <w:pPr>
        <w:spacing w:line="350" w:lineRule="auto"/>
        <w:ind w:firstLine="708"/>
        <w:jc w:val="both"/>
        <w:rPr>
          <w:sz w:val="20"/>
          <w:szCs w:val="20"/>
        </w:rPr>
      </w:pPr>
      <w:r w:rsidRPr="00771368">
        <w:rPr>
          <w:sz w:val="24"/>
          <w:szCs w:val="24"/>
        </w:rPr>
        <w:t>A história da mulher no Brasil possui características peculiares, pois além da mesma sofrer com a desigualdade de gênero, ela também está inserida em uma nação economicamente dependente. Assim, se na Europa e Estados Unidos - potências econômicas e nações que mantém uma relação de dominação para com a maioria dos países - a luta feminina já encontra grandes entraves, no Brasil tem o agravante da dominação das potências mundiais sobre esse país.</w:t>
      </w:r>
    </w:p>
    <w:p w:rsidR="00D24E61" w:rsidRPr="00771368" w:rsidRDefault="00D24E61">
      <w:pPr>
        <w:spacing w:line="70"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Neste cotidiano pautado pela desigualdade, muitas mulheres começam a se perceber como dominadas e resolvem fazer o enfrentamento. Tomam coragem e criam estratégias para lutar por respeito e melhores condições de vida.</w:t>
      </w:r>
    </w:p>
    <w:p w:rsidR="00D24E61" w:rsidRPr="00771368" w:rsidRDefault="00D24E61">
      <w:pPr>
        <w:spacing w:line="91" w:lineRule="exact"/>
        <w:rPr>
          <w:sz w:val="20"/>
          <w:szCs w:val="20"/>
        </w:rPr>
      </w:pPr>
    </w:p>
    <w:p w:rsidR="00D24E61" w:rsidRPr="00771368" w:rsidRDefault="00D24E61">
      <w:pPr>
        <w:spacing w:line="347" w:lineRule="auto"/>
        <w:ind w:firstLine="708"/>
        <w:jc w:val="both"/>
        <w:rPr>
          <w:sz w:val="20"/>
          <w:szCs w:val="20"/>
        </w:rPr>
      </w:pPr>
      <w:r w:rsidRPr="00771368">
        <w:rPr>
          <w:sz w:val="24"/>
          <w:szCs w:val="24"/>
        </w:rPr>
        <w:t>Podemos afirmar que na história do Brasil, Nísia Floresta (1810-1885) foi a primeira mulher feminista a defender abertamente suas ideias, que tiveram influência européia, muito em parte por ter lá vivido 28 anos de sua vida e partilhado das lutas emancipatórias desenvolvidas na Europa. Contudo, a posição de Nísia teve maior repercussão no que dizia respeito à abolição, tendo organizado conferências pontuando a emancipação dos escravos.</w:t>
      </w:r>
    </w:p>
    <w:p w:rsidR="00D24E61" w:rsidRPr="00771368" w:rsidRDefault="00D24E61">
      <w:pPr>
        <w:spacing w:line="74"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Outro nome importante no movimento feminista brasileiro é o de Bertha Lutz (1894-1976). Assim como Nísia, estudou na Europa, onde teve contado com o movimento sufragista inglês, fato este que estimulou a posterior criação da Federação Brasileira pelo Progresso Feminino, fundada em 1922 e que tinha por objetivo a luta pelos direitos da mulher.</w:t>
      </w:r>
    </w:p>
    <w:p w:rsidR="00D24E61" w:rsidRPr="00771368" w:rsidRDefault="00D24E61">
      <w:pPr>
        <w:spacing w:line="84" w:lineRule="exact"/>
        <w:rPr>
          <w:sz w:val="20"/>
          <w:szCs w:val="20"/>
        </w:rPr>
      </w:pPr>
    </w:p>
    <w:p w:rsidR="00D24E61" w:rsidRPr="00771368" w:rsidRDefault="00D24E61">
      <w:pPr>
        <w:spacing w:line="349" w:lineRule="auto"/>
        <w:ind w:right="20" w:firstLine="708"/>
        <w:jc w:val="both"/>
        <w:rPr>
          <w:sz w:val="20"/>
          <w:szCs w:val="20"/>
        </w:rPr>
      </w:pPr>
      <w:r w:rsidRPr="00771368">
        <w:rPr>
          <w:sz w:val="24"/>
          <w:szCs w:val="24"/>
        </w:rPr>
        <w:t>Bertha Lutz muito lutou por mudanças na legislação trabalhista, no que se refere ao trabalho infantil, feminino, redução da jornada de trabalho para as mulheres, que no presente momento tinham uma carga diária de 13 horas, igualdade salarial e proteção à maternidade. Além disso, sua luta foi também pela liberdade feminina em escolher sua profissão; elevação do nível de instrução feminina; assegurar a mulher os direitos políticos, juntamente com a possibilidade de a mesma exercer seus direitos.</w:t>
      </w:r>
    </w:p>
    <w:p w:rsidR="00D24E61" w:rsidRPr="00771368" w:rsidRDefault="00D24E61">
      <w:pPr>
        <w:spacing w:line="76" w:lineRule="exact"/>
        <w:rPr>
          <w:sz w:val="20"/>
          <w:szCs w:val="20"/>
        </w:rPr>
      </w:pPr>
    </w:p>
    <w:p w:rsidR="00D24E61" w:rsidRPr="00771368" w:rsidRDefault="00D24E61">
      <w:pPr>
        <w:spacing w:line="334" w:lineRule="auto"/>
        <w:ind w:firstLine="708"/>
        <w:jc w:val="both"/>
        <w:rPr>
          <w:sz w:val="20"/>
          <w:szCs w:val="20"/>
        </w:rPr>
      </w:pPr>
      <w:r w:rsidRPr="00771368">
        <w:rPr>
          <w:sz w:val="24"/>
          <w:szCs w:val="24"/>
        </w:rPr>
        <w:t>Foi apenas em 1932, sob o governo do então Presidente Getúlio Vargas que as mulheres conquistaram o direito ao voto, através do Código Eleitoral Brasileiro. Tal conquista não foi efetivada na sua totalidade, considerando que a Lei Magna ainda não tinha adicionado</w:t>
      </w:r>
    </w:p>
    <w:p w:rsidR="00D24E61" w:rsidRPr="00771368" w:rsidRDefault="00283E5E">
      <w:pPr>
        <w:spacing w:line="29" w:lineRule="exact"/>
        <w:rPr>
          <w:sz w:val="20"/>
          <w:szCs w:val="20"/>
        </w:rPr>
      </w:pPr>
      <w:r>
        <w:rPr>
          <w:sz w:val="20"/>
          <w:szCs w:val="20"/>
        </w:rPr>
        <w:t xml:space="preserve"> </w:t>
      </w:r>
    </w:p>
    <w:p w:rsidR="00D24E61" w:rsidRPr="00771368" w:rsidRDefault="00D24E61">
      <w:pPr>
        <w:spacing w:line="308" w:lineRule="auto"/>
        <w:ind w:right="20"/>
        <w:jc w:val="both"/>
        <w:rPr>
          <w:sz w:val="20"/>
          <w:szCs w:val="20"/>
        </w:rPr>
      </w:pPr>
      <w:r w:rsidRPr="00771368">
        <w:rPr>
          <w:sz w:val="24"/>
          <w:szCs w:val="24"/>
        </w:rPr>
        <w:t>o principio do sufrágio universal, que atingiria todas as pessoas, independente de sua condição social, cor ou sexo.</w:t>
      </w:r>
    </w:p>
    <w:p w:rsidR="00D24E61" w:rsidRPr="00771368" w:rsidRDefault="00D24E61">
      <w:pPr>
        <w:spacing w:line="120" w:lineRule="exact"/>
        <w:rPr>
          <w:sz w:val="20"/>
          <w:szCs w:val="20"/>
        </w:rPr>
      </w:pPr>
    </w:p>
    <w:p w:rsidR="00D24E61" w:rsidRPr="00771368" w:rsidRDefault="00D24E61">
      <w:pPr>
        <w:spacing w:line="349" w:lineRule="auto"/>
        <w:ind w:right="20" w:firstLine="708"/>
        <w:jc w:val="both"/>
        <w:rPr>
          <w:sz w:val="20"/>
          <w:szCs w:val="20"/>
        </w:rPr>
      </w:pPr>
      <w:r w:rsidRPr="00771368">
        <w:rPr>
          <w:sz w:val="24"/>
          <w:szCs w:val="24"/>
        </w:rPr>
        <w:t>E é neste cotidiano repleto de contradições que as mulheres protagonizam suas lutas, como dito anteriormente. Pode parecer, em um primeiro momento, contraditório o fato de se realizarem manifestações em um período tão difícil de expor as ideias. Contudo, é justamente por isso, por haver dificuldades e sofrimentos diversos, que as respostas para as resoluções dos conflitos vêem à tona, no próprio conflito. São estas contradições que oportunizam os elementos para a superação das dificuldades.</w:t>
      </w:r>
    </w:p>
    <w:p w:rsidR="00D24E61" w:rsidRPr="00771368" w:rsidRDefault="00D24E61">
      <w:pPr>
        <w:spacing w:line="77"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No período em que se seguiu o regime de ditadura militar no Brasil (1964-1985), a população brasileira foi obrigada a viver muda, sem poder clamar claramente pelos seus direitos.</w:t>
      </w:r>
    </w:p>
    <w:p w:rsidR="00D24E61" w:rsidRPr="00771368" w:rsidRDefault="00D24E61">
      <w:pPr>
        <w:spacing w:line="89"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As mulheres que viveram nesse período, e que lutaram juntamente com os homens, pelo fim da ditadura, sofreram duplamente: por ser oposição ao governo e por ser mulher. Dentro dos movimentos aos quais fazia parte, lutavam por se afirmar enquanto parte integrante. Entretanto, mesmo com todas as diferenças, muitas foram as mulheres que lutaram bravamente e lado a lado com os homens, ocupando os espaços historicamente masculinos, tanto públicos quanto políticos</w:t>
      </w:r>
    </w:p>
    <w:p w:rsidR="00D24E61" w:rsidRPr="00771368" w:rsidRDefault="00D24E61">
      <w:pPr>
        <w:spacing w:line="70"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Na década de 1980, já com visíveis sinais do final da ditadura militar, nasce a Central Única dos Trabalhadores – CUT, e nesse espaço o feminismo ganha maior visibilidade, com o surgimento da Comissão Nacional da Mulher Trabalhadora –CNMT por meio da CUT, as mulheres puderam organizar congressos, onde milhares de trabalhadoras, tanto da cidade quando do campo se uniam para reivindicar direitos específicos para a mulher e também para toda a classe trabalhadora.</w:t>
      </w:r>
    </w:p>
    <w:p w:rsidR="00D24E61" w:rsidRPr="00771368" w:rsidRDefault="00D24E61">
      <w:pPr>
        <w:spacing w:line="69" w:lineRule="exact"/>
        <w:rPr>
          <w:sz w:val="20"/>
          <w:szCs w:val="20"/>
        </w:rPr>
      </w:pPr>
    </w:p>
    <w:p w:rsidR="00D24E61" w:rsidRPr="00771368" w:rsidRDefault="00D24E61">
      <w:pPr>
        <w:spacing w:line="342" w:lineRule="auto"/>
        <w:ind w:firstLine="708"/>
        <w:jc w:val="both"/>
        <w:rPr>
          <w:sz w:val="20"/>
          <w:szCs w:val="20"/>
        </w:rPr>
      </w:pPr>
      <w:r w:rsidRPr="00771368">
        <w:rPr>
          <w:sz w:val="24"/>
          <w:szCs w:val="24"/>
        </w:rPr>
        <w:t>Com o fim da ditadura militar, em 1985, a luta pela democracia nas relações de gênero cresceu, culminando na conquista por igualdade jurídica, em 1988 com a Constituição Federal. Este foi um marco importante para a consolidação dos direitos da mulher, que historicamente foram ignorados, sempre atrelados aos direitos do homem.</w:t>
      </w:r>
    </w:p>
    <w:p w:rsidR="00D24E61" w:rsidRPr="00771368" w:rsidRDefault="00D24E61">
      <w:pPr>
        <w:spacing w:line="84" w:lineRule="exact"/>
        <w:rPr>
          <w:sz w:val="20"/>
          <w:szCs w:val="20"/>
        </w:rPr>
      </w:pPr>
    </w:p>
    <w:p w:rsidR="00D24E61" w:rsidRPr="00771368" w:rsidRDefault="00D24E61">
      <w:pPr>
        <w:spacing w:line="349" w:lineRule="auto"/>
        <w:ind w:right="20" w:firstLine="708"/>
        <w:jc w:val="both"/>
        <w:rPr>
          <w:sz w:val="20"/>
          <w:szCs w:val="20"/>
        </w:rPr>
      </w:pPr>
      <w:r w:rsidRPr="00771368">
        <w:rPr>
          <w:sz w:val="24"/>
          <w:szCs w:val="24"/>
        </w:rPr>
        <w:t>No ano 2000, a ONU reconheceu através do Relatório dos Direitos Humanos o quão importante é a ascensão da igualdade entre homens e mulheres. Chegou-se a conclusão, através desse relatório, que a discriminação historicamente sofrida pela mulher foi uma das causas do impacto negativo que se seguiu ao crescimento social e também econômico. Contudo, houve ainda certa dificuldade na prática do conteúdo da Constituição Federal, considerando que esta ia de encontro com o Código Civil em vigor.</w:t>
      </w:r>
    </w:p>
    <w:p w:rsidR="00D24E61" w:rsidRPr="00771368" w:rsidRDefault="00D24E61">
      <w:pPr>
        <w:spacing w:line="29"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 Lei nº 10.406 de 10 de janeiro de 2002, intitulada como o novo Código Civil, veio para substituir o Código Civil de 1916, e acabou com as discrepâncias existentes entre os dois ornamentos jurídicos. No novo código, mulheres e homens têm as mesmas obrigações e poder decisório, principalmente no âmbito familiar, o que se mostra como uma grande conquista feminina.</w:t>
      </w:r>
    </w:p>
    <w:p w:rsidR="00D24E61" w:rsidRPr="00771368" w:rsidRDefault="00D24E61">
      <w:pPr>
        <w:spacing w:line="74"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Por meio de muitas lutas as mulheres conquistaram vários espaços: nas escolas, nas profissões historicamente masculinas como as engenharias, medicina e direito, na política (tanto no legislativo como no executivo e judiciário), bem como conquistaram o direito a licença maternidade e carga horária de oito horas diárias de trabalho.</w:t>
      </w:r>
    </w:p>
    <w:p w:rsidR="00D24E61" w:rsidRPr="00771368" w:rsidRDefault="00D24E61">
      <w:pPr>
        <w:spacing w:line="79"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Poderíamos citar como um grande exemplo de conquista de espaço político, a atual presidente Dilma Rousseff, mulher que lutou pela democratização do Brasil no período da Ditadura Militar e passou, como tantas outras, pelos sofrimentos, medos e incertezas daquele período. Eleita em 2010 recebeu mais de 50% dos votos válidos, o equivalente a mais de 55 milhões.</w:t>
      </w:r>
    </w:p>
    <w:p w:rsidR="00D24E61" w:rsidRPr="00771368" w:rsidRDefault="00D24E61">
      <w:pPr>
        <w:spacing w:line="76" w:lineRule="exact"/>
        <w:rPr>
          <w:sz w:val="20"/>
          <w:szCs w:val="20"/>
        </w:rPr>
      </w:pPr>
    </w:p>
    <w:p w:rsidR="00D24E61" w:rsidRPr="00771368" w:rsidRDefault="00D24E61">
      <w:pPr>
        <w:spacing w:line="347" w:lineRule="auto"/>
        <w:ind w:firstLine="708"/>
        <w:jc w:val="both"/>
        <w:rPr>
          <w:sz w:val="20"/>
          <w:szCs w:val="20"/>
        </w:rPr>
      </w:pPr>
      <w:r w:rsidRPr="00771368">
        <w:rPr>
          <w:sz w:val="24"/>
          <w:szCs w:val="24"/>
        </w:rPr>
        <w:t>Este fato é visto como um avanço na democracia do Brasil. Contudo, a luta pela garantia de direitos está longe do fim, pois vivemos em um sistema capitalista, que por si só já é excludente. Toledo (2001, p.93) assegura que “apesar de ter criado as condições para sua emancipação, o capitalismo acirrou a opressão da mulher, ao combiná-la com a exploração e a dupla jornada de trabalho e ao criar novas formas de opressão”.</w:t>
      </w:r>
    </w:p>
    <w:p w:rsidR="00D24E61" w:rsidRPr="00771368" w:rsidRDefault="00D24E61">
      <w:pPr>
        <w:spacing w:line="74"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Desta forma, quanto mais esse sistema se consolida, mais se consolidam as diferenças e explorações de uma classe social sobre a outra, e a questão de gênero se torna um problema por estar fundamentada no capitalismo e na divisão da nossa sociedade em dois grupos: os que exploram e os que são explorados, ou opressores e oprimidos.</w:t>
      </w:r>
    </w:p>
    <w:p w:rsidR="00D24E61" w:rsidRPr="00771368" w:rsidRDefault="00D24E61">
      <w:pPr>
        <w:spacing w:line="78"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Nesta perspectiva, mesmo com todos os avanços, a mulher trava ainda hoje uma luta pela consolidação e implantação efetiva dos seus direitos, e o Estado, mesmo que de forma parcial, cria programas de atendimento à mulher, na ótica de garantia de direitos.</w:t>
      </w:r>
    </w:p>
    <w:p w:rsidR="00D24E61" w:rsidRPr="00771368" w:rsidRDefault="00D24E61">
      <w:pPr>
        <w:spacing w:line="200" w:lineRule="exact"/>
        <w:rPr>
          <w:sz w:val="20"/>
          <w:szCs w:val="20"/>
        </w:rPr>
      </w:pPr>
    </w:p>
    <w:p w:rsidR="00D24E61" w:rsidRPr="00771368" w:rsidRDefault="00D24E61">
      <w:pPr>
        <w:spacing w:line="251" w:lineRule="exact"/>
        <w:rPr>
          <w:sz w:val="20"/>
          <w:szCs w:val="20"/>
        </w:rPr>
      </w:pPr>
    </w:p>
    <w:p w:rsidR="00D24E61" w:rsidRPr="00771368" w:rsidRDefault="00D24E61">
      <w:pPr>
        <w:rPr>
          <w:sz w:val="20"/>
          <w:szCs w:val="20"/>
        </w:rPr>
      </w:pPr>
      <w:r w:rsidRPr="00771368">
        <w:rPr>
          <w:b/>
          <w:bCs/>
          <w:sz w:val="24"/>
          <w:szCs w:val="24"/>
        </w:rPr>
        <w:t>Articulações de enfrentamento a violência no município de Curitiba</w:t>
      </w:r>
    </w:p>
    <w:p w:rsidR="00D24E61" w:rsidRPr="00771368" w:rsidRDefault="00D24E61">
      <w:pPr>
        <w:spacing w:line="190" w:lineRule="exact"/>
        <w:rPr>
          <w:sz w:val="20"/>
          <w:szCs w:val="20"/>
        </w:rPr>
      </w:pPr>
    </w:p>
    <w:p w:rsidR="00D24E61" w:rsidRPr="00771368" w:rsidRDefault="00D24E61">
      <w:pPr>
        <w:spacing w:line="350" w:lineRule="auto"/>
        <w:ind w:firstLine="708"/>
        <w:jc w:val="both"/>
        <w:rPr>
          <w:sz w:val="20"/>
          <w:szCs w:val="20"/>
        </w:rPr>
      </w:pPr>
      <w:r w:rsidRPr="00771368">
        <w:rPr>
          <w:sz w:val="24"/>
          <w:szCs w:val="24"/>
        </w:rPr>
        <w:t>O reconhecimento da violência contra a mulher como tema relevante e carente de ações na sociedade atual, teve reflexo no Estado do Paraná. Exemplo disso é a atuação da Coordenadoria dos Direitos e da Cidadania – CODIC, constituindo-se desde 2003 uma unidade de execução programática da Secretaria do Estado da Justiça e da Cidadania. No âmbito da CODIC, existe o Conselho Estadual da Mulher no Paraná – CEMPR, que tem por objetivo promover, a nível estadual, políticas que visem eliminar toda e qualquer forma de</w:t>
      </w:r>
    </w:p>
    <w:p w:rsidR="00D24E61" w:rsidRPr="00771368" w:rsidRDefault="00283E5E">
      <w:pPr>
        <w:spacing w:line="29" w:lineRule="exact"/>
        <w:rPr>
          <w:sz w:val="20"/>
          <w:szCs w:val="20"/>
        </w:rPr>
      </w:pPr>
      <w:r>
        <w:rPr>
          <w:sz w:val="20"/>
          <w:szCs w:val="20"/>
        </w:rPr>
        <w:t xml:space="preserve"> </w:t>
      </w:r>
    </w:p>
    <w:p w:rsidR="00D24E61" w:rsidRPr="00771368" w:rsidRDefault="00D24E61">
      <w:pPr>
        <w:spacing w:line="308" w:lineRule="auto"/>
        <w:ind w:right="20"/>
        <w:jc w:val="both"/>
        <w:rPr>
          <w:sz w:val="20"/>
          <w:szCs w:val="20"/>
        </w:rPr>
      </w:pPr>
      <w:r w:rsidRPr="00771368">
        <w:rPr>
          <w:sz w:val="24"/>
          <w:szCs w:val="24"/>
        </w:rPr>
        <w:t>discriminação contra a mulher, assegurando a esta condições de liberdade e de igualdade de direitos, dentre eles o de poder gozar de convivência pacífica e comunitária.</w:t>
      </w:r>
    </w:p>
    <w:p w:rsidR="00D24E61" w:rsidRPr="00771368" w:rsidRDefault="00D24E61">
      <w:pPr>
        <w:spacing w:line="120" w:lineRule="exact"/>
        <w:rPr>
          <w:sz w:val="20"/>
          <w:szCs w:val="20"/>
        </w:rPr>
      </w:pPr>
    </w:p>
    <w:p w:rsidR="00D24E61" w:rsidRPr="00771368" w:rsidRDefault="00D24E61">
      <w:pPr>
        <w:spacing w:line="347" w:lineRule="auto"/>
        <w:ind w:firstLine="708"/>
        <w:jc w:val="both"/>
        <w:rPr>
          <w:sz w:val="20"/>
          <w:szCs w:val="20"/>
        </w:rPr>
      </w:pPr>
      <w:r w:rsidRPr="00771368">
        <w:rPr>
          <w:sz w:val="24"/>
          <w:szCs w:val="24"/>
        </w:rPr>
        <w:t>O município de Curitiba, por meio do poder executivo e como estratégia de ação para assuntos relacionados à violência contra a mulher criou no ano de 2002 o Programa Mulher de Verdade – PMV. Este programa, vinculado a Secretaria Municipal de Saúde - SMS tem como função articular a rede de atendimento à mulher vítima de violência, dando direcionamento às ações desenvolvidas pelas instituições participantes.</w:t>
      </w:r>
    </w:p>
    <w:p w:rsidR="00D24E61" w:rsidRPr="00771368" w:rsidRDefault="00D24E61">
      <w:pPr>
        <w:spacing w:line="74" w:lineRule="exact"/>
        <w:rPr>
          <w:sz w:val="20"/>
          <w:szCs w:val="20"/>
        </w:rPr>
      </w:pPr>
    </w:p>
    <w:p w:rsidR="00D24E61" w:rsidRPr="00771368" w:rsidRDefault="00D24E61">
      <w:pPr>
        <w:spacing w:line="350" w:lineRule="auto"/>
        <w:ind w:firstLine="708"/>
        <w:jc w:val="both"/>
        <w:rPr>
          <w:sz w:val="20"/>
          <w:szCs w:val="20"/>
        </w:rPr>
      </w:pPr>
      <w:r w:rsidRPr="00771368">
        <w:rPr>
          <w:sz w:val="24"/>
          <w:szCs w:val="24"/>
        </w:rPr>
        <w:t>Atualmente, o Programa Mulher de Verdade possui uma rede de atenção à mulher em situação de violência, constituindo-se como ferramenta importante no suporte e atendimento às mulheres curitibanas que se encontram em situação de vulnerabilidade, e é composta por inúmeras instituições, de diferentes naturezas, englobando a Segurança Pública, Poder Judiciário, Assistência Social, Saúde, Educação, e sociedade civil organizada, por meio dos Conselhos.</w:t>
      </w:r>
    </w:p>
    <w:p w:rsidR="00D24E61" w:rsidRPr="00771368" w:rsidRDefault="00D24E61">
      <w:pPr>
        <w:spacing w:line="70"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Objetivando verificar a atual situação destas instituições, bem como em que medida a política de defesa de direitos se efetiva na prática, fez-se necessário um processo investigativo, por meio de coleta de dados empíricos.</w:t>
      </w:r>
    </w:p>
    <w:p w:rsidR="00D24E61" w:rsidRPr="00771368" w:rsidRDefault="00D24E61">
      <w:pPr>
        <w:spacing w:line="200" w:lineRule="exact"/>
        <w:rPr>
          <w:sz w:val="20"/>
          <w:szCs w:val="20"/>
        </w:rPr>
      </w:pPr>
    </w:p>
    <w:p w:rsidR="00D24E61" w:rsidRPr="00771368" w:rsidRDefault="00D24E61">
      <w:pPr>
        <w:spacing w:line="251" w:lineRule="exact"/>
        <w:rPr>
          <w:sz w:val="20"/>
          <w:szCs w:val="20"/>
        </w:rPr>
      </w:pPr>
    </w:p>
    <w:p w:rsidR="00D24E61" w:rsidRPr="00771368" w:rsidRDefault="00D24E61">
      <w:pPr>
        <w:rPr>
          <w:sz w:val="20"/>
          <w:szCs w:val="20"/>
        </w:rPr>
      </w:pPr>
      <w:r w:rsidRPr="00771368">
        <w:rPr>
          <w:b/>
          <w:bCs/>
          <w:sz w:val="24"/>
          <w:szCs w:val="24"/>
        </w:rPr>
        <w:t>Resultados e análise da pesquisa</w:t>
      </w:r>
    </w:p>
    <w:p w:rsidR="00D24E61" w:rsidRPr="00771368" w:rsidRDefault="00D24E61">
      <w:pPr>
        <w:spacing w:line="139" w:lineRule="exact"/>
        <w:rPr>
          <w:sz w:val="20"/>
          <w:szCs w:val="20"/>
        </w:rPr>
      </w:pPr>
    </w:p>
    <w:p w:rsidR="00D24E61" w:rsidRPr="00771368" w:rsidRDefault="00D24E61">
      <w:pPr>
        <w:rPr>
          <w:sz w:val="20"/>
          <w:szCs w:val="20"/>
        </w:rPr>
      </w:pPr>
      <w:r w:rsidRPr="00771368">
        <w:rPr>
          <w:b/>
          <w:bCs/>
          <w:sz w:val="24"/>
          <w:szCs w:val="24"/>
        </w:rPr>
        <w:t>- dificuldades e limitações na efetivação do Programa Mulher de Verdade</w:t>
      </w:r>
    </w:p>
    <w:p w:rsidR="00D24E61" w:rsidRPr="00771368" w:rsidRDefault="00D24E61">
      <w:pPr>
        <w:spacing w:line="190" w:lineRule="exact"/>
        <w:rPr>
          <w:sz w:val="20"/>
          <w:szCs w:val="20"/>
        </w:rPr>
      </w:pPr>
    </w:p>
    <w:p w:rsidR="00D24E61" w:rsidRPr="00771368" w:rsidRDefault="00D24E61">
      <w:pPr>
        <w:spacing w:line="352" w:lineRule="auto"/>
        <w:ind w:firstLine="708"/>
        <w:jc w:val="both"/>
        <w:rPr>
          <w:sz w:val="20"/>
          <w:szCs w:val="20"/>
        </w:rPr>
      </w:pPr>
      <w:r w:rsidRPr="00771368">
        <w:rPr>
          <w:sz w:val="24"/>
          <w:szCs w:val="24"/>
        </w:rPr>
        <w:t>Quando questionados quanto à prática efetiva das propostas do Programa Mulher de Verdade, percebemos que as maiores dificuldades elencadas pelos entrevistados que trabalham em hospitais, no que tange ao atendimento à mulher vitimizada que chega até o local, é o fluxo de informações desencontradas entre os profissionais. A falta de comprometimento entre a equipe multiprofissional bem como o déficit de recursos humanos e financeiros dificulta o trabalho contínuo junto às vítimas. A prioridade é o atendimento à saúde, atendida essa necessidade, e preservada o bem-estar e a vida, a instituição não prioriza os demais atendimentos.</w:t>
      </w:r>
    </w:p>
    <w:p w:rsidR="00D24E61" w:rsidRPr="00771368" w:rsidRDefault="00D24E61">
      <w:pPr>
        <w:spacing w:line="7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Infelizmente esta realidade não se restringe apenas as instituições que foram objetos de pesquisa no município de Curitiba. Considerando que na sociedade atual, aonde a competitividade vem antes do bem-estar comum, ações que não estejam diretamente ligadas à produtividade, rotatividade e rentabilidade institucional não possuem visibilidade e, em alguns casos, não comparecem como interesse institucional.</w:t>
      </w:r>
    </w:p>
    <w:p w:rsidR="00D24E61" w:rsidRPr="00771368" w:rsidRDefault="00D24E61">
      <w:pPr>
        <w:spacing w:line="74" w:lineRule="exact"/>
        <w:rPr>
          <w:sz w:val="20"/>
          <w:szCs w:val="20"/>
        </w:rPr>
      </w:pPr>
    </w:p>
    <w:p w:rsidR="00D24E61" w:rsidRPr="00771368" w:rsidRDefault="00D24E61">
      <w:pPr>
        <w:spacing w:line="310" w:lineRule="auto"/>
        <w:ind w:right="20" w:firstLine="708"/>
        <w:jc w:val="both"/>
        <w:rPr>
          <w:sz w:val="20"/>
          <w:szCs w:val="20"/>
        </w:rPr>
      </w:pPr>
      <w:r w:rsidRPr="00771368">
        <w:rPr>
          <w:sz w:val="24"/>
          <w:szCs w:val="24"/>
        </w:rPr>
        <w:t>Entendemos e compreendemos que as instituições de saúde devem mesmo priorizar o atendimento a preservação da vida, contudo é necessário ampliar essa compreensão, pois</w:t>
      </w:r>
    </w:p>
    <w:p w:rsidR="00D24E61" w:rsidRPr="00771368" w:rsidRDefault="00283E5E">
      <w:pPr>
        <w:spacing w:line="29" w:lineRule="exact"/>
        <w:rPr>
          <w:sz w:val="20"/>
          <w:szCs w:val="20"/>
        </w:rPr>
      </w:pPr>
      <w:r>
        <w:rPr>
          <w:sz w:val="20"/>
          <w:szCs w:val="20"/>
        </w:rPr>
        <w:t xml:space="preserve"> </w:t>
      </w:r>
    </w:p>
    <w:p w:rsidR="00D24E61" w:rsidRPr="00771368" w:rsidRDefault="00D24E61">
      <w:pPr>
        <w:spacing w:line="308" w:lineRule="auto"/>
        <w:ind w:right="20"/>
        <w:jc w:val="both"/>
        <w:rPr>
          <w:sz w:val="20"/>
          <w:szCs w:val="20"/>
        </w:rPr>
      </w:pPr>
      <w:r w:rsidRPr="00771368">
        <w:rPr>
          <w:sz w:val="24"/>
          <w:szCs w:val="24"/>
        </w:rPr>
        <w:t>essas instituições são fundamentais para o mapeamento da violência, que afeta a integridade física das mulheres. Neste sentido, tais instituições não podem se eximir de sua função social.</w:t>
      </w:r>
    </w:p>
    <w:p w:rsidR="00D24E61" w:rsidRPr="00771368" w:rsidRDefault="00D24E61">
      <w:pPr>
        <w:spacing w:line="200" w:lineRule="exact"/>
        <w:rPr>
          <w:sz w:val="20"/>
          <w:szCs w:val="20"/>
        </w:rPr>
      </w:pPr>
    </w:p>
    <w:p w:rsidR="00D24E61" w:rsidRPr="00771368" w:rsidRDefault="00D24E61">
      <w:pPr>
        <w:spacing w:line="279" w:lineRule="exact"/>
        <w:rPr>
          <w:sz w:val="20"/>
          <w:szCs w:val="20"/>
        </w:rPr>
      </w:pPr>
    </w:p>
    <w:p w:rsidR="00D24E61" w:rsidRPr="00771368" w:rsidRDefault="00D24E61">
      <w:pPr>
        <w:rPr>
          <w:sz w:val="20"/>
          <w:szCs w:val="20"/>
        </w:rPr>
      </w:pPr>
      <w:r w:rsidRPr="00771368">
        <w:rPr>
          <w:b/>
          <w:bCs/>
          <w:sz w:val="24"/>
          <w:szCs w:val="24"/>
        </w:rPr>
        <w:t>- desconhecimento do Programa Mulher de Verdade pelas instituições partícipes</w:t>
      </w:r>
    </w:p>
    <w:p w:rsidR="00D24E61" w:rsidRPr="00771368" w:rsidRDefault="00D24E61">
      <w:pPr>
        <w:spacing w:line="193"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As instituições entrevistadas trouxeram uma realidade que vai de encontro com o proposto pela rede de atendimento à mulher vitimizada, exposta do PMV, que é a articulação intersetorial, visando ações conjuntas no combate à violência. Mesmo compondo a rede, muitos dos sujeitos envolvidos na pesquisa não a conhecem na sua totalidade, mantendo contato apenas com um número reduzido e limitado de instituições.</w:t>
      </w:r>
    </w:p>
    <w:p w:rsidR="00D24E61" w:rsidRPr="00771368" w:rsidRDefault="00D24E61">
      <w:pPr>
        <w:spacing w:line="74"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Isto pode trazer prejuízos na efetividade do programa que visa à proteção de mulheres vitimizadas, visto que o desconhecimento da totalidade das instituições que compõe a rede e dos princípios, metas e objetivos traçados, podem acarretar em ações e encaminhamentos equivocados, e consequentemente resultar em mais prejuízos às mulheres vítimas de violência.</w:t>
      </w:r>
    </w:p>
    <w:p w:rsidR="00D24E61" w:rsidRPr="00771368" w:rsidRDefault="00D24E61">
      <w:pPr>
        <w:spacing w:line="76" w:lineRule="exact"/>
        <w:rPr>
          <w:sz w:val="20"/>
          <w:szCs w:val="20"/>
        </w:rPr>
      </w:pPr>
    </w:p>
    <w:p w:rsidR="00D24E61" w:rsidRPr="00771368" w:rsidRDefault="00D24E61">
      <w:pPr>
        <w:spacing w:line="349" w:lineRule="auto"/>
        <w:ind w:firstLine="708"/>
        <w:jc w:val="both"/>
        <w:rPr>
          <w:sz w:val="20"/>
          <w:szCs w:val="20"/>
        </w:rPr>
      </w:pPr>
      <w:r w:rsidRPr="00771368">
        <w:rPr>
          <w:sz w:val="24"/>
          <w:szCs w:val="24"/>
        </w:rPr>
        <w:t>Questionados sobre a existência ou não de encontros e fóruns de discussões sobre o tema “violência contra a mulher”, um dado que nos chamou a atenção e que consideramos muito significativo foi o fato de que, das quatro instituições que prestam atendimento na área da saúde, apenas um entrevistado relatou ter conhecimento e participar de reuniões mensais, que servem para debater as ações realizadas pelas instituições que compõe o Programa Mulher de Verdade.</w:t>
      </w:r>
    </w:p>
    <w:p w:rsidR="00D24E61" w:rsidRPr="00771368" w:rsidRDefault="00D24E61">
      <w:pPr>
        <w:spacing w:line="77"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Isto revela a ausência de prioridade por parte de algumas instituições que ficam focadas na ação em si, e não compreendem que a participação dos profissionais em eventos pode trazer contribuição, pois amplia o olhar, imprime qualidade em seu fazer profissional e traz visibilidade institucional.</w:t>
      </w:r>
    </w:p>
    <w:p w:rsidR="00D24E61" w:rsidRPr="00771368" w:rsidRDefault="00D24E61">
      <w:pPr>
        <w:spacing w:line="81"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Compreende-se dessa forma, que muitas das mulheres agredidas, ao procurar auxílio para a resolução dos seus problemas, acabam por sofrer dupla violência: primeiro pelo agressor, que na maioria dos casos é seu próprio companheiro ou pessoa do seu convívio; e segundo pela própria instituição, que por não realizarem investimento e capacitação de seu quadro funcional, conta com profissionais despreparados e sem qualificação específica para atuar com uma realidade tão adversa.</w:t>
      </w:r>
    </w:p>
    <w:p w:rsidR="00D24E61" w:rsidRPr="00771368" w:rsidRDefault="00D24E61">
      <w:pPr>
        <w:spacing w:line="200" w:lineRule="exact"/>
        <w:rPr>
          <w:sz w:val="20"/>
          <w:szCs w:val="20"/>
        </w:rPr>
      </w:pPr>
    </w:p>
    <w:p w:rsidR="00D24E61" w:rsidRPr="00771368" w:rsidRDefault="00D24E61">
      <w:pPr>
        <w:spacing w:line="231" w:lineRule="exact"/>
        <w:rPr>
          <w:sz w:val="20"/>
          <w:szCs w:val="20"/>
        </w:rPr>
      </w:pPr>
    </w:p>
    <w:p w:rsidR="00D24E61" w:rsidRPr="00771368" w:rsidRDefault="00D24E61">
      <w:pPr>
        <w:rPr>
          <w:sz w:val="20"/>
          <w:szCs w:val="20"/>
        </w:rPr>
      </w:pPr>
      <w:r w:rsidRPr="00771368">
        <w:rPr>
          <w:b/>
          <w:bCs/>
          <w:sz w:val="24"/>
          <w:szCs w:val="24"/>
        </w:rPr>
        <w:t>- situação das mulheres vítimas de violência após a aprovação da Lei Maria da Penha</w:t>
      </w:r>
    </w:p>
    <w:p w:rsidR="00D24E61" w:rsidRPr="00771368" w:rsidRDefault="00D24E61">
      <w:pPr>
        <w:spacing w:line="132" w:lineRule="exact"/>
        <w:rPr>
          <w:sz w:val="20"/>
          <w:szCs w:val="20"/>
        </w:rPr>
      </w:pPr>
    </w:p>
    <w:p w:rsidR="00D24E61" w:rsidRPr="00771368" w:rsidRDefault="00D24E61">
      <w:pPr>
        <w:ind w:left="700"/>
        <w:rPr>
          <w:sz w:val="20"/>
          <w:szCs w:val="20"/>
        </w:rPr>
      </w:pPr>
      <w:r w:rsidRPr="00771368">
        <w:rPr>
          <w:sz w:val="24"/>
          <w:szCs w:val="24"/>
        </w:rPr>
        <w:t>Avalia-se que após a aprovação da Lei n° 11.340/2006, a mulher vítima de Violência</w:t>
      </w:r>
    </w:p>
    <w:p w:rsidR="00D24E61" w:rsidRPr="00771368" w:rsidRDefault="00D24E61">
      <w:pPr>
        <w:spacing w:line="139" w:lineRule="exact"/>
        <w:rPr>
          <w:sz w:val="20"/>
          <w:szCs w:val="20"/>
        </w:rPr>
      </w:pPr>
    </w:p>
    <w:p w:rsidR="00D24E61" w:rsidRPr="00771368" w:rsidRDefault="00D24E61" w:rsidP="00283E5E">
      <w:pPr>
        <w:rPr>
          <w:sz w:val="20"/>
          <w:szCs w:val="20"/>
        </w:rPr>
      </w:pPr>
      <w:r w:rsidRPr="00771368">
        <w:rPr>
          <w:sz w:val="24"/>
          <w:szCs w:val="24"/>
        </w:rPr>
        <w:t>Doméstica e Familiar no município de Curitiba, conta com um aparato importante enquant</w:t>
      </w:r>
      <w:r w:rsidR="00283E5E">
        <w:rPr>
          <w:sz w:val="24"/>
          <w:szCs w:val="24"/>
        </w:rPr>
        <w:t xml:space="preserve">o </w:t>
      </w:r>
      <w:r w:rsidRPr="00771368">
        <w:rPr>
          <w:sz w:val="24"/>
          <w:szCs w:val="24"/>
        </w:rPr>
        <w:t>suporte de atendimento e assistência. Isto se evidencia pela existência da rede social de atendimento a essa demanda: Programa Mulher de Verdade.</w:t>
      </w:r>
    </w:p>
    <w:p w:rsidR="00D24E61" w:rsidRPr="00771368" w:rsidRDefault="00D24E61">
      <w:pPr>
        <w:spacing w:line="120"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Os pressupostos desse programa vão ao encontro do exposto na Lei Maria da Penha, em muitos aspectos. Dentre eles é possível citar a articulação operacional entre Poder Judiciário, Defensoria Pública, assistência social e saúde, órgãos importantes que ao agirem de forma conjunta, possibilitam à vítima maior amparo, tanto no que se refere ao cuidado com sua integridade física, quanto a sua integridade psicológica e social.</w:t>
      </w:r>
    </w:p>
    <w:p w:rsidR="00D24E61" w:rsidRPr="00771368" w:rsidRDefault="00D24E61">
      <w:pPr>
        <w:spacing w:line="74"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Todavia, esta articulação não é sinônimo de efetividade. Existe sim uma preocupação de abrangência intersetorial explicitada pelos pressupostos do PMV, mas no cotidiano de trabalho, a rede de atendimento não é efetiva em sua totalidade, como se pode verificar com o exposto até o momento.</w:t>
      </w:r>
    </w:p>
    <w:p w:rsidR="00D24E61" w:rsidRPr="00771368" w:rsidRDefault="00D24E61">
      <w:pPr>
        <w:spacing w:line="79"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Mesmo com as dificuldades enfrentadas e trazidas pelos entrevistados, é impossível negar que o surgimento da Lei Maria da Penha possibilitou um novo olhar sobre as inúmeras situações de violência contra a mulher, bem como novas formas de enfrentamento.</w:t>
      </w:r>
    </w:p>
    <w:p w:rsidR="00D24E61" w:rsidRPr="00771368" w:rsidRDefault="00D24E61">
      <w:pPr>
        <w:spacing w:line="91"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 criação da referida lei tipificou a violência doméstica e familiar contra a mulher, e a define como tal. Este tipo de violência é considerado agora como agravante de pena. Isso não ocorria nos anos anteriores a 2006, pois leis específicas que tratassem da mulher vitimizada eram inexistentes. Os casos de violência contra a mulher eram julgados pelos juizados especiais criminais sob a Lei n° 9.099/95, e estabeleciam penas de até dois anos, no máximo.</w:t>
      </w:r>
    </w:p>
    <w:p w:rsidR="00D24E61" w:rsidRPr="00771368" w:rsidRDefault="00D24E61">
      <w:pPr>
        <w:spacing w:line="74" w:lineRule="exact"/>
        <w:rPr>
          <w:sz w:val="20"/>
          <w:szCs w:val="20"/>
        </w:rPr>
      </w:pPr>
    </w:p>
    <w:p w:rsidR="00D24E61" w:rsidRPr="00771368" w:rsidRDefault="00D24E61">
      <w:pPr>
        <w:spacing w:line="341" w:lineRule="auto"/>
        <w:ind w:firstLine="708"/>
        <w:jc w:val="both"/>
        <w:rPr>
          <w:sz w:val="20"/>
          <w:szCs w:val="20"/>
        </w:rPr>
      </w:pPr>
      <w:r w:rsidRPr="00771368">
        <w:rPr>
          <w:sz w:val="24"/>
          <w:szCs w:val="24"/>
        </w:rPr>
        <w:t>Atualmente, os casos de violência são encaminhados e julgados no Juizado de Violência Doméstica e Familiar Contra a Mulher, sendo que no município de Curitiba sua operacionalização acontece na 13° Vara Criminal, abrangendo as questões cíveis e criminais. Dentre os mecanismos em que a mulher pode se valer para denunciar seu agressor, a população conta com a Central de Atendimento à Mulher, vinculada a SPM, com o número 180. Esta central foi criada em 2006, e desde sua criação, já contabilizou mais de 1.952.001 atendimentos.</w:t>
      </w:r>
      <w:r w:rsidRPr="00771368">
        <w:rPr>
          <w:sz w:val="32"/>
          <w:szCs w:val="32"/>
          <w:vertAlign w:val="superscript"/>
        </w:rPr>
        <w:t>3</w:t>
      </w:r>
      <w:r w:rsidRPr="00771368">
        <w:rPr>
          <w:sz w:val="24"/>
          <w:szCs w:val="24"/>
        </w:rPr>
        <w:t xml:space="preserve"> Em torno de 22,3% desses atendimentos diz respeito a dúvidas sobre a Lei Maria da Penha.</w:t>
      </w:r>
    </w:p>
    <w:p w:rsidR="00D24E61" w:rsidRPr="00771368" w:rsidRDefault="00D24E61">
      <w:pPr>
        <w:spacing w:line="45" w:lineRule="exact"/>
        <w:rPr>
          <w:sz w:val="20"/>
          <w:szCs w:val="20"/>
        </w:rPr>
      </w:pPr>
    </w:p>
    <w:p w:rsidR="00D24E61" w:rsidRPr="00771368" w:rsidRDefault="00013211">
      <w:pPr>
        <w:spacing w:line="342" w:lineRule="auto"/>
        <w:ind w:right="20" w:firstLine="708"/>
        <w:jc w:val="both"/>
        <w:rPr>
          <w:sz w:val="20"/>
          <w:szCs w:val="20"/>
        </w:rPr>
      </w:pPr>
      <w:r>
        <w:rPr>
          <w:noProof/>
          <w:sz w:val="20"/>
          <w:szCs w:val="20"/>
        </w:rPr>
        <mc:AlternateContent>
          <mc:Choice Requires="wps">
            <w:drawing>
              <wp:anchor distT="0" distB="0" distL="0" distR="0" simplePos="0" relativeHeight="251656704" behindDoc="0" locked="0" layoutInCell="0" allowOverlap="1">
                <wp:simplePos x="0" y="0"/>
                <wp:positionH relativeFrom="column">
                  <wp:posOffset>22225</wp:posOffset>
                </wp:positionH>
                <wp:positionV relativeFrom="paragraph">
                  <wp:posOffset>979170</wp:posOffset>
                </wp:positionV>
                <wp:extent cx="1828800" cy="0"/>
                <wp:effectExtent l="12700" t="7620" r="6350" b="11430"/>
                <wp:wrapNone/>
                <wp:docPr id="27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5pt,77.1pt" to="145.7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" o:allowincell="f" strokeweight=".6pt"/>
            </w:pict>
          </mc:Fallback>
        </mc:AlternateContent>
      </w:r>
      <w:r w:rsidR="00D24E61" w:rsidRPr="00771368">
        <w:rPr>
          <w:sz w:val="24"/>
          <w:szCs w:val="24"/>
        </w:rPr>
        <w:t>Isto demonstra a importância desse mecanismo, pois através dele, milhares de mulheres puderam conhecer melhor a lei, possibilitando maior compreensão da mesma, possibilitando vislumbrar novas formas de enfrentamento à violência. Além disso, a mulher vítima de violência pode, por meio deste número, denunciar as falhas do Estado, como por</w:t>
      </w:r>
    </w:p>
    <w:p w:rsidR="00D24E61" w:rsidRPr="00771368" w:rsidRDefault="00D24E61">
      <w:pPr>
        <w:spacing w:line="342" w:lineRule="auto"/>
        <w:ind w:right="20" w:firstLine="708"/>
        <w:jc w:val="both"/>
        <w:rPr>
          <w:sz w:val="20"/>
          <w:szCs w:val="20"/>
        </w:rPr>
        <w:sectPr w:rsidR="00D24E61" w:rsidRPr="00771368">
          <w:pgSz w:w="11900" w:h="16838"/>
          <w:pgMar w:top="1440" w:right="1400" w:bottom="1095" w:left="1420" w:header="0" w:footer="0" w:gutter="0"/>
          <w:cols w:space="720" w:equalWidth="0">
            <w:col w:w="9080"/>
          </w:cols>
        </w:sectPr>
      </w:pPr>
    </w:p>
    <w:p w:rsidR="00D24E61" w:rsidRPr="00771368" w:rsidRDefault="00D24E61">
      <w:pPr>
        <w:rPr>
          <w:sz w:val="20"/>
          <w:szCs w:val="20"/>
        </w:rPr>
      </w:pPr>
      <w:r w:rsidRPr="00771368">
        <w:rPr>
          <w:sz w:val="24"/>
          <w:szCs w:val="24"/>
          <w:vertAlign w:val="superscript"/>
        </w:rPr>
        <w:t>3</w:t>
      </w:r>
      <w:r w:rsidRPr="00771368">
        <w:rPr>
          <w:sz w:val="19"/>
          <w:szCs w:val="19"/>
        </w:rPr>
        <w:t xml:space="preserve"> Dados referente ao mês de novembro de 2011.</w:t>
      </w:r>
    </w:p>
    <w:p w:rsidR="00D24E61" w:rsidRPr="00771368" w:rsidRDefault="00D24E61">
      <w:pPr>
        <w:sectPr w:rsidR="00D24E61" w:rsidRPr="00771368">
          <w:type w:val="continuous"/>
          <w:pgSz w:w="11900" w:h="16838"/>
          <w:pgMar w:top="1440" w:right="6640" w:bottom="1095" w:left="1420" w:header="0" w:footer="0" w:gutter="0"/>
          <w:cols w:space="720" w:equalWidth="0">
            <w:col w:w="3840"/>
          </w:cols>
        </w:sectPr>
      </w:pPr>
    </w:p>
    <w:p w:rsidR="00D24E61" w:rsidRPr="00771368" w:rsidRDefault="00D24E61">
      <w:pPr>
        <w:spacing w:line="29" w:lineRule="exact"/>
        <w:rPr>
          <w:sz w:val="20"/>
          <w:szCs w:val="20"/>
        </w:rPr>
      </w:pPr>
    </w:p>
    <w:p w:rsidR="00D24E61" w:rsidRPr="00771368" w:rsidRDefault="00D24E61">
      <w:pPr>
        <w:spacing w:line="308" w:lineRule="auto"/>
        <w:ind w:right="20"/>
        <w:jc w:val="both"/>
        <w:rPr>
          <w:sz w:val="20"/>
          <w:szCs w:val="20"/>
        </w:rPr>
      </w:pPr>
      <w:r w:rsidRPr="00771368">
        <w:rPr>
          <w:sz w:val="24"/>
          <w:szCs w:val="24"/>
        </w:rPr>
        <w:t>exemplo, quando a vítima aciona a polícia, esta vai até o local e não prende o agressor em flagrante.</w:t>
      </w:r>
    </w:p>
    <w:p w:rsidR="00D24E61" w:rsidRPr="00771368" w:rsidRDefault="00D24E61">
      <w:pPr>
        <w:spacing w:line="120" w:lineRule="exact"/>
        <w:rPr>
          <w:sz w:val="20"/>
          <w:szCs w:val="20"/>
        </w:rPr>
      </w:pPr>
    </w:p>
    <w:p w:rsidR="00D24E61" w:rsidRPr="00771368" w:rsidRDefault="00D24E61">
      <w:pPr>
        <w:spacing w:line="349" w:lineRule="auto"/>
        <w:ind w:right="20" w:firstLine="708"/>
        <w:jc w:val="both"/>
        <w:rPr>
          <w:sz w:val="20"/>
          <w:szCs w:val="20"/>
        </w:rPr>
      </w:pPr>
      <w:r w:rsidRPr="00771368">
        <w:rPr>
          <w:sz w:val="24"/>
          <w:szCs w:val="24"/>
        </w:rPr>
        <w:t>Antes da criação da Lei n° 11.340/2006, a mulher que era vítima de violência poderia desistir da denúncia contra o seu agressor na própria delegacia, muitas vezes coagida pelo mesmo. Contudo, após o ano de 2006, a vítima só pode renunciar a denúncia perante o juiz. Esta mudança possibilitou a mulher vitimizada maior liberdade na tomada de decisões, considerando que ao receber medida protetiva, fica a salvo do seu agressor, e de suas ameaças constantes.</w:t>
      </w:r>
    </w:p>
    <w:p w:rsidR="00D24E61" w:rsidRPr="00771368" w:rsidRDefault="00D24E61">
      <w:pPr>
        <w:spacing w:line="77" w:lineRule="exact"/>
        <w:rPr>
          <w:sz w:val="20"/>
          <w:szCs w:val="20"/>
        </w:rPr>
      </w:pPr>
    </w:p>
    <w:p w:rsidR="00D24E61" w:rsidRPr="00771368" w:rsidRDefault="00D24E61">
      <w:pPr>
        <w:spacing w:line="351" w:lineRule="auto"/>
        <w:ind w:right="20" w:firstLine="708"/>
        <w:jc w:val="both"/>
        <w:rPr>
          <w:sz w:val="20"/>
          <w:szCs w:val="20"/>
        </w:rPr>
      </w:pPr>
      <w:r w:rsidRPr="00771368">
        <w:rPr>
          <w:sz w:val="24"/>
          <w:szCs w:val="24"/>
        </w:rPr>
        <w:t>Porém, o que os dados desta pesquisa nos revelaram foi que no município de Curitiba, existe certa morosidade nos atendimentos, encaminhamentos e resoluções dos problemas relativos à mulher que sofre violência. Este fator é determinante e interfere de forma significativa no cotidiano da mulher vitimizada. Considerando a falta de profissionais para a resolução dos problemas, em muitos casos a vítima fica totalmente desprotegida, aguardado por tempo indeterminado as resoluções judiciais, tanto para as medidas protetivas quanto para o julgamento do seu agressor.</w:t>
      </w:r>
    </w:p>
    <w:p w:rsidR="00D24E61" w:rsidRPr="00771368" w:rsidRDefault="00D24E61">
      <w:pPr>
        <w:spacing w:line="71"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Além disso, a mulher vítima de violência depende do parecer judicial para resolução do seu problema. Um dos profissionais entrevistados nos revelou um dado preocupante. O mesmo relatou a existência de casos em que o juiz não defere o pedido de medida protetiva vinculada ao abrigamento, por não entender como sendo necessária, mesmo que existam ameaças de morte. Nesses casos, se a vítima não tiver um local seguro, onde possa ficar até o julgamento do agressor, só lhe resta continuar em sua residência, sem nenhuma proteção.</w:t>
      </w:r>
    </w:p>
    <w:p w:rsidR="00D24E61" w:rsidRPr="00771368" w:rsidRDefault="00D24E61">
      <w:pPr>
        <w:spacing w:line="200" w:lineRule="exact"/>
        <w:rPr>
          <w:sz w:val="20"/>
          <w:szCs w:val="20"/>
        </w:rPr>
      </w:pPr>
    </w:p>
    <w:p w:rsidR="00D24E61" w:rsidRPr="00771368" w:rsidRDefault="00D24E61">
      <w:pPr>
        <w:spacing w:line="231" w:lineRule="exact"/>
        <w:rPr>
          <w:sz w:val="20"/>
          <w:szCs w:val="20"/>
        </w:rPr>
      </w:pPr>
    </w:p>
    <w:p w:rsidR="00D24E61" w:rsidRPr="00771368" w:rsidRDefault="00D24E61">
      <w:pPr>
        <w:rPr>
          <w:sz w:val="20"/>
          <w:szCs w:val="20"/>
        </w:rPr>
      </w:pPr>
      <w:r w:rsidRPr="00771368">
        <w:rPr>
          <w:b/>
          <w:bCs/>
          <w:sz w:val="24"/>
          <w:szCs w:val="24"/>
        </w:rPr>
        <w:t>- Notificação Compulsória da Rede de Proteção á Mulher vitimizada no município de</w:t>
      </w:r>
    </w:p>
    <w:p w:rsidR="00D24E61" w:rsidRPr="00771368" w:rsidRDefault="00D24E61">
      <w:pPr>
        <w:spacing w:line="137" w:lineRule="exact"/>
        <w:rPr>
          <w:sz w:val="20"/>
          <w:szCs w:val="20"/>
        </w:rPr>
      </w:pPr>
    </w:p>
    <w:p w:rsidR="00D24E61" w:rsidRPr="00771368" w:rsidRDefault="00D24E61">
      <w:pPr>
        <w:rPr>
          <w:sz w:val="20"/>
          <w:szCs w:val="20"/>
        </w:rPr>
      </w:pPr>
      <w:r w:rsidRPr="00771368">
        <w:rPr>
          <w:b/>
          <w:bCs/>
          <w:sz w:val="24"/>
          <w:szCs w:val="24"/>
        </w:rPr>
        <w:t>Curitiba</w:t>
      </w:r>
    </w:p>
    <w:p w:rsidR="00D24E61" w:rsidRPr="00771368" w:rsidRDefault="00D24E61">
      <w:pPr>
        <w:spacing w:line="191" w:lineRule="exact"/>
        <w:rPr>
          <w:sz w:val="20"/>
          <w:szCs w:val="20"/>
        </w:rPr>
      </w:pPr>
    </w:p>
    <w:p w:rsidR="00D24E61" w:rsidRPr="00771368" w:rsidRDefault="00D24E61">
      <w:pPr>
        <w:spacing w:line="320" w:lineRule="auto"/>
        <w:ind w:firstLine="708"/>
        <w:jc w:val="both"/>
        <w:rPr>
          <w:sz w:val="20"/>
          <w:szCs w:val="20"/>
        </w:rPr>
      </w:pPr>
      <w:r w:rsidRPr="00771368">
        <w:rPr>
          <w:sz w:val="24"/>
          <w:szCs w:val="24"/>
        </w:rPr>
        <w:t>Um dos motivos que nos levou a realização deste estudo foi o fato de termos constatado o alto índice de mulheres vítimas de violência, que chegaram até o Hospital Universitário Cajuru</w:t>
      </w:r>
      <w:r w:rsidRPr="00771368">
        <w:rPr>
          <w:sz w:val="32"/>
          <w:szCs w:val="32"/>
          <w:vertAlign w:val="superscript"/>
        </w:rPr>
        <w:t>4</w:t>
      </w:r>
      <w:r w:rsidRPr="00771368">
        <w:rPr>
          <w:sz w:val="24"/>
          <w:szCs w:val="24"/>
        </w:rPr>
        <w:t>, e não receberam orientações quanto à possibilidade do preenchimento da Notificação Compulsória - NC, bem como orientações quanto aos seus direitos e encaminhamentos aos serviços disponíveis.</w:t>
      </w:r>
    </w:p>
    <w:p w:rsidR="00D24E61" w:rsidRPr="00771368" w:rsidRDefault="00D24E61">
      <w:pPr>
        <w:spacing w:line="109"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Constata-se que em muitos dos casos, é a própria vítima quem não quer preencher a NC, às vezes por medo de sofrer represálias por parte do agressor, ou até mesmo por</w:t>
      </w:r>
    </w:p>
    <w:p w:rsidR="00D24E61" w:rsidRPr="00771368" w:rsidRDefault="00013211">
      <w:pPr>
        <w:spacing w:line="308" w:lineRule="auto"/>
        <w:ind w:right="20" w:firstLine="708"/>
        <w:jc w:val="both"/>
        <w:rPr>
          <w:sz w:val="20"/>
          <w:szCs w:val="20"/>
        </w:rPr>
        <w:sectPr w:rsidR="00D24E61" w:rsidRPr="00771368">
          <w:pgSz w:w="11900" w:h="16838"/>
          <w:pgMar w:top="1440" w:right="1400" w:bottom="1151" w:left="1420" w:header="0" w:footer="0" w:gutter="0"/>
          <w:cols w:space="720" w:equalWidth="0">
            <w:col w:w="9080"/>
          </w:cols>
        </w:sectPr>
      </w:pPr>
      <w:r>
        <w:rPr>
          <w:noProof/>
          <w:sz w:val="20"/>
          <w:szCs w:val="20"/>
        </w:rPr>
        <mc:AlternateContent>
          <mc:Choice Requires="wps">
            <w:drawing>
              <wp:anchor distT="0" distB="0" distL="0" distR="0" simplePos="0" relativeHeight="251657728" behindDoc="0" locked="0" layoutInCell="0" allowOverlap="1">
                <wp:simplePos x="0" y="0"/>
                <wp:positionH relativeFrom="column">
                  <wp:posOffset>-635</wp:posOffset>
                </wp:positionH>
                <wp:positionV relativeFrom="paragraph">
                  <wp:posOffset>274955</wp:posOffset>
                </wp:positionV>
                <wp:extent cx="1828800" cy="0"/>
                <wp:effectExtent l="8890" t="8255" r="10160" b="10795"/>
                <wp:wrapNone/>
                <wp:docPr id="27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1.65pt" to="143.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" o:allowincell="f" strokeweight=".6pt"/>
            </w:pict>
          </mc:Fallback>
        </mc:AlternateContent>
      </w:r>
    </w:p>
    <w:p w:rsidR="00D24E61" w:rsidRPr="00771368" w:rsidRDefault="00D24E61">
      <w:pPr>
        <w:spacing w:line="200" w:lineRule="exact"/>
        <w:rPr>
          <w:sz w:val="20"/>
          <w:szCs w:val="20"/>
        </w:rPr>
      </w:pPr>
    </w:p>
    <w:p w:rsidR="00D24E61" w:rsidRPr="00771368" w:rsidRDefault="00D24E61">
      <w:pPr>
        <w:spacing w:line="348" w:lineRule="exact"/>
        <w:rPr>
          <w:sz w:val="20"/>
          <w:szCs w:val="20"/>
        </w:rPr>
      </w:pPr>
    </w:p>
    <w:p w:rsidR="00D24E61" w:rsidRPr="00771368" w:rsidRDefault="00D24E61">
      <w:pPr>
        <w:spacing w:line="218" w:lineRule="auto"/>
        <w:jc w:val="both"/>
        <w:rPr>
          <w:sz w:val="20"/>
          <w:szCs w:val="20"/>
        </w:rPr>
      </w:pPr>
      <w:r w:rsidRPr="00771368">
        <w:rPr>
          <w:sz w:val="25"/>
          <w:szCs w:val="25"/>
          <w:vertAlign w:val="superscript"/>
        </w:rPr>
        <w:t>4</w:t>
      </w:r>
      <w:r w:rsidRPr="00771368">
        <w:rPr>
          <w:sz w:val="20"/>
          <w:szCs w:val="20"/>
        </w:rPr>
        <w:t xml:space="preserve"> Esta instituição está sob gestão do Grupo Marista, parte institucional da Pontifícia Universidade Católica do Paraná, e foi espaço de realização do Estágio Curricular Obrigatório, no período compreendido entre os anos de 2010 e 2011.</w:t>
      </w:r>
    </w:p>
    <w:p w:rsidR="00D24E61" w:rsidRPr="00771368" w:rsidRDefault="00D24E61">
      <w:pPr>
        <w:sectPr w:rsidR="00D24E61" w:rsidRPr="00771368">
          <w:type w:val="continuous"/>
          <w:pgSz w:w="11900" w:h="16838"/>
          <w:pgMar w:top="1440" w:right="1400" w:bottom="1151"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2" w:lineRule="auto"/>
        <w:ind w:right="20"/>
        <w:jc w:val="both"/>
        <w:rPr>
          <w:sz w:val="20"/>
          <w:szCs w:val="20"/>
        </w:rPr>
      </w:pPr>
      <w:r w:rsidRPr="00771368">
        <w:rPr>
          <w:sz w:val="24"/>
          <w:szCs w:val="24"/>
        </w:rPr>
        <w:t>vergonha, pois sabe que se vier a denunciar, amigos e familiares ficarão sabendo dos fatos que até então são mantidos apenas no núcleo familiar. Porém esses não são os únicos fatores. A omissão de alguns profissionais envolvidos neste processo também e infelizmente é uma realidade que se faz presente.</w:t>
      </w:r>
    </w:p>
    <w:p w:rsidR="00D24E61" w:rsidRPr="00771368" w:rsidRDefault="00D24E61">
      <w:pPr>
        <w:spacing w:line="83"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No processo de pesquisa, constatou-se junto a uma das instituições entrevistada, atuante no âmbito sócio-jurídico, que a Ficha de Notificação/Investigação Individual de Violência Doméstica, Sexual e/ou outras Violências – FIN do Sistema de Informação de Agravos de Notificação – SINAN, já está sendo utilizada, nas instituições participantes do Programa Mulher de Verdade no município de Curitiba.</w:t>
      </w:r>
    </w:p>
    <w:p w:rsidR="00D24E61" w:rsidRPr="00771368" w:rsidRDefault="00D24E61">
      <w:pPr>
        <w:spacing w:line="7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Ao realizar averiguação no site do Ministério da Saúde verificamos que este documento, ao contrário da Notificação Compulsória, deve ser preenchido pelas unidades assistenciais, em todos os casos de violência contra a mulher, independente do seu consentimento, já que não implica na denúncia do agressor, mas serve de base para a estatística de atendimentos dessa demanda.</w:t>
      </w:r>
    </w:p>
    <w:p w:rsidR="00D24E61" w:rsidRPr="00771368" w:rsidRDefault="00D24E61">
      <w:pPr>
        <w:spacing w:line="76" w:lineRule="exact"/>
        <w:rPr>
          <w:sz w:val="20"/>
          <w:szCs w:val="20"/>
        </w:rPr>
      </w:pPr>
    </w:p>
    <w:p w:rsidR="00D24E61" w:rsidRPr="00771368" w:rsidRDefault="00D24E61">
      <w:pPr>
        <w:spacing w:line="342" w:lineRule="auto"/>
        <w:ind w:firstLine="708"/>
        <w:jc w:val="both"/>
        <w:rPr>
          <w:sz w:val="20"/>
          <w:szCs w:val="20"/>
        </w:rPr>
      </w:pPr>
      <w:r w:rsidRPr="00771368">
        <w:rPr>
          <w:sz w:val="24"/>
          <w:szCs w:val="24"/>
        </w:rPr>
        <w:t>A Ficha de Notificação/Investigação Individual deve ser encaminhada aos serviços responsáveis pela vigilância e informação epidemiológica das Secretarias Municipais, que em Curitiba é a Secretaria Municipal de Saúde, órgão responsável pelo recebimento deste documento.</w:t>
      </w:r>
    </w:p>
    <w:p w:rsidR="00D24E61" w:rsidRPr="00771368" w:rsidRDefault="00D24E61">
      <w:pPr>
        <w:spacing w:line="83" w:lineRule="exact"/>
        <w:rPr>
          <w:sz w:val="20"/>
          <w:szCs w:val="20"/>
        </w:rPr>
      </w:pPr>
    </w:p>
    <w:p w:rsidR="00D24E61" w:rsidRPr="00771368" w:rsidRDefault="00D24E61">
      <w:pPr>
        <w:spacing w:line="349" w:lineRule="auto"/>
        <w:ind w:right="20" w:firstLine="708"/>
        <w:jc w:val="both"/>
        <w:rPr>
          <w:sz w:val="20"/>
          <w:szCs w:val="20"/>
        </w:rPr>
      </w:pPr>
      <w:r w:rsidRPr="00771368">
        <w:rPr>
          <w:sz w:val="24"/>
          <w:szCs w:val="24"/>
        </w:rPr>
        <w:t>A Secretaria Municipal de Saúde por sua vez, deve repassar semanalmente os arquivos em meio magnético para a Secretaria Estadual de Saúde – SES, que utiliza estes dados para a realização de um diagnóstico dinâmico da ocorrência de um evento na população, que neste caso é a violência contra a mulher. Além disso, é possível fornecer subsídios para traçar o perfil da violência por estado e município, com o intuito de traçar ações de enfrentamento a esta questão, dentre outras.</w:t>
      </w:r>
    </w:p>
    <w:p w:rsidR="00D24E61" w:rsidRPr="00771368" w:rsidRDefault="00D24E61">
      <w:pPr>
        <w:spacing w:line="74" w:lineRule="exact"/>
        <w:rPr>
          <w:sz w:val="20"/>
          <w:szCs w:val="20"/>
        </w:rPr>
      </w:pPr>
    </w:p>
    <w:p w:rsidR="00D24E61" w:rsidRPr="00771368" w:rsidRDefault="00D24E61">
      <w:pPr>
        <w:spacing w:line="351" w:lineRule="auto"/>
        <w:ind w:firstLine="708"/>
        <w:jc w:val="both"/>
        <w:rPr>
          <w:sz w:val="20"/>
          <w:szCs w:val="20"/>
        </w:rPr>
      </w:pPr>
      <w:r w:rsidRPr="00771368">
        <w:rPr>
          <w:sz w:val="24"/>
          <w:szCs w:val="24"/>
        </w:rPr>
        <w:t>Ainda em consulta no site do Ministério da Saúde, verificamos a existência de documentos onde constam os resultados da regularidade municipal e estadual quanto à alimentação do SINAN, ou seja, o envio da Ficha de Notificação/Investigação Individual. No período que engloba o mês de junho de 2011, o estado do Paraná aparece como o único Estado da região sul a obter 100% de regularidade no envio da FIN para o SINAN o que significa que, segundo esses dados, nenhum dos 399 municípios que compõe o Estado do Paraná está em situação irregular.</w:t>
      </w:r>
    </w:p>
    <w:p w:rsidR="00D24E61" w:rsidRPr="00771368" w:rsidRDefault="00D24E61">
      <w:pPr>
        <w:spacing w:line="74"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Este dado é preocupante, contraditório e também uma inverdade, se compará-lo com a realidade vivenciada no município de Curitiba. Duas das quatro instituições pesquisadas, que prestam serviços relativos à saúde, no momento da pesquisa não possuíam conhecimento</w:t>
      </w:r>
    </w:p>
    <w:p w:rsidR="00D24E61" w:rsidRPr="00771368" w:rsidRDefault="00D24E61">
      <w:pPr>
        <w:sectPr w:rsidR="00D24E61" w:rsidRPr="00771368">
          <w:pgSz w:w="11900" w:h="16838"/>
          <w:pgMar w:top="1440" w:right="1400" w:bottom="1106"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08" w:lineRule="auto"/>
        <w:ind w:right="20"/>
        <w:jc w:val="both"/>
        <w:rPr>
          <w:sz w:val="20"/>
          <w:szCs w:val="20"/>
        </w:rPr>
      </w:pPr>
      <w:r w:rsidRPr="00771368">
        <w:rPr>
          <w:sz w:val="24"/>
          <w:szCs w:val="24"/>
        </w:rPr>
        <w:t>sobre esse documento, preenchendo apenas a Notificação Compulsória, ou seja, preenchem o documento somente se a mulher vítima de violência consentir o seu encaminhamento.</w:t>
      </w:r>
    </w:p>
    <w:p w:rsidR="00D24E61" w:rsidRPr="00771368" w:rsidRDefault="00D24E61">
      <w:pPr>
        <w:spacing w:line="120"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Coincidentemente, estas duas instituições são as mesmas que nos relataram o não conhecimento das reuniões mensais, realizadas pelas demais instituições integrantes do Programa Mulher de Verdade. Percebe-se desta forma, que o fato de não participar destes encontros interfere no funcionamento efetivo da rede de atendimento às mulheres vitimizadas.</w:t>
      </w:r>
    </w:p>
    <w:p w:rsidR="00D24E61" w:rsidRPr="00771368" w:rsidRDefault="00D24E61">
      <w:pPr>
        <w:spacing w:line="83"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Sendo assim, a Secretaria Municipal de Saúde do Município de Curitiba não está enviando no momento para a Secretaria Estadual de Saúde os dados reais, tendo em vista que, como nossa pesquisa revelou, infelizmente não é ainda a totalidade da rede de atendimento que possui conhecimento sobre a necessidade de preenchimento da FIN.</w:t>
      </w:r>
    </w:p>
    <w:p w:rsidR="00D24E61" w:rsidRPr="00771368" w:rsidRDefault="00D24E61">
      <w:pPr>
        <w:spacing w:line="84" w:lineRule="exact"/>
        <w:rPr>
          <w:sz w:val="20"/>
          <w:szCs w:val="20"/>
        </w:rPr>
      </w:pPr>
    </w:p>
    <w:p w:rsidR="00D24E61" w:rsidRPr="00771368" w:rsidRDefault="00D24E61">
      <w:pPr>
        <w:spacing w:line="351" w:lineRule="auto"/>
        <w:ind w:firstLine="708"/>
        <w:jc w:val="both"/>
        <w:rPr>
          <w:sz w:val="20"/>
          <w:szCs w:val="20"/>
        </w:rPr>
      </w:pPr>
      <w:r w:rsidRPr="00771368">
        <w:rPr>
          <w:sz w:val="24"/>
          <w:szCs w:val="24"/>
        </w:rPr>
        <w:t>Constata-se com isto, que o preenchimento das Notificações Compulsórias não se configura por si só como instrumento importante e somatório no combate à violência. Se a mulher vitimizada não for orientada sobre a necessidade de ir até a Delegacia da Mulher e preencher o Boletim de Ocorrência nada pode ser feito. A Delegacia da Mulher receberá as notificações, entrará em contato com a vítima, na tentativa de sensibilizá-la da importância de entrar com uma representação contra o seu agressor. Só depois disso, se a vítima concordar, é instaurado um inquérito policial para averiguar as infrações penais.</w:t>
      </w:r>
    </w:p>
    <w:p w:rsidR="00D24E61" w:rsidRPr="00771368" w:rsidRDefault="00D24E61">
      <w:pPr>
        <w:spacing w:line="72"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Com isso, percebe-se a importância da capacitação constante dos profissionais que atendem essa demanda e preenchem a Notificação Compulsória, para poderem prestar um serviço de qualidade junto às vítimas.</w:t>
      </w:r>
    </w:p>
    <w:p w:rsidR="00D24E61" w:rsidRPr="00771368" w:rsidRDefault="00D24E61">
      <w:pPr>
        <w:spacing w:line="91"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Considerando os dados expostos até o momento, acreditou-se ser pertinente a realização de uma análise conjuntural de âmbito nacional, com o objetivo de averiguar a situação em que vivem atualmente as mulheres vitimizadas, cinco anos após a criação e implantação da Lei n° 11.340/2006.</w:t>
      </w:r>
    </w:p>
    <w:p w:rsidR="00D24E61" w:rsidRPr="00771368" w:rsidRDefault="00D24E61">
      <w:pPr>
        <w:spacing w:line="81"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 xml:space="preserve">Para tanto, utilizamos dados coletados por meio de entrevista com a </w:t>
      </w:r>
      <w:r w:rsidRPr="00771368">
        <w:rPr>
          <w:b/>
          <w:bCs/>
          <w:sz w:val="24"/>
          <w:szCs w:val="24"/>
        </w:rPr>
        <w:t>Sra. Maria da</w:t>
      </w:r>
      <w:r w:rsidRPr="00771368">
        <w:rPr>
          <w:sz w:val="24"/>
          <w:szCs w:val="24"/>
        </w:rPr>
        <w:t xml:space="preserve"> </w:t>
      </w:r>
      <w:r w:rsidRPr="00771368">
        <w:rPr>
          <w:b/>
          <w:bCs/>
          <w:sz w:val="24"/>
          <w:szCs w:val="24"/>
        </w:rPr>
        <w:t>Penha Maia Fernandes</w:t>
      </w:r>
      <w:r w:rsidRPr="00771368">
        <w:rPr>
          <w:sz w:val="24"/>
          <w:szCs w:val="24"/>
        </w:rPr>
        <w:t>, considerada uma das figuras mais importantes neste processo de</w:t>
      </w:r>
      <w:r w:rsidRPr="00771368">
        <w:rPr>
          <w:b/>
          <w:bCs/>
          <w:sz w:val="24"/>
          <w:szCs w:val="24"/>
        </w:rPr>
        <w:t xml:space="preserve"> </w:t>
      </w:r>
      <w:r w:rsidRPr="00771368">
        <w:rPr>
          <w:sz w:val="24"/>
          <w:szCs w:val="24"/>
        </w:rPr>
        <w:t>luta contra a violência, visto que, além de ser mulher e ter sofrido inúmeras situações de violência, participou e ainda participa de ações significativas no combate à violência contra a mulher.</w:t>
      </w:r>
    </w:p>
    <w:p w:rsidR="00D24E61" w:rsidRPr="00771368" w:rsidRDefault="00D24E61">
      <w:pPr>
        <w:spacing w:line="76"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As questões foram enviadas via online, em 23 de agosto de 2011, respondidas e reencaminhadas no dia 24 de outubro de 2011.</w:t>
      </w:r>
    </w:p>
    <w:p w:rsidR="00D24E61" w:rsidRPr="00771368" w:rsidRDefault="00D24E61">
      <w:pPr>
        <w:spacing w:line="61" w:lineRule="exact"/>
        <w:rPr>
          <w:sz w:val="20"/>
          <w:szCs w:val="20"/>
        </w:rPr>
      </w:pPr>
    </w:p>
    <w:p w:rsidR="00D24E61" w:rsidRPr="00771368" w:rsidRDefault="00D24E61">
      <w:pPr>
        <w:rPr>
          <w:sz w:val="20"/>
          <w:szCs w:val="20"/>
        </w:rPr>
      </w:pPr>
      <w:r w:rsidRPr="00771368">
        <w:rPr>
          <w:b/>
          <w:bCs/>
          <w:sz w:val="24"/>
          <w:szCs w:val="24"/>
        </w:rPr>
        <w:t>P</w:t>
      </w:r>
      <w:r w:rsidRPr="00771368">
        <w:rPr>
          <w:sz w:val="24"/>
          <w:szCs w:val="24"/>
        </w:rPr>
        <w:t>: Como a Sra. avalia a atual situação da Lei nº 11340?</w:t>
      </w:r>
    </w:p>
    <w:p w:rsidR="00D24E61" w:rsidRPr="00771368" w:rsidRDefault="00D24E61">
      <w:pPr>
        <w:spacing w:line="195" w:lineRule="exact"/>
        <w:rPr>
          <w:sz w:val="20"/>
          <w:szCs w:val="20"/>
        </w:rPr>
      </w:pPr>
    </w:p>
    <w:p w:rsidR="00D24E61" w:rsidRPr="00771368" w:rsidRDefault="00D24E61">
      <w:pPr>
        <w:spacing w:line="310" w:lineRule="auto"/>
        <w:ind w:right="20"/>
        <w:jc w:val="both"/>
        <w:rPr>
          <w:sz w:val="20"/>
          <w:szCs w:val="20"/>
        </w:rPr>
      </w:pPr>
      <w:r w:rsidRPr="00771368">
        <w:rPr>
          <w:b/>
          <w:bCs/>
          <w:sz w:val="24"/>
          <w:szCs w:val="24"/>
        </w:rPr>
        <w:t>R</w:t>
      </w:r>
      <w:r w:rsidRPr="00771368">
        <w:rPr>
          <w:i/>
          <w:iCs/>
          <w:sz w:val="24"/>
          <w:szCs w:val="24"/>
        </w:rPr>
        <w:t>: “A Lei por si só não acaba com a violência doméstica. Esse é um fator sociocultural que</w:t>
      </w:r>
      <w:r w:rsidRPr="00771368">
        <w:rPr>
          <w:b/>
          <w:bCs/>
          <w:sz w:val="24"/>
          <w:szCs w:val="24"/>
        </w:rPr>
        <w:t xml:space="preserve"> </w:t>
      </w:r>
      <w:r w:rsidRPr="00771368">
        <w:rPr>
          <w:i/>
          <w:iCs/>
          <w:sz w:val="24"/>
          <w:szCs w:val="24"/>
        </w:rPr>
        <w:t>temos a consciência de que não se consegue mudar de um dia para o outro. Porém a Lei</w:t>
      </w:r>
    </w:p>
    <w:p w:rsidR="00D24E61" w:rsidRPr="00771368" w:rsidRDefault="00D24E61">
      <w:pPr>
        <w:sectPr w:rsidR="00D24E61" w:rsidRPr="00771368">
          <w:pgSz w:w="11900" w:h="16838"/>
          <w:pgMar w:top="1440" w:right="1400" w:bottom="1132"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56" w:lineRule="auto"/>
        <w:jc w:val="both"/>
        <w:rPr>
          <w:sz w:val="20"/>
          <w:szCs w:val="20"/>
        </w:rPr>
      </w:pPr>
      <w:r w:rsidRPr="00771368">
        <w:rPr>
          <w:i/>
          <w:iCs/>
          <w:sz w:val="24"/>
          <w:szCs w:val="24"/>
        </w:rPr>
        <w:t>Maria da Penha prevê a adoção, nos currículos escolares dos alunos das séries iniciais, de uma abordagem sobre gênero e relações entre homens e mulheres, para que essas crianças, desde cedo, na escola, não reproduzam o modelo machista que hoje impera na sociedade. Essa desconstrução se dá de forma lenta e gradual, mas é um aspecto que deve ser trabalhado com persistência, como forma de empoderar as mulheres para conhecerem os seus direitos e educarem seus filhos e filhas de maneira igual, de maneira que, independente do sexo, possam desenvolver suas potencialidades nas áreas profissionais, sociais culturais e afetivas. Entendo que, quando a maioria das cidades tiverem implementado todos os equipamentos que atendem a Lei MP (Centros de Referência, Casas Abrigo, Delegacias da Mulher, Centros de Referência, Juizados de Violência Doméstica Contra a Mulher) é que poderão ser avaliados os pontos que ainda exigem maior atenção. No momento, o mais importante é que os gestores se conscientizem da necessidade da criação de políticas públicas para que, com a lei MP devidamente implementada, possamos garantir um futuro sem violência para as nossas descendentes através da prevenção e proteção da mulher em situação de violência doméstica.</w:t>
      </w:r>
    </w:p>
    <w:p w:rsidR="00D24E61" w:rsidRPr="00771368" w:rsidRDefault="00D24E61">
      <w:pPr>
        <w:spacing w:line="11" w:lineRule="exact"/>
        <w:rPr>
          <w:sz w:val="20"/>
          <w:szCs w:val="20"/>
        </w:rPr>
      </w:pPr>
    </w:p>
    <w:p w:rsidR="00D24E61" w:rsidRPr="00771368" w:rsidRDefault="00D24E61">
      <w:pPr>
        <w:rPr>
          <w:sz w:val="20"/>
          <w:szCs w:val="20"/>
        </w:rPr>
      </w:pPr>
      <w:r w:rsidRPr="00771368">
        <w:rPr>
          <w:b/>
          <w:bCs/>
          <w:sz w:val="24"/>
          <w:szCs w:val="24"/>
        </w:rPr>
        <w:t>P</w:t>
      </w:r>
      <w:r w:rsidRPr="00771368">
        <w:rPr>
          <w:sz w:val="24"/>
          <w:szCs w:val="24"/>
        </w:rPr>
        <w:t>: O que mudou na sociedade brasileira nesses cinco anos da Lei nº 11340?</w:t>
      </w:r>
    </w:p>
    <w:p w:rsidR="00D24E61" w:rsidRPr="00771368" w:rsidRDefault="00D24E61">
      <w:pPr>
        <w:spacing w:line="198" w:lineRule="exact"/>
        <w:rPr>
          <w:sz w:val="20"/>
          <w:szCs w:val="20"/>
        </w:rPr>
      </w:pPr>
    </w:p>
    <w:p w:rsidR="00D24E61" w:rsidRPr="00771368" w:rsidRDefault="00D24E61">
      <w:pPr>
        <w:spacing w:line="351" w:lineRule="auto"/>
        <w:jc w:val="both"/>
        <w:rPr>
          <w:sz w:val="20"/>
          <w:szCs w:val="20"/>
        </w:rPr>
      </w:pPr>
      <w:r w:rsidRPr="00771368">
        <w:rPr>
          <w:b/>
          <w:bCs/>
          <w:sz w:val="24"/>
          <w:szCs w:val="24"/>
        </w:rPr>
        <w:t>R</w:t>
      </w:r>
      <w:r w:rsidRPr="00771368">
        <w:rPr>
          <w:sz w:val="24"/>
          <w:szCs w:val="24"/>
        </w:rPr>
        <w:t>: “</w:t>
      </w:r>
      <w:r w:rsidRPr="00771368">
        <w:rPr>
          <w:i/>
          <w:iCs/>
          <w:sz w:val="24"/>
          <w:szCs w:val="24"/>
        </w:rPr>
        <w:t>Uma pesquisa realizada pelo Instituto Avon/Ipsos, em março de 2011, mostra que 94%</w:t>
      </w:r>
      <w:r w:rsidRPr="00771368">
        <w:rPr>
          <w:b/>
          <w:bCs/>
          <w:sz w:val="24"/>
          <w:szCs w:val="24"/>
        </w:rPr>
        <w:t xml:space="preserve"> </w:t>
      </w:r>
      <w:r w:rsidRPr="00771368">
        <w:rPr>
          <w:i/>
          <w:iCs/>
          <w:sz w:val="24"/>
          <w:szCs w:val="24"/>
        </w:rPr>
        <w:t>dos entrevistados afirmam conhecer a Lei, porém essa mesma pesquisa revela ainda que 60% dos que conhecem a lei a conhecem apenas de nome. Muito ainda falta. A mudança de consciência da sociedade machista sobre os direitos humanos da mulher, esta, sabemos que precisa de mais tempo para acontecer, porém temos muita gente de bem, engajada nessa luta. Homens e Mulheres que sonham com uma sociedade mais humana para seus filhos (as) e netos (as”).</w:t>
      </w:r>
    </w:p>
    <w:p w:rsidR="00D24E61" w:rsidRPr="00771368" w:rsidRDefault="00D24E61">
      <w:pPr>
        <w:spacing w:line="71" w:lineRule="exact"/>
        <w:rPr>
          <w:sz w:val="20"/>
          <w:szCs w:val="20"/>
        </w:rPr>
      </w:pPr>
    </w:p>
    <w:p w:rsidR="00D24E61" w:rsidRPr="00771368" w:rsidRDefault="00D24E61">
      <w:pPr>
        <w:spacing w:line="334" w:lineRule="auto"/>
        <w:jc w:val="both"/>
        <w:rPr>
          <w:sz w:val="20"/>
          <w:szCs w:val="20"/>
        </w:rPr>
      </w:pPr>
      <w:r w:rsidRPr="00771368">
        <w:rPr>
          <w:b/>
          <w:bCs/>
          <w:sz w:val="24"/>
          <w:szCs w:val="24"/>
        </w:rPr>
        <w:t>P</w:t>
      </w:r>
      <w:r w:rsidRPr="00771368">
        <w:rPr>
          <w:sz w:val="24"/>
          <w:szCs w:val="24"/>
        </w:rPr>
        <w:t>: Na sua visão, o aumento dos registros de casos de violência contra a mulher, após a</w:t>
      </w:r>
      <w:r w:rsidRPr="00771368">
        <w:rPr>
          <w:b/>
          <w:bCs/>
          <w:sz w:val="24"/>
          <w:szCs w:val="24"/>
        </w:rPr>
        <w:t xml:space="preserve"> </w:t>
      </w:r>
      <w:r w:rsidRPr="00771368">
        <w:rPr>
          <w:sz w:val="24"/>
          <w:szCs w:val="24"/>
        </w:rPr>
        <w:t>implantação da Lei, mostra um amadurecimento da sociedade para denunciar este crime ou é uma demonstração de que a Lei não é levada a sério?</w:t>
      </w:r>
    </w:p>
    <w:p w:rsidR="00D24E61" w:rsidRPr="00771368" w:rsidRDefault="00D24E61">
      <w:pPr>
        <w:spacing w:line="89" w:lineRule="exact"/>
        <w:rPr>
          <w:sz w:val="20"/>
          <w:szCs w:val="20"/>
        </w:rPr>
      </w:pPr>
    </w:p>
    <w:p w:rsidR="00D24E61" w:rsidRPr="00771368" w:rsidRDefault="00D24E61">
      <w:pPr>
        <w:spacing w:line="350" w:lineRule="auto"/>
        <w:jc w:val="both"/>
        <w:rPr>
          <w:sz w:val="20"/>
          <w:szCs w:val="20"/>
        </w:rPr>
      </w:pPr>
      <w:r w:rsidRPr="00771368">
        <w:rPr>
          <w:b/>
          <w:bCs/>
          <w:sz w:val="24"/>
          <w:szCs w:val="24"/>
        </w:rPr>
        <w:t>R</w:t>
      </w:r>
      <w:r w:rsidRPr="00771368">
        <w:rPr>
          <w:sz w:val="24"/>
          <w:szCs w:val="24"/>
        </w:rPr>
        <w:t>:</w:t>
      </w:r>
      <w:r w:rsidRPr="00771368">
        <w:rPr>
          <w:b/>
          <w:bCs/>
          <w:sz w:val="24"/>
          <w:szCs w:val="24"/>
        </w:rPr>
        <w:t xml:space="preserve"> </w:t>
      </w:r>
      <w:r w:rsidRPr="00771368">
        <w:rPr>
          <w:i/>
          <w:iCs/>
          <w:sz w:val="24"/>
          <w:szCs w:val="24"/>
        </w:rPr>
        <w:t>“Considero a primeira hipótese a mais viável. As mulheres mais bem informadas e</w:t>
      </w:r>
      <w:r w:rsidRPr="00771368">
        <w:rPr>
          <w:b/>
          <w:bCs/>
          <w:sz w:val="24"/>
          <w:szCs w:val="24"/>
        </w:rPr>
        <w:t xml:space="preserve"> </w:t>
      </w:r>
      <w:r w:rsidRPr="00771368">
        <w:rPr>
          <w:i/>
          <w:iCs/>
          <w:sz w:val="24"/>
          <w:szCs w:val="24"/>
        </w:rPr>
        <w:t>amparadas pela política pública criada e com pessoal qualificado, cria coragem e denuncia. Por todos os lugares onde viajo participando de eventos e proferindo palestras sobre minha história de vida e a Lei Maria da Penha, escuto depoimentos emocionados de mulheres que se auto-intitulam “salvas pela Lei”. Dados estatísticos comprovam que o número de denúncias nas DEAMs aumentou após a criação da lei”.</w:t>
      </w:r>
    </w:p>
    <w:p w:rsidR="00D24E61" w:rsidRPr="00771368" w:rsidRDefault="00D24E61">
      <w:pPr>
        <w:sectPr w:rsidR="00D24E61" w:rsidRPr="00771368">
          <w:pgSz w:w="11900" w:h="16838"/>
          <w:pgMar w:top="144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34" w:lineRule="auto"/>
        <w:ind w:right="20"/>
        <w:jc w:val="both"/>
        <w:rPr>
          <w:sz w:val="20"/>
          <w:szCs w:val="20"/>
        </w:rPr>
      </w:pPr>
      <w:r w:rsidRPr="00771368">
        <w:rPr>
          <w:b/>
          <w:bCs/>
          <w:sz w:val="24"/>
          <w:szCs w:val="24"/>
        </w:rPr>
        <w:t>P</w:t>
      </w:r>
      <w:r w:rsidRPr="00771368">
        <w:rPr>
          <w:sz w:val="24"/>
          <w:szCs w:val="24"/>
        </w:rPr>
        <w:t>: A Lei Maria da penha foi criada para defender a mulher vitimizada. Alguns advogados e</w:t>
      </w:r>
      <w:r w:rsidRPr="00771368">
        <w:rPr>
          <w:b/>
          <w:bCs/>
          <w:sz w:val="24"/>
          <w:szCs w:val="24"/>
        </w:rPr>
        <w:t xml:space="preserve"> </w:t>
      </w:r>
      <w:r w:rsidRPr="00771368">
        <w:rPr>
          <w:sz w:val="24"/>
          <w:szCs w:val="24"/>
        </w:rPr>
        <w:t>juízes a interpretam de forma extensiva ao homem. Na sua opinião, esse entendimento é correto? Que análise poderia ser feita de tal situação?</w:t>
      </w:r>
    </w:p>
    <w:p w:rsidR="00D24E61" w:rsidRPr="00771368" w:rsidRDefault="00D24E61">
      <w:pPr>
        <w:spacing w:line="89" w:lineRule="exact"/>
        <w:rPr>
          <w:sz w:val="20"/>
          <w:szCs w:val="20"/>
        </w:rPr>
      </w:pPr>
    </w:p>
    <w:p w:rsidR="00D24E61" w:rsidRPr="00771368" w:rsidRDefault="00D24E61">
      <w:pPr>
        <w:spacing w:line="353" w:lineRule="auto"/>
        <w:jc w:val="both"/>
        <w:rPr>
          <w:sz w:val="20"/>
          <w:szCs w:val="20"/>
        </w:rPr>
      </w:pPr>
      <w:r w:rsidRPr="00771368">
        <w:rPr>
          <w:b/>
          <w:bCs/>
          <w:sz w:val="24"/>
          <w:szCs w:val="24"/>
        </w:rPr>
        <w:t>R</w:t>
      </w:r>
      <w:r w:rsidRPr="00771368">
        <w:rPr>
          <w:sz w:val="24"/>
          <w:szCs w:val="24"/>
        </w:rPr>
        <w:t>:</w:t>
      </w:r>
      <w:r w:rsidRPr="00771368">
        <w:rPr>
          <w:b/>
          <w:bCs/>
          <w:sz w:val="24"/>
          <w:szCs w:val="24"/>
        </w:rPr>
        <w:t xml:space="preserve"> </w:t>
      </w:r>
      <w:r w:rsidRPr="00771368">
        <w:rPr>
          <w:i/>
          <w:iCs/>
          <w:sz w:val="24"/>
          <w:szCs w:val="24"/>
        </w:rPr>
        <w:t>“A Lei Maria da Penha é uma ação afirmativa</w:t>
      </w:r>
      <w:r w:rsidRPr="00771368">
        <w:rPr>
          <w:b/>
          <w:bCs/>
          <w:sz w:val="24"/>
          <w:szCs w:val="24"/>
        </w:rPr>
        <w:t xml:space="preserve"> </w:t>
      </w:r>
      <w:r w:rsidRPr="00771368">
        <w:rPr>
          <w:i/>
          <w:iCs/>
          <w:sz w:val="24"/>
          <w:szCs w:val="24"/>
        </w:rPr>
        <w:t>onde são tomadas providências para</w:t>
      </w:r>
      <w:r w:rsidRPr="00771368">
        <w:rPr>
          <w:b/>
          <w:bCs/>
          <w:sz w:val="24"/>
          <w:szCs w:val="24"/>
        </w:rPr>
        <w:t xml:space="preserve"> </w:t>
      </w:r>
      <w:r w:rsidRPr="00771368">
        <w:rPr>
          <w:i/>
          <w:iCs/>
          <w:sz w:val="24"/>
          <w:szCs w:val="24"/>
        </w:rPr>
        <w:t>corrigir uma injustiça histórica contra a mulher. Da mesma forma que o Estatuto da Criança e do Adolescente não pode ser aplicado a um adulto, a Lei Maria da Penha não pode ser aplicada ao homem. Caso o homem esteja passando por uma situação de violência doméstica - sabemos que essas coisas acontecem - ele deve procurar uma delegacia comum, denunciar a agressão e processar quem lhe agrediu. Na relações de afetividade, os casos de violência da mulher contra o homem são infinitivamente menores se comparados à agressão onde a vitima é a mulher ( a cada um minuto quatro mulheres são agredidas por seus companheiros). Essa é a triste realidade que muitos desconhecem”.</w:t>
      </w:r>
    </w:p>
    <w:p w:rsidR="00D24E61" w:rsidRPr="00771368" w:rsidRDefault="00D24E61">
      <w:pPr>
        <w:spacing w:line="75"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Pelos apontamentos trazidos por Maria da Penha, observa-se o quanto ainda é frágil e carente de concretização todo o aparato legal existente para atender as milhares de mulheres que diariamente são vítimas dos mais diversos tipos de violência.</w:t>
      </w:r>
    </w:p>
    <w:p w:rsidR="00D24E61" w:rsidRPr="00771368" w:rsidRDefault="00D24E61">
      <w:pPr>
        <w:spacing w:line="200" w:lineRule="exact"/>
        <w:rPr>
          <w:sz w:val="20"/>
          <w:szCs w:val="20"/>
        </w:rPr>
      </w:pPr>
    </w:p>
    <w:p w:rsidR="00D24E61" w:rsidRPr="00771368" w:rsidRDefault="00D24E61">
      <w:pPr>
        <w:spacing w:line="251" w:lineRule="exact"/>
        <w:rPr>
          <w:sz w:val="20"/>
          <w:szCs w:val="20"/>
        </w:rPr>
      </w:pPr>
    </w:p>
    <w:p w:rsidR="00D24E61" w:rsidRPr="00771368" w:rsidRDefault="00D24E61">
      <w:pPr>
        <w:rPr>
          <w:sz w:val="20"/>
          <w:szCs w:val="20"/>
        </w:rPr>
      </w:pPr>
      <w:r w:rsidRPr="00771368">
        <w:rPr>
          <w:b/>
          <w:bCs/>
          <w:sz w:val="24"/>
          <w:szCs w:val="24"/>
        </w:rPr>
        <w:t>Considerações finais</w:t>
      </w:r>
    </w:p>
    <w:p w:rsidR="00D24E61" w:rsidRPr="00771368" w:rsidRDefault="00D24E61">
      <w:pPr>
        <w:spacing w:line="190"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Ao final deste estudo, acredita-se que a criação do Programa Mulher de Verdade, no município de Curitiba, é fundamental enquanto ação conjunta entre instituições governamentais, não-governamentais, privadas e sociedade civil organizada, no combate a violência. Considerando que o programa foi criado antes mesmo do surgimento da Lei Maria da Penha, Curitiba mostrou pioneirismo neste aspecto.</w:t>
      </w:r>
    </w:p>
    <w:p w:rsidR="00D24E61" w:rsidRPr="00771368" w:rsidRDefault="00D24E61">
      <w:pPr>
        <w:spacing w:line="76" w:lineRule="exact"/>
        <w:rPr>
          <w:sz w:val="20"/>
          <w:szCs w:val="20"/>
        </w:rPr>
      </w:pPr>
    </w:p>
    <w:p w:rsidR="00D24E61" w:rsidRPr="00771368" w:rsidRDefault="00D24E61">
      <w:pPr>
        <w:spacing w:line="333" w:lineRule="auto"/>
        <w:ind w:right="20" w:firstLine="708"/>
        <w:jc w:val="both"/>
        <w:rPr>
          <w:sz w:val="20"/>
          <w:szCs w:val="20"/>
        </w:rPr>
      </w:pPr>
      <w:r w:rsidRPr="00771368">
        <w:rPr>
          <w:sz w:val="24"/>
          <w:szCs w:val="24"/>
        </w:rPr>
        <w:t>Mas se nos reportarmos ao que foi exposto pelos entrevistados, juntamente com o que foi pontuado pela Sra. Maria da Penha, pode-se constatar que ainda há muito a ser feito, tanto no âmbito municipal quanto nacional.</w:t>
      </w:r>
    </w:p>
    <w:p w:rsidR="00D24E61" w:rsidRPr="00771368" w:rsidRDefault="00D24E61">
      <w:pPr>
        <w:spacing w:line="93"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 lei que coíbe a violência contra a mulher é ainda muito nova e carente de atenção constante por parte daqueles que são os responsáveis por operar os direitos relativos às mulheres, bem como os profissionais que atuam diretamente com essa demanda. A sociedade em geral precisa ter participação em todo esse processo, considerando que a violência contra a mulher não é um problema só da vítima, mas sim uma questão de saúde pública.</w:t>
      </w:r>
    </w:p>
    <w:p w:rsidR="00D24E61" w:rsidRPr="00771368" w:rsidRDefault="00D24E61">
      <w:pPr>
        <w:spacing w:line="74" w:lineRule="exact"/>
        <w:rPr>
          <w:sz w:val="20"/>
          <w:szCs w:val="20"/>
        </w:rPr>
      </w:pPr>
    </w:p>
    <w:p w:rsidR="00D24E61" w:rsidRPr="00771368" w:rsidRDefault="00D24E61">
      <w:pPr>
        <w:spacing w:line="343" w:lineRule="auto"/>
        <w:ind w:firstLine="708"/>
        <w:jc w:val="both"/>
        <w:rPr>
          <w:sz w:val="20"/>
          <w:szCs w:val="20"/>
        </w:rPr>
      </w:pPr>
      <w:r w:rsidRPr="00771368">
        <w:rPr>
          <w:sz w:val="24"/>
          <w:szCs w:val="24"/>
        </w:rPr>
        <w:t>Concordamos quando a Sra. Maria da Penha expõe que a lei por si só não acaba com a violência e que se faz necessária a abordagem nas escolas sobre as questões de gênero, de respeito para com todos os seres humanos, independente de ser homem ou mulher, pois todos são dotados de sentimentos, desejos, sonhos e necessidades que precisam ser respeitados. A</w:t>
      </w:r>
    </w:p>
    <w:p w:rsidR="00D24E61" w:rsidRPr="00771368" w:rsidRDefault="00D24E61">
      <w:pPr>
        <w:sectPr w:rsidR="00D24E61" w:rsidRPr="00771368">
          <w:pgSz w:w="11900" w:h="16838"/>
          <w:pgMar w:top="1440" w:right="1400" w:bottom="1096"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34" w:lineRule="auto"/>
        <w:ind w:right="20"/>
        <w:jc w:val="both"/>
        <w:rPr>
          <w:sz w:val="20"/>
          <w:szCs w:val="20"/>
        </w:rPr>
      </w:pPr>
      <w:r w:rsidRPr="00771368">
        <w:rPr>
          <w:sz w:val="24"/>
          <w:szCs w:val="24"/>
        </w:rPr>
        <w:t>educação popular pode ser um caminho a ser seguido, considerando que ela não está pautada nas regras impostas pela educação formal, mas sim baseada no diálogo, no comprometimento e na participação de todos e visa à formação de sujeitos com consciência cidadã.</w:t>
      </w:r>
    </w:p>
    <w:p w:rsidR="00D24E61" w:rsidRPr="00771368" w:rsidRDefault="00D24E61">
      <w:pPr>
        <w:spacing w:line="89"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Desta forma, acredita-se que se houver um efetivo trabalho que contribua com a construção de uma consciência crítica, pautada no respeito pelo semelhante, e que englobe não apenas alunos, mas sim professores, pais e mães e também a comunidade em geral, aumenta a possibilidade da construção de um futuro com menos violência.</w:t>
      </w:r>
    </w:p>
    <w:p w:rsidR="00D24E61" w:rsidRPr="00771368" w:rsidRDefault="00D24E61">
      <w:pPr>
        <w:spacing w:line="78"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 xml:space="preserve">Por que falar em </w:t>
      </w:r>
      <w:r w:rsidRPr="00771368">
        <w:rPr>
          <w:i/>
          <w:iCs/>
          <w:sz w:val="24"/>
          <w:szCs w:val="24"/>
        </w:rPr>
        <w:t>menos violência</w:t>
      </w:r>
      <w:r w:rsidRPr="00771368">
        <w:rPr>
          <w:sz w:val="24"/>
          <w:szCs w:val="24"/>
        </w:rPr>
        <w:t xml:space="preserve"> e não no </w:t>
      </w:r>
      <w:r w:rsidRPr="00771368">
        <w:rPr>
          <w:i/>
          <w:iCs/>
          <w:sz w:val="24"/>
          <w:szCs w:val="24"/>
        </w:rPr>
        <w:t>fim da violência</w:t>
      </w:r>
      <w:r w:rsidRPr="00771368">
        <w:rPr>
          <w:sz w:val="24"/>
          <w:szCs w:val="24"/>
        </w:rPr>
        <w:t>, considerando que este último é o que buscamos? Simplesmente porque acreditamos que em um sistema tão excludente e desigual quanto o capitalismo isso seria impossível. Indo mais além, podemos afirmar que apenas por meio da superação deste sistema será possível se pensar em uma sociedade não violenta. Entendemos, porém, que este processo de superação é gradual e deve ser buscado constantemente.</w:t>
      </w:r>
    </w:p>
    <w:p w:rsidR="00D24E61" w:rsidRPr="00771368" w:rsidRDefault="00D24E61">
      <w:pPr>
        <w:spacing w:line="70"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Analisando a trajetória de luta da Sra. Maria da Penha, é possível perceber o tamanho da força existente nesta mulher, ao enfrentar problemas dessa magnitude. Foi na adversidade que ela encontrou respostas para superar suas dificuldades.</w:t>
      </w:r>
    </w:p>
    <w:p w:rsidR="00D24E61" w:rsidRPr="00771368" w:rsidRDefault="00D24E61">
      <w:pPr>
        <w:spacing w:line="91"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Por outro lado, milhares de mulheres vitimizadas vivem em seu universo de agressões, sozinhas, sem nenhum aparato legal, sem nenhuma instituição que possa prestar serviços e lhe dar o suporte necessário para sair do seu cotidiano de violência e subordinação.</w:t>
      </w:r>
    </w:p>
    <w:p w:rsidR="00D24E61" w:rsidRPr="00771368" w:rsidRDefault="00D24E61">
      <w:pPr>
        <w:spacing w:line="89"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Somado a tudo isso, percebemos a necessidade de maior divulgação da Lei Maria da Penha, no sentido de esclarecer sua utilidade e operacionalização, caso contrário corre o risco de surgir interpretações equivocadas, em que esta lei seja utilizada para outros fins que não o de proteger a vítima mulher e punir o agressor.</w:t>
      </w:r>
    </w:p>
    <w:p w:rsidR="00D24E61" w:rsidRPr="00771368" w:rsidRDefault="00D24E61">
      <w:pPr>
        <w:spacing w:line="78"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 xml:space="preserve">Negar-se a falar sobre a violência contra a mulher não faz com que a violência acabe, mas corrobora com a percepção machista de que a mulher é propriedade do homem. Não </w:t>
      </w:r>
      <w:r w:rsidRPr="00771368">
        <w:rPr>
          <w:i/>
          <w:iCs/>
          <w:sz w:val="24"/>
          <w:szCs w:val="24"/>
        </w:rPr>
        <w:t xml:space="preserve">meter a colher </w:t>
      </w:r>
      <w:r w:rsidRPr="00771368">
        <w:rPr>
          <w:sz w:val="24"/>
          <w:szCs w:val="24"/>
        </w:rPr>
        <w:t>só nos faz coniventes, e não colabora em nada para uma cultura de paz. É</w:t>
      </w:r>
      <w:r w:rsidRPr="00771368">
        <w:rPr>
          <w:i/>
          <w:iCs/>
          <w:sz w:val="24"/>
          <w:szCs w:val="24"/>
        </w:rPr>
        <w:t xml:space="preserve"> </w:t>
      </w:r>
      <w:r w:rsidRPr="00771368">
        <w:rPr>
          <w:sz w:val="24"/>
          <w:szCs w:val="24"/>
        </w:rPr>
        <w:t>preciso um trabalho contínuo, articulação entre Estado e sociedade civil no combate a violência, no exercício diário de cidadania.</w:t>
      </w:r>
    </w:p>
    <w:p w:rsidR="00D24E61" w:rsidRPr="00771368" w:rsidRDefault="00D24E61">
      <w:pPr>
        <w:spacing w:line="74"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Não se pode negar que com o governo do Presidente Luiz Inácio Lula da Silva e, por conseguinte no governo Dilma Rousseff, as políticas sociais por meio de ações efetivas, passaram a corresponder a concretização de direitos, ao tentar nivelar equitativamente à política social com o desenvolvimento econômico.</w:t>
      </w:r>
    </w:p>
    <w:p w:rsidR="00D24E61" w:rsidRPr="00771368" w:rsidRDefault="00D24E61">
      <w:pPr>
        <w:spacing w:line="79" w:lineRule="exact"/>
        <w:rPr>
          <w:sz w:val="20"/>
          <w:szCs w:val="20"/>
        </w:rPr>
      </w:pPr>
    </w:p>
    <w:p w:rsidR="00D24E61" w:rsidRPr="00771368" w:rsidRDefault="00D24E61">
      <w:pPr>
        <w:spacing w:line="310" w:lineRule="auto"/>
        <w:ind w:right="20" w:firstLine="708"/>
        <w:jc w:val="both"/>
        <w:rPr>
          <w:sz w:val="20"/>
          <w:szCs w:val="20"/>
        </w:rPr>
      </w:pPr>
      <w:r w:rsidRPr="00771368">
        <w:rPr>
          <w:sz w:val="24"/>
          <w:szCs w:val="24"/>
        </w:rPr>
        <w:t>Tal atitude foi significativa para uma importante mudança de pensamento na cultura política brasileira, que tinha por hábito abordar apenas em períodos eleitorais os assuntos</w:t>
      </w:r>
    </w:p>
    <w:p w:rsidR="00D24E61" w:rsidRPr="00771368" w:rsidRDefault="00D24E61">
      <w:pPr>
        <w:sectPr w:rsidR="00D24E61" w:rsidRPr="00771368">
          <w:pgSz w:w="11900" w:h="16838"/>
          <w:pgMar w:top="1440" w:right="1400" w:bottom="1132"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2" w:lineRule="auto"/>
        <w:jc w:val="both"/>
        <w:rPr>
          <w:sz w:val="20"/>
          <w:szCs w:val="20"/>
        </w:rPr>
      </w:pPr>
      <w:r w:rsidRPr="00771368">
        <w:rPr>
          <w:sz w:val="24"/>
          <w:szCs w:val="24"/>
        </w:rPr>
        <w:t>relativos às expressões da questão social. Mesmo com todos os avanços, ainda existem muitas carências que devem ser superadas. Carências essas que são reflexo da reprodução histórica das desigualdades sociais no país, bem como conseqüência do sistema capitalista em que vivemos.</w:t>
      </w:r>
    </w:p>
    <w:p w:rsidR="00D24E61" w:rsidRPr="00771368" w:rsidRDefault="00D24E61">
      <w:pPr>
        <w:spacing w:line="8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Muitos são os desafios, que devem se enfrentados de forma propositiva, principalmente entre os profissionais de Serviço Social, atuantes em espaços de articulação política. Espaços estes que são palco de contradições e de disputas entre projetos conservadores e projetos emancipatórios.</w:t>
      </w:r>
    </w:p>
    <w:p w:rsidR="00283E5E" w:rsidRDefault="00283E5E">
      <w:pPr>
        <w:rPr>
          <w:b/>
          <w:bCs/>
          <w:sz w:val="24"/>
          <w:szCs w:val="24"/>
        </w:rPr>
      </w:pPr>
    </w:p>
    <w:p w:rsidR="00D24E61" w:rsidRPr="00771368" w:rsidRDefault="00D24E61">
      <w:pPr>
        <w:rPr>
          <w:sz w:val="20"/>
          <w:szCs w:val="20"/>
        </w:rPr>
      </w:pPr>
      <w:r w:rsidRPr="00771368">
        <w:rPr>
          <w:b/>
          <w:bCs/>
          <w:sz w:val="24"/>
          <w:szCs w:val="24"/>
        </w:rPr>
        <w:t>Referências Bibliográficas</w:t>
      </w:r>
    </w:p>
    <w:p w:rsidR="00D24E61" w:rsidRPr="00771368" w:rsidRDefault="00D24E61">
      <w:pPr>
        <w:spacing w:line="188" w:lineRule="exact"/>
        <w:rPr>
          <w:sz w:val="20"/>
          <w:szCs w:val="20"/>
        </w:rPr>
      </w:pPr>
    </w:p>
    <w:p w:rsidR="00D24E61" w:rsidRPr="00771368" w:rsidRDefault="00D24E61" w:rsidP="00283E5E">
      <w:pPr>
        <w:spacing w:after="200" w:line="214" w:lineRule="auto"/>
        <w:ind w:right="20"/>
        <w:jc w:val="both"/>
        <w:rPr>
          <w:sz w:val="20"/>
          <w:szCs w:val="20"/>
        </w:rPr>
      </w:pPr>
      <w:r w:rsidRPr="00771368">
        <w:rPr>
          <w:sz w:val="24"/>
          <w:szCs w:val="24"/>
        </w:rPr>
        <w:t xml:space="preserve">ARISTÓTELES. </w:t>
      </w:r>
      <w:r w:rsidRPr="00771368">
        <w:rPr>
          <w:b/>
          <w:bCs/>
          <w:sz w:val="24"/>
          <w:szCs w:val="24"/>
        </w:rPr>
        <w:t>A política</w:t>
      </w:r>
      <w:r w:rsidRPr="00771368">
        <w:rPr>
          <w:sz w:val="24"/>
          <w:szCs w:val="24"/>
        </w:rPr>
        <w:t>. Tradução de Nestor Silveira Chaves. São Paulo: Escala Educacional, 2006.</w:t>
      </w:r>
    </w:p>
    <w:p w:rsidR="00D24E61" w:rsidRPr="00771368" w:rsidRDefault="00D24E61" w:rsidP="00283E5E">
      <w:pPr>
        <w:spacing w:after="200" w:line="223" w:lineRule="auto"/>
        <w:jc w:val="both"/>
        <w:rPr>
          <w:sz w:val="24"/>
          <w:szCs w:val="24"/>
        </w:rPr>
      </w:pPr>
      <w:r w:rsidRPr="00771368">
        <w:rPr>
          <w:sz w:val="24"/>
          <w:szCs w:val="24"/>
        </w:rPr>
        <w:t xml:space="preserve">BRASIL. </w:t>
      </w:r>
      <w:r w:rsidRPr="00771368">
        <w:rPr>
          <w:b/>
          <w:bCs/>
          <w:sz w:val="24"/>
          <w:szCs w:val="24"/>
        </w:rPr>
        <w:t>Código civil de 1916</w:t>
      </w:r>
      <w:r w:rsidRPr="00771368">
        <w:rPr>
          <w:sz w:val="24"/>
          <w:szCs w:val="24"/>
        </w:rPr>
        <w:t>. Disponível em: &lt;</w:t>
      </w:r>
      <w:hyperlink r:id="rId163">
        <w:r w:rsidRPr="00771368">
          <w:rPr>
            <w:color w:val="0000FF"/>
            <w:sz w:val="24"/>
            <w:szCs w:val="24"/>
            <w:u w:val="single"/>
          </w:rPr>
          <w:t>http://www.jusbrasil.com.br/legislacao/103251/codigo-civil-de-1916-lei-3071-16</w:t>
        </w:r>
      </w:hyperlink>
      <w:r w:rsidRPr="00771368">
        <w:rPr>
          <w:sz w:val="24"/>
          <w:szCs w:val="24"/>
        </w:rPr>
        <w:t>&gt;. Acesso em: 02 set. 2011.</w:t>
      </w:r>
    </w:p>
    <w:p w:rsidR="00D24E61" w:rsidRPr="00771368" w:rsidRDefault="00D24E61" w:rsidP="00283E5E">
      <w:pPr>
        <w:spacing w:after="200" w:line="223" w:lineRule="auto"/>
        <w:ind w:right="20"/>
        <w:rPr>
          <w:sz w:val="24"/>
          <w:szCs w:val="24"/>
        </w:rPr>
      </w:pPr>
      <w:r w:rsidRPr="00771368">
        <w:rPr>
          <w:sz w:val="24"/>
          <w:szCs w:val="24"/>
        </w:rPr>
        <w:t xml:space="preserve">BRASIL. </w:t>
      </w:r>
      <w:r w:rsidRPr="00771368">
        <w:rPr>
          <w:b/>
          <w:bCs/>
          <w:sz w:val="24"/>
          <w:szCs w:val="24"/>
        </w:rPr>
        <w:t>Constituição da República Federativa do Brasil</w:t>
      </w:r>
      <w:r w:rsidRPr="00771368">
        <w:rPr>
          <w:sz w:val="24"/>
          <w:szCs w:val="24"/>
        </w:rPr>
        <w:t>. Brasília, 1988. Disponível em: &lt;</w:t>
      </w:r>
      <w:hyperlink r:id="rId164">
        <w:r w:rsidRPr="00771368">
          <w:rPr>
            <w:color w:val="0000FF"/>
            <w:sz w:val="24"/>
            <w:szCs w:val="24"/>
            <w:u w:val="single"/>
          </w:rPr>
          <w:t>http://www.senado.gov.br/legislacao/const/con1988/CON1988_05.10.1988/CON1988.shtm</w:t>
        </w:r>
      </w:hyperlink>
      <w:r w:rsidRPr="00771368">
        <w:rPr>
          <w:sz w:val="24"/>
          <w:szCs w:val="24"/>
        </w:rPr>
        <w:t xml:space="preserve"> &gt;. Acesso em 09 out. 2011.</w:t>
      </w:r>
    </w:p>
    <w:p w:rsidR="00D24E61" w:rsidRPr="00771368" w:rsidRDefault="00D24E61" w:rsidP="00283E5E">
      <w:pPr>
        <w:spacing w:after="200" w:line="223" w:lineRule="auto"/>
        <w:jc w:val="both"/>
        <w:rPr>
          <w:sz w:val="24"/>
          <w:szCs w:val="24"/>
        </w:rPr>
      </w:pPr>
      <w:r w:rsidRPr="00771368">
        <w:rPr>
          <w:sz w:val="24"/>
          <w:szCs w:val="24"/>
        </w:rPr>
        <w:t xml:space="preserve">CALDERON, Itay; SIMANTOV, Maya. </w:t>
      </w:r>
      <w:r w:rsidRPr="00771368">
        <w:rPr>
          <w:b/>
          <w:bCs/>
          <w:sz w:val="24"/>
          <w:szCs w:val="24"/>
        </w:rPr>
        <w:t>Lapada na rachada</w:t>
      </w:r>
      <w:r w:rsidRPr="00771368">
        <w:rPr>
          <w:sz w:val="24"/>
          <w:szCs w:val="24"/>
        </w:rPr>
        <w:t>. Disponível em: &lt;</w:t>
      </w:r>
      <w:hyperlink r:id="rId165">
        <w:r w:rsidRPr="00771368">
          <w:rPr>
            <w:color w:val="0000FF"/>
            <w:sz w:val="24"/>
            <w:szCs w:val="24"/>
            <w:u w:val="single"/>
          </w:rPr>
          <w:t>http://www.vagalume.com.br/saia-rodada/lapada-na-rachada.html</w:t>
        </w:r>
      </w:hyperlink>
      <w:r w:rsidRPr="00771368">
        <w:rPr>
          <w:sz w:val="24"/>
          <w:szCs w:val="24"/>
        </w:rPr>
        <w:t>&gt;. Acesso em: 01 set. 2011.</w:t>
      </w:r>
    </w:p>
    <w:p w:rsidR="00D24E61" w:rsidRPr="00771368" w:rsidRDefault="00D24E61" w:rsidP="00283E5E">
      <w:pPr>
        <w:spacing w:after="200" w:line="214" w:lineRule="auto"/>
        <w:ind w:right="20"/>
        <w:jc w:val="both"/>
        <w:rPr>
          <w:sz w:val="20"/>
          <w:szCs w:val="20"/>
        </w:rPr>
      </w:pPr>
      <w:r w:rsidRPr="00771368">
        <w:rPr>
          <w:sz w:val="24"/>
          <w:szCs w:val="24"/>
        </w:rPr>
        <w:t xml:space="preserve">MELO, Mônica de; TELES, Maria Amélia de Almeida. </w:t>
      </w:r>
      <w:r w:rsidRPr="00771368">
        <w:rPr>
          <w:b/>
          <w:bCs/>
          <w:sz w:val="24"/>
          <w:szCs w:val="24"/>
        </w:rPr>
        <w:t>O que é violência contra a mulher</w:t>
      </w:r>
      <w:r w:rsidRPr="00771368">
        <w:rPr>
          <w:sz w:val="24"/>
          <w:szCs w:val="24"/>
        </w:rPr>
        <w:t>. São Paulo: Brasiliense, 2002.</w:t>
      </w:r>
    </w:p>
    <w:p w:rsidR="00D24E61" w:rsidRPr="00771368" w:rsidRDefault="00D24E61" w:rsidP="00283E5E">
      <w:pPr>
        <w:spacing w:after="200" w:line="214" w:lineRule="auto"/>
        <w:ind w:right="20"/>
        <w:jc w:val="both"/>
        <w:rPr>
          <w:sz w:val="20"/>
          <w:szCs w:val="20"/>
        </w:rPr>
      </w:pPr>
      <w:r w:rsidRPr="00771368">
        <w:rPr>
          <w:sz w:val="24"/>
          <w:szCs w:val="24"/>
        </w:rPr>
        <w:t xml:space="preserve">MINAYO, M. C. S. (org) </w:t>
      </w:r>
      <w:r w:rsidRPr="00771368">
        <w:rPr>
          <w:b/>
          <w:bCs/>
          <w:sz w:val="24"/>
          <w:szCs w:val="24"/>
        </w:rPr>
        <w:t>Pesquisa social:</w:t>
      </w:r>
      <w:r w:rsidRPr="00771368">
        <w:rPr>
          <w:sz w:val="24"/>
          <w:szCs w:val="24"/>
        </w:rPr>
        <w:t xml:space="preserve"> teoria, método e criatividade. 20.ed. Petrópolis: Vozes, 2002.</w:t>
      </w:r>
    </w:p>
    <w:p w:rsidR="00D24E61" w:rsidRPr="00771368" w:rsidRDefault="00D24E61" w:rsidP="00283E5E">
      <w:pPr>
        <w:spacing w:after="200" w:line="223" w:lineRule="auto"/>
        <w:jc w:val="both"/>
        <w:rPr>
          <w:sz w:val="24"/>
          <w:szCs w:val="24"/>
        </w:rPr>
      </w:pPr>
      <w:r w:rsidRPr="00771368">
        <w:rPr>
          <w:sz w:val="24"/>
          <w:szCs w:val="24"/>
        </w:rPr>
        <w:t xml:space="preserve">MINISTÉRIO DA SAÚDE. </w:t>
      </w:r>
      <w:r w:rsidRPr="00771368">
        <w:rPr>
          <w:b/>
          <w:bCs/>
          <w:sz w:val="24"/>
          <w:szCs w:val="24"/>
        </w:rPr>
        <w:t>Sistema de informação de agravos de notificação</w:t>
      </w:r>
      <w:r w:rsidRPr="00771368">
        <w:rPr>
          <w:sz w:val="24"/>
          <w:szCs w:val="24"/>
        </w:rPr>
        <w:t>. Disponível em: &lt;</w:t>
      </w:r>
      <w:hyperlink r:id="rId166">
        <w:r w:rsidRPr="00771368">
          <w:rPr>
            <w:color w:val="0000FF"/>
            <w:sz w:val="24"/>
            <w:szCs w:val="24"/>
            <w:u w:val="single"/>
          </w:rPr>
          <w:t>http://portal.saude.gov.br/portal/saude/visualizar_texto.cfm?idtxt=21383</w:t>
        </w:r>
      </w:hyperlink>
      <w:r w:rsidRPr="00771368">
        <w:rPr>
          <w:sz w:val="24"/>
          <w:szCs w:val="24"/>
        </w:rPr>
        <w:t>&gt;. Acesso em: 06 nov. 2011.</w:t>
      </w:r>
    </w:p>
    <w:p w:rsidR="00D24E61" w:rsidRPr="00771368" w:rsidRDefault="00D24E61" w:rsidP="00283E5E">
      <w:pPr>
        <w:spacing w:after="200" w:line="214" w:lineRule="auto"/>
        <w:ind w:right="20"/>
        <w:jc w:val="both"/>
        <w:rPr>
          <w:sz w:val="20"/>
          <w:szCs w:val="20"/>
        </w:rPr>
      </w:pPr>
      <w:r w:rsidRPr="00771368">
        <w:rPr>
          <w:sz w:val="24"/>
          <w:szCs w:val="24"/>
        </w:rPr>
        <w:t xml:space="preserve">PREFEITURA MUNICIPAL DE CURITIBA. </w:t>
      </w:r>
      <w:r w:rsidRPr="00771368">
        <w:rPr>
          <w:b/>
          <w:bCs/>
          <w:sz w:val="24"/>
          <w:szCs w:val="24"/>
        </w:rPr>
        <w:t>Manual de atenção à mulher em situação de</w:t>
      </w:r>
      <w:r w:rsidRPr="00771368">
        <w:rPr>
          <w:sz w:val="24"/>
          <w:szCs w:val="24"/>
        </w:rPr>
        <w:t xml:space="preserve"> </w:t>
      </w:r>
      <w:r w:rsidRPr="00771368">
        <w:rPr>
          <w:b/>
          <w:bCs/>
          <w:sz w:val="24"/>
          <w:szCs w:val="24"/>
        </w:rPr>
        <w:t>violência</w:t>
      </w:r>
      <w:r w:rsidRPr="00771368">
        <w:rPr>
          <w:sz w:val="24"/>
          <w:szCs w:val="24"/>
        </w:rPr>
        <w:t>. Curitiba, 2008.</w:t>
      </w:r>
    </w:p>
    <w:p w:rsidR="00D24E61" w:rsidRPr="00771368" w:rsidRDefault="00D24E61" w:rsidP="00283E5E">
      <w:pPr>
        <w:spacing w:after="200" w:line="214" w:lineRule="auto"/>
        <w:ind w:right="20"/>
        <w:jc w:val="both"/>
        <w:rPr>
          <w:sz w:val="20"/>
          <w:szCs w:val="20"/>
        </w:rPr>
      </w:pPr>
      <w:r w:rsidRPr="00771368">
        <w:rPr>
          <w:sz w:val="24"/>
          <w:szCs w:val="24"/>
        </w:rPr>
        <w:t xml:space="preserve">QUIROGA, Consuelo. </w:t>
      </w:r>
      <w:r w:rsidRPr="00771368">
        <w:rPr>
          <w:b/>
          <w:bCs/>
          <w:sz w:val="24"/>
          <w:szCs w:val="24"/>
        </w:rPr>
        <w:t>Invasão positivista no marxismo</w:t>
      </w:r>
      <w:r w:rsidRPr="00771368">
        <w:rPr>
          <w:sz w:val="24"/>
          <w:szCs w:val="24"/>
        </w:rPr>
        <w:t>: manifestações no ensino da metodologia do serviço social. São Paulo: Cortez, 1991.</w:t>
      </w:r>
    </w:p>
    <w:p w:rsidR="00D24E61" w:rsidRPr="00771368" w:rsidRDefault="00D24E61" w:rsidP="00283E5E">
      <w:pPr>
        <w:spacing w:after="200" w:line="227" w:lineRule="auto"/>
        <w:rPr>
          <w:color w:val="0000FF"/>
          <w:sz w:val="24"/>
          <w:szCs w:val="24"/>
        </w:rPr>
      </w:pPr>
      <w:r w:rsidRPr="00771368">
        <w:rPr>
          <w:sz w:val="24"/>
          <w:szCs w:val="24"/>
        </w:rPr>
        <w:t xml:space="preserve">SECRETARIA MUNICIPAL DE SAÚDE. </w:t>
      </w:r>
      <w:r w:rsidRPr="00771368">
        <w:rPr>
          <w:b/>
          <w:bCs/>
          <w:sz w:val="24"/>
          <w:szCs w:val="24"/>
        </w:rPr>
        <w:t>Relatório do programa mulher de verdade</w:t>
      </w:r>
      <w:r w:rsidRPr="00771368">
        <w:rPr>
          <w:sz w:val="24"/>
          <w:szCs w:val="24"/>
        </w:rPr>
        <w:t>. Curitiba, 2009. Disponível em &lt;</w:t>
      </w:r>
      <w:hyperlink r:id="rId167">
        <w:r w:rsidRPr="00771368">
          <w:rPr>
            <w:color w:val="0000FF"/>
            <w:sz w:val="24"/>
            <w:szCs w:val="24"/>
            <w:u w:val="single"/>
          </w:rPr>
          <w:t>http://sitesms.curitiba.pr.gov.br/saude/areastematicas/mulher/RelatorioProgramaMulherdeV</w:t>
        </w:r>
      </w:hyperlink>
      <w:r w:rsidRPr="00771368">
        <w:rPr>
          <w:sz w:val="24"/>
          <w:szCs w:val="24"/>
        </w:rPr>
        <w:t xml:space="preserve"> </w:t>
      </w:r>
      <w:hyperlink r:id="rId168">
        <w:r w:rsidRPr="00771368">
          <w:rPr>
            <w:color w:val="0000FF"/>
            <w:sz w:val="24"/>
            <w:szCs w:val="24"/>
            <w:u w:val="single"/>
          </w:rPr>
          <w:t>erdade2009.pdf</w:t>
        </w:r>
      </w:hyperlink>
      <w:r w:rsidRPr="00771368">
        <w:rPr>
          <w:color w:val="000000"/>
          <w:sz w:val="24"/>
          <w:szCs w:val="24"/>
        </w:rPr>
        <w:t>&gt;.</w:t>
      </w:r>
      <w:r w:rsidRPr="00771368">
        <w:rPr>
          <w:color w:val="0000FF"/>
          <w:sz w:val="24"/>
          <w:szCs w:val="24"/>
        </w:rPr>
        <w:t xml:space="preserve"> </w:t>
      </w:r>
      <w:r w:rsidRPr="00771368">
        <w:rPr>
          <w:color w:val="000000"/>
          <w:sz w:val="24"/>
          <w:szCs w:val="24"/>
        </w:rPr>
        <w:t>Acesso: em 07 nov.2011.</w:t>
      </w:r>
    </w:p>
    <w:p w:rsidR="00D24E61" w:rsidRPr="00771368" w:rsidRDefault="00D24E61" w:rsidP="00283E5E">
      <w:pPr>
        <w:spacing w:after="200" w:line="214" w:lineRule="auto"/>
        <w:ind w:right="20"/>
        <w:rPr>
          <w:sz w:val="20"/>
          <w:szCs w:val="20"/>
        </w:rPr>
      </w:pPr>
      <w:r w:rsidRPr="00771368">
        <w:rPr>
          <w:sz w:val="24"/>
          <w:szCs w:val="24"/>
        </w:rPr>
        <w:t xml:space="preserve">SILVA, Marlise Vinagre. </w:t>
      </w:r>
      <w:r w:rsidRPr="00771368">
        <w:rPr>
          <w:b/>
          <w:bCs/>
          <w:sz w:val="24"/>
          <w:szCs w:val="24"/>
        </w:rPr>
        <w:t>Violência contra a mulher</w:t>
      </w:r>
      <w:r w:rsidRPr="00771368">
        <w:rPr>
          <w:sz w:val="24"/>
          <w:szCs w:val="24"/>
        </w:rPr>
        <w:t>: quem mete a colher?. São Paulo: Cortez, 1992.</w:t>
      </w:r>
    </w:p>
    <w:p w:rsidR="00D24E61" w:rsidRPr="00771368" w:rsidRDefault="00D24E61" w:rsidP="00283E5E">
      <w:pPr>
        <w:spacing w:after="200"/>
        <w:rPr>
          <w:sz w:val="20"/>
          <w:szCs w:val="20"/>
        </w:rPr>
      </w:pPr>
      <w:r w:rsidRPr="00771368">
        <w:rPr>
          <w:sz w:val="24"/>
          <w:szCs w:val="24"/>
        </w:rPr>
        <w:t xml:space="preserve">TOLEDO, Cecília. </w:t>
      </w:r>
      <w:r w:rsidRPr="00771368">
        <w:rPr>
          <w:b/>
          <w:bCs/>
          <w:sz w:val="24"/>
          <w:szCs w:val="24"/>
        </w:rPr>
        <w:t>Mulheres</w:t>
      </w:r>
      <w:r w:rsidRPr="00771368">
        <w:rPr>
          <w:sz w:val="24"/>
          <w:szCs w:val="24"/>
        </w:rPr>
        <w:t>: o gênero nos une, a classe nos divide. São Paulo: Xamã, 2001.</w:t>
      </w:r>
    </w:p>
    <w:p w:rsidR="00D24E61" w:rsidRPr="00771368" w:rsidRDefault="00D24E61" w:rsidP="00283E5E">
      <w:pPr>
        <w:spacing w:after="200" w:line="214" w:lineRule="auto"/>
        <w:ind w:right="20"/>
        <w:rPr>
          <w:sz w:val="20"/>
          <w:szCs w:val="20"/>
        </w:rPr>
      </w:pPr>
      <w:r w:rsidRPr="00771368">
        <w:rPr>
          <w:sz w:val="24"/>
          <w:szCs w:val="24"/>
        </w:rPr>
        <w:t xml:space="preserve">VERONESE, Josiane Rose Petry. </w:t>
      </w:r>
      <w:r w:rsidRPr="00771368">
        <w:rPr>
          <w:b/>
          <w:bCs/>
          <w:sz w:val="24"/>
          <w:szCs w:val="24"/>
        </w:rPr>
        <w:t>Entre violentados e violentadores</w:t>
      </w:r>
      <w:r w:rsidRPr="00771368">
        <w:rPr>
          <w:sz w:val="24"/>
          <w:szCs w:val="24"/>
        </w:rPr>
        <w:t>. São Paulo: Cidade Nova, 1998.</w:t>
      </w:r>
    </w:p>
    <w:p w:rsidR="00D24E61" w:rsidRPr="00771368" w:rsidRDefault="00D24E61">
      <w:pPr>
        <w:ind w:left="1761"/>
        <w:rPr>
          <w:sz w:val="20"/>
          <w:szCs w:val="20"/>
        </w:rPr>
      </w:pPr>
      <w:r w:rsidRPr="00771368">
        <w:rPr>
          <w:b/>
          <w:bCs/>
          <w:sz w:val="24"/>
          <w:szCs w:val="24"/>
        </w:rPr>
        <w:t>GRAFFITI: OLHAR FEMININO DE NINA PANDOLFO</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66" w:lineRule="exact"/>
        <w:rPr>
          <w:sz w:val="24"/>
          <w:szCs w:val="24"/>
        </w:rPr>
      </w:pPr>
    </w:p>
    <w:p w:rsidR="00D24E61" w:rsidRPr="00771368" w:rsidRDefault="00D24E61" w:rsidP="00283E5E">
      <w:pPr>
        <w:pStyle w:val="Ttulo1"/>
        <w:rPr>
          <w:sz w:val="20"/>
          <w:szCs w:val="20"/>
        </w:rPr>
      </w:pPr>
      <w:bookmarkStart w:id="56" w:name="_Toc442034745"/>
      <w:r w:rsidRPr="00771368">
        <w:t>Katiuscia Angélica Micaela de Oliveira</w:t>
      </w:r>
      <w:r w:rsidRPr="00771368">
        <w:rPr>
          <w:sz w:val="31"/>
          <w:szCs w:val="31"/>
          <w:vertAlign w:val="superscript"/>
        </w:rPr>
        <w:t>1</w:t>
      </w:r>
      <w:bookmarkEnd w:id="56"/>
    </w:p>
    <w:p w:rsidR="00D24E61" w:rsidRPr="00771368" w:rsidRDefault="00D24E61">
      <w:pPr>
        <w:spacing w:line="61" w:lineRule="exact"/>
        <w:rPr>
          <w:sz w:val="24"/>
          <w:szCs w:val="24"/>
        </w:rPr>
      </w:pPr>
    </w:p>
    <w:p w:rsidR="00D24E61" w:rsidRPr="00771368" w:rsidRDefault="00D24E61">
      <w:pPr>
        <w:ind w:left="4341"/>
        <w:rPr>
          <w:sz w:val="20"/>
          <w:szCs w:val="20"/>
        </w:rPr>
      </w:pPr>
      <w:r w:rsidRPr="00771368">
        <w:rPr>
          <w:sz w:val="24"/>
          <w:szCs w:val="24"/>
        </w:rPr>
        <w:t>UNISUL- Universidade do Sul de Santa Catarina</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98" w:lineRule="exact"/>
        <w:rPr>
          <w:sz w:val="24"/>
          <w:szCs w:val="24"/>
        </w:rPr>
      </w:pPr>
    </w:p>
    <w:p w:rsidR="00D24E61" w:rsidRPr="00771368" w:rsidRDefault="00D24E61">
      <w:pPr>
        <w:ind w:left="1"/>
        <w:rPr>
          <w:sz w:val="20"/>
          <w:szCs w:val="20"/>
        </w:rPr>
      </w:pPr>
      <w:r w:rsidRPr="00771368">
        <w:rPr>
          <w:sz w:val="24"/>
          <w:szCs w:val="24"/>
        </w:rPr>
        <w:t>INTRODUÇÃO</w:t>
      </w:r>
    </w:p>
    <w:p w:rsidR="00D24E61" w:rsidRPr="00771368" w:rsidRDefault="00D24E61">
      <w:pPr>
        <w:spacing w:line="195" w:lineRule="exact"/>
        <w:rPr>
          <w:sz w:val="24"/>
          <w:szCs w:val="24"/>
        </w:rPr>
      </w:pPr>
    </w:p>
    <w:p w:rsidR="00D24E61" w:rsidRPr="00771368" w:rsidRDefault="00D24E61">
      <w:pPr>
        <w:spacing w:line="355" w:lineRule="auto"/>
        <w:ind w:left="1"/>
        <w:jc w:val="both"/>
        <w:rPr>
          <w:sz w:val="20"/>
          <w:szCs w:val="20"/>
        </w:rPr>
      </w:pPr>
      <w:r w:rsidRPr="00771368">
        <w:rPr>
          <w:sz w:val="24"/>
          <w:szCs w:val="24"/>
        </w:rPr>
        <w:t>O mundo é repleto de imagens, as imagens são repletas de mundos. Desde os humanos primórdios até os dias de hoje, há necessidade de deixar registros de presença, de observações do mundo, de criações artísticas, da política, da natureza, da evolução tecnológica. Esses registros estão intermitentemente espalhados pelo nosso campo óptico. Para cada lugar que olhar, o ser humano se depara com imagens e essas o ajudam a constituir sua identidade e a localizá-lo em espaço-tempo. Propõe-se este texto a observar, analisar, entender a importância da imagem e sua ressurgência através de breve história da arte de rua com ênfase no graffiti, seus intermitentes aparecimentos e desaparecimentos, através da apreciação da ressignificação do graffiti pelo olhar feminino de Nina Pandolfo na criação de suas obras de arte. Valorar o reconhecimento da arte feminina brasileira sendo vista em galerias e ruas em diversas partes do mundo através das obras da grafiteira Nina Pandolfo, justificando que o graffiti também é arte produzida e reconhecida feita pelas mãos femininas.</w:t>
      </w:r>
    </w:p>
    <w:p w:rsidR="00D24E61" w:rsidRPr="00771368" w:rsidRDefault="00D24E61">
      <w:pPr>
        <w:spacing w:line="200" w:lineRule="exact"/>
        <w:rPr>
          <w:sz w:val="24"/>
          <w:szCs w:val="24"/>
        </w:rPr>
      </w:pPr>
    </w:p>
    <w:p w:rsidR="00D24E61" w:rsidRPr="00771368" w:rsidRDefault="00D24E61">
      <w:pPr>
        <w:spacing w:line="225" w:lineRule="exact"/>
        <w:rPr>
          <w:sz w:val="24"/>
          <w:szCs w:val="24"/>
        </w:rPr>
      </w:pPr>
    </w:p>
    <w:p w:rsidR="00D24E61" w:rsidRPr="00771368" w:rsidRDefault="00D24E61">
      <w:pPr>
        <w:ind w:left="1"/>
        <w:rPr>
          <w:sz w:val="20"/>
          <w:szCs w:val="20"/>
        </w:rPr>
      </w:pPr>
      <w:r w:rsidRPr="00771368">
        <w:rPr>
          <w:sz w:val="24"/>
          <w:szCs w:val="24"/>
        </w:rPr>
        <w:t>OBJETIVOS</w:t>
      </w:r>
    </w:p>
    <w:p w:rsidR="00D24E61" w:rsidRPr="00771368" w:rsidRDefault="00D24E61">
      <w:pPr>
        <w:spacing w:line="139" w:lineRule="exact"/>
        <w:rPr>
          <w:sz w:val="24"/>
          <w:szCs w:val="24"/>
        </w:rPr>
      </w:pPr>
    </w:p>
    <w:p w:rsidR="00D24E61" w:rsidRPr="00771368" w:rsidRDefault="00D24E61">
      <w:pPr>
        <w:ind w:left="1"/>
        <w:rPr>
          <w:sz w:val="20"/>
          <w:szCs w:val="20"/>
        </w:rPr>
      </w:pPr>
      <w:r w:rsidRPr="00771368">
        <w:rPr>
          <w:sz w:val="24"/>
          <w:szCs w:val="24"/>
        </w:rPr>
        <w:t>OBJETIVO GERAL</w:t>
      </w:r>
    </w:p>
    <w:p w:rsidR="00D24E61" w:rsidRPr="00771368" w:rsidRDefault="00D24E61">
      <w:pPr>
        <w:spacing w:line="195" w:lineRule="exact"/>
        <w:rPr>
          <w:sz w:val="24"/>
          <w:szCs w:val="24"/>
        </w:rPr>
      </w:pPr>
    </w:p>
    <w:p w:rsidR="00D24E61" w:rsidRPr="00771368" w:rsidRDefault="00D24E61">
      <w:pPr>
        <w:spacing w:line="310" w:lineRule="auto"/>
        <w:ind w:left="1" w:right="20" w:firstLine="708"/>
        <w:jc w:val="both"/>
        <w:rPr>
          <w:sz w:val="20"/>
          <w:szCs w:val="20"/>
        </w:rPr>
      </w:pPr>
      <w:r w:rsidRPr="00771368">
        <w:rPr>
          <w:sz w:val="24"/>
          <w:szCs w:val="24"/>
        </w:rPr>
        <w:t>Analisar obras de Nina Pandolfo como instâncias de ressurgência da imagem na contemporaneidade apartir do olhar faminino.</w:t>
      </w:r>
    </w:p>
    <w:p w:rsidR="00D24E61" w:rsidRPr="00771368" w:rsidRDefault="00D24E61">
      <w:pPr>
        <w:spacing w:line="57" w:lineRule="exact"/>
        <w:rPr>
          <w:sz w:val="24"/>
          <w:szCs w:val="24"/>
        </w:rPr>
      </w:pPr>
    </w:p>
    <w:p w:rsidR="00D24E61" w:rsidRPr="00771368" w:rsidRDefault="00D24E61">
      <w:pPr>
        <w:ind w:left="1"/>
        <w:rPr>
          <w:sz w:val="20"/>
          <w:szCs w:val="20"/>
        </w:rPr>
      </w:pPr>
      <w:r w:rsidRPr="00771368">
        <w:rPr>
          <w:sz w:val="24"/>
          <w:szCs w:val="24"/>
        </w:rPr>
        <w:t>OBJETIVOS ESPECÍFICOS</w:t>
      </w:r>
    </w:p>
    <w:p w:rsidR="00D24E61" w:rsidRPr="00771368" w:rsidRDefault="00D24E61">
      <w:pPr>
        <w:spacing w:line="139" w:lineRule="exact"/>
        <w:rPr>
          <w:sz w:val="24"/>
          <w:szCs w:val="24"/>
        </w:rPr>
      </w:pPr>
    </w:p>
    <w:p w:rsidR="00D24E61" w:rsidRPr="00771368" w:rsidRDefault="00D24E61" w:rsidP="00D24E61">
      <w:pPr>
        <w:numPr>
          <w:ilvl w:val="0"/>
          <w:numId w:val="9"/>
        </w:numPr>
        <w:tabs>
          <w:tab w:val="left" w:pos="701"/>
        </w:tabs>
        <w:ind w:left="701" w:hanging="701"/>
        <w:jc w:val="both"/>
        <w:rPr>
          <w:sz w:val="24"/>
          <w:szCs w:val="24"/>
        </w:rPr>
      </w:pPr>
      <w:r w:rsidRPr="00771368">
        <w:rPr>
          <w:sz w:val="24"/>
          <w:szCs w:val="24"/>
        </w:rPr>
        <w:t>Pesquisar a origem e diferenciar pichação, graffitti e arte de rua;</w:t>
      </w:r>
    </w:p>
    <w:p w:rsidR="00D24E61" w:rsidRPr="00771368" w:rsidRDefault="00D24E61">
      <w:pPr>
        <w:spacing w:line="136" w:lineRule="exact"/>
        <w:rPr>
          <w:sz w:val="24"/>
          <w:szCs w:val="24"/>
        </w:rPr>
      </w:pPr>
    </w:p>
    <w:p w:rsidR="00D24E61" w:rsidRPr="00771368" w:rsidRDefault="00D24E61" w:rsidP="00D24E61">
      <w:pPr>
        <w:numPr>
          <w:ilvl w:val="0"/>
          <w:numId w:val="9"/>
        </w:numPr>
        <w:tabs>
          <w:tab w:val="left" w:pos="701"/>
        </w:tabs>
        <w:ind w:left="701" w:hanging="701"/>
        <w:jc w:val="both"/>
        <w:rPr>
          <w:sz w:val="24"/>
          <w:szCs w:val="24"/>
        </w:rPr>
      </w:pPr>
      <w:r w:rsidRPr="00771368">
        <w:rPr>
          <w:sz w:val="24"/>
          <w:szCs w:val="24"/>
        </w:rPr>
        <w:t>discutir as várias posições ocupadas pelo graffiti e pela arte de rua no mundo das artes;</w:t>
      </w:r>
    </w:p>
    <w:p w:rsidR="00D24E61" w:rsidRPr="00771368" w:rsidRDefault="00D24E61">
      <w:pPr>
        <w:spacing w:line="197" w:lineRule="exact"/>
        <w:rPr>
          <w:sz w:val="24"/>
          <w:szCs w:val="24"/>
        </w:rPr>
      </w:pPr>
    </w:p>
    <w:p w:rsidR="00D24E61" w:rsidRPr="00771368" w:rsidRDefault="00D24E61" w:rsidP="00D24E61">
      <w:pPr>
        <w:numPr>
          <w:ilvl w:val="0"/>
          <w:numId w:val="9"/>
        </w:numPr>
        <w:tabs>
          <w:tab w:val="left" w:pos="709"/>
        </w:tabs>
        <w:spacing w:line="308" w:lineRule="auto"/>
        <w:ind w:left="1" w:right="20" w:hanging="1"/>
        <w:jc w:val="both"/>
        <w:rPr>
          <w:sz w:val="24"/>
          <w:szCs w:val="24"/>
        </w:rPr>
      </w:pPr>
      <w:r w:rsidRPr="00771368">
        <w:rPr>
          <w:sz w:val="24"/>
          <w:szCs w:val="24"/>
        </w:rPr>
        <w:t>entender o graffitti e a arte de rua como manifestações de uma partilha do sensível que complexificam os lugares próprios das artes;</w:t>
      </w:r>
    </w:p>
    <w:p w:rsidR="00D24E61" w:rsidRPr="00771368" w:rsidRDefault="00D24E61">
      <w:pPr>
        <w:spacing w:line="62" w:lineRule="exact"/>
        <w:rPr>
          <w:sz w:val="24"/>
          <w:szCs w:val="24"/>
        </w:rPr>
      </w:pPr>
    </w:p>
    <w:p w:rsidR="00D24E61" w:rsidRPr="00771368" w:rsidRDefault="00D24E61" w:rsidP="00D24E61">
      <w:pPr>
        <w:numPr>
          <w:ilvl w:val="0"/>
          <w:numId w:val="9"/>
        </w:numPr>
        <w:tabs>
          <w:tab w:val="left" w:pos="701"/>
        </w:tabs>
        <w:ind w:left="701" w:hanging="701"/>
        <w:jc w:val="both"/>
        <w:rPr>
          <w:sz w:val="24"/>
          <w:szCs w:val="24"/>
        </w:rPr>
      </w:pPr>
      <w:r w:rsidRPr="00771368">
        <w:rPr>
          <w:sz w:val="24"/>
          <w:szCs w:val="24"/>
        </w:rPr>
        <w:t>analisar as obras de Nina Pandolfo e o reconhecimento artístico do graffiti feminino.</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658752" behindDoc="0" locked="0" layoutInCell="0" allowOverlap="1">
                <wp:simplePos x="0" y="0"/>
                <wp:positionH relativeFrom="column">
                  <wp:posOffset>0</wp:posOffset>
                </wp:positionH>
                <wp:positionV relativeFrom="paragraph">
                  <wp:posOffset>195580</wp:posOffset>
                </wp:positionV>
                <wp:extent cx="1828800" cy="0"/>
                <wp:effectExtent l="9525" t="5080" r="9525" b="13970"/>
                <wp:wrapNone/>
                <wp:docPr id="26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4pt" to="2in,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vFQIAACs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" o:allowincell="f" strokeweight=".21164mm"/>
            </w:pict>
          </mc:Fallback>
        </mc:AlternateContent>
      </w:r>
    </w:p>
    <w:p w:rsidR="00D24E61" w:rsidRPr="00771368" w:rsidRDefault="00D24E61">
      <w:pPr>
        <w:spacing w:line="224" w:lineRule="exact"/>
        <w:rPr>
          <w:sz w:val="24"/>
          <w:szCs w:val="24"/>
        </w:rPr>
      </w:pPr>
    </w:p>
    <w:p w:rsidR="00D24E61" w:rsidRPr="00771368" w:rsidRDefault="00D24E61">
      <w:pPr>
        <w:spacing w:line="220" w:lineRule="auto"/>
        <w:ind w:left="1" w:right="5140"/>
        <w:rPr>
          <w:sz w:val="20"/>
          <w:szCs w:val="20"/>
        </w:rPr>
      </w:pPr>
      <w:r w:rsidRPr="00771368">
        <w:rPr>
          <w:sz w:val="24"/>
          <w:szCs w:val="24"/>
          <w:vertAlign w:val="superscript"/>
        </w:rPr>
        <w:t>1</w:t>
      </w:r>
      <w:r w:rsidRPr="00771368">
        <w:rPr>
          <w:sz w:val="19"/>
          <w:szCs w:val="19"/>
        </w:rPr>
        <w:t>Katiuscia Angélica Micaela de OLIVEIRA UNISUL- Universidade do Sul de Santa Catarina</w:t>
      </w:r>
    </w:p>
    <w:p w:rsidR="00D24E61" w:rsidRPr="00771368" w:rsidRDefault="00D24E61">
      <w:pPr>
        <w:spacing w:line="50" w:lineRule="exact"/>
        <w:rPr>
          <w:sz w:val="24"/>
          <w:szCs w:val="24"/>
        </w:rPr>
      </w:pPr>
    </w:p>
    <w:p w:rsidR="00D24E61" w:rsidRPr="00771368" w:rsidRDefault="00D24E61">
      <w:pPr>
        <w:spacing w:line="222" w:lineRule="auto"/>
        <w:ind w:left="1" w:right="3640"/>
        <w:rPr>
          <w:sz w:val="20"/>
          <w:szCs w:val="20"/>
        </w:rPr>
      </w:pPr>
      <w:r w:rsidRPr="00771368">
        <w:rPr>
          <w:sz w:val="20"/>
          <w:szCs w:val="20"/>
        </w:rPr>
        <w:t xml:space="preserve">Programa de Pós-graduação em Ciências da Linguagem- Mestranda </w:t>
      </w:r>
      <w:hyperlink r:id="rId169">
        <w:r w:rsidRPr="00771368">
          <w:rPr>
            <w:sz w:val="20"/>
            <w:szCs w:val="20"/>
          </w:rPr>
          <w:t>Katiuscia-kamo@hotmail.com</w:t>
        </w:r>
      </w:hyperlink>
      <w:r w:rsidRPr="00771368">
        <w:rPr>
          <w:sz w:val="20"/>
          <w:szCs w:val="20"/>
        </w:rPr>
        <w:t xml:space="preserve"> http://lattes.cnpq.br/1960534411412294</w:t>
      </w: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ind w:left="500"/>
        <w:rPr>
          <w:sz w:val="20"/>
          <w:szCs w:val="20"/>
        </w:rPr>
      </w:pPr>
      <w:r w:rsidRPr="00771368">
        <w:rPr>
          <w:b/>
          <w:bCs/>
          <w:sz w:val="24"/>
          <w:szCs w:val="24"/>
        </w:rPr>
        <w:t>ORIGENS DO GRAFFITI ATÉ OS DIAS ATUAIS</w:t>
      </w:r>
    </w:p>
    <w:p w:rsidR="00D24E61" w:rsidRPr="00771368" w:rsidRDefault="00D24E61">
      <w:pPr>
        <w:spacing w:line="200" w:lineRule="exact"/>
        <w:rPr>
          <w:sz w:val="20"/>
          <w:szCs w:val="20"/>
        </w:rPr>
      </w:pPr>
    </w:p>
    <w:p w:rsidR="00D24E61" w:rsidRPr="00771368" w:rsidRDefault="00D24E61">
      <w:pPr>
        <w:spacing w:line="351" w:lineRule="exact"/>
        <w:rPr>
          <w:sz w:val="20"/>
          <w:szCs w:val="20"/>
        </w:rPr>
      </w:pPr>
    </w:p>
    <w:p w:rsidR="00D24E61" w:rsidRPr="00771368" w:rsidRDefault="00D24E61">
      <w:pPr>
        <w:spacing w:line="350" w:lineRule="auto"/>
        <w:ind w:firstLine="708"/>
        <w:jc w:val="both"/>
        <w:rPr>
          <w:sz w:val="20"/>
          <w:szCs w:val="20"/>
        </w:rPr>
      </w:pPr>
      <w:r w:rsidRPr="00771368">
        <w:rPr>
          <w:sz w:val="24"/>
          <w:szCs w:val="24"/>
        </w:rPr>
        <w:t>A arte de rua se propaga de forma intensa, apropriando-se de diferentes linguagens, permitindo discutir questões ligadas ao espaço públicos presente no cotidiano da humanidade. As multiplicidades de linguagens que caracteriza essas produções artísticas presentes nas ruas dialogam. Dentre essas interferências encontra-se o graffiti e a pichação comunicando-se visualmente podendo causar desagrado, inquietações, experiências de gosto. A pichação como intervenção urbana com objetivos de protestos, o graffiti como arte de rua.</w:t>
      </w:r>
    </w:p>
    <w:p w:rsidR="00D24E61" w:rsidRPr="00771368" w:rsidRDefault="00D24E61">
      <w:pPr>
        <w:spacing w:line="69" w:lineRule="exact"/>
        <w:rPr>
          <w:sz w:val="20"/>
          <w:szCs w:val="20"/>
        </w:rPr>
      </w:pPr>
    </w:p>
    <w:p w:rsidR="00D24E61" w:rsidRPr="00771368" w:rsidRDefault="00D24E61">
      <w:pPr>
        <w:spacing w:line="356" w:lineRule="auto"/>
        <w:ind w:right="20" w:firstLine="768"/>
        <w:jc w:val="both"/>
        <w:rPr>
          <w:sz w:val="20"/>
          <w:szCs w:val="20"/>
        </w:rPr>
      </w:pPr>
      <w:r w:rsidRPr="00771368">
        <w:rPr>
          <w:sz w:val="24"/>
          <w:szCs w:val="24"/>
        </w:rPr>
        <w:t xml:space="preserve">O que se conhece hoje como graffiti está relacionado com a origem da arte, Arte Rupestre, o mais antigo registro gráfico da humanidade. A Arte Rupestre, forma de expressão usada como escrituras nas cavernas, onde supostamente o homem paleolítico teve necessidade de registrar sua marca, sua presença. Os povos da antiguidade registravam fatos que foram importantes como é o caso dos registros em túmulos dos faraós Egípcios em que imagens e textos contam histórias por meio das composições elaboradas em forma de grandes murais. Essa forma de comunicação também foi utilizada por povos do Oriente, como China e Índia. Em Roma, os primeiros cristãos gravaram sinais religiosos nas catacumbas onde se reuniam em segredos. A sequência de registros se deu em tempos da antiguidade na Grécia e em Pompéia. Há certo silêncio nos relatos teóricos de referências mais aprofundadas de como o graffiti e a pichação se desenvolveram no tempo, mas é possível enfatizar na trajetória nos 50 anos.Na contemporaneidade, ocorre o aparecimento de pichações em Paris, em maio de 1968, mas como inscrições de protesto à opressão política. A pichação aparece nos últimos anos da década de 1960 em Nova York, quando alguns jovens começaram a usar tinta em spray , pela sua praticidade de uso, para fazer inscrições rápidas em vagões do metrô, protestando por melhores condições de vida, saneamento básico para imigrantes e desprovidos econômicos na cidade. Segundo </w:t>
      </w:r>
      <w:r w:rsidRPr="00771368">
        <w:t>Ramos. (1994, p.13):</w:t>
      </w:r>
    </w:p>
    <w:p w:rsidR="00D24E61" w:rsidRPr="00771368" w:rsidRDefault="00D24E61">
      <w:pPr>
        <w:spacing w:line="200" w:lineRule="exact"/>
        <w:rPr>
          <w:sz w:val="20"/>
          <w:szCs w:val="20"/>
        </w:rPr>
      </w:pPr>
    </w:p>
    <w:p w:rsidR="00D24E61" w:rsidRPr="00771368" w:rsidRDefault="00D24E61">
      <w:pPr>
        <w:spacing w:line="289" w:lineRule="exact"/>
        <w:rPr>
          <w:sz w:val="20"/>
          <w:szCs w:val="20"/>
        </w:rPr>
      </w:pPr>
    </w:p>
    <w:p w:rsidR="00D24E61" w:rsidRPr="00771368" w:rsidRDefault="00D24E61">
      <w:pPr>
        <w:spacing w:line="243" w:lineRule="auto"/>
        <w:ind w:left="2260" w:right="20" w:firstLine="46"/>
        <w:jc w:val="both"/>
        <w:rPr>
          <w:sz w:val="20"/>
          <w:szCs w:val="20"/>
        </w:rPr>
      </w:pPr>
      <w:r w:rsidRPr="00771368">
        <w:t>E</w:t>
      </w:r>
      <w:r w:rsidRPr="00771368">
        <w:rPr>
          <w:sz w:val="19"/>
          <w:szCs w:val="19"/>
        </w:rPr>
        <w:t>m 1972, quatro anos depois dos registros parisienses, já a nova onda irrompia em</w:t>
      </w:r>
      <w:r w:rsidRPr="00771368">
        <w:t xml:space="preserve"> </w:t>
      </w:r>
      <w:r w:rsidRPr="00771368">
        <w:rPr>
          <w:sz w:val="19"/>
          <w:szCs w:val="19"/>
        </w:rPr>
        <w:t>New York. Das paredes dos guetos e dos muros da periferia, as mensagens, letras e imagens passaram a pegar carona nos trens dos metrôs, nos caminhões e ônibus,percorreram a cidade e fizeram história. Esses graffitis surpreenderam a população, afugentaram turistas dos metrôs, foram combatidos pela polícia e conduziram alguns de seus autores à cadeia, enquanto outros eram conduzidos às mais importantes galerias, bienais e museus de Arte, não só dos Estados Unidos, como do mundo todo.</w:t>
      </w:r>
    </w:p>
    <w:p w:rsidR="00D24E61" w:rsidRPr="00771368" w:rsidRDefault="00D24E61">
      <w:pPr>
        <w:sectPr w:rsidR="00D24E61" w:rsidRPr="00771368">
          <w:pgSz w:w="11900" w:h="16838"/>
          <w:pgMar w:top="1415"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45" w:lineRule="exact"/>
        <w:rPr>
          <w:sz w:val="20"/>
          <w:szCs w:val="20"/>
        </w:rPr>
      </w:pPr>
    </w:p>
    <w:p w:rsidR="00D24E61" w:rsidRPr="00771368" w:rsidRDefault="00D24E61">
      <w:pPr>
        <w:spacing w:line="308" w:lineRule="auto"/>
        <w:ind w:firstLine="768"/>
        <w:rPr>
          <w:sz w:val="20"/>
          <w:szCs w:val="20"/>
        </w:rPr>
      </w:pPr>
      <w:r w:rsidRPr="00771368">
        <w:rPr>
          <w:sz w:val="24"/>
          <w:szCs w:val="24"/>
        </w:rPr>
        <w:t>Na sequência de tempo a pichação aparece em Berlim, no muro de 4,5 m de altura por 166 Km de extensão, símbolo do autoritarismo perverso do regime socialista da União</w:t>
      </w:r>
    </w:p>
    <w:p w:rsidR="00D24E61" w:rsidRPr="00771368" w:rsidRDefault="00D24E61">
      <w:pPr>
        <w:sectPr w:rsidR="00D24E61" w:rsidRPr="00771368">
          <w:type w:val="continuous"/>
          <w:pgSz w:w="11900" w:h="16838"/>
          <w:pgMar w:top="1415"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52" w:lineRule="auto"/>
        <w:jc w:val="both"/>
        <w:rPr>
          <w:sz w:val="20"/>
          <w:szCs w:val="20"/>
        </w:rPr>
      </w:pPr>
      <w:r w:rsidRPr="00771368">
        <w:rPr>
          <w:sz w:val="24"/>
          <w:szCs w:val="24"/>
        </w:rPr>
        <w:t>Soviética, construído em 1961 com o propósito de impedir a fuga dos cidadãos do lado leste, enquanto seu lado ocidental, encabeçado pela democracia capitalista dos Estados Unidos, foi tomado por pichações. O muro recebe suas primeiras pichações por volta 1980, explicitando a revolta contra o muro e a atuação política vigente. Derrubado em 9 novembro de 1989, alguns de seus fragmentos foram vendidos e disputados a preços altos. Nos fragmentos, foram encontrados, além de inscrições, também desenhos com simbologia suscitando a paz e a liberdade, essa feitos por artistas que vinham de diversos lugares, entre eles o renomado Keith Haring.</w:t>
      </w:r>
    </w:p>
    <w:p w:rsidR="00D24E61" w:rsidRPr="00771368" w:rsidRDefault="00D24E61">
      <w:pPr>
        <w:spacing w:line="74" w:lineRule="exact"/>
        <w:rPr>
          <w:sz w:val="20"/>
          <w:szCs w:val="20"/>
        </w:rPr>
      </w:pPr>
    </w:p>
    <w:p w:rsidR="00D24E61" w:rsidRPr="00771368" w:rsidRDefault="00D24E61">
      <w:pPr>
        <w:spacing w:line="355" w:lineRule="auto"/>
        <w:ind w:firstLine="708"/>
        <w:jc w:val="both"/>
        <w:rPr>
          <w:sz w:val="20"/>
          <w:szCs w:val="20"/>
        </w:rPr>
      </w:pPr>
      <w:r w:rsidRPr="00771368">
        <w:rPr>
          <w:sz w:val="24"/>
          <w:szCs w:val="24"/>
        </w:rPr>
        <w:t>Claramente percebe-se a distinção de dois grupos, os grafiteiros e os pichadores. Tanto o graffiti quanto a pichação não tinham intuito de agredir os habitantes das cidades, mesmo com suas especificidades, tinham o intuito de interagir com a cidade. Mas na pichação a incitação à transgressão de inscrições de contexto político tomou uma proporção maior, pois gangues de tráfico de drogas se apropriaram desta técnica para demarcação de espaço, fazendo com que o objetivo da pichação antes política, social, deliberativo se tornasse vandalismo puro. A pichação feita por gangues de tráfico de drogas demarca o nome da gangue como símbolo de poder daquele espaço para o tráfico, os lugares preferidos destes pichadores são espaços públicos, como monumentos, teatros, igrejas, escolas ou prédios recém-restaurados, ou prédio privados muito altos, toda essa inserção de grafia, rabiscos, palavrões, deixam as cidades feias pela poluição visual. Assim podemos ressaltar dois tipos de pichação: um com o contexto político (que carrega toda expressão histórica) e o outro como demarcação gráfica do tráfico de drogas.</w:t>
      </w:r>
    </w:p>
    <w:p w:rsidR="00D24E61" w:rsidRPr="00771368" w:rsidRDefault="00D24E61">
      <w:pPr>
        <w:spacing w:line="75" w:lineRule="exact"/>
        <w:rPr>
          <w:sz w:val="20"/>
          <w:szCs w:val="20"/>
        </w:rPr>
      </w:pPr>
    </w:p>
    <w:p w:rsidR="00D24E61" w:rsidRPr="00771368" w:rsidRDefault="00D24E61">
      <w:pPr>
        <w:spacing w:line="355" w:lineRule="auto"/>
        <w:ind w:firstLine="708"/>
        <w:jc w:val="both"/>
        <w:rPr>
          <w:sz w:val="20"/>
          <w:szCs w:val="20"/>
        </w:rPr>
      </w:pPr>
      <w:r w:rsidRPr="00771368">
        <w:rPr>
          <w:sz w:val="24"/>
          <w:szCs w:val="24"/>
        </w:rPr>
        <w:t>Mas, mesmo os grafiteiros separados dos pichadores eram considerados marginais, pois dispensam patrocínio de empresas particulares ou de organismos oficiais, preferindo manter sua independência a todo custo, caracterizavam-se pela liberdade de expressão, sua forma despreocupada com o realismo, possibilitando desenhos bem-humorados, fantásticos, folclóricos, políticos, cômicos, entre outros. Seus nomes (identidades) não eram mencionados, substituídos por pseudônimos (apelidos) como uma nova identidade no submundo das ruas. Grafiteiros tinham interesses primordiais o despertar da sociedade, desprezando o descaso cultural e social. Propunham os grafiteiros um melhor aproveitamento dos espaços urbanos negligenciados, muros maltratados, túneis, viadutos, casas abandonadas em processo de demolição, tapumes de obras, criando composições gráficas gigantescas, bem elaboradas, sempre observando o espaço social, cultural, político, propondo uma estética visual.</w:t>
      </w:r>
    </w:p>
    <w:p w:rsidR="00D24E61" w:rsidRPr="00771368" w:rsidRDefault="00D24E61">
      <w:pPr>
        <w:spacing w:line="63" w:lineRule="exact"/>
        <w:rPr>
          <w:sz w:val="20"/>
          <w:szCs w:val="20"/>
        </w:rPr>
      </w:pPr>
    </w:p>
    <w:p w:rsidR="00D24E61" w:rsidRPr="00771368" w:rsidRDefault="00D24E61">
      <w:pPr>
        <w:spacing w:line="310" w:lineRule="auto"/>
        <w:ind w:firstLine="708"/>
        <w:jc w:val="both"/>
        <w:rPr>
          <w:sz w:val="20"/>
          <w:szCs w:val="20"/>
        </w:rPr>
      </w:pPr>
      <w:r w:rsidRPr="00771368">
        <w:rPr>
          <w:sz w:val="24"/>
          <w:szCs w:val="24"/>
        </w:rPr>
        <w:t>A pichação tem inscrições de predominância verbal ou de protesto, mas também se encontram palavras de amor e humor, os desenhos ou pinturas feitas em muros e paredes,</w:t>
      </w:r>
    </w:p>
    <w:p w:rsidR="00D24E61" w:rsidRPr="00771368" w:rsidRDefault="00D24E61">
      <w:pPr>
        <w:sectPr w:rsidR="00D24E61" w:rsidRPr="00771368">
          <w:pgSz w:w="11900" w:h="16838"/>
          <w:pgMar w:top="1440" w:right="1400" w:bottom="1132"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52" w:lineRule="auto"/>
        <w:ind w:right="20"/>
        <w:jc w:val="both"/>
        <w:rPr>
          <w:sz w:val="20"/>
          <w:szCs w:val="20"/>
        </w:rPr>
      </w:pPr>
      <w:r w:rsidRPr="00771368">
        <w:rPr>
          <w:sz w:val="24"/>
          <w:szCs w:val="24"/>
        </w:rPr>
        <w:t xml:space="preserve">geralmente de avenidas públicas. Surgem destas pichações os primeiros graffitis que se propagaram para as principais cidades importantes do mundo ocidental. Nada tradicional nos conceitos de arte acadêmica ou menção à arte Moderna, os grafiteiros são revolucionários estéticos que se recusam a atuar nos estreitos limites institucionais das galerias e museus, apenas necessitando do espaço urbano para realizarem seu trabalho. Do mesmo modo, dispensam o </w:t>
      </w:r>
      <w:r w:rsidRPr="00771368">
        <w:rPr>
          <w:i/>
          <w:iCs/>
          <w:sz w:val="24"/>
          <w:szCs w:val="24"/>
        </w:rPr>
        <w:t>Marchand,</w:t>
      </w:r>
      <w:r w:rsidRPr="00771368">
        <w:rPr>
          <w:sz w:val="24"/>
          <w:szCs w:val="24"/>
        </w:rPr>
        <w:t xml:space="preserve"> o colecionador, para se dirigirem diretamente ao cidadão comum usando uma linguagem gráfica simples e condizente com o espaço social e político do lugar, gerando uma nova estética da arte.</w:t>
      </w:r>
    </w:p>
    <w:p w:rsidR="00D24E61" w:rsidRPr="00771368" w:rsidRDefault="00D24E61">
      <w:pPr>
        <w:spacing w:line="74" w:lineRule="exact"/>
        <w:rPr>
          <w:sz w:val="20"/>
          <w:szCs w:val="20"/>
        </w:rPr>
      </w:pPr>
    </w:p>
    <w:p w:rsidR="00D24E61" w:rsidRPr="00771368" w:rsidRDefault="00D24E61">
      <w:pPr>
        <w:spacing w:line="349" w:lineRule="auto"/>
        <w:ind w:right="20" w:firstLine="638"/>
        <w:jc w:val="both"/>
        <w:rPr>
          <w:sz w:val="20"/>
          <w:szCs w:val="20"/>
        </w:rPr>
      </w:pPr>
      <w:r w:rsidRPr="00771368">
        <w:rPr>
          <w:sz w:val="24"/>
          <w:szCs w:val="24"/>
        </w:rPr>
        <w:t>O que o graffiti promove constante definição do que é próprio da arte desestabilizando o consenso a respeito de quem pode ser artista. Segundo Rancière (2005, p.15), “Uma partilha do sensível fixa, portanto, ao mesmo tempo, com comum partilhado e partes exclusivas. Essa repartição das partes e dos lugares se funda numa partilha de espaços, tempos e tipos de atividade que determina propriamente a maneira como um comum se presta à participação e como uns e outros tornam parte nessa partilha”.</w:t>
      </w:r>
    </w:p>
    <w:p w:rsidR="00D24E61" w:rsidRPr="00771368" w:rsidRDefault="00D24E61">
      <w:pPr>
        <w:spacing w:line="77" w:lineRule="exact"/>
        <w:rPr>
          <w:sz w:val="20"/>
          <w:szCs w:val="20"/>
        </w:rPr>
      </w:pPr>
    </w:p>
    <w:p w:rsidR="00D24E61" w:rsidRPr="00771368" w:rsidRDefault="00D24E61">
      <w:pPr>
        <w:spacing w:line="353" w:lineRule="auto"/>
        <w:ind w:firstLine="578"/>
        <w:jc w:val="both"/>
        <w:rPr>
          <w:sz w:val="20"/>
          <w:szCs w:val="20"/>
        </w:rPr>
      </w:pPr>
      <w:r w:rsidRPr="00771368">
        <w:rPr>
          <w:sz w:val="24"/>
          <w:szCs w:val="24"/>
        </w:rPr>
        <w:t>As interferências da arte de rua surgem nos movimentos hip-hop, “saltar”- “movimentar os quadris”, contempla a dança break (dança de rua), música o hap e o desenho graffiti. As letras de músicas seguem em ritmo acelerado quase inexistente de melodia e harmonia de forma falada ou/e recitada, que na maioria das vezes falam de problemas cotidianos da comunidade. Essas três linguagens artísticas têm os elementos que originaram uma manifestação cultural que busca a rua como espaço aberto e de livre acesso. Um movimento ligado à liberdade de expressão que democratiza a arte. Aliado a mudanças radicais e inevitáveis, oferecem uma visão crítica sobre a vida dos jovens que vivem nas periferias das grandes cidades.</w:t>
      </w:r>
    </w:p>
    <w:p w:rsidR="00D24E61" w:rsidRPr="00771368" w:rsidRDefault="00D24E61">
      <w:pPr>
        <w:spacing w:line="72" w:lineRule="exact"/>
        <w:rPr>
          <w:sz w:val="20"/>
          <w:szCs w:val="20"/>
        </w:rPr>
      </w:pPr>
    </w:p>
    <w:p w:rsidR="00D24E61" w:rsidRPr="00771368" w:rsidRDefault="00D24E61">
      <w:pPr>
        <w:spacing w:line="336" w:lineRule="auto"/>
        <w:ind w:firstLine="578"/>
        <w:jc w:val="both"/>
        <w:rPr>
          <w:sz w:val="20"/>
          <w:szCs w:val="20"/>
        </w:rPr>
      </w:pPr>
      <w:r w:rsidRPr="00771368">
        <w:rPr>
          <w:sz w:val="24"/>
          <w:szCs w:val="24"/>
        </w:rPr>
        <w:t>O graffiti é uma linguagem da arte que está acessível a todos: essas obras são vistas em toda parte do mundo, feitas por artistas desconhecidos, muitos até anônimos apenas assinadas com pseudônimos (Nicks</w:t>
      </w:r>
      <w:r w:rsidRPr="00771368">
        <w:rPr>
          <w:sz w:val="32"/>
          <w:szCs w:val="32"/>
          <w:vertAlign w:val="superscript"/>
        </w:rPr>
        <w:t>2</w:t>
      </w:r>
      <w:r w:rsidRPr="00771368">
        <w:rPr>
          <w:sz w:val="24"/>
          <w:szCs w:val="24"/>
        </w:rPr>
        <w:t>). O graffiti é cada vez mais respeitado no mundo da arte. Na sua história apenas ocupava espaços em exposição ao ar livre, usando como suporte muros, fachadas de prédios, estruturas de viadutos, entre outros. Com o avanço e aprimoramento da técnica, esse tipo de manifestação artística passou a ser reconhecida pela gama de “peritos” da arte e foram introduzidas nos museus. Algumas produções antes como representação de graffiti e se tornam street art. Street art propõe uma ruptura com os lugares próprios da arte.</w:t>
      </w:r>
    </w:p>
    <w:p w:rsidR="00D24E61" w:rsidRPr="00771368" w:rsidRDefault="00013211">
      <w:pPr>
        <w:spacing w:line="336" w:lineRule="auto"/>
        <w:ind w:firstLine="578"/>
        <w:jc w:val="both"/>
        <w:rPr>
          <w:sz w:val="20"/>
          <w:szCs w:val="20"/>
        </w:rPr>
        <w:sectPr w:rsidR="00D24E61" w:rsidRPr="00771368">
          <w:pgSz w:w="11900" w:h="16838"/>
          <w:pgMar w:top="1440" w:right="1400" w:bottom="1156" w:left="1420" w:header="0" w:footer="0" w:gutter="0"/>
          <w:cols w:space="720" w:equalWidth="0">
            <w:col w:w="9080"/>
          </w:cols>
        </w:sectPr>
      </w:pPr>
      <w:r>
        <w:rPr>
          <w:noProof/>
          <w:sz w:val="20"/>
          <w:szCs w:val="20"/>
        </w:rPr>
        <mc:AlternateContent>
          <mc:Choice Requires="wps">
            <w:drawing>
              <wp:anchor distT="0" distB="0" distL="0" distR="0" simplePos="0" relativeHeight="251659776" behindDoc="0" locked="0" layoutInCell="0" allowOverlap="1">
                <wp:simplePos x="0" y="0"/>
                <wp:positionH relativeFrom="column">
                  <wp:posOffset>-635</wp:posOffset>
                </wp:positionH>
                <wp:positionV relativeFrom="paragraph">
                  <wp:posOffset>472440</wp:posOffset>
                </wp:positionV>
                <wp:extent cx="1828800" cy="0"/>
                <wp:effectExtent l="8890" t="5715" r="10160" b="13335"/>
                <wp:wrapNone/>
                <wp:docPr id="26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37.2pt" to="143.9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" o:allowincell="f" strokeweight=".6pt"/>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19" w:lineRule="exact"/>
        <w:rPr>
          <w:sz w:val="20"/>
          <w:szCs w:val="20"/>
        </w:rPr>
      </w:pPr>
    </w:p>
    <w:p w:rsidR="00D24E61" w:rsidRPr="00771368" w:rsidRDefault="00D24E61">
      <w:pPr>
        <w:rPr>
          <w:sz w:val="20"/>
          <w:szCs w:val="20"/>
        </w:rPr>
      </w:pPr>
      <w:r w:rsidRPr="00771368">
        <w:rPr>
          <w:sz w:val="24"/>
          <w:szCs w:val="24"/>
          <w:vertAlign w:val="superscript"/>
        </w:rPr>
        <w:t>2</w:t>
      </w:r>
      <w:r w:rsidRPr="00771368">
        <w:rPr>
          <w:sz w:val="19"/>
          <w:szCs w:val="19"/>
        </w:rPr>
        <w:t xml:space="preserve"> Nicks, abreviação para nickname, que são os apelidos utilizados pelos usuários de internet.</w:t>
      </w:r>
    </w:p>
    <w:p w:rsidR="00D24E61" w:rsidRPr="00771368" w:rsidRDefault="00D24E61">
      <w:pPr>
        <w:sectPr w:rsidR="00D24E61" w:rsidRPr="00771368">
          <w:type w:val="continuous"/>
          <w:pgSz w:w="11900" w:h="16838"/>
          <w:pgMar w:top="1440" w:right="3100" w:bottom="1156" w:left="1420" w:header="0" w:footer="0" w:gutter="0"/>
          <w:cols w:space="720" w:equalWidth="0">
            <w:col w:w="7380"/>
          </w:cols>
        </w:sectPr>
      </w:pPr>
    </w:p>
    <w:p w:rsidR="00D24E61" w:rsidRPr="00771368" w:rsidRDefault="00D24E61">
      <w:pPr>
        <w:spacing w:line="19" w:lineRule="exact"/>
        <w:rPr>
          <w:sz w:val="20"/>
          <w:szCs w:val="20"/>
        </w:rPr>
      </w:pPr>
    </w:p>
    <w:p w:rsidR="00D24E61" w:rsidRPr="00771368" w:rsidRDefault="00D24E61">
      <w:pPr>
        <w:spacing w:line="233" w:lineRule="auto"/>
        <w:ind w:left="2260" w:right="20" w:firstLine="132"/>
        <w:jc w:val="both"/>
        <w:rPr>
          <w:sz w:val="20"/>
          <w:szCs w:val="20"/>
        </w:rPr>
      </w:pPr>
      <w:r w:rsidRPr="00771368">
        <w:rPr>
          <w:sz w:val="20"/>
          <w:szCs w:val="20"/>
        </w:rPr>
        <w:t>[...] A primeira grande exposição de Graffiti foi realizada em 1975 no Artist`s Space, de Nova York, com apresentação de Peter Schjeldahl, mas a consagração veio com a mostra New York/New Wave organizada por Diego Cortez, em 1981, no PS 1, um do principais espaços de vanguarda de Nova York. Pouco depois, Keith Haring e Jean Michel Basquiat, dois grafitters do metro nova-iorquino, estavam presentes na Documenta de Cassel. Enciclopédia de Artes Visuais On-line. Disponível em: http://dakshinamurti.tripod.com/graffiti.ht- Acesso em 01de ago. 2013.</w:t>
      </w: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spacing w:line="334" w:lineRule="auto"/>
        <w:ind w:firstLine="708"/>
        <w:jc w:val="both"/>
        <w:rPr>
          <w:sz w:val="20"/>
          <w:szCs w:val="20"/>
        </w:rPr>
      </w:pPr>
      <w:r w:rsidRPr="00771368">
        <w:rPr>
          <w:sz w:val="24"/>
          <w:szCs w:val="24"/>
        </w:rPr>
        <w:t>Nos anos de 1980, os nova-iorquinos Keit Haring e Jean-Michel Basquiat tornaram-se ícones do graffti. As obras desses artistas contribuíram para o estilo ganhar status de arte, já que saíram das ruas da cidade para as galerias de Nova York e do mundo.</w:t>
      </w:r>
    </w:p>
    <w:p w:rsidR="00D24E61" w:rsidRPr="00771368" w:rsidRDefault="00D24E61">
      <w:pPr>
        <w:spacing w:line="89" w:lineRule="exact"/>
        <w:rPr>
          <w:sz w:val="20"/>
          <w:szCs w:val="20"/>
        </w:rPr>
      </w:pPr>
    </w:p>
    <w:p w:rsidR="00D24E61" w:rsidRPr="00771368" w:rsidRDefault="00D24E61">
      <w:pPr>
        <w:spacing w:line="350" w:lineRule="auto"/>
        <w:ind w:right="20"/>
        <w:jc w:val="both"/>
        <w:rPr>
          <w:sz w:val="20"/>
          <w:szCs w:val="20"/>
        </w:rPr>
      </w:pPr>
      <w:r w:rsidRPr="00771368">
        <w:rPr>
          <w:sz w:val="24"/>
          <w:szCs w:val="24"/>
        </w:rPr>
        <w:t>A pichação teve grande relevância, no Brasil, ao final dos anos de 1960, quando frases irônicas e irreverentes contra o governo militar se espalharam pelos muros de várias cidades. Em São Paulo, grupos de estudantes e artistas faziam suas interferências gráficas pichação e graffiti. Mas o graffiti chegou ao Brasil com a chegada de Alex Vallauri (1949-1987), nascido na Etiópia, veio para o Brasil em 1965 e foi o primeiro a ter obras expostas em galerias e museus como MAM-SP e a Pinacoteca do Estado.</w:t>
      </w:r>
    </w:p>
    <w:p w:rsidR="00D24E61" w:rsidRPr="00771368" w:rsidRDefault="00D24E61">
      <w:pPr>
        <w:spacing w:line="70" w:lineRule="exact"/>
        <w:rPr>
          <w:sz w:val="20"/>
          <w:szCs w:val="20"/>
        </w:rPr>
      </w:pPr>
    </w:p>
    <w:p w:rsidR="00D24E61" w:rsidRPr="00771368" w:rsidRDefault="00D24E61">
      <w:pPr>
        <w:spacing w:line="316" w:lineRule="auto"/>
        <w:ind w:firstLine="708"/>
        <w:jc w:val="both"/>
        <w:rPr>
          <w:sz w:val="20"/>
          <w:szCs w:val="20"/>
        </w:rPr>
      </w:pPr>
      <w:r w:rsidRPr="00771368">
        <w:rPr>
          <w:sz w:val="24"/>
          <w:szCs w:val="24"/>
        </w:rPr>
        <w:t>A popularidade do graffiti tomou uma grande dimensão. Tanto que, quando Vallauri morreu, em 27 de março de 1987, foi instituído pelos próprios grafiteiros como o Dia Nacional do Graffiti. Segundo o professor pesquisador da história da arte, Rogério Lima</w:t>
      </w:r>
      <w:r w:rsidRPr="00771368">
        <w:rPr>
          <w:sz w:val="32"/>
          <w:szCs w:val="32"/>
          <w:vertAlign w:val="superscript"/>
        </w:rPr>
        <w:t>3</w:t>
      </w:r>
      <w:r w:rsidRPr="00771368">
        <w:rPr>
          <w:sz w:val="24"/>
          <w:szCs w:val="24"/>
        </w:rPr>
        <w:t>, no</w:t>
      </w:r>
    </w:p>
    <w:p w:rsidR="00D24E61" w:rsidRPr="00771368" w:rsidRDefault="00D24E61">
      <w:pPr>
        <w:spacing w:line="217" w:lineRule="auto"/>
        <w:rPr>
          <w:sz w:val="20"/>
          <w:szCs w:val="20"/>
        </w:rPr>
      </w:pPr>
      <w:r w:rsidRPr="00771368">
        <w:rPr>
          <w:sz w:val="24"/>
          <w:szCs w:val="24"/>
        </w:rPr>
        <w:t>CD “500 anos de pintura brasileira":</w:t>
      </w:r>
    </w:p>
    <w:p w:rsidR="00D24E61" w:rsidRPr="00771368" w:rsidRDefault="00D24E61">
      <w:pPr>
        <w:spacing w:line="200" w:lineRule="exact"/>
        <w:rPr>
          <w:sz w:val="20"/>
          <w:szCs w:val="20"/>
        </w:rPr>
      </w:pPr>
    </w:p>
    <w:p w:rsidR="00D24E61" w:rsidRPr="00771368" w:rsidRDefault="00D24E61">
      <w:pPr>
        <w:spacing w:line="267" w:lineRule="exact"/>
        <w:rPr>
          <w:sz w:val="20"/>
          <w:szCs w:val="20"/>
        </w:rPr>
      </w:pPr>
    </w:p>
    <w:p w:rsidR="00D24E61" w:rsidRPr="00771368" w:rsidRDefault="00D24E61">
      <w:pPr>
        <w:spacing w:line="237" w:lineRule="auto"/>
        <w:ind w:left="2260" w:firstLine="283"/>
        <w:jc w:val="both"/>
        <w:rPr>
          <w:sz w:val="20"/>
          <w:szCs w:val="20"/>
        </w:rPr>
      </w:pPr>
      <w:r w:rsidRPr="00771368">
        <w:rPr>
          <w:sz w:val="20"/>
          <w:szCs w:val="20"/>
        </w:rPr>
        <w:t xml:space="preserve">No Brasil, foi compreensivelmente São Paulo a cidade onde os grafiteiros mais se sentiram à vontade, e ali também foi que surgiram, desde fins da década de 1970, os principais representantes do gênero, inclusive o mais típico deles - Alex Vallauri, o qual, chegando ao Brasil em 1965, daria início em 1978 a uma série de pichações a </w:t>
      </w:r>
      <w:r w:rsidRPr="00771368">
        <w:rPr>
          <w:i/>
          <w:iCs/>
          <w:sz w:val="20"/>
          <w:szCs w:val="20"/>
        </w:rPr>
        <w:t xml:space="preserve">spray </w:t>
      </w:r>
      <w:r w:rsidRPr="00771368">
        <w:rPr>
          <w:sz w:val="20"/>
          <w:szCs w:val="20"/>
        </w:rPr>
        <w:t>de silhuetas de cupidos, acrobatas e bruxas, ao lado de intrigantes botas pretas</w:t>
      </w:r>
      <w:r w:rsidRPr="00771368">
        <w:rPr>
          <w:i/>
          <w:iCs/>
          <w:sz w:val="20"/>
          <w:szCs w:val="20"/>
        </w:rPr>
        <w:t xml:space="preserve"> </w:t>
      </w:r>
      <w:r w:rsidRPr="00771368">
        <w:rPr>
          <w:sz w:val="20"/>
          <w:szCs w:val="20"/>
        </w:rPr>
        <w:t xml:space="preserve">de cano longo e salto pontiagudo, televisão, guitarras elétricas ou telefones, imagens - diz Maurício Villaça - "de símbolos que estão no inconsciente coletivo". A participação de Vallauri na 18º Bienal de São Paulo, em 1985, com sua divertida manifestação ambiental </w:t>
      </w:r>
      <w:r w:rsidRPr="00771368">
        <w:rPr>
          <w:i/>
          <w:iCs/>
          <w:sz w:val="20"/>
          <w:szCs w:val="20"/>
        </w:rPr>
        <w:t>Festa na Casa da Rainha do Frango Assado,</w:t>
      </w:r>
      <w:r w:rsidRPr="00771368">
        <w:rPr>
          <w:sz w:val="20"/>
          <w:szCs w:val="20"/>
        </w:rPr>
        <w:t xml:space="preserve"> seguida pouco depois pelo precoce desaparecimento do artista, em 1987, tiveram o dom de congregar uma legião de novos grafiteiros, exercitando-se sob os viadutos e à margem dos muros em comoventes homenagens à memória de seu paladino. O sucesso do personagem criado por Alex Vallauri foi tamanho, que </w:t>
      </w:r>
      <w:r w:rsidRPr="00771368">
        <w:rPr>
          <w:i/>
          <w:iCs/>
          <w:sz w:val="20"/>
          <w:szCs w:val="20"/>
        </w:rPr>
        <w:t>a Rainha do</w:t>
      </w:r>
      <w:r w:rsidRPr="00771368">
        <w:rPr>
          <w:sz w:val="20"/>
          <w:szCs w:val="20"/>
        </w:rPr>
        <w:t xml:space="preserve"> </w:t>
      </w:r>
      <w:r w:rsidRPr="00771368">
        <w:rPr>
          <w:i/>
          <w:iCs/>
          <w:sz w:val="20"/>
          <w:szCs w:val="20"/>
        </w:rPr>
        <w:t xml:space="preserve">Frango Assado </w:t>
      </w:r>
      <w:r w:rsidRPr="00771368">
        <w:rPr>
          <w:sz w:val="20"/>
          <w:szCs w:val="20"/>
        </w:rPr>
        <w:t>deixou sua condição visual de representação bidimensional ou</w:t>
      </w:r>
      <w:r w:rsidRPr="00771368">
        <w:rPr>
          <w:i/>
          <w:iCs/>
          <w:sz w:val="20"/>
          <w:szCs w:val="20"/>
        </w:rPr>
        <w:t xml:space="preserve"> </w:t>
      </w:r>
      <w:r w:rsidRPr="00771368">
        <w:rPr>
          <w:sz w:val="20"/>
          <w:szCs w:val="20"/>
        </w:rPr>
        <w:t>plástica para se transformar em bem sucedida personagem teatral. Lima, Rogério. Introdução à História da Arte. Disponível em: http://rickardo.com.br/esthar/arquivos/ha_ph_renasc.pdf. Data de acesso 01 de ago 2013).</w:t>
      </w:r>
    </w:p>
    <w:p w:rsidR="00D24E61" w:rsidRPr="00771368" w:rsidRDefault="00D24E61">
      <w:pPr>
        <w:spacing w:line="341" w:lineRule="exact"/>
        <w:rPr>
          <w:sz w:val="20"/>
          <w:szCs w:val="20"/>
        </w:rPr>
      </w:pPr>
    </w:p>
    <w:p w:rsidR="00D24E61" w:rsidRPr="00771368" w:rsidRDefault="00D24E61">
      <w:pPr>
        <w:spacing w:line="310" w:lineRule="auto"/>
        <w:ind w:right="20" w:firstLine="708"/>
        <w:rPr>
          <w:sz w:val="20"/>
          <w:szCs w:val="20"/>
        </w:rPr>
      </w:pPr>
      <w:r w:rsidRPr="00771368">
        <w:rPr>
          <w:sz w:val="24"/>
          <w:szCs w:val="24"/>
        </w:rPr>
        <w:t>Mesmo o graffiti iniciando suas aparições em museu e galerias, continha protestos, alguns mais sutis em relação ao graffiti de rua, mas tentando passar a mensagem de</w:t>
      </w:r>
    </w:p>
    <w:p w:rsidR="00D24E61" w:rsidRPr="00771368" w:rsidRDefault="00013211">
      <w:pPr>
        <w:spacing w:line="310" w:lineRule="auto"/>
        <w:ind w:right="20" w:firstLine="708"/>
        <w:rPr>
          <w:sz w:val="20"/>
          <w:szCs w:val="20"/>
        </w:rPr>
        <w:sectPr w:rsidR="00D24E61" w:rsidRPr="00771368">
          <w:pgSz w:w="11900" w:h="16838"/>
          <w:pgMar w:top="1440" w:right="1400" w:bottom="1440" w:left="1420" w:header="0" w:footer="0" w:gutter="0"/>
          <w:cols w:space="720" w:equalWidth="0">
            <w:col w:w="9080"/>
          </w:cols>
        </w:sectPr>
      </w:pPr>
      <w:r>
        <w:rPr>
          <w:noProof/>
          <w:sz w:val="20"/>
          <w:szCs w:val="20"/>
        </w:rPr>
        <mc:AlternateContent>
          <mc:Choice Requires="wps">
            <w:drawing>
              <wp:anchor distT="0" distB="0" distL="0" distR="0" simplePos="0" relativeHeight="251660800" behindDoc="0" locked="0" layoutInCell="0" allowOverlap="1">
                <wp:simplePos x="0" y="0"/>
                <wp:positionH relativeFrom="column">
                  <wp:posOffset>-635</wp:posOffset>
                </wp:positionH>
                <wp:positionV relativeFrom="paragraph">
                  <wp:posOffset>169545</wp:posOffset>
                </wp:positionV>
                <wp:extent cx="1828800" cy="0"/>
                <wp:effectExtent l="8890" t="7620" r="10160" b="11430"/>
                <wp:wrapNone/>
                <wp:docPr id="26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3.35pt" to="14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" o:allowincell="f" strokeweight=".21164mm"/>
            </w:pict>
          </mc:Fallback>
        </mc:AlternateContent>
      </w:r>
    </w:p>
    <w:p w:rsidR="00D24E61" w:rsidRPr="00771368" w:rsidRDefault="00D24E61">
      <w:pPr>
        <w:spacing w:line="382" w:lineRule="exact"/>
        <w:rPr>
          <w:sz w:val="20"/>
          <w:szCs w:val="20"/>
        </w:rPr>
      </w:pPr>
    </w:p>
    <w:p w:rsidR="00D24E61" w:rsidRPr="00771368" w:rsidRDefault="00D24E61">
      <w:pPr>
        <w:spacing w:line="210" w:lineRule="auto"/>
        <w:ind w:hanging="282"/>
        <w:rPr>
          <w:sz w:val="20"/>
          <w:szCs w:val="20"/>
        </w:rPr>
      </w:pPr>
      <w:r w:rsidRPr="00771368">
        <w:rPr>
          <w:sz w:val="25"/>
          <w:szCs w:val="25"/>
          <w:vertAlign w:val="superscript"/>
        </w:rPr>
        <w:t>3</w:t>
      </w:r>
      <w:r w:rsidRPr="00771368">
        <w:rPr>
          <w:sz w:val="20"/>
          <w:szCs w:val="20"/>
        </w:rPr>
        <w:t xml:space="preserve"> CD “500 anos de pintura brasileira" também disponível os textos: Lima, Rogério. Introdução à História da Arte. Disponível em: http://rickardo.com.br/esthar/arquivos/ha_ph_renasc.pdf.</w:t>
      </w:r>
    </w:p>
    <w:p w:rsidR="00D24E61" w:rsidRPr="00771368" w:rsidRDefault="00D24E61">
      <w:pPr>
        <w:sectPr w:rsidR="00D24E61" w:rsidRPr="00771368">
          <w:type w:val="continuous"/>
          <w:pgSz w:w="11900" w:h="16838"/>
          <w:pgMar w:top="1440" w:right="1420" w:bottom="1440" w:left="1700" w:header="0" w:footer="0" w:gutter="0"/>
          <w:cols w:space="720" w:equalWidth="0">
            <w:col w:w="8780"/>
          </w:cols>
        </w:sectPr>
      </w:pPr>
    </w:p>
    <w:p w:rsidR="00D24E61" w:rsidRPr="00771368" w:rsidRDefault="00D24E61">
      <w:pPr>
        <w:spacing w:line="29" w:lineRule="exact"/>
        <w:rPr>
          <w:sz w:val="20"/>
          <w:szCs w:val="20"/>
        </w:rPr>
      </w:pPr>
    </w:p>
    <w:p w:rsidR="00D24E61" w:rsidRPr="00771368" w:rsidRDefault="00D24E61">
      <w:pPr>
        <w:spacing w:line="308" w:lineRule="auto"/>
        <w:jc w:val="both"/>
        <w:rPr>
          <w:sz w:val="20"/>
          <w:szCs w:val="20"/>
        </w:rPr>
      </w:pPr>
      <w:r w:rsidRPr="00771368">
        <w:rPr>
          <w:sz w:val="24"/>
          <w:szCs w:val="24"/>
        </w:rPr>
        <w:t>indignação quanto à sociedade. Vallauri no graffiti Rainha do Frango Assado estimula a percepção dos ícones da sociedade de consumo.</w:t>
      </w:r>
    </w:p>
    <w:p w:rsidR="00D24E61" w:rsidRPr="00771368" w:rsidRDefault="00D24E61">
      <w:pPr>
        <w:spacing w:line="120" w:lineRule="exact"/>
        <w:rPr>
          <w:sz w:val="20"/>
          <w:szCs w:val="20"/>
        </w:rPr>
      </w:pPr>
    </w:p>
    <w:p w:rsidR="00D24E61" w:rsidRPr="00771368" w:rsidRDefault="00D24E61">
      <w:pPr>
        <w:spacing w:line="334" w:lineRule="auto"/>
        <w:ind w:firstLine="708"/>
        <w:jc w:val="both"/>
        <w:rPr>
          <w:sz w:val="20"/>
          <w:szCs w:val="20"/>
        </w:rPr>
      </w:pPr>
      <w:r w:rsidRPr="00771368">
        <w:rPr>
          <w:sz w:val="24"/>
          <w:szCs w:val="24"/>
        </w:rPr>
        <w:t>O graffiti atualmente no Brasil percorre todo país, não mais apenas nas capitais, mas na grande maioria das cidades, chegando até mesmo nos interiores. Cidadezinhas bem afastadas dos grandes centros urbanos, arte intitulada graffiti rural.</w:t>
      </w:r>
    </w:p>
    <w:p w:rsidR="00D24E61" w:rsidRPr="00771368" w:rsidRDefault="00D24E61">
      <w:pPr>
        <w:spacing w:line="89"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Atribui aos artistas brasileiros excelentes níveis técnicos de grafia e desenho, promovendo-os em nível internacional. São muitos os nomes que poderiam ser indicados neste texto, alguns deles são: OsGêmeos, Nunca, Nina Pandolfo, Crânio, Speto, Minhau, Fefê, AKN, Magrela, Mateus Grimm, Kboco, Stephan, Téia. Todos talentosos e criativos, com suas especificidades na composição gráfica.</w:t>
      </w:r>
    </w:p>
    <w:p w:rsidR="00D24E61" w:rsidRPr="00771368" w:rsidRDefault="00D24E61">
      <w:pPr>
        <w:spacing w:line="383" w:lineRule="exact"/>
        <w:rPr>
          <w:sz w:val="20"/>
          <w:szCs w:val="20"/>
        </w:rPr>
      </w:pPr>
    </w:p>
    <w:p w:rsidR="00D24E61" w:rsidRPr="00771368" w:rsidRDefault="00D24E61">
      <w:pPr>
        <w:ind w:left="580"/>
        <w:rPr>
          <w:sz w:val="20"/>
          <w:szCs w:val="20"/>
        </w:rPr>
      </w:pPr>
      <w:r w:rsidRPr="00771368">
        <w:rPr>
          <w:b/>
          <w:bCs/>
          <w:sz w:val="24"/>
          <w:szCs w:val="24"/>
        </w:rPr>
        <w:t>LINGUAGEM DO GRAFFITI</w:t>
      </w:r>
    </w:p>
    <w:p w:rsidR="00D24E61" w:rsidRPr="00771368" w:rsidRDefault="00D24E61">
      <w:pPr>
        <w:spacing w:line="200" w:lineRule="exact"/>
        <w:rPr>
          <w:sz w:val="20"/>
          <w:szCs w:val="20"/>
        </w:rPr>
      </w:pPr>
    </w:p>
    <w:p w:rsidR="00D24E61" w:rsidRPr="00771368" w:rsidRDefault="00D24E61">
      <w:pPr>
        <w:spacing w:line="350" w:lineRule="exact"/>
        <w:rPr>
          <w:sz w:val="20"/>
          <w:szCs w:val="20"/>
        </w:rPr>
      </w:pPr>
    </w:p>
    <w:p w:rsidR="00D24E61" w:rsidRPr="00771368" w:rsidRDefault="00D24E61">
      <w:pPr>
        <w:spacing w:line="351" w:lineRule="auto"/>
        <w:ind w:firstLine="708"/>
        <w:jc w:val="both"/>
        <w:rPr>
          <w:sz w:val="20"/>
          <w:szCs w:val="20"/>
        </w:rPr>
      </w:pPr>
      <w:r w:rsidRPr="00771368">
        <w:rPr>
          <w:sz w:val="24"/>
          <w:szCs w:val="24"/>
        </w:rPr>
        <w:t>O grafiteiro vai para rua, escolhe uma parede, um muro, um tapume, inicia sua arte deixando fluir sua inspiração, nela vêm seus sentimentos mais íntimos: medos, desejos, fúrias. O artista é inundado por um desejo de criação artística, algo que ele mesmo não sabe explicar. Transforma essa expressão em arte, algo que flui naturalmente sem um planejamento sistemático e técnico. Sua arte é um movimento impulsivo imediato de desejo simplesmente expurgado de si. Pois o que está dentro do artista não será possível perceber e interpretar, mas sim o que ele coloca para fora em sua arte, partilha com o espaço a imagem.</w:t>
      </w:r>
    </w:p>
    <w:p w:rsidR="00D24E61" w:rsidRPr="00771368" w:rsidRDefault="00D24E61">
      <w:pPr>
        <w:spacing w:line="7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O graffiti não busca somente a razão, nem a despreza como outras correntes do século XX e XXI. Ele não nega a maioria das linguagens das correntes contemporâneas, mas traz consigo algo perdido por muitas delas, a ressurgência da imagem, primando pelas intermitências de imagens, em suas mais diversas formas, imagéticas, fantásticas, reais, folclóricas, políticas, sociais, isso tudo em linguagem escrita ou desenho e pintura.</w:t>
      </w:r>
    </w:p>
    <w:p w:rsidR="00D24E61" w:rsidRPr="00771368" w:rsidRDefault="00D24E61">
      <w:pPr>
        <w:spacing w:line="74" w:lineRule="exact"/>
        <w:rPr>
          <w:sz w:val="20"/>
          <w:szCs w:val="20"/>
        </w:rPr>
      </w:pPr>
    </w:p>
    <w:p w:rsidR="00D24E61" w:rsidRPr="00771368" w:rsidRDefault="00D24E61">
      <w:pPr>
        <w:spacing w:line="367" w:lineRule="auto"/>
        <w:ind w:firstLine="708"/>
        <w:jc w:val="both"/>
        <w:rPr>
          <w:sz w:val="20"/>
          <w:szCs w:val="20"/>
        </w:rPr>
      </w:pPr>
      <w:r w:rsidRPr="00771368">
        <w:rPr>
          <w:sz w:val="23"/>
          <w:szCs w:val="23"/>
        </w:rPr>
        <w:t>O grafiteiro se coloca distante de discutir a questão de apreciação do gosto da arte. Há muito pouco tempo, o graffiti não era considerado arte, existia uma confusão real entre graffiti e pichação (esse último não menos importante). O graffiti surgiu tacitamente necessário, como uma explosão de habilidades artísticas adquiridas na “rua”. Alguns graffitis recentes são envoltos em resquícios da arte moderna, podendo se observar traços conhecidos de artistas como Tarsila do Amaral, Salvador Dalí, Vicent Van Gogh, Diego Riveira, entre outros.</w:t>
      </w:r>
    </w:p>
    <w:p w:rsidR="00D24E61" w:rsidRPr="00771368" w:rsidRDefault="00D24E61">
      <w:pPr>
        <w:spacing w:line="58" w:lineRule="exact"/>
        <w:rPr>
          <w:sz w:val="20"/>
          <w:szCs w:val="20"/>
        </w:rPr>
      </w:pPr>
    </w:p>
    <w:p w:rsidR="00D24E61" w:rsidRPr="00771368" w:rsidRDefault="00D24E61">
      <w:pPr>
        <w:spacing w:line="334" w:lineRule="auto"/>
        <w:ind w:firstLine="708"/>
        <w:jc w:val="both"/>
        <w:rPr>
          <w:sz w:val="20"/>
          <w:szCs w:val="20"/>
        </w:rPr>
      </w:pPr>
      <w:r w:rsidRPr="00771368">
        <w:rPr>
          <w:sz w:val="24"/>
          <w:szCs w:val="24"/>
        </w:rPr>
        <w:t>No graffiti, a representação gráfica é geralmente misteriosa, não sempre, mas às vezes é uma figura simples, mas de impacto, outras vezes ambígua, fantásticas, místicas, suscitando e despertando a cinestesia. Cada espectador do graffiti vai relacionando, compreendendo,</w:t>
      </w:r>
    </w:p>
    <w:p w:rsidR="00D24E61" w:rsidRPr="00771368" w:rsidRDefault="00D24E61">
      <w:pPr>
        <w:sectPr w:rsidR="00D24E61" w:rsidRPr="00771368">
          <w:pgSz w:w="11900" w:h="16838"/>
          <w:pgMar w:top="144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42" w:lineRule="auto"/>
        <w:ind w:right="20"/>
        <w:jc w:val="both"/>
        <w:rPr>
          <w:sz w:val="20"/>
          <w:szCs w:val="20"/>
        </w:rPr>
      </w:pPr>
      <w:r w:rsidRPr="00771368">
        <w:rPr>
          <w:sz w:val="24"/>
          <w:szCs w:val="24"/>
        </w:rPr>
        <w:t>propondo uma relação com sua subjetividade. O signo só será percebido pelo espectador no contexto geral da obra quando fizerem sentido no contexto de formação cultural do mesmo, propondo um possível desenvolvimento cognitivo. Sendo que alguns elementos simbólicos, contidos na obra, podem passar despercebidos por não fazerem sentido a quem os observa.</w:t>
      </w:r>
    </w:p>
    <w:p w:rsidR="00D24E61" w:rsidRPr="00771368" w:rsidRDefault="00D24E61">
      <w:pPr>
        <w:spacing w:line="83" w:lineRule="exact"/>
        <w:rPr>
          <w:sz w:val="20"/>
          <w:szCs w:val="20"/>
        </w:rPr>
      </w:pPr>
    </w:p>
    <w:p w:rsidR="00D24E61" w:rsidRPr="00771368" w:rsidRDefault="00D24E61">
      <w:pPr>
        <w:spacing w:line="351" w:lineRule="auto"/>
        <w:ind w:right="20" w:firstLine="768"/>
        <w:jc w:val="both"/>
        <w:rPr>
          <w:sz w:val="20"/>
          <w:szCs w:val="20"/>
        </w:rPr>
      </w:pPr>
      <w:r w:rsidRPr="00771368">
        <w:rPr>
          <w:sz w:val="24"/>
          <w:szCs w:val="24"/>
        </w:rPr>
        <w:t>O graffiti não se desvinculou da política, pois a própria ação do que se fez (o início da linguagem, a pichação) torna-se político e estético na arte. Defende Rancière (2005, p13) “que elaborar o sentido mesmo do que é designado pelo termo estético não a teoria da arte em geral ou uma teoria da arte que remete a seus efeitos sobre a sensibilidade, mas um regime específico de identidade e pensamento das artes, um modo de articulação entre maneiras de fazer, formas de visibilidade dessas relações, implicando uma determinada ideia da efetividade do pensamento”.</w:t>
      </w:r>
    </w:p>
    <w:p w:rsidR="00D24E61" w:rsidRPr="00771368" w:rsidRDefault="00D24E61">
      <w:pPr>
        <w:spacing w:line="72" w:lineRule="exact"/>
        <w:rPr>
          <w:sz w:val="20"/>
          <w:szCs w:val="20"/>
        </w:rPr>
      </w:pPr>
    </w:p>
    <w:p w:rsidR="00D24E61" w:rsidRPr="00771368" w:rsidRDefault="00D24E61">
      <w:pPr>
        <w:spacing w:line="352" w:lineRule="auto"/>
        <w:ind w:firstLine="708"/>
        <w:jc w:val="both"/>
        <w:rPr>
          <w:sz w:val="20"/>
          <w:szCs w:val="20"/>
        </w:rPr>
      </w:pPr>
      <w:r w:rsidRPr="00771368">
        <w:rPr>
          <w:sz w:val="24"/>
          <w:szCs w:val="24"/>
        </w:rPr>
        <w:t>A arte foi historicamente um artigo fundamental para proporcionar a partilha do sensível pela humanidade. Mesmo com formas diferentes, contextos diferentes, utilitária ou decorativa, a obra de arte posicionou apreciação estética, gerando desejos de aquisição, conhecimento científico, suporte para evolução tecnológica. Proporcionou olhares observadores do sensível partilhado pelo artista, cada qual de forma relevante a sua compreensão da arte. Propiciou a discussão da política muitas vezes expressa no próprio suporte escolhido, no próprio espaço da arte, na expressão gráfico-visual escolhida, muitas vezes, com imagens inseridas no cotidiano.</w:t>
      </w:r>
    </w:p>
    <w:p w:rsidR="00D24E61" w:rsidRPr="00771368" w:rsidRDefault="00D24E61">
      <w:pPr>
        <w:spacing w:line="74" w:lineRule="exact"/>
        <w:rPr>
          <w:sz w:val="20"/>
          <w:szCs w:val="20"/>
        </w:rPr>
      </w:pPr>
    </w:p>
    <w:p w:rsidR="00D24E61" w:rsidRPr="00771368" w:rsidRDefault="00D24E61">
      <w:pPr>
        <w:spacing w:line="353" w:lineRule="auto"/>
        <w:ind w:firstLine="708"/>
        <w:jc w:val="both"/>
        <w:rPr>
          <w:sz w:val="20"/>
          <w:szCs w:val="20"/>
        </w:rPr>
      </w:pPr>
      <w:r w:rsidRPr="00771368">
        <w:rPr>
          <w:sz w:val="24"/>
          <w:szCs w:val="24"/>
        </w:rPr>
        <w:t>A imagem nem sempre comunica seu significado de forma direta. Resultando da necessidade de uma percepção crítica. Nela há atribuição para premissas, contendendo um olhar político e estético propiciando a falência de conceito único do dizível. Mesmo tendo um senso comum sobre o que se vê ainda o sentido imposto no visto pode ser uma projeção mental do que se quer ver. Segundo Jacques Rancière (2005 p.20), “a imagem nos fala no momento em que se cala, em que não nos transmite mais mensagem alguma. Ambos concebem a imagem como uma palavra que se cala. Um fazia falar seu silêncio, o outro fará desse silêncio a anulação conversibilidade entre duas potências da imagem: a imagem como presença sensível bruta e a imagem como discurso cifrando uma história”.</w:t>
      </w:r>
    </w:p>
    <w:p w:rsidR="00D24E61" w:rsidRPr="00771368" w:rsidRDefault="00D24E61">
      <w:pPr>
        <w:spacing w:line="72" w:lineRule="exact"/>
        <w:rPr>
          <w:sz w:val="20"/>
          <w:szCs w:val="20"/>
        </w:rPr>
      </w:pPr>
    </w:p>
    <w:p w:rsidR="00D24E61" w:rsidRPr="00771368" w:rsidRDefault="00D24E61">
      <w:pPr>
        <w:spacing w:line="350" w:lineRule="auto"/>
        <w:ind w:firstLine="708"/>
        <w:jc w:val="both"/>
        <w:rPr>
          <w:sz w:val="20"/>
          <w:szCs w:val="20"/>
        </w:rPr>
      </w:pPr>
      <w:r w:rsidRPr="00771368">
        <w:rPr>
          <w:sz w:val="24"/>
          <w:szCs w:val="24"/>
        </w:rPr>
        <w:t>“Os pequenos vaga-lumes dão forma e lampejos a nossa frágil imanência, os “ferozes projetores” da grande luz devoram toda forma e todo lampejo – toda diferença – na transigência dos fins derradeiros. Dar exclusiva atenção ao horizonte é tornar-se incapaz de olhar a menor imagem”, (DIDI-HUBERMAN, 2011, p.115). A imagem na publicidade contemporânea é presença obrigatória, é ela que sugere e seduz a compra do produto. O graffiti sendo reproduzido em materiais utilitários desapropria a própria linguagem da arte. A</w:t>
      </w:r>
    </w:p>
    <w:p w:rsidR="00D24E61" w:rsidRPr="00771368" w:rsidRDefault="00D24E61">
      <w:pPr>
        <w:sectPr w:rsidR="00D24E61" w:rsidRPr="00771368">
          <w:pgSz w:w="11900" w:h="16838"/>
          <w:pgMar w:top="1440" w:right="1400" w:bottom="1086"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08" w:lineRule="auto"/>
        <w:jc w:val="both"/>
        <w:rPr>
          <w:sz w:val="20"/>
          <w:szCs w:val="20"/>
        </w:rPr>
      </w:pPr>
      <w:r w:rsidRPr="00771368">
        <w:rPr>
          <w:sz w:val="24"/>
          <w:szCs w:val="24"/>
        </w:rPr>
        <w:t>mudança do graffiti sendo inserido na mídia com outros propósitos de informação, formador de identidades é não mais como puramente como arte.</w:t>
      </w:r>
    </w:p>
    <w:p w:rsidR="00D24E61" w:rsidRPr="00771368" w:rsidRDefault="00D24E61">
      <w:pPr>
        <w:spacing w:line="120" w:lineRule="exact"/>
        <w:rPr>
          <w:sz w:val="20"/>
          <w:szCs w:val="20"/>
        </w:rPr>
      </w:pPr>
    </w:p>
    <w:p w:rsidR="00D24E61" w:rsidRPr="00771368" w:rsidRDefault="00D24E61">
      <w:pPr>
        <w:spacing w:line="354" w:lineRule="auto"/>
        <w:ind w:firstLine="768"/>
        <w:jc w:val="both"/>
        <w:rPr>
          <w:sz w:val="20"/>
          <w:szCs w:val="20"/>
        </w:rPr>
      </w:pPr>
      <w:r w:rsidRPr="00771368">
        <w:rPr>
          <w:sz w:val="24"/>
          <w:szCs w:val="24"/>
        </w:rPr>
        <w:t>Propõe-se perceber a arte do graffiti como uma ressurgência, a imagem propiciando a relação de metáforas visuais, símbolos gráficos que expressam algo como se fossem palavras visíveis, com presença sensível e de significações interpeladas pelo artista. As metáforas na imagem serão percebidas no contexto geral da obra quando fizerem sentido no contexto de formação cultural ou/e em memória pictórica, propondo um possível desenvolvimento de gosto ou repulsa, sendo que alguns elementos gráficos contidos na obra podem passar despercebidos por não fazerem sentido a quem os observa. “Os vaga-lumes, depende apenas de nós não vê-los desaparecerem. Ora, para isso, nós mesmos devemos assumir a liberdade do movimento, a retirada que não seja fechamento sobre si, a força diagonal, a faculdade de fazer aparecer parcelas de humanidade, o desejo indestrutível.”. (DIDI-HUBERMAN, p.154,155)</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65" w:lineRule="exact"/>
        <w:rPr>
          <w:sz w:val="20"/>
          <w:szCs w:val="20"/>
        </w:rPr>
      </w:pPr>
    </w:p>
    <w:p w:rsidR="00D24E61" w:rsidRPr="00771368" w:rsidRDefault="00D24E61">
      <w:pPr>
        <w:ind w:left="700"/>
        <w:rPr>
          <w:sz w:val="20"/>
          <w:szCs w:val="20"/>
        </w:rPr>
      </w:pPr>
      <w:r w:rsidRPr="00771368">
        <w:rPr>
          <w:sz w:val="24"/>
          <w:szCs w:val="24"/>
        </w:rPr>
        <w:t>RESSIGNIFICAÇÕES  DO  GRAFFITI  ATRAVÉS  DO  OLHAR  FEMININO  DE</w:t>
      </w:r>
    </w:p>
    <w:p w:rsidR="00D24E61" w:rsidRPr="00771368" w:rsidRDefault="00D24E61">
      <w:pPr>
        <w:spacing w:line="139" w:lineRule="exact"/>
        <w:rPr>
          <w:sz w:val="20"/>
          <w:szCs w:val="20"/>
        </w:rPr>
      </w:pPr>
    </w:p>
    <w:p w:rsidR="00D24E61" w:rsidRPr="00771368" w:rsidRDefault="00D24E61">
      <w:pPr>
        <w:rPr>
          <w:sz w:val="20"/>
          <w:szCs w:val="20"/>
        </w:rPr>
      </w:pPr>
      <w:r w:rsidRPr="00771368">
        <w:rPr>
          <w:sz w:val="24"/>
          <w:szCs w:val="24"/>
        </w:rPr>
        <w:t>NINA PANDOLFO</w:t>
      </w:r>
    </w:p>
    <w:p w:rsidR="00D24E61" w:rsidRPr="00771368" w:rsidRDefault="00D24E61">
      <w:pPr>
        <w:spacing w:line="200" w:lineRule="exact"/>
        <w:rPr>
          <w:sz w:val="20"/>
          <w:szCs w:val="20"/>
        </w:rPr>
      </w:pPr>
    </w:p>
    <w:p w:rsidR="00D24E61" w:rsidRPr="00771368" w:rsidRDefault="00D24E61">
      <w:pPr>
        <w:spacing w:line="235" w:lineRule="exact"/>
        <w:rPr>
          <w:sz w:val="20"/>
          <w:szCs w:val="20"/>
        </w:rPr>
      </w:pPr>
    </w:p>
    <w:p w:rsidR="00D24E61" w:rsidRPr="00771368" w:rsidRDefault="00D24E61">
      <w:pPr>
        <w:spacing w:line="350" w:lineRule="auto"/>
        <w:ind w:firstLine="708"/>
        <w:jc w:val="both"/>
        <w:rPr>
          <w:sz w:val="20"/>
          <w:szCs w:val="20"/>
        </w:rPr>
      </w:pPr>
      <w:r w:rsidRPr="00771368">
        <w:rPr>
          <w:sz w:val="24"/>
          <w:szCs w:val="24"/>
        </w:rPr>
        <w:t>O graffiti sai das ruas para entrar em outro espaço, museus e galerias e fazer parte do mundo de outro público alvo. Esse que não era presente na partilha da expressão popular de rua. Mesmo assim, o graffiti não se torna uma arte ausente da rua, mas está presente também em outro espaço, ressignificando-se em um novo contexto, com novos sentidos, com novos motivos gráficos, novos suportes e técnicas gráficas. Nem sempre tão ousados e transgressores, caminham por um universo visual mais lúdico e imagético.</w:t>
      </w:r>
    </w:p>
    <w:p w:rsidR="00D24E61" w:rsidRPr="00771368" w:rsidRDefault="00D24E61">
      <w:pPr>
        <w:spacing w:line="70" w:lineRule="exact"/>
        <w:rPr>
          <w:sz w:val="20"/>
          <w:szCs w:val="20"/>
        </w:rPr>
      </w:pPr>
    </w:p>
    <w:p w:rsidR="00D24E61" w:rsidRPr="00771368" w:rsidRDefault="00D24E61">
      <w:pPr>
        <w:spacing w:line="342" w:lineRule="auto"/>
        <w:ind w:firstLine="708"/>
        <w:jc w:val="both"/>
        <w:rPr>
          <w:sz w:val="20"/>
          <w:szCs w:val="20"/>
        </w:rPr>
      </w:pPr>
      <w:r w:rsidRPr="00771368">
        <w:rPr>
          <w:sz w:val="24"/>
          <w:szCs w:val="24"/>
        </w:rPr>
        <w:t>Para somar a ressignificação do graffiti não mais só mãos masculinas na produção artística, mas talentosas mãos femininas ressaltando uma conquista contra o preconceito social. Hoje é comum ver mulheres grafitando e deixando bem claro seu estilo e conceitos sobre a arte de rua. Dentre essas está Nina Pandolfo.</w:t>
      </w:r>
    </w:p>
    <w:p w:rsidR="00D24E61" w:rsidRPr="00771368" w:rsidRDefault="00D24E61">
      <w:pPr>
        <w:spacing w:line="83" w:lineRule="exact"/>
        <w:rPr>
          <w:sz w:val="20"/>
          <w:szCs w:val="20"/>
        </w:rPr>
      </w:pPr>
    </w:p>
    <w:p w:rsidR="00D24E61" w:rsidRPr="00771368" w:rsidRDefault="00D24E61">
      <w:pPr>
        <w:spacing w:line="347" w:lineRule="auto"/>
        <w:ind w:firstLine="708"/>
        <w:jc w:val="both"/>
        <w:rPr>
          <w:sz w:val="20"/>
          <w:szCs w:val="20"/>
        </w:rPr>
      </w:pPr>
      <w:r w:rsidRPr="00771368">
        <w:rPr>
          <w:sz w:val="24"/>
          <w:szCs w:val="24"/>
        </w:rPr>
        <w:t>Nina Pandolfo nasceu em Tupã, interior de São Paulo, em 1977, sendo a filha mais nova num total de cinco meninas. Teve o contato inicial com o graffiti, em 1992, em ruas de sua cidade. Morando na Capital- São Paulo, em 2002, iniciou e aperfeiçoou seus graffitis, inclusive no bairro em que mora Cambuci. Nina é casada com o grafiteiro Otávio, uma dos integrantes da dupla OsGêmeos, de quem adotou o sobrenome Pandolfo.</w:t>
      </w:r>
    </w:p>
    <w:p w:rsidR="00D24E61" w:rsidRPr="00771368" w:rsidRDefault="00D24E61">
      <w:pPr>
        <w:sectPr w:rsidR="00D24E61" w:rsidRPr="00771368">
          <w:pgSz w:w="11900" w:h="16838"/>
          <w:pgMar w:top="1440" w:right="1420" w:bottom="1440" w:left="1420" w:header="0" w:footer="0" w:gutter="0"/>
          <w:cols w:space="720" w:equalWidth="0">
            <w:col w:w="9060"/>
          </w:cols>
        </w:sectPr>
      </w:pP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46976" behindDoc="1" locked="0" layoutInCell="0" allowOverlap="1">
            <wp:simplePos x="0" y="0"/>
            <wp:positionH relativeFrom="page">
              <wp:posOffset>1513205</wp:posOffset>
            </wp:positionH>
            <wp:positionV relativeFrom="page">
              <wp:posOffset>900430</wp:posOffset>
            </wp:positionV>
            <wp:extent cx="4570095" cy="1604010"/>
            <wp:effectExtent l="0" t="0" r="0"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clrChange>
                        <a:clrFrom>
                          <a:srgbClr val="FFFFFF"/>
                        </a:clrFrom>
                        <a:clrTo>
                          <a:srgbClr val="FFFFFF">
                            <a:alpha val="0"/>
                          </a:srgbClr>
                        </a:clrTo>
                      </a:clrChange>
                      <a:extLst/>
                    </a:blip>
                    <a:srcRect/>
                    <a:stretch>
                      <a:fillRect/>
                    </a:stretch>
                  </pic:blipFill>
                  <pic:spPr bwMode="auto">
                    <a:xfrm>
                      <a:off x="0" y="0"/>
                      <a:ext cx="4570095" cy="160401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99" w:lineRule="exact"/>
        <w:rPr>
          <w:sz w:val="20"/>
          <w:szCs w:val="20"/>
        </w:rPr>
      </w:pPr>
    </w:p>
    <w:p w:rsidR="00D24E61" w:rsidRPr="00771368" w:rsidRDefault="00D24E61">
      <w:pPr>
        <w:spacing w:line="239" w:lineRule="auto"/>
        <w:ind w:left="3960"/>
        <w:rPr>
          <w:sz w:val="20"/>
          <w:szCs w:val="20"/>
        </w:rPr>
      </w:pPr>
      <w:r w:rsidRPr="00771368">
        <w:rPr>
          <w:sz w:val="20"/>
          <w:szCs w:val="20"/>
        </w:rPr>
        <w:t>Nina Pandolfo</w:t>
      </w:r>
    </w:p>
    <w:p w:rsidR="00D24E61" w:rsidRPr="00771368" w:rsidRDefault="00D24E61">
      <w:pPr>
        <w:spacing w:line="117" w:lineRule="exact"/>
        <w:rPr>
          <w:sz w:val="20"/>
          <w:szCs w:val="20"/>
        </w:rPr>
      </w:pPr>
    </w:p>
    <w:p w:rsidR="00D24E61" w:rsidRPr="00771368" w:rsidRDefault="00D24E61">
      <w:pPr>
        <w:spacing w:line="239" w:lineRule="auto"/>
        <w:ind w:left="1960"/>
        <w:rPr>
          <w:sz w:val="20"/>
          <w:szCs w:val="20"/>
        </w:rPr>
      </w:pPr>
      <w:r w:rsidRPr="00771368">
        <w:rPr>
          <w:sz w:val="20"/>
          <w:szCs w:val="20"/>
        </w:rPr>
        <w:t>-Fonte01 catalogodasartes. Fonte 02  Fonte:revistacriativa.globo</w:t>
      </w:r>
    </w:p>
    <w:p w:rsidR="00D24E61" w:rsidRPr="00771368" w:rsidRDefault="00D24E61">
      <w:pPr>
        <w:spacing w:line="173" w:lineRule="exact"/>
        <w:rPr>
          <w:sz w:val="20"/>
          <w:szCs w:val="20"/>
        </w:rPr>
      </w:pPr>
    </w:p>
    <w:p w:rsidR="00D24E61" w:rsidRPr="00771368" w:rsidRDefault="00D24E61">
      <w:pPr>
        <w:spacing w:line="353" w:lineRule="auto"/>
        <w:ind w:firstLine="708"/>
        <w:jc w:val="both"/>
        <w:rPr>
          <w:sz w:val="20"/>
          <w:szCs w:val="20"/>
        </w:rPr>
      </w:pPr>
      <w:r w:rsidRPr="00771368">
        <w:rPr>
          <w:sz w:val="24"/>
          <w:szCs w:val="24"/>
        </w:rPr>
        <w:t>Os principais elementos visuais de seus graffitis são figuras de meninas com grandes olhos com expressões secretas e ambíguas, que hora remetem à infância e outras a sensualidade. Essas meninas dividem espaço com elementos imagéticos representando a natureza, vaga-lumes, passarinhos, borboletas, gatos, entre outros, sempre inseridos em contextos fantásticos e surreais. Com múltiplas possibilidades de preenchimento do desenho, cores fortes contrastando com tonalidades de quente e fria, hachuras de várias espessuras, e desenho dentro do próprio desenho. Exemplo desenho dentro dos olhos das meninas. Suas figuras femininas, às vezes meninas, às vezes mulheres, com traços de várias etnias e descendência.</w:t>
      </w:r>
    </w:p>
    <w:p w:rsidR="00D24E61" w:rsidRPr="00771368" w:rsidRDefault="00D24E61">
      <w:pPr>
        <w:spacing w:line="75" w:lineRule="exact"/>
        <w:rPr>
          <w:sz w:val="20"/>
          <w:szCs w:val="20"/>
        </w:rPr>
      </w:pPr>
    </w:p>
    <w:p w:rsidR="00D24E61" w:rsidRPr="00771368" w:rsidRDefault="00D24E61">
      <w:pPr>
        <w:spacing w:line="334" w:lineRule="auto"/>
        <w:ind w:firstLine="708"/>
        <w:jc w:val="both"/>
        <w:rPr>
          <w:sz w:val="20"/>
          <w:szCs w:val="20"/>
        </w:rPr>
      </w:pPr>
      <w:r w:rsidRPr="00771368">
        <w:rPr>
          <w:sz w:val="24"/>
          <w:szCs w:val="24"/>
        </w:rPr>
        <w:t>Segundo Nina, em diversas entrevistas, baseia-se na relação entre o olhar inocente das crianças e o olhar adulto, retratar meninas com cara de levadas e imensos olhos que expressam sentimentos secretos espelhados pela alma.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49024" behindDoc="1" locked="0" layoutInCell="0" allowOverlap="1">
            <wp:simplePos x="0" y="0"/>
            <wp:positionH relativeFrom="column">
              <wp:posOffset>382905</wp:posOffset>
            </wp:positionH>
            <wp:positionV relativeFrom="paragraph">
              <wp:posOffset>23495</wp:posOffset>
            </wp:positionV>
            <wp:extent cx="5001895" cy="3133090"/>
            <wp:effectExtent l="0" t="0" r="0" b="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cstate="print">
                      <a:extLst/>
                    </a:blip>
                    <a:srcRect/>
                    <a:stretch>
                      <a:fillRect/>
                    </a:stretch>
                  </pic:blipFill>
                  <pic:spPr bwMode="auto">
                    <a:xfrm>
                      <a:off x="0" y="0"/>
                      <a:ext cx="5001895" cy="313309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90" w:lineRule="exact"/>
        <w:rPr>
          <w:sz w:val="20"/>
          <w:szCs w:val="20"/>
        </w:rPr>
      </w:pPr>
    </w:p>
    <w:p w:rsidR="00D24E61" w:rsidRPr="00771368" w:rsidRDefault="00D24E61">
      <w:pPr>
        <w:spacing w:line="239" w:lineRule="auto"/>
        <w:ind w:left="3820"/>
        <w:rPr>
          <w:sz w:val="20"/>
          <w:szCs w:val="20"/>
        </w:rPr>
      </w:pPr>
      <w:r w:rsidRPr="00771368">
        <w:rPr>
          <w:sz w:val="20"/>
          <w:szCs w:val="20"/>
        </w:rPr>
        <w:t>03.Nina Pandolfo</w:t>
      </w:r>
    </w:p>
    <w:p w:rsidR="00D24E61" w:rsidRPr="00771368" w:rsidRDefault="00D24E61">
      <w:pPr>
        <w:spacing w:line="114" w:lineRule="exact"/>
        <w:rPr>
          <w:sz w:val="20"/>
          <w:szCs w:val="20"/>
        </w:rPr>
      </w:pPr>
    </w:p>
    <w:p w:rsidR="00D24E61" w:rsidRPr="00771368" w:rsidRDefault="00D24E61">
      <w:pPr>
        <w:spacing w:line="239" w:lineRule="auto"/>
        <w:ind w:left="1500"/>
        <w:rPr>
          <w:sz w:val="20"/>
          <w:szCs w:val="20"/>
        </w:rPr>
      </w:pPr>
      <w:r w:rsidRPr="00771368">
        <w:rPr>
          <w:sz w:val="20"/>
          <w:szCs w:val="20"/>
        </w:rPr>
        <w:t xml:space="preserve">Fonte: </w:t>
      </w:r>
      <w:hyperlink r:id="rId172">
        <w:r w:rsidRPr="00771368">
          <w:rPr>
            <w:sz w:val="20"/>
            <w:szCs w:val="20"/>
          </w:rPr>
          <w:t>http://atualiarte.blogspot.com.br/2012/04/arte-de-nina-pandolfo.html</w:t>
        </w:r>
      </w:hyperlink>
    </w:p>
    <w:p w:rsidR="00D24E61" w:rsidRPr="00771368" w:rsidRDefault="00D24E61">
      <w:pPr>
        <w:sectPr w:rsidR="00D24E61" w:rsidRPr="00771368">
          <w:pgSz w:w="11900" w:h="16838"/>
          <w:pgMar w:top="144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08" w:lineRule="auto"/>
        <w:ind w:firstLine="708"/>
        <w:jc w:val="both"/>
        <w:rPr>
          <w:sz w:val="20"/>
          <w:szCs w:val="20"/>
        </w:rPr>
      </w:pPr>
      <w:r w:rsidRPr="00771368">
        <w:rPr>
          <w:sz w:val="24"/>
          <w:szCs w:val="24"/>
        </w:rPr>
        <w:t>Na imagem acima a artista está no espaço urbano, na rua. Grafitando suporte de parede com tinta spray.</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51072" behindDoc="1" locked="0" layoutInCell="0" allowOverlap="1">
            <wp:simplePos x="0" y="0"/>
            <wp:positionH relativeFrom="column">
              <wp:posOffset>449580</wp:posOffset>
            </wp:positionH>
            <wp:positionV relativeFrom="paragraph">
              <wp:posOffset>263525</wp:posOffset>
            </wp:positionV>
            <wp:extent cx="4868545" cy="4031615"/>
            <wp:effectExtent l="0" t="0" r="0" b="0"/>
            <wp:wrapNone/>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extLst/>
                    </a:blip>
                    <a:srcRect/>
                    <a:stretch>
                      <a:fillRect/>
                    </a:stretch>
                  </pic:blipFill>
                  <pic:spPr bwMode="auto">
                    <a:xfrm>
                      <a:off x="0" y="0"/>
                      <a:ext cx="4868545" cy="403161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76" w:lineRule="exact"/>
        <w:rPr>
          <w:sz w:val="20"/>
          <w:szCs w:val="20"/>
        </w:rPr>
      </w:pPr>
    </w:p>
    <w:p w:rsidR="00D24E61" w:rsidRPr="00771368" w:rsidRDefault="00D24E61">
      <w:pPr>
        <w:spacing w:line="239" w:lineRule="auto"/>
        <w:ind w:left="3380"/>
        <w:rPr>
          <w:sz w:val="20"/>
          <w:szCs w:val="20"/>
        </w:rPr>
      </w:pPr>
      <w:r w:rsidRPr="00771368">
        <w:rPr>
          <w:sz w:val="20"/>
          <w:szCs w:val="20"/>
        </w:rPr>
        <w:t>Imagem04 –  Graffiti de Rua</w:t>
      </w:r>
    </w:p>
    <w:p w:rsidR="00D24E61" w:rsidRPr="00771368" w:rsidRDefault="00D24E61">
      <w:pPr>
        <w:spacing w:line="115" w:lineRule="exact"/>
        <w:rPr>
          <w:sz w:val="20"/>
          <w:szCs w:val="20"/>
        </w:rPr>
      </w:pPr>
    </w:p>
    <w:p w:rsidR="00D24E61" w:rsidRPr="00771368" w:rsidRDefault="00D24E61">
      <w:pPr>
        <w:spacing w:line="239" w:lineRule="auto"/>
        <w:ind w:left="2580"/>
        <w:rPr>
          <w:sz w:val="20"/>
          <w:szCs w:val="20"/>
        </w:rPr>
      </w:pPr>
      <w:r w:rsidRPr="00771368">
        <w:rPr>
          <w:sz w:val="20"/>
          <w:szCs w:val="20"/>
        </w:rPr>
        <w:t>Fonte: http://meusonhoamarelo.blogspot.com.br/</w:t>
      </w:r>
    </w:p>
    <w:p w:rsidR="00D24E61" w:rsidRPr="00771368" w:rsidRDefault="00D24E61">
      <w:pPr>
        <w:spacing w:line="200" w:lineRule="exact"/>
        <w:rPr>
          <w:sz w:val="20"/>
          <w:szCs w:val="20"/>
        </w:rPr>
      </w:pPr>
    </w:p>
    <w:p w:rsidR="00D24E61" w:rsidRPr="00771368" w:rsidRDefault="00D24E61">
      <w:pPr>
        <w:spacing w:line="388"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 obra tem vida própria, separada do próprio artista, propõe uma experiência de gosto e percepção individual de quem a observa. O observador define critérios de julgamento particular.</w:t>
      </w:r>
    </w:p>
    <w:p w:rsidR="00D24E61" w:rsidRPr="00771368" w:rsidRDefault="00D24E61">
      <w:pPr>
        <w:spacing w:line="91" w:lineRule="exact"/>
        <w:rPr>
          <w:sz w:val="20"/>
          <w:szCs w:val="20"/>
        </w:rPr>
      </w:pPr>
    </w:p>
    <w:p w:rsidR="00D24E61" w:rsidRPr="00771368" w:rsidRDefault="00D24E61">
      <w:pPr>
        <w:spacing w:line="352" w:lineRule="auto"/>
        <w:ind w:right="20" w:firstLine="708"/>
        <w:jc w:val="both"/>
        <w:rPr>
          <w:sz w:val="20"/>
          <w:szCs w:val="20"/>
        </w:rPr>
      </w:pPr>
      <w:r w:rsidRPr="00771368">
        <w:rPr>
          <w:sz w:val="24"/>
          <w:szCs w:val="24"/>
        </w:rPr>
        <w:t>Sobre imagem 04 exercitando o olhar: o feminino ligado a natureza, instiga pensar na mãe natureza. A fertilidade, a renovação e a perpetuação. Em tramas de fios como se tudo estivessem ligados em algo maior. O próprio preenchimento do desenho com hachuras compõe a trama que se confundem nos elementos visuais, proporcionando ao olhar correr pela obra observando os pequenos detalhes, más não menos importantes ao elemento central. Elementos fantásticos se unem a elementos humanos constituindo um conjunto harmônico. A importância da imagem é contida até mesmo dentro dos olhos do elemento maior da obra, meninas no olhar da menina.</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384" w:lineRule="exact"/>
        <w:rPr>
          <w:sz w:val="20"/>
          <w:szCs w:val="20"/>
        </w:rPr>
      </w:pPr>
    </w:p>
    <w:p w:rsidR="00D24E61" w:rsidRPr="00771368" w:rsidRDefault="00D24E61">
      <w:pPr>
        <w:rPr>
          <w:sz w:val="20"/>
          <w:szCs w:val="20"/>
        </w:rPr>
      </w:pPr>
      <w:r w:rsidRPr="00771368">
        <w:rPr>
          <w:sz w:val="24"/>
          <w:szCs w:val="24"/>
        </w:rPr>
        <w:t>Segundo Blog 2013- ninapandolfo:</w:t>
      </w:r>
    </w:p>
    <w:p w:rsidR="00D24E61" w:rsidRPr="00771368" w:rsidRDefault="00D24E61">
      <w:pPr>
        <w:spacing w:line="200" w:lineRule="exact"/>
        <w:rPr>
          <w:sz w:val="20"/>
          <w:szCs w:val="20"/>
        </w:rPr>
      </w:pPr>
    </w:p>
    <w:p w:rsidR="00D24E61" w:rsidRPr="00771368" w:rsidRDefault="00D24E61">
      <w:pPr>
        <w:spacing w:line="284" w:lineRule="exact"/>
        <w:rPr>
          <w:sz w:val="20"/>
          <w:szCs w:val="20"/>
        </w:rPr>
      </w:pPr>
    </w:p>
    <w:p w:rsidR="00D24E61" w:rsidRPr="00771368" w:rsidRDefault="00D24E61">
      <w:pPr>
        <w:spacing w:line="239" w:lineRule="auto"/>
        <w:ind w:left="2300"/>
        <w:rPr>
          <w:sz w:val="20"/>
          <w:szCs w:val="20"/>
        </w:rPr>
      </w:pPr>
      <w:r w:rsidRPr="00771368">
        <w:rPr>
          <w:b/>
          <w:bCs/>
          <w:sz w:val="20"/>
          <w:szCs w:val="20"/>
        </w:rPr>
        <w:t>Nina Pandolfo — entre meninas, gatos e vaga-lumes</w:t>
      </w:r>
      <w:r w:rsidRPr="00771368">
        <w:rPr>
          <w:sz w:val="20"/>
          <w:szCs w:val="20"/>
        </w:rPr>
        <w:t>.</w:t>
      </w:r>
    </w:p>
    <w:p w:rsidR="00D24E61" w:rsidRPr="00771368" w:rsidRDefault="00D24E61">
      <w:pPr>
        <w:spacing w:line="48" w:lineRule="exact"/>
        <w:rPr>
          <w:sz w:val="20"/>
          <w:szCs w:val="20"/>
        </w:rPr>
      </w:pPr>
    </w:p>
    <w:p w:rsidR="00D24E61" w:rsidRPr="00771368" w:rsidRDefault="00D24E61">
      <w:pPr>
        <w:spacing w:line="235" w:lineRule="auto"/>
        <w:ind w:left="2260" w:right="20" w:firstLine="283"/>
        <w:jc w:val="both"/>
        <w:rPr>
          <w:sz w:val="20"/>
          <w:szCs w:val="20"/>
        </w:rPr>
      </w:pPr>
      <w:r w:rsidRPr="00771368">
        <w:rPr>
          <w:sz w:val="20"/>
          <w:szCs w:val="20"/>
        </w:rPr>
        <w:t>Nina nasceu no interior de São Paulo e é a filha mais nova de um total de cinco garotas, desta época, traduz em seu trabalho as lembranças do quintal de sua casa e do convívio com suas irmãs – o que ajuda explicar a constância de figuras femininas em seus desenhos. Com traços suáveis e de personalidade, ela se consagrou como um dos nomes feminino mais forte da arte contemporânea brasileira, mercado que já está extremamente aquecido. Suas obras podem ser apreciadas tanto nas ruas de Cambuci quanto nas galerias pelo mundo, discretamente, prefere não se declarar grafiteira ou artista plástica, não busca rótulos ou nomenclaturas. Para o futuro, quer transformar seus desenhos em novas mídias, buscando sempre diferentes formas para expressar suas ideias - possíveis novos ambientes para suas meninas, gatos e vaga-lumes.</w:t>
      </w:r>
    </w:p>
    <w:p w:rsidR="00D24E61" w:rsidRPr="00771368" w:rsidRDefault="00D24E61">
      <w:pPr>
        <w:spacing w:line="200" w:lineRule="exact"/>
        <w:rPr>
          <w:sz w:val="20"/>
          <w:szCs w:val="20"/>
        </w:rPr>
      </w:pPr>
    </w:p>
    <w:p w:rsidR="00D24E61" w:rsidRPr="00771368" w:rsidRDefault="00D24E61">
      <w:pPr>
        <w:spacing w:line="220" w:lineRule="exact"/>
        <w:rPr>
          <w:sz w:val="20"/>
          <w:szCs w:val="20"/>
        </w:rPr>
      </w:pPr>
    </w:p>
    <w:p w:rsidR="00D24E61" w:rsidRPr="00771368" w:rsidRDefault="00D24E61">
      <w:pPr>
        <w:rPr>
          <w:sz w:val="20"/>
          <w:szCs w:val="20"/>
        </w:rPr>
      </w:pPr>
      <w:r w:rsidRPr="00771368">
        <w:rPr>
          <w:sz w:val="24"/>
          <w:szCs w:val="24"/>
        </w:rPr>
        <w:t>Segundo descrição de Perfil- Facebook 2013:</w:t>
      </w:r>
    </w:p>
    <w:p w:rsidR="00D24E61" w:rsidRPr="00771368" w:rsidRDefault="00D24E61">
      <w:pPr>
        <w:spacing w:line="200" w:lineRule="exact"/>
        <w:rPr>
          <w:sz w:val="20"/>
          <w:szCs w:val="20"/>
        </w:rPr>
      </w:pPr>
    </w:p>
    <w:p w:rsidR="00D24E61" w:rsidRPr="00771368" w:rsidRDefault="00D24E61">
      <w:pPr>
        <w:spacing w:line="331" w:lineRule="exact"/>
        <w:rPr>
          <w:sz w:val="20"/>
          <w:szCs w:val="20"/>
        </w:rPr>
      </w:pPr>
    </w:p>
    <w:p w:rsidR="00D24E61" w:rsidRPr="00771368" w:rsidRDefault="00D24E61">
      <w:pPr>
        <w:spacing w:line="229" w:lineRule="auto"/>
        <w:ind w:left="2260" w:right="20" w:firstLine="283"/>
        <w:jc w:val="both"/>
        <w:rPr>
          <w:sz w:val="20"/>
          <w:szCs w:val="20"/>
        </w:rPr>
      </w:pPr>
      <w:r w:rsidRPr="00771368">
        <w:rPr>
          <w:sz w:val="20"/>
          <w:szCs w:val="20"/>
        </w:rPr>
        <w:t>Com traços suaves e de personalidade, ela se consagrou como um dos nomes femininos mais fortes da arte contemporânea brasileira. Discretamente, prefere não se declarar como grafiteira ou artista plástica, não busca rótulos nem nomenclaturas.Para o futuro, quer transpor seus desenhos em novas mídias, buscando sempre diferentes formas para expressar suas ideias.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53"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Nina Pandolfo foi uma das primeiras mulheres brasileiras a expor o graffiti em uma instituição de arte, museus e Galerias. Em 2008 feitas sua primeira mostra solo na Galeria</w:t>
      </w:r>
    </w:p>
    <w:p w:rsidR="00D24E61" w:rsidRPr="00771368" w:rsidRDefault="00D24E61">
      <w:pPr>
        <w:spacing w:line="120" w:lineRule="exact"/>
        <w:rPr>
          <w:sz w:val="20"/>
          <w:szCs w:val="20"/>
        </w:rPr>
      </w:pPr>
    </w:p>
    <w:p w:rsidR="00D24E61" w:rsidRPr="00771368" w:rsidRDefault="00D24E61">
      <w:pPr>
        <w:spacing w:line="347" w:lineRule="auto"/>
        <w:jc w:val="both"/>
        <w:rPr>
          <w:sz w:val="20"/>
          <w:szCs w:val="20"/>
        </w:rPr>
      </w:pPr>
      <w:r w:rsidRPr="00771368">
        <w:rPr>
          <w:sz w:val="24"/>
          <w:szCs w:val="24"/>
        </w:rPr>
        <w:t>Leme em São Paulo, intitulada “Aos nossos olhos”, onde apresentou a resignificação do graffiti, propondo novos suportes: tela, paredes internas, propôs apreciação da materialização de suas imagens contidas no graffiti através de esculturas feitas com material alternativo, resina, látex, tecidos, rendas e cristais, sempre representando meninas brincando em uma paisagem pictórica.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53120" behindDoc="1" locked="0" layoutInCell="0" allowOverlap="1">
            <wp:simplePos x="0" y="0"/>
            <wp:positionH relativeFrom="column">
              <wp:posOffset>1525905</wp:posOffset>
            </wp:positionH>
            <wp:positionV relativeFrom="paragraph">
              <wp:posOffset>13970</wp:posOffset>
            </wp:positionV>
            <wp:extent cx="2701290" cy="2071370"/>
            <wp:effectExtent l="0" t="0" r="0" b="0"/>
            <wp:wrapNone/>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extLst/>
                    </a:blip>
                    <a:srcRect/>
                    <a:stretch>
                      <a:fillRect/>
                    </a:stretch>
                  </pic:blipFill>
                  <pic:spPr bwMode="auto">
                    <a:xfrm>
                      <a:off x="0" y="0"/>
                      <a:ext cx="2701290" cy="207137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Pr="00771368" w:rsidRDefault="00D24E61">
      <w:pPr>
        <w:spacing w:line="239" w:lineRule="auto"/>
        <w:ind w:left="3180"/>
        <w:rPr>
          <w:sz w:val="20"/>
          <w:szCs w:val="20"/>
        </w:rPr>
      </w:pPr>
      <w:r w:rsidRPr="00771368">
        <w:rPr>
          <w:sz w:val="20"/>
          <w:szCs w:val="20"/>
        </w:rPr>
        <w:t>Imagem05 – Nina Pandolfo ateliê</w:t>
      </w:r>
    </w:p>
    <w:p w:rsidR="00D24E61" w:rsidRPr="00771368" w:rsidRDefault="00D24E61">
      <w:pPr>
        <w:spacing w:line="114" w:lineRule="exact"/>
        <w:rPr>
          <w:sz w:val="20"/>
          <w:szCs w:val="20"/>
        </w:rPr>
      </w:pPr>
    </w:p>
    <w:p w:rsidR="00D24E61" w:rsidRPr="00771368" w:rsidRDefault="00D24E61">
      <w:pPr>
        <w:spacing w:line="239" w:lineRule="auto"/>
        <w:ind w:left="1040"/>
        <w:rPr>
          <w:sz w:val="20"/>
          <w:szCs w:val="20"/>
        </w:rPr>
      </w:pPr>
      <w:r w:rsidRPr="00771368">
        <w:rPr>
          <w:sz w:val="20"/>
          <w:szCs w:val="20"/>
        </w:rPr>
        <w:t xml:space="preserve">Fonte: </w:t>
      </w:r>
      <w:hyperlink r:id="rId175">
        <w:r w:rsidRPr="00771368">
          <w:rPr>
            <w:sz w:val="20"/>
            <w:szCs w:val="20"/>
          </w:rPr>
          <w:t>http://ondeacinderelaperdeuoscarpin.blogspot.com.br/2013_01_01_archive.html</w:t>
        </w:r>
      </w:hyperlink>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ind w:left="700"/>
        <w:rPr>
          <w:sz w:val="20"/>
          <w:szCs w:val="20"/>
        </w:rPr>
      </w:pPr>
      <w:r w:rsidRPr="00771368">
        <w:rPr>
          <w:sz w:val="24"/>
          <w:szCs w:val="24"/>
        </w:rPr>
        <w:t>Na imagem 05 a artista está em ateliê, produzindo sua arte em suporte de tela com</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tintas próprias para esse suporte.</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55168" behindDoc="1" locked="0" layoutInCell="0" allowOverlap="1">
            <wp:simplePos x="0" y="0"/>
            <wp:positionH relativeFrom="column">
              <wp:posOffset>1564005</wp:posOffset>
            </wp:positionH>
            <wp:positionV relativeFrom="paragraph">
              <wp:posOffset>355600</wp:posOffset>
            </wp:positionV>
            <wp:extent cx="2646045" cy="2591435"/>
            <wp:effectExtent l="0" t="0" r="0" b="0"/>
            <wp:wrapNone/>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cstate="print">
                      <a:extLst/>
                    </a:blip>
                    <a:srcRect/>
                    <a:stretch>
                      <a:fillRect/>
                    </a:stretch>
                  </pic:blipFill>
                  <pic:spPr bwMode="auto">
                    <a:xfrm>
                      <a:off x="0" y="0"/>
                      <a:ext cx="2646045" cy="259143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86" w:lineRule="exact"/>
        <w:rPr>
          <w:sz w:val="20"/>
          <w:szCs w:val="20"/>
        </w:rPr>
      </w:pPr>
    </w:p>
    <w:p w:rsidR="00D24E61" w:rsidRPr="00771368" w:rsidRDefault="00D24E61">
      <w:pPr>
        <w:spacing w:line="239" w:lineRule="auto"/>
        <w:ind w:left="1740"/>
        <w:rPr>
          <w:sz w:val="20"/>
          <w:szCs w:val="20"/>
        </w:rPr>
      </w:pPr>
      <w:r w:rsidRPr="00771368">
        <w:rPr>
          <w:sz w:val="20"/>
          <w:szCs w:val="20"/>
        </w:rPr>
        <w:t>Imagem 06 – Nina Pandolfo 2º exposição individual na Galeria Leme</w:t>
      </w:r>
    </w:p>
    <w:p w:rsidR="00D24E61" w:rsidRPr="00771368" w:rsidRDefault="00D24E61">
      <w:pPr>
        <w:spacing w:line="117" w:lineRule="exact"/>
        <w:rPr>
          <w:sz w:val="20"/>
          <w:szCs w:val="20"/>
        </w:rPr>
      </w:pPr>
    </w:p>
    <w:p w:rsidR="00D24E61" w:rsidRPr="00771368" w:rsidRDefault="00D24E61">
      <w:pPr>
        <w:spacing w:line="239" w:lineRule="auto"/>
        <w:ind w:left="1520"/>
        <w:rPr>
          <w:sz w:val="20"/>
          <w:szCs w:val="20"/>
        </w:rPr>
      </w:pPr>
      <w:r w:rsidRPr="00771368">
        <w:rPr>
          <w:sz w:val="20"/>
          <w:szCs w:val="20"/>
        </w:rPr>
        <w:t xml:space="preserve">Fonte: </w:t>
      </w:r>
      <w:hyperlink r:id="rId177">
        <w:r w:rsidRPr="00771368">
          <w:rPr>
            <w:sz w:val="20"/>
            <w:szCs w:val="20"/>
          </w:rPr>
          <w:t>http://www.terra.com.br/istoegente/edicoes/565/artigo178365-1.htm</w:t>
        </w:r>
      </w:hyperlink>
    </w:p>
    <w:p w:rsidR="00D24E61" w:rsidRPr="00771368" w:rsidRDefault="00D24E61">
      <w:pPr>
        <w:spacing w:line="200" w:lineRule="exact"/>
        <w:rPr>
          <w:sz w:val="20"/>
          <w:szCs w:val="20"/>
        </w:rPr>
      </w:pPr>
    </w:p>
    <w:p w:rsidR="00D24E61" w:rsidRPr="00771368" w:rsidRDefault="00D24E61">
      <w:pPr>
        <w:spacing w:line="330" w:lineRule="exact"/>
        <w:rPr>
          <w:sz w:val="20"/>
          <w:szCs w:val="20"/>
        </w:rPr>
      </w:pPr>
    </w:p>
    <w:p w:rsidR="00D24E61" w:rsidRPr="00771368" w:rsidRDefault="00D24E61">
      <w:pPr>
        <w:ind w:left="700"/>
        <w:rPr>
          <w:sz w:val="20"/>
          <w:szCs w:val="20"/>
        </w:rPr>
      </w:pPr>
      <w:r w:rsidRPr="00771368">
        <w:rPr>
          <w:sz w:val="24"/>
          <w:szCs w:val="24"/>
        </w:rPr>
        <w:t>Na imagem 06 artista apresenta sua obra em suporte de tela em galeria de arte.</w:t>
      </w:r>
    </w:p>
    <w:p w:rsidR="00D24E61" w:rsidRPr="00771368" w:rsidRDefault="00D24E61">
      <w:pPr>
        <w:spacing w:line="139" w:lineRule="exact"/>
        <w:rPr>
          <w:sz w:val="20"/>
          <w:szCs w:val="20"/>
        </w:rPr>
      </w:pPr>
    </w:p>
    <w:p w:rsidR="00D24E61" w:rsidRPr="00771368" w:rsidRDefault="00D24E61">
      <w:pPr>
        <w:spacing w:line="239" w:lineRule="auto"/>
        <w:ind w:left="2260"/>
        <w:rPr>
          <w:sz w:val="20"/>
          <w:szCs w:val="20"/>
        </w:rPr>
      </w:pPr>
      <w:r w:rsidRPr="00771368">
        <w:rPr>
          <w:sz w:val="20"/>
          <w:szCs w:val="20"/>
        </w:rPr>
        <w:t>Agito // Home-Os sonhos de Nina</w:t>
      </w:r>
    </w:p>
    <w:p w:rsidR="00D24E61" w:rsidRPr="00771368" w:rsidRDefault="00D24E61">
      <w:pPr>
        <w:spacing w:line="50" w:lineRule="exact"/>
        <w:rPr>
          <w:sz w:val="20"/>
          <w:szCs w:val="20"/>
        </w:rPr>
      </w:pPr>
    </w:p>
    <w:p w:rsidR="00D24E61" w:rsidRPr="00771368" w:rsidRDefault="00D24E61">
      <w:pPr>
        <w:spacing w:line="231" w:lineRule="auto"/>
        <w:ind w:left="2260" w:right="20"/>
        <w:jc w:val="both"/>
        <w:rPr>
          <w:sz w:val="20"/>
          <w:szCs w:val="20"/>
        </w:rPr>
      </w:pPr>
      <w:r w:rsidRPr="00771368">
        <w:rPr>
          <w:sz w:val="20"/>
          <w:szCs w:val="20"/>
        </w:rPr>
        <w:t>Nina Pandolfo abriu sua segunda exposição individual na Galeria Leme, no Butantã, em São Paulo, na quinta-feira 1o. Desafiando Sonhos traz o mundo criado pela artista numa atmosfera Naïf, com desenhos de bonecas fofas, cores claras e um universo onírico. Uma graça! A exposição fica por lá até 7 de agosto e vale a pena conferir!Por Silviane Neno com Laís Taliberti on-line: http://www.terra.com.br/istoegente</w:t>
      </w:r>
    </w:p>
    <w:p w:rsidR="00D24E61" w:rsidRPr="00771368" w:rsidRDefault="00D24E61">
      <w:pPr>
        <w:spacing w:line="347" w:lineRule="exact"/>
        <w:rPr>
          <w:sz w:val="20"/>
          <w:szCs w:val="20"/>
        </w:rPr>
      </w:pPr>
    </w:p>
    <w:p w:rsidR="00D24E61" w:rsidRPr="00771368" w:rsidRDefault="00D24E61">
      <w:pPr>
        <w:ind w:left="700"/>
        <w:rPr>
          <w:sz w:val="20"/>
          <w:szCs w:val="20"/>
        </w:rPr>
      </w:pPr>
      <w:r w:rsidRPr="00771368">
        <w:rPr>
          <w:sz w:val="24"/>
          <w:szCs w:val="24"/>
        </w:rPr>
        <w:t>Projetou sua arte em várias cidades do Brasil e exterior como Alemanha, Espanha,</w:t>
      </w:r>
    </w:p>
    <w:p w:rsidR="00D24E61" w:rsidRPr="00771368" w:rsidRDefault="00D24E61">
      <w:pPr>
        <w:spacing w:line="139" w:lineRule="exact"/>
        <w:rPr>
          <w:sz w:val="20"/>
          <w:szCs w:val="20"/>
        </w:rPr>
      </w:pPr>
    </w:p>
    <w:p w:rsidR="00D24E61" w:rsidRPr="00771368" w:rsidRDefault="00D24E61">
      <w:pPr>
        <w:tabs>
          <w:tab w:val="left" w:pos="3380"/>
        </w:tabs>
        <w:rPr>
          <w:sz w:val="20"/>
          <w:szCs w:val="20"/>
        </w:rPr>
      </w:pPr>
      <w:r w:rsidRPr="00771368">
        <w:rPr>
          <w:sz w:val="24"/>
          <w:szCs w:val="24"/>
        </w:rPr>
        <w:t>Cuba, Suécia, Inglaterra e EUA.</w:t>
      </w:r>
      <w:r w:rsidRPr="00771368">
        <w:rPr>
          <w:sz w:val="20"/>
          <w:szCs w:val="20"/>
        </w:rPr>
        <w:tab/>
      </w:r>
      <w:r w:rsidRPr="00771368">
        <w:rPr>
          <w:sz w:val="24"/>
          <w:szCs w:val="24"/>
        </w:rPr>
        <w:t>Um de seus graffitis mais importantes, ou divulgados na</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mídia foi o “The Graffiti Project” na Escócia, ao lado dos também brasileiros grafiteiros,</w:t>
      </w:r>
    </w:p>
    <w:p w:rsidR="00D24E61" w:rsidRPr="00771368" w:rsidRDefault="00D24E61">
      <w:pPr>
        <w:spacing w:line="139" w:lineRule="exact"/>
        <w:rPr>
          <w:sz w:val="20"/>
          <w:szCs w:val="20"/>
        </w:rPr>
      </w:pPr>
    </w:p>
    <w:p w:rsidR="00D24E61" w:rsidRPr="00771368" w:rsidRDefault="00D24E61">
      <w:pPr>
        <w:spacing w:line="239" w:lineRule="auto"/>
        <w:rPr>
          <w:sz w:val="20"/>
          <w:szCs w:val="20"/>
        </w:rPr>
      </w:pPr>
      <w:r w:rsidRPr="00771368">
        <w:rPr>
          <w:sz w:val="24"/>
          <w:szCs w:val="24"/>
        </w:rPr>
        <w:t>Nunca e OsGêmeos. Sua presença se fez em exposições como: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9" w:lineRule="exact"/>
        <w:rPr>
          <w:sz w:val="20"/>
          <w:szCs w:val="20"/>
        </w:rPr>
      </w:pPr>
    </w:p>
    <w:p w:rsidR="00D24E61" w:rsidRPr="00D61223" w:rsidRDefault="00D24E61">
      <w:pPr>
        <w:spacing w:line="200" w:lineRule="auto"/>
        <w:ind w:left="360" w:right="200"/>
        <w:rPr>
          <w:sz w:val="20"/>
          <w:szCs w:val="20"/>
          <w:lang w:val="en-US"/>
        </w:rPr>
      </w:pPr>
      <w:r w:rsidRPr="00D61223">
        <w:rPr>
          <w:rFonts w:eastAsia="Courier New"/>
          <w:sz w:val="24"/>
          <w:szCs w:val="24"/>
          <w:lang w:val="en-US"/>
        </w:rPr>
        <w:t xml:space="preserve">o </w:t>
      </w:r>
      <w:r w:rsidRPr="00D61223">
        <w:rPr>
          <w:sz w:val="24"/>
          <w:szCs w:val="24"/>
          <w:lang w:val="en-US"/>
        </w:rPr>
        <w:t>Life´s Flavour, Carmichael Gallery of Contemporary Art, Los Angeles, EUA (2010);</w:t>
      </w:r>
      <w:r w:rsidRPr="00D61223">
        <w:rPr>
          <w:rFonts w:eastAsia="Courier New"/>
          <w:sz w:val="24"/>
          <w:szCs w:val="24"/>
          <w:lang w:val="en-US"/>
        </w:rPr>
        <w:t xml:space="preserve"> o </w:t>
      </w:r>
      <w:r w:rsidRPr="00D61223">
        <w:rPr>
          <w:sz w:val="24"/>
          <w:szCs w:val="24"/>
          <w:lang w:val="en-US"/>
        </w:rPr>
        <w:t>Re-Criation II, Ogilvy &amp; Mather New York, EUA (2010);</w:t>
      </w:r>
    </w:p>
    <w:p w:rsidR="00D24E61" w:rsidRPr="00D61223" w:rsidRDefault="00D24E61">
      <w:pPr>
        <w:spacing w:line="224" w:lineRule="auto"/>
        <w:ind w:left="360"/>
        <w:rPr>
          <w:sz w:val="20"/>
          <w:szCs w:val="20"/>
          <w:lang w:val="en-US"/>
        </w:rPr>
      </w:pPr>
      <w:r w:rsidRPr="00D61223">
        <w:rPr>
          <w:rFonts w:eastAsia="Courier New"/>
          <w:sz w:val="24"/>
          <w:szCs w:val="24"/>
          <w:lang w:val="en-US"/>
        </w:rPr>
        <w:t xml:space="preserve">o  </w:t>
      </w:r>
      <w:r w:rsidRPr="00D61223">
        <w:rPr>
          <w:sz w:val="24"/>
          <w:szCs w:val="24"/>
          <w:lang w:val="en-US"/>
        </w:rPr>
        <w:t>Graffiti Gone Global, Miami Beach, EUA (2009);</w:t>
      </w:r>
    </w:p>
    <w:p w:rsidR="00D24E61" w:rsidRPr="00D61223" w:rsidRDefault="00D24E61">
      <w:pPr>
        <w:spacing w:line="224" w:lineRule="auto"/>
        <w:ind w:left="360"/>
        <w:rPr>
          <w:sz w:val="20"/>
          <w:szCs w:val="20"/>
          <w:lang w:val="en-US"/>
        </w:rPr>
      </w:pPr>
      <w:r w:rsidRPr="00D61223">
        <w:rPr>
          <w:rFonts w:eastAsia="Courier New"/>
          <w:sz w:val="24"/>
          <w:szCs w:val="24"/>
          <w:lang w:val="en-US"/>
        </w:rPr>
        <w:t xml:space="preserve">o  </w:t>
      </w:r>
      <w:r w:rsidRPr="00D61223">
        <w:rPr>
          <w:sz w:val="24"/>
          <w:szCs w:val="24"/>
          <w:lang w:val="en-US"/>
        </w:rPr>
        <w:t>Between Us, Gallery Maskara, Mumbai, Índia (2008);</w:t>
      </w:r>
    </w:p>
    <w:p w:rsidR="00D24E61" w:rsidRPr="00D61223" w:rsidRDefault="00D24E61">
      <w:pPr>
        <w:spacing w:line="58" w:lineRule="exact"/>
        <w:rPr>
          <w:sz w:val="20"/>
          <w:szCs w:val="20"/>
          <w:lang w:val="en-US"/>
        </w:rPr>
      </w:pPr>
    </w:p>
    <w:p w:rsidR="00D24E61" w:rsidRPr="00D61223" w:rsidRDefault="00D24E61">
      <w:pPr>
        <w:spacing w:line="200" w:lineRule="auto"/>
        <w:ind w:left="360" w:right="1960"/>
        <w:rPr>
          <w:sz w:val="20"/>
          <w:szCs w:val="20"/>
          <w:lang w:val="en-US"/>
        </w:rPr>
      </w:pPr>
      <w:r w:rsidRPr="00D61223">
        <w:rPr>
          <w:rFonts w:eastAsia="Courier New"/>
          <w:sz w:val="24"/>
          <w:szCs w:val="24"/>
          <w:lang w:val="en-US"/>
        </w:rPr>
        <w:t xml:space="preserve">o </w:t>
      </w:r>
      <w:r w:rsidRPr="00D61223">
        <w:rPr>
          <w:sz w:val="24"/>
          <w:szCs w:val="24"/>
          <w:lang w:val="en-US"/>
        </w:rPr>
        <w:t>The graffiti Project</w:t>
      </w:r>
      <w:r w:rsidRPr="00D61223">
        <w:rPr>
          <w:rFonts w:eastAsia="Courier New"/>
          <w:sz w:val="24"/>
          <w:szCs w:val="24"/>
          <w:lang w:val="en-US"/>
        </w:rPr>
        <w:t xml:space="preserve"> </w:t>
      </w:r>
      <w:r w:rsidRPr="00D61223">
        <w:rPr>
          <w:sz w:val="24"/>
          <w:szCs w:val="24"/>
          <w:lang w:val="en-US"/>
        </w:rPr>
        <w:t>–Castelo de Kelburn, Glasgow, Escócia (2007)</w:t>
      </w:r>
      <w:r w:rsidRPr="00D61223">
        <w:rPr>
          <w:rFonts w:eastAsia="Courier New"/>
          <w:sz w:val="24"/>
          <w:szCs w:val="24"/>
          <w:lang w:val="en-US"/>
        </w:rPr>
        <w:t xml:space="preserve"> o </w:t>
      </w:r>
      <w:r w:rsidRPr="00D61223">
        <w:rPr>
          <w:sz w:val="24"/>
          <w:szCs w:val="24"/>
          <w:lang w:val="en-US"/>
        </w:rPr>
        <w:t>Beyond Streetart, Düsseldorf, Alemanha (2007);</w:t>
      </w:r>
    </w:p>
    <w:p w:rsidR="00D24E61" w:rsidRPr="00D61223" w:rsidRDefault="00D24E61">
      <w:pPr>
        <w:spacing w:line="58" w:lineRule="exact"/>
        <w:rPr>
          <w:sz w:val="20"/>
          <w:szCs w:val="20"/>
          <w:lang w:val="en-US"/>
        </w:rPr>
      </w:pPr>
    </w:p>
    <w:p w:rsidR="00D24E61" w:rsidRPr="00771368" w:rsidRDefault="00D24E61">
      <w:pPr>
        <w:spacing w:line="200" w:lineRule="auto"/>
        <w:ind w:left="360" w:right="3880"/>
        <w:rPr>
          <w:sz w:val="20"/>
          <w:szCs w:val="20"/>
        </w:rPr>
      </w:pPr>
      <w:r w:rsidRPr="00771368">
        <w:rPr>
          <w:rFonts w:eastAsia="Courier New"/>
          <w:sz w:val="24"/>
          <w:szCs w:val="24"/>
        </w:rPr>
        <w:t xml:space="preserve">o </w:t>
      </w:r>
      <w:r w:rsidRPr="00771368">
        <w:rPr>
          <w:sz w:val="24"/>
          <w:szCs w:val="24"/>
        </w:rPr>
        <w:t>The Graffiti Project, Glasgow, Escócia (2007);</w:t>
      </w:r>
      <w:r w:rsidRPr="00771368">
        <w:rPr>
          <w:rFonts w:eastAsia="Courier New"/>
          <w:sz w:val="24"/>
          <w:szCs w:val="24"/>
        </w:rPr>
        <w:t xml:space="preserve"> o </w:t>
      </w:r>
      <w:r w:rsidRPr="00771368">
        <w:rPr>
          <w:sz w:val="24"/>
          <w:szCs w:val="24"/>
        </w:rPr>
        <w:t>Wholetrain, Rio de Janeiro, Brasil (2006);</w:t>
      </w:r>
    </w:p>
    <w:p w:rsidR="00D24E61" w:rsidRPr="00771368" w:rsidRDefault="00D24E61">
      <w:pPr>
        <w:spacing w:line="58" w:lineRule="exact"/>
        <w:rPr>
          <w:sz w:val="20"/>
          <w:szCs w:val="20"/>
        </w:rPr>
      </w:pPr>
    </w:p>
    <w:p w:rsidR="00D24E61" w:rsidRPr="00771368" w:rsidRDefault="00D24E61">
      <w:pPr>
        <w:spacing w:line="200" w:lineRule="auto"/>
        <w:ind w:left="360" w:right="4160"/>
        <w:rPr>
          <w:sz w:val="20"/>
          <w:szCs w:val="20"/>
        </w:rPr>
      </w:pPr>
      <w:r w:rsidRPr="00771368">
        <w:rPr>
          <w:rFonts w:eastAsia="Courier New"/>
          <w:sz w:val="24"/>
          <w:szCs w:val="24"/>
        </w:rPr>
        <w:t xml:space="preserve">o </w:t>
      </w:r>
      <w:r w:rsidRPr="00771368">
        <w:rPr>
          <w:sz w:val="24"/>
          <w:szCs w:val="24"/>
        </w:rPr>
        <w:t>9º Bienal de Havana, Havana, Cuba (2006);</w:t>
      </w:r>
      <w:r w:rsidRPr="00771368">
        <w:rPr>
          <w:rFonts w:eastAsia="Courier New"/>
          <w:sz w:val="24"/>
          <w:szCs w:val="24"/>
        </w:rPr>
        <w:t xml:space="preserve"> o </w:t>
      </w:r>
      <w:r w:rsidRPr="00771368">
        <w:rPr>
          <w:sz w:val="24"/>
          <w:szCs w:val="24"/>
        </w:rPr>
        <w:t>OutSide, Wuppertal, Alemanha (2006);</w:t>
      </w:r>
    </w:p>
    <w:p w:rsidR="00D24E61" w:rsidRPr="00771368" w:rsidRDefault="00D24E61">
      <w:pPr>
        <w:sectPr w:rsidR="00D24E61" w:rsidRPr="00771368">
          <w:pgSz w:w="11900" w:h="16838"/>
          <w:pgMar w:top="1410" w:right="1400" w:bottom="1440" w:left="1420" w:header="0" w:footer="0" w:gutter="0"/>
          <w:cols w:space="720" w:equalWidth="0">
            <w:col w:w="9080"/>
          </w:cols>
        </w:sectPr>
      </w:pPr>
    </w:p>
    <w:p w:rsidR="00D24E61" w:rsidRPr="00771368" w:rsidRDefault="00D24E61">
      <w:pPr>
        <w:ind w:left="360"/>
        <w:rPr>
          <w:sz w:val="20"/>
          <w:szCs w:val="20"/>
        </w:rPr>
      </w:pPr>
      <w:r w:rsidRPr="00771368">
        <w:rPr>
          <w:rFonts w:eastAsia="Courier New"/>
          <w:sz w:val="24"/>
          <w:szCs w:val="24"/>
        </w:rPr>
        <w:t xml:space="preserve">o  </w:t>
      </w:r>
      <w:r w:rsidRPr="00771368">
        <w:rPr>
          <w:sz w:val="24"/>
          <w:szCs w:val="24"/>
        </w:rPr>
        <w:t>Ruas, Itaú Cultural, São Paulo, Brasil (2006);</w:t>
      </w:r>
    </w:p>
    <w:p w:rsidR="00D24E61" w:rsidRPr="00771368" w:rsidRDefault="00D24E61">
      <w:pPr>
        <w:spacing w:line="224" w:lineRule="auto"/>
        <w:ind w:left="360"/>
        <w:rPr>
          <w:sz w:val="20"/>
          <w:szCs w:val="20"/>
        </w:rPr>
      </w:pPr>
      <w:r w:rsidRPr="00771368">
        <w:rPr>
          <w:rFonts w:eastAsia="Courier New"/>
          <w:sz w:val="24"/>
          <w:szCs w:val="24"/>
        </w:rPr>
        <w:t xml:space="preserve">o  </w:t>
      </w:r>
      <w:r w:rsidRPr="00771368">
        <w:rPr>
          <w:sz w:val="24"/>
          <w:szCs w:val="24"/>
        </w:rPr>
        <w:t>Sub-Glob, Örebro Museum, Örebro, Suécia (2005);</w:t>
      </w:r>
    </w:p>
    <w:p w:rsidR="00D24E61" w:rsidRPr="00771368" w:rsidRDefault="00D24E61">
      <w:pPr>
        <w:spacing w:line="58" w:lineRule="exact"/>
        <w:rPr>
          <w:sz w:val="20"/>
          <w:szCs w:val="20"/>
        </w:rPr>
      </w:pPr>
    </w:p>
    <w:p w:rsidR="00D24E61" w:rsidRPr="00D61223" w:rsidRDefault="00D24E61">
      <w:pPr>
        <w:spacing w:line="200" w:lineRule="auto"/>
        <w:ind w:left="360" w:right="1760"/>
        <w:rPr>
          <w:sz w:val="20"/>
          <w:szCs w:val="20"/>
          <w:lang w:val="en-US"/>
        </w:rPr>
      </w:pPr>
      <w:r w:rsidRPr="00D61223">
        <w:rPr>
          <w:rFonts w:eastAsia="Courier New"/>
          <w:sz w:val="24"/>
          <w:szCs w:val="24"/>
          <w:lang w:val="en-US"/>
        </w:rPr>
        <w:t xml:space="preserve">o </w:t>
      </w:r>
      <w:r w:rsidRPr="00D61223">
        <w:rPr>
          <w:sz w:val="24"/>
          <w:szCs w:val="24"/>
          <w:lang w:val="en-US"/>
        </w:rPr>
        <w:t>Lead Poisoning, New Image Art Gallery, Los Angeles, EUA (2005);</w:t>
      </w:r>
      <w:r w:rsidRPr="00D61223">
        <w:rPr>
          <w:rFonts w:eastAsia="Courier New"/>
          <w:sz w:val="24"/>
          <w:szCs w:val="24"/>
          <w:lang w:val="en-US"/>
        </w:rPr>
        <w:t xml:space="preserve"> o </w:t>
      </w:r>
      <w:r w:rsidRPr="00D61223">
        <w:rPr>
          <w:sz w:val="24"/>
          <w:szCs w:val="24"/>
          <w:lang w:val="en-US"/>
        </w:rPr>
        <w:t>Art Meeting in Tokyo, Japão (2005);</w:t>
      </w:r>
    </w:p>
    <w:p w:rsidR="00D24E61" w:rsidRPr="00771368" w:rsidRDefault="00D24E61">
      <w:pPr>
        <w:spacing w:line="223" w:lineRule="auto"/>
        <w:ind w:left="360"/>
        <w:rPr>
          <w:sz w:val="20"/>
          <w:szCs w:val="20"/>
        </w:rPr>
      </w:pPr>
      <w:r w:rsidRPr="00771368">
        <w:rPr>
          <w:rFonts w:eastAsia="Courier New"/>
          <w:sz w:val="24"/>
          <w:szCs w:val="24"/>
        </w:rPr>
        <w:t xml:space="preserve">o  </w:t>
      </w:r>
      <w:r w:rsidRPr="00771368">
        <w:rPr>
          <w:sz w:val="24"/>
          <w:szCs w:val="24"/>
        </w:rPr>
        <w:t>Art Meeting, Atenas, Grécia (2005);</w:t>
      </w:r>
    </w:p>
    <w:p w:rsidR="00D24E61" w:rsidRPr="00771368" w:rsidRDefault="00D24E61">
      <w:pPr>
        <w:spacing w:line="226" w:lineRule="auto"/>
        <w:ind w:left="360"/>
        <w:rPr>
          <w:sz w:val="20"/>
          <w:szCs w:val="20"/>
        </w:rPr>
      </w:pPr>
      <w:r w:rsidRPr="00771368">
        <w:rPr>
          <w:rFonts w:eastAsia="Courier New"/>
          <w:sz w:val="24"/>
          <w:szCs w:val="24"/>
        </w:rPr>
        <w:t xml:space="preserve">o  </w:t>
      </w:r>
      <w:r w:rsidRPr="00771368">
        <w:rPr>
          <w:sz w:val="24"/>
          <w:szCs w:val="24"/>
        </w:rPr>
        <w:t>Kusthpark, Munique, Alemanha (2005).</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57216" behindDoc="1" locked="0" layoutInCell="0" allowOverlap="1">
            <wp:simplePos x="0" y="0"/>
            <wp:positionH relativeFrom="column">
              <wp:posOffset>1221105</wp:posOffset>
            </wp:positionH>
            <wp:positionV relativeFrom="paragraph">
              <wp:posOffset>394970</wp:posOffset>
            </wp:positionV>
            <wp:extent cx="3340735" cy="2275840"/>
            <wp:effectExtent l="0" t="0" r="0" b="0"/>
            <wp:wrapNone/>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blip>
                    <a:srcRect/>
                    <a:stretch>
                      <a:fillRect/>
                    </a:stretch>
                  </pic:blipFill>
                  <pic:spPr bwMode="auto">
                    <a:xfrm>
                      <a:off x="0" y="0"/>
                      <a:ext cx="3340735" cy="227584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38" w:lineRule="exact"/>
        <w:rPr>
          <w:sz w:val="20"/>
          <w:szCs w:val="20"/>
        </w:rPr>
      </w:pPr>
    </w:p>
    <w:p w:rsidR="00D24E61" w:rsidRPr="00771368" w:rsidRDefault="00D24E61">
      <w:pPr>
        <w:ind w:left="2540"/>
        <w:rPr>
          <w:sz w:val="20"/>
          <w:szCs w:val="20"/>
        </w:rPr>
      </w:pPr>
      <w:r w:rsidRPr="00771368">
        <w:rPr>
          <w:sz w:val="24"/>
          <w:szCs w:val="24"/>
        </w:rPr>
        <w:t>Imagem 07 – Nina Pandolfo – exposição.</w:t>
      </w:r>
    </w:p>
    <w:p w:rsidR="00D24E61" w:rsidRPr="00771368" w:rsidRDefault="00D24E61">
      <w:pPr>
        <w:spacing w:line="141" w:lineRule="exact"/>
        <w:rPr>
          <w:sz w:val="20"/>
          <w:szCs w:val="20"/>
        </w:rPr>
      </w:pPr>
    </w:p>
    <w:p w:rsidR="00D24E61" w:rsidRPr="00771368" w:rsidRDefault="00295FC8">
      <w:pPr>
        <w:ind w:left="280"/>
        <w:rPr>
          <w:sz w:val="18"/>
          <w:szCs w:val="18"/>
        </w:rPr>
      </w:pPr>
      <w:hyperlink r:id="rId179">
        <w:r w:rsidR="00D24E61" w:rsidRPr="00771368">
          <w:rPr>
            <w:sz w:val="18"/>
            <w:szCs w:val="18"/>
          </w:rPr>
          <w:t>Fonte:http://3.bp.blogspot.com/mEeOYkWT4sA/UTeUY_RksWI/AAAAAAAACBE/PPQ1vfmJLNw/s1600/nina.jpg</w:t>
        </w:r>
      </w:hyperlink>
    </w:p>
    <w:p w:rsidR="00D24E61" w:rsidRPr="00771368" w:rsidRDefault="00D24E61">
      <w:pPr>
        <w:spacing w:line="200" w:lineRule="exact"/>
        <w:rPr>
          <w:sz w:val="20"/>
          <w:szCs w:val="20"/>
        </w:rPr>
      </w:pPr>
    </w:p>
    <w:p w:rsidR="00D24E61" w:rsidRPr="00771368" w:rsidRDefault="00D24E61">
      <w:pPr>
        <w:spacing w:line="269" w:lineRule="exact"/>
        <w:rPr>
          <w:sz w:val="20"/>
          <w:szCs w:val="20"/>
        </w:rPr>
      </w:pPr>
    </w:p>
    <w:p w:rsidR="00D24E61" w:rsidRPr="00771368" w:rsidRDefault="00D24E61">
      <w:pPr>
        <w:spacing w:line="334" w:lineRule="auto"/>
        <w:ind w:firstLine="708"/>
        <w:jc w:val="both"/>
        <w:rPr>
          <w:sz w:val="20"/>
          <w:szCs w:val="20"/>
        </w:rPr>
      </w:pPr>
      <w:r w:rsidRPr="00771368">
        <w:rPr>
          <w:sz w:val="24"/>
          <w:szCs w:val="24"/>
        </w:rPr>
        <w:t>O graffiti de Nina Pandolfo é reconhecido e valorizado por críticos da arte como arte contemporânea. Mas segundos relatos em entrevistas o início da sua produção artística a posição de mulher no grafite não foi de fácil aceitação.</w:t>
      </w:r>
    </w:p>
    <w:p w:rsidR="00D24E61" w:rsidRPr="00771368" w:rsidRDefault="00D24E61">
      <w:pPr>
        <w:spacing w:line="82" w:lineRule="exact"/>
        <w:rPr>
          <w:sz w:val="20"/>
          <w:szCs w:val="20"/>
        </w:rPr>
      </w:pPr>
    </w:p>
    <w:p w:rsidR="00D24E61" w:rsidRPr="00771368" w:rsidRDefault="00D24E61">
      <w:pPr>
        <w:spacing w:line="233" w:lineRule="auto"/>
        <w:ind w:left="2260"/>
        <w:jc w:val="both"/>
        <w:rPr>
          <w:sz w:val="20"/>
          <w:szCs w:val="20"/>
        </w:rPr>
      </w:pPr>
      <w:r w:rsidRPr="00771368">
        <w:rPr>
          <w:sz w:val="20"/>
          <w:szCs w:val="20"/>
        </w:rPr>
        <w:t>Juicy: Como foi isso para uma mulher? Nina: No inicio, por ser uma arte que ninguém conhecia, que ninguém sabia direito se era proibido, se era arte, se era legal ou cool, as pessoas não conseguiam compreender e nem ter uma opinião formada do que era uma mulher fazer graffiti. Mas, como em todas as profissões, sempre tem alguém com preconceito sobre uma mulher fazer uma atividade que é feita na maioria por homens. E pra mim isto acontece até os dias de hoje. Mas tive o privilégio se sempre estar cercada de outros artistas (homens) que me apoiavam. juicysanto- Publicado em 23/11/2012 às 13h:00 | Categorias: Arte e Design</w:t>
      </w:r>
    </w:p>
    <w:p w:rsidR="00D24E61" w:rsidRPr="00771368" w:rsidRDefault="00D24E61">
      <w:pPr>
        <w:sectPr w:rsidR="00D24E61" w:rsidRPr="00771368">
          <w:pgSz w:w="11900" w:h="16838"/>
          <w:pgMar w:top="1388" w:right="1420" w:bottom="1440" w:left="1420" w:header="0" w:footer="0" w:gutter="0"/>
          <w:cols w:space="720" w:equalWidth="0">
            <w:col w:w="9060"/>
          </w:cols>
        </w:sectPr>
      </w:pP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59264" behindDoc="1" locked="0" layoutInCell="0" allowOverlap="1">
            <wp:simplePos x="0" y="0"/>
            <wp:positionH relativeFrom="page">
              <wp:posOffset>900430</wp:posOffset>
            </wp:positionH>
            <wp:positionV relativeFrom="page">
              <wp:posOffset>900430</wp:posOffset>
            </wp:positionV>
            <wp:extent cx="5873750" cy="3960495"/>
            <wp:effectExtent l="0" t="0" r="0"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cstate="print">
                      <a:clrChange>
                        <a:clrFrom>
                          <a:srgbClr val="FFFFFF"/>
                        </a:clrFrom>
                        <a:clrTo>
                          <a:srgbClr val="FFFFFF">
                            <a:alpha val="0"/>
                          </a:srgbClr>
                        </a:clrTo>
                      </a:clrChange>
                      <a:extLst/>
                    </a:blip>
                    <a:srcRect/>
                    <a:stretch>
                      <a:fillRect/>
                    </a:stretch>
                  </pic:blipFill>
                  <pic:spPr bwMode="auto">
                    <a:xfrm>
                      <a:off x="0" y="0"/>
                      <a:ext cx="5873750" cy="396049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49" w:lineRule="exact"/>
        <w:rPr>
          <w:sz w:val="20"/>
          <w:szCs w:val="20"/>
        </w:rPr>
      </w:pPr>
    </w:p>
    <w:p w:rsidR="00D24E61" w:rsidRPr="00771368" w:rsidRDefault="00D24E61">
      <w:pPr>
        <w:ind w:left="3220"/>
        <w:rPr>
          <w:sz w:val="20"/>
          <w:szCs w:val="20"/>
        </w:rPr>
      </w:pPr>
      <w:r w:rsidRPr="00771368">
        <w:rPr>
          <w:sz w:val="24"/>
          <w:szCs w:val="24"/>
        </w:rPr>
        <w:t>Imagem 08- Nina Pandolfo</w:t>
      </w:r>
    </w:p>
    <w:p w:rsidR="00D24E61" w:rsidRPr="00771368" w:rsidRDefault="00D24E61">
      <w:pPr>
        <w:spacing w:line="141" w:lineRule="exact"/>
        <w:rPr>
          <w:sz w:val="20"/>
          <w:szCs w:val="20"/>
        </w:rPr>
      </w:pPr>
    </w:p>
    <w:p w:rsidR="00D24E61" w:rsidRPr="00771368" w:rsidRDefault="00D24E61">
      <w:pPr>
        <w:ind w:left="1380"/>
        <w:rPr>
          <w:sz w:val="20"/>
          <w:szCs w:val="20"/>
        </w:rPr>
      </w:pPr>
      <w:r w:rsidRPr="00771368">
        <w:rPr>
          <w:sz w:val="18"/>
          <w:szCs w:val="18"/>
        </w:rPr>
        <w:t>Fonte:http://magriniartes.wordpress.com/2012/12/15/nina-pandolfoexpressao-e-paixao/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44" w:lineRule="exact"/>
        <w:rPr>
          <w:sz w:val="20"/>
          <w:szCs w:val="20"/>
        </w:rPr>
      </w:pPr>
    </w:p>
    <w:p w:rsidR="00D24E61" w:rsidRPr="00771368" w:rsidRDefault="00D24E61">
      <w:pPr>
        <w:rPr>
          <w:sz w:val="20"/>
          <w:szCs w:val="20"/>
        </w:rPr>
      </w:pPr>
      <w:r w:rsidRPr="00771368">
        <w:rPr>
          <w:sz w:val="24"/>
          <w:szCs w:val="24"/>
        </w:rPr>
        <w:t>CONCLUSÃO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0"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Nina Pandolfo inclui-se na história do graffiti no Brasil, como uma das primeiras mulheres a usar, a ousar, e ser reconhecida internacionalmente como Artista de Street Art.</w:t>
      </w:r>
    </w:p>
    <w:p w:rsidR="00D24E61" w:rsidRPr="00771368" w:rsidRDefault="00D24E61">
      <w:pPr>
        <w:spacing w:line="120"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Mesmo com tantos anos que se passaram na luta da igualdade entre os gêneros, o feminino ainda na contemporaneidades quebra conceitos retrógados assim como a produção de arte do graffiti feita apenas pelo sexo masculino.</w:t>
      </w:r>
    </w:p>
    <w:p w:rsidR="00D24E61" w:rsidRPr="00771368" w:rsidRDefault="00D24E61">
      <w:pPr>
        <w:spacing w:line="89"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Assim como a metáfora de Didi-huberman sobre a ressurgências das imagens, aparecimentos e desaparecimentos, a ressurgências do graffiti em décadas, hoje o graffiti ressurge e se ressignifica através das mão Femininas de Nina Pandolfo.</w:t>
      </w:r>
    </w:p>
    <w:p w:rsidR="00D24E61" w:rsidRPr="00771368" w:rsidRDefault="00D24E61">
      <w:pPr>
        <w:spacing w:line="89" w:lineRule="exact"/>
        <w:rPr>
          <w:sz w:val="20"/>
          <w:szCs w:val="20"/>
        </w:rPr>
      </w:pPr>
    </w:p>
    <w:p w:rsidR="00D24E61" w:rsidRPr="00771368" w:rsidRDefault="00D24E61">
      <w:pPr>
        <w:spacing w:line="334" w:lineRule="auto"/>
        <w:ind w:firstLine="708"/>
        <w:jc w:val="both"/>
        <w:rPr>
          <w:sz w:val="20"/>
          <w:szCs w:val="20"/>
        </w:rPr>
      </w:pPr>
      <w:r w:rsidRPr="00771368">
        <w:rPr>
          <w:sz w:val="24"/>
          <w:szCs w:val="24"/>
        </w:rPr>
        <w:t>Graffitis que representam a própria imagem das mulheres e meninas, cada qual com seu jeito, especificidade, com sua cor, seu olhar. Imagens que resplandecem na arte contemporânea levando uma inspiração para outras mulheres ousarem a criar graffiti. Como o</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rPr>
          <w:sz w:val="20"/>
          <w:szCs w:val="20"/>
        </w:rPr>
      </w:pPr>
      <w:r w:rsidRPr="00771368">
        <w:rPr>
          <w:sz w:val="24"/>
          <w:szCs w:val="24"/>
        </w:rPr>
        <w:t>exemplo setembro/2013 publicação que Shamsia Hassani e Malina Suliman são as primeiras</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mulheres grafiteiras no Afeganistão lutando contra o preconceito favor da igualdade social.</w:t>
      </w:r>
    </w:p>
    <w:p w:rsidR="00D24E61" w:rsidRPr="00771368" w:rsidRDefault="00D24E61">
      <w:pPr>
        <w:spacing w:line="139" w:lineRule="exact"/>
        <w:rPr>
          <w:sz w:val="20"/>
          <w:szCs w:val="20"/>
        </w:rPr>
      </w:pPr>
    </w:p>
    <w:p w:rsidR="00D24E61" w:rsidRPr="00771368" w:rsidRDefault="00D24E61">
      <w:pPr>
        <w:ind w:left="700"/>
        <w:rPr>
          <w:sz w:val="20"/>
          <w:szCs w:val="20"/>
        </w:rPr>
      </w:pPr>
      <w:r w:rsidRPr="00771368">
        <w:rPr>
          <w:sz w:val="24"/>
          <w:szCs w:val="24"/>
        </w:rPr>
        <w:t>Arte com sua função social, o graffiti como voz do povo.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30" w:lineRule="exact"/>
        <w:rPr>
          <w:sz w:val="20"/>
          <w:szCs w:val="20"/>
        </w:rPr>
      </w:pPr>
    </w:p>
    <w:p w:rsidR="00D24E61" w:rsidRPr="00771368" w:rsidRDefault="00D24E61">
      <w:pPr>
        <w:ind w:left="700"/>
        <w:rPr>
          <w:sz w:val="20"/>
          <w:szCs w:val="20"/>
        </w:rPr>
      </w:pPr>
      <w:r w:rsidRPr="00771368">
        <w:rPr>
          <w:sz w:val="24"/>
          <w:szCs w:val="24"/>
        </w:rPr>
        <w:t>REFERÊNCIAS</w:t>
      </w:r>
    </w:p>
    <w:p w:rsidR="00D24E61" w:rsidRPr="00771368" w:rsidRDefault="00D24E61">
      <w:pPr>
        <w:spacing w:line="200" w:lineRule="exact"/>
        <w:rPr>
          <w:sz w:val="20"/>
          <w:szCs w:val="20"/>
        </w:rPr>
      </w:pPr>
    </w:p>
    <w:p w:rsidR="00D24E61" w:rsidRPr="00771368" w:rsidRDefault="00D24E61">
      <w:pPr>
        <w:spacing w:line="222" w:lineRule="exact"/>
        <w:rPr>
          <w:sz w:val="20"/>
          <w:szCs w:val="20"/>
        </w:rPr>
      </w:pPr>
    </w:p>
    <w:p w:rsidR="00D24E61" w:rsidRPr="00771368" w:rsidRDefault="00D24E61">
      <w:pPr>
        <w:rPr>
          <w:sz w:val="20"/>
          <w:szCs w:val="20"/>
        </w:rPr>
      </w:pPr>
      <w:r w:rsidRPr="00771368">
        <w:rPr>
          <w:b/>
          <w:bCs/>
          <w:sz w:val="24"/>
          <w:szCs w:val="24"/>
        </w:rPr>
        <w:t>01.Bibliografia</w:t>
      </w:r>
    </w:p>
    <w:p w:rsidR="00D24E61" w:rsidRPr="00771368" w:rsidRDefault="00D24E61">
      <w:pPr>
        <w:spacing w:line="329" w:lineRule="exact"/>
        <w:rPr>
          <w:sz w:val="20"/>
          <w:szCs w:val="20"/>
        </w:rPr>
      </w:pPr>
    </w:p>
    <w:p w:rsidR="00D24E61" w:rsidRPr="00771368" w:rsidRDefault="00D24E61">
      <w:pPr>
        <w:spacing w:line="214" w:lineRule="auto"/>
        <w:ind w:right="20"/>
        <w:rPr>
          <w:sz w:val="20"/>
          <w:szCs w:val="20"/>
        </w:rPr>
      </w:pPr>
      <w:r w:rsidRPr="00771368">
        <w:rPr>
          <w:sz w:val="24"/>
          <w:szCs w:val="24"/>
        </w:rPr>
        <w:t>Didi-Huberman</w:t>
      </w:r>
      <w:r w:rsidRPr="00771368">
        <w:rPr>
          <w:i/>
          <w:iCs/>
          <w:sz w:val="24"/>
          <w:szCs w:val="24"/>
        </w:rPr>
        <w:t>, de Georges.</w:t>
      </w:r>
      <w:r w:rsidRPr="00771368">
        <w:rPr>
          <w:sz w:val="24"/>
          <w:szCs w:val="24"/>
        </w:rPr>
        <w:t xml:space="preserve"> </w:t>
      </w:r>
      <w:r w:rsidRPr="00771368">
        <w:rPr>
          <w:b/>
          <w:bCs/>
          <w:sz w:val="24"/>
          <w:szCs w:val="24"/>
        </w:rPr>
        <w:t>Sobrevivência dos vaga-lumes</w:t>
      </w:r>
      <w:r w:rsidRPr="00771368">
        <w:rPr>
          <w:sz w:val="24"/>
          <w:szCs w:val="24"/>
        </w:rPr>
        <w:t xml:space="preserve"> Tradução de Vera Casa Nova e Márcia Arbex. Editora UFMG, 160 p.</w:t>
      </w:r>
    </w:p>
    <w:p w:rsidR="00D24E61" w:rsidRPr="00771368" w:rsidRDefault="00D24E61">
      <w:pPr>
        <w:spacing w:line="300" w:lineRule="exact"/>
        <w:rPr>
          <w:sz w:val="20"/>
          <w:szCs w:val="20"/>
        </w:rPr>
      </w:pPr>
    </w:p>
    <w:p w:rsidR="00D24E61" w:rsidRPr="00771368" w:rsidRDefault="00D24E61">
      <w:pPr>
        <w:spacing w:line="214" w:lineRule="auto"/>
        <w:rPr>
          <w:sz w:val="20"/>
          <w:szCs w:val="20"/>
        </w:rPr>
      </w:pPr>
      <w:r w:rsidRPr="00771368">
        <w:rPr>
          <w:sz w:val="24"/>
          <w:szCs w:val="24"/>
        </w:rPr>
        <w:t xml:space="preserve">RAMOS, Célia Maria Antonacci. </w:t>
      </w:r>
      <w:r w:rsidRPr="00771368">
        <w:rPr>
          <w:b/>
          <w:bCs/>
          <w:sz w:val="24"/>
          <w:szCs w:val="24"/>
        </w:rPr>
        <w:t>Grafite, Pichação e Cia</w:t>
      </w:r>
      <w:r w:rsidRPr="00771368">
        <w:rPr>
          <w:sz w:val="24"/>
          <w:szCs w:val="24"/>
        </w:rPr>
        <w:t>. São Paulo: Anna Blume. 1994, p.13 – 15.</w:t>
      </w:r>
    </w:p>
    <w:p w:rsidR="00D24E61" w:rsidRPr="00771368" w:rsidRDefault="00D24E61">
      <w:pPr>
        <w:spacing w:line="336" w:lineRule="exact"/>
        <w:rPr>
          <w:sz w:val="20"/>
          <w:szCs w:val="20"/>
        </w:rPr>
      </w:pPr>
    </w:p>
    <w:p w:rsidR="00D24E61" w:rsidRPr="00771368" w:rsidRDefault="00D24E61">
      <w:pPr>
        <w:spacing w:line="214" w:lineRule="auto"/>
        <w:ind w:right="20"/>
        <w:rPr>
          <w:sz w:val="20"/>
          <w:szCs w:val="20"/>
        </w:rPr>
      </w:pPr>
      <w:r w:rsidRPr="00771368">
        <w:rPr>
          <w:sz w:val="24"/>
          <w:szCs w:val="24"/>
        </w:rPr>
        <w:t xml:space="preserve">Rancière, Jacques. </w:t>
      </w:r>
      <w:r w:rsidRPr="00771368">
        <w:rPr>
          <w:b/>
          <w:bCs/>
          <w:sz w:val="24"/>
          <w:szCs w:val="24"/>
        </w:rPr>
        <w:t>A partilha do sensível:estética e política</w:t>
      </w:r>
      <w:r w:rsidRPr="00771368">
        <w:rPr>
          <w:sz w:val="24"/>
          <w:szCs w:val="24"/>
        </w:rPr>
        <w:t>. Tradução de Mônica Costa Netto.Editora São Paulo:Exo experimental org.;Ed.34,2005.72p.</w:t>
      </w:r>
    </w:p>
    <w:p w:rsidR="00D24E61" w:rsidRPr="00771368" w:rsidRDefault="00D24E61">
      <w:pPr>
        <w:spacing w:line="333" w:lineRule="exact"/>
        <w:rPr>
          <w:sz w:val="20"/>
          <w:szCs w:val="20"/>
        </w:rPr>
      </w:pPr>
    </w:p>
    <w:p w:rsidR="00D24E61" w:rsidRPr="00771368" w:rsidRDefault="00D24E61">
      <w:pPr>
        <w:spacing w:line="214" w:lineRule="auto"/>
        <w:rPr>
          <w:sz w:val="20"/>
          <w:szCs w:val="20"/>
        </w:rPr>
      </w:pPr>
      <w:r w:rsidRPr="00771368">
        <w:rPr>
          <w:sz w:val="24"/>
          <w:szCs w:val="24"/>
        </w:rPr>
        <w:t xml:space="preserve">Rancière, Jacques. </w:t>
      </w:r>
      <w:r w:rsidRPr="00771368">
        <w:rPr>
          <w:b/>
          <w:bCs/>
          <w:sz w:val="24"/>
          <w:szCs w:val="24"/>
        </w:rPr>
        <w:t>O destino das imagens</w:t>
      </w:r>
      <w:r w:rsidRPr="00771368">
        <w:rPr>
          <w:sz w:val="24"/>
          <w:szCs w:val="24"/>
        </w:rPr>
        <w:t>. Tradução de Mônica Costa Netto.Editora Rio de Janeiro:Contraponto,2012.151p.</w:t>
      </w:r>
    </w:p>
    <w:p w:rsidR="00D24E61" w:rsidRPr="00771368" w:rsidRDefault="00D24E61">
      <w:pPr>
        <w:spacing w:line="278" w:lineRule="exact"/>
        <w:rPr>
          <w:sz w:val="20"/>
          <w:szCs w:val="20"/>
        </w:rPr>
      </w:pPr>
    </w:p>
    <w:p w:rsidR="00D24E61" w:rsidRPr="00771368" w:rsidRDefault="00D24E61">
      <w:pPr>
        <w:rPr>
          <w:sz w:val="20"/>
          <w:szCs w:val="20"/>
        </w:rPr>
      </w:pPr>
      <w:r w:rsidRPr="00771368">
        <w:rPr>
          <w:b/>
          <w:bCs/>
          <w:sz w:val="24"/>
          <w:szCs w:val="24"/>
        </w:rPr>
        <w:t xml:space="preserve">02.Monografias (On-line) </w:t>
      </w:r>
      <w:r w:rsidRPr="00771368">
        <w:rPr>
          <w:sz w:val="24"/>
          <w:szCs w:val="24"/>
        </w:rPr>
        <w:t>[Internet]</w:t>
      </w:r>
    </w:p>
    <w:p w:rsidR="00D24E61" w:rsidRPr="00771368" w:rsidRDefault="00D24E61">
      <w:pPr>
        <w:spacing w:line="334" w:lineRule="exact"/>
        <w:rPr>
          <w:sz w:val="20"/>
          <w:szCs w:val="20"/>
        </w:rPr>
      </w:pPr>
    </w:p>
    <w:p w:rsidR="00D24E61" w:rsidRPr="00771368" w:rsidRDefault="00D24E61">
      <w:pPr>
        <w:spacing w:line="214" w:lineRule="auto"/>
        <w:ind w:right="20"/>
        <w:rPr>
          <w:sz w:val="20"/>
          <w:szCs w:val="20"/>
        </w:rPr>
      </w:pPr>
      <w:r w:rsidRPr="00771368">
        <w:rPr>
          <w:sz w:val="24"/>
          <w:szCs w:val="24"/>
        </w:rPr>
        <w:t>Lima, Rogério. Introdução à História da Arte. Disponível em: http://rickardo.com.br/esthar/arquivos/ha_ph_renasc.pdf. Data de acesso 01 de ago 2013).</w:t>
      </w:r>
    </w:p>
    <w:p w:rsidR="00D24E61" w:rsidRPr="00771368" w:rsidRDefault="00D24E61">
      <w:pPr>
        <w:spacing w:line="278" w:lineRule="exact"/>
        <w:rPr>
          <w:sz w:val="20"/>
          <w:szCs w:val="20"/>
        </w:rPr>
      </w:pPr>
    </w:p>
    <w:p w:rsidR="00D24E61" w:rsidRPr="00771368" w:rsidRDefault="00D24E61">
      <w:pPr>
        <w:rPr>
          <w:sz w:val="20"/>
          <w:szCs w:val="20"/>
        </w:rPr>
      </w:pPr>
      <w:r w:rsidRPr="00771368">
        <w:rPr>
          <w:b/>
          <w:bCs/>
          <w:sz w:val="24"/>
          <w:szCs w:val="24"/>
        </w:rPr>
        <w:t xml:space="preserve">03.Publicações Periódicas (On-line) </w:t>
      </w:r>
      <w:r w:rsidRPr="00771368">
        <w:rPr>
          <w:sz w:val="24"/>
          <w:szCs w:val="24"/>
        </w:rPr>
        <w:t>[Internet]</w:t>
      </w:r>
    </w:p>
    <w:p w:rsidR="00D24E61" w:rsidRPr="00771368" w:rsidRDefault="00D24E61">
      <w:pPr>
        <w:spacing w:line="334" w:lineRule="exact"/>
        <w:rPr>
          <w:sz w:val="20"/>
          <w:szCs w:val="20"/>
        </w:rPr>
      </w:pPr>
    </w:p>
    <w:p w:rsidR="00D24E61" w:rsidRPr="00771368" w:rsidRDefault="00295FC8">
      <w:pPr>
        <w:spacing w:line="232" w:lineRule="auto"/>
        <w:ind w:right="40"/>
        <w:rPr>
          <w:sz w:val="23"/>
          <w:szCs w:val="23"/>
        </w:rPr>
      </w:pPr>
      <w:hyperlink r:id="rId181" w:anchor="1">
        <w:r w:rsidR="00D24E61" w:rsidRPr="00771368">
          <w:rPr>
            <w:sz w:val="23"/>
            <w:szCs w:val="23"/>
          </w:rPr>
          <w:t>http://revistatpm.uol.com.br//so-no-site/entrevistas/por-amor-aos-tracinhos.html#1</w:t>
        </w:r>
      </w:hyperlink>
      <w:r w:rsidR="00D24E61" w:rsidRPr="00771368">
        <w:rPr>
          <w:sz w:val="23"/>
          <w:szCs w:val="23"/>
        </w:rPr>
        <w:t xml:space="preserve"> </w:t>
      </w:r>
      <w:hyperlink r:id="rId182">
        <w:r w:rsidR="00D24E61" w:rsidRPr="00771368">
          <w:rPr>
            <w:sz w:val="23"/>
            <w:szCs w:val="23"/>
          </w:rPr>
          <w:t>http://www.itaucultural.org.br/aplicexternas/enciclopedia_ic/index.cfm?fuseaction=artistas_bi</w:t>
        </w:r>
      </w:hyperlink>
      <w:r w:rsidR="00D24E61" w:rsidRPr="00771368">
        <w:rPr>
          <w:sz w:val="23"/>
          <w:szCs w:val="23"/>
        </w:rPr>
        <w:t xml:space="preserve"> </w:t>
      </w:r>
      <w:hyperlink r:id="rId183">
        <w:r w:rsidR="00D24E61" w:rsidRPr="00771368">
          <w:rPr>
            <w:sz w:val="23"/>
            <w:szCs w:val="23"/>
          </w:rPr>
          <w:t>ografia&amp;cd_verbete=991</w:t>
        </w:r>
      </w:hyperlink>
    </w:p>
    <w:p w:rsidR="00D24E61" w:rsidRPr="00771368" w:rsidRDefault="00D24E61">
      <w:pPr>
        <w:spacing w:line="61" w:lineRule="exact"/>
        <w:rPr>
          <w:sz w:val="23"/>
          <w:szCs w:val="23"/>
        </w:rPr>
      </w:pPr>
    </w:p>
    <w:p w:rsidR="00D24E61" w:rsidRPr="00771368" w:rsidRDefault="00295FC8">
      <w:pPr>
        <w:ind w:right="20"/>
        <w:rPr>
          <w:sz w:val="24"/>
          <w:szCs w:val="24"/>
        </w:rPr>
      </w:pPr>
      <w:hyperlink r:id="rId184">
        <w:r w:rsidR="00D24E61" w:rsidRPr="00771368">
          <w:rPr>
            <w:sz w:val="24"/>
            <w:szCs w:val="24"/>
          </w:rPr>
          <w:t>http://www.sp-arte.com/artistas/nina-pandolfo/</w:t>
        </w:r>
      </w:hyperlink>
      <w:r w:rsidR="00D24E61" w:rsidRPr="00771368">
        <w:rPr>
          <w:sz w:val="24"/>
          <w:szCs w:val="24"/>
        </w:rPr>
        <w:t xml:space="preserve"> http://www.juicysantos.com.br/2012/11/eu-quero-fazer-graffiti-entrevista-com-nina-pandolfo-e-leandro-shesko/</w:t>
      </w:r>
    </w:p>
    <w:p w:rsidR="00D24E61" w:rsidRPr="00771368" w:rsidRDefault="00D24E61">
      <w:pPr>
        <w:spacing w:line="200" w:lineRule="exact"/>
        <w:rPr>
          <w:sz w:val="23"/>
          <w:szCs w:val="23"/>
        </w:rPr>
      </w:pPr>
    </w:p>
    <w:p w:rsidR="00D24E61" w:rsidRPr="00771368" w:rsidRDefault="00D24E61">
      <w:pPr>
        <w:spacing w:line="294" w:lineRule="exact"/>
        <w:rPr>
          <w:sz w:val="23"/>
          <w:szCs w:val="23"/>
        </w:rPr>
      </w:pPr>
    </w:p>
    <w:p w:rsidR="00D24E61" w:rsidRPr="00D61223" w:rsidRDefault="00D24E61">
      <w:pPr>
        <w:rPr>
          <w:sz w:val="20"/>
          <w:szCs w:val="20"/>
          <w:lang w:val="en-US"/>
        </w:rPr>
      </w:pPr>
      <w:r w:rsidRPr="00D61223">
        <w:rPr>
          <w:b/>
          <w:bCs/>
          <w:sz w:val="24"/>
          <w:szCs w:val="24"/>
          <w:lang w:val="en-US"/>
        </w:rPr>
        <w:t xml:space="preserve">04.Homepage- website (On-line) </w:t>
      </w:r>
      <w:r w:rsidRPr="00D61223">
        <w:rPr>
          <w:sz w:val="24"/>
          <w:szCs w:val="24"/>
          <w:lang w:val="en-US"/>
        </w:rPr>
        <w:t>[Internet]</w:t>
      </w:r>
    </w:p>
    <w:p w:rsidR="00D24E61" w:rsidRPr="00D61223" w:rsidRDefault="00D24E61">
      <w:pPr>
        <w:spacing w:line="298" w:lineRule="exact"/>
        <w:rPr>
          <w:sz w:val="23"/>
          <w:szCs w:val="23"/>
          <w:lang w:val="en-US"/>
        </w:rPr>
      </w:pPr>
    </w:p>
    <w:p w:rsidR="00D24E61" w:rsidRPr="00771368" w:rsidRDefault="00295FC8">
      <w:pPr>
        <w:spacing w:line="229" w:lineRule="auto"/>
        <w:ind w:right="260"/>
        <w:rPr>
          <w:sz w:val="24"/>
          <w:szCs w:val="24"/>
        </w:rPr>
      </w:pPr>
      <w:hyperlink r:id="rId185">
        <w:r w:rsidR="00D24E61" w:rsidRPr="00771368">
          <w:rPr>
            <w:sz w:val="24"/>
            <w:szCs w:val="24"/>
          </w:rPr>
          <w:t xml:space="preserve">http://dakshinamurti.tripod.com/graffiti.htm </w:t>
        </w:r>
      </w:hyperlink>
      <w:r w:rsidR="00D24E61" w:rsidRPr="00771368">
        <w:rPr>
          <w:sz w:val="24"/>
          <w:szCs w:val="24"/>
        </w:rPr>
        <w:t xml:space="preserve">- Enciclopédia de Artes Visuais </w:t>
      </w:r>
      <w:hyperlink r:id="rId186">
        <w:r w:rsidR="00D24E61" w:rsidRPr="00771368">
          <w:rPr>
            <w:sz w:val="24"/>
            <w:szCs w:val="24"/>
          </w:rPr>
          <w:t>http://link-to-think.blogspot.com.br/2009_10_01_archive.html</w:t>
        </w:r>
      </w:hyperlink>
      <w:r w:rsidR="00D24E61" w:rsidRPr="00771368">
        <w:rPr>
          <w:sz w:val="24"/>
          <w:szCs w:val="24"/>
        </w:rPr>
        <w:t xml:space="preserve"> </w:t>
      </w:r>
      <w:hyperlink r:id="rId187">
        <w:r w:rsidR="00D24E61" w:rsidRPr="00771368">
          <w:rPr>
            <w:sz w:val="24"/>
            <w:szCs w:val="24"/>
          </w:rPr>
          <w:t>http://ondeacinderelaperdeuoscarpin.blogspot.com.br/2013/01/a-arte-de-nina-pandolfo.html</w:t>
        </w:r>
      </w:hyperlink>
      <w:r w:rsidR="00D24E61" w:rsidRPr="00771368">
        <w:rPr>
          <w:sz w:val="24"/>
          <w:szCs w:val="24"/>
        </w:rPr>
        <w:t xml:space="preserve"> </w:t>
      </w:r>
      <w:hyperlink r:id="rId188">
        <w:r w:rsidR="00D24E61" w:rsidRPr="00771368">
          <w:rPr>
            <w:sz w:val="24"/>
            <w:szCs w:val="24"/>
          </w:rPr>
          <w:t>http://revistacriativa.globo.com/Revista/Criativa/0,,EMI94731-17375,00-</w:t>
        </w:r>
      </w:hyperlink>
      <w:hyperlink r:id="rId189">
        <w:r w:rsidR="00D24E61" w:rsidRPr="00771368">
          <w:rPr>
            <w:sz w:val="24"/>
            <w:szCs w:val="24"/>
          </w:rPr>
          <w:t>NINA+PANDOLFO.html</w:t>
        </w:r>
      </w:hyperlink>
    </w:p>
    <w:p w:rsidR="00283E5E" w:rsidRDefault="00283E5E">
      <w:pPr>
        <w:rPr>
          <w:sz w:val="24"/>
          <w:szCs w:val="24"/>
        </w:rPr>
      </w:pPr>
      <w:r>
        <w:rPr>
          <w:sz w:val="24"/>
          <w:szCs w:val="24"/>
        </w:rPr>
        <w:br w:type="page"/>
      </w:r>
    </w:p>
    <w:p w:rsidR="00D24E61" w:rsidRPr="00771368" w:rsidRDefault="00D24E61">
      <w:pPr>
        <w:spacing w:line="357" w:lineRule="exact"/>
        <w:rPr>
          <w:sz w:val="24"/>
          <w:szCs w:val="24"/>
        </w:rPr>
      </w:pPr>
    </w:p>
    <w:p w:rsidR="00D24E61" w:rsidRPr="00771368" w:rsidRDefault="00D24E61">
      <w:pPr>
        <w:ind w:left="760"/>
        <w:rPr>
          <w:sz w:val="20"/>
          <w:szCs w:val="20"/>
        </w:rPr>
      </w:pPr>
      <w:r w:rsidRPr="00771368">
        <w:rPr>
          <w:b/>
          <w:bCs/>
          <w:sz w:val="24"/>
          <w:szCs w:val="24"/>
        </w:rPr>
        <w:t>Além do esperado: a trajetória da índia Damiana da Cunha (Goiás, c. 1780-1831)</w:t>
      </w:r>
    </w:p>
    <w:p w:rsidR="00D24E61" w:rsidRPr="00771368" w:rsidRDefault="00283E5E" w:rsidP="00283E5E">
      <w:pPr>
        <w:pStyle w:val="Ttulo1"/>
      </w:pPr>
      <w:bookmarkStart w:id="57" w:name="_Toc442034746"/>
      <w:r w:rsidRPr="00771368">
        <w:t>Suelen Siqueira Julio</w:t>
      </w:r>
      <w:bookmarkEnd w:id="57"/>
    </w:p>
    <w:p w:rsidR="00D24E61" w:rsidRPr="00771368" w:rsidRDefault="00D24E61" w:rsidP="00283E5E">
      <w:pPr>
        <w:pStyle w:val="Ttulo1"/>
      </w:pPr>
    </w:p>
    <w:p w:rsidR="00D24E61" w:rsidRPr="00771368" w:rsidRDefault="00D24E61">
      <w:pPr>
        <w:ind w:left="700"/>
        <w:rPr>
          <w:sz w:val="20"/>
          <w:szCs w:val="20"/>
        </w:rPr>
      </w:pPr>
      <w:r w:rsidRPr="00771368">
        <w:rPr>
          <w:b/>
          <w:bCs/>
          <w:sz w:val="24"/>
          <w:szCs w:val="24"/>
        </w:rPr>
        <w:t>Introdução:</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1" w:lineRule="exact"/>
        <w:rPr>
          <w:sz w:val="24"/>
          <w:szCs w:val="24"/>
        </w:rPr>
      </w:pPr>
    </w:p>
    <w:p w:rsidR="00D24E61" w:rsidRPr="00771368" w:rsidRDefault="00D24E61">
      <w:pPr>
        <w:spacing w:line="229" w:lineRule="auto"/>
        <w:ind w:left="1420"/>
        <w:jc w:val="both"/>
        <w:rPr>
          <w:sz w:val="20"/>
          <w:szCs w:val="20"/>
        </w:rPr>
      </w:pPr>
      <w:r w:rsidRPr="00771368">
        <w:rPr>
          <w:i/>
          <w:iCs/>
        </w:rPr>
        <w:t>O europeu saltava em terra escorregando em índia nua; os próprios padres da Companhia precisavam descer com cuidado, senão atolavam o pé em carne. Muitos clérigos, dos outros, deixaram-se contaminar pela devassidão. As mulheres eram as primeiras a se entregarem aos brancos, as mais ardentes indo esfregar-se nas pernas desses que supunham deuses. Davam-se ao europeu por um pente ou um caco de espelho</w:t>
      </w:r>
      <w:r w:rsidRPr="00771368">
        <w:rPr>
          <w:sz w:val="32"/>
          <w:szCs w:val="32"/>
          <w:vertAlign w:val="superscript"/>
        </w:rPr>
        <w:t>1</w:t>
      </w:r>
      <w:r w:rsidRPr="00771368">
        <w:rPr>
          <w:i/>
          <w:iCs/>
        </w:rPr>
        <w:t>. (Gilberto Freyre)</w:t>
      </w:r>
    </w:p>
    <w:p w:rsidR="00D24E61" w:rsidRPr="00771368" w:rsidRDefault="00D24E61">
      <w:pPr>
        <w:spacing w:line="400" w:lineRule="exact"/>
        <w:rPr>
          <w:sz w:val="24"/>
          <w:szCs w:val="24"/>
        </w:rPr>
      </w:pPr>
    </w:p>
    <w:p w:rsidR="00D24E61" w:rsidRPr="00771368" w:rsidRDefault="00D24E61">
      <w:pPr>
        <w:spacing w:line="348" w:lineRule="auto"/>
        <w:ind w:firstLine="708"/>
        <w:jc w:val="both"/>
        <w:rPr>
          <w:sz w:val="20"/>
          <w:szCs w:val="20"/>
        </w:rPr>
      </w:pPr>
      <w:r w:rsidRPr="00771368">
        <w:rPr>
          <w:sz w:val="24"/>
          <w:szCs w:val="24"/>
        </w:rPr>
        <w:t xml:space="preserve">Objeto dos desejos sexuais dos europeus; vítimas de estupro, de exploração e de toda sorte de abusos; mães, esposas, concubinas; seres desavergonhados e de sexualidade exacerbada. Muitos foram os epítetos e papéis atribuídos às mulheres indígenas por agentes coloniais e também autores acadêmicos mais ou menos recentes. Nas curtas passagens dedicadas à contribuição das índias para a formação da sociedade brasileira, no clássico </w:t>
      </w:r>
      <w:r w:rsidRPr="00771368">
        <w:rPr>
          <w:i/>
          <w:iCs/>
          <w:sz w:val="24"/>
          <w:szCs w:val="24"/>
        </w:rPr>
        <w:t xml:space="preserve">Casa-Grande e Senzala, </w:t>
      </w:r>
      <w:r w:rsidRPr="00771368">
        <w:rPr>
          <w:sz w:val="24"/>
          <w:szCs w:val="24"/>
        </w:rPr>
        <w:t>Gilberto Freyre ressalta o papel de mães, esposas/concubinas, e donas de</w:t>
      </w:r>
      <w:r w:rsidRPr="00771368">
        <w:rPr>
          <w:i/>
          <w:iCs/>
          <w:sz w:val="24"/>
          <w:szCs w:val="24"/>
        </w:rPr>
        <w:t xml:space="preserve"> </w:t>
      </w:r>
      <w:r w:rsidRPr="00771368">
        <w:rPr>
          <w:sz w:val="24"/>
          <w:szCs w:val="24"/>
        </w:rPr>
        <w:t>casa. Em Freyre as índias aparecem como base física da família e como enriquecedoras da cultura material brasileira. O papel de reprodutoras se encaixaria bem a tais mulheres, disponíveis para o sexo com os recém-chegados portugueses. Tal disponibilidade iria ao encontro dos desejos dos fogosos colonizadores</w:t>
      </w:r>
      <w:r w:rsidRPr="00771368">
        <w:rPr>
          <w:sz w:val="32"/>
          <w:szCs w:val="32"/>
          <w:vertAlign w:val="superscript"/>
        </w:rPr>
        <w:t>2</w:t>
      </w:r>
      <w:r w:rsidRPr="00771368">
        <w:rPr>
          <w:sz w:val="24"/>
          <w:szCs w:val="24"/>
        </w:rPr>
        <w:t>.</w:t>
      </w:r>
    </w:p>
    <w:p w:rsidR="00D24E61" w:rsidRPr="00771368" w:rsidRDefault="00D24E61">
      <w:pPr>
        <w:spacing w:line="6" w:lineRule="exact"/>
        <w:rPr>
          <w:sz w:val="24"/>
          <w:szCs w:val="24"/>
        </w:rPr>
      </w:pPr>
    </w:p>
    <w:p w:rsidR="00D24E61" w:rsidRPr="00771368" w:rsidRDefault="00D24E61">
      <w:pPr>
        <w:spacing w:line="343" w:lineRule="auto"/>
        <w:ind w:right="20" w:firstLine="708"/>
        <w:jc w:val="both"/>
        <w:rPr>
          <w:sz w:val="20"/>
          <w:szCs w:val="20"/>
        </w:rPr>
      </w:pPr>
      <w:r w:rsidRPr="00771368">
        <w:rPr>
          <w:sz w:val="24"/>
          <w:szCs w:val="24"/>
        </w:rPr>
        <w:t>O que muitas investigações têm demonstrado nas últimas décadas é que a experiência histórica dessas mulheres passou muito longe de se resumir ao lugar de vítimas e de meio de reprodução dos europeus. Assim, análises como a de Freyre refletem muito mais o que a sociedade colonial e patriarcal esperava das mulheres do que o papel que elas exerceram.</w:t>
      </w:r>
    </w:p>
    <w:p w:rsidR="00D24E61" w:rsidRPr="00771368" w:rsidRDefault="00D24E61">
      <w:pPr>
        <w:spacing w:line="78" w:lineRule="exact"/>
        <w:rPr>
          <w:sz w:val="24"/>
          <w:szCs w:val="24"/>
        </w:rPr>
      </w:pPr>
    </w:p>
    <w:p w:rsidR="00D24E61" w:rsidRPr="00771368" w:rsidRDefault="00D24E61">
      <w:pPr>
        <w:spacing w:line="308" w:lineRule="auto"/>
        <w:ind w:right="20" w:firstLine="708"/>
        <w:jc w:val="both"/>
        <w:rPr>
          <w:sz w:val="20"/>
          <w:szCs w:val="20"/>
        </w:rPr>
      </w:pPr>
      <w:r w:rsidRPr="00771368">
        <w:rPr>
          <w:sz w:val="24"/>
          <w:szCs w:val="24"/>
        </w:rPr>
        <w:t>Não só a escrita sobre a história das mulheres indígenas passou por uma série de revisões, como a própria historiografia apresentou nas últimas décadas modificações</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661824" behindDoc="0" locked="0" layoutInCell="0" allowOverlap="1">
                <wp:simplePos x="0" y="0"/>
                <wp:positionH relativeFrom="column">
                  <wp:posOffset>-635</wp:posOffset>
                </wp:positionH>
                <wp:positionV relativeFrom="paragraph">
                  <wp:posOffset>288290</wp:posOffset>
                </wp:positionV>
                <wp:extent cx="1828800" cy="0"/>
                <wp:effectExtent l="8890" t="12065" r="10160" b="6985"/>
                <wp:wrapNone/>
                <wp:docPr id="26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2.7pt" to="143.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" o:allowincell="f" strokeweight=".21164mm"/>
            </w:pict>
          </mc:Fallback>
        </mc:AlternateContent>
      </w:r>
    </w:p>
    <w:p w:rsidR="00D24E61" w:rsidRPr="00771368" w:rsidRDefault="00D24E61">
      <w:pPr>
        <w:spacing w:line="364" w:lineRule="exact"/>
        <w:rPr>
          <w:sz w:val="24"/>
          <w:szCs w:val="24"/>
        </w:rPr>
      </w:pPr>
    </w:p>
    <w:p w:rsidR="00D24E61" w:rsidRPr="00771368" w:rsidRDefault="00D24E61">
      <w:pPr>
        <w:spacing w:line="193" w:lineRule="auto"/>
        <w:ind w:right="20"/>
        <w:jc w:val="both"/>
        <w:rPr>
          <w:sz w:val="20"/>
          <w:szCs w:val="20"/>
        </w:rPr>
      </w:pPr>
      <w:r w:rsidRPr="00771368">
        <w:rPr>
          <w:sz w:val="32"/>
          <w:szCs w:val="32"/>
          <w:vertAlign w:val="superscript"/>
        </w:rPr>
        <w:t>1</w:t>
      </w:r>
      <w:r w:rsidRPr="00771368">
        <w:rPr>
          <w:sz w:val="20"/>
          <w:szCs w:val="20"/>
        </w:rPr>
        <w:t xml:space="preserve">FREYRE, Gilberto. </w:t>
      </w:r>
      <w:r w:rsidRPr="00771368">
        <w:rPr>
          <w:i/>
          <w:iCs/>
          <w:sz w:val="20"/>
          <w:szCs w:val="20"/>
        </w:rPr>
        <w:t>Casa-grande e senzala: formação da família brasileira sob o regime da economia</w:t>
      </w:r>
      <w:r w:rsidRPr="00771368">
        <w:rPr>
          <w:sz w:val="20"/>
          <w:szCs w:val="20"/>
        </w:rPr>
        <w:t xml:space="preserve"> </w:t>
      </w:r>
      <w:r w:rsidRPr="00771368">
        <w:rPr>
          <w:i/>
          <w:iCs/>
          <w:sz w:val="20"/>
          <w:szCs w:val="20"/>
        </w:rPr>
        <w:t xml:space="preserve">patriarcal. </w:t>
      </w:r>
      <w:r w:rsidRPr="00771368">
        <w:rPr>
          <w:sz w:val="20"/>
          <w:szCs w:val="20"/>
        </w:rPr>
        <w:t>51ª ed. São Paulo: Global, 2006 (1933), p.161.</w:t>
      </w:r>
    </w:p>
    <w:p w:rsidR="00D24E61" w:rsidRPr="00771368" w:rsidRDefault="00D24E61">
      <w:pPr>
        <w:spacing w:line="9" w:lineRule="exact"/>
        <w:rPr>
          <w:sz w:val="24"/>
          <w:szCs w:val="24"/>
        </w:rPr>
      </w:pPr>
    </w:p>
    <w:p w:rsidR="00D24E61" w:rsidRPr="00771368" w:rsidRDefault="00D24E61">
      <w:pPr>
        <w:rPr>
          <w:sz w:val="20"/>
          <w:szCs w:val="20"/>
        </w:rPr>
      </w:pPr>
      <w:r w:rsidRPr="00771368">
        <w:rPr>
          <w:sz w:val="32"/>
          <w:szCs w:val="32"/>
          <w:vertAlign w:val="superscript"/>
        </w:rPr>
        <w:t>2</w:t>
      </w:r>
      <w:r w:rsidRPr="00771368">
        <w:rPr>
          <w:sz w:val="20"/>
          <w:szCs w:val="20"/>
        </w:rPr>
        <w:t xml:space="preserve">Ver: FREYRE, Gilberto. “O indígena na formação da família brasileira”. In: </w:t>
      </w:r>
      <w:r w:rsidRPr="00771368">
        <w:rPr>
          <w:i/>
          <w:iCs/>
          <w:sz w:val="20"/>
          <w:szCs w:val="20"/>
        </w:rPr>
        <w:t>Op.cit.,</w:t>
      </w:r>
      <w:r w:rsidRPr="00771368">
        <w:rPr>
          <w:sz w:val="20"/>
          <w:szCs w:val="20"/>
        </w:rPr>
        <w:t xml:space="preserve"> pp. 156-263.</w:t>
      </w: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47" w:lineRule="auto"/>
        <w:jc w:val="both"/>
        <w:rPr>
          <w:sz w:val="20"/>
          <w:szCs w:val="20"/>
        </w:rPr>
      </w:pPr>
      <w:r w:rsidRPr="00771368">
        <w:rPr>
          <w:sz w:val="24"/>
          <w:szCs w:val="24"/>
        </w:rPr>
        <w:t>consideráveis. No caso da historiografia brasileira as mudanças têm se dado no sentido de, sobretudo a partir da década de 1980, dar relevância e visibilidade a grupos pouco valorizados pelas abordagens mais tradicionais, acompanhando as discussões internacionais vigentes na área. Assim, indígenas, populações de origem africana e mulheres não só têm passado a frequentar mais assiduamente os trabalhos acadêmicos, como também tendem a aparecer como sujeitos históricos. Para o caso dos indígenas, sublinhar a sua historicidade significa ir além de estereótipos ainda muito fortes – e não apenas no senso comum – que os apresentam como meras vítimas dos processos de colonização: sempre manipulados, fadados ao extermínio e, no limite, inferiores, incapazes de compreender o mundo dos brancos.</w:t>
      </w:r>
      <w:r w:rsidRPr="00771368">
        <w:rPr>
          <w:sz w:val="32"/>
          <w:szCs w:val="32"/>
          <w:vertAlign w:val="superscript"/>
        </w:rPr>
        <w:t>3</w:t>
      </w:r>
    </w:p>
    <w:p w:rsidR="00D24E61" w:rsidRPr="00771368" w:rsidRDefault="00D24E61">
      <w:pPr>
        <w:spacing w:line="1" w:lineRule="exact"/>
        <w:rPr>
          <w:sz w:val="20"/>
          <w:szCs w:val="20"/>
        </w:rPr>
      </w:pPr>
    </w:p>
    <w:p w:rsidR="00D24E61" w:rsidRPr="00771368" w:rsidRDefault="00D24E61">
      <w:pPr>
        <w:spacing w:line="341" w:lineRule="auto"/>
        <w:ind w:firstLine="708"/>
        <w:jc w:val="both"/>
        <w:rPr>
          <w:sz w:val="20"/>
          <w:szCs w:val="20"/>
        </w:rPr>
      </w:pPr>
      <w:r w:rsidRPr="00771368">
        <w:rPr>
          <w:sz w:val="24"/>
          <w:szCs w:val="24"/>
        </w:rPr>
        <w:t>Tais estereótipos incidem com mais força ainda sobre as mulheres indígenas, que continuam objeto de poucos estudos, principalmente historiográficos. Apesar de um maior volume de pesquisas nesse sentido ter começado a aparecer em meados da década de 1990</w:t>
      </w:r>
      <w:r w:rsidRPr="00771368">
        <w:rPr>
          <w:sz w:val="32"/>
          <w:szCs w:val="32"/>
          <w:vertAlign w:val="superscript"/>
        </w:rPr>
        <w:t>4</w:t>
      </w:r>
      <w:r w:rsidRPr="00771368">
        <w:rPr>
          <w:sz w:val="24"/>
          <w:szCs w:val="24"/>
        </w:rPr>
        <w:t>, ainda há um longo caminho a ser percorrido para que imagens estereotipadas das índias cedam lugar a um quadro mais complexo, no qual apareçam como seres históricos, ligadas a um contexto espaço-temporal específico. Quando me refiro a estereótipos, tenho em mente representações que associam as mulheres indígenas a tempos remotos da história da colonização, no qual teriam exercido, sobretudo, o papel de procriadoras por serem sexualmente disponíveis ou por sofrerem abusos, como tão bem exemplificado pela obra de Freyre acima citada.</w:t>
      </w:r>
    </w:p>
    <w:p w:rsidR="00D24E61" w:rsidRPr="00771368" w:rsidRDefault="00D24E61">
      <w:pPr>
        <w:spacing w:line="89" w:lineRule="exact"/>
        <w:rPr>
          <w:sz w:val="20"/>
          <w:szCs w:val="20"/>
        </w:rPr>
      </w:pPr>
    </w:p>
    <w:p w:rsidR="00D24E61" w:rsidRPr="00771368" w:rsidRDefault="00295FC8">
      <w:pPr>
        <w:spacing w:line="336" w:lineRule="auto"/>
        <w:ind w:firstLine="708"/>
        <w:jc w:val="both"/>
        <w:rPr>
          <w:sz w:val="24"/>
          <w:szCs w:val="24"/>
        </w:rPr>
      </w:pPr>
      <w:hyperlink r:id="rId190">
        <w:r w:rsidR="00D24E61" w:rsidRPr="00771368">
          <w:rPr>
            <w:sz w:val="24"/>
            <w:szCs w:val="24"/>
          </w:rPr>
          <w:t>A crescente presença de mulheres e homens indígenas na historiografia, sobretudo a</w:t>
        </w:r>
      </w:hyperlink>
      <w:r w:rsidR="00D24E61" w:rsidRPr="00771368">
        <w:rPr>
          <w:sz w:val="24"/>
          <w:szCs w:val="24"/>
        </w:rPr>
        <w:t xml:space="preserve"> </w:t>
      </w:r>
      <w:hyperlink r:id="rId191">
        <w:r w:rsidR="00D24E61" w:rsidRPr="00771368">
          <w:rPr>
            <w:sz w:val="24"/>
            <w:szCs w:val="24"/>
          </w:rPr>
          <w:t>partir das décadas finais do século XX, não se deu por razões estritamente internas ao campo</w:t>
        </w:r>
      </w:hyperlink>
      <w:r w:rsidR="00D24E61" w:rsidRPr="00771368">
        <w:rPr>
          <w:sz w:val="24"/>
          <w:szCs w:val="24"/>
        </w:rPr>
        <w:t xml:space="preserve"> </w:t>
      </w:r>
      <w:hyperlink r:id="rId192">
        <w:r w:rsidR="00D24E61" w:rsidRPr="00771368">
          <w:rPr>
            <w:sz w:val="24"/>
            <w:szCs w:val="24"/>
          </w:rPr>
          <w:t>da historiografia, mas relaciona-se também com o contexto político dos países da América</w:t>
        </w:r>
      </w:hyperlink>
      <w:r w:rsidR="00D24E61" w:rsidRPr="00771368">
        <w:rPr>
          <w:sz w:val="24"/>
          <w:szCs w:val="24"/>
        </w:rPr>
        <w:t xml:space="preserve"> </w:t>
      </w:r>
      <w:hyperlink r:id="rId193">
        <w:r w:rsidR="00D24E61" w:rsidRPr="00771368">
          <w:rPr>
            <w:sz w:val="24"/>
            <w:szCs w:val="24"/>
          </w:rPr>
          <w:t>Latina. A maior parte destes aprovou reformas constitucionais que caminharam no sentido do</w:t>
        </w:r>
      </w:hyperlink>
      <w:r w:rsidR="00D24E61" w:rsidRPr="00771368">
        <w:rPr>
          <w:sz w:val="24"/>
          <w:szCs w:val="24"/>
        </w:rPr>
        <w:t xml:space="preserve"> </w:t>
      </w:r>
      <w:hyperlink r:id="rId194">
        <w:r w:rsidR="00D24E61" w:rsidRPr="00771368">
          <w:rPr>
            <w:sz w:val="24"/>
            <w:szCs w:val="24"/>
          </w:rPr>
          <w:t>reconhecimento das especificidades culturais e do estabelecimento de direitos diferenciados,</w:t>
        </w:r>
      </w:hyperlink>
      <w:r w:rsidR="00D24E61" w:rsidRPr="00771368">
        <w:rPr>
          <w:sz w:val="24"/>
          <w:szCs w:val="24"/>
        </w:rPr>
        <w:t xml:space="preserve"> </w:t>
      </w:r>
      <w:hyperlink r:id="rId195">
        <w:r w:rsidR="00D24E61" w:rsidRPr="00771368">
          <w:rPr>
            <w:sz w:val="24"/>
            <w:szCs w:val="24"/>
          </w:rPr>
          <w:t>quer para indígenas e/ou comunidades quilombolas</w:t>
        </w:r>
      </w:hyperlink>
      <w:r w:rsidR="00D24E61" w:rsidRPr="00771368">
        <w:rPr>
          <w:sz w:val="32"/>
          <w:szCs w:val="32"/>
          <w:vertAlign w:val="superscript"/>
        </w:rPr>
        <w:t>5</w:t>
      </w:r>
      <w:r w:rsidR="00D24E61" w:rsidRPr="00771368">
        <w:rPr>
          <w:sz w:val="24"/>
          <w:szCs w:val="24"/>
        </w:rPr>
        <w:t>. Este contexto vem impulsionando uma nova leitura do passado e uma reescrita da história, uma vez que a ação dos movimentos indígenas ganhou visibilidade e questionou a ideia dos povos nativos como incapazes de</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662848" behindDoc="0" locked="0" layoutInCell="0" allowOverlap="1">
                <wp:simplePos x="0" y="0"/>
                <wp:positionH relativeFrom="column">
                  <wp:posOffset>-635</wp:posOffset>
                </wp:positionH>
                <wp:positionV relativeFrom="paragraph">
                  <wp:posOffset>226695</wp:posOffset>
                </wp:positionV>
                <wp:extent cx="1828800" cy="0"/>
                <wp:effectExtent l="8890" t="7620" r="10160" b="11430"/>
                <wp:wrapNone/>
                <wp:docPr id="26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7.85pt" to="143.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" o:allowincell="f" strokeweight=".6pt"/>
            </w:pict>
          </mc:Fallback>
        </mc:AlternateContent>
      </w:r>
    </w:p>
    <w:p w:rsidR="00D24E61" w:rsidRPr="00771368" w:rsidRDefault="00D24E61">
      <w:pPr>
        <w:spacing w:line="267" w:lineRule="exact"/>
        <w:rPr>
          <w:sz w:val="24"/>
          <w:szCs w:val="24"/>
        </w:rPr>
      </w:pPr>
    </w:p>
    <w:p w:rsidR="00D24E61" w:rsidRPr="00771368" w:rsidRDefault="00D24E61">
      <w:pPr>
        <w:spacing w:line="193" w:lineRule="auto"/>
        <w:jc w:val="both"/>
        <w:rPr>
          <w:sz w:val="20"/>
          <w:szCs w:val="20"/>
        </w:rPr>
      </w:pPr>
      <w:r w:rsidRPr="00771368">
        <w:rPr>
          <w:sz w:val="32"/>
          <w:szCs w:val="32"/>
          <w:vertAlign w:val="superscript"/>
        </w:rPr>
        <w:t>3</w:t>
      </w:r>
      <w:r w:rsidRPr="00771368">
        <w:rPr>
          <w:sz w:val="20"/>
          <w:szCs w:val="20"/>
        </w:rPr>
        <w:t xml:space="preserve">Ver discussão em: GARCIA, Elisa Frühauf. </w:t>
      </w:r>
      <w:r w:rsidRPr="00771368">
        <w:rPr>
          <w:i/>
          <w:iCs/>
          <w:sz w:val="20"/>
          <w:szCs w:val="20"/>
        </w:rPr>
        <w:t>As diversas formas de ser índio: políticas indígenas e políticas</w:t>
      </w:r>
      <w:r w:rsidRPr="00771368">
        <w:rPr>
          <w:sz w:val="20"/>
          <w:szCs w:val="20"/>
        </w:rPr>
        <w:t xml:space="preserve"> </w:t>
      </w:r>
      <w:r w:rsidRPr="00771368">
        <w:rPr>
          <w:i/>
          <w:iCs/>
          <w:sz w:val="20"/>
          <w:szCs w:val="20"/>
        </w:rPr>
        <w:t xml:space="preserve">indigenistas no extremo sul da América portuguesa. </w:t>
      </w:r>
      <w:r w:rsidRPr="00771368">
        <w:rPr>
          <w:sz w:val="20"/>
          <w:szCs w:val="20"/>
        </w:rPr>
        <w:t>Rio de Janeiro: Arquivo Nacional, 2009, pp. 13-25.</w:t>
      </w:r>
    </w:p>
    <w:p w:rsidR="00D24E61" w:rsidRPr="00771368" w:rsidRDefault="00D24E61">
      <w:pPr>
        <w:spacing w:line="26" w:lineRule="exact"/>
        <w:rPr>
          <w:sz w:val="24"/>
          <w:szCs w:val="24"/>
        </w:rPr>
      </w:pPr>
    </w:p>
    <w:p w:rsidR="00D24E61" w:rsidRPr="00771368" w:rsidRDefault="00D24E61">
      <w:pPr>
        <w:spacing w:line="216" w:lineRule="auto"/>
        <w:jc w:val="both"/>
        <w:rPr>
          <w:sz w:val="20"/>
          <w:szCs w:val="20"/>
        </w:rPr>
      </w:pPr>
      <w:r w:rsidRPr="00771368">
        <w:rPr>
          <w:sz w:val="32"/>
          <w:szCs w:val="32"/>
          <w:vertAlign w:val="superscript"/>
        </w:rPr>
        <w:t>4</w:t>
      </w:r>
      <w:r w:rsidRPr="00771368">
        <w:rPr>
          <w:sz w:val="20"/>
          <w:szCs w:val="20"/>
        </w:rPr>
        <w:t xml:space="preserve">TILLY, Louise A. “Gênero, História das Mulheres e História Social”. Disponível em: </w:t>
      </w:r>
      <w:hyperlink r:id="rId196">
        <w:r w:rsidRPr="00771368">
          <w:rPr>
            <w:sz w:val="20"/>
            <w:szCs w:val="20"/>
          </w:rPr>
          <w:t xml:space="preserve">http://www.pagu.unicamp.br/sites/www.pagu.unicamp.br/files/pagu03.03.pdf. </w:t>
        </w:r>
      </w:hyperlink>
      <w:r w:rsidRPr="00771368">
        <w:rPr>
          <w:sz w:val="20"/>
          <w:szCs w:val="20"/>
        </w:rPr>
        <w:t xml:space="preserve">Acesso em 20 set. 2013. Ver também: MARTÍN, Maria Tereza Díez. Perspectivas historiográficas: mujeres indias en la sociedad colonial hispanoamericana. </w:t>
      </w:r>
      <w:r w:rsidRPr="00771368">
        <w:rPr>
          <w:i/>
          <w:iCs/>
          <w:sz w:val="20"/>
          <w:szCs w:val="20"/>
        </w:rPr>
        <w:t>Espacio, Tiempo y Forma,</w:t>
      </w:r>
      <w:r w:rsidRPr="00771368">
        <w:rPr>
          <w:sz w:val="20"/>
          <w:szCs w:val="20"/>
        </w:rPr>
        <w:t xml:space="preserve"> Serie IV, Historia Moderna, t. 17, 2004, pp. 215-253.</w:t>
      </w:r>
    </w:p>
    <w:p w:rsidR="00D24E61" w:rsidRPr="00771368" w:rsidRDefault="00D24E61">
      <w:pPr>
        <w:spacing w:line="220" w:lineRule="auto"/>
        <w:rPr>
          <w:sz w:val="20"/>
          <w:szCs w:val="20"/>
        </w:rPr>
      </w:pPr>
      <w:r w:rsidRPr="00771368">
        <w:rPr>
          <w:sz w:val="25"/>
          <w:szCs w:val="25"/>
          <w:vertAlign w:val="superscript"/>
        </w:rPr>
        <w:t>5</w:t>
      </w:r>
      <w:r w:rsidRPr="00771368">
        <w:rPr>
          <w:sz w:val="20"/>
          <w:szCs w:val="20"/>
        </w:rPr>
        <w:t>GIRAUDO, Laura. “Entre rupturas y retornos: la nueva cuestión indígena en América Latina”. In: ______(ed.).</w:t>
      </w:r>
    </w:p>
    <w:p w:rsidR="00D24E61" w:rsidRPr="00771368" w:rsidRDefault="00D24E61">
      <w:pPr>
        <w:spacing w:line="30" w:lineRule="exact"/>
        <w:rPr>
          <w:sz w:val="24"/>
          <w:szCs w:val="24"/>
        </w:rPr>
      </w:pPr>
    </w:p>
    <w:p w:rsidR="00D24E61" w:rsidRPr="00771368" w:rsidRDefault="00D24E61">
      <w:pPr>
        <w:spacing w:line="222" w:lineRule="auto"/>
        <w:jc w:val="both"/>
        <w:rPr>
          <w:sz w:val="20"/>
          <w:szCs w:val="20"/>
        </w:rPr>
      </w:pPr>
      <w:r w:rsidRPr="00771368">
        <w:rPr>
          <w:i/>
          <w:iCs/>
          <w:sz w:val="20"/>
          <w:szCs w:val="20"/>
        </w:rPr>
        <w:t xml:space="preserve">Ciudadanía y derechos indígenas en América Latina: poblaciones, estados y orden internacional. </w:t>
      </w:r>
      <w:r w:rsidRPr="00771368">
        <w:rPr>
          <w:sz w:val="20"/>
          <w:szCs w:val="20"/>
        </w:rPr>
        <w:t>Madrid:</w:t>
      </w:r>
      <w:r w:rsidRPr="00771368">
        <w:rPr>
          <w:i/>
          <w:iCs/>
          <w:sz w:val="20"/>
          <w:szCs w:val="20"/>
        </w:rPr>
        <w:t xml:space="preserve"> </w:t>
      </w:r>
      <w:r w:rsidRPr="00771368">
        <w:rPr>
          <w:sz w:val="20"/>
          <w:szCs w:val="20"/>
        </w:rPr>
        <w:t xml:space="preserve">Centro de Estudios Políticos y Constitucionales, 2007. Cuadernos y Debates, n.179. Ver também RAMOS, Alcida Rita (org.). </w:t>
      </w:r>
      <w:r w:rsidRPr="00771368">
        <w:rPr>
          <w:i/>
          <w:iCs/>
          <w:sz w:val="20"/>
          <w:szCs w:val="20"/>
        </w:rPr>
        <w:t>Constituições nacionais e povos indígenas.</w:t>
      </w:r>
      <w:r w:rsidRPr="00771368">
        <w:rPr>
          <w:sz w:val="20"/>
          <w:szCs w:val="20"/>
        </w:rPr>
        <w:t xml:space="preserve"> Belo Horizonte: Editora UFMG, 2012.</w:t>
      </w:r>
    </w:p>
    <w:p w:rsidR="00D24E61" w:rsidRPr="00771368" w:rsidRDefault="00D24E61">
      <w:pPr>
        <w:sectPr w:rsidR="00D24E61" w:rsidRPr="00771368">
          <w:pgSz w:w="11900" w:h="16838"/>
          <w:pgMar w:top="1440" w:right="1400" w:bottom="1149" w:left="1420" w:header="0" w:footer="0" w:gutter="0"/>
          <w:cols w:space="720" w:equalWidth="0">
            <w:col w:w="9080"/>
          </w:cols>
        </w:sectPr>
      </w:pPr>
    </w:p>
    <w:p w:rsidR="00D24E61" w:rsidRPr="00771368" w:rsidRDefault="00D24E61">
      <w:pPr>
        <w:rPr>
          <w:sz w:val="20"/>
          <w:szCs w:val="20"/>
        </w:rPr>
      </w:pPr>
      <w:r w:rsidRPr="00771368">
        <w:rPr>
          <w:sz w:val="24"/>
          <w:szCs w:val="24"/>
        </w:rPr>
        <w:t>inovação e essencialmente passivos</w:t>
      </w:r>
      <w:r w:rsidRPr="00771368">
        <w:rPr>
          <w:sz w:val="32"/>
          <w:szCs w:val="32"/>
          <w:vertAlign w:val="superscript"/>
        </w:rPr>
        <w:t>6</w:t>
      </w:r>
      <w:r w:rsidRPr="00771368">
        <w:rPr>
          <w:sz w:val="24"/>
          <w:szCs w:val="24"/>
        </w:rPr>
        <w:t>.</w:t>
      </w:r>
    </w:p>
    <w:p w:rsidR="00D24E61" w:rsidRPr="00771368" w:rsidRDefault="00D24E61">
      <w:pPr>
        <w:spacing w:line="117" w:lineRule="exact"/>
        <w:rPr>
          <w:sz w:val="20"/>
          <w:szCs w:val="20"/>
        </w:rPr>
      </w:pPr>
    </w:p>
    <w:p w:rsidR="00D24E61" w:rsidRPr="00771368" w:rsidRDefault="00D24E61">
      <w:pPr>
        <w:spacing w:line="351" w:lineRule="auto"/>
        <w:ind w:firstLine="708"/>
        <w:jc w:val="both"/>
        <w:rPr>
          <w:sz w:val="20"/>
          <w:szCs w:val="20"/>
        </w:rPr>
      </w:pPr>
      <w:r w:rsidRPr="00771368">
        <w:rPr>
          <w:sz w:val="24"/>
          <w:szCs w:val="24"/>
        </w:rPr>
        <w:t>Contudo, o papel exercido pelos indígenas no processo histórico brasileiro e americano ainda contrasta com a sua tímida projeção na historiografia. Creio então que trabalhos acerca da temática indígena e, mais especificamente, os que abordam a questão do gênero, são de extrema relevância. Ao levantar discussões sobre o papel dos homens e mulheres indígenas na história, tais estudos realizam uma pesquisa cujos resultados têm impacto não apenas na academia, mas na sociedade como um todo, especialmente através das atividades de ensino. Essas discussões contribuem para a superação de ideias, fortes particularmente no Brasil, que ligam os índios a um passado remoto, dando-os como exterminados ou em vias de desaparecimento. Cabe lembrar que semelhantes ideias são frequentemente usadas para deslegitimar as mobilizações dos índios em defesa de suas terras ou de outros direitos, pois questionam a existência de “índios puros”. As recentes abordagens do estudo da história dos índios, em diálogo com a Antropologia, são fundamentais, pois permitem questionar essa essencialização dos povos indígenas, cujas culturas são um produto histórico e dinâmico, não existindo uma pureza a ser mantida ou perdida</w:t>
      </w:r>
      <w:r w:rsidRPr="00771368">
        <w:rPr>
          <w:sz w:val="32"/>
          <w:szCs w:val="32"/>
          <w:vertAlign w:val="superscript"/>
        </w:rPr>
        <w:t>7</w:t>
      </w:r>
      <w:r w:rsidRPr="00771368">
        <w:rPr>
          <w:sz w:val="24"/>
          <w:szCs w:val="24"/>
        </w:rPr>
        <w:t>.</w:t>
      </w:r>
    </w:p>
    <w:p w:rsidR="00D24E61" w:rsidRPr="00771368" w:rsidRDefault="00D24E61">
      <w:pPr>
        <w:spacing w:line="11" w:lineRule="exact"/>
        <w:rPr>
          <w:sz w:val="20"/>
          <w:szCs w:val="20"/>
        </w:rPr>
      </w:pPr>
    </w:p>
    <w:p w:rsidR="00D24E61" w:rsidRPr="00771368" w:rsidRDefault="00D24E61">
      <w:pPr>
        <w:spacing w:line="355" w:lineRule="auto"/>
        <w:ind w:firstLine="708"/>
        <w:jc w:val="both"/>
        <w:rPr>
          <w:sz w:val="24"/>
          <w:szCs w:val="24"/>
        </w:rPr>
      </w:pPr>
      <w:r w:rsidRPr="00771368">
        <w:rPr>
          <w:sz w:val="24"/>
          <w:szCs w:val="24"/>
        </w:rPr>
        <w:t xml:space="preserve">No caso das índias, como já mencionado, há um grande trabalho de contextualização histórica a ser feito. </w:t>
      </w:r>
      <w:hyperlink r:id="rId197">
        <w:r w:rsidRPr="00771368">
          <w:rPr>
            <w:sz w:val="24"/>
            <w:szCs w:val="24"/>
          </w:rPr>
          <w:t>Isso significa que, para compreendermos a história dessas mulheres, é</w:t>
        </w:r>
      </w:hyperlink>
      <w:r w:rsidRPr="00771368">
        <w:rPr>
          <w:sz w:val="24"/>
          <w:szCs w:val="24"/>
        </w:rPr>
        <w:t xml:space="preserve"> </w:t>
      </w:r>
      <w:hyperlink r:id="rId198">
        <w:r w:rsidRPr="00771368">
          <w:rPr>
            <w:sz w:val="24"/>
            <w:szCs w:val="24"/>
          </w:rPr>
          <w:t>preciso levar em consideração o contexto no qual estavam inseridas: tempo, lugar, relação</w:t>
        </w:r>
      </w:hyperlink>
      <w:r w:rsidRPr="00771368">
        <w:rPr>
          <w:sz w:val="24"/>
          <w:szCs w:val="24"/>
        </w:rPr>
        <w:t xml:space="preserve"> </w:t>
      </w:r>
      <w:hyperlink r:id="rId199">
        <w:r w:rsidRPr="00771368">
          <w:rPr>
            <w:sz w:val="24"/>
            <w:szCs w:val="24"/>
          </w:rPr>
          <w:t>com a sociedade colonial – habitantes locais, autoridades – são aspectos importantes para a</w:t>
        </w:r>
      </w:hyperlink>
      <w:r w:rsidRPr="00771368">
        <w:rPr>
          <w:sz w:val="24"/>
          <w:szCs w:val="24"/>
        </w:rPr>
        <w:t xml:space="preserve"> </w:t>
      </w:r>
      <w:hyperlink r:id="rId200">
        <w:r w:rsidRPr="00771368">
          <w:rPr>
            <w:sz w:val="24"/>
            <w:szCs w:val="24"/>
          </w:rPr>
          <w:t>abordagem. As relações de gênero se mostram igualmente importantes: ainda que nem sempre</w:t>
        </w:r>
      </w:hyperlink>
      <w:r w:rsidRPr="00771368">
        <w:rPr>
          <w:sz w:val="24"/>
          <w:szCs w:val="24"/>
        </w:rPr>
        <w:t xml:space="preserve"> </w:t>
      </w:r>
      <w:hyperlink r:id="rId201">
        <w:r w:rsidRPr="00771368">
          <w:rPr>
            <w:sz w:val="24"/>
            <w:szCs w:val="24"/>
          </w:rPr>
          <w:t>seja possível mapear quais os papéis desempenhados pelas mulheres nas diversas sociedades</w:t>
        </w:r>
      </w:hyperlink>
      <w:r w:rsidRPr="00771368">
        <w:rPr>
          <w:sz w:val="24"/>
          <w:szCs w:val="24"/>
        </w:rPr>
        <w:t xml:space="preserve"> </w:t>
      </w:r>
      <w:hyperlink r:id="rId202">
        <w:r w:rsidRPr="00771368">
          <w:rPr>
            <w:sz w:val="24"/>
            <w:szCs w:val="24"/>
          </w:rPr>
          <w:t>indígenas anteriores ao contato com os brancos, ao tratarmos das situações coloniais, devemos</w:t>
        </w:r>
      </w:hyperlink>
      <w:r w:rsidRPr="00771368">
        <w:rPr>
          <w:sz w:val="24"/>
          <w:szCs w:val="24"/>
        </w:rPr>
        <w:t xml:space="preserve"> </w:t>
      </w:r>
      <w:hyperlink r:id="rId203">
        <w:r w:rsidRPr="00771368">
          <w:rPr>
            <w:sz w:val="24"/>
            <w:szCs w:val="24"/>
          </w:rPr>
          <w:t>ter em conta que as mulheres estavam se inserindo numa sociedade patriarcal. Sendo assim,</w:t>
        </w:r>
      </w:hyperlink>
      <w:r w:rsidRPr="00771368">
        <w:rPr>
          <w:sz w:val="24"/>
          <w:szCs w:val="24"/>
        </w:rPr>
        <w:t xml:space="preserve"> </w:t>
      </w:r>
      <w:hyperlink r:id="rId204">
        <w:r w:rsidRPr="00771368">
          <w:rPr>
            <w:sz w:val="24"/>
            <w:szCs w:val="24"/>
          </w:rPr>
          <w:t>elas enfrentavam uma situação de dupla subalternização, enquanto indígenas e mulheres. Isso,</w:t>
        </w:r>
      </w:hyperlink>
      <w:r w:rsidRPr="00771368">
        <w:rPr>
          <w:sz w:val="24"/>
          <w:szCs w:val="24"/>
        </w:rPr>
        <w:t xml:space="preserve"> </w:t>
      </w:r>
      <w:hyperlink r:id="rId205">
        <w:r w:rsidRPr="00771368">
          <w:rPr>
            <w:sz w:val="24"/>
            <w:szCs w:val="24"/>
          </w:rPr>
          <w:t>porém, não significa que elas não encontraram espaço para traçarem estratégias de</w:t>
        </w:r>
      </w:hyperlink>
      <w:r w:rsidRPr="00771368">
        <w:rPr>
          <w:sz w:val="24"/>
          <w:szCs w:val="24"/>
        </w:rPr>
        <w:t xml:space="preserve"> </w:t>
      </w:r>
      <w:hyperlink r:id="rId206">
        <w:r w:rsidRPr="00771368">
          <w:rPr>
            <w:sz w:val="24"/>
            <w:szCs w:val="24"/>
          </w:rPr>
          <w:t>sobrevivência e mesmo de atuação política, como veremos abaixo.</w:t>
        </w:r>
      </w:hyperlink>
    </w:p>
    <w:p w:rsidR="00D24E61" w:rsidRPr="00771368" w:rsidRDefault="00D24E61">
      <w:pPr>
        <w:spacing w:line="63" w:lineRule="exact"/>
        <w:rPr>
          <w:sz w:val="24"/>
          <w:szCs w:val="24"/>
        </w:rPr>
      </w:pPr>
    </w:p>
    <w:p w:rsidR="00D24E61" w:rsidRPr="00771368" w:rsidRDefault="00D24E61">
      <w:pPr>
        <w:spacing w:line="334" w:lineRule="auto"/>
        <w:ind w:firstLine="708"/>
        <w:jc w:val="both"/>
        <w:rPr>
          <w:sz w:val="24"/>
          <w:szCs w:val="24"/>
        </w:rPr>
      </w:pPr>
      <w:r w:rsidRPr="00771368">
        <w:rPr>
          <w:sz w:val="24"/>
          <w:szCs w:val="24"/>
        </w:rPr>
        <w:t xml:space="preserve">Neste artigo, o caráter histórico da experiência das mulheres indígenas </w:t>
      </w:r>
      <w:hyperlink r:id="rId207">
        <w:r w:rsidRPr="00771368">
          <w:rPr>
            <w:sz w:val="24"/>
            <w:szCs w:val="24"/>
          </w:rPr>
          <w:t>será analisado</w:t>
        </w:r>
      </w:hyperlink>
      <w:r w:rsidRPr="00771368">
        <w:rPr>
          <w:sz w:val="24"/>
          <w:szCs w:val="24"/>
        </w:rPr>
        <w:t xml:space="preserve"> </w:t>
      </w:r>
      <w:hyperlink r:id="rId208">
        <w:r w:rsidRPr="00771368">
          <w:rPr>
            <w:sz w:val="24"/>
            <w:szCs w:val="24"/>
          </w:rPr>
          <w:t>através do caso da caiapó Damiana da Cunha, que estava entre os cerca de 600 caiapós que</w:t>
        </w:r>
      </w:hyperlink>
      <w:r w:rsidRPr="00771368">
        <w:rPr>
          <w:sz w:val="24"/>
          <w:szCs w:val="24"/>
        </w:rPr>
        <w:t xml:space="preserve"> </w:t>
      </w:r>
      <w:hyperlink r:id="rId209">
        <w:r w:rsidRPr="00771368">
          <w:rPr>
            <w:sz w:val="24"/>
            <w:szCs w:val="24"/>
          </w:rPr>
          <w:t>foram recebidos pelo governador da capitania de Goiás, Luís da Cunha Meneses, entre 1780 e</w:t>
        </w:r>
      </w:hyperlink>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663872" behindDoc="0" locked="0" layoutInCell="0" allowOverlap="1">
                <wp:simplePos x="0" y="0"/>
                <wp:positionH relativeFrom="column">
                  <wp:posOffset>-635</wp:posOffset>
                </wp:positionH>
                <wp:positionV relativeFrom="paragraph">
                  <wp:posOffset>489585</wp:posOffset>
                </wp:positionV>
                <wp:extent cx="1828800" cy="0"/>
                <wp:effectExtent l="8890" t="13335" r="10160" b="5715"/>
                <wp:wrapNone/>
                <wp:docPr id="26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38.55pt" to="143.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84qFQ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" o:allowincell="f" strokeweight=".21164mm"/>
            </w:pict>
          </mc:Fallback>
        </mc:AlternateConten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86" w:lineRule="exact"/>
        <w:rPr>
          <w:sz w:val="24"/>
          <w:szCs w:val="24"/>
        </w:rPr>
      </w:pPr>
    </w:p>
    <w:p w:rsidR="00D24E61" w:rsidRPr="00771368" w:rsidRDefault="00D24E61">
      <w:pPr>
        <w:spacing w:line="214" w:lineRule="auto"/>
        <w:jc w:val="both"/>
        <w:rPr>
          <w:i/>
          <w:iCs/>
          <w:sz w:val="20"/>
          <w:szCs w:val="20"/>
        </w:rPr>
      </w:pPr>
      <w:r w:rsidRPr="00771368">
        <w:rPr>
          <w:sz w:val="25"/>
          <w:szCs w:val="25"/>
          <w:vertAlign w:val="superscript"/>
        </w:rPr>
        <w:t>6</w:t>
      </w:r>
      <w:r w:rsidRPr="00771368">
        <w:rPr>
          <w:sz w:val="20"/>
          <w:szCs w:val="20"/>
        </w:rPr>
        <w:t xml:space="preserve">BOCCARA, Guillaume, “Mundos Nuevos en las Fronteras del Nuevo Mundo: Relectura de los Procesos Coloniales de Etnogénesis, Etnificación y Mestizaje en Tiempos de Globalización”. </w:t>
      </w:r>
      <w:r w:rsidRPr="00771368">
        <w:rPr>
          <w:i/>
          <w:iCs/>
          <w:sz w:val="20"/>
          <w:szCs w:val="20"/>
        </w:rPr>
        <w:t>Mundo Nuevo Nuevos</w:t>
      </w:r>
      <w:r w:rsidRPr="00771368">
        <w:rPr>
          <w:sz w:val="20"/>
          <w:szCs w:val="20"/>
        </w:rPr>
        <w:t xml:space="preserve"> </w:t>
      </w:r>
      <w:r w:rsidRPr="00771368">
        <w:rPr>
          <w:i/>
          <w:iCs/>
          <w:sz w:val="20"/>
          <w:szCs w:val="20"/>
        </w:rPr>
        <w:t xml:space="preserve">Mundos, </w:t>
      </w:r>
      <w:r w:rsidRPr="00771368">
        <w:rPr>
          <w:sz w:val="20"/>
          <w:szCs w:val="20"/>
        </w:rPr>
        <w:t xml:space="preserve">revista eletrônica, Paris. Disponível em: </w:t>
      </w:r>
      <w:hyperlink r:id="rId210">
        <w:r w:rsidRPr="00771368">
          <w:rPr>
            <w:sz w:val="20"/>
            <w:szCs w:val="20"/>
          </w:rPr>
          <w:t xml:space="preserve">http://nuevomundo.revues.org/426. </w:t>
        </w:r>
      </w:hyperlink>
      <w:r w:rsidRPr="00771368">
        <w:rPr>
          <w:sz w:val="20"/>
          <w:szCs w:val="20"/>
        </w:rPr>
        <w:t>Acesso em 30 set. 2012.</w:t>
      </w:r>
    </w:p>
    <w:p w:rsidR="00D24E61" w:rsidRPr="00771368" w:rsidRDefault="00D24E61">
      <w:pPr>
        <w:tabs>
          <w:tab w:val="left" w:pos="2420"/>
        </w:tabs>
        <w:spacing w:line="212" w:lineRule="auto"/>
        <w:rPr>
          <w:sz w:val="20"/>
          <w:szCs w:val="20"/>
        </w:rPr>
      </w:pPr>
      <w:r w:rsidRPr="00771368">
        <w:rPr>
          <w:sz w:val="25"/>
          <w:szCs w:val="25"/>
          <w:vertAlign w:val="superscript"/>
        </w:rPr>
        <w:t>7</w:t>
      </w:r>
      <w:r w:rsidRPr="00771368">
        <w:rPr>
          <w:sz w:val="20"/>
          <w:szCs w:val="20"/>
        </w:rPr>
        <w:t>ALMEIDA,  Maria  Regina</w:t>
      </w:r>
      <w:r w:rsidRPr="00771368">
        <w:rPr>
          <w:sz w:val="20"/>
          <w:szCs w:val="20"/>
        </w:rPr>
        <w:tab/>
        <w:t>Celestino  de.  “História  e  antropologia”.  In:  CARDOSO,  Ciro  Flamarion;  &amp;</w:t>
      </w:r>
    </w:p>
    <w:p w:rsidR="00D24E61" w:rsidRPr="00771368" w:rsidRDefault="00D24E61">
      <w:pPr>
        <w:spacing w:line="220" w:lineRule="auto"/>
        <w:rPr>
          <w:sz w:val="20"/>
          <w:szCs w:val="20"/>
        </w:rPr>
      </w:pPr>
      <w:r w:rsidRPr="00771368">
        <w:rPr>
          <w:sz w:val="20"/>
          <w:szCs w:val="20"/>
        </w:rPr>
        <w:t xml:space="preserve">VAINFAS, Ronaldo. </w:t>
      </w:r>
      <w:r w:rsidRPr="00771368">
        <w:rPr>
          <w:i/>
          <w:iCs/>
          <w:sz w:val="20"/>
          <w:szCs w:val="20"/>
        </w:rPr>
        <w:t>Novos Domínios da História.</w:t>
      </w:r>
      <w:r w:rsidRPr="00771368">
        <w:rPr>
          <w:sz w:val="20"/>
          <w:szCs w:val="20"/>
        </w:rPr>
        <w:t xml:space="preserve"> Rio de Janeiro: Campus, 2011, pp. 151-168.</w:t>
      </w:r>
    </w:p>
    <w:p w:rsidR="00D24E61" w:rsidRPr="00771368" w:rsidRDefault="00D24E61">
      <w:pPr>
        <w:sectPr w:rsidR="00D24E61" w:rsidRPr="00771368">
          <w:pgSz w:w="11900" w:h="16838"/>
          <w:pgMar w:top="1397" w:right="1400" w:bottom="1149" w:left="1420" w:header="0" w:footer="0" w:gutter="0"/>
          <w:cols w:space="720" w:equalWidth="0">
            <w:col w:w="9080"/>
          </w:cols>
        </w:sectPr>
      </w:pPr>
    </w:p>
    <w:p w:rsidR="00D24E61" w:rsidRPr="00771368" w:rsidRDefault="00D24E61">
      <w:pPr>
        <w:spacing w:line="307" w:lineRule="auto"/>
        <w:ind w:right="20"/>
        <w:jc w:val="both"/>
        <w:rPr>
          <w:sz w:val="24"/>
          <w:szCs w:val="24"/>
        </w:rPr>
      </w:pPr>
      <w:r w:rsidRPr="00771368">
        <w:rPr>
          <w:sz w:val="24"/>
          <w:szCs w:val="24"/>
        </w:rPr>
        <w:t>1781, e que passaram a viver aldeados.</w:t>
      </w:r>
      <w:hyperlink r:id="rId211">
        <w:r w:rsidRPr="00771368">
          <w:rPr>
            <w:sz w:val="32"/>
            <w:szCs w:val="32"/>
            <w:vertAlign w:val="superscript"/>
          </w:rPr>
          <w:t>8</w:t>
        </w:r>
        <w:r w:rsidRPr="00771368">
          <w:rPr>
            <w:sz w:val="24"/>
            <w:szCs w:val="24"/>
          </w:rPr>
          <w:t xml:space="preserve"> O momento era de preocupação da Coroa com o</w:t>
        </w:r>
      </w:hyperlink>
      <w:r w:rsidRPr="00771368">
        <w:rPr>
          <w:sz w:val="24"/>
          <w:szCs w:val="24"/>
        </w:rPr>
        <w:t xml:space="preserve"> </w:t>
      </w:r>
      <w:hyperlink r:id="rId212">
        <w:r w:rsidRPr="00771368">
          <w:rPr>
            <w:sz w:val="24"/>
            <w:szCs w:val="24"/>
          </w:rPr>
          <w:t>povoamento e prosperidade econômica da capitania. Na percepção da administração</w:t>
        </w:r>
      </w:hyperlink>
      <w:r w:rsidRPr="00771368">
        <w:rPr>
          <w:sz w:val="24"/>
          <w:szCs w:val="24"/>
        </w:rPr>
        <w:t xml:space="preserve"> </w:t>
      </w:r>
      <w:hyperlink r:id="rId213">
        <w:r w:rsidRPr="00771368">
          <w:rPr>
            <w:sz w:val="24"/>
            <w:szCs w:val="24"/>
          </w:rPr>
          <w:t>portuguesa, tais objetivos só seriam atingidos se fossem aldeados os indígenas que</w:t>
        </w:r>
      </w:hyperlink>
    </w:p>
    <w:p w:rsidR="00D24E61" w:rsidRPr="00771368" w:rsidRDefault="00D24E61">
      <w:pPr>
        <w:spacing w:line="61" w:lineRule="exact"/>
        <w:rPr>
          <w:sz w:val="24"/>
          <w:szCs w:val="24"/>
        </w:rPr>
      </w:pPr>
    </w:p>
    <w:p w:rsidR="00D24E61" w:rsidRPr="00771368" w:rsidRDefault="00295FC8">
      <w:pPr>
        <w:rPr>
          <w:sz w:val="24"/>
          <w:szCs w:val="24"/>
        </w:rPr>
      </w:pPr>
      <w:hyperlink r:id="rId214">
        <w:r w:rsidR="00D24E61" w:rsidRPr="00771368">
          <w:rPr>
            <w:sz w:val="24"/>
            <w:szCs w:val="24"/>
          </w:rPr>
          <w:t>“hostilizavam” os habitantes locais.</w:t>
        </w:r>
      </w:hyperlink>
    </w:p>
    <w:p w:rsidR="00D24E61" w:rsidRPr="00771368" w:rsidRDefault="00D24E61">
      <w:pPr>
        <w:spacing w:line="200" w:lineRule="exact"/>
        <w:rPr>
          <w:sz w:val="24"/>
          <w:szCs w:val="24"/>
        </w:rPr>
      </w:pPr>
    </w:p>
    <w:p w:rsidR="00D24E61" w:rsidRPr="00771368" w:rsidRDefault="00D24E61">
      <w:pPr>
        <w:spacing w:line="352" w:lineRule="exact"/>
        <w:rPr>
          <w:sz w:val="24"/>
          <w:szCs w:val="24"/>
        </w:rPr>
      </w:pPr>
    </w:p>
    <w:p w:rsidR="00D24E61" w:rsidRPr="00771368" w:rsidRDefault="00D24E61">
      <w:pPr>
        <w:ind w:left="700"/>
        <w:rPr>
          <w:sz w:val="20"/>
          <w:szCs w:val="20"/>
        </w:rPr>
      </w:pPr>
      <w:r w:rsidRPr="00771368">
        <w:rPr>
          <w:i/>
          <w:iCs/>
          <w:sz w:val="24"/>
          <w:szCs w:val="24"/>
        </w:rPr>
        <w:t>Objetivos e metodologia</w:t>
      </w:r>
    </w:p>
    <w:p w:rsidR="00D24E61" w:rsidRPr="00771368" w:rsidRDefault="00D24E61">
      <w:pPr>
        <w:spacing w:line="197" w:lineRule="exact"/>
        <w:rPr>
          <w:sz w:val="24"/>
          <w:szCs w:val="24"/>
        </w:rPr>
      </w:pPr>
    </w:p>
    <w:p w:rsidR="00D24E61" w:rsidRPr="00771368" w:rsidRDefault="00295FC8">
      <w:pPr>
        <w:spacing w:line="354" w:lineRule="auto"/>
        <w:ind w:firstLine="708"/>
        <w:jc w:val="both"/>
        <w:rPr>
          <w:sz w:val="24"/>
          <w:szCs w:val="24"/>
        </w:rPr>
      </w:pPr>
      <w:hyperlink r:id="rId215">
        <w:r w:rsidR="00D24E61" w:rsidRPr="00771368">
          <w:rPr>
            <w:sz w:val="24"/>
            <w:szCs w:val="24"/>
          </w:rPr>
          <w:t>Ao abordar o caso de Damiana pretendo demonstrar como a situação de contato com a</w:t>
        </w:r>
      </w:hyperlink>
      <w:r w:rsidR="00D24E61" w:rsidRPr="00771368">
        <w:rPr>
          <w:sz w:val="24"/>
          <w:szCs w:val="24"/>
        </w:rPr>
        <w:t xml:space="preserve"> </w:t>
      </w:r>
      <w:hyperlink r:id="rId216">
        <w:r w:rsidR="00D24E61" w:rsidRPr="00771368">
          <w:rPr>
            <w:sz w:val="24"/>
            <w:szCs w:val="24"/>
          </w:rPr>
          <w:t>sociedade colonial forneceu oportunidades para a atuação política dos indígenas, aproveitadas</w:t>
        </w:r>
      </w:hyperlink>
      <w:r w:rsidR="00D24E61" w:rsidRPr="00771368">
        <w:rPr>
          <w:sz w:val="24"/>
          <w:szCs w:val="24"/>
        </w:rPr>
        <w:t xml:space="preserve"> </w:t>
      </w:r>
      <w:hyperlink r:id="rId217">
        <w:r w:rsidR="00D24E61" w:rsidRPr="00771368">
          <w:rPr>
            <w:sz w:val="24"/>
            <w:szCs w:val="24"/>
          </w:rPr>
          <w:t>por uma mulher. Busco também fornecer um elemento para complexificar a imagem da</w:t>
        </w:r>
      </w:hyperlink>
      <w:r w:rsidR="00D24E61" w:rsidRPr="00771368">
        <w:rPr>
          <w:sz w:val="24"/>
          <w:szCs w:val="24"/>
        </w:rPr>
        <w:t xml:space="preserve"> </w:t>
      </w:r>
      <w:hyperlink r:id="rId218">
        <w:r w:rsidR="00D24E61" w:rsidRPr="00771368">
          <w:rPr>
            <w:sz w:val="24"/>
            <w:szCs w:val="24"/>
          </w:rPr>
          <w:t>contribuição das mulheres indígenas para a história do Brasil. Os contatos foram marcados,</w:t>
        </w:r>
      </w:hyperlink>
      <w:r w:rsidR="00D24E61" w:rsidRPr="00771368">
        <w:rPr>
          <w:sz w:val="24"/>
          <w:szCs w:val="24"/>
        </w:rPr>
        <w:t xml:space="preserve"> </w:t>
      </w:r>
      <w:hyperlink r:id="rId219">
        <w:r w:rsidR="00D24E61" w:rsidRPr="00771368">
          <w:rPr>
            <w:sz w:val="24"/>
            <w:szCs w:val="24"/>
          </w:rPr>
          <w:t>sem dúvida, pela violência (física, simbólica, sexual), mas não anularam a sua capacidade de</w:t>
        </w:r>
      </w:hyperlink>
      <w:r w:rsidR="00D24E61" w:rsidRPr="00771368">
        <w:rPr>
          <w:sz w:val="24"/>
          <w:szCs w:val="24"/>
        </w:rPr>
        <w:t xml:space="preserve"> </w:t>
      </w:r>
      <w:hyperlink r:id="rId220">
        <w:r w:rsidR="00D24E61" w:rsidRPr="00771368">
          <w:rPr>
            <w:sz w:val="24"/>
            <w:szCs w:val="24"/>
          </w:rPr>
          <w:t>agir politicamente. Trabalho com a ideia de que a aquisição dos códigos culturais da</w:t>
        </w:r>
      </w:hyperlink>
      <w:r w:rsidR="00D24E61" w:rsidRPr="00771368">
        <w:rPr>
          <w:sz w:val="24"/>
          <w:szCs w:val="24"/>
        </w:rPr>
        <w:t xml:space="preserve"> </w:t>
      </w:r>
      <w:hyperlink r:id="rId221">
        <w:r w:rsidR="00D24E61" w:rsidRPr="00771368">
          <w:rPr>
            <w:sz w:val="24"/>
            <w:szCs w:val="24"/>
          </w:rPr>
          <w:t>sociedade envolvente permitiu a Damiana atuar como mediadora entre a política de</w:t>
        </w:r>
      </w:hyperlink>
      <w:r w:rsidR="00D24E61" w:rsidRPr="00771368">
        <w:rPr>
          <w:sz w:val="24"/>
          <w:szCs w:val="24"/>
        </w:rPr>
        <w:t xml:space="preserve"> </w:t>
      </w:r>
      <w:hyperlink r:id="rId222">
        <w:r w:rsidR="00D24E61" w:rsidRPr="00771368">
          <w:rPr>
            <w:sz w:val="24"/>
            <w:szCs w:val="24"/>
          </w:rPr>
          <w:t xml:space="preserve">aldeamento e os interesses dos caiapós. </w:t>
        </w:r>
      </w:hyperlink>
      <w:r w:rsidR="00D24E61" w:rsidRPr="00771368">
        <w:rPr>
          <w:sz w:val="24"/>
          <w:szCs w:val="24"/>
        </w:rPr>
        <w:t>A sua trajetória está profundamente ligada à história do aldeamento do seu povo, cujos interesses procuro levar em consideração. Tal história nos permite colocar algumas questões, como: quais condições permitiram a uma mulher indígena</w:t>
      </w:r>
    </w:p>
    <w:p w:rsidR="00D24E61" w:rsidRPr="00771368" w:rsidRDefault="00D24E61">
      <w:pPr>
        <w:spacing w:line="70" w:lineRule="exact"/>
        <w:rPr>
          <w:sz w:val="24"/>
          <w:szCs w:val="24"/>
        </w:rPr>
      </w:pPr>
    </w:p>
    <w:p w:rsidR="00D24E61" w:rsidRPr="00771368" w:rsidRDefault="00D24E61">
      <w:pPr>
        <w:spacing w:line="308" w:lineRule="auto"/>
        <w:ind w:right="20"/>
        <w:jc w:val="both"/>
        <w:rPr>
          <w:sz w:val="24"/>
          <w:szCs w:val="24"/>
        </w:rPr>
      </w:pPr>
      <w:r w:rsidRPr="00771368">
        <w:rPr>
          <w:sz w:val="24"/>
          <w:szCs w:val="24"/>
        </w:rPr>
        <w:t>– Damiana da Cunha – exercer um papel político importante? Qual contribuição este caso pode fornecer para as discussões de gênero?</w:t>
      </w:r>
    </w:p>
    <w:p w:rsidR="00D24E61" w:rsidRPr="00771368" w:rsidRDefault="00D24E61">
      <w:pPr>
        <w:spacing w:line="119" w:lineRule="exact"/>
        <w:rPr>
          <w:sz w:val="24"/>
          <w:szCs w:val="24"/>
        </w:rPr>
      </w:pPr>
    </w:p>
    <w:p w:rsidR="00D24E61" w:rsidRPr="00771368" w:rsidRDefault="00D24E61">
      <w:pPr>
        <w:spacing w:line="327" w:lineRule="auto"/>
        <w:ind w:firstLine="708"/>
        <w:jc w:val="both"/>
        <w:rPr>
          <w:sz w:val="24"/>
          <w:szCs w:val="24"/>
        </w:rPr>
      </w:pPr>
      <w:r w:rsidRPr="00771368">
        <w:rPr>
          <w:sz w:val="24"/>
          <w:szCs w:val="24"/>
        </w:rPr>
        <w:t>O interesse em valorizar a história do ponto de vista dos indígenas é dificultado pelas fontes, produzidas pelos agentes coloniais e portadoras da sua visão, mas o aporte teórico fornecido pelos historiadores e antropólogos que, em diálogo, vêm valorizando o ponto de vista dos sujeitos históricos indígenas, possibilita outros caminhos de interpretação</w:t>
      </w:r>
      <w:r w:rsidRPr="00771368">
        <w:rPr>
          <w:sz w:val="32"/>
          <w:szCs w:val="32"/>
          <w:vertAlign w:val="superscript"/>
        </w:rPr>
        <w:t>9</w:t>
      </w:r>
      <w:r w:rsidRPr="00771368">
        <w:rPr>
          <w:sz w:val="24"/>
          <w:szCs w:val="24"/>
        </w:rPr>
        <w:t>. Como os trabalhos recentes têm demonstrado, é possível fazer a leitura das entrelinhas dos documentos</w:t>
      </w:r>
    </w:p>
    <w:p w:rsidR="00D24E61" w:rsidRPr="00771368" w:rsidRDefault="00D24E61">
      <w:pPr>
        <w:spacing w:line="63" w:lineRule="exact"/>
        <w:rPr>
          <w:sz w:val="24"/>
          <w:szCs w:val="24"/>
        </w:rPr>
      </w:pPr>
    </w:p>
    <w:p w:rsidR="00D24E61" w:rsidRPr="00771368" w:rsidRDefault="00D24E61">
      <w:pPr>
        <w:spacing w:line="347" w:lineRule="auto"/>
        <w:ind w:right="20"/>
        <w:jc w:val="both"/>
        <w:rPr>
          <w:sz w:val="24"/>
          <w:szCs w:val="24"/>
        </w:rPr>
      </w:pPr>
      <w:r w:rsidRPr="00771368">
        <w:rPr>
          <w:sz w:val="24"/>
          <w:szCs w:val="24"/>
        </w:rPr>
        <w:t>– buscando mapear quais os interesses dos indígenas ao traçarem alianças com a sociedade colonial – e, em nosso caso, ao aceitarem as propostas de aldeamento. Afinal, em alguma medida, as fontes eram fruto de um diálogo, ainda que assimétrico. Ouvir a voz das mulheres torna-se ainda mais complicado numa sociedade patriarcal, mas a projeção obtida por Damiana demonstra que elas não foram anuladas enquanto seres históricos e, portanto,</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664896" behindDoc="0" locked="0" layoutInCell="0" allowOverlap="1">
                <wp:simplePos x="0" y="0"/>
                <wp:positionH relativeFrom="column">
                  <wp:posOffset>-635</wp:posOffset>
                </wp:positionH>
                <wp:positionV relativeFrom="paragraph">
                  <wp:posOffset>274320</wp:posOffset>
                </wp:positionV>
                <wp:extent cx="1828800" cy="0"/>
                <wp:effectExtent l="8890" t="7620" r="10160" b="11430"/>
                <wp:wrapNone/>
                <wp:docPr id="26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1.6pt" to="143.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0tFQ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" o:allowincell="f" strokeweight=".21164mm"/>
            </w:pict>
          </mc:Fallback>
        </mc:AlternateContent>
      </w:r>
    </w:p>
    <w:p w:rsidR="00D24E61" w:rsidRPr="00771368" w:rsidRDefault="00D24E61">
      <w:pPr>
        <w:spacing w:line="342" w:lineRule="exact"/>
        <w:rPr>
          <w:sz w:val="24"/>
          <w:szCs w:val="24"/>
        </w:rPr>
      </w:pPr>
    </w:p>
    <w:p w:rsidR="00D24E61" w:rsidRPr="00771368" w:rsidRDefault="00D24E61">
      <w:pPr>
        <w:spacing w:line="197" w:lineRule="auto"/>
        <w:jc w:val="both"/>
        <w:rPr>
          <w:sz w:val="20"/>
          <w:szCs w:val="20"/>
        </w:rPr>
      </w:pPr>
      <w:r w:rsidRPr="00771368">
        <w:rPr>
          <w:sz w:val="32"/>
          <w:szCs w:val="32"/>
          <w:vertAlign w:val="superscript"/>
        </w:rPr>
        <w:t>8</w:t>
      </w:r>
      <w:r w:rsidRPr="00771368">
        <w:rPr>
          <w:sz w:val="20"/>
          <w:szCs w:val="20"/>
        </w:rPr>
        <w:t xml:space="preserve">Sobre os aldeamentos em Goiás, veja-se: CHAIM, Marivone Matos. </w:t>
      </w:r>
      <w:r w:rsidRPr="00771368">
        <w:rPr>
          <w:i/>
          <w:iCs/>
          <w:sz w:val="20"/>
          <w:szCs w:val="20"/>
        </w:rPr>
        <w:t xml:space="preserve">Aldeamentos indígenas: Goiás, 1749-1811. </w:t>
      </w:r>
      <w:r w:rsidRPr="00771368">
        <w:rPr>
          <w:sz w:val="20"/>
          <w:szCs w:val="20"/>
        </w:rPr>
        <w:t>São Paulo: Nobel; Brasília: INL, Fundação Nacional Pró-Memória, 1983 (1974).</w:t>
      </w:r>
    </w:p>
    <w:p w:rsidR="00D24E61" w:rsidRPr="00771368" w:rsidRDefault="00D24E61">
      <w:pPr>
        <w:spacing w:line="21" w:lineRule="exact"/>
        <w:rPr>
          <w:sz w:val="24"/>
          <w:szCs w:val="24"/>
        </w:rPr>
      </w:pPr>
    </w:p>
    <w:p w:rsidR="00D24E61" w:rsidRPr="00771368" w:rsidRDefault="00D24E61">
      <w:pPr>
        <w:spacing w:line="229" w:lineRule="auto"/>
        <w:ind w:right="20"/>
        <w:jc w:val="both"/>
        <w:rPr>
          <w:sz w:val="20"/>
          <w:szCs w:val="20"/>
        </w:rPr>
      </w:pPr>
      <w:r w:rsidRPr="00771368">
        <w:rPr>
          <w:sz w:val="25"/>
          <w:szCs w:val="25"/>
          <w:vertAlign w:val="superscript"/>
        </w:rPr>
        <w:t>9</w:t>
      </w:r>
      <w:r w:rsidRPr="00771368">
        <w:rPr>
          <w:sz w:val="20"/>
          <w:szCs w:val="20"/>
        </w:rPr>
        <w:t xml:space="preserve">BOCCARA, </w:t>
      </w:r>
      <w:r w:rsidRPr="00771368">
        <w:rPr>
          <w:i/>
          <w:iCs/>
          <w:sz w:val="20"/>
          <w:szCs w:val="20"/>
        </w:rPr>
        <w:t>op.cit.</w:t>
      </w:r>
      <w:r w:rsidRPr="00771368">
        <w:rPr>
          <w:sz w:val="20"/>
          <w:szCs w:val="20"/>
        </w:rPr>
        <w:t xml:space="preserve">; POLONI-SIMARD, Jacques. “Historia de los indios en los Andes, los indígenas en la historiografía andina: análisis y propuestas”. </w:t>
      </w:r>
      <w:r w:rsidRPr="00771368">
        <w:rPr>
          <w:i/>
          <w:iCs/>
          <w:sz w:val="20"/>
          <w:szCs w:val="20"/>
        </w:rPr>
        <w:t>Nuevo Mundo Mundos Nuevos,</w:t>
      </w:r>
      <w:r w:rsidRPr="00771368">
        <w:rPr>
          <w:sz w:val="20"/>
          <w:szCs w:val="20"/>
        </w:rPr>
        <w:t xml:space="preserve"> BAC – Biblioteca de Autores del Centro, 2005, [Online]. Disponível em: </w:t>
      </w:r>
      <w:hyperlink r:id="rId223">
        <w:r w:rsidRPr="00771368">
          <w:rPr>
            <w:sz w:val="20"/>
            <w:szCs w:val="20"/>
          </w:rPr>
          <w:t xml:space="preserve">http://nuevomundo.revues.org/651. </w:t>
        </w:r>
      </w:hyperlink>
      <w:r w:rsidRPr="00771368">
        <w:rPr>
          <w:sz w:val="20"/>
          <w:szCs w:val="20"/>
        </w:rPr>
        <w:t xml:space="preserve">Acesso em 29 set. 2012; GARCIA, </w:t>
      </w:r>
      <w:r w:rsidRPr="00771368">
        <w:rPr>
          <w:i/>
          <w:iCs/>
          <w:sz w:val="20"/>
          <w:szCs w:val="20"/>
        </w:rPr>
        <w:t>op.cit.</w:t>
      </w:r>
      <w:r w:rsidRPr="00771368">
        <w:rPr>
          <w:sz w:val="20"/>
          <w:szCs w:val="20"/>
        </w:rPr>
        <w:t>; MONTEIRO, John</w:t>
      </w:r>
      <w:r w:rsidRPr="00771368">
        <w:rPr>
          <w:i/>
          <w:iCs/>
          <w:sz w:val="20"/>
          <w:szCs w:val="20"/>
        </w:rPr>
        <w:t>. Tupis, tapuias e historiadores: estudos de história indígena e do indigenismo</w:t>
      </w:r>
      <w:r w:rsidRPr="00771368">
        <w:rPr>
          <w:sz w:val="20"/>
          <w:szCs w:val="20"/>
        </w:rPr>
        <w:t>. Tese</w:t>
      </w:r>
      <w:r w:rsidRPr="00771368">
        <w:rPr>
          <w:i/>
          <w:iCs/>
          <w:sz w:val="20"/>
          <w:szCs w:val="20"/>
        </w:rPr>
        <w:t xml:space="preserve"> </w:t>
      </w:r>
      <w:r w:rsidRPr="00771368">
        <w:rPr>
          <w:sz w:val="20"/>
          <w:szCs w:val="20"/>
        </w:rPr>
        <w:t>apresentada ao concurso de livre docência no departamento de antropologia na Universidade Estadual de Campinas. Campinas, 2001.</w:t>
      </w:r>
    </w:p>
    <w:p w:rsidR="00D24E61" w:rsidRPr="00771368" w:rsidRDefault="00D24E61">
      <w:pPr>
        <w:sectPr w:rsidR="00D24E61" w:rsidRPr="00771368">
          <w:pgSz w:w="11900" w:h="16838"/>
          <w:pgMar w:top="1413" w:right="1400" w:bottom="115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52" w:lineRule="auto"/>
        <w:jc w:val="both"/>
        <w:rPr>
          <w:sz w:val="20"/>
          <w:szCs w:val="20"/>
        </w:rPr>
      </w:pPr>
      <w:r w:rsidRPr="00771368">
        <w:rPr>
          <w:sz w:val="24"/>
          <w:szCs w:val="24"/>
        </w:rPr>
        <w:t>políticos. As fontes – escritos de autoridades publicados na Revista do Instituto Histórico e Geográfico Brasileiro, correspondências entre as autoridades portuguesas – foram lidas, sistematizadas e cruzadas com a bibliografia. Esses documentos fornecem informações valiosas sobre a capitania, e depois província, de Goiás, tais como: as ações implementadas pelos governantes no sentido de conter os ataques dos grupos indígenas; as atividades econômicas desenvolvidas, para as quais buscou-se atrair a mão-de-obra indígena; as expedições enviadas para procurar a paz com os índios e os resultados obtidos</w:t>
      </w:r>
      <w:r w:rsidRPr="00771368">
        <w:rPr>
          <w:i/>
          <w:iCs/>
          <w:sz w:val="27"/>
          <w:szCs w:val="27"/>
          <w:vertAlign w:val="superscript"/>
        </w:rPr>
        <w:t>10</w:t>
      </w:r>
      <w:r w:rsidRPr="00771368">
        <w:rPr>
          <w:sz w:val="24"/>
          <w:szCs w:val="24"/>
        </w:rPr>
        <w:t>.</w:t>
      </w:r>
    </w:p>
    <w:p w:rsidR="00D24E61" w:rsidRPr="00771368" w:rsidRDefault="00D24E61">
      <w:pPr>
        <w:spacing w:line="375" w:lineRule="exact"/>
        <w:rPr>
          <w:sz w:val="20"/>
          <w:szCs w:val="20"/>
        </w:rPr>
      </w:pPr>
    </w:p>
    <w:p w:rsidR="00D24E61" w:rsidRPr="00771368" w:rsidRDefault="00D24E61">
      <w:pPr>
        <w:ind w:left="700"/>
        <w:rPr>
          <w:sz w:val="20"/>
          <w:szCs w:val="20"/>
        </w:rPr>
      </w:pPr>
      <w:r w:rsidRPr="00771368">
        <w:rPr>
          <w:b/>
          <w:bCs/>
          <w:sz w:val="24"/>
          <w:szCs w:val="24"/>
        </w:rPr>
        <w:t>O contexto de Damiana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53" w:lineRule="auto"/>
        <w:ind w:right="20" w:firstLine="708"/>
        <w:jc w:val="both"/>
        <w:rPr>
          <w:sz w:val="20"/>
          <w:szCs w:val="20"/>
        </w:rPr>
      </w:pPr>
      <w:r w:rsidRPr="00771368">
        <w:rPr>
          <w:sz w:val="24"/>
          <w:szCs w:val="24"/>
        </w:rPr>
        <w:t>A região do Brasil Central começou a receber expedições que buscavam metais preciosos – as bandeiras – já no final do século XVI. Mas a ocupação efetiva do território só se daria com a mineração aurífera do século XVIII. Em 1749, a Capitania de Goiás adquire autonomia, pois até então era subordinada a de São Paulo. Tal autonomia está associada com a descoberta e a exploração do ouro, que levaram à necessidade de prover Goiás de uma organização própria. A nova capitania abrangia uma área semelhante à atual, exceto o Triângulo Mineiro, que posteriormente passaria a pertencer a Minas Gerais, e a região do Rio das Mortes, que hoje faz parte do Mato Grosso</w:t>
      </w:r>
      <w:r w:rsidRPr="00771368">
        <w:rPr>
          <w:i/>
          <w:iCs/>
          <w:sz w:val="27"/>
          <w:szCs w:val="27"/>
          <w:vertAlign w:val="superscript"/>
        </w:rPr>
        <w:t>11</w:t>
      </w:r>
      <w:r w:rsidRPr="00771368">
        <w:rPr>
          <w:sz w:val="24"/>
          <w:szCs w:val="24"/>
        </w:rPr>
        <w:t>.</w:t>
      </w:r>
    </w:p>
    <w:p w:rsidR="00D24E61" w:rsidRPr="00771368" w:rsidRDefault="00D24E61">
      <w:pPr>
        <w:spacing w:line="14" w:lineRule="exact"/>
        <w:rPr>
          <w:sz w:val="20"/>
          <w:szCs w:val="20"/>
        </w:rPr>
      </w:pPr>
    </w:p>
    <w:p w:rsidR="00D24E61" w:rsidRPr="00771368" w:rsidRDefault="00D24E61">
      <w:pPr>
        <w:spacing w:line="349" w:lineRule="auto"/>
        <w:ind w:firstLine="768"/>
        <w:jc w:val="both"/>
        <w:rPr>
          <w:sz w:val="20"/>
          <w:szCs w:val="20"/>
        </w:rPr>
      </w:pPr>
      <w:r w:rsidRPr="00771368">
        <w:rPr>
          <w:sz w:val="24"/>
          <w:szCs w:val="24"/>
        </w:rPr>
        <w:t>Goiás era habitada por diversos grupos indígenas, como os akroás, xacriabás e xavantes, que habitavam a região setentrional, e araés, arachás, crixás e caiapós, que ocupavam a parte meridional. A descoberta do ouro na região pelos bandeirantes, na década de 1720, intensificou o contato e os conflitos entre indígenas e brancos. Em um levantamento da história daquela região, Pereira de Alencastre, presidente da província de Goiás entre 1861 e 1862, descreveu os conflitos entre os mineradores e os povos indígenas da seguinte maneira:</w:t>
      </w:r>
    </w:p>
    <w:p w:rsidR="00D24E61" w:rsidRPr="00771368" w:rsidRDefault="00D24E61">
      <w:pPr>
        <w:spacing w:line="74" w:lineRule="exact"/>
        <w:rPr>
          <w:sz w:val="20"/>
          <w:szCs w:val="20"/>
        </w:rPr>
      </w:pPr>
    </w:p>
    <w:p w:rsidR="00D24E61" w:rsidRPr="00771368" w:rsidRDefault="00D24E61">
      <w:pPr>
        <w:spacing w:line="338" w:lineRule="auto"/>
        <w:jc w:val="both"/>
        <w:rPr>
          <w:sz w:val="20"/>
          <w:szCs w:val="20"/>
        </w:rPr>
      </w:pPr>
      <w:r w:rsidRPr="00771368">
        <w:rPr>
          <w:sz w:val="24"/>
          <w:szCs w:val="24"/>
        </w:rPr>
        <w:t xml:space="preserve">“As hordas selvagens, insaciáveis de ódio e de vingança, traziam os povos em continuados receios, e não poucas vezes levavam diante de si populações inteiras, que, aterradas, abandonavam seus trabalhos e suas casas, para se irem refugiar nos arraiais mais populosos </w:t>
      </w:r>
      <w:r w:rsidRPr="00771368">
        <w:rPr>
          <w:i/>
          <w:iCs/>
          <w:sz w:val="27"/>
          <w:szCs w:val="27"/>
          <w:vertAlign w:val="superscript"/>
        </w:rPr>
        <w:t>12</w:t>
      </w:r>
      <w:r w:rsidRPr="00771368">
        <w:t>.</w:t>
      </w:r>
    </w:p>
    <w:p w:rsidR="00D24E61" w:rsidRPr="00771368" w:rsidRDefault="00013211">
      <w:pPr>
        <w:spacing w:line="272" w:lineRule="exact"/>
        <w:rPr>
          <w:sz w:val="20"/>
          <w:szCs w:val="20"/>
        </w:rPr>
      </w:pPr>
      <w:r>
        <w:rPr>
          <w:noProof/>
          <w:sz w:val="20"/>
          <w:szCs w:val="20"/>
        </w:rPr>
        <mc:AlternateContent>
          <mc:Choice Requires="wps">
            <w:drawing>
              <wp:anchor distT="0" distB="0" distL="0" distR="0" simplePos="0" relativeHeight="251665920" behindDoc="0" locked="0" layoutInCell="0" allowOverlap="1">
                <wp:simplePos x="0" y="0"/>
                <wp:positionH relativeFrom="column">
                  <wp:posOffset>-635</wp:posOffset>
                </wp:positionH>
                <wp:positionV relativeFrom="paragraph">
                  <wp:posOffset>99060</wp:posOffset>
                </wp:positionV>
                <wp:extent cx="1828800" cy="0"/>
                <wp:effectExtent l="8890" t="13335" r="10160" b="5715"/>
                <wp:wrapNone/>
                <wp:docPr id="26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7.8pt" to="143.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" o:allowincell="f" strokeweight=".21164mm"/>
            </w:pict>
          </mc:Fallback>
        </mc:AlternateContent>
      </w:r>
    </w:p>
    <w:p w:rsidR="00D24E61" w:rsidRPr="00771368" w:rsidRDefault="00D24E61">
      <w:pPr>
        <w:spacing w:line="220" w:lineRule="auto"/>
        <w:ind w:right="20"/>
        <w:jc w:val="both"/>
        <w:rPr>
          <w:sz w:val="20"/>
          <w:szCs w:val="20"/>
        </w:rPr>
      </w:pPr>
      <w:r w:rsidRPr="00771368">
        <w:rPr>
          <w:sz w:val="25"/>
          <w:szCs w:val="25"/>
          <w:vertAlign w:val="superscript"/>
        </w:rPr>
        <w:t>10</w:t>
      </w:r>
      <w:r w:rsidRPr="00771368">
        <w:rPr>
          <w:sz w:val="20"/>
          <w:szCs w:val="20"/>
        </w:rPr>
        <w:t>Ver, por exemplo: Ofício do [governador e capitão-general de Goiás, barão de Mossâmedes] José de Vasconcelos [de Soveral e Carvalho] ao [secretário de estado da Marinha e Ultramar] Martinho de Melo e Castro sobre a prosperidade de suas diligências com os índios (...). Vila Boa, 12 de fevereiro de 1776. AHU_ACL_CU_008, Cx.28, D. 1830.</w:t>
      </w:r>
    </w:p>
    <w:p w:rsidR="00D24E61" w:rsidRPr="00771368" w:rsidRDefault="00D24E61">
      <w:pPr>
        <w:spacing w:line="23" w:lineRule="exact"/>
        <w:rPr>
          <w:sz w:val="20"/>
          <w:szCs w:val="20"/>
        </w:rPr>
      </w:pPr>
    </w:p>
    <w:p w:rsidR="00D24E61" w:rsidRPr="00771368" w:rsidRDefault="00D24E61">
      <w:pPr>
        <w:spacing w:line="224" w:lineRule="auto"/>
        <w:ind w:right="20"/>
        <w:jc w:val="both"/>
        <w:rPr>
          <w:sz w:val="20"/>
          <w:szCs w:val="20"/>
        </w:rPr>
      </w:pPr>
      <w:r w:rsidRPr="00771368">
        <w:rPr>
          <w:sz w:val="25"/>
          <w:szCs w:val="25"/>
          <w:vertAlign w:val="superscript"/>
        </w:rPr>
        <w:t>11</w:t>
      </w:r>
      <w:r w:rsidRPr="00771368">
        <w:rPr>
          <w:sz w:val="20"/>
          <w:szCs w:val="20"/>
        </w:rPr>
        <w:t xml:space="preserve">Para mais informações sobre Goiás e seu processo de povoamento, ver: CHAIM, Marivone. “A capitania de Goiás”. In: </w:t>
      </w:r>
      <w:r w:rsidRPr="00771368">
        <w:rPr>
          <w:i/>
          <w:iCs/>
          <w:sz w:val="20"/>
          <w:szCs w:val="20"/>
        </w:rPr>
        <w:t>Op.cit.</w:t>
      </w:r>
      <w:r w:rsidRPr="00771368">
        <w:rPr>
          <w:sz w:val="20"/>
          <w:szCs w:val="20"/>
        </w:rPr>
        <w:t>, pp.15-42. Ver também: CHAVES, Edilson Aparecido. “Ocupação e colonização do território: o processo de constituição do estado de Goiás”. Disponível em: http://web.videoaulasonline.com.br/aprovaconcursos/demo_aprova_concursos/historia_do_estado_de_goias_01. pdf.</w:t>
      </w:r>
    </w:p>
    <w:p w:rsidR="00D24E61" w:rsidRPr="00771368" w:rsidRDefault="00D24E61">
      <w:pPr>
        <w:spacing w:line="23" w:lineRule="exact"/>
        <w:rPr>
          <w:sz w:val="20"/>
          <w:szCs w:val="20"/>
        </w:rPr>
      </w:pPr>
    </w:p>
    <w:p w:rsidR="00D24E61" w:rsidRPr="00771368" w:rsidRDefault="00D24E61">
      <w:pPr>
        <w:spacing w:line="210" w:lineRule="auto"/>
        <w:ind w:right="20"/>
        <w:jc w:val="both"/>
        <w:rPr>
          <w:sz w:val="20"/>
          <w:szCs w:val="20"/>
        </w:rPr>
      </w:pPr>
      <w:r w:rsidRPr="00771368">
        <w:rPr>
          <w:sz w:val="25"/>
          <w:szCs w:val="25"/>
          <w:vertAlign w:val="superscript"/>
        </w:rPr>
        <w:t>12</w:t>
      </w:r>
      <w:r w:rsidRPr="00771368">
        <w:rPr>
          <w:sz w:val="20"/>
          <w:szCs w:val="20"/>
        </w:rPr>
        <w:t xml:space="preserve">ALENCASTRE, José Martins Pereira de. “Annaes da Província de Goyaz”. In: </w:t>
      </w:r>
      <w:r w:rsidRPr="00771368">
        <w:rPr>
          <w:i/>
          <w:iCs/>
          <w:sz w:val="20"/>
          <w:szCs w:val="20"/>
        </w:rPr>
        <w:t>Revista do Instituto Historico</w:t>
      </w:r>
      <w:r w:rsidRPr="00771368">
        <w:rPr>
          <w:sz w:val="20"/>
          <w:szCs w:val="20"/>
        </w:rPr>
        <w:t xml:space="preserve"> </w:t>
      </w:r>
      <w:r w:rsidRPr="00771368">
        <w:rPr>
          <w:i/>
          <w:iCs/>
          <w:sz w:val="20"/>
          <w:szCs w:val="20"/>
        </w:rPr>
        <w:t xml:space="preserve">Geographico e Etnographico do Brasil </w:t>
      </w:r>
      <w:r w:rsidRPr="00771368">
        <w:rPr>
          <w:sz w:val="20"/>
          <w:szCs w:val="20"/>
        </w:rPr>
        <w:t>27 (1864), p.77. O português da citação foi atualizado, sem prejuízo do</w:t>
      </w:r>
    </w:p>
    <w:p w:rsidR="00D24E61" w:rsidRPr="00771368" w:rsidRDefault="00D24E61">
      <w:pPr>
        <w:sectPr w:rsidR="00D24E61" w:rsidRPr="00771368">
          <w:pgSz w:w="11900" w:h="16838"/>
          <w:pgMar w:top="1440" w:right="1400" w:bottom="1149"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8" w:lineRule="auto"/>
        <w:ind w:firstLine="708"/>
        <w:jc w:val="both"/>
        <w:rPr>
          <w:sz w:val="20"/>
          <w:szCs w:val="20"/>
        </w:rPr>
      </w:pPr>
      <w:r w:rsidRPr="00771368">
        <w:rPr>
          <w:sz w:val="24"/>
          <w:szCs w:val="24"/>
        </w:rPr>
        <w:t>A presença e a atitude violenta dos bandeirantes e mineradores suscitavam, por diversas vezes, reações também violentas por parte dos indígenas. Tais conflitos dificultavam a mineração e ameaçavam a estabilidade dos núcleos de povoamento que iam sendo formados em torno das minas. Entre os “selvagens” vistos como mais hostis estavam os caiapós. Eles habitavam o território que compreendia o “sul e sudoeste do atual estado de Goiás, o atual Triângulo Mineiro, parte do norte de São Paulo, o leste do atual estado do Mato Grosso e o leste e sudeste do Mato Grosso do Sul”</w:t>
      </w:r>
      <w:r w:rsidRPr="00771368">
        <w:rPr>
          <w:i/>
          <w:iCs/>
          <w:sz w:val="27"/>
          <w:szCs w:val="27"/>
          <w:vertAlign w:val="superscript"/>
        </w:rPr>
        <w:t>13</w:t>
      </w:r>
      <w:r w:rsidRPr="00771368">
        <w:rPr>
          <w:sz w:val="24"/>
          <w:szCs w:val="24"/>
        </w:rPr>
        <w:t>. John Hemming aponta que, por algum tempo, os caiapós ameaçaram destruir a povoação de Goiás ou cortar as comunicações com o litoral atlântico. Diante de tal ameaça, os mineradores responderam com mais brutalidade, materializada nas expedições de bandeirantes como Antônio Pires de Campos, que atuou na década de 1740, auxiliado por centenas de bororos, inimigos dos caiapós</w:t>
      </w:r>
      <w:r w:rsidRPr="00771368">
        <w:rPr>
          <w:i/>
          <w:iCs/>
          <w:sz w:val="27"/>
          <w:szCs w:val="27"/>
          <w:vertAlign w:val="superscript"/>
        </w:rPr>
        <w:t>14</w:t>
      </w:r>
      <w:r w:rsidRPr="00771368">
        <w:rPr>
          <w:sz w:val="24"/>
          <w:szCs w:val="24"/>
        </w:rPr>
        <w:t>. Raymundo da Cunha Mattos apontou, no final de 1824, a atuação dos sertanistas Pires de Campos e João de</w:t>
      </w:r>
    </w:p>
    <w:p w:rsidR="00D24E61" w:rsidRPr="00771368" w:rsidRDefault="00D24E61">
      <w:pPr>
        <w:spacing w:line="67" w:lineRule="exact"/>
        <w:rPr>
          <w:sz w:val="20"/>
          <w:szCs w:val="20"/>
        </w:rPr>
      </w:pPr>
    </w:p>
    <w:p w:rsidR="00D24E61" w:rsidRPr="00771368" w:rsidRDefault="00D24E61">
      <w:pPr>
        <w:spacing w:line="317" w:lineRule="auto"/>
        <w:ind w:right="20"/>
        <w:jc w:val="both"/>
        <w:rPr>
          <w:sz w:val="20"/>
          <w:szCs w:val="20"/>
        </w:rPr>
      </w:pPr>
      <w:r w:rsidRPr="00771368">
        <w:rPr>
          <w:sz w:val="24"/>
          <w:szCs w:val="24"/>
        </w:rPr>
        <w:t xml:space="preserve">Godoy como causa da redução do número de caiapós, “nação em outro tempo mais numerosa” </w:t>
      </w:r>
      <w:r w:rsidRPr="00771368">
        <w:rPr>
          <w:i/>
          <w:iCs/>
          <w:sz w:val="27"/>
          <w:szCs w:val="27"/>
          <w:vertAlign w:val="superscript"/>
        </w:rPr>
        <w:t>15</w:t>
      </w:r>
      <w:r w:rsidRPr="00771368">
        <w:rPr>
          <w:sz w:val="24"/>
          <w:szCs w:val="24"/>
        </w:rPr>
        <w:t>.</w:t>
      </w:r>
    </w:p>
    <w:p w:rsidR="00D24E61" w:rsidRPr="00771368" w:rsidRDefault="00D24E61">
      <w:pPr>
        <w:spacing w:line="53" w:lineRule="exact"/>
        <w:rPr>
          <w:sz w:val="20"/>
          <w:szCs w:val="20"/>
        </w:rPr>
      </w:pPr>
    </w:p>
    <w:p w:rsidR="00D24E61" w:rsidRPr="00771368" w:rsidRDefault="00D24E61">
      <w:pPr>
        <w:spacing w:line="348" w:lineRule="auto"/>
        <w:ind w:right="20" w:firstLine="708"/>
        <w:jc w:val="both"/>
        <w:rPr>
          <w:sz w:val="20"/>
          <w:szCs w:val="20"/>
        </w:rPr>
      </w:pPr>
      <w:r w:rsidRPr="00771368">
        <w:rPr>
          <w:sz w:val="24"/>
          <w:szCs w:val="24"/>
        </w:rPr>
        <w:t>Sobre os grupos indígenas mencionados, especialmente os caiapós, que nos interessam diretamente, é importante esclarecer que não são aqui entendidos enquanto uma essência, como povos com certas características imanentes, mas como grupos com determinadas relações estabelecidas com a sociedade envolvente. Relações que, por sua vez, variaram conforme o contexto histórico. Essa compreensão sobre os povos indígenas acompanha as mudanças de perspectiva construídas no diálogo entre História e Antropologia, sobretudo a partir da década de 1980. Como já mencionado acima, os trabalhos acadêmicos mais recentes tendem a preocupar-se em inserir as mulheres e os homens indígenas, como sujeitos históricos, em seu contexto – ao invés de buscar características que seriam próprias de tal ou qual grupo</w:t>
      </w:r>
      <w:r w:rsidRPr="00771368">
        <w:rPr>
          <w:sz w:val="32"/>
          <w:szCs w:val="32"/>
          <w:vertAlign w:val="superscript"/>
        </w:rPr>
        <w:t>16</w:t>
      </w:r>
      <w:r w:rsidRPr="00771368">
        <w:rPr>
          <w:sz w:val="24"/>
          <w:szCs w:val="24"/>
        </w:rPr>
        <w:t>.</w:t>
      </w:r>
    </w:p>
    <w:p w:rsidR="00D24E61" w:rsidRPr="00771368" w:rsidRDefault="00D24E61">
      <w:pPr>
        <w:spacing w:line="4" w:lineRule="exact"/>
        <w:rPr>
          <w:sz w:val="20"/>
          <w:szCs w:val="20"/>
        </w:rPr>
      </w:pPr>
    </w:p>
    <w:p w:rsidR="00D24E61" w:rsidRPr="00771368" w:rsidRDefault="00D24E61">
      <w:pPr>
        <w:spacing w:line="334" w:lineRule="auto"/>
        <w:ind w:firstLine="708"/>
        <w:jc w:val="both"/>
        <w:rPr>
          <w:sz w:val="20"/>
          <w:szCs w:val="20"/>
        </w:rPr>
      </w:pPr>
      <w:r w:rsidRPr="00771368">
        <w:rPr>
          <w:sz w:val="24"/>
          <w:szCs w:val="24"/>
        </w:rPr>
        <w:t>Neste sentido, Fredrik Barth aponta as insuficiências da definição de grupo étnico que foca como aspecto principal o compartilhamento da mesma cultura, pois tal abordagem pressupõe que a manutenção das fronteiras étnicas depende do isolamento entre os diferentes</w:t>
      </w:r>
    </w:p>
    <w:p w:rsidR="00D24E61" w:rsidRPr="00771368" w:rsidRDefault="00013211">
      <w:pPr>
        <w:spacing w:line="315" w:lineRule="exact"/>
        <w:rPr>
          <w:sz w:val="20"/>
          <w:szCs w:val="20"/>
        </w:rPr>
      </w:pPr>
      <w:r>
        <w:rPr>
          <w:noProof/>
          <w:sz w:val="20"/>
          <w:szCs w:val="20"/>
        </w:rPr>
        <mc:AlternateContent>
          <mc:Choice Requires="wps">
            <w:drawing>
              <wp:anchor distT="0" distB="0" distL="0" distR="0" simplePos="0" relativeHeight="251666944" behindDoc="0" locked="0" layoutInCell="0" allowOverlap="1">
                <wp:simplePos x="0" y="0"/>
                <wp:positionH relativeFrom="column">
                  <wp:posOffset>-635</wp:posOffset>
                </wp:positionH>
                <wp:positionV relativeFrom="paragraph">
                  <wp:posOffset>139065</wp:posOffset>
                </wp:positionV>
                <wp:extent cx="5759450" cy="0"/>
                <wp:effectExtent l="8890" t="5715" r="13335" b="13335"/>
                <wp:wrapNone/>
                <wp:docPr id="26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0.95pt" to="453.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tv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" o:allowincell="f" strokeweight=".21164mm"/>
            </w:pict>
          </mc:Fallback>
        </mc:AlternateContent>
      </w:r>
    </w:p>
    <w:p w:rsidR="00D24E61" w:rsidRPr="00771368" w:rsidRDefault="00D24E61">
      <w:pPr>
        <w:spacing w:line="239" w:lineRule="auto"/>
        <w:rPr>
          <w:sz w:val="20"/>
          <w:szCs w:val="20"/>
        </w:rPr>
      </w:pPr>
      <w:r w:rsidRPr="00771368">
        <w:rPr>
          <w:sz w:val="20"/>
          <w:szCs w:val="20"/>
        </w:rPr>
        <w:t>sentido original.</w:t>
      </w:r>
    </w:p>
    <w:p w:rsidR="00D24E61" w:rsidRPr="00771368" w:rsidRDefault="00D24E61">
      <w:pPr>
        <w:spacing w:line="21" w:lineRule="exact"/>
        <w:rPr>
          <w:sz w:val="20"/>
          <w:szCs w:val="20"/>
        </w:rPr>
      </w:pPr>
    </w:p>
    <w:p w:rsidR="00D24E61" w:rsidRPr="00771368" w:rsidRDefault="00D24E61">
      <w:pPr>
        <w:spacing w:line="203" w:lineRule="auto"/>
        <w:ind w:right="20"/>
        <w:jc w:val="both"/>
        <w:rPr>
          <w:sz w:val="20"/>
          <w:szCs w:val="20"/>
        </w:rPr>
      </w:pPr>
      <w:r w:rsidRPr="00771368">
        <w:rPr>
          <w:sz w:val="25"/>
          <w:szCs w:val="25"/>
          <w:vertAlign w:val="superscript"/>
        </w:rPr>
        <w:t>13</w:t>
      </w:r>
      <w:r w:rsidRPr="00771368">
        <w:rPr>
          <w:sz w:val="20"/>
          <w:szCs w:val="20"/>
        </w:rPr>
        <w:t xml:space="preserve">GIRALDIN, Odair. </w:t>
      </w:r>
      <w:r w:rsidRPr="00771368">
        <w:rPr>
          <w:i/>
          <w:iCs/>
          <w:sz w:val="20"/>
          <w:szCs w:val="20"/>
        </w:rPr>
        <w:t>Cayapó e Panará: luta e sobrevivência de um povo Jê no Brasil Central.</w:t>
      </w:r>
      <w:r w:rsidRPr="00771368">
        <w:rPr>
          <w:sz w:val="20"/>
          <w:szCs w:val="20"/>
        </w:rPr>
        <w:t xml:space="preserve"> Campinas: Editora da UNICAMP, 1991, p. 57.</w:t>
      </w:r>
    </w:p>
    <w:p w:rsidR="00D24E61" w:rsidRPr="00771368" w:rsidRDefault="00D24E61">
      <w:pPr>
        <w:spacing w:line="21" w:lineRule="exact"/>
        <w:rPr>
          <w:sz w:val="20"/>
          <w:szCs w:val="20"/>
        </w:rPr>
      </w:pPr>
    </w:p>
    <w:p w:rsidR="00D24E61" w:rsidRPr="00771368" w:rsidRDefault="00D24E61">
      <w:pPr>
        <w:spacing w:line="221" w:lineRule="auto"/>
        <w:ind w:right="20"/>
        <w:jc w:val="both"/>
        <w:rPr>
          <w:sz w:val="20"/>
          <w:szCs w:val="20"/>
        </w:rPr>
      </w:pPr>
      <w:r w:rsidRPr="00771368">
        <w:rPr>
          <w:sz w:val="25"/>
          <w:szCs w:val="25"/>
          <w:vertAlign w:val="superscript"/>
        </w:rPr>
        <w:t>14</w:t>
      </w:r>
      <w:r w:rsidRPr="00771368">
        <w:rPr>
          <w:sz w:val="20"/>
          <w:szCs w:val="20"/>
        </w:rPr>
        <w:t xml:space="preserve">HEMMING, John. </w:t>
      </w:r>
      <w:r w:rsidRPr="00771368">
        <w:rPr>
          <w:i/>
          <w:iCs/>
          <w:sz w:val="20"/>
          <w:szCs w:val="20"/>
        </w:rPr>
        <w:t>Fronteira Amazônica: A derrota dos índios brasileiros.</w:t>
      </w:r>
      <w:r w:rsidRPr="00771368">
        <w:rPr>
          <w:sz w:val="20"/>
          <w:szCs w:val="20"/>
        </w:rPr>
        <w:t xml:space="preserve"> Trad. Antônio de Padua Danesi. São Paulo: EdUsp, 2009 (1978). Sobre os conflitos com os caiapós e a expectativa em torno de resolvê-los através de ações violentas, ver: “Carta do [governador e capitão general de São Paulo] D. Luis de Mascarenhas ao rei [D. JoãoV]”. Vila Boa, 30 de março de 1742. AHU_ACL_CU_008, Cx.2, D.179.</w:t>
      </w:r>
    </w:p>
    <w:p w:rsidR="00D24E61" w:rsidRPr="00771368" w:rsidRDefault="00D24E61">
      <w:pPr>
        <w:spacing w:line="22" w:lineRule="exact"/>
        <w:rPr>
          <w:sz w:val="20"/>
          <w:szCs w:val="20"/>
        </w:rPr>
      </w:pPr>
    </w:p>
    <w:p w:rsidR="00D24E61" w:rsidRPr="00771368" w:rsidRDefault="00D24E61">
      <w:pPr>
        <w:spacing w:line="203" w:lineRule="auto"/>
        <w:ind w:right="20"/>
        <w:jc w:val="both"/>
        <w:rPr>
          <w:sz w:val="20"/>
          <w:szCs w:val="20"/>
        </w:rPr>
      </w:pPr>
      <w:r w:rsidRPr="00771368">
        <w:rPr>
          <w:sz w:val="25"/>
          <w:szCs w:val="25"/>
          <w:vertAlign w:val="superscript"/>
        </w:rPr>
        <w:t>15</w:t>
      </w:r>
      <w:r w:rsidRPr="00771368">
        <w:rPr>
          <w:sz w:val="20"/>
          <w:szCs w:val="20"/>
        </w:rPr>
        <w:t xml:space="preserve">MATTOS, Raymundo José da Cunha. “Corographia histórica da Província de Goyaz”. </w:t>
      </w:r>
      <w:r w:rsidRPr="00771368">
        <w:rPr>
          <w:i/>
          <w:iCs/>
          <w:sz w:val="20"/>
          <w:szCs w:val="20"/>
        </w:rPr>
        <w:t>Revista do Instituto</w:t>
      </w:r>
      <w:r w:rsidRPr="00771368">
        <w:rPr>
          <w:sz w:val="20"/>
          <w:szCs w:val="20"/>
        </w:rPr>
        <w:t xml:space="preserve"> </w:t>
      </w:r>
      <w:r w:rsidRPr="00771368">
        <w:rPr>
          <w:i/>
          <w:iCs/>
          <w:sz w:val="20"/>
          <w:szCs w:val="20"/>
        </w:rPr>
        <w:t xml:space="preserve">Histórico e Geográfico Brasileiro </w:t>
      </w:r>
      <w:r w:rsidRPr="00771368">
        <w:rPr>
          <w:sz w:val="20"/>
          <w:szCs w:val="20"/>
        </w:rPr>
        <w:t>37 (1874), p.306.</w:t>
      </w:r>
    </w:p>
    <w:p w:rsidR="00D24E61" w:rsidRPr="00D61223" w:rsidRDefault="00D24E61">
      <w:pPr>
        <w:tabs>
          <w:tab w:val="left" w:pos="700"/>
          <w:tab w:val="left" w:pos="1100"/>
          <w:tab w:val="left" w:pos="2020"/>
          <w:tab w:val="left" w:pos="2320"/>
          <w:tab w:val="left" w:pos="3400"/>
          <w:tab w:val="left" w:pos="4980"/>
          <w:tab w:val="left" w:pos="6000"/>
          <w:tab w:val="left" w:pos="6680"/>
          <w:tab w:val="left" w:pos="7900"/>
          <w:tab w:val="left" w:pos="8460"/>
        </w:tabs>
        <w:spacing w:line="221" w:lineRule="auto"/>
        <w:rPr>
          <w:i/>
          <w:iCs/>
          <w:sz w:val="19"/>
          <w:szCs w:val="19"/>
          <w:lang w:val="en-US"/>
        </w:rPr>
      </w:pPr>
      <w:r w:rsidRPr="00771368">
        <w:rPr>
          <w:sz w:val="25"/>
          <w:szCs w:val="25"/>
          <w:vertAlign w:val="superscript"/>
        </w:rPr>
        <w:t>16</w:t>
      </w:r>
      <w:r w:rsidRPr="00771368">
        <w:rPr>
          <w:sz w:val="20"/>
          <w:szCs w:val="20"/>
        </w:rPr>
        <w:t>Sobre</w:t>
      </w:r>
      <w:r w:rsidRPr="00771368">
        <w:rPr>
          <w:sz w:val="20"/>
          <w:szCs w:val="20"/>
        </w:rPr>
        <w:tab/>
        <w:t>tais</w:t>
      </w:r>
      <w:r w:rsidRPr="00771368">
        <w:rPr>
          <w:sz w:val="20"/>
          <w:szCs w:val="20"/>
        </w:rPr>
        <w:tab/>
        <w:t>mudanças</w:t>
      </w:r>
      <w:r w:rsidRPr="00771368">
        <w:rPr>
          <w:sz w:val="20"/>
          <w:szCs w:val="20"/>
        </w:rPr>
        <w:tab/>
        <w:t>de</w:t>
      </w:r>
      <w:r w:rsidRPr="00771368">
        <w:rPr>
          <w:sz w:val="20"/>
          <w:szCs w:val="20"/>
        </w:rPr>
        <w:tab/>
        <w:t>perspectiva,</w:t>
      </w:r>
      <w:r w:rsidRPr="00771368">
        <w:rPr>
          <w:sz w:val="20"/>
          <w:szCs w:val="20"/>
        </w:rPr>
        <w:tab/>
        <w:t>ver:  BOCCARA,</w:t>
      </w:r>
      <w:r w:rsidRPr="00771368">
        <w:rPr>
          <w:sz w:val="20"/>
          <w:szCs w:val="20"/>
        </w:rPr>
        <w:tab/>
        <w:t>Guillaume.</w:t>
      </w:r>
      <w:r w:rsidRPr="00771368">
        <w:rPr>
          <w:sz w:val="20"/>
          <w:szCs w:val="20"/>
        </w:rPr>
        <w:tab/>
      </w:r>
      <w:r w:rsidRPr="00D61223">
        <w:rPr>
          <w:i/>
          <w:iCs/>
          <w:sz w:val="20"/>
          <w:szCs w:val="20"/>
          <w:lang w:val="en-US"/>
        </w:rPr>
        <w:t>Op.cit;</w:t>
      </w:r>
      <w:r w:rsidRPr="00D61223">
        <w:rPr>
          <w:sz w:val="20"/>
          <w:szCs w:val="20"/>
          <w:lang w:val="en-US"/>
        </w:rPr>
        <w:tab/>
        <w:t>MONTEIRO,</w:t>
      </w:r>
      <w:r w:rsidRPr="00D61223">
        <w:rPr>
          <w:sz w:val="20"/>
          <w:szCs w:val="20"/>
          <w:lang w:val="en-US"/>
        </w:rPr>
        <w:tab/>
        <w:t>John</w:t>
      </w:r>
      <w:r w:rsidRPr="00D61223">
        <w:rPr>
          <w:i/>
          <w:iCs/>
          <w:sz w:val="20"/>
          <w:szCs w:val="20"/>
          <w:lang w:val="en-US"/>
        </w:rPr>
        <w:t>.</w:t>
      </w:r>
      <w:r w:rsidRPr="00D61223">
        <w:rPr>
          <w:sz w:val="20"/>
          <w:szCs w:val="20"/>
          <w:lang w:val="en-US"/>
        </w:rPr>
        <w:tab/>
      </w:r>
      <w:hyperlink r:id="rId224">
        <w:r w:rsidRPr="00D61223">
          <w:rPr>
            <w:i/>
            <w:iCs/>
            <w:sz w:val="19"/>
            <w:szCs w:val="19"/>
            <w:lang w:val="en-US"/>
          </w:rPr>
          <w:t>Op.cit.</w:t>
        </w:r>
        <w:r w:rsidRPr="00D61223">
          <w:rPr>
            <w:sz w:val="19"/>
            <w:szCs w:val="19"/>
            <w:lang w:val="en-US"/>
          </w:rPr>
          <w:t>;</w:t>
        </w:r>
      </w:hyperlink>
    </w:p>
    <w:p w:rsidR="00D24E61" w:rsidRPr="00771368" w:rsidRDefault="00D24E61">
      <w:pPr>
        <w:spacing w:line="221" w:lineRule="auto"/>
        <w:rPr>
          <w:sz w:val="20"/>
          <w:szCs w:val="20"/>
        </w:rPr>
      </w:pPr>
      <w:r w:rsidRPr="00771368">
        <w:rPr>
          <w:sz w:val="20"/>
          <w:szCs w:val="20"/>
        </w:rPr>
        <w:t xml:space="preserve">ALMEIDA, Maria Regina Celestino de. “História e antropologia”. </w:t>
      </w:r>
      <w:r w:rsidRPr="00771368">
        <w:rPr>
          <w:i/>
          <w:iCs/>
          <w:sz w:val="20"/>
          <w:szCs w:val="20"/>
        </w:rPr>
        <w:t>Op.cit.</w:t>
      </w:r>
    </w:p>
    <w:p w:rsidR="00D24E61" w:rsidRPr="00771368" w:rsidRDefault="00D24E61">
      <w:pPr>
        <w:sectPr w:rsidR="00D24E61" w:rsidRPr="00771368">
          <w:pgSz w:w="11900" w:h="16838"/>
          <w:pgMar w:top="1440" w:right="1400" w:bottom="1148"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0" w:lineRule="auto"/>
        <w:jc w:val="both"/>
        <w:rPr>
          <w:sz w:val="20"/>
          <w:szCs w:val="20"/>
        </w:rPr>
      </w:pPr>
      <w:r w:rsidRPr="00771368">
        <w:rPr>
          <w:sz w:val="24"/>
          <w:szCs w:val="24"/>
        </w:rPr>
        <w:t>grupos. Outro problema dessa definição reside no fato de que ela leva a distingui-los por uma lista de traços culturais, nem sempre vistos como tão importantes pelos seus membros. Barth propõe outra forma de ver os grupos étnicos, ao focar a autoatribuição e a atribuição pelos demais. Nesta perspectiva, os atores passam a formar grupos étnicos quando usam identidades étnicas para categorizar a si e aos outros em processos de interação social, sobretudo políticos</w:t>
      </w:r>
      <w:r w:rsidRPr="00771368">
        <w:rPr>
          <w:sz w:val="32"/>
          <w:szCs w:val="32"/>
          <w:vertAlign w:val="superscript"/>
        </w:rPr>
        <w:t>17</w:t>
      </w:r>
      <w:r w:rsidRPr="00771368">
        <w:rPr>
          <w:sz w:val="24"/>
          <w:szCs w:val="24"/>
        </w:rPr>
        <w:t xml:space="preserve">. As categorias que as fontes atribuem aos indígenas são coloniais, construídas pelos agentes sociais dominantes. Não nos interrogarmos o suficiente sobre certas categorias que aparecem nas fontes, é prolongar o etnocentrismo. Os caiapós, por exemplo, assim chamados pelos bandeirantes, se autodenominavam </w:t>
      </w:r>
      <w:r w:rsidRPr="00771368">
        <w:rPr>
          <w:i/>
          <w:iCs/>
          <w:sz w:val="24"/>
          <w:szCs w:val="24"/>
        </w:rPr>
        <w:t>panariás,</w:t>
      </w:r>
      <w:r w:rsidRPr="00771368">
        <w:rPr>
          <w:sz w:val="24"/>
          <w:szCs w:val="24"/>
        </w:rPr>
        <w:t xml:space="preserve"> segundo J. Norberto de Sousa e Silva</w:t>
      </w:r>
      <w:r w:rsidRPr="00771368">
        <w:rPr>
          <w:sz w:val="32"/>
          <w:szCs w:val="32"/>
          <w:vertAlign w:val="superscript"/>
        </w:rPr>
        <w:t>18</w:t>
      </w:r>
      <w:r w:rsidRPr="00771368">
        <w:rPr>
          <w:sz w:val="24"/>
          <w:szCs w:val="24"/>
        </w:rPr>
        <w:t>. Como foi afirmado por Barth, a identidade étnica não se constrói no isolamento, mas nas relações com outros grupos. No caso dos caiapós, essa afirmação se materializa no fato de que, apesar da interação desses índios com outros grupos no espaço do aldeamento, das transformações pelas quais passaram ali e da intenção, desde a aplicação das medidas pombalinas, de apagar as diferenças entre os indígenas e os demais súditos, eles entram no século XIX se reconhecendo e sendo reconhecidos enquanto caiapós.</w:t>
      </w:r>
    </w:p>
    <w:p w:rsidR="00D24E61" w:rsidRPr="00771368" w:rsidRDefault="00D24E61">
      <w:pPr>
        <w:spacing w:line="84" w:lineRule="exact"/>
        <w:rPr>
          <w:sz w:val="20"/>
          <w:szCs w:val="20"/>
        </w:rPr>
      </w:pPr>
    </w:p>
    <w:p w:rsidR="00D24E61" w:rsidRPr="00771368" w:rsidRDefault="00D24E61">
      <w:pPr>
        <w:spacing w:line="343" w:lineRule="auto"/>
        <w:ind w:firstLine="708"/>
        <w:jc w:val="both"/>
        <w:rPr>
          <w:sz w:val="20"/>
          <w:szCs w:val="20"/>
        </w:rPr>
      </w:pPr>
      <w:r w:rsidRPr="00771368">
        <w:rPr>
          <w:sz w:val="24"/>
          <w:szCs w:val="24"/>
        </w:rPr>
        <w:t xml:space="preserve">Voltando à região de Goiás, nas últimas décadas do século XVIII, tornou-se urgente selar a paz com os índios, que passaram a ser vistos como úteis ao povoamento e mão-de-obra em potencial para atividades produtivas – agricultura e pecuária – que garantissem a prosperidade da economia, já que a mineração estava em decadência. Entre as instruções recebidas pelo governador José de Vasconcelos estava a de procurar agradar os índios, atraindo-os para o seio da sociedade colonial, visto que eles eram “uma das mais importantes riquezas para a capitania de Goiás, da mesma sorte que para todo o Estado do Brasil” </w:t>
      </w:r>
      <w:r w:rsidRPr="00771368">
        <w:rPr>
          <w:i/>
          <w:iCs/>
          <w:sz w:val="32"/>
          <w:szCs w:val="32"/>
          <w:vertAlign w:val="superscript"/>
        </w:rPr>
        <w:t>19</w:t>
      </w:r>
      <w:r w:rsidRPr="00771368">
        <w:rPr>
          <w:sz w:val="24"/>
          <w:szCs w:val="24"/>
        </w:rPr>
        <w:t>.</w:t>
      </w:r>
    </w:p>
    <w:p w:rsidR="00D24E61" w:rsidRPr="00771368" w:rsidRDefault="00D24E61">
      <w:pPr>
        <w:spacing w:line="7" w:lineRule="exact"/>
        <w:rPr>
          <w:sz w:val="20"/>
          <w:szCs w:val="20"/>
        </w:rPr>
      </w:pPr>
    </w:p>
    <w:p w:rsidR="00D24E61" w:rsidRPr="00771368" w:rsidRDefault="00D24E61">
      <w:pPr>
        <w:spacing w:line="349" w:lineRule="auto"/>
        <w:ind w:firstLine="708"/>
        <w:jc w:val="both"/>
        <w:rPr>
          <w:sz w:val="20"/>
          <w:szCs w:val="20"/>
        </w:rPr>
      </w:pPr>
      <w:r w:rsidRPr="00771368">
        <w:rPr>
          <w:sz w:val="24"/>
          <w:szCs w:val="24"/>
        </w:rPr>
        <w:t>Seguindo tais diretrizes, Vasconcelos enviou o alferes José Pinto da Fonseca para a margem oriental do Araguaia, junto com cem praças e alguns intérpretes, entre eles uma índia. Essa expedição conseguiu negociar a paz com os carajás. Segundo José de Alencastre, as propostas de paz foram transmitidas pelos lábios da índia intérprete. Anos mais tarde, em 1813, no governo de Fernando Delgado, quando se procurava conter os ataques coligados dos chavantes e carajás, mais uma vez a intérprete das negociações foi uma mulher, uma índia</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67968" behindDoc="0" locked="0" layoutInCell="0" allowOverlap="1">
                <wp:simplePos x="0" y="0"/>
                <wp:positionH relativeFrom="column">
                  <wp:posOffset>-635</wp:posOffset>
                </wp:positionH>
                <wp:positionV relativeFrom="paragraph">
                  <wp:posOffset>449580</wp:posOffset>
                </wp:positionV>
                <wp:extent cx="1828800" cy="0"/>
                <wp:effectExtent l="8890" t="11430" r="10160" b="7620"/>
                <wp:wrapNone/>
                <wp:docPr id="26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35.4pt" to="143.9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" o:allowincell="f" strokeweight=".6pt"/>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4" w:lineRule="exact"/>
        <w:rPr>
          <w:sz w:val="20"/>
          <w:szCs w:val="20"/>
        </w:rPr>
      </w:pPr>
    </w:p>
    <w:p w:rsidR="00D24E61" w:rsidRPr="00771368" w:rsidRDefault="00D24E61">
      <w:pPr>
        <w:spacing w:line="204" w:lineRule="auto"/>
        <w:ind w:right="20"/>
        <w:jc w:val="both"/>
        <w:rPr>
          <w:sz w:val="20"/>
          <w:szCs w:val="20"/>
        </w:rPr>
      </w:pPr>
      <w:r w:rsidRPr="00771368">
        <w:rPr>
          <w:sz w:val="25"/>
          <w:szCs w:val="25"/>
          <w:vertAlign w:val="superscript"/>
        </w:rPr>
        <w:t>17</w:t>
      </w:r>
      <w:r w:rsidRPr="00771368">
        <w:rPr>
          <w:sz w:val="20"/>
          <w:szCs w:val="20"/>
        </w:rPr>
        <w:t xml:space="preserve">BARTH, Fredrik. “Os grupos étnicos e suas fronteiras”. In: </w:t>
      </w:r>
      <w:r w:rsidRPr="00771368">
        <w:rPr>
          <w:i/>
          <w:iCs/>
          <w:sz w:val="20"/>
          <w:szCs w:val="20"/>
        </w:rPr>
        <w:t>O guru, o iniciador e outras variações</w:t>
      </w:r>
      <w:r w:rsidRPr="00771368">
        <w:rPr>
          <w:sz w:val="20"/>
          <w:szCs w:val="20"/>
        </w:rPr>
        <w:t xml:space="preserve"> </w:t>
      </w:r>
      <w:r w:rsidRPr="00771368">
        <w:rPr>
          <w:i/>
          <w:iCs/>
          <w:sz w:val="20"/>
          <w:szCs w:val="20"/>
        </w:rPr>
        <w:t>antropológicas</w:t>
      </w:r>
      <w:r w:rsidRPr="00771368">
        <w:rPr>
          <w:sz w:val="20"/>
          <w:szCs w:val="20"/>
        </w:rPr>
        <w:t>. Rio de Janeiro: Contra Capa Livraria, 2000, pp. 25-67.</w:t>
      </w:r>
    </w:p>
    <w:p w:rsidR="00D24E61" w:rsidRPr="00771368" w:rsidRDefault="00D24E61">
      <w:pPr>
        <w:spacing w:line="21" w:lineRule="exact"/>
        <w:rPr>
          <w:sz w:val="20"/>
          <w:szCs w:val="20"/>
        </w:rPr>
      </w:pPr>
    </w:p>
    <w:p w:rsidR="00D24E61" w:rsidRPr="00771368" w:rsidRDefault="00D24E61">
      <w:pPr>
        <w:spacing w:line="214" w:lineRule="auto"/>
        <w:jc w:val="both"/>
        <w:rPr>
          <w:sz w:val="20"/>
          <w:szCs w:val="20"/>
        </w:rPr>
      </w:pPr>
      <w:r w:rsidRPr="00771368">
        <w:rPr>
          <w:sz w:val="25"/>
          <w:szCs w:val="25"/>
          <w:vertAlign w:val="superscript"/>
        </w:rPr>
        <w:t>18</w:t>
      </w:r>
      <w:r w:rsidRPr="00771368">
        <w:rPr>
          <w:sz w:val="20"/>
          <w:szCs w:val="20"/>
        </w:rPr>
        <w:t xml:space="preserve">SOUSA E SILVA, Joaquim Norberto de. “Biographia: Damiana da Cunha”. </w:t>
      </w:r>
      <w:r w:rsidRPr="00771368">
        <w:rPr>
          <w:i/>
          <w:iCs/>
          <w:sz w:val="20"/>
          <w:szCs w:val="20"/>
        </w:rPr>
        <w:t>Revista do Instituto Historico</w:t>
      </w:r>
      <w:r w:rsidRPr="00771368">
        <w:rPr>
          <w:sz w:val="20"/>
          <w:szCs w:val="20"/>
        </w:rPr>
        <w:t xml:space="preserve"> </w:t>
      </w:r>
      <w:r w:rsidRPr="00771368">
        <w:rPr>
          <w:i/>
          <w:iCs/>
          <w:sz w:val="20"/>
          <w:szCs w:val="20"/>
        </w:rPr>
        <w:t xml:space="preserve">Geographico e Etnographico do Brasil </w:t>
      </w:r>
      <w:r w:rsidRPr="00771368">
        <w:rPr>
          <w:sz w:val="20"/>
          <w:szCs w:val="20"/>
        </w:rPr>
        <w:t>24 (1861), p. 536. O autor aponta que, segundo Saint Hilaire, os caiapós</w:t>
      </w:r>
      <w:r w:rsidRPr="00771368">
        <w:rPr>
          <w:i/>
          <w:iCs/>
          <w:sz w:val="20"/>
          <w:szCs w:val="20"/>
        </w:rPr>
        <w:t xml:space="preserve"> </w:t>
      </w:r>
      <w:r w:rsidRPr="00771368">
        <w:rPr>
          <w:sz w:val="20"/>
          <w:szCs w:val="20"/>
        </w:rPr>
        <w:t>passaram a se chamar assim para distinguir-se dos negros e dos brancos.</w:t>
      </w:r>
    </w:p>
    <w:p w:rsidR="00D24E61" w:rsidRPr="00771368" w:rsidRDefault="00D24E61">
      <w:pPr>
        <w:spacing w:line="23" w:lineRule="exact"/>
        <w:rPr>
          <w:sz w:val="20"/>
          <w:szCs w:val="20"/>
        </w:rPr>
      </w:pPr>
    </w:p>
    <w:p w:rsidR="00D24E61" w:rsidRPr="00771368" w:rsidRDefault="00D24E61">
      <w:pPr>
        <w:spacing w:line="210" w:lineRule="auto"/>
        <w:ind w:right="20"/>
        <w:jc w:val="both"/>
        <w:rPr>
          <w:sz w:val="20"/>
          <w:szCs w:val="20"/>
        </w:rPr>
      </w:pPr>
      <w:r w:rsidRPr="00771368">
        <w:rPr>
          <w:sz w:val="25"/>
          <w:szCs w:val="25"/>
          <w:vertAlign w:val="superscript"/>
        </w:rPr>
        <w:t>19</w:t>
      </w:r>
      <w:r w:rsidRPr="00771368">
        <w:rPr>
          <w:sz w:val="20"/>
          <w:szCs w:val="20"/>
        </w:rPr>
        <w:t xml:space="preserve">Instrução dada pelo secretário de Estado para o Ultramar, Martinho de Mello e Castro, em 1771; citada por José Martins Pereira de Alencastre, </w:t>
      </w:r>
      <w:r w:rsidRPr="00771368">
        <w:rPr>
          <w:i/>
          <w:iCs/>
          <w:sz w:val="20"/>
          <w:szCs w:val="20"/>
        </w:rPr>
        <w:t>op.cit.</w:t>
      </w:r>
      <w:r w:rsidRPr="00771368">
        <w:rPr>
          <w:sz w:val="20"/>
          <w:szCs w:val="20"/>
        </w:rPr>
        <w:t>, p. 258.</w:t>
      </w:r>
    </w:p>
    <w:p w:rsidR="00D24E61" w:rsidRPr="00771368" w:rsidRDefault="00D24E61">
      <w:pPr>
        <w:sectPr w:rsidR="00D24E61" w:rsidRPr="00771368">
          <w:pgSz w:w="11900" w:h="16838"/>
          <w:pgMar w:top="1440" w:right="1400" w:bottom="1149" w:left="1420" w:header="0" w:footer="0" w:gutter="0"/>
          <w:cols w:space="720" w:equalWidth="0">
            <w:col w:w="9080"/>
          </w:cols>
        </w:sectPr>
      </w:pPr>
    </w:p>
    <w:p w:rsidR="00D24E61" w:rsidRPr="00771368" w:rsidRDefault="00D24E61">
      <w:pPr>
        <w:spacing w:line="294" w:lineRule="auto"/>
        <w:jc w:val="both"/>
        <w:rPr>
          <w:sz w:val="20"/>
          <w:szCs w:val="20"/>
        </w:rPr>
      </w:pPr>
      <w:r w:rsidRPr="00771368">
        <w:rPr>
          <w:sz w:val="24"/>
          <w:szCs w:val="24"/>
        </w:rPr>
        <w:t>xacriabá</w:t>
      </w:r>
      <w:r w:rsidRPr="00771368">
        <w:rPr>
          <w:i/>
          <w:iCs/>
          <w:sz w:val="32"/>
          <w:szCs w:val="32"/>
          <w:vertAlign w:val="superscript"/>
        </w:rPr>
        <w:t>20</w:t>
      </w:r>
      <w:r w:rsidRPr="00771368">
        <w:rPr>
          <w:sz w:val="24"/>
          <w:szCs w:val="24"/>
        </w:rPr>
        <w:t>. A recorrência de mulheres atuando na importante função de intérprete parece se relacionar com o fato delas, juntamente com as crianças, constituírem a maioria dos cativos de guerra</w:t>
      </w:r>
      <w:r w:rsidRPr="00771368">
        <w:rPr>
          <w:i/>
          <w:iCs/>
          <w:sz w:val="32"/>
          <w:szCs w:val="32"/>
          <w:vertAlign w:val="superscript"/>
        </w:rPr>
        <w:t>21</w:t>
      </w:r>
      <w:r w:rsidRPr="00771368">
        <w:rPr>
          <w:sz w:val="24"/>
          <w:szCs w:val="24"/>
        </w:rPr>
        <w:t>.</w:t>
      </w:r>
    </w:p>
    <w:p w:rsidR="00D24E61" w:rsidRPr="00771368" w:rsidRDefault="00D24E61">
      <w:pPr>
        <w:spacing w:line="57" w:lineRule="exact"/>
        <w:rPr>
          <w:sz w:val="20"/>
          <w:szCs w:val="20"/>
        </w:rPr>
      </w:pPr>
    </w:p>
    <w:p w:rsidR="00D24E61" w:rsidRPr="00771368" w:rsidRDefault="00D24E61">
      <w:pPr>
        <w:spacing w:line="343" w:lineRule="auto"/>
        <w:ind w:firstLine="708"/>
        <w:jc w:val="both"/>
        <w:rPr>
          <w:sz w:val="20"/>
          <w:szCs w:val="20"/>
        </w:rPr>
      </w:pPr>
      <w:r w:rsidRPr="00771368">
        <w:rPr>
          <w:sz w:val="24"/>
          <w:szCs w:val="24"/>
        </w:rPr>
        <w:t>A adoção de políticas indigenistas pacíficas relacionava-se às medidas decretadas na década de 1750 pelo ministro Sebastião José de Carvalho e Melo, futuro marquês de Pombal. Entre essas medidas estava o bom tratamento a ser dispensado aos índios, visando torná-los súditos “civilizados” e “úteis”, que povoassem o território pertencente à Coroa. Vale lembrar que as políticas pombalinas referentes aos índios relacionam-se ao contexto de redefinição de fronteiras nos domínios ibéricos na América, após a assinatura do tratado de Madri (1750)</w:t>
      </w:r>
      <w:r w:rsidRPr="00771368">
        <w:rPr>
          <w:sz w:val="32"/>
          <w:szCs w:val="32"/>
          <w:vertAlign w:val="superscript"/>
        </w:rPr>
        <w:t>22</w:t>
      </w:r>
      <w:r w:rsidRPr="00771368">
        <w:rPr>
          <w:sz w:val="24"/>
          <w:szCs w:val="24"/>
        </w:rPr>
        <w:t>. O traçado das fronteiras considerava a ocupação efetiva do território como um elemento importante na definição da soberania. Logo, compreende-se a necessidade de ter os índios como vassalos. Em Goiás, a legislação pombalina ganhará força mais tarde, quando a paz com os índios se reveste do duplo significado: os novos vassalos não iriam mais promover ataques e ainda auxiliariam a prosperidade da capitania.</w:t>
      </w:r>
    </w:p>
    <w:p w:rsidR="00D24E61" w:rsidRPr="00771368" w:rsidRDefault="00D24E61">
      <w:pPr>
        <w:spacing w:line="86" w:lineRule="exact"/>
        <w:rPr>
          <w:sz w:val="20"/>
          <w:szCs w:val="20"/>
        </w:rPr>
      </w:pPr>
    </w:p>
    <w:p w:rsidR="00D24E61" w:rsidRPr="00771368" w:rsidRDefault="00D24E61">
      <w:pPr>
        <w:spacing w:line="339" w:lineRule="auto"/>
        <w:ind w:firstLine="708"/>
        <w:jc w:val="both"/>
        <w:rPr>
          <w:sz w:val="20"/>
          <w:szCs w:val="20"/>
        </w:rPr>
      </w:pPr>
      <w:r w:rsidRPr="00771368">
        <w:rPr>
          <w:sz w:val="24"/>
          <w:szCs w:val="24"/>
        </w:rPr>
        <w:t>As iniciativas de Luís da Cunha Menezes, governador de Goiás entre 1778 e 1783, para aldear os caiapós também se inserem nesse contexto da política de atração dos índios. Em 1780, ele enviou uma expedição ao sertão do rio Claro para fazer contato com os nativos, cujo resultado foi um acordo de paz, selado com o estabelecimento de mais de 600 deles no aldeamento Maria I e em São José de Mossâmedes, ambos próximos da capital de Goiás. Entre esses caiapós estava a pequena neta do cacique Angraí-oxá</w:t>
      </w:r>
      <w:r w:rsidRPr="00771368">
        <w:rPr>
          <w:sz w:val="32"/>
          <w:szCs w:val="32"/>
          <w:vertAlign w:val="superscript"/>
        </w:rPr>
        <w:t>23</w:t>
      </w:r>
      <w:r w:rsidRPr="00771368">
        <w:rPr>
          <w:sz w:val="24"/>
          <w:szCs w:val="24"/>
        </w:rPr>
        <w:t>. A menina, que recebeu o nome cristão de Damiana da Cunha, foi apadrinhada pelo próprio governador e criada na sua casa. Já vimos o que o governo português esperava desses índios, mas por que esse grupo de caiapós resolveu aceitar as propostas de paz?</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68992" behindDoc="0" locked="0" layoutInCell="0" allowOverlap="1">
                <wp:simplePos x="0" y="0"/>
                <wp:positionH relativeFrom="column">
                  <wp:posOffset>-635</wp:posOffset>
                </wp:positionH>
                <wp:positionV relativeFrom="paragraph">
                  <wp:posOffset>283210</wp:posOffset>
                </wp:positionV>
                <wp:extent cx="1828800" cy="0"/>
                <wp:effectExtent l="8890" t="6985" r="10160" b="12065"/>
                <wp:wrapNone/>
                <wp:docPr id="25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2.3pt" to="143.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Z7FQIAACw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" o:allowincell="f" strokeweight=".21164mm"/>
            </w:pict>
          </mc:Fallback>
        </mc:AlternateContent>
      </w:r>
    </w:p>
    <w:p w:rsidR="00D24E61" w:rsidRPr="00771368" w:rsidRDefault="00D24E61">
      <w:pPr>
        <w:spacing w:line="284" w:lineRule="exact"/>
        <w:rPr>
          <w:sz w:val="20"/>
          <w:szCs w:val="20"/>
        </w:rPr>
      </w:pPr>
    </w:p>
    <w:p w:rsidR="00D24E61" w:rsidRPr="00771368" w:rsidRDefault="00D24E61">
      <w:pPr>
        <w:spacing w:line="239" w:lineRule="auto"/>
        <w:rPr>
          <w:sz w:val="20"/>
          <w:szCs w:val="20"/>
        </w:rPr>
      </w:pPr>
      <w:r w:rsidRPr="00771368">
        <w:rPr>
          <w:sz w:val="25"/>
          <w:szCs w:val="25"/>
          <w:vertAlign w:val="superscript"/>
        </w:rPr>
        <w:t>20</w:t>
      </w:r>
      <w:r w:rsidRPr="00771368">
        <w:rPr>
          <w:sz w:val="20"/>
          <w:szCs w:val="20"/>
        </w:rPr>
        <w:t xml:space="preserve">ALENCASTRE, José Martins Pereira de. </w:t>
      </w:r>
      <w:r w:rsidRPr="00771368">
        <w:rPr>
          <w:i/>
          <w:iCs/>
          <w:sz w:val="20"/>
          <w:szCs w:val="20"/>
        </w:rPr>
        <w:t>Op.cit.,</w:t>
      </w:r>
      <w:r w:rsidRPr="00771368">
        <w:rPr>
          <w:sz w:val="20"/>
          <w:szCs w:val="20"/>
        </w:rPr>
        <w:t xml:space="preserve"> pp.65-97.</w:t>
      </w:r>
    </w:p>
    <w:p w:rsidR="00D24E61" w:rsidRPr="00771368" w:rsidRDefault="00D24E61">
      <w:pPr>
        <w:spacing w:line="218" w:lineRule="auto"/>
        <w:rPr>
          <w:sz w:val="20"/>
          <w:szCs w:val="20"/>
        </w:rPr>
      </w:pPr>
      <w:r w:rsidRPr="00771368">
        <w:rPr>
          <w:sz w:val="25"/>
          <w:szCs w:val="25"/>
          <w:vertAlign w:val="superscript"/>
        </w:rPr>
        <w:t>21</w:t>
      </w:r>
      <w:r w:rsidRPr="00771368">
        <w:rPr>
          <w:sz w:val="20"/>
          <w:szCs w:val="20"/>
        </w:rPr>
        <w:t>Há números para duas ocasiões: em 1751, dos 32 caiapós, apanhados por uma das expedições de Pires de</w:t>
      </w:r>
    </w:p>
    <w:p w:rsidR="00D24E61" w:rsidRPr="00771368" w:rsidRDefault="00D24E61">
      <w:pPr>
        <w:spacing w:line="30" w:lineRule="exact"/>
        <w:rPr>
          <w:sz w:val="20"/>
          <w:szCs w:val="20"/>
        </w:rPr>
      </w:pPr>
    </w:p>
    <w:p w:rsidR="00D24E61" w:rsidRPr="00771368" w:rsidRDefault="00D24E61">
      <w:pPr>
        <w:spacing w:line="233" w:lineRule="auto"/>
        <w:jc w:val="both"/>
        <w:rPr>
          <w:sz w:val="20"/>
          <w:szCs w:val="20"/>
        </w:rPr>
      </w:pPr>
      <w:r w:rsidRPr="00771368">
        <w:rPr>
          <w:sz w:val="20"/>
          <w:szCs w:val="20"/>
        </w:rPr>
        <w:t xml:space="preserve">Campos, “quaze todo esse numero” era de mulheres e crianças. Ver: “Consulta do Conselho Ultramarino ao rei D. José”. Lisboa, 27 de outubro de 1751. AHU_ACL_CU_008, Cx. 6, D. 492. Em 1757 foram aprisionadas 6 índias e 25 crianças pelo capitão-mor da conquista do gentio caiapó, João de Godói Pinto da Silveira. “Consulta do Conselho Ultramarino ao rei D. José sobre a carta do [governador e capitão general de Goiás] conde de São Miguel [D. Alvaro José Xavier Botelho de Tavora]”. Lisboa, 5 de fevereiro de 1757. AHU_ACL_CU_008, Cx.14, D.829. Cynthia Radding escreve que a guerra proporcionava mão de obra servil para a sociedade de fronteira de Santa Cruz (Bolívia). Assim, mulheres, adolescentes e crianças estavam no grupo principal dos cativos que trabalhavam nas casas, nos campos de cana e estâncias de gado. RADDING, Cynthia. "Introducción" &amp; "Mosaicos étnicos e identidades de género". In: </w:t>
      </w:r>
      <w:r w:rsidRPr="00771368">
        <w:rPr>
          <w:i/>
          <w:iCs/>
          <w:sz w:val="20"/>
          <w:szCs w:val="20"/>
        </w:rPr>
        <w:t>Paisajes de poder e identidad</w:t>
      </w:r>
      <w:r w:rsidRPr="00771368">
        <w:rPr>
          <w:sz w:val="20"/>
          <w:szCs w:val="20"/>
        </w:rPr>
        <w:t>. Sucre: Fundación Cultural del Banco Central de Bolivia, 2005. pp.11-42 e 177-234.</w:t>
      </w:r>
    </w:p>
    <w:p w:rsidR="00D24E61" w:rsidRPr="00771368" w:rsidRDefault="00D24E61">
      <w:pPr>
        <w:spacing w:line="190" w:lineRule="auto"/>
        <w:rPr>
          <w:sz w:val="20"/>
          <w:szCs w:val="20"/>
        </w:rPr>
      </w:pPr>
      <w:r w:rsidRPr="00771368">
        <w:rPr>
          <w:sz w:val="25"/>
          <w:szCs w:val="25"/>
          <w:vertAlign w:val="superscript"/>
        </w:rPr>
        <w:t>22</w:t>
      </w:r>
      <w:r w:rsidRPr="00771368">
        <w:rPr>
          <w:sz w:val="20"/>
          <w:szCs w:val="20"/>
        </w:rPr>
        <w:t xml:space="preserve">GARCIA, </w:t>
      </w:r>
      <w:r w:rsidRPr="00771368">
        <w:rPr>
          <w:i/>
          <w:iCs/>
          <w:sz w:val="20"/>
          <w:szCs w:val="20"/>
        </w:rPr>
        <w:t>op.cit.</w:t>
      </w:r>
    </w:p>
    <w:p w:rsidR="00D24E61" w:rsidRPr="00771368" w:rsidRDefault="00D24E61">
      <w:pPr>
        <w:spacing w:line="24" w:lineRule="exact"/>
        <w:rPr>
          <w:sz w:val="20"/>
          <w:szCs w:val="20"/>
        </w:rPr>
      </w:pPr>
    </w:p>
    <w:p w:rsidR="00D24E61" w:rsidRPr="00771368" w:rsidRDefault="00D24E61">
      <w:pPr>
        <w:spacing w:line="218" w:lineRule="auto"/>
        <w:ind w:right="20"/>
        <w:jc w:val="both"/>
        <w:rPr>
          <w:sz w:val="20"/>
          <w:szCs w:val="20"/>
        </w:rPr>
      </w:pPr>
      <w:r w:rsidRPr="00771368">
        <w:rPr>
          <w:sz w:val="32"/>
          <w:szCs w:val="32"/>
          <w:vertAlign w:val="superscript"/>
        </w:rPr>
        <w:t>23</w:t>
      </w:r>
      <w:r w:rsidRPr="00771368">
        <w:rPr>
          <w:sz w:val="20"/>
          <w:szCs w:val="20"/>
        </w:rPr>
        <w:t xml:space="preserve"> Ofício do [governador e capitão-general de Goiás], Luís da Cunha Meneses, ao [secretário de estado da Marinha e Ultramar], Martinho de Melo e Castro. Vila Boa, 20 de julho de 1781. AHU_ACL_CU_008, Cx.32, D. 2019; Carta do [governador e capitão-general de Goiás], Luís da Cunha Meneses, à rainha [D. Maria I]. Vila Boa, 10 de janeiro de 1783. AHU_ACL_CU_008, cx. 34, D. 2079.</w:t>
      </w:r>
    </w:p>
    <w:p w:rsidR="00D24E61" w:rsidRPr="00771368" w:rsidRDefault="00D24E61">
      <w:pPr>
        <w:sectPr w:rsidR="00D24E61" w:rsidRPr="00771368">
          <w:pgSz w:w="11900" w:h="16838"/>
          <w:pgMar w:top="1413" w:right="1400" w:bottom="115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3" w:lineRule="auto"/>
        <w:ind w:firstLine="708"/>
        <w:jc w:val="both"/>
        <w:rPr>
          <w:sz w:val="20"/>
          <w:szCs w:val="20"/>
        </w:rPr>
      </w:pPr>
      <w:r w:rsidRPr="00771368">
        <w:rPr>
          <w:sz w:val="24"/>
          <w:szCs w:val="24"/>
        </w:rPr>
        <w:t>Longe de ser apenas objeto das intenções dos colonos, os caiapós tinham os seus próprios objetivos e naquele momento aceitar as propostas de paz parecia uma boa saída para as dificuldades nas quais se encontravam. Regina Celestino assinalou que as petições escritas por indígenas, em negociação sobre os termos de colaboração com os portugueses, indicam algumas das suas expectativas quanto ao aldeamento: “solicitavam terras, o direito de não serem escravizados e de trabalharem para quem quisessem, cargos, aumentos de salários, ajudas de custo e destituição de autoridades não reconhecidas por eles”.</w:t>
      </w:r>
      <w:r w:rsidRPr="00771368">
        <w:rPr>
          <w:i/>
          <w:iCs/>
          <w:sz w:val="32"/>
          <w:szCs w:val="32"/>
          <w:vertAlign w:val="superscript"/>
        </w:rPr>
        <w:t>24</w:t>
      </w:r>
    </w:p>
    <w:p w:rsidR="00D24E61" w:rsidRPr="00771368" w:rsidRDefault="00D24E61">
      <w:pPr>
        <w:spacing w:line="4" w:lineRule="exact"/>
        <w:rPr>
          <w:sz w:val="20"/>
          <w:szCs w:val="20"/>
        </w:rPr>
      </w:pPr>
    </w:p>
    <w:p w:rsidR="00D24E61" w:rsidRPr="00771368" w:rsidRDefault="00D24E61">
      <w:pPr>
        <w:spacing w:line="345" w:lineRule="auto"/>
        <w:ind w:firstLine="708"/>
        <w:jc w:val="both"/>
        <w:rPr>
          <w:sz w:val="20"/>
          <w:szCs w:val="20"/>
        </w:rPr>
      </w:pPr>
      <w:r w:rsidRPr="00771368">
        <w:rPr>
          <w:sz w:val="24"/>
          <w:szCs w:val="24"/>
        </w:rPr>
        <w:t>Os caiapós foram conduzidos a um aldeamento construído para eles, onde teriam segurança e alimentação garantida, num momento em que seus territórios de caça estavam sendo ocupados por criadores de gado e os ataques à sociedade colonial tinham resultados cada vez mais incertos. Além disso, a região de Goiás passara por uma seca de quase três anos. Mary Karasch aponta mais um motivo, sugerindo que selar a paz com os agentes coloniais dava oportunidade a esses índios de aprenderem a manejar as armas dos forasteiros e, eventualmente, reiniciar os ataques</w:t>
      </w:r>
      <w:r w:rsidRPr="00771368">
        <w:rPr>
          <w:sz w:val="32"/>
          <w:szCs w:val="32"/>
          <w:vertAlign w:val="superscript"/>
        </w:rPr>
        <w:t>25</w:t>
      </w:r>
      <w:r w:rsidRPr="00771368">
        <w:rPr>
          <w:sz w:val="24"/>
          <w:szCs w:val="24"/>
        </w:rPr>
        <w:t>. Os aldeamentos materializavam a intenção do Estado de expandir suas fronteiras e aumentar a quantidade de súditos através da inserção dos indígenas. A proposta do espaço do aldeamento era ensinar aos índios um novo modo de viver, que os capacitasse a integrar a sociedade envolvente, contribuindo para expandi-la e mantê-la. Isso deveria ser feito através do ensino da religião católica e da educação para o trabalho.</w:t>
      </w:r>
    </w:p>
    <w:p w:rsidR="00D24E61" w:rsidRPr="00771368" w:rsidRDefault="00D24E61">
      <w:pPr>
        <w:spacing w:line="76" w:lineRule="exact"/>
        <w:rPr>
          <w:sz w:val="20"/>
          <w:szCs w:val="20"/>
        </w:rPr>
      </w:pPr>
    </w:p>
    <w:p w:rsidR="00D24E61" w:rsidRPr="00771368" w:rsidRDefault="00D24E61">
      <w:pPr>
        <w:spacing w:line="341" w:lineRule="auto"/>
        <w:ind w:firstLine="708"/>
        <w:jc w:val="both"/>
        <w:rPr>
          <w:sz w:val="20"/>
          <w:szCs w:val="20"/>
        </w:rPr>
      </w:pPr>
      <w:r w:rsidRPr="00771368">
        <w:rPr>
          <w:sz w:val="24"/>
          <w:szCs w:val="24"/>
        </w:rPr>
        <w:t>Incluídos no mundo colonial como súditos livres, sob a categoria “índios”, eles tinham obrigações e direitos. Sendo assim, podemos observar que os próprios indígenas se apropriaram da categoria, utilizando-a para requerer tais direitos. Segundo Jacques Poloni-Simard, sob tal estatuto jurídico subalterno, existem condições sociais diferentes, que não devem escapar aos estudiosos. Estes devem atentar para a existência de canais de mobilidade social, se quiserem ir além da intenção das políticas coloniais ao classificar os nativos como índios</w:t>
      </w:r>
      <w:r w:rsidRPr="00771368">
        <w:rPr>
          <w:sz w:val="32"/>
          <w:szCs w:val="32"/>
          <w:vertAlign w:val="superscript"/>
        </w:rPr>
        <w:t>26</w:t>
      </w:r>
      <w:r w:rsidRPr="00771368">
        <w:rPr>
          <w:sz w:val="24"/>
          <w:szCs w:val="24"/>
        </w:rPr>
        <w:t>. Entre as distinções estão as relativas ao gênero, ou seja, ao papel social atribuído a homens e mulheres indígenas pela sociedade colonial. Outra diferença que não pode ser desconsiderada é a que separava os chamados principais, que tinham poder de influência em seus povos, dos índios comuns. Assim, os caiapós ingressam numa sociedade que</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70016" behindDoc="0" locked="0" layoutInCell="0" allowOverlap="1">
                <wp:simplePos x="0" y="0"/>
                <wp:positionH relativeFrom="column">
                  <wp:posOffset>-635</wp:posOffset>
                </wp:positionH>
                <wp:positionV relativeFrom="paragraph">
                  <wp:posOffset>195580</wp:posOffset>
                </wp:positionV>
                <wp:extent cx="1828800" cy="0"/>
                <wp:effectExtent l="8890" t="5080" r="10160" b="13970"/>
                <wp:wrapNone/>
                <wp:docPr id="25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5.4pt" to="143.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" o:allowincell="f" strokeweight=".6pt"/>
            </w:pict>
          </mc:Fallback>
        </mc:AlternateContent>
      </w:r>
    </w:p>
    <w:p w:rsidR="00D24E61" w:rsidRPr="00771368" w:rsidRDefault="00D24E61">
      <w:pPr>
        <w:spacing w:line="223" w:lineRule="exact"/>
        <w:rPr>
          <w:sz w:val="20"/>
          <w:szCs w:val="20"/>
        </w:rPr>
      </w:pPr>
    </w:p>
    <w:p w:rsidR="00D24E61" w:rsidRPr="00771368" w:rsidRDefault="00D24E61">
      <w:pPr>
        <w:spacing w:line="204" w:lineRule="auto"/>
        <w:ind w:right="20"/>
        <w:jc w:val="both"/>
        <w:rPr>
          <w:sz w:val="20"/>
          <w:szCs w:val="20"/>
        </w:rPr>
      </w:pPr>
      <w:r w:rsidRPr="00771368">
        <w:rPr>
          <w:sz w:val="25"/>
          <w:szCs w:val="25"/>
          <w:vertAlign w:val="superscript"/>
        </w:rPr>
        <w:t>24</w:t>
      </w:r>
      <w:r w:rsidRPr="00771368">
        <w:rPr>
          <w:sz w:val="20"/>
          <w:szCs w:val="20"/>
        </w:rPr>
        <w:t xml:space="preserve">ALMEIDA, Maria Regina Celestino de. </w:t>
      </w:r>
      <w:r w:rsidRPr="00771368">
        <w:rPr>
          <w:i/>
          <w:iCs/>
          <w:sz w:val="20"/>
          <w:szCs w:val="20"/>
        </w:rPr>
        <w:t>Metamorfoses indígenas: Identidade e cultura nas aldeias coloniais</w:t>
      </w:r>
      <w:r w:rsidRPr="00771368">
        <w:rPr>
          <w:sz w:val="20"/>
          <w:szCs w:val="20"/>
        </w:rPr>
        <w:t xml:space="preserve"> </w:t>
      </w:r>
      <w:r w:rsidRPr="00771368">
        <w:rPr>
          <w:i/>
          <w:iCs/>
          <w:sz w:val="20"/>
          <w:szCs w:val="20"/>
        </w:rPr>
        <w:t xml:space="preserve">do Rio de Janeiro. </w:t>
      </w:r>
      <w:r w:rsidRPr="00771368">
        <w:rPr>
          <w:sz w:val="20"/>
          <w:szCs w:val="20"/>
        </w:rPr>
        <w:t>Rio de Janeiro: Arquivo Nacional, 2001, p. 101.</w:t>
      </w:r>
    </w:p>
    <w:p w:rsidR="00D24E61" w:rsidRPr="00771368" w:rsidRDefault="00D24E61">
      <w:pPr>
        <w:spacing w:line="220" w:lineRule="auto"/>
        <w:rPr>
          <w:sz w:val="20"/>
          <w:szCs w:val="20"/>
        </w:rPr>
      </w:pPr>
      <w:r w:rsidRPr="00771368">
        <w:rPr>
          <w:sz w:val="25"/>
          <w:szCs w:val="25"/>
          <w:vertAlign w:val="superscript"/>
        </w:rPr>
        <w:t>25</w:t>
      </w:r>
      <w:r w:rsidRPr="00771368">
        <w:rPr>
          <w:sz w:val="20"/>
          <w:szCs w:val="20"/>
        </w:rPr>
        <w:t>KARASCH, Mary. “Damiana da Cunha: catequista e sertanera (Goiás, siglos XVIII y XIX)”. In: SWEET,</w:t>
      </w:r>
    </w:p>
    <w:p w:rsidR="00D24E61" w:rsidRPr="00771368" w:rsidRDefault="00D24E61">
      <w:pPr>
        <w:spacing w:line="30" w:lineRule="exact"/>
        <w:rPr>
          <w:sz w:val="20"/>
          <w:szCs w:val="20"/>
        </w:rPr>
      </w:pPr>
    </w:p>
    <w:p w:rsidR="00D24E61" w:rsidRPr="00771368" w:rsidRDefault="00D24E61">
      <w:pPr>
        <w:spacing w:line="206" w:lineRule="auto"/>
        <w:ind w:right="20"/>
        <w:jc w:val="both"/>
        <w:rPr>
          <w:sz w:val="20"/>
          <w:szCs w:val="20"/>
        </w:rPr>
      </w:pPr>
      <w:r w:rsidRPr="00771368">
        <w:rPr>
          <w:sz w:val="20"/>
          <w:szCs w:val="20"/>
        </w:rPr>
        <w:t xml:space="preserve">David G.; NASH, Gary B. (orgs.). </w:t>
      </w:r>
      <w:r w:rsidRPr="00771368">
        <w:rPr>
          <w:i/>
          <w:iCs/>
          <w:sz w:val="20"/>
          <w:szCs w:val="20"/>
        </w:rPr>
        <w:t>Lucha por la supervivencia en la América colonial.</w:t>
      </w:r>
      <w:r w:rsidRPr="00771368">
        <w:rPr>
          <w:sz w:val="20"/>
          <w:szCs w:val="20"/>
        </w:rPr>
        <w:t xml:space="preserve"> México, D.F.: Fondo de Cultura Económica, 1987 (1981), pp. 85-97. Ver também: ALENCASTRE, José Martins Pereira de. </w:t>
      </w:r>
      <w:r w:rsidRPr="00771368">
        <w:rPr>
          <w:i/>
          <w:iCs/>
          <w:sz w:val="20"/>
          <w:szCs w:val="20"/>
        </w:rPr>
        <w:t>Op.cit.</w:t>
      </w:r>
    </w:p>
    <w:p w:rsidR="00D24E61" w:rsidRPr="00771368" w:rsidRDefault="00D24E61">
      <w:pPr>
        <w:spacing w:line="21" w:lineRule="exact"/>
        <w:rPr>
          <w:sz w:val="20"/>
          <w:szCs w:val="20"/>
        </w:rPr>
      </w:pPr>
    </w:p>
    <w:p w:rsidR="00D24E61" w:rsidRPr="00771368" w:rsidRDefault="00D24E61">
      <w:pPr>
        <w:spacing w:line="210" w:lineRule="auto"/>
        <w:ind w:right="20"/>
        <w:jc w:val="both"/>
        <w:rPr>
          <w:sz w:val="20"/>
          <w:szCs w:val="20"/>
        </w:rPr>
      </w:pPr>
      <w:r w:rsidRPr="00771368">
        <w:rPr>
          <w:sz w:val="25"/>
          <w:szCs w:val="25"/>
          <w:vertAlign w:val="superscript"/>
        </w:rPr>
        <w:t>26</w:t>
      </w:r>
      <w:r w:rsidRPr="00771368">
        <w:rPr>
          <w:sz w:val="20"/>
          <w:szCs w:val="20"/>
        </w:rPr>
        <w:t xml:space="preserve">POLONI-SIMARD, Jacques. “Historia de los indios en los Andes, los indígenas en la historiografía andina: análisis y propuestas”. </w:t>
      </w:r>
      <w:r w:rsidRPr="00771368">
        <w:rPr>
          <w:i/>
          <w:iCs/>
          <w:sz w:val="20"/>
          <w:szCs w:val="20"/>
        </w:rPr>
        <w:t>Op.cit.</w:t>
      </w:r>
    </w:p>
    <w:p w:rsidR="00D24E61" w:rsidRPr="00771368" w:rsidRDefault="00D24E61">
      <w:pPr>
        <w:sectPr w:rsidR="00D24E61" w:rsidRPr="00771368">
          <w:pgSz w:w="11900" w:h="16838"/>
          <w:pgMar w:top="1440" w:right="1400" w:bottom="1149"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08" w:lineRule="auto"/>
        <w:ind w:right="20"/>
        <w:jc w:val="both"/>
        <w:rPr>
          <w:sz w:val="20"/>
          <w:szCs w:val="20"/>
        </w:rPr>
      </w:pPr>
      <w:r w:rsidRPr="00771368">
        <w:rPr>
          <w:sz w:val="24"/>
          <w:szCs w:val="24"/>
        </w:rPr>
        <w:t>possibilitava oportunidades variáveis de acordo com o gênero e com outros fatores, como a proximidade em relação aos chefes principais do grupo.</w:t>
      </w:r>
    </w:p>
    <w:p w:rsidR="00D24E61" w:rsidRPr="00771368" w:rsidRDefault="00D24E61">
      <w:pPr>
        <w:spacing w:line="120"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 realidade do aldeamento nem sempre era a esperada. Ao se perceberem submetidos a um regime de trabalho monótono na agricultura, vigiados por militares e explorados pelos administradores da aldeia, muitos indígenas fugiam. Mas, para outros, principalmente os que haviam sido criados desde pequenos na aldeia, a vida “selvagem” já não parecia atrativa. Era o caso de Damiana.</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ind w:left="700"/>
        <w:rPr>
          <w:sz w:val="20"/>
          <w:szCs w:val="20"/>
        </w:rPr>
      </w:pPr>
      <w:r w:rsidRPr="00771368">
        <w:rPr>
          <w:b/>
          <w:bCs/>
          <w:sz w:val="24"/>
          <w:szCs w:val="24"/>
        </w:rPr>
        <w:t>Entre caiapós e brancos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40" w:lineRule="auto"/>
        <w:ind w:firstLine="708"/>
        <w:jc w:val="both"/>
        <w:rPr>
          <w:sz w:val="20"/>
          <w:szCs w:val="20"/>
        </w:rPr>
      </w:pPr>
      <w:r w:rsidRPr="00771368">
        <w:rPr>
          <w:sz w:val="24"/>
          <w:szCs w:val="24"/>
        </w:rPr>
        <w:t>Neta do cacique e afilhada do governador, Damiana da Cunha usufruía de uma boa posição tanto na sociedade colonial quanto no seu povo. Durante o tempo que passou na casa do governador, recebeu uma educação que lhe permitiu criar laços com a sociedade envolvente. Casou-se sucessivamente com dois militares. Seu primeiro marido, de acordo com a tradição local, era um soldado português do regimento de dragões de Goiás. Após a sua morte, casou-se com o cabo de milícia Manuel Pereira da Cruz</w:t>
      </w:r>
      <w:r w:rsidRPr="00771368">
        <w:rPr>
          <w:sz w:val="32"/>
          <w:szCs w:val="32"/>
          <w:vertAlign w:val="superscript"/>
        </w:rPr>
        <w:t>27</w:t>
      </w:r>
      <w:r w:rsidRPr="00771368">
        <w:rPr>
          <w:sz w:val="24"/>
          <w:szCs w:val="24"/>
        </w:rPr>
        <w:t>.</w:t>
      </w:r>
    </w:p>
    <w:p w:rsidR="00D24E61" w:rsidRPr="00771368" w:rsidRDefault="00D24E61">
      <w:pPr>
        <w:spacing w:line="8" w:lineRule="exact"/>
        <w:rPr>
          <w:sz w:val="20"/>
          <w:szCs w:val="20"/>
        </w:rPr>
      </w:pPr>
    </w:p>
    <w:p w:rsidR="00D24E61" w:rsidRPr="00771368" w:rsidRDefault="00D24E61">
      <w:pPr>
        <w:spacing w:line="337" w:lineRule="auto"/>
        <w:ind w:firstLine="708"/>
        <w:jc w:val="both"/>
        <w:rPr>
          <w:sz w:val="20"/>
          <w:szCs w:val="20"/>
        </w:rPr>
      </w:pPr>
      <w:r w:rsidRPr="00771368">
        <w:rPr>
          <w:sz w:val="24"/>
          <w:szCs w:val="24"/>
        </w:rPr>
        <w:t>Naquela época, os casamentos entre índias e brancos, chamados de mistos, eram incentivados a fim de apressar a integração dos nativos aos costumes de origem portuguesa. Em 1755, a lei dos casamentos mistos já havia decretado que não caberia nenhum estigma aos brancos que casassem com índias, assim como os filhos dessas uniões não deviam ser discriminados. Outro incentivo era que esses homens “deveriam ter preferência no acesso a terras e profissões de acordo com sua 'graduação'”</w:t>
      </w:r>
      <w:r w:rsidRPr="00771368">
        <w:rPr>
          <w:sz w:val="32"/>
          <w:szCs w:val="32"/>
          <w:vertAlign w:val="superscript"/>
        </w:rPr>
        <w:t>28</w:t>
      </w:r>
      <w:r w:rsidRPr="00771368">
        <w:rPr>
          <w:sz w:val="24"/>
          <w:szCs w:val="24"/>
        </w:rPr>
        <w:t>. Tais diretrizes foram posteriormente sistematizadas no Diretório dos Índios, promulgado em 1757 pelo governador do Estado do Maranhão e Grão-Pará, Francisco Xavier de Mendonça Furtado, irmão do futuro marquês de Pombal. O Diretório ia ao encontro das aspirações do governo português de tornar os índios súditos iguais aos demais, atraindo-os, através da negociação e do “bom tratamento”, para o modo de vida colonial. No ano seguinte à sua promulgação, o Diretório foi estendido para toda a América portuguesa</w:t>
      </w:r>
      <w:r w:rsidRPr="00771368">
        <w:rPr>
          <w:sz w:val="32"/>
          <w:szCs w:val="32"/>
          <w:vertAlign w:val="superscript"/>
        </w:rPr>
        <w:t>29</w:t>
      </w:r>
      <w:r w:rsidRPr="00771368">
        <w:rPr>
          <w:sz w:val="24"/>
          <w:szCs w:val="24"/>
        </w:rPr>
        <w:t>.</w:t>
      </w:r>
    </w:p>
    <w:p w:rsidR="00D24E61" w:rsidRPr="00771368" w:rsidRDefault="00D24E61">
      <w:pPr>
        <w:spacing w:line="230" w:lineRule="auto"/>
        <w:ind w:left="700"/>
        <w:rPr>
          <w:sz w:val="20"/>
          <w:szCs w:val="20"/>
        </w:rPr>
      </w:pPr>
      <w:r w:rsidRPr="00771368">
        <w:rPr>
          <w:sz w:val="24"/>
          <w:szCs w:val="24"/>
        </w:rPr>
        <w:t>Segundo Joaquim Norberto de Sousa e Silva, Damiana cresceu “à sombra da cruz”</w:t>
      </w:r>
      <w:r w:rsidRPr="00771368">
        <w:rPr>
          <w:sz w:val="32"/>
          <w:szCs w:val="32"/>
          <w:vertAlign w:val="superscript"/>
        </w:rPr>
        <w:t>30</w:t>
      </w:r>
      <w:r w:rsidRPr="00771368">
        <w:rPr>
          <w:sz w:val="24"/>
          <w:szCs w:val="24"/>
        </w:rPr>
        <w:t>,</w:t>
      </w:r>
    </w:p>
    <w:p w:rsidR="00D24E61" w:rsidRPr="00771368" w:rsidRDefault="00013211">
      <w:pPr>
        <w:spacing w:line="378" w:lineRule="exact"/>
        <w:rPr>
          <w:sz w:val="20"/>
          <w:szCs w:val="20"/>
        </w:rPr>
      </w:pPr>
      <w:r>
        <w:rPr>
          <w:noProof/>
          <w:sz w:val="20"/>
          <w:szCs w:val="20"/>
        </w:rPr>
        <mc:AlternateContent>
          <mc:Choice Requires="wps">
            <w:drawing>
              <wp:anchor distT="0" distB="0" distL="0" distR="0" simplePos="0" relativeHeight="251671040" behindDoc="0" locked="0" layoutInCell="0" allowOverlap="1">
                <wp:simplePos x="0" y="0"/>
                <wp:positionH relativeFrom="column">
                  <wp:posOffset>-635</wp:posOffset>
                </wp:positionH>
                <wp:positionV relativeFrom="paragraph">
                  <wp:posOffset>215265</wp:posOffset>
                </wp:positionV>
                <wp:extent cx="1828800" cy="0"/>
                <wp:effectExtent l="8890" t="5715" r="10160" b="13335"/>
                <wp:wrapNone/>
                <wp:docPr id="25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6.95pt" to="143.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" o:allowincell="f" strokeweight=".6pt"/>
            </w:pict>
          </mc:Fallback>
        </mc:AlternateContent>
      </w:r>
    </w:p>
    <w:p w:rsidR="00D24E61" w:rsidRPr="00771368" w:rsidRDefault="00D24E61">
      <w:pPr>
        <w:rPr>
          <w:sz w:val="20"/>
          <w:szCs w:val="20"/>
        </w:rPr>
      </w:pPr>
      <w:r w:rsidRPr="00771368">
        <w:rPr>
          <w:sz w:val="25"/>
          <w:szCs w:val="25"/>
          <w:vertAlign w:val="superscript"/>
        </w:rPr>
        <w:t>27</w:t>
      </w:r>
      <w:r w:rsidRPr="00771368">
        <w:rPr>
          <w:sz w:val="20"/>
          <w:szCs w:val="20"/>
        </w:rPr>
        <w:t xml:space="preserve">KARASCH, Mary, </w:t>
      </w:r>
      <w:r w:rsidRPr="00771368">
        <w:rPr>
          <w:i/>
          <w:iCs/>
          <w:sz w:val="20"/>
          <w:szCs w:val="20"/>
        </w:rPr>
        <w:t>op.cit</w:t>
      </w:r>
      <w:r w:rsidRPr="00771368">
        <w:rPr>
          <w:sz w:val="20"/>
          <w:szCs w:val="20"/>
        </w:rPr>
        <w:t>.</w:t>
      </w:r>
    </w:p>
    <w:p w:rsidR="00D24E61" w:rsidRPr="00771368" w:rsidRDefault="00D24E61">
      <w:pPr>
        <w:spacing w:line="20" w:lineRule="exact"/>
        <w:rPr>
          <w:sz w:val="20"/>
          <w:szCs w:val="20"/>
        </w:rPr>
      </w:pPr>
    </w:p>
    <w:p w:rsidR="00D24E61" w:rsidRPr="00771368" w:rsidRDefault="00295FC8">
      <w:pPr>
        <w:spacing w:line="220" w:lineRule="auto"/>
        <w:jc w:val="both"/>
        <w:rPr>
          <w:sz w:val="20"/>
          <w:szCs w:val="20"/>
        </w:rPr>
      </w:pPr>
      <w:hyperlink r:id="rId225">
        <w:r w:rsidR="00D24E61" w:rsidRPr="00771368">
          <w:rPr>
            <w:sz w:val="25"/>
            <w:szCs w:val="25"/>
            <w:vertAlign w:val="superscript"/>
          </w:rPr>
          <w:t>28</w:t>
        </w:r>
        <w:r w:rsidR="00D24E61" w:rsidRPr="00771368">
          <w:rPr>
            <w:sz w:val="20"/>
            <w:szCs w:val="20"/>
          </w:rPr>
          <w:t>SOMMER, Barbara A.“Adquirindo e defendendo os privilégios concedidos pela coroa no norte do Brasil”.In:</w:t>
        </w:r>
      </w:hyperlink>
      <w:r w:rsidR="00D24E61" w:rsidRPr="00771368">
        <w:rPr>
          <w:sz w:val="20"/>
          <w:szCs w:val="20"/>
        </w:rPr>
        <w:t xml:space="preserve"> </w:t>
      </w:r>
      <w:hyperlink r:id="rId226">
        <w:r w:rsidR="00D24E61" w:rsidRPr="00771368">
          <w:rPr>
            <w:sz w:val="20"/>
            <w:szCs w:val="20"/>
          </w:rPr>
          <w:t>MONTEIRO, Rodrigo Bentes; FEITLER, Bruno et al (orgs.). Raízes do privilégio: mobilidade social no mundo</w:t>
        </w:r>
      </w:hyperlink>
      <w:r w:rsidR="00D24E61" w:rsidRPr="00771368">
        <w:rPr>
          <w:sz w:val="20"/>
          <w:szCs w:val="20"/>
        </w:rPr>
        <w:t xml:space="preserve"> </w:t>
      </w:r>
      <w:hyperlink r:id="rId227">
        <w:r w:rsidR="00D24E61" w:rsidRPr="00771368">
          <w:rPr>
            <w:sz w:val="20"/>
            <w:szCs w:val="20"/>
          </w:rPr>
          <w:t xml:space="preserve">ibérico do Antigo Regime. Rio de Janeiro: Civilização Brasileira, 2011, p.630. </w:t>
        </w:r>
      </w:hyperlink>
      <w:r w:rsidR="00D24E61" w:rsidRPr="00771368">
        <w:rPr>
          <w:sz w:val="20"/>
          <w:szCs w:val="20"/>
        </w:rPr>
        <w:t xml:space="preserve">Sobre os casamentos mistos ver </w:t>
      </w:r>
      <w:hyperlink r:id="rId228">
        <w:r w:rsidR="00D24E61" w:rsidRPr="00771368">
          <w:rPr>
            <w:sz w:val="20"/>
            <w:szCs w:val="20"/>
          </w:rPr>
          <w:t xml:space="preserve">também: GARCIA, </w:t>
        </w:r>
        <w:r w:rsidR="00D24E61" w:rsidRPr="00771368">
          <w:rPr>
            <w:i/>
            <w:iCs/>
            <w:sz w:val="20"/>
            <w:szCs w:val="20"/>
          </w:rPr>
          <w:t>Op.cit.,</w:t>
        </w:r>
        <w:r w:rsidR="00D24E61" w:rsidRPr="00771368">
          <w:rPr>
            <w:sz w:val="20"/>
            <w:szCs w:val="20"/>
          </w:rPr>
          <w:t xml:space="preserve"> capítulo II.</w:t>
        </w:r>
      </w:hyperlink>
    </w:p>
    <w:p w:rsidR="00D24E61" w:rsidRPr="00771368" w:rsidRDefault="00D24E61">
      <w:pPr>
        <w:spacing w:line="195" w:lineRule="auto"/>
        <w:rPr>
          <w:sz w:val="20"/>
          <w:szCs w:val="20"/>
        </w:rPr>
      </w:pPr>
      <w:r w:rsidRPr="00771368">
        <w:rPr>
          <w:sz w:val="25"/>
          <w:szCs w:val="25"/>
          <w:vertAlign w:val="superscript"/>
        </w:rPr>
        <w:t>29</w:t>
      </w:r>
      <w:r w:rsidRPr="00771368">
        <w:rPr>
          <w:sz w:val="20"/>
          <w:szCs w:val="20"/>
        </w:rPr>
        <w:t xml:space="preserve">HEMMING, John. </w:t>
      </w:r>
      <w:r w:rsidRPr="00771368">
        <w:rPr>
          <w:i/>
          <w:iCs/>
          <w:sz w:val="20"/>
          <w:szCs w:val="20"/>
        </w:rPr>
        <w:t>Fronteira Amazônica: A derrota dos índios brasileiros</w:t>
      </w:r>
      <w:r w:rsidRPr="00771368">
        <w:rPr>
          <w:sz w:val="20"/>
          <w:szCs w:val="20"/>
        </w:rPr>
        <w:t>. São Paulo: EdUSP, 2009 (1978).</w:t>
      </w:r>
    </w:p>
    <w:p w:rsidR="00D24E61" w:rsidRPr="00771368" w:rsidRDefault="00D24E61">
      <w:pPr>
        <w:spacing w:line="14" w:lineRule="exact"/>
        <w:rPr>
          <w:sz w:val="20"/>
          <w:szCs w:val="20"/>
        </w:rPr>
      </w:pPr>
    </w:p>
    <w:p w:rsidR="00D24E61" w:rsidRPr="00771368" w:rsidRDefault="00D24E61">
      <w:pPr>
        <w:rPr>
          <w:sz w:val="20"/>
          <w:szCs w:val="20"/>
        </w:rPr>
      </w:pPr>
      <w:r w:rsidRPr="00771368">
        <w:rPr>
          <w:sz w:val="25"/>
          <w:szCs w:val="25"/>
          <w:vertAlign w:val="superscript"/>
        </w:rPr>
        <w:t>30</w:t>
      </w:r>
      <w:r w:rsidRPr="00771368">
        <w:rPr>
          <w:sz w:val="20"/>
          <w:szCs w:val="20"/>
        </w:rPr>
        <w:t xml:space="preserve">SOUSA E SILVA, J. Norberto de. </w:t>
      </w:r>
      <w:r w:rsidRPr="00771368">
        <w:rPr>
          <w:i/>
          <w:iCs/>
          <w:sz w:val="20"/>
          <w:szCs w:val="20"/>
        </w:rPr>
        <w:t>Op.cit.</w:t>
      </w:r>
      <w:r w:rsidRPr="00771368">
        <w:rPr>
          <w:sz w:val="20"/>
          <w:szCs w:val="20"/>
        </w:rPr>
        <w:t>, p.528.</w:t>
      </w:r>
    </w:p>
    <w:p w:rsidR="00D24E61" w:rsidRPr="00771368" w:rsidRDefault="00D24E61">
      <w:pPr>
        <w:sectPr w:rsidR="00D24E61" w:rsidRPr="00771368">
          <w:pgSz w:w="11900" w:h="16838"/>
          <w:pgMar w:top="1440" w:right="1400" w:bottom="109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4" w:lineRule="auto"/>
        <w:jc w:val="both"/>
        <w:rPr>
          <w:sz w:val="20"/>
          <w:szCs w:val="20"/>
        </w:rPr>
      </w:pPr>
      <w:r w:rsidRPr="00771368">
        <w:rPr>
          <w:sz w:val="24"/>
          <w:szCs w:val="24"/>
        </w:rPr>
        <w:t>expressão que revela algo sobre seus vínculos com o mundo dos brancos. Vínculos não apenas religiosos, mas culturais, sociais e políticos. Visitada por Auguste de Saint-Hilaire e Johann Emanuel Pohl no início do século XIX, impressionou os viajantes por sua inteligência, conhecimento do idioma português e piedade cristã</w:t>
      </w:r>
      <w:r w:rsidRPr="00771368">
        <w:rPr>
          <w:sz w:val="32"/>
          <w:szCs w:val="32"/>
          <w:vertAlign w:val="superscript"/>
        </w:rPr>
        <w:t>31</w:t>
      </w:r>
      <w:r w:rsidRPr="00771368">
        <w:rPr>
          <w:sz w:val="24"/>
          <w:szCs w:val="24"/>
        </w:rPr>
        <w:t>. Raymundo José da Cunha Mattos, por sua vez, escreveu na época que a “índia Dona Damiana”, quando necessário, “põe-se nua, pinta-se e sai ao campo, e conduz os índios como lhe parece”</w:t>
      </w:r>
      <w:r w:rsidRPr="00771368">
        <w:rPr>
          <w:sz w:val="24"/>
          <w:szCs w:val="24"/>
          <w:vertAlign w:val="superscript"/>
        </w:rPr>
        <w:t>32</w:t>
      </w:r>
      <w:r w:rsidRPr="00771368">
        <w:rPr>
          <w:sz w:val="24"/>
          <w:szCs w:val="24"/>
        </w:rPr>
        <w:t>. Ou seja, a figura de Damiana suscitava diferentes impressões nos observadores. Ao mesmo tempo em que mostrava conhecimento da religião católica e de outros códigos da sociedade colonial, podia ser descrita em outras situações com um comportamento mais próximo dos caiapós. Será que ao dominar o idioma português e passar ensinamentos católicos para seu povo, ela deixava de ser indígena? Ao contrário, pelo que as fontes indicam, era justamente a sua posição privilegiada que lhe permitia negociar uma situação melhor para o seu povo.</w:t>
      </w:r>
    </w:p>
    <w:p w:rsidR="00D24E61" w:rsidRPr="00771368" w:rsidRDefault="00D24E61">
      <w:pPr>
        <w:spacing w:line="90" w:lineRule="exact"/>
        <w:rPr>
          <w:sz w:val="20"/>
          <w:szCs w:val="20"/>
        </w:rPr>
      </w:pPr>
    </w:p>
    <w:p w:rsidR="00D24E61" w:rsidRPr="00771368" w:rsidRDefault="00D24E61">
      <w:pPr>
        <w:spacing w:line="358" w:lineRule="auto"/>
        <w:ind w:right="20" w:firstLine="708"/>
        <w:jc w:val="both"/>
        <w:rPr>
          <w:sz w:val="20"/>
          <w:szCs w:val="20"/>
        </w:rPr>
      </w:pPr>
      <w:r w:rsidRPr="00771368">
        <w:rPr>
          <w:sz w:val="24"/>
          <w:szCs w:val="24"/>
        </w:rPr>
        <w:t>A posição de Damiana permitiu-lhe exercer um papel diferente do esperado do gênero feminino, associado, na sociedade colonial, às atividades domésticas, ao domínio privado e à subordinação social. Foi assim que, no início do século XIX, Damiana encabeçou diversas expedições de descimento, passando a exercer uma liderança política no âmbito público, reconhecida enquanto tal por vários agentes coloniais. Essas expedições tinham o objetivo de ir para fora da fronteira colonial, para o chamado sertão, a fim de trazer de lá índios que tivessem fugido dos aldeamentos ou atrair os que não haviam sido ainda contatados</w:t>
      </w:r>
      <w:r w:rsidRPr="00771368">
        <w:rPr>
          <w:sz w:val="24"/>
          <w:szCs w:val="24"/>
          <w:vertAlign w:val="superscript"/>
        </w:rPr>
        <w:t>33</w:t>
      </w:r>
      <w:r w:rsidRPr="00771368">
        <w:rPr>
          <w:sz w:val="24"/>
          <w:szCs w:val="24"/>
        </w:rPr>
        <w:t>.</w:t>
      </w:r>
    </w:p>
    <w:p w:rsidR="00D24E61" w:rsidRPr="00771368" w:rsidRDefault="00D24E61">
      <w:pPr>
        <w:spacing w:line="16" w:lineRule="exact"/>
        <w:rPr>
          <w:sz w:val="20"/>
          <w:szCs w:val="20"/>
        </w:rPr>
      </w:pPr>
    </w:p>
    <w:p w:rsidR="00D24E61" w:rsidRPr="00771368" w:rsidRDefault="00D24E61">
      <w:pPr>
        <w:spacing w:line="320" w:lineRule="auto"/>
        <w:ind w:firstLine="708"/>
        <w:jc w:val="both"/>
        <w:rPr>
          <w:sz w:val="20"/>
          <w:szCs w:val="20"/>
        </w:rPr>
      </w:pPr>
      <w:r w:rsidRPr="00771368">
        <w:rPr>
          <w:sz w:val="24"/>
          <w:szCs w:val="24"/>
        </w:rPr>
        <w:t>A situação de fronteira contribuía para o estabelecimento de relações de gênero peculiares, diferentes da expectativa da sociedade colonial– e, mais tarde, imperial –, que reservava às mulheres as atividades relacionadas ao lar</w:t>
      </w:r>
      <w:r w:rsidRPr="00771368">
        <w:rPr>
          <w:sz w:val="32"/>
          <w:szCs w:val="32"/>
          <w:vertAlign w:val="superscript"/>
        </w:rPr>
        <w:t>34</w:t>
      </w:r>
      <w:r w:rsidRPr="00771368">
        <w:rPr>
          <w:sz w:val="24"/>
          <w:szCs w:val="24"/>
        </w:rPr>
        <w:t>. Apesar dessa expectativa, houve mulheres que exerceram funções políticas importantes, como a de intérpretes, exercidas no espaço público e muito valorizadas em situações de contato, como já mencionado acima.</w:t>
      </w:r>
    </w:p>
    <w:p w:rsidR="00D24E61" w:rsidRPr="00771368" w:rsidRDefault="00D24E61">
      <w:pPr>
        <w:spacing w:line="107" w:lineRule="exact"/>
        <w:rPr>
          <w:sz w:val="20"/>
          <w:szCs w:val="20"/>
        </w:rPr>
      </w:pPr>
    </w:p>
    <w:p w:rsidR="00D24E61" w:rsidRPr="00771368" w:rsidRDefault="00D24E61">
      <w:pPr>
        <w:spacing w:line="310" w:lineRule="auto"/>
        <w:ind w:right="20" w:firstLine="708"/>
        <w:jc w:val="both"/>
        <w:rPr>
          <w:sz w:val="20"/>
          <w:szCs w:val="20"/>
        </w:rPr>
      </w:pPr>
      <w:r w:rsidRPr="00771368">
        <w:rPr>
          <w:sz w:val="24"/>
          <w:szCs w:val="24"/>
        </w:rPr>
        <w:t>A situação em questão se refere a uma fronteira interna; à ocupação tardia de uma área no interior da América portuguesa. Hal Langfur encontrou uma situação semelhante ao</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72064" behindDoc="0" locked="0" layoutInCell="0" allowOverlap="1">
                <wp:simplePos x="0" y="0"/>
                <wp:positionH relativeFrom="column">
                  <wp:posOffset>-635</wp:posOffset>
                </wp:positionH>
                <wp:positionV relativeFrom="paragraph">
                  <wp:posOffset>271780</wp:posOffset>
                </wp:positionV>
                <wp:extent cx="1828800" cy="0"/>
                <wp:effectExtent l="8890" t="5080" r="10160" b="13970"/>
                <wp:wrapNone/>
                <wp:docPr id="25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1.4pt" to="143.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k2FwIAACwEAAAOAAAAZHJzL2Uyb0RvYy54bWysU8uO2yAU3VfqPyD2ie3Uk3G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" o:allowincell="f" strokeweight=".21164mm"/>
            </w:pict>
          </mc:Fallback>
        </mc:AlternateContent>
      </w:r>
    </w:p>
    <w:p w:rsidR="00D24E61" w:rsidRPr="00771368" w:rsidRDefault="00D24E61">
      <w:pPr>
        <w:spacing w:line="343" w:lineRule="exact"/>
        <w:rPr>
          <w:sz w:val="20"/>
          <w:szCs w:val="20"/>
        </w:rPr>
      </w:pPr>
    </w:p>
    <w:p w:rsidR="00D24E61" w:rsidRPr="00771368" w:rsidRDefault="00D24E61">
      <w:pPr>
        <w:spacing w:line="215" w:lineRule="auto"/>
        <w:jc w:val="both"/>
        <w:rPr>
          <w:sz w:val="20"/>
          <w:szCs w:val="20"/>
        </w:rPr>
      </w:pPr>
      <w:r w:rsidRPr="00771368">
        <w:rPr>
          <w:sz w:val="25"/>
          <w:szCs w:val="25"/>
          <w:vertAlign w:val="superscript"/>
        </w:rPr>
        <w:t>31</w:t>
      </w:r>
      <w:r w:rsidRPr="00771368">
        <w:rPr>
          <w:sz w:val="20"/>
          <w:szCs w:val="20"/>
        </w:rPr>
        <w:t xml:space="preserve">SAINT-HILAIRE, Auguste de. </w:t>
      </w:r>
      <w:r w:rsidRPr="00771368">
        <w:rPr>
          <w:i/>
          <w:iCs/>
          <w:sz w:val="20"/>
          <w:szCs w:val="20"/>
        </w:rPr>
        <w:t>Viagem à Província de Goiás.</w:t>
      </w:r>
      <w:r w:rsidRPr="00771368">
        <w:rPr>
          <w:sz w:val="20"/>
          <w:szCs w:val="20"/>
        </w:rPr>
        <w:t xml:space="preserve"> Trad. Regina Regis Junqueira. Belo Horizonte: Itatiaia, 1975; POHL, João Emanuel. </w:t>
      </w:r>
      <w:r w:rsidRPr="00771368">
        <w:rPr>
          <w:i/>
          <w:iCs/>
          <w:sz w:val="20"/>
          <w:szCs w:val="20"/>
        </w:rPr>
        <w:t>Viagem no Interior do Brasil Empreendida nos Anos de 1817 a 1821.</w:t>
      </w:r>
      <w:r w:rsidRPr="00771368">
        <w:rPr>
          <w:sz w:val="20"/>
          <w:szCs w:val="20"/>
        </w:rPr>
        <w:t xml:space="preserve"> 2 vols. Rio de Janeiro: Ministério da Educação e do Desporto, 1951.</w:t>
      </w:r>
    </w:p>
    <w:p w:rsidR="00D24E61" w:rsidRPr="00771368" w:rsidRDefault="00D24E61">
      <w:pPr>
        <w:spacing w:line="191" w:lineRule="auto"/>
        <w:rPr>
          <w:sz w:val="20"/>
          <w:szCs w:val="20"/>
        </w:rPr>
      </w:pPr>
      <w:r w:rsidRPr="00771368">
        <w:rPr>
          <w:sz w:val="25"/>
          <w:szCs w:val="25"/>
          <w:vertAlign w:val="superscript"/>
        </w:rPr>
        <w:t>32</w:t>
      </w:r>
      <w:r w:rsidRPr="00771368">
        <w:rPr>
          <w:sz w:val="20"/>
          <w:szCs w:val="20"/>
        </w:rPr>
        <w:t xml:space="preserve">MATTOS, Raymundo José da Cunha. </w:t>
      </w:r>
      <w:r w:rsidRPr="00771368">
        <w:rPr>
          <w:i/>
          <w:iCs/>
          <w:sz w:val="20"/>
          <w:szCs w:val="20"/>
        </w:rPr>
        <w:t>Op.cit.</w:t>
      </w:r>
      <w:r w:rsidRPr="00771368">
        <w:rPr>
          <w:sz w:val="20"/>
          <w:szCs w:val="20"/>
        </w:rPr>
        <w:t>, p.305.</w:t>
      </w:r>
    </w:p>
    <w:p w:rsidR="00D24E61" w:rsidRPr="00771368" w:rsidRDefault="00D24E61">
      <w:pPr>
        <w:spacing w:line="21" w:lineRule="exact"/>
        <w:rPr>
          <w:sz w:val="20"/>
          <w:szCs w:val="20"/>
        </w:rPr>
      </w:pPr>
    </w:p>
    <w:p w:rsidR="00D24E61" w:rsidRPr="00771368" w:rsidRDefault="00D24E61">
      <w:pPr>
        <w:spacing w:line="225" w:lineRule="auto"/>
        <w:ind w:right="20"/>
        <w:jc w:val="both"/>
        <w:rPr>
          <w:sz w:val="20"/>
          <w:szCs w:val="20"/>
        </w:rPr>
      </w:pPr>
      <w:r w:rsidRPr="00771368">
        <w:rPr>
          <w:sz w:val="25"/>
          <w:szCs w:val="25"/>
          <w:vertAlign w:val="superscript"/>
        </w:rPr>
        <w:t>33</w:t>
      </w:r>
      <w:r w:rsidRPr="00771368">
        <w:rPr>
          <w:sz w:val="20"/>
          <w:szCs w:val="20"/>
        </w:rPr>
        <w:t xml:space="preserve">O termo “sertão” descrevia, no período colonial, as regiões no interior do Brasil onde os portugueses não estavam estabelecidos. Ver: LANGFUR, Hal. “Áreas proibidas e hierarquias contestadas: resistência indígena à incorporação colonial na mata atlântica setecentista”. Trad. Adelaine La Guardia. </w:t>
      </w:r>
      <w:hyperlink r:id="rId229">
        <w:r w:rsidRPr="00771368">
          <w:rPr>
            <w:sz w:val="20"/>
            <w:szCs w:val="20"/>
          </w:rPr>
          <w:t>In: MONTEIRO, Rodrigo</w:t>
        </w:r>
      </w:hyperlink>
      <w:r w:rsidRPr="00771368">
        <w:rPr>
          <w:sz w:val="20"/>
          <w:szCs w:val="20"/>
        </w:rPr>
        <w:t xml:space="preserve"> </w:t>
      </w:r>
      <w:hyperlink r:id="rId230">
        <w:r w:rsidRPr="00771368">
          <w:rPr>
            <w:sz w:val="20"/>
            <w:szCs w:val="20"/>
          </w:rPr>
          <w:t>Bentes; FEITLER, Bruno et al (orgs.). Raízes do privilégio: mobilidade social no mundo ibérico do Antigo</w:t>
        </w:r>
      </w:hyperlink>
      <w:r w:rsidRPr="00771368">
        <w:rPr>
          <w:sz w:val="20"/>
          <w:szCs w:val="20"/>
        </w:rPr>
        <w:t xml:space="preserve"> </w:t>
      </w:r>
      <w:hyperlink r:id="rId231">
        <w:r w:rsidRPr="00771368">
          <w:rPr>
            <w:sz w:val="20"/>
            <w:szCs w:val="20"/>
          </w:rPr>
          <w:t>Regime. Rio de Janeiro: Civilização Brasileira, 2011, pp. 589-615.</w:t>
        </w:r>
      </w:hyperlink>
    </w:p>
    <w:p w:rsidR="00D24E61" w:rsidRPr="00771368" w:rsidRDefault="00D24E61">
      <w:pPr>
        <w:spacing w:line="20" w:lineRule="exact"/>
        <w:rPr>
          <w:sz w:val="20"/>
          <w:szCs w:val="20"/>
        </w:rPr>
      </w:pPr>
    </w:p>
    <w:p w:rsidR="00D24E61" w:rsidRPr="00771368" w:rsidRDefault="00D24E61">
      <w:pPr>
        <w:spacing w:line="218" w:lineRule="auto"/>
        <w:ind w:right="20"/>
        <w:jc w:val="both"/>
        <w:rPr>
          <w:sz w:val="20"/>
          <w:szCs w:val="20"/>
        </w:rPr>
      </w:pPr>
      <w:r w:rsidRPr="00771368">
        <w:rPr>
          <w:sz w:val="25"/>
          <w:szCs w:val="25"/>
          <w:vertAlign w:val="superscript"/>
        </w:rPr>
        <w:t>34</w:t>
      </w:r>
      <w:r w:rsidRPr="00771368">
        <w:rPr>
          <w:sz w:val="20"/>
          <w:szCs w:val="20"/>
        </w:rPr>
        <w:t xml:space="preserve">Para essa divisão de papéis, com a valorização das atividades destinadas ao gênero masculino em detrimento das reservadas ao feminino, ver: BOURDIEU, Pierre. </w:t>
      </w:r>
      <w:r w:rsidRPr="00771368">
        <w:rPr>
          <w:i/>
          <w:iCs/>
          <w:sz w:val="20"/>
          <w:szCs w:val="20"/>
        </w:rPr>
        <w:t>A Dominação Masculina</w:t>
      </w:r>
      <w:r w:rsidRPr="00771368">
        <w:rPr>
          <w:sz w:val="20"/>
          <w:szCs w:val="20"/>
        </w:rPr>
        <w:t>. 9ª ed. Rio de Janeiro: Bertrand Brasil, 2010 (1998).</w:t>
      </w:r>
    </w:p>
    <w:p w:rsidR="00D24E61" w:rsidRPr="00771368" w:rsidRDefault="00D24E61">
      <w:pPr>
        <w:sectPr w:rsidR="00D24E61" w:rsidRPr="00771368">
          <w:pgSz w:w="11900" w:h="16838"/>
          <w:pgMar w:top="1440" w:right="1400" w:bottom="1151"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7" w:lineRule="auto"/>
        <w:jc w:val="both"/>
        <w:rPr>
          <w:sz w:val="20"/>
          <w:szCs w:val="20"/>
        </w:rPr>
      </w:pPr>
      <w:r w:rsidRPr="00771368">
        <w:rPr>
          <w:sz w:val="24"/>
          <w:szCs w:val="24"/>
        </w:rPr>
        <w:t>analisar o Sertão Leste no século XVIII, uma região coberta por florestas, compreendida entre Minas Gerais e Espírito Santo, para a qual os habitantes de alguns centros mineradores de Minas Gerais se dirigiram quando a atividade começou a apresentar sinais de declínio. Tal área fronteiriça se expandiu não na direção oeste, rumo ao interior, mas na direção leste e sudeste, a partir de cidades e vilas de Minas Gerais, de volta à costa atlântica. O autor ressalta a dimensão violenta dos contatos entre os botocudos e os colonos no Sertão Leste, mas o faz sem desprezar os processos de adaptação cultural pelos quais ambos os lados passaram, ou seja, Langfur encontra, nas ações violentas dos nativos e dos colonos, elementos que expressam esse aprendizado mútuo</w:t>
      </w:r>
      <w:r w:rsidRPr="00771368">
        <w:rPr>
          <w:sz w:val="32"/>
          <w:szCs w:val="32"/>
          <w:vertAlign w:val="superscript"/>
        </w:rPr>
        <w:t>35</w:t>
      </w:r>
      <w:r w:rsidRPr="00771368">
        <w:rPr>
          <w:sz w:val="24"/>
          <w:szCs w:val="24"/>
        </w:rPr>
        <w:t>.</w:t>
      </w:r>
    </w:p>
    <w:p w:rsidR="00D24E61" w:rsidRPr="00771368" w:rsidRDefault="00D24E61">
      <w:pPr>
        <w:spacing w:line="1" w:lineRule="exact"/>
        <w:rPr>
          <w:sz w:val="20"/>
          <w:szCs w:val="20"/>
        </w:rPr>
      </w:pPr>
    </w:p>
    <w:p w:rsidR="00D24E61" w:rsidRPr="00771368" w:rsidRDefault="00D24E61">
      <w:pPr>
        <w:spacing w:line="347" w:lineRule="auto"/>
        <w:ind w:firstLine="708"/>
        <w:jc w:val="both"/>
        <w:rPr>
          <w:sz w:val="20"/>
          <w:szCs w:val="20"/>
        </w:rPr>
      </w:pPr>
      <w:r w:rsidRPr="00771368">
        <w:rPr>
          <w:sz w:val="24"/>
          <w:szCs w:val="24"/>
        </w:rPr>
        <w:t>Entre 1808 e 1830, Damiana partiu várias vezes para a região dos rios Araguaia e Camapuã, retornando das expedições com dezenas de caiapós, adquirindo assim o respeito das autoridades de Goiás. Em certa ocasião, após cometerem “roubos, depravações e assassinatos” no final de 1829, os caiapós fugidos da repressão apareceram na região do rio Claro, aterrorizando os moradores. E foi a Damiana a quem o presidente da então província de Goiás, marechal Lino de Moraes, recorreu para contornar a situação. Ela partiu em 1830, levando consigo presentes para esses índios e apoiada por seu marido, Manuel Pereira da Cruz, e pelos índios José e Luíza. Retornou com 32 índios e foi recebida com danças e muita alegria pelos aldeados. O presidente da província e outras autoridades também a esperavam</w:t>
      </w:r>
      <w:r w:rsidRPr="00771368">
        <w:rPr>
          <w:sz w:val="32"/>
          <w:szCs w:val="32"/>
          <w:vertAlign w:val="superscript"/>
        </w:rPr>
        <w:t>36</w:t>
      </w:r>
      <w:r w:rsidRPr="00771368">
        <w:rPr>
          <w:sz w:val="24"/>
          <w:szCs w:val="24"/>
        </w:rPr>
        <w:t>.</w:t>
      </w:r>
    </w:p>
    <w:p w:rsidR="00D24E61" w:rsidRPr="00771368" w:rsidRDefault="00D24E61">
      <w:pPr>
        <w:spacing w:line="3" w:lineRule="exact"/>
        <w:rPr>
          <w:sz w:val="20"/>
          <w:szCs w:val="20"/>
        </w:rPr>
      </w:pPr>
    </w:p>
    <w:p w:rsidR="00D24E61" w:rsidRPr="00771368" w:rsidRDefault="00D24E61">
      <w:pPr>
        <w:spacing w:line="354" w:lineRule="auto"/>
        <w:ind w:firstLine="708"/>
        <w:jc w:val="both"/>
        <w:rPr>
          <w:sz w:val="20"/>
          <w:szCs w:val="20"/>
        </w:rPr>
      </w:pPr>
      <w:r w:rsidRPr="00771368">
        <w:rPr>
          <w:sz w:val="24"/>
          <w:szCs w:val="24"/>
        </w:rPr>
        <w:t>Nesse retorno, em 1831, Damiana chegou doente, consumida pelas condições físicas do sertão. Morreu após cumprir a última missão que lhe foi dada. Enquanto vivia, buscou utilizar sua posição para atender às necessidades do seu povo. A projeção política alcançada pela neta do cacique parece ter sido potencializada pelas características fronteiriças daquela região. Seu prestígio ante os brancos dependia do seu sucesso com os caiapós e podemos dizer que o contrário também é verdade: ser acompanhada por índios fugitivos ou não aldeados relacionava-se com a capacidade obtida por Damiana de negociar condições toleráveis de vida no interior do aldeamento. Após sua morte, as condições de vida, já deterioradas, decaem mais ainda na aldeia – acelerando o processo de esvaziamento do local. Para a maioria dos indígenas a vida aldeada já não oferecia benefícios.</w:t>
      </w:r>
    </w:p>
    <w:p w:rsidR="00D24E61" w:rsidRPr="00771368" w:rsidRDefault="00D24E61">
      <w:pPr>
        <w:spacing w:line="68" w:lineRule="exact"/>
        <w:rPr>
          <w:sz w:val="20"/>
          <w:szCs w:val="20"/>
        </w:rPr>
      </w:pPr>
    </w:p>
    <w:p w:rsidR="00D24E61" w:rsidRPr="00771368" w:rsidRDefault="00D24E61">
      <w:pPr>
        <w:spacing w:line="343" w:lineRule="auto"/>
        <w:ind w:firstLine="708"/>
        <w:jc w:val="both"/>
        <w:rPr>
          <w:sz w:val="20"/>
          <w:szCs w:val="20"/>
        </w:rPr>
      </w:pPr>
      <w:r w:rsidRPr="00771368">
        <w:rPr>
          <w:sz w:val="24"/>
          <w:szCs w:val="24"/>
        </w:rPr>
        <w:t>Ao longo do século XIX, sobretudo na segunda metade, assiste-se a uma nova etapa no tratamento dispensado aos índios. A política indigenista, ao ser considerada pelo Império como uma atribuição dos governos provinciais, será ainda mais marcada pelos interesses locais do que no período anterior. Se aos agricultores interessava obter muita mão-de-obra, o</w:t>
      </w:r>
    </w:p>
    <w:p w:rsidR="00D24E61" w:rsidRPr="00771368" w:rsidRDefault="00013211">
      <w:pPr>
        <w:spacing w:line="343" w:lineRule="auto"/>
        <w:ind w:firstLine="708"/>
        <w:jc w:val="both"/>
        <w:rPr>
          <w:sz w:val="20"/>
          <w:szCs w:val="20"/>
        </w:rPr>
        <w:sectPr w:rsidR="00D24E61" w:rsidRPr="00771368">
          <w:pgSz w:w="11900" w:h="16838"/>
          <w:pgMar w:top="1440" w:right="1400" w:bottom="1095" w:left="1420" w:header="0" w:footer="0" w:gutter="0"/>
          <w:cols w:space="720" w:equalWidth="0">
            <w:col w:w="9080"/>
          </w:cols>
        </w:sectPr>
      </w:pPr>
      <w:r>
        <w:rPr>
          <w:noProof/>
          <w:sz w:val="20"/>
          <w:szCs w:val="20"/>
        </w:rPr>
        <mc:AlternateContent>
          <mc:Choice Requires="wps">
            <w:drawing>
              <wp:anchor distT="0" distB="0" distL="0" distR="0" simplePos="0" relativeHeight="251673088" behindDoc="0" locked="0" layoutInCell="0" allowOverlap="1">
                <wp:simplePos x="0" y="0"/>
                <wp:positionH relativeFrom="column">
                  <wp:posOffset>-635</wp:posOffset>
                </wp:positionH>
                <wp:positionV relativeFrom="paragraph">
                  <wp:posOffset>130810</wp:posOffset>
                </wp:positionV>
                <wp:extent cx="1828800" cy="0"/>
                <wp:effectExtent l="8890" t="6985" r="10160" b="12065"/>
                <wp:wrapNone/>
                <wp:docPr id="25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0.3pt" to="143.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P6FQIAACwEAAAOAAAAZHJzL2Uyb0RvYy54bWysU02P2jAQvVfqf7B8h3wU2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" o:allowincell="f" strokeweight=".21164mm"/>
            </w:pict>
          </mc:Fallback>
        </mc:AlternateContent>
      </w:r>
    </w:p>
    <w:p w:rsidR="00D24E61" w:rsidRPr="00771368" w:rsidRDefault="00D24E61">
      <w:pPr>
        <w:spacing w:line="245" w:lineRule="exact"/>
        <w:rPr>
          <w:sz w:val="20"/>
          <w:szCs w:val="20"/>
        </w:rPr>
      </w:pPr>
    </w:p>
    <w:p w:rsidR="00D24E61" w:rsidRPr="00771368" w:rsidRDefault="00D24E61">
      <w:pPr>
        <w:rPr>
          <w:sz w:val="20"/>
          <w:szCs w:val="20"/>
        </w:rPr>
      </w:pPr>
      <w:r w:rsidRPr="00771368">
        <w:rPr>
          <w:sz w:val="25"/>
          <w:szCs w:val="25"/>
          <w:vertAlign w:val="superscript"/>
        </w:rPr>
        <w:t>35</w:t>
      </w:r>
      <w:r w:rsidRPr="00771368">
        <w:rPr>
          <w:sz w:val="20"/>
          <w:szCs w:val="20"/>
        </w:rPr>
        <w:t xml:space="preserve">LANGFUR, Hal. </w:t>
      </w:r>
      <w:r w:rsidRPr="00771368">
        <w:rPr>
          <w:i/>
          <w:iCs/>
          <w:sz w:val="20"/>
          <w:szCs w:val="20"/>
        </w:rPr>
        <w:t>Op.cit.</w:t>
      </w:r>
    </w:p>
    <w:p w:rsidR="00D24E61" w:rsidRPr="00771368" w:rsidRDefault="00D24E61">
      <w:pPr>
        <w:spacing w:line="20" w:lineRule="exact"/>
        <w:rPr>
          <w:sz w:val="20"/>
          <w:szCs w:val="20"/>
        </w:rPr>
      </w:pPr>
    </w:p>
    <w:p w:rsidR="00D24E61" w:rsidRPr="00771368" w:rsidRDefault="00D24E61">
      <w:pPr>
        <w:rPr>
          <w:sz w:val="20"/>
          <w:szCs w:val="20"/>
        </w:rPr>
      </w:pPr>
      <w:r w:rsidRPr="00771368">
        <w:rPr>
          <w:sz w:val="24"/>
          <w:szCs w:val="24"/>
          <w:vertAlign w:val="superscript"/>
        </w:rPr>
        <w:t>36</w:t>
      </w:r>
      <w:r w:rsidRPr="00771368">
        <w:rPr>
          <w:sz w:val="19"/>
          <w:szCs w:val="19"/>
        </w:rPr>
        <w:t xml:space="preserve">SOUSA E SILVA. J. Norberto de. </w:t>
      </w:r>
      <w:r w:rsidRPr="00771368">
        <w:rPr>
          <w:i/>
          <w:iCs/>
          <w:sz w:val="19"/>
          <w:szCs w:val="19"/>
        </w:rPr>
        <w:t>Op.cit.</w:t>
      </w:r>
      <w:r w:rsidRPr="00771368">
        <w:rPr>
          <w:sz w:val="19"/>
          <w:szCs w:val="19"/>
        </w:rPr>
        <w:t>, pp.531-534.</w:t>
      </w:r>
    </w:p>
    <w:p w:rsidR="00D24E61" w:rsidRPr="00771368" w:rsidRDefault="00D24E61">
      <w:pPr>
        <w:sectPr w:rsidR="00D24E61" w:rsidRPr="00771368">
          <w:type w:val="continuous"/>
          <w:pgSz w:w="11900" w:h="16838"/>
          <w:pgMar w:top="1440" w:right="5940" w:bottom="1095" w:left="1420" w:header="0" w:footer="0" w:gutter="0"/>
          <w:cols w:space="720" w:equalWidth="0">
            <w:col w:w="4540"/>
          </w:cols>
        </w:sectPr>
      </w:pPr>
    </w:p>
    <w:p w:rsidR="00D24E61" w:rsidRPr="00771368" w:rsidRDefault="00D24E61">
      <w:pPr>
        <w:spacing w:line="29" w:lineRule="exact"/>
        <w:rPr>
          <w:sz w:val="20"/>
          <w:szCs w:val="20"/>
        </w:rPr>
      </w:pPr>
    </w:p>
    <w:p w:rsidR="00D24E61" w:rsidRPr="00771368" w:rsidRDefault="00D24E61">
      <w:pPr>
        <w:spacing w:line="344" w:lineRule="auto"/>
        <w:ind w:right="20"/>
        <w:jc w:val="both"/>
        <w:rPr>
          <w:sz w:val="20"/>
          <w:szCs w:val="20"/>
        </w:rPr>
      </w:pPr>
      <w:r w:rsidRPr="00771368">
        <w:rPr>
          <w:sz w:val="24"/>
          <w:szCs w:val="24"/>
        </w:rPr>
        <w:t>mesmo não ocorria com os criadores de gado. Sendo assim, enquanto os agricultores desejavam políticas de trabalho forçado, os criadores de gado não hesitavam em desconsiderar as leis vigentes promover o extermínio de índios, se estes atacassem os animais ou habitassem terras favoráveis ao pastoreio</w:t>
      </w:r>
      <w:r w:rsidRPr="00771368">
        <w:rPr>
          <w:sz w:val="27"/>
          <w:szCs w:val="27"/>
          <w:vertAlign w:val="superscript"/>
        </w:rPr>
        <w:t>37</w:t>
      </w:r>
      <w:r w:rsidRPr="00771368">
        <w:rPr>
          <w:sz w:val="24"/>
          <w:szCs w:val="24"/>
        </w:rPr>
        <w:t>.</w:t>
      </w:r>
    </w:p>
    <w:p w:rsidR="00D24E61" w:rsidRPr="00771368" w:rsidRDefault="00D24E61">
      <w:pPr>
        <w:spacing w:line="384" w:lineRule="exact"/>
        <w:rPr>
          <w:sz w:val="20"/>
          <w:szCs w:val="20"/>
        </w:rPr>
      </w:pPr>
    </w:p>
    <w:p w:rsidR="00D24E61" w:rsidRPr="00771368" w:rsidRDefault="00D24E61">
      <w:pPr>
        <w:ind w:left="700"/>
        <w:rPr>
          <w:sz w:val="20"/>
          <w:szCs w:val="20"/>
        </w:rPr>
      </w:pPr>
      <w:r w:rsidRPr="00771368">
        <w:rPr>
          <w:b/>
          <w:bCs/>
          <w:sz w:val="24"/>
          <w:szCs w:val="24"/>
        </w:rPr>
        <w:t>Conclusão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55" w:lineRule="auto"/>
        <w:ind w:firstLine="708"/>
        <w:jc w:val="both"/>
        <w:rPr>
          <w:sz w:val="24"/>
          <w:szCs w:val="24"/>
        </w:rPr>
      </w:pPr>
      <w:r w:rsidRPr="00771368">
        <w:rPr>
          <w:sz w:val="24"/>
          <w:szCs w:val="24"/>
        </w:rPr>
        <w:t xml:space="preserve">O esforço empreendido pelas autoridades da capitania de Goiás para aldear os caiapós nos fornece uma ideia da importância dos povos indígenas, sobretudo numa região como a de Goiás, ocupada pela sociedade colonial mais tarde do que outras áreas da América portuguesa. A prosperidade da capitania, tanto em termos econômicos quanto populacionais, dependia da negociação com os índios – então considerados povoadores e trabalhadores em potencial. A legislação pombalina, que, como já dito, buscava integrar os índios como vassalos, fora estendida para toda a América portuguesa, o que revela a importância dessa população não apenas no Grão-Pará e Maranhão – local inicial de sua aplicação –, mas no conjunto do Brasil, inclusive em Goiás. É nesse contexto que devemos situar Damiana da Cunha. </w:t>
      </w:r>
      <w:hyperlink r:id="rId232">
        <w:r w:rsidRPr="00771368">
          <w:rPr>
            <w:sz w:val="24"/>
            <w:szCs w:val="24"/>
          </w:rPr>
          <w:t>As relações que estabeleceu com membros da sociedade envolvente capacitaram-na</w:t>
        </w:r>
      </w:hyperlink>
      <w:r w:rsidRPr="00771368">
        <w:rPr>
          <w:sz w:val="24"/>
          <w:szCs w:val="24"/>
        </w:rPr>
        <w:t xml:space="preserve"> </w:t>
      </w:r>
      <w:hyperlink r:id="rId233">
        <w:r w:rsidRPr="00771368">
          <w:rPr>
            <w:sz w:val="24"/>
            <w:szCs w:val="24"/>
          </w:rPr>
          <w:t>para atuar como mediadora entre a política de aldeamento e os interesses dos caiapós.</w:t>
        </w:r>
      </w:hyperlink>
    </w:p>
    <w:p w:rsidR="00D24E61" w:rsidRPr="00771368" w:rsidRDefault="00D24E61">
      <w:pPr>
        <w:spacing w:line="66" w:lineRule="exact"/>
        <w:rPr>
          <w:sz w:val="20"/>
          <w:szCs w:val="20"/>
        </w:rPr>
      </w:pPr>
    </w:p>
    <w:p w:rsidR="00D24E61" w:rsidRPr="00771368" w:rsidRDefault="00D24E61">
      <w:pPr>
        <w:spacing w:line="356" w:lineRule="auto"/>
        <w:ind w:firstLine="708"/>
        <w:jc w:val="both"/>
        <w:rPr>
          <w:sz w:val="20"/>
          <w:szCs w:val="20"/>
        </w:rPr>
      </w:pPr>
      <w:r w:rsidRPr="00771368">
        <w:rPr>
          <w:sz w:val="24"/>
          <w:szCs w:val="24"/>
        </w:rPr>
        <w:t>É nessa situação de fronteira, que podemos compreender de que forma uma mulher conseguiu obter visibilidade política a ponto de ser reconhecida por homens ilustres como o presidente da província de Goiás, Pereira de Alencastre. Este atribuiu a Damiana, e não às autoridades, às quais frequentemente dirigiu críticas, o fato da aldeia de São José de Mossâmedes ainda estar povoada na década de 1810. Quando escrevem sobre Damiana, tanto os viajantes Saint-Hilaire e Pohl, quanto Alencastre ou Joaquim Norberto de Sousa e Silva, veem uma figura política importante. Damiana é reconhecida não pelas virtudes esperadas de uma mulher por aquela sociedade – mãe, esposa, dona de casa –, mas por exercer uma função política essencial para o governo daquela região. Tal papel, diferente do destinado ao gênero feminino, não apenas não lhe rendeu represálias, mas lhe trouxe um considerável reconhecimento social, o que é compreensível no contexto no qual se encontrava: era preciso ter aqueles índios como povoadores e Damiana podia – e queria – ajudar. A neta do cacique aproveitou essa oportunidade e obteve uma projeção política e um prestígio perante as autoridades quase impensáveis para uma mulher.</w:t>
      </w:r>
    </w:p>
    <w:p w:rsidR="00D24E61" w:rsidRPr="00771368" w:rsidRDefault="00013211">
      <w:pPr>
        <w:spacing w:line="356" w:lineRule="auto"/>
        <w:ind w:firstLine="708"/>
        <w:jc w:val="both"/>
        <w:rPr>
          <w:sz w:val="20"/>
          <w:szCs w:val="20"/>
        </w:rPr>
        <w:sectPr w:rsidR="00D24E61" w:rsidRPr="00771368">
          <w:pgSz w:w="11900" w:h="16838"/>
          <w:pgMar w:top="1440" w:right="1400" w:bottom="1149" w:left="1420" w:header="0" w:footer="0" w:gutter="0"/>
          <w:cols w:space="720" w:equalWidth="0">
            <w:col w:w="9080"/>
          </w:cols>
        </w:sectPr>
      </w:pPr>
      <w:r>
        <w:rPr>
          <w:noProof/>
          <w:sz w:val="20"/>
          <w:szCs w:val="20"/>
        </w:rPr>
        <mc:AlternateContent>
          <mc:Choice Requires="wps">
            <w:drawing>
              <wp:anchor distT="0" distB="0" distL="0" distR="0" simplePos="0" relativeHeight="251674112" behindDoc="0" locked="0" layoutInCell="0" allowOverlap="1">
                <wp:simplePos x="0" y="0"/>
                <wp:positionH relativeFrom="column">
                  <wp:posOffset>-635</wp:posOffset>
                </wp:positionH>
                <wp:positionV relativeFrom="paragraph">
                  <wp:posOffset>121285</wp:posOffset>
                </wp:positionV>
                <wp:extent cx="1828800" cy="0"/>
                <wp:effectExtent l="8890" t="6985" r="10160" b="12065"/>
                <wp:wrapNone/>
                <wp:docPr id="25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9.55pt" to="143.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W+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" o:allowincell="f" strokeweight=".21164mm"/>
            </w:pict>
          </mc:Fallback>
        </mc:AlternateContent>
      </w:r>
    </w:p>
    <w:p w:rsidR="00D24E61" w:rsidRPr="00771368" w:rsidRDefault="00D24E61">
      <w:pPr>
        <w:spacing w:line="307" w:lineRule="exact"/>
        <w:rPr>
          <w:sz w:val="20"/>
          <w:szCs w:val="20"/>
        </w:rPr>
      </w:pPr>
    </w:p>
    <w:p w:rsidR="00D24E61" w:rsidRPr="00771368" w:rsidRDefault="00D24E61">
      <w:pPr>
        <w:spacing w:line="210" w:lineRule="auto"/>
        <w:rPr>
          <w:sz w:val="20"/>
          <w:szCs w:val="20"/>
        </w:rPr>
      </w:pPr>
      <w:r w:rsidRPr="00771368">
        <w:rPr>
          <w:sz w:val="25"/>
          <w:szCs w:val="25"/>
          <w:vertAlign w:val="superscript"/>
        </w:rPr>
        <w:t>37</w:t>
      </w:r>
      <w:r w:rsidRPr="00771368">
        <w:rPr>
          <w:sz w:val="20"/>
          <w:szCs w:val="20"/>
        </w:rPr>
        <w:t xml:space="preserve">KARASCH, Mary. “Catequese e Cativeiro: Política indigenista em Goiás: 1780-1889”. In: CUNHA, Manuela Carneiro da. (org.). </w:t>
      </w:r>
      <w:r w:rsidRPr="00771368">
        <w:rPr>
          <w:i/>
          <w:iCs/>
          <w:sz w:val="20"/>
          <w:szCs w:val="20"/>
        </w:rPr>
        <w:t>História dos Índios no Brasil.</w:t>
      </w:r>
      <w:r w:rsidRPr="00771368">
        <w:rPr>
          <w:sz w:val="20"/>
          <w:szCs w:val="20"/>
        </w:rPr>
        <w:t xml:space="preserve"> São Paulo: Fapesp: 2008, pp.397-412.</w:t>
      </w:r>
    </w:p>
    <w:p w:rsidR="00D24E61" w:rsidRPr="00771368" w:rsidRDefault="00D24E61">
      <w:pPr>
        <w:sectPr w:rsidR="00D24E61" w:rsidRPr="00771368">
          <w:type w:val="continuous"/>
          <w:pgSz w:w="11900" w:h="16838"/>
          <w:pgMar w:top="1440" w:right="1420" w:bottom="1149"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295FC8">
      <w:pPr>
        <w:spacing w:line="356" w:lineRule="auto"/>
        <w:ind w:firstLine="708"/>
        <w:jc w:val="both"/>
        <w:rPr>
          <w:sz w:val="24"/>
          <w:szCs w:val="24"/>
        </w:rPr>
      </w:pPr>
      <w:hyperlink r:id="rId234">
        <w:r w:rsidR="00D24E61" w:rsidRPr="00771368">
          <w:rPr>
            <w:sz w:val="24"/>
            <w:szCs w:val="24"/>
          </w:rPr>
          <w:t>Não percamos de vista, portanto, que os índios não eram agentes meramente</w:t>
        </w:r>
      </w:hyperlink>
      <w:r w:rsidR="00D24E61" w:rsidRPr="00771368">
        <w:rPr>
          <w:sz w:val="24"/>
          <w:szCs w:val="24"/>
        </w:rPr>
        <w:t xml:space="preserve"> </w:t>
      </w:r>
      <w:hyperlink r:id="rId235">
        <w:r w:rsidR="00D24E61" w:rsidRPr="00771368">
          <w:rPr>
            <w:sz w:val="24"/>
            <w:szCs w:val="24"/>
          </w:rPr>
          <w:t>receptores das políticas indigenistas coloniais ou imperiais. Para que estas tivessem sucesso,</w:t>
        </w:r>
      </w:hyperlink>
      <w:r w:rsidR="00D24E61" w:rsidRPr="00771368">
        <w:rPr>
          <w:sz w:val="24"/>
          <w:szCs w:val="24"/>
        </w:rPr>
        <w:t xml:space="preserve"> </w:t>
      </w:r>
      <w:hyperlink r:id="rId236">
        <w:r w:rsidR="00D24E61" w:rsidRPr="00771368">
          <w:rPr>
            <w:sz w:val="24"/>
            <w:szCs w:val="24"/>
          </w:rPr>
          <w:t>era preciso que, em alguma medida, contemplassem seus interesses. Sendo assim, os</w:t>
        </w:r>
      </w:hyperlink>
      <w:r w:rsidR="00D24E61" w:rsidRPr="00771368">
        <w:rPr>
          <w:sz w:val="24"/>
          <w:szCs w:val="24"/>
        </w:rPr>
        <w:t xml:space="preserve"> </w:t>
      </w:r>
      <w:hyperlink r:id="rId237">
        <w:r w:rsidR="00D24E61" w:rsidRPr="00771368">
          <w:rPr>
            <w:sz w:val="24"/>
            <w:szCs w:val="24"/>
          </w:rPr>
          <w:t>indígenas tiveram atuação política, negociando, dentro do possível, condições mais favoráveis</w:t>
        </w:r>
      </w:hyperlink>
      <w:r w:rsidR="00D24E61" w:rsidRPr="00771368">
        <w:rPr>
          <w:sz w:val="24"/>
          <w:szCs w:val="24"/>
        </w:rPr>
        <w:t xml:space="preserve"> </w:t>
      </w:r>
      <w:hyperlink r:id="rId238">
        <w:r w:rsidR="00D24E61" w:rsidRPr="00771368">
          <w:rPr>
            <w:sz w:val="24"/>
            <w:szCs w:val="24"/>
          </w:rPr>
          <w:t>de sobrevivência. Podemos encontrá-los aceitando o aldeamento ou fugindo de tais espaços,</w:t>
        </w:r>
      </w:hyperlink>
      <w:r w:rsidR="00D24E61" w:rsidRPr="00771368">
        <w:rPr>
          <w:sz w:val="24"/>
          <w:szCs w:val="24"/>
        </w:rPr>
        <w:t xml:space="preserve"> </w:t>
      </w:r>
      <w:hyperlink r:id="rId239">
        <w:r w:rsidR="00D24E61" w:rsidRPr="00771368">
          <w:rPr>
            <w:sz w:val="24"/>
            <w:szCs w:val="24"/>
          </w:rPr>
          <w:t>quando a situação lhes parecia insuportável ou desvantajosa. Também vemos os índios</w:t>
        </w:r>
      </w:hyperlink>
      <w:r w:rsidR="00D24E61" w:rsidRPr="00771368">
        <w:rPr>
          <w:sz w:val="24"/>
          <w:szCs w:val="24"/>
        </w:rPr>
        <w:t xml:space="preserve"> </w:t>
      </w:r>
      <w:hyperlink r:id="rId240">
        <w:r w:rsidR="00D24E61" w:rsidRPr="00771368">
          <w:rPr>
            <w:sz w:val="24"/>
            <w:szCs w:val="24"/>
          </w:rPr>
          <w:t>utilizarem contra os colonos as armas conseguidas através de acordos temporários com os</w:t>
        </w:r>
      </w:hyperlink>
      <w:r w:rsidR="00D24E61" w:rsidRPr="00771368">
        <w:rPr>
          <w:sz w:val="24"/>
          <w:szCs w:val="24"/>
        </w:rPr>
        <w:t xml:space="preserve"> </w:t>
      </w:r>
      <w:hyperlink r:id="rId241">
        <w:r w:rsidR="00D24E61" w:rsidRPr="00771368">
          <w:rPr>
            <w:sz w:val="24"/>
            <w:szCs w:val="24"/>
          </w:rPr>
          <w:t>brancos. Por fim, encontramos os que adquirem os códigos culturais da sociedade envolvente,</w:t>
        </w:r>
      </w:hyperlink>
      <w:r w:rsidR="00D24E61" w:rsidRPr="00771368">
        <w:rPr>
          <w:sz w:val="24"/>
          <w:szCs w:val="24"/>
        </w:rPr>
        <w:t xml:space="preserve"> </w:t>
      </w:r>
      <w:hyperlink r:id="rId242">
        <w:r w:rsidR="00D24E61" w:rsidRPr="00771368">
          <w:rPr>
            <w:sz w:val="24"/>
            <w:szCs w:val="24"/>
          </w:rPr>
          <w:t>ficando em condições de atuar politicamente como Damiana da Cunha. Reconhecida pelos</w:t>
        </w:r>
      </w:hyperlink>
      <w:r w:rsidR="00D24E61" w:rsidRPr="00771368">
        <w:rPr>
          <w:sz w:val="24"/>
          <w:szCs w:val="24"/>
        </w:rPr>
        <w:t xml:space="preserve"> </w:t>
      </w:r>
      <w:hyperlink r:id="rId243">
        <w:r w:rsidR="00D24E61" w:rsidRPr="00771368">
          <w:rPr>
            <w:sz w:val="24"/>
            <w:szCs w:val="24"/>
          </w:rPr>
          <w:t>índios e pelas autoridades de Goiás, a figura de Damiana nos mostra a complexidade da</w:t>
        </w:r>
      </w:hyperlink>
      <w:r w:rsidR="00D24E61" w:rsidRPr="00771368">
        <w:rPr>
          <w:sz w:val="24"/>
          <w:szCs w:val="24"/>
        </w:rPr>
        <w:t xml:space="preserve"> </w:t>
      </w:r>
      <w:hyperlink r:id="rId244">
        <w:r w:rsidR="00D24E61" w:rsidRPr="00771368">
          <w:rPr>
            <w:sz w:val="24"/>
            <w:szCs w:val="24"/>
          </w:rPr>
          <w:t>situação dos indígenas na História. Uma história que não se reduz ao extermínio ou à</w:t>
        </w:r>
      </w:hyperlink>
      <w:r w:rsidR="00D24E61" w:rsidRPr="00771368">
        <w:rPr>
          <w:sz w:val="24"/>
          <w:szCs w:val="24"/>
        </w:rPr>
        <w:t xml:space="preserve"> </w:t>
      </w:r>
      <w:hyperlink r:id="rId245">
        <w:r w:rsidR="00D24E61" w:rsidRPr="00771368">
          <w:rPr>
            <w:sz w:val="24"/>
            <w:szCs w:val="24"/>
          </w:rPr>
          <w:t>escravidão, tampouco à “aculturação” ou à “resistência”. No meio desses termos existe a</w:t>
        </w:r>
      </w:hyperlink>
      <w:r w:rsidR="00D24E61" w:rsidRPr="00771368">
        <w:rPr>
          <w:sz w:val="24"/>
          <w:szCs w:val="24"/>
        </w:rPr>
        <w:t xml:space="preserve"> </w:t>
      </w:r>
      <w:hyperlink r:id="rId246">
        <w:r w:rsidR="00D24E61" w:rsidRPr="00771368">
          <w:rPr>
            <w:sz w:val="24"/>
            <w:szCs w:val="24"/>
          </w:rPr>
          <w:t>atuação de indivíduos e grupos indígenas capazes de compreender quais eram suas</w:t>
        </w:r>
      </w:hyperlink>
      <w:r w:rsidR="00D24E61" w:rsidRPr="00771368">
        <w:rPr>
          <w:sz w:val="24"/>
          <w:szCs w:val="24"/>
        </w:rPr>
        <w:t xml:space="preserve"> </w:t>
      </w:r>
      <w:hyperlink r:id="rId247">
        <w:r w:rsidR="00D24E61" w:rsidRPr="00771368">
          <w:rPr>
            <w:sz w:val="24"/>
            <w:szCs w:val="24"/>
          </w:rPr>
          <w:t>possibilidades de negociação, mesmo que numa posição desfavorável.</w:t>
        </w:r>
      </w:hyperlink>
    </w:p>
    <w:p w:rsidR="00D24E61" w:rsidRPr="00771368" w:rsidRDefault="00D24E61">
      <w:pPr>
        <w:spacing w:line="65" w:lineRule="exact"/>
        <w:rPr>
          <w:sz w:val="24"/>
          <w:szCs w:val="24"/>
        </w:rPr>
      </w:pPr>
    </w:p>
    <w:p w:rsidR="00D24E61" w:rsidRPr="00771368" w:rsidRDefault="00D24E61">
      <w:pPr>
        <w:spacing w:line="344" w:lineRule="auto"/>
        <w:ind w:firstLine="708"/>
        <w:jc w:val="both"/>
        <w:rPr>
          <w:sz w:val="20"/>
          <w:szCs w:val="20"/>
        </w:rPr>
      </w:pPr>
      <w:r w:rsidRPr="00771368">
        <w:rPr>
          <w:sz w:val="24"/>
          <w:szCs w:val="24"/>
        </w:rPr>
        <w:t>Embora haja memorialistas locais que valorizaram a atuação de indígenas, como os cronistas de Goiás que atentaram para Damiana, a tendência que prevaleceu na memória oficial da nação foi a do apagamento dos índios. Acredito que os trabalhos que têm se dedicado à história dos povos indígenas possam contribuir para que seja revertido o processo de invisibilização pelo qual os índios – sobretudo as mulheres –passaram</w:t>
      </w:r>
      <w:r w:rsidRPr="00771368">
        <w:rPr>
          <w:sz w:val="27"/>
          <w:szCs w:val="27"/>
          <w:vertAlign w:val="superscript"/>
        </w:rPr>
        <w:t>38</w:t>
      </w:r>
      <w:r w:rsidRPr="00771368">
        <w:rPr>
          <w:sz w:val="24"/>
          <w:szCs w:val="24"/>
        </w:rPr>
        <w:t>. Tais pesquisas oferecem uma contribuição valiosa não apenas para a escrita da História dos índios, mas também para a reescrita da História do Brasil e da América.</w:t>
      </w:r>
    </w:p>
    <w:p w:rsidR="00D24E61" w:rsidRPr="00771368" w:rsidRDefault="00D24E61">
      <w:pPr>
        <w:spacing w:line="79" w:lineRule="exact"/>
        <w:rPr>
          <w:sz w:val="24"/>
          <w:szCs w:val="24"/>
        </w:rPr>
      </w:pPr>
    </w:p>
    <w:p w:rsidR="00D24E61" w:rsidRPr="00771368" w:rsidRDefault="00D24E61">
      <w:pPr>
        <w:spacing w:line="349" w:lineRule="auto"/>
        <w:ind w:firstLine="708"/>
        <w:jc w:val="both"/>
        <w:rPr>
          <w:sz w:val="20"/>
          <w:szCs w:val="20"/>
        </w:rPr>
      </w:pPr>
      <w:r w:rsidRPr="00771368">
        <w:rPr>
          <w:sz w:val="24"/>
          <w:szCs w:val="24"/>
        </w:rPr>
        <w:t>Neste momento, no qual as diferenças são valorizadas, é de extrema importância trazer à discussão a atuação dos povos indígenas, que de forma alguma se restringe a um passado remoto, mas a todo período colonial e além – do que a atual mobilização indígena nos dá prova. Outro tópico que assume cada vez mais notoriedade é o da igualdade de gênero. Tal ideia certamente não fazia parte do horizonte da sociedade colonial e imperial, mas mesmo aquela época nos rende atuações femininas como a de Damiana. A caiapó nos lembra que a</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675136" behindDoc="0" locked="0" layoutInCell="0" allowOverlap="1">
                <wp:simplePos x="0" y="0"/>
                <wp:positionH relativeFrom="column">
                  <wp:posOffset>-635</wp:posOffset>
                </wp:positionH>
                <wp:positionV relativeFrom="paragraph">
                  <wp:posOffset>276225</wp:posOffset>
                </wp:positionV>
                <wp:extent cx="1828800" cy="0"/>
                <wp:effectExtent l="8890" t="9525" r="10160" b="9525"/>
                <wp:wrapNone/>
                <wp:docPr id="25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1.75pt" to="143.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" o:allowincell="f" strokeweight=".6pt"/>
            </w:pict>
          </mc:Fallback>
        </mc:AlternateContent>
      </w:r>
    </w:p>
    <w:p w:rsidR="00D24E61" w:rsidRPr="00771368" w:rsidRDefault="00D24E61">
      <w:pPr>
        <w:spacing w:line="350" w:lineRule="exact"/>
        <w:rPr>
          <w:sz w:val="24"/>
          <w:szCs w:val="24"/>
        </w:rPr>
      </w:pPr>
    </w:p>
    <w:p w:rsidR="00D24E61" w:rsidRPr="00771368" w:rsidRDefault="00D24E61">
      <w:pPr>
        <w:spacing w:line="232" w:lineRule="auto"/>
        <w:jc w:val="both"/>
        <w:rPr>
          <w:sz w:val="20"/>
          <w:szCs w:val="20"/>
        </w:rPr>
      </w:pPr>
      <w:r w:rsidRPr="00771368">
        <w:rPr>
          <w:sz w:val="25"/>
          <w:szCs w:val="25"/>
          <w:vertAlign w:val="superscript"/>
        </w:rPr>
        <w:t>38</w:t>
      </w:r>
      <w:r w:rsidRPr="00771368">
        <w:rPr>
          <w:sz w:val="20"/>
          <w:szCs w:val="20"/>
        </w:rPr>
        <w:t xml:space="preserve">Tal processo de invisibilização se refere à ação dos Estados nacionais construídos na América após as independências. Em linhas gerais, as elites tinham em mente uma ideia de cidadania homogeneizadora que extinguisse a diversidade étnica e cultural características das sociedades coloniais de Antigo Regime. Assim, para que um país fosse considerado moderno, voltado para o progresso, era preciso que sua população fosse homogênea – partilhasse os mesmos costumes, a mesma memória, a mesma língua – e ocidentalizada. Os povos indígenas foram dados como extintos, por terem sido exterminados ou por estarem misturados ao conjunto da população. Ver: QUIJADA, Mónica. “El paradigma de la homogeneidad”. In: QUIJADA, Mónica; BERNAND, Carmen; SCHNEIDER, Arnd (coord.). </w:t>
      </w:r>
      <w:r w:rsidRPr="00771368">
        <w:rPr>
          <w:i/>
          <w:iCs/>
          <w:sz w:val="20"/>
          <w:szCs w:val="20"/>
        </w:rPr>
        <w:t>Homogeneidad y nación con un estudio de caso: Argentina, siglos XIX y</w:t>
      </w:r>
      <w:r w:rsidRPr="00771368">
        <w:rPr>
          <w:sz w:val="20"/>
          <w:szCs w:val="20"/>
        </w:rPr>
        <w:t xml:space="preserve"> </w:t>
      </w:r>
      <w:r w:rsidRPr="00771368">
        <w:rPr>
          <w:i/>
          <w:iCs/>
          <w:sz w:val="20"/>
          <w:szCs w:val="20"/>
        </w:rPr>
        <w:t xml:space="preserve">XX. </w:t>
      </w:r>
      <w:r w:rsidRPr="00771368">
        <w:rPr>
          <w:sz w:val="20"/>
          <w:szCs w:val="20"/>
        </w:rPr>
        <w:t>Madri: CSIC, 2000, pp. 15-55.</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rPr>
          <w:sz w:val="20"/>
          <w:szCs w:val="20"/>
        </w:rPr>
      </w:pPr>
      <w:r w:rsidRPr="00771368">
        <w:rPr>
          <w:sz w:val="24"/>
          <w:szCs w:val="24"/>
        </w:rPr>
        <w:t>capacidade de traçar estratégias e se mover no contexto político vivido não é algo restrito a</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determinado gênero, etnia ou período histórico.</w:t>
      </w:r>
    </w:p>
    <w:p w:rsidR="00D24E61" w:rsidRPr="00771368" w:rsidRDefault="00D24E61">
      <w:pPr>
        <w:spacing w:line="200" w:lineRule="exact"/>
        <w:rPr>
          <w:sz w:val="20"/>
          <w:szCs w:val="20"/>
        </w:rPr>
      </w:pPr>
    </w:p>
    <w:p w:rsidR="00D24E61" w:rsidRPr="00771368" w:rsidRDefault="00D24E61">
      <w:pPr>
        <w:spacing w:line="354" w:lineRule="exact"/>
        <w:rPr>
          <w:sz w:val="20"/>
          <w:szCs w:val="20"/>
        </w:rPr>
      </w:pPr>
    </w:p>
    <w:p w:rsidR="00D24E61" w:rsidRPr="00771368" w:rsidRDefault="00D24E61">
      <w:pPr>
        <w:rPr>
          <w:sz w:val="20"/>
          <w:szCs w:val="20"/>
        </w:rPr>
      </w:pPr>
      <w:r w:rsidRPr="00771368">
        <w:rPr>
          <w:b/>
          <w:bCs/>
          <w:sz w:val="24"/>
          <w:szCs w:val="24"/>
        </w:rPr>
        <w:t>Referências bibliográficas</w:t>
      </w:r>
    </w:p>
    <w:p w:rsidR="00D24E61" w:rsidRPr="00771368" w:rsidRDefault="00D24E61">
      <w:pPr>
        <w:spacing w:line="200" w:lineRule="exact"/>
        <w:rPr>
          <w:sz w:val="20"/>
          <w:szCs w:val="20"/>
        </w:rPr>
      </w:pPr>
    </w:p>
    <w:p w:rsidR="00D24E61" w:rsidRPr="00771368" w:rsidRDefault="00D24E61">
      <w:pPr>
        <w:spacing w:line="210" w:lineRule="exact"/>
        <w:rPr>
          <w:sz w:val="20"/>
          <w:szCs w:val="20"/>
        </w:rPr>
      </w:pPr>
    </w:p>
    <w:p w:rsidR="00D24E61" w:rsidRPr="00771368" w:rsidRDefault="00D24E61">
      <w:pPr>
        <w:rPr>
          <w:sz w:val="20"/>
          <w:szCs w:val="20"/>
        </w:rPr>
      </w:pPr>
      <w:r w:rsidRPr="00771368">
        <w:rPr>
          <w:sz w:val="24"/>
          <w:szCs w:val="24"/>
        </w:rPr>
        <w:t>ALMEIDA, Maria Regina Celestino de. “História e antropologia”.  In:  CARDOSO, Ciro</w:t>
      </w:r>
    </w:p>
    <w:p w:rsidR="00D24E61" w:rsidRPr="00771368" w:rsidRDefault="00D24E61">
      <w:pPr>
        <w:spacing w:line="58" w:lineRule="exact"/>
        <w:rPr>
          <w:sz w:val="20"/>
          <w:szCs w:val="20"/>
        </w:rPr>
      </w:pPr>
    </w:p>
    <w:p w:rsidR="00D24E61" w:rsidRPr="00771368" w:rsidRDefault="00D24E61">
      <w:pPr>
        <w:spacing w:line="214" w:lineRule="auto"/>
        <w:jc w:val="both"/>
        <w:rPr>
          <w:sz w:val="20"/>
          <w:szCs w:val="20"/>
        </w:rPr>
      </w:pPr>
      <w:r w:rsidRPr="00771368">
        <w:rPr>
          <w:sz w:val="24"/>
          <w:szCs w:val="24"/>
        </w:rPr>
        <w:t xml:space="preserve">Flamarion; &amp; VAINFAS, Ronaldo. </w:t>
      </w:r>
      <w:r w:rsidRPr="00771368">
        <w:rPr>
          <w:i/>
          <w:iCs/>
          <w:sz w:val="24"/>
          <w:szCs w:val="24"/>
        </w:rPr>
        <w:t>Novos Domínios da História.</w:t>
      </w:r>
      <w:r w:rsidRPr="00771368">
        <w:rPr>
          <w:sz w:val="24"/>
          <w:szCs w:val="24"/>
        </w:rPr>
        <w:t xml:space="preserve"> Rio de Janeiro: Campus, 2011, pp. 151-168.</w:t>
      </w:r>
    </w:p>
    <w:p w:rsidR="00D24E61" w:rsidRPr="00771368" w:rsidRDefault="00D24E61">
      <w:pPr>
        <w:spacing w:line="336"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______. </w:t>
      </w:r>
      <w:r w:rsidRPr="00771368">
        <w:rPr>
          <w:i/>
          <w:iCs/>
          <w:sz w:val="24"/>
          <w:szCs w:val="24"/>
        </w:rPr>
        <w:t>Metamorfoses indígenas: Identidade e cultura nas aldeias coloniais do Rio de</w:t>
      </w:r>
      <w:r w:rsidRPr="00771368">
        <w:rPr>
          <w:sz w:val="24"/>
          <w:szCs w:val="24"/>
        </w:rPr>
        <w:t xml:space="preserve"> </w:t>
      </w:r>
      <w:r w:rsidRPr="00771368">
        <w:rPr>
          <w:i/>
          <w:iCs/>
          <w:sz w:val="24"/>
          <w:szCs w:val="24"/>
        </w:rPr>
        <w:t xml:space="preserve">Janeiro. </w:t>
      </w:r>
      <w:r w:rsidRPr="00771368">
        <w:rPr>
          <w:sz w:val="24"/>
          <w:szCs w:val="24"/>
        </w:rPr>
        <w:t>Rio de Janeiro: Arquivo Nacional, 2001.</w:t>
      </w:r>
    </w:p>
    <w:p w:rsidR="00D24E61" w:rsidRPr="00771368" w:rsidRDefault="00D24E61">
      <w:pPr>
        <w:spacing w:line="336" w:lineRule="exact"/>
        <w:rPr>
          <w:sz w:val="20"/>
          <w:szCs w:val="20"/>
        </w:rPr>
      </w:pPr>
    </w:p>
    <w:p w:rsidR="00D24E61" w:rsidRPr="00771368" w:rsidRDefault="00D24E61">
      <w:pPr>
        <w:spacing w:line="214" w:lineRule="auto"/>
        <w:jc w:val="both"/>
        <w:rPr>
          <w:sz w:val="20"/>
          <w:szCs w:val="20"/>
        </w:rPr>
      </w:pPr>
      <w:r w:rsidRPr="00771368">
        <w:rPr>
          <w:sz w:val="24"/>
          <w:szCs w:val="24"/>
        </w:rPr>
        <w:t xml:space="preserve">BARTH, Fredrik. “Os grupos étnicos e suas fronteiras”. In: </w:t>
      </w:r>
      <w:r w:rsidRPr="00771368">
        <w:rPr>
          <w:i/>
          <w:iCs/>
          <w:sz w:val="24"/>
          <w:szCs w:val="24"/>
        </w:rPr>
        <w:t>O guru, o iniciador e outras</w:t>
      </w:r>
      <w:r w:rsidRPr="00771368">
        <w:rPr>
          <w:sz w:val="24"/>
          <w:szCs w:val="24"/>
        </w:rPr>
        <w:t xml:space="preserve"> </w:t>
      </w:r>
      <w:r w:rsidRPr="00771368">
        <w:rPr>
          <w:i/>
          <w:iCs/>
          <w:sz w:val="24"/>
          <w:szCs w:val="24"/>
        </w:rPr>
        <w:t>variações antropológicas</w:t>
      </w:r>
      <w:r w:rsidRPr="00771368">
        <w:rPr>
          <w:sz w:val="24"/>
          <w:szCs w:val="24"/>
        </w:rPr>
        <w:t>. Rio de Janeiro: Contra Capa Livraria, 2000. pp.25-67.</w:t>
      </w:r>
    </w:p>
    <w:p w:rsidR="00D24E61" w:rsidRPr="00771368" w:rsidRDefault="00D24E61">
      <w:pPr>
        <w:spacing w:line="336" w:lineRule="exact"/>
        <w:rPr>
          <w:sz w:val="20"/>
          <w:szCs w:val="20"/>
        </w:rPr>
      </w:pPr>
    </w:p>
    <w:p w:rsidR="00D24E61" w:rsidRPr="00771368" w:rsidRDefault="00D24E61">
      <w:pPr>
        <w:spacing w:line="227" w:lineRule="auto"/>
        <w:ind w:right="20"/>
        <w:jc w:val="both"/>
        <w:rPr>
          <w:sz w:val="20"/>
          <w:szCs w:val="20"/>
        </w:rPr>
      </w:pPr>
      <w:r w:rsidRPr="00771368">
        <w:rPr>
          <w:sz w:val="24"/>
          <w:szCs w:val="24"/>
        </w:rPr>
        <w:t xml:space="preserve">BOCCARA, Guillaume, “Mundos Nuevos en las Fronteras del Nuevo Mundo: Relectura de los Procesos Coloniales de Etnogénesis, Etnificación y Mestizaje en Tiempos de Globalización”. </w:t>
      </w:r>
      <w:r w:rsidRPr="00771368">
        <w:rPr>
          <w:i/>
          <w:iCs/>
          <w:sz w:val="24"/>
          <w:szCs w:val="24"/>
        </w:rPr>
        <w:t>Mundo Nuevo Nuevos Mundos,</w:t>
      </w:r>
      <w:r w:rsidRPr="00771368">
        <w:rPr>
          <w:sz w:val="24"/>
          <w:szCs w:val="24"/>
        </w:rPr>
        <w:t xml:space="preserve"> revista eletrônica, Paris. Disponível em: http://nuevomundo.revues.org/426.</w:t>
      </w:r>
    </w:p>
    <w:p w:rsidR="00D24E61" w:rsidRPr="00771368" w:rsidRDefault="00D24E61">
      <w:pPr>
        <w:spacing w:line="336"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BOURDIEU, Pierre. </w:t>
      </w:r>
      <w:r w:rsidRPr="00771368">
        <w:rPr>
          <w:i/>
          <w:iCs/>
          <w:sz w:val="24"/>
          <w:szCs w:val="24"/>
        </w:rPr>
        <w:t>A Dominação Masculina</w:t>
      </w:r>
      <w:r w:rsidRPr="00771368">
        <w:rPr>
          <w:sz w:val="24"/>
          <w:szCs w:val="24"/>
        </w:rPr>
        <w:t>. 9ª ed. Rio de Janeiro: Bertrand Brasil, 2010 (1998).</w:t>
      </w:r>
    </w:p>
    <w:p w:rsidR="00D24E61" w:rsidRPr="00771368" w:rsidRDefault="00D24E61">
      <w:pPr>
        <w:spacing w:line="336" w:lineRule="exact"/>
        <w:rPr>
          <w:sz w:val="20"/>
          <w:szCs w:val="20"/>
        </w:rPr>
      </w:pPr>
    </w:p>
    <w:p w:rsidR="00D24E61" w:rsidRPr="00D61223" w:rsidRDefault="00D24E61">
      <w:pPr>
        <w:spacing w:line="223" w:lineRule="auto"/>
        <w:ind w:right="20"/>
        <w:jc w:val="both"/>
        <w:rPr>
          <w:sz w:val="20"/>
          <w:szCs w:val="20"/>
          <w:lang w:val="en-US"/>
        </w:rPr>
      </w:pPr>
      <w:r w:rsidRPr="00D61223">
        <w:rPr>
          <w:sz w:val="24"/>
          <w:szCs w:val="24"/>
          <w:lang w:val="en-US"/>
        </w:rPr>
        <w:t xml:space="preserve">BOURGEAULT, Ron Roce. “Class and Gender: colonial domination of indian women”. In: MCKAGUE, Ormond (org.). </w:t>
      </w:r>
      <w:r w:rsidRPr="00D61223">
        <w:rPr>
          <w:i/>
          <w:iCs/>
          <w:sz w:val="24"/>
          <w:szCs w:val="24"/>
          <w:lang w:val="en-US"/>
        </w:rPr>
        <w:t>Racism In Canada.</w:t>
      </w:r>
      <w:r w:rsidRPr="00D61223">
        <w:rPr>
          <w:sz w:val="24"/>
          <w:szCs w:val="24"/>
          <w:lang w:val="en-US"/>
        </w:rPr>
        <w:t xml:space="preserve"> Saskatoon, Saskatchewan: Fifth House Publishers, 1991, pp 129-149(129).</w:t>
      </w:r>
    </w:p>
    <w:p w:rsidR="00D24E61" w:rsidRPr="00D61223" w:rsidRDefault="00D24E61">
      <w:pPr>
        <w:spacing w:line="335" w:lineRule="exact"/>
        <w:rPr>
          <w:sz w:val="20"/>
          <w:szCs w:val="20"/>
          <w:lang w:val="en-US"/>
        </w:rPr>
      </w:pPr>
    </w:p>
    <w:p w:rsidR="00D24E61" w:rsidRPr="00771368" w:rsidRDefault="00D24E61">
      <w:pPr>
        <w:spacing w:line="214" w:lineRule="auto"/>
        <w:ind w:right="20"/>
        <w:jc w:val="both"/>
        <w:rPr>
          <w:sz w:val="20"/>
          <w:szCs w:val="20"/>
        </w:rPr>
      </w:pPr>
      <w:r w:rsidRPr="00771368">
        <w:rPr>
          <w:sz w:val="24"/>
          <w:szCs w:val="24"/>
        </w:rPr>
        <w:t xml:space="preserve">CHAIM, Marivone Matos. </w:t>
      </w:r>
      <w:r w:rsidRPr="00771368">
        <w:rPr>
          <w:i/>
          <w:iCs/>
          <w:sz w:val="24"/>
          <w:szCs w:val="24"/>
        </w:rPr>
        <w:t>Aldeamentos indígenas: Goiás, 1749-1811.</w:t>
      </w:r>
      <w:r w:rsidRPr="00771368">
        <w:rPr>
          <w:sz w:val="24"/>
          <w:szCs w:val="24"/>
        </w:rPr>
        <w:t xml:space="preserve"> São Paulo: Nobel; Brasília: INL, Fundação Nacional Pró-Memória, 1983 (1974).</w:t>
      </w:r>
    </w:p>
    <w:p w:rsidR="00D24E61" w:rsidRPr="00771368" w:rsidRDefault="00D24E61">
      <w:pPr>
        <w:spacing w:line="336" w:lineRule="exact"/>
        <w:rPr>
          <w:sz w:val="20"/>
          <w:szCs w:val="20"/>
        </w:rPr>
      </w:pPr>
    </w:p>
    <w:p w:rsidR="00D24E61" w:rsidRPr="00771368" w:rsidRDefault="00D24E61">
      <w:pPr>
        <w:spacing w:line="226" w:lineRule="auto"/>
        <w:ind w:right="20"/>
        <w:jc w:val="both"/>
        <w:rPr>
          <w:sz w:val="20"/>
          <w:szCs w:val="20"/>
        </w:rPr>
      </w:pPr>
      <w:r w:rsidRPr="00771368">
        <w:rPr>
          <w:sz w:val="24"/>
          <w:szCs w:val="24"/>
        </w:rPr>
        <w:t>CHAVES, Edilson Aparecido. “Ocupação e colonização do território: o processo de constituição do estado de Goiás”. Disponível em: http://web.videoaulasonline.com.br/aprovaconcursos/demo_aprova_concursos/historia_do_est ado_de_goias_01.pdf.</w:t>
      </w:r>
    </w:p>
    <w:p w:rsidR="00D24E61" w:rsidRPr="00771368" w:rsidRDefault="00D24E61">
      <w:pPr>
        <w:spacing w:line="339"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FREYRE, Gilberto. “O indígena na formação da família brasileira”. In: </w:t>
      </w:r>
      <w:r w:rsidRPr="00771368">
        <w:rPr>
          <w:i/>
          <w:iCs/>
          <w:sz w:val="24"/>
          <w:szCs w:val="24"/>
        </w:rPr>
        <w:t>Casa-grande e</w:t>
      </w:r>
      <w:r w:rsidRPr="00771368">
        <w:rPr>
          <w:sz w:val="24"/>
          <w:szCs w:val="24"/>
        </w:rPr>
        <w:t xml:space="preserve"> </w:t>
      </w:r>
      <w:r w:rsidRPr="00771368">
        <w:rPr>
          <w:i/>
          <w:iCs/>
          <w:sz w:val="24"/>
          <w:szCs w:val="24"/>
        </w:rPr>
        <w:t xml:space="preserve">senzala: formação da família brasileira sob o regime da economia patriarcal. </w:t>
      </w:r>
      <w:r w:rsidRPr="00771368">
        <w:rPr>
          <w:sz w:val="24"/>
          <w:szCs w:val="24"/>
        </w:rPr>
        <w:t>51ª ed. São</w:t>
      </w:r>
      <w:r w:rsidRPr="00771368">
        <w:rPr>
          <w:i/>
          <w:iCs/>
          <w:sz w:val="24"/>
          <w:szCs w:val="24"/>
        </w:rPr>
        <w:t xml:space="preserve"> </w:t>
      </w:r>
      <w:r w:rsidRPr="00771368">
        <w:rPr>
          <w:sz w:val="24"/>
          <w:szCs w:val="24"/>
        </w:rPr>
        <w:t>Paulo: Global, 2006 (1933).</w:t>
      </w:r>
    </w:p>
    <w:p w:rsidR="00D24E61" w:rsidRPr="00771368" w:rsidRDefault="00D24E61">
      <w:pPr>
        <w:spacing w:line="335"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GARCIA, Elisa Frühauf. </w:t>
      </w:r>
      <w:r w:rsidRPr="00771368">
        <w:rPr>
          <w:i/>
          <w:iCs/>
          <w:sz w:val="24"/>
          <w:szCs w:val="24"/>
        </w:rPr>
        <w:t>As diversas formas de ser índio: políticas indígenas e políticas</w:t>
      </w:r>
      <w:r w:rsidRPr="00771368">
        <w:rPr>
          <w:sz w:val="24"/>
          <w:szCs w:val="24"/>
        </w:rPr>
        <w:t xml:space="preserve"> </w:t>
      </w:r>
      <w:r w:rsidRPr="00771368">
        <w:rPr>
          <w:i/>
          <w:iCs/>
          <w:sz w:val="24"/>
          <w:szCs w:val="24"/>
        </w:rPr>
        <w:t xml:space="preserve">indigenistas no extremo sul da América portuguesa. </w:t>
      </w:r>
      <w:r w:rsidRPr="00771368">
        <w:rPr>
          <w:sz w:val="24"/>
          <w:szCs w:val="24"/>
        </w:rPr>
        <w:t>Rio de Janeiro: Arquivo Nacional, 2009.</w:t>
      </w:r>
    </w:p>
    <w:p w:rsidR="00D24E61" w:rsidRPr="00771368" w:rsidRDefault="00D24E61">
      <w:pPr>
        <w:spacing w:line="278" w:lineRule="exact"/>
        <w:rPr>
          <w:sz w:val="20"/>
          <w:szCs w:val="20"/>
        </w:rPr>
      </w:pPr>
    </w:p>
    <w:p w:rsidR="00D24E61" w:rsidRPr="00771368" w:rsidRDefault="00D24E61">
      <w:pPr>
        <w:rPr>
          <w:sz w:val="20"/>
          <w:szCs w:val="20"/>
        </w:rPr>
      </w:pPr>
      <w:r w:rsidRPr="00771368">
        <w:rPr>
          <w:sz w:val="24"/>
          <w:szCs w:val="24"/>
        </w:rPr>
        <w:t xml:space="preserve">GIRALDIN, Odair. </w:t>
      </w:r>
      <w:r w:rsidRPr="00771368">
        <w:rPr>
          <w:i/>
          <w:iCs/>
          <w:sz w:val="24"/>
          <w:szCs w:val="24"/>
        </w:rPr>
        <w:t>Cayapó e Panará: luta e sobrevivência de um povo Jê no Brasil Central.</w:t>
      </w:r>
    </w:p>
    <w:p w:rsidR="00D24E61" w:rsidRPr="00771368" w:rsidRDefault="00D24E61">
      <w:pPr>
        <w:rPr>
          <w:sz w:val="20"/>
          <w:szCs w:val="20"/>
        </w:rPr>
      </w:pPr>
      <w:r w:rsidRPr="00771368">
        <w:rPr>
          <w:sz w:val="24"/>
          <w:szCs w:val="24"/>
        </w:rPr>
        <w:t>Campinas: Editora da UNICAMP, 1991.</w:t>
      </w:r>
    </w:p>
    <w:p w:rsidR="00D24E61" w:rsidRPr="00771368" w:rsidRDefault="00D24E61">
      <w:pPr>
        <w:spacing w:line="335" w:lineRule="exact"/>
        <w:rPr>
          <w:sz w:val="20"/>
          <w:szCs w:val="20"/>
        </w:rPr>
      </w:pPr>
    </w:p>
    <w:p w:rsidR="00D24E61" w:rsidRPr="00771368" w:rsidRDefault="00D24E61">
      <w:pPr>
        <w:spacing w:line="223" w:lineRule="auto"/>
        <w:jc w:val="both"/>
        <w:rPr>
          <w:sz w:val="20"/>
          <w:szCs w:val="20"/>
        </w:rPr>
      </w:pPr>
      <w:r w:rsidRPr="00771368">
        <w:rPr>
          <w:sz w:val="24"/>
          <w:szCs w:val="24"/>
        </w:rPr>
        <w:t xml:space="preserve">GIRAUDO, Laura. “Entre rupturas y retornos: la nueva cuestión indígena en América Latina”. In: ______(ed.). </w:t>
      </w:r>
      <w:r w:rsidRPr="00771368">
        <w:rPr>
          <w:i/>
          <w:iCs/>
          <w:sz w:val="24"/>
          <w:szCs w:val="24"/>
        </w:rPr>
        <w:t>Ciudadanía y derechos indígenas en América Latina: poblaciones,</w:t>
      </w:r>
      <w:r w:rsidRPr="00771368">
        <w:rPr>
          <w:sz w:val="24"/>
          <w:szCs w:val="24"/>
        </w:rPr>
        <w:t xml:space="preserve"> </w:t>
      </w:r>
      <w:r w:rsidRPr="00771368">
        <w:rPr>
          <w:i/>
          <w:iCs/>
          <w:sz w:val="24"/>
          <w:szCs w:val="24"/>
        </w:rPr>
        <w:t xml:space="preserve">estados y orden internacional. </w:t>
      </w:r>
      <w:r w:rsidRPr="00771368">
        <w:rPr>
          <w:sz w:val="24"/>
          <w:szCs w:val="24"/>
        </w:rPr>
        <w:t>Madrid: Centro de Estudios Políticos y Constitucionales, 2007.</w:t>
      </w:r>
    </w:p>
    <w:p w:rsidR="00D24E61" w:rsidRPr="00771368" w:rsidRDefault="00D24E61">
      <w:pPr>
        <w:sectPr w:rsidR="00D24E61" w:rsidRPr="00771368">
          <w:pgSz w:w="11900" w:h="16838"/>
          <w:pgMar w:top="1411" w:right="1400" w:bottom="1440" w:left="1420" w:header="0" w:footer="0" w:gutter="0"/>
          <w:cols w:space="720" w:equalWidth="0">
            <w:col w:w="9080"/>
          </w:cols>
        </w:sectPr>
      </w:pPr>
    </w:p>
    <w:p w:rsidR="00D24E61" w:rsidRPr="00771368" w:rsidRDefault="00D24E61">
      <w:pPr>
        <w:rPr>
          <w:sz w:val="20"/>
          <w:szCs w:val="20"/>
        </w:rPr>
      </w:pPr>
      <w:r w:rsidRPr="00771368">
        <w:rPr>
          <w:sz w:val="24"/>
          <w:szCs w:val="24"/>
        </w:rPr>
        <w:t>Cuadernos y Debates, n.179, pp. 7-57.</w:t>
      </w:r>
    </w:p>
    <w:p w:rsidR="00D24E61" w:rsidRPr="00771368" w:rsidRDefault="00D24E61">
      <w:pPr>
        <w:spacing w:line="334"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HEMMING, John. </w:t>
      </w:r>
      <w:r w:rsidRPr="00771368">
        <w:rPr>
          <w:i/>
          <w:iCs/>
          <w:sz w:val="24"/>
          <w:szCs w:val="24"/>
        </w:rPr>
        <w:t>Fronteira Amazônica: A derrota dos índios brasileiros.</w:t>
      </w:r>
      <w:r w:rsidRPr="00771368">
        <w:rPr>
          <w:sz w:val="24"/>
          <w:szCs w:val="24"/>
        </w:rPr>
        <w:t xml:space="preserve"> Trad. Antônio de Padua Danesi. São Paulo: EdUsp, 2009 (1978).</w:t>
      </w:r>
    </w:p>
    <w:p w:rsidR="00D24E61" w:rsidRPr="00771368" w:rsidRDefault="00D24E61">
      <w:pPr>
        <w:spacing w:line="336"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KARASCH, Mary. “Damiana da Cunha: catequista e sertanera (Goiás, siglos XVIII y XIX). In: SWEET, David G. &amp; NASH, Gary B. (orgs.). </w:t>
      </w:r>
      <w:r w:rsidRPr="00771368">
        <w:rPr>
          <w:i/>
          <w:iCs/>
          <w:sz w:val="24"/>
          <w:szCs w:val="24"/>
        </w:rPr>
        <w:t>Lucha por la supervivencia en la América</w:t>
      </w:r>
      <w:r w:rsidRPr="00771368">
        <w:rPr>
          <w:sz w:val="24"/>
          <w:szCs w:val="24"/>
        </w:rPr>
        <w:t xml:space="preserve"> </w:t>
      </w:r>
      <w:r w:rsidRPr="00771368">
        <w:rPr>
          <w:i/>
          <w:iCs/>
          <w:sz w:val="24"/>
          <w:szCs w:val="24"/>
        </w:rPr>
        <w:t xml:space="preserve">colonial. </w:t>
      </w:r>
      <w:r w:rsidRPr="00771368">
        <w:rPr>
          <w:sz w:val="24"/>
          <w:szCs w:val="24"/>
        </w:rPr>
        <w:t>México, D.F.: Fondo de Cultura Económica, 1987 (1981), pp. 85-97.</w:t>
      </w:r>
    </w:p>
    <w:p w:rsidR="00D24E61" w:rsidRPr="00771368" w:rsidRDefault="00D24E61">
      <w:pPr>
        <w:spacing w:line="335" w:lineRule="exact"/>
        <w:rPr>
          <w:sz w:val="20"/>
          <w:szCs w:val="20"/>
        </w:rPr>
      </w:pPr>
    </w:p>
    <w:p w:rsidR="00D24E61" w:rsidRPr="00771368" w:rsidRDefault="00D24E61">
      <w:pPr>
        <w:spacing w:line="229" w:lineRule="auto"/>
        <w:jc w:val="both"/>
        <w:rPr>
          <w:sz w:val="24"/>
          <w:szCs w:val="24"/>
        </w:rPr>
      </w:pPr>
      <w:r w:rsidRPr="00771368">
        <w:rPr>
          <w:sz w:val="24"/>
          <w:szCs w:val="24"/>
        </w:rPr>
        <w:t xml:space="preserve">LANGFUR, Hal. “Áreas proibidas e hierarquias contestadas: resistência indígena à incorporação colonial na mata atlântica setecentista”. Trad. Adelaine La Guardia. </w:t>
      </w:r>
      <w:hyperlink r:id="rId248">
        <w:r w:rsidRPr="00771368">
          <w:rPr>
            <w:sz w:val="24"/>
            <w:szCs w:val="24"/>
          </w:rPr>
          <w:t>In:</w:t>
        </w:r>
      </w:hyperlink>
      <w:r w:rsidRPr="00771368">
        <w:rPr>
          <w:sz w:val="24"/>
          <w:szCs w:val="24"/>
        </w:rPr>
        <w:t xml:space="preserve"> </w:t>
      </w:r>
      <w:hyperlink r:id="rId249">
        <w:r w:rsidRPr="00771368">
          <w:rPr>
            <w:sz w:val="24"/>
            <w:szCs w:val="24"/>
          </w:rPr>
          <w:t xml:space="preserve">MONTEIRO, Rodrigo Bentes; FEITLER, Bruno et al (orgs.). </w:t>
        </w:r>
        <w:r w:rsidRPr="00771368">
          <w:rPr>
            <w:i/>
            <w:iCs/>
            <w:sz w:val="24"/>
            <w:szCs w:val="24"/>
          </w:rPr>
          <w:t>Raízes do privilégio:</w:t>
        </w:r>
      </w:hyperlink>
      <w:r w:rsidRPr="00771368">
        <w:rPr>
          <w:sz w:val="24"/>
          <w:szCs w:val="24"/>
        </w:rPr>
        <w:t xml:space="preserve"> </w:t>
      </w:r>
      <w:hyperlink r:id="rId250">
        <w:r w:rsidRPr="00771368">
          <w:rPr>
            <w:i/>
            <w:iCs/>
            <w:sz w:val="24"/>
            <w:szCs w:val="24"/>
          </w:rPr>
          <w:t>mobilidade social no mundo ibérico do Antigo Regime. Rio de Janeiro</w:t>
        </w:r>
        <w:r w:rsidRPr="00771368">
          <w:rPr>
            <w:sz w:val="24"/>
            <w:szCs w:val="24"/>
          </w:rPr>
          <w:t>: Civilização Brasileira,</w:t>
        </w:r>
      </w:hyperlink>
      <w:r w:rsidRPr="00771368">
        <w:rPr>
          <w:i/>
          <w:iCs/>
          <w:sz w:val="24"/>
          <w:szCs w:val="24"/>
        </w:rPr>
        <w:t xml:space="preserve"> </w:t>
      </w:r>
      <w:hyperlink r:id="rId251">
        <w:r w:rsidRPr="00771368">
          <w:rPr>
            <w:sz w:val="24"/>
            <w:szCs w:val="24"/>
          </w:rPr>
          <w:t>2011, pp. 589-615.</w:t>
        </w:r>
      </w:hyperlink>
    </w:p>
    <w:p w:rsidR="00D24E61" w:rsidRPr="00771368" w:rsidRDefault="00D24E61">
      <w:pPr>
        <w:spacing w:line="282" w:lineRule="exact"/>
        <w:rPr>
          <w:sz w:val="24"/>
          <w:szCs w:val="24"/>
        </w:rPr>
      </w:pPr>
    </w:p>
    <w:p w:rsidR="00D24E61" w:rsidRPr="00771368" w:rsidRDefault="00295FC8">
      <w:pPr>
        <w:tabs>
          <w:tab w:val="left" w:pos="7940"/>
        </w:tabs>
        <w:spacing w:line="239" w:lineRule="auto"/>
        <w:rPr>
          <w:i/>
          <w:iCs/>
          <w:sz w:val="23"/>
          <w:szCs w:val="23"/>
        </w:rPr>
      </w:pPr>
      <w:hyperlink r:id="rId252">
        <w:r w:rsidR="00D24E61" w:rsidRPr="00771368">
          <w:rPr>
            <w:sz w:val="24"/>
            <w:szCs w:val="24"/>
          </w:rPr>
          <w:t xml:space="preserve">LASMAR, Cristiane. “Mulheres indígenas: representações”.  </w:t>
        </w:r>
        <w:r w:rsidR="00D24E61" w:rsidRPr="00771368">
          <w:rPr>
            <w:i/>
            <w:iCs/>
            <w:sz w:val="24"/>
            <w:szCs w:val="24"/>
          </w:rPr>
          <w:t>Revista Estudos</w:t>
        </w:r>
      </w:hyperlink>
      <w:r w:rsidR="00D24E61" w:rsidRPr="00771368">
        <w:rPr>
          <w:sz w:val="24"/>
          <w:szCs w:val="24"/>
        </w:rPr>
        <w:tab/>
      </w:r>
      <w:hyperlink r:id="rId253">
        <w:r w:rsidR="00D24E61" w:rsidRPr="00771368">
          <w:rPr>
            <w:i/>
            <w:iCs/>
            <w:sz w:val="23"/>
            <w:szCs w:val="23"/>
          </w:rPr>
          <w:t>Feministas.</w:t>
        </w:r>
      </w:hyperlink>
    </w:p>
    <w:p w:rsidR="00D24E61" w:rsidRPr="00771368" w:rsidRDefault="00D24E61">
      <w:pPr>
        <w:spacing w:line="58" w:lineRule="exact"/>
        <w:rPr>
          <w:sz w:val="20"/>
          <w:szCs w:val="20"/>
        </w:rPr>
      </w:pPr>
    </w:p>
    <w:p w:rsidR="00D24E61" w:rsidRPr="00771368" w:rsidRDefault="00295FC8">
      <w:pPr>
        <w:spacing w:line="214" w:lineRule="auto"/>
        <w:ind w:right="20"/>
        <w:jc w:val="both"/>
        <w:rPr>
          <w:sz w:val="24"/>
          <w:szCs w:val="24"/>
        </w:rPr>
      </w:pPr>
      <w:hyperlink r:id="rId254">
        <w:r w:rsidR="00D24E61" w:rsidRPr="00771368">
          <w:rPr>
            <w:sz w:val="24"/>
            <w:szCs w:val="24"/>
          </w:rPr>
          <w:t>Florianópolis, v.7, n.1 e 2, 1999. Disponível em:</w:t>
        </w:r>
      </w:hyperlink>
      <w:r w:rsidR="00D24E61" w:rsidRPr="00771368">
        <w:rPr>
          <w:sz w:val="24"/>
          <w:szCs w:val="24"/>
        </w:rPr>
        <w:t xml:space="preserve"> </w:t>
      </w:r>
      <w:hyperlink r:id="rId255">
        <w:r w:rsidR="00D24E61" w:rsidRPr="00771368">
          <w:rPr>
            <w:sz w:val="24"/>
            <w:szCs w:val="24"/>
          </w:rPr>
          <w:t>http://150.162.1.115/index.php/ref/article/viewFile/11989/11264.</w:t>
        </w:r>
      </w:hyperlink>
    </w:p>
    <w:p w:rsidR="00D24E61" w:rsidRPr="00771368" w:rsidRDefault="00D24E61">
      <w:pPr>
        <w:spacing w:line="336"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MARTÍN, Maria Tereza Díez. “Perspectivas historiográficas: mujeres indias en la sociedad colonial hispanoamericana”. </w:t>
      </w:r>
      <w:r w:rsidRPr="00771368">
        <w:rPr>
          <w:i/>
          <w:iCs/>
          <w:sz w:val="24"/>
          <w:szCs w:val="24"/>
        </w:rPr>
        <w:t>Espacio, Tiempo y Forma,</w:t>
      </w:r>
      <w:r w:rsidRPr="00771368">
        <w:rPr>
          <w:sz w:val="24"/>
          <w:szCs w:val="24"/>
        </w:rPr>
        <w:t xml:space="preserve"> Serie IV, Historia Moderna, t. 17, 2004, pp. 215-253.</w:t>
      </w:r>
    </w:p>
    <w:p w:rsidR="00D24E61" w:rsidRPr="00771368" w:rsidRDefault="00D24E61">
      <w:pPr>
        <w:spacing w:line="335" w:lineRule="exact"/>
        <w:rPr>
          <w:sz w:val="20"/>
          <w:szCs w:val="20"/>
        </w:rPr>
      </w:pPr>
    </w:p>
    <w:p w:rsidR="00D24E61" w:rsidRPr="00771368" w:rsidRDefault="00D24E61">
      <w:pPr>
        <w:spacing w:line="223" w:lineRule="auto"/>
        <w:ind w:right="20"/>
        <w:jc w:val="both"/>
        <w:rPr>
          <w:sz w:val="20"/>
          <w:szCs w:val="20"/>
        </w:rPr>
      </w:pPr>
      <w:r w:rsidRPr="00771368">
        <w:rPr>
          <w:sz w:val="24"/>
          <w:szCs w:val="24"/>
        </w:rPr>
        <w:t>MONTEIRO, John</w:t>
      </w:r>
      <w:r w:rsidRPr="00771368">
        <w:rPr>
          <w:i/>
          <w:iCs/>
          <w:sz w:val="24"/>
          <w:szCs w:val="24"/>
        </w:rPr>
        <w:t>. Tupis, tapuias e historiadores: estudos de história indígena e do</w:t>
      </w:r>
      <w:r w:rsidRPr="00771368">
        <w:rPr>
          <w:sz w:val="24"/>
          <w:szCs w:val="24"/>
        </w:rPr>
        <w:t xml:space="preserve"> </w:t>
      </w:r>
      <w:r w:rsidRPr="00771368">
        <w:rPr>
          <w:i/>
          <w:iCs/>
          <w:sz w:val="24"/>
          <w:szCs w:val="24"/>
        </w:rPr>
        <w:t>indigenismo</w:t>
      </w:r>
      <w:r w:rsidRPr="00771368">
        <w:rPr>
          <w:sz w:val="24"/>
          <w:szCs w:val="24"/>
        </w:rPr>
        <w:t>. Tese apresentada ao concurso de livre docência no departamento de</w:t>
      </w:r>
      <w:r w:rsidRPr="00771368">
        <w:rPr>
          <w:i/>
          <w:iCs/>
          <w:sz w:val="24"/>
          <w:szCs w:val="24"/>
        </w:rPr>
        <w:t xml:space="preserve"> </w:t>
      </w:r>
      <w:r w:rsidRPr="00771368">
        <w:rPr>
          <w:sz w:val="24"/>
          <w:szCs w:val="24"/>
        </w:rPr>
        <w:t>antropologia na Universidade Estadual de Campinas. Campinas, 2001.</w:t>
      </w:r>
    </w:p>
    <w:p w:rsidR="00D24E61" w:rsidRPr="00771368" w:rsidRDefault="00D24E61">
      <w:pPr>
        <w:spacing w:line="335"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POLONI-SIMARD, Jacques. </w:t>
      </w:r>
      <w:r w:rsidRPr="00771368">
        <w:rPr>
          <w:i/>
          <w:iCs/>
          <w:sz w:val="24"/>
          <w:szCs w:val="24"/>
        </w:rPr>
        <w:t>El mosaico indígena: movilidad, estratificación social y</w:t>
      </w:r>
      <w:r w:rsidRPr="00771368">
        <w:rPr>
          <w:sz w:val="24"/>
          <w:szCs w:val="24"/>
        </w:rPr>
        <w:t xml:space="preserve"> </w:t>
      </w:r>
      <w:r w:rsidRPr="00771368">
        <w:rPr>
          <w:i/>
          <w:iCs/>
          <w:sz w:val="24"/>
          <w:szCs w:val="24"/>
        </w:rPr>
        <w:t xml:space="preserve">mestizage en el corregimiento de Cuenca (Ecuador) del siglo XVI al XVIII. </w:t>
      </w:r>
      <w:r w:rsidRPr="00771368">
        <w:rPr>
          <w:sz w:val="24"/>
          <w:szCs w:val="24"/>
        </w:rPr>
        <w:t>Quito: Abya-Yala, 2006.</w:t>
      </w:r>
    </w:p>
    <w:p w:rsidR="00D24E61" w:rsidRPr="00771368" w:rsidRDefault="00D24E61">
      <w:pPr>
        <w:spacing w:line="335"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______. “Historia de los indios en los Andes, los indígenas en la historiografía andina: análisis y propuestas”. </w:t>
      </w:r>
      <w:r w:rsidRPr="00771368">
        <w:rPr>
          <w:i/>
          <w:iCs/>
          <w:sz w:val="24"/>
          <w:szCs w:val="24"/>
        </w:rPr>
        <w:t>Nuevo Mundo Mundos Nuevos,</w:t>
      </w:r>
      <w:r w:rsidRPr="00771368">
        <w:rPr>
          <w:sz w:val="24"/>
          <w:szCs w:val="24"/>
        </w:rPr>
        <w:t xml:space="preserve"> BAC – Biblioteca de Autores del Centro, 2005, [Online]. Disponível em: http://nuevomundo.revues.org/651.</w:t>
      </w:r>
    </w:p>
    <w:p w:rsidR="00D24E61" w:rsidRPr="00771368" w:rsidRDefault="00D24E61">
      <w:pPr>
        <w:spacing w:line="333"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QUIJADA, Mónica. “¿Hijos de los barcos o diversidad invisibilizada? La articulación de la población indígena en la construcción nacional argentina (siglo XIX)”. </w:t>
      </w:r>
      <w:r w:rsidRPr="00771368">
        <w:rPr>
          <w:i/>
          <w:iCs/>
          <w:sz w:val="24"/>
          <w:szCs w:val="24"/>
        </w:rPr>
        <w:t>Historia Mexicana,</w:t>
      </w:r>
      <w:r w:rsidRPr="00771368">
        <w:rPr>
          <w:sz w:val="24"/>
          <w:szCs w:val="24"/>
        </w:rPr>
        <w:t xml:space="preserve"> </w:t>
      </w:r>
      <w:r w:rsidRPr="00771368">
        <w:rPr>
          <w:i/>
          <w:iCs/>
          <w:sz w:val="24"/>
          <w:szCs w:val="24"/>
        </w:rPr>
        <w:t>vol. 53, n.2, 2003, pp. 469-510.</w:t>
      </w:r>
    </w:p>
    <w:p w:rsidR="00D24E61" w:rsidRPr="00771368" w:rsidRDefault="00D24E61">
      <w:pPr>
        <w:spacing w:line="335" w:lineRule="exact"/>
        <w:rPr>
          <w:sz w:val="20"/>
          <w:szCs w:val="20"/>
        </w:rPr>
      </w:pPr>
    </w:p>
    <w:p w:rsidR="00D24E61" w:rsidRPr="00771368" w:rsidRDefault="00D24E61">
      <w:pPr>
        <w:spacing w:line="223" w:lineRule="auto"/>
        <w:ind w:right="20"/>
        <w:jc w:val="both"/>
        <w:rPr>
          <w:sz w:val="20"/>
          <w:szCs w:val="20"/>
        </w:rPr>
      </w:pPr>
      <w:r w:rsidRPr="00771368">
        <w:rPr>
          <w:i/>
          <w:iCs/>
          <w:sz w:val="24"/>
          <w:szCs w:val="24"/>
        </w:rPr>
        <w:t xml:space="preserve">______. </w:t>
      </w:r>
      <w:r w:rsidRPr="00771368">
        <w:rPr>
          <w:sz w:val="24"/>
          <w:szCs w:val="24"/>
        </w:rPr>
        <w:t>“El paradigma de la homogeneidad”.</w:t>
      </w:r>
      <w:r w:rsidRPr="00771368">
        <w:rPr>
          <w:i/>
          <w:iCs/>
          <w:sz w:val="24"/>
          <w:szCs w:val="24"/>
        </w:rPr>
        <w:t xml:space="preserve"> </w:t>
      </w:r>
      <w:r w:rsidRPr="00D61223">
        <w:rPr>
          <w:sz w:val="24"/>
          <w:szCs w:val="24"/>
          <w:lang w:val="en-US"/>
        </w:rPr>
        <w:t>In: QUIJADA, Mónica; BERNAND, Carmen;</w:t>
      </w:r>
      <w:r w:rsidRPr="00D61223">
        <w:rPr>
          <w:i/>
          <w:iCs/>
          <w:sz w:val="24"/>
          <w:szCs w:val="24"/>
          <w:lang w:val="en-US"/>
        </w:rPr>
        <w:t xml:space="preserve"> </w:t>
      </w:r>
      <w:r w:rsidRPr="00D61223">
        <w:rPr>
          <w:sz w:val="24"/>
          <w:szCs w:val="24"/>
          <w:lang w:val="en-US"/>
        </w:rPr>
        <w:t xml:space="preserve">SCHNEIDER, Arnd (coord.). </w:t>
      </w:r>
      <w:r w:rsidRPr="00771368">
        <w:rPr>
          <w:i/>
          <w:iCs/>
          <w:sz w:val="24"/>
          <w:szCs w:val="24"/>
        </w:rPr>
        <w:t>Homogeneidad y nación con un estudio de caso: Argentina,</w:t>
      </w:r>
      <w:r w:rsidRPr="00771368">
        <w:rPr>
          <w:sz w:val="24"/>
          <w:szCs w:val="24"/>
        </w:rPr>
        <w:t xml:space="preserve"> </w:t>
      </w:r>
      <w:r w:rsidRPr="00771368">
        <w:rPr>
          <w:i/>
          <w:iCs/>
          <w:sz w:val="24"/>
          <w:szCs w:val="24"/>
        </w:rPr>
        <w:t xml:space="preserve">siglos XIX y XX. </w:t>
      </w:r>
      <w:r w:rsidRPr="00771368">
        <w:rPr>
          <w:sz w:val="24"/>
          <w:szCs w:val="24"/>
        </w:rPr>
        <w:t>Madri: CSIC, 2000, pp. 15-55.</w:t>
      </w:r>
    </w:p>
    <w:p w:rsidR="00D24E61" w:rsidRPr="00771368" w:rsidRDefault="00D24E61">
      <w:pPr>
        <w:spacing w:line="335"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RADDING, Cynthia. "Introducción" &amp; "Mosaicos étnicos e identidades de género". In: </w:t>
      </w:r>
      <w:r w:rsidRPr="00771368">
        <w:rPr>
          <w:i/>
          <w:iCs/>
          <w:sz w:val="24"/>
          <w:szCs w:val="24"/>
        </w:rPr>
        <w:t>Paisajes de poder e identidad</w:t>
      </w:r>
      <w:r w:rsidRPr="00771368">
        <w:rPr>
          <w:sz w:val="24"/>
          <w:szCs w:val="24"/>
        </w:rPr>
        <w:t>. Sucre: Fundación Cultural del Banco Central de Bolivia, 2005.</w:t>
      </w:r>
      <w:r w:rsidRPr="00771368">
        <w:rPr>
          <w:i/>
          <w:iCs/>
          <w:sz w:val="24"/>
          <w:szCs w:val="24"/>
        </w:rPr>
        <w:t xml:space="preserve"> </w:t>
      </w:r>
      <w:r w:rsidRPr="00771368">
        <w:rPr>
          <w:sz w:val="24"/>
          <w:szCs w:val="24"/>
        </w:rPr>
        <w:t>pp.11-42 e 177-234.</w:t>
      </w:r>
    </w:p>
    <w:p w:rsidR="00D24E61" w:rsidRPr="00771368" w:rsidRDefault="00D24E61">
      <w:pPr>
        <w:spacing w:line="277" w:lineRule="exact"/>
        <w:rPr>
          <w:sz w:val="20"/>
          <w:szCs w:val="20"/>
        </w:rPr>
      </w:pPr>
    </w:p>
    <w:p w:rsidR="00D24E61" w:rsidRPr="00771368" w:rsidRDefault="00D24E61">
      <w:pPr>
        <w:rPr>
          <w:sz w:val="20"/>
          <w:szCs w:val="20"/>
        </w:rPr>
      </w:pPr>
      <w:r w:rsidRPr="00771368">
        <w:rPr>
          <w:sz w:val="24"/>
          <w:szCs w:val="24"/>
        </w:rPr>
        <w:t>SCOTT, Joan W. “El género: una categoria útil para el análisis histórico”. In: LAMAS, Marta</w:t>
      </w:r>
    </w:p>
    <w:p w:rsidR="00D24E61" w:rsidRPr="00771368" w:rsidRDefault="00D24E61">
      <w:pPr>
        <w:spacing w:line="58" w:lineRule="exact"/>
        <w:rPr>
          <w:sz w:val="20"/>
          <w:szCs w:val="20"/>
        </w:rPr>
      </w:pPr>
    </w:p>
    <w:p w:rsidR="00D24E61" w:rsidRPr="00771368" w:rsidRDefault="00D24E61">
      <w:pPr>
        <w:spacing w:line="214" w:lineRule="auto"/>
        <w:ind w:right="20"/>
        <w:jc w:val="both"/>
        <w:rPr>
          <w:sz w:val="24"/>
          <w:szCs w:val="24"/>
        </w:rPr>
      </w:pPr>
      <w:r w:rsidRPr="00771368">
        <w:rPr>
          <w:sz w:val="24"/>
          <w:szCs w:val="24"/>
        </w:rPr>
        <w:t>(org.)</w:t>
      </w:r>
      <w:r w:rsidRPr="00771368">
        <w:rPr>
          <w:i/>
          <w:iCs/>
          <w:sz w:val="24"/>
          <w:szCs w:val="24"/>
        </w:rPr>
        <w:t>. El género: la construcción cultural de la diferencia sexual.</w:t>
      </w:r>
      <w:r w:rsidRPr="00771368">
        <w:rPr>
          <w:sz w:val="24"/>
          <w:szCs w:val="24"/>
        </w:rPr>
        <w:t xml:space="preserve"> PUEG, México, 1996, pp.265-302. Disponível em: </w:t>
      </w:r>
      <w:hyperlink r:id="rId256">
        <w:r w:rsidRPr="00771368">
          <w:rPr>
            <w:sz w:val="24"/>
            <w:szCs w:val="24"/>
          </w:rPr>
          <w:t>http://www.cholonautas.edu.pe/modulo/upload/scott.pdf.</w:t>
        </w:r>
      </w:hyperlink>
    </w:p>
    <w:p w:rsidR="00D24E61" w:rsidRPr="00771368" w:rsidRDefault="00D24E61">
      <w:pPr>
        <w:sectPr w:rsidR="00D24E61" w:rsidRPr="00771368">
          <w:pgSz w:w="11900" w:h="16838"/>
          <w:pgMar w:top="1408" w:right="1400" w:bottom="1440" w:left="1420" w:header="0" w:footer="0" w:gutter="0"/>
          <w:cols w:space="720" w:equalWidth="0">
            <w:col w:w="9080"/>
          </w:cols>
        </w:sectPr>
      </w:pPr>
    </w:p>
    <w:p w:rsidR="00D24E61" w:rsidRPr="00771368" w:rsidRDefault="00D24E61">
      <w:pPr>
        <w:spacing w:line="303" w:lineRule="exact"/>
        <w:rPr>
          <w:sz w:val="20"/>
          <w:szCs w:val="20"/>
        </w:rPr>
      </w:pPr>
    </w:p>
    <w:p w:rsidR="00D24E61" w:rsidRPr="00771368" w:rsidRDefault="00295FC8">
      <w:pPr>
        <w:spacing w:line="227" w:lineRule="auto"/>
        <w:ind w:right="20"/>
        <w:jc w:val="both"/>
        <w:rPr>
          <w:sz w:val="24"/>
          <w:szCs w:val="24"/>
        </w:rPr>
      </w:pPr>
      <w:hyperlink r:id="rId257">
        <w:r w:rsidR="00D24E61" w:rsidRPr="00771368">
          <w:rPr>
            <w:sz w:val="24"/>
            <w:szCs w:val="24"/>
          </w:rPr>
          <w:t>SOMMER, Barbara A.“Adquirindo e defendendo os privilégios concedidos pela coroa no</w:t>
        </w:r>
      </w:hyperlink>
      <w:r w:rsidR="00D24E61" w:rsidRPr="00771368">
        <w:rPr>
          <w:sz w:val="24"/>
          <w:szCs w:val="24"/>
        </w:rPr>
        <w:t xml:space="preserve"> </w:t>
      </w:r>
      <w:hyperlink r:id="rId258">
        <w:r w:rsidR="00D24E61" w:rsidRPr="00771368">
          <w:rPr>
            <w:sz w:val="24"/>
            <w:szCs w:val="24"/>
          </w:rPr>
          <w:t>norte do Brasil”. Trad. Ana Letícia Fauri. In: MONTEIRO, Rodrigo Bentes; FEITLER, Bruno</w:t>
        </w:r>
      </w:hyperlink>
      <w:r w:rsidR="00D24E61" w:rsidRPr="00771368">
        <w:rPr>
          <w:sz w:val="24"/>
          <w:szCs w:val="24"/>
        </w:rPr>
        <w:t xml:space="preserve"> </w:t>
      </w:r>
      <w:hyperlink r:id="rId259">
        <w:r w:rsidR="00D24E61" w:rsidRPr="00771368">
          <w:rPr>
            <w:sz w:val="24"/>
            <w:szCs w:val="24"/>
          </w:rPr>
          <w:t xml:space="preserve">et al (orgs.). </w:t>
        </w:r>
        <w:r w:rsidR="00D24E61" w:rsidRPr="00771368">
          <w:rPr>
            <w:i/>
            <w:iCs/>
            <w:sz w:val="24"/>
            <w:szCs w:val="24"/>
          </w:rPr>
          <w:t>Raízes do privilégio: mobilidade social no mundo ibérico do Antigo Regime</w:t>
        </w:r>
        <w:r w:rsidR="00D24E61" w:rsidRPr="00771368">
          <w:rPr>
            <w:sz w:val="24"/>
            <w:szCs w:val="24"/>
          </w:rPr>
          <w:t>. Rio</w:t>
        </w:r>
      </w:hyperlink>
      <w:r w:rsidR="00D24E61" w:rsidRPr="00771368">
        <w:rPr>
          <w:sz w:val="24"/>
          <w:szCs w:val="24"/>
        </w:rPr>
        <w:t xml:space="preserve"> </w:t>
      </w:r>
      <w:hyperlink r:id="rId260">
        <w:r w:rsidR="00D24E61" w:rsidRPr="00771368">
          <w:rPr>
            <w:sz w:val="24"/>
            <w:szCs w:val="24"/>
          </w:rPr>
          <w:t>de Janeiro: Civilização Brasileira, 2011, pp. 619-638.</w:t>
        </w:r>
      </w:hyperlink>
    </w:p>
    <w:p w:rsidR="00D24E61" w:rsidRPr="00771368" w:rsidRDefault="00D24E61">
      <w:pPr>
        <w:spacing w:line="336" w:lineRule="exact"/>
        <w:rPr>
          <w:sz w:val="24"/>
          <w:szCs w:val="24"/>
        </w:rPr>
      </w:pPr>
    </w:p>
    <w:p w:rsidR="00D24E61" w:rsidRPr="00771368" w:rsidRDefault="00295FC8">
      <w:pPr>
        <w:spacing w:line="223" w:lineRule="auto"/>
        <w:jc w:val="both"/>
        <w:rPr>
          <w:sz w:val="24"/>
          <w:szCs w:val="24"/>
        </w:rPr>
      </w:pPr>
      <w:hyperlink r:id="rId261">
        <w:r w:rsidR="00D24E61" w:rsidRPr="00771368">
          <w:rPr>
            <w:sz w:val="24"/>
            <w:szCs w:val="24"/>
          </w:rPr>
          <w:t xml:space="preserve">TILLY, Louise A .“Gênero, História das Mulheres e História Social”. </w:t>
        </w:r>
        <w:r w:rsidR="00D24E61" w:rsidRPr="00771368">
          <w:rPr>
            <w:i/>
            <w:iCs/>
            <w:sz w:val="24"/>
            <w:szCs w:val="24"/>
          </w:rPr>
          <w:t>Cadernos Pagu</w:t>
        </w:r>
        <w:r w:rsidR="00D24E61" w:rsidRPr="00771368">
          <w:rPr>
            <w:sz w:val="24"/>
            <w:szCs w:val="24"/>
          </w:rPr>
          <w:t xml:space="preserve"> (3),</w:t>
        </w:r>
      </w:hyperlink>
      <w:r w:rsidR="00D24E61" w:rsidRPr="00771368">
        <w:rPr>
          <w:sz w:val="24"/>
          <w:szCs w:val="24"/>
        </w:rPr>
        <w:t xml:space="preserve"> </w:t>
      </w:r>
      <w:hyperlink r:id="rId262">
        <w:r w:rsidR="00D24E61" w:rsidRPr="00771368">
          <w:rPr>
            <w:sz w:val="24"/>
            <w:szCs w:val="24"/>
          </w:rPr>
          <w:t>1994, pp. 29-62. Disponível em</w:t>
        </w:r>
      </w:hyperlink>
      <w:r w:rsidR="00D24E61" w:rsidRPr="00771368">
        <w:rPr>
          <w:sz w:val="24"/>
          <w:szCs w:val="24"/>
        </w:rPr>
        <w:t xml:space="preserve"> </w:t>
      </w:r>
      <w:hyperlink r:id="rId263">
        <w:r w:rsidR="00D24E61" w:rsidRPr="00771368">
          <w:rPr>
            <w:sz w:val="24"/>
            <w:szCs w:val="24"/>
          </w:rPr>
          <w:t>http://www.pagu.unicamp.br/sites/www.pagu.unicamp.br/files/pagu03.03.pdf</w:t>
        </w:r>
      </w:hyperlink>
    </w:p>
    <w:p w:rsidR="00D24E61" w:rsidRPr="00771368" w:rsidRDefault="00D24E61">
      <w:pPr>
        <w:spacing w:line="335" w:lineRule="exact"/>
        <w:rPr>
          <w:sz w:val="24"/>
          <w:szCs w:val="24"/>
        </w:rPr>
      </w:pPr>
    </w:p>
    <w:p w:rsidR="00D24E61" w:rsidRDefault="00295FC8">
      <w:pPr>
        <w:spacing w:line="223" w:lineRule="auto"/>
        <w:ind w:right="20"/>
        <w:jc w:val="both"/>
      </w:pPr>
      <w:hyperlink r:id="rId264">
        <w:r w:rsidR="00D24E61" w:rsidRPr="00771368">
          <w:rPr>
            <w:sz w:val="24"/>
            <w:szCs w:val="24"/>
          </w:rPr>
          <w:t xml:space="preserve">ZAMBRANO ESCOVAR, Marta. </w:t>
        </w:r>
        <w:r w:rsidR="00D24E61" w:rsidRPr="00771368">
          <w:rPr>
            <w:i/>
            <w:iCs/>
            <w:sz w:val="24"/>
            <w:szCs w:val="24"/>
          </w:rPr>
          <w:t>Trabajadores, villanos y amantes: encuentros entre</w:t>
        </w:r>
      </w:hyperlink>
      <w:r w:rsidR="00D24E61" w:rsidRPr="00771368">
        <w:rPr>
          <w:sz w:val="24"/>
          <w:szCs w:val="24"/>
        </w:rPr>
        <w:t xml:space="preserve"> </w:t>
      </w:r>
      <w:hyperlink r:id="rId265">
        <w:r w:rsidR="00D24E61" w:rsidRPr="00771368">
          <w:rPr>
            <w:i/>
            <w:iCs/>
            <w:sz w:val="24"/>
            <w:szCs w:val="24"/>
          </w:rPr>
          <w:t xml:space="preserve">indígenas y españoles en la ciudad letrada. </w:t>
        </w:r>
        <w:r w:rsidR="00D24E61" w:rsidRPr="00771368">
          <w:rPr>
            <w:sz w:val="24"/>
            <w:szCs w:val="24"/>
          </w:rPr>
          <w:t>Santa Fe de Bogotá (1550-1650). Bogotá:</w:t>
        </w:r>
      </w:hyperlink>
      <w:r w:rsidR="00D24E61" w:rsidRPr="00771368">
        <w:rPr>
          <w:i/>
          <w:iCs/>
          <w:sz w:val="24"/>
          <w:szCs w:val="24"/>
        </w:rPr>
        <w:t xml:space="preserve"> </w:t>
      </w:r>
      <w:hyperlink r:id="rId266">
        <w:r w:rsidR="00D24E61" w:rsidRPr="00771368">
          <w:rPr>
            <w:sz w:val="24"/>
            <w:szCs w:val="24"/>
          </w:rPr>
          <w:t>Instituto Colombiano de Antropologia e História, 2008.</w:t>
        </w:r>
      </w:hyperlink>
    </w:p>
    <w:p w:rsidR="00283E5E" w:rsidRPr="00771368" w:rsidRDefault="00283E5E">
      <w:pPr>
        <w:spacing w:line="223" w:lineRule="auto"/>
        <w:ind w:right="20"/>
        <w:jc w:val="both"/>
        <w:rPr>
          <w:sz w:val="24"/>
          <w:szCs w:val="24"/>
        </w:rPr>
      </w:pPr>
    </w:p>
    <w:p w:rsidR="00D24E61" w:rsidRPr="00771368" w:rsidRDefault="00D24E61">
      <w:pPr>
        <w:spacing w:line="184" w:lineRule="exact"/>
        <w:rPr>
          <w:sz w:val="24"/>
          <w:szCs w:val="24"/>
        </w:rPr>
      </w:pPr>
    </w:p>
    <w:p w:rsidR="00D24E61" w:rsidRPr="00771368" w:rsidRDefault="00D24E61">
      <w:pPr>
        <w:spacing w:line="276" w:lineRule="auto"/>
        <w:ind w:left="220" w:right="220" w:firstLine="456"/>
        <w:rPr>
          <w:sz w:val="20"/>
          <w:szCs w:val="20"/>
        </w:rPr>
      </w:pPr>
      <w:r w:rsidRPr="00771368">
        <w:rPr>
          <w:b/>
          <w:bCs/>
          <w:sz w:val="28"/>
          <w:szCs w:val="28"/>
        </w:rPr>
        <w:t>Jogos de Poder: Os Vídeo Games como Criadores, Mantedores e Modificadores de Representações Marcadas por Estereótipos de Gênero</w:t>
      </w:r>
    </w:p>
    <w:p w:rsidR="00D24E61" w:rsidRPr="00771368" w:rsidRDefault="00D24E61">
      <w:pPr>
        <w:spacing w:line="140" w:lineRule="exact"/>
        <w:rPr>
          <w:sz w:val="24"/>
          <w:szCs w:val="24"/>
        </w:rPr>
      </w:pPr>
    </w:p>
    <w:p w:rsidR="00D24E61" w:rsidRPr="00771368" w:rsidRDefault="00D24E61">
      <w:pPr>
        <w:ind w:left="1600"/>
        <w:rPr>
          <w:sz w:val="20"/>
          <w:szCs w:val="20"/>
        </w:rPr>
      </w:pPr>
      <w:bookmarkStart w:id="58" w:name="_Toc442034747"/>
      <w:r w:rsidRPr="00283E5E">
        <w:rPr>
          <w:rStyle w:val="Ttulo1Char"/>
        </w:rPr>
        <w:t>Juliana Saldanha Romanus</w:t>
      </w:r>
      <w:bookmarkEnd w:id="58"/>
      <w:r w:rsidRPr="00771368">
        <w:rPr>
          <w:sz w:val="20"/>
          <w:szCs w:val="20"/>
        </w:rPr>
        <w:t>, Graduada em Tecnologia em Design Gráfico</w:t>
      </w:r>
    </w:p>
    <w:p w:rsidR="00D24E61" w:rsidRPr="00771368" w:rsidRDefault="00D24E61">
      <w:pPr>
        <w:ind w:left="3020"/>
        <w:rPr>
          <w:sz w:val="20"/>
          <w:szCs w:val="20"/>
        </w:rPr>
      </w:pPr>
      <w:r w:rsidRPr="00771368">
        <w:rPr>
          <w:sz w:val="20"/>
          <w:szCs w:val="20"/>
        </w:rPr>
        <w:t>UTFPR, juliana.romanus@gmail.com</w:t>
      </w:r>
    </w:p>
    <w:p w:rsidR="00D24E61" w:rsidRPr="00771368" w:rsidRDefault="00D24E61">
      <w:pPr>
        <w:spacing w:line="230" w:lineRule="exact"/>
        <w:rPr>
          <w:sz w:val="24"/>
          <w:szCs w:val="24"/>
        </w:rPr>
      </w:pPr>
    </w:p>
    <w:p w:rsidR="00D24E61" w:rsidRPr="00771368" w:rsidRDefault="00D24E61">
      <w:pPr>
        <w:ind w:left="2700"/>
        <w:rPr>
          <w:sz w:val="20"/>
          <w:szCs w:val="20"/>
        </w:rPr>
      </w:pPr>
      <w:r w:rsidRPr="00771368">
        <w:rPr>
          <w:sz w:val="20"/>
          <w:szCs w:val="20"/>
        </w:rPr>
        <w:t>Orientação: Marinês Ribeiro dos Santos, Dra.</w:t>
      </w:r>
    </w:p>
    <w:p w:rsidR="00D24E61" w:rsidRPr="00771368" w:rsidRDefault="00D24E61">
      <w:pPr>
        <w:ind w:left="3340"/>
        <w:rPr>
          <w:sz w:val="20"/>
          <w:szCs w:val="20"/>
        </w:rPr>
      </w:pPr>
      <w:r w:rsidRPr="00771368">
        <w:rPr>
          <w:sz w:val="20"/>
          <w:szCs w:val="20"/>
        </w:rPr>
        <w:t>UTFPR, riberio@utfpr.edu.br</w:t>
      </w:r>
    </w:p>
    <w:p w:rsidR="00D24E61" w:rsidRPr="00771368" w:rsidRDefault="00D24E61">
      <w:pPr>
        <w:spacing w:line="200" w:lineRule="exact"/>
        <w:rPr>
          <w:sz w:val="24"/>
          <w:szCs w:val="24"/>
        </w:rPr>
      </w:pPr>
    </w:p>
    <w:p w:rsidR="00D24E61" w:rsidRPr="00771368" w:rsidRDefault="00D24E61">
      <w:pPr>
        <w:spacing w:line="209" w:lineRule="exact"/>
        <w:rPr>
          <w:sz w:val="24"/>
          <w:szCs w:val="24"/>
        </w:rPr>
      </w:pPr>
    </w:p>
    <w:p w:rsidR="00D24E61" w:rsidRPr="00771368" w:rsidRDefault="00D24E61">
      <w:pPr>
        <w:rPr>
          <w:sz w:val="20"/>
          <w:szCs w:val="20"/>
        </w:rPr>
      </w:pPr>
      <w:r w:rsidRPr="00771368">
        <w:rPr>
          <w:b/>
          <w:bCs/>
          <w:sz w:val="24"/>
          <w:szCs w:val="24"/>
        </w:rPr>
        <w:t>INTRODUÇÃO</w:t>
      </w:r>
    </w:p>
    <w:p w:rsidR="00D24E61" w:rsidRPr="00771368" w:rsidRDefault="00D24E61">
      <w:pPr>
        <w:spacing w:line="140" w:lineRule="exact"/>
        <w:rPr>
          <w:sz w:val="24"/>
          <w:szCs w:val="24"/>
        </w:rPr>
      </w:pPr>
    </w:p>
    <w:p w:rsidR="00D24E61" w:rsidRPr="00771368" w:rsidRDefault="00D24E61">
      <w:pPr>
        <w:spacing w:line="359" w:lineRule="auto"/>
        <w:ind w:firstLine="709"/>
        <w:jc w:val="both"/>
        <w:rPr>
          <w:sz w:val="20"/>
          <w:szCs w:val="20"/>
        </w:rPr>
      </w:pPr>
      <w:r w:rsidRPr="00771368">
        <w:rPr>
          <w:sz w:val="24"/>
          <w:szCs w:val="24"/>
        </w:rPr>
        <w:t>Este artigo surgiu como desmembramento da pesquisa realizada como trabalho de conclusão de curso de graduação, na qual se buscava a problematização de representações de tipos de masculinidades e feminilidades nos personagens de games que podem reforçar estereótipos de gênero. No presente texto, o enfoque priorizado tem como objetivo discutir os novos posicionamentos que vem surgindo acerca das representações de feminilidades usadas recorrentemente nos vídeo games. Os games são parte integrante da cultura visual e possuem um papel importante nas práticas de significação e posicionamento de sujeitos. Nos games, a forma como são apresentadas algumas características de gênero e como certos valores são colocados em evidência, podem servir como âncoras de identificação ou diferenciação dos indivíduos, contribuindo na construção de identidades.</w:t>
      </w:r>
    </w:p>
    <w:p w:rsidR="00D24E61" w:rsidRPr="00771368" w:rsidRDefault="00D24E61">
      <w:pPr>
        <w:spacing w:line="11" w:lineRule="exact"/>
        <w:rPr>
          <w:sz w:val="24"/>
          <w:szCs w:val="24"/>
        </w:rPr>
      </w:pPr>
    </w:p>
    <w:p w:rsidR="00D24E61" w:rsidRPr="00771368" w:rsidRDefault="00D24E61">
      <w:pPr>
        <w:spacing w:line="356" w:lineRule="auto"/>
        <w:ind w:firstLine="709"/>
        <w:jc w:val="both"/>
        <w:rPr>
          <w:sz w:val="20"/>
          <w:szCs w:val="20"/>
        </w:rPr>
      </w:pPr>
      <w:r w:rsidRPr="00771368">
        <w:rPr>
          <w:sz w:val="24"/>
          <w:szCs w:val="24"/>
        </w:rPr>
        <w:t>Como sugere Stuart Hall (1997), a partir de meados do séc. XX, a "virada cultural" vem orientando à prática das ciências humanas e sociais. Com essa virada os paradigmas de estudos sobre a cultura têm que ser expandidos. Portanto, conta-se com novos tipos de suporte para representações como objeto de investigação. As pesquisas sobre games localizam-se nesse contexto e os estudos nessa área ainda são muito recentes. No livro “Mapa do Jogo: A diversidade cultural dos games” organizado por Lucia Santaella e Mirna Feitoza (2008), há uma sessão intitulada “Games: emergência de um campo teórico”. A sessão reforça exatamente a ideia de que há poucos estudos acadêmicos no campo dos games.</w:t>
      </w:r>
    </w:p>
    <w:p w:rsidR="00D24E61" w:rsidRPr="00771368" w:rsidRDefault="00D24E61">
      <w:pPr>
        <w:spacing w:line="5" w:lineRule="exact"/>
        <w:rPr>
          <w:sz w:val="24"/>
          <w:szCs w:val="24"/>
        </w:rPr>
      </w:pPr>
    </w:p>
    <w:p w:rsidR="00D24E61" w:rsidRDefault="00D24E61">
      <w:pPr>
        <w:spacing w:line="351" w:lineRule="auto"/>
        <w:ind w:firstLine="709"/>
        <w:jc w:val="both"/>
        <w:rPr>
          <w:sz w:val="24"/>
          <w:szCs w:val="24"/>
        </w:rPr>
      </w:pPr>
      <w:r w:rsidRPr="00771368">
        <w:rPr>
          <w:sz w:val="24"/>
          <w:szCs w:val="24"/>
        </w:rPr>
        <w:t xml:space="preserve">Nos meios de comunicação contemporâneos como redes sociais, </w:t>
      </w:r>
      <w:r w:rsidRPr="00771368">
        <w:rPr>
          <w:i/>
          <w:iCs/>
          <w:sz w:val="24"/>
          <w:szCs w:val="24"/>
        </w:rPr>
        <w:t>videocasts</w:t>
      </w:r>
      <w:hyperlink w:anchor="page1">
        <w:r w:rsidRPr="00771368">
          <w:rPr>
            <w:i/>
            <w:iCs/>
            <w:sz w:val="31"/>
            <w:szCs w:val="31"/>
            <w:vertAlign w:val="superscript"/>
          </w:rPr>
          <w:t>1</w:t>
        </w:r>
        <w:r w:rsidRPr="00771368">
          <w:rPr>
            <w:sz w:val="24"/>
            <w:szCs w:val="24"/>
          </w:rPr>
          <w:t xml:space="preserve"> </w:t>
        </w:r>
      </w:hyperlink>
      <w:r w:rsidRPr="00771368">
        <w:rPr>
          <w:sz w:val="24"/>
          <w:szCs w:val="24"/>
        </w:rPr>
        <w:t>e blogs, o assunto da representação de feminilidades e masculinidades em vídeo games tem sido pauta, porém ainda timidamente. Em reportagem para a Folha de São Paulo algumas mulheres dão declarações sobre as impressões que tem dos jogos na atualidade. Conforme é possível observar no excerto apresentado a seguir, elas reivindicam um tratamento mais justo para as personagens femininas:</w:t>
      </w:r>
    </w:p>
    <w:p w:rsidR="00283E5E" w:rsidRPr="00771368" w:rsidRDefault="00283E5E" w:rsidP="00283E5E">
      <w:pPr>
        <w:spacing w:line="264" w:lineRule="auto"/>
        <w:ind w:left="2120"/>
        <w:jc w:val="both"/>
      </w:pPr>
      <w:r w:rsidRPr="00771368">
        <w:t>Além de frágeis, indefesas e incapazes de se cuidar sem a ajuda da figura patriarcal, há outro estereótipo propagado em larga escala pelo setor, da mulher como mero objeto sexual. [...] Para chamar a atenção do público masculino, que ainda corresponde à maior parcela dos jogadores, a indústria aposta em personagens sexualizadas, que têm atributos muitas vezes exagerados e vestem roupas curtas, coladas e decotadas.</w:t>
      </w:r>
      <w:hyperlink w:anchor="page2">
        <w:r w:rsidRPr="00771368">
          <w:rPr>
            <w:sz w:val="28"/>
            <w:szCs w:val="28"/>
            <w:vertAlign w:val="superscript"/>
          </w:rPr>
          <w:t>2</w:t>
        </w:r>
      </w:hyperlink>
    </w:p>
    <w:p w:rsidR="00283E5E" w:rsidRPr="00771368" w:rsidRDefault="00283E5E" w:rsidP="00283E5E">
      <w:pPr>
        <w:spacing w:line="364" w:lineRule="auto"/>
        <w:ind w:right="20" w:firstLine="709"/>
        <w:jc w:val="both"/>
        <w:rPr>
          <w:sz w:val="20"/>
          <w:szCs w:val="20"/>
        </w:rPr>
      </w:pPr>
      <w:r w:rsidRPr="00771368">
        <w:rPr>
          <w:sz w:val="24"/>
          <w:szCs w:val="24"/>
        </w:rPr>
        <w:t>A reportagem aponta que as grandes empresas produtoras de jogos não querem se arriscar a produzir um game com uma personagem principal mulher ou mesmo retratá-las de maneira que fujam dos clichês, pois acreditam que não haverá aceitação do mercado. Porém enquanto não se testar novas alternativas no desenvolvimento de personagens os estereótipos recorrentes são mantidos e reforçados. Uma das entrevistadas da reportagem, que é professora, psicóloga e pesquisadora sobre o tema, ressalta a importância de o vídeo game ser uma mídia inclusiva para que possa espelhar a diversidade que existe na vida cotidiana. Veremos mais adiante como alguns indivíduos tem se posicionado em relação às representações recorrentes e como essas opiniões se estabelecem e são postas em circulação.</w:t>
      </w:r>
    </w:p>
    <w:p w:rsidR="00283E5E" w:rsidRPr="00771368" w:rsidRDefault="00283E5E" w:rsidP="00283E5E">
      <w:pPr>
        <w:spacing w:line="371" w:lineRule="exact"/>
        <w:rPr>
          <w:sz w:val="20"/>
          <w:szCs w:val="20"/>
        </w:rPr>
      </w:pPr>
    </w:p>
    <w:p w:rsidR="00283E5E" w:rsidRPr="00771368" w:rsidRDefault="00283E5E" w:rsidP="00283E5E">
      <w:pPr>
        <w:rPr>
          <w:sz w:val="20"/>
          <w:szCs w:val="20"/>
        </w:rPr>
      </w:pPr>
      <w:r w:rsidRPr="00771368">
        <w:rPr>
          <w:b/>
          <w:bCs/>
          <w:sz w:val="24"/>
          <w:szCs w:val="24"/>
        </w:rPr>
        <w:t>OBJETIVOS</w:t>
      </w:r>
    </w:p>
    <w:p w:rsidR="00283E5E" w:rsidRPr="00771368" w:rsidRDefault="00283E5E" w:rsidP="00283E5E">
      <w:pPr>
        <w:spacing w:line="140" w:lineRule="exact"/>
        <w:rPr>
          <w:sz w:val="20"/>
          <w:szCs w:val="20"/>
        </w:rPr>
      </w:pPr>
    </w:p>
    <w:p w:rsidR="00283E5E" w:rsidRPr="00771368" w:rsidRDefault="00283E5E" w:rsidP="00283E5E">
      <w:pPr>
        <w:spacing w:line="370" w:lineRule="auto"/>
        <w:ind w:right="20" w:firstLine="708"/>
        <w:jc w:val="both"/>
        <w:rPr>
          <w:sz w:val="20"/>
          <w:szCs w:val="20"/>
        </w:rPr>
      </w:pPr>
      <w:r w:rsidRPr="00771368">
        <w:rPr>
          <w:sz w:val="24"/>
          <w:szCs w:val="24"/>
        </w:rPr>
        <w:t>O estudo apresentado nesse texto tem como foco a análise de personagens de vídeo games, visando a percepção de tipos de representações marcadas recorrentemente por estereótipos de gênero. A partir disso, objetiva-se também a discussão acerca dos questionamentos e contra-discursos suscitados por essas representações.</w:t>
      </w:r>
    </w:p>
    <w:p w:rsidR="00283E5E" w:rsidRPr="00771368" w:rsidRDefault="00283E5E" w:rsidP="00283E5E">
      <w:pPr>
        <w:rPr>
          <w:sz w:val="20"/>
          <w:szCs w:val="20"/>
        </w:rPr>
      </w:pPr>
      <w:r w:rsidRPr="00771368">
        <w:rPr>
          <w:b/>
          <w:bCs/>
          <w:sz w:val="24"/>
          <w:szCs w:val="24"/>
        </w:rPr>
        <w:t>METODOLOGIA</w:t>
      </w:r>
    </w:p>
    <w:p w:rsidR="00283E5E" w:rsidRPr="00771368" w:rsidRDefault="00283E5E" w:rsidP="00283E5E">
      <w:pPr>
        <w:spacing w:line="140" w:lineRule="exact"/>
        <w:rPr>
          <w:sz w:val="20"/>
          <w:szCs w:val="20"/>
        </w:rPr>
      </w:pPr>
    </w:p>
    <w:p w:rsidR="00283E5E" w:rsidRPr="00771368" w:rsidRDefault="00283E5E" w:rsidP="00283E5E">
      <w:pPr>
        <w:spacing w:line="365" w:lineRule="auto"/>
        <w:ind w:right="20" w:firstLine="708"/>
        <w:jc w:val="both"/>
        <w:rPr>
          <w:sz w:val="20"/>
          <w:szCs w:val="20"/>
        </w:rPr>
      </w:pPr>
      <w:r w:rsidRPr="00771368">
        <w:rPr>
          <w:sz w:val="24"/>
          <w:szCs w:val="24"/>
        </w:rPr>
        <w:t xml:space="preserve">A metodologia utilizada para o desenvolvimento do trabalho foi, principalmente, a revisão bibliográfica, visando a fundamentação teórica e a construção dos argumentos de pesquisa. Nesta etapa, foram reunidos autoras e autores, que transitam por áreas de conhecimento tais como: estudos de gênero, estudos culturais, estudos sobre a imagem e literatura sobre games. Num segundo momento, foram analisadas notícias, publicações, </w:t>
      </w:r>
    </w:p>
    <w:p w:rsidR="00D24E61" w:rsidRPr="00771368" w:rsidRDefault="00013211" w:rsidP="00283E5E">
      <w:pPr>
        <w:spacing w:line="200" w:lineRule="exact"/>
        <w:rPr>
          <w:sz w:val="24"/>
          <w:szCs w:val="24"/>
        </w:rPr>
      </w:pPr>
      <w:r>
        <w:rPr>
          <w:noProof/>
          <w:sz w:val="24"/>
          <w:szCs w:val="24"/>
        </w:rPr>
        <mc:AlternateContent>
          <mc:Choice Requires="wps">
            <w:drawing>
              <wp:anchor distT="0" distB="0" distL="0" distR="0" simplePos="0" relativeHeight="251676160" behindDoc="0" locked="0" layoutInCell="0" allowOverlap="1">
                <wp:simplePos x="0" y="0"/>
                <wp:positionH relativeFrom="column">
                  <wp:posOffset>-635</wp:posOffset>
                </wp:positionH>
                <wp:positionV relativeFrom="paragraph">
                  <wp:posOffset>123190</wp:posOffset>
                </wp:positionV>
                <wp:extent cx="1828165" cy="0"/>
                <wp:effectExtent l="8890" t="8890" r="10795" b="10160"/>
                <wp:wrapNone/>
                <wp:docPr id="25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9.7pt" to="143.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Z6FgIAACw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" o:allowincell="f" strokeweight=".48pt"/>
            </w:pict>
          </mc:Fallback>
        </mc:AlternateContent>
      </w:r>
    </w:p>
    <w:p w:rsidR="00D24E61" w:rsidRPr="00283E5E" w:rsidRDefault="00283E5E" w:rsidP="00283E5E">
      <w:pPr>
        <w:tabs>
          <w:tab w:val="left" w:pos="740"/>
        </w:tabs>
        <w:spacing w:line="239" w:lineRule="auto"/>
        <w:rPr>
          <w:sz w:val="20"/>
          <w:szCs w:val="20"/>
        </w:rPr>
      </w:pPr>
      <w:r>
        <w:rPr>
          <w:sz w:val="20"/>
          <w:szCs w:val="20"/>
        </w:rPr>
        <w:t>1.</w:t>
      </w:r>
      <w:r w:rsidR="00D24E61" w:rsidRPr="00283E5E">
        <w:rPr>
          <w:sz w:val="20"/>
          <w:szCs w:val="20"/>
        </w:rPr>
        <w:t>Arquivo digital, frequentemente em formato MP4, publicado através de podcasting na internet.</w:t>
      </w:r>
    </w:p>
    <w:p w:rsidR="00283E5E" w:rsidRPr="00283E5E" w:rsidRDefault="00283E5E" w:rsidP="00283E5E">
      <w:pPr>
        <w:spacing w:line="256" w:lineRule="auto"/>
        <w:ind w:right="20"/>
        <w:rPr>
          <w:color w:val="0000FF"/>
          <w:sz w:val="20"/>
          <w:szCs w:val="20"/>
        </w:rPr>
      </w:pPr>
      <w:r>
        <w:rPr>
          <w:sz w:val="20"/>
          <w:szCs w:val="20"/>
        </w:rPr>
        <w:t>2.</w:t>
      </w:r>
      <w:r w:rsidRPr="00283E5E">
        <w:rPr>
          <w:sz w:val="20"/>
          <w:szCs w:val="20"/>
        </w:rPr>
        <w:t>Reportagem para a Folha de São Paulo Online, disponível em: &lt;</w:t>
      </w:r>
      <w:hyperlink r:id="rId267">
        <w:r w:rsidRPr="00283E5E">
          <w:rPr>
            <w:color w:val="0000FF"/>
            <w:sz w:val="20"/>
            <w:szCs w:val="20"/>
          </w:rPr>
          <w:t>http://www1.folha.uol.com.br/tec/2013/09/ 1334778-cansadas-de- estereotipos-negativos-mulheres-querem-</w:t>
        </w:r>
      </w:hyperlink>
      <w:hyperlink r:id="rId268">
        <w:r w:rsidRPr="00283E5E">
          <w:rPr>
            <w:color w:val="0000FF"/>
            <w:sz w:val="20"/>
            <w:szCs w:val="20"/>
            <w:u w:val="single"/>
          </w:rPr>
          <w:t>tratamento-mais-justo-nos-games.shtml</w:t>
        </w:r>
      </w:hyperlink>
      <w:r w:rsidRPr="00283E5E">
        <w:rPr>
          <w:color w:val="000000"/>
          <w:sz w:val="20"/>
          <w:szCs w:val="20"/>
        </w:rPr>
        <w:t>&gt;</w:t>
      </w:r>
      <w:r w:rsidRPr="00283E5E">
        <w:rPr>
          <w:color w:val="0000FF"/>
          <w:sz w:val="20"/>
          <w:szCs w:val="20"/>
        </w:rPr>
        <w:t xml:space="preserve"> </w:t>
      </w:r>
      <w:r w:rsidRPr="00283E5E">
        <w:rPr>
          <w:color w:val="000000"/>
          <w:sz w:val="20"/>
          <w:szCs w:val="20"/>
        </w:rPr>
        <w:t>Acesso em 20 de setembro de 2013.</w:t>
      </w:r>
    </w:p>
    <w:p w:rsidR="00283E5E" w:rsidRPr="00283E5E" w:rsidRDefault="00283E5E" w:rsidP="00283E5E">
      <w:pPr>
        <w:tabs>
          <w:tab w:val="left" w:pos="740"/>
        </w:tabs>
        <w:spacing w:line="239" w:lineRule="auto"/>
        <w:rPr>
          <w:sz w:val="20"/>
          <w:szCs w:val="20"/>
        </w:rPr>
      </w:pPr>
    </w:p>
    <w:p w:rsidR="00D24E61" w:rsidRPr="00771368" w:rsidRDefault="00D24E61">
      <w:pPr>
        <w:spacing w:line="5" w:lineRule="exact"/>
        <w:rPr>
          <w:sz w:val="24"/>
          <w:szCs w:val="24"/>
        </w:rPr>
      </w:pP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283E5E" w:rsidRPr="00771368" w:rsidRDefault="00283E5E" w:rsidP="00283E5E">
      <w:pPr>
        <w:spacing w:line="365" w:lineRule="auto"/>
        <w:ind w:right="20"/>
        <w:jc w:val="both"/>
        <w:rPr>
          <w:sz w:val="20"/>
          <w:szCs w:val="20"/>
        </w:rPr>
      </w:pPr>
      <w:r w:rsidRPr="00771368">
        <w:rPr>
          <w:sz w:val="24"/>
          <w:szCs w:val="24"/>
        </w:rPr>
        <w:t>vídeos e comentários encontrados na internet como material empírico para a problematização de imagens e discursos sobre estereótipos de gênero.</w:t>
      </w:r>
    </w:p>
    <w:p w:rsidR="00D24E61" w:rsidRPr="00771368" w:rsidRDefault="00D24E61">
      <w:pPr>
        <w:spacing w:line="208" w:lineRule="exact"/>
        <w:rPr>
          <w:sz w:val="20"/>
          <w:szCs w:val="20"/>
        </w:rPr>
      </w:pPr>
    </w:p>
    <w:p w:rsidR="00D24E61" w:rsidRPr="00771368" w:rsidRDefault="00D24E61">
      <w:pPr>
        <w:spacing w:line="186" w:lineRule="exact"/>
        <w:rPr>
          <w:sz w:val="20"/>
          <w:szCs w:val="20"/>
        </w:rPr>
      </w:pPr>
    </w:p>
    <w:p w:rsidR="00D24E61" w:rsidRPr="00771368" w:rsidRDefault="00D24E61">
      <w:pPr>
        <w:rPr>
          <w:sz w:val="20"/>
          <w:szCs w:val="20"/>
        </w:rPr>
      </w:pPr>
      <w:r w:rsidRPr="00771368">
        <w:rPr>
          <w:b/>
          <w:bCs/>
          <w:sz w:val="24"/>
          <w:szCs w:val="24"/>
        </w:rPr>
        <w:t>RESULTADOS DA PESQUISA E DISCUSSÃO</w:t>
      </w:r>
    </w:p>
    <w:p w:rsidR="00D24E61" w:rsidRPr="00771368" w:rsidRDefault="00D24E61">
      <w:pPr>
        <w:spacing w:line="140" w:lineRule="exact"/>
        <w:rPr>
          <w:sz w:val="20"/>
          <w:szCs w:val="20"/>
        </w:rPr>
      </w:pPr>
    </w:p>
    <w:p w:rsidR="00D24E61" w:rsidRPr="00771368" w:rsidRDefault="00D24E61">
      <w:pPr>
        <w:ind w:left="700"/>
        <w:rPr>
          <w:sz w:val="20"/>
          <w:szCs w:val="20"/>
        </w:rPr>
      </w:pPr>
      <w:r w:rsidRPr="00771368">
        <w:rPr>
          <w:sz w:val="24"/>
          <w:szCs w:val="24"/>
          <w:u w:val="single"/>
        </w:rPr>
        <w:t>Conceitos</w:t>
      </w:r>
    </w:p>
    <w:p w:rsidR="00D24E61" w:rsidRPr="00771368" w:rsidRDefault="00D24E61">
      <w:pPr>
        <w:spacing w:line="138" w:lineRule="exact"/>
        <w:rPr>
          <w:sz w:val="20"/>
          <w:szCs w:val="20"/>
        </w:rPr>
      </w:pPr>
    </w:p>
    <w:p w:rsidR="00D24E61" w:rsidRPr="00771368" w:rsidRDefault="00D24E61">
      <w:pPr>
        <w:spacing w:line="360" w:lineRule="auto"/>
        <w:ind w:firstLine="709"/>
        <w:jc w:val="both"/>
        <w:rPr>
          <w:sz w:val="20"/>
          <w:szCs w:val="20"/>
        </w:rPr>
      </w:pPr>
      <w:r w:rsidRPr="00771368">
        <w:rPr>
          <w:sz w:val="24"/>
          <w:szCs w:val="24"/>
        </w:rPr>
        <w:t xml:space="preserve">No estudo, os termos jogo(s) ou game(s) são usados para indicar todo e qualquer jogo computacional eletrônico, ou seja, aquele que exige uma interface eletrônica de interação com o/a jogador/a. Os games podem ser divididos em três grandes grupos: games para arcades, popularmente conhecidos como fliperamas; games para computador; e games para console, tais como </w:t>
      </w:r>
      <w:r w:rsidRPr="00771368">
        <w:rPr>
          <w:i/>
          <w:iCs/>
          <w:sz w:val="24"/>
          <w:szCs w:val="24"/>
        </w:rPr>
        <w:t>Xbox</w:t>
      </w:r>
      <w:r w:rsidRPr="00771368">
        <w:rPr>
          <w:sz w:val="24"/>
          <w:szCs w:val="24"/>
        </w:rPr>
        <w:t xml:space="preserve">, </w:t>
      </w:r>
      <w:r w:rsidRPr="00771368">
        <w:rPr>
          <w:i/>
          <w:iCs/>
          <w:sz w:val="24"/>
          <w:szCs w:val="24"/>
        </w:rPr>
        <w:t>Playstation</w:t>
      </w:r>
      <w:r w:rsidRPr="00771368">
        <w:rPr>
          <w:sz w:val="24"/>
          <w:szCs w:val="24"/>
        </w:rPr>
        <w:t xml:space="preserve">, </w:t>
      </w:r>
      <w:r w:rsidRPr="00771368">
        <w:rPr>
          <w:i/>
          <w:iCs/>
          <w:sz w:val="24"/>
          <w:szCs w:val="24"/>
        </w:rPr>
        <w:t>NintendoWii</w:t>
      </w:r>
      <w:r w:rsidRPr="00771368">
        <w:rPr>
          <w:sz w:val="24"/>
          <w:szCs w:val="24"/>
        </w:rPr>
        <w:t xml:space="preserve"> (SANTAELLA; FEITOZA, 2008).</w:t>
      </w:r>
    </w:p>
    <w:p w:rsidR="00D24E61" w:rsidRPr="00771368" w:rsidRDefault="00D24E61">
      <w:pPr>
        <w:spacing w:line="360" w:lineRule="auto"/>
        <w:ind w:firstLine="709"/>
        <w:jc w:val="both"/>
        <w:rPr>
          <w:sz w:val="20"/>
          <w:szCs w:val="20"/>
        </w:rPr>
      </w:pPr>
      <w:r w:rsidRPr="00771368">
        <w:rPr>
          <w:sz w:val="24"/>
          <w:szCs w:val="24"/>
        </w:rPr>
        <w:t>Para entender o conceito de identidade de gênero, adotamos a abordagem de Guacira Lopes Louro (2007). Dialogando com Stuart Hall, a autora considera os processos de constituição das identidades como históricos e contingentes e adapta essa visão para o entendimento das identidades de gênero. Devemos compreender os sujeitos como tendo identidades plurais e múltiplas. Identidades que se transformam, que não são fixas ou permanentes e que podem até mesmo ser contraditórias. Ou seja, não existe o feminino ou o masculino como características singulares, fixas e independentes. Os significados dessas categorias são construídos historicamente, culturalmente e socialmente. Tais significados são apropriados pelos indivíduos no intercurso social, sempre perpassados por outras características identitárias.</w:t>
      </w:r>
    </w:p>
    <w:p w:rsidR="00D24E61" w:rsidRPr="00771368" w:rsidRDefault="00D24E61">
      <w:pPr>
        <w:spacing w:line="363" w:lineRule="auto"/>
        <w:ind w:firstLine="709"/>
        <w:jc w:val="both"/>
        <w:rPr>
          <w:sz w:val="20"/>
          <w:szCs w:val="20"/>
        </w:rPr>
      </w:pPr>
      <w:r w:rsidRPr="00771368">
        <w:rPr>
          <w:sz w:val="24"/>
          <w:szCs w:val="24"/>
        </w:rPr>
        <w:t>As representações exercem papel de pedagogias do feminino e masculino e são os processos sociais envolvidos em relações de poder que fundamentam os valores culturais atribuídos às representações. Nos jogos eletrônicos, assim como na publicidade e nas artes, muitas das características colocadas em evidência na formação dos personagens pressupõem um espectador masculino heterossexual. Ao referir-se à mídia brasileira, Iara Beleli (2007) comenta que um grande número de peças publicitárias celebra e naturaliza um corpo feminino sem voz, um corpo-objeto do olhar. Esse olhar, construído a partir de um ponto de vista masculino e heterossexual, é apresentado como algo natural. Mulheres e homens podem ocupar o espaço desse sujeito observador masculino, sem mesmo questionar ou pensar em outras possibilidades de ver (BERGER, 1974).</w:t>
      </w:r>
    </w:p>
    <w:p w:rsidR="00D24E61" w:rsidRPr="00771368" w:rsidRDefault="00D24E61">
      <w:pPr>
        <w:spacing w:line="379" w:lineRule="exact"/>
        <w:rPr>
          <w:sz w:val="20"/>
          <w:szCs w:val="20"/>
        </w:rPr>
      </w:pPr>
    </w:p>
    <w:p w:rsidR="00283E5E" w:rsidRDefault="00283E5E">
      <w:pPr>
        <w:rPr>
          <w:sz w:val="24"/>
          <w:szCs w:val="24"/>
          <w:u w:val="single"/>
        </w:rPr>
      </w:pPr>
      <w:r>
        <w:rPr>
          <w:sz w:val="24"/>
          <w:szCs w:val="24"/>
          <w:u w:val="single"/>
        </w:rPr>
        <w:br w:type="page"/>
      </w:r>
    </w:p>
    <w:p w:rsidR="00D24E61" w:rsidRPr="00771368" w:rsidRDefault="00D24E61">
      <w:pPr>
        <w:ind w:left="700"/>
        <w:rPr>
          <w:sz w:val="20"/>
          <w:szCs w:val="20"/>
        </w:rPr>
      </w:pPr>
      <w:r w:rsidRPr="00771368">
        <w:rPr>
          <w:sz w:val="24"/>
          <w:szCs w:val="24"/>
          <w:u w:val="single"/>
        </w:rPr>
        <w:t>Possibilidades de representações</w:t>
      </w:r>
    </w:p>
    <w:p w:rsidR="00D24E61" w:rsidRPr="00771368" w:rsidRDefault="00D24E61" w:rsidP="00283E5E">
      <w:pPr>
        <w:spacing w:line="138" w:lineRule="exact"/>
        <w:jc w:val="both"/>
        <w:rPr>
          <w:sz w:val="20"/>
          <w:szCs w:val="20"/>
        </w:rPr>
      </w:pPr>
    </w:p>
    <w:p w:rsidR="00D24E61" w:rsidRPr="00771368" w:rsidRDefault="00D24E61" w:rsidP="00283E5E">
      <w:pPr>
        <w:spacing w:line="360" w:lineRule="auto"/>
        <w:ind w:firstLine="709"/>
        <w:jc w:val="both"/>
        <w:rPr>
          <w:sz w:val="20"/>
          <w:szCs w:val="20"/>
        </w:rPr>
      </w:pPr>
      <w:r w:rsidRPr="00771368">
        <w:rPr>
          <w:sz w:val="24"/>
          <w:szCs w:val="24"/>
        </w:rPr>
        <w:t xml:space="preserve">No universo dos jogos eletrônicos percebemos uma forma recorrente de representação dos corpos femininos. Por exemplo, no jogo </w:t>
      </w:r>
      <w:r w:rsidRPr="00771368">
        <w:rPr>
          <w:i/>
          <w:iCs/>
          <w:sz w:val="24"/>
          <w:szCs w:val="24"/>
        </w:rPr>
        <w:t>Tomb Raider</w:t>
      </w:r>
      <w:r w:rsidRPr="00771368">
        <w:rPr>
          <w:sz w:val="24"/>
          <w:szCs w:val="24"/>
        </w:rPr>
        <w:t>, a personagem denominada Lara Croft (Figura 1) sofreu um processo de sensualização do corpo ao longo dos anos, que veio</w:t>
      </w:r>
    </w:p>
    <w:p w:rsidR="00D24E61" w:rsidRPr="00771368" w:rsidRDefault="00D24E61" w:rsidP="00283E5E">
      <w:pPr>
        <w:jc w:val="both"/>
        <w:rPr>
          <w:sz w:val="20"/>
          <w:szCs w:val="20"/>
        </w:rPr>
      </w:pPr>
      <w:r w:rsidRPr="00771368">
        <w:rPr>
          <w:sz w:val="24"/>
          <w:szCs w:val="24"/>
        </w:rPr>
        <w:t>acompanhado do aperfeiçoamento das técnicas de modelagem 3D. Recentemente, em um</w:t>
      </w:r>
      <w:r w:rsidR="00283E5E">
        <w:rPr>
          <w:sz w:val="20"/>
          <w:szCs w:val="20"/>
        </w:rPr>
        <w:t xml:space="preserve">  </w:t>
      </w:r>
      <w:r w:rsidRPr="00771368">
        <w:rPr>
          <w:sz w:val="24"/>
          <w:szCs w:val="24"/>
        </w:rPr>
        <w:t xml:space="preserve">canal do </w:t>
      </w:r>
      <w:r w:rsidRPr="00771368">
        <w:rPr>
          <w:i/>
          <w:iCs/>
          <w:sz w:val="24"/>
          <w:szCs w:val="24"/>
        </w:rPr>
        <w:t>youtube</w:t>
      </w:r>
      <w:r w:rsidRPr="00771368">
        <w:rPr>
          <w:sz w:val="24"/>
          <w:szCs w:val="24"/>
        </w:rPr>
        <w:t>, os apresentadores Alexandre Ottoni (JovemNerd) e Deive Pazos (Azaghal)</w:t>
      </w:r>
    </w:p>
    <w:p w:rsidR="00D24E61" w:rsidRPr="00771368" w:rsidRDefault="00D24E61">
      <w:pPr>
        <w:spacing w:line="138" w:lineRule="exact"/>
        <w:rPr>
          <w:sz w:val="20"/>
          <w:szCs w:val="20"/>
        </w:rPr>
      </w:pPr>
    </w:p>
    <w:p w:rsidR="00D24E61" w:rsidRPr="00771368" w:rsidRDefault="00D24E61">
      <w:pPr>
        <w:spacing w:line="351" w:lineRule="auto"/>
        <w:ind w:right="20"/>
        <w:jc w:val="both"/>
        <w:rPr>
          <w:sz w:val="24"/>
          <w:szCs w:val="24"/>
        </w:rPr>
      </w:pPr>
      <w:r w:rsidRPr="00771368">
        <w:rPr>
          <w:sz w:val="24"/>
          <w:szCs w:val="24"/>
        </w:rPr>
        <w:t xml:space="preserve">– ligados ao programa </w:t>
      </w:r>
      <w:r w:rsidRPr="00771368">
        <w:rPr>
          <w:i/>
          <w:iCs/>
          <w:sz w:val="24"/>
          <w:szCs w:val="24"/>
        </w:rPr>
        <w:t>nerdplayer,</w:t>
      </w:r>
      <w:r w:rsidRPr="00771368">
        <w:rPr>
          <w:sz w:val="24"/>
          <w:szCs w:val="24"/>
        </w:rPr>
        <w:t xml:space="preserve"> no qual demonstram alguns lançamentos de jogos– definem a mais nova versão de </w:t>
      </w:r>
      <w:r w:rsidRPr="00771368">
        <w:rPr>
          <w:i/>
          <w:iCs/>
          <w:sz w:val="24"/>
          <w:szCs w:val="24"/>
        </w:rPr>
        <w:t>Tomb Raider</w:t>
      </w:r>
      <w:r w:rsidRPr="00771368">
        <w:rPr>
          <w:sz w:val="24"/>
          <w:szCs w:val="24"/>
        </w:rPr>
        <w:t xml:space="preserve"> como ideal para “Fap!Fap!Fap!”</w:t>
      </w:r>
      <w:hyperlink w:anchor="page4">
        <w:r w:rsidRPr="00771368">
          <w:rPr>
            <w:sz w:val="31"/>
            <w:szCs w:val="31"/>
            <w:vertAlign w:val="superscript"/>
          </w:rPr>
          <w:t>3</w:t>
        </w:r>
      </w:hyperlink>
      <w:r w:rsidRPr="00771368">
        <w:rPr>
          <w:sz w:val="24"/>
          <w:szCs w:val="24"/>
        </w:rPr>
        <w:t xml:space="preserve">, o que na linguagem da internet é uma expressão indicativa do ato da masturbação masculina. O jogo é visto dessa maneira, pois com a evolução das tecnologias de modelagem, a personagem é construída com o intuito de simular uma mulher “real”. A imagem da personagem remete ao tipo de feminilidade ideal, de acordo com uma abordagem baseada no imaginário masculino hegemônico. Além disso, mesmo sendo uma aventureira, Lara Croft usa roupas curtas e pequenas, que favoreçam a evidência das curvas de seu corpo. Durante o jogo são feitos diversos </w:t>
      </w:r>
      <w:r w:rsidRPr="00771368">
        <w:rPr>
          <w:i/>
          <w:iCs/>
          <w:sz w:val="24"/>
          <w:szCs w:val="24"/>
        </w:rPr>
        <w:t>closes</w:t>
      </w:r>
      <w:r w:rsidRPr="00771368">
        <w:rPr>
          <w:sz w:val="24"/>
          <w:szCs w:val="24"/>
        </w:rPr>
        <w:t xml:space="preserve"> no decote da personagem.</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61312" behindDoc="1" locked="0" layoutInCell="0" allowOverlap="1">
            <wp:simplePos x="0" y="0"/>
            <wp:positionH relativeFrom="column">
              <wp:posOffset>-635</wp:posOffset>
            </wp:positionH>
            <wp:positionV relativeFrom="paragraph">
              <wp:posOffset>219075</wp:posOffset>
            </wp:positionV>
            <wp:extent cx="5744210" cy="1743710"/>
            <wp:effectExtent l="0" t="0" r="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 cstate="print">
                      <a:extLst/>
                    </a:blip>
                    <a:srcRect/>
                    <a:stretch>
                      <a:fillRect/>
                    </a:stretch>
                  </pic:blipFill>
                  <pic:spPr bwMode="auto">
                    <a:xfrm>
                      <a:off x="0" y="0"/>
                      <a:ext cx="5744210" cy="174371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30" w:lineRule="exact"/>
        <w:rPr>
          <w:sz w:val="20"/>
          <w:szCs w:val="20"/>
        </w:rPr>
      </w:pPr>
    </w:p>
    <w:p w:rsidR="00D24E61" w:rsidRPr="00771368" w:rsidRDefault="00D24E61">
      <w:pPr>
        <w:spacing w:line="239" w:lineRule="auto"/>
        <w:rPr>
          <w:sz w:val="20"/>
          <w:szCs w:val="20"/>
        </w:rPr>
      </w:pPr>
      <w:r w:rsidRPr="00771368">
        <w:rPr>
          <w:sz w:val="20"/>
          <w:szCs w:val="20"/>
        </w:rPr>
        <w:t>Figura1 - Transformação da personagem Lara Croft, conforme aperfeiçoamento das técnicas de modelagem 3D.</w:t>
      </w:r>
    </w:p>
    <w:p w:rsidR="00D24E61" w:rsidRPr="00771368" w:rsidRDefault="00D24E61">
      <w:pPr>
        <w:spacing w:line="1" w:lineRule="exact"/>
        <w:rPr>
          <w:sz w:val="20"/>
          <w:szCs w:val="20"/>
        </w:rPr>
      </w:pPr>
    </w:p>
    <w:p w:rsidR="00D24E61" w:rsidRPr="00771368" w:rsidRDefault="00D24E61">
      <w:pPr>
        <w:spacing w:line="273" w:lineRule="auto"/>
        <w:ind w:right="1520"/>
        <w:rPr>
          <w:sz w:val="20"/>
          <w:szCs w:val="20"/>
        </w:rPr>
      </w:pPr>
      <w:r w:rsidRPr="00771368">
        <w:rPr>
          <w:sz w:val="20"/>
          <w:szCs w:val="20"/>
        </w:rPr>
        <w:t>Fonte: &lt;</w:t>
      </w:r>
      <w:hyperlink r:id="rId270">
        <w:r w:rsidRPr="00771368">
          <w:rPr>
            <w:color w:val="0000FF"/>
            <w:sz w:val="20"/>
            <w:szCs w:val="20"/>
            <w:u w:val="single"/>
          </w:rPr>
          <w:t>http://www.filhosdavizinha.com.br/blog/wp-ontent/uploads/2012/01/Lara_Croft.jpg</w:t>
        </w:r>
      </w:hyperlink>
      <w:r w:rsidRPr="00771368">
        <w:rPr>
          <w:sz w:val="20"/>
          <w:szCs w:val="20"/>
        </w:rPr>
        <w:t>&gt;. Acesso em: 20 de abril de 2013.</w:t>
      </w:r>
    </w:p>
    <w:p w:rsidR="00D24E61" w:rsidRPr="00771368" w:rsidRDefault="00D24E61">
      <w:pPr>
        <w:spacing w:line="200" w:lineRule="exact"/>
        <w:rPr>
          <w:sz w:val="20"/>
          <w:szCs w:val="20"/>
        </w:rPr>
      </w:pPr>
    </w:p>
    <w:p w:rsidR="00D24E61" w:rsidRPr="00771368" w:rsidRDefault="00D24E61">
      <w:pPr>
        <w:spacing w:line="267" w:lineRule="exact"/>
        <w:rPr>
          <w:sz w:val="20"/>
          <w:szCs w:val="20"/>
        </w:rPr>
      </w:pPr>
    </w:p>
    <w:p w:rsidR="00D24E61" w:rsidRPr="00771368" w:rsidRDefault="00D24E61">
      <w:pPr>
        <w:spacing w:line="363" w:lineRule="auto"/>
        <w:ind w:firstLine="709"/>
        <w:jc w:val="both"/>
        <w:rPr>
          <w:sz w:val="20"/>
          <w:szCs w:val="20"/>
        </w:rPr>
      </w:pPr>
      <w:r w:rsidRPr="00771368">
        <w:rPr>
          <w:sz w:val="24"/>
          <w:szCs w:val="24"/>
        </w:rPr>
        <w:t xml:space="preserve">Conforme foi comentado anteriormente, o que faz com que certas representações culturais sejam vistas como “naturais” são os processos sociais imbricados em relações de poder. Guacira Lopes Louro (2011), explica que o gênero é produzido nas e pelas relações de poder. Estão em jogo os mecanismos de poder acionados para estabilizar e tentar manter em uso determinados tipos de representação em detrimento de outros. Os estereótipos são usados principalmente para definir e limitar os significados atribuídos às identidades sociais. A partir </w:t>
      </w:r>
    </w:p>
    <w:p w:rsidR="00D24E61" w:rsidRPr="00771368" w:rsidRDefault="00013211">
      <w:pPr>
        <w:spacing w:line="106" w:lineRule="exact"/>
        <w:rPr>
          <w:sz w:val="20"/>
          <w:szCs w:val="20"/>
        </w:rPr>
      </w:pPr>
      <w:r>
        <w:rPr>
          <w:noProof/>
          <w:sz w:val="20"/>
          <w:szCs w:val="20"/>
        </w:rPr>
        <mc:AlternateContent>
          <mc:Choice Requires="wps">
            <w:drawing>
              <wp:anchor distT="0" distB="0" distL="0" distR="0" simplePos="0" relativeHeight="251677184" behindDoc="0" locked="0" layoutInCell="0" allowOverlap="1">
                <wp:simplePos x="0" y="0"/>
                <wp:positionH relativeFrom="column">
                  <wp:posOffset>-635</wp:posOffset>
                </wp:positionH>
                <wp:positionV relativeFrom="paragraph">
                  <wp:posOffset>19685</wp:posOffset>
                </wp:positionV>
                <wp:extent cx="1828165" cy="0"/>
                <wp:effectExtent l="8890" t="10160" r="10795" b="8890"/>
                <wp:wrapNone/>
                <wp:docPr id="25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55pt" to="143.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" o:allowincell="f" strokeweight=".48pt"/>
            </w:pict>
          </mc:Fallback>
        </mc:AlternateContent>
      </w:r>
    </w:p>
    <w:p w:rsidR="00D24E61" w:rsidRPr="00771368" w:rsidRDefault="00D24E61">
      <w:pPr>
        <w:tabs>
          <w:tab w:val="left" w:pos="360"/>
        </w:tabs>
        <w:spacing w:line="239" w:lineRule="auto"/>
        <w:rPr>
          <w:sz w:val="20"/>
          <w:szCs w:val="20"/>
        </w:rPr>
      </w:pPr>
      <w:r w:rsidRPr="00771368">
        <w:rPr>
          <w:sz w:val="20"/>
          <w:szCs w:val="20"/>
        </w:rPr>
        <w:t>3</w:t>
      </w:r>
      <w:r w:rsidRPr="00771368">
        <w:rPr>
          <w:sz w:val="20"/>
          <w:szCs w:val="20"/>
        </w:rPr>
        <w:tab/>
        <w:t>Disponível em: &lt;</w:t>
      </w:r>
      <w:hyperlink r:id="rId271">
        <w:r w:rsidRPr="00771368">
          <w:rPr>
            <w:color w:val="0000FF"/>
            <w:sz w:val="20"/>
            <w:szCs w:val="20"/>
            <w:u w:val="single"/>
          </w:rPr>
          <w:t>http://www.youtube.com/watch?v=W_IDjHNIVFs</w:t>
        </w:r>
      </w:hyperlink>
      <w:r w:rsidRPr="00771368">
        <w:rPr>
          <w:sz w:val="20"/>
          <w:szCs w:val="20"/>
        </w:rPr>
        <w:t>&gt;. Acesso em: 04 de julho de 2013.</w:t>
      </w:r>
    </w:p>
    <w:p w:rsidR="00D24E61" w:rsidRPr="00771368" w:rsidRDefault="00D24E61">
      <w:pPr>
        <w:spacing w:line="1" w:lineRule="exact"/>
        <w:rPr>
          <w:sz w:val="20"/>
          <w:szCs w:val="20"/>
        </w:rPr>
      </w:pPr>
    </w:p>
    <w:p w:rsidR="00D24E61" w:rsidRPr="00771368" w:rsidRDefault="00D24E61">
      <w:pPr>
        <w:spacing w:line="188" w:lineRule="exact"/>
        <w:rPr>
          <w:sz w:val="20"/>
          <w:szCs w:val="20"/>
        </w:rPr>
      </w:pPr>
    </w:p>
    <w:p w:rsidR="00644E24" w:rsidRPr="00771368" w:rsidRDefault="00644E24" w:rsidP="00644E24">
      <w:pPr>
        <w:spacing w:line="363" w:lineRule="auto"/>
        <w:jc w:val="both"/>
        <w:rPr>
          <w:sz w:val="20"/>
          <w:szCs w:val="20"/>
        </w:rPr>
      </w:pPr>
      <w:r w:rsidRPr="00771368">
        <w:rPr>
          <w:sz w:val="24"/>
          <w:szCs w:val="24"/>
        </w:rPr>
        <w:t>da repetição de certas de representações culturais, se moldam os estereótipos, e a partir deles são definidas as “normas”, em termos de expectativas sociais. Os limites estabelecidos pelos discursos e práticas normativas classificam quem se encaixa neles e quem está fora, ou seja, o que é considerado desviante. Louro (2011, p. 43-45) afirma que a existência desse “outro” é necessária, pois as identidades ditas “normais” precisam das identidades “subjugadas” para se</w:t>
      </w:r>
    </w:p>
    <w:p w:rsidR="00D24E61" w:rsidRPr="00771368" w:rsidRDefault="00D24E61">
      <w:pPr>
        <w:spacing w:line="360" w:lineRule="auto"/>
        <w:ind w:left="2"/>
        <w:jc w:val="both"/>
        <w:rPr>
          <w:sz w:val="20"/>
          <w:szCs w:val="20"/>
        </w:rPr>
      </w:pPr>
      <w:r w:rsidRPr="00771368">
        <w:rPr>
          <w:sz w:val="24"/>
          <w:szCs w:val="24"/>
        </w:rPr>
        <w:t>afirmar e para se definir. Sua afirmação se dá na medida em que contrariam e rejeitam o que é apresentado como o seu contrário.</w:t>
      </w:r>
    </w:p>
    <w:p w:rsidR="00D24E61" w:rsidRPr="00771368" w:rsidRDefault="00D24E61">
      <w:pPr>
        <w:spacing w:line="360" w:lineRule="auto"/>
        <w:ind w:left="2" w:firstLine="709"/>
        <w:jc w:val="both"/>
        <w:rPr>
          <w:sz w:val="20"/>
          <w:szCs w:val="20"/>
        </w:rPr>
      </w:pPr>
      <w:r w:rsidRPr="00771368">
        <w:rPr>
          <w:sz w:val="24"/>
          <w:szCs w:val="24"/>
        </w:rPr>
        <w:t>Os estereótipos são construídos mediante o uso de características fáceis de compreender, de lembrar, amplamente compartilhadas. Operam no sentido de reduzir as pessoas ou os grupos sociais a tais peculiaridades, muitas vezes exagerando-as, simplificando-as e fixando-as como imutáveis. Assim,</w:t>
      </w:r>
    </w:p>
    <w:p w:rsidR="00D24E61" w:rsidRPr="00771368" w:rsidRDefault="00D24E61">
      <w:pPr>
        <w:spacing w:line="3" w:lineRule="exact"/>
        <w:rPr>
          <w:sz w:val="20"/>
          <w:szCs w:val="20"/>
        </w:rPr>
      </w:pPr>
    </w:p>
    <w:p w:rsidR="00D24E61" w:rsidRPr="00771368" w:rsidRDefault="00D24E61">
      <w:pPr>
        <w:spacing w:line="248" w:lineRule="auto"/>
        <w:ind w:left="1982"/>
        <w:jc w:val="both"/>
        <w:rPr>
          <w:sz w:val="20"/>
          <w:szCs w:val="20"/>
        </w:rPr>
      </w:pPr>
      <w:r w:rsidRPr="00771368">
        <w:t>reduzindo as identidades culturais a um conjunto simples de características essenciais, naturais e fixas, a estereotipação facilita reunir todas aquelas que correspondem à “norma” em uma “comunidade imaginada”, ao mesmo tempo em que estigmatiza simbolicamente as “outras” que são de alguma forma, consideradas como diferentes (SANTOS; PEDRO, 2011, p. 168).</w:t>
      </w:r>
    </w:p>
    <w:p w:rsidR="00D24E61" w:rsidRPr="00771368" w:rsidRDefault="00D24E61">
      <w:pPr>
        <w:spacing w:line="208" w:lineRule="exact"/>
        <w:rPr>
          <w:sz w:val="20"/>
          <w:szCs w:val="20"/>
        </w:rPr>
      </w:pPr>
    </w:p>
    <w:p w:rsidR="00D24E61" w:rsidRPr="00771368" w:rsidRDefault="00D24E61">
      <w:pPr>
        <w:spacing w:line="360" w:lineRule="auto"/>
        <w:ind w:left="2" w:firstLine="709"/>
        <w:jc w:val="both"/>
        <w:rPr>
          <w:sz w:val="20"/>
          <w:szCs w:val="20"/>
        </w:rPr>
      </w:pPr>
      <w:r w:rsidRPr="00771368">
        <w:rPr>
          <w:sz w:val="24"/>
          <w:szCs w:val="24"/>
        </w:rPr>
        <w:t>A identificação com determinadas representações muitas vezes é guiada pelo desejo de corresponder a certos padrões que são estabelecidos e mantidos pelas relações de poder, e assim considerados como “certos” e “aceitáveis”.</w:t>
      </w:r>
    </w:p>
    <w:p w:rsidR="00D24E61" w:rsidRPr="00771368" w:rsidRDefault="00D24E61">
      <w:pPr>
        <w:spacing w:line="359" w:lineRule="auto"/>
        <w:ind w:left="2" w:firstLine="709"/>
        <w:jc w:val="both"/>
        <w:rPr>
          <w:sz w:val="20"/>
          <w:szCs w:val="20"/>
        </w:rPr>
      </w:pPr>
      <w:r w:rsidRPr="00771368">
        <w:rPr>
          <w:sz w:val="24"/>
          <w:szCs w:val="24"/>
        </w:rPr>
        <w:t>Conforme já foi dito, Louro (2007) afirma que somos sujeitos de identidades transitórias e contingentes. Portanto, as identidades sexuais e de gênero – tal como todas as identidades sociais – têm caráter fragmentado, instável, histórico e plural. Para reforçar seu argumento a autora recorre às ideias de Tomás Tadeu da Silva (1998, Apud Louro, 2007, p. 16). Esse autor afirma a importância das formas de representação que diferentes grupos sociais se utilizam para forjar suas próprias identidades e as identidades dos outros. Ele se refere às representações como campos de forças em desequilíbrio. Através das representações é possível criar e fazer circular significados específicos. Portanto elas são arenas atravessadas pelas relações de poder com potencial para afirmar significados hegemônicos, mas também se apresentam como espaços de contestação e de disputas por significações alternativas.</w:t>
      </w:r>
    </w:p>
    <w:p w:rsidR="00D24E61" w:rsidRPr="00771368" w:rsidRDefault="00D24E61">
      <w:pPr>
        <w:spacing w:line="8" w:lineRule="exact"/>
        <w:rPr>
          <w:sz w:val="20"/>
          <w:szCs w:val="20"/>
        </w:rPr>
      </w:pPr>
    </w:p>
    <w:p w:rsidR="00D24E61" w:rsidRPr="00771368" w:rsidRDefault="00D24E61">
      <w:pPr>
        <w:spacing w:line="350" w:lineRule="auto"/>
        <w:ind w:left="2" w:firstLine="709"/>
        <w:jc w:val="both"/>
        <w:rPr>
          <w:sz w:val="24"/>
          <w:szCs w:val="24"/>
        </w:rPr>
      </w:pPr>
      <w:r w:rsidRPr="00771368">
        <w:rPr>
          <w:sz w:val="24"/>
          <w:szCs w:val="24"/>
        </w:rPr>
        <w:t xml:space="preserve">Um fã do game </w:t>
      </w:r>
      <w:r w:rsidRPr="00771368">
        <w:rPr>
          <w:i/>
          <w:iCs/>
          <w:sz w:val="24"/>
          <w:szCs w:val="24"/>
        </w:rPr>
        <w:t>Tomb Raider</w:t>
      </w:r>
      <w:r w:rsidRPr="00771368">
        <w:rPr>
          <w:sz w:val="24"/>
          <w:szCs w:val="24"/>
        </w:rPr>
        <w:t>, que também é artista digital, criou há quatro anos uma versão masculina da personagem Lara Croft (Figura2). Essa versão se tornou popular e vem sendo comentada nas redes sociais nos últimos tempos. Em entrevista</w:t>
      </w:r>
      <w:hyperlink w:anchor="page5">
        <w:r w:rsidRPr="00771368">
          <w:rPr>
            <w:sz w:val="31"/>
            <w:szCs w:val="31"/>
            <w:vertAlign w:val="superscript"/>
          </w:rPr>
          <w:t>4</w:t>
        </w:r>
      </w:hyperlink>
      <w:r w:rsidRPr="00771368">
        <w:rPr>
          <w:sz w:val="24"/>
          <w:szCs w:val="24"/>
        </w:rPr>
        <w:t xml:space="preserve">, o artista Raffael </w:t>
      </w:r>
    </w:p>
    <w:p w:rsidR="00D24E61" w:rsidRPr="00771368" w:rsidRDefault="00013211">
      <w:pPr>
        <w:spacing w:line="361" w:lineRule="exact"/>
        <w:rPr>
          <w:sz w:val="20"/>
          <w:szCs w:val="20"/>
        </w:rPr>
      </w:pPr>
      <w:r>
        <w:rPr>
          <w:noProof/>
          <w:sz w:val="20"/>
          <w:szCs w:val="20"/>
        </w:rPr>
        <mc:AlternateContent>
          <mc:Choice Requires="wps">
            <w:drawing>
              <wp:anchor distT="0" distB="0" distL="0" distR="0" simplePos="0" relativeHeight="251678208" behindDoc="0" locked="0" layoutInCell="0" allowOverlap="1">
                <wp:simplePos x="0" y="0"/>
                <wp:positionH relativeFrom="column">
                  <wp:posOffset>0</wp:posOffset>
                </wp:positionH>
                <wp:positionV relativeFrom="paragraph">
                  <wp:posOffset>180975</wp:posOffset>
                </wp:positionV>
                <wp:extent cx="1828800" cy="0"/>
                <wp:effectExtent l="9525" t="9525" r="9525" b="9525"/>
                <wp:wrapNone/>
                <wp:docPr id="25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25pt" to="2in,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7TYFQIAACw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" o:allowincell="f" strokeweight=".16931mm"/>
            </w:pict>
          </mc:Fallback>
        </mc:AlternateContent>
      </w:r>
    </w:p>
    <w:p w:rsidR="00D24E61" w:rsidRPr="00771368" w:rsidRDefault="00644E24" w:rsidP="00644E24">
      <w:pPr>
        <w:tabs>
          <w:tab w:val="left" w:pos="342"/>
        </w:tabs>
        <w:spacing w:line="239" w:lineRule="auto"/>
        <w:ind w:right="400"/>
        <w:jc w:val="both"/>
        <w:rPr>
          <w:sz w:val="20"/>
          <w:szCs w:val="20"/>
        </w:rPr>
      </w:pPr>
      <w:r>
        <w:rPr>
          <w:sz w:val="20"/>
          <w:szCs w:val="20"/>
        </w:rPr>
        <w:t>4</w:t>
      </w:r>
      <w:r w:rsidR="00D24E61" w:rsidRPr="00771368">
        <w:rPr>
          <w:sz w:val="20"/>
          <w:szCs w:val="20"/>
        </w:rPr>
        <w:t>Disponível em: &lt;</w:t>
      </w:r>
      <w:hyperlink r:id="rId272">
        <w:r w:rsidR="00D24E61" w:rsidRPr="00771368">
          <w:rPr>
            <w:color w:val="0000FF"/>
            <w:sz w:val="20"/>
            <w:szCs w:val="20"/>
            <w:u w:val="single"/>
          </w:rPr>
          <w:t>http://www.cnet.com.au/meet-larry-croft-if-lara-was-a-man-339344728.htm#image0</w:t>
        </w:r>
      </w:hyperlink>
      <w:r w:rsidR="00D24E61" w:rsidRPr="00771368">
        <w:rPr>
          <w:sz w:val="20"/>
          <w:szCs w:val="20"/>
        </w:rPr>
        <w:t>&gt;. Acesso em: 05 de julho de 2013.</w:t>
      </w:r>
    </w:p>
    <w:p w:rsidR="00D24E61" w:rsidRPr="00771368" w:rsidRDefault="00D24E61">
      <w:pPr>
        <w:spacing w:line="2" w:lineRule="exact"/>
        <w:rPr>
          <w:sz w:val="20"/>
          <w:szCs w:val="20"/>
        </w:rPr>
      </w:pPr>
    </w:p>
    <w:p w:rsidR="00D24E61" w:rsidRPr="00771368" w:rsidRDefault="00D24E61">
      <w:pPr>
        <w:ind w:left="8962"/>
        <w:rPr>
          <w:sz w:val="20"/>
          <w:szCs w:val="20"/>
        </w:rPr>
      </w:pPr>
      <w:r w:rsidRPr="00771368">
        <w:rPr>
          <w:sz w:val="20"/>
          <w:szCs w:val="20"/>
        </w:rPr>
        <w:t>5</w:t>
      </w:r>
    </w:p>
    <w:p w:rsidR="00D24E61" w:rsidRPr="00771368" w:rsidRDefault="00D24E61">
      <w:pPr>
        <w:sectPr w:rsidR="00D24E61" w:rsidRPr="00771368">
          <w:pgSz w:w="11900" w:h="16838"/>
          <w:pgMar w:top="1440" w:right="1420" w:bottom="1440" w:left="1418" w:header="0" w:footer="0" w:gutter="0"/>
          <w:cols w:space="720" w:equalWidth="0">
            <w:col w:w="9062"/>
          </w:cols>
        </w:sectPr>
      </w:pPr>
    </w:p>
    <w:p w:rsidR="00D24E61" w:rsidRPr="00771368" w:rsidRDefault="00644E24" w:rsidP="00644E24">
      <w:pPr>
        <w:spacing w:line="350" w:lineRule="auto"/>
        <w:ind w:left="2"/>
        <w:jc w:val="both"/>
        <w:rPr>
          <w:sz w:val="20"/>
          <w:szCs w:val="20"/>
        </w:rPr>
      </w:pPr>
      <w:r w:rsidRPr="00771368">
        <w:rPr>
          <w:sz w:val="24"/>
          <w:szCs w:val="24"/>
        </w:rPr>
        <w:t>declara gostar muito do game. Contudo, pelo fato de identificar-se como gay, ele afirma que gostaria de propor uma versão da personagem que estivesse mais alinhada com os seus interesses. Em princípio, ele esperava que tudo fosse visto como uma brincadeira e que rendesse algumas risadas. Raffael percebe a sexualização da personagem Lara Croft como exagerada e ressalta os antagonismos nas representações de personagens masculinos e</w:t>
      </w:r>
      <w:r>
        <w:rPr>
          <w:sz w:val="24"/>
          <w:szCs w:val="24"/>
        </w:rPr>
        <w:t xml:space="preserve"> </w:t>
      </w:r>
      <w:r w:rsidR="00D24E61" w:rsidRPr="00771368">
        <w:rPr>
          <w:sz w:val="24"/>
          <w:szCs w:val="24"/>
        </w:rPr>
        <w:t>femininos nos vídeo games, não só quanto às características corporais e de vestimentas, mas também em relação aos movimentos e à linguagem corporal.</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63360" behindDoc="1" locked="0" layoutInCell="0" allowOverlap="1">
            <wp:simplePos x="0" y="0"/>
            <wp:positionH relativeFrom="column">
              <wp:posOffset>-635</wp:posOffset>
            </wp:positionH>
            <wp:positionV relativeFrom="paragraph">
              <wp:posOffset>229235</wp:posOffset>
            </wp:positionV>
            <wp:extent cx="5709285" cy="2560320"/>
            <wp:effectExtent l="0" t="0" r="0" b="0"/>
            <wp:wrapNone/>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3" cstate="print">
                      <a:extLst/>
                    </a:blip>
                    <a:srcRect/>
                    <a:stretch>
                      <a:fillRect/>
                    </a:stretch>
                  </pic:blipFill>
                  <pic:spPr bwMode="auto">
                    <a:xfrm>
                      <a:off x="0" y="0"/>
                      <a:ext cx="5709285" cy="256032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17" w:lineRule="exact"/>
        <w:rPr>
          <w:sz w:val="20"/>
          <w:szCs w:val="20"/>
        </w:rPr>
      </w:pPr>
    </w:p>
    <w:p w:rsidR="00D24E61" w:rsidRPr="00771368" w:rsidRDefault="00D24E61">
      <w:pPr>
        <w:spacing w:line="239" w:lineRule="auto"/>
        <w:rPr>
          <w:sz w:val="20"/>
          <w:szCs w:val="20"/>
        </w:rPr>
      </w:pPr>
      <w:r w:rsidRPr="00771368">
        <w:rPr>
          <w:sz w:val="20"/>
          <w:szCs w:val="20"/>
        </w:rPr>
        <w:t>Figura 2 – Versão Masculina de Lara Croft.</w:t>
      </w:r>
    </w:p>
    <w:p w:rsidR="00D24E61" w:rsidRPr="00771368" w:rsidRDefault="00D24E61">
      <w:pPr>
        <w:spacing w:line="1" w:lineRule="exact"/>
        <w:rPr>
          <w:sz w:val="20"/>
          <w:szCs w:val="20"/>
        </w:rPr>
      </w:pPr>
    </w:p>
    <w:p w:rsidR="00D24E61" w:rsidRPr="00771368" w:rsidRDefault="00D24E61">
      <w:pPr>
        <w:spacing w:line="276" w:lineRule="auto"/>
        <w:ind w:right="1120"/>
        <w:rPr>
          <w:sz w:val="20"/>
          <w:szCs w:val="20"/>
        </w:rPr>
      </w:pPr>
      <w:r w:rsidRPr="00771368">
        <w:rPr>
          <w:sz w:val="20"/>
          <w:szCs w:val="20"/>
        </w:rPr>
        <w:t>Fonte: &lt;</w:t>
      </w:r>
      <w:hyperlink r:id="rId274">
        <w:r w:rsidRPr="00771368">
          <w:rPr>
            <w:b/>
            <w:bCs/>
            <w:color w:val="0000FF"/>
            <w:sz w:val="20"/>
            <w:szCs w:val="20"/>
            <w:u w:val="single"/>
          </w:rPr>
          <w:t>http://www.cnet.com.au/meet-larry-croft-if-lara-was-a-man-339344728.htm#image0</w:t>
        </w:r>
      </w:hyperlink>
      <w:r w:rsidRPr="00771368">
        <w:rPr>
          <w:sz w:val="20"/>
          <w:szCs w:val="20"/>
        </w:rPr>
        <w:t>&gt; Acesso em: 04 de julho de 2013.</w:t>
      </w:r>
    </w:p>
    <w:p w:rsidR="00D24E61" w:rsidRPr="00771368" w:rsidRDefault="00D24E61">
      <w:pPr>
        <w:spacing w:line="316" w:lineRule="exact"/>
        <w:rPr>
          <w:sz w:val="20"/>
          <w:szCs w:val="20"/>
        </w:rPr>
      </w:pPr>
    </w:p>
    <w:p w:rsidR="00D24E61" w:rsidRPr="00771368" w:rsidRDefault="00D24E61">
      <w:pPr>
        <w:spacing w:line="368" w:lineRule="auto"/>
        <w:ind w:firstLine="709"/>
        <w:jc w:val="both"/>
        <w:rPr>
          <w:sz w:val="20"/>
          <w:szCs w:val="20"/>
        </w:rPr>
      </w:pPr>
      <w:r w:rsidRPr="00771368">
        <w:rPr>
          <w:sz w:val="24"/>
          <w:szCs w:val="24"/>
        </w:rPr>
        <w:t>Independentemente das intenções de Raffael, o seu trabalho possibilita uma perspectiva de leitura diferente. A partir do contraste com versão masculina da personagem, o olhar treinado para aceitar apenas a imagem feminina com certo tipo de corpo, vestes e comportamento pode ser questionado. Não se tratam de questionamentos relacionados à determinação do que seria certo ou errado, mas sim quanto a novas propostas de olhar.</w:t>
      </w:r>
    </w:p>
    <w:p w:rsidR="00D24E61" w:rsidRPr="00771368" w:rsidRDefault="00D24E61">
      <w:pPr>
        <w:spacing w:line="368" w:lineRule="exact"/>
        <w:rPr>
          <w:sz w:val="20"/>
          <w:szCs w:val="20"/>
        </w:rPr>
      </w:pPr>
    </w:p>
    <w:p w:rsidR="00D24E61" w:rsidRPr="00771368" w:rsidRDefault="00D24E61">
      <w:pPr>
        <w:ind w:left="700"/>
        <w:rPr>
          <w:sz w:val="20"/>
          <w:szCs w:val="20"/>
        </w:rPr>
      </w:pPr>
      <w:r w:rsidRPr="00771368">
        <w:rPr>
          <w:sz w:val="24"/>
          <w:szCs w:val="24"/>
          <w:u w:val="single"/>
        </w:rPr>
        <w:t>As reações em relação à personagens</w:t>
      </w:r>
    </w:p>
    <w:p w:rsidR="00D24E61" w:rsidRPr="00771368" w:rsidRDefault="00D24E61">
      <w:pPr>
        <w:spacing w:line="134" w:lineRule="exact"/>
        <w:rPr>
          <w:sz w:val="20"/>
          <w:szCs w:val="20"/>
        </w:rPr>
      </w:pPr>
    </w:p>
    <w:p w:rsidR="00D24E61" w:rsidRPr="00771368" w:rsidRDefault="00D24E61" w:rsidP="00644E24">
      <w:pPr>
        <w:spacing w:line="383" w:lineRule="auto"/>
        <w:ind w:firstLine="709"/>
        <w:jc w:val="both"/>
        <w:rPr>
          <w:sz w:val="24"/>
          <w:szCs w:val="24"/>
        </w:rPr>
      </w:pPr>
      <w:r w:rsidRPr="00771368">
        <w:rPr>
          <w:sz w:val="23"/>
          <w:szCs w:val="23"/>
        </w:rPr>
        <w:t xml:space="preserve">Em outro episódio do programa </w:t>
      </w:r>
      <w:r w:rsidRPr="00771368">
        <w:rPr>
          <w:i/>
          <w:iCs/>
          <w:sz w:val="23"/>
          <w:szCs w:val="23"/>
        </w:rPr>
        <w:t>nerdplayer</w:t>
      </w:r>
      <w:r w:rsidRPr="00771368">
        <w:rPr>
          <w:sz w:val="23"/>
          <w:szCs w:val="23"/>
        </w:rPr>
        <w:t xml:space="preserve">, o jogo apresentado é o </w:t>
      </w:r>
      <w:r w:rsidRPr="00771368">
        <w:rPr>
          <w:i/>
          <w:iCs/>
          <w:sz w:val="23"/>
          <w:szCs w:val="23"/>
        </w:rPr>
        <w:t>Metal Gear Rising</w:t>
      </w:r>
      <w:r w:rsidRPr="00771368">
        <w:rPr>
          <w:sz w:val="23"/>
          <w:szCs w:val="23"/>
        </w:rPr>
        <w:t xml:space="preserve">. O jogo, razoavelmente novo, foi alvo de muitas críticas durante a produção e lançamento, pois não pertence exatamente à série </w:t>
      </w:r>
      <w:r w:rsidRPr="00771368">
        <w:rPr>
          <w:i/>
          <w:iCs/>
          <w:sz w:val="23"/>
          <w:szCs w:val="23"/>
        </w:rPr>
        <w:t>Metal Gear,</w:t>
      </w:r>
      <w:r w:rsidRPr="00771368">
        <w:rPr>
          <w:sz w:val="23"/>
          <w:szCs w:val="23"/>
        </w:rPr>
        <w:t xml:space="preserve"> distanciando-se bastante das expectativas de jogadores/as usuais. Conforme os apresentadores jogavam e a ação se desenrolava, eram feitas algumas críticas em relação ao personagem. Algumas peculiaridades do personagem principal foram questionadas pelos apresentadores, entre elas o uso de saltos altos, as unhas compridas, o cabelo arrumado e principalmente a roupa justa, já que se tratava da</w:t>
      </w:r>
      <w:r w:rsidR="00644E24">
        <w:rPr>
          <w:sz w:val="23"/>
          <w:szCs w:val="23"/>
        </w:rPr>
        <w:t xml:space="preserve"> </w:t>
      </w:r>
      <w:r w:rsidRPr="00771368">
        <w:rPr>
          <w:sz w:val="24"/>
          <w:szCs w:val="24"/>
        </w:rPr>
        <w:t>caracterização de um homem. Durante todo o programa são feitas piadas e referências acerca do estilo “afeminado” do personagem.</w:t>
      </w:r>
      <w:hyperlink w:anchor="page7">
        <w:r w:rsidRPr="00771368">
          <w:rPr>
            <w:sz w:val="31"/>
            <w:szCs w:val="31"/>
            <w:vertAlign w:val="superscript"/>
          </w:rPr>
          <w:t>5</w:t>
        </w:r>
      </w:hyperlink>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65408" behindDoc="1" locked="0" layoutInCell="0" allowOverlap="1">
            <wp:simplePos x="0" y="0"/>
            <wp:positionH relativeFrom="column">
              <wp:posOffset>-635</wp:posOffset>
            </wp:positionH>
            <wp:positionV relativeFrom="paragraph">
              <wp:posOffset>-88265</wp:posOffset>
            </wp:positionV>
            <wp:extent cx="5752465" cy="3590925"/>
            <wp:effectExtent l="0" t="0" r="0" b="0"/>
            <wp:wrapNone/>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5" cstate="print">
                      <a:extLst/>
                    </a:blip>
                    <a:srcRect/>
                    <a:stretch>
                      <a:fillRect/>
                    </a:stretch>
                  </pic:blipFill>
                  <pic:spPr bwMode="auto">
                    <a:xfrm>
                      <a:off x="0" y="0"/>
                      <a:ext cx="5752465" cy="359092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70" w:lineRule="exact"/>
        <w:rPr>
          <w:sz w:val="20"/>
          <w:szCs w:val="20"/>
        </w:rPr>
      </w:pPr>
    </w:p>
    <w:p w:rsidR="00D24E61" w:rsidRPr="00771368" w:rsidRDefault="00D24E61">
      <w:pPr>
        <w:spacing w:line="239" w:lineRule="auto"/>
        <w:ind w:left="20"/>
        <w:rPr>
          <w:sz w:val="20"/>
          <w:szCs w:val="20"/>
        </w:rPr>
      </w:pPr>
      <w:r w:rsidRPr="00771368">
        <w:rPr>
          <w:sz w:val="20"/>
          <w:szCs w:val="20"/>
        </w:rPr>
        <w:t>Figura 3 – Raiden-Metal Gear Rising</w:t>
      </w:r>
    </w:p>
    <w:p w:rsidR="00D24E61" w:rsidRPr="00771368" w:rsidRDefault="00D24E61">
      <w:pPr>
        <w:spacing w:line="1" w:lineRule="exact"/>
        <w:rPr>
          <w:sz w:val="20"/>
          <w:szCs w:val="20"/>
        </w:rPr>
      </w:pPr>
    </w:p>
    <w:p w:rsidR="00D24E61" w:rsidRPr="00771368" w:rsidRDefault="00D24E61">
      <w:pPr>
        <w:spacing w:line="276" w:lineRule="auto"/>
        <w:ind w:left="20" w:right="80"/>
        <w:rPr>
          <w:b/>
          <w:bCs/>
          <w:color w:val="0000FF"/>
          <w:sz w:val="20"/>
          <w:szCs w:val="20"/>
        </w:rPr>
      </w:pPr>
      <w:r w:rsidRPr="00771368">
        <w:rPr>
          <w:sz w:val="20"/>
          <w:szCs w:val="20"/>
        </w:rPr>
        <w:t>Fonte: &lt;</w:t>
      </w:r>
      <w:hyperlink r:id="rId276">
        <w:r w:rsidRPr="00771368">
          <w:rPr>
            <w:b/>
            <w:bCs/>
            <w:color w:val="0000FF"/>
            <w:sz w:val="20"/>
            <w:szCs w:val="20"/>
            <w:u w:val="single"/>
          </w:rPr>
          <w:t>http://cdn.superbwallpapers.com/wallpapers/games/raiden-metal-gear-rising-revengeance-17280-</w:t>
        </w:r>
      </w:hyperlink>
      <w:hyperlink r:id="rId277">
        <w:r w:rsidRPr="00771368">
          <w:rPr>
            <w:b/>
            <w:bCs/>
            <w:color w:val="0000FF"/>
            <w:sz w:val="20"/>
            <w:szCs w:val="20"/>
          </w:rPr>
          <w:t>1680x1050.jpg</w:t>
        </w:r>
      </w:hyperlink>
      <w:r w:rsidRPr="00771368">
        <w:rPr>
          <w:color w:val="000000"/>
          <w:sz w:val="20"/>
          <w:szCs w:val="20"/>
        </w:rPr>
        <w:t>&gt;</w:t>
      </w:r>
      <w:r w:rsidRPr="00771368">
        <w:rPr>
          <w:b/>
          <w:bCs/>
          <w:color w:val="0000FF"/>
          <w:sz w:val="20"/>
          <w:szCs w:val="20"/>
        </w:rPr>
        <w:t xml:space="preserve"> </w:t>
      </w:r>
      <w:r w:rsidRPr="00771368">
        <w:rPr>
          <w:color w:val="000000"/>
          <w:sz w:val="20"/>
          <w:szCs w:val="20"/>
        </w:rPr>
        <w:t>Acesso em: 20 de setembro de 2013.</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79232" behindDoc="0" locked="0" layoutInCell="0" allowOverlap="1">
                <wp:simplePos x="0" y="0"/>
                <wp:positionH relativeFrom="column">
                  <wp:posOffset>12700</wp:posOffset>
                </wp:positionH>
                <wp:positionV relativeFrom="paragraph">
                  <wp:posOffset>-39370</wp:posOffset>
                </wp:positionV>
                <wp:extent cx="779145" cy="0"/>
                <wp:effectExtent l="12700" t="8255" r="8255" b="10795"/>
                <wp:wrapNone/>
                <wp:docPr id="24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12179">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3.1pt" to="62.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" o:allowincell="f" strokecolor="blue" strokeweight=".33831mm"/>
            </w:pict>
          </mc:Fallback>
        </mc:AlternateContent>
      </w:r>
    </w:p>
    <w:p w:rsidR="00D24E61" w:rsidRPr="00771368" w:rsidRDefault="00D24E61">
      <w:pPr>
        <w:spacing w:line="346" w:lineRule="exact"/>
        <w:rPr>
          <w:sz w:val="20"/>
          <w:szCs w:val="20"/>
        </w:rPr>
      </w:pPr>
    </w:p>
    <w:p w:rsidR="00D24E61" w:rsidRPr="00771368" w:rsidRDefault="00D24E61">
      <w:pPr>
        <w:spacing w:line="359" w:lineRule="auto"/>
        <w:ind w:right="20" w:firstLine="709"/>
        <w:jc w:val="both"/>
        <w:rPr>
          <w:sz w:val="20"/>
          <w:szCs w:val="20"/>
        </w:rPr>
      </w:pPr>
      <w:r w:rsidRPr="00771368">
        <w:rPr>
          <w:sz w:val="24"/>
          <w:szCs w:val="24"/>
        </w:rPr>
        <w:t>É interessante observar que quando algumas características estereotipadamente consideradas de personagens mulheres são colocadas em personagens homens, isso pode causar um grande estranhamento e negação por parte da maioria do público. No caso do personagem Raiden (Figura3), protagonista do jogo em questão, trata-se de apenas alguns detalhes, porém isso já é suficiente para caracterizá-lo como diferente.</w:t>
      </w:r>
    </w:p>
    <w:p w:rsidR="00D24E61" w:rsidRPr="00771368" w:rsidRDefault="00D24E61">
      <w:pPr>
        <w:spacing w:line="1" w:lineRule="exact"/>
        <w:rPr>
          <w:sz w:val="20"/>
          <w:szCs w:val="20"/>
        </w:rPr>
      </w:pPr>
    </w:p>
    <w:p w:rsidR="00D24E61" w:rsidRPr="00771368" w:rsidRDefault="00D24E61">
      <w:pPr>
        <w:spacing w:line="367" w:lineRule="auto"/>
        <w:ind w:firstLine="709"/>
        <w:jc w:val="both"/>
        <w:rPr>
          <w:sz w:val="20"/>
          <w:szCs w:val="20"/>
        </w:rPr>
      </w:pPr>
      <w:r w:rsidRPr="00771368">
        <w:rPr>
          <w:sz w:val="24"/>
          <w:szCs w:val="24"/>
        </w:rPr>
        <w:t xml:space="preserve">Outro jogo da mesma franquia </w:t>
      </w:r>
      <w:r w:rsidRPr="00771368">
        <w:rPr>
          <w:i/>
          <w:iCs/>
          <w:sz w:val="24"/>
          <w:szCs w:val="24"/>
        </w:rPr>
        <w:t>Metal Gear</w:t>
      </w:r>
      <w:r w:rsidRPr="00771368">
        <w:rPr>
          <w:sz w:val="24"/>
          <w:szCs w:val="24"/>
        </w:rPr>
        <w:t xml:space="preserve"> que está para ser lançado é o </w:t>
      </w:r>
      <w:r w:rsidRPr="00771368">
        <w:rPr>
          <w:i/>
          <w:iCs/>
          <w:sz w:val="24"/>
          <w:szCs w:val="24"/>
        </w:rPr>
        <w:t>Metal Gear</w:t>
      </w:r>
      <w:r w:rsidRPr="00771368">
        <w:rPr>
          <w:sz w:val="24"/>
          <w:szCs w:val="24"/>
        </w:rPr>
        <w:t xml:space="preserve"> </w:t>
      </w:r>
      <w:r w:rsidRPr="00771368">
        <w:rPr>
          <w:i/>
          <w:iCs/>
          <w:sz w:val="24"/>
          <w:szCs w:val="24"/>
        </w:rPr>
        <w:t>Solid V: The Phantom Pain</w:t>
      </w:r>
      <w:r w:rsidRPr="00771368">
        <w:rPr>
          <w:sz w:val="24"/>
          <w:szCs w:val="24"/>
        </w:rPr>
        <w:t>. Recentemente, para instigar os/as fãs, foi divulgada uma</w:t>
      </w:r>
      <w:r w:rsidRPr="00771368">
        <w:rPr>
          <w:i/>
          <w:iCs/>
          <w:sz w:val="24"/>
          <w:szCs w:val="24"/>
        </w:rPr>
        <w:t xml:space="preserve"> </w:t>
      </w:r>
      <w:r w:rsidRPr="00771368">
        <w:rPr>
          <w:sz w:val="24"/>
          <w:szCs w:val="24"/>
        </w:rPr>
        <w:t>personagem do jogo. A personagem se chama Quiet (Figura 4) e causou polêmica nas redes sociais, pois um famoso designer de games, David Ellis “twitou” que a sua caracterização seria nojenta pelo seu excesso de apelo sexual. Quiet usa biquínis em um jogo que tem como temática principal a guerra. A partir do comentário do designer surgiram questionamentos em</w:t>
      </w:r>
    </w:p>
    <w:p w:rsidR="00D24E61" w:rsidRPr="00771368" w:rsidRDefault="00013211">
      <w:pPr>
        <w:spacing w:line="387" w:lineRule="exact"/>
        <w:rPr>
          <w:sz w:val="20"/>
          <w:szCs w:val="20"/>
        </w:rPr>
      </w:pPr>
      <w:r>
        <w:rPr>
          <w:noProof/>
          <w:sz w:val="20"/>
          <w:szCs w:val="20"/>
        </w:rPr>
        <mc:AlternateContent>
          <mc:Choice Requires="wps">
            <w:drawing>
              <wp:anchor distT="0" distB="0" distL="0" distR="0" simplePos="0" relativeHeight="251680256" behindDoc="0" locked="0" layoutInCell="0" allowOverlap="1">
                <wp:simplePos x="0" y="0"/>
                <wp:positionH relativeFrom="column">
                  <wp:posOffset>-635</wp:posOffset>
                </wp:positionH>
                <wp:positionV relativeFrom="paragraph">
                  <wp:posOffset>198120</wp:posOffset>
                </wp:positionV>
                <wp:extent cx="1828165" cy="0"/>
                <wp:effectExtent l="8890" t="7620" r="10795" b="11430"/>
                <wp:wrapNone/>
                <wp:docPr id="24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5.6pt" to="143.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" o:allowincell="f" strokeweight=".16964mm"/>
            </w:pict>
          </mc:Fallback>
        </mc:AlternateContent>
      </w:r>
    </w:p>
    <w:p w:rsidR="00D24E61" w:rsidRPr="00771368" w:rsidRDefault="00D24E61">
      <w:pPr>
        <w:spacing w:line="300" w:lineRule="auto"/>
        <w:ind w:right="1820"/>
        <w:rPr>
          <w:sz w:val="19"/>
          <w:szCs w:val="19"/>
        </w:rPr>
      </w:pPr>
      <w:r w:rsidRPr="00771368">
        <w:rPr>
          <w:sz w:val="19"/>
          <w:szCs w:val="19"/>
        </w:rPr>
        <w:t>5 MGR: Revengeance - Metal Gay Rising | NerdPlayer 77. Disponível em: &lt;</w:t>
      </w:r>
      <w:hyperlink r:id="rId278">
        <w:r w:rsidRPr="00771368">
          <w:rPr>
            <w:color w:val="0000FF"/>
            <w:sz w:val="19"/>
            <w:szCs w:val="19"/>
            <w:u w:val="single"/>
          </w:rPr>
          <w:t>https://www.youtube.com/watch?v=_cdT0R4cYkI</w:t>
        </w:r>
      </w:hyperlink>
      <w:r w:rsidRPr="00771368">
        <w:rPr>
          <w:sz w:val="19"/>
          <w:szCs w:val="19"/>
        </w:rPr>
        <w:t>&gt; Acesso em: 20 de setembro de 2013.</w:t>
      </w:r>
    </w:p>
    <w:p w:rsidR="00D24E61" w:rsidRPr="00771368" w:rsidRDefault="00D24E61">
      <w:pPr>
        <w:spacing w:line="144" w:lineRule="exact"/>
        <w:rPr>
          <w:sz w:val="20"/>
          <w:szCs w:val="20"/>
        </w:rPr>
      </w:pPr>
    </w:p>
    <w:p w:rsidR="00D24E61" w:rsidRPr="00771368" w:rsidRDefault="00D24E61">
      <w:pPr>
        <w:ind w:left="8960"/>
        <w:rPr>
          <w:sz w:val="20"/>
          <w:szCs w:val="20"/>
        </w:rPr>
      </w:pPr>
      <w:r w:rsidRPr="00771368">
        <w:rPr>
          <w:sz w:val="20"/>
          <w:szCs w:val="20"/>
        </w:rPr>
        <w:t>7</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368" w:lineRule="auto"/>
        <w:ind w:right="60"/>
        <w:jc w:val="both"/>
        <w:rPr>
          <w:sz w:val="24"/>
          <w:szCs w:val="24"/>
        </w:rPr>
      </w:pPr>
      <w:r w:rsidRPr="00771368">
        <w:rPr>
          <w:sz w:val="24"/>
          <w:szCs w:val="24"/>
        </w:rPr>
        <w:t>relação a necessidade da sexualização da personagem. Kojima, que é o produtor do jogo, defendeu que a sensualidade e os trajes da personagem ganhariam contexto e sentido no jogo.</w:t>
      </w:r>
      <w:hyperlink w:anchor="page8">
        <w:r w:rsidRPr="00771368">
          <w:rPr>
            <w:sz w:val="31"/>
            <w:szCs w:val="31"/>
            <w:vertAlign w:val="superscript"/>
          </w:rPr>
          <w:t>6</w:t>
        </w:r>
      </w:hyperlink>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67456" behindDoc="1" locked="0" layoutInCell="0" allowOverlap="1">
            <wp:simplePos x="0" y="0"/>
            <wp:positionH relativeFrom="column">
              <wp:posOffset>-635</wp:posOffset>
            </wp:positionH>
            <wp:positionV relativeFrom="paragraph">
              <wp:posOffset>-82550</wp:posOffset>
            </wp:positionV>
            <wp:extent cx="5751195" cy="3030220"/>
            <wp:effectExtent l="0" t="0" r="0" b="0"/>
            <wp:wrapNone/>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9" cstate="print">
                      <a:extLst/>
                    </a:blip>
                    <a:srcRect/>
                    <a:stretch>
                      <a:fillRect/>
                    </a:stretch>
                  </pic:blipFill>
                  <pic:spPr bwMode="auto">
                    <a:xfrm>
                      <a:off x="0" y="0"/>
                      <a:ext cx="5751195" cy="303022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10" w:lineRule="exact"/>
        <w:rPr>
          <w:sz w:val="20"/>
          <w:szCs w:val="20"/>
        </w:rPr>
      </w:pPr>
    </w:p>
    <w:p w:rsidR="00D24E61" w:rsidRPr="00771368" w:rsidRDefault="00D24E61">
      <w:pPr>
        <w:spacing w:line="239" w:lineRule="auto"/>
        <w:ind w:left="40"/>
        <w:rPr>
          <w:sz w:val="20"/>
          <w:szCs w:val="20"/>
        </w:rPr>
      </w:pPr>
      <w:r w:rsidRPr="00771368">
        <w:rPr>
          <w:sz w:val="20"/>
          <w:szCs w:val="20"/>
        </w:rPr>
        <w:t>Figura 4 – Personagem mulher - Metal Gear Solid V: The Phantom Pain</w:t>
      </w:r>
    </w:p>
    <w:p w:rsidR="00D24E61" w:rsidRPr="00771368" w:rsidRDefault="00D24E61">
      <w:pPr>
        <w:spacing w:line="1" w:lineRule="exact"/>
        <w:rPr>
          <w:sz w:val="20"/>
          <w:szCs w:val="20"/>
        </w:rPr>
      </w:pPr>
    </w:p>
    <w:p w:rsidR="00D24E61" w:rsidRPr="00771368" w:rsidRDefault="00D24E61">
      <w:pPr>
        <w:spacing w:line="258" w:lineRule="auto"/>
        <w:ind w:left="40"/>
        <w:rPr>
          <w:b/>
          <w:bCs/>
          <w:color w:val="0000FF"/>
          <w:sz w:val="20"/>
          <w:szCs w:val="20"/>
        </w:rPr>
      </w:pPr>
      <w:r w:rsidRPr="00771368">
        <w:rPr>
          <w:sz w:val="20"/>
          <w:szCs w:val="20"/>
        </w:rPr>
        <w:t>Fonte: &lt;</w:t>
      </w:r>
      <w:hyperlink r:id="rId280">
        <w:r w:rsidRPr="00771368">
          <w:rPr>
            <w:b/>
            <w:bCs/>
            <w:color w:val="0000FF"/>
            <w:sz w:val="20"/>
            <w:szCs w:val="20"/>
            <w:u w:val="single"/>
          </w:rPr>
          <w:t>http://www.bj.com.br/noticias/36042-treta-do-dia-designer-da-343-critica-erotismo-de-novo-metal-</w:t>
        </w:r>
      </w:hyperlink>
      <w:hyperlink r:id="rId281">
        <w:r w:rsidRPr="00771368">
          <w:rPr>
            <w:b/>
            <w:bCs/>
            <w:color w:val="0000FF"/>
            <w:sz w:val="20"/>
            <w:szCs w:val="20"/>
            <w:u w:val="single"/>
          </w:rPr>
          <w:t>gear-no-twitter?utm_source=facebook.com&amp;utm_medium=referral&amp;utm_campaign =imggrande</w:t>
        </w:r>
      </w:hyperlink>
      <w:r w:rsidRPr="00771368">
        <w:rPr>
          <w:color w:val="000000"/>
          <w:sz w:val="20"/>
          <w:szCs w:val="20"/>
        </w:rPr>
        <w:t>&gt;</w:t>
      </w:r>
      <w:r w:rsidRPr="00771368">
        <w:rPr>
          <w:b/>
          <w:bCs/>
          <w:color w:val="0000FF"/>
          <w:sz w:val="20"/>
          <w:szCs w:val="20"/>
        </w:rPr>
        <w:t xml:space="preserve"> </w:t>
      </w:r>
      <w:r w:rsidRPr="00771368">
        <w:rPr>
          <w:color w:val="000000"/>
          <w:sz w:val="20"/>
          <w:szCs w:val="20"/>
        </w:rPr>
        <w:t>Acesso em: 20 de setembro de 2013.</w:t>
      </w:r>
    </w:p>
    <w:p w:rsidR="00D24E61" w:rsidRPr="00771368" w:rsidRDefault="00D24E61">
      <w:pPr>
        <w:spacing w:line="320" w:lineRule="exact"/>
        <w:rPr>
          <w:sz w:val="20"/>
          <w:szCs w:val="20"/>
        </w:rPr>
      </w:pPr>
    </w:p>
    <w:p w:rsidR="00D24E61" w:rsidRPr="00771368" w:rsidRDefault="00D24E61">
      <w:pPr>
        <w:spacing w:line="360" w:lineRule="auto"/>
        <w:ind w:right="60" w:firstLine="709"/>
        <w:jc w:val="both"/>
        <w:rPr>
          <w:sz w:val="20"/>
          <w:szCs w:val="20"/>
        </w:rPr>
      </w:pPr>
      <w:r w:rsidRPr="00771368">
        <w:rPr>
          <w:sz w:val="24"/>
          <w:szCs w:val="24"/>
        </w:rPr>
        <w:t>De acordo com John Berger (1974), que analisa as representações de corpos femininos nos cânones das artes visuais ocidentais, as mulheres são representadas de uma maneira bastante diferente dos homens. Não porque o feminino seja em “essência” diferente do masculino, mas porque se privilegia sempre que um tipo específico de espectador “ideal”, entendido como um sujeito masculino heterossexual. Sendo assim, a imagem das mulheres é construída com o objetivo agradá-lo.</w:t>
      </w:r>
    </w:p>
    <w:p w:rsidR="00D24E61" w:rsidRPr="00771368" w:rsidRDefault="00D24E61">
      <w:pPr>
        <w:spacing w:line="384" w:lineRule="auto"/>
        <w:ind w:right="60" w:firstLine="709"/>
        <w:jc w:val="both"/>
        <w:rPr>
          <w:sz w:val="20"/>
          <w:szCs w:val="20"/>
        </w:rPr>
      </w:pPr>
      <w:r w:rsidRPr="00771368">
        <w:rPr>
          <w:sz w:val="23"/>
          <w:szCs w:val="23"/>
        </w:rPr>
        <w:t>Identificar-se com certa representação estabelece uma relação de pertencimento. Todas as representações e as práticas ligadas a elas estabelecem padrões de sujeitos masculinos e femininos marcando entre eles relações de diferença. Somos treinados para reconhecer e classificar esses padrões, assim como os sujeitos que os portam. Classificamos os sujeitos sociais a partir da forma como se expressam, pelos seus gestos, como se vestem, a que grupo aparentam pertencer e, a partir disso, os julgamos como “adequados” ou “diferentes”. As</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81280" behindDoc="0" locked="0" layoutInCell="0" allowOverlap="1">
                <wp:simplePos x="0" y="0"/>
                <wp:positionH relativeFrom="column">
                  <wp:posOffset>-635</wp:posOffset>
                </wp:positionH>
                <wp:positionV relativeFrom="paragraph">
                  <wp:posOffset>225425</wp:posOffset>
                </wp:positionV>
                <wp:extent cx="1828165" cy="0"/>
                <wp:effectExtent l="8890" t="6350" r="10795" b="12700"/>
                <wp:wrapNone/>
                <wp:docPr id="24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7.75pt" to="143.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NwFgIAACw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" o:allowincell="f" strokeweight=".16964mm"/>
            </w:pict>
          </mc:Fallback>
        </mc:AlternateContent>
      </w:r>
    </w:p>
    <w:p w:rsidR="00D24E61" w:rsidRPr="00771368" w:rsidRDefault="00D24E61">
      <w:pPr>
        <w:spacing w:line="230" w:lineRule="exact"/>
        <w:rPr>
          <w:sz w:val="20"/>
          <w:szCs w:val="20"/>
        </w:rPr>
      </w:pPr>
    </w:p>
    <w:p w:rsidR="00D24E61" w:rsidRPr="00771368" w:rsidRDefault="00D24E61">
      <w:pPr>
        <w:ind w:right="80"/>
        <w:rPr>
          <w:color w:val="0000FF"/>
          <w:sz w:val="20"/>
          <w:szCs w:val="20"/>
        </w:rPr>
      </w:pPr>
      <w:r w:rsidRPr="00771368">
        <w:rPr>
          <w:sz w:val="20"/>
          <w:szCs w:val="20"/>
        </w:rPr>
        <w:t>6 Disponível em: &lt;</w:t>
      </w:r>
      <w:hyperlink r:id="rId282">
        <w:r w:rsidRPr="00771368">
          <w:rPr>
            <w:color w:val="0000FF"/>
            <w:sz w:val="20"/>
            <w:szCs w:val="20"/>
            <w:u w:val="single"/>
          </w:rPr>
          <w:t>http://www.bj.com.br/noticias/36042-treta-do-dia-designer-da-343-critica-erotismo-</w:t>
        </w:r>
      </w:hyperlink>
      <w:hyperlink r:id="rId283">
        <w:r w:rsidRPr="00771368">
          <w:rPr>
            <w:color w:val="0000FF"/>
            <w:sz w:val="20"/>
            <w:szCs w:val="20"/>
            <w:u w:val="single"/>
          </w:rPr>
          <w:t>de-novo-metal-gear-no-twitter?utm_source=facebook.com&amp;utm_medium=referral&amp;utm_campaign=imggrande</w:t>
        </w:r>
      </w:hyperlink>
      <w:r w:rsidRPr="00771368">
        <w:rPr>
          <w:color w:val="000000"/>
          <w:sz w:val="20"/>
          <w:szCs w:val="20"/>
        </w:rPr>
        <w:t>&gt;</w:t>
      </w:r>
    </w:p>
    <w:p w:rsidR="00D24E61" w:rsidRPr="00771368" w:rsidRDefault="00D24E61">
      <w:pPr>
        <w:spacing w:line="239" w:lineRule="auto"/>
        <w:ind w:left="340"/>
        <w:rPr>
          <w:sz w:val="20"/>
          <w:szCs w:val="20"/>
        </w:rPr>
      </w:pPr>
      <w:r w:rsidRPr="00771368">
        <w:rPr>
          <w:sz w:val="20"/>
          <w:szCs w:val="20"/>
        </w:rPr>
        <w:t>Acesso em: 20 de setembro de 2013.</w:t>
      </w:r>
    </w:p>
    <w:p w:rsidR="00D24E61" w:rsidRPr="00771368" w:rsidRDefault="00D24E61">
      <w:pPr>
        <w:spacing w:line="1" w:lineRule="exact"/>
        <w:rPr>
          <w:sz w:val="20"/>
          <w:szCs w:val="20"/>
        </w:rPr>
      </w:pPr>
    </w:p>
    <w:p w:rsidR="00D24E61" w:rsidRPr="00771368" w:rsidRDefault="00D24E61">
      <w:pPr>
        <w:spacing w:line="188" w:lineRule="exact"/>
        <w:rPr>
          <w:sz w:val="20"/>
          <w:szCs w:val="20"/>
        </w:rPr>
      </w:pPr>
    </w:p>
    <w:p w:rsidR="00D24E61" w:rsidRPr="00771368" w:rsidRDefault="00D24E61">
      <w:pPr>
        <w:spacing w:line="376" w:lineRule="auto"/>
        <w:ind w:left="2"/>
        <w:jc w:val="both"/>
        <w:rPr>
          <w:sz w:val="20"/>
          <w:szCs w:val="20"/>
        </w:rPr>
      </w:pPr>
      <w:r w:rsidRPr="00771368">
        <w:rPr>
          <w:sz w:val="24"/>
          <w:szCs w:val="24"/>
        </w:rPr>
        <w:t>muitas formas de se fazer mulher ou homem, as várias possibilidades de viver prazeres e desejos corporais são sempre sugeridas, anunciadas, promovidas socialmente. Porém, elas também são renovadamente reguladas, condenadas ou negadas (LOURO, 2007).</w:t>
      </w:r>
    </w:p>
    <w:p w:rsidR="00D24E61" w:rsidRPr="00771368" w:rsidRDefault="00D24E61">
      <w:pPr>
        <w:spacing w:line="359" w:lineRule="exact"/>
        <w:rPr>
          <w:sz w:val="20"/>
          <w:szCs w:val="20"/>
        </w:rPr>
      </w:pPr>
    </w:p>
    <w:p w:rsidR="00D24E61" w:rsidRPr="00771368" w:rsidRDefault="00D24E61">
      <w:pPr>
        <w:ind w:left="702"/>
        <w:rPr>
          <w:sz w:val="20"/>
          <w:szCs w:val="20"/>
        </w:rPr>
      </w:pPr>
      <w:r w:rsidRPr="00771368">
        <w:rPr>
          <w:sz w:val="24"/>
          <w:szCs w:val="24"/>
          <w:u w:val="single"/>
        </w:rPr>
        <w:t>Objetificação histórica</w:t>
      </w:r>
    </w:p>
    <w:p w:rsidR="00D24E61" w:rsidRPr="00771368" w:rsidRDefault="00D24E61">
      <w:pPr>
        <w:spacing w:line="138" w:lineRule="exact"/>
        <w:rPr>
          <w:sz w:val="20"/>
          <w:szCs w:val="20"/>
        </w:rPr>
      </w:pPr>
    </w:p>
    <w:p w:rsidR="00D24E61" w:rsidRPr="00771368" w:rsidRDefault="00D24E61">
      <w:pPr>
        <w:spacing w:line="348" w:lineRule="auto"/>
        <w:ind w:left="2" w:firstLine="709"/>
        <w:jc w:val="both"/>
        <w:rPr>
          <w:sz w:val="24"/>
          <w:szCs w:val="24"/>
        </w:rPr>
      </w:pPr>
      <w:r w:rsidRPr="00771368">
        <w:rPr>
          <w:sz w:val="24"/>
          <w:szCs w:val="24"/>
        </w:rPr>
        <w:t xml:space="preserve">Historicamente, no mundo dos games há uma recorrência da representação de personagens femininas sexualizadas. Vejamos como mais um exemplo, o jogo </w:t>
      </w:r>
      <w:r w:rsidRPr="00771368">
        <w:rPr>
          <w:i/>
          <w:iCs/>
          <w:sz w:val="24"/>
          <w:szCs w:val="24"/>
        </w:rPr>
        <w:t>Metróide</w:t>
      </w:r>
      <w:r w:rsidRPr="00771368">
        <w:rPr>
          <w:sz w:val="24"/>
          <w:szCs w:val="24"/>
        </w:rPr>
        <w:t xml:space="preserve"> de 1985. Neste título, a personagem Samus é emulável</w:t>
      </w:r>
      <w:hyperlink w:anchor="page9">
        <w:r w:rsidRPr="00771368">
          <w:rPr>
            <w:sz w:val="31"/>
            <w:szCs w:val="31"/>
            <w:vertAlign w:val="superscript"/>
          </w:rPr>
          <w:t>7</w:t>
        </w:r>
      </w:hyperlink>
      <w:r w:rsidRPr="00771368">
        <w:rPr>
          <w:sz w:val="24"/>
          <w:szCs w:val="24"/>
        </w:rPr>
        <w:t>. No início da partida, ela veste uma armadura cinza que cobre todo o corpo. Contudo, se o jogador consegue vencer todos os desafios, ela se despe, ficando apenas com um biquíni (Figura 3). Mesmo com a qualidade gráfica do jogo sendo muito baixa em função das limitações da época, a intenção é oferecer o corpo feminino como prêmio.</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69504" behindDoc="1" locked="0" layoutInCell="0" allowOverlap="1">
            <wp:simplePos x="0" y="0"/>
            <wp:positionH relativeFrom="column">
              <wp:posOffset>0</wp:posOffset>
            </wp:positionH>
            <wp:positionV relativeFrom="paragraph">
              <wp:posOffset>262890</wp:posOffset>
            </wp:positionV>
            <wp:extent cx="5483225" cy="2038985"/>
            <wp:effectExtent l="0" t="0" r="0" b="0"/>
            <wp:wrapNone/>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4" cstate="print">
                      <a:extLst/>
                    </a:blip>
                    <a:srcRect/>
                    <a:stretch>
                      <a:fillRect/>
                    </a:stretch>
                  </pic:blipFill>
                  <pic:spPr bwMode="auto">
                    <a:xfrm>
                      <a:off x="0" y="0"/>
                      <a:ext cx="5483225" cy="203898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79" w:lineRule="exact"/>
        <w:rPr>
          <w:sz w:val="20"/>
          <w:szCs w:val="20"/>
        </w:rPr>
      </w:pPr>
    </w:p>
    <w:p w:rsidR="00D24E61" w:rsidRPr="00771368" w:rsidRDefault="00D24E61">
      <w:pPr>
        <w:spacing w:line="239" w:lineRule="auto"/>
        <w:ind w:left="22"/>
        <w:rPr>
          <w:sz w:val="20"/>
          <w:szCs w:val="20"/>
        </w:rPr>
      </w:pPr>
      <w:r w:rsidRPr="00771368">
        <w:rPr>
          <w:sz w:val="20"/>
          <w:szCs w:val="20"/>
        </w:rPr>
        <w:t>Figura 5 – Samus com armadura e sem ela, ao fim do jogo.</w:t>
      </w:r>
    </w:p>
    <w:p w:rsidR="00D24E61" w:rsidRPr="00771368" w:rsidRDefault="00D24E61">
      <w:pPr>
        <w:spacing w:line="1" w:lineRule="exact"/>
        <w:rPr>
          <w:sz w:val="20"/>
          <w:szCs w:val="20"/>
        </w:rPr>
      </w:pPr>
    </w:p>
    <w:p w:rsidR="00D24E61" w:rsidRPr="00771368" w:rsidRDefault="00D24E61">
      <w:pPr>
        <w:spacing w:line="276" w:lineRule="auto"/>
        <w:ind w:left="22" w:right="480"/>
        <w:rPr>
          <w:b/>
          <w:bCs/>
          <w:color w:val="0000FF"/>
          <w:sz w:val="20"/>
          <w:szCs w:val="20"/>
        </w:rPr>
      </w:pPr>
      <w:r w:rsidRPr="00771368">
        <w:rPr>
          <w:sz w:val="20"/>
          <w:szCs w:val="20"/>
        </w:rPr>
        <w:t>Fonte: &lt;</w:t>
      </w:r>
      <w:hyperlink r:id="rId285">
        <w:r w:rsidRPr="00771368">
          <w:rPr>
            <w:b/>
            <w:bCs/>
            <w:color w:val="0000FF"/>
            <w:sz w:val="20"/>
            <w:szCs w:val="20"/>
            <w:u w:val="single"/>
          </w:rPr>
          <w:t>http://moviecarpet.com/iwave/images/7/o-samus-aran-and-ridley-appear-in-doa-dimensions-</w:t>
        </w:r>
      </w:hyperlink>
      <w:hyperlink r:id="rId286">
        <w:r w:rsidRPr="00771368">
          <w:rPr>
            <w:b/>
            <w:bCs/>
            <w:color w:val="0000FF"/>
            <w:sz w:val="20"/>
            <w:szCs w:val="20"/>
            <w:u w:val="single"/>
          </w:rPr>
          <w:t>3ds.jpg</w:t>
        </w:r>
      </w:hyperlink>
      <w:r w:rsidRPr="00771368">
        <w:rPr>
          <w:color w:val="000000"/>
          <w:sz w:val="20"/>
          <w:szCs w:val="20"/>
        </w:rPr>
        <w:t>&gt;</w:t>
      </w:r>
      <w:r w:rsidRPr="00771368">
        <w:rPr>
          <w:b/>
          <w:bCs/>
          <w:color w:val="0000FF"/>
          <w:sz w:val="20"/>
          <w:szCs w:val="20"/>
        </w:rPr>
        <w:t xml:space="preserve"> </w:t>
      </w:r>
      <w:r w:rsidRPr="00771368">
        <w:rPr>
          <w:color w:val="000000"/>
          <w:sz w:val="20"/>
          <w:szCs w:val="20"/>
        </w:rPr>
        <w:t>Acesso em: 04 de julho de 2013.</w:t>
      </w:r>
    </w:p>
    <w:p w:rsidR="00D24E61" w:rsidRPr="00771368" w:rsidRDefault="00D24E61">
      <w:pPr>
        <w:spacing w:line="281" w:lineRule="exact"/>
        <w:rPr>
          <w:sz w:val="20"/>
          <w:szCs w:val="20"/>
        </w:rPr>
      </w:pPr>
    </w:p>
    <w:p w:rsidR="00D24E61" w:rsidRPr="00771368" w:rsidRDefault="00D24E61">
      <w:pPr>
        <w:spacing w:line="354" w:lineRule="auto"/>
        <w:ind w:left="2" w:firstLine="709"/>
        <w:jc w:val="both"/>
        <w:rPr>
          <w:sz w:val="24"/>
          <w:szCs w:val="24"/>
        </w:rPr>
      </w:pPr>
      <w:r w:rsidRPr="00771368">
        <w:rPr>
          <w:sz w:val="24"/>
          <w:szCs w:val="24"/>
        </w:rPr>
        <w:t xml:space="preserve">Outro exemplo mais recente pode ser encontrado no jogo </w:t>
      </w:r>
      <w:r w:rsidRPr="00771368">
        <w:rPr>
          <w:i/>
          <w:iCs/>
          <w:sz w:val="24"/>
          <w:szCs w:val="24"/>
        </w:rPr>
        <w:t>Killer is Dead</w:t>
      </w:r>
      <w:r w:rsidRPr="00771368">
        <w:rPr>
          <w:sz w:val="24"/>
          <w:szCs w:val="24"/>
        </w:rPr>
        <w:t xml:space="preserve">, lançado em 2013. O jogo era bastante esperado, pois prometia algumas propostas de inovação no enredo e uma estética aproximada às séries de televisão estadunidenses. Trata-se da história de um “assassino contratado”, mas que trabalha para o governo perseguindo malfeitores. O jogo é de origem japonesa e faz algumas referências à cultura do país como os samurais, além de possuir algumas inovações gráficas e o uso de </w:t>
      </w:r>
      <w:r w:rsidRPr="00771368">
        <w:rPr>
          <w:i/>
          <w:iCs/>
          <w:sz w:val="24"/>
          <w:szCs w:val="24"/>
        </w:rPr>
        <w:t>cel-shading</w:t>
      </w:r>
      <w:hyperlink w:anchor="page9">
        <w:r w:rsidRPr="00771368">
          <w:rPr>
            <w:i/>
            <w:iCs/>
            <w:sz w:val="31"/>
            <w:szCs w:val="31"/>
            <w:vertAlign w:val="superscript"/>
          </w:rPr>
          <w:t>8</w:t>
        </w:r>
      </w:hyperlink>
      <w:r w:rsidRPr="00771368">
        <w:rPr>
          <w:sz w:val="24"/>
          <w:szCs w:val="24"/>
        </w:rPr>
        <w:t xml:space="preserve">·. Entretanto, a parte que mais nos interessa nesse estudo diz respeito à introdução de algumas missões chamadas </w:t>
      </w:r>
      <w:r w:rsidRPr="00771368">
        <w:rPr>
          <w:i/>
          <w:iCs/>
          <w:sz w:val="24"/>
          <w:szCs w:val="24"/>
        </w:rPr>
        <w:t>Gigolo</w:t>
      </w:r>
    </w:p>
    <w:p w:rsidR="00D24E61" w:rsidRPr="00771368" w:rsidRDefault="00013211">
      <w:pPr>
        <w:spacing w:line="73" w:lineRule="exact"/>
        <w:rPr>
          <w:sz w:val="20"/>
          <w:szCs w:val="20"/>
        </w:rPr>
      </w:pPr>
      <w:r>
        <w:rPr>
          <w:noProof/>
          <w:sz w:val="20"/>
          <w:szCs w:val="20"/>
        </w:rPr>
        <mc:AlternateContent>
          <mc:Choice Requires="wps">
            <w:drawing>
              <wp:anchor distT="0" distB="0" distL="0" distR="0" simplePos="0" relativeHeight="251682304" behindDoc="0" locked="0" layoutInCell="0" allowOverlap="1">
                <wp:simplePos x="0" y="0"/>
                <wp:positionH relativeFrom="column">
                  <wp:posOffset>0</wp:posOffset>
                </wp:positionH>
                <wp:positionV relativeFrom="paragraph">
                  <wp:posOffset>-635</wp:posOffset>
                </wp:positionV>
                <wp:extent cx="1828800" cy="0"/>
                <wp:effectExtent l="9525" t="8890" r="9525" b="10160"/>
                <wp:wrapNone/>
                <wp:docPr id="24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05pt" to="2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" o:allowincell="f" strokeweight=".16964mm"/>
            </w:pict>
          </mc:Fallback>
        </mc:AlternateContent>
      </w:r>
    </w:p>
    <w:p w:rsidR="00D24E61" w:rsidRPr="00771368" w:rsidRDefault="00D24E61" w:rsidP="00EA38AA">
      <w:pPr>
        <w:numPr>
          <w:ilvl w:val="0"/>
          <w:numId w:val="50"/>
        </w:numPr>
        <w:tabs>
          <w:tab w:val="left" w:pos="765"/>
        </w:tabs>
        <w:jc w:val="both"/>
        <w:rPr>
          <w:b/>
          <w:bCs/>
          <w:sz w:val="20"/>
          <w:szCs w:val="20"/>
        </w:rPr>
      </w:pPr>
      <w:r w:rsidRPr="00771368">
        <w:rPr>
          <w:sz w:val="20"/>
          <w:szCs w:val="20"/>
        </w:rPr>
        <w:t>Emulável significa que o jogador/a pode controlar o/a personagem do jogo, podendo este ser protagonista ou não da trama.</w:t>
      </w:r>
    </w:p>
    <w:p w:rsidR="00D24E61" w:rsidRPr="00771368" w:rsidRDefault="00D24E61" w:rsidP="00EA38AA">
      <w:pPr>
        <w:numPr>
          <w:ilvl w:val="0"/>
          <w:numId w:val="50"/>
        </w:numPr>
        <w:tabs>
          <w:tab w:val="left" w:pos="442"/>
        </w:tabs>
        <w:spacing w:line="239" w:lineRule="auto"/>
        <w:jc w:val="both"/>
        <w:rPr>
          <w:sz w:val="20"/>
          <w:szCs w:val="20"/>
        </w:rPr>
      </w:pPr>
      <w:r w:rsidRPr="00771368">
        <w:rPr>
          <w:sz w:val="20"/>
          <w:szCs w:val="20"/>
        </w:rPr>
        <w:t>Técnica de renderização 3D que faz o jogo se assemelhar ao 2D.</w:t>
      </w:r>
    </w:p>
    <w:p w:rsidR="00D24E61" w:rsidRPr="00771368" w:rsidRDefault="00D24E61">
      <w:pPr>
        <w:spacing w:line="184" w:lineRule="exact"/>
        <w:rPr>
          <w:sz w:val="20"/>
          <w:szCs w:val="20"/>
        </w:rPr>
      </w:pPr>
    </w:p>
    <w:p w:rsidR="00D24E61" w:rsidRPr="00771368" w:rsidRDefault="00D24E61">
      <w:pPr>
        <w:spacing w:line="360" w:lineRule="auto"/>
        <w:jc w:val="both"/>
        <w:rPr>
          <w:sz w:val="20"/>
          <w:szCs w:val="20"/>
        </w:rPr>
      </w:pPr>
      <w:r w:rsidRPr="00771368">
        <w:rPr>
          <w:i/>
          <w:iCs/>
          <w:sz w:val="24"/>
          <w:szCs w:val="24"/>
        </w:rPr>
        <w:t xml:space="preserve">Missions </w:t>
      </w:r>
      <w:r w:rsidRPr="00771368">
        <w:rPr>
          <w:sz w:val="24"/>
          <w:szCs w:val="24"/>
        </w:rPr>
        <w:t>na narrativa. O termo gigolô é usado para definir um homem que recebe dinheiro em</w:t>
      </w:r>
      <w:r w:rsidRPr="00771368">
        <w:rPr>
          <w:i/>
          <w:iCs/>
          <w:sz w:val="24"/>
          <w:szCs w:val="24"/>
        </w:rPr>
        <w:t xml:space="preserve"> </w:t>
      </w:r>
      <w:r w:rsidRPr="00771368">
        <w:rPr>
          <w:sz w:val="24"/>
          <w:szCs w:val="24"/>
        </w:rPr>
        <w:t>troca de sexo, porém, no jogo em questão não é essa a função do personagem. Pelo contrário, o personagem deve conquistar as mulheres a partir de presentes. Também é preciso olhar para as partes do corpo da mulher para que a missão seja mais bem sucedida. A justificativa apresentada para a existência de tais missões foi a de dar um aspecto de “James Bond” ao protagonista. Porém o resultado não foi bem visto pelo público, como é descrito na passagem a seguir, retirada de um site referência em revisões e análises de jogos:</w:t>
      </w:r>
    </w:p>
    <w:p w:rsidR="00D24E61" w:rsidRPr="00771368" w:rsidRDefault="00D24E61">
      <w:pPr>
        <w:spacing w:line="7" w:lineRule="exact"/>
        <w:rPr>
          <w:sz w:val="20"/>
          <w:szCs w:val="20"/>
        </w:rPr>
      </w:pPr>
    </w:p>
    <w:p w:rsidR="00D24E61" w:rsidRPr="00771368" w:rsidRDefault="00D24E61">
      <w:pPr>
        <w:spacing w:line="247" w:lineRule="auto"/>
        <w:ind w:left="2120" w:right="20"/>
        <w:jc w:val="both"/>
        <w:rPr>
          <w:sz w:val="20"/>
          <w:szCs w:val="20"/>
        </w:rPr>
      </w:pPr>
      <w:r w:rsidRPr="00771368">
        <w:rPr>
          <w:sz w:val="20"/>
          <w:szCs w:val="20"/>
        </w:rPr>
        <w:t>O resultado final, no entanto, é puramente desagradável e ofensivo. Nos encontros com as garotas, o jogador assume o comando em primeira pessoa de Zappa e deve criar coragem para presenteá-las com mimos comprados na loja da agência. Cada garota tem as suas preferências e, com os itens certos, é possível “comprar seu coração”. Para criar a coragem, no entanto, é necessário aproveitar os momentos de distração da garota para olhar para as partes descobertas de seu corpo (mais tarde, um par de óculos especial facilita esse trabalho permitindo que Zappa veja as garotas vestindo apenas seus trajes íntimos). Quando a garota olhar para você é bom desviar logo o olhar para não acabar com o clima.</w:t>
      </w:r>
      <w:hyperlink w:anchor="page10">
        <w:r w:rsidRPr="00771368">
          <w:rPr>
            <w:sz w:val="25"/>
            <w:szCs w:val="25"/>
            <w:vertAlign w:val="superscript"/>
          </w:rPr>
          <w:t>9</w:t>
        </w:r>
      </w:hyperlink>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70528" behindDoc="1" locked="0" layoutInCell="0" allowOverlap="1">
            <wp:simplePos x="0" y="0"/>
            <wp:positionH relativeFrom="column">
              <wp:posOffset>-635</wp:posOffset>
            </wp:positionH>
            <wp:positionV relativeFrom="paragraph">
              <wp:posOffset>256540</wp:posOffset>
            </wp:positionV>
            <wp:extent cx="5621020" cy="1581785"/>
            <wp:effectExtent l="0" t="0" r="0" b="0"/>
            <wp:wrapNone/>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7" cstate="print">
                      <a:extLst/>
                    </a:blip>
                    <a:srcRect/>
                    <a:stretch>
                      <a:fillRect/>
                    </a:stretch>
                  </pic:blipFill>
                  <pic:spPr bwMode="auto">
                    <a:xfrm>
                      <a:off x="0" y="0"/>
                      <a:ext cx="5621020" cy="158178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49" w:lineRule="exact"/>
        <w:rPr>
          <w:sz w:val="20"/>
          <w:szCs w:val="20"/>
        </w:rPr>
      </w:pPr>
    </w:p>
    <w:p w:rsidR="00D24E61" w:rsidRPr="00771368" w:rsidRDefault="00D24E61">
      <w:pPr>
        <w:spacing w:line="239" w:lineRule="auto"/>
        <w:ind w:left="40"/>
        <w:rPr>
          <w:sz w:val="20"/>
          <w:szCs w:val="20"/>
        </w:rPr>
      </w:pPr>
      <w:r w:rsidRPr="00771368">
        <w:rPr>
          <w:sz w:val="20"/>
          <w:szCs w:val="20"/>
        </w:rPr>
        <w:t>Figura 6 – Cenas das Gigolos Missions do jogo Killer is Dead.</w:t>
      </w:r>
    </w:p>
    <w:p w:rsidR="00D24E61" w:rsidRPr="00771368" w:rsidRDefault="00D24E61">
      <w:pPr>
        <w:spacing w:line="1" w:lineRule="exact"/>
        <w:rPr>
          <w:sz w:val="20"/>
          <w:szCs w:val="20"/>
        </w:rPr>
      </w:pPr>
    </w:p>
    <w:p w:rsidR="00D24E61" w:rsidRPr="00771368" w:rsidRDefault="00D24E61">
      <w:pPr>
        <w:ind w:left="40"/>
        <w:rPr>
          <w:sz w:val="20"/>
          <w:szCs w:val="20"/>
        </w:rPr>
      </w:pPr>
      <w:r w:rsidRPr="00771368">
        <w:rPr>
          <w:sz w:val="20"/>
          <w:szCs w:val="20"/>
        </w:rPr>
        <w:t>Fonte: &lt;</w:t>
      </w:r>
      <w:hyperlink r:id="rId288">
        <w:r w:rsidRPr="00771368">
          <w:rPr>
            <w:b/>
            <w:bCs/>
            <w:color w:val="0000FF"/>
            <w:sz w:val="20"/>
            <w:szCs w:val="20"/>
            <w:u w:val="single"/>
          </w:rPr>
          <w:t>http://www.baixakijogos.com.br/ps3/killer-is-dead/analise</w:t>
        </w:r>
      </w:hyperlink>
      <w:r w:rsidRPr="00771368">
        <w:rPr>
          <w:sz w:val="20"/>
          <w:szCs w:val="20"/>
        </w:rPr>
        <w:t>&gt; Acesso em: 13 de setembro de 2013.</w:t>
      </w:r>
    </w:p>
    <w:p w:rsidR="00D24E61" w:rsidRPr="00771368" w:rsidRDefault="00D24E61">
      <w:pPr>
        <w:spacing w:line="294" w:lineRule="exact"/>
        <w:rPr>
          <w:sz w:val="20"/>
          <w:szCs w:val="20"/>
        </w:rPr>
      </w:pPr>
    </w:p>
    <w:p w:rsidR="00D24E61" w:rsidRPr="00771368" w:rsidRDefault="00D24E61">
      <w:pPr>
        <w:spacing w:line="363" w:lineRule="auto"/>
        <w:ind w:right="20" w:firstLine="709"/>
        <w:jc w:val="both"/>
        <w:rPr>
          <w:sz w:val="20"/>
          <w:szCs w:val="20"/>
        </w:rPr>
      </w:pPr>
      <w:r w:rsidRPr="00771368">
        <w:rPr>
          <w:sz w:val="24"/>
          <w:szCs w:val="24"/>
        </w:rPr>
        <w:t>Loponte (2002) considera que, por seu caráter ativo, a visão talvez seja o sentido que melhor expresse a presença e a eficácia do poder. Muitas das operações próprias das relações de poder se realizam e se efetivam no olhar ou por meio dele. Nas representações visuais de corpos femininos erotizados, a mediação pelo olhar é fundamental para que homens transformem mulheres em objeto de prazer escópico, imobilizadas e disponíveis para desfrute e consumo. No universo dos games, mesmo que em alguns momentos haja espaço para representações contestatórias e desviantes, como na proposta do artista Raffael, as representações recorrentes ainda correspondem às formas tradicionais de construção das personagens, levando em conta os tipos de feminilidades e masculinidades posicionados como hegemônicos.</w:t>
      </w:r>
    </w:p>
    <w:p w:rsidR="00D24E61" w:rsidRPr="00771368" w:rsidRDefault="00013211">
      <w:pPr>
        <w:spacing w:line="106" w:lineRule="exact"/>
        <w:rPr>
          <w:sz w:val="20"/>
          <w:szCs w:val="20"/>
        </w:rPr>
      </w:pPr>
      <w:r>
        <w:rPr>
          <w:noProof/>
          <w:sz w:val="20"/>
          <w:szCs w:val="20"/>
        </w:rPr>
        <mc:AlternateContent>
          <mc:Choice Requires="wps">
            <w:drawing>
              <wp:anchor distT="0" distB="0" distL="0" distR="0" simplePos="0" relativeHeight="251683328" behindDoc="0" locked="0" layoutInCell="0" allowOverlap="1">
                <wp:simplePos x="0" y="0"/>
                <wp:positionH relativeFrom="column">
                  <wp:posOffset>-635</wp:posOffset>
                </wp:positionH>
                <wp:positionV relativeFrom="paragraph">
                  <wp:posOffset>21590</wp:posOffset>
                </wp:positionV>
                <wp:extent cx="1828165" cy="0"/>
                <wp:effectExtent l="8890" t="12065" r="10795" b="6985"/>
                <wp:wrapNone/>
                <wp:docPr id="24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1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7pt" to="143.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s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" o:allowincell="f" strokeweight=".16931mm"/>
            </w:pict>
          </mc:Fallback>
        </mc:AlternateContent>
      </w:r>
    </w:p>
    <w:p w:rsidR="00D24E61" w:rsidRPr="00771368" w:rsidRDefault="00D24E61">
      <w:pPr>
        <w:spacing w:line="241" w:lineRule="auto"/>
        <w:ind w:right="20"/>
        <w:jc w:val="both"/>
        <w:rPr>
          <w:b/>
          <w:bCs/>
          <w:sz w:val="20"/>
          <w:szCs w:val="20"/>
        </w:rPr>
      </w:pPr>
      <w:r w:rsidRPr="00771368">
        <w:rPr>
          <w:b/>
          <w:bCs/>
          <w:sz w:val="20"/>
          <w:szCs w:val="20"/>
        </w:rPr>
        <w:t xml:space="preserve">9 </w:t>
      </w:r>
      <w:r w:rsidRPr="00771368">
        <w:rPr>
          <w:sz w:val="20"/>
          <w:szCs w:val="20"/>
        </w:rPr>
        <w:t>Killer is Dead. Disponível em: &lt;</w:t>
      </w:r>
      <w:hyperlink r:id="rId289">
        <w:r w:rsidRPr="00771368">
          <w:rPr>
            <w:b/>
            <w:bCs/>
            <w:color w:val="800080"/>
            <w:sz w:val="20"/>
            <w:szCs w:val="20"/>
            <w:u w:val="single"/>
          </w:rPr>
          <w:t>http://www.baixakijogos.com.br/ps3/killer-is-dead/analise</w:t>
        </w:r>
      </w:hyperlink>
      <w:r w:rsidRPr="00771368">
        <w:rPr>
          <w:sz w:val="20"/>
          <w:szCs w:val="20"/>
        </w:rPr>
        <w:t>&gt;</w:t>
      </w:r>
      <w:r w:rsidRPr="00771368">
        <w:rPr>
          <w:b/>
          <w:bCs/>
          <w:sz w:val="20"/>
          <w:szCs w:val="20"/>
        </w:rPr>
        <w:t xml:space="preserve"> </w:t>
      </w:r>
      <w:r w:rsidRPr="00771368">
        <w:rPr>
          <w:sz w:val="20"/>
          <w:szCs w:val="20"/>
        </w:rPr>
        <w:t>Acesso em: 13 de setembro de 2013.</w:t>
      </w:r>
    </w:p>
    <w:p w:rsidR="00D24E61" w:rsidRPr="00771368" w:rsidRDefault="00D24E61">
      <w:pPr>
        <w:spacing w:line="2" w:lineRule="exact"/>
        <w:rPr>
          <w:sz w:val="20"/>
          <w:szCs w:val="20"/>
        </w:rPr>
      </w:pPr>
    </w:p>
    <w:p w:rsidR="00D24E61" w:rsidRPr="00771368" w:rsidRDefault="00D24E61">
      <w:pPr>
        <w:ind w:left="8860"/>
        <w:rPr>
          <w:sz w:val="20"/>
          <w:szCs w:val="20"/>
        </w:rPr>
      </w:pPr>
      <w:r w:rsidRPr="00771368">
        <w:rPr>
          <w:sz w:val="20"/>
          <w:szCs w:val="20"/>
        </w:rPr>
        <w:t>10</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186" w:lineRule="exact"/>
        <w:rPr>
          <w:sz w:val="20"/>
          <w:szCs w:val="20"/>
        </w:rPr>
      </w:pPr>
    </w:p>
    <w:p w:rsidR="00D24E61" w:rsidRPr="00771368" w:rsidRDefault="00D24E61">
      <w:pPr>
        <w:rPr>
          <w:sz w:val="20"/>
          <w:szCs w:val="20"/>
        </w:rPr>
      </w:pPr>
      <w:r w:rsidRPr="00771368">
        <w:rPr>
          <w:b/>
          <w:bCs/>
          <w:sz w:val="24"/>
          <w:szCs w:val="24"/>
        </w:rPr>
        <w:t>CONCLUSÃO</w:t>
      </w:r>
    </w:p>
    <w:p w:rsidR="00D24E61" w:rsidRPr="00771368" w:rsidRDefault="00D24E61">
      <w:pPr>
        <w:spacing w:line="140" w:lineRule="exact"/>
        <w:rPr>
          <w:sz w:val="20"/>
          <w:szCs w:val="20"/>
        </w:rPr>
      </w:pPr>
    </w:p>
    <w:p w:rsidR="00D24E61" w:rsidRPr="00771368" w:rsidRDefault="00D24E61">
      <w:pPr>
        <w:spacing w:line="360" w:lineRule="auto"/>
        <w:ind w:firstLine="709"/>
        <w:jc w:val="both"/>
        <w:rPr>
          <w:sz w:val="20"/>
          <w:szCs w:val="20"/>
        </w:rPr>
      </w:pPr>
      <w:r w:rsidRPr="00771368">
        <w:rPr>
          <w:sz w:val="24"/>
          <w:szCs w:val="24"/>
        </w:rPr>
        <w:t>A partir do estudo do universo dos vídeo games, podemos perceber certas repetições de padrões hegemônicos na construção de tipos de feminilidades e masculinidades. Essas representações estabelecem as características do “feminino” associadas principalmente à sensualidade e nudez, definindo o estereótipo do corpo feminino sexualizado. Quando essas características são transferidas para um personagem masculino causam sensação de estranhamento, mas também abrem espaço para discussões e novas visões.</w:t>
      </w:r>
    </w:p>
    <w:p w:rsidR="00D24E61" w:rsidRPr="00771368" w:rsidRDefault="00D24E61">
      <w:pPr>
        <w:spacing w:line="360" w:lineRule="auto"/>
        <w:ind w:firstLine="709"/>
        <w:jc w:val="both"/>
        <w:rPr>
          <w:sz w:val="20"/>
          <w:szCs w:val="20"/>
        </w:rPr>
      </w:pPr>
      <w:r w:rsidRPr="00771368">
        <w:rPr>
          <w:sz w:val="24"/>
          <w:szCs w:val="24"/>
        </w:rPr>
        <w:t>Precisamos ficar atentos, no entanto, para não entender que uma visão diferente seria mais ou menos correta do que a que é vigente. Trata-se de pensar sobre o modo de olhar com o objetivo romper com as verdades cristalizadas como “verdades únicas”, questionar a “naturalidade” dos discursos e convidar para a pluralidade de pensamento ao denunciar as formas de poder exercidas sobre e pelos sujeitos e instituições sociais.</w:t>
      </w:r>
    </w:p>
    <w:p w:rsidR="00D24E61" w:rsidRPr="00771368" w:rsidRDefault="00D24E61">
      <w:pPr>
        <w:spacing w:line="366" w:lineRule="auto"/>
        <w:ind w:firstLine="709"/>
        <w:jc w:val="both"/>
        <w:rPr>
          <w:sz w:val="20"/>
          <w:szCs w:val="20"/>
        </w:rPr>
      </w:pPr>
      <w:r w:rsidRPr="00771368">
        <w:rPr>
          <w:sz w:val="24"/>
          <w:szCs w:val="24"/>
        </w:rPr>
        <w:t>É importante ressaltar ainda que a afirmação, de estereótipos de gênero, produz potencialmente, espaço para leituras dissonantes, gerando contestação e impulsionando mudanças de paradigma. É necessário entender que o campo das representações e da construção de identidades, está constantemente se modificando e se reformulando. Cabe às pessoas que se confrontam com as representações o compromisso com a leitura crítica dos valores veiculados e o constante exercício de questionar e reinterpretar os modelos oferecidos.</w:t>
      </w:r>
    </w:p>
    <w:p w:rsidR="00D24E61" w:rsidRPr="00771368" w:rsidRDefault="00D24E61">
      <w:pPr>
        <w:spacing w:line="200" w:lineRule="exact"/>
        <w:rPr>
          <w:sz w:val="20"/>
          <w:szCs w:val="20"/>
        </w:rPr>
      </w:pPr>
    </w:p>
    <w:p w:rsidR="00D24E61" w:rsidRPr="00771368" w:rsidRDefault="00D24E61">
      <w:pPr>
        <w:rPr>
          <w:sz w:val="20"/>
          <w:szCs w:val="20"/>
        </w:rPr>
      </w:pPr>
      <w:r w:rsidRPr="00771368">
        <w:rPr>
          <w:b/>
          <w:bCs/>
          <w:sz w:val="24"/>
          <w:szCs w:val="24"/>
        </w:rPr>
        <w:t>REFERÊNCIAS BIBLIOGRÁFICAS</w:t>
      </w:r>
    </w:p>
    <w:p w:rsidR="00D24E61" w:rsidRPr="00771368" w:rsidRDefault="00D24E61">
      <w:pPr>
        <w:spacing w:line="140" w:lineRule="exact"/>
        <w:rPr>
          <w:sz w:val="20"/>
          <w:szCs w:val="20"/>
        </w:rPr>
      </w:pPr>
    </w:p>
    <w:p w:rsidR="00D24E61" w:rsidRPr="00771368" w:rsidRDefault="00D24E61">
      <w:pPr>
        <w:spacing w:line="272" w:lineRule="auto"/>
        <w:jc w:val="both"/>
        <w:rPr>
          <w:sz w:val="20"/>
          <w:szCs w:val="20"/>
        </w:rPr>
      </w:pPr>
      <w:r w:rsidRPr="00771368">
        <w:rPr>
          <w:sz w:val="24"/>
          <w:szCs w:val="24"/>
        </w:rPr>
        <w:t>BELELI, Iara. Corpo e Identidade na propaganda. Florianópolis: Revista Estudos Feministas 15 (1), janeiro-abril/2007, p. 193-215.</w:t>
      </w: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rPr>
          <w:sz w:val="20"/>
          <w:szCs w:val="20"/>
        </w:rPr>
      </w:pPr>
      <w:r w:rsidRPr="00771368">
        <w:rPr>
          <w:sz w:val="24"/>
          <w:szCs w:val="24"/>
        </w:rPr>
        <w:t>BERGER, John. Modos de ver. Barcelona: Gustavo. Gili, 1974.</w:t>
      </w:r>
    </w:p>
    <w:p w:rsidR="00D24E61" w:rsidRPr="00771368" w:rsidRDefault="00D24E61">
      <w:pPr>
        <w:spacing w:line="200" w:lineRule="exact"/>
        <w:rPr>
          <w:sz w:val="20"/>
          <w:szCs w:val="20"/>
        </w:rPr>
      </w:pPr>
    </w:p>
    <w:p w:rsidR="00D24E61" w:rsidRPr="00771368" w:rsidRDefault="00D24E61">
      <w:pPr>
        <w:spacing w:line="352" w:lineRule="exact"/>
        <w:rPr>
          <w:sz w:val="20"/>
          <w:szCs w:val="20"/>
        </w:rPr>
      </w:pPr>
    </w:p>
    <w:p w:rsidR="00D24E61" w:rsidRPr="00771368" w:rsidRDefault="00D24E61">
      <w:pPr>
        <w:spacing w:line="272" w:lineRule="auto"/>
        <w:jc w:val="both"/>
        <w:rPr>
          <w:sz w:val="20"/>
          <w:szCs w:val="20"/>
        </w:rPr>
      </w:pPr>
      <w:r w:rsidRPr="00771368">
        <w:rPr>
          <w:sz w:val="24"/>
          <w:szCs w:val="24"/>
        </w:rPr>
        <w:t>HALL, Stuart. A centralidade da cultura: notas sobre as revoluções culturais do nosso tempo. Educação &amp; Realidade, Porto Alegre, vol. 22, n, 2, jul./dez, 1997, p. 15-46.</w:t>
      </w: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spacing w:line="256" w:lineRule="auto"/>
        <w:jc w:val="both"/>
        <w:rPr>
          <w:sz w:val="20"/>
          <w:szCs w:val="20"/>
        </w:rPr>
      </w:pPr>
      <w:r w:rsidRPr="00771368">
        <w:rPr>
          <w:sz w:val="24"/>
          <w:szCs w:val="24"/>
        </w:rPr>
        <w:t>LOPONTE, Luciana Gruppelli. Sexualidades, artes visuais e poder: pedagogias visuais do feminino. Revista Estudos Feministas, jul.-dez., vol. 10, n. 2. UFRJ, Rio de Janeiro, 2002, p. 283-300.</w:t>
      </w:r>
    </w:p>
    <w:p w:rsidR="00D24E61" w:rsidRPr="00771368" w:rsidRDefault="00D24E61">
      <w:pPr>
        <w:spacing w:line="200" w:lineRule="exact"/>
        <w:rPr>
          <w:sz w:val="20"/>
          <w:szCs w:val="20"/>
        </w:rPr>
      </w:pPr>
    </w:p>
    <w:p w:rsidR="00D24E61" w:rsidRPr="00771368" w:rsidRDefault="00D24E61">
      <w:pPr>
        <w:spacing w:line="297" w:lineRule="exact"/>
        <w:rPr>
          <w:sz w:val="20"/>
          <w:szCs w:val="20"/>
        </w:rPr>
      </w:pPr>
    </w:p>
    <w:p w:rsidR="00D24E61" w:rsidRPr="00771368" w:rsidRDefault="00D24E61">
      <w:pPr>
        <w:spacing w:line="272" w:lineRule="auto"/>
        <w:jc w:val="both"/>
        <w:rPr>
          <w:sz w:val="20"/>
          <w:szCs w:val="20"/>
        </w:rPr>
      </w:pPr>
      <w:r w:rsidRPr="00771368">
        <w:rPr>
          <w:sz w:val="24"/>
          <w:szCs w:val="24"/>
        </w:rPr>
        <w:t>LOURO, Guacira Lopes. Gênero Sexualidade e Educação: uma perspectiva pós-estruturalista. São Paulo: Vozes, 2011.</w:t>
      </w: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spacing w:line="272" w:lineRule="auto"/>
        <w:jc w:val="both"/>
        <w:rPr>
          <w:sz w:val="20"/>
          <w:szCs w:val="20"/>
        </w:rPr>
      </w:pPr>
      <w:r w:rsidRPr="00771368">
        <w:rPr>
          <w:sz w:val="24"/>
          <w:szCs w:val="24"/>
        </w:rPr>
        <w:t>LOURO, Guacira Lopes (org.). O corpo educado: pedagogias da sexualidade. Belo Horizonte: Autêntica. 2007.</w:t>
      </w: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spacing w:line="272" w:lineRule="auto"/>
        <w:jc w:val="both"/>
        <w:rPr>
          <w:sz w:val="20"/>
          <w:szCs w:val="20"/>
        </w:rPr>
      </w:pPr>
      <w:r w:rsidRPr="00771368">
        <w:rPr>
          <w:sz w:val="24"/>
          <w:szCs w:val="24"/>
        </w:rPr>
        <w:t>SANTAELLA, Lucia; FEITOZA Mirna (orgs.). Mapa do jogo. São Paulo: Cengage Learning, 2008.</w:t>
      </w: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spacing w:line="256" w:lineRule="auto"/>
        <w:jc w:val="both"/>
        <w:rPr>
          <w:sz w:val="20"/>
          <w:szCs w:val="20"/>
        </w:rPr>
      </w:pPr>
      <w:r w:rsidRPr="00771368">
        <w:rPr>
          <w:sz w:val="24"/>
          <w:szCs w:val="24"/>
        </w:rPr>
        <w:t>SANTOS, Marinês Ribeiro dos; PEDRO, Joana Maria. Estratégias discursivas e identidades de gênero: a construção da "dona de casa moderna" na revista Casa &amp; Jardim dos anos 1960. Caderno Espaço Feminino, Uberlândia/MG, vol. 24, n. 1, Jan./Jun. 2011, p. 163-184.</w:t>
      </w:r>
    </w:p>
    <w:p w:rsidR="00644E24" w:rsidRDefault="00644E24" w:rsidP="00D24E61">
      <w:pPr>
        <w:jc w:val="center"/>
        <w:rPr>
          <w:b/>
          <w:bCs/>
        </w:rPr>
      </w:pPr>
    </w:p>
    <w:p w:rsidR="00644E24" w:rsidRDefault="00644E24" w:rsidP="00D24E61">
      <w:pPr>
        <w:jc w:val="center"/>
        <w:rPr>
          <w:b/>
          <w:bCs/>
        </w:rPr>
      </w:pPr>
    </w:p>
    <w:p w:rsidR="00D24E61" w:rsidRPr="00771368" w:rsidRDefault="00D24E61" w:rsidP="00D24E61">
      <w:pPr>
        <w:jc w:val="center"/>
        <w:rPr>
          <w:b/>
          <w:bCs/>
        </w:rPr>
      </w:pPr>
      <w:r w:rsidRPr="00771368">
        <w:rPr>
          <w:b/>
          <w:bCs/>
        </w:rPr>
        <w:t>A FAMÍLIA VISTA POR JESUS NO EVANGELHO DE MARCOS: RELEITURA NO COMBATE À DESIGUALDADE DE GÊNERO E À VIOLÊNCIA DOMÉSTICA</w:t>
      </w:r>
    </w:p>
    <w:p w:rsidR="00D24E61" w:rsidRPr="00771368" w:rsidRDefault="00D24E61" w:rsidP="00D24E61">
      <w:pPr>
        <w:jc w:val="center"/>
        <w:rPr>
          <w:b/>
          <w:bCs/>
        </w:rPr>
      </w:pPr>
    </w:p>
    <w:p w:rsidR="00D24E61" w:rsidRPr="00771368" w:rsidRDefault="00D24E61" w:rsidP="00D24E61">
      <w:pPr>
        <w:pStyle w:val="ABNT"/>
        <w:ind w:firstLine="0"/>
        <w:rPr>
          <w:rStyle w:val="Refdenotaderodap"/>
          <w:rFonts w:cs="Times New Roman"/>
        </w:rPr>
      </w:pPr>
      <w:r w:rsidRPr="00771368">
        <w:rPr>
          <w:rFonts w:cs="Times New Roman"/>
        </w:rPr>
        <w:t xml:space="preserve">Autora: </w:t>
      </w:r>
      <w:r w:rsidRPr="00644E24">
        <w:rPr>
          <w:rStyle w:val="Ttulo1Char"/>
        </w:rPr>
        <w:t>Carolina Bezerra de Souza</w:t>
      </w:r>
      <w:r w:rsidRPr="00771368">
        <w:rPr>
          <w:rStyle w:val="Refdenotaderodap"/>
          <w:rFonts w:cs="Times New Roman"/>
        </w:rPr>
        <w:footnoteReference w:customMarkFollows="1" w:id="110"/>
        <w:t>*</w:t>
      </w:r>
    </w:p>
    <w:p w:rsidR="00D24E61" w:rsidRPr="00771368" w:rsidRDefault="00D24E61" w:rsidP="00D24E61">
      <w:pPr>
        <w:pStyle w:val="ABNT"/>
        <w:ind w:firstLine="0"/>
        <w:rPr>
          <w:rFonts w:cs="Times New Roman"/>
        </w:rPr>
      </w:pPr>
      <w:r w:rsidRPr="00644E24">
        <w:rPr>
          <w:rStyle w:val="Refdenotaderodap"/>
          <w:rFonts w:cs="Times New Roman"/>
          <w:vertAlign w:val="baseline"/>
        </w:rPr>
        <w:t xml:space="preserve">Professora </w:t>
      </w:r>
      <w:r w:rsidRPr="00644E24">
        <w:rPr>
          <w:rFonts w:cs="Times New Roman"/>
        </w:rPr>
        <w:t>o</w:t>
      </w:r>
      <w:r w:rsidRPr="00644E24">
        <w:rPr>
          <w:rStyle w:val="Refdenotaderodap"/>
          <w:rFonts w:cs="Times New Roman"/>
          <w:vertAlign w:val="baseline"/>
        </w:rPr>
        <w:t>rientadora</w:t>
      </w:r>
      <w:r w:rsidRPr="00771368">
        <w:rPr>
          <w:rFonts w:cs="Times New Roman"/>
        </w:rPr>
        <w:t xml:space="preserve">: Dra. Ivoni Richter Reimer </w:t>
      </w:r>
    </w:p>
    <w:p w:rsidR="00D24E61" w:rsidRPr="00771368" w:rsidRDefault="00D24E61" w:rsidP="00D24E61">
      <w:pPr>
        <w:pStyle w:val="ABNT"/>
        <w:ind w:firstLine="0"/>
        <w:rPr>
          <w:rFonts w:cs="Times New Roman"/>
        </w:rPr>
      </w:pPr>
      <w:r w:rsidRPr="00771368">
        <w:rPr>
          <w:rFonts w:cs="Times New Roman"/>
        </w:rPr>
        <w:t>Instituição de Ensino: Pontifícia Universidade Católica de Goiás</w:t>
      </w:r>
    </w:p>
    <w:p w:rsidR="00D24E61" w:rsidRPr="00771368" w:rsidRDefault="00D24E61" w:rsidP="00D24E61"/>
    <w:p w:rsidR="00D24E61" w:rsidRPr="00771368" w:rsidRDefault="00D24E61" w:rsidP="00D24E61">
      <w:pPr>
        <w:rPr>
          <w:b/>
          <w:bCs/>
        </w:rPr>
      </w:pPr>
      <w:r w:rsidRPr="00771368">
        <w:rPr>
          <w:b/>
          <w:bCs/>
        </w:rPr>
        <w:t>Introdução</w:t>
      </w:r>
    </w:p>
    <w:p w:rsidR="00D24E61" w:rsidRPr="00771368" w:rsidRDefault="00D24E61" w:rsidP="00D24E61">
      <w:pPr>
        <w:pStyle w:val="ABNT"/>
        <w:rPr>
          <w:rFonts w:cs="Times New Roman"/>
        </w:rPr>
      </w:pPr>
    </w:p>
    <w:p w:rsidR="00D24E61" w:rsidRPr="00771368" w:rsidRDefault="00D24E61" w:rsidP="00D24E61">
      <w:pPr>
        <w:pStyle w:val="ABNT"/>
        <w:rPr>
          <w:rFonts w:cs="Times New Roman"/>
        </w:rPr>
      </w:pPr>
      <w:r w:rsidRPr="00771368">
        <w:rPr>
          <w:rFonts w:cs="Times New Roman"/>
        </w:rPr>
        <w:t xml:space="preserve">Uma das principais consequências da desigualdade de gênero é violência contra a mulher. Esta é presente na sociedade brasileira em todos os níveis socioculturais, faixas etárias, etnias. Ela é um fator de risco social que atinge amplamente a sociedade, contribuindo para o aumento de doenças físicas e psicológicas, com elevado custo econômico aos governos, pois diminui a capacidade produtiva das vítimas. </w:t>
      </w:r>
    </w:p>
    <w:p w:rsidR="00D24E61" w:rsidRPr="00771368" w:rsidRDefault="00D24E61" w:rsidP="00D24E61">
      <w:pPr>
        <w:pStyle w:val="ABNT"/>
        <w:rPr>
          <w:rFonts w:cs="Times New Roman"/>
        </w:rPr>
      </w:pPr>
      <w:r w:rsidRPr="00771368">
        <w:rPr>
          <w:rFonts w:cs="Times New Roman"/>
        </w:rPr>
        <w:t xml:space="preserve">Uma das formas que a sociedade utiliza para legitimar a desigualdade de gênero e a dominação masculina é a formação de dogmas e interpretações teológicas de cunho androcêntrico e patriarcal. No entanto, é possível desenvolver padrões de igualdade e buscar interpretações justas para diversos textos sagrados sem abandonar a religião como sistema simbólico basilar da cultura e núcleo do sentido para o homem. Tal posição se coloca em sintonia com o atual momento histórico, que pede abertura em relação a culturas e religiões diferentes. </w:t>
      </w:r>
    </w:p>
    <w:p w:rsidR="00D24E61" w:rsidRPr="00771368" w:rsidRDefault="00D24E61" w:rsidP="00D24E61">
      <w:pPr>
        <w:pStyle w:val="ABNT"/>
        <w:rPr>
          <w:rFonts w:cs="Times New Roman"/>
        </w:rPr>
      </w:pPr>
      <w:r w:rsidRPr="00771368">
        <w:rPr>
          <w:rFonts w:cs="Times New Roman"/>
        </w:rPr>
        <w:t>Assim, entende-se que os textos bíblicos são orientadores da vida de comunidades cristãs, e também de outras comunidades, definindo valores e relações. Seus mitos e imagens apresentam uma visão da estrutura básica da realidade e um protótipo de comportamento. Por isso eles compõe um objeto de estudo em busca de novos mitos e imagens mais sadios e justos com relação à mulher e empoderantes para elas frente à sociedade.</w:t>
      </w:r>
    </w:p>
    <w:p w:rsidR="00D24E61" w:rsidRPr="00771368" w:rsidRDefault="00D24E61" w:rsidP="00D24E61">
      <w:pPr>
        <w:pStyle w:val="ABNT"/>
        <w:ind w:firstLine="0"/>
        <w:rPr>
          <w:rFonts w:cs="Times New Roman"/>
        </w:rPr>
      </w:pPr>
    </w:p>
    <w:p w:rsidR="00D24E61" w:rsidRPr="00771368" w:rsidRDefault="00D24E61" w:rsidP="00D24E61">
      <w:pPr>
        <w:pStyle w:val="ABNT"/>
        <w:ind w:firstLine="0"/>
        <w:rPr>
          <w:rFonts w:cs="Times New Roman"/>
          <w:b/>
          <w:bCs/>
        </w:rPr>
      </w:pPr>
      <w:r w:rsidRPr="00771368">
        <w:rPr>
          <w:rFonts w:cs="Times New Roman"/>
          <w:b/>
          <w:bCs/>
        </w:rPr>
        <w:t>Objetivos</w:t>
      </w:r>
    </w:p>
    <w:p w:rsidR="00D24E61" w:rsidRPr="00771368" w:rsidRDefault="00D24E61" w:rsidP="00D24E61">
      <w:pPr>
        <w:pStyle w:val="ABNT"/>
        <w:ind w:firstLine="0"/>
        <w:rPr>
          <w:rFonts w:cs="Times New Roman"/>
        </w:rPr>
      </w:pPr>
    </w:p>
    <w:p w:rsidR="00D24E61" w:rsidRPr="00771368" w:rsidRDefault="00D24E61" w:rsidP="00D24E61">
      <w:pPr>
        <w:pStyle w:val="ABNT"/>
        <w:rPr>
          <w:rFonts w:cs="Times New Roman"/>
        </w:rPr>
      </w:pPr>
      <w:r w:rsidRPr="00771368">
        <w:rPr>
          <w:rFonts w:cs="Times New Roman"/>
        </w:rPr>
        <w:t>Propõe-se a leitura feminista do texto de Mc 3,20-21.31-35, na busca de imagens e mitos que ajudem na construção de relações mais justas, procurando promover a igualdade de gênero e ajudar no combate à violência contra a mulher, em especial a violência doméstica. O intento é buscar a relação de Jesus com as mulheres expressa nesse texto, verificando a possibilidade de usar esses dados na geração de relações mais justas e harmoniosas hoje.</w:t>
      </w:r>
    </w:p>
    <w:p w:rsidR="00D24E61" w:rsidRPr="00771368" w:rsidRDefault="00D24E61" w:rsidP="00D24E61">
      <w:pPr>
        <w:pStyle w:val="ABNT"/>
        <w:rPr>
          <w:rFonts w:cs="Times New Roman"/>
        </w:rPr>
      </w:pPr>
    </w:p>
    <w:p w:rsidR="00D24E61" w:rsidRPr="00771368" w:rsidRDefault="00D24E61" w:rsidP="00D24E61">
      <w:r w:rsidRPr="00771368">
        <w:rPr>
          <w:b/>
          <w:bCs/>
        </w:rPr>
        <w:t>Metodologia</w:t>
      </w:r>
      <w:r w:rsidRPr="00771368">
        <w:t xml:space="preserve"> </w:t>
      </w:r>
    </w:p>
    <w:p w:rsidR="00D24E61" w:rsidRPr="00771368" w:rsidRDefault="00D24E61" w:rsidP="00D24E61">
      <w:pPr>
        <w:pStyle w:val="ABNT"/>
        <w:ind w:firstLine="0"/>
        <w:rPr>
          <w:rFonts w:cs="Times New Roman"/>
        </w:rPr>
      </w:pPr>
    </w:p>
    <w:p w:rsidR="00D24E61" w:rsidRPr="00771368" w:rsidRDefault="00D24E61" w:rsidP="00D24E61">
      <w:pPr>
        <w:pStyle w:val="ABNT"/>
        <w:rPr>
          <w:rFonts w:cs="Times New Roman"/>
        </w:rPr>
      </w:pPr>
      <w:r w:rsidRPr="00771368">
        <w:rPr>
          <w:rFonts w:cs="Times New Roman"/>
        </w:rPr>
        <w:t>Para tanto, trabalha-se um referencial teórico sociológico e antropológico sobre a questão da desigualdade, a violência contra a mulher e a religião. Depois, faz-se a apresentação de alguns dados históricos e sociológicos a respeito da mulher e família na Palestina do séc I. A partir desses dados, propõe-se uma análise da passagem bíblica usando ferramentas da crítica da narrativa em uma perspectiva de gênero, buscando trazer a mulher da margem para o centro da interpretação. Os elementos-chave para a crítica narrativa são o cenário (espacial e temporal), personagens, trama e retórica. Pressupondo que todo significado é relacional, então, os elementos da trama são investigados como sistemas de relações.</w:t>
      </w:r>
    </w:p>
    <w:p w:rsidR="00D24E61" w:rsidRPr="00771368" w:rsidRDefault="00D24E61" w:rsidP="00D24E61">
      <w:pPr>
        <w:pStyle w:val="ABNT"/>
        <w:rPr>
          <w:rFonts w:cs="Times New Roman"/>
        </w:rPr>
      </w:pPr>
    </w:p>
    <w:p w:rsidR="00D24E61" w:rsidRPr="007B04EA" w:rsidRDefault="00D24E61" w:rsidP="007B04EA">
      <w:r w:rsidRPr="007B04EA">
        <w:t>A desigualdade de gênero, a violência contra a mulher e a religião cristã</w:t>
      </w:r>
    </w:p>
    <w:p w:rsidR="00D24E61" w:rsidRPr="00771368" w:rsidRDefault="00D24E61" w:rsidP="00D24E61">
      <w:pPr>
        <w:pStyle w:val="ABNT"/>
        <w:rPr>
          <w:rFonts w:cs="Times New Roman"/>
        </w:rPr>
      </w:pPr>
    </w:p>
    <w:p w:rsidR="00D24E61" w:rsidRPr="00771368" w:rsidRDefault="00D24E61" w:rsidP="00D24E61">
      <w:pPr>
        <w:pStyle w:val="ABNT"/>
        <w:rPr>
          <w:rFonts w:cs="Times New Roman"/>
        </w:rPr>
      </w:pPr>
      <w:r w:rsidRPr="00771368">
        <w:rPr>
          <w:rFonts w:cs="Times New Roman"/>
        </w:rPr>
        <w:t xml:space="preserve">Em 1993, a ONU publicou na Declaração sobre a Eliminação da Violência contra as Mulheres uma definição de violência contra a mulher: “qualquer ação ou conduta baseada no gênero, que cause morte, dano ou sofrimento físico, sexual ou psicológico à mulher, tanto no âmbito público como no privado” (ONU, 1993, p. 3). Apesar dos esforços em seu combate, ela segue ocorrendo na família, no trabalho, na sociedade, nas instituições do Estado e privadas. </w:t>
      </w:r>
    </w:p>
    <w:p w:rsidR="00D24E61" w:rsidRPr="00771368" w:rsidRDefault="00D24E61" w:rsidP="00D24E61">
      <w:pPr>
        <w:pStyle w:val="ABNT"/>
        <w:rPr>
          <w:rFonts w:cs="Times New Roman"/>
        </w:rPr>
      </w:pPr>
      <w:r w:rsidRPr="00771368">
        <w:rPr>
          <w:rFonts w:cs="Times New Roman"/>
        </w:rPr>
        <w:t>O que chama especial atenção é que, no Brasil, a violência contra a mulher soma, de forma perversa, discriminações étnico-raciais com as discriminações de gênero, gerando situações extremamente complicadas (BARSTED</w:t>
      </w:r>
      <w:r w:rsidRPr="00771368">
        <w:rPr>
          <w:rFonts w:cs="Times New Roman"/>
          <w:i/>
          <w:iCs/>
        </w:rPr>
        <w:t xml:space="preserve">, </w:t>
      </w:r>
      <w:r w:rsidRPr="00771368">
        <w:rPr>
          <w:rFonts w:cs="Times New Roman"/>
        </w:rPr>
        <w:t>2011, p. 349 e 350). A pesquisa “Percepções sobre a violência doméstica contra a mulher no Brasil em 2011” mostra que os principais fatores reconhecidos como causa dessa violência são o machismo da sociedade brasileira (46%), problemas com bebida alcoólica (31%) e a falta de autoestima da mulher (6%) (SITTA, 2011, p. 9). A pesquisa aponta que a maior parte da população reconhece que a violência doméstica inclui a violência física e a psicológica (como agressão verbal, xingamentos, ameaças, humilhação e outros), citando ainda violência moral (calúnia, difamação e injúria) e sexual (SITTA, 2011, p. 7).</w:t>
      </w:r>
    </w:p>
    <w:p w:rsidR="00D24E61" w:rsidRPr="00771368" w:rsidRDefault="00D24E61" w:rsidP="00D24E61">
      <w:pPr>
        <w:pStyle w:val="ABNT"/>
        <w:rPr>
          <w:rFonts w:cs="Times New Roman"/>
        </w:rPr>
      </w:pPr>
      <w:r w:rsidRPr="00771368">
        <w:rPr>
          <w:rFonts w:cs="Times New Roman"/>
        </w:rPr>
        <w:t>Muito se fala sobre as consequências, especialmente as materiais, da dominação de gênero. Entre elas, certamente, está a violência física, inclusive sexual, mas estão também desigualdade salarial, exploração do trabalho, duplas e triplas jornadas de trabalho, dificuldade no acesso ao conhecimento. Tais “diferenças sociais entre homens e mulheres são a materialização” da violência simbólica (DUARTE, 2007, p. 18)</w:t>
      </w:r>
    </w:p>
    <w:p w:rsidR="00D24E61" w:rsidRPr="00771368" w:rsidRDefault="00D24E61" w:rsidP="00D24E61">
      <w:pPr>
        <w:pStyle w:val="ABNT"/>
        <w:rPr>
          <w:rFonts w:cs="Times New Roman"/>
        </w:rPr>
      </w:pPr>
      <w:r w:rsidRPr="00771368">
        <w:rPr>
          <w:rFonts w:cs="Times New Roman"/>
        </w:rPr>
        <w:t xml:space="preserve">Segundo Bourdieu (2012, p.46), a violência, física ou simbólica, faz parte do conjunto de armas com que o ser humano e as instituições (família, igrejas, escola e Estado) contribuem no incessante trabalho histórico de produção de estruturas de dominação. </w:t>
      </w:r>
    </w:p>
    <w:p w:rsidR="00D24E61" w:rsidRPr="00771368" w:rsidRDefault="00D24E61" w:rsidP="00D24E61">
      <w:pPr>
        <w:pStyle w:val="citaolonga"/>
        <w:rPr>
          <w:rFonts w:cs="Times New Roman"/>
        </w:rPr>
      </w:pPr>
    </w:p>
    <w:p w:rsidR="00D24E61" w:rsidRPr="00771368" w:rsidRDefault="00D24E61" w:rsidP="00D24E61">
      <w:pPr>
        <w:pStyle w:val="citaolonga"/>
        <w:rPr>
          <w:rFonts w:cs="Times New Roman"/>
        </w:rPr>
      </w:pPr>
      <w:r w:rsidRPr="00771368">
        <w:rPr>
          <w:rFonts w:cs="Times New Roman"/>
        </w:rPr>
        <w:t xml:space="preserve">A violência simbólica se institui por intermédio da adesão que o dominado não pode deixar de conceder ao dominante [...] quando os esquemas que ele põe em ação para se ver e se avaliar, ou para ver e avaliar os dominantes [...], resultam da incorporação de classificações assim naturalizadas, de que seu ser social é produto (BOURDIEU, 2012, p. 47). </w:t>
      </w:r>
    </w:p>
    <w:p w:rsidR="00D24E61" w:rsidRPr="00771368" w:rsidRDefault="00D24E61" w:rsidP="00D24E61">
      <w:pPr>
        <w:pStyle w:val="citaolonga"/>
        <w:rPr>
          <w:rFonts w:cs="Times New Roman"/>
        </w:rPr>
      </w:pPr>
    </w:p>
    <w:p w:rsidR="00D24E61" w:rsidRPr="00771368" w:rsidRDefault="00D24E61" w:rsidP="00D24E61">
      <w:pPr>
        <w:pStyle w:val="ABNT"/>
        <w:rPr>
          <w:rFonts w:cs="Times New Roman"/>
        </w:rPr>
      </w:pPr>
      <w:r w:rsidRPr="00771368">
        <w:rPr>
          <w:rFonts w:cs="Times New Roman"/>
        </w:rPr>
        <w:t xml:space="preserve">É nos esquemas de percepção, avaliação e ação que constituem o </w:t>
      </w:r>
      <w:r w:rsidRPr="00771368">
        <w:rPr>
          <w:rFonts w:cs="Times New Roman"/>
          <w:i/>
          <w:iCs/>
        </w:rPr>
        <w:t>habitus</w:t>
      </w:r>
      <w:r w:rsidRPr="00771368">
        <w:rPr>
          <w:rFonts w:cs="Times New Roman"/>
        </w:rPr>
        <w:t xml:space="preserve">, e não na lógica consciente e cognoscente, que se dá o efeito da dominação simbólica. Esta produz efeitos duradouros, exercidos pela ordem social, sobre mulheres e homens, para harmonizarem uma lógica da dominação masculina e da submissão feminina que é tanto espontânea quanto extorquida (BOURDIEU, 2012, p. 49, 50). </w:t>
      </w:r>
    </w:p>
    <w:p w:rsidR="00D24E61" w:rsidRPr="00771368" w:rsidRDefault="00D24E61" w:rsidP="00D24E61">
      <w:pPr>
        <w:pStyle w:val="ABNT"/>
        <w:rPr>
          <w:rFonts w:cs="Times New Roman"/>
        </w:rPr>
      </w:pPr>
      <w:r w:rsidRPr="00771368">
        <w:rPr>
          <w:rFonts w:cs="Times New Roman"/>
        </w:rPr>
        <w:t>Especificamente, a violência contra a mulher surge na relação de gênero desigual, hierarquizada e naturalizada que confere ao homem um estatuto de mandatário e à mulher o papel de submissa e obediente. Esse tipo de relação exerce uma força invisível sobre as mulheres. “A força particular da sociodiceia masculina lhe vem do fato de ela acumular e condensar duas operações: ela legitima uma relação de dominação inscrevendo-a em uma natureza biológica que é por sua vez [...] construção social naturalizada” (BOURDIEU, 2012, p, 33).</w:t>
      </w:r>
    </w:p>
    <w:p w:rsidR="00D24E61" w:rsidRPr="00771368" w:rsidRDefault="00D24E61" w:rsidP="00D24E61">
      <w:pPr>
        <w:pStyle w:val="citaolonga"/>
        <w:rPr>
          <w:rFonts w:cs="Times New Roman"/>
        </w:rPr>
      </w:pPr>
      <w:r w:rsidRPr="00771368">
        <w:rPr>
          <w:rFonts w:cs="Times New Roman"/>
        </w:rPr>
        <w:t xml:space="preserve">As relações de gênero são um constructo sociocultural que ajudaram a sedimentar nossas identidades masculina e feminina. Essa construção de identidade pessoal e social é forjada num procedimento de dinâmicas de relações de poder dentro de estruturas sistêmicas patri-quiriarcais de subordinação, nas quais as instituições e os meios de comunicação atuam como fator substancial para manutenção de </w:t>
      </w:r>
      <w:r w:rsidRPr="00771368">
        <w:rPr>
          <w:rFonts w:cs="Times New Roman"/>
          <w:i/>
          <w:iCs/>
        </w:rPr>
        <w:t>status quo</w:t>
      </w:r>
      <w:r w:rsidRPr="00771368">
        <w:rPr>
          <w:rFonts w:cs="Times New Roman"/>
        </w:rPr>
        <w:t>, persistindo em formas sutilmente diferenciadas até hoje (RICHTER REIMER, 2010, p. 45).</w:t>
      </w:r>
    </w:p>
    <w:p w:rsidR="00D24E61" w:rsidRPr="00771368" w:rsidRDefault="00D24E61" w:rsidP="00D24E61">
      <w:pPr>
        <w:pStyle w:val="citaolonga"/>
        <w:rPr>
          <w:rFonts w:cs="Times New Roman"/>
        </w:rPr>
      </w:pPr>
    </w:p>
    <w:p w:rsidR="00D24E61" w:rsidRPr="00771368" w:rsidRDefault="00D24E61" w:rsidP="00D24E61">
      <w:pPr>
        <w:pStyle w:val="ABNT"/>
        <w:rPr>
          <w:rFonts w:cs="Times New Roman"/>
        </w:rPr>
      </w:pPr>
      <w:r w:rsidRPr="00771368">
        <w:rPr>
          <w:rFonts w:cs="Times New Roman"/>
        </w:rPr>
        <w:t xml:space="preserve">Foucault (1979, 1988) entende o poder como saber e como uma multiplicidade de práticas e relações dinâmicas de estratégias presentes em todo lugar e tempo entre relações de força desiguais e móveis que constituem o corpo social. O poder é circulante, como parte constitutiva do tecido social, em múltiplas correlações de forças. Estas relações têm um papel reprodutor, pois são resultado do compartilhar, das desigualdades e dos desequilíbrios que se produzem em si mesmas em atuação nos aparelhos de produção, na família, em grupos restritos e instituições, dando suporte divisões que percorrem do corpo social. Elas são dirigidas por um dispositivo (estratégias de relações de força que sustentam e são sustentadas por tipos de saber) de conjunto que as torna intencionais e objetivas. Assim, constituem a organização do domínio onde se exercem, se cristalizam e tomam forma nos aparelhos estatais, leis e hegemonias sociais. </w:t>
      </w:r>
    </w:p>
    <w:p w:rsidR="00D24E61" w:rsidRPr="00771368" w:rsidRDefault="00D24E61" w:rsidP="00D24E61">
      <w:pPr>
        <w:pStyle w:val="ABNT"/>
        <w:rPr>
          <w:rFonts w:cs="Times New Roman"/>
        </w:rPr>
      </w:pPr>
      <w:r w:rsidRPr="00771368">
        <w:rPr>
          <w:rFonts w:cs="Times New Roman"/>
        </w:rPr>
        <w:t xml:space="preserve">Com a perspectiva de circulação de poder, Foucault reforça a importância das microrrelações cotidianas, que influenciam e reforçam macrorrelações. Todas as pessoas exercem poder de alguma forma, sem oposições binárias, reforçando ou negando as disputas por poder em diversos níveis, pois implícita na relação de poder, há uma relação de resistência, como outra forma de exercê-lo. Tais concepções abrem à análise do cotidiano e do detalhe como fontes das relações de poder/resistência. </w:t>
      </w:r>
    </w:p>
    <w:p w:rsidR="00D24E61" w:rsidRPr="00771368" w:rsidRDefault="00D24E61" w:rsidP="00D24E61">
      <w:pPr>
        <w:pStyle w:val="ABNT"/>
        <w:rPr>
          <w:rFonts w:cs="Times New Roman"/>
        </w:rPr>
      </w:pPr>
      <w:r w:rsidRPr="00771368">
        <w:rPr>
          <w:rFonts w:cs="Times New Roman"/>
        </w:rPr>
        <w:t xml:space="preserve">Para Foucault, os discursos sobre o corpo, sexualidade e a divisão hierarquizada dos seres humanos entre mulheres e homens são tanto efeito como instrumento de poder e se tornam formas de partilhar o mundo. Isso torna a categorização do ser humano em homem e mulher passível de dissolução através da partilha de saber e da mudança das microrrelações. A própria identidade feminina é estratégia, objeto e alvo, de sistemas de saberes e poderes. </w:t>
      </w:r>
    </w:p>
    <w:p w:rsidR="00D24E61" w:rsidRPr="00771368" w:rsidRDefault="00D24E61" w:rsidP="00D24E61">
      <w:pPr>
        <w:pStyle w:val="ABNT"/>
        <w:rPr>
          <w:rFonts w:cs="Times New Roman"/>
        </w:rPr>
      </w:pPr>
      <w:r w:rsidRPr="00771368">
        <w:rPr>
          <w:rFonts w:cs="Times New Roman"/>
        </w:rPr>
        <w:t xml:space="preserve">Esse raciocínio implica em que, observando a dominação masculina na sociedade ocidental, não é o caso de entender que as mulheres sejam destituídas de poder. Este é exercido, por exemplo, na resistência ou na colaboração e utilização de redes de poder para seus objetivos. Consequentemente, as mulheres não devem ser pensadas simplesmente como vítimas, e sim como pessoas que participam do exercício do poder, resistindo ou reproduzindo as redes de poder, mas que dentro da sociedade tiveram experiências e discursos invisibilizados. </w:t>
      </w:r>
    </w:p>
    <w:p w:rsidR="00D24E61" w:rsidRPr="00771368" w:rsidRDefault="00D24E61" w:rsidP="00D24E61">
      <w:pPr>
        <w:pStyle w:val="ABNT"/>
        <w:rPr>
          <w:rFonts w:cs="Times New Roman"/>
        </w:rPr>
      </w:pPr>
      <w:r w:rsidRPr="00771368">
        <w:rPr>
          <w:rFonts w:cs="Times New Roman"/>
        </w:rPr>
        <w:t xml:space="preserve">Portanto, uma violência contra a mulher não é um ato isolado, mas permitido culturalmente pela sociedade que, por convicção ou negligência, silenciosamente permite que espaços, públicos e privados, de violência física, psicológica ou simbólica sejam criados. </w:t>
      </w:r>
    </w:p>
    <w:p w:rsidR="00D24E61" w:rsidRPr="00771368" w:rsidRDefault="00D24E61" w:rsidP="00D24E61">
      <w:pPr>
        <w:pStyle w:val="ABNT"/>
        <w:rPr>
          <w:rFonts w:cs="Times New Roman"/>
        </w:rPr>
      </w:pPr>
      <w:r w:rsidRPr="00771368">
        <w:rPr>
          <w:rFonts w:cs="Times New Roman"/>
        </w:rPr>
        <w:t>A violência contra as mulheres é uma das principais vias de impedimento à igualdade. “Representa uma dominação masculina de amplo espectro, histórica e culturalmente construída, para além de sua manifestação nos corpos das mulheres” (BARSTED</w:t>
      </w:r>
      <w:r w:rsidRPr="00771368">
        <w:rPr>
          <w:rFonts w:cs="Times New Roman"/>
          <w:i/>
          <w:iCs/>
        </w:rPr>
        <w:t xml:space="preserve">, </w:t>
      </w:r>
      <w:r w:rsidRPr="00771368">
        <w:rPr>
          <w:rFonts w:cs="Times New Roman"/>
        </w:rPr>
        <w:t xml:space="preserve">2011, p. 348). Ela se caracteriza por ser difusa, muitas vezes tolerada e invisibilizada, em especial, no seio doméstico, ambiente de trabalho ou instituições públicas, o que espelha e corrobora com  sua naturalização. </w:t>
      </w:r>
    </w:p>
    <w:p w:rsidR="00D24E61" w:rsidRPr="00771368" w:rsidRDefault="00D24E61" w:rsidP="00D24E61">
      <w:pPr>
        <w:pStyle w:val="ABNT"/>
        <w:rPr>
          <w:rFonts w:cs="Times New Roman"/>
        </w:rPr>
      </w:pPr>
      <w:r w:rsidRPr="00771368">
        <w:rPr>
          <w:rFonts w:cs="Times New Roman"/>
        </w:rPr>
        <w:t>A violência contra a mulher se dá de várias formas. Além dos sistemas simbólicos e da violência física direta, depende também de fatores de opressão econômica, política e social. Elizabeth Schüssler Fiorenza estabelece sete critérios bastante úteis para se falar em opressão, em especial com relação às mulheres: 1) a exploração econômica, cultural, política e religiosa de mulheres em todo o mundo; 2) a marginalização, seja na sub-representação nas instituições sociais, culturais, científicas e religiosas, ou na ausência de posições de liderança ou ainda na desconsideração de suas contribuições; 3) falta de poder político-público; 4) o imperialismo cultural, que age através da invisibilização; 5) violência sistêmica, atribuída a erros e debilidades das mulheres e não vista como violação de direitos humanos; 6) silenciamento; 7) desprezo e difamação (FIORENZA, 2009, p. 126 e 127). Com essa lista, faz-se notar que a violência contra a mulher se dá tanto de forma silenciosa como aparente, através de um sistema de castração de atitudes e de produção intelectual. Ela é amplificada quando se acumula com outros tipos de violência, seja oriunda da divisão de classes, de etnia, de religião, de orientação sexual, gerando experiências de violência diferenciadas, corporais, sociais e políticas que têm em comum, e como fator de aprofundamento, o fato de serem cometidas contra mulheres.</w:t>
      </w:r>
    </w:p>
    <w:p w:rsidR="00D24E61" w:rsidRPr="00771368" w:rsidRDefault="00D24E61" w:rsidP="00D24E61">
      <w:pPr>
        <w:pStyle w:val="ABNT"/>
        <w:rPr>
          <w:rFonts w:cs="Times New Roman"/>
        </w:rPr>
      </w:pPr>
      <w:r w:rsidRPr="00771368">
        <w:rPr>
          <w:rFonts w:cs="Times New Roman"/>
        </w:rPr>
        <w:t xml:space="preserve">A religião é um dos sistemas institucionais que compõe a sociedade e a cultura. Ela pode ser utilizada na manutenção do </w:t>
      </w:r>
      <w:r w:rsidRPr="00771368">
        <w:rPr>
          <w:rFonts w:cs="Times New Roman"/>
          <w:i/>
          <w:iCs/>
        </w:rPr>
        <w:t>status quo</w:t>
      </w:r>
      <w:r w:rsidRPr="00771368">
        <w:rPr>
          <w:rFonts w:cs="Times New Roman"/>
        </w:rPr>
        <w:t xml:space="preserve"> da desigualdade ou não. Geertz define religião como </w:t>
      </w:r>
    </w:p>
    <w:p w:rsidR="00D24E61" w:rsidRPr="00771368" w:rsidRDefault="00D24E61" w:rsidP="00D24E61">
      <w:pPr>
        <w:pStyle w:val="citaolonga"/>
        <w:rPr>
          <w:rFonts w:cs="Times New Roman"/>
        </w:rPr>
      </w:pPr>
      <w:r w:rsidRPr="00771368">
        <w:rPr>
          <w:rFonts w:cs="Times New Roman"/>
        </w:rPr>
        <w:t>(1) um sistema de símbolos que atua para (2) estabelecer poderosas, penetrantes e duradouras disposições e motivações nos homens através da (3) formulação de conceitos de uma ordem de existência geral e (4) vestindo essas concepções com tal aura de fatualidade que (5) as disposições e motivações parecem singularmente realistas (GEERTZ, 2008, p.67).</w:t>
      </w:r>
    </w:p>
    <w:p w:rsidR="00D24E61" w:rsidRPr="00771368" w:rsidRDefault="00D24E61" w:rsidP="00D24E61">
      <w:pPr>
        <w:pStyle w:val="citaolonga"/>
        <w:rPr>
          <w:rFonts w:cs="Times New Roman"/>
        </w:rPr>
      </w:pPr>
    </w:p>
    <w:p w:rsidR="00D24E61" w:rsidRPr="00771368" w:rsidRDefault="00D24E61" w:rsidP="00D24E61">
      <w:pPr>
        <w:pStyle w:val="ABNT"/>
        <w:rPr>
          <w:rFonts w:cs="Times New Roman"/>
        </w:rPr>
      </w:pPr>
      <w:r w:rsidRPr="00771368">
        <w:rPr>
          <w:rFonts w:cs="Times New Roman"/>
        </w:rPr>
        <w:t>Na naturalização da violência e dos papéis de gênero, e, portanto, da desigualdade, a religião tem papel fundamental, uma vez que “ajusta as ações humanas a uma ordem cósmica imaginada e projeta imagens da ordem cósmica no plano da experiência humana” (GEERTZ, 2008, p. 67). É estratégia fundamental para manter a realidade socialmente definida, situando as estruturas nômicas, instituições e papéis numa referência sagrada e cósmica (BERGER, 1985, p. 42-52).</w:t>
      </w:r>
    </w:p>
    <w:p w:rsidR="00D24E61" w:rsidRPr="00771368" w:rsidRDefault="00D24E61" w:rsidP="00D24E61">
      <w:pPr>
        <w:pStyle w:val="citaolonga"/>
        <w:rPr>
          <w:rFonts w:cs="Times New Roman"/>
        </w:rPr>
      </w:pPr>
    </w:p>
    <w:p w:rsidR="00D24E61" w:rsidRPr="00771368" w:rsidRDefault="00D24E61" w:rsidP="00D24E61">
      <w:pPr>
        <w:pStyle w:val="citaolonga"/>
        <w:rPr>
          <w:rFonts w:cs="Times New Roman"/>
        </w:rPr>
      </w:pPr>
      <w:r w:rsidRPr="00771368">
        <w:rPr>
          <w:rFonts w:cs="Times New Roman"/>
        </w:rPr>
        <w:t xml:space="preserve">Na medida em que os princípios de visão e divisão que [o sistema mítico-ritual] propõe estão objetivamente ajustados às divisões pré-existentes, ele consagra a ordem estabelecida, trazendo-a a existência conhecida e reconhecida, oficial. A divisão dos sexos parece estar “na ordem das coisas” (BOURDIEU, 2012, p. 17). </w:t>
      </w:r>
    </w:p>
    <w:p w:rsidR="00D24E61" w:rsidRPr="00771368" w:rsidRDefault="00D24E61" w:rsidP="00D24E61">
      <w:pPr>
        <w:pStyle w:val="citaolonga"/>
        <w:rPr>
          <w:rFonts w:cs="Times New Roman"/>
        </w:rPr>
      </w:pPr>
    </w:p>
    <w:p w:rsidR="00D24E61" w:rsidRPr="00771368" w:rsidRDefault="00D24E61" w:rsidP="00D24E61">
      <w:pPr>
        <w:pStyle w:val="ABNT"/>
        <w:rPr>
          <w:rFonts w:cs="Times New Roman"/>
        </w:rPr>
      </w:pPr>
      <w:r w:rsidRPr="00771368">
        <w:rPr>
          <w:rFonts w:cs="Times New Roman"/>
        </w:rPr>
        <w:t xml:space="preserve">Erickson (1996) afirma que a função da religião seria a geração de poder pela divisão entre o sagrado e profano: coube aos homens o aspecto sagrado e as mulheres o profano. Como produto da dominação, a força religiosa gera força coletiva que legitima a dominação estabelecendo poder e vida social sexualizados e controlando a atividade e respostas sociais através do pensamento abstrato (ERICKSON, 1996, p. 45-51). A violência seria resultado natural do contato entre o sagrado e o profano. Com especial ligação entre sexo, força e violência, “as diferenças entre masculinidade e feminilidade são mantidas pelas forças sociais que promovem e sustentam atos de violência” (ERICKSON, 1996, p. 56). </w:t>
      </w:r>
    </w:p>
    <w:p w:rsidR="00D24E61" w:rsidRPr="00771368" w:rsidRDefault="00D24E61" w:rsidP="00D24E61">
      <w:pPr>
        <w:pStyle w:val="ABNT"/>
        <w:rPr>
          <w:rFonts w:cs="Times New Roman"/>
        </w:rPr>
      </w:pPr>
      <w:r w:rsidRPr="00771368">
        <w:rPr>
          <w:rFonts w:cs="Times New Roman"/>
        </w:rPr>
        <w:t xml:space="preserve">No caso do cristianismo, o discurso mantém valores tradicionais de relação de gênero que escondem a dominação masculina. </w:t>
      </w:r>
    </w:p>
    <w:p w:rsidR="00D24E61" w:rsidRPr="00771368" w:rsidRDefault="00D24E61" w:rsidP="00D24E61">
      <w:pPr>
        <w:pStyle w:val="citaolonga"/>
        <w:rPr>
          <w:rFonts w:cs="Times New Roman"/>
        </w:rPr>
      </w:pPr>
      <w:r w:rsidRPr="00771368">
        <w:rPr>
          <w:rFonts w:cs="Times New Roman"/>
        </w:rPr>
        <w:t>A interpretação teológica das igrejas em relação à experiência do mal praticado e sofrido, particularmente pelas mulheres [...] foi fruto da reflexão dos homens ligados à instituição. Muitas vezes ela não corresponde ao que as mulheres sentem e às suas reivindicações[...] (GEBARA, 2000,  p. 30).</w:t>
      </w:r>
    </w:p>
    <w:p w:rsidR="00D24E61" w:rsidRPr="00771368" w:rsidRDefault="00D24E61" w:rsidP="00D24E61">
      <w:pPr>
        <w:pStyle w:val="citaolonga"/>
        <w:rPr>
          <w:rFonts w:cs="Times New Roman"/>
        </w:rPr>
      </w:pPr>
    </w:p>
    <w:p w:rsidR="00D24E61" w:rsidRPr="00771368" w:rsidRDefault="00D24E61" w:rsidP="00D24E61">
      <w:pPr>
        <w:pStyle w:val="ABNT"/>
        <w:rPr>
          <w:rFonts w:cs="Times New Roman"/>
        </w:rPr>
      </w:pPr>
      <w:r w:rsidRPr="00771368">
        <w:rPr>
          <w:rFonts w:cs="Times New Roman"/>
        </w:rPr>
        <w:t xml:space="preserve">Paul Ricouer afirma que as narrativas bíblicas constituem, de sua própria maneira, a identidade da comunidade que a conta e reconta em sua identidade narrativa (RICOEUR, 2006, p. 290-291). Elas enraízam o discurso teológico na linguagem ordinária, a sua função é sagrada, mas não sai linguagem. A narrativa sagrada cria um mundo de consciência que orienta o si para ele (RICOEUR, 2006, p. 293-294). Então, na religião cristã, visões sexistas dos textos bíblicos e uma ideologia política patriarcal originaram uma história interpretativa que compôs uma série arquétipos (Eva, Maria, Maria Madalena são exemplos) usados para moldar as identidades de gênero e definir os papéis sociais cheios de restrições, colocando a mulher em segundo plano em relação aos homens. Essas identidades passaram a constituir a identidade da narrativa. </w:t>
      </w:r>
    </w:p>
    <w:p w:rsidR="00D24E61" w:rsidRPr="00771368" w:rsidRDefault="00D24E61" w:rsidP="00D24E61">
      <w:pPr>
        <w:pStyle w:val="ABNT"/>
        <w:rPr>
          <w:rFonts w:cs="Times New Roman"/>
        </w:rPr>
      </w:pPr>
      <w:r w:rsidRPr="00771368">
        <w:rPr>
          <w:rFonts w:cs="Times New Roman"/>
        </w:rPr>
        <w:t>Parte do ideário cristão corrobora com a violência contra a mulher ao colocá-la como auxiliar submissa e fomentar um imaginário em que ela é mesmo tempo santa, na maternidade, e pecaminosa ou que conduz os homens ao pecado, reforçando a ideia de que não existe mulher boa. Assim, legitima atitudes masculinas de violência como disciplina e a dominação. Nisso, a religião cristã funciona como aparelho produtor e reprodutor de desigualdade de gênero e, portanto, da violência naturalizadas.</w:t>
      </w:r>
    </w:p>
    <w:p w:rsidR="00D24E61" w:rsidRPr="00771368" w:rsidRDefault="00D24E61" w:rsidP="00D24E61">
      <w:pPr>
        <w:pStyle w:val="ABNT"/>
        <w:rPr>
          <w:rFonts w:cs="Times New Roman"/>
        </w:rPr>
      </w:pPr>
      <w:r w:rsidRPr="00771368">
        <w:rPr>
          <w:rFonts w:cs="Times New Roman"/>
        </w:rPr>
        <w:t xml:space="preserve">Porém, a religião cristã pode servir à manutenção da dominação masculina, legitimando a violência, como pode ser um refúgio revolucionário de não conformação com os padrões sociais opressores. Em abertura dialética com a sociedade, é possível propor novas interpretações, imagens divinas e mitos libertadores para as mulheres e que lhes sirvam como padrões empoderantes, acolhedores e inspiradores de relações mais justas e saudáveis. Tal processo inicia-se com a compreensão que a caracterização dos papéis femininos no judaísmo e cristianismo foi feita a partir de registros documentais de ideologia androcêntrica e patriarcal e a difamação ou glorificação de mulheres é uma construção social da realidade em termos patriarcais. O </w:t>
      </w:r>
      <w:r w:rsidRPr="00771368">
        <w:rPr>
          <w:rFonts w:cs="Times New Roman"/>
          <w:i/>
          <w:iCs/>
        </w:rPr>
        <w:t>status</w:t>
      </w:r>
      <w:r w:rsidRPr="00771368">
        <w:rPr>
          <w:rFonts w:cs="Times New Roman"/>
        </w:rPr>
        <w:t xml:space="preserve"> real das mulheres não pode ser determinado por princípios ideológicos e prescritivos, mas pelo grau de autonomia econômica e papéis sociais que exercem (FIORENZA, 1992, p. 134-139). Portanto, é importante notar que há outros </w:t>
      </w:r>
      <w:r w:rsidRPr="00771368">
        <w:rPr>
          <w:rFonts w:cs="Times New Roman"/>
          <w:bCs/>
        </w:rPr>
        <w:t>registros</w:t>
      </w:r>
      <w:r w:rsidRPr="00771368">
        <w:rPr>
          <w:rFonts w:cs="Times New Roman"/>
          <w:bCs/>
          <w:vertAlign w:val="superscript"/>
        </w:rPr>
        <w:footnoteReference w:id="111"/>
      </w:r>
      <w:r w:rsidRPr="00771368">
        <w:rPr>
          <w:rFonts w:cs="Times New Roman"/>
        </w:rPr>
        <w:t xml:space="preserve">, mais igualitários e perceber, meio à dinâmica patriarcal, mulheres e grupos que buscavam outras maneiras de viver e se relacionar, em oposição à dominação patriquiriarcal vigente. </w:t>
      </w:r>
    </w:p>
    <w:p w:rsidR="00D24E61" w:rsidRPr="00771368" w:rsidRDefault="00D24E61" w:rsidP="00D24E61">
      <w:pPr>
        <w:pStyle w:val="ABNT"/>
        <w:rPr>
          <w:rFonts w:cs="Times New Roman"/>
        </w:rPr>
      </w:pPr>
      <w:r w:rsidRPr="00771368">
        <w:rPr>
          <w:rFonts w:cs="Times New Roman"/>
        </w:rPr>
        <w:t xml:space="preserve">Jesus é retratado, nos evangelhos canônicos, recuperando a identidade daqueles ao seu redor, livrando-os de situações de opressão, seja social, religiosa, econômica ou física, através de ensinamentos, curas e exorcismos. Estabelece um novo modelo relacional, onde a microrrelação justa é padrão. No movimento de Jesus, percebem-se relações de gênero que estão em conflito com o modelo patriarcal. Muitos trechos do Segundo Testamento mostram mulheres do movimento como independentes e curadas, assumindo diversos papéis de liderança. Por exemplo, o Evangelho de Marcos tem, dentre seus objetivos, a oposição às tendências patriarcais, quiriarcais e misóginas de alguns ramos do cristianismo no tempo de sua composição pelo resgate da práxis de Jesus (RICHTER REIMER, 2012, p. 44). Considerando o combate a desigualdade e à violência de contra a mulher, é importante perceber qual a valorização que esses textos dão aos grupos sociais e relações de gênero, para recolher material que ajude na reorientação das condutas relacionais a partir de uma perspectiva mais justa. </w:t>
      </w:r>
    </w:p>
    <w:p w:rsidR="00D24E61" w:rsidRPr="00771368" w:rsidRDefault="00D24E61" w:rsidP="00D24E61">
      <w:pPr>
        <w:pStyle w:val="ABNT"/>
        <w:rPr>
          <w:rFonts w:cs="Times New Roman"/>
        </w:rPr>
      </w:pPr>
    </w:p>
    <w:p w:rsidR="00D24E61" w:rsidRPr="007B04EA" w:rsidRDefault="00D24E61" w:rsidP="007B04EA">
      <w:r w:rsidRPr="007B04EA">
        <w:t>A família e a mulher no contexto do Evangelho de Marcos</w:t>
      </w:r>
    </w:p>
    <w:p w:rsidR="00D24E61" w:rsidRPr="00771368" w:rsidRDefault="00D24E61" w:rsidP="00D24E61"/>
    <w:p w:rsidR="00D24E61" w:rsidRPr="00771368" w:rsidRDefault="00D24E61" w:rsidP="00D24E61">
      <w:pPr>
        <w:pStyle w:val="ABNT"/>
        <w:rPr>
          <w:rFonts w:cs="Times New Roman"/>
        </w:rPr>
      </w:pPr>
      <w:r w:rsidRPr="00771368">
        <w:rPr>
          <w:rFonts w:cs="Times New Roman"/>
        </w:rPr>
        <w:t xml:space="preserve">A religião e sociedade judaica, assim como a romana, tinham características patriarcais e androcêntricas que exerciam dominação sobre a mulher relegando-as à condição de profanas. No meio da dinâmica entre os patriarcados judeu e romano, é composto o Evangelho de Marcos. </w:t>
      </w:r>
    </w:p>
    <w:p w:rsidR="00D24E61" w:rsidRPr="00771368" w:rsidRDefault="00D24E61" w:rsidP="00D24E61">
      <w:pPr>
        <w:pStyle w:val="ABNT"/>
        <w:rPr>
          <w:rFonts w:cs="Times New Roman"/>
        </w:rPr>
      </w:pPr>
      <w:r w:rsidRPr="00771368">
        <w:rPr>
          <w:rFonts w:cs="Times New Roman"/>
        </w:rPr>
        <w:t xml:space="preserve">O patriarcado era um sistema vigente no Mediterrâneo, mas a versão romana era um sistema de dominação, ocupação e exploração dos recursos naturais e humanos de forma violenta e escravagista. Esta dominação estabelecia uma divisão vertical na sociedade entre a minoria dos governantes, poderosos, ricos e a maioria dos súditos, dominados, pobres. Além disso, havia um corte horizontal que dividia a sociedade entre pessoas livres e escravos, nações e raças, homens e mulheres, adultos e crianças (RICHTER REIMER, 2000, p. 29, 30). É da família patriarcal romana que se origina a forma de estado romano, baseado na economia política, cuja mais-valia era baseada na agricultura (RICHTER REIMER, 2012, p. 73-95). Na casa romana o poder era exercido pelo </w:t>
      </w:r>
      <w:r w:rsidRPr="00771368">
        <w:rPr>
          <w:rFonts w:cs="Times New Roman"/>
          <w:i/>
          <w:iCs/>
        </w:rPr>
        <w:t>pater familias</w:t>
      </w:r>
      <w:r w:rsidRPr="00771368">
        <w:rPr>
          <w:rFonts w:cs="Times New Roman"/>
        </w:rPr>
        <w:t xml:space="preserve"> sobre mulher, escravos e filhos. </w:t>
      </w:r>
    </w:p>
    <w:p w:rsidR="00D24E61" w:rsidRPr="00771368" w:rsidRDefault="00D24E61" w:rsidP="00D24E61">
      <w:pPr>
        <w:pStyle w:val="ABNT"/>
        <w:rPr>
          <w:rFonts w:cs="Times New Roman"/>
        </w:rPr>
      </w:pPr>
      <w:r w:rsidRPr="00771368">
        <w:rPr>
          <w:rFonts w:cs="Times New Roman"/>
        </w:rPr>
        <w:t>Cabe lembrar que o sistema romano fora imposto através de guerras de conquista, que são marcadas por forte violência. No que tange as mulheres, isso implica além da violência da dominação e exploração econômica, na tortura, crucificação e violência e exploração sexual (RICHTER REIMER, 2000, p. 30).</w:t>
      </w:r>
    </w:p>
    <w:p w:rsidR="00D24E61" w:rsidRPr="00771368" w:rsidRDefault="00D24E61" w:rsidP="00D24E61">
      <w:pPr>
        <w:pStyle w:val="ABNT"/>
        <w:rPr>
          <w:rFonts w:cs="Times New Roman"/>
        </w:rPr>
      </w:pPr>
      <w:r w:rsidRPr="00771368">
        <w:rPr>
          <w:rFonts w:cs="Times New Roman"/>
        </w:rPr>
        <w:t xml:space="preserve">A família era a unidade essencial da sociedade palestina. As relações familiares eram importantes em termos econômicos, políticos e religiosos. A família, ou a casa, era de especial importância para a socialização religiosa. Ao lado da Torá, estruturava religiosamente o tempo, orações diárias, prescrições de pureza e estratégias de casamento. (STEGEMANN, 2004, p. 169 e 170). </w:t>
      </w:r>
    </w:p>
    <w:p w:rsidR="00D24E61" w:rsidRPr="00771368" w:rsidRDefault="00D24E61" w:rsidP="00D24E61">
      <w:pPr>
        <w:pStyle w:val="ABNT"/>
        <w:rPr>
          <w:rFonts w:cs="Times New Roman"/>
        </w:rPr>
      </w:pPr>
      <w:r w:rsidRPr="00771368">
        <w:rPr>
          <w:rFonts w:cs="Times New Roman"/>
        </w:rPr>
        <w:t xml:space="preserve">A economia era posta “em movimento pelos laços de parentesco, casamento, grupos etários, sociedades secretas [...] e cerimônias públicas” (GARNSEY-SALLER </w:t>
      </w:r>
      <w:r w:rsidRPr="00771368">
        <w:rPr>
          <w:rFonts w:cs="Times New Roman"/>
          <w:i/>
          <w:iCs/>
        </w:rPr>
        <w:t>apud</w:t>
      </w:r>
      <w:r w:rsidRPr="00771368">
        <w:rPr>
          <w:rFonts w:cs="Times New Roman"/>
        </w:rPr>
        <w:t xml:space="preserve"> STEGEMANN, 2004, p. 32). Dentro da esfera econômica, dois sistemas coexistiam: de reciprocidade e redistribuição. O primeiro era baseado no clã, e entre os membros da família a reciprocidade era plena, com serviços e mercadorias livremente dados, a reciprocidade diminuía conforme as relações se afastam do núcleo familiar, até que fora da tribo imperava a mutualidade. Esse sistema persistia nas aldeias à época de Marcos (MYERS, 1992, p. 76 e 77). O significado da casa está além da moradia, é o centro produtivo da antiguidade. Os membros da família são a mão de obra e, quando no campo, confunde-se com a roça, quando na cidade, com a oficina. Ela é, em Marcos, o símbolo do novo sistema de relações de convivência que Jesus advoga. Ali as pessoas se relacionam, controlam o processo produtivo e dominam sobre o espaço (SOARES; CORREIA JÚNIOR; OLIVA, 2012, p. 80,81).</w:t>
      </w:r>
    </w:p>
    <w:p w:rsidR="00D24E61" w:rsidRPr="00771368" w:rsidRDefault="00D24E61" w:rsidP="00D24E61">
      <w:pPr>
        <w:pStyle w:val="ABNT"/>
        <w:rPr>
          <w:rFonts w:cs="Times New Roman"/>
        </w:rPr>
      </w:pPr>
      <w:r w:rsidRPr="00771368">
        <w:rPr>
          <w:rFonts w:cs="Times New Roman"/>
        </w:rPr>
        <w:t>Os papéis políticos eram vinculados a um sistema de parentesco e expressos em termos de economia política e religião política. As pessoas do mediterrâneo, no primeiro século, conheciam-se em termos de papéis baseados no gênero e do grupo a que pertenciam, com preocupação constante com demonstrações públicas de honra, vergonha e respeito. Estes são valores morais recíprocos que expressam a integração de um indivíduo no grupo, ou seja, como a estima pública é conferida e a sensibilidade, com respeito à opinião pública, de que depende essa estima. Por isso, é representativa, nas descrições da sociedade mediterrânea, a relação que esses valores têm com a sexualidade e com as distinções de gênero. De modo geral, a honra é entendida como um valor vinculado aos homens e a vergonha, como cuidado pela própria reputação, às mulheres. A honra masculina se relaciona com o esforço em conservar a vergonha das mulheres do grupo (MACDONALD, 2004, p. 41, 42).</w:t>
      </w:r>
    </w:p>
    <w:p w:rsidR="00D24E61" w:rsidRPr="00771368" w:rsidRDefault="00D24E61" w:rsidP="00D24E61">
      <w:pPr>
        <w:pStyle w:val="ABNT"/>
        <w:rPr>
          <w:rFonts w:cs="Times New Roman"/>
        </w:rPr>
      </w:pPr>
      <w:r w:rsidRPr="00771368">
        <w:rPr>
          <w:rFonts w:cs="Times New Roman"/>
        </w:rPr>
        <w:t xml:space="preserve">Nas regiões mediterrâneas, as mulheres são valoradas especialmente pela castidade. Há a tendência a protegê-las através de uma divisão sexuada dos espaços, espaço masculino e espaço feminino, separando a esfera pública e privada com uma série de barreiras físicas e espaciais baseadas em gênero, como o véu e presença de acompanhantes. A divisão espacial guarda a pureza sexual e a demonstra diante da sociedade (MACDONALD, 2004, p. 42, 43). </w:t>
      </w:r>
    </w:p>
    <w:p w:rsidR="00D24E61" w:rsidRPr="00771368" w:rsidRDefault="00D24E61" w:rsidP="00D24E61">
      <w:pPr>
        <w:pStyle w:val="ABNT"/>
        <w:rPr>
          <w:rFonts w:cs="Times New Roman"/>
        </w:rPr>
      </w:pPr>
      <w:r w:rsidRPr="00771368">
        <w:rPr>
          <w:rFonts w:cs="Times New Roman"/>
        </w:rPr>
        <w:t xml:space="preserve">A família é o foco principal da lealdade pessoal e tem domínio supremo sobre a vida individual. Por isso, a razão da ênfase na prevenção da transgressão sexual é a importância conferida à descendência. O gerenciamento da área sexual se faz a base de todas as estratégias nos domínios econômicos e políticos (MALINA, 1996, p. 35,36, 42-50). A família mediterrânea é patrilinear e enraizada numa forte divisão de trabalho. Os papéis de pais e mães, assim como os maridos e esposas que atuam neles, raramente se tocam. As mulheres estavam associadas, tanto em nível simbólico como prático, com o domínio privado da casa. Por isso, a preocupação imediata com as normas de conduta dentro de casa e com os modelos de comportamento das mulheres no lar. Tudo que mantém a família internamente é geralmente feminino: cozinha, relações do lado da mãe, cabras e outros animais domésticos, galinhas, filhas não casadas, noras residentes, meninos até a idade de ficarem com o pai. Os homens, ao contrário, estão associados à esfera pública, que englobam comércio, política, praças de mercado, cafés, campos, lugares de reunião etc. O que se relaciona à família e é vindo de fora é controlado pelo pai e é masculino: herança, terras ao redor, relações do lado do pai, animais de fazenda e implementos, filhos adultos. (MALINA, 1996, p. 55, 56; MACDONALD, 2004, p. 44, 48). </w:t>
      </w:r>
    </w:p>
    <w:p w:rsidR="00D24E61" w:rsidRPr="00771368" w:rsidRDefault="00D24E61" w:rsidP="00D24E61">
      <w:pPr>
        <w:pStyle w:val="ABNT"/>
        <w:spacing w:line="240" w:lineRule="auto"/>
        <w:ind w:left="2268" w:firstLine="0"/>
        <w:rPr>
          <w:rFonts w:cs="Times New Roman"/>
          <w:sz w:val="20"/>
          <w:szCs w:val="20"/>
        </w:rPr>
      </w:pPr>
    </w:p>
    <w:p w:rsidR="00D24E61" w:rsidRPr="00771368" w:rsidRDefault="00D24E61" w:rsidP="00D24E61">
      <w:pPr>
        <w:pStyle w:val="ABNT"/>
        <w:spacing w:line="240" w:lineRule="auto"/>
        <w:ind w:left="2268" w:firstLine="0"/>
        <w:rPr>
          <w:rFonts w:cs="Times New Roman"/>
          <w:sz w:val="20"/>
          <w:szCs w:val="20"/>
        </w:rPr>
      </w:pPr>
      <w:r w:rsidRPr="00771368">
        <w:rPr>
          <w:rFonts w:cs="Times New Roman"/>
          <w:sz w:val="20"/>
          <w:szCs w:val="20"/>
        </w:rPr>
        <w:t>Na Palestina no tempo de Jesus, as mulheres, doravante afastadas da esfera pública, eram chamadas a exercer as virtudes de ‘mulher valente’ – esposa, mãe de filhos, hábil dona de casa – no interior da casa. Em caso de saída, o véu escondia a cara. Um silêncio prudente em relação a elas se impunha por parte dos homens. [...] Só as princesas e as mulheres do povo, em particular do campo, escapavam a esse ideal de vida reclusa (ALEXANDRE, 1990, p. 519, 520).</w:t>
      </w:r>
    </w:p>
    <w:p w:rsidR="00D24E61" w:rsidRPr="00771368" w:rsidRDefault="00D24E61" w:rsidP="00D24E61">
      <w:pPr>
        <w:pStyle w:val="ABNT"/>
        <w:spacing w:line="240" w:lineRule="auto"/>
        <w:ind w:left="2268" w:firstLine="0"/>
        <w:rPr>
          <w:rFonts w:cs="Times New Roman"/>
          <w:sz w:val="20"/>
          <w:szCs w:val="20"/>
        </w:rPr>
      </w:pPr>
    </w:p>
    <w:p w:rsidR="00D24E61" w:rsidRPr="00771368" w:rsidRDefault="00D24E61" w:rsidP="00D24E61">
      <w:pPr>
        <w:pStyle w:val="ABNT"/>
        <w:rPr>
          <w:rFonts w:cs="Times New Roman"/>
        </w:rPr>
      </w:pPr>
      <w:r w:rsidRPr="00771368">
        <w:rPr>
          <w:rFonts w:cs="Times New Roman"/>
        </w:rPr>
        <w:t xml:space="preserve">É claro que essas condições variavam a depender da classe a que pertenciam e se estavam em contexto rural e urbano. Nos ambientes mais populares e pobres, a segregação era menor, devido à necessidade de mão de obra para geração de renda, elas não eram tão desconsideradas no dia a dia (STRÖHER, 1998, p 38). </w:t>
      </w:r>
    </w:p>
    <w:p w:rsidR="00D24E61" w:rsidRPr="00771368" w:rsidRDefault="00D24E61" w:rsidP="00D24E61">
      <w:pPr>
        <w:pStyle w:val="ABNT"/>
        <w:rPr>
          <w:rFonts w:cs="Times New Roman"/>
        </w:rPr>
      </w:pPr>
      <w:r w:rsidRPr="00771368">
        <w:rPr>
          <w:rFonts w:cs="Times New Roman"/>
        </w:rPr>
        <w:t xml:space="preserve">Apesar da dinâmica patriarcal, </w:t>
      </w:r>
    </w:p>
    <w:p w:rsidR="00D24E61" w:rsidRPr="00771368" w:rsidRDefault="00D24E61" w:rsidP="00D24E61">
      <w:pPr>
        <w:pStyle w:val="citaolonga"/>
        <w:rPr>
          <w:rFonts w:cs="Times New Roman"/>
        </w:rPr>
      </w:pPr>
      <w:r w:rsidRPr="00771368">
        <w:rPr>
          <w:rFonts w:cs="Times New Roman"/>
        </w:rPr>
        <w:t xml:space="preserve">mulheres das classes mais baixas eram ativas em seu mundo no contexto familiar, de produção e de comercialização dos produtos manufaturados. Nestas atividades, elas viajavam em grupos, como era comum na época, e também participavam dos </w:t>
      </w:r>
      <w:r w:rsidRPr="00771368">
        <w:rPr>
          <w:rFonts w:cs="Times New Roman"/>
          <w:i/>
        </w:rPr>
        <w:t>collegia</w:t>
      </w:r>
      <w:r w:rsidRPr="00771368">
        <w:rPr>
          <w:rFonts w:cs="Times New Roman"/>
        </w:rPr>
        <w:t>, uma forma de cooperativas/corporações em que se reuniam pessoas por questões de organização profissional, nas quais também celebravam sua fé. Era nestes contextos que elas se articulavam também politicamente, participando da formação, organização e liderança dessas instituições que também sofriam controle e vigilância por parte dos funcionários do Império Romano</w:t>
      </w:r>
      <w:r w:rsidRPr="00771368">
        <w:rPr>
          <w:rFonts w:cs="Times New Roman"/>
          <w:sz w:val="24"/>
          <w:szCs w:val="22"/>
        </w:rPr>
        <w:t xml:space="preserve"> </w:t>
      </w:r>
      <w:r w:rsidRPr="00771368">
        <w:rPr>
          <w:rFonts w:cs="Times New Roman"/>
        </w:rPr>
        <w:t>(RICHTER REIMER e SOUZA, 2012, p. 208).</w:t>
      </w:r>
    </w:p>
    <w:p w:rsidR="00D24E61" w:rsidRPr="00771368" w:rsidRDefault="00D24E61" w:rsidP="00D24E61">
      <w:pPr>
        <w:pStyle w:val="citaolonga"/>
        <w:rPr>
          <w:rFonts w:cs="Times New Roman"/>
        </w:rPr>
      </w:pPr>
    </w:p>
    <w:p w:rsidR="00D24E61" w:rsidRPr="00771368" w:rsidRDefault="00D24E61" w:rsidP="00D24E61">
      <w:pPr>
        <w:pStyle w:val="ABNT"/>
        <w:rPr>
          <w:rFonts w:cs="Times New Roman"/>
        </w:rPr>
      </w:pPr>
      <w:r w:rsidRPr="00771368">
        <w:rPr>
          <w:rFonts w:cs="Times New Roman"/>
        </w:rPr>
        <w:t xml:space="preserve">Havia muitas restrições religiosas para as mulheres no judaísmo, principalmente com respeito à menstruação e parto, por causa das leis de pureza. Seu acesso ao Templo era restrito, só chegavam até determinado pátio. Elas eram julgadas incapazes religiosa e sacrificialmente por isso também o eram juridicamente. Na esfera doméstica familiar, elas velavam pela pureza sexual e alimentar, mas o seu papel religioso se restringia a continuação das suas tarefas domésticas, como acender luzes, cozer os pães para o sábado, ou a tarefas que eram consideradas impuras, como fazer a toalete dos mortos e as lamentações, enquanto bênçãos e orações eram reservadas aos homens (ALEXANDRE, 1990, p. 521, 522). </w:t>
      </w:r>
    </w:p>
    <w:p w:rsidR="00D24E61" w:rsidRPr="00771368" w:rsidRDefault="00D24E61" w:rsidP="00D24E61">
      <w:pPr>
        <w:pStyle w:val="ABNT"/>
        <w:rPr>
          <w:rFonts w:cs="Times New Roman"/>
        </w:rPr>
      </w:pPr>
      <w:r w:rsidRPr="00771368">
        <w:rPr>
          <w:rFonts w:cs="Times New Roman"/>
        </w:rPr>
        <w:t xml:space="preserve">Já no movimento de Jesus, segundo os irmãos Stegemann (2004, p. 422-431), a presença de mulheres dificilmente pode ser contestada. O movimento de Jesus era carismático-itinerante, profético-sapiencial, com uma característica realmente revolucionária: não fazia acepção de pessoas, aceitando homens e mulheres, em igualdade, independente de sua posição social ou familiar (TEPEDINO, 1990, p. 69,78). Sendo assim, conquistou grande parte dos seus adeptos do estrato inferior empobrecido da sociedade em que as experiências carismáticas eram frequentes (STEGEMANN, 2004, p. 429), e, no qual, eram encontradas muitas mulheres não casadas (STEGEMANN, 2004, p. 421). </w:t>
      </w:r>
    </w:p>
    <w:p w:rsidR="00D24E61" w:rsidRPr="00771368" w:rsidRDefault="00D24E61" w:rsidP="00D24E61">
      <w:pPr>
        <w:pStyle w:val="ABNT"/>
        <w:rPr>
          <w:rFonts w:cs="Times New Roman"/>
        </w:rPr>
      </w:pPr>
      <w:r w:rsidRPr="00771368">
        <w:rPr>
          <w:rFonts w:cs="Times New Roman"/>
        </w:rPr>
        <w:t xml:space="preserve">Assim, aquelas mulheres que não se encaixam socialmente nos padrões patriarcais, aquelas pobres, viúvas, divorciadas ou sozinhas, encontraram acolhida no movimento de Jesus, além de outras que também abandonaram suas grandes famílias juntamente com seus maridos e que puderam seguir Jesus. Isso se deve ao fato de que, ali, o padrão interno da vida feminina não se baseava na obrigatoriedade do casamento, concepção de filhos e administração da casa, pois as condições para o seguimento eram fé e compromisso com o Reino de Deus. Percebe-se, em muitas passagens, que mulheres do movimento poderiam ser ditas independentes e curadas, embora muitas traduções e a história interpretativa imputem a elas as funções domésticas (SCHOTTROFF, 1995, p. 24; HORSLEY, 2001, p. 206). </w:t>
      </w:r>
    </w:p>
    <w:p w:rsidR="00D24E61" w:rsidRPr="00771368" w:rsidRDefault="00D24E61" w:rsidP="00D24E61">
      <w:pPr>
        <w:pStyle w:val="ABNT"/>
        <w:rPr>
          <w:rFonts w:cs="Times New Roman"/>
        </w:rPr>
      </w:pPr>
      <w:r w:rsidRPr="00771368">
        <w:rPr>
          <w:rFonts w:cs="Times New Roman"/>
        </w:rPr>
        <w:t>Outro aspecto que pode ter colaborado para a participação das mulheres é que muitas tradições trazem imagens do cotidiano das mulheres, mostrando que, possivelmente, desde bem cedo o evangelho esteve próximo à vida das mulheres da época. Há parábolas resgatam o valor do trabalho doméstico das mulheres ao utilizá-los como metáforas para o Reino de Deus.</w:t>
      </w:r>
    </w:p>
    <w:p w:rsidR="00D24E61" w:rsidRPr="00771368" w:rsidRDefault="00D24E61" w:rsidP="00D24E61">
      <w:pPr>
        <w:pStyle w:val="ABNT"/>
        <w:rPr>
          <w:rFonts w:cs="Times New Roman"/>
        </w:rPr>
      </w:pPr>
      <w:r w:rsidRPr="00771368">
        <w:rPr>
          <w:rFonts w:cs="Times New Roman"/>
        </w:rPr>
        <w:t xml:space="preserve">Para Fiorenza (1992, p. 177, 178 e 189), o movimento cristão primitivo era inclusivo e tinha liderança feminina, por isso pode ser classificado como igualitário. Ele desafiava e fazia oposição ao sistema patriarcal dominante através da prática de um discipulado de iguais, onde o papel das mulheres não é periférico ou trivial, é basilar para a solidariedade proposta por Jesus. Jesus e seu movimento libertam aqueles desumanizados, subvertendo as relações humanas e com isso fazendo o mesmo implicitamente às estruturas econômicas patriarcal-androcêntricas. </w:t>
      </w:r>
    </w:p>
    <w:p w:rsidR="00D24E61" w:rsidRPr="007B04EA" w:rsidRDefault="00D24E61" w:rsidP="007B04EA">
      <w:r w:rsidRPr="007B04EA">
        <w:t>Análise da narrativa de Mc 3,20-21.31-35</w:t>
      </w:r>
    </w:p>
    <w:p w:rsidR="00D24E61" w:rsidRPr="00771368" w:rsidRDefault="00D24E61" w:rsidP="00D24E61">
      <w:pPr>
        <w:pStyle w:val="ABNT"/>
        <w:rPr>
          <w:rFonts w:cs="Times New Roman"/>
        </w:rPr>
      </w:pPr>
    </w:p>
    <w:p w:rsidR="00D24E61" w:rsidRPr="00771368" w:rsidRDefault="00D24E61" w:rsidP="00D24E61">
      <w:pPr>
        <w:pStyle w:val="ABNT"/>
        <w:rPr>
          <w:rFonts w:cs="Times New Roman"/>
        </w:rPr>
      </w:pPr>
      <w:r w:rsidRPr="00771368">
        <w:rPr>
          <w:rFonts w:cs="Times New Roman"/>
        </w:rPr>
        <w:t>Na narrativa em Mc 3,20-21.31-35, é a primeira vez que o Evangelho menciona concretamente mãe, irmãs e irmãos de Jesus.</w:t>
      </w:r>
    </w:p>
    <w:p w:rsidR="00D24E61" w:rsidRPr="00771368" w:rsidRDefault="00D24E61" w:rsidP="00D24E61">
      <w:pPr>
        <w:pStyle w:val="citaolonga"/>
        <w:rPr>
          <w:rFonts w:cs="Times New Roman"/>
        </w:rPr>
      </w:pPr>
      <w:r w:rsidRPr="00771368">
        <w:rPr>
          <w:rFonts w:cs="Times New Roman"/>
          <w:vertAlign w:val="superscript"/>
        </w:rPr>
        <w:t>20</w:t>
      </w:r>
      <w:r w:rsidRPr="00771368">
        <w:rPr>
          <w:rFonts w:cs="Times New Roman"/>
        </w:rPr>
        <w:t xml:space="preserve">E voltou para casa. E de novo a multidão se apinhou, de tal modo que não podiam se alimentar. </w:t>
      </w:r>
      <w:r w:rsidRPr="00771368">
        <w:rPr>
          <w:rFonts w:cs="Times New Roman"/>
          <w:vertAlign w:val="superscript"/>
        </w:rPr>
        <w:t>21</w:t>
      </w:r>
      <w:r w:rsidRPr="00771368">
        <w:rPr>
          <w:rFonts w:cs="Times New Roman"/>
        </w:rPr>
        <w:t xml:space="preserve">E quando os seus tomaram conhecimento disso, saíram para detê-lo, porque diziam: “Enlouqueceu!” </w:t>
      </w:r>
      <w:r w:rsidRPr="00771368">
        <w:rPr>
          <w:rFonts w:cs="Times New Roman"/>
          <w:vertAlign w:val="superscript"/>
        </w:rPr>
        <w:t xml:space="preserve">22 </w:t>
      </w:r>
      <w:r w:rsidRPr="00771368">
        <w:rPr>
          <w:rFonts w:cs="Times New Roman"/>
        </w:rPr>
        <w:t xml:space="preserve">E os escribas que haviam descido de Jerusalém diziam: “Está possuído por Beelzebu” e também: “É pelo príncipe dos demônios que expulsa os demônios”. </w:t>
      </w:r>
      <w:r w:rsidRPr="00771368">
        <w:rPr>
          <w:rFonts w:cs="Times New Roman"/>
          <w:vertAlign w:val="superscript"/>
        </w:rPr>
        <w:t>23</w:t>
      </w:r>
      <w:r w:rsidRPr="00771368">
        <w:rPr>
          <w:rFonts w:cs="Times New Roman"/>
        </w:rPr>
        <w:t xml:space="preserve">Chamando-os para junto de si, falou-lhes por parábolas: “” Como pode Satanás expulsar Satanás? </w:t>
      </w:r>
      <w:r w:rsidRPr="00771368">
        <w:rPr>
          <w:rFonts w:cs="Times New Roman"/>
          <w:vertAlign w:val="superscript"/>
        </w:rPr>
        <w:t>24</w:t>
      </w:r>
      <w:r w:rsidRPr="00771368">
        <w:rPr>
          <w:rFonts w:cs="Times New Roman"/>
        </w:rPr>
        <w:t xml:space="preserve">Se um reino se dividir contra si mesmo, tal reino não poderá subsistir. </w:t>
      </w:r>
      <w:r w:rsidRPr="00771368">
        <w:rPr>
          <w:rFonts w:cs="Times New Roman"/>
          <w:vertAlign w:val="superscript"/>
        </w:rPr>
        <w:t>25</w:t>
      </w:r>
      <w:r w:rsidRPr="00771368">
        <w:rPr>
          <w:rFonts w:cs="Times New Roman"/>
        </w:rPr>
        <w:t xml:space="preserve">E se uma casa se dividir contra si mesma, tal casa não poderá se manter. </w:t>
      </w:r>
      <w:r w:rsidRPr="00771368">
        <w:rPr>
          <w:rFonts w:cs="Times New Roman"/>
          <w:vertAlign w:val="superscript"/>
        </w:rPr>
        <w:t>26</w:t>
      </w:r>
      <w:r w:rsidRPr="00771368">
        <w:rPr>
          <w:rFonts w:cs="Times New Roman"/>
        </w:rPr>
        <w:t xml:space="preserve">Ora, se Satanás se atira contra si próprio e se divide, não poderá subsistir, mas acabará. </w:t>
      </w:r>
      <w:r w:rsidRPr="00771368">
        <w:rPr>
          <w:rFonts w:cs="Times New Roman"/>
          <w:vertAlign w:val="superscript"/>
        </w:rPr>
        <w:t>27</w:t>
      </w:r>
      <w:r w:rsidRPr="00771368">
        <w:rPr>
          <w:rFonts w:cs="Times New Roman"/>
        </w:rPr>
        <w:t xml:space="preserve">Ninguém pode entrar na casa de um homem forte e roubar seus pertences, se primeiro não amarrar o homem forte; só então poderá sua casa. </w:t>
      </w:r>
      <w:r w:rsidRPr="00771368">
        <w:rPr>
          <w:rFonts w:cs="Times New Roman"/>
          <w:vertAlign w:val="superscript"/>
        </w:rPr>
        <w:t>28</w:t>
      </w:r>
      <w:r w:rsidRPr="00771368">
        <w:rPr>
          <w:rFonts w:cs="Times New Roman"/>
        </w:rPr>
        <w:t xml:space="preserve">Na verdade eu vos digo: tudo será perdoado aos filhos dos homens, os pecados e todas as blasfêmias que tiverem proferido. </w:t>
      </w:r>
      <w:r w:rsidRPr="00771368">
        <w:rPr>
          <w:rFonts w:cs="Times New Roman"/>
          <w:vertAlign w:val="superscript"/>
        </w:rPr>
        <w:t>29</w:t>
      </w:r>
      <w:r w:rsidRPr="00771368">
        <w:rPr>
          <w:rFonts w:cs="Times New Roman"/>
        </w:rPr>
        <w:t xml:space="preserve">Aquele, porém, que blasfemar contra o Espírito Santo, jamais será perdoado: é culpado de pecado eterno”. </w:t>
      </w:r>
      <w:r w:rsidRPr="00771368">
        <w:rPr>
          <w:rFonts w:cs="Times New Roman"/>
          <w:vertAlign w:val="superscript"/>
        </w:rPr>
        <w:t>30</w:t>
      </w:r>
      <w:r w:rsidRPr="00771368">
        <w:rPr>
          <w:rFonts w:cs="Times New Roman"/>
        </w:rPr>
        <w:t xml:space="preserve">Isto porque diziam: “Está possuído por um espírito impuro”. </w:t>
      </w:r>
      <w:r w:rsidRPr="00771368">
        <w:rPr>
          <w:rFonts w:cs="Times New Roman"/>
          <w:vertAlign w:val="superscript"/>
        </w:rPr>
        <w:t>31</w:t>
      </w:r>
      <w:r w:rsidRPr="00771368">
        <w:rPr>
          <w:rFonts w:cs="Times New Roman"/>
        </w:rPr>
        <w:t xml:space="preserve">Chegaram então sua mãe e seus irmãos e, ficando do lado de fora, mandaram chamá-lo. </w:t>
      </w:r>
      <w:r w:rsidRPr="00771368">
        <w:rPr>
          <w:rFonts w:cs="Times New Roman"/>
          <w:vertAlign w:val="superscript"/>
        </w:rPr>
        <w:t>32</w:t>
      </w:r>
      <w:r w:rsidRPr="00771368">
        <w:rPr>
          <w:rFonts w:cs="Times New Roman"/>
        </w:rPr>
        <w:t xml:space="preserve">Havia uma multidão sentada em torno dele. Disseram-lhe: “Eis que tua mãe, teus irmãos e tuas irmãs estão lá fora e te procuram”. </w:t>
      </w:r>
      <w:r w:rsidRPr="00771368">
        <w:rPr>
          <w:rFonts w:cs="Times New Roman"/>
          <w:vertAlign w:val="superscript"/>
        </w:rPr>
        <w:t>33</w:t>
      </w:r>
      <w:r w:rsidRPr="00771368">
        <w:rPr>
          <w:rFonts w:cs="Times New Roman"/>
        </w:rPr>
        <w:t xml:space="preserve">Ele perguntou: “Quem é minha mãe e meus irmãos?” </w:t>
      </w:r>
      <w:r w:rsidRPr="00771368">
        <w:rPr>
          <w:rFonts w:cs="Times New Roman"/>
          <w:vertAlign w:val="superscript"/>
        </w:rPr>
        <w:t>34</w:t>
      </w:r>
      <w:r w:rsidRPr="00771368">
        <w:rPr>
          <w:rFonts w:cs="Times New Roman"/>
        </w:rPr>
        <w:t xml:space="preserve">E, repassando, com o olhar os que estavam sentados ao seu redor, disse: “Eis a minha mãe,e os meus irmãos. </w:t>
      </w:r>
      <w:r w:rsidRPr="00771368">
        <w:rPr>
          <w:rFonts w:cs="Times New Roman"/>
          <w:vertAlign w:val="superscript"/>
        </w:rPr>
        <w:t>35</w:t>
      </w:r>
      <w:r w:rsidRPr="00771368">
        <w:rPr>
          <w:rFonts w:cs="Times New Roman"/>
        </w:rPr>
        <w:t xml:space="preserve">Quem fizer a vontade de Deus, esse é meu irmão, irmã e mãe”. </w:t>
      </w:r>
    </w:p>
    <w:p w:rsidR="00D24E61" w:rsidRPr="00771368" w:rsidRDefault="00D24E61" w:rsidP="00D24E61">
      <w:pPr>
        <w:pStyle w:val="citaolonga"/>
        <w:rPr>
          <w:rFonts w:cs="Times New Roman"/>
        </w:rPr>
      </w:pPr>
    </w:p>
    <w:p w:rsidR="00D24E61" w:rsidRPr="00771368" w:rsidRDefault="00D24E61" w:rsidP="00D24E61">
      <w:pPr>
        <w:pStyle w:val="ABNT"/>
        <w:rPr>
          <w:rFonts w:cs="Times New Roman"/>
        </w:rPr>
      </w:pPr>
      <w:r w:rsidRPr="00771368">
        <w:rPr>
          <w:rFonts w:cs="Times New Roman"/>
        </w:rPr>
        <w:t>Na estrutura de Marcos, a cena está no final da ação direta de Jesus em campanha de renovação na Galileia, no trecho que trata da adesão ou não a Jesus, coerentemente a sua temática. Trata de conflitos a respeito da adesão e da oposição, no plano político-religioso, com os escribas, no núcleo familiar e na adesão popular, com presença das multidões.</w:t>
      </w:r>
    </w:p>
    <w:p w:rsidR="00D24E61" w:rsidRPr="00771368" w:rsidRDefault="00D24E61" w:rsidP="00D24E61">
      <w:pPr>
        <w:pStyle w:val="ABNT"/>
        <w:rPr>
          <w:rFonts w:cs="Times New Roman"/>
        </w:rPr>
      </w:pPr>
      <w:r w:rsidRPr="00771368">
        <w:rPr>
          <w:rFonts w:cs="Times New Roman"/>
        </w:rPr>
        <w:t xml:space="preserve">Para Joachim Gnilka (1986, p.169) e Joel Marcus (2010, p. 315, 316), a narrativa do conflito com a família é intercalada com um conflito de Jesus com escribas vindos de Jerusalém (3,22-30). A técnica de interpolação coloca em relação os elementos das duas acusações, dos escribas e da família, relação reforçada, ainda, no vocabulário. As acusações são paralelas: ‘os seus [...] diziam: Enlouqueceu’ (3.21) e ‘os escribas [...] diziam: Está possuído por Belzebu, e pelo príncipe dos demônios expulsa os demônios’ (3.22). Mais tarde, a família de Jesus chega para ‘prendê-lo’, palavra utilizada por Marcos com referência a eventos políticos (MYERS, 1992, p. 212). Tanto o não entendimento da família como a acusação dos escribas apresentam uma conotação política de oposição à implantação do Reino de Deus. “A campanha de Cafarnaum termina com este duplo contra-ataque a Jesus: para toda sua família ele é louco, para seus adversários políticos ele é demoníaco” (MYERS, 1992, p. 208). </w:t>
      </w:r>
    </w:p>
    <w:p w:rsidR="00D24E61" w:rsidRPr="00771368" w:rsidRDefault="00D24E61" w:rsidP="00D24E61">
      <w:pPr>
        <w:pStyle w:val="ABNT"/>
        <w:rPr>
          <w:rFonts w:cs="Times New Roman"/>
        </w:rPr>
      </w:pPr>
      <w:r w:rsidRPr="00771368">
        <w:rPr>
          <w:rFonts w:cs="Times New Roman"/>
        </w:rPr>
        <w:t>Conforme Joachim Gnilka (1986, p. 169), estruturalmente, esse trecho da narrativa se organiza da seguinte forma:</w:t>
      </w:r>
    </w:p>
    <w:p w:rsidR="00D24E61" w:rsidRPr="00771368" w:rsidRDefault="00D24E61" w:rsidP="00FA0ABA">
      <w:pPr>
        <w:pStyle w:val="ABNT"/>
        <w:numPr>
          <w:ilvl w:val="0"/>
          <w:numId w:val="42"/>
        </w:numPr>
        <w:rPr>
          <w:rFonts w:cs="Times New Roman"/>
        </w:rPr>
      </w:pPr>
      <w:r w:rsidRPr="00771368">
        <w:rPr>
          <w:rFonts w:cs="Times New Roman"/>
        </w:rPr>
        <w:t xml:space="preserve">v. 20 – Jesus e os discípulos chegam à casa seguidos pela multidão; </w:t>
      </w:r>
    </w:p>
    <w:p w:rsidR="00D24E61" w:rsidRPr="00771368" w:rsidRDefault="00D24E61" w:rsidP="00FA0ABA">
      <w:pPr>
        <w:pStyle w:val="ABNT"/>
        <w:numPr>
          <w:ilvl w:val="0"/>
          <w:numId w:val="42"/>
        </w:numPr>
        <w:rPr>
          <w:rFonts w:cs="Times New Roman"/>
        </w:rPr>
      </w:pPr>
      <w:r w:rsidRPr="00771368">
        <w:rPr>
          <w:rFonts w:cs="Times New Roman"/>
        </w:rPr>
        <w:t>v. 21 – Os seus saem no seu encalço;</w:t>
      </w:r>
    </w:p>
    <w:p w:rsidR="00D24E61" w:rsidRPr="00771368" w:rsidRDefault="00D24E61" w:rsidP="00FA0ABA">
      <w:pPr>
        <w:pStyle w:val="ABNT"/>
        <w:numPr>
          <w:ilvl w:val="0"/>
          <w:numId w:val="42"/>
        </w:numPr>
        <w:rPr>
          <w:rFonts w:cs="Times New Roman"/>
        </w:rPr>
      </w:pPr>
      <w:r w:rsidRPr="00771368">
        <w:rPr>
          <w:rFonts w:cs="Times New Roman"/>
        </w:rPr>
        <w:t>v. 22 – Os escribas chegam à casa e o acusam de aliança com Satanás;</w:t>
      </w:r>
    </w:p>
    <w:p w:rsidR="00D24E61" w:rsidRPr="00771368" w:rsidRDefault="00D24E61" w:rsidP="00FA0ABA">
      <w:pPr>
        <w:pStyle w:val="ABNT"/>
        <w:numPr>
          <w:ilvl w:val="0"/>
          <w:numId w:val="42"/>
        </w:numPr>
        <w:rPr>
          <w:rFonts w:cs="Times New Roman"/>
        </w:rPr>
      </w:pPr>
      <w:r w:rsidRPr="00771368">
        <w:rPr>
          <w:rFonts w:cs="Times New Roman"/>
        </w:rPr>
        <w:t>v. 23-30 – Jesus reage aos escribas;</w:t>
      </w:r>
    </w:p>
    <w:p w:rsidR="00D24E61" w:rsidRPr="00771368" w:rsidRDefault="00D24E61" w:rsidP="00FA0ABA">
      <w:pPr>
        <w:pStyle w:val="ABNT"/>
        <w:numPr>
          <w:ilvl w:val="0"/>
          <w:numId w:val="42"/>
        </w:numPr>
        <w:rPr>
          <w:rFonts w:cs="Times New Roman"/>
        </w:rPr>
      </w:pPr>
      <w:r w:rsidRPr="00771368">
        <w:rPr>
          <w:rFonts w:cs="Times New Roman"/>
        </w:rPr>
        <w:t>v. 31-32 – A família de Jesus chega à casa;</w:t>
      </w:r>
    </w:p>
    <w:p w:rsidR="00D24E61" w:rsidRPr="00771368" w:rsidRDefault="00D24E61" w:rsidP="00FA0ABA">
      <w:pPr>
        <w:pStyle w:val="ABNT"/>
        <w:numPr>
          <w:ilvl w:val="0"/>
          <w:numId w:val="42"/>
        </w:numPr>
        <w:rPr>
          <w:rFonts w:cs="Times New Roman"/>
        </w:rPr>
      </w:pPr>
      <w:r w:rsidRPr="00771368">
        <w:rPr>
          <w:rFonts w:cs="Times New Roman"/>
        </w:rPr>
        <w:t>v. 33-35 – Jesus reage à chegada deles.</w:t>
      </w:r>
    </w:p>
    <w:p w:rsidR="00D24E61" w:rsidRPr="00771368" w:rsidRDefault="00D24E61" w:rsidP="00D24E61">
      <w:pPr>
        <w:pStyle w:val="ABNT"/>
        <w:rPr>
          <w:rFonts w:cs="Times New Roman"/>
        </w:rPr>
      </w:pPr>
      <w:r w:rsidRPr="00771368">
        <w:rPr>
          <w:rFonts w:cs="Times New Roman"/>
        </w:rPr>
        <w:t>Já para Joel Marcus (2010, p. 316) a estrutura é concêntrica com núcleo na parábola do homem forte:</w:t>
      </w:r>
    </w:p>
    <w:p w:rsidR="00D24E61" w:rsidRPr="00771368" w:rsidRDefault="00D24E61" w:rsidP="00FA0ABA">
      <w:pPr>
        <w:pStyle w:val="ABNT"/>
        <w:numPr>
          <w:ilvl w:val="0"/>
          <w:numId w:val="42"/>
        </w:numPr>
        <w:rPr>
          <w:rFonts w:cs="Times New Roman"/>
        </w:rPr>
      </w:pPr>
      <w:r w:rsidRPr="00771368">
        <w:rPr>
          <w:rFonts w:cs="Times New Roman"/>
        </w:rPr>
        <w:t xml:space="preserve">v.20, 21 – parentes de Jesus; </w:t>
      </w:r>
    </w:p>
    <w:p w:rsidR="00D24E61" w:rsidRPr="00771368" w:rsidRDefault="00D24E61" w:rsidP="00FA0ABA">
      <w:pPr>
        <w:pStyle w:val="ABNT"/>
        <w:numPr>
          <w:ilvl w:val="0"/>
          <w:numId w:val="42"/>
        </w:numPr>
        <w:rPr>
          <w:rFonts w:cs="Times New Roman"/>
        </w:rPr>
      </w:pPr>
      <w:r w:rsidRPr="00771368">
        <w:rPr>
          <w:rFonts w:cs="Times New Roman"/>
        </w:rPr>
        <w:t>v. 23-26 – acusação de Jesus como agente diabólico;</w:t>
      </w:r>
    </w:p>
    <w:p w:rsidR="00D24E61" w:rsidRPr="00771368" w:rsidRDefault="00D24E61" w:rsidP="00FA0ABA">
      <w:pPr>
        <w:pStyle w:val="ABNT"/>
        <w:numPr>
          <w:ilvl w:val="0"/>
          <w:numId w:val="42"/>
        </w:numPr>
        <w:rPr>
          <w:rFonts w:cs="Times New Roman"/>
        </w:rPr>
      </w:pPr>
      <w:r w:rsidRPr="00771368">
        <w:rPr>
          <w:rFonts w:cs="Times New Roman"/>
        </w:rPr>
        <w:t>v. 27 – parábola do homem forte</w:t>
      </w:r>
    </w:p>
    <w:p w:rsidR="00D24E61" w:rsidRPr="00771368" w:rsidRDefault="00D24E61" w:rsidP="00FA0ABA">
      <w:pPr>
        <w:pStyle w:val="ABNT"/>
        <w:numPr>
          <w:ilvl w:val="0"/>
          <w:numId w:val="42"/>
        </w:numPr>
        <w:rPr>
          <w:rFonts w:cs="Times New Roman"/>
        </w:rPr>
      </w:pPr>
      <w:r w:rsidRPr="00771368">
        <w:rPr>
          <w:rFonts w:cs="Times New Roman"/>
        </w:rPr>
        <w:t>v. 28-30 – acusação de Jesus como agente diabólico;</w:t>
      </w:r>
    </w:p>
    <w:p w:rsidR="00D24E61" w:rsidRPr="00771368" w:rsidRDefault="00D24E61" w:rsidP="00FA0ABA">
      <w:pPr>
        <w:pStyle w:val="ABNT"/>
        <w:numPr>
          <w:ilvl w:val="0"/>
          <w:numId w:val="42"/>
        </w:numPr>
        <w:rPr>
          <w:rFonts w:cs="Times New Roman"/>
        </w:rPr>
      </w:pPr>
      <w:r w:rsidRPr="00771368">
        <w:rPr>
          <w:rFonts w:cs="Times New Roman"/>
        </w:rPr>
        <w:t xml:space="preserve">v. 31-32 – os parentes de Jesus; </w:t>
      </w:r>
    </w:p>
    <w:p w:rsidR="00D24E61" w:rsidRPr="00771368" w:rsidRDefault="00D24E61" w:rsidP="00D24E61">
      <w:pPr>
        <w:pStyle w:val="ABNT"/>
        <w:rPr>
          <w:rFonts w:cs="Times New Roman"/>
        </w:rPr>
      </w:pPr>
      <w:r w:rsidRPr="00771368">
        <w:rPr>
          <w:rFonts w:cs="Times New Roman"/>
        </w:rPr>
        <w:t xml:space="preserve">O foco desta análise é parte da cena relativa a Jesus e a sua família, em busca das relações entre Jesus e as mulheres, mas é preciso fazer referências e algumas análises sobre o trecho da controvérsia com os escribas, pois ele ilumina a parte de interesse. O trecho com os escribas dá continuidade a uma série de conflitos com os oponentes de Jesus. A cena precisa ser entendida nesse pano de fundo, mas acrescenta a esses conflitos um diferente: agora é a própria família de Jesus que se coloca contra ele. </w:t>
      </w:r>
    </w:p>
    <w:p w:rsidR="00D24E61" w:rsidRPr="00771368" w:rsidRDefault="00D24E61" w:rsidP="00D24E61">
      <w:pPr>
        <w:pStyle w:val="ABNT"/>
        <w:rPr>
          <w:rFonts w:cs="Times New Roman"/>
        </w:rPr>
      </w:pPr>
      <w:r w:rsidRPr="00771368">
        <w:rPr>
          <w:rFonts w:cs="Times New Roman"/>
        </w:rPr>
        <w:t>A técnica de interpolação das histórias usada por Marcos coloca em relação os elementos representados pelas duas acusações, dos escribas e da família, relação reforçada, ainda, por essa utilização de vocabulário. As suas acusações são paralelas: ‘os seus [...] diziam: Está fora de si’ (3.21) e ‘os escribas [...] diziam: Tem Belzebu, e pelo príncipe dos demônios expulsa os demônios’ (3.22). Mais tarde, a família de Jesus chega para prendê-lo, palavra utilizada por Marcos com referência a eventos políticos (MYERS, 1992, p. 212). Tanto o não entendimento da família como a acusação dos escribas apresentam uma conotação política de oposição à implantação do Reino de Deus. “A campanha de Cafarnaum termina com este duplo contra-ataque a Jesus: para toda sua família ele é louco, para seus adversários políticos ele é demoníaco” (MYERS, 1992, p. 208).</w:t>
      </w:r>
    </w:p>
    <w:p w:rsidR="00D24E61" w:rsidRPr="00771368" w:rsidRDefault="00D24E61" w:rsidP="00D24E61">
      <w:pPr>
        <w:pStyle w:val="ABNT"/>
        <w:rPr>
          <w:rFonts w:cs="Times New Roman"/>
        </w:rPr>
      </w:pPr>
      <w:r w:rsidRPr="00771368">
        <w:rPr>
          <w:rFonts w:cs="Times New Roman"/>
        </w:rPr>
        <w:t>A narrativa dá um salto qualitativo na questão da hostilidade contra Jesus: sua família acha que ele deve ser detido em sua missão, pois fora longe demais. Se encarada como preocupação com a perseguição, tal atitude se dá muito tarde, pois já havia reações de Jerusalém, com envio de agentes que levantaram calúnias e difamações (MYERS, 1992, p. 208). Outra forma de compreender tal hostilidade é que a atividade e comportamento de Jesus fugindo a modelos comuns poderia comprometer o bom nome de seu clã familiar (FABRIS, 1990, p. 456). Porém não há indicação no texto que a família soubesse da oposição dos escribas, ou que houvesse algum problema com a honra familiar danificada. O seu não entendimento pode ser interpretado como preocupação com o fato de Jesus não poder alimentar-se e isso ser provocado por alguma espécie de insanidade (MILLER, 2002, p. 48, 49). Também não há indicação no texto que a família soubesse da oposição dos escribas, ou de algum problema com a honra familiar danificada. Seja qual for a motivação, família e escribas são colocados em paralelo e podem ser vistos como aqueles que blasfemam contra o Espírito.</w:t>
      </w:r>
    </w:p>
    <w:p w:rsidR="00D24E61" w:rsidRPr="00771368" w:rsidRDefault="00D24E61" w:rsidP="00D24E61">
      <w:pPr>
        <w:pStyle w:val="ABNT"/>
        <w:rPr>
          <w:rFonts w:cs="Times New Roman"/>
        </w:rPr>
      </w:pPr>
      <w:r w:rsidRPr="00771368">
        <w:rPr>
          <w:rFonts w:cs="Times New Roman"/>
        </w:rPr>
        <w:t>Em termos de análise espacial, a ação dá em uma casa da região rural da Galileia, após intensa movimentação entre sinagoga, casa, idas para o mar e montes. A localidade da casa não é explicitada na narrativa e nem seus proprietários. Ao que parece, toda a campanha dessa seção do texto se localiza nas vizinhanças da Cafarnaum, que se configura um ambiente propício como centro da missão. Ali, o ambiente doméstico aparece como lugar de ensino e de redefinir aquilo que importa para as comunidades do movimento de Jesus. Porém, mais do que um ambiente doméstico de poucas pessoas relacionadas, ele é agora aberto para abrigar um grande grupo que vinha seguindo a Jesus para instrução. A casa torna-se um espaço social importante no movimento de Jesus. Além disso, o ambiente da casa, como parábola do Reino, reforça a ideia de quem está dentro ou fora do projeto do Reino. Ainda que isso apareça com dubiedade, pois os escribas também estão dentro da casa no momento da acusação. Mas não é Jesus que impede a entrada dos seus, ele apenas não sai a recebê-los, eles já não o acompanhavam, demonstrando já uma espécie de cisão. A casa não é ambiente de exclusão, mas evidência de quem está ou não engajado no Reino.</w:t>
      </w:r>
    </w:p>
    <w:p w:rsidR="00D24E61" w:rsidRPr="00771368" w:rsidRDefault="00D24E61" w:rsidP="00D24E61">
      <w:pPr>
        <w:pStyle w:val="ABNT"/>
        <w:rPr>
          <w:rFonts w:cs="Times New Roman"/>
        </w:rPr>
      </w:pPr>
      <w:r w:rsidRPr="00771368">
        <w:rPr>
          <w:rFonts w:cs="Times New Roman"/>
        </w:rPr>
        <w:t>A localização temporal da cena não é clara, ela ocorre depois da designação dos 12 discípulos, e é, a pouco, precedida de um sumário de atividades de Jesus (3,7-12), mas não há evidências que identifiquem o tempo em que transcorre a ação.</w:t>
      </w:r>
    </w:p>
    <w:p w:rsidR="00D24E61" w:rsidRPr="00771368" w:rsidRDefault="00D24E61" w:rsidP="00D24E61">
      <w:pPr>
        <w:pStyle w:val="ABNT"/>
        <w:rPr>
          <w:rFonts w:cs="Times New Roman"/>
        </w:rPr>
      </w:pPr>
      <w:r w:rsidRPr="00771368">
        <w:rPr>
          <w:rFonts w:cs="Times New Roman"/>
        </w:rPr>
        <w:t>Quanto aos personagens, o redator usa personagens-tipo: multidão, escribas, família são grupos de personagens e têm papéis importantes na narrativa, mas não são pessoas bem definidas. Eles apresentam poucas características simples e evoluem pouco ou não evoluem</w:t>
      </w:r>
      <w:r w:rsidRPr="00771368">
        <w:rPr>
          <w:rStyle w:val="Refdenotaderodap"/>
          <w:rFonts w:cs="Times New Roman"/>
        </w:rPr>
        <w:footnoteReference w:id="112"/>
      </w:r>
      <w:r w:rsidRPr="00771368">
        <w:rPr>
          <w:rFonts w:cs="Times New Roman"/>
        </w:rPr>
        <w:t xml:space="preserve">. A multidão mostra o crescimento do movimento de Jesus. Os escribas representam a oposição vinda da cidade. A família tem personagens mais definidos, a mãe e os irmãos, incrementam essa oposição, mostrando que ela pode vir de qualquer lugar, inclusive dos mais próximos. </w:t>
      </w:r>
    </w:p>
    <w:p w:rsidR="00D24E61" w:rsidRPr="00771368" w:rsidRDefault="00D24E61" w:rsidP="00D24E61">
      <w:pPr>
        <w:pStyle w:val="ABNT"/>
        <w:rPr>
          <w:rFonts w:cs="Times New Roman"/>
        </w:rPr>
      </w:pPr>
      <w:r w:rsidRPr="00771368">
        <w:rPr>
          <w:rFonts w:cs="Times New Roman"/>
        </w:rPr>
        <w:t>Somente Jesus, o protagonista, é nomeado. Embora se especifique que os parentes de Jesus são mãe e irmãos, não se dá nome a eles, isso reforça a ideia de relações familiares mais genéricas. Ao seu lado, estão provavelmente discípulos, embora não destacados na cena, e, agora que o movimento se expandiu e multidões o seguiam, também um grande grupo de seguidores e seguidoras que o acompanhara até casa, tal grupo é caracterizado apenas pelo seguimento. Nesta cena, mulheres estão claramente meio à multidão de seguidores, pois Jesus se refere às irmãs que fazem a vontade de Deus.</w:t>
      </w:r>
    </w:p>
    <w:p w:rsidR="00D24E61" w:rsidRPr="00771368" w:rsidRDefault="00D24E61" w:rsidP="00D24E61">
      <w:pPr>
        <w:pStyle w:val="ABNT"/>
        <w:rPr>
          <w:rFonts w:cs="Times New Roman"/>
        </w:rPr>
      </w:pPr>
      <w:r w:rsidRPr="00771368">
        <w:rPr>
          <w:rFonts w:cs="Times New Roman"/>
        </w:rPr>
        <w:t>Também aumentou a dimensão dos seus opositores, estes incluíam fariseus, escribas e herodianos que já tramavam matar Jesus, somam-se agora os parentes e os escribas vindos de Jerusalém. Estes se caracterizam por lançar calúnia contra Jesus, acusando de participar das forças do mal. Isso configura uma estratégia de neutralização da influência de Jesus por parte da hegemonia ameaçada, que, se colocando como representante de Deus, em guerra política de mitos, identifica-o “com o arquidemônio cultural mítico” (MYERS, 1992, p. 208).</w:t>
      </w:r>
    </w:p>
    <w:p w:rsidR="00D24E61" w:rsidRPr="00771368" w:rsidRDefault="00D24E61" w:rsidP="00D24E61">
      <w:pPr>
        <w:pStyle w:val="ABNT"/>
        <w:rPr>
          <w:rFonts w:cs="Times New Roman"/>
        </w:rPr>
      </w:pPr>
      <w:r w:rsidRPr="00771368">
        <w:rPr>
          <w:rFonts w:cs="Times New Roman"/>
        </w:rPr>
        <w:t>Há uma evolução na apresentação que vai definindo os membros da família de Jesus. Iniciando em Mc 3,21 com a expressão indeterminada ‘os seus’ e concluindo com mãe, irmãos e irmãs em Mc 3,35. Para Adela Yarbro Collins (2007, p.226), a expressão ‘os seus’ significa aqueles intimamente conectados como família ou parentes. Ainda assim, ela continua indeterminada, pois não explicita quem eram essas pessoas íntimas. Para Ivoni Richter Reimer (2012, p.100), a expressão pode incluir parentes, mas não remete necessariamente ao parentesco sanguíneo, podendo se referir a conterrâneos e enviados e “à pertença por amizade e projeto religioso social” (RICHTER REIMER, 2012, p. 100)</w:t>
      </w:r>
      <w:r w:rsidRPr="00771368">
        <w:rPr>
          <w:rFonts w:cs="Times New Roman"/>
          <w:vertAlign w:val="superscript"/>
        </w:rPr>
        <w:footnoteReference w:id="113"/>
      </w:r>
      <w:r w:rsidRPr="00771368">
        <w:rPr>
          <w:rFonts w:cs="Times New Roman"/>
        </w:rPr>
        <w:t>. Do lado de fora da casa, encontram-se ‘os seus’, introduzidos no início da cena, mãe e irmãos de Jesus que vinham retirá-lo de sua missão preocupados que estivesse fora de si, se colocando contra sua atuação em prol do Reino. Quando chegam à casa (v. 31), agora um pouco mais definidos, não se sabe ainda se entre os irmãos estão presentes mulheres. Quando os parentes são anunciados a Jesus em 3,32, há variações. Alguns manuscritos (A e D) incluem as irmãs, outros mais antigos não as incluem (MILLER, 2002, p. 46). No início da reação de Jesus, ele não menciona especificamente as irmãs, mas o faz ao indicar que quem faz a vontade de Deus é sua mãe, irmão e irmã. Como chegada e ápice da evolução está a família redefinida de Jesus.</w:t>
      </w:r>
    </w:p>
    <w:p w:rsidR="00D24E61" w:rsidRPr="00771368" w:rsidRDefault="00D24E61" w:rsidP="00D24E61">
      <w:pPr>
        <w:pStyle w:val="ABNT"/>
        <w:rPr>
          <w:rFonts w:cs="Times New Roman"/>
        </w:rPr>
      </w:pPr>
      <w:r w:rsidRPr="00771368">
        <w:rPr>
          <w:rFonts w:cs="Times New Roman"/>
        </w:rPr>
        <w:t>Percebe-se, que “a atitude de alienação entre Jesus e a sua família é mútua e ele se recusa a vê-los (3,33). Se eles não conseguem aceitar a sua vocação, ele também não pode reconhecer o parentesco com eles” (MYERS, 1992, p, 2012). A pergunta dirigida à multidão em 3,33 aumenta o contraste entre o comportamento da família consanguínea de Jesus e as ações daqueles homens e mulheres que o ouvem. A sua família permanece do lado de fora, enquanto a multidão do lado de dentro da casa é digna da sua atenção. A família de Jesus é citada no capítulo 6, mas não interage mais com Jesus, que a passa a um contexto relacional comunitário com seus seguidores.</w:t>
      </w:r>
    </w:p>
    <w:p w:rsidR="00D24E61" w:rsidRPr="00771368" w:rsidRDefault="00D24E61" w:rsidP="00D24E61">
      <w:pPr>
        <w:pStyle w:val="ABNT"/>
        <w:rPr>
          <w:rFonts w:cs="Times New Roman"/>
        </w:rPr>
      </w:pPr>
      <w:r w:rsidRPr="00771368">
        <w:rPr>
          <w:rFonts w:cs="Times New Roman"/>
        </w:rPr>
        <w:t xml:space="preserve">A cena coloca duas peripécias: a discussão com os escribas, que adia e dá tempo à segunda peripécia, a família de Jesus que chega para detê-lo. Ambas motivam a reação de Jesus em discurso, para ensinamento também da multidão que assistia à cena. Esses discursos produzem as duas alternâncias de turno, quando o a voz é transferida do narrador onisciente em terceira pessoa para Jesus (3,23-29.33-35). Enquanto muito do que ele ensinava permanece oculto ao longo do Evangelho, a cena chama a atenção para suas palavras aos escribas e ao grupo. É um recurso de redução de passo: o tempo que parecia correr rápido fica mais lento no discurso. Portanto em, termos de foco, o texto se constrói sobre dois pontos: a reação de Jesus contra a acusação de agir por força demoníaca e a redefinição da família. </w:t>
      </w:r>
    </w:p>
    <w:p w:rsidR="00D24E61" w:rsidRPr="00771368" w:rsidRDefault="00D24E61" w:rsidP="00D24E61">
      <w:pPr>
        <w:pStyle w:val="ABNT"/>
        <w:rPr>
          <w:rFonts w:cs="Times New Roman"/>
        </w:rPr>
      </w:pPr>
      <w:r w:rsidRPr="00771368">
        <w:rPr>
          <w:rFonts w:cs="Times New Roman"/>
        </w:rPr>
        <w:t>Em reação ao não entendimento dos seus parentes com relação a sua missão,</w:t>
      </w:r>
    </w:p>
    <w:p w:rsidR="00D24E61" w:rsidRPr="00771368" w:rsidRDefault="00D24E61" w:rsidP="00D24E61">
      <w:pPr>
        <w:pStyle w:val="citaolonga"/>
        <w:rPr>
          <w:rFonts w:cs="Times New Roman"/>
        </w:rPr>
      </w:pPr>
    </w:p>
    <w:p w:rsidR="00D24E61" w:rsidRPr="00771368" w:rsidRDefault="00D24E61" w:rsidP="00D24E61">
      <w:pPr>
        <w:pStyle w:val="citaolonga"/>
        <w:rPr>
          <w:rFonts w:cs="Times New Roman"/>
        </w:rPr>
      </w:pPr>
      <w:r w:rsidRPr="00771368">
        <w:rPr>
          <w:rFonts w:cs="Times New Roman"/>
        </w:rPr>
        <w:t>Jesus se sente próximo e familiar de todos que se deixam envolver no seu próprio projeto: a multidão, os discípulos. Jesus não fundou uma dinastia religiosa; o grau de parentesco não é título para fazer parte da nova comunidade, mas unicamente o empenho total no próprio projeto de Deus, um projeto que requer fidelidade até à morte violenta (FABRIS, 1990, p. 456).</w:t>
      </w:r>
    </w:p>
    <w:p w:rsidR="00D24E61" w:rsidRPr="00771368" w:rsidRDefault="00D24E61" w:rsidP="00D24E61">
      <w:pPr>
        <w:pStyle w:val="citaolonga"/>
        <w:rPr>
          <w:rFonts w:cs="Times New Roman"/>
        </w:rPr>
      </w:pPr>
    </w:p>
    <w:p w:rsidR="00D24E61" w:rsidRPr="00771368" w:rsidRDefault="00D24E61" w:rsidP="00D24E61">
      <w:pPr>
        <w:pStyle w:val="ABNT"/>
        <w:rPr>
          <w:rFonts w:cs="Times New Roman"/>
        </w:rPr>
      </w:pPr>
      <w:r w:rsidRPr="00771368">
        <w:rPr>
          <w:rFonts w:cs="Times New Roman"/>
        </w:rPr>
        <w:t xml:space="preserve">Para Collins (2007, p. 236, 237), a cena não registra um incidente na vida de Jesus, mas marca que fazer a vontade de Deus é mais importante que relações pessoais com a família consanguínea. Sugere também que ouvir a Jesus (ou a tradição sobre ele) é o caminho para discernir a vontade de Deus. E que comunidades de seguidores de Jesus eram famílias metafóricas com fronteira entre eles e os que permanecem fora, como sua mãe e irmãos, naquele momento. Essa ideia da existência de </w:t>
      </w:r>
      <w:r w:rsidRPr="00771368">
        <w:rPr>
          <w:rFonts w:cs="Times New Roman"/>
          <w:i/>
          <w:iCs/>
        </w:rPr>
        <w:t>insiders</w:t>
      </w:r>
      <w:r w:rsidRPr="00771368">
        <w:rPr>
          <w:rFonts w:cs="Times New Roman"/>
        </w:rPr>
        <w:t xml:space="preserve"> e </w:t>
      </w:r>
      <w:r w:rsidRPr="00771368">
        <w:rPr>
          <w:rFonts w:cs="Times New Roman"/>
          <w:i/>
          <w:iCs/>
        </w:rPr>
        <w:t>outsiders</w:t>
      </w:r>
      <w:r w:rsidRPr="00771368">
        <w:rPr>
          <w:rFonts w:cs="Times New Roman"/>
        </w:rPr>
        <w:t xml:space="preserve"> é reforçada pelo conflito com os escribas intercalado na cena nos versos 22-30. Segundo a autora, a passagem reflete ou legitima a</w:t>
      </w:r>
      <w:r w:rsidRPr="00771368">
        <w:rPr>
          <w:rFonts w:cs="Times New Roman"/>
          <w:i/>
          <w:iCs/>
        </w:rPr>
        <w:t xml:space="preserve"> </w:t>
      </w:r>
      <w:r w:rsidRPr="00771368">
        <w:rPr>
          <w:rFonts w:cs="Times New Roman"/>
        </w:rPr>
        <w:t>desviância ou relativização das normas sociais que os membros da audiência experimentaram quando se mudaram de comunidades baseadas em laços de parentesco e identidade étnica tradicional para associações voluntárias de seguidores de Jesus, baseadas no modelo social da família mediterrânea antiga.</w:t>
      </w:r>
    </w:p>
    <w:p w:rsidR="00D24E61" w:rsidRPr="007B04EA" w:rsidRDefault="00D24E61" w:rsidP="007B04EA">
      <w:r w:rsidRPr="007B04EA">
        <w:t>A Família Redefinida</w:t>
      </w:r>
    </w:p>
    <w:p w:rsidR="00D24E61" w:rsidRPr="00771368" w:rsidRDefault="00D24E61" w:rsidP="00D24E61"/>
    <w:p w:rsidR="00D24E61" w:rsidRPr="00771368" w:rsidRDefault="00D24E61" w:rsidP="00D24E61">
      <w:pPr>
        <w:pStyle w:val="ABNT"/>
        <w:rPr>
          <w:rFonts w:cs="Times New Roman"/>
        </w:rPr>
      </w:pPr>
      <w:r w:rsidRPr="00771368">
        <w:rPr>
          <w:rFonts w:cs="Times New Roman"/>
        </w:rPr>
        <w:t xml:space="preserve">O discurso de Jesus deliberadamente inclui as irmãs na família, assim, Jesus retira as mulheres do anonimato, dando-lhes visibilidade dentro do movimento. Elas deixam de simplesmente fazer parte da multidão, têm um lugar de igualdade dentro do movimento de Jesus, são irmãs e mães, junto com os homens, os irmãos. Para Miller (2002, p. 57), essa caracterização positiva dentro do grupo que escuta Jesus, sugere que as mulheres tinham um papel proeminente na comunidade de Marcos. </w:t>
      </w:r>
    </w:p>
    <w:p w:rsidR="00D24E61" w:rsidRPr="00771368" w:rsidRDefault="00D24E61" w:rsidP="00D24E61">
      <w:pPr>
        <w:pStyle w:val="ABNT"/>
        <w:rPr>
          <w:rFonts w:cs="Times New Roman"/>
        </w:rPr>
      </w:pPr>
      <w:r w:rsidRPr="00771368">
        <w:rPr>
          <w:rFonts w:cs="Times New Roman"/>
        </w:rPr>
        <w:t>A inclusão das irmãs nos componentes da família metafórica sublinha ainda mais que a família redefinida não apresenta um pai. Tal ausência não pode ser explicada por referências à biografia de Jesus</w:t>
      </w:r>
      <w:r w:rsidRPr="00771368">
        <w:rPr>
          <w:rStyle w:val="Refdenotaderodap"/>
          <w:rFonts w:cs="Times New Roman"/>
        </w:rPr>
        <w:footnoteReference w:id="114"/>
      </w:r>
      <w:r w:rsidRPr="00771368">
        <w:rPr>
          <w:rFonts w:cs="Times New Roman"/>
        </w:rPr>
        <w:t xml:space="preserve">, seja a ausência de um pai terreno ou por entender que se trata de uma referência a Deus como seu verdadeiro pai (FIORENZA, 1992, p. 183). Tampouco ela deve ser entendida como a introdução de uma relação mais direta com Deus de forma que ele seja entendido pelos seguidores de Jesus como verdadeiro pai. Pois o uso dessa terminologia não é tipicamente marcano, e aparece somente nas referências ao título Filho do Homem (8,38 e 13,32) e na cena do Getsêmani (HORSLEY, 2001, p. 224, 225). O que a exclusão do pai parece realmente representar é que as “mulheres, filhas, e filhos não estão mais sob um </w:t>
      </w:r>
      <w:r w:rsidRPr="00771368">
        <w:rPr>
          <w:rFonts w:cs="Times New Roman"/>
          <w:i/>
          <w:iCs/>
        </w:rPr>
        <w:t>pater potesta</w:t>
      </w:r>
      <w:r w:rsidRPr="00771368">
        <w:rPr>
          <w:rFonts w:cs="Times New Roman"/>
        </w:rPr>
        <w:t xml:space="preserve">s; não há mais lugar para o pai como </w:t>
      </w:r>
      <w:r w:rsidRPr="00771368">
        <w:rPr>
          <w:rFonts w:cs="Times New Roman"/>
          <w:i/>
          <w:iCs/>
        </w:rPr>
        <w:t>pater famílias</w:t>
      </w:r>
      <w:r w:rsidRPr="00771368">
        <w:rPr>
          <w:rFonts w:cs="Times New Roman"/>
        </w:rPr>
        <w:t xml:space="preserve">, apenas como irmão, ou seja, ele não tem poder de marido” (STRÖHER, 1998, p. 55) sobre a mulher, crianças, bens e propriedades. O que se concretiza, nessa redefinição, é um resgate do papel das mulheres, como mães e irmãs, e dos filhos que são agora sujeitos religiosos. “[Ao] mesmo tempo, novos laços familiares surgem a partir das pessoas que estão juntas no discipulado. [...] Toda relação familiar é colocada sob novas dimensões. A nova família é paradigma para o discipulado” (STRÖHER, 1998, p. 55). </w:t>
      </w:r>
    </w:p>
    <w:p w:rsidR="00D24E61" w:rsidRPr="00771368" w:rsidRDefault="00D24E61" w:rsidP="00D24E61">
      <w:pPr>
        <w:pStyle w:val="ABNT"/>
        <w:rPr>
          <w:rFonts w:cs="Times New Roman"/>
        </w:rPr>
      </w:pPr>
      <w:r w:rsidRPr="00771368">
        <w:rPr>
          <w:rFonts w:cs="Times New Roman"/>
        </w:rPr>
        <w:t>Ivoni Richter Reimer (2012, p. 101, 102) complementa essa ideia afirmando que Jesus redefine a unidade básica da sociedade, a quem as necessidades e desejos individuais eram submetidos, o que torna a passagem é extremamente radical. A família deixa de ser restrita ao parentesco e é substituída, é ampliada com o critério de que se faça a vontade de Deus. É, agora, relacionada à concretização do Reino de Deus e, a partir desse texto, colocada em oposição à atuação demoníaca. No mesmo sentido, Myers (1992, p. 212) acrescenta que, visto a importância do parentesco para o mundo social mediterrâneo antigo e o papel da estrutura familiar na personalidade e identidade antiga, controlando aspectos vocacionais e a socialização, Marcos entende no parentesco a base da ordem social que Jesus lutava para derrubar. Com a redefinição da família, um novo modelo baseado na obediência e não nas relações sanguíneas e no patriarcado completa “o desafio de Jesus às estruturas de autoridade tradicional da sociedade palestina”. A nova família não patriarcal é a “unidade fundamental de ressocialização no reino” e constituirá a comunidade do discipulado.</w:t>
      </w:r>
    </w:p>
    <w:p w:rsidR="00D24E61" w:rsidRPr="00771368" w:rsidRDefault="00D24E61" w:rsidP="00D24E61">
      <w:pPr>
        <w:pStyle w:val="ABNT"/>
        <w:rPr>
          <w:rFonts w:cs="Times New Roman"/>
        </w:rPr>
      </w:pPr>
      <w:r w:rsidRPr="00771368">
        <w:rPr>
          <w:rFonts w:cs="Times New Roman"/>
        </w:rPr>
        <w:t>Horsley (2001, p. 224, 225) argumenta que a passagem não sugere a formação de uma nova família, ou o rompimento com as necessidades familiares. Mas ela desafia a norma patriarcal por uma família mais comunal. Isso combina com as circunstâncias de uma desintegração da família patriarcal sob pressões econômicas. A ideia de uma comunidade familiar não patriarcal seria um princípio complementar da renovação social de Jesus em Marcos, que incentiva as comunidades do movimento a atender famílias necessitadas, de mulheres e crianças, deixadas vulneráveis pela desintegração social e econômica.</w:t>
      </w:r>
    </w:p>
    <w:p w:rsidR="00D24E61" w:rsidRPr="00771368" w:rsidRDefault="00D24E61" w:rsidP="00D24E61">
      <w:pPr>
        <w:pStyle w:val="ABNT"/>
        <w:rPr>
          <w:rFonts w:cs="Times New Roman"/>
        </w:rPr>
      </w:pPr>
      <w:r w:rsidRPr="00771368">
        <w:rPr>
          <w:rFonts w:cs="Times New Roman"/>
        </w:rPr>
        <w:t xml:space="preserve">Pode-se dizer que toda oposição a Jesus é encarada como tendo importância política, seja oriunda de uma manifestação das lideranças políticas do povo ou da família. O não entendimento da família e a acusação dos escribas não detém o avanço da missão de Jesus. A redefinição da família é que suporta isso, pois redefine as identidades. As pessoas são irmãs, irmãos e mães de Jesus, devem agir em relação de igualdade, que foge à norma patriarcal da sociedade, e em engajamento com a vontade de Deus. </w:t>
      </w:r>
    </w:p>
    <w:p w:rsidR="00D24E61" w:rsidRPr="00771368" w:rsidRDefault="00D24E61" w:rsidP="00D24E61">
      <w:pPr>
        <w:pStyle w:val="ABNT"/>
        <w:rPr>
          <w:rFonts w:cs="Times New Roman"/>
        </w:rPr>
      </w:pPr>
      <w:r w:rsidRPr="00771368">
        <w:rPr>
          <w:rFonts w:cs="Times New Roman"/>
        </w:rPr>
        <w:t>A redefinição da família é um padrão, se prolonga no Evangelho de Marcos, o aspecto de ausência de pais e inclusão de irmãs é repetido em outro discurso de Jesus em Mc 10,29-31: “[...] ninguém há, que tenha deixado casa, ou irmãos, ou irmãs, ou pai, ou mãe, ou mulher, ou filhos, ou campos, por amor de mim e do evangelho, que não receba cem vezes tanto, já neste tempo, em casas, e irmãos, e irmãs, e mães, e filhos, [...].”</w:t>
      </w:r>
    </w:p>
    <w:p w:rsidR="00D24E61" w:rsidRPr="00771368" w:rsidRDefault="00D24E61" w:rsidP="00D24E61">
      <w:pPr>
        <w:pStyle w:val="ABNT"/>
        <w:rPr>
          <w:rFonts w:cs="Times New Roman"/>
        </w:rPr>
      </w:pPr>
    </w:p>
    <w:p w:rsidR="00D24E61" w:rsidRPr="00771368" w:rsidRDefault="00D24E61" w:rsidP="00D24E61">
      <w:pPr>
        <w:spacing w:line="360" w:lineRule="auto"/>
        <w:rPr>
          <w:b/>
          <w:bCs/>
        </w:rPr>
      </w:pPr>
      <w:r w:rsidRPr="00771368">
        <w:rPr>
          <w:b/>
          <w:bCs/>
        </w:rPr>
        <w:t>Conclusão</w:t>
      </w:r>
    </w:p>
    <w:p w:rsidR="00D24E61" w:rsidRPr="00771368" w:rsidRDefault="00D24E61" w:rsidP="00D24E61">
      <w:pPr>
        <w:pStyle w:val="ABNT"/>
        <w:rPr>
          <w:rFonts w:cs="Times New Roman"/>
        </w:rPr>
      </w:pPr>
      <w:r w:rsidRPr="00771368">
        <w:rPr>
          <w:rFonts w:cs="Times New Roman"/>
        </w:rPr>
        <w:t>A leitura feminista de Mc 3,20-21.31-35 mostra que esse é um texto desafiador de regras patriarcais de hierarquia e exclusão. Ele é um convite a uma vida comunal, em uma família metafórica em que não há hierarquia sobre homens e mulheres. Por esse estudo foi possível perceber que, dentro do cristianismo primitivo representado no Evangelho de Marcos, havia uma noção de igualdade entre mulheres e homens, que era intencionalmente divulgada por meio da história de Jesus. Nessa narrativa, nem o próprio Jesus se coloca como diferente, ele tem, em sua família comunitária, irmãos, irmãs e mães. Não há quem seja caracterizado como membro da comunidade e assuma um papel hierárquico maior que outrem, seja baseado em gênero, vinculação familiar, política ou religiosa. Isso é representado pela ausência da figura paterna e a presença intencional das mães e irmãs no discurso. Em especial, precisa-se pensar no papel de mãe e irmã das vilas campesinas da Galileia, onde a relação era menos diferenciada, ou seja, de mulheres já ativas como mão de obra e, a partir de então, ativas também no aspecto social e religioso.</w:t>
      </w:r>
    </w:p>
    <w:p w:rsidR="00D24E61" w:rsidRPr="00771368" w:rsidRDefault="00D24E61" w:rsidP="00D24E61">
      <w:pPr>
        <w:pStyle w:val="ABNT"/>
        <w:rPr>
          <w:rFonts w:cs="Times New Roman"/>
        </w:rPr>
      </w:pPr>
      <w:r w:rsidRPr="00771368">
        <w:rPr>
          <w:rFonts w:cs="Times New Roman"/>
        </w:rPr>
        <w:t>O texto coloca em paralelo os aspectos políticos e familiares, levando a entender que, no Reino de Deus, essas relações têm o mesmo peso. Isso se ilustra no papel da casa no texto. O que antes era o espaço privado da família, ambiente de atuação feminina, onde a mulher se escondia das vistas de outros, se torna um espaço de vivência social e religiosa, aberta a todos que buscam fazer a vontade de Deus. A casa se torna o lugar da partilha do conhecimento e da experiência religiosa comunitária. Agora a diferença de conhecimento não pode mais gerar diferença social. Essas são vivências que as mulheres agora acessariam a partir de então, e que possibilitam o exercício de novos papéis e a construção de novas relações sociais e de gênero, mais justas, alegres e pacíficas.</w:t>
      </w:r>
    </w:p>
    <w:p w:rsidR="00D24E61" w:rsidRPr="00771368" w:rsidRDefault="00D24E61" w:rsidP="00D24E61">
      <w:pPr>
        <w:pStyle w:val="ABNT"/>
        <w:rPr>
          <w:rFonts w:cs="Times New Roman"/>
        </w:rPr>
      </w:pPr>
      <w:r w:rsidRPr="00771368">
        <w:rPr>
          <w:rFonts w:cs="Times New Roman"/>
        </w:rPr>
        <w:t>O texto fomenta ainda uma nova masculinidade com duas bases. A primeira é a ausência de hierarquia de gênero, ou seja, o ser irmão. A segunda segue modelo de Jesus, como aquele que deseja, fomenta, ensina e pratica a igualdade e o cuidado.</w:t>
      </w:r>
    </w:p>
    <w:p w:rsidR="00D24E61" w:rsidRPr="00771368" w:rsidRDefault="00D24E61" w:rsidP="00D24E61">
      <w:pPr>
        <w:pStyle w:val="ABNT"/>
        <w:rPr>
          <w:rFonts w:cs="Times New Roman"/>
        </w:rPr>
      </w:pPr>
    </w:p>
    <w:p w:rsidR="00D24E61" w:rsidRPr="00771368" w:rsidRDefault="00D24E61" w:rsidP="00D24E61">
      <w:pPr>
        <w:pStyle w:val="ABNT"/>
        <w:rPr>
          <w:rFonts w:cs="Times New Roman"/>
        </w:rPr>
      </w:pPr>
      <w:r w:rsidRPr="00771368">
        <w:rPr>
          <w:rFonts w:cs="Times New Roman"/>
        </w:rPr>
        <w:t>Quando se olha sob o ponto de vista do combate à violência doméstica a redefinição da família acaba com a base simbólica da violência: a hierarquização dos papéis masculinos e femininos, a autoridade patriarcal ou, como a própria população brasileira reconheceu, o machismo. Percebe-se que é a partir microrrelação diária, com a partilha de conhecimento e de atividades, que Jesus, no Evangelho de Marcos, pretende implantar o seu novo modelo social e político, o seu projeto de Reino de Deus até atingir as esferas maiores.</w:t>
      </w:r>
    </w:p>
    <w:p w:rsidR="00D24E61" w:rsidRPr="00771368" w:rsidRDefault="00D24E61" w:rsidP="00D24E61">
      <w:pPr>
        <w:rPr>
          <w:b/>
          <w:bCs/>
        </w:rPr>
      </w:pPr>
    </w:p>
    <w:p w:rsidR="00D24E61" w:rsidRPr="00771368" w:rsidRDefault="00D24E61" w:rsidP="00D24E61">
      <w:pPr>
        <w:rPr>
          <w:b/>
          <w:bCs/>
        </w:rPr>
      </w:pPr>
      <w:r w:rsidRPr="00771368">
        <w:rPr>
          <w:b/>
          <w:bCs/>
        </w:rPr>
        <w:t>Referências</w:t>
      </w:r>
    </w:p>
    <w:p w:rsidR="00D24E61" w:rsidRPr="00771368" w:rsidRDefault="00D24E61" w:rsidP="00D24E61"/>
    <w:p w:rsidR="00D24E61" w:rsidRPr="00D61223" w:rsidRDefault="00D24E61" w:rsidP="00D24E61">
      <w:pPr>
        <w:spacing w:after="120"/>
      </w:pPr>
      <w:r w:rsidRPr="00771368">
        <w:t xml:space="preserve">ALEXANDRE, Monique. Do anúncio do Reino à Igreja - Papéis, ministérios, poderes femininos. Tradução de Teresa Joaquim. In: DUBY, Georges; PERROT, Michelle. </w:t>
      </w:r>
      <w:r w:rsidRPr="00771368">
        <w:rPr>
          <w:i/>
          <w:iCs/>
        </w:rPr>
        <w:t>História das mulheres no Ocidente</w:t>
      </w:r>
      <w:r w:rsidRPr="00771368">
        <w:t xml:space="preserve">. </w:t>
      </w:r>
      <w:r w:rsidRPr="00D61223">
        <w:t>Vol1: A Antiguidade. São Paulo: EBRADIL, 1990. p. 511-563.</w:t>
      </w:r>
    </w:p>
    <w:p w:rsidR="00D24E61" w:rsidRPr="00771368" w:rsidRDefault="00D24E61" w:rsidP="00D24E61">
      <w:pPr>
        <w:spacing w:after="120"/>
        <w:rPr>
          <w:szCs w:val="24"/>
        </w:rPr>
      </w:pPr>
      <w:r w:rsidRPr="00771368">
        <w:rPr>
          <w:szCs w:val="24"/>
        </w:rPr>
        <w:t xml:space="preserve">BARSTED,  Leila Linhares. O Progresso das Mulheres no Enfrentamento da Violência. In: BARSTED, Leila Linhares; PITANGUY, Jacqueline (Orgs). </w:t>
      </w:r>
      <w:r w:rsidRPr="00771368">
        <w:rPr>
          <w:i/>
          <w:iCs/>
          <w:szCs w:val="24"/>
        </w:rPr>
        <w:t>O Progresso das Mulheres no Brasil 2003–2010</w:t>
      </w:r>
      <w:r w:rsidRPr="00771368">
        <w:rPr>
          <w:szCs w:val="24"/>
        </w:rPr>
        <w:t>. Rio de Janeiro: CEPIA ; Brasília: ONU Mulheres, 2011. p. 346-381.</w:t>
      </w:r>
    </w:p>
    <w:p w:rsidR="00D24E61" w:rsidRPr="00771368" w:rsidRDefault="00D24E61" w:rsidP="00D24E61">
      <w:pPr>
        <w:spacing w:after="120"/>
        <w:rPr>
          <w:lang w:val="fr-FR"/>
        </w:rPr>
      </w:pPr>
      <w:r w:rsidRPr="00771368">
        <w:rPr>
          <w:szCs w:val="24"/>
        </w:rPr>
        <w:t>BÍBLIA</w:t>
      </w:r>
      <w:r w:rsidRPr="00771368">
        <w:t xml:space="preserve"> DE JERUSALÉM. </w:t>
      </w:r>
      <w:r w:rsidRPr="00771368">
        <w:rPr>
          <w:lang w:val="fr-FR"/>
        </w:rPr>
        <w:t>5. impr. São Paulo: Paulus, 2002.</w:t>
      </w:r>
    </w:p>
    <w:p w:rsidR="00D24E61" w:rsidRPr="00771368" w:rsidRDefault="00D24E61" w:rsidP="00D24E61">
      <w:pPr>
        <w:spacing w:after="120"/>
        <w:rPr>
          <w:szCs w:val="24"/>
        </w:rPr>
      </w:pPr>
      <w:r w:rsidRPr="00771368">
        <w:rPr>
          <w:szCs w:val="24"/>
          <w:lang w:val="fr-FR"/>
        </w:rPr>
        <w:t xml:space="preserve">BOURDIEU, Pierre. </w:t>
      </w:r>
      <w:r w:rsidRPr="00771368">
        <w:rPr>
          <w:i/>
          <w:iCs/>
          <w:szCs w:val="24"/>
        </w:rPr>
        <w:t>A dominação masculina</w:t>
      </w:r>
      <w:r w:rsidRPr="00771368">
        <w:rPr>
          <w:szCs w:val="24"/>
        </w:rPr>
        <w:t xml:space="preserve">. 11 ed. Tradução de Maria Helena Kühner. Rio de Janeiro: Bertrand Brasil, 2012. </w:t>
      </w:r>
    </w:p>
    <w:p w:rsidR="00D24E61" w:rsidRPr="00771368" w:rsidRDefault="00D24E61" w:rsidP="00D24E61">
      <w:pPr>
        <w:spacing w:after="120"/>
        <w:rPr>
          <w:szCs w:val="24"/>
          <w:lang w:val="en-US"/>
        </w:rPr>
      </w:pPr>
      <w:r w:rsidRPr="00D61223">
        <w:t xml:space="preserve">COLLINS, Adela Yarbro. </w:t>
      </w:r>
      <w:r w:rsidRPr="00D61223">
        <w:rPr>
          <w:i/>
          <w:iCs/>
        </w:rPr>
        <w:t>Mark</w:t>
      </w:r>
      <w:r w:rsidRPr="00D61223">
        <w:t xml:space="preserve">: a commentary. </w:t>
      </w:r>
      <w:r w:rsidRPr="00771368">
        <w:rPr>
          <w:lang w:val="en-US"/>
        </w:rPr>
        <w:t>Harold W Attridge (ed). Minneapolis: Fortress Press, 2007.</w:t>
      </w:r>
    </w:p>
    <w:p w:rsidR="00D24E61" w:rsidRPr="00771368" w:rsidRDefault="00D24E61" w:rsidP="00D24E61">
      <w:pPr>
        <w:spacing w:after="120"/>
      </w:pPr>
      <w:r w:rsidRPr="00771368">
        <w:t xml:space="preserve">DUARTE, Sandra Duarte. Violência de gênero e religião: alguns questionamentos que podem orientar a discussão sobre a elaboração de políticas públicas. </w:t>
      </w:r>
      <w:r w:rsidRPr="00771368">
        <w:rPr>
          <w:i/>
          <w:iCs/>
        </w:rPr>
        <w:t>Mandrágora</w:t>
      </w:r>
      <w:r w:rsidRPr="00771368">
        <w:t>, Ano  XIII, n. 13. São Bernardo do Campo: Metodista, 2007. p 15-21.</w:t>
      </w:r>
    </w:p>
    <w:p w:rsidR="00D24E61" w:rsidRPr="00771368" w:rsidRDefault="00D24E61" w:rsidP="00D24E61">
      <w:pPr>
        <w:spacing w:after="120"/>
      </w:pPr>
      <w:r w:rsidRPr="00771368">
        <w:t xml:space="preserve">FABRIS, Rinaldo. O Evangelho de Marcos. In: BARBAGLIO, Giusepe; FABRIS, Rinaldo; MAGGIONI, Bruno. </w:t>
      </w:r>
      <w:r w:rsidRPr="00771368">
        <w:rPr>
          <w:i/>
          <w:iCs/>
        </w:rPr>
        <w:t>Os Evangelhos I</w:t>
      </w:r>
      <w:r w:rsidRPr="00771368">
        <w:t>: tradução e comentários. Tradução de Jaldemir Vitorio; Giovanni di Biasio. São Paulo: Loyola, 1990. p. 421-621.</w:t>
      </w:r>
    </w:p>
    <w:p w:rsidR="00D24E61" w:rsidRPr="00771368" w:rsidRDefault="00D24E61" w:rsidP="00D24E61">
      <w:pPr>
        <w:spacing w:after="120"/>
      </w:pPr>
      <w:r w:rsidRPr="00771368">
        <w:t xml:space="preserve">FIORENZA, Elisabeth Schüssler. </w:t>
      </w:r>
      <w:r w:rsidRPr="00771368">
        <w:rPr>
          <w:i/>
          <w:iCs/>
        </w:rPr>
        <w:t>As origens cristãs a partir da mulher</w:t>
      </w:r>
      <w:r w:rsidRPr="00771368">
        <w:t>: uma nova hermenêutica. Tradução de João Rezende da Costa. São Paulo: Paulinas, 1992.</w:t>
      </w:r>
    </w:p>
    <w:p w:rsidR="00D24E61" w:rsidRPr="00771368" w:rsidRDefault="00D24E61" w:rsidP="00D24E61">
      <w:pPr>
        <w:spacing w:after="120"/>
      </w:pPr>
      <w:r w:rsidRPr="00771368">
        <w:t xml:space="preserve">FOUCAULT, Michel. </w:t>
      </w:r>
      <w:r w:rsidRPr="00771368">
        <w:rPr>
          <w:i/>
          <w:iCs/>
        </w:rPr>
        <w:t>História da  sexualidade I</w:t>
      </w:r>
      <w:r w:rsidRPr="00771368">
        <w:t>: a vontade de saber. Rio de Janeiro: Graal, 1988.</w:t>
      </w:r>
    </w:p>
    <w:p w:rsidR="00D24E61" w:rsidRPr="00771368" w:rsidRDefault="00D24E61" w:rsidP="00D24E61">
      <w:pPr>
        <w:spacing w:after="120"/>
      </w:pPr>
      <w:r w:rsidRPr="00771368">
        <w:t xml:space="preserve">______. </w:t>
      </w:r>
      <w:r w:rsidRPr="00771368">
        <w:rPr>
          <w:i/>
          <w:iCs/>
        </w:rPr>
        <w:t>Microfísica do poder</w:t>
      </w:r>
      <w:r w:rsidRPr="00771368">
        <w:t>. 23 ed. Rio de Janeiro: Graal, 2012.</w:t>
      </w:r>
    </w:p>
    <w:p w:rsidR="00D24E61" w:rsidRPr="00771368" w:rsidRDefault="00D24E61" w:rsidP="00D24E61">
      <w:pPr>
        <w:spacing w:after="120"/>
        <w:rPr>
          <w:szCs w:val="24"/>
        </w:rPr>
      </w:pPr>
      <w:r w:rsidRPr="00771368">
        <w:rPr>
          <w:szCs w:val="24"/>
        </w:rPr>
        <w:t xml:space="preserve">GEBARA. Ivone. </w:t>
      </w:r>
      <w:r w:rsidRPr="00771368">
        <w:rPr>
          <w:i/>
          <w:iCs/>
          <w:szCs w:val="24"/>
        </w:rPr>
        <w:t>Rompendo o silêncio</w:t>
      </w:r>
      <w:r w:rsidRPr="00771368">
        <w:rPr>
          <w:szCs w:val="24"/>
        </w:rPr>
        <w:t>: uma fenomenologia feminista do mal. Tradução de Lúcia Mathilde Endlich Orth. Petrópolis: Vozes, 2000.</w:t>
      </w:r>
    </w:p>
    <w:p w:rsidR="00D24E61" w:rsidRPr="00771368" w:rsidRDefault="00D24E61" w:rsidP="00D24E61">
      <w:pPr>
        <w:spacing w:after="120"/>
        <w:rPr>
          <w:szCs w:val="24"/>
        </w:rPr>
      </w:pPr>
      <w:r w:rsidRPr="00771368">
        <w:rPr>
          <w:szCs w:val="24"/>
        </w:rPr>
        <w:t xml:space="preserve">GEERTZ, Clifford. </w:t>
      </w:r>
      <w:r w:rsidRPr="00771368">
        <w:rPr>
          <w:i/>
          <w:iCs/>
          <w:szCs w:val="24"/>
        </w:rPr>
        <w:t>A interpretação das culturas</w:t>
      </w:r>
      <w:r w:rsidRPr="00771368">
        <w:rPr>
          <w:szCs w:val="24"/>
        </w:rPr>
        <w:t>. Rio de Janeiro: LTC, 2008.</w:t>
      </w:r>
    </w:p>
    <w:p w:rsidR="00D24E61" w:rsidRPr="00771368" w:rsidRDefault="00D24E61" w:rsidP="00D24E61">
      <w:pPr>
        <w:spacing w:after="120"/>
        <w:rPr>
          <w:lang w:val="en-US"/>
        </w:rPr>
      </w:pPr>
      <w:r w:rsidRPr="00D61223">
        <w:t>GNILKA, Joachim</w:t>
      </w:r>
      <w:r w:rsidRPr="00D61223">
        <w:rPr>
          <w:i/>
          <w:iCs/>
        </w:rPr>
        <w:t>. El evangelio segun San Marcos I</w:t>
      </w:r>
      <w:r w:rsidRPr="00D61223">
        <w:t xml:space="preserve">: Mc 1-8,26. Tradução de Víctor A. Martínes, de Lapera. </w:t>
      </w:r>
      <w:r w:rsidRPr="00771368">
        <w:rPr>
          <w:lang w:val="en-US"/>
        </w:rPr>
        <w:t>Salamanca: Ediciones SÍgueme, 1986.</w:t>
      </w:r>
    </w:p>
    <w:p w:rsidR="00D24E61" w:rsidRPr="00771368" w:rsidRDefault="00D24E61" w:rsidP="00D24E61">
      <w:pPr>
        <w:spacing w:after="120"/>
        <w:rPr>
          <w:lang w:val="en-US"/>
        </w:rPr>
      </w:pPr>
      <w:r w:rsidRPr="00771368">
        <w:rPr>
          <w:lang w:val="en-US"/>
        </w:rPr>
        <w:t xml:space="preserve">HORSLEY, Richard A. </w:t>
      </w:r>
      <w:r w:rsidRPr="00771368">
        <w:rPr>
          <w:i/>
          <w:lang w:val="en-US"/>
        </w:rPr>
        <w:t xml:space="preserve">Hearing the whole story: </w:t>
      </w:r>
      <w:r w:rsidRPr="00771368">
        <w:rPr>
          <w:iCs/>
          <w:lang w:val="en-US"/>
        </w:rPr>
        <w:t>the politics of plot in Mark´s Gospel.</w:t>
      </w:r>
      <w:r w:rsidRPr="00771368">
        <w:rPr>
          <w:lang w:val="en-US"/>
        </w:rPr>
        <w:t xml:space="preserve"> Louisville: Westminster John Knox Press, 2001. </w:t>
      </w:r>
    </w:p>
    <w:p w:rsidR="00D24E61" w:rsidRPr="00771368" w:rsidRDefault="00D24E61" w:rsidP="00D24E61">
      <w:pPr>
        <w:spacing w:after="120"/>
        <w:rPr>
          <w:lang w:val="es-CL"/>
        </w:rPr>
      </w:pPr>
      <w:r w:rsidRPr="00771368">
        <w:rPr>
          <w:lang w:val="en-US"/>
        </w:rPr>
        <w:t xml:space="preserve">MALINA, Bruce J. </w:t>
      </w:r>
      <w:r w:rsidRPr="00771368">
        <w:rPr>
          <w:i/>
          <w:iCs/>
          <w:lang w:val="en-US"/>
        </w:rPr>
        <w:t>The social world of Jesus and the Gospels</w:t>
      </w:r>
      <w:r w:rsidRPr="00771368">
        <w:rPr>
          <w:lang w:val="en-US"/>
        </w:rPr>
        <w:t xml:space="preserve">. </w:t>
      </w:r>
      <w:r w:rsidRPr="00771368">
        <w:rPr>
          <w:lang w:val="es-CL"/>
        </w:rPr>
        <w:t>London: Routledge, 1996</w:t>
      </w:r>
    </w:p>
    <w:p w:rsidR="00D24E61" w:rsidRPr="00771368" w:rsidRDefault="00D24E61" w:rsidP="00D24E61">
      <w:pPr>
        <w:spacing w:after="120"/>
        <w:rPr>
          <w:lang w:val="es-CL"/>
        </w:rPr>
      </w:pPr>
      <w:r w:rsidRPr="00771368">
        <w:rPr>
          <w:lang w:val="es-CL"/>
        </w:rPr>
        <w:t xml:space="preserve">MARCUS, Joel. </w:t>
      </w:r>
      <w:r w:rsidRPr="00771368">
        <w:rPr>
          <w:i/>
          <w:iCs/>
          <w:lang w:val="es-CL"/>
        </w:rPr>
        <w:t>El evangelio según Marcos (Mc 1-8)</w:t>
      </w:r>
      <w:r w:rsidRPr="00771368">
        <w:rPr>
          <w:lang w:val="es-CL"/>
        </w:rPr>
        <w:t>. Tradução de Xabier Pikaza. Salamanca: Sigueme, 2010.</w:t>
      </w:r>
    </w:p>
    <w:p w:rsidR="00D24E61" w:rsidRPr="00771368" w:rsidRDefault="00D24E61" w:rsidP="00D24E61">
      <w:pPr>
        <w:spacing w:after="120"/>
      </w:pPr>
      <w:r w:rsidRPr="00771368">
        <w:rPr>
          <w:lang w:val="es-CL"/>
        </w:rPr>
        <w:t xml:space="preserve">MILLER, Susan E. </w:t>
      </w:r>
      <w:r w:rsidRPr="00771368">
        <w:rPr>
          <w:i/>
          <w:iCs/>
          <w:lang w:val="es-CL"/>
        </w:rPr>
        <w:t>Women in Mark's Gospel</w:t>
      </w:r>
      <w:r w:rsidRPr="00771368">
        <w:rPr>
          <w:lang w:val="es-CL"/>
        </w:rPr>
        <w:t xml:space="preserve">. </w:t>
      </w:r>
      <w:r w:rsidRPr="00771368">
        <w:t>Tese (doutorado em teologia e estudos religiosos). University of Glasgow, Glasgow, 2002.</w:t>
      </w:r>
    </w:p>
    <w:p w:rsidR="00D24E61" w:rsidRPr="00771368" w:rsidRDefault="00D24E61" w:rsidP="00D24E61">
      <w:pPr>
        <w:spacing w:after="120"/>
        <w:rPr>
          <w:lang w:val="en-US"/>
        </w:rPr>
      </w:pPr>
      <w:r w:rsidRPr="00771368">
        <w:t xml:space="preserve">MYERS, Ched. </w:t>
      </w:r>
      <w:r w:rsidRPr="00771368">
        <w:rPr>
          <w:i/>
          <w:iCs/>
        </w:rPr>
        <w:t>O Evangelho de São Marcos</w:t>
      </w:r>
      <w:r w:rsidRPr="00771368">
        <w:t xml:space="preserve">. Tradução de I. F. L Ferreira. </w:t>
      </w:r>
      <w:r w:rsidRPr="00771368">
        <w:rPr>
          <w:lang w:val="en-US"/>
        </w:rPr>
        <w:t xml:space="preserve">São Paulo: Paulinas, 1992. </w:t>
      </w:r>
    </w:p>
    <w:p w:rsidR="00D24E61" w:rsidRPr="00771368" w:rsidRDefault="00D24E61" w:rsidP="00D24E61">
      <w:pPr>
        <w:spacing w:after="120"/>
        <w:rPr>
          <w:lang w:val="es-CL"/>
        </w:rPr>
      </w:pPr>
      <w:r w:rsidRPr="00771368">
        <w:rPr>
          <w:lang w:val="en-US"/>
        </w:rPr>
        <w:t xml:space="preserve">ONU, Declaration on the Elimination of Violence against Women. </w:t>
      </w:r>
      <w:r w:rsidRPr="00771368">
        <w:t>1993. Disponível em</w:t>
      </w:r>
      <w:r w:rsidRPr="00771368">
        <w:rPr>
          <w:b/>
          <w:bCs/>
        </w:rPr>
        <w:t xml:space="preserve"> &lt;</w:t>
      </w:r>
      <w:r w:rsidRPr="00771368">
        <w:t xml:space="preserve">http://daccess-dds-ny.un.org/doc/UNDOC/GEN/N94/095/05/PDF/N9409505.pdf?OpenElement&gt;. </w:t>
      </w:r>
      <w:r w:rsidRPr="00771368">
        <w:rPr>
          <w:lang w:val="es-CL"/>
        </w:rPr>
        <w:t xml:space="preserve">Acesso em 20.abr. 2013. </w:t>
      </w:r>
    </w:p>
    <w:p w:rsidR="00D24E61" w:rsidRPr="00771368" w:rsidRDefault="00D24E61" w:rsidP="00D24E61">
      <w:pPr>
        <w:spacing w:after="120"/>
        <w:rPr>
          <w:lang w:val="es-CL"/>
        </w:rPr>
      </w:pPr>
      <w:r w:rsidRPr="00771368">
        <w:rPr>
          <w:lang w:val="es-CL"/>
        </w:rPr>
        <w:t xml:space="preserve">OTTERMANN, </w:t>
      </w:r>
      <w:r w:rsidRPr="00771368">
        <w:rPr>
          <w:szCs w:val="24"/>
          <w:lang w:val="es-CL"/>
        </w:rPr>
        <w:t>Monika</w:t>
      </w:r>
      <w:r w:rsidRPr="00771368">
        <w:rPr>
          <w:lang w:val="es-CL"/>
        </w:rPr>
        <w:t xml:space="preserve">. La familia de Jesús y la familia de Cristo según el evangelio creado por Marcos, con particular atención para las hermanas. </w:t>
      </w:r>
      <w:r w:rsidRPr="00771368">
        <w:rPr>
          <w:i/>
          <w:iCs/>
          <w:lang w:val="es-CL"/>
        </w:rPr>
        <w:t>Revista de Interpretación Bíblica Latinoamericana</w:t>
      </w:r>
      <w:r w:rsidRPr="00771368">
        <w:rPr>
          <w:lang w:val="es-CL"/>
        </w:rPr>
        <w:t>, n. 64, Quito, RECU, 2009. p. 72-87.</w:t>
      </w:r>
    </w:p>
    <w:p w:rsidR="00D24E61" w:rsidRPr="00771368" w:rsidRDefault="00D24E61" w:rsidP="00D24E61">
      <w:pPr>
        <w:spacing w:after="120"/>
        <w:rPr>
          <w:szCs w:val="24"/>
        </w:rPr>
      </w:pPr>
      <w:r w:rsidRPr="00771368">
        <w:rPr>
          <w:szCs w:val="24"/>
          <w:lang w:val="es-CL"/>
        </w:rPr>
        <w:t xml:space="preserve">RHOADS, David; DEWEY, Joanna; MICHIE, Donald. </w:t>
      </w:r>
      <w:r w:rsidRPr="00771368">
        <w:rPr>
          <w:i/>
          <w:iCs/>
          <w:szCs w:val="24"/>
          <w:lang w:val="en-US"/>
        </w:rPr>
        <w:t>Mark as Story</w:t>
      </w:r>
      <w:r w:rsidRPr="00771368">
        <w:rPr>
          <w:szCs w:val="24"/>
          <w:lang w:val="en-US"/>
        </w:rPr>
        <w:t xml:space="preserve">: An Introduction to the Narrative of a Gospel. </w:t>
      </w:r>
      <w:r w:rsidRPr="00771368">
        <w:rPr>
          <w:szCs w:val="24"/>
        </w:rPr>
        <w:t>2ed. Minneapolis: Fortress Press, 1999.</w:t>
      </w:r>
    </w:p>
    <w:p w:rsidR="00D24E61" w:rsidRPr="00771368" w:rsidRDefault="00D24E61" w:rsidP="00D24E61">
      <w:pPr>
        <w:spacing w:after="120"/>
        <w:rPr>
          <w:szCs w:val="24"/>
        </w:rPr>
      </w:pPr>
      <w:r w:rsidRPr="00771368">
        <w:rPr>
          <w:szCs w:val="24"/>
        </w:rPr>
        <w:t xml:space="preserve">RICHTER REIMER, Ivoni. </w:t>
      </w:r>
      <w:r w:rsidRPr="00771368">
        <w:rPr>
          <w:i/>
          <w:szCs w:val="24"/>
        </w:rPr>
        <w:t xml:space="preserve">Compaixão, cruz e esperança: </w:t>
      </w:r>
      <w:r w:rsidRPr="00771368">
        <w:rPr>
          <w:szCs w:val="24"/>
        </w:rPr>
        <w:t xml:space="preserve">Teologia de Marcos. São Paulo: Paulinas, 2012. </w:t>
      </w:r>
    </w:p>
    <w:p w:rsidR="00D24E61" w:rsidRPr="00771368" w:rsidRDefault="00D24E61" w:rsidP="00D24E61">
      <w:pPr>
        <w:spacing w:after="120"/>
        <w:rPr>
          <w:szCs w:val="24"/>
        </w:rPr>
      </w:pPr>
      <w:r w:rsidRPr="00771368">
        <w:rPr>
          <w:szCs w:val="24"/>
        </w:rPr>
        <w:t xml:space="preserve">______; SOUZA, Carolina Bezerra de. As mulheres: modelo de seguimento no movimento de Jesus e na Igreja. </w:t>
      </w:r>
      <w:r w:rsidRPr="00771368">
        <w:rPr>
          <w:i/>
          <w:iCs/>
          <w:szCs w:val="24"/>
        </w:rPr>
        <w:t>Revista de Teologia e Ciências da Religião da UNICAP</w:t>
      </w:r>
      <w:r w:rsidRPr="00771368">
        <w:rPr>
          <w:szCs w:val="24"/>
        </w:rPr>
        <w:t>. Recife, v.1, n.1, 2012, p.207-216.</w:t>
      </w:r>
    </w:p>
    <w:p w:rsidR="00D24E61" w:rsidRPr="00771368" w:rsidRDefault="00D24E61" w:rsidP="00D24E61">
      <w:pPr>
        <w:spacing w:after="120"/>
        <w:rPr>
          <w:szCs w:val="24"/>
        </w:rPr>
      </w:pPr>
      <w:r w:rsidRPr="00771368">
        <w:rPr>
          <w:szCs w:val="24"/>
        </w:rPr>
        <w:t>______. Para memória delas! Textos e interpretações na (re)construção de cristianismos originários.</w:t>
      </w:r>
      <w:r w:rsidRPr="00771368">
        <w:rPr>
          <w:i/>
          <w:iCs/>
          <w:sz w:val="16"/>
          <w:szCs w:val="16"/>
          <w:lang w:bidi="he-IL"/>
        </w:rPr>
        <w:t xml:space="preserve"> </w:t>
      </w:r>
      <w:r w:rsidRPr="00771368">
        <w:rPr>
          <w:i/>
          <w:iCs/>
          <w:szCs w:val="24"/>
        </w:rPr>
        <w:t xml:space="preserve">Estudos Teológicos, </w:t>
      </w:r>
      <w:r w:rsidRPr="00771368">
        <w:rPr>
          <w:szCs w:val="24"/>
        </w:rPr>
        <w:t xml:space="preserve">São Leopoldo, v. 50, n. 1. jan./jun., p. 41-53, 2010. </w:t>
      </w:r>
    </w:p>
    <w:p w:rsidR="00D24E61" w:rsidRPr="00771368" w:rsidRDefault="00D24E61" w:rsidP="00D24E61">
      <w:pPr>
        <w:spacing w:after="120"/>
        <w:rPr>
          <w:szCs w:val="24"/>
        </w:rPr>
      </w:pPr>
      <w:r w:rsidRPr="00771368">
        <w:rPr>
          <w:szCs w:val="24"/>
        </w:rPr>
        <w:t xml:space="preserve">______. Rupturas e limitações na Teologia Bíblica Feminista. In: </w:t>
      </w:r>
      <w:r w:rsidRPr="00771368">
        <w:rPr>
          <w:i/>
          <w:iCs/>
          <w:szCs w:val="24"/>
        </w:rPr>
        <w:t>O belo, as feras e o novo tempo</w:t>
      </w:r>
      <w:r w:rsidRPr="00771368">
        <w:rPr>
          <w:szCs w:val="24"/>
        </w:rPr>
        <w:t>. Petrópolis: Vozes; São Leopoldo: CEBI, 2000. p. 29-32</w:t>
      </w:r>
    </w:p>
    <w:p w:rsidR="00D24E61" w:rsidRPr="00771368" w:rsidRDefault="00D24E61" w:rsidP="00D24E61">
      <w:pPr>
        <w:spacing w:after="120"/>
      </w:pPr>
      <w:r w:rsidRPr="00771368">
        <w:t xml:space="preserve">RICOEUR, Paul. Rumo a uma teologia narrativa: sua necessidade, seus recursos, suas dificuldades. In: RICOEUR, Paul. </w:t>
      </w:r>
      <w:r w:rsidRPr="00771368">
        <w:rPr>
          <w:i/>
          <w:iCs/>
        </w:rPr>
        <w:t>A hermenêutica bíblica</w:t>
      </w:r>
      <w:r w:rsidRPr="00771368">
        <w:t>. Tradução de Paulo Meneses. São Paulo: Loyola, 2006. p. 285-299.</w:t>
      </w:r>
    </w:p>
    <w:p w:rsidR="00D24E61" w:rsidRPr="00771368" w:rsidRDefault="00D24E61" w:rsidP="00D24E61">
      <w:pPr>
        <w:spacing w:after="120"/>
      </w:pPr>
      <w:r w:rsidRPr="00771368">
        <w:t>SITTA, Ana Carolina et. al. (Coord.).</w:t>
      </w:r>
      <w:r w:rsidRPr="00771368">
        <w:rPr>
          <w:i/>
          <w:iCs/>
        </w:rPr>
        <w:t xml:space="preserve"> Percepções sobre a violência doméstica contra a mulher no Brasil 2011</w:t>
      </w:r>
      <w:r w:rsidRPr="00771368">
        <w:t>: Pesquisa Instituto Avon/IPSOS. s.l.: s.n, 2011. Disponível em: &lt;http://www.institutoavon.org.br/wp-content/themes/institutoavon/pdf/iavon_0109_pesq_portuga_vd2010_03_vl_bx.pdf&gt;. Acesso em 02 fev. 2012.</w:t>
      </w:r>
    </w:p>
    <w:p w:rsidR="00D24E61" w:rsidRPr="00771368" w:rsidRDefault="00D24E61" w:rsidP="00D24E61">
      <w:pPr>
        <w:spacing w:after="120"/>
      </w:pPr>
      <w:r w:rsidRPr="00771368">
        <w:t xml:space="preserve">SOARES, Armando Gameleira; CORREIA JÚNIOR, João Luiz; OLIVA, José Raimundo. </w:t>
      </w:r>
      <w:r w:rsidRPr="00771368">
        <w:rPr>
          <w:i/>
          <w:iCs/>
        </w:rPr>
        <w:t>Comentário do Evangelho de Marcos</w:t>
      </w:r>
      <w:r w:rsidRPr="00771368">
        <w:t>. São Paulo: Fonte Editorial, 2012.</w:t>
      </w:r>
    </w:p>
    <w:p w:rsidR="00D24E61" w:rsidRPr="00771368" w:rsidRDefault="00D24E61" w:rsidP="00D24E61">
      <w:pPr>
        <w:spacing w:after="120"/>
        <w:rPr>
          <w:szCs w:val="24"/>
        </w:rPr>
      </w:pPr>
      <w:r w:rsidRPr="00D61223">
        <w:rPr>
          <w:szCs w:val="24"/>
        </w:rPr>
        <w:t xml:space="preserve">STEGEMANN, </w:t>
      </w:r>
      <w:r w:rsidRPr="00D61223">
        <w:t>Ekkhard</w:t>
      </w:r>
      <w:r w:rsidRPr="00D61223">
        <w:rPr>
          <w:szCs w:val="24"/>
        </w:rPr>
        <w:t xml:space="preserve"> W.; STEGEMANN, Wolfgang. </w:t>
      </w:r>
      <w:r w:rsidRPr="00771368">
        <w:rPr>
          <w:i/>
          <w:iCs/>
          <w:szCs w:val="24"/>
        </w:rPr>
        <w:t>História social do protocristianinsmo</w:t>
      </w:r>
      <w:r w:rsidRPr="00771368">
        <w:rPr>
          <w:szCs w:val="24"/>
        </w:rPr>
        <w:t>: os primórdios do judaísmo e as comunidades de Cristo no mundo mediterrâneo. Tradução de Nélio Schneider. São Leopoldo: Sinodal, 2004.</w:t>
      </w:r>
    </w:p>
    <w:p w:rsidR="00D24E61" w:rsidRPr="00771368" w:rsidRDefault="00D24E61" w:rsidP="00D24E61">
      <w:pPr>
        <w:spacing w:after="120"/>
        <w:rPr>
          <w:szCs w:val="24"/>
        </w:rPr>
      </w:pPr>
      <w:r w:rsidRPr="00771368">
        <w:rPr>
          <w:szCs w:val="24"/>
        </w:rPr>
        <w:t>STRÖHER, Marga Janéte. Casa igualitária e casa patriarcal: o caminho da patriarcalização da Igreja no primeiro século do cristianismo. Dissertação (Mestrado em Teologia). Escola superior de Teologia. São Leopoldo, 1998.</w:t>
      </w:r>
    </w:p>
    <w:p w:rsidR="00D24E61" w:rsidRPr="00771368" w:rsidRDefault="00D24E61" w:rsidP="00D24E61">
      <w:pPr>
        <w:spacing w:after="240"/>
        <w:rPr>
          <w:szCs w:val="24"/>
        </w:rPr>
      </w:pPr>
      <w:r w:rsidRPr="00771368">
        <w:rPr>
          <w:szCs w:val="24"/>
        </w:rPr>
        <w:t xml:space="preserve">TEPEDINO, Ana M. </w:t>
      </w:r>
      <w:r w:rsidRPr="00771368">
        <w:rPr>
          <w:i/>
          <w:iCs/>
          <w:szCs w:val="24"/>
        </w:rPr>
        <w:t>As discípulas de Jesus</w:t>
      </w:r>
      <w:r w:rsidRPr="00771368">
        <w:rPr>
          <w:szCs w:val="24"/>
        </w:rPr>
        <w:t xml:space="preserve">. </w:t>
      </w:r>
      <w:r w:rsidRPr="00D61223">
        <w:rPr>
          <w:szCs w:val="24"/>
        </w:rPr>
        <w:t>Petrópolis: Vozes, 1989.</w:t>
      </w:r>
    </w:p>
    <w:p w:rsidR="00D24E61" w:rsidRPr="00771368" w:rsidRDefault="00D24E61" w:rsidP="00D24E61">
      <w:pPr>
        <w:spacing w:line="360" w:lineRule="auto"/>
        <w:jc w:val="center"/>
        <w:rPr>
          <w:b/>
          <w:sz w:val="24"/>
          <w:szCs w:val="24"/>
        </w:rPr>
      </w:pPr>
      <w:r w:rsidRPr="00771368">
        <w:rPr>
          <w:b/>
          <w:sz w:val="24"/>
          <w:szCs w:val="24"/>
        </w:rPr>
        <w:t>LUTAS (RE)VELADAS: O FEMINISMO PRESENTE NO COTIDIANO DE MULHERES NEGRAS NO MUNICÍPIO DE BODOCÓ-PE.</w:t>
      </w:r>
    </w:p>
    <w:p w:rsidR="00D24E61" w:rsidRPr="00771368" w:rsidRDefault="00D24E61" w:rsidP="00D24E61">
      <w:pPr>
        <w:jc w:val="right"/>
        <w:rPr>
          <w:sz w:val="24"/>
          <w:szCs w:val="24"/>
        </w:rPr>
      </w:pPr>
      <w:bookmarkStart w:id="59" w:name="_Toc442034748"/>
      <w:r w:rsidRPr="00644E24">
        <w:rPr>
          <w:rStyle w:val="Ttulo1Char"/>
        </w:rPr>
        <w:t>Alexsandra Flávia Bezerra de Oliveira</w:t>
      </w:r>
      <w:bookmarkEnd w:id="59"/>
      <w:r w:rsidRPr="00771368">
        <w:rPr>
          <w:rStyle w:val="Refdenotaderodap"/>
          <w:sz w:val="24"/>
          <w:szCs w:val="24"/>
        </w:rPr>
        <w:footnoteReference w:id="115"/>
      </w:r>
      <w:r w:rsidRPr="00771368">
        <w:rPr>
          <w:sz w:val="24"/>
          <w:szCs w:val="24"/>
        </w:rPr>
        <w:t>.</w:t>
      </w:r>
    </w:p>
    <w:p w:rsidR="00D24E61" w:rsidRPr="00771368" w:rsidRDefault="00D24E61" w:rsidP="00D24E61">
      <w:pPr>
        <w:jc w:val="right"/>
        <w:rPr>
          <w:sz w:val="24"/>
          <w:szCs w:val="24"/>
        </w:rPr>
      </w:pPr>
      <w:r w:rsidRPr="00771368">
        <w:rPr>
          <w:sz w:val="24"/>
          <w:szCs w:val="24"/>
        </w:rPr>
        <w:t>Universidade Federal do Ceará (UFC).</w:t>
      </w:r>
    </w:p>
    <w:p w:rsidR="00D24E61" w:rsidRPr="00771368" w:rsidRDefault="00D24E61" w:rsidP="00D24E61">
      <w:pPr>
        <w:jc w:val="right"/>
        <w:rPr>
          <w:sz w:val="24"/>
          <w:szCs w:val="24"/>
        </w:rPr>
      </w:pPr>
      <w:r w:rsidRPr="00771368">
        <w:rPr>
          <w:sz w:val="24"/>
          <w:szCs w:val="24"/>
        </w:rPr>
        <w:t>Henrique Antunes Cunha Júnior</w:t>
      </w:r>
      <w:r w:rsidRPr="00771368">
        <w:rPr>
          <w:rStyle w:val="Refdenotaderodap"/>
          <w:sz w:val="24"/>
          <w:szCs w:val="24"/>
        </w:rPr>
        <w:footnoteReference w:id="116"/>
      </w:r>
      <w:r w:rsidRPr="00771368">
        <w:rPr>
          <w:sz w:val="24"/>
          <w:szCs w:val="24"/>
        </w:rPr>
        <w:t>.</w:t>
      </w:r>
    </w:p>
    <w:p w:rsidR="00D24E61" w:rsidRPr="00771368" w:rsidRDefault="00D24E61" w:rsidP="00D24E61">
      <w:pPr>
        <w:jc w:val="both"/>
        <w:rPr>
          <w:sz w:val="24"/>
          <w:szCs w:val="24"/>
        </w:rPr>
      </w:pPr>
    </w:p>
    <w:p w:rsidR="00D24E61" w:rsidRPr="00771368" w:rsidRDefault="00D24E61" w:rsidP="00D24E61">
      <w:pPr>
        <w:jc w:val="both"/>
        <w:rPr>
          <w:sz w:val="24"/>
          <w:szCs w:val="24"/>
        </w:rPr>
      </w:pPr>
    </w:p>
    <w:p w:rsidR="00D24E61" w:rsidRPr="00771368" w:rsidRDefault="00D24E61" w:rsidP="00D24E61">
      <w:pPr>
        <w:jc w:val="both"/>
        <w:rPr>
          <w:sz w:val="24"/>
          <w:szCs w:val="24"/>
        </w:rPr>
      </w:pPr>
    </w:p>
    <w:p w:rsidR="00D24E61" w:rsidRPr="00771368" w:rsidRDefault="00D24E61" w:rsidP="00D24E61">
      <w:pPr>
        <w:spacing w:line="360" w:lineRule="auto"/>
        <w:jc w:val="both"/>
        <w:rPr>
          <w:b/>
          <w:sz w:val="24"/>
          <w:szCs w:val="24"/>
        </w:rPr>
      </w:pPr>
      <w:r w:rsidRPr="00771368">
        <w:rPr>
          <w:b/>
          <w:sz w:val="24"/>
          <w:szCs w:val="24"/>
        </w:rPr>
        <w:t>Introdução.</w:t>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r w:rsidRPr="00771368">
        <w:rPr>
          <w:sz w:val="24"/>
          <w:szCs w:val="24"/>
        </w:rPr>
        <w:t>Situado no semiárido pernambucano, na Região do Araripe, distando 638 km da capital, Recife, encontra-se o município de Bodocó que teve seu desenvolvimento econômico e social através da comercialização de produtos locais e vindos de outros municípios vendidos nas feiras que ocorriam e ocorrem às segundas feiras. Esse fato é notório, pois até o ano de 1924 Bodocó era apenas distrito do município de Granito, mas como situava-se próximo a Serra do Araripe onde havia uma grande produção de farinha tornou-se ponto de venda deste produto ofertando-a em suas feiras semanais, fato que provocou a migração de pessoas para o, então, distrito que teve como consequência o desenvolvimento do lugar em termos de urbanização, bem como a transferência da sede municipal de Granito para Bodocó e sua posterior emancipação em junho de 1924 (</w:t>
      </w:r>
      <w:hyperlink r:id="rId290" w:history="1">
        <w:r w:rsidRPr="00771368">
          <w:rPr>
            <w:rStyle w:val="Hyperlink"/>
            <w:rFonts w:eastAsia="Calibri"/>
            <w:sz w:val="24"/>
            <w:szCs w:val="24"/>
          </w:rPr>
          <w:t>REGIÃO</w:t>
        </w:r>
      </w:hyperlink>
      <w:r w:rsidRPr="00771368">
        <w:rPr>
          <w:sz w:val="24"/>
          <w:szCs w:val="24"/>
        </w:rPr>
        <w:t>, fev. de 1975).</w:t>
      </w:r>
    </w:p>
    <w:p w:rsidR="00D24E61" w:rsidRPr="00771368" w:rsidRDefault="00D24E61" w:rsidP="00D24E61">
      <w:pPr>
        <w:spacing w:line="360" w:lineRule="auto"/>
        <w:jc w:val="both"/>
        <w:rPr>
          <w:sz w:val="24"/>
          <w:szCs w:val="24"/>
        </w:rPr>
      </w:pPr>
      <w:r w:rsidRPr="00771368">
        <w:rPr>
          <w:sz w:val="24"/>
          <w:szCs w:val="24"/>
        </w:rPr>
        <w:t>Nesse município cerca de 60% da população se dedica a agropecuária como atividade econômica</w:t>
      </w:r>
      <w:r w:rsidRPr="00771368">
        <w:rPr>
          <w:rStyle w:val="Refdenotaderodap"/>
          <w:sz w:val="24"/>
          <w:szCs w:val="24"/>
        </w:rPr>
        <w:footnoteReference w:id="117"/>
      </w:r>
      <w:r w:rsidRPr="00771368">
        <w:rPr>
          <w:sz w:val="24"/>
          <w:szCs w:val="24"/>
        </w:rPr>
        <w:t xml:space="preserve"> é onde encontramos um grande número de mulheres que vivem e trabalham na zona rural, assim estão diariamente lidando com a terra, com animais, com os filhos e sua educação, com os maridos ou pais, mas sem deixar de lado as festividades que são de costume da sua comunidade e que elas agem para manter. Dessa forma podemos observar que as sertanejas têm seu dia a dia ocupado por atividades diversas que, na maioria das vezes, elas possuem autonomia para resolver.</w:t>
      </w:r>
    </w:p>
    <w:p w:rsidR="00D24E61" w:rsidRPr="00771368" w:rsidRDefault="00D24E61" w:rsidP="00D24E61">
      <w:pPr>
        <w:spacing w:line="360" w:lineRule="auto"/>
        <w:jc w:val="both"/>
        <w:rPr>
          <w:sz w:val="24"/>
          <w:szCs w:val="24"/>
        </w:rPr>
      </w:pPr>
      <w:r w:rsidRPr="00771368">
        <w:rPr>
          <w:sz w:val="24"/>
          <w:szCs w:val="24"/>
        </w:rPr>
        <w:t>Circulando por entre as barracas colocadas para expor os produtos a serem vendidos na feira encontramos potes, panelas e pratos de barro, goma</w:t>
      </w:r>
      <w:r w:rsidRPr="00771368">
        <w:rPr>
          <w:rStyle w:val="Refdenotaderodap"/>
          <w:sz w:val="24"/>
          <w:szCs w:val="24"/>
        </w:rPr>
        <w:footnoteReference w:id="118"/>
      </w:r>
      <w:r w:rsidRPr="00771368">
        <w:rPr>
          <w:sz w:val="24"/>
          <w:szCs w:val="24"/>
        </w:rPr>
        <w:t xml:space="preserve"> e farinha de mandioca, cestaria, grãos, etc. Todos esses produtos tem ligação direta com as mulheres, pois os artefatos em barro são por elas produzidos, a goma é lavada</w:t>
      </w:r>
      <w:r w:rsidRPr="00771368">
        <w:rPr>
          <w:rStyle w:val="Refdenotaderodap"/>
          <w:sz w:val="24"/>
          <w:szCs w:val="24"/>
        </w:rPr>
        <w:footnoteReference w:id="119"/>
      </w:r>
      <w:r w:rsidRPr="00771368">
        <w:rPr>
          <w:sz w:val="24"/>
          <w:szCs w:val="24"/>
        </w:rPr>
        <w:t xml:space="preserve"> também por elas e a casa de farinha</w:t>
      </w:r>
      <w:r w:rsidRPr="00771368">
        <w:rPr>
          <w:rStyle w:val="Refdenotaderodap"/>
          <w:sz w:val="24"/>
          <w:szCs w:val="24"/>
        </w:rPr>
        <w:footnoteReference w:id="120"/>
      </w:r>
      <w:r w:rsidRPr="00771368">
        <w:rPr>
          <w:sz w:val="24"/>
          <w:szCs w:val="24"/>
        </w:rPr>
        <w:t xml:space="preserve"> tem presença maciça feminina que, na maioria das vezes só não torra a farinha e nem prensa a massa, o cultivo de grãos tem o trabalho de mulheres que também são comerciantes e levam seus produtos para serem comercializados (</w:t>
      </w:r>
      <w:hyperlink r:id="rId291" w:history="1">
        <w:r w:rsidRPr="00771368">
          <w:rPr>
            <w:rStyle w:val="Hyperlink"/>
            <w:rFonts w:eastAsia="Calibri"/>
            <w:sz w:val="24"/>
            <w:szCs w:val="24"/>
          </w:rPr>
          <w:t>OLIVEIRA</w:t>
        </w:r>
      </w:hyperlink>
      <w:r w:rsidRPr="00771368">
        <w:rPr>
          <w:sz w:val="24"/>
          <w:szCs w:val="24"/>
        </w:rPr>
        <w:t>, 2006). É comum encontrar a “mulher dos pratos de barro” e a “mulher da goma”, assim a presença feminina no desenvolvimento econômico local é inegável, só não é mencionada, pois para as correntes tradicionais da história as mulheres fazem parte do grupo dos invisibilizados ainda sendo mulher, negra, pobre e nordestina esse fato de invisibilidade se agrava (</w:t>
      </w:r>
      <w:hyperlink r:id="rId292" w:history="1">
        <w:r w:rsidRPr="00771368">
          <w:rPr>
            <w:rStyle w:val="Hyperlink"/>
            <w:rFonts w:eastAsia="Calibri"/>
            <w:sz w:val="24"/>
            <w:szCs w:val="24"/>
          </w:rPr>
          <w:t>PERROT</w:t>
        </w:r>
      </w:hyperlink>
      <w:r w:rsidRPr="00771368">
        <w:rPr>
          <w:sz w:val="24"/>
          <w:szCs w:val="24"/>
        </w:rPr>
        <w:t>, 2008).</w:t>
      </w:r>
    </w:p>
    <w:p w:rsidR="00D24E61" w:rsidRPr="00771368" w:rsidRDefault="00D24E61" w:rsidP="00D24E61">
      <w:pPr>
        <w:spacing w:line="360" w:lineRule="auto"/>
        <w:jc w:val="both"/>
        <w:rPr>
          <w:sz w:val="24"/>
          <w:szCs w:val="24"/>
        </w:rPr>
      </w:pPr>
      <w:r w:rsidRPr="00771368">
        <w:rPr>
          <w:sz w:val="24"/>
          <w:szCs w:val="24"/>
        </w:rPr>
        <w:t>No entanto é comum ouvirmos falar de movimento feminista e de suas conquistas. Da queima de sutiãs que foi marco desse movimento, do posto de trabalhadora assalariada que a mulher assumiu “deixando” de ser doméstica ou dona de casa. Assim, quando pensamos em feministas nos vêm à mente imagens de mulheres que ocupam lugares que antes eram ocupados por homens, mas não paramos para analisar melhor o que é esse feminismo (</w:t>
      </w:r>
      <w:hyperlink r:id="rId293" w:history="1">
        <w:r w:rsidRPr="00771368">
          <w:rPr>
            <w:rStyle w:val="Hyperlink"/>
            <w:rFonts w:eastAsia="Calibri"/>
            <w:sz w:val="24"/>
            <w:szCs w:val="24"/>
          </w:rPr>
          <w:t>SIQUEIRA</w:t>
        </w:r>
      </w:hyperlink>
      <w:r w:rsidRPr="00771368">
        <w:rPr>
          <w:sz w:val="24"/>
          <w:szCs w:val="24"/>
        </w:rPr>
        <w:t>,</w:t>
      </w:r>
      <w:r w:rsidRPr="00771368">
        <w:rPr>
          <w:color w:val="FF0000"/>
          <w:sz w:val="24"/>
          <w:szCs w:val="24"/>
        </w:rPr>
        <w:t xml:space="preserve"> </w:t>
      </w:r>
      <w:r w:rsidRPr="00771368">
        <w:rPr>
          <w:sz w:val="24"/>
          <w:szCs w:val="24"/>
        </w:rPr>
        <w:t>2012). Ele realmente consegue atender a todas as mulheres? Ou se trata de um movimento restrito relacionado a mulheres brancas de classe média?</w:t>
      </w:r>
    </w:p>
    <w:p w:rsidR="00D24E61" w:rsidRPr="00771368" w:rsidRDefault="00D24E61" w:rsidP="00D24E61">
      <w:pPr>
        <w:spacing w:line="360" w:lineRule="auto"/>
        <w:jc w:val="both"/>
        <w:rPr>
          <w:sz w:val="24"/>
          <w:szCs w:val="24"/>
        </w:rPr>
      </w:pPr>
      <w:r w:rsidRPr="00771368">
        <w:rPr>
          <w:sz w:val="24"/>
          <w:szCs w:val="24"/>
        </w:rPr>
        <w:t>Também é de senso comum o olhar sobre a mulher nordestina sertaneja. A mídia a coloca como um ser submisso, de traços físicos brutos pelo trabalho, mas, por outro lado, frágil pela relação de submissão em relação ao homem e ao meio ambiente árido e essa imagem acaba sendo multiplicada a ponto de não a enxergarmos como guerreiras feministas na luta diária pela sobrevivência da família, das tradições e de um povo.</w:t>
      </w:r>
    </w:p>
    <w:p w:rsidR="00D24E61" w:rsidRPr="00771368" w:rsidRDefault="00D24E61" w:rsidP="00D24E61">
      <w:pPr>
        <w:spacing w:line="360" w:lineRule="auto"/>
        <w:jc w:val="both"/>
        <w:rPr>
          <w:sz w:val="24"/>
          <w:szCs w:val="24"/>
        </w:rPr>
      </w:pPr>
      <w:r w:rsidRPr="00771368">
        <w:rPr>
          <w:sz w:val="24"/>
          <w:szCs w:val="24"/>
        </w:rPr>
        <w:t>Propomo-nos a revisitar as falas de mulheres com o objetivo de descobrir o feminismo presente em suas vivências mediante questões como: há protagonismo feminino na história de vida de mulheres negras sertanejas em Bodocó? É possível entender esse protagonismo como feminismo? O conceito tradicional de feminismo basta para analisar a luta cotidiana dessas mulheres? Arriscamo-nos a aventura de descobrir as respostas com base em reflexões pautadas em leituras acerca dos movimentos sociais, dando ênfase ao feminismo e as memórias tão necessárias nesse trabalho.</w:t>
      </w:r>
    </w:p>
    <w:p w:rsidR="00D24E61" w:rsidRPr="00771368" w:rsidRDefault="00D24E61" w:rsidP="00D24E61">
      <w:pPr>
        <w:spacing w:line="360" w:lineRule="auto"/>
        <w:jc w:val="both"/>
        <w:rPr>
          <w:sz w:val="24"/>
          <w:szCs w:val="24"/>
        </w:rPr>
      </w:pPr>
      <w:r w:rsidRPr="00771368">
        <w:rPr>
          <w:sz w:val="24"/>
          <w:szCs w:val="24"/>
        </w:rPr>
        <w:t>Assim, tendo como base de reflexão as informações acima é que nos propomos a revisitar memórias de mulheres negras sertanejas sob o método da História Oral e desenvolver uma análise sobre os movimentos sociais e sua relação com a resistência de um grupo e do feminismo enquanto conceito restrito que precisa ser alargado para poder abranger o movimento realizado no cotidiano das vidas dessas mulheres sertanejas que não podem ser analisadas sob o prisma de um parâmetro que não lhes abarca uma vez que o feminismo não pode ser um, pois as mulheres são diversas (</w:t>
      </w:r>
      <w:hyperlink r:id="rId294" w:history="1">
        <w:r w:rsidRPr="00771368">
          <w:rPr>
            <w:rStyle w:val="Hyperlink"/>
            <w:rFonts w:eastAsia="Calibri"/>
            <w:sz w:val="24"/>
            <w:szCs w:val="24"/>
          </w:rPr>
          <w:t>LERMA</w:t>
        </w:r>
      </w:hyperlink>
      <w:r w:rsidRPr="00771368">
        <w:rPr>
          <w:sz w:val="24"/>
          <w:szCs w:val="24"/>
        </w:rPr>
        <w:t>, 2010).</w:t>
      </w:r>
    </w:p>
    <w:p w:rsidR="00D24E61" w:rsidRPr="00771368" w:rsidRDefault="00D24E61">
      <w:pPr>
        <w:rPr>
          <w:sz w:val="24"/>
        </w:rPr>
      </w:pPr>
    </w:p>
    <w:p w:rsidR="00D24E61" w:rsidRPr="00771368" w:rsidRDefault="00D24E61">
      <w:pPr>
        <w:rPr>
          <w:sz w:val="24"/>
        </w:rPr>
      </w:pPr>
    </w:p>
    <w:p w:rsidR="00D24E61" w:rsidRPr="00771368" w:rsidRDefault="00D24E61" w:rsidP="00D24E61">
      <w:pPr>
        <w:pStyle w:val="PargrafodaLista"/>
        <w:spacing w:after="0" w:line="360" w:lineRule="auto"/>
        <w:ind w:left="0"/>
        <w:rPr>
          <w:rFonts w:ascii="Times New Roman" w:hAnsi="Times New Roman"/>
          <w:b/>
          <w:sz w:val="24"/>
          <w:szCs w:val="24"/>
        </w:rPr>
      </w:pPr>
      <w:r w:rsidRPr="00771368">
        <w:rPr>
          <w:rFonts w:ascii="Times New Roman" w:hAnsi="Times New Roman"/>
          <w:b/>
          <w:sz w:val="24"/>
          <w:szCs w:val="24"/>
        </w:rPr>
        <w:t>Memórias e Mulheres. Memórias de Mulheres.</w:t>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r w:rsidRPr="00771368">
        <w:rPr>
          <w:sz w:val="24"/>
          <w:szCs w:val="24"/>
        </w:rPr>
        <w:t xml:space="preserve">A partir de meados do século XX a memória passa a ter lugar de credibilidade no âmbito da pesquisa nas ciências humanas, mais especificamente na História. Ela passa a ser considerada fonte e, dessa forma, a ser evocada para constituir base de pesquisas. Porém, essa fonte tão rica deve ser analisada com cuidados específicos, assim como todas as outras, pois um documento oficial escrito também vem imbuído de subjetividade e de interesses. Mas, no trato com a memória que constitui segundo Le </w:t>
      </w:r>
      <w:hyperlink r:id="rId295" w:history="1">
        <w:r w:rsidRPr="00771368">
          <w:rPr>
            <w:rStyle w:val="Hyperlink"/>
            <w:rFonts w:eastAsia="Calibri"/>
            <w:sz w:val="24"/>
            <w:szCs w:val="24"/>
          </w:rPr>
          <w:t>Goff</w:t>
        </w:r>
      </w:hyperlink>
      <w:r w:rsidRPr="00771368">
        <w:rPr>
          <w:sz w:val="24"/>
          <w:szCs w:val="24"/>
        </w:rPr>
        <w:t xml:space="preserve"> (1996) a capacidade humana de conservar informações e revisitá-las, em que o ser humano pode atualizar informações passadas ou que considere importante.</w:t>
      </w:r>
    </w:p>
    <w:p w:rsidR="00D24E61" w:rsidRPr="00771368" w:rsidRDefault="00D24E61" w:rsidP="00D24E61">
      <w:pPr>
        <w:spacing w:line="360" w:lineRule="auto"/>
        <w:jc w:val="both"/>
        <w:rPr>
          <w:sz w:val="24"/>
          <w:szCs w:val="24"/>
        </w:rPr>
      </w:pPr>
      <w:r w:rsidRPr="00771368">
        <w:rPr>
          <w:sz w:val="24"/>
          <w:szCs w:val="24"/>
        </w:rPr>
        <w:t>Essas informações que ficam na memória não podem ser entendidas como fidedignas ao que ocorreu ou que ficaram completamente intactas com o decorrer dos anos, pois a memória não é um baú onde guardamos objetos e lá os encontramos tal qual deixamos (</w:t>
      </w:r>
      <w:hyperlink r:id="rId296" w:history="1">
        <w:r w:rsidRPr="00771368">
          <w:rPr>
            <w:rStyle w:val="Hyperlink"/>
            <w:rFonts w:eastAsia="Calibri"/>
            <w:sz w:val="24"/>
            <w:szCs w:val="24"/>
          </w:rPr>
          <w:t>BOSI</w:t>
        </w:r>
      </w:hyperlink>
      <w:r w:rsidRPr="00771368">
        <w:rPr>
          <w:sz w:val="24"/>
          <w:szCs w:val="24"/>
        </w:rPr>
        <w:t>, 1994). No ato de lembrar vem repleto de peripécias que o pesquisador deve estar atento em função daquilo que fica “guardado” aquilo que teve e tem importância para aquele que lembra, pois nem tudo ficou, já que nem tudo fica em função da seletividade autônoma da memória. “A memória também sofre flutuações que são função do momento em que ela é articulada, em que ela está sendo expressa. As preocupações do momento” também influem na elaboração e reelaboração da memória e, portanto, selecionam as lembranças. Essa construção pode ser consciente ou inconsciente e é dotada de uma organização realizada “em função das preocupações pessoais e políticas do momento” (</w:t>
      </w:r>
      <w:hyperlink r:id="rId297" w:history="1">
        <w:r w:rsidRPr="00771368">
          <w:rPr>
            <w:rStyle w:val="Hyperlink"/>
            <w:rFonts w:eastAsia="Calibri"/>
            <w:sz w:val="24"/>
            <w:szCs w:val="24"/>
          </w:rPr>
          <w:t>POLLAK</w:t>
        </w:r>
      </w:hyperlink>
      <w:r w:rsidRPr="00771368">
        <w:rPr>
          <w:sz w:val="24"/>
          <w:szCs w:val="24"/>
        </w:rPr>
        <w:t>, 1992, p. 203-204).</w:t>
      </w:r>
    </w:p>
    <w:p w:rsidR="00D24E61" w:rsidRPr="00771368" w:rsidRDefault="00295FC8" w:rsidP="00D24E61">
      <w:pPr>
        <w:tabs>
          <w:tab w:val="left" w:pos="1080"/>
        </w:tabs>
        <w:spacing w:line="360" w:lineRule="auto"/>
        <w:jc w:val="both"/>
        <w:rPr>
          <w:sz w:val="24"/>
          <w:szCs w:val="24"/>
        </w:rPr>
      </w:pPr>
      <w:hyperlink r:id="rId298" w:history="1">
        <w:r w:rsidR="00D24E61" w:rsidRPr="00771368">
          <w:rPr>
            <w:rStyle w:val="Hyperlink"/>
            <w:rFonts w:eastAsia="Calibri"/>
            <w:sz w:val="24"/>
            <w:szCs w:val="24"/>
          </w:rPr>
          <w:t>Bosi</w:t>
        </w:r>
      </w:hyperlink>
      <w:r w:rsidR="00D24E61" w:rsidRPr="00771368">
        <w:rPr>
          <w:sz w:val="24"/>
          <w:szCs w:val="24"/>
        </w:rPr>
        <w:t xml:space="preserve"> (1994) e </w:t>
      </w:r>
      <w:hyperlink r:id="rId299" w:history="1">
        <w:r w:rsidR="00D24E61" w:rsidRPr="00771368">
          <w:rPr>
            <w:rStyle w:val="Hyperlink"/>
            <w:rFonts w:eastAsia="Calibri"/>
            <w:sz w:val="24"/>
            <w:szCs w:val="24"/>
          </w:rPr>
          <w:t>Halbwachs</w:t>
        </w:r>
      </w:hyperlink>
      <w:r w:rsidR="00D24E61" w:rsidRPr="00771368">
        <w:rPr>
          <w:sz w:val="24"/>
          <w:szCs w:val="24"/>
        </w:rPr>
        <w:t xml:space="preserve"> (1990) concordam com </w:t>
      </w:r>
      <w:hyperlink r:id="rId300" w:history="1">
        <w:r w:rsidR="00D24E61" w:rsidRPr="00771368">
          <w:rPr>
            <w:rStyle w:val="Hyperlink"/>
            <w:rFonts w:eastAsia="Calibri"/>
            <w:sz w:val="24"/>
            <w:szCs w:val="24"/>
          </w:rPr>
          <w:t>Pollak</w:t>
        </w:r>
      </w:hyperlink>
      <w:r w:rsidR="00D24E61" w:rsidRPr="00771368">
        <w:rPr>
          <w:sz w:val="24"/>
          <w:szCs w:val="24"/>
        </w:rPr>
        <w:t xml:space="preserve"> (1992) na medida em que é colocada a questão do refazer da memória e não reviver; a memória quando evocada refaz o passado a partir do presente e, por isso, não há o reviver o passado tal qual ele ocorreu. Assim devemos saber que “na maior parte das vezes, lembrar não é reviver, mas refazer, repensar, com imagens e ideias de hoje, as experiências do passado. (...) deve-se duvidar da sobrevivência do passado, ‘tal como foi’...” (</w:t>
      </w:r>
      <w:hyperlink r:id="rId301" w:history="1">
        <w:r w:rsidR="00D24E61" w:rsidRPr="00771368">
          <w:rPr>
            <w:rStyle w:val="Hyperlink"/>
            <w:rFonts w:eastAsia="Calibri"/>
            <w:sz w:val="24"/>
            <w:szCs w:val="24"/>
          </w:rPr>
          <w:t>BOSI</w:t>
        </w:r>
      </w:hyperlink>
      <w:r w:rsidR="00D24E61" w:rsidRPr="00771368">
        <w:rPr>
          <w:sz w:val="24"/>
          <w:szCs w:val="24"/>
        </w:rPr>
        <w:t>, 1994, p. 55).</w:t>
      </w:r>
    </w:p>
    <w:p w:rsidR="00D24E61" w:rsidRPr="00771368" w:rsidRDefault="00D24E61" w:rsidP="00D24E61">
      <w:pPr>
        <w:tabs>
          <w:tab w:val="left" w:pos="1080"/>
        </w:tabs>
        <w:spacing w:line="360" w:lineRule="auto"/>
        <w:jc w:val="both"/>
        <w:rPr>
          <w:sz w:val="24"/>
          <w:szCs w:val="24"/>
        </w:rPr>
      </w:pPr>
      <w:r w:rsidRPr="00771368">
        <w:rPr>
          <w:sz w:val="24"/>
          <w:szCs w:val="24"/>
        </w:rPr>
        <w:t>Analisando com cuidado essa fonte histórica podemos observar a riqueza de informações que ela nos transmite uma vez que é constituída pelos acontecimentos vividos pessoalmente e pelos acontecimentos “vividos por tabela”, ou seja, pelo grupo ao qual a pessoa que lembra faz parte. Isso porque há a transmissão dos acontecimentos vividos pela coletividade; por personagens, pessoas, encontrados no decorrer da vida ou que são conhecidos pela memória coletiva, pois nem sempre é necessário conhecê-los pessoalmente, mas ter conhecimento, lembrança, de suas ideias, ações ou de suas vidas. Por último temos os lugares ligados às lembranças individuais – que podem ou não estar ligados a um tempo cronológico – ou às lembranças públicas onde encontraremos lugares de comemorações, monumentos, etc. (</w:t>
      </w:r>
      <w:hyperlink r:id="rId302" w:history="1">
        <w:r w:rsidRPr="00771368">
          <w:rPr>
            <w:rStyle w:val="Hyperlink"/>
            <w:rFonts w:eastAsia="Calibri"/>
            <w:sz w:val="24"/>
            <w:szCs w:val="24"/>
          </w:rPr>
          <w:t>POLLAK</w:t>
        </w:r>
      </w:hyperlink>
      <w:r w:rsidRPr="00771368">
        <w:rPr>
          <w:sz w:val="24"/>
          <w:szCs w:val="24"/>
        </w:rPr>
        <w:t>, 1992, p. 201-202).</w:t>
      </w:r>
    </w:p>
    <w:p w:rsidR="00D24E61" w:rsidRPr="00771368" w:rsidRDefault="00D24E61" w:rsidP="00D24E61">
      <w:pPr>
        <w:tabs>
          <w:tab w:val="left" w:pos="1080"/>
          <w:tab w:val="left" w:pos="1260"/>
        </w:tabs>
        <w:spacing w:line="360" w:lineRule="auto"/>
        <w:jc w:val="both"/>
        <w:rPr>
          <w:sz w:val="24"/>
          <w:szCs w:val="24"/>
        </w:rPr>
      </w:pPr>
      <w:r w:rsidRPr="00771368">
        <w:rPr>
          <w:sz w:val="24"/>
          <w:szCs w:val="24"/>
        </w:rPr>
        <w:t xml:space="preserve">Analisando os estudos sobre memória não é difícil encontrar dois “tipos” de memória: a individual e a coletiva onde, na concepção de </w:t>
      </w:r>
      <w:hyperlink r:id="rId303" w:history="1">
        <w:r w:rsidRPr="00771368">
          <w:rPr>
            <w:rStyle w:val="Hyperlink"/>
            <w:rFonts w:eastAsia="Calibri"/>
            <w:sz w:val="24"/>
            <w:szCs w:val="24"/>
          </w:rPr>
          <w:t>Halbwachs</w:t>
        </w:r>
      </w:hyperlink>
      <w:r w:rsidRPr="00771368">
        <w:rPr>
          <w:sz w:val="24"/>
          <w:szCs w:val="24"/>
        </w:rPr>
        <w:t xml:space="preserve"> (1990), a primeira é a base do ato de guardar e de lembrar. A segunda (coletiva) consiste em uma lembrança de algo vivido ou testemunhado por várias pessoas em seu convívio social. Pode ser também uma experiência vivida só, ou seja, desacompanhado, mas com o auxílio ou a presença da memória de outros. É a memória dos acontecimentos sociais, do grupo, que os indivíduos guardam, mas ainda com o caráter individual que provoca a diferenciação no lembrar, mas mantendo sempre pontos comuns. Essas duas memórias precisam uma da outra e estão em constante relacionamento, pois a memória coletiva é entendida como versão acordada pelo grupo sobre um passado comum. “Se a memória coletiva tira sua força e sua duração o fato de ter por suporte um conjunto de homens, não obstante eles são indivíduos que se lembram, enquanto membros do grupo” (</w:t>
      </w:r>
      <w:r w:rsidRPr="00771368">
        <w:rPr>
          <w:i/>
          <w:sz w:val="24"/>
          <w:szCs w:val="24"/>
        </w:rPr>
        <w:t>Id</w:t>
      </w:r>
      <w:r w:rsidRPr="00771368">
        <w:rPr>
          <w:sz w:val="24"/>
          <w:szCs w:val="24"/>
        </w:rPr>
        <w:t xml:space="preserve">. </w:t>
      </w:r>
      <w:r w:rsidRPr="00771368">
        <w:rPr>
          <w:i/>
          <w:sz w:val="24"/>
          <w:szCs w:val="24"/>
        </w:rPr>
        <w:t>Ibidem</w:t>
      </w:r>
      <w:r w:rsidRPr="00771368">
        <w:rPr>
          <w:sz w:val="24"/>
          <w:szCs w:val="24"/>
        </w:rPr>
        <w:t xml:space="preserve"> p.51).</w:t>
      </w:r>
    </w:p>
    <w:p w:rsidR="00D24E61" w:rsidRPr="00771368" w:rsidRDefault="00D24E61" w:rsidP="00D24E61">
      <w:pPr>
        <w:tabs>
          <w:tab w:val="left" w:pos="1080"/>
        </w:tabs>
        <w:spacing w:line="360" w:lineRule="auto"/>
        <w:jc w:val="both"/>
        <w:rPr>
          <w:sz w:val="24"/>
          <w:szCs w:val="24"/>
        </w:rPr>
      </w:pPr>
      <w:r w:rsidRPr="00771368">
        <w:rPr>
          <w:sz w:val="24"/>
          <w:szCs w:val="24"/>
        </w:rPr>
        <w:t>Ao evocar as lembranças de mulheres negras sertanejas coube o cuidado com essas características que a memória tem, mas reconhecendo que a identidade individual e coletiva tem suas bases ou pontos de referência em conhecimentos vividos pessoalmente ou “por tabela”, em ensinamentos, na tradição de um grupo, etc. Esses itens são encontrados na memória. É ela que guarda as diretrizes de organização e de aceitação de um grupo social. Um indivíduo para ser aceito em um determinado grupo deve seguir suas diretrizes uma vez que faz parte dele, passa a adquirir suas características o que o identifica para ele mesmo e para os outros.</w:t>
      </w:r>
    </w:p>
    <w:p w:rsidR="00D24E61" w:rsidRPr="00771368" w:rsidRDefault="00D24E61" w:rsidP="00D24E61">
      <w:pPr>
        <w:tabs>
          <w:tab w:val="left" w:pos="1080"/>
        </w:tabs>
        <w:spacing w:line="360" w:lineRule="auto"/>
        <w:jc w:val="both"/>
        <w:rPr>
          <w:sz w:val="24"/>
          <w:szCs w:val="24"/>
        </w:rPr>
      </w:pPr>
      <w:r w:rsidRPr="00771368">
        <w:rPr>
          <w:sz w:val="24"/>
          <w:szCs w:val="24"/>
        </w:rPr>
        <w:t xml:space="preserve">A identidade social é desenvolvida pelo indivíduo para si e para os outros, porém há um elemento da definição dessa identidade que foge ao alcance do indivíduo por consequência do grupo. Esse elemento é o outro. </w:t>
      </w:r>
      <w:hyperlink r:id="rId304" w:history="1">
        <w:r w:rsidRPr="00771368">
          <w:rPr>
            <w:rStyle w:val="Hyperlink"/>
            <w:rFonts w:eastAsia="Calibri"/>
            <w:sz w:val="24"/>
            <w:szCs w:val="24"/>
          </w:rPr>
          <w:t>Pollak</w:t>
        </w:r>
      </w:hyperlink>
      <w:r w:rsidRPr="00771368">
        <w:rPr>
          <w:sz w:val="24"/>
          <w:szCs w:val="24"/>
        </w:rPr>
        <w:t xml:space="preserve"> (1992) coloca que ninguém constrói uma autoimagem isenta de transformação realizada através da negociação com o outro, pois a identidade social é algo que se constrói em referência aos critérios de aceitabilidade do outro, do grupo social.</w:t>
      </w:r>
    </w:p>
    <w:p w:rsidR="00D24E61" w:rsidRPr="00771368" w:rsidRDefault="00D24E61" w:rsidP="00D24E61">
      <w:pPr>
        <w:tabs>
          <w:tab w:val="left" w:pos="1080"/>
        </w:tabs>
        <w:spacing w:line="360" w:lineRule="auto"/>
        <w:jc w:val="both"/>
        <w:rPr>
          <w:sz w:val="24"/>
          <w:szCs w:val="24"/>
        </w:rPr>
      </w:pPr>
      <w:r w:rsidRPr="00771368">
        <w:rPr>
          <w:sz w:val="24"/>
          <w:szCs w:val="24"/>
        </w:rPr>
        <w:t>A construção da identidade se dá a partir dos antecedentes históricos de um indivíduo, ou seja, além de ser constituída por meio de negociação para adquirir a aceitação do outro a identidade tem como base o conteúdo da memória do indivíduo que lhe proporciona o “sentimento de continuidade e de coerência”. Logo, são as características adquiridas na vivência e que estão guardadas na memória que marcam a identidade as quais são negociadas para aceitação do outro. A memória ainda atua na formação identitária do velho, pois ele identifica-se com grupos sociais e tem seu sentimento identitário individual a partir da memória. É recordando o passado que ele se identifica a um grupo de amigos na juventude, com o grupo do trabalho, etc. Nas lembranças que ele lembra como chegou onde está, isto é, que acontecimentos foram vividos e como foram vistos, analisados, tratados para a formação da identidade do momento (</w:t>
      </w:r>
      <w:hyperlink r:id="rId305" w:history="1">
        <w:r w:rsidRPr="00771368">
          <w:rPr>
            <w:rStyle w:val="Hyperlink"/>
            <w:rFonts w:eastAsia="Calibri"/>
            <w:sz w:val="24"/>
            <w:szCs w:val="24"/>
          </w:rPr>
          <w:t>POLAK</w:t>
        </w:r>
      </w:hyperlink>
      <w:r w:rsidRPr="00771368">
        <w:rPr>
          <w:sz w:val="24"/>
          <w:szCs w:val="24"/>
        </w:rPr>
        <w:t>, 1992; BOSI, 1994). Assim, através das memórias as mulheres entrevistadas nos deixam transparecer sua vivência, experiências, relações sociais e tradições que marcam sua identidade e mostram suas histórias de luta e feminismo cotidiano.</w:t>
      </w:r>
    </w:p>
    <w:p w:rsidR="00D24E61" w:rsidRPr="00771368" w:rsidRDefault="00D24E61" w:rsidP="00D24E61">
      <w:pPr>
        <w:tabs>
          <w:tab w:val="left" w:pos="851"/>
        </w:tabs>
        <w:spacing w:line="360" w:lineRule="auto"/>
        <w:jc w:val="both"/>
        <w:rPr>
          <w:i/>
          <w:sz w:val="24"/>
          <w:szCs w:val="24"/>
        </w:rPr>
      </w:pPr>
    </w:p>
    <w:p w:rsidR="00D24E61" w:rsidRPr="00771368" w:rsidRDefault="00D24E61" w:rsidP="00D24E61">
      <w:pPr>
        <w:tabs>
          <w:tab w:val="left" w:pos="851"/>
        </w:tabs>
        <w:spacing w:line="360" w:lineRule="auto"/>
        <w:jc w:val="both"/>
        <w:rPr>
          <w:i/>
          <w:sz w:val="24"/>
          <w:szCs w:val="24"/>
        </w:rPr>
      </w:pPr>
      <w:r w:rsidRPr="00771368">
        <w:rPr>
          <w:i/>
          <w:sz w:val="24"/>
          <w:szCs w:val="24"/>
        </w:rPr>
        <w:t>Memórias de Mulheres.</w:t>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r w:rsidRPr="00771368">
        <w:rPr>
          <w:sz w:val="24"/>
          <w:szCs w:val="24"/>
        </w:rPr>
        <w:t xml:space="preserve">Segundo </w:t>
      </w:r>
      <w:hyperlink r:id="rId306" w:history="1">
        <w:r w:rsidRPr="00771368">
          <w:rPr>
            <w:rStyle w:val="Hyperlink"/>
            <w:rFonts w:eastAsia="Calibri"/>
            <w:sz w:val="24"/>
            <w:szCs w:val="24"/>
          </w:rPr>
          <w:t>Perrot</w:t>
        </w:r>
      </w:hyperlink>
      <w:r w:rsidRPr="00771368">
        <w:rPr>
          <w:sz w:val="24"/>
          <w:szCs w:val="24"/>
        </w:rPr>
        <w:t xml:space="preserve"> (2008) a História das Mulheres ganhou visibilidade a partir de 1960, principalmente em países como Inglaterra e França fato que se encontra dentro do movimento da chamada Nova História em prol do alargamento de conceitos, temas e fontes históricas. Assim, ficamos ligados à memória para tratar das mulheres uma vez que a historiografia oficial se deteve a narrar à história dos grupos dominantes caracterizados como homens e ricos. A história oral, que se propõem a construção de trabalhos históricos tendo como fonte a memória (oralidade) promove um alargamento na visão histórica, pois “o trabalho da história oral junto aos segmentos populares resgata um nível de historicidade que comumente era conhecida através da versão dos meios oficiais” (</w:t>
      </w:r>
      <w:hyperlink r:id="rId307" w:history="1">
        <w:r w:rsidRPr="00771368">
          <w:rPr>
            <w:rStyle w:val="Hyperlink"/>
            <w:rFonts w:eastAsia="Calibri"/>
            <w:sz w:val="24"/>
            <w:szCs w:val="24"/>
          </w:rPr>
          <w:t>MONTENEGRO</w:t>
        </w:r>
      </w:hyperlink>
      <w:r w:rsidRPr="00771368">
        <w:rPr>
          <w:sz w:val="24"/>
          <w:szCs w:val="24"/>
        </w:rPr>
        <w:t>, 1992, p. 16).</w:t>
      </w:r>
    </w:p>
    <w:p w:rsidR="00D24E61" w:rsidRPr="00771368" w:rsidRDefault="00D24E61" w:rsidP="00D24E61">
      <w:pPr>
        <w:spacing w:line="360" w:lineRule="auto"/>
        <w:jc w:val="both"/>
        <w:rPr>
          <w:sz w:val="24"/>
          <w:szCs w:val="24"/>
        </w:rPr>
      </w:pPr>
      <w:r w:rsidRPr="00771368">
        <w:rPr>
          <w:sz w:val="24"/>
          <w:szCs w:val="24"/>
        </w:rPr>
        <w:t>Discutimos o tema proposto com a exposição das memórias a partir das lembranças de Dona Odete e Dona Maria Ermínia. Em 2006 entrevistamos algumas pessoas com o intuito de descobrir como era o trabalho nas casas de farinha de Bodocó (PE) e qual a importância do velho nesse ambiente produtivo, mas percebemos que nas falas, que não foram cerceadas pelas perguntas, muitos outros assuntos podem ser tratados como, por exemplo, o feminismo na vida dessas mulheres. Dona Odete, hoje com 77 anos, e Dona Maria Ermínia, que teria 76 anos caso não tivesse falecido há dois anos, são mulheres que viveram até a ocasião da aposentadoria na zona rural de Bodocó e tem suas histórias intrinsecamente ligadas ao trabalho no campo, mais especificamente à produção de farinha. Em suas memórias podemos perceber a ligação direta da mulher no trabalho de sustento da família não só em atividades domésticas, mas na produção da farinha, a goma, a criação de animais ou na produção de grãos. Essas atividades geram produtos que servem para o consumo familiar e também para o comércio.</w:t>
      </w:r>
    </w:p>
    <w:p w:rsidR="00D24E61" w:rsidRPr="00771368" w:rsidRDefault="00D24E61" w:rsidP="00D24E61">
      <w:pPr>
        <w:spacing w:line="360" w:lineRule="auto"/>
        <w:jc w:val="both"/>
        <w:rPr>
          <w:sz w:val="24"/>
          <w:szCs w:val="24"/>
        </w:rPr>
      </w:pPr>
      <w:r w:rsidRPr="00771368">
        <w:rPr>
          <w:sz w:val="24"/>
          <w:szCs w:val="24"/>
        </w:rPr>
        <w:t>A produção de farinha tem início no campo ou roça, pois primeiro é necessário cultivar o tubérculo, depois arrancá-lo do chão e transportá-lo para o aviamento onde será matéria prima. Esse primeiro trabalho geralmente é realizado por homens, no entanto há mulheres que ajudam. Chegando ao lugar de destino a mandioca é recebida por um grupo de mulheres que se encarregam de descascá-la ao som de músicas ou “cantigas” que revelam os costumes do lugar ou que contam estórias, mitos. Nesse momento, sentadas no chão elas conversam e cantam enquanto realizam o trabalho, fazendo, dessa maneira, a transmissão da cultura e dos costumes locais já que ali estão presentes idosas, jovens e crianças. Através da palavra que “comunica de boca à orelha a experiência de uma geração à outra, transmite o àse</w:t>
      </w:r>
      <w:r w:rsidRPr="00771368">
        <w:rPr>
          <w:rStyle w:val="Refdenotaderodap"/>
          <w:sz w:val="24"/>
          <w:szCs w:val="24"/>
        </w:rPr>
        <w:footnoteReference w:id="121"/>
      </w:r>
      <w:r w:rsidRPr="00771368">
        <w:rPr>
          <w:sz w:val="24"/>
          <w:szCs w:val="24"/>
        </w:rPr>
        <w:t xml:space="preserve"> concentrado dos antepassados a gerações do presente” (</w:t>
      </w:r>
      <w:hyperlink r:id="rId308" w:history="1">
        <w:r w:rsidRPr="00771368">
          <w:rPr>
            <w:rStyle w:val="Hyperlink"/>
            <w:rFonts w:eastAsia="Calibri"/>
            <w:sz w:val="24"/>
            <w:szCs w:val="24"/>
          </w:rPr>
          <w:t>SANTOS</w:t>
        </w:r>
      </w:hyperlink>
      <w:r w:rsidRPr="00771368">
        <w:rPr>
          <w:sz w:val="24"/>
          <w:szCs w:val="24"/>
        </w:rPr>
        <w:t xml:space="preserve">, 1988, p. 46, </w:t>
      </w:r>
      <w:r w:rsidRPr="00771368">
        <w:rPr>
          <w:i/>
          <w:sz w:val="24"/>
          <w:szCs w:val="24"/>
        </w:rPr>
        <w:t>apud</w:t>
      </w:r>
      <w:r w:rsidRPr="00771368">
        <w:rPr>
          <w:sz w:val="24"/>
          <w:szCs w:val="24"/>
        </w:rPr>
        <w:t xml:space="preserve"> MARTINS, 1997, p. 147). </w:t>
      </w:r>
    </w:p>
    <w:p w:rsidR="00D24E61" w:rsidRPr="00771368" w:rsidRDefault="00D24E61" w:rsidP="00D24E61">
      <w:pPr>
        <w:tabs>
          <w:tab w:val="left" w:pos="1080"/>
        </w:tabs>
        <w:spacing w:line="360" w:lineRule="auto"/>
        <w:jc w:val="both"/>
        <w:rPr>
          <w:sz w:val="24"/>
          <w:szCs w:val="24"/>
        </w:rPr>
      </w:pPr>
      <w:r w:rsidRPr="00771368">
        <w:rPr>
          <w:sz w:val="24"/>
          <w:szCs w:val="24"/>
        </w:rPr>
        <w:t>Este ato de transmissão dos costumes para manter o grupo constitui um ato de resistência contra a onda globalizante que se estende pelo mundo, uma forma de afirmação cultural e identitário em que traços culturais identificam determinado grupo. A palavra nas sociedades africanas é dotada de grande importância e significado, pois ela é “fator de indubitável relevância na transmissão do conhecimento [...] garante a existência dos seres, a resistência e também a continuidade de práticas religiosas e culturais” (</w:t>
      </w:r>
      <w:hyperlink r:id="rId309" w:history="1">
        <w:r w:rsidRPr="00771368">
          <w:rPr>
            <w:rStyle w:val="Hyperlink"/>
            <w:rFonts w:eastAsia="Calibri"/>
            <w:sz w:val="24"/>
            <w:szCs w:val="24"/>
          </w:rPr>
          <w:t>DOMINGOS</w:t>
        </w:r>
      </w:hyperlink>
      <w:r w:rsidRPr="00771368">
        <w:rPr>
          <w:sz w:val="24"/>
          <w:szCs w:val="24"/>
        </w:rPr>
        <w:t>, 2011, p. 159). Nas casas de farinha a palavra era por elas utilizada para transmitir seus conhecimentos a cerca da produção, do trabalho, para criar novos saberes e manter a tradição em que estavam inseridas. Aqui a palavra não é mera convenção para nomear as coisas ela é viva, criadora, criativa, mantenedora, ela é essência o cerne das coisas existentes e está na origem de tudo (</w:t>
      </w:r>
      <w:hyperlink r:id="rId310" w:history="1">
        <w:r w:rsidRPr="00771368">
          <w:rPr>
            <w:rStyle w:val="Hyperlink"/>
            <w:rFonts w:eastAsia="Calibri"/>
            <w:sz w:val="24"/>
            <w:szCs w:val="24"/>
          </w:rPr>
          <w:t>CUNHA</w:t>
        </w:r>
      </w:hyperlink>
      <w:r w:rsidRPr="00771368">
        <w:rPr>
          <w:sz w:val="24"/>
          <w:szCs w:val="24"/>
        </w:rPr>
        <w:t xml:space="preserve"> Jr., 2009, p.8).</w:t>
      </w:r>
    </w:p>
    <w:p w:rsidR="00D24E61" w:rsidRPr="00771368" w:rsidRDefault="00D24E61" w:rsidP="00D24E61">
      <w:pPr>
        <w:tabs>
          <w:tab w:val="left" w:pos="1080"/>
        </w:tabs>
        <w:spacing w:line="360" w:lineRule="auto"/>
        <w:jc w:val="both"/>
        <w:rPr>
          <w:sz w:val="24"/>
          <w:szCs w:val="24"/>
        </w:rPr>
      </w:pPr>
      <w:r w:rsidRPr="00771368">
        <w:rPr>
          <w:sz w:val="24"/>
          <w:szCs w:val="24"/>
        </w:rPr>
        <w:t>Após ser descascada a mandioca tinha que ser triturada ou cevada. Essa etapa desenvolvida por homens ou mulheres como afirma D. Odete: “cevei muito a mandioca na bola porque eles achavam que minha mão era mais maneira, cevei muito” (10/09/06).  A massa feita a partir desse processo é levada para a prensa onde será prensada para ser retirada a manipueira</w:t>
      </w:r>
      <w:r w:rsidRPr="00771368">
        <w:rPr>
          <w:rStyle w:val="Refdenotaderodap"/>
          <w:sz w:val="24"/>
          <w:szCs w:val="24"/>
        </w:rPr>
        <w:footnoteReference w:id="122"/>
      </w:r>
      <w:r w:rsidRPr="00771368">
        <w:rPr>
          <w:sz w:val="24"/>
          <w:szCs w:val="24"/>
        </w:rPr>
        <w:t>. Dona Maria Ermínia, foi lavadeira de goma na casa de farinha do pai, disse que “da manipueira saia a goma. A gente lavava muita goma pra fazer, merenda, tapioca, beiju...” (16/09/06). Em meio ao trabalho se encontravam as crianças que recebiam as orientações das mais velhas, Dona Odete conta que quando criança ficava no aviamento tentando fazer alguma coisa e de vez enquanto raspava mandioca, mas “naquele tempo tinha muito respeito, a gente fazia sempre o que os mais velhos mandavam se dissessem: ‘faça isso assim’ agente ia lá e fazia tudo direito” (10/09/06). Pessoas de todas as idades estavam no aviamento trabalhando, observando, ensinando e aprendendo, mas principalmente fazendo resistir e persistir seus traços culturais, pois além das cantigas e do trabalho também havias as histórias contadas onde “os velhos ia pra o aviamento pra contar histórias de trancoso</w:t>
      </w:r>
      <w:r w:rsidRPr="00771368">
        <w:rPr>
          <w:rStyle w:val="Refdenotaderodap"/>
          <w:sz w:val="24"/>
          <w:szCs w:val="24"/>
        </w:rPr>
        <w:footnoteReference w:id="123"/>
      </w:r>
      <w:r w:rsidRPr="00771368">
        <w:rPr>
          <w:sz w:val="24"/>
          <w:szCs w:val="24"/>
        </w:rPr>
        <w:t>, anedotas, animar o lugar. Eles gostavam de comer tapioca. Eu achava bom, ria” (D. Odete, 10/09/06).</w:t>
      </w:r>
    </w:p>
    <w:p w:rsidR="00D24E61" w:rsidRPr="00771368" w:rsidRDefault="00D24E61" w:rsidP="00D24E61">
      <w:pPr>
        <w:tabs>
          <w:tab w:val="left" w:pos="1080"/>
        </w:tabs>
        <w:spacing w:line="360" w:lineRule="auto"/>
        <w:jc w:val="both"/>
        <w:rPr>
          <w:sz w:val="24"/>
          <w:szCs w:val="24"/>
        </w:rPr>
      </w:pPr>
      <w:r w:rsidRPr="00771368">
        <w:rPr>
          <w:sz w:val="24"/>
          <w:szCs w:val="24"/>
        </w:rPr>
        <w:t xml:space="preserve">Além se sua presença no trabalho produtivo, pudemos perceber que a mulher também estava envolvida na administração da produção, pois em algumas falas nossas entrevistadas colocam como tratavam com os trabalhadores e de que forma estes eram pagos quando não pertenciam a família que estava produzindo. Dona Odete que foi filha de dono de aviamento e seu esposo também possuía uma casa de farinha passou muitos anos de sua vida em meio a este trabalho. </w:t>
      </w:r>
    </w:p>
    <w:p w:rsidR="00D24E61" w:rsidRPr="00771368" w:rsidRDefault="00D24E61" w:rsidP="00D24E61">
      <w:pPr>
        <w:tabs>
          <w:tab w:val="left" w:pos="1080"/>
        </w:tabs>
        <w:spacing w:line="360" w:lineRule="auto"/>
        <w:jc w:val="both"/>
        <w:rPr>
          <w:sz w:val="24"/>
          <w:szCs w:val="24"/>
        </w:rPr>
      </w:pPr>
      <w:r w:rsidRPr="00771368">
        <w:rPr>
          <w:sz w:val="24"/>
          <w:szCs w:val="24"/>
        </w:rPr>
        <w:t>Evocando suas lembranças contou que quando era tempo de farinhada era necessário um grande número de mão de obra, assim somente as pessoas da família não eram suficientes para a produção então tinham que contratar trabalhadores e tinham que oferecer comida durante toda a produção que poderia passar toda a noite além do dia. Ela organizava as mulheres que faziam a comida e lavavam goma, mas também pagavam aos trabalhadores e conta como era o cálculo do pagamento do torrador “antigamente não era saco a farinha era na quarta, oito cuia era uma quarta. O torrador tinha que fazer oito cuias e cobrava por quarta. Aí quando ia medir no forno pra botar no saco aí pagava a ele” (10/09/06).</w:t>
      </w:r>
    </w:p>
    <w:p w:rsidR="00D24E61" w:rsidRPr="00771368" w:rsidRDefault="00D24E61" w:rsidP="00D24E61">
      <w:pPr>
        <w:tabs>
          <w:tab w:val="left" w:pos="1080"/>
        </w:tabs>
        <w:spacing w:line="360" w:lineRule="auto"/>
        <w:jc w:val="both"/>
        <w:rPr>
          <w:sz w:val="24"/>
          <w:szCs w:val="24"/>
        </w:rPr>
      </w:pPr>
      <w:r w:rsidRPr="00771368">
        <w:rPr>
          <w:sz w:val="24"/>
          <w:szCs w:val="24"/>
        </w:rPr>
        <w:t>A farinhada que D. Odete se referiu era o momento de safra nos campos de mandioca onde a produção era grande e então tinha que mobilizar grande número de mão de obra o que acabava se tornando uma grande festa, pois à noite ao concluir o trabalho que foi regado à café, cachaça, tapioca e beiju, se reuniam todos no terreiro e iam “dançar uma palma”. Era chamado um sanfoneiro e um zabumbeiro para tocar, as mulheres puxavam o coro e todos se juntavam em uma grande roda para dançar e cantar.</w:t>
      </w:r>
    </w:p>
    <w:p w:rsidR="00D24E61" w:rsidRPr="00771368" w:rsidRDefault="00D24E61" w:rsidP="00D24E61">
      <w:pPr>
        <w:tabs>
          <w:tab w:val="left" w:pos="1080"/>
        </w:tabs>
        <w:spacing w:line="360" w:lineRule="auto"/>
        <w:jc w:val="both"/>
        <w:rPr>
          <w:sz w:val="24"/>
          <w:szCs w:val="24"/>
        </w:rPr>
      </w:pPr>
      <w:r w:rsidRPr="00771368">
        <w:rPr>
          <w:sz w:val="24"/>
          <w:szCs w:val="24"/>
        </w:rPr>
        <w:t>Assim o aviamento não era local apenas de trabalho, mas de diversão, de manutenção da cultura e de investidas femininas na produção, nos ensinamentos, nas músicas e danças, na administração e na quebra de tabus. Na época era pouco comum mulheres se aproximarem de homens, geralmente eles demonstravam seu interesse, mas D. Maria Ermínia fez diferente aproveitou o movimento de peneirar a massa de mandioca pra mostrar que sabia o que queria e ia em busca: “Ele era prenseiro e depois tinha que penerá a massa, eu ia ajudá a penerá e aí conheci hoje (ri). E... até hoje. A gente conversava e tudo na peneira” (02/09/06). E para deixar seu Minano (seu esposo) ainda mais sem jeito Dona Ermínia disse que com eles foi igual a música “tava na penera tava penerano, tava no namoro tava namorano”</w:t>
      </w:r>
      <w:r w:rsidRPr="00771368">
        <w:rPr>
          <w:i/>
          <w:sz w:val="24"/>
          <w:szCs w:val="24"/>
        </w:rPr>
        <w:t xml:space="preserve"> </w:t>
      </w:r>
      <w:r w:rsidRPr="00771368">
        <w:rPr>
          <w:sz w:val="24"/>
          <w:szCs w:val="24"/>
        </w:rPr>
        <w:t xml:space="preserve">e fala rindo, feliz com as lembranças alegres que tem do seu tempo de trabalho na produção de farinha.  </w:t>
      </w:r>
    </w:p>
    <w:p w:rsidR="00D24E61" w:rsidRPr="00771368" w:rsidRDefault="00D24E61" w:rsidP="00D24E61">
      <w:pPr>
        <w:tabs>
          <w:tab w:val="left" w:pos="1080"/>
        </w:tabs>
        <w:spacing w:line="360" w:lineRule="auto"/>
        <w:jc w:val="both"/>
        <w:rPr>
          <w:sz w:val="24"/>
          <w:szCs w:val="24"/>
        </w:rPr>
      </w:pPr>
      <w:r w:rsidRPr="00771368">
        <w:rPr>
          <w:sz w:val="24"/>
          <w:szCs w:val="24"/>
        </w:rPr>
        <w:t>Nas memórias evocadas e expostas através da oralidade temos a percepção de como as mulheres eram protagonistas e não coadjuvantes no processo produtivo que assegurava o sustento de suas famílias e as tradições locais, ao mesmo tempo em que iam conquistando espaços e adquirindo saberes antes dos homens, mas numa “silenciosa” luta pela permanência do grupo e das suas tradições por meio dos ensinamentos onde “a palavra oral, assim realiza-se como linguagem, conhecimento e fruição porque alia, em sua dicção e veridicção, a música, o gesto, a dança, o canto, e porque exige propriedade de adequação em sua execução” (</w:t>
      </w:r>
      <w:hyperlink r:id="rId311" w:history="1">
        <w:r w:rsidRPr="00771368">
          <w:rPr>
            <w:rStyle w:val="Hyperlink"/>
            <w:rFonts w:eastAsia="Calibri"/>
            <w:sz w:val="24"/>
            <w:szCs w:val="24"/>
          </w:rPr>
          <w:t>MARTINS</w:t>
        </w:r>
      </w:hyperlink>
      <w:r w:rsidRPr="00771368">
        <w:rPr>
          <w:sz w:val="24"/>
          <w:szCs w:val="24"/>
        </w:rPr>
        <w:t>, 1997, p. 147). Dessa maneira cada ação da oralidade está situada e adaptada ao lugar e ao momento em que ocorre para melhor fruir e alcançar seus objetivos.</w:t>
      </w:r>
    </w:p>
    <w:p w:rsidR="00D24E61" w:rsidRPr="00771368" w:rsidRDefault="00D24E61" w:rsidP="00D24E61">
      <w:pPr>
        <w:tabs>
          <w:tab w:val="left" w:pos="1080"/>
        </w:tabs>
        <w:spacing w:line="360" w:lineRule="auto"/>
        <w:jc w:val="both"/>
        <w:rPr>
          <w:sz w:val="24"/>
          <w:szCs w:val="24"/>
        </w:rPr>
      </w:pPr>
      <w:r w:rsidRPr="00771368">
        <w:rPr>
          <w:sz w:val="24"/>
          <w:szCs w:val="24"/>
        </w:rPr>
        <w:t>Mulheres que abriram espaço, trabalharam e cuidaram para que a herança de seus ancestrais não fossem esquecidas pelo tempo e desenvolviam a tarefa de vivê-las, transmiti-las e contá-las num exercício onde a memória refaz o passado sabendo que é preciso ter “ouvido novo para boca velha”</w:t>
      </w:r>
      <w:r w:rsidRPr="00771368">
        <w:rPr>
          <w:rStyle w:val="Refdenotaderodap"/>
          <w:sz w:val="24"/>
          <w:szCs w:val="24"/>
        </w:rPr>
        <w:footnoteReference w:id="124"/>
      </w:r>
      <w:r w:rsidRPr="00771368">
        <w:rPr>
          <w:sz w:val="24"/>
          <w:szCs w:val="24"/>
        </w:rPr>
        <w:t>, pois “compartilhar tradições orais assegura a conservação da história dos costumes de um povo”. (</w:t>
      </w:r>
      <w:hyperlink r:id="rId312" w:history="1">
        <w:r w:rsidRPr="00771368">
          <w:rPr>
            <w:rStyle w:val="Hyperlink"/>
            <w:rFonts w:eastAsia="Calibri"/>
            <w:sz w:val="24"/>
            <w:szCs w:val="24"/>
          </w:rPr>
          <w:t>BONVINI</w:t>
        </w:r>
      </w:hyperlink>
      <w:r w:rsidRPr="00771368">
        <w:rPr>
          <w:sz w:val="24"/>
          <w:szCs w:val="24"/>
        </w:rPr>
        <w:t>, 2001, p. 37).</w:t>
      </w:r>
    </w:p>
    <w:p w:rsidR="00D24E61" w:rsidRPr="00771368" w:rsidRDefault="00D24E61" w:rsidP="00D24E61">
      <w:pPr>
        <w:tabs>
          <w:tab w:val="left" w:pos="1080"/>
        </w:tabs>
        <w:spacing w:line="360" w:lineRule="auto"/>
        <w:jc w:val="both"/>
        <w:rPr>
          <w:sz w:val="24"/>
          <w:szCs w:val="24"/>
        </w:rPr>
      </w:pPr>
      <w:r w:rsidRPr="00771368">
        <w:rPr>
          <w:sz w:val="24"/>
          <w:szCs w:val="24"/>
        </w:rPr>
        <w:t>Esse feminismo construído cotidianamente através do protagonismo feminino no desenvolvimento de trabalhos administrativos, na iniciativa em relação ao sexo oposto, na busca pela sobrevivência de sua família e do legado ancestral constitui um movimento social espontâneo típico das classes populares com seu toque de criatividade e solidariedade (</w:t>
      </w:r>
      <w:hyperlink r:id="rId313" w:history="1">
        <w:r w:rsidRPr="00771368">
          <w:rPr>
            <w:rStyle w:val="Hyperlink"/>
            <w:rFonts w:eastAsia="Calibri"/>
            <w:sz w:val="24"/>
            <w:szCs w:val="24"/>
          </w:rPr>
          <w:t>RAIMUNDO</w:t>
        </w:r>
      </w:hyperlink>
      <w:r w:rsidRPr="00771368">
        <w:rPr>
          <w:sz w:val="24"/>
          <w:szCs w:val="24"/>
        </w:rPr>
        <w:t xml:space="preserve">, 2012). Essas mulheres tentam mudar sua posição em relação ao homem adentrando suavemente em seu mundo de trabalho e tomando iniciativas. Tentam manter as tradições que aprenderam com seus ancestrais através das cantigas e histórias que contam no momento do trabalho, das danças de roda que dançam nas farinhadas, nas comidas que fazem para o alimento de todos que se fazem presentes na festa da produção da farinha, etc. </w:t>
      </w:r>
    </w:p>
    <w:p w:rsidR="00D24E61" w:rsidRPr="00771368" w:rsidRDefault="00D24E61" w:rsidP="00D24E61">
      <w:pPr>
        <w:tabs>
          <w:tab w:val="left" w:pos="1080"/>
        </w:tabs>
        <w:spacing w:line="360" w:lineRule="auto"/>
        <w:jc w:val="both"/>
        <w:rPr>
          <w:sz w:val="24"/>
          <w:szCs w:val="24"/>
        </w:rPr>
      </w:pPr>
      <w:r w:rsidRPr="00771368">
        <w:rPr>
          <w:sz w:val="24"/>
          <w:szCs w:val="24"/>
        </w:rPr>
        <w:t>A farinhada acaba se constituindo como vitrine das manifestações culturais e do feminismo ativo no grupo social a que pertenciam D. Odete e D. Maria Ermínia, uma vez que lá estavam presentes os frutos do trabalho de mulheres que como elas ajudaram ou até mesmo produziram os alimentos que ali eram servidos; as práticas tradicionais que estavam executando ao entoarem um canto, puxarem uma dança de roda e até mesmo ao contarem as histórias que traziam um passado mitológico, uma lição e/ou diversão no intuito de manterem viva a cultura de seu povo.</w:t>
      </w:r>
    </w:p>
    <w:p w:rsidR="00D24E61" w:rsidRPr="00771368" w:rsidRDefault="00295FC8" w:rsidP="00D24E61">
      <w:pPr>
        <w:spacing w:line="360" w:lineRule="auto"/>
        <w:jc w:val="both"/>
        <w:rPr>
          <w:sz w:val="24"/>
          <w:szCs w:val="24"/>
        </w:rPr>
      </w:pPr>
      <w:hyperlink r:id="rId314" w:history="1">
        <w:r w:rsidR="00D24E61" w:rsidRPr="00771368">
          <w:rPr>
            <w:rStyle w:val="Hyperlink"/>
            <w:rFonts w:eastAsia="Calibri"/>
            <w:sz w:val="24"/>
            <w:szCs w:val="24"/>
          </w:rPr>
          <w:t>Lerma</w:t>
        </w:r>
      </w:hyperlink>
      <w:r w:rsidR="00D24E61" w:rsidRPr="00771368">
        <w:rPr>
          <w:sz w:val="24"/>
          <w:szCs w:val="24"/>
        </w:rPr>
        <w:t xml:space="preserve"> (2010) nos convida a repensar o feminismo com base em nosso contexto e a partir de conceitos próprios promovendo a descolonização do pensamento que nos serve de base para olharmos e analisarmos as nossas relações sociais e desenvolvendo conceitos próprios que nos sirvam melhor, ou seja, que sejam alargados para poderem dar conta da multiplicidade em que nos encontramos. É aceitando esse convite que olhamos para essas mulheres como protagonistas de um cotidiano de lutas por mudanças e resistências compreendendo-as como feministas dentro de uma existência múltipla de mulheres e, por tanto, de suas ações, reivindicações e vivencias uma vez que “el feminismo no puede ser uno porque las mujeres somos diversas” (</w:t>
      </w:r>
      <w:r w:rsidR="00D24E61" w:rsidRPr="00771368">
        <w:rPr>
          <w:i/>
          <w:sz w:val="24"/>
          <w:szCs w:val="24"/>
        </w:rPr>
        <w:t>Id</w:t>
      </w:r>
      <w:r w:rsidR="00D24E61" w:rsidRPr="00771368">
        <w:rPr>
          <w:sz w:val="24"/>
          <w:szCs w:val="24"/>
        </w:rPr>
        <w:t xml:space="preserve">. </w:t>
      </w:r>
      <w:r w:rsidR="00D24E61" w:rsidRPr="00771368">
        <w:rPr>
          <w:i/>
          <w:sz w:val="24"/>
          <w:szCs w:val="24"/>
        </w:rPr>
        <w:t>Ibidem</w:t>
      </w:r>
      <w:r w:rsidR="00D24E61" w:rsidRPr="00771368">
        <w:rPr>
          <w:sz w:val="24"/>
          <w:szCs w:val="24"/>
        </w:rPr>
        <w:t>. p. 01).</w:t>
      </w:r>
    </w:p>
    <w:p w:rsidR="00D24E61" w:rsidRPr="00771368" w:rsidRDefault="00D24E61">
      <w:pPr>
        <w:rPr>
          <w:sz w:val="24"/>
        </w:rPr>
      </w:pPr>
    </w:p>
    <w:p w:rsidR="00D24E61" w:rsidRPr="00771368" w:rsidRDefault="00D24E61">
      <w:pPr>
        <w:rPr>
          <w:sz w:val="24"/>
        </w:rPr>
      </w:pPr>
    </w:p>
    <w:p w:rsidR="00D24E61" w:rsidRPr="00771368" w:rsidRDefault="00D24E61" w:rsidP="00D24E61">
      <w:pPr>
        <w:pStyle w:val="PargrafodaLista"/>
        <w:spacing w:after="0" w:line="360" w:lineRule="auto"/>
        <w:ind w:left="0"/>
        <w:rPr>
          <w:rFonts w:ascii="Times New Roman" w:hAnsi="Times New Roman"/>
          <w:b/>
          <w:sz w:val="24"/>
          <w:szCs w:val="24"/>
        </w:rPr>
      </w:pPr>
      <w:r w:rsidRPr="00771368">
        <w:rPr>
          <w:rFonts w:ascii="Times New Roman" w:hAnsi="Times New Roman"/>
          <w:b/>
          <w:sz w:val="24"/>
          <w:szCs w:val="24"/>
        </w:rPr>
        <w:t>Breve abordagem sobre movimentos sociais, feminismo e mulheres negras.</w:t>
      </w:r>
    </w:p>
    <w:p w:rsidR="00D24E61" w:rsidRPr="00771368" w:rsidRDefault="00D24E61" w:rsidP="00644E24">
      <w:pPr>
        <w:spacing w:line="360" w:lineRule="auto"/>
        <w:ind w:firstLine="720"/>
        <w:jc w:val="both"/>
        <w:rPr>
          <w:sz w:val="24"/>
          <w:szCs w:val="24"/>
        </w:rPr>
      </w:pPr>
      <w:r w:rsidRPr="00771368">
        <w:rPr>
          <w:sz w:val="24"/>
          <w:szCs w:val="24"/>
        </w:rPr>
        <w:t xml:space="preserve">Ao tratar dos movimentos sociais na América Latina </w:t>
      </w:r>
      <w:hyperlink r:id="rId315" w:history="1">
        <w:r w:rsidRPr="00771368">
          <w:rPr>
            <w:rStyle w:val="Hyperlink"/>
            <w:rFonts w:eastAsia="Calibri"/>
            <w:sz w:val="24"/>
            <w:szCs w:val="24"/>
          </w:rPr>
          <w:t>Domingues</w:t>
        </w:r>
      </w:hyperlink>
      <w:r w:rsidRPr="00771368">
        <w:rPr>
          <w:sz w:val="24"/>
          <w:szCs w:val="24"/>
        </w:rPr>
        <w:t xml:space="preserve"> (2007) coloca que eles são diversos e que ao tratar de sua pluralização deve-se perceber que alguns já existiam, mas há uma renovação. E, assim como </w:t>
      </w:r>
      <w:hyperlink r:id="rId316" w:history="1">
        <w:r w:rsidRPr="00771368">
          <w:rPr>
            <w:rStyle w:val="Hyperlink"/>
            <w:rFonts w:eastAsia="Calibri"/>
            <w:sz w:val="24"/>
            <w:szCs w:val="24"/>
          </w:rPr>
          <w:t>Santos</w:t>
        </w:r>
      </w:hyperlink>
      <w:r w:rsidRPr="00771368">
        <w:rPr>
          <w:sz w:val="24"/>
          <w:szCs w:val="24"/>
        </w:rPr>
        <w:t xml:space="preserve"> (2010) defende que estes movimentos são plurais e multidimensionais onde é possível encontrar um movimento classista acompanhado de juízos étnicos e sexuais. Entendemos então que alguns movimentos surgem nesse momento de crise e de neoliberalismo, mas alguns preexistiam a ele e sofrem algumas mudanças nas formas de organização e de ação. Também que são compostos e/ou caracterizados pela multiplicidade e a não possibilidade de generalização uma vez que podem comportar demandas diversas em um único movimento, ou seja, o que pode parecer um na realidade vem a ser múltiplo.</w:t>
      </w:r>
    </w:p>
    <w:p w:rsidR="00D24E61" w:rsidRPr="00771368" w:rsidRDefault="00D24E61" w:rsidP="00D24E61">
      <w:pPr>
        <w:spacing w:line="360" w:lineRule="auto"/>
        <w:jc w:val="both"/>
        <w:rPr>
          <w:sz w:val="24"/>
          <w:szCs w:val="24"/>
        </w:rPr>
      </w:pPr>
      <w:r w:rsidRPr="00771368">
        <w:rPr>
          <w:sz w:val="24"/>
          <w:szCs w:val="24"/>
        </w:rPr>
        <w:t>O movimento negro é desenvolvido no Brasil com a implantação do escravismo criminoso onde os africanos e os afrodescendentes tiveram que lutar contra o sistema escravista para alcançarem a sua liberdade e, dessa forma realizavam ações como fugas em massa das senzalas que levaram à aceleração do processo abolicionista que atendeu à reivindicação por liberdade, mas principalmente aos anseios de modernidade das classes dominantes ligadas ao capital comercial e sempre atentando às questões que não foram atendidas uma vez que não foram desenvolvidas políticas de inclusão social dos africanos e seus descendentes (</w:t>
      </w:r>
      <w:hyperlink r:id="rId317" w:history="1">
        <w:r w:rsidRPr="00771368">
          <w:rPr>
            <w:rStyle w:val="Hyperlink"/>
            <w:rFonts w:eastAsia="Calibri"/>
            <w:sz w:val="24"/>
            <w:szCs w:val="24"/>
          </w:rPr>
          <w:t>CUNHA</w:t>
        </w:r>
      </w:hyperlink>
      <w:r w:rsidRPr="00771368">
        <w:rPr>
          <w:sz w:val="24"/>
          <w:szCs w:val="24"/>
        </w:rPr>
        <w:t xml:space="preserve"> Jr., 1992; </w:t>
      </w:r>
      <w:hyperlink r:id="rId318" w:history="1">
        <w:r w:rsidRPr="00771368">
          <w:rPr>
            <w:rStyle w:val="Hyperlink"/>
            <w:rFonts w:eastAsia="Calibri"/>
            <w:sz w:val="24"/>
            <w:szCs w:val="24"/>
          </w:rPr>
          <w:t>NUNES</w:t>
        </w:r>
      </w:hyperlink>
      <w:r w:rsidRPr="00771368">
        <w:rPr>
          <w:sz w:val="24"/>
          <w:szCs w:val="24"/>
        </w:rPr>
        <w:t>, 2007).</w:t>
      </w:r>
    </w:p>
    <w:p w:rsidR="00D24E61" w:rsidRPr="00771368" w:rsidRDefault="00D24E61" w:rsidP="00D24E61">
      <w:pPr>
        <w:spacing w:line="360" w:lineRule="auto"/>
        <w:jc w:val="both"/>
        <w:rPr>
          <w:sz w:val="24"/>
          <w:szCs w:val="24"/>
        </w:rPr>
      </w:pPr>
      <w:r w:rsidRPr="00771368">
        <w:rPr>
          <w:sz w:val="24"/>
          <w:szCs w:val="24"/>
        </w:rPr>
        <w:t>Dentro da multiplicidade do movimento negro brasileiro encontramos a ação enfática de mulheres que ainda convivendo com o escravismo articulavam formas de resistência junto a outras negras e negros, aproveitando-se da mobilidade dentro da sociedade escravocrata. As mulheres, dentro de sua vivência, desenvolviam uma vida comunitária intensa e uma prática dissimulada de resistência que lhes garantia a sobrevivência bem como de seu grupo (</w:t>
      </w:r>
      <w:hyperlink r:id="rId319" w:history="1">
        <w:r w:rsidRPr="00771368">
          <w:rPr>
            <w:rStyle w:val="Hyperlink"/>
            <w:rFonts w:eastAsia="Calibri"/>
            <w:sz w:val="24"/>
            <w:szCs w:val="24"/>
          </w:rPr>
          <w:t>SILVA</w:t>
        </w:r>
      </w:hyperlink>
      <w:r w:rsidRPr="00771368">
        <w:rPr>
          <w:sz w:val="24"/>
          <w:szCs w:val="24"/>
        </w:rPr>
        <w:t xml:space="preserve"> e </w:t>
      </w:r>
      <w:hyperlink r:id="rId320" w:history="1">
        <w:r w:rsidRPr="00771368">
          <w:rPr>
            <w:rStyle w:val="Hyperlink"/>
            <w:rFonts w:eastAsia="Calibri"/>
            <w:sz w:val="24"/>
            <w:szCs w:val="24"/>
          </w:rPr>
          <w:t>DOMINGOS</w:t>
        </w:r>
      </w:hyperlink>
      <w:r w:rsidRPr="00771368">
        <w:rPr>
          <w:sz w:val="24"/>
          <w:szCs w:val="24"/>
        </w:rPr>
        <w:t xml:space="preserve">, 2008). </w:t>
      </w:r>
    </w:p>
    <w:p w:rsidR="00D24E61" w:rsidRPr="00771368" w:rsidRDefault="00D24E61" w:rsidP="00D24E61">
      <w:pPr>
        <w:spacing w:line="360" w:lineRule="auto"/>
        <w:jc w:val="both"/>
        <w:rPr>
          <w:sz w:val="24"/>
          <w:szCs w:val="24"/>
        </w:rPr>
      </w:pPr>
      <w:r w:rsidRPr="00771368">
        <w:rPr>
          <w:sz w:val="24"/>
          <w:szCs w:val="24"/>
        </w:rPr>
        <w:t>Assim no interior do movimento negro nos deparamos com o feminismo onde as mulheres negras que se engajaram na luta contra a discriminação racial perceberam que também era necessário lutar contra a discriminação de gênero, daí temos o movimento de mulheres negras que trazem novas demandas e informações alargando o conceito e a pauta do feminismo mostrando que as mulheres também são múltiplas e não cabem em um único pacote fechado de categorias eurocêntricas que não compreendem o múltiplo e, por isso, tendem a homogeneizar as coisas, as pessoas, as manifestações culturais, etc.</w:t>
      </w:r>
    </w:p>
    <w:p w:rsidR="00D24E61" w:rsidRPr="00771368" w:rsidRDefault="00D24E61" w:rsidP="00D24E61">
      <w:pPr>
        <w:spacing w:line="360" w:lineRule="auto"/>
        <w:jc w:val="both"/>
        <w:rPr>
          <w:sz w:val="24"/>
          <w:szCs w:val="24"/>
        </w:rPr>
      </w:pPr>
      <w:r w:rsidRPr="00771368">
        <w:rPr>
          <w:sz w:val="24"/>
          <w:szCs w:val="24"/>
        </w:rPr>
        <w:t>A mulher foi invisibilizada pela História, estudamos na escola os grandes heróis da pátria, das guerras, das artes e eles são homens. A historiografia nos mostra um processo social tão masculinizado que provoca a ausência quase que total da mulher que era imaginada e repensada no lugar de ser descrita ou contada dessa forma a visão do homem sobre a mulher é o que está escrito (</w:t>
      </w:r>
      <w:hyperlink r:id="rId321" w:history="1">
        <w:r w:rsidRPr="00771368">
          <w:rPr>
            <w:rStyle w:val="Hyperlink"/>
            <w:rFonts w:eastAsia="Calibri"/>
            <w:sz w:val="24"/>
            <w:szCs w:val="24"/>
          </w:rPr>
          <w:t>PERROT</w:t>
        </w:r>
      </w:hyperlink>
      <w:r w:rsidRPr="00771368">
        <w:rPr>
          <w:sz w:val="24"/>
          <w:szCs w:val="24"/>
        </w:rPr>
        <w:t>, 2008).</w:t>
      </w:r>
    </w:p>
    <w:p w:rsidR="00D24E61" w:rsidRPr="00771368" w:rsidRDefault="00D24E61" w:rsidP="00D24E61">
      <w:pPr>
        <w:spacing w:line="360" w:lineRule="auto"/>
        <w:jc w:val="both"/>
        <w:rPr>
          <w:sz w:val="24"/>
          <w:szCs w:val="24"/>
        </w:rPr>
      </w:pPr>
      <w:r w:rsidRPr="00771368">
        <w:rPr>
          <w:sz w:val="24"/>
          <w:szCs w:val="24"/>
        </w:rPr>
        <w:t>Essa cortina começou a ser aberta na década de 1960 momento em que a crise paradigmática na História com a Escola dos Anais, a Nova História, a História Oral, etc., vieram a alargar as fontes de pesquisa e os temas ou os objetos pesquisados (</w:t>
      </w:r>
      <w:hyperlink r:id="rId322" w:history="1">
        <w:r w:rsidRPr="00771368">
          <w:rPr>
            <w:rStyle w:val="Hyperlink"/>
            <w:rFonts w:eastAsia="Calibri"/>
            <w:sz w:val="24"/>
            <w:szCs w:val="24"/>
          </w:rPr>
          <w:t>OLIVEIRA</w:t>
        </w:r>
      </w:hyperlink>
      <w:r w:rsidRPr="00771368">
        <w:rPr>
          <w:sz w:val="24"/>
          <w:szCs w:val="24"/>
        </w:rPr>
        <w:t>, 2006). Nesses movimentos várias temáticas vieram à tona incluindo a mulher e seu protagonismo social.</w:t>
      </w:r>
    </w:p>
    <w:p w:rsidR="00D24E61" w:rsidRPr="00771368" w:rsidRDefault="00295FC8" w:rsidP="00D24E61">
      <w:pPr>
        <w:spacing w:line="360" w:lineRule="auto"/>
        <w:jc w:val="both"/>
        <w:rPr>
          <w:sz w:val="24"/>
          <w:szCs w:val="24"/>
        </w:rPr>
      </w:pPr>
      <w:hyperlink r:id="rId323" w:history="1">
        <w:r w:rsidR="00D24E61" w:rsidRPr="00771368">
          <w:rPr>
            <w:rStyle w:val="Hyperlink"/>
            <w:rFonts w:eastAsia="Calibri"/>
            <w:sz w:val="24"/>
            <w:szCs w:val="24"/>
          </w:rPr>
          <w:t>Siqueira</w:t>
        </w:r>
      </w:hyperlink>
      <w:r w:rsidR="00D24E61" w:rsidRPr="00771368">
        <w:rPr>
          <w:sz w:val="24"/>
          <w:szCs w:val="24"/>
        </w:rPr>
        <w:t xml:space="preserve"> (2012) coloca que no Brasil com a República houve maior abertura para a participação da mulher nos âmbitos do trabalho e da participação política. Aquelas letradas e mais abastadas tinham acesso à literatura de cunho feminista que vinha dos Estados Unidos e da Europa e acabavam desenvolvendo tais ideias e buscando direitos similares aos seus maridos e irmãos no tocante ao acesso profissional e ao voto. Quando trata do feminismo em Pernambuco a autora enfatiza a organização das mulheres em prol da formação de uma federação que teria como objetivos a profissionalização da mulher pernambucana, Federação Pernambucana pelo Progresso Feminino aberta em 1931, no Clube Internacional do Recife em que contou com o apoio das classes mais abastadas do Estado, configurando movimento de cunho elitista, branco e eurocêntrico.</w:t>
      </w:r>
    </w:p>
    <w:p w:rsidR="00D24E61" w:rsidRPr="00771368" w:rsidRDefault="00D24E61" w:rsidP="00D24E61">
      <w:pPr>
        <w:spacing w:line="360" w:lineRule="auto"/>
        <w:jc w:val="both"/>
        <w:rPr>
          <w:sz w:val="24"/>
          <w:szCs w:val="24"/>
        </w:rPr>
      </w:pPr>
      <w:r w:rsidRPr="00771368">
        <w:rPr>
          <w:sz w:val="24"/>
          <w:szCs w:val="24"/>
        </w:rPr>
        <w:t xml:space="preserve">A partir das informações acima percebemos como o feminismo foi se estabelecendo como algo alheio à maioria das mulheres. </w:t>
      </w:r>
      <w:hyperlink r:id="rId324" w:history="1">
        <w:r w:rsidRPr="00771368">
          <w:rPr>
            <w:rStyle w:val="Hyperlink"/>
            <w:rFonts w:eastAsia="Calibri"/>
            <w:sz w:val="24"/>
            <w:szCs w:val="24"/>
          </w:rPr>
          <w:t>Lerma</w:t>
        </w:r>
      </w:hyperlink>
      <w:r w:rsidRPr="00771368">
        <w:rPr>
          <w:sz w:val="24"/>
          <w:szCs w:val="24"/>
        </w:rPr>
        <w:t xml:space="preserve"> (2010) nos coloca que o movimento feminista nascido na Europa e nos Estados Unidos definiu o que era ser mulher e feminista e esses conceitos externos a nossa sociedade são utilizados para explicar as nossas relações. A respeito desse feminismo homogeneizador </w:t>
      </w:r>
      <w:hyperlink r:id="rId325" w:history="1">
        <w:r w:rsidRPr="00771368">
          <w:rPr>
            <w:rStyle w:val="Hyperlink"/>
            <w:rFonts w:eastAsia="Calibri"/>
            <w:sz w:val="24"/>
            <w:szCs w:val="24"/>
          </w:rPr>
          <w:t>Ochy</w:t>
        </w:r>
      </w:hyperlink>
      <w:r w:rsidRPr="00771368">
        <w:rPr>
          <w:sz w:val="24"/>
          <w:szCs w:val="24"/>
        </w:rPr>
        <w:t xml:space="preserve"> (2005) esclarece que várias críticas foram feitas por mulheres negras, lésbicas e latinas em relação a essa postura que se fazia cada vez mais excludente em que se assumia a imagem da mulher branca, heterossexual e classe média em detrimento das demais categorias, como engrenagens de um sistema que prejudica muitas mulheres, as quais deveriam estar na pauta do feminismo, mas que não era tratado.</w:t>
      </w:r>
    </w:p>
    <w:p w:rsidR="00D24E61" w:rsidRPr="00771368" w:rsidRDefault="00295FC8" w:rsidP="00D24E61">
      <w:pPr>
        <w:spacing w:line="360" w:lineRule="auto"/>
        <w:jc w:val="both"/>
        <w:rPr>
          <w:sz w:val="24"/>
          <w:szCs w:val="24"/>
        </w:rPr>
      </w:pPr>
      <w:hyperlink r:id="rId326" w:history="1">
        <w:r w:rsidR="00D24E61" w:rsidRPr="00771368">
          <w:rPr>
            <w:rStyle w:val="Hyperlink"/>
            <w:rFonts w:eastAsia="Calibri"/>
            <w:sz w:val="24"/>
            <w:szCs w:val="24"/>
          </w:rPr>
          <w:t>Cordeiro</w:t>
        </w:r>
      </w:hyperlink>
      <w:r w:rsidR="00D24E61" w:rsidRPr="00771368">
        <w:rPr>
          <w:sz w:val="24"/>
          <w:szCs w:val="24"/>
        </w:rPr>
        <w:t xml:space="preserve"> (2004) ao analisar as mulheres do sertão central pernambucano percebe que quando se observa mais detidamente as reflexões feministas percebe-se que não são tão consensuais e homogêneas como se pensa. Uma das questões que a autora expõe está relacionada à identidade onde geralmente se coloca uma identificação comum e universal entre as mulheres de diferentes culturas. Assim, a identidade é construída em vez de descoberta e essa construção se dá pelo viés branco, ocidental e heterossexual. Das críticas a esse universalismo teriam redundado em várias posições políticas onde há diversas identificações: feminista-negra, feminista-lésbica, feminista-terceiro-mundista.</w:t>
      </w:r>
    </w:p>
    <w:p w:rsidR="00D24E61" w:rsidRPr="00771368" w:rsidRDefault="00295FC8" w:rsidP="00D24E61">
      <w:pPr>
        <w:spacing w:line="360" w:lineRule="auto"/>
        <w:jc w:val="both"/>
        <w:rPr>
          <w:sz w:val="24"/>
          <w:szCs w:val="24"/>
        </w:rPr>
      </w:pPr>
      <w:hyperlink r:id="rId327" w:history="1">
        <w:r w:rsidR="00D24E61" w:rsidRPr="00771368">
          <w:rPr>
            <w:rStyle w:val="Hyperlink"/>
            <w:rFonts w:eastAsia="Calibri"/>
            <w:sz w:val="24"/>
            <w:szCs w:val="24"/>
          </w:rPr>
          <w:t>Raimundo</w:t>
        </w:r>
      </w:hyperlink>
      <w:r w:rsidR="00D24E61" w:rsidRPr="00771368">
        <w:rPr>
          <w:sz w:val="24"/>
          <w:szCs w:val="24"/>
        </w:rPr>
        <w:t xml:space="preserve"> (2012) define movimentos sociais como agentes que expressam historicamente as formas de opressão e injustiça, mas também o devir através de suas críticas e contestações. Ela coloca os ativismos feminista e negro dentro dessa definição onde nos mostra que esses movimentos mudaram de acordo com a conjuntura em que se encontravam. Assim, a luta cotidiana pela sobrevivência social, cultural e humana existe e acontece nesse âmbito onde a mulher negra mesmo anônima se configura como sustentáculo de sua família pela força de luta e de persistência. Essas mulheres sempre necessitaram estar engajadas em lutas por melhores condições de vida mesmo em organizações que nem sempre tiveram cunhos formais, mas que foram constantes ainda com as transformações ocorridas no tempo e no espaço.</w:t>
      </w:r>
    </w:p>
    <w:p w:rsidR="00D24E61" w:rsidRPr="00771368" w:rsidRDefault="00D24E61" w:rsidP="00D24E61">
      <w:pPr>
        <w:spacing w:line="360" w:lineRule="auto"/>
        <w:jc w:val="both"/>
        <w:rPr>
          <w:sz w:val="24"/>
          <w:szCs w:val="24"/>
        </w:rPr>
      </w:pPr>
      <w:r w:rsidRPr="00771368">
        <w:rPr>
          <w:sz w:val="24"/>
          <w:szCs w:val="24"/>
        </w:rPr>
        <w:t>Mediante as informações colocadas anteriormente entendemos que precisamos exercitar a descolonização do pensamento e “descolonizar-se significa um desprendimento do pensamento europeu, pensar a própria história, pensar a própria libertação, mas com categorias próprias” (</w:t>
      </w:r>
      <w:hyperlink r:id="rId328" w:history="1">
        <w:r w:rsidRPr="00771368">
          <w:rPr>
            <w:rStyle w:val="Hyperlink"/>
            <w:rFonts w:eastAsia="Calibri"/>
            <w:sz w:val="24"/>
            <w:szCs w:val="24"/>
          </w:rPr>
          <w:t>LERMA</w:t>
        </w:r>
      </w:hyperlink>
      <w:r w:rsidRPr="00771368">
        <w:rPr>
          <w:sz w:val="24"/>
          <w:szCs w:val="24"/>
        </w:rPr>
        <w:t>, 2010, p.11). Devemos nos desvencilhar do conceito fechado e rotulador do feminismo europeu e estadunidense para podermos enxergar o feminismo presente em nossas mulheres cotidianas que vem histórica e constantemente lutando por melhores condições de vida mesmo sem estarem engajadas em movimentos ou em federações que expressam demandas que não são suas.</w:t>
      </w:r>
    </w:p>
    <w:p w:rsidR="00D24E61" w:rsidRPr="00771368" w:rsidRDefault="00D24E61" w:rsidP="00D24E61">
      <w:pPr>
        <w:spacing w:line="360" w:lineRule="auto"/>
        <w:jc w:val="both"/>
        <w:rPr>
          <w:sz w:val="24"/>
          <w:szCs w:val="24"/>
        </w:rPr>
      </w:pPr>
      <w:r w:rsidRPr="00771368">
        <w:rPr>
          <w:sz w:val="24"/>
          <w:szCs w:val="24"/>
        </w:rPr>
        <w:t>As mulheres negras vêm de uma história de trabalho desde que aqui foram obrigadas à escravidão. No sertão pernambucano, mais especificamente na zona rural de Bodocó (PE) sempre estiveram envolvidas em trabalhos que geravam o sustento de suas famílias, assim não precisavam lutar por trabalho. Sua luta era outra e de outra forma; se mostram diferenciadas, pois estas mulheres não se encaixam no perfil do feminismo euro-estadunidense, mas mesmo assim não deixaram de ser feministas em seu cotidiano, em suas demandas e em sua maneira de lutar para alcançá-las.</w:t>
      </w:r>
    </w:p>
    <w:p w:rsidR="00D24E61" w:rsidRPr="00771368" w:rsidRDefault="00D24E61" w:rsidP="00D24E61">
      <w:pPr>
        <w:spacing w:line="360" w:lineRule="auto"/>
        <w:jc w:val="both"/>
        <w:rPr>
          <w:i/>
          <w:sz w:val="24"/>
          <w:szCs w:val="24"/>
        </w:rPr>
      </w:pPr>
    </w:p>
    <w:p w:rsidR="00D24E61" w:rsidRPr="00771368" w:rsidRDefault="00D24E61" w:rsidP="00D24E61">
      <w:pPr>
        <w:spacing w:line="360" w:lineRule="auto"/>
        <w:jc w:val="both"/>
        <w:rPr>
          <w:i/>
          <w:sz w:val="24"/>
          <w:szCs w:val="24"/>
        </w:rPr>
      </w:pPr>
      <w:r w:rsidRPr="00771368">
        <w:rPr>
          <w:i/>
          <w:sz w:val="24"/>
          <w:szCs w:val="24"/>
        </w:rPr>
        <w:t>Mulher: sertaneja, trabalhadora e feminista.</w:t>
      </w:r>
    </w:p>
    <w:p w:rsidR="00D24E61" w:rsidRDefault="00D24E61" w:rsidP="00D24E61">
      <w:pPr>
        <w:spacing w:line="360" w:lineRule="auto"/>
        <w:jc w:val="both"/>
        <w:rPr>
          <w:sz w:val="24"/>
          <w:szCs w:val="24"/>
        </w:rPr>
      </w:pPr>
    </w:p>
    <w:p w:rsidR="00644E24" w:rsidRPr="00771368" w:rsidRDefault="00644E24" w:rsidP="00D24E61">
      <w:pPr>
        <w:spacing w:line="360" w:lineRule="auto"/>
        <w:jc w:val="both"/>
        <w:rPr>
          <w:sz w:val="24"/>
          <w:szCs w:val="24"/>
        </w:rPr>
      </w:pPr>
    </w:p>
    <w:p w:rsidR="00D24E61" w:rsidRPr="00771368" w:rsidRDefault="00D24E61" w:rsidP="00D24E61">
      <w:pPr>
        <w:spacing w:line="360" w:lineRule="auto"/>
        <w:jc w:val="both"/>
        <w:rPr>
          <w:sz w:val="24"/>
          <w:szCs w:val="24"/>
        </w:rPr>
      </w:pPr>
      <w:r w:rsidRPr="00771368">
        <w:rPr>
          <w:sz w:val="24"/>
          <w:szCs w:val="24"/>
        </w:rPr>
        <w:t>Tratamos agora de um feminismo cotidiano presente no trabalho diário de mulheres que buscam o sustento de suas famílias e a preservação cultural de seu grupo social. O cotidiano é uma forte expressão da vida social com todas as suas tensões, é o espaço onde as contradições surgem e repercutem nos espaços sociais e, dessa forma no dia a dia das mulheres negras sertanejas estão presentes as tensões que vivem e os questionamentos e ações que realizam em prol da construção de uma sociedade melhor e mais justa. Suas ações organizadas de maneira informal, pois não formam grupos reivindicatórios, ONGS, etc., constituídas de espontaneidade, criatividade e solidariedade formam um projeto de resistência e mudança social concreta. (</w:t>
      </w:r>
      <w:hyperlink r:id="rId329" w:history="1">
        <w:r w:rsidRPr="00771368">
          <w:rPr>
            <w:rStyle w:val="Hyperlink"/>
            <w:rFonts w:eastAsia="Calibri"/>
            <w:sz w:val="24"/>
            <w:szCs w:val="24"/>
          </w:rPr>
          <w:t>RAIMUNDO</w:t>
        </w:r>
      </w:hyperlink>
      <w:r w:rsidRPr="00771368">
        <w:rPr>
          <w:sz w:val="24"/>
          <w:szCs w:val="24"/>
        </w:rPr>
        <w:t>, 2012).</w:t>
      </w:r>
    </w:p>
    <w:p w:rsidR="00D24E61" w:rsidRPr="00771368" w:rsidRDefault="00D24E61" w:rsidP="00D24E61">
      <w:pPr>
        <w:spacing w:line="360" w:lineRule="auto"/>
        <w:jc w:val="both"/>
        <w:rPr>
          <w:sz w:val="24"/>
          <w:szCs w:val="24"/>
        </w:rPr>
      </w:pPr>
      <w:r w:rsidRPr="00771368">
        <w:rPr>
          <w:sz w:val="24"/>
          <w:szCs w:val="24"/>
        </w:rPr>
        <w:t>Há várias formas pelas quais as classes populares se organizam, estas geralmente não estão ligadas à formalidade de movimentos sociais são espontâneos, mas não desprovidos de objetivos ou de direção política (</w:t>
      </w:r>
      <w:r w:rsidRPr="00771368">
        <w:rPr>
          <w:i/>
          <w:sz w:val="24"/>
          <w:szCs w:val="24"/>
        </w:rPr>
        <w:t>Ide</w:t>
      </w:r>
      <w:r w:rsidRPr="00771368">
        <w:rPr>
          <w:sz w:val="24"/>
          <w:szCs w:val="24"/>
        </w:rPr>
        <w:t xml:space="preserve">. </w:t>
      </w:r>
      <w:r w:rsidRPr="00771368">
        <w:rPr>
          <w:i/>
          <w:sz w:val="24"/>
          <w:szCs w:val="24"/>
        </w:rPr>
        <w:t>Ibidem</w:t>
      </w:r>
      <w:r w:rsidRPr="00771368">
        <w:rPr>
          <w:sz w:val="24"/>
          <w:szCs w:val="24"/>
        </w:rPr>
        <w:t>). Nesse sentido observamos os grupos que compõem a zona rural de Bodocó e que estão relacionados com a produção de farinha como uma dessas organizações sociais que “não deixam a peteca cair”, pois mesmo com toda a modernização e a mudança de hábitos alimentares continuam produzindo a farinha e realizando as festas que acompanham e finalizam o trabalho mantendo sua cultura e suas tradições como um ato espontâneo de resistência ao apagamento de seu modo de viver e de sua expressão cultural.</w:t>
      </w:r>
    </w:p>
    <w:p w:rsidR="00D24E61" w:rsidRPr="00771368" w:rsidRDefault="00D24E61" w:rsidP="00D24E61">
      <w:pPr>
        <w:spacing w:line="360" w:lineRule="auto"/>
        <w:jc w:val="both"/>
        <w:rPr>
          <w:sz w:val="24"/>
          <w:szCs w:val="24"/>
        </w:rPr>
      </w:pPr>
      <w:r w:rsidRPr="00771368">
        <w:rPr>
          <w:sz w:val="24"/>
          <w:szCs w:val="24"/>
        </w:rPr>
        <w:t>As mulheres que estiveram presentes nesses grupos, de acordo com nossas entrevistadas, desenvolvem trabalhos diversos, desde o cultivo de grãos (como milho e feijão), frutas (como melancia, mamão), o trato com os animais que a família venha a possuir, até a produção da farinha, de utensílios domésticos que podem ser direcionados para subsistência ou para o comércio na feira local. Em meio a tantas atividades desenvolvias por estas sertanejas destacamos um: o que está relacionado à produção da farinha. Assim, exploramos o cotidiano feminino no âmbito da casa de farinha notando suas atividades e suas ações em prol da continuidade de seu grupo cultural, de suas tradições e também em busca de mudança na postura de seu grupo social.</w:t>
      </w:r>
    </w:p>
    <w:p w:rsidR="00D24E61" w:rsidRPr="00771368" w:rsidRDefault="00D24E61" w:rsidP="00D24E61">
      <w:pPr>
        <w:spacing w:line="360" w:lineRule="auto"/>
        <w:jc w:val="both"/>
        <w:rPr>
          <w:sz w:val="24"/>
          <w:szCs w:val="24"/>
        </w:rPr>
      </w:pPr>
      <w:r w:rsidRPr="00771368">
        <w:rPr>
          <w:sz w:val="24"/>
          <w:szCs w:val="24"/>
        </w:rPr>
        <w:t xml:space="preserve">Nesse feminismo não poderíamos esperar que houvesse luta por inserção no trabalho visto que estas mulheres historicamente trabalham para a manutenção de suas famílias. Também não poderíamos almejar encontrar confrontos diretos contra a figura do homem devido ao contexto em que se encontram, pois, como coloca Geertz (2001, </w:t>
      </w:r>
      <w:r w:rsidRPr="00771368">
        <w:rPr>
          <w:i/>
          <w:sz w:val="24"/>
          <w:szCs w:val="24"/>
        </w:rPr>
        <w:t>apud</w:t>
      </w:r>
      <w:r w:rsidRPr="00771368">
        <w:rPr>
          <w:sz w:val="24"/>
          <w:szCs w:val="24"/>
        </w:rPr>
        <w:t xml:space="preserve"> </w:t>
      </w:r>
      <w:hyperlink r:id="rId330" w:history="1">
        <w:r w:rsidRPr="00771368">
          <w:rPr>
            <w:rStyle w:val="Hyperlink"/>
            <w:rFonts w:eastAsia="Calibri"/>
            <w:sz w:val="24"/>
            <w:szCs w:val="24"/>
          </w:rPr>
          <w:t>CORDEIRO</w:t>
        </w:r>
      </w:hyperlink>
      <w:r w:rsidRPr="00771368">
        <w:rPr>
          <w:sz w:val="24"/>
          <w:szCs w:val="24"/>
        </w:rPr>
        <w:t>, 2004) o direito é como se fosse um artesanato que acontece e funciona à luz do saber local. Dessa forma entendemos que não podemos esperar das negras sertanejas os mesmos objetivos a serem alcançados pelas mulheres ícones do feminismo euro-estadunidense, tão poucos que as formas de luta fossem as mesmas. Nossas mulheres colocam suas lutas nas entrelinhas do cotidiano, nas atividades do dia a dia onde desenvolvem posturas de liderança culminando no reconhecimento e respeito de suas funções, mas também no salvaguardar a herança ancestral.</w:t>
      </w:r>
    </w:p>
    <w:p w:rsidR="00D24E61" w:rsidRPr="00771368" w:rsidRDefault="00D24E61" w:rsidP="00D24E61">
      <w:pPr>
        <w:spacing w:line="360" w:lineRule="auto"/>
        <w:jc w:val="both"/>
        <w:rPr>
          <w:sz w:val="24"/>
          <w:szCs w:val="24"/>
        </w:rPr>
      </w:pPr>
      <w:r w:rsidRPr="00771368">
        <w:rPr>
          <w:sz w:val="24"/>
          <w:szCs w:val="24"/>
        </w:rPr>
        <w:t>Ao olharmos para essas mulheres é preciso uma descolonização do feminismo para enxergarmos a diversidade de contexto, de realidades e culturas que fazem das mulheres plurais e não homogêneas (</w:t>
      </w:r>
      <w:hyperlink r:id="rId331" w:history="1">
        <w:r w:rsidRPr="00771368">
          <w:rPr>
            <w:rStyle w:val="Hyperlink"/>
            <w:rFonts w:eastAsia="Calibri"/>
            <w:sz w:val="24"/>
            <w:szCs w:val="24"/>
          </w:rPr>
          <w:t>LERMA</w:t>
        </w:r>
      </w:hyperlink>
      <w:r w:rsidRPr="00771368">
        <w:rPr>
          <w:sz w:val="24"/>
          <w:szCs w:val="24"/>
        </w:rPr>
        <w:t>, 2010). Precisamos pensar o feminismo refletindo não só através da memória dos acontecimentos trazidos pela história (</w:t>
      </w:r>
      <w:hyperlink r:id="rId332" w:history="1">
        <w:r w:rsidRPr="00771368">
          <w:rPr>
            <w:rStyle w:val="Hyperlink"/>
            <w:rFonts w:eastAsia="Calibri"/>
            <w:sz w:val="24"/>
            <w:szCs w:val="24"/>
          </w:rPr>
          <w:t>FERREIRA</w:t>
        </w:r>
      </w:hyperlink>
      <w:r w:rsidRPr="00771368">
        <w:rPr>
          <w:sz w:val="24"/>
          <w:szCs w:val="24"/>
        </w:rPr>
        <w:t>, 2012), mas também por meio das memórias das próprias mulheres que protagonizaram lutas cotidianas em prol de um feminismo negro e sertanejo.</w:t>
      </w:r>
    </w:p>
    <w:p w:rsidR="00D24E61" w:rsidRPr="00771368" w:rsidRDefault="00D24E61" w:rsidP="00D24E61">
      <w:pPr>
        <w:spacing w:line="360" w:lineRule="auto"/>
        <w:jc w:val="both"/>
        <w:rPr>
          <w:sz w:val="24"/>
          <w:szCs w:val="24"/>
        </w:rPr>
      </w:pPr>
    </w:p>
    <w:p w:rsidR="00D24E61" w:rsidRDefault="00D24E61" w:rsidP="00D24E61">
      <w:pPr>
        <w:pStyle w:val="PargrafodaLista"/>
        <w:tabs>
          <w:tab w:val="left" w:pos="1080"/>
        </w:tabs>
        <w:spacing w:after="0" w:line="360" w:lineRule="auto"/>
        <w:ind w:left="0"/>
        <w:rPr>
          <w:rFonts w:ascii="Times New Roman" w:hAnsi="Times New Roman"/>
          <w:b/>
          <w:sz w:val="24"/>
          <w:szCs w:val="24"/>
        </w:rPr>
      </w:pPr>
      <w:r w:rsidRPr="00771368">
        <w:rPr>
          <w:rFonts w:ascii="Times New Roman" w:hAnsi="Times New Roman"/>
          <w:b/>
          <w:sz w:val="24"/>
          <w:szCs w:val="24"/>
        </w:rPr>
        <w:t>Conclusão</w:t>
      </w:r>
    </w:p>
    <w:p w:rsidR="00644E24" w:rsidRDefault="00644E24" w:rsidP="00D24E61">
      <w:pPr>
        <w:pStyle w:val="PargrafodaLista"/>
        <w:tabs>
          <w:tab w:val="left" w:pos="1080"/>
        </w:tabs>
        <w:spacing w:after="0" w:line="360" w:lineRule="auto"/>
        <w:ind w:left="0"/>
        <w:rPr>
          <w:rFonts w:ascii="Times New Roman" w:hAnsi="Times New Roman"/>
          <w:b/>
          <w:sz w:val="24"/>
          <w:szCs w:val="24"/>
        </w:rPr>
      </w:pPr>
    </w:p>
    <w:p w:rsidR="00644E24" w:rsidRPr="00771368" w:rsidRDefault="00644E24" w:rsidP="00D24E61">
      <w:pPr>
        <w:pStyle w:val="PargrafodaLista"/>
        <w:tabs>
          <w:tab w:val="left" w:pos="1080"/>
        </w:tabs>
        <w:spacing w:after="0" w:line="360" w:lineRule="auto"/>
        <w:ind w:left="0"/>
        <w:rPr>
          <w:rFonts w:ascii="Times New Roman" w:hAnsi="Times New Roman"/>
          <w:b/>
          <w:sz w:val="24"/>
          <w:szCs w:val="24"/>
        </w:rPr>
      </w:pPr>
    </w:p>
    <w:p w:rsidR="00D24E61" w:rsidRPr="00771368" w:rsidRDefault="00D24E61" w:rsidP="00D24E61">
      <w:pPr>
        <w:tabs>
          <w:tab w:val="left" w:pos="1080"/>
        </w:tabs>
        <w:spacing w:line="360" w:lineRule="auto"/>
        <w:jc w:val="both"/>
        <w:rPr>
          <w:sz w:val="24"/>
          <w:szCs w:val="24"/>
        </w:rPr>
      </w:pPr>
      <w:r w:rsidRPr="00771368">
        <w:rPr>
          <w:sz w:val="24"/>
          <w:szCs w:val="24"/>
        </w:rPr>
        <w:t>Ao chegar ao final da construção desse trabalho percebemos que ele não chegou à conclusão. Sendo assim, nós podemos apenas terminar a discussão que foi proposta para ser realizada nas páginas que antecedem esta, pois o pensamento acadêmico é colonizado, os europeus poderiam não saber da extensão do faziam na América, mas o fizeram bem uma vez que as línguas nativas estão praticamente mortas e falamos a língua do colonizador, nossas instituições de ensino que (re) produzem o conhecimento o fazem ao molde eurocêntrico uma vez que o mundo colonial não produz conhecimento se não crenças (</w:t>
      </w:r>
      <w:hyperlink r:id="rId333" w:history="1">
        <w:r w:rsidRPr="00771368">
          <w:rPr>
            <w:rStyle w:val="Hyperlink"/>
            <w:rFonts w:eastAsia="Calibri"/>
            <w:sz w:val="24"/>
            <w:szCs w:val="24"/>
          </w:rPr>
          <w:t>Lerma</w:t>
        </w:r>
      </w:hyperlink>
      <w:r w:rsidRPr="00771368">
        <w:rPr>
          <w:sz w:val="24"/>
          <w:szCs w:val="24"/>
        </w:rPr>
        <w:t xml:space="preserve">, 2010). </w:t>
      </w:r>
    </w:p>
    <w:p w:rsidR="00D24E61" w:rsidRPr="00771368" w:rsidRDefault="00D24E61" w:rsidP="00D24E61">
      <w:pPr>
        <w:tabs>
          <w:tab w:val="left" w:pos="1080"/>
        </w:tabs>
        <w:spacing w:line="360" w:lineRule="auto"/>
        <w:jc w:val="both"/>
        <w:rPr>
          <w:sz w:val="24"/>
          <w:szCs w:val="24"/>
        </w:rPr>
      </w:pPr>
      <w:r w:rsidRPr="00771368">
        <w:rPr>
          <w:sz w:val="24"/>
          <w:szCs w:val="24"/>
        </w:rPr>
        <w:t>Nessa perspectiva tendemos a aceitar o que vem do “velho mundo” como verdade e rotular os conhecimentos locais, principalmente os populares, como crenças, ou sem valor por não constituir ciência. Então a primeira conclusão a que chegamos é a de que precisamos nos desvencilhar desses preconceitos eurocêntricos para podermos ver melhor o que é nosso. Temos que nos libertar dessa colonização intelectual que experimentamos para compreender e valorizar as múltiplas qualidades e contribuições de nosso povo. E, assim como D. Odete e D. Maria Ermínia, reconhecer o valor da herança deixada por nossos ancestrais sabendo transmiti-las para mantê-las vivas.</w:t>
      </w:r>
    </w:p>
    <w:p w:rsidR="00D24E61" w:rsidRPr="00771368" w:rsidRDefault="00D24E61" w:rsidP="00D24E61">
      <w:pPr>
        <w:tabs>
          <w:tab w:val="left" w:pos="1080"/>
        </w:tabs>
        <w:spacing w:line="360" w:lineRule="auto"/>
        <w:jc w:val="both"/>
        <w:rPr>
          <w:sz w:val="24"/>
          <w:szCs w:val="24"/>
        </w:rPr>
      </w:pPr>
      <w:r w:rsidRPr="00771368">
        <w:rPr>
          <w:sz w:val="24"/>
          <w:szCs w:val="24"/>
        </w:rPr>
        <w:t>Concluímos, também, que a história e a memória contam fatos diferenciados e que, portanto uma esqueceu da outra, ou seja, a História como ciência manteve-se falha por não acreditar na memória enquanto fonte e, em consequência disso, estamos tentando recontar o processo de desenvolvimento de toda uma população negra brasileira que não consta de maneira justa da historiografia. Assim também acontece com as mulheres, as mulheres negras e mulheres negras sertanejas que pela tendência homogeneizadora da História ficaram por muito tempo invisibilizadas pelos conceitos machistas e feministas advindos da Europa ou dos Estados Unidos, como já colocado.</w:t>
      </w:r>
    </w:p>
    <w:p w:rsidR="00D24E61" w:rsidRPr="00771368" w:rsidRDefault="00D24E61" w:rsidP="00D24E61">
      <w:pPr>
        <w:tabs>
          <w:tab w:val="left" w:pos="1080"/>
        </w:tabs>
        <w:spacing w:line="360" w:lineRule="auto"/>
        <w:jc w:val="both"/>
        <w:rPr>
          <w:sz w:val="24"/>
          <w:szCs w:val="24"/>
        </w:rPr>
      </w:pPr>
      <w:r w:rsidRPr="00771368">
        <w:rPr>
          <w:sz w:val="24"/>
          <w:szCs w:val="24"/>
        </w:rPr>
        <w:t xml:space="preserve">Pudemos observar como o universo humano é diverso através da multiplicidade das mulheres e suas demandas. Mulheres que vivem, acreditam, trabalham, se comportam, pensam e agem de maneira diferenciada de acordo com sua conjuntura, mas que não se deixam acomodar e, de uma maneira ou de outra, se movimentam para a mudança de sua realidade, mas que não são individualistas uma vez que pensam e agem em prol de um bem comum como as bolivianas citadas por </w:t>
      </w:r>
      <w:hyperlink r:id="rId334" w:history="1">
        <w:r w:rsidRPr="00771368">
          <w:rPr>
            <w:rStyle w:val="Hyperlink"/>
            <w:rFonts w:eastAsia="Calibri"/>
            <w:sz w:val="24"/>
            <w:szCs w:val="24"/>
          </w:rPr>
          <w:t>Lerma</w:t>
        </w:r>
      </w:hyperlink>
      <w:r w:rsidRPr="00771368">
        <w:rPr>
          <w:sz w:val="24"/>
          <w:szCs w:val="24"/>
        </w:rPr>
        <w:t xml:space="preserve"> (2010) que lutam pela propriedade da terra de sua comunidade. Mas que ao mesmo tempo tentam um protagonismo feminista e procuram manter suas tradições.</w:t>
      </w:r>
    </w:p>
    <w:p w:rsidR="00D24E61" w:rsidRPr="00771368" w:rsidRDefault="00D24E61" w:rsidP="00D24E61">
      <w:pPr>
        <w:tabs>
          <w:tab w:val="left" w:pos="1080"/>
        </w:tabs>
        <w:spacing w:line="360" w:lineRule="auto"/>
        <w:jc w:val="both"/>
        <w:rPr>
          <w:sz w:val="24"/>
          <w:szCs w:val="24"/>
        </w:rPr>
      </w:pPr>
      <w:r w:rsidRPr="00771368">
        <w:rPr>
          <w:sz w:val="24"/>
          <w:szCs w:val="24"/>
        </w:rPr>
        <w:t xml:space="preserve">Na análise das obras que compuseram a bibliografia deste trabalho observamos como os movimentos sociais refletem a realidade de seu tempo e a transformam, mesmo não sendo unificados ou não tendo propostas comuns. Mas, sendo a humanidade diversa seus movimentos também devem assim ser e, sendo as mulheres parte importante desse conjunto trazem a diversidade enquanto característica expressa em sua vida e, portanto, em suas demandas e maneiras de lutar para alcançá-las. </w:t>
      </w:r>
    </w:p>
    <w:p w:rsidR="00D24E61" w:rsidRPr="00771368" w:rsidRDefault="00D24E61" w:rsidP="00D24E61">
      <w:pPr>
        <w:tabs>
          <w:tab w:val="left" w:pos="1080"/>
        </w:tabs>
        <w:spacing w:line="360" w:lineRule="auto"/>
        <w:jc w:val="both"/>
        <w:rPr>
          <w:sz w:val="24"/>
          <w:szCs w:val="24"/>
        </w:rPr>
      </w:pPr>
      <w:r w:rsidRPr="00771368">
        <w:rPr>
          <w:sz w:val="24"/>
          <w:szCs w:val="24"/>
        </w:rPr>
        <w:t>Mas a grande surpresa no desenvolvimento dessa revisão foi perceber como as mulheres negras e sertanejas conduziam suas lutas feministas. Perceber que suas ações podem e devem ser colocadas como tal, pois em seu cotidiano transformam as suas vidas e abrem espaço para as gerações futuras.</w:t>
      </w:r>
    </w:p>
    <w:p w:rsidR="00D24E61" w:rsidRPr="00771368" w:rsidRDefault="00D24E61" w:rsidP="00D24E61">
      <w:pPr>
        <w:tabs>
          <w:tab w:val="left" w:pos="1080"/>
        </w:tabs>
        <w:spacing w:line="360" w:lineRule="auto"/>
        <w:jc w:val="both"/>
        <w:rPr>
          <w:sz w:val="24"/>
          <w:szCs w:val="24"/>
        </w:rPr>
      </w:pPr>
      <w:r w:rsidRPr="00771368">
        <w:rPr>
          <w:sz w:val="24"/>
          <w:szCs w:val="24"/>
        </w:rPr>
        <w:t>O descolonizar do pensamento, alargando o conceito de feminismo fez trazer à cena essas mulheres que, por muito tempo foram invisibilizadas inclusive pelo movimento feminista. Esta foi uma conquista feliz que conduziu à realização do presente trabalho como forma de valorizar o que essas mulheres fizeram não só como contribuição para o sustento do lar ou como transmissão cultural, mas como uma ação transformadora e feminista. Conclui-se, então que este é o primeiro passo para muitas descobertas e pesquisas onde podemos desvendar o protagonismo feminino onde a literatura clássica não o vê. Porém, não só desvendá-lo, mas também valorizá-lo e transmiti-lo com o intuito de mostrarmos que aquelas mulheres tidas como frágeis e/ou submissas são na verdade guerreiras em uma luta que almeja um mundo melhor e mais justo para toda a diversidade humana.</w:t>
      </w:r>
    </w:p>
    <w:p w:rsidR="00D24E61" w:rsidRPr="00771368" w:rsidRDefault="00D24E61" w:rsidP="00D24E61">
      <w:pPr>
        <w:tabs>
          <w:tab w:val="left" w:pos="1080"/>
        </w:tabs>
        <w:spacing w:line="360" w:lineRule="auto"/>
        <w:jc w:val="both"/>
        <w:rPr>
          <w:sz w:val="24"/>
          <w:szCs w:val="24"/>
        </w:rPr>
      </w:pPr>
    </w:p>
    <w:p w:rsidR="00644E24" w:rsidRDefault="00644E24">
      <w:pPr>
        <w:rPr>
          <w:b/>
          <w:sz w:val="24"/>
          <w:szCs w:val="24"/>
        </w:rPr>
      </w:pPr>
      <w:r>
        <w:rPr>
          <w:b/>
          <w:sz w:val="24"/>
          <w:szCs w:val="24"/>
        </w:rPr>
        <w:br w:type="page"/>
      </w:r>
    </w:p>
    <w:p w:rsidR="00D24E61" w:rsidRPr="00771368" w:rsidRDefault="00D24E61" w:rsidP="00D24E61">
      <w:pPr>
        <w:tabs>
          <w:tab w:val="left" w:pos="1080"/>
        </w:tabs>
        <w:jc w:val="both"/>
        <w:rPr>
          <w:b/>
          <w:sz w:val="24"/>
          <w:szCs w:val="24"/>
        </w:rPr>
      </w:pPr>
      <w:r w:rsidRPr="00771368">
        <w:rPr>
          <w:b/>
          <w:sz w:val="24"/>
          <w:szCs w:val="24"/>
        </w:rPr>
        <w:t>Referências</w:t>
      </w:r>
    </w:p>
    <w:p w:rsidR="00D24E61" w:rsidRPr="00771368" w:rsidRDefault="00D24E61" w:rsidP="00D24E61">
      <w:pPr>
        <w:tabs>
          <w:tab w:val="left" w:pos="1080"/>
        </w:tabs>
        <w:jc w:val="both"/>
        <w:rPr>
          <w:i/>
          <w:sz w:val="24"/>
          <w:szCs w:val="24"/>
        </w:rPr>
      </w:pPr>
    </w:p>
    <w:p w:rsidR="00D24E61" w:rsidRPr="00771368" w:rsidRDefault="00D24E61" w:rsidP="00644E24">
      <w:pPr>
        <w:tabs>
          <w:tab w:val="left" w:pos="1080"/>
        </w:tabs>
        <w:spacing w:after="200" w:line="360" w:lineRule="auto"/>
        <w:jc w:val="both"/>
        <w:rPr>
          <w:i/>
          <w:sz w:val="24"/>
          <w:szCs w:val="24"/>
        </w:rPr>
      </w:pPr>
      <w:r w:rsidRPr="00771368">
        <w:rPr>
          <w:i/>
          <w:sz w:val="24"/>
          <w:szCs w:val="24"/>
        </w:rPr>
        <w:t>Bibliografia.</w:t>
      </w:r>
    </w:p>
    <w:p w:rsidR="00D24E61" w:rsidRPr="00771368" w:rsidRDefault="00D24E61" w:rsidP="00644E24">
      <w:pPr>
        <w:tabs>
          <w:tab w:val="left" w:pos="1080"/>
        </w:tabs>
        <w:spacing w:after="200" w:line="360" w:lineRule="auto"/>
        <w:jc w:val="both"/>
        <w:rPr>
          <w:sz w:val="24"/>
          <w:szCs w:val="24"/>
        </w:rPr>
      </w:pPr>
      <w:r w:rsidRPr="00771368">
        <w:rPr>
          <w:sz w:val="24"/>
          <w:szCs w:val="24"/>
        </w:rPr>
        <w:t>BONVINI, Emílio. Tradição Oral Afro – Brasileira: As razões de uma vitalidade. Tradução: Karim Khoury. In: História e Oralidade. Projeto História. São Paulo, junho, 2001. (Revista do Programa de Estudos Pós-Graduados em História do Departamento de História da PUC/SP).</w:t>
      </w:r>
    </w:p>
    <w:p w:rsidR="00D24E61" w:rsidRPr="00771368" w:rsidRDefault="00D24E61" w:rsidP="00644E24">
      <w:pPr>
        <w:tabs>
          <w:tab w:val="left" w:pos="1080"/>
        </w:tabs>
        <w:spacing w:after="200" w:line="360" w:lineRule="auto"/>
        <w:jc w:val="both"/>
        <w:rPr>
          <w:sz w:val="24"/>
          <w:szCs w:val="24"/>
        </w:rPr>
      </w:pPr>
      <w:r w:rsidRPr="00771368">
        <w:rPr>
          <w:sz w:val="24"/>
          <w:szCs w:val="24"/>
        </w:rPr>
        <w:t>BOSI, Ecléa. Memória e Sociedade: lembranças de velhos. 3ª ed. São Paulo: Companhia das Letras, 1994.</w:t>
      </w:r>
    </w:p>
    <w:p w:rsidR="00D24E61" w:rsidRPr="00771368" w:rsidRDefault="00D24E61" w:rsidP="00644E24">
      <w:pPr>
        <w:tabs>
          <w:tab w:val="left" w:pos="0"/>
        </w:tabs>
        <w:spacing w:after="200" w:line="360" w:lineRule="auto"/>
        <w:jc w:val="both"/>
        <w:rPr>
          <w:sz w:val="24"/>
          <w:szCs w:val="24"/>
        </w:rPr>
      </w:pPr>
      <w:r w:rsidRPr="00771368">
        <w:rPr>
          <w:sz w:val="24"/>
          <w:szCs w:val="24"/>
        </w:rPr>
        <w:t>BRASIL. Lei 10.639/2003.</w:t>
      </w:r>
      <w:r w:rsidRPr="00771368">
        <w:rPr>
          <w:color w:val="800000"/>
          <w:sz w:val="24"/>
          <w:szCs w:val="24"/>
        </w:rPr>
        <w:t xml:space="preserve"> </w:t>
      </w:r>
      <w:r w:rsidRPr="00771368">
        <w:rPr>
          <w:sz w:val="24"/>
          <w:szCs w:val="24"/>
        </w:rPr>
        <w:t>Altera a Lei n</w:t>
      </w:r>
      <w:r w:rsidRPr="00771368">
        <w:rPr>
          <w:sz w:val="24"/>
          <w:szCs w:val="24"/>
          <w:u w:val="single"/>
          <w:vertAlign w:val="superscript"/>
        </w:rPr>
        <w:t>o</w:t>
      </w:r>
      <w:r w:rsidRPr="00771368">
        <w:rPr>
          <w:sz w:val="24"/>
          <w:szCs w:val="24"/>
        </w:rPr>
        <w:t xml:space="preserve"> 9.394, de 20 de dezembro de 1996, que estabelece as diretrizes e bases da educação nacional, para incluir no currículo oficial da Rede de Ensino a obrigatoriedade da temática "História e Cultura Afro-Brasileira".</w:t>
      </w:r>
    </w:p>
    <w:p w:rsidR="00D24E61" w:rsidRPr="00771368" w:rsidRDefault="00D24E61" w:rsidP="00644E24">
      <w:pPr>
        <w:tabs>
          <w:tab w:val="left" w:pos="1080"/>
        </w:tabs>
        <w:spacing w:after="200" w:line="360" w:lineRule="auto"/>
        <w:jc w:val="both"/>
        <w:rPr>
          <w:sz w:val="24"/>
          <w:szCs w:val="24"/>
        </w:rPr>
      </w:pPr>
      <w:r w:rsidRPr="00771368">
        <w:rPr>
          <w:sz w:val="24"/>
          <w:szCs w:val="24"/>
        </w:rPr>
        <w:t>CORDEIRO, Rosineide Meira de Lourdes. Além das Secas e das Chuvas: os usos da nomeação mulher trabalhadora rural no Sertão Central de Pernambuco. São Paulo: Pontifícia Universidade Católica, 2004 (Tese de Doutorado).</w:t>
      </w:r>
    </w:p>
    <w:p w:rsidR="00D24E61" w:rsidRPr="00771368" w:rsidRDefault="00D24E61" w:rsidP="00644E24">
      <w:pPr>
        <w:tabs>
          <w:tab w:val="left" w:pos="1080"/>
        </w:tabs>
        <w:spacing w:after="200" w:line="360" w:lineRule="auto"/>
        <w:jc w:val="both"/>
        <w:rPr>
          <w:sz w:val="24"/>
          <w:szCs w:val="24"/>
        </w:rPr>
      </w:pPr>
      <w:r w:rsidRPr="00771368">
        <w:rPr>
          <w:sz w:val="24"/>
          <w:szCs w:val="24"/>
        </w:rPr>
        <w:t xml:space="preserve">COSTA, Elizardo Scarpati. Movimentos Sociais Latino-Americanos: “A Ch’ama dos movimentos campesino-indígenas bolivianos”. Coimbra: Universidade de Coimbra, 2009 (Dissertação de Mestrado). </w:t>
      </w:r>
    </w:p>
    <w:p w:rsidR="00D24E61" w:rsidRPr="00771368" w:rsidRDefault="00D24E61" w:rsidP="00644E24">
      <w:pPr>
        <w:tabs>
          <w:tab w:val="left" w:pos="1080"/>
        </w:tabs>
        <w:spacing w:after="200" w:line="360" w:lineRule="auto"/>
        <w:jc w:val="both"/>
        <w:rPr>
          <w:sz w:val="24"/>
          <w:szCs w:val="24"/>
        </w:rPr>
      </w:pPr>
      <w:r w:rsidRPr="00771368">
        <w:rPr>
          <w:sz w:val="24"/>
          <w:szCs w:val="24"/>
        </w:rPr>
        <w:t>CUNHA JR, Henrique Antunes. Textos Para o Movimento Negro. São Paulo: EDICON, 1992.</w:t>
      </w:r>
    </w:p>
    <w:p w:rsidR="00D24E61" w:rsidRPr="00771368" w:rsidRDefault="00D24E61" w:rsidP="00644E24">
      <w:pPr>
        <w:tabs>
          <w:tab w:val="left" w:pos="1080"/>
        </w:tabs>
        <w:spacing w:after="200" w:line="360" w:lineRule="auto"/>
        <w:jc w:val="both"/>
        <w:rPr>
          <w:sz w:val="24"/>
          <w:szCs w:val="24"/>
        </w:rPr>
      </w:pPr>
      <w:r w:rsidRPr="00771368">
        <w:rPr>
          <w:sz w:val="24"/>
          <w:szCs w:val="24"/>
        </w:rPr>
        <w:t>________________. Movimento de Consciência Negra na Década de 1970. In.: Educação em Debate. Fortaleza: ano 25, v. 2, nº 46, 2003.</w:t>
      </w:r>
    </w:p>
    <w:p w:rsidR="00D24E61" w:rsidRPr="00771368" w:rsidRDefault="00D24E61" w:rsidP="00644E24">
      <w:pPr>
        <w:tabs>
          <w:tab w:val="left" w:pos="0"/>
        </w:tabs>
        <w:spacing w:after="200" w:line="360" w:lineRule="auto"/>
        <w:jc w:val="both"/>
        <w:rPr>
          <w:sz w:val="24"/>
          <w:szCs w:val="24"/>
        </w:rPr>
      </w:pPr>
      <w:r w:rsidRPr="00771368">
        <w:rPr>
          <w:sz w:val="24"/>
          <w:szCs w:val="24"/>
        </w:rPr>
        <w:t>______________. História e Cultura Africana e os Elementos para uma Organização Curricular. Texto Disciplina Pós-Graduação, Fortaleza: 2009.</w:t>
      </w:r>
    </w:p>
    <w:p w:rsidR="00D24E61" w:rsidRPr="00771368" w:rsidRDefault="00D24E61" w:rsidP="00644E24">
      <w:pPr>
        <w:tabs>
          <w:tab w:val="left" w:pos="1080"/>
        </w:tabs>
        <w:spacing w:after="200" w:line="360" w:lineRule="auto"/>
        <w:jc w:val="both"/>
        <w:rPr>
          <w:sz w:val="24"/>
          <w:szCs w:val="24"/>
        </w:rPr>
      </w:pPr>
      <w:r w:rsidRPr="00771368">
        <w:rPr>
          <w:sz w:val="24"/>
          <w:szCs w:val="24"/>
        </w:rPr>
        <w:t xml:space="preserve">CURIEL, Ochy. Identidades Esencialistas o Construcción de Identidades Políticas. El dilema de las Feministas Negras. </w:t>
      </w:r>
      <w:r w:rsidRPr="00771368">
        <w:rPr>
          <w:sz w:val="24"/>
          <w:szCs w:val="24"/>
          <w:lang w:val="es-BO"/>
        </w:rPr>
        <w:t xml:space="preserve">En: Mujeres Desencadenantes. Los Estudios de Género en la República Dominicana al inicio del tercer Milenio. </w:t>
      </w:r>
      <w:r w:rsidRPr="00771368">
        <w:rPr>
          <w:sz w:val="24"/>
          <w:szCs w:val="24"/>
        </w:rPr>
        <w:t>INTEC. 2005. República Dominicana.</w:t>
      </w:r>
    </w:p>
    <w:p w:rsidR="00D24E61" w:rsidRPr="00771368" w:rsidRDefault="00D24E61" w:rsidP="00644E24">
      <w:pPr>
        <w:tabs>
          <w:tab w:val="left" w:pos="0"/>
        </w:tabs>
        <w:spacing w:after="200" w:line="360" w:lineRule="auto"/>
        <w:jc w:val="both"/>
        <w:rPr>
          <w:sz w:val="24"/>
          <w:szCs w:val="24"/>
        </w:rPr>
      </w:pPr>
      <w:r w:rsidRPr="00771368">
        <w:rPr>
          <w:sz w:val="24"/>
          <w:szCs w:val="24"/>
        </w:rPr>
        <w:t>DOMINGOS, Reginaldo Ferreira. Pedagogias da Transmissão da Religiosidade Africana na Casa de Candomblé Iabasé de Xangô e Oxun em Juazeiro do Norte. Fortaleza: Faculdade de Educação – UFC, 2011. (Dissertação de Mestrado).</w:t>
      </w:r>
    </w:p>
    <w:p w:rsidR="00D24E61" w:rsidRPr="00771368" w:rsidRDefault="00D24E61" w:rsidP="00644E24">
      <w:pPr>
        <w:tabs>
          <w:tab w:val="left" w:pos="0"/>
        </w:tabs>
        <w:spacing w:after="200" w:line="360" w:lineRule="auto"/>
        <w:jc w:val="both"/>
        <w:rPr>
          <w:sz w:val="24"/>
          <w:szCs w:val="24"/>
        </w:rPr>
      </w:pPr>
      <w:r w:rsidRPr="00771368">
        <w:rPr>
          <w:sz w:val="24"/>
          <w:szCs w:val="24"/>
        </w:rPr>
        <w:t xml:space="preserve">DOMINGUES, José Maurício. Os Movimentos Sociais Latino Americanos: características e potencialidades. Publicado em: Analise de Conjuntura OPSA, nº 2. Brasil, Fev. 2007. Disponível em: </w:t>
      </w:r>
      <w:hyperlink r:id="rId335" w:history="1">
        <w:r w:rsidRPr="00771368">
          <w:rPr>
            <w:rStyle w:val="Hyperlink"/>
            <w:rFonts w:eastAsia="Calibri"/>
            <w:sz w:val="24"/>
            <w:szCs w:val="24"/>
          </w:rPr>
          <w:t>www.clacso.org.ar/biblioteca</w:t>
        </w:r>
      </w:hyperlink>
      <w:r w:rsidRPr="00771368">
        <w:rPr>
          <w:sz w:val="24"/>
          <w:szCs w:val="24"/>
        </w:rPr>
        <w:t>. Acesso em 22/10/2012.</w:t>
      </w:r>
    </w:p>
    <w:p w:rsidR="00D24E61" w:rsidRPr="00771368" w:rsidRDefault="00D24E61" w:rsidP="00644E24">
      <w:pPr>
        <w:tabs>
          <w:tab w:val="left" w:pos="0"/>
        </w:tabs>
        <w:spacing w:after="200" w:line="360" w:lineRule="auto"/>
        <w:jc w:val="both"/>
        <w:rPr>
          <w:sz w:val="24"/>
          <w:szCs w:val="24"/>
        </w:rPr>
      </w:pPr>
      <w:r w:rsidRPr="00771368">
        <w:rPr>
          <w:sz w:val="24"/>
          <w:szCs w:val="24"/>
        </w:rPr>
        <w:t xml:space="preserve">FERREIRA, Mary. Feminismos no Nordeste Brasileiro: Histórias, memórias e práticas políticas. São Luís: Universidade Federal do Maranhão, 2011. Disponível em </w:t>
      </w:r>
      <w:hyperlink r:id="rId336" w:history="1">
        <w:r w:rsidRPr="00771368">
          <w:rPr>
            <w:rStyle w:val="Hyperlink"/>
            <w:rFonts w:eastAsia="Calibri"/>
            <w:sz w:val="24"/>
            <w:szCs w:val="24"/>
          </w:rPr>
          <w:t>www.scielo.cl/pdf/polis/v10n28/art09.pdf</w:t>
        </w:r>
      </w:hyperlink>
      <w:r w:rsidRPr="00771368">
        <w:rPr>
          <w:rStyle w:val="CitaoHTML"/>
          <w:i w:val="0"/>
          <w:sz w:val="24"/>
          <w:szCs w:val="24"/>
        </w:rPr>
        <w:t>. Acesso em 19/12/2012.</w:t>
      </w:r>
    </w:p>
    <w:p w:rsidR="00D24E61" w:rsidRPr="00771368" w:rsidRDefault="00D24E61" w:rsidP="00644E24">
      <w:pPr>
        <w:tabs>
          <w:tab w:val="left" w:pos="0"/>
        </w:tabs>
        <w:spacing w:after="200" w:line="360" w:lineRule="auto"/>
        <w:jc w:val="both"/>
        <w:rPr>
          <w:sz w:val="24"/>
          <w:szCs w:val="24"/>
        </w:rPr>
      </w:pPr>
      <w:r w:rsidRPr="00771368">
        <w:rPr>
          <w:sz w:val="24"/>
          <w:szCs w:val="24"/>
        </w:rPr>
        <w:t xml:space="preserve">HALBWACHS, Maurice. A Memória Coletiva. São Paulo: Vértice, 1990. </w:t>
      </w:r>
    </w:p>
    <w:p w:rsidR="00D24E61" w:rsidRPr="00771368" w:rsidRDefault="00D24E61" w:rsidP="00644E24">
      <w:pPr>
        <w:tabs>
          <w:tab w:val="left" w:pos="0"/>
        </w:tabs>
        <w:spacing w:after="200" w:line="360" w:lineRule="auto"/>
        <w:jc w:val="both"/>
        <w:rPr>
          <w:sz w:val="24"/>
          <w:szCs w:val="24"/>
        </w:rPr>
      </w:pPr>
      <w:r w:rsidRPr="00771368">
        <w:rPr>
          <w:sz w:val="24"/>
          <w:szCs w:val="24"/>
        </w:rPr>
        <w:t>LE GOFF, Jaques. História e Memória. 4ª ed. Campinas: editora da UNICAMP, 1996.</w:t>
      </w:r>
    </w:p>
    <w:p w:rsidR="00D24E61" w:rsidRPr="00771368" w:rsidRDefault="00D24E61" w:rsidP="00644E24">
      <w:pPr>
        <w:tabs>
          <w:tab w:val="left" w:pos="0"/>
        </w:tabs>
        <w:spacing w:after="200" w:line="360" w:lineRule="auto"/>
        <w:jc w:val="both"/>
        <w:rPr>
          <w:sz w:val="24"/>
          <w:szCs w:val="24"/>
          <w:lang w:val="es-BO"/>
        </w:rPr>
      </w:pPr>
      <w:r w:rsidRPr="00771368">
        <w:rPr>
          <w:sz w:val="24"/>
          <w:szCs w:val="24"/>
          <w:lang w:val="es-BO"/>
        </w:rPr>
        <w:t>LERMA, Betty Ruth Lozano. El Feminismo No Puede Ser Uno Porque Las Mujeres Somos Diversas. Universidad del Vale. La Manzana de la Discordia, nº 2, vol. 5, 2010.</w:t>
      </w:r>
    </w:p>
    <w:p w:rsidR="00D24E61" w:rsidRPr="00771368" w:rsidRDefault="00D24E61" w:rsidP="00644E24">
      <w:pPr>
        <w:tabs>
          <w:tab w:val="left" w:pos="0"/>
        </w:tabs>
        <w:spacing w:after="200" w:line="360" w:lineRule="auto"/>
        <w:jc w:val="both"/>
        <w:rPr>
          <w:sz w:val="24"/>
          <w:szCs w:val="24"/>
        </w:rPr>
      </w:pPr>
      <w:r w:rsidRPr="00771368">
        <w:rPr>
          <w:sz w:val="24"/>
          <w:szCs w:val="24"/>
        </w:rPr>
        <w:t>MATINS, Leda Maria. Afrografias de Memória. São Paulo: Perspectiva; Belo Horizonte: Mazza Edições, 1997.</w:t>
      </w:r>
    </w:p>
    <w:p w:rsidR="00D24E61" w:rsidRPr="00771368" w:rsidRDefault="00D24E61" w:rsidP="00644E24">
      <w:pPr>
        <w:tabs>
          <w:tab w:val="left" w:pos="1080"/>
        </w:tabs>
        <w:spacing w:after="200" w:line="360" w:lineRule="auto"/>
        <w:jc w:val="both"/>
        <w:rPr>
          <w:sz w:val="24"/>
          <w:szCs w:val="24"/>
        </w:rPr>
      </w:pPr>
      <w:r w:rsidRPr="00771368">
        <w:rPr>
          <w:sz w:val="24"/>
          <w:szCs w:val="24"/>
        </w:rPr>
        <w:t>MONTENEGRO, Antonio Torres. História Oral e Memória: a cultura popular revisitada. São Paulo: Contexto, 1992.</w:t>
      </w:r>
    </w:p>
    <w:p w:rsidR="00D24E61" w:rsidRPr="00771368" w:rsidRDefault="00D24E61" w:rsidP="00644E24">
      <w:pPr>
        <w:spacing w:after="200" w:line="360" w:lineRule="auto"/>
        <w:jc w:val="both"/>
        <w:rPr>
          <w:sz w:val="24"/>
          <w:szCs w:val="24"/>
        </w:rPr>
      </w:pPr>
      <w:r w:rsidRPr="00771368">
        <w:rPr>
          <w:sz w:val="24"/>
          <w:szCs w:val="24"/>
        </w:rPr>
        <w:t>NUNES, Cícera. Reisado em Juazeiro do Norte-CE e os conteúdos da História Africana e Afrodescendente: uma proposta para a implementação da Lei 10.639/03. Fortaleza: Faculdade de Educação (UFC), 2007 (Dissertação de Mestrado).</w:t>
      </w:r>
    </w:p>
    <w:p w:rsidR="00D24E61" w:rsidRPr="00771368" w:rsidRDefault="00D24E61" w:rsidP="00644E24">
      <w:pPr>
        <w:tabs>
          <w:tab w:val="left" w:pos="0"/>
        </w:tabs>
        <w:spacing w:after="200" w:line="360" w:lineRule="auto"/>
        <w:jc w:val="both"/>
        <w:rPr>
          <w:sz w:val="24"/>
          <w:szCs w:val="24"/>
        </w:rPr>
      </w:pPr>
      <w:r w:rsidRPr="00771368">
        <w:rPr>
          <w:sz w:val="24"/>
          <w:szCs w:val="24"/>
        </w:rPr>
        <w:t>OLIVEIRA, Alexsandra Flávia B. Trabalho e Diversão: A Presença dos Idosos nas Casas de Farinha do Município de Bodocó – PE (1928-1938). Monografia Apresenta ao Curso de Especialização em História e Sociologia. Crato: Universidade Regional do Cariri - URCA, 2006.</w:t>
      </w:r>
    </w:p>
    <w:p w:rsidR="00D24E61" w:rsidRPr="00771368" w:rsidRDefault="00D24E61" w:rsidP="00644E24">
      <w:pPr>
        <w:tabs>
          <w:tab w:val="left" w:pos="0"/>
        </w:tabs>
        <w:spacing w:after="200" w:line="360" w:lineRule="auto"/>
        <w:jc w:val="both"/>
        <w:rPr>
          <w:sz w:val="24"/>
          <w:szCs w:val="24"/>
        </w:rPr>
      </w:pPr>
      <w:r w:rsidRPr="00771368">
        <w:rPr>
          <w:sz w:val="24"/>
          <w:szCs w:val="24"/>
        </w:rPr>
        <w:t>PERROT, Michelle. Minha História das Mulheres. São Paulo: Contexto, 2008.</w:t>
      </w:r>
    </w:p>
    <w:p w:rsidR="00D24E61" w:rsidRPr="00771368" w:rsidRDefault="00D24E61" w:rsidP="00644E24">
      <w:pPr>
        <w:tabs>
          <w:tab w:val="left" w:pos="0"/>
        </w:tabs>
        <w:spacing w:after="200" w:line="360" w:lineRule="auto"/>
        <w:jc w:val="both"/>
        <w:rPr>
          <w:sz w:val="24"/>
          <w:szCs w:val="24"/>
        </w:rPr>
      </w:pPr>
      <w:r w:rsidRPr="00771368">
        <w:rPr>
          <w:sz w:val="24"/>
          <w:szCs w:val="24"/>
        </w:rPr>
        <w:t>POLLAK, Michael. Memória e Identidade Social. In: Revista de Estudos Históricos Nº. 10 – Teoria e História. Ano 1992/1. Revista do CPDOC da Fundação Getúlio Vargas.</w:t>
      </w:r>
    </w:p>
    <w:p w:rsidR="00D24E61" w:rsidRPr="00771368" w:rsidRDefault="00D24E61" w:rsidP="00644E24">
      <w:pPr>
        <w:tabs>
          <w:tab w:val="left" w:pos="0"/>
        </w:tabs>
        <w:spacing w:after="200" w:line="360" w:lineRule="auto"/>
        <w:jc w:val="both"/>
        <w:rPr>
          <w:sz w:val="24"/>
          <w:szCs w:val="24"/>
        </w:rPr>
      </w:pPr>
      <w:r w:rsidRPr="00771368">
        <w:rPr>
          <w:sz w:val="24"/>
          <w:szCs w:val="24"/>
        </w:rPr>
        <w:t xml:space="preserve">RAIMUNDO, Valdenice José; GEHLEN, Vitória e ALMEIDA, Daniele. Mulher Negra: inserção nos movimentos sociais feminista e negro. Disponível em </w:t>
      </w:r>
      <w:hyperlink r:id="rId337" w:history="1">
        <w:r w:rsidRPr="00771368">
          <w:rPr>
            <w:rStyle w:val="Hyperlink"/>
            <w:rFonts w:eastAsia="Calibri"/>
            <w:sz w:val="24"/>
            <w:szCs w:val="24"/>
          </w:rPr>
          <w:t>www.fundaj.gov.br</w:t>
        </w:r>
      </w:hyperlink>
      <w:r w:rsidRPr="00771368">
        <w:rPr>
          <w:sz w:val="24"/>
          <w:szCs w:val="24"/>
        </w:rPr>
        <w:t>. Acesso em: 19/12/12.</w:t>
      </w:r>
    </w:p>
    <w:p w:rsidR="00D24E61" w:rsidRPr="00771368" w:rsidRDefault="00D24E61" w:rsidP="00644E24">
      <w:pPr>
        <w:tabs>
          <w:tab w:val="left" w:pos="0"/>
        </w:tabs>
        <w:spacing w:after="200" w:line="360" w:lineRule="auto"/>
        <w:jc w:val="both"/>
        <w:rPr>
          <w:sz w:val="24"/>
          <w:szCs w:val="24"/>
        </w:rPr>
      </w:pPr>
      <w:r w:rsidRPr="00771368">
        <w:rPr>
          <w:sz w:val="24"/>
          <w:szCs w:val="24"/>
        </w:rPr>
        <w:t>SANTOS, Boaventura de Sousa. Pela Mão de Alice. São Paulo: Cortez, 2010.</w:t>
      </w:r>
    </w:p>
    <w:p w:rsidR="00D24E61" w:rsidRPr="00771368" w:rsidRDefault="00D24E61" w:rsidP="00644E24">
      <w:pPr>
        <w:tabs>
          <w:tab w:val="left" w:pos="0"/>
        </w:tabs>
        <w:spacing w:after="200" w:line="360" w:lineRule="auto"/>
        <w:jc w:val="both"/>
        <w:rPr>
          <w:sz w:val="24"/>
          <w:szCs w:val="24"/>
        </w:rPr>
      </w:pPr>
      <w:r w:rsidRPr="00771368">
        <w:rPr>
          <w:sz w:val="24"/>
          <w:szCs w:val="24"/>
        </w:rPr>
        <w:t>SILVA, Joselina da e DOMINGOS, Reginaldo Ferreira. As religiões afro-brasileiras na voz das mulheres lideranças em Juazeiro do Norte. IX Encontro Nacional de História Oral: Testemunho e Conhecimento. Associação Brasileira de História Oral – ABHO, UNISINOS, São Leopoldo – RS, 22 a 25 de Abril de 2008.</w:t>
      </w:r>
    </w:p>
    <w:p w:rsidR="00D24E61" w:rsidRPr="00771368" w:rsidRDefault="00D24E61" w:rsidP="00644E24">
      <w:pPr>
        <w:tabs>
          <w:tab w:val="left" w:pos="0"/>
        </w:tabs>
        <w:spacing w:after="200" w:line="360" w:lineRule="auto"/>
        <w:jc w:val="both"/>
        <w:rPr>
          <w:color w:val="FF0000"/>
          <w:sz w:val="24"/>
          <w:szCs w:val="24"/>
        </w:rPr>
      </w:pPr>
      <w:r w:rsidRPr="00771368">
        <w:rPr>
          <w:sz w:val="24"/>
          <w:szCs w:val="24"/>
        </w:rPr>
        <w:t xml:space="preserve">SIQUEIRA, Olívia Tereza Pinheiro de. Pela Mulher Brasileira para a Mulher Pernambucana: a institucionalização do movimento feminista em Pernambuco (1924-1931). Anais do XV Encontro Regional de História da ANPUH, Rio de Janeiro, jul. 2010. Disponível em </w:t>
      </w:r>
      <w:r w:rsidRPr="00771368">
        <w:rPr>
          <w:rStyle w:val="CitaoHTML"/>
          <w:i w:val="0"/>
          <w:sz w:val="24"/>
          <w:szCs w:val="24"/>
        </w:rPr>
        <w:t>www.</w:t>
      </w:r>
      <w:r w:rsidRPr="00771368">
        <w:rPr>
          <w:rStyle w:val="CitaoHTML"/>
          <w:bCs/>
          <w:i w:val="0"/>
          <w:sz w:val="24"/>
          <w:szCs w:val="24"/>
        </w:rPr>
        <w:t>encontro</w:t>
      </w:r>
      <w:r w:rsidRPr="00771368">
        <w:rPr>
          <w:rStyle w:val="CitaoHTML"/>
          <w:i w:val="0"/>
          <w:sz w:val="24"/>
          <w:szCs w:val="24"/>
        </w:rPr>
        <w:t>2012.</w:t>
      </w:r>
      <w:r w:rsidRPr="00771368">
        <w:rPr>
          <w:rStyle w:val="CitaoHTML"/>
          <w:bCs/>
          <w:i w:val="0"/>
          <w:sz w:val="24"/>
          <w:szCs w:val="24"/>
        </w:rPr>
        <w:t>rj</w:t>
      </w:r>
      <w:r w:rsidRPr="00771368">
        <w:rPr>
          <w:rStyle w:val="CitaoHTML"/>
          <w:i w:val="0"/>
          <w:sz w:val="24"/>
          <w:szCs w:val="24"/>
        </w:rPr>
        <w:t>.</w:t>
      </w:r>
      <w:r w:rsidRPr="00771368">
        <w:rPr>
          <w:rStyle w:val="CitaoHTML"/>
          <w:bCs/>
          <w:i w:val="0"/>
          <w:sz w:val="24"/>
          <w:szCs w:val="24"/>
        </w:rPr>
        <w:t>anpuh</w:t>
      </w:r>
      <w:r w:rsidRPr="00771368">
        <w:rPr>
          <w:rStyle w:val="CitaoHTML"/>
          <w:i w:val="0"/>
          <w:sz w:val="24"/>
          <w:szCs w:val="24"/>
        </w:rPr>
        <w:t>.org</w:t>
      </w:r>
      <w:r w:rsidRPr="00771368">
        <w:rPr>
          <w:sz w:val="24"/>
          <w:szCs w:val="24"/>
        </w:rPr>
        <w:t>. Acesso em 19/12/2012.</w:t>
      </w:r>
    </w:p>
    <w:p w:rsidR="00D24E61" w:rsidRPr="00771368" w:rsidRDefault="00D24E61" w:rsidP="00644E24">
      <w:pPr>
        <w:tabs>
          <w:tab w:val="left" w:pos="0"/>
        </w:tabs>
        <w:spacing w:after="200" w:line="360" w:lineRule="auto"/>
        <w:jc w:val="both"/>
        <w:rPr>
          <w:i/>
          <w:sz w:val="24"/>
          <w:szCs w:val="24"/>
        </w:rPr>
      </w:pPr>
    </w:p>
    <w:p w:rsidR="00D24E61" w:rsidRPr="00771368" w:rsidRDefault="00D24E61" w:rsidP="00644E24">
      <w:pPr>
        <w:tabs>
          <w:tab w:val="left" w:pos="0"/>
        </w:tabs>
        <w:spacing w:after="200" w:line="360" w:lineRule="auto"/>
        <w:jc w:val="both"/>
        <w:rPr>
          <w:i/>
          <w:sz w:val="24"/>
          <w:szCs w:val="24"/>
        </w:rPr>
      </w:pPr>
      <w:r w:rsidRPr="00771368">
        <w:rPr>
          <w:i/>
          <w:sz w:val="24"/>
          <w:szCs w:val="24"/>
        </w:rPr>
        <w:t>Fontes</w:t>
      </w:r>
    </w:p>
    <w:p w:rsidR="00D24E61" w:rsidRPr="00771368" w:rsidRDefault="00D24E61" w:rsidP="00644E24">
      <w:pPr>
        <w:tabs>
          <w:tab w:val="left" w:pos="1080"/>
        </w:tabs>
        <w:spacing w:after="200" w:line="360" w:lineRule="auto"/>
        <w:jc w:val="both"/>
        <w:rPr>
          <w:sz w:val="24"/>
          <w:szCs w:val="24"/>
        </w:rPr>
      </w:pPr>
      <w:r w:rsidRPr="00771368">
        <w:rPr>
          <w:sz w:val="24"/>
          <w:szCs w:val="24"/>
        </w:rPr>
        <w:t>CONDEPE/FIDEM. Agencia Estadual de Planejamento e Pesquisas de Pernambuco, acessados em 15/12/2012.</w:t>
      </w:r>
    </w:p>
    <w:p w:rsidR="00D24E61" w:rsidRPr="00771368" w:rsidRDefault="00D24E61" w:rsidP="00644E24">
      <w:pPr>
        <w:tabs>
          <w:tab w:val="left" w:pos="1080"/>
        </w:tabs>
        <w:spacing w:after="200" w:line="360" w:lineRule="auto"/>
        <w:jc w:val="both"/>
        <w:rPr>
          <w:sz w:val="24"/>
          <w:szCs w:val="24"/>
        </w:rPr>
      </w:pPr>
      <w:r w:rsidRPr="00771368">
        <w:rPr>
          <w:sz w:val="24"/>
          <w:szCs w:val="24"/>
        </w:rPr>
        <w:t xml:space="preserve">Maria Ermínia de Viveiros, 70 anos. Residente a Vila São Francisco em Bodocó – PE. Entrevistada em 16 de setembro de 2006. Foi aposentada como agricultora e se não tivesse falecido contaria com 76 anos. </w:t>
      </w:r>
    </w:p>
    <w:p w:rsidR="00D24E61" w:rsidRPr="00771368" w:rsidRDefault="00D24E61" w:rsidP="00644E24">
      <w:pPr>
        <w:tabs>
          <w:tab w:val="left" w:pos="1080"/>
        </w:tabs>
        <w:spacing w:after="200" w:line="360" w:lineRule="auto"/>
        <w:jc w:val="both"/>
        <w:rPr>
          <w:sz w:val="24"/>
          <w:szCs w:val="24"/>
        </w:rPr>
      </w:pPr>
      <w:r w:rsidRPr="00771368">
        <w:rPr>
          <w:sz w:val="24"/>
          <w:szCs w:val="24"/>
        </w:rPr>
        <w:t xml:space="preserve">Odete Loula Texeira, 71 anos. Residente a Vila São Francisco em Bodocó – PE. Entrevistada em 10 de setembro de 2006. Hoje é aposentada como agricultora e conta com 77 anos. </w:t>
      </w:r>
    </w:p>
    <w:p w:rsidR="00D24E61" w:rsidRDefault="00D24E61" w:rsidP="00644E24">
      <w:pPr>
        <w:spacing w:after="200" w:line="360" w:lineRule="auto"/>
        <w:jc w:val="both"/>
        <w:rPr>
          <w:sz w:val="24"/>
          <w:szCs w:val="24"/>
        </w:rPr>
      </w:pPr>
      <w:r w:rsidRPr="00771368">
        <w:rPr>
          <w:sz w:val="24"/>
          <w:szCs w:val="24"/>
        </w:rPr>
        <w:t>REGIÂO, Revista. Crato, fev. de 1975.</w:t>
      </w:r>
    </w:p>
    <w:p w:rsidR="00644E24" w:rsidRPr="00771368" w:rsidRDefault="00644E24" w:rsidP="00644E24">
      <w:pPr>
        <w:spacing w:line="360" w:lineRule="auto"/>
        <w:jc w:val="both"/>
        <w:rPr>
          <w:sz w:val="24"/>
        </w:rPr>
      </w:pPr>
    </w:p>
    <w:p w:rsidR="00644E24" w:rsidRDefault="00644E24">
      <w:pPr>
        <w:rPr>
          <w:rFonts w:eastAsia="Helvetica"/>
          <w:b/>
          <w:bCs/>
          <w:sz w:val="24"/>
          <w:szCs w:val="24"/>
        </w:rPr>
      </w:pPr>
      <w:r>
        <w:rPr>
          <w:rFonts w:eastAsia="Helvetica"/>
          <w:b/>
          <w:bCs/>
          <w:sz w:val="24"/>
          <w:szCs w:val="24"/>
        </w:rPr>
        <w:br w:type="page"/>
      </w:r>
    </w:p>
    <w:p w:rsidR="00D24E61" w:rsidRPr="00771368" w:rsidRDefault="00D24E61">
      <w:pPr>
        <w:ind w:left="1140"/>
        <w:rPr>
          <w:sz w:val="20"/>
          <w:szCs w:val="20"/>
        </w:rPr>
      </w:pPr>
      <w:r w:rsidRPr="00771368">
        <w:rPr>
          <w:rFonts w:eastAsia="Helvetica"/>
          <w:b/>
          <w:bCs/>
          <w:sz w:val="24"/>
          <w:szCs w:val="24"/>
        </w:rPr>
        <w:t>DISCURSO SEMÂNTICO E ESTÉTICO SOBRE A MULHER</w:t>
      </w:r>
    </w:p>
    <w:p w:rsidR="00D24E61" w:rsidRPr="00771368" w:rsidRDefault="00D24E61">
      <w:pPr>
        <w:spacing w:line="33" w:lineRule="exact"/>
        <w:rPr>
          <w:sz w:val="24"/>
          <w:szCs w:val="24"/>
        </w:rPr>
      </w:pPr>
    </w:p>
    <w:p w:rsidR="00D24E61" w:rsidRPr="00771368" w:rsidRDefault="00D24E61">
      <w:pPr>
        <w:ind w:left="460"/>
        <w:rPr>
          <w:sz w:val="20"/>
          <w:szCs w:val="20"/>
        </w:rPr>
      </w:pPr>
      <w:r w:rsidRPr="00771368">
        <w:rPr>
          <w:rFonts w:eastAsia="Helvetica"/>
          <w:b/>
          <w:bCs/>
          <w:sz w:val="24"/>
          <w:szCs w:val="24"/>
        </w:rPr>
        <w:t xml:space="preserve">NO PROGRAMA “ </w:t>
      </w:r>
      <w:r w:rsidRPr="00771368">
        <w:rPr>
          <w:rFonts w:eastAsia="Helvetica"/>
          <w:b/>
          <w:bCs/>
          <w:i/>
          <w:iCs/>
          <w:sz w:val="24"/>
          <w:szCs w:val="24"/>
        </w:rPr>
        <w:t>ZORRA TOTAL”,</w:t>
      </w:r>
      <w:r w:rsidRPr="00771368">
        <w:rPr>
          <w:rFonts w:eastAsia="Helvetica"/>
          <w:b/>
          <w:bCs/>
          <w:sz w:val="24"/>
          <w:szCs w:val="24"/>
        </w:rPr>
        <w:t xml:space="preserve"> DA REDE GLOBO DE TELEVISÃO</w:t>
      </w:r>
    </w:p>
    <w:p w:rsidR="00D24E61" w:rsidRPr="00771368" w:rsidRDefault="00D24E61">
      <w:pPr>
        <w:spacing w:line="352" w:lineRule="exact"/>
        <w:rPr>
          <w:sz w:val="24"/>
          <w:szCs w:val="24"/>
        </w:rPr>
      </w:pPr>
    </w:p>
    <w:p w:rsidR="00D24E61" w:rsidRPr="00771368" w:rsidRDefault="00D24E61">
      <w:pPr>
        <w:ind w:left="6500"/>
        <w:rPr>
          <w:sz w:val="20"/>
          <w:szCs w:val="20"/>
        </w:rPr>
      </w:pPr>
      <w:r w:rsidRPr="00771368">
        <w:rPr>
          <w:rFonts w:eastAsia="Helvetica"/>
          <w:sz w:val="24"/>
          <w:szCs w:val="24"/>
        </w:rPr>
        <w:t>Ana Flávia Silva Nery</w:t>
      </w:r>
    </w:p>
    <w:p w:rsidR="00D24E61" w:rsidRPr="00771368" w:rsidRDefault="00D24E61">
      <w:pPr>
        <w:spacing w:line="33" w:lineRule="exact"/>
        <w:rPr>
          <w:sz w:val="24"/>
          <w:szCs w:val="24"/>
        </w:rPr>
      </w:pPr>
    </w:p>
    <w:p w:rsidR="00D24E61" w:rsidRPr="00771368" w:rsidRDefault="00D24E61">
      <w:pPr>
        <w:ind w:left="4780"/>
        <w:rPr>
          <w:sz w:val="20"/>
          <w:szCs w:val="20"/>
        </w:rPr>
      </w:pPr>
      <w:r w:rsidRPr="00771368">
        <w:rPr>
          <w:rFonts w:eastAsia="Helvetica"/>
          <w:sz w:val="24"/>
          <w:szCs w:val="24"/>
        </w:rPr>
        <w:t>Universidade Estadual de Santa Cruz</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77" w:lineRule="exact"/>
        <w:rPr>
          <w:sz w:val="24"/>
          <w:szCs w:val="24"/>
        </w:rPr>
      </w:pPr>
    </w:p>
    <w:p w:rsidR="00D24E61" w:rsidRPr="00771368" w:rsidRDefault="00D24E61">
      <w:pPr>
        <w:rPr>
          <w:sz w:val="20"/>
          <w:szCs w:val="20"/>
        </w:rPr>
      </w:pPr>
      <w:r w:rsidRPr="00771368">
        <w:rPr>
          <w:rFonts w:eastAsia="Helvetica"/>
          <w:b/>
          <w:bCs/>
          <w:sz w:val="24"/>
          <w:szCs w:val="24"/>
        </w:rPr>
        <w:t>INTRODUÇÃO</w:t>
      </w:r>
    </w:p>
    <w:p w:rsidR="00D24E61" w:rsidRPr="00771368" w:rsidRDefault="00D24E61">
      <w:pPr>
        <w:spacing w:line="338" w:lineRule="exact"/>
        <w:rPr>
          <w:sz w:val="24"/>
          <w:szCs w:val="24"/>
        </w:rPr>
      </w:pPr>
    </w:p>
    <w:p w:rsidR="00D24E61" w:rsidRPr="00771368" w:rsidRDefault="00D24E61">
      <w:pPr>
        <w:spacing w:line="350" w:lineRule="auto"/>
        <w:ind w:right="20"/>
        <w:jc w:val="both"/>
        <w:rPr>
          <w:sz w:val="20"/>
          <w:szCs w:val="20"/>
        </w:rPr>
      </w:pPr>
      <w:r w:rsidRPr="00771368">
        <w:rPr>
          <w:rFonts w:eastAsia="Helvetica"/>
          <w:sz w:val="24"/>
          <w:szCs w:val="24"/>
        </w:rPr>
        <w:t>De acordo com vários historiadores, as primeiras ci vilizações possuíam um sistema matriarcal, sendo as mulheres responsáveis por tomar decisões e influenciar o meio social. O aparecimento desses modelos de comunidades ocorreu porque as mulheres – juntamente com os filhos – eram responsáveis pelas colheitas, enquanto o homem saía para caçar (NERY; ALMEIDA, 2012, p.</w:t>
      </w:r>
    </w:p>
    <w:p w:rsidR="00D24E61" w:rsidRPr="00771368" w:rsidRDefault="00D24E61">
      <w:pPr>
        <w:spacing w:line="4" w:lineRule="exact"/>
        <w:rPr>
          <w:sz w:val="24"/>
          <w:szCs w:val="24"/>
        </w:rPr>
      </w:pPr>
    </w:p>
    <w:p w:rsidR="00D24E61" w:rsidRPr="00771368" w:rsidRDefault="00D24E61">
      <w:pPr>
        <w:rPr>
          <w:sz w:val="20"/>
          <w:szCs w:val="20"/>
        </w:rPr>
      </w:pPr>
      <w:r w:rsidRPr="00771368">
        <w:rPr>
          <w:rFonts w:eastAsia="Helvetica"/>
          <w:sz w:val="24"/>
          <w:szCs w:val="24"/>
        </w:rPr>
        <w:t>1).</w:t>
      </w:r>
    </w:p>
    <w:p w:rsidR="00D24E61" w:rsidRPr="00771368" w:rsidRDefault="00D24E61">
      <w:pPr>
        <w:spacing w:line="338" w:lineRule="exact"/>
        <w:rPr>
          <w:sz w:val="24"/>
          <w:szCs w:val="24"/>
        </w:rPr>
      </w:pPr>
    </w:p>
    <w:p w:rsidR="00D24E61" w:rsidRPr="00771368" w:rsidRDefault="00D24E61">
      <w:pPr>
        <w:spacing w:line="351" w:lineRule="auto"/>
        <w:jc w:val="both"/>
        <w:rPr>
          <w:sz w:val="20"/>
          <w:szCs w:val="20"/>
        </w:rPr>
      </w:pPr>
      <w:r w:rsidRPr="00771368">
        <w:rPr>
          <w:rFonts w:eastAsia="Helvetica"/>
          <w:sz w:val="24"/>
          <w:szCs w:val="24"/>
        </w:rPr>
        <w:t>Conforme Engels (</w:t>
      </w:r>
      <w:r w:rsidRPr="00771368">
        <w:rPr>
          <w:rFonts w:eastAsia="Helvetica"/>
          <w:i/>
          <w:iCs/>
          <w:sz w:val="24"/>
          <w:szCs w:val="24"/>
        </w:rPr>
        <w:t>apud</w:t>
      </w:r>
      <w:r w:rsidRPr="00771368">
        <w:rPr>
          <w:rFonts w:eastAsia="Helvetica"/>
          <w:sz w:val="24"/>
          <w:szCs w:val="24"/>
        </w:rPr>
        <w:t xml:space="preserve"> IDEM) em sua obra </w:t>
      </w:r>
      <w:r w:rsidRPr="00771368">
        <w:rPr>
          <w:rFonts w:eastAsia="Helvetica"/>
          <w:i/>
          <w:iCs/>
          <w:sz w:val="24"/>
          <w:szCs w:val="24"/>
        </w:rPr>
        <w:t>A origem da Família, da propriedade</w:t>
      </w:r>
      <w:r w:rsidRPr="00771368">
        <w:rPr>
          <w:rFonts w:eastAsia="Helvetica"/>
          <w:sz w:val="24"/>
          <w:szCs w:val="24"/>
        </w:rPr>
        <w:t xml:space="preserve"> </w:t>
      </w:r>
      <w:r w:rsidRPr="00771368">
        <w:rPr>
          <w:rFonts w:eastAsia="Helvetica"/>
          <w:i/>
          <w:iCs/>
          <w:sz w:val="24"/>
          <w:szCs w:val="24"/>
        </w:rPr>
        <w:t>privada e do Estado</w:t>
      </w:r>
      <w:r w:rsidRPr="00771368">
        <w:rPr>
          <w:rFonts w:eastAsia="Helvetica"/>
          <w:sz w:val="24"/>
          <w:szCs w:val="24"/>
        </w:rPr>
        <w:t>, é absurda a ideia de que a mulher sempre foi tida</w:t>
      </w:r>
      <w:r w:rsidRPr="00771368">
        <w:rPr>
          <w:rFonts w:eastAsia="Helvetica"/>
          <w:i/>
          <w:iCs/>
          <w:sz w:val="24"/>
          <w:szCs w:val="24"/>
        </w:rPr>
        <w:t xml:space="preserve"> </w:t>
      </w:r>
      <w:r w:rsidRPr="00771368">
        <w:rPr>
          <w:rFonts w:eastAsia="Helvetica"/>
          <w:sz w:val="24"/>
          <w:szCs w:val="24"/>
        </w:rPr>
        <w:t>socialmente como escrava do homem. De acordo com ele, em todas as tribos as mulheres não somente eram livres como também gozava de consideração por parte do homem. Ainda segundo Engles, as mulheres tinham autoridade nas casas.</w:t>
      </w:r>
    </w:p>
    <w:p w:rsidR="00D24E61" w:rsidRPr="00771368" w:rsidRDefault="00D24E61">
      <w:pPr>
        <w:spacing w:line="263" w:lineRule="exact"/>
        <w:rPr>
          <w:sz w:val="24"/>
          <w:szCs w:val="24"/>
        </w:rPr>
      </w:pPr>
    </w:p>
    <w:p w:rsidR="00D24E61" w:rsidRPr="00771368" w:rsidRDefault="00D24E61">
      <w:pPr>
        <w:spacing w:line="351" w:lineRule="auto"/>
        <w:ind w:right="20"/>
        <w:jc w:val="both"/>
        <w:rPr>
          <w:sz w:val="20"/>
          <w:szCs w:val="20"/>
        </w:rPr>
      </w:pPr>
      <w:r w:rsidRPr="00771368">
        <w:rPr>
          <w:rFonts w:eastAsia="Helvetica"/>
          <w:sz w:val="24"/>
          <w:szCs w:val="24"/>
        </w:rPr>
        <w:t>No entanto, com o aparecimento da noção de Estado e o desenvolvimento da agricultura, o sistema matriarcal foi sendo substituído pelo patriarcado. Isso porque, dentre outros fatores, houve uma crescente quantidade de disputas e guerras pela posse de terras e uma necessidade imediata de organização social a partir do lugar que dispunham de proteção e alimento. De acordo com Engles citado por Nery e Almeida (2012, p. 2), “... o clamor a deuses fortes e corajosos substituiu a devoção à deusa, antes venerada”. Assim, o homem passou a ter todo o poder e influência social. Conf orme Sterns (2012), a passagem da caça à agricultura teria incidido na desestruturação de um sistema consideravelmente igualitário entre mulheres e home ns.</w:t>
      </w: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351" w:lineRule="auto"/>
        <w:jc w:val="both"/>
        <w:rPr>
          <w:sz w:val="20"/>
          <w:szCs w:val="20"/>
        </w:rPr>
      </w:pPr>
      <w:r w:rsidRPr="00771368">
        <w:rPr>
          <w:rFonts w:eastAsia="Helvetica"/>
          <w:sz w:val="24"/>
          <w:szCs w:val="24"/>
        </w:rPr>
        <w:t>Com o patriarcalismo, a figura masculina começou a ser considerada inquestionável. A subordinação e a hierarquia se to rnaram características básicas do novo sistema. Stearns (2012) relata que alguns historiadores defendem a teoria de que a rígida proibição ao adultério feminino tinha a intencionalidade de garantir que os filhos de uma mulher fossem do marido, pois, “... Dada a importância da propriedade em sociedades agrícolas ..., os homens sentiam necessidade de controlar a herança de gerações futuras, e isso começou regulando a sexualidade das esposas” (Sterns, 2012, p. 32).</w:t>
      </w:r>
    </w:p>
    <w:p w:rsidR="00D24E61" w:rsidRPr="00771368" w:rsidRDefault="00D24E61">
      <w:pPr>
        <w:spacing w:line="213" w:lineRule="exact"/>
        <w:rPr>
          <w:sz w:val="20"/>
          <w:szCs w:val="20"/>
        </w:rPr>
      </w:pPr>
    </w:p>
    <w:p w:rsidR="00D24E61" w:rsidRPr="00771368" w:rsidRDefault="00D24E61">
      <w:pPr>
        <w:spacing w:line="316" w:lineRule="auto"/>
        <w:ind w:right="40"/>
        <w:jc w:val="both"/>
        <w:rPr>
          <w:sz w:val="20"/>
          <w:szCs w:val="20"/>
        </w:rPr>
      </w:pPr>
      <w:r w:rsidRPr="00771368">
        <w:rPr>
          <w:rFonts w:eastAsia="Helvetica"/>
          <w:sz w:val="24"/>
          <w:szCs w:val="24"/>
        </w:rPr>
        <w:t xml:space="preserve">Na Idade Média, as concepções sobre o comportamento de toda a sociedade, inclusive o das mulheres, foram estabelecidas de acordo com os princípios dos Eclesiásticos </w:t>
      </w:r>
      <w:r w:rsidRPr="00771368">
        <w:rPr>
          <w:rFonts w:eastAsia="Helvetica"/>
          <w:sz w:val="32"/>
          <w:szCs w:val="32"/>
          <w:vertAlign w:val="superscript"/>
        </w:rPr>
        <w:t>1</w:t>
      </w:r>
      <w:r w:rsidRPr="00771368">
        <w:rPr>
          <w:rFonts w:eastAsia="Helvetica"/>
          <w:sz w:val="24"/>
          <w:szCs w:val="24"/>
        </w:rPr>
        <w:t xml:space="preserve">. Desta forma, a predominância do teocentrismo </w:t>
      </w:r>
      <w:r w:rsidRPr="00771368">
        <w:rPr>
          <w:rFonts w:eastAsia="Helvetica"/>
          <w:sz w:val="32"/>
          <w:szCs w:val="32"/>
          <w:vertAlign w:val="superscript"/>
        </w:rPr>
        <w:t>2</w:t>
      </w:r>
      <w:r w:rsidRPr="00771368">
        <w:rPr>
          <w:rFonts w:eastAsia="Helvetica"/>
          <w:sz w:val="24"/>
          <w:szCs w:val="24"/>
        </w:rPr>
        <w:t xml:space="preserve"> regia todos os</w:t>
      </w:r>
    </w:p>
    <w:p w:rsidR="00D24E61" w:rsidRPr="00771368" w:rsidRDefault="00D24E61">
      <w:pPr>
        <w:spacing w:line="3" w:lineRule="exact"/>
        <w:rPr>
          <w:sz w:val="20"/>
          <w:szCs w:val="20"/>
        </w:rPr>
      </w:pPr>
    </w:p>
    <w:p w:rsidR="00D24E61" w:rsidRPr="00771368" w:rsidRDefault="00D24E61">
      <w:pPr>
        <w:spacing w:line="348" w:lineRule="auto"/>
        <w:ind w:right="120"/>
        <w:rPr>
          <w:sz w:val="20"/>
          <w:szCs w:val="20"/>
        </w:rPr>
      </w:pPr>
      <w:r w:rsidRPr="00771368">
        <w:rPr>
          <w:rFonts w:eastAsia="Helvetica"/>
          <w:sz w:val="24"/>
          <w:szCs w:val="24"/>
        </w:rPr>
        <w:t>âmbitos sociais a partir do pensamento de que o hom em não era nada em relação a Deus.</w:t>
      </w:r>
    </w:p>
    <w:p w:rsidR="00D24E61" w:rsidRPr="00771368" w:rsidRDefault="00D24E61">
      <w:pPr>
        <w:spacing w:line="209" w:lineRule="exact"/>
        <w:rPr>
          <w:sz w:val="20"/>
          <w:szCs w:val="20"/>
        </w:rPr>
      </w:pPr>
    </w:p>
    <w:p w:rsidR="00D24E61" w:rsidRPr="00771368" w:rsidRDefault="00D24E61">
      <w:pPr>
        <w:spacing w:line="324" w:lineRule="auto"/>
        <w:ind w:right="40"/>
        <w:jc w:val="both"/>
        <w:rPr>
          <w:sz w:val="20"/>
          <w:szCs w:val="20"/>
        </w:rPr>
      </w:pPr>
      <w:r w:rsidRPr="00771368">
        <w:rPr>
          <w:rFonts w:eastAsia="Helvetica"/>
          <w:sz w:val="24"/>
          <w:szCs w:val="24"/>
        </w:rPr>
        <w:t xml:space="preserve">Assim, a mulher do período medieval – por ser considerada pecadora, tentadora dos homens e próxima ao Satanás </w:t>
      </w:r>
      <w:r w:rsidRPr="00771368">
        <w:rPr>
          <w:rFonts w:eastAsia="Helvetica"/>
          <w:sz w:val="32"/>
          <w:szCs w:val="32"/>
          <w:vertAlign w:val="superscript"/>
        </w:rPr>
        <w:t>3</w:t>
      </w:r>
      <w:r w:rsidRPr="00771368">
        <w:rPr>
          <w:rFonts w:eastAsia="Helvetica"/>
          <w:sz w:val="24"/>
          <w:szCs w:val="24"/>
        </w:rPr>
        <w:t xml:space="preserve"> – deveria ser subordinada à Igreja, à família e ao marido, para tentar reduzir seus “pecados”. A figura feminina, neste aspecto, não possuía nenhuma representatividade no meio soci al, já que, na maioria das vezes, nem poderiam expressar seus pensamentos.</w:t>
      </w:r>
    </w:p>
    <w:p w:rsidR="00D24E61" w:rsidRPr="00771368" w:rsidRDefault="00D24E61">
      <w:pPr>
        <w:spacing w:line="239" w:lineRule="exact"/>
        <w:rPr>
          <w:sz w:val="20"/>
          <w:szCs w:val="20"/>
        </w:rPr>
      </w:pPr>
    </w:p>
    <w:p w:rsidR="00D24E61" w:rsidRPr="00771368" w:rsidRDefault="00D24E61">
      <w:pPr>
        <w:spacing w:line="349" w:lineRule="auto"/>
        <w:ind w:right="40"/>
        <w:jc w:val="both"/>
        <w:rPr>
          <w:sz w:val="20"/>
          <w:szCs w:val="20"/>
        </w:rPr>
      </w:pPr>
      <w:r w:rsidRPr="00771368">
        <w:rPr>
          <w:rFonts w:eastAsia="Helvetica"/>
          <w:sz w:val="24"/>
          <w:szCs w:val="24"/>
        </w:rPr>
        <w:t>É interessante notar que o sistema patriarcal não estabeleceu regras apenas para as mulheres, ficando os homens também “presos” a um perfil característico que delimitava o que fazer e como agir perante a sociedade.</w:t>
      </w:r>
    </w:p>
    <w:p w:rsidR="00D24E61" w:rsidRPr="00771368" w:rsidRDefault="00D24E61">
      <w:pPr>
        <w:spacing w:line="212" w:lineRule="exact"/>
        <w:rPr>
          <w:sz w:val="20"/>
          <w:szCs w:val="20"/>
        </w:rPr>
      </w:pPr>
    </w:p>
    <w:p w:rsidR="00D24E61" w:rsidRPr="00771368" w:rsidRDefault="00D24E61">
      <w:pPr>
        <w:spacing w:line="348" w:lineRule="auto"/>
        <w:jc w:val="both"/>
        <w:rPr>
          <w:sz w:val="20"/>
          <w:szCs w:val="20"/>
        </w:rPr>
      </w:pPr>
      <w:r w:rsidRPr="00771368">
        <w:rPr>
          <w:rFonts w:eastAsia="Helvetica"/>
          <w:sz w:val="24"/>
          <w:szCs w:val="24"/>
        </w:rPr>
        <w:t>Conforme Sterns (2012), a força do regime patriarcal se impôs sobre as mulheres, mas não deixou de afetar também as definições de ma sculinidade, as quais indicavam aos homens a assunção de papéis de dominâ ncia.</w:t>
      </w:r>
    </w:p>
    <w:p w:rsidR="00D24E61" w:rsidRPr="00771368" w:rsidRDefault="00D24E61">
      <w:pPr>
        <w:spacing w:line="215" w:lineRule="exact"/>
        <w:rPr>
          <w:sz w:val="20"/>
          <w:szCs w:val="20"/>
        </w:rPr>
      </w:pPr>
    </w:p>
    <w:p w:rsidR="00D24E61" w:rsidRPr="00771368" w:rsidRDefault="00D24E61">
      <w:pPr>
        <w:spacing w:line="349" w:lineRule="auto"/>
        <w:ind w:right="40"/>
        <w:jc w:val="both"/>
        <w:rPr>
          <w:sz w:val="20"/>
          <w:szCs w:val="20"/>
        </w:rPr>
      </w:pPr>
      <w:r w:rsidRPr="00771368">
        <w:rPr>
          <w:rFonts w:eastAsia="Helvetica"/>
          <w:sz w:val="24"/>
          <w:szCs w:val="24"/>
        </w:rPr>
        <w:t>A Revolução Francesa e o surgimento do Iluminismo acarretaram uma pequena modificação no pensamento ideológico vigente, porém foi a Revolução Industrial que possibilitou à mulher uma atuação mais significativa nas sociedades. Todavia, mesmo com a inserção feminina no mercado de trabalho, ainda eram constantes</w:t>
      </w:r>
    </w:p>
    <w:p w:rsidR="00D24E61" w:rsidRPr="00771368" w:rsidRDefault="00013211">
      <w:pPr>
        <w:spacing w:line="241" w:lineRule="exact"/>
        <w:rPr>
          <w:sz w:val="20"/>
          <w:szCs w:val="20"/>
        </w:rPr>
      </w:pPr>
      <w:r>
        <w:rPr>
          <w:noProof/>
          <w:sz w:val="20"/>
          <w:szCs w:val="20"/>
        </w:rPr>
        <mc:AlternateContent>
          <mc:Choice Requires="wps">
            <w:drawing>
              <wp:anchor distT="0" distB="0" distL="0" distR="0" simplePos="0" relativeHeight="251684352" behindDoc="0" locked="0" layoutInCell="0" allowOverlap="1">
                <wp:simplePos x="0" y="0"/>
                <wp:positionH relativeFrom="column">
                  <wp:posOffset>635</wp:posOffset>
                </wp:positionH>
                <wp:positionV relativeFrom="paragraph">
                  <wp:posOffset>104775</wp:posOffset>
                </wp:positionV>
                <wp:extent cx="1828800" cy="0"/>
                <wp:effectExtent l="10160" t="9525" r="8890" b="9525"/>
                <wp:wrapNone/>
                <wp:docPr id="24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8.25pt" to="144.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" o:allowincell="f" strokeweight=".72pt"/>
            </w:pict>
          </mc:Fallback>
        </mc:AlternateContent>
      </w:r>
    </w:p>
    <w:p w:rsidR="00D24E61" w:rsidRPr="00771368" w:rsidRDefault="00D24E61">
      <w:pPr>
        <w:spacing w:line="220" w:lineRule="auto"/>
        <w:ind w:right="60"/>
        <w:jc w:val="both"/>
        <w:rPr>
          <w:sz w:val="20"/>
          <w:szCs w:val="20"/>
        </w:rPr>
      </w:pPr>
      <w:r w:rsidRPr="00771368">
        <w:rPr>
          <w:rFonts w:eastAsia="Helvetica"/>
          <w:sz w:val="25"/>
          <w:szCs w:val="25"/>
          <w:vertAlign w:val="superscript"/>
        </w:rPr>
        <w:t>1</w:t>
      </w:r>
      <w:r w:rsidRPr="00771368">
        <w:rPr>
          <w:rFonts w:eastAsia="Helvetica"/>
          <w:sz w:val="20"/>
          <w:szCs w:val="20"/>
        </w:rPr>
        <w:t>Eclesiásticos – Monges ou prelados seculares que ti nham a obrigação de pensar a humanidade, a sociedade e a Igreja, de orientá-las no plano da salvação.</w:t>
      </w:r>
    </w:p>
    <w:p w:rsidR="00D24E61" w:rsidRPr="00771368" w:rsidRDefault="00D24E61">
      <w:pPr>
        <w:spacing w:line="189" w:lineRule="auto"/>
        <w:rPr>
          <w:sz w:val="20"/>
          <w:szCs w:val="20"/>
        </w:rPr>
      </w:pPr>
      <w:r w:rsidRPr="00771368">
        <w:rPr>
          <w:rFonts w:eastAsia="Helvetica"/>
          <w:sz w:val="25"/>
          <w:szCs w:val="25"/>
          <w:vertAlign w:val="superscript"/>
        </w:rPr>
        <w:t>2</w:t>
      </w:r>
      <w:r w:rsidRPr="00771368">
        <w:rPr>
          <w:rFonts w:eastAsia="Helvetica"/>
          <w:sz w:val="20"/>
          <w:szCs w:val="20"/>
        </w:rPr>
        <w:t>A concepção segundo a qual Deus está no centro de t udo.</w:t>
      </w:r>
    </w:p>
    <w:p w:rsidR="00D24E61" w:rsidRPr="00771368" w:rsidRDefault="00D24E61">
      <w:pPr>
        <w:spacing w:line="1" w:lineRule="exact"/>
        <w:rPr>
          <w:sz w:val="20"/>
          <w:szCs w:val="20"/>
        </w:rPr>
      </w:pPr>
    </w:p>
    <w:p w:rsidR="00D24E61" w:rsidRPr="00771368" w:rsidRDefault="00D24E61">
      <w:pPr>
        <w:spacing w:line="212" w:lineRule="auto"/>
        <w:ind w:right="20"/>
        <w:rPr>
          <w:sz w:val="20"/>
          <w:szCs w:val="20"/>
        </w:rPr>
      </w:pPr>
      <w:r w:rsidRPr="00771368">
        <w:rPr>
          <w:rFonts w:eastAsia="Helvetica"/>
          <w:sz w:val="25"/>
          <w:szCs w:val="25"/>
          <w:vertAlign w:val="superscript"/>
        </w:rPr>
        <w:t>3</w:t>
      </w:r>
      <w:r w:rsidRPr="00771368">
        <w:rPr>
          <w:rFonts w:eastAsia="Helvetica"/>
          <w:sz w:val="20"/>
          <w:szCs w:val="20"/>
        </w:rPr>
        <w:t>O período da Inquisição dedicou uma maior atenção às mulheres, que eram caçadas, chantageadas, torturadas e queimadas vivas simplesmente por serem do sexo feminino.</w:t>
      </w:r>
    </w:p>
    <w:p w:rsidR="00D24E61" w:rsidRPr="00771368" w:rsidRDefault="00D24E61">
      <w:pPr>
        <w:sectPr w:rsidR="00D24E61" w:rsidRPr="00771368">
          <w:pgSz w:w="11900" w:h="16840"/>
          <w:pgMar w:top="1416" w:right="1360" w:bottom="1144" w:left="1700" w:header="0" w:footer="0" w:gutter="0"/>
          <w:cols w:space="720" w:equalWidth="0">
            <w:col w:w="8840"/>
          </w:cols>
        </w:sectPr>
      </w:pPr>
    </w:p>
    <w:p w:rsidR="00D24E61" w:rsidRPr="00771368" w:rsidRDefault="00D24E61">
      <w:pPr>
        <w:spacing w:line="349" w:lineRule="auto"/>
        <w:ind w:right="80"/>
        <w:jc w:val="both"/>
        <w:rPr>
          <w:sz w:val="20"/>
          <w:szCs w:val="20"/>
        </w:rPr>
      </w:pPr>
      <w:r w:rsidRPr="00771368">
        <w:rPr>
          <w:rFonts w:eastAsia="Helvetica"/>
          <w:sz w:val="24"/>
          <w:szCs w:val="24"/>
        </w:rPr>
        <w:t>os casos de subordinação da mulher, pois mesmo ao exercer funções laborais iguais às dos homens, estas recebiam salários de ap roximadamente 60% menores.</w:t>
      </w:r>
    </w:p>
    <w:p w:rsidR="00D24E61" w:rsidRPr="00771368" w:rsidRDefault="00D24E61">
      <w:pPr>
        <w:spacing w:line="212" w:lineRule="exact"/>
        <w:rPr>
          <w:sz w:val="20"/>
          <w:szCs w:val="20"/>
        </w:rPr>
      </w:pPr>
    </w:p>
    <w:p w:rsidR="00D24E61" w:rsidRPr="00771368" w:rsidRDefault="00D24E61">
      <w:pPr>
        <w:spacing w:line="351" w:lineRule="auto"/>
        <w:ind w:right="40"/>
        <w:jc w:val="both"/>
        <w:rPr>
          <w:sz w:val="20"/>
          <w:szCs w:val="20"/>
        </w:rPr>
      </w:pPr>
      <w:r w:rsidRPr="00771368">
        <w:rPr>
          <w:rFonts w:eastAsia="Helvetica"/>
          <w:sz w:val="24"/>
          <w:szCs w:val="24"/>
        </w:rPr>
        <w:t>Como consequência da inserção da mulher no trabalho fora do domicílio, surgiram novos conflitos entre os gêneros. Os homen s passaram a se sentir ameaçados enquanto as mulheres reivindicavam cada vez mais espaço na sociedade. Porém, é interessante salientar que, mesmo com esta abertura, a mulher continuou ocupando os mesmos lugares prático s e ideológicos na sociedade, cuja centralidade residia em procriar e cuidar dos filhos.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3" w:lineRule="exact"/>
        <w:rPr>
          <w:sz w:val="20"/>
          <w:szCs w:val="20"/>
        </w:rPr>
      </w:pPr>
    </w:p>
    <w:p w:rsidR="00D24E61" w:rsidRPr="00771368" w:rsidRDefault="00D24E61">
      <w:pPr>
        <w:rPr>
          <w:sz w:val="20"/>
          <w:szCs w:val="20"/>
        </w:rPr>
      </w:pPr>
      <w:r w:rsidRPr="00771368">
        <w:rPr>
          <w:rFonts w:eastAsia="Helvetica"/>
          <w:b/>
          <w:bCs/>
          <w:sz w:val="24"/>
          <w:szCs w:val="24"/>
        </w:rPr>
        <w:t>OBJETIVOS</w:t>
      </w:r>
    </w:p>
    <w:p w:rsidR="00D24E61" w:rsidRPr="00771368" w:rsidRDefault="00D24E61">
      <w:pPr>
        <w:spacing w:line="338" w:lineRule="exact"/>
        <w:rPr>
          <w:sz w:val="20"/>
          <w:szCs w:val="20"/>
        </w:rPr>
      </w:pPr>
    </w:p>
    <w:p w:rsidR="00D24E61" w:rsidRPr="00771368" w:rsidRDefault="00D24E61">
      <w:pPr>
        <w:spacing w:line="348" w:lineRule="auto"/>
        <w:ind w:right="80"/>
        <w:jc w:val="both"/>
        <w:rPr>
          <w:sz w:val="20"/>
          <w:szCs w:val="20"/>
        </w:rPr>
      </w:pPr>
      <w:r w:rsidRPr="00771368">
        <w:rPr>
          <w:rFonts w:eastAsia="Helvetica"/>
          <w:sz w:val="24"/>
          <w:szCs w:val="24"/>
        </w:rPr>
        <w:t xml:space="preserve">O presente artigo tem como objetivo principal desenvolver um estudo sobre as representações femininas no programa humorístico </w:t>
      </w:r>
      <w:r w:rsidRPr="00771368">
        <w:rPr>
          <w:rFonts w:eastAsia="Helvetica"/>
          <w:i/>
          <w:iCs/>
          <w:sz w:val="24"/>
          <w:szCs w:val="24"/>
        </w:rPr>
        <w:t>Zorra Total,</w:t>
      </w:r>
      <w:r w:rsidRPr="00771368">
        <w:rPr>
          <w:rFonts w:eastAsia="Helvetica"/>
          <w:sz w:val="24"/>
          <w:szCs w:val="24"/>
        </w:rPr>
        <w:t xml:space="preserve"> tomando como objeto o quadro </w:t>
      </w:r>
      <w:r w:rsidRPr="00771368">
        <w:rPr>
          <w:rFonts w:eastAsia="Helvetica"/>
          <w:i/>
          <w:iCs/>
          <w:sz w:val="24"/>
          <w:szCs w:val="24"/>
        </w:rPr>
        <w:t>Strip Trem Quiz</w:t>
      </w:r>
      <w:r w:rsidRPr="00771368">
        <w:rPr>
          <w:rFonts w:eastAsia="Helvetica"/>
          <w:sz w:val="24"/>
          <w:szCs w:val="24"/>
        </w:rPr>
        <w:t>, exibido no ano de 2012, pela Rede Globo de</w:t>
      </w:r>
    </w:p>
    <w:p w:rsidR="00D24E61" w:rsidRPr="00771368" w:rsidRDefault="00D24E61">
      <w:pPr>
        <w:spacing w:line="8" w:lineRule="exact"/>
        <w:rPr>
          <w:sz w:val="20"/>
          <w:szCs w:val="20"/>
        </w:rPr>
      </w:pPr>
    </w:p>
    <w:p w:rsidR="00D24E61" w:rsidRPr="00771368" w:rsidRDefault="00D24E61">
      <w:pPr>
        <w:rPr>
          <w:sz w:val="20"/>
          <w:szCs w:val="20"/>
        </w:rPr>
      </w:pPr>
      <w:r w:rsidRPr="00771368">
        <w:rPr>
          <w:rFonts w:eastAsia="Helvetica"/>
          <w:sz w:val="24"/>
          <w:szCs w:val="24"/>
        </w:rPr>
        <w:t>Televisão.</w:t>
      </w:r>
    </w:p>
    <w:p w:rsidR="00D24E61" w:rsidRPr="00771368" w:rsidRDefault="00D24E61">
      <w:pPr>
        <w:spacing w:line="338" w:lineRule="exact"/>
        <w:rPr>
          <w:sz w:val="20"/>
          <w:szCs w:val="20"/>
        </w:rPr>
      </w:pPr>
    </w:p>
    <w:p w:rsidR="00D24E61" w:rsidRPr="00771368" w:rsidRDefault="00D24E61">
      <w:pPr>
        <w:spacing w:line="348" w:lineRule="auto"/>
        <w:jc w:val="both"/>
        <w:rPr>
          <w:sz w:val="20"/>
          <w:szCs w:val="20"/>
        </w:rPr>
      </w:pPr>
      <w:r w:rsidRPr="00771368">
        <w:rPr>
          <w:rFonts w:eastAsia="Helvetica"/>
          <w:sz w:val="24"/>
          <w:szCs w:val="24"/>
        </w:rPr>
        <w:t>Desta forma, a pesquisa visa analisar os papéis atribuídos à figura feminina no programa objeto de estudo, assim como levantar a presença de estereótipos femininos na construção dos personagens, e a sua consequente banalização.</w:t>
      </w:r>
    </w:p>
    <w:p w:rsidR="00D24E61" w:rsidRPr="00771368" w:rsidRDefault="00D24E61">
      <w:pPr>
        <w:spacing w:line="14" w:lineRule="exact"/>
        <w:rPr>
          <w:sz w:val="20"/>
          <w:szCs w:val="20"/>
        </w:rPr>
      </w:pPr>
    </w:p>
    <w:p w:rsidR="00D24E61" w:rsidRPr="00771368" w:rsidRDefault="00D24E61">
      <w:pPr>
        <w:spacing w:line="351" w:lineRule="auto"/>
        <w:ind w:right="80"/>
        <w:jc w:val="both"/>
        <w:rPr>
          <w:sz w:val="20"/>
          <w:szCs w:val="20"/>
        </w:rPr>
      </w:pPr>
      <w:r w:rsidRPr="00771368">
        <w:rPr>
          <w:rFonts w:eastAsia="Helvetica"/>
          <w:sz w:val="24"/>
          <w:szCs w:val="24"/>
        </w:rPr>
        <w:t xml:space="preserve">Discutir a representação sexual da mulher no quadro </w:t>
      </w:r>
      <w:r w:rsidRPr="00771368">
        <w:rPr>
          <w:rFonts w:eastAsia="Helvetica"/>
          <w:i/>
          <w:iCs/>
          <w:sz w:val="24"/>
          <w:szCs w:val="24"/>
        </w:rPr>
        <w:t>Strip Trem Quiz</w:t>
      </w:r>
      <w:r w:rsidRPr="00771368">
        <w:rPr>
          <w:rFonts w:eastAsia="Helvetica"/>
          <w:sz w:val="24"/>
          <w:szCs w:val="24"/>
        </w:rPr>
        <w:t xml:space="preserve"> do programa humorístico </w:t>
      </w:r>
      <w:r w:rsidRPr="00771368">
        <w:rPr>
          <w:rFonts w:eastAsia="Helvetica"/>
          <w:i/>
          <w:iCs/>
          <w:sz w:val="24"/>
          <w:szCs w:val="24"/>
        </w:rPr>
        <w:t>Zorra Total</w:t>
      </w:r>
      <w:r w:rsidRPr="00771368">
        <w:rPr>
          <w:rFonts w:eastAsia="Helvetica"/>
          <w:sz w:val="24"/>
          <w:szCs w:val="24"/>
        </w:rPr>
        <w:t xml:space="preserve"> e analisar a predominância de estereótipos em detrimento da linguagem, dos trocadilhos, da postura e das roupas dos personagens também podem ser classificados como objetivos específicos da pesquisa em questão.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2" w:lineRule="exact"/>
        <w:rPr>
          <w:sz w:val="20"/>
          <w:szCs w:val="20"/>
        </w:rPr>
      </w:pPr>
    </w:p>
    <w:p w:rsidR="00D24E61" w:rsidRPr="00771368" w:rsidRDefault="00D24E61">
      <w:pPr>
        <w:rPr>
          <w:sz w:val="20"/>
          <w:szCs w:val="20"/>
        </w:rPr>
      </w:pPr>
      <w:r w:rsidRPr="00771368">
        <w:rPr>
          <w:rFonts w:eastAsia="Helvetica"/>
          <w:b/>
          <w:bCs/>
          <w:sz w:val="24"/>
          <w:szCs w:val="24"/>
        </w:rPr>
        <w:t>METODOLOGIA</w:t>
      </w:r>
    </w:p>
    <w:p w:rsidR="00D24E61" w:rsidRPr="00771368" w:rsidRDefault="00D24E61">
      <w:pPr>
        <w:spacing w:line="373" w:lineRule="exact"/>
        <w:rPr>
          <w:sz w:val="20"/>
          <w:szCs w:val="20"/>
        </w:rPr>
      </w:pPr>
    </w:p>
    <w:p w:rsidR="00D24E61" w:rsidRPr="00771368" w:rsidRDefault="00D24E61">
      <w:pPr>
        <w:rPr>
          <w:sz w:val="20"/>
          <w:szCs w:val="20"/>
        </w:rPr>
      </w:pPr>
      <w:r w:rsidRPr="00771368">
        <w:rPr>
          <w:rFonts w:eastAsia="Helvetica"/>
          <w:sz w:val="24"/>
          <w:szCs w:val="24"/>
        </w:rPr>
        <w:t>O propósito principal deste trabalho é realizar uma análise qualitativa do quadro</w:t>
      </w:r>
    </w:p>
    <w:p w:rsidR="00D24E61" w:rsidRPr="00771368" w:rsidRDefault="00D24E61">
      <w:pPr>
        <w:spacing w:line="134" w:lineRule="exact"/>
        <w:rPr>
          <w:sz w:val="20"/>
          <w:szCs w:val="20"/>
        </w:rPr>
      </w:pPr>
    </w:p>
    <w:p w:rsidR="00D24E61" w:rsidRPr="00771368" w:rsidRDefault="00D24E61">
      <w:pPr>
        <w:spacing w:line="291" w:lineRule="auto"/>
        <w:ind w:right="80"/>
        <w:jc w:val="both"/>
        <w:rPr>
          <w:sz w:val="20"/>
          <w:szCs w:val="20"/>
        </w:rPr>
      </w:pPr>
      <w:r w:rsidRPr="00771368">
        <w:rPr>
          <w:rFonts w:eastAsia="Helvetica"/>
          <w:i/>
          <w:iCs/>
          <w:sz w:val="24"/>
          <w:szCs w:val="24"/>
        </w:rPr>
        <w:t xml:space="preserve">Strip Trem Quiz </w:t>
      </w:r>
      <w:r w:rsidRPr="00771368">
        <w:rPr>
          <w:rFonts w:eastAsia="Helvetica"/>
          <w:sz w:val="24"/>
          <w:szCs w:val="24"/>
        </w:rPr>
        <w:t>do programa humorístico</w:t>
      </w:r>
      <w:r w:rsidRPr="00771368">
        <w:rPr>
          <w:rFonts w:eastAsia="Helvetica"/>
          <w:i/>
          <w:iCs/>
          <w:sz w:val="24"/>
          <w:szCs w:val="24"/>
        </w:rPr>
        <w:t xml:space="preserve"> Zorra Total</w:t>
      </w:r>
      <w:r w:rsidRPr="00771368">
        <w:rPr>
          <w:rFonts w:eastAsia="Helvetica"/>
          <w:sz w:val="24"/>
          <w:szCs w:val="24"/>
        </w:rPr>
        <w:t>, no qual se busca identificar</w:t>
      </w:r>
      <w:r w:rsidRPr="00771368">
        <w:rPr>
          <w:rFonts w:eastAsia="Helvetica"/>
          <w:i/>
          <w:iCs/>
          <w:sz w:val="24"/>
          <w:szCs w:val="24"/>
        </w:rPr>
        <w:t xml:space="preserve"> </w:t>
      </w:r>
      <w:r w:rsidRPr="00771368">
        <w:rPr>
          <w:rFonts w:eastAsia="Helvetica"/>
          <w:sz w:val="24"/>
          <w:szCs w:val="24"/>
        </w:rPr>
        <w:t>as formas de representação da figura feminina no referido esquete</w:t>
      </w:r>
      <w:r w:rsidRPr="00771368">
        <w:rPr>
          <w:rFonts w:eastAsia="Helvetica"/>
          <w:sz w:val="32"/>
          <w:szCs w:val="32"/>
          <w:vertAlign w:val="superscript"/>
        </w:rPr>
        <w:t>4</w:t>
      </w:r>
      <w:r w:rsidRPr="00771368">
        <w:rPr>
          <w:rFonts w:eastAsia="Helvetica"/>
          <w:sz w:val="24"/>
          <w:szCs w:val="24"/>
        </w:rPr>
        <w:t>. Para isto foi</w:t>
      </w:r>
    </w:p>
    <w:p w:rsidR="00D24E61" w:rsidRPr="00771368" w:rsidRDefault="00013211">
      <w:pPr>
        <w:spacing w:line="291" w:lineRule="auto"/>
        <w:ind w:right="80"/>
        <w:jc w:val="both"/>
        <w:rPr>
          <w:sz w:val="20"/>
          <w:szCs w:val="20"/>
        </w:rPr>
        <w:sectPr w:rsidR="00D24E61" w:rsidRPr="00771368">
          <w:pgSz w:w="11900" w:h="16840"/>
          <w:pgMar w:top="1416" w:right="1320" w:bottom="1144" w:left="1700" w:header="0" w:footer="0" w:gutter="0"/>
          <w:cols w:space="720" w:equalWidth="0">
            <w:col w:w="8880"/>
          </w:cols>
        </w:sectPr>
      </w:pPr>
      <w:r>
        <w:rPr>
          <w:noProof/>
          <w:sz w:val="20"/>
          <w:szCs w:val="20"/>
        </w:rPr>
        <mc:AlternateContent>
          <mc:Choice Requires="wps">
            <w:drawing>
              <wp:anchor distT="0" distB="0" distL="0" distR="0" simplePos="0" relativeHeight="251685376" behindDoc="0" locked="0" layoutInCell="0" allowOverlap="1">
                <wp:simplePos x="0" y="0"/>
                <wp:positionH relativeFrom="column">
                  <wp:posOffset>635</wp:posOffset>
                </wp:positionH>
                <wp:positionV relativeFrom="paragraph">
                  <wp:posOffset>140335</wp:posOffset>
                </wp:positionV>
                <wp:extent cx="1828800" cy="0"/>
                <wp:effectExtent l="10160" t="6985" r="8890" b="12065"/>
                <wp:wrapNone/>
                <wp:docPr id="24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8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1.05pt" to="144.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" o:allowincell="f" strokeweight=".25397mm"/>
            </w:pict>
          </mc:Fallback>
        </mc:AlternateContent>
      </w:r>
    </w:p>
    <w:p w:rsidR="00D24E61" w:rsidRPr="00771368" w:rsidRDefault="00D24E61">
      <w:pPr>
        <w:spacing w:line="336" w:lineRule="exact"/>
        <w:rPr>
          <w:sz w:val="20"/>
          <w:szCs w:val="20"/>
        </w:rPr>
      </w:pPr>
    </w:p>
    <w:p w:rsidR="00D24E61" w:rsidRPr="00771368" w:rsidRDefault="00D24E61">
      <w:pPr>
        <w:spacing w:line="208" w:lineRule="auto"/>
        <w:rPr>
          <w:sz w:val="20"/>
          <w:szCs w:val="20"/>
        </w:rPr>
      </w:pPr>
      <w:r w:rsidRPr="00771368">
        <w:rPr>
          <w:rFonts w:eastAsia="Calibri"/>
          <w:sz w:val="25"/>
          <w:szCs w:val="25"/>
          <w:vertAlign w:val="superscript"/>
        </w:rPr>
        <w:t>4</w:t>
      </w:r>
      <w:r w:rsidRPr="00771368">
        <w:rPr>
          <w:rFonts w:eastAsia="Helvetica"/>
          <w:sz w:val="20"/>
          <w:szCs w:val="20"/>
        </w:rPr>
        <w:t xml:space="preserve"> Pequenas peças ou cenas dramáticas, geralmente cômicas, que tem a duração de menos de dez minutos.</w:t>
      </w:r>
    </w:p>
    <w:p w:rsidR="00D24E61" w:rsidRPr="00771368" w:rsidRDefault="00D24E61">
      <w:pPr>
        <w:sectPr w:rsidR="00D24E61" w:rsidRPr="00771368">
          <w:type w:val="continuous"/>
          <w:pgSz w:w="11900" w:h="16840"/>
          <w:pgMar w:top="1416" w:right="1440" w:bottom="1144" w:left="1700" w:header="0" w:footer="0" w:gutter="0"/>
          <w:cols w:space="720" w:equalWidth="0">
            <w:col w:w="8760"/>
          </w:cols>
        </w:sectPr>
      </w:pPr>
    </w:p>
    <w:p w:rsidR="00D24E61" w:rsidRPr="00771368" w:rsidRDefault="00D24E61">
      <w:pPr>
        <w:spacing w:line="351" w:lineRule="auto"/>
        <w:jc w:val="both"/>
        <w:rPr>
          <w:sz w:val="20"/>
          <w:szCs w:val="20"/>
        </w:rPr>
      </w:pPr>
      <w:r w:rsidRPr="00771368">
        <w:rPr>
          <w:rFonts w:eastAsia="Helvetica"/>
          <w:sz w:val="24"/>
          <w:szCs w:val="24"/>
        </w:rPr>
        <w:t>tomado como base de análise um total de quatro epis ódios do referido quadro, exibidos no ano de 2012. A escolha dos mesmos se deu pela explícita utilização da sexualidade feminina em função dos interesses masculinos, recorrente em todos os quadros. Os quatro episódios foram selecionados a fim de identificar as características de cada um, ressaltando as semelhanças e diferenças entre eles.</w:t>
      </w:r>
    </w:p>
    <w:p w:rsidR="00D24E61" w:rsidRPr="00771368" w:rsidRDefault="00D24E61">
      <w:pPr>
        <w:spacing w:line="246" w:lineRule="exact"/>
        <w:rPr>
          <w:sz w:val="20"/>
          <w:szCs w:val="20"/>
        </w:rPr>
      </w:pPr>
    </w:p>
    <w:p w:rsidR="00D24E61" w:rsidRPr="00771368" w:rsidRDefault="00D24E61">
      <w:pPr>
        <w:spacing w:line="350" w:lineRule="auto"/>
        <w:ind w:right="40"/>
        <w:jc w:val="both"/>
        <w:rPr>
          <w:sz w:val="20"/>
          <w:szCs w:val="20"/>
        </w:rPr>
      </w:pPr>
      <w:r w:rsidRPr="00771368">
        <w:rPr>
          <w:rFonts w:eastAsia="Helvetica"/>
          <w:sz w:val="24"/>
          <w:szCs w:val="24"/>
        </w:rPr>
        <w:t xml:space="preserve">Os episódios do quadro </w:t>
      </w:r>
      <w:r w:rsidRPr="00771368">
        <w:rPr>
          <w:rFonts w:eastAsia="Helvetica"/>
          <w:i/>
          <w:iCs/>
          <w:sz w:val="24"/>
          <w:szCs w:val="24"/>
        </w:rPr>
        <w:t>Strip Trem Quiz</w:t>
      </w:r>
      <w:r w:rsidRPr="00771368">
        <w:rPr>
          <w:rFonts w:eastAsia="Helvetica"/>
          <w:sz w:val="24"/>
          <w:szCs w:val="24"/>
        </w:rPr>
        <w:t xml:space="preserve"> serão respectivamente analisados na pesquisa de acordo com a data de exibição e características similares, com a finalidade de comprovar a banalização da sexualidade feminina ao longo do quadro, e posteriormente do programa.</w:t>
      </w:r>
    </w:p>
    <w:p w:rsidR="00D24E61" w:rsidRPr="00771368" w:rsidRDefault="00D24E61">
      <w:pPr>
        <w:spacing w:line="251" w:lineRule="exact"/>
        <w:rPr>
          <w:sz w:val="20"/>
          <w:szCs w:val="20"/>
        </w:rPr>
      </w:pPr>
    </w:p>
    <w:p w:rsidR="00D24E61" w:rsidRPr="00771368" w:rsidRDefault="00D24E61">
      <w:pPr>
        <w:spacing w:line="351" w:lineRule="auto"/>
        <w:ind w:right="40"/>
        <w:jc w:val="both"/>
        <w:rPr>
          <w:sz w:val="20"/>
          <w:szCs w:val="20"/>
        </w:rPr>
      </w:pPr>
      <w:r w:rsidRPr="00771368">
        <w:rPr>
          <w:rFonts w:eastAsia="Helvetica"/>
          <w:sz w:val="24"/>
          <w:szCs w:val="24"/>
        </w:rPr>
        <w:t xml:space="preserve">Para se observar a suposta vulgarização no </w:t>
      </w:r>
      <w:r w:rsidRPr="00771368">
        <w:rPr>
          <w:rFonts w:eastAsia="Helvetica"/>
          <w:i/>
          <w:iCs/>
          <w:sz w:val="24"/>
          <w:szCs w:val="24"/>
        </w:rPr>
        <w:t>Zorra Tota</w:t>
      </w:r>
      <w:r w:rsidRPr="00771368">
        <w:rPr>
          <w:rFonts w:eastAsia="Helvetica"/>
          <w:sz w:val="24"/>
          <w:szCs w:val="24"/>
        </w:rPr>
        <w:t>l, será aplicada uma abordagem qualitativa, caracterizada por ser meramente descritiva, na qual o pesquisador desenvolve conceitos a partir dos valores, representações, atitudes e/ou opiniões que cercam o tema escolhido. O método qualitativo possibilita uma maior interação entre o investigador e o seu objeto de estudo, favorecendo uma melhor visão contextual do tema.</w:t>
      </w:r>
    </w:p>
    <w:p w:rsidR="00D24E61" w:rsidRPr="00771368" w:rsidRDefault="00D24E61">
      <w:pPr>
        <w:spacing w:line="250" w:lineRule="exact"/>
        <w:rPr>
          <w:sz w:val="20"/>
          <w:szCs w:val="20"/>
        </w:rPr>
      </w:pPr>
    </w:p>
    <w:p w:rsidR="00D24E61" w:rsidRPr="00771368" w:rsidRDefault="00D24E61">
      <w:pPr>
        <w:spacing w:line="234" w:lineRule="auto"/>
        <w:ind w:left="2120" w:right="40"/>
        <w:rPr>
          <w:sz w:val="20"/>
          <w:szCs w:val="20"/>
        </w:rPr>
      </w:pPr>
      <w:r w:rsidRPr="00771368">
        <w:rPr>
          <w:rFonts w:eastAsia="Helvetica"/>
        </w:rPr>
        <w:t>Os dados qualitativos consistem em descrições detalhadas de situações com o objetivo de compreender os indivíduos em seus próprios termos. Estes dados não são padronizáveis como os dados quantitativos, obrigando o pesquisador a ter flexibilidade e criatividade no momento de coletá-los e analisá-los (GOLDENBERG, 1999, p. 53).</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99" w:lineRule="exact"/>
        <w:rPr>
          <w:sz w:val="20"/>
          <w:szCs w:val="20"/>
        </w:rPr>
      </w:pPr>
    </w:p>
    <w:p w:rsidR="00D24E61" w:rsidRPr="00771368" w:rsidRDefault="00D24E61">
      <w:pPr>
        <w:spacing w:line="350" w:lineRule="auto"/>
        <w:ind w:right="20"/>
        <w:rPr>
          <w:sz w:val="20"/>
          <w:szCs w:val="20"/>
        </w:rPr>
      </w:pPr>
      <w:r w:rsidRPr="00771368">
        <w:rPr>
          <w:rFonts w:eastAsia="Helvetica"/>
          <w:sz w:val="24"/>
          <w:szCs w:val="24"/>
        </w:rPr>
        <w:t>A fim de auxiliar na análise do nosso objeto se uti lizará da Análise do Discurso, já que esta busca analisar as construções ideológicas presentes em um discurso. Helena Brandão (2004, p. 33) afirma que “um discurs o é um conjunto de enunciados que tem seus princípios de regularidade em uma mesma formação discursiva”.</w:t>
      </w:r>
    </w:p>
    <w:p w:rsidR="00D24E61" w:rsidRPr="00771368" w:rsidRDefault="00D24E61">
      <w:pPr>
        <w:spacing w:line="214" w:lineRule="exact"/>
        <w:rPr>
          <w:sz w:val="20"/>
          <w:szCs w:val="20"/>
        </w:rPr>
      </w:pPr>
    </w:p>
    <w:p w:rsidR="00D24E61" w:rsidRPr="00771368" w:rsidRDefault="00D24E61">
      <w:pPr>
        <w:spacing w:line="349" w:lineRule="auto"/>
        <w:ind w:right="40"/>
        <w:jc w:val="both"/>
        <w:rPr>
          <w:sz w:val="20"/>
          <w:szCs w:val="20"/>
        </w:rPr>
      </w:pPr>
      <w:r w:rsidRPr="00771368">
        <w:rPr>
          <w:rFonts w:eastAsia="Helvetica"/>
          <w:sz w:val="24"/>
          <w:szCs w:val="24"/>
        </w:rPr>
        <w:t>Para Orlandi (1996) o que interessa na análise do d iscurso é a relação da língua (texto linguístico) com as histórias e significações do sujeito com o mundo. A autora ainda completa sua afirmativa dizendo:</w:t>
      </w:r>
    </w:p>
    <w:p w:rsidR="00D24E61" w:rsidRPr="00771368" w:rsidRDefault="00D24E61">
      <w:pPr>
        <w:spacing w:line="208" w:lineRule="exact"/>
        <w:rPr>
          <w:sz w:val="20"/>
          <w:szCs w:val="20"/>
        </w:rPr>
      </w:pPr>
    </w:p>
    <w:p w:rsidR="00D24E61" w:rsidRPr="00771368" w:rsidRDefault="00D24E61">
      <w:pPr>
        <w:spacing w:line="235" w:lineRule="auto"/>
        <w:ind w:left="2120" w:right="40"/>
        <w:jc w:val="both"/>
        <w:rPr>
          <w:sz w:val="20"/>
          <w:szCs w:val="20"/>
        </w:rPr>
      </w:pPr>
      <w:r w:rsidRPr="00771368">
        <w:rPr>
          <w:rFonts w:eastAsia="Helvetica"/>
        </w:rPr>
        <w:t xml:space="preserve">A AD se pretende uma teoria crítica que trata da </w:t>
      </w:r>
      <w:r w:rsidRPr="00771368">
        <w:rPr>
          <w:rFonts w:eastAsia="Helvetica"/>
          <w:i/>
          <w:iCs/>
        </w:rPr>
        <w:t>determinação</w:t>
      </w:r>
      <w:r w:rsidRPr="00771368">
        <w:rPr>
          <w:rFonts w:eastAsia="Helvetica"/>
        </w:rPr>
        <w:t xml:space="preserve"> </w:t>
      </w:r>
      <w:r w:rsidRPr="00771368">
        <w:rPr>
          <w:rFonts w:eastAsia="Helvetica"/>
          <w:i/>
          <w:iCs/>
        </w:rPr>
        <w:t xml:space="preserve">histórica dos processos de significação. </w:t>
      </w:r>
      <w:r w:rsidRPr="00771368">
        <w:rPr>
          <w:rFonts w:eastAsia="Helvetica"/>
        </w:rPr>
        <w:t>Não estaciona nos</w:t>
      </w:r>
      <w:r w:rsidRPr="00771368">
        <w:rPr>
          <w:rFonts w:eastAsia="Helvetica"/>
          <w:i/>
          <w:iCs/>
        </w:rPr>
        <w:t xml:space="preserve"> </w:t>
      </w:r>
      <w:r w:rsidRPr="00771368">
        <w:rPr>
          <w:rFonts w:eastAsia="Helvetica"/>
        </w:rPr>
        <w:t>produtos como tais. Trabalha com os processos e as condições de produção de linguagem. Condiciona, por isso, a possibilidade de se</w:t>
      </w:r>
    </w:p>
    <w:p w:rsidR="00D24E61" w:rsidRPr="00771368" w:rsidRDefault="00D24E61">
      <w:pPr>
        <w:sectPr w:rsidR="00D24E61" w:rsidRPr="00771368">
          <w:pgSz w:w="11900" w:h="16840"/>
          <w:pgMar w:top="1416" w:right="1360" w:bottom="1440" w:left="1700" w:header="0" w:footer="0" w:gutter="0"/>
          <w:cols w:space="720" w:equalWidth="0">
            <w:col w:w="8840"/>
          </w:cols>
        </w:sectPr>
      </w:pPr>
    </w:p>
    <w:p w:rsidR="00D24E61" w:rsidRPr="00771368" w:rsidRDefault="00D24E61">
      <w:pPr>
        <w:spacing w:line="235" w:lineRule="auto"/>
        <w:ind w:left="2120" w:right="20"/>
        <w:rPr>
          <w:sz w:val="20"/>
          <w:szCs w:val="20"/>
        </w:rPr>
      </w:pPr>
      <w:r w:rsidRPr="00771368">
        <w:rPr>
          <w:rFonts w:eastAsia="Helvetica"/>
        </w:rPr>
        <w:t>encontrarem regularidades à remissão da linguagem à sua exterioridade (condições de produção). (p. 12).</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4" w:lineRule="exact"/>
        <w:rPr>
          <w:sz w:val="20"/>
          <w:szCs w:val="20"/>
        </w:rPr>
      </w:pPr>
    </w:p>
    <w:p w:rsidR="00D24E61" w:rsidRPr="00771368" w:rsidRDefault="00D24E61">
      <w:pPr>
        <w:spacing w:line="351" w:lineRule="auto"/>
        <w:ind w:right="20"/>
        <w:jc w:val="both"/>
        <w:rPr>
          <w:sz w:val="20"/>
          <w:szCs w:val="20"/>
        </w:rPr>
      </w:pPr>
      <w:r w:rsidRPr="00771368">
        <w:rPr>
          <w:rFonts w:eastAsia="Helvetica"/>
          <w:sz w:val="24"/>
          <w:szCs w:val="24"/>
        </w:rPr>
        <w:t>Vale ressaltar que o discurso semântico não deve se r exclusivamente analisado, sendo que em produções televisivas o enunciado não é o único modo de transmitir os pensamentos ideológicos. O discurso estético é um ramo da análise do discurso que pressupõe que a imagem também possu i um enunciado, ou seja, também possui uma ideologia intrínseca. Sendo assim, o discurso estético será abordado no trabalho ao analisar a postura dos personagens, o comportamento, as roupas e os cenários utilizados por estes.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5" w:lineRule="exact"/>
        <w:rPr>
          <w:sz w:val="20"/>
          <w:szCs w:val="20"/>
        </w:rPr>
      </w:pPr>
    </w:p>
    <w:p w:rsidR="00D24E61" w:rsidRPr="00771368" w:rsidRDefault="00D24E61">
      <w:pPr>
        <w:rPr>
          <w:sz w:val="20"/>
          <w:szCs w:val="20"/>
        </w:rPr>
      </w:pPr>
      <w:r w:rsidRPr="00771368">
        <w:rPr>
          <w:rFonts w:eastAsia="Helvetica"/>
          <w:b/>
          <w:bCs/>
          <w:sz w:val="24"/>
          <w:szCs w:val="24"/>
        </w:rPr>
        <w:t>RESULTADO DA PESQUISA E DISCUSSÕES</w:t>
      </w:r>
    </w:p>
    <w:p w:rsidR="00D24E61" w:rsidRPr="00771368" w:rsidRDefault="00D24E61">
      <w:pPr>
        <w:spacing w:line="328" w:lineRule="exact"/>
        <w:rPr>
          <w:sz w:val="20"/>
          <w:szCs w:val="20"/>
        </w:rPr>
      </w:pPr>
    </w:p>
    <w:p w:rsidR="00D24E61" w:rsidRPr="00771368" w:rsidRDefault="00D24E61">
      <w:pPr>
        <w:rPr>
          <w:sz w:val="20"/>
          <w:szCs w:val="20"/>
        </w:rPr>
      </w:pPr>
      <w:r w:rsidRPr="00771368">
        <w:rPr>
          <w:rFonts w:eastAsia="Helvetica"/>
          <w:b/>
          <w:bCs/>
          <w:sz w:val="24"/>
          <w:szCs w:val="24"/>
        </w:rPr>
        <w:t>Relações De Gênero e Movimento Feminista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68" w:lineRule="exact"/>
        <w:rPr>
          <w:sz w:val="20"/>
          <w:szCs w:val="20"/>
        </w:rPr>
      </w:pPr>
    </w:p>
    <w:p w:rsidR="00D24E61" w:rsidRPr="00771368" w:rsidRDefault="00D24E61">
      <w:pPr>
        <w:rPr>
          <w:sz w:val="20"/>
          <w:szCs w:val="20"/>
        </w:rPr>
      </w:pPr>
      <w:r w:rsidRPr="00771368">
        <w:rPr>
          <w:rFonts w:eastAsia="Helvetica"/>
          <w:sz w:val="24"/>
          <w:szCs w:val="24"/>
        </w:rPr>
        <w:t>Os estudos abordando as relações de gênero se inici aram em meados do século</w:t>
      </w:r>
    </w:p>
    <w:p w:rsidR="00D24E61" w:rsidRPr="00771368" w:rsidRDefault="00D24E61">
      <w:pPr>
        <w:spacing w:line="139" w:lineRule="exact"/>
        <w:rPr>
          <w:sz w:val="20"/>
          <w:szCs w:val="20"/>
        </w:rPr>
      </w:pPr>
    </w:p>
    <w:p w:rsidR="00D24E61" w:rsidRPr="00771368" w:rsidRDefault="00D24E61">
      <w:pPr>
        <w:spacing w:line="351" w:lineRule="auto"/>
        <w:ind w:right="20"/>
        <w:jc w:val="both"/>
        <w:rPr>
          <w:sz w:val="20"/>
          <w:szCs w:val="20"/>
        </w:rPr>
      </w:pPr>
      <w:r w:rsidRPr="00771368">
        <w:rPr>
          <w:rFonts w:eastAsia="Helvetica"/>
          <w:sz w:val="24"/>
          <w:szCs w:val="24"/>
        </w:rPr>
        <w:t>XX e ganharam visibilidade a partir do surgimento das novas concepções advindas da sociedade pós-moderna. Essas pesquisas são baseadas nas divergências e convergências entre ambos os sexos n o meio social. Deste modo, os aspectos biológicos não são levados em considera ção, já que o enfoque característico dos estudos de gênero são as constru ções ideológicas, culturais e sociais das relações.</w:t>
      </w:r>
    </w:p>
    <w:p w:rsidR="00D24E61" w:rsidRPr="00771368" w:rsidRDefault="00D24E61">
      <w:pPr>
        <w:spacing w:line="207" w:lineRule="exact"/>
        <w:rPr>
          <w:sz w:val="20"/>
          <w:szCs w:val="20"/>
        </w:rPr>
      </w:pPr>
    </w:p>
    <w:p w:rsidR="00D24E61" w:rsidRPr="00771368" w:rsidRDefault="00D24E61">
      <w:pPr>
        <w:spacing w:line="234" w:lineRule="auto"/>
        <w:ind w:left="2120" w:right="20"/>
        <w:jc w:val="both"/>
        <w:rPr>
          <w:sz w:val="20"/>
          <w:szCs w:val="20"/>
        </w:rPr>
      </w:pPr>
      <w:r w:rsidRPr="00771368">
        <w:rPr>
          <w:rFonts w:eastAsia="Helvetica"/>
        </w:rPr>
        <w:t xml:space="preserve">Os sistemas de gênero não estão isoladamente fundad os na simbolização cultural da diferença dos sexos dos seres humanos, mas na constituição simbólica de uma rede de significados que estabelecem associações (metáforas, metonímias etc. ) com outros elementos do universo (sol, lua, energia, terra, ordem, destruição, criação, controle, prestígio etc.) (MACHADO </w:t>
      </w:r>
      <w:r w:rsidRPr="00771368">
        <w:rPr>
          <w:rFonts w:eastAsia="Helvetica"/>
          <w:i/>
          <w:iCs/>
        </w:rPr>
        <w:t>apud</w:t>
      </w:r>
      <w:r w:rsidRPr="00771368">
        <w:rPr>
          <w:rFonts w:eastAsia="Helvetica"/>
        </w:rPr>
        <w:t xml:space="preserve"> SANTOS, 2004, p. 89).</w:t>
      </w:r>
    </w:p>
    <w:p w:rsidR="00D24E61" w:rsidRPr="00771368" w:rsidRDefault="00D24E61">
      <w:pPr>
        <w:sectPr w:rsidR="00D24E61" w:rsidRPr="00771368">
          <w:pgSz w:w="11900" w:h="16840"/>
          <w:pgMar w:top="1415" w:right="1380" w:bottom="1440" w:left="1700" w:header="0" w:footer="0" w:gutter="0"/>
          <w:cols w:space="720" w:equalWidth="0">
            <w:col w:w="882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1" w:lineRule="exact"/>
        <w:rPr>
          <w:sz w:val="20"/>
          <w:szCs w:val="20"/>
        </w:rPr>
      </w:pPr>
    </w:p>
    <w:p w:rsidR="00D24E61" w:rsidRPr="00771368" w:rsidRDefault="00D24E61">
      <w:pPr>
        <w:spacing w:line="348" w:lineRule="auto"/>
        <w:rPr>
          <w:sz w:val="20"/>
          <w:szCs w:val="20"/>
        </w:rPr>
      </w:pPr>
      <w:r w:rsidRPr="00771368">
        <w:rPr>
          <w:rFonts w:eastAsia="Helvetica"/>
          <w:sz w:val="24"/>
          <w:szCs w:val="24"/>
        </w:rPr>
        <w:t>Cabral e Diaz (1999), por sua vez, afirmam que tais relações são consequências de um processo contínuo de aprendizado que ressalta as diferenças sociais entre homens e mulheres ao longo da vida.</w:t>
      </w:r>
    </w:p>
    <w:p w:rsidR="00D24E61" w:rsidRPr="00771368" w:rsidRDefault="00D24E61">
      <w:pPr>
        <w:sectPr w:rsidR="00D24E61" w:rsidRPr="00771368">
          <w:type w:val="continuous"/>
          <w:pgSz w:w="11900" w:h="16840"/>
          <w:pgMar w:top="1415" w:right="1360" w:bottom="1440" w:left="1700" w:header="0" w:footer="0" w:gutter="0"/>
          <w:cols w:space="720" w:equalWidth="0">
            <w:col w:w="8840"/>
          </w:cols>
        </w:sectPr>
      </w:pPr>
    </w:p>
    <w:p w:rsidR="00D24E61" w:rsidRPr="00771368" w:rsidRDefault="00D24E61">
      <w:pPr>
        <w:spacing w:line="324" w:lineRule="auto"/>
        <w:jc w:val="both"/>
        <w:rPr>
          <w:sz w:val="20"/>
          <w:szCs w:val="20"/>
        </w:rPr>
      </w:pPr>
      <w:r w:rsidRPr="00771368">
        <w:rPr>
          <w:rFonts w:eastAsia="Helvetica"/>
          <w:sz w:val="24"/>
          <w:szCs w:val="24"/>
        </w:rPr>
        <w:t>No processo histórico das lutas em favor dos direitos iguais entre os gêneros, o feminismo</w:t>
      </w:r>
      <w:r w:rsidRPr="00771368">
        <w:rPr>
          <w:rFonts w:eastAsia="Helvetica"/>
          <w:sz w:val="32"/>
          <w:szCs w:val="32"/>
          <w:vertAlign w:val="superscript"/>
        </w:rPr>
        <w:t>5</w:t>
      </w:r>
      <w:r w:rsidRPr="00771368">
        <w:rPr>
          <w:rFonts w:eastAsia="Helvetica"/>
          <w:sz w:val="24"/>
          <w:szCs w:val="24"/>
        </w:rPr>
        <w:t xml:space="preserve"> surge e pode ser definido como um movimento sociopolítico, teórico e intelectual em defesa do reconhecimento e ampliação dos direitos da mulher perante a sociedade, de modo a contribuir para uma igualdade de participação social entre os sexos.</w:t>
      </w:r>
    </w:p>
    <w:p w:rsidR="00D24E61" w:rsidRPr="00771368" w:rsidRDefault="00D24E61">
      <w:pPr>
        <w:spacing w:line="320" w:lineRule="exact"/>
        <w:rPr>
          <w:sz w:val="20"/>
          <w:szCs w:val="20"/>
        </w:rPr>
      </w:pPr>
    </w:p>
    <w:p w:rsidR="00D24E61" w:rsidRPr="00771368" w:rsidRDefault="00D24E61">
      <w:pPr>
        <w:spacing w:line="234" w:lineRule="auto"/>
        <w:ind w:left="2120" w:right="40"/>
        <w:jc w:val="both"/>
        <w:rPr>
          <w:sz w:val="20"/>
          <w:szCs w:val="20"/>
        </w:rPr>
      </w:pPr>
      <w:r w:rsidRPr="00771368">
        <w:rPr>
          <w:rFonts w:eastAsia="Helvetica"/>
        </w:rPr>
        <w:t>[...] a humanidade estruturou seus modos de vida considerando que esses seres de corpos diferentes deveriam ser tratados de forma também diferente e, nesse particular, opostos e assimetricamente desiguais. Sobre a diferença biológica (corpo), portanto, estrutura-se uma diferença cultural (simbólica) construída na ação humana de apropriação e transformação da natureza. (DIAS, 2003, p. 16).</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8" w:lineRule="exact"/>
        <w:rPr>
          <w:sz w:val="20"/>
          <w:szCs w:val="20"/>
        </w:rPr>
      </w:pPr>
    </w:p>
    <w:p w:rsidR="00D24E61" w:rsidRPr="00771368" w:rsidRDefault="00D24E61">
      <w:pPr>
        <w:spacing w:line="349" w:lineRule="auto"/>
        <w:ind w:right="40"/>
        <w:jc w:val="both"/>
        <w:rPr>
          <w:sz w:val="20"/>
          <w:szCs w:val="20"/>
        </w:rPr>
      </w:pPr>
      <w:r w:rsidRPr="00771368">
        <w:rPr>
          <w:rFonts w:eastAsia="Helvetica"/>
          <w:sz w:val="24"/>
          <w:szCs w:val="24"/>
        </w:rPr>
        <w:t>O movimento feminista vem buscando desnaturalizar a ideologia segundo a qual as diferenças biológicas entre homens e mulheres são imprescindíveis para que ocorra uma desigualdade de direitos sociais e uma consequente subordinação de um sobre o outro.</w:t>
      </w:r>
    </w:p>
    <w:p w:rsidR="00D24E61" w:rsidRPr="00771368" w:rsidRDefault="00D24E61">
      <w:pPr>
        <w:spacing w:line="214" w:lineRule="exact"/>
        <w:rPr>
          <w:sz w:val="20"/>
          <w:szCs w:val="20"/>
        </w:rPr>
      </w:pPr>
    </w:p>
    <w:p w:rsidR="00D24E61" w:rsidRPr="00771368" w:rsidRDefault="00D24E61">
      <w:pPr>
        <w:spacing w:line="351" w:lineRule="auto"/>
        <w:ind w:right="20"/>
        <w:jc w:val="both"/>
        <w:rPr>
          <w:sz w:val="20"/>
          <w:szCs w:val="20"/>
        </w:rPr>
      </w:pPr>
      <w:r w:rsidRPr="00771368">
        <w:rPr>
          <w:rFonts w:eastAsia="Helvetica"/>
          <w:sz w:val="24"/>
          <w:szCs w:val="24"/>
        </w:rPr>
        <w:t>Ao longo da história do movimento feminista ocorreram três grandes momentos em períodos distintos. O primeiro entre o século XIX e início do século XX, nos Estados Unidos e Grã-Bretanha, sendo o ano de 1848 o marco inicial. O objetivo principal era a conquista de direitos civis como, por exemplo, o direito ao voto, ao divórcio ou a possibilidade de uma formação educacional superior.</w:t>
      </w:r>
    </w:p>
    <w:p w:rsidR="00D24E61" w:rsidRPr="00771368" w:rsidRDefault="00D24E61">
      <w:pPr>
        <w:spacing w:line="208" w:lineRule="exact"/>
        <w:rPr>
          <w:sz w:val="20"/>
          <w:szCs w:val="20"/>
        </w:rPr>
      </w:pPr>
    </w:p>
    <w:p w:rsidR="00D24E61" w:rsidRPr="00771368" w:rsidRDefault="00D24E61">
      <w:pPr>
        <w:spacing w:line="337" w:lineRule="auto"/>
        <w:ind w:right="40"/>
        <w:jc w:val="both"/>
        <w:rPr>
          <w:sz w:val="20"/>
          <w:szCs w:val="20"/>
        </w:rPr>
      </w:pPr>
      <w:r w:rsidRPr="00771368">
        <w:rPr>
          <w:rFonts w:eastAsia="Helvetica"/>
          <w:sz w:val="24"/>
          <w:szCs w:val="24"/>
        </w:rPr>
        <w:t xml:space="preserve">Mais de um século depois, entre as décadas de 1960 e 1980, o feminismo ressurgiu nos Estados Unidos tomando proporções significativamente elevadas no meio social. Reivindicações como o direito a sexualidade – representada aí com a possibilidade de utilização de métodos contraceptivos – e a igualdade no mercado de trabalho foram alguns aspectos marcantes neste momento. Protestos públicos, como a famosa “queima de sutiãs” </w:t>
      </w:r>
      <w:r w:rsidRPr="00771368">
        <w:rPr>
          <w:rFonts w:eastAsia="Helvetica"/>
          <w:sz w:val="32"/>
          <w:szCs w:val="32"/>
          <w:vertAlign w:val="superscript"/>
        </w:rPr>
        <w:t>6</w:t>
      </w:r>
      <w:r w:rsidRPr="00771368">
        <w:rPr>
          <w:rFonts w:eastAsia="Helvetica"/>
          <w:sz w:val="24"/>
          <w:szCs w:val="24"/>
        </w:rPr>
        <w:t xml:space="preserve"> e surgimento de estudos referentes às questões de gênero marcaram o período.</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86400" behindDoc="0" locked="0" layoutInCell="0" allowOverlap="1">
                <wp:simplePos x="0" y="0"/>
                <wp:positionH relativeFrom="column">
                  <wp:posOffset>635</wp:posOffset>
                </wp:positionH>
                <wp:positionV relativeFrom="paragraph">
                  <wp:posOffset>318770</wp:posOffset>
                </wp:positionV>
                <wp:extent cx="1828800" cy="0"/>
                <wp:effectExtent l="10160" t="13970" r="8890" b="5080"/>
                <wp:wrapNone/>
                <wp:docPr id="24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8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5.1pt" to="144.0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cTw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" o:allowincell="f" strokeweight=".72pt"/>
            </w:pict>
          </mc:Fallback>
        </mc:AlternateContent>
      </w:r>
    </w:p>
    <w:p w:rsidR="00D24E61" w:rsidRPr="00771368" w:rsidRDefault="00D24E61">
      <w:pPr>
        <w:spacing w:line="200" w:lineRule="exact"/>
        <w:rPr>
          <w:sz w:val="20"/>
          <w:szCs w:val="20"/>
        </w:rPr>
      </w:pPr>
    </w:p>
    <w:p w:rsidR="00D24E61" w:rsidRPr="00771368" w:rsidRDefault="00D24E61">
      <w:pPr>
        <w:spacing w:line="213" w:lineRule="exact"/>
        <w:rPr>
          <w:sz w:val="20"/>
          <w:szCs w:val="20"/>
        </w:rPr>
      </w:pPr>
    </w:p>
    <w:p w:rsidR="00D24E61" w:rsidRPr="00771368" w:rsidRDefault="00D24E61" w:rsidP="00EA38AA">
      <w:pPr>
        <w:numPr>
          <w:ilvl w:val="0"/>
          <w:numId w:val="50"/>
        </w:numPr>
        <w:tabs>
          <w:tab w:val="left" w:pos="142"/>
        </w:tabs>
        <w:spacing w:line="203" w:lineRule="auto"/>
        <w:ind w:right="40"/>
        <w:jc w:val="both"/>
        <w:rPr>
          <w:rFonts w:eastAsia="Helvetica"/>
          <w:sz w:val="26"/>
          <w:szCs w:val="26"/>
          <w:vertAlign w:val="superscript"/>
        </w:rPr>
      </w:pPr>
      <w:r w:rsidRPr="00771368">
        <w:rPr>
          <w:rFonts w:eastAsia="Helvetica"/>
          <w:sz w:val="20"/>
          <w:szCs w:val="20"/>
        </w:rPr>
        <w:t>Assim como os movimentos estudantis, antibelicistas, raciais, juvenis, entre outros, o feminismo compõe o grupo dos “novos movimentos sociais”, que ganharam força a partir da década de 1960.</w:t>
      </w:r>
    </w:p>
    <w:p w:rsidR="00D24E61" w:rsidRPr="00771368" w:rsidRDefault="00D24E61">
      <w:pPr>
        <w:spacing w:line="2" w:lineRule="exact"/>
        <w:rPr>
          <w:rFonts w:eastAsia="Helvetica"/>
          <w:sz w:val="26"/>
          <w:szCs w:val="26"/>
          <w:vertAlign w:val="superscript"/>
        </w:rPr>
      </w:pPr>
    </w:p>
    <w:p w:rsidR="00D24E61" w:rsidRPr="00771368" w:rsidRDefault="00D24E61" w:rsidP="00EA38AA">
      <w:pPr>
        <w:numPr>
          <w:ilvl w:val="0"/>
          <w:numId w:val="50"/>
        </w:numPr>
        <w:tabs>
          <w:tab w:val="left" w:pos="151"/>
        </w:tabs>
        <w:spacing w:line="223" w:lineRule="auto"/>
        <w:ind w:right="40"/>
        <w:jc w:val="both"/>
        <w:rPr>
          <w:rFonts w:eastAsia="Helvetica"/>
          <w:sz w:val="26"/>
          <w:szCs w:val="26"/>
          <w:vertAlign w:val="superscript"/>
        </w:rPr>
      </w:pPr>
      <w:r w:rsidRPr="00771368">
        <w:rPr>
          <w:rFonts w:eastAsia="Helvetica"/>
          <w:sz w:val="20"/>
          <w:szCs w:val="20"/>
        </w:rPr>
        <w:t xml:space="preserve">Protesto com aproximadamente quarenta ativistas do </w:t>
      </w:r>
      <w:r w:rsidRPr="00771368">
        <w:rPr>
          <w:rFonts w:eastAsia="Helvetica"/>
          <w:i/>
          <w:iCs/>
          <w:sz w:val="20"/>
          <w:szCs w:val="20"/>
        </w:rPr>
        <w:t>Women’s Liberation Movement</w:t>
      </w:r>
      <w:r w:rsidRPr="00771368">
        <w:rPr>
          <w:rFonts w:eastAsia="Helvetica"/>
          <w:sz w:val="20"/>
          <w:szCs w:val="20"/>
        </w:rPr>
        <w:t xml:space="preserve"> realizado no concurso de Miss América em 7 de setembro de 1968, na cidade de Atlantic City, nos Estados Unidos, cujo objetivo era denunciar a exploração comercial realizada contra as mulheres. Objetos que simbolizavam a beleza feminina como sutiãs, sap atos de salto alto e maquiagens foram atirados ao chão. A mídia, referindo-se a atitude i ncendiária das manifestantes, intitulou o episódio de “queima de sutiãs”.</w:t>
      </w:r>
    </w:p>
    <w:p w:rsidR="00D24E61" w:rsidRPr="00771368" w:rsidRDefault="00D24E61">
      <w:pPr>
        <w:sectPr w:rsidR="00D24E61" w:rsidRPr="00771368">
          <w:pgSz w:w="11900" w:h="16840"/>
          <w:pgMar w:top="1416" w:right="1360" w:bottom="1147" w:left="1700" w:header="0" w:footer="0" w:gutter="0"/>
          <w:cols w:space="720" w:equalWidth="0">
            <w:col w:w="8840"/>
          </w:cols>
        </w:sectPr>
      </w:pPr>
    </w:p>
    <w:p w:rsidR="00D24E61" w:rsidRPr="00771368" w:rsidRDefault="00D24E61">
      <w:pPr>
        <w:spacing w:line="351" w:lineRule="auto"/>
        <w:ind w:right="20"/>
        <w:jc w:val="both"/>
        <w:rPr>
          <w:sz w:val="20"/>
          <w:szCs w:val="20"/>
        </w:rPr>
      </w:pPr>
      <w:r w:rsidRPr="00771368">
        <w:rPr>
          <w:rFonts w:eastAsia="Helvetica"/>
          <w:sz w:val="24"/>
          <w:szCs w:val="24"/>
        </w:rPr>
        <w:t xml:space="preserve">A publicação do livro </w:t>
      </w:r>
      <w:r w:rsidRPr="00771368">
        <w:rPr>
          <w:rFonts w:eastAsia="Helvetica"/>
          <w:i/>
          <w:iCs/>
          <w:sz w:val="24"/>
          <w:szCs w:val="24"/>
        </w:rPr>
        <w:t>O Segundo Sexo</w:t>
      </w:r>
      <w:r w:rsidRPr="00771368">
        <w:rPr>
          <w:rFonts w:eastAsia="Helvetica"/>
          <w:sz w:val="24"/>
          <w:szCs w:val="24"/>
        </w:rPr>
        <w:t xml:space="preserve"> (1949), de Simone de Beauvoir, foi considerada um marco para o movimento feminista, já que, a situação da mulher na sociedade foi analisada. A autora discutia que a hierarquização dos sexos não passava de uma construção social e ideológica, determinada pelo pensamento patriarcal vigente.</w:t>
      </w:r>
    </w:p>
    <w:p w:rsidR="00D24E61" w:rsidRPr="00771368" w:rsidRDefault="00D24E61">
      <w:pPr>
        <w:spacing w:line="289" w:lineRule="exact"/>
        <w:rPr>
          <w:sz w:val="20"/>
          <w:szCs w:val="20"/>
        </w:rPr>
      </w:pPr>
    </w:p>
    <w:p w:rsidR="00D24E61" w:rsidRPr="00771368" w:rsidRDefault="00D24E61">
      <w:pPr>
        <w:spacing w:line="351" w:lineRule="auto"/>
        <w:ind w:right="20"/>
        <w:jc w:val="both"/>
        <w:rPr>
          <w:sz w:val="20"/>
          <w:szCs w:val="20"/>
        </w:rPr>
      </w:pPr>
      <w:r w:rsidRPr="00771368">
        <w:rPr>
          <w:rFonts w:eastAsia="Helvetica"/>
          <w:sz w:val="24"/>
          <w:szCs w:val="24"/>
        </w:rPr>
        <w:t>Este pensamento, de acordo com Stearns (2012), nasce a partir do surgimento do sistema agrícola nas comunidades primitivas – antes baseadas economicamente na caça e na coleta, nos quais homens e mulheres possuíam atividades que se complementavam na manutenção da subsistência –, poi s, naquele momento, a obtenção do alimento se tornou mais segura, ocasionando, entre outros fatores, uma maior taxa de natalidade feminina. Deste modo, os homens se tornaram responsáveis pelo cultivo e pelo sustento da famíli a.</w:t>
      </w:r>
    </w:p>
    <w:p w:rsidR="00D24E61" w:rsidRPr="00771368" w:rsidRDefault="00D24E61">
      <w:pPr>
        <w:spacing w:line="291" w:lineRule="exact"/>
        <w:rPr>
          <w:sz w:val="20"/>
          <w:szCs w:val="20"/>
        </w:rPr>
      </w:pPr>
    </w:p>
    <w:p w:rsidR="00D24E61" w:rsidRPr="00771368" w:rsidRDefault="00D24E61">
      <w:pPr>
        <w:spacing w:line="234" w:lineRule="auto"/>
        <w:ind w:left="2120" w:right="20"/>
        <w:jc w:val="both"/>
        <w:rPr>
          <w:sz w:val="20"/>
          <w:szCs w:val="20"/>
        </w:rPr>
      </w:pPr>
      <w:r w:rsidRPr="00771368">
        <w:rPr>
          <w:rFonts w:eastAsia="Helvetica"/>
        </w:rPr>
        <w:t>[...] Os homens agora eram responsáveis, em geral, pela plantação; a assistência feminina era vital, mas cabia aos hom ens suprir a maior parte dos alimentos. A taxa de natalidade subiu, em parte porque os suprimentos de alimentos se tornaram um pouco mais seguros, em parte porque havia mais condições de aproveitar o trabalho das crianças. Essa foi provavelmente a razão principal de os homens assumirem a maior parte das funções agrícolas, já que a maternidade consumia mais tempo. Dessa forma, as vidas das mulheres passaram a ser definidas mais em termos de gravidez e cuidados de crianças. Era o cenário para um novo e penetrante patriarcalismo. (STERNS, 2012, p. 32).</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3" w:lineRule="exact"/>
        <w:rPr>
          <w:sz w:val="20"/>
          <w:szCs w:val="20"/>
        </w:rPr>
      </w:pPr>
    </w:p>
    <w:p w:rsidR="00D24E61" w:rsidRPr="00771368" w:rsidRDefault="00D24E61">
      <w:pPr>
        <w:spacing w:line="332" w:lineRule="auto"/>
        <w:ind w:right="20"/>
        <w:jc w:val="both"/>
        <w:rPr>
          <w:sz w:val="20"/>
          <w:szCs w:val="20"/>
        </w:rPr>
      </w:pPr>
      <w:r w:rsidRPr="00771368">
        <w:rPr>
          <w:rFonts w:eastAsia="Helvetica"/>
          <w:sz w:val="24"/>
          <w:szCs w:val="24"/>
        </w:rPr>
        <w:t>O patriarcado foi responsável pela relação desigual de poder que os homens tinham com as mulheres, estabelecendo, consequentemente, mecanismos de proibição e censura às mesmas. Um exemplo disto ocorreu na China Imperial onde as mulheres possuíam os pés enfaixados e atrofiados com a finalidade de dificultar o caminhar</w:t>
      </w:r>
      <w:r w:rsidRPr="00771368">
        <w:rPr>
          <w:rFonts w:eastAsia="Helvetica"/>
          <w:sz w:val="32"/>
          <w:szCs w:val="32"/>
          <w:vertAlign w:val="superscript"/>
        </w:rPr>
        <w:t>7</w:t>
      </w:r>
      <w:r w:rsidRPr="00771368">
        <w:rPr>
          <w:rFonts w:eastAsia="Helvetica"/>
          <w:sz w:val="24"/>
          <w:szCs w:val="24"/>
        </w:rPr>
        <w:t>.</w:t>
      </w:r>
    </w:p>
    <w:p w:rsidR="00D24E61" w:rsidRPr="00771368" w:rsidRDefault="00D24E61">
      <w:pPr>
        <w:spacing w:line="269" w:lineRule="exact"/>
        <w:rPr>
          <w:sz w:val="20"/>
          <w:szCs w:val="20"/>
        </w:rPr>
      </w:pPr>
    </w:p>
    <w:p w:rsidR="00D24E61" w:rsidRPr="00771368" w:rsidRDefault="00D24E61">
      <w:pPr>
        <w:spacing w:line="348" w:lineRule="auto"/>
        <w:jc w:val="both"/>
        <w:rPr>
          <w:sz w:val="20"/>
          <w:szCs w:val="20"/>
        </w:rPr>
      </w:pPr>
      <w:r w:rsidRPr="00771368">
        <w:rPr>
          <w:rFonts w:eastAsia="Helvetica"/>
          <w:sz w:val="24"/>
          <w:szCs w:val="24"/>
        </w:rPr>
        <w:t>O terceiro momento teve início no ano de 1990 e permanece até os dias atuais. Com premissa de reestruturar os equívocos cometidos pela fase anterior, as feministas dessa geração evitavam colocações essenc ialistas da mulher, não</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87424" behindDoc="0" locked="0" layoutInCell="0" allowOverlap="1">
                <wp:simplePos x="0" y="0"/>
                <wp:positionH relativeFrom="column">
                  <wp:posOffset>635</wp:posOffset>
                </wp:positionH>
                <wp:positionV relativeFrom="paragraph">
                  <wp:posOffset>294640</wp:posOffset>
                </wp:positionV>
                <wp:extent cx="1828800" cy="0"/>
                <wp:effectExtent l="10160" t="8890" r="8890" b="10160"/>
                <wp:wrapNone/>
                <wp:docPr id="24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8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3.2pt" to="144.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P0FA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" o:allowincell="f" strokeweight=".72pt"/>
            </w:pict>
          </mc:Fallback>
        </mc:AlternateContent>
      </w:r>
    </w:p>
    <w:p w:rsidR="00D24E61" w:rsidRPr="00771368" w:rsidRDefault="00D24E61">
      <w:pPr>
        <w:spacing w:line="339" w:lineRule="exact"/>
        <w:rPr>
          <w:sz w:val="20"/>
          <w:szCs w:val="20"/>
        </w:rPr>
      </w:pPr>
    </w:p>
    <w:p w:rsidR="00D24E61" w:rsidRPr="00771368" w:rsidRDefault="00D24E61">
      <w:pPr>
        <w:spacing w:line="234" w:lineRule="auto"/>
        <w:ind w:right="220"/>
        <w:rPr>
          <w:sz w:val="20"/>
          <w:szCs w:val="20"/>
        </w:rPr>
      </w:pPr>
      <w:r w:rsidRPr="00771368">
        <w:rPr>
          <w:rFonts w:eastAsia="Helvetica"/>
          <w:sz w:val="25"/>
          <w:szCs w:val="25"/>
          <w:vertAlign w:val="superscript"/>
        </w:rPr>
        <w:t>7</w:t>
      </w:r>
      <w:r w:rsidRPr="00771368">
        <w:rPr>
          <w:rFonts w:eastAsia="Helvetica"/>
          <w:sz w:val="20"/>
          <w:szCs w:val="20"/>
        </w:rPr>
        <w:t xml:space="preserve"> Para saber mais sobre o patriarcado, consultar: STEARNS, Peter N. </w:t>
      </w:r>
      <w:r w:rsidRPr="00771368">
        <w:rPr>
          <w:rFonts w:eastAsia="Helvetica"/>
          <w:b/>
          <w:bCs/>
          <w:sz w:val="20"/>
          <w:szCs w:val="20"/>
        </w:rPr>
        <w:t>História das relações de</w:t>
      </w:r>
      <w:r w:rsidRPr="00771368">
        <w:rPr>
          <w:rFonts w:eastAsia="Helvetica"/>
          <w:sz w:val="20"/>
          <w:szCs w:val="20"/>
        </w:rPr>
        <w:t xml:space="preserve"> </w:t>
      </w:r>
      <w:r w:rsidRPr="00771368">
        <w:rPr>
          <w:rFonts w:eastAsia="Helvetica"/>
          <w:b/>
          <w:bCs/>
          <w:sz w:val="20"/>
          <w:szCs w:val="20"/>
        </w:rPr>
        <w:t>gênero</w:t>
      </w:r>
      <w:r w:rsidRPr="00771368">
        <w:rPr>
          <w:rFonts w:eastAsia="Helvetica"/>
          <w:sz w:val="20"/>
          <w:szCs w:val="20"/>
        </w:rPr>
        <w:t>. Tradução: Mirna Pinsky. 2 ed. São Paulo: Context o, 2012.</w:t>
      </w:r>
    </w:p>
    <w:p w:rsidR="00D24E61" w:rsidRPr="00771368" w:rsidRDefault="00D24E61">
      <w:pPr>
        <w:sectPr w:rsidR="00D24E61" w:rsidRPr="00771368">
          <w:pgSz w:w="11900" w:h="16840"/>
          <w:pgMar w:top="1414" w:right="1380" w:bottom="1440" w:left="1700" w:header="0" w:footer="0" w:gutter="0"/>
          <w:cols w:space="720" w:equalWidth="0">
            <w:col w:w="8820"/>
          </w:cols>
        </w:sectPr>
      </w:pPr>
    </w:p>
    <w:p w:rsidR="00D24E61" w:rsidRPr="00771368" w:rsidRDefault="00D24E61">
      <w:pPr>
        <w:spacing w:line="348" w:lineRule="auto"/>
        <w:ind w:right="20"/>
        <w:jc w:val="both"/>
        <w:rPr>
          <w:sz w:val="20"/>
          <w:szCs w:val="20"/>
        </w:rPr>
      </w:pPr>
      <w:r w:rsidRPr="00771368">
        <w:rPr>
          <w:rFonts w:eastAsia="Helvetica"/>
          <w:sz w:val="24"/>
          <w:szCs w:val="24"/>
        </w:rPr>
        <w:t>restringindo-se mais a experiências de mulheres bra ncas, de classe média, residentes em países desenvolvidos.</w:t>
      </w:r>
    </w:p>
    <w:p w:rsidR="00D24E61" w:rsidRPr="00771368" w:rsidRDefault="00D24E61">
      <w:pPr>
        <w:spacing w:line="212" w:lineRule="exact"/>
        <w:rPr>
          <w:sz w:val="20"/>
          <w:szCs w:val="20"/>
        </w:rPr>
      </w:pPr>
    </w:p>
    <w:p w:rsidR="00D24E61" w:rsidRPr="00771368" w:rsidRDefault="00D24E61">
      <w:pPr>
        <w:spacing w:line="316" w:lineRule="auto"/>
        <w:jc w:val="both"/>
        <w:rPr>
          <w:sz w:val="20"/>
          <w:szCs w:val="20"/>
        </w:rPr>
      </w:pPr>
      <w:r w:rsidRPr="00771368">
        <w:rPr>
          <w:rFonts w:eastAsia="Helvetica"/>
          <w:sz w:val="24"/>
          <w:szCs w:val="24"/>
        </w:rPr>
        <w:t>No Brasil, no início do século XX, o movimento feminista ganhou força, tendo como marco o ano de 1922, quando foram fundados o Partido Comunista do Brasil e a Federação Brasileira pelo Progresso Feminino</w:t>
      </w:r>
      <w:r w:rsidRPr="00771368">
        <w:rPr>
          <w:rFonts w:eastAsia="Helvetica"/>
          <w:sz w:val="32"/>
          <w:szCs w:val="32"/>
          <w:vertAlign w:val="superscript"/>
        </w:rPr>
        <w:t>8</w:t>
      </w:r>
      <w:r w:rsidRPr="00771368">
        <w:rPr>
          <w:rFonts w:eastAsia="Helvetica"/>
          <w:sz w:val="24"/>
          <w:szCs w:val="24"/>
        </w:rPr>
        <w:t>, além da realização da</w:t>
      </w:r>
    </w:p>
    <w:p w:rsidR="00D24E61" w:rsidRPr="00771368" w:rsidRDefault="00D24E61">
      <w:pPr>
        <w:spacing w:line="235" w:lineRule="auto"/>
        <w:rPr>
          <w:sz w:val="20"/>
          <w:szCs w:val="20"/>
        </w:rPr>
      </w:pPr>
      <w:r w:rsidRPr="00771368">
        <w:rPr>
          <w:rFonts w:eastAsia="Helvetica"/>
          <w:sz w:val="24"/>
          <w:szCs w:val="24"/>
        </w:rPr>
        <w:t>Semana de Arte Moderna em São Paulo.</w:t>
      </w:r>
    </w:p>
    <w:p w:rsidR="00D24E61" w:rsidRPr="00771368" w:rsidRDefault="00D24E61">
      <w:pPr>
        <w:spacing w:line="382" w:lineRule="exact"/>
        <w:rPr>
          <w:sz w:val="20"/>
          <w:szCs w:val="20"/>
        </w:rPr>
      </w:pPr>
    </w:p>
    <w:p w:rsidR="00D24E61" w:rsidRPr="00771368" w:rsidRDefault="00D24E61">
      <w:pPr>
        <w:spacing w:line="350" w:lineRule="auto"/>
        <w:ind w:right="40"/>
        <w:jc w:val="both"/>
        <w:rPr>
          <w:sz w:val="20"/>
          <w:szCs w:val="20"/>
        </w:rPr>
      </w:pPr>
      <w:r w:rsidRPr="00771368">
        <w:rPr>
          <w:rFonts w:eastAsia="Helvetica"/>
          <w:sz w:val="24"/>
          <w:szCs w:val="24"/>
        </w:rPr>
        <w:t>Apesar de o voto feminino somente ser reconhecido em 1934, por Getúlio Vargas, no ano de 1927 o estado do Rio Grande do Norte legalizou o direito da mulher ao voto, se tornando o pioneiro nesta conquista. Ainda em 1934, a primeira deputada federal do país, Carlota Pereira de Queirós, assumiu uma cadeira na Câmara de Deputados. Apenas em 1950 a mulher garan tiu a possibilidade de assumir um posto no mercado de trabalho sem a autorização do companheiro.</w:t>
      </w:r>
    </w:p>
    <w:p w:rsidR="00D24E61" w:rsidRPr="00771368" w:rsidRDefault="00D24E61">
      <w:pPr>
        <w:spacing w:line="256" w:lineRule="exact"/>
        <w:rPr>
          <w:sz w:val="20"/>
          <w:szCs w:val="20"/>
        </w:rPr>
      </w:pPr>
    </w:p>
    <w:p w:rsidR="00D24E61" w:rsidRPr="00771368" w:rsidRDefault="00D24E61">
      <w:pPr>
        <w:spacing w:line="351" w:lineRule="auto"/>
        <w:ind w:right="40"/>
        <w:jc w:val="both"/>
        <w:rPr>
          <w:sz w:val="20"/>
          <w:szCs w:val="20"/>
        </w:rPr>
      </w:pPr>
      <w:r w:rsidRPr="00771368">
        <w:rPr>
          <w:rFonts w:eastAsia="Helvetica"/>
          <w:sz w:val="24"/>
          <w:szCs w:val="24"/>
        </w:rPr>
        <w:t>Embora ocorra em várias partes do mundo, o moviment o feminista não possui uma centralização, pois está subdividido em diverso s grupos que tratam de temáticas diferenciadas. Geralmente questões refere ntes à sexualidade, à violência, à etnia, ao mercado de trabalho e ao rec onhecimento da mulher na sociedade são debatidas.</w:t>
      </w:r>
    </w:p>
    <w:p w:rsidR="00D24E61" w:rsidRPr="00771368" w:rsidRDefault="00D24E61">
      <w:pPr>
        <w:spacing w:line="205" w:lineRule="exact"/>
        <w:rPr>
          <w:sz w:val="20"/>
          <w:szCs w:val="20"/>
        </w:rPr>
      </w:pPr>
    </w:p>
    <w:p w:rsidR="00D24E61" w:rsidRPr="00771368" w:rsidRDefault="00D24E61">
      <w:pPr>
        <w:spacing w:line="351" w:lineRule="auto"/>
        <w:jc w:val="both"/>
        <w:rPr>
          <w:sz w:val="20"/>
          <w:szCs w:val="20"/>
        </w:rPr>
      </w:pPr>
      <w:r w:rsidRPr="00771368">
        <w:rPr>
          <w:rFonts w:eastAsia="Helvetica"/>
          <w:sz w:val="24"/>
          <w:szCs w:val="24"/>
        </w:rPr>
        <w:t>Atualmente, no Brasil, o movimento feminista defende o combate à violência doméstica e a discriminação em ambientes de trabalho, além de reivindicar a legalização do aborto. Graças às constantes lutas feministas, o pensamento machista está sendo gradativamente debatido e super ado – embora ainda se tenha muito caminho a trilhar neste sentido – já qu e, está havendo uma adequação às novas identidades femininas e uma mudança comportamental em muitas pessoas.</w:t>
      </w:r>
    </w:p>
    <w:p w:rsidR="00D24E61" w:rsidRPr="00771368" w:rsidRDefault="00D24E61">
      <w:pPr>
        <w:spacing w:line="211" w:lineRule="exact"/>
        <w:rPr>
          <w:sz w:val="20"/>
          <w:szCs w:val="20"/>
        </w:rPr>
      </w:pPr>
    </w:p>
    <w:p w:rsidR="00D24E61" w:rsidRPr="00771368" w:rsidRDefault="00D24E61">
      <w:pPr>
        <w:spacing w:line="350" w:lineRule="auto"/>
        <w:ind w:right="40"/>
        <w:jc w:val="both"/>
        <w:rPr>
          <w:sz w:val="20"/>
          <w:szCs w:val="20"/>
        </w:rPr>
      </w:pPr>
      <w:r w:rsidRPr="00771368">
        <w:rPr>
          <w:rFonts w:eastAsia="Helvetica"/>
          <w:sz w:val="24"/>
          <w:szCs w:val="24"/>
        </w:rPr>
        <w:t>Em relação ao mercado de trabalho, é evidente o crescimento da mulher em postos até então ocupados exclusivamente por homens - motoristas de caminhão, pilotos, pedreiros e cargos militares, por exemplo. No governo da presidente Dilma Rousseff – primeira mulher a presidir o Brasil – nove mulheres ocupam simultaneamente cargos ministeriais no Governo Federal.</w:t>
      </w:r>
    </w:p>
    <w:p w:rsidR="00D24E61" w:rsidRPr="00771368" w:rsidRDefault="00013211">
      <w:pPr>
        <w:spacing w:line="350" w:lineRule="auto"/>
        <w:ind w:right="40"/>
        <w:jc w:val="both"/>
        <w:rPr>
          <w:sz w:val="20"/>
          <w:szCs w:val="20"/>
        </w:rPr>
        <w:sectPr w:rsidR="00D24E61" w:rsidRPr="00771368">
          <w:pgSz w:w="11900" w:h="16840"/>
          <w:pgMar w:top="1416" w:right="1360" w:bottom="1145" w:left="1700" w:header="0" w:footer="0" w:gutter="0"/>
          <w:cols w:space="720" w:equalWidth="0">
            <w:col w:w="8840"/>
          </w:cols>
        </w:sectPr>
      </w:pPr>
      <w:r>
        <w:rPr>
          <w:noProof/>
          <w:sz w:val="20"/>
          <w:szCs w:val="20"/>
        </w:rPr>
        <mc:AlternateContent>
          <mc:Choice Requires="wps">
            <w:drawing>
              <wp:anchor distT="0" distB="0" distL="0" distR="0" simplePos="0" relativeHeight="251688448" behindDoc="0" locked="0" layoutInCell="0" allowOverlap="1">
                <wp:simplePos x="0" y="0"/>
                <wp:positionH relativeFrom="column">
                  <wp:posOffset>635</wp:posOffset>
                </wp:positionH>
                <wp:positionV relativeFrom="paragraph">
                  <wp:posOffset>83185</wp:posOffset>
                </wp:positionV>
                <wp:extent cx="1828800" cy="0"/>
                <wp:effectExtent l="10160" t="6985" r="8890" b="12065"/>
                <wp:wrapNone/>
                <wp:docPr id="24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8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6.55pt" to="144.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WwFA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" o:allowincell="f" strokeweight=".72pt"/>
            </w:pict>
          </mc:Fallback>
        </mc:AlternateContent>
      </w:r>
    </w:p>
    <w:p w:rsidR="00D24E61" w:rsidRPr="00771368" w:rsidRDefault="00D24E61">
      <w:pPr>
        <w:spacing w:line="207" w:lineRule="exact"/>
        <w:rPr>
          <w:sz w:val="20"/>
          <w:szCs w:val="20"/>
        </w:rPr>
      </w:pPr>
    </w:p>
    <w:p w:rsidR="00D24E61" w:rsidRPr="00771368" w:rsidRDefault="00D24E61">
      <w:pPr>
        <w:spacing w:line="227" w:lineRule="auto"/>
        <w:jc w:val="both"/>
        <w:rPr>
          <w:sz w:val="20"/>
          <w:szCs w:val="20"/>
        </w:rPr>
      </w:pPr>
      <w:r w:rsidRPr="00771368">
        <w:rPr>
          <w:rFonts w:eastAsia="Helvetica"/>
          <w:sz w:val="25"/>
          <w:szCs w:val="25"/>
          <w:vertAlign w:val="superscript"/>
        </w:rPr>
        <w:t>8</w:t>
      </w:r>
      <w:r w:rsidRPr="00771368">
        <w:rPr>
          <w:rFonts w:eastAsia="Helvetica"/>
          <w:sz w:val="20"/>
          <w:szCs w:val="20"/>
        </w:rPr>
        <w:t xml:space="preserve"> Organização sediada na cidade do Rio de Janeiro, que defendia os direitos da mulher, como por exemplo, ao voto, à escolha do domicílio de residên cia e ao trabalho sem a autorização do pai/marido. As ativistas Bertha Lutz e Nísia Floresta foram as fundadoras da organização.</w:t>
      </w:r>
    </w:p>
    <w:p w:rsidR="00D24E61" w:rsidRPr="00771368" w:rsidRDefault="00D24E61">
      <w:pPr>
        <w:sectPr w:rsidR="00D24E61" w:rsidRPr="00771368">
          <w:type w:val="continuous"/>
          <w:pgSz w:w="11900" w:h="16840"/>
          <w:pgMar w:top="1416" w:right="1400" w:bottom="1145" w:left="1700" w:header="0" w:footer="0" w:gutter="0"/>
          <w:cols w:space="720" w:equalWidth="0">
            <w:col w:w="8800"/>
          </w:cols>
        </w:sectPr>
      </w:pPr>
    </w:p>
    <w:p w:rsidR="00D24E61" w:rsidRPr="00771368" w:rsidRDefault="00D24E61">
      <w:pPr>
        <w:spacing w:line="350" w:lineRule="auto"/>
        <w:ind w:right="20"/>
        <w:jc w:val="both"/>
        <w:rPr>
          <w:sz w:val="20"/>
          <w:szCs w:val="20"/>
        </w:rPr>
      </w:pPr>
      <w:r w:rsidRPr="00771368">
        <w:rPr>
          <w:rFonts w:eastAsia="Helvetica"/>
          <w:sz w:val="24"/>
          <w:szCs w:val="24"/>
        </w:rPr>
        <w:t>O IBGE (Instituto Brasileiro de Geografia e Estatística) divulgou uma pesquisa realizada em 2011 que comprova a participação econômica da mulher na sociedade atual brasileira. O relatório afirma que a renda média das mulheres cresceu 13% em relação ao mesmo período de 2009.</w:t>
      </w:r>
    </w:p>
    <w:p w:rsidR="00D24E61" w:rsidRPr="00771368" w:rsidRDefault="00D24E61">
      <w:pPr>
        <w:spacing w:line="212" w:lineRule="exact"/>
        <w:rPr>
          <w:sz w:val="20"/>
          <w:szCs w:val="20"/>
        </w:rPr>
      </w:pPr>
    </w:p>
    <w:p w:rsidR="00D24E61" w:rsidRPr="00771368" w:rsidRDefault="00D24E61">
      <w:pPr>
        <w:spacing w:line="344" w:lineRule="auto"/>
        <w:jc w:val="both"/>
        <w:rPr>
          <w:sz w:val="20"/>
          <w:szCs w:val="20"/>
        </w:rPr>
      </w:pPr>
      <w:r w:rsidRPr="00771368">
        <w:rPr>
          <w:rFonts w:eastAsia="Helvetica"/>
          <w:sz w:val="24"/>
          <w:szCs w:val="24"/>
        </w:rPr>
        <w:t>A mulher do século XXI é – sem dúvidas – um grande exemplo de ruptura no pensamento machista vigente nos séculos passados. Porém, vale ressaltar que a emancipação feminina não significa ainda a desvincu lação da mulher aos afazeres domésticos e cuidados com o marido/filhos. Relatório realizado pela</w:t>
      </w:r>
    </w:p>
    <w:p w:rsidR="00D24E61" w:rsidRPr="00771368" w:rsidRDefault="00D24E61">
      <w:pPr>
        <w:spacing w:line="1" w:lineRule="exact"/>
        <w:rPr>
          <w:sz w:val="20"/>
          <w:szCs w:val="20"/>
        </w:rPr>
      </w:pPr>
    </w:p>
    <w:p w:rsidR="00D24E61" w:rsidRPr="00771368" w:rsidRDefault="00D24E61">
      <w:pPr>
        <w:spacing w:line="331" w:lineRule="auto"/>
        <w:ind w:right="40"/>
        <w:jc w:val="both"/>
        <w:rPr>
          <w:sz w:val="20"/>
          <w:szCs w:val="20"/>
        </w:rPr>
      </w:pPr>
      <w:r w:rsidRPr="00771368">
        <w:rPr>
          <w:rFonts w:eastAsia="Helvetica"/>
          <w:sz w:val="24"/>
          <w:szCs w:val="24"/>
        </w:rPr>
        <w:t>Organização Internacional do Trabalho em 2012</w:t>
      </w:r>
      <w:r w:rsidRPr="00771368">
        <w:rPr>
          <w:rFonts w:eastAsia="Helvetica"/>
          <w:sz w:val="32"/>
          <w:szCs w:val="32"/>
          <w:vertAlign w:val="superscript"/>
        </w:rPr>
        <w:t>9</w:t>
      </w:r>
      <w:r w:rsidRPr="00771368">
        <w:rPr>
          <w:rFonts w:eastAsia="Helvetica"/>
          <w:sz w:val="24"/>
          <w:szCs w:val="24"/>
        </w:rPr>
        <w:t xml:space="preserve"> verificou que as mulheres trabalham em média cinco horas a mais do que os homens durante uma semana. “O perfil pluralista da mulher pós-moderna – aliado à necessidade de “dar conta” das tarefas preestabelecidas anteriormente – faz com que mulheres tenham que conciliar uma vida profissional, doméstica, social e familiar” (NERY; ALMEIDA,</w:t>
      </w:r>
    </w:p>
    <w:p w:rsidR="00D24E61" w:rsidRPr="00771368" w:rsidRDefault="00D24E61">
      <w:pPr>
        <w:spacing w:line="24" w:lineRule="exact"/>
        <w:rPr>
          <w:sz w:val="20"/>
          <w:szCs w:val="20"/>
        </w:rPr>
      </w:pPr>
    </w:p>
    <w:p w:rsidR="00D24E61" w:rsidRPr="00771368" w:rsidRDefault="00D24E61">
      <w:pPr>
        <w:rPr>
          <w:sz w:val="20"/>
          <w:szCs w:val="20"/>
        </w:rPr>
      </w:pPr>
      <w:r w:rsidRPr="00771368">
        <w:rPr>
          <w:rFonts w:eastAsia="Helvetica"/>
          <w:sz w:val="24"/>
          <w:szCs w:val="24"/>
        </w:rPr>
        <w:t>2012, p. 6).</w:t>
      </w:r>
    </w:p>
    <w:p w:rsidR="00D24E61" w:rsidRPr="00771368" w:rsidRDefault="00D24E61">
      <w:pPr>
        <w:spacing w:line="340" w:lineRule="exact"/>
        <w:rPr>
          <w:sz w:val="20"/>
          <w:szCs w:val="20"/>
        </w:rPr>
      </w:pPr>
    </w:p>
    <w:p w:rsidR="00D24E61" w:rsidRPr="00771368" w:rsidRDefault="00D24E61">
      <w:pPr>
        <w:spacing w:line="350" w:lineRule="auto"/>
        <w:jc w:val="both"/>
        <w:rPr>
          <w:sz w:val="20"/>
          <w:szCs w:val="20"/>
        </w:rPr>
      </w:pPr>
      <w:r w:rsidRPr="00771368">
        <w:rPr>
          <w:rFonts w:eastAsia="Helvetica"/>
          <w:sz w:val="24"/>
          <w:szCs w:val="24"/>
        </w:rPr>
        <w:t>Na sexualidade ocorreram também significativas mudanças comportamentais. A mulher atual passou a escolher com quem e quantos parceiros poderia se relacionar, além de buscar primordialmente o prazer na relação sexual. De acordo com Lima (2008), o uso do sexo como divertimento foi proporcionado graças à pílula anticoncepcional, dando à mulher mais liberdade.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6" w:lineRule="exact"/>
        <w:rPr>
          <w:sz w:val="20"/>
          <w:szCs w:val="20"/>
        </w:rPr>
      </w:pPr>
    </w:p>
    <w:p w:rsidR="00D24E61" w:rsidRPr="00771368" w:rsidRDefault="00D24E61">
      <w:pPr>
        <w:rPr>
          <w:sz w:val="20"/>
          <w:szCs w:val="20"/>
        </w:rPr>
      </w:pPr>
      <w:r w:rsidRPr="00771368">
        <w:rPr>
          <w:rFonts w:eastAsia="Helvetica"/>
          <w:b/>
          <w:bCs/>
          <w:sz w:val="24"/>
          <w:szCs w:val="24"/>
        </w:rPr>
        <w:t>A Mulher na Mídia</w:t>
      </w:r>
    </w:p>
    <w:p w:rsidR="00D24E61" w:rsidRPr="00771368" w:rsidRDefault="00D24E61">
      <w:pPr>
        <w:spacing w:line="360" w:lineRule="exact"/>
        <w:rPr>
          <w:sz w:val="20"/>
          <w:szCs w:val="20"/>
        </w:rPr>
      </w:pPr>
    </w:p>
    <w:p w:rsidR="00D24E61" w:rsidRPr="00771368" w:rsidRDefault="00D24E61">
      <w:pPr>
        <w:spacing w:line="349" w:lineRule="auto"/>
        <w:jc w:val="both"/>
        <w:rPr>
          <w:sz w:val="20"/>
          <w:szCs w:val="20"/>
        </w:rPr>
      </w:pPr>
      <w:r w:rsidRPr="00771368">
        <w:rPr>
          <w:rFonts w:eastAsia="Helvetica"/>
          <w:sz w:val="24"/>
          <w:szCs w:val="24"/>
        </w:rPr>
        <w:t>Paradoxalmente aos significativos avanços conquistados pelas mulheres, ao longo da história, o gênero feminino nas sociedades pós-modernas ainda sofre alguns tipos de discriminações sociais. Neste contexto, os meios de comunicação</w:t>
      </w:r>
    </w:p>
    <w:p w:rsidR="00D24E61" w:rsidRPr="00771368" w:rsidRDefault="00D24E61">
      <w:pPr>
        <w:spacing w:line="10" w:lineRule="exact"/>
        <w:rPr>
          <w:sz w:val="20"/>
          <w:szCs w:val="20"/>
        </w:rPr>
      </w:pPr>
    </w:p>
    <w:p w:rsidR="00D24E61" w:rsidRPr="00771368" w:rsidRDefault="00D24E61">
      <w:pPr>
        <w:spacing w:line="348" w:lineRule="auto"/>
        <w:ind w:right="40"/>
        <w:jc w:val="both"/>
        <w:rPr>
          <w:sz w:val="20"/>
          <w:szCs w:val="20"/>
        </w:rPr>
      </w:pPr>
      <w:r w:rsidRPr="00771368">
        <w:rPr>
          <w:rFonts w:eastAsia="Helvetica"/>
          <w:sz w:val="24"/>
          <w:szCs w:val="24"/>
        </w:rPr>
        <w:t>– independentemente do formato – contribuem direta ou indiretamente com a manutenção de variados tipos de estereótipos, fundamentados na ideologia machista e patriarcal.</w:t>
      </w:r>
    </w:p>
    <w:p w:rsidR="00D24E61" w:rsidRPr="00771368" w:rsidRDefault="00D24E61">
      <w:pPr>
        <w:spacing w:line="215" w:lineRule="exact"/>
        <w:rPr>
          <w:sz w:val="20"/>
          <w:szCs w:val="20"/>
        </w:rPr>
      </w:pPr>
    </w:p>
    <w:p w:rsidR="00D24E61" w:rsidRPr="00771368" w:rsidRDefault="00D24E61">
      <w:pPr>
        <w:spacing w:line="348" w:lineRule="auto"/>
        <w:ind w:right="40"/>
        <w:jc w:val="both"/>
        <w:rPr>
          <w:sz w:val="20"/>
          <w:szCs w:val="20"/>
        </w:rPr>
      </w:pPr>
      <w:r w:rsidRPr="00771368">
        <w:rPr>
          <w:rFonts w:eastAsia="Helvetica"/>
          <w:sz w:val="24"/>
          <w:szCs w:val="24"/>
        </w:rPr>
        <w:t>A mulher ideal midiaticamente necessita ser vista como frágil e indefesa, que busca no seu companheiro uma segurança para a vida. Carvalho citando Lara</w:t>
      </w:r>
    </w:p>
    <w:p w:rsidR="00D24E61" w:rsidRPr="00771368" w:rsidRDefault="00013211">
      <w:pPr>
        <w:spacing w:line="348" w:lineRule="auto"/>
        <w:ind w:right="40"/>
        <w:jc w:val="both"/>
        <w:rPr>
          <w:sz w:val="20"/>
          <w:szCs w:val="20"/>
        </w:rPr>
        <w:sectPr w:rsidR="00D24E61" w:rsidRPr="00771368">
          <w:pgSz w:w="11900" w:h="16840"/>
          <w:pgMar w:top="1416" w:right="1360" w:bottom="1143" w:left="1700" w:header="0" w:footer="0" w:gutter="0"/>
          <w:cols w:space="720" w:equalWidth="0">
            <w:col w:w="8840"/>
          </w:cols>
        </w:sectPr>
      </w:pPr>
      <w:r>
        <w:rPr>
          <w:noProof/>
          <w:sz w:val="20"/>
          <w:szCs w:val="20"/>
        </w:rPr>
        <mc:AlternateContent>
          <mc:Choice Requires="wps">
            <w:drawing>
              <wp:anchor distT="0" distB="0" distL="0" distR="0" simplePos="0" relativeHeight="251689472" behindDoc="0" locked="0" layoutInCell="0" allowOverlap="1">
                <wp:simplePos x="0" y="0"/>
                <wp:positionH relativeFrom="column">
                  <wp:posOffset>635</wp:posOffset>
                </wp:positionH>
                <wp:positionV relativeFrom="paragraph">
                  <wp:posOffset>137795</wp:posOffset>
                </wp:positionV>
                <wp:extent cx="1828800" cy="0"/>
                <wp:effectExtent l="10160" t="13970" r="8890" b="5080"/>
                <wp:wrapNone/>
                <wp:docPr id="23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8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0.85pt" to="144.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" o:allowincell="f" strokeweight=".72pt"/>
            </w:pict>
          </mc:Fallback>
        </mc:AlternateContent>
      </w:r>
    </w:p>
    <w:p w:rsidR="00D24E61" w:rsidRPr="00771368" w:rsidRDefault="00D24E61">
      <w:pPr>
        <w:spacing w:line="293" w:lineRule="exact"/>
        <w:rPr>
          <w:sz w:val="20"/>
          <w:szCs w:val="20"/>
        </w:rPr>
      </w:pPr>
    </w:p>
    <w:p w:rsidR="00D24E61" w:rsidRPr="00771368" w:rsidRDefault="00D24E61">
      <w:pPr>
        <w:spacing w:line="224" w:lineRule="auto"/>
        <w:rPr>
          <w:sz w:val="20"/>
          <w:szCs w:val="20"/>
        </w:rPr>
      </w:pPr>
      <w:r w:rsidRPr="00771368">
        <w:rPr>
          <w:rFonts w:eastAsia="Helvetica"/>
          <w:sz w:val="25"/>
          <w:szCs w:val="25"/>
          <w:vertAlign w:val="superscript"/>
        </w:rPr>
        <w:t>9</w:t>
      </w:r>
      <w:r w:rsidRPr="00771368">
        <w:rPr>
          <w:rFonts w:eastAsia="Helvetica"/>
          <w:sz w:val="20"/>
          <w:szCs w:val="20"/>
        </w:rPr>
        <w:t xml:space="preserve"> A matéria com essas informações pode ser visualizada em: </w:t>
      </w:r>
      <w:r w:rsidRPr="00771368">
        <w:rPr>
          <w:rFonts w:eastAsia="Helvetica"/>
          <w:color w:val="0000FF"/>
          <w:sz w:val="20"/>
          <w:szCs w:val="20"/>
          <w:u w:val="single"/>
        </w:rPr>
        <w:t>http://g1.globo.com/jornal-hoje/noticia/2012/07/pesquisa-mostra-que-mulheres-trabalham-mais-do-que-homens.html</w:t>
      </w:r>
      <w:r w:rsidRPr="00771368">
        <w:rPr>
          <w:rFonts w:eastAsia="Helvetica"/>
          <w:color w:val="000000"/>
          <w:sz w:val="20"/>
          <w:szCs w:val="20"/>
        </w:rPr>
        <w:t>.</w:t>
      </w:r>
    </w:p>
    <w:p w:rsidR="00D24E61" w:rsidRPr="00771368" w:rsidRDefault="00D24E61">
      <w:pPr>
        <w:sectPr w:rsidR="00D24E61" w:rsidRPr="00771368">
          <w:type w:val="continuous"/>
          <w:pgSz w:w="11900" w:h="16840"/>
          <w:pgMar w:top="1416" w:right="1420" w:bottom="1143" w:left="1700" w:header="0" w:footer="0" w:gutter="0"/>
          <w:cols w:space="720" w:equalWidth="0">
            <w:col w:w="8780"/>
          </w:cols>
        </w:sectPr>
      </w:pPr>
    </w:p>
    <w:p w:rsidR="00D24E61" w:rsidRPr="00771368" w:rsidRDefault="00D24E61">
      <w:pPr>
        <w:spacing w:line="351" w:lineRule="auto"/>
        <w:ind w:right="40"/>
        <w:jc w:val="both"/>
        <w:rPr>
          <w:sz w:val="20"/>
          <w:szCs w:val="20"/>
        </w:rPr>
      </w:pPr>
      <w:r w:rsidRPr="00771368">
        <w:rPr>
          <w:rFonts w:eastAsia="Helvetica"/>
          <w:sz w:val="24"/>
          <w:szCs w:val="24"/>
        </w:rPr>
        <w:t>(2007) afirma que a mídia intensifica uma construção baseada nos princípios patriarcais, os quais estabelecem unicamente às mulheres a responsabilidade pelo bem-estar da casa e da família. Neste aspecto, o homem é tido como um componente indispensável para a felicidade e realiz ação pessoal da mulher. “No discurso da mídia, em geral, a mulher é um ser insuficiente e que, portanto, requer proteção, controle e vigilância. Não estamos hoje, apesar de todo o discurso sobre a modernidade, muito distantes das sociedades pré-históricas...”.</w:t>
      </w:r>
    </w:p>
    <w:p w:rsidR="00D24E61" w:rsidRPr="00771368" w:rsidRDefault="00D24E61">
      <w:pPr>
        <w:spacing w:line="6" w:lineRule="exact"/>
        <w:rPr>
          <w:sz w:val="20"/>
          <w:szCs w:val="20"/>
        </w:rPr>
      </w:pPr>
    </w:p>
    <w:p w:rsidR="00D24E61" w:rsidRPr="00771368" w:rsidRDefault="00D24E61">
      <w:pPr>
        <w:rPr>
          <w:sz w:val="20"/>
          <w:szCs w:val="20"/>
        </w:rPr>
      </w:pPr>
      <w:r w:rsidRPr="00771368">
        <w:rPr>
          <w:rFonts w:eastAsia="Helvetica"/>
          <w:sz w:val="24"/>
          <w:szCs w:val="24"/>
        </w:rPr>
        <w:t>(GARCIA, 2007, p. 18/19).</w:t>
      </w:r>
    </w:p>
    <w:p w:rsidR="00D24E61" w:rsidRPr="00771368" w:rsidRDefault="00D24E61">
      <w:pPr>
        <w:spacing w:line="338" w:lineRule="exact"/>
        <w:rPr>
          <w:sz w:val="20"/>
          <w:szCs w:val="20"/>
        </w:rPr>
      </w:pPr>
    </w:p>
    <w:p w:rsidR="00D24E61" w:rsidRPr="00771368" w:rsidRDefault="00D24E61">
      <w:pPr>
        <w:spacing w:line="367" w:lineRule="auto"/>
        <w:ind w:right="80"/>
        <w:jc w:val="both"/>
        <w:rPr>
          <w:sz w:val="20"/>
          <w:szCs w:val="20"/>
        </w:rPr>
      </w:pPr>
      <w:r w:rsidRPr="00771368">
        <w:rPr>
          <w:rFonts w:eastAsia="Helvetica"/>
          <w:sz w:val="23"/>
          <w:szCs w:val="23"/>
        </w:rPr>
        <w:t>O corpo feminino é apresentado na mídia a partir dos seus “pedaços”, mais especificamente “os seios e a bunda”. Essa representação, conforme Moreno (2008), acaba por desumanizar e reduzir a mulher. De acordo com ela, “... à dimensão de uma fatia bem torneada de músculo, de c arne à espera do consumo, o que deveria ser um ser humano complexo. A parte pelo todo”. (Moreno, 2008, p.</w:t>
      </w:r>
    </w:p>
    <w:p w:rsidR="00D24E61" w:rsidRPr="00771368" w:rsidRDefault="00D24E61">
      <w:pPr>
        <w:spacing w:line="2" w:lineRule="exact"/>
        <w:rPr>
          <w:sz w:val="20"/>
          <w:szCs w:val="20"/>
        </w:rPr>
      </w:pPr>
    </w:p>
    <w:p w:rsidR="00D24E61" w:rsidRPr="00771368" w:rsidRDefault="00D24E61">
      <w:pPr>
        <w:spacing w:line="349" w:lineRule="auto"/>
        <w:ind w:right="60"/>
        <w:jc w:val="both"/>
        <w:rPr>
          <w:sz w:val="20"/>
          <w:szCs w:val="20"/>
        </w:rPr>
      </w:pPr>
      <w:r w:rsidRPr="00771368">
        <w:rPr>
          <w:rFonts w:eastAsia="Helvetica"/>
          <w:sz w:val="24"/>
          <w:szCs w:val="24"/>
        </w:rPr>
        <w:t>40). Para Garcia (2007) existe uma discrepância ent re a mulher que é veiculada na mídia e a mulher real, sendo a primeira, na maioria das vezes, retratada superficialmente ou em posição inferior ao homem.</w:t>
      </w:r>
    </w:p>
    <w:p w:rsidR="00D24E61" w:rsidRPr="00771368" w:rsidRDefault="00D24E61">
      <w:pPr>
        <w:spacing w:line="212" w:lineRule="exact"/>
        <w:rPr>
          <w:sz w:val="20"/>
          <w:szCs w:val="20"/>
        </w:rPr>
      </w:pPr>
    </w:p>
    <w:p w:rsidR="00D24E61" w:rsidRPr="00771368" w:rsidRDefault="00D24E61">
      <w:pPr>
        <w:spacing w:line="349" w:lineRule="auto"/>
        <w:ind w:right="80"/>
        <w:jc w:val="both"/>
        <w:rPr>
          <w:sz w:val="20"/>
          <w:szCs w:val="20"/>
        </w:rPr>
      </w:pPr>
      <w:r w:rsidRPr="00771368">
        <w:rPr>
          <w:rFonts w:eastAsia="Helvetica"/>
          <w:sz w:val="24"/>
          <w:szCs w:val="24"/>
        </w:rPr>
        <w:t xml:space="preserve">Neste sentido, os meios de comunicação usam de variados artifícios para dar vazão aos estereótipos relacionados à figura da mulher. Um deles é a criação de produtos no formato de comédia, como o programa </w:t>
      </w:r>
      <w:r w:rsidRPr="00771368">
        <w:rPr>
          <w:rFonts w:eastAsia="Helvetica"/>
          <w:i/>
          <w:iCs/>
          <w:sz w:val="24"/>
          <w:szCs w:val="24"/>
        </w:rPr>
        <w:t>Zorra Total</w:t>
      </w:r>
      <w:r w:rsidRPr="00771368">
        <w:rPr>
          <w:rFonts w:eastAsia="Helvetica"/>
          <w:sz w:val="24"/>
          <w:szCs w:val="24"/>
        </w:rPr>
        <w:t>, a ser analisado por este estudo.</w:t>
      </w:r>
    </w:p>
    <w:p w:rsidR="00D24E61" w:rsidRPr="00771368" w:rsidRDefault="00D24E61">
      <w:pPr>
        <w:spacing w:line="206" w:lineRule="exact"/>
        <w:rPr>
          <w:sz w:val="20"/>
          <w:szCs w:val="20"/>
        </w:rPr>
      </w:pPr>
    </w:p>
    <w:p w:rsidR="00D24E61" w:rsidRPr="00771368" w:rsidRDefault="00D24E61">
      <w:pPr>
        <w:rPr>
          <w:sz w:val="20"/>
          <w:szCs w:val="20"/>
        </w:rPr>
      </w:pPr>
      <w:r w:rsidRPr="00771368">
        <w:rPr>
          <w:rFonts w:eastAsia="Helvetica"/>
          <w:sz w:val="24"/>
          <w:szCs w:val="24"/>
        </w:rPr>
        <w:t xml:space="preserve">Produzido e veiculado pela Rede Globo de Televisão, </w:t>
      </w:r>
      <w:r w:rsidRPr="00771368">
        <w:rPr>
          <w:rFonts w:eastAsia="Helvetica"/>
          <w:i/>
          <w:iCs/>
          <w:sz w:val="24"/>
          <w:szCs w:val="24"/>
        </w:rPr>
        <w:t>Zorra Total</w:t>
      </w:r>
      <w:r w:rsidRPr="00771368">
        <w:rPr>
          <w:rFonts w:eastAsia="Helvetica"/>
          <w:sz w:val="24"/>
          <w:szCs w:val="24"/>
        </w:rPr>
        <w:t xml:space="preserve"> estreou no dia</w:t>
      </w:r>
    </w:p>
    <w:p w:rsidR="00D24E61" w:rsidRPr="00771368" w:rsidRDefault="00D24E61">
      <w:pPr>
        <w:spacing w:line="141" w:lineRule="exact"/>
        <w:rPr>
          <w:sz w:val="20"/>
          <w:szCs w:val="20"/>
        </w:rPr>
      </w:pPr>
    </w:p>
    <w:p w:rsidR="00D24E61" w:rsidRPr="00771368" w:rsidRDefault="00D24E61">
      <w:pPr>
        <w:spacing w:line="323" w:lineRule="auto"/>
        <w:jc w:val="both"/>
        <w:rPr>
          <w:sz w:val="20"/>
          <w:szCs w:val="20"/>
        </w:rPr>
      </w:pPr>
      <w:r w:rsidRPr="00771368">
        <w:rPr>
          <w:rFonts w:eastAsia="Helvetica"/>
          <w:sz w:val="24"/>
          <w:szCs w:val="24"/>
        </w:rPr>
        <w:t>25 de março de 1999 e ainda está no ar atualmente. Desde a sua criação, o programa é realizado a partir de esquetes</w:t>
      </w:r>
      <w:r w:rsidRPr="00771368">
        <w:rPr>
          <w:rFonts w:eastAsia="Helvetica"/>
          <w:sz w:val="32"/>
          <w:szCs w:val="32"/>
          <w:vertAlign w:val="superscript"/>
        </w:rPr>
        <w:t>10</w:t>
      </w:r>
      <w:r w:rsidRPr="00771368">
        <w:rPr>
          <w:rFonts w:eastAsia="Helvetica"/>
          <w:sz w:val="24"/>
          <w:szCs w:val="24"/>
        </w:rPr>
        <w:t>, que remontam situações cômicas do cotidiano, relações sociais ou pensamentos ideológicos. É alvo de constantes críticas por apresentar estereótipos polêmicos de uma forma popularesca, muitas vezes, tratando questões raciais, religiosas, sexua is de uma forma ofensiva.</w:t>
      </w:r>
    </w:p>
    <w:p w:rsidR="00D24E61" w:rsidRPr="00771368" w:rsidRDefault="00D24E61">
      <w:pPr>
        <w:spacing w:line="243" w:lineRule="exact"/>
        <w:rPr>
          <w:sz w:val="20"/>
          <w:szCs w:val="20"/>
        </w:rPr>
      </w:pPr>
    </w:p>
    <w:p w:rsidR="00D24E61" w:rsidRPr="00771368" w:rsidRDefault="00D24E61">
      <w:pPr>
        <w:spacing w:line="316" w:lineRule="auto"/>
        <w:ind w:right="60"/>
        <w:jc w:val="both"/>
        <w:rPr>
          <w:sz w:val="20"/>
          <w:szCs w:val="20"/>
        </w:rPr>
      </w:pPr>
      <w:r w:rsidRPr="00771368">
        <w:rPr>
          <w:rFonts w:eastAsia="Helvetica"/>
          <w:sz w:val="24"/>
          <w:szCs w:val="24"/>
        </w:rPr>
        <w:t>Em todas as edições do programa, a relação entre ho mens e mulheres é evidente, já que, dentre os quase cem quadros exibi dos até o momento, aproximadamente sessenta</w:t>
      </w:r>
      <w:r w:rsidRPr="00771368">
        <w:rPr>
          <w:rFonts w:eastAsia="Helvetica"/>
          <w:sz w:val="32"/>
          <w:szCs w:val="32"/>
          <w:vertAlign w:val="superscript"/>
        </w:rPr>
        <w:t>11</w:t>
      </w:r>
      <w:r w:rsidRPr="00771368">
        <w:rPr>
          <w:rFonts w:eastAsia="Helvetica"/>
          <w:sz w:val="24"/>
          <w:szCs w:val="24"/>
        </w:rPr>
        <w:t xml:space="preserve"> se baseiam nesse tipo de relação para fazer humor.</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90496" behindDoc="0" locked="0" layoutInCell="0" allowOverlap="1">
                <wp:simplePos x="0" y="0"/>
                <wp:positionH relativeFrom="column">
                  <wp:posOffset>635</wp:posOffset>
                </wp:positionH>
                <wp:positionV relativeFrom="paragraph">
                  <wp:posOffset>246380</wp:posOffset>
                </wp:positionV>
                <wp:extent cx="1828800" cy="0"/>
                <wp:effectExtent l="10160" t="8255" r="8890" b="10795"/>
                <wp:wrapNone/>
                <wp:docPr id="23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9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9.4pt" to="144.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VMFgIAACwEAAAOAAAAZHJzL2Uyb0RvYy54bWysU8uu2jAQ3VfqP1jeQxJIaY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" o:allowincell="f" strokeweight=".72pt"/>
            </w:pict>
          </mc:Fallback>
        </mc:AlternateContent>
      </w:r>
    </w:p>
    <w:p w:rsidR="00D24E61" w:rsidRPr="00771368" w:rsidRDefault="00D24E61">
      <w:pPr>
        <w:spacing w:line="299" w:lineRule="exact"/>
        <w:rPr>
          <w:sz w:val="20"/>
          <w:szCs w:val="20"/>
        </w:rPr>
      </w:pPr>
    </w:p>
    <w:p w:rsidR="00D24E61" w:rsidRPr="00771368" w:rsidRDefault="00D24E61">
      <w:pPr>
        <w:numPr>
          <w:ilvl w:val="0"/>
          <w:numId w:val="2"/>
        </w:numPr>
        <w:tabs>
          <w:tab w:val="left" w:pos="221"/>
        </w:tabs>
        <w:spacing w:line="203" w:lineRule="auto"/>
        <w:ind w:right="160" w:firstLine="2"/>
        <w:jc w:val="both"/>
        <w:rPr>
          <w:rFonts w:eastAsia="Helvetica"/>
          <w:sz w:val="26"/>
          <w:szCs w:val="26"/>
          <w:vertAlign w:val="superscript"/>
        </w:rPr>
      </w:pPr>
      <w:r w:rsidRPr="00771368">
        <w:rPr>
          <w:rFonts w:eastAsia="Helvetica"/>
          <w:sz w:val="20"/>
          <w:szCs w:val="20"/>
        </w:rPr>
        <w:t>Pequenas peças ou cenas dramáticas, geralmente cômicas, que têm a duração de menos de dez minutos.</w:t>
      </w:r>
    </w:p>
    <w:p w:rsidR="00D24E61" w:rsidRPr="00771368" w:rsidRDefault="00D24E61">
      <w:pPr>
        <w:spacing w:line="2" w:lineRule="exact"/>
        <w:rPr>
          <w:rFonts w:eastAsia="Helvetica"/>
          <w:sz w:val="26"/>
          <w:szCs w:val="26"/>
          <w:vertAlign w:val="superscript"/>
        </w:rPr>
      </w:pPr>
    </w:p>
    <w:p w:rsidR="00D24E61" w:rsidRPr="00771368" w:rsidRDefault="00D24E61">
      <w:pPr>
        <w:numPr>
          <w:ilvl w:val="0"/>
          <w:numId w:val="2"/>
        </w:numPr>
        <w:tabs>
          <w:tab w:val="left" w:pos="180"/>
        </w:tabs>
        <w:spacing w:line="184" w:lineRule="auto"/>
        <w:ind w:left="180" w:hanging="178"/>
        <w:jc w:val="both"/>
        <w:rPr>
          <w:rFonts w:eastAsia="Calibri"/>
          <w:sz w:val="25"/>
          <w:szCs w:val="25"/>
          <w:vertAlign w:val="superscript"/>
        </w:rPr>
      </w:pPr>
      <w:r w:rsidRPr="00771368">
        <w:rPr>
          <w:rFonts w:eastAsia="Helvetica"/>
          <w:sz w:val="19"/>
          <w:szCs w:val="19"/>
        </w:rPr>
        <w:t>Fonte: Memória Globo.</w:t>
      </w:r>
    </w:p>
    <w:p w:rsidR="00D24E61" w:rsidRPr="00771368" w:rsidRDefault="00D24E61">
      <w:pPr>
        <w:sectPr w:rsidR="00D24E61" w:rsidRPr="00771368">
          <w:pgSz w:w="11900" w:h="16840"/>
          <w:pgMar w:top="1416" w:right="1320" w:bottom="1154" w:left="1700" w:header="0" w:footer="0" w:gutter="0"/>
          <w:cols w:space="720" w:equalWidth="0">
            <w:col w:w="8880"/>
          </w:cols>
        </w:sectPr>
      </w:pPr>
    </w:p>
    <w:p w:rsidR="00D24E61" w:rsidRPr="00771368" w:rsidRDefault="00D24E61">
      <w:pPr>
        <w:spacing w:line="324" w:lineRule="auto"/>
        <w:ind w:right="40"/>
        <w:rPr>
          <w:sz w:val="20"/>
          <w:szCs w:val="20"/>
        </w:rPr>
      </w:pPr>
      <w:r w:rsidRPr="00771368">
        <w:rPr>
          <w:rFonts w:eastAsia="Helvetica"/>
          <w:sz w:val="24"/>
          <w:szCs w:val="24"/>
        </w:rPr>
        <w:t xml:space="preserve">Ao longo dos treze anos de exibição, </w:t>
      </w:r>
      <w:r w:rsidRPr="00771368">
        <w:rPr>
          <w:rFonts w:eastAsia="Helvetica"/>
          <w:i/>
          <w:iCs/>
          <w:sz w:val="24"/>
          <w:szCs w:val="24"/>
        </w:rPr>
        <w:t>Zorra Total</w:t>
      </w:r>
      <w:r w:rsidRPr="00771368">
        <w:rPr>
          <w:rFonts w:eastAsia="Helvetica"/>
          <w:sz w:val="24"/>
          <w:szCs w:val="24"/>
        </w:rPr>
        <w:t xml:space="preserve"> já apresentou cerca de noventa e cinco quadros e atinge os melhores índices de audiência nas noites de sábado, estando na média de vinte e dois pontos</w:t>
      </w:r>
      <w:r w:rsidRPr="00771368">
        <w:rPr>
          <w:rFonts w:eastAsia="Helvetica"/>
          <w:sz w:val="32"/>
          <w:szCs w:val="32"/>
          <w:vertAlign w:val="superscript"/>
        </w:rPr>
        <w:t>12</w:t>
      </w:r>
      <w:r w:rsidRPr="00771368">
        <w:rPr>
          <w:rFonts w:eastAsia="Helvetica"/>
          <w:sz w:val="24"/>
          <w:szCs w:val="24"/>
        </w:rPr>
        <w:t xml:space="preserve"> em cada programa, enquanto nas emissoras concorrentes a audiência não passa dos 10 pontos no mesmo horário.</w:t>
      </w:r>
    </w:p>
    <w:p w:rsidR="00D24E61" w:rsidRPr="00771368" w:rsidRDefault="00D24E61">
      <w:pPr>
        <w:spacing w:line="8" w:lineRule="exact"/>
        <w:rPr>
          <w:sz w:val="20"/>
          <w:szCs w:val="20"/>
        </w:rPr>
      </w:pPr>
    </w:p>
    <w:p w:rsidR="00D24E61" w:rsidRPr="00771368" w:rsidRDefault="00D24E61">
      <w:pPr>
        <w:spacing w:line="367" w:lineRule="auto"/>
        <w:rPr>
          <w:sz w:val="20"/>
          <w:szCs w:val="20"/>
        </w:rPr>
      </w:pPr>
      <w:r w:rsidRPr="00771368">
        <w:rPr>
          <w:rFonts w:eastAsia="Helvetica"/>
          <w:sz w:val="23"/>
          <w:szCs w:val="23"/>
        </w:rPr>
        <w:t>Vários personagens já se consagraram e são lembrado s pelo público até hoje. É o caso de “Alberto Roberto” (Chico Anysio) e suas entrevistas inusitadas, “Pitbicha”</w:t>
      </w:r>
    </w:p>
    <w:p w:rsidR="00D24E61" w:rsidRPr="00771368" w:rsidRDefault="00D24E61">
      <w:pPr>
        <w:spacing w:line="234" w:lineRule="auto"/>
        <w:rPr>
          <w:sz w:val="20"/>
          <w:szCs w:val="20"/>
        </w:rPr>
      </w:pPr>
      <w:r w:rsidRPr="00771368">
        <w:rPr>
          <w:rFonts w:eastAsia="Helvetica"/>
          <w:sz w:val="24"/>
          <w:szCs w:val="24"/>
        </w:rPr>
        <w:t>(Tom Cavalcante) e da dupla “Fernandinho” (Rogério Cardoso) e “Santinha” (Nair</w:t>
      </w:r>
    </w:p>
    <w:p w:rsidR="00D24E61" w:rsidRPr="00771368" w:rsidRDefault="00D24E61">
      <w:pPr>
        <w:spacing w:line="136" w:lineRule="exact"/>
        <w:rPr>
          <w:sz w:val="20"/>
          <w:szCs w:val="20"/>
        </w:rPr>
      </w:pPr>
    </w:p>
    <w:p w:rsidR="00D24E61" w:rsidRPr="00771368" w:rsidRDefault="00D24E61">
      <w:pPr>
        <w:rPr>
          <w:sz w:val="20"/>
          <w:szCs w:val="20"/>
        </w:rPr>
      </w:pPr>
      <w:r w:rsidRPr="00771368">
        <w:rPr>
          <w:rFonts w:eastAsia="Helvetica"/>
          <w:sz w:val="24"/>
          <w:szCs w:val="24"/>
        </w:rPr>
        <w:t>Bello).</w:t>
      </w:r>
    </w:p>
    <w:p w:rsidR="00D24E61" w:rsidRPr="00771368" w:rsidRDefault="00D24E61">
      <w:pPr>
        <w:spacing w:line="301" w:lineRule="exact"/>
        <w:rPr>
          <w:sz w:val="20"/>
          <w:szCs w:val="20"/>
        </w:rPr>
      </w:pPr>
    </w:p>
    <w:p w:rsidR="00D24E61" w:rsidRPr="00771368" w:rsidRDefault="00D24E61">
      <w:pPr>
        <w:spacing w:line="331" w:lineRule="auto"/>
        <w:ind w:right="40"/>
        <w:jc w:val="both"/>
        <w:rPr>
          <w:sz w:val="20"/>
          <w:szCs w:val="20"/>
        </w:rPr>
      </w:pPr>
      <w:r w:rsidRPr="00771368">
        <w:rPr>
          <w:rFonts w:eastAsia="Helvetica"/>
          <w:sz w:val="24"/>
          <w:szCs w:val="24"/>
        </w:rPr>
        <w:t>Desde a sua criação, o programa é realizado a partir de esquetes</w:t>
      </w:r>
      <w:r w:rsidRPr="00771368">
        <w:rPr>
          <w:rFonts w:eastAsia="Helvetica"/>
          <w:sz w:val="32"/>
          <w:szCs w:val="32"/>
          <w:vertAlign w:val="superscript"/>
        </w:rPr>
        <w:t>13</w:t>
      </w:r>
      <w:r w:rsidRPr="00771368">
        <w:rPr>
          <w:rFonts w:eastAsia="Helvetica"/>
          <w:sz w:val="24"/>
          <w:szCs w:val="24"/>
        </w:rPr>
        <w:t>, que remontam situações cômicas do cotidiano, relações sociais ou pensamentos ideológicos. É alvo de constantes críticas por apresentar estereótipos polêmicos de uma forma popularesca, muitas vezes, tratando questões raciais, religiosas, sexuais de uma forma ofensiva.</w:t>
      </w:r>
    </w:p>
    <w:p w:rsidR="00D24E61" w:rsidRPr="00771368" w:rsidRDefault="00D24E61">
      <w:pPr>
        <w:spacing w:line="231" w:lineRule="exact"/>
        <w:rPr>
          <w:sz w:val="20"/>
          <w:szCs w:val="20"/>
        </w:rPr>
      </w:pPr>
    </w:p>
    <w:p w:rsidR="00D24E61" w:rsidRPr="00771368" w:rsidRDefault="00D24E61">
      <w:pPr>
        <w:spacing w:line="351" w:lineRule="auto"/>
        <w:rPr>
          <w:sz w:val="20"/>
          <w:szCs w:val="20"/>
        </w:rPr>
      </w:pPr>
      <w:r w:rsidRPr="00771368">
        <w:rPr>
          <w:rFonts w:eastAsia="Helvetica"/>
          <w:sz w:val="24"/>
          <w:szCs w:val="24"/>
        </w:rPr>
        <w:t>O último escândalo envolveu a já citada personagem “Adelaide” que ao dizer no humorístico a frase “durante a enchente não pude fi car sem minha palha de aço, daí corri atrás para pegá-la e quando vi, eram os c abelos da minha filha" recebeu diversas críticas de telespectadores, ONGs (organizações não governamentais) e meios de comunicação. Assim, a Secretaria de Políticas de Promoção da</w:t>
      </w:r>
    </w:p>
    <w:p w:rsidR="00D24E61" w:rsidRPr="00771368" w:rsidRDefault="00D24E61">
      <w:pPr>
        <w:spacing w:line="9" w:lineRule="exact"/>
        <w:rPr>
          <w:sz w:val="20"/>
          <w:szCs w:val="20"/>
        </w:rPr>
      </w:pPr>
    </w:p>
    <w:p w:rsidR="00D24E61" w:rsidRPr="00771368" w:rsidRDefault="00D24E61">
      <w:pPr>
        <w:spacing w:line="349" w:lineRule="auto"/>
        <w:ind w:right="40"/>
        <w:jc w:val="both"/>
        <w:rPr>
          <w:sz w:val="20"/>
          <w:szCs w:val="20"/>
        </w:rPr>
      </w:pPr>
      <w:r w:rsidRPr="00771368">
        <w:rPr>
          <w:rFonts w:eastAsia="Helvetica"/>
          <w:sz w:val="24"/>
          <w:szCs w:val="24"/>
        </w:rPr>
        <w:t>Igualdade Racial (SEPPIR), ligada ao Governo Federal, entrou com a denúncia que acarretou em um processo no Ministério Público Federal pelo teor racista e preconceituoso do quadro, interpretado pelo ator Rodrigo Sant’Anna.</w:t>
      </w:r>
    </w:p>
    <w:p w:rsidR="00D24E61" w:rsidRPr="00771368" w:rsidRDefault="00D24E61">
      <w:pPr>
        <w:spacing w:line="212" w:lineRule="exact"/>
        <w:rPr>
          <w:sz w:val="20"/>
          <w:szCs w:val="20"/>
        </w:rPr>
      </w:pPr>
    </w:p>
    <w:p w:rsidR="00D24E61" w:rsidRPr="00771368" w:rsidRDefault="00D24E61">
      <w:pPr>
        <w:spacing w:line="350" w:lineRule="auto"/>
        <w:ind w:right="40"/>
        <w:jc w:val="both"/>
        <w:rPr>
          <w:sz w:val="20"/>
          <w:szCs w:val="20"/>
        </w:rPr>
      </w:pPr>
      <w:r w:rsidRPr="00771368">
        <w:rPr>
          <w:rFonts w:eastAsia="Helvetica"/>
          <w:sz w:val="24"/>
          <w:szCs w:val="24"/>
        </w:rPr>
        <w:t xml:space="preserve">As mulheres são representadas, na maioria dos quadr os, com atitudes relacionadas ao emocional, sendo o homem o ponto central de todo o desencadeamento humorístico, como é o caso do quadro </w:t>
      </w:r>
      <w:r w:rsidRPr="00771368">
        <w:rPr>
          <w:rFonts w:eastAsia="Helvetica"/>
          <w:i/>
          <w:iCs/>
          <w:sz w:val="24"/>
          <w:szCs w:val="24"/>
        </w:rPr>
        <w:t>Strip Trem Quiz</w:t>
      </w:r>
      <w:r w:rsidRPr="00771368">
        <w:rPr>
          <w:rFonts w:eastAsia="Helvetica"/>
          <w:sz w:val="24"/>
          <w:szCs w:val="24"/>
        </w:rPr>
        <w:t>, objeto específico da análise proposta por este trabalho.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3" w:lineRule="exact"/>
        <w:rPr>
          <w:sz w:val="20"/>
          <w:szCs w:val="20"/>
        </w:rPr>
      </w:pPr>
    </w:p>
    <w:p w:rsidR="00D24E61" w:rsidRPr="00771368" w:rsidRDefault="00D24E61">
      <w:pPr>
        <w:rPr>
          <w:sz w:val="20"/>
          <w:szCs w:val="20"/>
        </w:rPr>
      </w:pPr>
      <w:r w:rsidRPr="00771368">
        <w:rPr>
          <w:rFonts w:eastAsia="Helvetica"/>
          <w:b/>
          <w:bCs/>
          <w:i/>
          <w:iCs/>
          <w:sz w:val="24"/>
          <w:szCs w:val="24"/>
        </w:rPr>
        <w:t>Strip Trem Quiz e o Discurso Sobre a Mulher</w:t>
      </w:r>
    </w:p>
    <w:p w:rsidR="00D24E61" w:rsidRPr="00771368" w:rsidRDefault="00D24E61">
      <w:pPr>
        <w:spacing w:line="139" w:lineRule="exact"/>
        <w:rPr>
          <w:sz w:val="20"/>
          <w:szCs w:val="20"/>
        </w:rPr>
      </w:pPr>
    </w:p>
    <w:p w:rsidR="00D24E61" w:rsidRPr="00771368" w:rsidRDefault="00D24E61">
      <w:pPr>
        <w:spacing w:line="346" w:lineRule="auto"/>
        <w:ind w:right="40"/>
        <w:jc w:val="both"/>
        <w:rPr>
          <w:sz w:val="20"/>
          <w:szCs w:val="20"/>
        </w:rPr>
      </w:pPr>
      <w:r w:rsidRPr="00771368">
        <w:rPr>
          <w:rFonts w:eastAsia="Helvetica"/>
          <w:sz w:val="24"/>
          <w:szCs w:val="24"/>
        </w:rPr>
        <w:t>O quadro se inicia com a expectativa de vários home ns – incluindo “Severino”, que se aglomeram em frente ao aparelho televisivo à espera da mulher que se</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691520" behindDoc="0" locked="0" layoutInCell="0" allowOverlap="1">
                <wp:simplePos x="0" y="0"/>
                <wp:positionH relativeFrom="column">
                  <wp:posOffset>635</wp:posOffset>
                </wp:positionH>
                <wp:positionV relativeFrom="paragraph">
                  <wp:posOffset>261620</wp:posOffset>
                </wp:positionV>
                <wp:extent cx="1828800" cy="0"/>
                <wp:effectExtent l="10160" t="13970" r="8890" b="5080"/>
                <wp:wrapNone/>
                <wp:docPr id="23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9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20.6pt" to="144.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jP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" o:allowincell="f" strokeweight=".72pt"/>
            </w:pict>
          </mc:Fallback>
        </mc:AlternateContent>
      </w:r>
    </w:p>
    <w:p w:rsidR="00D24E61" w:rsidRPr="00771368" w:rsidRDefault="00D24E61">
      <w:pPr>
        <w:spacing w:line="246" w:lineRule="exact"/>
        <w:rPr>
          <w:sz w:val="20"/>
          <w:szCs w:val="20"/>
        </w:rPr>
      </w:pPr>
    </w:p>
    <w:p w:rsidR="00D24E61" w:rsidRPr="00771368" w:rsidRDefault="00D24E61">
      <w:pPr>
        <w:numPr>
          <w:ilvl w:val="0"/>
          <w:numId w:val="3"/>
        </w:numPr>
        <w:tabs>
          <w:tab w:val="left" w:pos="200"/>
        </w:tabs>
        <w:spacing w:line="239" w:lineRule="auto"/>
        <w:ind w:left="200" w:hanging="198"/>
        <w:jc w:val="both"/>
        <w:rPr>
          <w:rFonts w:eastAsia="Helvetica"/>
          <w:sz w:val="26"/>
          <w:szCs w:val="26"/>
          <w:vertAlign w:val="superscript"/>
        </w:rPr>
      </w:pPr>
      <w:r w:rsidRPr="00771368">
        <w:rPr>
          <w:rFonts w:eastAsia="Helvetica"/>
          <w:sz w:val="20"/>
          <w:szCs w:val="20"/>
        </w:rPr>
        <w:t xml:space="preserve">Fonte: Site </w:t>
      </w:r>
      <w:r w:rsidRPr="00771368">
        <w:rPr>
          <w:rFonts w:eastAsia="Helvetica"/>
          <w:color w:val="0000FF"/>
          <w:sz w:val="20"/>
          <w:szCs w:val="20"/>
          <w:u w:val="single"/>
        </w:rPr>
        <w:t>http://www.rd1audiencia.com/</w:t>
      </w:r>
      <w:r w:rsidRPr="00771368">
        <w:rPr>
          <w:rFonts w:eastAsia="Helvetica"/>
          <w:sz w:val="20"/>
          <w:szCs w:val="20"/>
        </w:rPr>
        <w:t>.</w:t>
      </w:r>
    </w:p>
    <w:p w:rsidR="00D24E61" w:rsidRPr="00771368" w:rsidRDefault="00D24E61">
      <w:pPr>
        <w:spacing w:line="24" w:lineRule="exact"/>
        <w:rPr>
          <w:rFonts w:eastAsia="Helvetica"/>
          <w:sz w:val="26"/>
          <w:szCs w:val="26"/>
          <w:vertAlign w:val="superscript"/>
        </w:rPr>
      </w:pPr>
    </w:p>
    <w:p w:rsidR="00D24E61" w:rsidRPr="00771368" w:rsidRDefault="00D24E61">
      <w:pPr>
        <w:numPr>
          <w:ilvl w:val="0"/>
          <w:numId w:val="3"/>
        </w:numPr>
        <w:tabs>
          <w:tab w:val="left" w:pos="221"/>
        </w:tabs>
        <w:spacing w:line="194" w:lineRule="auto"/>
        <w:ind w:right="60" w:firstLine="2"/>
        <w:jc w:val="both"/>
        <w:rPr>
          <w:rFonts w:eastAsia="Helvetica"/>
          <w:sz w:val="26"/>
          <w:szCs w:val="26"/>
          <w:vertAlign w:val="superscript"/>
        </w:rPr>
      </w:pPr>
      <w:r w:rsidRPr="00771368">
        <w:rPr>
          <w:rFonts w:eastAsia="Helvetica"/>
          <w:sz w:val="20"/>
          <w:szCs w:val="20"/>
        </w:rPr>
        <w:t>Pequenas peças ou cenas dramáticas, geralmente cômicas, que tem a duração de menos de dez minutos.</w:t>
      </w:r>
    </w:p>
    <w:p w:rsidR="00D24E61" w:rsidRPr="00771368" w:rsidRDefault="00D24E61">
      <w:pPr>
        <w:sectPr w:rsidR="00D24E61" w:rsidRPr="00771368">
          <w:pgSz w:w="11900" w:h="16840"/>
          <w:pgMar w:top="1414" w:right="1360" w:bottom="1144" w:left="1700" w:header="0" w:footer="0" w:gutter="0"/>
          <w:cols w:space="720" w:equalWidth="0">
            <w:col w:w="8840"/>
          </w:cols>
        </w:sectPr>
      </w:pPr>
    </w:p>
    <w:p w:rsidR="00D24E61" w:rsidRPr="00771368" w:rsidRDefault="00D24E61">
      <w:pPr>
        <w:spacing w:line="349" w:lineRule="auto"/>
        <w:ind w:right="20"/>
        <w:jc w:val="both"/>
        <w:rPr>
          <w:sz w:val="20"/>
          <w:szCs w:val="20"/>
        </w:rPr>
      </w:pPr>
      <w:r w:rsidRPr="00771368">
        <w:rPr>
          <w:rFonts w:eastAsia="Helvetica"/>
          <w:sz w:val="24"/>
          <w:szCs w:val="24"/>
        </w:rPr>
        <w:t xml:space="preserve">exibirá naquele dia. Após a abertura, o apresentador sorteia um telespectador para responder as perguntas feitas por ele e depois apresentar a </w:t>
      </w:r>
      <w:r w:rsidRPr="00771368">
        <w:rPr>
          <w:rFonts w:eastAsia="Helvetica"/>
          <w:i/>
          <w:iCs/>
          <w:sz w:val="24"/>
          <w:szCs w:val="24"/>
        </w:rPr>
        <w:t>strip girl</w:t>
      </w:r>
      <w:r w:rsidRPr="00771368">
        <w:rPr>
          <w:rFonts w:eastAsia="Helvetica"/>
          <w:sz w:val="24"/>
          <w:szCs w:val="24"/>
        </w:rPr>
        <w:t xml:space="preserve"> da semana. Se o sorteado responder os questionamentos de maneira correta, a </w:t>
      </w:r>
      <w:r w:rsidRPr="00771368">
        <w:rPr>
          <w:rFonts w:eastAsia="Helvetica"/>
          <w:i/>
          <w:iCs/>
          <w:sz w:val="24"/>
          <w:szCs w:val="24"/>
        </w:rPr>
        <w:t xml:space="preserve">stripper </w:t>
      </w:r>
      <w:r w:rsidRPr="00771368">
        <w:rPr>
          <w:rFonts w:eastAsia="Helvetica"/>
          <w:sz w:val="24"/>
          <w:szCs w:val="24"/>
        </w:rPr>
        <w:t>retira uma peça de roupa, até que fique completamente nua.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73600" behindDoc="1" locked="0" layoutInCell="0" allowOverlap="1">
            <wp:simplePos x="0" y="0"/>
            <wp:positionH relativeFrom="column">
              <wp:posOffset>20955</wp:posOffset>
            </wp:positionH>
            <wp:positionV relativeFrom="paragraph">
              <wp:posOffset>273050</wp:posOffset>
            </wp:positionV>
            <wp:extent cx="4846320" cy="1758950"/>
            <wp:effectExtent l="0" t="0" r="0" b="0"/>
            <wp:wrapNone/>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8" cstate="print">
                      <a:extLst/>
                    </a:blip>
                    <a:srcRect/>
                    <a:stretch>
                      <a:fillRect/>
                    </a:stretch>
                  </pic:blipFill>
                  <pic:spPr bwMode="auto">
                    <a:xfrm>
                      <a:off x="0" y="0"/>
                      <a:ext cx="4846320" cy="175895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20" w:lineRule="exact"/>
        <w:rPr>
          <w:sz w:val="20"/>
          <w:szCs w:val="20"/>
        </w:rPr>
      </w:pPr>
    </w:p>
    <w:p w:rsidR="00D24E61" w:rsidRPr="00771368" w:rsidRDefault="00D24E61">
      <w:pPr>
        <w:tabs>
          <w:tab w:val="left" w:pos="960"/>
          <w:tab w:val="left" w:pos="5700"/>
          <w:tab w:val="left" w:pos="6120"/>
        </w:tabs>
        <w:rPr>
          <w:sz w:val="20"/>
          <w:szCs w:val="20"/>
        </w:rPr>
      </w:pPr>
      <w:r w:rsidRPr="00771368">
        <w:rPr>
          <w:rFonts w:eastAsia="Helvetica"/>
          <w:sz w:val="20"/>
          <w:szCs w:val="20"/>
        </w:rPr>
        <w:t>Fontes:</w:t>
      </w:r>
      <w:r w:rsidRPr="00771368">
        <w:rPr>
          <w:sz w:val="20"/>
          <w:szCs w:val="20"/>
        </w:rPr>
        <w:tab/>
      </w:r>
      <w:r w:rsidRPr="00771368">
        <w:rPr>
          <w:rFonts w:eastAsia="Helvetica"/>
          <w:color w:val="0000FF"/>
          <w:sz w:val="20"/>
          <w:szCs w:val="20"/>
          <w:u w:val="single"/>
        </w:rPr>
        <w:t>http://www.youtube.com/watch?v=CwN2CbkFXZg</w:t>
      </w:r>
      <w:r w:rsidRPr="00771368">
        <w:rPr>
          <w:sz w:val="20"/>
          <w:szCs w:val="20"/>
        </w:rPr>
        <w:tab/>
      </w:r>
      <w:r w:rsidRPr="00771368">
        <w:rPr>
          <w:rFonts w:eastAsia="Helvetica"/>
          <w:sz w:val="20"/>
          <w:szCs w:val="20"/>
        </w:rPr>
        <w:t>e</w:t>
      </w:r>
      <w:r w:rsidRPr="00771368">
        <w:rPr>
          <w:sz w:val="20"/>
          <w:szCs w:val="20"/>
        </w:rPr>
        <w:tab/>
      </w:r>
      <w:r w:rsidRPr="00771368">
        <w:rPr>
          <w:rFonts w:eastAsia="Helvetica"/>
          <w:color w:val="0000FF"/>
          <w:sz w:val="19"/>
          <w:szCs w:val="19"/>
          <w:u w:val="single"/>
        </w:rPr>
        <w:t>http://globotv.globo.com/rede-</w:t>
      </w:r>
    </w:p>
    <w:p w:rsidR="00D24E61" w:rsidRPr="00771368" w:rsidRDefault="00D24E61">
      <w:pPr>
        <w:spacing w:line="111" w:lineRule="exact"/>
        <w:rPr>
          <w:sz w:val="20"/>
          <w:szCs w:val="20"/>
        </w:rPr>
      </w:pPr>
    </w:p>
    <w:p w:rsidR="00D24E61" w:rsidRPr="00771368" w:rsidRDefault="00D24E61">
      <w:pPr>
        <w:rPr>
          <w:sz w:val="20"/>
          <w:szCs w:val="20"/>
        </w:rPr>
      </w:pPr>
      <w:r w:rsidRPr="00771368">
        <w:rPr>
          <w:rFonts w:eastAsia="Helvetica"/>
          <w:color w:val="0000FF"/>
          <w:sz w:val="20"/>
          <w:szCs w:val="20"/>
          <w:u w:val="single"/>
        </w:rPr>
        <w:t>globo/zorra-total/t/personagens/v/sera-que-severino-vai-responder-direitinho-as-</w:t>
      </w:r>
    </w:p>
    <w:p w:rsidR="00D24E61" w:rsidRPr="00771368" w:rsidRDefault="00D24E61">
      <w:pPr>
        <w:spacing w:line="111" w:lineRule="exact"/>
        <w:rPr>
          <w:sz w:val="20"/>
          <w:szCs w:val="20"/>
        </w:rPr>
      </w:pPr>
    </w:p>
    <w:p w:rsidR="00D24E61" w:rsidRPr="00771368" w:rsidRDefault="00D24E61">
      <w:pPr>
        <w:rPr>
          <w:sz w:val="20"/>
          <w:szCs w:val="20"/>
        </w:rPr>
      </w:pPr>
      <w:r w:rsidRPr="00771368">
        <w:rPr>
          <w:rFonts w:eastAsia="Helvetica"/>
          <w:color w:val="0000FF"/>
          <w:sz w:val="20"/>
          <w:szCs w:val="20"/>
          <w:u w:val="single"/>
        </w:rPr>
        <w:t>perguntas/2224248/</w:t>
      </w:r>
      <w:r w:rsidRPr="00771368">
        <w:rPr>
          <w:rFonts w:eastAsia="Helvetica"/>
          <w:color w:val="000000"/>
          <w:sz w:val="20"/>
          <w:szCs w:val="20"/>
        </w:rPr>
        <w:t>.</w:t>
      </w:r>
    </w:p>
    <w:p w:rsidR="00D24E61" w:rsidRPr="00771368" w:rsidRDefault="00D24E61">
      <w:pPr>
        <w:spacing w:line="200" w:lineRule="exact"/>
        <w:rPr>
          <w:sz w:val="20"/>
          <w:szCs w:val="20"/>
        </w:rPr>
      </w:pPr>
    </w:p>
    <w:p w:rsidR="00D24E61" w:rsidRPr="00771368" w:rsidRDefault="00D24E61">
      <w:pPr>
        <w:spacing w:line="330" w:lineRule="exact"/>
        <w:rPr>
          <w:sz w:val="20"/>
          <w:szCs w:val="20"/>
        </w:rPr>
      </w:pPr>
    </w:p>
    <w:p w:rsidR="00D24E61" w:rsidRPr="00771368" w:rsidRDefault="00D24E61">
      <w:pPr>
        <w:spacing w:line="351" w:lineRule="auto"/>
        <w:ind w:right="20"/>
        <w:jc w:val="both"/>
        <w:rPr>
          <w:sz w:val="20"/>
          <w:szCs w:val="20"/>
        </w:rPr>
      </w:pPr>
      <w:r w:rsidRPr="00771368">
        <w:rPr>
          <w:rFonts w:eastAsia="Helvetica"/>
          <w:sz w:val="24"/>
          <w:szCs w:val="24"/>
        </w:rPr>
        <w:t>Em todas as edições do programa o porteiro “Severin o” é sorteado, e recebe o direito a responder quatro perguntas. Estas podem ser divididas em temáticas específicas ou se referir a assuntos gerais. É interessante salientar que todas as perguntas são fáceis de responder, sendo apenas a ú ltima portadora de duplos sentidos ou “pegadinhas”, que ocasionam o erro do porteiro.</w:t>
      </w:r>
    </w:p>
    <w:p w:rsidR="00D24E61" w:rsidRPr="00771368" w:rsidRDefault="00D24E61">
      <w:pPr>
        <w:spacing w:line="200" w:lineRule="exact"/>
        <w:rPr>
          <w:sz w:val="20"/>
          <w:szCs w:val="20"/>
        </w:rPr>
      </w:pPr>
    </w:p>
    <w:p w:rsidR="00D24E61" w:rsidRPr="00771368" w:rsidRDefault="00D24E61">
      <w:pPr>
        <w:rPr>
          <w:sz w:val="20"/>
          <w:szCs w:val="20"/>
        </w:rPr>
      </w:pPr>
      <w:r w:rsidRPr="00771368">
        <w:rPr>
          <w:rFonts w:eastAsia="Helvetica"/>
          <w:sz w:val="24"/>
          <w:szCs w:val="24"/>
        </w:rPr>
        <w:t>Fato interessante é o constante diálogo entre o apr esentador do programa e</w:t>
      </w:r>
    </w:p>
    <w:p w:rsidR="00D24E61" w:rsidRPr="00771368" w:rsidRDefault="00D24E61">
      <w:pPr>
        <w:spacing w:line="138" w:lineRule="exact"/>
        <w:rPr>
          <w:sz w:val="20"/>
          <w:szCs w:val="20"/>
        </w:rPr>
      </w:pPr>
    </w:p>
    <w:p w:rsidR="00D24E61" w:rsidRPr="00771368" w:rsidRDefault="00D24E61">
      <w:pPr>
        <w:spacing w:line="348" w:lineRule="auto"/>
        <w:ind w:right="20"/>
        <w:jc w:val="both"/>
        <w:rPr>
          <w:sz w:val="20"/>
          <w:szCs w:val="20"/>
        </w:rPr>
      </w:pPr>
      <w:r w:rsidRPr="00771368">
        <w:rPr>
          <w:rFonts w:eastAsia="Helvetica"/>
          <w:sz w:val="24"/>
          <w:szCs w:val="24"/>
        </w:rPr>
        <w:t xml:space="preserve">“Severino”, que conversam sem nenhum tipo de aparelho comunicacional, chegando até ao ponto de complementarem a fala do outro. Mas essa interação não se restringe a isso, pois, ao tirar o sutiã, po r exemplo, a </w:t>
      </w:r>
      <w:r w:rsidRPr="00771368">
        <w:rPr>
          <w:rFonts w:eastAsia="Helvetica"/>
          <w:i/>
          <w:iCs/>
          <w:sz w:val="24"/>
          <w:szCs w:val="24"/>
        </w:rPr>
        <w:t>strip girl</w:t>
      </w:r>
      <w:r w:rsidRPr="00771368">
        <w:rPr>
          <w:rFonts w:eastAsia="Helvetica"/>
          <w:sz w:val="24"/>
          <w:szCs w:val="24"/>
        </w:rPr>
        <w:t xml:space="preserve"> joga a roupa</w:t>
      </w:r>
    </w:p>
    <w:p w:rsidR="00D24E61" w:rsidRPr="00771368" w:rsidRDefault="00D24E61">
      <w:pPr>
        <w:spacing w:line="16" w:lineRule="exact"/>
        <w:rPr>
          <w:sz w:val="20"/>
          <w:szCs w:val="20"/>
        </w:rPr>
      </w:pPr>
    </w:p>
    <w:p w:rsidR="00D24E61" w:rsidRPr="00771368" w:rsidRDefault="00D24E61">
      <w:pPr>
        <w:spacing w:line="349" w:lineRule="auto"/>
        <w:jc w:val="both"/>
        <w:rPr>
          <w:sz w:val="20"/>
          <w:szCs w:val="20"/>
        </w:rPr>
      </w:pPr>
      <w:r w:rsidRPr="00771368">
        <w:rPr>
          <w:rFonts w:eastAsia="Helvetica"/>
          <w:sz w:val="24"/>
          <w:szCs w:val="24"/>
        </w:rPr>
        <w:t>íntima para trás, sendo esta pega pelo porteiro no metrô. Fica evidente a intenção do quadro em estabelecer uma relação de proximidade entre o produto televisivo e o telespectador, influenciando as suas percepções e estimulando o desejo sexual.</w:t>
      </w:r>
    </w:p>
    <w:p w:rsidR="00D24E61" w:rsidRPr="00771368" w:rsidRDefault="00D24E61">
      <w:pPr>
        <w:spacing w:line="214" w:lineRule="exact"/>
        <w:rPr>
          <w:sz w:val="20"/>
          <w:szCs w:val="20"/>
        </w:rPr>
      </w:pPr>
    </w:p>
    <w:p w:rsidR="00D24E61" w:rsidRPr="00771368" w:rsidRDefault="00D24E61">
      <w:pPr>
        <w:spacing w:line="349" w:lineRule="auto"/>
        <w:ind w:right="20"/>
        <w:jc w:val="both"/>
        <w:rPr>
          <w:sz w:val="20"/>
          <w:szCs w:val="20"/>
        </w:rPr>
      </w:pPr>
      <w:r w:rsidRPr="00771368">
        <w:rPr>
          <w:rFonts w:eastAsia="Helvetica"/>
          <w:sz w:val="24"/>
          <w:szCs w:val="24"/>
        </w:rPr>
        <w:t>Existe uma relação íntima entre desejo e imagem, salientando que o primeiro alimenta-se do segundo. Conforme Orestes (2007) “[...] os desejos alimentam-se de imagens, caminham em direção ao imaginário como trafegassem por entre a “representação que os seduz e a tendência da qual e les emanam. (p. 235). Ainda</w:t>
      </w:r>
    </w:p>
    <w:p w:rsidR="00D24E61" w:rsidRPr="00771368" w:rsidRDefault="00D24E61">
      <w:pPr>
        <w:sectPr w:rsidR="00D24E61" w:rsidRPr="00771368">
          <w:pgSz w:w="11900" w:h="16840"/>
          <w:pgMar w:top="1416" w:right="1380" w:bottom="1440" w:left="1700" w:header="0" w:footer="0" w:gutter="0"/>
          <w:cols w:space="720" w:equalWidth="0">
            <w:col w:w="8820"/>
          </w:cols>
        </w:sectPr>
      </w:pPr>
    </w:p>
    <w:p w:rsidR="00D24E61" w:rsidRPr="00771368" w:rsidRDefault="00D24E61">
      <w:pPr>
        <w:spacing w:line="349" w:lineRule="auto"/>
        <w:ind w:right="40"/>
        <w:jc w:val="both"/>
        <w:rPr>
          <w:sz w:val="20"/>
          <w:szCs w:val="20"/>
        </w:rPr>
      </w:pPr>
      <w:r w:rsidRPr="00771368">
        <w:rPr>
          <w:rFonts w:eastAsia="Helvetica"/>
          <w:sz w:val="24"/>
          <w:szCs w:val="24"/>
        </w:rPr>
        <w:t>de acordo com ele, “a origem errante e a natureza ambígua da relação desejo-imagem produz a ilusão de que nossos desejos não sã o naturais, sendo, portanto, estranhos ao nosso corpo e à nossa alma.”.</w:t>
      </w:r>
    </w:p>
    <w:p w:rsidR="00D24E61" w:rsidRPr="00771368" w:rsidRDefault="00D24E61">
      <w:pPr>
        <w:spacing w:line="212" w:lineRule="exact"/>
        <w:rPr>
          <w:sz w:val="20"/>
          <w:szCs w:val="20"/>
        </w:rPr>
      </w:pPr>
    </w:p>
    <w:p w:rsidR="00D24E61" w:rsidRPr="00771368" w:rsidRDefault="00D24E61">
      <w:pPr>
        <w:spacing w:line="350" w:lineRule="auto"/>
        <w:ind w:right="40"/>
        <w:jc w:val="both"/>
        <w:rPr>
          <w:sz w:val="20"/>
          <w:szCs w:val="20"/>
        </w:rPr>
      </w:pPr>
      <w:r w:rsidRPr="00771368">
        <w:rPr>
          <w:rFonts w:eastAsia="Helvetica"/>
          <w:sz w:val="24"/>
          <w:szCs w:val="24"/>
        </w:rPr>
        <w:t>Gradativamente, conforme o acerto das perguntas, os acessórios, blusas e sutiãs são retirados pelas mulheres, que ficam apenas de c alcinha no palco do programa. Há, nestes momentos, uma exaltação às cur vas femininas, principalmente nas pernas e nádegas.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75648" behindDoc="1" locked="0" layoutInCell="0" allowOverlap="1">
            <wp:simplePos x="0" y="0"/>
            <wp:positionH relativeFrom="column">
              <wp:posOffset>63500</wp:posOffset>
            </wp:positionH>
            <wp:positionV relativeFrom="paragraph">
              <wp:posOffset>396240</wp:posOffset>
            </wp:positionV>
            <wp:extent cx="4047490" cy="1548130"/>
            <wp:effectExtent l="0" t="0" r="0" b="0"/>
            <wp:wrapNone/>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9" cstate="print">
                      <a:extLst/>
                    </a:blip>
                    <a:srcRect/>
                    <a:stretch>
                      <a:fillRect/>
                    </a:stretch>
                  </pic:blipFill>
                  <pic:spPr bwMode="auto">
                    <a:xfrm>
                      <a:off x="0" y="0"/>
                      <a:ext cx="4047490" cy="154813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86" w:lineRule="exact"/>
        <w:rPr>
          <w:sz w:val="20"/>
          <w:szCs w:val="20"/>
        </w:rPr>
      </w:pPr>
    </w:p>
    <w:p w:rsidR="00D24E61" w:rsidRPr="00771368" w:rsidRDefault="00D24E61">
      <w:pPr>
        <w:tabs>
          <w:tab w:val="left" w:pos="1140"/>
        </w:tabs>
        <w:rPr>
          <w:sz w:val="20"/>
          <w:szCs w:val="20"/>
        </w:rPr>
      </w:pPr>
      <w:r w:rsidRPr="00771368">
        <w:rPr>
          <w:rFonts w:eastAsia="Helvetica"/>
          <w:sz w:val="20"/>
          <w:szCs w:val="20"/>
        </w:rPr>
        <w:t>Fonte:</w:t>
      </w:r>
      <w:r w:rsidRPr="00771368">
        <w:rPr>
          <w:sz w:val="20"/>
          <w:szCs w:val="20"/>
        </w:rPr>
        <w:tab/>
      </w:r>
      <w:r w:rsidRPr="00771368">
        <w:rPr>
          <w:rFonts w:eastAsia="Helvetica"/>
          <w:color w:val="0000FF"/>
          <w:sz w:val="20"/>
          <w:szCs w:val="20"/>
          <w:u w:val="single"/>
        </w:rPr>
        <w:t>http://globotv.globo.com/rede-globo/zorra-total/t/personagens/v/sera-que-severino-vai-</w:t>
      </w:r>
    </w:p>
    <w:p w:rsidR="00D24E61" w:rsidRPr="00771368" w:rsidRDefault="00D24E61">
      <w:pPr>
        <w:spacing w:line="111" w:lineRule="exact"/>
        <w:rPr>
          <w:sz w:val="20"/>
          <w:szCs w:val="20"/>
        </w:rPr>
      </w:pPr>
    </w:p>
    <w:p w:rsidR="00D24E61" w:rsidRPr="00771368" w:rsidRDefault="00D24E61">
      <w:pPr>
        <w:rPr>
          <w:sz w:val="20"/>
          <w:szCs w:val="20"/>
        </w:rPr>
      </w:pPr>
      <w:r w:rsidRPr="00771368">
        <w:rPr>
          <w:rFonts w:eastAsia="Helvetica"/>
          <w:color w:val="0000FF"/>
          <w:sz w:val="20"/>
          <w:szCs w:val="20"/>
          <w:u w:val="single"/>
        </w:rPr>
        <w:t>responder-direitinho-as-perguntas/2224248/</w:t>
      </w:r>
      <w:r w:rsidRPr="00771368">
        <w:rPr>
          <w:rFonts w:eastAsia="Helvetica"/>
          <w:color w:val="0000FF"/>
          <w:sz w:val="20"/>
          <w:szCs w:val="20"/>
        </w:rPr>
        <w:t xml:space="preserve">  </w:t>
      </w:r>
      <w:r w:rsidRPr="00771368">
        <w:rPr>
          <w:rFonts w:eastAsia="Helvetica"/>
          <w:color w:val="000000"/>
          <w:sz w:val="20"/>
          <w:szCs w:val="20"/>
        </w:rPr>
        <w:t>e</w:t>
      </w:r>
      <w:r w:rsidRPr="00771368">
        <w:rPr>
          <w:rFonts w:eastAsia="Helvetica"/>
          <w:color w:val="0000FF"/>
          <w:sz w:val="20"/>
          <w:szCs w:val="20"/>
        </w:rPr>
        <w:t xml:space="preserve">  </w:t>
      </w:r>
      <w:r w:rsidRPr="00771368">
        <w:rPr>
          <w:rFonts w:eastAsia="Helvetica"/>
          <w:color w:val="0000FF"/>
          <w:sz w:val="20"/>
          <w:szCs w:val="20"/>
          <w:u w:val="single"/>
        </w:rPr>
        <w:t>http://www.dailymotion.com/video/xtsqud_aline-de-</w:t>
      </w:r>
    </w:p>
    <w:p w:rsidR="00D24E61" w:rsidRPr="00771368" w:rsidRDefault="00D24E61">
      <w:pPr>
        <w:spacing w:line="108" w:lineRule="exact"/>
        <w:rPr>
          <w:sz w:val="20"/>
          <w:szCs w:val="20"/>
        </w:rPr>
      </w:pPr>
    </w:p>
    <w:p w:rsidR="00D24E61" w:rsidRPr="00771368" w:rsidRDefault="00D24E61">
      <w:pPr>
        <w:rPr>
          <w:sz w:val="20"/>
          <w:szCs w:val="20"/>
        </w:rPr>
      </w:pPr>
      <w:r w:rsidRPr="00771368">
        <w:rPr>
          <w:rFonts w:eastAsia="Helvetica"/>
          <w:color w:val="0000FF"/>
          <w:sz w:val="20"/>
          <w:szCs w:val="20"/>
          <w:u w:val="single"/>
        </w:rPr>
        <w:t>barros-zorra-total-01-09-2012-strip-trem-quiz_fun</w:t>
      </w:r>
      <w:r w:rsidRPr="00771368">
        <w:rPr>
          <w:rFonts w:eastAsia="Helvetica"/>
          <w:color w:val="000000"/>
          <w:sz w:val="20"/>
          <w:szCs w:val="20"/>
        </w:rPr>
        <w:t>.</w:t>
      </w:r>
    </w:p>
    <w:p w:rsidR="00D24E61" w:rsidRPr="00771368" w:rsidRDefault="00D24E61">
      <w:pPr>
        <w:spacing w:line="200" w:lineRule="exact"/>
        <w:rPr>
          <w:sz w:val="20"/>
          <w:szCs w:val="20"/>
        </w:rPr>
      </w:pPr>
    </w:p>
    <w:p w:rsidR="00D24E61" w:rsidRPr="00771368" w:rsidRDefault="00D24E61">
      <w:pPr>
        <w:spacing w:line="333" w:lineRule="exact"/>
        <w:rPr>
          <w:sz w:val="20"/>
          <w:szCs w:val="20"/>
        </w:rPr>
      </w:pPr>
    </w:p>
    <w:p w:rsidR="00D24E61" w:rsidRPr="00771368" w:rsidRDefault="00D24E61">
      <w:pPr>
        <w:spacing w:line="351" w:lineRule="auto"/>
        <w:ind w:right="40"/>
        <w:jc w:val="both"/>
        <w:rPr>
          <w:sz w:val="20"/>
          <w:szCs w:val="20"/>
        </w:rPr>
      </w:pPr>
      <w:r w:rsidRPr="00771368">
        <w:rPr>
          <w:rFonts w:eastAsia="Helvetica"/>
          <w:sz w:val="24"/>
          <w:szCs w:val="24"/>
        </w:rPr>
        <w:t>Fica evidente o que afirma Marcondes Filho (1986, p. 33) quando diz que “...a indústria da erotização feminina procura exaurir da mulher a feminilidade e a capacidade de troca ... deixando-lhe apenas o signo do objeto. Ainda de acordo com ele, essa mulher transformada em produto de consumo acaba tend</w:t>
      </w:r>
      <w:r w:rsidRPr="00771368">
        <w:rPr>
          <w:rFonts w:eastAsia="Helvetica"/>
          <w:i/>
          <w:iCs/>
          <w:sz w:val="24"/>
          <w:szCs w:val="24"/>
        </w:rPr>
        <w:t>o</w:t>
      </w:r>
      <w:r w:rsidRPr="00771368">
        <w:rPr>
          <w:rFonts w:eastAsia="Helvetica"/>
          <w:sz w:val="24"/>
          <w:szCs w:val="24"/>
        </w:rPr>
        <w:t xml:space="preserve"> neutralizada sua sexualidade. Filho ressalta que “ela funciona como armadura abstrata de uma idéia (sic) de prazer sexual” .</w:t>
      </w:r>
    </w:p>
    <w:p w:rsidR="00D24E61" w:rsidRPr="00771368" w:rsidRDefault="00D24E61">
      <w:pPr>
        <w:spacing w:line="206" w:lineRule="exact"/>
        <w:rPr>
          <w:sz w:val="20"/>
          <w:szCs w:val="20"/>
        </w:rPr>
      </w:pPr>
    </w:p>
    <w:p w:rsidR="00D24E61" w:rsidRPr="00771368" w:rsidRDefault="00D24E61">
      <w:pPr>
        <w:spacing w:line="351" w:lineRule="auto"/>
        <w:jc w:val="both"/>
        <w:rPr>
          <w:sz w:val="20"/>
          <w:szCs w:val="20"/>
        </w:rPr>
      </w:pPr>
      <w:r w:rsidRPr="00771368">
        <w:rPr>
          <w:rFonts w:eastAsia="Helvetica"/>
          <w:sz w:val="24"/>
          <w:szCs w:val="24"/>
        </w:rPr>
        <w:t xml:space="preserve">Intercalando as perguntas, as </w:t>
      </w:r>
      <w:r w:rsidRPr="00771368">
        <w:rPr>
          <w:rFonts w:eastAsia="Helvetica"/>
          <w:i/>
          <w:iCs/>
          <w:sz w:val="24"/>
          <w:szCs w:val="24"/>
        </w:rPr>
        <w:t>strippers</w:t>
      </w:r>
      <w:r w:rsidRPr="00771368">
        <w:rPr>
          <w:rFonts w:eastAsia="Helvetica"/>
          <w:sz w:val="24"/>
          <w:szCs w:val="24"/>
        </w:rPr>
        <w:t xml:space="preserve"> dançam e se insinuam aos telespectadores, despertando-lhes mais vontade em tirar-lhe a </w:t>
      </w:r>
      <w:r w:rsidRPr="00771368">
        <w:rPr>
          <w:rFonts w:eastAsia="Helvetica"/>
          <w:i/>
          <w:iCs/>
          <w:sz w:val="24"/>
          <w:szCs w:val="24"/>
        </w:rPr>
        <w:t>lingerie</w:t>
      </w:r>
      <w:r w:rsidRPr="00771368">
        <w:rPr>
          <w:rFonts w:eastAsia="Helvetica"/>
          <w:sz w:val="24"/>
          <w:szCs w:val="24"/>
        </w:rPr>
        <w:t xml:space="preserve">. A sensualidade se apresenta na sua forma mais aflorada, já que, com o objetivo de conquistar o homem que a assiste, as dançarinas e </w:t>
      </w:r>
      <w:r w:rsidRPr="00771368">
        <w:rPr>
          <w:rFonts w:eastAsia="Helvetica"/>
          <w:i/>
          <w:iCs/>
          <w:sz w:val="24"/>
          <w:szCs w:val="24"/>
        </w:rPr>
        <w:t>strippers</w:t>
      </w:r>
      <w:r w:rsidRPr="00771368">
        <w:rPr>
          <w:rFonts w:eastAsia="Helvetica"/>
          <w:sz w:val="24"/>
          <w:szCs w:val="24"/>
        </w:rPr>
        <w:t xml:space="preserve"> realizam frequentes ações que instigam o despertar sexual. Além disto, a utilização de peças íntimas temáticas colabora com a manutenção do fetiche sexu al proporcionado pelo programa, despertando no homem a ideia de fantasia erótica.</w:t>
      </w:r>
    </w:p>
    <w:p w:rsidR="00D24E61" w:rsidRPr="00771368" w:rsidRDefault="00D24E61">
      <w:pPr>
        <w:sectPr w:rsidR="00D24E61" w:rsidRPr="00771368">
          <w:pgSz w:w="11900" w:h="16840"/>
          <w:pgMar w:top="1416" w:right="1360" w:bottom="1440" w:left="1700" w:header="0" w:footer="0" w:gutter="0"/>
          <w:cols w:space="720" w:equalWidth="0">
            <w:col w:w="8840"/>
          </w:cols>
        </w:sectPr>
      </w:pP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77696" behindDoc="1" locked="0" layoutInCell="0" allowOverlap="1">
            <wp:simplePos x="0" y="0"/>
            <wp:positionH relativeFrom="page">
              <wp:posOffset>1100455</wp:posOffset>
            </wp:positionH>
            <wp:positionV relativeFrom="page">
              <wp:posOffset>900430</wp:posOffset>
            </wp:positionV>
            <wp:extent cx="4346575" cy="1604645"/>
            <wp:effectExtent l="0" t="0" r="0" b="0"/>
            <wp:wrapNone/>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0" cstate="print">
                      <a:clrChange>
                        <a:clrFrom>
                          <a:srgbClr val="FFFFFF"/>
                        </a:clrFrom>
                        <a:clrTo>
                          <a:srgbClr val="FFFFFF">
                            <a:alpha val="0"/>
                          </a:srgbClr>
                        </a:clrTo>
                      </a:clrChange>
                      <a:extLst/>
                    </a:blip>
                    <a:srcRect/>
                    <a:stretch>
                      <a:fillRect/>
                    </a:stretch>
                  </pic:blipFill>
                  <pic:spPr bwMode="auto">
                    <a:xfrm>
                      <a:off x="0" y="0"/>
                      <a:ext cx="4346575" cy="160464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7" w:lineRule="exact"/>
        <w:rPr>
          <w:sz w:val="20"/>
          <w:szCs w:val="20"/>
        </w:rPr>
      </w:pPr>
    </w:p>
    <w:p w:rsidR="00D24E61" w:rsidRPr="00771368" w:rsidRDefault="00D24E61">
      <w:pPr>
        <w:rPr>
          <w:sz w:val="20"/>
          <w:szCs w:val="20"/>
        </w:rPr>
      </w:pPr>
      <w:r w:rsidRPr="00771368">
        <w:rPr>
          <w:rFonts w:eastAsia="Helvetica"/>
          <w:sz w:val="20"/>
          <w:szCs w:val="20"/>
        </w:rPr>
        <w:t xml:space="preserve">Fontes: </w:t>
      </w:r>
      <w:r w:rsidRPr="00771368">
        <w:rPr>
          <w:rFonts w:eastAsia="Helvetica"/>
          <w:color w:val="0000FF"/>
          <w:sz w:val="20"/>
          <w:szCs w:val="20"/>
          <w:u w:val="single"/>
        </w:rPr>
        <w:t>http://www.dailymotion.com/video/xtsqud_aline-de-barros-zorra-total-01-09-2012-strip-</w:t>
      </w:r>
    </w:p>
    <w:p w:rsidR="00D24E61" w:rsidRPr="00771368" w:rsidRDefault="00D24E61">
      <w:pPr>
        <w:spacing w:line="111" w:lineRule="exact"/>
        <w:rPr>
          <w:sz w:val="20"/>
          <w:szCs w:val="20"/>
        </w:rPr>
      </w:pPr>
    </w:p>
    <w:p w:rsidR="00D24E61" w:rsidRPr="00771368" w:rsidRDefault="00D24E61">
      <w:pPr>
        <w:rPr>
          <w:sz w:val="20"/>
          <w:szCs w:val="20"/>
        </w:rPr>
      </w:pPr>
      <w:r w:rsidRPr="00771368">
        <w:rPr>
          <w:rFonts w:eastAsia="Helvetica"/>
          <w:color w:val="0000FF"/>
          <w:sz w:val="20"/>
          <w:szCs w:val="20"/>
          <w:u w:val="single"/>
        </w:rPr>
        <w:t>trem-quiz_fun</w:t>
      </w:r>
      <w:r w:rsidRPr="00771368">
        <w:rPr>
          <w:rFonts w:eastAsia="Helvetica"/>
          <w:color w:val="0000FF"/>
          <w:sz w:val="20"/>
          <w:szCs w:val="20"/>
        </w:rPr>
        <w:t xml:space="preserve"> </w:t>
      </w:r>
      <w:r w:rsidRPr="00771368">
        <w:rPr>
          <w:rFonts w:eastAsia="Helvetica"/>
          <w:color w:val="000000"/>
          <w:sz w:val="20"/>
          <w:szCs w:val="20"/>
        </w:rPr>
        <w:t>e</w:t>
      </w:r>
      <w:r w:rsidRPr="00771368">
        <w:rPr>
          <w:rFonts w:eastAsia="Helvetica"/>
          <w:color w:val="0000FF"/>
          <w:sz w:val="20"/>
          <w:szCs w:val="20"/>
        </w:rPr>
        <w:t xml:space="preserve"> </w:t>
      </w:r>
      <w:r w:rsidRPr="00771368">
        <w:rPr>
          <w:rFonts w:eastAsia="Helvetica"/>
          <w:color w:val="0000FF"/>
          <w:sz w:val="20"/>
          <w:szCs w:val="20"/>
          <w:u w:val="single"/>
        </w:rPr>
        <w:t>http://www.youtube.com/watch?v=-lWuPG_ZTrI</w:t>
      </w:r>
      <w:r w:rsidRPr="00771368">
        <w:rPr>
          <w:rFonts w:eastAsia="Helvetica"/>
          <w:color w:val="000000"/>
          <w:sz w:val="20"/>
          <w:szCs w:val="20"/>
        </w:rPr>
        <w:t>.</w:t>
      </w:r>
    </w:p>
    <w:p w:rsidR="00D24E61" w:rsidRPr="00771368" w:rsidRDefault="00D24E61">
      <w:pPr>
        <w:spacing w:line="200" w:lineRule="exact"/>
        <w:rPr>
          <w:sz w:val="20"/>
          <w:szCs w:val="20"/>
        </w:rPr>
      </w:pPr>
    </w:p>
    <w:p w:rsidR="00D24E61" w:rsidRPr="00771368" w:rsidRDefault="00D24E61">
      <w:pPr>
        <w:spacing w:line="261" w:lineRule="exact"/>
        <w:rPr>
          <w:sz w:val="20"/>
          <w:szCs w:val="20"/>
        </w:rPr>
      </w:pPr>
    </w:p>
    <w:p w:rsidR="00D24E61" w:rsidRPr="00771368" w:rsidRDefault="00D24E61">
      <w:pPr>
        <w:spacing w:line="351" w:lineRule="auto"/>
        <w:jc w:val="both"/>
        <w:rPr>
          <w:sz w:val="20"/>
          <w:szCs w:val="20"/>
        </w:rPr>
      </w:pPr>
      <w:r w:rsidRPr="00771368">
        <w:rPr>
          <w:rFonts w:eastAsia="Helvetica"/>
          <w:sz w:val="24"/>
          <w:szCs w:val="24"/>
        </w:rPr>
        <w:t>Garcia (2007) afirma que existe uma discrepância en tre a mulher que é veiculada na mídia e a mulher real, sendo a primeira, na maioria das vezes, retratada superficialmente ou em posição inferior ao homem. Os mecanismos publicitários constituem um importante disseminador de pensamentos preconceituosos em relação à figura feminina. “Quando a mídia insiste na idéia (</w:t>
      </w:r>
      <w:r w:rsidRPr="00771368">
        <w:rPr>
          <w:rFonts w:eastAsia="Helvetica"/>
          <w:i/>
          <w:iCs/>
          <w:sz w:val="24"/>
          <w:szCs w:val="24"/>
        </w:rPr>
        <w:t>sic</w:t>
      </w:r>
      <w:r w:rsidRPr="00771368">
        <w:rPr>
          <w:rFonts w:eastAsia="Helvetica"/>
          <w:sz w:val="24"/>
          <w:szCs w:val="24"/>
        </w:rPr>
        <w:t xml:space="preserve">) de que uma mulher feliz é uma mulher </w:t>
      </w:r>
      <w:r w:rsidRPr="00771368">
        <w:rPr>
          <w:rFonts w:eastAsia="Helvetica"/>
          <w:i/>
          <w:iCs/>
          <w:sz w:val="24"/>
          <w:szCs w:val="24"/>
        </w:rPr>
        <w:t>boa</w:t>
      </w:r>
      <w:r w:rsidRPr="00771368">
        <w:rPr>
          <w:rFonts w:eastAsia="Helvetica"/>
          <w:sz w:val="24"/>
          <w:szCs w:val="24"/>
        </w:rPr>
        <w:t xml:space="preserve"> (grifo do autor), no sentido de estar exibindo um corpo bem feito e sexualmente atraente, enfatiza um mecanismo de inferiorização e descapacitação da mulher” (p. 19).</w:t>
      </w:r>
    </w:p>
    <w:p w:rsidR="00D24E61" w:rsidRPr="00771368" w:rsidRDefault="00D24E61">
      <w:pPr>
        <w:spacing w:line="213" w:lineRule="exact"/>
        <w:rPr>
          <w:sz w:val="20"/>
          <w:szCs w:val="20"/>
        </w:rPr>
      </w:pPr>
    </w:p>
    <w:p w:rsidR="00D24E61" w:rsidRPr="00771368" w:rsidRDefault="00D24E61">
      <w:pPr>
        <w:spacing w:line="351" w:lineRule="auto"/>
        <w:jc w:val="both"/>
        <w:rPr>
          <w:sz w:val="20"/>
          <w:szCs w:val="20"/>
        </w:rPr>
      </w:pPr>
      <w:r w:rsidRPr="00771368">
        <w:rPr>
          <w:rFonts w:eastAsia="Helvetica"/>
          <w:sz w:val="24"/>
          <w:szCs w:val="24"/>
        </w:rPr>
        <w:t xml:space="preserve">A sensualidade se apresenta no quadro em todas as mulheres, não se restringindo a </w:t>
      </w:r>
      <w:r w:rsidRPr="00771368">
        <w:rPr>
          <w:rFonts w:eastAsia="Helvetica"/>
          <w:i/>
          <w:iCs/>
          <w:sz w:val="24"/>
          <w:szCs w:val="24"/>
        </w:rPr>
        <w:t>strip girl</w:t>
      </w:r>
      <w:r w:rsidRPr="00771368">
        <w:rPr>
          <w:rFonts w:eastAsia="Helvetica"/>
          <w:sz w:val="24"/>
          <w:szCs w:val="24"/>
        </w:rPr>
        <w:t xml:space="preserve"> da semana. As dançarinas responsáveis pelas interseções musicais no programa também exploram a sexualidade com coreografias que ressaltam seus atributos corporais. As funções das dançarinas ficam bem delimitadas ao longo do programa, já que, no início e no encerramento as seis dançarinas se apresentam realizando coreografias sensuais e durante a exibição, elas ocupam a posição de assistentes de palco.</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79744" behindDoc="1" locked="0" layoutInCell="0" allowOverlap="1">
            <wp:simplePos x="0" y="0"/>
            <wp:positionH relativeFrom="column">
              <wp:posOffset>20955</wp:posOffset>
            </wp:positionH>
            <wp:positionV relativeFrom="paragraph">
              <wp:posOffset>133350</wp:posOffset>
            </wp:positionV>
            <wp:extent cx="4677410" cy="1725295"/>
            <wp:effectExtent l="0" t="0" r="0" b="0"/>
            <wp:wrapNone/>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1" cstate="print">
                      <a:extLst/>
                    </a:blip>
                    <a:srcRect/>
                    <a:stretch>
                      <a:fillRect/>
                    </a:stretch>
                  </pic:blipFill>
                  <pic:spPr bwMode="auto">
                    <a:xfrm>
                      <a:off x="0" y="0"/>
                      <a:ext cx="4677410" cy="172529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5" w:lineRule="exact"/>
        <w:rPr>
          <w:sz w:val="20"/>
          <w:szCs w:val="20"/>
        </w:rPr>
      </w:pPr>
    </w:p>
    <w:p w:rsidR="00D24E61" w:rsidRPr="00771368" w:rsidRDefault="00D24E61">
      <w:pPr>
        <w:spacing w:line="239" w:lineRule="auto"/>
        <w:rPr>
          <w:sz w:val="20"/>
          <w:szCs w:val="20"/>
        </w:rPr>
      </w:pPr>
      <w:r w:rsidRPr="00771368">
        <w:rPr>
          <w:rFonts w:eastAsia="Helvetica"/>
          <w:sz w:val="20"/>
          <w:szCs w:val="20"/>
        </w:rPr>
        <w:t>Fonte:</w:t>
      </w:r>
      <w:r w:rsidRPr="00771368">
        <w:rPr>
          <w:rFonts w:eastAsia="Helvetica"/>
          <w:color w:val="0000FF"/>
          <w:sz w:val="20"/>
          <w:szCs w:val="20"/>
          <w:u w:val="single"/>
        </w:rPr>
        <w:t>http://globotv.globo.com/rede-globo/zorra-total/t/personagens/v/sera-que-severino-vai-</w:t>
      </w:r>
    </w:p>
    <w:p w:rsidR="00D24E61" w:rsidRPr="00771368" w:rsidRDefault="00D24E61">
      <w:pPr>
        <w:spacing w:line="109" w:lineRule="exact"/>
        <w:rPr>
          <w:sz w:val="20"/>
          <w:szCs w:val="20"/>
        </w:rPr>
      </w:pPr>
    </w:p>
    <w:p w:rsidR="00D24E61" w:rsidRPr="00771368" w:rsidRDefault="00D24E61">
      <w:pPr>
        <w:spacing w:line="239" w:lineRule="auto"/>
        <w:rPr>
          <w:sz w:val="20"/>
          <w:szCs w:val="20"/>
        </w:rPr>
      </w:pPr>
      <w:r w:rsidRPr="00771368">
        <w:rPr>
          <w:rFonts w:eastAsia="Helvetica"/>
          <w:color w:val="0000FF"/>
          <w:sz w:val="20"/>
          <w:szCs w:val="20"/>
          <w:u w:val="single"/>
        </w:rPr>
        <w:t>responder-direitinho-as-perguntas/2224248/</w:t>
      </w:r>
      <w:r w:rsidRPr="00771368">
        <w:rPr>
          <w:rFonts w:eastAsia="Helvetica"/>
          <w:color w:val="000000"/>
          <w:sz w:val="20"/>
          <w:szCs w:val="20"/>
        </w:rPr>
        <w:t>.</w:t>
      </w:r>
    </w:p>
    <w:p w:rsidR="00D24E61" w:rsidRPr="00771368" w:rsidRDefault="00D24E61">
      <w:pPr>
        <w:sectPr w:rsidR="00D24E61" w:rsidRPr="00771368">
          <w:pgSz w:w="11900" w:h="16840"/>
          <w:pgMar w:top="1440" w:right="1380" w:bottom="1440" w:left="1700" w:header="0" w:footer="0" w:gutter="0"/>
          <w:cols w:space="720" w:equalWidth="0">
            <w:col w:w="8820"/>
          </w:cols>
        </w:sectPr>
      </w:pPr>
    </w:p>
    <w:p w:rsidR="00D24E61" w:rsidRPr="00771368" w:rsidRDefault="00D24E61">
      <w:pPr>
        <w:spacing w:line="351" w:lineRule="auto"/>
        <w:ind w:right="40"/>
        <w:jc w:val="both"/>
        <w:rPr>
          <w:sz w:val="20"/>
          <w:szCs w:val="20"/>
        </w:rPr>
      </w:pPr>
      <w:r w:rsidRPr="00771368">
        <w:rPr>
          <w:rFonts w:eastAsia="Helvetica"/>
          <w:sz w:val="24"/>
          <w:szCs w:val="24"/>
        </w:rPr>
        <w:t>Conforme Orestes (2007), as mídias, nos mais variados formatos, potencializam as mensagens visuais, sinalizando para a fascinação, a fim de “justificar a venda e induzir o consumo” (p. 240). A mulher passa a ser, sob esse ponto de vista, um mero objeto de desejo sexual masculino, tendo a função de, no homem, instigar a imaginação e vontades sexuais; e na mulher, fazer com que ela busque uma aparência semelhante àquela apresentada na televisã o.</w:t>
      </w:r>
    </w:p>
    <w:p w:rsidR="00D24E61" w:rsidRPr="00771368" w:rsidRDefault="00D24E61">
      <w:pPr>
        <w:spacing w:line="210" w:lineRule="exact"/>
        <w:rPr>
          <w:sz w:val="20"/>
          <w:szCs w:val="20"/>
        </w:rPr>
      </w:pPr>
    </w:p>
    <w:p w:rsidR="00D24E61" w:rsidRPr="00771368" w:rsidRDefault="00D24E61">
      <w:pPr>
        <w:spacing w:line="351" w:lineRule="auto"/>
        <w:ind w:right="20"/>
        <w:jc w:val="both"/>
        <w:rPr>
          <w:sz w:val="20"/>
          <w:szCs w:val="20"/>
        </w:rPr>
      </w:pPr>
      <w:r w:rsidRPr="00771368">
        <w:rPr>
          <w:rFonts w:eastAsia="Helvetica"/>
          <w:sz w:val="24"/>
          <w:szCs w:val="24"/>
        </w:rPr>
        <w:t>A mulher ocupou integralmente a função de saciar os desejos masculinos, perdendo até o direito de se pronunciar. A mulher deixou de se expressar, mesmo que superficialmente, para se tornar literalmente um objeto sexual. Os comportamentos apresentados pelas mulheres em cena reforçam a ideologia masculina de que a mulher serve apenas para satisfazer sexualmente ao homem.</w:t>
      </w:r>
    </w:p>
    <w:p w:rsidR="00D24E61" w:rsidRPr="00771368" w:rsidRDefault="00D24E61">
      <w:pPr>
        <w:spacing w:line="6" w:lineRule="exact"/>
        <w:rPr>
          <w:sz w:val="20"/>
          <w:szCs w:val="20"/>
        </w:rPr>
      </w:pPr>
    </w:p>
    <w:p w:rsidR="00D24E61" w:rsidRPr="00771368" w:rsidRDefault="00D24E61">
      <w:pPr>
        <w:spacing w:line="347" w:lineRule="auto"/>
        <w:ind w:right="40"/>
        <w:jc w:val="both"/>
        <w:rPr>
          <w:sz w:val="20"/>
          <w:szCs w:val="20"/>
        </w:rPr>
      </w:pPr>
      <w:r w:rsidRPr="00771368">
        <w:rPr>
          <w:rFonts w:eastAsia="Helvetica"/>
          <w:sz w:val="24"/>
          <w:szCs w:val="24"/>
        </w:rPr>
        <w:t xml:space="preserve">Os únicos momentos no quadro em que se pode ouvir a voz feminina são nas músicas cantadas por elas durante o programa, ou se ja, no início, na apresentação da </w:t>
      </w:r>
      <w:r w:rsidRPr="00771368">
        <w:rPr>
          <w:rFonts w:eastAsia="Helvetica"/>
          <w:i/>
          <w:iCs/>
          <w:sz w:val="24"/>
          <w:szCs w:val="24"/>
        </w:rPr>
        <w:t>strip girl</w:t>
      </w:r>
      <w:r w:rsidRPr="00771368">
        <w:rPr>
          <w:rFonts w:eastAsia="Helvetica"/>
          <w:sz w:val="24"/>
          <w:szCs w:val="24"/>
        </w:rPr>
        <w:t xml:space="preserve"> e no encerramento.</w:t>
      </w:r>
    </w:p>
    <w:p w:rsidR="00D24E61" w:rsidRPr="00771368" w:rsidRDefault="00D24E61">
      <w:pPr>
        <w:spacing w:line="219" w:lineRule="exact"/>
        <w:rPr>
          <w:sz w:val="20"/>
          <w:szCs w:val="20"/>
        </w:rPr>
      </w:pPr>
    </w:p>
    <w:p w:rsidR="00D24E61" w:rsidRPr="00771368" w:rsidRDefault="00D24E61">
      <w:pPr>
        <w:spacing w:line="350" w:lineRule="auto"/>
        <w:ind w:right="20"/>
        <w:jc w:val="both"/>
        <w:rPr>
          <w:sz w:val="20"/>
          <w:szCs w:val="20"/>
        </w:rPr>
      </w:pPr>
      <w:r w:rsidRPr="00771368">
        <w:rPr>
          <w:rFonts w:eastAsia="Helvetica"/>
          <w:sz w:val="24"/>
          <w:szCs w:val="24"/>
        </w:rPr>
        <w:t>Frases como: “essa eu dou casa, comida e roupa lavada, além de todo dia cara, crachá, cara, crachá.” e “a embalagem é uma beleza” – ambas ditas pelo personagem “Severino” – ratificam os discursos patriarcais que afirmam: 1) a mulher necessita ter um homem que lhe dê conforto, estabilidade e vida sexual ativa; 2) a mulher não passa de um produto, pronto para ser “consumido” pelo homem.</w:t>
      </w:r>
    </w:p>
    <w:p w:rsidR="00D24E61" w:rsidRPr="00771368" w:rsidRDefault="00D24E61">
      <w:pPr>
        <w:spacing w:line="215" w:lineRule="exact"/>
        <w:rPr>
          <w:sz w:val="20"/>
          <w:szCs w:val="20"/>
        </w:rPr>
      </w:pPr>
    </w:p>
    <w:p w:rsidR="00D24E61" w:rsidRPr="00771368" w:rsidRDefault="00D24E61">
      <w:pPr>
        <w:spacing w:line="351" w:lineRule="auto"/>
        <w:jc w:val="both"/>
        <w:rPr>
          <w:sz w:val="20"/>
          <w:szCs w:val="20"/>
        </w:rPr>
      </w:pPr>
      <w:r w:rsidRPr="00771368">
        <w:rPr>
          <w:rFonts w:eastAsia="Helvetica"/>
          <w:sz w:val="24"/>
          <w:szCs w:val="24"/>
        </w:rPr>
        <w:t>Os discursos construídos pelo quadro ressaltam partes do corpo feminino que indicam o potencial para o sexo. Este enquadramento reforça vários estereótipos relacionados à mulher, além de contribuir sobremaneira com a manutenção das relações de poder entre ambos os sexos. De acordo com Foucault (2002), o corpo também está diretamente mergulhado num campo políti co. Para ele, as relações de poder têm alcance imediato sobre o corpo, pois “ o investem, o marcam, o dirigem, o supliciam, sujeitam-no a trabalhos, obrigam-no a cerimônias, exigem-lhe sinais” (p. 25).</w:t>
      </w:r>
    </w:p>
    <w:p w:rsidR="00D24E61" w:rsidRPr="00771368" w:rsidRDefault="00D24E61">
      <w:pPr>
        <w:spacing w:line="209" w:lineRule="exact"/>
        <w:rPr>
          <w:sz w:val="20"/>
          <w:szCs w:val="20"/>
        </w:rPr>
      </w:pPr>
    </w:p>
    <w:p w:rsidR="00D24E61" w:rsidRPr="00771368" w:rsidRDefault="00D24E61">
      <w:pPr>
        <w:spacing w:line="350" w:lineRule="auto"/>
        <w:ind w:right="40"/>
        <w:jc w:val="both"/>
        <w:rPr>
          <w:sz w:val="20"/>
          <w:szCs w:val="20"/>
        </w:rPr>
      </w:pPr>
      <w:r w:rsidRPr="00771368">
        <w:rPr>
          <w:rFonts w:eastAsia="Helvetica"/>
          <w:sz w:val="24"/>
          <w:szCs w:val="24"/>
        </w:rPr>
        <w:t xml:space="preserve">Além das </w:t>
      </w:r>
      <w:r w:rsidRPr="00771368">
        <w:rPr>
          <w:rFonts w:eastAsia="Helvetica"/>
          <w:i/>
          <w:iCs/>
          <w:sz w:val="24"/>
          <w:szCs w:val="24"/>
        </w:rPr>
        <w:t>lingeries</w:t>
      </w:r>
      <w:r w:rsidRPr="00771368">
        <w:rPr>
          <w:rFonts w:eastAsia="Helvetica"/>
          <w:sz w:val="24"/>
          <w:szCs w:val="24"/>
        </w:rPr>
        <w:t xml:space="preserve"> utilizadas, todas as mulheres do programa utilizam maquiagens fortes, sapatos altos e acessórios nos cabelos e orelhas. As </w:t>
      </w:r>
      <w:r w:rsidRPr="00771368">
        <w:rPr>
          <w:rFonts w:eastAsia="Helvetica"/>
          <w:i/>
          <w:iCs/>
          <w:sz w:val="24"/>
          <w:szCs w:val="24"/>
        </w:rPr>
        <w:t>strippers</w:t>
      </w:r>
      <w:r w:rsidRPr="00771368">
        <w:rPr>
          <w:rFonts w:eastAsia="Helvetica"/>
          <w:sz w:val="24"/>
          <w:szCs w:val="24"/>
        </w:rPr>
        <w:t xml:space="preserve"> frequentemente possuem cabelos soltos, para alimentar a manutenção do fetiche.</w:t>
      </w:r>
    </w:p>
    <w:p w:rsidR="00D24E61" w:rsidRPr="00771368" w:rsidRDefault="00D24E61">
      <w:pPr>
        <w:sectPr w:rsidR="00D24E61" w:rsidRPr="00771368">
          <w:pgSz w:w="11900" w:h="16840"/>
          <w:pgMar w:top="1416" w:right="1360" w:bottom="1440" w:left="1700" w:header="0" w:footer="0" w:gutter="0"/>
          <w:cols w:space="720" w:equalWidth="0">
            <w:col w:w="8840"/>
          </w:cols>
        </w:sectPr>
      </w:pPr>
    </w:p>
    <w:p w:rsidR="00D24E61" w:rsidRPr="00771368" w:rsidRDefault="00D24E61">
      <w:pPr>
        <w:spacing w:line="351" w:lineRule="auto"/>
        <w:jc w:val="both"/>
        <w:rPr>
          <w:sz w:val="20"/>
          <w:szCs w:val="20"/>
        </w:rPr>
      </w:pPr>
      <w:r w:rsidRPr="00771368">
        <w:rPr>
          <w:rFonts w:eastAsia="Helvetica"/>
          <w:sz w:val="24"/>
          <w:szCs w:val="24"/>
        </w:rPr>
        <w:t xml:space="preserve">O cenário – baseado nas casas de </w:t>
      </w:r>
      <w:r w:rsidRPr="00771368">
        <w:rPr>
          <w:rFonts w:eastAsia="Helvetica"/>
          <w:i/>
          <w:iCs/>
          <w:sz w:val="24"/>
          <w:szCs w:val="24"/>
        </w:rPr>
        <w:t>strip tease</w:t>
      </w:r>
      <w:r w:rsidRPr="00771368">
        <w:rPr>
          <w:rFonts w:eastAsia="Helvetica"/>
          <w:sz w:val="24"/>
          <w:szCs w:val="24"/>
        </w:rPr>
        <w:t xml:space="preserve"> – é simples, conta apenas com uma cortina brilhosa ao fundo e poltronas/cadeiras para que as </w:t>
      </w:r>
      <w:r w:rsidRPr="00771368">
        <w:rPr>
          <w:rFonts w:eastAsia="Helvetica"/>
          <w:i/>
          <w:iCs/>
          <w:sz w:val="24"/>
          <w:szCs w:val="24"/>
        </w:rPr>
        <w:t>strip girls</w:t>
      </w:r>
      <w:r w:rsidRPr="00771368">
        <w:rPr>
          <w:rFonts w:eastAsia="Helvetica"/>
          <w:sz w:val="24"/>
          <w:szCs w:val="24"/>
        </w:rPr>
        <w:t xml:space="preserve"> se apoiassem. Em relação aos sons, além das músicas já citadas anteriormente, efeitos sonoros de risos, aplausos, que indicam as perguntas e as respostas, certas ou erradas. Uma música de fundo sensual aind a colabora com a exaltação sexual no momento em que as mulheres retiram as roupas.</w:t>
      </w:r>
    </w:p>
    <w:p w:rsidR="00D24E61" w:rsidRPr="00771368" w:rsidRDefault="00D24E61">
      <w:pPr>
        <w:spacing w:line="210" w:lineRule="exact"/>
        <w:rPr>
          <w:sz w:val="20"/>
          <w:szCs w:val="20"/>
        </w:rPr>
      </w:pPr>
    </w:p>
    <w:p w:rsidR="00D24E61" w:rsidRPr="00771368" w:rsidRDefault="00D24E61">
      <w:pPr>
        <w:spacing w:line="351" w:lineRule="auto"/>
        <w:ind w:right="20"/>
        <w:jc w:val="both"/>
        <w:rPr>
          <w:sz w:val="20"/>
          <w:szCs w:val="20"/>
        </w:rPr>
      </w:pPr>
      <w:r w:rsidRPr="00771368">
        <w:rPr>
          <w:rFonts w:eastAsia="Helvetica"/>
          <w:sz w:val="24"/>
          <w:szCs w:val="24"/>
        </w:rPr>
        <w:t xml:space="preserve">No final do quadro, ao se revoltar por não ter vist o a </w:t>
      </w:r>
      <w:r w:rsidRPr="00771368">
        <w:rPr>
          <w:rFonts w:eastAsia="Helvetica"/>
          <w:i/>
          <w:iCs/>
          <w:sz w:val="24"/>
          <w:szCs w:val="24"/>
        </w:rPr>
        <w:t>stripper</w:t>
      </w:r>
      <w:r w:rsidRPr="00771368">
        <w:rPr>
          <w:rFonts w:eastAsia="Helvetica"/>
          <w:sz w:val="24"/>
          <w:szCs w:val="24"/>
        </w:rPr>
        <w:t xml:space="preserve"> nua, o porteiro acusa o apresentador de ser homossexual, já que, sublimin armente, entende-se que qualquer homem heterossexual faça de tudo para ver uma mulher sem roupas. A frase “isso é uma bichona!” encerra o quadro, sendo a última construção discursiva estereotipada do programa, já que este t ambém é encerrado.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6" w:lineRule="exact"/>
        <w:rPr>
          <w:sz w:val="20"/>
          <w:szCs w:val="20"/>
        </w:rPr>
      </w:pPr>
    </w:p>
    <w:p w:rsidR="00D24E61" w:rsidRPr="00771368" w:rsidRDefault="00D24E61">
      <w:pPr>
        <w:rPr>
          <w:sz w:val="20"/>
          <w:szCs w:val="20"/>
        </w:rPr>
      </w:pPr>
      <w:r w:rsidRPr="00771368">
        <w:rPr>
          <w:rFonts w:eastAsia="Helvetica"/>
          <w:b/>
          <w:bCs/>
          <w:sz w:val="24"/>
          <w:szCs w:val="24"/>
        </w:rPr>
        <w:t>CONCLUSÕES</w:t>
      </w:r>
    </w:p>
    <w:p w:rsidR="00D24E61" w:rsidRPr="00771368" w:rsidRDefault="00D24E61">
      <w:pPr>
        <w:spacing w:line="200" w:lineRule="exact"/>
        <w:rPr>
          <w:sz w:val="20"/>
          <w:szCs w:val="20"/>
        </w:rPr>
      </w:pPr>
    </w:p>
    <w:p w:rsidR="00D24E61" w:rsidRPr="00771368" w:rsidRDefault="00D24E61">
      <w:pPr>
        <w:spacing w:line="349" w:lineRule="exact"/>
        <w:rPr>
          <w:sz w:val="20"/>
          <w:szCs w:val="20"/>
        </w:rPr>
      </w:pPr>
    </w:p>
    <w:p w:rsidR="00D24E61" w:rsidRPr="00771368" w:rsidRDefault="00D24E61">
      <w:pPr>
        <w:spacing w:line="351" w:lineRule="auto"/>
        <w:jc w:val="both"/>
        <w:rPr>
          <w:sz w:val="20"/>
          <w:szCs w:val="20"/>
        </w:rPr>
      </w:pPr>
      <w:r w:rsidRPr="00771368">
        <w:rPr>
          <w:rFonts w:eastAsia="Helvetica"/>
          <w:sz w:val="24"/>
          <w:szCs w:val="24"/>
        </w:rPr>
        <w:t>No quadro “</w:t>
      </w:r>
      <w:r w:rsidRPr="00771368">
        <w:rPr>
          <w:rFonts w:eastAsia="Helvetica"/>
          <w:i/>
          <w:iCs/>
          <w:sz w:val="24"/>
          <w:szCs w:val="24"/>
        </w:rPr>
        <w:t>Strip</w:t>
      </w:r>
      <w:r w:rsidRPr="00771368">
        <w:rPr>
          <w:rFonts w:eastAsia="Helvetica"/>
          <w:sz w:val="24"/>
          <w:szCs w:val="24"/>
        </w:rPr>
        <w:t xml:space="preserve"> Trem </w:t>
      </w:r>
      <w:r w:rsidRPr="00771368">
        <w:rPr>
          <w:rFonts w:eastAsia="Helvetica"/>
          <w:i/>
          <w:iCs/>
          <w:sz w:val="24"/>
          <w:szCs w:val="24"/>
        </w:rPr>
        <w:t>Quiz</w:t>
      </w:r>
      <w:r w:rsidRPr="00771368">
        <w:rPr>
          <w:rFonts w:eastAsia="Helvetica"/>
          <w:sz w:val="24"/>
          <w:szCs w:val="24"/>
        </w:rPr>
        <w:t xml:space="preserve">”, do programa </w:t>
      </w:r>
      <w:r w:rsidRPr="00771368">
        <w:rPr>
          <w:rFonts w:eastAsia="Helvetica"/>
          <w:i/>
          <w:iCs/>
          <w:sz w:val="24"/>
          <w:szCs w:val="24"/>
        </w:rPr>
        <w:t>Zorra Total</w:t>
      </w:r>
      <w:r w:rsidRPr="00771368">
        <w:rPr>
          <w:rFonts w:eastAsia="Helvetica"/>
          <w:sz w:val="24"/>
          <w:szCs w:val="24"/>
        </w:rPr>
        <w:t>, é perceptível a frequente exploração da sexualidade feminina, já que está bas eado em cenas com mulheres que se enquadram no padrão estético de beleza, incitando a exaltação sexual do homem. A mulher passa a ser, sob esse ponto de vista, um mero objeto de desejo sexual masculino.</w:t>
      </w:r>
    </w:p>
    <w:p w:rsidR="00D24E61" w:rsidRPr="00771368" w:rsidRDefault="00D24E61">
      <w:pPr>
        <w:spacing w:line="210" w:lineRule="exact"/>
        <w:rPr>
          <w:sz w:val="20"/>
          <w:szCs w:val="20"/>
        </w:rPr>
      </w:pPr>
    </w:p>
    <w:p w:rsidR="00D24E61" w:rsidRPr="00771368" w:rsidRDefault="00D24E61">
      <w:pPr>
        <w:spacing w:line="351" w:lineRule="auto"/>
        <w:jc w:val="both"/>
        <w:rPr>
          <w:sz w:val="20"/>
          <w:szCs w:val="20"/>
        </w:rPr>
      </w:pPr>
      <w:r w:rsidRPr="00771368">
        <w:rPr>
          <w:rFonts w:eastAsia="Helvetica"/>
          <w:sz w:val="24"/>
          <w:szCs w:val="24"/>
        </w:rPr>
        <w:t>Através de lutas pela igualdade de gênero, as mulhe res estão cada dia mais buscando espaços respeitáveis socialmente, conquistando, gradativamente, direitos e deveres iguais aos dos homens. No entanto, apesar das grandes conquistas, ao relacionar homens e mulheres, a figura feminina ainda é tida – por muitos – como inferior.</w:t>
      </w:r>
    </w:p>
    <w:p w:rsidR="00D24E61" w:rsidRPr="00771368" w:rsidRDefault="00D24E61">
      <w:pPr>
        <w:spacing w:line="205" w:lineRule="exact"/>
        <w:rPr>
          <w:sz w:val="20"/>
          <w:szCs w:val="20"/>
        </w:rPr>
      </w:pPr>
    </w:p>
    <w:p w:rsidR="00D24E61" w:rsidRPr="00771368" w:rsidRDefault="00D24E61">
      <w:pPr>
        <w:spacing w:line="350" w:lineRule="auto"/>
        <w:ind w:right="20"/>
        <w:jc w:val="both"/>
        <w:rPr>
          <w:sz w:val="20"/>
          <w:szCs w:val="20"/>
        </w:rPr>
      </w:pPr>
      <w:r w:rsidRPr="00771368">
        <w:rPr>
          <w:rFonts w:eastAsia="Helvetica"/>
          <w:sz w:val="24"/>
          <w:szCs w:val="24"/>
        </w:rPr>
        <w:t xml:space="preserve">O programa humorístico </w:t>
      </w:r>
      <w:r w:rsidRPr="00771368">
        <w:rPr>
          <w:rFonts w:eastAsia="Helvetica"/>
          <w:i/>
          <w:iCs/>
          <w:sz w:val="24"/>
          <w:szCs w:val="24"/>
        </w:rPr>
        <w:t>Zorra Total</w:t>
      </w:r>
      <w:r w:rsidRPr="00771368">
        <w:rPr>
          <w:rFonts w:eastAsia="Helvetica"/>
          <w:sz w:val="24"/>
          <w:szCs w:val="24"/>
        </w:rPr>
        <w:t xml:space="preserve"> não se mostra diferente. Utiliza a sexualidade feminina de maneira exacerbada. Foi possível observar, através desta análise, que a mulher ainda é apresentada de modo estereotipado nos produtos humorísticos televisivos.</w:t>
      </w:r>
    </w:p>
    <w:p w:rsidR="00D24E61" w:rsidRPr="00771368" w:rsidRDefault="00D24E61">
      <w:pPr>
        <w:spacing w:line="212" w:lineRule="exact"/>
        <w:rPr>
          <w:sz w:val="20"/>
          <w:szCs w:val="20"/>
        </w:rPr>
      </w:pPr>
    </w:p>
    <w:p w:rsidR="00D24E61" w:rsidRPr="00771368" w:rsidRDefault="00D24E61">
      <w:pPr>
        <w:spacing w:line="346" w:lineRule="auto"/>
        <w:ind w:right="20"/>
        <w:jc w:val="both"/>
        <w:rPr>
          <w:sz w:val="20"/>
          <w:szCs w:val="20"/>
        </w:rPr>
      </w:pPr>
      <w:r w:rsidRPr="00771368">
        <w:rPr>
          <w:rFonts w:eastAsia="Helvetica"/>
          <w:sz w:val="24"/>
          <w:szCs w:val="24"/>
        </w:rPr>
        <w:t>Tanto as representações quanto os discursos produzidos pelo quadro implicitamente provam a manutenção da mentalidade patriarcal, já que a mulher</w:t>
      </w:r>
    </w:p>
    <w:p w:rsidR="00D24E61" w:rsidRPr="00771368" w:rsidRDefault="00D24E61">
      <w:pPr>
        <w:sectPr w:rsidR="00D24E61" w:rsidRPr="00771368">
          <w:pgSz w:w="11900" w:h="16840"/>
          <w:pgMar w:top="1414" w:right="1380" w:bottom="1440" w:left="1700" w:header="0" w:footer="0" w:gutter="0"/>
          <w:cols w:space="720" w:equalWidth="0">
            <w:col w:w="8820"/>
          </w:cols>
        </w:sectPr>
      </w:pPr>
    </w:p>
    <w:p w:rsidR="00D24E61" w:rsidRPr="00771368" w:rsidRDefault="00D24E61">
      <w:pPr>
        <w:spacing w:line="351" w:lineRule="auto"/>
        <w:ind w:right="40"/>
        <w:jc w:val="both"/>
        <w:rPr>
          <w:sz w:val="20"/>
          <w:szCs w:val="20"/>
        </w:rPr>
      </w:pPr>
      <w:r w:rsidRPr="00771368">
        <w:rPr>
          <w:rFonts w:eastAsia="Helvetica"/>
          <w:sz w:val="24"/>
          <w:szCs w:val="24"/>
        </w:rPr>
        <w:t>ocupa posições ideologicamente inferiores aos homens. A falta de inteligência, a superficialidade, a submissão, a dependência, a ino cência e a sensualidade podem ser consideradas características fundamentais nas representações femininas trabalhadas, sendo o homem mostrado com aspectos opositores a estes.</w:t>
      </w:r>
    </w:p>
    <w:p w:rsidR="00D24E61" w:rsidRPr="00771368" w:rsidRDefault="00D24E61">
      <w:pPr>
        <w:spacing w:line="208" w:lineRule="exact"/>
        <w:rPr>
          <w:sz w:val="20"/>
          <w:szCs w:val="20"/>
        </w:rPr>
      </w:pPr>
    </w:p>
    <w:p w:rsidR="00D24E61" w:rsidRPr="00771368" w:rsidRDefault="00D24E61">
      <w:pPr>
        <w:spacing w:line="351" w:lineRule="auto"/>
        <w:ind w:right="40"/>
        <w:jc w:val="both"/>
        <w:rPr>
          <w:sz w:val="20"/>
          <w:szCs w:val="20"/>
        </w:rPr>
      </w:pPr>
      <w:r w:rsidRPr="00771368">
        <w:rPr>
          <w:rFonts w:eastAsia="Helvetica"/>
          <w:sz w:val="24"/>
          <w:szCs w:val="24"/>
        </w:rPr>
        <w:t>Vale ressaltar que o discurso semântico não foi o ú nico objeto de análise; o discurso estético também possui uma ideologia intrínseca. Sendo assim, foi possível observar que a representação da mulher unicamente como objeto sexual no quadro em questão pôde ser vista, também, no comportamento, nas roupas e nos cenários, posto que nas produções televisivas o discurso verbal não é o único modo de transmitir os pensamentos ideológicos.</w:t>
      </w:r>
    </w:p>
    <w:p w:rsidR="00D24E61" w:rsidRPr="00771368" w:rsidRDefault="00D24E61">
      <w:pPr>
        <w:spacing w:line="287" w:lineRule="exact"/>
        <w:rPr>
          <w:sz w:val="20"/>
          <w:szCs w:val="20"/>
        </w:rPr>
      </w:pPr>
    </w:p>
    <w:p w:rsidR="00D24E61" w:rsidRPr="00771368" w:rsidRDefault="00D24E61">
      <w:pPr>
        <w:spacing w:line="351" w:lineRule="auto"/>
        <w:jc w:val="both"/>
        <w:rPr>
          <w:sz w:val="20"/>
          <w:szCs w:val="20"/>
        </w:rPr>
      </w:pPr>
      <w:r w:rsidRPr="00771368">
        <w:rPr>
          <w:rFonts w:eastAsia="Helvetica"/>
          <w:sz w:val="24"/>
          <w:szCs w:val="24"/>
        </w:rPr>
        <w:t>A ratificação desse tipo de representação pela mídia contribui unicamente com a preservação dos pensamentos patriarcais, que desvalorizam, estereotipam e fomentam as desigualdades de gênero. No entanto, é importante salientar que tais construções midiáticas são um reflexo do que a sociedade patriarcal impôs e posteriormente difundiu no ideário social. Deste mo do, as representações divulgadas pela mídia televisiva colaboram com a permanência de modelos pré-estabelecidos, além de ratificar a desigualdade entre os gêneros perante a sociedade.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98" w:lineRule="exact"/>
        <w:rPr>
          <w:sz w:val="20"/>
          <w:szCs w:val="20"/>
        </w:rPr>
      </w:pPr>
    </w:p>
    <w:p w:rsidR="00D24E61" w:rsidRPr="00771368" w:rsidRDefault="00D24E61">
      <w:pPr>
        <w:rPr>
          <w:sz w:val="20"/>
          <w:szCs w:val="20"/>
        </w:rPr>
      </w:pPr>
      <w:r w:rsidRPr="00771368">
        <w:rPr>
          <w:rFonts w:eastAsia="Helvetica"/>
          <w:b/>
          <w:bCs/>
          <w:sz w:val="24"/>
          <w:szCs w:val="24"/>
        </w:rPr>
        <w:t>REFERÊNCIAS</w:t>
      </w:r>
    </w:p>
    <w:p w:rsidR="00D24E61" w:rsidRPr="00771368" w:rsidRDefault="00D24E61">
      <w:pPr>
        <w:spacing w:line="366" w:lineRule="exact"/>
        <w:rPr>
          <w:sz w:val="20"/>
          <w:szCs w:val="20"/>
        </w:rPr>
      </w:pPr>
    </w:p>
    <w:p w:rsidR="00D24E61" w:rsidRPr="00771368" w:rsidRDefault="00D24E61">
      <w:pPr>
        <w:spacing w:line="237" w:lineRule="auto"/>
        <w:ind w:right="360"/>
        <w:rPr>
          <w:sz w:val="20"/>
          <w:szCs w:val="20"/>
        </w:rPr>
      </w:pPr>
      <w:r w:rsidRPr="00771368">
        <w:rPr>
          <w:rFonts w:eastAsia="Helvetica"/>
          <w:sz w:val="24"/>
          <w:szCs w:val="24"/>
        </w:rPr>
        <w:t xml:space="preserve">BRANDÃO, Helena H. N. </w:t>
      </w:r>
      <w:r w:rsidRPr="00771368">
        <w:rPr>
          <w:rFonts w:eastAsia="Helvetica"/>
          <w:b/>
          <w:bCs/>
          <w:sz w:val="24"/>
          <w:szCs w:val="24"/>
        </w:rPr>
        <w:t>Introdução à análise do discurso.</w:t>
      </w:r>
      <w:r w:rsidRPr="00771368">
        <w:rPr>
          <w:rFonts w:eastAsia="Helvetica"/>
          <w:sz w:val="24"/>
          <w:szCs w:val="24"/>
        </w:rPr>
        <w:t xml:space="preserve"> 2. Ed. Campinas: Editora Unicamp, 2004.</w:t>
      </w:r>
    </w:p>
    <w:p w:rsidR="00D24E61" w:rsidRPr="00771368" w:rsidRDefault="00D24E61">
      <w:pPr>
        <w:spacing w:line="233" w:lineRule="exact"/>
        <w:rPr>
          <w:sz w:val="20"/>
          <w:szCs w:val="20"/>
        </w:rPr>
      </w:pPr>
    </w:p>
    <w:p w:rsidR="00D24E61" w:rsidRPr="00771368" w:rsidRDefault="00D24E61">
      <w:pPr>
        <w:spacing w:line="238" w:lineRule="auto"/>
        <w:ind w:right="320"/>
        <w:rPr>
          <w:sz w:val="20"/>
          <w:szCs w:val="20"/>
        </w:rPr>
      </w:pPr>
      <w:r w:rsidRPr="00771368">
        <w:rPr>
          <w:rFonts w:eastAsia="Helvetica"/>
          <w:sz w:val="23"/>
          <w:szCs w:val="23"/>
        </w:rPr>
        <w:t xml:space="preserve">CABRAL, Francisco. DIAZ, Margarita. </w:t>
      </w:r>
      <w:r w:rsidRPr="00771368">
        <w:rPr>
          <w:rFonts w:eastAsia="Helvetica"/>
          <w:b/>
          <w:bCs/>
          <w:sz w:val="23"/>
          <w:szCs w:val="23"/>
        </w:rPr>
        <w:t>Relações de gênero. Cadernos</w:t>
      </w:r>
      <w:r w:rsidRPr="00771368">
        <w:rPr>
          <w:rFonts w:eastAsia="Helvetica"/>
          <w:sz w:val="23"/>
          <w:szCs w:val="23"/>
        </w:rPr>
        <w:t xml:space="preserve"> </w:t>
      </w:r>
      <w:r w:rsidRPr="00771368">
        <w:rPr>
          <w:rFonts w:eastAsia="Helvetica"/>
          <w:b/>
          <w:bCs/>
          <w:sz w:val="23"/>
          <w:szCs w:val="23"/>
        </w:rPr>
        <w:t>afetividade e sexualidade na educação: um novo olha r</w:t>
      </w:r>
      <w:r w:rsidRPr="00771368">
        <w:rPr>
          <w:rFonts w:eastAsia="Helvetica"/>
          <w:sz w:val="23"/>
          <w:szCs w:val="23"/>
        </w:rPr>
        <w:t>. Secretaria Municipal</w:t>
      </w:r>
      <w:r w:rsidRPr="00771368">
        <w:rPr>
          <w:rFonts w:eastAsia="Helvetica"/>
          <w:b/>
          <w:bCs/>
          <w:sz w:val="23"/>
          <w:szCs w:val="23"/>
        </w:rPr>
        <w:t xml:space="preserve"> </w:t>
      </w:r>
      <w:r w:rsidRPr="00771368">
        <w:rPr>
          <w:rFonts w:eastAsia="Helvetica"/>
          <w:sz w:val="23"/>
          <w:szCs w:val="23"/>
        </w:rPr>
        <w:t>de Educação de Belo Horizonte; Fundação Odebrecht. Belo Horizonte: Gráfica</w:t>
      </w:r>
    </w:p>
    <w:p w:rsidR="00D24E61" w:rsidRPr="00771368" w:rsidRDefault="00D24E61">
      <w:pPr>
        <w:spacing w:line="236" w:lineRule="auto"/>
        <w:rPr>
          <w:sz w:val="20"/>
          <w:szCs w:val="20"/>
        </w:rPr>
      </w:pPr>
      <w:r w:rsidRPr="00771368">
        <w:rPr>
          <w:rFonts w:eastAsia="Helvetica"/>
          <w:sz w:val="24"/>
          <w:szCs w:val="24"/>
        </w:rPr>
        <w:t>Editora Rona Ltda., 1999.</w:t>
      </w:r>
    </w:p>
    <w:p w:rsidR="00D24E61" w:rsidRPr="00771368" w:rsidRDefault="00D24E61">
      <w:pPr>
        <w:spacing w:line="234" w:lineRule="exact"/>
        <w:rPr>
          <w:sz w:val="20"/>
          <w:szCs w:val="20"/>
        </w:rPr>
      </w:pPr>
    </w:p>
    <w:p w:rsidR="00D24E61" w:rsidRPr="00771368" w:rsidRDefault="00D24E61">
      <w:pPr>
        <w:rPr>
          <w:sz w:val="20"/>
          <w:szCs w:val="20"/>
        </w:rPr>
      </w:pPr>
      <w:r w:rsidRPr="00771368">
        <w:rPr>
          <w:rFonts w:eastAsia="Helvetica"/>
          <w:sz w:val="24"/>
          <w:szCs w:val="24"/>
        </w:rPr>
        <w:t>DIAS, Maria R. C. Por uma compreensão do conceito d e gênero. In: FAGUNDES,</w:t>
      </w:r>
    </w:p>
    <w:p w:rsidR="00D24E61" w:rsidRPr="00771368" w:rsidRDefault="00D24E61">
      <w:pPr>
        <w:spacing w:line="231" w:lineRule="auto"/>
        <w:rPr>
          <w:sz w:val="20"/>
          <w:szCs w:val="20"/>
        </w:rPr>
      </w:pPr>
      <w:r w:rsidRPr="00771368">
        <w:rPr>
          <w:rFonts w:eastAsia="Helvetica"/>
          <w:sz w:val="24"/>
          <w:szCs w:val="24"/>
        </w:rPr>
        <w:t xml:space="preserve">Tereza C. P. C. (org.). </w:t>
      </w:r>
      <w:r w:rsidRPr="00771368">
        <w:rPr>
          <w:rFonts w:eastAsia="Helvetica"/>
          <w:b/>
          <w:bCs/>
          <w:sz w:val="24"/>
          <w:szCs w:val="24"/>
        </w:rPr>
        <w:t>Ensaios sobre Identidade e Gênero.</w:t>
      </w:r>
      <w:r w:rsidRPr="00771368">
        <w:rPr>
          <w:rFonts w:eastAsia="Helvetica"/>
          <w:sz w:val="24"/>
          <w:szCs w:val="24"/>
        </w:rPr>
        <w:t>Salvador: Helvécia,</w:t>
      </w:r>
    </w:p>
    <w:p w:rsidR="00D24E61" w:rsidRPr="00771368" w:rsidRDefault="00D24E61">
      <w:pPr>
        <w:spacing w:line="235" w:lineRule="auto"/>
        <w:rPr>
          <w:sz w:val="20"/>
          <w:szCs w:val="20"/>
        </w:rPr>
      </w:pPr>
      <w:r w:rsidRPr="00771368">
        <w:rPr>
          <w:rFonts w:eastAsia="Helvetica"/>
          <w:sz w:val="24"/>
          <w:szCs w:val="24"/>
        </w:rPr>
        <w:t>2003.</w:t>
      </w:r>
    </w:p>
    <w:p w:rsidR="00D24E61" w:rsidRPr="00771368" w:rsidRDefault="00D24E61">
      <w:pPr>
        <w:spacing w:line="196" w:lineRule="exact"/>
        <w:rPr>
          <w:sz w:val="20"/>
          <w:szCs w:val="20"/>
        </w:rPr>
      </w:pPr>
    </w:p>
    <w:p w:rsidR="00D24E61" w:rsidRPr="00771368" w:rsidRDefault="00D24E61">
      <w:pPr>
        <w:spacing w:line="266" w:lineRule="auto"/>
        <w:ind w:right="140"/>
        <w:rPr>
          <w:sz w:val="20"/>
          <w:szCs w:val="20"/>
        </w:rPr>
      </w:pPr>
      <w:r w:rsidRPr="00771368">
        <w:rPr>
          <w:rFonts w:eastAsia="Helvetica"/>
          <w:sz w:val="24"/>
          <w:szCs w:val="24"/>
        </w:rPr>
        <w:t xml:space="preserve">FOUCAULT, Michel. </w:t>
      </w:r>
      <w:r w:rsidRPr="00771368">
        <w:rPr>
          <w:rFonts w:eastAsia="Helvetica"/>
          <w:b/>
          <w:bCs/>
          <w:sz w:val="24"/>
          <w:szCs w:val="24"/>
        </w:rPr>
        <w:t>A Arqueologia do Saber.</w:t>
      </w:r>
      <w:r w:rsidRPr="00771368">
        <w:rPr>
          <w:rFonts w:eastAsia="Helvetica"/>
          <w:sz w:val="24"/>
          <w:szCs w:val="24"/>
        </w:rPr>
        <w:t xml:space="preserve"> (Tradução Luiz Felipe Baeta). Rio de Janeiro: Forense Unversitária, 2002.</w:t>
      </w:r>
    </w:p>
    <w:p w:rsidR="00E86604" w:rsidRDefault="00E86604">
      <w:pPr>
        <w:spacing w:line="260" w:lineRule="auto"/>
        <w:ind w:right="680"/>
        <w:rPr>
          <w:rFonts w:eastAsia="Helvetica"/>
          <w:sz w:val="24"/>
          <w:szCs w:val="24"/>
        </w:rPr>
      </w:pPr>
    </w:p>
    <w:p w:rsidR="00D24E61" w:rsidRPr="00771368" w:rsidRDefault="00D24E61">
      <w:pPr>
        <w:spacing w:line="260" w:lineRule="auto"/>
        <w:ind w:right="680"/>
        <w:rPr>
          <w:sz w:val="20"/>
          <w:szCs w:val="20"/>
        </w:rPr>
      </w:pPr>
      <w:r w:rsidRPr="00771368">
        <w:rPr>
          <w:rFonts w:eastAsia="Helvetica"/>
          <w:sz w:val="24"/>
          <w:szCs w:val="24"/>
        </w:rPr>
        <w:t xml:space="preserve">GARCIA, Maria Cecília. A amarga relação da mulher com os meios de comunicação de massa. In: SCHAUN, Ângela et al.(org .). </w:t>
      </w:r>
      <w:r w:rsidRPr="00771368">
        <w:rPr>
          <w:rFonts w:eastAsia="Helvetica"/>
          <w:b/>
          <w:bCs/>
          <w:sz w:val="24"/>
          <w:szCs w:val="24"/>
        </w:rPr>
        <w:t>Gênero, mídia e</w:t>
      </w:r>
      <w:r w:rsidRPr="00771368">
        <w:rPr>
          <w:rFonts w:eastAsia="Helvetica"/>
          <w:sz w:val="24"/>
          <w:szCs w:val="24"/>
        </w:rPr>
        <w:t xml:space="preserve"> </w:t>
      </w:r>
      <w:r w:rsidRPr="00771368">
        <w:rPr>
          <w:rFonts w:eastAsia="Helvetica"/>
          <w:b/>
          <w:bCs/>
          <w:sz w:val="24"/>
          <w:szCs w:val="24"/>
        </w:rPr>
        <w:t>sociedade</w:t>
      </w:r>
      <w:r w:rsidRPr="00771368">
        <w:rPr>
          <w:rFonts w:eastAsia="Helvetica"/>
          <w:sz w:val="24"/>
          <w:szCs w:val="24"/>
        </w:rPr>
        <w:t>. São Paulo: Expressão e Arte Editora, 2007.</w:t>
      </w:r>
    </w:p>
    <w:p w:rsidR="00D24E61" w:rsidRPr="00771368" w:rsidRDefault="00D24E61">
      <w:pPr>
        <w:spacing w:line="247" w:lineRule="exact"/>
        <w:rPr>
          <w:sz w:val="20"/>
          <w:szCs w:val="20"/>
        </w:rPr>
      </w:pPr>
    </w:p>
    <w:p w:rsidR="00D24E61" w:rsidRPr="00771368" w:rsidRDefault="00D24E61">
      <w:pPr>
        <w:spacing w:line="237" w:lineRule="auto"/>
        <w:ind w:right="900"/>
        <w:rPr>
          <w:sz w:val="20"/>
          <w:szCs w:val="20"/>
        </w:rPr>
      </w:pPr>
      <w:r w:rsidRPr="00771368">
        <w:rPr>
          <w:rFonts w:eastAsia="Helvetica"/>
          <w:sz w:val="24"/>
          <w:szCs w:val="24"/>
        </w:rPr>
        <w:t xml:space="preserve">GOLDENBERG, Miriam. </w:t>
      </w:r>
      <w:r w:rsidRPr="00771368">
        <w:rPr>
          <w:rFonts w:eastAsia="Helvetica"/>
          <w:b/>
          <w:bCs/>
          <w:sz w:val="24"/>
          <w:szCs w:val="24"/>
        </w:rPr>
        <w:t>A arte de pesquisar:</w:t>
      </w:r>
      <w:r w:rsidRPr="00771368">
        <w:rPr>
          <w:rFonts w:eastAsia="Helvetica"/>
          <w:sz w:val="24"/>
          <w:szCs w:val="24"/>
        </w:rPr>
        <w:t xml:space="preserve"> Como fazer uma pesquisa qualitativa em Ciências Sociais. 3ª Ed. Rio de Janeiro: Record, 1999.</w:t>
      </w:r>
    </w:p>
    <w:p w:rsidR="00D24E61" w:rsidRPr="00771368" w:rsidRDefault="00D24E61">
      <w:pPr>
        <w:spacing w:line="191" w:lineRule="exact"/>
        <w:rPr>
          <w:sz w:val="20"/>
          <w:szCs w:val="20"/>
        </w:rPr>
      </w:pPr>
    </w:p>
    <w:p w:rsidR="00D24E61" w:rsidRPr="00771368" w:rsidRDefault="00D24E61">
      <w:pPr>
        <w:tabs>
          <w:tab w:val="left" w:pos="7700"/>
        </w:tabs>
        <w:rPr>
          <w:sz w:val="20"/>
          <w:szCs w:val="20"/>
        </w:rPr>
      </w:pPr>
      <w:r w:rsidRPr="00771368">
        <w:rPr>
          <w:rFonts w:eastAsia="Helvetica"/>
          <w:sz w:val="24"/>
          <w:szCs w:val="24"/>
        </w:rPr>
        <w:t xml:space="preserve">LARA, A. A. </w:t>
      </w:r>
      <w:r w:rsidRPr="00771368">
        <w:rPr>
          <w:rFonts w:eastAsia="Helvetica"/>
          <w:b/>
          <w:bCs/>
          <w:sz w:val="24"/>
          <w:szCs w:val="24"/>
        </w:rPr>
        <w:t>Representação de Mulher nos Comerciais de Automóve</w:t>
      </w:r>
      <w:r w:rsidRPr="00771368">
        <w:rPr>
          <w:sz w:val="20"/>
          <w:szCs w:val="20"/>
        </w:rPr>
        <w:tab/>
      </w:r>
      <w:r w:rsidRPr="00771368">
        <w:rPr>
          <w:rFonts w:eastAsia="Helvetica"/>
          <w:b/>
          <w:bCs/>
          <w:sz w:val="23"/>
          <w:szCs w:val="23"/>
        </w:rPr>
        <w:t>is:</w:t>
      </w:r>
    </w:p>
    <w:p w:rsidR="00D24E61" w:rsidRPr="00771368" w:rsidRDefault="00D24E61">
      <w:pPr>
        <w:spacing w:line="37" w:lineRule="exact"/>
        <w:rPr>
          <w:sz w:val="20"/>
          <w:szCs w:val="20"/>
        </w:rPr>
      </w:pPr>
    </w:p>
    <w:p w:rsidR="00D24E61" w:rsidRPr="00771368" w:rsidRDefault="00D24E61">
      <w:pPr>
        <w:rPr>
          <w:sz w:val="20"/>
          <w:szCs w:val="20"/>
        </w:rPr>
      </w:pPr>
      <w:r w:rsidRPr="00771368">
        <w:rPr>
          <w:rFonts w:eastAsia="Helvetica"/>
          <w:sz w:val="24"/>
          <w:szCs w:val="24"/>
        </w:rPr>
        <w:t>Garota é apenas equipamento opcional. Brasília: Universidade de Brasília, 2007.</w:t>
      </w:r>
    </w:p>
    <w:p w:rsidR="00D24E61" w:rsidRPr="00771368" w:rsidRDefault="00D24E61">
      <w:pPr>
        <w:spacing w:line="270" w:lineRule="exact"/>
        <w:rPr>
          <w:sz w:val="20"/>
          <w:szCs w:val="20"/>
        </w:rPr>
      </w:pPr>
    </w:p>
    <w:p w:rsidR="00D24E61" w:rsidRPr="00771368" w:rsidRDefault="00D24E61" w:rsidP="00E86604">
      <w:pPr>
        <w:spacing w:after="120" w:line="236" w:lineRule="auto"/>
        <w:ind w:right="360"/>
        <w:rPr>
          <w:sz w:val="20"/>
          <w:szCs w:val="20"/>
        </w:rPr>
      </w:pPr>
      <w:r w:rsidRPr="00771368">
        <w:rPr>
          <w:rFonts w:eastAsia="Helvetica"/>
          <w:sz w:val="24"/>
          <w:szCs w:val="24"/>
        </w:rPr>
        <w:t xml:space="preserve">LIMA, Raymundo. </w:t>
      </w:r>
      <w:r w:rsidRPr="00771368">
        <w:rPr>
          <w:rFonts w:eastAsia="Helvetica"/>
          <w:b/>
          <w:bCs/>
          <w:sz w:val="24"/>
          <w:szCs w:val="24"/>
        </w:rPr>
        <w:t>A mulher tradicional e a mulher pós-moderna</w:t>
      </w:r>
      <w:r w:rsidRPr="00771368">
        <w:rPr>
          <w:rFonts w:eastAsia="Helvetica"/>
          <w:sz w:val="24"/>
          <w:szCs w:val="24"/>
        </w:rPr>
        <w:t xml:space="preserve"> . Disponível em: &lt;</w:t>
      </w:r>
      <w:r w:rsidRPr="00771368">
        <w:rPr>
          <w:rFonts w:eastAsia="Helvetica"/>
          <w:color w:val="0000FF"/>
          <w:sz w:val="24"/>
          <w:szCs w:val="24"/>
          <w:u w:val="single"/>
        </w:rPr>
        <w:t>http://www.espacoacademico.com.br/089/89lima.htm</w:t>
      </w:r>
      <w:r w:rsidRPr="00771368">
        <w:rPr>
          <w:rFonts w:eastAsia="Helvetica"/>
          <w:sz w:val="24"/>
          <w:szCs w:val="24"/>
        </w:rPr>
        <w:t>&gt;. Acesso em: out. 2012.</w:t>
      </w:r>
    </w:p>
    <w:p w:rsidR="00D24E61" w:rsidRPr="00771368" w:rsidRDefault="00D24E61" w:rsidP="00E86604">
      <w:pPr>
        <w:spacing w:after="120" w:line="232" w:lineRule="exact"/>
        <w:rPr>
          <w:sz w:val="20"/>
          <w:szCs w:val="20"/>
        </w:rPr>
      </w:pPr>
    </w:p>
    <w:p w:rsidR="00D24E61" w:rsidRPr="00771368" w:rsidRDefault="00D24E61" w:rsidP="00E86604">
      <w:pPr>
        <w:spacing w:after="120" w:line="256" w:lineRule="auto"/>
        <w:ind w:right="920"/>
        <w:rPr>
          <w:sz w:val="20"/>
          <w:szCs w:val="20"/>
        </w:rPr>
      </w:pPr>
      <w:r w:rsidRPr="00771368">
        <w:rPr>
          <w:rFonts w:eastAsia="Helvetica"/>
          <w:sz w:val="23"/>
          <w:szCs w:val="23"/>
        </w:rPr>
        <w:t xml:space="preserve">MARCONDES FILHO, Ciro. </w:t>
      </w:r>
      <w:r w:rsidRPr="00771368">
        <w:rPr>
          <w:rFonts w:eastAsia="Helvetica"/>
          <w:b/>
          <w:bCs/>
          <w:sz w:val="23"/>
          <w:szCs w:val="23"/>
        </w:rPr>
        <w:t>Quem manipula quem?</w:t>
      </w:r>
      <w:r w:rsidRPr="00771368">
        <w:rPr>
          <w:rFonts w:eastAsia="Helvetica"/>
          <w:sz w:val="23"/>
          <w:szCs w:val="23"/>
        </w:rPr>
        <w:t xml:space="preserve"> Poder e massas na indústria da cultura e da comunicação no Brasil. Pe trópolis: Vozes, 1986.</w:t>
      </w:r>
    </w:p>
    <w:p w:rsidR="00D24E61" w:rsidRPr="00771368" w:rsidRDefault="00D24E61" w:rsidP="00E86604">
      <w:pPr>
        <w:spacing w:after="120" w:line="211" w:lineRule="exact"/>
        <w:rPr>
          <w:sz w:val="20"/>
          <w:szCs w:val="20"/>
        </w:rPr>
      </w:pPr>
    </w:p>
    <w:p w:rsidR="00D24E61" w:rsidRPr="00771368" w:rsidRDefault="00D24E61" w:rsidP="00E86604">
      <w:pPr>
        <w:spacing w:after="120" w:line="227" w:lineRule="auto"/>
        <w:ind w:right="200"/>
        <w:rPr>
          <w:sz w:val="20"/>
          <w:szCs w:val="20"/>
        </w:rPr>
      </w:pPr>
      <w:r w:rsidRPr="00771368">
        <w:rPr>
          <w:rFonts w:eastAsia="Helvetica"/>
          <w:b/>
          <w:bCs/>
          <w:sz w:val="24"/>
          <w:szCs w:val="24"/>
        </w:rPr>
        <w:t xml:space="preserve">Memória Globo </w:t>
      </w:r>
      <w:r w:rsidRPr="00771368">
        <w:rPr>
          <w:rFonts w:eastAsia="Helvetica"/>
          <w:sz w:val="24"/>
          <w:szCs w:val="24"/>
        </w:rPr>
        <w:t>. Disponível em:&lt;</w:t>
      </w:r>
      <w:r w:rsidRPr="00771368">
        <w:rPr>
          <w:rFonts w:eastAsia="Helvetica"/>
          <w:b/>
          <w:bCs/>
          <w:sz w:val="24"/>
          <w:szCs w:val="24"/>
        </w:rPr>
        <w:t xml:space="preserve"> </w:t>
      </w:r>
      <w:r w:rsidRPr="00771368">
        <w:rPr>
          <w:rFonts w:eastAsia="Helvetica"/>
          <w:color w:val="0000FF"/>
          <w:sz w:val="24"/>
          <w:szCs w:val="24"/>
          <w:u w:val="single"/>
        </w:rPr>
        <w:t>http://memoriaglobo.globo.com/</w:t>
      </w:r>
      <w:r w:rsidRPr="00771368">
        <w:rPr>
          <w:rFonts w:eastAsia="Helvetica"/>
          <w:sz w:val="24"/>
          <w:szCs w:val="24"/>
        </w:rPr>
        <w:t>&gt;. Acesso em:</w:t>
      </w:r>
      <w:r w:rsidRPr="00771368">
        <w:rPr>
          <w:rFonts w:eastAsia="Helvetica"/>
          <w:b/>
          <w:bCs/>
          <w:sz w:val="24"/>
          <w:szCs w:val="24"/>
        </w:rPr>
        <w:t xml:space="preserve"> </w:t>
      </w:r>
      <w:r w:rsidRPr="00771368">
        <w:rPr>
          <w:rFonts w:eastAsia="Helvetica"/>
          <w:sz w:val="24"/>
          <w:szCs w:val="24"/>
        </w:rPr>
        <w:t>out. 2012.</w:t>
      </w:r>
    </w:p>
    <w:p w:rsidR="00D24E61" w:rsidRPr="00771368" w:rsidRDefault="00D24E61" w:rsidP="00E86604">
      <w:pPr>
        <w:spacing w:after="120" w:line="232" w:lineRule="exact"/>
        <w:rPr>
          <w:sz w:val="20"/>
          <w:szCs w:val="20"/>
        </w:rPr>
      </w:pPr>
    </w:p>
    <w:p w:rsidR="00D24E61" w:rsidRPr="00771368" w:rsidRDefault="00D24E61" w:rsidP="00E86604">
      <w:pPr>
        <w:spacing w:after="120"/>
        <w:rPr>
          <w:sz w:val="20"/>
          <w:szCs w:val="20"/>
        </w:rPr>
      </w:pPr>
      <w:r w:rsidRPr="00771368">
        <w:rPr>
          <w:rFonts w:eastAsia="Helvetica"/>
          <w:sz w:val="24"/>
          <w:szCs w:val="24"/>
        </w:rPr>
        <w:t>‘MORENO, Rachel.</w:t>
      </w:r>
      <w:r w:rsidRPr="00771368">
        <w:rPr>
          <w:rFonts w:eastAsia="Helvetica"/>
          <w:b/>
          <w:bCs/>
          <w:sz w:val="24"/>
          <w:szCs w:val="24"/>
        </w:rPr>
        <w:t>A Beleza Impossível:</w:t>
      </w:r>
      <w:r w:rsidRPr="00771368">
        <w:rPr>
          <w:rFonts w:eastAsia="Helvetica"/>
          <w:sz w:val="24"/>
          <w:szCs w:val="24"/>
        </w:rPr>
        <w:t xml:space="preserve"> Mulher, Mídia e Consumo. São Paulo:</w:t>
      </w:r>
    </w:p>
    <w:p w:rsidR="00D24E61" w:rsidRPr="00771368" w:rsidRDefault="00D24E61" w:rsidP="00E86604">
      <w:pPr>
        <w:spacing w:after="120" w:line="235" w:lineRule="auto"/>
        <w:rPr>
          <w:sz w:val="20"/>
          <w:szCs w:val="20"/>
        </w:rPr>
      </w:pPr>
      <w:r w:rsidRPr="00771368">
        <w:rPr>
          <w:rFonts w:eastAsia="Helvetica"/>
          <w:sz w:val="24"/>
          <w:szCs w:val="24"/>
        </w:rPr>
        <w:t>Editora Ágora, 2008.</w:t>
      </w:r>
    </w:p>
    <w:p w:rsidR="00D24E61" w:rsidRPr="00771368" w:rsidRDefault="00D24E61" w:rsidP="00E86604">
      <w:pPr>
        <w:spacing w:after="120" w:line="191" w:lineRule="exact"/>
        <w:rPr>
          <w:sz w:val="20"/>
          <w:szCs w:val="20"/>
        </w:rPr>
      </w:pPr>
    </w:p>
    <w:p w:rsidR="00D24E61" w:rsidRPr="00771368" w:rsidRDefault="00D24E61" w:rsidP="00E86604">
      <w:pPr>
        <w:spacing w:after="120" w:line="229" w:lineRule="auto"/>
        <w:ind w:right="520"/>
        <w:jc w:val="both"/>
        <w:rPr>
          <w:sz w:val="20"/>
          <w:szCs w:val="20"/>
        </w:rPr>
      </w:pPr>
      <w:r w:rsidRPr="00771368">
        <w:rPr>
          <w:rFonts w:eastAsia="Helvetica"/>
          <w:sz w:val="24"/>
          <w:szCs w:val="24"/>
        </w:rPr>
        <w:t xml:space="preserve">NERY, Ana Flávia S.; ALMEIDA, Verbena C. </w:t>
      </w:r>
      <w:r w:rsidRPr="00771368">
        <w:rPr>
          <w:rFonts w:eastAsia="Helvetica"/>
          <w:b/>
          <w:bCs/>
          <w:sz w:val="24"/>
          <w:szCs w:val="24"/>
        </w:rPr>
        <w:t>A Representação da Mulher no</w:t>
      </w:r>
      <w:r w:rsidRPr="00771368">
        <w:rPr>
          <w:rFonts w:eastAsia="Helvetica"/>
          <w:sz w:val="24"/>
          <w:szCs w:val="24"/>
        </w:rPr>
        <w:t xml:space="preserve"> </w:t>
      </w:r>
      <w:r w:rsidRPr="00771368">
        <w:rPr>
          <w:rFonts w:eastAsia="Helvetica"/>
          <w:b/>
          <w:bCs/>
          <w:sz w:val="24"/>
          <w:szCs w:val="24"/>
        </w:rPr>
        <w:t xml:space="preserve">Comercial da Renault Sandero: </w:t>
      </w:r>
      <w:r w:rsidRPr="00771368">
        <w:rPr>
          <w:rFonts w:eastAsia="Helvetica"/>
          <w:sz w:val="24"/>
          <w:szCs w:val="24"/>
        </w:rPr>
        <w:t>Diferente, Mas Igual. Encontro de Estudos</w:t>
      </w:r>
      <w:r w:rsidRPr="00771368">
        <w:rPr>
          <w:rFonts w:eastAsia="Helvetica"/>
          <w:b/>
          <w:bCs/>
          <w:sz w:val="24"/>
          <w:szCs w:val="24"/>
        </w:rPr>
        <w:t xml:space="preserve"> </w:t>
      </w:r>
      <w:r w:rsidRPr="00771368">
        <w:rPr>
          <w:rFonts w:eastAsia="Helvetica"/>
          <w:sz w:val="24"/>
          <w:szCs w:val="24"/>
        </w:rPr>
        <w:t>Multidisciplinares em Cultura (ENECULT). Salvador: UFBA, 2012.</w:t>
      </w:r>
    </w:p>
    <w:p w:rsidR="00D24E61" w:rsidRPr="00771368" w:rsidRDefault="00D24E61" w:rsidP="00E86604">
      <w:pPr>
        <w:spacing w:after="120" w:line="268" w:lineRule="exact"/>
        <w:rPr>
          <w:sz w:val="20"/>
          <w:szCs w:val="20"/>
        </w:rPr>
      </w:pPr>
    </w:p>
    <w:p w:rsidR="00D24E61" w:rsidRPr="00D61223" w:rsidRDefault="00D24E61" w:rsidP="00E86604">
      <w:pPr>
        <w:spacing w:after="120"/>
        <w:rPr>
          <w:sz w:val="20"/>
          <w:szCs w:val="20"/>
          <w:lang w:val="en-US"/>
        </w:rPr>
      </w:pPr>
      <w:r w:rsidRPr="00771368">
        <w:rPr>
          <w:rFonts w:eastAsia="Helvetica"/>
          <w:sz w:val="24"/>
          <w:szCs w:val="24"/>
        </w:rPr>
        <w:t xml:space="preserve">ORESTES, Isabel. Modos de ver a mulher. </w:t>
      </w:r>
      <w:r w:rsidRPr="00D61223">
        <w:rPr>
          <w:rFonts w:eastAsia="Helvetica"/>
          <w:sz w:val="24"/>
          <w:szCs w:val="24"/>
          <w:lang w:val="en-US"/>
        </w:rPr>
        <w:t>In: SCHAUN, Ângela et al.(org.).</w:t>
      </w:r>
    </w:p>
    <w:p w:rsidR="00D24E61" w:rsidRPr="00771368" w:rsidRDefault="00D24E61" w:rsidP="00E86604">
      <w:pPr>
        <w:spacing w:after="120" w:line="226" w:lineRule="auto"/>
        <w:rPr>
          <w:sz w:val="20"/>
          <w:szCs w:val="20"/>
        </w:rPr>
      </w:pPr>
      <w:r w:rsidRPr="00771368">
        <w:rPr>
          <w:rFonts w:eastAsia="Helvetica"/>
          <w:b/>
          <w:bCs/>
          <w:sz w:val="24"/>
          <w:szCs w:val="24"/>
        </w:rPr>
        <w:t>Gênero, mídia e sociedade</w:t>
      </w:r>
      <w:r w:rsidRPr="00771368">
        <w:rPr>
          <w:rFonts w:eastAsia="Helvetica"/>
          <w:sz w:val="24"/>
          <w:szCs w:val="24"/>
        </w:rPr>
        <w:t>. São Paulo: Expressão e Arte Editora, 2007.</w:t>
      </w:r>
    </w:p>
    <w:p w:rsidR="00D24E61" w:rsidRPr="00771368" w:rsidRDefault="00D24E61" w:rsidP="00E86604">
      <w:pPr>
        <w:spacing w:after="120" w:line="266" w:lineRule="exact"/>
        <w:rPr>
          <w:sz w:val="20"/>
          <w:szCs w:val="20"/>
        </w:rPr>
      </w:pPr>
    </w:p>
    <w:p w:rsidR="00D24E61" w:rsidRPr="00771368" w:rsidRDefault="00D24E61" w:rsidP="00E86604">
      <w:pPr>
        <w:spacing w:after="120"/>
        <w:rPr>
          <w:sz w:val="20"/>
          <w:szCs w:val="20"/>
        </w:rPr>
      </w:pPr>
      <w:r w:rsidRPr="00771368">
        <w:rPr>
          <w:rFonts w:eastAsia="Helvetica"/>
          <w:sz w:val="24"/>
          <w:szCs w:val="24"/>
        </w:rPr>
        <w:t xml:space="preserve">ORLANDI, Eni. P. </w:t>
      </w:r>
      <w:r w:rsidRPr="00771368">
        <w:rPr>
          <w:rFonts w:eastAsia="Helvetica"/>
          <w:b/>
          <w:bCs/>
          <w:sz w:val="24"/>
          <w:szCs w:val="24"/>
        </w:rPr>
        <w:t>A linguagem e seu funcionamento</w:t>
      </w:r>
      <w:r w:rsidRPr="00771368">
        <w:rPr>
          <w:rFonts w:eastAsia="Helvetica"/>
          <w:sz w:val="24"/>
          <w:szCs w:val="24"/>
        </w:rPr>
        <w:t xml:space="preserve"> – as formas de discurso.</w:t>
      </w:r>
    </w:p>
    <w:p w:rsidR="00D24E61" w:rsidRPr="00771368" w:rsidRDefault="00D24E61" w:rsidP="00E86604">
      <w:pPr>
        <w:spacing w:after="120" w:line="233" w:lineRule="auto"/>
        <w:rPr>
          <w:sz w:val="20"/>
          <w:szCs w:val="20"/>
        </w:rPr>
      </w:pPr>
      <w:r w:rsidRPr="00771368">
        <w:rPr>
          <w:rFonts w:eastAsia="Helvetica"/>
          <w:sz w:val="24"/>
          <w:szCs w:val="24"/>
        </w:rPr>
        <w:t>Campinas: Pontes, 1996.</w:t>
      </w:r>
    </w:p>
    <w:p w:rsidR="00D24E61" w:rsidRPr="00771368" w:rsidRDefault="00D24E61" w:rsidP="00E86604">
      <w:pPr>
        <w:spacing w:after="120" w:line="234" w:lineRule="exact"/>
        <w:rPr>
          <w:sz w:val="20"/>
          <w:szCs w:val="20"/>
        </w:rPr>
      </w:pPr>
    </w:p>
    <w:p w:rsidR="00D24E61" w:rsidRPr="00771368" w:rsidRDefault="00D24E61" w:rsidP="00E86604">
      <w:pPr>
        <w:spacing w:after="120" w:line="237" w:lineRule="auto"/>
        <w:rPr>
          <w:sz w:val="20"/>
          <w:szCs w:val="20"/>
        </w:rPr>
      </w:pPr>
      <w:r w:rsidRPr="00771368">
        <w:rPr>
          <w:rFonts w:eastAsia="Helvetica"/>
          <w:sz w:val="24"/>
          <w:szCs w:val="24"/>
        </w:rPr>
        <w:t xml:space="preserve">SANTOS, Maria Inês D. A. </w:t>
      </w:r>
      <w:r w:rsidRPr="00771368">
        <w:rPr>
          <w:rFonts w:eastAsia="Helvetica"/>
          <w:b/>
          <w:bCs/>
          <w:sz w:val="24"/>
          <w:szCs w:val="24"/>
        </w:rPr>
        <w:t>Gênero e comunicação:</w:t>
      </w:r>
      <w:r w:rsidRPr="00771368">
        <w:rPr>
          <w:rFonts w:eastAsia="Helvetica"/>
          <w:sz w:val="24"/>
          <w:szCs w:val="24"/>
        </w:rPr>
        <w:t xml:space="preserve"> o masculino e o feminino em programas populares de rádio. São Paulo: Annablume, 2004.</w:t>
      </w:r>
    </w:p>
    <w:p w:rsidR="00D24E61" w:rsidRPr="00771368" w:rsidRDefault="00D24E61" w:rsidP="00E86604">
      <w:pPr>
        <w:spacing w:after="120" w:line="231" w:lineRule="exact"/>
        <w:rPr>
          <w:sz w:val="20"/>
          <w:szCs w:val="20"/>
        </w:rPr>
      </w:pPr>
    </w:p>
    <w:p w:rsidR="00D24E61" w:rsidRPr="00771368" w:rsidRDefault="00D24E61" w:rsidP="00E86604">
      <w:pPr>
        <w:spacing w:after="120" w:line="237" w:lineRule="auto"/>
        <w:ind w:right="280"/>
        <w:rPr>
          <w:sz w:val="20"/>
          <w:szCs w:val="20"/>
        </w:rPr>
      </w:pPr>
      <w:r w:rsidRPr="00771368">
        <w:rPr>
          <w:rFonts w:eastAsia="Helvetica"/>
          <w:sz w:val="24"/>
          <w:szCs w:val="24"/>
        </w:rPr>
        <w:t xml:space="preserve">STEARNS, Peter N. </w:t>
      </w:r>
      <w:r w:rsidRPr="00771368">
        <w:rPr>
          <w:rFonts w:eastAsia="Helvetica"/>
          <w:b/>
          <w:bCs/>
          <w:sz w:val="24"/>
          <w:szCs w:val="24"/>
        </w:rPr>
        <w:t>História das relações de gênero</w:t>
      </w:r>
      <w:r w:rsidRPr="00771368">
        <w:rPr>
          <w:rFonts w:eastAsia="Helvetica"/>
          <w:sz w:val="24"/>
          <w:szCs w:val="24"/>
        </w:rPr>
        <w:t xml:space="preserve"> . tradução: Mirna Pinsky. 2ª Ed. São Paulo: Contexto, 2012.</w:t>
      </w:r>
    </w:p>
    <w:p w:rsidR="00D24E61" w:rsidRDefault="00D24E61">
      <w:pPr>
        <w:spacing w:line="200" w:lineRule="exact"/>
        <w:rPr>
          <w:sz w:val="20"/>
          <w:szCs w:val="20"/>
        </w:rPr>
      </w:pPr>
    </w:p>
    <w:p w:rsidR="00E86604" w:rsidRDefault="00E86604">
      <w:pPr>
        <w:spacing w:line="200" w:lineRule="exact"/>
        <w:rPr>
          <w:sz w:val="20"/>
          <w:szCs w:val="20"/>
        </w:rPr>
      </w:pPr>
    </w:p>
    <w:p w:rsidR="00E86604" w:rsidRDefault="00E86604">
      <w:pPr>
        <w:spacing w:line="200" w:lineRule="exact"/>
        <w:rPr>
          <w:sz w:val="20"/>
          <w:szCs w:val="20"/>
        </w:rPr>
      </w:pPr>
    </w:p>
    <w:p w:rsidR="00E86604" w:rsidRDefault="00E86604">
      <w:pPr>
        <w:spacing w:line="200" w:lineRule="exact"/>
        <w:rPr>
          <w:sz w:val="20"/>
          <w:szCs w:val="20"/>
        </w:rPr>
      </w:pPr>
    </w:p>
    <w:p w:rsidR="00E86604" w:rsidRPr="00771368" w:rsidRDefault="00E86604">
      <w:pPr>
        <w:spacing w:line="200" w:lineRule="exact"/>
        <w:rPr>
          <w:sz w:val="20"/>
          <w:szCs w:val="20"/>
        </w:rPr>
      </w:pPr>
    </w:p>
    <w:p w:rsidR="00D24E61" w:rsidRPr="00771368" w:rsidRDefault="00D24E61">
      <w:pPr>
        <w:spacing w:line="264" w:lineRule="exact"/>
        <w:rPr>
          <w:sz w:val="20"/>
          <w:szCs w:val="20"/>
        </w:rPr>
      </w:pPr>
    </w:p>
    <w:p w:rsidR="00D24E61" w:rsidRPr="00771368" w:rsidRDefault="00D24E61">
      <w:pPr>
        <w:rPr>
          <w:sz w:val="20"/>
          <w:szCs w:val="20"/>
        </w:rPr>
      </w:pPr>
      <w:r w:rsidRPr="00771368">
        <w:rPr>
          <w:rFonts w:eastAsia="Helvetica"/>
          <w:b/>
          <w:bCs/>
          <w:sz w:val="24"/>
          <w:szCs w:val="24"/>
        </w:rPr>
        <w:t>LINKS</w:t>
      </w:r>
    </w:p>
    <w:p w:rsidR="00D24E61" w:rsidRPr="00771368" w:rsidRDefault="00D24E61">
      <w:pPr>
        <w:spacing w:line="234" w:lineRule="exact"/>
        <w:rPr>
          <w:sz w:val="20"/>
          <w:szCs w:val="20"/>
        </w:rPr>
      </w:pPr>
    </w:p>
    <w:p w:rsidR="00D24E61" w:rsidRPr="00771368" w:rsidRDefault="00D24E61">
      <w:pPr>
        <w:rPr>
          <w:sz w:val="20"/>
          <w:szCs w:val="20"/>
        </w:rPr>
      </w:pPr>
      <w:r w:rsidRPr="00771368">
        <w:rPr>
          <w:rFonts w:eastAsia="Helvetica"/>
          <w:color w:val="0000FF"/>
          <w:sz w:val="24"/>
          <w:szCs w:val="24"/>
          <w:u w:val="single"/>
        </w:rPr>
        <w:t>http://www.youtube.com/watch?v=-lWuPG_ZTrI</w:t>
      </w:r>
    </w:p>
    <w:p w:rsidR="00D24E61" w:rsidRPr="00771368" w:rsidRDefault="00D24E61">
      <w:pPr>
        <w:spacing w:line="234" w:lineRule="exact"/>
        <w:rPr>
          <w:sz w:val="20"/>
          <w:szCs w:val="20"/>
        </w:rPr>
      </w:pPr>
    </w:p>
    <w:p w:rsidR="00D24E61" w:rsidRPr="00771368" w:rsidRDefault="00D24E61">
      <w:pPr>
        <w:rPr>
          <w:sz w:val="20"/>
          <w:szCs w:val="20"/>
        </w:rPr>
      </w:pPr>
      <w:r w:rsidRPr="00771368">
        <w:rPr>
          <w:rFonts w:eastAsia="Helvetica"/>
          <w:color w:val="0000FF"/>
          <w:sz w:val="24"/>
          <w:szCs w:val="24"/>
          <w:u w:val="single"/>
        </w:rPr>
        <w:t>http://www.youtube.com/watch?v=CwN2CbkFXZg</w:t>
      </w:r>
    </w:p>
    <w:p w:rsidR="00D24E61" w:rsidRPr="00771368" w:rsidRDefault="00D24E61">
      <w:pPr>
        <w:spacing w:line="242" w:lineRule="exact"/>
        <w:rPr>
          <w:sz w:val="20"/>
          <w:szCs w:val="20"/>
        </w:rPr>
      </w:pPr>
    </w:p>
    <w:p w:rsidR="00D24E61" w:rsidRPr="00771368" w:rsidRDefault="00D24E61">
      <w:pPr>
        <w:spacing w:line="234" w:lineRule="auto"/>
        <w:ind w:right="120"/>
        <w:rPr>
          <w:sz w:val="20"/>
          <w:szCs w:val="20"/>
        </w:rPr>
      </w:pPr>
      <w:r w:rsidRPr="00771368">
        <w:rPr>
          <w:rFonts w:eastAsia="Helvetica"/>
          <w:color w:val="0000FF"/>
          <w:sz w:val="24"/>
          <w:szCs w:val="24"/>
          <w:u w:val="single"/>
        </w:rPr>
        <w:t>http://www.dailymotion.com/video/xtsqud_aline-de-barros-zorra-total-01-09-2012-strip-trem-quiz_fun</w:t>
      </w:r>
    </w:p>
    <w:p w:rsidR="00D24E61" w:rsidRPr="00771368" w:rsidRDefault="00D24E61">
      <w:pPr>
        <w:spacing w:line="242" w:lineRule="exact"/>
        <w:rPr>
          <w:sz w:val="20"/>
          <w:szCs w:val="20"/>
        </w:rPr>
      </w:pPr>
    </w:p>
    <w:p w:rsidR="00D24E61" w:rsidRPr="00771368" w:rsidRDefault="00D24E61">
      <w:pPr>
        <w:spacing w:line="234" w:lineRule="auto"/>
        <w:rPr>
          <w:sz w:val="20"/>
          <w:szCs w:val="20"/>
        </w:rPr>
      </w:pPr>
      <w:r w:rsidRPr="00771368">
        <w:rPr>
          <w:rFonts w:eastAsia="Helvetica"/>
          <w:color w:val="0000FF"/>
          <w:sz w:val="24"/>
          <w:szCs w:val="24"/>
          <w:u w:val="single"/>
        </w:rPr>
        <w:t>http://globotv.globo.com/rede-globo/zorra-total/t/personagens/v/sera-que-severino-vai-responder-direitinho-as-perguntas/2224248/</w:t>
      </w:r>
    </w:p>
    <w:p w:rsidR="00E86604" w:rsidRDefault="00E86604">
      <w:pPr>
        <w:ind w:left="504"/>
        <w:rPr>
          <w:b/>
          <w:bCs/>
          <w:sz w:val="24"/>
          <w:szCs w:val="24"/>
        </w:rPr>
      </w:pPr>
    </w:p>
    <w:p w:rsidR="00E86604" w:rsidRDefault="00E86604">
      <w:pPr>
        <w:ind w:left="504"/>
        <w:rPr>
          <w:b/>
          <w:bCs/>
          <w:sz w:val="24"/>
          <w:szCs w:val="24"/>
        </w:rPr>
      </w:pPr>
    </w:p>
    <w:p w:rsidR="00D24E61" w:rsidRPr="00771368" w:rsidRDefault="00D24E61">
      <w:pPr>
        <w:ind w:left="504"/>
        <w:rPr>
          <w:sz w:val="20"/>
          <w:szCs w:val="20"/>
        </w:rPr>
      </w:pPr>
      <w:r w:rsidRPr="00771368">
        <w:rPr>
          <w:b/>
          <w:bCs/>
          <w:sz w:val="24"/>
          <w:szCs w:val="24"/>
        </w:rPr>
        <w:t>MENINAS VIOLADAS. NUANCES PARA UMA REFLEXÃO DE GÊNERO</w:t>
      </w:r>
      <w:r w:rsidRPr="00771368">
        <w:rPr>
          <w:b/>
          <w:bCs/>
          <w:sz w:val="32"/>
          <w:szCs w:val="32"/>
          <w:vertAlign w:val="superscript"/>
        </w:rPr>
        <w:t>1</w:t>
      </w:r>
    </w:p>
    <w:p w:rsidR="00D24E61" w:rsidRPr="00771368" w:rsidRDefault="00D24E61">
      <w:pPr>
        <w:spacing w:line="200" w:lineRule="exact"/>
        <w:rPr>
          <w:sz w:val="24"/>
          <w:szCs w:val="24"/>
        </w:rPr>
      </w:pPr>
    </w:p>
    <w:p w:rsidR="00D24E61" w:rsidRPr="00771368" w:rsidRDefault="00D24E61">
      <w:pPr>
        <w:spacing w:line="256" w:lineRule="exact"/>
        <w:rPr>
          <w:sz w:val="24"/>
          <w:szCs w:val="24"/>
        </w:rPr>
      </w:pPr>
    </w:p>
    <w:p w:rsidR="00D24E61" w:rsidRPr="00771368" w:rsidRDefault="00D24E61">
      <w:pPr>
        <w:jc w:val="right"/>
        <w:rPr>
          <w:sz w:val="20"/>
          <w:szCs w:val="20"/>
        </w:rPr>
      </w:pPr>
      <w:bookmarkStart w:id="60" w:name="_Toc442034749"/>
      <w:r w:rsidRPr="00E86604">
        <w:rPr>
          <w:rStyle w:val="Ttulo1Char"/>
        </w:rPr>
        <w:t>Cristiane Soares de Oliveira</w:t>
      </w:r>
      <w:bookmarkEnd w:id="60"/>
      <w:r w:rsidRPr="00771368">
        <w:rPr>
          <w:i/>
          <w:iCs/>
          <w:sz w:val="32"/>
          <w:szCs w:val="32"/>
          <w:vertAlign w:val="superscript"/>
        </w:rPr>
        <w:t>2</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61" w:lineRule="exact"/>
        <w:rPr>
          <w:sz w:val="24"/>
          <w:szCs w:val="24"/>
        </w:rPr>
      </w:pPr>
    </w:p>
    <w:p w:rsidR="00D24E61" w:rsidRPr="00771368" w:rsidRDefault="00D24E61">
      <w:pPr>
        <w:ind w:left="4"/>
        <w:rPr>
          <w:sz w:val="20"/>
          <w:szCs w:val="20"/>
        </w:rPr>
      </w:pPr>
      <w:r w:rsidRPr="00771368">
        <w:rPr>
          <w:b/>
          <w:bCs/>
          <w:sz w:val="24"/>
          <w:szCs w:val="24"/>
        </w:rPr>
        <w:t>INTRODUÇÃO</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22" w:lineRule="exact"/>
        <w:rPr>
          <w:sz w:val="24"/>
          <w:szCs w:val="24"/>
        </w:rPr>
      </w:pPr>
    </w:p>
    <w:p w:rsidR="00D24E61" w:rsidRPr="00771368" w:rsidRDefault="00D24E61">
      <w:pPr>
        <w:spacing w:line="352" w:lineRule="auto"/>
        <w:ind w:left="4" w:right="20" w:firstLine="708"/>
        <w:jc w:val="both"/>
        <w:rPr>
          <w:sz w:val="20"/>
          <w:szCs w:val="20"/>
        </w:rPr>
      </w:pPr>
      <w:r w:rsidRPr="00771368">
        <w:rPr>
          <w:sz w:val="24"/>
          <w:szCs w:val="24"/>
        </w:rPr>
        <w:t>Definir violência não é uma tarefa fácil devido aos vários fatores que se conjugam e dão corpo a diversas práticas cujo fim é dominar, enfraquecer, e minimizar os sujeitos desconsiderando direitos adquiridos no percurso da história. Violência tem a ver com a subjetividade humana que, imersa num contexto social, cultural e histórico evolui e regride ao mesmo tempo e com o passar do tempo. Portanto, abordaremos nuances das diversas formas de violência de gênero, já que esgotar o tema não é possível, uma vez que o mesmo enquanto fenômeno estrutural é uma das expressões do modo de produção capitalista e das relações sociais que se naturalizam e se sustentam nele.</w:t>
      </w:r>
    </w:p>
    <w:p w:rsidR="00D24E61" w:rsidRPr="00771368" w:rsidRDefault="00D24E61">
      <w:pPr>
        <w:spacing w:line="75" w:lineRule="exact"/>
        <w:rPr>
          <w:sz w:val="24"/>
          <w:szCs w:val="24"/>
        </w:rPr>
      </w:pPr>
    </w:p>
    <w:p w:rsidR="00D24E61" w:rsidRPr="00771368" w:rsidRDefault="00D24E61">
      <w:pPr>
        <w:spacing w:line="352" w:lineRule="auto"/>
        <w:ind w:left="4" w:firstLine="708"/>
        <w:jc w:val="both"/>
        <w:rPr>
          <w:sz w:val="20"/>
          <w:szCs w:val="20"/>
        </w:rPr>
      </w:pPr>
      <w:r w:rsidRPr="00771368">
        <w:rPr>
          <w:sz w:val="24"/>
          <w:szCs w:val="24"/>
        </w:rPr>
        <w:t>A degradação das condições de vida das famílias, a retração do Estado, a precarização no mundo do trabalho e ineficiência das políticas públicas sociais têm ocasionado maior demanda por proteção social. É nesse contexto de crise do capital, de reestruturação produtiva e da perda de conquistas sociais que vivem as crianças e adolescentes no Brasil. Como consequência desse contexto, as desigualdades se acirram e o fenômeno do surgimento de bolsões de pobreza emerge, sendo que hoje, não apenas em torno dos grandes centros produtivos, mas também em municípios pequenos em virtude do enfraquecimento da produção familiar de subsistência.</w:t>
      </w:r>
    </w:p>
    <w:p w:rsidR="00D24E61" w:rsidRPr="00771368" w:rsidRDefault="00D24E61">
      <w:pPr>
        <w:spacing w:line="74" w:lineRule="exact"/>
        <w:rPr>
          <w:sz w:val="24"/>
          <w:szCs w:val="24"/>
        </w:rPr>
      </w:pPr>
    </w:p>
    <w:p w:rsidR="00D24E61" w:rsidRPr="00771368" w:rsidRDefault="00D24E61">
      <w:pPr>
        <w:spacing w:line="349" w:lineRule="auto"/>
        <w:ind w:left="4" w:right="20" w:firstLine="708"/>
        <w:jc w:val="both"/>
        <w:rPr>
          <w:sz w:val="20"/>
          <w:szCs w:val="20"/>
        </w:rPr>
      </w:pPr>
      <w:r w:rsidRPr="00771368">
        <w:rPr>
          <w:sz w:val="24"/>
          <w:szCs w:val="24"/>
        </w:rPr>
        <w:t>As questões referentes à criança e ao adolescente em situação de risco pessoal e/ou social têm dado origem a muitos estudos e pesquisas, à medida que aumenta a preocupação social acerca desse tema, que se torna atual e relevante. No Brasil em 1998 estimava-se que por ano ocorriam de 15 a 17 mil casos de abusos de meninas com menos de 18 anos, no mundo, uma em cada quatro meninas sofriam abuso sexual intrafamiliar. Embora novas leis tenham sido criadas, os números de violência com esse cunho de gênero não diminuíram e</w:t>
      </w:r>
    </w:p>
    <w:p w:rsidR="00D24E61" w:rsidRPr="00771368" w:rsidRDefault="00013211">
      <w:pPr>
        <w:spacing w:line="281" w:lineRule="exact"/>
        <w:rPr>
          <w:sz w:val="24"/>
          <w:szCs w:val="24"/>
        </w:rPr>
      </w:pPr>
      <w:r>
        <w:rPr>
          <w:noProof/>
          <w:sz w:val="24"/>
          <w:szCs w:val="24"/>
        </w:rPr>
        <mc:AlternateContent>
          <mc:Choice Requires="wps">
            <w:drawing>
              <wp:anchor distT="0" distB="0" distL="0" distR="0" simplePos="0" relativeHeight="251692544" behindDoc="0" locked="0" layoutInCell="0" allowOverlap="1">
                <wp:simplePos x="0" y="0"/>
                <wp:positionH relativeFrom="column">
                  <wp:posOffset>13970</wp:posOffset>
                </wp:positionH>
                <wp:positionV relativeFrom="paragraph">
                  <wp:posOffset>55880</wp:posOffset>
                </wp:positionV>
                <wp:extent cx="5796280" cy="0"/>
                <wp:effectExtent l="13970" t="8255" r="9525" b="10795"/>
                <wp:wrapNone/>
                <wp:docPr id="236"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9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pt,4.4pt" to="45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Q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" o:allowincell="f"/>
            </w:pict>
          </mc:Fallback>
        </mc:AlternateContent>
      </w:r>
    </w:p>
    <w:p w:rsidR="00D24E61" w:rsidRPr="00771368" w:rsidRDefault="00D24E61" w:rsidP="00D24E61">
      <w:pPr>
        <w:numPr>
          <w:ilvl w:val="0"/>
          <w:numId w:val="2"/>
        </w:numPr>
        <w:tabs>
          <w:tab w:val="left" w:pos="108"/>
        </w:tabs>
        <w:spacing w:line="202" w:lineRule="auto"/>
        <w:ind w:left="4" w:right="20" w:hanging="4"/>
        <w:jc w:val="both"/>
        <w:rPr>
          <w:sz w:val="26"/>
          <w:szCs w:val="26"/>
          <w:vertAlign w:val="superscript"/>
        </w:rPr>
      </w:pPr>
      <w:r w:rsidRPr="00771368">
        <w:rPr>
          <w:sz w:val="20"/>
          <w:szCs w:val="20"/>
        </w:rPr>
        <w:t>Este artigo foi derivado do Trabalho de Conclusão de Curso apresentado à Universidade Federal de Sergipe, no curso de Pós Graduação em Gestão de Políticas Públicas de Gênero e Raça ano de 2013, orientado pela Mestra em Educação Alessandra Conceição Monteiro Alves.</w:t>
      </w:r>
    </w:p>
    <w:p w:rsidR="00D24E61" w:rsidRPr="00771368" w:rsidRDefault="00D24E61">
      <w:pPr>
        <w:spacing w:line="53" w:lineRule="exact"/>
        <w:rPr>
          <w:sz w:val="26"/>
          <w:szCs w:val="26"/>
          <w:vertAlign w:val="superscript"/>
        </w:rPr>
      </w:pPr>
    </w:p>
    <w:p w:rsidR="00D24E61" w:rsidRPr="00771368" w:rsidRDefault="00D24E61" w:rsidP="00D24E61">
      <w:pPr>
        <w:numPr>
          <w:ilvl w:val="0"/>
          <w:numId w:val="2"/>
        </w:numPr>
        <w:tabs>
          <w:tab w:val="left" w:pos="124"/>
        </w:tabs>
        <w:spacing w:line="202" w:lineRule="auto"/>
        <w:ind w:left="4" w:hanging="4"/>
        <w:jc w:val="both"/>
        <w:rPr>
          <w:sz w:val="20"/>
          <w:szCs w:val="20"/>
        </w:rPr>
      </w:pPr>
      <w:r w:rsidRPr="00771368">
        <w:rPr>
          <w:sz w:val="20"/>
          <w:szCs w:val="20"/>
        </w:rPr>
        <w:t xml:space="preserve">Assistente Social, formada pela Faculdade José Augusto Vieira – FJAV Lagarto–SE; Especialista em Gestão de Políticas Publicas de Gênero e Raça pela Universidade Federal de Sergipe – UFS; </w:t>
      </w:r>
      <w:hyperlink r:id="rId342">
        <w:r w:rsidRPr="00771368">
          <w:rPr>
            <w:sz w:val="20"/>
            <w:szCs w:val="20"/>
            <w:u w:val="single"/>
          </w:rPr>
          <w:t>soaresdeoliveira.cristiane@gmail.com</w:t>
        </w:r>
        <w:r w:rsidRPr="00771368">
          <w:rPr>
            <w:sz w:val="20"/>
            <w:szCs w:val="20"/>
          </w:rPr>
          <w:t>.</w:t>
        </w:r>
      </w:hyperlink>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34" w:lineRule="auto"/>
        <w:ind w:right="20"/>
        <w:jc w:val="both"/>
        <w:rPr>
          <w:sz w:val="20"/>
          <w:szCs w:val="20"/>
        </w:rPr>
      </w:pPr>
      <w:r w:rsidRPr="00771368">
        <w:rPr>
          <w:sz w:val="24"/>
          <w:szCs w:val="24"/>
        </w:rPr>
        <w:t>mulheres de todas as faixas etárias e das diversas camadas sociais são atingidas por essa chaga social. Conforme dados do Instituto Avante Brasil - IAB, o número de mulheres assassinadas a cada mês no Brasil saltou de 113 para 372 em 30 anos.</w:t>
      </w:r>
    </w:p>
    <w:p w:rsidR="00D24E61" w:rsidRPr="00771368" w:rsidRDefault="00D24E61">
      <w:pPr>
        <w:spacing w:line="92" w:lineRule="exact"/>
        <w:rPr>
          <w:sz w:val="20"/>
          <w:szCs w:val="20"/>
        </w:rPr>
      </w:pPr>
    </w:p>
    <w:p w:rsidR="00D24E61" w:rsidRPr="00771368" w:rsidRDefault="00D24E61">
      <w:pPr>
        <w:spacing w:line="339" w:lineRule="auto"/>
        <w:ind w:firstLine="708"/>
        <w:jc w:val="both"/>
        <w:rPr>
          <w:sz w:val="20"/>
          <w:szCs w:val="20"/>
        </w:rPr>
      </w:pPr>
      <w:r w:rsidRPr="00771368">
        <w:rPr>
          <w:sz w:val="24"/>
          <w:szCs w:val="24"/>
        </w:rPr>
        <w:t>Conforme pesquisa da Secretaria Nacional de Políticas Públicas para as Mulheres - SPM que culminou com o Balanço Semestral do Disque 180 referente ao primeiro semestre de 2012, houve uma evolução significativa nos registros de denúncias de violência contra a mulher na comparação com o mesmo período de 2011. De primeiro de janeiro a 30 de junho de 2012, a média mensal de atendimentos pelo Disque 180</w:t>
      </w:r>
      <w:r w:rsidRPr="00771368">
        <w:rPr>
          <w:sz w:val="32"/>
          <w:szCs w:val="32"/>
          <w:vertAlign w:val="superscript"/>
        </w:rPr>
        <w:t>3</w:t>
      </w:r>
      <w:r w:rsidRPr="00771368">
        <w:rPr>
          <w:sz w:val="24"/>
          <w:szCs w:val="24"/>
        </w:rPr>
        <w:t xml:space="preserve"> foi de aproximadamente 65 mil denúncias. Em comparação com os seis primeiros meses de 2011, verifica-se um aumento de mais de13% no total de registros. Esse balanço ainda destacou a relação dos filhos e das filhas com a violência. Em 66,80% dos 47.555 relatos de violência, eles presenciaram as agressões cometidas contra suas mães. E em 18,38% dos registros, também sofreram a violência.</w:t>
      </w:r>
    </w:p>
    <w:p w:rsidR="00D24E61" w:rsidRPr="00771368" w:rsidRDefault="00D24E61">
      <w:pPr>
        <w:spacing w:line="87"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A proteção integral de que trata o Estatuto da Criança e do Adolescente (Lei 8.069 de 13 de julho de 1990), considera crianças e adolescentes como pessoa em condição peculiar de desenvolvimento e sujeitos de direitos, isto é, cidadãos integralmente, e não apenas objetos da atenção do Estado, da família e da sociedade.</w:t>
      </w:r>
    </w:p>
    <w:p w:rsidR="00D24E61" w:rsidRPr="00771368" w:rsidRDefault="00D24E61">
      <w:pPr>
        <w:spacing w:line="79" w:lineRule="exact"/>
        <w:rPr>
          <w:sz w:val="20"/>
          <w:szCs w:val="20"/>
        </w:rPr>
      </w:pPr>
    </w:p>
    <w:p w:rsidR="00D24E61" w:rsidRPr="00771368" w:rsidRDefault="00D24E61">
      <w:pPr>
        <w:spacing w:line="351" w:lineRule="auto"/>
        <w:ind w:firstLine="708"/>
        <w:jc w:val="both"/>
        <w:rPr>
          <w:sz w:val="20"/>
          <w:szCs w:val="20"/>
        </w:rPr>
      </w:pPr>
      <w:r w:rsidRPr="00771368">
        <w:rPr>
          <w:sz w:val="24"/>
          <w:szCs w:val="24"/>
        </w:rPr>
        <w:t>Assim, abordaremos a violência de gênero, em sua forma mais precoce, quando acontece na infância e principalmente contra meninas. Teremos por norte o objetivo de refletir sobre as questões de gênero que implicam nessa modalidade de violência e, especificamente investigaremos o contexto sócio histórico onde se manifestam as expressões da questão de gênero e as ações que vem sendo realizadas para o enfrentamento da violência contra meninas, destacando os avanços obtidos por meio das lutas dos diversos movimentos sociais que debatem gênero no cenário nacional.</w:t>
      </w:r>
    </w:p>
    <w:p w:rsidR="00D24E61" w:rsidRPr="00771368" w:rsidRDefault="00D24E61">
      <w:pPr>
        <w:spacing w:line="75"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Pode-se dizer que no desenvolvimento da pesquisa científica, a escolha do método a ser usado indica o posicionamento filosófico do pesquisador. Para o presente artigo adotou-se o método do materialismo histórico dialético, por esse se utilizar da interpretação da realidade, da visão de mundo e da práxis.</w:t>
      </w:r>
    </w:p>
    <w:p w:rsidR="00D24E61" w:rsidRPr="00771368" w:rsidRDefault="00D24E61">
      <w:pPr>
        <w:spacing w:line="83"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Richardson (1999) nos diz que o método científico supõe que, para estudar um fenômeno ele deve ser perceptível, sensível e classificável e ainda ressalta que a aceitação de determinada corrente cientifica implica a aceitação dos supostos que a caracterizam. Ainda ressalta que o “núcleo” da dialética continua a ser a investigação das contradições da realida-</w:t>
      </w:r>
    </w:p>
    <w:p w:rsidR="00D24E61" w:rsidRPr="00771368" w:rsidRDefault="00D24E61">
      <w:pPr>
        <w:spacing w:line="342" w:lineRule="auto"/>
        <w:ind w:right="20" w:firstLine="708"/>
        <w:jc w:val="both"/>
        <w:rPr>
          <w:sz w:val="20"/>
          <w:szCs w:val="20"/>
        </w:rPr>
        <w:sectPr w:rsidR="00D24E61" w:rsidRPr="00771368">
          <w:pgSz w:w="11900" w:h="16836"/>
          <w:pgMar w:top="1440" w:right="1400" w:bottom="1440" w:left="1420" w:header="0" w:footer="0" w:gutter="0"/>
          <w:cols w:space="720" w:equalWidth="0">
            <w:col w:w="9080"/>
          </w:cols>
        </w:sectPr>
      </w:pPr>
      <w:r w:rsidRPr="00771368">
        <w:rPr>
          <w:noProof/>
          <w:sz w:val="20"/>
          <w:szCs w:val="20"/>
        </w:rPr>
        <w:drawing>
          <wp:anchor distT="0" distB="0" distL="114300" distR="114300" simplePos="0" relativeHeight="251681792" behindDoc="1" locked="0" layoutInCell="0" allowOverlap="1">
            <wp:simplePos x="0" y="0"/>
            <wp:positionH relativeFrom="column">
              <wp:posOffset>-20955</wp:posOffset>
            </wp:positionH>
            <wp:positionV relativeFrom="paragraph">
              <wp:posOffset>115570</wp:posOffset>
            </wp:positionV>
            <wp:extent cx="5782945" cy="33020"/>
            <wp:effectExtent l="0" t="0" r="0" b="0"/>
            <wp:wrapNone/>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3" cstate="print">
                      <a:extLst/>
                    </a:blip>
                    <a:srcRect/>
                    <a:stretch>
                      <a:fillRect/>
                    </a:stretch>
                  </pic:blipFill>
                  <pic:spPr bwMode="auto">
                    <a:xfrm>
                      <a:off x="0" y="0"/>
                      <a:ext cx="5782945" cy="33020"/>
                    </a:xfrm>
                    <a:prstGeom prst="rect">
                      <a:avLst/>
                    </a:prstGeom>
                    <a:noFill/>
                  </pic:spPr>
                </pic:pic>
              </a:graphicData>
            </a:graphic>
          </wp:anchor>
        </w:drawing>
      </w:r>
    </w:p>
    <w:p w:rsidR="00D24E61" w:rsidRPr="00771368" w:rsidRDefault="00D24E61">
      <w:pPr>
        <w:spacing w:line="335" w:lineRule="exact"/>
        <w:rPr>
          <w:sz w:val="20"/>
          <w:szCs w:val="20"/>
        </w:rPr>
      </w:pPr>
    </w:p>
    <w:p w:rsidR="00D24E61" w:rsidRPr="00771368" w:rsidRDefault="00D24E61">
      <w:pPr>
        <w:spacing w:line="217" w:lineRule="auto"/>
        <w:jc w:val="both"/>
        <w:rPr>
          <w:sz w:val="20"/>
          <w:szCs w:val="20"/>
        </w:rPr>
      </w:pPr>
      <w:r w:rsidRPr="00771368">
        <w:rPr>
          <w:sz w:val="26"/>
          <w:szCs w:val="26"/>
          <w:vertAlign w:val="superscript"/>
        </w:rPr>
        <w:t>3</w:t>
      </w:r>
      <w:r w:rsidRPr="00771368">
        <w:rPr>
          <w:sz w:val="20"/>
          <w:szCs w:val="20"/>
        </w:rPr>
        <w:t xml:space="preserve"> Central de Atendimento à Mulher – Disque 180, É um serviço nacional e gratuito é uma importante porta de entrada na rede de atendimento para as mulheres. O Disque 180 é, também, fonte para subsidiar o desenho da política de enfretamento à violência e o monitoramento dos serviços que integram a rede em todo país.</w:t>
      </w:r>
    </w:p>
    <w:p w:rsidR="00D24E61" w:rsidRPr="00771368" w:rsidRDefault="00D24E61">
      <w:pPr>
        <w:sectPr w:rsidR="00D24E61" w:rsidRPr="00771368">
          <w:type w:val="continuous"/>
          <w:pgSz w:w="11900" w:h="16836"/>
          <w:pgMar w:top="144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11" w:lineRule="auto"/>
        <w:ind w:right="20"/>
        <w:jc w:val="both"/>
        <w:rPr>
          <w:sz w:val="20"/>
          <w:szCs w:val="20"/>
        </w:rPr>
      </w:pPr>
      <w:r w:rsidRPr="00771368">
        <w:rPr>
          <w:sz w:val="24"/>
          <w:szCs w:val="24"/>
        </w:rPr>
        <w:t>-de, pois “são essas a força propulsora do desenvolvimento da natureza” (RICHARDSON, 1999, P. 45).</w:t>
      </w:r>
    </w:p>
    <w:p w:rsidR="00D24E61" w:rsidRPr="00771368" w:rsidRDefault="00D24E61">
      <w:pPr>
        <w:spacing w:line="113" w:lineRule="exact"/>
        <w:rPr>
          <w:sz w:val="20"/>
          <w:szCs w:val="20"/>
        </w:rPr>
      </w:pPr>
    </w:p>
    <w:p w:rsidR="00D24E61" w:rsidRPr="00771368" w:rsidRDefault="00D24E61">
      <w:pPr>
        <w:spacing w:line="343" w:lineRule="auto"/>
        <w:ind w:firstLine="708"/>
        <w:jc w:val="both"/>
        <w:rPr>
          <w:sz w:val="20"/>
          <w:szCs w:val="20"/>
        </w:rPr>
      </w:pPr>
      <w:r w:rsidRPr="00771368">
        <w:rPr>
          <w:sz w:val="24"/>
          <w:szCs w:val="24"/>
        </w:rPr>
        <w:t>A dialética, segundo Gil (2008) fornece as bases para uma interpretação dinâmica e totalizante da realidade, já que estabelece que os fatos sociais não podem ser entendidos quando considerados isoladamente. Além disso, ela privilegia as mudanças qualitativas e se opõe ao modo de pensar em que a ordem quantitativa é a prioridade.</w:t>
      </w:r>
    </w:p>
    <w:p w:rsidR="00D24E61" w:rsidRPr="00771368" w:rsidRDefault="00D24E61">
      <w:pPr>
        <w:spacing w:line="79" w:lineRule="exact"/>
        <w:rPr>
          <w:sz w:val="20"/>
          <w:szCs w:val="20"/>
        </w:rPr>
      </w:pPr>
    </w:p>
    <w:p w:rsidR="00D24E61" w:rsidRPr="00771368" w:rsidRDefault="00D24E61">
      <w:pPr>
        <w:spacing w:line="350" w:lineRule="auto"/>
        <w:ind w:firstLine="708"/>
        <w:jc w:val="both"/>
        <w:rPr>
          <w:sz w:val="20"/>
          <w:szCs w:val="20"/>
        </w:rPr>
      </w:pPr>
      <w:r w:rsidRPr="00771368">
        <w:rPr>
          <w:sz w:val="24"/>
          <w:szCs w:val="24"/>
        </w:rPr>
        <w:t>Trazendo a discussão das categorias para o trabalho em questão, destaca-se a categoria possibilidade – realidade. Em Richardson (1999), a categoria possibilidade é conceituada como o que pode surgir pela uniformidade do desenvolvimento, mas que ainda não aconteceu. Já realidade é o que já aconteceu. Os objetos ou fenômenos não existem eternamente, podendo surgir e tornarem-se realidade conforme as respectivas condições. O conjunto dessas condições representa a possibilidade de surgimento do objeto ou fenômeno.</w:t>
      </w:r>
    </w:p>
    <w:p w:rsidR="00D24E61" w:rsidRPr="00771368" w:rsidRDefault="00D24E61">
      <w:pPr>
        <w:spacing w:line="70" w:lineRule="exact"/>
        <w:rPr>
          <w:sz w:val="20"/>
          <w:szCs w:val="20"/>
        </w:rPr>
      </w:pPr>
    </w:p>
    <w:p w:rsidR="00D24E61" w:rsidRPr="00771368" w:rsidRDefault="00D24E61">
      <w:pPr>
        <w:spacing w:line="347" w:lineRule="auto"/>
        <w:ind w:firstLine="708"/>
        <w:jc w:val="both"/>
        <w:rPr>
          <w:sz w:val="20"/>
          <w:szCs w:val="20"/>
        </w:rPr>
      </w:pPr>
      <w:r w:rsidRPr="00771368">
        <w:rPr>
          <w:sz w:val="24"/>
          <w:szCs w:val="24"/>
        </w:rPr>
        <w:t>Esta pesquisa tem um cunho bibliográfico e documental e, com base nisso pretende a priori refletir sobre as questões de gênero que implicam na violência contra meninas, para a partir desse primeiro passo fazer a análise das possibilidades. Possui ainda um caráter descritivo, posto que denuncia os tipos/formas de violências cometidas contra meninas e suas consequências físicas, emocionais e sociais.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1" w:lineRule="exact"/>
        <w:rPr>
          <w:sz w:val="20"/>
          <w:szCs w:val="20"/>
        </w:rPr>
      </w:pPr>
    </w:p>
    <w:p w:rsidR="00D24E61" w:rsidRPr="00771368" w:rsidRDefault="00D24E61">
      <w:pPr>
        <w:rPr>
          <w:sz w:val="20"/>
          <w:szCs w:val="20"/>
        </w:rPr>
      </w:pPr>
      <w:r w:rsidRPr="00771368">
        <w:rPr>
          <w:b/>
          <w:bCs/>
          <w:sz w:val="24"/>
          <w:szCs w:val="24"/>
        </w:rPr>
        <w:t>Contexto sócio histórico – nuances da violência de gênero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9"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 mulher ao longo do tempo mudou, (re) escreveu sua história com vistas, a garantir que os direitos adquiridos durante sua caminhada não ficassem apenas no universo das ideias, mas adquirisse um cunho real de acesso aos bens materiais e imateriais produzidos socialmente. Rompeu barreiras e hoje desempenha funções relevantes no cenário social e familiar.</w:t>
      </w:r>
    </w:p>
    <w:p w:rsidR="00D24E61" w:rsidRPr="00771368" w:rsidRDefault="00D24E61">
      <w:pPr>
        <w:spacing w:line="77"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Contudo, vivemos numa sociedade que historicamente legitimou a violência de gênero por meio de uma ideologia discriminatória, denominada de patriarcal, cujas raízes foram fincadas desde o processo de colonização e a sociedade atual, embora ciente e consciente das mazelas dessa questão social coíbe de forma muito tímida tais práticas.</w:t>
      </w:r>
    </w:p>
    <w:p w:rsidR="00D24E61" w:rsidRPr="00771368" w:rsidRDefault="00D24E61">
      <w:pPr>
        <w:spacing w:line="83"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Conforme Lage e Nader (2012), a ideologia patriarcal, legitimada, institucionalizada e garantida por lei fez do lar um lócus privilegiado para a violência de gênero.</w:t>
      </w:r>
    </w:p>
    <w:p w:rsidR="00D24E61" w:rsidRPr="00771368" w:rsidRDefault="00D24E61">
      <w:pPr>
        <w:sectPr w:rsidR="00D24E61" w:rsidRPr="00771368">
          <w:pgSz w:w="11900" w:h="16836"/>
          <w:pgMar w:top="1440" w:right="1400" w:bottom="1440" w:left="1420" w:header="0" w:footer="0" w:gutter="0"/>
          <w:cols w:space="720" w:equalWidth="0">
            <w:col w:w="9080"/>
          </w:cols>
        </w:sectPr>
      </w:pPr>
    </w:p>
    <w:p w:rsidR="00D24E61" w:rsidRPr="00771368" w:rsidRDefault="00D24E61">
      <w:pPr>
        <w:spacing w:line="24" w:lineRule="exact"/>
        <w:rPr>
          <w:sz w:val="20"/>
          <w:szCs w:val="20"/>
        </w:rPr>
      </w:pPr>
    </w:p>
    <w:p w:rsidR="00D24E61" w:rsidRPr="00771368" w:rsidRDefault="00D24E61">
      <w:pPr>
        <w:spacing w:line="235" w:lineRule="auto"/>
        <w:ind w:left="2260" w:right="20"/>
        <w:jc w:val="both"/>
        <w:rPr>
          <w:sz w:val="20"/>
          <w:szCs w:val="20"/>
        </w:rPr>
      </w:pPr>
      <w:r w:rsidRPr="00771368">
        <w:t>A ideologia patriarcal, que estruturava as relações conjugais e familiares desde o tempo em que o Brasil era uma colônia portuguesa, conferia aos homens um grande poder sobre as mulheres, justificando atos de violência cometidos por pais e maridos contra filhas e esposas. Nascida do estilo de vida das minorias dominantes, essa ideologia acabou influenciando todas as outras camadas da sociedade, disseminando entre os homens um sentimento de posse sobre o corpo feminino e atrelando a honra masculina ao comportamento das mulheres sob sua tutela. Assim, cabia a eles disciplinar e controlar as mulheres de família, sendo legitimo que, para isso, recorressem ao uso da força (LAGE; NADER, 2012, P. 287).</w:t>
      </w:r>
    </w:p>
    <w:p w:rsidR="00D24E61" w:rsidRPr="00771368" w:rsidRDefault="00D24E61">
      <w:pPr>
        <w:spacing w:line="200" w:lineRule="exact"/>
        <w:rPr>
          <w:sz w:val="20"/>
          <w:szCs w:val="20"/>
        </w:rPr>
      </w:pPr>
    </w:p>
    <w:p w:rsidR="00D24E61" w:rsidRPr="00771368" w:rsidRDefault="00D24E61">
      <w:pPr>
        <w:spacing w:line="272" w:lineRule="exact"/>
        <w:rPr>
          <w:sz w:val="20"/>
          <w:szCs w:val="20"/>
        </w:rPr>
      </w:pPr>
    </w:p>
    <w:p w:rsidR="00D24E61" w:rsidRPr="00771368" w:rsidRDefault="00D24E61">
      <w:pPr>
        <w:spacing w:line="353" w:lineRule="auto"/>
        <w:ind w:right="20" w:firstLine="708"/>
        <w:jc w:val="both"/>
        <w:rPr>
          <w:sz w:val="20"/>
          <w:szCs w:val="20"/>
        </w:rPr>
      </w:pPr>
      <w:r w:rsidRPr="00771368">
        <w:rPr>
          <w:sz w:val="24"/>
          <w:szCs w:val="24"/>
        </w:rPr>
        <w:t>As considerações de Lage e Nader (2007) propõem que o nosso olhar seja ampliado sobre as desigualdades entre mulheres e homens, uma vez que essas se referem à construção social e aos antagonismos presentes na diferenciada educação e socialização de ambos. Nesse ponto, sugere-se refletir gênero enquanto diferenças biológicas, ligadas a sexo, que são compreendidas socialmente, naturalizadas e hierarquizadas. Logo, quando se fala de gênero, está-se falando de relações desiguais, de status social desigual, o que dificulta, impossibilita ou nega o acesso dos direitos à mulher, que é a parte, historicamente, não reconhecida como portadora dos mesmos (LEMOS, 2005).</w:t>
      </w:r>
    </w:p>
    <w:p w:rsidR="00D24E61" w:rsidRPr="00771368" w:rsidRDefault="00D24E61">
      <w:pPr>
        <w:spacing w:line="65" w:lineRule="exact"/>
        <w:rPr>
          <w:sz w:val="20"/>
          <w:szCs w:val="20"/>
        </w:rPr>
      </w:pPr>
    </w:p>
    <w:p w:rsidR="00D24E61" w:rsidRPr="00771368" w:rsidRDefault="00D24E61">
      <w:pPr>
        <w:spacing w:line="343" w:lineRule="auto"/>
        <w:ind w:firstLine="708"/>
        <w:jc w:val="both"/>
        <w:rPr>
          <w:sz w:val="20"/>
          <w:szCs w:val="20"/>
        </w:rPr>
      </w:pPr>
      <w:r w:rsidRPr="00771368">
        <w:rPr>
          <w:sz w:val="24"/>
          <w:szCs w:val="24"/>
        </w:rPr>
        <w:t>Junto com as mulheres, as famílias também mudaram. Essa mudança passa a ser percebida de forma mais evidente a partir do século XIX, quando a condição de subalternidade de ambas - mulher e família - passou a ser questionada e o modelo patriarcal deixou ser pensado como a única alternativa possível.</w:t>
      </w:r>
    </w:p>
    <w:p w:rsidR="00D24E61" w:rsidRPr="00771368" w:rsidRDefault="00D24E61">
      <w:pPr>
        <w:spacing w:line="200" w:lineRule="exact"/>
        <w:rPr>
          <w:sz w:val="20"/>
          <w:szCs w:val="20"/>
        </w:rPr>
      </w:pPr>
    </w:p>
    <w:p w:rsidR="00D24E61" w:rsidRPr="00771368" w:rsidRDefault="00D24E61">
      <w:pPr>
        <w:spacing w:line="290" w:lineRule="exact"/>
        <w:rPr>
          <w:sz w:val="20"/>
          <w:szCs w:val="20"/>
        </w:rPr>
      </w:pPr>
    </w:p>
    <w:p w:rsidR="00D24E61" w:rsidRPr="00771368" w:rsidRDefault="00D24E61">
      <w:pPr>
        <w:spacing w:line="231" w:lineRule="auto"/>
        <w:ind w:left="2260" w:right="20"/>
        <w:jc w:val="both"/>
        <w:rPr>
          <w:sz w:val="20"/>
          <w:szCs w:val="20"/>
        </w:rPr>
      </w:pPr>
      <w:r w:rsidRPr="00771368">
        <w:t>Na ordem patriarcal, a mulher deveria obedecer a pai e marido, passando da autoridade de um para a do outro através de um casamento monogâmico e indissolúvel. O domínio masculino era indiscutível. Os projetos individuais e as manifestações de desejos e sentimentos particulares tinham pouco ou nenhum espaço quando o que importava era o grupo familiar e, dentro dele, a vontade do seu chefe, o patriarca, era soberana (SCOTT, 2012, P. 16).</w:t>
      </w:r>
    </w:p>
    <w:p w:rsidR="00D24E61" w:rsidRPr="00771368" w:rsidRDefault="00D24E61">
      <w:pPr>
        <w:spacing w:line="200" w:lineRule="exact"/>
        <w:rPr>
          <w:sz w:val="20"/>
          <w:szCs w:val="20"/>
        </w:rPr>
      </w:pPr>
    </w:p>
    <w:p w:rsidR="00D24E61" w:rsidRPr="00771368" w:rsidRDefault="00D24E61">
      <w:pPr>
        <w:spacing w:line="276"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Falar em família neste começo de século XXI implica referendar mudanças dos paradigmas historicamente difusos na sociedade. Fragilizada, torna-se cada vez mais difícil defini-la enquanto célula mor da sociedade. Vivemos uma época, em que “a família além de sofrer importantes abalos internos tem sido alvo de marcantes interferências externas”</w:t>
      </w:r>
    </w:p>
    <w:p w:rsidR="00D24E61" w:rsidRPr="00771368" w:rsidRDefault="00D24E61">
      <w:pPr>
        <w:spacing w:line="25" w:lineRule="exact"/>
        <w:rPr>
          <w:sz w:val="20"/>
          <w:szCs w:val="20"/>
        </w:rPr>
      </w:pPr>
    </w:p>
    <w:p w:rsidR="00D24E61" w:rsidRPr="00771368" w:rsidRDefault="00D24E61">
      <w:pPr>
        <w:rPr>
          <w:sz w:val="20"/>
          <w:szCs w:val="20"/>
        </w:rPr>
      </w:pPr>
      <w:r w:rsidRPr="00771368">
        <w:rPr>
          <w:sz w:val="24"/>
          <w:szCs w:val="24"/>
        </w:rPr>
        <w:t>(ACOSTA, 2008, P. 21).</w:t>
      </w:r>
    </w:p>
    <w:p w:rsidR="00D24E61" w:rsidRPr="00771368" w:rsidRDefault="00D24E61">
      <w:pPr>
        <w:spacing w:line="194"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No imaginário popular existe um estereótipo de “família perfeita”, formada tradicionalmente por pai, mãe e filhos. Esse modelo, socialmente determinado, por dispositivos jurídicos, médicos, psicológicos, religiosos e pedagógicos, vem ruindo a cada dia, e consequentemente novos modelos estão emergindo.</w:t>
      </w:r>
    </w:p>
    <w:p w:rsidR="00D24E61" w:rsidRPr="00771368" w:rsidRDefault="00D24E61">
      <w:pPr>
        <w:sectPr w:rsidR="00D24E61" w:rsidRPr="00771368">
          <w:pgSz w:w="11900" w:h="16836"/>
          <w:pgMar w:top="1440" w:right="1400" w:bottom="144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54" w:lineRule="auto"/>
        <w:ind w:firstLine="708"/>
        <w:jc w:val="both"/>
        <w:rPr>
          <w:sz w:val="20"/>
          <w:szCs w:val="20"/>
        </w:rPr>
      </w:pPr>
      <w:r w:rsidRPr="00771368">
        <w:rPr>
          <w:sz w:val="24"/>
          <w:szCs w:val="24"/>
        </w:rPr>
        <w:t>Retomando o final do século XIX e boa parte do XX pode-se afirmar que alguns fatores corroboraram para a mudança qualitativa e, porque não dizer, quantitativa da família. A nova família e a nova mulher desse período transformaram-se em ordem, quantidade e estrutura devido entre outros, a abolição da escravatura, ao processo de êxodo rural e industrialização e ao advento da república brasileira, esses eventos provocaram o enfraquecimento do autoritarismo patriarcal que era fortalecido pela existência de uma sociedade escravocrata. Com as I e II Guerras Mundiais (1914 - 1918 e 1939 - 1945, respectivamente), quando os homens foram chamados para as frentes de batalha as mulheres também tiveram seu fronte, passando a assumir as responsabilidades da família, inclusive no mercado de trabalho.</w:t>
      </w:r>
    </w:p>
    <w:p w:rsidR="00D24E61" w:rsidRPr="00771368" w:rsidRDefault="00D24E61">
      <w:pPr>
        <w:spacing w:line="200" w:lineRule="exact"/>
        <w:rPr>
          <w:sz w:val="20"/>
          <w:szCs w:val="20"/>
        </w:rPr>
      </w:pPr>
    </w:p>
    <w:p w:rsidR="00D24E61" w:rsidRPr="00771368" w:rsidRDefault="00D24E61">
      <w:pPr>
        <w:spacing w:line="281" w:lineRule="exact"/>
        <w:rPr>
          <w:sz w:val="20"/>
          <w:szCs w:val="20"/>
        </w:rPr>
      </w:pPr>
    </w:p>
    <w:p w:rsidR="00D24E61" w:rsidRPr="00771368" w:rsidRDefault="00D24E61">
      <w:pPr>
        <w:spacing w:line="213" w:lineRule="auto"/>
        <w:ind w:left="2260" w:right="20"/>
        <w:jc w:val="both"/>
        <w:rPr>
          <w:sz w:val="20"/>
          <w:szCs w:val="20"/>
        </w:rPr>
      </w:pPr>
      <w:r w:rsidRPr="00771368">
        <w:t>Sublinhe-se ainda que foi somente no ano de 1943 que a legislação brasileira concedeu permissão para a mulher casada trabalhar fora de casa sem a</w:t>
      </w:r>
    </w:p>
    <w:p w:rsidR="00D24E61" w:rsidRPr="00771368" w:rsidRDefault="00D24E61">
      <w:pPr>
        <w:spacing w:line="55" w:lineRule="exact"/>
        <w:rPr>
          <w:sz w:val="20"/>
          <w:szCs w:val="20"/>
        </w:rPr>
      </w:pPr>
    </w:p>
    <w:p w:rsidR="00D24E61" w:rsidRPr="00771368" w:rsidRDefault="00D24E61">
      <w:pPr>
        <w:spacing w:line="233" w:lineRule="auto"/>
        <w:ind w:left="2260" w:right="20"/>
        <w:jc w:val="both"/>
        <w:rPr>
          <w:sz w:val="20"/>
          <w:szCs w:val="20"/>
        </w:rPr>
      </w:pPr>
      <w:r w:rsidRPr="00771368">
        <w:t>“autorização expressa do marido”. A situação de dependência e subordinação das esposas em relação aos maridos estava reconhecida por lei desde o Código Civil de 1916. Neste código, o status civil da mulher casada era equiparada ao “dos menores, dos silvícolas e dos alienados”, ou seja, “civilmente incapaz”. (...) Contudo, as mulheres pobres, mesmo alijadas dos postos de trabalho nas indústrias, não deixaram de combinar atividades domésticas com as que pudessem gerar rendimentos para garantir condições mínimas de sobrevivência para sua família (SCOTT, 2012, P. 20).</w:t>
      </w:r>
    </w:p>
    <w:p w:rsidR="00D24E61" w:rsidRPr="00771368" w:rsidRDefault="00D24E61">
      <w:pPr>
        <w:spacing w:line="200" w:lineRule="exact"/>
        <w:rPr>
          <w:sz w:val="20"/>
          <w:szCs w:val="20"/>
        </w:rPr>
      </w:pPr>
    </w:p>
    <w:p w:rsidR="00D24E61" w:rsidRPr="00771368" w:rsidRDefault="00D24E61">
      <w:pPr>
        <w:spacing w:line="281"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A existência de uma legislação no pós 1943 não foi suficiente para garantir às mulheres trabalhadoras condições de trabalho, salário e segurança muitas delas continuaram a serem vítimas de violência fora do lar, pois, a essência da dominação machista permaneceu intacta, muito embora camuflada por tantas mudanças.</w:t>
      </w:r>
    </w:p>
    <w:p w:rsidR="00D24E61" w:rsidRPr="00771368" w:rsidRDefault="00D24E61">
      <w:pPr>
        <w:spacing w:line="83" w:lineRule="exact"/>
        <w:rPr>
          <w:sz w:val="20"/>
          <w:szCs w:val="20"/>
        </w:rPr>
      </w:pPr>
    </w:p>
    <w:p w:rsidR="00D24E61" w:rsidRPr="00771368" w:rsidRDefault="00D24E61">
      <w:pPr>
        <w:spacing w:line="349" w:lineRule="auto"/>
        <w:ind w:firstLine="708"/>
        <w:jc w:val="both"/>
        <w:rPr>
          <w:sz w:val="20"/>
          <w:szCs w:val="20"/>
        </w:rPr>
      </w:pPr>
      <w:r w:rsidRPr="00771368">
        <w:rPr>
          <w:sz w:val="24"/>
          <w:szCs w:val="24"/>
        </w:rPr>
        <w:t>Valendo-me da máxima que diz: “nada se cria, tudo se copia”, ouso afirmar que a sociedade moderna brasileira do inicio do século XX, copiou diversos hábitos, costumes e vícios europeus, com vistas à reprodução de uma sociedade moderna, com isso, a família tradicionalmente ampliada, composta por pai, mãe, filhos, parentes, dependentes, agregados e servos foi substituída pela família nuclear, formada apenas por pai, mãe e filhos a fim de, atender às exigências de privacidade orientados pela burguesia.</w:t>
      </w:r>
    </w:p>
    <w:p w:rsidR="00D24E61" w:rsidRPr="00771368" w:rsidRDefault="00D24E61">
      <w:pPr>
        <w:spacing w:line="77"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Nesse contexto a mãe foi elevada ao papel de “rainha do lar” e conduzida à saída do mercado de trabalho e a retomada das mesmas atribuições anteriores, de ser mãe dedicada, boa dona de casa, religiosa, no entanto, podia também ser esposa afetuosa e até podia opinar em algumas situações. Para a construção dessa “nova sociedade” inspirada nos moldes europeus</w:t>
      </w:r>
    </w:p>
    <w:p w:rsidR="00D24E61" w:rsidRPr="00771368" w:rsidRDefault="00D24E61">
      <w:pPr>
        <w:sectPr w:rsidR="00D24E61" w:rsidRPr="00771368">
          <w:pgSz w:w="11900" w:h="16836"/>
          <w:pgMar w:top="1440" w:right="1400" w:bottom="1440" w:left="1420" w:header="0" w:footer="0" w:gutter="0"/>
          <w:cols w:space="720" w:equalWidth="0">
            <w:col w:w="9080"/>
          </w:cols>
        </w:sectPr>
      </w:pPr>
    </w:p>
    <w:p w:rsidR="00D24E61" w:rsidRPr="00771368" w:rsidRDefault="00D24E61">
      <w:pPr>
        <w:spacing w:line="24" w:lineRule="exact"/>
        <w:rPr>
          <w:sz w:val="20"/>
          <w:szCs w:val="20"/>
        </w:rPr>
      </w:pPr>
    </w:p>
    <w:p w:rsidR="00D24E61" w:rsidRPr="00771368" w:rsidRDefault="00D24E61">
      <w:pPr>
        <w:spacing w:line="232" w:lineRule="auto"/>
        <w:ind w:left="2260" w:right="20"/>
        <w:jc w:val="both"/>
        <w:rPr>
          <w:sz w:val="20"/>
          <w:szCs w:val="20"/>
        </w:rPr>
      </w:pPr>
      <w:r w:rsidRPr="00771368">
        <w:t>O papel das mulheres/mães das famílias das classes populares seria, então, aquele de formar o “trabalhador ideal” que já sairia de casa com hábitos de rotina doméstica, ciente de suas responsabilidades, sem vícios, adaptados à disciplina do trabalho. Enfim, cabia a mulher manter a família “higienizada” que se pretendia, afinal eram elas, as mães, as responsáveis pela formação de uma descendência saudável, cuidando e vigiando o comportamento e as escolhas de seus filhos e filhas (SCOTT, 2012, P. 18).</w:t>
      </w:r>
    </w:p>
    <w:p w:rsidR="00D24E61" w:rsidRPr="00771368" w:rsidRDefault="00D24E61">
      <w:pPr>
        <w:spacing w:line="200" w:lineRule="exact"/>
        <w:rPr>
          <w:sz w:val="20"/>
          <w:szCs w:val="20"/>
        </w:rPr>
      </w:pPr>
    </w:p>
    <w:p w:rsidR="00D24E61" w:rsidRPr="00771368" w:rsidRDefault="00D24E61">
      <w:pPr>
        <w:spacing w:line="282"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Assim, nas entrelinhas estava o dever da mulher em fazer essa “nova sociedade” dar certo, também ficou implícito a transferência à mulher da responsabilidade pelos bons e maus comportamentos sociais. Em 1941 o Decreto-Lei 3.200, assinado pelo presidente Getúlio Vargas, afirmava que o Estado faria educar a infância e a juventude para a família:</w:t>
      </w:r>
    </w:p>
    <w:p w:rsidR="00D24E61" w:rsidRPr="00771368" w:rsidRDefault="00D24E61">
      <w:pPr>
        <w:spacing w:line="25" w:lineRule="exact"/>
        <w:rPr>
          <w:sz w:val="20"/>
          <w:szCs w:val="20"/>
        </w:rPr>
      </w:pPr>
    </w:p>
    <w:p w:rsidR="00D24E61" w:rsidRPr="00771368" w:rsidRDefault="00D24E61">
      <w:pPr>
        <w:ind w:left="700"/>
        <w:rPr>
          <w:sz w:val="20"/>
          <w:szCs w:val="20"/>
        </w:rPr>
      </w:pPr>
      <w:r w:rsidRPr="00771368">
        <w:rPr>
          <w:sz w:val="24"/>
          <w:szCs w:val="24"/>
        </w:rPr>
        <w:t>Rosemberg (2012) destaca: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6" w:lineRule="exact"/>
        <w:rPr>
          <w:sz w:val="20"/>
          <w:szCs w:val="20"/>
        </w:rPr>
      </w:pPr>
    </w:p>
    <w:p w:rsidR="00D24E61" w:rsidRPr="00771368" w:rsidRDefault="00D24E61">
      <w:pPr>
        <w:spacing w:line="229" w:lineRule="auto"/>
        <w:ind w:left="2260" w:right="20"/>
        <w:jc w:val="both"/>
        <w:rPr>
          <w:sz w:val="20"/>
          <w:szCs w:val="20"/>
        </w:rPr>
      </w:pPr>
      <w:r w:rsidRPr="00771368">
        <w:t>Em um breve panorama, vemos que, no Brasil, denegou-se a educação formal às mulheres em nome de sua “natureza corruptível”: o modelo de educação feminina virtuosa até o século XIX era o de Sant’Anna Mestra, a avó de Cristo, que ensina a Virgem, sua filha, com seu livro de preces. Posteriormente, sustentou-se a necessidade de se educar as mulheres</w:t>
      </w:r>
    </w:p>
    <w:p w:rsidR="00D24E61" w:rsidRPr="00771368" w:rsidRDefault="00D24E61">
      <w:pPr>
        <w:spacing w:line="57" w:lineRule="exact"/>
        <w:rPr>
          <w:sz w:val="20"/>
          <w:szCs w:val="20"/>
        </w:rPr>
      </w:pPr>
    </w:p>
    <w:p w:rsidR="00D24E61" w:rsidRPr="00771368" w:rsidRDefault="00D24E61">
      <w:pPr>
        <w:spacing w:line="222" w:lineRule="auto"/>
        <w:ind w:left="2260" w:right="20"/>
        <w:jc w:val="both"/>
        <w:rPr>
          <w:sz w:val="20"/>
          <w:szCs w:val="20"/>
        </w:rPr>
      </w:pPr>
      <w:r w:rsidRPr="00771368">
        <w:t>(comedidamente, porém) porque elas seriam “educadoras de homens”, necessários a nação. Defendeu-se a educação diferenciada, porque mulheres eram tidas como menos inteligentes e mais frágeis que os homens. Incluiu-se</w:t>
      </w:r>
    </w:p>
    <w:p w:rsidR="00D24E61" w:rsidRPr="00771368" w:rsidRDefault="00D24E61">
      <w:pPr>
        <w:spacing w:line="59" w:lineRule="exact"/>
        <w:rPr>
          <w:sz w:val="20"/>
          <w:szCs w:val="20"/>
        </w:rPr>
      </w:pPr>
    </w:p>
    <w:p w:rsidR="00D24E61" w:rsidRPr="00771368" w:rsidRDefault="00D24E61">
      <w:pPr>
        <w:spacing w:line="226" w:lineRule="auto"/>
        <w:ind w:left="2260" w:right="20"/>
        <w:jc w:val="both"/>
        <w:rPr>
          <w:sz w:val="20"/>
          <w:szCs w:val="20"/>
        </w:rPr>
      </w:pPr>
      <w:r w:rsidRPr="00771368">
        <w:t>Economia Doméstica em seu currículo, porque “a mulher é a rainha do lar”. Criticou-se a escola mista, por ser “promíscua”. Estimulou-se a formação de professoras, porque elas, “verdadeiras mães”, têm “vocação para o sacerdócio” que é o magistério (ROSEMBERG, 2012, P. 338).</w:t>
      </w:r>
    </w:p>
    <w:p w:rsidR="00D24E61" w:rsidRPr="00771368" w:rsidRDefault="00D24E61">
      <w:pPr>
        <w:spacing w:line="200" w:lineRule="exact"/>
        <w:rPr>
          <w:sz w:val="20"/>
          <w:szCs w:val="20"/>
        </w:rPr>
      </w:pPr>
    </w:p>
    <w:p w:rsidR="00D24E61" w:rsidRPr="00771368" w:rsidRDefault="00D24E61">
      <w:pPr>
        <w:spacing w:line="276"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 partir da década de 1960 ocorreram novos episódios que contribuíram para que chegássemos ao atual retrato da condição da mulher e da família, difundiu-se a pílula anticoncepcional, fato esse, que segundo Acosta (2008), criou as condições para que a mulher deixasse de ter sua vida e sexualidade atada à maternidade e ao lar, nesse momento houve uma ampliação das possibilidades de atuação da mulher, no mundo social.</w:t>
      </w:r>
    </w:p>
    <w:p w:rsidR="00D24E61" w:rsidRPr="00771368" w:rsidRDefault="00D24E61">
      <w:pPr>
        <w:spacing w:line="78" w:lineRule="exact"/>
        <w:rPr>
          <w:sz w:val="20"/>
          <w:szCs w:val="20"/>
        </w:rPr>
      </w:pPr>
    </w:p>
    <w:p w:rsidR="00D24E61" w:rsidRPr="00771368" w:rsidRDefault="00D24E61">
      <w:pPr>
        <w:spacing w:line="349" w:lineRule="auto"/>
        <w:ind w:firstLine="708"/>
        <w:jc w:val="both"/>
        <w:rPr>
          <w:sz w:val="20"/>
          <w:szCs w:val="20"/>
        </w:rPr>
      </w:pPr>
      <w:r w:rsidRPr="00771368">
        <w:rPr>
          <w:sz w:val="24"/>
          <w:szCs w:val="24"/>
        </w:rPr>
        <w:t>Segundo Scott (2012) apesar de um horizonte de possibilidades, nessa década, ainda era tido como altamente desejável que a mulher se casasse, tivesse filhos e pudesse se dedicar integralmente à família e era isso, que a maioria das mães ensinava às filhas. Casamento e procriação continuavam a ser o “melhor destino” da mulher; ser mãe conferia-lhe uma posição de prestígio na sociedade, não desempenhar o papel materno seria algo como “trair a essência feminina”.</w:t>
      </w:r>
    </w:p>
    <w:p w:rsidR="00D24E61" w:rsidRPr="00771368" w:rsidRDefault="00D24E61">
      <w:pPr>
        <w:spacing w:line="73" w:lineRule="exact"/>
        <w:rPr>
          <w:sz w:val="20"/>
          <w:szCs w:val="20"/>
        </w:rPr>
      </w:pPr>
    </w:p>
    <w:p w:rsidR="00D24E61" w:rsidRPr="00771368" w:rsidRDefault="00D24E61">
      <w:pPr>
        <w:spacing w:line="334" w:lineRule="auto"/>
        <w:ind w:firstLine="708"/>
        <w:jc w:val="both"/>
        <w:rPr>
          <w:sz w:val="20"/>
          <w:szCs w:val="20"/>
        </w:rPr>
      </w:pPr>
      <w:r w:rsidRPr="00771368">
        <w:rPr>
          <w:sz w:val="24"/>
          <w:szCs w:val="24"/>
        </w:rPr>
        <w:t>Combatendo essas ideias, em 1970 houve o aumento da participação feminina no mercado de trabalho e ampliação da luta das mulheres por crescimento e reconhecimento profissional; através do maior acesso à educação formal. Nesse contexto, o poder decidir se, e</w:t>
      </w:r>
    </w:p>
    <w:p w:rsidR="00D24E61" w:rsidRPr="00771368" w:rsidRDefault="00D24E61">
      <w:pPr>
        <w:sectPr w:rsidR="00D24E61" w:rsidRPr="00771368">
          <w:pgSz w:w="11900" w:h="16836"/>
          <w:pgMar w:top="1440" w:right="1400" w:bottom="144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3" w:lineRule="auto"/>
        <w:ind w:right="20"/>
        <w:jc w:val="both"/>
        <w:rPr>
          <w:sz w:val="20"/>
          <w:szCs w:val="20"/>
        </w:rPr>
      </w:pPr>
      <w:r w:rsidRPr="00771368">
        <w:rPr>
          <w:sz w:val="24"/>
          <w:szCs w:val="24"/>
        </w:rPr>
        <w:t>quando, ser mãe e a instituição do divórcio oportunizou a possibilidade de estabelecer outros relacionamentos afetivos socialmente reconhecidos. Ainda assim, tal comportamento era considerado fora do padrão para as “mulheres honestas” justificando a violência como forma de disciplina, culpando no fim das contas, a mulher pelas agressões sofridas.</w:t>
      </w:r>
    </w:p>
    <w:p w:rsidR="00D24E61" w:rsidRPr="00771368" w:rsidRDefault="00D24E61">
      <w:pPr>
        <w:spacing w:line="78"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O esforço para que a lei reconhecesse formalmente a igualdade de homens e mulheres, foi induzido pela Constituição de 1988, com a subsequente incorporação dessa mudança em 1992 no novo Código Civil. (SCOTT, 2012, P. 25).</w:t>
      </w:r>
    </w:p>
    <w:p w:rsidR="00D24E61" w:rsidRPr="00771368" w:rsidRDefault="00D24E61">
      <w:pPr>
        <w:spacing w:line="92" w:lineRule="exact"/>
        <w:rPr>
          <w:sz w:val="20"/>
          <w:szCs w:val="20"/>
        </w:rPr>
      </w:pPr>
    </w:p>
    <w:p w:rsidR="00D24E61" w:rsidRPr="00771368" w:rsidRDefault="00D24E61">
      <w:pPr>
        <w:spacing w:line="349" w:lineRule="auto"/>
        <w:ind w:right="20" w:firstLine="708"/>
        <w:jc w:val="both"/>
        <w:rPr>
          <w:sz w:val="20"/>
          <w:szCs w:val="20"/>
        </w:rPr>
      </w:pPr>
      <w:r w:rsidRPr="00771368">
        <w:rPr>
          <w:sz w:val="24"/>
          <w:szCs w:val="24"/>
        </w:rPr>
        <w:t>Na década de 1990, os processos de mudanças familiares ganham novos impulsos, com a difusão do exame do DNA, que permite a identificação da paternidade. Essa forma de intervenção tecnológica abalou as bases patriarcais, uma vez que a comprovação da paternidade abriu caminho, para que esta seja reivindicada, causando impacto na atitude tradicional de irresponsabilidade masculina em relação aos filhos, o que significa um recurso de proteção para a mulher, mas, sobretudo para a criança (ACOSTA, VITALE, 2008).</w:t>
      </w:r>
    </w:p>
    <w:p w:rsidR="00D24E61" w:rsidRPr="00771368" w:rsidRDefault="00D24E61">
      <w:pPr>
        <w:spacing w:line="77"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Historicamente, o espaço público era restrito aos homens como cidadãos, tendo sido as mulheres dele excluídas durante muitos séculos, confinadas no mundo doméstico. Em todas as sociedades há uma divisão do trabalho entre homens e mulheres que permite que as tarefas necessárias à produção e à reprodução sejam cumpridas, esse fenômeno é compreendido como a “divisão sexual do trabalho”.</w:t>
      </w:r>
    </w:p>
    <w:p w:rsidR="00D24E61" w:rsidRPr="00771368" w:rsidRDefault="00D24E61">
      <w:pPr>
        <w:spacing w:line="73" w:lineRule="exact"/>
        <w:rPr>
          <w:sz w:val="20"/>
          <w:szCs w:val="20"/>
        </w:rPr>
      </w:pPr>
    </w:p>
    <w:p w:rsidR="00D24E61" w:rsidRPr="00771368" w:rsidRDefault="00D24E61">
      <w:pPr>
        <w:spacing w:line="351" w:lineRule="auto"/>
        <w:ind w:firstLine="708"/>
        <w:jc w:val="both"/>
        <w:rPr>
          <w:sz w:val="20"/>
          <w:szCs w:val="20"/>
        </w:rPr>
      </w:pPr>
      <w:r w:rsidRPr="00771368">
        <w:rPr>
          <w:sz w:val="24"/>
          <w:szCs w:val="24"/>
        </w:rPr>
        <w:t>Certamente não existe um único modelo para essa divisão sexual do trabalho, porém o que se observa é que, a despeito de diferenças culturais no modo como as distintas sociedades humanas se organizam, as mulheres estão sempre mais voltadas ao cuidado dos/as filhos/as e ao trabalho doméstico, como consequência natural de a reprodução ocorrer em seus corpos. Já os homens geralmente estão mais voltados às atividades relativas à produção de bens e serviços, fundamentalmente no espaço público, as quais lhe conferem rendimentos para o sustento da prole.</w:t>
      </w:r>
    </w:p>
    <w:p w:rsidR="00D24E61" w:rsidRPr="00771368" w:rsidRDefault="00D24E61">
      <w:pPr>
        <w:spacing w:line="75"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Essa tradicional divisão do trabalho entre os sexos tem sido, contudo, duramente criticada e já apresenta sinais de mudanças. Podemos perceber isto através da análise das transformações ocorridas em três setores, antes eminentemente masculinos: o mercado de trabalho, a escolaridade e a participação política.</w:t>
      </w:r>
    </w:p>
    <w:p w:rsidR="00D24E61" w:rsidRPr="00771368" w:rsidRDefault="00D24E61">
      <w:pPr>
        <w:spacing w:line="200" w:lineRule="exact"/>
        <w:rPr>
          <w:sz w:val="20"/>
          <w:szCs w:val="20"/>
        </w:rPr>
      </w:pPr>
    </w:p>
    <w:p w:rsidR="00D24E61" w:rsidRPr="00771368" w:rsidRDefault="00D24E61">
      <w:pPr>
        <w:spacing w:line="290" w:lineRule="exact"/>
        <w:rPr>
          <w:sz w:val="20"/>
          <w:szCs w:val="20"/>
        </w:rPr>
      </w:pPr>
    </w:p>
    <w:p w:rsidR="00D24E61" w:rsidRPr="00771368" w:rsidRDefault="00D24E61">
      <w:pPr>
        <w:spacing w:line="231" w:lineRule="auto"/>
        <w:ind w:left="2260" w:right="20"/>
        <w:jc w:val="both"/>
        <w:rPr>
          <w:sz w:val="20"/>
          <w:szCs w:val="20"/>
        </w:rPr>
      </w:pPr>
      <w:r w:rsidRPr="00771368">
        <w:t>A ordem social funciona como uma imensa máquina simbólica que tende a ratificar a dominação masculina sobre a qual se alicerça: é a divisão social do trabalho, distribuição bastante estrita das atividades atribuídas a cada um dos dois sexos, de seu local, seu momento, seus instrumentos; é a estrutura do espaço, opondo o lugar de assembleia ou de mercado, reservados aos homens, e a casa, reservada às mulheres (BOURDIEU, 2002, P. 16).</w:t>
      </w:r>
    </w:p>
    <w:p w:rsidR="00D24E61" w:rsidRPr="00771368" w:rsidRDefault="00D24E61">
      <w:pPr>
        <w:sectPr w:rsidR="00D24E61" w:rsidRPr="00771368">
          <w:pgSz w:w="11900" w:h="16836"/>
          <w:pgMar w:top="1440" w:right="1400" w:bottom="144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 crescente participação feminina nas atividades econômicas e o aumento da escolaridade, quando comparado ao dos homens, atestam que mudanças societárias modificaram o perfil das relações entre os sexos.</w:t>
      </w:r>
    </w:p>
    <w:p w:rsidR="00D24E61" w:rsidRPr="00771368" w:rsidRDefault="00D24E61">
      <w:pPr>
        <w:spacing w:line="92" w:lineRule="exact"/>
        <w:rPr>
          <w:sz w:val="20"/>
          <w:szCs w:val="20"/>
        </w:rPr>
      </w:pPr>
    </w:p>
    <w:p w:rsidR="00D24E61" w:rsidRPr="00771368" w:rsidRDefault="00D24E61">
      <w:pPr>
        <w:spacing w:line="352" w:lineRule="auto"/>
        <w:ind w:firstLine="708"/>
        <w:jc w:val="both"/>
        <w:rPr>
          <w:sz w:val="20"/>
          <w:szCs w:val="20"/>
        </w:rPr>
      </w:pPr>
      <w:r w:rsidRPr="00771368">
        <w:rPr>
          <w:sz w:val="24"/>
          <w:szCs w:val="24"/>
        </w:rPr>
        <w:t>É preciso destacar a luta dos movimentos de mulheres em todo esse percurso, os embates e combates em torno de demandas por uma sociedade mais justa e igual. E aqui não faço referência apenas aos movimentos organizados com líderes e pautas de reuniões, mas também aquelas pequenas reuniões, manifestações de repúdio ocorridos dentro dos lares, nas cozinhas, nos quartos das meninas e moças que no silêncio da noite e também em meio aos seus afazeres típicos, nas grandes cidades, assim como, nos pequenos recantos interioranos desse país, debatiam formas e meios de enfrentar o machismo e romper com as cadeias sociais que aprisionavam sonhos e limitavam os direitos.</w:t>
      </w:r>
    </w:p>
    <w:p w:rsidR="00D24E61" w:rsidRPr="00771368" w:rsidRDefault="00D24E61">
      <w:pPr>
        <w:spacing w:line="75" w:lineRule="exact"/>
        <w:rPr>
          <w:sz w:val="20"/>
          <w:szCs w:val="20"/>
        </w:rPr>
      </w:pPr>
    </w:p>
    <w:p w:rsidR="00D24E61" w:rsidRPr="00771368" w:rsidRDefault="00D24E61">
      <w:pPr>
        <w:spacing w:line="351" w:lineRule="auto"/>
        <w:ind w:firstLine="708"/>
        <w:jc w:val="both"/>
        <w:rPr>
          <w:sz w:val="20"/>
          <w:szCs w:val="20"/>
        </w:rPr>
      </w:pPr>
      <w:r w:rsidRPr="00771368">
        <w:rPr>
          <w:sz w:val="24"/>
          <w:szCs w:val="24"/>
        </w:rPr>
        <w:t>Segundo Iamamoto (2009), a luta pela afirmação dos direitos se configura como uma luta contra o capital e o alvo desejado é a garantia de um desenvolvimento social que alcance a todos os indivíduos sociais, visto que a ordem do capital é tida como “natural e perene” e apesar das desigualdades evidentes em nosso cotidiano, há uma ideologia implícita para a não superação dessa ordem. De forma que o discurso e a denúncia das desigualdades naturalizam-se, porém o combate efetivo às formas opressoras e excludentes do capital não submerge (IAMAMOTO, 2009, P. 15).</w:t>
      </w:r>
    </w:p>
    <w:p w:rsidR="00D24E61" w:rsidRPr="00771368" w:rsidRDefault="00D24E61">
      <w:pPr>
        <w:spacing w:line="71" w:lineRule="exact"/>
        <w:rPr>
          <w:sz w:val="20"/>
          <w:szCs w:val="20"/>
        </w:rPr>
      </w:pPr>
    </w:p>
    <w:p w:rsidR="00D24E61" w:rsidRPr="00771368" w:rsidRDefault="00D24E61">
      <w:pPr>
        <w:spacing w:line="350" w:lineRule="auto"/>
        <w:ind w:firstLine="708"/>
        <w:jc w:val="both"/>
        <w:rPr>
          <w:sz w:val="20"/>
          <w:szCs w:val="20"/>
        </w:rPr>
      </w:pPr>
      <w:r w:rsidRPr="00771368">
        <w:rPr>
          <w:sz w:val="24"/>
          <w:szCs w:val="24"/>
        </w:rPr>
        <w:t>Foram as diversas formas de lutas e à custa de muitas vidas que as solicitações por direitos e proteção nos dirigiram a Lei n. 11.340 Lei de Combate a Violência Doméstica (Lei Maria da Penha) sancionada em 2006. Essa lei conceitua e define as diversas formas de violência doméstica e familiar (física, sexual, psicológica, patrimonial e moral); define os locais de abrangência da violência (casa, trabalho, relações de afeto); e determina as medidas protetivas e assistivas para mulheres em situação de violência.</w:t>
      </w:r>
    </w:p>
    <w:p w:rsidR="00D24E61" w:rsidRPr="00771368" w:rsidRDefault="00D24E61">
      <w:pPr>
        <w:spacing w:line="200" w:lineRule="exact"/>
        <w:rPr>
          <w:sz w:val="20"/>
          <w:szCs w:val="20"/>
        </w:rPr>
      </w:pPr>
    </w:p>
    <w:p w:rsidR="00D24E61" w:rsidRPr="00771368" w:rsidRDefault="00D24E61">
      <w:pPr>
        <w:spacing w:line="281" w:lineRule="exact"/>
        <w:rPr>
          <w:sz w:val="20"/>
          <w:szCs w:val="20"/>
        </w:rPr>
      </w:pPr>
    </w:p>
    <w:p w:rsidR="00D24E61" w:rsidRPr="00771368" w:rsidRDefault="00D24E61">
      <w:pPr>
        <w:spacing w:line="232" w:lineRule="auto"/>
        <w:ind w:left="2260" w:right="20"/>
        <w:jc w:val="both"/>
        <w:rPr>
          <w:sz w:val="20"/>
          <w:szCs w:val="20"/>
        </w:rPr>
      </w:pPr>
      <w:r w:rsidRPr="00771368">
        <w:t>Seus principais objetivos são o de prevenir (indicando ao Estado e à sociedade as politicas públicas necessárias para evitar a violência contra as mulheres), educar (mostrando os valores éticos, o respeito, à dignidade da pessoa humana e a perspectiva de gênero, com programas educacionais e curriculares), mudar comportamentos (promovendo uma real transformação nos valores sociais baseados nos direitos humanos) e punir (aplicando penas mais severas que as anteriormente aplicadas) (CORTÊS, 2012, P. 277).</w:t>
      </w:r>
    </w:p>
    <w:p w:rsidR="00D24E61" w:rsidRPr="00771368" w:rsidRDefault="00D24E61">
      <w:pPr>
        <w:sectPr w:rsidR="00D24E61" w:rsidRPr="00771368">
          <w:pgSz w:w="11900" w:h="16836"/>
          <w:pgMar w:top="1440"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spacing w:line="334" w:lineRule="auto"/>
        <w:ind w:firstLine="708"/>
        <w:jc w:val="both"/>
        <w:rPr>
          <w:sz w:val="20"/>
          <w:szCs w:val="20"/>
        </w:rPr>
      </w:pPr>
      <w:r w:rsidRPr="00771368">
        <w:rPr>
          <w:sz w:val="24"/>
          <w:szCs w:val="24"/>
        </w:rPr>
        <w:t>Todo esse panorama espelha transformações sociais, mas também pessoais no sentido de ser e perceber a condição da mulher e da família. Se antes o “destino feminino” era a procriação, fazendo com que elas tivessem gravidezes sucessivas que as mantinham</w:t>
      </w:r>
    </w:p>
    <w:p w:rsidR="00D24E61" w:rsidRPr="00771368" w:rsidRDefault="00D24E61">
      <w:pPr>
        <w:sectPr w:rsidR="00D24E61" w:rsidRPr="00771368">
          <w:type w:val="continuous"/>
          <w:pgSz w:w="11900" w:h="16836"/>
          <w:pgMar w:top="144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47" w:lineRule="auto"/>
        <w:jc w:val="both"/>
        <w:rPr>
          <w:sz w:val="20"/>
          <w:szCs w:val="20"/>
        </w:rPr>
      </w:pPr>
      <w:r w:rsidRPr="00771368">
        <w:rPr>
          <w:sz w:val="24"/>
          <w:szCs w:val="24"/>
        </w:rPr>
        <w:t>constantemente atreladas ao cuidado dos filhos, a possibilidade de controlar a concepção e a melhoria das condições de saúde da mãe e da criança, o acesso à formação educacional /profissional contribuiu para a queda das taxas de natalidade e mortalidade materno-infantil, a diminuição do tamanho da família biológica, o aumento de mulheres chefes de família, mais donas de si e de sua vontade de ser, ter e poder.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1" w:lineRule="exact"/>
        <w:rPr>
          <w:sz w:val="20"/>
          <w:szCs w:val="20"/>
        </w:rPr>
      </w:pPr>
    </w:p>
    <w:p w:rsidR="00D24E61" w:rsidRPr="00771368" w:rsidRDefault="00D24E61">
      <w:pPr>
        <w:rPr>
          <w:sz w:val="20"/>
          <w:szCs w:val="20"/>
        </w:rPr>
      </w:pPr>
      <w:r w:rsidRPr="00771368">
        <w:rPr>
          <w:b/>
          <w:bCs/>
          <w:sz w:val="24"/>
          <w:szCs w:val="24"/>
        </w:rPr>
        <w:t>Um breve relato sobre a infância no Brasil</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9" w:lineRule="exact"/>
        <w:rPr>
          <w:sz w:val="20"/>
          <w:szCs w:val="20"/>
        </w:rPr>
      </w:pPr>
    </w:p>
    <w:p w:rsidR="00D24E61" w:rsidRPr="00771368" w:rsidRDefault="00D24E61">
      <w:pPr>
        <w:spacing w:line="347" w:lineRule="auto"/>
        <w:ind w:firstLine="708"/>
        <w:jc w:val="both"/>
        <w:rPr>
          <w:sz w:val="20"/>
          <w:szCs w:val="20"/>
        </w:rPr>
      </w:pPr>
      <w:r w:rsidRPr="00771368">
        <w:rPr>
          <w:sz w:val="24"/>
          <w:szCs w:val="24"/>
        </w:rPr>
        <w:t>Na sociedade brasileira, as instituições religiosas foram as pioneiras no trato e atenção a criança e ao adolescente, a presença do Estado nessa área se deu concomitante ao início do processo de urbanização, sendo que este, priorizou e alimentou práticas excludentes, repressivas e assistencialistas, incapazes de promover a cidadania desse segmento, que era perversamente violado por quem deveria lhes prestar cuidado e proteção.</w:t>
      </w:r>
    </w:p>
    <w:p w:rsidR="00D24E61" w:rsidRPr="00771368" w:rsidRDefault="00D24E61">
      <w:pPr>
        <w:spacing w:line="77" w:lineRule="exact"/>
        <w:rPr>
          <w:sz w:val="20"/>
          <w:szCs w:val="20"/>
        </w:rPr>
      </w:pPr>
    </w:p>
    <w:p w:rsidR="00D24E61" w:rsidRPr="00771368" w:rsidRDefault="00D24E61">
      <w:pPr>
        <w:spacing w:line="351" w:lineRule="auto"/>
        <w:ind w:right="20" w:firstLine="708"/>
        <w:jc w:val="both"/>
        <w:rPr>
          <w:sz w:val="20"/>
          <w:szCs w:val="20"/>
        </w:rPr>
      </w:pPr>
      <w:r w:rsidRPr="00771368">
        <w:rPr>
          <w:sz w:val="24"/>
          <w:szCs w:val="24"/>
        </w:rPr>
        <w:t>No Brasil colônia o atendimento ao segmento infanto-juvenil era voltado para crianças abandonadas e as consideradas delinquentes. Vale lembrar que o fim da escravatura, provocou um acréscimo na quantidade de pessoas que viviam nas ruas, eram ex-escravos que não tinham se engajado no mercado de trabalho urbano, cujos filhos viviam também sem qualquer assistência pública. Portanto, eram essas crianças que demandavam assistência do Estado, por contrastarem com os ideais das elites que almejavam cidades limpas e suas mazelas escondidas.</w:t>
      </w:r>
    </w:p>
    <w:p w:rsidR="00D24E61" w:rsidRPr="00771368" w:rsidRDefault="00D24E61">
      <w:pPr>
        <w:spacing w:line="72" w:lineRule="exact"/>
        <w:rPr>
          <w:sz w:val="20"/>
          <w:szCs w:val="20"/>
        </w:rPr>
      </w:pPr>
    </w:p>
    <w:p w:rsidR="00D24E61" w:rsidRPr="00771368" w:rsidRDefault="00D24E61">
      <w:pPr>
        <w:spacing w:line="353" w:lineRule="auto"/>
        <w:ind w:firstLine="708"/>
        <w:jc w:val="both"/>
        <w:rPr>
          <w:sz w:val="20"/>
          <w:szCs w:val="20"/>
        </w:rPr>
      </w:pPr>
      <w:r w:rsidRPr="00771368">
        <w:rPr>
          <w:sz w:val="24"/>
          <w:szCs w:val="24"/>
        </w:rPr>
        <w:t>Conforme Arend (2012) a experiência de “ser menina” muda ao longo do tempo e varia por conta das grandes desigualdades socioeconômicas sob as quais a sociedade brasileira foi edificada, ao final do século XIX ter um bebê do sexo feminino representava um motivo de preocupação. Scott (2012) ratifica essa questão, ao constatar em suas pesquisas que as filhas “só deixariam de ser fonte de preocupação e aborrecimento ao sair da casa dos pais com aliança no dedo”. A autora ainda verbaliza que antes os filhos tinham pouco espaço na família para expressar as suas vontades e deveriam obedecer aos pais “sem discussão” ou corriam o risco de receber punições, inclusive físicas.</w:t>
      </w:r>
    </w:p>
    <w:p w:rsidR="00D24E61" w:rsidRPr="00771368" w:rsidRDefault="00D24E61">
      <w:pPr>
        <w:spacing w:line="7" w:lineRule="exact"/>
        <w:rPr>
          <w:sz w:val="20"/>
          <w:szCs w:val="20"/>
        </w:rPr>
      </w:pPr>
    </w:p>
    <w:p w:rsidR="00D24E61" w:rsidRPr="00771368" w:rsidRDefault="00D24E61">
      <w:pPr>
        <w:ind w:left="700"/>
        <w:rPr>
          <w:sz w:val="20"/>
          <w:szCs w:val="20"/>
        </w:rPr>
      </w:pPr>
      <w:r w:rsidRPr="00771368">
        <w:rPr>
          <w:sz w:val="24"/>
          <w:szCs w:val="24"/>
        </w:rPr>
        <w:t>Pinsky (2012) reafirma:</w:t>
      </w:r>
    </w:p>
    <w:p w:rsidR="00D24E61" w:rsidRPr="00771368" w:rsidRDefault="00D24E61">
      <w:pPr>
        <w:sectPr w:rsidR="00D24E61" w:rsidRPr="00771368">
          <w:pgSz w:w="11900" w:h="16836"/>
          <w:pgMar w:top="1440"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6" w:lineRule="exact"/>
        <w:rPr>
          <w:sz w:val="20"/>
          <w:szCs w:val="20"/>
        </w:rPr>
      </w:pPr>
    </w:p>
    <w:p w:rsidR="00D24E61" w:rsidRPr="00771368" w:rsidRDefault="00D24E61">
      <w:pPr>
        <w:spacing w:line="213" w:lineRule="auto"/>
        <w:rPr>
          <w:sz w:val="20"/>
          <w:szCs w:val="20"/>
        </w:rPr>
      </w:pPr>
      <w:r w:rsidRPr="00771368">
        <w:t>Para os pais, ter filha era dor de cabeça. Bebês meninos eram muito mais desejados. Além de vigiadas, as garotas deveriam ser educadas para bem</w:t>
      </w:r>
    </w:p>
    <w:p w:rsidR="00D24E61" w:rsidRPr="00771368" w:rsidRDefault="00D24E61">
      <w:pPr>
        <w:sectPr w:rsidR="00D24E61" w:rsidRPr="00771368">
          <w:type w:val="continuous"/>
          <w:pgSz w:w="11900" w:h="16836"/>
          <w:pgMar w:top="1440" w:right="1420" w:bottom="1440" w:left="3680" w:header="0" w:footer="0" w:gutter="0"/>
          <w:cols w:space="720" w:equalWidth="0">
            <w:col w:w="6800"/>
          </w:cols>
        </w:sectPr>
      </w:pPr>
    </w:p>
    <w:p w:rsidR="00D24E61" w:rsidRPr="00771368" w:rsidRDefault="00D24E61">
      <w:pPr>
        <w:spacing w:line="24" w:lineRule="exact"/>
        <w:rPr>
          <w:sz w:val="20"/>
          <w:szCs w:val="20"/>
        </w:rPr>
      </w:pPr>
    </w:p>
    <w:p w:rsidR="00D24E61" w:rsidRPr="00771368" w:rsidRDefault="00D24E61">
      <w:pPr>
        <w:spacing w:line="227" w:lineRule="auto"/>
        <w:ind w:left="2260" w:right="20"/>
        <w:jc w:val="both"/>
        <w:rPr>
          <w:sz w:val="20"/>
          <w:szCs w:val="20"/>
        </w:rPr>
      </w:pPr>
      <w:r w:rsidRPr="00771368">
        <w:t>cumprir no futuro os naturais papeis femininos. Esperava-se que fossem pudicas e prendadas, mais do que verdadeiramente instruídas, ainda que as novas necessidades da nação e do mercado de trabalho as levassem aos bancos escolares (PINSKY, 2012, P. 474).</w:t>
      </w:r>
    </w:p>
    <w:p w:rsidR="00D24E61" w:rsidRPr="00771368" w:rsidRDefault="00D24E61">
      <w:pPr>
        <w:spacing w:line="200" w:lineRule="exact"/>
        <w:rPr>
          <w:sz w:val="20"/>
          <w:szCs w:val="20"/>
        </w:rPr>
      </w:pPr>
    </w:p>
    <w:p w:rsidR="00D24E61" w:rsidRPr="00771368" w:rsidRDefault="00D24E61">
      <w:pPr>
        <w:spacing w:line="276" w:lineRule="exact"/>
        <w:rPr>
          <w:sz w:val="20"/>
          <w:szCs w:val="20"/>
        </w:rPr>
      </w:pPr>
    </w:p>
    <w:p w:rsidR="00D24E61" w:rsidRPr="00771368" w:rsidRDefault="00D24E61">
      <w:pPr>
        <w:spacing w:line="351" w:lineRule="auto"/>
        <w:ind w:firstLine="708"/>
        <w:jc w:val="both"/>
        <w:rPr>
          <w:sz w:val="20"/>
          <w:szCs w:val="20"/>
        </w:rPr>
      </w:pPr>
      <w:r w:rsidRPr="00771368">
        <w:rPr>
          <w:sz w:val="24"/>
          <w:szCs w:val="24"/>
        </w:rPr>
        <w:t>Tudo era condicionado à formatação de uma “criança ideal” para uma “família ideal” onde o exemplo da “mãe ideal” era latente e, para isso as instituições família, Igreja(s) e escolas se empenhavam num esforço de constante fiscalização de práticas e normas, até as brincadeiras eram condicionadas as determinações destas. As meninas, por exemplo, foram desaconselhadas a subir em árvores, correr com cavalinho de pau entre as pernas, nadar em lagos ou brincar de esconde-esconde com meninos após os seis anos de idade (AREND, 2012, P. 71).</w:t>
      </w:r>
    </w:p>
    <w:p w:rsidR="00D24E61" w:rsidRPr="00771368" w:rsidRDefault="00D24E61">
      <w:pPr>
        <w:spacing w:line="200" w:lineRule="exact"/>
        <w:rPr>
          <w:sz w:val="20"/>
          <w:szCs w:val="20"/>
        </w:rPr>
      </w:pPr>
    </w:p>
    <w:p w:rsidR="00D24E61" w:rsidRPr="00771368" w:rsidRDefault="00D24E61">
      <w:pPr>
        <w:spacing w:line="283" w:lineRule="exact"/>
        <w:rPr>
          <w:sz w:val="20"/>
          <w:szCs w:val="20"/>
        </w:rPr>
      </w:pPr>
    </w:p>
    <w:p w:rsidR="00D24E61" w:rsidRPr="00771368" w:rsidRDefault="00D24E61">
      <w:pPr>
        <w:spacing w:line="235" w:lineRule="auto"/>
        <w:ind w:left="2260" w:right="20"/>
        <w:jc w:val="both"/>
        <w:rPr>
          <w:sz w:val="20"/>
          <w:szCs w:val="20"/>
        </w:rPr>
      </w:pPr>
      <w:r w:rsidRPr="00771368">
        <w:t>De acordo com os manuais de educação infantil publicados na primeira metade do século XX, as brincadeiras saudáveis eram as que não colocavam em risco a integridade do corpo da menina. Para elas, agora, apenas as bonecas, as panelinhas, os ferros de passar, as imitações de tanques de lavar roupa; e, para os meninos, os carrinhos, os barcos, as ferrovias, as bolas e raquetes. Para além da socialização para o exercício de papeis no interior da família, as referidas brincadeiras e diversões contribuíam no processo de educação dos indivíduos de acordo com o que se esperava de mulheres e de homens na idade adulta. Docilidade, meiguice, serenidade e resignação eram as características consideradas femininas ao passo que as esperadas dos varões eram a coragem, o poder de decisão e a competitividade... (AREND, 2012, P. 71)</w:t>
      </w:r>
    </w:p>
    <w:p w:rsidR="00D24E61" w:rsidRPr="00771368" w:rsidRDefault="00D24E61">
      <w:pPr>
        <w:spacing w:line="200" w:lineRule="exact"/>
        <w:rPr>
          <w:sz w:val="20"/>
          <w:szCs w:val="20"/>
        </w:rPr>
      </w:pPr>
    </w:p>
    <w:p w:rsidR="00D24E61" w:rsidRPr="00771368" w:rsidRDefault="00D24E61">
      <w:pPr>
        <w:spacing w:line="281" w:lineRule="exact"/>
        <w:rPr>
          <w:sz w:val="20"/>
          <w:szCs w:val="20"/>
        </w:rPr>
      </w:pPr>
    </w:p>
    <w:p w:rsidR="00D24E61" w:rsidRPr="00771368" w:rsidRDefault="00D24E61">
      <w:pPr>
        <w:spacing w:line="347" w:lineRule="auto"/>
        <w:ind w:firstLine="708"/>
        <w:jc w:val="both"/>
        <w:rPr>
          <w:sz w:val="20"/>
          <w:szCs w:val="20"/>
        </w:rPr>
      </w:pPr>
      <w:r w:rsidRPr="00771368">
        <w:rPr>
          <w:sz w:val="24"/>
          <w:szCs w:val="24"/>
        </w:rPr>
        <w:t>Invisíveis sociais, suas histórias de vida, lhe imputam uma condição de violadas, a violência contra elas, ainda é pouco discutida e, até isso, é uma forma de perpetuar a violência. Bourdieu (2002) define essa modalidade de violência como simbólica. “Suave, insensível, invisível”, a violência simbólica, não opera na ordem das intenções conscientes (BOURDIEU, 2002, P. 72).</w:t>
      </w:r>
    </w:p>
    <w:p w:rsidR="00D24E61" w:rsidRPr="00771368" w:rsidRDefault="00D24E61">
      <w:pPr>
        <w:spacing w:line="200" w:lineRule="exact"/>
        <w:rPr>
          <w:sz w:val="20"/>
          <w:szCs w:val="20"/>
        </w:rPr>
      </w:pPr>
    </w:p>
    <w:p w:rsidR="00D24E61" w:rsidRPr="00771368" w:rsidRDefault="00D24E61">
      <w:pPr>
        <w:spacing w:line="284" w:lineRule="exact"/>
        <w:rPr>
          <w:sz w:val="20"/>
          <w:szCs w:val="20"/>
        </w:rPr>
      </w:pPr>
    </w:p>
    <w:p w:rsidR="00D24E61" w:rsidRPr="00771368" w:rsidRDefault="00D24E61">
      <w:pPr>
        <w:spacing w:line="231" w:lineRule="auto"/>
        <w:ind w:left="2260" w:right="20"/>
        <w:jc w:val="both"/>
        <w:rPr>
          <w:sz w:val="20"/>
          <w:szCs w:val="20"/>
        </w:rPr>
      </w:pPr>
      <w:r w:rsidRPr="00771368">
        <w:t>(...) penso, por exemplo, na maneira pela qual os pais, professores, colegas desestimulam – ou melhor, não estimulam – a orientação das moças para certas carreiras, sobretudo as técnicas ou cientificas: “os professores dizem sempre que somos mais frágeis e então... acabamos acreditando nisso” “Passam o tempo todo repetindo que as carreiras cientificas são mais fáceis para os meninos” (BOURDIEU, 2002, P. 75)</w:t>
      </w:r>
    </w:p>
    <w:p w:rsidR="00D24E61" w:rsidRPr="00771368" w:rsidRDefault="00D24E61">
      <w:pPr>
        <w:sectPr w:rsidR="00D24E61" w:rsidRPr="00771368">
          <w:pgSz w:w="11900" w:h="16836"/>
          <w:pgMar w:top="1440"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6"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Arend (2012), ainda destaca que as desigualdades entre a criação das meninas e meninos eram gritantes, mas havia diferença também entre o que era dado às meninas de famílias abastadas e as de famílias pobres.</w:t>
      </w:r>
    </w:p>
    <w:p w:rsidR="00D24E61" w:rsidRPr="00771368" w:rsidRDefault="00D24E61">
      <w:pPr>
        <w:sectPr w:rsidR="00D24E61" w:rsidRPr="00771368">
          <w:type w:val="continuous"/>
          <w:pgSz w:w="11900" w:h="16836"/>
          <w:pgMar w:top="1440" w:right="1420" w:bottom="1440" w:left="1420" w:header="0" w:footer="0" w:gutter="0"/>
          <w:cols w:space="720" w:equalWidth="0">
            <w:col w:w="9060"/>
          </w:cols>
        </w:sectPr>
      </w:pPr>
    </w:p>
    <w:p w:rsidR="00D24E61" w:rsidRPr="00771368" w:rsidRDefault="00D24E61">
      <w:pPr>
        <w:spacing w:line="24" w:lineRule="exact"/>
        <w:rPr>
          <w:sz w:val="20"/>
          <w:szCs w:val="20"/>
        </w:rPr>
      </w:pPr>
    </w:p>
    <w:p w:rsidR="00D24E61" w:rsidRPr="00771368" w:rsidRDefault="00D24E61">
      <w:pPr>
        <w:spacing w:line="235" w:lineRule="auto"/>
        <w:ind w:left="2260" w:right="20"/>
        <w:jc w:val="both"/>
        <w:rPr>
          <w:sz w:val="20"/>
          <w:szCs w:val="20"/>
        </w:rPr>
      </w:pPr>
      <w:r w:rsidRPr="00771368">
        <w:t>No outro extremo social, o labor era a sina das meninas que nasciam pobres, fossem elas escravas, libertas, ingênuas ou livres. A partir dos 4 ou 5 anos de idade, começavam a auxiliar nas lides domésticas, com os animais (galinhas, vacas, porcos) e no cuidado de outras crianças. Nas cidades, também saiam a vender mercadorias junto dos adultos, auxiliavam na lavagem de roupas das famílias de mais posses ou eram postas para pedir esmolas. Algumas aprendiam ofícios considerados especializados, tais como tecelagem e a costura, os relativos as benzeduras e as habilidades para produzir quitutes populares que seriam vendidos em tabuleiros ou barraquinhas nas ruas. Nas propriedades agrícolas, a mão de obra infantil feminina era utilizada, sobretudo, em atividades que exigiam habilidade manual e menor força física (AREND, 2012, P. 66).</w:t>
      </w:r>
    </w:p>
    <w:p w:rsidR="00D24E61" w:rsidRPr="00771368" w:rsidRDefault="00D24E61">
      <w:pPr>
        <w:spacing w:line="200" w:lineRule="exact"/>
        <w:rPr>
          <w:sz w:val="20"/>
          <w:szCs w:val="20"/>
        </w:rPr>
      </w:pPr>
    </w:p>
    <w:p w:rsidR="00D24E61" w:rsidRPr="00771368" w:rsidRDefault="00D24E61">
      <w:pPr>
        <w:spacing w:line="285" w:lineRule="exact"/>
        <w:rPr>
          <w:sz w:val="20"/>
          <w:szCs w:val="20"/>
        </w:rPr>
      </w:pPr>
    </w:p>
    <w:p w:rsidR="00D24E61" w:rsidRPr="00771368" w:rsidRDefault="00D24E61">
      <w:pPr>
        <w:spacing w:line="349" w:lineRule="auto"/>
        <w:ind w:firstLine="708"/>
        <w:jc w:val="both"/>
        <w:rPr>
          <w:sz w:val="20"/>
          <w:szCs w:val="20"/>
        </w:rPr>
      </w:pPr>
      <w:r w:rsidRPr="00771368">
        <w:rPr>
          <w:sz w:val="24"/>
          <w:szCs w:val="24"/>
        </w:rPr>
        <w:t>Segundo Arend (2012), nas cidades era possível identificar meninas de 9 e 10 anos executando trabalho doméstico, estas eram conhecidas como “filhas de criação” utilizadas para serviço e como “brinquedo” das meninas e meninos das elites, em outras palavras, esse comportamento configurou-se como um novo meio de escravização. O pagamento dos serviços prestados quando ultrapassava moradia, comida e algumas roupas usadas era entregue a família, apenas uma parcela ínfima dessas meninas tinha acesso aos estudos.</w:t>
      </w:r>
    </w:p>
    <w:p w:rsidR="00D24E61" w:rsidRPr="00771368" w:rsidRDefault="00D24E61">
      <w:pPr>
        <w:spacing w:line="77" w:lineRule="exact"/>
        <w:rPr>
          <w:sz w:val="20"/>
          <w:szCs w:val="20"/>
        </w:rPr>
      </w:pPr>
    </w:p>
    <w:p w:rsidR="00D24E61" w:rsidRPr="00771368" w:rsidRDefault="00D24E61">
      <w:pPr>
        <w:spacing w:line="349" w:lineRule="auto"/>
        <w:ind w:firstLine="708"/>
        <w:jc w:val="both"/>
        <w:rPr>
          <w:sz w:val="20"/>
          <w:szCs w:val="20"/>
        </w:rPr>
      </w:pPr>
      <w:r w:rsidRPr="00771368">
        <w:rPr>
          <w:sz w:val="24"/>
          <w:szCs w:val="24"/>
        </w:rPr>
        <w:t>Conforme Kliksberg (2003), as desigualdades são reflexos da má distribuição de renda, da exploração, logo, da dominação de uma classe sobre a outra. Várias pesquisas nos últimos anos demonstram que as desigualdades sociais constituem um dos mais prejudiciais entraves para o desenvolvimento humano. Esse contexto de desigualdades tem um efeito em cadeia que circunda e impossibilita o acesso à terra, à alimentação, à educação, à saúde, ao lazer, à justiça, etc.</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24" w:lineRule="exact"/>
        <w:rPr>
          <w:sz w:val="20"/>
          <w:szCs w:val="20"/>
        </w:rPr>
      </w:pPr>
    </w:p>
    <w:p w:rsidR="00D24E61" w:rsidRPr="00771368" w:rsidRDefault="00D24E61">
      <w:pPr>
        <w:spacing w:line="235" w:lineRule="auto"/>
        <w:ind w:left="2260"/>
        <w:jc w:val="both"/>
        <w:rPr>
          <w:sz w:val="20"/>
          <w:szCs w:val="20"/>
        </w:rPr>
      </w:pPr>
      <w:r w:rsidRPr="00771368">
        <w:t>(...) ela cria circuitos educacionais totalmente diferenciados entre os setores sociais. O impacto da pobreza repercute em abandono e repetência escolar entre os mais desfavorecidos. Soma-se a isso, que a qualidade da educação entre os diversos estratos sociais apresenta diferenças marcantes. Assim sendo, boa parte do capital humano da sociedade é anulado, por meio desse perverso ciclo, onde as pessoas que não tem acesso adequado a educação, tem menos chances de ingressar no mercado de trabalho e, no caso de consegui-lo, receberão salários bem menores, precários, com isso, a educação dos filhos também ficará comprometida, repetindo-se esse ciclo, geração a geração. Assim, alguns estudos, indicam que uma porcentagem muito alta de filhos de famílias pobres não conseguem atingir uma escolaridade maior do que aquela de seus pais (KLIKSBERG, 2003, P. 35).</w:t>
      </w:r>
    </w:p>
    <w:p w:rsidR="00D24E61" w:rsidRPr="00771368" w:rsidRDefault="00D24E61">
      <w:pPr>
        <w:sectPr w:rsidR="00D24E61" w:rsidRPr="00771368">
          <w:pgSz w:w="11900" w:h="16836"/>
          <w:pgMar w:top="1440" w:right="1400" w:bottom="1132"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65" w:lineRule="exact"/>
        <w:rPr>
          <w:sz w:val="20"/>
          <w:szCs w:val="20"/>
        </w:rPr>
      </w:pPr>
    </w:p>
    <w:p w:rsidR="00D24E61" w:rsidRPr="00771368" w:rsidRDefault="00D24E61">
      <w:pPr>
        <w:spacing w:line="334" w:lineRule="auto"/>
        <w:ind w:firstLine="708"/>
        <w:jc w:val="both"/>
        <w:rPr>
          <w:sz w:val="20"/>
          <w:szCs w:val="20"/>
        </w:rPr>
      </w:pPr>
      <w:r w:rsidRPr="00771368">
        <w:rPr>
          <w:sz w:val="24"/>
          <w:szCs w:val="24"/>
        </w:rPr>
        <w:t>O Estatuto da Criança e do Adolescente/ECA - (Lei 8.069 de 13 de julho de 1990), dispõe sobre a proteção integral à criança (pessoa até doze anos de idade incompletos) e ao adolescente (pessoa entre doze e dezoito anos de idade incompletos e excepcionalmente, é</w:t>
      </w:r>
    </w:p>
    <w:p w:rsidR="00D24E61" w:rsidRPr="00771368" w:rsidRDefault="00D24E61">
      <w:pPr>
        <w:sectPr w:rsidR="00D24E61" w:rsidRPr="00771368">
          <w:type w:val="continuous"/>
          <w:pgSz w:w="11900" w:h="16836"/>
          <w:pgMar w:top="1440" w:right="1400" w:bottom="1132"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34" w:lineRule="auto"/>
        <w:ind w:right="20"/>
        <w:jc w:val="both"/>
        <w:rPr>
          <w:sz w:val="20"/>
          <w:szCs w:val="20"/>
        </w:rPr>
      </w:pPr>
      <w:r w:rsidRPr="00771368">
        <w:rPr>
          <w:sz w:val="24"/>
          <w:szCs w:val="24"/>
        </w:rPr>
        <w:t>aplicado à pessoa com dezoito e vinte e um anos em casos de conflito com a lei). A proteção integral considera crianças e adolescentes como sujeitos de direitos, isto é, cidadãos integralmente, e não apenas como objetos da atenção do Estado.</w:t>
      </w:r>
    </w:p>
    <w:p w:rsidR="00D24E61" w:rsidRPr="00771368" w:rsidRDefault="00D24E61">
      <w:pPr>
        <w:spacing w:line="33" w:lineRule="exact"/>
        <w:rPr>
          <w:sz w:val="20"/>
          <w:szCs w:val="20"/>
        </w:rPr>
      </w:pPr>
    </w:p>
    <w:p w:rsidR="00D24E61" w:rsidRPr="00771368" w:rsidRDefault="00D24E61">
      <w:pPr>
        <w:ind w:left="700"/>
        <w:rPr>
          <w:sz w:val="20"/>
          <w:szCs w:val="20"/>
        </w:rPr>
      </w:pPr>
      <w:r w:rsidRPr="00771368">
        <w:rPr>
          <w:sz w:val="24"/>
          <w:szCs w:val="24"/>
        </w:rPr>
        <w:t>Esse instrumento legal destaca que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6" w:lineRule="exact"/>
        <w:rPr>
          <w:sz w:val="20"/>
          <w:szCs w:val="20"/>
        </w:rPr>
      </w:pPr>
    </w:p>
    <w:p w:rsidR="00D24E61" w:rsidRPr="00771368" w:rsidRDefault="00D24E61">
      <w:pPr>
        <w:spacing w:line="231" w:lineRule="auto"/>
        <w:ind w:left="2260"/>
        <w:jc w:val="both"/>
        <w:rPr>
          <w:sz w:val="20"/>
          <w:szCs w:val="20"/>
        </w:rPr>
      </w:pPr>
      <w:r w:rsidRPr="00771368">
        <w:t>Art. 227 É dever da família, da sociedade e do Estado assegurar à criança e ao adolescente,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(BRASIL, 2008).</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spacing w:line="352" w:lineRule="auto"/>
        <w:ind w:firstLine="708"/>
        <w:jc w:val="both"/>
        <w:rPr>
          <w:sz w:val="20"/>
          <w:szCs w:val="20"/>
        </w:rPr>
      </w:pPr>
      <w:r w:rsidRPr="00771368">
        <w:rPr>
          <w:sz w:val="24"/>
          <w:szCs w:val="24"/>
        </w:rPr>
        <w:t>Consoante Arend (2012) no final do século XIX e inicio do XX nos setores mais pobres da sociedade, havia um contingente de meninas que trabalhavam nas zonas de meretrício e nos cabarés. Entre as populações mais carentes era comum que relações sexuais acontecessem no momento em que as primeiras transformações ocorriam no corpo das meninas, anunciando o início de sua mocidade. Parte delas eram violentadas pelos seus senhores, patrões, parentes, conhecidos, estranhos e até mesmo pelos pais. A prole dessas meninas não era considerado um problema social, visto que mais tarde iriam servir a nação produzindo a riqueza do país com seu trabalho (AREND, 2012, P. 68).</w:t>
      </w:r>
    </w:p>
    <w:p w:rsidR="00D24E61" w:rsidRPr="00771368" w:rsidRDefault="00D24E61">
      <w:pPr>
        <w:spacing w:line="74" w:lineRule="exact"/>
        <w:rPr>
          <w:sz w:val="20"/>
          <w:szCs w:val="20"/>
        </w:rPr>
      </w:pPr>
    </w:p>
    <w:p w:rsidR="00D24E61" w:rsidRPr="00771368" w:rsidRDefault="00D24E61">
      <w:pPr>
        <w:spacing w:line="349" w:lineRule="auto"/>
        <w:ind w:right="20" w:firstLine="708"/>
        <w:jc w:val="both"/>
        <w:rPr>
          <w:sz w:val="20"/>
          <w:szCs w:val="20"/>
        </w:rPr>
      </w:pPr>
      <w:r w:rsidRPr="00771368">
        <w:rPr>
          <w:sz w:val="24"/>
          <w:szCs w:val="24"/>
        </w:rPr>
        <w:t>Matizes, nuanças de um contexto social de violência constante e ininterrupta, porém, muitas vezes velada. Até aqui o que percebemos é que a violência contra meninas só ganha atenção em casos extremos, bárbaros que geram grande comoção social e outras formas de violência, mais sutis, continuam sendo alimentadas e suas vítimas, na maioria dos casos, nem as percebem. Tolhidas do direito de “ser” meninas tornam-se mulheres acostumadas a viver sob a égide da violência.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0" w:lineRule="exact"/>
        <w:rPr>
          <w:sz w:val="20"/>
          <w:szCs w:val="20"/>
        </w:rPr>
      </w:pPr>
    </w:p>
    <w:p w:rsidR="00D24E61" w:rsidRPr="00771368" w:rsidRDefault="00D24E61">
      <w:pPr>
        <w:rPr>
          <w:sz w:val="20"/>
          <w:szCs w:val="20"/>
        </w:rPr>
      </w:pPr>
      <w:r w:rsidRPr="00771368">
        <w:rPr>
          <w:b/>
          <w:bCs/>
          <w:sz w:val="24"/>
          <w:szCs w:val="24"/>
        </w:rPr>
        <w:t>RESULTADOS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9"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 violência incide igualmente sobre crianças e adolescentes, independente de idade, pobreza, gênero, etnia e outros fatores. Para validar o presente estudo tivemos acesso a 416 fichas de casos atendidos em 2011 pelo conselho tutelar do município de Lagarto no Estado de Sergipe, e encaminhados para rede socioassistencial municipal e estadual. Esses casos são uma pequena amostra dos atendimentos ocorridos nos meses de janeiro, fevereiro, março,</w:t>
      </w:r>
    </w:p>
    <w:p w:rsidR="00D24E61" w:rsidRPr="00771368" w:rsidRDefault="00D24E61">
      <w:pPr>
        <w:sectPr w:rsidR="00D24E61" w:rsidRPr="00771368">
          <w:pgSz w:w="11900" w:h="16836"/>
          <w:pgMar w:top="1440" w:right="1400" w:bottom="144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3" w:lineRule="auto"/>
        <w:ind w:right="20"/>
        <w:jc w:val="both"/>
        <w:rPr>
          <w:sz w:val="20"/>
          <w:szCs w:val="20"/>
        </w:rPr>
      </w:pPr>
      <w:r w:rsidRPr="00771368">
        <w:rPr>
          <w:sz w:val="24"/>
          <w:szCs w:val="24"/>
        </w:rPr>
        <w:t>abril, maio, junho, julho, agosto, novembro. Desses 224 foram contra meninas, pode-se afirmar que isso se deve a um contexto histórico e cultural onde a violência contra a mulher é natural e que esta deve/pode suportar o que lhe chega com naturalidade e submissão desde a mais tenra infância.</w:t>
      </w:r>
    </w:p>
    <w:p w:rsidR="00D24E61" w:rsidRPr="00771368" w:rsidRDefault="00D24E61">
      <w:pPr>
        <w:spacing w:line="78" w:lineRule="exact"/>
        <w:rPr>
          <w:sz w:val="20"/>
          <w:szCs w:val="20"/>
        </w:rPr>
      </w:pPr>
    </w:p>
    <w:p w:rsidR="00D24E61" w:rsidRPr="00771368" w:rsidRDefault="00D24E61">
      <w:pPr>
        <w:spacing w:line="342" w:lineRule="auto"/>
        <w:ind w:firstLine="708"/>
        <w:jc w:val="both"/>
        <w:rPr>
          <w:sz w:val="20"/>
          <w:szCs w:val="20"/>
        </w:rPr>
      </w:pPr>
      <w:r w:rsidRPr="00771368">
        <w:rPr>
          <w:sz w:val="24"/>
          <w:szCs w:val="24"/>
        </w:rPr>
        <w:t>O levantamento desses casos foi um desafio por conta das dificuldades enfrentadas pelo conselho tutelar que lida com uma grande demanda e com parcos recursos financeiros, estruturais e de pessoal. Os conselheiros desenvolvem seus trabalhos com empenho, contudo de forma penosa, pois, são apenas 05 conselheiros e o município já beira os cem mil habitantes, destes quase 50% residem na zona rural composta por aproximadamente 80 povoados. Faltam capacitações e a criação de instrumentais para o registro dos casos, bem como recursos como computadores com acesso a internet e com o SIPIA</w:t>
      </w:r>
      <w:r w:rsidRPr="00771368">
        <w:rPr>
          <w:sz w:val="32"/>
          <w:szCs w:val="32"/>
          <w:vertAlign w:val="superscript"/>
        </w:rPr>
        <w:t>4</w:t>
      </w:r>
      <w:r w:rsidRPr="00771368">
        <w:rPr>
          <w:sz w:val="24"/>
          <w:szCs w:val="24"/>
        </w:rPr>
        <w:t xml:space="preserve"> instalado, impressora, aparelho de fax. Os conselheiros revezam a utilização do único computador disponível e os aparelhos de fax e impressora pertencem a uma das conselheiras que tirou do seu uso domestico para facilitar o atendimento enquanto o Poder Público não se manifesta.</w:t>
      </w:r>
    </w:p>
    <w:p w:rsidR="00D24E61" w:rsidRPr="00771368" w:rsidRDefault="00D24E61">
      <w:pPr>
        <w:spacing w:line="77" w:lineRule="exact"/>
        <w:rPr>
          <w:sz w:val="20"/>
          <w:szCs w:val="20"/>
        </w:rPr>
      </w:pPr>
    </w:p>
    <w:p w:rsidR="00D24E61" w:rsidRPr="00771368" w:rsidRDefault="00D24E61">
      <w:pPr>
        <w:spacing w:line="350" w:lineRule="auto"/>
        <w:ind w:firstLine="708"/>
        <w:jc w:val="both"/>
        <w:rPr>
          <w:sz w:val="20"/>
          <w:szCs w:val="20"/>
        </w:rPr>
      </w:pPr>
      <w:r w:rsidRPr="00771368">
        <w:rPr>
          <w:sz w:val="24"/>
          <w:szCs w:val="24"/>
        </w:rPr>
        <w:t>Um dado feliz desse levantamento é que aos poucos a população tem decido denunciar aos órgãos de defesa os casos de violência contra criança e adolescente de forma que há um favorecimento ao enfrentamento dessas situações. As meninas vítimas de violência abordadas nessa pesquisa correspondem à faixa etária dos 02 aos 16 anos de idade e residem em sua maioria na sede do município, provavelmente por conta do acesso a informações e meios de comunicação que favorecem a denúncia.</w:t>
      </w:r>
    </w:p>
    <w:p w:rsidR="00D24E61" w:rsidRPr="00771368" w:rsidRDefault="00D24E61">
      <w:pPr>
        <w:spacing w:line="70" w:lineRule="exact"/>
        <w:rPr>
          <w:sz w:val="20"/>
          <w:szCs w:val="20"/>
        </w:rPr>
      </w:pPr>
    </w:p>
    <w:p w:rsidR="00D24E61" w:rsidRPr="00771368" w:rsidRDefault="00D24E61">
      <w:pPr>
        <w:spacing w:line="351" w:lineRule="auto"/>
        <w:ind w:firstLine="708"/>
        <w:jc w:val="both"/>
        <w:rPr>
          <w:sz w:val="20"/>
          <w:szCs w:val="20"/>
        </w:rPr>
      </w:pPr>
      <w:r w:rsidRPr="00771368">
        <w:rPr>
          <w:sz w:val="24"/>
          <w:szCs w:val="24"/>
        </w:rPr>
        <w:t>Os dados coletados revelaram os seguintes número/tipos de violência, cometidas contra meninas em 2011: 05 casos de violência psicológica; 19 casos de violência sexual; 07 casos de violência física; 40 casos de violência doméstica/maus tratos; 14 casos de negligência; 27 casos de faltas de registro civil; 01 caso de trabalho infantil; 38 situações de conflito familiar; 14 denúncias de rebeldia; 06 casos de violência de exploração sexual/prostituição infantil; 02 casos de investigação de paternidade; 03 denúncias de situações de risco; 02 casos de abandono e 19 situações de violência não especificadas.</w:t>
      </w:r>
    </w:p>
    <w:p w:rsidR="00D24E61" w:rsidRPr="00771368" w:rsidRDefault="00D24E61">
      <w:pPr>
        <w:spacing w:line="76" w:lineRule="exact"/>
        <w:rPr>
          <w:sz w:val="20"/>
          <w:szCs w:val="20"/>
        </w:rPr>
      </w:pPr>
    </w:p>
    <w:p w:rsidR="00D24E61" w:rsidRPr="00771368" w:rsidRDefault="00D24E61">
      <w:pPr>
        <w:spacing w:line="351" w:lineRule="auto"/>
        <w:ind w:firstLine="708"/>
        <w:jc w:val="both"/>
        <w:rPr>
          <w:sz w:val="20"/>
          <w:szCs w:val="20"/>
        </w:rPr>
      </w:pPr>
      <w:r w:rsidRPr="00771368">
        <w:rPr>
          <w:sz w:val="24"/>
          <w:szCs w:val="24"/>
        </w:rPr>
        <w:t>Conforme Azevedo (1995), violência doméstica contra crianças e adolescentes são atos e/ou omissões praticados por pais, parentes ou responsáveis em relação à criança e/ou adolescente que sendo capaz de causar à vítima dor ou dano de natureza física, sexual e/ou psicológica implica, de um lado, uma transgressão do poder/dever de proteção do adulto e, de outro, numa coisificação da infância, isto é, numa negação do direito que crianças e adolescentes têm de ser tratados como sujeitos e pessoas em condição peculiar de desenvolvimento.</w:t>
      </w:r>
    </w:p>
    <w:p w:rsidR="00D24E61" w:rsidRPr="00771368" w:rsidRDefault="00D24E61">
      <w:pPr>
        <w:sectPr w:rsidR="00D24E61" w:rsidRPr="00771368">
          <w:pgSz w:w="11900" w:h="16836"/>
          <w:pgMar w:top="1440" w:right="1400" w:bottom="1083" w:left="1420" w:header="0" w:footer="0" w:gutter="0"/>
          <w:cols w:space="720" w:equalWidth="0">
            <w:col w:w="9080"/>
          </w:cols>
        </w:sectPr>
      </w:pPr>
    </w:p>
    <w:p w:rsidR="00D24E61" w:rsidRPr="00771368" w:rsidRDefault="00D24E61">
      <w:pPr>
        <w:framePr w:w="3114" w:h="362" w:wrap="auto" w:vAnchor="page" w:hAnchor="page" w:x="4452" w:y="11608"/>
        <w:spacing w:line="351" w:lineRule="auto"/>
        <w:ind w:firstLine="708"/>
        <w:jc w:val="both"/>
        <w:rPr>
          <w:sz w:val="20"/>
          <w:szCs w:val="20"/>
        </w:rPr>
      </w:pPr>
    </w:p>
    <w:p w:rsidR="00D24E61" w:rsidRPr="00771368" w:rsidRDefault="00D24E61">
      <w:pPr>
        <w:framePr w:w="280" w:h="170" w:wrap="auto" w:vAnchor="page" w:hAnchor="page" w:x="7320" w:y="11773"/>
        <w:spacing w:line="186" w:lineRule="auto"/>
        <w:ind w:firstLine="708"/>
        <w:rPr>
          <w:sz w:val="19"/>
          <w:szCs w:val="19"/>
        </w:rPr>
      </w:pPr>
      <w:r w:rsidRPr="00771368">
        <w:rPr>
          <w:sz w:val="19"/>
          <w:szCs w:val="19"/>
        </w:rPr>
        <w:t>17</w:t>
      </w:r>
    </w:p>
    <w:p w:rsidR="00D24E61" w:rsidRPr="00771368" w:rsidRDefault="00D24E61">
      <w:pPr>
        <w:spacing w:line="29" w:lineRule="exact"/>
        <w:rPr>
          <w:sz w:val="19"/>
          <w:szCs w:val="19"/>
        </w:rPr>
      </w:pPr>
    </w:p>
    <w:p w:rsidR="00D24E61" w:rsidRPr="00771368" w:rsidRDefault="00D24E61">
      <w:pPr>
        <w:spacing w:line="347" w:lineRule="auto"/>
        <w:ind w:left="120" w:right="240" w:firstLine="708"/>
        <w:jc w:val="both"/>
        <w:rPr>
          <w:sz w:val="20"/>
          <w:szCs w:val="20"/>
        </w:rPr>
      </w:pPr>
      <w:r w:rsidRPr="00771368">
        <w:rPr>
          <w:sz w:val="24"/>
          <w:szCs w:val="24"/>
        </w:rPr>
        <w:t>Para Freire (2007) a violência contra a mulher, fenômeno tão complexo quanto frequente, não tem sido abordada suficientemente nos processos formativos de diferentes categorias profissionais que se deparam, cotidianamente, com casos desta natureza. Tratando-se da violência contra as adolescentes e jovens a lacuna é ainda maior nos currículos profissionais, seja na área da saúde, social ou jurídica.</w:t>
      </w:r>
    </w:p>
    <w:p w:rsidR="00D24E61" w:rsidRPr="00771368" w:rsidRDefault="00D24E61">
      <w:pPr>
        <w:spacing w:line="200" w:lineRule="exact"/>
        <w:rPr>
          <w:sz w:val="19"/>
          <w:szCs w:val="19"/>
        </w:rPr>
      </w:pPr>
    </w:p>
    <w:p w:rsidR="00D24E61" w:rsidRPr="00771368" w:rsidRDefault="00D24E61">
      <w:pPr>
        <w:spacing w:line="284" w:lineRule="exact"/>
        <w:rPr>
          <w:sz w:val="19"/>
          <w:szCs w:val="19"/>
        </w:rPr>
      </w:pPr>
    </w:p>
    <w:p w:rsidR="00D24E61" w:rsidRPr="00771368" w:rsidRDefault="00D24E61">
      <w:pPr>
        <w:spacing w:line="229" w:lineRule="auto"/>
        <w:ind w:left="2380" w:right="260"/>
        <w:jc w:val="both"/>
        <w:rPr>
          <w:sz w:val="20"/>
          <w:szCs w:val="20"/>
        </w:rPr>
      </w:pPr>
      <w:r w:rsidRPr="00771368">
        <w:t>As mulheres jovens e adolescentes vítimas de violência têm como fator agravante a vulnerabilidade própria da idade no enfrentamento da situação a qual estão submetidas. Esta circunstância é muitas vezes responsável pela demora ou até a negativa na busca de ajuda adequada para a solução de dramas tão íntimos e pessoais, embora cotidianos (FREIRE, 2007, P. 11).</w:t>
      </w:r>
    </w:p>
    <w:p w:rsidR="00D24E61" w:rsidRPr="00771368" w:rsidRDefault="00D24E61">
      <w:pPr>
        <w:spacing w:line="200" w:lineRule="exact"/>
        <w:rPr>
          <w:sz w:val="19"/>
          <w:szCs w:val="19"/>
        </w:rPr>
      </w:pPr>
    </w:p>
    <w:p w:rsidR="00D24E61" w:rsidRPr="00771368" w:rsidRDefault="00D24E61">
      <w:pPr>
        <w:spacing w:line="279" w:lineRule="exact"/>
        <w:rPr>
          <w:sz w:val="19"/>
          <w:szCs w:val="19"/>
        </w:rPr>
      </w:pPr>
    </w:p>
    <w:p w:rsidR="00D24E61" w:rsidRPr="00771368" w:rsidRDefault="00D24E61">
      <w:pPr>
        <w:spacing w:line="356" w:lineRule="auto"/>
        <w:ind w:left="120" w:right="260" w:firstLine="708"/>
        <w:jc w:val="both"/>
        <w:rPr>
          <w:sz w:val="20"/>
          <w:szCs w:val="20"/>
        </w:rPr>
      </w:pPr>
      <w:r w:rsidRPr="00771368">
        <w:rPr>
          <w:sz w:val="24"/>
          <w:szCs w:val="24"/>
        </w:rPr>
        <w:t>Além dos dados obtidos no conselho tutelar, foram disponibilizados pelo Conselho Municipal de Assistência Social os Relatórios de Gestão da Assistência Social, exercícios 2011 e 2012, onde obtivemos os seguintes dados sobre a violência contra meninas:</w:t>
      </w:r>
    </w:p>
    <w:p w:rsidR="00D24E61" w:rsidRPr="00771368" w:rsidRDefault="00013211">
      <w:pPr>
        <w:spacing w:line="200" w:lineRule="exact"/>
        <w:rPr>
          <w:sz w:val="19"/>
          <w:szCs w:val="19"/>
        </w:rPr>
      </w:pPr>
      <w:r>
        <w:rPr>
          <w:noProof/>
          <w:sz w:val="19"/>
          <w:szCs w:val="19"/>
        </w:rPr>
        <mc:AlternateContent>
          <mc:Choice Requires="wps">
            <w:drawing>
              <wp:anchor distT="0" distB="0" distL="0" distR="0" simplePos="0" relativeHeight="251693568" behindDoc="0" locked="0" layoutInCell="0" allowOverlap="1">
                <wp:simplePos x="0" y="0"/>
                <wp:positionH relativeFrom="column">
                  <wp:posOffset>5080</wp:posOffset>
                </wp:positionH>
                <wp:positionV relativeFrom="paragraph">
                  <wp:posOffset>508635</wp:posOffset>
                </wp:positionV>
                <wp:extent cx="5988685" cy="0"/>
                <wp:effectExtent l="14605" t="13335" r="6985" b="15240"/>
                <wp:wrapNone/>
                <wp:docPr id="23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9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pt,40.05pt" to="471.9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zV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" o:allowincell="f" strokeweight="1pt"/>
            </w:pict>
          </mc:Fallback>
        </mc:AlternateContent>
      </w:r>
    </w:p>
    <w:p w:rsidR="00D24E61" w:rsidRPr="00771368" w:rsidRDefault="00D24E61">
      <w:pPr>
        <w:spacing w:line="200" w:lineRule="exact"/>
        <w:rPr>
          <w:sz w:val="19"/>
          <w:szCs w:val="19"/>
        </w:rPr>
      </w:pPr>
    </w:p>
    <w:p w:rsidR="00D24E61" w:rsidRPr="00771368" w:rsidRDefault="00D24E61">
      <w:pPr>
        <w:spacing w:line="390" w:lineRule="exact"/>
        <w:rPr>
          <w:sz w:val="19"/>
          <w:szCs w:val="19"/>
        </w:rPr>
      </w:pPr>
    </w:p>
    <w:p w:rsidR="00D24E61" w:rsidRPr="00771368" w:rsidRDefault="00D24E61">
      <w:pPr>
        <w:spacing w:line="239" w:lineRule="auto"/>
        <w:ind w:left="1540"/>
        <w:rPr>
          <w:sz w:val="20"/>
          <w:szCs w:val="20"/>
        </w:rPr>
      </w:pPr>
      <w:r w:rsidRPr="00771368">
        <w:rPr>
          <w:b/>
          <w:bCs/>
          <w:sz w:val="20"/>
          <w:szCs w:val="20"/>
        </w:rPr>
        <w:t>ATENDIMENTOS EM SITUAÇÃO DE VIOLÊNCIA INTRAFAMILIAR</w:t>
      </w:r>
    </w:p>
    <w:p w:rsidR="00D24E61" w:rsidRPr="00771368" w:rsidRDefault="00D24E61">
      <w:pPr>
        <w:spacing w:line="203" w:lineRule="auto"/>
        <w:ind w:left="2120"/>
        <w:rPr>
          <w:sz w:val="20"/>
          <w:szCs w:val="20"/>
        </w:rPr>
      </w:pPr>
      <w:r w:rsidRPr="00771368">
        <w:rPr>
          <w:b/>
          <w:bCs/>
          <w:sz w:val="20"/>
          <w:szCs w:val="20"/>
        </w:rPr>
        <w:t>OU VIOLAÇÕES DE DIREITOS ATENDIDAS NO PAEFI</w:t>
      </w:r>
      <w:r w:rsidRPr="00771368">
        <w:rPr>
          <w:b/>
          <w:bCs/>
          <w:sz w:val="26"/>
          <w:szCs w:val="26"/>
          <w:vertAlign w:val="superscript"/>
        </w:rPr>
        <w:t>4</w:t>
      </w:r>
    </w:p>
    <w:tbl>
      <w:tblPr>
        <w:tblW w:w="0" w:type="auto"/>
        <w:tblLayout w:type="fixed"/>
        <w:tblCellMar>
          <w:left w:w="0" w:type="dxa"/>
          <w:right w:w="0" w:type="dxa"/>
        </w:tblCellMar>
        <w:tblLook w:val="04A0" w:firstRow="1" w:lastRow="0" w:firstColumn="1" w:lastColumn="0" w:noHBand="0" w:noVBand="1"/>
      </w:tblPr>
      <w:tblGrid>
        <w:gridCol w:w="3000"/>
        <w:gridCol w:w="1840"/>
        <w:gridCol w:w="960"/>
        <w:gridCol w:w="1300"/>
        <w:gridCol w:w="2340"/>
      </w:tblGrid>
      <w:tr w:rsidR="00D24E61" w:rsidRPr="00771368">
        <w:trPr>
          <w:trHeight w:val="226"/>
        </w:trPr>
        <w:tc>
          <w:tcPr>
            <w:tcW w:w="3000" w:type="dxa"/>
            <w:tcBorders>
              <w:top w:val="single" w:sz="8" w:space="0" w:color="auto"/>
            </w:tcBorders>
            <w:vAlign w:val="bottom"/>
          </w:tcPr>
          <w:p w:rsidR="00D24E61" w:rsidRPr="00771368" w:rsidRDefault="00D24E61">
            <w:pPr>
              <w:spacing w:line="225" w:lineRule="exact"/>
              <w:ind w:left="920"/>
              <w:rPr>
                <w:sz w:val="20"/>
                <w:szCs w:val="20"/>
              </w:rPr>
            </w:pPr>
            <w:r w:rsidRPr="00771368">
              <w:rPr>
                <w:b/>
                <w:bCs/>
                <w:sz w:val="20"/>
                <w:szCs w:val="20"/>
              </w:rPr>
              <w:t>Tipificação</w:t>
            </w:r>
          </w:p>
        </w:tc>
        <w:tc>
          <w:tcPr>
            <w:tcW w:w="1840" w:type="dxa"/>
            <w:tcBorders>
              <w:top w:val="single" w:sz="8" w:space="0" w:color="auto"/>
            </w:tcBorders>
            <w:vAlign w:val="bottom"/>
          </w:tcPr>
          <w:p w:rsidR="00D24E61" w:rsidRPr="00771368" w:rsidRDefault="00D24E61">
            <w:pPr>
              <w:rPr>
                <w:sz w:val="19"/>
                <w:szCs w:val="19"/>
              </w:rPr>
            </w:pPr>
          </w:p>
        </w:tc>
        <w:tc>
          <w:tcPr>
            <w:tcW w:w="2260" w:type="dxa"/>
            <w:gridSpan w:val="2"/>
            <w:tcBorders>
              <w:top w:val="single" w:sz="8" w:space="0" w:color="auto"/>
            </w:tcBorders>
            <w:vAlign w:val="bottom"/>
          </w:tcPr>
          <w:p w:rsidR="00D24E61" w:rsidRPr="00771368" w:rsidRDefault="00D24E61">
            <w:pPr>
              <w:spacing w:line="225" w:lineRule="exact"/>
              <w:ind w:left="360"/>
              <w:rPr>
                <w:sz w:val="20"/>
                <w:szCs w:val="20"/>
              </w:rPr>
            </w:pPr>
            <w:r w:rsidRPr="00771368">
              <w:rPr>
                <w:b/>
                <w:bCs/>
                <w:w w:val="98"/>
                <w:sz w:val="20"/>
                <w:szCs w:val="20"/>
              </w:rPr>
              <w:t>Criança e Adolescente</w:t>
            </w:r>
          </w:p>
        </w:tc>
        <w:tc>
          <w:tcPr>
            <w:tcW w:w="2340" w:type="dxa"/>
            <w:tcBorders>
              <w:top w:val="single" w:sz="8" w:space="0" w:color="auto"/>
            </w:tcBorders>
            <w:vAlign w:val="bottom"/>
          </w:tcPr>
          <w:p w:rsidR="00D24E61" w:rsidRPr="00771368" w:rsidRDefault="00D24E61">
            <w:pPr>
              <w:rPr>
                <w:sz w:val="19"/>
                <w:szCs w:val="19"/>
              </w:rPr>
            </w:pPr>
          </w:p>
        </w:tc>
      </w:tr>
      <w:tr w:rsidR="00D24E61" w:rsidRPr="00771368">
        <w:trPr>
          <w:trHeight w:val="228"/>
        </w:trPr>
        <w:tc>
          <w:tcPr>
            <w:tcW w:w="3000" w:type="dxa"/>
            <w:vAlign w:val="bottom"/>
          </w:tcPr>
          <w:p w:rsidR="00D24E61" w:rsidRPr="00771368" w:rsidRDefault="00D24E61">
            <w:pPr>
              <w:rPr>
                <w:sz w:val="19"/>
                <w:szCs w:val="19"/>
              </w:rPr>
            </w:pPr>
          </w:p>
        </w:tc>
        <w:tc>
          <w:tcPr>
            <w:tcW w:w="1840" w:type="dxa"/>
            <w:vAlign w:val="bottom"/>
          </w:tcPr>
          <w:p w:rsidR="00D24E61" w:rsidRPr="00771368" w:rsidRDefault="00D24E61">
            <w:pPr>
              <w:spacing w:line="227" w:lineRule="exact"/>
              <w:ind w:left="840"/>
              <w:rPr>
                <w:sz w:val="20"/>
                <w:szCs w:val="20"/>
              </w:rPr>
            </w:pPr>
            <w:r w:rsidRPr="00771368">
              <w:rPr>
                <w:b/>
                <w:bCs/>
                <w:sz w:val="20"/>
                <w:szCs w:val="20"/>
              </w:rPr>
              <w:t>0 a 12 anos</w:t>
            </w:r>
          </w:p>
        </w:tc>
        <w:tc>
          <w:tcPr>
            <w:tcW w:w="960" w:type="dxa"/>
            <w:vAlign w:val="bottom"/>
          </w:tcPr>
          <w:p w:rsidR="00D24E61" w:rsidRPr="00771368" w:rsidRDefault="00D24E61">
            <w:pPr>
              <w:rPr>
                <w:sz w:val="19"/>
                <w:szCs w:val="19"/>
              </w:rPr>
            </w:pPr>
          </w:p>
        </w:tc>
        <w:tc>
          <w:tcPr>
            <w:tcW w:w="1300" w:type="dxa"/>
            <w:vAlign w:val="bottom"/>
          </w:tcPr>
          <w:p w:rsidR="00D24E61" w:rsidRPr="00771368" w:rsidRDefault="00D24E61">
            <w:pPr>
              <w:rPr>
                <w:sz w:val="19"/>
                <w:szCs w:val="19"/>
              </w:rPr>
            </w:pPr>
          </w:p>
        </w:tc>
        <w:tc>
          <w:tcPr>
            <w:tcW w:w="2340" w:type="dxa"/>
            <w:vAlign w:val="bottom"/>
          </w:tcPr>
          <w:p w:rsidR="00D24E61" w:rsidRPr="00771368" w:rsidRDefault="00D24E61">
            <w:pPr>
              <w:spacing w:line="227" w:lineRule="exact"/>
              <w:ind w:left="20"/>
              <w:rPr>
                <w:sz w:val="20"/>
                <w:szCs w:val="20"/>
              </w:rPr>
            </w:pPr>
            <w:r w:rsidRPr="00771368">
              <w:rPr>
                <w:b/>
                <w:bCs/>
                <w:sz w:val="20"/>
                <w:szCs w:val="20"/>
              </w:rPr>
              <w:t>13 a 17 anos</w:t>
            </w:r>
          </w:p>
        </w:tc>
      </w:tr>
      <w:tr w:rsidR="00D24E61" w:rsidRPr="00771368">
        <w:trPr>
          <w:trHeight w:val="232"/>
        </w:trPr>
        <w:tc>
          <w:tcPr>
            <w:tcW w:w="3000" w:type="dxa"/>
            <w:vAlign w:val="bottom"/>
          </w:tcPr>
          <w:p w:rsidR="00D24E61" w:rsidRPr="00771368" w:rsidRDefault="00D24E61">
            <w:pPr>
              <w:rPr>
                <w:sz w:val="20"/>
                <w:szCs w:val="20"/>
              </w:rPr>
            </w:pPr>
          </w:p>
        </w:tc>
        <w:tc>
          <w:tcPr>
            <w:tcW w:w="1840" w:type="dxa"/>
            <w:vAlign w:val="bottom"/>
          </w:tcPr>
          <w:p w:rsidR="00D24E61" w:rsidRPr="00771368" w:rsidRDefault="00D24E61">
            <w:pPr>
              <w:spacing w:line="229" w:lineRule="exact"/>
              <w:ind w:right="560"/>
              <w:jc w:val="center"/>
              <w:rPr>
                <w:sz w:val="20"/>
                <w:szCs w:val="20"/>
              </w:rPr>
            </w:pPr>
            <w:r w:rsidRPr="00771368">
              <w:rPr>
                <w:b/>
                <w:bCs/>
                <w:sz w:val="20"/>
                <w:szCs w:val="20"/>
              </w:rPr>
              <w:t>Mas</w:t>
            </w:r>
          </w:p>
        </w:tc>
        <w:tc>
          <w:tcPr>
            <w:tcW w:w="960" w:type="dxa"/>
            <w:vAlign w:val="bottom"/>
          </w:tcPr>
          <w:p w:rsidR="00D24E61" w:rsidRPr="00771368" w:rsidRDefault="00D24E61">
            <w:pPr>
              <w:spacing w:line="229" w:lineRule="exact"/>
              <w:ind w:right="400"/>
              <w:jc w:val="center"/>
              <w:rPr>
                <w:sz w:val="20"/>
                <w:szCs w:val="20"/>
              </w:rPr>
            </w:pPr>
            <w:r w:rsidRPr="00771368">
              <w:rPr>
                <w:b/>
                <w:bCs/>
                <w:sz w:val="20"/>
                <w:szCs w:val="20"/>
              </w:rPr>
              <w:t>Fem</w:t>
            </w:r>
          </w:p>
        </w:tc>
        <w:tc>
          <w:tcPr>
            <w:tcW w:w="1300" w:type="dxa"/>
            <w:vAlign w:val="bottom"/>
          </w:tcPr>
          <w:p w:rsidR="00D24E61" w:rsidRPr="00771368" w:rsidRDefault="00D24E61">
            <w:pPr>
              <w:spacing w:line="229" w:lineRule="exact"/>
              <w:ind w:left="20"/>
              <w:jc w:val="center"/>
              <w:rPr>
                <w:sz w:val="20"/>
                <w:szCs w:val="20"/>
              </w:rPr>
            </w:pPr>
            <w:r w:rsidRPr="00771368">
              <w:rPr>
                <w:b/>
                <w:bCs/>
                <w:sz w:val="20"/>
                <w:szCs w:val="20"/>
              </w:rPr>
              <w:t>Mas</w:t>
            </w:r>
          </w:p>
        </w:tc>
        <w:tc>
          <w:tcPr>
            <w:tcW w:w="2340" w:type="dxa"/>
            <w:vAlign w:val="bottom"/>
          </w:tcPr>
          <w:p w:rsidR="00D24E61" w:rsidRPr="00771368" w:rsidRDefault="00D24E61">
            <w:pPr>
              <w:spacing w:line="229" w:lineRule="exact"/>
              <w:ind w:left="100"/>
              <w:jc w:val="center"/>
              <w:rPr>
                <w:sz w:val="20"/>
                <w:szCs w:val="20"/>
              </w:rPr>
            </w:pPr>
            <w:r w:rsidRPr="00771368">
              <w:rPr>
                <w:b/>
                <w:bCs/>
                <w:sz w:val="20"/>
                <w:szCs w:val="20"/>
              </w:rPr>
              <w:t>Fem</w:t>
            </w:r>
          </w:p>
        </w:tc>
      </w:tr>
      <w:tr w:rsidR="00D24E61" w:rsidRPr="00771368">
        <w:trPr>
          <w:trHeight w:val="228"/>
        </w:trPr>
        <w:tc>
          <w:tcPr>
            <w:tcW w:w="3000" w:type="dxa"/>
            <w:vAlign w:val="bottom"/>
          </w:tcPr>
          <w:p w:rsidR="00D24E61" w:rsidRPr="00771368" w:rsidRDefault="00D24E61">
            <w:pPr>
              <w:spacing w:line="227" w:lineRule="exact"/>
              <w:jc w:val="center"/>
              <w:rPr>
                <w:sz w:val="20"/>
                <w:szCs w:val="20"/>
              </w:rPr>
            </w:pPr>
            <w:r w:rsidRPr="00771368">
              <w:rPr>
                <w:b/>
                <w:bCs/>
                <w:w w:val="99"/>
                <w:sz w:val="20"/>
                <w:szCs w:val="20"/>
              </w:rPr>
              <w:t>Violência Intrafamiliar</w:t>
            </w:r>
          </w:p>
        </w:tc>
        <w:tc>
          <w:tcPr>
            <w:tcW w:w="1840" w:type="dxa"/>
            <w:vAlign w:val="bottom"/>
          </w:tcPr>
          <w:p w:rsidR="00D24E61" w:rsidRPr="00771368" w:rsidRDefault="00D24E61">
            <w:pPr>
              <w:spacing w:line="223" w:lineRule="exact"/>
              <w:ind w:right="540"/>
              <w:jc w:val="center"/>
              <w:rPr>
                <w:sz w:val="20"/>
                <w:szCs w:val="20"/>
              </w:rPr>
            </w:pPr>
            <w:r w:rsidRPr="00771368">
              <w:rPr>
                <w:w w:val="99"/>
                <w:sz w:val="20"/>
                <w:szCs w:val="20"/>
              </w:rPr>
              <w:t>03</w:t>
            </w:r>
          </w:p>
        </w:tc>
        <w:tc>
          <w:tcPr>
            <w:tcW w:w="960" w:type="dxa"/>
            <w:vAlign w:val="bottom"/>
          </w:tcPr>
          <w:p w:rsidR="00D24E61" w:rsidRPr="00771368" w:rsidRDefault="00D24E61">
            <w:pPr>
              <w:spacing w:line="223" w:lineRule="exact"/>
              <w:ind w:right="380"/>
              <w:jc w:val="center"/>
              <w:rPr>
                <w:sz w:val="20"/>
                <w:szCs w:val="20"/>
              </w:rPr>
            </w:pPr>
            <w:r w:rsidRPr="00771368">
              <w:rPr>
                <w:w w:val="99"/>
                <w:sz w:val="20"/>
                <w:szCs w:val="20"/>
              </w:rPr>
              <w:t>05</w:t>
            </w:r>
          </w:p>
        </w:tc>
        <w:tc>
          <w:tcPr>
            <w:tcW w:w="1300" w:type="dxa"/>
            <w:vAlign w:val="bottom"/>
          </w:tcPr>
          <w:p w:rsidR="00D24E61" w:rsidRPr="00771368" w:rsidRDefault="00D24E61">
            <w:pPr>
              <w:spacing w:line="223" w:lineRule="exact"/>
              <w:ind w:left="40"/>
              <w:jc w:val="center"/>
              <w:rPr>
                <w:sz w:val="20"/>
                <w:szCs w:val="20"/>
              </w:rPr>
            </w:pPr>
            <w:r w:rsidRPr="00771368">
              <w:rPr>
                <w:w w:val="99"/>
                <w:sz w:val="20"/>
                <w:szCs w:val="20"/>
              </w:rPr>
              <w:t>06</w:t>
            </w:r>
          </w:p>
        </w:tc>
        <w:tc>
          <w:tcPr>
            <w:tcW w:w="2340" w:type="dxa"/>
            <w:vAlign w:val="bottom"/>
          </w:tcPr>
          <w:p w:rsidR="00D24E61" w:rsidRPr="00771368" w:rsidRDefault="00D24E61">
            <w:pPr>
              <w:spacing w:line="223" w:lineRule="exact"/>
              <w:ind w:left="80"/>
              <w:jc w:val="center"/>
              <w:rPr>
                <w:sz w:val="20"/>
                <w:szCs w:val="20"/>
              </w:rPr>
            </w:pPr>
            <w:r w:rsidRPr="00771368">
              <w:rPr>
                <w:w w:val="99"/>
                <w:sz w:val="20"/>
                <w:szCs w:val="20"/>
              </w:rPr>
              <w:t>09</w:t>
            </w:r>
          </w:p>
        </w:tc>
      </w:tr>
      <w:tr w:rsidR="00D24E61" w:rsidRPr="00771368">
        <w:trPr>
          <w:trHeight w:val="232"/>
        </w:trPr>
        <w:tc>
          <w:tcPr>
            <w:tcW w:w="3000" w:type="dxa"/>
            <w:vAlign w:val="bottom"/>
          </w:tcPr>
          <w:p w:rsidR="00D24E61" w:rsidRPr="00771368" w:rsidRDefault="00D24E61">
            <w:pPr>
              <w:spacing w:line="229" w:lineRule="exact"/>
              <w:jc w:val="center"/>
              <w:rPr>
                <w:sz w:val="20"/>
                <w:szCs w:val="20"/>
              </w:rPr>
            </w:pPr>
            <w:r w:rsidRPr="00771368">
              <w:rPr>
                <w:b/>
                <w:bCs/>
                <w:w w:val="99"/>
                <w:sz w:val="20"/>
                <w:szCs w:val="20"/>
              </w:rPr>
              <w:t>Abuso Sexual</w:t>
            </w:r>
          </w:p>
        </w:tc>
        <w:tc>
          <w:tcPr>
            <w:tcW w:w="1840" w:type="dxa"/>
            <w:vAlign w:val="bottom"/>
          </w:tcPr>
          <w:p w:rsidR="00D24E61" w:rsidRPr="00771368" w:rsidRDefault="00D24E61">
            <w:pPr>
              <w:spacing w:line="227" w:lineRule="exact"/>
              <w:ind w:right="540"/>
              <w:jc w:val="center"/>
              <w:rPr>
                <w:sz w:val="20"/>
                <w:szCs w:val="20"/>
              </w:rPr>
            </w:pPr>
            <w:r w:rsidRPr="00771368">
              <w:rPr>
                <w:w w:val="99"/>
                <w:sz w:val="20"/>
                <w:szCs w:val="20"/>
              </w:rPr>
              <w:t>03</w:t>
            </w:r>
          </w:p>
        </w:tc>
        <w:tc>
          <w:tcPr>
            <w:tcW w:w="960" w:type="dxa"/>
            <w:vAlign w:val="bottom"/>
          </w:tcPr>
          <w:p w:rsidR="00D24E61" w:rsidRPr="00771368" w:rsidRDefault="00D24E61">
            <w:pPr>
              <w:spacing w:line="227" w:lineRule="exact"/>
              <w:ind w:right="380"/>
              <w:jc w:val="center"/>
              <w:rPr>
                <w:sz w:val="20"/>
                <w:szCs w:val="20"/>
              </w:rPr>
            </w:pPr>
            <w:r w:rsidRPr="00771368">
              <w:rPr>
                <w:w w:val="99"/>
                <w:sz w:val="20"/>
                <w:szCs w:val="20"/>
              </w:rPr>
              <w:t>08</w:t>
            </w:r>
          </w:p>
        </w:tc>
        <w:tc>
          <w:tcPr>
            <w:tcW w:w="1300" w:type="dxa"/>
            <w:vAlign w:val="bottom"/>
          </w:tcPr>
          <w:p w:rsidR="00D24E61" w:rsidRPr="00771368" w:rsidRDefault="00D24E61">
            <w:pPr>
              <w:spacing w:line="227" w:lineRule="exact"/>
              <w:ind w:left="40"/>
              <w:jc w:val="center"/>
              <w:rPr>
                <w:sz w:val="20"/>
                <w:szCs w:val="20"/>
              </w:rPr>
            </w:pPr>
            <w:r w:rsidRPr="00771368">
              <w:rPr>
                <w:w w:val="99"/>
                <w:sz w:val="20"/>
                <w:szCs w:val="20"/>
              </w:rPr>
              <w:t>01</w:t>
            </w:r>
          </w:p>
        </w:tc>
        <w:tc>
          <w:tcPr>
            <w:tcW w:w="2340" w:type="dxa"/>
            <w:vAlign w:val="bottom"/>
          </w:tcPr>
          <w:p w:rsidR="00D24E61" w:rsidRPr="00771368" w:rsidRDefault="00D24E61">
            <w:pPr>
              <w:spacing w:line="227" w:lineRule="exact"/>
              <w:ind w:left="80"/>
              <w:jc w:val="center"/>
              <w:rPr>
                <w:sz w:val="20"/>
                <w:szCs w:val="20"/>
              </w:rPr>
            </w:pPr>
            <w:r w:rsidRPr="00771368">
              <w:rPr>
                <w:w w:val="99"/>
                <w:sz w:val="20"/>
                <w:szCs w:val="20"/>
              </w:rPr>
              <w:t>11</w:t>
            </w:r>
          </w:p>
        </w:tc>
      </w:tr>
      <w:tr w:rsidR="00D24E61" w:rsidRPr="00771368">
        <w:trPr>
          <w:trHeight w:val="228"/>
        </w:trPr>
        <w:tc>
          <w:tcPr>
            <w:tcW w:w="3000" w:type="dxa"/>
            <w:vAlign w:val="bottom"/>
          </w:tcPr>
          <w:p w:rsidR="00D24E61" w:rsidRPr="00771368" w:rsidRDefault="00D24E61">
            <w:pPr>
              <w:spacing w:line="227" w:lineRule="exact"/>
              <w:jc w:val="center"/>
              <w:rPr>
                <w:sz w:val="20"/>
                <w:szCs w:val="20"/>
              </w:rPr>
            </w:pPr>
            <w:r w:rsidRPr="00771368">
              <w:rPr>
                <w:b/>
                <w:bCs/>
                <w:sz w:val="20"/>
                <w:szCs w:val="20"/>
              </w:rPr>
              <w:t>Exploração Sexual</w:t>
            </w:r>
          </w:p>
        </w:tc>
        <w:tc>
          <w:tcPr>
            <w:tcW w:w="1840" w:type="dxa"/>
            <w:vAlign w:val="bottom"/>
          </w:tcPr>
          <w:p w:rsidR="00D24E61" w:rsidRPr="00771368" w:rsidRDefault="00D24E61">
            <w:pPr>
              <w:rPr>
                <w:sz w:val="19"/>
                <w:szCs w:val="19"/>
              </w:rPr>
            </w:pPr>
          </w:p>
        </w:tc>
        <w:tc>
          <w:tcPr>
            <w:tcW w:w="960" w:type="dxa"/>
            <w:vAlign w:val="bottom"/>
          </w:tcPr>
          <w:p w:rsidR="00D24E61" w:rsidRPr="00771368" w:rsidRDefault="00D24E61">
            <w:pPr>
              <w:rPr>
                <w:sz w:val="19"/>
                <w:szCs w:val="19"/>
              </w:rPr>
            </w:pPr>
          </w:p>
        </w:tc>
        <w:tc>
          <w:tcPr>
            <w:tcW w:w="1300" w:type="dxa"/>
            <w:vAlign w:val="bottom"/>
          </w:tcPr>
          <w:p w:rsidR="00D24E61" w:rsidRPr="00771368" w:rsidRDefault="00D24E61">
            <w:pPr>
              <w:spacing w:line="223" w:lineRule="exact"/>
              <w:ind w:left="40"/>
              <w:jc w:val="center"/>
              <w:rPr>
                <w:sz w:val="20"/>
                <w:szCs w:val="20"/>
              </w:rPr>
            </w:pPr>
            <w:r w:rsidRPr="00771368">
              <w:rPr>
                <w:w w:val="99"/>
                <w:sz w:val="20"/>
                <w:szCs w:val="20"/>
              </w:rPr>
              <w:t>03</w:t>
            </w:r>
          </w:p>
        </w:tc>
        <w:tc>
          <w:tcPr>
            <w:tcW w:w="2340" w:type="dxa"/>
            <w:vAlign w:val="bottom"/>
          </w:tcPr>
          <w:p w:rsidR="00D24E61" w:rsidRPr="00771368" w:rsidRDefault="00D24E61">
            <w:pPr>
              <w:spacing w:line="223" w:lineRule="exact"/>
              <w:ind w:left="80"/>
              <w:jc w:val="center"/>
              <w:rPr>
                <w:sz w:val="20"/>
                <w:szCs w:val="20"/>
              </w:rPr>
            </w:pPr>
            <w:r w:rsidRPr="00771368">
              <w:rPr>
                <w:w w:val="99"/>
                <w:sz w:val="20"/>
                <w:szCs w:val="20"/>
              </w:rPr>
              <w:t>03</w:t>
            </w:r>
          </w:p>
        </w:tc>
      </w:tr>
      <w:tr w:rsidR="00D24E61" w:rsidRPr="00771368">
        <w:trPr>
          <w:trHeight w:val="232"/>
        </w:trPr>
        <w:tc>
          <w:tcPr>
            <w:tcW w:w="3000" w:type="dxa"/>
            <w:vAlign w:val="bottom"/>
          </w:tcPr>
          <w:p w:rsidR="00D24E61" w:rsidRPr="00771368" w:rsidRDefault="00D24E61">
            <w:pPr>
              <w:spacing w:line="229" w:lineRule="exact"/>
              <w:jc w:val="center"/>
              <w:rPr>
                <w:sz w:val="20"/>
                <w:szCs w:val="20"/>
              </w:rPr>
            </w:pPr>
            <w:r w:rsidRPr="00771368">
              <w:rPr>
                <w:b/>
                <w:bCs/>
                <w:sz w:val="20"/>
                <w:szCs w:val="20"/>
              </w:rPr>
              <w:t>Negligência ou Abandono</w:t>
            </w:r>
          </w:p>
        </w:tc>
        <w:tc>
          <w:tcPr>
            <w:tcW w:w="1840" w:type="dxa"/>
            <w:vAlign w:val="bottom"/>
          </w:tcPr>
          <w:p w:rsidR="00D24E61" w:rsidRPr="00771368" w:rsidRDefault="00D24E61">
            <w:pPr>
              <w:spacing w:line="227" w:lineRule="exact"/>
              <w:ind w:right="540"/>
              <w:jc w:val="center"/>
              <w:rPr>
                <w:sz w:val="20"/>
                <w:szCs w:val="20"/>
              </w:rPr>
            </w:pPr>
            <w:r w:rsidRPr="00771368">
              <w:rPr>
                <w:w w:val="99"/>
                <w:sz w:val="20"/>
                <w:szCs w:val="20"/>
              </w:rPr>
              <w:t>17</w:t>
            </w:r>
          </w:p>
        </w:tc>
        <w:tc>
          <w:tcPr>
            <w:tcW w:w="960" w:type="dxa"/>
            <w:vAlign w:val="bottom"/>
          </w:tcPr>
          <w:p w:rsidR="00D24E61" w:rsidRPr="00771368" w:rsidRDefault="00D24E61">
            <w:pPr>
              <w:spacing w:line="227" w:lineRule="exact"/>
              <w:ind w:right="380"/>
              <w:jc w:val="center"/>
              <w:rPr>
                <w:sz w:val="20"/>
                <w:szCs w:val="20"/>
              </w:rPr>
            </w:pPr>
            <w:r w:rsidRPr="00771368">
              <w:rPr>
                <w:w w:val="99"/>
                <w:sz w:val="20"/>
                <w:szCs w:val="20"/>
              </w:rPr>
              <w:t>10</w:t>
            </w:r>
          </w:p>
        </w:tc>
        <w:tc>
          <w:tcPr>
            <w:tcW w:w="1300" w:type="dxa"/>
            <w:vAlign w:val="bottom"/>
          </w:tcPr>
          <w:p w:rsidR="00D24E61" w:rsidRPr="00771368" w:rsidRDefault="00D24E61">
            <w:pPr>
              <w:spacing w:line="227" w:lineRule="exact"/>
              <w:ind w:left="40"/>
              <w:jc w:val="center"/>
              <w:rPr>
                <w:sz w:val="20"/>
                <w:szCs w:val="20"/>
              </w:rPr>
            </w:pPr>
            <w:r w:rsidRPr="00771368">
              <w:rPr>
                <w:w w:val="99"/>
                <w:sz w:val="20"/>
                <w:szCs w:val="20"/>
              </w:rPr>
              <w:t>10</w:t>
            </w:r>
          </w:p>
        </w:tc>
        <w:tc>
          <w:tcPr>
            <w:tcW w:w="2340" w:type="dxa"/>
            <w:vAlign w:val="bottom"/>
          </w:tcPr>
          <w:p w:rsidR="00D24E61" w:rsidRPr="00771368" w:rsidRDefault="00D24E61">
            <w:pPr>
              <w:spacing w:line="227" w:lineRule="exact"/>
              <w:ind w:left="80"/>
              <w:jc w:val="center"/>
              <w:rPr>
                <w:sz w:val="20"/>
                <w:szCs w:val="20"/>
              </w:rPr>
            </w:pPr>
            <w:r w:rsidRPr="00771368">
              <w:rPr>
                <w:w w:val="99"/>
                <w:sz w:val="20"/>
                <w:szCs w:val="20"/>
              </w:rPr>
              <w:t>05</w:t>
            </w:r>
          </w:p>
        </w:tc>
      </w:tr>
      <w:tr w:rsidR="00D24E61" w:rsidRPr="00771368">
        <w:trPr>
          <w:trHeight w:val="228"/>
        </w:trPr>
        <w:tc>
          <w:tcPr>
            <w:tcW w:w="3000" w:type="dxa"/>
            <w:vAlign w:val="bottom"/>
          </w:tcPr>
          <w:p w:rsidR="00D24E61" w:rsidRPr="00771368" w:rsidRDefault="00D24E61">
            <w:pPr>
              <w:spacing w:line="227" w:lineRule="exact"/>
              <w:jc w:val="center"/>
              <w:rPr>
                <w:sz w:val="20"/>
                <w:szCs w:val="20"/>
              </w:rPr>
            </w:pPr>
            <w:r w:rsidRPr="00771368">
              <w:rPr>
                <w:b/>
                <w:bCs/>
                <w:sz w:val="20"/>
                <w:szCs w:val="20"/>
              </w:rPr>
              <w:t>Trabalho Infantil</w:t>
            </w:r>
          </w:p>
        </w:tc>
        <w:tc>
          <w:tcPr>
            <w:tcW w:w="1840" w:type="dxa"/>
            <w:vAlign w:val="bottom"/>
          </w:tcPr>
          <w:p w:rsidR="00D24E61" w:rsidRPr="00771368" w:rsidRDefault="00D24E61">
            <w:pPr>
              <w:rPr>
                <w:sz w:val="19"/>
                <w:szCs w:val="19"/>
              </w:rPr>
            </w:pPr>
          </w:p>
        </w:tc>
        <w:tc>
          <w:tcPr>
            <w:tcW w:w="960" w:type="dxa"/>
            <w:vAlign w:val="bottom"/>
          </w:tcPr>
          <w:p w:rsidR="00D24E61" w:rsidRPr="00771368" w:rsidRDefault="00D24E61">
            <w:pPr>
              <w:rPr>
                <w:sz w:val="19"/>
                <w:szCs w:val="19"/>
              </w:rPr>
            </w:pPr>
          </w:p>
        </w:tc>
        <w:tc>
          <w:tcPr>
            <w:tcW w:w="1300" w:type="dxa"/>
            <w:vAlign w:val="bottom"/>
          </w:tcPr>
          <w:p w:rsidR="00D24E61" w:rsidRPr="00771368" w:rsidRDefault="00D24E61">
            <w:pPr>
              <w:spacing w:line="223" w:lineRule="exact"/>
              <w:ind w:left="40"/>
              <w:jc w:val="center"/>
              <w:rPr>
                <w:sz w:val="20"/>
                <w:szCs w:val="20"/>
              </w:rPr>
            </w:pPr>
            <w:r w:rsidRPr="00771368">
              <w:rPr>
                <w:w w:val="99"/>
                <w:sz w:val="20"/>
                <w:szCs w:val="20"/>
              </w:rPr>
              <w:t>04</w:t>
            </w:r>
          </w:p>
        </w:tc>
        <w:tc>
          <w:tcPr>
            <w:tcW w:w="2340" w:type="dxa"/>
            <w:vAlign w:val="bottom"/>
          </w:tcPr>
          <w:p w:rsidR="00D24E61" w:rsidRPr="00771368" w:rsidRDefault="00D24E61">
            <w:pPr>
              <w:rPr>
                <w:sz w:val="19"/>
                <w:szCs w:val="19"/>
              </w:rPr>
            </w:pPr>
          </w:p>
        </w:tc>
      </w:tr>
    </w:tbl>
    <w:p w:rsidR="00D24E61" w:rsidRPr="00771368" w:rsidRDefault="00D24E61">
      <w:pPr>
        <w:spacing w:line="2" w:lineRule="exact"/>
        <w:rPr>
          <w:sz w:val="19"/>
          <w:szCs w:val="19"/>
        </w:rPr>
      </w:pPr>
    </w:p>
    <w:p w:rsidR="00D24E61" w:rsidRPr="00771368" w:rsidRDefault="00D24E61">
      <w:pPr>
        <w:spacing w:line="239" w:lineRule="auto"/>
        <w:ind w:left="5120"/>
        <w:rPr>
          <w:sz w:val="20"/>
          <w:szCs w:val="20"/>
        </w:rPr>
      </w:pPr>
      <w:r w:rsidRPr="00771368">
        <w:rPr>
          <w:b/>
          <w:bCs/>
          <w:sz w:val="20"/>
          <w:szCs w:val="20"/>
        </w:rPr>
        <w:t>Pessoas com Deficiência</w:t>
      </w:r>
    </w:p>
    <w:p w:rsidR="00D24E61" w:rsidRPr="00771368" w:rsidRDefault="00D24E61">
      <w:pPr>
        <w:tabs>
          <w:tab w:val="left" w:pos="5000"/>
          <w:tab w:val="left" w:pos="6620"/>
          <w:tab w:val="left" w:pos="8080"/>
        </w:tabs>
        <w:spacing w:line="239" w:lineRule="auto"/>
        <w:ind w:right="100"/>
        <w:jc w:val="right"/>
        <w:rPr>
          <w:sz w:val="20"/>
          <w:szCs w:val="20"/>
        </w:rPr>
      </w:pPr>
      <w:r w:rsidRPr="00771368">
        <w:rPr>
          <w:b/>
          <w:bCs/>
          <w:sz w:val="20"/>
          <w:szCs w:val="20"/>
        </w:rPr>
        <w:t>0 a 12 anos</w:t>
      </w:r>
      <w:r w:rsidRPr="00771368">
        <w:rPr>
          <w:sz w:val="20"/>
          <w:szCs w:val="20"/>
        </w:rPr>
        <w:tab/>
      </w:r>
      <w:r w:rsidRPr="00771368">
        <w:rPr>
          <w:b/>
          <w:bCs/>
          <w:sz w:val="20"/>
          <w:szCs w:val="20"/>
        </w:rPr>
        <w:t>13 a 17 anos</w:t>
      </w:r>
      <w:r w:rsidRPr="00771368">
        <w:rPr>
          <w:sz w:val="20"/>
          <w:szCs w:val="20"/>
        </w:rPr>
        <w:tab/>
      </w:r>
      <w:r w:rsidRPr="00771368">
        <w:rPr>
          <w:b/>
          <w:bCs/>
          <w:sz w:val="20"/>
          <w:szCs w:val="20"/>
        </w:rPr>
        <w:t>18 a 59 anos</w:t>
      </w:r>
      <w:r w:rsidRPr="00771368">
        <w:rPr>
          <w:sz w:val="20"/>
          <w:szCs w:val="20"/>
        </w:rPr>
        <w:tab/>
      </w:r>
      <w:r w:rsidRPr="00771368">
        <w:rPr>
          <w:b/>
          <w:bCs/>
          <w:sz w:val="20"/>
          <w:szCs w:val="20"/>
        </w:rPr>
        <w:t>60 anos a mais</w:t>
      </w:r>
    </w:p>
    <w:p w:rsidR="00D24E61" w:rsidRPr="00771368" w:rsidRDefault="00D24E61">
      <w:pPr>
        <w:spacing w:line="2" w:lineRule="exact"/>
        <w:rPr>
          <w:sz w:val="19"/>
          <w:szCs w:val="19"/>
        </w:rPr>
      </w:pPr>
    </w:p>
    <w:p w:rsidR="00D24E61" w:rsidRPr="00771368" w:rsidRDefault="00D24E61">
      <w:pPr>
        <w:tabs>
          <w:tab w:val="left" w:pos="3980"/>
          <w:tab w:val="left" w:pos="4900"/>
          <w:tab w:val="left" w:pos="5740"/>
          <w:tab w:val="left" w:pos="6540"/>
          <w:tab w:val="left" w:pos="7300"/>
          <w:tab w:val="left" w:pos="8100"/>
          <w:tab w:val="left" w:pos="8860"/>
        </w:tabs>
        <w:spacing w:line="239" w:lineRule="auto"/>
        <w:ind w:left="3080" w:right="180"/>
        <w:rPr>
          <w:sz w:val="20"/>
          <w:szCs w:val="20"/>
        </w:rPr>
      </w:pPr>
      <w:r w:rsidRPr="00771368">
        <w:rPr>
          <w:b/>
          <w:bCs/>
          <w:sz w:val="20"/>
          <w:szCs w:val="20"/>
        </w:rPr>
        <w:t>Mas</w:t>
      </w:r>
      <w:r w:rsidRPr="00771368">
        <w:rPr>
          <w:sz w:val="20"/>
          <w:szCs w:val="20"/>
        </w:rPr>
        <w:tab/>
      </w:r>
      <w:r w:rsidRPr="00771368">
        <w:rPr>
          <w:b/>
          <w:bCs/>
          <w:sz w:val="20"/>
          <w:szCs w:val="20"/>
        </w:rPr>
        <w:t>Fem</w:t>
      </w:r>
      <w:r w:rsidRPr="00771368">
        <w:rPr>
          <w:sz w:val="20"/>
          <w:szCs w:val="20"/>
        </w:rPr>
        <w:tab/>
      </w:r>
      <w:r w:rsidRPr="00771368">
        <w:rPr>
          <w:b/>
          <w:bCs/>
          <w:sz w:val="20"/>
          <w:szCs w:val="20"/>
        </w:rPr>
        <w:t>Mas</w:t>
      </w:r>
      <w:r w:rsidRPr="00771368">
        <w:rPr>
          <w:sz w:val="20"/>
          <w:szCs w:val="20"/>
        </w:rPr>
        <w:tab/>
      </w:r>
      <w:r w:rsidRPr="00771368">
        <w:rPr>
          <w:b/>
          <w:bCs/>
          <w:sz w:val="20"/>
          <w:szCs w:val="20"/>
        </w:rPr>
        <w:t>Fem</w:t>
      </w:r>
      <w:r w:rsidRPr="00771368">
        <w:rPr>
          <w:sz w:val="20"/>
          <w:szCs w:val="20"/>
        </w:rPr>
        <w:tab/>
      </w:r>
      <w:r w:rsidRPr="00771368">
        <w:rPr>
          <w:b/>
          <w:bCs/>
          <w:sz w:val="20"/>
          <w:szCs w:val="20"/>
        </w:rPr>
        <w:t>Mas</w:t>
      </w:r>
      <w:r w:rsidRPr="00771368">
        <w:rPr>
          <w:sz w:val="20"/>
          <w:szCs w:val="20"/>
        </w:rPr>
        <w:tab/>
      </w:r>
      <w:r w:rsidRPr="00771368">
        <w:rPr>
          <w:b/>
          <w:bCs/>
          <w:sz w:val="20"/>
          <w:szCs w:val="20"/>
        </w:rPr>
        <w:t>Fem</w:t>
      </w:r>
      <w:r w:rsidRPr="00771368">
        <w:rPr>
          <w:sz w:val="20"/>
          <w:szCs w:val="20"/>
        </w:rPr>
        <w:tab/>
      </w:r>
      <w:r w:rsidRPr="00771368">
        <w:rPr>
          <w:b/>
          <w:bCs/>
          <w:sz w:val="20"/>
          <w:szCs w:val="20"/>
        </w:rPr>
        <w:t>Mas</w:t>
      </w:r>
      <w:r w:rsidRPr="00771368">
        <w:rPr>
          <w:sz w:val="20"/>
          <w:szCs w:val="20"/>
        </w:rPr>
        <w:tab/>
      </w:r>
      <w:r w:rsidRPr="00771368">
        <w:rPr>
          <w:b/>
          <w:bCs/>
          <w:sz w:val="20"/>
          <w:szCs w:val="20"/>
        </w:rPr>
        <w:t>Fem</w:t>
      </w:r>
    </w:p>
    <w:p w:rsidR="00D24E61" w:rsidRPr="00771368" w:rsidRDefault="00D24E61">
      <w:pPr>
        <w:tabs>
          <w:tab w:val="left" w:pos="4060"/>
          <w:tab w:val="left" w:pos="4980"/>
          <w:tab w:val="left" w:pos="5840"/>
          <w:tab w:val="left" w:pos="7400"/>
        </w:tabs>
        <w:spacing w:line="234" w:lineRule="auto"/>
        <w:ind w:left="480"/>
        <w:rPr>
          <w:sz w:val="20"/>
          <w:szCs w:val="20"/>
        </w:rPr>
      </w:pPr>
      <w:r w:rsidRPr="00771368">
        <w:rPr>
          <w:b/>
          <w:bCs/>
          <w:sz w:val="20"/>
          <w:szCs w:val="20"/>
        </w:rPr>
        <w:t>Violência Intrafamiliar</w:t>
      </w:r>
      <w:r w:rsidRPr="00771368">
        <w:rPr>
          <w:sz w:val="20"/>
          <w:szCs w:val="20"/>
        </w:rPr>
        <w:tab/>
        <w:t>02</w:t>
      </w:r>
      <w:r w:rsidRPr="00771368">
        <w:rPr>
          <w:sz w:val="20"/>
          <w:szCs w:val="20"/>
        </w:rPr>
        <w:tab/>
        <w:t>02</w:t>
      </w:r>
      <w:r w:rsidRPr="00771368">
        <w:rPr>
          <w:sz w:val="20"/>
          <w:szCs w:val="20"/>
        </w:rPr>
        <w:tab/>
        <w:t>01</w:t>
      </w:r>
      <w:r w:rsidRPr="00771368">
        <w:rPr>
          <w:sz w:val="20"/>
          <w:szCs w:val="20"/>
        </w:rPr>
        <w:tab/>
        <w:t>03</w:t>
      </w:r>
    </w:p>
    <w:p w:rsidR="00D24E61" w:rsidRPr="00771368" w:rsidRDefault="00D24E61">
      <w:pPr>
        <w:tabs>
          <w:tab w:val="left" w:pos="6620"/>
          <w:tab w:val="left" w:pos="7400"/>
          <w:tab w:val="left" w:pos="8180"/>
          <w:tab w:val="left" w:pos="8960"/>
        </w:tabs>
        <w:spacing w:line="239" w:lineRule="auto"/>
        <w:ind w:left="380"/>
        <w:rPr>
          <w:sz w:val="20"/>
          <w:szCs w:val="20"/>
        </w:rPr>
      </w:pPr>
      <w:r w:rsidRPr="00771368">
        <w:rPr>
          <w:b/>
          <w:bCs/>
          <w:sz w:val="20"/>
          <w:szCs w:val="20"/>
        </w:rPr>
        <w:t>Negligência ou Abandono</w:t>
      </w:r>
      <w:r w:rsidRPr="00771368">
        <w:rPr>
          <w:sz w:val="20"/>
          <w:szCs w:val="20"/>
        </w:rPr>
        <w:tab/>
        <w:t>03</w:t>
      </w:r>
      <w:r w:rsidRPr="00771368">
        <w:rPr>
          <w:sz w:val="20"/>
          <w:szCs w:val="20"/>
        </w:rPr>
        <w:tab/>
        <w:t>05</w:t>
      </w:r>
      <w:r w:rsidRPr="00771368">
        <w:rPr>
          <w:sz w:val="20"/>
          <w:szCs w:val="20"/>
        </w:rPr>
        <w:tab/>
        <w:t>01</w:t>
      </w:r>
      <w:r w:rsidRPr="00771368">
        <w:rPr>
          <w:sz w:val="20"/>
          <w:szCs w:val="20"/>
        </w:rPr>
        <w:tab/>
        <w:t>03</w:t>
      </w:r>
    </w:p>
    <w:p w:rsidR="00D24E61" w:rsidRPr="00771368" w:rsidRDefault="00D24E61">
      <w:pPr>
        <w:spacing w:line="3" w:lineRule="exact"/>
        <w:rPr>
          <w:sz w:val="19"/>
          <w:szCs w:val="19"/>
        </w:rPr>
      </w:pPr>
    </w:p>
    <w:p w:rsidR="00D24E61" w:rsidRPr="00771368" w:rsidRDefault="00D24E61">
      <w:pPr>
        <w:spacing w:line="239" w:lineRule="auto"/>
        <w:ind w:left="5380"/>
        <w:rPr>
          <w:sz w:val="20"/>
          <w:szCs w:val="20"/>
        </w:rPr>
      </w:pPr>
      <w:r w:rsidRPr="00771368">
        <w:rPr>
          <w:b/>
          <w:bCs/>
          <w:sz w:val="20"/>
          <w:szCs w:val="20"/>
        </w:rPr>
        <w:t>Mulheres Adultas</w:t>
      </w:r>
    </w:p>
    <w:p w:rsidR="00D24E61" w:rsidRPr="00771368" w:rsidRDefault="00D24E61">
      <w:pPr>
        <w:spacing w:line="230" w:lineRule="auto"/>
        <w:ind w:left="5640"/>
        <w:rPr>
          <w:sz w:val="20"/>
          <w:szCs w:val="20"/>
        </w:rPr>
      </w:pPr>
      <w:r w:rsidRPr="00771368">
        <w:rPr>
          <w:b/>
          <w:bCs/>
          <w:sz w:val="20"/>
          <w:szCs w:val="20"/>
        </w:rPr>
        <w:t>18 a 59 anos</w:t>
      </w:r>
    </w:p>
    <w:p w:rsidR="00D24E61" w:rsidRPr="00771368" w:rsidRDefault="00D24E61">
      <w:pPr>
        <w:spacing w:line="171" w:lineRule="exact"/>
        <w:rPr>
          <w:sz w:val="19"/>
          <w:szCs w:val="19"/>
        </w:rPr>
      </w:pPr>
    </w:p>
    <w:p w:rsidR="00D24E61" w:rsidRPr="00771368" w:rsidRDefault="00D24E61">
      <w:pPr>
        <w:spacing w:line="239" w:lineRule="auto"/>
        <w:ind w:left="480"/>
        <w:rPr>
          <w:sz w:val="20"/>
          <w:szCs w:val="20"/>
        </w:rPr>
      </w:pPr>
      <w:r w:rsidRPr="00771368">
        <w:rPr>
          <w:b/>
          <w:bCs/>
          <w:sz w:val="20"/>
          <w:szCs w:val="20"/>
        </w:rPr>
        <w:t>Violência Intrafamiliar</w:t>
      </w:r>
    </w:p>
    <w:p w:rsidR="00D24E61" w:rsidRPr="00771368" w:rsidRDefault="00013211">
      <w:pPr>
        <w:spacing w:line="15" w:lineRule="exact"/>
        <w:rPr>
          <w:sz w:val="19"/>
          <w:szCs w:val="19"/>
        </w:rPr>
      </w:pPr>
      <w:r>
        <w:rPr>
          <w:noProof/>
          <w:sz w:val="19"/>
          <w:szCs w:val="19"/>
        </w:rPr>
        <mc:AlternateContent>
          <mc:Choice Requires="wps">
            <w:drawing>
              <wp:anchor distT="0" distB="0" distL="0" distR="0" simplePos="0" relativeHeight="251694592" behindDoc="0" locked="0" layoutInCell="0" allowOverlap="1">
                <wp:simplePos x="0" y="0"/>
                <wp:positionH relativeFrom="column">
                  <wp:posOffset>-1905</wp:posOffset>
                </wp:positionH>
                <wp:positionV relativeFrom="paragraph">
                  <wp:posOffset>7620</wp:posOffset>
                </wp:positionV>
                <wp:extent cx="5995670" cy="0"/>
                <wp:effectExtent l="7620" t="7620" r="6985" b="11430"/>
                <wp:wrapNone/>
                <wp:docPr id="23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6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9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6pt" to="471.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v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" o:allowincell="f" strokeweight="1pt"/>
            </w:pict>
          </mc:Fallback>
        </mc:AlternateContent>
      </w:r>
    </w:p>
    <w:p w:rsidR="00D24E61" w:rsidRPr="00771368" w:rsidRDefault="00D24E61">
      <w:pPr>
        <w:spacing w:line="239" w:lineRule="auto"/>
        <w:ind w:left="820"/>
        <w:rPr>
          <w:sz w:val="20"/>
          <w:szCs w:val="20"/>
        </w:rPr>
      </w:pPr>
      <w:r w:rsidRPr="00771368">
        <w:rPr>
          <w:sz w:val="20"/>
          <w:szCs w:val="20"/>
        </w:rPr>
        <w:t>Tabela 01 – Relatório de Gestão da Assistência Social do município de Lagarto/SE em 2011.</w:t>
      </w:r>
    </w:p>
    <w:p w:rsidR="00D24E61" w:rsidRPr="00771368" w:rsidRDefault="00D24E61">
      <w:pPr>
        <w:spacing w:line="200" w:lineRule="exact"/>
        <w:rPr>
          <w:sz w:val="19"/>
          <w:szCs w:val="19"/>
        </w:rPr>
      </w:pPr>
      <w:r w:rsidRPr="00771368">
        <w:rPr>
          <w:noProof/>
          <w:sz w:val="19"/>
          <w:szCs w:val="19"/>
        </w:rPr>
        <w:drawing>
          <wp:anchor distT="0" distB="0" distL="114300" distR="114300" simplePos="0" relativeHeight="251683840" behindDoc="1" locked="0" layoutInCell="0" allowOverlap="1">
            <wp:simplePos x="0" y="0"/>
            <wp:positionH relativeFrom="column">
              <wp:posOffset>74295</wp:posOffset>
            </wp:positionH>
            <wp:positionV relativeFrom="paragraph">
              <wp:posOffset>801370</wp:posOffset>
            </wp:positionV>
            <wp:extent cx="5771515" cy="45720"/>
            <wp:effectExtent l="0" t="0" r="0" b="0"/>
            <wp:wrapNone/>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4" cstate="print">
                      <a:extLst/>
                    </a:blip>
                    <a:srcRect/>
                    <a:stretch>
                      <a:fillRect/>
                    </a:stretch>
                  </pic:blipFill>
                  <pic:spPr bwMode="auto">
                    <a:xfrm>
                      <a:off x="0" y="0"/>
                      <a:ext cx="5771515" cy="45720"/>
                    </a:xfrm>
                    <a:prstGeom prst="rect">
                      <a:avLst/>
                    </a:prstGeom>
                    <a:noFill/>
                  </pic:spPr>
                </pic:pic>
              </a:graphicData>
            </a:graphic>
          </wp:anchor>
        </w:drawing>
      </w:r>
    </w:p>
    <w:p w:rsidR="00D24E61" w:rsidRPr="00771368" w:rsidRDefault="00D24E61">
      <w:pPr>
        <w:spacing w:line="200" w:lineRule="exact"/>
        <w:rPr>
          <w:sz w:val="19"/>
          <w:szCs w:val="19"/>
        </w:rPr>
      </w:pPr>
    </w:p>
    <w:p w:rsidR="00D24E61" w:rsidRPr="00771368" w:rsidRDefault="00D24E61">
      <w:pPr>
        <w:spacing w:line="200" w:lineRule="exact"/>
        <w:rPr>
          <w:sz w:val="19"/>
          <w:szCs w:val="19"/>
        </w:rPr>
      </w:pPr>
    </w:p>
    <w:p w:rsidR="00D24E61" w:rsidRPr="00771368" w:rsidRDefault="00D24E61">
      <w:pPr>
        <w:spacing w:line="200" w:lineRule="exact"/>
        <w:rPr>
          <w:sz w:val="19"/>
          <w:szCs w:val="19"/>
        </w:rPr>
      </w:pPr>
    </w:p>
    <w:p w:rsidR="00D24E61" w:rsidRPr="00771368" w:rsidRDefault="00D24E61">
      <w:pPr>
        <w:spacing w:line="363" w:lineRule="exact"/>
        <w:rPr>
          <w:sz w:val="19"/>
          <w:szCs w:val="19"/>
        </w:rPr>
      </w:pPr>
    </w:p>
    <w:p w:rsidR="00D24E61" w:rsidRPr="00771368" w:rsidRDefault="00D24E61">
      <w:pPr>
        <w:spacing w:line="229" w:lineRule="auto"/>
        <w:ind w:left="120" w:right="260"/>
        <w:jc w:val="both"/>
        <w:rPr>
          <w:sz w:val="20"/>
          <w:szCs w:val="20"/>
        </w:rPr>
      </w:pPr>
      <w:r w:rsidRPr="00771368">
        <w:rPr>
          <w:sz w:val="26"/>
          <w:szCs w:val="26"/>
          <w:vertAlign w:val="superscript"/>
        </w:rPr>
        <w:t>4</w:t>
      </w:r>
      <w:r w:rsidRPr="00771368">
        <w:rPr>
          <w:sz w:val="20"/>
          <w:szCs w:val="20"/>
        </w:rPr>
        <w:t xml:space="preserve"> O Serviço de Proteção e Atendimento Especializado a Famílias e Indivíduos (Paefi) oferta apoio, orientação e acompanhamento especializado a famílias e indivíduos em situação de ameaça ou violação de direitos, como violência (física, psicológica e negligência, abuso e/ou exploração sexual), afastamento do convívio familiar devido à aplicação de medida socioeducativa ou medida de proteção; trafico de pessoas; situação de rua; mendicância; abandono; vivência de trabalho infantil; disc riminação em decorrência de orientação sexual ou raça/etnia e outras formas de violação de direitos decorrentes de discriminações ou submissões (Ministério do Desenvolvimento Social e Combate a Fome - MDS, 2013).</w:t>
      </w:r>
    </w:p>
    <w:p w:rsidR="00D24E61" w:rsidRPr="00771368" w:rsidRDefault="00D24E61">
      <w:pPr>
        <w:sectPr w:rsidR="00D24E61" w:rsidRPr="00771368">
          <w:pgSz w:w="11900" w:h="16836"/>
          <w:pgMar w:top="1440" w:right="1160" w:bottom="1440" w:left="1300" w:header="0" w:footer="0" w:gutter="0"/>
          <w:cols w:space="720" w:equalWidth="0">
            <w:col w:w="9440"/>
          </w:cols>
        </w:sectPr>
      </w:pPr>
    </w:p>
    <w:p w:rsidR="00D24E61" w:rsidRPr="00771368" w:rsidRDefault="00013211">
      <w:pPr>
        <w:spacing w:line="239" w:lineRule="auto"/>
        <w:ind w:left="1560"/>
        <w:rPr>
          <w:sz w:val="20"/>
          <w:szCs w:val="20"/>
        </w:rPr>
      </w:pPr>
      <w:r>
        <w:rPr>
          <w:b/>
          <w:bCs/>
          <w:noProof/>
          <w:sz w:val="20"/>
          <w:szCs w:val="20"/>
        </w:rPr>
        <mc:AlternateContent>
          <mc:Choice Requires="wps">
            <w:drawing>
              <wp:anchor distT="0" distB="0" distL="0" distR="0" simplePos="0" relativeHeight="251695616" behindDoc="0" locked="0" layoutInCell="0" allowOverlap="1">
                <wp:simplePos x="0" y="0"/>
                <wp:positionH relativeFrom="page">
                  <wp:posOffset>830580</wp:posOffset>
                </wp:positionH>
                <wp:positionV relativeFrom="page">
                  <wp:posOffset>905510</wp:posOffset>
                </wp:positionV>
                <wp:extent cx="6034405" cy="0"/>
                <wp:effectExtent l="11430" t="10160" r="12065" b="8890"/>
                <wp:wrapNone/>
                <wp:docPr id="23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44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4pt,71.3pt" to="540.5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i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" o:allowincell="f" strokeweight="1pt">
                <w10:wrap anchorx="page" anchory="page"/>
              </v:line>
            </w:pict>
          </mc:Fallback>
        </mc:AlternateContent>
      </w:r>
      <w:r w:rsidR="00D24E61" w:rsidRPr="00771368">
        <w:rPr>
          <w:b/>
          <w:bCs/>
          <w:sz w:val="20"/>
          <w:szCs w:val="20"/>
        </w:rPr>
        <w:t>ATENDIMENTOS EM SITUAÇÃO DE VIOLÊNCIA INTRAFAMILIAR</w:t>
      </w:r>
    </w:p>
    <w:p w:rsidR="00D24E61" w:rsidRPr="00771368" w:rsidRDefault="00D24E61">
      <w:pPr>
        <w:spacing w:line="3" w:lineRule="exact"/>
        <w:rPr>
          <w:sz w:val="20"/>
          <w:szCs w:val="20"/>
        </w:rPr>
      </w:pPr>
    </w:p>
    <w:p w:rsidR="00D24E61" w:rsidRPr="00771368" w:rsidRDefault="00D24E61">
      <w:pPr>
        <w:spacing w:line="239" w:lineRule="auto"/>
        <w:ind w:left="2180"/>
        <w:rPr>
          <w:sz w:val="20"/>
          <w:szCs w:val="20"/>
        </w:rPr>
      </w:pPr>
      <w:r w:rsidRPr="00771368">
        <w:rPr>
          <w:b/>
          <w:bCs/>
          <w:sz w:val="20"/>
          <w:szCs w:val="20"/>
        </w:rPr>
        <w:t>OU VIOLAÇÕES DE DIREITOS ATENDIDAS NO PAEFI</w:t>
      </w:r>
    </w:p>
    <w:p w:rsidR="00D24E61" w:rsidRPr="00771368" w:rsidRDefault="00D24E61">
      <w:pPr>
        <w:spacing w:line="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20"/>
        <w:gridCol w:w="1320"/>
        <w:gridCol w:w="500"/>
        <w:gridCol w:w="860"/>
        <w:gridCol w:w="1060"/>
        <w:gridCol w:w="620"/>
        <w:gridCol w:w="820"/>
        <w:gridCol w:w="720"/>
      </w:tblGrid>
      <w:tr w:rsidR="00D24E61" w:rsidRPr="00771368">
        <w:trPr>
          <w:trHeight w:val="228"/>
        </w:trPr>
        <w:tc>
          <w:tcPr>
            <w:tcW w:w="3620" w:type="dxa"/>
            <w:tcBorders>
              <w:top w:val="single" w:sz="8" w:space="0" w:color="auto"/>
            </w:tcBorders>
            <w:vAlign w:val="bottom"/>
          </w:tcPr>
          <w:p w:rsidR="00D24E61" w:rsidRPr="00771368" w:rsidRDefault="00D24E61">
            <w:pPr>
              <w:spacing w:line="227" w:lineRule="exact"/>
              <w:ind w:left="1040"/>
              <w:rPr>
                <w:sz w:val="20"/>
                <w:szCs w:val="20"/>
              </w:rPr>
            </w:pPr>
            <w:r w:rsidRPr="00771368">
              <w:rPr>
                <w:b/>
                <w:bCs/>
                <w:sz w:val="20"/>
                <w:szCs w:val="20"/>
              </w:rPr>
              <w:t>Tipificação</w:t>
            </w:r>
          </w:p>
        </w:tc>
        <w:tc>
          <w:tcPr>
            <w:tcW w:w="1320" w:type="dxa"/>
            <w:tcBorders>
              <w:top w:val="single" w:sz="8" w:space="0" w:color="auto"/>
            </w:tcBorders>
            <w:vAlign w:val="bottom"/>
          </w:tcPr>
          <w:p w:rsidR="00D24E61" w:rsidRPr="00771368" w:rsidRDefault="00D24E61">
            <w:pPr>
              <w:rPr>
                <w:sz w:val="19"/>
                <w:szCs w:val="19"/>
              </w:rPr>
            </w:pPr>
          </w:p>
        </w:tc>
        <w:tc>
          <w:tcPr>
            <w:tcW w:w="2420" w:type="dxa"/>
            <w:gridSpan w:val="3"/>
            <w:tcBorders>
              <w:top w:val="single" w:sz="8" w:space="0" w:color="auto"/>
            </w:tcBorders>
            <w:vAlign w:val="bottom"/>
          </w:tcPr>
          <w:p w:rsidR="00D24E61" w:rsidRPr="00771368" w:rsidRDefault="00D24E61">
            <w:pPr>
              <w:spacing w:line="227" w:lineRule="exact"/>
              <w:ind w:left="180"/>
              <w:jc w:val="center"/>
              <w:rPr>
                <w:sz w:val="20"/>
                <w:szCs w:val="20"/>
              </w:rPr>
            </w:pPr>
            <w:r w:rsidRPr="00771368">
              <w:rPr>
                <w:b/>
                <w:bCs/>
                <w:w w:val="99"/>
                <w:sz w:val="20"/>
                <w:szCs w:val="20"/>
              </w:rPr>
              <w:t>Criança e Adolescente</w:t>
            </w:r>
          </w:p>
        </w:tc>
        <w:tc>
          <w:tcPr>
            <w:tcW w:w="620" w:type="dxa"/>
            <w:tcBorders>
              <w:top w:val="single" w:sz="8" w:space="0" w:color="auto"/>
            </w:tcBorders>
            <w:vAlign w:val="bottom"/>
          </w:tcPr>
          <w:p w:rsidR="00D24E61" w:rsidRPr="00771368" w:rsidRDefault="00D24E61">
            <w:pPr>
              <w:rPr>
                <w:sz w:val="19"/>
                <w:szCs w:val="19"/>
              </w:rPr>
            </w:pPr>
          </w:p>
        </w:tc>
        <w:tc>
          <w:tcPr>
            <w:tcW w:w="820" w:type="dxa"/>
            <w:tcBorders>
              <w:top w:val="single" w:sz="8" w:space="0" w:color="auto"/>
            </w:tcBorders>
            <w:vAlign w:val="bottom"/>
          </w:tcPr>
          <w:p w:rsidR="00D24E61" w:rsidRPr="00771368" w:rsidRDefault="00D24E61">
            <w:pPr>
              <w:rPr>
                <w:sz w:val="19"/>
                <w:szCs w:val="19"/>
              </w:rPr>
            </w:pPr>
          </w:p>
        </w:tc>
        <w:tc>
          <w:tcPr>
            <w:tcW w:w="720" w:type="dxa"/>
            <w:tcBorders>
              <w:top w:val="single" w:sz="8" w:space="0" w:color="auto"/>
            </w:tcBorders>
            <w:vAlign w:val="bottom"/>
          </w:tcPr>
          <w:p w:rsidR="00D24E61" w:rsidRPr="00771368" w:rsidRDefault="00D24E61">
            <w:pPr>
              <w:rPr>
                <w:sz w:val="19"/>
                <w:szCs w:val="19"/>
              </w:rPr>
            </w:pPr>
          </w:p>
        </w:tc>
      </w:tr>
      <w:tr w:rsidR="00D24E61" w:rsidRPr="00771368">
        <w:trPr>
          <w:trHeight w:val="232"/>
        </w:trPr>
        <w:tc>
          <w:tcPr>
            <w:tcW w:w="3620" w:type="dxa"/>
            <w:vAlign w:val="bottom"/>
          </w:tcPr>
          <w:p w:rsidR="00D24E61" w:rsidRPr="00771368" w:rsidRDefault="00D24E61">
            <w:pPr>
              <w:rPr>
                <w:sz w:val="20"/>
                <w:szCs w:val="20"/>
              </w:rPr>
            </w:pPr>
          </w:p>
        </w:tc>
        <w:tc>
          <w:tcPr>
            <w:tcW w:w="1320" w:type="dxa"/>
            <w:vAlign w:val="bottom"/>
          </w:tcPr>
          <w:p w:rsidR="00D24E61" w:rsidRPr="00771368" w:rsidRDefault="00D24E61">
            <w:pPr>
              <w:spacing w:line="229" w:lineRule="exact"/>
              <w:ind w:left="360"/>
              <w:rPr>
                <w:sz w:val="20"/>
                <w:szCs w:val="20"/>
              </w:rPr>
            </w:pPr>
            <w:r w:rsidRPr="00771368">
              <w:rPr>
                <w:b/>
                <w:bCs/>
                <w:sz w:val="20"/>
                <w:szCs w:val="20"/>
              </w:rPr>
              <w:t>0 a 12 anos</w:t>
            </w:r>
          </w:p>
        </w:tc>
        <w:tc>
          <w:tcPr>
            <w:tcW w:w="500" w:type="dxa"/>
            <w:vAlign w:val="bottom"/>
          </w:tcPr>
          <w:p w:rsidR="00D24E61" w:rsidRPr="00771368" w:rsidRDefault="00D24E61">
            <w:pPr>
              <w:rPr>
                <w:sz w:val="20"/>
                <w:szCs w:val="20"/>
              </w:rPr>
            </w:pPr>
          </w:p>
        </w:tc>
        <w:tc>
          <w:tcPr>
            <w:tcW w:w="860" w:type="dxa"/>
            <w:vAlign w:val="bottom"/>
          </w:tcPr>
          <w:p w:rsidR="00D24E61" w:rsidRPr="00771368" w:rsidRDefault="00D24E61">
            <w:pPr>
              <w:rPr>
                <w:sz w:val="20"/>
                <w:szCs w:val="20"/>
              </w:rPr>
            </w:pPr>
          </w:p>
        </w:tc>
        <w:tc>
          <w:tcPr>
            <w:tcW w:w="2500" w:type="dxa"/>
            <w:gridSpan w:val="3"/>
            <w:vAlign w:val="bottom"/>
          </w:tcPr>
          <w:p w:rsidR="00D24E61" w:rsidRPr="00771368" w:rsidRDefault="00D24E61">
            <w:pPr>
              <w:spacing w:line="229" w:lineRule="exact"/>
              <w:ind w:left="900"/>
              <w:rPr>
                <w:sz w:val="20"/>
                <w:szCs w:val="20"/>
              </w:rPr>
            </w:pPr>
            <w:r w:rsidRPr="00771368">
              <w:rPr>
                <w:b/>
                <w:bCs/>
                <w:sz w:val="20"/>
                <w:szCs w:val="20"/>
              </w:rPr>
              <w:t>13 a 17 anos</w:t>
            </w:r>
          </w:p>
        </w:tc>
        <w:tc>
          <w:tcPr>
            <w:tcW w:w="720" w:type="dxa"/>
            <w:vAlign w:val="bottom"/>
          </w:tcPr>
          <w:p w:rsidR="00D24E61" w:rsidRPr="00771368" w:rsidRDefault="00D24E61">
            <w:pPr>
              <w:rPr>
                <w:sz w:val="20"/>
                <w:szCs w:val="20"/>
              </w:rPr>
            </w:pPr>
          </w:p>
        </w:tc>
      </w:tr>
      <w:tr w:rsidR="00D24E61" w:rsidRPr="00771368">
        <w:trPr>
          <w:trHeight w:val="228"/>
        </w:trPr>
        <w:tc>
          <w:tcPr>
            <w:tcW w:w="4940" w:type="dxa"/>
            <w:gridSpan w:val="2"/>
            <w:vAlign w:val="bottom"/>
          </w:tcPr>
          <w:p w:rsidR="00D24E61" w:rsidRPr="00771368" w:rsidRDefault="00D24E61">
            <w:pPr>
              <w:spacing w:line="227" w:lineRule="exact"/>
              <w:ind w:left="2440"/>
              <w:jc w:val="center"/>
              <w:rPr>
                <w:sz w:val="20"/>
                <w:szCs w:val="20"/>
              </w:rPr>
            </w:pPr>
            <w:r w:rsidRPr="00771368">
              <w:rPr>
                <w:b/>
                <w:bCs/>
                <w:w w:val="98"/>
                <w:sz w:val="20"/>
                <w:szCs w:val="20"/>
              </w:rPr>
              <w:t>Mas</w:t>
            </w:r>
          </w:p>
        </w:tc>
        <w:tc>
          <w:tcPr>
            <w:tcW w:w="500" w:type="dxa"/>
            <w:vAlign w:val="bottom"/>
          </w:tcPr>
          <w:p w:rsidR="00D24E61" w:rsidRPr="00771368" w:rsidRDefault="00D24E61">
            <w:pPr>
              <w:spacing w:line="227" w:lineRule="exact"/>
              <w:jc w:val="center"/>
              <w:rPr>
                <w:sz w:val="20"/>
                <w:szCs w:val="20"/>
              </w:rPr>
            </w:pPr>
            <w:r w:rsidRPr="00771368">
              <w:rPr>
                <w:b/>
                <w:bCs/>
                <w:sz w:val="20"/>
                <w:szCs w:val="20"/>
              </w:rPr>
              <w:t>Fem</w:t>
            </w:r>
          </w:p>
        </w:tc>
        <w:tc>
          <w:tcPr>
            <w:tcW w:w="860" w:type="dxa"/>
            <w:vAlign w:val="bottom"/>
          </w:tcPr>
          <w:p w:rsidR="00D24E61" w:rsidRPr="00771368" w:rsidRDefault="00D24E61">
            <w:pPr>
              <w:rPr>
                <w:sz w:val="19"/>
                <w:szCs w:val="19"/>
              </w:rPr>
            </w:pPr>
          </w:p>
        </w:tc>
        <w:tc>
          <w:tcPr>
            <w:tcW w:w="1060" w:type="dxa"/>
            <w:vAlign w:val="bottom"/>
          </w:tcPr>
          <w:p w:rsidR="00D24E61" w:rsidRPr="00771368" w:rsidRDefault="00D24E61">
            <w:pPr>
              <w:spacing w:line="227" w:lineRule="exact"/>
              <w:ind w:right="400"/>
              <w:jc w:val="center"/>
              <w:rPr>
                <w:sz w:val="20"/>
                <w:szCs w:val="20"/>
              </w:rPr>
            </w:pPr>
            <w:r w:rsidRPr="00771368">
              <w:rPr>
                <w:b/>
                <w:bCs/>
                <w:w w:val="98"/>
                <w:sz w:val="20"/>
                <w:szCs w:val="20"/>
              </w:rPr>
              <w:t>Mas</w:t>
            </w:r>
          </w:p>
        </w:tc>
        <w:tc>
          <w:tcPr>
            <w:tcW w:w="620" w:type="dxa"/>
            <w:vAlign w:val="bottom"/>
          </w:tcPr>
          <w:p w:rsidR="00D24E61" w:rsidRPr="00771368" w:rsidRDefault="00D24E61">
            <w:pPr>
              <w:rPr>
                <w:sz w:val="19"/>
                <w:szCs w:val="19"/>
              </w:rPr>
            </w:pPr>
          </w:p>
        </w:tc>
        <w:tc>
          <w:tcPr>
            <w:tcW w:w="820" w:type="dxa"/>
            <w:vAlign w:val="bottom"/>
          </w:tcPr>
          <w:p w:rsidR="00D24E61" w:rsidRPr="00771368" w:rsidRDefault="00D24E61">
            <w:pPr>
              <w:spacing w:line="227" w:lineRule="exact"/>
              <w:jc w:val="center"/>
              <w:rPr>
                <w:sz w:val="20"/>
                <w:szCs w:val="20"/>
              </w:rPr>
            </w:pPr>
            <w:r w:rsidRPr="00771368">
              <w:rPr>
                <w:b/>
                <w:bCs/>
                <w:w w:val="95"/>
                <w:sz w:val="20"/>
                <w:szCs w:val="20"/>
              </w:rPr>
              <w:t>Fem</w:t>
            </w:r>
          </w:p>
        </w:tc>
        <w:tc>
          <w:tcPr>
            <w:tcW w:w="720" w:type="dxa"/>
            <w:vAlign w:val="bottom"/>
          </w:tcPr>
          <w:p w:rsidR="00D24E61" w:rsidRPr="00771368" w:rsidRDefault="00D24E61">
            <w:pPr>
              <w:rPr>
                <w:sz w:val="19"/>
                <w:szCs w:val="19"/>
              </w:rPr>
            </w:pPr>
          </w:p>
        </w:tc>
      </w:tr>
      <w:tr w:rsidR="00D24E61" w:rsidRPr="00771368">
        <w:trPr>
          <w:trHeight w:val="232"/>
        </w:trPr>
        <w:tc>
          <w:tcPr>
            <w:tcW w:w="3620" w:type="dxa"/>
            <w:vAlign w:val="bottom"/>
          </w:tcPr>
          <w:p w:rsidR="00D24E61" w:rsidRPr="00771368" w:rsidRDefault="00D24E61">
            <w:pPr>
              <w:spacing w:line="229" w:lineRule="exact"/>
              <w:ind w:left="120"/>
              <w:rPr>
                <w:sz w:val="20"/>
                <w:szCs w:val="20"/>
              </w:rPr>
            </w:pPr>
            <w:r w:rsidRPr="00771368">
              <w:rPr>
                <w:b/>
                <w:bCs/>
                <w:sz w:val="20"/>
                <w:szCs w:val="20"/>
              </w:rPr>
              <w:t>Violência Intrafamiliar</w:t>
            </w:r>
          </w:p>
        </w:tc>
        <w:tc>
          <w:tcPr>
            <w:tcW w:w="1320" w:type="dxa"/>
            <w:vAlign w:val="bottom"/>
          </w:tcPr>
          <w:p w:rsidR="00D24E61" w:rsidRPr="00771368" w:rsidRDefault="00D24E61">
            <w:pPr>
              <w:spacing w:line="227" w:lineRule="exact"/>
              <w:ind w:right="980"/>
              <w:jc w:val="center"/>
              <w:rPr>
                <w:sz w:val="20"/>
                <w:szCs w:val="20"/>
              </w:rPr>
            </w:pPr>
            <w:r w:rsidRPr="00771368">
              <w:rPr>
                <w:w w:val="99"/>
                <w:sz w:val="20"/>
                <w:szCs w:val="20"/>
              </w:rPr>
              <w:t>33</w:t>
            </w:r>
          </w:p>
        </w:tc>
        <w:tc>
          <w:tcPr>
            <w:tcW w:w="500" w:type="dxa"/>
            <w:vAlign w:val="bottom"/>
          </w:tcPr>
          <w:p w:rsidR="00D24E61" w:rsidRPr="00771368" w:rsidRDefault="00D24E61">
            <w:pPr>
              <w:spacing w:line="227" w:lineRule="exact"/>
              <w:jc w:val="center"/>
              <w:rPr>
                <w:sz w:val="20"/>
                <w:szCs w:val="20"/>
              </w:rPr>
            </w:pPr>
            <w:r w:rsidRPr="00771368">
              <w:rPr>
                <w:w w:val="99"/>
                <w:sz w:val="20"/>
                <w:szCs w:val="20"/>
              </w:rPr>
              <w:t>56</w:t>
            </w:r>
          </w:p>
        </w:tc>
        <w:tc>
          <w:tcPr>
            <w:tcW w:w="860" w:type="dxa"/>
            <w:vAlign w:val="bottom"/>
          </w:tcPr>
          <w:p w:rsidR="00D24E61" w:rsidRPr="00771368" w:rsidRDefault="00D24E61">
            <w:pPr>
              <w:rPr>
                <w:sz w:val="20"/>
                <w:szCs w:val="20"/>
              </w:rPr>
            </w:pPr>
          </w:p>
        </w:tc>
        <w:tc>
          <w:tcPr>
            <w:tcW w:w="1060" w:type="dxa"/>
            <w:vAlign w:val="bottom"/>
          </w:tcPr>
          <w:p w:rsidR="00D24E61" w:rsidRPr="00771368" w:rsidRDefault="00D24E61">
            <w:pPr>
              <w:spacing w:line="227" w:lineRule="exact"/>
              <w:ind w:right="400"/>
              <w:jc w:val="center"/>
              <w:rPr>
                <w:sz w:val="20"/>
                <w:szCs w:val="20"/>
              </w:rPr>
            </w:pPr>
            <w:r w:rsidRPr="00771368">
              <w:rPr>
                <w:w w:val="99"/>
                <w:sz w:val="20"/>
                <w:szCs w:val="20"/>
              </w:rPr>
              <w:t>07</w:t>
            </w:r>
          </w:p>
        </w:tc>
        <w:tc>
          <w:tcPr>
            <w:tcW w:w="620" w:type="dxa"/>
            <w:vAlign w:val="bottom"/>
          </w:tcPr>
          <w:p w:rsidR="00D24E61" w:rsidRPr="00771368" w:rsidRDefault="00D24E61">
            <w:pPr>
              <w:rPr>
                <w:sz w:val="20"/>
                <w:szCs w:val="20"/>
              </w:rPr>
            </w:pPr>
          </w:p>
        </w:tc>
        <w:tc>
          <w:tcPr>
            <w:tcW w:w="820" w:type="dxa"/>
            <w:vAlign w:val="bottom"/>
          </w:tcPr>
          <w:p w:rsidR="00D24E61" w:rsidRPr="00771368" w:rsidRDefault="00D24E61">
            <w:pPr>
              <w:spacing w:line="227" w:lineRule="exact"/>
              <w:jc w:val="center"/>
              <w:rPr>
                <w:sz w:val="20"/>
                <w:szCs w:val="20"/>
              </w:rPr>
            </w:pPr>
            <w:r w:rsidRPr="00771368">
              <w:rPr>
                <w:w w:val="99"/>
                <w:sz w:val="20"/>
                <w:szCs w:val="20"/>
              </w:rPr>
              <w:t>23</w:t>
            </w:r>
          </w:p>
        </w:tc>
        <w:tc>
          <w:tcPr>
            <w:tcW w:w="720" w:type="dxa"/>
            <w:vAlign w:val="bottom"/>
          </w:tcPr>
          <w:p w:rsidR="00D24E61" w:rsidRPr="00771368" w:rsidRDefault="00D24E61">
            <w:pPr>
              <w:rPr>
                <w:sz w:val="20"/>
                <w:szCs w:val="20"/>
              </w:rPr>
            </w:pPr>
          </w:p>
        </w:tc>
      </w:tr>
      <w:tr w:rsidR="00D24E61" w:rsidRPr="00771368">
        <w:trPr>
          <w:trHeight w:val="228"/>
        </w:trPr>
        <w:tc>
          <w:tcPr>
            <w:tcW w:w="3620" w:type="dxa"/>
            <w:vAlign w:val="bottom"/>
          </w:tcPr>
          <w:p w:rsidR="00D24E61" w:rsidRPr="00771368" w:rsidRDefault="00D24E61">
            <w:pPr>
              <w:spacing w:line="227" w:lineRule="exact"/>
              <w:ind w:left="120"/>
              <w:rPr>
                <w:sz w:val="20"/>
                <w:szCs w:val="20"/>
              </w:rPr>
            </w:pPr>
            <w:r w:rsidRPr="00771368">
              <w:rPr>
                <w:b/>
                <w:bCs/>
                <w:sz w:val="20"/>
                <w:szCs w:val="20"/>
              </w:rPr>
              <w:t>Abuso Sexual</w:t>
            </w:r>
          </w:p>
        </w:tc>
        <w:tc>
          <w:tcPr>
            <w:tcW w:w="1320" w:type="dxa"/>
            <w:vAlign w:val="bottom"/>
          </w:tcPr>
          <w:p w:rsidR="00D24E61" w:rsidRPr="00771368" w:rsidRDefault="00D24E61">
            <w:pPr>
              <w:spacing w:line="223" w:lineRule="exact"/>
              <w:ind w:right="980"/>
              <w:jc w:val="center"/>
              <w:rPr>
                <w:sz w:val="20"/>
                <w:szCs w:val="20"/>
              </w:rPr>
            </w:pPr>
            <w:r w:rsidRPr="00771368">
              <w:rPr>
                <w:w w:val="99"/>
                <w:sz w:val="20"/>
                <w:szCs w:val="20"/>
              </w:rPr>
              <w:t>05</w:t>
            </w:r>
          </w:p>
        </w:tc>
        <w:tc>
          <w:tcPr>
            <w:tcW w:w="500" w:type="dxa"/>
            <w:vAlign w:val="bottom"/>
          </w:tcPr>
          <w:p w:rsidR="00D24E61" w:rsidRPr="00771368" w:rsidRDefault="00D24E61">
            <w:pPr>
              <w:spacing w:line="223" w:lineRule="exact"/>
              <w:jc w:val="center"/>
              <w:rPr>
                <w:sz w:val="20"/>
                <w:szCs w:val="20"/>
              </w:rPr>
            </w:pPr>
            <w:r w:rsidRPr="00771368">
              <w:rPr>
                <w:w w:val="99"/>
                <w:sz w:val="20"/>
                <w:szCs w:val="20"/>
              </w:rPr>
              <w:t>41</w:t>
            </w:r>
          </w:p>
        </w:tc>
        <w:tc>
          <w:tcPr>
            <w:tcW w:w="860" w:type="dxa"/>
            <w:vAlign w:val="bottom"/>
          </w:tcPr>
          <w:p w:rsidR="00D24E61" w:rsidRPr="00771368" w:rsidRDefault="00D24E61">
            <w:pPr>
              <w:rPr>
                <w:sz w:val="19"/>
                <w:szCs w:val="19"/>
              </w:rPr>
            </w:pPr>
          </w:p>
        </w:tc>
        <w:tc>
          <w:tcPr>
            <w:tcW w:w="1060" w:type="dxa"/>
            <w:vAlign w:val="bottom"/>
          </w:tcPr>
          <w:p w:rsidR="00D24E61" w:rsidRPr="00771368" w:rsidRDefault="00D24E61">
            <w:pPr>
              <w:spacing w:line="223" w:lineRule="exact"/>
              <w:ind w:right="400"/>
              <w:jc w:val="center"/>
              <w:rPr>
                <w:sz w:val="20"/>
                <w:szCs w:val="20"/>
              </w:rPr>
            </w:pPr>
            <w:r w:rsidRPr="00771368">
              <w:rPr>
                <w:w w:val="99"/>
                <w:sz w:val="20"/>
                <w:szCs w:val="20"/>
              </w:rPr>
              <w:t>09</w:t>
            </w:r>
          </w:p>
        </w:tc>
        <w:tc>
          <w:tcPr>
            <w:tcW w:w="620" w:type="dxa"/>
            <w:vAlign w:val="bottom"/>
          </w:tcPr>
          <w:p w:rsidR="00D24E61" w:rsidRPr="00771368" w:rsidRDefault="00D24E61">
            <w:pPr>
              <w:rPr>
                <w:sz w:val="19"/>
                <w:szCs w:val="19"/>
              </w:rPr>
            </w:pPr>
          </w:p>
        </w:tc>
        <w:tc>
          <w:tcPr>
            <w:tcW w:w="820" w:type="dxa"/>
            <w:vAlign w:val="bottom"/>
          </w:tcPr>
          <w:p w:rsidR="00D24E61" w:rsidRPr="00771368" w:rsidRDefault="00D24E61">
            <w:pPr>
              <w:spacing w:line="223" w:lineRule="exact"/>
              <w:jc w:val="center"/>
              <w:rPr>
                <w:sz w:val="20"/>
                <w:szCs w:val="20"/>
              </w:rPr>
            </w:pPr>
            <w:r w:rsidRPr="00771368">
              <w:rPr>
                <w:w w:val="99"/>
                <w:sz w:val="20"/>
                <w:szCs w:val="20"/>
              </w:rPr>
              <w:t>26</w:t>
            </w:r>
          </w:p>
        </w:tc>
        <w:tc>
          <w:tcPr>
            <w:tcW w:w="720" w:type="dxa"/>
            <w:vAlign w:val="bottom"/>
          </w:tcPr>
          <w:p w:rsidR="00D24E61" w:rsidRPr="00771368" w:rsidRDefault="00D24E61">
            <w:pPr>
              <w:rPr>
                <w:sz w:val="19"/>
                <w:szCs w:val="19"/>
              </w:rPr>
            </w:pPr>
          </w:p>
        </w:tc>
      </w:tr>
      <w:tr w:rsidR="00D24E61" w:rsidRPr="00771368">
        <w:trPr>
          <w:trHeight w:val="232"/>
        </w:trPr>
        <w:tc>
          <w:tcPr>
            <w:tcW w:w="3620" w:type="dxa"/>
            <w:vAlign w:val="bottom"/>
          </w:tcPr>
          <w:p w:rsidR="00D24E61" w:rsidRPr="00771368" w:rsidRDefault="00D24E61">
            <w:pPr>
              <w:spacing w:line="229" w:lineRule="exact"/>
              <w:ind w:left="120"/>
              <w:rPr>
                <w:sz w:val="20"/>
                <w:szCs w:val="20"/>
              </w:rPr>
            </w:pPr>
            <w:r w:rsidRPr="00771368">
              <w:rPr>
                <w:b/>
                <w:bCs/>
                <w:sz w:val="20"/>
                <w:szCs w:val="20"/>
              </w:rPr>
              <w:t>Exploração Sexual</w:t>
            </w:r>
          </w:p>
        </w:tc>
        <w:tc>
          <w:tcPr>
            <w:tcW w:w="1320" w:type="dxa"/>
            <w:vAlign w:val="bottom"/>
          </w:tcPr>
          <w:p w:rsidR="00D24E61" w:rsidRPr="00771368" w:rsidRDefault="00D24E61">
            <w:pPr>
              <w:spacing w:line="227" w:lineRule="exact"/>
              <w:ind w:right="980"/>
              <w:jc w:val="center"/>
              <w:rPr>
                <w:sz w:val="20"/>
                <w:szCs w:val="20"/>
              </w:rPr>
            </w:pPr>
            <w:r w:rsidRPr="00771368">
              <w:rPr>
                <w:w w:val="99"/>
                <w:sz w:val="20"/>
                <w:szCs w:val="20"/>
              </w:rPr>
              <w:t>02</w:t>
            </w:r>
          </w:p>
        </w:tc>
        <w:tc>
          <w:tcPr>
            <w:tcW w:w="500" w:type="dxa"/>
            <w:vAlign w:val="bottom"/>
          </w:tcPr>
          <w:p w:rsidR="00D24E61" w:rsidRPr="00771368" w:rsidRDefault="00D24E61">
            <w:pPr>
              <w:spacing w:line="227" w:lineRule="exact"/>
              <w:jc w:val="center"/>
              <w:rPr>
                <w:sz w:val="20"/>
                <w:szCs w:val="20"/>
              </w:rPr>
            </w:pPr>
            <w:r w:rsidRPr="00771368">
              <w:rPr>
                <w:w w:val="99"/>
                <w:sz w:val="20"/>
                <w:szCs w:val="20"/>
              </w:rPr>
              <w:t>02</w:t>
            </w:r>
          </w:p>
        </w:tc>
        <w:tc>
          <w:tcPr>
            <w:tcW w:w="860" w:type="dxa"/>
            <w:vAlign w:val="bottom"/>
          </w:tcPr>
          <w:p w:rsidR="00D24E61" w:rsidRPr="00771368" w:rsidRDefault="00D24E61">
            <w:pPr>
              <w:rPr>
                <w:sz w:val="20"/>
                <w:szCs w:val="20"/>
              </w:rPr>
            </w:pPr>
          </w:p>
        </w:tc>
        <w:tc>
          <w:tcPr>
            <w:tcW w:w="1060" w:type="dxa"/>
            <w:vAlign w:val="bottom"/>
          </w:tcPr>
          <w:p w:rsidR="00D24E61" w:rsidRPr="00771368" w:rsidRDefault="00D24E61">
            <w:pPr>
              <w:spacing w:line="227" w:lineRule="exact"/>
              <w:ind w:right="400"/>
              <w:jc w:val="center"/>
              <w:rPr>
                <w:sz w:val="20"/>
                <w:szCs w:val="20"/>
              </w:rPr>
            </w:pPr>
            <w:r w:rsidRPr="00771368">
              <w:rPr>
                <w:w w:val="99"/>
                <w:sz w:val="20"/>
                <w:szCs w:val="20"/>
              </w:rPr>
              <w:t>05</w:t>
            </w:r>
          </w:p>
        </w:tc>
        <w:tc>
          <w:tcPr>
            <w:tcW w:w="620" w:type="dxa"/>
            <w:vAlign w:val="bottom"/>
          </w:tcPr>
          <w:p w:rsidR="00D24E61" w:rsidRPr="00771368" w:rsidRDefault="00D24E61">
            <w:pPr>
              <w:rPr>
                <w:sz w:val="20"/>
                <w:szCs w:val="20"/>
              </w:rPr>
            </w:pPr>
          </w:p>
        </w:tc>
        <w:tc>
          <w:tcPr>
            <w:tcW w:w="820" w:type="dxa"/>
            <w:vAlign w:val="bottom"/>
          </w:tcPr>
          <w:p w:rsidR="00D24E61" w:rsidRPr="00771368" w:rsidRDefault="00D24E61">
            <w:pPr>
              <w:spacing w:line="227" w:lineRule="exact"/>
              <w:jc w:val="center"/>
              <w:rPr>
                <w:sz w:val="20"/>
                <w:szCs w:val="20"/>
              </w:rPr>
            </w:pPr>
            <w:r w:rsidRPr="00771368">
              <w:rPr>
                <w:w w:val="99"/>
                <w:sz w:val="20"/>
                <w:szCs w:val="20"/>
              </w:rPr>
              <w:t>04</w:t>
            </w:r>
          </w:p>
        </w:tc>
        <w:tc>
          <w:tcPr>
            <w:tcW w:w="720" w:type="dxa"/>
            <w:vAlign w:val="bottom"/>
          </w:tcPr>
          <w:p w:rsidR="00D24E61" w:rsidRPr="00771368" w:rsidRDefault="00D24E61">
            <w:pPr>
              <w:rPr>
                <w:sz w:val="20"/>
                <w:szCs w:val="20"/>
              </w:rPr>
            </w:pPr>
          </w:p>
        </w:tc>
      </w:tr>
      <w:tr w:rsidR="00D24E61" w:rsidRPr="00771368">
        <w:trPr>
          <w:trHeight w:val="228"/>
        </w:trPr>
        <w:tc>
          <w:tcPr>
            <w:tcW w:w="3620" w:type="dxa"/>
            <w:vAlign w:val="bottom"/>
          </w:tcPr>
          <w:p w:rsidR="00D24E61" w:rsidRPr="00771368" w:rsidRDefault="00D24E61">
            <w:pPr>
              <w:spacing w:line="228" w:lineRule="exact"/>
              <w:ind w:left="120"/>
              <w:rPr>
                <w:sz w:val="20"/>
                <w:szCs w:val="20"/>
              </w:rPr>
            </w:pPr>
            <w:r w:rsidRPr="00771368">
              <w:rPr>
                <w:b/>
                <w:bCs/>
                <w:sz w:val="20"/>
                <w:szCs w:val="20"/>
              </w:rPr>
              <w:t>Negligência ou Abandono</w:t>
            </w:r>
          </w:p>
        </w:tc>
        <w:tc>
          <w:tcPr>
            <w:tcW w:w="1320" w:type="dxa"/>
            <w:vAlign w:val="bottom"/>
          </w:tcPr>
          <w:p w:rsidR="00D24E61" w:rsidRPr="00771368" w:rsidRDefault="00D24E61">
            <w:pPr>
              <w:spacing w:line="224" w:lineRule="exact"/>
              <w:ind w:right="980"/>
              <w:jc w:val="center"/>
              <w:rPr>
                <w:sz w:val="20"/>
                <w:szCs w:val="20"/>
              </w:rPr>
            </w:pPr>
            <w:r w:rsidRPr="00771368">
              <w:rPr>
                <w:w w:val="99"/>
                <w:sz w:val="20"/>
                <w:szCs w:val="20"/>
              </w:rPr>
              <w:t>04</w:t>
            </w:r>
          </w:p>
        </w:tc>
        <w:tc>
          <w:tcPr>
            <w:tcW w:w="500" w:type="dxa"/>
            <w:vAlign w:val="bottom"/>
          </w:tcPr>
          <w:p w:rsidR="00D24E61" w:rsidRPr="00771368" w:rsidRDefault="00D24E61">
            <w:pPr>
              <w:spacing w:line="224" w:lineRule="exact"/>
              <w:jc w:val="center"/>
              <w:rPr>
                <w:sz w:val="20"/>
                <w:szCs w:val="20"/>
              </w:rPr>
            </w:pPr>
            <w:r w:rsidRPr="00771368">
              <w:rPr>
                <w:w w:val="99"/>
                <w:sz w:val="20"/>
                <w:szCs w:val="20"/>
              </w:rPr>
              <w:t>10</w:t>
            </w:r>
          </w:p>
        </w:tc>
        <w:tc>
          <w:tcPr>
            <w:tcW w:w="860" w:type="dxa"/>
            <w:vAlign w:val="bottom"/>
          </w:tcPr>
          <w:p w:rsidR="00D24E61" w:rsidRPr="00771368" w:rsidRDefault="00D24E61">
            <w:pPr>
              <w:rPr>
                <w:sz w:val="19"/>
                <w:szCs w:val="19"/>
              </w:rPr>
            </w:pPr>
          </w:p>
        </w:tc>
        <w:tc>
          <w:tcPr>
            <w:tcW w:w="1060" w:type="dxa"/>
            <w:vAlign w:val="bottom"/>
          </w:tcPr>
          <w:p w:rsidR="00D24E61" w:rsidRPr="00771368" w:rsidRDefault="00D24E61">
            <w:pPr>
              <w:spacing w:line="224" w:lineRule="exact"/>
              <w:ind w:right="400"/>
              <w:jc w:val="center"/>
              <w:rPr>
                <w:sz w:val="20"/>
                <w:szCs w:val="20"/>
              </w:rPr>
            </w:pPr>
            <w:r w:rsidRPr="00771368">
              <w:rPr>
                <w:w w:val="99"/>
                <w:sz w:val="20"/>
                <w:szCs w:val="20"/>
              </w:rPr>
              <w:t>20</w:t>
            </w:r>
          </w:p>
        </w:tc>
        <w:tc>
          <w:tcPr>
            <w:tcW w:w="620" w:type="dxa"/>
            <w:vAlign w:val="bottom"/>
          </w:tcPr>
          <w:p w:rsidR="00D24E61" w:rsidRPr="00771368" w:rsidRDefault="00D24E61">
            <w:pPr>
              <w:rPr>
                <w:sz w:val="19"/>
                <w:szCs w:val="19"/>
              </w:rPr>
            </w:pPr>
          </w:p>
        </w:tc>
        <w:tc>
          <w:tcPr>
            <w:tcW w:w="820" w:type="dxa"/>
            <w:vAlign w:val="bottom"/>
          </w:tcPr>
          <w:p w:rsidR="00D24E61" w:rsidRPr="00771368" w:rsidRDefault="00D24E61">
            <w:pPr>
              <w:spacing w:line="224" w:lineRule="exact"/>
              <w:jc w:val="center"/>
              <w:rPr>
                <w:sz w:val="20"/>
                <w:szCs w:val="20"/>
              </w:rPr>
            </w:pPr>
            <w:r w:rsidRPr="00771368">
              <w:rPr>
                <w:w w:val="99"/>
                <w:sz w:val="20"/>
                <w:szCs w:val="20"/>
              </w:rPr>
              <w:t>20</w:t>
            </w:r>
          </w:p>
        </w:tc>
        <w:tc>
          <w:tcPr>
            <w:tcW w:w="720" w:type="dxa"/>
            <w:vAlign w:val="bottom"/>
          </w:tcPr>
          <w:p w:rsidR="00D24E61" w:rsidRPr="00771368" w:rsidRDefault="00D24E61">
            <w:pPr>
              <w:rPr>
                <w:sz w:val="19"/>
                <w:szCs w:val="19"/>
              </w:rPr>
            </w:pPr>
          </w:p>
        </w:tc>
      </w:tr>
      <w:tr w:rsidR="00D24E61" w:rsidRPr="00771368">
        <w:trPr>
          <w:trHeight w:val="232"/>
        </w:trPr>
        <w:tc>
          <w:tcPr>
            <w:tcW w:w="3620" w:type="dxa"/>
            <w:vAlign w:val="bottom"/>
          </w:tcPr>
          <w:p w:rsidR="00D24E61" w:rsidRPr="00771368" w:rsidRDefault="00D24E61">
            <w:pPr>
              <w:spacing w:line="229" w:lineRule="exact"/>
              <w:ind w:left="120"/>
              <w:rPr>
                <w:sz w:val="20"/>
                <w:szCs w:val="20"/>
              </w:rPr>
            </w:pPr>
            <w:r w:rsidRPr="00771368">
              <w:rPr>
                <w:b/>
                <w:bCs/>
                <w:sz w:val="20"/>
                <w:szCs w:val="20"/>
              </w:rPr>
              <w:t>Trabalho Infantil</w:t>
            </w:r>
          </w:p>
        </w:tc>
        <w:tc>
          <w:tcPr>
            <w:tcW w:w="1320" w:type="dxa"/>
            <w:vAlign w:val="bottom"/>
          </w:tcPr>
          <w:p w:rsidR="00D24E61" w:rsidRPr="00771368" w:rsidRDefault="00D24E61">
            <w:pPr>
              <w:rPr>
                <w:sz w:val="20"/>
                <w:szCs w:val="20"/>
              </w:rPr>
            </w:pPr>
          </w:p>
        </w:tc>
        <w:tc>
          <w:tcPr>
            <w:tcW w:w="500" w:type="dxa"/>
            <w:vAlign w:val="bottom"/>
          </w:tcPr>
          <w:p w:rsidR="00D24E61" w:rsidRPr="00771368" w:rsidRDefault="00D24E61">
            <w:pPr>
              <w:rPr>
                <w:sz w:val="20"/>
                <w:szCs w:val="20"/>
              </w:rPr>
            </w:pPr>
          </w:p>
        </w:tc>
        <w:tc>
          <w:tcPr>
            <w:tcW w:w="860" w:type="dxa"/>
            <w:vAlign w:val="bottom"/>
          </w:tcPr>
          <w:p w:rsidR="00D24E61" w:rsidRPr="00771368" w:rsidRDefault="00D24E61">
            <w:pPr>
              <w:rPr>
                <w:sz w:val="20"/>
                <w:szCs w:val="20"/>
              </w:rPr>
            </w:pPr>
          </w:p>
        </w:tc>
        <w:tc>
          <w:tcPr>
            <w:tcW w:w="1060" w:type="dxa"/>
            <w:vAlign w:val="bottom"/>
          </w:tcPr>
          <w:p w:rsidR="00D24E61" w:rsidRPr="00771368" w:rsidRDefault="00D24E61">
            <w:pPr>
              <w:spacing w:line="227" w:lineRule="exact"/>
              <w:ind w:right="400"/>
              <w:jc w:val="center"/>
              <w:rPr>
                <w:sz w:val="20"/>
                <w:szCs w:val="20"/>
              </w:rPr>
            </w:pPr>
            <w:r w:rsidRPr="00771368">
              <w:rPr>
                <w:w w:val="99"/>
                <w:sz w:val="20"/>
                <w:szCs w:val="20"/>
              </w:rPr>
              <w:t>01</w:t>
            </w:r>
          </w:p>
        </w:tc>
        <w:tc>
          <w:tcPr>
            <w:tcW w:w="620" w:type="dxa"/>
            <w:vAlign w:val="bottom"/>
          </w:tcPr>
          <w:p w:rsidR="00D24E61" w:rsidRPr="00771368" w:rsidRDefault="00D24E61">
            <w:pPr>
              <w:rPr>
                <w:sz w:val="20"/>
                <w:szCs w:val="20"/>
              </w:rPr>
            </w:pPr>
          </w:p>
        </w:tc>
        <w:tc>
          <w:tcPr>
            <w:tcW w:w="820" w:type="dxa"/>
            <w:vAlign w:val="bottom"/>
          </w:tcPr>
          <w:p w:rsidR="00D24E61" w:rsidRPr="00771368" w:rsidRDefault="00D24E61">
            <w:pPr>
              <w:rPr>
                <w:sz w:val="20"/>
                <w:szCs w:val="20"/>
              </w:rPr>
            </w:pPr>
          </w:p>
        </w:tc>
        <w:tc>
          <w:tcPr>
            <w:tcW w:w="720" w:type="dxa"/>
            <w:vAlign w:val="bottom"/>
          </w:tcPr>
          <w:p w:rsidR="00D24E61" w:rsidRPr="00771368" w:rsidRDefault="00D24E61">
            <w:pPr>
              <w:rPr>
                <w:sz w:val="20"/>
                <w:szCs w:val="20"/>
              </w:rPr>
            </w:pPr>
          </w:p>
        </w:tc>
      </w:tr>
      <w:tr w:rsidR="00D24E61" w:rsidRPr="00771368">
        <w:trPr>
          <w:trHeight w:val="228"/>
        </w:trPr>
        <w:tc>
          <w:tcPr>
            <w:tcW w:w="3620" w:type="dxa"/>
            <w:vAlign w:val="bottom"/>
          </w:tcPr>
          <w:p w:rsidR="00D24E61" w:rsidRPr="00771368" w:rsidRDefault="00D24E61">
            <w:pPr>
              <w:rPr>
                <w:sz w:val="19"/>
                <w:szCs w:val="19"/>
              </w:rPr>
            </w:pPr>
          </w:p>
        </w:tc>
        <w:tc>
          <w:tcPr>
            <w:tcW w:w="1320" w:type="dxa"/>
            <w:vAlign w:val="bottom"/>
          </w:tcPr>
          <w:p w:rsidR="00D24E61" w:rsidRPr="00771368" w:rsidRDefault="00D24E61">
            <w:pPr>
              <w:rPr>
                <w:sz w:val="19"/>
                <w:szCs w:val="19"/>
              </w:rPr>
            </w:pPr>
          </w:p>
        </w:tc>
        <w:tc>
          <w:tcPr>
            <w:tcW w:w="2420" w:type="dxa"/>
            <w:gridSpan w:val="3"/>
            <w:vAlign w:val="bottom"/>
          </w:tcPr>
          <w:p w:rsidR="00D24E61" w:rsidRPr="00771368" w:rsidRDefault="00D24E61">
            <w:pPr>
              <w:spacing w:line="227" w:lineRule="exact"/>
              <w:ind w:left="160"/>
              <w:jc w:val="center"/>
              <w:rPr>
                <w:sz w:val="20"/>
                <w:szCs w:val="20"/>
              </w:rPr>
            </w:pPr>
            <w:r w:rsidRPr="00771368">
              <w:rPr>
                <w:b/>
                <w:bCs/>
                <w:w w:val="99"/>
                <w:sz w:val="20"/>
                <w:szCs w:val="20"/>
              </w:rPr>
              <w:t>Pessoas com Deficiência</w:t>
            </w:r>
          </w:p>
        </w:tc>
        <w:tc>
          <w:tcPr>
            <w:tcW w:w="620" w:type="dxa"/>
            <w:vAlign w:val="bottom"/>
          </w:tcPr>
          <w:p w:rsidR="00D24E61" w:rsidRPr="00771368" w:rsidRDefault="00D24E61">
            <w:pPr>
              <w:rPr>
                <w:sz w:val="19"/>
                <w:szCs w:val="19"/>
              </w:rPr>
            </w:pPr>
          </w:p>
        </w:tc>
        <w:tc>
          <w:tcPr>
            <w:tcW w:w="820" w:type="dxa"/>
            <w:vAlign w:val="bottom"/>
          </w:tcPr>
          <w:p w:rsidR="00D24E61" w:rsidRPr="00771368" w:rsidRDefault="00D24E61">
            <w:pPr>
              <w:rPr>
                <w:sz w:val="19"/>
                <w:szCs w:val="19"/>
              </w:rPr>
            </w:pPr>
          </w:p>
        </w:tc>
        <w:tc>
          <w:tcPr>
            <w:tcW w:w="720" w:type="dxa"/>
            <w:vAlign w:val="bottom"/>
          </w:tcPr>
          <w:p w:rsidR="00D24E61" w:rsidRPr="00771368" w:rsidRDefault="00D24E61">
            <w:pPr>
              <w:rPr>
                <w:sz w:val="19"/>
                <w:szCs w:val="19"/>
              </w:rPr>
            </w:pPr>
          </w:p>
        </w:tc>
      </w:tr>
      <w:tr w:rsidR="00D24E61" w:rsidRPr="00771368">
        <w:trPr>
          <w:trHeight w:val="232"/>
        </w:trPr>
        <w:tc>
          <w:tcPr>
            <w:tcW w:w="4940" w:type="dxa"/>
            <w:gridSpan w:val="2"/>
            <w:vAlign w:val="bottom"/>
          </w:tcPr>
          <w:p w:rsidR="00D24E61" w:rsidRPr="00771368" w:rsidRDefault="00D24E61">
            <w:pPr>
              <w:spacing w:line="229" w:lineRule="exact"/>
              <w:ind w:left="3420"/>
              <w:rPr>
                <w:sz w:val="20"/>
                <w:szCs w:val="20"/>
              </w:rPr>
            </w:pPr>
            <w:r w:rsidRPr="00771368">
              <w:rPr>
                <w:b/>
                <w:bCs/>
                <w:sz w:val="20"/>
                <w:szCs w:val="20"/>
              </w:rPr>
              <w:t>0 a 12 anos</w:t>
            </w:r>
          </w:p>
        </w:tc>
        <w:tc>
          <w:tcPr>
            <w:tcW w:w="1360" w:type="dxa"/>
            <w:gridSpan w:val="2"/>
            <w:vAlign w:val="bottom"/>
          </w:tcPr>
          <w:p w:rsidR="00D24E61" w:rsidRPr="00771368" w:rsidRDefault="00D24E61">
            <w:pPr>
              <w:spacing w:line="229" w:lineRule="exact"/>
              <w:ind w:right="80"/>
              <w:jc w:val="right"/>
              <w:rPr>
                <w:sz w:val="20"/>
                <w:szCs w:val="20"/>
              </w:rPr>
            </w:pPr>
            <w:r w:rsidRPr="00771368">
              <w:rPr>
                <w:b/>
                <w:bCs/>
                <w:sz w:val="20"/>
                <w:szCs w:val="20"/>
              </w:rPr>
              <w:t>13 a 17 anos</w:t>
            </w:r>
          </w:p>
        </w:tc>
        <w:tc>
          <w:tcPr>
            <w:tcW w:w="1680" w:type="dxa"/>
            <w:gridSpan w:val="2"/>
            <w:vAlign w:val="bottom"/>
          </w:tcPr>
          <w:p w:rsidR="00D24E61" w:rsidRPr="00771368" w:rsidRDefault="00D24E61">
            <w:pPr>
              <w:spacing w:line="229" w:lineRule="exact"/>
              <w:ind w:left="420"/>
              <w:rPr>
                <w:sz w:val="20"/>
                <w:szCs w:val="20"/>
              </w:rPr>
            </w:pPr>
            <w:r w:rsidRPr="00771368">
              <w:rPr>
                <w:b/>
                <w:bCs/>
                <w:sz w:val="20"/>
                <w:szCs w:val="20"/>
              </w:rPr>
              <w:t>18 a 59 anos</w:t>
            </w:r>
          </w:p>
        </w:tc>
        <w:tc>
          <w:tcPr>
            <w:tcW w:w="1540" w:type="dxa"/>
            <w:gridSpan w:val="2"/>
            <w:vAlign w:val="bottom"/>
          </w:tcPr>
          <w:p w:rsidR="00D24E61" w:rsidRPr="00771368" w:rsidRDefault="00D24E61">
            <w:pPr>
              <w:spacing w:line="229" w:lineRule="exact"/>
              <w:ind w:left="200"/>
              <w:rPr>
                <w:sz w:val="20"/>
                <w:szCs w:val="20"/>
              </w:rPr>
            </w:pPr>
            <w:r w:rsidRPr="00771368">
              <w:rPr>
                <w:b/>
                <w:bCs/>
                <w:sz w:val="20"/>
                <w:szCs w:val="20"/>
              </w:rPr>
              <w:t>60 anos a mais</w:t>
            </w:r>
          </w:p>
        </w:tc>
      </w:tr>
      <w:tr w:rsidR="00D24E61" w:rsidRPr="00771368">
        <w:trPr>
          <w:trHeight w:val="228"/>
        </w:trPr>
        <w:tc>
          <w:tcPr>
            <w:tcW w:w="3620" w:type="dxa"/>
            <w:vAlign w:val="bottom"/>
          </w:tcPr>
          <w:p w:rsidR="00D24E61" w:rsidRPr="00771368" w:rsidRDefault="00D24E61">
            <w:pPr>
              <w:spacing w:line="227" w:lineRule="exact"/>
              <w:ind w:left="3220"/>
              <w:rPr>
                <w:sz w:val="20"/>
                <w:szCs w:val="20"/>
              </w:rPr>
            </w:pPr>
            <w:r w:rsidRPr="00771368">
              <w:rPr>
                <w:b/>
                <w:bCs/>
                <w:sz w:val="20"/>
                <w:szCs w:val="20"/>
              </w:rPr>
              <w:t>Mas</w:t>
            </w:r>
          </w:p>
        </w:tc>
        <w:tc>
          <w:tcPr>
            <w:tcW w:w="1320" w:type="dxa"/>
            <w:vAlign w:val="bottom"/>
          </w:tcPr>
          <w:p w:rsidR="00D24E61" w:rsidRPr="00771368" w:rsidRDefault="00D24E61">
            <w:pPr>
              <w:spacing w:line="227" w:lineRule="exact"/>
              <w:jc w:val="center"/>
              <w:rPr>
                <w:sz w:val="20"/>
                <w:szCs w:val="20"/>
              </w:rPr>
            </w:pPr>
            <w:r w:rsidRPr="00771368">
              <w:rPr>
                <w:b/>
                <w:bCs/>
                <w:sz w:val="20"/>
                <w:szCs w:val="20"/>
              </w:rPr>
              <w:t>Fem</w:t>
            </w:r>
          </w:p>
        </w:tc>
        <w:tc>
          <w:tcPr>
            <w:tcW w:w="500" w:type="dxa"/>
            <w:vAlign w:val="bottom"/>
          </w:tcPr>
          <w:p w:rsidR="00D24E61" w:rsidRPr="00771368" w:rsidRDefault="00D24E61">
            <w:pPr>
              <w:spacing w:line="227" w:lineRule="exact"/>
              <w:ind w:left="60"/>
              <w:rPr>
                <w:sz w:val="20"/>
                <w:szCs w:val="20"/>
              </w:rPr>
            </w:pPr>
            <w:r w:rsidRPr="00771368">
              <w:rPr>
                <w:b/>
                <w:bCs/>
                <w:sz w:val="20"/>
                <w:szCs w:val="20"/>
              </w:rPr>
              <w:t>Mas</w:t>
            </w:r>
          </w:p>
        </w:tc>
        <w:tc>
          <w:tcPr>
            <w:tcW w:w="860" w:type="dxa"/>
            <w:vAlign w:val="bottom"/>
          </w:tcPr>
          <w:p w:rsidR="00D24E61" w:rsidRPr="00771368" w:rsidRDefault="00D24E61">
            <w:pPr>
              <w:spacing w:line="227" w:lineRule="exact"/>
              <w:jc w:val="right"/>
              <w:rPr>
                <w:sz w:val="20"/>
                <w:szCs w:val="20"/>
              </w:rPr>
            </w:pPr>
            <w:r w:rsidRPr="00771368">
              <w:rPr>
                <w:b/>
                <w:bCs/>
                <w:sz w:val="20"/>
                <w:szCs w:val="20"/>
              </w:rPr>
              <w:t>Fem</w:t>
            </w:r>
          </w:p>
        </w:tc>
        <w:tc>
          <w:tcPr>
            <w:tcW w:w="1060" w:type="dxa"/>
            <w:vAlign w:val="bottom"/>
          </w:tcPr>
          <w:p w:rsidR="00D24E61" w:rsidRPr="00771368" w:rsidRDefault="00D24E61">
            <w:pPr>
              <w:spacing w:line="227" w:lineRule="exact"/>
              <w:ind w:left="320"/>
              <w:rPr>
                <w:sz w:val="20"/>
                <w:szCs w:val="20"/>
              </w:rPr>
            </w:pPr>
            <w:r w:rsidRPr="00771368">
              <w:rPr>
                <w:b/>
                <w:bCs/>
                <w:sz w:val="20"/>
                <w:szCs w:val="20"/>
              </w:rPr>
              <w:t>Mas</w:t>
            </w:r>
          </w:p>
        </w:tc>
        <w:tc>
          <w:tcPr>
            <w:tcW w:w="620" w:type="dxa"/>
            <w:vAlign w:val="bottom"/>
          </w:tcPr>
          <w:p w:rsidR="00D24E61" w:rsidRPr="00771368" w:rsidRDefault="00D24E61">
            <w:pPr>
              <w:spacing w:line="227" w:lineRule="exact"/>
              <w:ind w:right="60"/>
              <w:jc w:val="center"/>
              <w:rPr>
                <w:sz w:val="20"/>
                <w:szCs w:val="20"/>
              </w:rPr>
            </w:pPr>
            <w:r w:rsidRPr="00771368">
              <w:rPr>
                <w:b/>
                <w:bCs/>
                <w:sz w:val="20"/>
                <w:szCs w:val="20"/>
              </w:rPr>
              <w:t>Fem</w:t>
            </w:r>
          </w:p>
        </w:tc>
        <w:tc>
          <w:tcPr>
            <w:tcW w:w="820" w:type="dxa"/>
            <w:vAlign w:val="bottom"/>
          </w:tcPr>
          <w:p w:rsidR="00D24E61" w:rsidRPr="00771368" w:rsidRDefault="00D24E61">
            <w:pPr>
              <w:spacing w:line="227" w:lineRule="exact"/>
              <w:jc w:val="center"/>
              <w:rPr>
                <w:sz w:val="20"/>
                <w:szCs w:val="20"/>
              </w:rPr>
            </w:pPr>
            <w:r w:rsidRPr="00771368">
              <w:rPr>
                <w:b/>
                <w:bCs/>
                <w:sz w:val="20"/>
                <w:szCs w:val="20"/>
              </w:rPr>
              <w:t>Mas</w:t>
            </w:r>
          </w:p>
        </w:tc>
        <w:tc>
          <w:tcPr>
            <w:tcW w:w="720" w:type="dxa"/>
            <w:vAlign w:val="bottom"/>
          </w:tcPr>
          <w:p w:rsidR="00D24E61" w:rsidRPr="00771368" w:rsidRDefault="00D24E61">
            <w:pPr>
              <w:spacing w:line="227" w:lineRule="exact"/>
              <w:jc w:val="center"/>
              <w:rPr>
                <w:sz w:val="20"/>
                <w:szCs w:val="20"/>
              </w:rPr>
            </w:pPr>
            <w:r w:rsidRPr="00771368">
              <w:rPr>
                <w:b/>
                <w:bCs/>
                <w:sz w:val="20"/>
                <w:szCs w:val="20"/>
              </w:rPr>
              <w:t>Fem</w:t>
            </w:r>
          </w:p>
        </w:tc>
      </w:tr>
      <w:tr w:rsidR="00D24E61" w:rsidRPr="00771368">
        <w:trPr>
          <w:trHeight w:val="232"/>
        </w:trPr>
        <w:tc>
          <w:tcPr>
            <w:tcW w:w="3620" w:type="dxa"/>
            <w:vAlign w:val="bottom"/>
          </w:tcPr>
          <w:p w:rsidR="00D24E61" w:rsidRPr="00771368" w:rsidRDefault="00D24E61">
            <w:pPr>
              <w:spacing w:line="229" w:lineRule="exact"/>
              <w:ind w:left="120"/>
              <w:rPr>
                <w:sz w:val="20"/>
                <w:szCs w:val="20"/>
              </w:rPr>
            </w:pPr>
            <w:r w:rsidRPr="00771368">
              <w:rPr>
                <w:b/>
                <w:bCs/>
                <w:sz w:val="20"/>
                <w:szCs w:val="20"/>
              </w:rPr>
              <w:t>Violência Intrafamiliar</w:t>
            </w:r>
          </w:p>
        </w:tc>
        <w:tc>
          <w:tcPr>
            <w:tcW w:w="1320" w:type="dxa"/>
            <w:vAlign w:val="bottom"/>
          </w:tcPr>
          <w:p w:rsidR="00D24E61" w:rsidRPr="00771368" w:rsidRDefault="00D24E61">
            <w:pPr>
              <w:spacing w:line="227" w:lineRule="exact"/>
              <w:ind w:right="480"/>
              <w:jc w:val="right"/>
              <w:rPr>
                <w:sz w:val="20"/>
                <w:szCs w:val="20"/>
              </w:rPr>
            </w:pPr>
            <w:r w:rsidRPr="00771368">
              <w:rPr>
                <w:sz w:val="20"/>
                <w:szCs w:val="20"/>
              </w:rPr>
              <w:t>01</w:t>
            </w:r>
          </w:p>
        </w:tc>
        <w:tc>
          <w:tcPr>
            <w:tcW w:w="500" w:type="dxa"/>
            <w:vAlign w:val="bottom"/>
          </w:tcPr>
          <w:p w:rsidR="00D24E61" w:rsidRPr="00771368" w:rsidRDefault="00D24E61">
            <w:pPr>
              <w:rPr>
                <w:sz w:val="20"/>
                <w:szCs w:val="20"/>
              </w:rPr>
            </w:pPr>
          </w:p>
        </w:tc>
        <w:tc>
          <w:tcPr>
            <w:tcW w:w="860" w:type="dxa"/>
            <w:vAlign w:val="bottom"/>
          </w:tcPr>
          <w:p w:rsidR="00D24E61" w:rsidRPr="00771368" w:rsidRDefault="00D24E61">
            <w:pPr>
              <w:spacing w:line="227" w:lineRule="exact"/>
              <w:ind w:right="80"/>
              <w:jc w:val="right"/>
              <w:rPr>
                <w:sz w:val="20"/>
                <w:szCs w:val="20"/>
              </w:rPr>
            </w:pPr>
            <w:r w:rsidRPr="00771368">
              <w:rPr>
                <w:sz w:val="20"/>
                <w:szCs w:val="20"/>
              </w:rPr>
              <w:t>01</w:t>
            </w:r>
          </w:p>
        </w:tc>
        <w:tc>
          <w:tcPr>
            <w:tcW w:w="1060" w:type="dxa"/>
            <w:vAlign w:val="bottom"/>
          </w:tcPr>
          <w:p w:rsidR="00D24E61" w:rsidRPr="00771368" w:rsidRDefault="00D24E61">
            <w:pPr>
              <w:spacing w:line="227" w:lineRule="exact"/>
              <w:ind w:left="400"/>
              <w:rPr>
                <w:sz w:val="20"/>
                <w:szCs w:val="20"/>
              </w:rPr>
            </w:pPr>
            <w:r w:rsidRPr="00771368">
              <w:rPr>
                <w:sz w:val="20"/>
                <w:szCs w:val="20"/>
              </w:rPr>
              <w:t>01</w:t>
            </w:r>
          </w:p>
        </w:tc>
        <w:tc>
          <w:tcPr>
            <w:tcW w:w="620" w:type="dxa"/>
            <w:vAlign w:val="bottom"/>
          </w:tcPr>
          <w:p w:rsidR="00D24E61" w:rsidRPr="00771368" w:rsidRDefault="00D24E61">
            <w:pPr>
              <w:spacing w:line="227" w:lineRule="exact"/>
              <w:ind w:right="80"/>
              <w:jc w:val="center"/>
              <w:rPr>
                <w:sz w:val="20"/>
                <w:szCs w:val="20"/>
              </w:rPr>
            </w:pPr>
            <w:r w:rsidRPr="00771368">
              <w:rPr>
                <w:w w:val="99"/>
                <w:sz w:val="20"/>
                <w:szCs w:val="20"/>
              </w:rPr>
              <w:t>02</w:t>
            </w:r>
          </w:p>
        </w:tc>
        <w:tc>
          <w:tcPr>
            <w:tcW w:w="820" w:type="dxa"/>
            <w:vAlign w:val="bottom"/>
          </w:tcPr>
          <w:p w:rsidR="00D24E61" w:rsidRPr="00771368" w:rsidRDefault="00D24E61">
            <w:pPr>
              <w:spacing w:line="227" w:lineRule="exact"/>
              <w:jc w:val="center"/>
              <w:rPr>
                <w:sz w:val="20"/>
                <w:szCs w:val="20"/>
              </w:rPr>
            </w:pPr>
            <w:r w:rsidRPr="00771368">
              <w:rPr>
                <w:w w:val="99"/>
                <w:sz w:val="20"/>
                <w:szCs w:val="20"/>
              </w:rPr>
              <w:t>01</w:t>
            </w:r>
          </w:p>
        </w:tc>
        <w:tc>
          <w:tcPr>
            <w:tcW w:w="720" w:type="dxa"/>
            <w:vAlign w:val="bottom"/>
          </w:tcPr>
          <w:p w:rsidR="00D24E61" w:rsidRPr="00771368" w:rsidRDefault="00D24E61">
            <w:pPr>
              <w:spacing w:line="227" w:lineRule="exact"/>
              <w:jc w:val="center"/>
              <w:rPr>
                <w:sz w:val="20"/>
                <w:szCs w:val="20"/>
              </w:rPr>
            </w:pPr>
            <w:r w:rsidRPr="00771368">
              <w:rPr>
                <w:w w:val="99"/>
                <w:sz w:val="20"/>
                <w:szCs w:val="20"/>
              </w:rPr>
              <w:t>02</w:t>
            </w:r>
          </w:p>
        </w:tc>
      </w:tr>
      <w:tr w:rsidR="00D24E61" w:rsidRPr="00771368">
        <w:trPr>
          <w:trHeight w:val="228"/>
        </w:trPr>
        <w:tc>
          <w:tcPr>
            <w:tcW w:w="3620" w:type="dxa"/>
            <w:vAlign w:val="bottom"/>
          </w:tcPr>
          <w:p w:rsidR="00D24E61" w:rsidRPr="00771368" w:rsidRDefault="00D24E61">
            <w:pPr>
              <w:spacing w:line="227" w:lineRule="exact"/>
              <w:ind w:left="120"/>
              <w:rPr>
                <w:sz w:val="20"/>
                <w:szCs w:val="20"/>
              </w:rPr>
            </w:pPr>
            <w:r w:rsidRPr="00771368">
              <w:rPr>
                <w:b/>
                <w:bCs/>
                <w:sz w:val="20"/>
                <w:szCs w:val="20"/>
              </w:rPr>
              <w:t>Negligência ou Abandono</w:t>
            </w:r>
          </w:p>
        </w:tc>
        <w:tc>
          <w:tcPr>
            <w:tcW w:w="1320" w:type="dxa"/>
            <w:vAlign w:val="bottom"/>
          </w:tcPr>
          <w:p w:rsidR="00D24E61" w:rsidRPr="00771368" w:rsidRDefault="00D24E61">
            <w:pPr>
              <w:rPr>
                <w:sz w:val="19"/>
                <w:szCs w:val="19"/>
              </w:rPr>
            </w:pPr>
          </w:p>
        </w:tc>
        <w:tc>
          <w:tcPr>
            <w:tcW w:w="500" w:type="dxa"/>
            <w:vAlign w:val="bottom"/>
          </w:tcPr>
          <w:p w:rsidR="00D24E61" w:rsidRPr="00771368" w:rsidRDefault="00D24E61">
            <w:pPr>
              <w:rPr>
                <w:sz w:val="19"/>
                <w:szCs w:val="19"/>
              </w:rPr>
            </w:pPr>
          </w:p>
        </w:tc>
        <w:tc>
          <w:tcPr>
            <w:tcW w:w="860" w:type="dxa"/>
            <w:vAlign w:val="bottom"/>
          </w:tcPr>
          <w:p w:rsidR="00D24E61" w:rsidRPr="00771368" w:rsidRDefault="00D24E61">
            <w:pPr>
              <w:spacing w:line="223" w:lineRule="exact"/>
              <w:ind w:right="80"/>
              <w:jc w:val="right"/>
              <w:rPr>
                <w:sz w:val="20"/>
                <w:szCs w:val="20"/>
              </w:rPr>
            </w:pPr>
            <w:r w:rsidRPr="00771368">
              <w:rPr>
                <w:sz w:val="20"/>
                <w:szCs w:val="20"/>
              </w:rPr>
              <w:t>02</w:t>
            </w:r>
          </w:p>
        </w:tc>
        <w:tc>
          <w:tcPr>
            <w:tcW w:w="1060" w:type="dxa"/>
            <w:vAlign w:val="bottom"/>
          </w:tcPr>
          <w:p w:rsidR="00D24E61" w:rsidRPr="00771368" w:rsidRDefault="00D24E61">
            <w:pPr>
              <w:spacing w:line="223" w:lineRule="exact"/>
              <w:ind w:left="400"/>
              <w:rPr>
                <w:sz w:val="20"/>
                <w:szCs w:val="20"/>
              </w:rPr>
            </w:pPr>
            <w:r w:rsidRPr="00771368">
              <w:rPr>
                <w:sz w:val="20"/>
                <w:szCs w:val="20"/>
              </w:rPr>
              <w:t>02</w:t>
            </w:r>
          </w:p>
        </w:tc>
        <w:tc>
          <w:tcPr>
            <w:tcW w:w="620" w:type="dxa"/>
            <w:vAlign w:val="bottom"/>
          </w:tcPr>
          <w:p w:rsidR="00D24E61" w:rsidRPr="00771368" w:rsidRDefault="00D24E61">
            <w:pPr>
              <w:spacing w:line="223" w:lineRule="exact"/>
              <w:ind w:right="80"/>
              <w:jc w:val="center"/>
              <w:rPr>
                <w:sz w:val="20"/>
                <w:szCs w:val="20"/>
              </w:rPr>
            </w:pPr>
            <w:r w:rsidRPr="00771368">
              <w:rPr>
                <w:w w:val="99"/>
                <w:sz w:val="20"/>
                <w:szCs w:val="20"/>
              </w:rPr>
              <w:t>05</w:t>
            </w:r>
          </w:p>
        </w:tc>
        <w:tc>
          <w:tcPr>
            <w:tcW w:w="820" w:type="dxa"/>
            <w:vAlign w:val="bottom"/>
          </w:tcPr>
          <w:p w:rsidR="00D24E61" w:rsidRPr="00771368" w:rsidRDefault="00D24E61">
            <w:pPr>
              <w:spacing w:line="223" w:lineRule="exact"/>
              <w:jc w:val="center"/>
              <w:rPr>
                <w:sz w:val="20"/>
                <w:szCs w:val="20"/>
              </w:rPr>
            </w:pPr>
            <w:r w:rsidRPr="00771368">
              <w:rPr>
                <w:w w:val="99"/>
                <w:sz w:val="20"/>
                <w:szCs w:val="20"/>
              </w:rPr>
              <w:t>02</w:t>
            </w:r>
          </w:p>
        </w:tc>
        <w:tc>
          <w:tcPr>
            <w:tcW w:w="720" w:type="dxa"/>
            <w:vAlign w:val="bottom"/>
          </w:tcPr>
          <w:p w:rsidR="00D24E61" w:rsidRPr="00771368" w:rsidRDefault="00D24E61">
            <w:pPr>
              <w:spacing w:line="223" w:lineRule="exact"/>
              <w:jc w:val="center"/>
              <w:rPr>
                <w:sz w:val="20"/>
                <w:szCs w:val="20"/>
              </w:rPr>
            </w:pPr>
            <w:r w:rsidRPr="00771368">
              <w:rPr>
                <w:w w:val="99"/>
                <w:sz w:val="20"/>
                <w:szCs w:val="20"/>
              </w:rPr>
              <w:t>03</w:t>
            </w:r>
          </w:p>
        </w:tc>
      </w:tr>
      <w:tr w:rsidR="00D24E61" w:rsidRPr="00771368">
        <w:trPr>
          <w:trHeight w:val="232"/>
        </w:trPr>
        <w:tc>
          <w:tcPr>
            <w:tcW w:w="3620" w:type="dxa"/>
            <w:vAlign w:val="bottom"/>
          </w:tcPr>
          <w:p w:rsidR="00D24E61" w:rsidRPr="00771368" w:rsidRDefault="00D24E61">
            <w:pPr>
              <w:rPr>
                <w:sz w:val="20"/>
                <w:szCs w:val="20"/>
              </w:rPr>
            </w:pPr>
          </w:p>
        </w:tc>
        <w:tc>
          <w:tcPr>
            <w:tcW w:w="1320" w:type="dxa"/>
            <w:vAlign w:val="bottom"/>
          </w:tcPr>
          <w:p w:rsidR="00D24E61" w:rsidRPr="00771368" w:rsidRDefault="00D24E61">
            <w:pPr>
              <w:rPr>
                <w:sz w:val="20"/>
                <w:szCs w:val="20"/>
              </w:rPr>
            </w:pPr>
          </w:p>
        </w:tc>
        <w:tc>
          <w:tcPr>
            <w:tcW w:w="500" w:type="dxa"/>
            <w:vAlign w:val="bottom"/>
          </w:tcPr>
          <w:p w:rsidR="00D24E61" w:rsidRPr="00771368" w:rsidRDefault="00D24E61">
            <w:pPr>
              <w:rPr>
                <w:sz w:val="20"/>
                <w:szCs w:val="20"/>
              </w:rPr>
            </w:pPr>
          </w:p>
        </w:tc>
        <w:tc>
          <w:tcPr>
            <w:tcW w:w="1920" w:type="dxa"/>
            <w:gridSpan w:val="2"/>
            <w:vAlign w:val="bottom"/>
          </w:tcPr>
          <w:p w:rsidR="00D24E61" w:rsidRPr="00771368" w:rsidRDefault="00D24E61">
            <w:pPr>
              <w:spacing w:line="229" w:lineRule="exact"/>
              <w:ind w:right="120"/>
              <w:jc w:val="center"/>
              <w:rPr>
                <w:sz w:val="20"/>
                <w:szCs w:val="20"/>
              </w:rPr>
            </w:pPr>
            <w:r w:rsidRPr="00771368">
              <w:rPr>
                <w:b/>
                <w:bCs/>
                <w:sz w:val="20"/>
                <w:szCs w:val="20"/>
              </w:rPr>
              <w:t>Mulheres Adultas</w:t>
            </w:r>
          </w:p>
        </w:tc>
        <w:tc>
          <w:tcPr>
            <w:tcW w:w="620" w:type="dxa"/>
            <w:vAlign w:val="bottom"/>
          </w:tcPr>
          <w:p w:rsidR="00D24E61" w:rsidRPr="00771368" w:rsidRDefault="00D24E61">
            <w:pPr>
              <w:rPr>
                <w:sz w:val="20"/>
                <w:szCs w:val="20"/>
              </w:rPr>
            </w:pPr>
          </w:p>
        </w:tc>
        <w:tc>
          <w:tcPr>
            <w:tcW w:w="820" w:type="dxa"/>
            <w:vAlign w:val="bottom"/>
          </w:tcPr>
          <w:p w:rsidR="00D24E61" w:rsidRPr="00771368" w:rsidRDefault="00D24E61">
            <w:pPr>
              <w:rPr>
                <w:sz w:val="20"/>
                <w:szCs w:val="20"/>
              </w:rPr>
            </w:pPr>
          </w:p>
        </w:tc>
        <w:tc>
          <w:tcPr>
            <w:tcW w:w="720" w:type="dxa"/>
            <w:vAlign w:val="bottom"/>
          </w:tcPr>
          <w:p w:rsidR="00D24E61" w:rsidRPr="00771368" w:rsidRDefault="00D24E61">
            <w:pPr>
              <w:rPr>
                <w:sz w:val="20"/>
                <w:szCs w:val="20"/>
              </w:rPr>
            </w:pPr>
          </w:p>
        </w:tc>
      </w:tr>
      <w:tr w:rsidR="00D24E61" w:rsidRPr="00771368">
        <w:trPr>
          <w:trHeight w:val="228"/>
        </w:trPr>
        <w:tc>
          <w:tcPr>
            <w:tcW w:w="3620" w:type="dxa"/>
            <w:vAlign w:val="bottom"/>
          </w:tcPr>
          <w:p w:rsidR="00D24E61" w:rsidRPr="00771368" w:rsidRDefault="00D24E61">
            <w:pPr>
              <w:rPr>
                <w:sz w:val="19"/>
                <w:szCs w:val="19"/>
              </w:rPr>
            </w:pPr>
          </w:p>
        </w:tc>
        <w:tc>
          <w:tcPr>
            <w:tcW w:w="1320" w:type="dxa"/>
            <w:vAlign w:val="bottom"/>
          </w:tcPr>
          <w:p w:rsidR="00D24E61" w:rsidRPr="00771368" w:rsidRDefault="00D24E61">
            <w:pPr>
              <w:rPr>
                <w:sz w:val="19"/>
                <w:szCs w:val="19"/>
              </w:rPr>
            </w:pPr>
          </w:p>
        </w:tc>
        <w:tc>
          <w:tcPr>
            <w:tcW w:w="500" w:type="dxa"/>
            <w:vAlign w:val="bottom"/>
          </w:tcPr>
          <w:p w:rsidR="00D24E61" w:rsidRPr="00771368" w:rsidRDefault="00D24E61">
            <w:pPr>
              <w:rPr>
                <w:sz w:val="19"/>
                <w:szCs w:val="19"/>
              </w:rPr>
            </w:pPr>
          </w:p>
        </w:tc>
        <w:tc>
          <w:tcPr>
            <w:tcW w:w="1920" w:type="dxa"/>
            <w:gridSpan w:val="2"/>
            <w:vAlign w:val="bottom"/>
          </w:tcPr>
          <w:p w:rsidR="00D24E61" w:rsidRPr="00771368" w:rsidRDefault="00D24E61">
            <w:pPr>
              <w:spacing w:line="227" w:lineRule="exact"/>
              <w:ind w:right="60"/>
              <w:jc w:val="center"/>
              <w:rPr>
                <w:sz w:val="20"/>
                <w:szCs w:val="20"/>
              </w:rPr>
            </w:pPr>
            <w:r w:rsidRPr="00771368">
              <w:rPr>
                <w:b/>
                <w:bCs/>
                <w:sz w:val="20"/>
                <w:szCs w:val="20"/>
              </w:rPr>
              <w:t>18 a 59 anos</w:t>
            </w:r>
          </w:p>
        </w:tc>
        <w:tc>
          <w:tcPr>
            <w:tcW w:w="620" w:type="dxa"/>
            <w:vAlign w:val="bottom"/>
          </w:tcPr>
          <w:p w:rsidR="00D24E61" w:rsidRPr="00771368" w:rsidRDefault="00D24E61">
            <w:pPr>
              <w:rPr>
                <w:sz w:val="19"/>
                <w:szCs w:val="19"/>
              </w:rPr>
            </w:pPr>
          </w:p>
        </w:tc>
        <w:tc>
          <w:tcPr>
            <w:tcW w:w="820" w:type="dxa"/>
            <w:vAlign w:val="bottom"/>
          </w:tcPr>
          <w:p w:rsidR="00D24E61" w:rsidRPr="00771368" w:rsidRDefault="00D24E61">
            <w:pPr>
              <w:rPr>
                <w:sz w:val="19"/>
                <w:szCs w:val="19"/>
              </w:rPr>
            </w:pPr>
          </w:p>
        </w:tc>
        <w:tc>
          <w:tcPr>
            <w:tcW w:w="720" w:type="dxa"/>
            <w:vAlign w:val="bottom"/>
          </w:tcPr>
          <w:p w:rsidR="00D24E61" w:rsidRPr="00771368" w:rsidRDefault="00D24E61">
            <w:pPr>
              <w:rPr>
                <w:sz w:val="19"/>
                <w:szCs w:val="19"/>
              </w:rPr>
            </w:pPr>
          </w:p>
        </w:tc>
      </w:tr>
      <w:tr w:rsidR="00D24E61" w:rsidRPr="00771368">
        <w:trPr>
          <w:trHeight w:val="564"/>
        </w:trPr>
        <w:tc>
          <w:tcPr>
            <w:tcW w:w="3620" w:type="dxa"/>
            <w:vAlign w:val="bottom"/>
          </w:tcPr>
          <w:p w:rsidR="00D24E61" w:rsidRPr="00771368" w:rsidRDefault="00D24E61">
            <w:pPr>
              <w:spacing w:line="229" w:lineRule="exact"/>
              <w:ind w:left="120"/>
              <w:rPr>
                <w:sz w:val="20"/>
                <w:szCs w:val="20"/>
              </w:rPr>
            </w:pPr>
            <w:r w:rsidRPr="00771368">
              <w:rPr>
                <w:b/>
                <w:bCs/>
                <w:sz w:val="20"/>
                <w:szCs w:val="20"/>
              </w:rPr>
              <w:t>Violência Intrafamiliar</w:t>
            </w:r>
          </w:p>
        </w:tc>
        <w:tc>
          <w:tcPr>
            <w:tcW w:w="1320" w:type="dxa"/>
            <w:vAlign w:val="bottom"/>
          </w:tcPr>
          <w:p w:rsidR="00D24E61" w:rsidRPr="00771368" w:rsidRDefault="00D24E61">
            <w:pPr>
              <w:rPr>
                <w:sz w:val="24"/>
                <w:szCs w:val="24"/>
              </w:rPr>
            </w:pPr>
          </w:p>
        </w:tc>
        <w:tc>
          <w:tcPr>
            <w:tcW w:w="500" w:type="dxa"/>
            <w:vAlign w:val="bottom"/>
          </w:tcPr>
          <w:p w:rsidR="00D24E61" w:rsidRPr="00771368" w:rsidRDefault="00D24E61">
            <w:pPr>
              <w:rPr>
                <w:sz w:val="24"/>
                <w:szCs w:val="24"/>
              </w:rPr>
            </w:pPr>
          </w:p>
        </w:tc>
        <w:tc>
          <w:tcPr>
            <w:tcW w:w="1920" w:type="dxa"/>
            <w:gridSpan w:val="2"/>
            <w:vAlign w:val="bottom"/>
          </w:tcPr>
          <w:p w:rsidR="00D24E61" w:rsidRPr="00771368" w:rsidRDefault="00D24E61">
            <w:pPr>
              <w:spacing w:line="229" w:lineRule="exact"/>
              <w:ind w:right="60"/>
              <w:jc w:val="center"/>
              <w:rPr>
                <w:sz w:val="20"/>
                <w:szCs w:val="20"/>
              </w:rPr>
            </w:pPr>
            <w:r w:rsidRPr="00771368">
              <w:rPr>
                <w:w w:val="99"/>
                <w:sz w:val="20"/>
                <w:szCs w:val="20"/>
              </w:rPr>
              <w:t>44</w:t>
            </w:r>
          </w:p>
        </w:tc>
        <w:tc>
          <w:tcPr>
            <w:tcW w:w="620" w:type="dxa"/>
            <w:vAlign w:val="bottom"/>
          </w:tcPr>
          <w:p w:rsidR="00D24E61" w:rsidRPr="00771368" w:rsidRDefault="00D24E61">
            <w:pPr>
              <w:rPr>
                <w:sz w:val="24"/>
                <w:szCs w:val="24"/>
              </w:rPr>
            </w:pPr>
          </w:p>
        </w:tc>
        <w:tc>
          <w:tcPr>
            <w:tcW w:w="820" w:type="dxa"/>
            <w:vAlign w:val="bottom"/>
          </w:tcPr>
          <w:p w:rsidR="00D24E61" w:rsidRPr="00771368" w:rsidRDefault="00D24E61">
            <w:pPr>
              <w:rPr>
                <w:sz w:val="24"/>
                <w:szCs w:val="24"/>
              </w:rPr>
            </w:pPr>
          </w:p>
        </w:tc>
        <w:tc>
          <w:tcPr>
            <w:tcW w:w="720" w:type="dxa"/>
            <w:vAlign w:val="bottom"/>
          </w:tcPr>
          <w:p w:rsidR="00D24E61" w:rsidRPr="00771368" w:rsidRDefault="00D24E61">
            <w:pPr>
              <w:rPr>
                <w:sz w:val="24"/>
                <w:szCs w:val="24"/>
              </w:rPr>
            </w:pPr>
          </w:p>
        </w:tc>
      </w:tr>
    </w:tbl>
    <w:p w:rsidR="00D24E61" w:rsidRPr="00771368" w:rsidRDefault="00013211">
      <w:pPr>
        <w:spacing w:line="14" w:lineRule="exact"/>
        <w:rPr>
          <w:sz w:val="20"/>
          <w:szCs w:val="20"/>
        </w:rPr>
      </w:pPr>
      <w:r>
        <w:rPr>
          <w:noProof/>
          <w:sz w:val="20"/>
          <w:szCs w:val="20"/>
        </w:rPr>
        <mc:AlternateContent>
          <mc:Choice Requires="wps">
            <w:drawing>
              <wp:anchor distT="0" distB="0" distL="0" distR="0" simplePos="0" relativeHeight="251696640" behindDoc="0" locked="0" layoutInCell="0" allowOverlap="1">
                <wp:simplePos x="0" y="0"/>
                <wp:positionH relativeFrom="column">
                  <wp:posOffset>-1905</wp:posOffset>
                </wp:positionH>
                <wp:positionV relativeFrom="paragraph">
                  <wp:posOffset>7620</wp:posOffset>
                </wp:positionV>
                <wp:extent cx="6041390" cy="0"/>
                <wp:effectExtent l="7620" t="7620" r="8890" b="11430"/>
                <wp:wrapNone/>
                <wp:docPr id="23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1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9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6pt" to="475.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zjFgIAAC0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" o:allowincell="f" strokeweight="1pt"/>
            </w:pict>
          </mc:Fallback>
        </mc:AlternateContent>
      </w:r>
    </w:p>
    <w:p w:rsidR="00D24E61" w:rsidRPr="00771368" w:rsidRDefault="00D24E61">
      <w:pPr>
        <w:spacing w:line="239" w:lineRule="auto"/>
        <w:ind w:left="820"/>
        <w:rPr>
          <w:sz w:val="20"/>
          <w:szCs w:val="20"/>
        </w:rPr>
      </w:pPr>
      <w:r w:rsidRPr="00771368">
        <w:rPr>
          <w:sz w:val="20"/>
          <w:szCs w:val="20"/>
        </w:rPr>
        <w:t>Tabela 02 – Relatório de Gestão da Assistência Social do município de Lagarto/SE em 2012.</w:t>
      </w:r>
    </w:p>
    <w:p w:rsidR="00D24E61" w:rsidRPr="00771368" w:rsidRDefault="00D24E61">
      <w:pPr>
        <w:spacing w:line="200" w:lineRule="exact"/>
        <w:rPr>
          <w:sz w:val="20"/>
          <w:szCs w:val="20"/>
        </w:rPr>
      </w:pPr>
    </w:p>
    <w:p w:rsidR="00D24E61" w:rsidRPr="00771368" w:rsidRDefault="00D24E61">
      <w:pPr>
        <w:spacing w:line="391" w:lineRule="exact"/>
        <w:rPr>
          <w:sz w:val="20"/>
          <w:szCs w:val="20"/>
        </w:rPr>
      </w:pPr>
    </w:p>
    <w:p w:rsidR="00D24E61" w:rsidRPr="00771368" w:rsidRDefault="00D24E61">
      <w:pPr>
        <w:spacing w:line="341" w:lineRule="auto"/>
        <w:ind w:left="120" w:right="340" w:firstLine="708"/>
        <w:jc w:val="both"/>
        <w:rPr>
          <w:sz w:val="20"/>
          <w:szCs w:val="20"/>
        </w:rPr>
      </w:pPr>
      <w:r w:rsidRPr="00771368">
        <w:rPr>
          <w:sz w:val="24"/>
          <w:szCs w:val="24"/>
        </w:rPr>
        <w:t>Ao observar os números da Tabela 01 e compará-los com os números obtidos no conselho tutelar referentes ao ano de 2011, podemos considerar que existe um desencontro de informações entre o órgão gestor dos atendimentos referendados às meninas e meninos em situação de violência e podemos deduzir assim, uma fragilidade da rede de serviços e a pior constatação é que um número importante das situações denunciadas não foram devidamente assistidos/as, legando aos violados uma situação de maior vitimização. Os números da Tabela 02 referem-se ao Relatório de Gestão da Assistência Social 2012 e não foi possível obter dados do conselho tutelar do ano de 2012, pois os dados ainda não tinham sido sistematizados e a falta do SIPIA</w:t>
      </w:r>
      <w:r w:rsidRPr="00771368">
        <w:rPr>
          <w:sz w:val="32"/>
          <w:szCs w:val="32"/>
          <w:vertAlign w:val="superscript"/>
        </w:rPr>
        <w:t>5</w:t>
      </w:r>
      <w:r w:rsidRPr="00771368">
        <w:rPr>
          <w:sz w:val="24"/>
          <w:szCs w:val="24"/>
        </w:rPr>
        <w:t xml:space="preserve"> prejudica esse processo.</w:t>
      </w:r>
    </w:p>
    <w:p w:rsidR="00D24E61" w:rsidRPr="00771368" w:rsidRDefault="00D24E61">
      <w:pPr>
        <w:spacing w:line="200" w:lineRule="exact"/>
        <w:rPr>
          <w:sz w:val="20"/>
          <w:szCs w:val="20"/>
        </w:rPr>
      </w:pPr>
    </w:p>
    <w:p w:rsidR="00D24E61" w:rsidRPr="00771368" w:rsidRDefault="00D24E61">
      <w:pPr>
        <w:spacing w:line="281" w:lineRule="exact"/>
        <w:rPr>
          <w:sz w:val="20"/>
          <w:szCs w:val="20"/>
        </w:rPr>
      </w:pPr>
    </w:p>
    <w:p w:rsidR="00D24E61" w:rsidRPr="00771368" w:rsidRDefault="00D24E61">
      <w:pPr>
        <w:spacing w:line="350" w:lineRule="auto"/>
        <w:ind w:left="120" w:right="340" w:firstLine="708"/>
        <w:jc w:val="both"/>
        <w:rPr>
          <w:sz w:val="20"/>
          <w:szCs w:val="20"/>
        </w:rPr>
      </w:pPr>
      <w:r w:rsidRPr="00771368">
        <w:rPr>
          <w:sz w:val="24"/>
          <w:szCs w:val="24"/>
        </w:rPr>
        <w:t>De toda forma, os números cedidos estão bem aquém da realidade do município, que como os demais municípios brasileiros estão sendo bombardeados pelos agravantes da intensificação das drogas e com elas a violência. A estrutura de serviços na área da assistência social para atender os munícipes atualmente é composta por 03 Centros de Referência da Assistência Social (CRAS), 01 Centro de Referência Especializada (CREAS), 01 Centro de Idosos e 01 Abrigo para crianças e Adolescentes e 01 Conselho</w:t>
      </w:r>
    </w:p>
    <w:p w:rsidR="00D24E61" w:rsidRPr="00771368" w:rsidRDefault="00D24E61">
      <w:pPr>
        <w:spacing w:line="245" w:lineRule="exact"/>
        <w:rPr>
          <w:sz w:val="20"/>
          <w:szCs w:val="20"/>
        </w:rPr>
      </w:pPr>
      <w:r w:rsidRPr="00771368">
        <w:rPr>
          <w:noProof/>
          <w:sz w:val="20"/>
          <w:szCs w:val="20"/>
        </w:rPr>
        <w:drawing>
          <wp:anchor distT="0" distB="0" distL="114300" distR="114300" simplePos="0" relativeHeight="251685888" behindDoc="1" locked="0" layoutInCell="0" allowOverlap="1">
            <wp:simplePos x="0" y="0"/>
            <wp:positionH relativeFrom="column">
              <wp:posOffset>59690</wp:posOffset>
            </wp:positionH>
            <wp:positionV relativeFrom="paragraph">
              <wp:posOffset>118110</wp:posOffset>
            </wp:positionV>
            <wp:extent cx="5844540" cy="16510"/>
            <wp:effectExtent l="0" t="0" r="0" b="0"/>
            <wp:wrapNone/>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5" cstate="print">
                      <a:extLst/>
                    </a:blip>
                    <a:srcRect/>
                    <a:stretch>
                      <a:fillRect/>
                    </a:stretch>
                  </pic:blipFill>
                  <pic:spPr bwMode="auto">
                    <a:xfrm>
                      <a:off x="0" y="0"/>
                      <a:ext cx="5844540" cy="16510"/>
                    </a:xfrm>
                    <a:prstGeom prst="rect">
                      <a:avLst/>
                    </a:prstGeom>
                    <a:noFill/>
                  </pic:spPr>
                </pic:pic>
              </a:graphicData>
            </a:graphic>
          </wp:anchor>
        </w:drawing>
      </w:r>
    </w:p>
    <w:p w:rsidR="00D24E61" w:rsidRPr="00771368" w:rsidRDefault="00D24E61">
      <w:pPr>
        <w:ind w:left="120" w:right="340"/>
        <w:jc w:val="both"/>
        <w:rPr>
          <w:sz w:val="20"/>
          <w:szCs w:val="20"/>
        </w:rPr>
      </w:pPr>
      <w:r w:rsidRPr="00771368">
        <w:rPr>
          <w:sz w:val="26"/>
          <w:szCs w:val="26"/>
          <w:vertAlign w:val="superscript"/>
        </w:rPr>
        <w:t>5</w:t>
      </w:r>
      <w:r w:rsidRPr="00771368">
        <w:rPr>
          <w:sz w:val="20"/>
          <w:szCs w:val="20"/>
        </w:rPr>
        <w:t xml:space="preserve"> Conforme Mendes e Matos (2004), uma das dificuldades encontradas pelo conselho tutelar é a ausência de diagnóstico da situação de atendimento à infância e a adolescência. Com vistas à elaboração de diagnóstico, o extinto Centro Brasileiro para a Infância e a Adolescência (CBIA) criou, em 1991, o Sistema de Informação para a Infância e Adolescência (SIPIA), que se baseia no atendimento diário dos conselhos tutelares e tem como objetivo fornecer aos conselhos de direitos e às administrações municipais dados sobre a situação das crianças e adolescentes nos municípios, a fim de subsidiar a elaboração de políticas públicas.</w:t>
      </w:r>
    </w:p>
    <w:p w:rsidR="00D24E61" w:rsidRPr="00771368" w:rsidRDefault="00D24E61">
      <w:pPr>
        <w:sectPr w:rsidR="00D24E61" w:rsidRPr="00771368">
          <w:pgSz w:w="11900" w:h="16836"/>
          <w:pgMar w:top="1432" w:right="1080" w:bottom="1440" w:left="1300" w:header="0" w:footer="0" w:gutter="0"/>
          <w:cols w:space="720" w:equalWidth="0">
            <w:col w:w="9520"/>
          </w:cols>
        </w:sectPr>
      </w:pPr>
    </w:p>
    <w:p w:rsidR="00D24E61" w:rsidRPr="00771368" w:rsidRDefault="00D24E61">
      <w:pPr>
        <w:spacing w:line="29" w:lineRule="exact"/>
        <w:rPr>
          <w:sz w:val="20"/>
          <w:szCs w:val="20"/>
        </w:rPr>
      </w:pPr>
    </w:p>
    <w:p w:rsidR="00D24E61" w:rsidRPr="00771368" w:rsidRDefault="00D24E61">
      <w:pPr>
        <w:spacing w:line="334" w:lineRule="auto"/>
        <w:rPr>
          <w:sz w:val="20"/>
          <w:szCs w:val="20"/>
        </w:rPr>
      </w:pPr>
      <w:r w:rsidRPr="00771368">
        <w:rPr>
          <w:sz w:val="24"/>
          <w:szCs w:val="24"/>
        </w:rPr>
        <w:t>Tutelar que vincula-se administrativamente a Secretaria Municipal de Desenvolvimento Social e do Trabalho, esses órgãos atendem a sede do município e seus quase 100 povoados, zona rural, onde residem 48,46% da população.</w:t>
      </w:r>
    </w:p>
    <w:p w:rsidR="00D24E61" w:rsidRPr="00771368" w:rsidRDefault="00D24E61">
      <w:pPr>
        <w:spacing w:line="92" w:lineRule="exact"/>
        <w:rPr>
          <w:sz w:val="20"/>
          <w:szCs w:val="20"/>
        </w:rPr>
      </w:pPr>
    </w:p>
    <w:p w:rsidR="00D24E61" w:rsidRPr="00771368" w:rsidRDefault="00D24E61">
      <w:pPr>
        <w:spacing w:line="307" w:lineRule="auto"/>
        <w:ind w:firstLine="708"/>
        <w:rPr>
          <w:sz w:val="20"/>
          <w:szCs w:val="20"/>
        </w:rPr>
      </w:pPr>
      <w:r w:rsidRPr="00771368">
        <w:rPr>
          <w:sz w:val="24"/>
          <w:szCs w:val="24"/>
        </w:rPr>
        <w:t>Consoante Molaib (2006), configuram-se situações de risco pessoal e ou social na infância e adolescência, casos de:</w:t>
      </w:r>
    </w:p>
    <w:p w:rsidR="00D24E61" w:rsidRPr="00771368" w:rsidRDefault="00D24E61">
      <w:pPr>
        <w:spacing w:line="64" w:lineRule="exact"/>
        <w:rPr>
          <w:sz w:val="20"/>
          <w:szCs w:val="20"/>
        </w:rPr>
      </w:pPr>
    </w:p>
    <w:p w:rsidR="00D24E61" w:rsidRPr="00771368" w:rsidRDefault="00D24E61" w:rsidP="00D24E61">
      <w:pPr>
        <w:numPr>
          <w:ilvl w:val="0"/>
          <w:numId w:val="3"/>
        </w:numPr>
        <w:tabs>
          <w:tab w:val="left" w:pos="720"/>
        </w:tabs>
        <w:ind w:left="720" w:hanging="504"/>
        <w:jc w:val="both"/>
        <w:rPr>
          <w:sz w:val="24"/>
          <w:szCs w:val="24"/>
        </w:rPr>
      </w:pPr>
      <w:r w:rsidRPr="00771368">
        <w:rPr>
          <w:sz w:val="24"/>
          <w:szCs w:val="24"/>
        </w:rPr>
        <w:t>Abandono e negligência;</w:t>
      </w:r>
    </w:p>
    <w:p w:rsidR="00D24E61" w:rsidRPr="00771368" w:rsidRDefault="00D24E61">
      <w:pPr>
        <w:spacing w:line="194" w:lineRule="exact"/>
        <w:rPr>
          <w:sz w:val="20"/>
          <w:szCs w:val="20"/>
        </w:rPr>
      </w:pPr>
    </w:p>
    <w:p w:rsidR="00D24E61" w:rsidRPr="00771368" w:rsidRDefault="00D24E61" w:rsidP="00FA0ABA">
      <w:pPr>
        <w:numPr>
          <w:ilvl w:val="0"/>
          <w:numId w:val="44"/>
        </w:numPr>
        <w:tabs>
          <w:tab w:val="left" w:pos="720"/>
        </w:tabs>
        <w:spacing w:line="311" w:lineRule="auto"/>
        <w:ind w:left="60" w:right="3580" w:firstLine="76"/>
        <w:jc w:val="both"/>
        <w:rPr>
          <w:sz w:val="24"/>
          <w:szCs w:val="24"/>
        </w:rPr>
      </w:pPr>
      <w:r w:rsidRPr="00771368">
        <w:rPr>
          <w:sz w:val="24"/>
          <w:szCs w:val="24"/>
        </w:rPr>
        <w:t>Abuso e maus-tratos na família e nas instituições; III. Exploração e abuso sexual;</w:t>
      </w:r>
    </w:p>
    <w:p w:rsidR="00D24E61" w:rsidRPr="00771368" w:rsidRDefault="00D24E61">
      <w:pPr>
        <w:spacing w:line="55" w:lineRule="exact"/>
        <w:rPr>
          <w:sz w:val="20"/>
          <w:szCs w:val="20"/>
        </w:rPr>
      </w:pPr>
    </w:p>
    <w:p w:rsidR="00D24E61" w:rsidRPr="00771368" w:rsidRDefault="00D24E61">
      <w:pPr>
        <w:tabs>
          <w:tab w:val="left" w:pos="700"/>
        </w:tabs>
        <w:ind w:left="40"/>
        <w:rPr>
          <w:sz w:val="20"/>
          <w:szCs w:val="20"/>
        </w:rPr>
      </w:pPr>
      <w:r w:rsidRPr="00771368">
        <w:rPr>
          <w:sz w:val="24"/>
          <w:szCs w:val="24"/>
        </w:rPr>
        <w:t>IV.</w:t>
      </w:r>
      <w:r w:rsidRPr="00771368">
        <w:rPr>
          <w:sz w:val="20"/>
          <w:szCs w:val="20"/>
        </w:rPr>
        <w:tab/>
      </w:r>
      <w:r w:rsidRPr="00771368">
        <w:rPr>
          <w:sz w:val="24"/>
          <w:szCs w:val="24"/>
        </w:rPr>
        <w:t>Trabalho abusivo e explorador;</w:t>
      </w:r>
    </w:p>
    <w:p w:rsidR="00D24E61" w:rsidRPr="00771368" w:rsidRDefault="00D24E61">
      <w:pPr>
        <w:spacing w:line="140" w:lineRule="exact"/>
        <w:rPr>
          <w:sz w:val="20"/>
          <w:szCs w:val="20"/>
        </w:rPr>
      </w:pPr>
    </w:p>
    <w:p w:rsidR="00D24E61" w:rsidRPr="00771368" w:rsidRDefault="00D24E61" w:rsidP="00FA0ABA">
      <w:pPr>
        <w:numPr>
          <w:ilvl w:val="0"/>
          <w:numId w:val="45"/>
        </w:numPr>
        <w:tabs>
          <w:tab w:val="left" w:pos="720"/>
        </w:tabs>
        <w:ind w:left="720" w:hanging="595"/>
        <w:jc w:val="both"/>
        <w:rPr>
          <w:sz w:val="24"/>
          <w:szCs w:val="24"/>
        </w:rPr>
      </w:pPr>
      <w:r w:rsidRPr="00771368">
        <w:rPr>
          <w:sz w:val="24"/>
          <w:szCs w:val="24"/>
        </w:rPr>
        <w:t>Tráfico de crianças e adolescentes;</w:t>
      </w:r>
    </w:p>
    <w:p w:rsidR="00D24E61" w:rsidRPr="00771368" w:rsidRDefault="00D24E61">
      <w:pPr>
        <w:spacing w:line="137" w:lineRule="exact"/>
        <w:rPr>
          <w:sz w:val="20"/>
          <w:szCs w:val="20"/>
        </w:rPr>
      </w:pPr>
    </w:p>
    <w:p w:rsidR="00D24E61" w:rsidRPr="00771368" w:rsidRDefault="00D24E61">
      <w:pPr>
        <w:tabs>
          <w:tab w:val="left" w:pos="700"/>
        </w:tabs>
        <w:ind w:left="40"/>
        <w:rPr>
          <w:sz w:val="20"/>
          <w:szCs w:val="20"/>
        </w:rPr>
      </w:pPr>
      <w:r w:rsidRPr="00771368">
        <w:rPr>
          <w:sz w:val="24"/>
          <w:szCs w:val="24"/>
        </w:rPr>
        <w:t>VI.</w:t>
      </w:r>
      <w:r w:rsidRPr="00771368">
        <w:rPr>
          <w:sz w:val="20"/>
          <w:szCs w:val="20"/>
        </w:rPr>
        <w:tab/>
      </w:r>
      <w:r w:rsidRPr="00771368">
        <w:rPr>
          <w:sz w:val="24"/>
          <w:szCs w:val="24"/>
        </w:rPr>
        <w:t>Uso e tráfico de drogas; conflito com a lei.</w:t>
      </w:r>
    </w:p>
    <w:p w:rsidR="00D24E61" w:rsidRPr="00771368" w:rsidRDefault="00D24E61">
      <w:pPr>
        <w:spacing w:line="198" w:lineRule="exact"/>
        <w:rPr>
          <w:sz w:val="20"/>
          <w:szCs w:val="20"/>
        </w:rPr>
      </w:pPr>
    </w:p>
    <w:p w:rsidR="00D24E61" w:rsidRPr="00771368" w:rsidRDefault="00D24E61">
      <w:pPr>
        <w:spacing w:line="342" w:lineRule="auto"/>
        <w:ind w:firstLine="708"/>
        <w:jc w:val="both"/>
        <w:rPr>
          <w:sz w:val="20"/>
          <w:szCs w:val="20"/>
        </w:rPr>
      </w:pPr>
      <w:r w:rsidRPr="00771368">
        <w:rPr>
          <w:sz w:val="24"/>
          <w:szCs w:val="24"/>
        </w:rPr>
        <w:t>Em todos estes casos, a legislação brasileira visando assegurar proteção integral à infância e adolescência estabelece normas a serem seguidas. Segundo Molaib (2006), o abandono e a negligência consubstanciam-se na falta de assistência de pais ou responsáveis quanto a segurança, educação, saúde e formação moral.</w:t>
      </w:r>
    </w:p>
    <w:p w:rsidR="00D24E61" w:rsidRPr="00771368" w:rsidRDefault="00D24E61">
      <w:pPr>
        <w:spacing w:line="200" w:lineRule="exact"/>
        <w:rPr>
          <w:sz w:val="20"/>
          <w:szCs w:val="20"/>
        </w:rPr>
      </w:pPr>
    </w:p>
    <w:p w:rsidR="00D24E61" w:rsidRPr="00771368" w:rsidRDefault="00D24E61">
      <w:pPr>
        <w:spacing w:line="291" w:lineRule="exact"/>
        <w:rPr>
          <w:sz w:val="20"/>
          <w:szCs w:val="20"/>
        </w:rPr>
      </w:pPr>
    </w:p>
    <w:p w:rsidR="00D24E61" w:rsidRPr="00771368" w:rsidRDefault="00D24E61">
      <w:pPr>
        <w:spacing w:line="227" w:lineRule="auto"/>
        <w:ind w:left="2260"/>
        <w:jc w:val="both"/>
        <w:rPr>
          <w:sz w:val="20"/>
          <w:szCs w:val="20"/>
        </w:rPr>
      </w:pPr>
      <w:r w:rsidRPr="00771368">
        <w:t>A violência doméstica ocorre em todas as classes sociais, embora seja mais visível nas classes menos favorecidas. Muitos são os casos que chegam aos hospitais de crianças vitimas de violência física e sexual perpetrada pelos próprios familiares (MOLAIB, 2006).</w:t>
      </w:r>
    </w:p>
    <w:p w:rsidR="00D24E61" w:rsidRPr="00771368" w:rsidRDefault="00D24E61">
      <w:pPr>
        <w:spacing w:line="200" w:lineRule="exact"/>
        <w:rPr>
          <w:sz w:val="20"/>
          <w:szCs w:val="20"/>
        </w:rPr>
      </w:pPr>
    </w:p>
    <w:p w:rsidR="00D24E61" w:rsidRPr="00771368" w:rsidRDefault="00D24E61">
      <w:pPr>
        <w:spacing w:line="240" w:lineRule="exact"/>
        <w:rPr>
          <w:sz w:val="20"/>
          <w:szCs w:val="20"/>
        </w:rPr>
      </w:pPr>
    </w:p>
    <w:p w:rsidR="00D24E61" w:rsidRPr="00771368" w:rsidRDefault="00D24E61">
      <w:pPr>
        <w:spacing w:line="343" w:lineRule="auto"/>
        <w:ind w:firstLine="708"/>
        <w:jc w:val="both"/>
        <w:rPr>
          <w:sz w:val="20"/>
          <w:szCs w:val="20"/>
        </w:rPr>
      </w:pPr>
      <w:r w:rsidRPr="00771368">
        <w:rPr>
          <w:sz w:val="24"/>
          <w:szCs w:val="24"/>
        </w:rPr>
        <w:t>É para esse público que deve se voltar, primordialmente, a atuação da política de atendimento destacada no ECA e cabe ao Conselho de Direitos controlar, fiscalizar as políticas públicas em todos os níveis da federação, assegurando a promoção de medidas de combate à violação dos direitos infanto-juvenis.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3" w:lineRule="exact"/>
        <w:rPr>
          <w:sz w:val="20"/>
          <w:szCs w:val="20"/>
        </w:rPr>
      </w:pPr>
    </w:p>
    <w:p w:rsidR="00D24E61" w:rsidRPr="00771368" w:rsidRDefault="00D24E61">
      <w:pPr>
        <w:rPr>
          <w:sz w:val="20"/>
          <w:szCs w:val="20"/>
        </w:rPr>
      </w:pPr>
      <w:r w:rsidRPr="00771368">
        <w:rPr>
          <w:b/>
          <w:bCs/>
          <w:sz w:val="24"/>
          <w:szCs w:val="24"/>
        </w:rPr>
        <w:t>CONSIDERAÇÕES FINAIS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3"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 elaboração e implementação de políticas públicas com recorte de gênero ainda é um desafio, pois, os discursos e as práticas permanecem distantes na realidade. Além disso, a falta de diagnósticos e de um olhar sensível, quiçá, crítico, para perceber as nuances da violência de gênero, faz com que diversos casos “passem batido”, como diz a linguagem popular.</w:t>
      </w:r>
    </w:p>
    <w:p w:rsidR="00D24E61" w:rsidRPr="00771368" w:rsidRDefault="00D24E61">
      <w:pPr>
        <w:sectPr w:rsidR="00D24E61" w:rsidRPr="00771368">
          <w:pgSz w:w="11900" w:h="16836"/>
          <w:pgMar w:top="144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34" w:lineRule="auto"/>
        <w:ind w:firstLine="708"/>
        <w:jc w:val="both"/>
        <w:rPr>
          <w:sz w:val="20"/>
          <w:szCs w:val="20"/>
        </w:rPr>
      </w:pPr>
      <w:r w:rsidRPr="00771368">
        <w:rPr>
          <w:sz w:val="24"/>
          <w:szCs w:val="24"/>
        </w:rPr>
        <w:t>Ter como objeto de pesquisa situações de violência, é demasiadamente penoso, contudo, como enfrentar o problema sem conhecê -lo, sem o necessário envolvimento? Eis ai a chave, quem sabe, uma possibilidade a ser proposta: envolvimento.</w:t>
      </w:r>
    </w:p>
    <w:p w:rsidR="00D24E61" w:rsidRPr="00771368" w:rsidRDefault="00D24E61">
      <w:pPr>
        <w:spacing w:line="92" w:lineRule="exact"/>
        <w:rPr>
          <w:sz w:val="20"/>
          <w:szCs w:val="20"/>
        </w:rPr>
      </w:pPr>
    </w:p>
    <w:p w:rsidR="00D24E61" w:rsidRPr="00771368" w:rsidRDefault="00D24E61">
      <w:pPr>
        <w:spacing w:line="349" w:lineRule="auto"/>
        <w:ind w:firstLine="708"/>
        <w:jc w:val="both"/>
        <w:rPr>
          <w:sz w:val="20"/>
          <w:szCs w:val="20"/>
        </w:rPr>
      </w:pPr>
      <w:r w:rsidRPr="00771368">
        <w:rPr>
          <w:sz w:val="24"/>
          <w:szCs w:val="24"/>
        </w:rPr>
        <w:t>As questões da infância e da juventude clamam por um interesse real e por uma corrente de esforços formada pelo envolvimento dos diversos sujeitos sociais. Talvez, ao considerar essa chamada ao envolvimento de todos, alguns achem que não há necessidade de tanto alarde. Alarde é o que precisamos! Num contexto de silêncio, conivência, omissão e propagação da violência contra meninas, fazem -se urgente sim, denunciar, responsabilizar, envolver-se.</w:t>
      </w:r>
    </w:p>
    <w:p w:rsidR="00D24E61" w:rsidRPr="00771368" w:rsidRDefault="00D24E61">
      <w:pPr>
        <w:spacing w:line="77" w:lineRule="exact"/>
        <w:rPr>
          <w:sz w:val="20"/>
          <w:szCs w:val="20"/>
        </w:rPr>
      </w:pPr>
    </w:p>
    <w:p w:rsidR="00D24E61" w:rsidRPr="00771368" w:rsidRDefault="00D24E61">
      <w:pPr>
        <w:spacing w:line="351" w:lineRule="auto"/>
        <w:ind w:firstLine="708"/>
        <w:jc w:val="both"/>
        <w:rPr>
          <w:sz w:val="20"/>
          <w:szCs w:val="20"/>
        </w:rPr>
      </w:pPr>
      <w:r w:rsidRPr="00771368">
        <w:rPr>
          <w:sz w:val="24"/>
          <w:szCs w:val="24"/>
        </w:rPr>
        <w:t>A família é a matriz para onde convergem as ações da Politica Nacional de Assistência Social, no entanto, é relevante que as ações contemplem as totalidades inseridas no mesmo espaço, dito familiar. Embora tida como lugar ideal para o aconchego, proteção e desenvolvimento de redes de solidariedade, é na família também, que nascem, crescem e desenvolvem-se as mais diversas formas de violência. Logo, é importante fortalecer a família para que nela sejam criados os mecanismos necessários ao combate à violência doméstica e de gênero.</w:t>
      </w:r>
    </w:p>
    <w:p w:rsidR="00D24E61" w:rsidRPr="00771368" w:rsidRDefault="00D24E61">
      <w:pPr>
        <w:spacing w:line="72" w:lineRule="exact"/>
        <w:rPr>
          <w:sz w:val="20"/>
          <w:szCs w:val="20"/>
        </w:rPr>
      </w:pPr>
    </w:p>
    <w:p w:rsidR="00D24E61" w:rsidRPr="00771368" w:rsidRDefault="00D24E61">
      <w:pPr>
        <w:spacing w:line="355" w:lineRule="auto"/>
        <w:ind w:firstLine="708"/>
        <w:jc w:val="both"/>
        <w:rPr>
          <w:sz w:val="20"/>
          <w:szCs w:val="20"/>
        </w:rPr>
      </w:pPr>
      <w:r w:rsidRPr="00771368">
        <w:rPr>
          <w:sz w:val="24"/>
          <w:szCs w:val="24"/>
        </w:rPr>
        <w:t>Fato, é que só laços consanguíneos não são suficientes para proteger os entes familiares, em especial as meninas. Ao Estado, com todo seu aparato compete criar os meios que garantam igualdade, equidade, universalidade de acesso aos bens socialmente produzidos para homens e mulheres, meninos e meninas. Não se pode perder de vista o principio da prioridade absoluta, pois a infância e a adolescência são etapas muito peculiares do desenvolvimento humano, por isso, as violações dos direitos têm um impacto tão profundo e comprometedor para o desenvolvimento da sociabilidade e personalidade.</w:t>
      </w:r>
    </w:p>
    <w:p w:rsidR="00D24E61" w:rsidRPr="00771368" w:rsidRDefault="00D24E61">
      <w:pPr>
        <w:spacing w:line="200" w:lineRule="exact"/>
        <w:rPr>
          <w:sz w:val="20"/>
          <w:szCs w:val="20"/>
        </w:rPr>
      </w:pPr>
    </w:p>
    <w:p w:rsidR="00D24E61" w:rsidRPr="00771368" w:rsidRDefault="00D24E61">
      <w:pPr>
        <w:spacing w:line="255" w:lineRule="exact"/>
        <w:rPr>
          <w:sz w:val="20"/>
          <w:szCs w:val="20"/>
        </w:rPr>
      </w:pPr>
    </w:p>
    <w:p w:rsidR="00D24E61" w:rsidRPr="00771368" w:rsidRDefault="00D24E61">
      <w:pPr>
        <w:spacing w:line="354" w:lineRule="auto"/>
        <w:ind w:firstLine="708"/>
        <w:jc w:val="both"/>
        <w:rPr>
          <w:sz w:val="20"/>
          <w:szCs w:val="20"/>
        </w:rPr>
      </w:pPr>
      <w:r w:rsidRPr="00771368">
        <w:rPr>
          <w:sz w:val="24"/>
          <w:szCs w:val="24"/>
        </w:rPr>
        <w:t>Melhor seria poder apenas dar sugestões, mas para tal é preciso elencar problemas diagnosticados durante a pesquisa que massificam as práticas violentas, a exemplo dos preconceitos e discriminações arraigados na cultura local, sucateamento dos órgãos e instituições que atendem a criança e o adolescente, a desarticulação da rede a falta de uma politica de atendimento especifica, com programas e projetos municipais (o que temos são serviços federais, verticalizados, que não contemplam a integralidade regional) e o desinteresse dos Poderes Executivos em fazer o atendimento dos pressupostos do ECA tornarem-se realidade. São essas algumas das situações encontradas e que por si só se fossem mudadas já nos aproximariam da efetivação do Paradigma da Proteção Integral e o enfrentamento da violência contra as meninas.</w:t>
      </w:r>
    </w:p>
    <w:p w:rsidR="00D24E61" w:rsidRPr="00771368" w:rsidRDefault="00D24E61">
      <w:pPr>
        <w:sectPr w:rsidR="00D24E61" w:rsidRPr="00771368">
          <w:pgSz w:w="11900" w:h="16836"/>
          <w:pgMar w:top="1440" w:right="1420" w:bottom="1082" w:left="1420" w:header="0" w:footer="0" w:gutter="0"/>
          <w:cols w:space="720" w:equalWidth="0">
            <w:col w:w="9060"/>
          </w:cols>
        </w:sectPr>
      </w:pPr>
    </w:p>
    <w:p w:rsidR="00D24E61" w:rsidRPr="00771368" w:rsidRDefault="00D24E61">
      <w:pPr>
        <w:ind w:left="700"/>
        <w:rPr>
          <w:sz w:val="20"/>
          <w:szCs w:val="20"/>
        </w:rPr>
      </w:pPr>
      <w:r w:rsidRPr="00771368">
        <w:rPr>
          <w:sz w:val="24"/>
          <w:szCs w:val="24"/>
        </w:rPr>
        <w:t>As situações de violência aqui expressas por meio da pesquisa bibliográfica e</w:t>
      </w:r>
    </w:p>
    <w:p w:rsidR="00D24E61" w:rsidRPr="00771368" w:rsidRDefault="00D24E61">
      <w:pPr>
        <w:spacing w:line="140" w:lineRule="exact"/>
        <w:rPr>
          <w:sz w:val="20"/>
          <w:szCs w:val="20"/>
        </w:rPr>
      </w:pPr>
    </w:p>
    <w:p w:rsidR="00D24E61" w:rsidRPr="00771368" w:rsidRDefault="00D24E61">
      <w:pPr>
        <w:rPr>
          <w:sz w:val="20"/>
          <w:szCs w:val="20"/>
        </w:rPr>
      </w:pPr>
      <w:r w:rsidRPr="00771368">
        <w:rPr>
          <w:sz w:val="24"/>
          <w:szCs w:val="24"/>
        </w:rPr>
        <w:t>documental  é  apenas  a  ponta  do iceberg das incontáveis agressões cometidas contra</w:t>
      </w:r>
    </w:p>
    <w:p w:rsidR="00D24E61" w:rsidRPr="00771368" w:rsidRDefault="00D24E61">
      <w:pPr>
        <w:spacing w:line="136" w:lineRule="exact"/>
        <w:rPr>
          <w:sz w:val="20"/>
          <w:szCs w:val="20"/>
        </w:rPr>
      </w:pPr>
    </w:p>
    <w:p w:rsidR="00D24E61" w:rsidRPr="00771368" w:rsidRDefault="00D24E61">
      <w:pPr>
        <w:rPr>
          <w:sz w:val="20"/>
          <w:szCs w:val="20"/>
        </w:rPr>
      </w:pPr>
      <w:r w:rsidRPr="00771368">
        <w:rPr>
          <w:sz w:val="24"/>
          <w:szCs w:val="24"/>
        </w:rPr>
        <w:t>crianças e adolescentes em nosso país, em meu município e, no caso específico deste</w:t>
      </w:r>
    </w:p>
    <w:p w:rsidR="00D24E61" w:rsidRPr="00771368" w:rsidRDefault="00D24E61">
      <w:pPr>
        <w:spacing w:line="140" w:lineRule="exact"/>
        <w:rPr>
          <w:sz w:val="20"/>
          <w:szCs w:val="20"/>
        </w:rPr>
      </w:pPr>
    </w:p>
    <w:p w:rsidR="00D24E61" w:rsidRPr="00771368" w:rsidRDefault="00D24E61">
      <w:pPr>
        <w:rPr>
          <w:sz w:val="20"/>
          <w:szCs w:val="20"/>
        </w:rPr>
      </w:pPr>
      <w:r w:rsidRPr="00771368">
        <w:rPr>
          <w:sz w:val="24"/>
          <w:szCs w:val="24"/>
        </w:rPr>
        <w:t>trabalho, contra as meninas.</w:t>
      </w:r>
    </w:p>
    <w:p w:rsidR="00D24E61" w:rsidRPr="00771368" w:rsidRDefault="00D24E61">
      <w:pPr>
        <w:spacing w:line="136" w:lineRule="exact"/>
        <w:rPr>
          <w:sz w:val="20"/>
          <w:szCs w:val="20"/>
        </w:rPr>
      </w:pPr>
    </w:p>
    <w:p w:rsidR="00D24E61" w:rsidRPr="00771368" w:rsidRDefault="00D24E61">
      <w:pPr>
        <w:ind w:left="700"/>
        <w:rPr>
          <w:sz w:val="20"/>
          <w:szCs w:val="20"/>
        </w:rPr>
      </w:pPr>
      <w:r w:rsidRPr="00771368">
        <w:rPr>
          <w:sz w:val="24"/>
          <w:szCs w:val="24"/>
        </w:rPr>
        <w:t>Existem muitos casos não notificados e o número deles depende do tamanho do</w:t>
      </w:r>
    </w:p>
    <w:p w:rsidR="00D24E61" w:rsidRPr="00771368" w:rsidRDefault="00D24E61">
      <w:pPr>
        <w:spacing w:line="140" w:lineRule="exact"/>
        <w:rPr>
          <w:sz w:val="20"/>
          <w:szCs w:val="20"/>
        </w:rPr>
      </w:pPr>
    </w:p>
    <w:p w:rsidR="00D24E61" w:rsidRPr="00771368" w:rsidRDefault="00D24E61">
      <w:pPr>
        <w:rPr>
          <w:sz w:val="20"/>
          <w:szCs w:val="20"/>
        </w:rPr>
      </w:pPr>
      <w:r w:rsidRPr="00771368">
        <w:rPr>
          <w:sz w:val="24"/>
          <w:szCs w:val="24"/>
        </w:rPr>
        <w:t>silêncio do qual muitas vezes participam profissionais, vizinhos, parentes, familiares e</w:t>
      </w:r>
    </w:p>
    <w:p w:rsidR="00D24E61" w:rsidRPr="00771368" w:rsidRDefault="00D24E61">
      <w:pPr>
        <w:spacing w:line="136" w:lineRule="exact"/>
        <w:rPr>
          <w:sz w:val="20"/>
          <w:szCs w:val="20"/>
        </w:rPr>
      </w:pPr>
    </w:p>
    <w:p w:rsidR="00D24E61" w:rsidRPr="00771368" w:rsidRDefault="00D24E61">
      <w:pPr>
        <w:rPr>
          <w:sz w:val="20"/>
          <w:szCs w:val="20"/>
        </w:rPr>
      </w:pPr>
      <w:r w:rsidRPr="00771368">
        <w:rPr>
          <w:sz w:val="24"/>
          <w:szCs w:val="24"/>
        </w:rPr>
        <w:t>até a própria vítima. Por isso, não basta pesquisar apenas a violência doméstica, além de</w:t>
      </w:r>
    </w:p>
    <w:p w:rsidR="00D24E61" w:rsidRPr="00771368" w:rsidRDefault="00D24E61">
      <w:pPr>
        <w:spacing w:line="140" w:lineRule="exact"/>
        <w:rPr>
          <w:sz w:val="20"/>
          <w:szCs w:val="20"/>
        </w:rPr>
      </w:pPr>
    </w:p>
    <w:p w:rsidR="00D24E61" w:rsidRPr="00771368" w:rsidRDefault="00D24E61">
      <w:pPr>
        <w:tabs>
          <w:tab w:val="left" w:pos="940"/>
          <w:tab w:val="left" w:pos="1520"/>
          <w:tab w:val="left" w:pos="2920"/>
          <w:tab w:val="left" w:pos="3260"/>
          <w:tab w:val="left" w:pos="4240"/>
          <w:tab w:val="left" w:pos="5120"/>
          <w:tab w:val="left" w:pos="5560"/>
          <w:tab w:val="left" w:pos="6560"/>
          <w:tab w:val="left" w:pos="6900"/>
          <w:tab w:val="left" w:pos="7960"/>
          <w:tab w:val="left" w:pos="8300"/>
        </w:tabs>
        <w:rPr>
          <w:sz w:val="20"/>
          <w:szCs w:val="20"/>
        </w:rPr>
      </w:pPr>
      <w:r w:rsidRPr="00771368">
        <w:rPr>
          <w:sz w:val="24"/>
          <w:szCs w:val="24"/>
        </w:rPr>
        <w:t>estudar</w:t>
      </w:r>
      <w:r w:rsidRPr="00771368">
        <w:rPr>
          <w:sz w:val="20"/>
          <w:szCs w:val="20"/>
        </w:rPr>
        <w:tab/>
      </w:r>
      <w:r w:rsidRPr="00771368">
        <w:rPr>
          <w:sz w:val="24"/>
          <w:szCs w:val="24"/>
        </w:rPr>
        <w:t>sua</w:t>
      </w:r>
      <w:r w:rsidRPr="00771368">
        <w:rPr>
          <w:sz w:val="20"/>
          <w:szCs w:val="20"/>
        </w:rPr>
        <w:tab/>
      </w:r>
      <w:r w:rsidRPr="00771368">
        <w:rPr>
          <w:sz w:val="24"/>
          <w:szCs w:val="24"/>
        </w:rPr>
        <w:t>prevalência</w:t>
      </w:r>
      <w:r w:rsidRPr="00771368">
        <w:rPr>
          <w:sz w:val="20"/>
          <w:szCs w:val="20"/>
        </w:rPr>
        <w:tab/>
      </w:r>
      <w:r w:rsidRPr="00771368">
        <w:rPr>
          <w:sz w:val="24"/>
          <w:szCs w:val="24"/>
        </w:rPr>
        <w:t>é</w:t>
      </w:r>
      <w:r w:rsidRPr="00771368">
        <w:rPr>
          <w:sz w:val="20"/>
          <w:szCs w:val="20"/>
        </w:rPr>
        <w:tab/>
      </w:r>
      <w:r w:rsidRPr="00771368">
        <w:rPr>
          <w:sz w:val="24"/>
          <w:szCs w:val="24"/>
        </w:rPr>
        <w:t>preciso</w:t>
      </w:r>
      <w:r w:rsidRPr="00771368">
        <w:rPr>
          <w:sz w:val="20"/>
          <w:szCs w:val="20"/>
        </w:rPr>
        <w:tab/>
      </w:r>
      <w:r w:rsidRPr="00771368">
        <w:rPr>
          <w:sz w:val="24"/>
          <w:szCs w:val="24"/>
        </w:rPr>
        <w:t>erguer</w:t>
      </w:r>
      <w:r w:rsidRPr="00771368">
        <w:rPr>
          <w:sz w:val="20"/>
          <w:szCs w:val="20"/>
        </w:rPr>
        <w:tab/>
      </w:r>
      <w:r w:rsidRPr="00771368">
        <w:rPr>
          <w:sz w:val="24"/>
          <w:szCs w:val="24"/>
        </w:rPr>
        <w:t>as</w:t>
      </w:r>
      <w:r w:rsidRPr="00771368">
        <w:rPr>
          <w:sz w:val="20"/>
          <w:szCs w:val="20"/>
        </w:rPr>
        <w:tab/>
      </w:r>
      <w:r w:rsidRPr="00771368">
        <w:rPr>
          <w:sz w:val="24"/>
          <w:szCs w:val="24"/>
        </w:rPr>
        <w:t>mangas</w:t>
      </w:r>
      <w:r w:rsidRPr="00771368">
        <w:rPr>
          <w:sz w:val="20"/>
          <w:szCs w:val="20"/>
        </w:rPr>
        <w:tab/>
      </w:r>
      <w:r w:rsidRPr="00771368">
        <w:rPr>
          <w:sz w:val="24"/>
          <w:szCs w:val="24"/>
        </w:rPr>
        <w:t>e</w:t>
      </w:r>
      <w:r w:rsidRPr="00771368">
        <w:rPr>
          <w:sz w:val="20"/>
          <w:szCs w:val="20"/>
        </w:rPr>
        <w:tab/>
      </w:r>
      <w:r w:rsidRPr="00771368">
        <w:rPr>
          <w:sz w:val="24"/>
          <w:szCs w:val="24"/>
        </w:rPr>
        <w:t>intervir,</w:t>
      </w:r>
      <w:r w:rsidRPr="00771368">
        <w:rPr>
          <w:sz w:val="20"/>
          <w:szCs w:val="20"/>
        </w:rPr>
        <w:tab/>
      </w:r>
      <w:r w:rsidRPr="00771368">
        <w:rPr>
          <w:sz w:val="24"/>
          <w:szCs w:val="24"/>
        </w:rPr>
        <w:t>é</w:t>
      </w:r>
      <w:r w:rsidRPr="00771368">
        <w:rPr>
          <w:sz w:val="20"/>
          <w:szCs w:val="20"/>
        </w:rPr>
        <w:tab/>
      </w:r>
      <w:r w:rsidRPr="00771368">
        <w:rPr>
          <w:sz w:val="24"/>
          <w:szCs w:val="24"/>
        </w:rPr>
        <w:t>preciso</w:t>
      </w:r>
    </w:p>
    <w:p w:rsidR="00D24E61" w:rsidRPr="00771368" w:rsidRDefault="00D24E61">
      <w:pPr>
        <w:spacing w:line="136" w:lineRule="exact"/>
        <w:rPr>
          <w:sz w:val="20"/>
          <w:szCs w:val="20"/>
        </w:rPr>
      </w:pPr>
    </w:p>
    <w:p w:rsidR="00D24E61" w:rsidRPr="00771368" w:rsidRDefault="00D24E61">
      <w:pPr>
        <w:rPr>
          <w:sz w:val="20"/>
          <w:szCs w:val="20"/>
        </w:rPr>
      </w:pPr>
      <w:r w:rsidRPr="00771368">
        <w:rPr>
          <w:sz w:val="24"/>
          <w:szCs w:val="24"/>
        </w:rPr>
        <w:t>comprometimento de cada um dos sujeitos envolvidos nessa problemática para que essa</w:t>
      </w:r>
    </w:p>
    <w:p w:rsidR="00D24E61" w:rsidRPr="00771368" w:rsidRDefault="00D24E61">
      <w:pPr>
        <w:spacing w:line="140" w:lineRule="exact"/>
        <w:rPr>
          <w:sz w:val="20"/>
          <w:szCs w:val="20"/>
        </w:rPr>
      </w:pPr>
    </w:p>
    <w:p w:rsidR="00D24E61" w:rsidRPr="00771368" w:rsidRDefault="00D24E61">
      <w:pPr>
        <w:rPr>
          <w:sz w:val="20"/>
          <w:szCs w:val="20"/>
        </w:rPr>
      </w:pPr>
      <w:r w:rsidRPr="00771368">
        <w:rPr>
          <w:sz w:val="24"/>
          <w:szCs w:val="24"/>
        </w:rPr>
        <w:t>triste realidade seja de fato e de vez enfrentada.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69" w:lineRule="exact"/>
        <w:rPr>
          <w:sz w:val="20"/>
          <w:szCs w:val="20"/>
        </w:rPr>
      </w:pPr>
    </w:p>
    <w:p w:rsidR="00D24E61" w:rsidRPr="00771368" w:rsidRDefault="00D24E61">
      <w:pPr>
        <w:rPr>
          <w:sz w:val="20"/>
          <w:szCs w:val="20"/>
        </w:rPr>
      </w:pPr>
      <w:r w:rsidRPr="00771368">
        <w:rPr>
          <w:b/>
          <w:bCs/>
          <w:sz w:val="24"/>
          <w:szCs w:val="24"/>
        </w:rPr>
        <w:t>REFERÊNCIAS BIBLIOGRÁFICAS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8" w:lineRule="exact"/>
        <w:rPr>
          <w:sz w:val="20"/>
          <w:szCs w:val="20"/>
        </w:rPr>
      </w:pPr>
    </w:p>
    <w:p w:rsidR="00D24E61" w:rsidRPr="00771368" w:rsidRDefault="00D24E61">
      <w:pPr>
        <w:spacing w:line="214" w:lineRule="auto"/>
        <w:jc w:val="both"/>
        <w:rPr>
          <w:sz w:val="20"/>
          <w:szCs w:val="20"/>
        </w:rPr>
      </w:pPr>
      <w:r w:rsidRPr="00771368">
        <w:rPr>
          <w:sz w:val="24"/>
          <w:szCs w:val="24"/>
        </w:rPr>
        <w:t xml:space="preserve">ACOSTA, Ana Rojas. VITALE, Amalia Faller. </w:t>
      </w:r>
      <w:r w:rsidRPr="00771368">
        <w:rPr>
          <w:b/>
          <w:bCs/>
          <w:sz w:val="24"/>
          <w:szCs w:val="24"/>
        </w:rPr>
        <w:t>Família: Redes, laços e Políticas Públicas</w:t>
      </w:r>
      <w:r w:rsidRPr="00771368">
        <w:rPr>
          <w:sz w:val="24"/>
          <w:szCs w:val="24"/>
        </w:rPr>
        <w:t>. 3ª Ed. Editora Cortez, 2008.</w:t>
      </w:r>
    </w:p>
    <w:p w:rsidR="00D24E61" w:rsidRPr="00771368" w:rsidRDefault="00D24E61">
      <w:pPr>
        <w:spacing w:line="336"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AREND, Silvia Fávero. </w:t>
      </w:r>
      <w:r w:rsidRPr="00771368">
        <w:rPr>
          <w:b/>
          <w:bCs/>
          <w:sz w:val="24"/>
          <w:szCs w:val="24"/>
        </w:rPr>
        <w:t>Meninas. Trabalho, escola, lazer.</w:t>
      </w:r>
      <w:r w:rsidRPr="00771368">
        <w:rPr>
          <w:sz w:val="24"/>
          <w:szCs w:val="24"/>
        </w:rPr>
        <w:t xml:space="preserve"> In: Nova História das Mulheres / organizadoras Carla Bassanezi Pinsky e Joana Maria Pedro – São Paulo: Contexto, 2012. p. 65-83.</w:t>
      </w:r>
    </w:p>
    <w:p w:rsidR="00D24E61" w:rsidRPr="00771368" w:rsidRDefault="00D24E61">
      <w:pPr>
        <w:spacing w:line="335" w:lineRule="exact"/>
        <w:rPr>
          <w:sz w:val="20"/>
          <w:szCs w:val="20"/>
        </w:rPr>
      </w:pPr>
    </w:p>
    <w:p w:rsidR="00D24E61" w:rsidRPr="00771368" w:rsidRDefault="00D24E61">
      <w:pPr>
        <w:spacing w:line="223" w:lineRule="auto"/>
        <w:jc w:val="both"/>
        <w:rPr>
          <w:sz w:val="24"/>
          <w:szCs w:val="24"/>
        </w:rPr>
      </w:pPr>
      <w:r w:rsidRPr="00771368">
        <w:rPr>
          <w:sz w:val="24"/>
          <w:szCs w:val="24"/>
        </w:rPr>
        <w:t xml:space="preserve">AZEVEDO, Maria Amelia, GUERRA, Viviane N. de Azevedo. </w:t>
      </w:r>
      <w:r w:rsidRPr="00771368">
        <w:rPr>
          <w:b/>
          <w:bCs/>
          <w:sz w:val="24"/>
          <w:szCs w:val="24"/>
        </w:rPr>
        <w:t>Violência Doméstica contra</w:t>
      </w:r>
      <w:r w:rsidRPr="00771368">
        <w:rPr>
          <w:sz w:val="24"/>
          <w:szCs w:val="24"/>
        </w:rPr>
        <w:t xml:space="preserve"> </w:t>
      </w:r>
      <w:r w:rsidRPr="00771368">
        <w:rPr>
          <w:b/>
          <w:bCs/>
          <w:sz w:val="24"/>
          <w:szCs w:val="24"/>
        </w:rPr>
        <w:t xml:space="preserve">Crianças e Adolescentes. </w:t>
      </w:r>
      <w:r w:rsidRPr="00771368">
        <w:rPr>
          <w:sz w:val="24"/>
          <w:szCs w:val="24"/>
        </w:rPr>
        <w:t>Um cenário em (des) construção. 1995. Disponível do site:</w:t>
      </w:r>
      <w:r w:rsidRPr="00771368">
        <w:rPr>
          <w:b/>
          <w:bCs/>
          <w:sz w:val="24"/>
          <w:szCs w:val="24"/>
        </w:rPr>
        <w:t xml:space="preserve"> </w:t>
      </w:r>
      <w:hyperlink r:id="rId346">
        <w:r w:rsidRPr="00771368">
          <w:rPr>
            <w:sz w:val="24"/>
            <w:szCs w:val="24"/>
          </w:rPr>
          <w:t xml:space="preserve">http://www.unicef.org/brazil/pt/Cap_01.pdf. </w:t>
        </w:r>
      </w:hyperlink>
      <w:r w:rsidRPr="00771368">
        <w:rPr>
          <w:sz w:val="24"/>
          <w:szCs w:val="24"/>
        </w:rPr>
        <w:t>Acesso em: 09 de maio de 2013.</w:t>
      </w:r>
    </w:p>
    <w:p w:rsidR="00D24E61" w:rsidRPr="00771368" w:rsidRDefault="00D24E61">
      <w:pPr>
        <w:spacing w:line="335"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BOURDIEU, Pierre. </w:t>
      </w:r>
      <w:r w:rsidRPr="00771368">
        <w:rPr>
          <w:b/>
          <w:bCs/>
          <w:sz w:val="24"/>
          <w:szCs w:val="24"/>
        </w:rPr>
        <w:t>A Dominação Masculina</w:t>
      </w:r>
      <w:r w:rsidRPr="00771368">
        <w:rPr>
          <w:sz w:val="24"/>
          <w:szCs w:val="24"/>
        </w:rPr>
        <w:t>. Tradução: Maria Helena Kühner. – 2ª ed. – Rio de Janeiro. Bertrand Brasil, 2002. p. 160.</w:t>
      </w:r>
    </w:p>
    <w:p w:rsidR="00D24E61" w:rsidRPr="00771368" w:rsidRDefault="00D24E61">
      <w:pPr>
        <w:spacing w:line="336"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BRASIL, </w:t>
      </w:r>
      <w:r w:rsidRPr="00771368">
        <w:rPr>
          <w:b/>
          <w:bCs/>
          <w:sz w:val="24"/>
          <w:szCs w:val="24"/>
        </w:rPr>
        <w:t>Constituição da República Federativa do Brasil</w:t>
      </w:r>
      <w:r w:rsidRPr="00771368">
        <w:rPr>
          <w:sz w:val="24"/>
          <w:szCs w:val="24"/>
        </w:rPr>
        <w:t>: Brasília: Senado Federal, Subsecretaria de Edições Técnicas, 2008.</w:t>
      </w:r>
    </w:p>
    <w:p w:rsidR="00D24E61" w:rsidRPr="00771368" w:rsidRDefault="00D24E61">
      <w:pPr>
        <w:spacing w:line="336"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________, </w:t>
      </w:r>
      <w:r w:rsidRPr="00771368">
        <w:rPr>
          <w:b/>
          <w:bCs/>
          <w:sz w:val="24"/>
          <w:szCs w:val="24"/>
        </w:rPr>
        <w:t>Estatuto da Criança e do Adolescente</w:t>
      </w:r>
      <w:r w:rsidRPr="00771368">
        <w:rPr>
          <w:sz w:val="24"/>
          <w:szCs w:val="24"/>
        </w:rPr>
        <w:t>: Lei n. 8.069, de 13 de julho de 1990 – Brasília: Senado Federal, 2006.</w:t>
      </w:r>
    </w:p>
    <w:p w:rsidR="00D24E61" w:rsidRPr="00771368" w:rsidRDefault="00D24E61">
      <w:pPr>
        <w:spacing w:line="336" w:lineRule="exact"/>
        <w:rPr>
          <w:sz w:val="20"/>
          <w:szCs w:val="20"/>
        </w:rPr>
      </w:pPr>
    </w:p>
    <w:p w:rsidR="00D24E61" w:rsidRPr="00771368" w:rsidRDefault="00D24E61">
      <w:pPr>
        <w:spacing w:line="214" w:lineRule="auto"/>
        <w:jc w:val="both"/>
        <w:rPr>
          <w:sz w:val="20"/>
          <w:szCs w:val="20"/>
        </w:rPr>
      </w:pPr>
      <w:r w:rsidRPr="00771368">
        <w:rPr>
          <w:sz w:val="24"/>
          <w:szCs w:val="24"/>
        </w:rPr>
        <w:t xml:space="preserve">________, </w:t>
      </w:r>
      <w:r w:rsidRPr="00771368">
        <w:rPr>
          <w:b/>
          <w:bCs/>
          <w:sz w:val="24"/>
          <w:szCs w:val="24"/>
        </w:rPr>
        <w:t>Lei de Combate a Violência Doméstica</w:t>
      </w:r>
      <w:r w:rsidRPr="00771368">
        <w:rPr>
          <w:sz w:val="24"/>
          <w:szCs w:val="24"/>
        </w:rPr>
        <w:t>: Lei n. 11.340, de 07 de agosto de 2006 – Brasília: Senado Federal.</w:t>
      </w:r>
    </w:p>
    <w:p w:rsidR="00D24E61" w:rsidRPr="00771368" w:rsidRDefault="00D24E61">
      <w:pPr>
        <w:spacing w:line="336"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CORTÊS, Iáris Ramalho. </w:t>
      </w:r>
      <w:r w:rsidRPr="00771368">
        <w:rPr>
          <w:b/>
          <w:bCs/>
          <w:sz w:val="24"/>
          <w:szCs w:val="24"/>
        </w:rPr>
        <w:t>Direito. A trilha legislativa da mulher.</w:t>
      </w:r>
      <w:r w:rsidRPr="00771368">
        <w:rPr>
          <w:sz w:val="24"/>
          <w:szCs w:val="24"/>
        </w:rPr>
        <w:t xml:space="preserve"> In: Nova História das Mulheres / organizadoras Carla Bassanezi Pinsky e Joana Maria Pedro – São Paulo: Contexto, 2012. p. 260-285.</w:t>
      </w:r>
    </w:p>
    <w:p w:rsidR="00D24E61" w:rsidRPr="00771368" w:rsidRDefault="00D24E61">
      <w:pPr>
        <w:spacing w:line="277" w:lineRule="exact"/>
        <w:rPr>
          <w:sz w:val="20"/>
          <w:szCs w:val="20"/>
        </w:rPr>
      </w:pPr>
    </w:p>
    <w:p w:rsidR="00D24E61" w:rsidRPr="00771368" w:rsidRDefault="00D24E61">
      <w:pPr>
        <w:rPr>
          <w:sz w:val="20"/>
          <w:szCs w:val="20"/>
        </w:rPr>
      </w:pPr>
      <w:r w:rsidRPr="00771368">
        <w:rPr>
          <w:b/>
          <w:bCs/>
          <w:sz w:val="24"/>
          <w:szCs w:val="24"/>
        </w:rPr>
        <w:t xml:space="preserve">Diretrizes Nacionais para a Política de Atenção Integral à Infância e a Adolescência </w:t>
      </w:r>
      <w:r w:rsidRPr="00771368">
        <w:rPr>
          <w:sz w:val="24"/>
          <w:szCs w:val="24"/>
        </w:rPr>
        <w:t>–</w:t>
      </w:r>
    </w:p>
    <w:p w:rsidR="00D24E61" w:rsidRPr="00771368" w:rsidRDefault="00D24E61">
      <w:pPr>
        <w:sectPr w:rsidR="00D24E61" w:rsidRPr="00771368">
          <w:pgSz w:w="11900" w:h="16836"/>
          <w:pgMar w:top="1410" w:right="1400" w:bottom="1440" w:left="1420" w:header="0" w:footer="0" w:gutter="0"/>
          <w:cols w:space="720" w:equalWidth="0">
            <w:col w:w="9080"/>
          </w:cols>
        </w:sectPr>
      </w:pPr>
    </w:p>
    <w:p w:rsidR="00D24E61" w:rsidRPr="00771368" w:rsidRDefault="00D24E61">
      <w:pPr>
        <w:rPr>
          <w:sz w:val="20"/>
          <w:szCs w:val="20"/>
        </w:rPr>
      </w:pPr>
      <w:r w:rsidRPr="00771368">
        <w:rPr>
          <w:sz w:val="24"/>
          <w:szCs w:val="24"/>
        </w:rPr>
        <w:t>Secretaria Especial dos Direitos Humanos – Brasília: CONANDA, 2001 – 2005.</w:t>
      </w:r>
    </w:p>
    <w:p w:rsidR="00D24E61" w:rsidRPr="00771368" w:rsidRDefault="00D24E61">
      <w:pPr>
        <w:spacing w:line="276" w:lineRule="exact"/>
        <w:rPr>
          <w:sz w:val="20"/>
          <w:szCs w:val="20"/>
        </w:rPr>
      </w:pPr>
    </w:p>
    <w:p w:rsidR="00D24E61" w:rsidRPr="00771368" w:rsidRDefault="00D24E61">
      <w:pPr>
        <w:rPr>
          <w:sz w:val="24"/>
          <w:szCs w:val="24"/>
        </w:rPr>
      </w:pPr>
      <w:r w:rsidRPr="00771368">
        <w:rPr>
          <w:sz w:val="24"/>
          <w:szCs w:val="24"/>
        </w:rPr>
        <w:t xml:space="preserve">Disponível em: </w:t>
      </w:r>
      <w:hyperlink r:id="rId347">
        <w:r w:rsidRPr="00771368">
          <w:rPr>
            <w:sz w:val="24"/>
            <w:szCs w:val="24"/>
          </w:rPr>
          <w:t xml:space="preserve">www.mds.gov.br. </w:t>
        </w:r>
      </w:hyperlink>
      <w:r w:rsidRPr="00771368">
        <w:rPr>
          <w:sz w:val="24"/>
          <w:szCs w:val="24"/>
        </w:rPr>
        <w:t>Acesso em março/2013.</w:t>
      </w:r>
    </w:p>
    <w:p w:rsidR="00D24E61" w:rsidRPr="00771368" w:rsidRDefault="00D24E61">
      <w:pPr>
        <w:spacing w:line="276" w:lineRule="exact"/>
        <w:rPr>
          <w:sz w:val="20"/>
          <w:szCs w:val="20"/>
        </w:rPr>
      </w:pPr>
    </w:p>
    <w:p w:rsidR="00D24E61" w:rsidRPr="00771368" w:rsidRDefault="00D24E61">
      <w:pPr>
        <w:rPr>
          <w:sz w:val="24"/>
          <w:szCs w:val="24"/>
        </w:rPr>
      </w:pPr>
      <w:r w:rsidRPr="00771368">
        <w:rPr>
          <w:sz w:val="24"/>
          <w:szCs w:val="24"/>
        </w:rPr>
        <w:t xml:space="preserve">Disponível em: </w:t>
      </w:r>
      <w:hyperlink r:id="rId348">
        <w:r w:rsidRPr="00771368">
          <w:rPr>
            <w:sz w:val="24"/>
            <w:szCs w:val="24"/>
          </w:rPr>
          <w:t xml:space="preserve">www.spem.gov.br. </w:t>
        </w:r>
      </w:hyperlink>
      <w:r w:rsidRPr="00771368">
        <w:rPr>
          <w:sz w:val="24"/>
          <w:szCs w:val="24"/>
        </w:rPr>
        <w:t>Acesso em março/2013.</w:t>
      </w:r>
    </w:p>
    <w:p w:rsidR="00D24E61" w:rsidRPr="00771368" w:rsidRDefault="00D24E61">
      <w:pPr>
        <w:spacing w:line="276" w:lineRule="exact"/>
        <w:rPr>
          <w:sz w:val="20"/>
          <w:szCs w:val="20"/>
        </w:rPr>
      </w:pPr>
    </w:p>
    <w:p w:rsidR="00D24E61" w:rsidRPr="00771368" w:rsidRDefault="00D24E61">
      <w:pPr>
        <w:rPr>
          <w:sz w:val="24"/>
          <w:szCs w:val="24"/>
        </w:rPr>
      </w:pPr>
      <w:r w:rsidRPr="00771368">
        <w:rPr>
          <w:sz w:val="24"/>
          <w:szCs w:val="24"/>
        </w:rPr>
        <w:t xml:space="preserve">Disponível em: </w:t>
      </w:r>
      <w:hyperlink r:id="rId349">
        <w:r w:rsidRPr="00771368">
          <w:rPr>
            <w:sz w:val="24"/>
            <w:szCs w:val="24"/>
          </w:rPr>
          <w:t xml:space="preserve">http://www.lagartense.com.br. </w:t>
        </w:r>
      </w:hyperlink>
      <w:r w:rsidRPr="00771368">
        <w:rPr>
          <w:sz w:val="24"/>
          <w:szCs w:val="24"/>
        </w:rPr>
        <w:t>Acesso em dezembro/2012.</w:t>
      </w:r>
    </w:p>
    <w:p w:rsidR="00D24E61" w:rsidRPr="00771368" w:rsidRDefault="00D24E61">
      <w:pPr>
        <w:spacing w:line="335" w:lineRule="exact"/>
        <w:rPr>
          <w:sz w:val="20"/>
          <w:szCs w:val="20"/>
        </w:rPr>
      </w:pPr>
    </w:p>
    <w:p w:rsidR="00D24E61" w:rsidRPr="00771368" w:rsidRDefault="00D24E61">
      <w:pPr>
        <w:spacing w:line="214" w:lineRule="auto"/>
        <w:jc w:val="both"/>
        <w:rPr>
          <w:sz w:val="20"/>
          <w:szCs w:val="20"/>
        </w:rPr>
      </w:pPr>
      <w:r w:rsidRPr="00771368">
        <w:rPr>
          <w:sz w:val="24"/>
          <w:szCs w:val="24"/>
        </w:rPr>
        <w:t xml:space="preserve">FREIRE, Nilcéia, Apresentação. </w:t>
      </w:r>
      <w:r w:rsidRPr="00771368">
        <w:rPr>
          <w:b/>
          <w:bCs/>
          <w:sz w:val="24"/>
          <w:szCs w:val="24"/>
        </w:rPr>
        <w:t>Mulher adolescente/jovem em situação de violência</w:t>
      </w:r>
      <w:r w:rsidRPr="00771368">
        <w:rPr>
          <w:sz w:val="24"/>
          <w:szCs w:val="24"/>
        </w:rPr>
        <w:t>. Brasília: Secretaria Especial de Políticas para as Mulheres, 2007.</w:t>
      </w:r>
    </w:p>
    <w:p w:rsidR="00D24E61" w:rsidRPr="00771368" w:rsidRDefault="00D24E61">
      <w:pPr>
        <w:spacing w:line="336"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GIL, Antônio Carlos, </w:t>
      </w:r>
      <w:r w:rsidRPr="00771368">
        <w:rPr>
          <w:b/>
          <w:bCs/>
          <w:sz w:val="24"/>
          <w:szCs w:val="24"/>
        </w:rPr>
        <w:t>Métodos e técnicas de pesquisa social</w:t>
      </w:r>
      <w:r w:rsidRPr="00771368">
        <w:rPr>
          <w:sz w:val="24"/>
          <w:szCs w:val="24"/>
        </w:rPr>
        <w:t>. - 6. ed. - São Paulo: Atlas, 2008.</w:t>
      </w:r>
    </w:p>
    <w:p w:rsidR="00D24E61" w:rsidRPr="00771368" w:rsidRDefault="00D24E61">
      <w:pPr>
        <w:spacing w:line="336" w:lineRule="exact"/>
        <w:rPr>
          <w:sz w:val="20"/>
          <w:szCs w:val="20"/>
        </w:rPr>
      </w:pPr>
    </w:p>
    <w:p w:rsidR="00D24E61" w:rsidRPr="00771368" w:rsidRDefault="00D24E61">
      <w:pPr>
        <w:spacing w:line="227" w:lineRule="auto"/>
        <w:jc w:val="both"/>
        <w:rPr>
          <w:sz w:val="20"/>
          <w:szCs w:val="20"/>
        </w:rPr>
      </w:pPr>
      <w:r w:rsidRPr="00771368">
        <w:rPr>
          <w:sz w:val="24"/>
          <w:szCs w:val="24"/>
        </w:rPr>
        <w:t xml:space="preserve">IAMAMOTO, Marilda Vilela. </w:t>
      </w:r>
      <w:r w:rsidRPr="00771368">
        <w:rPr>
          <w:b/>
          <w:bCs/>
          <w:sz w:val="24"/>
          <w:szCs w:val="24"/>
        </w:rPr>
        <w:t>O Serviço Social na cena contemporânea.</w:t>
      </w:r>
      <w:r w:rsidRPr="00771368">
        <w:rPr>
          <w:sz w:val="24"/>
          <w:szCs w:val="24"/>
        </w:rPr>
        <w:t xml:space="preserve"> In: Serviço Social: direitos sociais e competências profissionais. Brasília: CFESS/ABEPSS. 2009. 760 p. (Publicação: Conselho Federal de Serviço Social – CFESS, Associação Brasileira de ensino e Pesquisa em Serviço Social – ABEPSS. v. 1). P. 15.</w:t>
      </w:r>
    </w:p>
    <w:p w:rsidR="00D24E61" w:rsidRPr="00771368" w:rsidRDefault="00D24E61">
      <w:pPr>
        <w:spacing w:line="336" w:lineRule="exact"/>
        <w:rPr>
          <w:sz w:val="20"/>
          <w:szCs w:val="20"/>
        </w:rPr>
      </w:pPr>
    </w:p>
    <w:p w:rsidR="00D24E61" w:rsidRPr="00771368" w:rsidRDefault="00D24E61">
      <w:pPr>
        <w:spacing w:line="223" w:lineRule="auto"/>
        <w:jc w:val="both"/>
        <w:rPr>
          <w:sz w:val="24"/>
          <w:szCs w:val="24"/>
        </w:rPr>
      </w:pPr>
      <w:r w:rsidRPr="00771368">
        <w:rPr>
          <w:sz w:val="24"/>
          <w:szCs w:val="24"/>
        </w:rPr>
        <w:t xml:space="preserve">Instituto Brasileiro de Geografia e Estatística (IBGE). </w:t>
      </w:r>
      <w:r w:rsidRPr="00771368">
        <w:rPr>
          <w:b/>
          <w:bCs/>
          <w:sz w:val="24"/>
          <w:szCs w:val="24"/>
        </w:rPr>
        <w:t>Censo 2010</w:t>
      </w:r>
      <w:r w:rsidRPr="00771368">
        <w:rPr>
          <w:sz w:val="24"/>
          <w:szCs w:val="24"/>
        </w:rPr>
        <w:t xml:space="preserve">. Disponível em: </w:t>
      </w:r>
      <w:hyperlink r:id="rId350">
        <w:r w:rsidRPr="00771368">
          <w:rPr>
            <w:sz w:val="24"/>
            <w:szCs w:val="24"/>
          </w:rPr>
          <w:t xml:space="preserve">http://www.censo2010.ibge.gov.br/primeiros_dados_divulgados/index.php?uf=28. </w:t>
        </w:r>
      </w:hyperlink>
      <w:r w:rsidRPr="00771368">
        <w:rPr>
          <w:sz w:val="24"/>
          <w:szCs w:val="24"/>
        </w:rPr>
        <w:t>Acesso em: 10 de junho de 2013.</w:t>
      </w:r>
    </w:p>
    <w:p w:rsidR="00D24E61" w:rsidRPr="00771368" w:rsidRDefault="00D24E61">
      <w:pPr>
        <w:spacing w:line="335"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KLIKSBERGUE, Bernardo, </w:t>
      </w:r>
      <w:r w:rsidRPr="00771368">
        <w:rPr>
          <w:b/>
          <w:bCs/>
          <w:sz w:val="24"/>
          <w:szCs w:val="24"/>
        </w:rPr>
        <w:t>A desigualdade é sim um assunto relevante.</w:t>
      </w:r>
      <w:r w:rsidRPr="00771368">
        <w:rPr>
          <w:sz w:val="24"/>
          <w:szCs w:val="24"/>
        </w:rPr>
        <w:t xml:space="preserve"> In: Por uma economia com face mais humana. Brasília: UNESCO, 2003. P. 32-38.</w:t>
      </w:r>
    </w:p>
    <w:p w:rsidR="00D24E61" w:rsidRPr="00771368" w:rsidRDefault="00D24E61">
      <w:pPr>
        <w:spacing w:line="336"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LAGE, Lana, NADER, Maria Beatriz. </w:t>
      </w:r>
      <w:r w:rsidRPr="00771368">
        <w:rPr>
          <w:b/>
          <w:bCs/>
          <w:sz w:val="24"/>
          <w:szCs w:val="24"/>
        </w:rPr>
        <w:t>Violência contra a mulher. Da legitimação à</w:t>
      </w:r>
      <w:r w:rsidRPr="00771368">
        <w:rPr>
          <w:sz w:val="24"/>
          <w:szCs w:val="24"/>
        </w:rPr>
        <w:t xml:space="preserve"> </w:t>
      </w:r>
      <w:r w:rsidRPr="00771368">
        <w:rPr>
          <w:b/>
          <w:bCs/>
          <w:sz w:val="24"/>
          <w:szCs w:val="24"/>
        </w:rPr>
        <w:t xml:space="preserve">condenação social. </w:t>
      </w:r>
      <w:r w:rsidRPr="00771368">
        <w:rPr>
          <w:sz w:val="24"/>
          <w:szCs w:val="24"/>
        </w:rPr>
        <w:t>Nova História das Mulheres / organizadoras Carla Bassanezi Pinsky e</w:t>
      </w:r>
      <w:r w:rsidRPr="00771368">
        <w:rPr>
          <w:b/>
          <w:bCs/>
          <w:sz w:val="24"/>
          <w:szCs w:val="24"/>
        </w:rPr>
        <w:t xml:space="preserve"> </w:t>
      </w:r>
      <w:r w:rsidRPr="00771368">
        <w:rPr>
          <w:sz w:val="24"/>
          <w:szCs w:val="24"/>
        </w:rPr>
        <w:t>Joana Maria Pedro – São Paulo: Contexto, 2012. p. 286-312.</w:t>
      </w:r>
    </w:p>
    <w:p w:rsidR="00D24E61" w:rsidRPr="00771368" w:rsidRDefault="00D24E61">
      <w:pPr>
        <w:spacing w:line="335"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LAKATOS, Eva Maria, MARCONI, Marina de Andrade, </w:t>
      </w:r>
      <w:r w:rsidRPr="00771368">
        <w:rPr>
          <w:b/>
          <w:bCs/>
          <w:sz w:val="24"/>
          <w:szCs w:val="24"/>
        </w:rPr>
        <w:t>Fundamentos de metodologia</w:t>
      </w:r>
      <w:r w:rsidRPr="00771368">
        <w:rPr>
          <w:sz w:val="24"/>
          <w:szCs w:val="24"/>
        </w:rPr>
        <w:t xml:space="preserve"> </w:t>
      </w:r>
      <w:r w:rsidRPr="00771368">
        <w:rPr>
          <w:b/>
          <w:bCs/>
          <w:sz w:val="24"/>
          <w:szCs w:val="24"/>
        </w:rPr>
        <w:t xml:space="preserve">cientifica. </w:t>
      </w:r>
      <w:r w:rsidRPr="00771368">
        <w:rPr>
          <w:sz w:val="24"/>
          <w:szCs w:val="24"/>
        </w:rPr>
        <w:t>6. ed. – 6. Reimpressão. – São Paulo: Atlas 2008.</w:t>
      </w:r>
    </w:p>
    <w:p w:rsidR="00D24E61" w:rsidRPr="00771368" w:rsidRDefault="00D24E61">
      <w:pPr>
        <w:spacing w:line="336"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LEMOS, Marilda de Oliveira, ELO MULHER. </w:t>
      </w:r>
      <w:r w:rsidRPr="00771368">
        <w:rPr>
          <w:b/>
          <w:bCs/>
          <w:sz w:val="24"/>
          <w:szCs w:val="24"/>
        </w:rPr>
        <w:t>Transversalidade de gênero e raça nas</w:t>
      </w:r>
      <w:r w:rsidRPr="00771368">
        <w:rPr>
          <w:sz w:val="24"/>
          <w:szCs w:val="24"/>
        </w:rPr>
        <w:t xml:space="preserve"> </w:t>
      </w:r>
      <w:r w:rsidRPr="00771368">
        <w:rPr>
          <w:b/>
          <w:bCs/>
          <w:sz w:val="24"/>
          <w:szCs w:val="24"/>
        </w:rPr>
        <w:t>políticas públicas - uma experiência da Prefeitura de Santo André/SP</w:t>
      </w:r>
      <w:r w:rsidRPr="00771368">
        <w:rPr>
          <w:sz w:val="24"/>
          <w:szCs w:val="24"/>
        </w:rPr>
        <w:t>. UFMA, 2005.</w:t>
      </w:r>
    </w:p>
    <w:p w:rsidR="00D24E61" w:rsidRPr="00771368" w:rsidRDefault="00D24E61">
      <w:pPr>
        <w:spacing w:line="336" w:lineRule="exact"/>
        <w:rPr>
          <w:sz w:val="20"/>
          <w:szCs w:val="20"/>
        </w:rPr>
      </w:pPr>
    </w:p>
    <w:p w:rsidR="00D24E61" w:rsidRPr="00771368" w:rsidRDefault="00D24E61">
      <w:pPr>
        <w:spacing w:line="227" w:lineRule="auto"/>
        <w:ind w:right="20"/>
        <w:jc w:val="both"/>
        <w:rPr>
          <w:sz w:val="20"/>
          <w:szCs w:val="20"/>
        </w:rPr>
      </w:pPr>
      <w:r w:rsidRPr="00771368">
        <w:rPr>
          <w:sz w:val="24"/>
          <w:szCs w:val="24"/>
        </w:rPr>
        <w:t xml:space="preserve">MENDES, Alessandra Gomes. MATOS, Maurilio Castro de. </w:t>
      </w:r>
      <w:r w:rsidRPr="00771368">
        <w:rPr>
          <w:b/>
          <w:bCs/>
          <w:sz w:val="24"/>
          <w:szCs w:val="24"/>
        </w:rPr>
        <w:t>Uma agenda para os conselhos</w:t>
      </w:r>
      <w:r w:rsidRPr="00771368">
        <w:rPr>
          <w:sz w:val="24"/>
          <w:szCs w:val="24"/>
        </w:rPr>
        <w:t xml:space="preserve"> </w:t>
      </w:r>
      <w:r w:rsidRPr="00771368">
        <w:rPr>
          <w:b/>
          <w:bCs/>
          <w:sz w:val="24"/>
          <w:szCs w:val="24"/>
        </w:rPr>
        <w:t xml:space="preserve">tutelares. </w:t>
      </w:r>
      <w:r w:rsidRPr="00771368">
        <w:rPr>
          <w:sz w:val="24"/>
          <w:szCs w:val="24"/>
        </w:rPr>
        <w:t>Política Social, Família e Juventude: uma questão de direitos. / organizadores.</w:t>
      </w:r>
      <w:r w:rsidRPr="00771368">
        <w:rPr>
          <w:b/>
          <w:bCs/>
          <w:sz w:val="24"/>
          <w:szCs w:val="24"/>
        </w:rPr>
        <w:t xml:space="preserve"> </w:t>
      </w:r>
      <w:r w:rsidRPr="00771368">
        <w:rPr>
          <w:sz w:val="24"/>
          <w:szCs w:val="24"/>
        </w:rPr>
        <w:t>Mione Apolinário Sales, Maurílio Castro de Matos, Maria Cristina Leal. São Paulo: Cortez, 2004. p. 243-259.</w:t>
      </w:r>
    </w:p>
    <w:p w:rsidR="00D24E61" w:rsidRPr="00771368" w:rsidRDefault="00D24E61">
      <w:pPr>
        <w:spacing w:line="336" w:lineRule="exact"/>
        <w:rPr>
          <w:sz w:val="20"/>
          <w:szCs w:val="20"/>
        </w:rPr>
      </w:pPr>
    </w:p>
    <w:p w:rsidR="00D24E61" w:rsidRPr="00771368" w:rsidRDefault="00D24E61">
      <w:pPr>
        <w:spacing w:line="227" w:lineRule="auto"/>
        <w:ind w:right="20"/>
        <w:jc w:val="both"/>
        <w:rPr>
          <w:sz w:val="24"/>
          <w:szCs w:val="24"/>
        </w:rPr>
      </w:pPr>
      <w:r w:rsidRPr="00771368">
        <w:rPr>
          <w:sz w:val="24"/>
          <w:szCs w:val="24"/>
        </w:rPr>
        <w:t xml:space="preserve">MOLAIB, Maria de Fátima Nunes. </w:t>
      </w:r>
      <w:r w:rsidRPr="00771368">
        <w:rPr>
          <w:b/>
          <w:bCs/>
          <w:sz w:val="24"/>
          <w:szCs w:val="24"/>
        </w:rPr>
        <w:t>Crianças e adolescentes em situação de risco e suas</w:t>
      </w:r>
      <w:r w:rsidRPr="00771368">
        <w:rPr>
          <w:sz w:val="24"/>
          <w:szCs w:val="24"/>
        </w:rPr>
        <w:t xml:space="preserve"> </w:t>
      </w:r>
      <w:r w:rsidRPr="00771368">
        <w:rPr>
          <w:b/>
          <w:bCs/>
          <w:sz w:val="24"/>
          <w:szCs w:val="24"/>
        </w:rPr>
        <w:t xml:space="preserve">relações com a instituição Conselho Tutelar. </w:t>
      </w:r>
      <w:r w:rsidRPr="00771368">
        <w:rPr>
          <w:sz w:val="24"/>
          <w:szCs w:val="24"/>
        </w:rPr>
        <w:t>Jus Navigandi, Teresina. Ano 10, n.1015, 12</w:t>
      </w:r>
      <w:r w:rsidRPr="00771368">
        <w:rPr>
          <w:b/>
          <w:bCs/>
          <w:sz w:val="24"/>
          <w:szCs w:val="24"/>
        </w:rPr>
        <w:t xml:space="preserve"> </w:t>
      </w:r>
      <w:r w:rsidRPr="00771368">
        <w:rPr>
          <w:sz w:val="24"/>
          <w:szCs w:val="24"/>
        </w:rPr>
        <w:t xml:space="preserve">abr. 2006. Disponível em: </w:t>
      </w:r>
      <w:hyperlink r:id="rId351">
        <w:r w:rsidRPr="00771368">
          <w:rPr>
            <w:sz w:val="24"/>
            <w:szCs w:val="24"/>
          </w:rPr>
          <w:t xml:space="preserve">http://jus2.uol.com.br/doutrina/texto.asp?id=8231. </w:t>
        </w:r>
      </w:hyperlink>
      <w:r w:rsidRPr="00771368">
        <w:rPr>
          <w:sz w:val="24"/>
          <w:szCs w:val="24"/>
        </w:rPr>
        <w:t>Acesso em: 18 de janeiro de 2013.</w:t>
      </w:r>
    </w:p>
    <w:p w:rsidR="00D24E61" w:rsidRPr="00771368" w:rsidRDefault="00D24E61">
      <w:pPr>
        <w:spacing w:line="336"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PINSKY, Carla Bassanezi. </w:t>
      </w:r>
      <w:r w:rsidRPr="00771368">
        <w:rPr>
          <w:b/>
          <w:bCs/>
          <w:sz w:val="24"/>
          <w:szCs w:val="24"/>
        </w:rPr>
        <w:t>Imagens e Representações. A era dos modelos rígidos.</w:t>
      </w:r>
      <w:r w:rsidRPr="00771368">
        <w:rPr>
          <w:sz w:val="24"/>
          <w:szCs w:val="24"/>
        </w:rPr>
        <w:t xml:space="preserve"> In: Nova História das Mulheres / organizadoras Carla Bassanezi Pinsky e Joana Maria Pedro – São Paulo: Contexto, 2012. p. 469-512.</w:t>
      </w:r>
    </w:p>
    <w:p w:rsidR="00D24E61" w:rsidRPr="00771368" w:rsidRDefault="00D24E61">
      <w:pPr>
        <w:sectPr w:rsidR="00D24E61" w:rsidRPr="00771368">
          <w:pgSz w:w="11900" w:h="16836"/>
          <w:pgMar w:top="1406" w:right="1400" w:bottom="1440" w:left="1420" w:header="0" w:footer="0" w:gutter="0"/>
          <w:cols w:space="720" w:equalWidth="0">
            <w:col w:w="9080"/>
          </w:cols>
        </w:sectPr>
      </w:pPr>
    </w:p>
    <w:p w:rsidR="00D24E61" w:rsidRPr="00771368" w:rsidRDefault="00D24E61">
      <w:pPr>
        <w:spacing w:line="25"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Política Nacional de Assistência Social – </w:t>
      </w:r>
      <w:r w:rsidRPr="00771368">
        <w:rPr>
          <w:b/>
          <w:bCs/>
          <w:sz w:val="24"/>
          <w:szCs w:val="24"/>
        </w:rPr>
        <w:t>PNAS</w:t>
      </w:r>
      <w:r w:rsidRPr="00771368">
        <w:rPr>
          <w:sz w:val="24"/>
          <w:szCs w:val="24"/>
        </w:rPr>
        <w:t>, aprovada pelo Conselho Nacional de Assistência Social por intermédio da Resolução nº 145, de 15 de outubro de 2004 e publicada no Diário Oficial da União – DOU do dia 28 de outubro de 2004.</w:t>
      </w:r>
    </w:p>
    <w:p w:rsidR="00D24E61" w:rsidRPr="00771368" w:rsidRDefault="00D24E61">
      <w:pPr>
        <w:spacing w:line="335" w:lineRule="exact"/>
        <w:rPr>
          <w:sz w:val="20"/>
          <w:szCs w:val="20"/>
        </w:rPr>
      </w:pPr>
    </w:p>
    <w:p w:rsidR="00D24E61" w:rsidRPr="00771368" w:rsidRDefault="00D24E61">
      <w:pPr>
        <w:spacing w:line="214" w:lineRule="auto"/>
        <w:jc w:val="both"/>
        <w:rPr>
          <w:sz w:val="20"/>
          <w:szCs w:val="20"/>
        </w:rPr>
      </w:pPr>
      <w:r w:rsidRPr="00D61223">
        <w:rPr>
          <w:sz w:val="24"/>
          <w:szCs w:val="24"/>
          <w:lang w:val="en-US"/>
        </w:rPr>
        <w:t xml:space="preserve">RICHARDSON, Roberto Jarry, (et al.). </w:t>
      </w:r>
      <w:r w:rsidRPr="00771368">
        <w:rPr>
          <w:b/>
          <w:bCs/>
          <w:sz w:val="24"/>
          <w:szCs w:val="24"/>
        </w:rPr>
        <w:t>Pesquisa social: método e técnicas.</w:t>
      </w:r>
      <w:r w:rsidRPr="00771368">
        <w:rPr>
          <w:sz w:val="24"/>
          <w:szCs w:val="24"/>
        </w:rPr>
        <w:t xml:space="preserve"> São Paulo: Atlas, 1999. Capítulos 2, 3, 6, 9, 11, 14,15.</w:t>
      </w:r>
    </w:p>
    <w:p w:rsidR="00D24E61" w:rsidRPr="00771368" w:rsidRDefault="00D24E61">
      <w:pPr>
        <w:spacing w:line="278" w:lineRule="exact"/>
        <w:rPr>
          <w:sz w:val="20"/>
          <w:szCs w:val="20"/>
        </w:rPr>
      </w:pPr>
    </w:p>
    <w:p w:rsidR="00D24E61" w:rsidRPr="00771368" w:rsidRDefault="00D24E61">
      <w:pPr>
        <w:rPr>
          <w:sz w:val="20"/>
          <w:szCs w:val="20"/>
        </w:rPr>
      </w:pPr>
      <w:r w:rsidRPr="00771368">
        <w:rPr>
          <w:sz w:val="24"/>
          <w:szCs w:val="24"/>
        </w:rPr>
        <w:t xml:space="preserve">ROSEMBERG, Fúlvia. </w:t>
      </w:r>
      <w:r w:rsidRPr="00771368">
        <w:rPr>
          <w:b/>
          <w:bCs/>
          <w:sz w:val="24"/>
          <w:szCs w:val="24"/>
        </w:rPr>
        <w:t>EDUCAÇÃO. Mulheres educadas e a educação de mulheres. In:</w:t>
      </w:r>
    </w:p>
    <w:p w:rsidR="00D24E61" w:rsidRPr="00771368" w:rsidRDefault="00D24E61">
      <w:pPr>
        <w:spacing w:line="58" w:lineRule="exact"/>
        <w:rPr>
          <w:sz w:val="20"/>
          <w:szCs w:val="20"/>
        </w:rPr>
      </w:pPr>
    </w:p>
    <w:p w:rsidR="00D24E61" w:rsidRPr="00771368" w:rsidRDefault="00D24E61">
      <w:pPr>
        <w:spacing w:line="214" w:lineRule="auto"/>
        <w:ind w:right="20"/>
        <w:jc w:val="both"/>
        <w:rPr>
          <w:sz w:val="20"/>
          <w:szCs w:val="20"/>
        </w:rPr>
      </w:pPr>
      <w:r w:rsidRPr="00771368">
        <w:rPr>
          <w:sz w:val="24"/>
          <w:szCs w:val="24"/>
        </w:rPr>
        <w:t>Nova História das Mulheres / organizadoras Carla Bassanezi Pinsky e Joana Maria Pedro – São Paulo: Contexto, 2012. p. 333-359.</w:t>
      </w:r>
    </w:p>
    <w:p w:rsidR="00D24E61" w:rsidRPr="00771368" w:rsidRDefault="00D24E61">
      <w:pPr>
        <w:spacing w:line="336" w:lineRule="exact"/>
        <w:rPr>
          <w:sz w:val="20"/>
          <w:szCs w:val="20"/>
        </w:rPr>
      </w:pPr>
    </w:p>
    <w:p w:rsidR="00D24E61" w:rsidRPr="00771368" w:rsidRDefault="00D24E61">
      <w:pPr>
        <w:spacing w:line="223" w:lineRule="auto"/>
        <w:jc w:val="both"/>
        <w:rPr>
          <w:sz w:val="20"/>
          <w:szCs w:val="20"/>
        </w:rPr>
      </w:pPr>
      <w:r w:rsidRPr="00771368">
        <w:rPr>
          <w:sz w:val="24"/>
          <w:szCs w:val="24"/>
        </w:rPr>
        <w:t xml:space="preserve">SCOTT, Ana Silvia. </w:t>
      </w:r>
      <w:r w:rsidRPr="00771368">
        <w:rPr>
          <w:b/>
          <w:bCs/>
          <w:sz w:val="24"/>
          <w:szCs w:val="24"/>
        </w:rPr>
        <w:t>FAMÍLIA. O caleidoscópio dos arranjos familiares.</w:t>
      </w:r>
      <w:r w:rsidRPr="00771368">
        <w:rPr>
          <w:sz w:val="24"/>
          <w:szCs w:val="24"/>
        </w:rPr>
        <w:t xml:space="preserve"> In: Nova História das Mulheres / organizadoras Carla Bassanezi Pinsky e Joana Maria Pedro – São Paulo: Contexto, 2012. p. 15-42.</w:t>
      </w:r>
    </w:p>
    <w:p w:rsidR="00D24E61" w:rsidRPr="00771368" w:rsidRDefault="00D24E61">
      <w:pPr>
        <w:spacing w:line="335" w:lineRule="exact"/>
        <w:rPr>
          <w:sz w:val="20"/>
          <w:szCs w:val="20"/>
        </w:rPr>
      </w:pPr>
    </w:p>
    <w:p w:rsidR="00D24E61" w:rsidRPr="00771368" w:rsidRDefault="00D24E61">
      <w:pPr>
        <w:spacing w:line="227" w:lineRule="auto"/>
        <w:ind w:right="20"/>
        <w:jc w:val="both"/>
        <w:rPr>
          <w:sz w:val="20"/>
          <w:szCs w:val="20"/>
        </w:rPr>
      </w:pPr>
      <w:r w:rsidRPr="00771368">
        <w:rPr>
          <w:sz w:val="24"/>
          <w:szCs w:val="24"/>
        </w:rPr>
        <w:t xml:space="preserve">TAVARES, Maria Augusta. </w:t>
      </w:r>
      <w:r w:rsidRPr="00771368">
        <w:rPr>
          <w:b/>
          <w:bCs/>
          <w:sz w:val="24"/>
          <w:szCs w:val="24"/>
        </w:rPr>
        <w:t>Acumulação, trabalho e desigualdades sociais.</w:t>
      </w:r>
      <w:r w:rsidRPr="00771368">
        <w:rPr>
          <w:sz w:val="24"/>
          <w:szCs w:val="24"/>
        </w:rPr>
        <w:t xml:space="preserve"> In: Serviço Social: direitos sociais e competências profissionais. Brasília: CFESS/ABEPSS. 2009. 760 p. (Publicação: Conselho Federal de Serviço Social – CFESS, Associação Brasileira de ensino e Pesquisa em Serviço Social – ABEPSS. v. 1). P. 239.</w:t>
      </w:r>
    </w:p>
    <w:p w:rsidR="00D24E61" w:rsidRPr="00771368" w:rsidRDefault="00D24E61">
      <w:pPr>
        <w:spacing w:line="278" w:lineRule="exact"/>
        <w:rPr>
          <w:sz w:val="20"/>
          <w:szCs w:val="20"/>
        </w:rPr>
      </w:pPr>
    </w:p>
    <w:p w:rsidR="00D24E61" w:rsidRPr="00771368" w:rsidRDefault="00D24E61">
      <w:pPr>
        <w:rPr>
          <w:sz w:val="24"/>
          <w:szCs w:val="24"/>
        </w:rPr>
      </w:pPr>
      <w:r w:rsidRPr="00771368">
        <w:rPr>
          <w:sz w:val="24"/>
          <w:szCs w:val="24"/>
        </w:rPr>
        <w:t xml:space="preserve">Disponível em: </w:t>
      </w:r>
      <w:hyperlink r:id="rId352">
        <w:r w:rsidRPr="00771368">
          <w:rPr>
            <w:sz w:val="24"/>
            <w:szCs w:val="24"/>
          </w:rPr>
          <w:t xml:space="preserve">www.mds.gov.br. </w:t>
        </w:r>
      </w:hyperlink>
      <w:r w:rsidRPr="00771368">
        <w:rPr>
          <w:sz w:val="24"/>
          <w:szCs w:val="24"/>
        </w:rPr>
        <w:t>Acesso em março/2013.</w:t>
      </w:r>
    </w:p>
    <w:p w:rsidR="00D24E61" w:rsidRPr="00771368" w:rsidRDefault="00D24E61">
      <w:pPr>
        <w:spacing w:line="276" w:lineRule="exact"/>
        <w:rPr>
          <w:sz w:val="20"/>
          <w:szCs w:val="20"/>
        </w:rPr>
      </w:pPr>
    </w:p>
    <w:p w:rsidR="00D24E61" w:rsidRPr="00771368" w:rsidRDefault="00D24E61">
      <w:pPr>
        <w:rPr>
          <w:sz w:val="24"/>
          <w:szCs w:val="24"/>
        </w:rPr>
      </w:pPr>
      <w:r w:rsidRPr="00771368">
        <w:rPr>
          <w:sz w:val="24"/>
          <w:szCs w:val="24"/>
        </w:rPr>
        <w:t xml:space="preserve">Disponível em: </w:t>
      </w:r>
      <w:hyperlink r:id="rId353">
        <w:r w:rsidRPr="00771368">
          <w:rPr>
            <w:sz w:val="24"/>
            <w:szCs w:val="24"/>
          </w:rPr>
          <w:t xml:space="preserve">www.spem.gov.br. </w:t>
        </w:r>
      </w:hyperlink>
      <w:r w:rsidRPr="00771368">
        <w:rPr>
          <w:sz w:val="24"/>
          <w:szCs w:val="24"/>
        </w:rPr>
        <w:t>Acesso em março/2013.</w:t>
      </w:r>
    </w:p>
    <w:p w:rsidR="00D24E61" w:rsidRPr="00771368" w:rsidRDefault="00D24E61">
      <w:pPr>
        <w:spacing w:line="276" w:lineRule="exact"/>
        <w:rPr>
          <w:sz w:val="20"/>
          <w:szCs w:val="20"/>
        </w:rPr>
      </w:pPr>
    </w:p>
    <w:p w:rsidR="00D24E61" w:rsidRPr="00771368" w:rsidRDefault="00D24E61">
      <w:pPr>
        <w:rPr>
          <w:sz w:val="24"/>
          <w:szCs w:val="24"/>
        </w:rPr>
      </w:pPr>
      <w:r w:rsidRPr="00771368">
        <w:rPr>
          <w:sz w:val="24"/>
          <w:szCs w:val="24"/>
        </w:rPr>
        <w:t xml:space="preserve">Disponível em: </w:t>
      </w:r>
      <w:hyperlink r:id="rId354">
        <w:r w:rsidRPr="00771368">
          <w:rPr>
            <w:sz w:val="24"/>
            <w:szCs w:val="24"/>
          </w:rPr>
          <w:t xml:space="preserve">http://www.lagartense.com.br. </w:t>
        </w:r>
      </w:hyperlink>
      <w:r w:rsidRPr="00771368">
        <w:rPr>
          <w:sz w:val="24"/>
          <w:szCs w:val="24"/>
        </w:rPr>
        <w:t>Acesso em dezembro/2012.</w:t>
      </w:r>
    </w:p>
    <w:p w:rsidR="00E86604" w:rsidRDefault="00E86604" w:rsidP="00D24E61">
      <w:pPr>
        <w:spacing w:line="360" w:lineRule="auto"/>
        <w:jc w:val="center"/>
        <w:rPr>
          <w:b/>
          <w:sz w:val="24"/>
          <w:szCs w:val="24"/>
        </w:rPr>
      </w:pPr>
    </w:p>
    <w:p w:rsidR="00E86604" w:rsidRDefault="00E86604" w:rsidP="00D24E61">
      <w:pPr>
        <w:spacing w:line="360" w:lineRule="auto"/>
        <w:jc w:val="center"/>
        <w:rPr>
          <w:b/>
          <w:sz w:val="24"/>
          <w:szCs w:val="24"/>
        </w:rPr>
      </w:pPr>
    </w:p>
    <w:p w:rsidR="00D24E61" w:rsidRPr="00771368" w:rsidRDefault="00D24E61" w:rsidP="00D24E61">
      <w:pPr>
        <w:spacing w:line="360" w:lineRule="auto"/>
        <w:jc w:val="center"/>
        <w:rPr>
          <w:b/>
          <w:sz w:val="24"/>
          <w:szCs w:val="24"/>
        </w:rPr>
      </w:pPr>
      <w:r w:rsidRPr="00771368">
        <w:rPr>
          <w:b/>
          <w:sz w:val="24"/>
          <w:szCs w:val="24"/>
        </w:rPr>
        <w:t>A APLICAÇÃO DOS DIREITOS HUMANOS DAS MULHERES NA BAHIA – BRASIL</w:t>
      </w:r>
    </w:p>
    <w:p w:rsidR="00D24E61" w:rsidRPr="00771368" w:rsidRDefault="00D24E61" w:rsidP="00E86604">
      <w:pPr>
        <w:pStyle w:val="Ttulo1"/>
      </w:pPr>
      <w:bookmarkStart w:id="61" w:name="_Toc442034750"/>
      <w:r w:rsidRPr="00771368">
        <w:t>Lílian Lima Gonçalves dos Prazeres</w:t>
      </w:r>
      <w:bookmarkEnd w:id="61"/>
    </w:p>
    <w:p w:rsidR="00D24E61" w:rsidRPr="00771368" w:rsidRDefault="00D24E61" w:rsidP="00D24E61">
      <w:pPr>
        <w:spacing w:line="360" w:lineRule="auto"/>
        <w:jc w:val="right"/>
        <w:rPr>
          <w:sz w:val="24"/>
          <w:szCs w:val="24"/>
        </w:rPr>
      </w:pPr>
      <w:r w:rsidRPr="00771368">
        <w:rPr>
          <w:sz w:val="24"/>
          <w:szCs w:val="24"/>
        </w:rPr>
        <w:t>Universidade Federal do Espírito Santo (UFES)</w:t>
      </w:r>
    </w:p>
    <w:p w:rsidR="00D24E61" w:rsidRPr="00771368" w:rsidRDefault="00D24E61" w:rsidP="00D24E61">
      <w:pPr>
        <w:spacing w:line="360" w:lineRule="auto"/>
        <w:jc w:val="right"/>
        <w:rPr>
          <w:sz w:val="24"/>
          <w:szCs w:val="24"/>
        </w:rPr>
      </w:pPr>
      <w:r w:rsidRPr="00771368">
        <w:rPr>
          <w:sz w:val="24"/>
          <w:szCs w:val="24"/>
        </w:rPr>
        <w:t>Orientadora: Professora Doutora Adelia Miglievich Ribeiro</w:t>
      </w:r>
    </w:p>
    <w:p w:rsidR="00D24E61" w:rsidRPr="00771368" w:rsidRDefault="00D24E61" w:rsidP="00D24E61">
      <w:pPr>
        <w:spacing w:line="360" w:lineRule="auto"/>
        <w:jc w:val="both"/>
        <w:rPr>
          <w:b/>
          <w:sz w:val="24"/>
          <w:szCs w:val="24"/>
        </w:rPr>
      </w:pPr>
    </w:p>
    <w:p w:rsidR="00D24E61" w:rsidRPr="00771368" w:rsidRDefault="00D24E61" w:rsidP="00D24E61">
      <w:pPr>
        <w:spacing w:line="360" w:lineRule="auto"/>
        <w:ind w:firstLine="708"/>
        <w:jc w:val="both"/>
        <w:rPr>
          <w:b/>
          <w:sz w:val="24"/>
          <w:szCs w:val="24"/>
        </w:rPr>
      </w:pPr>
      <w:r w:rsidRPr="00771368">
        <w:rPr>
          <w:sz w:val="24"/>
          <w:szCs w:val="24"/>
        </w:rPr>
        <w:t xml:space="preserve">Este artigo trata da aplicação dos Direitos Humanos das Mulheres. A pesquisa tem como objeto de estudo aplicação dos direitos humanos das mulheres no Estado da Bahia/Brasil. Este estudo foi desenvolvido a partir do estudo bibliográfico e da análise dos relatórios nacionais e internacionais que tratavam do tema em questão. </w:t>
      </w:r>
    </w:p>
    <w:p w:rsidR="00D24E61" w:rsidRPr="00771368" w:rsidRDefault="00D24E61" w:rsidP="00D24E61">
      <w:pPr>
        <w:spacing w:line="360" w:lineRule="auto"/>
        <w:ind w:firstLine="708"/>
        <w:jc w:val="both"/>
        <w:rPr>
          <w:sz w:val="24"/>
          <w:szCs w:val="24"/>
        </w:rPr>
      </w:pPr>
      <w:r w:rsidRPr="00771368">
        <w:rPr>
          <w:sz w:val="24"/>
          <w:szCs w:val="24"/>
        </w:rPr>
        <w:t xml:space="preserve">Desde o século XIX, o mundo vem vivenciando o desenvolvimento do pensamento feminista e com ele, a mulher foi se tornando objeto de estudos nos mais diversos campos do conhecimento, o que implicou na construção da teoria feminista. Assim, no campo social, realizaram-se e realizam-se diversos debates acerca do espaço relegado à mulher e as relações internacionais consistem numa das áreas em que as novas concepções da identidade feminina e luta a favor das mulheres se refletiram. </w:t>
      </w:r>
    </w:p>
    <w:p w:rsidR="00D24E61" w:rsidRPr="00771368" w:rsidRDefault="00D24E61" w:rsidP="00D24E61">
      <w:pPr>
        <w:spacing w:line="360" w:lineRule="auto"/>
        <w:ind w:firstLine="708"/>
        <w:jc w:val="both"/>
        <w:rPr>
          <w:sz w:val="24"/>
          <w:szCs w:val="24"/>
        </w:rPr>
      </w:pPr>
      <w:r w:rsidRPr="00771368">
        <w:rPr>
          <w:sz w:val="24"/>
          <w:szCs w:val="24"/>
        </w:rPr>
        <w:t>Nesse contexto de mobilização em busca da garantia de seus direitos, os movimentos feministas passaram a atuar, também, no âmbito internacional, exigindo que o Estado tivesse uma postura a favor do gênero feminino. Desde 1993, várias conferências internacionais foram realizadas a fim de promover os direitos humanos, nos mais variados aspectos. A partir delas a condição da mulher passou a ganhar visibilidade, e medidas foram adotadas para mudar as situações de opressão sofridas pelas mulheres.</w:t>
      </w:r>
    </w:p>
    <w:p w:rsidR="00D24E61" w:rsidRPr="00771368" w:rsidRDefault="00D24E61" w:rsidP="00D24E61">
      <w:pPr>
        <w:pStyle w:val="PargrafodaLista"/>
        <w:spacing w:after="0" w:line="360" w:lineRule="auto"/>
        <w:ind w:left="0" w:firstLine="708"/>
        <w:rPr>
          <w:rFonts w:ascii="Times New Roman" w:hAnsi="Times New Roman"/>
          <w:sz w:val="24"/>
          <w:szCs w:val="24"/>
        </w:rPr>
      </w:pPr>
      <w:r w:rsidRPr="00771368">
        <w:rPr>
          <w:rFonts w:ascii="Times New Roman" w:hAnsi="Times New Roman"/>
          <w:sz w:val="24"/>
          <w:szCs w:val="24"/>
        </w:rPr>
        <w:t>O objetivo central deste trabalho consistiu em conhecer o nível de aplicação dos Direitos Humanos das Mulheres, a partir de um estudo sobre a realidade brasileira, identificando as conquistas e os desafios enfrentados pelo Estado para efetivação de tais direitos. Diante disso, procurou-se: refletir sobre as teorias feministas de Relações Internacionais; entender o contexto histórico de construção dos Direitos Humanos das Mulheres, com base nas Conferências Internacionais voltadas para o tema em estudo; estudar a aplicação dos Direitos Humanos das Mulheres na realidade brasileira; e identificar as conquistas e desafios em termos de Direitos Humanos das Mulheres.</w:t>
      </w:r>
    </w:p>
    <w:p w:rsidR="00D24E61" w:rsidRPr="00771368" w:rsidRDefault="00D24E61" w:rsidP="00D24E61">
      <w:pPr>
        <w:pStyle w:val="PargrafodaLista"/>
        <w:spacing w:after="0" w:line="360" w:lineRule="auto"/>
        <w:ind w:left="0" w:firstLine="708"/>
        <w:rPr>
          <w:rFonts w:ascii="Times New Roman" w:hAnsi="Times New Roman"/>
          <w:sz w:val="24"/>
          <w:szCs w:val="24"/>
        </w:rPr>
      </w:pPr>
      <w:r w:rsidRPr="00771368">
        <w:rPr>
          <w:rFonts w:ascii="Times New Roman" w:hAnsi="Times New Roman"/>
          <w:sz w:val="24"/>
          <w:szCs w:val="24"/>
        </w:rPr>
        <w:t>O foco de análise deste artigo encontra-se voltado para as ações realizadas pelo Estado da Bahia, Brasil, que têm por finalidade garantir que os direitos femininos</w:t>
      </w:r>
      <w:r w:rsidRPr="00771368">
        <w:rPr>
          <w:rStyle w:val="Refdenotaderodap"/>
          <w:rFonts w:ascii="Times New Roman" w:hAnsi="Times New Roman"/>
          <w:szCs w:val="24"/>
        </w:rPr>
        <w:footnoteReference w:id="125"/>
      </w:r>
      <w:r w:rsidRPr="00771368">
        <w:rPr>
          <w:rFonts w:ascii="Times New Roman" w:hAnsi="Times New Roman"/>
          <w:sz w:val="24"/>
          <w:szCs w:val="24"/>
        </w:rPr>
        <w:t xml:space="preserve"> sejam respeitados, isto é, que se tornem uma realidade no contexto interno do país. Tal foco permeia o intuito de responder à questão que norteou esta pesquisa: Qual a situação da aplicação dos Direitos Humanos das Mulheres no Brasil?</w:t>
      </w:r>
    </w:p>
    <w:p w:rsidR="00D24E61" w:rsidRPr="00771368" w:rsidRDefault="00D24E61" w:rsidP="00D24E61">
      <w:pPr>
        <w:spacing w:line="360" w:lineRule="auto"/>
        <w:ind w:firstLine="708"/>
        <w:jc w:val="both"/>
        <w:rPr>
          <w:sz w:val="24"/>
          <w:szCs w:val="24"/>
        </w:rPr>
      </w:pPr>
      <w:r w:rsidRPr="00771368">
        <w:rPr>
          <w:sz w:val="24"/>
          <w:szCs w:val="24"/>
        </w:rPr>
        <w:t>A pesquisa foi desenvolvida a partir do estudo bibliográfico e de análise textual de caráter teórico crítico, a partir de fontes secundárias que trataram do tema de pesquisa proposto, representadas pelos documentos, resultado das conferências internacionais, publicados pelas organizações internacionais e pelo próprio Estado, que avaliam o andamento da consolidação dos Direitos Humanos das mulheres no entorno nacional e internacional. Os documentos supramencionados constituíram do ponto de vista metodológico os sujeitos da pesquisa e formaram o corpus, uma vez que detiveram as informações cruciais para o bom desenvolvimento da pesquisa. Para atingir os objetivos propostos foram utilizados os seguintes procedimentos: levantamento das Conferências Internacionais que trataram dos direitos inerentes ao sexo feminino; identificação da legislação criada a partir dessas conferências; análise dos documentos que avaliam a aplicação dos direitos humanos das mulheres nos países em estudo; estudo da realidade brasileira.</w:t>
      </w:r>
    </w:p>
    <w:p w:rsidR="00D24E61" w:rsidRPr="00771368" w:rsidRDefault="00D24E61" w:rsidP="00D24E61">
      <w:pPr>
        <w:spacing w:line="360" w:lineRule="auto"/>
        <w:ind w:firstLine="708"/>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b/>
          <w:sz w:val="24"/>
          <w:szCs w:val="24"/>
        </w:rPr>
      </w:pPr>
      <w:r w:rsidRPr="00771368">
        <w:rPr>
          <w:b/>
          <w:sz w:val="24"/>
          <w:szCs w:val="24"/>
        </w:rPr>
        <w:t>Os Direitos Humanos das Mulheres no Brasil</w:t>
      </w:r>
    </w:p>
    <w:p w:rsidR="00D24E61" w:rsidRPr="00771368" w:rsidRDefault="00D24E61" w:rsidP="00D24E61">
      <w:pPr>
        <w:spacing w:line="360" w:lineRule="auto"/>
        <w:jc w:val="both"/>
        <w:rPr>
          <w:b/>
          <w:sz w:val="24"/>
          <w:szCs w:val="24"/>
        </w:rPr>
      </w:pPr>
    </w:p>
    <w:p w:rsidR="00D24E61" w:rsidRPr="00771368" w:rsidRDefault="00D24E61" w:rsidP="00D24E61">
      <w:pPr>
        <w:spacing w:line="360" w:lineRule="auto"/>
        <w:ind w:firstLine="708"/>
        <w:jc w:val="both"/>
        <w:rPr>
          <w:sz w:val="24"/>
          <w:szCs w:val="24"/>
        </w:rPr>
      </w:pPr>
      <w:r w:rsidRPr="00771368">
        <w:rPr>
          <w:sz w:val="24"/>
          <w:szCs w:val="24"/>
        </w:rPr>
        <w:t>O histórico brasileiro de uma defesa mais contundente dos direitos humanos apresenta como marco o processo de democratização do país. Segundo Flávia Piovesan (2003), tal processo se iniciou em 1985, momento este em que o Brasil passou a ratificar os tratados internacionais de direitos humanos. Cabe acrescentar, à esse contexto, a relevância da Constituição de 1988, que entende, no artigo quarto, inciso II, os direitos humanos como princípio orientador das relações internacionais. A constituição representou um papel de extrema importância para a iniciativa de ratificação dos instrumentos de proteção dos direitos humanos.</w:t>
      </w:r>
    </w:p>
    <w:p w:rsidR="00D24E61" w:rsidRPr="00771368" w:rsidRDefault="00D24E61" w:rsidP="00D24E61">
      <w:pPr>
        <w:spacing w:line="360" w:lineRule="auto"/>
        <w:ind w:firstLine="708"/>
        <w:jc w:val="both"/>
        <w:rPr>
          <w:sz w:val="24"/>
          <w:szCs w:val="24"/>
        </w:rPr>
      </w:pPr>
      <w:r w:rsidRPr="00771368">
        <w:rPr>
          <w:sz w:val="24"/>
          <w:szCs w:val="24"/>
        </w:rPr>
        <w:t>Assim, o Brasil dá um passo à frente em relação ao contexto geral internacional, pois adotou uma Constituição que ao reconhecer a igualdade de direitos acabou por coadunar com as reivindicações femininas, desde 1988. Como pode ser observado no exposto pelo artigo 5°:</w:t>
      </w:r>
    </w:p>
    <w:p w:rsidR="00D24E61" w:rsidRPr="00771368" w:rsidRDefault="00D24E61" w:rsidP="00D24E61">
      <w:pPr>
        <w:jc w:val="both"/>
        <w:rPr>
          <w:sz w:val="24"/>
          <w:szCs w:val="24"/>
        </w:rPr>
      </w:pPr>
    </w:p>
    <w:p w:rsidR="00D24E61" w:rsidRPr="00771368" w:rsidRDefault="00D24E61" w:rsidP="00D24E61">
      <w:pPr>
        <w:ind w:left="2268"/>
        <w:jc w:val="both"/>
      </w:pPr>
      <w:r w:rsidRPr="00771368">
        <w:rPr>
          <w:b/>
        </w:rPr>
        <w:t>Artigo 5°</w:t>
      </w:r>
      <w:r w:rsidRPr="00771368">
        <w:t xml:space="preserve"> Todos são iguais perante a lei, sem distinção de qualquer natureza, garantindo-se aos brasileiros e aos estrangeiros residentes no País a inviolabilidade do direito à vida, à liberdade, à igualdade, à segurança e à propriedade, nos termos seguintes: (EC n° 45/2004)</w:t>
      </w:r>
    </w:p>
    <w:p w:rsidR="00D24E61" w:rsidRPr="00771368" w:rsidRDefault="00D24E61" w:rsidP="00D24E61">
      <w:pPr>
        <w:ind w:left="2268"/>
        <w:jc w:val="both"/>
        <w:rPr>
          <w:sz w:val="24"/>
          <w:szCs w:val="24"/>
        </w:rPr>
      </w:pPr>
      <w:r w:rsidRPr="00771368">
        <w:t>I – homens e mulheres são iguais em direitos e obrigações, nos termos desta Constituição; [...] (BRASIL, 2008, p. 08, grifos do autor).</w:t>
      </w:r>
    </w:p>
    <w:p w:rsidR="00D24E61" w:rsidRPr="00771368" w:rsidRDefault="00D24E61" w:rsidP="00D24E61">
      <w:pPr>
        <w:jc w:val="both"/>
        <w:rPr>
          <w:sz w:val="24"/>
          <w:szCs w:val="24"/>
        </w:rPr>
      </w:pPr>
    </w:p>
    <w:p w:rsidR="00D24E61" w:rsidRPr="00771368" w:rsidRDefault="00D24E61" w:rsidP="00D24E61">
      <w:pPr>
        <w:spacing w:line="360" w:lineRule="auto"/>
        <w:ind w:firstLine="708"/>
        <w:jc w:val="both"/>
        <w:rPr>
          <w:sz w:val="24"/>
          <w:szCs w:val="24"/>
        </w:rPr>
      </w:pPr>
      <w:r w:rsidRPr="00771368">
        <w:rPr>
          <w:sz w:val="24"/>
          <w:szCs w:val="24"/>
        </w:rPr>
        <w:t xml:space="preserve">É pertinente recordar as reflexões de Ana Caroline Silva (2005), que considera a Carta de 1988 como a primeira Constituição Brasileira que instituiu como princípio fundamental os direitos humanos. Por meio dessa concepção foram estabelecidas as normas de conduta brasileira no cenário internacional, pois fixou novos valores, agora relevantes para a agenda internacional. </w:t>
      </w:r>
    </w:p>
    <w:p w:rsidR="00D24E61" w:rsidRPr="00771368" w:rsidRDefault="00D24E61" w:rsidP="00D24E61">
      <w:pPr>
        <w:spacing w:line="360" w:lineRule="auto"/>
        <w:ind w:firstLine="708"/>
        <w:jc w:val="both"/>
        <w:rPr>
          <w:sz w:val="24"/>
          <w:szCs w:val="24"/>
        </w:rPr>
      </w:pPr>
      <w:r w:rsidRPr="00771368">
        <w:rPr>
          <w:sz w:val="24"/>
          <w:szCs w:val="24"/>
        </w:rPr>
        <w:t>Não se pode esquecer de destacar que os avanços em relação aos direitos humanos femininos, obtidos tanto a nível constitucional, quanto internacional, são reflexo das reivindicações das mulheres, que viviam e ainda vivem numa cultura pautada nas práticas de discriminatórias em relação à mulher. Piovesan (2003) revela que:</w:t>
      </w:r>
    </w:p>
    <w:p w:rsidR="00D24E61" w:rsidRPr="00771368" w:rsidRDefault="00D24E61" w:rsidP="00D24E61">
      <w:pPr>
        <w:jc w:val="both"/>
      </w:pPr>
    </w:p>
    <w:p w:rsidR="00D24E61" w:rsidRPr="00771368" w:rsidRDefault="00D24E61" w:rsidP="00D24E61">
      <w:pPr>
        <w:ind w:left="2268"/>
        <w:jc w:val="both"/>
      </w:pPr>
      <w:r w:rsidRPr="00771368">
        <w:t>[...] é necessário frisar que a Constituição Brasileira de 1988 constitui o marco jurídico da transição democrática e da institucionalização dos direitos humanos no Brasil. O texto de 1988, ao simbolizar a ruptura com o regime autoritário, empresta aos direitos e garantias ênfase extraordinária, situando-se como o documento mais avançado, abrangente e pormenorizado sobre a matéria, na história constitucional do país. (PIOVESAN, 2003, p. 44).</w:t>
      </w:r>
    </w:p>
    <w:p w:rsidR="00D24E61" w:rsidRPr="00771368" w:rsidRDefault="00D24E61" w:rsidP="00D24E61">
      <w:pPr>
        <w:jc w:val="both"/>
      </w:pPr>
    </w:p>
    <w:p w:rsidR="00D24E61" w:rsidRPr="00771368" w:rsidRDefault="00D24E61" w:rsidP="00D24E61">
      <w:pPr>
        <w:spacing w:line="360" w:lineRule="auto"/>
        <w:ind w:firstLine="708"/>
        <w:jc w:val="both"/>
        <w:rPr>
          <w:sz w:val="24"/>
          <w:szCs w:val="24"/>
        </w:rPr>
      </w:pPr>
      <w:r w:rsidRPr="00771368">
        <w:rPr>
          <w:sz w:val="24"/>
          <w:szCs w:val="24"/>
        </w:rPr>
        <w:t>Ainda levando-se em conta as questões ligadas à Constituição Brasileira é preciso enfatizar que os direitos humanos, advindos dos tratados internacionais sobre o tema, possuem uma natureza de norma constitucional. Tal tratamento jurídico faz com que os tratados internacionais de direitos humanos sejam considerados de forma especial e distinta dos demais tratados. Segundo Piovesan (2003), os tratados internacionais comuns visam o equilíbrio e a reciprocidade nas relações entre os Estados que deles participam, já os tratados de direitos humanos “[...] objetivam a salvaguarda dos direitos do ser humano e não das prerrogativas dos Estados” (PIOVESAN, 2003, p. 47). Por isso, os tratados internacionais que protegem os direitos humanos possuem o caráter hierárquico de norma constitucional. Nesse sentido Piovesan (2003) revela, ainda, que:</w:t>
      </w:r>
    </w:p>
    <w:p w:rsidR="00D24E61" w:rsidRPr="00771368" w:rsidRDefault="00D24E61" w:rsidP="00D24E61">
      <w:pPr>
        <w:jc w:val="both"/>
        <w:rPr>
          <w:sz w:val="24"/>
          <w:szCs w:val="24"/>
        </w:rPr>
      </w:pPr>
    </w:p>
    <w:p w:rsidR="00D24E61" w:rsidRPr="00771368" w:rsidRDefault="00D24E61" w:rsidP="00D24E61">
      <w:pPr>
        <w:ind w:left="2268"/>
        <w:jc w:val="both"/>
      </w:pPr>
      <w:r w:rsidRPr="00771368">
        <w:t>[...] No que se refere à incorporação automática, diversamente dos tratados tradicionais, os tratados internacionais de direitos humanos irradiam efeitos concomitantemente na ordem jurídica internacional e nacional, a partir do ato da ratificação. Não é necessária a produção de um ato normativo que reproduza no ordenamento jurídico nacional o conteúdo do tratado, pois sua incorporação é automática, nos termos do art. 5º, § 1º, que consagra o princípio da aplicabilidade imediata das normas definidoras de direitos e garantias fundamentais (PIOVESAN, 2003, p. 47).</w:t>
      </w:r>
    </w:p>
    <w:p w:rsidR="00D24E61" w:rsidRPr="00771368" w:rsidRDefault="00D24E61" w:rsidP="00D24E61">
      <w:pPr>
        <w:jc w:val="both"/>
        <w:rPr>
          <w:sz w:val="24"/>
          <w:szCs w:val="24"/>
        </w:rPr>
      </w:pPr>
    </w:p>
    <w:p w:rsidR="00D24E61" w:rsidRPr="00771368" w:rsidRDefault="00D24E61" w:rsidP="00D24E61">
      <w:pPr>
        <w:spacing w:line="360" w:lineRule="auto"/>
        <w:ind w:firstLine="708"/>
        <w:jc w:val="both"/>
        <w:rPr>
          <w:sz w:val="24"/>
          <w:szCs w:val="24"/>
        </w:rPr>
      </w:pPr>
      <w:r w:rsidRPr="00771368">
        <w:rPr>
          <w:sz w:val="24"/>
          <w:szCs w:val="24"/>
        </w:rPr>
        <w:t xml:space="preserve">Sobre isso, Silva (2005), mostra que há uma incorporação automática no contexto normativo, vai garantir ao cidadão brasileiro a possibilidade de invocar pelos direitos garantidos no tratado e a segurança de que esses direitos não sejam violados. </w:t>
      </w:r>
    </w:p>
    <w:p w:rsidR="00D24E61" w:rsidRPr="00771368" w:rsidRDefault="00D24E61" w:rsidP="00D24E61">
      <w:pPr>
        <w:ind w:left="2268"/>
        <w:jc w:val="both"/>
      </w:pPr>
    </w:p>
    <w:p w:rsidR="00D24E61" w:rsidRPr="00771368" w:rsidRDefault="00D24E61" w:rsidP="00D24E61">
      <w:pPr>
        <w:ind w:left="2268"/>
        <w:jc w:val="both"/>
      </w:pPr>
      <w:r w:rsidRPr="00771368">
        <w:t>Em síntese, os tratados internacionais de direitos humanos inovam significamente o universo dos direitos nacionalmente consagrados – ora reforçando sua imperatividade jurídica, ora adicionando novos direitos, ora suspendendo preceitos que sejam menos favoráveis à proteção dos direitos humanos. Em todas essas três hipóteses, os direitos internacionais constantes dos tratados de direitos humanos apenas vêm a aprimorar e fortalecer, nunca a restringir ou debilitar, o grau de proteção dos direitos consagrados no plano normativo constitucional (PIOVESAN, 2003, p. 56).</w:t>
      </w:r>
    </w:p>
    <w:p w:rsidR="00D24E61" w:rsidRPr="00771368" w:rsidRDefault="00D24E61" w:rsidP="00D24E61">
      <w:pPr>
        <w:jc w:val="both"/>
        <w:rPr>
          <w:sz w:val="24"/>
          <w:szCs w:val="24"/>
        </w:rPr>
      </w:pPr>
    </w:p>
    <w:p w:rsidR="00D24E61" w:rsidRPr="00771368" w:rsidRDefault="00D24E61" w:rsidP="00D24E61">
      <w:pPr>
        <w:spacing w:line="360" w:lineRule="auto"/>
        <w:ind w:firstLine="708"/>
        <w:jc w:val="both"/>
        <w:rPr>
          <w:sz w:val="24"/>
          <w:szCs w:val="24"/>
        </w:rPr>
      </w:pPr>
      <w:r w:rsidRPr="00771368">
        <w:rPr>
          <w:sz w:val="24"/>
          <w:szCs w:val="24"/>
        </w:rPr>
        <w:t>Por meio da Carta de 1988 abriu-se um arcabouço de possibilidades para que o Brasil pudesse ampliar o tratamento e a forma de lidar com a parcela da sociedade carente de uma atenção especial do Estado. Os tratados internacionais figuram como um elemento importante para que a normativa máxima do estado brasileiro tivesse um aparato de proteção ao ser humano cada vez mais completo.</w:t>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b/>
          <w:sz w:val="24"/>
          <w:szCs w:val="24"/>
        </w:rPr>
      </w:pPr>
      <w:r w:rsidRPr="00771368">
        <w:rPr>
          <w:b/>
          <w:sz w:val="24"/>
          <w:szCs w:val="24"/>
        </w:rPr>
        <w:t>A ação ativa do Estado brasileiro</w:t>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ind w:firstLine="708"/>
        <w:jc w:val="both"/>
        <w:rPr>
          <w:sz w:val="24"/>
          <w:szCs w:val="24"/>
        </w:rPr>
      </w:pPr>
      <w:r w:rsidRPr="00771368">
        <w:rPr>
          <w:sz w:val="24"/>
          <w:szCs w:val="24"/>
        </w:rPr>
        <w:t>A primeira consideração a se fazer sobre a atuação do Estado brasileiro a favor da defesa dos direitos humanos e, por conseguinte, dos direitos brasileiros é que o Brasil, além de ratificar os tratados internacionais sobre tais direitos, participou de forma ativa da elaboração desses instrumentos, por meio da participação nas conferências que os constituíram.</w:t>
      </w:r>
    </w:p>
    <w:p w:rsidR="00D24E61" w:rsidRPr="00771368" w:rsidRDefault="00D24E61" w:rsidP="00D24E61">
      <w:pPr>
        <w:spacing w:line="360" w:lineRule="auto"/>
        <w:ind w:firstLine="708"/>
        <w:jc w:val="both"/>
        <w:rPr>
          <w:sz w:val="24"/>
          <w:szCs w:val="24"/>
        </w:rPr>
      </w:pPr>
      <w:r w:rsidRPr="00771368">
        <w:rPr>
          <w:sz w:val="24"/>
          <w:szCs w:val="24"/>
        </w:rPr>
        <w:t>Silva (2005) afirma, que com a democratização brasileira, o país ratificou os principais tratados que faltavam sobre as questões de direitos humanos, apresentado, atualmente, um cenário completo nesse sentido. Fato que pode ser observado no quadro a seguir, no entanto, é pertinente salientar que de acordo com Maia (2011), o Brasil é participante da maioria dos tratados sobre direitos humanos em nível das Nações Unidas, porém os mais relevantes estão citados no quadro:</w:t>
      </w:r>
    </w:p>
    <w:p w:rsidR="00D24E61" w:rsidRPr="00771368" w:rsidRDefault="00D24E61" w:rsidP="00D24E61">
      <w:pPr>
        <w:spacing w:line="360" w:lineRule="auto"/>
        <w:jc w:val="both"/>
        <w:rPr>
          <w:sz w:val="24"/>
          <w:szCs w:val="24"/>
        </w:rPr>
      </w:pP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9"/>
        <w:gridCol w:w="2105"/>
        <w:gridCol w:w="1966"/>
        <w:gridCol w:w="3206"/>
      </w:tblGrid>
      <w:tr w:rsidR="00D24E61" w:rsidRPr="00771368" w:rsidTr="00D24E61">
        <w:trPr>
          <w:trHeight w:val="296"/>
          <w:jc w:val="center"/>
        </w:trPr>
        <w:tc>
          <w:tcPr>
            <w:tcW w:w="1869" w:type="dxa"/>
          </w:tcPr>
          <w:p w:rsidR="00D24E61" w:rsidRPr="00771368" w:rsidRDefault="00D24E61" w:rsidP="00D24E61">
            <w:pPr>
              <w:pStyle w:val="Pa1"/>
              <w:spacing w:line="360" w:lineRule="auto"/>
              <w:jc w:val="center"/>
              <w:rPr>
                <w:rFonts w:ascii="Times New Roman" w:hAnsi="Times New Roman"/>
                <w:b/>
                <w:color w:val="000000"/>
                <w:sz w:val="20"/>
                <w:szCs w:val="20"/>
              </w:rPr>
            </w:pPr>
            <w:r w:rsidRPr="00771368">
              <w:rPr>
                <w:rStyle w:val="A1"/>
                <w:rFonts w:ascii="Times New Roman" w:hAnsi="Times New Roman" w:cs="Times New Roman"/>
                <w:b/>
                <w:sz w:val="20"/>
                <w:szCs w:val="20"/>
              </w:rPr>
              <w:t>Tratado</w:t>
            </w:r>
          </w:p>
        </w:tc>
        <w:tc>
          <w:tcPr>
            <w:tcW w:w="2105" w:type="dxa"/>
          </w:tcPr>
          <w:p w:rsidR="00D24E61" w:rsidRPr="00771368" w:rsidRDefault="00D24E61" w:rsidP="00D24E61">
            <w:pPr>
              <w:pStyle w:val="Pa1"/>
              <w:spacing w:line="360" w:lineRule="auto"/>
              <w:jc w:val="center"/>
              <w:rPr>
                <w:rFonts w:ascii="Times New Roman" w:hAnsi="Times New Roman"/>
                <w:b/>
                <w:color w:val="000000"/>
                <w:sz w:val="20"/>
                <w:szCs w:val="20"/>
              </w:rPr>
            </w:pPr>
            <w:r w:rsidRPr="00771368">
              <w:rPr>
                <w:rStyle w:val="A1"/>
                <w:rFonts w:ascii="Times New Roman" w:hAnsi="Times New Roman" w:cs="Times New Roman"/>
                <w:b/>
                <w:sz w:val="20"/>
                <w:szCs w:val="20"/>
              </w:rPr>
              <w:t>Incorporação ao direito brasileiro</w:t>
            </w:r>
          </w:p>
        </w:tc>
        <w:tc>
          <w:tcPr>
            <w:tcW w:w="1966" w:type="dxa"/>
          </w:tcPr>
          <w:p w:rsidR="00D24E61" w:rsidRPr="00771368" w:rsidRDefault="00D24E61" w:rsidP="00D24E61">
            <w:pPr>
              <w:pStyle w:val="Pa1"/>
              <w:spacing w:line="360" w:lineRule="auto"/>
              <w:jc w:val="center"/>
              <w:rPr>
                <w:rFonts w:ascii="Times New Roman" w:hAnsi="Times New Roman"/>
                <w:b/>
                <w:color w:val="000000"/>
                <w:sz w:val="20"/>
                <w:szCs w:val="20"/>
              </w:rPr>
            </w:pPr>
            <w:r w:rsidRPr="00771368">
              <w:rPr>
                <w:rStyle w:val="A1"/>
                <w:rFonts w:ascii="Times New Roman" w:hAnsi="Times New Roman" w:cs="Times New Roman"/>
                <w:b/>
                <w:sz w:val="20"/>
                <w:szCs w:val="20"/>
              </w:rPr>
              <w:t>Órgão de monitoramento</w:t>
            </w:r>
          </w:p>
        </w:tc>
        <w:tc>
          <w:tcPr>
            <w:tcW w:w="3206" w:type="dxa"/>
          </w:tcPr>
          <w:p w:rsidR="00D24E61" w:rsidRPr="00771368" w:rsidRDefault="00D24E61" w:rsidP="00D24E61">
            <w:pPr>
              <w:pStyle w:val="Pa1"/>
              <w:spacing w:line="360" w:lineRule="auto"/>
              <w:jc w:val="center"/>
              <w:rPr>
                <w:rFonts w:ascii="Times New Roman" w:hAnsi="Times New Roman"/>
                <w:b/>
                <w:color w:val="000000"/>
                <w:sz w:val="20"/>
                <w:szCs w:val="20"/>
              </w:rPr>
            </w:pPr>
            <w:r w:rsidRPr="00771368">
              <w:rPr>
                <w:rStyle w:val="A1"/>
                <w:rFonts w:ascii="Times New Roman" w:hAnsi="Times New Roman" w:cs="Times New Roman"/>
                <w:b/>
                <w:sz w:val="20"/>
                <w:szCs w:val="20"/>
              </w:rPr>
              <w:t>Mecanismo de monitoramento</w:t>
            </w:r>
          </w:p>
        </w:tc>
      </w:tr>
      <w:tr w:rsidR="00D24E61" w:rsidRPr="00771368" w:rsidTr="00D24E61">
        <w:trPr>
          <w:trHeight w:val="386"/>
          <w:jc w:val="center"/>
        </w:trPr>
        <w:tc>
          <w:tcPr>
            <w:tcW w:w="1869"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Pacto Internacional dos Direitos Civis e Políticos</w:t>
            </w:r>
          </w:p>
        </w:tc>
        <w:tc>
          <w:tcPr>
            <w:tcW w:w="2105"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Dec. 592, de 7.7.1992</w:t>
            </w:r>
          </w:p>
        </w:tc>
        <w:tc>
          <w:tcPr>
            <w:tcW w:w="196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Comitê de Direitos Humanos HRC</w:t>
            </w:r>
          </w:p>
        </w:tc>
        <w:tc>
          <w:tcPr>
            <w:tcW w:w="320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Relatórios periódicos e petições individuais, para quem assinou o Protocolo Opcional. O Brasil não assinou o protocolo.</w:t>
            </w:r>
          </w:p>
        </w:tc>
      </w:tr>
      <w:tr w:rsidR="00D24E61" w:rsidRPr="00771368" w:rsidTr="00D24E61">
        <w:trPr>
          <w:trHeight w:val="386"/>
          <w:jc w:val="center"/>
        </w:trPr>
        <w:tc>
          <w:tcPr>
            <w:tcW w:w="1869"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Pacto Internacional de Direitos Econômicos, Sociais e Culturais</w:t>
            </w:r>
          </w:p>
        </w:tc>
        <w:tc>
          <w:tcPr>
            <w:tcW w:w="2105"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Dec. 592, de 7.7.1992</w:t>
            </w:r>
          </w:p>
        </w:tc>
        <w:tc>
          <w:tcPr>
            <w:tcW w:w="196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Comitê de Direitos Econômicos Sociais e Culturais CESCR</w:t>
            </w:r>
          </w:p>
        </w:tc>
        <w:tc>
          <w:tcPr>
            <w:tcW w:w="320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Relatórios periódicos</w:t>
            </w:r>
          </w:p>
        </w:tc>
      </w:tr>
      <w:tr w:rsidR="00D24E61" w:rsidRPr="00771368" w:rsidTr="00D24E61">
        <w:trPr>
          <w:trHeight w:val="476"/>
          <w:jc w:val="center"/>
        </w:trPr>
        <w:tc>
          <w:tcPr>
            <w:tcW w:w="1869"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Convenção Internacional para Eliminação da Discriminação Racial</w:t>
            </w:r>
          </w:p>
        </w:tc>
        <w:tc>
          <w:tcPr>
            <w:tcW w:w="2105"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Decreto 65.810, 9.12.69.</w:t>
            </w:r>
          </w:p>
        </w:tc>
        <w:tc>
          <w:tcPr>
            <w:tcW w:w="196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Comitê para Eliminação da Discriminação Racial CERD</w:t>
            </w:r>
          </w:p>
        </w:tc>
        <w:tc>
          <w:tcPr>
            <w:tcW w:w="320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Relatórios periódicos e petições individuais, para quem assinou o Protocolo Opcional. O Brasil não assinou o protocolo</w:t>
            </w:r>
          </w:p>
        </w:tc>
      </w:tr>
      <w:tr w:rsidR="00D24E61" w:rsidRPr="00771368" w:rsidTr="00D24E61">
        <w:trPr>
          <w:trHeight w:val="476"/>
          <w:jc w:val="center"/>
        </w:trPr>
        <w:tc>
          <w:tcPr>
            <w:tcW w:w="1869"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Convenção sobre a Eliminação de todas as formas de Discriminação contra a Mulher</w:t>
            </w:r>
          </w:p>
        </w:tc>
        <w:tc>
          <w:tcPr>
            <w:tcW w:w="2105"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Decreto 89.460, de 20.3.1984</w:t>
            </w:r>
          </w:p>
        </w:tc>
        <w:tc>
          <w:tcPr>
            <w:tcW w:w="196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Comitê para Eliminação da Discriminação Contra a Mulher CEDAW</w:t>
            </w:r>
          </w:p>
        </w:tc>
        <w:tc>
          <w:tcPr>
            <w:tcW w:w="320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Relatórios periódicos</w:t>
            </w:r>
          </w:p>
        </w:tc>
      </w:tr>
      <w:tr w:rsidR="00D24E61" w:rsidRPr="00771368" w:rsidTr="00D24E61">
        <w:trPr>
          <w:trHeight w:val="296"/>
          <w:jc w:val="center"/>
        </w:trPr>
        <w:tc>
          <w:tcPr>
            <w:tcW w:w="1869"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Convenção sobre os Direitos da Criança</w:t>
            </w:r>
          </w:p>
        </w:tc>
        <w:tc>
          <w:tcPr>
            <w:tcW w:w="2105"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Decreto 99.710, de 21.11.1990</w:t>
            </w:r>
          </w:p>
        </w:tc>
        <w:tc>
          <w:tcPr>
            <w:tcW w:w="196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Comitê sobre os Direitos da Criança CRC</w:t>
            </w:r>
          </w:p>
        </w:tc>
        <w:tc>
          <w:tcPr>
            <w:tcW w:w="320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Relatórios Periódicos</w:t>
            </w:r>
          </w:p>
        </w:tc>
      </w:tr>
      <w:tr w:rsidR="00D24E61" w:rsidRPr="00771368" w:rsidTr="00D24E61">
        <w:trPr>
          <w:trHeight w:val="566"/>
          <w:jc w:val="center"/>
        </w:trPr>
        <w:tc>
          <w:tcPr>
            <w:tcW w:w="1869"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Convenção Contra a Tortura e Outras Penas ou Tratamentos Desumanos ou Cruéis</w:t>
            </w:r>
          </w:p>
        </w:tc>
        <w:tc>
          <w:tcPr>
            <w:tcW w:w="2105"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Decreto 98.386 de 09.11.89</w:t>
            </w:r>
          </w:p>
        </w:tc>
        <w:tc>
          <w:tcPr>
            <w:tcW w:w="196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Comitê Contra a Tortura CAT</w:t>
            </w:r>
          </w:p>
        </w:tc>
        <w:tc>
          <w:tcPr>
            <w:tcW w:w="3206" w:type="dxa"/>
          </w:tcPr>
          <w:p w:rsidR="00D24E61" w:rsidRPr="00771368" w:rsidRDefault="00D24E61" w:rsidP="00D24E61">
            <w:pPr>
              <w:pStyle w:val="Pa8"/>
              <w:spacing w:line="360" w:lineRule="auto"/>
              <w:rPr>
                <w:rFonts w:ascii="Times New Roman" w:hAnsi="Times New Roman"/>
                <w:color w:val="000000"/>
                <w:sz w:val="20"/>
                <w:szCs w:val="20"/>
              </w:rPr>
            </w:pPr>
            <w:r w:rsidRPr="00771368">
              <w:rPr>
                <w:rStyle w:val="A1"/>
                <w:rFonts w:ascii="Times New Roman" w:hAnsi="Times New Roman" w:cs="Times New Roman"/>
                <w:sz w:val="20"/>
                <w:szCs w:val="20"/>
              </w:rPr>
              <w:t>Relatórios periódicos e petições individuais, para quem assinou o Protocolo Opcional. O Brasil não assinou o protocolo</w:t>
            </w:r>
          </w:p>
        </w:tc>
      </w:tr>
    </w:tbl>
    <w:p w:rsidR="00D24E61" w:rsidRPr="00771368" w:rsidRDefault="00D24E61" w:rsidP="00D24E61">
      <w:pPr>
        <w:spacing w:line="360" w:lineRule="auto"/>
        <w:jc w:val="both"/>
        <w:rPr>
          <w:i/>
          <w:iCs/>
          <w:sz w:val="20"/>
          <w:szCs w:val="20"/>
        </w:rPr>
      </w:pPr>
      <w:r w:rsidRPr="00771368">
        <w:rPr>
          <w:sz w:val="20"/>
          <w:szCs w:val="20"/>
        </w:rPr>
        <w:t xml:space="preserve">Fonte: </w:t>
      </w:r>
      <w:r w:rsidRPr="00771368">
        <w:rPr>
          <w:i/>
          <w:iCs/>
          <w:sz w:val="20"/>
          <w:szCs w:val="20"/>
        </w:rPr>
        <w:t>www.dhnet.org.br</w:t>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ind w:firstLine="708"/>
        <w:jc w:val="both"/>
        <w:rPr>
          <w:sz w:val="24"/>
          <w:szCs w:val="24"/>
        </w:rPr>
      </w:pPr>
      <w:r w:rsidRPr="00771368">
        <w:rPr>
          <w:sz w:val="24"/>
          <w:szCs w:val="24"/>
        </w:rPr>
        <w:t>As convenções são referências dos compromissos internacionais do Estado que vão se materializar nos instrumentos internos de ação. Nacionalmente, tem-se a medida de proteção dos direitos humanos, considerada a mais abrangente por Silva (2005), o Programa Nacional de Direitos Humanos (PNDH). O PNDH destaca a ação conjunta entre Estado e sociedade a favor da promoção dos direitos em questão. Resultado das recomendações advindas da Conferência de Viena de 1993:</w:t>
      </w:r>
    </w:p>
    <w:p w:rsidR="00D24E61" w:rsidRPr="00771368" w:rsidRDefault="00D24E61" w:rsidP="00D24E61">
      <w:pPr>
        <w:jc w:val="both"/>
        <w:rPr>
          <w:sz w:val="24"/>
          <w:szCs w:val="24"/>
        </w:rPr>
      </w:pPr>
    </w:p>
    <w:p w:rsidR="00D24E61" w:rsidRPr="00771368" w:rsidRDefault="00D24E61" w:rsidP="00D24E61">
      <w:pPr>
        <w:ind w:left="2268"/>
        <w:jc w:val="both"/>
      </w:pPr>
      <w:r w:rsidRPr="00771368">
        <w:t>O objetivo do Programa Nacional de Direitos Humanos é identificar os principais obstáculos à promoção e proteção dos direitos humanos no Brasil, escolher prioridades e a partir de então apresentar propostas de caráter administrativo, legislativo e político-cultural que venham a equacionar os mais graves problemas que dificultam a sua realização (SILVA, 2005, p. 28-29).</w:t>
      </w:r>
    </w:p>
    <w:p w:rsidR="00D24E61" w:rsidRPr="00771368" w:rsidRDefault="00D24E61" w:rsidP="00D24E61">
      <w:pPr>
        <w:jc w:val="both"/>
        <w:rPr>
          <w:sz w:val="24"/>
          <w:szCs w:val="24"/>
        </w:rPr>
      </w:pPr>
    </w:p>
    <w:p w:rsidR="00D24E61" w:rsidRPr="00771368" w:rsidRDefault="00D24E61" w:rsidP="00D24E61">
      <w:pPr>
        <w:spacing w:line="360" w:lineRule="auto"/>
        <w:ind w:firstLine="708"/>
        <w:jc w:val="both"/>
        <w:rPr>
          <w:sz w:val="24"/>
          <w:szCs w:val="24"/>
        </w:rPr>
      </w:pPr>
      <w:r w:rsidRPr="00771368">
        <w:rPr>
          <w:sz w:val="24"/>
          <w:szCs w:val="24"/>
        </w:rPr>
        <w:t>Um programa de aplicação geral a respeito dos direitos humanos, o PNDH é de suma importância para a garantia de direitos fundamentais da sociedade brasileira. No entanto, surgiu a necessidade de ampliar o programa, para tanto, criou-se o PNDH II, com o objetivo de expandir as metas do primeiro programa e de dar mais ênfase às reivindicações da sociedade. Por isso,</w:t>
      </w:r>
    </w:p>
    <w:p w:rsidR="00D24E61" w:rsidRPr="00771368" w:rsidRDefault="00D24E61" w:rsidP="00D24E61">
      <w:pPr>
        <w:jc w:val="both"/>
        <w:rPr>
          <w:sz w:val="24"/>
          <w:szCs w:val="24"/>
        </w:rPr>
      </w:pPr>
    </w:p>
    <w:p w:rsidR="00D24E61" w:rsidRPr="00771368" w:rsidRDefault="00D24E61" w:rsidP="00D24E61">
      <w:pPr>
        <w:ind w:left="2268"/>
        <w:jc w:val="both"/>
      </w:pPr>
      <w:r w:rsidRPr="00771368">
        <w:t xml:space="preserve">O PNDH II reforça dentre outras coisas, as medidas de combate à discriminação contra os grupos mais vulneráveis, menos favorecidos da sociedade. Estabelecendo novas metas para promoção dos direitos da criança e adolescentes, dos idosos, dos povos indígenas, das </w:t>
      </w:r>
      <w:r w:rsidRPr="00771368">
        <w:rPr>
          <w:i/>
        </w:rPr>
        <w:t>mulheres</w:t>
      </w:r>
      <w:r w:rsidRPr="00771368">
        <w:t>, dos homossexuais, das pessoas portadoras de deficiência, dos ciganos, dos afrodescendentes e dos estrangeiros, migrantes e refugiados (SILVA, 2005, p. 29, grifos nossos).</w:t>
      </w:r>
    </w:p>
    <w:p w:rsidR="00D24E61" w:rsidRPr="00771368" w:rsidRDefault="00D24E61" w:rsidP="00D24E61">
      <w:pPr>
        <w:jc w:val="both"/>
      </w:pPr>
    </w:p>
    <w:p w:rsidR="00D24E61" w:rsidRPr="00771368" w:rsidRDefault="00D24E61" w:rsidP="00D24E61">
      <w:pPr>
        <w:spacing w:line="360" w:lineRule="auto"/>
        <w:ind w:firstLine="708"/>
        <w:jc w:val="both"/>
        <w:rPr>
          <w:sz w:val="24"/>
          <w:szCs w:val="24"/>
        </w:rPr>
      </w:pPr>
      <w:r w:rsidRPr="00771368">
        <w:rPr>
          <w:sz w:val="24"/>
          <w:szCs w:val="24"/>
        </w:rPr>
        <w:t xml:space="preserve">O novo Programa Nacional de Direitos Humanos foca-se agora em situações e direitos de grupos específicos, como as mulheres, permitindo uma maior expressão e atenção às suas necessidades. Por isso o Brasil, ganhou fama mundial pelas iniciativas e trabalhos comprometidos com a promoção da igualdade entre os gêneros. Wagner Soares (2011) destaca que: </w:t>
      </w:r>
    </w:p>
    <w:p w:rsidR="00D24E61" w:rsidRPr="00771368" w:rsidRDefault="00D24E61" w:rsidP="00D24E61">
      <w:pPr>
        <w:ind w:left="2268"/>
        <w:jc w:val="both"/>
      </w:pPr>
    </w:p>
    <w:p w:rsidR="00D24E61" w:rsidRPr="00771368" w:rsidRDefault="00D24E61" w:rsidP="00D24E61">
      <w:pPr>
        <w:autoSpaceDE w:val="0"/>
        <w:autoSpaceDN w:val="0"/>
        <w:adjustRightInd w:val="0"/>
        <w:ind w:left="2268"/>
        <w:jc w:val="both"/>
      </w:pPr>
      <w:r w:rsidRPr="00771368">
        <w:t>Da década de 80 ao novo milênio, figuram como conquistas: as delegacias da mulher, as casas abrigo, os conselhos de direitos da mulher, os núcleos de estudos, e diversas associações, grupos e organizações não-governamentais que desenvolvem projetos e ações de prevenção, atendimento especializado a mulheres e a agressores, formação de promotoras legais, influência em políticas públicas, pesquisa, assessoria, entre muitas outras ações (SOARES, 2011, p. 03).</w:t>
      </w:r>
    </w:p>
    <w:p w:rsidR="00D24E61" w:rsidRPr="00771368" w:rsidRDefault="00D24E61" w:rsidP="00D24E61">
      <w:pPr>
        <w:ind w:left="2268"/>
        <w:jc w:val="both"/>
        <w:rPr>
          <w:b/>
        </w:rPr>
      </w:pPr>
    </w:p>
    <w:p w:rsidR="00D24E61" w:rsidRPr="00771368" w:rsidRDefault="00D24E61" w:rsidP="00D24E61">
      <w:pPr>
        <w:spacing w:line="360" w:lineRule="auto"/>
        <w:ind w:firstLine="708"/>
        <w:jc w:val="both"/>
        <w:rPr>
          <w:sz w:val="24"/>
          <w:szCs w:val="24"/>
        </w:rPr>
      </w:pPr>
      <w:r w:rsidRPr="00771368">
        <w:rPr>
          <w:sz w:val="24"/>
          <w:szCs w:val="24"/>
        </w:rPr>
        <w:t>O protagonismo do Estado aparece nos mais diversos âmbitos da sociedade brasileira. Já em 1985, representando também uma precocidade o País em relação à atenção voltada para a mulher, criou-se o Conselho Nacional de Direitos da Mulher (CNDM), que tem por função a elaboração, proposição e monitoramento das políticas públicas voltadas para as mulheres. Evidencia-se, aqui, o papel das conselheiras, que de acordo com Gema Esmeraldo e Magnólia Said (2002):</w:t>
      </w:r>
    </w:p>
    <w:p w:rsidR="00D24E61" w:rsidRPr="00771368" w:rsidRDefault="00D24E61" w:rsidP="00D24E61">
      <w:pPr>
        <w:jc w:val="both"/>
        <w:rPr>
          <w:sz w:val="24"/>
          <w:szCs w:val="24"/>
        </w:rPr>
      </w:pPr>
    </w:p>
    <w:p w:rsidR="00D24E61" w:rsidRPr="00771368" w:rsidRDefault="00D24E61" w:rsidP="00D24E61">
      <w:pPr>
        <w:ind w:left="2268"/>
        <w:jc w:val="both"/>
      </w:pPr>
      <w:r w:rsidRPr="00771368">
        <w:t>[...] é fundamental para garantir a participação de mulheres oriundas de sindicatos rurais e urbanos nos projetos, de movimentos feministas, de associações de mulheres e de entidades de classe. Pode-se atribuir esse atendimento da sociedade civil ao chamado do Conselho à legitimidade garantida às conselheiras pelos movimentos democráticos e populares. (ESMERALDO; SAID, 2002, p. 53-54).</w:t>
      </w:r>
    </w:p>
    <w:p w:rsidR="00D24E61" w:rsidRPr="00771368" w:rsidRDefault="00D24E61" w:rsidP="00D24E61">
      <w:pPr>
        <w:jc w:val="both"/>
        <w:rPr>
          <w:sz w:val="24"/>
          <w:szCs w:val="24"/>
        </w:rPr>
      </w:pPr>
    </w:p>
    <w:p w:rsidR="00D24E61" w:rsidRPr="00771368" w:rsidRDefault="00D24E61" w:rsidP="00D24E61">
      <w:pPr>
        <w:autoSpaceDE w:val="0"/>
        <w:autoSpaceDN w:val="0"/>
        <w:adjustRightInd w:val="0"/>
        <w:spacing w:line="360" w:lineRule="auto"/>
        <w:ind w:firstLine="708"/>
        <w:jc w:val="both"/>
        <w:rPr>
          <w:sz w:val="24"/>
          <w:szCs w:val="24"/>
        </w:rPr>
      </w:pPr>
      <w:r w:rsidRPr="00771368">
        <w:rPr>
          <w:sz w:val="24"/>
          <w:szCs w:val="24"/>
        </w:rPr>
        <w:t>No ramo institucional, criou-se ainda no final de 2002 a Secretaria de Estado dos Direitos da Mulher, vinculada ao Ministério de Justiça. Soares afirma que esta Secretaria, durante o governo Lula, ligou-se diretamente ao gabinete da Presidência da República. Os Conselhos e Secretarias são realidade tanto no nível federal, quanto estadual e,</w:t>
      </w:r>
    </w:p>
    <w:p w:rsidR="00D24E61" w:rsidRPr="00771368" w:rsidRDefault="00D24E61" w:rsidP="00D24E61">
      <w:pPr>
        <w:autoSpaceDE w:val="0"/>
        <w:autoSpaceDN w:val="0"/>
        <w:adjustRightInd w:val="0"/>
        <w:jc w:val="both"/>
        <w:rPr>
          <w:sz w:val="24"/>
          <w:szCs w:val="24"/>
        </w:rPr>
      </w:pPr>
    </w:p>
    <w:p w:rsidR="00D24E61" w:rsidRPr="00771368" w:rsidRDefault="00D24E61" w:rsidP="00D24E61">
      <w:pPr>
        <w:autoSpaceDE w:val="0"/>
        <w:autoSpaceDN w:val="0"/>
        <w:adjustRightInd w:val="0"/>
        <w:ind w:left="2268"/>
        <w:jc w:val="both"/>
      </w:pPr>
      <w:r w:rsidRPr="00771368">
        <w:t>[...] representam canais de interlocução e parceria entre a sociedade civil e o Estado. Introduzem no aparelho do Estado não só as reivindicações, mas também influenciam a implementação e o monitoramento de políticas públicas que atendam às necessidades e aos direitos das mulheres (SOARES, 2011, p. 42).</w:t>
      </w:r>
    </w:p>
    <w:p w:rsidR="00D24E61" w:rsidRPr="00771368" w:rsidRDefault="00D24E61" w:rsidP="00D24E61">
      <w:pPr>
        <w:jc w:val="both"/>
        <w:rPr>
          <w:sz w:val="24"/>
          <w:szCs w:val="24"/>
        </w:rPr>
      </w:pPr>
    </w:p>
    <w:p w:rsidR="00D24E61" w:rsidRPr="00771368" w:rsidRDefault="00D24E61" w:rsidP="00D24E61">
      <w:pPr>
        <w:spacing w:line="360" w:lineRule="auto"/>
        <w:jc w:val="both"/>
        <w:rPr>
          <w:sz w:val="24"/>
          <w:szCs w:val="24"/>
        </w:rPr>
      </w:pPr>
      <w:r w:rsidRPr="00771368">
        <w:rPr>
          <w:sz w:val="24"/>
          <w:szCs w:val="24"/>
        </w:rPr>
        <w:t>Já as Secretarias, Assessorias e Coordenadorias são agentes políticos responsáveis por acompanhar e avaliar as políticas voltadas para as mulheres.</w:t>
      </w:r>
    </w:p>
    <w:p w:rsidR="00D24E61" w:rsidRPr="00771368" w:rsidRDefault="00D24E61" w:rsidP="00D24E61">
      <w:pPr>
        <w:spacing w:line="360" w:lineRule="auto"/>
        <w:ind w:firstLine="708"/>
        <w:jc w:val="both"/>
        <w:rPr>
          <w:sz w:val="24"/>
          <w:szCs w:val="24"/>
        </w:rPr>
      </w:pPr>
      <w:r w:rsidRPr="00771368">
        <w:rPr>
          <w:sz w:val="24"/>
          <w:szCs w:val="24"/>
        </w:rPr>
        <w:t xml:space="preserve">Buscando promover a igualdade de gênero, o governo brasileiro criou uma série de programas, como apresenta o Relatório </w:t>
      </w:r>
      <w:r w:rsidRPr="00771368">
        <w:rPr>
          <w:rStyle w:val="A0"/>
          <w:sz w:val="24"/>
          <w:szCs w:val="24"/>
        </w:rPr>
        <w:t>Nacional de Acompanhamento – 2010, da presidência da República (2010),</w:t>
      </w:r>
      <w:r w:rsidRPr="00771368">
        <w:rPr>
          <w:sz w:val="24"/>
          <w:szCs w:val="24"/>
        </w:rPr>
        <w:t xml:space="preserve"> que atuam nas mais diversas áreas influentes na vida feminina, a saber: O II Plano Nacional de Políticas para as Mulheres, busca promover os diretos das mulheres e enfrentar as desigualdades de gênero e raça; o Pacto Nacional pelo Enfrentamento de Violência contra as Mulheres, lançado em 2007; a Central de Atendimento à Mulher – Ligue 180, com a finalidade de receber as denúncias de violência, reclamações e realizar orientações ás mulheres; o Programa Gênero e Diversidade na Escola, em 2006; o Programa Mulher e Ciência, do UNIFEM, destinada ao estimulo da produção científica e reflexão sobre os temas ligados à mulher; o Programa Pró-Equidade de Gênero, com a intenção de promover relações iguais de trabalho entre homens e mulheres; o Programa Trabalho e Empreendedorismo das Mulheres, criado em 2007 com parceria do SEBRAE; dentre outros. Essa relação é bem ampla e representa a iniciativa estadual relacionada ao interesse de promover a igualdade de gênero e a reparação feminina.</w:t>
      </w:r>
    </w:p>
    <w:p w:rsidR="00D24E61" w:rsidRPr="00771368" w:rsidRDefault="00D24E61" w:rsidP="00D24E61">
      <w:pPr>
        <w:autoSpaceDE w:val="0"/>
        <w:autoSpaceDN w:val="0"/>
        <w:adjustRightInd w:val="0"/>
        <w:spacing w:line="360" w:lineRule="auto"/>
        <w:ind w:firstLine="708"/>
        <w:jc w:val="both"/>
        <w:rPr>
          <w:rStyle w:val="apple-style-span"/>
          <w:color w:val="000000"/>
          <w:sz w:val="24"/>
          <w:szCs w:val="24"/>
        </w:rPr>
      </w:pPr>
      <w:r w:rsidRPr="00771368">
        <w:rPr>
          <w:sz w:val="24"/>
          <w:szCs w:val="24"/>
        </w:rPr>
        <w:t xml:space="preserve">A mulher é beneficiada, ou melhor, usufrui das ações a nível nacional e também põe em prática ações locais, que têm por objetivo cumprir e fazer cumprir o grande aparato legislativo acerca dos direitos femininos. De início vale citar as iniciativas voltadas para mulher que vive e atua na área rural. Um dos programas importantes é o </w:t>
      </w:r>
      <w:r w:rsidRPr="00771368">
        <w:rPr>
          <w:rStyle w:val="apple-style-span"/>
          <w:color w:val="000000"/>
          <w:sz w:val="24"/>
          <w:szCs w:val="24"/>
        </w:rPr>
        <w:t>Programa Nacional de Fortalecimento da Agricultura Familiar (PRONAF) que garante à trabalhadora rural melhores condições de gerir a vida no campo. Nesse contexto, adotou-se uma medida, agora em 2011, que zera os juros do PRONAF Mulher:</w:t>
      </w:r>
    </w:p>
    <w:p w:rsidR="00D24E61" w:rsidRPr="00771368" w:rsidRDefault="00D24E61" w:rsidP="00D24E61">
      <w:pPr>
        <w:autoSpaceDE w:val="0"/>
        <w:autoSpaceDN w:val="0"/>
        <w:adjustRightInd w:val="0"/>
        <w:jc w:val="both"/>
        <w:rPr>
          <w:rStyle w:val="apple-style-span"/>
          <w:color w:val="000000"/>
          <w:sz w:val="24"/>
          <w:szCs w:val="24"/>
        </w:rPr>
      </w:pPr>
    </w:p>
    <w:p w:rsidR="00D24E61" w:rsidRPr="00771368" w:rsidRDefault="00D24E61" w:rsidP="00D24E61">
      <w:pPr>
        <w:autoSpaceDE w:val="0"/>
        <w:autoSpaceDN w:val="0"/>
        <w:adjustRightInd w:val="0"/>
        <w:ind w:left="2268"/>
        <w:jc w:val="both"/>
        <w:rPr>
          <w:color w:val="FF0000"/>
        </w:rPr>
      </w:pPr>
      <w:r w:rsidRPr="00771368">
        <w:rPr>
          <w:rStyle w:val="apple-style-span"/>
          <w:color w:val="000000"/>
        </w:rPr>
        <w:t xml:space="preserve">[...] A Bahia é o estado que conta com o maior número de agricultores familiares do Brasil. Para estimular o crescimento da agricultura, no município de Irecê, e valorizar o papel da mulher na unidade familiar rural, o governador Jaques Wagner, na presença da presidente Dilma Rousseff, em visita ao município, anunciou no início do mês, uma nova medida que reduz, a zero, na Bahia, os juros do Pronaf Mulher. Esta linha de financiamento é de crédito de investimentos para a mulher agricultora </w:t>
      </w:r>
      <w:r w:rsidRPr="00771368">
        <w:rPr>
          <w:rStyle w:val="apple-style-span"/>
        </w:rPr>
        <w:t>(ESTADO DA BAHIA, 2011, p. 01).</w:t>
      </w:r>
    </w:p>
    <w:p w:rsidR="00D24E61" w:rsidRPr="00771368" w:rsidRDefault="00D24E61" w:rsidP="00D24E61">
      <w:pPr>
        <w:autoSpaceDE w:val="0"/>
        <w:autoSpaceDN w:val="0"/>
        <w:adjustRightInd w:val="0"/>
        <w:jc w:val="both"/>
        <w:rPr>
          <w:color w:val="FF0000"/>
          <w:sz w:val="24"/>
          <w:szCs w:val="24"/>
        </w:rPr>
      </w:pPr>
    </w:p>
    <w:p w:rsidR="00D24E61" w:rsidRPr="00771368" w:rsidRDefault="00D24E61" w:rsidP="00D24E61">
      <w:pPr>
        <w:spacing w:line="360" w:lineRule="auto"/>
        <w:ind w:firstLine="708"/>
        <w:jc w:val="both"/>
        <w:rPr>
          <w:sz w:val="24"/>
          <w:szCs w:val="24"/>
        </w:rPr>
      </w:pPr>
      <w:r w:rsidRPr="00771368">
        <w:rPr>
          <w:color w:val="000000"/>
          <w:sz w:val="24"/>
          <w:szCs w:val="24"/>
        </w:rPr>
        <w:t xml:space="preserve">Medidas como essa, visam incentivar o desenvolvimento feminino, elemento importantíssimo para consolidação dos direitos das mulheres, pois não há direito humano sem desenvolvimento pessoal, intelectual, profissional, sem garantir condições efetivas de uma vida digna. Importa enfatizar, no campo institucional ligado às questões do desenvolvimento, a existência do Banco da Mulher. </w:t>
      </w:r>
      <w:r w:rsidRPr="00771368">
        <w:rPr>
          <w:sz w:val="24"/>
          <w:szCs w:val="24"/>
        </w:rPr>
        <w:t>Filiado ao Women Word Bank (WWB), este tipo de banco foi criado no Brasil em 1984, sua criação a níveis mundiais se deu, segundo Adriana Carvalho (2011), pela verificação de que as mulheres estavam marginalizadas em relação ao sistema de acesso ao crédito nos bancos convencionais. Este banco existe em vários estados brasileiros. No estado da Bahia, o Banco da mulher, existe há mais de 12 anos. Seu sistema de empréstimos vai desde trezentos reais até dez mil reais, e tem por objetivo contribuir com o labor feminino. Vale salientar que não são somente as mulheres que recorrem ao Banco da mulher, apesar da especificidade, o banco atende a todos os gêneros. Os recursos do banco, conforme revela Rosenildo Ferreira (2011), são garantidos por organismos como o Banco Nacional de Desenvolvimento (BNDES), o Banco Interamericano de Desenvolvimento (BID) e da iniciativa privada.</w:t>
      </w:r>
    </w:p>
    <w:p w:rsidR="00D24E61" w:rsidRPr="00771368" w:rsidRDefault="00D24E61" w:rsidP="00D24E61">
      <w:pPr>
        <w:spacing w:line="360" w:lineRule="auto"/>
        <w:ind w:firstLine="708"/>
        <w:jc w:val="both"/>
        <w:rPr>
          <w:sz w:val="24"/>
          <w:szCs w:val="24"/>
        </w:rPr>
      </w:pPr>
      <w:r w:rsidRPr="00771368">
        <w:rPr>
          <w:sz w:val="24"/>
          <w:szCs w:val="24"/>
        </w:rPr>
        <w:t>Não se pode esquecer da existência do Conselho de Defesa dos Direitos da Mulher (CDDM), que é o Conselho Estadual e sua finalidade é muito similar à do Conselho Nacional, isto é, formula, acompanha e propõe medidas a serem tomadas pelo estado baiano para a eliminação da discriminação relacionada ao gênero. Com isso pretende-se garantir os princípios básicos de liberdade e igualdade de direitos às mulheres e uma efetiva participação delas nas atividades quem envolve a vida em sociedade, a saber, a política, economia, cultura, dentre outras, de acordo com dados da Secretária de Promoção da Igualdade do Estado da Bahia (SEPROMI) (2011).</w:t>
      </w:r>
    </w:p>
    <w:p w:rsidR="00D24E61" w:rsidRPr="00771368" w:rsidRDefault="00D24E61" w:rsidP="00D24E61">
      <w:pPr>
        <w:spacing w:line="360" w:lineRule="auto"/>
        <w:ind w:firstLine="708"/>
        <w:jc w:val="both"/>
        <w:rPr>
          <w:sz w:val="24"/>
          <w:szCs w:val="24"/>
        </w:rPr>
      </w:pPr>
      <w:r w:rsidRPr="00771368">
        <w:rPr>
          <w:sz w:val="24"/>
          <w:szCs w:val="24"/>
        </w:rPr>
        <w:t>Uma atividade recente da SEPROMI foram as manifestações realizadas no Dia Internacional da Não Violência contra as Mulheres, em 25 de novembro. A secretaria realizou atividades de formação e conscientização da sociedade, nos ambientes públicos, sobre a necessidade de denunciar a violência contra a mulher sob o slogan “Antes, quem batia em mulher era covarde. Agora, é criminoso.”. Nesse trabalho, a Secretaria de Promoção da Igualdade do Estado da Bahia revela que uma em cada cinco mulheres já foi vítima de agressão e que nas maiorias dos casos a violência é praticada pelo próprio companheiro. A campanha da SEPROMI consiste num chamado destinado à sociedade para reagir perante a agressão, acessando os mecanismos que estão disponíveis.</w:t>
      </w:r>
    </w:p>
    <w:p w:rsidR="00D24E61" w:rsidRPr="00771368" w:rsidRDefault="00D24E61" w:rsidP="00D24E61">
      <w:pPr>
        <w:spacing w:line="360" w:lineRule="auto"/>
        <w:ind w:firstLine="708"/>
        <w:jc w:val="both"/>
        <w:rPr>
          <w:sz w:val="24"/>
          <w:szCs w:val="24"/>
        </w:rPr>
      </w:pPr>
      <w:r w:rsidRPr="00771368">
        <w:rPr>
          <w:sz w:val="24"/>
          <w:szCs w:val="24"/>
        </w:rPr>
        <w:t>A Bahia fomenta uma Rede de Atenção a Mulher, que é bastante ampla, e que visa oferecer toda a atenção necessária para as mulheres vítimas de violência. Dentre as instituições participantes destaca-se: a SEPROMI, a Superintendência de Políticas Públicas para a Mulher (SPM), a Secretaria Especial de Políticas para as Mulheres (PMS), o Conselho Municipal da Mulher (CMM), a Delegacia Especial de Atenção à Mulher no Estado da Bahia, o Tribunal de Justiça do Estado da Bahia - Vara da Violência Doméstica e Familiar Contra a Mulher, a Defensoria Pública do Estado da Bahia - Núcleo de Defesa da Mulher (NUDEM), o Ministério Público do Estado da Bahia - Grupo de Atuação Especial em Defesa da Mulher (GEDEM), a OAB Comissão da Mulher, além de hospitais e outras unidades que garantem um apoio efetivo às mulheres. O quadro abaixo exemplifica de maneira sucinta essa rede:</w:t>
      </w:r>
    </w:p>
    <w:p w:rsidR="00D24E61" w:rsidRPr="00771368" w:rsidRDefault="00D24E61" w:rsidP="00D24E61">
      <w:pPr>
        <w:autoSpaceDE w:val="0"/>
        <w:autoSpaceDN w:val="0"/>
        <w:adjustRightInd w:val="0"/>
        <w:spacing w:line="360" w:lineRule="auto"/>
        <w:rPr>
          <w:b/>
          <w:sz w:val="20"/>
          <w:szCs w:val="20"/>
        </w:rPr>
      </w:pPr>
    </w:p>
    <w:p w:rsidR="00D24E61" w:rsidRPr="00771368" w:rsidRDefault="00D24E61" w:rsidP="00D24E61">
      <w:pPr>
        <w:autoSpaceDE w:val="0"/>
        <w:autoSpaceDN w:val="0"/>
        <w:adjustRightInd w:val="0"/>
        <w:spacing w:line="360" w:lineRule="auto"/>
        <w:rPr>
          <w:b/>
          <w:sz w:val="20"/>
          <w:szCs w:val="20"/>
        </w:rPr>
      </w:pPr>
      <w:r w:rsidRPr="00771368">
        <w:rPr>
          <w:b/>
          <w:sz w:val="20"/>
          <w:szCs w:val="20"/>
        </w:rPr>
        <w:t>Rede de Serviços de Atenção às Mulheres</w:t>
      </w:r>
    </w:p>
    <w:p w:rsidR="00D24E61" w:rsidRPr="00771368" w:rsidRDefault="00D24E61" w:rsidP="00D24E61">
      <w:pPr>
        <w:spacing w:line="360" w:lineRule="auto"/>
        <w:rPr>
          <w:b/>
          <w:bCs/>
          <w:sz w:val="20"/>
          <w:szCs w:val="20"/>
        </w:rPr>
      </w:pPr>
      <w:r w:rsidRPr="00771368">
        <w:rPr>
          <w:b/>
          <w:bCs/>
          <w:sz w:val="20"/>
          <w:szCs w:val="20"/>
        </w:rPr>
        <w:t>Estados e Distrito Federal, Brasil,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6"/>
      </w:tblGrid>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Serviços – Estado</w:t>
            </w:r>
          </w:p>
        </w:tc>
        <w:tc>
          <w:tcPr>
            <w:tcW w:w="4606" w:type="dxa"/>
          </w:tcPr>
          <w:p w:rsidR="00D24E61" w:rsidRPr="00771368" w:rsidRDefault="00D24E61" w:rsidP="00D24E61">
            <w:pPr>
              <w:spacing w:line="360" w:lineRule="auto"/>
              <w:rPr>
                <w:bCs/>
                <w:sz w:val="18"/>
                <w:szCs w:val="18"/>
              </w:rPr>
            </w:pPr>
            <w:r w:rsidRPr="00771368">
              <w:rPr>
                <w:bCs/>
                <w:sz w:val="18"/>
                <w:szCs w:val="18"/>
              </w:rPr>
              <w:t>BAHIA</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Casa Abrigo</w:t>
            </w:r>
          </w:p>
        </w:tc>
        <w:tc>
          <w:tcPr>
            <w:tcW w:w="4606" w:type="dxa"/>
          </w:tcPr>
          <w:p w:rsidR="00D24E61" w:rsidRPr="00771368" w:rsidRDefault="00D24E61" w:rsidP="00D24E61">
            <w:pPr>
              <w:spacing w:line="360" w:lineRule="auto"/>
              <w:rPr>
                <w:bCs/>
                <w:sz w:val="18"/>
                <w:szCs w:val="18"/>
              </w:rPr>
            </w:pPr>
            <w:r w:rsidRPr="00771368">
              <w:rPr>
                <w:bCs/>
                <w:sz w:val="18"/>
                <w:szCs w:val="18"/>
              </w:rPr>
              <w:t>1</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Centro de Referência</w:t>
            </w:r>
          </w:p>
        </w:tc>
        <w:tc>
          <w:tcPr>
            <w:tcW w:w="4606" w:type="dxa"/>
          </w:tcPr>
          <w:p w:rsidR="00D24E61" w:rsidRPr="00771368" w:rsidRDefault="00D24E61" w:rsidP="00D24E61">
            <w:pPr>
              <w:spacing w:line="360" w:lineRule="auto"/>
              <w:rPr>
                <w:bCs/>
                <w:sz w:val="18"/>
                <w:szCs w:val="18"/>
              </w:rPr>
            </w:pPr>
            <w:r w:rsidRPr="00771368">
              <w:rPr>
                <w:bCs/>
                <w:sz w:val="18"/>
                <w:szCs w:val="18"/>
              </w:rPr>
              <w:t>5 (1)</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Conselhos</w:t>
            </w:r>
          </w:p>
        </w:tc>
        <w:tc>
          <w:tcPr>
            <w:tcW w:w="4606" w:type="dxa"/>
          </w:tcPr>
          <w:p w:rsidR="00D24E61" w:rsidRPr="00771368" w:rsidRDefault="00D24E61" w:rsidP="00D24E61">
            <w:pPr>
              <w:spacing w:line="360" w:lineRule="auto"/>
              <w:rPr>
                <w:bCs/>
                <w:sz w:val="18"/>
                <w:szCs w:val="18"/>
              </w:rPr>
            </w:pPr>
            <w:r w:rsidRPr="00771368">
              <w:rPr>
                <w:bCs/>
                <w:sz w:val="18"/>
                <w:szCs w:val="18"/>
              </w:rPr>
              <w:t>13 (1)</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Delegacia da Mulher</w:t>
            </w:r>
          </w:p>
        </w:tc>
        <w:tc>
          <w:tcPr>
            <w:tcW w:w="4606" w:type="dxa"/>
          </w:tcPr>
          <w:p w:rsidR="00D24E61" w:rsidRPr="00771368" w:rsidRDefault="00D24E61" w:rsidP="00D24E61">
            <w:pPr>
              <w:spacing w:line="360" w:lineRule="auto"/>
              <w:rPr>
                <w:bCs/>
                <w:sz w:val="18"/>
                <w:szCs w:val="18"/>
              </w:rPr>
            </w:pPr>
            <w:r w:rsidRPr="00771368">
              <w:rPr>
                <w:bCs/>
                <w:sz w:val="18"/>
                <w:szCs w:val="18"/>
              </w:rPr>
              <w:t xml:space="preserve">12 (1) </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Atenção às Vítimas de Violência Sexual</w:t>
            </w:r>
          </w:p>
        </w:tc>
        <w:tc>
          <w:tcPr>
            <w:tcW w:w="4606" w:type="dxa"/>
          </w:tcPr>
          <w:p w:rsidR="00D24E61" w:rsidRPr="00771368" w:rsidRDefault="00D24E61" w:rsidP="00D24E61">
            <w:pPr>
              <w:spacing w:line="360" w:lineRule="auto"/>
              <w:rPr>
                <w:bCs/>
                <w:sz w:val="18"/>
                <w:szCs w:val="18"/>
              </w:rPr>
            </w:pPr>
            <w:r w:rsidRPr="00771368">
              <w:rPr>
                <w:bCs/>
                <w:sz w:val="18"/>
                <w:szCs w:val="18"/>
              </w:rPr>
              <w:t>(3)</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Orgãos Governamentais (2)</w:t>
            </w:r>
          </w:p>
        </w:tc>
        <w:tc>
          <w:tcPr>
            <w:tcW w:w="4606" w:type="dxa"/>
          </w:tcPr>
          <w:p w:rsidR="00D24E61" w:rsidRPr="00771368" w:rsidRDefault="00D24E61" w:rsidP="00D24E61">
            <w:pPr>
              <w:spacing w:line="360" w:lineRule="auto"/>
              <w:rPr>
                <w:bCs/>
                <w:sz w:val="18"/>
                <w:szCs w:val="18"/>
              </w:rPr>
            </w:pPr>
            <w:r w:rsidRPr="00771368">
              <w:rPr>
                <w:bCs/>
                <w:sz w:val="18"/>
                <w:szCs w:val="18"/>
              </w:rPr>
              <w:t>8(2)</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ONGs</w:t>
            </w:r>
          </w:p>
        </w:tc>
        <w:tc>
          <w:tcPr>
            <w:tcW w:w="4606" w:type="dxa"/>
          </w:tcPr>
          <w:p w:rsidR="00D24E61" w:rsidRPr="00771368" w:rsidRDefault="00D24E61" w:rsidP="00D24E61">
            <w:pPr>
              <w:spacing w:line="360" w:lineRule="auto"/>
              <w:rPr>
                <w:bCs/>
                <w:sz w:val="18"/>
                <w:szCs w:val="18"/>
              </w:rPr>
            </w:pPr>
            <w:r w:rsidRPr="00771368">
              <w:rPr>
                <w:bCs/>
                <w:sz w:val="18"/>
                <w:szCs w:val="18"/>
              </w:rPr>
              <w:t>6(5)</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Vara Especial (3)</w:t>
            </w:r>
          </w:p>
        </w:tc>
        <w:tc>
          <w:tcPr>
            <w:tcW w:w="4606" w:type="dxa"/>
          </w:tcPr>
          <w:p w:rsidR="00D24E61" w:rsidRPr="00771368" w:rsidRDefault="00D24E61" w:rsidP="00D24E61">
            <w:pPr>
              <w:spacing w:line="360" w:lineRule="auto"/>
              <w:rPr>
                <w:bCs/>
                <w:sz w:val="18"/>
                <w:szCs w:val="18"/>
              </w:rPr>
            </w:pPr>
            <w:r w:rsidRPr="00771368">
              <w:rPr>
                <w:bCs/>
                <w:sz w:val="18"/>
                <w:szCs w:val="18"/>
              </w:rPr>
              <w:t>-</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Defensoria Pública</w:t>
            </w:r>
          </w:p>
        </w:tc>
        <w:tc>
          <w:tcPr>
            <w:tcW w:w="4606" w:type="dxa"/>
          </w:tcPr>
          <w:p w:rsidR="00D24E61" w:rsidRPr="00771368" w:rsidRDefault="00D24E61" w:rsidP="00D24E61">
            <w:pPr>
              <w:spacing w:line="360" w:lineRule="auto"/>
              <w:rPr>
                <w:bCs/>
                <w:sz w:val="18"/>
                <w:szCs w:val="18"/>
              </w:rPr>
            </w:pPr>
            <w:r w:rsidRPr="00771368">
              <w:rPr>
                <w:bCs/>
                <w:sz w:val="18"/>
                <w:szCs w:val="18"/>
              </w:rPr>
              <w:t>-</w:t>
            </w:r>
          </w:p>
        </w:tc>
      </w:tr>
      <w:tr w:rsidR="00D24E61" w:rsidRPr="00771368" w:rsidTr="00D24E61">
        <w:tc>
          <w:tcPr>
            <w:tcW w:w="4605" w:type="dxa"/>
          </w:tcPr>
          <w:p w:rsidR="00D24E61" w:rsidRPr="00771368" w:rsidRDefault="00D24E61" w:rsidP="00D24E61">
            <w:pPr>
              <w:spacing w:line="360" w:lineRule="auto"/>
              <w:rPr>
                <w:b/>
                <w:bCs/>
                <w:sz w:val="18"/>
                <w:szCs w:val="18"/>
              </w:rPr>
            </w:pPr>
            <w:r w:rsidRPr="00771368">
              <w:rPr>
                <w:b/>
                <w:bCs/>
                <w:sz w:val="18"/>
                <w:szCs w:val="18"/>
              </w:rPr>
              <w:t>Total</w:t>
            </w:r>
          </w:p>
        </w:tc>
        <w:tc>
          <w:tcPr>
            <w:tcW w:w="4606" w:type="dxa"/>
          </w:tcPr>
          <w:p w:rsidR="00D24E61" w:rsidRPr="00771368" w:rsidRDefault="00D24E61" w:rsidP="00D24E61">
            <w:pPr>
              <w:spacing w:line="360" w:lineRule="auto"/>
              <w:rPr>
                <w:bCs/>
                <w:sz w:val="18"/>
                <w:szCs w:val="18"/>
              </w:rPr>
            </w:pPr>
            <w:r w:rsidRPr="00771368">
              <w:rPr>
                <w:bCs/>
                <w:sz w:val="18"/>
                <w:szCs w:val="18"/>
              </w:rPr>
              <w:t>48(13)</w:t>
            </w:r>
          </w:p>
        </w:tc>
      </w:tr>
    </w:tbl>
    <w:p w:rsidR="00D24E61" w:rsidRPr="00771368" w:rsidRDefault="00D24E61" w:rsidP="00D24E61">
      <w:pPr>
        <w:autoSpaceDE w:val="0"/>
        <w:autoSpaceDN w:val="0"/>
        <w:adjustRightInd w:val="0"/>
        <w:spacing w:line="360" w:lineRule="auto"/>
        <w:rPr>
          <w:i/>
          <w:iCs/>
          <w:sz w:val="16"/>
          <w:szCs w:val="16"/>
        </w:rPr>
      </w:pPr>
      <w:r w:rsidRPr="00771368">
        <w:rPr>
          <w:i/>
          <w:iCs/>
          <w:sz w:val="16"/>
          <w:szCs w:val="16"/>
        </w:rPr>
        <w:t>Fonte: Secretaria Especial de Políticas Para Mulheres – SPM/PR.</w:t>
      </w:r>
    </w:p>
    <w:p w:rsidR="00D24E61" w:rsidRPr="00771368" w:rsidRDefault="00D24E61" w:rsidP="00D24E61">
      <w:pPr>
        <w:autoSpaceDE w:val="0"/>
        <w:autoSpaceDN w:val="0"/>
        <w:adjustRightInd w:val="0"/>
        <w:spacing w:line="360" w:lineRule="auto"/>
        <w:rPr>
          <w:i/>
          <w:iCs/>
          <w:sz w:val="16"/>
          <w:szCs w:val="16"/>
        </w:rPr>
      </w:pPr>
      <w:r w:rsidRPr="00771368">
        <w:rPr>
          <w:i/>
          <w:iCs/>
          <w:sz w:val="16"/>
          <w:szCs w:val="16"/>
        </w:rPr>
        <w:t>(1) Inclui as informações sobre conselhos estaduais e municipais</w:t>
      </w:r>
    </w:p>
    <w:p w:rsidR="00D24E61" w:rsidRPr="00771368" w:rsidRDefault="00D24E61" w:rsidP="00D24E61">
      <w:pPr>
        <w:autoSpaceDE w:val="0"/>
        <w:autoSpaceDN w:val="0"/>
        <w:adjustRightInd w:val="0"/>
        <w:spacing w:line="360" w:lineRule="auto"/>
        <w:rPr>
          <w:i/>
          <w:iCs/>
          <w:sz w:val="16"/>
          <w:szCs w:val="16"/>
        </w:rPr>
      </w:pPr>
      <w:r w:rsidRPr="00771368">
        <w:rPr>
          <w:i/>
          <w:iCs/>
          <w:sz w:val="16"/>
          <w:szCs w:val="16"/>
        </w:rPr>
        <w:t>(2) Inclui as informações sobre as coordenadorias de políticas para mulheres</w:t>
      </w:r>
    </w:p>
    <w:p w:rsidR="00D24E61" w:rsidRPr="00771368" w:rsidRDefault="00D24E61" w:rsidP="00D24E61">
      <w:pPr>
        <w:autoSpaceDE w:val="0"/>
        <w:autoSpaceDN w:val="0"/>
        <w:adjustRightInd w:val="0"/>
        <w:spacing w:line="360" w:lineRule="auto"/>
        <w:rPr>
          <w:i/>
          <w:iCs/>
          <w:sz w:val="16"/>
          <w:szCs w:val="16"/>
        </w:rPr>
      </w:pPr>
      <w:r w:rsidRPr="00771368">
        <w:rPr>
          <w:i/>
          <w:iCs/>
          <w:sz w:val="16"/>
          <w:szCs w:val="16"/>
        </w:rPr>
        <w:t>(3) Criadas após a lei 11.340/2006. Inclui os juizados especiais e as varas adaptadas à aplicação da lei</w:t>
      </w:r>
    </w:p>
    <w:p w:rsidR="00D24E61" w:rsidRPr="00771368" w:rsidRDefault="00D24E61" w:rsidP="00D24E61">
      <w:pPr>
        <w:spacing w:line="360" w:lineRule="auto"/>
        <w:rPr>
          <w:i/>
          <w:iCs/>
          <w:sz w:val="16"/>
          <w:szCs w:val="16"/>
        </w:rPr>
      </w:pPr>
      <w:r w:rsidRPr="00771368">
        <w:rPr>
          <w:i/>
          <w:iCs/>
          <w:sz w:val="16"/>
          <w:szCs w:val="16"/>
        </w:rPr>
        <w:t>(4) Os números entre ( ) referem-se aos serviços localizados nas capitais</w:t>
      </w:r>
    </w:p>
    <w:p w:rsidR="00D24E61" w:rsidRPr="00771368" w:rsidRDefault="00D24E61" w:rsidP="00D24E61">
      <w:pPr>
        <w:spacing w:line="360" w:lineRule="auto"/>
        <w:jc w:val="both"/>
        <w:rPr>
          <w:sz w:val="24"/>
          <w:szCs w:val="24"/>
        </w:rPr>
      </w:pPr>
    </w:p>
    <w:p w:rsidR="00D24E61" w:rsidRPr="00771368" w:rsidRDefault="00D24E61" w:rsidP="00D24E61">
      <w:pPr>
        <w:autoSpaceDE w:val="0"/>
        <w:autoSpaceDN w:val="0"/>
        <w:adjustRightInd w:val="0"/>
        <w:spacing w:line="360" w:lineRule="auto"/>
        <w:ind w:firstLine="708"/>
        <w:jc w:val="both"/>
        <w:rPr>
          <w:sz w:val="24"/>
          <w:szCs w:val="24"/>
        </w:rPr>
      </w:pPr>
      <w:r w:rsidRPr="00771368">
        <w:rPr>
          <w:sz w:val="24"/>
          <w:szCs w:val="24"/>
        </w:rPr>
        <w:t>Dentro do grupo de instituições criadas ou apoiadas pelo estado baiano a favor da causa feminina, é interessante destacar como um elemento que chama a atenção para a realidade brasileira a existência das delegacias da mulher. Existem na Bahia duas delegacias da mulher na capital e onze no interior, segundo dados da Rede de Atenção à Mulher (2011). Essas delegacias, segundo Wânia Pasinato e Cecília Santos, (2011), tem seu quadro de pessoal composto em sua maioria por mulheres, numa tentativa de humanizar o atendimento às vítimas. Evita-se, dessa forma, que ocorram situações de desrespeito às mulheres que recorrem às delegacias, como ocorre na Argentina, nas delegacias comuns, o que não quer dizer que essa situação desagradável possa ocorrer nos demais níveis que deve passar a mulher violentada. A delegacia da mulher é de extrema importância na garantia da dignidade e do direito feminino, pois é o primeiro lugar que a mulheres vítimas de violência recorrem. É nesse contexto de violência, onde o direito humano da mulher é profundamente desrespeitado que habita a importância imensurável da Lei Maria da Penha e dos mecanismos de proteção à mulher dela provenientes.</w:t>
      </w:r>
    </w:p>
    <w:p w:rsidR="00D24E61" w:rsidRPr="00771368" w:rsidRDefault="00D24E61" w:rsidP="00D24E61">
      <w:pPr>
        <w:autoSpaceDE w:val="0"/>
        <w:autoSpaceDN w:val="0"/>
        <w:adjustRightInd w:val="0"/>
        <w:spacing w:line="360" w:lineRule="auto"/>
        <w:ind w:firstLine="708"/>
        <w:jc w:val="both"/>
        <w:rPr>
          <w:sz w:val="24"/>
          <w:szCs w:val="24"/>
        </w:rPr>
      </w:pPr>
      <w:r w:rsidRPr="00771368">
        <w:rPr>
          <w:sz w:val="24"/>
          <w:szCs w:val="24"/>
        </w:rPr>
        <w:t xml:space="preserve">De acordo com dados da pesquisa </w:t>
      </w:r>
      <w:r w:rsidRPr="00771368">
        <w:rPr>
          <w:bCs/>
          <w:sz w:val="24"/>
          <w:szCs w:val="24"/>
        </w:rPr>
        <w:t>Percepções e Reações da Sociedade sobre a Violência contra a Mulher 2009</w:t>
      </w:r>
      <w:r w:rsidRPr="00771368">
        <w:rPr>
          <w:sz w:val="24"/>
          <w:szCs w:val="24"/>
        </w:rPr>
        <w:t xml:space="preserve">, realizada pela </w:t>
      </w:r>
      <w:r w:rsidRPr="00771368">
        <w:rPr>
          <w:bCs/>
          <w:sz w:val="24"/>
          <w:szCs w:val="24"/>
        </w:rPr>
        <w:t>Pesquisa IBOPE/Instituto Avon, é significativa a quantidade de mulheres que percebem a delegacia da mulher como um local apropriado para pedir ajuda.  O quadro abaixo explicita de forma clara essa informação:</w:t>
      </w:r>
    </w:p>
    <w:p w:rsidR="00D24E61" w:rsidRPr="00771368" w:rsidRDefault="00013211" w:rsidP="00D24E61">
      <w:pPr>
        <w:autoSpaceDE w:val="0"/>
        <w:autoSpaceDN w:val="0"/>
        <w:adjustRightInd w:val="0"/>
        <w:spacing w:line="360" w:lineRule="auto"/>
        <w:jc w:val="center"/>
        <w:rPr>
          <w:sz w:val="24"/>
          <w:szCs w:val="24"/>
        </w:rPr>
      </w:pPr>
      <w:r>
        <w:rPr>
          <w:noProof/>
          <w:sz w:val="24"/>
          <w:szCs w:val="24"/>
        </w:rPr>
        <w:drawing>
          <wp:inline distT="0" distB="0" distL="0" distR="0">
            <wp:extent cx="4995545" cy="3759200"/>
            <wp:effectExtent l="0" t="0" r="0" b="0"/>
            <wp:docPr id="11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995545" cy="3759200"/>
                    </a:xfrm>
                    <a:prstGeom prst="rect">
                      <a:avLst/>
                    </a:prstGeom>
                    <a:noFill/>
                    <a:ln>
                      <a:noFill/>
                    </a:ln>
                  </pic:spPr>
                </pic:pic>
              </a:graphicData>
            </a:graphic>
          </wp:inline>
        </w:drawing>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ind w:firstLine="708"/>
        <w:jc w:val="both"/>
        <w:rPr>
          <w:sz w:val="24"/>
          <w:szCs w:val="24"/>
        </w:rPr>
      </w:pPr>
      <w:r w:rsidRPr="00771368">
        <w:rPr>
          <w:sz w:val="24"/>
          <w:szCs w:val="24"/>
        </w:rPr>
        <w:t xml:space="preserve">O depoimento anônimo de uma das usuárias da delegacia da mulher em Salvador, num site de avaliação da instituição, em 01 de dezembro de 2011, revela que ela foi muito bem atendida na delegacia da mulher e só tem a agradecer, pois foi a partir do acesso à delegacia que conseguiu se livrar da violência cometida pelo próprio marido. Em suas palavras: “me sentiria um lixo se não fosse a </w:t>
      </w:r>
      <w:r w:rsidRPr="00771368">
        <w:rPr>
          <w:b/>
          <w:bCs/>
          <w:sz w:val="24"/>
          <w:szCs w:val="24"/>
        </w:rPr>
        <w:t>delegacia</w:t>
      </w:r>
      <w:r w:rsidRPr="00771368">
        <w:rPr>
          <w:sz w:val="24"/>
          <w:szCs w:val="24"/>
        </w:rPr>
        <w:t xml:space="preserve"> da </w:t>
      </w:r>
      <w:r w:rsidRPr="00771368">
        <w:rPr>
          <w:b/>
          <w:bCs/>
          <w:sz w:val="24"/>
          <w:szCs w:val="24"/>
        </w:rPr>
        <w:t>mulher</w:t>
      </w:r>
      <w:r w:rsidRPr="00771368">
        <w:rPr>
          <w:sz w:val="24"/>
          <w:szCs w:val="24"/>
        </w:rPr>
        <w:t>. Obrigado” (DEPOIMENTO, 2011, p.01, grifos da autora). Esse depoimento demonstra que a delegacia da mulher tem uma atuação efetiva na vida das vítimas de violência.</w:t>
      </w:r>
    </w:p>
    <w:p w:rsidR="00D24E61" w:rsidRPr="00771368" w:rsidRDefault="00D24E61" w:rsidP="00D24E61">
      <w:pPr>
        <w:spacing w:line="360" w:lineRule="auto"/>
        <w:ind w:firstLine="708"/>
        <w:jc w:val="both"/>
        <w:rPr>
          <w:sz w:val="24"/>
          <w:szCs w:val="24"/>
        </w:rPr>
      </w:pPr>
      <w:r w:rsidRPr="00771368">
        <w:rPr>
          <w:sz w:val="24"/>
          <w:szCs w:val="24"/>
        </w:rPr>
        <w:t>Rafaela Marques (2011), ao escrever sobre a delegacia da mulher situada em Salvador, mostra que são realizadas em media quarenta ocorrências por dia, porém há na cidade, ainda, uma dificuldade de realização de prisões em flagrante. Revela, também, que outros entraves apresentados pelas delegacias da mulher são o medo que habita nas vítimas de violência e a existência de uma grande dificuldade de encontrar testemunhas, ou seja, pessoas que estejam dispostas a colaborar com o caso. Mesmo com as dificuldades a delegacia conta com uma demanda considerável, como pode-se observar na tabela que segue:</w:t>
      </w:r>
    </w:p>
    <w:p w:rsidR="00D24E61" w:rsidRPr="00771368" w:rsidRDefault="00D24E61" w:rsidP="00D24E61">
      <w:pPr>
        <w:spacing w:line="360" w:lineRule="auto"/>
        <w:jc w:val="both"/>
        <w:rPr>
          <w:sz w:val="18"/>
          <w:szCs w:val="18"/>
        </w:rPr>
      </w:pPr>
    </w:p>
    <w:p w:rsidR="00D24E61" w:rsidRPr="00771368" w:rsidRDefault="00D24E61" w:rsidP="00D24E61">
      <w:pPr>
        <w:spacing w:line="360" w:lineRule="auto"/>
        <w:jc w:val="center"/>
        <w:rPr>
          <w:sz w:val="18"/>
          <w:szCs w:val="18"/>
        </w:rPr>
      </w:pPr>
      <w:r w:rsidRPr="00771368">
        <w:rPr>
          <w:b/>
          <w:bCs/>
          <w:sz w:val="18"/>
          <w:szCs w:val="18"/>
        </w:rPr>
        <w:t>ESTATÍSTICAS DA DELEGACIA</w:t>
      </w:r>
    </w:p>
    <w:tbl>
      <w:tblPr>
        <w:tblpPr w:leftFromText="45" w:rightFromText="45" w:vertAnchor="text" w:tblpXSpec="center"/>
        <w:tblW w:w="0" w:type="auto"/>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531"/>
        <w:gridCol w:w="495"/>
        <w:gridCol w:w="901"/>
      </w:tblGrid>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b/>
                <w:bCs/>
                <w:sz w:val="18"/>
                <w:szCs w:val="18"/>
              </w:rPr>
              <w:t>2007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b/>
                <w:bCs/>
                <w:sz w:val="18"/>
                <w:szCs w:val="18"/>
              </w:rPr>
              <w:t>2008</w:t>
            </w:r>
            <w:r w:rsidRPr="00771368">
              <w:rPr>
                <w:b/>
                <w:bCs/>
                <w:sz w:val="18"/>
                <w:szCs w:val="18"/>
              </w:rPr>
              <w:br/>
              <w:t>JANEIRO</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ESTUPRO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01</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AGRESSÃO MORAL</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520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53</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AMEAÇA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3.029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272</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LESÃO CORPORAL</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2.436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263</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VIAS DE FATO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2.595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201</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OCORRÊNCIAS POLICIAIS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8.875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821</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NÚMEROS CUSTODIADOS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21</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ASSISTÊNCIA SOCIAL</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3.911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367</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INQUÉRITOS INSTAURADOS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397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42</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INQUÉRITOS REMETIDOS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328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25</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 xml:space="preserve">TERMOS CIRCUNSTANCIAIS </w:t>
            </w:r>
            <w:r w:rsidRPr="00771368">
              <w:rPr>
                <w:sz w:val="18"/>
                <w:szCs w:val="18"/>
              </w:rPr>
              <w:br/>
              <w:t> INSTAURADOS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01</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TERMOS CIRCUNSTANCIAIS </w:t>
            </w:r>
            <w:r w:rsidRPr="00771368">
              <w:rPr>
                <w:sz w:val="18"/>
                <w:szCs w:val="18"/>
              </w:rPr>
              <w:br/>
              <w:t> REMETIDOS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250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02</w:t>
            </w:r>
          </w:p>
        </w:tc>
      </w:tr>
      <w:tr w:rsidR="00D24E61" w:rsidRPr="00771368" w:rsidTr="00D24E61">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PRISÕES EM FLAGRANTE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24E61" w:rsidRPr="00771368" w:rsidRDefault="00D24E61" w:rsidP="00D24E61">
            <w:pPr>
              <w:spacing w:line="360" w:lineRule="auto"/>
              <w:jc w:val="center"/>
              <w:rPr>
                <w:sz w:val="18"/>
                <w:szCs w:val="18"/>
              </w:rPr>
            </w:pPr>
            <w:r w:rsidRPr="00771368">
              <w:rPr>
                <w:sz w:val="18"/>
                <w:szCs w:val="18"/>
              </w:rPr>
              <w:t>07</w:t>
            </w:r>
          </w:p>
        </w:tc>
      </w:tr>
    </w:tbl>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p>
    <w:p w:rsidR="00D24E61" w:rsidRPr="00771368" w:rsidRDefault="00D24E61" w:rsidP="00D24E61">
      <w:pPr>
        <w:spacing w:line="360" w:lineRule="auto"/>
        <w:jc w:val="center"/>
        <w:rPr>
          <w:sz w:val="18"/>
          <w:szCs w:val="18"/>
        </w:rPr>
      </w:pPr>
      <w:r w:rsidRPr="00771368">
        <w:rPr>
          <w:sz w:val="18"/>
          <w:szCs w:val="18"/>
        </w:rPr>
        <w:t xml:space="preserve">                      </w:t>
      </w:r>
    </w:p>
    <w:p w:rsidR="00D24E61" w:rsidRPr="00771368" w:rsidRDefault="00D24E61" w:rsidP="00D24E61">
      <w:pPr>
        <w:spacing w:line="360" w:lineRule="auto"/>
        <w:jc w:val="center"/>
        <w:rPr>
          <w:sz w:val="18"/>
          <w:szCs w:val="18"/>
        </w:rPr>
      </w:pPr>
      <w:r w:rsidRPr="00771368">
        <w:rPr>
          <w:sz w:val="18"/>
          <w:szCs w:val="18"/>
        </w:rPr>
        <w:t xml:space="preserve">             </w:t>
      </w:r>
    </w:p>
    <w:p w:rsidR="00D24E61" w:rsidRPr="00771368" w:rsidRDefault="00D24E61" w:rsidP="00D24E61">
      <w:pPr>
        <w:spacing w:line="360" w:lineRule="auto"/>
        <w:jc w:val="both"/>
        <w:rPr>
          <w:sz w:val="18"/>
          <w:szCs w:val="18"/>
        </w:rPr>
      </w:pPr>
      <w:r w:rsidRPr="00771368">
        <w:rPr>
          <w:sz w:val="18"/>
          <w:szCs w:val="18"/>
        </w:rPr>
        <w:t xml:space="preserve">                                   </w:t>
      </w:r>
    </w:p>
    <w:p w:rsidR="00D24E61" w:rsidRPr="00771368" w:rsidRDefault="00D24E61" w:rsidP="00D24E61">
      <w:pPr>
        <w:spacing w:line="360" w:lineRule="auto"/>
        <w:jc w:val="both"/>
        <w:rPr>
          <w:sz w:val="18"/>
          <w:szCs w:val="18"/>
        </w:rPr>
      </w:pPr>
    </w:p>
    <w:p w:rsidR="00D24E61" w:rsidRPr="00771368" w:rsidRDefault="00D24E61" w:rsidP="00D24E61">
      <w:pPr>
        <w:spacing w:line="360" w:lineRule="auto"/>
        <w:jc w:val="both"/>
        <w:rPr>
          <w:sz w:val="18"/>
          <w:szCs w:val="18"/>
        </w:rPr>
      </w:pPr>
    </w:p>
    <w:p w:rsidR="00D24E61" w:rsidRPr="00771368" w:rsidRDefault="00D24E61" w:rsidP="00D24E61">
      <w:pPr>
        <w:spacing w:line="360" w:lineRule="auto"/>
        <w:jc w:val="both"/>
        <w:rPr>
          <w:sz w:val="18"/>
          <w:szCs w:val="18"/>
        </w:rPr>
      </w:pPr>
    </w:p>
    <w:p w:rsidR="00D24E61" w:rsidRPr="00771368" w:rsidRDefault="00D24E61" w:rsidP="00D24E61">
      <w:pPr>
        <w:spacing w:line="360" w:lineRule="auto"/>
        <w:jc w:val="both"/>
        <w:rPr>
          <w:sz w:val="18"/>
          <w:szCs w:val="18"/>
        </w:rPr>
      </w:pPr>
    </w:p>
    <w:p w:rsidR="00D24E61" w:rsidRPr="00771368" w:rsidRDefault="00D24E61" w:rsidP="00D24E61">
      <w:pPr>
        <w:spacing w:line="360" w:lineRule="auto"/>
        <w:jc w:val="both"/>
        <w:rPr>
          <w:sz w:val="18"/>
          <w:szCs w:val="18"/>
        </w:rPr>
      </w:pPr>
    </w:p>
    <w:p w:rsidR="00D24E61" w:rsidRPr="00771368" w:rsidRDefault="00D24E61" w:rsidP="00D24E61">
      <w:pPr>
        <w:spacing w:line="360" w:lineRule="auto"/>
        <w:jc w:val="both"/>
        <w:rPr>
          <w:sz w:val="18"/>
          <w:szCs w:val="18"/>
        </w:rPr>
      </w:pPr>
    </w:p>
    <w:p w:rsidR="00D24E61" w:rsidRPr="00771368" w:rsidRDefault="00D24E61" w:rsidP="00D24E61">
      <w:pPr>
        <w:spacing w:line="360" w:lineRule="auto"/>
        <w:jc w:val="both"/>
        <w:rPr>
          <w:sz w:val="18"/>
          <w:szCs w:val="18"/>
        </w:rPr>
      </w:pPr>
    </w:p>
    <w:p w:rsidR="00D24E61" w:rsidRPr="00771368" w:rsidRDefault="00D24E61" w:rsidP="00D24E61">
      <w:pPr>
        <w:spacing w:line="360" w:lineRule="auto"/>
        <w:jc w:val="both"/>
        <w:rPr>
          <w:sz w:val="18"/>
          <w:szCs w:val="18"/>
        </w:rPr>
      </w:pPr>
    </w:p>
    <w:p w:rsidR="00D24E61" w:rsidRPr="00771368" w:rsidRDefault="00D24E61" w:rsidP="00D24E61">
      <w:pPr>
        <w:spacing w:line="360" w:lineRule="auto"/>
        <w:jc w:val="both"/>
        <w:rPr>
          <w:sz w:val="18"/>
          <w:szCs w:val="18"/>
        </w:rPr>
      </w:pPr>
      <w:r w:rsidRPr="00771368">
        <w:rPr>
          <w:sz w:val="18"/>
          <w:szCs w:val="18"/>
        </w:rPr>
        <w:t xml:space="preserve">                                                     Fonte: Elaborado por </w:t>
      </w:r>
      <w:r w:rsidRPr="00771368">
        <w:rPr>
          <w:rStyle w:val="nfase"/>
          <w:i w:val="0"/>
          <w:sz w:val="18"/>
          <w:szCs w:val="18"/>
        </w:rPr>
        <w:t>Rafaela Marques</w:t>
      </w:r>
    </w:p>
    <w:p w:rsidR="00D24E61" w:rsidRPr="00771368" w:rsidRDefault="00D24E61" w:rsidP="00D24E61">
      <w:pPr>
        <w:spacing w:line="360" w:lineRule="auto"/>
        <w:jc w:val="both"/>
        <w:rPr>
          <w:sz w:val="18"/>
          <w:szCs w:val="18"/>
        </w:rPr>
      </w:pPr>
    </w:p>
    <w:p w:rsidR="00D24E61" w:rsidRPr="00771368" w:rsidRDefault="00013211" w:rsidP="00D24E61">
      <w:pPr>
        <w:spacing w:line="360" w:lineRule="auto"/>
        <w:jc w:val="both"/>
        <w:rPr>
          <w:sz w:val="24"/>
          <w:szCs w:val="24"/>
        </w:rPr>
      </w:pPr>
      <w:r>
        <w:rPr>
          <w:noProof/>
          <w:sz w:val="24"/>
          <w:szCs w:val="24"/>
        </w:rPr>
        <w:drawing>
          <wp:inline distT="0" distB="0" distL="0" distR="0">
            <wp:extent cx="17145" cy="17145"/>
            <wp:effectExtent l="0" t="0" r="0" b="0"/>
            <wp:docPr id="117" name="Imagem 12" descr="Descriçã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ção: transparent"/>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00D24E61" w:rsidRPr="00771368">
        <w:rPr>
          <w:sz w:val="24"/>
          <w:szCs w:val="24"/>
        </w:rPr>
        <w:tab/>
        <w:t>Todas as instituições, leis e ações citadas até então representam a ação ativa do estado baiano e consequentemente brasileiro em relação à aplicação dos direitos da mulher. Essa relação é extensa e plausível, por isso, não seria possível apesar do grande esforço de síntese tratar de todas elas nessas páginas. Vale ressaltar, que apesar do respaldo brasileiro, diante da comunidade internacional neste sentido, muito ainda é preciso se fazer para garantir uma igualdade de direito efetiva.</w:t>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b/>
          <w:sz w:val="24"/>
          <w:szCs w:val="24"/>
        </w:rPr>
      </w:pPr>
      <w:r w:rsidRPr="00771368">
        <w:rPr>
          <w:b/>
          <w:sz w:val="24"/>
          <w:szCs w:val="24"/>
        </w:rPr>
        <w:t>Lei Maria da Penha</w:t>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ind w:firstLine="708"/>
        <w:jc w:val="both"/>
        <w:rPr>
          <w:sz w:val="24"/>
          <w:szCs w:val="24"/>
        </w:rPr>
      </w:pPr>
      <w:r w:rsidRPr="00771368">
        <w:rPr>
          <w:sz w:val="24"/>
          <w:szCs w:val="24"/>
        </w:rPr>
        <w:t xml:space="preserve">A Lei Maria da Penha, Lei n° 11.340/06, consiste num grande avanço jurídico brasileiro, no sentido de proteção às mulheres. Ao sancioná-la o Estado atende às perspectivas de gênero e de direitos humanos previstos pela Convenção sobre a Eliminação de Todas as Formas de Discriminação contra a Mulher (CEDAW) e também compreende a Convenção Interamericana para Prevenir, Punir e Erradicar a Violência contra a Mulher, rompendo com os paradigmas tradicionais, permitindo uma ação preventiva, que garanta assistência e proteção às mulheres e também a seus dependentes quando estão em situação de violência, assim revela Valéria Pandjiarjian (2011). Para Piovesan (2003) a Lei Maria da Penha é uma conquista para todo um movimento que lutava pela afirmação dos direitos humanos das mulheres, no Brasil. </w:t>
      </w:r>
    </w:p>
    <w:p w:rsidR="00D24E61" w:rsidRPr="00771368" w:rsidRDefault="00D24E61" w:rsidP="00D24E61">
      <w:pPr>
        <w:spacing w:line="360" w:lineRule="auto"/>
        <w:ind w:firstLine="708"/>
        <w:jc w:val="both"/>
        <w:rPr>
          <w:sz w:val="24"/>
          <w:szCs w:val="24"/>
        </w:rPr>
      </w:pPr>
      <w:r w:rsidRPr="00771368">
        <w:rPr>
          <w:sz w:val="24"/>
          <w:szCs w:val="24"/>
        </w:rPr>
        <w:t xml:space="preserve">O surgimento dessa lei rompeu com o silêncio mortal das brasileiras, que por existir acobertava 70% dos homicídios femininos no país. No entanto, não se pode esquecer que o caminho para se chegar a uma lei específica contra violência foi muito árduo. Destaca-se aqui o pressuposto construtivista da necessidade de interação entre os atores, pois é no momento que o silêncio é rompido a mulher torna a discussão sobre sua opressão pública, essa questão ganha novas abordagens e perspectivas. </w:t>
      </w:r>
      <w:r w:rsidRPr="00771368">
        <w:rPr>
          <w:b/>
          <w:sz w:val="24"/>
          <w:szCs w:val="24"/>
        </w:rPr>
        <w:t>“</w:t>
      </w:r>
      <w:r w:rsidRPr="00771368">
        <w:rPr>
          <w:sz w:val="24"/>
          <w:szCs w:val="24"/>
        </w:rPr>
        <w:t>Nesse sentido, a permanente construção e reconstrução da vida social em geral-e das relações internacionais em particular- abre a porta, de maneira indeterminada, para a transformação, a mudança ou a continuidade” (NOGUEIRA; MESSARI, 2005, p. 174).</w:t>
      </w:r>
    </w:p>
    <w:p w:rsidR="00D24E61" w:rsidRPr="00771368" w:rsidRDefault="00D24E61" w:rsidP="00D24E61">
      <w:pPr>
        <w:spacing w:line="360" w:lineRule="auto"/>
        <w:ind w:firstLine="708"/>
        <w:jc w:val="both"/>
        <w:rPr>
          <w:sz w:val="24"/>
          <w:szCs w:val="24"/>
        </w:rPr>
      </w:pPr>
      <w:r w:rsidRPr="00771368">
        <w:rPr>
          <w:sz w:val="24"/>
          <w:szCs w:val="24"/>
        </w:rPr>
        <w:t>Destaca-se aqui a Convenção de Belém do Pará como o primeiro tratado internacional, que tem como finalidade a proteção dos direitos humanos, a enfatizar o reconhecimento de que a violência contra a mulher consiste num fenômeno generalizado e não discriminatório, ou seja, todas as mulheres, independente de suas condições, são vítimas em potencial. Piovesan (2003) argumenta que com a Convenção em questão vão surgir estratégias de proteção internacional dos direitos humanos das mulheres que são de grande valia, enfatizando o papel do mecanismo de petições à Comissão Interamericana de Direitos Humanos. Foi justamente, pela existência de tal mecanismo que a Lei Maria da Penha se transformou em realidade. Sobre este instrumento é relevante saber que:</w:t>
      </w:r>
    </w:p>
    <w:p w:rsidR="00D24E61" w:rsidRPr="00771368" w:rsidRDefault="00D24E61" w:rsidP="00D24E61">
      <w:pPr>
        <w:jc w:val="both"/>
        <w:rPr>
          <w:sz w:val="24"/>
          <w:szCs w:val="24"/>
        </w:rPr>
      </w:pPr>
    </w:p>
    <w:p w:rsidR="00D24E61" w:rsidRPr="00771368" w:rsidRDefault="00D24E61" w:rsidP="00D24E61">
      <w:pPr>
        <w:ind w:left="2268"/>
        <w:jc w:val="both"/>
      </w:pPr>
      <w:r w:rsidRPr="00771368">
        <w:t>Nos termos do art. 12 da Convenção, qualquer pessoa ou grupo de pessoas, ou entidade não-governamental, pode apresentar à Comissão Interamericana de Direitos Humanos petições que contenham denúncias de violência perpetrada contra a mulher. Há determinados requisitos de admissibilidade para as petições, sendo o principal deles o chamado “esgotamento prévio dos recursos internos”. Isto é, para recorrer à comissão é necessário ter esgotado todas as vias nacionais existentes, comprovando-se a ineficácia das mesmas. Esta é, inclusive, a tônica dos instrumentos internacionais de proteção dos direitos humanos, que apresentam um caráter subsidiário, sendo uma garantia adicional de proteção. Por isso, os procedimentos internacionais só podem ser acionados na hipótese das instituições nacionais se mostrarem falhas ou omissas no dever de proteger os direitos fundamentais. Nesse caso, a comunidade internacional buscará responsabilizar o Estado violador, de forma a adotar medidas que restaurem ou reparem os direitos então violados (PIOVESAN, 2003, p. 216).</w:t>
      </w:r>
    </w:p>
    <w:p w:rsidR="00D24E61" w:rsidRPr="00771368" w:rsidRDefault="00D24E61" w:rsidP="00D24E61">
      <w:pPr>
        <w:jc w:val="both"/>
      </w:pPr>
    </w:p>
    <w:p w:rsidR="00D24E61" w:rsidRPr="00771368" w:rsidRDefault="00D24E61" w:rsidP="00D24E61">
      <w:pPr>
        <w:spacing w:line="360" w:lineRule="auto"/>
        <w:ind w:firstLine="708"/>
        <w:jc w:val="both"/>
        <w:rPr>
          <w:sz w:val="24"/>
          <w:szCs w:val="24"/>
        </w:rPr>
      </w:pPr>
      <w:r w:rsidRPr="00771368">
        <w:rPr>
          <w:sz w:val="24"/>
          <w:szCs w:val="24"/>
        </w:rPr>
        <w:t>Diante de tal contexto, o Estado brasileiro foi condenado internacionalmente pela sua omissão em relação ao caso de Maria da Penha. Essa mulher, cujo o nome foi empregado à lei contra violência no Brasil, sofreu duas tentativas de homicídio, além de outras agressões que a deixou paraplégica, praticadas por seu companheiro, que ficou impune pelo crime cometido por mais de 15 anos, mesmo depois de condenado pelos tribunais nacionais, conforme conta Leila Barsted (2011). Diante de tal impunidade, Piovesan (2003) revela que “[...] em 1998, as organizações não-governamentais CEJIL – Brasil (Centro para a Justiça e o Direito Internacional) e CLADEM – Brasil (Comitê Latino-Americano e do Caribe para a Defesa dos Direitos da Mulher) submeteram à Comissão Interamericana de Direitos Humanos (OEA) o caso de Maria da Penha (PIOVESAN, 2003, p. 217). Ao ser condenado pela negligência e omissão, o Estado brasileiro recebeu a recomendação de adotar medidas para sanar o problema e de indenizar a vítima Maria da Penha.</w:t>
      </w:r>
    </w:p>
    <w:p w:rsidR="00D24E61" w:rsidRPr="00771368" w:rsidRDefault="00D24E61" w:rsidP="00D24E61">
      <w:pPr>
        <w:spacing w:line="360" w:lineRule="auto"/>
        <w:ind w:firstLine="708"/>
        <w:jc w:val="both"/>
        <w:rPr>
          <w:sz w:val="24"/>
          <w:szCs w:val="24"/>
        </w:rPr>
      </w:pPr>
      <w:r w:rsidRPr="00771368">
        <w:rPr>
          <w:sz w:val="24"/>
          <w:szCs w:val="24"/>
        </w:rPr>
        <w:t>Por isso, em 05 de setembro de 2006, a Lei 11.340 foi sancionada, inaugurando um avanço legislativo importante na sociedade brasileira, prevenindo-se também de novas situações de impunidade. Segundo Barsted (2011):</w:t>
      </w:r>
    </w:p>
    <w:p w:rsidR="00D24E61" w:rsidRPr="00771368" w:rsidRDefault="00D24E61" w:rsidP="00D24E61">
      <w:pPr>
        <w:ind w:left="2268"/>
        <w:jc w:val="both"/>
      </w:pPr>
    </w:p>
    <w:p w:rsidR="00D24E61" w:rsidRPr="00771368" w:rsidRDefault="00D24E61" w:rsidP="00D24E61">
      <w:pPr>
        <w:ind w:left="2268"/>
        <w:jc w:val="both"/>
      </w:pPr>
      <w:r w:rsidRPr="00771368">
        <w:t>É de grande importância conhecer o processo de elaboração dessa Lei, fruto de um processo democrático e que, por isso mesmo, deve ser analisada como um caso exemplar bem-sucedido de articulação política entre a sociedade civil/movimento de mulheres e os Poderes constituídos – Executivo e Legislativo (BARSTED, 2011, p. 16).</w:t>
      </w:r>
    </w:p>
    <w:p w:rsidR="00D24E61" w:rsidRPr="00771368" w:rsidRDefault="00D24E61" w:rsidP="00D24E61">
      <w:pPr>
        <w:jc w:val="both"/>
      </w:pPr>
    </w:p>
    <w:p w:rsidR="00D24E61" w:rsidRPr="00771368" w:rsidRDefault="00D24E61" w:rsidP="00D24E61">
      <w:pPr>
        <w:spacing w:line="360" w:lineRule="auto"/>
        <w:ind w:firstLine="708"/>
        <w:jc w:val="both"/>
        <w:rPr>
          <w:sz w:val="24"/>
          <w:szCs w:val="24"/>
        </w:rPr>
      </w:pPr>
      <w:r w:rsidRPr="00771368">
        <w:rPr>
          <w:sz w:val="24"/>
          <w:szCs w:val="24"/>
        </w:rPr>
        <w:t>A sanção de tal lei responde às expectativas de muitas mulheres brasileiras, pois é o reconhecimento legítimo por parte do da gravidade do problema feminino em relação à violência. Cumpre também com parte do compromisso brasileiro presente nos tratados internacionais. É relevante salientar que essa lei não foca somente na questão da violência doméstica e familiar que sofre o sexo feminino, ela é abrangente, pois define:</w:t>
      </w:r>
    </w:p>
    <w:p w:rsidR="00D24E61" w:rsidRPr="00771368" w:rsidRDefault="00D24E61" w:rsidP="00D24E61">
      <w:pPr>
        <w:jc w:val="both"/>
        <w:rPr>
          <w:sz w:val="24"/>
          <w:szCs w:val="24"/>
        </w:rPr>
      </w:pPr>
    </w:p>
    <w:p w:rsidR="00D24E61" w:rsidRPr="00771368" w:rsidRDefault="00D24E61" w:rsidP="00D24E61">
      <w:pPr>
        <w:ind w:left="2268"/>
        <w:jc w:val="both"/>
      </w:pPr>
      <w:r w:rsidRPr="00771368">
        <w:t xml:space="preserve">[...] as linhas de uma política de prevenção e atenção ao enfrentamento dessa violência, articulando ações governamentais da União, dos Estados, do Distrito Federal e dos Municípios e de ações não-governamentais, através da integração operacional do Poder Judiciário, Ministério Público e Defensoria Pública com as áreas da segurança pública, assistência social, saúde, educação, trabalho e habitação. Com essa perspectiva, a assistência à mulher em situação de violência deverá ser prestada de forma articulada e conforme os princípios e as diretrizes previstos na Lei Orgânica da Assistência Social, no Sistema Único de Saúde, no Sistema Único de Segurança Pública, dentre outras normas e políticas públicas de proteção (BARSTED, 2011, p. 21). </w:t>
      </w:r>
    </w:p>
    <w:p w:rsidR="00D24E61" w:rsidRPr="00771368" w:rsidRDefault="00D24E61" w:rsidP="00D24E61">
      <w:pPr>
        <w:jc w:val="both"/>
      </w:pPr>
    </w:p>
    <w:p w:rsidR="00D24E61" w:rsidRPr="00771368" w:rsidRDefault="00D24E61" w:rsidP="00D24E61">
      <w:pPr>
        <w:spacing w:line="360" w:lineRule="auto"/>
        <w:ind w:firstLine="708"/>
        <w:jc w:val="both"/>
        <w:rPr>
          <w:sz w:val="24"/>
          <w:szCs w:val="24"/>
        </w:rPr>
      </w:pPr>
      <w:r w:rsidRPr="00771368">
        <w:rPr>
          <w:sz w:val="24"/>
          <w:szCs w:val="24"/>
        </w:rPr>
        <w:t xml:space="preserve">O grande sucesso da Lei Maria da Penha em relação às leis de outros países, como a lei argentina contra violência, é que a lei brasileira está, para usar uma expressão bastante popular </w:t>
      </w:r>
      <w:r w:rsidRPr="00771368">
        <w:rPr>
          <w:i/>
          <w:sz w:val="24"/>
          <w:szCs w:val="24"/>
        </w:rPr>
        <w:t>na boca do povo</w:t>
      </w:r>
      <w:r w:rsidRPr="00771368">
        <w:rPr>
          <w:sz w:val="24"/>
          <w:szCs w:val="24"/>
        </w:rPr>
        <w:t>, quem nunca ouviu, falou ou recomendou esta lei? Esse fato pode ser melhor visualizado no gráfico abaixo, que revela um aumento significativo do número de registros sobre violência contra a mulher nos anos posteriores à  criação da Lei Maria da Penha:</w:t>
      </w:r>
    </w:p>
    <w:p w:rsidR="00D24E61" w:rsidRPr="00771368" w:rsidRDefault="00013211" w:rsidP="00D24E61">
      <w:pPr>
        <w:spacing w:line="360" w:lineRule="auto"/>
        <w:jc w:val="both"/>
        <w:rPr>
          <w:sz w:val="24"/>
          <w:szCs w:val="24"/>
        </w:rPr>
      </w:pPr>
      <w:r>
        <w:rPr>
          <w:noProof/>
        </w:rPr>
        <w:drawing>
          <wp:anchor distT="0" distB="0" distL="114300" distR="114300" simplePos="0" relativeHeight="251697664" behindDoc="0" locked="0" layoutInCell="1" allowOverlap="1">
            <wp:simplePos x="0" y="0"/>
            <wp:positionH relativeFrom="column">
              <wp:posOffset>558165</wp:posOffset>
            </wp:positionH>
            <wp:positionV relativeFrom="paragraph">
              <wp:posOffset>2540</wp:posOffset>
            </wp:positionV>
            <wp:extent cx="4895850" cy="2914650"/>
            <wp:effectExtent l="0" t="0" r="0" b="0"/>
            <wp:wrapNone/>
            <wp:docPr id="23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895850" cy="2914650"/>
                    </a:xfrm>
                    <a:prstGeom prst="rect">
                      <a:avLst/>
                    </a:prstGeom>
                    <a:noFill/>
                  </pic:spPr>
                </pic:pic>
              </a:graphicData>
            </a:graphic>
            <wp14:sizeRelH relativeFrom="page">
              <wp14:pctWidth>0</wp14:pctWidth>
            </wp14:sizeRelH>
            <wp14:sizeRelV relativeFrom="page">
              <wp14:pctHeight>0</wp14:pctHeight>
            </wp14:sizeRelV>
          </wp:anchor>
        </w:drawing>
      </w: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jc w:val="both"/>
        <w:rPr>
          <w:sz w:val="24"/>
          <w:szCs w:val="24"/>
        </w:rPr>
      </w:pPr>
    </w:p>
    <w:p w:rsidR="00D24E61" w:rsidRPr="00771368" w:rsidRDefault="00D24E61" w:rsidP="00D24E61">
      <w:pPr>
        <w:spacing w:line="360" w:lineRule="auto"/>
        <w:ind w:firstLine="708"/>
        <w:jc w:val="both"/>
        <w:rPr>
          <w:sz w:val="24"/>
          <w:szCs w:val="24"/>
        </w:rPr>
      </w:pPr>
      <w:r w:rsidRPr="00771368">
        <w:rPr>
          <w:sz w:val="24"/>
          <w:szCs w:val="24"/>
        </w:rPr>
        <w:t>Nesse sentido, de acordo com a Secretaria de Políticas para as mulheres (SEPM) (2011), foi a popularização da Lei em estudo que contribuiu para o crescimento do acesso ao Ligue 180, canal que passou a ser considerado, gradativamente, pelas usuárias com um meio de acesso aos seus direitos. Ao buscarem ajuda através do disk denúncia, as mulheres dão o primeiro passo para livrar-se da violência sofrida. Aliada às Delegacias da Mulher a Lei 11.340/06 cumpre um papel fundamental para a proteção dos direitos humanos das mulheres. Pois, há de se considerar que:</w:t>
      </w:r>
    </w:p>
    <w:p w:rsidR="00D24E61" w:rsidRPr="00771368" w:rsidRDefault="00D24E61" w:rsidP="00D24E61">
      <w:pPr>
        <w:autoSpaceDE w:val="0"/>
        <w:autoSpaceDN w:val="0"/>
        <w:adjustRightInd w:val="0"/>
        <w:ind w:left="2268"/>
        <w:jc w:val="both"/>
        <w:rPr>
          <w:color w:val="000000"/>
        </w:rPr>
      </w:pPr>
    </w:p>
    <w:p w:rsidR="00D24E61" w:rsidRPr="00771368" w:rsidRDefault="00D24E61" w:rsidP="00D24E61">
      <w:pPr>
        <w:autoSpaceDE w:val="0"/>
        <w:autoSpaceDN w:val="0"/>
        <w:adjustRightInd w:val="0"/>
        <w:ind w:left="2268"/>
        <w:jc w:val="both"/>
        <w:rPr>
          <w:color w:val="000000"/>
        </w:rPr>
      </w:pPr>
      <w:r w:rsidRPr="00771368">
        <w:rPr>
          <w:color w:val="000000"/>
        </w:rPr>
        <w:t>A proteção especial da mulher não decorre de um pensamento feminista nem de uma idéia discriminatória em relação aos homens, mas sim da necessidade de se eliminar qualquer tipo de violência de gênero e da “necessidade de afirmar a proteção específica que requerem os direitos e liberdade das mulheres, afirmação que constitui uma peça indispensável para a construção integral do sistema de proteção dos direitos humanos e sua vigência eficaz” (REVISTA ÂMBITO JURIDICO, 2011, p. 04, grifos do autor).</w:t>
      </w:r>
    </w:p>
    <w:p w:rsidR="00D24E61" w:rsidRPr="00771368" w:rsidRDefault="00D24E61" w:rsidP="00D24E61">
      <w:pPr>
        <w:autoSpaceDE w:val="0"/>
        <w:autoSpaceDN w:val="0"/>
        <w:adjustRightInd w:val="0"/>
        <w:rPr>
          <w:b/>
          <w:bCs/>
          <w:color w:val="810000"/>
        </w:rPr>
      </w:pPr>
    </w:p>
    <w:p w:rsidR="00D24E61" w:rsidRPr="00771368" w:rsidRDefault="00D24E61" w:rsidP="00D24E61">
      <w:pPr>
        <w:spacing w:line="360" w:lineRule="auto"/>
        <w:ind w:firstLine="708"/>
        <w:jc w:val="both"/>
        <w:rPr>
          <w:sz w:val="24"/>
          <w:szCs w:val="24"/>
        </w:rPr>
      </w:pPr>
      <w:r w:rsidRPr="00771368">
        <w:rPr>
          <w:sz w:val="24"/>
          <w:szCs w:val="24"/>
        </w:rPr>
        <w:t xml:space="preserve">Infelizmente muitas mulheres, do aparato legal existente, ainda não acessam ou demoram para acessar os instrumentos que estão a sua disposição para a garantia de seus direitos, seja por medo, seja por amor ou dependência. O importante é que o Estado brasileiro vem cumprindo o seu papel e está disponibilizando meios para a tão desejada mudança paradigmática e para a garantia efetiva e plena dos direitos humanos femininos. </w:t>
      </w:r>
    </w:p>
    <w:p w:rsidR="00D24E61" w:rsidRPr="00771368" w:rsidRDefault="00D24E61" w:rsidP="00D24E61">
      <w:pPr>
        <w:spacing w:line="360" w:lineRule="auto"/>
      </w:pPr>
    </w:p>
    <w:p w:rsidR="00D24E61" w:rsidRPr="00771368" w:rsidRDefault="00D24E61" w:rsidP="00D24E61">
      <w:pPr>
        <w:spacing w:line="360" w:lineRule="auto"/>
      </w:pPr>
    </w:p>
    <w:p w:rsidR="00D24E61" w:rsidRPr="00771368" w:rsidRDefault="00D24E61" w:rsidP="00D24E61">
      <w:pPr>
        <w:spacing w:line="360" w:lineRule="auto"/>
        <w:rPr>
          <w:b/>
          <w:sz w:val="24"/>
          <w:szCs w:val="24"/>
        </w:rPr>
      </w:pPr>
      <w:r w:rsidRPr="00771368">
        <w:rPr>
          <w:b/>
          <w:sz w:val="24"/>
          <w:szCs w:val="24"/>
        </w:rPr>
        <w:t>Considerações Finais</w:t>
      </w:r>
    </w:p>
    <w:p w:rsidR="00D24E61" w:rsidRPr="00771368" w:rsidRDefault="00D24E61" w:rsidP="00D24E61">
      <w:pPr>
        <w:spacing w:line="360" w:lineRule="auto"/>
      </w:pPr>
    </w:p>
    <w:p w:rsidR="00D24E61" w:rsidRPr="00771368" w:rsidRDefault="00D24E61" w:rsidP="00D24E61">
      <w:pPr>
        <w:spacing w:line="360" w:lineRule="auto"/>
        <w:ind w:firstLine="708"/>
        <w:jc w:val="both"/>
        <w:rPr>
          <w:sz w:val="24"/>
          <w:szCs w:val="24"/>
        </w:rPr>
      </w:pPr>
      <w:r w:rsidRPr="00771368">
        <w:rPr>
          <w:sz w:val="24"/>
          <w:szCs w:val="24"/>
        </w:rPr>
        <w:t>Os objetos de estudo dessa pesquisa permitiram reflexões acerca da aplicação dos direitos humanos das mulheres no Brasil. Proporcionaram a esse artigo a possibilidade de fazer uma leitura da realidade feminina, de modo a vislumbrar as possíveis formas como o Estado lida com os compromissos internacionais sobre os direitos humanos.</w:t>
      </w:r>
    </w:p>
    <w:p w:rsidR="00D24E61" w:rsidRPr="00771368" w:rsidRDefault="00D24E61" w:rsidP="00D24E61">
      <w:pPr>
        <w:spacing w:line="360" w:lineRule="auto"/>
        <w:ind w:firstLine="708"/>
        <w:jc w:val="both"/>
        <w:rPr>
          <w:sz w:val="24"/>
          <w:szCs w:val="24"/>
        </w:rPr>
      </w:pPr>
      <w:r w:rsidRPr="00771368">
        <w:rPr>
          <w:sz w:val="24"/>
          <w:szCs w:val="24"/>
        </w:rPr>
        <w:t>A partir da abordagem teórica crítica, baseada nas teorias feministas de relações internacionais, nos direitos humanos e também no construtivismo, a pesquisa revelou que o Brasil têm implementado ações importantes a favor dos direitos da mulher, por meio da criação de instituições e leis que respaldem a efetivação de tais direitos.</w:t>
      </w:r>
    </w:p>
    <w:p w:rsidR="00D24E61" w:rsidRPr="00771368" w:rsidRDefault="00D24E61" w:rsidP="00D24E61">
      <w:pPr>
        <w:spacing w:line="360" w:lineRule="auto"/>
        <w:ind w:firstLine="708"/>
        <w:jc w:val="both"/>
        <w:rPr>
          <w:sz w:val="24"/>
          <w:szCs w:val="24"/>
        </w:rPr>
      </w:pPr>
      <w:r w:rsidRPr="00771368">
        <w:rPr>
          <w:sz w:val="24"/>
          <w:szCs w:val="24"/>
        </w:rPr>
        <w:t xml:space="preserve">O Brasil, além do passo a frente que a Constituição Federal representa, participou da criação de vários mecanismos internacionais de proteção à mulher e tem atuado no sentido de aplicar no contexto interno os compromissos estabelecidos internacionalmente. Existem aqui programas, leis e instituições de importância ímpar, no entanto, é pertinente destacar que o elemento de promoção e proteção da mulher mais conhecido no país é o vinculado ao combate da violência, ou seja, a Lei Maria da Penha e as Delegacias da Mulher. As demais áreas de atenção a mulher precisam ainda de mais atenção da população e de divulgação do Estado, pois são cruciais para o desenvolvimento pleno do </w:t>
      </w:r>
      <w:r w:rsidRPr="00771368">
        <w:rPr>
          <w:i/>
          <w:sz w:val="24"/>
          <w:szCs w:val="24"/>
        </w:rPr>
        <w:t>Género F</w:t>
      </w:r>
      <w:r w:rsidRPr="00771368">
        <w:rPr>
          <w:sz w:val="24"/>
          <w:szCs w:val="24"/>
        </w:rPr>
        <w:t>, um exemplo de instituição a ser divulgada é o Banco da Mulher, pois consiste num instrumento de promoção profissional da mulher.</w:t>
      </w:r>
    </w:p>
    <w:p w:rsidR="00D24E61" w:rsidRPr="00771368" w:rsidRDefault="00D24E61" w:rsidP="00D24E61">
      <w:pPr>
        <w:spacing w:line="360" w:lineRule="auto"/>
        <w:ind w:firstLine="708"/>
        <w:jc w:val="both"/>
      </w:pPr>
      <w:r w:rsidRPr="00771368">
        <w:rPr>
          <w:sz w:val="24"/>
          <w:szCs w:val="24"/>
        </w:rPr>
        <w:t>Não se esgota aqui, o debate acerca da aplicação dos direitos humanos das mulheres no país estudado. Ainda existem muitos aspectos, perspectivas e questões para serem estudadas, investigadas. Enfim, este trabalho espera ter dado a devida visibilidade para a questão da aplicação dos direitos humanos das mulheres, como elemento importante para o estudo das relações internacionais, além de ter contribuído com o legado feminista no meio acadêmico, que busca pensar a situação feminina na sociedade.</w:t>
      </w:r>
    </w:p>
    <w:p w:rsidR="00D24E61" w:rsidRPr="00771368" w:rsidRDefault="00D24E61" w:rsidP="00D24E61">
      <w:pPr>
        <w:spacing w:line="360" w:lineRule="auto"/>
      </w:pPr>
    </w:p>
    <w:p w:rsidR="00D24E61" w:rsidRPr="00771368" w:rsidRDefault="00D24E61" w:rsidP="00D24E61">
      <w:pPr>
        <w:spacing w:line="360" w:lineRule="auto"/>
      </w:pPr>
    </w:p>
    <w:p w:rsidR="00E86604" w:rsidRDefault="00E86604" w:rsidP="00D24E61">
      <w:pPr>
        <w:spacing w:line="360" w:lineRule="auto"/>
        <w:rPr>
          <w:b/>
        </w:rPr>
      </w:pPr>
    </w:p>
    <w:p w:rsidR="00D24E61" w:rsidRPr="00771368" w:rsidRDefault="00D24E61" w:rsidP="00D24E61">
      <w:pPr>
        <w:spacing w:line="360" w:lineRule="auto"/>
        <w:rPr>
          <w:b/>
        </w:rPr>
      </w:pPr>
      <w:r w:rsidRPr="00771368">
        <w:rPr>
          <w:b/>
        </w:rPr>
        <w:t>Referências</w:t>
      </w:r>
    </w:p>
    <w:p w:rsidR="00D24E61" w:rsidRPr="00771368" w:rsidRDefault="00D24E61" w:rsidP="00D24E61">
      <w:pPr>
        <w:spacing w:line="360" w:lineRule="auto"/>
        <w:rPr>
          <w:b/>
        </w:rPr>
      </w:pPr>
    </w:p>
    <w:p w:rsidR="00D24E61" w:rsidRPr="00771368" w:rsidRDefault="00D24E61" w:rsidP="00D24E61">
      <w:pPr>
        <w:jc w:val="both"/>
        <w:rPr>
          <w:i/>
          <w:sz w:val="24"/>
          <w:szCs w:val="24"/>
        </w:rPr>
      </w:pPr>
      <w:r w:rsidRPr="00771368">
        <w:rPr>
          <w:bCs/>
          <w:sz w:val="24"/>
          <w:szCs w:val="24"/>
        </w:rPr>
        <w:t xml:space="preserve">BARSTED, Leila Linhares. A RESPOSTA LEGISLATIVA À VIOLÊNCIA CONTRA AS MULHERES NO BRASIL1. Disponível em: </w:t>
      </w:r>
      <w:r w:rsidRPr="00771368">
        <w:rPr>
          <w:bCs/>
          <w:i/>
          <w:sz w:val="24"/>
          <w:szCs w:val="24"/>
        </w:rPr>
        <w:t>&lt;</w:t>
      </w:r>
      <w:r w:rsidRPr="00771368">
        <w:rPr>
          <w:i/>
          <w:sz w:val="24"/>
          <w:szCs w:val="24"/>
        </w:rPr>
        <w:t>http://www.ccj.ufpb.br/nepgd/images/stories/pdf/a_resposta.pdf&gt;</w:t>
      </w:r>
      <w:r w:rsidRPr="00771368">
        <w:rPr>
          <w:sz w:val="24"/>
          <w:szCs w:val="24"/>
        </w:rPr>
        <w:t>. Acesso: 25 de setembro 2011.</w:t>
      </w:r>
    </w:p>
    <w:p w:rsidR="00D24E61" w:rsidRPr="00771368" w:rsidRDefault="00D24E61" w:rsidP="00D24E61">
      <w:pPr>
        <w:jc w:val="both"/>
        <w:rPr>
          <w:sz w:val="24"/>
          <w:szCs w:val="24"/>
        </w:rPr>
      </w:pPr>
    </w:p>
    <w:p w:rsidR="00D24E61" w:rsidRPr="00771368" w:rsidRDefault="00D24E61" w:rsidP="00D24E61">
      <w:pPr>
        <w:jc w:val="both"/>
        <w:rPr>
          <w:sz w:val="24"/>
          <w:szCs w:val="24"/>
        </w:rPr>
      </w:pPr>
      <w:r w:rsidRPr="00771368">
        <w:rPr>
          <w:sz w:val="24"/>
          <w:szCs w:val="24"/>
        </w:rPr>
        <w:t xml:space="preserve">BRASIL. </w:t>
      </w:r>
      <w:r w:rsidRPr="00771368">
        <w:rPr>
          <w:i/>
          <w:sz w:val="24"/>
          <w:szCs w:val="24"/>
        </w:rPr>
        <w:t>Constituição da República Federativa do Brasil</w:t>
      </w:r>
      <w:r w:rsidRPr="00771368">
        <w:rPr>
          <w:sz w:val="24"/>
          <w:szCs w:val="24"/>
        </w:rPr>
        <w:t>: Texto constitucional promulgado em 5 de outubro de 1998, com as alterações adotadas pelas Emendas Constitucionais n° 1/92 a 56/2007 e pelas Emendas Constitucionais de Revisão n° 1 a 6/94. Brasília: Senado Federal, Subsecretaria de Edições Técnicas, 2008.</w:t>
      </w:r>
    </w:p>
    <w:p w:rsidR="00D24E61" w:rsidRPr="00771368" w:rsidRDefault="00D24E61" w:rsidP="00D24E61">
      <w:pPr>
        <w:jc w:val="both"/>
        <w:rPr>
          <w:sz w:val="24"/>
          <w:szCs w:val="24"/>
        </w:rPr>
      </w:pPr>
    </w:p>
    <w:p w:rsidR="00D24E61" w:rsidRPr="00771368" w:rsidRDefault="00D24E61" w:rsidP="00D24E61">
      <w:pPr>
        <w:jc w:val="both"/>
        <w:rPr>
          <w:sz w:val="24"/>
          <w:szCs w:val="24"/>
        </w:rPr>
      </w:pPr>
      <w:r w:rsidRPr="00771368">
        <w:rPr>
          <w:sz w:val="24"/>
          <w:szCs w:val="24"/>
        </w:rPr>
        <w:t xml:space="preserve">CARVALHO, Adriana. Conheça o Banco da Mulher. Disponível em: </w:t>
      </w:r>
      <w:r w:rsidRPr="00771368">
        <w:rPr>
          <w:i/>
          <w:sz w:val="24"/>
          <w:szCs w:val="24"/>
        </w:rPr>
        <w:t>&lt; http://www.bancodamulher.org.br/&gt;</w:t>
      </w:r>
      <w:r w:rsidRPr="00771368">
        <w:rPr>
          <w:sz w:val="24"/>
          <w:szCs w:val="24"/>
        </w:rPr>
        <w:t>. Acesso: 25 setembro de 2011.</w:t>
      </w:r>
    </w:p>
    <w:p w:rsidR="00D24E61" w:rsidRPr="00771368" w:rsidRDefault="00D24E61" w:rsidP="00D24E61">
      <w:pPr>
        <w:jc w:val="both"/>
        <w:rPr>
          <w:sz w:val="24"/>
          <w:szCs w:val="24"/>
        </w:rPr>
      </w:pPr>
    </w:p>
    <w:p w:rsidR="00D24E61" w:rsidRPr="00771368" w:rsidRDefault="00D24E61" w:rsidP="00D24E61">
      <w:pPr>
        <w:jc w:val="both"/>
        <w:rPr>
          <w:i/>
          <w:sz w:val="24"/>
          <w:szCs w:val="24"/>
        </w:rPr>
      </w:pPr>
      <w:r w:rsidRPr="00771368">
        <w:rPr>
          <w:sz w:val="24"/>
          <w:szCs w:val="24"/>
        </w:rPr>
        <w:t xml:space="preserve">DEPOIMENTO. Disponível em: </w:t>
      </w:r>
      <w:r w:rsidRPr="00771368">
        <w:rPr>
          <w:i/>
          <w:sz w:val="24"/>
          <w:szCs w:val="24"/>
        </w:rPr>
        <w:t>&lt;http://maps.google.com.br/maps?hl=pt-BR&amp;safe=active&amp;ie=UTF8&amp;q=delegacia+da+mulher+em+Brotas+-Salvador&amp;fb</w:t>
      </w:r>
    </w:p>
    <w:p w:rsidR="00D24E61" w:rsidRPr="00771368" w:rsidRDefault="00D24E61" w:rsidP="00D24E61">
      <w:pPr>
        <w:jc w:val="both"/>
        <w:rPr>
          <w:i/>
          <w:sz w:val="24"/>
          <w:szCs w:val="24"/>
        </w:rPr>
      </w:pPr>
      <w:r w:rsidRPr="00771368">
        <w:rPr>
          <w:i/>
          <w:sz w:val="24"/>
          <w:szCs w:val="24"/>
        </w:rPr>
        <w:t>=1&amp;gl=br&amp;hq=delegacia+da+mulher&amp;hnear=0x71604b4dc11f5fd:0x825abe0e3c17cfaa,Brotas,+Salvador+-+BA&amp;view=map&amp;cid=17640128695524549050&amp;iwl</w:t>
      </w:r>
    </w:p>
    <w:p w:rsidR="00D24E61" w:rsidRPr="00771368" w:rsidRDefault="00D24E61" w:rsidP="00D24E61">
      <w:pPr>
        <w:jc w:val="both"/>
        <w:rPr>
          <w:i/>
          <w:sz w:val="24"/>
          <w:szCs w:val="24"/>
        </w:rPr>
      </w:pPr>
      <w:r w:rsidRPr="00771368">
        <w:rPr>
          <w:i/>
          <w:sz w:val="24"/>
          <w:szCs w:val="24"/>
        </w:rPr>
        <w:t>oc=A&amp;ved=0CDAQpQY&amp;sa=X&amp;ei=5JnfTovmEJa4zAXdivHmBA&gt;.</w:t>
      </w:r>
      <w:r w:rsidRPr="00771368">
        <w:rPr>
          <w:sz w:val="24"/>
          <w:szCs w:val="24"/>
        </w:rPr>
        <w:t xml:space="preserve"> Acesso: 05 de dezembro de 2011.</w:t>
      </w:r>
    </w:p>
    <w:p w:rsidR="00D24E61" w:rsidRPr="00771368" w:rsidRDefault="00D24E61" w:rsidP="00D24E61">
      <w:pPr>
        <w:jc w:val="both"/>
        <w:rPr>
          <w:sz w:val="24"/>
          <w:szCs w:val="24"/>
        </w:rPr>
      </w:pPr>
    </w:p>
    <w:p w:rsidR="00D24E61" w:rsidRPr="00771368" w:rsidRDefault="00D24E61" w:rsidP="00D24E61">
      <w:pPr>
        <w:jc w:val="both"/>
        <w:rPr>
          <w:sz w:val="24"/>
          <w:szCs w:val="24"/>
        </w:rPr>
      </w:pPr>
      <w:r w:rsidRPr="00771368">
        <w:rPr>
          <w:sz w:val="24"/>
          <w:szCs w:val="24"/>
        </w:rPr>
        <w:t xml:space="preserve">ESMERALDO, Gema Galkgani S.L; SAID, Magnólia Azevedo. O Conselho de Direitos da Mulher (CCDM): espaço de interlocução entre as demandas dos movimentos de mulheres e o Estado. In: DAGNINO, Evelina (Org.). </w:t>
      </w:r>
      <w:r w:rsidRPr="00771368">
        <w:rPr>
          <w:i/>
          <w:iCs/>
          <w:sz w:val="24"/>
          <w:szCs w:val="24"/>
        </w:rPr>
        <w:t>Sociedade civil espaços públicos no Brasil</w:t>
      </w:r>
      <w:r w:rsidRPr="00771368">
        <w:rPr>
          <w:sz w:val="24"/>
          <w:szCs w:val="24"/>
        </w:rPr>
        <w:t>. São Paulo: Paz e Terra, 2002.</w:t>
      </w:r>
    </w:p>
    <w:p w:rsidR="00D24E61" w:rsidRPr="00771368" w:rsidRDefault="00D24E61" w:rsidP="00D24E61">
      <w:pPr>
        <w:jc w:val="both"/>
        <w:rPr>
          <w:sz w:val="24"/>
          <w:szCs w:val="24"/>
        </w:rPr>
      </w:pPr>
    </w:p>
    <w:p w:rsidR="00D24E61" w:rsidRPr="00771368" w:rsidRDefault="00D24E61" w:rsidP="00D24E61">
      <w:pPr>
        <w:jc w:val="both"/>
        <w:rPr>
          <w:rStyle w:val="apple-style-span"/>
          <w:color w:val="000000"/>
          <w:sz w:val="24"/>
          <w:szCs w:val="24"/>
        </w:rPr>
      </w:pPr>
      <w:r w:rsidRPr="00771368">
        <w:rPr>
          <w:sz w:val="24"/>
          <w:szCs w:val="24"/>
        </w:rPr>
        <w:t xml:space="preserve">ESTADO DA BAHIA. Medida </w:t>
      </w:r>
      <w:r w:rsidRPr="00771368">
        <w:rPr>
          <w:rStyle w:val="apple-style-span"/>
          <w:color w:val="000000"/>
          <w:sz w:val="24"/>
          <w:szCs w:val="24"/>
        </w:rPr>
        <w:t>zera os juros do PRONAF Mulher. Disponível em:&lt; http://www.mda.gov.br/portal/noticias/item?item_id=14517648&gt;. Acesso em 25 de setembro de 2011.</w:t>
      </w:r>
    </w:p>
    <w:p w:rsidR="00D24E61" w:rsidRPr="00771368" w:rsidRDefault="00D24E61" w:rsidP="00D24E61">
      <w:pPr>
        <w:jc w:val="both"/>
        <w:rPr>
          <w:sz w:val="24"/>
          <w:szCs w:val="24"/>
        </w:rPr>
      </w:pPr>
    </w:p>
    <w:p w:rsidR="00D24E61" w:rsidRPr="00771368" w:rsidRDefault="00D24E61" w:rsidP="00D24E61">
      <w:pPr>
        <w:jc w:val="both"/>
        <w:rPr>
          <w:sz w:val="24"/>
          <w:szCs w:val="24"/>
        </w:rPr>
      </w:pPr>
      <w:r w:rsidRPr="00771368">
        <w:rPr>
          <w:rStyle w:val="Forte"/>
          <w:b w:val="0"/>
          <w:sz w:val="24"/>
          <w:szCs w:val="24"/>
          <w:shd w:val="clear" w:color="auto" w:fill="FFFFFF"/>
        </w:rPr>
        <w:t>FERREIRA, Rosenildo Gomes.</w:t>
      </w:r>
      <w:r w:rsidRPr="00771368">
        <w:rPr>
          <w:rStyle w:val="Forte"/>
          <w:sz w:val="24"/>
          <w:szCs w:val="24"/>
          <w:shd w:val="clear" w:color="auto" w:fill="FFFFFF"/>
        </w:rPr>
        <w:t xml:space="preserve"> </w:t>
      </w:r>
      <w:r w:rsidRPr="00771368">
        <w:rPr>
          <w:bCs/>
          <w:sz w:val="24"/>
          <w:szCs w:val="24"/>
          <w:shd w:val="clear" w:color="auto" w:fill="FFFFFF"/>
        </w:rPr>
        <w:t xml:space="preserve">Banco da mulher. Disponível em: </w:t>
      </w:r>
      <w:r w:rsidRPr="00771368">
        <w:rPr>
          <w:bCs/>
          <w:i/>
          <w:sz w:val="24"/>
          <w:szCs w:val="24"/>
          <w:shd w:val="clear" w:color="auto" w:fill="FFFFFF"/>
        </w:rPr>
        <w:t>&lt;</w:t>
      </w:r>
      <w:r w:rsidRPr="00771368">
        <w:rPr>
          <w:i/>
          <w:sz w:val="24"/>
          <w:szCs w:val="24"/>
        </w:rPr>
        <w:t>www.geranegocio.com.br/download/.../</w:t>
      </w:r>
      <w:r w:rsidRPr="00771368">
        <w:rPr>
          <w:bCs/>
          <w:i/>
          <w:sz w:val="24"/>
          <w:szCs w:val="24"/>
        </w:rPr>
        <w:t>Banco</w:t>
      </w:r>
      <w:r w:rsidRPr="00771368">
        <w:rPr>
          <w:i/>
          <w:sz w:val="24"/>
          <w:szCs w:val="24"/>
        </w:rPr>
        <w:t>%20da%20</w:t>
      </w:r>
      <w:r w:rsidRPr="00771368">
        <w:rPr>
          <w:bCs/>
          <w:i/>
          <w:sz w:val="24"/>
          <w:szCs w:val="24"/>
        </w:rPr>
        <w:t>Mulher</w:t>
      </w:r>
      <w:r w:rsidRPr="00771368">
        <w:rPr>
          <w:i/>
          <w:sz w:val="24"/>
          <w:szCs w:val="24"/>
        </w:rPr>
        <w:t>.doc&gt;.</w:t>
      </w:r>
      <w:r w:rsidRPr="00771368">
        <w:rPr>
          <w:sz w:val="24"/>
          <w:szCs w:val="24"/>
        </w:rPr>
        <w:t xml:space="preserve"> Acesso: 25 setembro de 2011.</w:t>
      </w:r>
    </w:p>
    <w:p w:rsidR="00D24E61" w:rsidRPr="00771368" w:rsidRDefault="00D24E61" w:rsidP="00D24E61">
      <w:pPr>
        <w:jc w:val="both"/>
        <w:rPr>
          <w:sz w:val="24"/>
          <w:szCs w:val="24"/>
        </w:rPr>
      </w:pPr>
    </w:p>
    <w:p w:rsidR="00D24E61" w:rsidRPr="00771368" w:rsidRDefault="00D24E61" w:rsidP="00D24E61">
      <w:pPr>
        <w:jc w:val="both"/>
        <w:rPr>
          <w:i/>
          <w:sz w:val="24"/>
          <w:szCs w:val="24"/>
        </w:rPr>
      </w:pPr>
      <w:r w:rsidRPr="00771368">
        <w:rPr>
          <w:bCs/>
          <w:sz w:val="24"/>
          <w:szCs w:val="24"/>
        </w:rPr>
        <w:t xml:space="preserve">MAIA, Luciano Mariz. Educação em direitos humanos e tratados internacionais de direitos humanos. In: </w:t>
      </w:r>
      <w:r w:rsidRPr="00771368">
        <w:rPr>
          <w:sz w:val="24"/>
          <w:szCs w:val="24"/>
        </w:rPr>
        <w:t xml:space="preserve">Educação em Direitos Humanos: fundamentos teórico-metodológicos. Disponível em: </w:t>
      </w:r>
      <w:r w:rsidRPr="00771368">
        <w:rPr>
          <w:i/>
          <w:sz w:val="24"/>
          <w:szCs w:val="24"/>
        </w:rPr>
        <w:t>&lt;http://rua.ua.es/dspace/bitstream/10045/5857/</w:t>
      </w:r>
    </w:p>
    <w:p w:rsidR="00D24E61" w:rsidRPr="00771368" w:rsidRDefault="00D24E61" w:rsidP="00D24E61">
      <w:pPr>
        <w:jc w:val="both"/>
        <w:rPr>
          <w:i/>
          <w:sz w:val="24"/>
          <w:szCs w:val="24"/>
        </w:rPr>
      </w:pPr>
      <w:r w:rsidRPr="00771368">
        <w:rPr>
          <w:i/>
          <w:sz w:val="24"/>
          <w:szCs w:val="24"/>
        </w:rPr>
        <w:t>1/ALT_03_15.pdf&gt;</w:t>
      </w:r>
      <w:r w:rsidRPr="00771368">
        <w:rPr>
          <w:sz w:val="24"/>
          <w:szCs w:val="24"/>
        </w:rPr>
        <w:t xml:space="preserve">. </w:t>
      </w:r>
      <w:r w:rsidRPr="00771368">
        <w:rPr>
          <w:sz w:val="24"/>
          <w:szCs w:val="24"/>
          <w:lang w:val="es-AR"/>
        </w:rPr>
        <w:t>Acesso: 25 de agosto de 2011.</w:t>
      </w:r>
    </w:p>
    <w:p w:rsidR="00D24E61" w:rsidRPr="00771368" w:rsidRDefault="00D24E61" w:rsidP="00D24E61">
      <w:pPr>
        <w:jc w:val="both"/>
        <w:rPr>
          <w:sz w:val="24"/>
          <w:szCs w:val="24"/>
        </w:rPr>
      </w:pPr>
    </w:p>
    <w:p w:rsidR="00D24E61" w:rsidRPr="00771368" w:rsidRDefault="00D24E61" w:rsidP="00D24E61">
      <w:pPr>
        <w:jc w:val="both"/>
        <w:rPr>
          <w:i/>
          <w:sz w:val="24"/>
          <w:szCs w:val="24"/>
        </w:rPr>
      </w:pPr>
      <w:r w:rsidRPr="00771368">
        <w:rPr>
          <w:rStyle w:val="nfase"/>
          <w:i w:val="0"/>
          <w:color w:val="333333"/>
          <w:sz w:val="24"/>
          <w:szCs w:val="24"/>
        </w:rPr>
        <w:t>MARQUES, RAFAELA. Delegacias da Mulher. Disponível em: &lt;</w:t>
      </w:r>
      <w:r w:rsidRPr="00771368">
        <w:rPr>
          <w:i/>
          <w:sz w:val="24"/>
          <w:szCs w:val="24"/>
        </w:rPr>
        <w:t>http://ibahia.globo.com/diadamulher2008/interna/default.asp?codigo=170624&gt;. Acesso em: 05 de dezembro de 2011.</w:t>
      </w:r>
    </w:p>
    <w:p w:rsidR="00D24E61" w:rsidRPr="00771368" w:rsidRDefault="00D24E61" w:rsidP="00D24E61">
      <w:pPr>
        <w:jc w:val="both"/>
        <w:rPr>
          <w:sz w:val="24"/>
          <w:szCs w:val="24"/>
        </w:rPr>
      </w:pPr>
    </w:p>
    <w:p w:rsidR="00D24E61" w:rsidRPr="00771368" w:rsidRDefault="00D24E61" w:rsidP="00D24E61">
      <w:pPr>
        <w:jc w:val="both"/>
        <w:rPr>
          <w:sz w:val="24"/>
          <w:szCs w:val="24"/>
          <w:lang w:val="es-AR"/>
        </w:rPr>
      </w:pPr>
      <w:r w:rsidRPr="00771368">
        <w:rPr>
          <w:sz w:val="24"/>
          <w:szCs w:val="24"/>
        </w:rPr>
        <w:t xml:space="preserve">NOGUEIRA, João Pontes e MESSARI, Nizar. </w:t>
      </w:r>
      <w:r w:rsidRPr="00771368">
        <w:rPr>
          <w:i/>
          <w:iCs/>
          <w:sz w:val="24"/>
          <w:szCs w:val="24"/>
        </w:rPr>
        <w:t>Teoria das Relações Internacionais: Correntes e Debates</w:t>
      </w:r>
      <w:r w:rsidRPr="00771368">
        <w:rPr>
          <w:sz w:val="24"/>
          <w:szCs w:val="24"/>
        </w:rPr>
        <w:t xml:space="preserve">. </w:t>
      </w:r>
      <w:r w:rsidRPr="00771368">
        <w:rPr>
          <w:sz w:val="24"/>
          <w:szCs w:val="24"/>
          <w:lang w:val="es-AR"/>
        </w:rPr>
        <w:t>Rio de Janeiro: Elsevier, 2005.</w:t>
      </w:r>
    </w:p>
    <w:p w:rsidR="00D24E61" w:rsidRPr="00771368" w:rsidRDefault="00D24E61" w:rsidP="00D24E61">
      <w:pPr>
        <w:jc w:val="both"/>
        <w:rPr>
          <w:sz w:val="24"/>
          <w:szCs w:val="24"/>
        </w:rPr>
      </w:pPr>
    </w:p>
    <w:p w:rsidR="00D24E61" w:rsidRPr="00771368" w:rsidRDefault="00D24E61" w:rsidP="00D24E61">
      <w:pPr>
        <w:jc w:val="both"/>
        <w:rPr>
          <w:i/>
          <w:sz w:val="24"/>
          <w:szCs w:val="24"/>
        </w:rPr>
      </w:pPr>
      <w:r w:rsidRPr="00771368">
        <w:rPr>
          <w:sz w:val="24"/>
          <w:szCs w:val="24"/>
        </w:rPr>
        <w:t xml:space="preserve">PANDJIARJIAN, Valéria. </w:t>
      </w:r>
      <w:r w:rsidRPr="00771368">
        <w:rPr>
          <w:bCs/>
          <w:sz w:val="24"/>
          <w:szCs w:val="24"/>
        </w:rPr>
        <w:t xml:space="preserve">Lei Maria da Penha: um compromisso para a Justiça brasileira - Valéria Pandjiarjian - Site Campanha dos 16 Dias. Disponível em: </w:t>
      </w:r>
      <w:r w:rsidRPr="00771368">
        <w:rPr>
          <w:bCs/>
          <w:i/>
          <w:sz w:val="24"/>
          <w:szCs w:val="24"/>
        </w:rPr>
        <w:t>&lt;</w:t>
      </w:r>
      <w:r w:rsidRPr="00771368">
        <w:rPr>
          <w:i/>
          <w:sz w:val="24"/>
          <w:szCs w:val="24"/>
        </w:rPr>
        <w:t>http://www.violenciamulher.org.br/index.php?option=com_content&amp;view=artice&amp;id=1494:lei-maria-da-penha-um-compromisso-para-a-justica-brasileira-valeria-pandjiarjian-site-campanha-dos-16-dias&amp;catid=1:artigos-assinados&amp;Itemid=5&gt;</w:t>
      </w:r>
      <w:r w:rsidRPr="00771368">
        <w:rPr>
          <w:sz w:val="24"/>
          <w:szCs w:val="24"/>
        </w:rPr>
        <w:t>. Acesso: 25 de setembro 2011.</w:t>
      </w:r>
    </w:p>
    <w:p w:rsidR="00D24E61" w:rsidRPr="00771368" w:rsidRDefault="00D24E61" w:rsidP="00D24E61">
      <w:pPr>
        <w:jc w:val="both"/>
        <w:rPr>
          <w:sz w:val="24"/>
          <w:szCs w:val="24"/>
        </w:rPr>
      </w:pPr>
    </w:p>
    <w:p w:rsidR="00D24E61" w:rsidRPr="00771368" w:rsidRDefault="00D24E61" w:rsidP="00D24E61">
      <w:pPr>
        <w:jc w:val="both"/>
        <w:rPr>
          <w:sz w:val="24"/>
          <w:szCs w:val="24"/>
        </w:rPr>
      </w:pPr>
      <w:r w:rsidRPr="00771368">
        <w:rPr>
          <w:sz w:val="24"/>
          <w:szCs w:val="24"/>
        </w:rPr>
        <w:t xml:space="preserve">PASINATO, Wânia e SANTOS, Cecília MacDowell. Mapeamento das Delegacias da Mulher no Brasil. Disponível em: </w:t>
      </w:r>
      <w:r w:rsidRPr="00771368">
        <w:rPr>
          <w:i/>
          <w:sz w:val="24"/>
          <w:szCs w:val="24"/>
        </w:rPr>
        <w:t>&lt;http://www.observe.ufba.br/_ARQ/bibliografia/MAPEO_Brasil[1].pdf&gt;</w:t>
      </w:r>
      <w:r w:rsidRPr="00771368">
        <w:rPr>
          <w:sz w:val="24"/>
          <w:szCs w:val="24"/>
        </w:rPr>
        <w:t>. Acesso: 25 de setembro 2011.</w:t>
      </w:r>
    </w:p>
    <w:p w:rsidR="00D24E61" w:rsidRPr="00771368" w:rsidRDefault="00D24E61" w:rsidP="00D24E61">
      <w:pPr>
        <w:jc w:val="both"/>
        <w:rPr>
          <w:sz w:val="24"/>
          <w:szCs w:val="24"/>
        </w:rPr>
      </w:pPr>
    </w:p>
    <w:p w:rsidR="00D24E61" w:rsidRPr="00771368" w:rsidRDefault="00D24E61" w:rsidP="00D24E61">
      <w:pPr>
        <w:jc w:val="both"/>
        <w:rPr>
          <w:sz w:val="24"/>
          <w:szCs w:val="24"/>
        </w:rPr>
      </w:pPr>
      <w:r w:rsidRPr="00771368">
        <w:rPr>
          <w:sz w:val="24"/>
          <w:szCs w:val="24"/>
        </w:rPr>
        <w:t xml:space="preserve">PIOVESAN, Flávia. </w:t>
      </w:r>
      <w:r w:rsidRPr="00771368">
        <w:rPr>
          <w:i/>
          <w:sz w:val="24"/>
          <w:szCs w:val="24"/>
        </w:rPr>
        <w:t>Temas de direitos humanos</w:t>
      </w:r>
      <w:r w:rsidRPr="00771368">
        <w:rPr>
          <w:sz w:val="24"/>
          <w:szCs w:val="24"/>
        </w:rPr>
        <w:t>. São Paulo: Max Limonad, 2003.</w:t>
      </w:r>
    </w:p>
    <w:p w:rsidR="00D24E61" w:rsidRPr="00771368" w:rsidRDefault="00D24E61" w:rsidP="00D24E61">
      <w:pPr>
        <w:jc w:val="both"/>
        <w:rPr>
          <w:sz w:val="24"/>
          <w:szCs w:val="24"/>
        </w:rPr>
      </w:pPr>
    </w:p>
    <w:p w:rsidR="00D24E61" w:rsidRPr="00771368" w:rsidRDefault="00D24E61" w:rsidP="00D24E61">
      <w:pPr>
        <w:jc w:val="both"/>
        <w:rPr>
          <w:sz w:val="24"/>
          <w:szCs w:val="24"/>
        </w:rPr>
      </w:pPr>
      <w:r w:rsidRPr="00771368">
        <w:rPr>
          <w:sz w:val="24"/>
          <w:szCs w:val="24"/>
        </w:rPr>
        <w:t xml:space="preserve">REDE de Atenção a Mulher. Disponível em: </w:t>
      </w:r>
      <w:r w:rsidRPr="00771368">
        <w:rPr>
          <w:i/>
          <w:sz w:val="24"/>
          <w:szCs w:val="24"/>
        </w:rPr>
        <w:t>&lt;http://www.mulhereprasecuidar.com.br/rede.php&gt;.</w:t>
      </w:r>
      <w:r w:rsidRPr="00771368">
        <w:rPr>
          <w:sz w:val="24"/>
          <w:szCs w:val="24"/>
        </w:rPr>
        <w:t xml:space="preserve"> Acesso: 25 de setembro 2011.</w:t>
      </w:r>
    </w:p>
    <w:p w:rsidR="00D24E61" w:rsidRPr="00771368" w:rsidRDefault="00D24E61" w:rsidP="00D24E61">
      <w:pPr>
        <w:jc w:val="both"/>
        <w:rPr>
          <w:sz w:val="24"/>
          <w:szCs w:val="24"/>
        </w:rPr>
      </w:pPr>
    </w:p>
    <w:p w:rsidR="00D24E61" w:rsidRPr="00771368" w:rsidRDefault="00D24E61" w:rsidP="00D24E61">
      <w:pPr>
        <w:jc w:val="both"/>
        <w:rPr>
          <w:sz w:val="24"/>
          <w:szCs w:val="24"/>
          <w:lang w:val="es-AR"/>
        </w:rPr>
      </w:pPr>
      <w:r w:rsidRPr="00771368">
        <w:rPr>
          <w:bCs/>
          <w:sz w:val="24"/>
          <w:szCs w:val="24"/>
        </w:rPr>
        <w:t xml:space="preserve">REVISTA ÂMBITO JURÍDICO. A proteção internacional da mulher, a responsabilidade internacional do estado brasileiro por omissão legislativa e o caso Maria da Penha vs. Disponível em: </w:t>
      </w:r>
      <w:r w:rsidRPr="00771368">
        <w:rPr>
          <w:bCs/>
          <w:i/>
          <w:sz w:val="24"/>
          <w:szCs w:val="24"/>
        </w:rPr>
        <w:t>&lt;</w:t>
      </w:r>
      <w:r w:rsidRPr="00771368">
        <w:rPr>
          <w:i/>
          <w:sz w:val="24"/>
          <w:szCs w:val="24"/>
        </w:rPr>
        <w:t>http://www.ambito-juridico.com.br/pdfsGerados/artigos/5409.pdf&gt;.</w:t>
      </w:r>
      <w:r w:rsidRPr="00771368">
        <w:rPr>
          <w:sz w:val="24"/>
          <w:szCs w:val="24"/>
        </w:rPr>
        <w:t xml:space="preserve"> </w:t>
      </w:r>
      <w:r w:rsidRPr="00771368">
        <w:rPr>
          <w:sz w:val="24"/>
          <w:szCs w:val="24"/>
          <w:lang w:val="es-AR"/>
        </w:rPr>
        <w:t>Acesso em: 25 de setembro 2011.</w:t>
      </w:r>
    </w:p>
    <w:p w:rsidR="00D24E61" w:rsidRPr="00771368" w:rsidRDefault="00D24E61" w:rsidP="00D24E61">
      <w:pPr>
        <w:jc w:val="both"/>
        <w:rPr>
          <w:sz w:val="24"/>
          <w:szCs w:val="24"/>
          <w:lang w:val="es-AR"/>
        </w:rPr>
      </w:pPr>
    </w:p>
    <w:p w:rsidR="00D24E61" w:rsidRPr="00771368" w:rsidRDefault="00D24E61" w:rsidP="00D24E61">
      <w:pPr>
        <w:jc w:val="both"/>
        <w:rPr>
          <w:sz w:val="24"/>
          <w:szCs w:val="24"/>
        </w:rPr>
      </w:pPr>
      <w:r w:rsidRPr="00771368">
        <w:rPr>
          <w:sz w:val="24"/>
          <w:szCs w:val="24"/>
        </w:rPr>
        <w:t xml:space="preserve">SEPM. Com todas as mulheres, por todas as mulheres. Disponível em: </w:t>
      </w:r>
      <w:r w:rsidRPr="00771368">
        <w:rPr>
          <w:i/>
          <w:sz w:val="24"/>
          <w:szCs w:val="24"/>
        </w:rPr>
        <w:t>&lt;http://www.sepm.gov.br/publicacoes-teste/publicacoes/2010/liv-spm.pdf&gt;.</w:t>
      </w:r>
      <w:r w:rsidRPr="00771368">
        <w:rPr>
          <w:sz w:val="24"/>
          <w:szCs w:val="24"/>
        </w:rPr>
        <w:t xml:space="preserve"> Acesso: 05 de dezembro de 2011.</w:t>
      </w:r>
    </w:p>
    <w:p w:rsidR="00D24E61" w:rsidRPr="00771368" w:rsidRDefault="00D24E61" w:rsidP="00D24E61">
      <w:pPr>
        <w:jc w:val="both"/>
        <w:rPr>
          <w:sz w:val="24"/>
          <w:szCs w:val="24"/>
        </w:rPr>
      </w:pPr>
    </w:p>
    <w:p w:rsidR="00D24E61" w:rsidRPr="00771368" w:rsidRDefault="00D24E61" w:rsidP="00D24E61">
      <w:pPr>
        <w:pStyle w:val="Default"/>
        <w:jc w:val="both"/>
      </w:pPr>
      <w:r w:rsidRPr="00771368">
        <w:rPr>
          <w:rStyle w:val="apple-style-span"/>
          <w:bCs/>
          <w:color w:val="333333"/>
          <w:shd w:val="clear" w:color="auto" w:fill="FFFFFF"/>
        </w:rPr>
        <w:t xml:space="preserve">SEPROMI. Conselho de Defesa dos Direitos da Mulher. Disponível em: </w:t>
      </w:r>
      <w:r w:rsidRPr="00771368">
        <w:rPr>
          <w:rStyle w:val="apple-style-span"/>
          <w:bCs/>
          <w:i/>
          <w:color w:val="333333"/>
          <w:shd w:val="clear" w:color="auto" w:fill="FFFFFF"/>
        </w:rPr>
        <w:t>&lt;</w:t>
      </w:r>
      <w:r w:rsidRPr="00771368">
        <w:rPr>
          <w:i/>
        </w:rPr>
        <w:t>http://www.sepromi.ba.gov.br/modules/mastop_publish/?tac=57&gt;.</w:t>
      </w:r>
      <w:r w:rsidRPr="00771368">
        <w:t xml:space="preserve"> Acesso: 25 de setembro 2011.</w:t>
      </w:r>
    </w:p>
    <w:p w:rsidR="00D24E61" w:rsidRPr="00771368" w:rsidRDefault="00D24E61" w:rsidP="00D24E61">
      <w:pPr>
        <w:jc w:val="both"/>
        <w:rPr>
          <w:sz w:val="24"/>
          <w:szCs w:val="24"/>
        </w:rPr>
      </w:pPr>
    </w:p>
    <w:p w:rsidR="00D24E61" w:rsidRPr="00771368" w:rsidRDefault="00D24E61" w:rsidP="00D24E61">
      <w:pPr>
        <w:autoSpaceDE w:val="0"/>
        <w:autoSpaceDN w:val="0"/>
        <w:adjustRightInd w:val="0"/>
        <w:jc w:val="both"/>
        <w:rPr>
          <w:sz w:val="24"/>
          <w:szCs w:val="24"/>
        </w:rPr>
      </w:pPr>
      <w:r w:rsidRPr="00771368">
        <w:rPr>
          <w:sz w:val="24"/>
          <w:szCs w:val="24"/>
        </w:rPr>
        <w:t xml:space="preserve">SILVA, Ana Caroline Guimarães. </w:t>
      </w:r>
      <w:r w:rsidRPr="00771368">
        <w:rPr>
          <w:i/>
          <w:sz w:val="24"/>
          <w:szCs w:val="24"/>
        </w:rPr>
        <w:t>Proteção Internacional dos Direitos Humanos e as Medidas Internas Brasileiras de Proteção</w:t>
      </w:r>
      <w:r w:rsidRPr="00771368">
        <w:rPr>
          <w:sz w:val="24"/>
          <w:szCs w:val="24"/>
        </w:rPr>
        <w:t>. Monografia apresentada às Faculdades Jorge Amado. Aprovada em 23 de fevereiro de 2005.</w:t>
      </w:r>
    </w:p>
    <w:p w:rsidR="00D24E61" w:rsidRPr="00771368" w:rsidRDefault="00D24E61" w:rsidP="00D24E61">
      <w:pPr>
        <w:jc w:val="both"/>
        <w:rPr>
          <w:sz w:val="24"/>
          <w:szCs w:val="24"/>
        </w:rPr>
      </w:pPr>
    </w:p>
    <w:p w:rsidR="00D24E61" w:rsidRPr="00771368" w:rsidRDefault="00D24E61" w:rsidP="00D24E61">
      <w:pPr>
        <w:jc w:val="both"/>
        <w:rPr>
          <w:sz w:val="24"/>
          <w:szCs w:val="24"/>
        </w:rPr>
      </w:pPr>
      <w:r w:rsidRPr="00771368">
        <w:rPr>
          <w:sz w:val="24"/>
          <w:szCs w:val="24"/>
        </w:rPr>
        <w:t xml:space="preserve">SOARES, Wagner Mendes. Vem pra roda! vem pra rede!: Guia de apoio à construção de redes de serviços para o enfrentamento da violência contra a mulher. São Paulo; Rede Mulher de Educação, 2003. Disponível em: </w:t>
      </w:r>
      <w:r w:rsidRPr="00771368">
        <w:rPr>
          <w:i/>
          <w:sz w:val="24"/>
          <w:szCs w:val="24"/>
        </w:rPr>
        <w:t>&lt;http://www.redemulher.org.br/publicacoes/vempraroda.pdf&gt;</w:t>
      </w:r>
      <w:r w:rsidRPr="00771368">
        <w:rPr>
          <w:sz w:val="24"/>
          <w:szCs w:val="24"/>
        </w:rPr>
        <w:t>. Acesso: 25 de setembro de 2011.</w:t>
      </w:r>
    </w:p>
    <w:p w:rsidR="00D24E61" w:rsidRPr="00771368" w:rsidRDefault="00D24E61" w:rsidP="00D24E61">
      <w:pPr>
        <w:jc w:val="both"/>
        <w:rPr>
          <w:sz w:val="24"/>
          <w:szCs w:val="24"/>
        </w:rPr>
      </w:pPr>
    </w:p>
    <w:p w:rsidR="00D24E61" w:rsidRPr="00771368" w:rsidRDefault="00D24E61" w:rsidP="00D24E61">
      <w:pPr>
        <w:jc w:val="both"/>
        <w:rPr>
          <w:sz w:val="24"/>
          <w:szCs w:val="24"/>
        </w:rPr>
      </w:pPr>
    </w:p>
    <w:p w:rsidR="00D24E61" w:rsidRPr="00771368" w:rsidRDefault="00D24E61" w:rsidP="00D24E61">
      <w:pPr>
        <w:spacing w:line="360" w:lineRule="auto"/>
      </w:pPr>
    </w:p>
    <w:p w:rsidR="00D24E61" w:rsidRPr="00771368" w:rsidRDefault="00D24E61">
      <w:pPr>
        <w:spacing w:line="321" w:lineRule="exact"/>
        <w:rPr>
          <w:sz w:val="24"/>
          <w:szCs w:val="24"/>
        </w:rPr>
      </w:pPr>
    </w:p>
    <w:p w:rsidR="00E86604" w:rsidRDefault="00E86604">
      <w:pPr>
        <w:rPr>
          <w:b/>
          <w:bCs/>
          <w:sz w:val="24"/>
          <w:szCs w:val="24"/>
        </w:rPr>
      </w:pPr>
      <w:r>
        <w:rPr>
          <w:b/>
          <w:bCs/>
          <w:sz w:val="24"/>
          <w:szCs w:val="24"/>
        </w:rPr>
        <w:br w:type="page"/>
      </w:r>
    </w:p>
    <w:p w:rsidR="006A328D" w:rsidRDefault="00D24E61" w:rsidP="006A328D">
      <w:pPr>
        <w:spacing w:line="304" w:lineRule="auto"/>
        <w:ind w:right="20"/>
        <w:jc w:val="both"/>
        <w:rPr>
          <w:b/>
          <w:bCs/>
          <w:sz w:val="24"/>
          <w:szCs w:val="24"/>
        </w:rPr>
      </w:pPr>
      <w:r w:rsidRPr="00771368">
        <w:rPr>
          <w:b/>
          <w:bCs/>
          <w:sz w:val="24"/>
          <w:szCs w:val="24"/>
        </w:rPr>
        <w:t>Mulheres na construção civil: Uma análise sobre a sua aceitação em uma construtora na cidade de Marau-RS.</w:t>
      </w:r>
      <w:r w:rsidR="006A328D">
        <w:rPr>
          <w:b/>
          <w:bCs/>
          <w:sz w:val="24"/>
          <w:szCs w:val="24"/>
        </w:rPr>
        <w:t xml:space="preserve"> </w:t>
      </w:r>
    </w:p>
    <w:p w:rsidR="00D24E61" w:rsidRPr="00771368" w:rsidRDefault="00D24E61" w:rsidP="006A328D">
      <w:pPr>
        <w:spacing w:line="304" w:lineRule="auto"/>
        <w:ind w:right="20"/>
        <w:jc w:val="both"/>
        <w:rPr>
          <w:sz w:val="20"/>
          <w:szCs w:val="20"/>
        </w:rPr>
      </w:pPr>
      <w:bookmarkStart w:id="62" w:name="_Toc442034751"/>
      <w:r w:rsidRPr="006A328D">
        <w:rPr>
          <w:rStyle w:val="Ttulo1Char"/>
        </w:rPr>
        <w:t>Débora Seben</w:t>
      </w:r>
      <w:bookmarkEnd w:id="62"/>
      <w:r w:rsidRPr="00771368">
        <w:rPr>
          <w:sz w:val="23"/>
          <w:szCs w:val="23"/>
        </w:rPr>
        <w:t xml:space="preserve"> </w:t>
      </w:r>
      <w:r w:rsidRPr="00771368">
        <w:rPr>
          <w:sz w:val="31"/>
          <w:szCs w:val="31"/>
          <w:vertAlign w:val="superscript"/>
        </w:rPr>
        <w:t>1</w:t>
      </w:r>
    </w:p>
    <w:p w:rsidR="00D24E61" w:rsidRPr="00771368" w:rsidRDefault="00D24E61">
      <w:pPr>
        <w:spacing w:line="278" w:lineRule="exact"/>
        <w:rPr>
          <w:sz w:val="24"/>
          <w:szCs w:val="24"/>
        </w:rPr>
      </w:pPr>
    </w:p>
    <w:p w:rsidR="00D24E61" w:rsidRPr="00771368" w:rsidRDefault="00D24E61">
      <w:pPr>
        <w:rPr>
          <w:sz w:val="20"/>
          <w:szCs w:val="20"/>
        </w:rPr>
      </w:pPr>
      <w:r w:rsidRPr="00771368">
        <w:rPr>
          <w:b/>
          <w:bCs/>
          <w:sz w:val="24"/>
          <w:szCs w:val="24"/>
        </w:rPr>
        <w:t>Resumo</w:t>
      </w:r>
    </w:p>
    <w:p w:rsidR="00D24E61" w:rsidRPr="00771368" w:rsidRDefault="00013211">
      <w:pPr>
        <w:spacing w:line="358" w:lineRule="auto"/>
        <w:jc w:val="both"/>
        <w:rPr>
          <w:sz w:val="20"/>
          <w:szCs w:val="20"/>
        </w:rPr>
      </w:pPr>
      <w:r>
        <w:rPr>
          <w:noProof/>
          <w:sz w:val="24"/>
          <w:szCs w:val="24"/>
        </w:rPr>
        <mc:AlternateContent>
          <mc:Choice Requires="wps">
            <w:drawing>
              <wp:anchor distT="0" distB="0" distL="0" distR="0" simplePos="0" relativeHeight="251698688" behindDoc="0" locked="0" layoutInCell="0" allowOverlap="1">
                <wp:simplePos x="0" y="0"/>
                <wp:positionH relativeFrom="column">
                  <wp:posOffset>1270</wp:posOffset>
                </wp:positionH>
                <wp:positionV relativeFrom="paragraph">
                  <wp:posOffset>7818755</wp:posOffset>
                </wp:positionV>
                <wp:extent cx="1828800" cy="0"/>
                <wp:effectExtent l="10795" t="8255" r="8255" b="10795"/>
                <wp:wrapNone/>
                <wp:docPr id="230"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9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615.65pt" to="144.1pt,6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1sFQIAACwEAAAOAAAAZHJzL2Uyb0RvYy54bWysU8GO2jAQvVfqP1i+QxKg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" o:allowincell="f" strokeweight=".21164mm"/>
            </w:pict>
          </mc:Fallback>
        </mc:AlternateContent>
      </w:r>
      <w:r w:rsidR="00D24E61" w:rsidRPr="00771368">
        <w:rPr>
          <w:sz w:val="24"/>
          <w:szCs w:val="24"/>
        </w:rPr>
        <w:t>A presente pesquisa foi elaborada pela graduada em Administração pela Faculdade da Associação Brasiliense de Educação FABE, Débora Seben. A pesquisa terá o seguinte título: Mulheres na construção civil: Uma análise sobre a sua aceitação em uma construtora na cidade de Marau-RS. A mesma trata-se de um estudo de caso, na qual abordará qual é a aceitação dos clientes de uma construtora da cidade de Marau-RS quanto a presença feminina no canteiro de obras civis. A pesquisa tem caráter qualitativo e quantitativo e foi elaborada com uma amostra de 58 clientes. Optou-se pela elaboração de uma entrevista para uma maior riqueza na obtenção de dados, além disso, a mesma foi aplicada no próprio estabelecimento em estudo. Inicialmente os clientes foram identificados a partir de um perfil socioeconômico, onde predominou clientes do sexo masculino, com idade entre 41 a 50 anos e com renda superior a R$ 3.000,01. Como resultados da pesquisa, pode-se destacar que, de forma unânime os clientes afirmaram que não possuem qualquer tipo de preconceito, ou tratam qualquer pessoa de maneira diferente das demais. A maior parte dos clientes afirmou que as pessoas são diferentes umas das outras, devido a sua cultura, suas atitudes e ideais. Outro item pesquisado refere-se ao interesse em conhecer os colaboradores responsáveis pela construção da sua obra, assim os clientes informaram que este é um item irrelevante quando buscam realizar suas obras, afirmaram ainda que o que importa é a qualidade e pontualidade na hora da entrega da obra, independente do sexo da pessoa que irá construí-la. Então procurou-se saber a opinião dos clientes quanto a presença feminina nos canteiros de obras das construções civis, e metade do público pesquisado afirmou ser um fator incomum a presença feminina nas obras. Justificaram ser um fato interessante a presença feminina no setor, pois afirmaram que as mulheres possuem a mesma capacidade que os homens de exercer qualquer tipo de função, além de que, devido ao fato de as mulheres serem mais detalhistas serão uteis no setor de acabamentos pois isso facilitaria nos acabamentos das obras, além de serem realizados com melhor qualidade. Por fim, buscou-se conhecer qual era a aceitação dos clientes quanto a presença feminina nos canteiros das suas obras. Uma quantidade bastante</w:t>
      </w:r>
      <w:r w:rsidR="00E86604" w:rsidRPr="00E86604">
        <w:rPr>
          <w:sz w:val="24"/>
          <w:szCs w:val="24"/>
        </w:rPr>
        <w:t xml:space="preserve"> </w:t>
      </w:r>
      <w:r w:rsidR="00E86604" w:rsidRPr="00771368">
        <w:rPr>
          <w:sz w:val="24"/>
          <w:szCs w:val="24"/>
        </w:rPr>
        <w:t>significativa de clientes afirmou que não teria problema algum a presença feminina na sua obra. Alguns justificaram até que preferiam que as mulheres fizessem o acabamento das suas obras, devido ao fato de elas fazerem-no com maior calma e em consequência com melhor</w:t>
      </w:r>
      <w:r w:rsidR="00E86604" w:rsidRPr="00E86604">
        <w:rPr>
          <w:sz w:val="24"/>
          <w:szCs w:val="24"/>
        </w:rPr>
        <w:t xml:space="preserve"> </w:t>
      </w:r>
      <w:r w:rsidR="00E86604" w:rsidRPr="00771368">
        <w:rPr>
          <w:sz w:val="24"/>
          <w:szCs w:val="24"/>
        </w:rPr>
        <w:t>qualidade. No entanto, referente a este item, alguns clientes informaram que não gostariam da</w:t>
      </w:r>
    </w:p>
    <w:p w:rsidR="00E86604" w:rsidRPr="00771368" w:rsidRDefault="00E86604" w:rsidP="00E86604">
      <w:pPr>
        <w:spacing w:line="210" w:lineRule="auto"/>
        <w:rPr>
          <w:sz w:val="20"/>
          <w:szCs w:val="20"/>
        </w:rPr>
      </w:pPr>
      <w:r w:rsidRPr="00771368">
        <w:rPr>
          <w:sz w:val="25"/>
          <w:szCs w:val="25"/>
          <w:vertAlign w:val="superscript"/>
        </w:rPr>
        <w:t>1</w:t>
      </w:r>
      <w:r w:rsidRPr="00771368">
        <w:rPr>
          <w:sz w:val="20"/>
          <w:szCs w:val="20"/>
        </w:rPr>
        <w:t xml:space="preserve"> Graduada do curso de Administração da Faculdade de Administração da Associação Brasiliense de Educação – FABE – Marau – RS, 2013.</w:t>
      </w:r>
    </w:p>
    <w:p w:rsidR="00D24E61" w:rsidRPr="00771368" w:rsidRDefault="00D24E61">
      <w:pPr>
        <w:spacing w:line="358" w:lineRule="auto"/>
        <w:jc w:val="both"/>
        <w:rPr>
          <w:sz w:val="24"/>
          <w:szCs w:val="24"/>
        </w:r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355" w:lineRule="auto"/>
        <w:jc w:val="both"/>
        <w:rPr>
          <w:sz w:val="20"/>
          <w:szCs w:val="20"/>
        </w:rPr>
      </w:pPr>
      <w:r w:rsidRPr="00771368">
        <w:rPr>
          <w:sz w:val="24"/>
          <w:szCs w:val="24"/>
        </w:rPr>
        <w:t>presença feminina nas suas obras, e justificaram dizendo que as mulheres não possuem capacidade e nem experiência suficiente que este setor demanda. Dessa forma, pode-se concluir que houve certa divergência de opiniões por parte de alguns clientes, devido ao fato de os mesmos afirmarem que não possuem qualquer preconceito ou atitude preconceituosa, no entanto não aceitam que mulheres construam suas casas. Por fim, pode-se perceber ainda que, nos dias atuais, existe algum tipo de preconceito, seja por raça, religião ou crença, além de que com a elaboração da pesquisa pode-se perceber este preconceito no gênero das pessoas, em especial as mulheres que trabalham nos canteiros de obras das construções civis. Palavras-chave: Preconceito. Mulheres. Construção Civil.</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rPr>
          <w:sz w:val="20"/>
          <w:szCs w:val="20"/>
        </w:rPr>
      </w:pPr>
      <w:r w:rsidRPr="00771368">
        <w:rPr>
          <w:b/>
          <w:bCs/>
          <w:sz w:val="24"/>
          <w:szCs w:val="24"/>
        </w:rPr>
        <w:t>Introdução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42" w:lineRule="auto"/>
        <w:ind w:firstLine="708"/>
        <w:jc w:val="both"/>
        <w:rPr>
          <w:sz w:val="20"/>
          <w:szCs w:val="20"/>
        </w:rPr>
      </w:pPr>
      <w:r w:rsidRPr="00771368">
        <w:rPr>
          <w:sz w:val="24"/>
          <w:szCs w:val="24"/>
        </w:rPr>
        <w:t>A constante busca pela igualdade social muito tem movimentado as empresas, todas as esferas do governo e as Organizações Não Governamentais (ONGs), com o intuito de diminuir a grande diferença social, que está presente ainda nos dias de hoje e é encontrada em todo o mundo.</w:t>
      </w:r>
    </w:p>
    <w:p w:rsidR="00D24E61" w:rsidRPr="00771368" w:rsidRDefault="00D24E61">
      <w:pPr>
        <w:spacing w:line="81" w:lineRule="exact"/>
        <w:rPr>
          <w:sz w:val="20"/>
          <w:szCs w:val="20"/>
        </w:rPr>
      </w:pPr>
    </w:p>
    <w:p w:rsidR="00D24E61" w:rsidRPr="00771368" w:rsidRDefault="00D24E61">
      <w:pPr>
        <w:spacing w:line="347" w:lineRule="auto"/>
        <w:ind w:firstLine="708"/>
        <w:jc w:val="both"/>
        <w:rPr>
          <w:sz w:val="20"/>
          <w:szCs w:val="20"/>
        </w:rPr>
      </w:pPr>
      <w:r w:rsidRPr="00771368">
        <w:rPr>
          <w:sz w:val="24"/>
          <w:szCs w:val="24"/>
        </w:rPr>
        <w:t>Mas, afinal, o que difere um cidadão de outro? Na realidade, todos os indivíduos são muito diferentes uns dos outros, cada um possui uma identidade própria, com pensamentos e ideias diferentes, com características diferentes e estilos de vida diferentes, mas essa diferença vai além das características pessoais. Cada indivíduo tem uma maneira diferente de ver as coisas até mesmo de enxergar o outro.</w:t>
      </w:r>
    </w:p>
    <w:p w:rsidR="00D24E61" w:rsidRPr="00771368" w:rsidRDefault="00D24E61">
      <w:pPr>
        <w:spacing w:line="76" w:lineRule="exact"/>
        <w:rPr>
          <w:sz w:val="20"/>
          <w:szCs w:val="20"/>
        </w:rPr>
      </w:pPr>
    </w:p>
    <w:p w:rsidR="00D24E61" w:rsidRPr="00771368" w:rsidRDefault="00D24E61">
      <w:pPr>
        <w:spacing w:line="342" w:lineRule="auto"/>
        <w:ind w:firstLine="708"/>
        <w:jc w:val="both"/>
        <w:rPr>
          <w:sz w:val="20"/>
          <w:szCs w:val="20"/>
        </w:rPr>
      </w:pPr>
      <w:r w:rsidRPr="00771368">
        <w:rPr>
          <w:sz w:val="24"/>
          <w:szCs w:val="24"/>
        </w:rPr>
        <w:t>É através desta maneira de ver as pessoas que é construída uma certa divisão social. Divisão esta que não está presente apenas nos dias atuais, pois ela já existe há milhares de anos, onde a sociedade dita as regras e os padrões que considera ser aceitável e diferencia uma pessoa da outra.</w:t>
      </w:r>
    </w:p>
    <w:p w:rsidR="00D24E61" w:rsidRPr="00771368" w:rsidRDefault="00D24E61">
      <w:pPr>
        <w:spacing w:line="8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Esta divisão social, de uma certa maneira difere os indivíduos uns dos outros, e ela vai além de características gerais, tais como a opção sexual do indivíduo, religião a que pertence, ou mesmo classe social, essa distinção que a sociedade realiza de cada indivíduo pode influenciar, positiva ou negativamente no crescimento pessoal e nas oportunidades que cada indivíduo tem na vida.</w:t>
      </w:r>
    </w:p>
    <w:p w:rsidR="00D24E61" w:rsidRPr="00771368" w:rsidRDefault="00D24E61">
      <w:pPr>
        <w:spacing w:line="349" w:lineRule="auto"/>
        <w:ind w:firstLine="708"/>
        <w:jc w:val="both"/>
        <w:rPr>
          <w:sz w:val="20"/>
          <w:szCs w:val="20"/>
        </w:rPr>
      </w:pPr>
      <w:r w:rsidRPr="00771368">
        <w:rPr>
          <w:sz w:val="24"/>
          <w:szCs w:val="24"/>
        </w:rPr>
        <w:t>O maior problema destas diferenças sociais não referem-se realmente a diferença em si. A diferença social afeta o indivíduo negativamente por existir um certo preconceito entre os membros da sociedade devido a estas diferenças. Isso ocorre por que existem pessoas que acreditam serem superiores as outras e acabam sentindo-se no direito de julgar, ou discriminar uns aos outros. Esse preconceito que afeta as pessoas vai além da vida social da mesma, o preconceito influencia até mesmo a carreira profissional e o seu crescimento pessoal.</w:t>
      </w:r>
    </w:p>
    <w:p w:rsidR="00D24E61" w:rsidRPr="00771368" w:rsidRDefault="00D24E61">
      <w:pPr>
        <w:spacing w:line="76" w:lineRule="exact"/>
        <w:rPr>
          <w:sz w:val="20"/>
          <w:szCs w:val="20"/>
        </w:rPr>
      </w:pPr>
    </w:p>
    <w:p w:rsidR="00D24E61" w:rsidRPr="00771368" w:rsidRDefault="00D24E61">
      <w:pPr>
        <w:spacing w:line="347" w:lineRule="auto"/>
        <w:ind w:firstLine="708"/>
        <w:jc w:val="both"/>
        <w:rPr>
          <w:sz w:val="20"/>
          <w:szCs w:val="20"/>
        </w:rPr>
      </w:pPr>
      <w:r w:rsidRPr="00771368">
        <w:rPr>
          <w:sz w:val="24"/>
          <w:szCs w:val="24"/>
        </w:rPr>
        <w:t>O preconceito atualmente afeta milhões de pessoas em todo o mundo. São inúmeras as diferenças que a sociedade faz de um indivíduo em relação a outro, alguns dos preconceitos sofridos pelas pessoas podem ser em relação à: opção sexual, classe social, raça, religião, política, entre outros, além de outros fatores banais como: cor do cabelo, dos olhos, maneiras de se vestir, de falar, entre outros.</w:t>
      </w:r>
    </w:p>
    <w:p w:rsidR="00D24E61" w:rsidRPr="00771368" w:rsidRDefault="00D24E61">
      <w:pPr>
        <w:spacing w:line="74" w:lineRule="exact"/>
        <w:rPr>
          <w:sz w:val="20"/>
          <w:szCs w:val="20"/>
        </w:rPr>
      </w:pPr>
    </w:p>
    <w:p w:rsidR="00D24E61" w:rsidRPr="00771368" w:rsidRDefault="00D24E61">
      <w:pPr>
        <w:spacing w:line="334" w:lineRule="auto"/>
        <w:ind w:firstLine="708"/>
        <w:jc w:val="both"/>
        <w:rPr>
          <w:sz w:val="20"/>
          <w:szCs w:val="20"/>
        </w:rPr>
      </w:pPr>
      <w:r w:rsidRPr="00771368">
        <w:rPr>
          <w:sz w:val="24"/>
          <w:szCs w:val="24"/>
        </w:rPr>
        <w:t>De acordo com Colon (2010), em uma pesquisa realizada pela Organização das Nações Unidas (ONU), envolvendo todos os países do mundo, o Brasil encontra-se com o terceiro pior índice no ranking entre os países com maior desigualdade social. O estudo da</w:t>
      </w:r>
    </w:p>
    <w:p w:rsidR="00D24E61" w:rsidRPr="00771368" w:rsidRDefault="00D24E61">
      <w:pPr>
        <w:spacing w:line="91" w:lineRule="exact"/>
        <w:rPr>
          <w:sz w:val="20"/>
          <w:szCs w:val="20"/>
        </w:rPr>
      </w:pPr>
    </w:p>
    <w:p w:rsidR="00D24E61" w:rsidRPr="00771368" w:rsidRDefault="00D24E61">
      <w:pPr>
        <w:spacing w:line="349" w:lineRule="auto"/>
        <w:jc w:val="both"/>
        <w:rPr>
          <w:sz w:val="20"/>
          <w:szCs w:val="20"/>
        </w:rPr>
      </w:pPr>
      <w:r w:rsidRPr="00771368">
        <w:rPr>
          <w:sz w:val="24"/>
          <w:szCs w:val="24"/>
        </w:rPr>
        <w:t>ONU aponta ainda que “A desigualdade de rendimentos, educação, saúde e outros indicadores persiste de uma geração à outra, e se apresenta num contexto de baixa mobilidade socioeconômica”. Com isso, percebe-se que este problema de desigualdade não é recente, vem de anos e anos. Para haver mudanças é necessário saber as causas desta desigualdade, e os motivos, como relata a pesquisa, que levam os indicadores persistirem, de geração em geração.</w:t>
      </w:r>
    </w:p>
    <w:p w:rsidR="00D24E61" w:rsidRPr="00771368" w:rsidRDefault="00D24E61">
      <w:pPr>
        <w:spacing w:line="74"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Ainda segundo a pesquisa realizada pela ONU, o Brasil está em segundo lugar no índice com maior diferença na renda das pessoas. Além disso, as mulheres e a população indígena são as classes mais prejudicadas devido a desigualdade social (COLON, 2010).</w:t>
      </w:r>
    </w:p>
    <w:p w:rsidR="00D24E61" w:rsidRPr="00771368" w:rsidRDefault="00D24E61">
      <w:pPr>
        <w:spacing w:line="91" w:lineRule="exact"/>
        <w:rPr>
          <w:sz w:val="20"/>
          <w:szCs w:val="20"/>
        </w:rPr>
      </w:pPr>
    </w:p>
    <w:p w:rsidR="00D24E61" w:rsidRPr="00771368" w:rsidRDefault="00D24E61">
      <w:pPr>
        <w:spacing w:line="349" w:lineRule="auto"/>
        <w:ind w:firstLine="708"/>
        <w:jc w:val="both"/>
        <w:rPr>
          <w:sz w:val="20"/>
          <w:szCs w:val="20"/>
        </w:rPr>
      </w:pPr>
      <w:r w:rsidRPr="00771368">
        <w:rPr>
          <w:sz w:val="24"/>
          <w:szCs w:val="24"/>
        </w:rPr>
        <w:t>Silva (2003), por sua vez afirma, referente à mulher no mercado de trabalho, que elas precisam pagar um alto preço para conquistar um melhor emprego e melhor salário, muitas vezes abdicando do seu lazer, de maternidade, casamento, enfim, para poder se dedicar e conquistar seu lugar no mercado de trabalho. Silva (2003) frisa ainda que “A questão de gênero é, em si, um compilador, mas, quando somada à da raça, significa as maiores dificuldades para os seus agentes”.</w:t>
      </w:r>
    </w:p>
    <w:p w:rsidR="00D24E61" w:rsidRPr="00771368" w:rsidRDefault="00D24E61">
      <w:pPr>
        <w:spacing w:line="77" w:lineRule="exact"/>
        <w:rPr>
          <w:sz w:val="20"/>
          <w:szCs w:val="20"/>
        </w:rPr>
      </w:pPr>
    </w:p>
    <w:p w:rsidR="00D24E61" w:rsidRPr="00771368" w:rsidRDefault="00D24E61">
      <w:pPr>
        <w:spacing w:line="347" w:lineRule="auto"/>
        <w:ind w:firstLine="708"/>
        <w:jc w:val="both"/>
        <w:rPr>
          <w:sz w:val="20"/>
          <w:szCs w:val="20"/>
        </w:rPr>
      </w:pPr>
      <w:r w:rsidRPr="00771368">
        <w:rPr>
          <w:sz w:val="24"/>
          <w:szCs w:val="24"/>
        </w:rPr>
        <w:t>Com todas essas diferenças presentes em cada indivíduo buscou-se conhecer se ainda existe algum tipo de preconceito, e como isto pode afetar nas escolhas de cada indivíduo. Desta forma foi realizado um estudo de caso que buscou identificar qual é a aceitação dos clientes de uma construtora, situada no município de Marau-RS quanto a participação de pessoas do sexo feminino na construção civil.</w:t>
      </w:r>
    </w:p>
    <w:p w:rsidR="00D24E61" w:rsidRPr="00771368" w:rsidRDefault="00D24E61">
      <w:pPr>
        <w:spacing w:line="272" w:lineRule="exact"/>
        <w:rPr>
          <w:sz w:val="20"/>
          <w:szCs w:val="20"/>
        </w:rPr>
      </w:pPr>
    </w:p>
    <w:p w:rsidR="00055B1B" w:rsidRDefault="00055B1B">
      <w:pPr>
        <w:rPr>
          <w:b/>
          <w:bCs/>
          <w:sz w:val="24"/>
          <w:szCs w:val="24"/>
        </w:rPr>
      </w:pPr>
      <w:r>
        <w:rPr>
          <w:b/>
          <w:bCs/>
          <w:sz w:val="24"/>
          <w:szCs w:val="24"/>
        </w:rPr>
        <w:br w:type="page"/>
      </w:r>
    </w:p>
    <w:p w:rsidR="00D24E61" w:rsidRPr="00771368" w:rsidRDefault="00D24E61">
      <w:pPr>
        <w:rPr>
          <w:sz w:val="20"/>
          <w:szCs w:val="20"/>
        </w:rPr>
      </w:pPr>
      <w:r w:rsidRPr="00771368">
        <w:rPr>
          <w:b/>
          <w:bCs/>
          <w:sz w:val="24"/>
          <w:szCs w:val="24"/>
        </w:rPr>
        <w:t>Referencial Teórico</w:t>
      </w:r>
    </w:p>
    <w:p w:rsidR="00D24E61" w:rsidRPr="00771368" w:rsidRDefault="00D24E61">
      <w:pPr>
        <w:spacing w:line="334" w:lineRule="auto"/>
        <w:ind w:firstLine="708"/>
        <w:jc w:val="both"/>
        <w:rPr>
          <w:sz w:val="20"/>
          <w:szCs w:val="20"/>
        </w:rPr>
      </w:pPr>
      <w:r w:rsidRPr="00771368">
        <w:rPr>
          <w:sz w:val="24"/>
          <w:szCs w:val="24"/>
        </w:rPr>
        <w:t>A seguir, serão abordados alguns conceitos referentes a desigualdades sociais enfrentadas no dia-a-dia das pessoas. Como surgiram essas desigualdades e como elas afetam as relações entre os indivíduos.</w:t>
      </w:r>
    </w:p>
    <w:p w:rsidR="00D24E61" w:rsidRPr="00771368" w:rsidRDefault="00D24E61">
      <w:pPr>
        <w:spacing w:line="91" w:lineRule="exact"/>
        <w:rPr>
          <w:sz w:val="20"/>
          <w:szCs w:val="20"/>
        </w:rPr>
      </w:pPr>
    </w:p>
    <w:p w:rsidR="00D24E61" w:rsidRPr="00771368" w:rsidRDefault="00D24E61">
      <w:pPr>
        <w:spacing w:line="342" w:lineRule="auto"/>
        <w:ind w:firstLine="708"/>
        <w:jc w:val="both"/>
        <w:rPr>
          <w:sz w:val="20"/>
          <w:szCs w:val="20"/>
        </w:rPr>
      </w:pPr>
      <w:r w:rsidRPr="00771368">
        <w:rPr>
          <w:sz w:val="24"/>
          <w:szCs w:val="24"/>
        </w:rPr>
        <w:t>Inicialmente, por volta do século e XVI, Thomas Hobbes, pensador inglês, afirmou que o homem estava entregue as suas próprias paixões, seriam elas, vaidade, desconfiança, competição, entre outras. Com isso, iniciava uma luta de todos contra todos pelo poder. Hobbes buscava argumentar ainda que “todos os homens eram naturalmente iguais”.</w:t>
      </w:r>
    </w:p>
    <w:p w:rsidR="00D24E61" w:rsidRPr="00771368" w:rsidRDefault="00D24E61">
      <w:pPr>
        <w:spacing w:line="8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Então, no século XVIII, surgiu a problemática da desigualdade, a qual não pode ser explicada por fatores naturais. Reconhecia-se que havia diferenças naturais entre os homens, no entanto essas diferenças não eram responsáveis pelas diferenças sociais. Com isso, idealizava-se que a desigualdade era um fenômeno social, ou seja, algo determinado pela própria sociedade (TOMAZI et al, 2000, p. 84).</w:t>
      </w:r>
    </w:p>
    <w:p w:rsidR="00D24E61" w:rsidRPr="00771368" w:rsidRDefault="00D24E61">
      <w:pPr>
        <w:spacing w:line="74" w:lineRule="exact"/>
        <w:rPr>
          <w:sz w:val="20"/>
          <w:szCs w:val="20"/>
        </w:rPr>
      </w:pPr>
    </w:p>
    <w:p w:rsidR="00D24E61" w:rsidRPr="00771368" w:rsidRDefault="00D24E61">
      <w:pPr>
        <w:spacing w:line="342" w:lineRule="auto"/>
        <w:ind w:firstLine="708"/>
        <w:jc w:val="both"/>
        <w:rPr>
          <w:sz w:val="20"/>
          <w:szCs w:val="20"/>
        </w:rPr>
      </w:pPr>
      <w:r w:rsidRPr="00771368">
        <w:rPr>
          <w:sz w:val="24"/>
          <w:szCs w:val="24"/>
        </w:rPr>
        <w:t>Por sua vez, Tomazi et al (2000, p. 81) afirmam que os indivíduos possuem diferenças entre si. “Essas diferenças se expressam no plano das coisas materiais, da religião, da personalidade, da inteligência, do físico, da raça, do sexo, da cultura, entre outros”. Essas diferenças citadas “são a forma mais simples de se perceber que os homens não são iguais”.</w:t>
      </w:r>
    </w:p>
    <w:p w:rsidR="00D24E61" w:rsidRPr="00771368" w:rsidRDefault="00D24E61">
      <w:pPr>
        <w:spacing w:line="83" w:lineRule="exact"/>
        <w:rPr>
          <w:sz w:val="20"/>
          <w:szCs w:val="20"/>
        </w:rPr>
      </w:pPr>
    </w:p>
    <w:p w:rsidR="00D24E61" w:rsidRPr="00771368" w:rsidRDefault="00D24E61">
      <w:pPr>
        <w:spacing w:line="308" w:lineRule="auto"/>
        <w:ind w:right="20"/>
        <w:jc w:val="both"/>
        <w:rPr>
          <w:sz w:val="20"/>
          <w:szCs w:val="20"/>
        </w:rPr>
      </w:pPr>
      <w:r w:rsidRPr="00771368">
        <w:rPr>
          <w:sz w:val="24"/>
          <w:szCs w:val="24"/>
        </w:rPr>
        <w:t>As diferenças são consideradas aspectos simples do surgimento das desigualdades, sejam elas físicas ou sociais.</w:t>
      </w:r>
    </w:p>
    <w:p w:rsidR="00D24E61" w:rsidRPr="00771368" w:rsidRDefault="00D24E61">
      <w:pPr>
        <w:spacing w:line="120" w:lineRule="exact"/>
        <w:rPr>
          <w:sz w:val="20"/>
          <w:szCs w:val="20"/>
        </w:rPr>
      </w:pPr>
    </w:p>
    <w:p w:rsidR="00D24E61" w:rsidRPr="00771368" w:rsidRDefault="00D24E61">
      <w:pPr>
        <w:spacing w:line="351" w:lineRule="auto"/>
        <w:ind w:firstLine="708"/>
        <w:jc w:val="both"/>
        <w:rPr>
          <w:sz w:val="20"/>
          <w:szCs w:val="20"/>
        </w:rPr>
      </w:pPr>
      <w:r w:rsidRPr="00771368">
        <w:rPr>
          <w:sz w:val="24"/>
          <w:szCs w:val="24"/>
        </w:rPr>
        <w:t>O modo de como a sociedade se constitui representa o resultado da maneira específica da diversidade de cada sociedade. As desigualdades podem se manifestar de maneiras diferentes em qualquer parte do mundo. “As desigualdades assumem feições distintas porque são constituídas a partir de um conjunto de elementos econômicos, políticos e culturais próprios de cada tipo de organização social”. Com isso, cada sociedade impõe suas regras a partir de elementos culturais, econômicos e políticos, com o intuito de determinar seus padrões (TOMAZI et al, 2000, p. 81).</w:t>
      </w:r>
    </w:p>
    <w:p w:rsidR="00D24E61" w:rsidRPr="00771368" w:rsidRDefault="00D24E61">
      <w:pPr>
        <w:spacing w:line="72" w:lineRule="exact"/>
        <w:rPr>
          <w:sz w:val="20"/>
          <w:szCs w:val="20"/>
        </w:rPr>
      </w:pPr>
    </w:p>
    <w:p w:rsidR="00D24E61" w:rsidRPr="00771368" w:rsidRDefault="00D24E61">
      <w:pPr>
        <w:spacing w:line="350" w:lineRule="auto"/>
        <w:ind w:firstLine="708"/>
        <w:jc w:val="both"/>
        <w:rPr>
          <w:sz w:val="20"/>
          <w:szCs w:val="20"/>
        </w:rPr>
      </w:pPr>
      <w:r w:rsidRPr="00771368">
        <w:rPr>
          <w:sz w:val="24"/>
          <w:szCs w:val="24"/>
        </w:rPr>
        <w:t>No início dos tempos, existia o costume de os homens saírem cedo de casa para trabalhar e trazer os mantimentos necessários para a família, enquanto que as mulheres ficavam em casa, tomando conta da casa e dos filhos. No entanto, com o passar dos anos, as mulheres foram a luta, em busca dos seus direitos. Com isso, o conceito de gênero está ligado às muitas lutas e ao aumento do movimento feminista, e por fim, elas conseguiram seu espaço na sociedade.</w:t>
      </w:r>
    </w:p>
    <w:p w:rsidR="00D24E61" w:rsidRPr="00771368" w:rsidRDefault="00D24E61">
      <w:pPr>
        <w:spacing w:line="342" w:lineRule="auto"/>
        <w:ind w:firstLine="708"/>
        <w:jc w:val="both"/>
        <w:rPr>
          <w:sz w:val="20"/>
          <w:szCs w:val="20"/>
        </w:rPr>
      </w:pPr>
      <w:r w:rsidRPr="00771368">
        <w:rPr>
          <w:sz w:val="24"/>
          <w:szCs w:val="24"/>
        </w:rPr>
        <w:t>Paralelo a isso, CEAP (2004, p. 85) afirma que o gênero “[...] é a maneira como as pessoas vão sendo moldadas, como elas são construídas e reconhecidas por uma certa sociedade por uma determinada cultura”, com isso, é através das relações do cotidiano e do aprendizado no dia-a-dia que se constrói o gênero homem e mulher.</w:t>
      </w:r>
    </w:p>
    <w:p w:rsidR="00D24E61" w:rsidRPr="00771368" w:rsidRDefault="00D24E61">
      <w:pPr>
        <w:spacing w:line="83"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Assim, pode-se afirmar que o sexo das pessoas representa a caracterização biológica dos seres, já o gênero diferencia esta dimensão biológica da dimensão social partindo do conceito de que a qualidade de homem e mulher é construída pela cultura. Homens e mulheres são moldados a partir de diversas simbolizações das atividades que são consideradas masculinas ou femininas (CEAP 2004, p. 85).</w:t>
      </w:r>
    </w:p>
    <w:p w:rsidR="00D24E61" w:rsidRPr="00771368" w:rsidRDefault="00D24E61">
      <w:pPr>
        <w:spacing w:line="74" w:lineRule="exact"/>
        <w:rPr>
          <w:sz w:val="20"/>
          <w:szCs w:val="20"/>
        </w:rPr>
      </w:pPr>
    </w:p>
    <w:p w:rsidR="00D24E61" w:rsidRPr="00771368" w:rsidRDefault="00D24E61">
      <w:pPr>
        <w:spacing w:line="350" w:lineRule="auto"/>
        <w:ind w:firstLine="708"/>
        <w:jc w:val="both"/>
        <w:rPr>
          <w:sz w:val="20"/>
          <w:szCs w:val="20"/>
        </w:rPr>
      </w:pPr>
      <w:r w:rsidRPr="00771368">
        <w:rPr>
          <w:sz w:val="24"/>
          <w:szCs w:val="24"/>
        </w:rPr>
        <w:t>Paralelo a isso Breton (2010, p. 65) afirma que “O homem possui a faculdade de fecundar a mulher enquanto esta conhece menstruações regulares, carrega em si a criança que coloca no mundo e em seguida aleita”, sendo esta descrita pelo autor como a única diferença entre homens e mulheres. Esta descrição representa os traços estruturais, sendo que em torno destes, a sociedade atribui infinitos detalhes a fim de, a partir disto definir socialmente o que representa o homem e a mulher.</w:t>
      </w:r>
    </w:p>
    <w:p w:rsidR="00D24E61" w:rsidRPr="00771368" w:rsidRDefault="00D24E61">
      <w:pPr>
        <w:spacing w:line="69" w:lineRule="exact"/>
        <w:rPr>
          <w:sz w:val="20"/>
          <w:szCs w:val="20"/>
        </w:rPr>
      </w:pPr>
    </w:p>
    <w:p w:rsidR="00D24E61" w:rsidRPr="00771368" w:rsidRDefault="00D24E61">
      <w:pPr>
        <w:spacing w:line="342" w:lineRule="auto"/>
        <w:ind w:firstLine="708"/>
        <w:jc w:val="both"/>
        <w:rPr>
          <w:sz w:val="20"/>
          <w:szCs w:val="20"/>
        </w:rPr>
      </w:pPr>
      <w:r w:rsidRPr="00771368">
        <w:rPr>
          <w:sz w:val="24"/>
          <w:szCs w:val="24"/>
        </w:rPr>
        <w:t>Por sua vez, as qualidades atribuídas ao sexo da pessoa, ou as características físicas e morais que são atribuídas a homens e mulheres, dependem muito das escolhas sociais e culturais que cada indivíduo possui, e não a partir de um modelo pré-determinado em que homens e mulheres possuem um destino biológico já traçado (BRETON, 2010, p. 65).</w:t>
      </w:r>
    </w:p>
    <w:p w:rsidR="00D24E61" w:rsidRPr="00771368" w:rsidRDefault="00D24E61">
      <w:pPr>
        <w:spacing w:line="8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Existe ainda uma certa interpretação social das diferenças entre homens e mulheres, sejam elas, diferenças físicas, expectativas sociais, peso, altura, longevidade, até mesmo a educação dada entre meninos e meninas é diferente, isso tudo devido ao papel estereotipado que se espera da criança quando ela crescer.</w:t>
      </w:r>
    </w:p>
    <w:p w:rsidR="00D24E61" w:rsidRPr="00771368" w:rsidRDefault="00D24E61">
      <w:pPr>
        <w:spacing w:line="8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A partir da visão que a sociedade impõe como características femininas e masculinas podem citar então como características femininas a emoção, coração, fantasia, vaidade, ilusão, entre outras, já, como características masculinas pode-se citar o conhecimento, a mente, o controle, a razão, a verdade literal entre outras.</w:t>
      </w:r>
    </w:p>
    <w:p w:rsidR="00D24E61" w:rsidRPr="00771368" w:rsidRDefault="00D24E61">
      <w:pPr>
        <w:spacing w:line="8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CEAP (2004, p. 86) afirma que a sociedade de hoje segue um modelo patriarcal em relação a construção do gênero. Este modelo patriarcal define que os homens possuam uma posição dominante em relação as mulheres, sendo que as tarefas dos homens “[...] são de maior status e de reconhecimento, enquanto que as mulheres estão numa posição de subordinação, desempenhando tarefas sem valor e reconhecimento”. Ligado a isso Breton</w:t>
      </w:r>
    </w:p>
    <w:p w:rsidR="00D24E61" w:rsidRPr="00771368" w:rsidRDefault="00D24E61">
      <w:pPr>
        <w:spacing w:line="74" w:lineRule="exact"/>
        <w:rPr>
          <w:sz w:val="20"/>
          <w:szCs w:val="20"/>
        </w:rPr>
      </w:pPr>
    </w:p>
    <w:p w:rsidR="00D24E61" w:rsidRPr="00771368" w:rsidRDefault="00D24E61">
      <w:pPr>
        <w:spacing w:line="310" w:lineRule="auto"/>
        <w:jc w:val="both"/>
        <w:rPr>
          <w:sz w:val="20"/>
          <w:szCs w:val="20"/>
        </w:rPr>
      </w:pPr>
      <w:r w:rsidRPr="00771368">
        <w:rPr>
          <w:sz w:val="24"/>
          <w:szCs w:val="24"/>
        </w:rPr>
        <w:t>(2010, p. 67-68) afirma ainda que a mulher, na maioria dos casos, encontra-se em uma posição menor e subordinada em relação ao homem, enquanto que este, em uma posição mais</w:t>
      </w:r>
    </w:p>
    <w:p w:rsidR="00D24E61" w:rsidRPr="00771368" w:rsidRDefault="00D24E61">
      <w:pPr>
        <w:spacing w:line="308" w:lineRule="auto"/>
        <w:ind w:right="20"/>
        <w:jc w:val="both"/>
        <w:rPr>
          <w:sz w:val="20"/>
          <w:szCs w:val="20"/>
        </w:rPr>
      </w:pPr>
      <w:r w:rsidRPr="00771368">
        <w:rPr>
          <w:sz w:val="24"/>
          <w:szCs w:val="24"/>
        </w:rPr>
        <w:t>elevada, busca ampara-la num modo de proteção, que aborda tanto a esfera familiar, amorosa quanto a profissional.</w:t>
      </w:r>
    </w:p>
    <w:p w:rsidR="00D24E61" w:rsidRPr="00771368" w:rsidRDefault="00D24E61">
      <w:pPr>
        <w:spacing w:line="120" w:lineRule="exact"/>
        <w:rPr>
          <w:sz w:val="20"/>
          <w:szCs w:val="20"/>
        </w:rPr>
      </w:pPr>
    </w:p>
    <w:p w:rsidR="00D24E61" w:rsidRPr="00771368" w:rsidRDefault="00D24E61">
      <w:pPr>
        <w:spacing w:line="351" w:lineRule="auto"/>
        <w:ind w:firstLine="708"/>
        <w:jc w:val="both"/>
        <w:rPr>
          <w:sz w:val="20"/>
          <w:szCs w:val="20"/>
        </w:rPr>
      </w:pPr>
      <w:r w:rsidRPr="00771368">
        <w:rPr>
          <w:sz w:val="24"/>
          <w:szCs w:val="24"/>
        </w:rPr>
        <w:t>Referente ao preconceito, Crochik (2006, p. 13) afirma que o preconceito pode representar um fenômeno psicológico, no entanto, o que faz um indivíduo ser ou não preconceituoso depende muito do processo de socialização que se forma no indivíduo, como resposta aos conflitos gerados. Por sua vez, o processo de socialização pode ser entendido como o resultado da cultura e da história das pessoas. Com isso, pode-se dizer que o preconceito surge nas pessoas como uma resposta aos conflitos que estão presentes na adaptação e desenvolvimento da cultura, e na luta pela sobrevivência de cada indivíduo.</w:t>
      </w:r>
    </w:p>
    <w:p w:rsidR="00D24E61" w:rsidRPr="00771368" w:rsidRDefault="00D24E61">
      <w:pPr>
        <w:spacing w:line="72" w:lineRule="exact"/>
        <w:rPr>
          <w:sz w:val="20"/>
          <w:szCs w:val="20"/>
        </w:rPr>
      </w:pPr>
    </w:p>
    <w:p w:rsidR="00D24E61" w:rsidRPr="00771368" w:rsidRDefault="00D24E61">
      <w:pPr>
        <w:spacing w:line="347" w:lineRule="auto"/>
        <w:ind w:firstLine="708"/>
        <w:jc w:val="both"/>
        <w:rPr>
          <w:sz w:val="20"/>
          <w:szCs w:val="20"/>
        </w:rPr>
      </w:pPr>
      <w:r w:rsidRPr="00771368">
        <w:rPr>
          <w:sz w:val="24"/>
          <w:szCs w:val="24"/>
        </w:rPr>
        <w:t>Vale destacar que o indivíduo preconceituoso tende a incluir preconceito em relação a diversos elementos, como por exemplo ao judeu, ao homossexual, ao negro entre outros. Isso representa que o indivíduo desenvolve uma área de atuação de maneira independente das características dos alvos vítimas do preconceito. “O preconceito diz mais respeito às necessidades do preconceituoso do que às características de seus objetos, pois cada um desses</w:t>
      </w:r>
    </w:p>
    <w:p w:rsidR="00D24E61" w:rsidRPr="00771368" w:rsidRDefault="00D24E61">
      <w:pPr>
        <w:spacing w:line="76" w:lineRule="exact"/>
        <w:rPr>
          <w:sz w:val="20"/>
          <w:szCs w:val="20"/>
        </w:rPr>
      </w:pPr>
    </w:p>
    <w:p w:rsidR="00D24E61" w:rsidRPr="00771368" w:rsidRDefault="00D24E61">
      <w:pPr>
        <w:spacing w:line="308" w:lineRule="auto"/>
        <w:ind w:right="20"/>
        <w:jc w:val="both"/>
        <w:rPr>
          <w:sz w:val="20"/>
          <w:szCs w:val="20"/>
        </w:rPr>
      </w:pPr>
      <w:r w:rsidRPr="00771368">
        <w:rPr>
          <w:sz w:val="24"/>
          <w:szCs w:val="24"/>
        </w:rPr>
        <w:t>é imaginariamente dotado de aspectos distintos daquilo que eles são” (CROCHIK, 2006, p.14).</w:t>
      </w:r>
    </w:p>
    <w:p w:rsidR="00D24E61" w:rsidRPr="00771368" w:rsidRDefault="00D24E61">
      <w:pPr>
        <w:spacing w:line="120" w:lineRule="exact"/>
        <w:rPr>
          <w:sz w:val="20"/>
          <w:szCs w:val="20"/>
        </w:rPr>
      </w:pPr>
    </w:p>
    <w:p w:rsidR="00D24E61" w:rsidRPr="00771368" w:rsidRDefault="00D24E61">
      <w:pPr>
        <w:spacing w:line="346" w:lineRule="auto"/>
        <w:ind w:firstLine="708"/>
        <w:jc w:val="both"/>
        <w:rPr>
          <w:sz w:val="20"/>
          <w:szCs w:val="20"/>
        </w:rPr>
      </w:pPr>
      <w:r w:rsidRPr="00771368">
        <w:rPr>
          <w:sz w:val="24"/>
          <w:szCs w:val="24"/>
        </w:rPr>
        <w:t>É importante frisar ainda que “O preconceito, ao mesmo tempo em que diz mais do preconceituoso do que do alvo do preconceito, não é totalmente independente desse último, ou melhor, das representações que são atribuídas ao alvo”. Com isso, a atitude preconceituosa relata mais a identidade de quem realiza o preconceito do que mesmo da pessoa vítima do preconceito (CROCHIK, 2006, p.14).</w:t>
      </w:r>
    </w:p>
    <w:p w:rsidR="00D24E61" w:rsidRPr="00771368" w:rsidRDefault="00D24E61">
      <w:pPr>
        <w:spacing w:line="80" w:lineRule="exact"/>
        <w:rPr>
          <w:sz w:val="20"/>
          <w:szCs w:val="20"/>
        </w:rPr>
      </w:pPr>
    </w:p>
    <w:p w:rsidR="00D24E61" w:rsidRPr="00771368" w:rsidRDefault="00D24E61">
      <w:pPr>
        <w:spacing w:line="342" w:lineRule="auto"/>
        <w:ind w:firstLine="708"/>
        <w:jc w:val="both"/>
        <w:rPr>
          <w:sz w:val="20"/>
          <w:szCs w:val="20"/>
        </w:rPr>
      </w:pPr>
      <w:r w:rsidRPr="00771368">
        <w:rPr>
          <w:sz w:val="24"/>
          <w:szCs w:val="24"/>
        </w:rPr>
        <w:t>Nas últimas décadas, a sociedade percebeu que se iniciava uma nova forma de consciência. Neste momento em que a sociedade vive, a mulher alcança a igualdade em relação ao homem, num projeto coletivo e solidário, com isso, a sociedade percebe que o sucesso se alcança com a soma das individualidades entre homens e mulheres.</w:t>
      </w:r>
    </w:p>
    <w:p w:rsidR="00D24E61" w:rsidRPr="00771368" w:rsidRDefault="00D24E61">
      <w:pPr>
        <w:spacing w:line="83" w:lineRule="exact"/>
        <w:rPr>
          <w:sz w:val="20"/>
          <w:szCs w:val="20"/>
        </w:rPr>
      </w:pPr>
    </w:p>
    <w:p w:rsidR="00D24E61" w:rsidRPr="00771368" w:rsidRDefault="00D24E61">
      <w:pPr>
        <w:spacing w:line="349" w:lineRule="auto"/>
        <w:ind w:firstLine="708"/>
        <w:jc w:val="both"/>
        <w:rPr>
          <w:sz w:val="20"/>
          <w:szCs w:val="20"/>
        </w:rPr>
      </w:pPr>
      <w:r w:rsidRPr="00771368">
        <w:rPr>
          <w:sz w:val="24"/>
          <w:szCs w:val="24"/>
        </w:rPr>
        <w:t>Após muitas lutas por igualdade de gênero as mulheres conseguiram ocupar o espaço que antes era predominantemente do homem. “Não é o sexo que diz se o trabalho é do homem ou da mulher, as máquinas são assexuadas”. Com a exposição de CEAP (2004, p.34), percebe-se que antigamente alguns trabalhos eram destinados exclusivamente ao público masculino, no entanto, hoje em dia houve uma mistura de gêneros e cada pessoa possui suas habilidades, podendo exercer qualquer tipo de função, independente do seu gênero.</w:t>
      </w:r>
    </w:p>
    <w:p w:rsidR="00D24E61" w:rsidRPr="00771368" w:rsidRDefault="00D24E61">
      <w:pPr>
        <w:spacing w:line="77" w:lineRule="exact"/>
        <w:rPr>
          <w:sz w:val="20"/>
          <w:szCs w:val="20"/>
        </w:rPr>
      </w:pPr>
    </w:p>
    <w:p w:rsidR="00D24E61" w:rsidRPr="00771368" w:rsidRDefault="00D24E61">
      <w:pPr>
        <w:spacing w:line="334" w:lineRule="auto"/>
        <w:ind w:firstLine="708"/>
        <w:jc w:val="both"/>
        <w:rPr>
          <w:sz w:val="20"/>
          <w:szCs w:val="20"/>
        </w:rPr>
      </w:pPr>
      <w:r w:rsidRPr="00771368">
        <w:rPr>
          <w:sz w:val="24"/>
          <w:szCs w:val="24"/>
        </w:rPr>
        <w:t>De acordo com a Constituição Federal homens e mulheres têm direitos e deveres iguais, podendo trabalhar de igual maneira e em determinada função, além de não poder haver diferenças salarias se os dois gêneros exercerem as mesmas funções.</w:t>
      </w:r>
    </w:p>
    <w:p w:rsidR="00D24E61" w:rsidRPr="00771368" w:rsidRDefault="00D24E61">
      <w:pPr>
        <w:spacing w:line="342" w:lineRule="auto"/>
        <w:ind w:firstLine="708"/>
        <w:jc w:val="both"/>
        <w:rPr>
          <w:sz w:val="20"/>
          <w:szCs w:val="20"/>
        </w:rPr>
      </w:pPr>
      <w:r w:rsidRPr="00771368">
        <w:rPr>
          <w:sz w:val="24"/>
          <w:szCs w:val="24"/>
        </w:rPr>
        <w:t>Dessa forma, as mulheres estão constantemente em busca dos seus direitos, elas estudam, trabalham, se aperfeiçoam e buscam uma colocação melhor no emprego, assim, hoje, em diversos setores do mercado de trabalho competem com os homens, em busca do seu espaço nas empresas, a fim de melhorar sua qualidade de vida.</w:t>
      </w:r>
    </w:p>
    <w:p w:rsidR="00D24E61" w:rsidRPr="00771368" w:rsidRDefault="00D24E61">
      <w:pPr>
        <w:spacing w:line="83" w:lineRule="exact"/>
        <w:rPr>
          <w:sz w:val="20"/>
          <w:szCs w:val="20"/>
        </w:rPr>
      </w:pPr>
    </w:p>
    <w:p w:rsidR="00D24E61" w:rsidRPr="00771368" w:rsidRDefault="00D24E61">
      <w:pPr>
        <w:spacing w:line="352" w:lineRule="auto"/>
        <w:ind w:firstLine="708"/>
        <w:jc w:val="both"/>
        <w:rPr>
          <w:sz w:val="20"/>
          <w:szCs w:val="20"/>
        </w:rPr>
      </w:pPr>
      <w:r w:rsidRPr="00771368">
        <w:rPr>
          <w:sz w:val="24"/>
          <w:szCs w:val="24"/>
        </w:rPr>
        <w:t>Apesar dessa luta constante que as mulheres enfrentam, ainda existe muito preconceito, por parte dos homens ou mesmo das próprias mulheres ou da família. Existem alguns setores nas indústrias que ainda há uma maior participação de colaboradores do sexo masculino. Um exemplo deste fato é o setor da construção civil. Neste setor é difícil encontrar mulheres nos canteiros de obras das construções. Desta forma foi realizada a presente pesquisa, que busca conhecer se, nos dias atuais, existe o preconceito por parte dos clientes de uma construtora, quanto à construção de suas obras serem realizadas por pessoas do sexo feminino.</w:t>
      </w:r>
    </w:p>
    <w:p w:rsidR="00D24E61" w:rsidRPr="00771368" w:rsidRDefault="00D24E61">
      <w:pPr>
        <w:spacing w:line="200" w:lineRule="exact"/>
        <w:rPr>
          <w:sz w:val="20"/>
          <w:szCs w:val="20"/>
        </w:rPr>
      </w:pPr>
    </w:p>
    <w:p w:rsidR="00D24E61" w:rsidRPr="00771368" w:rsidRDefault="00D24E61">
      <w:pPr>
        <w:spacing w:line="234" w:lineRule="exact"/>
        <w:rPr>
          <w:sz w:val="20"/>
          <w:szCs w:val="20"/>
        </w:rPr>
      </w:pPr>
    </w:p>
    <w:p w:rsidR="00D24E61" w:rsidRPr="00771368" w:rsidRDefault="00D24E61">
      <w:pPr>
        <w:rPr>
          <w:sz w:val="20"/>
          <w:szCs w:val="20"/>
        </w:rPr>
      </w:pPr>
      <w:r w:rsidRPr="00771368">
        <w:rPr>
          <w:b/>
          <w:bCs/>
          <w:sz w:val="24"/>
          <w:szCs w:val="24"/>
        </w:rPr>
        <w:t>Metodologia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 metodologia científica apresenta os meios que serão utilizados na pesquisa para que seja possível alcançar os objetos propostos. Ela representa uma ligação referente aos estudos e as teorias adquiridas e como será realizada a aplicação destes estudos na prática.</w:t>
      </w:r>
    </w:p>
    <w:p w:rsidR="00D24E61" w:rsidRPr="00771368" w:rsidRDefault="00D24E61">
      <w:pPr>
        <w:spacing w:line="89" w:lineRule="exact"/>
        <w:rPr>
          <w:sz w:val="20"/>
          <w:szCs w:val="20"/>
        </w:rPr>
      </w:pPr>
    </w:p>
    <w:p w:rsidR="00D24E61" w:rsidRPr="00771368" w:rsidRDefault="00D24E61">
      <w:pPr>
        <w:spacing w:line="334" w:lineRule="auto"/>
        <w:ind w:firstLine="708"/>
        <w:jc w:val="both"/>
        <w:rPr>
          <w:sz w:val="20"/>
          <w:szCs w:val="20"/>
        </w:rPr>
      </w:pPr>
      <w:r w:rsidRPr="00771368">
        <w:rPr>
          <w:sz w:val="24"/>
          <w:szCs w:val="24"/>
        </w:rPr>
        <w:t>Conforme afirma Vergara (1998), o método representa “[...] um caminho, uma forma, uma lógica de pensamento”, desta maneira pode-se dizer que o método é uma estratégia esquematizada com técnicas necessárias para a obtenção dos resultados propostos.</w:t>
      </w:r>
    </w:p>
    <w:p w:rsidR="00D24E61" w:rsidRPr="00771368" w:rsidRDefault="00D24E61">
      <w:pPr>
        <w:spacing w:line="91" w:lineRule="exact"/>
        <w:rPr>
          <w:sz w:val="20"/>
          <w:szCs w:val="20"/>
        </w:rPr>
      </w:pPr>
    </w:p>
    <w:p w:rsidR="00D24E61" w:rsidRPr="00771368" w:rsidRDefault="00D24E61">
      <w:pPr>
        <w:spacing w:line="334" w:lineRule="auto"/>
        <w:ind w:firstLine="708"/>
        <w:jc w:val="both"/>
        <w:rPr>
          <w:sz w:val="20"/>
          <w:szCs w:val="20"/>
        </w:rPr>
      </w:pPr>
      <w:r w:rsidRPr="00771368">
        <w:rPr>
          <w:sz w:val="24"/>
          <w:szCs w:val="24"/>
        </w:rPr>
        <w:t>Quanto ao tipo de pesquisa adotado para a realização da pesquisa optou-se por um estudo de caso, onde Yin (2005) afirma que o estudo de caso busca respostas dentro da realidade da vida das pessoas, a fim de conhecer sua opinião sobre determinado assunto.</w:t>
      </w:r>
    </w:p>
    <w:p w:rsidR="00D24E61" w:rsidRPr="00771368" w:rsidRDefault="00D24E61">
      <w:pPr>
        <w:spacing w:line="89" w:lineRule="exact"/>
        <w:rPr>
          <w:sz w:val="20"/>
          <w:szCs w:val="20"/>
        </w:rPr>
      </w:pPr>
    </w:p>
    <w:p w:rsidR="00D24E61" w:rsidRPr="00771368" w:rsidRDefault="00D24E61">
      <w:pPr>
        <w:spacing w:line="350" w:lineRule="auto"/>
        <w:ind w:firstLine="708"/>
        <w:jc w:val="both"/>
        <w:rPr>
          <w:sz w:val="20"/>
          <w:szCs w:val="20"/>
        </w:rPr>
      </w:pPr>
      <w:r w:rsidRPr="00771368">
        <w:rPr>
          <w:sz w:val="24"/>
          <w:szCs w:val="24"/>
        </w:rPr>
        <w:t>A pesquisa realizada caracteriza-se como exploratória, a fim de buscar uma compreensão maior sobre o assunto em estudo. Quanto a abordagem utilizada para a realização da pesquisa, esta caracteriza-se como uma abordagem quantitativa e qualitativa, onde a abordagem quantitativa busca a maior quantidade de dados possível, já, a abordagem qualitativa tem o intuito de adquirir uma maior riqueza dos dados, possibilitando assim, uma maior qualidade nos resultados da pesquisa.</w:t>
      </w:r>
    </w:p>
    <w:p w:rsidR="00D24E61" w:rsidRPr="00771368" w:rsidRDefault="00D24E61">
      <w:pPr>
        <w:spacing w:line="70" w:lineRule="exact"/>
        <w:rPr>
          <w:sz w:val="20"/>
          <w:szCs w:val="20"/>
        </w:rPr>
      </w:pPr>
    </w:p>
    <w:p w:rsidR="00D24E61" w:rsidRPr="00771368" w:rsidRDefault="00D24E61">
      <w:pPr>
        <w:spacing w:line="334" w:lineRule="auto"/>
        <w:ind w:firstLine="708"/>
        <w:jc w:val="both"/>
        <w:rPr>
          <w:sz w:val="20"/>
          <w:szCs w:val="20"/>
        </w:rPr>
      </w:pPr>
      <w:r w:rsidRPr="00771368">
        <w:rPr>
          <w:sz w:val="24"/>
          <w:szCs w:val="24"/>
        </w:rPr>
        <w:t>Quanto as variáveis utilizadas para a realização da pesquisa, estas foram elaboradas a partir do referencial teórico, pelo fato de não haver um modelo pré-determinado sobre o assunto em estudo.</w:t>
      </w:r>
    </w:p>
    <w:p w:rsidR="00D24E61" w:rsidRPr="00771368" w:rsidRDefault="00D24E61">
      <w:pPr>
        <w:spacing w:line="347" w:lineRule="auto"/>
        <w:ind w:firstLine="708"/>
        <w:jc w:val="both"/>
        <w:rPr>
          <w:sz w:val="20"/>
          <w:szCs w:val="20"/>
        </w:rPr>
      </w:pPr>
      <w:r w:rsidRPr="00771368">
        <w:rPr>
          <w:sz w:val="24"/>
          <w:szCs w:val="24"/>
        </w:rPr>
        <w:t>Para a obtenção de dados mais precisos e de acordo com a realidade vivida pelas pessoas, buscou-se realizar uma entrevista, pois, desta maneira pode-se obter uma maior riqueza de dados e a verdadeira opinião do pesquisado sobre a questão em si. A entrevista seguiu um modelo estruturado, com perguntas abertas e fechadas, a fim de obter o maior número de informações possíveis.</w:t>
      </w:r>
    </w:p>
    <w:p w:rsidR="00D24E61" w:rsidRPr="00771368" w:rsidRDefault="00D24E61">
      <w:pPr>
        <w:spacing w:line="7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Devido ao fato de o setor de construção civil estar em ampla expansão nos dias atuais, não foi possível abranger todo o setor de construção civil, com isso, optou-se por abranger clientes de apenas uma empresa. Ainda, optou-se por pesquisar uma amostra de clientes, o que permite uma maior confiabilidade e veracidade nos dados obtidos. Dessa forma, a amostra encontrada para a realização da pesquisa foi de 58 clientes.</w:t>
      </w:r>
    </w:p>
    <w:p w:rsidR="00D24E61" w:rsidRPr="00771368" w:rsidRDefault="00D24E61">
      <w:pPr>
        <w:spacing w:line="77" w:lineRule="exact"/>
        <w:rPr>
          <w:sz w:val="20"/>
          <w:szCs w:val="20"/>
        </w:rPr>
      </w:pPr>
    </w:p>
    <w:p w:rsidR="00D24E61" w:rsidRPr="00771368" w:rsidRDefault="00D24E61">
      <w:pPr>
        <w:spacing w:line="342" w:lineRule="auto"/>
        <w:ind w:firstLine="708"/>
        <w:jc w:val="both"/>
        <w:rPr>
          <w:sz w:val="20"/>
          <w:szCs w:val="20"/>
        </w:rPr>
      </w:pPr>
      <w:r w:rsidRPr="00771368">
        <w:rPr>
          <w:sz w:val="24"/>
          <w:szCs w:val="24"/>
        </w:rPr>
        <w:t>Para realizar a pesquisa, os clientes foram escolhidos de forma aleatória simples, o que permite que qualquer pessoa possa ser escolhida para responder a entrevista. A entrevista foi realizada dentro do estabelecimento em estudo pela própria pesquisadora, no mês de setembro de 2013.</w:t>
      </w:r>
    </w:p>
    <w:p w:rsidR="00D24E61" w:rsidRPr="00771368" w:rsidRDefault="00D24E61">
      <w:pPr>
        <w:spacing w:line="8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A escolha deste assunto deveu-se devido ao interesse da pesquisadora em buscar conhecer se existe ainda preconceito em relação ao gênero e, se existir, como isso pode influenciar nos setores da construção civil e as consequências que isso causa na carreira profissional das pessoas.</w:t>
      </w:r>
    </w:p>
    <w:p w:rsidR="00D24E61" w:rsidRPr="00771368" w:rsidRDefault="00D24E61">
      <w:pPr>
        <w:spacing w:line="81" w:lineRule="exact"/>
        <w:rPr>
          <w:sz w:val="20"/>
          <w:szCs w:val="20"/>
        </w:rPr>
      </w:pPr>
    </w:p>
    <w:p w:rsidR="00D24E61" w:rsidRPr="00771368" w:rsidRDefault="00D24E61">
      <w:pPr>
        <w:spacing w:line="347" w:lineRule="auto"/>
        <w:ind w:firstLine="708"/>
        <w:jc w:val="both"/>
        <w:rPr>
          <w:sz w:val="20"/>
          <w:szCs w:val="20"/>
        </w:rPr>
      </w:pPr>
      <w:r w:rsidRPr="00771368">
        <w:rPr>
          <w:sz w:val="24"/>
          <w:szCs w:val="24"/>
        </w:rPr>
        <w:t xml:space="preserve">A análise, representação e interpretação dos dados obtidos foi feita a partir de planilhas do </w:t>
      </w:r>
      <w:r w:rsidRPr="00771368">
        <w:rPr>
          <w:i/>
          <w:iCs/>
          <w:sz w:val="24"/>
          <w:szCs w:val="24"/>
        </w:rPr>
        <w:t>excel</w:t>
      </w:r>
      <w:r w:rsidRPr="00771368">
        <w:rPr>
          <w:sz w:val="24"/>
          <w:szCs w:val="24"/>
        </w:rPr>
        <w:t>, o que permitiu ainda a elaboração de gráficos e tabelas para que fosse possível realizar uma melhor apresentação dos dados obtidos. Além disso, será possível ainda fazer comparações com as respostas obtidas nas questões anteriores, o que permite avaliar a veracidade das informações.</w:t>
      </w:r>
    </w:p>
    <w:p w:rsidR="00D24E61" w:rsidRPr="00771368" w:rsidRDefault="00D24E61">
      <w:pPr>
        <w:spacing w:line="76" w:lineRule="exact"/>
        <w:rPr>
          <w:sz w:val="20"/>
          <w:szCs w:val="20"/>
        </w:rPr>
      </w:pPr>
    </w:p>
    <w:p w:rsidR="00D24E61" w:rsidRPr="00771368" w:rsidRDefault="00D24E61">
      <w:pPr>
        <w:spacing w:line="342" w:lineRule="auto"/>
        <w:ind w:firstLine="708"/>
        <w:jc w:val="both"/>
        <w:rPr>
          <w:sz w:val="20"/>
          <w:szCs w:val="20"/>
        </w:rPr>
      </w:pPr>
      <w:r w:rsidRPr="00771368">
        <w:rPr>
          <w:sz w:val="24"/>
          <w:szCs w:val="24"/>
        </w:rPr>
        <w:t>Devido ao fato de não ser muito comum encontrar pessoas do sexo feminino nos campos de obras de construções civis, buscou-se conhecer se o fato de existir mulheres trabalhando nestes campos de obras pode representar um fator determinante para os clientes da construtora X fechar negócio ou não na construção de suas obras.</w:t>
      </w:r>
    </w:p>
    <w:p w:rsidR="00D24E61" w:rsidRPr="00771368" w:rsidRDefault="00D24E61">
      <w:pPr>
        <w:spacing w:line="8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Com isso, a pesquisa em questão foi realizada na construtora X, com grande prestígio na área da construção civil, a empresa está localizada na cidade de Marau-RS, e está presente no mercado há mais de 5 anos. Conta com 2 sócios proprietários e um quadro de 12 funcionários. A empresa atende seus clientes na cidade em que está localizada e em toda a região com qualidade e agilidade na entrega das suas obras.</w:t>
      </w:r>
    </w:p>
    <w:p w:rsidR="006812A9" w:rsidRDefault="006812A9">
      <w:pPr>
        <w:ind w:left="80"/>
        <w:rPr>
          <w:b/>
          <w:bCs/>
          <w:sz w:val="24"/>
          <w:szCs w:val="24"/>
        </w:rPr>
      </w:pPr>
    </w:p>
    <w:p w:rsidR="00D24E61" w:rsidRPr="00771368" w:rsidRDefault="00D24E61">
      <w:pPr>
        <w:ind w:left="80"/>
        <w:rPr>
          <w:sz w:val="20"/>
          <w:szCs w:val="20"/>
        </w:rPr>
      </w:pPr>
      <w:r w:rsidRPr="00771368">
        <w:rPr>
          <w:b/>
          <w:bCs/>
          <w:sz w:val="24"/>
          <w:szCs w:val="24"/>
        </w:rPr>
        <w:t>Análise e Discussão dos Resultados</w:t>
      </w:r>
    </w:p>
    <w:p w:rsidR="00D24E61" w:rsidRDefault="00D24E61">
      <w:pPr>
        <w:spacing w:line="200" w:lineRule="exact"/>
        <w:rPr>
          <w:sz w:val="20"/>
          <w:szCs w:val="20"/>
        </w:rPr>
      </w:pPr>
    </w:p>
    <w:p w:rsidR="006812A9" w:rsidRPr="00771368" w:rsidRDefault="006812A9">
      <w:pPr>
        <w:spacing w:line="200" w:lineRule="exact"/>
        <w:rPr>
          <w:sz w:val="20"/>
          <w:szCs w:val="20"/>
        </w:rPr>
      </w:pPr>
    </w:p>
    <w:p w:rsidR="00D24E61" w:rsidRPr="00771368" w:rsidRDefault="00D24E61">
      <w:pPr>
        <w:spacing w:line="342" w:lineRule="auto"/>
        <w:ind w:left="80" w:right="80" w:firstLine="708"/>
        <w:jc w:val="both"/>
        <w:rPr>
          <w:sz w:val="20"/>
          <w:szCs w:val="20"/>
        </w:rPr>
      </w:pPr>
      <w:r w:rsidRPr="00771368">
        <w:rPr>
          <w:sz w:val="24"/>
          <w:szCs w:val="24"/>
        </w:rPr>
        <w:t>A seguir, será apresentado os resultados obtidos com a realização da presente pesquisa que buscou identificar qual é a aceitação dos clientes de uma construtora quanto a presença feminina no canteiro de obras da construção civil. Na tabela a seguir, serão apresentados os resultados obtidos quanto ao perfil socioeconômico dos entrevistados.</w:t>
      </w:r>
    </w:p>
    <w:p w:rsidR="00D24E61" w:rsidRPr="00771368" w:rsidRDefault="00D24E61">
      <w:pPr>
        <w:spacing w:line="200" w:lineRule="exact"/>
        <w:rPr>
          <w:sz w:val="20"/>
          <w:szCs w:val="20"/>
        </w:rPr>
      </w:pPr>
    </w:p>
    <w:p w:rsidR="00D24E61" w:rsidRPr="00771368" w:rsidRDefault="00D24E61">
      <w:pPr>
        <w:spacing w:line="22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60"/>
        <w:gridCol w:w="5760"/>
        <w:gridCol w:w="1020"/>
        <w:gridCol w:w="30"/>
      </w:tblGrid>
      <w:tr w:rsidR="00D24E61" w:rsidRPr="00771368">
        <w:trPr>
          <w:trHeight w:val="288"/>
        </w:trPr>
        <w:tc>
          <w:tcPr>
            <w:tcW w:w="2460" w:type="dxa"/>
            <w:tcBorders>
              <w:top w:val="single" w:sz="8" w:space="0" w:color="auto"/>
              <w:left w:val="single" w:sz="8" w:space="0" w:color="auto"/>
              <w:right w:val="single" w:sz="8" w:space="0" w:color="auto"/>
            </w:tcBorders>
            <w:vAlign w:val="bottom"/>
          </w:tcPr>
          <w:p w:rsidR="00D24E61" w:rsidRPr="00771368" w:rsidRDefault="00D24E61">
            <w:pPr>
              <w:rPr>
                <w:sz w:val="24"/>
                <w:szCs w:val="24"/>
              </w:rPr>
            </w:pPr>
          </w:p>
        </w:tc>
        <w:tc>
          <w:tcPr>
            <w:tcW w:w="5760" w:type="dxa"/>
            <w:tcBorders>
              <w:top w:val="single" w:sz="8" w:space="0" w:color="auto"/>
              <w:right w:val="single" w:sz="8" w:space="0" w:color="auto"/>
            </w:tcBorders>
            <w:vAlign w:val="bottom"/>
          </w:tcPr>
          <w:p w:rsidR="00D24E61" w:rsidRPr="00771368" w:rsidRDefault="00D24E61">
            <w:pPr>
              <w:ind w:left="60"/>
              <w:rPr>
                <w:sz w:val="20"/>
                <w:szCs w:val="20"/>
              </w:rPr>
            </w:pPr>
            <w:r w:rsidRPr="00771368">
              <w:rPr>
                <w:sz w:val="24"/>
                <w:szCs w:val="24"/>
              </w:rPr>
              <w:t>Feminino</w:t>
            </w:r>
          </w:p>
        </w:tc>
        <w:tc>
          <w:tcPr>
            <w:tcW w:w="1020" w:type="dxa"/>
            <w:tcBorders>
              <w:top w:val="single" w:sz="8" w:space="0" w:color="auto"/>
              <w:right w:val="single" w:sz="8" w:space="0" w:color="auto"/>
            </w:tcBorders>
            <w:vAlign w:val="bottom"/>
          </w:tcPr>
          <w:p w:rsidR="00D24E61" w:rsidRPr="00771368" w:rsidRDefault="00D24E61">
            <w:pPr>
              <w:ind w:left="60"/>
              <w:rPr>
                <w:sz w:val="20"/>
                <w:szCs w:val="20"/>
              </w:rPr>
            </w:pPr>
            <w:r w:rsidRPr="00771368">
              <w:rPr>
                <w:sz w:val="24"/>
                <w:szCs w:val="24"/>
              </w:rPr>
              <w:t>25%</w:t>
            </w:r>
          </w:p>
        </w:tc>
        <w:tc>
          <w:tcPr>
            <w:tcW w:w="0" w:type="dxa"/>
            <w:vAlign w:val="bottom"/>
          </w:tcPr>
          <w:p w:rsidR="00D24E61" w:rsidRPr="00771368" w:rsidRDefault="00D24E61">
            <w:pPr>
              <w:rPr>
                <w:sz w:val="1"/>
                <w:szCs w:val="1"/>
              </w:rPr>
            </w:pPr>
          </w:p>
        </w:tc>
      </w:tr>
      <w:tr w:rsidR="00D24E61" w:rsidRPr="00771368">
        <w:trPr>
          <w:trHeight w:val="147"/>
        </w:trPr>
        <w:tc>
          <w:tcPr>
            <w:tcW w:w="2460" w:type="dxa"/>
            <w:vMerge w:val="restart"/>
            <w:tcBorders>
              <w:left w:val="single" w:sz="8" w:space="0" w:color="auto"/>
              <w:right w:val="single" w:sz="8" w:space="0" w:color="auto"/>
            </w:tcBorders>
            <w:vAlign w:val="bottom"/>
          </w:tcPr>
          <w:p w:rsidR="00D24E61" w:rsidRPr="00771368" w:rsidRDefault="00D24E61">
            <w:pPr>
              <w:spacing w:line="217" w:lineRule="exact"/>
              <w:ind w:left="80"/>
              <w:rPr>
                <w:sz w:val="20"/>
                <w:szCs w:val="20"/>
              </w:rPr>
            </w:pPr>
            <w:r w:rsidRPr="00771368">
              <w:rPr>
                <w:sz w:val="24"/>
                <w:szCs w:val="24"/>
              </w:rPr>
              <w:t>Sexo</w:t>
            </w: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52"/>
        </w:trPr>
        <w:tc>
          <w:tcPr>
            <w:tcW w:w="2460" w:type="dxa"/>
            <w:vMerge/>
            <w:tcBorders>
              <w:left w:val="single" w:sz="8" w:space="0" w:color="auto"/>
              <w:right w:val="single" w:sz="8" w:space="0" w:color="auto"/>
            </w:tcBorders>
            <w:vAlign w:val="bottom"/>
          </w:tcPr>
          <w:p w:rsidR="00D24E61" w:rsidRPr="00771368" w:rsidRDefault="00D24E61">
            <w:pPr>
              <w:rPr>
                <w:sz w:val="4"/>
                <w:szCs w:val="4"/>
              </w:rPr>
            </w:pPr>
          </w:p>
        </w:tc>
        <w:tc>
          <w:tcPr>
            <w:tcW w:w="5760" w:type="dxa"/>
            <w:vMerge w:val="restart"/>
            <w:tcBorders>
              <w:right w:val="single" w:sz="8" w:space="0" w:color="auto"/>
            </w:tcBorders>
            <w:vAlign w:val="bottom"/>
          </w:tcPr>
          <w:p w:rsidR="00D24E61" w:rsidRPr="00771368" w:rsidRDefault="00D24E61">
            <w:pPr>
              <w:spacing w:line="267" w:lineRule="exact"/>
              <w:ind w:left="60"/>
              <w:rPr>
                <w:sz w:val="20"/>
                <w:szCs w:val="20"/>
              </w:rPr>
            </w:pPr>
            <w:r w:rsidRPr="00771368">
              <w:rPr>
                <w:sz w:val="24"/>
                <w:szCs w:val="24"/>
              </w:rPr>
              <w:t>Masculino</w:t>
            </w:r>
          </w:p>
        </w:tc>
        <w:tc>
          <w:tcPr>
            <w:tcW w:w="1020" w:type="dxa"/>
            <w:vMerge w:val="restart"/>
            <w:tcBorders>
              <w:right w:val="single" w:sz="8" w:space="0" w:color="auto"/>
            </w:tcBorders>
            <w:vAlign w:val="bottom"/>
          </w:tcPr>
          <w:p w:rsidR="00D24E61" w:rsidRPr="00771368" w:rsidRDefault="00D24E61">
            <w:pPr>
              <w:spacing w:line="267" w:lineRule="exact"/>
              <w:ind w:left="60"/>
              <w:rPr>
                <w:sz w:val="20"/>
                <w:szCs w:val="20"/>
              </w:rPr>
            </w:pPr>
            <w:r w:rsidRPr="00771368">
              <w:rPr>
                <w:sz w:val="24"/>
                <w:szCs w:val="24"/>
              </w:rPr>
              <w:t>75%</w:t>
            </w:r>
          </w:p>
        </w:tc>
        <w:tc>
          <w:tcPr>
            <w:tcW w:w="0" w:type="dxa"/>
            <w:vAlign w:val="bottom"/>
          </w:tcPr>
          <w:p w:rsidR="00D24E61" w:rsidRPr="00771368" w:rsidRDefault="00D24E61">
            <w:pPr>
              <w:rPr>
                <w:sz w:val="1"/>
                <w:szCs w:val="1"/>
              </w:rPr>
            </w:pPr>
          </w:p>
        </w:tc>
      </w:tr>
      <w:tr w:rsidR="00D24E61" w:rsidRPr="00771368">
        <w:trPr>
          <w:trHeight w:val="216"/>
        </w:trPr>
        <w:tc>
          <w:tcPr>
            <w:tcW w:w="2460" w:type="dxa"/>
            <w:tcBorders>
              <w:left w:val="single" w:sz="8" w:space="0" w:color="auto"/>
              <w:right w:val="single" w:sz="8" w:space="0" w:color="auto"/>
            </w:tcBorders>
            <w:vAlign w:val="bottom"/>
          </w:tcPr>
          <w:p w:rsidR="00D24E61" w:rsidRPr="00771368" w:rsidRDefault="00D24E61">
            <w:pPr>
              <w:rPr>
                <w:sz w:val="18"/>
                <w:szCs w:val="18"/>
              </w:rPr>
            </w:pPr>
          </w:p>
        </w:tc>
        <w:tc>
          <w:tcPr>
            <w:tcW w:w="5760" w:type="dxa"/>
            <w:vMerge/>
            <w:tcBorders>
              <w:right w:val="single" w:sz="8" w:space="0" w:color="auto"/>
            </w:tcBorders>
            <w:vAlign w:val="bottom"/>
          </w:tcPr>
          <w:p w:rsidR="00D24E61" w:rsidRPr="00771368" w:rsidRDefault="00D24E61">
            <w:pPr>
              <w:rPr>
                <w:sz w:val="18"/>
                <w:szCs w:val="18"/>
              </w:rPr>
            </w:pPr>
          </w:p>
        </w:tc>
        <w:tc>
          <w:tcPr>
            <w:tcW w:w="1020" w:type="dxa"/>
            <w:vMerge/>
            <w:tcBorders>
              <w:right w:val="single" w:sz="8" w:space="0" w:color="auto"/>
            </w:tcBorders>
            <w:vAlign w:val="bottom"/>
          </w:tcPr>
          <w:p w:rsidR="00D24E61" w:rsidRPr="00771368" w:rsidRDefault="00D24E61">
            <w:pPr>
              <w:rPr>
                <w:sz w:val="18"/>
                <w:szCs w:val="18"/>
              </w:rPr>
            </w:pPr>
          </w:p>
        </w:tc>
        <w:tc>
          <w:tcPr>
            <w:tcW w:w="0" w:type="dxa"/>
            <w:vAlign w:val="bottom"/>
          </w:tcPr>
          <w:p w:rsidR="00D24E61" w:rsidRPr="00771368" w:rsidRDefault="00D24E61">
            <w:pPr>
              <w:rPr>
                <w:sz w:val="1"/>
                <w:szCs w:val="1"/>
              </w:rPr>
            </w:pPr>
          </w:p>
        </w:tc>
      </w:tr>
      <w:tr w:rsidR="00D24E61" w:rsidRPr="00771368">
        <w:trPr>
          <w:trHeight w:val="147"/>
        </w:trPr>
        <w:tc>
          <w:tcPr>
            <w:tcW w:w="246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58"/>
        </w:trPr>
        <w:tc>
          <w:tcPr>
            <w:tcW w:w="2460" w:type="dxa"/>
            <w:tcBorders>
              <w:left w:val="single" w:sz="8" w:space="0" w:color="auto"/>
              <w:right w:val="single" w:sz="8" w:space="0" w:color="auto"/>
            </w:tcBorders>
            <w:vAlign w:val="bottom"/>
          </w:tcPr>
          <w:p w:rsidR="00D24E61" w:rsidRPr="00771368" w:rsidRDefault="00D24E61"/>
        </w:tc>
        <w:tc>
          <w:tcPr>
            <w:tcW w:w="576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Até 20 anos</w:t>
            </w:r>
          </w:p>
        </w:tc>
        <w:tc>
          <w:tcPr>
            <w:tcW w:w="102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0%</w:t>
            </w:r>
          </w:p>
        </w:tc>
        <w:tc>
          <w:tcPr>
            <w:tcW w:w="0" w:type="dxa"/>
            <w:vAlign w:val="bottom"/>
          </w:tcPr>
          <w:p w:rsidR="00D24E61" w:rsidRPr="00771368" w:rsidRDefault="00D24E61">
            <w:pPr>
              <w:rPr>
                <w:sz w:val="1"/>
                <w:szCs w:val="1"/>
              </w:rPr>
            </w:pPr>
          </w:p>
        </w:tc>
      </w:tr>
      <w:tr w:rsidR="00D24E61" w:rsidRPr="00771368">
        <w:trPr>
          <w:trHeight w:val="144"/>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60"/>
        </w:trPr>
        <w:tc>
          <w:tcPr>
            <w:tcW w:w="2460" w:type="dxa"/>
            <w:tcBorders>
              <w:left w:val="single" w:sz="8" w:space="0" w:color="auto"/>
              <w:right w:val="single" w:sz="8" w:space="0" w:color="auto"/>
            </w:tcBorders>
            <w:vAlign w:val="bottom"/>
          </w:tcPr>
          <w:p w:rsidR="00D24E61" w:rsidRPr="00771368" w:rsidRDefault="00D24E61"/>
        </w:tc>
        <w:tc>
          <w:tcPr>
            <w:tcW w:w="5760" w:type="dxa"/>
            <w:tcBorders>
              <w:right w:val="single" w:sz="8" w:space="0" w:color="auto"/>
            </w:tcBorders>
            <w:vAlign w:val="bottom"/>
          </w:tcPr>
          <w:p w:rsidR="00D24E61" w:rsidRPr="00771368" w:rsidRDefault="00D24E61">
            <w:pPr>
              <w:spacing w:line="260" w:lineRule="exact"/>
              <w:ind w:left="60"/>
              <w:rPr>
                <w:sz w:val="20"/>
                <w:szCs w:val="20"/>
              </w:rPr>
            </w:pPr>
            <w:r w:rsidRPr="00771368">
              <w:rPr>
                <w:sz w:val="24"/>
                <w:szCs w:val="24"/>
              </w:rPr>
              <w:t>De 21 à 30 anos</w:t>
            </w:r>
          </w:p>
        </w:tc>
        <w:tc>
          <w:tcPr>
            <w:tcW w:w="1020" w:type="dxa"/>
            <w:tcBorders>
              <w:right w:val="single" w:sz="8" w:space="0" w:color="auto"/>
            </w:tcBorders>
            <w:vAlign w:val="bottom"/>
          </w:tcPr>
          <w:p w:rsidR="00D24E61" w:rsidRPr="00771368" w:rsidRDefault="00D24E61">
            <w:pPr>
              <w:spacing w:line="260" w:lineRule="exact"/>
              <w:ind w:left="60"/>
              <w:rPr>
                <w:sz w:val="20"/>
                <w:szCs w:val="20"/>
              </w:rPr>
            </w:pPr>
            <w:r w:rsidRPr="00771368">
              <w:rPr>
                <w:sz w:val="24"/>
                <w:szCs w:val="24"/>
              </w:rPr>
              <w:t>15%</w:t>
            </w:r>
          </w:p>
        </w:tc>
        <w:tc>
          <w:tcPr>
            <w:tcW w:w="0" w:type="dxa"/>
            <w:vAlign w:val="bottom"/>
          </w:tcPr>
          <w:p w:rsidR="00D24E61" w:rsidRPr="00771368" w:rsidRDefault="00D24E61">
            <w:pPr>
              <w:rPr>
                <w:sz w:val="1"/>
                <w:szCs w:val="1"/>
              </w:rPr>
            </w:pPr>
          </w:p>
        </w:tc>
      </w:tr>
      <w:tr w:rsidR="00D24E61" w:rsidRPr="00771368">
        <w:trPr>
          <w:trHeight w:val="144"/>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58"/>
        </w:trPr>
        <w:tc>
          <w:tcPr>
            <w:tcW w:w="2460" w:type="dxa"/>
            <w:tcBorders>
              <w:left w:val="single" w:sz="8" w:space="0" w:color="auto"/>
              <w:right w:val="single" w:sz="8" w:space="0" w:color="auto"/>
            </w:tcBorders>
            <w:vAlign w:val="bottom"/>
          </w:tcPr>
          <w:p w:rsidR="00D24E61" w:rsidRPr="00771368" w:rsidRDefault="00D24E61">
            <w:pPr>
              <w:spacing w:line="258" w:lineRule="exact"/>
              <w:ind w:left="80"/>
              <w:rPr>
                <w:sz w:val="20"/>
                <w:szCs w:val="20"/>
              </w:rPr>
            </w:pPr>
            <w:r w:rsidRPr="00771368">
              <w:rPr>
                <w:sz w:val="24"/>
                <w:szCs w:val="24"/>
              </w:rPr>
              <w:t>Idade</w:t>
            </w:r>
          </w:p>
        </w:tc>
        <w:tc>
          <w:tcPr>
            <w:tcW w:w="576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De 31 à 40 anos</w:t>
            </w:r>
          </w:p>
        </w:tc>
        <w:tc>
          <w:tcPr>
            <w:tcW w:w="102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25%</w:t>
            </w:r>
          </w:p>
        </w:tc>
        <w:tc>
          <w:tcPr>
            <w:tcW w:w="0" w:type="dxa"/>
            <w:vAlign w:val="bottom"/>
          </w:tcPr>
          <w:p w:rsidR="00D24E61" w:rsidRPr="00771368" w:rsidRDefault="00D24E61">
            <w:pPr>
              <w:rPr>
                <w:sz w:val="1"/>
                <w:szCs w:val="1"/>
              </w:rPr>
            </w:pPr>
          </w:p>
        </w:tc>
      </w:tr>
      <w:tr w:rsidR="00D24E61" w:rsidRPr="00771368">
        <w:trPr>
          <w:trHeight w:val="147"/>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58"/>
        </w:trPr>
        <w:tc>
          <w:tcPr>
            <w:tcW w:w="2460" w:type="dxa"/>
            <w:tcBorders>
              <w:left w:val="single" w:sz="8" w:space="0" w:color="auto"/>
              <w:right w:val="single" w:sz="8" w:space="0" w:color="auto"/>
            </w:tcBorders>
            <w:vAlign w:val="bottom"/>
          </w:tcPr>
          <w:p w:rsidR="00D24E61" w:rsidRPr="00771368" w:rsidRDefault="00D24E61"/>
        </w:tc>
        <w:tc>
          <w:tcPr>
            <w:tcW w:w="576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De 41 à 50 anos</w:t>
            </w:r>
          </w:p>
        </w:tc>
        <w:tc>
          <w:tcPr>
            <w:tcW w:w="102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35%</w:t>
            </w:r>
          </w:p>
        </w:tc>
        <w:tc>
          <w:tcPr>
            <w:tcW w:w="0" w:type="dxa"/>
            <w:vAlign w:val="bottom"/>
          </w:tcPr>
          <w:p w:rsidR="00D24E61" w:rsidRPr="00771368" w:rsidRDefault="00D24E61">
            <w:pPr>
              <w:rPr>
                <w:sz w:val="1"/>
                <w:szCs w:val="1"/>
              </w:rPr>
            </w:pPr>
          </w:p>
        </w:tc>
      </w:tr>
      <w:tr w:rsidR="00D24E61" w:rsidRPr="00771368">
        <w:trPr>
          <w:trHeight w:val="144"/>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60"/>
        </w:trPr>
        <w:tc>
          <w:tcPr>
            <w:tcW w:w="2460" w:type="dxa"/>
            <w:tcBorders>
              <w:left w:val="single" w:sz="8" w:space="0" w:color="auto"/>
              <w:right w:val="single" w:sz="8" w:space="0" w:color="auto"/>
            </w:tcBorders>
            <w:vAlign w:val="bottom"/>
          </w:tcPr>
          <w:p w:rsidR="00D24E61" w:rsidRPr="00771368" w:rsidRDefault="00D24E61"/>
        </w:tc>
        <w:tc>
          <w:tcPr>
            <w:tcW w:w="5760" w:type="dxa"/>
            <w:tcBorders>
              <w:right w:val="single" w:sz="8" w:space="0" w:color="auto"/>
            </w:tcBorders>
            <w:vAlign w:val="bottom"/>
          </w:tcPr>
          <w:p w:rsidR="00D24E61" w:rsidRPr="00771368" w:rsidRDefault="00D24E61">
            <w:pPr>
              <w:spacing w:line="260" w:lineRule="exact"/>
              <w:ind w:left="60"/>
              <w:rPr>
                <w:sz w:val="20"/>
                <w:szCs w:val="20"/>
              </w:rPr>
            </w:pPr>
            <w:r w:rsidRPr="00771368">
              <w:rPr>
                <w:sz w:val="24"/>
                <w:szCs w:val="24"/>
              </w:rPr>
              <w:t>Mais de 51 anos</w:t>
            </w:r>
          </w:p>
        </w:tc>
        <w:tc>
          <w:tcPr>
            <w:tcW w:w="1020" w:type="dxa"/>
            <w:tcBorders>
              <w:right w:val="single" w:sz="8" w:space="0" w:color="auto"/>
            </w:tcBorders>
            <w:vAlign w:val="bottom"/>
          </w:tcPr>
          <w:p w:rsidR="00D24E61" w:rsidRPr="00771368" w:rsidRDefault="00D24E61">
            <w:pPr>
              <w:spacing w:line="260" w:lineRule="exact"/>
              <w:ind w:left="60"/>
              <w:rPr>
                <w:sz w:val="20"/>
                <w:szCs w:val="20"/>
              </w:rPr>
            </w:pPr>
            <w:r w:rsidRPr="00771368">
              <w:rPr>
                <w:sz w:val="24"/>
                <w:szCs w:val="24"/>
              </w:rPr>
              <w:t>25%</w:t>
            </w:r>
          </w:p>
        </w:tc>
        <w:tc>
          <w:tcPr>
            <w:tcW w:w="0" w:type="dxa"/>
            <w:vAlign w:val="bottom"/>
          </w:tcPr>
          <w:p w:rsidR="00D24E61" w:rsidRPr="00771368" w:rsidRDefault="00D24E61">
            <w:pPr>
              <w:rPr>
                <w:sz w:val="1"/>
                <w:szCs w:val="1"/>
              </w:rPr>
            </w:pPr>
          </w:p>
        </w:tc>
      </w:tr>
      <w:tr w:rsidR="00D24E61" w:rsidRPr="00771368">
        <w:trPr>
          <w:trHeight w:val="144"/>
        </w:trPr>
        <w:tc>
          <w:tcPr>
            <w:tcW w:w="246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58"/>
        </w:trPr>
        <w:tc>
          <w:tcPr>
            <w:tcW w:w="2460" w:type="dxa"/>
            <w:tcBorders>
              <w:left w:val="single" w:sz="8" w:space="0" w:color="auto"/>
              <w:right w:val="single" w:sz="8" w:space="0" w:color="auto"/>
            </w:tcBorders>
            <w:vAlign w:val="bottom"/>
          </w:tcPr>
          <w:p w:rsidR="00D24E61" w:rsidRPr="00771368" w:rsidRDefault="00D24E61"/>
        </w:tc>
        <w:tc>
          <w:tcPr>
            <w:tcW w:w="576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Ensino Fundamental Incompleto</w:t>
            </w:r>
          </w:p>
        </w:tc>
        <w:tc>
          <w:tcPr>
            <w:tcW w:w="102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0%</w:t>
            </w:r>
          </w:p>
        </w:tc>
        <w:tc>
          <w:tcPr>
            <w:tcW w:w="0" w:type="dxa"/>
            <w:vAlign w:val="bottom"/>
          </w:tcPr>
          <w:p w:rsidR="00D24E61" w:rsidRPr="00771368" w:rsidRDefault="00D24E61">
            <w:pPr>
              <w:rPr>
                <w:sz w:val="1"/>
                <w:szCs w:val="1"/>
              </w:rPr>
            </w:pPr>
          </w:p>
        </w:tc>
      </w:tr>
      <w:tr w:rsidR="00D24E61" w:rsidRPr="00771368">
        <w:trPr>
          <w:trHeight w:val="147"/>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58"/>
        </w:trPr>
        <w:tc>
          <w:tcPr>
            <w:tcW w:w="2460" w:type="dxa"/>
            <w:tcBorders>
              <w:left w:val="single" w:sz="8" w:space="0" w:color="auto"/>
              <w:right w:val="single" w:sz="8" w:space="0" w:color="auto"/>
            </w:tcBorders>
            <w:vAlign w:val="bottom"/>
          </w:tcPr>
          <w:p w:rsidR="00D24E61" w:rsidRPr="00771368" w:rsidRDefault="00D24E61"/>
        </w:tc>
        <w:tc>
          <w:tcPr>
            <w:tcW w:w="576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Ensino Fundamental Completo</w:t>
            </w:r>
          </w:p>
        </w:tc>
        <w:tc>
          <w:tcPr>
            <w:tcW w:w="102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5%</w:t>
            </w:r>
          </w:p>
        </w:tc>
        <w:tc>
          <w:tcPr>
            <w:tcW w:w="0" w:type="dxa"/>
            <w:vAlign w:val="bottom"/>
          </w:tcPr>
          <w:p w:rsidR="00D24E61" w:rsidRPr="00771368" w:rsidRDefault="00D24E61">
            <w:pPr>
              <w:rPr>
                <w:sz w:val="1"/>
                <w:szCs w:val="1"/>
              </w:rPr>
            </w:pPr>
          </w:p>
        </w:tc>
      </w:tr>
      <w:tr w:rsidR="00D24E61" w:rsidRPr="00771368">
        <w:trPr>
          <w:trHeight w:val="144"/>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60"/>
        </w:trPr>
        <w:tc>
          <w:tcPr>
            <w:tcW w:w="2460" w:type="dxa"/>
            <w:vMerge w:val="restart"/>
            <w:tcBorders>
              <w:left w:val="single" w:sz="8" w:space="0" w:color="auto"/>
              <w:right w:val="single" w:sz="8" w:space="0" w:color="auto"/>
            </w:tcBorders>
            <w:vAlign w:val="bottom"/>
          </w:tcPr>
          <w:p w:rsidR="00D24E61" w:rsidRPr="00771368" w:rsidRDefault="00D24E61">
            <w:pPr>
              <w:ind w:left="80"/>
              <w:rPr>
                <w:sz w:val="20"/>
                <w:szCs w:val="20"/>
              </w:rPr>
            </w:pPr>
            <w:r w:rsidRPr="00771368">
              <w:rPr>
                <w:sz w:val="24"/>
                <w:szCs w:val="24"/>
              </w:rPr>
              <w:t>Escolaridade</w:t>
            </w:r>
          </w:p>
        </w:tc>
        <w:tc>
          <w:tcPr>
            <w:tcW w:w="5760" w:type="dxa"/>
            <w:tcBorders>
              <w:right w:val="single" w:sz="8" w:space="0" w:color="auto"/>
            </w:tcBorders>
            <w:vAlign w:val="bottom"/>
          </w:tcPr>
          <w:p w:rsidR="00D24E61" w:rsidRPr="00771368" w:rsidRDefault="00D24E61">
            <w:pPr>
              <w:spacing w:line="260" w:lineRule="exact"/>
              <w:ind w:left="60"/>
              <w:rPr>
                <w:sz w:val="20"/>
                <w:szCs w:val="20"/>
              </w:rPr>
            </w:pPr>
            <w:r w:rsidRPr="00771368">
              <w:rPr>
                <w:sz w:val="24"/>
                <w:szCs w:val="24"/>
              </w:rPr>
              <w:t>Ensino Médio Incompleto</w:t>
            </w:r>
          </w:p>
        </w:tc>
        <w:tc>
          <w:tcPr>
            <w:tcW w:w="1020" w:type="dxa"/>
            <w:tcBorders>
              <w:right w:val="single" w:sz="8" w:space="0" w:color="auto"/>
            </w:tcBorders>
            <w:vAlign w:val="bottom"/>
          </w:tcPr>
          <w:p w:rsidR="00D24E61" w:rsidRPr="00771368" w:rsidRDefault="00D24E61">
            <w:pPr>
              <w:spacing w:line="260" w:lineRule="exact"/>
              <w:ind w:left="60"/>
              <w:rPr>
                <w:sz w:val="20"/>
                <w:szCs w:val="20"/>
              </w:rPr>
            </w:pPr>
            <w:r w:rsidRPr="00771368">
              <w:rPr>
                <w:sz w:val="24"/>
                <w:szCs w:val="24"/>
              </w:rPr>
              <w:t>10%</w:t>
            </w:r>
          </w:p>
        </w:tc>
        <w:tc>
          <w:tcPr>
            <w:tcW w:w="0" w:type="dxa"/>
            <w:vAlign w:val="bottom"/>
          </w:tcPr>
          <w:p w:rsidR="00D24E61" w:rsidRPr="00771368" w:rsidRDefault="00D24E61">
            <w:pPr>
              <w:rPr>
                <w:sz w:val="1"/>
                <w:szCs w:val="1"/>
              </w:rPr>
            </w:pPr>
          </w:p>
        </w:tc>
      </w:tr>
      <w:tr w:rsidR="00D24E61" w:rsidRPr="00771368">
        <w:trPr>
          <w:trHeight w:val="144"/>
        </w:trPr>
        <w:tc>
          <w:tcPr>
            <w:tcW w:w="2460" w:type="dxa"/>
            <w:vMerge/>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47"/>
        </w:trPr>
        <w:tc>
          <w:tcPr>
            <w:tcW w:w="2460" w:type="dxa"/>
            <w:vMerge/>
            <w:tcBorders>
              <w:left w:val="single" w:sz="8" w:space="0" w:color="auto"/>
              <w:right w:val="single" w:sz="8" w:space="0" w:color="auto"/>
            </w:tcBorders>
            <w:vAlign w:val="bottom"/>
          </w:tcPr>
          <w:p w:rsidR="00D24E61" w:rsidRPr="00771368" w:rsidRDefault="00D24E61">
            <w:pPr>
              <w:rPr>
                <w:sz w:val="4"/>
                <w:szCs w:val="4"/>
              </w:rPr>
            </w:pPr>
          </w:p>
        </w:tc>
        <w:tc>
          <w:tcPr>
            <w:tcW w:w="5760" w:type="dxa"/>
            <w:vMerge w:val="restart"/>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Ensino Médio Completo</w:t>
            </w:r>
          </w:p>
        </w:tc>
        <w:tc>
          <w:tcPr>
            <w:tcW w:w="1020" w:type="dxa"/>
            <w:vMerge w:val="restart"/>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35%</w:t>
            </w:r>
          </w:p>
        </w:tc>
        <w:tc>
          <w:tcPr>
            <w:tcW w:w="0" w:type="dxa"/>
            <w:vAlign w:val="bottom"/>
          </w:tcPr>
          <w:p w:rsidR="00D24E61" w:rsidRPr="00771368" w:rsidRDefault="00D24E61">
            <w:pPr>
              <w:rPr>
                <w:sz w:val="1"/>
                <w:szCs w:val="1"/>
              </w:rPr>
            </w:pPr>
          </w:p>
        </w:tc>
      </w:tr>
      <w:tr w:rsidR="00D24E61" w:rsidRPr="00771368">
        <w:trPr>
          <w:trHeight w:val="212"/>
        </w:trPr>
        <w:tc>
          <w:tcPr>
            <w:tcW w:w="2460" w:type="dxa"/>
            <w:tcBorders>
              <w:left w:val="single" w:sz="8" w:space="0" w:color="auto"/>
              <w:right w:val="single" w:sz="8" w:space="0" w:color="auto"/>
            </w:tcBorders>
            <w:vAlign w:val="bottom"/>
          </w:tcPr>
          <w:p w:rsidR="00D24E61" w:rsidRPr="00771368" w:rsidRDefault="00D24E61">
            <w:pPr>
              <w:rPr>
                <w:sz w:val="18"/>
                <w:szCs w:val="18"/>
              </w:rPr>
            </w:pPr>
          </w:p>
        </w:tc>
        <w:tc>
          <w:tcPr>
            <w:tcW w:w="5760" w:type="dxa"/>
            <w:vMerge/>
            <w:tcBorders>
              <w:right w:val="single" w:sz="8" w:space="0" w:color="auto"/>
            </w:tcBorders>
            <w:vAlign w:val="bottom"/>
          </w:tcPr>
          <w:p w:rsidR="00D24E61" w:rsidRPr="00771368" w:rsidRDefault="00D24E61">
            <w:pPr>
              <w:rPr>
                <w:sz w:val="18"/>
                <w:szCs w:val="18"/>
              </w:rPr>
            </w:pPr>
          </w:p>
        </w:tc>
        <w:tc>
          <w:tcPr>
            <w:tcW w:w="1020" w:type="dxa"/>
            <w:vMerge/>
            <w:tcBorders>
              <w:right w:val="single" w:sz="8" w:space="0" w:color="auto"/>
            </w:tcBorders>
            <w:vAlign w:val="bottom"/>
          </w:tcPr>
          <w:p w:rsidR="00D24E61" w:rsidRPr="00771368" w:rsidRDefault="00D24E61">
            <w:pPr>
              <w:rPr>
                <w:sz w:val="18"/>
                <w:szCs w:val="18"/>
              </w:rPr>
            </w:pPr>
          </w:p>
        </w:tc>
        <w:tc>
          <w:tcPr>
            <w:tcW w:w="0" w:type="dxa"/>
            <w:vAlign w:val="bottom"/>
          </w:tcPr>
          <w:p w:rsidR="00D24E61" w:rsidRPr="00771368" w:rsidRDefault="00D24E61">
            <w:pPr>
              <w:rPr>
                <w:sz w:val="1"/>
                <w:szCs w:val="1"/>
              </w:rPr>
            </w:pPr>
          </w:p>
        </w:tc>
      </w:tr>
      <w:tr w:rsidR="00D24E61" w:rsidRPr="00771368">
        <w:trPr>
          <w:trHeight w:val="147"/>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58"/>
        </w:trPr>
        <w:tc>
          <w:tcPr>
            <w:tcW w:w="2460" w:type="dxa"/>
            <w:tcBorders>
              <w:left w:val="single" w:sz="8" w:space="0" w:color="auto"/>
              <w:right w:val="single" w:sz="8" w:space="0" w:color="auto"/>
            </w:tcBorders>
            <w:vAlign w:val="bottom"/>
          </w:tcPr>
          <w:p w:rsidR="00D24E61" w:rsidRPr="00771368" w:rsidRDefault="00D24E61"/>
        </w:tc>
        <w:tc>
          <w:tcPr>
            <w:tcW w:w="576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Ensino Superior Incompleto</w:t>
            </w:r>
          </w:p>
        </w:tc>
        <w:tc>
          <w:tcPr>
            <w:tcW w:w="102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25%</w:t>
            </w:r>
          </w:p>
        </w:tc>
        <w:tc>
          <w:tcPr>
            <w:tcW w:w="0" w:type="dxa"/>
            <w:vAlign w:val="bottom"/>
          </w:tcPr>
          <w:p w:rsidR="00D24E61" w:rsidRPr="00771368" w:rsidRDefault="00D24E61">
            <w:pPr>
              <w:rPr>
                <w:sz w:val="1"/>
                <w:szCs w:val="1"/>
              </w:rPr>
            </w:pPr>
          </w:p>
        </w:tc>
      </w:tr>
      <w:tr w:rsidR="00D24E61" w:rsidRPr="00771368">
        <w:trPr>
          <w:trHeight w:val="144"/>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58"/>
        </w:trPr>
        <w:tc>
          <w:tcPr>
            <w:tcW w:w="2460" w:type="dxa"/>
            <w:tcBorders>
              <w:left w:val="single" w:sz="8" w:space="0" w:color="auto"/>
              <w:right w:val="single" w:sz="8" w:space="0" w:color="auto"/>
            </w:tcBorders>
            <w:vAlign w:val="bottom"/>
          </w:tcPr>
          <w:p w:rsidR="00D24E61" w:rsidRPr="00771368" w:rsidRDefault="00D24E61"/>
        </w:tc>
        <w:tc>
          <w:tcPr>
            <w:tcW w:w="576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Ensino Superior Completo</w:t>
            </w:r>
          </w:p>
        </w:tc>
        <w:tc>
          <w:tcPr>
            <w:tcW w:w="102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25%</w:t>
            </w:r>
          </w:p>
        </w:tc>
        <w:tc>
          <w:tcPr>
            <w:tcW w:w="0" w:type="dxa"/>
            <w:vAlign w:val="bottom"/>
          </w:tcPr>
          <w:p w:rsidR="00D24E61" w:rsidRPr="00771368" w:rsidRDefault="00D24E61">
            <w:pPr>
              <w:rPr>
                <w:sz w:val="1"/>
                <w:szCs w:val="1"/>
              </w:rPr>
            </w:pPr>
          </w:p>
        </w:tc>
      </w:tr>
      <w:tr w:rsidR="00D24E61" w:rsidRPr="00771368">
        <w:trPr>
          <w:trHeight w:val="147"/>
        </w:trPr>
        <w:tc>
          <w:tcPr>
            <w:tcW w:w="246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58"/>
        </w:trPr>
        <w:tc>
          <w:tcPr>
            <w:tcW w:w="2460" w:type="dxa"/>
            <w:tcBorders>
              <w:left w:val="single" w:sz="8" w:space="0" w:color="auto"/>
              <w:right w:val="single" w:sz="8" w:space="0" w:color="auto"/>
            </w:tcBorders>
            <w:vAlign w:val="bottom"/>
          </w:tcPr>
          <w:p w:rsidR="00D24E61" w:rsidRPr="00771368" w:rsidRDefault="00D24E61"/>
        </w:tc>
        <w:tc>
          <w:tcPr>
            <w:tcW w:w="576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Até R$ 1000,00</w:t>
            </w:r>
          </w:p>
        </w:tc>
        <w:tc>
          <w:tcPr>
            <w:tcW w:w="1020" w:type="dxa"/>
            <w:tcBorders>
              <w:right w:val="single" w:sz="8" w:space="0" w:color="auto"/>
            </w:tcBorders>
            <w:vAlign w:val="bottom"/>
          </w:tcPr>
          <w:p w:rsidR="00D24E61" w:rsidRPr="00771368" w:rsidRDefault="00D24E61">
            <w:pPr>
              <w:spacing w:line="258" w:lineRule="exact"/>
              <w:ind w:left="60"/>
              <w:rPr>
                <w:sz w:val="20"/>
                <w:szCs w:val="20"/>
              </w:rPr>
            </w:pPr>
            <w:r w:rsidRPr="00771368">
              <w:rPr>
                <w:sz w:val="24"/>
                <w:szCs w:val="24"/>
              </w:rPr>
              <w:t>0%</w:t>
            </w:r>
          </w:p>
        </w:tc>
        <w:tc>
          <w:tcPr>
            <w:tcW w:w="0" w:type="dxa"/>
            <w:vAlign w:val="bottom"/>
          </w:tcPr>
          <w:p w:rsidR="00D24E61" w:rsidRPr="00771368" w:rsidRDefault="00D24E61">
            <w:pPr>
              <w:rPr>
                <w:sz w:val="1"/>
                <w:szCs w:val="1"/>
              </w:rPr>
            </w:pPr>
          </w:p>
        </w:tc>
      </w:tr>
      <w:tr w:rsidR="00D24E61" w:rsidRPr="00771368">
        <w:trPr>
          <w:trHeight w:val="147"/>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68"/>
        </w:trPr>
        <w:tc>
          <w:tcPr>
            <w:tcW w:w="2460" w:type="dxa"/>
            <w:tcBorders>
              <w:left w:val="single" w:sz="8" w:space="0" w:color="auto"/>
              <w:right w:val="single" w:sz="8" w:space="0" w:color="auto"/>
            </w:tcBorders>
            <w:vAlign w:val="bottom"/>
          </w:tcPr>
          <w:p w:rsidR="00D24E61" w:rsidRPr="00771368" w:rsidRDefault="00D24E61">
            <w:pPr>
              <w:spacing w:line="267" w:lineRule="exact"/>
              <w:ind w:left="80"/>
              <w:rPr>
                <w:sz w:val="20"/>
                <w:szCs w:val="20"/>
              </w:rPr>
            </w:pPr>
            <w:r w:rsidRPr="00771368">
              <w:rPr>
                <w:sz w:val="24"/>
                <w:szCs w:val="24"/>
              </w:rPr>
              <w:t>Renda</w:t>
            </w:r>
          </w:p>
        </w:tc>
        <w:tc>
          <w:tcPr>
            <w:tcW w:w="5760" w:type="dxa"/>
            <w:tcBorders>
              <w:right w:val="single" w:sz="8" w:space="0" w:color="auto"/>
            </w:tcBorders>
            <w:vAlign w:val="bottom"/>
          </w:tcPr>
          <w:p w:rsidR="00D24E61" w:rsidRPr="00771368" w:rsidRDefault="00D24E61">
            <w:pPr>
              <w:spacing w:line="267" w:lineRule="exact"/>
              <w:ind w:left="60"/>
              <w:rPr>
                <w:sz w:val="20"/>
                <w:szCs w:val="20"/>
              </w:rPr>
            </w:pPr>
            <w:r w:rsidRPr="00771368">
              <w:rPr>
                <w:sz w:val="24"/>
                <w:szCs w:val="24"/>
              </w:rPr>
              <w:t>De R$ 1.000,01 à R$ 3.000,00</w:t>
            </w:r>
          </w:p>
        </w:tc>
        <w:tc>
          <w:tcPr>
            <w:tcW w:w="1020" w:type="dxa"/>
            <w:tcBorders>
              <w:right w:val="single" w:sz="8" w:space="0" w:color="auto"/>
            </w:tcBorders>
            <w:vAlign w:val="bottom"/>
          </w:tcPr>
          <w:p w:rsidR="00D24E61" w:rsidRPr="00771368" w:rsidRDefault="00D24E61">
            <w:pPr>
              <w:spacing w:line="267" w:lineRule="exact"/>
              <w:ind w:left="60"/>
              <w:rPr>
                <w:sz w:val="20"/>
                <w:szCs w:val="20"/>
              </w:rPr>
            </w:pPr>
            <w:r w:rsidRPr="00771368">
              <w:rPr>
                <w:sz w:val="24"/>
                <w:szCs w:val="24"/>
              </w:rPr>
              <w:t>35%</w:t>
            </w:r>
          </w:p>
        </w:tc>
        <w:tc>
          <w:tcPr>
            <w:tcW w:w="0" w:type="dxa"/>
            <w:vAlign w:val="bottom"/>
          </w:tcPr>
          <w:p w:rsidR="00D24E61" w:rsidRPr="00771368" w:rsidRDefault="00D24E61">
            <w:pPr>
              <w:rPr>
                <w:sz w:val="1"/>
                <w:szCs w:val="1"/>
              </w:rPr>
            </w:pPr>
          </w:p>
        </w:tc>
      </w:tr>
      <w:tr w:rsidR="00D24E61" w:rsidRPr="00771368">
        <w:trPr>
          <w:trHeight w:val="144"/>
        </w:trPr>
        <w:tc>
          <w:tcPr>
            <w:tcW w:w="2460" w:type="dxa"/>
            <w:tcBorders>
              <w:left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70"/>
        </w:trPr>
        <w:tc>
          <w:tcPr>
            <w:tcW w:w="2460" w:type="dxa"/>
            <w:tcBorders>
              <w:left w:val="single" w:sz="8" w:space="0" w:color="auto"/>
              <w:right w:val="single" w:sz="8" w:space="0" w:color="auto"/>
            </w:tcBorders>
            <w:vAlign w:val="bottom"/>
          </w:tcPr>
          <w:p w:rsidR="00D24E61" w:rsidRPr="00771368" w:rsidRDefault="00D24E61">
            <w:pPr>
              <w:rPr>
                <w:sz w:val="23"/>
                <w:szCs w:val="23"/>
              </w:rPr>
            </w:pPr>
          </w:p>
        </w:tc>
        <w:tc>
          <w:tcPr>
            <w:tcW w:w="5760" w:type="dxa"/>
            <w:tcBorders>
              <w:right w:val="single" w:sz="8" w:space="0" w:color="auto"/>
            </w:tcBorders>
            <w:vAlign w:val="bottom"/>
          </w:tcPr>
          <w:p w:rsidR="00D24E61" w:rsidRPr="00771368" w:rsidRDefault="00D24E61">
            <w:pPr>
              <w:spacing w:line="269" w:lineRule="exact"/>
              <w:ind w:left="60"/>
              <w:rPr>
                <w:sz w:val="20"/>
                <w:szCs w:val="20"/>
              </w:rPr>
            </w:pPr>
            <w:r w:rsidRPr="00771368">
              <w:rPr>
                <w:sz w:val="24"/>
                <w:szCs w:val="24"/>
              </w:rPr>
              <w:t>Mais de R$ 3.000,01</w:t>
            </w:r>
          </w:p>
        </w:tc>
        <w:tc>
          <w:tcPr>
            <w:tcW w:w="1020" w:type="dxa"/>
            <w:tcBorders>
              <w:right w:val="single" w:sz="8" w:space="0" w:color="auto"/>
            </w:tcBorders>
            <w:vAlign w:val="bottom"/>
          </w:tcPr>
          <w:p w:rsidR="00D24E61" w:rsidRPr="00771368" w:rsidRDefault="00D24E61">
            <w:pPr>
              <w:spacing w:line="269" w:lineRule="exact"/>
              <w:ind w:left="60"/>
              <w:rPr>
                <w:sz w:val="20"/>
                <w:szCs w:val="20"/>
              </w:rPr>
            </w:pPr>
            <w:r w:rsidRPr="00771368">
              <w:rPr>
                <w:sz w:val="24"/>
                <w:szCs w:val="24"/>
              </w:rPr>
              <w:t>65%</w:t>
            </w:r>
          </w:p>
        </w:tc>
        <w:tc>
          <w:tcPr>
            <w:tcW w:w="0" w:type="dxa"/>
            <w:vAlign w:val="bottom"/>
          </w:tcPr>
          <w:p w:rsidR="00D24E61" w:rsidRPr="00771368" w:rsidRDefault="00D24E61">
            <w:pPr>
              <w:rPr>
                <w:sz w:val="1"/>
                <w:szCs w:val="1"/>
              </w:rPr>
            </w:pPr>
          </w:p>
        </w:tc>
      </w:tr>
      <w:tr w:rsidR="00D24E61" w:rsidRPr="00771368">
        <w:trPr>
          <w:trHeight w:val="147"/>
        </w:trPr>
        <w:tc>
          <w:tcPr>
            <w:tcW w:w="246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5760" w:type="dxa"/>
            <w:tcBorders>
              <w:bottom w:val="single" w:sz="8" w:space="0" w:color="auto"/>
              <w:right w:val="single" w:sz="8" w:space="0" w:color="auto"/>
            </w:tcBorders>
            <w:vAlign w:val="bottom"/>
          </w:tcPr>
          <w:p w:rsidR="00D24E61" w:rsidRPr="00771368" w:rsidRDefault="00D24E61">
            <w:pPr>
              <w:rPr>
                <w:sz w:val="12"/>
                <w:szCs w:val="12"/>
              </w:rPr>
            </w:pPr>
          </w:p>
        </w:tc>
        <w:tc>
          <w:tcPr>
            <w:tcW w:w="1020" w:type="dxa"/>
            <w:tcBorders>
              <w:bottom w:val="single" w:sz="8" w:space="0" w:color="auto"/>
              <w:right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bl>
    <w:p w:rsidR="00D24E61" w:rsidRPr="00771368" w:rsidRDefault="00D24E61">
      <w:pPr>
        <w:spacing w:line="231" w:lineRule="auto"/>
        <w:ind w:left="80"/>
        <w:rPr>
          <w:sz w:val="20"/>
          <w:szCs w:val="20"/>
        </w:rPr>
      </w:pPr>
      <w:r w:rsidRPr="00771368">
        <w:rPr>
          <w:sz w:val="20"/>
          <w:szCs w:val="20"/>
        </w:rPr>
        <w:t>Tabela 1: Perfil Socioeconômico dos entrevistados.</w:t>
      </w:r>
    </w:p>
    <w:p w:rsidR="00D24E61" w:rsidRPr="00771368" w:rsidRDefault="00D24E61">
      <w:pPr>
        <w:spacing w:line="238" w:lineRule="auto"/>
        <w:ind w:left="80"/>
        <w:rPr>
          <w:sz w:val="20"/>
          <w:szCs w:val="20"/>
        </w:rPr>
      </w:pPr>
      <w:r w:rsidRPr="00771368">
        <w:rPr>
          <w:sz w:val="20"/>
          <w:szCs w:val="20"/>
        </w:rPr>
        <w:t>Fonte: Elaborado pela autora.</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347" w:lineRule="auto"/>
        <w:ind w:left="80" w:right="80" w:firstLine="708"/>
        <w:jc w:val="both"/>
        <w:rPr>
          <w:sz w:val="20"/>
          <w:szCs w:val="20"/>
        </w:rPr>
      </w:pPr>
      <w:r w:rsidRPr="00771368">
        <w:rPr>
          <w:sz w:val="24"/>
          <w:szCs w:val="24"/>
        </w:rPr>
        <w:t>Na tabela acima, pode-se identificar uma grande participação de entrevistados do sexo masculino, representando 75% do público pesquisado. Com isso, pode-se afirmar que, existe uma maior participação de homens que normalmente tomam as decisões e buscam informações quanto ao planejamento, elaboração e construção das obras na área da construção civil.</w:t>
      </w:r>
    </w:p>
    <w:p w:rsidR="00D24E61" w:rsidRPr="00771368" w:rsidRDefault="00D24E61">
      <w:pPr>
        <w:spacing w:line="74" w:lineRule="exact"/>
        <w:rPr>
          <w:sz w:val="20"/>
          <w:szCs w:val="20"/>
        </w:rPr>
      </w:pPr>
    </w:p>
    <w:p w:rsidR="00D24E61" w:rsidRPr="00771368" w:rsidRDefault="00D24E61">
      <w:pPr>
        <w:spacing w:line="334" w:lineRule="auto"/>
        <w:ind w:left="80" w:right="80" w:firstLine="708"/>
        <w:jc w:val="both"/>
        <w:rPr>
          <w:sz w:val="20"/>
          <w:szCs w:val="20"/>
        </w:rPr>
      </w:pPr>
      <w:r w:rsidRPr="00771368">
        <w:rPr>
          <w:sz w:val="24"/>
          <w:szCs w:val="24"/>
        </w:rPr>
        <w:t>Quanto à idade dos entrevistados, observa-se que houve uma maior participação de clientes entrevistados na faixa etária de 41 a 50 anos, somando 35% dos pesquisados. Isso representa que são as pessoas mais maduras que buscam a construtora para a realização das</w:t>
      </w:r>
    </w:p>
    <w:p w:rsidR="00D24E61" w:rsidRPr="00771368" w:rsidRDefault="00D24E61">
      <w:pPr>
        <w:spacing w:line="347" w:lineRule="auto"/>
        <w:jc w:val="both"/>
        <w:rPr>
          <w:sz w:val="20"/>
          <w:szCs w:val="20"/>
        </w:rPr>
      </w:pPr>
      <w:r w:rsidRPr="00771368">
        <w:rPr>
          <w:sz w:val="24"/>
          <w:szCs w:val="24"/>
        </w:rPr>
        <w:t>suas obras e projetos, até pelo motivo de já estarem mais constituídos financeiramente. Ainda percebe-se uma participação de 25% de clientes com idade entre 31 a 40 anos e outros 25% com mais de 51 anos. Há ainda, 15% de clientes que estão no início de suas carreiras com 21 a 30 anos e por não estarem bem estabelecidos financeiramente não buscam, com tanta assiduidade os serviços prestados pela construtora.</w:t>
      </w:r>
    </w:p>
    <w:p w:rsidR="00D24E61" w:rsidRPr="00771368" w:rsidRDefault="00D24E61">
      <w:pPr>
        <w:spacing w:line="74" w:lineRule="exact"/>
        <w:rPr>
          <w:sz w:val="20"/>
          <w:szCs w:val="20"/>
        </w:rPr>
      </w:pPr>
    </w:p>
    <w:p w:rsidR="00D24E61" w:rsidRPr="00771368" w:rsidRDefault="00D24E61">
      <w:pPr>
        <w:spacing w:line="350" w:lineRule="auto"/>
        <w:ind w:firstLine="708"/>
        <w:jc w:val="both"/>
        <w:rPr>
          <w:sz w:val="20"/>
          <w:szCs w:val="20"/>
        </w:rPr>
      </w:pPr>
      <w:r w:rsidRPr="00771368">
        <w:rPr>
          <w:sz w:val="24"/>
          <w:szCs w:val="24"/>
        </w:rPr>
        <w:t>Referente à escolaridade dos clientes entrevistados, houve uma maior participação, somando 35% de clientes com ensino médio completo. Ainda, a soma de clientes com ensino superior incompleto e ensino superior completo somam juntos 50%. Com isso, os clientes que buscam a construtora para adquirir seus serviços são consumidores que possuem um índice considerado razoável quanto ao ensino. Por sua vez, os clientes que possuem ensino fundamental completo e ensino médio incompleto somam juntos 15%.</w:t>
      </w:r>
    </w:p>
    <w:p w:rsidR="00D24E61" w:rsidRPr="00771368" w:rsidRDefault="00D24E61">
      <w:pPr>
        <w:spacing w:line="70" w:lineRule="exact"/>
        <w:rPr>
          <w:sz w:val="20"/>
          <w:szCs w:val="20"/>
        </w:rPr>
      </w:pPr>
    </w:p>
    <w:p w:rsidR="00D24E61" w:rsidRPr="00771368" w:rsidRDefault="00D24E61">
      <w:pPr>
        <w:spacing w:line="343" w:lineRule="auto"/>
        <w:ind w:firstLine="708"/>
        <w:jc w:val="both"/>
        <w:rPr>
          <w:sz w:val="20"/>
          <w:szCs w:val="20"/>
        </w:rPr>
      </w:pPr>
      <w:r w:rsidRPr="00771368">
        <w:rPr>
          <w:sz w:val="24"/>
          <w:szCs w:val="24"/>
        </w:rPr>
        <w:t>Outro fator pesquisado foi referente a renda dos entrevistados. O resultado da pesquisa mostra que 65% do público pesquisado possui uma renda de mais de R$ 3.000,01. Outros 35% possuem renda de R$ 1.000,01 à R$ 3.000,00. Nenhum cliente afirmou possuir renda menor de R$ 1.000,00.</w:t>
      </w:r>
    </w:p>
    <w:p w:rsidR="00D24E61" w:rsidRPr="00771368" w:rsidRDefault="00D24E61">
      <w:pPr>
        <w:spacing w:line="78" w:lineRule="exact"/>
        <w:rPr>
          <w:sz w:val="20"/>
          <w:szCs w:val="20"/>
        </w:rPr>
      </w:pPr>
    </w:p>
    <w:p w:rsidR="00D24E61" w:rsidRPr="00771368" w:rsidRDefault="00D24E61">
      <w:pPr>
        <w:spacing w:line="349" w:lineRule="auto"/>
        <w:ind w:firstLine="708"/>
        <w:jc w:val="both"/>
        <w:rPr>
          <w:sz w:val="20"/>
          <w:szCs w:val="20"/>
        </w:rPr>
      </w:pPr>
      <w:r w:rsidRPr="00771368">
        <w:rPr>
          <w:sz w:val="24"/>
          <w:szCs w:val="24"/>
        </w:rPr>
        <w:t>Com o que foi exposto pode-se perceber, de forma geral, que o perfil dos clientes que buscam os serviços prestados pela construtora são, em maioria, clientes do sexo masculino, na faixa etária entre 41 a 50 anos, possuem em média ensino médio completo e renda em torno de mais de R$ 3.000,01. Com isso pode-se afirmar que são as pessoas com uma certa idade, e com certa estabilidade financeira que buscam, por fim, adquirir seus imóveis, alcançando seus objetivos pessoais.</w:t>
      </w:r>
    </w:p>
    <w:p w:rsidR="00D24E61" w:rsidRPr="00771368" w:rsidRDefault="00D24E61">
      <w:pPr>
        <w:spacing w:line="77"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Após ser identificado o perfil socioeconômico dos entrevistados, buscou-se conhecer se os entrevistados se consideram pessoas com algum tipo de preconceito. O gráfico a seguir apresenta os resultados.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87936" behindDoc="1" locked="0" layoutInCell="0" allowOverlap="1">
            <wp:simplePos x="0" y="0"/>
            <wp:positionH relativeFrom="column">
              <wp:posOffset>0</wp:posOffset>
            </wp:positionH>
            <wp:positionV relativeFrom="paragraph">
              <wp:posOffset>287020</wp:posOffset>
            </wp:positionV>
            <wp:extent cx="2834005" cy="1583690"/>
            <wp:effectExtent l="0" t="0" r="0" b="0"/>
            <wp:wrapNone/>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8" cstate="print">
                      <a:extLst/>
                    </a:blip>
                    <a:srcRect/>
                    <a:stretch>
                      <a:fillRect/>
                    </a:stretch>
                  </pic:blipFill>
                  <pic:spPr bwMode="auto">
                    <a:xfrm>
                      <a:off x="0" y="0"/>
                      <a:ext cx="2834005" cy="1583690"/>
                    </a:xfrm>
                    <a:prstGeom prst="rect">
                      <a:avLst/>
                    </a:prstGeom>
                    <a:noFill/>
                  </pic:spPr>
                </pic:pic>
              </a:graphicData>
            </a:graphic>
          </wp:anchor>
        </w:drawing>
      </w:r>
    </w:p>
    <w:p w:rsidR="00D24E61" w:rsidRPr="00771368" w:rsidRDefault="00D24E61">
      <w:pPr>
        <w:spacing w:line="336" w:lineRule="exact"/>
        <w:rPr>
          <w:sz w:val="20"/>
          <w:szCs w:val="20"/>
        </w:rPr>
      </w:pPr>
    </w:p>
    <w:p w:rsidR="00D24E61" w:rsidRPr="00771368" w:rsidRDefault="00D24E61">
      <w:pPr>
        <w:spacing w:line="239" w:lineRule="auto"/>
        <w:ind w:left="1720"/>
        <w:rPr>
          <w:sz w:val="20"/>
          <w:szCs w:val="20"/>
        </w:rPr>
      </w:pPr>
      <w:r w:rsidRPr="00771368">
        <w:rPr>
          <w:rFonts w:eastAsia="Calibri"/>
          <w:sz w:val="20"/>
          <w:szCs w:val="20"/>
        </w:rPr>
        <w:t>0%</w:t>
      </w:r>
    </w:p>
    <w:p w:rsidR="00D24E61" w:rsidRPr="00771368" w:rsidRDefault="00D24E61">
      <w:pPr>
        <w:spacing w:line="200" w:lineRule="exact"/>
        <w:rPr>
          <w:sz w:val="20"/>
          <w:szCs w:val="20"/>
        </w:rPr>
      </w:pPr>
    </w:p>
    <w:p w:rsidR="00D24E61" w:rsidRPr="00771368" w:rsidRDefault="00D24E61">
      <w:pPr>
        <w:spacing w:line="399" w:lineRule="exact"/>
        <w:rPr>
          <w:sz w:val="20"/>
          <w:szCs w:val="20"/>
        </w:rPr>
      </w:pPr>
    </w:p>
    <w:p w:rsidR="00D24E61" w:rsidRPr="00771368" w:rsidRDefault="00D24E61">
      <w:pPr>
        <w:spacing w:line="239" w:lineRule="auto"/>
        <w:ind w:left="3760"/>
        <w:rPr>
          <w:sz w:val="20"/>
          <w:szCs w:val="20"/>
        </w:rPr>
      </w:pPr>
      <w:r w:rsidRPr="00771368">
        <w:rPr>
          <w:noProof/>
          <w:sz w:val="20"/>
          <w:szCs w:val="20"/>
        </w:rPr>
        <w:drawing>
          <wp:inline distT="0" distB="0" distL="0" distR="0">
            <wp:extent cx="69850" cy="69850"/>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9" cstate="print">
                      <a:extLst/>
                    </a:blip>
                    <a:srcRect/>
                    <a:stretch>
                      <a:fillRect/>
                    </a:stretch>
                  </pic:blipFill>
                  <pic:spPr bwMode="auto">
                    <a:xfrm>
                      <a:off x="0" y="0"/>
                      <a:ext cx="69850" cy="69850"/>
                    </a:xfrm>
                    <a:prstGeom prst="rect">
                      <a:avLst/>
                    </a:prstGeom>
                    <a:noFill/>
                    <a:ln>
                      <a:noFill/>
                    </a:ln>
                  </pic:spPr>
                </pic:pic>
              </a:graphicData>
            </a:graphic>
          </wp:inline>
        </w:drawing>
      </w:r>
      <w:r w:rsidRPr="00771368">
        <w:rPr>
          <w:rFonts w:eastAsia="Calibri"/>
          <w:sz w:val="20"/>
          <w:szCs w:val="20"/>
        </w:rPr>
        <w:t xml:space="preserve"> Sim</w:t>
      </w:r>
    </w:p>
    <w:p w:rsidR="00D24E61" w:rsidRPr="00771368" w:rsidRDefault="00D24E61">
      <w:pPr>
        <w:spacing w:line="119" w:lineRule="exact"/>
        <w:rPr>
          <w:sz w:val="20"/>
          <w:szCs w:val="20"/>
        </w:rPr>
      </w:pPr>
    </w:p>
    <w:p w:rsidR="00D24E61" w:rsidRPr="00771368" w:rsidRDefault="00D24E61">
      <w:pPr>
        <w:spacing w:line="239" w:lineRule="auto"/>
        <w:ind w:left="3760"/>
        <w:rPr>
          <w:sz w:val="20"/>
          <w:szCs w:val="20"/>
        </w:rPr>
      </w:pPr>
      <w:r w:rsidRPr="00771368">
        <w:rPr>
          <w:noProof/>
          <w:sz w:val="20"/>
          <w:szCs w:val="20"/>
        </w:rPr>
        <w:drawing>
          <wp:inline distT="0" distB="0" distL="0" distR="0">
            <wp:extent cx="69850" cy="68580"/>
            <wp:effectExtent l="0" t="0" r="0"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0" cstate="print">
                      <a:extLst/>
                    </a:blip>
                    <a:srcRect/>
                    <a:stretch>
                      <a:fillRect/>
                    </a:stretch>
                  </pic:blipFill>
                  <pic:spPr bwMode="auto">
                    <a:xfrm>
                      <a:off x="0" y="0"/>
                      <a:ext cx="69850" cy="68580"/>
                    </a:xfrm>
                    <a:prstGeom prst="rect">
                      <a:avLst/>
                    </a:prstGeom>
                    <a:noFill/>
                    <a:ln>
                      <a:noFill/>
                    </a:ln>
                  </pic:spPr>
                </pic:pic>
              </a:graphicData>
            </a:graphic>
          </wp:inline>
        </w:drawing>
      </w:r>
      <w:r w:rsidRPr="00771368">
        <w:rPr>
          <w:rFonts w:eastAsia="Calibri"/>
          <w:sz w:val="20"/>
          <w:szCs w:val="20"/>
        </w:rPr>
        <w:t xml:space="preserve"> Não</w:t>
      </w:r>
    </w:p>
    <w:p w:rsidR="00D24E61" w:rsidRPr="00771368" w:rsidRDefault="00D24E61">
      <w:pPr>
        <w:spacing w:line="173" w:lineRule="exact"/>
        <w:rPr>
          <w:sz w:val="20"/>
          <w:szCs w:val="20"/>
        </w:rPr>
      </w:pPr>
    </w:p>
    <w:p w:rsidR="00D24E61" w:rsidRPr="00771368" w:rsidRDefault="00D24E61">
      <w:pPr>
        <w:ind w:left="1600"/>
        <w:rPr>
          <w:sz w:val="20"/>
          <w:szCs w:val="20"/>
        </w:rPr>
      </w:pPr>
      <w:r w:rsidRPr="00771368">
        <w:rPr>
          <w:rFonts w:eastAsia="Calibri"/>
          <w:sz w:val="20"/>
          <w:szCs w:val="20"/>
        </w:rPr>
        <w:t>100%</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2" w:lineRule="exact"/>
        <w:rPr>
          <w:sz w:val="20"/>
          <w:szCs w:val="20"/>
        </w:rPr>
      </w:pPr>
    </w:p>
    <w:p w:rsidR="00D24E61" w:rsidRPr="00771368" w:rsidRDefault="00D24E61">
      <w:pPr>
        <w:spacing w:line="239" w:lineRule="auto"/>
        <w:rPr>
          <w:sz w:val="20"/>
          <w:szCs w:val="20"/>
        </w:rPr>
      </w:pPr>
      <w:r w:rsidRPr="00771368">
        <w:rPr>
          <w:sz w:val="20"/>
          <w:szCs w:val="20"/>
        </w:rPr>
        <w:t>Gráfico 1: Preconceitos ou atitudes preconceituosas.</w:t>
      </w:r>
    </w:p>
    <w:p w:rsidR="00D24E61" w:rsidRPr="00771368" w:rsidRDefault="00D24E61">
      <w:pPr>
        <w:spacing w:line="1" w:lineRule="exact"/>
        <w:rPr>
          <w:sz w:val="20"/>
          <w:szCs w:val="20"/>
        </w:rPr>
      </w:pPr>
    </w:p>
    <w:p w:rsidR="00D24E61" w:rsidRPr="00771368" w:rsidRDefault="00D24E61">
      <w:pPr>
        <w:spacing w:line="239" w:lineRule="auto"/>
        <w:rPr>
          <w:sz w:val="20"/>
          <w:szCs w:val="20"/>
        </w:rPr>
      </w:pPr>
      <w:r w:rsidRPr="00771368">
        <w:rPr>
          <w:sz w:val="20"/>
          <w:szCs w:val="20"/>
        </w:rPr>
        <w:t>Fonte: Elaborado pela autora.</w:t>
      </w:r>
    </w:p>
    <w:p w:rsidR="00D24E61" w:rsidRPr="00771368" w:rsidRDefault="00D24E61">
      <w:pPr>
        <w:sectPr w:rsidR="00D24E61" w:rsidRPr="00771368">
          <w:pgSz w:w="11900" w:h="16838"/>
          <w:pgMar w:top="1440" w:right="1120" w:bottom="1440" w:left="1700" w:header="0" w:footer="0" w:gutter="0"/>
          <w:cols w:space="720" w:equalWidth="0">
            <w:col w:w="9080"/>
          </w:cols>
        </w:sectPr>
      </w:pPr>
    </w:p>
    <w:p w:rsidR="00D24E61" w:rsidRPr="00771368" w:rsidRDefault="00D24E61">
      <w:pPr>
        <w:spacing w:line="313" w:lineRule="exact"/>
        <w:rPr>
          <w:sz w:val="20"/>
          <w:szCs w:val="20"/>
        </w:rPr>
      </w:pPr>
    </w:p>
    <w:p w:rsidR="00D24E61" w:rsidRPr="00771368" w:rsidRDefault="00D24E61">
      <w:pPr>
        <w:spacing w:line="334" w:lineRule="auto"/>
        <w:ind w:firstLine="708"/>
        <w:jc w:val="both"/>
        <w:rPr>
          <w:sz w:val="20"/>
          <w:szCs w:val="20"/>
        </w:rPr>
      </w:pPr>
      <w:r w:rsidRPr="00771368">
        <w:rPr>
          <w:sz w:val="24"/>
          <w:szCs w:val="24"/>
        </w:rPr>
        <w:t>No gráfico 1 pode-se perceber que 100% do público pesquisado afirmou que não possui qualquer tipo de preconceito ou qualquer tipo de atitude que seja preconceituosa, seja em relação a crença, religião, ou qualquer outro tipo de preconceito que possa existir.</w:t>
      </w:r>
    </w:p>
    <w:p w:rsidR="00D24E61" w:rsidRPr="00771368" w:rsidRDefault="00D24E61">
      <w:pPr>
        <w:spacing w:line="89"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Após saber que nenhum cliente pesquisado informou possuir qualquer tipo de preconceito, buscou-se saber se os clientes fazem algum tipo de diferença entre as pessoas. A seguir, o gráfico com os resultados.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89984" behindDoc="1" locked="0" layoutInCell="0" allowOverlap="1">
            <wp:simplePos x="0" y="0"/>
            <wp:positionH relativeFrom="column">
              <wp:posOffset>0</wp:posOffset>
            </wp:positionH>
            <wp:positionV relativeFrom="paragraph">
              <wp:posOffset>287655</wp:posOffset>
            </wp:positionV>
            <wp:extent cx="2834005" cy="1584325"/>
            <wp:effectExtent l="0" t="0" r="0" b="0"/>
            <wp:wrapNone/>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1" cstate="print">
                      <a:extLst/>
                    </a:blip>
                    <a:srcRect/>
                    <a:stretch>
                      <a:fillRect/>
                    </a:stretch>
                  </pic:blipFill>
                  <pic:spPr bwMode="auto">
                    <a:xfrm>
                      <a:off x="0" y="0"/>
                      <a:ext cx="2834005" cy="1584325"/>
                    </a:xfrm>
                    <a:prstGeom prst="rect">
                      <a:avLst/>
                    </a:prstGeom>
                    <a:noFill/>
                  </pic:spPr>
                </pic:pic>
              </a:graphicData>
            </a:graphic>
          </wp:anchor>
        </w:drawing>
      </w:r>
    </w:p>
    <w:p w:rsidR="00D24E61" w:rsidRPr="00771368" w:rsidRDefault="00D24E61">
      <w:pPr>
        <w:spacing w:line="337" w:lineRule="exact"/>
        <w:rPr>
          <w:sz w:val="20"/>
          <w:szCs w:val="20"/>
        </w:rPr>
      </w:pPr>
    </w:p>
    <w:p w:rsidR="00D24E61" w:rsidRPr="00771368" w:rsidRDefault="00D24E61">
      <w:pPr>
        <w:spacing w:line="239" w:lineRule="auto"/>
        <w:ind w:left="1720"/>
        <w:rPr>
          <w:sz w:val="20"/>
          <w:szCs w:val="20"/>
        </w:rPr>
      </w:pPr>
      <w:r w:rsidRPr="00771368">
        <w:rPr>
          <w:rFonts w:eastAsia="Calibri"/>
          <w:sz w:val="20"/>
          <w:szCs w:val="20"/>
        </w:rPr>
        <w:t>0%</w:t>
      </w:r>
    </w:p>
    <w:p w:rsidR="00D24E61" w:rsidRPr="00771368" w:rsidRDefault="00D24E61">
      <w:pPr>
        <w:spacing w:line="200" w:lineRule="exact"/>
        <w:rPr>
          <w:sz w:val="20"/>
          <w:szCs w:val="20"/>
        </w:rPr>
      </w:pPr>
    </w:p>
    <w:p w:rsidR="00D24E61" w:rsidRPr="00771368" w:rsidRDefault="00D24E61">
      <w:pPr>
        <w:spacing w:line="399" w:lineRule="exact"/>
        <w:rPr>
          <w:sz w:val="20"/>
          <w:szCs w:val="20"/>
        </w:rPr>
      </w:pPr>
    </w:p>
    <w:p w:rsidR="00D24E61" w:rsidRPr="00771368" w:rsidRDefault="00D24E61">
      <w:pPr>
        <w:spacing w:line="239" w:lineRule="auto"/>
        <w:ind w:left="3760"/>
        <w:rPr>
          <w:sz w:val="20"/>
          <w:szCs w:val="20"/>
        </w:rPr>
      </w:pPr>
      <w:r w:rsidRPr="00771368">
        <w:rPr>
          <w:noProof/>
          <w:sz w:val="20"/>
          <w:szCs w:val="20"/>
        </w:rPr>
        <w:drawing>
          <wp:inline distT="0" distB="0" distL="0" distR="0">
            <wp:extent cx="69850" cy="69850"/>
            <wp:effectExtent l="0" t="0" r="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9" cstate="print">
                      <a:extLst/>
                    </a:blip>
                    <a:srcRect/>
                    <a:stretch>
                      <a:fillRect/>
                    </a:stretch>
                  </pic:blipFill>
                  <pic:spPr bwMode="auto">
                    <a:xfrm>
                      <a:off x="0" y="0"/>
                      <a:ext cx="69850" cy="69850"/>
                    </a:xfrm>
                    <a:prstGeom prst="rect">
                      <a:avLst/>
                    </a:prstGeom>
                    <a:noFill/>
                    <a:ln>
                      <a:noFill/>
                    </a:ln>
                  </pic:spPr>
                </pic:pic>
              </a:graphicData>
            </a:graphic>
          </wp:inline>
        </w:drawing>
      </w:r>
      <w:r w:rsidRPr="00771368">
        <w:rPr>
          <w:rFonts w:eastAsia="Calibri"/>
          <w:sz w:val="20"/>
          <w:szCs w:val="20"/>
        </w:rPr>
        <w:t xml:space="preserve"> Sim</w:t>
      </w:r>
    </w:p>
    <w:p w:rsidR="00D24E61" w:rsidRPr="00771368" w:rsidRDefault="00D24E61">
      <w:pPr>
        <w:spacing w:line="119" w:lineRule="exact"/>
        <w:rPr>
          <w:sz w:val="20"/>
          <w:szCs w:val="20"/>
        </w:rPr>
      </w:pPr>
    </w:p>
    <w:p w:rsidR="00D24E61" w:rsidRPr="00771368" w:rsidRDefault="00D24E61">
      <w:pPr>
        <w:spacing w:line="239" w:lineRule="auto"/>
        <w:ind w:left="3760"/>
        <w:rPr>
          <w:sz w:val="20"/>
          <w:szCs w:val="20"/>
        </w:rPr>
      </w:pPr>
      <w:r w:rsidRPr="00771368">
        <w:rPr>
          <w:noProof/>
          <w:sz w:val="20"/>
          <w:szCs w:val="20"/>
        </w:rPr>
        <w:drawing>
          <wp:inline distT="0" distB="0" distL="0" distR="0">
            <wp:extent cx="69850" cy="68580"/>
            <wp:effectExtent l="0" t="0" r="0"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0" cstate="print">
                      <a:extLst/>
                    </a:blip>
                    <a:srcRect/>
                    <a:stretch>
                      <a:fillRect/>
                    </a:stretch>
                  </pic:blipFill>
                  <pic:spPr bwMode="auto">
                    <a:xfrm>
                      <a:off x="0" y="0"/>
                      <a:ext cx="69850" cy="68580"/>
                    </a:xfrm>
                    <a:prstGeom prst="rect">
                      <a:avLst/>
                    </a:prstGeom>
                    <a:noFill/>
                    <a:ln>
                      <a:noFill/>
                    </a:ln>
                  </pic:spPr>
                </pic:pic>
              </a:graphicData>
            </a:graphic>
          </wp:inline>
        </w:drawing>
      </w:r>
      <w:r w:rsidRPr="00771368">
        <w:rPr>
          <w:rFonts w:eastAsia="Calibri"/>
          <w:sz w:val="20"/>
          <w:szCs w:val="20"/>
        </w:rPr>
        <w:t xml:space="preserve"> Não</w:t>
      </w:r>
    </w:p>
    <w:p w:rsidR="00D24E61" w:rsidRPr="00771368" w:rsidRDefault="00D24E61">
      <w:pPr>
        <w:spacing w:line="173" w:lineRule="exact"/>
        <w:rPr>
          <w:sz w:val="20"/>
          <w:szCs w:val="20"/>
        </w:rPr>
      </w:pPr>
    </w:p>
    <w:p w:rsidR="00D24E61" w:rsidRPr="00771368" w:rsidRDefault="00D24E61">
      <w:pPr>
        <w:spacing w:line="239" w:lineRule="auto"/>
        <w:ind w:left="1600"/>
        <w:rPr>
          <w:sz w:val="20"/>
          <w:szCs w:val="20"/>
        </w:rPr>
      </w:pPr>
      <w:r w:rsidRPr="00771368">
        <w:rPr>
          <w:rFonts w:eastAsia="Calibri"/>
          <w:sz w:val="20"/>
          <w:szCs w:val="20"/>
        </w:rPr>
        <w:t>100%</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4" w:lineRule="exact"/>
        <w:rPr>
          <w:sz w:val="20"/>
          <w:szCs w:val="20"/>
        </w:rPr>
      </w:pPr>
    </w:p>
    <w:p w:rsidR="00D24E61" w:rsidRPr="00771368" w:rsidRDefault="00D24E61">
      <w:pPr>
        <w:spacing w:line="239" w:lineRule="auto"/>
        <w:rPr>
          <w:sz w:val="20"/>
          <w:szCs w:val="20"/>
        </w:rPr>
      </w:pPr>
      <w:r w:rsidRPr="00771368">
        <w:rPr>
          <w:sz w:val="20"/>
          <w:szCs w:val="20"/>
        </w:rPr>
        <w:t>Gráfico 2: Diferenças entre as pessoas.</w:t>
      </w:r>
    </w:p>
    <w:p w:rsidR="00D24E61" w:rsidRPr="00771368" w:rsidRDefault="00D24E61">
      <w:pPr>
        <w:spacing w:line="238" w:lineRule="auto"/>
        <w:rPr>
          <w:sz w:val="20"/>
          <w:szCs w:val="20"/>
        </w:rPr>
      </w:pPr>
      <w:r w:rsidRPr="00771368">
        <w:rPr>
          <w:sz w:val="20"/>
          <w:szCs w:val="20"/>
        </w:rPr>
        <w:t>Fonte: Elaborado pela autora.</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342" w:lineRule="auto"/>
        <w:ind w:firstLine="708"/>
        <w:jc w:val="both"/>
        <w:rPr>
          <w:sz w:val="20"/>
          <w:szCs w:val="20"/>
        </w:rPr>
      </w:pPr>
      <w:r w:rsidRPr="00771368">
        <w:rPr>
          <w:sz w:val="24"/>
          <w:szCs w:val="24"/>
        </w:rPr>
        <w:t>No gráfico 2 observa-se que nenhum cliente entrevistado afirmou realizar qualquer tipo de diferença entre as pessoas, eles afirmam que é indiferente se as pessoas possuem alguma diferença física, mental, ou mesmo algum estilo de vida diferente do seu, os clientes afirmaram que tratam as pessoas sem nenhuma indiferença.</w:t>
      </w:r>
    </w:p>
    <w:p w:rsidR="00D24E61" w:rsidRPr="00771368" w:rsidRDefault="00D24E61">
      <w:pPr>
        <w:spacing w:line="83" w:lineRule="exact"/>
        <w:rPr>
          <w:sz w:val="20"/>
          <w:szCs w:val="20"/>
        </w:rPr>
      </w:pPr>
    </w:p>
    <w:p w:rsidR="00D24E61" w:rsidRPr="00771368" w:rsidRDefault="00D24E61">
      <w:pPr>
        <w:spacing w:line="308" w:lineRule="auto"/>
        <w:ind w:right="20" w:firstLine="708"/>
        <w:jc w:val="both"/>
        <w:rPr>
          <w:sz w:val="20"/>
          <w:szCs w:val="20"/>
        </w:rPr>
      </w:pPr>
      <w:r w:rsidRPr="00771368">
        <w:rPr>
          <w:sz w:val="24"/>
          <w:szCs w:val="24"/>
        </w:rPr>
        <w:t>A seguir, buscou-se saber se os entrevistados pensam que as pessoas são diferentes umas das outras, o gráfico a seguir mostra os resultados.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92032" behindDoc="1" locked="0" layoutInCell="0" allowOverlap="1">
            <wp:simplePos x="0" y="0"/>
            <wp:positionH relativeFrom="column">
              <wp:posOffset>0</wp:posOffset>
            </wp:positionH>
            <wp:positionV relativeFrom="paragraph">
              <wp:posOffset>304800</wp:posOffset>
            </wp:positionV>
            <wp:extent cx="2945130" cy="1615440"/>
            <wp:effectExtent l="0" t="0" r="0" b="0"/>
            <wp:wrapNone/>
            <wp:docPr id="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2" cstate="print">
                      <a:extLst/>
                    </a:blip>
                    <a:srcRect/>
                    <a:stretch>
                      <a:fillRect/>
                    </a:stretch>
                  </pic:blipFill>
                  <pic:spPr bwMode="auto">
                    <a:xfrm>
                      <a:off x="0" y="0"/>
                      <a:ext cx="2945130" cy="1615440"/>
                    </a:xfrm>
                    <a:prstGeom prst="rect">
                      <a:avLst/>
                    </a:prstGeom>
                    <a:noFill/>
                  </pic:spPr>
                </pic:pic>
              </a:graphicData>
            </a:graphic>
          </wp:anchor>
        </w:drawing>
      </w:r>
    </w:p>
    <w:p w:rsidR="00D24E61" w:rsidRPr="00771368" w:rsidRDefault="00D24E61">
      <w:pPr>
        <w:spacing w:line="381" w:lineRule="exact"/>
        <w:rPr>
          <w:sz w:val="20"/>
          <w:szCs w:val="20"/>
        </w:rPr>
      </w:pPr>
    </w:p>
    <w:p w:rsidR="00D24E61" w:rsidRPr="00771368" w:rsidRDefault="00D24E61">
      <w:pPr>
        <w:ind w:left="1940"/>
        <w:rPr>
          <w:sz w:val="20"/>
          <w:szCs w:val="20"/>
        </w:rPr>
      </w:pPr>
      <w:r w:rsidRPr="00771368">
        <w:rPr>
          <w:rFonts w:eastAsia="Calibri"/>
          <w:sz w:val="20"/>
          <w:szCs w:val="20"/>
        </w:rPr>
        <w:t>5%</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7" w:lineRule="exact"/>
        <w:rPr>
          <w:sz w:val="20"/>
          <w:szCs w:val="20"/>
        </w:rPr>
      </w:pPr>
    </w:p>
    <w:p w:rsidR="00D24E61" w:rsidRPr="00771368" w:rsidRDefault="00D24E61">
      <w:pPr>
        <w:spacing w:line="239" w:lineRule="auto"/>
        <w:ind w:left="3940"/>
        <w:rPr>
          <w:sz w:val="20"/>
          <w:szCs w:val="20"/>
        </w:rPr>
      </w:pPr>
      <w:r w:rsidRPr="00771368">
        <w:rPr>
          <w:noProof/>
          <w:sz w:val="20"/>
          <w:szCs w:val="20"/>
        </w:rPr>
        <w:drawing>
          <wp:inline distT="0" distB="0" distL="0" distR="0">
            <wp:extent cx="69850" cy="69850"/>
            <wp:effectExtent l="0" t="0" r="0" b="0"/>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9" cstate="print">
                      <a:extLst/>
                    </a:blip>
                    <a:srcRect/>
                    <a:stretch>
                      <a:fillRect/>
                    </a:stretch>
                  </pic:blipFill>
                  <pic:spPr bwMode="auto">
                    <a:xfrm>
                      <a:off x="0" y="0"/>
                      <a:ext cx="69850" cy="69850"/>
                    </a:xfrm>
                    <a:prstGeom prst="rect">
                      <a:avLst/>
                    </a:prstGeom>
                    <a:noFill/>
                    <a:ln>
                      <a:noFill/>
                    </a:ln>
                  </pic:spPr>
                </pic:pic>
              </a:graphicData>
            </a:graphic>
          </wp:inline>
        </w:drawing>
      </w:r>
      <w:r w:rsidRPr="00771368">
        <w:rPr>
          <w:rFonts w:eastAsia="Calibri"/>
          <w:sz w:val="20"/>
          <w:szCs w:val="20"/>
        </w:rPr>
        <w:t xml:space="preserve"> Não</w:t>
      </w:r>
    </w:p>
    <w:p w:rsidR="00D24E61" w:rsidRPr="00771368" w:rsidRDefault="00D24E61">
      <w:pPr>
        <w:spacing w:line="119" w:lineRule="exact"/>
        <w:rPr>
          <w:sz w:val="20"/>
          <w:szCs w:val="20"/>
        </w:rPr>
      </w:pPr>
    </w:p>
    <w:p w:rsidR="00D24E61" w:rsidRPr="00771368" w:rsidRDefault="00D24E61">
      <w:pPr>
        <w:spacing w:line="239" w:lineRule="auto"/>
        <w:ind w:left="3940"/>
        <w:rPr>
          <w:sz w:val="20"/>
          <w:szCs w:val="20"/>
        </w:rPr>
      </w:pPr>
      <w:r w:rsidRPr="00771368">
        <w:rPr>
          <w:noProof/>
          <w:sz w:val="20"/>
          <w:szCs w:val="20"/>
        </w:rPr>
        <w:drawing>
          <wp:inline distT="0" distB="0" distL="0" distR="0">
            <wp:extent cx="69850" cy="69850"/>
            <wp:effectExtent l="0" t="0" r="0"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3" cstate="print">
                      <a:extLst/>
                    </a:blip>
                    <a:srcRect/>
                    <a:stretch>
                      <a:fillRect/>
                    </a:stretch>
                  </pic:blipFill>
                  <pic:spPr bwMode="auto">
                    <a:xfrm>
                      <a:off x="0" y="0"/>
                      <a:ext cx="69850" cy="69850"/>
                    </a:xfrm>
                    <a:prstGeom prst="rect">
                      <a:avLst/>
                    </a:prstGeom>
                    <a:noFill/>
                    <a:ln>
                      <a:noFill/>
                    </a:ln>
                  </pic:spPr>
                </pic:pic>
              </a:graphicData>
            </a:graphic>
          </wp:inline>
        </w:drawing>
      </w:r>
      <w:r w:rsidRPr="00771368">
        <w:rPr>
          <w:rFonts w:eastAsia="Calibri"/>
          <w:sz w:val="20"/>
          <w:szCs w:val="20"/>
        </w:rPr>
        <w:t xml:space="preserve"> Sim</w:t>
      </w:r>
    </w:p>
    <w:p w:rsidR="00D24E61" w:rsidRPr="00771368" w:rsidRDefault="00D24E61">
      <w:pPr>
        <w:spacing w:line="103" w:lineRule="exact"/>
        <w:rPr>
          <w:sz w:val="20"/>
          <w:szCs w:val="20"/>
        </w:rPr>
      </w:pPr>
    </w:p>
    <w:p w:rsidR="00D24E61" w:rsidRPr="00771368" w:rsidRDefault="00D24E61">
      <w:pPr>
        <w:ind w:left="1500"/>
        <w:rPr>
          <w:sz w:val="20"/>
          <w:szCs w:val="20"/>
        </w:rPr>
      </w:pPr>
      <w:r w:rsidRPr="00771368">
        <w:rPr>
          <w:rFonts w:eastAsia="Calibri"/>
          <w:sz w:val="20"/>
          <w:szCs w:val="20"/>
        </w:rPr>
        <w:t>95%</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9" w:lineRule="exact"/>
        <w:rPr>
          <w:sz w:val="20"/>
          <w:szCs w:val="20"/>
        </w:rPr>
      </w:pPr>
    </w:p>
    <w:p w:rsidR="00D24E61" w:rsidRPr="00771368" w:rsidRDefault="00D24E61">
      <w:pPr>
        <w:spacing w:line="239" w:lineRule="auto"/>
        <w:rPr>
          <w:sz w:val="20"/>
          <w:szCs w:val="20"/>
        </w:rPr>
      </w:pPr>
      <w:r w:rsidRPr="00771368">
        <w:rPr>
          <w:sz w:val="20"/>
          <w:szCs w:val="20"/>
        </w:rPr>
        <w:t>Gráfico 3: Diferenças entre as pessoas.</w:t>
      </w:r>
    </w:p>
    <w:p w:rsidR="00D24E61" w:rsidRPr="00771368" w:rsidRDefault="00D24E61">
      <w:pPr>
        <w:spacing w:line="238" w:lineRule="auto"/>
        <w:rPr>
          <w:sz w:val="20"/>
          <w:szCs w:val="20"/>
        </w:rPr>
      </w:pPr>
      <w:r w:rsidRPr="00771368">
        <w:rPr>
          <w:sz w:val="20"/>
          <w:szCs w:val="20"/>
        </w:rPr>
        <w:t>Fonte: Elaborado pela autora.</w:t>
      </w:r>
    </w:p>
    <w:p w:rsidR="00D24E61" w:rsidRPr="00771368" w:rsidRDefault="00D24E61">
      <w:pPr>
        <w:sectPr w:rsidR="00D24E61" w:rsidRPr="00771368">
          <w:pgSz w:w="11900" w:h="16838"/>
          <w:pgMar w:top="1440" w:right="1120" w:bottom="1440" w:left="170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308" w:lineRule="auto"/>
        <w:ind w:firstLine="708"/>
        <w:rPr>
          <w:sz w:val="20"/>
          <w:szCs w:val="20"/>
        </w:rPr>
      </w:pPr>
      <w:r w:rsidRPr="00771368">
        <w:rPr>
          <w:sz w:val="24"/>
          <w:szCs w:val="24"/>
        </w:rPr>
        <w:t>O gráfico 3 apresenta os resultados referentes a opinião dos clientes quando este foram questionados se existe diferença entre as pessoas, sendo que um grupo representativo de 95%</w:t>
      </w:r>
    </w:p>
    <w:p w:rsidR="00D24E61" w:rsidRPr="00771368" w:rsidRDefault="00D24E61">
      <w:pPr>
        <w:sectPr w:rsidR="00D24E61" w:rsidRPr="00771368">
          <w:type w:val="continuous"/>
          <w:pgSz w:w="11900" w:h="16838"/>
          <w:pgMar w:top="1440" w:right="1120" w:bottom="1440" w:left="1700" w:header="0" w:footer="0" w:gutter="0"/>
          <w:cols w:space="720" w:equalWidth="0">
            <w:col w:w="9080"/>
          </w:cols>
        </w:sectPr>
      </w:pPr>
    </w:p>
    <w:p w:rsidR="00D24E61" w:rsidRPr="00771368" w:rsidRDefault="00D24E61">
      <w:pPr>
        <w:spacing w:line="313" w:lineRule="exact"/>
        <w:rPr>
          <w:sz w:val="20"/>
          <w:szCs w:val="20"/>
        </w:rPr>
      </w:pPr>
    </w:p>
    <w:p w:rsidR="00D24E61" w:rsidRPr="00771368" w:rsidRDefault="00D24E61">
      <w:pPr>
        <w:spacing w:line="308" w:lineRule="auto"/>
        <w:jc w:val="both"/>
        <w:rPr>
          <w:sz w:val="20"/>
          <w:szCs w:val="20"/>
        </w:rPr>
      </w:pPr>
      <w:r w:rsidRPr="00771368">
        <w:rPr>
          <w:sz w:val="24"/>
          <w:szCs w:val="24"/>
        </w:rPr>
        <w:t>dos clientes afirmou que as pessoas são diferentes umas das outras, e apenas 5 % dos entrevistados afirmaram que as pessoas não são diferentes umas das outras.</w:t>
      </w:r>
    </w:p>
    <w:p w:rsidR="00D24E61" w:rsidRPr="00771368" w:rsidRDefault="00D24E61">
      <w:pPr>
        <w:spacing w:line="120" w:lineRule="exact"/>
        <w:rPr>
          <w:sz w:val="20"/>
          <w:szCs w:val="20"/>
        </w:rPr>
      </w:pPr>
    </w:p>
    <w:p w:rsidR="00D24E61" w:rsidRPr="00771368" w:rsidRDefault="00D24E61">
      <w:pPr>
        <w:spacing w:line="351" w:lineRule="auto"/>
        <w:ind w:firstLine="708"/>
        <w:jc w:val="both"/>
        <w:rPr>
          <w:sz w:val="20"/>
          <w:szCs w:val="20"/>
        </w:rPr>
      </w:pPr>
      <w:r w:rsidRPr="00771368">
        <w:rPr>
          <w:sz w:val="24"/>
          <w:szCs w:val="24"/>
        </w:rPr>
        <w:t>Então procurou-se saber os motivos que levam os clientes a pensar que as pessoas são diferentes umas das outras. Um cliente afirmou que “Cada pessoa tem seu jeito de ser, pois a criação que as pessoas recebem influencia muito nas suas atitudes”, paralelo a isso, outro cliente afirmou que “Cada indivíduo nasce com caráter e personalidade diferente uns dos outros”, outros ainda afirmaram que “Cada um tem uma maneira diferente de pensar ou agir, além de terem atitudes diferentes, gostos, escolhas e acima de tudo tem personalidades diferentes”.</w:t>
      </w:r>
    </w:p>
    <w:p w:rsidR="00D24E61" w:rsidRPr="00771368" w:rsidRDefault="00D24E61">
      <w:pPr>
        <w:spacing w:line="72" w:lineRule="exact"/>
        <w:rPr>
          <w:sz w:val="20"/>
          <w:szCs w:val="20"/>
        </w:rPr>
      </w:pPr>
    </w:p>
    <w:p w:rsidR="00D24E61" w:rsidRPr="00771368" w:rsidRDefault="00D24E61">
      <w:pPr>
        <w:spacing w:line="343" w:lineRule="auto"/>
        <w:ind w:firstLine="708"/>
        <w:jc w:val="both"/>
        <w:rPr>
          <w:sz w:val="20"/>
          <w:szCs w:val="20"/>
        </w:rPr>
      </w:pPr>
      <w:r w:rsidRPr="00771368">
        <w:rPr>
          <w:sz w:val="24"/>
          <w:szCs w:val="24"/>
        </w:rPr>
        <w:t>Com isso, nota-se que a maioria dos clientes da construtora pensam que as pessoas são diferentes umas das outras, devido as suas atitudes ou mesmo a sua personalidade, pois cada indivíduo tem suas ideias, tem pensamentos diferentes e agem também de maneira diferente uns dos outros quando estão frente a determinadas situações.</w:t>
      </w:r>
    </w:p>
    <w:p w:rsidR="00D24E61" w:rsidRPr="00771368" w:rsidRDefault="00D24E61">
      <w:pPr>
        <w:spacing w:line="78" w:lineRule="exact"/>
        <w:rPr>
          <w:sz w:val="20"/>
          <w:szCs w:val="20"/>
        </w:rPr>
      </w:pPr>
    </w:p>
    <w:p w:rsidR="00D24E61" w:rsidRPr="00771368" w:rsidRDefault="00D24E61">
      <w:pPr>
        <w:spacing w:line="347" w:lineRule="auto"/>
        <w:ind w:firstLine="708"/>
        <w:jc w:val="both"/>
        <w:rPr>
          <w:sz w:val="20"/>
          <w:szCs w:val="20"/>
        </w:rPr>
      </w:pPr>
      <w:r w:rsidRPr="00771368">
        <w:rPr>
          <w:sz w:val="24"/>
          <w:szCs w:val="24"/>
        </w:rPr>
        <w:t>Por outro lado, os clientes que afirmaram que as pessoas são iguais justificaram-se dizendo que “Não vejo diferença entre as pessoas, se uma pode, a outra também pode, por que os direitos são iguais pra todos”. Outro cliente afirmou ainda que “As pessoas não são diferentes, todas são iguais, independente de raça ou estilo de vida”. Com isso, percebe-se que cada indivíduo tem seus direitos e deveres a cumprir, independente do estilo de vida que leva.</w:t>
      </w:r>
    </w:p>
    <w:p w:rsidR="00D24E61" w:rsidRPr="00771368" w:rsidRDefault="00D24E61">
      <w:pPr>
        <w:spacing w:line="74" w:lineRule="exact"/>
        <w:rPr>
          <w:sz w:val="20"/>
          <w:szCs w:val="20"/>
        </w:rPr>
      </w:pPr>
    </w:p>
    <w:p w:rsidR="00D24E61" w:rsidRPr="00771368" w:rsidRDefault="00D24E61">
      <w:pPr>
        <w:spacing w:line="310" w:lineRule="auto"/>
        <w:ind w:firstLine="708"/>
        <w:jc w:val="both"/>
        <w:rPr>
          <w:sz w:val="20"/>
          <w:szCs w:val="20"/>
        </w:rPr>
      </w:pPr>
      <w:r w:rsidRPr="00771368">
        <w:rPr>
          <w:sz w:val="24"/>
          <w:szCs w:val="24"/>
        </w:rPr>
        <w:t>Então, buscou-se saber se os clientes da construtora buscavam conhecer quem eram as pessoas que construíam as suas casas. A seguir, o gráfico com os resultados.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94080" behindDoc="1" locked="0" layoutInCell="0" allowOverlap="1">
            <wp:simplePos x="0" y="0"/>
            <wp:positionH relativeFrom="column">
              <wp:posOffset>0</wp:posOffset>
            </wp:positionH>
            <wp:positionV relativeFrom="paragraph">
              <wp:posOffset>303530</wp:posOffset>
            </wp:positionV>
            <wp:extent cx="2834005" cy="1583690"/>
            <wp:effectExtent l="0" t="0" r="0" b="0"/>
            <wp:wrapNone/>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8" cstate="print">
                      <a:extLst/>
                    </a:blip>
                    <a:srcRect/>
                    <a:stretch>
                      <a:fillRect/>
                    </a:stretch>
                  </pic:blipFill>
                  <pic:spPr bwMode="auto">
                    <a:xfrm>
                      <a:off x="0" y="0"/>
                      <a:ext cx="2834005" cy="1583690"/>
                    </a:xfrm>
                    <a:prstGeom prst="rect">
                      <a:avLst/>
                    </a:prstGeom>
                    <a:noFill/>
                  </pic:spPr>
                </pic:pic>
              </a:graphicData>
            </a:graphic>
          </wp:anchor>
        </w:drawing>
      </w:r>
    </w:p>
    <w:p w:rsidR="00D24E61" w:rsidRPr="00771368" w:rsidRDefault="00D24E61">
      <w:pPr>
        <w:spacing w:line="363" w:lineRule="exact"/>
        <w:rPr>
          <w:sz w:val="20"/>
          <w:szCs w:val="20"/>
        </w:rPr>
      </w:pPr>
    </w:p>
    <w:p w:rsidR="00D24E61" w:rsidRPr="00771368" w:rsidRDefault="00D24E61">
      <w:pPr>
        <w:ind w:left="1720"/>
        <w:rPr>
          <w:sz w:val="20"/>
          <w:szCs w:val="20"/>
        </w:rPr>
      </w:pPr>
      <w:r w:rsidRPr="00771368">
        <w:rPr>
          <w:rFonts w:eastAsia="Calibri"/>
          <w:sz w:val="20"/>
          <w:szCs w:val="20"/>
        </w:rPr>
        <w:t>0%</w:t>
      </w:r>
    </w:p>
    <w:p w:rsidR="00D24E61" w:rsidRPr="00771368" w:rsidRDefault="00D24E61">
      <w:pPr>
        <w:spacing w:line="200" w:lineRule="exact"/>
        <w:rPr>
          <w:sz w:val="20"/>
          <w:szCs w:val="20"/>
        </w:rPr>
      </w:pPr>
    </w:p>
    <w:p w:rsidR="00D24E61" w:rsidRPr="00771368" w:rsidRDefault="00D24E61">
      <w:pPr>
        <w:spacing w:line="398" w:lineRule="exact"/>
        <w:rPr>
          <w:sz w:val="20"/>
          <w:szCs w:val="20"/>
        </w:rPr>
      </w:pPr>
    </w:p>
    <w:p w:rsidR="00D24E61" w:rsidRPr="00771368" w:rsidRDefault="00D24E61">
      <w:pPr>
        <w:ind w:left="3760"/>
        <w:rPr>
          <w:sz w:val="20"/>
          <w:szCs w:val="20"/>
        </w:rPr>
      </w:pPr>
      <w:r w:rsidRPr="00771368">
        <w:rPr>
          <w:noProof/>
          <w:sz w:val="20"/>
          <w:szCs w:val="20"/>
        </w:rPr>
        <w:drawing>
          <wp:inline distT="0" distB="0" distL="0" distR="0">
            <wp:extent cx="69850" cy="69850"/>
            <wp:effectExtent l="0" t="0" r="0" b="0"/>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9" cstate="print">
                      <a:extLst/>
                    </a:blip>
                    <a:srcRect/>
                    <a:stretch>
                      <a:fillRect/>
                    </a:stretch>
                  </pic:blipFill>
                  <pic:spPr bwMode="auto">
                    <a:xfrm>
                      <a:off x="0" y="0"/>
                      <a:ext cx="69850" cy="69850"/>
                    </a:xfrm>
                    <a:prstGeom prst="rect">
                      <a:avLst/>
                    </a:prstGeom>
                    <a:noFill/>
                    <a:ln>
                      <a:noFill/>
                    </a:ln>
                  </pic:spPr>
                </pic:pic>
              </a:graphicData>
            </a:graphic>
          </wp:inline>
        </w:drawing>
      </w:r>
      <w:r w:rsidRPr="00771368">
        <w:rPr>
          <w:rFonts w:eastAsia="Calibri"/>
          <w:sz w:val="20"/>
          <w:szCs w:val="20"/>
        </w:rPr>
        <w:t xml:space="preserve"> Sim</w:t>
      </w:r>
    </w:p>
    <w:p w:rsidR="00D24E61" w:rsidRPr="00771368" w:rsidRDefault="00D24E61">
      <w:pPr>
        <w:spacing w:line="117" w:lineRule="exact"/>
        <w:rPr>
          <w:sz w:val="20"/>
          <w:szCs w:val="20"/>
        </w:rPr>
      </w:pPr>
    </w:p>
    <w:p w:rsidR="00D24E61" w:rsidRPr="00771368" w:rsidRDefault="00D24E61">
      <w:pPr>
        <w:ind w:left="3760"/>
        <w:rPr>
          <w:sz w:val="20"/>
          <w:szCs w:val="20"/>
        </w:rPr>
      </w:pPr>
      <w:r w:rsidRPr="00771368">
        <w:rPr>
          <w:noProof/>
          <w:sz w:val="20"/>
          <w:szCs w:val="20"/>
        </w:rPr>
        <w:drawing>
          <wp:inline distT="0" distB="0" distL="0" distR="0">
            <wp:extent cx="69850" cy="68580"/>
            <wp:effectExtent l="0" t="0" r="0" b="0"/>
            <wp:docPr id="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0" cstate="print">
                      <a:extLst/>
                    </a:blip>
                    <a:srcRect/>
                    <a:stretch>
                      <a:fillRect/>
                    </a:stretch>
                  </pic:blipFill>
                  <pic:spPr bwMode="auto">
                    <a:xfrm>
                      <a:off x="0" y="0"/>
                      <a:ext cx="69850" cy="68580"/>
                    </a:xfrm>
                    <a:prstGeom prst="rect">
                      <a:avLst/>
                    </a:prstGeom>
                    <a:noFill/>
                    <a:ln>
                      <a:noFill/>
                    </a:ln>
                  </pic:spPr>
                </pic:pic>
              </a:graphicData>
            </a:graphic>
          </wp:inline>
        </w:drawing>
      </w:r>
      <w:r w:rsidRPr="00771368">
        <w:rPr>
          <w:rFonts w:eastAsia="Calibri"/>
          <w:sz w:val="20"/>
          <w:szCs w:val="20"/>
        </w:rPr>
        <w:t xml:space="preserve"> Não</w:t>
      </w:r>
    </w:p>
    <w:p w:rsidR="00D24E61" w:rsidRPr="00771368" w:rsidRDefault="00D24E61">
      <w:pPr>
        <w:spacing w:line="172" w:lineRule="exact"/>
        <w:rPr>
          <w:sz w:val="20"/>
          <w:szCs w:val="20"/>
        </w:rPr>
      </w:pPr>
    </w:p>
    <w:p w:rsidR="00D24E61" w:rsidRPr="00771368" w:rsidRDefault="00D24E61">
      <w:pPr>
        <w:spacing w:line="239" w:lineRule="auto"/>
        <w:ind w:left="1600"/>
        <w:rPr>
          <w:sz w:val="20"/>
          <w:szCs w:val="20"/>
        </w:rPr>
      </w:pPr>
      <w:r w:rsidRPr="00771368">
        <w:rPr>
          <w:rFonts w:eastAsia="Calibri"/>
          <w:sz w:val="20"/>
          <w:szCs w:val="20"/>
        </w:rPr>
        <w:t>100%</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3" w:lineRule="exact"/>
        <w:rPr>
          <w:sz w:val="20"/>
          <w:szCs w:val="20"/>
        </w:rPr>
      </w:pPr>
    </w:p>
    <w:p w:rsidR="00D24E61" w:rsidRPr="00771368" w:rsidRDefault="00D24E61">
      <w:pPr>
        <w:spacing w:line="239" w:lineRule="auto"/>
        <w:rPr>
          <w:sz w:val="20"/>
          <w:szCs w:val="20"/>
        </w:rPr>
      </w:pPr>
      <w:r w:rsidRPr="00771368">
        <w:rPr>
          <w:sz w:val="20"/>
          <w:szCs w:val="20"/>
        </w:rPr>
        <w:t>Gráfico 4: Necessidade em conhecer funcionários da obra.</w:t>
      </w:r>
    </w:p>
    <w:p w:rsidR="00D24E61" w:rsidRPr="00771368" w:rsidRDefault="00D24E61">
      <w:pPr>
        <w:spacing w:line="1" w:lineRule="exact"/>
        <w:rPr>
          <w:sz w:val="20"/>
          <w:szCs w:val="20"/>
        </w:rPr>
      </w:pPr>
    </w:p>
    <w:p w:rsidR="00D24E61" w:rsidRPr="00771368" w:rsidRDefault="00D24E61">
      <w:pPr>
        <w:spacing w:line="239" w:lineRule="auto"/>
        <w:rPr>
          <w:sz w:val="20"/>
          <w:szCs w:val="20"/>
        </w:rPr>
      </w:pPr>
      <w:r w:rsidRPr="00771368">
        <w:rPr>
          <w:sz w:val="20"/>
          <w:szCs w:val="20"/>
        </w:rPr>
        <w:t>Fonte: Elaborado pela autora.</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342" w:lineRule="auto"/>
        <w:ind w:firstLine="708"/>
        <w:jc w:val="both"/>
        <w:rPr>
          <w:sz w:val="20"/>
          <w:szCs w:val="20"/>
        </w:rPr>
      </w:pPr>
      <w:r w:rsidRPr="00771368">
        <w:rPr>
          <w:sz w:val="24"/>
          <w:szCs w:val="24"/>
        </w:rPr>
        <w:t>Pode-se perceber com o presente gráfico que os clientes entrevistados afirmaram que não possuem a preocupação de conhecer quem irá realizar a construção das suas obras. Os clientes afirmaram que este item é irrelevante quando pensam na construção e na elaboração das suas obras.</w:t>
      </w:r>
    </w:p>
    <w:p w:rsidR="00D24E61" w:rsidRPr="00771368" w:rsidRDefault="00D24E61">
      <w:pPr>
        <w:sectPr w:rsidR="00D24E61" w:rsidRPr="00771368">
          <w:pgSz w:w="11900" w:h="16838"/>
          <w:pgMar w:top="1440" w:right="1120" w:bottom="1009" w:left="1700" w:header="0" w:footer="0" w:gutter="0"/>
          <w:cols w:space="720" w:equalWidth="0">
            <w:col w:w="9080"/>
          </w:cols>
        </w:sectPr>
      </w:pPr>
    </w:p>
    <w:p w:rsidR="00D24E61" w:rsidRPr="00771368" w:rsidRDefault="00D24E61">
      <w:pPr>
        <w:spacing w:line="313" w:lineRule="exact"/>
        <w:rPr>
          <w:sz w:val="20"/>
          <w:szCs w:val="20"/>
        </w:rPr>
      </w:pPr>
    </w:p>
    <w:p w:rsidR="00D24E61" w:rsidRPr="00771368" w:rsidRDefault="00D24E61">
      <w:pPr>
        <w:spacing w:line="308" w:lineRule="auto"/>
        <w:ind w:firstLine="708"/>
        <w:jc w:val="both"/>
        <w:rPr>
          <w:sz w:val="20"/>
          <w:szCs w:val="20"/>
        </w:rPr>
      </w:pPr>
      <w:r w:rsidRPr="00771368">
        <w:rPr>
          <w:sz w:val="24"/>
          <w:szCs w:val="24"/>
        </w:rPr>
        <w:t>Então, buscou-se saber o que os clientes pensam sobre a existência de pessoas do sexo feminino nos canteiros de obra das suas construções. A seguir, o gráfico com os resultados.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96128" behindDoc="1" locked="0" layoutInCell="0" allowOverlap="1">
            <wp:simplePos x="0" y="0"/>
            <wp:positionH relativeFrom="column">
              <wp:posOffset>0</wp:posOffset>
            </wp:positionH>
            <wp:positionV relativeFrom="paragraph">
              <wp:posOffset>305435</wp:posOffset>
            </wp:positionV>
            <wp:extent cx="3126740" cy="1537335"/>
            <wp:effectExtent l="0" t="0" r="0" b="0"/>
            <wp:wrapNone/>
            <wp:docPr id="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4" cstate="print">
                      <a:extLst/>
                    </a:blip>
                    <a:srcRect/>
                    <a:stretch>
                      <a:fillRect/>
                    </a:stretch>
                  </pic:blipFill>
                  <pic:spPr bwMode="auto">
                    <a:xfrm>
                      <a:off x="0" y="0"/>
                      <a:ext cx="3126740" cy="1537335"/>
                    </a:xfrm>
                    <a:prstGeom prst="rect">
                      <a:avLst/>
                    </a:prstGeom>
                    <a:noFill/>
                  </pic:spPr>
                </pic:pic>
              </a:graphicData>
            </a:graphic>
          </wp:anchor>
        </w:drawing>
      </w:r>
    </w:p>
    <w:p w:rsidR="00D24E61" w:rsidRPr="00771368" w:rsidRDefault="00D24E61">
      <w:pPr>
        <w:spacing w:line="366" w:lineRule="exact"/>
        <w:rPr>
          <w:sz w:val="20"/>
          <w:szCs w:val="20"/>
        </w:rPr>
      </w:pPr>
    </w:p>
    <w:p w:rsidR="00D24E61" w:rsidRPr="00771368" w:rsidRDefault="00D24E61">
      <w:pPr>
        <w:spacing w:line="239" w:lineRule="auto"/>
        <w:ind w:left="1540"/>
        <w:rPr>
          <w:sz w:val="20"/>
          <w:szCs w:val="20"/>
        </w:rPr>
      </w:pPr>
      <w:r w:rsidRPr="00771368">
        <w:rPr>
          <w:rFonts w:eastAsia="Calibri"/>
          <w:sz w:val="20"/>
          <w:szCs w:val="20"/>
        </w:rPr>
        <w:t>0%</w:t>
      </w:r>
    </w:p>
    <w:p w:rsidR="00D24E61" w:rsidRPr="00771368" w:rsidRDefault="00D24E61">
      <w:pPr>
        <w:spacing w:line="200" w:lineRule="exact"/>
        <w:rPr>
          <w:sz w:val="20"/>
          <w:szCs w:val="20"/>
        </w:rPr>
      </w:pPr>
    </w:p>
    <w:tbl>
      <w:tblPr>
        <w:tblW w:w="0" w:type="auto"/>
        <w:tblInd w:w="1100" w:type="dxa"/>
        <w:tblLayout w:type="fixed"/>
        <w:tblCellMar>
          <w:left w:w="0" w:type="dxa"/>
          <w:right w:w="0" w:type="dxa"/>
        </w:tblCellMar>
        <w:tblLook w:val="04A0" w:firstRow="1" w:lastRow="0" w:firstColumn="1" w:lastColumn="0" w:noHBand="0" w:noVBand="1"/>
      </w:tblPr>
      <w:tblGrid>
        <w:gridCol w:w="660"/>
        <w:gridCol w:w="1640"/>
        <w:gridCol w:w="120"/>
        <w:gridCol w:w="1200"/>
        <w:gridCol w:w="20"/>
      </w:tblGrid>
      <w:tr w:rsidR="00D24E61" w:rsidRPr="00771368">
        <w:trPr>
          <w:trHeight w:val="84"/>
        </w:trPr>
        <w:tc>
          <w:tcPr>
            <w:tcW w:w="660" w:type="dxa"/>
            <w:vMerge w:val="restart"/>
            <w:vAlign w:val="bottom"/>
          </w:tcPr>
          <w:p w:rsidR="00D24E61" w:rsidRPr="00771368" w:rsidRDefault="00D24E61">
            <w:pPr>
              <w:spacing w:line="243" w:lineRule="exact"/>
              <w:ind w:right="220"/>
              <w:jc w:val="right"/>
              <w:rPr>
                <w:sz w:val="20"/>
                <w:szCs w:val="20"/>
              </w:rPr>
            </w:pPr>
            <w:r w:rsidRPr="00771368">
              <w:rPr>
                <w:rFonts w:eastAsia="Calibri"/>
                <w:w w:val="92"/>
                <w:sz w:val="20"/>
                <w:szCs w:val="20"/>
              </w:rPr>
              <w:t>23%</w:t>
            </w:r>
          </w:p>
        </w:tc>
        <w:tc>
          <w:tcPr>
            <w:tcW w:w="1640" w:type="dxa"/>
            <w:vMerge w:val="restart"/>
            <w:vAlign w:val="bottom"/>
          </w:tcPr>
          <w:p w:rsidR="00D24E61" w:rsidRPr="00771368" w:rsidRDefault="00D24E61">
            <w:pPr>
              <w:spacing w:line="243" w:lineRule="exact"/>
              <w:ind w:right="1040"/>
              <w:jc w:val="right"/>
              <w:rPr>
                <w:sz w:val="20"/>
                <w:szCs w:val="20"/>
              </w:rPr>
            </w:pPr>
            <w:r w:rsidRPr="00771368">
              <w:rPr>
                <w:rFonts w:eastAsia="Calibri"/>
                <w:sz w:val="20"/>
                <w:szCs w:val="20"/>
              </w:rPr>
              <w:t>27%</w:t>
            </w:r>
          </w:p>
        </w:tc>
        <w:tc>
          <w:tcPr>
            <w:tcW w:w="120" w:type="dxa"/>
            <w:vAlign w:val="bottom"/>
          </w:tcPr>
          <w:p w:rsidR="00D24E61" w:rsidRPr="00771368" w:rsidRDefault="00D24E61">
            <w:pPr>
              <w:rPr>
                <w:sz w:val="7"/>
                <w:szCs w:val="7"/>
              </w:rPr>
            </w:pPr>
          </w:p>
        </w:tc>
        <w:tc>
          <w:tcPr>
            <w:tcW w:w="1200" w:type="dxa"/>
            <w:vMerge w:val="restart"/>
            <w:vAlign w:val="bottom"/>
          </w:tcPr>
          <w:p w:rsidR="00D24E61" w:rsidRPr="00771368" w:rsidRDefault="00D24E61">
            <w:pPr>
              <w:spacing w:line="243" w:lineRule="exact"/>
              <w:ind w:left="40"/>
              <w:rPr>
                <w:sz w:val="20"/>
                <w:szCs w:val="20"/>
              </w:rPr>
            </w:pPr>
            <w:r w:rsidRPr="00771368">
              <w:rPr>
                <w:rFonts w:eastAsia="Calibri"/>
                <w:sz w:val="20"/>
                <w:szCs w:val="20"/>
              </w:rPr>
              <w:t>É Normal</w:t>
            </w:r>
          </w:p>
        </w:tc>
        <w:tc>
          <w:tcPr>
            <w:tcW w:w="0" w:type="dxa"/>
            <w:vAlign w:val="bottom"/>
          </w:tcPr>
          <w:p w:rsidR="00D24E61" w:rsidRPr="00771368" w:rsidRDefault="00D24E61">
            <w:pPr>
              <w:rPr>
                <w:sz w:val="1"/>
                <w:szCs w:val="1"/>
              </w:rPr>
            </w:pPr>
          </w:p>
        </w:tc>
      </w:tr>
      <w:tr w:rsidR="00D24E61" w:rsidRPr="00771368">
        <w:trPr>
          <w:trHeight w:val="110"/>
        </w:trPr>
        <w:tc>
          <w:tcPr>
            <w:tcW w:w="660" w:type="dxa"/>
            <w:vMerge/>
            <w:vAlign w:val="bottom"/>
          </w:tcPr>
          <w:p w:rsidR="00D24E61" w:rsidRPr="00771368" w:rsidRDefault="00D24E61">
            <w:pPr>
              <w:rPr>
                <w:sz w:val="9"/>
                <w:szCs w:val="9"/>
              </w:rPr>
            </w:pPr>
          </w:p>
        </w:tc>
        <w:tc>
          <w:tcPr>
            <w:tcW w:w="1640" w:type="dxa"/>
            <w:vMerge/>
            <w:vAlign w:val="bottom"/>
          </w:tcPr>
          <w:p w:rsidR="00D24E61" w:rsidRPr="00771368" w:rsidRDefault="00D24E61">
            <w:pPr>
              <w:rPr>
                <w:sz w:val="9"/>
                <w:szCs w:val="9"/>
              </w:rPr>
            </w:pPr>
          </w:p>
        </w:tc>
        <w:tc>
          <w:tcPr>
            <w:tcW w:w="120" w:type="dxa"/>
            <w:shd w:val="clear" w:color="auto" w:fill="4F81BD"/>
            <w:vAlign w:val="bottom"/>
          </w:tcPr>
          <w:p w:rsidR="00D24E61" w:rsidRPr="00771368" w:rsidRDefault="00D24E61">
            <w:pPr>
              <w:rPr>
                <w:sz w:val="9"/>
                <w:szCs w:val="9"/>
              </w:rPr>
            </w:pPr>
          </w:p>
        </w:tc>
        <w:tc>
          <w:tcPr>
            <w:tcW w:w="1200" w:type="dxa"/>
            <w:vMerge/>
            <w:vAlign w:val="bottom"/>
          </w:tcPr>
          <w:p w:rsidR="00D24E61" w:rsidRPr="00771368" w:rsidRDefault="00D24E61">
            <w:pPr>
              <w:rPr>
                <w:sz w:val="9"/>
                <w:szCs w:val="9"/>
              </w:rPr>
            </w:pPr>
          </w:p>
        </w:tc>
        <w:tc>
          <w:tcPr>
            <w:tcW w:w="0" w:type="dxa"/>
            <w:vAlign w:val="bottom"/>
          </w:tcPr>
          <w:p w:rsidR="00D24E61" w:rsidRPr="00771368" w:rsidRDefault="00D24E61">
            <w:pPr>
              <w:rPr>
                <w:sz w:val="1"/>
                <w:szCs w:val="1"/>
              </w:rPr>
            </w:pPr>
          </w:p>
        </w:tc>
      </w:tr>
      <w:tr w:rsidR="00D24E61" w:rsidRPr="00771368">
        <w:trPr>
          <w:trHeight w:val="49"/>
        </w:trPr>
        <w:tc>
          <w:tcPr>
            <w:tcW w:w="660" w:type="dxa"/>
            <w:vMerge/>
            <w:vAlign w:val="bottom"/>
          </w:tcPr>
          <w:p w:rsidR="00D24E61" w:rsidRPr="00771368" w:rsidRDefault="00D24E61">
            <w:pPr>
              <w:rPr>
                <w:sz w:val="4"/>
                <w:szCs w:val="4"/>
              </w:rPr>
            </w:pPr>
          </w:p>
        </w:tc>
        <w:tc>
          <w:tcPr>
            <w:tcW w:w="1640" w:type="dxa"/>
            <w:vMerge/>
            <w:vAlign w:val="bottom"/>
          </w:tcPr>
          <w:p w:rsidR="00D24E61" w:rsidRPr="00771368" w:rsidRDefault="00D24E61">
            <w:pPr>
              <w:rPr>
                <w:sz w:val="4"/>
                <w:szCs w:val="4"/>
              </w:rPr>
            </w:pPr>
          </w:p>
        </w:tc>
        <w:tc>
          <w:tcPr>
            <w:tcW w:w="120" w:type="dxa"/>
            <w:vAlign w:val="bottom"/>
          </w:tcPr>
          <w:p w:rsidR="00D24E61" w:rsidRPr="00771368" w:rsidRDefault="00D24E61">
            <w:pPr>
              <w:rPr>
                <w:sz w:val="4"/>
                <w:szCs w:val="4"/>
              </w:rPr>
            </w:pPr>
          </w:p>
        </w:tc>
        <w:tc>
          <w:tcPr>
            <w:tcW w:w="1200" w:type="dxa"/>
            <w:vMerge/>
            <w:vAlign w:val="bottom"/>
          </w:tcPr>
          <w:p w:rsidR="00D24E61" w:rsidRPr="00771368" w:rsidRDefault="00D24E61">
            <w:pPr>
              <w:rPr>
                <w:sz w:val="4"/>
                <w:szCs w:val="4"/>
              </w:rPr>
            </w:pPr>
          </w:p>
        </w:tc>
        <w:tc>
          <w:tcPr>
            <w:tcW w:w="0" w:type="dxa"/>
            <w:vAlign w:val="bottom"/>
          </w:tcPr>
          <w:p w:rsidR="00D24E61" w:rsidRPr="00771368" w:rsidRDefault="00D24E61">
            <w:pPr>
              <w:rPr>
                <w:sz w:val="1"/>
                <w:szCs w:val="1"/>
              </w:rPr>
            </w:pPr>
          </w:p>
        </w:tc>
      </w:tr>
      <w:tr w:rsidR="00D24E61" w:rsidRPr="00771368">
        <w:trPr>
          <w:trHeight w:val="157"/>
        </w:trPr>
        <w:tc>
          <w:tcPr>
            <w:tcW w:w="660" w:type="dxa"/>
            <w:vMerge/>
            <w:vAlign w:val="bottom"/>
          </w:tcPr>
          <w:p w:rsidR="00D24E61" w:rsidRPr="00771368" w:rsidRDefault="00D24E61">
            <w:pPr>
              <w:rPr>
                <w:sz w:val="13"/>
                <w:szCs w:val="13"/>
              </w:rPr>
            </w:pPr>
          </w:p>
        </w:tc>
        <w:tc>
          <w:tcPr>
            <w:tcW w:w="1640" w:type="dxa"/>
            <w:vMerge/>
            <w:vAlign w:val="bottom"/>
          </w:tcPr>
          <w:p w:rsidR="00D24E61" w:rsidRPr="00771368" w:rsidRDefault="00D24E61">
            <w:pPr>
              <w:rPr>
                <w:sz w:val="13"/>
                <w:szCs w:val="13"/>
              </w:rPr>
            </w:pPr>
          </w:p>
        </w:tc>
        <w:tc>
          <w:tcPr>
            <w:tcW w:w="120" w:type="dxa"/>
            <w:vAlign w:val="bottom"/>
          </w:tcPr>
          <w:p w:rsidR="00D24E61" w:rsidRPr="00771368" w:rsidRDefault="00D24E61">
            <w:pPr>
              <w:rPr>
                <w:sz w:val="13"/>
                <w:szCs w:val="13"/>
              </w:rPr>
            </w:pPr>
          </w:p>
        </w:tc>
        <w:tc>
          <w:tcPr>
            <w:tcW w:w="1200" w:type="dxa"/>
            <w:vAlign w:val="bottom"/>
          </w:tcPr>
          <w:p w:rsidR="00D24E61" w:rsidRPr="00771368" w:rsidRDefault="00D24E61">
            <w:pPr>
              <w:rPr>
                <w:sz w:val="13"/>
                <w:szCs w:val="13"/>
              </w:rPr>
            </w:pPr>
          </w:p>
        </w:tc>
        <w:tc>
          <w:tcPr>
            <w:tcW w:w="0" w:type="dxa"/>
            <w:vAlign w:val="bottom"/>
          </w:tcPr>
          <w:p w:rsidR="00D24E61" w:rsidRPr="00771368" w:rsidRDefault="00D24E61">
            <w:pPr>
              <w:rPr>
                <w:sz w:val="1"/>
                <w:szCs w:val="1"/>
              </w:rPr>
            </w:pPr>
          </w:p>
        </w:tc>
      </w:tr>
      <w:tr w:rsidR="00D24E61" w:rsidRPr="00771368">
        <w:trPr>
          <w:trHeight w:val="46"/>
        </w:trPr>
        <w:tc>
          <w:tcPr>
            <w:tcW w:w="660" w:type="dxa"/>
            <w:vAlign w:val="bottom"/>
          </w:tcPr>
          <w:p w:rsidR="00D24E61" w:rsidRPr="00771368" w:rsidRDefault="00D24E61">
            <w:pPr>
              <w:rPr>
                <w:sz w:val="3"/>
                <w:szCs w:val="3"/>
              </w:rPr>
            </w:pPr>
          </w:p>
        </w:tc>
        <w:tc>
          <w:tcPr>
            <w:tcW w:w="1640" w:type="dxa"/>
            <w:vMerge/>
            <w:vAlign w:val="bottom"/>
          </w:tcPr>
          <w:p w:rsidR="00D24E61" w:rsidRPr="00771368" w:rsidRDefault="00D24E61">
            <w:pPr>
              <w:rPr>
                <w:sz w:val="3"/>
                <w:szCs w:val="3"/>
              </w:rPr>
            </w:pPr>
          </w:p>
        </w:tc>
        <w:tc>
          <w:tcPr>
            <w:tcW w:w="120" w:type="dxa"/>
            <w:vAlign w:val="bottom"/>
          </w:tcPr>
          <w:p w:rsidR="00D24E61" w:rsidRPr="00771368" w:rsidRDefault="00D24E61">
            <w:pPr>
              <w:rPr>
                <w:sz w:val="3"/>
                <w:szCs w:val="3"/>
              </w:rPr>
            </w:pPr>
          </w:p>
        </w:tc>
        <w:tc>
          <w:tcPr>
            <w:tcW w:w="1200" w:type="dxa"/>
            <w:vMerge w:val="restart"/>
            <w:vAlign w:val="bottom"/>
          </w:tcPr>
          <w:p w:rsidR="00D24E61" w:rsidRPr="00771368" w:rsidRDefault="00D24E61">
            <w:pPr>
              <w:spacing w:line="204" w:lineRule="exact"/>
              <w:ind w:left="40"/>
              <w:rPr>
                <w:sz w:val="20"/>
                <w:szCs w:val="20"/>
              </w:rPr>
            </w:pPr>
            <w:r w:rsidRPr="00771368">
              <w:rPr>
                <w:rFonts w:eastAsia="Calibri"/>
                <w:sz w:val="20"/>
                <w:szCs w:val="20"/>
              </w:rPr>
              <w:t>É curioso</w:t>
            </w:r>
          </w:p>
        </w:tc>
        <w:tc>
          <w:tcPr>
            <w:tcW w:w="0" w:type="dxa"/>
            <w:vAlign w:val="bottom"/>
          </w:tcPr>
          <w:p w:rsidR="00D24E61" w:rsidRPr="00771368" w:rsidRDefault="00D24E61">
            <w:pPr>
              <w:rPr>
                <w:sz w:val="1"/>
                <w:szCs w:val="1"/>
              </w:rPr>
            </w:pPr>
          </w:p>
        </w:tc>
      </w:tr>
      <w:tr w:rsidR="00D24E61" w:rsidRPr="00771368">
        <w:trPr>
          <w:trHeight w:val="108"/>
        </w:trPr>
        <w:tc>
          <w:tcPr>
            <w:tcW w:w="660" w:type="dxa"/>
            <w:vAlign w:val="bottom"/>
          </w:tcPr>
          <w:p w:rsidR="00D24E61" w:rsidRPr="00771368" w:rsidRDefault="00D24E61">
            <w:pPr>
              <w:rPr>
                <w:sz w:val="9"/>
                <w:szCs w:val="9"/>
              </w:rPr>
            </w:pPr>
          </w:p>
        </w:tc>
        <w:tc>
          <w:tcPr>
            <w:tcW w:w="1640" w:type="dxa"/>
            <w:vAlign w:val="bottom"/>
          </w:tcPr>
          <w:p w:rsidR="00D24E61" w:rsidRPr="00771368" w:rsidRDefault="00D24E61">
            <w:pPr>
              <w:rPr>
                <w:sz w:val="9"/>
                <w:szCs w:val="9"/>
              </w:rPr>
            </w:pPr>
          </w:p>
        </w:tc>
        <w:tc>
          <w:tcPr>
            <w:tcW w:w="120" w:type="dxa"/>
            <w:shd w:val="clear" w:color="auto" w:fill="C0504D"/>
            <w:vAlign w:val="bottom"/>
          </w:tcPr>
          <w:p w:rsidR="00D24E61" w:rsidRPr="00771368" w:rsidRDefault="00D24E61">
            <w:pPr>
              <w:rPr>
                <w:sz w:val="9"/>
                <w:szCs w:val="9"/>
              </w:rPr>
            </w:pPr>
          </w:p>
        </w:tc>
        <w:tc>
          <w:tcPr>
            <w:tcW w:w="1200" w:type="dxa"/>
            <w:vMerge/>
            <w:vAlign w:val="bottom"/>
          </w:tcPr>
          <w:p w:rsidR="00D24E61" w:rsidRPr="00771368" w:rsidRDefault="00D24E61">
            <w:pPr>
              <w:rPr>
                <w:sz w:val="9"/>
                <w:szCs w:val="9"/>
              </w:rPr>
            </w:pPr>
          </w:p>
        </w:tc>
        <w:tc>
          <w:tcPr>
            <w:tcW w:w="0" w:type="dxa"/>
            <w:vAlign w:val="bottom"/>
          </w:tcPr>
          <w:p w:rsidR="00D24E61" w:rsidRPr="00771368" w:rsidRDefault="00D24E61">
            <w:pPr>
              <w:rPr>
                <w:sz w:val="1"/>
                <w:szCs w:val="1"/>
              </w:rPr>
            </w:pPr>
          </w:p>
        </w:tc>
      </w:tr>
      <w:tr w:rsidR="00D24E61" w:rsidRPr="00771368">
        <w:trPr>
          <w:trHeight w:val="51"/>
        </w:trPr>
        <w:tc>
          <w:tcPr>
            <w:tcW w:w="660" w:type="dxa"/>
            <w:vAlign w:val="bottom"/>
          </w:tcPr>
          <w:p w:rsidR="00D24E61" w:rsidRPr="00771368" w:rsidRDefault="00D24E61">
            <w:pPr>
              <w:rPr>
                <w:sz w:val="4"/>
                <w:szCs w:val="4"/>
              </w:rPr>
            </w:pPr>
          </w:p>
        </w:tc>
        <w:tc>
          <w:tcPr>
            <w:tcW w:w="1640" w:type="dxa"/>
            <w:vAlign w:val="bottom"/>
          </w:tcPr>
          <w:p w:rsidR="00D24E61" w:rsidRPr="00771368" w:rsidRDefault="00D24E61">
            <w:pPr>
              <w:rPr>
                <w:sz w:val="4"/>
                <w:szCs w:val="4"/>
              </w:rPr>
            </w:pPr>
          </w:p>
        </w:tc>
        <w:tc>
          <w:tcPr>
            <w:tcW w:w="120" w:type="dxa"/>
            <w:vAlign w:val="bottom"/>
          </w:tcPr>
          <w:p w:rsidR="00D24E61" w:rsidRPr="00771368" w:rsidRDefault="00D24E61">
            <w:pPr>
              <w:rPr>
                <w:sz w:val="4"/>
                <w:szCs w:val="4"/>
              </w:rPr>
            </w:pPr>
          </w:p>
        </w:tc>
        <w:tc>
          <w:tcPr>
            <w:tcW w:w="1200" w:type="dxa"/>
            <w:vMerge/>
            <w:vAlign w:val="bottom"/>
          </w:tcPr>
          <w:p w:rsidR="00D24E61" w:rsidRPr="00771368" w:rsidRDefault="00D24E61">
            <w:pPr>
              <w:rPr>
                <w:sz w:val="4"/>
                <w:szCs w:val="4"/>
              </w:rPr>
            </w:pPr>
          </w:p>
        </w:tc>
        <w:tc>
          <w:tcPr>
            <w:tcW w:w="0" w:type="dxa"/>
            <w:vAlign w:val="bottom"/>
          </w:tcPr>
          <w:p w:rsidR="00D24E61" w:rsidRPr="00771368" w:rsidRDefault="00D24E61">
            <w:pPr>
              <w:rPr>
                <w:sz w:val="1"/>
                <w:szCs w:val="1"/>
              </w:rPr>
            </w:pPr>
          </w:p>
        </w:tc>
      </w:tr>
      <w:tr w:rsidR="00D24E61" w:rsidRPr="00771368">
        <w:trPr>
          <w:trHeight w:val="201"/>
        </w:trPr>
        <w:tc>
          <w:tcPr>
            <w:tcW w:w="660" w:type="dxa"/>
            <w:vMerge w:val="restart"/>
            <w:vAlign w:val="bottom"/>
          </w:tcPr>
          <w:p w:rsidR="00D24E61" w:rsidRPr="00771368" w:rsidRDefault="00D24E61">
            <w:pPr>
              <w:spacing w:line="243" w:lineRule="exact"/>
              <w:ind w:right="60"/>
              <w:jc w:val="right"/>
              <w:rPr>
                <w:sz w:val="20"/>
                <w:szCs w:val="20"/>
              </w:rPr>
            </w:pPr>
            <w:r w:rsidRPr="00771368">
              <w:rPr>
                <w:rFonts w:eastAsia="Calibri"/>
                <w:sz w:val="20"/>
                <w:szCs w:val="20"/>
              </w:rPr>
              <w:t>50%</w:t>
            </w:r>
          </w:p>
        </w:tc>
        <w:tc>
          <w:tcPr>
            <w:tcW w:w="1640" w:type="dxa"/>
            <w:vAlign w:val="bottom"/>
          </w:tcPr>
          <w:p w:rsidR="00D24E61" w:rsidRPr="00771368" w:rsidRDefault="00D24E61">
            <w:pPr>
              <w:rPr>
                <w:sz w:val="17"/>
                <w:szCs w:val="17"/>
              </w:rPr>
            </w:pPr>
          </w:p>
        </w:tc>
        <w:tc>
          <w:tcPr>
            <w:tcW w:w="120" w:type="dxa"/>
            <w:vAlign w:val="bottom"/>
          </w:tcPr>
          <w:p w:rsidR="00D24E61" w:rsidRPr="00771368" w:rsidRDefault="00D24E61">
            <w:pPr>
              <w:rPr>
                <w:sz w:val="17"/>
                <w:szCs w:val="17"/>
              </w:rPr>
            </w:pPr>
          </w:p>
        </w:tc>
        <w:tc>
          <w:tcPr>
            <w:tcW w:w="1200" w:type="dxa"/>
            <w:vMerge w:val="restart"/>
            <w:vAlign w:val="bottom"/>
          </w:tcPr>
          <w:p w:rsidR="00D24E61" w:rsidRPr="00771368" w:rsidRDefault="00D24E61">
            <w:pPr>
              <w:spacing w:line="243" w:lineRule="exact"/>
              <w:ind w:left="40"/>
              <w:rPr>
                <w:sz w:val="20"/>
                <w:szCs w:val="20"/>
              </w:rPr>
            </w:pPr>
            <w:r w:rsidRPr="00771368">
              <w:rPr>
                <w:rFonts w:eastAsia="Calibri"/>
                <w:sz w:val="20"/>
                <w:szCs w:val="20"/>
              </w:rPr>
              <w:t>Não é comum</w:t>
            </w:r>
          </w:p>
        </w:tc>
        <w:tc>
          <w:tcPr>
            <w:tcW w:w="0" w:type="dxa"/>
            <w:vAlign w:val="bottom"/>
          </w:tcPr>
          <w:p w:rsidR="00D24E61" w:rsidRPr="00771368" w:rsidRDefault="00D24E61">
            <w:pPr>
              <w:rPr>
                <w:sz w:val="1"/>
                <w:szCs w:val="1"/>
              </w:rPr>
            </w:pPr>
          </w:p>
        </w:tc>
      </w:tr>
      <w:tr w:rsidR="00D24E61" w:rsidRPr="00771368">
        <w:trPr>
          <w:trHeight w:val="110"/>
        </w:trPr>
        <w:tc>
          <w:tcPr>
            <w:tcW w:w="660" w:type="dxa"/>
            <w:vMerge/>
            <w:vAlign w:val="bottom"/>
          </w:tcPr>
          <w:p w:rsidR="00D24E61" w:rsidRPr="00771368" w:rsidRDefault="00D24E61">
            <w:pPr>
              <w:rPr>
                <w:sz w:val="9"/>
                <w:szCs w:val="9"/>
              </w:rPr>
            </w:pPr>
          </w:p>
        </w:tc>
        <w:tc>
          <w:tcPr>
            <w:tcW w:w="1640" w:type="dxa"/>
            <w:vAlign w:val="bottom"/>
          </w:tcPr>
          <w:p w:rsidR="00D24E61" w:rsidRPr="00771368" w:rsidRDefault="00D24E61">
            <w:pPr>
              <w:rPr>
                <w:sz w:val="9"/>
                <w:szCs w:val="9"/>
              </w:rPr>
            </w:pPr>
          </w:p>
        </w:tc>
        <w:tc>
          <w:tcPr>
            <w:tcW w:w="120" w:type="dxa"/>
            <w:shd w:val="clear" w:color="auto" w:fill="9BBB59"/>
            <w:vAlign w:val="bottom"/>
          </w:tcPr>
          <w:p w:rsidR="00D24E61" w:rsidRPr="00771368" w:rsidRDefault="00D24E61">
            <w:pPr>
              <w:rPr>
                <w:sz w:val="9"/>
                <w:szCs w:val="9"/>
              </w:rPr>
            </w:pPr>
          </w:p>
        </w:tc>
        <w:tc>
          <w:tcPr>
            <w:tcW w:w="1200" w:type="dxa"/>
            <w:vMerge/>
            <w:vAlign w:val="bottom"/>
          </w:tcPr>
          <w:p w:rsidR="00D24E61" w:rsidRPr="00771368" w:rsidRDefault="00D24E61">
            <w:pPr>
              <w:rPr>
                <w:sz w:val="9"/>
                <w:szCs w:val="9"/>
              </w:rPr>
            </w:pPr>
          </w:p>
        </w:tc>
        <w:tc>
          <w:tcPr>
            <w:tcW w:w="0" w:type="dxa"/>
            <w:vAlign w:val="bottom"/>
          </w:tcPr>
          <w:p w:rsidR="00D24E61" w:rsidRPr="00771368" w:rsidRDefault="00D24E61">
            <w:pPr>
              <w:rPr>
                <w:sz w:val="1"/>
                <w:szCs w:val="1"/>
              </w:rPr>
            </w:pPr>
          </w:p>
        </w:tc>
      </w:tr>
      <w:tr w:rsidR="00D24E61" w:rsidRPr="00771368">
        <w:trPr>
          <w:trHeight w:val="51"/>
        </w:trPr>
        <w:tc>
          <w:tcPr>
            <w:tcW w:w="660" w:type="dxa"/>
            <w:vMerge/>
            <w:vAlign w:val="bottom"/>
          </w:tcPr>
          <w:p w:rsidR="00D24E61" w:rsidRPr="00771368" w:rsidRDefault="00D24E61">
            <w:pPr>
              <w:rPr>
                <w:sz w:val="4"/>
                <w:szCs w:val="4"/>
              </w:rPr>
            </w:pPr>
          </w:p>
        </w:tc>
        <w:tc>
          <w:tcPr>
            <w:tcW w:w="1640" w:type="dxa"/>
            <w:vAlign w:val="bottom"/>
          </w:tcPr>
          <w:p w:rsidR="00D24E61" w:rsidRPr="00771368" w:rsidRDefault="00D24E61">
            <w:pPr>
              <w:rPr>
                <w:sz w:val="4"/>
                <w:szCs w:val="4"/>
              </w:rPr>
            </w:pPr>
          </w:p>
        </w:tc>
        <w:tc>
          <w:tcPr>
            <w:tcW w:w="120" w:type="dxa"/>
            <w:vAlign w:val="bottom"/>
          </w:tcPr>
          <w:p w:rsidR="00D24E61" w:rsidRPr="00771368" w:rsidRDefault="00D24E61">
            <w:pPr>
              <w:rPr>
                <w:sz w:val="4"/>
                <w:szCs w:val="4"/>
              </w:rPr>
            </w:pPr>
          </w:p>
        </w:tc>
        <w:tc>
          <w:tcPr>
            <w:tcW w:w="1200" w:type="dxa"/>
            <w:vMerge/>
            <w:vAlign w:val="bottom"/>
          </w:tcPr>
          <w:p w:rsidR="00D24E61" w:rsidRPr="00771368" w:rsidRDefault="00D24E61">
            <w:pPr>
              <w:rPr>
                <w:sz w:val="4"/>
                <w:szCs w:val="4"/>
              </w:rPr>
            </w:pPr>
          </w:p>
        </w:tc>
        <w:tc>
          <w:tcPr>
            <w:tcW w:w="0" w:type="dxa"/>
            <w:vAlign w:val="bottom"/>
          </w:tcPr>
          <w:p w:rsidR="00D24E61" w:rsidRPr="00771368" w:rsidRDefault="00D24E61">
            <w:pPr>
              <w:rPr>
                <w:sz w:val="1"/>
                <w:szCs w:val="1"/>
              </w:rPr>
            </w:pPr>
          </w:p>
        </w:tc>
      </w:tr>
      <w:tr w:rsidR="00D24E61" w:rsidRPr="00771368">
        <w:trPr>
          <w:trHeight w:val="201"/>
        </w:trPr>
        <w:tc>
          <w:tcPr>
            <w:tcW w:w="660" w:type="dxa"/>
            <w:vMerge/>
            <w:vAlign w:val="bottom"/>
          </w:tcPr>
          <w:p w:rsidR="00D24E61" w:rsidRPr="00771368" w:rsidRDefault="00D24E61">
            <w:pPr>
              <w:rPr>
                <w:sz w:val="17"/>
                <w:szCs w:val="17"/>
              </w:rPr>
            </w:pPr>
          </w:p>
        </w:tc>
        <w:tc>
          <w:tcPr>
            <w:tcW w:w="1640" w:type="dxa"/>
            <w:vAlign w:val="bottom"/>
          </w:tcPr>
          <w:p w:rsidR="00D24E61" w:rsidRPr="00771368" w:rsidRDefault="00D24E61">
            <w:pPr>
              <w:rPr>
                <w:sz w:val="17"/>
                <w:szCs w:val="17"/>
              </w:rPr>
            </w:pPr>
          </w:p>
        </w:tc>
        <w:tc>
          <w:tcPr>
            <w:tcW w:w="120" w:type="dxa"/>
            <w:vAlign w:val="bottom"/>
          </w:tcPr>
          <w:p w:rsidR="00D24E61" w:rsidRPr="00771368" w:rsidRDefault="00D24E61">
            <w:pPr>
              <w:rPr>
                <w:sz w:val="17"/>
                <w:szCs w:val="17"/>
              </w:rPr>
            </w:pPr>
          </w:p>
        </w:tc>
        <w:tc>
          <w:tcPr>
            <w:tcW w:w="1200" w:type="dxa"/>
            <w:vMerge w:val="restart"/>
            <w:vAlign w:val="bottom"/>
          </w:tcPr>
          <w:p w:rsidR="00D24E61" w:rsidRPr="00771368" w:rsidRDefault="00D24E61">
            <w:pPr>
              <w:spacing w:line="243" w:lineRule="exact"/>
              <w:ind w:left="40"/>
              <w:rPr>
                <w:sz w:val="20"/>
                <w:szCs w:val="20"/>
              </w:rPr>
            </w:pPr>
            <w:r w:rsidRPr="00771368">
              <w:rPr>
                <w:rFonts w:eastAsia="Calibri"/>
                <w:w w:val="98"/>
                <w:sz w:val="20"/>
                <w:szCs w:val="20"/>
              </w:rPr>
              <w:t>É interessante</w:t>
            </w:r>
          </w:p>
        </w:tc>
        <w:tc>
          <w:tcPr>
            <w:tcW w:w="0" w:type="dxa"/>
            <w:vAlign w:val="bottom"/>
          </w:tcPr>
          <w:p w:rsidR="00D24E61" w:rsidRPr="00771368" w:rsidRDefault="00D24E61">
            <w:pPr>
              <w:rPr>
                <w:sz w:val="1"/>
                <w:szCs w:val="1"/>
              </w:rPr>
            </w:pPr>
          </w:p>
        </w:tc>
      </w:tr>
      <w:tr w:rsidR="00D24E61" w:rsidRPr="00771368">
        <w:trPr>
          <w:trHeight w:val="90"/>
        </w:trPr>
        <w:tc>
          <w:tcPr>
            <w:tcW w:w="660" w:type="dxa"/>
            <w:vMerge/>
            <w:vAlign w:val="bottom"/>
          </w:tcPr>
          <w:p w:rsidR="00D24E61" w:rsidRPr="00771368" w:rsidRDefault="00D24E61">
            <w:pPr>
              <w:rPr>
                <w:sz w:val="7"/>
                <w:szCs w:val="7"/>
              </w:rPr>
            </w:pPr>
          </w:p>
        </w:tc>
        <w:tc>
          <w:tcPr>
            <w:tcW w:w="1640" w:type="dxa"/>
            <w:vAlign w:val="bottom"/>
          </w:tcPr>
          <w:p w:rsidR="00D24E61" w:rsidRPr="00771368" w:rsidRDefault="00D24E61">
            <w:pPr>
              <w:rPr>
                <w:sz w:val="7"/>
                <w:szCs w:val="7"/>
              </w:rPr>
            </w:pPr>
          </w:p>
        </w:tc>
        <w:tc>
          <w:tcPr>
            <w:tcW w:w="120" w:type="dxa"/>
            <w:tcBorders>
              <w:bottom w:val="single" w:sz="8" w:space="0" w:color="8064A2"/>
            </w:tcBorders>
            <w:shd w:val="clear" w:color="auto" w:fill="8064A2"/>
            <w:vAlign w:val="bottom"/>
          </w:tcPr>
          <w:p w:rsidR="00D24E61" w:rsidRPr="00771368" w:rsidRDefault="00D24E61">
            <w:pPr>
              <w:rPr>
                <w:sz w:val="7"/>
                <w:szCs w:val="7"/>
              </w:rPr>
            </w:pPr>
          </w:p>
        </w:tc>
        <w:tc>
          <w:tcPr>
            <w:tcW w:w="1200" w:type="dxa"/>
            <w:vMerge/>
            <w:vAlign w:val="bottom"/>
          </w:tcPr>
          <w:p w:rsidR="00D24E61" w:rsidRPr="00771368" w:rsidRDefault="00D24E61">
            <w:pPr>
              <w:rPr>
                <w:sz w:val="7"/>
                <w:szCs w:val="7"/>
              </w:rPr>
            </w:pPr>
          </w:p>
        </w:tc>
        <w:tc>
          <w:tcPr>
            <w:tcW w:w="0" w:type="dxa"/>
            <w:vAlign w:val="bottom"/>
          </w:tcPr>
          <w:p w:rsidR="00D24E61" w:rsidRPr="00771368" w:rsidRDefault="00D24E61">
            <w:pPr>
              <w:rPr>
                <w:sz w:val="1"/>
                <w:szCs w:val="1"/>
              </w:rPr>
            </w:pPr>
          </w:p>
        </w:tc>
      </w:tr>
      <w:tr w:rsidR="00D24E61" w:rsidRPr="00771368">
        <w:trPr>
          <w:trHeight w:val="50"/>
        </w:trPr>
        <w:tc>
          <w:tcPr>
            <w:tcW w:w="660" w:type="dxa"/>
            <w:vAlign w:val="bottom"/>
          </w:tcPr>
          <w:p w:rsidR="00D24E61" w:rsidRPr="00771368" w:rsidRDefault="00D24E61">
            <w:pPr>
              <w:rPr>
                <w:sz w:val="4"/>
                <w:szCs w:val="4"/>
              </w:rPr>
            </w:pPr>
          </w:p>
        </w:tc>
        <w:tc>
          <w:tcPr>
            <w:tcW w:w="1640" w:type="dxa"/>
            <w:vAlign w:val="bottom"/>
          </w:tcPr>
          <w:p w:rsidR="00D24E61" w:rsidRPr="00771368" w:rsidRDefault="00D24E61">
            <w:pPr>
              <w:rPr>
                <w:sz w:val="4"/>
                <w:szCs w:val="4"/>
              </w:rPr>
            </w:pPr>
          </w:p>
        </w:tc>
        <w:tc>
          <w:tcPr>
            <w:tcW w:w="120" w:type="dxa"/>
            <w:vAlign w:val="bottom"/>
          </w:tcPr>
          <w:p w:rsidR="00D24E61" w:rsidRPr="00771368" w:rsidRDefault="00D24E61">
            <w:pPr>
              <w:rPr>
                <w:sz w:val="4"/>
                <w:szCs w:val="4"/>
              </w:rPr>
            </w:pPr>
          </w:p>
        </w:tc>
        <w:tc>
          <w:tcPr>
            <w:tcW w:w="1200" w:type="dxa"/>
            <w:vMerge/>
            <w:vAlign w:val="bottom"/>
          </w:tcPr>
          <w:p w:rsidR="00D24E61" w:rsidRPr="00771368" w:rsidRDefault="00D24E61">
            <w:pPr>
              <w:rPr>
                <w:sz w:val="4"/>
                <w:szCs w:val="4"/>
              </w:rPr>
            </w:pPr>
          </w:p>
        </w:tc>
        <w:tc>
          <w:tcPr>
            <w:tcW w:w="0" w:type="dxa"/>
            <w:vAlign w:val="bottom"/>
          </w:tcPr>
          <w:p w:rsidR="00D24E61" w:rsidRPr="00771368" w:rsidRDefault="00D24E61">
            <w:pPr>
              <w:rPr>
                <w:sz w:val="1"/>
                <w:szCs w:val="1"/>
              </w:rPr>
            </w:pPr>
          </w:p>
        </w:tc>
      </w:tr>
    </w:tbl>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35" w:lineRule="exact"/>
        <w:rPr>
          <w:sz w:val="20"/>
          <w:szCs w:val="20"/>
        </w:rPr>
      </w:pPr>
    </w:p>
    <w:p w:rsidR="00D24E61" w:rsidRPr="00771368" w:rsidRDefault="00D24E61">
      <w:pPr>
        <w:spacing w:line="239" w:lineRule="auto"/>
        <w:rPr>
          <w:sz w:val="20"/>
          <w:szCs w:val="20"/>
        </w:rPr>
      </w:pPr>
      <w:r w:rsidRPr="00771368">
        <w:rPr>
          <w:sz w:val="20"/>
          <w:szCs w:val="20"/>
        </w:rPr>
        <w:t>Gráfico 5: Opinião em relação a presença de mulheres nas obras.</w:t>
      </w:r>
    </w:p>
    <w:p w:rsidR="00D24E61" w:rsidRPr="00771368" w:rsidRDefault="00D24E61">
      <w:pPr>
        <w:spacing w:line="1" w:lineRule="exact"/>
        <w:rPr>
          <w:sz w:val="20"/>
          <w:szCs w:val="20"/>
        </w:rPr>
      </w:pPr>
    </w:p>
    <w:p w:rsidR="00D24E61" w:rsidRPr="00771368" w:rsidRDefault="00D24E61">
      <w:pPr>
        <w:spacing w:line="239" w:lineRule="auto"/>
        <w:rPr>
          <w:sz w:val="20"/>
          <w:szCs w:val="20"/>
        </w:rPr>
      </w:pPr>
      <w:r w:rsidRPr="00771368">
        <w:rPr>
          <w:sz w:val="20"/>
          <w:szCs w:val="20"/>
        </w:rPr>
        <w:t>Fonte: Elaborado pela autora.</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O gráfico 5 mostra os resultados obtidos quando os clientes foram questionados quanto a sua opinião em relação a presença de pessoas do sexo feminino nos canteiros de obras. Sendo que metade do público pesquisado afirmou que a presença de mulheres no canteiro de obras, como participantes da construção das casas não é algo muito comum.</w:t>
      </w:r>
    </w:p>
    <w:p w:rsidR="00D24E61" w:rsidRPr="00771368" w:rsidRDefault="00D24E61">
      <w:pPr>
        <w:spacing w:line="83" w:lineRule="exact"/>
        <w:rPr>
          <w:sz w:val="20"/>
          <w:szCs w:val="20"/>
        </w:rPr>
      </w:pPr>
    </w:p>
    <w:p w:rsidR="00D24E61" w:rsidRPr="00771368" w:rsidRDefault="00D24E61">
      <w:pPr>
        <w:spacing w:line="342" w:lineRule="auto"/>
        <w:ind w:right="20" w:firstLine="708"/>
        <w:jc w:val="both"/>
        <w:rPr>
          <w:sz w:val="20"/>
          <w:szCs w:val="20"/>
        </w:rPr>
      </w:pPr>
      <w:r w:rsidRPr="00771368">
        <w:rPr>
          <w:sz w:val="24"/>
          <w:szCs w:val="24"/>
        </w:rPr>
        <w:t>Ainda, outros 27% dos entrevistados afirmaram que a presença feminina na construção das obras é algo curioso. Ainda 23% do público afirmou que a presença das mulheres é algo interessante, e ao mesmo tempo importante. Vale destacar neste item que nenhum cliente afirmou ser normal a presença feminina na construção civil.</w:t>
      </w:r>
    </w:p>
    <w:p w:rsidR="00D24E61" w:rsidRPr="00771368" w:rsidRDefault="00D24E61">
      <w:pPr>
        <w:spacing w:line="83" w:lineRule="exact"/>
        <w:rPr>
          <w:sz w:val="20"/>
          <w:szCs w:val="20"/>
        </w:rPr>
      </w:pPr>
    </w:p>
    <w:p w:rsidR="00D24E61" w:rsidRPr="00771368" w:rsidRDefault="00D24E61">
      <w:pPr>
        <w:spacing w:line="347" w:lineRule="auto"/>
        <w:ind w:firstLine="708"/>
        <w:jc w:val="both"/>
        <w:rPr>
          <w:sz w:val="20"/>
          <w:szCs w:val="20"/>
        </w:rPr>
      </w:pPr>
      <w:r w:rsidRPr="00771368">
        <w:rPr>
          <w:sz w:val="24"/>
          <w:szCs w:val="24"/>
        </w:rPr>
        <w:t>Os entrevistados foram então questionados sobre os motivos das respostas. Sendo que um cliente afirmou que “Penso ser interessante a presença feminina devido ao fato de a mulher ter a mesma capacidade que um homem, independente da função, ou mesmo do setor em que está trabalhando”. Outro cliente afirmou ainda que “Hoje em dia, no mercado de trabalho não existe mais esta distinção de funções em função do gênero da pessoa”.</w:t>
      </w:r>
    </w:p>
    <w:p w:rsidR="00D24E61" w:rsidRPr="00771368" w:rsidRDefault="00D24E61">
      <w:pPr>
        <w:spacing w:line="74" w:lineRule="exact"/>
        <w:rPr>
          <w:sz w:val="20"/>
          <w:szCs w:val="20"/>
        </w:rPr>
      </w:pPr>
    </w:p>
    <w:p w:rsidR="00D24E61" w:rsidRPr="00771368" w:rsidRDefault="00D24E61">
      <w:pPr>
        <w:spacing w:line="350" w:lineRule="auto"/>
        <w:ind w:firstLine="708"/>
        <w:jc w:val="both"/>
        <w:rPr>
          <w:sz w:val="20"/>
          <w:szCs w:val="20"/>
        </w:rPr>
      </w:pPr>
      <w:r w:rsidRPr="00771368">
        <w:rPr>
          <w:sz w:val="24"/>
          <w:szCs w:val="24"/>
        </w:rPr>
        <w:t>Neste mesmo sentido um cliente afirmou que “As mulheres são muito detalhistas, então acredito que, principalmente nos acabamentos das obras, as mulheres vão fazer a diferença”. Um cliente afirmou ainda que “Será útil a presença delas nesse ramo, por que as obras seriam melhor detalhadas e melhor acabadas”. Outro cliente ainda afirmou que “Conheço algumas mulheres que trabalham neste ramo e elas exercem muito bem suas funções”.</w:t>
      </w:r>
    </w:p>
    <w:p w:rsidR="00D24E61" w:rsidRPr="00771368" w:rsidRDefault="00D24E61">
      <w:pPr>
        <w:spacing w:line="70" w:lineRule="exact"/>
        <w:rPr>
          <w:sz w:val="20"/>
          <w:szCs w:val="20"/>
        </w:rPr>
      </w:pPr>
    </w:p>
    <w:p w:rsidR="00D24E61" w:rsidRPr="00771368" w:rsidRDefault="00D24E61">
      <w:pPr>
        <w:spacing w:line="310" w:lineRule="auto"/>
        <w:ind w:right="20" w:firstLine="708"/>
        <w:jc w:val="both"/>
        <w:rPr>
          <w:sz w:val="20"/>
          <w:szCs w:val="20"/>
        </w:rPr>
      </w:pPr>
      <w:r w:rsidRPr="00771368">
        <w:rPr>
          <w:sz w:val="24"/>
          <w:szCs w:val="24"/>
        </w:rPr>
        <w:t>Com o que foi exposto, percebe-se que existe uma boa aceitação referente a participação das mulheres nos canteiros de obra, devido ao fato de afirmarem que as mulheres</w:t>
      </w:r>
    </w:p>
    <w:p w:rsidR="00D24E61" w:rsidRPr="00771368" w:rsidRDefault="00D24E61">
      <w:pPr>
        <w:sectPr w:rsidR="00D24E61" w:rsidRPr="00771368">
          <w:pgSz w:w="11900" w:h="16838"/>
          <w:pgMar w:top="1440" w:right="1120" w:bottom="1440" w:left="1700" w:header="0" w:footer="0" w:gutter="0"/>
          <w:cols w:space="720" w:equalWidth="0">
            <w:col w:w="9080"/>
          </w:cols>
        </w:sectPr>
      </w:pPr>
    </w:p>
    <w:p w:rsidR="00D24E61" w:rsidRPr="00771368" w:rsidRDefault="00D24E61">
      <w:pPr>
        <w:spacing w:line="313" w:lineRule="exact"/>
        <w:rPr>
          <w:sz w:val="20"/>
          <w:szCs w:val="20"/>
        </w:rPr>
      </w:pPr>
    </w:p>
    <w:p w:rsidR="00D24E61" w:rsidRPr="00771368" w:rsidRDefault="00D24E61">
      <w:pPr>
        <w:spacing w:line="308" w:lineRule="auto"/>
        <w:jc w:val="both"/>
        <w:rPr>
          <w:sz w:val="20"/>
          <w:szCs w:val="20"/>
        </w:rPr>
      </w:pPr>
      <w:r w:rsidRPr="00771368">
        <w:rPr>
          <w:sz w:val="24"/>
          <w:szCs w:val="24"/>
        </w:rPr>
        <w:t>possuem a mesma capacidade que os homens para fazer qualquer tipo de trabalho, independente da função que irá exercer.</w:t>
      </w:r>
    </w:p>
    <w:p w:rsidR="00D24E61" w:rsidRPr="00771368" w:rsidRDefault="00D24E61">
      <w:pPr>
        <w:spacing w:line="120"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Além disso, apesar de afirmarem que é um fato curioso, os clientes justificaram que as mulheres são capazes de realizar as mesmas atividades que os homens e, pelo fato de serem mais detalhistas, podem ser peças importantes para as construtoras na hora de realizar os acabamentos das obras, pelo fato de terem mais calma e realizarem as atividades com maior paciência.</w:t>
      </w:r>
    </w:p>
    <w:p w:rsidR="00D24E61" w:rsidRPr="00771368" w:rsidRDefault="00D24E61">
      <w:pPr>
        <w:spacing w:line="74" w:lineRule="exact"/>
        <w:rPr>
          <w:sz w:val="20"/>
          <w:szCs w:val="20"/>
        </w:rPr>
      </w:pPr>
    </w:p>
    <w:p w:rsidR="00D24E61" w:rsidRPr="00771368" w:rsidRDefault="00D24E61">
      <w:pPr>
        <w:spacing w:line="334" w:lineRule="auto"/>
        <w:ind w:firstLine="708"/>
        <w:jc w:val="both"/>
        <w:rPr>
          <w:sz w:val="20"/>
          <w:szCs w:val="20"/>
        </w:rPr>
      </w:pPr>
      <w:r w:rsidRPr="00771368">
        <w:rPr>
          <w:sz w:val="24"/>
          <w:szCs w:val="24"/>
        </w:rPr>
        <w:t>Por outro lado, um cliente afirmou ainda que “Não vejo as mulheres construindo casas, carregando tijolos e sacos de cimento” outro ainda afirmou que “As mulheres não tem condições de exercer essa função, além de que não tem nem estrutura física para isso”.</w:t>
      </w:r>
    </w:p>
    <w:p w:rsidR="00D24E61" w:rsidRPr="00771368" w:rsidRDefault="00D24E61">
      <w:pPr>
        <w:spacing w:line="92" w:lineRule="exact"/>
        <w:rPr>
          <w:sz w:val="20"/>
          <w:szCs w:val="20"/>
        </w:rPr>
      </w:pPr>
    </w:p>
    <w:p w:rsidR="00D24E61" w:rsidRPr="00771368" w:rsidRDefault="00D24E61">
      <w:pPr>
        <w:spacing w:line="334" w:lineRule="auto"/>
        <w:ind w:firstLine="708"/>
        <w:jc w:val="both"/>
        <w:rPr>
          <w:sz w:val="20"/>
          <w:szCs w:val="20"/>
        </w:rPr>
      </w:pPr>
      <w:r w:rsidRPr="00771368">
        <w:rPr>
          <w:sz w:val="24"/>
          <w:szCs w:val="24"/>
        </w:rPr>
        <w:t>Já, uma pequena parcela dos clientes afirmou que não pensa que as mulheres sejam capazes de exercer certas funções, como é o caso do setor de construção civil, pelo fato de ser este um trabalho mais pesado, e que exige maior força física do trabalhador.</w:t>
      </w:r>
    </w:p>
    <w:p w:rsidR="00D24E61" w:rsidRPr="00771368" w:rsidRDefault="00D24E61">
      <w:pPr>
        <w:spacing w:line="89" w:lineRule="exact"/>
        <w:rPr>
          <w:sz w:val="20"/>
          <w:szCs w:val="20"/>
        </w:rPr>
      </w:pPr>
    </w:p>
    <w:p w:rsidR="00D24E61" w:rsidRPr="00771368" w:rsidRDefault="00D24E61">
      <w:pPr>
        <w:spacing w:line="349" w:lineRule="auto"/>
        <w:ind w:firstLine="708"/>
        <w:jc w:val="both"/>
        <w:rPr>
          <w:sz w:val="20"/>
          <w:szCs w:val="20"/>
        </w:rPr>
      </w:pPr>
      <w:r w:rsidRPr="00771368">
        <w:rPr>
          <w:sz w:val="24"/>
          <w:szCs w:val="24"/>
        </w:rPr>
        <w:t>Com o que foi exposto, percebe-se que ainda existe preconceito quanto a este tipo de função ser exercido por pessoas do sexo feminino. No entanto, vale destacar neste item que quando os clientes foram questionados se tinham algum tipo de preconceito ou se faziam diferença no tratamento com as pessoas, todos os clientes entrevistados afirmaram que não tinham qualquer tipo de preconceito e ainda afirmaram que não faziam qualquer diferença no tratamento com as pessoas.</w:t>
      </w:r>
    </w:p>
    <w:p w:rsidR="00D24E61" w:rsidRPr="00771368" w:rsidRDefault="00D24E61">
      <w:pPr>
        <w:spacing w:line="77"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Por fim, os clientes foram ainda questionados se haveria algum problema se, na elaboração da sua obra existisse a presença feminina. O gráfico a seguir apresenta os resultados.</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698176" behindDoc="1" locked="0" layoutInCell="0" allowOverlap="1">
            <wp:simplePos x="0" y="0"/>
            <wp:positionH relativeFrom="column">
              <wp:posOffset>0</wp:posOffset>
            </wp:positionH>
            <wp:positionV relativeFrom="paragraph">
              <wp:posOffset>287020</wp:posOffset>
            </wp:positionV>
            <wp:extent cx="2475865" cy="1464310"/>
            <wp:effectExtent l="0" t="0" r="0" b="0"/>
            <wp:wrapNone/>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5" cstate="print">
                      <a:extLst/>
                    </a:blip>
                    <a:srcRect/>
                    <a:stretch>
                      <a:fillRect/>
                    </a:stretch>
                  </pic:blipFill>
                  <pic:spPr bwMode="auto">
                    <a:xfrm>
                      <a:off x="0" y="0"/>
                      <a:ext cx="2475865" cy="1464310"/>
                    </a:xfrm>
                    <a:prstGeom prst="rect">
                      <a:avLst/>
                    </a:prstGeom>
                    <a:noFill/>
                  </pic:spPr>
                </pic:pic>
              </a:graphicData>
            </a:graphic>
          </wp:anchor>
        </w:drawing>
      </w:r>
    </w:p>
    <w:p w:rsidR="00D24E61" w:rsidRPr="00771368" w:rsidRDefault="00D24E61">
      <w:pPr>
        <w:spacing w:line="322" w:lineRule="exact"/>
        <w:rPr>
          <w:sz w:val="20"/>
          <w:szCs w:val="20"/>
        </w:rPr>
      </w:pPr>
    </w:p>
    <w:p w:rsidR="00D24E61" w:rsidRPr="00771368" w:rsidRDefault="00D24E61">
      <w:pPr>
        <w:ind w:left="1540"/>
        <w:rPr>
          <w:sz w:val="20"/>
          <w:szCs w:val="20"/>
        </w:rPr>
      </w:pPr>
      <w:r w:rsidRPr="00771368">
        <w:rPr>
          <w:rFonts w:eastAsia="Calibri"/>
          <w:sz w:val="20"/>
          <w:szCs w:val="20"/>
        </w:rPr>
        <w:t>4%</w:t>
      </w:r>
    </w:p>
    <w:p w:rsidR="00D24E61" w:rsidRPr="00771368" w:rsidRDefault="00D24E61">
      <w:pPr>
        <w:spacing w:line="200" w:lineRule="exact"/>
        <w:rPr>
          <w:sz w:val="20"/>
          <w:szCs w:val="20"/>
        </w:rPr>
      </w:pPr>
    </w:p>
    <w:p w:rsidR="00D24E61" w:rsidRPr="00771368" w:rsidRDefault="00D24E61">
      <w:pPr>
        <w:spacing w:line="319" w:lineRule="exact"/>
        <w:rPr>
          <w:sz w:val="20"/>
          <w:szCs w:val="20"/>
        </w:rPr>
      </w:pPr>
    </w:p>
    <w:p w:rsidR="00D24E61" w:rsidRPr="00771368" w:rsidRDefault="00D24E61">
      <w:pPr>
        <w:ind w:left="3200"/>
        <w:rPr>
          <w:sz w:val="20"/>
          <w:szCs w:val="20"/>
        </w:rPr>
      </w:pPr>
      <w:r w:rsidRPr="00771368">
        <w:rPr>
          <w:noProof/>
          <w:sz w:val="20"/>
          <w:szCs w:val="20"/>
        </w:rPr>
        <w:drawing>
          <wp:inline distT="0" distB="0" distL="0" distR="0">
            <wp:extent cx="69850" cy="69850"/>
            <wp:effectExtent l="0" t="0" r="0" b="0"/>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9" cstate="print">
                      <a:extLst/>
                    </a:blip>
                    <a:srcRect/>
                    <a:stretch>
                      <a:fillRect/>
                    </a:stretch>
                  </pic:blipFill>
                  <pic:spPr bwMode="auto">
                    <a:xfrm>
                      <a:off x="0" y="0"/>
                      <a:ext cx="69850" cy="69850"/>
                    </a:xfrm>
                    <a:prstGeom prst="rect">
                      <a:avLst/>
                    </a:prstGeom>
                    <a:noFill/>
                    <a:ln>
                      <a:noFill/>
                    </a:ln>
                  </pic:spPr>
                </pic:pic>
              </a:graphicData>
            </a:graphic>
          </wp:inline>
        </w:drawing>
      </w:r>
      <w:r w:rsidRPr="00771368">
        <w:rPr>
          <w:rFonts w:eastAsia="Calibri"/>
          <w:sz w:val="20"/>
          <w:szCs w:val="20"/>
        </w:rPr>
        <w:t xml:space="preserve"> Sim</w:t>
      </w:r>
    </w:p>
    <w:p w:rsidR="00D24E61" w:rsidRPr="00771368" w:rsidRDefault="00D24E61">
      <w:pPr>
        <w:spacing w:line="118" w:lineRule="exact"/>
        <w:rPr>
          <w:sz w:val="20"/>
          <w:szCs w:val="20"/>
        </w:rPr>
      </w:pPr>
    </w:p>
    <w:p w:rsidR="00D24E61" w:rsidRPr="00771368" w:rsidRDefault="00D24E61">
      <w:pPr>
        <w:ind w:left="3200"/>
        <w:rPr>
          <w:sz w:val="20"/>
          <w:szCs w:val="20"/>
        </w:rPr>
      </w:pPr>
      <w:r w:rsidRPr="00771368">
        <w:rPr>
          <w:noProof/>
          <w:sz w:val="20"/>
          <w:szCs w:val="20"/>
        </w:rPr>
        <w:drawing>
          <wp:inline distT="0" distB="0" distL="0" distR="0">
            <wp:extent cx="69850" cy="69850"/>
            <wp:effectExtent l="0" t="0" r="0" b="0"/>
            <wp:docPr id="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3" cstate="print">
                      <a:extLst/>
                    </a:blip>
                    <a:srcRect/>
                    <a:stretch>
                      <a:fillRect/>
                    </a:stretch>
                  </pic:blipFill>
                  <pic:spPr bwMode="auto">
                    <a:xfrm>
                      <a:off x="0" y="0"/>
                      <a:ext cx="69850" cy="69850"/>
                    </a:xfrm>
                    <a:prstGeom prst="rect">
                      <a:avLst/>
                    </a:prstGeom>
                    <a:noFill/>
                    <a:ln>
                      <a:noFill/>
                    </a:ln>
                  </pic:spPr>
                </pic:pic>
              </a:graphicData>
            </a:graphic>
          </wp:inline>
        </w:drawing>
      </w:r>
      <w:r w:rsidRPr="00771368">
        <w:rPr>
          <w:rFonts w:eastAsia="Calibri"/>
          <w:sz w:val="20"/>
          <w:szCs w:val="20"/>
        </w:rPr>
        <w:t xml:space="preserve"> Não</w:t>
      </w:r>
    </w:p>
    <w:p w:rsidR="00D24E61" w:rsidRPr="00771368" w:rsidRDefault="00D24E61">
      <w:pPr>
        <w:spacing w:line="235" w:lineRule="auto"/>
        <w:ind w:left="1160"/>
        <w:rPr>
          <w:sz w:val="20"/>
          <w:szCs w:val="20"/>
        </w:rPr>
      </w:pPr>
      <w:r w:rsidRPr="00771368">
        <w:rPr>
          <w:rFonts w:eastAsia="Calibri"/>
          <w:sz w:val="20"/>
          <w:szCs w:val="20"/>
        </w:rPr>
        <w:t>96%</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71" w:lineRule="exact"/>
        <w:rPr>
          <w:sz w:val="20"/>
          <w:szCs w:val="20"/>
        </w:rPr>
      </w:pPr>
    </w:p>
    <w:p w:rsidR="00D24E61" w:rsidRPr="00771368" w:rsidRDefault="00D24E61">
      <w:pPr>
        <w:spacing w:line="239" w:lineRule="auto"/>
        <w:rPr>
          <w:sz w:val="20"/>
          <w:szCs w:val="20"/>
        </w:rPr>
      </w:pPr>
      <w:r w:rsidRPr="00771368">
        <w:rPr>
          <w:sz w:val="20"/>
          <w:szCs w:val="20"/>
        </w:rPr>
        <w:t>Gráfico 6: A presença feminina na construção das suas obras.</w:t>
      </w:r>
    </w:p>
    <w:p w:rsidR="00D24E61" w:rsidRPr="00771368" w:rsidRDefault="00D24E61">
      <w:pPr>
        <w:spacing w:line="1" w:lineRule="exact"/>
        <w:rPr>
          <w:sz w:val="20"/>
          <w:szCs w:val="20"/>
        </w:rPr>
      </w:pPr>
    </w:p>
    <w:p w:rsidR="00D24E61" w:rsidRPr="00771368" w:rsidRDefault="00D24E61">
      <w:pPr>
        <w:spacing w:line="239" w:lineRule="auto"/>
        <w:rPr>
          <w:sz w:val="20"/>
          <w:szCs w:val="20"/>
        </w:rPr>
      </w:pPr>
      <w:r w:rsidRPr="00771368">
        <w:rPr>
          <w:sz w:val="20"/>
          <w:szCs w:val="20"/>
        </w:rPr>
        <w:t>Fonte: Elaborado pela autora.</w:t>
      </w:r>
    </w:p>
    <w:p w:rsidR="00D24E61" w:rsidRPr="00771368" w:rsidRDefault="00D24E61">
      <w:pPr>
        <w:sectPr w:rsidR="00D24E61" w:rsidRPr="00771368">
          <w:pgSz w:w="11900" w:h="16838"/>
          <w:pgMar w:top="1440" w:right="1120" w:bottom="1440" w:left="170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08" w:lineRule="auto"/>
        <w:ind w:firstLine="708"/>
        <w:rPr>
          <w:sz w:val="20"/>
          <w:szCs w:val="20"/>
        </w:rPr>
      </w:pPr>
      <w:r w:rsidRPr="00771368">
        <w:rPr>
          <w:sz w:val="24"/>
          <w:szCs w:val="24"/>
        </w:rPr>
        <w:t>Os clientes então foram questionados se haveria algum problema se houvesse a participação de pessoas do sexo feminino na construção das suas obras. E 96% do público</w:t>
      </w:r>
    </w:p>
    <w:p w:rsidR="00D24E61" w:rsidRPr="00771368" w:rsidRDefault="00D24E61">
      <w:pPr>
        <w:sectPr w:rsidR="00D24E61" w:rsidRPr="00771368">
          <w:type w:val="continuous"/>
          <w:pgSz w:w="11900" w:h="16838"/>
          <w:pgMar w:top="1440" w:right="1120" w:bottom="1440" w:left="1700" w:header="0" w:footer="0" w:gutter="0"/>
          <w:cols w:space="720" w:equalWidth="0">
            <w:col w:w="9080"/>
          </w:cols>
        </w:sectPr>
      </w:pPr>
    </w:p>
    <w:p w:rsidR="00D24E61" w:rsidRPr="00771368" w:rsidRDefault="00D24E61">
      <w:pPr>
        <w:spacing w:line="313" w:lineRule="exact"/>
        <w:rPr>
          <w:sz w:val="20"/>
          <w:szCs w:val="20"/>
        </w:rPr>
      </w:pPr>
    </w:p>
    <w:p w:rsidR="00D24E61" w:rsidRPr="00771368" w:rsidRDefault="00D24E61">
      <w:pPr>
        <w:spacing w:line="308" w:lineRule="auto"/>
        <w:ind w:right="20"/>
        <w:jc w:val="both"/>
        <w:rPr>
          <w:sz w:val="20"/>
          <w:szCs w:val="20"/>
        </w:rPr>
      </w:pPr>
      <w:r w:rsidRPr="00771368">
        <w:rPr>
          <w:sz w:val="24"/>
          <w:szCs w:val="24"/>
        </w:rPr>
        <w:t>pesquisado afirmou que não haveria nenhum problema, já, outros 4% afirmaram que haveria problema e não estariam satisfeitos se houvesse mulheres construindo as suas obras.</w:t>
      </w:r>
    </w:p>
    <w:p w:rsidR="00D24E61" w:rsidRPr="00771368" w:rsidRDefault="00D24E61">
      <w:pPr>
        <w:spacing w:line="120" w:lineRule="exact"/>
        <w:rPr>
          <w:sz w:val="20"/>
          <w:szCs w:val="20"/>
        </w:rPr>
      </w:pPr>
    </w:p>
    <w:p w:rsidR="00D24E61" w:rsidRPr="00771368" w:rsidRDefault="00D24E61">
      <w:pPr>
        <w:spacing w:line="308" w:lineRule="auto"/>
        <w:ind w:firstLine="708"/>
        <w:jc w:val="both"/>
        <w:rPr>
          <w:sz w:val="20"/>
          <w:szCs w:val="20"/>
        </w:rPr>
      </w:pPr>
      <w:r w:rsidRPr="00771368">
        <w:rPr>
          <w:sz w:val="24"/>
          <w:szCs w:val="24"/>
        </w:rPr>
        <w:t>Com isso, buscou-se saber sobre os motivos que levam os clientes a aceitar ou não as mulheres nos canteiros de obras. Então, um cliente afirmou que “Se elas estão ai trabalhando</w:t>
      </w:r>
    </w:p>
    <w:p w:rsidR="00D24E61" w:rsidRPr="00771368" w:rsidRDefault="00D24E61">
      <w:pPr>
        <w:spacing w:line="120" w:lineRule="exact"/>
        <w:rPr>
          <w:sz w:val="20"/>
          <w:szCs w:val="20"/>
        </w:rPr>
      </w:pPr>
    </w:p>
    <w:p w:rsidR="00D24E61" w:rsidRPr="00771368" w:rsidRDefault="00D24E61">
      <w:pPr>
        <w:spacing w:line="342" w:lineRule="auto"/>
        <w:jc w:val="both"/>
        <w:rPr>
          <w:sz w:val="20"/>
          <w:szCs w:val="20"/>
        </w:rPr>
      </w:pPr>
      <w:r w:rsidRPr="00771368">
        <w:rPr>
          <w:sz w:val="24"/>
          <w:szCs w:val="24"/>
        </w:rPr>
        <w:t>é por que elas têm capacidade para exercer esta função, por que elas entendem o que estão fazendo e estão ai por seu mérito e seu esforço”. Outro entrevistado ainda afirmou que “A gente tem que valorizar o trabalho da mulher e ela tem capacidade e é esforçada, por isso ela está ali trabalhando”.</w:t>
      </w:r>
    </w:p>
    <w:p w:rsidR="00D24E61" w:rsidRPr="00771368" w:rsidRDefault="00D24E61">
      <w:pPr>
        <w:spacing w:line="83"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Ainda, a grande maioria dos clientes afirmaram que “Não tem problema nenhum, por que, o que importa é que a obra seja concluída com qualidade e no prazo combinado, independente se quem construiu foi um homem ou uma mulher”. Ainda, outros disseram que</w:t>
      </w:r>
    </w:p>
    <w:p w:rsidR="00D24E61" w:rsidRPr="00771368" w:rsidRDefault="00D24E61">
      <w:pPr>
        <w:spacing w:line="89" w:lineRule="exact"/>
        <w:rPr>
          <w:sz w:val="20"/>
          <w:szCs w:val="20"/>
        </w:rPr>
      </w:pPr>
    </w:p>
    <w:p w:rsidR="00D24E61" w:rsidRPr="00771368" w:rsidRDefault="00D24E61">
      <w:pPr>
        <w:spacing w:line="343" w:lineRule="auto"/>
        <w:jc w:val="both"/>
        <w:rPr>
          <w:sz w:val="20"/>
          <w:szCs w:val="20"/>
        </w:rPr>
      </w:pPr>
      <w:r w:rsidRPr="00771368">
        <w:rPr>
          <w:sz w:val="24"/>
          <w:szCs w:val="24"/>
        </w:rPr>
        <w:t>“Não importa o sexo da pessoa que está construindo, o que importa é o resultado final”. Há ainda um cliente que afirmou que “Ficaria contente e teria a certeza que no final o trabalho seria bem feito por que as mulheres são muito detalhistas e cuidadosas com o que fazem, então principalmente os acabamentos ficariam de primeira qualidade”.</w:t>
      </w:r>
    </w:p>
    <w:p w:rsidR="00D24E61" w:rsidRPr="00771368" w:rsidRDefault="00D24E61">
      <w:pPr>
        <w:spacing w:line="78" w:lineRule="exact"/>
        <w:rPr>
          <w:sz w:val="20"/>
          <w:szCs w:val="20"/>
        </w:rPr>
      </w:pPr>
    </w:p>
    <w:p w:rsidR="00D24E61" w:rsidRPr="00771368" w:rsidRDefault="00D24E61">
      <w:pPr>
        <w:spacing w:line="342" w:lineRule="auto"/>
        <w:ind w:firstLine="708"/>
        <w:jc w:val="both"/>
        <w:rPr>
          <w:sz w:val="20"/>
          <w:szCs w:val="20"/>
        </w:rPr>
      </w:pPr>
      <w:r w:rsidRPr="00771368">
        <w:rPr>
          <w:sz w:val="24"/>
          <w:szCs w:val="24"/>
        </w:rPr>
        <w:t>Nota-se que uma grande parcela de clientes estaria satisfeita se a construção de suas obras fossem realizadas por pessoas do sexo feminino, em especial se os acabamentos fossem realizados por elas, pois como foi mencionado, as mulheres são mais detalhistas e buscam melhor qualidade nos detalhes.</w:t>
      </w:r>
    </w:p>
    <w:p w:rsidR="00D24E61" w:rsidRPr="00771368" w:rsidRDefault="00D24E61">
      <w:pPr>
        <w:spacing w:line="8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No entanto, um cliente que se mostrou insatisfeito quanto a presença feminina no canteiro da sua obra afirmou que “Não gostaria que minha casa fosse construída por uma mulher, pois penso que ela não seria capaz de fazer um bom trabalho”. Outro ainda afirmou que “Elas não fariam um trabalho bem feito por que elas não tem experiência para fazer isso”.</w:t>
      </w:r>
    </w:p>
    <w:p w:rsidR="00D24E61" w:rsidRPr="00771368" w:rsidRDefault="00D24E61">
      <w:pPr>
        <w:spacing w:line="8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Vale frisar que quando os clientes foram questionados todos afirmaram que não fazem qualquer diferença entre as pessoas, e tratam todos os indivíduos com respeito, além de afirmarem que não possuem qualquer tipo de preconceito. Com isso, nota-se que existe certa divergência de opiniões quanto as respostas de alguns dos entrevistados.</w:t>
      </w:r>
    </w:p>
    <w:p w:rsidR="00D24E61" w:rsidRPr="00771368" w:rsidRDefault="00D24E61">
      <w:pPr>
        <w:spacing w:line="200" w:lineRule="exact"/>
        <w:rPr>
          <w:sz w:val="20"/>
          <w:szCs w:val="20"/>
        </w:rPr>
      </w:pPr>
    </w:p>
    <w:p w:rsidR="00D24E61" w:rsidRPr="00771368" w:rsidRDefault="00D24E61">
      <w:pPr>
        <w:spacing w:line="243" w:lineRule="exact"/>
        <w:rPr>
          <w:sz w:val="20"/>
          <w:szCs w:val="20"/>
        </w:rPr>
      </w:pPr>
    </w:p>
    <w:p w:rsidR="00D24E61" w:rsidRPr="00771368" w:rsidRDefault="00D24E61">
      <w:pPr>
        <w:rPr>
          <w:sz w:val="20"/>
          <w:szCs w:val="20"/>
        </w:rPr>
      </w:pPr>
      <w:r w:rsidRPr="00771368">
        <w:rPr>
          <w:b/>
          <w:bCs/>
          <w:sz w:val="24"/>
          <w:szCs w:val="24"/>
        </w:rPr>
        <w:t>Conclusão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34" w:lineRule="auto"/>
        <w:ind w:firstLine="708"/>
        <w:jc w:val="both"/>
        <w:rPr>
          <w:sz w:val="20"/>
          <w:szCs w:val="20"/>
        </w:rPr>
      </w:pPr>
      <w:r w:rsidRPr="00771368">
        <w:rPr>
          <w:sz w:val="24"/>
          <w:szCs w:val="24"/>
        </w:rPr>
        <w:t>Com a elaboração da presente pesquisa, pode-se perceber qual é a aceitação dos clientes de uma construtora da cidade de Marau-RS referente a participação de pessoas do sexo feminino no canteiro de obra das construções civis.</w:t>
      </w:r>
    </w:p>
    <w:p w:rsidR="00D24E61" w:rsidRPr="00771368" w:rsidRDefault="00D24E61">
      <w:pPr>
        <w:sectPr w:rsidR="00D24E61" w:rsidRPr="00771368">
          <w:pgSz w:w="11900" w:h="16838"/>
          <w:pgMar w:top="1440" w:right="1120" w:bottom="1440" w:left="1700" w:header="0" w:footer="0" w:gutter="0"/>
          <w:cols w:space="720" w:equalWidth="0">
            <w:col w:w="9080"/>
          </w:cols>
        </w:sectPr>
      </w:pPr>
    </w:p>
    <w:p w:rsidR="00D24E61" w:rsidRPr="00771368" w:rsidRDefault="00D24E61">
      <w:pPr>
        <w:spacing w:line="31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A empresa em estudo está localizada em um tradicional bairro da cidade de Marau-RS. Com instalações próprias, a empresa atende clientes da cidade em que está instalada e em toda a região, sempre buscando a qualidade dos seus produtos e a satisfação dos seus clientes. A empresa conta com um quadro de 12 colaboradores.</w:t>
      </w:r>
    </w:p>
    <w:p w:rsidR="00D24E61" w:rsidRPr="00771368" w:rsidRDefault="00D24E61">
      <w:pPr>
        <w:spacing w:line="83" w:lineRule="exact"/>
        <w:rPr>
          <w:sz w:val="20"/>
          <w:szCs w:val="20"/>
        </w:rPr>
      </w:pPr>
    </w:p>
    <w:p w:rsidR="00D24E61" w:rsidRPr="00771368" w:rsidRDefault="00D24E61">
      <w:pPr>
        <w:spacing w:line="351" w:lineRule="auto"/>
        <w:ind w:firstLine="708"/>
        <w:jc w:val="both"/>
        <w:rPr>
          <w:sz w:val="20"/>
          <w:szCs w:val="20"/>
        </w:rPr>
      </w:pPr>
      <w:r w:rsidRPr="00771368">
        <w:rPr>
          <w:sz w:val="24"/>
          <w:szCs w:val="24"/>
        </w:rPr>
        <w:t>Para a realização da presente pesquisa foram entrevistados uma amostra de 58 clientes do estabelecimento. Os mesmos foram escolhidos de forma aleatória, sendo que havia a possibilidade de qualquer pessoa ser escolhida para responder a entrevista. A mesma foi aplicada dentro do estabelecimento comercial, por não haver qualquer tipo de influencia nas respostas pelo fato de a empresa não contar com a participação de nenhuma mulher na construção de suas obras. A entrevista seguiu um modelo estruturado, com perguntas abertas e fechadas, onde o entrevistado pode dar a sua opinião em relação ao item pesquisado.</w:t>
      </w:r>
    </w:p>
    <w:p w:rsidR="00D24E61" w:rsidRPr="00771368" w:rsidRDefault="00D24E61">
      <w:pPr>
        <w:spacing w:line="72" w:lineRule="exact"/>
        <w:rPr>
          <w:sz w:val="20"/>
          <w:szCs w:val="20"/>
        </w:rPr>
      </w:pPr>
    </w:p>
    <w:p w:rsidR="00D24E61" w:rsidRPr="00771368" w:rsidRDefault="00D24E61">
      <w:pPr>
        <w:spacing w:line="343" w:lineRule="auto"/>
        <w:ind w:firstLine="708"/>
        <w:jc w:val="both"/>
        <w:rPr>
          <w:sz w:val="20"/>
          <w:szCs w:val="20"/>
        </w:rPr>
      </w:pPr>
      <w:r w:rsidRPr="00771368">
        <w:rPr>
          <w:sz w:val="24"/>
          <w:szCs w:val="24"/>
        </w:rPr>
        <w:t>Portanto, com a elaboração da pesquisa, pode-se perceber que todos os clientes da construtora afirmaram que não possuem qualquer tipo de preconceito, ou então, não fazem qualquer distinção das pessoas, tratam todos de igual maneira, independente de qualquer diferença que possam ter.</w:t>
      </w:r>
    </w:p>
    <w:p w:rsidR="00D24E61" w:rsidRPr="00771368" w:rsidRDefault="00D24E61">
      <w:pPr>
        <w:spacing w:line="78"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Ainda, pode-se perceber que uma parcela significativa de clientes da construtora pensam que as pessoas são diferentes umas das outras, eles afirmam que cada pessoa tem uma maneira diferente de pensar e de agir, as pessoas tem atitudes diferentes, maneiras diferentes de ver e enfrentar os problemas, até mesmo cada uma tem capacidades diferentes de trabalhar e exercer suas funções.</w:t>
      </w:r>
    </w:p>
    <w:p w:rsidR="00D24E61" w:rsidRPr="00771368" w:rsidRDefault="00D24E61">
      <w:pPr>
        <w:spacing w:line="74" w:lineRule="exact"/>
        <w:rPr>
          <w:sz w:val="20"/>
          <w:szCs w:val="20"/>
        </w:rPr>
      </w:pPr>
    </w:p>
    <w:p w:rsidR="00D24E61" w:rsidRPr="00771368" w:rsidRDefault="00D24E61">
      <w:pPr>
        <w:spacing w:line="343" w:lineRule="auto"/>
        <w:ind w:firstLine="708"/>
        <w:jc w:val="both"/>
        <w:rPr>
          <w:sz w:val="20"/>
          <w:szCs w:val="20"/>
        </w:rPr>
      </w:pPr>
      <w:r w:rsidRPr="00771368">
        <w:rPr>
          <w:sz w:val="24"/>
          <w:szCs w:val="24"/>
        </w:rPr>
        <w:t>Por outro lado, uma pequena parcela dos clientes afirmou que as pessoas são iguais e justificaram-se dizendo que cada um tem direitos e deveres iguais a cumprir, indiferente do estilo de vida que leva, além de que cada pessoa tem capacidade e poder de exercer seu trabalho da melhor maneira.</w:t>
      </w:r>
    </w:p>
    <w:p w:rsidR="00D24E61" w:rsidRPr="00771368" w:rsidRDefault="00D24E61">
      <w:pPr>
        <w:spacing w:line="78" w:lineRule="exact"/>
        <w:rPr>
          <w:sz w:val="20"/>
          <w:szCs w:val="20"/>
        </w:rPr>
      </w:pPr>
    </w:p>
    <w:p w:rsidR="00D24E61" w:rsidRPr="00771368" w:rsidRDefault="00D24E61">
      <w:pPr>
        <w:spacing w:line="343" w:lineRule="auto"/>
        <w:ind w:firstLine="708"/>
        <w:jc w:val="both"/>
        <w:rPr>
          <w:sz w:val="20"/>
          <w:szCs w:val="20"/>
        </w:rPr>
      </w:pPr>
      <w:r w:rsidRPr="00771368">
        <w:rPr>
          <w:sz w:val="24"/>
          <w:szCs w:val="24"/>
        </w:rPr>
        <w:t>Quanto ao interesse em conhecer as pessoas que realizariam a sua obra, os clientes afirmaram que não se preocupam muito com isso, pois afirmaram que o importante é que a obra seja concluída dentro do prazo combinado, e com qualidade, independente do funcionário que está realizando a construção.</w:t>
      </w:r>
    </w:p>
    <w:p w:rsidR="00D24E61" w:rsidRPr="00771368" w:rsidRDefault="00D24E61">
      <w:pPr>
        <w:spacing w:line="79" w:lineRule="exact"/>
        <w:rPr>
          <w:sz w:val="20"/>
          <w:szCs w:val="20"/>
        </w:rPr>
      </w:pPr>
    </w:p>
    <w:p w:rsidR="00D24E61" w:rsidRPr="00771368" w:rsidRDefault="00D24E61">
      <w:pPr>
        <w:spacing w:line="350" w:lineRule="auto"/>
        <w:ind w:firstLine="708"/>
        <w:jc w:val="both"/>
        <w:rPr>
          <w:sz w:val="20"/>
          <w:szCs w:val="20"/>
        </w:rPr>
      </w:pPr>
      <w:r w:rsidRPr="00771368">
        <w:rPr>
          <w:sz w:val="24"/>
          <w:szCs w:val="24"/>
        </w:rPr>
        <w:t>Quando os clientes foram questionados sobre o fato de haver a presença feminina nos canteiros das obras civis, os mesmos mostraram-se um tanto surpresos, e afirmaram que não é comum ou então é um fato curioso haver a presença feminina nas obras. Quando foram questionados os motivos das respostas, a grande maioria dos clientes afirmou que as mulheres possuem a mesma capacidade que os homens, e elas também têm o direito de mostrar o seu trabalho e a sua capacidade em fazer bem feito.</w:t>
      </w:r>
    </w:p>
    <w:p w:rsidR="00D24E61" w:rsidRPr="00771368" w:rsidRDefault="00D24E61">
      <w:pPr>
        <w:sectPr w:rsidR="00D24E61" w:rsidRPr="00771368">
          <w:pgSz w:w="11900" w:h="16838"/>
          <w:pgMar w:top="1440" w:right="1120" w:bottom="803" w:left="1700" w:header="0" w:footer="0" w:gutter="0"/>
          <w:cols w:space="720" w:equalWidth="0">
            <w:col w:w="9080"/>
          </w:cols>
        </w:sectPr>
      </w:pPr>
    </w:p>
    <w:p w:rsidR="00D24E61" w:rsidRPr="00771368" w:rsidRDefault="00D24E61">
      <w:pPr>
        <w:spacing w:line="351" w:lineRule="auto"/>
        <w:ind w:firstLine="708"/>
        <w:jc w:val="both"/>
        <w:rPr>
          <w:sz w:val="20"/>
          <w:szCs w:val="20"/>
        </w:rPr>
      </w:pPr>
      <w:r w:rsidRPr="00771368">
        <w:rPr>
          <w:sz w:val="24"/>
          <w:szCs w:val="24"/>
        </w:rPr>
        <w:t>Alguns clientes justificaram ainda que no mercado de trabalho atual, não existe mais esta distinção de funções em relação ao gênero do colaborador. Paralelo a isso, alguns clientes afirmaram que, devido ao fato de as mulheres serem muito detalhistas, elas seriam muito uteis no setor de acabamento das construções, pois esse setor demanda maior atenção e paciência para um serviço com qualidade. Há ainda um cliente que afirmou já conhecer mulheres que prestam serviços nos canteiros de obras, e fazem-no com muita eficiência e atenção, para que o serviço seja executado com qualidade.</w:t>
      </w:r>
    </w:p>
    <w:p w:rsidR="00D24E61" w:rsidRPr="00771368" w:rsidRDefault="00D24E61">
      <w:pPr>
        <w:spacing w:line="71" w:lineRule="exact"/>
        <w:rPr>
          <w:sz w:val="20"/>
          <w:szCs w:val="20"/>
        </w:rPr>
      </w:pPr>
    </w:p>
    <w:p w:rsidR="00D24E61" w:rsidRPr="00771368" w:rsidRDefault="00D24E61">
      <w:pPr>
        <w:spacing w:line="347" w:lineRule="auto"/>
        <w:ind w:firstLine="708"/>
        <w:jc w:val="both"/>
        <w:rPr>
          <w:sz w:val="20"/>
          <w:szCs w:val="20"/>
        </w:rPr>
      </w:pPr>
      <w:r w:rsidRPr="00771368">
        <w:rPr>
          <w:sz w:val="24"/>
          <w:szCs w:val="24"/>
        </w:rPr>
        <w:t>Houve ainda uma pequena parcela de clientes que afirmaram que não seria ideal a presença feminina nas obras, devido ao fato de não terem a experiência suficiente que o setor necessita para que o trabalho seja concluído com a qualidade necessária. Ainda justificaram que as mulheres normalmente não possuem força física suficiente que a profissão necessita para a execução do serviço.</w:t>
      </w:r>
    </w:p>
    <w:p w:rsidR="00D24E61" w:rsidRPr="00771368" w:rsidRDefault="00D24E61">
      <w:pPr>
        <w:spacing w:line="77" w:lineRule="exact"/>
        <w:rPr>
          <w:sz w:val="20"/>
          <w:szCs w:val="20"/>
        </w:rPr>
      </w:pPr>
    </w:p>
    <w:p w:rsidR="00D24E61" w:rsidRPr="00771368" w:rsidRDefault="00D24E61">
      <w:pPr>
        <w:spacing w:line="342" w:lineRule="auto"/>
        <w:ind w:firstLine="708"/>
        <w:jc w:val="both"/>
        <w:rPr>
          <w:sz w:val="20"/>
          <w:szCs w:val="20"/>
        </w:rPr>
      </w:pPr>
      <w:r w:rsidRPr="00771368">
        <w:rPr>
          <w:sz w:val="24"/>
          <w:szCs w:val="24"/>
        </w:rPr>
        <w:t>Por fim, buscou-se saber se haveria algum problema se houvesse pessoas do sexo feminino trabalhando nas suas obras, e uma significativa parcela de 96% do público pesquisado afirmou que não haveria problema algum se suas obras fossem construídas por mulheres.</w:t>
      </w:r>
    </w:p>
    <w:p w:rsidR="00D24E61" w:rsidRPr="00771368" w:rsidRDefault="00D24E61">
      <w:pPr>
        <w:spacing w:line="83" w:lineRule="exact"/>
        <w:rPr>
          <w:sz w:val="20"/>
          <w:szCs w:val="20"/>
        </w:rPr>
      </w:pPr>
    </w:p>
    <w:p w:rsidR="00D24E61" w:rsidRPr="00771368" w:rsidRDefault="00D24E61">
      <w:pPr>
        <w:spacing w:line="351" w:lineRule="auto"/>
        <w:ind w:firstLine="708"/>
        <w:jc w:val="both"/>
        <w:rPr>
          <w:sz w:val="20"/>
          <w:szCs w:val="20"/>
        </w:rPr>
      </w:pPr>
      <w:r w:rsidRPr="00771368">
        <w:rPr>
          <w:sz w:val="24"/>
          <w:szCs w:val="24"/>
        </w:rPr>
        <w:t>As justificativas para esta aceitação referem-se ao fato de que independente do sexo da pessoa, o que importa é q a obra seja concluída com qualidade e no prazo combinado. Ainda, alguns clientes afirmaram que as mulheres possuem a mesma capacidade de exercer suas funções que os homens, e devido ao fato de elas estarem na construção civil elas entendem o que estão fazendo e estão ai por mérito todo seu, por isso deve haver uma valorização do seu esforço. Além disso, o fato de serem bastante detalhistas e cuidadosas realizarão um trabalho melhor na parte do acabamento das obras.</w:t>
      </w:r>
    </w:p>
    <w:p w:rsidR="00D24E61" w:rsidRPr="00771368" w:rsidRDefault="00D24E61">
      <w:pPr>
        <w:spacing w:line="72" w:lineRule="exact"/>
        <w:rPr>
          <w:sz w:val="20"/>
          <w:szCs w:val="20"/>
        </w:rPr>
      </w:pPr>
    </w:p>
    <w:p w:rsidR="00D24E61" w:rsidRPr="00771368" w:rsidRDefault="00D24E61">
      <w:pPr>
        <w:spacing w:line="342" w:lineRule="auto"/>
        <w:ind w:firstLine="708"/>
        <w:jc w:val="both"/>
        <w:rPr>
          <w:sz w:val="20"/>
          <w:szCs w:val="20"/>
        </w:rPr>
      </w:pPr>
      <w:r w:rsidRPr="00771368">
        <w:rPr>
          <w:sz w:val="24"/>
          <w:szCs w:val="24"/>
        </w:rPr>
        <w:t>Por outro lado, os 4% de clientes que afirmaram não aceitar que suas casas sejam construídas por mulheres justificam que as mulheres não seriam capazes o suficiente de fazer um serviço bem feito até pelo fato de não possuírem a experiência indispensável que o setor necessita.</w:t>
      </w:r>
    </w:p>
    <w:p w:rsidR="00D24E61" w:rsidRPr="00771368" w:rsidRDefault="00D24E61">
      <w:pPr>
        <w:spacing w:line="84" w:lineRule="exact"/>
        <w:rPr>
          <w:sz w:val="20"/>
          <w:szCs w:val="20"/>
        </w:rPr>
      </w:pPr>
    </w:p>
    <w:p w:rsidR="00D24E61" w:rsidRPr="00771368" w:rsidRDefault="00D24E61">
      <w:pPr>
        <w:spacing w:line="349" w:lineRule="auto"/>
        <w:ind w:firstLine="708"/>
        <w:jc w:val="both"/>
        <w:rPr>
          <w:sz w:val="20"/>
          <w:szCs w:val="20"/>
        </w:rPr>
      </w:pPr>
      <w:r w:rsidRPr="00771368">
        <w:rPr>
          <w:sz w:val="24"/>
          <w:szCs w:val="24"/>
        </w:rPr>
        <w:t>No entanto é importante destacar que existe certa divergência de opiniões referente a alguns clientes. Pode-se perceber isso devido ao fato de que quando os clientes foram questionados se possuíam algum tipo de preconceito afirmaram não existir nenhum, já, quando foram questionados se aceitariam a presença feminina na construção das suas obras informaram que não aceitariam por acreditar que as mulheres não fariam um bom trabalho por não possuírem experiência suficiente.</w:t>
      </w:r>
    </w:p>
    <w:p w:rsidR="00D24E61" w:rsidRPr="00771368" w:rsidRDefault="00D24E61">
      <w:pPr>
        <w:sectPr w:rsidR="00D24E61" w:rsidRPr="00771368">
          <w:pgSz w:w="11900" w:h="16838"/>
          <w:pgMar w:top="1440" w:right="1120" w:bottom="1440" w:left="1700" w:header="0" w:footer="0" w:gutter="0"/>
          <w:cols w:space="720" w:equalWidth="0">
            <w:col w:w="9080"/>
          </w:cols>
        </w:sectPr>
      </w:pPr>
    </w:p>
    <w:p w:rsidR="00D24E61" w:rsidRPr="00771368" w:rsidRDefault="00D24E61">
      <w:pPr>
        <w:spacing w:line="254" w:lineRule="exact"/>
        <w:rPr>
          <w:sz w:val="20"/>
          <w:szCs w:val="20"/>
        </w:rPr>
      </w:pPr>
    </w:p>
    <w:p w:rsidR="00D24E61" w:rsidRPr="00771368" w:rsidRDefault="00D24E61">
      <w:pPr>
        <w:ind w:left="720"/>
        <w:rPr>
          <w:sz w:val="20"/>
          <w:szCs w:val="20"/>
        </w:rPr>
      </w:pPr>
      <w:r w:rsidRPr="00771368">
        <w:rPr>
          <w:sz w:val="24"/>
          <w:szCs w:val="24"/>
        </w:rPr>
        <w:t>Por fim, pode-se destacar que, ainda nos dias atuais, existe, no entanto em menor</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escala, preconceito com as pessoas. Esse preconceito pode ser percebido, com a realização da</w:t>
      </w:r>
    </w:p>
    <w:p w:rsidR="00D24E61" w:rsidRPr="00771368" w:rsidRDefault="00D24E61">
      <w:pPr>
        <w:spacing w:line="139" w:lineRule="exact"/>
        <w:rPr>
          <w:sz w:val="20"/>
          <w:szCs w:val="20"/>
        </w:rPr>
      </w:pPr>
    </w:p>
    <w:p w:rsidR="00D24E61" w:rsidRPr="00771368" w:rsidRDefault="00D24E61">
      <w:pPr>
        <w:rPr>
          <w:sz w:val="20"/>
          <w:szCs w:val="20"/>
        </w:rPr>
      </w:pPr>
      <w:r w:rsidRPr="00771368">
        <w:rPr>
          <w:sz w:val="24"/>
          <w:szCs w:val="24"/>
        </w:rPr>
        <w:t>pesquisa,  pela  não  aceitação,  por  parte  de  alguns  clientes,  das  mulheres  trabalharem  na</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construção das suas obras.</w:t>
      </w:r>
    </w:p>
    <w:p w:rsidR="00D24E61" w:rsidRPr="00771368" w:rsidRDefault="00D24E61">
      <w:pPr>
        <w:spacing w:line="200" w:lineRule="exact"/>
        <w:rPr>
          <w:sz w:val="20"/>
          <w:szCs w:val="20"/>
        </w:rPr>
      </w:pPr>
    </w:p>
    <w:p w:rsidR="00D24E61" w:rsidRPr="00771368" w:rsidRDefault="00D24E61">
      <w:pPr>
        <w:spacing w:line="357" w:lineRule="exact"/>
        <w:rPr>
          <w:sz w:val="20"/>
          <w:szCs w:val="20"/>
        </w:rPr>
      </w:pPr>
    </w:p>
    <w:p w:rsidR="00D24E61" w:rsidRPr="00771368" w:rsidRDefault="00D24E61">
      <w:pPr>
        <w:rPr>
          <w:sz w:val="20"/>
          <w:szCs w:val="20"/>
        </w:rPr>
      </w:pPr>
      <w:r w:rsidRPr="00771368">
        <w:rPr>
          <w:b/>
          <w:bCs/>
          <w:sz w:val="24"/>
          <w:szCs w:val="24"/>
        </w:rPr>
        <w:t>Referencias</w:t>
      </w:r>
    </w:p>
    <w:p w:rsidR="00D24E61" w:rsidRPr="00771368" w:rsidRDefault="00D24E61">
      <w:pPr>
        <w:spacing w:line="200" w:lineRule="exact"/>
        <w:rPr>
          <w:sz w:val="20"/>
          <w:szCs w:val="20"/>
        </w:rPr>
      </w:pPr>
    </w:p>
    <w:p w:rsidR="00D24E61" w:rsidRPr="00771368" w:rsidRDefault="00D24E61">
      <w:pPr>
        <w:spacing w:line="266" w:lineRule="exact"/>
        <w:rPr>
          <w:sz w:val="20"/>
          <w:szCs w:val="20"/>
        </w:rPr>
      </w:pPr>
    </w:p>
    <w:p w:rsidR="00D24E61" w:rsidRPr="00771368" w:rsidRDefault="00D24E61">
      <w:pPr>
        <w:spacing w:line="223" w:lineRule="auto"/>
        <w:rPr>
          <w:sz w:val="24"/>
          <w:szCs w:val="24"/>
        </w:rPr>
      </w:pPr>
      <w:r w:rsidRPr="00771368">
        <w:rPr>
          <w:sz w:val="24"/>
          <w:szCs w:val="24"/>
        </w:rPr>
        <w:t xml:space="preserve">AMARAL, Sueli G. P. do. </w:t>
      </w:r>
      <w:r w:rsidRPr="00771368">
        <w:rPr>
          <w:b/>
          <w:bCs/>
          <w:sz w:val="24"/>
          <w:szCs w:val="24"/>
        </w:rPr>
        <w:t>Gênero é Desigualdade Social:</w:t>
      </w:r>
      <w:r w:rsidRPr="00771368">
        <w:rPr>
          <w:sz w:val="24"/>
          <w:szCs w:val="24"/>
        </w:rPr>
        <w:t>Pontos para reflexão. 2011. Disponível em: &lt;</w:t>
      </w:r>
      <w:hyperlink r:id="rId366">
        <w:r w:rsidRPr="00771368">
          <w:rPr>
            <w:sz w:val="24"/>
            <w:szCs w:val="24"/>
            <w:u w:val="single"/>
          </w:rPr>
          <w:t>http://www.joinpp.ufma.br/jornadas/joinpp2011/CdVjornada/JORNADA_EIXO_2011/QUE</w:t>
        </w:r>
      </w:hyperlink>
    </w:p>
    <w:p w:rsidR="00D24E61" w:rsidRPr="00771368" w:rsidRDefault="00D24E61">
      <w:pPr>
        <w:spacing w:line="59" w:lineRule="exact"/>
        <w:rPr>
          <w:sz w:val="20"/>
          <w:szCs w:val="20"/>
        </w:rPr>
      </w:pPr>
    </w:p>
    <w:p w:rsidR="00D24E61" w:rsidRPr="00771368" w:rsidRDefault="00295FC8">
      <w:pPr>
        <w:spacing w:line="214" w:lineRule="auto"/>
        <w:ind w:right="20"/>
        <w:rPr>
          <w:sz w:val="24"/>
          <w:szCs w:val="24"/>
        </w:rPr>
      </w:pPr>
      <w:hyperlink r:id="rId367">
        <w:r w:rsidR="00D24E61" w:rsidRPr="00771368">
          <w:rPr>
            <w:sz w:val="24"/>
            <w:szCs w:val="24"/>
            <w:u w:val="single"/>
          </w:rPr>
          <w:t>STOES_DE_GENERO_ETNIA_E_GERACAO/GENERO_E_DESIGUALDADE_SOCIAL_</w:t>
        </w:r>
      </w:hyperlink>
      <w:r w:rsidR="00D24E61" w:rsidRPr="00771368">
        <w:rPr>
          <w:sz w:val="24"/>
          <w:szCs w:val="24"/>
          <w:u w:val="single"/>
        </w:rPr>
        <w:t xml:space="preserve"> </w:t>
      </w:r>
      <w:hyperlink r:id="rId368">
        <w:r w:rsidR="00D24E61" w:rsidRPr="00771368">
          <w:rPr>
            <w:sz w:val="24"/>
            <w:szCs w:val="24"/>
            <w:u w:val="single"/>
          </w:rPr>
          <w:t>NEW.pdf</w:t>
        </w:r>
      </w:hyperlink>
      <w:r w:rsidR="00D24E61" w:rsidRPr="00771368">
        <w:rPr>
          <w:sz w:val="24"/>
          <w:szCs w:val="24"/>
        </w:rPr>
        <w:t>&gt; Acesso em: 13 set. 2013</w:t>
      </w:r>
    </w:p>
    <w:p w:rsidR="00D24E61" w:rsidRPr="00771368" w:rsidRDefault="00D24E61">
      <w:pPr>
        <w:spacing w:line="336" w:lineRule="exact"/>
        <w:rPr>
          <w:sz w:val="20"/>
          <w:szCs w:val="20"/>
        </w:rPr>
      </w:pPr>
    </w:p>
    <w:p w:rsidR="00D24E61" w:rsidRPr="00771368" w:rsidRDefault="00D24E61">
      <w:pPr>
        <w:spacing w:line="214" w:lineRule="auto"/>
        <w:rPr>
          <w:sz w:val="24"/>
          <w:szCs w:val="24"/>
        </w:rPr>
      </w:pPr>
      <w:r w:rsidRPr="00771368">
        <w:rPr>
          <w:sz w:val="24"/>
          <w:szCs w:val="24"/>
        </w:rPr>
        <w:t xml:space="preserve">BARSTED, Leila L. </w:t>
      </w:r>
      <w:r w:rsidRPr="00771368">
        <w:rPr>
          <w:b/>
          <w:bCs/>
          <w:sz w:val="24"/>
          <w:szCs w:val="24"/>
        </w:rPr>
        <w:t>Gênero e Desigualdades.</w:t>
      </w:r>
      <w:r w:rsidRPr="00771368">
        <w:rPr>
          <w:sz w:val="24"/>
          <w:szCs w:val="24"/>
        </w:rPr>
        <w:t xml:space="preserve"> Disponível em &lt;</w:t>
      </w:r>
      <w:hyperlink r:id="rId369">
        <w:r w:rsidRPr="00771368">
          <w:rPr>
            <w:sz w:val="24"/>
            <w:szCs w:val="24"/>
            <w:u w:val="single"/>
          </w:rPr>
          <w:t>http://www.cepia.org.br/doc/generoedesigualdades.pdf</w:t>
        </w:r>
      </w:hyperlink>
      <w:r w:rsidRPr="00771368">
        <w:rPr>
          <w:sz w:val="24"/>
          <w:szCs w:val="24"/>
        </w:rPr>
        <w:t>&gt; Acesso em: 13 set. 2003.</w:t>
      </w:r>
    </w:p>
    <w:p w:rsidR="00D24E61" w:rsidRPr="00771368" w:rsidRDefault="00D24E61">
      <w:pPr>
        <w:spacing w:line="278" w:lineRule="exact"/>
        <w:rPr>
          <w:sz w:val="20"/>
          <w:szCs w:val="20"/>
        </w:rPr>
      </w:pPr>
    </w:p>
    <w:p w:rsidR="00D24E61" w:rsidRPr="00771368" w:rsidRDefault="00D24E61">
      <w:pPr>
        <w:rPr>
          <w:sz w:val="20"/>
          <w:szCs w:val="20"/>
        </w:rPr>
      </w:pPr>
      <w:r w:rsidRPr="00771368">
        <w:rPr>
          <w:sz w:val="24"/>
          <w:szCs w:val="24"/>
        </w:rPr>
        <w:t xml:space="preserve">BRETON, David Le; </w:t>
      </w:r>
      <w:r w:rsidRPr="00771368">
        <w:rPr>
          <w:b/>
          <w:bCs/>
          <w:sz w:val="24"/>
          <w:szCs w:val="24"/>
        </w:rPr>
        <w:t>A sociologia do corpo.</w:t>
      </w:r>
      <w:r w:rsidRPr="00771368">
        <w:rPr>
          <w:sz w:val="24"/>
          <w:szCs w:val="24"/>
        </w:rPr>
        <w:t xml:space="preserve"> 4. Ed. Petrópolis - RJ: Editora Vozes. 2010.</w:t>
      </w:r>
    </w:p>
    <w:p w:rsidR="00D24E61" w:rsidRPr="00771368" w:rsidRDefault="00D24E61">
      <w:pPr>
        <w:spacing w:line="334" w:lineRule="exact"/>
        <w:rPr>
          <w:sz w:val="20"/>
          <w:szCs w:val="20"/>
        </w:rPr>
      </w:pPr>
    </w:p>
    <w:p w:rsidR="00D24E61" w:rsidRPr="00771368" w:rsidRDefault="00D24E61">
      <w:pPr>
        <w:spacing w:line="214" w:lineRule="auto"/>
        <w:rPr>
          <w:sz w:val="20"/>
          <w:szCs w:val="20"/>
        </w:rPr>
      </w:pPr>
      <w:r w:rsidRPr="00771368">
        <w:rPr>
          <w:sz w:val="24"/>
          <w:szCs w:val="24"/>
        </w:rPr>
        <w:t xml:space="preserve">CEAP – Cadernos temáticos. </w:t>
      </w:r>
      <w:r w:rsidRPr="00771368">
        <w:rPr>
          <w:b/>
          <w:bCs/>
          <w:sz w:val="24"/>
          <w:szCs w:val="24"/>
        </w:rPr>
        <w:t>Re-construindo relações sociais de gênero.</w:t>
      </w:r>
      <w:r w:rsidRPr="00771368">
        <w:rPr>
          <w:sz w:val="24"/>
          <w:szCs w:val="24"/>
        </w:rPr>
        <w:t xml:space="preserve"> Semestral. Passo Fundo. 2004.</w:t>
      </w:r>
    </w:p>
    <w:p w:rsidR="00D24E61" w:rsidRPr="00771368" w:rsidRDefault="00D24E61">
      <w:pPr>
        <w:spacing w:line="336" w:lineRule="exact"/>
        <w:rPr>
          <w:sz w:val="20"/>
          <w:szCs w:val="20"/>
        </w:rPr>
      </w:pPr>
    </w:p>
    <w:p w:rsidR="00D24E61" w:rsidRPr="00771368" w:rsidRDefault="00D24E61">
      <w:pPr>
        <w:rPr>
          <w:sz w:val="24"/>
          <w:szCs w:val="24"/>
        </w:rPr>
      </w:pPr>
      <w:r w:rsidRPr="00771368">
        <w:rPr>
          <w:sz w:val="24"/>
          <w:szCs w:val="24"/>
        </w:rPr>
        <w:t xml:space="preserve">COLON, Leandro. </w:t>
      </w:r>
      <w:r w:rsidRPr="00771368">
        <w:rPr>
          <w:b/>
          <w:bCs/>
          <w:sz w:val="24"/>
          <w:szCs w:val="24"/>
        </w:rPr>
        <w:t>Brasil tem 3º pior índice de desigualdade no mundo.</w:t>
      </w:r>
      <w:r w:rsidRPr="00771368">
        <w:rPr>
          <w:sz w:val="24"/>
          <w:szCs w:val="24"/>
        </w:rPr>
        <w:t xml:space="preserve"> Estadão.com.br. 2010. Disponível em: </w:t>
      </w:r>
      <w:hyperlink r:id="rId370">
        <w:r w:rsidRPr="00771368">
          <w:rPr>
            <w:sz w:val="24"/>
            <w:szCs w:val="24"/>
          </w:rPr>
          <w:t>&lt;http://www.estadao.com.br/noticias/geral,brasil-tem-3-pior-indice-de-desigualdade-no-</w:t>
        </w:r>
      </w:hyperlink>
      <w:hyperlink r:id="rId371">
        <w:r w:rsidRPr="00771368">
          <w:rPr>
            <w:sz w:val="24"/>
            <w:szCs w:val="24"/>
          </w:rPr>
          <w:t xml:space="preserve">mundo,585341,0.htm&gt; </w:t>
        </w:r>
      </w:hyperlink>
      <w:r w:rsidRPr="00771368">
        <w:rPr>
          <w:sz w:val="24"/>
          <w:szCs w:val="24"/>
        </w:rPr>
        <w:t>Acesso em: 13 set. 2013.</w:t>
      </w:r>
    </w:p>
    <w:p w:rsidR="00D24E61" w:rsidRPr="00771368" w:rsidRDefault="00D24E61">
      <w:pPr>
        <w:spacing w:line="200" w:lineRule="exact"/>
        <w:rPr>
          <w:sz w:val="20"/>
          <w:szCs w:val="20"/>
        </w:rPr>
      </w:pPr>
    </w:p>
    <w:p w:rsidR="00D24E61" w:rsidRPr="00771368" w:rsidRDefault="00D24E61">
      <w:pPr>
        <w:spacing w:line="350" w:lineRule="exact"/>
        <w:rPr>
          <w:sz w:val="20"/>
          <w:szCs w:val="20"/>
        </w:rPr>
      </w:pPr>
    </w:p>
    <w:p w:rsidR="00D24E61" w:rsidRPr="00771368" w:rsidRDefault="00D24E61">
      <w:pPr>
        <w:spacing w:line="214" w:lineRule="auto"/>
        <w:rPr>
          <w:sz w:val="20"/>
          <w:szCs w:val="20"/>
        </w:rPr>
      </w:pPr>
      <w:r w:rsidRPr="00771368">
        <w:rPr>
          <w:sz w:val="24"/>
          <w:szCs w:val="24"/>
        </w:rPr>
        <w:t xml:space="preserve">CROCKIK, José L; </w:t>
      </w:r>
      <w:r w:rsidRPr="00771368">
        <w:rPr>
          <w:b/>
          <w:bCs/>
          <w:sz w:val="24"/>
          <w:szCs w:val="24"/>
        </w:rPr>
        <w:t>Preconceito, indivíduo e cultura.</w:t>
      </w:r>
      <w:r w:rsidRPr="00771368">
        <w:rPr>
          <w:sz w:val="24"/>
          <w:szCs w:val="24"/>
        </w:rPr>
        <w:t xml:space="preserve"> 3. ed. São Paulo: Casa do Psicólogo. 2006.</w:t>
      </w:r>
    </w:p>
    <w:p w:rsidR="00D24E61" w:rsidRPr="00771368" w:rsidRDefault="00D24E61">
      <w:pPr>
        <w:spacing w:line="336" w:lineRule="exact"/>
        <w:rPr>
          <w:sz w:val="20"/>
          <w:szCs w:val="20"/>
        </w:rPr>
      </w:pPr>
    </w:p>
    <w:p w:rsidR="00D24E61" w:rsidRPr="00771368" w:rsidRDefault="00D24E61">
      <w:pPr>
        <w:spacing w:line="214" w:lineRule="auto"/>
        <w:rPr>
          <w:sz w:val="20"/>
          <w:szCs w:val="20"/>
        </w:rPr>
      </w:pPr>
      <w:r w:rsidRPr="00771368">
        <w:rPr>
          <w:sz w:val="24"/>
          <w:szCs w:val="24"/>
        </w:rPr>
        <w:t xml:space="preserve">MARCONI, Marina de A; LAKATOS, Eva M. </w:t>
      </w:r>
      <w:r w:rsidRPr="00771368">
        <w:rPr>
          <w:b/>
          <w:bCs/>
          <w:sz w:val="24"/>
          <w:szCs w:val="24"/>
        </w:rPr>
        <w:t>Fundamentos da Metodologia Científica.</w:t>
      </w:r>
      <w:r w:rsidRPr="00771368">
        <w:rPr>
          <w:sz w:val="24"/>
          <w:szCs w:val="24"/>
        </w:rPr>
        <w:t xml:space="preserve"> 7. ed. São Paulo: Atlas, 2010. 297 p.</w:t>
      </w:r>
    </w:p>
    <w:p w:rsidR="00D24E61" w:rsidRPr="00771368" w:rsidRDefault="00D24E61">
      <w:pPr>
        <w:spacing w:line="336" w:lineRule="exact"/>
        <w:rPr>
          <w:sz w:val="20"/>
          <w:szCs w:val="20"/>
        </w:rPr>
      </w:pPr>
    </w:p>
    <w:p w:rsidR="00D24E61" w:rsidRPr="00771368" w:rsidRDefault="00D24E61">
      <w:pPr>
        <w:spacing w:line="214" w:lineRule="auto"/>
        <w:rPr>
          <w:sz w:val="20"/>
          <w:szCs w:val="20"/>
        </w:rPr>
      </w:pPr>
      <w:r w:rsidRPr="00771368">
        <w:rPr>
          <w:sz w:val="24"/>
          <w:szCs w:val="24"/>
        </w:rPr>
        <w:t xml:space="preserve">SANTOS, Juliana A. dos. </w:t>
      </w:r>
      <w:r w:rsidRPr="00771368">
        <w:rPr>
          <w:b/>
          <w:bCs/>
          <w:sz w:val="24"/>
          <w:szCs w:val="24"/>
        </w:rPr>
        <w:t>Desigualdade Social e o Conceito de Gênero.</w:t>
      </w:r>
      <w:r w:rsidRPr="00771368">
        <w:rPr>
          <w:sz w:val="24"/>
          <w:szCs w:val="24"/>
        </w:rPr>
        <w:t xml:space="preserve"> 2010. Disponível em:</w:t>
      </w:r>
    </w:p>
    <w:p w:rsidR="00D24E61" w:rsidRPr="00771368" w:rsidRDefault="00D24E61">
      <w:pPr>
        <w:spacing w:line="2" w:lineRule="exact"/>
        <w:rPr>
          <w:sz w:val="20"/>
          <w:szCs w:val="20"/>
        </w:rPr>
      </w:pPr>
    </w:p>
    <w:p w:rsidR="00D24E61" w:rsidRPr="00771368" w:rsidRDefault="00D24E61">
      <w:pPr>
        <w:rPr>
          <w:sz w:val="24"/>
          <w:szCs w:val="24"/>
        </w:rPr>
      </w:pPr>
      <w:r w:rsidRPr="00771368">
        <w:rPr>
          <w:sz w:val="24"/>
          <w:szCs w:val="24"/>
        </w:rPr>
        <w:t>&lt;</w:t>
      </w:r>
      <w:hyperlink r:id="rId372">
        <w:r w:rsidRPr="00771368">
          <w:rPr>
            <w:sz w:val="24"/>
            <w:szCs w:val="24"/>
            <w:u w:val="single"/>
          </w:rPr>
          <w:t>http://www.ufjf.br/virtu/files/2010/05/artigo-3a7.pdf</w:t>
        </w:r>
      </w:hyperlink>
      <w:r w:rsidRPr="00771368">
        <w:rPr>
          <w:sz w:val="24"/>
          <w:szCs w:val="24"/>
        </w:rPr>
        <w:t>&gt; Acesso em: 13 set. 2013.</w:t>
      </w:r>
    </w:p>
    <w:p w:rsidR="00D24E61" w:rsidRPr="00771368" w:rsidRDefault="00D24E61">
      <w:pPr>
        <w:spacing w:line="335" w:lineRule="exact"/>
        <w:rPr>
          <w:sz w:val="20"/>
          <w:szCs w:val="20"/>
        </w:rPr>
      </w:pPr>
    </w:p>
    <w:p w:rsidR="00D24E61" w:rsidRPr="00771368" w:rsidRDefault="00D24E61">
      <w:pPr>
        <w:spacing w:line="224" w:lineRule="auto"/>
        <w:ind w:right="1060"/>
        <w:rPr>
          <w:sz w:val="23"/>
          <w:szCs w:val="23"/>
        </w:rPr>
      </w:pPr>
      <w:r w:rsidRPr="00771368">
        <w:rPr>
          <w:sz w:val="23"/>
          <w:szCs w:val="23"/>
        </w:rPr>
        <w:t xml:space="preserve">SILVA, Maria N. da. </w:t>
      </w:r>
      <w:r w:rsidRPr="00771368">
        <w:rPr>
          <w:b/>
          <w:bCs/>
          <w:sz w:val="23"/>
          <w:szCs w:val="23"/>
        </w:rPr>
        <w:t>A Mulher Negra.</w:t>
      </w:r>
      <w:r w:rsidRPr="00771368">
        <w:rPr>
          <w:sz w:val="23"/>
          <w:szCs w:val="23"/>
        </w:rPr>
        <w:t xml:space="preserve"> 2003. Disponível em: &lt;</w:t>
      </w:r>
      <w:hyperlink r:id="rId373">
        <w:r w:rsidRPr="00771368">
          <w:rPr>
            <w:sz w:val="23"/>
            <w:szCs w:val="23"/>
            <w:u w:val="single"/>
          </w:rPr>
          <w:t>http://www.espacoacademico.com.br/022/22csilva.htm</w:t>
        </w:r>
      </w:hyperlink>
      <w:r w:rsidRPr="00771368">
        <w:rPr>
          <w:sz w:val="23"/>
          <w:szCs w:val="23"/>
        </w:rPr>
        <w:t>&gt; Acesso em: 13 set. 2013.</w:t>
      </w:r>
    </w:p>
    <w:p w:rsidR="00D24E61" w:rsidRPr="00771368" w:rsidRDefault="00D24E61">
      <w:pPr>
        <w:spacing w:line="276" w:lineRule="exact"/>
        <w:rPr>
          <w:sz w:val="20"/>
          <w:szCs w:val="20"/>
        </w:rPr>
      </w:pPr>
    </w:p>
    <w:p w:rsidR="00D24E61" w:rsidRPr="00771368" w:rsidRDefault="00D24E61">
      <w:pPr>
        <w:rPr>
          <w:sz w:val="20"/>
          <w:szCs w:val="20"/>
        </w:rPr>
      </w:pPr>
      <w:r w:rsidRPr="00771368">
        <w:rPr>
          <w:sz w:val="24"/>
          <w:szCs w:val="24"/>
        </w:rPr>
        <w:t xml:space="preserve">TOMAZI, Nelson D. et al.; </w:t>
      </w:r>
      <w:r w:rsidRPr="00771368">
        <w:rPr>
          <w:b/>
          <w:bCs/>
          <w:sz w:val="24"/>
          <w:szCs w:val="24"/>
        </w:rPr>
        <w:t>Iniciação à Sociologia.</w:t>
      </w:r>
      <w:r w:rsidRPr="00771368">
        <w:rPr>
          <w:sz w:val="24"/>
          <w:szCs w:val="24"/>
        </w:rPr>
        <w:t xml:space="preserve"> 2. ed. São Paulo: Atual. 2000.</w:t>
      </w:r>
    </w:p>
    <w:p w:rsidR="00D24E61" w:rsidRPr="00771368" w:rsidRDefault="00D24E61">
      <w:pPr>
        <w:spacing w:line="334" w:lineRule="exact"/>
        <w:rPr>
          <w:sz w:val="20"/>
          <w:szCs w:val="20"/>
        </w:rPr>
      </w:pPr>
    </w:p>
    <w:p w:rsidR="00D24E61" w:rsidRPr="00771368" w:rsidRDefault="00D24E61">
      <w:pPr>
        <w:spacing w:line="214" w:lineRule="auto"/>
        <w:rPr>
          <w:sz w:val="20"/>
          <w:szCs w:val="20"/>
        </w:rPr>
      </w:pPr>
      <w:r w:rsidRPr="00771368">
        <w:rPr>
          <w:sz w:val="24"/>
          <w:szCs w:val="24"/>
        </w:rPr>
        <w:t xml:space="preserve">VERGARA, Sylvia Constant. </w:t>
      </w:r>
      <w:r w:rsidRPr="00771368">
        <w:rPr>
          <w:b/>
          <w:bCs/>
          <w:sz w:val="24"/>
          <w:szCs w:val="24"/>
        </w:rPr>
        <w:t>Projetos e relatórios de pesquisa em administração</w:t>
      </w:r>
      <w:r w:rsidRPr="00771368">
        <w:rPr>
          <w:sz w:val="24"/>
          <w:szCs w:val="24"/>
        </w:rPr>
        <w:t>. São Paulo: Atlas, 1998. 90 p.</w:t>
      </w:r>
    </w:p>
    <w:p w:rsidR="00D24E61" w:rsidRPr="00771368" w:rsidRDefault="00D24E61">
      <w:pPr>
        <w:spacing w:line="336" w:lineRule="exact"/>
        <w:rPr>
          <w:sz w:val="20"/>
          <w:szCs w:val="20"/>
        </w:rPr>
      </w:pPr>
    </w:p>
    <w:p w:rsidR="00D24E61" w:rsidRPr="00771368" w:rsidRDefault="00D24E61">
      <w:pPr>
        <w:spacing w:line="214" w:lineRule="auto"/>
        <w:rPr>
          <w:sz w:val="20"/>
          <w:szCs w:val="20"/>
        </w:rPr>
      </w:pPr>
      <w:r w:rsidRPr="00771368">
        <w:rPr>
          <w:sz w:val="24"/>
          <w:szCs w:val="24"/>
        </w:rPr>
        <w:t xml:space="preserve">YIN, Robert K. </w:t>
      </w:r>
      <w:r w:rsidRPr="00771368">
        <w:rPr>
          <w:b/>
          <w:bCs/>
          <w:sz w:val="24"/>
          <w:szCs w:val="24"/>
        </w:rPr>
        <w:t>Estudo de caso:</w:t>
      </w:r>
      <w:r w:rsidRPr="00771368">
        <w:rPr>
          <w:sz w:val="24"/>
          <w:szCs w:val="24"/>
        </w:rPr>
        <w:t xml:space="preserve"> planejamento e métodos. 3. ed. Porto Alegre: Bookman, 2005. 212 p.</w:t>
      </w:r>
    </w:p>
    <w:p w:rsidR="00D24E61" w:rsidRPr="00771368" w:rsidRDefault="00D24E61">
      <w:pPr>
        <w:ind w:left="740"/>
        <w:rPr>
          <w:sz w:val="20"/>
          <w:szCs w:val="20"/>
        </w:rPr>
      </w:pPr>
      <w:r w:rsidRPr="00771368">
        <w:rPr>
          <w:rFonts w:eastAsia="Times"/>
          <w:b/>
          <w:bCs/>
          <w:sz w:val="28"/>
          <w:szCs w:val="28"/>
        </w:rPr>
        <w:t>A REPRESENTAÇÃO DA MULHER NO JORNAL DAQUI</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43" w:lineRule="exact"/>
        <w:rPr>
          <w:sz w:val="24"/>
          <w:szCs w:val="24"/>
        </w:rPr>
      </w:pPr>
    </w:p>
    <w:p w:rsidR="00D24E61" w:rsidRPr="006A328D" w:rsidRDefault="00D24E61" w:rsidP="006A328D">
      <w:pPr>
        <w:pStyle w:val="Ttulo1"/>
        <w:rPr>
          <w:szCs w:val="20"/>
        </w:rPr>
      </w:pPr>
      <w:bookmarkStart w:id="63" w:name="_Toc442034752"/>
      <w:r w:rsidRPr="006A328D">
        <w:rPr>
          <w:rFonts w:eastAsia="Times"/>
        </w:rPr>
        <w:t>Esdra Basílio</w:t>
      </w:r>
      <w:bookmarkEnd w:id="63"/>
    </w:p>
    <w:p w:rsidR="00D24E61" w:rsidRPr="00771368" w:rsidRDefault="00D24E61">
      <w:pPr>
        <w:spacing w:line="123" w:lineRule="exact"/>
        <w:rPr>
          <w:sz w:val="24"/>
          <w:szCs w:val="24"/>
        </w:rPr>
      </w:pPr>
    </w:p>
    <w:p w:rsidR="00D24E61" w:rsidRPr="00771368" w:rsidRDefault="00D24E61">
      <w:pPr>
        <w:ind w:left="4740"/>
        <w:rPr>
          <w:sz w:val="20"/>
          <w:szCs w:val="20"/>
        </w:rPr>
      </w:pPr>
      <w:r w:rsidRPr="00771368">
        <w:rPr>
          <w:rFonts w:eastAsia="Times"/>
          <w:sz w:val="24"/>
          <w:szCs w:val="24"/>
        </w:rPr>
        <w:t>Pontifícia Universidade Católica de Goiás</w:t>
      </w:r>
    </w:p>
    <w:p w:rsidR="00D24E61" w:rsidRPr="00771368" w:rsidRDefault="00D24E61">
      <w:pPr>
        <w:spacing w:line="15" w:lineRule="exact"/>
        <w:rPr>
          <w:sz w:val="24"/>
          <w:szCs w:val="24"/>
        </w:rPr>
      </w:pPr>
    </w:p>
    <w:p w:rsidR="00D24E61" w:rsidRPr="00771368" w:rsidRDefault="00D24E61">
      <w:pPr>
        <w:ind w:right="240"/>
        <w:jc w:val="right"/>
        <w:rPr>
          <w:sz w:val="20"/>
          <w:szCs w:val="20"/>
        </w:rPr>
      </w:pPr>
      <w:r w:rsidRPr="00771368">
        <w:rPr>
          <w:rFonts w:eastAsia="Times"/>
          <w:sz w:val="24"/>
          <w:szCs w:val="24"/>
        </w:rPr>
        <w:t>Especialista em História Cultual</w:t>
      </w:r>
    </w:p>
    <w:p w:rsidR="00D24E61" w:rsidRPr="00771368" w:rsidRDefault="00D24E61">
      <w:pPr>
        <w:spacing w:line="182" w:lineRule="auto"/>
        <w:ind w:right="240"/>
        <w:jc w:val="right"/>
        <w:rPr>
          <w:sz w:val="20"/>
          <w:szCs w:val="20"/>
        </w:rPr>
      </w:pPr>
      <w:r w:rsidRPr="00771368">
        <w:rPr>
          <w:rFonts w:eastAsia="Times"/>
        </w:rPr>
        <w:t>Mestranda em História</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11" w:lineRule="exact"/>
        <w:rPr>
          <w:sz w:val="24"/>
          <w:szCs w:val="24"/>
        </w:rPr>
      </w:pPr>
    </w:p>
    <w:p w:rsidR="00D24E61" w:rsidRPr="00771368" w:rsidRDefault="00D24E61">
      <w:pPr>
        <w:rPr>
          <w:sz w:val="20"/>
          <w:szCs w:val="20"/>
        </w:rPr>
      </w:pPr>
      <w:r w:rsidRPr="00771368">
        <w:rPr>
          <w:rFonts w:eastAsia="Times"/>
          <w:b/>
          <w:bCs/>
          <w:sz w:val="24"/>
          <w:szCs w:val="24"/>
        </w:rPr>
        <w:t>INTRODUÇÃO</w:t>
      </w:r>
    </w:p>
    <w:p w:rsidR="00D24E61" w:rsidRPr="00771368" w:rsidRDefault="00D24E61">
      <w:pPr>
        <w:spacing w:line="248" w:lineRule="exact"/>
        <w:rPr>
          <w:sz w:val="24"/>
          <w:szCs w:val="24"/>
        </w:rPr>
      </w:pPr>
    </w:p>
    <w:p w:rsidR="00D24E61" w:rsidRPr="006812A9" w:rsidRDefault="00D24E61" w:rsidP="006812A9">
      <w:pPr>
        <w:spacing w:line="238" w:lineRule="auto"/>
        <w:ind w:firstLine="852"/>
        <w:jc w:val="both"/>
        <w:rPr>
          <w:sz w:val="24"/>
          <w:szCs w:val="24"/>
        </w:rPr>
      </w:pPr>
      <w:r w:rsidRPr="006812A9">
        <w:rPr>
          <w:rFonts w:eastAsia="Times"/>
          <w:sz w:val="24"/>
          <w:szCs w:val="24"/>
        </w:rPr>
        <w:t>O presente artigo é fruto da pesquisa onde nós propomos a analisar como as figuras femininas são representadas no Jornal Daqui . Optou-se por verificar a sessão ‘Gente Famosa’ partindo do pressuposto que a imagem feminina que é divulgada no Jornal reforça a imagem da mulher como objeto de consumo, também a erotização dos corpos femininos são reafirmados, pois os estereótipos que estão dados em nossa sociedade moderna onde a aparência a exuberância dos corpos têm mais importância do que o caráter interior dos indivíduos.</w:t>
      </w:r>
    </w:p>
    <w:p w:rsidR="00D24E61" w:rsidRPr="006812A9" w:rsidRDefault="00D24E61" w:rsidP="006812A9">
      <w:pPr>
        <w:spacing w:line="153" w:lineRule="exact"/>
        <w:jc w:val="both"/>
        <w:rPr>
          <w:sz w:val="24"/>
          <w:szCs w:val="24"/>
        </w:rPr>
      </w:pPr>
    </w:p>
    <w:p w:rsidR="00D24E61" w:rsidRPr="006812A9" w:rsidRDefault="00D24E61" w:rsidP="006812A9">
      <w:pPr>
        <w:spacing w:line="233" w:lineRule="auto"/>
        <w:ind w:right="60" w:firstLine="852"/>
        <w:jc w:val="both"/>
        <w:rPr>
          <w:sz w:val="24"/>
          <w:szCs w:val="24"/>
        </w:rPr>
      </w:pPr>
      <w:r w:rsidRPr="006812A9">
        <w:rPr>
          <w:rFonts w:eastAsia="Times"/>
          <w:sz w:val="24"/>
          <w:szCs w:val="24"/>
        </w:rPr>
        <w:t>Os corpos representados na capa do Jornal Daqui são efêmeros e transitórios, pois, de acordo com Bauman (2001) os padrões de beleza se modificam constantemente acarretando assim a busca incessante pela identidade. As identidades assim como os corpos são mutáveis, plásticos, não definidos, ambos são construídos a partir do imaginário social e das representações criadas pela mídia.</w:t>
      </w:r>
    </w:p>
    <w:p w:rsidR="00D24E61" w:rsidRPr="006812A9" w:rsidRDefault="00D24E61" w:rsidP="006812A9">
      <w:pPr>
        <w:spacing w:line="152" w:lineRule="exact"/>
        <w:jc w:val="both"/>
        <w:rPr>
          <w:sz w:val="24"/>
          <w:szCs w:val="24"/>
        </w:rPr>
      </w:pPr>
    </w:p>
    <w:p w:rsidR="00D24E61" w:rsidRPr="006812A9" w:rsidRDefault="00D24E61" w:rsidP="006812A9">
      <w:pPr>
        <w:spacing w:line="236" w:lineRule="auto"/>
        <w:ind w:right="160" w:firstLine="852"/>
        <w:jc w:val="both"/>
        <w:rPr>
          <w:sz w:val="24"/>
          <w:szCs w:val="24"/>
        </w:rPr>
      </w:pPr>
      <w:r w:rsidRPr="006812A9">
        <w:rPr>
          <w:rFonts w:eastAsia="Times"/>
          <w:sz w:val="24"/>
          <w:szCs w:val="24"/>
        </w:rPr>
        <w:t>A escolha do Jornal Daqui como objeto de pesquisa se deu devido ao interesse pessoal por mídia impressa, além de ter realizado um trabalho de conclusão de curso da graduação sobre o Jornal Daqui que foi analisado so b o aspecto da inclusão informacional, devido o Jornal Daqui sofrer preconceito de diversas ordens por ser de baixo custo (cinquenta centavos) e também por abordar as notícias em uma linguagem simples, sendo considerado um jornal ‘‘menos’’ importante.</w:t>
      </w:r>
    </w:p>
    <w:p w:rsidR="00D24E61" w:rsidRPr="006812A9" w:rsidRDefault="00D24E61" w:rsidP="006812A9">
      <w:pPr>
        <w:spacing w:line="152" w:lineRule="exact"/>
        <w:jc w:val="both"/>
        <w:rPr>
          <w:sz w:val="24"/>
          <w:szCs w:val="24"/>
        </w:rPr>
      </w:pPr>
    </w:p>
    <w:p w:rsidR="00D24E61" w:rsidRPr="00771368" w:rsidRDefault="00D24E61" w:rsidP="006812A9">
      <w:pPr>
        <w:spacing w:line="231" w:lineRule="auto"/>
        <w:ind w:right="180" w:firstLine="852"/>
        <w:jc w:val="both"/>
        <w:rPr>
          <w:sz w:val="20"/>
          <w:szCs w:val="20"/>
        </w:rPr>
      </w:pPr>
      <w:r w:rsidRPr="006812A9">
        <w:rPr>
          <w:rFonts w:eastAsia="Times"/>
          <w:sz w:val="24"/>
          <w:szCs w:val="24"/>
        </w:rPr>
        <w:t>Assim sendo, propõe-se a realização da confecção do artigo para conclusão do curso de especialização em história cultural analis ando o Jornal Daqui sob a perspectiva de mercadoria que é produzido para o consumo e tencionamos averiguar como ele se insere na</w:t>
      </w:r>
      <w:r w:rsidR="006812A9">
        <w:rPr>
          <w:rFonts w:eastAsia="Times"/>
          <w:sz w:val="24"/>
          <w:szCs w:val="24"/>
        </w:rPr>
        <w:t xml:space="preserve"> </w:t>
      </w:r>
      <w:r w:rsidRPr="00771368">
        <w:rPr>
          <w:rFonts w:eastAsia="Times"/>
          <w:sz w:val="24"/>
          <w:szCs w:val="24"/>
        </w:rPr>
        <w:t>lógica do capitalismo flexível anunciada por Sennet t (2012) em seu livro A Corrosão do Caráter, e sobre a perspectiva de Bauman (2001) quedescreve a sociedade moderna, pontuando suas características. E ainda, basea-se nos estudos de gênero para perceber como a figura feminina é construída ao longo do tempo em nossa sociedade.</w:t>
      </w:r>
    </w:p>
    <w:p w:rsidR="00D24E61" w:rsidRPr="00771368" w:rsidRDefault="00D24E61">
      <w:pPr>
        <w:spacing w:line="147" w:lineRule="exact"/>
        <w:rPr>
          <w:sz w:val="20"/>
          <w:szCs w:val="20"/>
        </w:rPr>
      </w:pPr>
    </w:p>
    <w:p w:rsidR="00D24E61" w:rsidRPr="00771368" w:rsidRDefault="00D24E61">
      <w:pPr>
        <w:ind w:right="160" w:firstLine="852"/>
        <w:jc w:val="both"/>
        <w:rPr>
          <w:sz w:val="20"/>
          <w:szCs w:val="20"/>
        </w:rPr>
      </w:pPr>
      <w:r w:rsidRPr="00771368">
        <w:rPr>
          <w:rFonts w:eastAsia="Times"/>
          <w:sz w:val="24"/>
          <w:szCs w:val="24"/>
        </w:rPr>
        <w:t>Para realizar a pesquisa partimos do pressuposto que a figura feminina veiculada no Jornal Daqui está sempre relacionada ao erotismo. Observamos que as imagens expostas pelo Jornal Daqui do feminino contribuem para solidificar uma imagem feminina de passividade, de submissão a um olhar masculino. São sempre expostas imagens de mulheres que representam o consumo, figuras sempre belas como modelos, artistas da televisão que possuem o corpo escultural, que de fo rma implícita incentivam as mulheres a fazerem dietas e buscarem o tipo de corpo divulgado pela mídia. Outra suposição é que a imagem da mulher desejável contribui para o sucessode vendagem do Jornal.</w:t>
      </w:r>
    </w:p>
    <w:p w:rsidR="00D24E61" w:rsidRPr="00771368" w:rsidRDefault="00D24E61">
      <w:pPr>
        <w:spacing w:line="150" w:lineRule="exact"/>
        <w:rPr>
          <w:sz w:val="20"/>
          <w:szCs w:val="20"/>
        </w:rPr>
      </w:pPr>
    </w:p>
    <w:p w:rsidR="00D24E61" w:rsidRPr="00771368" w:rsidRDefault="00D24E61">
      <w:pPr>
        <w:spacing w:line="228" w:lineRule="auto"/>
        <w:ind w:right="60" w:firstLine="852"/>
        <w:rPr>
          <w:sz w:val="20"/>
          <w:szCs w:val="20"/>
        </w:rPr>
      </w:pPr>
      <w:r w:rsidRPr="00771368">
        <w:rPr>
          <w:rFonts w:eastAsia="Times"/>
          <w:sz w:val="24"/>
          <w:szCs w:val="24"/>
        </w:rPr>
        <w:t>Para analisar o Jornal Daqui enquanto produto histó rico sob a perspectiva dos estudos culturais utilizou-se os conceitos de representação do Chartier, o conceito de Simbólico de Bourdieu, o conceito de Cultura Visual do Ulpiano Bezerra e sobre gênero acatamos a definição da Joan Scott.</w:t>
      </w:r>
    </w:p>
    <w:p w:rsidR="00D24E61" w:rsidRPr="00771368" w:rsidRDefault="00D24E61">
      <w:pPr>
        <w:spacing w:line="154" w:lineRule="exact"/>
        <w:rPr>
          <w:sz w:val="20"/>
          <w:szCs w:val="20"/>
        </w:rPr>
      </w:pPr>
    </w:p>
    <w:p w:rsidR="00D24E61" w:rsidRPr="00771368" w:rsidRDefault="00D24E61" w:rsidP="006812A9">
      <w:pPr>
        <w:spacing w:line="228" w:lineRule="auto"/>
        <w:ind w:right="180" w:firstLine="852"/>
        <w:jc w:val="both"/>
        <w:rPr>
          <w:sz w:val="20"/>
          <w:szCs w:val="20"/>
        </w:rPr>
      </w:pPr>
      <w:r w:rsidRPr="00771368">
        <w:rPr>
          <w:rFonts w:eastAsia="Times"/>
          <w:sz w:val="24"/>
          <w:szCs w:val="24"/>
        </w:rPr>
        <w:t>Para Chartier ‘‘As lutas de representações têm tant a importância como as lutas econômicas para compreender os mecanismos pelos qua is um grupo impõe ou tenta impor, a sua concepção do mundo social, os valores que são os seus, e o seu domínio’’(CHARTIER, 1988, p.17); a representação é pensada por Chartier (1988) como</w:t>
      </w:r>
    </w:p>
    <w:p w:rsidR="00D24E61" w:rsidRPr="00771368" w:rsidRDefault="00D24E61" w:rsidP="006812A9">
      <w:pPr>
        <w:spacing w:line="154" w:lineRule="exact"/>
        <w:jc w:val="both"/>
        <w:rPr>
          <w:sz w:val="20"/>
          <w:szCs w:val="20"/>
        </w:rPr>
      </w:pPr>
    </w:p>
    <w:p w:rsidR="00D24E61" w:rsidRPr="00771368" w:rsidRDefault="00D24E61" w:rsidP="006812A9">
      <w:pPr>
        <w:spacing w:line="236" w:lineRule="auto"/>
        <w:jc w:val="both"/>
        <w:rPr>
          <w:sz w:val="20"/>
          <w:szCs w:val="20"/>
        </w:rPr>
      </w:pPr>
      <w:r w:rsidRPr="00771368">
        <w:rPr>
          <w:rFonts w:eastAsia="Times"/>
          <w:sz w:val="24"/>
          <w:szCs w:val="24"/>
        </w:rPr>
        <w:t>um sistema de valores onde é constituído pelo imaginário social que é formado a partir de nossas sensibilidades e também através dos símbolosde poder que são criados pelas instituições de poder. Podemos observar que as repr esentações de gênero são constituídas por uma relação de dominação e poder. Para Pesavent o (2005) As representações são portadoras do simbólico, ou seja, dizem mais do que aquilo que mostram ou enunciam, carregam sentidos ocultos que são construídos socia l e historicamente.</w:t>
      </w:r>
    </w:p>
    <w:p w:rsidR="00D24E61" w:rsidRPr="00771368" w:rsidRDefault="00D24E61" w:rsidP="006812A9">
      <w:pPr>
        <w:spacing w:line="152" w:lineRule="exact"/>
        <w:jc w:val="both"/>
        <w:rPr>
          <w:sz w:val="20"/>
          <w:szCs w:val="20"/>
        </w:rPr>
      </w:pPr>
    </w:p>
    <w:p w:rsidR="00D24E61" w:rsidRPr="00771368" w:rsidRDefault="00D24E61" w:rsidP="006812A9">
      <w:pPr>
        <w:spacing w:line="233" w:lineRule="auto"/>
        <w:ind w:right="100" w:firstLine="1212"/>
        <w:jc w:val="both"/>
        <w:rPr>
          <w:sz w:val="20"/>
          <w:szCs w:val="20"/>
        </w:rPr>
      </w:pPr>
      <w:r w:rsidRPr="00771368">
        <w:rPr>
          <w:rFonts w:eastAsia="Times"/>
          <w:sz w:val="24"/>
          <w:szCs w:val="24"/>
        </w:rPr>
        <w:t>Joan Scott (1997) esclarece que ‘‘as relações de gênero são um elemento constitutivo das relações sociais baseadas nas dife renças hierárquicas que distinguem os sexos e são, portanto, uma forma primaria de poder’ ’(JOAN SCOTT, 1997, p.14). Onde as diferenças de gênero são estabelecidas culturalmente e não primordialmente de modo biológico.</w:t>
      </w:r>
    </w:p>
    <w:p w:rsidR="00D24E61" w:rsidRPr="00771368" w:rsidRDefault="00D24E61" w:rsidP="006812A9">
      <w:pPr>
        <w:spacing w:line="233" w:lineRule="auto"/>
        <w:ind w:right="120" w:firstLine="852"/>
        <w:jc w:val="both"/>
        <w:rPr>
          <w:sz w:val="20"/>
          <w:szCs w:val="20"/>
        </w:rPr>
      </w:pPr>
      <w:r w:rsidRPr="00771368">
        <w:rPr>
          <w:rFonts w:eastAsia="Times"/>
          <w:sz w:val="24"/>
          <w:szCs w:val="24"/>
        </w:rPr>
        <w:t>De acordo com Bourdieu (2001) O poder simbólico é um poder subordinado aos outros tipos de poder e ao mesmo tempo se distingue das outras formas de poder. Bourdieu informa que (2001,p.150) ‘‘O poder simbólico consti tui uma força relativamente autônoma perante as outras formas de força social’’. Pois é através do poder simbólico que as representações são instituídas e firmadas na socied ade.</w:t>
      </w:r>
    </w:p>
    <w:p w:rsidR="00D24E61" w:rsidRPr="00771368" w:rsidRDefault="00D24E61" w:rsidP="006812A9">
      <w:pPr>
        <w:spacing w:line="152" w:lineRule="exact"/>
        <w:jc w:val="both"/>
        <w:rPr>
          <w:sz w:val="20"/>
          <w:szCs w:val="20"/>
        </w:rPr>
      </w:pPr>
    </w:p>
    <w:p w:rsidR="00D24E61" w:rsidRPr="00771368" w:rsidRDefault="00D24E61" w:rsidP="006812A9">
      <w:pPr>
        <w:ind w:firstLine="852"/>
        <w:jc w:val="both"/>
        <w:rPr>
          <w:sz w:val="20"/>
          <w:szCs w:val="20"/>
        </w:rPr>
      </w:pPr>
      <w:r w:rsidRPr="00771368">
        <w:rPr>
          <w:rFonts w:eastAsia="Times"/>
          <w:sz w:val="24"/>
          <w:szCs w:val="24"/>
        </w:rPr>
        <w:t>Segundo Ulpiano T. Bezerra de Meneses (2003) a cultura visual possibilita analisar aspectos da sociedade por meio das imagens. De acordo com Meneses (2003) o uso da imagem como documento é uma característica da sociedade moderna e que a história cultural se apropria das fontes iconográficas. ‘‘Hoje, o uso documental da imagem artística, como vetor para não só produzir História , mas também, é voltado para a elucidação de sua própria historicidade’’(MENEZES,2 003, p16); Meneses afirma que a cultura visual ganhou grande importância na contemp oraneidade devido à exacerbação do consumismo e da cultura de massa.</w:t>
      </w:r>
    </w:p>
    <w:p w:rsidR="00D24E61" w:rsidRPr="00771368" w:rsidRDefault="00D24E61" w:rsidP="006812A9">
      <w:pPr>
        <w:spacing w:line="147" w:lineRule="exact"/>
        <w:jc w:val="both"/>
        <w:rPr>
          <w:sz w:val="20"/>
          <w:szCs w:val="20"/>
        </w:rPr>
      </w:pPr>
    </w:p>
    <w:p w:rsidR="00D24E61" w:rsidRPr="00771368" w:rsidRDefault="00D24E61" w:rsidP="006812A9">
      <w:pPr>
        <w:spacing w:line="241" w:lineRule="auto"/>
        <w:ind w:right="20" w:firstLine="852"/>
        <w:jc w:val="both"/>
        <w:rPr>
          <w:sz w:val="20"/>
          <w:szCs w:val="20"/>
        </w:rPr>
      </w:pPr>
      <w:r w:rsidRPr="00771368">
        <w:rPr>
          <w:rFonts w:eastAsia="Times"/>
          <w:sz w:val="24"/>
          <w:szCs w:val="24"/>
        </w:rPr>
        <w:t>Autores como Bauman e Sennett, ambos sociólogos, tr atam da questão da modernidade e do consumo. Bauman (2001) em seu livro a Modernidade Líquida nos descreve as características da nossa sociedade moderna. Para Bauman (2001) a sociedade moderna é voltada para o consumo, os indivíduos se tornaram consumidores não só de coisas e utensílios, mas também, consumidores em todas as áreas da sua vida, as relações afetivas, por exemplo, são descartáveis não duráveis. E a característica principal dos indivíduos que compõem esta sociedade é a pressa e o sentimento insaciável de sempre querer mais, e sucessivamente traçar metas definida s a serem alcançadas e superadas. Sennet (2012) intui que o tempo na atualidade foi transformado em produto.</w:t>
      </w:r>
    </w:p>
    <w:p w:rsidR="00D24E61" w:rsidRPr="00771368" w:rsidRDefault="00D24E61" w:rsidP="006812A9">
      <w:pPr>
        <w:spacing w:line="155" w:lineRule="exact"/>
        <w:jc w:val="both"/>
        <w:rPr>
          <w:sz w:val="20"/>
          <w:szCs w:val="20"/>
        </w:rPr>
      </w:pPr>
    </w:p>
    <w:p w:rsidR="00D24E61" w:rsidRPr="00771368" w:rsidRDefault="00D24E61" w:rsidP="006812A9">
      <w:pPr>
        <w:spacing w:line="233" w:lineRule="auto"/>
        <w:ind w:right="20" w:firstLine="852"/>
        <w:jc w:val="both"/>
        <w:rPr>
          <w:sz w:val="20"/>
          <w:szCs w:val="20"/>
        </w:rPr>
      </w:pPr>
      <w:r w:rsidRPr="00771368">
        <w:rPr>
          <w:rFonts w:eastAsia="Times"/>
          <w:sz w:val="24"/>
          <w:szCs w:val="24"/>
        </w:rPr>
        <w:t>Sennet (2012) afirma que a rotina nos ajuda a darmos sentido à nossa vida, e que a flexibilidade do tempo gera um sistema de poder, poder este que está implícito em todas as nossas relações. ‘‘O tempo da flexibilidade é o tem po de um novo poder’’(SENNET, 2012, p.66); que é constituído a partir dos interesses do novo regime, isto é, do capitalismo flexível exposto por Sennet.</w:t>
      </w:r>
    </w:p>
    <w:p w:rsidR="00D24E61" w:rsidRPr="00771368" w:rsidRDefault="00D24E61" w:rsidP="006812A9">
      <w:pPr>
        <w:spacing w:line="150" w:lineRule="exact"/>
        <w:jc w:val="both"/>
        <w:rPr>
          <w:sz w:val="20"/>
          <w:szCs w:val="20"/>
        </w:rPr>
      </w:pPr>
    </w:p>
    <w:p w:rsidR="00D24E61" w:rsidRPr="00771368" w:rsidRDefault="00D24E61" w:rsidP="006812A9">
      <w:pPr>
        <w:spacing w:line="229" w:lineRule="auto"/>
        <w:ind w:right="140" w:firstLine="852"/>
        <w:jc w:val="both"/>
        <w:rPr>
          <w:sz w:val="20"/>
          <w:szCs w:val="20"/>
        </w:rPr>
      </w:pPr>
      <w:r w:rsidRPr="00771368">
        <w:rPr>
          <w:rFonts w:eastAsia="Times"/>
          <w:sz w:val="24"/>
          <w:szCs w:val="24"/>
        </w:rPr>
        <w:t>A modernidade fluida sem consistência descrita por Bauman (2001) tem por atributo a volatilidade das coisas, nada é estáticotudo se transforma rapidamente, a sociedade de consumo não se preocupa com a durabili dade dos produtos, mas sim, a possibilidade de adquiri-los de forma instantânea.</w:t>
      </w:r>
    </w:p>
    <w:p w:rsidR="00D24E61" w:rsidRPr="00771368" w:rsidRDefault="00D24E61" w:rsidP="006812A9">
      <w:pPr>
        <w:ind w:left="860"/>
        <w:jc w:val="both"/>
        <w:rPr>
          <w:sz w:val="20"/>
          <w:szCs w:val="20"/>
        </w:rPr>
      </w:pPr>
      <w:r w:rsidRPr="00771368">
        <w:rPr>
          <w:rFonts w:eastAsia="Times"/>
          <w:sz w:val="24"/>
          <w:szCs w:val="24"/>
        </w:rPr>
        <w:t>A pressa e a sensação de angustia são característic  as centrais da modernidade</w:t>
      </w:r>
    </w:p>
    <w:p w:rsidR="00D24E61" w:rsidRPr="00771368" w:rsidRDefault="00D24E61" w:rsidP="006812A9">
      <w:pPr>
        <w:spacing w:line="221" w:lineRule="auto"/>
        <w:ind w:right="120"/>
        <w:jc w:val="both"/>
        <w:rPr>
          <w:sz w:val="20"/>
          <w:szCs w:val="20"/>
        </w:rPr>
      </w:pPr>
      <w:r w:rsidRPr="00771368">
        <w:rPr>
          <w:rFonts w:eastAsia="Times"/>
          <w:sz w:val="24"/>
          <w:szCs w:val="24"/>
        </w:rPr>
        <w:t>líquida onde tudo é efêmero e passageiro. Bauman (2001) pontua que não paramos para refletir sobre nossas conquistas e méritos, estamos sempre em busca de novos objetivos que mesmo antes de serem alcançados já visualizamos o próximo objetivo, o que gera o</w:t>
      </w:r>
    </w:p>
    <w:p w:rsidR="00D24E61" w:rsidRPr="00771368" w:rsidRDefault="00D24E61">
      <w:pPr>
        <w:spacing w:line="20" w:lineRule="exact"/>
        <w:rPr>
          <w:sz w:val="20"/>
          <w:szCs w:val="20"/>
        </w:rPr>
      </w:pPr>
    </w:p>
    <w:p w:rsidR="00D24E61" w:rsidRPr="006812A9" w:rsidRDefault="00D24E61" w:rsidP="006812A9">
      <w:pPr>
        <w:tabs>
          <w:tab w:val="left" w:pos="4920"/>
        </w:tabs>
        <w:jc w:val="both"/>
        <w:rPr>
          <w:sz w:val="24"/>
          <w:szCs w:val="24"/>
        </w:rPr>
      </w:pPr>
      <w:r w:rsidRPr="006812A9">
        <w:rPr>
          <w:rFonts w:eastAsia="Times"/>
          <w:sz w:val="24"/>
          <w:szCs w:val="24"/>
        </w:rPr>
        <w:t>sentimento constante de insatisfação e aflição para</w:t>
      </w:r>
      <w:r w:rsidRPr="006812A9">
        <w:rPr>
          <w:sz w:val="24"/>
          <w:szCs w:val="24"/>
        </w:rPr>
        <w:tab/>
      </w:r>
      <w:r w:rsidRPr="006812A9">
        <w:rPr>
          <w:rFonts w:eastAsia="Times"/>
          <w:sz w:val="24"/>
          <w:szCs w:val="24"/>
        </w:rPr>
        <w:t>os indivíduos que sempre projetam suas</w:t>
      </w:r>
    </w:p>
    <w:p w:rsidR="00D24E61" w:rsidRPr="006812A9" w:rsidRDefault="00D24E61" w:rsidP="006812A9">
      <w:pPr>
        <w:spacing w:line="20" w:lineRule="exact"/>
        <w:jc w:val="both"/>
        <w:rPr>
          <w:sz w:val="24"/>
          <w:szCs w:val="24"/>
        </w:rPr>
      </w:pPr>
    </w:p>
    <w:p w:rsidR="00D24E61" w:rsidRPr="006812A9" w:rsidRDefault="00D24E61" w:rsidP="006812A9">
      <w:pPr>
        <w:jc w:val="both"/>
        <w:rPr>
          <w:sz w:val="24"/>
          <w:szCs w:val="24"/>
        </w:rPr>
      </w:pPr>
      <w:r w:rsidRPr="006812A9">
        <w:rPr>
          <w:rFonts w:eastAsia="Times"/>
          <w:sz w:val="24"/>
          <w:szCs w:val="24"/>
        </w:rPr>
        <w:t>realizações sem refletir sobre elas.</w:t>
      </w:r>
    </w:p>
    <w:p w:rsidR="00D24E61" w:rsidRPr="006812A9" w:rsidRDefault="00D24E61" w:rsidP="006812A9">
      <w:pPr>
        <w:spacing w:line="147" w:lineRule="exact"/>
        <w:jc w:val="both"/>
        <w:rPr>
          <w:sz w:val="24"/>
          <w:szCs w:val="24"/>
        </w:rPr>
      </w:pPr>
    </w:p>
    <w:p w:rsidR="00D24E61" w:rsidRPr="006812A9" w:rsidRDefault="00D24E61" w:rsidP="006812A9">
      <w:pPr>
        <w:spacing w:line="241" w:lineRule="auto"/>
        <w:ind w:right="40" w:firstLine="852"/>
        <w:jc w:val="both"/>
        <w:rPr>
          <w:sz w:val="24"/>
          <w:szCs w:val="24"/>
        </w:rPr>
      </w:pPr>
      <w:r w:rsidRPr="006812A9">
        <w:rPr>
          <w:rFonts w:eastAsia="Times"/>
          <w:sz w:val="24"/>
          <w:szCs w:val="24"/>
        </w:rPr>
        <w:t>Sennet (2012) esclarece que as formas de nos relacionarmos com as outras pessoas sofreram mudanças devido ao novo modelo de capitalismo que se tornou flexível em relação ao tempo, as relações no âmbito do traba lho se tornaram em curto prazo não há projeção em longo prazo, o que torna as pessoas ind ividualistas e sem poder de escolha, gerando assim um sentimento de deriva, devido as mudanças constantes de objetivos e de direção. Bauman (2001) afirma que a individualidade não é opcional, mas sim um fato que permeia nossa sociedade. Continuando, Bauman completa: ‘‘Na terra da liberdade individual de escolher, a opção de escapar a indivi dualização está decididamente fora da jogada’’(BAUMAN, 2001, p.43).</w:t>
      </w:r>
    </w:p>
    <w:p w:rsidR="00D24E61" w:rsidRPr="006812A9" w:rsidRDefault="00D24E61" w:rsidP="006812A9">
      <w:pPr>
        <w:ind w:right="40" w:firstLine="1133"/>
        <w:jc w:val="both"/>
        <w:rPr>
          <w:sz w:val="24"/>
          <w:szCs w:val="24"/>
        </w:rPr>
      </w:pPr>
      <w:r w:rsidRPr="006812A9">
        <w:rPr>
          <w:rFonts w:eastAsia="Times"/>
          <w:sz w:val="24"/>
          <w:szCs w:val="24"/>
        </w:rPr>
        <w:t>De acordo com Andrade (2010) as informações que adq uirimos através da mídia nos ensinam como devemos nos relacionar com o mundo, as informações são transmitidas como se fossem verdades inquestionávei. Andrade afirma que ‘‘ o corpo é um construto social, cultural, político e historicamente construído’’(ANDRADE, 2012, p.110).</w:t>
      </w:r>
    </w:p>
    <w:p w:rsidR="00D24E61" w:rsidRPr="006812A9" w:rsidRDefault="00D24E61" w:rsidP="006812A9">
      <w:pPr>
        <w:spacing w:line="238" w:lineRule="auto"/>
        <w:ind w:firstLine="1133"/>
        <w:jc w:val="both"/>
        <w:rPr>
          <w:sz w:val="24"/>
          <w:szCs w:val="24"/>
        </w:rPr>
      </w:pPr>
      <w:r w:rsidRPr="006812A9">
        <w:rPr>
          <w:rFonts w:eastAsia="Times"/>
          <w:sz w:val="24"/>
          <w:szCs w:val="24"/>
        </w:rPr>
        <w:t>Foram analisadas as capas dos exemplares do Jornal Daqui, que estão no Centro de Documentação da Jaime Câmara do ano de 20 10 a 2012 do mês de abril, as edições de final de semana foram escolhidas para a amostragem. Nos sete anos, de existia do Jornal Daqui pôde-se verificar o padrão que se r epete na maioria das edições do Jornal,</w:t>
      </w:r>
      <w:r w:rsidR="006812A9">
        <w:rPr>
          <w:rFonts w:eastAsia="Times"/>
          <w:sz w:val="24"/>
          <w:szCs w:val="24"/>
        </w:rPr>
        <w:t xml:space="preserve"> </w:t>
      </w:r>
      <w:r w:rsidRPr="006812A9">
        <w:rPr>
          <w:rFonts w:eastAsia="Times"/>
          <w:sz w:val="24"/>
          <w:szCs w:val="24"/>
        </w:rPr>
        <w:t>a fórmula é a mesma só muda a modelo da edição. O m aterial analisado e constituído de exemplares de final de semana do mês de Abril dos nosa de 2010, 2011 e 2012 as edições dos anos anteriores não se encontram disponíveis no Centro de Documentação Jaime Câmara ainda não foram catalogados. Ao todo foram a nalisados 13 exemplares. Também foram realizadas entrevistas com os leitores para constatar a sua percepção em relação à representação da mulher no Jornal Daqui.</w:t>
      </w:r>
    </w:p>
    <w:p w:rsidR="00D24E61" w:rsidRPr="00771368" w:rsidRDefault="00D24E61">
      <w:pPr>
        <w:spacing w:line="338" w:lineRule="exact"/>
        <w:rPr>
          <w:sz w:val="20"/>
          <w:szCs w:val="20"/>
        </w:rPr>
      </w:pPr>
    </w:p>
    <w:p w:rsidR="00D24E61" w:rsidRPr="00771368" w:rsidRDefault="00D24E61">
      <w:pPr>
        <w:rPr>
          <w:sz w:val="20"/>
          <w:szCs w:val="20"/>
        </w:rPr>
      </w:pPr>
      <w:r w:rsidRPr="00771368">
        <w:rPr>
          <w:rFonts w:eastAsia="Times"/>
          <w:b/>
          <w:bCs/>
          <w:sz w:val="24"/>
          <w:szCs w:val="24"/>
        </w:rPr>
        <w:t>APRESENTAÇÃO DO JORNAL</w:t>
      </w:r>
    </w:p>
    <w:p w:rsidR="00D24E61" w:rsidRPr="00771368" w:rsidRDefault="00D24E61">
      <w:pPr>
        <w:spacing w:line="118" w:lineRule="exact"/>
        <w:rPr>
          <w:sz w:val="20"/>
          <w:szCs w:val="20"/>
        </w:rPr>
      </w:pPr>
    </w:p>
    <w:p w:rsidR="00D24E61" w:rsidRPr="006812A9" w:rsidRDefault="00D24E61" w:rsidP="006812A9">
      <w:pPr>
        <w:ind w:left="860"/>
        <w:jc w:val="both"/>
        <w:rPr>
          <w:sz w:val="24"/>
          <w:szCs w:val="24"/>
        </w:rPr>
      </w:pPr>
      <w:r w:rsidRPr="006812A9">
        <w:rPr>
          <w:rFonts w:eastAsia="Times"/>
          <w:sz w:val="24"/>
          <w:szCs w:val="24"/>
        </w:rPr>
        <w:t>O Jornal Daqui é um produto do tempo presente, em nossa sociedade que tem</w:t>
      </w:r>
    </w:p>
    <w:p w:rsidR="00D24E61" w:rsidRPr="006812A9" w:rsidRDefault="00D24E61" w:rsidP="006812A9">
      <w:pPr>
        <w:spacing w:line="147" w:lineRule="exact"/>
        <w:jc w:val="both"/>
        <w:rPr>
          <w:sz w:val="24"/>
          <w:szCs w:val="24"/>
        </w:rPr>
      </w:pPr>
    </w:p>
    <w:p w:rsidR="00D24E61" w:rsidRPr="006812A9" w:rsidRDefault="00D24E61" w:rsidP="006812A9">
      <w:pPr>
        <w:spacing w:line="221" w:lineRule="auto"/>
        <w:ind w:right="120"/>
        <w:jc w:val="both"/>
        <w:rPr>
          <w:sz w:val="24"/>
          <w:szCs w:val="24"/>
        </w:rPr>
      </w:pPr>
      <w:r w:rsidRPr="006812A9">
        <w:rPr>
          <w:rFonts w:eastAsia="Times"/>
          <w:sz w:val="24"/>
          <w:szCs w:val="24"/>
        </w:rPr>
        <w:t>como característica a fluidez e a superficialidade das nossas relações em que os meios de comunicação como a mídia impressa criam produtos vi sando o consumo, e ao mesmo tempo representam estereótipos que estão em nossa s ociedade.</w:t>
      </w:r>
    </w:p>
    <w:p w:rsidR="00D24E61" w:rsidRPr="006812A9" w:rsidRDefault="00D24E61" w:rsidP="006812A9">
      <w:pPr>
        <w:spacing w:line="22" w:lineRule="exact"/>
        <w:jc w:val="both"/>
        <w:rPr>
          <w:sz w:val="24"/>
          <w:szCs w:val="24"/>
        </w:rPr>
      </w:pPr>
    </w:p>
    <w:p w:rsidR="00D24E61" w:rsidRPr="006812A9" w:rsidRDefault="00D24E61" w:rsidP="006812A9">
      <w:pPr>
        <w:tabs>
          <w:tab w:val="left" w:pos="3280"/>
          <w:tab w:val="left" w:pos="4020"/>
          <w:tab w:val="left" w:pos="4740"/>
          <w:tab w:val="left" w:pos="5760"/>
          <w:tab w:val="left" w:pos="6660"/>
          <w:tab w:val="left" w:pos="7360"/>
          <w:tab w:val="left" w:pos="8100"/>
        </w:tabs>
        <w:ind w:left="920"/>
        <w:jc w:val="both"/>
        <w:rPr>
          <w:sz w:val="24"/>
          <w:szCs w:val="24"/>
        </w:rPr>
      </w:pPr>
      <w:r w:rsidRPr="006812A9">
        <w:rPr>
          <w:rFonts w:eastAsia="Times"/>
          <w:sz w:val="24"/>
          <w:szCs w:val="24"/>
        </w:rPr>
        <w:t>Objetiva-se  analisar  o</w:t>
      </w:r>
      <w:r w:rsidRPr="006812A9">
        <w:rPr>
          <w:sz w:val="24"/>
          <w:szCs w:val="24"/>
        </w:rPr>
        <w:tab/>
      </w:r>
      <w:r w:rsidRPr="006812A9">
        <w:rPr>
          <w:rFonts w:eastAsia="Times"/>
          <w:sz w:val="24"/>
          <w:szCs w:val="24"/>
        </w:rPr>
        <w:t>Jornal</w:t>
      </w:r>
      <w:r w:rsidRPr="006812A9">
        <w:rPr>
          <w:sz w:val="24"/>
          <w:szCs w:val="24"/>
        </w:rPr>
        <w:tab/>
      </w:r>
      <w:r w:rsidRPr="006812A9">
        <w:rPr>
          <w:rFonts w:eastAsia="Times"/>
          <w:sz w:val="24"/>
          <w:szCs w:val="24"/>
        </w:rPr>
        <w:t>Daqui</w:t>
      </w:r>
      <w:r w:rsidRPr="006812A9">
        <w:rPr>
          <w:sz w:val="24"/>
          <w:szCs w:val="24"/>
        </w:rPr>
        <w:tab/>
      </w:r>
      <w:r w:rsidRPr="006812A9">
        <w:rPr>
          <w:rFonts w:eastAsia="Times"/>
          <w:sz w:val="24"/>
          <w:szCs w:val="24"/>
        </w:rPr>
        <w:t>enquanto</w:t>
      </w:r>
      <w:r w:rsidRPr="006812A9">
        <w:rPr>
          <w:sz w:val="24"/>
          <w:szCs w:val="24"/>
        </w:rPr>
        <w:tab/>
      </w:r>
      <w:r w:rsidRPr="006812A9">
        <w:rPr>
          <w:rFonts w:eastAsia="Times"/>
          <w:sz w:val="24"/>
          <w:szCs w:val="24"/>
        </w:rPr>
        <w:t>produto</w:t>
      </w:r>
      <w:r w:rsidRPr="006812A9">
        <w:rPr>
          <w:sz w:val="24"/>
          <w:szCs w:val="24"/>
        </w:rPr>
        <w:tab/>
      </w:r>
      <w:r w:rsidRPr="006812A9">
        <w:rPr>
          <w:rFonts w:eastAsia="Times"/>
          <w:sz w:val="24"/>
          <w:szCs w:val="24"/>
        </w:rPr>
        <w:t>social</w:t>
      </w:r>
      <w:r w:rsidRPr="006812A9">
        <w:rPr>
          <w:sz w:val="24"/>
          <w:szCs w:val="24"/>
        </w:rPr>
        <w:tab/>
      </w:r>
      <w:r w:rsidRPr="006812A9">
        <w:rPr>
          <w:rFonts w:eastAsia="Times"/>
          <w:sz w:val="24"/>
          <w:szCs w:val="24"/>
        </w:rPr>
        <w:t>criado</w:t>
      </w:r>
      <w:r w:rsidRPr="006812A9">
        <w:rPr>
          <w:sz w:val="24"/>
          <w:szCs w:val="24"/>
        </w:rPr>
        <w:tab/>
      </w:r>
      <w:r w:rsidRPr="006812A9">
        <w:rPr>
          <w:rFonts w:eastAsia="Times"/>
          <w:sz w:val="24"/>
          <w:szCs w:val="24"/>
        </w:rPr>
        <w:t>para  o</w:t>
      </w:r>
    </w:p>
    <w:p w:rsidR="00D24E61" w:rsidRPr="006812A9" w:rsidRDefault="00D24E61" w:rsidP="006812A9">
      <w:pPr>
        <w:spacing w:line="18" w:lineRule="exact"/>
        <w:jc w:val="both"/>
        <w:rPr>
          <w:sz w:val="24"/>
          <w:szCs w:val="24"/>
        </w:rPr>
      </w:pPr>
    </w:p>
    <w:p w:rsidR="00D24E61" w:rsidRPr="006812A9" w:rsidRDefault="00D24E61" w:rsidP="006812A9">
      <w:pPr>
        <w:jc w:val="both"/>
        <w:rPr>
          <w:sz w:val="24"/>
          <w:szCs w:val="24"/>
        </w:rPr>
      </w:pPr>
      <w:r w:rsidRPr="006812A9">
        <w:rPr>
          <w:rFonts w:eastAsia="Times"/>
          <w:sz w:val="24"/>
          <w:szCs w:val="24"/>
        </w:rPr>
        <w:t>consumo.  O Jornal  é editado pela Organização  Jaime  Câmara (OJC) e possui  grande</w:t>
      </w:r>
    </w:p>
    <w:p w:rsidR="00D24E61" w:rsidRPr="006812A9" w:rsidRDefault="00D24E61" w:rsidP="006812A9">
      <w:pPr>
        <w:spacing w:line="20" w:lineRule="exact"/>
        <w:jc w:val="both"/>
        <w:rPr>
          <w:sz w:val="24"/>
          <w:szCs w:val="24"/>
        </w:rPr>
      </w:pPr>
    </w:p>
    <w:p w:rsidR="00D24E61" w:rsidRPr="006812A9" w:rsidRDefault="00D24E61" w:rsidP="006812A9">
      <w:pPr>
        <w:tabs>
          <w:tab w:val="left" w:pos="5180"/>
        </w:tabs>
        <w:jc w:val="both"/>
        <w:rPr>
          <w:sz w:val="24"/>
          <w:szCs w:val="24"/>
        </w:rPr>
      </w:pPr>
      <w:r w:rsidRPr="006812A9">
        <w:rPr>
          <w:rFonts w:eastAsia="Times"/>
          <w:sz w:val="24"/>
          <w:szCs w:val="24"/>
        </w:rPr>
        <w:t>circulação em Goiânia, foi criado em 2007. Devido o</w:t>
      </w:r>
      <w:r w:rsidRPr="006812A9">
        <w:rPr>
          <w:sz w:val="24"/>
          <w:szCs w:val="24"/>
        </w:rPr>
        <w:tab/>
      </w:r>
      <w:r w:rsidRPr="006812A9">
        <w:rPr>
          <w:rFonts w:eastAsia="Times"/>
          <w:sz w:val="24"/>
          <w:szCs w:val="24"/>
        </w:rPr>
        <w:t>seu baixo custo, o Jornal Daqui é um</w:t>
      </w:r>
    </w:p>
    <w:p w:rsidR="00D24E61" w:rsidRPr="006812A9" w:rsidRDefault="00D24E61" w:rsidP="006812A9">
      <w:pPr>
        <w:spacing w:line="147" w:lineRule="exact"/>
        <w:jc w:val="both"/>
        <w:rPr>
          <w:sz w:val="24"/>
          <w:szCs w:val="24"/>
        </w:rPr>
      </w:pPr>
    </w:p>
    <w:p w:rsidR="00D24E61" w:rsidRPr="006812A9" w:rsidRDefault="00D24E61" w:rsidP="006812A9">
      <w:pPr>
        <w:spacing w:line="206" w:lineRule="auto"/>
        <w:ind w:right="100"/>
        <w:jc w:val="both"/>
        <w:rPr>
          <w:sz w:val="24"/>
          <w:szCs w:val="24"/>
        </w:rPr>
      </w:pPr>
      <w:r w:rsidRPr="006812A9">
        <w:rPr>
          <w:rFonts w:eastAsia="Times"/>
          <w:sz w:val="24"/>
          <w:szCs w:val="24"/>
        </w:rPr>
        <w:t>meio de comunicação acessível à população menos fav orecida financeiramente, isso se deve também pela utilização de uma linguagem simples, que facilita o entendimento das</w:t>
      </w:r>
    </w:p>
    <w:p w:rsidR="00D24E61" w:rsidRPr="006812A9" w:rsidRDefault="00D24E61" w:rsidP="006812A9">
      <w:pPr>
        <w:spacing w:line="20" w:lineRule="exact"/>
        <w:jc w:val="both"/>
        <w:rPr>
          <w:sz w:val="24"/>
          <w:szCs w:val="24"/>
        </w:rPr>
      </w:pPr>
    </w:p>
    <w:tbl>
      <w:tblPr>
        <w:tblW w:w="0" w:type="auto"/>
        <w:tblLayout w:type="fixed"/>
        <w:tblCellMar>
          <w:left w:w="0" w:type="dxa"/>
          <w:right w:w="0" w:type="dxa"/>
        </w:tblCellMar>
        <w:tblLook w:val="04A0" w:firstRow="1" w:lastRow="0" w:firstColumn="1" w:lastColumn="0" w:noHBand="0" w:noVBand="1"/>
      </w:tblPr>
      <w:tblGrid>
        <w:gridCol w:w="4980"/>
        <w:gridCol w:w="3880"/>
      </w:tblGrid>
      <w:tr w:rsidR="00D24E61" w:rsidRPr="006812A9">
        <w:trPr>
          <w:trHeight w:val="395"/>
        </w:trPr>
        <w:tc>
          <w:tcPr>
            <w:tcW w:w="4980" w:type="dxa"/>
            <w:vAlign w:val="bottom"/>
          </w:tcPr>
          <w:p w:rsidR="00D24E61" w:rsidRPr="006812A9" w:rsidRDefault="00D24E61" w:rsidP="006812A9">
            <w:pPr>
              <w:jc w:val="both"/>
              <w:rPr>
                <w:sz w:val="24"/>
                <w:szCs w:val="24"/>
              </w:rPr>
            </w:pPr>
            <w:r w:rsidRPr="006812A9">
              <w:rPr>
                <w:rFonts w:eastAsia="Times"/>
                <w:sz w:val="24"/>
                <w:szCs w:val="24"/>
              </w:rPr>
              <w:t>informações para os seus leitores, e as estratégias</w:t>
            </w:r>
          </w:p>
        </w:tc>
        <w:tc>
          <w:tcPr>
            <w:tcW w:w="3880" w:type="dxa"/>
            <w:vAlign w:val="bottom"/>
          </w:tcPr>
          <w:p w:rsidR="00D24E61" w:rsidRPr="006812A9" w:rsidRDefault="00D24E61" w:rsidP="006812A9">
            <w:pPr>
              <w:ind w:left="40"/>
              <w:jc w:val="both"/>
              <w:rPr>
                <w:sz w:val="24"/>
                <w:szCs w:val="24"/>
              </w:rPr>
            </w:pPr>
            <w:r w:rsidRPr="006812A9">
              <w:rPr>
                <w:rFonts w:eastAsia="Times"/>
                <w:sz w:val="24"/>
                <w:szCs w:val="24"/>
              </w:rPr>
              <w:t>de marketing bem definidas utilizadas</w:t>
            </w:r>
          </w:p>
        </w:tc>
      </w:tr>
      <w:tr w:rsidR="00D24E61" w:rsidRPr="006812A9">
        <w:trPr>
          <w:trHeight w:val="415"/>
        </w:trPr>
        <w:tc>
          <w:tcPr>
            <w:tcW w:w="4980" w:type="dxa"/>
            <w:vAlign w:val="bottom"/>
          </w:tcPr>
          <w:p w:rsidR="00D24E61" w:rsidRPr="006812A9" w:rsidRDefault="00D24E61" w:rsidP="006812A9">
            <w:pPr>
              <w:jc w:val="both"/>
              <w:rPr>
                <w:sz w:val="24"/>
                <w:szCs w:val="24"/>
              </w:rPr>
            </w:pPr>
            <w:r w:rsidRPr="006812A9">
              <w:rPr>
                <w:rFonts w:eastAsia="Times"/>
                <w:w w:val="98"/>
                <w:sz w:val="24"/>
                <w:szCs w:val="24"/>
              </w:rPr>
              <w:t>pela redação do Jornal. O jornal possui um formato</w:t>
            </w:r>
          </w:p>
        </w:tc>
        <w:tc>
          <w:tcPr>
            <w:tcW w:w="3880" w:type="dxa"/>
            <w:vAlign w:val="bottom"/>
          </w:tcPr>
          <w:p w:rsidR="00D24E61" w:rsidRPr="006812A9" w:rsidRDefault="00D24E61" w:rsidP="006812A9">
            <w:pPr>
              <w:ind w:left="100"/>
              <w:jc w:val="both"/>
              <w:rPr>
                <w:sz w:val="24"/>
                <w:szCs w:val="24"/>
              </w:rPr>
            </w:pPr>
            <w:r w:rsidRPr="006812A9">
              <w:rPr>
                <w:rFonts w:eastAsia="Times"/>
                <w:sz w:val="24"/>
                <w:szCs w:val="24"/>
              </w:rPr>
              <w:t>de tabloide voltado para o público das</w:t>
            </w:r>
          </w:p>
        </w:tc>
      </w:tr>
      <w:tr w:rsidR="00D24E61" w:rsidRPr="006812A9">
        <w:trPr>
          <w:trHeight w:val="413"/>
        </w:trPr>
        <w:tc>
          <w:tcPr>
            <w:tcW w:w="4980" w:type="dxa"/>
            <w:vAlign w:val="bottom"/>
          </w:tcPr>
          <w:p w:rsidR="00D24E61" w:rsidRPr="006812A9" w:rsidRDefault="00D24E61" w:rsidP="006812A9">
            <w:pPr>
              <w:jc w:val="both"/>
              <w:rPr>
                <w:sz w:val="24"/>
                <w:szCs w:val="24"/>
              </w:rPr>
            </w:pPr>
            <w:r w:rsidRPr="006812A9">
              <w:rPr>
                <w:rFonts w:eastAsia="Times"/>
                <w:sz w:val="24"/>
                <w:szCs w:val="24"/>
              </w:rPr>
              <w:t>classes ‘‘C’’, ‘‘D’’ e ‘‘E’’. O Jornal Daqui possui</w:t>
            </w:r>
          </w:p>
        </w:tc>
        <w:tc>
          <w:tcPr>
            <w:tcW w:w="3880" w:type="dxa"/>
            <w:vAlign w:val="bottom"/>
          </w:tcPr>
          <w:p w:rsidR="00D24E61" w:rsidRPr="006812A9" w:rsidRDefault="00D24E61" w:rsidP="006812A9">
            <w:pPr>
              <w:ind w:left="220"/>
              <w:jc w:val="both"/>
              <w:rPr>
                <w:sz w:val="24"/>
                <w:szCs w:val="24"/>
              </w:rPr>
            </w:pPr>
            <w:r w:rsidRPr="006812A9">
              <w:rPr>
                <w:rFonts w:eastAsia="Times"/>
                <w:sz w:val="24"/>
                <w:szCs w:val="24"/>
              </w:rPr>
              <w:t>também uma plataforma multimídia</w:t>
            </w:r>
          </w:p>
        </w:tc>
      </w:tr>
    </w:tbl>
    <w:p w:rsidR="00D24E61" w:rsidRPr="006812A9" w:rsidRDefault="00D24E61" w:rsidP="006812A9">
      <w:pPr>
        <w:spacing w:line="147" w:lineRule="exact"/>
        <w:jc w:val="both"/>
        <w:rPr>
          <w:sz w:val="24"/>
          <w:szCs w:val="24"/>
        </w:rPr>
      </w:pPr>
    </w:p>
    <w:p w:rsidR="00D24E61" w:rsidRPr="006812A9" w:rsidRDefault="00D24E61" w:rsidP="006812A9">
      <w:pPr>
        <w:spacing w:line="206" w:lineRule="auto"/>
        <w:ind w:right="120"/>
        <w:jc w:val="both"/>
        <w:rPr>
          <w:sz w:val="24"/>
          <w:szCs w:val="24"/>
        </w:rPr>
      </w:pPr>
      <w:r w:rsidRPr="006812A9">
        <w:rPr>
          <w:rFonts w:eastAsia="Times"/>
          <w:sz w:val="24"/>
          <w:szCs w:val="24"/>
        </w:rPr>
        <w:t>popular regional que conta com a Rádio Daqui, na qual o ouvinte usa do jornal para solicitar músicas e enviar denúncias.</w:t>
      </w:r>
    </w:p>
    <w:p w:rsidR="00D24E61" w:rsidRPr="006812A9" w:rsidRDefault="00D24E61" w:rsidP="006812A9">
      <w:pPr>
        <w:spacing w:line="149" w:lineRule="exact"/>
        <w:jc w:val="both"/>
        <w:rPr>
          <w:sz w:val="24"/>
          <w:szCs w:val="24"/>
        </w:rPr>
      </w:pPr>
    </w:p>
    <w:p w:rsidR="00D24E61" w:rsidRPr="006812A9" w:rsidRDefault="00D24E61" w:rsidP="006812A9">
      <w:pPr>
        <w:spacing w:line="233" w:lineRule="auto"/>
        <w:ind w:right="120" w:firstLine="852"/>
        <w:jc w:val="both"/>
        <w:rPr>
          <w:sz w:val="24"/>
          <w:szCs w:val="24"/>
        </w:rPr>
      </w:pPr>
      <w:r w:rsidRPr="006812A9">
        <w:rPr>
          <w:rFonts w:eastAsia="Times"/>
          <w:sz w:val="24"/>
          <w:szCs w:val="24"/>
        </w:rPr>
        <w:t>No Daqwitter-Canal espaço do jornal em que o leitor envia – por meio de cupom anexo – denúncias, comentários, críticas e elogios .O jornal sempre conta com ajuda da população, procurando sempre saber a opinião do lei tor. De acordo com Chartier, ‘‘Nos jornais, a diferença entre redator e leitor se desm ancha quando o leitor se torna autor, graças às cartas dos leitores’’(CHARTIER,1998, p.84 ).</w:t>
      </w:r>
    </w:p>
    <w:p w:rsidR="00D24E61" w:rsidRPr="006812A9" w:rsidRDefault="00D24E61" w:rsidP="006812A9">
      <w:pPr>
        <w:spacing w:line="152" w:lineRule="exact"/>
        <w:jc w:val="both"/>
        <w:rPr>
          <w:sz w:val="24"/>
          <w:szCs w:val="24"/>
        </w:rPr>
      </w:pPr>
    </w:p>
    <w:p w:rsidR="00D24E61" w:rsidRPr="006812A9" w:rsidRDefault="00D24E61" w:rsidP="006812A9">
      <w:pPr>
        <w:spacing w:line="228" w:lineRule="auto"/>
        <w:ind w:right="100" w:firstLine="852"/>
        <w:jc w:val="both"/>
        <w:rPr>
          <w:sz w:val="24"/>
          <w:szCs w:val="24"/>
        </w:rPr>
      </w:pPr>
      <w:r w:rsidRPr="006812A9">
        <w:rPr>
          <w:rFonts w:eastAsia="Times"/>
          <w:sz w:val="24"/>
          <w:szCs w:val="24"/>
        </w:rPr>
        <w:t>Segundo o diretor de negócios da OJC, Ronaldo Ferra nte, a interatividade com o público é fundamental para o sucesso do jornal. Oslocais de vendas do jornal são bem</w:t>
      </w:r>
      <w:r w:rsidRPr="00771368">
        <w:rPr>
          <w:rFonts w:eastAsia="Times"/>
          <w:sz w:val="24"/>
          <w:szCs w:val="24"/>
        </w:rPr>
        <w:t xml:space="preserve"> </w:t>
      </w:r>
      <w:r w:rsidRPr="006812A9">
        <w:rPr>
          <w:rFonts w:eastAsia="Times"/>
          <w:sz w:val="24"/>
          <w:szCs w:val="24"/>
        </w:rPr>
        <w:t>diversificados, como: supermercados, bancas de revista, terminais de ônibus e alguns pontos estratégicos da cidade.</w:t>
      </w:r>
    </w:p>
    <w:p w:rsidR="00D24E61" w:rsidRPr="006812A9" w:rsidRDefault="00D24E61" w:rsidP="006812A9">
      <w:pPr>
        <w:spacing w:line="154" w:lineRule="exact"/>
        <w:jc w:val="both"/>
        <w:rPr>
          <w:sz w:val="24"/>
          <w:szCs w:val="24"/>
        </w:rPr>
      </w:pPr>
    </w:p>
    <w:p w:rsidR="00D24E61" w:rsidRPr="006812A9" w:rsidRDefault="00D24E61" w:rsidP="006812A9">
      <w:pPr>
        <w:spacing w:line="233" w:lineRule="auto"/>
        <w:ind w:firstLine="852"/>
        <w:jc w:val="both"/>
        <w:rPr>
          <w:sz w:val="24"/>
          <w:szCs w:val="24"/>
        </w:rPr>
      </w:pPr>
      <w:r w:rsidRPr="006812A9">
        <w:rPr>
          <w:rFonts w:eastAsia="Times"/>
          <w:sz w:val="24"/>
          <w:szCs w:val="24"/>
        </w:rPr>
        <w:t>De acordo com o editor do Jornal Daqui, Luciano Martins, em relação ao conteúdo do jornal e aos assuntos abordados, ele nos revela que foi feita uma pesquisa de mercado com o público goiano para constatar suas preferências e suas antipatias, e se constatou que para o sucesso do jornal seria mais interessante à pluralidade de assuntos abordados.</w:t>
      </w:r>
    </w:p>
    <w:p w:rsidR="00D24E61" w:rsidRPr="006812A9" w:rsidRDefault="00D24E61" w:rsidP="006812A9">
      <w:pPr>
        <w:spacing w:line="150" w:lineRule="exact"/>
        <w:jc w:val="both"/>
        <w:rPr>
          <w:sz w:val="24"/>
          <w:szCs w:val="24"/>
        </w:rPr>
      </w:pPr>
    </w:p>
    <w:p w:rsidR="00D24E61" w:rsidRPr="006812A9" w:rsidRDefault="00D24E61" w:rsidP="006812A9">
      <w:pPr>
        <w:spacing w:line="215" w:lineRule="auto"/>
        <w:ind w:right="120" w:firstLine="852"/>
        <w:jc w:val="both"/>
        <w:rPr>
          <w:sz w:val="24"/>
          <w:szCs w:val="24"/>
        </w:rPr>
      </w:pPr>
      <w:r w:rsidRPr="006812A9">
        <w:rPr>
          <w:rFonts w:eastAsia="Times"/>
          <w:sz w:val="24"/>
          <w:szCs w:val="24"/>
        </w:rPr>
        <w:t>O Jornal Daqui disponibiliza brindes para os seus leitores. Esses brindes agregam valor ao jornal, que traz informações utilitárias, notícias de esporte, notícias policiais, e</w:t>
      </w:r>
    </w:p>
    <w:p w:rsidR="00D24E61" w:rsidRPr="006812A9" w:rsidRDefault="00D24E61" w:rsidP="006812A9">
      <w:pPr>
        <w:spacing w:line="229" w:lineRule="auto"/>
        <w:ind w:right="100"/>
        <w:jc w:val="both"/>
        <w:rPr>
          <w:sz w:val="24"/>
          <w:szCs w:val="24"/>
        </w:rPr>
      </w:pPr>
      <w:r w:rsidRPr="006812A9">
        <w:rPr>
          <w:rFonts w:eastAsia="Times"/>
          <w:sz w:val="24"/>
          <w:szCs w:val="24"/>
        </w:rPr>
        <w:t>sobre os famosos que atraem um público diversificado que tem somente acesso a esse tipo de suporte de informação pelo seu baixo custo. A ma terialidade da noticia é importante e o contato físico com o papel é fundamental para grande parte da população que não tem acesso a outros recursos informacionais.</w:t>
      </w:r>
    </w:p>
    <w:p w:rsidR="00D24E61" w:rsidRPr="006812A9" w:rsidRDefault="00D24E61" w:rsidP="006812A9">
      <w:pPr>
        <w:spacing w:line="147" w:lineRule="exact"/>
        <w:jc w:val="both"/>
        <w:rPr>
          <w:sz w:val="24"/>
          <w:szCs w:val="24"/>
        </w:rPr>
      </w:pPr>
    </w:p>
    <w:p w:rsidR="00D24E61" w:rsidRPr="006812A9" w:rsidRDefault="00D24E61" w:rsidP="006812A9">
      <w:pPr>
        <w:spacing w:line="244" w:lineRule="auto"/>
        <w:ind w:right="160" w:firstLine="852"/>
        <w:jc w:val="both"/>
        <w:rPr>
          <w:sz w:val="24"/>
          <w:szCs w:val="24"/>
        </w:rPr>
      </w:pPr>
      <w:r w:rsidRPr="006812A9">
        <w:rPr>
          <w:rFonts w:eastAsia="Times"/>
          <w:sz w:val="24"/>
          <w:szCs w:val="24"/>
        </w:rPr>
        <w:t>Ao analisarmos a capa do Jornal Daqui podemos verificar que todas as edições trazem uma modelo internacional ou nacional que é enquadrada na categoria celebridades. A capa do Jornal apresenta somente uma nota sobre as celebridades, mas no interior do Jornal o leitor se depara com mais noticias sobre o mundo dos famosos criando assim no leitor a sensação de estar comprando mais informaçã o do que e anunciada na capa.</w:t>
      </w:r>
    </w:p>
    <w:p w:rsidR="00D24E61" w:rsidRPr="006812A9" w:rsidRDefault="00D24E61" w:rsidP="006812A9">
      <w:pPr>
        <w:spacing w:line="143" w:lineRule="exact"/>
        <w:jc w:val="both"/>
        <w:rPr>
          <w:sz w:val="24"/>
          <w:szCs w:val="24"/>
        </w:rPr>
      </w:pPr>
    </w:p>
    <w:p w:rsidR="00D24E61" w:rsidRPr="006812A9" w:rsidRDefault="00D24E61" w:rsidP="006812A9">
      <w:pPr>
        <w:spacing w:line="229" w:lineRule="auto"/>
        <w:ind w:right="160" w:firstLine="852"/>
        <w:jc w:val="both"/>
        <w:rPr>
          <w:sz w:val="24"/>
          <w:szCs w:val="24"/>
        </w:rPr>
      </w:pPr>
      <w:r w:rsidRPr="006812A9">
        <w:rPr>
          <w:rFonts w:eastAsia="Times"/>
          <w:sz w:val="24"/>
          <w:szCs w:val="24"/>
        </w:rPr>
        <w:t>Podemos perceber que em todas as paginas do Jornal Daqui aparecem propagandas, divulgações de todas as ordens desde o anuncio de um curso até a divulgação de vagas de emprego, ou seja, o espaço publicitário do Jornal e muito visado pelos anunciantes, que tem a consciência da visibilidadeque o Jornal Daqui possui.</w:t>
      </w:r>
    </w:p>
    <w:p w:rsidR="00D24E61" w:rsidRPr="006812A9" w:rsidRDefault="00D24E61" w:rsidP="006812A9">
      <w:pPr>
        <w:spacing w:line="147" w:lineRule="exact"/>
        <w:jc w:val="both"/>
        <w:rPr>
          <w:sz w:val="24"/>
          <w:szCs w:val="24"/>
        </w:rPr>
      </w:pPr>
    </w:p>
    <w:p w:rsidR="00D24E61" w:rsidRPr="006812A9" w:rsidRDefault="00D24E61" w:rsidP="006812A9">
      <w:pPr>
        <w:spacing w:line="244" w:lineRule="auto"/>
        <w:ind w:firstLine="912"/>
        <w:jc w:val="both"/>
        <w:rPr>
          <w:sz w:val="24"/>
          <w:szCs w:val="24"/>
        </w:rPr>
      </w:pPr>
      <w:r w:rsidRPr="006812A9">
        <w:rPr>
          <w:rFonts w:eastAsia="Times"/>
          <w:sz w:val="24"/>
          <w:szCs w:val="24"/>
        </w:rPr>
        <w:t>Na sessão intitulada ‘‘Geral’’, são veiculadas not icias de âmbito nacional e os destaques de outros jornais, sobre violência, política. Também são abordadas informações utilitárias para o público, como a previsão do tempo. Além disso, existe a pagina de emprego onde são divulgadas informações sobre vagas de estagio para estudantes e emprego. Na parte policial é retratada a violênciaurbana e são sempre expostas noticias sobre a criminalidade regional. Na coluna reservada à política são veiculadas noticias sobre os políticos locais. Há também a sessão de novela e rádio onde o Jornal aborda o resumo das novelas e ocorre a interatividade com a RádioDaqui que é sintonizada na frequência 1.230 AM, que acontece por meio do pedido das músicas que querem ouvir na rádio. Nesta sessão sempre e abordado o artista do dia onde traz curiosidades sobre a celebridade e uma foto da mesma. Também é exposta amúsica do dia onde uma música e divulgada com suas notas musicais, o ouvinte participa de forma ativa da programação da RádioDaqui podendo mandar sugestões para a rádio.</w:t>
      </w:r>
    </w:p>
    <w:p w:rsidR="00D24E61" w:rsidRPr="006812A9" w:rsidRDefault="00D24E61" w:rsidP="006812A9">
      <w:pPr>
        <w:spacing w:line="159" w:lineRule="exact"/>
        <w:jc w:val="both"/>
        <w:rPr>
          <w:sz w:val="24"/>
          <w:szCs w:val="24"/>
        </w:rPr>
      </w:pPr>
    </w:p>
    <w:p w:rsidR="00D24E61" w:rsidRDefault="00D24E61" w:rsidP="006812A9">
      <w:pPr>
        <w:spacing w:line="233" w:lineRule="auto"/>
        <w:ind w:right="120" w:firstLine="852"/>
        <w:jc w:val="both"/>
        <w:rPr>
          <w:rFonts w:eastAsia="Times"/>
          <w:sz w:val="24"/>
          <w:szCs w:val="24"/>
        </w:rPr>
      </w:pPr>
      <w:r w:rsidRPr="006812A9">
        <w:rPr>
          <w:rFonts w:eastAsia="Times"/>
          <w:sz w:val="24"/>
          <w:szCs w:val="24"/>
        </w:rPr>
        <w:t>A rádio é pensada como uma extensão do Jornal Daqui, com um público bem definido e procura atender as expectativas dos seus ouvintes. Nesta mesma sessão ao pé da página tem um cupom onde o leitor pode recortar e preencher mandando uma mensagem uma reclamação ou opinião a respeito da cidade ou d e seu bairro e por meio do Daqwitter essas mensagens são difundidas no próprio Jornal na sessão Novela/Rádio.</w:t>
      </w:r>
    </w:p>
    <w:p w:rsidR="006812A9" w:rsidRPr="006812A9" w:rsidRDefault="006812A9" w:rsidP="006812A9">
      <w:pPr>
        <w:spacing w:line="233" w:lineRule="auto"/>
        <w:ind w:right="120" w:firstLine="852"/>
        <w:jc w:val="both"/>
        <w:rPr>
          <w:sz w:val="24"/>
          <w:szCs w:val="24"/>
        </w:rPr>
      </w:pPr>
    </w:p>
    <w:p w:rsidR="00D24E61" w:rsidRPr="006812A9" w:rsidRDefault="00D24E61" w:rsidP="006812A9">
      <w:pPr>
        <w:tabs>
          <w:tab w:val="left" w:pos="6020"/>
        </w:tabs>
        <w:ind w:left="920"/>
        <w:jc w:val="both"/>
        <w:rPr>
          <w:sz w:val="24"/>
          <w:szCs w:val="24"/>
        </w:rPr>
      </w:pPr>
      <w:r w:rsidRPr="006812A9">
        <w:rPr>
          <w:rFonts w:eastAsia="Times"/>
          <w:sz w:val="24"/>
          <w:szCs w:val="24"/>
        </w:rPr>
        <w:t>Em seguida na sessão ‘‘TV’’ são apresentadas as pr</w:t>
      </w:r>
      <w:r w:rsidRPr="006812A9">
        <w:rPr>
          <w:sz w:val="24"/>
          <w:szCs w:val="24"/>
        </w:rPr>
        <w:tab/>
      </w:r>
      <w:r w:rsidRPr="006812A9">
        <w:rPr>
          <w:rFonts w:eastAsia="Times"/>
          <w:sz w:val="24"/>
          <w:szCs w:val="24"/>
        </w:rPr>
        <w:t>ogramações das Tvs abertas</w:t>
      </w:r>
    </w:p>
    <w:p w:rsidR="00D24E61" w:rsidRPr="006812A9" w:rsidRDefault="00D24E61" w:rsidP="006812A9">
      <w:pPr>
        <w:spacing w:line="221" w:lineRule="auto"/>
        <w:ind w:right="120"/>
        <w:jc w:val="both"/>
        <w:rPr>
          <w:sz w:val="24"/>
          <w:szCs w:val="24"/>
        </w:rPr>
      </w:pPr>
      <w:r w:rsidRPr="006812A9">
        <w:rPr>
          <w:rFonts w:eastAsia="Times"/>
          <w:sz w:val="24"/>
          <w:szCs w:val="24"/>
        </w:rPr>
        <w:t>transmitidas em Goiânia e também são expostas fotos de leitores que enviam para a redação do Jornal fotos de pessoas queridas com o i ntuito de homenageá-las, essa parte da pagina se intitula o ‘‘Artista lá de Casa’’.</w:t>
      </w:r>
    </w:p>
    <w:p w:rsidR="00D24E61" w:rsidRPr="006812A9" w:rsidRDefault="00D24E61" w:rsidP="006812A9">
      <w:pPr>
        <w:spacing w:line="20" w:lineRule="exact"/>
        <w:jc w:val="both"/>
        <w:rPr>
          <w:sz w:val="24"/>
          <w:szCs w:val="24"/>
        </w:rPr>
      </w:pPr>
    </w:p>
    <w:p w:rsidR="00D24E61" w:rsidRPr="006812A9" w:rsidRDefault="00D24E61" w:rsidP="006812A9">
      <w:pPr>
        <w:ind w:left="920"/>
        <w:jc w:val="both"/>
        <w:rPr>
          <w:sz w:val="24"/>
          <w:szCs w:val="24"/>
        </w:rPr>
      </w:pPr>
      <w:r w:rsidRPr="006812A9">
        <w:rPr>
          <w:rFonts w:eastAsia="Times"/>
          <w:sz w:val="24"/>
          <w:szCs w:val="24"/>
        </w:rPr>
        <w:t>A  sessão  ‘‘gente  famosa’’  ocupa  duas  paginas  do  Jo  rnal  onde  são  expostas</w:t>
      </w:r>
    </w:p>
    <w:p w:rsidR="00D24E61" w:rsidRPr="006812A9" w:rsidRDefault="00D24E61" w:rsidP="006812A9">
      <w:pPr>
        <w:spacing w:line="228" w:lineRule="auto"/>
        <w:ind w:right="240"/>
        <w:jc w:val="both"/>
        <w:rPr>
          <w:sz w:val="24"/>
          <w:szCs w:val="24"/>
        </w:rPr>
      </w:pPr>
      <w:r w:rsidRPr="006812A9">
        <w:rPr>
          <w:rFonts w:eastAsia="Times"/>
          <w:sz w:val="24"/>
          <w:szCs w:val="24"/>
        </w:rPr>
        <w:t>informações sobre famosos, trazendo notícias variad as como a de um casamento de famosos ao novo trabalho de um ator. Nesta sessão a s celebridades são veiculadas a imagens de artistas da televisão, teatro e músicos, um ponto interessante nesta parte do jornal e que os escândalos quando noticiados não po ssuem o tom de sensacionalismo,</w:t>
      </w:r>
    </w:p>
    <w:p w:rsidR="00D24E61" w:rsidRPr="006812A9" w:rsidRDefault="00D24E61" w:rsidP="006812A9">
      <w:pPr>
        <w:spacing w:line="22" w:lineRule="exact"/>
        <w:jc w:val="both"/>
        <w:rPr>
          <w:sz w:val="24"/>
          <w:szCs w:val="24"/>
        </w:rPr>
      </w:pPr>
    </w:p>
    <w:p w:rsidR="00D24E61" w:rsidRPr="006812A9" w:rsidRDefault="00D24E61" w:rsidP="006812A9">
      <w:pPr>
        <w:tabs>
          <w:tab w:val="left" w:pos="5980"/>
        </w:tabs>
        <w:ind w:left="860"/>
        <w:jc w:val="both"/>
        <w:rPr>
          <w:sz w:val="24"/>
          <w:szCs w:val="24"/>
        </w:rPr>
      </w:pPr>
      <w:r w:rsidRPr="006812A9">
        <w:rPr>
          <w:rFonts w:eastAsia="Times"/>
          <w:sz w:val="24"/>
          <w:szCs w:val="24"/>
        </w:rPr>
        <w:t>A sessão ‘‘Oriente-se’’ traz o horóscopo com a prev</w:t>
      </w:r>
      <w:r w:rsidRPr="006812A9">
        <w:rPr>
          <w:sz w:val="24"/>
          <w:szCs w:val="24"/>
        </w:rPr>
        <w:tab/>
      </w:r>
      <w:r w:rsidRPr="006812A9">
        <w:rPr>
          <w:rFonts w:eastAsia="Times"/>
          <w:sz w:val="24"/>
          <w:szCs w:val="24"/>
        </w:rPr>
        <w:t>isão de todos os signos, esta</w:t>
      </w:r>
    </w:p>
    <w:p w:rsidR="00D24E61" w:rsidRPr="00771368" w:rsidRDefault="00D24E61">
      <w:pPr>
        <w:spacing w:line="149" w:lineRule="exact"/>
        <w:rPr>
          <w:sz w:val="20"/>
          <w:szCs w:val="20"/>
        </w:rPr>
      </w:pPr>
    </w:p>
    <w:p w:rsidR="00D24E61" w:rsidRPr="006812A9" w:rsidRDefault="00D24E61" w:rsidP="006812A9">
      <w:pPr>
        <w:spacing w:line="238" w:lineRule="auto"/>
        <w:ind w:right="240"/>
        <w:jc w:val="both"/>
        <w:rPr>
          <w:sz w:val="24"/>
          <w:szCs w:val="24"/>
        </w:rPr>
      </w:pPr>
      <w:r w:rsidRPr="006812A9">
        <w:rPr>
          <w:rFonts w:eastAsia="Times"/>
          <w:sz w:val="24"/>
          <w:szCs w:val="24"/>
        </w:rPr>
        <w:t>sessão possui uma coluna que se chama Seu Sonho ond e o leitor pode mandar para redação uma carta dizendo seu sonho que será interpretado na coluna do Jornal trazendo o significado do sonho do leitor. Nesta sessão ainda possui uma coluna ‘‘Salvador Daqui’’ onde são expostas piadas mandadas pelos leitores at ravés das cartas enviadas há redação.</w:t>
      </w:r>
    </w:p>
    <w:p w:rsidR="00D24E61" w:rsidRPr="006812A9" w:rsidRDefault="00D24E61" w:rsidP="006812A9">
      <w:pPr>
        <w:spacing w:line="24" w:lineRule="exact"/>
        <w:jc w:val="both"/>
        <w:rPr>
          <w:sz w:val="24"/>
          <w:szCs w:val="24"/>
        </w:rPr>
      </w:pPr>
    </w:p>
    <w:p w:rsidR="00D24E61" w:rsidRPr="006812A9" w:rsidRDefault="00D24E61" w:rsidP="006812A9">
      <w:pPr>
        <w:ind w:left="860"/>
        <w:jc w:val="both"/>
        <w:rPr>
          <w:sz w:val="24"/>
          <w:szCs w:val="24"/>
        </w:rPr>
      </w:pPr>
      <w:r w:rsidRPr="006812A9">
        <w:rPr>
          <w:rFonts w:eastAsia="Times"/>
          <w:sz w:val="24"/>
          <w:szCs w:val="24"/>
        </w:rPr>
        <w:t>Na página seguinte encontra se a sessão intitulada ‘‘Diversão’’ que é composta</w:t>
      </w:r>
    </w:p>
    <w:p w:rsidR="00D24E61" w:rsidRPr="006812A9" w:rsidRDefault="00D24E61" w:rsidP="006812A9">
      <w:pPr>
        <w:spacing w:line="18" w:lineRule="exact"/>
        <w:jc w:val="both"/>
        <w:rPr>
          <w:sz w:val="24"/>
          <w:szCs w:val="24"/>
        </w:rPr>
      </w:pPr>
    </w:p>
    <w:p w:rsidR="00D24E61" w:rsidRPr="006812A9" w:rsidRDefault="00D24E61" w:rsidP="006812A9">
      <w:pPr>
        <w:jc w:val="both"/>
        <w:rPr>
          <w:sz w:val="24"/>
          <w:szCs w:val="24"/>
        </w:rPr>
      </w:pPr>
      <w:r w:rsidRPr="006812A9">
        <w:rPr>
          <w:rFonts w:eastAsia="Times"/>
          <w:sz w:val="24"/>
          <w:szCs w:val="24"/>
        </w:rPr>
        <w:t>pelo jogo dos sete erros no canto direito da páginae  também palavras cruzadas e na parte</w:t>
      </w:r>
    </w:p>
    <w:p w:rsidR="00D24E61" w:rsidRPr="006812A9" w:rsidRDefault="00D24E61" w:rsidP="006812A9">
      <w:pPr>
        <w:spacing w:line="20" w:lineRule="exact"/>
        <w:jc w:val="both"/>
        <w:rPr>
          <w:sz w:val="24"/>
          <w:szCs w:val="24"/>
        </w:rPr>
      </w:pPr>
    </w:p>
    <w:p w:rsidR="00D24E61" w:rsidRPr="006812A9" w:rsidRDefault="00D24E61" w:rsidP="006812A9">
      <w:pPr>
        <w:jc w:val="both"/>
        <w:rPr>
          <w:sz w:val="24"/>
          <w:szCs w:val="24"/>
        </w:rPr>
      </w:pPr>
      <w:r w:rsidRPr="006812A9">
        <w:rPr>
          <w:rFonts w:eastAsia="Times"/>
          <w:sz w:val="24"/>
          <w:szCs w:val="24"/>
        </w:rPr>
        <w:t>superior da pagina são expostas piadas.</w:t>
      </w:r>
    </w:p>
    <w:p w:rsidR="00D24E61" w:rsidRPr="006812A9" w:rsidRDefault="00D24E61" w:rsidP="006812A9">
      <w:pPr>
        <w:spacing w:line="18" w:lineRule="exact"/>
        <w:jc w:val="both"/>
        <w:rPr>
          <w:sz w:val="24"/>
          <w:szCs w:val="24"/>
        </w:rPr>
      </w:pPr>
    </w:p>
    <w:p w:rsidR="00D24E61" w:rsidRPr="006812A9" w:rsidRDefault="00D24E61" w:rsidP="006812A9">
      <w:pPr>
        <w:ind w:left="860"/>
        <w:jc w:val="both"/>
        <w:rPr>
          <w:sz w:val="24"/>
          <w:szCs w:val="24"/>
        </w:rPr>
      </w:pPr>
      <w:r w:rsidRPr="006812A9">
        <w:rPr>
          <w:rFonts w:eastAsia="Times"/>
          <w:sz w:val="24"/>
          <w:szCs w:val="24"/>
        </w:rPr>
        <w:t>Na página que se segue é apresentado o resumo dosilmesf que estão em cartaz no</w:t>
      </w:r>
    </w:p>
    <w:p w:rsidR="00D24E61" w:rsidRPr="006812A9" w:rsidRDefault="00D24E61" w:rsidP="006812A9">
      <w:pPr>
        <w:spacing w:line="149" w:lineRule="exact"/>
        <w:jc w:val="both"/>
        <w:rPr>
          <w:sz w:val="24"/>
          <w:szCs w:val="24"/>
        </w:rPr>
      </w:pPr>
    </w:p>
    <w:p w:rsidR="00D24E61" w:rsidRPr="006812A9" w:rsidRDefault="00D24E61" w:rsidP="006812A9">
      <w:pPr>
        <w:spacing w:line="206" w:lineRule="auto"/>
        <w:ind w:right="320"/>
        <w:jc w:val="both"/>
        <w:rPr>
          <w:sz w:val="24"/>
          <w:szCs w:val="24"/>
        </w:rPr>
      </w:pPr>
      <w:r w:rsidRPr="006812A9">
        <w:rPr>
          <w:rFonts w:eastAsia="Times"/>
          <w:sz w:val="24"/>
          <w:szCs w:val="24"/>
        </w:rPr>
        <w:t>cinema da cidade e também a sinopse dos filmes que vão ser lançados em breve com os horários dos filmes.</w:t>
      </w:r>
    </w:p>
    <w:p w:rsidR="00D24E61" w:rsidRPr="006812A9" w:rsidRDefault="00D24E61" w:rsidP="006812A9">
      <w:pPr>
        <w:spacing w:line="149" w:lineRule="exact"/>
        <w:jc w:val="both"/>
        <w:rPr>
          <w:sz w:val="24"/>
          <w:szCs w:val="24"/>
        </w:rPr>
      </w:pPr>
    </w:p>
    <w:p w:rsidR="00D24E61" w:rsidRPr="006812A9" w:rsidRDefault="00D24E61" w:rsidP="006812A9">
      <w:pPr>
        <w:spacing w:line="236" w:lineRule="auto"/>
        <w:ind w:firstLine="912"/>
        <w:jc w:val="both"/>
        <w:rPr>
          <w:sz w:val="24"/>
          <w:szCs w:val="24"/>
        </w:rPr>
      </w:pPr>
      <w:r w:rsidRPr="006812A9">
        <w:rPr>
          <w:rFonts w:eastAsia="Times"/>
          <w:sz w:val="24"/>
          <w:szCs w:val="24"/>
        </w:rPr>
        <w:t>A sessão que se segue se intitula ‘‘Esporte’’ onde são abordadas notícias sobre os esportes em geral de âmbito nacional e regional e s ão evidenciadas principalmente notícias relacionadas ao futebol. Dentro desta sessão é destacado um espaço para as noticias do futebol local que é realizado nos bairros de Goiânia. Também há uma coluna onde é mostrado o resultado dos campeonatos Brasileiros de Futebol e o resultado de loterias coma a Quina e a Loto fácil.</w:t>
      </w:r>
    </w:p>
    <w:p w:rsidR="00D24E61" w:rsidRPr="006812A9" w:rsidRDefault="00D24E61" w:rsidP="006812A9">
      <w:pPr>
        <w:spacing w:line="152" w:lineRule="exact"/>
        <w:jc w:val="both"/>
        <w:rPr>
          <w:sz w:val="24"/>
          <w:szCs w:val="24"/>
        </w:rPr>
      </w:pPr>
    </w:p>
    <w:p w:rsidR="00D24E61" w:rsidRPr="006812A9" w:rsidRDefault="00D24E61" w:rsidP="006812A9">
      <w:pPr>
        <w:spacing w:line="221" w:lineRule="auto"/>
        <w:ind w:right="-51" w:firstLine="852"/>
        <w:jc w:val="both"/>
        <w:rPr>
          <w:sz w:val="24"/>
          <w:szCs w:val="24"/>
        </w:rPr>
      </w:pPr>
      <w:r w:rsidRPr="006812A9">
        <w:rPr>
          <w:rFonts w:eastAsia="Times"/>
          <w:sz w:val="24"/>
          <w:szCs w:val="24"/>
        </w:rPr>
        <w:t>Na ultima página do Jornal é apresentada uma cartelonde o leitor pode recortar e colar os selos que vem na primeira página do Jornale trocar pelo brinde ao final da promoção.</w:t>
      </w:r>
    </w:p>
    <w:p w:rsidR="00D24E61" w:rsidRPr="006812A9" w:rsidRDefault="00D24E61" w:rsidP="006812A9">
      <w:pPr>
        <w:spacing w:line="149" w:lineRule="exact"/>
        <w:ind w:right="-51"/>
        <w:jc w:val="both"/>
        <w:rPr>
          <w:sz w:val="24"/>
          <w:szCs w:val="24"/>
        </w:rPr>
      </w:pPr>
    </w:p>
    <w:p w:rsidR="00D24E61" w:rsidRPr="006812A9" w:rsidRDefault="00D24E61" w:rsidP="006812A9">
      <w:pPr>
        <w:spacing w:line="206" w:lineRule="auto"/>
        <w:ind w:right="-51" w:firstLine="852"/>
        <w:jc w:val="both"/>
        <w:rPr>
          <w:sz w:val="24"/>
          <w:szCs w:val="24"/>
        </w:rPr>
      </w:pPr>
      <w:r w:rsidRPr="006812A9">
        <w:rPr>
          <w:rFonts w:eastAsia="Times"/>
          <w:sz w:val="24"/>
          <w:szCs w:val="24"/>
        </w:rPr>
        <w:t>Analisamos o Jornal Daqui sob a perspectiva mercadológica. A grande parte dos leitores do Jornal Daqui é constituída de indivíduos da classe C, D, E, ou seja, não possui</w:t>
      </w:r>
    </w:p>
    <w:p w:rsidR="00D24E61" w:rsidRPr="006812A9" w:rsidRDefault="00D24E61" w:rsidP="006812A9">
      <w:pPr>
        <w:spacing w:line="206" w:lineRule="auto"/>
        <w:ind w:right="-51"/>
        <w:jc w:val="both"/>
        <w:rPr>
          <w:sz w:val="24"/>
          <w:szCs w:val="24"/>
        </w:rPr>
      </w:pPr>
      <w:r w:rsidRPr="006812A9">
        <w:rPr>
          <w:rFonts w:eastAsia="Times"/>
          <w:sz w:val="24"/>
          <w:szCs w:val="24"/>
        </w:rPr>
        <w:t>muitas vezes acesso a outro meio informacional, além da televisão e dispõem de poucos recursos o que acarreta limitado poder de escolha.</w:t>
      </w:r>
    </w:p>
    <w:p w:rsidR="00D24E61" w:rsidRPr="006812A9" w:rsidRDefault="00D24E61" w:rsidP="006812A9">
      <w:pPr>
        <w:spacing w:line="149" w:lineRule="exact"/>
        <w:ind w:right="-51"/>
        <w:jc w:val="both"/>
        <w:rPr>
          <w:sz w:val="24"/>
          <w:szCs w:val="24"/>
        </w:rPr>
      </w:pPr>
    </w:p>
    <w:p w:rsidR="00D24E61" w:rsidRPr="006812A9" w:rsidRDefault="00D24E61" w:rsidP="006812A9">
      <w:pPr>
        <w:spacing w:line="229" w:lineRule="auto"/>
        <w:ind w:right="-51" w:firstLine="852"/>
        <w:jc w:val="both"/>
        <w:rPr>
          <w:sz w:val="24"/>
          <w:szCs w:val="24"/>
        </w:rPr>
      </w:pPr>
      <w:r w:rsidRPr="006812A9">
        <w:rPr>
          <w:rFonts w:eastAsia="Times"/>
          <w:sz w:val="24"/>
          <w:szCs w:val="24"/>
        </w:rPr>
        <w:t>O Jornal Daqui foi pensado pela OJC para atrair o público goiano de baixa renda que não possuíam o costume de comprar jornal impres so, como o jornal O Popular que é o jornal de maior circulação em Goiânia. Para tentar atingir este público-alvo os editores da OJC criaram o Jornal Daqui para atingir o público menos favorecido financeiramente.</w:t>
      </w:r>
    </w:p>
    <w:p w:rsidR="00D24E61" w:rsidRPr="006812A9" w:rsidRDefault="00D24E61" w:rsidP="006812A9">
      <w:pPr>
        <w:spacing w:line="147" w:lineRule="exact"/>
        <w:ind w:right="-51"/>
        <w:jc w:val="both"/>
        <w:rPr>
          <w:sz w:val="24"/>
          <w:szCs w:val="24"/>
        </w:rPr>
      </w:pPr>
    </w:p>
    <w:p w:rsidR="00D24E61" w:rsidRPr="006812A9" w:rsidRDefault="00D24E61" w:rsidP="006812A9">
      <w:pPr>
        <w:spacing w:line="231" w:lineRule="auto"/>
        <w:ind w:right="-51" w:firstLine="852"/>
        <w:jc w:val="both"/>
        <w:rPr>
          <w:sz w:val="24"/>
          <w:szCs w:val="24"/>
        </w:rPr>
      </w:pPr>
      <w:r w:rsidRPr="006812A9">
        <w:rPr>
          <w:rFonts w:eastAsia="Times"/>
          <w:sz w:val="24"/>
          <w:szCs w:val="24"/>
        </w:rPr>
        <w:t>O Jornal Daqui muito além de levar informações aos seus leitores traz narrativas, discursos que visam passar uma mensagem além da informação explicita. As informações apresentadas na capa do Jornal Daqui anunciam notícias que estão no corpo do Jornal.</w:t>
      </w:r>
    </w:p>
    <w:p w:rsidR="00D24E61" w:rsidRPr="006812A9" w:rsidRDefault="00D24E61" w:rsidP="006812A9">
      <w:pPr>
        <w:spacing w:line="147" w:lineRule="exact"/>
        <w:ind w:right="-51"/>
        <w:jc w:val="both"/>
        <w:rPr>
          <w:sz w:val="24"/>
          <w:szCs w:val="24"/>
        </w:rPr>
      </w:pPr>
    </w:p>
    <w:p w:rsidR="00D24E61" w:rsidRPr="006812A9" w:rsidRDefault="00D24E61" w:rsidP="006812A9">
      <w:pPr>
        <w:spacing w:line="229" w:lineRule="auto"/>
        <w:ind w:right="-51" w:firstLine="912"/>
        <w:jc w:val="both"/>
        <w:rPr>
          <w:sz w:val="24"/>
          <w:szCs w:val="24"/>
        </w:rPr>
      </w:pPr>
      <w:r w:rsidRPr="006812A9">
        <w:rPr>
          <w:rFonts w:eastAsia="Times"/>
          <w:sz w:val="24"/>
          <w:szCs w:val="24"/>
        </w:rPr>
        <w:t>O Jornal Daqui é um material de consumo, e como todo material de consumo possui suas estratégias para convencer e seduzir os seus consumidores, através de estratégias de marketing, os editores do Jornal conquistam cada vez mais um maior número de leitores.</w:t>
      </w:r>
    </w:p>
    <w:p w:rsidR="00D24E61" w:rsidRPr="006812A9" w:rsidRDefault="00D24E61" w:rsidP="006812A9">
      <w:pPr>
        <w:spacing w:line="147" w:lineRule="exact"/>
        <w:ind w:right="-51"/>
        <w:jc w:val="both"/>
        <w:rPr>
          <w:sz w:val="24"/>
          <w:szCs w:val="24"/>
        </w:rPr>
      </w:pPr>
    </w:p>
    <w:p w:rsidR="00D24E61" w:rsidRPr="006812A9" w:rsidRDefault="00D24E61" w:rsidP="006812A9">
      <w:pPr>
        <w:spacing w:line="236" w:lineRule="auto"/>
        <w:ind w:right="-51" w:firstLine="852"/>
        <w:jc w:val="both"/>
        <w:rPr>
          <w:sz w:val="24"/>
          <w:szCs w:val="24"/>
        </w:rPr>
      </w:pPr>
      <w:r w:rsidRPr="006812A9">
        <w:rPr>
          <w:rFonts w:eastAsia="Times"/>
          <w:sz w:val="24"/>
          <w:szCs w:val="24"/>
        </w:rPr>
        <w:t>Na capa do Jornal Daqui sempre é divulgada uma figura feminina com roupas provocantes e junto à foto da modelo tem um pequeno texto com informações sobre a modelo, anunciando que no corpo do Jornal são expos tas mais informações sobre a modelo. O Jornal Daqui é um produto social e como fruto da mídia impressa influência de forma direta a população que adquire o jornal por d iversos motivos, entretanto, todos ligados ao consumo.</w:t>
      </w:r>
    </w:p>
    <w:p w:rsidR="00D24E61" w:rsidRPr="006812A9" w:rsidRDefault="00D24E61" w:rsidP="006812A9">
      <w:pPr>
        <w:spacing w:line="152" w:lineRule="exact"/>
        <w:ind w:right="-51"/>
        <w:jc w:val="both"/>
        <w:rPr>
          <w:sz w:val="24"/>
          <w:szCs w:val="24"/>
        </w:rPr>
      </w:pPr>
    </w:p>
    <w:p w:rsidR="00D24E61" w:rsidRPr="006812A9" w:rsidRDefault="00D24E61" w:rsidP="006812A9">
      <w:pPr>
        <w:spacing w:line="229" w:lineRule="auto"/>
        <w:ind w:right="-51" w:firstLine="852"/>
        <w:jc w:val="both"/>
        <w:rPr>
          <w:sz w:val="24"/>
          <w:szCs w:val="24"/>
        </w:rPr>
      </w:pPr>
      <w:r w:rsidRPr="006812A9">
        <w:rPr>
          <w:rFonts w:eastAsia="Times"/>
          <w:sz w:val="24"/>
          <w:szCs w:val="24"/>
        </w:rPr>
        <w:t>Ao eleger a mídia impressa como campo de pesquisa pretende-se discutir as representações de gênero e sexualidade nas imagens do feminino que são expostas no Jornal Daqui a partir da perspectiva dos estudos culturais. As imagens veiculadas pelo Jornal Daqui são de modelos expondo seu corpo como objeto de prazer masculino.</w:t>
      </w:r>
    </w:p>
    <w:p w:rsidR="00D24E61" w:rsidRPr="006812A9" w:rsidRDefault="00D24E61" w:rsidP="006812A9">
      <w:pPr>
        <w:spacing w:line="147" w:lineRule="exact"/>
        <w:ind w:right="-51"/>
        <w:jc w:val="both"/>
        <w:rPr>
          <w:sz w:val="24"/>
          <w:szCs w:val="24"/>
        </w:rPr>
      </w:pPr>
    </w:p>
    <w:p w:rsidR="00D24E61" w:rsidRPr="006812A9" w:rsidRDefault="00D24E61" w:rsidP="006812A9">
      <w:pPr>
        <w:spacing w:line="233" w:lineRule="auto"/>
        <w:ind w:right="-51" w:firstLine="852"/>
        <w:jc w:val="both"/>
        <w:rPr>
          <w:sz w:val="24"/>
          <w:szCs w:val="24"/>
        </w:rPr>
      </w:pPr>
      <w:r w:rsidRPr="006812A9">
        <w:rPr>
          <w:rFonts w:eastAsia="Times"/>
          <w:sz w:val="24"/>
          <w:szCs w:val="24"/>
        </w:rPr>
        <w:t>A figura feminina retratada no Jornal a partir de sua criação em 2007 é de mulheres estereotipadas pela mídia. O Jornal Daqui retrata uma mulher tida como ideal pelos meios comunicacionais, o padrão de beleza pro pagado pelo Jornal Daqui é bem estabelecido, modelos malhadas com o corpo escultural, todas magras, vestidas com o mínimo de roupa possível, como biquínis.</w:t>
      </w:r>
    </w:p>
    <w:p w:rsidR="00D24E61" w:rsidRPr="006812A9" w:rsidRDefault="00D24E61" w:rsidP="006812A9">
      <w:pPr>
        <w:jc w:val="both"/>
        <w:rPr>
          <w:sz w:val="24"/>
          <w:szCs w:val="24"/>
        </w:rPr>
        <w:sectPr w:rsidR="00D24E61" w:rsidRPr="006812A9">
          <w:pgSz w:w="11900" w:h="16840"/>
          <w:pgMar w:top="645" w:right="1320" w:bottom="1440" w:left="1700" w:header="0" w:footer="0" w:gutter="0"/>
          <w:cols w:space="720" w:equalWidth="0">
            <w:col w:w="8880"/>
          </w:cols>
        </w:sectPr>
      </w:pPr>
    </w:p>
    <w:p w:rsidR="00D24E61" w:rsidRPr="006812A9" w:rsidRDefault="00D24E61" w:rsidP="006812A9">
      <w:pPr>
        <w:spacing w:line="200" w:lineRule="exact"/>
        <w:jc w:val="both"/>
        <w:rPr>
          <w:sz w:val="24"/>
          <w:szCs w:val="24"/>
        </w:rPr>
      </w:pPr>
    </w:p>
    <w:p w:rsidR="00D24E61" w:rsidRPr="006812A9" w:rsidRDefault="00D24E61" w:rsidP="006812A9">
      <w:pPr>
        <w:ind w:right="-6069"/>
        <w:jc w:val="both"/>
        <w:rPr>
          <w:sz w:val="24"/>
          <w:szCs w:val="24"/>
        </w:rPr>
      </w:pPr>
      <w:r w:rsidRPr="006812A9">
        <w:rPr>
          <w:rFonts w:eastAsia="Times"/>
          <w:b/>
          <w:bCs/>
          <w:sz w:val="24"/>
          <w:szCs w:val="24"/>
        </w:rPr>
        <w:t>ANÁLISE DAS IMAGENS</w:t>
      </w:r>
    </w:p>
    <w:p w:rsidR="00D24E61" w:rsidRPr="006812A9" w:rsidRDefault="00D24E61" w:rsidP="006812A9">
      <w:pPr>
        <w:ind w:left="860"/>
        <w:jc w:val="both"/>
        <w:rPr>
          <w:sz w:val="24"/>
          <w:szCs w:val="24"/>
        </w:rPr>
      </w:pPr>
      <w:r w:rsidRPr="006812A9">
        <w:rPr>
          <w:rFonts w:eastAsia="Times"/>
          <w:sz w:val="24"/>
          <w:szCs w:val="24"/>
        </w:rPr>
        <w:t>O  fotografo  ao  escolher  o  cenário  e  a  pose  da  model  tem  um  determinado</w:t>
      </w:r>
    </w:p>
    <w:p w:rsidR="00D24E61" w:rsidRPr="006812A9" w:rsidRDefault="00D24E61" w:rsidP="006812A9">
      <w:pPr>
        <w:spacing w:line="20" w:lineRule="exact"/>
        <w:jc w:val="both"/>
        <w:rPr>
          <w:sz w:val="24"/>
          <w:szCs w:val="24"/>
        </w:rPr>
      </w:pPr>
    </w:p>
    <w:p w:rsidR="00D24E61" w:rsidRPr="006812A9" w:rsidRDefault="00D24E61" w:rsidP="006812A9">
      <w:pPr>
        <w:tabs>
          <w:tab w:val="left" w:pos="5400"/>
        </w:tabs>
        <w:jc w:val="both"/>
        <w:rPr>
          <w:sz w:val="24"/>
          <w:szCs w:val="24"/>
        </w:rPr>
      </w:pPr>
      <w:r w:rsidRPr="006812A9">
        <w:rPr>
          <w:rFonts w:eastAsia="Times"/>
          <w:sz w:val="24"/>
          <w:szCs w:val="24"/>
        </w:rPr>
        <w:t>propósito, todos os elementos da foto são  pensados</w:t>
      </w:r>
      <w:r w:rsidRPr="006812A9">
        <w:rPr>
          <w:sz w:val="24"/>
          <w:szCs w:val="24"/>
        </w:rPr>
        <w:tab/>
      </w:r>
      <w:r w:rsidRPr="006812A9">
        <w:rPr>
          <w:rFonts w:eastAsia="Times"/>
          <w:sz w:val="24"/>
          <w:szCs w:val="24"/>
        </w:rPr>
        <w:t>e escolhidos com  atenção. Nossa</w:t>
      </w:r>
    </w:p>
    <w:p w:rsidR="00D24E61" w:rsidRPr="006812A9" w:rsidRDefault="00D24E61" w:rsidP="006812A9">
      <w:pPr>
        <w:spacing w:line="147" w:lineRule="exact"/>
        <w:jc w:val="both"/>
        <w:rPr>
          <w:sz w:val="24"/>
          <w:szCs w:val="24"/>
        </w:rPr>
      </w:pPr>
    </w:p>
    <w:p w:rsidR="00D24E61" w:rsidRPr="006812A9" w:rsidRDefault="00D24E61" w:rsidP="006812A9">
      <w:pPr>
        <w:spacing w:line="229" w:lineRule="auto"/>
        <w:jc w:val="both"/>
        <w:rPr>
          <w:sz w:val="24"/>
          <w:szCs w:val="24"/>
        </w:rPr>
      </w:pPr>
      <w:r w:rsidRPr="006812A9">
        <w:rPr>
          <w:rFonts w:eastAsia="Times"/>
          <w:sz w:val="24"/>
          <w:szCs w:val="24"/>
        </w:rPr>
        <w:t>análise pauta-se na perspectiva dos estudos de gênero na medida em que procuramos identificar os elementos que evidenciam e erotizaçã o do corpo feminino. Ao analisar as imagens veiculadas pelo Jornal Daqui buscamos captar os valores conceituais e simbólicos que são passados através das imagens para os consumidores do Jornal.</w:t>
      </w:r>
    </w:p>
    <w:p w:rsidR="00D24E61" w:rsidRPr="006812A9" w:rsidRDefault="00D24E61" w:rsidP="006812A9">
      <w:pPr>
        <w:spacing w:line="18" w:lineRule="exact"/>
        <w:jc w:val="both"/>
        <w:rPr>
          <w:sz w:val="24"/>
          <w:szCs w:val="24"/>
        </w:rPr>
      </w:pPr>
    </w:p>
    <w:p w:rsidR="00D24E61" w:rsidRPr="006812A9" w:rsidRDefault="00D24E61" w:rsidP="006812A9">
      <w:pPr>
        <w:ind w:left="860"/>
        <w:jc w:val="both"/>
        <w:rPr>
          <w:sz w:val="24"/>
          <w:szCs w:val="24"/>
        </w:rPr>
      </w:pPr>
      <w:r w:rsidRPr="006812A9">
        <w:rPr>
          <w:rFonts w:eastAsia="Times"/>
          <w:sz w:val="24"/>
          <w:szCs w:val="24"/>
        </w:rPr>
        <w:t>As análises se deram das edições do mês de abril de2010, 2011 e 2012. O mês de</w:t>
      </w:r>
    </w:p>
    <w:p w:rsidR="00D24E61" w:rsidRPr="006812A9" w:rsidRDefault="00D24E61" w:rsidP="006812A9">
      <w:pPr>
        <w:spacing w:line="147" w:lineRule="exact"/>
        <w:jc w:val="both"/>
        <w:rPr>
          <w:sz w:val="24"/>
          <w:szCs w:val="24"/>
        </w:rPr>
      </w:pPr>
    </w:p>
    <w:p w:rsidR="00D24E61" w:rsidRPr="006812A9" w:rsidRDefault="00D24E61" w:rsidP="006812A9">
      <w:pPr>
        <w:spacing w:line="229" w:lineRule="auto"/>
        <w:jc w:val="both"/>
        <w:rPr>
          <w:sz w:val="24"/>
          <w:szCs w:val="24"/>
        </w:rPr>
      </w:pPr>
      <w:r w:rsidRPr="006812A9">
        <w:rPr>
          <w:rFonts w:eastAsia="Times"/>
          <w:sz w:val="24"/>
          <w:szCs w:val="24"/>
        </w:rPr>
        <w:t>abril foi escolhido devido o surgimento do Jornal Daqui ter sido neste mês. Em relação às edições dos anos de 2007, 2008 e 2009 ainda não fo ram catalogadas, todos os exemplares do Jornal Daqui se encontram no centro de documentação Jaime Câmara. Por se tratar de um Jornal diário delimitamos as edições de final de semana do mês de Abril. Totalizando</w:t>
      </w:r>
    </w:p>
    <w:p w:rsidR="00D24E61" w:rsidRPr="006812A9" w:rsidRDefault="00D24E61" w:rsidP="006812A9">
      <w:pPr>
        <w:spacing w:line="18" w:lineRule="exact"/>
        <w:jc w:val="both"/>
        <w:rPr>
          <w:sz w:val="24"/>
          <w:szCs w:val="24"/>
        </w:rPr>
      </w:pPr>
    </w:p>
    <w:p w:rsidR="00D24E61" w:rsidRPr="006812A9" w:rsidRDefault="00D24E61" w:rsidP="006812A9">
      <w:pPr>
        <w:tabs>
          <w:tab w:val="left" w:pos="8080"/>
        </w:tabs>
        <w:jc w:val="both"/>
        <w:rPr>
          <w:sz w:val="24"/>
          <w:szCs w:val="24"/>
        </w:rPr>
      </w:pPr>
      <w:r w:rsidRPr="006812A9">
        <w:rPr>
          <w:rFonts w:eastAsia="Times"/>
          <w:sz w:val="24"/>
          <w:szCs w:val="24"/>
        </w:rPr>
        <w:t>treze edições analisadas. Observamos que a partir d o surgimento do Jornal em</w:t>
      </w:r>
      <w:r w:rsidRPr="006812A9">
        <w:rPr>
          <w:sz w:val="24"/>
          <w:szCs w:val="24"/>
        </w:rPr>
        <w:tab/>
      </w:r>
      <w:r w:rsidRPr="006812A9">
        <w:rPr>
          <w:rFonts w:eastAsia="Times"/>
          <w:sz w:val="24"/>
          <w:szCs w:val="24"/>
        </w:rPr>
        <w:t>2007 o</w:t>
      </w:r>
    </w:p>
    <w:p w:rsidR="00D24E61" w:rsidRPr="006812A9" w:rsidRDefault="00D24E61" w:rsidP="006812A9">
      <w:pPr>
        <w:spacing w:line="149" w:lineRule="exact"/>
        <w:jc w:val="both"/>
        <w:rPr>
          <w:sz w:val="24"/>
          <w:szCs w:val="24"/>
        </w:rPr>
      </w:pPr>
    </w:p>
    <w:p w:rsidR="00D24E61" w:rsidRPr="006812A9" w:rsidRDefault="00D24E61" w:rsidP="006812A9">
      <w:pPr>
        <w:spacing w:line="206" w:lineRule="auto"/>
        <w:jc w:val="both"/>
        <w:rPr>
          <w:sz w:val="24"/>
          <w:szCs w:val="24"/>
        </w:rPr>
      </w:pPr>
      <w:r w:rsidRPr="006812A9">
        <w:rPr>
          <w:rFonts w:eastAsia="Times"/>
          <w:sz w:val="24"/>
          <w:szCs w:val="24"/>
        </w:rPr>
        <w:t>Jornal faz uso de imagens de mulheres com trajes sensuais em suas capas e na sessão ‘‘gente famosa’’.</w:t>
      </w:r>
    </w:p>
    <w:p w:rsidR="00D24E61" w:rsidRPr="006812A9" w:rsidRDefault="00D24E61" w:rsidP="006812A9">
      <w:pPr>
        <w:spacing w:line="149" w:lineRule="exact"/>
        <w:jc w:val="both"/>
        <w:rPr>
          <w:sz w:val="24"/>
          <w:szCs w:val="24"/>
        </w:rPr>
      </w:pPr>
    </w:p>
    <w:p w:rsidR="00D24E61" w:rsidRPr="006812A9" w:rsidRDefault="00D24E61" w:rsidP="006812A9">
      <w:pPr>
        <w:spacing w:line="236" w:lineRule="auto"/>
        <w:ind w:firstLine="852"/>
        <w:jc w:val="both"/>
        <w:rPr>
          <w:sz w:val="24"/>
          <w:szCs w:val="24"/>
        </w:rPr>
      </w:pPr>
      <w:r w:rsidRPr="006812A9">
        <w:rPr>
          <w:rFonts w:eastAsia="Times"/>
          <w:sz w:val="24"/>
          <w:szCs w:val="24"/>
        </w:rPr>
        <w:t>Ao realizar a análise das imagens das mulheres nasessão ‘‘gente famosa’’ que é veiculada no Jornal Daqui percebemos que ocorre a reafirmação da imagem da mulher como objeto sexual, pois ao enfatizar o corpo feminino quase nu nas imagens não está sendo valorizada nenhuma característica intelectual. Por meio das imagens divulgadas são construídas verdades que são passadas para os consu midores do Jornal Daqui de forma implícita, formando assim a opinião pública dos leitores.</w:t>
      </w:r>
    </w:p>
    <w:p w:rsidR="00D24E61" w:rsidRPr="006812A9" w:rsidRDefault="00D24E61" w:rsidP="006812A9">
      <w:pPr>
        <w:spacing w:line="152" w:lineRule="exact"/>
        <w:jc w:val="both"/>
        <w:rPr>
          <w:sz w:val="24"/>
          <w:szCs w:val="24"/>
        </w:rPr>
      </w:pPr>
    </w:p>
    <w:p w:rsidR="00D24E61" w:rsidRPr="006812A9" w:rsidRDefault="00D24E61" w:rsidP="006812A9">
      <w:pPr>
        <w:spacing w:line="253" w:lineRule="auto"/>
        <w:ind w:firstLine="852"/>
        <w:jc w:val="both"/>
        <w:rPr>
          <w:sz w:val="24"/>
          <w:szCs w:val="24"/>
        </w:rPr>
      </w:pPr>
      <w:r w:rsidRPr="006812A9">
        <w:rPr>
          <w:rFonts w:eastAsia="Times"/>
          <w:sz w:val="24"/>
          <w:szCs w:val="24"/>
        </w:rPr>
        <w:t>A modelo da edição do dia três de Abril de 2010, edição de final de semana se chama Paloma Bernardi, na nota informativa na capa do Jornal ao lado da foto é anunciado que ela é atriz e que suas curvas do corpo foram conquistadas através da dança. Na sessão gente famosa no corpo do Jornal aparece uma foto da modelo que é de cor branca, ela esta trajando um vestido Bege, que tem o comprimento acima do joelho, usa um colar grande de cor dourada, o cabelo castanho, comprido, solto esvoaçante, a modelo esta em pé com as mãos na cintura, no rosto da modelo a maquiagem leve e um olhar sedutor, o cenário é um fundo branco, percebemos desta imagem que a pose da modelo evidenciam o caráter de mercadoria do corpo feminino e sugere a vulgarizaçã o da mulher reforçando a ideia de que</w:t>
      </w:r>
    </w:p>
    <w:p w:rsidR="00D24E61" w:rsidRPr="006812A9" w:rsidRDefault="00D24E61" w:rsidP="006812A9">
      <w:pPr>
        <w:spacing w:line="131" w:lineRule="exact"/>
        <w:jc w:val="both"/>
        <w:rPr>
          <w:sz w:val="24"/>
          <w:szCs w:val="24"/>
        </w:rPr>
      </w:pPr>
    </w:p>
    <w:p w:rsidR="00D24E61" w:rsidRDefault="00D24E61" w:rsidP="006812A9">
      <w:pPr>
        <w:spacing w:line="206" w:lineRule="auto"/>
        <w:jc w:val="both"/>
        <w:rPr>
          <w:rFonts w:eastAsia="Times"/>
          <w:sz w:val="24"/>
          <w:szCs w:val="24"/>
        </w:rPr>
      </w:pPr>
      <w:r w:rsidRPr="006812A9">
        <w:rPr>
          <w:rFonts w:eastAsia="Times"/>
          <w:sz w:val="24"/>
          <w:szCs w:val="24"/>
        </w:rPr>
        <w:t>a mulher é um objeto de desejo masculino, portanto passível de ser submissa ao homem e destituída de intelecto.</w:t>
      </w:r>
    </w:p>
    <w:p w:rsidR="006812A9" w:rsidRPr="006812A9" w:rsidRDefault="006812A9" w:rsidP="006812A9">
      <w:pPr>
        <w:spacing w:line="206" w:lineRule="auto"/>
        <w:jc w:val="both"/>
        <w:rPr>
          <w:sz w:val="24"/>
          <w:szCs w:val="24"/>
        </w:rPr>
      </w:pPr>
    </w:p>
    <w:p w:rsidR="00D24E61" w:rsidRPr="006812A9" w:rsidRDefault="00D24E61" w:rsidP="006812A9">
      <w:pPr>
        <w:spacing w:line="200" w:lineRule="exact"/>
        <w:jc w:val="both"/>
        <w:rPr>
          <w:sz w:val="24"/>
          <w:szCs w:val="24"/>
        </w:rPr>
      </w:pPr>
      <w:r w:rsidRPr="006812A9">
        <w:rPr>
          <w:noProof/>
          <w:sz w:val="24"/>
          <w:szCs w:val="24"/>
        </w:rPr>
        <w:drawing>
          <wp:anchor distT="0" distB="0" distL="114300" distR="114300" simplePos="0" relativeHeight="251700224" behindDoc="1" locked="0" layoutInCell="0" allowOverlap="1">
            <wp:simplePos x="0" y="0"/>
            <wp:positionH relativeFrom="column">
              <wp:posOffset>661472</wp:posOffset>
            </wp:positionH>
            <wp:positionV relativeFrom="paragraph">
              <wp:posOffset>31024</wp:posOffset>
            </wp:positionV>
            <wp:extent cx="2047257" cy="2078182"/>
            <wp:effectExtent l="19050" t="0" r="0" b="0"/>
            <wp:wrapNone/>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4" cstate="print">
                      <a:extLst/>
                    </a:blip>
                    <a:srcRect/>
                    <a:stretch>
                      <a:fillRect/>
                    </a:stretch>
                  </pic:blipFill>
                  <pic:spPr bwMode="auto">
                    <a:xfrm>
                      <a:off x="0" y="0"/>
                      <a:ext cx="2047257" cy="2078182"/>
                    </a:xfrm>
                    <a:prstGeom prst="rect">
                      <a:avLst/>
                    </a:prstGeom>
                    <a:noFill/>
                  </pic:spPr>
                </pic:pic>
              </a:graphicData>
            </a:graphic>
          </wp:anchor>
        </w:drawing>
      </w: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200" w:lineRule="exact"/>
        <w:jc w:val="both"/>
        <w:rPr>
          <w:sz w:val="24"/>
          <w:szCs w:val="24"/>
        </w:rPr>
      </w:pPr>
    </w:p>
    <w:p w:rsidR="00D24E61" w:rsidRPr="006812A9" w:rsidRDefault="00D24E61" w:rsidP="006812A9">
      <w:pPr>
        <w:spacing w:line="372" w:lineRule="exact"/>
        <w:jc w:val="both"/>
        <w:rPr>
          <w:sz w:val="24"/>
          <w:szCs w:val="24"/>
        </w:rPr>
      </w:pPr>
    </w:p>
    <w:p w:rsidR="00D24E61" w:rsidRPr="006812A9" w:rsidRDefault="00D24E61" w:rsidP="006812A9">
      <w:pPr>
        <w:ind w:left="860"/>
        <w:jc w:val="both"/>
        <w:rPr>
          <w:sz w:val="24"/>
          <w:szCs w:val="24"/>
        </w:rPr>
      </w:pPr>
      <w:r w:rsidRPr="006812A9">
        <w:rPr>
          <w:rFonts w:eastAsia="Times"/>
          <w:sz w:val="24"/>
          <w:szCs w:val="24"/>
        </w:rPr>
        <w:t>Sessão (Gente Famosa, 3/04/2010).</w:t>
      </w:r>
    </w:p>
    <w:p w:rsidR="00D24E61" w:rsidRPr="006812A9" w:rsidRDefault="00D24E61" w:rsidP="006812A9">
      <w:pPr>
        <w:spacing w:line="128" w:lineRule="exact"/>
        <w:jc w:val="both"/>
        <w:rPr>
          <w:sz w:val="24"/>
          <w:szCs w:val="24"/>
        </w:rPr>
      </w:pPr>
    </w:p>
    <w:p w:rsidR="00D24E61" w:rsidRPr="006812A9" w:rsidRDefault="00D24E61" w:rsidP="006812A9">
      <w:pPr>
        <w:spacing w:line="243" w:lineRule="auto"/>
        <w:ind w:firstLine="852"/>
        <w:jc w:val="both"/>
        <w:rPr>
          <w:sz w:val="24"/>
          <w:szCs w:val="24"/>
        </w:rPr>
      </w:pPr>
      <w:r w:rsidRPr="006812A9">
        <w:rPr>
          <w:rFonts w:eastAsia="Times"/>
          <w:sz w:val="24"/>
          <w:szCs w:val="24"/>
        </w:rPr>
        <w:t>Acarretando a busca pelo belo, pelo corpo escultural para ser admirada fisicamente, a cobrança da sociedade em geral sobre as mulheres é muito forte e como se nós mulheres não pudéssemos sofrer as reações do te mpo temos que permanecer sempre belas e com o corpo em forma, ocorre uma espécie depatrulha na sociedade, que por meio de cobranças de todas as ordens pressionam as mulhe res a ter certos comportamentos e a se submeterem a procedimentos arriscados para a saúde em prol da beleza divulgada pelos meios de comunicação gerando assim sofrimento por n ão podermos atender todas as demandas que são impostas a nós. O corpo trabalhado pela mídia é um corpo plástico onde é moldado e mutável para alcançar certos padrões debeleza. Através das representações damos significados à nossa cultura, a partir da lin guagem da mídia, sobretudo a iconográfica que propicia relações de poder.</w:t>
      </w:r>
    </w:p>
    <w:p w:rsidR="00D24E61" w:rsidRPr="006812A9" w:rsidRDefault="00D24E61" w:rsidP="006812A9">
      <w:pPr>
        <w:spacing w:line="150" w:lineRule="exact"/>
        <w:jc w:val="both"/>
        <w:rPr>
          <w:sz w:val="24"/>
          <w:szCs w:val="24"/>
        </w:rPr>
      </w:pPr>
    </w:p>
    <w:p w:rsidR="00D24E61" w:rsidRPr="006812A9" w:rsidRDefault="00D24E61" w:rsidP="006812A9">
      <w:pPr>
        <w:spacing w:line="243" w:lineRule="auto"/>
        <w:ind w:right="100" w:firstLine="852"/>
        <w:jc w:val="both"/>
        <w:rPr>
          <w:sz w:val="24"/>
          <w:szCs w:val="24"/>
        </w:rPr>
      </w:pPr>
      <w:r w:rsidRPr="006812A9">
        <w:rPr>
          <w:rFonts w:eastAsia="Times"/>
          <w:sz w:val="24"/>
          <w:szCs w:val="24"/>
        </w:rPr>
        <w:t>A segunda imagem analisada foi veiculada na edição de fim de semana do dia dez de Abril de 2010, a modelo que aparece nesta edição se chama Nicole Scherzinger, ela é cantora do grupo Pussycat Dolls e também é modelo.Na nota informativa ao lado da imagem é exposto que a cantora possui uma linha de lingerie que lançou em parceria com uma loja de departamento uma coleção de lingerie. N a sessão gente famosa aparece uma foto maior da modelo que possui a cor da pele negra, vestida de lingerie, usa um corpete vermelho com detalhes pretos e um sunquíni cor preto, no pescoço um colar preto, as unhas da modelo são compridas e pintadas de esmalte preto, cabelo comprido, liso da cor preta, ela esta em pé com os braços rente ao corpo e no semblante um olhar sedutor. Na imagem exposta fica claro a sensualidade da modelo e o corpo idealizado pela mídia tido como saudável e esbelto.</w:t>
      </w:r>
    </w:p>
    <w:p w:rsidR="00D24E61" w:rsidRPr="00771368" w:rsidRDefault="00D24E61">
      <w:pPr>
        <w:spacing w:line="200" w:lineRule="exact"/>
        <w:rPr>
          <w:sz w:val="20"/>
          <w:szCs w:val="20"/>
        </w:rPr>
      </w:pPr>
    </w:p>
    <w:p w:rsidR="00D24E61" w:rsidRPr="00771368" w:rsidRDefault="006812A9">
      <w:pPr>
        <w:spacing w:line="200" w:lineRule="exact"/>
        <w:rPr>
          <w:sz w:val="20"/>
          <w:szCs w:val="20"/>
        </w:rPr>
      </w:pPr>
      <w:r>
        <w:rPr>
          <w:noProof/>
          <w:sz w:val="20"/>
          <w:szCs w:val="20"/>
        </w:rPr>
        <w:drawing>
          <wp:anchor distT="0" distB="0" distL="114300" distR="114300" simplePos="0" relativeHeight="251702272" behindDoc="1" locked="0" layoutInCell="0" allowOverlap="1">
            <wp:simplePos x="0" y="0"/>
            <wp:positionH relativeFrom="column">
              <wp:posOffset>554355</wp:posOffset>
            </wp:positionH>
            <wp:positionV relativeFrom="paragraph">
              <wp:posOffset>38735</wp:posOffset>
            </wp:positionV>
            <wp:extent cx="2237105" cy="2291715"/>
            <wp:effectExtent l="19050" t="0" r="0" b="0"/>
            <wp:wrapNone/>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5" cstate="print">
                      <a:extLst/>
                    </a:blip>
                    <a:srcRect/>
                    <a:stretch>
                      <a:fillRect/>
                    </a:stretch>
                  </pic:blipFill>
                  <pic:spPr bwMode="auto">
                    <a:xfrm>
                      <a:off x="0" y="0"/>
                      <a:ext cx="2237105" cy="2291715"/>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18" w:lineRule="exact"/>
        <w:rPr>
          <w:sz w:val="20"/>
          <w:szCs w:val="20"/>
        </w:rPr>
      </w:pPr>
    </w:p>
    <w:p w:rsidR="00D24E61" w:rsidRPr="00771368" w:rsidRDefault="00D24E61">
      <w:pPr>
        <w:ind w:left="860"/>
        <w:rPr>
          <w:sz w:val="20"/>
          <w:szCs w:val="20"/>
        </w:rPr>
      </w:pPr>
      <w:r w:rsidRPr="00771368">
        <w:rPr>
          <w:rFonts w:eastAsia="Times"/>
          <w:sz w:val="20"/>
          <w:szCs w:val="20"/>
        </w:rPr>
        <w:t>Sessão (Gente Famosa, 10/04/2010).</w:t>
      </w:r>
    </w:p>
    <w:p w:rsidR="00D24E61" w:rsidRPr="00771368" w:rsidRDefault="00D24E61">
      <w:pPr>
        <w:spacing w:line="128" w:lineRule="exact"/>
        <w:rPr>
          <w:sz w:val="20"/>
          <w:szCs w:val="20"/>
        </w:rPr>
      </w:pPr>
    </w:p>
    <w:p w:rsidR="00D24E61" w:rsidRPr="006812A9" w:rsidRDefault="00D24E61" w:rsidP="006812A9">
      <w:pPr>
        <w:ind w:right="-31" w:firstLine="852"/>
        <w:jc w:val="both"/>
        <w:rPr>
          <w:sz w:val="24"/>
          <w:szCs w:val="24"/>
        </w:rPr>
      </w:pPr>
      <w:r w:rsidRPr="006812A9">
        <w:rPr>
          <w:rFonts w:eastAsia="Times"/>
          <w:sz w:val="24"/>
          <w:szCs w:val="24"/>
        </w:rPr>
        <w:t>As imagens femininas que aparecem no Jornal Daqui apresentam contornos, formas características que são indicadas e desejáveis a todos os corpos femininos. Segundo Andrade (2012) a mídia de um modo geral e considerada instância de produção do corpo, pois desenvolvem uma pedagogia voltada para a educação dos corpos de homens e mulheres. As imagens produzidas pela mídia condicionam certos tipos de corpos como ideais. Causando a insatisfação e a busca pela idea lização de uma forma, busca sem fim, pois tais modelos se transformam. As representações dos corpos mudam ao longo do tempo de acordo com as referências históricas e culturais de cada época.</w:t>
      </w:r>
    </w:p>
    <w:p w:rsidR="00D24E61" w:rsidRPr="006812A9" w:rsidRDefault="00D24E61" w:rsidP="006812A9">
      <w:pPr>
        <w:spacing w:line="147" w:lineRule="exact"/>
        <w:ind w:right="-31"/>
        <w:jc w:val="both"/>
        <w:rPr>
          <w:sz w:val="24"/>
          <w:szCs w:val="24"/>
        </w:rPr>
      </w:pPr>
    </w:p>
    <w:p w:rsidR="00D24E61" w:rsidRPr="00771368" w:rsidRDefault="00D24E61" w:rsidP="006812A9">
      <w:pPr>
        <w:spacing w:line="255" w:lineRule="auto"/>
        <w:ind w:right="-31" w:firstLine="852"/>
        <w:jc w:val="both"/>
        <w:rPr>
          <w:sz w:val="20"/>
          <w:szCs w:val="20"/>
        </w:rPr>
      </w:pPr>
      <w:r w:rsidRPr="006812A9">
        <w:rPr>
          <w:rFonts w:eastAsia="Times"/>
          <w:sz w:val="24"/>
          <w:szCs w:val="24"/>
        </w:rPr>
        <w:t>Na edição de final de semana do dia dezessete de A bril de 2010 a modelo em destaque se chama Ângela Bismarchi. A modelo realiz ou um ensaio fotográfico em uma praia no Rio de Janeiro o tema do ensaio era sereia na praia, no texto ao lado da foto é informado que a modelo já se submeteu a quarenta cirurgias plásticas para deixar o corpo em forma, e também é exposto que a modelo chama a tençãoa de várias equipes de reportagem do mundo todo devido às mais de quarenta cirurgias plásticas que se submeteu, na foto que e divulgada na sessão gente famosa a mo delo possui a cor da pele branca, cabelos compridos loiros e lisos, está apoiando osbraços em uma pedra que tampa os seios, veste uma saia branca e transparente, está com as unhas compridas e pintadas de cor branca, usa um colar de bolinhas azuis e brancas, no rosto estampa um sorriso e usa maquiagem suave. Ao informar que a modelo se submeteu a uma série de procedimentos cirúrgicos, nós chama a atenção por demonstrar de f orma implícita que por meio das novas</w:t>
      </w:r>
      <w:r w:rsidR="006812A9">
        <w:rPr>
          <w:rFonts w:eastAsia="Times"/>
          <w:sz w:val="24"/>
          <w:szCs w:val="24"/>
        </w:rPr>
        <w:t xml:space="preserve"> </w:t>
      </w:r>
      <w:r w:rsidRPr="00771368">
        <w:rPr>
          <w:rFonts w:eastAsia="Times"/>
          <w:sz w:val="24"/>
          <w:szCs w:val="24"/>
        </w:rPr>
        <w:t>tecnologias do corpo é possível alcançar as medidas tão sonhadas pela maioria das mulheres. E modificar as medidas em favor de um ideal de beleza propagado pela mídia.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704320" behindDoc="1" locked="0" layoutInCell="0" allowOverlap="1">
            <wp:simplePos x="0" y="0"/>
            <wp:positionH relativeFrom="column">
              <wp:posOffset>560070</wp:posOffset>
            </wp:positionH>
            <wp:positionV relativeFrom="paragraph">
              <wp:posOffset>93345</wp:posOffset>
            </wp:positionV>
            <wp:extent cx="2315210" cy="2286000"/>
            <wp:effectExtent l="0" t="0" r="0" b="0"/>
            <wp:wrapNone/>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6" cstate="print">
                      <a:extLst/>
                    </a:blip>
                    <a:srcRect/>
                    <a:stretch>
                      <a:fillRect/>
                    </a:stretch>
                  </pic:blipFill>
                  <pic:spPr bwMode="auto">
                    <a:xfrm>
                      <a:off x="0" y="0"/>
                      <a:ext cx="2315210" cy="228600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60" w:lineRule="exact"/>
        <w:rPr>
          <w:sz w:val="20"/>
          <w:szCs w:val="20"/>
        </w:rPr>
      </w:pPr>
    </w:p>
    <w:p w:rsidR="00D24E61" w:rsidRPr="00771368" w:rsidRDefault="00D24E61">
      <w:pPr>
        <w:spacing w:line="239" w:lineRule="auto"/>
        <w:ind w:left="860"/>
        <w:rPr>
          <w:sz w:val="20"/>
          <w:szCs w:val="20"/>
        </w:rPr>
      </w:pPr>
      <w:r w:rsidRPr="00771368">
        <w:rPr>
          <w:rFonts w:eastAsia="Times"/>
          <w:sz w:val="20"/>
          <w:szCs w:val="20"/>
        </w:rPr>
        <w:t>Sessão( Gente Famosa, 17/04/2010)</w:t>
      </w:r>
    </w:p>
    <w:p w:rsidR="00D24E61" w:rsidRPr="00771368" w:rsidRDefault="00D24E61">
      <w:pPr>
        <w:spacing w:line="129" w:lineRule="exact"/>
        <w:rPr>
          <w:sz w:val="20"/>
          <w:szCs w:val="20"/>
        </w:rPr>
      </w:pPr>
    </w:p>
    <w:p w:rsidR="00D24E61" w:rsidRPr="00771368" w:rsidRDefault="00D24E61" w:rsidP="006812A9">
      <w:pPr>
        <w:spacing w:line="228" w:lineRule="auto"/>
        <w:ind w:firstLine="852"/>
        <w:jc w:val="both"/>
        <w:rPr>
          <w:sz w:val="20"/>
          <w:szCs w:val="20"/>
        </w:rPr>
      </w:pPr>
      <w:r w:rsidRPr="00771368">
        <w:rPr>
          <w:rFonts w:eastAsia="Times"/>
          <w:sz w:val="24"/>
          <w:szCs w:val="24"/>
        </w:rPr>
        <w:t>Os editores do Jornal vendem a ideia aos seus leitores da mulher com o corpo plástico que se molda e se adéqua de forma rápidaosapadrões de beleza. Ou seja, vendem a imagem feminina de forma sensualizada e implicitamente a ideia que a mulher é mais um corpo bonito e ao mesmo tempo nega o conteúdo intelectual dessa mulher.</w:t>
      </w:r>
    </w:p>
    <w:p w:rsidR="00D24E61" w:rsidRPr="00771368" w:rsidRDefault="00D24E61" w:rsidP="006812A9">
      <w:pPr>
        <w:spacing w:line="154" w:lineRule="exact"/>
        <w:jc w:val="both"/>
        <w:rPr>
          <w:sz w:val="20"/>
          <w:szCs w:val="20"/>
        </w:rPr>
      </w:pPr>
    </w:p>
    <w:p w:rsidR="00D24E61" w:rsidRPr="00771368" w:rsidRDefault="00D24E61" w:rsidP="006812A9">
      <w:pPr>
        <w:spacing w:line="244" w:lineRule="auto"/>
        <w:ind w:firstLine="852"/>
        <w:jc w:val="both"/>
        <w:rPr>
          <w:sz w:val="20"/>
          <w:szCs w:val="20"/>
        </w:rPr>
      </w:pPr>
      <w:r w:rsidRPr="00771368">
        <w:rPr>
          <w:rFonts w:eastAsia="Times"/>
          <w:sz w:val="24"/>
          <w:szCs w:val="24"/>
        </w:rPr>
        <w:t>A modelo que é destaque na edição do dia 24 de Abril de 2010 se chama Alessandra Ambrósio. Na capa do Jornal em uma nota informativa é dito que a modelo realizou um ensaio para uma revista Russa. A modelo tem a cor da pele branca, olhos claros, na sessão gente famosa e exposta duas fotos da modelo ao lado tem um texto curto que nos fala que a modelo exibe o corpo cheio de curvas em roupas curtas e justas. Na sessão vem uma foto menor onde é mostrada a modelo com um bolo em uma das mãos e com a outra mão ela lambe os dedos, esta usando uma camiseta azul de maga comprida no rosto usando um batom vermelho e sorrindo, o que demonstra felicidade ao comer o bolo. Na foto maior ao lado a modelo aparece de salto alto em pé se exercitando, vestida com uma camiseta branca e um shortinho de cor bege, no rosto está estampada uma expressão de força, os cabelos soltos o cenário é uma sala. Nas duas fotos fica clara a relação de sacrifício que a mulher deve se submeter para estar com o corpo em forma, a disciplina é necessário para alcançar o objetivo do corpo idealizado, magro e esbelto.</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706368" behindDoc="1" locked="0" layoutInCell="0" allowOverlap="1">
            <wp:simplePos x="0" y="0"/>
            <wp:positionH relativeFrom="column">
              <wp:posOffset>544548</wp:posOffset>
            </wp:positionH>
            <wp:positionV relativeFrom="paragraph">
              <wp:posOffset>7571</wp:posOffset>
            </wp:positionV>
            <wp:extent cx="2339439" cy="2529444"/>
            <wp:effectExtent l="19050" t="0" r="3711" b="0"/>
            <wp:wrapNone/>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7" cstate="print">
                      <a:extLst/>
                    </a:blip>
                    <a:srcRect/>
                    <a:stretch>
                      <a:fillRect/>
                    </a:stretch>
                  </pic:blipFill>
                  <pic:spPr bwMode="auto">
                    <a:xfrm>
                      <a:off x="0" y="0"/>
                      <a:ext cx="2339439" cy="2529444"/>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ind w:left="860"/>
        <w:rPr>
          <w:sz w:val="20"/>
          <w:szCs w:val="20"/>
        </w:rPr>
      </w:pPr>
      <w:r w:rsidRPr="00771368">
        <w:rPr>
          <w:rFonts w:eastAsia="Times"/>
          <w:sz w:val="20"/>
          <w:szCs w:val="20"/>
        </w:rPr>
        <w:t>Sessão( Gente Famosa, 24/04/2010)</w:t>
      </w:r>
    </w:p>
    <w:p w:rsidR="00D24E61" w:rsidRPr="00771368" w:rsidRDefault="00D24E61">
      <w:pPr>
        <w:spacing w:line="128" w:lineRule="exact"/>
        <w:rPr>
          <w:sz w:val="20"/>
          <w:szCs w:val="20"/>
        </w:rPr>
      </w:pPr>
    </w:p>
    <w:p w:rsidR="00D24E61" w:rsidRPr="00771368" w:rsidRDefault="00D24E61" w:rsidP="006812A9">
      <w:pPr>
        <w:spacing w:line="236" w:lineRule="auto"/>
        <w:ind w:right="1" w:firstLine="852"/>
        <w:jc w:val="both"/>
        <w:rPr>
          <w:sz w:val="20"/>
          <w:szCs w:val="20"/>
        </w:rPr>
      </w:pPr>
      <w:r w:rsidRPr="00771368">
        <w:rPr>
          <w:rFonts w:eastAsia="Times"/>
          <w:sz w:val="24"/>
          <w:szCs w:val="24"/>
        </w:rPr>
        <w:t>De acordo com Vilela (2006) o trabalho de melhorar o estado físico torna-se infinito, gerando assim o sentimento de insatisfaçã o constante devido os padrões estabelecidos não serem passiveis de ser alcançados pelo fato de serem construídos os corpos que representam esse ideal de beleza. De acordo com Sabat (2001) a publicidade funciona como mecanismo de divulgação das represent ações onde são passados valores e ideias e ao mesmo tempo a propaganda atua como construtora de identidades culturais.</w:t>
      </w:r>
    </w:p>
    <w:p w:rsidR="00D24E61" w:rsidRPr="00771368" w:rsidRDefault="00D24E61" w:rsidP="006812A9">
      <w:pPr>
        <w:spacing w:line="149" w:lineRule="exact"/>
        <w:ind w:right="1"/>
        <w:jc w:val="both"/>
        <w:rPr>
          <w:sz w:val="20"/>
          <w:szCs w:val="20"/>
        </w:rPr>
      </w:pPr>
    </w:p>
    <w:p w:rsidR="00D24E61" w:rsidRPr="00771368" w:rsidRDefault="00D24E61" w:rsidP="006812A9">
      <w:pPr>
        <w:spacing w:line="244" w:lineRule="auto"/>
        <w:ind w:right="1" w:firstLine="852"/>
        <w:jc w:val="both"/>
        <w:rPr>
          <w:sz w:val="20"/>
          <w:szCs w:val="20"/>
        </w:rPr>
      </w:pPr>
      <w:r w:rsidRPr="00771368">
        <w:rPr>
          <w:rFonts w:eastAsia="Times"/>
          <w:sz w:val="24"/>
          <w:szCs w:val="24"/>
        </w:rPr>
        <w:t>Na edição do dia nove de Abril de 2011 a modelo que aparece é uma ex-participante do programa da Globo “Big Brother Bras il” a modelo se chama Maria Melilo. Na capa do Jornal é dito que a vencedora do programa volta a ser notícia devido à divulgação de um ensaio sensual feito antes dela en trar na casa do Big Brother. Na nota informativa é divulgado que a morena possui o corpoescultural que é cultivado à base de muita malhação. Na sessão celebridades é exposta um a foto em que a modelo aparece em pose muito sensual se apoiando no chão com os joelh os e as mãos, o cenário é uma grama, ela usa uma sandália preta de salto alto e fino, veste uma calcinha vermelha e uma camiseta vermelha, usa brincos de argola e colar de cor prata. Na foto a modelo esta com os cabelos vermelhos que são compridos e soltos, co m um olhar provocante, ficando explicito o papel de objeto sexual que a mulher se presta, é claro em todos os componentes da foto, esse perfil da mulher erotizada e objeto de desejo masculino.</w:t>
      </w:r>
    </w:p>
    <w:p w:rsidR="00D24E61" w:rsidRDefault="00D24E61" w:rsidP="006812A9">
      <w:pPr>
        <w:spacing w:line="244" w:lineRule="auto"/>
        <w:ind w:right="1" w:firstLine="852"/>
        <w:jc w:val="both"/>
        <w:rPr>
          <w:sz w:val="20"/>
          <w:szCs w:val="20"/>
        </w:rPr>
      </w:pPr>
      <w:r w:rsidRPr="00771368">
        <w:rPr>
          <w:noProof/>
          <w:sz w:val="20"/>
          <w:szCs w:val="20"/>
        </w:rPr>
        <w:drawing>
          <wp:anchor distT="0" distB="0" distL="114300" distR="114300" simplePos="0" relativeHeight="251708416" behindDoc="1" locked="0" layoutInCell="0" allowOverlap="1">
            <wp:simplePos x="0" y="0"/>
            <wp:positionH relativeFrom="column">
              <wp:posOffset>511793</wp:posOffset>
            </wp:positionH>
            <wp:positionV relativeFrom="paragraph">
              <wp:posOffset>93106</wp:posOffset>
            </wp:positionV>
            <wp:extent cx="3016332" cy="1757548"/>
            <wp:effectExtent l="19050" t="0" r="0" b="0"/>
            <wp:wrapNone/>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8" cstate="print">
                      <a:extLst/>
                    </a:blip>
                    <a:srcRect/>
                    <a:stretch>
                      <a:fillRect/>
                    </a:stretch>
                  </pic:blipFill>
                  <pic:spPr bwMode="auto">
                    <a:xfrm>
                      <a:off x="0" y="0"/>
                      <a:ext cx="3016332" cy="1757548"/>
                    </a:xfrm>
                    <a:prstGeom prst="rect">
                      <a:avLst/>
                    </a:prstGeom>
                    <a:noFill/>
                  </pic:spPr>
                </pic:pic>
              </a:graphicData>
            </a:graphic>
          </wp:anchor>
        </w:drawing>
      </w:r>
    </w:p>
    <w:p w:rsidR="006812A9" w:rsidRDefault="006812A9" w:rsidP="006812A9">
      <w:pPr>
        <w:spacing w:line="244" w:lineRule="auto"/>
        <w:ind w:right="1" w:firstLine="852"/>
        <w:jc w:val="both"/>
        <w:rPr>
          <w:sz w:val="20"/>
          <w:szCs w:val="20"/>
        </w:rPr>
      </w:pPr>
    </w:p>
    <w:p w:rsidR="006812A9" w:rsidRDefault="006812A9" w:rsidP="006812A9">
      <w:pPr>
        <w:spacing w:line="244" w:lineRule="auto"/>
        <w:ind w:right="1" w:firstLine="852"/>
        <w:jc w:val="both"/>
        <w:rPr>
          <w:sz w:val="20"/>
          <w:szCs w:val="20"/>
        </w:rPr>
      </w:pPr>
    </w:p>
    <w:p w:rsidR="006812A9" w:rsidRDefault="006812A9" w:rsidP="006812A9">
      <w:pPr>
        <w:spacing w:line="244" w:lineRule="auto"/>
        <w:ind w:right="1" w:firstLine="852"/>
        <w:jc w:val="both"/>
        <w:rPr>
          <w:sz w:val="20"/>
          <w:szCs w:val="20"/>
        </w:rPr>
      </w:pPr>
    </w:p>
    <w:p w:rsidR="006812A9" w:rsidRDefault="006812A9" w:rsidP="006812A9">
      <w:pPr>
        <w:spacing w:line="244" w:lineRule="auto"/>
        <w:ind w:right="1" w:firstLine="852"/>
        <w:jc w:val="both"/>
        <w:rPr>
          <w:sz w:val="20"/>
          <w:szCs w:val="20"/>
        </w:rPr>
      </w:pPr>
    </w:p>
    <w:p w:rsidR="006812A9" w:rsidRDefault="006812A9" w:rsidP="006812A9">
      <w:pPr>
        <w:spacing w:line="244" w:lineRule="auto"/>
        <w:ind w:right="1" w:firstLine="852"/>
        <w:jc w:val="both"/>
        <w:rPr>
          <w:sz w:val="20"/>
          <w:szCs w:val="20"/>
        </w:rPr>
      </w:pPr>
    </w:p>
    <w:p w:rsidR="006812A9" w:rsidRDefault="006812A9" w:rsidP="006812A9">
      <w:pPr>
        <w:spacing w:line="244" w:lineRule="auto"/>
        <w:ind w:right="1" w:firstLine="852"/>
        <w:jc w:val="both"/>
        <w:rPr>
          <w:sz w:val="20"/>
          <w:szCs w:val="20"/>
        </w:rPr>
      </w:pPr>
    </w:p>
    <w:p w:rsidR="006812A9" w:rsidRDefault="006812A9" w:rsidP="006812A9">
      <w:pPr>
        <w:spacing w:line="244" w:lineRule="auto"/>
        <w:ind w:right="1" w:firstLine="852"/>
        <w:jc w:val="both"/>
        <w:rPr>
          <w:sz w:val="20"/>
          <w:szCs w:val="20"/>
        </w:rPr>
      </w:pPr>
    </w:p>
    <w:p w:rsidR="006812A9" w:rsidRPr="00771368" w:rsidRDefault="006812A9" w:rsidP="006812A9">
      <w:pPr>
        <w:spacing w:line="244" w:lineRule="auto"/>
        <w:ind w:right="1" w:firstLine="852"/>
        <w:jc w:val="both"/>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64" w:lineRule="exact"/>
        <w:rPr>
          <w:sz w:val="20"/>
          <w:szCs w:val="20"/>
        </w:rPr>
      </w:pPr>
    </w:p>
    <w:p w:rsidR="00D24E61" w:rsidRPr="00771368" w:rsidRDefault="00D24E61">
      <w:pPr>
        <w:ind w:left="860"/>
        <w:rPr>
          <w:sz w:val="20"/>
          <w:szCs w:val="20"/>
        </w:rPr>
      </w:pPr>
      <w:r w:rsidRPr="00771368">
        <w:rPr>
          <w:rFonts w:eastAsia="Times"/>
          <w:sz w:val="20"/>
          <w:szCs w:val="20"/>
        </w:rPr>
        <w:t>Sessão (Gente Famosa, 09/04/2012).</w:t>
      </w:r>
    </w:p>
    <w:p w:rsidR="00D24E61" w:rsidRPr="00771368" w:rsidRDefault="00D24E61">
      <w:pPr>
        <w:spacing w:line="128" w:lineRule="exact"/>
        <w:rPr>
          <w:sz w:val="20"/>
          <w:szCs w:val="20"/>
        </w:rPr>
      </w:pPr>
    </w:p>
    <w:p w:rsidR="00D24E61" w:rsidRPr="00771368" w:rsidRDefault="00D24E61" w:rsidP="006812A9">
      <w:pPr>
        <w:spacing w:line="233" w:lineRule="auto"/>
        <w:ind w:firstLine="852"/>
        <w:jc w:val="both"/>
        <w:rPr>
          <w:sz w:val="20"/>
          <w:szCs w:val="20"/>
        </w:rPr>
      </w:pPr>
      <w:r w:rsidRPr="00771368">
        <w:rPr>
          <w:rFonts w:eastAsia="Times"/>
          <w:sz w:val="24"/>
          <w:szCs w:val="24"/>
        </w:rPr>
        <w:t>De acordo com Sabat ( 2012), As representações divu lgadas pela publicidade são construídas a partir do imaginário social, tais representações nos trazem significados que nos são familiares. Sabat afirma que ‘‘as imagens p roduzem conceitos ou pré-conceitos sobre diversos aspectos sociais, produzem formas de pensar e agir, de estar no mundo e de se relacionar com ele’’(SABAT, 2012, p.150).</w:t>
      </w:r>
    </w:p>
    <w:p w:rsidR="00D24E61" w:rsidRPr="00771368" w:rsidRDefault="00D24E61" w:rsidP="006812A9">
      <w:pPr>
        <w:spacing w:line="150" w:lineRule="exact"/>
        <w:jc w:val="both"/>
        <w:rPr>
          <w:sz w:val="20"/>
          <w:szCs w:val="20"/>
        </w:rPr>
      </w:pPr>
    </w:p>
    <w:p w:rsidR="00D24E61" w:rsidRPr="00771368" w:rsidRDefault="00D24E61" w:rsidP="006812A9">
      <w:pPr>
        <w:spacing w:line="221" w:lineRule="auto"/>
        <w:ind w:right="80" w:firstLine="852"/>
        <w:jc w:val="both"/>
        <w:rPr>
          <w:sz w:val="20"/>
          <w:szCs w:val="20"/>
        </w:rPr>
      </w:pPr>
      <w:r w:rsidRPr="00771368">
        <w:rPr>
          <w:rFonts w:eastAsia="Times"/>
          <w:sz w:val="24"/>
          <w:szCs w:val="24"/>
        </w:rPr>
        <w:t>Os meios de comunicação tem um papel fundamental na difusão de novos conceitos e símbolos. A imprensa, por exemplo, intensifica o discurso de que a beleza e a felicidade podem ser compradas como um produto na prateleira de um supermercado.</w:t>
      </w:r>
    </w:p>
    <w:p w:rsidR="00D24E61" w:rsidRPr="00771368" w:rsidRDefault="00D24E61" w:rsidP="006812A9">
      <w:pPr>
        <w:spacing w:line="151" w:lineRule="exact"/>
        <w:jc w:val="both"/>
        <w:rPr>
          <w:sz w:val="20"/>
          <w:szCs w:val="20"/>
        </w:rPr>
      </w:pPr>
    </w:p>
    <w:p w:rsidR="00D24E61" w:rsidRPr="00771368" w:rsidRDefault="00D24E61" w:rsidP="006812A9">
      <w:pPr>
        <w:spacing w:line="228" w:lineRule="auto"/>
        <w:ind w:firstLine="852"/>
        <w:jc w:val="both"/>
        <w:rPr>
          <w:sz w:val="20"/>
          <w:szCs w:val="20"/>
        </w:rPr>
      </w:pPr>
      <w:r w:rsidRPr="00771368">
        <w:rPr>
          <w:rFonts w:eastAsia="Times"/>
          <w:sz w:val="24"/>
          <w:szCs w:val="24"/>
        </w:rPr>
        <w:t>Segundo Vilela ‘‘ Certos produtos de beleza começar am a partir do século XX a serem comercializados para deixar as consumidoras mais belas o que indica que a beleza passa a ser mais cobrada’’(VILELA, 2006, p.14). O c orpo passa a ser visto como objeto de consumo.</w:t>
      </w:r>
    </w:p>
    <w:p w:rsidR="00D24E61" w:rsidRPr="00771368" w:rsidRDefault="00D24E61" w:rsidP="006812A9">
      <w:pPr>
        <w:spacing w:line="154" w:lineRule="exact"/>
        <w:jc w:val="both"/>
        <w:rPr>
          <w:sz w:val="20"/>
          <w:szCs w:val="20"/>
        </w:rPr>
      </w:pPr>
    </w:p>
    <w:p w:rsidR="00D24E61" w:rsidRPr="00771368" w:rsidRDefault="00D24E61" w:rsidP="006812A9">
      <w:pPr>
        <w:spacing w:line="244" w:lineRule="auto"/>
        <w:ind w:firstLine="852"/>
        <w:jc w:val="both"/>
        <w:rPr>
          <w:sz w:val="20"/>
          <w:szCs w:val="20"/>
        </w:rPr>
      </w:pPr>
      <w:r w:rsidRPr="00771368">
        <w:rPr>
          <w:rFonts w:eastAsia="Times"/>
          <w:sz w:val="24"/>
          <w:szCs w:val="24"/>
        </w:rPr>
        <w:t>Já na edição do dia vinte três de Abril de 2011 a modelo em destaque é a Cindy Crawford. Na capa aparece uma foto da modelo e uma nota informativa dizendo que a modelo critica as modelos atuais. Na sessão celebri dades aparece uma foto grande da modelo que é de pele morena na foto ela aparece em uma praia, de maio dourado com os cabelos esvoaçantes, segurando os cabelos com as du as mãos, o olhar sedutor ao lado um texto onde a Cindy Crawford é questionada sobre as modelos atuais que são diferentes do tempo em que ela desfilava. A modelo possui quarenta anos de idade e diz que os padrões de beleza mudaram desde que se aposentou das passarelas e que tem pena das modelos por serem exigidas a magreza extrema. O depoimento de Cindy Crawford é interessante por evidenciar a questão das mudanças dos padrões de be leza que se modificam ao longo do tempo, é que o sacrifício que as modelos têm que sesubmeterem é penoso e possuem exigências sem fim para figurarem no mundo da moda.</w:t>
      </w:r>
    </w:p>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710464" behindDoc="1" locked="0" layoutInCell="0" allowOverlap="1">
            <wp:simplePos x="0" y="0"/>
            <wp:positionH relativeFrom="column">
              <wp:posOffset>507093</wp:posOffset>
            </wp:positionH>
            <wp:positionV relativeFrom="paragraph">
              <wp:posOffset>-1122</wp:posOffset>
            </wp:positionV>
            <wp:extent cx="2280062" cy="2648198"/>
            <wp:effectExtent l="19050" t="0" r="5938" b="0"/>
            <wp:wrapNone/>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9" cstate="print">
                      <a:extLst/>
                    </a:blip>
                    <a:srcRect/>
                    <a:stretch>
                      <a:fillRect/>
                    </a:stretch>
                  </pic:blipFill>
                  <pic:spPr bwMode="auto">
                    <a:xfrm>
                      <a:off x="0" y="0"/>
                      <a:ext cx="2280062" cy="2648198"/>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ind w:left="860"/>
        <w:rPr>
          <w:sz w:val="20"/>
          <w:szCs w:val="20"/>
        </w:rPr>
      </w:pPr>
      <w:r w:rsidRPr="00771368">
        <w:rPr>
          <w:rFonts w:eastAsia="Times"/>
          <w:sz w:val="20"/>
          <w:szCs w:val="20"/>
        </w:rPr>
        <w:t>Sessão( Gente Famosa,16/04/2011)</w:t>
      </w:r>
    </w:p>
    <w:p w:rsidR="00D24E61" w:rsidRPr="00771368" w:rsidRDefault="00D24E61">
      <w:pPr>
        <w:spacing w:line="128" w:lineRule="exact"/>
        <w:rPr>
          <w:sz w:val="20"/>
          <w:szCs w:val="20"/>
        </w:rPr>
      </w:pPr>
    </w:p>
    <w:p w:rsidR="00D24E61" w:rsidRPr="006812A9" w:rsidRDefault="00D24E61" w:rsidP="006812A9">
      <w:pPr>
        <w:ind w:firstLine="852"/>
        <w:jc w:val="both"/>
        <w:rPr>
          <w:sz w:val="24"/>
          <w:szCs w:val="24"/>
        </w:rPr>
      </w:pPr>
      <w:r w:rsidRPr="006812A9">
        <w:rPr>
          <w:rFonts w:eastAsia="Times"/>
          <w:sz w:val="24"/>
          <w:szCs w:val="24"/>
        </w:rPr>
        <w:t>Segundo Sabat (2012) ‘‘ O discurso publicitário constitui-se de práticas cotidianas exercidas na sociedade, ele está imerso em tais práticas e é nelas que encontram objetos para construir sua própria materialidade’’(SABAT, 2 012, p. 10). Os elementos que compõem o discurso midiático são retirados da própr ia sociedade através das práticas culturais. A partir das novas tecnologias no campo da fotografia e possível modificar a imagem de acordo com o interesse dos fotógrafos, as novas tecnologias possibilitam criar representações alteradas deturpando o mundo real, o u seja, a imagem que e vendida pelos meios de comunicação são modificadas, construídas p ara o consumo.</w:t>
      </w:r>
    </w:p>
    <w:p w:rsidR="00D24E61" w:rsidRPr="006812A9" w:rsidRDefault="00D24E61" w:rsidP="006812A9">
      <w:pPr>
        <w:spacing w:line="150" w:lineRule="exact"/>
        <w:jc w:val="both"/>
        <w:rPr>
          <w:sz w:val="24"/>
          <w:szCs w:val="24"/>
        </w:rPr>
      </w:pPr>
    </w:p>
    <w:p w:rsidR="00D24E61" w:rsidRPr="006812A9" w:rsidRDefault="00D24E61" w:rsidP="006812A9">
      <w:pPr>
        <w:spacing w:line="236" w:lineRule="auto"/>
        <w:ind w:right="60" w:firstLine="852"/>
        <w:jc w:val="both"/>
        <w:rPr>
          <w:sz w:val="24"/>
          <w:szCs w:val="24"/>
        </w:rPr>
      </w:pPr>
      <w:r w:rsidRPr="006812A9">
        <w:rPr>
          <w:rFonts w:eastAsia="Times"/>
          <w:sz w:val="24"/>
          <w:szCs w:val="24"/>
        </w:rPr>
        <w:t>Sabat (2012) pontua que somos consumidores não só d e mercadorias, mas, também de valores, ideias que nos são vendidas pelo discurso midiático que estabelece como o corpo deve ser. Para Bourdieu (2005) As relações de comunicação são sempre permeadas pelas relações de poder onde os sistemas de poder reafirmam a dominação e ao mesmo tempo legitimam a mesma, ocorrendo assim uma violência simbólica que no caso do Jornal Daqui ocorre de forma implícita.</w:t>
      </w:r>
    </w:p>
    <w:p w:rsidR="00D24E61" w:rsidRPr="006812A9" w:rsidRDefault="00D24E61" w:rsidP="006812A9">
      <w:pPr>
        <w:spacing w:line="152" w:lineRule="exact"/>
        <w:jc w:val="both"/>
        <w:rPr>
          <w:sz w:val="24"/>
          <w:szCs w:val="24"/>
        </w:rPr>
      </w:pPr>
    </w:p>
    <w:p w:rsidR="00D24E61" w:rsidRPr="006812A9" w:rsidRDefault="00D24E61" w:rsidP="006812A9">
      <w:pPr>
        <w:spacing w:line="247" w:lineRule="auto"/>
        <w:ind w:right="100" w:firstLine="852"/>
        <w:jc w:val="both"/>
        <w:rPr>
          <w:sz w:val="24"/>
          <w:szCs w:val="24"/>
        </w:rPr>
      </w:pPr>
      <w:r w:rsidRPr="006812A9">
        <w:rPr>
          <w:rFonts w:eastAsia="Times"/>
          <w:sz w:val="24"/>
          <w:szCs w:val="24"/>
        </w:rPr>
        <w:t>Na edição de final de semana do dia sete de Abril d e 2012 a modelo em destaque é a ex dançarina do programa da Globo chamado “Domi ngão do Faustão”. A nota que vem ao lado da foto na capa do Jornal Daqui anuncia que a modelo Carla Prata fez um ensaio fotográfico para uma revista feminina e contou comoconcilia a vida familiar, com os cuidados com o corpo e a carreira profissional. A modelo tem a pele de cor branca, cabelo castanho e comprido, na foto está com maquiagem forte, marcante, de pé segurando os</w:t>
      </w:r>
    </w:p>
    <w:p w:rsidR="00D24E61" w:rsidRPr="00771368" w:rsidRDefault="00D24E61" w:rsidP="006812A9">
      <w:pPr>
        <w:spacing w:line="241" w:lineRule="auto"/>
        <w:jc w:val="both"/>
        <w:rPr>
          <w:sz w:val="20"/>
          <w:szCs w:val="20"/>
        </w:rPr>
      </w:pPr>
      <w:r w:rsidRPr="00771368">
        <w:rPr>
          <w:rFonts w:eastAsia="Times"/>
          <w:sz w:val="24"/>
          <w:szCs w:val="24"/>
        </w:rPr>
        <w:t>cabelos para trás com as duas mãos, no rosto estampa um olhar bem sensual, veste um biquíni com listras coloridas modelo fio dental. Podemos observar que já no enunciado da foto já é dito sobre a boa forma da modelo que é mbémta dançarina e é instigada a curiosidade nas pessoas que leem a reportagem sobre como a modelo consegue cuidar do corpo da família e da vida profissional ao mesmo tempo, ou seja, o perfil de uma mulher multi funcional onde possui a obrigação de dar cont a de tudo com primazia, uma mulher sobrecarregada de atividades em prol da beleza e da aparência física. Podemos observar que a cobrança é muito forte por parte da sociedade em geral que utiliza certos parâmetros para classificar os comportamentos femininos.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6812A9">
      <w:pPr>
        <w:spacing w:line="200" w:lineRule="exact"/>
        <w:rPr>
          <w:sz w:val="20"/>
          <w:szCs w:val="20"/>
        </w:rPr>
      </w:pPr>
      <w:r>
        <w:rPr>
          <w:noProof/>
          <w:sz w:val="20"/>
          <w:szCs w:val="20"/>
        </w:rPr>
        <w:drawing>
          <wp:anchor distT="0" distB="0" distL="114300" distR="114300" simplePos="0" relativeHeight="251712512" behindDoc="1" locked="0" layoutInCell="0" allowOverlap="1">
            <wp:simplePos x="0" y="0"/>
            <wp:positionH relativeFrom="column">
              <wp:posOffset>464185</wp:posOffset>
            </wp:positionH>
            <wp:positionV relativeFrom="paragraph">
              <wp:posOffset>-191770</wp:posOffset>
            </wp:positionV>
            <wp:extent cx="2220595" cy="2446020"/>
            <wp:effectExtent l="19050" t="0" r="8255" b="0"/>
            <wp:wrapNone/>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0" cstate="print">
                      <a:extLst/>
                    </a:blip>
                    <a:srcRect/>
                    <a:stretch>
                      <a:fillRect/>
                    </a:stretch>
                  </pic:blipFill>
                  <pic:spPr bwMode="auto">
                    <a:xfrm>
                      <a:off x="0" y="0"/>
                      <a:ext cx="2220595" cy="244602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0" w:lineRule="exact"/>
        <w:rPr>
          <w:sz w:val="20"/>
          <w:szCs w:val="20"/>
        </w:rPr>
      </w:pPr>
    </w:p>
    <w:p w:rsidR="00D24E61" w:rsidRPr="00771368" w:rsidRDefault="00D24E61">
      <w:pPr>
        <w:ind w:left="860"/>
        <w:rPr>
          <w:sz w:val="20"/>
          <w:szCs w:val="20"/>
        </w:rPr>
      </w:pPr>
      <w:r w:rsidRPr="00771368">
        <w:rPr>
          <w:rFonts w:eastAsia="Times"/>
          <w:sz w:val="20"/>
          <w:szCs w:val="20"/>
        </w:rPr>
        <w:t>Sessão (Gente Famosa, 07/04/2012).</w:t>
      </w:r>
    </w:p>
    <w:p w:rsidR="00D24E61" w:rsidRPr="00771368" w:rsidRDefault="00D24E61">
      <w:pPr>
        <w:spacing w:line="128" w:lineRule="exact"/>
        <w:rPr>
          <w:sz w:val="20"/>
          <w:szCs w:val="20"/>
        </w:rPr>
      </w:pPr>
    </w:p>
    <w:p w:rsidR="00D24E61" w:rsidRPr="00771368" w:rsidRDefault="00D24E61" w:rsidP="006812A9">
      <w:pPr>
        <w:spacing w:line="236" w:lineRule="auto"/>
        <w:ind w:right="40" w:firstLine="852"/>
        <w:jc w:val="both"/>
        <w:rPr>
          <w:sz w:val="20"/>
          <w:szCs w:val="20"/>
        </w:rPr>
      </w:pPr>
      <w:r w:rsidRPr="00771368">
        <w:rPr>
          <w:rFonts w:eastAsia="Times"/>
          <w:sz w:val="24"/>
          <w:szCs w:val="24"/>
        </w:rPr>
        <w:t>A mulher representada no Jornal nos remete a discussão sobre o gênero onde as permanências são impregnadas no nosso corpo e em nossos discursos o machismo é perpetuado. Desmistificar as diferenças e desvencil har dos estigmas é um grande desafio. Meyer afirma que ‘‘A mídia impressa, a qual, ao vei cular e produzir formas de pensar, dizer e viver masculinidades e feminilidades também nós educa como sujeitos de gênero’’(MEYER, 2010, p. 22).</w:t>
      </w:r>
    </w:p>
    <w:p w:rsidR="00D24E61" w:rsidRPr="00771368" w:rsidRDefault="00D24E61" w:rsidP="006812A9">
      <w:pPr>
        <w:spacing w:line="152" w:lineRule="exact"/>
        <w:jc w:val="both"/>
        <w:rPr>
          <w:sz w:val="20"/>
          <w:szCs w:val="20"/>
        </w:rPr>
      </w:pPr>
    </w:p>
    <w:p w:rsidR="00D24E61" w:rsidRPr="00771368" w:rsidRDefault="00D24E61" w:rsidP="006812A9">
      <w:pPr>
        <w:spacing w:line="221" w:lineRule="auto"/>
        <w:ind w:right="60" w:firstLine="852"/>
        <w:jc w:val="both"/>
        <w:rPr>
          <w:sz w:val="20"/>
          <w:szCs w:val="20"/>
        </w:rPr>
      </w:pPr>
      <w:r w:rsidRPr="00771368">
        <w:rPr>
          <w:rFonts w:eastAsia="Times"/>
          <w:sz w:val="24"/>
          <w:szCs w:val="24"/>
        </w:rPr>
        <w:t>Todavia quem está fora dos padrões de beleza reproduzidos e produzidos pela mídia é excluído socialmente. Os discursos midiáticos associam saúde e beleza para que os consumidores almejem o corpo escultura, mostrado pelo Jornal Daqui.</w:t>
      </w:r>
    </w:p>
    <w:p w:rsidR="00D24E61" w:rsidRPr="00771368" w:rsidRDefault="00D24E61" w:rsidP="006812A9">
      <w:pPr>
        <w:spacing w:line="149" w:lineRule="exact"/>
        <w:jc w:val="both"/>
        <w:rPr>
          <w:sz w:val="20"/>
          <w:szCs w:val="20"/>
        </w:rPr>
      </w:pPr>
    </w:p>
    <w:p w:rsidR="00D24E61" w:rsidRPr="00771368" w:rsidRDefault="00D24E61" w:rsidP="006812A9">
      <w:pPr>
        <w:spacing w:line="206" w:lineRule="auto"/>
        <w:ind w:right="100" w:firstLine="852"/>
        <w:jc w:val="both"/>
        <w:rPr>
          <w:sz w:val="20"/>
          <w:szCs w:val="20"/>
        </w:rPr>
      </w:pPr>
      <w:r w:rsidRPr="00771368">
        <w:rPr>
          <w:rFonts w:eastAsia="Times"/>
          <w:sz w:val="24"/>
          <w:szCs w:val="24"/>
        </w:rPr>
        <w:t>De acordo com Chartier (1995, p.40) A construção da identidade feminina perpassa os discursos onde ocorre uma ‘‘violência simbólica’’ e as representações da</w:t>
      </w:r>
      <w:r w:rsidR="006812A9">
        <w:rPr>
          <w:rFonts w:eastAsia="Times"/>
          <w:sz w:val="24"/>
          <w:szCs w:val="24"/>
        </w:rPr>
        <w:t xml:space="preserve"> </w:t>
      </w:r>
      <w:r w:rsidRPr="00771368">
        <w:rPr>
          <w:rFonts w:eastAsia="Times"/>
          <w:sz w:val="24"/>
          <w:szCs w:val="24"/>
        </w:rPr>
        <w:t>inferioridade feminina povoam o imaginário social, que segundo Chartier (1995) essas representações estão escritas em nossos corpos. Cha rtier afirma em seus escritos que ‘‘ [...] o consentimento e o ponto central no funcionamento de um sistema de poder seja ele social ou sexual’’(CHARTIER, 1995, p.41). Chartier ainda d efende que a violência simbólica ocorre por meio da submissão que e imposta às mulhe res, por meio da dominação que e vista como sendo de ordem natural pelas diferenças biológicas.</w:t>
      </w:r>
    </w:p>
    <w:p w:rsidR="00D24E61" w:rsidRPr="00771368" w:rsidRDefault="00D24E61" w:rsidP="006812A9">
      <w:pPr>
        <w:spacing w:line="152" w:lineRule="exact"/>
        <w:jc w:val="both"/>
        <w:rPr>
          <w:sz w:val="20"/>
          <w:szCs w:val="20"/>
        </w:rPr>
      </w:pPr>
    </w:p>
    <w:p w:rsidR="00D24E61" w:rsidRPr="00771368" w:rsidRDefault="00D24E61" w:rsidP="006812A9">
      <w:pPr>
        <w:spacing w:line="238" w:lineRule="auto"/>
        <w:ind w:right="100" w:firstLine="852"/>
        <w:jc w:val="both"/>
        <w:rPr>
          <w:sz w:val="20"/>
          <w:szCs w:val="20"/>
        </w:rPr>
      </w:pPr>
      <w:r w:rsidRPr="00771368">
        <w:rPr>
          <w:rFonts w:eastAsia="Times"/>
          <w:sz w:val="24"/>
          <w:szCs w:val="24"/>
        </w:rPr>
        <w:t>Segundo Loponte (2002) Através da domesticação do nosso olhar as relações de poder se perpetuam, somos acostumados a visualizar imagens que reafirmam o poder do homem sobre a mulher, a mulher sempre representada como objeto e tendo como função propiciar prazer ao masculino, essas mensagens são sugeridas de forma implícita pela mídia. Loponte afirma que ‘‘As artes visuais como u m campo de poder e saber são um campo de disputa de conflitos, de descontinuidades, de multiplicidades de discursos’’(LOPONTE, 2002, p.290).</w:t>
      </w:r>
    </w:p>
    <w:p w:rsidR="00D24E61" w:rsidRPr="00771368" w:rsidRDefault="00D24E61" w:rsidP="006812A9">
      <w:pPr>
        <w:spacing w:line="153" w:lineRule="exact"/>
        <w:jc w:val="both"/>
        <w:rPr>
          <w:sz w:val="20"/>
          <w:szCs w:val="20"/>
        </w:rPr>
      </w:pPr>
    </w:p>
    <w:p w:rsidR="00D24E61" w:rsidRPr="00771368" w:rsidRDefault="00D24E61" w:rsidP="006812A9">
      <w:pPr>
        <w:spacing w:line="242" w:lineRule="auto"/>
        <w:ind w:right="120" w:firstLine="852"/>
        <w:jc w:val="both"/>
        <w:rPr>
          <w:sz w:val="20"/>
          <w:szCs w:val="20"/>
        </w:rPr>
      </w:pPr>
      <w:r w:rsidRPr="00771368">
        <w:rPr>
          <w:rFonts w:eastAsia="Times"/>
          <w:sz w:val="24"/>
          <w:szCs w:val="24"/>
        </w:rPr>
        <w:t>As imagens que o Jornal Daqui veicula no geral são de modelos que estão nos meios de comunicação como em programas da televisão , em revistas, novelas. Ao reproduzir a imagem destas modelos o Jornal contribui para a naturalização do olhar das pessoas que consomem esse Jornal e ao mesmo tempo desperta nas mulheres o desejo pela perfeição física, que e impossível de ser alcançada , pois a imagens destas modelos que aparecem nós diversos suportes da mídia são constru ídas, por meio de programas como o photoshop. Os profissionais podem mudar cenários, ãos apagadas e corrigidas todas as imperfeições destes corpos, por exemplo, as estrias e celulites são apagadas das fotos, a mulher que vê essas imagens acredita que tais corpos são perfeitos, quando na verdade não são.</w:t>
      </w:r>
    </w:p>
    <w:p w:rsidR="00D24E61" w:rsidRPr="00771368" w:rsidRDefault="00D24E61" w:rsidP="006812A9">
      <w:pPr>
        <w:spacing w:line="200" w:lineRule="exact"/>
        <w:jc w:val="both"/>
        <w:rPr>
          <w:sz w:val="20"/>
          <w:szCs w:val="20"/>
        </w:rPr>
      </w:pPr>
    </w:p>
    <w:p w:rsidR="006812A9" w:rsidRDefault="006812A9">
      <w:pPr>
        <w:rPr>
          <w:sz w:val="20"/>
          <w:szCs w:val="20"/>
        </w:rPr>
      </w:pPr>
      <w:r>
        <w:rPr>
          <w:sz w:val="20"/>
          <w:szCs w:val="20"/>
        </w:rPr>
        <w:br w:type="page"/>
      </w:r>
    </w:p>
    <w:p w:rsidR="00D24E61" w:rsidRPr="00771368" w:rsidRDefault="00D24E61" w:rsidP="006812A9">
      <w:pPr>
        <w:ind w:left="1140"/>
        <w:jc w:val="both"/>
        <w:rPr>
          <w:sz w:val="20"/>
          <w:szCs w:val="20"/>
        </w:rPr>
      </w:pPr>
      <w:r w:rsidRPr="00771368">
        <w:rPr>
          <w:rFonts w:eastAsia="Times"/>
          <w:b/>
          <w:bCs/>
          <w:sz w:val="24"/>
          <w:szCs w:val="24"/>
        </w:rPr>
        <w:t>CONSIDERAÇÕES FINAIS</w:t>
      </w:r>
    </w:p>
    <w:p w:rsidR="00D24E61" w:rsidRPr="00771368" w:rsidRDefault="00D24E61" w:rsidP="006812A9">
      <w:pPr>
        <w:spacing w:line="200" w:lineRule="exact"/>
        <w:jc w:val="both"/>
        <w:rPr>
          <w:sz w:val="20"/>
          <w:szCs w:val="20"/>
        </w:rPr>
      </w:pPr>
    </w:p>
    <w:p w:rsidR="00D24E61" w:rsidRPr="00771368" w:rsidRDefault="00D24E61" w:rsidP="006812A9">
      <w:pPr>
        <w:spacing w:line="233" w:lineRule="auto"/>
        <w:ind w:firstLine="852"/>
        <w:jc w:val="both"/>
        <w:rPr>
          <w:sz w:val="20"/>
          <w:szCs w:val="20"/>
        </w:rPr>
      </w:pPr>
      <w:r w:rsidRPr="00771368">
        <w:rPr>
          <w:rFonts w:eastAsia="Times"/>
          <w:sz w:val="24"/>
          <w:szCs w:val="24"/>
        </w:rPr>
        <w:t>Este trabalho se iniciou indagando-se se a mulher exposta no Jornal Daqui é um motivo há mais para o sucesso que o Jornal possui.E também se verificou como essa mulher é representada no Jornal, através da analisedas imagens e das entrevistas pudemos constatar que, o Jornal Daqui reproduz o estereótip o do corpo feminino trabalhado, expondo um corpo plástico onde as intervenções cirúrgicas, as dietas e os intermináveis</w:t>
      </w:r>
    </w:p>
    <w:p w:rsidR="00D24E61" w:rsidRPr="006812A9" w:rsidRDefault="00D24E61" w:rsidP="006812A9">
      <w:pPr>
        <w:jc w:val="both"/>
        <w:rPr>
          <w:sz w:val="24"/>
          <w:szCs w:val="24"/>
        </w:rPr>
      </w:pPr>
      <w:r w:rsidRPr="006812A9">
        <w:rPr>
          <w:rFonts w:eastAsia="Times"/>
          <w:sz w:val="24"/>
          <w:szCs w:val="24"/>
        </w:rPr>
        <w:t>exercícios físicos valem a pena para se alcançar o  corpo desejado e divulgado pela mídia</w:t>
      </w:r>
    </w:p>
    <w:p w:rsidR="00D24E61" w:rsidRPr="006812A9" w:rsidRDefault="00D24E61" w:rsidP="006812A9">
      <w:pPr>
        <w:spacing w:line="20" w:lineRule="exact"/>
        <w:jc w:val="both"/>
        <w:rPr>
          <w:sz w:val="24"/>
          <w:szCs w:val="24"/>
        </w:rPr>
      </w:pPr>
    </w:p>
    <w:p w:rsidR="00D24E61" w:rsidRPr="006812A9" w:rsidRDefault="00D24E61" w:rsidP="006812A9">
      <w:pPr>
        <w:jc w:val="both"/>
        <w:rPr>
          <w:sz w:val="24"/>
          <w:szCs w:val="24"/>
        </w:rPr>
      </w:pPr>
      <w:r w:rsidRPr="006812A9">
        <w:rPr>
          <w:rFonts w:eastAsia="Times"/>
          <w:sz w:val="24"/>
          <w:szCs w:val="24"/>
        </w:rPr>
        <w:t>como sendo o ideal, o correto.</w:t>
      </w:r>
    </w:p>
    <w:p w:rsidR="00D24E61" w:rsidRPr="006812A9" w:rsidRDefault="00D24E61" w:rsidP="006812A9">
      <w:pPr>
        <w:spacing w:line="18" w:lineRule="exact"/>
        <w:jc w:val="both"/>
        <w:rPr>
          <w:sz w:val="24"/>
          <w:szCs w:val="24"/>
        </w:rPr>
      </w:pPr>
    </w:p>
    <w:p w:rsidR="00D24E61" w:rsidRPr="006812A9" w:rsidRDefault="00D24E61" w:rsidP="006812A9">
      <w:pPr>
        <w:ind w:left="860"/>
        <w:jc w:val="both"/>
        <w:rPr>
          <w:sz w:val="24"/>
          <w:szCs w:val="24"/>
        </w:rPr>
      </w:pPr>
      <w:r w:rsidRPr="006812A9">
        <w:rPr>
          <w:rFonts w:eastAsia="Times"/>
          <w:sz w:val="24"/>
          <w:szCs w:val="24"/>
        </w:rPr>
        <w:t>Os estudos de gênero são muito válidos para desmistificar os papeis que são</w:t>
      </w:r>
    </w:p>
    <w:p w:rsidR="00D24E61" w:rsidRPr="006812A9" w:rsidRDefault="00D24E61" w:rsidP="006812A9">
      <w:pPr>
        <w:spacing w:line="20" w:lineRule="exact"/>
        <w:jc w:val="both"/>
        <w:rPr>
          <w:sz w:val="24"/>
          <w:szCs w:val="24"/>
        </w:rPr>
      </w:pPr>
    </w:p>
    <w:p w:rsidR="00D24E61" w:rsidRPr="006812A9" w:rsidRDefault="00D24E61" w:rsidP="006812A9">
      <w:pPr>
        <w:jc w:val="both"/>
        <w:rPr>
          <w:sz w:val="24"/>
          <w:szCs w:val="24"/>
        </w:rPr>
      </w:pPr>
      <w:r w:rsidRPr="006812A9">
        <w:rPr>
          <w:rFonts w:eastAsia="Times"/>
          <w:sz w:val="24"/>
          <w:szCs w:val="24"/>
        </w:rPr>
        <w:t>destinados para as mulheres, por meio das várias representações da mulher na mídia no</w:t>
      </w:r>
    </w:p>
    <w:p w:rsidR="00D24E61" w:rsidRPr="006812A9" w:rsidRDefault="00D24E61" w:rsidP="006812A9">
      <w:pPr>
        <w:spacing w:line="18" w:lineRule="exact"/>
        <w:jc w:val="both"/>
        <w:rPr>
          <w:sz w:val="24"/>
          <w:szCs w:val="24"/>
        </w:rPr>
      </w:pPr>
    </w:p>
    <w:p w:rsidR="00D24E61" w:rsidRPr="006812A9" w:rsidRDefault="00D24E61" w:rsidP="006812A9">
      <w:pPr>
        <w:jc w:val="both"/>
        <w:rPr>
          <w:sz w:val="24"/>
          <w:szCs w:val="24"/>
        </w:rPr>
      </w:pPr>
      <w:r w:rsidRPr="006812A9">
        <w:rPr>
          <w:rFonts w:eastAsia="Times"/>
          <w:sz w:val="24"/>
          <w:szCs w:val="24"/>
        </w:rPr>
        <w:t>caso desta pesquisa a mulher representada no Jornal Daqui.</w:t>
      </w:r>
    </w:p>
    <w:p w:rsidR="00D24E61" w:rsidRPr="006812A9" w:rsidRDefault="00D24E61" w:rsidP="006812A9">
      <w:pPr>
        <w:spacing w:line="36" w:lineRule="exact"/>
        <w:jc w:val="both"/>
        <w:rPr>
          <w:sz w:val="24"/>
          <w:szCs w:val="24"/>
        </w:rPr>
      </w:pPr>
    </w:p>
    <w:p w:rsidR="00D24E61" w:rsidRPr="006812A9" w:rsidRDefault="00D24E61" w:rsidP="006812A9">
      <w:pPr>
        <w:ind w:left="860"/>
        <w:jc w:val="both"/>
        <w:rPr>
          <w:sz w:val="24"/>
          <w:szCs w:val="24"/>
        </w:rPr>
      </w:pPr>
      <w:r w:rsidRPr="006812A9">
        <w:rPr>
          <w:rFonts w:eastAsia="Times"/>
          <w:sz w:val="24"/>
          <w:szCs w:val="24"/>
        </w:rPr>
        <w:t>Procuramos traçar um pequeno panorama das caracterí sticas da nossa sociedade</w:t>
      </w:r>
    </w:p>
    <w:p w:rsidR="00D24E61" w:rsidRPr="006812A9" w:rsidRDefault="00D24E61" w:rsidP="006812A9">
      <w:pPr>
        <w:spacing w:line="18" w:lineRule="exact"/>
        <w:jc w:val="both"/>
        <w:rPr>
          <w:sz w:val="24"/>
          <w:szCs w:val="24"/>
        </w:rPr>
      </w:pPr>
    </w:p>
    <w:p w:rsidR="00D24E61" w:rsidRPr="006812A9" w:rsidRDefault="00D24E61" w:rsidP="006812A9">
      <w:pPr>
        <w:jc w:val="both"/>
        <w:rPr>
          <w:sz w:val="24"/>
          <w:szCs w:val="24"/>
        </w:rPr>
      </w:pPr>
      <w:r w:rsidRPr="006812A9">
        <w:rPr>
          <w:rFonts w:eastAsia="Times"/>
          <w:sz w:val="24"/>
          <w:szCs w:val="24"/>
        </w:rPr>
        <w:t>que é pautada nos bens de consumo e no capitalismo selvagem, na qual as representações</w:t>
      </w:r>
    </w:p>
    <w:p w:rsidR="00D24E61" w:rsidRPr="006812A9" w:rsidRDefault="00D24E61" w:rsidP="006812A9">
      <w:pPr>
        <w:spacing w:line="18" w:lineRule="exact"/>
        <w:jc w:val="both"/>
        <w:rPr>
          <w:sz w:val="24"/>
          <w:szCs w:val="24"/>
        </w:rPr>
      </w:pPr>
    </w:p>
    <w:p w:rsidR="00D24E61" w:rsidRPr="006812A9" w:rsidRDefault="00D24E61" w:rsidP="006812A9">
      <w:pPr>
        <w:jc w:val="both"/>
        <w:rPr>
          <w:sz w:val="24"/>
          <w:szCs w:val="24"/>
        </w:rPr>
      </w:pPr>
      <w:r w:rsidRPr="006812A9">
        <w:rPr>
          <w:rFonts w:eastAsia="Times"/>
          <w:sz w:val="24"/>
          <w:szCs w:val="24"/>
        </w:rPr>
        <w:t>são criadas de acordo com os símbolos instituídos p ela própria sociedade.</w:t>
      </w:r>
    </w:p>
    <w:p w:rsidR="00D24E61" w:rsidRPr="006812A9" w:rsidRDefault="00D24E61" w:rsidP="006812A9">
      <w:pPr>
        <w:spacing w:line="20" w:lineRule="exact"/>
        <w:jc w:val="both"/>
        <w:rPr>
          <w:sz w:val="24"/>
          <w:szCs w:val="24"/>
        </w:rPr>
      </w:pPr>
    </w:p>
    <w:p w:rsidR="00D24E61" w:rsidRPr="006812A9" w:rsidRDefault="00D24E61" w:rsidP="006812A9">
      <w:pPr>
        <w:tabs>
          <w:tab w:val="left" w:pos="1660"/>
          <w:tab w:val="left" w:pos="2180"/>
          <w:tab w:val="left" w:pos="3060"/>
          <w:tab w:val="left" w:pos="4040"/>
          <w:tab w:val="left" w:pos="4940"/>
          <w:tab w:val="left" w:pos="6060"/>
          <w:tab w:val="left" w:pos="6700"/>
          <w:tab w:val="left" w:pos="7220"/>
          <w:tab w:val="left" w:pos="8180"/>
        </w:tabs>
        <w:ind w:left="860"/>
        <w:jc w:val="both"/>
        <w:rPr>
          <w:sz w:val="24"/>
          <w:szCs w:val="24"/>
        </w:rPr>
      </w:pPr>
      <w:r w:rsidRPr="006812A9">
        <w:rPr>
          <w:rFonts w:eastAsia="Times"/>
          <w:sz w:val="24"/>
          <w:szCs w:val="24"/>
        </w:rPr>
        <w:t>Espero</w:t>
      </w:r>
      <w:r w:rsidRPr="006812A9">
        <w:rPr>
          <w:sz w:val="24"/>
          <w:szCs w:val="24"/>
        </w:rPr>
        <w:tab/>
      </w:r>
      <w:r w:rsidRPr="006812A9">
        <w:rPr>
          <w:rFonts w:eastAsia="Times"/>
          <w:sz w:val="24"/>
          <w:szCs w:val="24"/>
        </w:rPr>
        <w:t>que</w:t>
      </w:r>
      <w:r w:rsidRPr="006812A9">
        <w:rPr>
          <w:sz w:val="24"/>
          <w:szCs w:val="24"/>
        </w:rPr>
        <w:tab/>
      </w:r>
      <w:r w:rsidRPr="006812A9">
        <w:rPr>
          <w:rFonts w:eastAsia="Times"/>
          <w:sz w:val="24"/>
          <w:szCs w:val="24"/>
        </w:rPr>
        <w:t>minhas</w:t>
      </w:r>
      <w:r w:rsidRPr="006812A9">
        <w:rPr>
          <w:sz w:val="24"/>
          <w:szCs w:val="24"/>
        </w:rPr>
        <w:tab/>
      </w:r>
      <w:r w:rsidRPr="006812A9">
        <w:rPr>
          <w:rFonts w:eastAsia="Times"/>
          <w:sz w:val="24"/>
          <w:szCs w:val="24"/>
        </w:rPr>
        <w:t>reflexões</w:t>
      </w:r>
      <w:r w:rsidRPr="006812A9">
        <w:rPr>
          <w:sz w:val="24"/>
          <w:szCs w:val="24"/>
        </w:rPr>
        <w:tab/>
      </w:r>
      <w:r w:rsidRPr="006812A9">
        <w:rPr>
          <w:rFonts w:eastAsia="Times"/>
          <w:sz w:val="24"/>
          <w:szCs w:val="24"/>
        </w:rPr>
        <w:t>possam</w:t>
      </w:r>
      <w:r w:rsidRPr="006812A9">
        <w:rPr>
          <w:sz w:val="24"/>
          <w:szCs w:val="24"/>
        </w:rPr>
        <w:tab/>
      </w:r>
      <w:r w:rsidRPr="006812A9">
        <w:rPr>
          <w:rFonts w:eastAsia="Times"/>
          <w:sz w:val="24"/>
          <w:szCs w:val="24"/>
        </w:rPr>
        <w:t>contribuir</w:t>
      </w:r>
      <w:r w:rsidRPr="006812A9">
        <w:rPr>
          <w:sz w:val="24"/>
          <w:szCs w:val="24"/>
        </w:rPr>
        <w:tab/>
      </w:r>
      <w:r w:rsidRPr="006812A9">
        <w:rPr>
          <w:rFonts w:eastAsia="Times"/>
          <w:sz w:val="24"/>
          <w:szCs w:val="24"/>
        </w:rPr>
        <w:t>para</w:t>
      </w:r>
      <w:r w:rsidRPr="006812A9">
        <w:rPr>
          <w:sz w:val="24"/>
          <w:szCs w:val="24"/>
        </w:rPr>
        <w:tab/>
      </w:r>
      <w:r w:rsidRPr="006812A9">
        <w:rPr>
          <w:rFonts w:eastAsia="Times"/>
          <w:sz w:val="24"/>
          <w:szCs w:val="24"/>
        </w:rPr>
        <w:t>que</w:t>
      </w:r>
      <w:r w:rsidRPr="006812A9">
        <w:rPr>
          <w:sz w:val="24"/>
          <w:szCs w:val="24"/>
        </w:rPr>
        <w:tab/>
      </w:r>
      <w:r w:rsidRPr="006812A9">
        <w:rPr>
          <w:rFonts w:eastAsia="Times"/>
          <w:sz w:val="24"/>
          <w:szCs w:val="24"/>
        </w:rPr>
        <w:t>ocorram</w:t>
      </w:r>
      <w:r w:rsidRPr="006812A9">
        <w:rPr>
          <w:sz w:val="24"/>
          <w:szCs w:val="24"/>
        </w:rPr>
        <w:tab/>
      </w:r>
      <w:r w:rsidRPr="006812A9">
        <w:rPr>
          <w:rFonts w:eastAsia="Times"/>
          <w:sz w:val="24"/>
          <w:szCs w:val="24"/>
        </w:rPr>
        <w:t>outras</w:t>
      </w:r>
    </w:p>
    <w:p w:rsidR="00D24E61" w:rsidRPr="006812A9" w:rsidRDefault="00D24E61" w:rsidP="006812A9">
      <w:pPr>
        <w:spacing w:line="34" w:lineRule="exact"/>
        <w:jc w:val="both"/>
        <w:rPr>
          <w:sz w:val="24"/>
          <w:szCs w:val="24"/>
        </w:rPr>
      </w:pPr>
    </w:p>
    <w:p w:rsidR="00D24E61" w:rsidRPr="006812A9" w:rsidRDefault="00D24E61" w:rsidP="006812A9">
      <w:pPr>
        <w:jc w:val="both"/>
        <w:rPr>
          <w:sz w:val="24"/>
          <w:szCs w:val="24"/>
        </w:rPr>
      </w:pPr>
      <w:r w:rsidRPr="006812A9">
        <w:rPr>
          <w:rFonts w:eastAsia="Times"/>
          <w:sz w:val="24"/>
          <w:szCs w:val="24"/>
        </w:rPr>
        <w:t>discussões sobre o gênero feminino e suas representações na mídia, para que o estigma que</w:t>
      </w:r>
    </w:p>
    <w:p w:rsidR="00D24E61" w:rsidRPr="006812A9" w:rsidRDefault="00D24E61" w:rsidP="006812A9">
      <w:pPr>
        <w:spacing w:line="20" w:lineRule="exact"/>
        <w:jc w:val="both"/>
        <w:rPr>
          <w:sz w:val="24"/>
          <w:szCs w:val="24"/>
        </w:rPr>
      </w:pPr>
    </w:p>
    <w:p w:rsidR="00D24E61" w:rsidRPr="006812A9" w:rsidRDefault="00D24E61" w:rsidP="006812A9">
      <w:pPr>
        <w:jc w:val="both"/>
        <w:rPr>
          <w:sz w:val="24"/>
          <w:szCs w:val="24"/>
        </w:rPr>
      </w:pPr>
      <w:r w:rsidRPr="006812A9">
        <w:rPr>
          <w:rFonts w:eastAsia="Times"/>
          <w:sz w:val="24"/>
          <w:szCs w:val="24"/>
        </w:rPr>
        <w:t>a mulher possui venha a ser dissolvido promovendo o respeito entre os gêneros.</w:t>
      </w:r>
    </w:p>
    <w:p w:rsidR="00D24E61" w:rsidRPr="006812A9" w:rsidRDefault="00D24E61" w:rsidP="006812A9">
      <w:pPr>
        <w:spacing w:line="200" w:lineRule="exact"/>
        <w:jc w:val="both"/>
        <w:rPr>
          <w:sz w:val="24"/>
          <w:szCs w:val="24"/>
        </w:rPr>
      </w:pPr>
    </w:p>
    <w:p w:rsidR="00D24E61" w:rsidRPr="00771368" w:rsidRDefault="00D24E61">
      <w:pPr>
        <w:spacing w:line="237" w:lineRule="exact"/>
        <w:rPr>
          <w:sz w:val="20"/>
          <w:szCs w:val="20"/>
        </w:rPr>
      </w:pPr>
    </w:p>
    <w:p w:rsidR="00D24E61" w:rsidRPr="00771368" w:rsidRDefault="00D24E61" w:rsidP="006812A9">
      <w:pPr>
        <w:spacing w:after="120"/>
        <w:ind w:left="860"/>
        <w:rPr>
          <w:sz w:val="20"/>
          <w:szCs w:val="20"/>
        </w:rPr>
      </w:pPr>
      <w:r w:rsidRPr="00771368">
        <w:rPr>
          <w:rFonts w:eastAsia="Times"/>
          <w:b/>
          <w:bCs/>
          <w:sz w:val="24"/>
          <w:szCs w:val="24"/>
        </w:rPr>
        <w:t>REFERÊNCIAS</w:t>
      </w:r>
    </w:p>
    <w:p w:rsidR="00D24E61" w:rsidRPr="00771368" w:rsidRDefault="00D24E61" w:rsidP="006812A9">
      <w:pPr>
        <w:spacing w:after="120" w:line="236" w:lineRule="auto"/>
        <w:jc w:val="both"/>
        <w:rPr>
          <w:sz w:val="20"/>
          <w:szCs w:val="20"/>
        </w:rPr>
      </w:pPr>
      <w:r w:rsidRPr="00771368">
        <w:rPr>
          <w:rFonts w:eastAsia="Times"/>
        </w:rPr>
        <w:t>ANDRADE, Sandra dos Santos. Mídia impressa e educaç ão de corpos femininos. In: LOURO, Guacira Lopes; FELIPE, Jane; GOELLNER, Silvana Vilodre (Org).C</w:t>
      </w:r>
      <w:r w:rsidRPr="00771368">
        <w:rPr>
          <w:rFonts w:eastAsia="Times"/>
          <w:b/>
          <w:bCs/>
        </w:rPr>
        <w:t>orpo,</w:t>
      </w:r>
      <w:r w:rsidRPr="00771368">
        <w:rPr>
          <w:rFonts w:eastAsia="Times"/>
        </w:rPr>
        <w:t xml:space="preserve"> </w:t>
      </w:r>
      <w:r w:rsidRPr="00771368">
        <w:rPr>
          <w:rFonts w:eastAsia="Times"/>
          <w:b/>
          <w:bCs/>
        </w:rPr>
        <w:t>Gêneroe Sexualidade:</w:t>
      </w:r>
      <w:r w:rsidRPr="00771368">
        <w:rPr>
          <w:rFonts w:eastAsia="Times"/>
        </w:rPr>
        <w:t>um debate contemporâneo na educação.5. ed. Petrópol is, RJ:</w:t>
      </w:r>
      <w:r w:rsidRPr="00771368">
        <w:rPr>
          <w:rFonts w:eastAsia="Times"/>
          <w:b/>
          <w:bCs/>
        </w:rPr>
        <w:t xml:space="preserve"> </w:t>
      </w:r>
      <w:r w:rsidRPr="00771368">
        <w:rPr>
          <w:rFonts w:eastAsia="Times"/>
        </w:rPr>
        <w:t>Vozes,2010.p.108-123.</w:t>
      </w:r>
    </w:p>
    <w:p w:rsidR="00D24E61" w:rsidRPr="00771368" w:rsidRDefault="00D24E61" w:rsidP="006812A9">
      <w:pPr>
        <w:spacing w:after="120" w:line="180" w:lineRule="auto"/>
        <w:ind w:right="340"/>
        <w:rPr>
          <w:sz w:val="20"/>
          <w:szCs w:val="20"/>
        </w:rPr>
      </w:pPr>
      <w:r w:rsidRPr="00771368">
        <w:rPr>
          <w:rFonts w:eastAsia="Times"/>
          <w:sz w:val="23"/>
          <w:szCs w:val="23"/>
        </w:rPr>
        <w:t xml:space="preserve">BOURDIEU, Pierre. </w:t>
      </w:r>
      <w:r w:rsidRPr="00771368">
        <w:rPr>
          <w:rFonts w:eastAsia="Times"/>
          <w:b/>
          <w:bCs/>
          <w:sz w:val="23"/>
          <w:szCs w:val="23"/>
        </w:rPr>
        <w:t>O Poder Simbólico</w:t>
      </w:r>
      <w:r w:rsidRPr="00771368">
        <w:rPr>
          <w:rFonts w:eastAsia="Times"/>
          <w:sz w:val="23"/>
          <w:szCs w:val="23"/>
        </w:rPr>
        <w:t xml:space="preserve"> . Rio de Janeiro: Bertrand Brasil, 2005. CHARTIER,Roger. Diferenças entre os sexos e dominaç ão simbólica. </w:t>
      </w:r>
      <w:r w:rsidRPr="00771368">
        <w:rPr>
          <w:rFonts w:eastAsia="Times"/>
          <w:b/>
          <w:bCs/>
          <w:sz w:val="23"/>
          <w:szCs w:val="23"/>
        </w:rPr>
        <w:t>Cadernos Pagu,</w:t>
      </w:r>
      <w:r w:rsidRPr="00771368">
        <w:rPr>
          <w:rFonts w:eastAsia="Times"/>
          <w:sz w:val="23"/>
          <w:szCs w:val="23"/>
        </w:rPr>
        <w:t xml:space="preserve"> Campinas, SP, n.4, p.37-47.</w:t>
      </w:r>
    </w:p>
    <w:p w:rsidR="00D24E61" w:rsidRPr="00771368" w:rsidRDefault="00D24E61" w:rsidP="006812A9">
      <w:pPr>
        <w:spacing w:after="120" w:line="181" w:lineRule="auto"/>
        <w:ind w:right="120"/>
        <w:rPr>
          <w:sz w:val="20"/>
          <w:szCs w:val="20"/>
        </w:rPr>
      </w:pPr>
      <w:r w:rsidRPr="00771368">
        <w:rPr>
          <w:rFonts w:eastAsia="Times"/>
          <w:sz w:val="23"/>
          <w:szCs w:val="23"/>
        </w:rPr>
        <w:t xml:space="preserve">LOPONTE, Luciana Gruppelli. Sexualidades, artes visuais e poder: pedagogias visuais do feminino. </w:t>
      </w:r>
      <w:r w:rsidRPr="00771368">
        <w:rPr>
          <w:rFonts w:eastAsia="Times"/>
          <w:b/>
          <w:bCs/>
          <w:sz w:val="23"/>
          <w:szCs w:val="23"/>
        </w:rPr>
        <w:t>Revista Estudos Feministas</w:t>
      </w:r>
      <w:r w:rsidRPr="00771368">
        <w:rPr>
          <w:rFonts w:eastAsia="Times"/>
          <w:sz w:val="23"/>
          <w:szCs w:val="23"/>
        </w:rPr>
        <w:t>, Florianópolis, SC, p.283-300,jun .2002 .</w:t>
      </w:r>
    </w:p>
    <w:p w:rsidR="00D24E61" w:rsidRPr="00771368" w:rsidRDefault="00D24E61" w:rsidP="006812A9">
      <w:pPr>
        <w:spacing w:after="120" w:line="181" w:lineRule="auto"/>
        <w:ind w:right="580"/>
        <w:rPr>
          <w:sz w:val="20"/>
          <w:szCs w:val="20"/>
        </w:rPr>
      </w:pPr>
      <w:r w:rsidRPr="00771368">
        <w:rPr>
          <w:rFonts w:eastAsia="Times"/>
          <w:sz w:val="24"/>
          <w:szCs w:val="24"/>
        </w:rPr>
        <w:t xml:space="preserve">MATOS, Maria Izilda S. de. Outras Histórias: As mul heres e estudos dos gêneros-percursos e possibilidades. In: MATOS, Maria Izilda S. de; SOLER, Maria Angélica (Org.). </w:t>
      </w:r>
      <w:r w:rsidRPr="00771368">
        <w:rPr>
          <w:rFonts w:eastAsia="Times"/>
          <w:b/>
          <w:bCs/>
          <w:sz w:val="24"/>
          <w:szCs w:val="24"/>
        </w:rPr>
        <w:t>Gênero em Debate: Trajetória e Perspectivas na Historiografia</w:t>
      </w:r>
      <w:r w:rsidRPr="00771368">
        <w:rPr>
          <w:rFonts w:eastAsia="Times"/>
          <w:sz w:val="24"/>
          <w:szCs w:val="24"/>
        </w:rPr>
        <w:t xml:space="preserve"> </w:t>
      </w:r>
      <w:r w:rsidRPr="00771368">
        <w:rPr>
          <w:rFonts w:eastAsia="Times"/>
          <w:b/>
          <w:bCs/>
          <w:sz w:val="24"/>
          <w:szCs w:val="24"/>
        </w:rPr>
        <w:t xml:space="preserve">Contemporânea </w:t>
      </w:r>
      <w:r w:rsidRPr="00771368">
        <w:rPr>
          <w:rFonts w:eastAsia="Times"/>
          <w:sz w:val="24"/>
          <w:szCs w:val="24"/>
        </w:rPr>
        <w:t>. São Paulo: Educ,1997.p.83-114.</w:t>
      </w:r>
    </w:p>
    <w:p w:rsidR="00D24E61" w:rsidRPr="00771368" w:rsidRDefault="00D24E61" w:rsidP="006812A9">
      <w:pPr>
        <w:spacing w:after="120" w:line="182" w:lineRule="auto"/>
        <w:ind w:right="240"/>
        <w:rPr>
          <w:sz w:val="20"/>
          <w:szCs w:val="20"/>
        </w:rPr>
      </w:pPr>
      <w:r w:rsidRPr="00771368">
        <w:rPr>
          <w:rFonts w:eastAsia="Times"/>
          <w:sz w:val="23"/>
          <w:szCs w:val="23"/>
        </w:rPr>
        <w:t xml:space="preserve">MEYER, Dagmar Estermann. Gênero e educação: teoria e política. In: LOURO, Guacira Lopes; FELIPE, Jane; GOELLNER, Silvana Vilodre (Org.). </w:t>
      </w:r>
      <w:r w:rsidRPr="00771368">
        <w:rPr>
          <w:rFonts w:eastAsia="Times"/>
          <w:b/>
          <w:bCs/>
          <w:sz w:val="23"/>
          <w:szCs w:val="23"/>
        </w:rPr>
        <w:t>Corpo, gênero e</w:t>
      </w:r>
      <w:r w:rsidR="006812A9">
        <w:rPr>
          <w:sz w:val="20"/>
          <w:szCs w:val="20"/>
        </w:rPr>
        <w:t xml:space="preserve"> </w:t>
      </w:r>
      <w:r w:rsidRPr="00771368">
        <w:rPr>
          <w:rFonts w:eastAsia="Times"/>
          <w:b/>
          <w:bCs/>
          <w:sz w:val="23"/>
          <w:szCs w:val="23"/>
        </w:rPr>
        <w:t>sexualidade:</w:t>
      </w:r>
      <w:r w:rsidRPr="00771368">
        <w:rPr>
          <w:rFonts w:eastAsia="Times"/>
          <w:sz w:val="23"/>
          <w:szCs w:val="23"/>
        </w:rPr>
        <w:t>Um debate contemporâneo na educação. 5. ed. Petrópo lis, RJ:Vozes, 2010.</w:t>
      </w:r>
      <w:r w:rsidRPr="00771368">
        <w:rPr>
          <w:rFonts w:eastAsia="Times"/>
          <w:b/>
          <w:bCs/>
          <w:sz w:val="23"/>
          <w:szCs w:val="23"/>
        </w:rPr>
        <w:t xml:space="preserve"> </w:t>
      </w:r>
      <w:r w:rsidRPr="00771368">
        <w:rPr>
          <w:rFonts w:eastAsia="Times"/>
          <w:sz w:val="23"/>
          <w:szCs w:val="23"/>
        </w:rPr>
        <w:t>p.9-27.</w:t>
      </w:r>
    </w:p>
    <w:p w:rsidR="00D24E61" w:rsidRPr="00771368" w:rsidRDefault="00D24E61" w:rsidP="006812A9">
      <w:pPr>
        <w:spacing w:after="120" w:line="180" w:lineRule="auto"/>
        <w:ind w:right="240"/>
        <w:rPr>
          <w:sz w:val="20"/>
          <w:szCs w:val="20"/>
        </w:rPr>
      </w:pPr>
      <w:r w:rsidRPr="00771368">
        <w:rPr>
          <w:rFonts w:eastAsia="Times"/>
          <w:sz w:val="24"/>
          <w:szCs w:val="24"/>
        </w:rPr>
        <w:t xml:space="preserve">MENESES, Ulpiano T. Bezerra de. Fontes visuais, cultura visual, História visual. Balanço provisório, propostas cautelares. </w:t>
      </w:r>
      <w:r w:rsidRPr="00771368">
        <w:rPr>
          <w:rFonts w:eastAsia="Times"/>
          <w:b/>
          <w:bCs/>
          <w:sz w:val="24"/>
          <w:szCs w:val="24"/>
        </w:rPr>
        <w:t>Revista Brasileira de História</w:t>
      </w:r>
      <w:r w:rsidRPr="00771368">
        <w:rPr>
          <w:rFonts w:eastAsia="Times"/>
          <w:sz w:val="24"/>
          <w:szCs w:val="24"/>
        </w:rPr>
        <w:t xml:space="preserve"> , São Paulo, v.23,n.45,p.11-36 2003.</w:t>
      </w:r>
    </w:p>
    <w:p w:rsidR="00D24E61" w:rsidRPr="00771368" w:rsidRDefault="00D24E61" w:rsidP="006812A9">
      <w:pPr>
        <w:spacing w:after="120" w:line="180" w:lineRule="auto"/>
        <w:ind w:right="80"/>
        <w:rPr>
          <w:sz w:val="20"/>
          <w:szCs w:val="20"/>
        </w:rPr>
      </w:pPr>
      <w:r w:rsidRPr="00771368">
        <w:rPr>
          <w:rFonts w:eastAsia="Times"/>
          <w:sz w:val="24"/>
          <w:szCs w:val="24"/>
        </w:rPr>
        <w:t>SABAT, Ruth. Gênero e sexualidade para consumo. In:LOURO, Guacira Lopes; FELIPE, Jane;GOELLNER, Silvana Vilodre (Org.).</w:t>
      </w:r>
      <w:r w:rsidRPr="00771368">
        <w:rPr>
          <w:rFonts w:eastAsia="Times"/>
          <w:b/>
          <w:bCs/>
          <w:sz w:val="24"/>
          <w:szCs w:val="24"/>
        </w:rPr>
        <w:t>Gênero, Corpo e Sexualidade:</w:t>
      </w:r>
      <w:r w:rsidRPr="00771368">
        <w:rPr>
          <w:rFonts w:eastAsia="Times"/>
          <w:sz w:val="24"/>
          <w:szCs w:val="24"/>
        </w:rPr>
        <w:t>Um debate contemporâneo na educação. 5.ed. Petrópolis, RJ:Voz es. 2010.p.149-159.</w:t>
      </w:r>
    </w:p>
    <w:p w:rsidR="00D24E61" w:rsidRPr="00771368" w:rsidRDefault="00D24E61" w:rsidP="006812A9">
      <w:pPr>
        <w:spacing w:after="120" w:line="185" w:lineRule="auto"/>
        <w:ind w:right="420"/>
        <w:rPr>
          <w:sz w:val="20"/>
          <w:szCs w:val="20"/>
        </w:rPr>
      </w:pPr>
      <w:r w:rsidRPr="00771368">
        <w:rPr>
          <w:rFonts w:eastAsia="Times"/>
          <w:sz w:val="23"/>
          <w:szCs w:val="23"/>
        </w:rPr>
        <w:t xml:space="preserve">SABAT, Ruth. Pedagogia cultural, gênero e sexualidade. </w:t>
      </w:r>
      <w:r w:rsidRPr="00771368">
        <w:rPr>
          <w:rFonts w:eastAsia="Times"/>
          <w:b/>
          <w:bCs/>
          <w:sz w:val="23"/>
          <w:szCs w:val="23"/>
        </w:rPr>
        <w:t>Revista Estudos Feministas</w:t>
      </w:r>
      <w:r w:rsidRPr="00771368">
        <w:rPr>
          <w:rFonts w:eastAsia="Times"/>
          <w:sz w:val="23"/>
          <w:szCs w:val="23"/>
        </w:rPr>
        <w:t>, Florianópolis, SC, p.9-21, 2001.</w:t>
      </w:r>
    </w:p>
    <w:p w:rsidR="00D24E61" w:rsidRPr="00771368" w:rsidRDefault="00D24E61" w:rsidP="006812A9">
      <w:pPr>
        <w:spacing w:after="120" w:line="185" w:lineRule="auto"/>
        <w:ind w:right="360"/>
        <w:rPr>
          <w:sz w:val="20"/>
          <w:szCs w:val="20"/>
        </w:rPr>
      </w:pPr>
      <w:r w:rsidRPr="00771368">
        <w:rPr>
          <w:rFonts w:eastAsia="Times"/>
          <w:sz w:val="23"/>
          <w:szCs w:val="23"/>
        </w:rPr>
        <w:t xml:space="preserve">SAMARA, Eni de Mesquita. </w:t>
      </w:r>
      <w:r w:rsidRPr="00771368">
        <w:rPr>
          <w:rFonts w:eastAsia="Times"/>
          <w:b/>
          <w:bCs/>
          <w:sz w:val="23"/>
          <w:szCs w:val="23"/>
        </w:rPr>
        <w:t>História &amp; Documento e metodologia de pesquisa</w:t>
      </w:r>
      <w:r w:rsidRPr="00771368">
        <w:rPr>
          <w:rFonts w:eastAsia="Times"/>
          <w:sz w:val="23"/>
          <w:szCs w:val="23"/>
        </w:rPr>
        <w:t xml:space="preserve"> . Belo Horizonte: Autêntica, 2007.</w:t>
      </w:r>
    </w:p>
    <w:p w:rsidR="00D24E61" w:rsidRPr="00771368" w:rsidRDefault="00D24E61" w:rsidP="006812A9">
      <w:pPr>
        <w:spacing w:after="120"/>
        <w:rPr>
          <w:sz w:val="20"/>
          <w:szCs w:val="20"/>
        </w:rPr>
      </w:pPr>
      <w:r w:rsidRPr="00771368">
        <w:rPr>
          <w:rFonts w:eastAsia="Times"/>
          <w:sz w:val="24"/>
          <w:szCs w:val="24"/>
        </w:rPr>
        <w:t xml:space="preserve">SENNETT,Richard . </w:t>
      </w:r>
      <w:r w:rsidRPr="00771368">
        <w:rPr>
          <w:rFonts w:eastAsia="Times"/>
          <w:b/>
          <w:bCs/>
          <w:sz w:val="24"/>
          <w:szCs w:val="24"/>
        </w:rPr>
        <w:t>A Corrosão do Caráter</w:t>
      </w:r>
      <w:r w:rsidRPr="00771368">
        <w:rPr>
          <w:rFonts w:eastAsia="Times"/>
          <w:sz w:val="24"/>
          <w:szCs w:val="24"/>
        </w:rPr>
        <w:t>. Rio de Janeiro: BestBolso,2012.</w:t>
      </w:r>
    </w:p>
    <w:p w:rsidR="00D24E61" w:rsidRPr="00771368" w:rsidRDefault="00D24E61" w:rsidP="006812A9">
      <w:pPr>
        <w:spacing w:after="120" w:line="185" w:lineRule="auto"/>
        <w:rPr>
          <w:sz w:val="20"/>
          <w:szCs w:val="20"/>
        </w:rPr>
      </w:pPr>
      <w:r w:rsidRPr="00771368">
        <w:rPr>
          <w:rFonts w:eastAsia="Times"/>
          <w:sz w:val="23"/>
          <w:szCs w:val="23"/>
        </w:rPr>
        <w:t xml:space="preserve">VILELA,Shirley Elias. </w:t>
      </w:r>
      <w:r w:rsidRPr="00771368">
        <w:rPr>
          <w:rFonts w:eastAsia="Times"/>
          <w:b/>
          <w:bCs/>
          <w:sz w:val="23"/>
          <w:szCs w:val="23"/>
        </w:rPr>
        <w:t>A Precocidade do Vazio</w:t>
      </w:r>
      <w:r w:rsidRPr="00771368">
        <w:rPr>
          <w:rFonts w:eastAsia="Times"/>
          <w:sz w:val="23"/>
          <w:szCs w:val="23"/>
        </w:rPr>
        <w:t>: Barbie, tudo que você quer ser! Goiânia: UFG,2008, 115p. Dissertação ( Mestrado), Programa d e Pós- Graduação em Cultura</w:t>
      </w:r>
    </w:p>
    <w:p w:rsidR="00D24E61" w:rsidRPr="00771368" w:rsidRDefault="00D24E61" w:rsidP="006812A9">
      <w:pPr>
        <w:spacing w:after="120" w:line="193" w:lineRule="auto"/>
        <w:rPr>
          <w:sz w:val="20"/>
          <w:szCs w:val="20"/>
        </w:rPr>
      </w:pPr>
      <w:r w:rsidRPr="00771368">
        <w:rPr>
          <w:rFonts w:eastAsia="Times"/>
          <w:sz w:val="24"/>
          <w:szCs w:val="24"/>
        </w:rPr>
        <w:t>Visual. Universidade Federal de Goiás, Goiânia, 2008.</w:t>
      </w:r>
    </w:p>
    <w:p w:rsidR="00D24E61" w:rsidRPr="00771368" w:rsidRDefault="00D24E61" w:rsidP="006812A9">
      <w:pPr>
        <w:spacing w:after="120" w:line="239" w:lineRule="auto"/>
        <w:rPr>
          <w:sz w:val="20"/>
          <w:szCs w:val="20"/>
        </w:rPr>
      </w:pPr>
      <w:r w:rsidRPr="00771368">
        <w:rPr>
          <w:rFonts w:eastAsia="Times"/>
          <w:sz w:val="24"/>
          <w:szCs w:val="24"/>
        </w:rPr>
        <w:t xml:space="preserve">ZYGMUNT, Bauman. </w:t>
      </w:r>
      <w:r w:rsidRPr="00771368">
        <w:rPr>
          <w:rFonts w:eastAsia="Times"/>
          <w:b/>
          <w:bCs/>
          <w:sz w:val="24"/>
          <w:szCs w:val="24"/>
        </w:rPr>
        <w:t>Modernidade Líquida</w:t>
      </w:r>
      <w:r w:rsidRPr="00771368">
        <w:rPr>
          <w:rFonts w:eastAsia="Times"/>
          <w:sz w:val="24"/>
          <w:szCs w:val="24"/>
        </w:rPr>
        <w:t>. Rio de Janeiro: J. Zahar, 2001.</w:t>
      </w:r>
    </w:p>
    <w:p w:rsidR="00D24E61" w:rsidRPr="00771368" w:rsidRDefault="00D24E61">
      <w:pPr>
        <w:sectPr w:rsidR="00D24E61" w:rsidRPr="00771368">
          <w:pgSz w:w="11900" w:h="16840"/>
          <w:pgMar w:top="645" w:right="1380" w:bottom="1440" w:left="1700" w:header="0" w:footer="0" w:gutter="0"/>
          <w:cols w:space="720" w:equalWidth="0">
            <w:col w:w="8820"/>
          </w:cols>
        </w:sectPr>
      </w:pPr>
    </w:p>
    <w:p w:rsidR="00D24E61" w:rsidRPr="00771368" w:rsidRDefault="00D24E61">
      <w:pPr>
        <w:spacing w:line="226" w:lineRule="auto"/>
        <w:ind w:left="1000" w:right="420" w:hanging="589"/>
        <w:rPr>
          <w:sz w:val="20"/>
          <w:szCs w:val="20"/>
        </w:rPr>
      </w:pPr>
      <w:r w:rsidRPr="00771368">
        <w:rPr>
          <w:b/>
          <w:bCs/>
          <w:sz w:val="24"/>
          <w:szCs w:val="24"/>
        </w:rPr>
        <w:t>Mulheres desonradas, faladas, casadas: o discurso dos Operadores do Direito nos processos de defloramento na comarca de Caxias do Sul, 1900 – 1950</w:t>
      </w:r>
      <w:r w:rsidRPr="00771368">
        <w:rPr>
          <w:b/>
          <w:bCs/>
          <w:sz w:val="32"/>
          <w:szCs w:val="32"/>
          <w:vertAlign w:val="superscript"/>
        </w:rPr>
        <w:t>1</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76" w:lineRule="exact"/>
        <w:rPr>
          <w:sz w:val="24"/>
          <w:szCs w:val="24"/>
        </w:rPr>
      </w:pPr>
    </w:p>
    <w:p w:rsidR="00D24E61" w:rsidRPr="00771368" w:rsidRDefault="00D24E61" w:rsidP="00905360">
      <w:pPr>
        <w:ind w:left="5670"/>
        <w:rPr>
          <w:sz w:val="20"/>
          <w:szCs w:val="20"/>
        </w:rPr>
      </w:pPr>
      <w:bookmarkStart w:id="64" w:name="_Toc442034753"/>
      <w:r w:rsidRPr="00905360">
        <w:rPr>
          <w:rStyle w:val="Ttulo1Char"/>
        </w:rPr>
        <w:t>Elizete Carmen Ferrari Balbinot</w:t>
      </w:r>
      <w:bookmarkEnd w:id="64"/>
      <w:r w:rsidRPr="00771368">
        <w:rPr>
          <w:sz w:val="31"/>
          <w:szCs w:val="31"/>
          <w:vertAlign w:val="superscript"/>
        </w:rPr>
        <w:t>2</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38" w:lineRule="exact"/>
        <w:rPr>
          <w:sz w:val="24"/>
          <w:szCs w:val="24"/>
        </w:rPr>
      </w:pPr>
    </w:p>
    <w:p w:rsidR="00D24E61" w:rsidRPr="00771368" w:rsidRDefault="00D24E61">
      <w:pPr>
        <w:spacing w:line="251" w:lineRule="auto"/>
        <w:ind w:left="4000"/>
        <w:jc w:val="right"/>
        <w:rPr>
          <w:sz w:val="20"/>
          <w:szCs w:val="20"/>
        </w:rPr>
      </w:pPr>
      <w:r w:rsidRPr="00771368">
        <w:rPr>
          <w:sz w:val="24"/>
          <w:szCs w:val="24"/>
        </w:rPr>
        <w:t>João amava Teresa que amava Raimundo que amava Maria que amava Joaquim que amava Lili que não amava ninguém.</w:t>
      </w:r>
    </w:p>
    <w:p w:rsidR="00D24E61" w:rsidRPr="00771368" w:rsidRDefault="00D24E61">
      <w:pPr>
        <w:spacing w:line="88" w:lineRule="exact"/>
        <w:rPr>
          <w:sz w:val="24"/>
          <w:szCs w:val="24"/>
        </w:rPr>
      </w:pPr>
    </w:p>
    <w:p w:rsidR="00D24E61" w:rsidRPr="00771368" w:rsidRDefault="00D24E61">
      <w:pPr>
        <w:spacing w:line="259" w:lineRule="auto"/>
        <w:ind w:left="3660"/>
        <w:jc w:val="right"/>
        <w:rPr>
          <w:sz w:val="20"/>
          <w:szCs w:val="20"/>
        </w:rPr>
      </w:pPr>
      <w:r w:rsidRPr="00771368">
        <w:rPr>
          <w:sz w:val="24"/>
          <w:szCs w:val="24"/>
        </w:rPr>
        <w:t>João foi para os Estados Unidos, Teresa para o convento, Raimundo morreu de desastre, Maria ficou para tia, Joaquim suicidou-se e Lili casou com J. Pinto Fernandes que não tinha entrado na história.</w:t>
      </w:r>
    </w:p>
    <w:p w:rsidR="00D24E61" w:rsidRPr="00771368" w:rsidRDefault="00D24E61">
      <w:pPr>
        <w:spacing w:line="138" w:lineRule="exact"/>
        <w:rPr>
          <w:sz w:val="24"/>
          <w:szCs w:val="24"/>
        </w:rPr>
      </w:pPr>
    </w:p>
    <w:p w:rsidR="00D24E61" w:rsidRPr="00771368" w:rsidRDefault="00D24E61">
      <w:pPr>
        <w:ind w:left="6080"/>
        <w:rPr>
          <w:sz w:val="20"/>
          <w:szCs w:val="20"/>
        </w:rPr>
      </w:pPr>
      <w:r w:rsidRPr="00771368">
        <w:rPr>
          <w:sz w:val="23"/>
          <w:szCs w:val="23"/>
        </w:rPr>
        <w:t>Carlos Drummond de Andrade</w:t>
      </w:r>
      <w:r w:rsidRPr="00771368">
        <w:rPr>
          <w:sz w:val="31"/>
          <w:szCs w:val="31"/>
          <w:vertAlign w:val="superscript"/>
        </w:rPr>
        <w:t>3</w:t>
      </w:r>
    </w:p>
    <w:p w:rsidR="00D24E61" w:rsidRPr="00771368" w:rsidRDefault="00D24E61">
      <w:pPr>
        <w:spacing w:line="117" w:lineRule="exact"/>
        <w:rPr>
          <w:sz w:val="24"/>
          <w:szCs w:val="24"/>
        </w:rPr>
      </w:pPr>
    </w:p>
    <w:p w:rsidR="00D24E61" w:rsidRPr="00771368" w:rsidRDefault="00D24E61">
      <w:pPr>
        <w:spacing w:line="354" w:lineRule="auto"/>
        <w:ind w:firstLine="708"/>
        <w:jc w:val="both"/>
        <w:rPr>
          <w:sz w:val="20"/>
          <w:szCs w:val="20"/>
        </w:rPr>
      </w:pPr>
      <w:r w:rsidRPr="00771368">
        <w:rPr>
          <w:sz w:val="24"/>
          <w:szCs w:val="24"/>
        </w:rPr>
        <w:t xml:space="preserve">Carlos Drummond de Andrade ao publicar, em 1930, o poema </w:t>
      </w:r>
      <w:r w:rsidRPr="00771368">
        <w:rPr>
          <w:i/>
          <w:iCs/>
          <w:sz w:val="24"/>
          <w:szCs w:val="24"/>
        </w:rPr>
        <w:t>Quadrilha</w:t>
      </w:r>
      <w:r w:rsidRPr="00771368">
        <w:rPr>
          <w:sz w:val="24"/>
          <w:szCs w:val="24"/>
        </w:rPr>
        <w:t xml:space="preserve"> provavelmente procurou brincar com os desencontros amorosos ao nomear os personagens e as suas ações relacionadas ao amor e casamento. No poema, Drummond destacou a trajetória de homens e mulheres no que diz respeito aos seus sentimentos e designíos da vida decorrentes de seus amores e principalmente do lugar ocupado pela mulher na família, ou seja, solteira e/ou casada, bem como da “solteirona” que por não casar ficava para tia ou às desiludidas do amor restando-lhes o enclausuramento nos convento. Entretanto, o poema permite alguns questionamentos: o casamento entre Lili e J. Pinto Fernandes seria a solução encontrada para reparar a possível desilusão amorosa enfrentada por ela? Ou o casamento seria a única trajetória idealizada pela mulher?</w:t>
      </w:r>
    </w:p>
    <w:p w:rsidR="00D24E61" w:rsidRPr="00771368" w:rsidRDefault="00D24E61">
      <w:pPr>
        <w:spacing w:line="70" w:lineRule="exact"/>
        <w:rPr>
          <w:sz w:val="24"/>
          <w:szCs w:val="24"/>
        </w:rPr>
      </w:pPr>
    </w:p>
    <w:p w:rsidR="00D24E61" w:rsidRPr="00771368" w:rsidRDefault="00D24E61">
      <w:pPr>
        <w:spacing w:line="334" w:lineRule="auto"/>
        <w:ind w:firstLine="708"/>
        <w:jc w:val="both"/>
        <w:rPr>
          <w:sz w:val="20"/>
          <w:szCs w:val="20"/>
        </w:rPr>
      </w:pPr>
      <w:r w:rsidRPr="00771368">
        <w:rPr>
          <w:sz w:val="24"/>
          <w:szCs w:val="24"/>
        </w:rPr>
        <w:t>A elaboração apresentada por Drummond permite formular algumas pistas ao sentido do poema que pode não ter nenhuma ligação com os reais personagens da história. O poeta procurou mostrar através da poesia alguns elementos dos desencontros e encontros amorosos</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699712" behindDoc="0" locked="0" layoutInCell="0" allowOverlap="1">
                <wp:simplePos x="0" y="0"/>
                <wp:positionH relativeFrom="column">
                  <wp:posOffset>1270</wp:posOffset>
                </wp:positionH>
                <wp:positionV relativeFrom="paragraph">
                  <wp:posOffset>182245</wp:posOffset>
                </wp:positionV>
                <wp:extent cx="1828800" cy="0"/>
                <wp:effectExtent l="10795" t="10795" r="8255" b="8255"/>
                <wp:wrapNone/>
                <wp:docPr id="22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9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4.35pt" to="144.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" o:allowincell="f" strokeweight=".72pt"/>
            </w:pict>
          </mc:Fallback>
        </mc:AlternateContent>
      </w:r>
    </w:p>
    <w:p w:rsidR="00D24E61" w:rsidRPr="00771368" w:rsidRDefault="00D24E61">
      <w:pPr>
        <w:spacing w:line="239" w:lineRule="exact"/>
        <w:rPr>
          <w:sz w:val="24"/>
          <w:szCs w:val="24"/>
        </w:rPr>
      </w:pPr>
    </w:p>
    <w:p w:rsidR="00D24E61" w:rsidRPr="00771368" w:rsidRDefault="00D24E61" w:rsidP="00FA0ABA">
      <w:pPr>
        <w:numPr>
          <w:ilvl w:val="0"/>
          <w:numId w:val="23"/>
        </w:numPr>
        <w:tabs>
          <w:tab w:val="left" w:pos="121"/>
        </w:tabs>
        <w:spacing w:line="211" w:lineRule="auto"/>
        <w:ind w:left="140" w:hanging="138"/>
        <w:jc w:val="both"/>
        <w:rPr>
          <w:sz w:val="26"/>
          <w:szCs w:val="26"/>
          <w:vertAlign w:val="superscript"/>
        </w:rPr>
      </w:pPr>
      <w:r w:rsidRPr="00771368">
        <w:rPr>
          <w:sz w:val="20"/>
          <w:szCs w:val="20"/>
        </w:rPr>
        <w:t>O presente artigo faz parte da pesquisa de mestrado denominada Moral e Sedução: o discurso do Judiciário nos processo de defloramento da Comarca de Caxias do Sul, 1900 – 1950, aprovado pelo PPGH – Programa de Pós Graduação em História da Universidade do vale do Rio dos Sinos - UNISINOS, em novembro de 2011 com o apoio PROSUP/CAPES. E, tem como orientadora a professora Dª Eloisa Helena Capovilla da Luz Ramos.</w:t>
      </w:r>
    </w:p>
    <w:p w:rsidR="00D24E61" w:rsidRPr="00771368" w:rsidRDefault="00D24E61">
      <w:pPr>
        <w:spacing w:line="50" w:lineRule="exact"/>
        <w:rPr>
          <w:sz w:val="26"/>
          <w:szCs w:val="26"/>
          <w:vertAlign w:val="superscript"/>
        </w:rPr>
      </w:pPr>
    </w:p>
    <w:p w:rsidR="00D24E61" w:rsidRPr="00771368" w:rsidRDefault="00D24E61" w:rsidP="00FA0ABA">
      <w:pPr>
        <w:numPr>
          <w:ilvl w:val="0"/>
          <w:numId w:val="23"/>
        </w:numPr>
        <w:tabs>
          <w:tab w:val="left" w:pos="181"/>
        </w:tabs>
        <w:spacing w:line="186" w:lineRule="auto"/>
        <w:ind w:left="140" w:hanging="138"/>
        <w:jc w:val="both"/>
        <w:rPr>
          <w:sz w:val="26"/>
          <w:szCs w:val="26"/>
          <w:vertAlign w:val="superscript"/>
        </w:rPr>
      </w:pPr>
      <w:r w:rsidRPr="00771368">
        <w:rPr>
          <w:sz w:val="20"/>
          <w:szCs w:val="20"/>
        </w:rPr>
        <w:t>Mestranda do Programa de Pós-Graduação em História pela Universidade do Vale do Rio dos Sinos (UNISINOS), com apoio da Coordenação de Aperfeiçoamento de Pessoal de Nível Superior (CAPES).</w:t>
      </w:r>
    </w:p>
    <w:p w:rsidR="00D24E61" w:rsidRPr="00771368" w:rsidRDefault="00D24E61">
      <w:pPr>
        <w:spacing w:line="50" w:lineRule="exact"/>
        <w:rPr>
          <w:sz w:val="26"/>
          <w:szCs w:val="26"/>
          <w:vertAlign w:val="superscript"/>
        </w:rPr>
      </w:pPr>
    </w:p>
    <w:p w:rsidR="00D24E61" w:rsidRPr="00771368" w:rsidRDefault="00D24E61" w:rsidP="00FA0ABA">
      <w:pPr>
        <w:numPr>
          <w:ilvl w:val="0"/>
          <w:numId w:val="23"/>
        </w:numPr>
        <w:tabs>
          <w:tab w:val="left" w:pos="116"/>
        </w:tabs>
        <w:spacing w:line="185" w:lineRule="auto"/>
        <w:ind w:left="140" w:hanging="138"/>
        <w:jc w:val="both"/>
        <w:rPr>
          <w:sz w:val="26"/>
          <w:szCs w:val="26"/>
          <w:vertAlign w:val="superscript"/>
        </w:rPr>
      </w:pPr>
      <w:r w:rsidRPr="00771368">
        <w:rPr>
          <w:sz w:val="20"/>
          <w:szCs w:val="20"/>
        </w:rPr>
        <w:t xml:space="preserve">O poema </w:t>
      </w:r>
      <w:r w:rsidRPr="00771368">
        <w:rPr>
          <w:i/>
          <w:iCs/>
          <w:sz w:val="20"/>
          <w:szCs w:val="20"/>
        </w:rPr>
        <w:t>Quadrilha</w:t>
      </w:r>
      <w:r w:rsidRPr="00771368">
        <w:rPr>
          <w:sz w:val="20"/>
          <w:szCs w:val="20"/>
        </w:rPr>
        <w:t xml:space="preserve"> faz parte do primeiro volume lírico de Drummond intitulado </w:t>
      </w:r>
      <w:r w:rsidRPr="00771368">
        <w:rPr>
          <w:i/>
          <w:iCs/>
          <w:sz w:val="20"/>
          <w:szCs w:val="20"/>
        </w:rPr>
        <w:t>Alguma Poesia,</w:t>
      </w:r>
      <w:r w:rsidRPr="00771368">
        <w:rPr>
          <w:sz w:val="20"/>
          <w:szCs w:val="20"/>
        </w:rPr>
        <w:t xml:space="preserve"> publicado em 1930.</w:t>
      </w:r>
    </w:p>
    <w:p w:rsidR="00D24E61" w:rsidRPr="00771368" w:rsidRDefault="00D24E61">
      <w:pPr>
        <w:spacing w:line="211" w:lineRule="exact"/>
        <w:rPr>
          <w:sz w:val="24"/>
          <w:szCs w:val="24"/>
        </w:rPr>
      </w:pPr>
    </w:p>
    <w:p w:rsidR="00D24E61" w:rsidRPr="00771368" w:rsidRDefault="00D24E61">
      <w:pPr>
        <w:spacing w:line="313" w:lineRule="exact"/>
        <w:rPr>
          <w:sz w:val="20"/>
          <w:szCs w:val="20"/>
        </w:rPr>
      </w:pPr>
    </w:p>
    <w:p w:rsidR="00D24E61" w:rsidRPr="00771368" w:rsidRDefault="00D24E61">
      <w:pPr>
        <w:spacing w:line="342" w:lineRule="auto"/>
        <w:jc w:val="both"/>
        <w:rPr>
          <w:sz w:val="20"/>
          <w:szCs w:val="20"/>
        </w:rPr>
      </w:pPr>
      <w:r w:rsidRPr="00771368">
        <w:rPr>
          <w:sz w:val="24"/>
          <w:szCs w:val="24"/>
        </w:rPr>
        <w:t xml:space="preserve">e, provavelmente inspirou-se em seu contexto. Entretanto, o poema </w:t>
      </w:r>
      <w:r w:rsidRPr="00771368">
        <w:rPr>
          <w:i/>
          <w:iCs/>
          <w:sz w:val="24"/>
          <w:szCs w:val="24"/>
        </w:rPr>
        <w:t>Quadrilha</w:t>
      </w:r>
      <w:r w:rsidRPr="00771368">
        <w:rPr>
          <w:sz w:val="24"/>
          <w:szCs w:val="24"/>
        </w:rPr>
        <w:t xml:space="preserve"> não pertence apenas o imaginário do autor, pois muitos Inquéritos Policiais e Processos-crime de Sedução e Defloramento da Comarca da cidade de Caxias do Sul (RS) indicam trajetórias muito parecidas àqueles personagens do poema.</w:t>
      </w:r>
    </w:p>
    <w:p w:rsidR="00D24E61" w:rsidRPr="00771368" w:rsidRDefault="00D24E61">
      <w:pPr>
        <w:spacing w:line="83" w:lineRule="exact"/>
        <w:rPr>
          <w:sz w:val="20"/>
          <w:szCs w:val="20"/>
        </w:rPr>
      </w:pPr>
    </w:p>
    <w:p w:rsidR="00D24E61" w:rsidRPr="00771368" w:rsidRDefault="00D24E61">
      <w:pPr>
        <w:spacing w:line="346" w:lineRule="auto"/>
        <w:ind w:firstLine="708"/>
        <w:jc w:val="both"/>
        <w:rPr>
          <w:sz w:val="20"/>
          <w:szCs w:val="20"/>
        </w:rPr>
      </w:pPr>
      <w:r w:rsidRPr="00771368">
        <w:rPr>
          <w:sz w:val="24"/>
          <w:szCs w:val="24"/>
        </w:rPr>
        <w:t>As fontes acima mencionadas que são objeto de análise desta pesquisa constituem-se um vasto universo que ajudam compreender o discurso utilizado pelos detentores do saber e do poder com objetivo de fazer prevalecer os interesses que estavam em jogo, ou seja, dos agentes dominantes sobre aqueles que deveriam obedecer. Jogo que se articula “a partir de um evento específico: o crime e seu percurso nas instituições policiais e judiciárias [que servem] de mecanismos para controlar a moral social”</w:t>
      </w:r>
      <w:r w:rsidRPr="00771368">
        <w:rPr>
          <w:sz w:val="32"/>
          <w:szCs w:val="32"/>
          <w:vertAlign w:val="superscript"/>
        </w:rPr>
        <w:t>4</w:t>
      </w:r>
      <w:r w:rsidRPr="00771368">
        <w:rPr>
          <w:sz w:val="24"/>
          <w:szCs w:val="24"/>
        </w:rPr>
        <w:t>. Conforme Michel Foucault</w:t>
      </w:r>
      <w:r w:rsidRPr="00771368">
        <w:rPr>
          <w:sz w:val="32"/>
          <w:szCs w:val="32"/>
          <w:vertAlign w:val="superscript"/>
        </w:rPr>
        <w:t>5</w:t>
      </w:r>
      <w:r w:rsidRPr="00771368">
        <w:rPr>
          <w:sz w:val="24"/>
          <w:szCs w:val="24"/>
        </w:rPr>
        <w:t xml:space="preserve"> a produção discursiva é controlada pela sociedade que seleciona e organiza através de metodologias ditas adequadas para cada evento sendo “redistribuída por certo número de procedimentos que têm por função conjurar seus poderes e perigos, dominar acontecimentos aleatórios, esquivar sua pesada e temível materialidade”. Segundo o autor, o discurso não é apenas o que traduz as lutas ou os sistemas de dominação, mas é a coisa para a qual e pela qual a luta existe, o discurso é o poder a ser tomado. A formação discursiva que emana do poder e saber oferece sustentação ao </w:t>
      </w:r>
      <w:r w:rsidRPr="00771368">
        <w:rPr>
          <w:i/>
          <w:iCs/>
          <w:sz w:val="24"/>
          <w:szCs w:val="24"/>
        </w:rPr>
        <w:t>status</w:t>
      </w:r>
      <w:r w:rsidRPr="00771368">
        <w:rPr>
          <w:sz w:val="24"/>
          <w:szCs w:val="24"/>
        </w:rPr>
        <w:t xml:space="preserve"> de verdade que permeia e transforma “depoimentos” sem erudição. O sistema de dominação, em geral, não está expresso formalmente, mas com pouca probabilidade de não ser, ele é sutil e violento. </w:t>
      </w:r>
      <w:r w:rsidRPr="00771368">
        <w:t>Neste sentido, Norman Fairclough</w:t>
      </w:r>
      <w:r w:rsidRPr="00771368">
        <w:rPr>
          <w:sz w:val="27"/>
          <w:szCs w:val="27"/>
          <w:vertAlign w:val="superscript"/>
        </w:rPr>
        <w:t>6</w:t>
      </w:r>
      <w:r w:rsidRPr="00771368">
        <w:rPr>
          <w:sz w:val="24"/>
          <w:szCs w:val="24"/>
        </w:rPr>
        <w:t xml:space="preserve"> </w:t>
      </w:r>
      <w:r w:rsidRPr="00771368">
        <w:t>refere-se a</w:t>
      </w:r>
      <w:r w:rsidRPr="00771368">
        <w:rPr>
          <w:sz w:val="24"/>
          <w:szCs w:val="24"/>
        </w:rPr>
        <w:t>os discursos como sendo práticas sociais que estabelecem uma relação dialógica com as estruturas sociais, não somente para reproduzi-las e transformá-las, afirmando que</w:t>
      </w:r>
    </w:p>
    <w:p w:rsidR="00D24E61" w:rsidRPr="00771368" w:rsidRDefault="00D24E61">
      <w:pPr>
        <w:spacing w:line="200" w:lineRule="exact"/>
        <w:rPr>
          <w:sz w:val="20"/>
          <w:szCs w:val="20"/>
        </w:rPr>
      </w:pPr>
    </w:p>
    <w:p w:rsidR="00D24E61" w:rsidRPr="00771368" w:rsidRDefault="00D24E61">
      <w:pPr>
        <w:spacing w:line="295" w:lineRule="exact"/>
        <w:rPr>
          <w:sz w:val="20"/>
          <w:szCs w:val="20"/>
        </w:rPr>
      </w:pPr>
    </w:p>
    <w:p w:rsidR="00D24E61" w:rsidRPr="00771368" w:rsidRDefault="00D24E61">
      <w:pPr>
        <w:spacing w:line="231" w:lineRule="auto"/>
        <w:ind w:left="2280"/>
        <w:jc w:val="both"/>
        <w:rPr>
          <w:sz w:val="20"/>
          <w:szCs w:val="20"/>
        </w:rPr>
      </w:pPr>
      <w:r w:rsidRPr="00771368">
        <w:rPr>
          <w:sz w:val="20"/>
          <w:szCs w:val="20"/>
        </w:rPr>
        <w:t>O discurso contribui para a constituição de todas as dimensões da estrutura social que, direta ou indiretamente, o moldam e o restringem: suas próprias normas e convenções, como também relações, identidades e instituições que lhe são subjacentes. O discurso é uma prática, não apenas de representação do mundo, mas de significação do mundo, constituindo e construindo o mundo em significado. (2001, p. 91).</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00736" behindDoc="0" locked="0" layoutInCell="0" allowOverlap="1">
                <wp:simplePos x="0" y="0"/>
                <wp:positionH relativeFrom="column">
                  <wp:posOffset>1270</wp:posOffset>
                </wp:positionH>
                <wp:positionV relativeFrom="paragraph">
                  <wp:posOffset>469900</wp:posOffset>
                </wp:positionV>
                <wp:extent cx="1828800" cy="0"/>
                <wp:effectExtent l="10795" t="12700" r="8255" b="6350"/>
                <wp:wrapNone/>
                <wp:docPr id="22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70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37pt" to="144.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" o:allowincell="f" strokeweight=".72pt"/>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92" w:lineRule="exact"/>
        <w:rPr>
          <w:sz w:val="20"/>
          <w:szCs w:val="20"/>
        </w:rPr>
      </w:pPr>
    </w:p>
    <w:p w:rsidR="00D24E61" w:rsidRPr="00771368" w:rsidRDefault="00D24E61" w:rsidP="00FA0ABA">
      <w:pPr>
        <w:numPr>
          <w:ilvl w:val="0"/>
          <w:numId w:val="24"/>
        </w:numPr>
        <w:tabs>
          <w:tab w:val="left" w:pos="128"/>
        </w:tabs>
        <w:spacing w:line="186" w:lineRule="auto"/>
        <w:ind w:left="140" w:hanging="138"/>
        <w:jc w:val="both"/>
        <w:rPr>
          <w:sz w:val="26"/>
          <w:szCs w:val="26"/>
          <w:vertAlign w:val="superscript"/>
        </w:rPr>
      </w:pPr>
      <w:r w:rsidRPr="00771368">
        <w:rPr>
          <w:sz w:val="20"/>
          <w:szCs w:val="20"/>
        </w:rPr>
        <w:t xml:space="preserve">GRINBERG, Keila. A História nos porões dos arquivos judiciários. In. PINSKY, Carla Bassanezi; DE LUCA, Tânia Regina. </w:t>
      </w:r>
      <w:r w:rsidRPr="00771368">
        <w:rPr>
          <w:b/>
          <w:bCs/>
          <w:sz w:val="20"/>
          <w:szCs w:val="20"/>
        </w:rPr>
        <w:t>O historiador e suas fontes.</w:t>
      </w:r>
      <w:r w:rsidRPr="00771368">
        <w:rPr>
          <w:sz w:val="20"/>
          <w:szCs w:val="20"/>
        </w:rPr>
        <w:t xml:space="preserve"> São Paulo: Contexto, 2009, p. 126.</w:t>
      </w:r>
    </w:p>
    <w:p w:rsidR="00D24E61" w:rsidRPr="00771368" w:rsidRDefault="00D24E61">
      <w:pPr>
        <w:spacing w:line="51" w:lineRule="exact"/>
        <w:rPr>
          <w:sz w:val="26"/>
          <w:szCs w:val="26"/>
          <w:vertAlign w:val="superscript"/>
        </w:rPr>
      </w:pPr>
    </w:p>
    <w:p w:rsidR="00D24E61" w:rsidRPr="00771368" w:rsidRDefault="00D24E61" w:rsidP="00FA0ABA">
      <w:pPr>
        <w:numPr>
          <w:ilvl w:val="0"/>
          <w:numId w:val="24"/>
        </w:numPr>
        <w:tabs>
          <w:tab w:val="left" w:pos="152"/>
        </w:tabs>
        <w:spacing w:line="186" w:lineRule="auto"/>
        <w:ind w:left="140" w:hanging="138"/>
        <w:jc w:val="both"/>
        <w:rPr>
          <w:sz w:val="26"/>
          <w:szCs w:val="26"/>
          <w:vertAlign w:val="superscript"/>
        </w:rPr>
      </w:pPr>
      <w:r w:rsidRPr="00771368">
        <w:rPr>
          <w:sz w:val="20"/>
          <w:szCs w:val="20"/>
        </w:rPr>
        <w:t xml:space="preserve">FOUCAULT, Michel. </w:t>
      </w:r>
      <w:r w:rsidRPr="00771368">
        <w:rPr>
          <w:b/>
          <w:bCs/>
          <w:sz w:val="20"/>
          <w:szCs w:val="20"/>
        </w:rPr>
        <w:t>A ordem do discurso:</w:t>
      </w:r>
      <w:r w:rsidRPr="00771368">
        <w:rPr>
          <w:sz w:val="20"/>
          <w:szCs w:val="20"/>
        </w:rPr>
        <w:t xml:space="preserve"> aula inaugural no Collegé de France, pronunciada em 2 de dezembro de 1970. 20ª ed. São Paulo: Loyola, 2010, p. 8-9.</w:t>
      </w:r>
    </w:p>
    <w:p w:rsidR="00D24E61" w:rsidRPr="00771368" w:rsidRDefault="00D24E61">
      <w:pPr>
        <w:spacing w:line="1" w:lineRule="exact"/>
        <w:rPr>
          <w:sz w:val="26"/>
          <w:szCs w:val="26"/>
          <w:vertAlign w:val="superscript"/>
        </w:rPr>
      </w:pPr>
    </w:p>
    <w:p w:rsidR="00D24E61" w:rsidRPr="00771368" w:rsidRDefault="00D24E61" w:rsidP="00FA0ABA">
      <w:pPr>
        <w:numPr>
          <w:ilvl w:val="0"/>
          <w:numId w:val="24"/>
        </w:numPr>
        <w:tabs>
          <w:tab w:val="left" w:pos="120"/>
        </w:tabs>
        <w:spacing w:line="184" w:lineRule="auto"/>
        <w:ind w:left="120" w:hanging="118"/>
        <w:jc w:val="both"/>
        <w:rPr>
          <w:sz w:val="26"/>
          <w:szCs w:val="26"/>
          <w:vertAlign w:val="superscript"/>
        </w:rPr>
      </w:pPr>
      <w:r w:rsidRPr="00771368">
        <w:rPr>
          <w:sz w:val="20"/>
          <w:szCs w:val="20"/>
        </w:rPr>
        <w:t xml:space="preserve">FAIRCLOUGH, Norman. </w:t>
      </w:r>
      <w:r w:rsidRPr="00771368">
        <w:rPr>
          <w:b/>
          <w:bCs/>
          <w:sz w:val="20"/>
          <w:szCs w:val="20"/>
        </w:rPr>
        <w:t>Discurso e mudança social.</w:t>
      </w:r>
      <w:r w:rsidRPr="00771368">
        <w:rPr>
          <w:sz w:val="20"/>
          <w:szCs w:val="20"/>
        </w:rPr>
        <w:t xml:space="preserve"> Brasília: UnB, 2001, p. 91.</w:t>
      </w:r>
    </w:p>
    <w:p w:rsidR="00D24E61" w:rsidRPr="00771368" w:rsidRDefault="00D24E61">
      <w:pPr>
        <w:spacing w:line="200" w:lineRule="exact"/>
        <w:rPr>
          <w:sz w:val="20"/>
          <w:szCs w:val="20"/>
        </w:rPr>
      </w:pPr>
    </w:p>
    <w:p w:rsidR="00D24E61" w:rsidRPr="00771368" w:rsidRDefault="00D24E61">
      <w:pPr>
        <w:spacing w:line="253" w:lineRule="exact"/>
        <w:rPr>
          <w:sz w:val="20"/>
          <w:szCs w:val="20"/>
        </w:rPr>
      </w:pPr>
    </w:p>
    <w:p w:rsidR="00D24E61" w:rsidRPr="00771368" w:rsidRDefault="00D24E61">
      <w:pPr>
        <w:spacing w:line="308" w:lineRule="exact"/>
        <w:rPr>
          <w:sz w:val="20"/>
          <w:szCs w:val="20"/>
        </w:rPr>
      </w:pPr>
    </w:p>
    <w:p w:rsidR="00D24E61" w:rsidRPr="00771368" w:rsidRDefault="00D24E61">
      <w:pPr>
        <w:spacing w:line="354" w:lineRule="auto"/>
        <w:ind w:firstLine="708"/>
        <w:jc w:val="both"/>
        <w:rPr>
          <w:sz w:val="20"/>
          <w:szCs w:val="20"/>
        </w:rPr>
      </w:pPr>
      <w:r w:rsidRPr="00771368">
        <w:t>Ao destacar que “o discurso constitui a sociedade”, Fairclough (2001), diz que se pode ter clareza de que o homem vive num meio em que o discurso não só reflete e representa a sociedade, mas também cria sentidos, constrói e constitui a mesma. Conforme o autor, o discurso não apenas constrói identidade, mas também contribui para os processos de mudança cultural, nos quais as identidades sociais são rearticuladas, reconstruídas e redefinidas. As diversas experiências sociais e culturais vivenciadas ao logo da história influenciaram nas mudanças do comportamento humano, muitas vezes, contribuindo para a formação das desigualdades sociais. Desigualdades que podem ser percebidas no discurso dos articuladores dos processos-crime, pois discorre concomitantemente sobre os sujeitos sociais vistos como sendo mais vulneráveis, ou seja, aqueles que são percebidos como carentes de saber o que ajuda a identificar as formas de controle e dominação sobre a sociedade.</w:t>
      </w:r>
    </w:p>
    <w:p w:rsidR="00D24E61" w:rsidRPr="00771368" w:rsidRDefault="00D24E61">
      <w:pPr>
        <w:spacing w:line="68" w:lineRule="exact"/>
        <w:rPr>
          <w:sz w:val="20"/>
          <w:szCs w:val="20"/>
        </w:rPr>
      </w:pPr>
    </w:p>
    <w:p w:rsidR="00D24E61" w:rsidRPr="00771368" w:rsidRDefault="00D24E61">
      <w:pPr>
        <w:spacing w:line="343" w:lineRule="auto"/>
        <w:ind w:firstLine="708"/>
        <w:jc w:val="both"/>
        <w:rPr>
          <w:sz w:val="20"/>
          <w:szCs w:val="20"/>
        </w:rPr>
      </w:pPr>
      <w:r w:rsidRPr="00771368">
        <w:rPr>
          <w:sz w:val="24"/>
          <w:szCs w:val="24"/>
        </w:rPr>
        <w:t>Dominação que recaí, principalmente, sobre os grupos denominados populares, pois estando à margem da sociedade formavam as ditas classes perigosas que conforme Martha de Abreu Esteves</w:t>
      </w:r>
      <w:r w:rsidRPr="00771368">
        <w:rPr>
          <w:sz w:val="32"/>
          <w:szCs w:val="32"/>
          <w:vertAlign w:val="superscript"/>
        </w:rPr>
        <w:t>7</w:t>
      </w:r>
      <w:r w:rsidRPr="00771368">
        <w:rPr>
          <w:sz w:val="24"/>
          <w:szCs w:val="24"/>
        </w:rPr>
        <w:t xml:space="preserve"> “deviam ser bem punidas, através da discriminação/marginalização de seus comportamentos e valores morais”. A discriminação serve de intervenção, visto que, objetiva com o seu controle evitar o contágio das boas famílias. O Estado também colaborou com a marginalização das denominadas classes perigosas quando inibia e/ou proibia o casamento de mulheres não higienizadas como meio de evitar o surgimento de cidadãos desordeiros e vagabundos. Para compreender como ocorreram as formas de controle e/ou dominação da sociedade buscamos situar historicamente o discurso do poder e saber sobre a questão da mulher, com relação ao grau de proximidade com o conjunto das formações discursivas presentes e percebidas como “verdadeiras” no contexto que está sendo analisado.</w:t>
      </w:r>
    </w:p>
    <w:p w:rsidR="00D24E61" w:rsidRPr="00771368" w:rsidRDefault="00D24E61">
      <w:pPr>
        <w:spacing w:line="28" w:lineRule="exact"/>
        <w:rPr>
          <w:sz w:val="20"/>
          <w:szCs w:val="20"/>
        </w:rPr>
      </w:pPr>
    </w:p>
    <w:p w:rsidR="00D24E61" w:rsidRPr="00771368" w:rsidRDefault="00D24E61">
      <w:pPr>
        <w:spacing w:line="291" w:lineRule="auto"/>
        <w:ind w:firstLine="708"/>
        <w:jc w:val="both"/>
        <w:rPr>
          <w:sz w:val="20"/>
          <w:szCs w:val="20"/>
        </w:rPr>
      </w:pPr>
      <w:r w:rsidRPr="00771368">
        <w:rPr>
          <w:sz w:val="24"/>
          <w:szCs w:val="24"/>
        </w:rPr>
        <w:t>Na historiografia</w:t>
      </w:r>
      <w:r w:rsidRPr="00771368">
        <w:rPr>
          <w:sz w:val="32"/>
          <w:szCs w:val="32"/>
          <w:vertAlign w:val="superscript"/>
        </w:rPr>
        <w:t>8</w:t>
      </w:r>
      <w:r w:rsidRPr="00771368">
        <w:rPr>
          <w:sz w:val="24"/>
          <w:szCs w:val="24"/>
        </w:rPr>
        <w:t xml:space="preserve"> brasileira identifica-se uma vasta produção a temática em questão que também não passou despercebida, em Caxias do Sul. Neste sentido, podemos apontar que, de acordo com a documentação, o Ministério Público</w:t>
      </w:r>
      <w:r w:rsidRPr="00771368">
        <w:rPr>
          <w:sz w:val="32"/>
          <w:szCs w:val="32"/>
          <w:vertAlign w:val="superscript"/>
        </w:rPr>
        <w:t>9</w:t>
      </w:r>
      <w:r w:rsidRPr="00771368">
        <w:rPr>
          <w:sz w:val="24"/>
          <w:szCs w:val="24"/>
        </w:rPr>
        <w:t xml:space="preserve"> recebeu, em 8 de abril de 1942, o Inquérito Policial</w:t>
      </w:r>
      <w:r w:rsidRPr="00771368">
        <w:rPr>
          <w:sz w:val="32"/>
          <w:szCs w:val="32"/>
          <w:vertAlign w:val="superscript"/>
        </w:rPr>
        <w:t>10</w:t>
      </w:r>
      <w:r w:rsidRPr="00771368">
        <w:rPr>
          <w:sz w:val="24"/>
          <w:szCs w:val="24"/>
        </w:rPr>
        <w:t xml:space="preserve"> que denunciava Joaquim</w:t>
      </w:r>
      <w:r w:rsidRPr="00771368">
        <w:rPr>
          <w:sz w:val="32"/>
          <w:szCs w:val="32"/>
          <w:vertAlign w:val="superscript"/>
        </w:rPr>
        <w:t>11</w:t>
      </w:r>
      <w:r w:rsidRPr="00771368">
        <w:rPr>
          <w:sz w:val="24"/>
          <w:szCs w:val="24"/>
        </w:rPr>
        <w:t>. Joaquim foi apresentado como sendo</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01760" behindDoc="0" locked="0" layoutInCell="0" allowOverlap="1">
                <wp:simplePos x="0" y="0"/>
                <wp:positionH relativeFrom="column">
                  <wp:posOffset>1270</wp:posOffset>
                </wp:positionH>
                <wp:positionV relativeFrom="paragraph">
                  <wp:posOffset>187325</wp:posOffset>
                </wp:positionV>
                <wp:extent cx="1828800" cy="0"/>
                <wp:effectExtent l="10795" t="6350" r="8255" b="12700"/>
                <wp:wrapNone/>
                <wp:docPr id="22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70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4.75pt" to="144.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ne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" o:allowincell="f" strokeweight=".72pt"/>
            </w:pict>
          </mc:Fallback>
        </mc:AlternateContent>
      </w:r>
    </w:p>
    <w:p w:rsidR="00D24E61" w:rsidRPr="00771368" w:rsidRDefault="00D24E61">
      <w:pPr>
        <w:spacing w:line="246" w:lineRule="exact"/>
        <w:rPr>
          <w:sz w:val="20"/>
          <w:szCs w:val="20"/>
        </w:rPr>
      </w:pPr>
    </w:p>
    <w:p w:rsidR="00D24E61" w:rsidRPr="00771368" w:rsidRDefault="00D24E61" w:rsidP="009D5D08">
      <w:pPr>
        <w:numPr>
          <w:ilvl w:val="0"/>
          <w:numId w:val="1"/>
        </w:numPr>
        <w:tabs>
          <w:tab w:val="left" w:pos="121"/>
        </w:tabs>
        <w:spacing w:line="186" w:lineRule="auto"/>
        <w:ind w:left="140" w:hanging="138"/>
        <w:jc w:val="both"/>
        <w:rPr>
          <w:sz w:val="26"/>
          <w:szCs w:val="26"/>
          <w:vertAlign w:val="superscript"/>
        </w:rPr>
      </w:pPr>
      <w:r w:rsidRPr="00771368">
        <w:rPr>
          <w:sz w:val="20"/>
          <w:szCs w:val="20"/>
        </w:rPr>
        <w:t xml:space="preserve">ESTEVES, M. A. de. </w:t>
      </w:r>
      <w:r w:rsidRPr="00771368">
        <w:rPr>
          <w:b/>
          <w:bCs/>
          <w:sz w:val="20"/>
          <w:szCs w:val="20"/>
        </w:rPr>
        <w:t>Meninas perdidas:</w:t>
      </w:r>
      <w:r w:rsidRPr="00771368">
        <w:rPr>
          <w:sz w:val="20"/>
          <w:szCs w:val="20"/>
        </w:rPr>
        <w:t xml:space="preserve"> os populares e o cotidiano no Rio de Janeiro da “Belle Époque”. Rio de Janeiro: Paz e Terra, 1989, p. 31.</w:t>
      </w:r>
    </w:p>
    <w:p w:rsidR="00D24E61" w:rsidRPr="00771368" w:rsidRDefault="00D24E61">
      <w:pPr>
        <w:spacing w:line="50" w:lineRule="exact"/>
        <w:rPr>
          <w:sz w:val="26"/>
          <w:szCs w:val="26"/>
          <w:vertAlign w:val="superscript"/>
        </w:rPr>
      </w:pPr>
    </w:p>
    <w:p w:rsidR="00D24E61" w:rsidRPr="00771368" w:rsidRDefault="00D24E61" w:rsidP="009D5D08">
      <w:pPr>
        <w:numPr>
          <w:ilvl w:val="0"/>
          <w:numId w:val="1"/>
        </w:numPr>
        <w:tabs>
          <w:tab w:val="left" w:pos="121"/>
        </w:tabs>
        <w:spacing w:line="185" w:lineRule="auto"/>
        <w:ind w:left="140" w:hanging="138"/>
        <w:jc w:val="both"/>
        <w:rPr>
          <w:sz w:val="26"/>
          <w:szCs w:val="26"/>
          <w:vertAlign w:val="superscript"/>
        </w:rPr>
      </w:pPr>
      <w:r w:rsidRPr="00771368">
        <w:rPr>
          <w:sz w:val="20"/>
          <w:szCs w:val="20"/>
        </w:rPr>
        <w:t>Martha Esteves (1989); Rosa Maria Barboza de Araújo (1993); Sueann Caulfield (2000); Carlos Martins Junior (2005); Ismael A. Vannini (2008); Guilherme Rocha Sartori (2011); entre outras (os).</w:t>
      </w:r>
    </w:p>
    <w:p w:rsidR="00D24E61" w:rsidRPr="00771368" w:rsidRDefault="00D24E61">
      <w:pPr>
        <w:spacing w:line="50" w:lineRule="exact"/>
        <w:rPr>
          <w:sz w:val="26"/>
          <w:szCs w:val="26"/>
          <w:vertAlign w:val="superscript"/>
        </w:rPr>
      </w:pPr>
    </w:p>
    <w:p w:rsidR="00D24E61" w:rsidRPr="00771368" w:rsidRDefault="00D24E61" w:rsidP="009D5D08">
      <w:pPr>
        <w:numPr>
          <w:ilvl w:val="0"/>
          <w:numId w:val="1"/>
        </w:numPr>
        <w:tabs>
          <w:tab w:val="left" w:pos="123"/>
        </w:tabs>
        <w:spacing w:line="217" w:lineRule="auto"/>
        <w:ind w:left="140" w:hanging="138"/>
        <w:jc w:val="both"/>
        <w:rPr>
          <w:sz w:val="26"/>
          <w:szCs w:val="26"/>
          <w:vertAlign w:val="superscript"/>
        </w:rPr>
      </w:pPr>
      <w:r w:rsidRPr="00771368">
        <w:rPr>
          <w:sz w:val="20"/>
          <w:szCs w:val="20"/>
        </w:rPr>
        <w:t>O Ministério Público, via de regra, vale-se do Inquérito Policial, que é a peça informativa, na qual, ele buscará os elementos necessários para fundamentar a denúncia. E esta devera conter, sob pena de se tornar inepta, “a exposição do fato criminoso, com todas as suas circunstâncias, a qualificação do acusado ou esclarecimento pelos quais se possa identificá-lo, a classificação do crime e, quando necessário, o rol das testemunhas”. (Art. 41 do Código de Processo Penal).</w:t>
      </w:r>
    </w:p>
    <w:p w:rsidR="00D24E61" w:rsidRPr="00771368" w:rsidRDefault="00D24E61">
      <w:pPr>
        <w:spacing w:line="1" w:lineRule="exact"/>
        <w:rPr>
          <w:sz w:val="26"/>
          <w:szCs w:val="26"/>
          <w:vertAlign w:val="superscript"/>
        </w:rPr>
      </w:pPr>
    </w:p>
    <w:p w:rsidR="00D24E61" w:rsidRPr="00771368" w:rsidRDefault="00D24E61" w:rsidP="009D5D08">
      <w:pPr>
        <w:numPr>
          <w:ilvl w:val="0"/>
          <w:numId w:val="1"/>
        </w:numPr>
        <w:tabs>
          <w:tab w:val="left" w:pos="180"/>
        </w:tabs>
        <w:spacing w:line="183" w:lineRule="auto"/>
        <w:ind w:left="180" w:hanging="178"/>
        <w:jc w:val="both"/>
        <w:rPr>
          <w:sz w:val="26"/>
          <w:szCs w:val="26"/>
          <w:vertAlign w:val="superscript"/>
        </w:rPr>
      </w:pPr>
      <w:r w:rsidRPr="00771368">
        <w:rPr>
          <w:sz w:val="20"/>
          <w:szCs w:val="20"/>
        </w:rPr>
        <w:t>Fonte - Acervo do CMRJU/IMHC/UCS, caixa 02 D, processo 04.</w:t>
      </w:r>
    </w:p>
    <w:p w:rsidR="00D24E61" w:rsidRPr="00771368" w:rsidRDefault="00D24E61">
      <w:pPr>
        <w:spacing w:line="210" w:lineRule="exact"/>
        <w:rPr>
          <w:sz w:val="20"/>
          <w:szCs w:val="20"/>
        </w:rPr>
      </w:pPr>
    </w:p>
    <w:p w:rsidR="00D24E61" w:rsidRPr="00771368" w:rsidRDefault="00D24E61">
      <w:pPr>
        <w:spacing w:line="313" w:lineRule="exact"/>
        <w:rPr>
          <w:sz w:val="20"/>
          <w:szCs w:val="20"/>
        </w:rPr>
      </w:pPr>
    </w:p>
    <w:p w:rsidR="00D24E61" w:rsidRPr="00771368" w:rsidRDefault="00D24E61">
      <w:pPr>
        <w:spacing w:line="325" w:lineRule="auto"/>
        <w:jc w:val="both"/>
        <w:rPr>
          <w:sz w:val="20"/>
          <w:szCs w:val="20"/>
        </w:rPr>
      </w:pPr>
      <w:r w:rsidRPr="00771368">
        <w:rPr>
          <w:sz w:val="24"/>
          <w:szCs w:val="24"/>
        </w:rPr>
        <w:t>brasileiro, solteiro, 23 anos de idade, pobre e funcionário público por ter deflorado Lili que se dizia ser brasileira, solteira, pobre</w:t>
      </w:r>
      <w:r w:rsidRPr="00771368">
        <w:rPr>
          <w:sz w:val="32"/>
          <w:szCs w:val="32"/>
          <w:vertAlign w:val="superscript"/>
        </w:rPr>
        <w:t>12</w:t>
      </w:r>
      <w:r w:rsidRPr="00771368">
        <w:rPr>
          <w:sz w:val="24"/>
          <w:szCs w:val="24"/>
        </w:rPr>
        <w:t>, doméstica, 16 anos de idade e sabia ler e escrever. Revelou também parte do histórico de vida apontando que Lili, com sete meses de idade, havia sido entregue pela família biológica para ser criada por outra família pertencente à elite caxiense. O que foi interpretado como sendo da nova família de Lili a responsabilidade moral e social de criá-la de acordo com as normas que vigoravam na época. A mãe de criação ao ser comunicada sobre a desonra de Lili dirigiu-se a Delegacia de Polícia para denunciar</w:t>
      </w:r>
      <w:r w:rsidRPr="00771368">
        <w:rPr>
          <w:sz w:val="32"/>
          <w:szCs w:val="32"/>
          <w:vertAlign w:val="superscript"/>
        </w:rPr>
        <w:t>13</w:t>
      </w:r>
      <w:r w:rsidRPr="00771368">
        <w:rPr>
          <w:sz w:val="24"/>
          <w:szCs w:val="24"/>
        </w:rPr>
        <w:t xml:space="preserve"> Joaquim afirmando que</w:t>
      </w:r>
    </w:p>
    <w:p w:rsidR="00D24E61" w:rsidRPr="00771368" w:rsidRDefault="00D24E61">
      <w:pPr>
        <w:spacing w:line="69" w:lineRule="exact"/>
        <w:rPr>
          <w:sz w:val="20"/>
          <w:szCs w:val="20"/>
        </w:rPr>
      </w:pPr>
    </w:p>
    <w:p w:rsidR="00D24E61" w:rsidRPr="00771368" w:rsidRDefault="00D24E61">
      <w:pPr>
        <w:spacing w:line="231" w:lineRule="auto"/>
        <w:ind w:left="2280"/>
        <w:jc w:val="both"/>
        <w:rPr>
          <w:sz w:val="20"/>
          <w:szCs w:val="20"/>
        </w:rPr>
      </w:pPr>
      <w:r w:rsidRPr="00771368">
        <w:t>Joaquim visitava Lili e entretinham-se em longas horas conversando na porta da casa desta. Em uma determinada noite do mês de dezembro, mais ou menos, estavam os dois conversando quando começou chover, fazendo com que se abrigassem no corredor da casa. Ali o denunciado abraçou-se com Lili, beijando-a e mantiveram cópula carnal, deflorando-a. O ato se repetiu por umas quatro vezes, sempre com promessas de casamento. (p. 2).</w:t>
      </w:r>
    </w:p>
    <w:p w:rsidR="00D24E61" w:rsidRPr="00771368" w:rsidRDefault="00D24E61">
      <w:pPr>
        <w:spacing w:line="313" w:lineRule="exact"/>
        <w:rPr>
          <w:sz w:val="20"/>
          <w:szCs w:val="20"/>
        </w:rPr>
      </w:pPr>
    </w:p>
    <w:p w:rsidR="00D24E61" w:rsidRPr="00771368" w:rsidRDefault="00D24E61">
      <w:pPr>
        <w:spacing w:line="345" w:lineRule="auto"/>
        <w:ind w:firstLine="708"/>
        <w:jc w:val="both"/>
        <w:rPr>
          <w:sz w:val="20"/>
          <w:szCs w:val="20"/>
        </w:rPr>
      </w:pPr>
      <w:r w:rsidRPr="00771368">
        <w:rPr>
          <w:sz w:val="24"/>
          <w:szCs w:val="24"/>
        </w:rPr>
        <w:t>Os desdobramentos da denúncia, que foi transformada em Ação Penal Pública, possibilitou descortinar os sentidos implícitos à margem do normativo e do institucional. Ao desocultar as possibilidades de ser dos sujeitos envolvidos permitem conforme Maria Odila L. S. Dias</w:t>
      </w:r>
      <w:r w:rsidRPr="00771368">
        <w:rPr>
          <w:sz w:val="32"/>
          <w:szCs w:val="32"/>
          <w:vertAlign w:val="superscript"/>
        </w:rPr>
        <w:t>14</w:t>
      </w:r>
      <w:r w:rsidRPr="00771368">
        <w:rPr>
          <w:sz w:val="24"/>
          <w:szCs w:val="24"/>
        </w:rPr>
        <w:t xml:space="preserve"> conhecer um pouco mais da “história vivida por toda gente, é lugar de concretude, temporalidades múltiplas, diferenças várias, lugar de relações de poder e também de resistência”. Eles passaram a vivenciar costumes ímpares que foram sendo, gradativamente, rompidos por tentarem contra os ditos bons-costumes. Os bons-costumes caxienses também estavam sendo corrompidos e/ou alterados com os avanços trazidos pela modernidade como, por exemplo, com a chegada, em 13 de maio de 1913, da energia elétrica que permitiu a instalação de salas de cinema, cafés, </w:t>
      </w:r>
      <w:r w:rsidRPr="00771368">
        <w:rPr>
          <w:i/>
          <w:iCs/>
          <w:sz w:val="24"/>
          <w:szCs w:val="24"/>
        </w:rPr>
        <w:t>bombonier</w:t>
      </w:r>
      <w:r w:rsidRPr="00771368">
        <w:rPr>
          <w:sz w:val="24"/>
          <w:szCs w:val="24"/>
        </w:rPr>
        <w:t>, teatros, etc. Ambientes que ajudavam a criar tensões sociais entre masculino e feminino. Práticas que os detentores do saber científico e do poder criminológico passaram a recriminar e marginalizar. “Censuras” advindas das</w:t>
      </w:r>
    </w:p>
    <w:p w:rsidR="00D24E61" w:rsidRPr="00771368" w:rsidRDefault="00013211">
      <w:pPr>
        <w:spacing w:line="208" w:lineRule="exact"/>
        <w:rPr>
          <w:sz w:val="20"/>
          <w:szCs w:val="20"/>
        </w:rPr>
      </w:pPr>
      <w:r>
        <w:rPr>
          <w:noProof/>
          <w:sz w:val="20"/>
          <w:szCs w:val="20"/>
        </w:rPr>
        <mc:AlternateContent>
          <mc:Choice Requires="wps">
            <w:drawing>
              <wp:anchor distT="0" distB="0" distL="0" distR="0" simplePos="0" relativeHeight="251702784" behindDoc="0" locked="0" layoutInCell="0" allowOverlap="1">
                <wp:simplePos x="0" y="0"/>
                <wp:positionH relativeFrom="column">
                  <wp:posOffset>1270</wp:posOffset>
                </wp:positionH>
                <wp:positionV relativeFrom="paragraph">
                  <wp:posOffset>35560</wp:posOffset>
                </wp:positionV>
                <wp:extent cx="5792470" cy="0"/>
                <wp:effectExtent l="10795" t="6985" r="6985" b="12065"/>
                <wp:wrapNone/>
                <wp:docPr id="22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24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70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8pt" to="456.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s2FgIAACw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" o:allowincell="f" strokeweight=".72pt"/>
            </w:pict>
          </mc:Fallback>
        </mc:AlternateContent>
      </w:r>
    </w:p>
    <w:p w:rsidR="00D24E61" w:rsidRPr="00771368" w:rsidRDefault="00D24E61" w:rsidP="00FA0ABA">
      <w:pPr>
        <w:numPr>
          <w:ilvl w:val="0"/>
          <w:numId w:val="26"/>
        </w:numPr>
        <w:tabs>
          <w:tab w:val="left" w:pos="202"/>
        </w:tabs>
        <w:spacing w:line="186" w:lineRule="auto"/>
        <w:ind w:left="240" w:hanging="238"/>
        <w:jc w:val="both"/>
        <w:rPr>
          <w:sz w:val="26"/>
          <w:szCs w:val="26"/>
          <w:vertAlign w:val="superscript"/>
        </w:rPr>
      </w:pPr>
      <w:r w:rsidRPr="00771368">
        <w:rPr>
          <w:sz w:val="20"/>
          <w:szCs w:val="20"/>
        </w:rPr>
        <w:t>Por questões éticas omitimos os nomes dos envolvidos no processo e usamos pseudônimos. Optamos por usar os nomes dos personagens de Drummond por haver alguma semelhança entre a poesia e o processo analisado.</w:t>
      </w:r>
    </w:p>
    <w:p w:rsidR="00D24E61" w:rsidRPr="00771368" w:rsidRDefault="00D24E61">
      <w:pPr>
        <w:spacing w:line="50" w:lineRule="exact"/>
        <w:rPr>
          <w:sz w:val="26"/>
          <w:szCs w:val="26"/>
          <w:vertAlign w:val="superscript"/>
        </w:rPr>
      </w:pPr>
    </w:p>
    <w:p w:rsidR="00D24E61" w:rsidRPr="00771368" w:rsidRDefault="00D24E61" w:rsidP="00FA0ABA">
      <w:pPr>
        <w:numPr>
          <w:ilvl w:val="0"/>
          <w:numId w:val="26"/>
        </w:numPr>
        <w:tabs>
          <w:tab w:val="left" w:pos="218"/>
        </w:tabs>
        <w:spacing w:line="211" w:lineRule="auto"/>
        <w:ind w:left="240" w:hanging="238"/>
        <w:jc w:val="both"/>
        <w:rPr>
          <w:sz w:val="26"/>
          <w:szCs w:val="26"/>
          <w:vertAlign w:val="superscript"/>
        </w:rPr>
      </w:pPr>
      <w:r w:rsidRPr="00771368">
        <w:rPr>
          <w:sz w:val="20"/>
          <w:szCs w:val="20"/>
        </w:rPr>
        <w:t xml:space="preserve">O </w:t>
      </w:r>
      <w:r w:rsidRPr="00771368">
        <w:rPr>
          <w:i/>
          <w:iCs/>
          <w:sz w:val="20"/>
          <w:szCs w:val="20"/>
        </w:rPr>
        <w:t>estado de pobreza</w:t>
      </w:r>
      <w:r w:rsidRPr="00771368">
        <w:rPr>
          <w:sz w:val="20"/>
          <w:szCs w:val="20"/>
        </w:rPr>
        <w:t xml:space="preserve"> informado pela mãe de criação de Lili no momento da denúncia lhe deu o direito de receber do Estado defesa gratuita através da Ação Penal Pública. OLIVEIRA, Juarêz Cordeiro de. </w:t>
      </w:r>
      <w:r w:rsidRPr="00771368">
        <w:rPr>
          <w:b/>
          <w:bCs/>
          <w:sz w:val="20"/>
          <w:szCs w:val="20"/>
        </w:rPr>
        <w:t>Dos crimes</w:t>
      </w:r>
      <w:r w:rsidRPr="00771368">
        <w:rPr>
          <w:sz w:val="20"/>
          <w:szCs w:val="20"/>
        </w:rPr>
        <w:t xml:space="preserve"> </w:t>
      </w:r>
      <w:r w:rsidRPr="00771368">
        <w:rPr>
          <w:b/>
          <w:bCs/>
          <w:sz w:val="20"/>
          <w:szCs w:val="20"/>
        </w:rPr>
        <w:t xml:space="preserve">contra os costumes: </w:t>
      </w:r>
      <w:r w:rsidRPr="00771368">
        <w:rPr>
          <w:sz w:val="20"/>
          <w:szCs w:val="20"/>
        </w:rPr>
        <w:t>legislação anotada, jurisprudência na íntegra, prática forense. São Paulo: Éfeta, 1996. p.</w:t>
      </w:r>
      <w:r w:rsidRPr="00771368">
        <w:rPr>
          <w:b/>
          <w:bCs/>
          <w:sz w:val="20"/>
          <w:szCs w:val="20"/>
        </w:rPr>
        <w:t xml:space="preserve"> </w:t>
      </w:r>
      <w:r w:rsidRPr="00771368">
        <w:rPr>
          <w:sz w:val="20"/>
          <w:szCs w:val="20"/>
        </w:rPr>
        <w:t>384.</w:t>
      </w:r>
    </w:p>
    <w:p w:rsidR="00D24E61" w:rsidRPr="00771368" w:rsidRDefault="00D24E61">
      <w:pPr>
        <w:spacing w:line="50" w:lineRule="exact"/>
        <w:rPr>
          <w:sz w:val="26"/>
          <w:szCs w:val="26"/>
          <w:vertAlign w:val="superscript"/>
        </w:rPr>
      </w:pPr>
    </w:p>
    <w:p w:rsidR="00D24E61" w:rsidRPr="00771368" w:rsidRDefault="00D24E61" w:rsidP="00FA0ABA">
      <w:pPr>
        <w:numPr>
          <w:ilvl w:val="0"/>
          <w:numId w:val="26"/>
        </w:numPr>
        <w:tabs>
          <w:tab w:val="left" w:pos="259"/>
        </w:tabs>
        <w:spacing w:line="202" w:lineRule="auto"/>
        <w:ind w:left="240" w:hanging="238"/>
        <w:jc w:val="both"/>
        <w:rPr>
          <w:sz w:val="26"/>
          <w:szCs w:val="26"/>
          <w:vertAlign w:val="superscript"/>
        </w:rPr>
      </w:pPr>
      <w:r w:rsidRPr="00771368">
        <w:rPr>
          <w:sz w:val="20"/>
          <w:szCs w:val="20"/>
        </w:rPr>
        <w:t>A denúncia constitui o instrumento utilizado pelo órgão do Ministério Público para invocar a tutela jurisdicional do Estado, isto é, para aplicação do Direito Penal objetivo aos casos de Ação Penal Pública. FURTADO, Otônio Ribeiro. Manual de prática processual penal. Belo Horizonte. Del Rey, 1996, 2ª ed., p. 45.</w:t>
      </w:r>
    </w:p>
    <w:p w:rsidR="00D24E61" w:rsidRPr="00771368" w:rsidRDefault="00D24E61">
      <w:pPr>
        <w:spacing w:line="52" w:lineRule="exact"/>
        <w:rPr>
          <w:sz w:val="26"/>
          <w:szCs w:val="26"/>
          <w:vertAlign w:val="superscript"/>
        </w:rPr>
      </w:pPr>
    </w:p>
    <w:p w:rsidR="00D24E61" w:rsidRPr="00771368" w:rsidRDefault="00D24E61" w:rsidP="00FA0ABA">
      <w:pPr>
        <w:numPr>
          <w:ilvl w:val="0"/>
          <w:numId w:val="26"/>
        </w:numPr>
        <w:tabs>
          <w:tab w:val="left" w:pos="250"/>
        </w:tabs>
        <w:spacing w:line="185" w:lineRule="auto"/>
        <w:ind w:left="240" w:hanging="238"/>
        <w:jc w:val="both"/>
        <w:rPr>
          <w:sz w:val="26"/>
          <w:szCs w:val="26"/>
          <w:vertAlign w:val="superscript"/>
        </w:rPr>
      </w:pPr>
      <w:r w:rsidRPr="00771368">
        <w:rPr>
          <w:sz w:val="20"/>
          <w:szCs w:val="20"/>
        </w:rPr>
        <w:t>DIAS, Maria Odila L. S. Novas subjetividades na pesquisa histórica feminista: uma hermenêutica das diferenças. Revista Estudos Femininos, Rio de Janeiro, 1994, p. 373-382. Número especial.</w:t>
      </w:r>
    </w:p>
    <w:p w:rsidR="00D24E61" w:rsidRPr="00771368" w:rsidRDefault="00D24E61">
      <w:pPr>
        <w:spacing w:line="211" w:lineRule="exact"/>
        <w:rPr>
          <w:sz w:val="20"/>
          <w:szCs w:val="20"/>
        </w:rPr>
      </w:pPr>
    </w:p>
    <w:p w:rsidR="00D24E61" w:rsidRPr="00771368" w:rsidRDefault="00D24E61">
      <w:pPr>
        <w:spacing w:line="313" w:lineRule="exact"/>
        <w:rPr>
          <w:sz w:val="20"/>
          <w:szCs w:val="20"/>
        </w:rPr>
      </w:pPr>
    </w:p>
    <w:p w:rsidR="00D24E61" w:rsidRPr="00771368" w:rsidRDefault="00D24E61">
      <w:pPr>
        <w:spacing w:line="316" w:lineRule="auto"/>
        <w:jc w:val="both"/>
        <w:rPr>
          <w:sz w:val="20"/>
          <w:szCs w:val="20"/>
        </w:rPr>
      </w:pPr>
      <w:r w:rsidRPr="00771368">
        <w:rPr>
          <w:sz w:val="24"/>
          <w:szCs w:val="24"/>
        </w:rPr>
        <w:t>transformações que poderiam atingir o comportamento feminino em função do afrouxamento dos costumes e da maior circulação das mulheres na cidade. Neste sentido, a afirmação de Margareth Rago</w:t>
      </w:r>
      <w:r w:rsidRPr="00771368">
        <w:rPr>
          <w:sz w:val="32"/>
          <w:szCs w:val="32"/>
          <w:vertAlign w:val="superscript"/>
        </w:rPr>
        <w:t>15</w:t>
      </w:r>
      <w:r w:rsidRPr="00771368">
        <w:rPr>
          <w:sz w:val="24"/>
          <w:szCs w:val="24"/>
        </w:rPr>
        <w:t>, corrobora quando ela diz que a mulher passou de ociosa à fútil e potencialmente prostituta.</w:t>
      </w:r>
    </w:p>
    <w:p w:rsidR="00D24E61" w:rsidRPr="00771368" w:rsidRDefault="00D24E61">
      <w:pPr>
        <w:spacing w:line="81" w:lineRule="exact"/>
        <w:rPr>
          <w:sz w:val="20"/>
          <w:szCs w:val="20"/>
        </w:rPr>
      </w:pPr>
    </w:p>
    <w:p w:rsidR="00D24E61" w:rsidRPr="00771368" w:rsidRDefault="00D24E61">
      <w:pPr>
        <w:spacing w:line="338" w:lineRule="auto"/>
        <w:ind w:firstLine="708"/>
        <w:jc w:val="both"/>
        <w:rPr>
          <w:sz w:val="20"/>
          <w:szCs w:val="20"/>
        </w:rPr>
      </w:pPr>
      <w:r w:rsidRPr="00771368">
        <w:rPr>
          <w:sz w:val="24"/>
          <w:szCs w:val="24"/>
        </w:rPr>
        <w:t>Com os sinais, pistas e indícios observados a partir da denúncia realizada pela mãe de criação de Lili, busca-se descortinar o intrincado comportamento da suposta vítima para compreender a força do discurso dominante responsável pelo controle e dominação da sociedade e das mulheres caxienses que transgredisse as “verdadeiras” normas sociais. A norma é o elemento que circula entre o disciplinador e o regulamentador e, conforme Foucault</w:t>
      </w:r>
      <w:r w:rsidRPr="00771368">
        <w:rPr>
          <w:sz w:val="32"/>
          <w:szCs w:val="32"/>
          <w:vertAlign w:val="superscript"/>
        </w:rPr>
        <w:t>16</w:t>
      </w:r>
      <w:r w:rsidRPr="00771368">
        <w:rPr>
          <w:sz w:val="24"/>
          <w:szCs w:val="24"/>
        </w:rPr>
        <w:t xml:space="preserve"> tanto se pode “aplicar a um corpo que se quer disciplinar quanto a uma população que se quer regulamentar”.</w:t>
      </w:r>
    </w:p>
    <w:p w:rsidR="00D24E61" w:rsidRPr="00771368" w:rsidRDefault="00D24E61">
      <w:pPr>
        <w:spacing w:line="47" w:lineRule="exact"/>
        <w:rPr>
          <w:sz w:val="20"/>
          <w:szCs w:val="20"/>
        </w:rPr>
      </w:pPr>
    </w:p>
    <w:p w:rsidR="00D24E61" w:rsidRPr="00771368" w:rsidRDefault="00D24E61">
      <w:pPr>
        <w:spacing w:line="343" w:lineRule="auto"/>
        <w:ind w:firstLine="708"/>
        <w:jc w:val="both"/>
        <w:rPr>
          <w:sz w:val="20"/>
          <w:szCs w:val="20"/>
        </w:rPr>
      </w:pPr>
      <w:r w:rsidRPr="00771368">
        <w:rPr>
          <w:sz w:val="24"/>
          <w:szCs w:val="24"/>
        </w:rPr>
        <w:t>Lili, em seu depoimento, afirmou que namorava há cinco meses e, pelas insistentes promessas de casamento cedeu e entregou-se ao namorado. Mantendo naquela noite, pela primeira vez, contato carnal com Joaquim e, posteriormente se entregou mais quatro ou cinco vezes. Entregas que também foram precedidas de promessa de casamento.</w:t>
      </w:r>
    </w:p>
    <w:p w:rsidR="00D24E61" w:rsidRPr="00771368" w:rsidRDefault="00D24E61">
      <w:pPr>
        <w:spacing w:line="79" w:lineRule="exact"/>
        <w:rPr>
          <w:sz w:val="20"/>
          <w:szCs w:val="20"/>
        </w:rPr>
      </w:pPr>
    </w:p>
    <w:p w:rsidR="00D24E61" w:rsidRPr="00771368" w:rsidRDefault="00D24E61">
      <w:pPr>
        <w:spacing w:line="353" w:lineRule="auto"/>
        <w:ind w:firstLine="708"/>
        <w:jc w:val="both"/>
        <w:rPr>
          <w:sz w:val="20"/>
          <w:szCs w:val="20"/>
        </w:rPr>
      </w:pPr>
      <w:r w:rsidRPr="00771368">
        <w:rPr>
          <w:sz w:val="24"/>
          <w:szCs w:val="24"/>
        </w:rPr>
        <w:t>Joaquim, ao ser interrogado destacou em seu depoimento que há três meses flertava com a menor Lili, entretanto as suas relações com a jovem nunca passaram de um simples namoro. Explicou que na noite em que foi preso, aproximadamente às 22h30min, estava conversando com Lili na porta da casa desta e, quando se despediu, estava passando um guarda noturno, que foi chamado por Lili para apontar que o depoente havia lhe feito mal. Motivo pelo qual o guarda noturno prendeu-o e conduzindo-lhe a Delegacia de Polícia onde ficou detido. Joaquim negou qualquer relação indigna com Lili apurando que ela possuía diversos namorados e com eles costumava passear de automóvel, bem como havia tirado diversas fotografias.</w:t>
      </w:r>
    </w:p>
    <w:p w:rsidR="00D24E61" w:rsidRPr="00771368" w:rsidRDefault="00D24E61">
      <w:pPr>
        <w:spacing w:line="72"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 denúncia da mãe de criação de Lili demonstrou a preocupação da família em reparar à honra da filha que havia transgredido os padrões de comportamento sociais que vigoravam na primeira metade do século XX. A atitude da mãe permite identificar que ela tinha ciência</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03808" behindDoc="0" locked="0" layoutInCell="0" allowOverlap="1">
                <wp:simplePos x="0" y="0"/>
                <wp:positionH relativeFrom="column">
                  <wp:posOffset>1270</wp:posOffset>
                </wp:positionH>
                <wp:positionV relativeFrom="paragraph">
                  <wp:posOffset>196215</wp:posOffset>
                </wp:positionV>
                <wp:extent cx="1828800" cy="0"/>
                <wp:effectExtent l="10795" t="5715" r="8255" b="13335"/>
                <wp:wrapNone/>
                <wp:docPr id="225"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0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5.45pt" to="144.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F2FQIAACw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" o:allowincell="f" strokeweight=".25397mm"/>
            </w:pict>
          </mc:Fallback>
        </mc:AlternateContent>
      </w:r>
    </w:p>
    <w:p w:rsidR="00D24E61" w:rsidRPr="00771368" w:rsidRDefault="00D24E61">
      <w:pPr>
        <w:spacing w:line="261" w:lineRule="exact"/>
        <w:rPr>
          <w:sz w:val="20"/>
          <w:szCs w:val="20"/>
        </w:rPr>
      </w:pPr>
    </w:p>
    <w:p w:rsidR="00D24E61" w:rsidRPr="00771368" w:rsidRDefault="00D24E61" w:rsidP="00FA0ABA">
      <w:pPr>
        <w:numPr>
          <w:ilvl w:val="0"/>
          <w:numId w:val="27"/>
        </w:numPr>
        <w:tabs>
          <w:tab w:val="left" w:pos="202"/>
        </w:tabs>
        <w:spacing w:line="186" w:lineRule="auto"/>
        <w:ind w:left="240" w:hanging="238"/>
        <w:jc w:val="both"/>
        <w:rPr>
          <w:sz w:val="26"/>
          <w:szCs w:val="26"/>
          <w:vertAlign w:val="superscript"/>
        </w:rPr>
      </w:pPr>
      <w:r w:rsidRPr="00771368">
        <w:rPr>
          <w:sz w:val="20"/>
          <w:szCs w:val="20"/>
        </w:rPr>
        <w:t>RAGO, Margareth. Os prazeres da noite: prostituição e códigos da sexualidade feminina em São Paulo: 1890-1930. 2ª ed. São Paulo: Paz e Terra, 2008, p. 67-79.</w:t>
      </w:r>
    </w:p>
    <w:p w:rsidR="00D24E61" w:rsidRPr="00771368" w:rsidRDefault="00D24E61">
      <w:pPr>
        <w:spacing w:line="50" w:lineRule="exact"/>
        <w:rPr>
          <w:sz w:val="26"/>
          <w:szCs w:val="26"/>
          <w:vertAlign w:val="superscript"/>
        </w:rPr>
      </w:pPr>
    </w:p>
    <w:p w:rsidR="00D24E61" w:rsidRPr="00771368" w:rsidRDefault="00D24E61" w:rsidP="00FA0ABA">
      <w:pPr>
        <w:numPr>
          <w:ilvl w:val="0"/>
          <w:numId w:val="27"/>
        </w:numPr>
        <w:tabs>
          <w:tab w:val="left" w:pos="226"/>
        </w:tabs>
        <w:spacing w:line="186" w:lineRule="auto"/>
        <w:ind w:left="240" w:hanging="238"/>
        <w:jc w:val="both"/>
        <w:rPr>
          <w:sz w:val="26"/>
          <w:szCs w:val="26"/>
          <w:vertAlign w:val="superscript"/>
        </w:rPr>
      </w:pPr>
      <w:r w:rsidRPr="00771368">
        <w:rPr>
          <w:sz w:val="20"/>
          <w:szCs w:val="20"/>
        </w:rPr>
        <w:t xml:space="preserve">FOUCAULT, Michel. </w:t>
      </w:r>
      <w:r w:rsidRPr="00771368">
        <w:rPr>
          <w:b/>
          <w:bCs/>
          <w:sz w:val="20"/>
          <w:szCs w:val="20"/>
        </w:rPr>
        <w:t>Em defesa da sociedade:</w:t>
      </w:r>
      <w:r w:rsidRPr="00771368">
        <w:rPr>
          <w:sz w:val="20"/>
          <w:szCs w:val="20"/>
        </w:rPr>
        <w:t xml:space="preserve"> curso no Collège de France (1975-1976). São Paulo: M. Fontes, 1999, p. 302.</w:t>
      </w:r>
    </w:p>
    <w:p w:rsidR="00D24E61" w:rsidRPr="00771368" w:rsidRDefault="00D24E61">
      <w:pPr>
        <w:spacing w:line="200" w:lineRule="exact"/>
        <w:rPr>
          <w:sz w:val="20"/>
          <w:szCs w:val="20"/>
        </w:rPr>
      </w:pPr>
    </w:p>
    <w:p w:rsidR="00D24E61" w:rsidRPr="00771368" w:rsidRDefault="00D24E61">
      <w:pPr>
        <w:spacing w:line="254" w:lineRule="exact"/>
        <w:rPr>
          <w:sz w:val="20"/>
          <w:szCs w:val="20"/>
        </w:rPr>
      </w:pPr>
    </w:p>
    <w:p w:rsidR="00D24E61" w:rsidRPr="00771368" w:rsidRDefault="00D24E61">
      <w:pPr>
        <w:spacing w:line="313" w:lineRule="exact"/>
        <w:rPr>
          <w:sz w:val="20"/>
          <w:szCs w:val="20"/>
        </w:rPr>
      </w:pPr>
    </w:p>
    <w:p w:rsidR="00D24E61" w:rsidRPr="00771368" w:rsidRDefault="00D24E61">
      <w:pPr>
        <w:spacing w:line="330" w:lineRule="auto"/>
        <w:jc w:val="both"/>
        <w:rPr>
          <w:sz w:val="20"/>
          <w:szCs w:val="20"/>
        </w:rPr>
      </w:pPr>
      <w:r w:rsidRPr="00771368">
        <w:rPr>
          <w:sz w:val="24"/>
          <w:szCs w:val="24"/>
        </w:rPr>
        <w:t>de sua responsabilidade de criar a prole de acordo com o modelo instituído pelo Estado e idealizada pela sociedade higienizada. A mãe ao negligenciar a educação, principalmente das filhas moças, permitia e favorecia comportamentos duvidosos e desmoralizantes e, ao mesmo tempo em que a família fosse estigmatizada e condenada pela sociedade. Sobre a convivência dos componentes da célula familiar elitizada, Foucault</w:t>
      </w:r>
      <w:r w:rsidRPr="00771368">
        <w:rPr>
          <w:sz w:val="32"/>
          <w:szCs w:val="32"/>
          <w:vertAlign w:val="superscript"/>
        </w:rPr>
        <w:t>17</w:t>
      </w:r>
      <w:r w:rsidRPr="00771368">
        <w:rPr>
          <w:sz w:val="24"/>
          <w:szCs w:val="24"/>
        </w:rPr>
        <w:t xml:space="preserve"> afirma que é um espaço de </w:t>
      </w:r>
      <w:r w:rsidRPr="00771368">
        <w:rPr>
          <w:i/>
          <w:iCs/>
          <w:sz w:val="24"/>
          <w:szCs w:val="24"/>
        </w:rPr>
        <w:t xml:space="preserve">articulações de saberes e poderes </w:t>
      </w:r>
      <w:r w:rsidRPr="00771368">
        <w:rPr>
          <w:sz w:val="24"/>
          <w:szCs w:val="24"/>
        </w:rPr>
        <w:t>que são distribuídos em todos os cômodos da casa, com</w:t>
      </w:r>
      <w:r w:rsidRPr="00771368">
        <w:rPr>
          <w:i/>
          <w:iCs/>
          <w:sz w:val="24"/>
          <w:szCs w:val="24"/>
        </w:rPr>
        <w:t xml:space="preserve"> </w:t>
      </w:r>
      <w:r w:rsidRPr="00771368">
        <w:rPr>
          <w:sz w:val="24"/>
          <w:szCs w:val="24"/>
        </w:rPr>
        <w:t>tensões possíveis de serem controladas por ela, cujo, desde o seu surgimento é vista como “espaço de poder, prazer, saber e opressão, num ciclo constante de incitação e controle”</w:t>
      </w:r>
      <w:r w:rsidRPr="00771368">
        <w:rPr>
          <w:sz w:val="32"/>
          <w:szCs w:val="32"/>
          <w:vertAlign w:val="superscript"/>
        </w:rPr>
        <w:t>18</w:t>
      </w:r>
      <w:r w:rsidRPr="00771368">
        <w:rPr>
          <w:sz w:val="24"/>
          <w:szCs w:val="24"/>
        </w:rPr>
        <w:t>.</w:t>
      </w:r>
    </w:p>
    <w:p w:rsidR="00D24E61" w:rsidRPr="00771368" w:rsidRDefault="00D24E61">
      <w:pPr>
        <w:spacing w:line="24" w:lineRule="exact"/>
        <w:rPr>
          <w:sz w:val="20"/>
          <w:szCs w:val="20"/>
        </w:rPr>
      </w:pPr>
    </w:p>
    <w:p w:rsidR="00D24E61" w:rsidRPr="00771368" w:rsidRDefault="00D24E61">
      <w:pPr>
        <w:spacing w:line="354" w:lineRule="auto"/>
        <w:ind w:firstLine="600"/>
        <w:jc w:val="both"/>
        <w:rPr>
          <w:sz w:val="20"/>
          <w:szCs w:val="20"/>
        </w:rPr>
      </w:pPr>
      <w:r w:rsidRPr="00771368">
        <w:rPr>
          <w:sz w:val="24"/>
          <w:szCs w:val="24"/>
        </w:rPr>
        <w:t>As contradições das testemunhas, o depoimento da suposta vítima e do denunciado permite inferir que a mulher tinha ciência que o Estado e, não mais a Igreja Católica, era a instituição responsável pela guarda da família. Atribuição que assumiu após a Proclamação da República, em 1889, com o surgimento do Estado laico, em função de sua cisão com a Igreja Católica. Com a República coube ao Estado o controle da sexualidade através do exercício do poder ético jurídico que passou a julgar os crimes que atingissem o corpo social, familiar e feminino. No que se relaciona à sexualidade feminina, o Código Penal de 1890 estabelecia que a honra da mulher, quando fosse atingida, somente seria restabelecida através da atuação dos Operadores do Direito. Antes do período republicano geralmente, as questões da dignidade/honra familiar eram resolvidas no âmbito privado e, a Igreja Católica era a instituição que exercia o papel “protetor” de seus fiéis.</w:t>
      </w:r>
    </w:p>
    <w:p w:rsidR="00D24E61" w:rsidRPr="00771368" w:rsidRDefault="00D24E61">
      <w:pPr>
        <w:spacing w:line="75" w:lineRule="exact"/>
        <w:rPr>
          <w:sz w:val="20"/>
          <w:szCs w:val="20"/>
        </w:rPr>
      </w:pPr>
    </w:p>
    <w:p w:rsidR="00D24E61" w:rsidRPr="00771368" w:rsidRDefault="00D24E61">
      <w:pPr>
        <w:spacing w:line="352" w:lineRule="auto"/>
        <w:ind w:firstLine="600"/>
        <w:jc w:val="both"/>
        <w:rPr>
          <w:sz w:val="20"/>
          <w:szCs w:val="20"/>
        </w:rPr>
      </w:pPr>
      <w:r w:rsidRPr="00771368">
        <w:rPr>
          <w:sz w:val="24"/>
          <w:szCs w:val="24"/>
        </w:rPr>
        <w:t>A publicação do Código Civil de 1916 demonstrou preocupação frente o tratamento de organização da família, pois na parte relativa ao Direito da Família houve sua regulamentação e organização de modo hierárquico cabendo ao homem ser apresentado como o chefe da família e a mulher a posição e condição de inferioridade legal ao sexo masculino. O Código Civil também sacramentou a nulidade da mulher casada, pois perante o chefe da família ela deixou de ser civilmente capaz, para tornar-se, com o casamento civil, “relativamente incapaz”. Nesse sentido, o Código Civil de 1916 ao decretar o casamento civil ajudou a reforçar a legitimação da superioridade masculina.</w:t>
      </w:r>
    </w:p>
    <w:p w:rsidR="00D24E61" w:rsidRPr="00771368" w:rsidRDefault="00D24E61">
      <w:pPr>
        <w:spacing w:line="16" w:lineRule="exact"/>
        <w:rPr>
          <w:sz w:val="20"/>
          <w:szCs w:val="20"/>
        </w:rPr>
      </w:pPr>
    </w:p>
    <w:p w:rsidR="00D24E61" w:rsidRPr="00771368" w:rsidRDefault="00D24E61">
      <w:pPr>
        <w:ind w:left="640"/>
        <w:rPr>
          <w:sz w:val="20"/>
          <w:szCs w:val="20"/>
        </w:rPr>
      </w:pPr>
      <w:r w:rsidRPr="00771368">
        <w:rPr>
          <w:sz w:val="24"/>
          <w:szCs w:val="24"/>
        </w:rPr>
        <w:t>A publicação do Código Penal de 1940, em substituição do Código Penal de 1890,</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04832" behindDoc="0" locked="0" layoutInCell="0" allowOverlap="1">
                <wp:simplePos x="0" y="0"/>
                <wp:positionH relativeFrom="column">
                  <wp:posOffset>1270</wp:posOffset>
                </wp:positionH>
                <wp:positionV relativeFrom="paragraph">
                  <wp:posOffset>302260</wp:posOffset>
                </wp:positionV>
                <wp:extent cx="1828800" cy="0"/>
                <wp:effectExtent l="10795" t="6985" r="8255" b="12065"/>
                <wp:wrapNone/>
                <wp:docPr id="22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70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3.8pt" to="144.1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cyFQIAACw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" o:allowincell="f" strokeweight=".25397mm"/>
            </w:pict>
          </mc:Fallback>
        </mc:AlternateContent>
      </w:r>
    </w:p>
    <w:p w:rsidR="00D24E61" w:rsidRPr="00771368" w:rsidRDefault="00D24E61">
      <w:pPr>
        <w:spacing w:line="309" w:lineRule="exact"/>
        <w:rPr>
          <w:sz w:val="20"/>
          <w:szCs w:val="20"/>
        </w:rPr>
      </w:pPr>
    </w:p>
    <w:p w:rsidR="00D24E61" w:rsidRPr="00771368" w:rsidRDefault="00D24E61" w:rsidP="00D24E61">
      <w:pPr>
        <w:numPr>
          <w:ilvl w:val="0"/>
          <w:numId w:val="5"/>
        </w:numPr>
        <w:tabs>
          <w:tab w:val="left" w:pos="180"/>
        </w:tabs>
        <w:ind w:left="180" w:hanging="178"/>
        <w:jc w:val="both"/>
        <w:rPr>
          <w:sz w:val="26"/>
          <w:szCs w:val="26"/>
          <w:vertAlign w:val="superscript"/>
        </w:rPr>
      </w:pPr>
      <w:r w:rsidRPr="00771368">
        <w:rPr>
          <w:sz w:val="20"/>
          <w:szCs w:val="20"/>
        </w:rPr>
        <w:t>FOUCAULT, Michel. A mulher/os rapazes: história da sexualidade. Rio de Janeiro: Paz e Terra, 1997, p. 61.</w:t>
      </w:r>
    </w:p>
    <w:p w:rsidR="00D24E61" w:rsidRPr="00771368" w:rsidRDefault="00D24E61">
      <w:pPr>
        <w:spacing w:line="49" w:lineRule="exact"/>
        <w:rPr>
          <w:sz w:val="26"/>
          <w:szCs w:val="26"/>
          <w:vertAlign w:val="superscript"/>
        </w:rPr>
      </w:pPr>
    </w:p>
    <w:p w:rsidR="00D24E61" w:rsidRPr="00771368" w:rsidRDefault="00D24E61" w:rsidP="00D24E61">
      <w:pPr>
        <w:numPr>
          <w:ilvl w:val="0"/>
          <w:numId w:val="5"/>
        </w:numPr>
        <w:tabs>
          <w:tab w:val="left" w:pos="185"/>
        </w:tabs>
        <w:spacing w:line="185" w:lineRule="auto"/>
        <w:ind w:left="240" w:hanging="238"/>
        <w:jc w:val="both"/>
        <w:rPr>
          <w:sz w:val="26"/>
          <w:szCs w:val="26"/>
          <w:vertAlign w:val="superscript"/>
        </w:rPr>
      </w:pPr>
      <w:r w:rsidRPr="00771368">
        <w:rPr>
          <w:sz w:val="20"/>
          <w:szCs w:val="20"/>
        </w:rPr>
        <w:t>ANGOTTI, Bruna. Entre as leis da ciência, do estado e Deus: o surgimento dos presídios no Brasil. São Paulo: IBCCRIM, 2012, p. 108.</w:t>
      </w:r>
    </w:p>
    <w:p w:rsidR="00D24E61" w:rsidRPr="00771368" w:rsidRDefault="00D24E61">
      <w:pPr>
        <w:spacing w:line="211" w:lineRule="exact"/>
        <w:rPr>
          <w:sz w:val="20"/>
          <w:szCs w:val="20"/>
        </w:rPr>
      </w:pPr>
    </w:p>
    <w:p w:rsidR="00D24E61" w:rsidRPr="00771368" w:rsidRDefault="00D24E61">
      <w:pPr>
        <w:spacing w:line="313" w:lineRule="exact"/>
        <w:rPr>
          <w:sz w:val="20"/>
          <w:szCs w:val="20"/>
        </w:rPr>
      </w:pPr>
    </w:p>
    <w:p w:rsidR="00D24E61" w:rsidRPr="00771368" w:rsidRDefault="00D24E61">
      <w:pPr>
        <w:spacing w:line="330" w:lineRule="auto"/>
        <w:jc w:val="both"/>
        <w:rPr>
          <w:sz w:val="20"/>
          <w:szCs w:val="20"/>
        </w:rPr>
      </w:pPr>
      <w:r w:rsidRPr="00771368">
        <w:rPr>
          <w:sz w:val="24"/>
          <w:szCs w:val="24"/>
        </w:rPr>
        <w:t xml:space="preserve">promoveu uma reinterpretação dos crimes sexuais. Conforme as abordagens de Francisco Viveiros de Castro (1942), o conceito de sedução passou a ser o ato de </w:t>
      </w:r>
      <w:r w:rsidRPr="00771368">
        <w:rPr>
          <w:i/>
          <w:iCs/>
          <w:sz w:val="24"/>
          <w:szCs w:val="24"/>
        </w:rPr>
        <w:t>enganar, ludibriar</w:t>
      </w:r>
      <w:r w:rsidRPr="00771368">
        <w:rPr>
          <w:sz w:val="24"/>
          <w:szCs w:val="24"/>
        </w:rPr>
        <w:t xml:space="preserve"> mediante o emprego de manobras ardilosas e fraudulentas para a consumação de um fato que devia ser comprovado através de exame pericial. Neste sentido, Lili após o interrogatório realizado na Delegacia de Polícia foi encaminhada para ser examinada por um médico perito o qual comprovou pelo exame material que a </w:t>
      </w:r>
      <w:r w:rsidRPr="00771368">
        <w:rPr>
          <w:i/>
          <w:iCs/>
          <w:sz w:val="24"/>
          <w:szCs w:val="24"/>
        </w:rPr>
        <w:t>sedução era recente</w:t>
      </w:r>
      <w:r w:rsidRPr="00771368">
        <w:rPr>
          <w:i/>
          <w:iCs/>
          <w:sz w:val="32"/>
          <w:szCs w:val="32"/>
          <w:vertAlign w:val="superscript"/>
        </w:rPr>
        <w:t>19</w:t>
      </w:r>
      <w:r w:rsidRPr="00771368">
        <w:rPr>
          <w:sz w:val="24"/>
          <w:szCs w:val="24"/>
        </w:rPr>
        <w:t>. A comprovação do crime de sedução deu a Lili o direito de ser amparada pelo Estado. A conduta para que o ato fosse configurado como crime consistia, conforme o art. 217</w:t>
      </w:r>
      <w:r w:rsidRPr="00771368">
        <w:rPr>
          <w:sz w:val="32"/>
          <w:szCs w:val="32"/>
          <w:vertAlign w:val="superscript"/>
        </w:rPr>
        <w:t>20</w:t>
      </w:r>
      <w:r w:rsidRPr="00771368">
        <w:rPr>
          <w:sz w:val="24"/>
          <w:szCs w:val="24"/>
        </w:rPr>
        <w:t xml:space="preserve"> do Código Penal de 1940, em</w:t>
      </w:r>
    </w:p>
    <w:p w:rsidR="00D24E61" w:rsidRPr="00771368" w:rsidRDefault="00D24E61">
      <w:pPr>
        <w:spacing w:line="19" w:lineRule="exact"/>
        <w:rPr>
          <w:sz w:val="20"/>
          <w:szCs w:val="20"/>
        </w:rPr>
      </w:pPr>
    </w:p>
    <w:p w:rsidR="00D24E61" w:rsidRPr="00771368" w:rsidRDefault="00D24E61">
      <w:pPr>
        <w:spacing w:line="231" w:lineRule="auto"/>
        <w:ind w:left="2280"/>
        <w:jc w:val="both"/>
        <w:rPr>
          <w:sz w:val="20"/>
          <w:szCs w:val="20"/>
        </w:rPr>
      </w:pPr>
      <w:r w:rsidRPr="00771368">
        <w:t>viciar a vontade da mulher virgem, menor de dezoito anos e maior de catorze anos de idade, convencendo-a a manter relações sexuais, ou seja, o consentimento devia ser obtido por meio de juras de amor, promessa de casamento ou de qualquer forma ardilosa aproveitando-se o sedutor da inexperiência e justificável confiança. Recaindo sobre ele a penalidade de dois a quatro anos de reclusão celular.</w:t>
      </w:r>
    </w:p>
    <w:p w:rsidR="00D24E61" w:rsidRPr="00771368" w:rsidRDefault="00D24E61">
      <w:pPr>
        <w:spacing w:line="337" w:lineRule="exact"/>
        <w:rPr>
          <w:sz w:val="20"/>
          <w:szCs w:val="20"/>
        </w:rPr>
      </w:pPr>
    </w:p>
    <w:p w:rsidR="00D24E61" w:rsidRPr="00771368" w:rsidRDefault="00D24E61">
      <w:pPr>
        <w:spacing w:line="309" w:lineRule="auto"/>
        <w:ind w:firstLine="708"/>
        <w:jc w:val="both"/>
        <w:rPr>
          <w:sz w:val="20"/>
          <w:szCs w:val="20"/>
        </w:rPr>
      </w:pPr>
      <w:r w:rsidRPr="00771368">
        <w:rPr>
          <w:sz w:val="24"/>
          <w:szCs w:val="24"/>
        </w:rPr>
        <w:t>O Código Penal de 1940, também procurou proteger a mulher inexperiente e ingênua, mas segundo a Exposição dos Motivos</w:t>
      </w:r>
      <w:r w:rsidRPr="00771368">
        <w:rPr>
          <w:sz w:val="32"/>
          <w:szCs w:val="32"/>
          <w:vertAlign w:val="superscript"/>
        </w:rPr>
        <w:t>21</w:t>
      </w:r>
      <w:r w:rsidRPr="00771368">
        <w:rPr>
          <w:sz w:val="24"/>
          <w:szCs w:val="24"/>
        </w:rPr>
        <w:t xml:space="preserve"> que acompanha o referido Código destacava que a aquela mulher que se convencionou denominar de emancipada e se deixou iludir por promessas insinceras, não merecia proteção judicial, chegando a afirmar que</w:t>
      </w:r>
    </w:p>
    <w:p w:rsidR="00D24E61" w:rsidRPr="00771368" w:rsidRDefault="00D24E61">
      <w:pPr>
        <w:spacing w:line="112" w:lineRule="exact"/>
        <w:rPr>
          <w:sz w:val="20"/>
          <w:szCs w:val="20"/>
        </w:rPr>
      </w:pPr>
    </w:p>
    <w:p w:rsidR="00D24E61" w:rsidRPr="00771368" w:rsidRDefault="00D24E61">
      <w:pPr>
        <w:spacing w:line="214" w:lineRule="auto"/>
        <w:ind w:left="2280"/>
        <w:rPr>
          <w:sz w:val="20"/>
          <w:szCs w:val="20"/>
        </w:rPr>
      </w:pPr>
      <w:r w:rsidRPr="00771368">
        <w:t>Em abono do critério do projeto, acresce que, hoje em dia, dados os nossos costumes e formas de vida, não são raros os casos em que a mulher não é a</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05856" behindDoc="0" locked="0" layoutInCell="0" allowOverlap="1">
                <wp:simplePos x="0" y="0"/>
                <wp:positionH relativeFrom="column">
                  <wp:posOffset>1270</wp:posOffset>
                </wp:positionH>
                <wp:positionV relativeFrom="paragraph">
                  <wp:posOffset>185420</wp:posOffset>
                </wp:positionV>
                <wp:extent cx="1828800" cy="0"/>
                <wp:effectExtent l="10795" t="13970" r="8255" b="5080"/>
                <wp:wrapNone/>
                <wp:docPr id="22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70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4.6pt" to="144.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AV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" o:allowincell="f" strokeweight=".72pt"/>
            </w:pict>
          </mc:Fallback>
        </mc:AlternateContent>
      </w:r>
    </w:p>
    <w:p w:rsidR="00D24E61" w:rsidRPr="00771368" w:rsidRDefault="00D24E61">
      <w:pPr>
        <w:spacing w:line="202" w:lineRule="exact"/>
        <w:rPr>
          <w:sz w:val="20"/>
          <w:szCs w:val="20"/>
        </w:rPr>
      </w:pPr>
    </w:p>
    <w:p w:rsidR="00D24E61" w:rsidRPr="00771368" w:rsidRDefault="00D24E61">
      <w:pPr>
        <w:tabs>
          <w:tab w:val="left" w:pos="220"/>
        </w:tabs>
        <w:spacing w:line="211" w:lineRule="auto"/>
        <w:ind w:left="240" w:hanging="239"/>
        <w:jc w:val="both"/>
        <w:rPr>
          <w:sz w:val="20"/>
          <w:szCs w:val="20"/>
        </w:rPr>
      </w:pPr>
      <w:r w:rsidRPr="00771368">
        <w:rPr>
          <w:sz w:val="26"/>
          <w:szCs w:val="26"/>
          <w:vertAlign w:val="superscript"/>
        </w:rPr>
        <w:t>19</w:t>
      </w:r>
      <w:r w:rsidRPr="00771368">
        <w:rPr>
          <w:sz w:val="20"/>
          <w:szCs w:val="20"/>
        </w:rPr>
        <w:tab/>
        <w:t>O exame pericial era realizado por um médico perito, em sala específica na presença de uma ou mais testemunhas masculinas. Era solicitado à suposta vítima que deitasse em “mesa apropriada, em decúbito dorsal, cabeça e tronco horizontais, permitindo, flectidas as coxas em ângulo reto sobre a bacia e as pernas dobradas sobre as coxas, afastar estas para os lados: veem-se o pubes e a vulva entreaberta”.</w:t>
      </w:r>
    </w:p>
    <w:p w:rsidR="00D24E61" w:rsidRPr="00771368" w:rsidRDefault="00D24E61">
      <w:pPr>
        <w:spacing w:line="92" w:lineRule="exact"/>
        <w:rPr>
          <w:sz w:val="20"/>
          <w:szCs w:val="20"/>
        </w:rPr>
      </w:pPr>
    </w:p>
    <w:p w:rsidR="00D24E61" w:rsidRPr="00771368" w:rsidRDefault="00D24E61">
      <w:pPr>
        <w:spacing w:line="235" w:lineRule="auto"/>
        <w:ind w:left="240" w:hanging="28"/>
        <w:jc w:val="both"/>
        <w:rPr>
          <w:sz w:val="20"/>
          <w:szCs w:val="20"/>
        </w:rPr>
      </w:pPr>
      <w:r w:rsidRPr="00771368">
        <w:rPr>
          <w:sz w:val="20"/>
          <w:szCs w:val="20"/>
        </w:rPr>
        <w:t>Tomam-se então dos grandes lábios, com os pequenos, se excedentes e consideráveis, entre o polegar e o indicador, de cada lado, e tira-se ou puxa-se ligeiramente para diante e um pouco para fora. O hímen estampa-se visivelmente no fundo da vulva, fechando o óstio vaginal, podendo notar-se a coloração, forma, disposição, dimensões da membrana e do seu orifício ou abertura, consistência, erosão, dilaceramentos. O exame devia ser realizado pelo perito designado, que posteriormente elaborava o laudo técnico a partir dos seguintes quesitos: Primeiro, se houve defloramento; segundo, se o defloramento é recente, ou seja, o defloramento é recente, quando data de dois ou três dias. [Após dois dias] a rotura do hímen apresenta todos os caracteres de uma ferida contusa de bordos rubros e sanguinolentos. Esta rotura forma retalhos que se tumefazem mais ou menos, mas que conservam o caráter da membrana que lhe deu origem. Só quando cicatriza, e pela influência da retração do tecido inodular, é que esses retalhos perdem a forma membranosa para tomar a de tubérculos. Essas transformações não se operam senão em muitos dias, oito ou dez, as mais das vezes, senão sempre, esses retalhos só tomam o caráter de tubérculos quando são sujeitos a contatos, a atritos repetidos, provenientes de um comércio sexual habitual; terceiro, se podem determinar precisamente a época em que se deu o defloramento. (PEIXOTO, 1934, p. 121, 22; 26).</w:t>
      </w:r>
    </w:p>
    <w:p w:rsidR="00D24E61" w:rsidRPr="00771368" w:rsidRDefault="00D24E61">
      <w:pPr>
        <w:spacing w:line="26" w:lineRule="exact"/>
        <w:rPr>
          <w:sz w:val="20"/>
          <w:szCs w:val="20"/>
        </w:rPr>
      </w:pPr>
    </w:p>
    <w:p w:rsidR="00D24E61" w:rsidRPr="00771368" w:rsidRDefault="00D24E61">
      <w:pPr>
        <w:spacing w:line="204" w:lineRule="auto"/>
        <w:ind w:left="240" w:hanging="227"/>
        <w:rPr>
          <w:color w:val="0000FF"/>
          <w:sz w:val="20"/>
          <w:szCs w:val="20"/>
        </w:rPr>
      </w:pPr>
      <w:r w:rsidRPr="00771368">
        <w:rPr>
          <w:sz w:val="25"/>
          <w:szCs w:val="25"/>
          <w:vertAlign w:val="superscript"/>
        </w:rPr>
        <w:t>20</w:t>
      </w:r>
      <w:r w:rsidRPr="00771368">
        <w:rPr>
          <w:sz w:val="20"/>
          <w:szCs w:val="20"/>
        </w:rPr>
        <w:t xml:space="preserve"> O art. 217 foi revogado pela Lei nº 11.106, de 28 de março de 2005. Mais informações pelo </w:t>
      </w:r>
      <w:r w:rsidRPr="00771368">
        <w:rPr>
          <w:i/>
          <w:iCs/>
          <w:sz w:val="20"/>
          <w:szCs w:val="20"/>
        </w:rPr>
        <w:t>site</w:t>
      </w:r>
      <w:r w:rsidRPr="00771368">
        <w:rPr>
          <w:sz w:val="20"/>
          <w:szCs w:val="20"/>
        </w:rPr>
        <w:t xml:space="preserve"> </w:t>
      </w:r>
      <w:hyperlink r:id="rId381" w:anchor="art5">
        <w:r w:rsidRPr="00771368">
          <w:rPr>
            <w:color w:val="0000FF"/>
            <w:sz w:val="20"/>
            <w:szCs w:val="20"/>
            <w:u w:val="single"/>
          </w:rPr>
          <w:t>http://www.planalto.gov.br/ccivil_03/_Ato2004-2006/2005/Lei/L11106.htm#art5</w:t>
        </w:r>
        <w:r w:rsidRPr="00771368">
          <w:rPr>
            <w:color w:val="000000"/>
            <w:sz w:val="20"/>
            <w:szCs w:val="20"/>
          </w:rPr>
          <w:t xml:space="preserve">. </w:t>
        </w:r>
      </w:hyperlink>
      <w:r w:rsidRPr="00771368">
        <w:rPr>
          <w:color w:val="0000FF"/>
          <w:sz w:val="20"/>
          <w:szCs w:val="20"/>
        </w:rPr>
        <w:t xml:space="preserve">Acesso </w:t>
      </w:r>
      <w:r w:rsidRPr="00771368">
        <w:rPr>
          <w:color w:val="000000"/>
          <w:sz w:val="20"/>
          <w:szCs w:val="20"/>
        </w:rPr>
        <w:t>em: 15 set. 2013.</w:t>
      </w:r>
    </w:p>
    <w:p w:rsidR="00D24E61" w:rsidRPr="00771368" w:rsidRDefault="00D24E61">
      <w:pPr>
        <w:spacing w:line="63" w:lineRule="exact"/>
        <w:rPr>
          <w:sz w:val="20"/>
          <w:szCs w:val="20"/>
        </w:rPr>
      </w:pPr>
    </w:p>
    <w:p w:rsidR="00D24E61" w:rsidRPr="00771368" w:rsidRDefault="00D24E61" w:rsidP="00D24E61">
      <w:pPr>
        <w:numPr>
          <w:ilvl w:val="0"/>
          <w:numId w:val="6"/>
        </w:numPr>
        <w:tabs>
          <w:tab w:val="left" w:pos="233"/>
        </w:tabs>
        <w:spacing w:line="185" w:lineRule="auto"/>
        <w:ind w:left="240" w:hanging="238"/>
        <w:jc w:val="both"/>
        <w:rPr>
          <w:sz w:val="20"/>
          <w:szCs w:val="20"/>
        </w:rPr>
      </w:pPr>
      <w:r w:rsidRPr="00771368">
        <w:rPr>
          <w:sz w:val="20"/>
          <w:szCs w:val="20"/>
        </w:rPr>
        <w:t xml:space="preserve">Disponível em: </w:t>
      </w:r>
      <w:hyperlink r:id="rId382">
        <w:r w:rsidRPr="00771368">
          <w:rPr>
            <w:color w:val="0000FF"/>
            <w:sz w:val="20"/>
            <w:szCs w:val="20"/>
            <w:u w:val="single"/>
          </w:rPr>
          <w:t>http://www.diariodasleis.com.br/busca/exibelink.php?numlink=1-96-15-1940-12-07-2848-CP</w:t>
        </w:r>
        <w:r w:rsidRPr="00771368">
          <w:rPr>
            <w:sz w:val="20"/>
            <w:szCs w:val="20"/>
            <w:u w:val="single"/>
          </w:rPr>
          <w:t>.</w:t>
        </w:r>
      </w:hyperlink>
      <w:r w:rsidRPr="00771368">
        <w:rPr>
          <w:sz w:val="20"/>
          <w:szCs w:val="20"/>
        </w:rPr>
        <w:t xml:space="preserve"> Acesso em: 26 ago. 2013.</w:t>
      </w:r>
    </w:p>
    <w:p w:rsidR="00D24E61" w:rsidRPr="00771368" w:rsidRDefault="00D24E61">
      <w:pPr>
        <w:spacing w:line="211" w:lineRule="exact"/>
        <w:rPr>
          <w:sz w:val="20"/>
          <w:szCs w:val="20"/>
        </w:rPr>
      </w:pPr>
    </w:p>
    <w:p w:rsidR="00D24E61" w:rsidRPr="00771368" w:rsidRDefault="00D24E61">
      <w:pPr>
        <w:spacing w:line="308" w:lineRule="exact"/>
        <w:rPr>
          <w:sz w:val="20"/>
          <w:szCs w:val="20"/>
        </w:rPr>
      </w:pPr>
    </w:p>
    <w:p w:rsidR="00D24E61" w:rsidRPr="00771368" w:rsidRDefault="00D24E61">
      <w:pPr>
        <w:spacing w:line="227" w:lineRule="auto"/>
        <w:ind w:left="2280"/>
        <w:jc w:val="both"/>
        <w:rPr>
          <w:sz w:val="20"/>
          <w:szCs w:val="20"/>
        </w:rPr>
      </w:pPr>
      <w:r w:rsidRPr="00771368">
        <w:t>única vítima da sedução. Já foi dito, com acerto, que "nos crimes sexuais, nunca o homem é tão algoz que não possa ser, também, um pouco vítima, e a mulher nem sempre é a maior e a única vítima dos seus pretendidos infortúnios sexuais" (Filipo Manci, Delitti Sessuali).</w:t>
      </w:r>
    </w:p>
    <w:p w:rsidR="00D24E61" w:rsidRPr="00771368" w:rsidRDefault="00D24E61">
      <w:pPr>
        <w:spacing w:line="313" w:lineRule="exact"/>
        <w:rPr>
          <w:sz w:val="20"/>
          <w:szCs w:val="20"/>
        </w:rPr>
      </w:pPr>
    </w:p>
    <w:p w:rsidR="00D24E61" w:rsidRPr="00771368" w:rsidRDefault="00D24E61">
      <w:pPr>
        <w:spacing w:line="341" w:lineRule="auto"/>
        <w:ind w:firstLine="600"/>
        <w:jc w:val="both"/>
        <w:rPr>
          <w:sz w:val="20"/>
          <w:szCs w:val="20"/>
        </w:rPr>
      </w:pPr>
      <w:r w:rsidRPr="00771368">
        <w:rPr>
          <w:sz w:val="24"/>
          <w:szCs w:val="24"/>
        </w:rPr>
        <w:t xml:space="preserve">Portanto, o Estado ao amparar e criar meios de proteção à mulher, também procurava julgar os comportamentos sociais, principalmente, aqueles relacionados ao feminino, as relações de gênero, à sexualidade e à moralidade dos ditos grupos perigosos. O discurso dos Operadores do Direito nos oferecem pistas para interpretar a responsabilidade da consumação do ato sexual como sendo um fato que ocorreu por culpa da mulher que seduziu o macho e, assim relegou-a </w:t>
      </w:r>
      <w:r w:rsidRPr="00771368">
        <w:rPr>
          <w:i/>
          <w:iCs/>
          <w:sz w:val="24"/>
          <w:szCs w:val="24"/>
        </w:rPr>
        <w:t>desigualdade nativa</w:t>
      </w:r>
      <w:r w:rsidRPr="00771368">
        <w:rPr>
          <w:i/>
          <w:iCs/>
          <w:sz w:val="32"/>
          <w:szCs w:val="32"/>
          <w:vertAlign w:val="superscript"/>
        </w:rPr>
        <w:t>22</w:t>
      </w:r>
      <w:r w:rsidRPr="00771368">
        <w:rPr>
          <w:sz w:val="24"/>
          <w:szCs w:val="24"/>
        </w:rPr>
        <w:t xml:space="preserve"> de um ser frágil e facilmente corrompível. Em contraposição, geralmente protegeu o homem através da naturalização de dois de seus instintos: o da nutrição, que conserva o indivíduo e/ou a família e, o da reprodução para a devida perpetuação da espécie. O homem considerado um elemento ativo possuía o poder de criar (gerar) e de ser aquele que deveria dar as diretrizes sobre o comportamento dito</w:t>
      </w:r>
    </w:p>
    <w:p w:rsidR="00D24E61" w:rsidRPr="00771368" w:rsidRDefault="00D24E61">
      <w:pPr>
        <w:spacing w:line="31" w:lineRule="exact"/>
        <w:rPr>
          <w:sz w:val="20"/>
          <w:szCs w:val="20"/>
        </w:rPr>
      </w:pPr>
    </w:p>
    <w:p w:rsidR="00D24E61" w:rsidRPr="00771368" w:rsidRDefault="00D24E61">
      <w:pPr>
        <w:rPr>
          <w:sz w:val="20"/>
          <w:szCs w:val="20"/>
        </w:rPr>
      </w:pPr>
      <w:r w:rsidRPr="00771368">
        <w:rPr>
          <w:sz w:val="24"/>
          <w:szCs w:val="24"/>
        </w:rPr>
        <w:t>“inferior” da mulher na sociedade.</w:t>
      </w:r>
    </w:p>
    <w:p w:rsidR="00D24E61" w:rsidRPr="00771368" w:rsidRDefault="00D24E61">
      <w:pPr>
        <w:spacing w:line="195" w:lineRule="exact"/>
        <w:rPr>
          <w:sz w:val="20"/>
          <w:szCs w:val="20"/>
        </w:rPr>
      </w:pPr>
    </w:p>
    <w:p w:rsidR="00D24E61" w:rsidRPr="00771368" w:rsidRDefault="00D24E61">
      <w:pPr>
        <w:spacing w:line="316" w:lineRule="auto"/>
        <w:ind w:firstLine="600"/>
        <w:rPr>
          <w:sz w:val="20"/>
          <w:szCs w:val="20"/>
        </w:rPr>
      </w:pPr>
      <w:r w:rsidRPr="00771368">
        <w:rPr>
          <w:sz w:val="24"/>
          <w:szCs w:val="24"/>
        </w:rPr>
        <w:t xml:space="preserve">Em relação à organização e ao funcionamento da família podemos verificar que o Estado, por meio do Poder Judiciário e, da Igreja Católica apoiava a hierarquia da estrutura familiar cuja responsabilidade era do “governo” do homem. O homem, no âmbito privado, detinha o poder, sendo o seu “comandante”. À mulher no papel de mãe, segundo o jornal </w:t>
      </w:r>
      <w:r w:rsidRPr="00771368">
        <w:rPr>
          <w:i/>
          <w:iCs/>
          <w:sz w:val="24"/>
          <w:szCs w:val="24"/>
        </w:rPr>
        <w:t>Il</w:t>
      </w:r>
      <w:r w:rsidRPr="00771368">
        <w:rPr>
          <w:sz w:val="24"/>
          <w:szCs w:val="24"/>
        </w:rPr>
        <w:t xml:space="preserve"> </w:t>
      </w:r>
      <w:r w:rsidRPr="00771368">
        <w:rPr>
          <w:i/>
          <w:iCs/>
          <w:sz w:val="24"/>
          <w:szCs w:val="24"/>
        </w:rPr>
        <w:t>Colono Italiano</w:t>
      </w:r>
      <w:r w:rsidRPr="00771368">
        <w:rPr>
          <w:sz w:val="32"/>
          <w:szCs w:val="32"/>
          <w:vertAlign w:val="superscript"/>
        </w:rPr>
        <w:t>23</w:t>
      </w:r>
      <w:r w:rsidRPr="00771368">
        <w:rPr>
          <w:i/>
          <w:iCs/>
          <w:sz w:val="24"/>
          <w:szCs w:val="24"/>
        </w:rPr>
        <w:t xml:space="preserve">, </w:t>
      </w:r>
      <w:r w:rsidRPr="00771368">
        <w:rPr>
          <w:sz w:val="24"/>
          <w:szCs w:val="24"/>
        </w:rPr>
        <w:t>em 3 de agosto de 1912, reforça o exercício do</w:t>
      </w:r>
      <w:r w:rsidRPr="00771368">
        <w:rPr>
          <w:i/>
          <w:iCs/>
          <w:sz w:val="24"/>
          <w:szCs w:val="24"/>
        </w:rPr>
        <w:t xml:space="preserve"> “ministro nel governo dela famiglia, e el su ministro si reassume e si compedia in uma parola, sacrifício”</w:t>
      </w:r>
      <w:r w:rsidRPr="00771368">
        <w:rPr>
          <w:sz w:val="32"/>
          <w:szCs w:val="32"/>
          <w:vertAlign w:val="superscript"/>
        </w:rPr>
        <w:t>24</w:t>
      </w:r>
      <w:r w:rsidRPr="00771368">
        <w:rPr>
          <w:sz w:val="24"/>
          <w:szCs w:val="24"/>
        </w:rPr>
        <w:t>.</w:t>
      </w:r>
    </w:p>
    <w:p w:rsidR="00D24E61" w:rsidRPr="00771368" w:rsidRDefault="00D24E61">
      <w:pPr>
        <w:spacing w:line="6" w:lineRule="exact"/>
        <w:rPr>
          <w:sz w:val="20"/>
          <w:szCs w:val="20"/>
        </w:rPr>
      </w:pPr>
    </w:p>
    <w:p w:rsidR="00D24E61" w:rsidRPr="00771368" w:rsidRDefault="00D24E61">
      <w:pPr>
        <w:spacing w:line="323" w:lineRule="auto"/>
        <w:ind w:firstLine="600"/>
        <w:jc w:val="both"/>
        <w:rPr>
          <w:sz w:val="20"/>
          <w:szCs w:val="20"/>
        </w:rPr>
      </w:pPr>
      <w:r w:rsidRPr="00771368">
        <w:rPr>
          <w:sz w:val="24"/>
          <w:szCs w:val="24"/>
        </w:rPr>
        <w:t>Historicamente a família</w:t>
      </w:r>
      <w:r w:rsidRPr="00771368">
        <w:rPr>
          <w:sz w:val="32"/>
          <w:szCs w:val="32"/>
          <w:vertAlign w:val="superscript"/>
        </w:rPr>
        <w:t>25</w:t>
      </w:r>
      <w:r w:rsidRPr="00771368">
        <w:rPr>
          <w:sz w:val="24"/>
          <w:szCs w:val="24"/>
        </w:rPr>
        <w:t xml:space="preserve"> – na concepção jurídica – é tida como a base da sociedade, pressupondo ser um núcleo de poder religioso, político e/ou econômico. Nela seu principal representante, tem o papel de “líder”, geralmente centrado em uma pessoa, ou seja, o homem que como chefe de família detinha o poder sobre todos os que pertenciam à estrutura familiar.</w:t>
      </w:r>
    </w:p>
    <w:p w:rsidR="00D24E61" w:rsidRPr="00771368" w:rsidRDefault="00D24E61">
      <w:pPr>
        <w:spacing w:line="102" w:lineRule="exact"/>
        <w:rPr>
          <w:sz w:val="20"/>
          <w:szCs w:val="20"/>
        </w:rPr>
      </w:pPr>
    </w:p>
    <w:p w:rsidR="00D24E61" w:rsidRPr="00771368" w:rsidRDefault="00D24E61">
      <w:pPr>
        <w:spacing w:line="308" w:lineRule="auto"/>
        <w:ind w:firstLine="600"/>
        <w:jc w:val="both"/>
        <w:rPr>
          <w:sz w:val="20"/>
          <w:szCs w:val="20"/>
        </w:rPr>
      </w:pPr>
      <w:r w:rsidRPr="00771368">
        <w:rPr>
          <w:sz w:val="24"/>
          <w:szCs w:val="24"/>
        </w:rPr>
        <w:t>De acordo com a historiografia podemos observar que a família pertence e se forma a partir de um acontecimento demográfico, econômico, jurídico e, principalmente, por um</w:t>
      </w:r>
    </w:p>
    <w:p w:rsidR="00D24E61" w:rsidRPr="00771368" w:rsidRDefault="00013211">
      <w:pPr>
        <w:spacing w:line="316" w:lineRule="exact"/>
        <w:rPr>
          <w:sz w:val="20"/>
          <w:szCs w:val="20"/>
        </w:rPr>
      </w:pPr>
      <w:r>
        <w:rPr>
          <w:noProof/>
          <w:sz w:val="20"/>
          <w:szCs w:val="20"/>
        </w:rPr>
        <mc:AlternateContent>
          <mc:Choice Requires="wps">
            <w:drawing>
              <wp:anchor distT="0" distB="0" distL="0" distR="0" simplePos="0" relativeHeight="251706880" behindDoc="0" locked="0" layoutInCell="0" allowOverlap="1">
                <wp:simplePos x="0" y="0"/>
                <wp:positionH relativeFrom="column">
                  <wp:posOffset>1270</wp:posOffset>
                </wp:positionH>
                <wp:positionV relativeFrom="paragraph">
                  <wp:posOffset>179070</wp:posOffset>
                </wp:positionV>
                <wp:extent cx="1828800" cy="0"/>
                <wp:effectExtent l="10795" t="7620" r="8255" b="11430"/>
                <wp:wrapNone/>
                <wp:docPr id="22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70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4.1pt" to="144.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1ZR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" o:allowincell="f" strokeweight=".72pt"/>
            </w:pict>
          </mc:Fallback>
        </mc:AlternateContent>
      </w:r>
    </w:p>
    <w:p w:rsidR="00D24E61" w:rsidRPr="00771368" w:rsidRDefault="00D24E61" w:rsidP="00FA0ABA">
      <w:pPr>
        <w:numPr>
          <w:ilvl w:val="0"/>
          <w:numId w:val="28"/>
        </w:numPr>
        <w:tabs>
          <w:tab w:val="left" w:pos="180"/>
        </w:tabs>
        <w:spacing w:line="239" w:lineRule="auto"/>
        <w:ind w:left="180" w:hanging="178"/>
        <w:jc w:val="both"/>
        <w:rPr>
          <w:sz w:val="26"/>
          <w:szCs w:val="26"/>
          <w:vertAlign w:val="superscript"/>
        </w:rPr>
      </w:pPr>
      <w:r w:rsidRPr="00771368">
        <w:rPr>
          <w:sz w:val="20"/>
          <w:szCs w:val="20"/>
        </w:rPr>
        <w:t xml:space="preserve">PERROT, Michele. </w:t>
      </w:r>
      <w:r w:rsidRPr="00771368">
        <w:rPr>
          <w:b/>
          <w:bCs/>
          <w:sz w:val="20"/>
          <w:szCs w:val="20"/>
        </w:rPr>
        <w:t>As mulheres e os silêncios da História</w:t>
      </w:r>
      <w:r w:rsidRPr="00771368">
        <w:rPr>
          <w:sz w:val="20"/>
          <w:szCs w:val="20"/>
        </w:rPr>
        <w:t>. Bauru. SP. EDUSC, 2005. p. 177.</w:t>
      </w:r>
    </w:p>
    <w:p w:rsidR="00D24E61" w:rsidRPr="00771368" w:rsidRDefault="00D24E61">
      <w:pPr>
        <w:spacing w:line="20" w:lineRule="exact"/>
        <w:rPr>
          <w:sz w:val="26"/>
          <w:szCs w:val="26"/>
          <w:vertAlign w:val="superscript"/>
        </w:rPr>
      </w:pPr>
    </w:p>
    <w:p w:rsidR="00D24E61" w:rsidRPr="00771368" w:rsidRDefault="00D24E61" w:rsidP="00FA0ABA">
      <w:pPr>
        <w:numPr>
          <w:ilvl w:val="0"/>
          <w:numId w:val="28"/>
        </w:numPr>
        <w:tabs>
          <w:tab w:val="left" w:pos="180"/>
        </w:tabs>
        <w:spacing w:line="183" w:lineRule="auto"/>
        <w:ind w:left="180" w:hanging="178"/>
        <w:jc w:val="both"/>
        <w:rPr>
          <w:sz w:val="24"/>
          <w:szCs w:val="24"/>
          <w:vertAlign w:val="superscript"/>
        </w:rPr>
      </w:pPr>
      <w:r w:rsidRPr="00771368">
        <w:rPr>
          <w:sz w:val="18"/>
          <w:szCs w:val="18"/>
        </w:rPr>
        <w:t xml:space="preserve">Fonte: </w:t>
      </w:r>
      <w:r w:rsidRPr="00771368">
        <w:rPr>
          <w:i/>
          <w:iCs/>
          <w:sz w:val="18"/>
          <w:szCs w:val="18"/>
        </w:rPr>
        <w:t>site</w:t>
      </w:r>
      <w:r w:rsidRPr="00771368">
        <w:rPr>
          <w:sz w:val="18"/>
          <w:szCs w:val="18"/>
        </w:rPr>
        <w:t xml:space="preserve"> da Câmara de Vereadores de Caxias do Sul.</w:t>
      </w:r>
    </w:p>
    <w:p w:rsidR="00D24E61" w:rsidRPr="00771368" w:rsidRDefault="00295FC8">
      <w:pPr>
        <w:spacing w:line="228" w:lineRule="auto"/>
        <w:ind w:left="240"/>
        <w:rPr>
          <w:color w:val="0000FF"/>
          <w:sz w:val="20"/>
          <w:szCs w:val="20"/>
        </w:rPr>
      </w:pPr>
      <w:hyperlink r:id="rId383">
        <w:r w:rsidR="00D24E61" w:rsidRPr="00771368">
          <w:rPr>
            <w:color w:val="0000FF"/>
            <w:sz w:val="20"/>
            <w:szCs w:val="20"/>
            <w:u w:val="single"/>
          </w:rPr>
          <w:t>http://liquid.camaracaxias.rs.gov.br/LiquidWeb/App/View.aspx?c=55610&amp;p=0</w:t>
        </w:r>
        <w:r w:rsidR="00D24E61" w:rsidRPr="00771368">
          <w:rPr>
            <w:color w:val="000000"/>
            <w:sz w:val="20"/>
            <w:szCs w:val="20"/>
          </w:rPr>
          <w:t xml:space="preserve">. </w:t>
        </w:r>
      </w:hyperlink>
      <w:r w:rsidR="00D24E61" w:rsidRPr="00771368">
        <w:rPr>
          <w:color w:val="0000FF"/>
          <w:sz w:val="20"/>
          <w:szCs w:val="20"/>
        </w:rPr>
        <w:t xml:space="preserve">Acesso </w:t>
      </w:r>
      <w:r w:rsidR="00D24E61" w:rsidRPr="00771368">
        <w:rPr>
          <w:color w:val="000000"/>
          <w:sz w:val="20"/>
          <w:szCs w:val="20"/>
        </w:rPr>
        <w:t>em 17 de fev. 2013.</w:t>
      </w:r>
    </w:p>
    <w:p w:rsidR="00D24E61" w:rsidRPr="00771368" w:rsidRDefault="00D24E61">
      <w:pPr>
        <w:spacing w:line="62" w:lineRule="exact"/>
        <w:rPr>
          <w:sz w:val="20"/>
          <w:szCs w:val="20"/>
        </w:rPr>
      </w:pPr>
    </w:p>
    <w:p w:rsidR="00D24E61" w:rsidRPr="00771368" w:rsidRDefault="00D24E61" w:rsidP="00FA0ABA">
      <w:pPr>
        <w:numPr>
          <w:ilvl w:val="0"/>
          <w:numId w:val="29"/>
        </w:numPr>
        <w:tabs>
          <w:tab w:val="left" w:pos="192"/>
        </w:tabs>
        <w:spacing w:line="186" w:lineRule="auto"/>
        <w:ind w:left="240" w:hanging="238"/>
        <w:jc w:val="both"/>
        <w:rPr>
          <w:sz w:val="26"/>
          <w:szCs w:val="26"/>
          <w:vertAlign w:val="superscript"/>
        </w:rPr>
      </w:pPr>
      <w:r w:rsidRPr="00771368">
        <w:rPr>
          <w:sz w:val="20"/>
          <w:szCs w:val="20"/>
        </w:rPr>
        <w:t>Ministro no governo da família, e o seu ministro se resume e se compelia em uma palavra, sacrifício. (Tradução nossa).</w:t>
      </w:r>
    </w:p>
    <w:p w:rsidR="00D24E61" w:rsidRPr="00771368" w:rsidRDefault="00D24E61">
      <w:pPr>
        <w:spacing w:line="50" w:lineRule="exact"/>
        <w:rPr>
          <w:sz w:val="26"/>
          <w:szCs w:val="26"/>
          <w:vertAlign w:val="superscript"/>
        </w:rPr>
      </w:pPr>
    </w:p>
    <w:p w:rsidR="00D24E61" w:rsidRPr="00771368" w:rsidRDefault="00D24E61" w:rsidP="00FA0ABA">
      <w:pPr>
        <w:numPr>
          <w:ilvl w:val="0"/>
          <w:numId w:val="29"/>
        </w:numPr>
        <w:tabs>
          <w:tab w:val="left" w:pos="202"/>
        </w:tabs>
        <w:spacing w:line="185" w:lineRule="auto"/>
        <w:ind w:left="240" w:hanging="238"/>
        <w:jc w:val="both"/>
        <w:rPr>
          <w:sz w:val="26"/>
          <w:szCs w:val="26"/>
          <w:vertAlign w:val="superscript"/>
        </w:rPr>
      </w:pPr>
      <w:r w:rsidRPr="00771368">
        <w:rPr>
          <w:sz w:val="20"/>
          <w:szCs w:val="20"/>
        </w:rPr>
        <w:t xml:space="preserve">CASTRO, Adriana Mendes Oliveira de. A família, a sociedade e o direito. In. </w:t>
      </w:r>
      <w:r w:rsidRPr="00771368">
        <w:rPr>
          <w:b/>
          <w:bCs/>
          <w:sz w:val="20"/>
          <w:szCs w:val="20"/>
        </w:rPr>
        <w:t>Pessoa, gênero e família: uma</w:t>
      </w:r>
      <w:r w:rsidRPr="00771368">
        <w:rPr>
          <w:sz w:val="20"/>
          <w:szCs w:val="20"/>
        </w:rPr>
        <w:t xml:space="preserve"> </w:t>
      </w:r>
      <w:r w:rsidRPr="00771368">
        <w:rPr>
          <w:b/>
          <w:bCs/>
          <w:sz w:val="20"/>
          <w:szCs w:val="20"/>
        </w:rPr>
        <w:t xml:space="preserve">visão integrada do Direito. </w:t>
      </w:r>
      <w:r w:rsidRPr="00771368">
        <w:rPr>
          <w:sz w:val="20"/>
          <w:szCs w:val="20"/>
        </w:rPr>
        <w:t>Porto Alegre: Livraria do Advogado, 2002, p. 87.</w:t>
      </w:r>
    </w:p>
    <w:p w:rsidR="00D24E61" w:rsidRPr="00771368" w:rsidRDefault="00D24E61">
      <w:pPr>
        <w:spacing w:line="211" w:lineRule="exact"/>
        <w:rPr>
          <w:sz w:val="20"/>
          <w:szCs w:val="20"/>
        </w:rPr>
      </w:pPr>
    </w:p>
    <w:p w:rsidR="00D24E61" w:rsidRPr="00771368" w:rsidRDefault="00D24E61">
      <w:pPr>
        <w:spacing w:line="313" w:lineRule="exact"/>
        <w:rPr>
          <w:sz w:val="20"/>
          <w:szCs w:val="20"/>
        </w:rPr>
      </w:pPr>
    </w:p>
    <w:p w:rsidR="00D24E61" w:rsidRPr="00771368" w:rsidRDefault="00D24E61">
      <w:pPr>
        <w:spacing w:line="344" w:lineRule="auto"/>
        <w:jc w:val="both"/>
        <w:rPr>
          <w:sz w:val="20"/>
          <w:szCs w:val="20"/>
        </w:rPr>
      </w:pPr>
      <w:r w:rsidRPr="00771368">
        <w:rPr>
          <w:sz w:val="24"/>
          <w:szCs w:val="24"/>
        </w:rPr>
        <w:t>conjunto de vínculos humanos ligados por laços culturais. É uma organização social que guarda um conjunto intrínseco de costumes que se flexibilizaram com o passar do tempo visando o seu bem-estar. A família sempre buscou fórmulas para atingir os seus objetivos quer fossem de cunho individual ou do grupo principal. Em diferentes contextos a família remodelou e se reestruturou e, uma vez renovada, alterou não somente a “textura dos papéis intrafamiliares, mas também a funcionalidade das relações [nucleares visando atender] as necessidades estruturais de mudanças sociais”</w:t>
      </w:r>
      <w:r w:rsidRPr="00771368">
        <w:rPr>
          <w:sz w:val="32"/>
          <w:szCs w:val="32"/>
          <w:vertAlign w:val="superscript"/>
        </w:rPr>
        <w:t>26</w:t>
      </w:r>
      <w:r w:rsidRPr="00771368">
        <w:rPr>
          <w:sz w:val="24"/>
          <w:szCs w:val="24"/>
        </w:rPr>
        <w:t xml:space="preserve"> que, desde o início do século XX, emergiram frente à nova conjuntura política e econômica. Portanto, a família e as diferentes formas de casamento são instituições simbólicas que compreendem uma determinada categoria de relações sociais que podem ser ou não reconhecidas oficialmente. O casamento, visto como gênese de uma nova família e monopolizado pelo sacramento da Igreja Católica, somente passou a ter valor de contrato</w:t>
      </w:r>
      <w:r w:rsidRPr="00771368">
        <w:rPr>
          <w:sz w:val="32"/>
          <w:szCs w:val="32"/>
          <w:vertAlign w:val="superscript"/>
        </w:rPr>
        <w:t>27</w:t>
      </w:r>
      <w:r w:rsidRPr="00771368">
        <w:rPr>
          <w:sz w:val="24"/>
          <w:szCs w:val="24"/>
        </w:rPr>
        <w:t xml:space="preserve"> após a Proclamação da República quando Estado tornou-se laico. O casamento civil legalizado pelo Estado e reconhecido pela Igreja Católica apoiou-se nos discursos de médicos e higienista que, segundo Ana Silvia Scott</w:t>
      </w:r>
      <w:r w:rsidRPr="00771368">
        <w:rPr>
          <w:sz w:val="32"/>
          <w:szCs w:val="32"/>
          <w:vertAlign w:val="superscript"/>
        </w:rPr>
        <w:t>28</w:t>
      </w:r>
      <w:r w:rsidRPr="00771368">
        <w:rPr>
          <w:sz w:val="24"/>
          <w:szCs w:val="24"/>
        </w:rPr>
        <w:t xml:space="preserve"> “criticavam a separação entre amor e sexo, advogando integração de ambos no matrimônio como a forma mais saudável e moralmente recomendável de relacionamento”. Neste contexto, a privacidade era a regra e os “desvios” femininos, foram motivo de fofocas, escândalos, julgamentos, condenação e desmoralização da mulher, uma vez que a sociedade procurava apoiar-se em costumes e valores que foram construídos e impostos a longo tempo e os quais tendem a se tornar modelo a ser seguido por todos. Porém, entre o discurso e a prática os Processos-crime de defloramento e sedução apontam a existência de outras relações e modelos. De acordo com a norma a mulher, por ser considerada mais “vulnerável” deveria observar com mais atenção às regras sociais e hierárquicas, pois quando contrariadas através de seu comportamento ela seria rotulada de anormal, doente, pervertida, entre outros chavões desqualificadores. A mulher quando movida pelo desejo sexual ficava fora do padrão da mulher apta e ideal para se tornar esposa e mãe, pois para merecer o “título” de “rainha do lar” qualquer liberalidade</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07904" behindDoc="0" locked="0" layoutInCell="0" allowOverlap="1">
                <wp:simplePos x="0" y="0"/>
                <wp:positionH relativeFrom="column">
                  <wp:posOffset>1270</wp:posOffset>
                </wp:positionH>
                <wp:positionV relativeFrom="paragraph">
                  <wp:posOffset>170815</wp:posOffset>
                </wp:positionV>
                <wp:extent cx="1828800" cy="0"/>
                <wp:effectExtent l="10795" t="8890" r="8255" b="10160"/>
                <wp:wrapNone/>
                <wp:docPr id="22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0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3.45pt" to="144.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IFVFA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" o:allowincell="f" strokeweight=".72pt"/>
            </w:pict>
          </mc:Fallback>
        </mc:AlternateContent>
      </w:r>
    </w:p>
    <w:p w:rsidR="00D24E61" w:rsidRPr="00771368" w:rsidRDefault="00D24E61">
      <w:pPr>
        <w:spacing w:line="221" w:lineRule="exact"/>
        <w:rPr>
          <w:sz w:val="20"/>
          <w:szCs w:val="20"/>
        </w:rPr>
      </w:pPr>
    </w:p>
    <w:p w:rsidR="00D24E61" w:rsidRPr="00771368" w:rsidRDefault="00D24E61" w:rsidP="00FA0ABA">
      <w:pPr>
        <w:numPr>
          <w:ilvl w:val="0"/>
          <w:numId w:val="30"/>
        </w:numPr>
        <w:tabs>
          <w:tab w:val="left" w:pos="204"/>
        </w:tabs>
        <w:spacing w:line="186" w:lineRule="auto"/>
        <w:ind w:left="240" w:right="20" w:hanging="238"/>
        <w:jc w:val="both"/>
        <w:rPr>
          <w:sz w:val="26"/>
          <w:szCs w:val="26"/>
          <w:vertAlign w:val="superscript"/>
        </w:rPr>
      </w:pPr>
      <w:r w:rsidRPr="00771368">
        <w:rPr>
          <w:sz w:val="20"/>
          <w:szCs w:val="20"/>
        </w:rPr>
        <w:t xml:space="preserve">CICERCHIA, Ricardo. Historiografia das formas familiares. Dilemas e encruzilhadas. In. </w:t>
      </w:r>
      <w:r w:rsidRPr="00771368">
        <w:rPr>
          <w:b/>
          <w:bCs/>
          <w:sz w:val="20"/>
          <w:szCs w:val="20"/>
        </w:rPr>
        <w:t>História: Questões</w:t>
      </w:r>
      <w:r w:rsidRPr="00771368">
        <w:rPr>
          <w:sz w:val="20"/>
          <w:szCs w:val="20"/>
        </w:rPr>
        <w:t xml:space="preserve"> </w:t>
      </w:r>
      <w:r w:rsidRPr="00771368">
        <w:rPr>
          <w:b/>
          <w:bCs/>
          <w:sz w:val="20"/>
          <w:szCs w:val="20"/>
        </w:rPr>
        <w:t xml:space="preserve">&amp; debates. </w:t>
      </w:r>
      <w:r w:rsidRPr="00771368">
        <w:rPr>
          <w:sz w:val="20"/>
          <w:szCs w:val="20"/>
        </w:rPr>
        <w:t>Curitiba, n 50, p. 105, jan. /jun. 2009. Ed. UFPR.</w:t>
      </w:r>
    </w:p>
    <w:p w:rsidR="00D24E61" w:rsidRPr="00771368" w:rsidRDefault="00D24E61">
      <w:pPr>
        <w:spacing w:line="51" w:lineRule="exact"/>
        <w:rPr>
          <w:sz w:val="26"/>
          <w:szCs w:val="26"/>
          <w:vertAlign w:val="superscript"/>
        </w:rPr>
      </w:pPr>
    </w:p>
    <w:p w:rsidR="00D24E61" w:rsidRPr="00771368" w:rsidRDefault="00D24E61" w:rsidP="00FA0ABA">
      <w:pPr>
        <w:numPr>
          <w:ilvl w:val="0"/>
          <w:numId w:val="30"/>
        </w:numPr>
        <w:tabs>
          <w:tab w:val="left" w:pos="197"/>
        </w:tabs>
        <w:spacing w:line="202" w:lineRule="auto"/>
        <w:ind w:left="240" w:right="20" w:hanging="238"/>
        <w:jc w:val="both"/>
        <w:rPr>
          <w:sz w:val="26"/>
          <w:szCs w:val="26"/>
          <w:vertAlign w:val="superscript"/>
        </w:rPr>
      </w:pPr>
      <w:r w:rsidRPr="00771368">
        <w:rPr>
          <w:sz w:val="20"/>
          <w:szCs w:val="20"/>
        </w:rPr>
        <w:t>Conforme Clóvis Beviláqua (1976, p. 35), o contrato é também um ato jurídico, diferenciado, especificamente, dos outros por se constituir mediante acordo de interesses, coincidências de vontades. E, justamente, esse consentimento recíproco é, atualmente, o ponto central da celebração do casamento.</w:t>
      </w:r>
    </w:p>
    <w:p w:rsidR="00D24E61" w:rsidRPr="00771368" w:rsidRDefault="00D24E61">
      <w:pPr>
        <w:spacing w:line="52" w:lineRule="exact"/>
        <w:rPr>
          <w:sz w:val="26"/>
          <w:szCs w:val="26"/>
          <w:vertAlign w:val="superscript"/>
        </w:rPr>
      </w:pPr>
    </w:p>
    <w:p w:rsidR="00D24E61" w:rsidRPr="00771368" w:rsidRDefault="00D24E61" w:rsidP="00FA0ABA">
      <w:pPr>
        <w:numPr>
          <w:ilvl w:val="0"/>
          <w:numId w:val="30"/>
        </w:numPr>
        <w:tabs>
          <w:tab w:val="left" w:pos="192"/>
        </w:tabs>
        <w:spacing w:line="185" w:lineRule="auto"/>
        <w:ind w:left="240" w:right="180" w:hanging="238"/>
        <w:jc w:val="both"/>
        <w:rPr>
          <w:sz w:val="26"/>
          <w:szCs w:val="26"/>
          <w:vertAlign w:val="superscript"/>
        </w:rPr>
      </w:pPr>
      <w:r w:rsidRPr="00771368">
        <w:rPr>
          <w:sz w:val="20"/>
          <w:szCs w:val="20"/>
        </w:rPr>
        <w:t xml:space="preserve">SCOTT, Ana Silvia. O caleidoscópio dos arranjos familiares. In. </w:t>
      </w:r>
      <w:r w:rsidRPr="00771368">
        <w:rPr>
          <w:b/>
          <w:bCs/>
          <w:sz w:val="20"/>
          <w:szCs w:val="20"/>
        </w:rPr>
        <w:t>Nova História das mulheres no Brasil.</w:t>
      </w:r>
      <w:r w:rsidRPr="00771368">
        <w:rPr>
          <w:sz w:val="20"/>
          <w:szCs w:val="20"/>
        </w:rPr>
        <w:t xml:space="preserve"> São Paulo: Contexto, 2012, p. 15.</w:t>
      </w:r>
    </w:p>
    <w:p w:rsidR="00D24E61" w:rsidRPr="00771368" w:rsidRDefault="00D24E61">
      <w:pPr>
        <w:spacing w:line="174" w:lineRule="exact"/>
        <w:rPr>
          <w:sz w:val="20"/>
          <w:szCs w:val="20"/>
        </w:rPr>
      </w:pPr>
    </w:p>
    <w:p w:rsidR="00D24E61" w:rsidRPr="00771368" w:rsidRDefault="00D24E61">
      <w:pPr>
        <w:spacing w:line="313" w:lineRule="exact"/>
        <w:rPr>
          <w:sz w:val="20"/>
          <w:szCs w:val="20"/>
        </w:rPr>
      </w:pPr>
    </w:p>
    <w:p w:rsidR="00D24E61" w:rsidRPr="00771368" w:rsidRDefault="00D24E61">
      <w:pPr>
        <w:spacing w:line="322" w:lineRule="auto"/>
        <w:jc w:val="both"/>
        <w:rPr>
          <w:sz w:val="20"/>
          <w:szCs w:val="20"/>
        </w:rPr>
      </w:pPr>
      <w:r w:rsidRPr="00771368">
        <w:rPr>
          <w:sz w:val="24"/>
          <w:szCs w:val="24"/>
        </w:rPr>
        <w:t>subjetiva e manifestação de seus desejos íntimos deveriam ser reprimidos. Estes princípios idealizadores dos comportamentos femininos foram definidos pelo Código Civil de 1916 e, segundo observa Sueann Caulfield</w:t>
      </w:r>
      <w:r w:rsidRPr="00771368">
        <w:rPr>
          <w:sz w:val="32"/>
          <w:szCs w:val="32"/>
          <w:vertAlign w:val="superscript"/>
        </w:rPr>
        <w:t>29</w:t>
      </w:r>
      <w:r w:rsidRPr="00771368">
        <w:rPr>
          <w:sz w:val="24"/>
          <w:szCs w:val="24"/>
        </w:rPr>
        <w:t>, “refletiam nos valores culturais que condenavam comportamentos femininos ilícitos, mas não os do homem, como o paternalismo tradicional que diluía os princípios liberais de igualdade e responsabilidade”. Michele Perrot</w:t>
      </w:r>
      <w:r w:rsidRPr="00771368">
        <w:rPr>
          <w:sz w:val="32"/>
          <w:szCs w:val="32"/>
          <w:vertAlign w:val="superscript"/>
        </w:rPr>
        <w:t>30</w:t>
      </w:r>
      <w:r w:rsidRPr="00771368">
        <w:rPr>
          <w:sz w:val="24"/>
          <w:szCs w:val="24"/>
        </w:rPr>
        <w:t xml:space="preserve"> destaca que para a mulher honesta “falar de sexo [e pensar] era objeto de profundo recalque” até mesmo após o casamento, quando o ato sexual era permitido, porém visando um único objetivo a perpetuação da espécie humana. Posicionamento também presente quando Francisco F. de Mello Vasconcellos</w:t>
      </w:r>
      <w:r w:rsidRPr="00771368">
        <w:rPr>
          <w:sz w:val="32"/>
          <w:szCs w:val="32"/>
          <w:vertAlign w:val="superscript"/>
        </w:rPr>
        <w:t>31</w:t>
      </w:r>
      <w:r w:rsidRPr="00771368">
        <w:rPr>
          <w:sz w:val="24"/>
          <w:szCs w:val="24"/>
        </w:rPr>
        <w:t xml:space="preserve"> em sua tese na área da Medicina em 1915, dizia que</w:t>
      </w:r>
    </w:p>
    <w:p w:rsidR="00D24E61" w:rsidRPr="00771368" w:rsidRDefault="00D24E61">
      <w:pPr>
        <w:spacing w:line="18" w:lineRule="exact"/>
        <w:rPr>
          <w:sz w:val="20"/>
          <w:szCs w:val="20"/>
        </w:rPr>
      </w:pPr>
    </w:p>
    <w:p w:rsidR="00D24E61" w:rsidRPr="00771368" w:rsidRDefault="00D24E61">
      <w:pPr>
        <w:spacing w:line="231" w:lineRule="auto"/>
        <w:ind w:left="2280"/>
        <w:jc w:val="both"/>
        <w:rPr>
          <w:sz w:val="20"/>
          <w:szCs w:val="20"/>
        </w:rPr>
      </w:pPr>
      <w:r w:rsidRPr="00771368">
        <w:t xml:space="preserve">Todo ato </w:t>
      </w:r>
      <w:r w:rsidRPr="00771368">
        <w:rPr>
          <w:i/>
          <w:iCs/>
        </w:rPr>
        <w:t>physiologico</w:t>
      </w:r>
      <w:r w:rsidRPr="00771368">
        <w:t xml:space="preserve"> sexual, contrariado e incompletamente consumado é pernicioso; o homem na execução do ato matrimonial deve abandonar-se a deliciosa recompensa que a natureza lhe dá pelo cumprimento de seu dever de macho, em que a sua natureza é como que empolgada no esquecimento de tudo, inteiramente absorvido, ele deve concorrer com alma, corpo e coração na realização integral da reprodução.</w:t>
      </w:r>
    </w:p>
    <w:p w:rsidR="00D24E61" w:rsidRPr="00771368" w:rsidRDefault="00D24E61">
      <w:pPr>
        <w:spacing w:line="257" w:lineRule="exact"/>
        <w:rPr>
          <w:sz w:val="20"/>
          <w:szCs w:val="20"/>
        </w:rPr>
      </w:pPr>
    </w:p>
    <w:p w:rsidR="00D24E61" w:rsidRPr="00771368" w:rsidRDefault="00D24E61">
      <w:pPr>
        <w:spacing w:line="239" w:lineRule="auto"/>
        <w:ind w:left="720"/>
        <w:rPr>
          <w:sz w:val="20"/>
          <w:szCs w:val="20"/>
        </w:rPr>
      </w:pPr>
      <w:r w:rsidRPr="00771368">
        <w:t>Segundo Vasconcellos, ao homem eram permitidas aventuras e/ou experiências diversas, antes</w:t>
      </w:r>
    </w:p>
    <w:p w:rsidR="00D24E61" w:rsidRPr="00771368" w:rsidRDefault="00D24E61">
      <w:pPr>
        <w:spacing w:line="128" w:lineRule="exact"/>
        <w:rPr>
          <w:sz w:val="20"/>
          <w:szCs w:val="20"/>
        </w:rPr>
      </w:pPr>
    </w:p>
    <w:p w:rsidR="00D24E61" w:rsidRPr="00771368" w:rsidRDefault="00D24E61">
      <w:pPr>
        <w:spacing w:line="239" w:lineRule="auto"/>
        <w:rPr>
          <w:sz w:val="20"/>
          <w:szCs w:val="20"/>
        </w:rPr>
      </w:pPr>
      <w:r w:rsidRPr="00771368">
        <w:t>e durante o casamento, pois precisava exercer seu papel de macho e seus instintos sexuais deviam ser</w:t>
      </w:r>
    </w:p>
    <w:p w:rsidR="00D24E61" w:rsidRPr="00771368" w:rsidRDefault="00D24E61">
      <w:pPr>
        <w:spacing w:line="181" w:lineRule="exact"/>
        <w:rPr>
          <w:sz w:val="20"/>
          <w:szCs w:val="20"/>
        </w:rPr>
      </w:pPr>
    </w:p>
    <w:p w:rsidR="00D24E61" w:rsidRPr="00771368" w:rsidRDefault="00D24E61">
      <w:pPr>
        <w:spacing w:line="319" w:lineRule="auto"/>
        <w:jc w:val="both"/>
        <w:rPr>
          <w:sz w:val="20"/>
          <w:szCs w:val="20"/>
        </w:rPr>
      </w:pPr>
      <w:r w:rsidRPr="00771368">
        <w:rPr>
          <w:sz w:val="21"/>
          <w:szCs w:val="21"/>
        </w:rPr>
        <w:t>satisfeitos. A mulher deveria se manter casta, assexuada e limitada à procriação. Conforme alguns seguidores de Viveiros de Castro</w:t>
      </w:r>
      <w:r w:rsidRPr="00771368">
        <w:rPr>
          <w:sz w:val="26"/>
          <w:szCs w:val="26"/>
          <w:vertAlign w:val="superscript"/>
        </w:rPr>
        <w:t>32</w:t>
      </w:r>
      <w:r w:rsidRPr="00771368">
        <w:rPr>
          <w:sz w:val="21"/>
          <w:szCs w:val="21"/>
        </w:rPr>
        <w:t xml:space="preserve"> qualquer mulher que mantivesse relações sexuais fora do casamento</w:t>
      </w:r>
    </w:p>
    <w:p w:rsidR="00D24E61" w:rsidRPr="00771368" w:rsidRDefault="00D24E61">
      <w:pPr>
        <w:tabs>
          <w:tab w:val="left" w:pos="2080"/>
        </w:tabs>
        <w:spacing w:line="227" w:lineRule="auto"/>
        <w:rPr>
          <w:sz w:val="20"/>
          <w:szCs w:val="20"/>
        </w:rPr>
      </w:pPr>
      <w:r w:rsidRPr="00771368">
        <w:t>era  considerada  uma</w:t>
      </w:r>
      <w:r w:rsidRPr="00771368">
        <w:rPr>
          <w:sz w:val="20"/>
          <w:szCs w:val="20"/>
        </w:rPr>
        <w:tab/>
      </w:r>
      <w:r w:rsidRPr="00771368">
        <w:t>“prostituta  clandestina”.  Um  conjunto  de  elementos  que  criaram  a  dupla</w:t>
      </w:r>
    </w:p>
    <w:p w:rsidR="00D24E61" w:rsidRPr="00771368" w:rsidRDefault="00D24E61">
      <w:pPr>
        <w:spacing w:line="129" w:lineRule="exact"/>
        <w:rPr>
          <w:sz w:val="20"/>
          <w:szCs w:val="20"/>
        </w:rPr>
      </w:pPr>
    </w:p>
    <w:p w:rsidR="00D24E61" w:rsidRPr="00771368" w:rsidRDefault="00D24E61">
      <w:pPr>
        <w:spacing w:line="239" w:lineRule="auto"/>
        <w:rPr>
          <w:sz w:val="20"/>
          <w:szCs w:val="20"/>
        </w:rPr>
      </w:pPr>
      <w:r w:rsidRPr="00771368">
        <w:t>identidade feminina e/ou duas categorias de mulheres, ou seja, de mulher honesta/honrada, apta para</w:t>
      </w:r>
    </w:p>
    <w:p w:rsidR="00D24E61" w:rsidRPr="00771368" w:rsidRDefault="00D24E61">
      <w:pPr>
        <w:spacing w:line="127" w:lineRule="exact"/>
        <w:rPr>
          <w:sz w:val="20"/>
          <w:szCs w:val="20"/>
        </w:rPr>
      </w:pPr>
    </w:p>
    <w:p w:rsidR="00D24E61" w:rsidRPr="00771368" w:rsidRDefault="00D24E61">
      <w:pPr>
        <w:spacing w:line="239" w:lineRule="auto"/>
        <w:rPr>
          <w:sz w:val="20"/>
          <w:szCs w:val="20"/>
        </w:rPr>
      </w:pPr>
      <w:r w:rsidRPr="00771368">
        <w:t>ser esposa e mãe, exemplo de mulher abnegada, dócil e pura mostrando-se sempre preocupada com o</w:t>
      </w:r>
    </w:p>
    <w:p w:rsidR="00D24E61" w:rsidRPr="00771368" w:rsidRDefault="00D24E61">
      <w:pPr>
        <w:spacing w:line="127" w:lineRule="exact"/>
        <w:rPr>
          <w:sz w:val="20"/>
          <w:szCs w:val="20"/>
        </w:rPr>
      </w:pPr>
    </w:p>
    <w:p w:rsidR="00D24E61" w:rsidRPr="00771368" w:rsidRDefault="00D24E61">
      <w:pPr>
        <w:spacing w:line="239" w:lineRule="auto"/>
        <w:rPr>
          <w:sz w:val="20"/>
          <w:szCs w:val="20"/>
        </w:rPr>
      </w:pPr>
      <w:r w:rsidRPr="00771368">
        <w:t>bem-estar do esposo e da prole. E, no oposto, estaria àquela considerada moderna, a mulher que saía de</w:t>
      </w:r>
    </w:p>
    <w:p w:rsidR="00D24E61" w:rsidRPr="00771368" w:rsidRDefault="00D24E61">
      <w:pPr>
        <w:spacing w:line="128" w:lineRule="exact"/>
        <w:rPr>
          <w:sz w:val="20"/>
          <w:szCs w:val="20"/>
        </w:rPr>
      </w:pPr>
    </w:p>
    <w:p w:rsidR="00D24E61" w:rsidRPr="00771368" w:rsidRDefault="00D24E61">
      <w:pPr>
        <w:spacing w:line="239" w:lineRule="auto"/>
        <w:rPr>
          <w:sz w:val="20"/>
          <w:szCs w:val="20"/>
        </w:rPr>
      </w:pPr>
      <w:r w:rsidRPr="00771368">
        <w:t>casa para trabalhar e, mesmo tendo que buscar o seu sustento, incorria nos perigos dicotômicos que</w:t>
      </w:r>
    </w:p>
    <w:p w:rsidR="00D24E61" w:rsidRPr="00771368" w:rsidRDefault="00D24E61">
      <w:pPr>
        <w:spacing w:line="127" w:lineRule="exact"/>
        <w:rPr>
          <w:sz w:val="20"/>
          <w:szCs w:val="20"/>
        </w:rPr>
      </w:pPr>
    </w:p>
    <w:p w:rsidR="00D24E61" w:rsidRPr="00771368" w:rsidRDefault="00D24E61">
      <w:pPr>
        <w:spacing w:line="239" w:lineRule="auto"/>
        <w:rPr>
          <w:sz w:val="20"/>
          <w:szCs w:val="20"/>
        </w:rPr>
      </w:pPr>
      <w:r w:rsidRPr="00771368">
        <w:t>envolvia o espaço público que ora era apresentado como símbolo do progresso e como de contágio</w:t>
      </w:r>
    </w:p>
    <w:p w:rsidR="00D24E61" w:rsidRPr="00771368" w:rsidRDefault="00D24E61">
      <w:pPr>
        <w:spacing w:line="186" w:lineRule="exact"/>
        <w:rPr>
          <w:sz w:val="20"/>
          <w:szCs w:val="20"/>
        </w:rPr>
      </w:pPr>
    </w:p>
    <w:p w:rsidR="00D24E61" w:rsidRPr="00771368" w:rsidRDefault="00D24E61">
      <w:pPr>
        <w:spacing w:line="334" w:lineRule="auto"/>
        <w:jc w:val="both"/>
        <w:rPr>
          <w:sz w:val="20"/>
          <w:szCs w:val="20"/>
        </w:rPr>
      </w:pPr>
      <w:r w:rsidRPr="00771368">
        <w:t xml:space="preserve">moral. Nesse contexto, Lili foi julgada por Joaquim quando afirmou que </w:t>
      </w:r>
      <w:r w:rsidRPr="00771368">
        <w:rPr>
          <w:sz w:val="24"/>
          <w:szCs w:val="24"/>
        </w:rPr>
        <w:t>ela já havia tido</w:t>
      </w:r>
      <w:r w:rsidRPr="00771368">
        <w:t xml:space="preserve"> </w:t>
      </w:r>
      <w:r w:rsidRPr="00771368">
        <w:rPr>
          <w:sz w:val="24"/>
          <w:szCs w:val="24"/>
        </w:rPr>
        <w:t>“diversos</w:t>
      </w:r>
      <w:r w:rsidRPr="00771368">
        <w:t xml:space="preserve"> </w:t>
      </w:r>
      <w:r w:rsidRPr="00771368">
        <w:rPr>
          <w:sz w:val="24"/>
          <w:szCs w:val="24"/>
        </w:rPr>
        <w:t>namorados e com eles costuma passear de automóvel e havia tirado diversas fotografias”. Passeios públicos de uma mulher moça e honesta com o namorado ou qualquer outro homem</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08928" behindDoc="0" locked="0" layoutInCell="0" allowOverlap="1">
                <wp:simplePos x="0" y="0"/>
                <wp:positionH relativeFrom="column">
                  <wp:posOffset>1270</wp:posOffset>
                </wp:positionH>
                <wp:positionV relativeFrom="paragraph">
                  <wp:posOffset>167005</wp:posOffset>
                </wp:positionV>
                <wp:extent cx="1828800" cy="0"/>
                <wp:effectExtent l="10795" t="5080" r="8255" b="13970"/>
                <wp:wrapNone/>
                <wp:docPr id="22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0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3.15pt" to="1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d2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" o:allowincell="f" strokeweight=".25397mm"/>
            </w:pict>
          </mc:Fallback>
        </mc:AlternateContent>
      </w:r>
    </w:p>
    <w:p w:rsidR="00D24E61" w:rsidRPr="00771368" w:rsidRDefault="00D24E61">
      <w:pPr>
        <w:spacing w:line="215" w:lineRule="exact"/>
        <w:rPr>
          <w:sz w:val="20"/>
          <w:szCs w:val="20"/>
        </w:rPr>
      </w:pPr>
    </w:p>
    <w:p w:rsidR="00D24E61" w:rsidRPr="00771368" w:rsidRDefault="00D24E61" w:rsidP="00FA0ABA">
      <w:pPr>
        <w:numPr>
          <w:ilvl w:val="0"/>
          <w:numId w:val="31"/>
        </w:numPr>
        <w:tabs>
          <w:tab w:val="left" w:pos="194"/>
        </w:tabs>
        <w:spacing w:line="185" w:lineRule="auto"/>
        <w:ind w:left="240" w:hanging="238"/>
        <w:jc w:val="both"/>
        <w:rPr>
          <w:sz w:val="26"/>
          <w:szCs w:val="26"/>
          <w:vertAlign w:val="superscript"/>
        </w:rPr>
      </w:pPr>
      <w:r w:rsidRPr="00771368">
        <w:rPr>
          <w:sz w:val="20"/>
          <w:szCs w:val="20"/>
        </w:rPr>
        <w:t xml:space="preserve">CAULFIELD, Sueann. </w:t>
      </w:r>
      <w:r w:rsidRPr="00771368">
        <w:rPr>
          <w:b/>
          <w:bCs/>
          <w:sz w:val="20"/>
          <w:szCs w:val="20"/>
        </w:rPr>
        <w:t>Em defesa da honra:</w:t>
      </w:r>
      <w:r w:rsidRPr="00771368">
        <w:rPr>
          <w:sz w:val="20"/>
          <w:szCs w:val="20"/>
        </w:rPr>
        <w:t xml:space="preserve"> moralidade, modernidade e nação no Rio de Janeiro, 1918-1940. Campinas, ed. Unicamp, 2000, p. 69.</w:t>
      </w:r>
    </w:p>
    <w:p w:rsidR="00D24E61" w:rsidRPr="00771368" w:rsidRDefault="00D24E61">
      <w:pPr>
        <w:spacing w:line="50" w:lineRule="exact"/>
        <w:rPr>
          <w:sz w:val="26"/>
          <w:szCs w:val="26"/>
          <w:vertAlign w:val="superscript"/>
        </w:rPr>
      </w:pPr>
    </w:p>
    <w:p w:rsidR="00D24E61" w:rsidRPr="00771368" w:rsidRDefault="00D24E61" w:rsidP="00FA0ABA">
      <w:pPr>
        <w:numPr>
          <w:ilvl w:val="0"/>
          <w:numId w:val="31"/>
        </w:numPr>
        <w:tabs>
          <w:tab w:val="left" w:pos="221"/>
        </w:tabs>
        <w:spacing w:line="186" w:lineRule="auto"/>
        <w:ind w:left="240" w:hanging="238"/>
        <w:jc w:val="both"/>
        <w:rPr>
          <w:sz w:val="26"/>
          <w:szCs w:val="26"/>
          <w:vertAlign w:val="superscript"/>
        </w:rPr>
      </w:pPr>
      <w:r w:rsidRPr="00771368">
        <w:rPr>
          <w:sz w:val="20"/>
          <w:szCs w:val="20"/>
        </w:rPr>
        <w:t xml:space="preserve">PERROT, Michelle. </w:t>
      </w:r>
      <w:r w:rsidRPr="00771368">
        <w:rPr>
          <w:b/>
          <w:bCs/>
          <w:sz w:val="20"/>
          <w:szCs w:val="20"/>
        </w:rPr>
        <w:t>Minha história das mulheres.</w:t>
      </w:r>
      <w:r w:rsidRPr="00771368">
        <w:rPr>
          <w:sz w:val="20"/>
          <w:szCs w:val="20"/>
        </w:rPr>
        <w:t xml:space="preserve"> Trad.: Ângela M. S. Corrêa. 1ª ed. São Paulo: Editora Contexto, 2008, p. 67.</w:t>
      </w:r>
    </w:p>
    <w:p w:rsidR="00D24E61" w:rsidRPr="00771368" w:rsidRDefault="00D24E61">
      <w:pPr>
        <w:spacing w:line="1" w:lineRule="exact"/>
        <w:rPr>
          <w:sz w:val="26"/>
          <w:szCs w:val="26"/>
          <w:vertAlign w:val="superscript"/>
        </w:rPr>
      </w:pPr>
    </w:p>
    <w:p w:rsidR="00D24E61" w:rsidRPr="00771368" w:rsidRDefault="00D24E61" w:rsidP="00FA0ABA">
      <w:pPr>
        <w:numPr>
          <w:ilvl w:val="0"/>
          <w:numId w:val="31"/>
        </w:numPr>
        <w:tabs>
          <w:tab w:val="left" w:pos="180"/>
        </w:tabs>
        <w:spacing w:line="184" w:lineRule="auto"/>
        <w:ind w:left="180" w:hanging="178"/>
        <w:jc w:val="both"/>
        <w:rPr>
          <w:sz w:val="26"/>
          <w:szCs w:val="26"/>
          <w:vertAlign w:val="superscript"/>
        </w:rPr>
      </w:pPr>
      <w:r w:rsidRPr="00771368">
        <w:rPr>
          <w:sz w:val="20"/>
          <w:szCs w:val="20"/>
        </w:rPr>
        <w:t xml:space="preserve">VASCONSELLOS, Francisco Figueira de Mello e. </w:t>
      </w:r>
      <w:r w:rsidRPr="00771368">
        <w:rPr>
          <w:b/>
          <w:bCs/>
          <w:sz w:val="20"/>
          <w:szCs w:val="20"/>
        </w:rPr>
        <w:t>Educação sexual da mulher</w:t>
      </w:r>
      <w:r w:rsidRPr="00771368">
        <w:rPr>
          <w:sz w:val="20"/>
          <w:szCs w:val="20"/>
        </w:rPr>
        <w:t>. Rio de Janeiro, 1915, p. 51.</w:t>
      </w:r>
    </w:p>
    <w:p w:rsidR="00D24E61" w:rsidRPr="00771368" w:rsidRDefault="00D24E61">
      <w:pPr>
        <w:spacing w:line="50" w:lineRule="exact"/>
        <w:rPr>
          <w:sz w:val="26"/>
          <w:szCs w:val="26"/>
          <w:vertAlign w:val="superscript"/>
        </w:rPr>
      </w:pPr>
    </w:p>
    <w:p w:rsidR="00D24E61" w:rsidRPr="00771368" w:rsidRDefault="00D24E61" w:rsidP="00FA0ABA">
      <w:pPr>
        <w:numPr>
          <w:ilvl w:val="0"/>
          <w:numId w:val="31"/>
        </w:numPr>
        <w:tabs>
          <w:tab w:val="left" w:pos="194"/>
        </w:tabs>
        <w:spacing w:line="186" w:lineRule="auto"/>
        <w:ind w:left="240" w:hanging="238"/>
        <w:jc w:val="both"/>
        <w:rPr>
          <w:sz w:val="26"/>
          <w:szCs w:val="26"/>
          <w:vertAlign w:val="superscript"/>
        </w:rPr>
      </w:pPr>
      <w:r w:rsidRPr="00771368">
        <w:rPr>
          <w:sz w:val="20"/>
          <w:szCs w:val="20"/>
        </w:rPr>
        <w:t xml:space="preserve">VIVEIROS DE CASTRO, Francisco José. </w:t>
      </w:r>
      <w:r w:rsidRPr="00771368">
        <w:rPr>
          <w:b/>
          <w:bCs/>
          <w:sz w:val="20"/>
          <w:szCs w:val="20"/>
        </w:rPr>
        <w:t>Os delitos contra a honra da mulher.</w:t>
      </w:r>
      <w:r w:rsidRPr="00771368">
        <w:rPr>
          <w:sz w:val="20"/>
          <w:szCs w:val="20"/>
        </w:rPr>
        <w:t xml:space="preserve"> 4 ed. Rio de Janeiro. Editora Freitas Bastos, 1942.</w:t>
      </w:r>
    </w:p>
    <w:p w:rsidR="00D24E61" w:rsidRPr="00771368" w:rsidRDefault="00D24E61">
      <w:pPr>
        <w:spacing w:line="200" w:lineRule="exact"/>
        <w:rPr>
          <w:sz w:val="20"/>
          <w:szCs w:val="20"/>
        </w:rPr>
      </w:pPr>
    </w:p>
    <w:p w:rsidR="00D24E61" w:rsidRPr="00771368" w:rsidRDefault="00D24E61">
      <w:pPr>
        <w:spacing w:line="229" w:lineRule="exact"/>
        <w:rPr>
          <w:sz w:val="20"/>
          <w:szCs w:val="20"/>
        </w:rPr>
      </w:pPr>
    </w:p>
    <w:p w:rsidR="00D24E61" w:rsidRPr="00771368" w:rsidRDefault="00D24E61">
      <w:pPr>
        <w:sectPr w:rsidR="00D24E61" w:rsidRPr="00771368">
          <w:pgSz w:w="12240" w:h="15840"/>
          <w:pgMar w:top="1440" w:right="1420" w:bottom="706" w:left="1700" w:header="0" w:footer="0" w:gutter="0"/>
          <w:cols w:space="720" w:equalWidth="0">
            <w:col w:w="9120"/>
          </w:cols>
        </w:sectPr>
      </w:pPr>
    </w:p>
    <w:p w:rsidR="00D24E61" w:rsidRPr="00771368" w:rsidRDefault="00D24E61">
      <w:pPr>
        <w:spacing w:line="254" w:lineRule="exact"/>
        <w:rPr>
          <w:sz w:val="20"/>
          <w:szCs w:val="20"/>
        </w:rPr>
      </w:pPr>
    </w:p>
    <w:p w:rsidR="00D24E61" w:rsidRPr="00771368" w:rsidRDefault="00D24E61">
      <w:pPr>
        <w:rPr>
          <w:sz w:val="20"/>
          <w:szCs w:val="20"/>
        </w:rPr>
      </w:pPr>
      <w:r w:rsidRPr="00771368">
        <w:rPr>
          <w:sz w:val="24"/>
          <w:szCs w:val="24"/>
        </w:rPr>
        <w:t>sem o acompanhamento de algum familiar, foram sendo incorporados gradativamente pela</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sociedade que por muito tempo os considerou avançados e perigosos a conduta moral da</w:t>
      </w:r>
    </w:p>
    <w:p w:rsidR="00D24E61" w:rsidRPr="00771368" w:rsidRDefault="00D24E61">
      <w:pPr>
        <w:spacing w:line="139" w:lineRule="exact"/>
        <w:rPr>
          <w:sz w:val="20"/>
          <w:szCs w:val="20"/>
        </w:rPr>
      </w:pPr>
    </w:p>
    <w:p w:rsidR="00D24E61" w:rsidRPr="00771368" w:rsidRDefault="00D24E61">
      <w:pPr>
        <w:rPr>
          <w:sz w:val="20"/>
          <w:szCs w:val="20"/>
        </w:rPr>
      </w:pPr>
      <w:r w:rsidRPr="00771368">
        <w:rPr>
          <w:sz w:val="24"/>
          <w:szCs w:val="24"/>
        </w:rPr>
        <w:t>mulher.</w:t>
      </w:r>
    </w:p>
    <w:p w:rsidR="00D24E61" w:rsidRPr="00771368" w:rsidRDefault="00D24E61">
      <w:pPr>
        <w:spacing w:line="190" w:lineRule="exact"/>
        <w:rPr>
          <w:sz w:val="20"/>
          <w:szCs w:val="20"/>
        </w:rPr>
      </w:pPr>
    </w:p>
    <w:p w:rsidR="00D24E61" w:rsidRPr="00771368" w:rsidRDefault="00D24E61">
      <w:pPr>
        <w:spacing w:line="350" w:lineRule="auto"/>
        <w:ind w:firstLine="763"/>
        <w:jc w:val="both"/>
        <w:rPr>
          <w:sz w:val="20"/>
          <w:szCs w:val="20"/>
        </w:rPr>
      </w:pPr>
      <w:r w:rsidRPr="00771368">
        <w:t>Era imprescindível, aos Operadores do Direito, saber se a suposta vítima possuía o costume de sair sozinha à rua. O que é justificado pela pergunta realizada durante o interrogatório de Joaquim: “Ela saía só à rua?”. A própria pergunta já vinha imbricada de julgamento estigmatizador anunciando de que maneira a mulher deveria se expor em público. Saídas voluntárias e/ou necessárias à rua, sem estar acompanhada por uma pessoa com mais idade, eram indícios para provar-se a (des)honestidade da suposta vítima.</w:t>
      </w:r>
    </w:p>
    <w:p w:rsidR="00D24E61" w:rsidRPr="00771368" w:rsidRDefault="00D24E61">
      <w:pPr>
        <w:spacing w:line="70" w:lineRule="exact"/>
        <w:rPr>
          <w:sz w:val="20"/>
          <w:szCs w:val="20"/>
        </w:rPr>
      </w:pPr>
    </w:p>
    <w:p w:rsidR="00D24E61" w:rsidRPr="00771368" w:rsidRDefault="00D24E61">
      <w:pPr>
        <w:spacing w:line="349" w:lineRule="auto"/>
        <w:ind w:firstLine="708"/>
        <w:jc w:val="both"/>
        <w:rPr>
          <w:sz w:val="20"/>
          <w:szCs w:val="20"/>
        </w:rPr>
      </w:pPr>
      <w:r w:rsidRPr="00771368">
        <w:rPr>
          <w:sz w:val="24"/>
          <w:szCs w:val="24"/>
        </w:rPr>
        <w:t xml:space="preserve">Joaquim, ao afirmar que ele costumava conversar com Lili, na porta da casa dela e, naquela noite, quando dela se despediu estava passando um guarda noturno, que foi chamado por Lili ao qual relatou que o depoente havia lhe feito mal, nos oferece pistas sobre como foi julgado, pela defesa de Joaquim, o namoro entre o jovem casal. O casal por estar no espaço público “na porta da casa que dava para a rua e à noite” era indicativo que ela frequentava a rua. </w:t>
      </w:r>
      <w:r w:rsidRPr="00771368">
        <w:t>A arguição da defesa sobre o comportamento público, fora de hora, de Lili contribuiu para</w:t>
      </w:r>
      <w:r w:rsidRPr="00771368">
        <w:rPr>
          <w:sz w:val="24"/>
          <w:szCs w:val="24"/>
        </w:rPr>
        <w:t xml:space="preserve"> </w:t>
      </w:r>
      <w:r w:rsidRPr="00771368">
        <w:t>aumentar o estigma que acompanhava a mulher que ousasse transgredir as normas e passava a ser conhecida como sendo dada a namoros, logo de “vida fácil”.</w:t>
      </w:r>
    </w:p>
    <w:p w:rsidR="00D24E61" w:rsidRPr="00771368" w:rsidRDefault="00D24E61">
      <w:pPr>
        <w:spacing w:line="61" w:lineRule="exact"/>
        <w:rPr>
          <w:sz w:val="20"/>
          <w:szCs w:val="20"/>
        </w:rPr>
      </w:pPr>
    </w:p>
    <w:p w:rsidR="00D24E61" w:rsidRPr="00771368" w:rsidRDefault="00D24E61">
      <w:pPr>
        <w:spacing w:line="354" w:lineRule="auto"/>
        <w:ind w:firstLine="708"/>
        <w:jc w:val="both"/>
        <w:rPr>
          <w:sz w:val="20"/>
          <w:szCs w:val="20"/>
        </w:rPr>
      </w:pPr>
      <w:r w:rsidRPr="00771368">
        <w:t>A rua e, mesmo na porta da casa à noite, era indício de ser um lugar frequentado pelos ditos grupos perigosos com todos os seus vícios, que facilmente poderiam contaminá-la para satisfação de desejos pessoais. Uma mulher nestas condições era considerada pela sociedade como um ser pernicioso e imoral. Na compreensão do contexto, a mulher que permitia que seus desejos “imorais” fossem satisfeitos, bem como aquela que pensava e agia conforme as suas necessidades reais ou subjetivas, era considerada uma anomalia social, ou melhor, uma prostituta por permitir o sexo sujo. Comportamento que lhes dava a alcunha de “perdida”. Entretanto, cabia somente à mulher o perder-se moralmente, pois era ela que contribuía para o aumento do grupo dos sujeitos perigosos como, por exemplo, as prostitutas, mães solteiras, mendigos, desempregados que poderiam com seus modelos de comportamento ameaçar às boas famílias.</w:t>
      </w:r>
    </w:p>
    <w:p w:rsidR="00D24E61" w:rsidRPr="00771368" w:rsidRDefault="00D24E61">
      <w:pPr>
        <w:spacing w:line="64" w:lineRule="exact"/>
        <w:rPr>
          <w:sz w:val="20"/>
          <w:szCs w:val="20"/>
        </w:rPr>
      </w:pPr>
    </w:p>
    <w:p w:rsidR="00D24E61" w:rsidRPr="00771368" w:rsidRDefault="00D24E61">
      <w:pPr>
        <w:spacing w:line="334" w:lineRule="auto"/>
        <w:ind w:firstLine="708"/>
        <w:jc w:val="both"/>
        <w:rPr>
          <w:sz w:val="20"/>
          <w:szCs w:val="20"/>
        </w:rPr>
      </w:pPr>
      <w:r w:rsidRPr="00771368">
        <w:t>Os discursos dos Operadores do Direito e da medicina se justapõem quanto às atribuições tradicionais aos dois sexos, pois alegavam que o comportamento de um e o “descomportamento” do outro “estavam iniludíveis e irreversivelmente enraizadas na anatomia e na fisiologia constituinte do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0" w:lineRule="exact"/>
        <w:rPr>
          <w:sz w:val="20"/>
          <w:szCs w:val="20"/>
        </w:rPr>
      </w:pPr>
    </w:p>
    <w:p w:rsidR="00D24E61" w:rsidRPr="00771368" w:rsidRDefault="00D24E61">
      <w:pPr>
        <w:spacing w:line="262" w:lineRule="exact"/>
        <w:rPr>
          <w:sz w:val="20"/>
          <w:szCs w:val="20"/>
        </w:rPr>
      </w:pPr>
    </w:p>
    <w:p w:rsidR="00D24E61" w:rsidRPr="00771368" w:rsidRDefault="00D24E61">
      <w:pPr>
        <w:spacing w:line="345" w:lineRule="auto"/>
        <w:ind w:right="20"/>
        <w:jc w:val="both"/>
        <w:rPr>
          <w:sz w:val="20"/>
          <w:szCs w:val="20"/>
        </w:rPr>
      </w:pPr>
      <w:r w:rsidRPr="00771368">
        <w:t>corpo masculino e feminino”</w:t>
      </w:r>
      <w:r w:rsidRPr="00771368">
        <w:rPr>
          <w:sz w:val="27"/>
          <w:szCs w:val="27"/>
          <w:vertAlign w:val="superscript"/>
        </w:rPr>
        <w:t>33</w:t>
      </w:r>
      <w:r w:rsidRPr="00771368">
        <w:t>. O enraizamento externo/interno dos dois sexos contribuiu para estigmatizar de forma mais contundente o julgamento da mulher que foi construído ao longo do tempo, portanto é cultural e historicamente contextualizado. Independe da erudição social e localização geográfica, pois acompanhou e se fez presente no processo de urbanização e do fortalecimento do Estado laico. Sobre este contexto existente, a centúrias, foi construído um discurso que condenou o comportamento da mulher, não sendo algo inerente à sociedade local, desconhecendo fronteiras geográficas na visão de longa duração.</w:t>
      </w:r>
    </w:p>
    <w:p w:rsidR="00D24E61" w:rsidRPr="00771368" w:rsidRDefault="00D24E61">
      <w:pPr>
        <w:spacing w:line="75" w:lineRule="exact"/>
        <w:rPr>
          <w:sz w:val="20"/>
          <w:szCs w:val="20"/>
        </w:rPr>
      </w:pPr>
    </w:p>
    <w:p w:rsidR="00D24E61" w:rsidRPr="00771368" w:rsidRDefault="00D24E61">
      <w:pPr>
        <w:spacing w:line="341" w:lineRule="auto"/>
        <w:ind w:right="20" w:firstLine="600"/>
        <w:jc w:val="both"/>
        <w:rPr>
          <w:sz w:val="20"/>
          <w:szCs w:val="20"/>
        </w:rPr>
      </w:pPr>
      <w:r w:rsidRPr="00771368">
        <w:t>Em Londres, o cirurgião W. Arbrithnot Lone, ao discursar em uma conferência sobre a sociedade moderna e a organização moral e física feminina não titubeou em proferir enfaticamente que “a mulher moderna é um ente mal nutrido, degenerado no tamanho e sexualmente imperfeito. Elas perderam a maioria de suas características físicas no tempo da puberdade, impossibilitando-as de gerar filhos fortes”</w:t>
      </w:r>
      <w:r w:rsidRPr="00771368">
        <w:rPr>
          <w:sz w:val="27"/>
          <w:szCs w:val="27"/>
          <w:vertAlign w:val="superscript"/>
        </w:rPr>
        <w:t>34</w:t>
      </w:r>
      <w:r w:rsidRPr="00771368">
        <w:t>.</w:t>
      </w:r>
    </w:p>
    <w:p w:rsidR="00D24E61" w:rsidRPr="00771368" w:rsidRDefault="00D24E61">
      <w:pPr>
        <w:spacing w:line="17" w:lineRule="exact"/>
        <w:rPr>
          <w:sz w:val="20"/>
          <w:szCs w:val="20"/>
        </w:rPr>
      </w:pPr>
    </w:p>
    <w:p w:rsidR="00D24E61" w:rsidRPr="00771368" w:rsidRDefault="00D24E61">
      <w:pPr>
        <w:spacing w:line="353" w:lineRule="auto"/>
        <w:ind w:right="20" w:firstLine="600"/>
        <w:jc w:val="both"/>
        <w:rPr>
          <w:sz w:val="20"/>
          <w:szCs w:val="20"/>
        </w:rPr>
      </w:pPr>
      <w:r w:rsidRPr="00771368">
        <w:t xml:space="preserve">A estigmatização de Lili foi reforçada pela defesa do denunciado quando alertou às “frequentes saídas em público” e aos namorados que tivera </w:t>
      </w:r>
      <w:r w:rsidRPr="00771368">
        <w:rPr>
          <w:sz w:val="24"/>
          <w:szCs w:val="24"/>
        </w:rPr>
        <w:t>antes de Joaquim. Julgou também seu</w:t>
      </w:r>
      <w:r w:rsidRPr="00771368">
        <w:t xml:space="preserve"> </w:t>
      </w:r>
      <w:r w:rsidRPr="00771368">
        <w:rPr>
          <w:sz w:val="24"/>
          <w:szCs w:val="24"/>
        </w:rPr>
        <w:t xml:space="preserve">comportamento “durante o carnaval [por ter] dançado com outros, época que ainda não mantinha a menor aproximação com o denunciado”. Um conjunto de elementos que ajudaram a reforçar a divisão do espaço entre os dois gêneros. A mulher, (Lili) era permitido somente o privado e a maternidade e, ao homem, o espaço público era sinônimo de competitividade, da conquista de </w:t>
      </w:r>
      <w:r w:rsidRPr="00771368">
        <w:rPr>
          <w:i/>
          <w:iCs/>
          <w:sz w:val="24"/>
          <w:szCs w:val="24"/>
        </w:rPr>
        <w:t>status</w:t>
      </w:r>
      <w:r w:rsidRPr="00771368">
        <w:rPr>
          <w:sz w:val="24"/>
          <w:szCs w:val="24"/>
        </w:rPr>
        <w:t xml:space="preserve"> profissional e, também de aventuras amoras não permitidas pelo espaço privado. Esta permissividade embasava-se em um discurso que</w:t>
      </w:r>
    </w:p>
    <w:p w:rsidR="00D24E61" w:rsidRPr="00771368" w:rsidRDefault="00D24E61">
      <w:pPr>
        <w:spacing w:line="65" w:lineRule="exact"/>
        <w:rPr>
          <w:sz w:val="20"/>
          <w:szCs w:val="20"/>
        </w:rPr>
      </w:pPr>
    </w:p>
    <w:p w:rsidR="00D24E61" w:rsidRPr="00771368" w:rsidRDefault="00D24E61">
      <w:pPr>
        <w:spacing w:line="234" w:lineRule="auto"/>
        <w:ind w:left="2280" w:right="20"/>
        <w:jc w:val="both"/>
        <w:rPr>
          <w:sz w:val="20"/>
          <w:szCs w:val="20"/>
        </w:rPr>
      </w:pPr>
      <w:r w:rsidRPr="00771368">
        <w:t>Sem a prática sexual aprendida com a prostituição não adquire o homem suficiente conhecimento da psychologia feminina, o que será um perigo quando se casar (...). O appetite sexual é em geral mais intenso no homem e por isso cabe ao homem a parte activa do coito (...) o papel da mulher no coito é em geral, meramente passivo, a mulher é na regra comum menos sensual, nella o instinto de geração está mais conservado que no homem (...) na mulher domina, sobre o instincto sexual, o instincto maternal (...) Gahi Egas Moniz afirma que o homem é essencialmente sexual e a mulher essencialmente mãe.</w:t>
      </w:r>
      <w:r w:rsidRPr="00771368">
        <w:rPr>
          <w:sz w:val="27"/>
          <w:szCs w:val="27"/>
          <w:vertAlign w:val="superscript"/>
        </w:rPr>
        <w:t>35</w:t>
      </w:r>
    </w:p>
    <w:p w:rsidR="00D24E61" w:rsidRPr="00771368" w:rsidRDefault="00D24E61">
      <w:pPr>
        <w:spacing w:line="259" w:lineRule="exact"/>
        <w:rPr>
          <w:sz w:val="20"/>
          <w:szCs w:val="20"/>
        </w:rPr>
      </w:pPr>
    </w:p>
    <w:p w:rsidR="00D24E61" w:rsidRPr="00771368" w:rsidRDefault="00D24E61">
      <w:pPr>
        <w:spacing w:line="308" w:lineRule="auto"/>
        <w:ind w:firstLine="600"/>
        <w:rPr>
          <w:sz w:val="20"/>
          <w:szCs w:val="20"/>
        </w:rPr>
      </w:pPr>
      <w:r w:rsidRPr="00771368">
        <w:rPr>
          <w:sz w:val="24"/>
          <w:szCs w:val="24"/>
        </w:rPr>
        <w:t>Reforçando a estigmatização à mulher que poderia ser apenas de dois modos: honrada e/ou desonrada. O único papel socialmente permitido a mulher honrada era a maternidade. A</w:t>
      </w:r>
    </w:p>
    <w:p w:rsidR="00D24E61" w:rsidRPr="00771368" w:rsidRDefault="00013211">
      <w:pPr>
        <w:spacing w:line="256" w:lineRule="exact"/>
        <w:rPr>
          <w:sz w:val="20"/>
          <w:szCs w:val="20"/>
        </w:rPr>
      </w:pPr>
      <w:r>
        <w:rPr>
          <w:noProof/>
          <w:sz w:val="20"/>
          <w:szCs w:val="20"/>
        </w:rPr>
        <mc:AlternateContent>
          <mc:Choice Requires="wps">
            <w:drawing>
              <wp:anchor distT="0" distB="0" distL="0" distR="0" simplePos="0" relativeHeight="251709952" behindDoc="0" locked="0" layoutInCell="0" allowOverlap="1">
                <wp:simplePos x="0" y="0"/>
                <wp:positionH relativeFrom="column">
                  <wp:posOffset>1270</wp:posOffset>
                </wp:positionH>
                <wp:positionV relativeFrom="paragraph">
                  <wp:posOffset>60325</wp:posOffset>
                </wp:positionV>
                <wp:extent cx="1828800" cy="0"/>
                <wp:effectExtent l="10795" t="12700" r="8255" b="6350"/>
                <wp:wrapNone/>
                <wp:docPr id="21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70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75pt" to="144.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mNFgIAACwEAAAOAAAAZHJzL2Uyb0RvYy54bWysU8GO2yAQvVfqPyDuie3Umz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" o:allowincell="f" strokeweight=".72pt"/>
            </w:pict>
          </mc:Fallback>
        </mc:AlternateContent>
      </w:r>
    </w:p>
    <w:p w:rsidR="00D24E61" w:rsidRPr="00771368" w:rsidRDefault="00D24E61" w:rsidP="00FA0ABA">
      <w:pPr>
        <w:numPr>
          <w:ilvl w:val="0"/>
          <w:numId w:val="32"/>
        </w:numPr>
        <w:tabs>
          <w:tab w:val="left" w:pos="206"/>
        </w:tabs>
        <w:spacing w:line="182" w:lineRule="auto"/>
        <w:ind w:left="240" w:right="20" w:hanging="238"/>
        <w:jc w:val="both"/>
        <w:rPr>
          <w:rFonts w:eastAsia="Calibri"/>
          <w:sz w:val="26"/>
          <w:szCs w:val="26"/>
          <w:vertAlign w:val="superscript"/>
        </w:rPr>
      </w:pPr>
      <w:r w:rsidRPr="00771368">
        <w:rPr>
          <w:sz w:val="20"/>
          <w:szCs w:val="20"/>
        </w:rPr>
        <w:t xml:space="preserve">MATOS, Maria Izilda Santos de. </w:t>
      </w:r>
      <w:r w:rsidRPr="00771368">
        <w:rPr>
          <w:b/>
          <w:bCs/>
          <w:sz w:val="20"/>
          <w:szCs w:val="20"/>
        </w:rPr>
        <w:t>Âncora de emoções: corpos, subjetividades e sensibilidades</w:t>
      </w:r>
      <w:r w:rsidRPr="00771368">
        <w:rPr>
          <w:sz w:val="20"/>
          <w:szCs w:val="20"/>
        </w:rPr>
        <w:t>. Bauru, SP: Edusc, 2005, p. 58.</w:t>
      </w:r>
    </w:p>
    <w:p w:rsidR="00D24E61" w:rsidRPr="00771368" w:rsidRDefault="00D24E61">
      <w:pPr>
        <w:spacing w:line="50" w:lineRule="exact"/>
        <w:rPr>
          <w:rFonts w:eastAsia="Calibri"/>
          <w:sz w:val="26"/>
          <w:szCs w:val="26"/>
          <w:vertAlign w:val="superscript"/>
        </w:rPr>
      </w:pPr>
    </w:p>
    <w:p w:rsidR="00D24E61" w:rsidRPr="00771368" w:rsidRDefault="00D24E61" w:rsidP="00FA0ABA">
      <w:pPr>
        <w:numPr>
          <w:ilvl w:val="0"/>
          <w:numId w:val="32"/>
        </w:numPr>
        <w:tabs>
          <w:tab w:val="left" w:pos="180"/>
        </w:tabs>
        <w:spacing w:line="186" w:lineRule="auto"/>
        <w:ind w:left="240" w:right="100" w:hanging="238"/>
        <w:jc w:val="both"/>
        <w:rPr>
          <w:sz w:val="26"/>
          <w:szCs w:val="26"/>
          <w:vertAlign w:val="superscript"/>
        </w:rPr>
      </w:pPr>
      <w:r w:rsidRPr="00771368">
        <w:rPr>
          <w:sz w:val="20"/>
          <w:szCs w:val="20"/>
        </w:rPr>
        <w:t xml:space="preserve">Artigo denominado </w:t>
      </w:r>
      <w:r w:rsidRPr="00771368">
        <w:rPr>
          <w:b/>
          <w:bCs/>
          <w:sz w:val="20"/>
          <w:szCs w:val="20"/>
        </w:rPr>
        <w:t>“Janeiro”</w:t>
      </w:r>
      <w:r w:rsidRPr="00771368">
        <w:rPr>
          <w:sz w:val="20"/>
          <w:szCs w:val="20"/>
        </w:rPr>
        <w:t xml:space="preserve"> publicado pela Revista Feminina. Ano XII. Nº 128. São Paulo. Janeiro de 1925, p. 19.</w:t>
      </w:r>
    </w:p>
    <w:p w:rsidR="00D24E61" w:rsidRPr="00771368" w:rsidRDefault="00D24E61">
      <w:pPr>
        <w:spacing w:line="50" w:lineRule="exact"/>
        <w:rPr>
          <w:sz w:val="26"/>
          <w:szCs w:val="26"/>
          <w:vertAlign w:val="superscript"/>
        </w:rPr>
      </w:pPr>
    </w:p>
    <w:p w:rsidR="00D24E61" w:rsidRPr="00771368" w:rsidRDefault="00D24E61" w:rsidP="00FA0ABA">
      <w:pPr>
        <w:numPr>
          <w:ilvl w:val="0"/>
          <w:numId w:val="32"/>
        </w:numPr>
        <w:tabs>
          <w:tab w:val="left" w:pos="218"/>
        </w:tabs>
        <w:spacing w:line="185" w:lineRule="auto"/>
        <w:ind w:left="240" w:right="20" w:hanging="238"/>
        <w:jc w:val="both"/>
        <w:rPr>
          <w:sz w:val="26"/>
          <w:szCs w:val="26"/>
          <w:vertAlign w:val="superscript"/>
        </w:rPr>
      </w:pPr>
      <w:r w:rsidRPr="00771368">
        <w:rPr>
          <w:sz w:val="20"/>
          <w:szCs w:val="20"/>
        </w:rPr>
        <w:t xml:space="preserve">MORAES LEME, Jose Benedicto. O problema venéreo. São Paulo. FMCSP, 1926. In. Matos, Maria Izilda Santos de. </w:t>
      </w:r>
      <w:r w:rsidRPr="00771368">
        <w:rPr>
          <w:b/>
          <w:bCs/>
          <w:sz w:val="20"/>
          <w:szCs w:val="20"/>
        </w:rPr>
        <w:t>Âncora de emoções: corpos, subjetividades e sensibilidades</w:t>
      </w:r>
      <w:r w:rsidRPr="00771368">
        <w:rPr>
          <w:sz w:val="20"/>
          <w:szCs w:val="20"/>
        </w:rPr>
        <w:t>. Bauru, SP: Edusc, 2005, p. 61.</w:t>
      </w:r>
    </w:p>
    <w:p w:rsidR="00D24E61" w:rsidRPr="00771368" w:rsidRDefault="00D24E61">
      <w:pPr>
        <w:spacing w:line="174" w:lineRule="exact"/>
        <w:rPr>
          <w:sz w:val="20"/>
          <w:szCs w:val="20"/>
        </w:rPr>
      </w:pPr>
    </w:p>
    <w:p w:rsidR="00D24E61" w:rsidRPr="00771368" w:rsidRDefault="00D24E61">
      <w:pPr>
        <w:spacing w:line="355" w:lineRule="auto"/>
        <w:jc w:val="both"/>
        <w:rPr>
          <w:sz w:val="20"/>
          <w:szCs w:val="20"/>
        </w:rPr>
      </w:pPr>
      <w:r w:rsidRPr="00771368">
        <w:rPr>
          <w:sz w:val="24"/>
          <w:szCs w:val="24"/>
        </w:rPr>
        <w:t>mulher desonrada era aquela que assumia os comportamentos ditos desviantes e transgressores que corrompiam a moral, principalmente, da mulher que pertencia a grupos sociais desprovidos de poder como, por exemplo, Lili quando a mãe de criação declarou, no momento da denúncia, o seu histórico familiar. Além de outros elementos que também contribuíram na desmoralização de Lili: ser filha de criação; era muito “saidinha”; “namoradeira”; “passeava de carro”; “tirava fotografias acompanhada por homens”; e era miserável. Todos estes elementos incidiram para que Lili acreditasse na promessa de casamento de Joaquim? Entretanto, foram os elementos utilizados pela defesa de Joaquim que inverteram os papéis do processo e Lili passou de suposta vítima a culpada de ter seduzido o denunciado. Além de utilizar a falta do elemento que mais pesava na honra feminina, “a flor”, questionando com quem Lili casaria? Joaquim aceitaria casar-se com uma “moça” que não atendia os padrões morais ditos ideais da época?</w:t>
      </w:r>
    </w:p>
    <w:p w:rsidR="00D24E61" w:rsidRPr="00771368" w:rsidRDefault="00D24E61">
      <w:pPr>
        <w:spacing w:line="70" w:lineRule="exact"/>
        <w:rPr>
          <w:sz w:val="20"/>
          <w:szCs w:val="20"/>
        </w:rPr>
      </w:pPr>
    </w:p>
    <w:p w:rsidR="00D24E61" w:rsidRPr="00771368" w:rsidRDefault="00D24E61">
      <w:pPr>
        <w:spacing w:line="356" w:lineRule="auto"/>
        <w:ind w:firstLine="660"/>
        <w:jc w:val="both"/>
        <w:rPr>
          <w:sz w:val="20"/>
          <w:szCs w:val="20"/>
        </w:rPr>
      </w:pPr>
      <w:r w:rsidRPr="00771368">
        <w:rPr>
          <w:sz w:val="24"/>
          <w:szCs w:val="24"/>
        </w:rPr>
        <w:t>A defesa de Joaquim também argumentou que ele era um rapaz de ótima e intocável conduta, bem como trabalhador, honesto e cumpridor de seus deveres. Revelando ser ele, principalmente, um indivíduo respeitador dos bons costumes, da honra alheia, não sendo dado a conquistas. A defesa destacou que as declarações do suposto denunciado eram claras, precisas e seguras, pois negava ter mantido relações sexuais com a suposta vítima, bem como ter sido o autor do defloramento da mesma. A defesa de Joaquim em relação a Lili assegurou que ela era uma “moça leviana e namoradeira e que desde tenra idade mostrou-se preocupada com assuntos de ordem sexual”. Certificou também que as declarações de Lili eram contraditórias e não se ajustavam a realidade por entrarem em choque com o resto das provas. As contradições levantadas pela defesa de Joaquim foram formadas a partir do primeiro interrogatório realizado na Delegacia de Polícia e do depoimento perante o juiz. Provavelmente, Lili não tinha compreensão que seus depoimentos estavam sendo comparados e que qualquer incoerência entre eles poderiam comprometer o entendimento de sua conduta moral e social no processo contra Joaquim.</w:t>
      </w:r>
    </w:p>
    <w:p w:rsidR="00D24E61" w:rsidRPr="00771368" w:rsidRDefault="00D24E61">
      <w:pPr>
        <w:spacing w:line="63" w:lineRule="exact"/>
        <w:rPr>
          <w:sz w:val="20"/>
          <w:szCs w:val="20"/>
        </w:rPr>
      </w:pPr>
    </w:p>
    <w:p w:rsidR="00D24E61" w:rsidRPr="00771368" w:rsidRDefault="00D24E61">
      <w:pPr>
        <w:spacing w:line="334" w:lineRule="auto"/>
        <w:ind w:firstLine="600"/>
        <w:jc w:val="both"/>
        <w:rPr>
          <w:sz w:val="20"/>
          <w:szCs w:val="20"/>
        </w:rPr>
      </w:pPr>
      <w:r w:rsidRPr="00771368">
        <w:rPr>
          <w:sz w:val="24"/>
          <w:szCs w:val="24"/>
        </w:rPr>
        <w:t>A defesa de Joaquim, a partir das objeções observadas atribuiu a Lili a única responsabilidade do ato praticado, reforçando o imaginário social de mulher desonrada e impondo duplos julgamentos “com rígidas classificações que desembocavam no binômio</w:t>
      </w:r>
    </w:p>
    <w:p w:rsidR="00D24E61" w:rsidRPr="00771368" w:rsidRDefault="00D24E61">
      <w:pPr>
        <w:spacing w:line="323" w:lineRule="auto"/>
        <w:jc w:val="both"/>
        <w:rPr>
          <w:sz w:val="20"/>
          <w:szCs w:val="20"/>
        </w:rPr>
      </w:pPr>
      <w:r w:rsidRPr="00771368">
        <w:rPr>
          <w:sz w:val="24"/>
          <w:szCs w:val="24"/>
        </w:rPr>
        <w:t>permitido/proibido, na desqualificação de uns e na supremacia de outros”</w:t>
      </w:r>
      <w:r w:rsidRPr="00771368">
        <w:rPr>
          <w:sz w:val="32"/>
          <w:szCs w:val="32"/>
          <w:vertAlign w:val="superscript"/>
        </w:rPr>
        <w:t>36</w:t>
      </w:r>
      <w:r w:rsidRPr="00771368">
        <w:rPr>
          <w:sz w:val="24"/>
          <w:szCs w:val="24"/>
        </w:rPr>
        <w:t xml:space="preserve">. O que contribuiu para a formação de sentenciamentos dicotômicos que robusteceram o apreço pelo verdadeiro e falso, pela honra e desonra. Duplicidade que também foi fortalecida através da incorporação nos sujeitos sociais de um </w:t>
      </w:r>
      <w:r w:rsidRPr="00771368">
        <w:rPr>
          <w:i/>
          <w:iCs/>
          <w:sz w:val="24"/>
          <w:szCs w:val="24"/>
        </w:rPr>
        <w:t>capital cultural</w:t>
      </w:r>
      <w:r w:rsidRPr="00771368">
        <w:rPr>
          <w:i/>
          <w:iCs/>
          <w:sz w:val="32"/>
          <w:szCs w:val="32"/>
          <w:vertAlign w:val="superscript"/>
        </w:rPr>
        <w:t>37</w:t>
      </w:r>
      <w:r w:rsidRPr="00771368">
        <w:rPr>
          <w:sz w:val="24"/>
          <w:szCs w:val="24"/>
        </w:rPr>
        <w:t>, muito próximo do conhecimento e habilidades. Quando incorporados e aceitos como normais muitos comportamentos díspares foram estigmatizados ou reconhecidos como anormais. Neste sentido, Rodrigo Ghiringhelli de Azevedo</w:t>
      </w:r>
      <w:r w:rsidRPr="00771368">
        <w:rPr>
          <w:sz w:val="32"/>
          <w:szCs w:val="32"/>
          <w:vertAlign w:val="superscript"/>
        </w:rPr>
        <w:t>38</w:t>
      </w:r>
      <w:r w:rsidRPr="00771368">
        <w:rPr>
          <w:sz w:val="24"/>
          <w:szCs w:val="24"/>
        </w:rPr>
        <w:t>, corrobora ao afirmar que uma “violência simbólica doce e mascarada, se exerce com a cumplicidade daquele que a sofre, [ou seja,] das suas vítimas”. O exercício de uma dominação silenciosa é segundo o autor o “resultado de um conjunto complexo de ações infra conscientes, de cada um dos agentes e cada uma das instituições dominantes sobre todos os demais”</w:t>
      </w:r>
      <w:r w:rsidRPr="00771368">
        <w:rPr>
          <w:sz w:val="32"/>
          <w:szCs w:val="32"/>
          <w:vertAlign w:val="superscript"/>
        </w:rPr>
        <w:t>39</w:t>
      </w:r>
      <w:r w:rsidRPr="00771368">
        <w:rPr>
          <w:sz w:val="24"/>
          <w:szCs w:val="24"/>
        </w:rPr>
        <w:t xml:space="preserve"> que acabam por serem reforçadas, difundidas e aceitas com certa regularidade através do imaginário social.</w:t>
      </w:r>
    </w:p>
    <w:p w:rsidR="00D24E61" w:rsidRPr="00771368" w:rsidRDefault="00D24E61">
      <w:pPr>
        <w:spacing w:line="72" w:lineRule="exact"/>
        <w:rPr>
          <w:sz w:val="20"/>
          <w:szCs w:val="20"/>
        </w:rPr>
      </w:pPr>
    </w:p>
    <w:p w:rsidR="00D24E61" w:rsidRPr="00771368" w:rsidRDefault="00D24E61">
      <w:pPr>
        <w:spacing w:line="332" w:lineRule="auto"/>
        <w:ind w:firstLine="600"/>
        <w:jc w:val="both"/>
        <w:rPr>
          <w:sz w:val="20"/>
          <w:szCs w:val="20"/>
        </w:rPr>
      </w:pPr>
      <w:r w:rsidRPr="00771368">
        <w:rPr>
          <w:sz w:val="24"/>
          <w:szCs w:val="24"/>
        </w:rPr>
        <w:t>Lili ao ser interrogada pelo juiz destacou que “não lembrava a data em que foi deflorada”. Afirmação que foi levantada pela defesa de Joaquim como um “fato de grande importância se levar em consideração a psicologia feminina, pois geralmente as mulheres não esquecem as datas dos acontecimentos que estão ligados a sua vida sexual ou amorosa. As mulheres lembram sempre com exatidão”. Conforme Esteves</w:t>
      </w:r>
      <w:r w:rsidRPr="00771368">
        <w:rPr>
          <w:sz w:val="32"/>
          <w:szCs w:val="32"/>
          <w:vertAlign w:val="superscript"/>
        </w:rPr>
        <w:t>40</w:t>
      </w:r>
      <w:r w:rsidRPr="00771368">
        <w:rPr>
          <w:sz w:val="24"/>
          <w:szCs w:val="24"/>
        </w:rPr>
        <w:t>, “as palavras do advogado possuem um eco no imaginário social que faz da mulher ofendida a responsável (...) pelo ato praticado pelo homem”.</w:t>
      </w:r>
    </w:p>
    <w:p w:rsidR="00D24E61" w:rsidRPr="00771368" w:rsidRDefault="00D24E61">
      <w:pPr>
        <w:spacing w:line="98" w:lineRule="exact"/>
        <w:rPr>
          <w:sz w:val="20"/>
          <w:szCs w:val="20"/>
        </w:rPr>
      </w:pPr>
    </w:p>
    <w:p w:rsidR="00905360" w:rsidRPr="00771368" w:rsidRDefault="00D24E61" w:rsidP="00905360">
      <w:pPr>
        <w:spacing w:line="334" w:lineRule="auto"/>
        <w:jc w:val="both"/>
        <w:rPr>
          <w:sz w:val="20"/>
          <w:szCs w:val="20"/>
        </w:rPr>
      </w:pPr>
      <w:r w:rsidRPr="00771368">
        <w:rPr>
          <w:sz w:val="24"/>
          <w:szCs w:val="24"/>
        </w:rPr>
        <w:t xml:space="preserve">A defesa de Joaquim também procurou afirmar que a “vítima” havia declarado em juízo que fora deflorada em dia e mês do ano passado. Porém, ao guarda noturno e a amiga Julia declarou que fora deflorada na noite em que apresentou a queixa contra Joaquim. Elementos que foram segundo o entendimento da defesa de Joaquim, contradições e pistas de que Lili teria namorado outros rapazes antes do suposto acusado. Com o objetivando de acusá-la a defesa de Joaquim fez </w:t>
      </w:r>
      <w:r w:rsidRPr="00771368">
        <w:t>uma minuciosa investigação sobre a vida</w:t>
      </w:r>
      <w:r w:rsidRPr="00771368">
        <w:rPr>
          <w:sz w:val="24"/>
          <w:szCs w:val="24"/>
        </w:rPr>
        <w:t xml:space="preserve"> </w:t>
      </w:r>
      <w:r w:rsidRPr="00771368">
        <w:t>“pregressa”</w:t>
      </w:r>
      <w:r w:rsidRPr="00771368">
        <w:rPr>
          <w:sz w:val="24"/>
          <w:szCs w:val="24"/>
        </w:rPr>
        <w:t xml:space="preserve"> </w:t>
      </w:r>
      <w:r w:rsidRPr="00771368">
        <w:t>de Lili chegando à</w:t>
      </w:r>
      <w:r w:rsidR="00905360" w:rsidRPr="00905360">
        <w:t xml:space="preserve"> </w:t>
      </w:r>
      <w:r w:rsidR="00905360" w:rsidRPr="00771368">
        <w:t xml:space="preserve">conclusão que ela </w:t>
      </w:r>
      <w:r w:rsidR="00905360" w:rsidRPr="00771368">
        <w:rPr>
          <w:sz w:val="24"/>
          <w:szCs w:val="24"/>
        </w:rPr>
        <w:t>possuía capacidade de simulação, pois geralmente escondia de todos os fatos</w:t>
      </w:r>
      <w:r w:rsidR="00905360" w:rsidRPr="00771368">
        <w:t xml:space="preserve"> </w:t>
      </w:r>
      <w:r w:rsidR="00905360" w:rsidRPr="00771368">
        <w:rPr>
          <w:sz w:val="24"/>
          <w:szCs w:val="24"/>
        </w:rPr>
        <w:t>que lhe sucederam, elementos de um comportamento que ajudou identificar que sua conduta não era de uma mulher que se apresentava como inexperiente.</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10976" behindDoc="0" locked="0" layoutInCell="0" allowOverlap="1">
                <wp:simplePos x="0" y="0"/>
                <wp:positionH relativeFrom="column">
                  <wp:posOffset>1270</wp:posOffset>
                </wp:positionH>
                <wp:positionV relativeFrom="paragraph">
                  <wp:posOffset>275590</wp:posOffset>
                </wp:positionV>
                <wp:extent cx="1828800" cy="0"/>
                <wp:effectExtent l="10795" t="8890" r="8255" b="10160"/>
                <wp:wrapNone/>
                <wp:docPr id="21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71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1.7pt" to="144.1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uFgIAACwEAAAOAAAAZHJzL2Uyb0RvYy54bWysU8uO2yAU3VfqPyD2ie2MJ3W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" o:allowincell="f" strokeweight=".25397mm"/>
            </w:pict>
          </mc:Fallback>
        </mc:AlternateContent>
      </w:r>
    </w:p>
    <w:p w:rsidR="00D24E61" w:rsidRPr="00771368" w:rsidRDefault="00D24E61">
      <w:pPr>
        <w:spacing w:line="267" w:lineRule="exact"/>
        <w:rPr>
          <w:sz w:val="20"/>
          <w:szCs w:val="20"/>
        </w:rPr>
      </w:pPr>
    </w:p>
    <w:p w:rsidR="00D24E61" w:rsidRPr="00771368" w:rsidRDefault="00D24E61" w:rsidP="00D24E61">
      <w:pPr>
        <w:numPr>
          <w:ilvl w:val="0"/>
          <w:numId w:val="7"/>
        </w:numPr>
        <w:tabs>
          <w:tab w:val="left" w:pos="180"/>
        </w:tabs>
        <w:spacing w:line="239" w:lineRule="auto"/>
        <w:ind w:left="180" w:hanging="178"/>
        <w:jc w:val="both"/>
        <w:rPr>
          <w:sz w:val="26"/>
          <w:szCs w:val="26"/>
          <w:vertAlign w:val="superscript"/>
        </w:rPr>
      </w:pPr>
      <w:r w:rsidRPr="00771368">
        <w:rPr>
          <w:sz w:val="20"/>
          <w:szCs w:val="20"/>
        </w:rPr>
        <w:t>MATOS, Maria Izilda Santos de. Idem.</w:t>
      </w:r>
    </w:p>
    <w:p w:rsidR="00D24E61" w:rsidRPr="00771368" w:rsidRDefault="00D24E61">
      <w:pPr>
        <w:spacing w:line="48" w:lineRule="exact"/>
        <w:rPr>
          <w:sz w:val="26"/>
          <w:szCs w:val="26"/>
          <w:vertAlign w:val="superscript"/>
        </w:rPr>
      </w:pPr>
    </w:p>
    <w:p w:rsidR="00D24E61" w:rsidRPr="00771368" w:rsidRDefault="00D24E61" w:rsidP="00D24E61">
      <w:pPr>
        <w:numPr>
          <w:ilvl w:val="0"/>
          <w:numId w:val="7"/>
        </w:numPr>
        <w:tabs>
          <w:tab w:val="left" w:pos="178"/>
        </w:tabs>
        <w:spacing w:line="186" w:lineRule="auto"/>
        <w:ind w:left="200" w:right="220" w:hanging="198"/>
        <w:jc w:val="both"/>
        <w:rPr>
          <w:sz w:val="26"/>
          <w:szCs w:val="26"/>
          <w:vertAlign w:val="superscript"/>
        </w:rPr>
      </w:pPr>
      <w:r w:rsidRPr="00771368">
        <w:rPr>
          <w:sz w:val="20"/>
          <w:szCs w:val="20"/>
        </w:rPr>
        <w:t xml:space="preserve">BOURDIEU, Pierre. </w:t>
      </w:r>
      <w:r w:rsidRPr="00771368">
        <w:rPr>
          <w:b/>
          <w:bCs/>
          <w:sz w:val="20"/>
          <w:szCs w:val="20"/>
        </w:rPr>
        <w:t>O poder simbólico</w:t>
      </w:r>
      <w:r w:rsidRPr="00771368">
        <w:rPr>
          <w:sz w:val="20"/>
          <w:szCs w:val="20"/>
        </w:rPr>
        <w:t>. Trad.: de Fernando Tomaz. 16ª ed. Rio de Janeiro: Bertrand Brasil, 2012.</w:t>
      </w:r>
    </w:p>
    <w:p w:rsidR="00D24E61" w:rsidRPr="00771368" w:rsidRDefault="00D24E61">
      <w:pPr>
        <w:spacing w:line="51" w:lineRule="exact"/>
        <w:rPr>
          <w:sz w:val="26"/>
          <w:szCs w:val="26"/>
          <w:vertAlign w:val="superscript"/>
        </w:rPr>
      </w:pPr>
    </w:p>
    <w:p w:rsidR="00D24E61" w:rsidRPr="00771368" w:rsidRDefault="00D24E61" w:rsidP="00D24E61">
      <w:pPr>
        <w:numPr>
          <w:ilvl w:val="0"/>
          <w:numId w:val="7"/>
        </w:numPr>
        <w:tabs>
          <w:tab w:val="left" w:pos="226"/>
        </w:tabs>
        <w:spacing w:line="186" w:lineRule="auto"/>
        <w:ind w:left="240" w:hanging="238"/>
        <w:jc w:val="both"/>
        <w:rPr>
          <w:sz w:val="26"/>
          <w:szCs w:val="26"/>
          <w:vertAlign w:val="superscript"/>
        </w:rPr>
      </w:pPr>
      <w:r w:rsidRPr="00771368">
        <w:rPr>
          <w:sz w:val="20"/>
          <w:szCs w:val="20"/>
        </w:rPr>
        <w:t xml:space="preserve">AZEVEDO, Rodrigo Ghiringhelli de. </w:t>
      </w:r>
      <w:r w:rsidRPr="00771368">
        <w:rPr>
          <w:b/>
          <w:bCs/>
          <w:sz w:val="20"/>
          <w:szCs w:val="20"/>
        </w:rPr>
        <w:t>A força do direito e a violência das formas jurídicas.</w:t>
      </w:r>
      <w:r w:rsidRPr="00771368">
        <w:rPr>
          <w:sz w:val="20"/>
          <w:szCs w:val="20"/>
        </w:rPr>
        <w:t xml:space="preserve"> Revista de Sociologia e Política (UFPR. Impresso), p. 29.</w:t>
      </w:r>
    </w:p>
    <w:p w:rsidR="00D24E61" w:rsidRPr="00771368" w:rsidRDefault="00D24E61">
      <w:pPr>
        <w:spacing w:line="1" w:lineRule="exact"/>
        <w:rPr>
          <w:sz w:val="26"/>
          <w:szCs w:val="26"/>
          <w:vertAlign w:val="superscript"/>
        </w:rPr>
      </w:pPr>
    </w:p>
    <w:p w:rsidR="00D24E61" w:rsidRPr="00771368" w:rsidRDefault="00D24E61" w:rsidP="00D24E61">
      <w:pPr>
        <w:numPr>
          <w:ilvl w:val="0"/>
          <w:numId w:val="7"/>
        </w:numPr>
        <w:tabs>
          <w:tab w:val="left" w:pos="180"/>
        </w:tabs>
        <w:spacing w:line="184" w:lineRule="auto"/>
        <w:ind w:left="180" w:hanging="178"/>
        <w:jc w:val="both"/>
        <w:rPr>
          <w:sz w:val="26"/>
          <w:szCs w:val="26"/>
          <w:vertAlign w:val="superscript"/>
        </w:rPr>
      </w:pPr>
      <w:r w:rsidRPr="00771368">
        <w:rPr>
          <w:sz w:val="20"/>
          <w:szCs w:val="20"/>
        </w:rPr>
        <w:t>Idem.</w:t>
      </w:r>
    </w:p>
    <w:p w:rsidR="00D24E61" w:rsidRPr="00771368" w:rsidRDefault="00D24E61">
      <w:pPr>
        <w:spacing w:line="20" w:lineRule="exact"/>
        <w:rPr>
          <w:sz w:val="26"/>
          <w:szCs w:val="26"/>
          <w:vertAlign w:val="superscript"/>
        </w:rPr>
      </w:pPr>
    </w:p>
    <w:p w:rsidR="00D24E61" w:rsidRPr="00905360" w:rsidRDefault="00D24E61" w:rsidP="00905360">
      <w:pPr>
        <w:numPr>
          <w:ilvl w:val="0"/>
          <w:numId w:val="7"/>
        </w:numPr>
        <w:tabs>
          <w:tab w:val="left" w:pos="180"/>
        </w:tabs>
        <w:spacing w:line="200" w:lineRule="exact"/>
        <w:ind w:left="180" w:hanging="178"/>
        <w:jc w:val="both"/>
        <w:rPr>
          <w:sz w:val="20"/>
          <w:szCs w:val="20"/>
        </w:rPr>
      </w:pPr>
      <w:r w:rsidRPr="00905360">
        <w:rPr>
          <w:sz w:val="18"/>
          <w:szCs w:val="18"/>
        </w:rPr>
        <w:t>ESTEVES, M. A. de Abreu, op. cit., p. 45.</w:t>
      </w:r>
    </w:p>
    <w:p w:rsidR="00D24E61" w:rsidRPr="00771368" w:rsidRDefault="00D24E61">
      <w:pPr>
        <w:spacing w:line="228" w:lineRule="exact"/>
        <w:rPr>
          <w:sz w:val="20"/>
          <w:szCs w:val="20"/>
        </w:rPr>
      </w:pPr>
    </w:p>
    <w:p w:rsidR="00D24E61" w:rsidRPr="00771368" w:rsidRDefault="00D24E61">
      <w:pPr>
        <w:sectPr w:rsidR="00D24E61" w:rsidRPr="00771368">
          <w:pgSz w:w="12240" w:h="15840"/>
          <w:pgMar w:top="1440" w:right="1420" w:bottom="706" w:left="1700" w:header="0" w:footer="0" w:gutter="0"/>
          <w:cols w:space="720" w:equalWidth="0">
            <w:col w:w="9120"/>
          </w:cols>
        </w:sectPr>
      </w:pPr>
    </w:p>
    <w:p w:rsidR="00D24E61" w:rsidRDefault="00D24E61">
      <w:pPr>
        <w:spacing w:line="338" w:lineRule="auto"/>
        <w:ind w:firstLine="600"/>
        <w:jc w:val="both"/>
        <w:rPr>
          <w:sz w:val="24"/>
          <w:szCs w:val="24"/>
        </w:rPr>
      </w:pPr>
      <w:r w:rsidRPr="00771368">
        <w:rPr>
          <w:sz w:val="24"/>
          <w:szCs w:val="24"/>
        </w:rPr>
        <w:t>E, por fim a defesa de Joaquim afirmou que mesmo admitindo que o denunciado tivesse mantido cópula carnal com Lili esse comportamento não poderia ser caracterizado por crime de defloramento, pois a suposta vítima carecia do elemento moral. Faltava a Lili, seguir as regras norteadoras do cotidiano de quem vive em sociedade, pois a sociedade tende a observar e mensurar os excessos e descaminhos de quem se desvirtua do padrão sexual normal. Portanto, os comportamentos tipificados como morais e imorais, certos ou errados, bons ou maus estão permeados por valores e são construídos por convenções, moldados coletivamente e sancionados pela sociedade de acordo com o contexto. Assim, a “transgressão” de Lili, valeu-lhe o julgamento público de ser uma moça desonesta e desonrada. Logo, “uma condição social e um atributo moral selados por um estado fisiológico”,</w:t>
      </w:r>
      <w:r w:rsidRPr="00771368">
        <w:rPr>
          <w:sz w:val="32"/>
          <w:szCs w:val="32"/>
          <w:vertAlign w:val="superscript"/>
        </w:rPr>
        <w:t>41</w:t>
      </w:r>
      <w:r w:rsidRPr="00771368">
        <w:rPr>
          <w:sz w:val="24"/>
          <w:szCs w:val="24"/>
        </w:rPr>
        <w:t xml:space="preserve"> atribuído a “flor” que segundo Souza Lima</w:t>
      </w:r>
      <w:r w:rsidRPr="00771368">
        <w:rPr>
          <w:sz w:val="32"/>
          <w:szCs w:val="32"/>
          <w:vertAlign w:val="superscript"/>
        </w:rPr>
        <w:t>42</w:t>
      </w:r>
      <w:r w:rsidRPr="00771368">
        <w:rPr>
          <w:sz w:val="24"/>
          <w:szCs w:val="24"/>
        </w:rPr>
        <w:t xml:space="preserve"> era o </w:t>
      </w:r>
      <w:r w:rsidRPr="00771368">
        <w:rPr>
          <w:i/>
          <w:iCs/>
          <w:sz w:val="24"/>
          <w:szCs w:val="24"/>
        </w:rPr>
        <w:t>único dote natural</w:t>
      </w:r>
      <w:r w:rsidRPr="00771368">
        <w:rPr>
          <w:sz w:val="24"/>
          <w:szCs w:val="24"/>
        </w:rPr>
        <w:t xml:space="preserve"> da mulher considerado por médicos e juristas como </w:t>
      </w:r>
      <w:r w:rsidRPr="00771368">
        <w:rPr>
          <w:i/>
          <w:iCs/>
          <w:sz w:val="24"/>
          <w:szCs w:val="24"/>
        </w:rPr>
        <w:t>irreparável</w:t>
      </w:r>
      <w:r w:rsidRPr="00771368">
        <w:rPr>
          <w:sz w:val="24"/>
          <w:szCs w:val="24"/>
        </w:rPr>
        <w:t>. Condição que, segundo o discurso da defesa do acusado, deixou de existir em Lili</w:t>
      </w:r>
      <w:r w:rsidRPr="00771368">
        <w:rPr>
          <w:i/>
          <w:iCs/>
          <w:sz w:val="24"/>
          <w:szCs w:val="24"/>
        </w:rPr>
        <w:t xml:space="preserve"> </w:t>
      </w:r>
      <w:r w:rsidRPr="00771368">
        <w:rPr>
          <w:sz w:val="24"/>
          <w:szCs w:val="24"/>
        </w:rPr>
        <w:t>e, sem os princípios morais que regem as ações humanas impossibilitava requerer do Estado à condenação de Joaquim. A promessa de casamento para ser considerada um meio de sedução devia ser segundo o jurista Viveiros de Castro</w:t>
      </w:r>
      <w:r w:rsidRPr="00771368">
        <w:rPr>
          <w:sz w:val="32"/>
          <w:szCs w:val="32"/>
          <w:vertAlign w:val="superscript"/>
        </w:rPr>
        <w:t>43</w:t>
      </w:r>
      <w:r w:rsidRPr="00771368">
        <w:rPr>
          <w:sz w:val="24"/>
          <w:szCs w:val="24"/>
        </w:rPr>
        <w:t>, formal, séria e perante a família da noiva de forma que o noivo assumisse publicamente o compromisso do casamento. Viveiros de Castro também afirma que outras formas de promessas de casamento deveriam ser avaliadas com distinção pela mulher, pois ao romper com o convencional ela não poderia se deixar “iludir, é apenas um pretexto que se agarra para desculpar sua falta. Cedeu porque quis”. Uma moça séria e recatada saberia distinguir uma promessa de casamento que passou por tramites protocolares socialmente estabelecidos, daquela que foi realizada em segredo com objetivo de ludibriá-la. Conforme Vannini</w:t>
      </w:r>
      <w:r w:rsidRPr="00771368">
        <w:rPr>
          <w:sz w:val="32"/>
          <w:szCs w:val="32"/>
          <w:vertAlign w:val="superscript"/>
        </w:rPr>
        <w:t>44</w:t>
      </w:r>
      <w:r w:rsidRPr="00771368">
        <w:rPr>
          <w:sz w:val="24"/>
          <w:szCs w:val="24"/>
        </w:rPr>
        <w:t xml:space="preserve"> esta foi uma estratégia utilizada por muito tempo no repertorio dos sedutores.</w:t>
      </w:r>
    </w:p>
    <w:p w:rsidR="00905360" w:rsidRPr="00771368" w:rsidRDefault="00905360" w:rsidP="00905360">
      <w:pPr>
        <w:spacing w:line="336" w:lineRule="auto"/>
        <w:ind w:right="20" w:firstLine="600"/>
        <w:jc w:val="both"/>
        <w:rPr>
          <w:sz w:val="20"/>
          <w:szCs w:val="20"/>
        </w:rPr>
      </w:pPr>
      <w:r w:rsidRPr="00771368">
        <w:rPr>
          <w:sz w:val="24"/>
          <w:szCs w:val="24"/>
        </w:rPr>
        <w:t>O discurso que inverteu os papéis no processo promovendo a incriminação Lili não foi questionado pela sua defesa. O que nos leva a inferir que as acusações atribuídas a Lili foram aceitas de forma passiva, pois não há no processo nenhuma manifestação em defesa da suposta vítima. O que nos leva a questionar, seria a promessa de casamento o único argumento que Joaquim usou para seduzir Lili? Sedução que Nelson Hungria</w:t>
      </w:r>
      <w:r w:rsidRPr="00771368">
        <w:rPr>
          <w:sz w:val="32"/>
          <w:szCs w:val="32"/>
          <w:vertAlign w:val="superscript"/>
        </w:rPr>
        <w:t>45</w:t>
      </w:r>
      <w:r w:rsidRPr="00771368">
        <w:rPr>
          <w:sz w:val="24"/>
          <w:szCs w:val="24"/>
        </w:rPr>
        <w:t xml:space="preserve"> definiu como sendo</w:t>
      </w:r>
    </w:p>
    <w:p w:rsidR="00D24E61" w:rsidRPr="00771368" w:rsidRDefault="00013211" w:rsidP="00905360">
      <w:pPr>
        <w:spacing w:line="369" w:lineRule="exact"/>
        <w:rPr>
          <w:sz w:val="23"/>
          <w:szCs w:val="23"/>
          <w:vertAlign w:val="superscript"/>
        </w:rPr>
      </w:pPr>
      <w:r>
        <w:rPr>
          <w:noProof/>
          <w:sz w:val="20"/>
          <w:szCs w:val="20"/>
        </w:rPr>
        <mc:AlternateContent>
          <mc:Choice Requires="wps">
            <w:drawing>
              <wp:anchor distT="0" distB="0" distL="0" distR="0" simplePos="0" relativeHeight="251712000" behindDoc="0" locked="0" layoutInCell="0" allowOverlap="1">
                <wp:simplePos x="0" y="0"/>
                <wp:positionH relativeFrom="column">
                  <wp:posOffset>1270</wp:posOffset>
                </wp:positionH>
                <wp:positionV relativeFrom="paragraph">
                  <wp:posOffset>70485</wp:posOffset>
                </wp:positionV>
                <wp:extent cx="1828800" cy="0"/>
                <wp:effectExtent l="10795" t="13335" r="8255" b="5715"/>
                <wp:wrapNone/>
                <wp:docPr id="21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71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55pt" to="144.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JKFQIAACwEAAAOAAAAZHJzL2Uyb0RvYy54bWysU02P2yAQvVfqf0DcE3/U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" o:allowincell="f" strokeweight=".72pt"/>
            </w:pict>
          </mc:Fallback>
        </mc:AlternateContent>
      </w:r>
      <w:r w:rsidR="00D24E61" w:rsidRPr="00771368">
        <w:rPr>
          <w:sz w:val="17"/>
          <w:szCs w:val="17"/>
        </w:rPr>
        <w:t>CAULFIELD, Sueann, op. cit., p. 78.</w:t>
      </w:r>
    </w:p>
    <w:p w:rsidR="00D24E61" w:rsidRPr="00771368" w:rsidRDefault="00D24E61">
      <w:pPr>
        <w:spacing w:line="16" w:lineRule="exact"/>
        <w:rPr>
          <w:sz w:val="23"/>
          <w:szCs w:val="23"/>
          <w:vertAlign w:val="superscript"/>
        </w:rPr>
      </w:pPr>
    </w:p>
    <w:p w:rsidR="00D24E61" w:rsidRPr="00771368" w:rsidRDefault="00D24E61" w:rsidP="00D24E61">
      <w:pPr>
        <w:numPr>
          <w:ilvl w:val="0"/>
          <w:numId w:val="8"/>
        </w:numPr>
        <w:tabs>
          <w:tab w:val="left" w:pos="160"/>
        </w:tabs>
        <w:spacing w:line="181" w:lineRule="auto"/>
        <w:ind w:left="160" w:hanging="158"/>
        <w:jc w:val="both"/>
        <w:rPr>
          <w:vertAlign w:val="superscript"/>
        </w:rPr>
      </w:pPr>
      <w:r w:rsidRPr="00771368">
        <w:rPr>
          <w:sz w:val="17"/>
          <w:szCs w:val="17"/>
        </w:rPr>
        <w:t>LIMA, A. J. de Souza. Tratado de medicina legal, 5ª ed. Rio de Janeiro. Freitas Bastos, 1933.</w:t>
      </w:r>
    </w:p>
    <w:p w:rsidR="00D24E61" w:rsidRPr="00771368" w:rsidRDefault="00D24E61">
      <w:pPr>
        <w:spacing w:line="18" w:lineRule="exact"/>
        <w:rPr>
          <w:vertAlign w:val="superscript"/>
        </w:rPr>
      </w:pPr>
    </w:p>
    <w:p w:rsidR="00D24E61" w:rsidRPr="00771368" w:rsidRDefault="00D24E61" w:rsidP="00D24E61">
      <w:pPr>
        <w:numPr>
          <w:ilvl w:val="0"/>
          <w:numId w:val="8"/>
        </w:numPr>
        <w:tabs>
          <w:tab w:val="left" w:pos="160"/>
        </w:tabs>
        <w:spacing w:line="182" w:lineRule="auto"/>
        <w:ind w:left="160" w:hanging="158"/>
        <w:jc w:val="both"/>
        <w:rPr>
          <w:sz w:val="20"/>
          <w:szCs w:val="20"/>
          <w:vertAlign w:val="superscript"/>
        </w:rPr>
      </w:pPr>
      <w:r w:rsidRPr="00771368">
        <w:rPr>
          <w:sz w:val="15"/>
          <w:szCs w:val="15"/>
        </w:rPr>
        <w:t>VIVEIROS DE CASTRO, op. cit., p. 79.</w:t>
      </w:r>
    </w:p>
    <w:p w:rsidR="00D24E61" w:rsidRPr="00771368" w:rsidRDefault="00D24E61">
      <w:pPr>
        <w:spacing w:line="20" w:lineRule="exact"/>
        <w:rPr>
          <w:sz w:val="20"/>
          <w:szCs w:val="20"/>
        </w:rPr>
      </w:pPr>
    </w:p>
    <w:p w:rsidR="00D24E61" w:rsidRPr="00771368" w:rsidRDefault="00D24E61">
      <w:pPr>
        <w:spacing w:line="223" w:lineRule="auto"/>
        <w:ind w:left="140" w:hanging="141"/>
        <w:jc w:val="both"/>
        <w:rPr>
          <w:sz w:val="20"/>
          <w:szCs w:val="20"/>
        </w:rPr>
      </w:pPr>
      <w:r w:rsidRPr="00771368">
        <w:rPr>
          <w:sz w:val="25"/>
          <w:szCs w:val="25"/>
          <w:vertAlign w:val="superscript"/>
        </w:rPr>
        <w:t>44</w:t>
      </w:r>
      <w:r w:rsidRPr="00771368">
        <w:rPr>
          <w:sz w:val="20"/>
          <w:szCs w:val="20"/>
        </w:rPr>
        <w:t xml:space="preserve">VANNINI, Ismael A. </w:t>
      </w:r>
      <w:r w:rsidRPr="00771368">
        <w:rPr>
          <w:b/>
          <w:bCs/>
          <w:sz w:val="20"/>
          <w:szCs w:val="20"/>
        </w:rPr>
        <w:t>História, sexualidade e crime:</w:t>
      </w:r>
      <w:r w:rsidRPr="00771368">
        <w:rPr>
          <w:sz w:val="20"/>
          <w:szCs w:val="20"/>
        </w:rPr>
        <w:t xml:space="preserve"> imigrantes e descendentes na (RCI) região colonial italiana do Rio Grande do Sul (1938/1958). Porto Alegre: PUC-RS, 2008. Tese (Doutorado em História), Faculdade de Filosofia e Ciências Humanas, Pontifícia Universidade Católica do Rio Grande do Sul, 2008, p. 171.</w:t>
      </w:r>
    </w:p>
    <w:p w:rsidR="00D24E61" w:rsidRPr="00771368" w:rsidRDefault="00D24E61">
      <w:pPr>
        <w:spacing w:line="189" w:lineRule="exact"/>
        <w:rPr>
          <w:sz w:val="20"/>
          <w:szCs w:val="20"/>
        </w:rPr>
      </w:pPr>
    </w:p>
    <w:p w:rsidR="00D24E61" w:rsidRPr="00771368" w:rsidRDefault="00D24E61">
      <w:pPr>
        <w:spacing w:line="3" w:lineRule="exact"/>
        <w:rPr>
          <w:sz w:val="20"/>
          <w:szCs w:val="20"/>
        </w:rPr>
      </w:pPr>
    </w:p>
    <w:p w:rsidR="00D24E61" w:rsidRPr="00771368" w:rsidRDefault="00D24E61">
      <w:pPr>
        <w:spacing w:line="230" w:lineRule="auto"/>
        <w:ind w:left="2280" w:right="20"/>
        <w:jc w:val="both"/>
        <w:rPr>
          <w:sz w:val="20"/>
          <w:szCs w:val="20"/>
        </w:rPr>
      </w:pPr>
      <w:r w:rsidRPr="00771368">
        <w:t>O aliciamento da frágil vontade da mulher por obra exclusiva da sugestão. É a súplica perseverante, é a blandícia envolvente, é o reiterado protesto de amor, a frase madrigalesca, a linguagem quente do desejo insatisfeito, a carícia persuasiva, o prelúdio excitante dos beijos, os contatos gradativamente indiscretos. Numa palavra: é a refinada arte de Don Juan.</w:t>
      </w:r>
    </w:p>
    <w:p w:rsidR="00D24E61" w:rsidRPr="00771368" w:rsidRDefault="00D24E61">
      <w:pPr>
        <w:spacing w:line="313" w:lineRule="exact"/>
        <w:rPr>
          <w:sz w:val="20"/>
          <w:szCs w:val="20"/>
        </w:rPr>
      </w:pPr>
    </w:p>
    <w:p w:rsidR="00D24E61" w:rsidRPr="00771368" w:rsidRDefault="00D24E61">
      <w:pPr>
        <w:spacing w:line="342" w:lineRule="auto"/>
        <w:ind w:right="20" w:firstLine="600"/>
        <w:jc w:val="both"/>
        <w:rPr>
          <w:sz w:val="20"/>
          <w:szCs w:val="20"/>
        </w:rPr>
      </w:pPr>
      <w:r w:rsidRPr="00771368">
        <w:rPr>
          <w:sz w:val="24"/>
          <w:szCs w:val="24"/>
        </w:rPr>
        <w:t>Em nenhum momento as manobras ardilosas utilizadas pelo denunciado durante colóquios amorosos foram considerados pela defesa de Lili, permitindo que a defesa de Joaquim concluísse que a suposta vítima não se entregou ao denunciado porque este havia lhe seduzido.</w:t>
      </w:r>
    </w:p>
    <w:p w:rsidR="00D24E61" w:rsidRPr="00771368" w:rsidRDefault="00D24E61">
      <w:pPr>
        <w:spacing w:line="78" w:lineRule="exact"/>
        <w:rPr>
          <w:sz w:val="20"/>
          <w:szCs w:val="20"/>
        </w:rPr>
      </w:pPr>
    </w:p>
    <w:p w:rsidR="00D24E61" w:rsidRPr="00771368" w:rsidRDefault="00D24E61">
      <w:pPr>
        <w:spacing w:line="229" w:lineRule="auto"/>
        <w:ind w:left="2280"/>
        <w:jc w:val="both"/>
        <w:rPr>
          <w:sz w:val="20"/>
          <w:szCs w:val="20"/>
        </w:rPr>
      </w:pPr>
      <w:r w:rsidRPr="00771368">
        <w:t>Ela estava perfeitamente “armada” para se defender de qualquer espécie de solicitação no mencionado sentido. O caso em questão não se tratava de uma moça recatada e ingênua que poderia ser enganada por fáceis promessas de um sedutor. Pois, a criminalidade de um homem não se afirma. Demonstra-se.</w:t>
      </w:r>
    </w:p>
    <w:p w:rsidR="00D24E61" w:rsidRPr="00771368" w:rsidRDefault="00D24E61">
      <w:pPr>
        <w:spacing w:line="315" w:lineRule="exact"/>
        <w:rPr>
          <w:sz w:val="20"/>
          <w:szCs w:val="20"/>
        </w:rPr>
      </w:pPr>
    </w:p>
    <w:p w:rsidR="00D24E61" w:rsidRPr="00771368" w:rsidRDefault="00D24E61">
      <w:pPr>
        <w:spacing w:line="316" w:lineRule="auto"/>
        <w:ind w:right="20" w:firstLine="708"/>
        <w:jc w:val="both"/>
        <w:rPr>
          <w:sz w:val="20"/>
          <w:szCs w:val="20"/>
        </w:rPr>
      </w:pPr>
      <w:r w:rsidRPr="00771368">
        <w:rPr>
          <w:sz w:val="24"/>
          <w:szCs w:val="24"/>
        </w:rPr>
        <w:t>A falta de provas oculares e a inércia da defesa de Lili permitiu que recaísse sobre ela toda a culpa da sedução. Julgada pela força simbólica, consagrada e imposta, que está presente nos discursos jurídicos da época, que segundo Pierre Bourdieu</w:t>
      </w:r>
      <w:r w:rsidRPr="00771368">
        <w:rPr>
          <w:sz w:val="32"/>
          <w:szCs w:val="32"/>
          <w:vertAlign w:val="superscript"/>
        </w:rPr>
        <w:t>46</w:t>
      </w:r>
      <w:r w:rsidRPr="00771368">
        <w:rPr>
          <w:sz w:val="24"/>
          <w:szCs w:val="24"/>
        </w:rPr>
        <w:t xml:space="preserve"> é</w:t>
      </w:r>
    </w:p>
    <w:p w:rsidR="00D24E61" w:rsidRPr="00771368" w:rsidRDefault="00D24E61">
      <w:pPr>
        <w:spacing w:line="25" w:lineRule="exact"/>
        <w:rPr>
          <w:sz w:val="20"/>
          <w:szCs w:val="20"/>
        </w:rPr>
      </w:pPr>
    </w:p>
    <w:p w:rsidR="00D24E61" w:rsidRPr="00771368" w:rsidRDefault="00D24E61">
      <w:pPr>
        <w:spacing w:line="233" w:lineRule="auto"/>
        <w:ind w:left="2280" w:right="20"/>
        <w:jc w:val="both"/>
        <w:rPr>
          <w:sz w:val="20"/>
          <w:szCs w:val="20"/>
        </w:rPr>
      </w:pPr>
      <w:r w:rsidRPr="00771368">
        <w:t>produto do funcionamento de um campo cuja lógica específica está duplamente determinada: por um lado, pelas relações de força específicas que lhe confere a sua estrutura e que orientam as lutas de concorrência ou, mais precisamente, os conflitos de competência que nele têm lugar e, por outro lado, pela lógica interna das obras jurídicas que delimitam em cada momento o espaço dos possíveis e, deste modo, o universo das soluções propriamente ditas.</w:t>
      </w:r>
    </w:p>
    <w:p w:rsidR="00D24E61" w:rsidRPr="00771368" w:rsidRDefault="00D24E61">
      <w:pPr>
        <w:spacing w:line="312" w:lineRule="exact"/>
        <w:rPr>
          <w:sz w:val="20"/>
          <w:szCs w:val="20"/>
        </w:rPr>
      </w:pPr>
    </w:p>
    <w:p w:rsidR="00905360" w:rsidRPr="00771368" w:rsidRDefault="00D24E61" w:rsidP="00905360">
      <w:pPr>
        <w:spacing w:line="342" w:lineRule="auto"/>
        <w:jc w:val="both"/>
        <w:rPr>
          <w:sz w:val="20"/>
          <w:szCs w:val="20"/>
        </w:rPr>
      </w:pPr>
      <w:r w:rsidRPr="00771368">
        <w:rPr>
          <w:sz w:val="24"/>
          <w:szCs w:val="24"/>
        </w:rPr>
        <w:t>A indolência da defesa de Lili pode ser explicada por Bourdieu, quando destaca que uma boa defesa se faz pelo acúmulo de capital simbólico distribuído entre os agentes, ou seja, do conhecimento do capital jurídico que dispõem, mas também, provavelmente por falta de capital econômico, cultural e social da suposta vítima permitindo que ela fosse deixada à</w:t>
      </w:r>
      <w:r w:rsidR="00905360" w:rsidRPr="00905360">
        <w:rPr>
          <w:sz w:val="24"/>
          <w:szCs w:val="24"/>
        </w:rPr>
        <w:t xml:space="preserve"> </w:t>
      </w:r>
      <w:r w:rsidR="00905360" w:rsidRPr="00771368">
        <w:rPr>
          <w:sz w:val="24"/>
          <w:szCs w:val="24"/>
        </w:rPr>
        <w:t>margem da sociedade e com futuro incerto. Na prática esta seria a regra, ou a grande maioria das mulheres despojadas da “flor” um dia casariam? Na presente análise observamos que não foi possível reparar a honra de Lili pela lógica interna das normas jurídicas e do discurso jurídico, mas lhe foi dado o direito de casar, porém não com o seu sedutor. A prova do</w:t>
      </w:r>
    </w:p>
    <w:p w:rsidR="00D24E61" w:rsidRPr="00771368" w:rsidRDefault="00D24E61">
      <w:pPr>
        <w:spacing w:line="342" w:lineRule="auto"/>
        <w:ind w:right="20" w:firstLine="708"/>
        <w:jc w:val="both"/>
        <w:rPr>
          <w:sz w:val="20"/>
          <w:szCs w:val="20"/>
        </w:rPr>
      </w:pPr>
    </w:p>
    <w:p w:rsidR="00D24E61" w:rsidRPr="00771368" w:rsidRDefault="00013211">
      <w:pPr>
        <w:spacing w:line="289" w:lineRule="exact"/>
        <w:rPr>
          <w:sz w:val="20"/>
          <w:szCs w:val="20"/>
        </w:rPr>
      </w:pPr>
      <w:r>
        <w:rPr>
          <w:noProof/>
          <w:sz w:val="20"/>
          <w:szCs w:val="20"/>
        </w:rPr>
        <mc:AlternateContent>
          <mc:Choice Requires="wps">
            <w:drawing>
              <wp:anchor distT="0" distB="0" distL="0" distR="0" simplePos="0" relativeHeight="251713024" behindDoc="0" locked="0" layoutInCell="0" allowOverlap="1">
                <wp:simplePos x="0" y="0"/>
                <wp:positionH relativeFrom="column">
                  <wp:posOffset>1270</wp:posOffset>
                </wp:positionH>
                <wp:positionV relativeFrom="paragraph">
                  <wp:posOffset>161925</wp:posOffset>
                </wp:positionV>
                <wp:extent cx="1828800" cy="0"/>
                <wp:effectExtent l="10795" t="9525" r="8255" b="9525"/>
                <wp:wrapNone/>
                <wp:docPr id="216"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71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2.75pt" to="144.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Rp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" o:allowincell="f" strokeweight=".25397mm"/>
            </w:pict>
          </mc:Fallback>
        </mc:AlternateContent>
      </w:r>
    </w:p>
    <w:p w:rsidR="00D24E61" w:rsidRPr="00771368" w:rsidRDefault="00D24E61" w:rsidP="00FA0ABA">
      <w:pPr>
        <w:numPr>
          <w:ilvl w:val="0"/>
          <w:numId w:val="33"/>
        </w:numPr>
        <w:tabs>
          <w:tab w:val="left" w:pos="180"/>
        </w:tabs>
        <w:ind w:left="180" w:hanging="178"/>
        <w:jc w:val="both"/>
        <w:rPr>
          <w:sz w:val="26"/>
          <w:szCs w:val="26"/>
          <w:vertAlign w:val="superscript"/>
        </w:rPr>
      </w:pPr>
      <w:r w:rsidRPr="00771368">
        <w:rPr>
          <w:sz w:val="20"/>
          <w:szCs w:val="20"/>
        </w:rPr>
        <w:t>HUNGRIA Nelson</w:t>
      </w:r>
      <w:r w:rsidRPr="00771368">
        <w:rPr>
          <w:b/>
          <w:bCs/>
          <w:sz w:val="20"/>
          <w:szCs w:val="20"/>
        </w:rPr>
        <w:t>. Em torno de um prazer.</w:t>
      </w:r>
      <w:r w:rsidRPr="00771368">
        <w:rPr>
          <w:sz w:val="20"/>
          <w:szCs w:val="20"/>
        </w:rPr>
        <w:t xml:space="preserve"> Revista de Crítica Judiciária, vol. XXI, nº 2-3, 1935, p. 81-84.</w:t>
      </w:r>
    </w:p>
    <w:p w:rsidR="00D24E61" w:rsidRPr="00771368" w:rsidRDefault="00D24E61">
      <w:pPr>
        <w:spacing w:line="19" w:lineRule="exact"/>
        <w:rPr>
          <w:sz w:val="26"/>
          <w:szCs w:val="26"/>
          <w:vertAlign w:val="superscript"/>
        </w:rPr>
      </w:pPr>
    </w:p>
    <w:p w:rsidR="00D24E61" w:rsidRPr="00771368" w:rsidRDefault="00D24E61" w:rsidP="00FA0ABA">
      <w:pPr>
        <w:numPr>
          <w:ilvl w:val="0"/>
          <w:numId w:val="33"/>
        </w:numPr>
        <w:tabs>
          <w:tab w:val="left" w:pos="180"/>
        </w:tabs>
        <w:spacing w:line="183" w:lineRule="auto"/>
        <w:ind w:left="180" w:hanging="178"/>
        <w:jc w:val="both"/>
        <w:rPr>
          <w:sz w:val="24"/>
          <w:szCs w:val="24"/>
          <w:vertAlign w:val="superscript"/>
        </w:rPr>
      </w:pPr>
      <w:r w:rsidRPr="00771368">
        <w:rPr>
          <w:sz w:val="18"/>
          <w:szCs w:val="18"/>
        </w:rPr>
        <w:t>BOURDIEU, op. cit., p. 211.</w:t>
      </w:r>
    </w:p>
    <w:p w:rsidR="00D24E61" w:rsidRPr="00771368" w:rsidRDefault="00D24E61">
      <w:pPr>
        <w:spacing w:line="200" w:lineRule="exact"/>
        <w:rPr>
          <w:sz w:val="20"/>
          <w:szCs w:val="20"/>
        </w:rPr>
      </w:pPr>
    </w:p>
    <w:p w:rsidR="00D24E61" w:rsidRPr="00771368" w:rsidRDefault="00D24E61">
      <w:pPr>
        <w:spacing w:line="313" w:lineRule="exact"/>
        <w:rPr>
          <w:sz w:val="20"/>
          <w:szCs w:val="20"/>
        </w:rPr>
      </w:pPr>
    </w:p>
    <w:p w:rsidR="00D24E61" w:rsidRPr="00771368" w:rsidRDefault="00D24E61">
      <w:pPr>
        <w:spacing w:line="83" w:lineRule="exact"/>
        <w:rPr>
          <w:sz w:val="20"/>
          <w:szCs w:val="20"/>
        </w:rPr>
      </w:pPr>
    </w:p>
    <w:p w:rsidR="00D24E61" w:rsidRPr="00771368" w:rsidRDefault="00D24E61">
      <w:pPr>
        <w:spacing w:line="355" w:lineRule="auto"/>
        <w:jc w:val="both"/>
        <w:rPr>
          <w:sz w:val="20"/>
          <w:szCs w:val="20"/>
        </w:rPr>
      </w:pPr>
      <w:r w:rsidRPr="00771368">
        <w:rPr>
          <w:sz w:val="24"/>
          <w:szCs w:val="24"/>
        </w:rPr>
        <w:t>“impossível” deu-se oito meses após ter sido registrada a denúncia contra Joaquim, quando surgiu na Ação Penal em tramitação um novo sujeito, Alcides. Não foi possível identificar como ocorreu sua entrada na “trama” que inicialmente envolveu Joaquim e Lili. Entretanto, Alcides veio dar a denúncia inicial um desfecho ímpar ao que estava previsto pelo discurso dos saberes especializados. Fugindo ao padrão convencional moldado pela lógica do zelo e da resignação, infere-se que Lili estava destinada a se tornar uma mulher sem moral e destituída de qualquer probabilidade, pelo casamento, assumir o papel de esposa e mãe. Alcides ao entrar na história rompeu com este paradigma e, de posse da Certidão de Casamento Civil, informou ao juiz municipal que em 10 de dezembro de 1942, contraiu matrimônio com Lili sendo o casamento civil registrado no cartório de Caxias do Sul quando a nubente passou a usar o nome do marido.</w:t>
      </w:r>
    </w:p>
    <w:p w:rsidR="00D24E61" w:rsidRPr="00771368" w:rsidRDefault="00D24E61">
      <w:pPr>
        <w:spacing w:line="63" w:lineRule="exact"/>
        <w:rPr>
          <w:sz w:val="20"/>
          <w:szCs w:val="20"/>
        </w:rPr>
      </w:pPr>
    </w:p>
    <w:p w:rsidR="00D24E61" w:rsidRPr="00771368" w:rsidRDefault="00D24E61">
      <w:pPr>
        <w:spacing w:line="341" w:lineRule="auto"/>
        <w:ind w:firstLine="708"/>
        <w:jc w:val="both"/>
        <w:rPr>
          <w:sz w:val="20"/>
          <w:szCs w:val="20"/>
        </w:rPr>
      </w:pPr>
      <w:r w:rsidRPr="00771368">
        <w:rPr>
          <w:sz w:val="24"/>
          <w:szCs w:val="24"/>
        </w:rPr>
        <w:t>Alcides, que ainda não havia entrado na história, a exemplo do poema de Drummond surgiu para “salvar” a honra de Lili. Assim, o escrivão informou ao juiz municipal que Lili e Alcides, de comum acordo, desistiram da Ação Penal, em conformidade com o Código Penal de 1940 que, em seu Título VIII e, através do art. 107 tratava da extinção da punibilidade. A extinção da pena, somente era possível, pelo estabelecido nos Incisos VII e VIII</w:t>
      </w:r>
      <w:r w:rsidRPr="00771368">
        <w:rPr>
          <w:sz w:val="32"/>
          <w:szCs w:val="32"/>
          <w:vertAlign w:val="superscript"/>
        </w:rPr>
        <w:t>47</w:t>
      </w:r>
      <w:r w:rsidRPr="00771368">
        <w:rPr>
          <w:sz w:val="24"/>
          <w:szCs w:val="24"/>
        </w:rPr>
        <w:t>. No Inciso VII a extinção se dava quando ocorria o casamento do agente com a vítima, nos casos de crimes contra os costumes. E, no Incido VIII quando acontecia o casamento da vítima com terceiro. Nos crimes referidos no inciso anterior, se cometidos sem violência real ou grave ameaça e desde que a ofendida não requeira o prosseguimento do Inquérito Policial ou da Ação Penal no prazo de sessenta dias a contar da celebração.</w:t>
      </w:r>
    </w:p>
    <w:p w:rsidR="00D24E61" w:rsidRPr="00771368" w:rsidRDefault="00D24E61">
      <w:pPr>
        <w:spacing w:line="89" w:lineRule="exact"/>
        <w:rPr>
          <w:sz w:val="20"/>
          <w:szCs w:val="20"/>
        </w:rPr>
      </w:pPr>
    </w:p>
    <w:p w:rsidR="00905360" w:rsidRPr="00771368" w:rsidRDefault="00D24E61" w:rsidP="00905360">
      <w:pPr>
        <w:spacing w:line="327" w:lineRule="auto"/>
        <w:jc w:val="both"/>
        <w:rPr>
          <w:sz w:val="20"/>
          <w:szCs w:val="20"/>
        </w:rPr>
      </w:pPr>
      <w:r w:rsidRPr="00771368">
        <w:rPr>
          <w:sz w:val="24"/>
          <w:szCs w:val="24"/>
        </w:rPr>
        <w:t>A decisão tomada pelo casal em solicitar o arquivamento da Ação Penal deu-se por ter cessado o estado de miserabilidade que foi declarado no dia da denúncia da mãe de criação da ofendida realizada na Delegacia de Polícia não se justificando mais uma ação pública, (Código</w:t>
      </w:r>
      <w:r w:rsidR="00905360" w:rsidRPr="00905360">
        <w:rPr>
          <w:sz w:val="24"/>
          <w:szCs w:val="24"/>
        </w:rPr>
        <w:t xml:space="preserve"> </w:t>
      </w:r>
      <w:r w:rsidR="00905360" w:rsidRPr="00771368">
        <w:rPr>
          <w:sz w:val="24"/>
          <w:szCs w:val="24"/>
        </w:rPr>
        <w:t>Penal 1940), mas, somente uma ação privada (Código Civil 1916), caso assim o marido desejasse dar prosseguimento ao processo. Entretanto, Viveiros de Castro</w:t>
      </w:r>
      <w:r w:rsidR="00905360" w:rsidRPr="00771368">
        <w:rPr>
          <w:sz w:val="32"/>
          <w:szCs w:val="32"/>
          <w:vertAlign w:val="superscript"/>
        </w:rPr>
        <w:t>48</w:t>
      </w:r>
      <w:r w:rsidR="00905360" w:rsidRPr="00771368">
        <w:rPr>
          <w:sz w:val="24"/>
          <w:szCs w:val="24"/>
        </w:rPr>
        <w:t xml:space="preserve"> em seus estudos declarou que o marido não poderia processar o sedutor sem desonrar sua mulher, por isso ele deveria ser “generoso também com o réu. Não lhe sendo lícito obrigar os tribunais a darem um escandaloso espetáculo condenando somente um dos dois autores conhecidos no mesmo delito”.</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14048" behindDoc="0" locked="0" layoutInCell="0" allowOverlap="1">
                <wp:simplePos x="0" y="0"/>
                <wp:positionH relativeFrom="column">
                  <wp:posOffset>1270</wp:posOffset>
                </wp:positionH>
                <wp:positionV relativeFrom="paragraph">
                  <wp:posOffset>234315</wp:posOffset>
                </wp:positionV>
                <wp:extent cx="1828800" cy="0"/>
                <wp:effectExtent l="10795" t="5715" r="8255" b="13335"/>
                <wp:wrapNone/>
                <wp:docPr id="21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1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8.45pt" to="144.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ri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" o:allowincell="f" strokeweight=".25397mm"/>
            </w:pict>
          </mc:Fallback>
        </mc:AlternateContent>
      </w:r>
    </w:p>
    <w:p w:rsidR="00D24E61" w:rsidRPr="00771368" w:rsidRDefault="00D24E61">
      <w:pPr>
        <w:spacing w:line="279" w:lineRule="exact"/>
        <w:rPr>
          <w:sz w:val="20"/>
          <w:szCs w:val="20"/>
        </w:rPr>
      </w:pPr>
    </w:p>
    <w:p w:rsidR="00D24E61" w:rsidRPr="00771368" w:rsidRDefault="00D24E61">
      <w:pPr>
        <w:spacing w:line="218" w:lineRule="auto"/>
        <w:ind w:left="240" w:hanging="227"/>
        <w:jc w:val="both"/>
        <w:rPr>
          <w:sz w:val="20"/>
          <w:szCs w:val="20"/>
        </w:rPr>
      </w:pPr>
      <w:r w:rsidRPr="00771368">
        <w:rPr>
          <w:sz w:val="25"/>
          <w:szCs w:val="25"/>
          <w:vertAlign w:val="superscript"/>
        </w:rPr>
        <w:t>47</w:t>
      </w:r>
      <w:r w:rsidRPr="00771368">
        <w:rPr>
          <w:sz w:val="20"/>
          <w:szCs w:val="20"/>
        </w:rPr>
        <w:t xml:space="preserve"> Os Incisos VII e VIII do art. 107, foram revogados pela Lei nº 11.106, de 28 de março de 2005. Mais informações pelo site </w:t>
      </w:r>
      <w:hyperlink r:id="rId384" w:anchor="art5">
        <w:r w:rsidRPr="00771368">
          <w:rPr>
            <w:color w:val="0000FF"/>
            <w:sz w:val="20"/>
            <w:szCs w:val="20"/>
            <w:u w:val="single"/>
          </w:rPr>
          <w:t>http://www.planalto.gov.br/ccivil_03/_Ato2004-2006/2005/Lei/L11106.htm#art5</w:t>
        </w:r>
        <w:r w:rsidRPr="00771368">
          <w:rPr>
            <w:sz w:val="20"/>
            <w:szCs w:val="20"/>
            <w:u w:val="single"/>
          </w:rPr>
          <w:t>.</w:t>
        </w:r>
      </w:hyperlink>
      <w:r w:rsidRPr="00771368">
        <w:rPr>
          <w:sz w:val="20"/>
          <w:szCs w:val="20"/>
        </w:rPr>
        <w:t xml:space="preserve"> Acesso em: 15 set. 2013.</w:t>
      </w:r>
    </w:p>
    <w:p w:rsidR="00D24E61" w:rsidRPr="00771368" w:rsidRDefault="00D24E61">
      <w:pPr>
        <w:sectPr w:rsidR="00D24E61" w:rsidRPr="00771368">
          <w:pgSz w:w="12240" w:h="15840"/>
          <w:pgMar w:top="1440" w:right="1420" w:bottom="706" w:left="1700" w:header="0" w:footer="0" w:gutter="0"/>
          <w:cols w:space="720" w:equalWidth="0">
            <w:col w:w="9120"/>
          </w:cols>
        </w:sectPr>
      </w:pPr>
    </w:p>
    <w:p w:rsidR="00D24E61" w:rsidRPr="00771368" w:rsidRDefault="00D24E61">
      <w:pPr>
        <w:spacing w:line="308" w:lineRule="auto"/>
        <w:ind w:firstLine="708"/>
        <w:jc w:val="both"/>
        <w:rPr>
          <w:sz w:val="20"/>
          <w:szCs w:val="20"/>
        </w:rPr>
      </w:pPr>
      <w:r w:rsidRPr="00771368">
        <w:rPr>
          <w:sz w:val="24"/>
          <w:szCs w:val="24"/>
        </w:rPr>
        <w:t>O juiz municipal justificou sua decisão ao aceitar a renúncia solicitada pelo casal através da lição do magistrado João Mendes Junior, quando na Corte Suprema afirmou que:</w:t>
      </w:r>
    </w:p>
    <w:p w:rsidR="00D24E61" w:rsidRPr="00771368" w:rsidRDefault="00D24E61">
      <w:pPr>
        <w:spacing w:line="115" w:lineRule="exact"/>
        <w:rPr>
          <w:sz w:val="20"/>
          <w:szCs w:val="20"/>
        </w:rPr>
      </w:pPr>
    </w:p>
    <w:p w:rsidR="00D24E61" w:rsidRPr="00771368" w:rsidRDefault="00D24E61">
      <w:pPr>
        <w:spacing w:line="233" w:lineRule="auto"/>
        <w:ind w:left="2280"/>
        <w:jc w:val="both"/>
        <w:rPr>
          <w:sz w:val="20"/>
          <w:szCs w:val="20"/>
        </w:rPr>
      </w:pPr>
      <w:r w:rsidRPr="00771368">
        <w:t>Fica perempta a ação, por ter a menor casado com outro. Casando-se a ofendida passou do pátrio poder para o poder marital. O marido, nos termos de nossa legislação civil, é quem tem o encargo de poder estar ou não em juízo. Não é lícito presumir o consentimento, cuja conveniência ou inconveniência ninguém pode ser o juiz senão o marido. A ação privada, por isso mesmo, em tais delitos, é a regra. A exceção que permitiu a denúncia do Ministério Público foi a miserabilidade. Casando-se a ofendida, não se sabe se ela continua ou não miserável. (p. 94</w:t>
      </w:r>
      <w:r w:rsidRPr="00771368">
        <w:rPr>
          <w:b/>
          <w:bCs/>
        </w:rPr>
        <w:t>).</w:t>
      </w:r>
    </w:p>
    <w:p w:rsidR="00D24E61" w:rsidRPr="00771368" w:rsidRDefault="00D24E61">
      <w:pPr>
        <w:spacing w:line="316" w:lineRule="exact"/>
        <w:rPr>
          <w:sz w:val="20"/>
          <w:szCs w:val="20"/>
        </w:rPr>
      </w:pPr>
    </w:p>
    <w:p w:rsidR="00D24E61" w:rsidRPr="00771368" w:rsidRDefault="00D24E61">
      <w:pPr>
        <w:spacing w:line="348" w:lineRule="auto"/>
        <w:ind w:firstLine="708"/>
        <w:jc w:val="both"/>
        <w:rPr>
          <w:sz w:val="20"/>
          <w:szCs w:val="20"/>
        </w:rPr>
      </w:pPr>
      <w:r w:rsidRPr="00771368">
        <w:rPr>
          <w:sz w:val="24"/>
          <w:szCs w:val="24"/>
        </w:rPr>
        <w:t>Conforme a sentença prolatada, em 4 de dezembro de 1942, Alcides informou que sua esposa não era mais de condição miserável. Pois, miserável não significava pobreza, mas o estado sócio econômico que impossibilita um sujeito social de prover às despesas processuais, sem que para isto tenha que se privar de recursos pecuniários indispensáveis para as necessidades de sua manutenção e da família. A mulher sob o pátrio poder seguia a situação econômica da família biológica e/ou de criação e, ao casar passava a depender do marido querer continuar ou não com a tramitação da Ação Penal, pois ele como chefe de família assume a responsabilidade civil da mulher. Logo, pressupõe-se que o arquivamento deu-se porque Alcides teve a generosidade de esquecer as imputações sofridas pela jovem esposa e a gentileza de perdoar o fato, que segundo os ensinamentos de Viveiros de Castro</w:t>
      </w:r>
      <w:r w:rsidRPr="00771368">
        <w:rPr>
          <w:sz w:val="32"/>
          <w:szCs w:val="32"/>
          <w:vertAlign w:val="superscript"/>
        </w:rPr>
        <w:t>49</w:t>
      </w:r>
      <w:r w:rsidRPr="00771368">
        <w:rPr>
          <w:sz w:val="24"/>
          <w:szCs w:val="24"/>
        </w:rPr>
        <w:t xml:space="preserve"> se o marido quiser ser generoso com a esposa também deve ser generoso com o réu.</w:t>
      </w:r>
    </w:p>
    <w:p w:rsidR="00D24E61" w:rsidRPr="00771368" w:rsidRDefault="00D24E61">
      <w:pPr>
        <w:spacing w:line="200" w:lineRule="exact"/>
        <w:rPr>
          <w:sz w:val="20"/>
          <w:szCs w:val="20"/>
        </w:rPr>
      </w:pPr>
    </w:p>
    <w:p w:rsidR="00D24E61" w:rsidRPr="00771368" w:rsidRDefault="00D24E61">
      <w:pPr>
        <w:spacing w:line="233" w:lineRule="exact"/>
        <w:rPr>
          <w:sz w:val="20"/>
          <w:szCs w:val="20"/>
        </w:rPr>
      </w:pPr>
    </w:p>
    <w:p w:rsidR="00905360" w:rsidRPr="00771368" w:rsidRDefault="00D24E61" w:rsidP="00905360">
      <w:pPr>
        <w:spacing w:line="351" w:lineRule="auto"/>
        <w:ind w:right="20"/>
        <w:jc w:val="both"/>
        <w:rPr>
          <w:sz w:val="20"/>
          <w:szCs w:val="20"/>
        </w:rPr>
      </w:pPr>
      <w:r w:rsidRPr="00771368">
        <w:rPr>
          <w:sz w:val="24"/>
          <w:szCs w:val="24"/>
        </w:rPr>
        <w:t>Considerando que a sexualidade faz parte das relações entre homens e mulheres, refletir sobre ela, no recorte temporal dos Códigos Penais de 1890 e 1940 e do Código Civil de 1916, verifica-se que há um contexto que estigmatizou os comportamentos sexuais dados</w:t>
      </w:r>
      <w:r w:rsidR="00905360" w:rsidRPr="00905360">
        <w:rPr>
          <w:sz w:val="24"/>
          <w:szCs w:val="24"/>
        </w:rPr>
        <w:t xml:space="preserve"> </w:t>
      </w:r>
      <w:r w:rsidR="00905360" w:rsidRPr="00771368">
        <w:rPr>
          <w:sz w:val="24"/>
          <w:szCs w:val="24"/>
        </w:rPr>
        <w:t>como anormais, quando comparados com aqueles idealizados pelos Operadores do Direito e pela medicina higienizadora. Entendia-se que homens e mulheres viviam experiências diferentes, ele com liberdade própria de sua natureza, enquanto ela deveria ser controlada pela família e pela sociedade. Entranhadas num contexto social arbitrário, principalmente a mulher, esforçava-se para discernir o que era socialmente importante daquilo que era obscuro, tendencioso por isso necessariamente secundário como, por exemplo, falar sobre sua intimidade.</w:t>
      </w:r>
    </w:p>
    <w:p w:rsidR="00905360" w:rsidRPr="00771368" w:rsidRDefault="00905360" w:rsidP="00905360">
      <w:pPr>
        <w:spacing w:line="72" w:lineRule="exact"/>
        <w:rPr>
          <w:sz w:val="20"/>
          <w:szCs w:val="20"/>
        </w:rPr>
      </w:pPr>
    </w:p>
    <w:p w:rsidR="00D24E61" w:rsidRPr="00771368" w:rsidRDefault="00D24E61" w:rsidP="00905360">
      <w:pPr>
        <w:spacing w:line="200" w:lineRule="exact"/>
        <w:rPr>
          <w:sz w:val="20"/>
          <w:szCs w:val="20"/>
        </w:rPr>
      </w:pPr>
    </w:p>
    <w:p w:rsidR="00D24E61" w:rsidRPr="00771368" w:rsidRDefault="00013211" w:rsidP="00FA0ABA">
      <w:pPr>
        <w:numPr>
          <w:ilvl w:val="0"/>
          <w:numId w:val="34"/>
        </w:numPr>
        <w:tabs>
          <w:tab w:val="left" w:pos="180"/>
        </w:tabs>
        <w:ind w:left="180" w:hanging="178"/>
        <w:jc w:val="both"/>
        <w:rPr>
          <w:sz w:val="26"/>
          <w:szCs w:val="26"/>
          <w:vertAlign w:val="superscript"/>
        </w:rPr>
      </w:pPr>
      <w:r>
        <w:rPr>
          <w:noProof/>
          <w:sz w:val="20"/>
          <w:szCs w:val="20"/>
        </w:rPr>
        <mc:AlternateContent>
          <mc:Choice Requires="wps">
            <w:drawing>
              <wp:anchor distT="0" distB="0" distL="0" distR="0" simplePos="0" relativeHeight="251715072" behindDoc="0" locked="0" layoutInCell="0" allowOverlap="1">
                <wp:simplePos x="0" y="0"/>
                <wp:positionH relativeFrom="column">
                  <wp:posOffset>1270</wp:posOffset>
                </wp:positionH>
                <wp:positionV relativeFrom="paragraph">
                  <wp:posOffset>2540</wp:posOffset>
                </wp:positionV>
                <wp:extent cx="1828800" cy="0"/>
                <wp:effectExtent l="10795" t="12065" r="8255" b="6985"/>
                <wp:wrapNone/>
                <wp:docPr id="21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1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pt" to="144.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ym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" o:allowincell="f" strokeweight=".25397mm"/>
            </w:pict>
          </mc:Fallback>
        </mc:AlternateContent>
      </w:r>
      <w:r w:rsidR="00D24E61" w:rsidRPr="00771368">
        <w:rPr>
          <w:sz w:val="20"/>
          <w:szCs w:val="20"/>
        </w:rPr>
        <w:t>VIVEIROS DE CASTRO, op. cit., p. 264.</w:t>
      </w:r>
    </w:p>
    <w:p w:rsidR="00D24E61" w:rsidRPr="00771368" w:rsidRDefault="00D24E61">
      <w:pPr>
        <w:spacing w:line="16" w:lineRule="exact"/>
        <w:rPr>
          <w:sz w:val="26"/>
          <w:szCs w:val="26"/>
          <w:vertAlign w:val="superscript"/>
        </w:rPr>
      </w:pPr>
    </w:p>
    <w:p w:rsidR="00D24E61" w:rsidRPr="00771368" w:rsidRDefault="00D24E61" w:rsidP="00FA0ABA">
      <w:pPr>
        <w:numPr>
          <w:ilvl w:val="0"/>
          <w:numId w:val="34"/>
        </w:numPr>
        <w:tabs>
          <w:tab w:val="left" w:pos="180"/>
        </w:tabs>
        <w:spacing w:line="183" w:lineRule="auto"/>
        <w:ind w:left="180" w:hanging="178"/>
        <w:jc w:val="both"/>
        <w:rPr>
          <w:sz w:val="24"/>
          <w:szCs w:val="24"/>
          <w:vertAlign w:val="superscript"/>
        </w:rPr>
      </w:pPr>
      <w:r w:rsidRPr="00771368">
        <w:rPr>
          <w:sz w:val="18"/>
          <w:szCs w:val="18"/>
        </w:rPr>
        <w:t>Idem.</w:t>
      </w:r>
    </w:p>
    <w:p w:rsidR="00D24E61" w:rsidRPr="00771368" w:rsidRDefault="00D24E61">
      <w:pPr>
        <w:spacing w:line="313"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Neste sentido, o controle sobre o corpo feminino funcionou como elemento de dominação do Estado sobre desvios sexuais. Esta normatização cerceadora foi útil ao Estado como meio de controlar a criminalidade masculina, pois o homem ao dedicar-se a família estaria melhorando a mão de obra e contribuindo para a elevação dos padrões de civilização das futuras gerações. Neste sentido, Carlos Martins Junior,</w:t>
      </w:r>
    </w:p>
    <w:p w:rsidR="00D24E61" w:rsidRPr="00771368" w:rsidRDefault="00D24E61">
      <w:pPr>
        <w:spacing w:line="71" w:lineRule="exact"/>
        <w:rPr>
          <w:sz w:val="20"/>
          <w:szCs w:val="20"/>
        </w:rPr>
      </w:pPr>
    </w:p>
    <w:p w:rsidR="00D24E61" w:rsidRPr="00771368" w:rsidRDefault="00D24E61">
      <w:pPr>
        <w:spacing w:line="233" w:lineRule="auto"/>
        <w:ind w:left="2280" w:right="20"/>
        <w:jc w:val="both"/>
        <w:rPr>
          <w:sz w:val="20"/>
          <w:szCs w:val="20"/>
        </w:rPr>
      </w:pPr>
      <w:r w:rsidRPr="00771368">
        <w:t>afirma que os atributos carregados de subjetividade, fizeram com que as mulheres funcionassem como elemento mediador das duas instituições básicas que se pretendia organizar, impor como padrão geral e preservar para todas as camadas da sociedade o casamento higiênico e a família monogâmica -, as noções de honra e honestidade elaboradas pelo aparelho jurídico não necessariamente lhe pertencia a priori, mas deveriam ser por elas assimiladas sob risco de deixarem de ser merecedoras da proteção judicial</w:t>
      </w:r>
      <w:r w:rsidRPr="00771368">
        <w:rPr>
          <w:sz w:val="27"/>
          <w:szCs w:val="27"/>
          <w:vertAlign w:val="superscript"/>
        </w:rPr>
        <w:t>50</w:t>
      </w:r>
      <w:r w:rsidRPr="00771368">
        <w:t>.</w:t>
      </w:r>
    </w:p>
    <w:p w:rsidR="00D24E61" w:rsidRPr="00771368" w:rsidRDefault="00D24E61">
      <w:pPr>
        <w:spacing w:line="253" w:lineRule="exact"/>
        <w:rPr>
          <w:sz w:val="20"/>
          <w:szCs w:val="20"/>
        </w:rPr>
      </w:pPr>
    </w:p>
    <w:p w:rsidR="00D24E61" w:rsidRPr="00771368" w:rsidRDefault="00D24E61">
      <w:pPr>
        <w:spacing w:line="352" w:lineRule="auto"/>
        <w:ind w:firstLine="600"/>
        <w:jc w:val="both"/>
        <w:rPr>
          <w:sz w:val="20"/>
          <w:szCs w:val="20"/>
        </w:rPr>
      </w:pPr>
      <w:r w:rsidRPr="00771368">
        <w:rPr>
          <w:sz w:val="24"/>
          <w:szCs w:val="24"/>
        </w:rPr>
        <w:t>Após a Proclamação da República no Brasil o modelo político elitista de família transformou-se no lugar de refúgio dos terrores da sociedade em processo de transformação. A família foi regulamentada pelos Códigos acima relacionados. Normas que foram pensadas, redigidas e promulgadas pelos detentores do poder e do saber, pois acreditaram que as verdadeiras relações sociais, somente seriam possíveis através do controle sistemático do comportamento das “classes perigosas” que, uma vez vigiadas e castigadas, serviriam de parâmetro para a construção da família nuclear idealizadora do espaço privado por acreditarem ser a normatização adequada e verossímil.</w:t>
      </w:r>
    </w:p>
    <w:p w:rsidR="00D24E61" w:rsidRPr="00771368" w:rsidRDefault="00D24E61">
      <w:pPr>
        <w:spacing w:line="74" w:lineRule="exact"/>
        <w:rPr>
          <w:sz w:val="20"/>
          <w:szCs w:val="20"/>
        </w:rPr>
      </w:pPr>
    </w:p>
    <w:p w:rsidR="00905360" w:rsidRPr="00771368" w:rsidRDefault="00D24E61" w:rsidP="00905360">
      <w:pPr>
        <w:rPr>
          <w:sz w:val="20"/>
          <w:szCs w:val="20"/>
        </w:rPr>
      </w:pPr>
      <w:r w:rsidRPr="00771368">
        <w:rPr>
          <w:sz w:val="24"/>
          <w:szCs w:val="24"/>
        </w:rPr>
        <w:t>O processo analisado mostra que Lili ao casar-se com Alcides rompeu com o paradigma que estigmatizava a mulher tipificada de moderna. Entretanto, uma vez casada com Alcides que não havia até então entrado na história Lili, seria aceita pela sociedade, mesmo tendo</w:t>
      </w:r>
      <w:r w:rsidR="00905360">
        <w:rPr>
          <w:sz w:val="24"/>
          <w:szCs w:val="24"/>
        </w:rPr>
        <w:t xml:space="preserve"> </w:t>
      </w:r>
      <w:r w:rsidR="00905360" w:rsidRPr="00771368">
        <w:rPr>
          <w:sz w:val="24"/>
          <w:szCs w:val="24"/>
        </w:rPr>
        <w:t>aberto um processo crime que entregou ao Ministério Público a sua defesa e trouxe para a</w:t>
      </w:r>
    </w:p>
    <w:p w:rsidR="00905360" w:rsidRPr="00771368" w:rsidRDefault="00905360" w:rsidP="00905360">
      <w:pPr>
        <w:spacing w:line="137" w:lineRule="exact"/>
        <w:rPr>
          <w:sz w:val="20"/>
          <w:szCs w:val="20"/>
        </w:rPr>
      </w:pPr>
    </w:p>
    <w:p w:rsidR="00905360" w:rsidRDefault="00905360" w:rsidP="00905360">
      <w:pPr>
        <w:rPr>
          <w:sz w:val="24"/>
          <w:szCs w:val="24"/>
        </w:rPr>
      </w:pPr>
      <w:r w:rsidRPr="00771368">
        <w:rPr>
          <w:sz w:val="24"/>
          <w:szCs w:val="24"/>
        </w:rPr>
        <w:t>sociedade todo o histórico de sua vida privada?</w:t>
      </w:r>
    </w:p>
    <w:p w:rsidR="00905360" w:rsidRDefault="00905360" w:rsidP="00905360">
      <w:pPr>
        <w:rPr>
          <w:sz w:val="24"/>
          <w:szCs w:val="24"/>
        </w:rPr>
      </w:pPr>
    </w:p>
    <w:p w:rsidR="00905360" w:rsidRPr="00771368" w:rsidRDefault="00905360" w:rsidP="00905360">
      <w:pPr>
        <w:rPr>
          <w:sz w:val="20"/>
          <w:szCs w:val="20"/>
        </w:rPr>
      </w:pPr>
      <w:r w:rsidRPr="00905360">
        <w:t xml:space="preserve"> </w:t>
      </w:r>
      <w:r w:rsidRPr="00771368">
        <w:t>Referências bibliográficas</w:t>
      </w:r>
    </w:p>
    <w:p w:rsidR="00905360" w:rsidRPr="00905360" w:rsidRDefault="00905360" w:rsidP="00905360">
      <w:pPr>
        <w:spacing w:line="214" w:lineRule="auto"/>
        <w:jc w:val="both"/>
        <w:rPr>
          <w:sz w:val="24"/>
          <w:szCs w:val="24"/>
        </w:rPr>
      </w:pPr>
      <w:r w:rsidRPr="00905360">
        <w:rPr>
          <w:sz w:val="24"/>
          <w:szCs w:val="24"/>
        </w:rPr>
        <w:t xml:space="preserve">ANGOTTI, Bruna. </w:t>
      </w:r>
      <w:r w:rsidRPr="00905360">
        <w:rPr>
          <w:b/>
          <w:bCs/>
          <w:sz w:val="24"/>
          <w:szCs w:val="24"/>
        </w:rPr>
        <w:t>Entre as leis da ciência, do estado e Deus</w:t>
      </w:r>
      <w:r w:rsidRPr="00905360">
        <w:rPr>
          <w:sz w:val="24"/>
          <w:szCs w:val="24"/>
        </w:rPr>
        <w:t>: o surgimento dos presídios no Brasil. São Paulo: IBCCRIM, 2012.</w:t>
      </w:r>
    </w:p>
    <w:p w:rsidR="00905360" w:rsidRPr="00905360" w:rsidRDefault="00905360" w:rsidP="00905360">
      <w:pPr>
        <w:spacing w:line="51" w:lineRule="exact"/>
        <w:rPr>
          <w:sz w:val="24"/>
          <w:szCs w:val="24"/>
        </w:rPr>
      </w:pPr>
    </w:p>
    <w:p w:rsidR="00905360" w:rsidRPr="00905360" w:rsidRDefault="00905360" w:rsidP="00905360">
      <w:pPr>
        <w:spacing w:line="213" w:lineRule="auto"/>
        <w:jc w:val="both"/>
        <w:rPr>
          <w:sz w:val="24"/>
          <w:szCs w:val="24"/>
        </w:rPr>
      </w:pPr>
      <w:r w:rsidRPr="00905360">
        <w:rPr>
          <w:sz w:val="24"/>
          <w:szCs w:val="24"/>
        </w:rPr>
        <w:t xml:space="preserve">AZEVEDO, Rodrigo Ghiringhelli de. </w:t>
      </w:r>
      <w:r w:rsidRPr="00905360">
        <w:rPr>
          <w:b/>
          <w:bCs/>
          <w:sz w:val="24"/>
          <w:szCs w:val="24"/>
        </w:rPr>
        <w:t>A força do direito e a violência das formas jurídicas.</w:t>
      </w:r>
      <w:r w:rsidRPr="00905360">
        <w:rPr>
          <w:sz w:val="24"/>
          <w:szCs w:val="24"/>
        </w:rPr>
        <w:t xml:space="preserve"> Revista de Sociologia e Política (UFPR. Impresso), v. 19, p. 27-41, 2012.</w:t>
      </w:r>
    </w:p>
    <w:p w:rsidR="00905360" w:rsidRPr="00905360" w:rsidRDefault="00905360" w:rsidP="00905360">
      <w:pPr>
        <w:spacing w:line="50" w:lineRule="exact"/>
        <w:rPr>
          <w:sz w:val="24"/>
          <w:szCs w:val="24"/>
        </w:rPr>
      </w:pPr>
    </w:p>
    <w:p w:rsidR="00905360" w:rsidRPr="00905360" w:rsidRDefault="00905360" w:rsidP="00905360">
      <w:pPr>
        <w:spacing w:line="223" w:lineRule="auto"/>
        <w:jc w:val="both"/>
        <w:rPr>
          <w:sz w:val="24"/>
          <w:szCs w:val="24"/>
        </w:rPr>
      </w:pPr>
      <w:r w:rsidRPr="00905360">
        <w:rPr>
          <w:sz w:val="24"/>
          <w:szCs w:val="24"/>
        </w:rPr>
        <w:t xml:space="preserve">BOURDIEU, Pierre. </w:t>
      </w:r>
      <w:r w:rsidRPr="00905360">
        <w:rPr>
          <w:b/>
          <w:bCs/>
          <w:sz w:val="24"/>
          <w:szCs w:val="24"/>
        </w:rPr>
        <w:t>O poder simbólico</w:t>
      </w:r>
      <w:r w:rsidRPr="00905360">
        <w:rPr>
          <w:sz w:val="24"/>
          <w:szCs w:val="24"/>
        </w:rPr>
        <w:t xml:space="preserve">. Trad.: de Fernando Tomaz. 6ª ed. Rio de Janeiro: Bertrand Brasil, 2003. CASTRO, Adriana Mendes Oliveira de. A família, a sociedade e o direito. In. </w:t>
      </w:r>
      <w:r w:rsidRPr="00905360">
        <w:rPr>
          <w:b/>
          <w:bCs/>
          <w:sz w:val="24"/>
          <w:szCs w:val="24"/>
        </w:rPr>
        <w:t>Pessoa, gênero e família: uma</w:t>
      </w:r>
      <w:r w:rsidRPr="00905360">
        <w:rPr>
          <w:sz w:val="24"/>
          <w:szCs w:val="24"/>
        </w:rPr>
        <w:t xml:space="preserve"> </w:t>
      </w:r>
      <w:r w:rsidRPr="00905360">
        <w:rPr>
          <w:b/>
          <w:bCs/>
          <w:sz w:val="24"/>
          <w:szCs w:val="24"/>
        </w:rPr>
        <w:t>visão integrada do Direito</w:t>
      </w:r>
      <w:r w:rsidRPr="00905360">
        <w:rPr>
          <w:sz w:val="24"/>
          <w:szCs w:val="24"/>
        </w:rPr>
        <w:t>. Porto Alegre: Livraria do Advogado, 2002.</w:t>
      </w:r>
    </w:p>
    <w:p w:rsidR="00905360" w:rsidRPr="00905360" w:rsidRDefault="00905360" w:rsidP="00905360">
      <w:pPr>
        <w:spacing w:line="51" w:lineRule="exact"/>
        <w:rPr>
          <w:sz w:val="24"/>
          <w:szCs w:val="24"/>
        </w:rPr>
      </w:pPr>
    </w:p>
    <w:p w:rsidR="00905360" w:rsidRPr="00905360" w:rsidRDefault="00905360" w:rsidP="00905360">
      <w:pPr>
        <w:spacing w:line="214" w:lineRule="auto"/>
        <w:jc w:val="both"/>
        <w:rPr>
          <w:sz w:val="24"/>
          <w:szCs w:val="24"/>
        </w:rPr>
      </w:pPr>
      <w:r w:rsidRPr="00905360">
        <w:rPr>
          <w:sz w:val="24"/>
          <w:szCs w:val="24"/>
        </w:rPr>
        <w:t xml:space="preserve">CAULFIELD, Sueann. </w:t>
      </w:r>
      <w:r w:rsidRPr="00905360">
        <w:rPr>
          <w:b/>
          <w:bCs/>
          <w:sz w:val="24"/>
          <w:szCs w:val="24"/>
        </w:rPr>
        <w:t>Em defesa da honra:</w:t>
      </w:r>
      <w:r w:rsidRPr="00905360">
        <w:rPr>
          <w:sz w:val="24"/>
          <w:szCs w:val="24"/>
        </w:rPr>
        <w:t xml:space="preserve"> moralidade, modernidade e nação no Rio de Janeiro, 1918-1940. Campinas, ed. Unicamp, 2000.</w:t>
      </w:r>
    </w:p>
    <w:p w:rsidR="00905360" w:rsidRPr="00905360" w:rsidRDefault="00905360" w:rsidP="00905360">
      <w:pPr>
        <w:spacing w:line="48" w:lineRule="exact"/>
        <w:rPr>
          <w:sz w:val="24"/>
          <w:szCs w:val="24"/>
        </w:rPr>
      </w:pPr>
    </w:p>
    <w:p w:rsidR="00905360" w:rsidRPr="00905360" w:rsidRDefault="00905360" w:rsidP="00905360">
      <w:pPr>
        <w:spacing w:line="214" w:lineRule="auto"/>
        <w:jc w:val="both"/>
        <w:rPr>
          <w:sz w:val="24"/>
          <w:szCs w:val="24"/>
        </w:rPr>
      </w:pPr>
      <w:r w:rsidRPr="00905360">
        <w:rPr>
          <w:sz w:val="24"/>
          <w:szCs w:val="24"/>
        </w:rPr>
        <w:t xml:space="preserve">CICERCHIA, Ricardo. </w:t>
      </w:r>
      <w:r w:rsidRPr="00905360">
        <w:rPr>
          <w:b/>
          <w:bCs/>
          <w:sz w:val="24"/>
          <w:szCs w:val="24"/>
        </w:rPr>
        <w:t>Historiografia das formas familiares. Dilemas e encruzilhadas.</w:t>
      </w:r>
      <w:r w:rsidRPr="00905360">
        <w:rPr>
          <w:sz w:val="24"/>
          <w:szCs w:val="24"/>
        </w:rPr>
        <w:t xml:space="preserve"> In. História: Questões &amp; debates, Curitiba, n 50, p. 105, jan. /jun. 2009. Ed. UFPR.</w:t>
      </w:r>
    </w:p>
    <w:p w:rsidR="00905360" w:rsidRPr="00905360" w:rsidRDefault="00905360" w:rsidP="00905360">
      <w:pPr>
        <w:spacing w:line="51" w:lineRule="exact"/>
        <w:rPr>
          <w:sz w:val="24"/>
          <w:szCs w:val="24"/>
        </w:rPr>
      </w:pPr>
    </w:p>
    <w:p w:rsidR="00905360" w:rsidRPr="00905360" w:rsidRDefault="00905360" w:rsidP="00905360">
      <w:pPr>
        <w:spacing w:line="214" w:lineRule="auto"/>
        <w:jc w:val="both"/>
        <w:rPr>
          <w:sz w:val="24"/>
          <w:szCs w:val="24"/>
        </w:rPr>
      </w:pPr>
      <w:r w:rsidRPr="00905360">
        <w:rPr>
          <w:sz w:val="24"/>
          <w:szCs w:val="24"/>
        </w:rPr>
        <w:t xml:space="preserve">DIAS, Maria Odila L. S. </w:t>
      </w:r>
      <w:r w:rsidRPr="00905360">
        <w:rPr>
          <w:b/>
          <w:bCs/>
          <w:sz w:val="24"/>
          <w:szCs w:val="24"/>
        </w:rPr>
        <w:t>Novas subjetividades na pesquisa histórica feminista</w:t>
      </w:r>
      <w:r w:rsidRPr="00905360">
        <w:rPr>
          <w:sz w:val="24"/>
          <w:szCs w:val="24"/>
        </w:rPr>
        <w:t>: uma hermenêutica das diferenças. Revista Estudos Femininos, Rio de Janeiro, p. 373-382. 1994. Número especial.</w:t>
      </w:r>
    </w:p>
    <w:p w:rsidR="00905360" w:rsidRPr="00905360" w:rsidRDefault="00905360" w:rsidP="00905360">
      <w:pPr>
        <w:spacing w:line="51" w:lineRule="exact"/>
        <w:rPr>
          <w:sz w:val="24"/>
          <w:szCs w:val="24"/>
        </w:rPr>
      </w:pPr>
    </w:p>
    <w:p w:rsidR="00905360" w:rsidRPr="00905360" w:rsidRDefault="00905360" w:rsidP="00905360">
      <w:pPr>
        <w:spacing w:line="213" w:lineRule="auto"/>
        <w:jc w:val="both"/>
        <w:rPr>
          <w:sz w:val="24"/>
          <w:szCs w:val="24"/>
        </w:rPr>
      </w:pPr>
      <w:r w:rsidRPr="00905360">
        <w:rPr>
          <w:sz w:val="24"/>
          <w:szCs w:val="24"/>
        </w:rPr>
        <w:t xml:space="preserve">ESTEVES, M. A. de. </w:t>
      </w:r>
      <w:r w:rsidRPr="00905360">
        <w:rPr>
          <w:b/>
          <w:bCs/>
          <w:sz w:val="24"/>
          <w:szCs w:val="24"/>
        </w:rPr>
        <w:t>Meninas perdidas:</w:t>
      </w:r>
      <w:r w:rsidRPr="00905360">
        <w:rPr>
          <w:sz w:val="24"/>
          <w:szCs w:val="24"/>
        </w:rPr>
        <w:t xml:space="preserve"> os populares e o cotidiano no Rio de Janeiro da “Belle Époque”. Rio de Janeiro: Paz e Terra, 1989. p. 31.</w:t>
      </w:r>
    </w:p>
    <w:p w:rsidR="00905360" w:rsidRPr="00905360" w:rsidRDefault="00905360" w:rsidP="00905360">
      <w:pPr>
        <w:spacing w:line="1" w:lineRule="exact"/>
        <w:rPr>
          <w:sz w:val="24"/>
          <w:szCs w:val="24"/>
        </w:rPr>
      </w:pPr>
    </w:p>
    <w:p w:rsidR="00905360" w:rsidRPr="00905360" w:rsidRDefault="00905360" w:rsidP="00905360">
      <w:pPr>
        <w:spacing w:line="239" w:lineRule="auto"/>
        <w:rPr>
          <w:sz w:val="24"/>
          <w:szCs w:val="24"/>
        </w:rPr>
      </w:pPr>
      <w:r w:rsidRPr="00905360">
        <w:rPr>
          <w:sz w:val="24"/>
          <w:szCs w:val="24"/>
        </w:rPr>
        <w:t xml:space="preserve">FAIRCLOUGH, Norman. </w:t>
      </w:r>
      <w:r w:rsidRPr="00905360">
        <w:rPr>
          <w:b/>
          <w:bCs/>
          <w:sz w:val="24"/>
          <w:szCs w:val="24"/>
        </w:rPr>
        <w:t>Discurso e mudança social.</w:t>
      </w:r>
      <w:r w:rsidRPr="00905360">
        <w:rPr>
          <w:sz w:val="24"/>
          <w:szCs w:val="24"/>
        </w:rPr>
        <w:t xml:space="preserve"> Brasília: UnB, 2001.</w:t>
      </w:r>
    </w:p>
    <w:p w:rsidR="00905360" w:rsidRPr="00905360" w:rsidRDefault="00905360" w:rsidP="00905360">
      <w:pPr>
        <w:spacing w:line="50" w:lineRule="exact"/>
        <w:rPr>
          <w:sz w:val="24"/>
          <w:szCs w:val="24"/>
        </w:rPr>
      </w:pPr>
    </w:p>
    <w:p w:rsidR="00905360" w:rsidRPr="00771368" w:rsidRDefault="00905360" w:rsidP="00905360">
      <w:pPr>
        <w:rPr>
          <w:sz w:val="20"/>
          <w:szCs w:val="20"/>
        </w:rPr>
      </w:pPr>
    </w:p>
    <w:p w:rsidR="00D24E61" w:rsidRPr="00771368" w:rsidRDefault="00013211">
      <w:pPr>
        <w:spacing w:line="280" w:lineRule="exact"/>
        <w:rPr>
          <w:sz w:val="20"/>
          <w:szCs w:val="20"/>
        </w:rPr>
      </w:pPr>
      <w:r>
        <w:rPr>
          <w:noProof/>
          <w:sz w:val="20"/>
          <w:szCs w:val="20"/>
        </w:rPr>
        <mc:AlternateContent>
          <mc:Choice Requires="wps">
            <w:drawing>
              <wp:anchor distT="0" distB="0" distL="0" distR="0" simplePos="0" relativeHeight="251716096" behindDoc="0" locked="0" layoutInCell="0" allowOverlap="1">
                <wp:simplePos x="0" y="0"/>
                <wp:positionH relativeFrom="column">
                  <wp:posOffset>1270</wp:posOffset>
                </wp:positionH>
                <wp:positionV relativeFrom="paragraph">
                  <wp:posOffset>107950</wp:posOffset>
                </wp:positionV>
                <wp:extent cx="1828800" cy="0"/>
                <wp:effectExtent l="10795" t="12700" r="8255" b="6350"/>
                <wp:wrapNone/>
                <wp:docPr id="21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71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8.5pt" to="144.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vm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" o:allowincell="f" strokeweight=".25397mm"/>
            </w:pict>
          </mc:Fallback>
        </mc:AlternateContent>
      </w:r>
    </w:p>
    <w:p w:rsidR="00D24E61" w:rsidRPr="00771368" w:rsidRDefault="00D24E61">
      <w:pPr>
        <w:spacing w:line="219" w:lineRule="auto"/>
        <w:ind w:left="240" w:right="20" w:hanging="227"/>
        <w:jc w:val="both"/>
        <w:rPr>
          <w:sz w:val="20"/>
          <w:szCs w:val="20"/>
        </w:rPr>
      </w:pPr>
      <w:r w:rsidRPr="00771368">
        <w:rPr>
          <w:sz w:val="25"/>
          <w:szCs w:val="25"/>
          <w:vertAlign w:val="superscript"/>
        </w:rPr>
        <w:t>50</w:t>
      </w:r>
      <w:r w:rsidRPr="00771368">
        <w:rPr>
          <w:sz w:val="20"/>
          <w:szCs w:val="20"/>
        </w:rPr>
        <w:t xml:space="preserve"> MARTINS JUNIOR, Carlos. Normas sexuais e exclusão social: o Direito Penal e os padrões de honra e honestidade feminina no Brasil da belle èpoque. In: PERARO, Maria Ademir; BORGES, Fernando Tadeu de Miranda (Orgs). </w:t>
      </w:r>
      <w:r w:rsidRPr="00771368">
        <w:rPr>
          <w:b/>
          <w:bCs/>
          <w:sz w:val="20"/>
          <w:szCs w:val="20"/>
        </w:rPr>
        <w:t>Mulheres e famílias no Brasil.</w:t>
      </w:r>
      <w:r w:rsidRPr="00771368">
        <w:rPr>
          <w:sz w:val="20"/>
          <w:szCs w:val="20"/>
        </w:rPr>
        <w:t xml:space="preserve"> Cuiabá, MT: Carlini &amp; Caniato, 2005, p. 53.</w:t>
      </w:r>
    </w:p>
    <w:p w:rsidR="00D24E61" w:rsidRPr="00905360" w:rsidRDefault="00D24E61" w:rsidP="00905360">
      <w:pPr>
        <w:spacing w:after="120" w:line="214" w:lineRule="auto"/>
        <w:jc w:val="both"/>
        <w:rPr>
          <w:sz w:val="24"/>
          <w:szCs w:val="24"/>
        </w:rPr>
      </w:pPr>
      <w:r w:rsidRPr="00905360">
        <w:rPr>
          <w:sz w:val="24"/>
          <w:szCs w:val="24"/>
        </w:rPr>
        <w:t xml:space="preserve">FOUCAULT, Michel. </w:t>
      </w:r>
      <w:r w:rsidRPr="00905360">
        <w:rPr>
          <w:b/>
          <w:bCs/>
          <w:sz w:val="24"/>
          <w:szCs w:val="24"/>
        </w:rPr>
        <w:t>A ordem do discurso:</w:t>
      </w:r>
      <w:r w:rsidRPr="00905360">
        <w:rPr>
          <w:sz w:val="24"/>
          <w:szCs w:val="24"/>
        </w:rPr>
        <w:t xml:space="preserve"> aula inaugural no Collegé de France, pronunciada em 2 de dezembro de 1970. 20ª ed. São Paulo: Loyola, 2010.</w:t>
      </w:r>
    </w:p>
    <w:p w:rsidR="00D24E61" w:rsidRPr="00905360" w:rsidRDefault="00D24E61" w:rsidP="00905360">
      <w:pPr>
        <w:spacing w:after="120" w:line="2" w:lineRule="exact"/>
        <w:rPr>
          <w:sz w:val="24"/>
          <w:szCs w:val="24"/>
        </w:rPr>
      </w:pPr>
    </w:p>
    <w:p w:rsidR="00D24E61" w:rsidRPr="00905360" w:rsidRDefault="00D24E61" w:rsidP="00905360">
      <w:pPr>
        <w:spacing w:after="120" w:line="239" w:lineRule="auto"/>
        <w:rPr>
          <w:sz w:val="24"/>
          <w:szCs w:val="24"/>
        </w:rPr>
      </w:pPr>
      <w:r w:rsidRPr="00905360">
        <w:rPr>
          <w:sz w:val="24"/>
          <w:szCs w:val="24"/>
        </w:rPr>
        <w:t xml:space="preserve">_______. </w:t>
      </w:r>
      <w:r w:rsidRPr="00905360">
        <w:rPr>
          <w:b/>
          <w:bCs/>
          <w:sz w:val="24"/>
          <w:szCs w:val="24"/>
        </w:rPr>
        <w:t>A mulher/os rapazes:</w:t>
      </w:r>
      <w:r w:rsidRPr="00905360">
        <w:rPr>
          <w:sz w:val="24"/>
          <w:szCs w:val="24"/>
        </w:rPr>
        <w:t xml:space="preserve"> história da sexualidade. Rio de Janeiro: Paz e Terra, 1997.</w:t>
      </w:r>
    </w:p>
    <w:p w:rsidR="00D24E61" w:rsidRPr="00905360" w:rsidRDefault="00D24E61" w:rsidP="00905360">
      <w:pPr>
        <w:spacing w:after="120" w:line="50" w:lineRule="exact"/>
        <w:rPr>
          <w:sz w:val="24"/>
          <w:szCs w:val="24"/>
        </w:rPr>
      </w:pPr>
    </w:p>
    <w:p w:rsidR="00D24E61" w:rsidRPr="00905360" w:rsidRDefault="00D24E61" w:rsidP="00905360">
      <w:pPr>
        <w:spacing w:after="120" w:line="224" w:lineRule="auto"/>
        <w:ind w:right="580"/>
        <w:rPr>
          <w:sz w:val="24"/>
          <w:szCs w:val="24"/>
        </w:rPr>
      </w:pPr>
      <w:r w:rsidRPr="00905360">
        <w:rPr>
          <w:sz w:val="24"/>
          <w:szCs w:val="24"/>
        </w:rPr>
        <w:t xml:space="preserve">_______. </w:t>
      </w:r>
      <w:r w:rsidRPr="00905360">
        <w:rPr>
          <w:b/>
          <w:bCs/>
          <w:sz w:val="24"/>
          <w:szCs w:val="24"/>
        </w:rPr>
        <w:t>Em defesa da sociedade:</w:t>
      </w:r>
      <w:r w:rsidRPr="00905360">
        <w:rPr>
          <w:sz w:val="24"/>
          <w:szCs w:val="24"/>
        </w:rPr>
        <w:t xml:space="preserve"> curso no Collège de France (1975-1976). São Paulo: M. Fontes, 1999. FURTADO, Otônio Ribeiro. </w:t>
      </w:r>
      <w:r w:rsidRPr="00905360">
        <w:rPr>
          <w:b/>
          <w:bCs/>
          <w:sz w:val="24"/>
          <w:szCs w:val="24"/>
        </w:rPr>
        <w:t>Manual de prática processual penal.</w:t>
      </w:r>
      <w:r w:rsidRPr="00905360">
        <w:rPr>
          <w:sz w:val="24"/>
          <w:szCs w:val="24"/>
        </w:rPr>
        <w:t xml:space="preserve"> Belo Horizonte. Del Rey, 1996, 2ª ed.</w:t>
      </w:r>
    </w:p>
    <w:p w:rsidR="00D24E61" w:rsidRPr="00905360" w:rsidRDefault="00D24E61" w:rsidP="00905360">
      <w:pPr>
        <w:spacing w:after="120" w:line="51" w:lineRule="exact"/>
        <w:rPr>
          <w:sz w:val="24"/>
          <w:szCs w:val="24"/>
        </w:rPr>
      </w:pPr>
    </w:p>
    <w:p w:rsidR="00D24E61" w:rsidRPr="00905360" w:rsidRDefault="00D24E61" w:rsidP="00905360">
      <w:pPr>
        <w:spacing w:after="120" w:line="214" w:lineRule="auto"/>
        <w:jc w:val="both"/>
        <w:rPr>
          <w:sz w:val="24"/>
          <w:szCs w:val="24"/>
        </w:rPr>
      </w:pPr>
      <w:r w:rsidRPr="00905360">
        <w:rPr>
          <w:sz w:val="24"/>
          <w:szCs w:val="24"/>
        </w:rPr>
        <w:t xml:space="preserve">GRINBERG, Keila. A História nos porões dos arquivos judiciários. In. PINSKY, Carla Bassanezi; DE LUCA, Tânia Regina. </w:t>
      </w:r>
      <w:r w:rsidRPr="00905360">
        <w:rPr>
          <w:b/>
          <w:bCs/>
          <w:sz w:val="24"/>
          <w:szCs w:val="24"/>
        </w:rPr>
        <w:t>O historiador e suas fontes.</w:t>
      </w:r>
      <w:r w:rsidRPr="00905360">
        <w:rPr>
          <w:sz w:val="24"/>
          <w:szCs w:val="24"/>
        </w:rPr>
        <w:t xml:space="preserve"> São Paulo: Contexto, 2009.</w:t>
      </w:r>
    </w:p>
    <w:p w:rsidR="00D24E61" w:rsidRPr="00905360" w:rsidRDefault="00D24E61" w:rsidP="00905360">
      <w:pPr>
        <w:spacing w:after="120" w:line="51" w:lineRule="exact"/>
        <w:rPr>
          <w:sz w:val="24"/>
          <w:szCs w:val="24"/>
        </w:rPr>
      </w:pPr>
    </w:p>
    <w:p w:rsidR="00D24E61" w:rsidRPr="00905360" w:rsidRDefault="00D24E61" w:rsidP="00905360">
      <w:pPr>
        <w:spacing w:after="120" w:line="226" w:lineRule="auto"/>
        <w:ind w:right="1180"/>
        <w:rPr>
          <w:sz w:val="24"/>
          <w:szCs w:val="24"/>
        </w:rPr>
      </w:pPr>
      <w:r w:rsidRPr="00905360">
        <w:rPr>
          <w:sz w:val="24"/>
          <w:szCs w:val="24"/>
        </w:rPr>
        <w:t xml:space="preserve">HUNGRIA Nelson. </w:t>
      </w:r>
      <w:r w:rsidRPr="00905360">
        <w:rPr>
          <w:b/>
          <w:bCs/>
          <w:sz w:val="24"/>
          <w:szCs w:val="24"/>
        </w:rPr>
        <w:t>Em torno de um prazer</w:t>
      </w:r>
      <w:r w:rsidRPr="00905360">
        <w:rPr>
          <w:sz w:val="24"/>
          <w:szCs w:val="24"/>
        </w:rPr>
        <w:t xml:space="preserve">. Revista de Crítica Judiciária, vol. XXI, nº 2-3, 1935. LIMA, A. J. de Souza. </w:t>
      </w:r>
      <w:r w:rsidRPr="00905360">
        <w:rPr>
          <w:b/>
          <w:bCs/>
          <w:sz w:val="24"/>
          <w:szCs w:val="24"/>
        </w:rPr>
        <w:t>Tratado de medicina legal</w:t>
      </w:r>
      <w:r w:rsidRPr="00905360">
        <w:rPr>
          <w:sz w:val="24"/>
          <w:szCs w:val="24"/>
        </w:rPr>
        <w:t>. 5ª ed. Rio de Janeiro. Freitas Bastos, 1933.</w:t>
      </w:r>
    </w:p>
    <w:p w:rsidR="00D24E61" w:rsidRPr="00905360" w:rsidRDefault="00D24E61" w:rsidP="00905360">
      <w:pPr>
        <w:spacing w:after="120" w:line="49" w:lineRule="exact"/>
        <w:rPr>
          <w:sz w:val="24"/>
          <w:szCs w:val="24"/>
        </w:rPr>
      </w:pPr>
    </w:p>
    <w:p w:rsidR="00D24E61" w:rsidRPr="00905360" w:rsidRDefault="00D24E61" w:rsidP="00905360">
      <w:pPr>
        <w:spacing w:after="120" w:line="222" w:lineRule="auto"/>
        <w:jc w:val="both"/>
        <w:rPr>
          <w:sz w:val="24"/>
          <w:szCs w:val="24"/>
        </w:rPr>
      </w:pPr>
      <w:r w:rsidRPr="00905360">
        <w:rPr>
          <w:sz w:val="24"/>
          <w:szCs w:val="24"/>
        </w:rPr>
        <w:t xml:space="preserve">MARTINS JUNIOR, Carlos. Normas sexuais e exclusão social: o Direito Penal e os padrões de honra e honestidade feminina no Brasil da belle èpoque. In: PERARO, Maria Ademir; BORGES, Fernando Tadeu de Miranda (Orgs). </w:t>
      </w:r>
      <w:r w:rsidRPr="00905360">
        <w:rPr>
          <w:b/>
          <w:bCs/>
          <w:sz w:val="24"/>
          <w:szCs w:val="24"/>
        </w:rPr>
        <w:t>Mulheres e famílias no Brasil.</w:t>
      </w:r>
      <w:r w:rsidRPr="00905360">
        <w:rPr>
          <w:sz w:val="24"/>
          <w:szCs w:val="24"/>
        </w:rPr>
        <w:t xml:space="preserve"> Cuiabá, MT: Carlini &amp; Caniato, 2005.</w:t>
      </w:r>
    </w:p>
    <w:p w:rsidR="00D24E61" w:rsidRPr="00905360" w:rsidRDefault="00D24E61" w:rsidP="00905360">
      <w:pPr>
        <w:spacing w:after="120" w:line="51" w:lineRule="exact"/>
        <w:rPr>
          <w:sz w:val="24"/>
          <w:szCs w:val="24"/>
        </w:rPr>
      </w:pPr>
    </w:p>
    <w:p w:rsidR="00D24E61" w:rsidRPr="00905360" w:rsidRDefault="00D24E61" w:rsidP="00905360">
      <w:pPr>
        <w:spacing w:after="120" w:line="214" w:lineRule="auto"/>
        <w:jc w:val="both"/>
        <w:rPr>
          <w:sz w:val="24"/>
          <w:szCs w:val="24"/>
        </w:rPr>
      </w:pPr>
      <w:r w:rsidRPr="00905360">
        <w:rPr>
          <w:sz w:val="24"/>
          <w:szCs w:val="24"/>
        </w:rPr>
        <w:t xml:space="preserve">MATOS, Maria Izilda Santos de. </w:t>
      </w:r>
      <w:r w:rsidRPr="00905360">
        <w:rPr>
          <w:b/>
          <w:bCs/>
          <w:sz w:val="24"/>
          <w:szCs w:val="24"/>
        </w:rPr>
        <w:t>Âncora de emoções: corpos, subjetividades e sensibilidades.</w:t>
      </w:r>
      <w:r w:rsidRPr="00905360">
        <w:rPr>
          <w:sz w:val="24"/>
          <w:szCs w:val="24"/>
        </w:rPr>
        <w:t xml:space="preserve"> Bauru, SP: Edusc, 2005.</w:t>
      </w:r>
    </w:p>
    <w:p w:rsidR="00D24E61" w:rsidRPr="00905360" w:rsidRDefault="00D24E61" w:rsidP="00905360">
      <w:pPr>
        <w:spacing w:after="120" w:line="51" w:lineRule="exact"/>
        <w:rPr>
          <w:sz w:val="24"/>
          <w:szCs w:val="24"/>
        </w:rPr>
      </w:pPr>
    </w:p>
    <w:p w:rsidR="00D24E61" w:rsidRPr="00905360" w:rsidRDefault="00D24E61" w:rsidP="00905360">
      <w:pPr>
        <w:spacing w:after="120" w:line="215" w:lineRule="auto"/>
        <w:jc w:val="both"/>
        <w:rPr>
          <w:sz w:val="24"/>
          <w:szCs w:val="24"/>
        </w:rPr>
      </w:pPr>
      <w:r w:rsidRPr="00905360">
        <w:rPr>
          <w:sz w:val="24"/>
          <w:szCs w:val="24"/>
        </w:rPr>
        <w:t>MORAES LEME, Jose Benedicto. O problema venéreo. São Paulo. FMCSP, 1926. In. Matos, Maria Izilda Santos de. Âncora de emoções: corpos, subjetividades e sensibilidades. Bauru, SP: Edusc, 2005.</w:t>
      </w:r>
    </w:p>
    <w:p w:rsidR="00D24E61" w:rsidRPr="00905360" w:rsidRDefault="00D24E61" w:rsidP="00905360">
      <w:pPr>
        <w:spacing w:after="120" w:line="47" w:lineRule="exact"/>
        <w:rPr>
          <w:sz w:val="24"/>
          <w:szCs w:val="24"/>
        </w:rPr>
      </w:pPr>
    </w:p>
    <w:p w:rsidR="00D24E61" w:rsidRPr="00905360" w:rsidRDefault="00D24E61" w:rsidP="00905360">
      <w:pPr>
        <w:spacing w:after="120" w:line="214" w:lineRule="auto"/>
        <w:jc w:val="both"/>
        <w:rPr>
          <w:sz w:val="24"/>
          <w:szCs w:val="24"/>
        </w:rPr>
      </w:pPr>
      <w:r w:rsidRPr="00905360">
        <w:rPr>
          <w:sz w:val="24"/>
          <w:szCs w:val="24"/>
        </w:rPr>
        <w:t xml:space="preserve">OLIVEIRA, Juarez Cordeiro de. </w:t>
      </w:r>
      <w:r w:rsidRPr="00905360">
        <w:rPr>
          <w:b/>
          <w:bCs/>
          <w:sz w:val="24"/>
          <w:szCs w:val="24"/>
        </w:rPr>
        <w:t>Dos crimes contra os costumes:</w:t>
      </w:r>
      <w:r w:rsidRPr="00905360">
        <w:rPr>
          <w:sz w:val="24"/>
          <w:szCs w:val="24"/>
        </w:rPr>
        <w:t xml:space="preserve"> legislação anotada, jurisprudência na íntegra, prática forense. São Paulo: Éfeta, 1996, p. 384.</w:t>
      </w:r>
    </w:p>
    <w:p w:rsidR="00D24E61" w:rsidRPr="00905360" w:rsidRDefault="00D24E61" w:rsidP="00905360">
      <w:pPr>
        <w:spacing w:after="120" w:line="51" w:lineRule="exact"/>
        <w:rPr>
          <w:sz w:val="24"/>
          <w:szCs w:val="24"/>
        </w:rPr>
      </w:pPr>
    </w:p>
    <w:p w:rsidR="00D24E61" w:rsidRPr="00905360" w:rsidRDefault="00D24E61" w:rsidP="00905360">
      <w:pPr>
        <w:spacing w:after="120" w:line="226" w:lineRule="auto"/>
        <w:ind w:right="2120"/>
        <w:rPr>
          <w:sz w:val="24"/>
          <w:szCs w:val="24"/>
        </w:rPr>
      </w:pPr>
      <w:r w:rsidRPr="00905360">
        <w:rPr>
          <w:sz w:val="24"/>
          <w:szCs w:val="24"/>
        </w:rPr>
        <w:t xml:space="preserve">PEIXOTO, Afrânio. </w:t>
      </w:r>
      <w:r w:rsidRPr="00905360">
        <w:rPr>
          <w:b/>
          <w:bCs/>
          <w:sz w:val="24"/>
          <w:szCs w:val="24"/>
        </w:rPr>
        <w:t>Sexologia forense</w:t>
      </w:r>
      <w:r w:rsidRPr="00905360">
        <w:rPr>
          <w:sz w:val="24"/>
          <w:szCs w:val="24"/>
        </w:rPr>
        <w:t xml:space="preserve">. Rio de Janeiro: Ed. Guanabara, 1934. PERROT, Michele. </w:t>
      </w:r>
      <w:r w:rsidRPr="00905360">
        <w:rPr>
          <w:b/>
          <w:bCs/>
          <w:sz w:val="24"/>
          <w:szCs w:val="24"/>
        </w:rPr>
        <w:t>As mulheres e os silêncios da História</w:t>
      </w:r>
      <w:r w:rsidRPr="00905360">
        <w:rPr>
          <w:sz w:val="24"/>
          <w:szCs w:val="24"/>
        </w:rPr>
        <w:t>. Bauru. SP. EDUSC, 2005.</w:t>
      </w:r>
    </w:p>
    <w:p w:rsidR="00D24E61" w:rsidRPr="00905360" w:rsidRDefault="00D24E61" w:rsidP="00905360">
      <w:pPr>
        <w:spacing w:after="120" w:line="239" w:lineRule="auto"/>
        <w:rPr>
          <w:sz w:val="24"/>
          <w:szCs w:val="24"/>
        </w:rPr>
      </w:pPr>
      <w:r w:rsidRPr="00905360">
        <w:rPr>
          <w:sz w:val="24"/>
          <w:szCs w:val="24"/>
        </w:rPr>
        <w:t xml:space="preserve">______. </w:t>
      </w:r>
      <w:r w:rsidRPr="00905360">
        <w:rPr>
          <w:b/>
          <w:bCs/>
          <w:sz w:val="24"/>
          <w:szCs w:val="24"/>
        </w:rPr>
        <w:t>Minha história das mulheres.</w:t>
      </w:r>
      <w:r w:rsidRPr="00905360">
        <w:rPr>
          <w:sz w:val="24"/>
          <w:szCs w:val="24"/>
        </w:rPr>
        <w:t xml:space="preserve"> Trad.: Ângela M. S. Corrêa. 1ª ed. São Paulo: Ed. Contexto, 2008.</w:t>
      </w:r>
    </w:p>
    <w:p w:rsidR="00D24E61" w:rsidRPr="00905360" w:rsidRDefault="00D24E61" w:rsidP="00905360">
      <w:pPr>
        <w:spacing w:after="120" w:line="48" w:lineRule="exact"/>
        <w:rPr>
          <w:sz w:val="24"/>
          <w:szCs w:val="24"/>
        </w:rPr>
      </w:pPr>
    </w:p>
    <w:p w:rsidR="00D24E61" w:rsidRPr="00905360" w:rsidRDefault="00D24E61" w:rsidP="00905360">
      <w:pPr>
        <w:spacing w:after="120" w:line="214" w:lineRule="auto"/>
        <w:rPr>
          <w:sz w:val="24"/>
          <w:szCs w:val="24"/>
        </w:rPr>
      </w:pPr>
      <w:r w:rsidRPr="00905360">
        <w:rPr>
          <w:sz w:val="24"/>
          <w:szCs w:val="24"/>
        </w:rPr>
        <w:t>RAGO, Margareth. Os prazeres da noite: prostituição e códigos da sexualidade feminina em São Paulo: 1890-1930.</w:t>
      </w:r>
    </w:p>
    <w:p w:rsidR="00D24E61" w:rsidRPr="00905360" w:rsidRDefault="00D24E61" w:rsidP="00905360">
      <w:pPr>
        <w:spacing w:after="120" w:line="51" w:lineRule="exact"/>
        <w:rPr>
          <w:sz w:val="24"/>
          <w:szCs w:val="24"/>
        </w:rPr>
      </w:pPr>
    </w:p>
    <w:p w:rsidR="00D24E61" w:rsidRPr="00905360" w:rsidRDefault="00D24E61" w:rsidP="00905360">
      <w:pPr>
        <w:spacing w:after="120" w:line="214" w:lineRule="auto"/>
        <w:rPr>
          <w:sz w:val="24"/>
          <w:szCs w:val="24"/>
        </w:rPr>
      </w:pPr>
      <w:r w:rsidRPr="00905360">
        <w:rPr>
          <w:sz w:val="24"/>
          <w:szCs w:val="24"/>
        </w:rPr>
        <w:t xml:space="preserve">SCOTT, Ana Silvia. O caleidoscópio dos arranjos familiares. In. </w:t>
      </w:r>
      <w:r w:rsidRPr="00905360">
        <w:rPr>
          <w:b/>
          <w:bCs/>
          <w:sz w:val="24"/>
          <w:szCs w:val="24"/>
        </w:rPr>
        <w:t>Nova História das mulheres no Brasil</w:t>
      </w:r>
      <w:r w:rsidRPr="00905360">
        <w:rPr>
          <w:sz w:val="24"/>
          <w:szCs w:val="24"/>
        </w:rPr>
        <w:t>. São Paulo: Ed. Contexto, 2012.</w:t>
      </w:r>
    </w:p>
    <w:p w:rsidR="00D24E61" w:rsidRPr="00905360" w:rsidRDefault="00D24E61" w:rsidP="00905360">
      <w:pPr>
        <w:spacing w:after="120" w:line="51" w:lineRule="exact"/>
        <w:rPr>
          <w:sz w:val="24"/>
          <w:szCs w:val="24"/>
        </w:rPr>
      </w:pPr>
    </w:p>
    <w:p w:rsidR="00D24E61" w:rsidRPr="00905360" w:rsidRDefault="00D24E61" w:rsidP="00905360">
      <w:pPr>
        <w:spacing w:after="120" w:line="227" w:lineRule="auto"/>
        <w:rPr>
          <w:sz w:val="24"/>
          <w:szCs w:val="24"/>
        </w:rPr>
      </w:pPr>
      <w:r w:rsidRPr="00905360">
        <w:rPr>
          <w:sz w:val="24"/>
          <w:szCs w:val="24"/>
        </w:rPr>
        <w:t xml:space="preserve">VASCONSELLOS, Francisco Figueira de Mello e. </w:t>
      </w:r>
      <w:r w:rsidRPr="00905360">
        <w:rPr>
          <w:b/>
          <w:bCs/>
          <w:sz w:val="24"/>
          <w:szCs w:val="24"/>
        </w:rPr>
        <w:t>Educação sexual da mulher.</w:t>
      </w:r>
      <w:r w:rsidRPr="00905360">
        <w:rPr>
          <w:sz w:val="24"/>
          <w:szCs w:val="24"/>
        </w:rPr>
        <w:t xml:space="preserve"> Rio de Janeiro, 1915. VANNINI, Ismael A. </w:t>
      </w:r>
      <w:r w:rsidRPr="00905360">
        <w:rPr>
          <w:b/>
          <w:bCs/>
          <w:sz w:val="24"/>
          <w:szCs w:val="24"/>
        </w:rPr>
        <w:t>História, sexualidade e crime:</w:t>
      </w:r>
      <w:r w:rsidRPr="00905360">
        <w:rPr>
          <w:sz w:val="24"/>
          <w:szCs w:val="24"/>
        </w:rPr>
        <w:t xml:space="preserve"> imigrantes e descendentes na (RCI) região colonial italiana do Rio Grande do Sul (1938/1958). Porto Alegre: PUC-RS, 2008. Tese (Doutorado em História), Faculdade de Filosofia e Ciências Humanas, Pontifícia Universidade Católica do Rio Grande do Sul, 2008.</w:t>
      </w:r>
    </w:p>
    <w:p w:rsidR="00D24E61" w:rsidRPr="00905360" w:rsidRDefault="00D24E61" w:rsidP="00905360">
      <w:pPr>
        <w:spacing w:after="120" w:line="50" w:lineRule="exact"/>
        <w:rPr>
          <w:sz w:val="24"/>
          <w:szCs w:val="24"/>
        </w:rPr>
      </w:pPr>
    </w:p>
    <w:p w:rsidR="00D24E61" w:rsidRPr="00905360" w:rsidRDefault="00D24E61" w:rsidP="00905360">
      <w:pPr>
        <w:spacing w:after="120" w:line="214" w:lineRule="auto"/>
        <w:rPr>
          <w:sz w:val="24"/>
          <w:szCs w:val="24"/>
        </w:rPr>
      </w:pPr>
      <w:r w:rsidRPr="00905360">
        <w:rPr>
          <w:sz w:val="24"/>
          <w:szCs w:val="24"/>
        </w:rPr>
        <w:t xml:space="preserve">VIVEIROS DE CASTRO, Francisco José. </w:t>
      </w:r>
      <w:r w:rsidRPr="00905360">
        <w:rPr>
          <w:b/>
          <w:bCs/>
          <w:sz w:val="24"/>
          <w:szCs w:val="24"/>
        </w:rPr>
        <w:t>Os delitos contra a honra da mulher.</w:t>
      </w:r>
      <w:r w:rsidRPr="00905360">
        <w:rPr>
          <w:sz w:val="24"/>
          <w:szCs w:val="24"/>
        </w:rPr>
        <w:t xml:space="preserve"> 2ª ed. Rio de Janeiro. Editora Freitas Bastos, 1932.</w:t>
      </w:r>
    </w:p>
    <w:p w:rsidR="00D24E61" w:rsidRPr="00905360" w:rsidRDefault="00D24E61" w:rsidP="00905360">
      <w:pPr>
        <w:spacing w:after="120" w:line="200" w:lineRule="exact"/>
        <w:rPr>
          <w:sz w:val="24"/>
          <w:szCs w:val="24"/>
        </w:rPr>
      </w:pPr>
    </w:p>
    <w:p w:rsidR="00D24E61" w:rsidRPr="00771368" w:rsidRDefault="00D24E61">
      <w:pPr>
        <w:spacing w:line="311" w:lineRule="exact"/>
        <w:rPr>
          <w:sz w:val="20"/>
          <w:szCs w:val="20"/>
        </w:rPr>
      </w:pPr>
    </w:p>
    <w:p w:rsidR="00D24E61" w:rsidRPr="00771368" w:rsidRDefault="00D24E61">
      <w:pPr>
        <w:ind w:left="8900"/>
        <w:rPr>
          <w:sz w:val="20"/>
          <w:szCs w:val="20"/>
        </w:rPr>
      </w:pPr>
    </w:p>
    <w:p w:rsidR="00D24E61" w:rsidRPr="00771368" w:rsidRDefault="00D24E61">
      <w:pPr>
        <w:ind w:left="200"/>
        <w:rPr>
          <w:sz w:val="20"/>
          <w:szCs w:val="20"/>
        </w:rPr>
      </w:pPr>
      <w:r w:rsidRPr="00771368">
        <w:rPr>
          <w:b/>
          <w:bCs/>
          <w:sz w:val="24"/>
          <w:szCs w:val="24"/>
        </w:rPr>
        <w:t>A RELAÇÃO DE GÊNEROS A NÍVEL DE CURRÍCULO E PRÁTICA DOCENTE</w:t>
      </w:r>
    </w:p>
    <w:p w:rsidR="00D24E61" w:rsidRPr="00771368" w:rsidRDefault="00D24E61">
      <w:pPr>
        <w:spacing w:line="271" w:lineRule="exact"/>
        <w:rPr>
          <w:sz w:val="24"/>
          <w:szCs w:val="24"/>
        </w:rPr>
      </w:pPr>
    </w:p>
    <w:p w:rsidR="00D24E61" w:rsidRPr="00771368" w:rsidRDefault="00D24E61">
      <w:pPr>
        <w:ind w:right="20"/>
        <w:jc w:val="right"/>
        <w:rPr>
          <w:sz w:val="20"/>
          <w:szCs w:val="20"/>
        </w:rPr>
      </w:pPr>
      <w:r w:rsidRPr="00771368">
        <w:rPr>
          <w:sz w:val="24"/>
          <w:szCs w:val="24"/>
        </w:rPr>
        <w:t>Autora:</w:t>
      </w:r>
      <w:r w:rsidRPr="00905360">
        <w:rPr>
          <w:rStyle w:val="Ttulo1Char"/>
        </w:rPr>
        <w:t>Nivalda Mércia de Oliveira</w:t>
      </w:r>
      <w:r w:rsidRPr="00771368">
        <w:rPr>
          <w:sz w:val="24"/>
          <w:szCs w:val="24"/>
        </w:rPr>
        <w:t>¹</w:t>
      </w:r>
    </w:p>
    <w:p w:rsidR="00D24E61" w:rsidRPr="00771368" w:rsidRDefault="00D24E61">
      <w:pPr>
        <w:spacing w:line="2" w:lineRule="exact"/>
        <w:rPr>
          <w:sz w:val="24"/>
          <w:szCs w:val="24"/>
        </w:rPr>
      </w:pPr>
    </w:p>
    <w:p w:rsidR="00D24E61" w:rsidRPr="00771368" w:rsidRDefault="00D24E61">
      <w:pPr>
        <w:jc w:val="right"/>
        <w:rPr>
          <w:sz w:val="20"/>
          <w:szCs w:val="20"/>
        </w:rPr>
      </w:pPr>
      <w:r w:rsidRPr="00771368">
        <w:rPr>
          <w:sz w:val="24"/>
          <w:szCs w:val="24"/>
        </w:rPr>
        <w:t>Universidade de Pernambuco (UPE)</w:t>
      </w:r>
    </w:p>
    <w:p w:rsidR="00D24E61" w:rsidRPr="00771368" w:rsidRDefault="00D24E61">
      <w:pPr>
        <w:spacing w:line="238" w:lineRule="auto"/>
        <w:ind w:left="3960"/>
        <w:rPr>
          <w:sz w:val="20"/>
          <w:szCs w:val="20"/>
        </w:rPr>
      </w:pPr>
      <w:r w:rsidRPr="00771368">
        <w:rPr>
          <w:sz w:val="24"/>
          <w:szCs w:val="24"/>
        </w:rPr>
        <w:t>Orientadora: Profª. Drª. Márcia Karina da Silva Luiz²</w:t>
      </w:r>
    </w:p>
    <w:p w:rsidR="00D24E61" w:rsidRPr="00771368" w:rsidRDefault="00D24E61">
      <w:pPr>
        <w:spacing w:line="281" w:lineRule="exact"/>
        <w:rPr>
          <w:sz w:val="24"/>
          <w:szCs w:val="24"/>
        </w:rPr>
      </w:pPr>
    </w:p>
    <w:p w:rsidR="00D24E61" w:rsidRPr="00771368" w:rsidRDefault="00D24E61">
      <w:pPr>
        <w:ind w:left="3960"/>
        <w:rPr>
          <w:sz w:val="20"/>
          <w:szCs w:val="20"/>
        </w:rPr>
      </w:pPr>
      <w:r w:rsidRPr="00771368">
        <w:rPr>
          <w:b/>
          <w:bCs/>
          <w:sz w:val="24"/>
          <w:szCs w:val="24"/>
          <w:u w:val="single"/>
        </w:rPr>
        <w:t>Introdução</w:t>
      </w:r>
    </w:p>
    <w:p w:rsidR="00D24E61" w:rsidRPr="00771368" w:rsidRDefault="00D24E61">
      <w:pPr>
        <w:spacing w:line="271" w:lineRule="exact"/>
        <w:rPr>
          <w:sz w:val="24"/>
          <w:szCs w:val="24"/>
        </w:rPr>
      </w:pPr>
    </w:p>
    <w:p w:rsidR="00D24E61" w:rsidRPr="00771368" w:rsidRDefault="00D24E61">
      <w:pPr>
        <w:rPr>
          <w:sz w:val="20"/>
          <w:szCs w:val="20"/>
        </w:rPr>
      </w:pPr>
      <w:r w:rsidRPr="00771368">
        <w:rPr>
          <w:b/>
          <w:bCs/>
          <w:sz w:val="24"/>
          <w:szCs w:val="24"/>
          <w:u w:val="single"/>
        </w:rPr>
        <w:t>A Construção/Relação Sócio-Cultural do Conceito das Relações de Gênero</w:t>
      </w:r>
    </w:p>
    <w:p w:rsidR="00D24E61" w:rsidRPr="00771368" w:rsidRDefault="00D24E61">
      <w:pPr>
        <w:spacing w:line="397" w:lineRule="exact"/>
        <w:rPr>
          <w:sz w:val="24"/>
          <w:szCs w:val="24"/>
        </w:rPr>
      </w:pPr>
    </w:p>
    <w:p w:rsidR="00D24E61" w:rsidRPr="00771368" w:rsidRDefault="00D24E61">
      <w:pPr>
        <w:spacing w:line="342" w:lineRule="auto"/>
        <w:ind w:firstLine="1133"/>
        <w:jc w:val="both"/>
        <w:rPr>
          <w:sz w:val="20"/>
          <w:szCs w:val="20"/>
        </w:rPr>
      </w:pPr>
      <w:r w:rsidRPr="00771368">
        <w:rPr>
          <w:sz w:val="24"/>
          <w:szCs w:val="24"/>
        </w:rPr>
        <w:t>A intenção do artigo é fazer relevantes discussões sobre temas que deveriam está presentes em currículo escolar, para inicialmente deixar a par docentes, e tratar com educandos que vivenciam situações delicadas quando se trata de gênero, e não há respaldo em lugar que estes passam importantes horas de suas vida, a escola.</w:t>
      </w:r>
    </w:p>
    <w:p w:rsidR="00D24E61" w:rsidRPr="00771368" w:rsidRDefault="00D24E61">
      <w:pPr>
        <w:spacing w:line="285" w:lineRule="exact"/>
        <w:rPr>
          <w:sz w:val="24"/>
          <w:szCs w:val="24"/>
        </w:rPr>
      </w:pPr>
    </w:p>
    <w:p w:rsidR="00D24E61" w:rsidRPr="00771368" w:rsidRDefault="00D24E61">
      <w:pPr>
        <w:spacing w:line="349" w:lineRule="auto"/>
        <w:ind w:firstLine="706"/>
        <w:jc w:val="both"/>
        <w:rPr>
          <w:sz w:val="20"/>
          <w:szCs w:val="20"/>
        </w:rPr>
      </w:pPr>
      <w:r w:rsidRPr="00771368">
        <w:rPr>
          <w:sz w:val="24"/>
          <w:szCs w:val="24"/>
        </w:rPr>
        <w:t>Historicamente o conceito de gênero tem passado por grandes transformações, e de forma geral acentuando o valor do homem sobre a mulher, pois segundo Branca Alves (1985, p. 10), “na Grécia a mulher ocupava posição equivalente à do escravo no sentido de que tão-somente estes executavam trabalhos manuais, extremamente desvalorizados pelo homem livre. Em Atenas ser livre era, principalmente, ser homem e não mulher, ser ateniense e não estrangeiro, ser livre e não escravo”.</w:t>
      </w:r>
    </w:p>
    <w:p w:rsidR="00D24E61" w:rsidRPr="00771368" w:rsidRDefault="00D24E61">
      <w:pPr>
        <w:spacing w:line="74" w:lineRule="exact"/>
        <w:rPr>
          <w:sz w:val="24"/>
          <w:szCs w:val="24"/>
        </w:rPr>
      </w:pPr>
    </w:p>
    <w:p w:rsidR="00D24E61" w:rsidRPr="00771368" w:rsidRDefault="00D24E61">
      <w:pPr>
        <w:spacing w:line="351" w:lineRule="auto"/>
        <w:ind w:right="20" w:firstLine="706"/>
        <w:jc w:val="both"/>
        <w:rPr>
          <w:sz w:val="20"/>
          <w:szCs w:val="20"/>
        </w:rPr>
      </w:pPr>
      <w:r w:rsidRPr="00771368">
        <w:rPr>
          <w:sz w:val="24"/>
          <w:szCs w:val="24"/>
        </w:rPr>
        <w:t>Afirma ALVES (1985, p. 26) que, “no período renascentista, a posição da mulher sofre retrocesso. Durante o feudalismo, era maior seu espaço de atuação política, posto que se realizava sobretudo a nível comunal. A formação dos Estados Nacionais e o processo de centralização do poder vai de par com o afastamento da mulher da esfera pública”. A mesma ainda afirma que: “Ao mesmo tempo, o poder eclesiástico que se afirma pela Inquisição é essencialmente masculino: progressivamente, a mulher se viu afastada da hierarquia e da atuação nos ritos desta instituição religiosa.” (ALVES, 1985, p. 23)</w:t>
      </w:r>
    </w:p>
    <w:p w:rsidR="00D24E61" w:rsidRPr="00771368" w:rsidRDefault="00D24E61">
      <w:pPr>
        <w:spacing w:line="75" w:lineRule="exact"/>
        <w:rPr>
          <w:sz w:val="24"/>
          <w:szCs w:val="24"/>
        </w:rPr>
      </w:pPr>
    </w:p>
    <w:p w:rsidR="00D24E61" w:rsidRPr="00771368" w:rsidRDefault="00D24E61">
      <w:pPr>
        <w:spacing w:line="349" w:lineRule="auto"/>
        <w:ind w:right="20" w:firstLine="706"/>
        <w:jc w:val="both"/>
        <w:rPr>
          <w:sz w:val="20"/>
          <w:szCs w:val="20"/>
        </w:rPr>
      </w:pPr>
      <w:r w:rsidRPr="00771368">
        <w:rPr>
          <w:sz w:val="24"/>
          <w:szCs w:val="24"/>
        </w:rPr>
        <w:t>Ao longo dos séculos haviam mulheres que lutavam por idéias revolucionárias em que envolvia também os direitos das mulheres, um exemplo é o de Olympe de Gouges francesa. É no século XVII que o feminismo adquire características de uma prática de ação política organizada, uma vez que na França estava sendo marcada por um movimento revolucionário de grandiosidade mundial. Mesmo em meio um espírito revolucionário do século XVII, onde se pregava Igualdade, Fraternidade e Liberdade, haviam pensadores que mesmo idealizando a</w:t>
      </w:r>
    </w:p>
    <w:p w:rsidR="00D24E61" w:rsidRPr="00771368" w:rsidRDefault="00D24E61">
      <w:pPr>
        <w:spacing w:line="21" w:lineRule="exact"/>
        <w:rPr>
          <w:sz w:val="24"/>
          <w:szCs w:val="24"/>
        </w:rPr>
      </w:pPr>
    </w:p>
    <w:p w:rsidR="00D24E61" w:rsidRPr="00771368" w:rsidRDefault="00D24E61">
      <w:pPr>
        <w:rPr>
          <w:sz w:val="20"/>
          <w:szCs w:val="20"/>
        </w:rPr>
      </w:pPr>
      <w:r w:rsidRPr="00771368">
        <w:rPr>
          <w:sz w:val="24"/>
          <w:szCs w:val="24"/>
        </w:rPr>
        <w:t>____________________</w:t>
      </w:r>
    </w:p>
    <w:p w:rsidR="00D24E61" w:rsidRPr="00771368" w:rsidRDefault="00D24E61">
      <w:pPr>
        <w:spacing w:line="44" w:lineRule="exact"/>
        <w:rPr>
          <w:sz w:val="24"/>
          <w:szCs w:val="24"/>
        </w:rPr>
      </w:pPr>
    </w:p>
    <w:p w:rsidR="00D24E61" w:rsidRPr="00771368" w:rsidRDefault="00D24E61">
      <w:pPr>
        <w:spacing w:line="224" w:lineRule="auto"/>
        <w:ind w:right="20"/>
        <w:jc w:val="both"/>
        <w:rPr>
          <w:sz w:val="20"/>
          <w:szCs w:val="20"/>
        </w:rPr>
      </w:pPr>
      <w:r w:rsidRPr="00771368">
        <w:rPr>
          <w:sz w:val="20"/>
          <w:szCs w:val="20"/>
        </w:rPr>
        <w:t>¹ Licenciada em História. Especialista em Ensino de História pela Universidade de Pernambuco (UPE). Especialista em Ciências da Educação pela Faculdade Teologia Integrada (FATIN). Contato de e-mail: merciam3@hotmail.com.</w:t>
      </w:r>
    </w:p>
    <w:p w:rsidR="00D24E61" w:rsidRPr="00771368" w:rsidRDefault="00D24E61">
      <w:pPr>
        <w:spacing w:line="47" w:lineRule="exact"/>
        <w:rPr>
          <w:sz w:val="24"/>
          <w:szCs w:val="24"/>
        </w:rPr>
      </w:pPr>
    </w:p>
    <w:p w:rsidR="00D24E61" w:rsidRPr="00771368" w:rsidRDefault="00D24E61">
      <w:pPr>
        <w:spacing w:line="218" w:lineRule="auto"/>
        <w:ind w:right="20"/>
        <w:jc w:val="both"/>
        <w:rPr>
          <w:sz w:val="20"/>
          <w:szCs w:val="20"/>
        </w:rPr>
      </w:pPr>
      <w:r w:rsidRPr="00771368">
        <w:rPr>
          <w:sz w:val="20"/>
          <w:szCs w:val="20"/>
        </w:rPr>
        <w:t>² Professora Doutora em Sociologia pela Universidade Federal de Pernambuco (UFPE). Professora Adjunto da Universidade Federal Rural de Pernambuco</w:t>
      </w:r>
      <w:r w:rsidRPr="00771368">
        <w:rPr>
          <w:rFonts w:eastAsia="Calibri"/>
          <w:sz w:val="20"/>
          <w:szCs w:val="20"/>
        </w:rPr>
        <w:t>,</w:t>
      </w:r>
      <w:r w:rsidRPr="00771368">
        <w:rPr>
          <w:sz w:val="20"/>
          <w:szCs w:val="20"/>
        </w:rPr>
        <w:t xml:space="preserve"> contato de e-mail: kslmarcia@hotmail.com.</w:t>
      </w: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rPr>
          <w:sz w:val="20"/>
          <w:szCs w:val="20"/>
        </w:rPr>
      </w:pPr>
      <w:r w:rsidRPr="00771368">
        <w:rPr>
          <w:sz w:val="24"/>
          <w:szCs w:val="24"/>
        </w:rPr>
        <w:t>Revolução Francesa pensavam de forma a menosprezar a figura feminina, como no caso de</w:t>
      </w:r>
    </w:p>
    <w:p w:rsidR="00D24E61" w:rsidRPr="00771368" w:rsidRDefault="00D24E61">
      <w:pPr>
        <w:spacing w:line="200" w:lineRule="exact"/>
        <w:rPr>
          <w:sz w:val="20"/>
          <w:szCs w:val="20"/>
        </w:rPr>
      </w:pPr>
    </w:p>
    <w:p w:rsidR="00D24E61" w:rsidRPr="00771368" w:rsidRDefault="00D24E61">
      <w:pPr>
        <w:spacing w:line="304" w:lineRule="auto"/>
        <w:rPr>
          <w:sz w:val="20"/>
          <w:szCs w:val="20"/>
        </w:rPr>
      </w:pPr>
      <w:r w:rsidRPr="00771368">
        <w:rPr>
          <w:sz w:val="24"/>
          <w:szCs w:val="24"/>
        </w:rPr>
        <w:t>Rousseau, assim com cita ALVES (1985, p. 35), “a mulher deveria ser educada e encontrar sua realização ‘natural’ e colocar-se a serviço do homem, desde a infância até à idade adulta”</w:t>
      </w:r>
    </w:p>
    <w:p w:rsidR="00D24E61" w:rsidRPr="00771368" w:rsidRDefault="00D24E61">
      <w:pPr>
        <w:spacing w:line="200" w:lineRule="exact"/>
        <w:rPr>
          <w:sz w:val="20"/>
          <w:szCs w:val="20"/>
        </w:rPr>
      </w:pPr>
    </w:p>
    <w:p w:rsidR="00D24E61" w:rsidRPr="00771368" w:rsidRDefault="00D24E61">
      <w:pPr>
        <w:spacing w:line="287" w:lineRule="exact"/>
        <w:rPr>
          <w:sz w:val="20"/>
          <w:szCs w:val="20"/>
        </w:rPr>
      </w:pPr>
    </w:p>
    <w:p w:rsidR="00D24E61" w:rsidRPr="00771368" w:rsidRDefault="00D24E61">
      <w:pPr>
        <w:spacing w:line="231" w:lineRule="auto"/>
        <w:ind w:left="2260"/>
        <w:jc w:val="both"/>
        <w:rPr>
          <w:sz w:val="20"/>
          <w:szCs w:val="20"/>
        </w:rPr>
      </w:pPr>
      <w:r w:rsidRPr="00771368">
        <w:rPr>
          <w:sz w:val="24"/>
          <w:szCs w:val="24"/>
        </w:rPr>
        <w:t>Toda a educação das mulheres deve ser relacionada ao homem. Agradá-los, ser-lhes útil, fazer-se amada e honrada por eles, educá-los quando jovens, cuidá-los quando adultos, aconselhá-los, consolá-los, tornar-lhes a vida útil e agradável – são esses os deveres das mulheres em todos os tempos e o que lhe ser ensinado desde a infância (Jean Jacques Rousseau, apud Alves, 1985, p. 35)</w:t>
      </w:r>
    </w:p>
    <w:p w:rsidR="00D24E61" w:rsidRPr="00771368" w:rsidRDefault="00D24E61">
      <w:pPr>
        <w:spacing w:line="200" w:lineRule="exact"/>
        <w:rPr>
          <w:sz w:val="20"/>
          <w:szCs w:val="20"/>
        </w:rPr>
      </w:pPr>
    </w:p>
    <w:p w:rsidR="00D24E61" w:rsidRPr="00771368" w:rsidRDefault="00D24E61">
      <w:pPr>
        <w:spacing w:line="223" w:lineRule="exact"/>
        <w:rPr>
          <w:sz w:val="20"/>
          <w:szCs w:val="20"/>
        </w:rPr>
      </w:pPr>
    </w:p>
    <w:p w:rsidR="00D24E61" w:rsidRPr="00771368" w:rsidRDefault="00D24E61">
      <w:pPr>
        <w:spacing w:line="353" w:lineRule="auto"/>
        <w:ind w:firstLine="1133"/>
        <w:jc w:val="both"/>
        <w:rPr>
          <w:sz w:val="20"/>
          <w:szCs w:val="20"/>
        </w:rPr>
      </w:pPr>
      <w:r w:rsidRPr="00771368">
        <w:rPr>
          <w:sz w:val="24"/>
          <w:szCs w:val="24"/>
        </w:rPr>
        <w:t>Segundo Cavaleiro (2009, p. 25), “no âmbito da educação brasileira, os conceitos e significados das relações de gênero vem sendo discutidos por pesquisadoras e pesquisadores desde a década dos anos de 1980, período da abertura democrática do país, com mudanças que permearam o processo de redemocratização da sociedade brasileira, marcadas entre outros, pelas reivindicações dos direitos sociais e individuais. O marco definitivo desse processo, além das eleições diretas para presidência da República, foi a elaboração da Constituição Federal de 1988, que ofereceu a base para que as políticas de igualdade passassem a constar da pauta das políticas públicas, ao ressaltar a defesa ampla dos direitos” ‘sem preconceitos de origem, raça, sexo, cor, idade e quaisquer outras formas de discriminação’” (BRASIL, 1988, Art. 3, inciso IV).</w:t>
      </w:r>
    </w:p>
    <w:p w:rsidR="00D24E61" w:rsidRPr="00771368" w:rsidRDefault="00D24E61">
      <w:pPr>
        <w:spacing w:line="281" w:lineRule="exact"/>
        <w:rPr>
          <w:sz w:val="20"/>
          <w:szCs w:val="20"/>
        </w:rPr>
      </w:pPr>
    </w:p>
    <w:p w:rsidR="00D24E61" w:rsidRPr="00771368" w:rsidRDefault="00D24E61">
      <w:pPr>
        <w:spacing w:line="342" w:lineRule="auto"/>
        <w:ind w:firstLine="1133"/>
        <w:jc w:val="both"/>
        <w:rPr>
          <w:sz w:val="20"/>
          <w:szCs w:val="20"/>
        </w:rPr>
      </w:pPr>
      <w:r w:rsidRPr="00771368">
        <w:rPr>
          <w:sz w:val="24"/>
          <w:szCs w:val="24"/>
        </w:rPr>
        <w:t>Uma vez que as políticas públicas pouco mencionam os antagonismos de gênero presentes na organização do ensino, no currículo e no cotidiano escolar, a compreensão dessas relações, na escola, pode permanecer velada (VIANNA &amp; UNBEHAUM, 2004 apud CAVALEIRO, 2009, p. 25).</w:t>
      </w:r>
    </w:p>
    <w:p w:rsidR="00D24E61" w:rsidRPr="00771368" w:rsidRDefault="00D24E61">
      <w:pPr>
        <w:spacing w:line="285" w:lineRule="exact"/>
        <w:rPr>
          <w:sz w:val="20"/>
          <w:szCs w:val="20"/>
        </w:rPr>
      </w:pPr>
    </w:p>
    <w:p w:rsidR="00D24E61" w:rsidRPr="00771368" w:rsidRDefault="00D24E61">
      <w:pPr>
        <w:spacing w:line="349" w:lineRule="auto"/>
        <w:ind w:firstLine="1133"/>
        <w:jc w:val="both"/>
        <w:rPr>
          <w:sz w:val="20"/>
          <w:szCs w:val="20"/>
        </w:rPr>
      </w:pPr>
      <w:r w:rsidRPr="00771368">
        <w:rPr>
          <w:sz w:val="24"/>
          <w:szCs w:val="24"/>
        </w:rPr>
        <w:t>A questão de gênero e sexualidade, é entendida como uma construção social, histórica e cultural, e se faz necessário ser discutida na escola, um espaço privilegiado para o tratamento pedagógico desse desafio educacional contemporâneo. Seria importante inserir trabalhos relacionados com diversidade sexual, em diversas disciplinas do currículo por meio de conteúdos elencados nas Diretrizes Curriculares do estado. Dando ênfase à este lugar privilegiado que é a escola.</w:t>
      </w:r>
    </w:p>
    <w:p w:rsidR="00D24E61" w:rsidRPr="00771368" w:rsidRDefault="00D24E61">
      <w:pPr>
        <w:spacing w:line="276" w:lineRule="exact"/>
        <w:rPr>
          <w:sz w:val="20"/>
          <w:szCs w:val="20"/>
        </w:rPr>
      </w:pPr>
    </w:p>
    <w:p w:rsidR="00D24E61" w:rsidRPr="00771368" w:rsidRDefault="00D24E61">
      <w:pPr>
        <w:spacing w:line="331" w:lineRule="auto"/>
        <w:ind w:firstLine="1133"/>
        <w:jc w:val="both"/>
        <w:rPr>
          <w:sz w:val="20"/>
          <w:szCs w:val="20"/>
        </w:rPr>
      </w:pPr>
      <w:r w:rsidRPr="00771368">
        <w:rPr>
          <w:sz w:val="24"/>
          <w:szCs w:val="24"/>
        </w:rPr>
        <w:t>O conceito de gênero, muitas vezes empregado para designar a identidade sexual a partir de determinados modelos e práticas sociais, foi e ainda é o esteio de muitos estudos, e Louro (1997), diz que:</w:t>
      </w:r>
    </w:p>
    <w:p w:rsidR="00D24E61" w:rsidRPr="00771368" w:rsidRDefault="00D24E61">
      <w:pPr>
        <w:sectPr w:rsidR="00D24E61" w:rsidRPr="00771368">
          <w:pgSz w:w="11900" w:h="16838"/>
          <w:pgMar w:top="1406" w:right="1420" w:bottom="1440" w:left="1420" w:header="0" w:footer="0" w:gutter="0"/>
          <w:cols w:space="720" w:equalWidth="0">
            <w:col w:w="9060"/>
          </w:cols>
        </w:sectPr>
      </w:pPr>
    </w:p>
    <w:p w:rsidR="00D24E61" w:rsidRPr="00771368" w:rsidRDefault="00D24E61">
      <w:pPr>
        <w:spacing w:line="25" w:lineRule="exact"/>
        <w:rPr>
          <w:sz w:val="20"/>
          <w:szCs w:val="20"/>
        </w:rPr>
      </w:pPr>
    </w:p>
    <w:p w:rsidR="00D24E61" w:rsidRPr="00771368" w:rsidRDefault="00D24E61">
      <w:pPr>
        <w:spacing w:line="234" w:lineRule="auto"/>
        <w:ind w:left="2260"/>
        <w:jc w:val="both"/>
        <w:rPr>
          <w:sz w:val="20"/>
          <w:szCs w:val="20"/>
        </w:rPr>
      </w:pPr>
      <w:r w:rsidRPr="00771368">
        <w:t>Assim, gostaria de privilegiar aqui o conceito de gênero não ligado ao desempenho de papéis masculinos ou femininos, mas sim ligados à produção de identidades – múltiplas e plurais – de mulheres e homens no interior de relações e práticas sociais (portanto no interior de relações de poder) (...) Nesse sentido, a escola, como um espaço social que foi tornado, historicamente, nas sociedades urbanas ocidentais, um lócus privilegiado para formação de meninos e meninas, homens e mulheres é, ela própria, um espaço generificado, isto é, um espaço atravessado pelas representações de gênero (p. 77).</w:t>
      </w:r>
    </w:p>
    <w:p w:rsidR="00D24E61" w:rsidRPr="00771368" w:rsidRDefault="00D24E61">
      <w:pPr>
        <w:spacing w:line="200" w:lineRule="exact"/>
        <w:rPr>
          <w:sz w:val="20"/>
          <w:szCs w:val="20"/>
        </w:rPr>
      </w:pPr>
    </w:p>
    <w:p w:rsidR="00D24E61" w:rsidRPr="00771368" w:rsidRDefault="00D24E61">
      <w:pPr>
        <w:spacing w:line="221" w:lineRule="exact"/>
        <w:rPr>
          <w:sz w:val="20"/>
          <w:szCs w:val="20"/>
        </w:rPr>
      </w:pPr>
    </w:p>
    <w:p w:rsidR="00D24E61" w:rsidRPr="00771368" w:rsidRDefault="00D24E61">
      <w:pPr>
        <w:spacing w:line="367" w:lineRule="auto"/>
        <w:ind w:right="20" w:firstLine="1133"/>
        <w:jc w:val="both"/>
        <w:rPr>
          <w:sz w:val="20"/>
          <w:szCs w:val="20"/>
        </w:rPr>
      </w:pPr>
      <w:r w:rsidRPr="00771368">
        <w:rPr>
          <w:sz w:val="23"/>
          <w:szCs w:val="23"/>
        </w:rPr>
        <w:t>Para Scott (1994, apud CAVALEIRO, 2009, p. 28) o gênero é constituído por relações sociais baseadas nas diferenças percebidas entre os sexos, essas relações, por sua vez, constituem-se no interior de relações de poder. Assim, o gênero significa “o saber a respeito das diferenças sexuais” e este saber é pensado no sentido proposto por Michel Foulcault, ou seja, sempre relativo. Seus usos e significados “nascem de uma disputa política e são meios pelos quais as relações de poder – de dominação e subordinação – são construídas” (SCOTT,</w:t>
      </w:r>
    </w:p>
    <w:p w:rsidR="00D24E61" w:rsidRPr="00771368" w:rsidRDefault="00D24E61">
      <w:pPr>
        <w:spacing w:line="56" w:lineRule="exact"/>
        <w:rPr>
          <w:sz w:val="20"/>
          <w:szCs w:val="20"/>
        </w:rPr>
      </w:pPr>
    </w:p>
    <w:p w:rsidR="00D24E61" w:rsidRPr="00771368" w:rsidRDefault="00D24E61">
      <w:pPr>
        <w:spacing w:line="342" w:lineRule="auto"/>
        <w:ind w:right="20"/>
        <w:jc w:val="both"/>
        <w:rPr>
          <w:sz w:val="20"/>
          <w:szCs w:val="20"/>
        </w:rPr>
      </w:pPr>
      <w:r w:rsidRPr="00771368">
        <w:rPr>
          <w:sz w:val="24"/>
          <w:szCs w:val="24"/>
        </w:rPr>
        <w:t>1994, p. 12 apud CAVALEIRO, 2009, p. 28). Portanto, gênero é a organização social da diferença sexual, porém ela não reflete ou implementa diferenças fixas e naturais entre homens e mulheres, uma vez que se trata de “um saber que estabelece significados para as diferenças corporais” (SCOTT, 1994, p. 13 apud CAVALEIRO, 2009, p, 28)</w:t>
      </w:r>
    </w:p>
    <w:p w:rsidR="00D24E61" w:rsidRPr="00771368" w:rsidRDefault="00D24E61">
      <w:pPr>
        <w:spacing w:line="285" w:lineRule="exact"/>
        <w:rPr>
          <w:sz w:val="20"/>
          <w:szCs w:val="20"/>
        </w:rPr>
      </w:pPr>
    </w:p>
    <w:p w:rsidR="00D24E61" w:rsidRPr="00771368" w:rsidRDefault="00D24E61">
      <w:pPr>
        <w:spacing w:line="351" w:lineRule="auto"/>
        <w:ind w:right="20" w:firstLine="1133"/>
        <w:jc w:val="both"/>
        <w:rPr>
          <w:sz w:val="20"/>
          <w:szCs w:val="20"/>
        </w:rPr>
      </w:pPr>
      <w:r w:rsidRPr="00771368">
        <w:rPr>
          <w:sz w:val="24"/>
          <w:szCs w:val="24"/>
        </w:rPr>
        <w:t>Quando abordado um assunto em que relacione a relação de gênero, percebe-se o quanto a história sócio cultural remete ao quanto a mulher foi apontada de forma inferiorizada na sociedade, em relação ao homem, sendo assim, vê-se que a escola sendo um lugar de multi-relações e culturas diferenciadas acredita-se ser o lugar mais apropriado para tratar temas que demonstrem como a mulher foi retratada de forma submissa pelos homens em vários momentos da história, e também retratar o quanto aquela tem sua participação para a construção social, cultural, econômica e política ao longo da história da humanidade.</w:t>
      </w:r>
    </w:p>
    <w:p w:rsidR="00D24E61" w:rsidRPr="00771368" w:rsidRDefault="00D24E61">
      <w:pPr>
        <w:spacing w:line="200" w:lineRule="exact"/>
        <w:rPr>
          <w:sz w:val="20"/>
          <w:szCs w:val="20"/>
        </w:rPr>
      </w:pPr>
    </w:p>
    <w:p w:rsidR="00D24E61" w:rsidRPr="00771368" w:rsidRDefault="00D24E61">
      <w:pPr>
        <w:spacing w:line="268" w:lineRule="exact"/>
        <w:rPr>
          <w:sz w:val="20"/>
          <w:szCs w:val="20"/>
        </w:rPr>
      </w:pPr>
    </w:p>
    <w:p w:rsidR="00D24E61" w:rsidRPr="00771368" w:rsidRDefault="00D24E61">
      <w:pPr>
        <w:ind w:left="280"/>
        <w:rPr>
          <w:sz w:val="20"/>
          <w:szCs w:val="20"/>
        </w:rPr>
      </w:pPr>
      <w:r w:rsidRPr="00771368">
        <w:rPr>
          <w:b/>
          <w:bCs/>
          <w:sz w:val="24"/>
          <w:szCs w:val="24"/>
        </w:rPr>
        <w:t>Relações de Gênero Junto a Prática Docente</w:t>
      </w:r>
    </w:p>
    <w:p w:rsidR="00D24E61" w:rsidRPr="00771368" w:rsidRDefault="00D24E61">
      <w:pPr>
        <w:spacing w:line="397" w:lineRule="exact"/>
        <w:rPr>
          <w:sz w:val="20"/>
          <w:szCs w:val="20"/>
        </w:rPr>
      </w:pPr>
    </w:p>
    <w:p w:rsidR="00D24E61" w:rsidRPr="00771368" w:rsidRDefault="00D24E61">
      <w:pPr>
        <w:spacing w:line="351" w:lineRule="auto"/>
        <w:ind w:right="20" w:firstLine="1133"/>
        <w:jc w:val="both"/>
        <w:rPr>
          <w:sz w:val="20"/>
          <w:szCs w:val="20"/>
        </w:rPr>
      </w:pPr>
      <w:r w:rsidRPr="00771368">
        <w:rPr>
          <w:sz w:val="24"/>
          <w:szCs w:val="24"/>
        </w:rPr>
        <w:t>Tratar de assunto que referencie relações de gênero junto a prática docente, requer um estudo acentuado e minucioso onde possam destacar estudiosos que tratam deste tema com freqüência e segurança, como Guacira Louro, Michael Apple, Campos entre outros, pois estes demonstram o quanto é perceptível a presença feminina na prática docente a muito na educação. Pois segundo (Apple: 1995, apud ALVARENGA, 2008, p, 49), o magistério tornou-se feminino, em parte, porque os homens o abandonaram. Muitos professores ensinavam em tempo parcial, uma vez que os semestres escolares eram mais curtos,</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5" w:lineRule="exact"/>
        <w:rPr>
          <w:sz w:val="20"/>
          <w:szCs w:val="20"/>
        </w:rPr>
      </w:pPr>
    </w:p>
    <w:p w:rsidR="00D24E61" w:rsidRPr="00771368" w:rsidRDefault="00D24E61">
      <w:pPr>
        <w:spacing w:line="343" w:lineRule="auto"/>
        <w:ind w:right="20"/>
        <w:jc w:val="both"/>
        <w:rPr>
          <w:sz w:val="20"/>
          <w:szCs w:val="20"/>
        </w:rPr>
      </w:pPr>
      <w:r w:rsidRPr="00771368">
        <w:rPr>
          <w:sz w:val="24"/>
          <w:szCs w:val="24"/>
        </w:rPr>
        <w:t>estabelecidos de acordo com os períodos de plantio e colheita. Além disso, conciliavam a função docente com outras atividades. Com a expansão do ensino, o aumento dos períodos letivos e a exigência cada vez maior de formação, os homens perceberam um custo muito alto para uma profissão que não seria suficiente para sustentar sua família.</w:t>
      </w:r>
    </w:p>
    <w:p w:rsidR="00D24E61" w:rsidRPr="00771368" w:rsidRDefault="00D24E61">
      <w:pPr>
        <w:spacing w:line="122" w:lineRule="exact"/>
        <w:rPr>
          <w:sz w:val="20"/>
          <w:szCs w:val="20"/>
        </w:rPr>
      </w:pPr>
    </w:p>
    <w:p w:rsidR="00D24E61" w:rsidRPr="00771368" w:rsidRDefault="00D24E61">
      <w:pPr>
        <w:spacing w:line="349" w:lineRule="auto"/>
        <w:ind w:right="20" w:firstLine="1133"/>
        <w:jc w:val="both"/>
        <w:rPr>
          <w:sz w:val="20"/>
          <w:szCs w:val="20"/>
        </w:rPr>
      </w:pPr>
      <w:r w:rsidRPr="00771368">
        <w:rPr>
          <w:sz w:val="24"/>
          <w:szCs w:val="24"/>
        </w:rPr>
        <w:t>Guacira Louro (2007 apud Nogueira, 2010, p. 16) chama a atenção para a forma com que os educadores encaram a discussão da sexualidade, pois muitos pensam que se deixar de tratar desses problemas, a sexualidade ficará fora da escola. A escola não reproduz ou reflete as concepções de gênero e sexualidade que circulam na sociedade, mas ela própria as reproduz. Os indivíduos aprendem desde muito cedo a reconhecer seus lugares sociais e aprendem isso através de estratégias muito difíceis de reconhecer.</w:t>
      </w:r>
    </w:p>
    <w:p w:rsidR="00D24E61" w:rsidRPr="00771368" w:rsidRDefault="00D24E61">
      <w:pPr>
        <w:spacing w:line="117" w:lineRule="exact"/>
        <w:rPr>
          <w:sz w:val="20"/>
          <w:szCs w:val="20"/>
        </w:rPr>
      </w:pPr>
    </w:p>
    <w:p w:rsidR="00D24E61" w:rsidRPr="00771368" w:rsidRDefault="00D24E61">
      <w:pPr>
        <w:spacing w:line="345" w:lineRule="auto"/>
        <w:ind w:right="20" w:firstLine="1133"/>
        <w:jc w:val="both"/>
        <w:rPr>
          <w:sz w:val="20"/>
          <w:szCs w:val="20"/>
        </w:rPr>
      </w:pPr>
      <w:r w:rsidRPr="00771368">
        <w:rPr>
          <w:sz w:val="24"/>
          <w:szCs w:val="24"/>
        </w:rPr>
        <w:t>NOGUEIRA (2010, p. 19) diz “que a escola possui ações que valorizam as diferenças entre os gêneros, classe social, etnias, entre outros, destaca-se a importância de tornar a discussão a respeito da diversidade sexual como algo tranquilo e de fácil interpretação, sendo necessário criar o hábito da discussão e tomar cuidado com as entrelinhas e as diferenças”</w:t>
      </w:r>
    </w:p>
    <w:p w:rsidR="00D24E61" w:rsidRPr="00771368" w:rsidRDefault="00D24E61">
      <w:pPr>
        <w:spacing w:line="200" w:lineRule="exact"/>
        <w:rPr>
          <w:sz w:val="20"/>
          <w:szCs w:val="20"/>
        </w:rPr>
      </w:pPr>
    </w:p>
    <w:p w:rsidR="00D24E61" w:rsidRPr="00771368" w:rsidRDefault="00D24E61">
      <w:pPr>
        <w:spacing w:line="241" w:lineRule="exact"/>
        <w:rPr>
          <w:sz w:val="20"/>
          <w:szCs w:val="20"/>
        </w:rPr>
      </w:pPr>
    </w:p>
    <w:p w:rsidR="00D24E61" w:rsidRPr="00771368" w:rsidRDefault="00D24E61">
      <w:pPr>
        <w:spacing w:line="245" w:lineRule="auto"/>
        <w:ind w:left="2260"/>
        <w:jc w:val="both"/>
        <w:rPr>
          <w:sz w:val="20"/>
          <w:szCs w:val="20"/>
        </w:rPr>
      </w:pPr>
      <w:r w:rsidRPr="00771368">
        <w:rPr>
          <w:sz w:val="21"/>
          <w:szCs w:val="21"/>
        </w:rPr>
        <w:t>a escola também se constitui num importante agente nesse campo. Não é apenas nas portas de banheiros, muros e carteiras que se inscreve a sexualidade no espaço escolar. Ela invade por completo essa “praia”. As atitudes dos alunos no convívio escolar, o comportamento entre eles, as brincadeiras e paródias inventadas e repetidas, tudo isso transpira sexualidade. Ao não reconhecer essas múltiplas manifestações, é como se a escola realizasse o pedido, impossível de ser atendido, de que os alunos deixem sua sexualidade fora dela (SAYÃO, 1997, p. 112 apud NOGUEIRA, 2010, p. 19).</w:t>
      </w:r>
    </w:p>
    <w:p w:rsidR="00D24E61" w:rsidRPr="00771368" w:rsidRDefault="00D24E61">
      <w:pPr>
        <w:spacing w:line="200" w:lineRule="exact"/>
        <w:rPr>
          <w:sz w:val="20"/>
          <w:szCs w:val="20"/>
        </w:rPr>
      </w:pPr>
    </w:p>
    <w:p w:rsidR="00D24E61" w:rsidRPr="00771368" w:rsidRDefault="00D24E61">
      <w:pPr>
        <w:spacing w:line="214" w:lineRule="exact"/>
        <w:rPr>
          <w:sz w:val="20"/>
          <w:szCs w:val="20"/>
        </w:rPr>
      </w:pPr>
    </w:p>
    <w:p w:rsidR="00D24E61" w:rsidRPr="00771368" w:rsidRDefault="00D24E61">
      <w:pPr>
        <w:spacing w:line="333" w:lineRule="auto"/>
        <w:ind w:right="20" w:firstLine="1133"/>
        <w:jc w:val="both"/>
        <w:rPr>
          <w:sz w:val="20"/>
          <w:szCs w:val="20"/>
        </w:rPr>
      </w:pPr>
      <w:r w:rsidRPr="00771368">
        <w:rPr>
          <w:sz w:val="24"/>
          <w:szCs w:val="24"/>
        </w:rPr>
        <w:t>Para Nogueira, as questões de gênero com de sexualidade são social e historicamente construídas e, portanto, podem ser transformadas. E ainda, que o corpo seja uma constituição sociocultural e lingüística, produto e feito de relações de poder.</w:t>
      </w:r>
    </w:p>
    <w:p w:rsidR="00D24E61" w:rsidRPr="00771368" w:rsidRDefault="00D24E61">
      <w:pPr>
        <w:spacing w:line="297" w:lineRule="exact"/>
        <w:rPr>
          <w:sz w:val="20"/>
          <w:szCs w:val="20"/>
        </w:rPr>
      </w:pPr>
    </w:p>
    <w:p w:rsidR="00D24E61" w:rsidRPr="00771368" w:rsidRDefault="00D24E61">
      <w:pPr>
        <w:spacing w:line="340" w:lineRule="auto"/>
        <w:ind w:right="20" w:firstLine="1133"/>
        <w:jc w:val="both"/>
        <w:rPr>
          <w:sz w:val="20"/>
          <w:szCs w:val="20"/>
        </w:rPr>
      </w:pPr>
      <w:r w:rsidRPr="00771368">
        <w:rPr>
          <w:sz w:val="24"/>
          <w:szCs w:val="24"/>
        </w:rPr>
        <w:t>Percebe-se com esta fala de Nogueira o tanto que as relações de poder se apresentam na sociedade no que se refere a gênero, com participação ativa e pública de homens em detrimento da participação da mulher nos afazeres domésticos, e fica claro desde os tempos antigos em sociedades mais antigas.</w:t>
      </w:r>
    </w:p>
    <w:p w:rsidR="00D24E61" w:rsidRPr="00771368" w:rsidRDefault="00D24E61">
      <w:pPr>
        <w:spacing w:line="200" w:lineRule="exact"/>
        <w:rPr>
          <w:sz w:val="20"/>
          <w:szCs w:val="20"/>
        </w:rPr>
      </w:pPr>
    </w:p>
    <w:p w:rsidR="00D24E61" w:rsidRPr="00771368" w:rsidRDefault="00D24E61">
      <w:pPr>
        <w:spacing w:line="248" w:lineRule="exact"/>
        <w:rPr>
          <w:sz w:val="20"/>
          <w:szCs w:val="20"/>
        </w:rPr>
      </w:pPr>
    </w:p>
    <w:p w:rsidR="00D24E61" w:rsidRPr="00771368" w:rsidRDefault="00D24E61">
      <w:pPr>
        <w:spacing w:line="230" w:lineRule="auto"/>
        <w:ind w:left="2260" w:right="20"/>
        <w:jc w:val="both"/>
        <w:rPr>
          <w:sz w:val="20"/>
          <w:szCs w:val="20"/>
        </w:rPr>
      </w:pPr>
      <w:r w:rsidRPr="00771368">
        <w:t xml:space="preserve">Um olhar atento perceberá que a história das mulheres nas salas de aula é constituída e constituinte de </w:t>
      </w:r>
      <w:r w:rsidRPr="00771368">
        <w:rPr>
          <w:i/>
          <w:iCs/>
        </w:rPr>
        <w:t>relações de poder</w:t>
      </w:r>
      <w:r w:rsidRPr="00771368">
        <w:t>. É mais adequado compreender as relações de poder envolvidas, nessa e em outras histórias, como imbricadas em todo o tecido social, de tal forma que os diversos sujeitos sociais exercitam efeitos de poder. Todos são, ainda que de modos</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0" w:lineRule="exact"/>
        <w:rPr>
          <w:sz w:val="20"/>
          <w:szCs w:val="20"/>
        </w:rPr>
      </w:pPr>
    </w:p>
    <w:p w:rsidR="00D24E61" w:rsidRPr="00771368" w:rsidRDefault="00D24E61">
      <w:pPr>
        <w:spacing w:line="215" w:lineRule="auto"/>
        <w:ind w:left="2260"/>
        <w:rPr>
          <w:sz w:val="20"/>
          <w:szCs w:val="20"/>
        </w:rPr>
      </w:pPr>
      <w:r w:rsidRPr="00771368">
        <w:t>diversos e desiguais, controlados e controladores, capazes de resistir e de se submeter. (PRIORE, 2006, p. 478)</w:t>
      </w:r>
    </w:p>
    <w:p w:rsidR="00D24E61" w:rsidRPr="00771368" w:rsidRDefault="00D24E61">
      <w:pPr>
        <w:spacing w:line="200" w:lineRule="exact"/>
        <w:rPr>
          <w:sz w:val="20"/>
          <w:szCs w:val="20"/>
        </w:rPr>
      </w:pPr>
    </w:p>
    <w:p w:rsidR="00D24E61" w:rsidRPr="00771368" w:rsidRDefault="00D24E61">
      <w:pPr>
        <w:spacing w:line="220" w:lineRule="exact"/>
        <w:rPr>
          <w:sz w:val="20"/>
          <w:szCs w:val="20"/>
        </w:rPr>
      </w:pPr>
    </w:p>
    <w:p w:rsidR="00D24E61" w:rsidRPr="00771368" w:rsidRDefault="00D24E61">
      <w:pPr>
        <w:spacing w:line="355" w:lineRule="auto"/>
        <w:ind w:firstLine="1133"/>
        <w:jc w:val="both"/>
        <w:rPr>
          <w:sz w:val="20"/>
          <w:szCs w:val="20"/>
        </w:rPr>
      </w:pPr>
      <w:r w:rsidRPr="00771368">
        <w:rPr>
          <w:sz w:val="24"/>
          <w:szCs w:val="24"/>
        </w:rPr>
        <w:t>Segundo Moreira (2008, p. 19), o currículo é, em outras palavras, o coração da escola, o espaço central em que todos atuamos, o que nos torna, nos diferentes níveis do processo educacional, responsáveis por sua elaboração. O papel do educador no processo curricular é, assim, fundamental. Ele é um dos grandes artífices, queira ou não, da construção dos currículos que se materializam nas escolas e nas salas de aula. E Gomes (2008, p. 25) assegura que, “há diversos conhecimentos produzidos pela humanidade que ainda estão ausentes nos currículos e na formação dos professores, como, por exemplo, o conhecimento produzido pela comunidade negra ao longo da luta pela superação do racismo, o conhecimento produzido pelas mulheres no processo de luta pela igualdade de gênero, o conhecimento produzido pela juventude na vivência da sua condição juvenil, entre outros. É urgente incorporar esses conhecimentos que versam sobre a produção histórica das diferenças e das desigualdades para superar tratos escolares românticos sobre diversidade”.</w:t>
      </w:r>
    </w:p>
    <w:p w:rsidR="00D24E61" w:rsidRPr="00771368" w:rsidRDefault="00D24E61">
      <w:pPr>
        <w:spacing w:line="109" w:lineRule="exact"/>
        <w:rPr>
          <w:sz w:val="20"/>
          <w:szCs w:val="20"/>
        </w:rPr>
      </w:pPr>
    </w:p>
    <w:p w:rsidR="00D24E61" w:rsidRPr="00771368" w:rsidRDefault="00D24E61">
      <w:pPr>
        <w:spacing w:line="333" w:lineRule="auto"/>
        <w:ind w:firstLine="1133"/>
        <w:jc w:val="both"/>
        <w:rPr>
          <w:sz w:val="20"/>
          <w:szCs w:val="20"/>
        </w:rPr>
      </w:pPr>
      <w:r w:rsidRPr="00771368">
        <w:rPr>
          <w:sz w:val="24"/>
          <w:szCs w:val="24"/>
        </w:rPr>
        <w:t>Nota-se que se faz necessário um detalhamento para os estudos dos professores, para que os mesmos enfatizem assuntos referentes à diversidade trabalhando de forma mais acentuada na sala de aula, e tendo assim uma nova vivência sobre trabalhar o currículo.</w:t>
      </w:r>
    </w:p>
    <w:p w:rsidR="00D24E61" w:rsidRPr="00771368" w:rsidRDefault="00D24E61">
      <w:pPr>
        <w:spacing w:line="233" w:lineRule="exact"/>
        <w:rPr>
          <w:sz w:val="20"/>
          <w:szCs w:val="20"/>
        </w:rPr>
      </w:pPr>
    </w:p>
    <w:p w:rsidR="00D24E61" w:rsidRPr="00771368" w:rsidRDefault="00D24E61">
      <w:pPr>
        <w:rPr>
          <w:sz w:val="20"/>
          <w:szCs w:val="20"/>
        </w:rPr>
      </w:pPr>
      <w:r w:rsidRPr="00771368">
        <w:rPr>
          <w:b/>
          <w:bCs/>
          <w:sz w:val="24"/>
          <w:szCs w:val="24"/>
          <w:u w:val="single"/>
        </w:rPr>
        <w:t>Currículo e seus Pensadores</w:t>
      </w:r>
    </w:p>
    <w:p w:rsidR="00D24E61" w:rsidRPr="00771368" w:rsidRDefault="00D24E61">
      <w:pPr>
        <w:spacing w:line="397" w:lineRule="exact"/>
        <w:rPr>
          <w:sz w:val="20"/>
          <w:szCs w:val="20"/>
        </w:rPr>
      </w:pPr>
    </w:p>
    <w:p w:rsidR="00D24E61" w:rsidRPr="00771368" w:rsidRDefault="00D24E61">
      <w:pPr>
        <w:spacing w:line="349" w:lineRule="auto"/>
        <w:ind w:firstLine="1133"/>
        <w:jc w:val="both"/>
        <w:rPr>
          <w:sz w:val="20"/>
          <w:szCs w:val="20"/>
        </w:rPr>
      </w:pPr>
      <w:r w:rsidRPr="00771368">
        <w:rPr>
          <w:sz w:val="24"/>
          <w:szCs w:val="24"/>
        </w:rPr>
        <w:t>Sendo o currículo algo tão importante, e que circunda a educação, a escola e toda vivência para além da amplitude do conhecimento científico, é positivo também que tenha-se a construção de um apanhado cultural em volta deste currículo, e se faz necessário um conhecimento prévio desde seu surgimento, seus pensadores e sua importância para nortear temas de tão relevância para a construção da cidadania do estudante. Tenta-se demonstrar aqui esta sequência de informações.</w:t>
      </w:r>
    </w:p>
    <w:p w:rsidR="00D24E61" w:rsidRPr="00771368" w:rsidRDefault="00D24E61">
      <w:pPr>
        <w:spacing w:line="276" w:lineRule="exact"/>
        <w:rPr>
          <w:sz w:val="20"/>
          <w:szCs w:val="20"/>
        </w:rPr>
      </w:pPr>
    </w:p>
    <w:p w:rsidR="00D24E61" w:rsidRPr="00771368" w:rsidRDefault="00D24E61">
      <w:pPr>
        <w:spacing w:line="346" w:lineRule="auto"/>
        <w:ind w:firstLine="1133"/>
        <w:jc w:val="both"/>
        <w:rPr>
          <w:sz w:val="20"/>
          <w:szCs w:val="20"/>
        </w:rPr>
      </w:pPr>
      <w:r w:rsidRPr="00771368">
        <w:rPr>
          <w:sz w:val="24"/>
          <w:szCs w:val="24"/>
        </w:rPr>
        <w:t>Segundo Apple (1982, p. 106), “Bobbit e Charters responderam com suas teorizações sobre curriculum a essa nova necessidade econômica de especialização, fundamentando-se nos princípios da Administração Científica e constituíram uma teoria de estruturação do currículo que se baseava na diferenciação de objetivos educacionais em termos das funções específicas e limitadas da vida adulta”.</w:t>
      </w:r>
    </w:p>
    <w:p w:rsidR="00D24E61" w:rsidRPr="00771368" w:rsidRDefault="00D24E61">
      <w:pPr>
        <w:spacing w:line="281" w:lineRule="exact"/>
        <w:rPr>
          <w:sz w:val="20"/>
          <w:szCs w:val="20"/>
        </w:rPr>
      </w:pPr>
    </w:p>
    <w:p w:rsidR="00D24E61" w:rsidRPr="00771368" w:rsidRDefault="00D24E61">
      <w:pPr>
        <w:spacing w:line="336" w:lineRule="auto"/>
        <w:ind w:firstLine="1133"/>
        <w:jc w:val="both"/>
        <w:rPr>
          <w:sz w:val="20"/>
          <w:szCs w:val="20"/>
        </w:rPr>
      </w:pPr>
      <w:r w:rsidRPr="00771368">
        <w:rPr>
          <w:sz w:val="23"/>
          <w:szCs w:val="23"/>
        </w:rPr>
        <w:t>A partir dos princípios da Administração Científica do Trabalho, advindos da produção capitalista, Bobbit concebe o currículo como um meio de desenvolver o que chamou</w:t>
      </w:r>
    </w:p>
    <w:p w:rsidR="00D24E61" w:rsidRPr="00771368" w:rsidRDefault="00D24E61">
      <w:pPr>
        <w:sectPr w:rsidR="00D24E61" w:rsidRPr="00771368">
          <w:pgSz w:w="11900" w:h="16838"/>
          <w:pgMar w:top="1440" w:right="1420" w:bottom="1440" w:left="1420" w:header="0" w:footer="0" w:gutter="0"/>
          <w:cols w:space="720" w:equalWidth="0">
            <w:col w:w="9060"/>
          </w:cols>
        </w:sectPr>
      </w:pPr>
    </w:p>
    <w:p w:rsidR="00D24E61" w:rsidRPr="00771368" w:rsidRDefault="00D24E61">
      <w:pPr>
        <w:spacing w:line="25" w:lineRule="exact"/>
        <w:rPr>
          <w:sz w:val="20"/>
          <w:szCs w:val="20"/>
        </w:rPr>
      </w:pPr>
    </w:p>
    <w:p w:rsidR="00D24E61" w:rsidRPr="00771368" w:rsidRDefault="00D24E61">
      <w:pPr>
        <w:spacing w:line="308" w:lineRule="auto"/>
        <w:rPr>
          <w:sz w:val="20"/>
          <w:szCs w:val="20"/>
        </w:rPr>
      </w:pPr>
      <w:r w:rsidRPr="00771368">
        <w:rPr>
          <w:sz w:val="24"/>
          <w:szCs w:val="24"/>
        </w:rPr>
        <w:t>de “grande consciência de grupo”, onde não havia lugar para os diferentes e divergentes. Nas palavras do autor:</w:t>
      </w:r>
    </w:p>
    <w:p w:rsidR="00D24E61" w:rsidRPr="00771368" w:rsidRDefault="00D24E61">
      <w:pPr>
        <w:spacing w:line="200" w:lineRule="exact"/>
        <w:rPr>
          <w:sz w:val="20"/>
          <w:szCs w:val="20"/>
        </w:rPr>
      </w:pPr>
    </w:p>
    <w:p w:rsidR="00D24E61" w:rsidRPr="00771368" w:rsidRDefault="00D24E61">
      <w:pPr>
        <w:spacing w:line="283" w:lineRule="exact"/>
        <w:rPr>
          <w:sz w:val="20"/>
          <w:szCs w:val="20"/>
        </w:rPr>
      </w:pPr>
    </w:p>
    <w:p w:rsidR="00D24E61" w:rsidRPr="00771368" w:rsidRDefault="00D24E61">
      <w:pPr>
        <w:spacing w:line="233" w:lineRule="auto"/>
        <w:ind w:left="2260"/>
        <w:jc w:val="both"/>
        <w:rPr>
          <w:sz w:val="20"/>
          <w:szCs w:val="20"/>
        </w:rPr>
      </w:pPr>
      <w:r w:rsidRPr="00771368">
        <w:t>Como desenvolver um sentimento genuíno de pertencer a um grupo social, quer grande quer pequeno? Parece haver apenas um método, e este é: Pensar e sentir e agir com um grupo parte dele à medida que ele exerce suas atividades e esforça por atingir seus fins. Os indivíduos são amalgamados em pequenos grupos coesos, os pequenos grupos divergentes são amalgamados no grande grupo de cooperação, quando atuam juntos para fins comuns, com visão comum, e com juízo unificado (BOBBITT, 1971 apud Apple, 1982, p. 107).</w:t>
      </w:r>
    </w:p>
    <w:p w:rsidR="00D24E61" w:rsidRPr="00771368" w:rsidRDefault="00D24E61">
      <w:pPr>
        <w:spacing w:line="363" w:lineRule="exact"/>
        <w:rPr>
          <w:sz w:val="20"/>
          <w:szCs w:val="20"/>
        </w:rPr>
      </w:pPr>
    </w:p>
    <w:p w:rsidR="00D24E61" w:rsidRPr="00771368" w:rsidRDefault="00D24E61">
      <w:pPr>
        <w:ind w:left="1120"/>
        <w:rPr>
          <w:sz w:val="20"/>
          <w:szCs w:val="20"/>
        </w:rPr>
      </w:pPr>
      <w:r w:rsidRPr="00771368">
        <w:rPr>
          <w:sz w:val="24"/>
          <w:szCs w:val="24"/>
        </w:rPr>
        <w:t>Por esta declaração de Bobbit não há como discordar da afirmação de Apple</w:t>
      </w:r>
    </w:p>
    <w:p w:rsidR="00D24E61" w:rsidRPr="00771368" w:rsidRDefault="00D24E61">
      <w:pPr>
        <w:spacing w:line="195" w:lineRule="exact"/>
        <w:rPr>
          <w:sz w:val="20"/>
          <w:szCs w:val="20"/>
        </w:rPr>
      </w:pPr>
    </w:p>
    <w:p w:rsidR="00D24E61" w:rsidRPr="00771368" w:rsidRDefault="00D24E61">
      <w:pPr>
        <w:spacing w:line="308" w:lineRule="auto"/>
        <w:jc w:val="both"/>
        <w:rPr>
          <w:sz w:val="20"/>
          <w:szCs w:val="20"/>
        </w:rPr>
      </w:pPr>
      <w:r w:rsidRPr="00771368">
        <w:rPr>
          <w:sz w:val="24"/>
          <w:szCs w:val="24"/>
        </w:rPr>
        <w:t>(1982, p. 107), de que “o interesse dos primeiros teóricos a estruturarem o currículo estavam na preservação do consenso cultural e, ao mesmo tempo, em destinar aos indivíduos ao seu</w:t>
      </w:r>
    </w:p>
    <w:p w:rsidR="00D24E61" w:rsidRPr="00771368" w:rsidRDefault="00D24E61">
      <w:pPr>
        <w:spacing w:line="60" w:lineRule="exact"/>
        <w:rPr>
          <w:sz w:val="20"/>
          <w:szCs w:val="20"/>
        </w:rPr>
      </w:pPr>
    </w:p>
    <w:p w:rsidR="00D24E61" w:rsidRPr="00771368" w:rsidRDefault="00D24E61">
      <w:pPr>
        <w:rPr>
          <w:sz w:val="20"/>
          <w:szCs w:val="20"/>
        </w:rPr>
      </w:pPr>
      <w:r w:rsidRPr="00771368">
        <w:rPr>
          <w:sz w:val="24"/>
          <w:szCs w:val="24"/>
        </w:rPr>
        <w:t>‘lugar’ adequado numa sociedade industrial independente”.</w:t>
      </w:r>
    </w:p>
    <w:p w:rsidR="00D24E61" w:rsidRPr="00771368" w:rsidRDefault="00D24E61">
      <w:pPr>
        <w:spacing w:line="219" w:lineRule="exact"/>
        <w:rPr>
          <w:sz w:val="20"/>
          <w:szCs w:val="20"/>
        </w:rPr>
      </w:pPr>
    </w:p>
    <w:p w:rsidR="00D24E61" w:rsidRPr="00771368" w:rsidRDefault="00D24E61">
      <w:pPr>
        <w:spacing w:line="344" w:lineRule="auto"/>
        <w:ind w:firstLine="1133"/>
        <w:jc w:val="both"/>
        <w:rPr>
          <w:sz w:val="20"/>
          <w:szCs w:val="20"/>
        </w:rPr>
      </w:pPr>
      <w:r w:rsidRPr="00771368">
        <w:rPr>
          <w:sz w:val="24"/>
          <w:szCs w:val="24"/>
        </w:rPr>
        <w:t>Segundo Tomaz Tadeu da Silva (1995, p.194) o conhecimento, a cultura e o currículo são produzidos no contexto das relações sociais e de poder. Esquecer esse processo de produção – no qual estão envolvidas as relações desiguais de poder entre grupos sociais – significa reificar o conhecimento e reificar o currículo, destacando apenas os seus aspectos de consumo e não de produção. Ainda sobre Silva, mesmo quando se pensa em currículo como uma coisa, como uma linguagem de conteúdos, por exemplo, ele acaba sendo, fundamentalmente, aquilo que fazemos com essa coisa, pois, mesmo uma lista de conteúdos não teria propriamente existência e sentido, se não se fizesse nada com ela. Nesse sentido, o currículo não se restringe apenas a idéias e abstrações, mas a experiências e práticas concretas, construídas por sujeitos concretos, imersos em relação de poder. O currículo pode ser considerado uma atividade produtiva e possui um aspecto político que pode ser visto em dois sentidos: em suas ações (aquilo que fazemos) e em seus efeitos (o que ele nos faz). Também pode ser considerado um discurso que, ao corporificar narrativas particulares sobre o indivíduo e a sociedade, participa do processo de constituição de sujeitos (e sujeitos também muitos particulares). Sendo assim,</w:t>
      </w:r>
    </w:p>
    <w:p w:rsidR="00D24E61" w:rsidRPr="00771368" w:rsidRDefault="00D24E61">
      <w:pPr>
        <w:spacing w:line="265" w:lineRule="exact"/>
        <w:rPr>
          <w:sz w:val="20"/>
          <w:szCs w:val="20"/>
        </w:rPr>
      </w:pPr>
    </w:p>
    <w:p w:rsidR="00D24E61" w:rsidRPr="00771368" w:rsidRDefault="00D24E61">
      <w:pPr>
        <w:spacing w:line="232" w:lineRule="auto"/>
        <w:ind w:left="2260"/>
        <w:jc w:val="both"/>
        <w:rPr>
          <w:sz w:val="20"/>
          <w:szCs w:val="20"/>
        </w:rPr>
      </w:pPr>
      <w:r w:rsidRPr="00771368">
        <w:t>as narrativas contidas no currículo, explícita ou implicitamente, corporificam noções particulares sobre conhecimento, sobre formas de organização da sociedade, sobre os diferentes grupos sociais. Elas dizem qual conhecimento é legítimo e qual é ilegítimo, quais as formas de conhecer são válidas e quais não o são, o que é certo e o que é errado, o que é moral e o que é imoral, o que é bom e o que é mau, o que é belo e o que é feio, quais vozes são autorizadas e quais não o são (Silva, 1995, p. 195).</w:t>
      </w:r>
    </w:p>
    <w:p w:rsidR="00D24E61" w:rsidRPr="00771368" w:rsidRDefault="00D24E61">
      <w:pPr>
        <w:sectPr w:rsidR="00D24E61" w:rsidRPr="00771368">
          <w:pgSz w:w="11900" w:h="16838"/>
          <w:pgMar w:top="1440" w:right="1420" w:bottom="1440" w:left="1420" w:header="0" w:footer="0" w:gutter="0"/>
          <w:cols w:space="720" w:equalWidth="0">
            <w:col w:w="9060"/>
          </w:cols>
        </w:sectPr>
      </w:pPr>
    </w:p>
    <w:p w:rsidR="00D24E61" w:rsidRPr="00771368" w:rsidRDefault="00D24E61">
      <w:pPr>
        <w:spacing w:line="25" w:lineRule="exact"/>
        <w:rPr>
          <w:sz w:val="20"/>
          <w:szCs w:val="20"/>
        </w:rPr>
      </w:pPr>
    </w:p>
    <w:p w:rsidR="00D24E61" w:rsidRPr="00771368" w:rsidRDefault="00D24E61">
      <w:pPr>
        <w:spacing w:line="354" w:lineRule="auto"/>
        <w:ind w:firstLine="1133"/>
        <w:jc w:val="both"/>
        <w:rPr>
          <w:sz w:val="20"/>
          <w:szCs w:val="20"/>
        </w:rPr>
      </w:pPr>
      <w:r w:rsidRPr="00771368">
        <w:rPr>
          <w:sz w:val="24"/>
          <w:szCs w:val="24"/>
        </w:rPr>
        <w:t>O currículo é entendido, aqui, como sendo o “núcleo que corporifica o conjunto de todas as experiências cognitivas e afetivas proporcionadas aos estudantes e às estudantes no decorrer do processo de educação escolar” (SILVA, 1995). O Currículo está implicado em relações de poder, {ele} transmite visões sociais particulares e interessadas e desta forma está envolvido com a produção de identidades individuais e culturais particulares. Sendo assim, o currículo, qualquer que seja ele, tem uma história que o vincula as formas específicas e contingentes de organização da sociedade e da educação. Tal como própria escola, ele é um espaço de disputas, porque nele confrontam-se diferentes culturas e linguagens. E professoras e professores, estudantes e administradores freqüentemente divergem em relação às aprendizagens e práticas que devem ser escolhidas e valorizadas nos currículos escolares.</w:t>
      </w:r>
    </w:p>
    <w:p w:rsidR="00D24E61" w:rsidRPr="00771368" w:rsidRDefault="00D24E61">
      <w:pPr>
        <w:spacing w:line="274" w:lineRule="exact"/>
        <w:rPr>
          <w:sz w:val="20"/>
          <w:szCs w:val="20"/>
        </w:rPr>
      </w:pPr>
    </w:p>
    <w:p w:rsidR="00D24E61" w:rsidRPr="00771368" w:rsidRDefault="00D24E61">
      <w:pPr>
        <w:spacing w:line="350" w:lineRule="auto"/>
        <w:ind w:right="20" w:firstLine="1133"/>
        <w:jc w:val="both"/>
        <w:rPr>
          <w:sz w:val="20"/>
          <w:szCs w:val="20"/>
        </w:rPr>
      </w:pPr>
      <w:r w:rsidRPr="00771368">
        <w:rPr>
          <w:sz w:val="24"/>
          <w:szCs w:val="24"/>
        </w:rPr>
        <w:t>À educação compete deixar claro que tanto homens quanto mulheres têm os mesmos direitos e deveres, sempre deixando o preconceito e a discriminação de lado ao realizar a abordagem. Diante dessa observação se torna necessário que o educador tenha uma prática pedagógica que efetivamente contribua para a promoção de uma educação igualitária. Tendo em vista a história das relações de poder entre homens e mulheres, se faz necessário pensar e repensar na reprodução desses papéis, principalmente da abordagem durante o processo ensino aprendizagem.</w:t>
      </w:r>
    </w:p>
    <w:p w:rsidR="00D24E61" w:rsidRPr="00771368" w:rsidRDefault="00D24E61">
      <w:pPr>
        <w:spacing w:line="280" w:lineRule="exact"/>
        <w:rPr>
          <w:sz w:val="20"/>
          <w:szCs w:val="20"/>
        </w:rPr>
      </w:pPr>
    </w:p>
    <w:p w:rsidR="00D24E61" w:rsidRPr="00771368" w:rsidRDefault="00D24E61">
      <w:pPr>
        <w:spacing w:line="308" w:lineRule="auto"/>
        <w:ind w:right="20" w:firstLine="1133"/>
        <w:jc w:val="both"/>
        <w:rPr>
          <w:sz w:val="20"/>
          <w:szCs w:val="20"/>
        </w:rPr>
      </w:pPr>
      <w:r w:rsidRPr="00771368">
        <w:rPr>
          <w:sz w:val="24"/>
          <w:szCs w:val="24"/>
        </w:rPr>
        <w:t>Um tema como Gênero faz-se importante discutir, analisar dentro das Escolas, para amparar os direitos e deveres de criança, adolescente e adultos na Educação e Sociedade,</w:t>
      </w:r>
    </w:p>
    <w:p w:rsidR="00D24E61" w:rsidRPr="00771368" w:rsidRDefault="00D24E61">
      <w:pPr>
        <w:spacing w:line="118" w:lineRule="exact"/>
        <w:rPr>
          <w:sz w:val="20"/>
          <w:szCs w:val="20"/>
        </w:rPr>
      </w:pPr>
    </w:p>
    <w:p w:rsidR="00D24E61" w:rsidRPr="00771368" w:rsidRDefault="00D24E61">
      <w:pPr>
        <w:spacing w:line="342" w:lineRule="auto"/>
        <w:ind w:right="20"/>
        <w:jc w:val="both"/>
        <w:rPr>
          <w:sz w:val="20"/>
          <w:szCs w:val="20"/>
        </w:rPr>
      </w:pPr>
      <w:r w:rsidRPr="00771368">
        <w:rPr>
          <w:sz w:val="24"/>
          <w:szCs w:val="24"/>
        </w:rPr>
        <w:t>“como se sabe, a elaboração do PCN (Parâmetros Curriculares Nacionais), entre 1995 e 1997, teve por objetivo nortear os currículos do Ensino Fundamental e Médio em todo o território nacional, representando um importante passo na inclusão da perspectiva de gênero na educação”. (VIANNA e UNBEHAUM, 2006, p. 416).</w:t>
      </w:r>
    </w:p>
    <w:p w:rsidR="00D24E61" w:rsidRPr="00771368" w:rsidRDefault="00D24E61">
      <w:pPr>
        <w:spacing w:line="285" w:lineRule="exact"/>
        <w:rPr>
          <w:sz w:val="20"/>
          <w:szCs w:val="20"/>
        </w:rPr>
      </w:pPr>
    </w:p>
    <w:p w:rsidR="00D24E61" w:rsidRPr="00771368" w:rsidRDefault="00D24E61">
      <w:pPr>
        <w:spacing w:line="349" w:lineRule="auto"/>
        <w:ind w:right="20" w:firstLine="1133"/>
        <w:jc w:val="both"/>
        <w:rPr>
          <w:sz w:val="20"/>
          <w:szCs w:val="20"/>
        </w:rPr>
      </w:pPr>
      <w:r w:rsidRPr="00771368">
        <w:rPr>
          <w:sz w:val="24"/>
          <w:szCs w:val="24"/>
        </w:rPr>
        <w:t>Quando se intenciona levantar investigação sobre a discussão de Gênero na Educação, tem que citar o documento de grande ênfase para a Educação, que são os Parâmetros Curriculares Nacionais, que retoma contemporaneamente a questão da temática da Sexualidade no currículo das escolas, juntamente com os movimentos sociais que se propunham, com a abertura política, a repensar sobre o papel da Escola e dos conteúdos por ela trabalhados.</w:t>
      </w:r>
    </w:p>
    <w:p w:rsidR="00D24E61" w:rsidRPr="00771368" w:rsidRDefault="00D24E61">
      <w:pPr>
        <w:spacing w:line="98" w:lineRule="exact"/>
        <w:rPr>
          <w:sz w:val="20"/>
          <w:szCs w:val="20"/>
        </w:rPr>
      </w:pPr>
    </w:p>
    <w:p w:rsidR="00D24E61" w:rsidRPr="00771368" w:rsidRDefault="00D24E61">
      <w:pPr>
        <w:spacing w:line="333" w:lineRule="auto"/>
        <w:ind w:right="20" w:firstLine="1133"/>
        <w:jc w:val="both"/>
        <w:rPr>
          <w:sz w:val="20"/>
          <w:szCs w:val="20"/>
        </w:rPr>
      </w:pPr>
      <w:r w:rsidRPr="00771368">
        <w:rPr>
          <w:sz w:val="24"/>
          <w:szCs w:val="24"/>
        </w:rPr>
        <w:t>Segundo Vianna (2006), foi no tópico de Orientação Sexual que o Gênero ganhou grande relevo. “Como objeto assumido, busca-se combater relações autoritárias, questionar a rigidez dos padrões de conduta estabelecidos pelos homens e mulheres e apontar para sua</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5" w:lineRule="exact"/>
        <w:rPr>
          <w:sz w:val="20"/>
          <w:szCs w:val="20"/>
        </w:rPr>
      </w:pPr>
    </w:p>
    <w:p w:rsidR="00D24E61" w:rsidRPr="00771368" w:rsidRDefault="00D24E61">
      <w:pPr>
        <w:spacing w:line="343" w:lineRule="auto"/>
        <w:ind w:right="20"/>
        <w:jc w:val="both"/>
        <w:rPr>
          <w:sz w:val="20"/>
          <w:szCs w:val="20"/>
        </w:rPr>
      </w:pPr>
      <w:r w:rsidRPr="00771368">
        <w:rPr>
          <w:sz w:val="24"/>
          <w:szCs w:val="24"/>
        </w:rPr>
        <w:t>transformação”, incentivo, nas relações escolares, a “diversidade de comportamentos de homens e mulheres”, a “relatividade das concepções tradicionalmente associadas ao masculino e ao feminino”, o “respeito pelo outro sexo” e pelas “variadas expressões do feminino e do masculino” (Brasil, 1997, v.10, p. 144-146).</w:t>
      </w:r>
    </w:p>
    <w:p w:rsidR="00D24E61" w:rsidRPr="00771368" w:rsidRDefault="00D24E61">
      <w:pPr>
        <w:spacing w:line="103" w:lineRule="exact"/>
        <w:rPr>
          <w:sz w:val="20"/>
          <w:szCs w:val="20"/>
        </w:rPr>
      </w:pPr>
    </w:p>
    <w:p w:rsidR="00D24E61" w:rsidRPr="00771368" w:rsidRDefault="00D24E61">
      <w:pPr>
        <w:spacing w:line="342" w:lineRule="auto"/>
        <w:ind w:right="20" w:firstLine="1133"/>
        <w:jc w:val="both"/>
        <w:rPr>
          <w:sz w:val="20"/>
          <w:szCs w:val="20"/>
        </w:rPr>
      </w:pPr>
      <w:r w:rsidRPr="00771368">
        <w:rPr>
          <w:sz w:val="24"/>
          <w:szCs w:val="24"/>
        </w:rPr>
        <w:t>Porém, mesmo com os PCN’s constituindo um “importante instrumento de referência para a formação e atuação de professores em sala de aula, estudos vêm demonstrando que poucas escolas os incorporam na prática. Dentre os motivos apontados está o distanciamento entre a orientação proposta e o contexto escolar existente” (Vianna &amp;</w:t>
      </w:r>
    </w:p>
    <w:p w:rsidR="00D24E61" w:rsidRPr="00771368" w:rsidRDefault="00D24E61">
      <w:pPr>
        <w:spacing w:line="25" w:lineRule="exact"/>
        <w:rPr>
          <w:sz w:val="20"/>
          <w:szCs w:val="20"/>
        </w:rPr>
      </w:pPr>
    </w:p>
    <w:p w:rsidR="00D24E61" w:rsidRPr="00771368" w:rsidRDefault="00D24E61">
      <w:pPr>
        <w:rPr>
          <w:sz w:val="20"/>
          <w:szCs w:val="20"/>
        </w:rPr>
      </w:pPr>
      <w:r w:rsidRPr="00771368">
        <w:rPr>
          <w:sz w:val="24"/>
          <w:szCs w:val="24"/>
        </w:rPr>
        <w:t>Embehaum p. 420-421).</w:t>
      </w:r>
    </w:p>
    <w:p w:rsidR="00D24E61" w:rsidRPr="00771368" w:rsidRDefault="00D24E61">
      <w:pPr>
        <w:spacing w:line="214" w:lineRule="exact"/>
        <w:rPr>
          <w:sz w:val="20"/>
          <w:szCs w:val="20"/>
        </w:rPr>
      </w:pPr>
    </w:p>
    <w:p w:rsidR="00D24E61" w:rsidRPr="00771368" w:rsidRDefault="00D24E61">
      <w:pPr>
        <w:spacing w:line="346" w:lineRule="auto"/>
        <w:ind w:firstLine="1133"/>
        <w:jc w:val="both"/>
        <w:rPr>
          <w:sz w:val="20"/>
          <w:szCs w:val="20"/>
        </w:rPr>
      </w:pPr>
      <w:r w:rsidRPr="00771368">
        <w:rPr>
          <w:sz w:val="24"/>
          <w:szCs w:val="24"/>
        </w:rPr>
        <w:t>Sendo assim, a partir da grande abordagem que os documentos PCN’s fazem sobre Educação, vê-se o quanto se intensificou em interesse das políticas públicas em auxiliar no trabalho do professor, para que possam passar e compartilhar o trabalho do dia-a-dia com os estudantes, passando mais seguramente o conhecimento em prol do crescimento destes como cidadãos plenamente reconhecidos e conscientes de seu papel em nossa sociedade.</w:t>
      </w:r>
    </w:p>
    <w:p w:rsidR="00D24E61" w:rsidRPr="00771368" w:rsidRDefault="00D24E61">
      <w:pPr>
        <w:spacing w:line="282" w:lineRule="exact"/>
        <w:rPr>
          <w:sz w:val="20"/>
          <w:szCs w:val="20"/>
        </w:rPr>
      </w:pPr>
    </w:p>
    <w:p w:rsidR="00D24E61" w:rsidRPr="00771368" w:rsidRDefault="00D24E61">
      <w:pPr>
        <w:spacing w:line="353" w:lineRule="auto"/>
        <w:ind w:right="20" w:firstLine="1133"/>
        <w:jc w:val="both"/>
        <w:rPr>
          <w:sz w:val="20"/>
          <w:szCs w:val="20"/>
        </w:rPr>
      </w:pPr>
      <w:r w:rsidRPr="00771368">
        <w:rPr>
          <w:sz w:val="24"/>
          <w:szCs w:val="24"/>
        </w:rPr>
        <w:t>A partir de determinadas discussões e análises percebe-se o quanto se faz necessário falar, inserir em currículos, matrizes escolares as discussões sobre Gênero e Educação, pois mesmo em documentos oficiais como a Constituição Federal do Brasil, o Estatuto da Criança e do Adolescente, os Parâmetros Curriculares Nacionais, estarem presentes e enfatizados sobre a vivência e discussão nas escolas sobre gênero, sexualidade, ética, raça, cultura religião, entre outros, não se aplica esta discussão e este vivenciar no lugar mais adequado e de extrema necessidade, que é a escola, lugar onde se forma opiniões, relações de poder, representatividades do poder vigente social, religioso e economicamente falando.</w:t>
      </w:r>
    </w:p>
    <w:p w:rsidR="00D24E61" w:rsidRPr="00771368" w:rsidRDefault="00D24E61">
      <w:pPr>
        <w:spacing w:line="275" w:lineRule="exact"/>
        <w:rPr>
          <w:sz w:val="20"/>
          <w:szCs w:val="20"/>
        </w:rPr>
      </w:pPr>
    </w:p>
    <w:p w:rsidR="00D24E61" w:rsidRPr="00771368" w:rsidRDefault="00D24E61">
      <w:pPr>
        <w:spacing w:line="354" w:lineRule="auto"/>
        <w:ind w:firstLine="1133"/>
        <w:jc w:val="both"/>
        <w:rPr>
          <w:sz w:val="20"/>
          <w:szCs w:val="20"/>
        </w:rPr>
      </w:pPr>
      <w:r w:rsidRPr="00771368">
        <w:rPr>
          <w:sz w:val="24"/>
          <w:szCs w:val="24"/>
        </w:rPr>
        <w:t>A partir da visão de Tomaz Tadeu, nota-se que “na crítica do currículo, a utilização do conceito de gênero segue uma trajetória semelhante à da utilização do conceito de classe. As perspectivas críticas sobre currículo tornaram-se crescentemente questionadas por ignorarem outras dimensões da desigualdade que não fossem aquelas ligadas à classe social. Especificamente, questionavam-se as perspectivas críticas por deixarem de levar em consideração o papel do gênero e da raça no processo de produção e reprodução da desigualdade. O feminismo vinha mostrando, com força cada vez maior, que as linhas do poder da sociedade estão estruturadas não apenas pelo capitalismo, mas também pelo patriarcado. De acordo com essa teorização feminista, há uma profunda desigualdade dividindo homens e mulheres, com os primeiros apropriando-se de uma parte gritantemente</w:t>
      </w:r>
    </w:p>
    <w:p w:rsidR="00D24E61" w:rsidRPr="00771368" w:rsidRDefault="00D24E61">
      <w:pPr>
        <w:sectPr w:rsidR="00D24E61" w:rsidRPr="00771368">
          <w:pgSz w:w="11900" w:h="16838"/>
          <w:pgMar w:top="1440" w:right="1400" w:bottom="1059" w:left="1420" w:header="0" w:footer="0" w:gutter="0"/>
          <w:cols w:space="720" w:equalWidth="0">
            <w:col w:w="9080"/>
          </w:cols>
        </w:sectPr>
      </w:pPr>
    </w:p>
    <w:p w:rsidR="00D24E61" w:rsidRPr="00771368" w:rsidRDefault="00D24E61">
      <w:pPr>
        <w:spacing w:line="25" w:lineRule="exact"/>
        <w:rPr>
          <w:sz w:val="20"/>
          <w:szCs w:val="20"/>
        </w:rPr>
      </w:pPr>
    </w:p>
    <w:p w:rsidR="00D24E61" w:rsidRPr="00771368" w:rsidRDefault="00D24E61">
      <w:pPr>
        <w:spacing w:line="308" w:lineRule="auto"/>
        <w:ind w:right="40"/>
        <w:jc w:val="both"/>
        <w:rPr>
          <w:sz w:val="20"/>
          <w:szCs w:val="20"/>
        </w:rPr>
      </w:pPr>
      <w:r w:rsidRPr="00771368">
        <w:rPr>
          <w:sz w:val="24"/>
          <w:szCs w:val="24"/>
        </w:rPr>
        <w:t>desproporcional dos recursos materiais e simbólicos da sociedade”. E “essa repartição desigual estende-se, obviamente, à educação e ao currículo”. (2005, p. 92)</w:t>
      </w:r>
    </w:p>
    <w:p w:rsidR="00D24E61" w:rsidRPr="00771368" w:rsidRDefault="00D24E61">
      <w:pPr>
        <w:spacing w:line="324" w:lineRule="exact"/>
        <w:rPr>
          <w:sz w:val="20"/>
          <w:szCs w:val="20"/>
        </w:rPr>
      </w:pPr>
    </w:p>
    <w:p w:rsidR="00D24E61" w:rsidRPr="00771368" w:rsidRDefault="00D24E61">
      <w:pPr>
        <w:spacing w:line="351" w:lineRule="auto"/>
        <w:ind w:right="20" w:firstLine="1133"/>
        <w:jc w:val="both"/>
        <w:rPr>
          <w:sz w:val="20"/>
          <w:szCs w:val="20"/>
        </w:rPr>
      </w:pPr>
      <w:r w:rsidRPr="00771368">
        <w:rPr>
          <w:sz w:val="24"/>
          <w:szCs w:val="24"/>
        </w:rPr>
        <w:t>É importante que fosse remetido a escola uma análise de diferentes conceitos de gênero assim como, discutir a produção de diferenças e desigualdades de gênero, também fazer análises dos processos sociais mais amplos que marcaram a discriminação de diferentes sujeitos, em função tanto da identidade de gênero quanto em função de articulações com a raça/etnia, orientação sexual, religião, aparência física, entre outras. Sendo assim, percebe-se o tanto que precisa ser analisado e re-avaliado de forma profunda, as intervenções sociais e políticas que se faz necessário para serem executadas na realidade.</w:t>
      </w:r>
    </w:p>
    <w:p w:rsidR="00D24E61" w:rsidRPr="00771368" w:rsidRDefault="00D24E61">
      <w:pPr>
        <w:spacing w:line="200" w:lineRule="exact"/>
        <w:rPr>
          <w:sz w:val="20"/>
          <w:szCs w:val="20"/>
        </w:rPr>
      </w:pPr>
    </w:p>
    <w:p w:rsidR="00D24E61" w:rsidRPr="00771368" w:rsidRDefault="00D24E61">
      <w:pPr>
        <w:spacing w:line="225" w:lineRule="exact"/>
        <w:rPr>
          <w:sz w:val="20"/>
          <w:szCs w:val="20"/>
        </w:rPr>
      </w:pPr>
    </w:p>
    <w:p w:rsidR="00D24E61" w:rsidRPr="00771368" w:rsidRDefault="00D24E61">
      <w:pPr>
        <w:rPr>
          <w:sz w:val="20"/>
          <w:szCs w:val="20"/>
        </w:rPr>
      </w:pPr>
      <w:r w:rsidRPr="00771368">
        <w:rPr>
          <w:b/>
          <w:bCs/>
          <w:sz w:val="24"/>
          <w:szCs w:val="24"/>
          <w:u w:val="single"/>
        </w:rPr>
        <w:t>Objetivos</w:t>
      </w:r>
    </w:p>
    <w:p w:rsidR="00D24E61" w:rsidRPr="00771368" w:rsidRDefault="00D24E61">
      <w:pPr>
        <w:spacing w:line="248" w:lineRule="exact"/>
        <w:rPr>
          <w:sz w:val="20"/>
          <w:szCs w:val="20"/>
        </w:rPr>
      </w:pPr>
    </w:p>
    <w:p w:rsidR="00D24E61" w:rsidRPr="00771368" w:rsidRDefault="00D24E61">
      <w:pPr>
        <w:spacing w:line="353" w:lineRule="auto"/>
        <w:ind w:right="20" w:firstLine="1133"/>
        <w:jc w:val="both"/>
        <w:rPr>
          <w:sz w:val="20"/>
          <w:szCs w:val="20"/>
        </w:rPr>
      </w:pPr>
      <w:r w:rsidRPr="00771368">
        <w:rPr>
          <w:sz w:val="24"/>
          <w:szCs w:val="24"/>
        </w:rPr>
        <w:t>A partir das vivências como professora de história na rede pública de Pernambuco no Ensino Médio, sempre tive a curiosidade e necessidade de compreender de que forma vinham sendo trabalhados assuntos relacionados as vivências de gênero nas Unidades de Ensino na rede pública. Certo momento tive a oportunidade de escrever um artigo sobre A Relação de Gêneros nas Escolas Públicas, e como se constroem os Valores nestas Instituições, no ano de 2010, e isso foi ampliando minha curiosidade em querer entender como estava sendo tratado este tema de tanta relevância, nas escolas públicas estaduais, e aí iniciei uma investigação numa escola específica para tentar entender como se dava a relação dos docentes e os currículos no que diz respeito ao trabalho sobre relações de gênero a partir de uma perspectiva de educando.</w:t>
      </w:r>
    </w:p>
    <w:p w:rsidR="00D24E61" w:rsidRPr="00771368" w:rsidRDefault="00D24E61">
      <w:pPr>
        <w:spacing w:line="281" w:lineRule="exact"/>
        <w:rPr>
          <w:sz w:val="20"/>
          <w:szCs w:val="20"/>
        </w:rPr>
      </w:pPr>
    </w:p>
    <w:p w:rsidR="00D24E61" w:rsidRPr="00771368" w:rsidRDefault="00D24E61">
      <w:pPr>
        <w:spacing w:line="371" w:lineRule="auto"/>
        <w:ind w:firstLine="1133"/>
        <w:jc w:val="both"/>
        <w:rPr>
          <w:sz w:val="20"/>
          <w:szCs w:val="20"/>
        </w:rPr>
      </w:pPr>
      <w:r w:rsidRPr="00771368">
        <w:rPr>
          <w:sz w:val="23"/>
          <w:szCs w:val="23"/>
        </w:rPr>
        <w:t>O intuito é tratar sobre Relações de Gênero, Currículo e Prática Docente, fazer levantamento e investigação a partir de documentos oficiais e científicos que tratem destes assuntos acima descritos, nas escolas públicas, com o intuito de conhecer e ampliar as leituras para o desempenho necessário à construção deste trabalho. Entre o material destaco os Parâmetros Curriculares Nacionais, assim como a matriz Curricular do Estado de Pernambuco, que é um apoio para ter como origem uma melhor compreensão de como se dá o trabalho de Relações de Gênero a partir destes documentos que apoio o Ensino Brasileiro. Analisar as concepções teóricas de Relações de Gênero e Currículo, tendo suportes teóricos para que se desse o entendimento junto ao trabalho docente, que pudesse viabilizar o entendimento do estudante a partir das práticas e assim, demonstrar o quanto se faz necessário a efetiva vivência de valores, para que se dê a importância social do que venha a ser a formação do ser mulher e</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5" w:lineRule="exact"/>
        <w:rPr>
          <w:sz w:val="20"/>
          <w:szCs w:val="20"/>
        </w:rPr>
      </w:pPr>
    </w:p>
    <w:p w:rsidR="00D24E61" w:rsidRPr="00771368" w:rsidRDefault="00D24E61">
      <w:pPr>
        <w:spacing w:line="332" w:lineRule="auto"/>
        <w:jc w:val="both"/>
        <w:rPr>
          <w:sz w:val="20"/>
          <w:szCs w:val="20"/>
        </w:rPr>
      </w:pPr>
      <w:r w:rsidRPr="00771368">
        <w:rPr>
          <w:sz w:val="23"/>
          <w:szCs w:val="23"/>
        </w:rPr>
        <w:t>do ser homem, numa sociedade, que historicamente tem construções machistas, preconceituosas, e que a educação tem um papel importante para a mudança destes paradigmas.</w:t>
      </w:r>
    </w:p>
    <w:p w:rsidR="00D24E61" w:rsidRPr="00771368" w:rsidRDefault="00D24E61">
      <w:pPr>
        <w:spacing w:line="242" w:lineRule="exact"/>
        <w:rPr>
          <w:sz w:val="20"/>
          <w:szCs w:val="20"/>
        </w:rPr>
      </w:pPr>
    </w:p>
    <w:p w:rsidR="00D24E61" w:rsidRPr="00771368" w:rsidRDefault="00D24E61">
      <w:pPr>
        <w:rPr>
          <w:sz w:val="20"/>
          <w:szCs w:val="20"/>
        </w:rPr>
      </w:pPr>
      <w:r w:rsidRPr="00771368">
        <w:rPr>
          <w:b/>
          <w:bCs/>
          <w:sz w:val="24"/>
          <w:szCs w:val="24"/>
          <w:u w:val="single"/>
        </w:rPr>
        <w:t>Contextualização Metodológica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5" w:lineRule="exact"/>
        <w:rPr>
          <w:sz w:val="20"/>
          <w:szCs w:val="20"/>
        </w:rPr>
      </w:pPr>
    </w:p>
    <w:p w:rsidR="00D24E61" w:rsidRPr="00771368" w:rsidRDefault="00D24E61">
      <w:pPr>
        <w:spacing w:line="352" w:lineRule="auto"/>
        <w:ind w:firstLine="1133"/>
        <w:jc w:val="both"/>
        <w:rPr>
          <w:sz w:val="20"/>
          <w:szCs w:val="20"/>
        </w:rPr>
      </w:pPr>
      <w:r w:rsidRPr="00771368">
        <w:rPr>
          <w:sz w:val="24"/>
          <w:szCs w:val="24"/>
        </w:rPr>
        <w:t>Para realização da investigação, no dado momento do ajuntamento de dados dos questionários aplicados aos estudantes, foi construído um banco de dados na planilha eletrônica Microsoft Excel. Após a digitação da base de dados, o banco foi exportado para o software SPSS versão 13.0 no qual foi realizada a análise. Para análise dos dados foram calculadas as freqüências observadas e percentuais das respostas sobre a percepção dos alunos acerca do trabalho sobre gênero na escola. A fim de comparar tal percepção segundo o sexo do aluno, foi utilizado o teste Qui-quadrado para comparação de proporção. Todas as conclusões foram tiradas considerando o nível de significância de 5%.</w:t>
      </w:r>
    </w:p>
    <w:p w:rsidR="00D24E61" w:rsidRPr="00771368" w:rsidRDefault="00D24E61">
      <w:pPr>
        <w:spacing w:line="276" w:lineRule="exact"/>
        <w:rPr>
          <w:sz w:val="20"/>
          <w:szCs w:val="20"/>
        </w:rPr>
      </w:pPr>
    </w:p>
    <w:p w:rsidR="00D24E61" w:rsidRPr="00771368" w:rsidRDefault="00D24E61">
      <w:pPr>
        <w:spacing w:line="351" w:lineRule="auto"/>
        <w:ind w:firstLine="1133"/>
        <w:jc w:val="both"/>
        <w:rPr>
          <w:sz w:val="20"/>
          <w:szCs w:val="20"/>
        </w:rPr>
      </w:pPr>
      <w:r w:rsidRPr="00771368">
        <w:rPr>
          <w:sz w:val="24"/>
          <w:szCs w:val="24"/>
        </w:rPr>
        <w:t>Quando se escolhe um método para uma investigação, o que se quer é a escolha certa de procedimentos sistemáticos para a descrição e explicação do tal fenômeno, sendo assim, “o método quantitativo representa, em princípio, a intenção de garantir a precisão dos resultados, evitar distorções de análise e interpretação, possibilitando, conseqüentemente, uma margem de segurança quanto às inferências”. O mesmo “é freqüentemente aplicado nos estudos descritivos naqueles que procuram descobrir e classificar a relação entre variáveis, bem como nos que investigam a relação de causalidade entre fenômenos”, (RICHARDSON,</w:t>
      </w:r>
    </w:p>
    <w:p w:rsidR="00D24E61" w:rsidRPr="00771368" w:rsidRDefault="00D24E61">
      <w:pPr>
        <w:spacing w:line="12" w:lineRule="exact"/>
        <w:rPr>
          <w:sz w:val="20"/>
          <w:szCs w:val="20"/>
        </w:rPr>
      </w:pPr>
    </w:p>
    <w:p w:rsidR="00D24E61" w:rsidRPr="00771368" w:rsidRDefault="00D24E61">
      <w:pPr>
        <w:rPr>
          <w:sz w:val="20"/>
          <w:szCs w:val="20"/>
        </w:rPr>
      </w:pPr>
      <w:r w:rsidRPr="00771368">
        <w:rPr>
          <w:sz w:val="24"/>
          <w:szCs w:val="24"/>
        </w:rPr>
        <w:t>2010. p. 70).</w:t>
      </w:r>
    </w:p>
    <w:p w:rsidR="00D24E61" w:rsidRPr="00771368" w:rsidRDefault="00D24E61">
      <w:pPr>
        <w:spacing w:line="219" w:lineRule="exact"/>
        <w:rPr>
          <w:sz w:val="20"/>
          <w:szCs w:val="20"/>
        </w:rPr>
      </w:pPr>
    </w:p>
    <w:p w:rsidR="00D24E61" w:rsidRPr="00771368" w:rsidRDefault="00D24E61">
      <w:pPr>
        <w:spacing w:line="348" w:lineRule="auto"/>
        <w:ind w:firstLine="706"/>
        <w:jc w:val="both"/>
        <w:rPr>
          <w:sz w:val="20"/>
          <w:szCs w:val="20"/>
        </w:rPr>
      </w:pPr>
      <w:r w:rsidRPr="00771368">
        <w:rPr>
          <w:sz w:val="24"/>
          <w:szCs w:val="24"/>
        </w:rPr>
        <w:t>O ambiente que escolhi para desenvolver a investigação foi uma instituição estadual, a Escola de Referência em Ensino Médio de Panelas – EREMPA, Panelas – PE e fizeram parte desta investigação 234 alunos da rede estadual de ensino do município de Panelas-PE, no ano de 2011. A maioria dos alunos era do 2º anos (41,0%, 96 casos), do sexo feminino (53%, 124 casos), idade de 16 ou 17 anos (59,8%, 140 casos), a mãe e o pai possuem Ensino Fundamental completo/incompleto (39,5%, 92 casos e 60,3%, 132 casos) (TABELA 1).</w:t>
      </w:r>
    </w:p>
    <w:p w:rsidR="00D24E61" w:rsidRPr="00771368" w:rsidRDefault="00D24E61">
      <w:pPr>
        <w:spacing w:line="283" w:lineRule="exact"/>
        <w:rPr>
          <w:sz w:val="20"/>
          <w:szCs w:val="20"/>
        </w:rPr>
      </w:pPr>
    </w:p>
    <w:p w:rsidR="00D24E61" w:rsidRPr="00771368" w:rsidRDefault="00D24E61">
      <w:pPr>
        <w:spacing w:line="230" w:lineRule="auto"/>
        <w:ind w:right="440"/>
        <w:rPr>
          <w:sz w:val="20"/>
          <w:szCs w:val="20"/>
        </w:rPr>
      </w:pPr>
      <w:r w:rsidRPr="00771368">
        <w:rPr>
          <w:b/>
          <w:bCs/>
          <w:sz w:val="24"/>
          <w:szCs w:val="24"/>
        </w:rPr>
        <w:t>Tabela 1</w:t>
      </w:r>
      <w:r w:rsidRPr="00771368">
        <w:rPr>
          <w:sz w:val="24"/>
          <w:szCs w:val="24"/>
        </w:rPr>
        <w:t>. Distribuição dos alunos da rede estadual de ensino do município de Panelas-PE</w:t>
      </w:r>
      <w:r w:rsidRPr="00771368">
        <w:rPr>
          <w:b/>
          <w:bCs/>
          <w:sz w:val="24"/>
          <w:szCs w:val="24"/>
        </w:rPr>
        <w:t xml:space="preserve"> </w:t>
      </w:r>
      <w:r w:rsidRPr="00771368">
        <w:rPr>
          <w:sz w:val="24"/>
          <w:szCs w:val="24"/>
        </w:rPr>
        <w:t>participantes da pesquisa.</w:t>
      </w:r>
    </w:p>
    <w:p w:rsidR="00D24E61" w:rsidRPr="00771368" w:rsidRDefault="00D24E61">
      <w:pPr>
        <w:spacing w:line="238" w:lineRule="exact"/>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20"/>
        <w:gridCol w:w="3240"/>
        <w:gridCol w:w="2580"/>
        <w:gridCol w:w="2840"/>
      </w:tblGrid>
      <w:tr w:rsidR="00D24E61" w:rsidRPr="00771368">
        <w:trPr>
          <w:trHeight w:val="282"/>
        </w:trPr>
        <w:tc>
          <w:tcPr>
            <w:tcW w:w="20" w:type="dxa"/>
            <w:vAlign w:val="bottom"/>
          </w:tcPr>
          <w:p w:rsidR="00D24E61" w:rsidRPr="00771368" w:rsidRDefault="00D24E61">
            <w:pPr>
              <w:rPr>
                <w:sz w:val="24"/>
                <w:szCs w:val="24"/>
              </w:rPr>
            </w:pPr>
          </w:p>
        </w:tc>
        <w:tc>
          <w:tcPr>
            <w:tcW w:w="3240" w:type="dxa"/>
            <w:tcBorders>
              <w:top w:val="single" w:sz="8" w:space="0" w:color="auto"/>
              <w:bottom w:val="single" w:sz="8" w:space="0" w:color="auto"/>
            </w:tcBorders>
            <w:vAlign w:val="bottom"/>
          </w:tcPr>
          <w:p w:rsidR="00D24E61" w:rsidRPr="00771368" w:rsidRDefault="00D24E61">
            <w:pPr>
              <w:ind w:left="1120"/>
              <w:rPr>
                <w:sz w:val="20"/>
                <w:szCs w:val="20"/>
              </w:rPr>
            </w:pPr>
            <w:r w:rsidRPr="00771368">
              <w:rPr>
                <w:b/>
                <w:bCs/>
                <w:sz w:val="24"/>
                <w:szCs w:val="24"/>
              </w:rPr>
              <w:t>Variáveis</w:t>
            </w:r>
          </w:p>
        </w:tc>
        <w:tc>
          <w:tcPr>
            <w:tcW w:w="2580" w:type="dxa"/>
            <w:tcBorders>
              <w:top w:val="single" w:sz="8" w:space="0" w:color="auto"/>
              <w:bottom w:val="single" w:sz="8" w:space="0" w:color="auto"/>
            </w:tcBorders>
            <w:vAlign w:val="bottom"/>
          </w:tcPr>
          <w:p w:rsidR="00D24E61" w:rsidRPr="00771368" w:rsidRDefault="00D24E61">
            <w:pPr>
              <w:jc w:val="center"/>
              <w:rPr>
                <w:sz w:val="20"/>
                <w:szCs w:val="20"/>
              </w:rPr>
            </w:pPr>
            <w:r w:rsidRPr="00771368">
              <w:rPr>
                <w:b/>
                <w:bCs/>
                <w:sz w:val="24"/>
                <w:szCs w:val="24"/>
              </w:rPr>
              <w:t>N</w:t>
            </w:r>
          </w:p>
        </w:tc>
        <w:tc>
          <w:tcPr>
            <w:tcW w:w="2840" w:type="dxa"/>
            <w:tcBorders>
              <w:top w:val="single" w:sz="8" w:space="0" w:color="auto"/>
              <w:bottom w:val="single" w:sz="8" w:space="0" w:color="auto"/>
            </w:tcBorders>
            <w:vAlign w:val="bottom"/>
          </w:tcPr>
          <w:p w:rsidR="00D24E61" w:rsidRPr="00771368" w:rsidRDefault="00D24E61">
            <w:pPr>
              <w:jc w:val="center"/>
              <w:rPr>
                <w:sz w:val="20"/>
                <w:szCs w:val="20"/>
              </w:rPr>
            </w:pPr>
            <w:r w:rsidRPr="00771368">
              <w:rPr>
                <w:b/>
                <w:bCs/>
                <w:w w:val="99"/>
                <w:sz w:val="24"/>
                <w:szCs w:val="24"/>
              </w:rPr>
              <w:t>%</w:t>
            </w:r>
          </w:p>
        </w:tc>
      </w:tr>
      <w:tr w:rsidR="00D24E61" w:rsidRPr="00771368">
        <w:trPr>
          <w:trHeight w:val="267"/>
        </w:trPr>
        <w:tc>
          <w:tcPr>
            <w:tcW w:w="20" w:type="dxa"/>
            <w:vAlign w:val="bottom"/>
          </w:tcPr>
          <w:p w:rsidR="00D24E61" w:rsidRPr="00771368" w:rsidRDefault="00D24E61">
            <w:pPr>
              <w:rPr>
                <w:sz w:val="23"/>
                <w:szCs w:val="23"/>
              </w:rPr>
            </w:pPr>
          </w:p>
        </w:tc>
        <w:tc>
          <w:tcPr>
            <w:tcW w:w="3240" w:type="dxa"/>
            <w:vAlign w:val="bottom"/>
          </w:tcPr>
          <w:p w:rsidR="00D24E61" w:rsidRPr="00771368" w:rsidRDefault="00D24E61">
            <w:pPr>
              <w:spacing w:line="266" w:lineRule="exact"/>
              <w:ind w:left="120"/>
              <w:rPr>
                <w:sz w:val="20"/>
                <w:szCs w:val="20"/>
              </w:rPr>
            </w:pPr>
            <w:r w:rsidRPr="00771368">
              <w:rPr>
                <w:b/>
                <w:bCs/>
                <w:sz w:val="24"/>
                <w:szCs w:val="24"/>
              </w:rPr>
              <w:t>Série</w:t>
            </w:r>
          </w:p>
        </w:tc>
        <w:tc>
          <w:tcPr>
            <w:tcW w:w="2580" w:type="dxa"/>
            <w:vAlign w:val="bottom"/>
          </w:tcPr>
          <w:p w:rsidR="00D24E61" w:rsidRPr="00771368" w:rsidRDefault="00D24E61">
            <w:pPr>
              <w:rPr>
                <w:sz w:val="23"/>
                <w:szCs w:val="23"/>
              </w:rPr>
            </w:pPr>
          </w:p>
        </w:tc>
        <w:tc>
          <w:tcPr>
            <w:tcW w:w="2840" w:type="dxa"/>
            <w:vAlign w:val="bottom"/>
          </w:tcPr>
          <w:p w:rsidR="00D24E61" w:rsidRPr="00771368" w:rsidRDefault="00D24E61">
            <w:pPr>
              <w:rPr>
                <w:sz w:val="23"/>
                <w:szCs w:val="23"/>
              </w:rPr>
            </w:pPr>
          </w:p>
        </w:tc>
      </w:tr>
      <w:tr w:rsidR="00D24E61" w:rsidRPr="00771368">
        <w:trPr>
          <w:trHeight w:val="269"/>
        </w:trPr>
        <w:tc>
          <w:tcPr>
            <w:tcW w:w="20" w:type="dxa"/>
            <w:vAlign w:val="bottom"/>
          </w:tcPr>
          <w:p w:rsidR="00D24E61" w:rsidRPr="00771368" w:rsidRDefault="00D24E61">
            <w:pPr>
              <w:rPr>
                <w:sz w:val="23"/>
                <w:szCs w:val="23"/>
              </w:rPr>
            </w:pPr>
          </w:p>
        </w:tc>
        <w:tc>
          <w:tcPr>
            <w:tcW w:w="3240" w:type="dxa"/>
            <w:vAlign w:val="bottom"/>
          </w:tcPr>
          <w:p w:rsidR="00D24E61" w:rsidRPr="00771368" w:rsidRDefault="00D24E61">
            <w:pPr>
              <w:spacing w:line="268" w:lineRule="exact"/>
              <w:ind w:left="120"/>
              <w:rPr>
                <w:sz w:val="20"/>
                <w:szCs w:val="20"/>
              </w:rPr>
            </w:pPr>
            <w:r w:rsidRPr="00771368">
              <w:rPr>
                <w:sz w:val="24"/>
                <w:szCs w:val="24"/>
              </w:rPr>
              <w:t>1º ano</w:t>
            </w:r>
          </w:p>
        </w:tc>
        <w:tc>
          <w:tcPr>
            <w:tcW w:w="2580" w:type="dxa"/>
            <w:vAlign w:val="bottom"/>
          </w:tcPr>
          <w:p w:rsidR="00D24E61" w:rsidRPr="00771368" w:rsidRDefault="00D24E61">
            <w:pPr>
              <w:spacing w:line="268" w:lineRule="exact"/>
              <w:jc w:val="center"/>
              <w:rPr>
                <w:sz w:val="20"/>
                <w:szCs w:val="20"/>
              </w:rPr>
            </w:pPr>
            <w:r w:rsidRPr="00771368">
              <w:rPr>
                <w:w w:val="99"/>
                <w:sz w:val="24"/>
                <w:szCs w:val="24"/>
              </w:rPr>
              <w:t>86</w:t>
            </w:r>
          </w:p>
        </w:tc>
        <w:tc>
          <w:tcPr>
            <w:tcW w:w="2840" w:type="dxa"/>
            <w:vAlign w:val="bottom"/>
          </w:tcPr>
          <w:p w:rsidR="00D24E61" w:rsidRPr="00771368" w:rsidRDefault="00D24E61">
            <w:pPr>
              <w:spacing w:line="268" w:lineRule="exact"/>
              <w:jc w:val="center"/>
              <w:rPr>
                <w:sz w:val="20"/>
                <w:szCs w:val="20"/>
              </w:rPr>
            </w:pPr>
            <w:r w:rsidRPr="00771368">
              <w:rPr>
                <w:sz w:val="24"/>
                <w:szCs w:val="24"/>
              </w:rPr>
              <w:t>36,8</w:t>
            </w:r>
          </w:p>
        </w:tc>
      </w:tr>
      <w:tr w:rsidR="00D24E61" w:rsidRPr="00771368">
        <w:trPr>
          <w:trHeight w:val="278"/>
        </w:trPr>
        <w:tc>
          <w:tcPr>
            <w:tcW w:w="20" w:type="dxa"/>
            <w:vAlign w:val="bottom"/>
          </w:tcPr>
          <w:p w:rsidR="00D24E61" w:rsidRPr="00771368" w:rsidRDefault="00D24E61">
            <w:pPr>
              <w:rPr>
                <w:sz w:val="24"/>
                <w:szCs w:val="24"/>
              </w:rPr>
            </w:pPr>
          </w:p>
        </w:tc>
        <w:tc>
          <w:tcPr>
            <w:tcW w:w="3240" w:type="dxa"/>
            <w:vAlign w:val="bottom"/>
          </w:tcPr>
          <w:p w:rsidR="00D24E61" w:rsidRPr="00771368" w:rsidRDefault="00D24E61">
            <w:pPr>
              <w:ind w:left="120"/>
              <w:rPr>
                <w:sz w:val="20"/>
                <w:szCs w:val="20"/>
              </w:rPr>
            </w:pPr>
            <w:r w:rsidRPr="00771368">
              <w:rPr>
                <w:sz w:val="24"/>
                <w:szCs w:val="24"/>
              </w:rPr>
              <w:t>2º ano</w:t>
            </w:r>
          </w:p>
        </w:tc>
        <w:tc>
          <w:tcPr>
            <w:tcW w:w="2580" w:type="dxa"/>
            <w:vAlign w:val="bottom"/>
          </w:tcPr>
          <w:p w:rsidR="00D24E61" w:rsidRPr="00771368" w:rsidRDefault="00D24E61">
            <w:pPr>
              <w:jc w:val="center"/>
              <w:rPr>
                <w:sz w:val="20"/>
                <w:szCs w:val="20"/>
              </w:rPr>
            </w:pPr>
            <w:r w:rsidRPr="00771368">
              <w:rPr>
                <w:w w:val="99"/>
                <w:sz w:val="24"/>
                <w:szCs w:val="24"/>
              </w:rPr>
              <w:t>96</w:t>
            </w:r>
          </w:p>
        </w:tc>
        <w:tc>
          <w:tcPr>
            <w:tcW w:w="2840" w:type="dxa"/>
            <w:vAlign w:val="bottom"/>
          </w:tcPr>
          <w:p w:rsidR="00D24E61" w:rsidRPr="00771368" w:rsidRDefault="00D24E61">
            <w:pPr>
              <w:jc w:val="center"/>
              <w:rPr>
                <w:sz w:val="20"/>
                <w:szCs w:val="20"/>
              </w:rPr>
            </w:pPr>
            <w:r w:rsidRPr="00771368">
              <w:rPr>
                <w:sz w:val="24"/>
                <w:szCs w:val="24"/>
              </w:rPr>
              <w:t>41,0</w:t>
            </w:r>
          </w:p>
        </w:tc>
      </w:tr>
      <w:tr w:rsidR="00D24E61" w:rsidRPr="00771368">
        <w:trPr>
          <w:trHeight w:val="280"/>
        </w:trPr>
        <w:tc>
          <w:tcPr>
            <w:tcW w:w="20" w:type="dxa"/>
            <w:tcBorders>
              <w:bottom w:val="single" w:sz="8" w:space="0" w:color="auto"/>
            </w:tcBorders>
            <w:vAlign w:val="bottom"/>
          </w:tcPr>
          <w:p w:rsidR="00D24E61" w:rsidRPr="00771368" w:rsidRDefault="00D24E61">
            <w:pPr>
              <w:rPr>
                <w:sz w:val="24"/>
                <w:szCs w:val="24"/>
              </w:rPr>
            </w:pPr>
          </w:p>
        </w:tc>
        <w:tc>
          <w:tcPr>
            <w:tcW w:w="3240" w:type="dxa"/>
            <w:tcBorders>
              <w:bottom w:val="single" w:sz="8" w:space="0" w:color="auto"/>
            </w:tcBorders>
            <w:vAlign w:val="bottom"/>
          </w:tcPr>
          <w:p w:rsidR="00D24E61" w:rsidRPr="00771368" w:rsidRDefault="00D24E61">
            <w:pPr>
              <w:spacing w:line="274" w:lineRule="exact"/>
              <w:ind w:left="120"/>
              <w:rPr>
                <w:sz w:val="20"/>
                <w:szCs w:val="20"/>
              </w:rPr>
            </w:pPr>
            <w:r w:rsidRPr="00771368">
              <w:rPr>
                <w:sz w:val="24"/>
                <w:szCs w:val="24"/>
              </w:rPr>
              <w:t>3º ano</w:t>
            </w:r>
          </w:p>
        </w:tc>
        <w:tc>
          <w:tcPr>
            <w:tcW w:w="2580" w:type="dxa"/>
            <w:tcBorders>
              <w:bottom w:val="single" w:sz="8" w:space="0" w:color="auto"/>
            </w:tcBorders>
            <w:vAlign w:val="bottom"/>
          </w:tcPr>
          <w:p w:rsidR="00D24E61" w:rsidRPr="00771368" w:rsidRDefault="00D24E61">
            <w:pPr>
              <w:spacing w:line="274" w:lineRule="exact"/>
              <w:jc w:val="center"/>
              <w:rPr>
                <w:sz w:val="20"/>
                <w:szCs w:val="20"/>
              </w:rPr>
            </w:pPr>
            <w:r w:rsidRPr="00771368">
              <w:rPr>
                <w:w w:val="99"/>
                <w:sz w:val="24"/>
                <w:szCs w:val="24"/>
              </w:rPr>
              <w:t>52</w:t>
            </w:r>
          </w:p>
        </w:tc>
        <w:tc>
          <w:tcPr>
            <w:tcW w:w="2840" w:type="dxa"/>
            <w:tcBorders>
              <w:bottom w:val="single" w:sz="8" w:space="0" w:color="auto"/>
            </w:tcBorders>
            <w:vAlign w:val="bottom"/>
          </w:tcPr>
          <w:p w:rsidR="00D24E61" w:rsidRPr="00771368" w:rsidRDefault="00D24E61">
            <w:pPr>
              <w:spacing w:line="274" w:lineRule="exact"/>
              <w:jc w:val="center"/>
              <w:rPr>
                <w:sz w:val="20"/>
                <w:szCs w:val="20"/>
              </w:rPr>
            </w:pPr>
            <w:r w:rsidRPr="00771368">
              <w:rPr>
                <w:sz w:val="24"/>
                <w:szCs w:val="24"/>
              </w:rPr>
              <w:t>22,2</w:t>
            </w:r>
          </w:p>
        </w:tc>
      </w:tr>
    </w:tbl>
    <w:p w:rsidR="00D24E61" w:rsidRPr="00771368" w:rsidRDefault="00D24E61">
      <w:pPr>
        <w:sectPr w:rsidR="00D24E61" w:rsidRPr="00771368">
          <w:pgSz w:w="11900" w:h="16838"/>
          <w:pgMar w:top="1440" w:right="1420" w:bottom="1440" w:left="1420" w:header="0" w:footer="0" w:gutter="0"/>
          <w:cols w:space="720" w:equalWidth="0">
            <w:col w:w="9060"/>
          </w:cols>
        </w:sectPr>
      </w:pPr>
    </w:p>
    <w:p w:rsidR="00D24E61" w:rsidRPr="00771368" w:rsidRDefault="00D24E61">
      <w:pPr>
        <w:spacing w:line="1"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0"/>
        <w:gridCol w:w="3700"/>
        <w:gridCol w:w="2140"/>
        <w:gridCol w:w="2820"/>
      </w:tblGrid>
      <w:tr w:rsidR="00D24E61" w:rsidRPr="00771368">
        <w:trPr>
          <w:trHeight w:val="280"/>
        </w:trPr>
        <w:tc>
          <w:tcPr>
            <w:tcW w:w="20" w:type="dxa"/>
            <w:vAlign w:val="bottom"/>
          </w:tcPr>
          <w:p w:rsidR="00D24E61" w:rsidRPr="00771368" w:rsidRDefault="00D24E61">
            <w:pPr>
              <w:rPr>
                <w:sz w:val="24"/>
                <w:szCs w:val="24"/>
              </w:rPr>
            </w:pPr>
          </w:p>
        </w:tc>
        <w:tc>
          <w:tcPr>
            <w:tcW w:w="3700" w:type="dxa"/>
            <w:tcBorders>
              <w:top w:val="single" w:sz="8" w:space="0" w:color="auto"/>
            </w:tcBorders>
            <w:vAlign w:val="bottom"/>
          </w:tcPr>
          <w:p w:rsidR="00D24E61" w:rsidRPr="00771368" w:rsidRDefault="00D24E61">
            <w:pPr>
              <w:ind w:left="120"/>
              <w:rPr>
                <w:sz w:val="20"/>
                <w:szCs w:val="20"/>
              </w:rPr>
            </w:pPr>
            <w:r w:rsidRPr="00771368">
              <w:rPr>
                <w:b/>
                <w:bCs/>
                <w:sz w:val="24"/>
                <w:szCs w:val="24"/>
              </w:rPr>
              <w:t>Sexo</w:t>
            </w:r>
          </w:p>
        </w:tc>
        <w:tc>
          <w:tcPr>
            <w:tcW w:w="2140" w:type="dxa"/>
            <w:tcBorders>
              <w:top w:val="single" w:sz="8" w:space="0" w:color="auto"/>
            </w:tcBorders>
            <w:vAlign w:val="bottom"/>
          </w:tcPr>
          <w:p w:rsidR="00D24E61" w:rsidRPr="00771368" w:rsidRDefault="00D24E61">
            <w:pPr>
              <w:rPr>
                <w:sz w:val="24"/>
                <w:szCs w:val="24"/>
              </w:rPr>
            </w:pPr>
          </w:p>
        </w:tc>
        <w:tc>
          <w:tcPr>
            <w:tcW w:w="2820" w:type="dxa"/>
            <w:tcBorders>
              <w:top w:val="single" w:sz="8" w:space="0" w:color="auto"/>
            </w:tcBorders>
            <w:vAlign w:val="bottom"/>
          </w:tcPr>
          <w:p w:rsidR="00D24E61" w:rsidRPr="00771368" w:rsidRDefault="00D24E61">
            <w:pPr>
              <w:rPr>
                <w:sz w:val="24"/>
                <w:szCs w:val="24"/>
              </w:rPr>
            </w:pPr>
          </w:p>
        </w:tc>
      </w:tr>
      <w:tr w:rsidR="00D24E61" w:rsidRPr="00771368">
        <w:trPr>
          <w:trHeight w:val="274"/>
        </w:trPr>
        <w:tc>
          <w:tcPr>
            <w:tcW w:w="20" w:type="dxa"/>
            <w:vAlign w:val="bottom"/>
          </w:tcPr>
          <w:p w:rsidR="00D24E61" w:rsidRPr="00771368" w:rsidRDefault="00D24E61">
            <w:pPr>
              <w:rPr>
                <w:sz w:val="23"/>
                <w:szCs w:val="23"/>
              </w:rPr>
            </w:pPr>
          </w:p>
        </w:tc>
        <w:tc>
          <w:tcPr>
            <w:tcW w:w="3700" w:type="dxa"/>
            <w:vAlign w:val="bottom"/>
          </w:tcPr>
          <w:p w:rsidR="00D24E61" w:rsidRPr="00771368" w:rsidRDefault="00D24E61">
            <w:pPr>
              <w:spacing w:line="273" w:lineRule="exact"/>
              <w:ind w:left="120"/>
              <w:rPr>
                <w:sz w:val="20"/>
                <w:szCs w:val="20"/>
              </w:rPr>
            </w:pPr>
            <w:r w:rsidRPr="00771368">
              <w:rPr>
                <w:sz w:val="24"/>
                <w:szCs w:val="24"/>
              </w:rPr>
              <w:t>Masculino</w:t>
            </w:r>
          </w:p>
        </w:tc>
        <w:tc>
          <w:tcPr>
            <w:tcW w:w="2140" w:type="dxa"/>
            <w:vAlign w:val="bottom"/>
          </w:tcPr>
          <w:p w:rsidR="00D24E61" w:rsidRPr="00771368" w:rsidRDefault="00D24E61">
            <w:pPr>
              <w:spacing w:line="273" w:lineRule="exact"/>
              <w:ind w:right="420"/>
              <w:jc w:val="center"/>
              <w:rPr>
                <w:sz w:val="20"/>
                <w:szCs w:val="20"/>
              </w:rPr>
            </w:pPr>
            <w:r w:rsidRPr="00771368">
              <w:rPr>
                <w:w w:val="99"/>
                <w:sz w:val="24"/>
                <w:szCs w:val="24"/>
              </w:rPr>
              <w:t>110</w:t>
            </w:r>
          </w:p>
        </w:tc>
        <w:tc>
          <w:tcPr>
            <w:tcW w:w="2820" w:type="dxa"/>
            <w:vAlign w:val="bottom"/>
          </w:tcPr>
          <w:p w:rsidR="00D24E61" w:rsidRPr="00771368" w:rsidRDefault="00D24E61">
            <w:pPr>
              <w:spacing w:line="273" w:lineRule="exact"/>
              <w:jc w:val="center"/>
              <w:rPr>
                <w:sz w:val="20"/>
                <w:szCs w:val="20"/>
              </w:rPr>
            </w:pPr>
            <w:r w:rsidRPr="00771368">
              <w:rPr>
                <w:sz w:val="24"/>
                <w:szCs w:val="24"/>
              </w:rPr>
              <w:t>47,0</w:t>
            </w:r>
          </w:p>
        </w:tc>
      </w:tr>
      <w:tr w:rsidR="00D24E61" w:rsidRPr="00771368">
        <w:trPr>
          <w:trHeight w:val="280"/>
        </w:trPr>
        <w:tc>
          <w:tcPr>
            <w:tcW w:w="20" w:type="dxa"/>
            <w:vAlign w:val="bottom"/>
          </w:tcPr>
          <w:p w:rsidR="00D24E61" w:rsidRPr="00771368" w:rsidRDefault="00D24E61">
            <w:pPr>
              <w:rPr>
                <w:sz w:val="24"/>
                <w:szCs w:val="24"/>
              </w:rPr>
            </w:pPr>
          </w:p>
        </w:tc>
        <w:tc>
          <w:tcPr>
            <w:tcW w:w="3700" w:type="dxa"/>
            <w:tcBorders>
              <w:bottom w:val="single" w:sz="8" w:space="0" w:color="auto"/>
            </w:tcBorders>
            <w:vAlign w:val="bottom"/>
          </w:tcPr>
          <w:p w:rsidR="00D24E61" w:rsidRPr="00771368" w:rsidRDefault="00D24E61">
            <w:pPr>
              <w:spacing w:line="273" w:lineRule="exact"/>
              <w:ind w:left="120"/>
              <w:rPr>
                <w:sz w:val="20"/>
                <w:szCs w:val="20"/>
              </w:rPr>
            </w:pPr>
            <w:r w:rsidRPr="00771368">
              <w:rPr>
                <w:sz w:val="24"/>
                <w:szCs w:val="24"/>
              </w:rPr>
              <w:t>Feminino</w:t>
            </w:r>
          </w:p>
        </w:tc>
        <w:tc>
          <w:tcPr>
            <w:tcW w:w="2140" w:type="dxa"/>
            <w:tcBorders>
              <w:bottom w:val="single" w:sz="8" w:space="0" w:color="auto"/>
            </w:tcBorders>
            <w:vAlign w:val="bottom"/>
          </w:tcPr>
          <w:p w:rsidR="00D24E61" w:rsidRPr="00771368" w:rsidRDefault="00D24E61">
            <w:pPr>
              <w:spacing w:line="273" w:lineRule="exact"/>
              <w:ind w:right="420"/>
              <w:jc w:val="center"/>
              <w:rPr>
                <w:sz w:val="20"/>
                <w:szCs w:val="20"/>
              </w:rPr>
            </w:pPr>
            <w:r w:rsidRPr="00771368">
              <w:rPr>
                <w:w w:val="99"/>
                <w:sz w:val="24"/>
                <w:szCs w:val="24"/>
              </w:rPr>
              <w:t>124</w:t>
            </w:r>
          </w:p>
        </w:tc>
        <w:tc>
          <w:tcPr>
            <w:tcW w:w="2820" w:type="dxa"/>
            <w:tcBorders>
              <w:bottom w:val="single" w:sz="8" w:space="0" w:color="auto"/>
            </w:tcBorders>
            <w:vAlign w:val="bottom"/>
          </w:tcPr>
          <w:p w:rsidR="00D24E61" w:rsidRPr="00771368" w:rsidRDefault="00D24E61">
            <w:pPr>
              <w:spacing w:line="273" w:lineRule="exact"/>
              <w:jc w:val="center"/>
              <w:rPr>
                <w:sz w:val="20"/>
                <w:szCs w:val="20"/>
              </w:rPr>
            </w:pPr>
            <w:r w:rsidRPr="00771368">
              <w:rPr>
                <w:sz w:val="24"/>
                <w:szCs w:val="24"/>
              </w:rPr>
              <w:t>53,0</w:t>
            </w:r>
          </w:p>
        </w:tc>
      </w:tr>
      <w:tr w:rsidR="00D24E61" w:rsidRPr="00771368">
        <w:trPr>
          <w:trHeight w:val="267"/>
        </w:trPr>
        <w:tc>
          <w:tcPr>
            <w:tcW w:w="20" w:type="dxa"/>
            <w:vAlign w:val="bottom"/>
          </w:tcPr>
          <w:p w:rsidR="00D24E61" w:rsidRPr="00771368" w:rsidRDefault="00D24E61">
            <w:pPr>
              <w:rPr>
                <w:sz w:val="23"/>
                <w:szCs w:val="23"/>
              </w:rPr>
            </w:pPr>
          </w:p>
        </w:tc>
        <w:tc>
          <w:tcPr>
            <w:tcW w:w="3700" w:type="dxa"/>
            <w:vAlign w:val="bottom"/>
          </w:tcPr>
          <w:p w:rsidR="00D24E61" w:rsidRPr="00771368" w:rsidRDefault="00D24E61">
            <w:pPr>
              <w:spacing w:line="266" w:lineRule="exact"/>
              <w:ind w:left="120"/>
              <w:rPr>
                <w:sz w:val="20"/>
                <w:szCs w:val="20"/>
              </w:rPr>
            </w:pPr>
            <w:r w:rsidRPr="00771368">
              <w:rPr>
                <w:b/>
                <w:bCs/>
                <w:sz w:val="24"/>
                <w:szCs w:val="24"/>
              </w:rPr>
              <w:t>Faixa etária</w:t>
            </w:r>
          </w:p>
        </w:tc>
        <w:tc>
          <w:tcPr>
            <w:tcW w:w="2140" w:type="dxa"/>
            <w:vAlign w:val="bottom"/>
          </w:tcPr>
          <w:p w:rsidR="00D24E61" w:rsidRPr="00771368" w:rsidRDefault="00D24E61">
            <w:pPr>
              <w:rPr>
                <w:sz w:val="23"/>
                <w:szCs w:val="23"/>
              </w:rPr>
            </w:pPr>
          </w:p>
        </w:tc>
        <w:tc>
          <w:tcPr>
            <w:tcW w:w="2820" w:type="dxa"/>
            <w:vAlign w:val="bottom"/>
          </w:tcPr>
          <w:p w:rsidR="00D24E61" w:rsidRPr="00771368" w:rsidRDefault="00D24E61">
            <w:pPr>
              <w:rPr>
                <w:sz w:val="23"/>
                <w:szCs w:val="23"/>
              </w:rPr>
            </w:pPr>
          </w:p>
        </w:tc>
      </w:tr>
      <w:tr w:rsidR="00D24E61" w:rsidRPr="00771368">
        <w:trPr>
          <w:trHeight w:val="274"/>
        </w:trPr>
        <w:tc>
          <w:tcPr>
            <w:tcW w:w="20" w:type="dxa"/>
            <w:vAlign w:val="bottom"/>
          </w:tcPr>
          <w:p w:rsidR="00D24E61" w:rsidRPr="00771368" w:rsidRDefault="00D24E61">
            <w:pPr>
              <w:rPr>
                <w:sz w:val="23"/>
                <w:szCs w:val="23"/>
              </w:rPr>
            </w:pPr>
          </w:p>
        </w:tc>
        <w:tc>
          <w:tcPr>
            <w:tcW w:w="3700" w:type="dxa"/>
            <w:vAlign w:val="bottom"/>
          </w:tcPr>
          <w:p w:rsidR="00D24E61" w:rsidRPr="00771368" w:rsidRDefault="00D24E61">
            <w:pPr>
              <w:spacing w:line="274" w:lineRule="exact"/>
              <w:ind w:left="120"/>
              <w:rPr>
                <w:sz w:val="20"/>
                <w:szCs w:val="20"/>
              </w:rPr>
            </w:pPr>
            <w:r w:rsidRPr="00771368">
              <w:rPr>
                <w:sz w:val="24"/>
                <w:szCs w:val="24"/>
              </w:rPr>
              <w:t>Menos de 16 anos</w:t>
            </w:r>
          </w:p>
        </w:tc>
        <w:tc>
          <w:tcPr>
            <w:tcW w:w="2140" w:type="dxa"/>
            <w:vAlign w:val="bottom"/>
          </w:tcPr>
          <w:p w:rsidR="00D24E61" w:rsidRPr="00771368" w:rsidRDefault="00D24E61">
            <w:pPr>
              <w:spacing w:line="274" w:lineRule="exact"/>
              <w:ind w:right="420"/>
              <w:jc w:val="center"/>
              <w:rPr>
                <w:sz w:val="20"/>
                <w:szCs w:val="20"/>
              </w:rPr>
            </w:pPr>
            <w:r w:rsidRPr="00771368">
              <w:rPr>
                <w:w w:val="99"/>
                <w:sz w:val="24"/>
                <w:szCs w:val="24"/>
              </w:rPr>
              <w:t>75</w:t>
            </w:r>
          </w:p>
        </w:tc>
        <w:tc>
          <w:tcPr>
            <w:tcW w:w="2820" w:type="dxa"/>
            <w:vAlign w:val="bottom"/>
          </w:tcPr>
          <w:p w:rsidR="00D24E61" w:rsidRPr="00771368" w:rsidRDefault="00D24E61">
            <w:pPr>
              <w:spacing w:line="274" w:lineRule="exact"/>
              <w:jc w:val="center"/>
              <w:rPr>
                <w:sz w:val="20"/>
                <w:szCs w:val="20"/>
              </w:rPr>
            </w:pPr>
            <w:r w:rsidRPr="00771368">
              <w:rPr>
                <w:sz w:val="24"/>
                <w:szCs w:val="24"/>
              </w:rPr>
              <w:t>32,1</w:t>
            </w:r>
          </w:p>
        </w:tc>
      </w:tr>
      <w:tr w:rsidR="00D24E61" w:rsidRPr="00771368">
        <w:trPr>
          <w:trHeight w:val="274"/>
        </w:trPr>
        <w:tc>
          <w:tcPr>
            <w:tcW w:w="20" w:type="dxa"/>
            <w:vAlign w:val="bottom"/>
          </w:tcPr>
          <w:p w:rsidR="00D24E61" w:rsidRPr="00771368" w:rsidRDefault="00D24E61">
            <w:pPr>
              <w:rPr>
                <w:sz w:val="23"/>
                <w:szCs w:val="23"/>
              </w:rPr>
            </w:pPr>
          </w:p>
        </w:tc>
        <w:tc>
          <w:tcPr>
            <w:tcW w:w="3700" w:type="dxa"/>
            <w:vAlign w:val="bottom"/>
          </w:tcPr>
          <w:p w:rsidR="00D24E61" w:rsidRPr="00771368" w:rsidRDefault="00D24E61">
            <w:pPr>
              <w:spacing w:line="273" w:lineRule="exact"/>
              <w:ind w:left="120"/>
              <w:rPr>
                <w:sz w:val="20"/>
                <w:szCs w:val="20"/>
              </w:rPr>
            </w:pPr>
            <w:r w:rsidRPr="00771368">
              <w:rPr>
                <w:sz w:val="24"/>
                <w:szCs w:val="24"/>
              </w:rPr>
              <w:t>16 a 17 anos</w:t>
            </w:r>
          </w:p>
        </w:tc>
        <w:tc>
          <w:tcPr>
            <w:tcW w:w="2140" w:type="dxa"/>
            <w:vAlign w:val="bottom"/>
          </w:tcPr>
          <w:p w:rsidR="00D24E61" w:rsidRPr="00771368" w:rsidRDefault="00D24E61">
            <w:pPr>
              <w:spacing w:line="273" w:lineRule="exact"/>
              <w:ind w:right="420"/>
              <w:jc w:val="center"/>
              <w:rPr>
                <w:sz w:val="20"/>
                <w:szCs w:val="20"/>
              </w:rPr>
            </w:pPr>
            <w:r w:rsidRPr="00771368">
              <w:rPr>
                <w:w w:val="99"/>
                <w:sz w:val="24"/>
                <w:szCs w:val="24"/>
              </w:rPr>
              <w:t>140</w:t>
            </w:r>
          </w:p>
        </w:tc>
        <w:tc>
          <w:tcPr>
            <w:tcW w:w="2820" w:type="dxa"/>
            <w:vAlign w:val="bottom"/>
          </w:tcPr>
          <w:p w:rsidR="00D24E61" w:rsidRPr="00771368" w:rsidRDefault="00D24E61">
            <w:pPr>
              <w:spacing w:line="273" w:lineRule="exact"/>
              <w:jc w:val="center"/>
              <w:rPr>
                <w:sz w:val="20"/>
                <w:szCs w:val="20"/>
              </w:rPr>
            </w:pPr>
            <w:r w:rsidRPr="00771368">
              <w:rPr>
                <w:sz w:val="24"/>
                <w:szCs w:val="24"/>
              </w:rPr>
              <w:t>59,8</w:t>
            </w:r>
          </w:p>
        </w:tc>
      </w:tr>
      <w:tr w:rsidR="00D24E61" w:rsidRPr="00771368">
        <w:trPr>
          <w:trHeight w:val="282"/>
        </w:trPr>
        <w:tc>
          <w:tcPr>
            <w:tcW w:w="20" w:type="dxa"/>
            <w:vAlign w:val="bottom"/>
          </w:tcPr>
          <w:p w:rsidR="00D24E61" w:rsidRPr="00771368" w:rsidRDefault="00D24E61">
            <w:pPr>
              <w:rPr>
                <w:sz w:val="24"/>
                <w:szCs w:val="24"/>
              </w:rPr>
            </w:pPr>
          </w:p>
        </w:tc>
        <w:tc>
          <w:tcPr>
            <w:tcW w:w="3700" w:type="dxa"/>
            <w:tcBorders>
              <w:bottom w:val="single" w:sz="8" w:space="0" w:color="auto"/>
            </w:tcBorders>
            <w:vAlign w:val="bottom"/>
          </w:tcPr>
          <w:p w:rsidR="00D24E61" w:rsidRPr="00771368" w:rsidRDefault="00D24E61">
            <w:pPr>
              <w:ind w:left="120"/>
              <w:rPr>
                <w:sz w:val="20"/>
                <w:szCs w:val="20"/>
              </w:rPr>
            </w:pPr>
            <w:r w:rsidRPr="00771368">
              <w:rPr>
                <w:sz w:val="24"/>
                <w:szCs w:val="24"/>
              </w:rPr>
              <w:t>Maior que 17 anos</w:t>
            </w:r>
          </w:p>
        </w:tc>
        <w:tc>
          <w:tcPr>
            <w:tcW w:w="2140" w:type="dxa"/>
            <w:tcBorders>
              <w:bottom w:val="single" w:sz="8" w:space="0" w:color="auto"/>
            </w:tcBorders>
            <w:vAlign w:val="bottom"/>
          </w:tcPr>
          <w:p w:rsidR="00D24E61" w:rsidRPr="00771368" w:rsidRDefault="00D24E61">
            <w:pPr>
              <w:ind w:right="420"/>
              <w:jc w:val="center"/>
              <w:rPr>
                <w:sz w:val="20"/>
                <w:szCs w:val="20"/>
              </w:rPr>
            </w:pPr>
            <w:r w:rsidRPr="00771368">
              <w:rPr>
                <w:w w:val="99"/>
                <w:sz w:val="24"/>
                <w:szCs w:val="24"/>
              </w:rPr>
              <w:t>19</w:t>
            </w:r>
          </w:p>
        </w:tc>
        <w:tc>
          <w:tcPr>
            <w:tcW w:w="2820" w:type="dxa"/>
            <w:tcBorders>
              <w:bottom w:val="single" w:sz="8" w:space="0" w:color="auto"/>
            </w:tcBorders>
            <w:vAlign w:val="bottom"/>
          </w:tcPr>
          <w:p w:rsidR="00D24E61" w:rsidRPr="00771368" w:rsidRDefault="00D24E61">
            <w:pPr>
              <w:jc w:val="center"/>
              <w:rPr>
                <w:sz w:val="20"/>
                <w:szCs w:val="20"/>
              </w:rPr>
            </w:pPr>
            <w:r w:rsidRPr="00771368">
              <w:rPr>
                <w:w w:val="99"/>
                <w:sz w:val="24"/>
                <w:szCs w:val="24"/>
              </w:rPr>
              <w:t>8,1</w:t>
            </w:r>
          </w:p>
        </w:tc>
      </w:tr>
      <w:tr w:rsidR="00D24E61" w:rsidRPr="00771368">
        <w:trPr>
          <w:trHeight w:val="264"/>
        </w:trPr>
        <w:tc>
          <w:tcPr>
            <w:tcW w:w="20" w:type="dxa"/>
            <w:vAlign w:val="bottom"/>
          </w:tcPr>
          <w:p w:rsidR="00D24E61" w:rsidRPr="00771368" w:rsidRDefault="00D24E61"/>
        </w:tc>
        <w:tc>
          <w:tcPr>
            <w:tcW w:w="3700" w:type="dxa"/>
            <w:vAlign w:val="bottom"/>
          </w:tcPr>
          <w:p w:rsidR="00D24E61" w:rsidRPr="00771368" w:rsidRDefault="00D24E61">
            <w:pPr>
              <w:spacing w:line="263" w:lineRule="exact"/>
              <w:ind w:left="120"/>
              <w:rPr>
                <w:sz w:val="20"/>
                <w:szCs w:val="20"/>
              </w:rPr>
            </w:pPr>
            <w:r w:rsidRPr="00771368">
              <w:rPr>
                <w:b/>
                <w:bCs/>
                <w:sz w:val="24"/>
                <w:szCs w:val="24"/>
              </w:rPr>
              <w:t>Escolaridade da mãe</w:t>
            </w:r>
          </w:p>
        </w:tc>
        <w:tc>
          <w:tcPr>
            <w:tcW w:w="2140" w:type="dxa"/>
            <w:vAlign w:val="bottom"/>
          </w:tcPr>
          <w:p w:rsidR="00D24E61" w:rsidRPr="00771368" w:rsidRDefault="00D24E61"/>
        </w:tc>
        <w:tc>
          <w:tcPr>
            <w:tcW w:w="2820" w:type="dxa"/>
            <w:vAlign w:val="bottom"/>
          </w:tcPr>
          <w:p w:rsidR="00D24E61" w:rsidRPr="00771368" w:rsidRDefault="00D24E61"/>
        </w:tc>
      </w:tr>
      <w:tr w:rsidR="00D24E61" w:rsidRPr="00771368">
        <w:trPr>
          <w:trHeight w:val="274"/>
        </w:trPr>
        <w:tc>
          <w:tcPr>
            <w:tcW w:w="20" w:type="dxa"/>
            <w:vAlign w:val="bottom"/>
          </w:tcPr>
          <w:p w:rsidR="00D24E61" w:rsidRPr="00771368" w:rsidRDefault="00D24E61">
            <w:pPr>
              <w:rPr>
                <w:sz w:val="23"/>
                <w:szCs w:val="23"/>
              </w:rPr>
            </w:pPr>
          </w:p>
        </w:tc>
        <w:tc>
          <w:tcPr>
            <w:tcW w:w="3700" w:type="dxa"/>
            <w:vAlign w:val="bottom"/>
          </w:tcPr>
          <w:p w:rsidR="00D24E61" w:rsidRPr="00771368" w:rsidRDefault="00D24E61">
            <w:pPr>
              <w:spacing w:line="273" w:lineRule="exact"/>
              <w:ind w:left="120"/>
              <w:rPr>
                <w:sz w:val="20"/>
                <w:szCs w:val="20"/>
              </w:rPr>
            </w:pPr>
            <w:r w:rsidRPr="00771368">
              <w:rPr>
                <w:sz w:val="24"/>
                <w:szCs w:val="24"/>
              </w:rPr>
              <w:t>Analfabeto</w:t>
            </w:r>
          </w:p>
        </w:tc>
        <w:tc>
          <w:tcPr>
            <w:tcW w:w="2140" w:type="dxa"/>
            <w:vAlign w:val="bottom"/>
          </w:tcPr>
          <w:p w:rsidR="00D24E61" w:rsidRPr="00771368" w:rsidRDefault="00D24E61">
            <w:pPr>
              <w:spacing w:line="273" w:lineRule="exact"/>
              <w:ind w:right="420"/>
              <w:jc w:val="center"/>
              <w:rPr>
                <w:sz w:val="20"/>
                <w:szCs w:val="20"/>
              </w:rPr>
            </w:pPr>
            <w:r w:rsidRPr="00771368">
              <w:rPr>
                <w:w w:val="99"/>
                <w:sz w:val="24"/>
                <w:szCs w:val="24"/>
              </w:rPr>
              <w:t>5</w:t>
            </w:r>
          </w:p>
        </w:tc>
        <w:tc>
          <w:tcPr>
            <w:tcW w:w="2820" w:type="dxa"/>
            <w:vAlign w:val="bottom"/>
          </w:tcPr>
          <w:p w:rsidR="00D24E61" w:rsidRPr="00771368" w:rsidRDefault="00D24E61">
            <w:pPr>
              <w:spacing w:line="273" w:lineRule="exact"/>
              <w:jc w:val="center"/>
              <w:rPr>
                <w:sz w:val="20"/>
                <w:szCs w:val="20"/>
              </w:rPr>
            </w:pPr>
            <w:r w:rsidRPr="00771368">
              <w:rPr>
                <w:w w:val="99"/>
                <w:sz w:val="24"/>
                <w:szCs w:val="24"/>
              </w:rPr>
              <w:t>2,1</w:t>
            </w:r>
          </w:p>
        </w:tc>
      </w:tr>
      <w:tr w:rsidR="00D24E61" w:rsidRPr="00771368">
        <w:trPr>
          <w:trHeight w:val="274"/>
        </w:trPr>
        <w:tc>
          <w:tcPr>
            <w:tcW w:w="20" w:type="dxa"/>
            <w:vAlign w:val="bottom"/>
          </w:tcPr>
          <w:p w:rsidR="00D24E61" w:rsidRPr="00771368" w:rsidRDefault="00D24E61">
            <w:pPr>
              <w:rPr>
                <w:sz w:val="23"/>
                <w:szCs w:val="23"/>
              </w:rPr>
            </w:pPr>
          </w:p>
        </w:tc>
        <w:tc>
          <w:tcPr>
            <w:tcW w:w="3700" w:type="dxa"/>
            <w:vAlign w:val="bottom"/>
          </w:tcPr>
          <w:p w:rsidR="00D24E61" w:rsidRPr="00771368" w:rsidRDefault="00D24E61">
            <w:pPr>
              <w:spacing w:line="273" w:lineRule="exact"/>
              <w:ind w:left="120"/>
              <w:rPr>
                <w:sz w:val="20"/>
                <w:szCs w:val="20"/>
              </w:rPr>
            </w:pPr>
            <w:r w:rsidRPr="00771368">
              <w:rPr>
                <w:sz w:val="24"/>
                <w:szCs w:val="24"/>
              </w:rPr>
              <w:t>Ensino Fundamental</w:t>
            </w:r>
          </w:p>
        </w:tc>
        <w:tc>
          <w:tcPr>
            <w:tcW w:w="2140" w:type="dxa"/>
            <w:vAlign w:val="bottom"/>
          </w:tcPr>
          <w:p w:rsidR="00D24E61" w:rsidRPr="00771368" w:rsidRDefault="00D24E61">
            <w:pPr>
              <w:spacing w:line="273" w:lineRule="exact"/>
              <w:ind w:right="420"/>
              <w:jc w:val="center"/>
              <w:rPr>
                <w:sz w:val="20"/>
                <w:szCs w:val="20"/>
              </w:rPr>
            </w:pPr>
            <w:r w:rsidRPr="00771368">
              <w:rPr>
                <w:w w:val="99"/>
                <w:sz w:val="24"/>
                <w:szCs w:val="24"/>
              </w:rPr>
              <w:t>92</w:t>
            </w:r>
          </w:p>
        </w:tc>
        <w:tc>
          <w:tcPr>
            <w:tcW w:w="2820" w:type="dxa"/>
            <w:vAlign w:val="bottom"/>
          </w:tcPr>
          <w:p w:rsidR="00D24E61" w:rsidRPr="00771368" w:rsidRDefault="00D24E61">
            <w:pPr>
              <w:spacing w:line="273" w:lineRule="exact"/>
              <w:jc w:val="center"/>
              <w:rPr>
                <w:sz w:val="20"/>
                <w:szCs w:val="20"/>
              </w:rPr>
            </w:pPr>
            <w:r w:rsidRPr="00771368">
              <w:rPr>
                <w:sz w:val="24"/>
                <w:szCs w:val="24"/>
              </w:rPr>
              <w:t>39,5</w:t>
            </w:r>
          </w:p>
        </w:tc>
      </w:tr>
      <w:tr w:rsidR="00D24E61" w:rsidRPr="00771368">
        <w:trPr>
          <w:trHeight w:val="278"/>
        </w:trPr>
        <w:tc>
          <w:tcPr>
            <w:tcW w:w="20" w:type="dxa"/>
            <w:vAlign w:val="bottom"/>
          </w:tcPr>
          <w:p w:rsidR="00D24E61" w:rsidRPr="00771368" w:rsidRDefault="00D24E61">
            <w:pPr>
              <w:rPr>
                <w:sz w:val="24"/>
                <w:szCs w:val="24"/>
              </w:rPr>
            </w:pPr>
          </w:p>
        </w:tc>
        <w:tc>
          <w:tcPr>
            <w:tcW w:w="3700" w:type="dxa"/>
            <w:vAlign w:val="bottom"/>
          </w:tcPr>
          <w:p w:rsidR="00D24E61" w:rsidRPr="00771368" w:rsidRDefault="00D24E61">
            <w:pPr>
              <w:ind w:left="120"/>
              <w:rPr>
                <w:sz w:val="20"/>
                <w:szCs w:val="20"/>
              </w:rPr>
            </w:pPr>
            <w:r w:rsidRPr="00771368">
              <w:rPr>
                <w:sz w:val="24"/>
                <w:szCs w:val="24"/>
              </w:rPr>
              <w:t>Ensino médio</w:t>
            </w:r>
          </w:p>
        </w:tc>
        <w:tc>
          <w:tcPr>
            <w:tcW w:w="2140" w:type="dxa"/>
            <w:vAlign w:val="bottom"/>
          </w:tcPr>
          <w:p w:rsidR="00D24E61" w:rsidRPr="00771368" w:rsidRDefault="00D24E61">
            <w:pPr>
              <w:ind w:right="420"/>
              <w:jc w:val="center"/>
              <w:rPr>
                <w:sz w:val="20"/>
                <w:szCs w:val="20"/>
              </w:rPr>
            </w:pPr>
            <w:r w:rsidRPr="00771368">
              <w:rPr>
                <w:w w:val="99"/>
                <w:sz w:val="24"/>
                <w:szCs w:val="24"/>
              </w:rPr>
              <w:t>83</w:t>
            </w:r>
          </w:p>
        </w:tc>
        <w:tc>
          <w:tcPr>
            <w:tcW w:w="2820" w:type="dxa"/>
            <w:vAlign w:val="bottom"/>
          </w:tcPr>
          <w:p w:rsidR="00D24E61" w:rsidRPr="00771368" w:rsidRDefault="00D24E61">
            <w:pPr>
              <w:jc w:val="center"/>
              <w:rPr>
                <w:sz w:val="20"/>
                <w:szCs w:val="20"/>
              </w:rPr>
            </w:pPr>
            <w:r w:rsidRPr="00771368">
              <w:rPr>
                <w:sz w:val="24"/>
                <w:szCs w:val="24"/>
              </w:rPr>
              <w:t>35,6</w:t>
            </w:r>
          </w:p>
        </w:tc>
      </w:tr>
      <w:tr w:rsidR="00D24E61" w:rsidRPr="00771368">
        <w:trPr>
          <w:trHeight w:val="280"/>
        </w:trPr>
        <w:tc>
          <w:tcPr>
            <w:tcW w:w="20" w:type="dxa"/>
            <w:vAlign w:val="bottom"/>
          </w:tcPr>
          <w:p w:rsidR="00D24E61" w:rsidRPr="00771368" w:rsidRDefault="00D24E61">
            <w:pPr>
              <w:rPr>
                <w:sz w:val="24"/>
                <w:szCs w:val="24"/>
              </w:rPr>
            </w:pPr>
          </w:p>
        </w:tc>
        <w:tc>
          <w:tcPr>
            <w:tcW w:w="3700" w:type="dxa"/>
            <w:tcBorders>
              <w:bottom w:val="single" w:sz="8" w:space="0" w:color="auto"/>
            </w:tcBorders>
            <w:vAlign w:val="bottom"/>
          </w:tcPr>
          <w:p w:rsidR="00D24E61" w:rsidRPr="00771368" w:rsidRDefault="00D24E61">
            <w:pPr>
              <w:spacing w:line="274" w:lineRule="exact"/>
              <w:ind w:left="120"/>
              <w:rPr>
                <w:sz w:val="20"/>
                <w:szCs w:val="20"/>
              </w:rPr>
            </w:pPr>
            <w:r w:rsidRPr="00771368">
              <w:rPr>
                <w:sz w:val="24"/>
                <w:szCs w:val="24"/>
              </w:rPr>
              <w:t>Ensino superior/pós-graduação</w:t>
            </w:r>
          </w:p>
        </w:tc>
        <w:tc>
          <w:tcPr>
            <w:tcW w:w="2140" w:type="dxa"/>
            <w:tcBorders>
              <w:bottom w:val="single" w:sz="8" w:space="0" w:color="auto"/>
            </w:tcBorders>
            <w:vAlign w:val="bottom"/>
          </w:tcPr>
          <w:p w:rsidR="00D24E61" w:rsidRPr="00771368" w:rsidRDefault="00D24E61">
            <w:pPr>
              <w:spacing w:line="274" w:lineRule="exact"/>
              <w:ind w:right="420"/>
              <w:jc w:val="center"/>
              <w:rPr>
                <w:sz w:val="20"/>
                <w:szCs w:val="20"/>
              </w:rPr>
            </w:pPr>
            <w:r w:rsidRPr="00771368">
              <w:rPr>
                <w:w w:val="99"/>
                <w:sz w:val="24"/>
                <w:szCs w:val="24"/>
              </w:rPr>
              <w:t>53</w:t>
            </w:r>
          </w:p>
        </w:tc>
        <w:tc>
          <w:tcPr>
            <w:tcW w:w="2820" w:type="dxa"/>
            <w:tcBorders>
              <w:bottom w:val="single" w:sz="8" w:space="0" w:color="auto"/>
            </w:tcBorders>
            <w:vAlign w:val="bottom"/>
          </w:tcPr>
          <w:p w:rsidR="00D24E61" w:rsidRPr="00771368" w:rsidRDefault="00D24E61">
            <w:pPr>
              <w:spacing w:line="274" w:lineRule="exact"/>
              <w:jc w:val="center"/>
              <w:rPr>
                <w:sz w:val="20"/>
                <w:szCs w:val="20"/>
              </w:rPr>
            </w:pPr>
            <w:r w:rsidRPr="00771368">
              <w:rPr>
                <w:sz w:val="24"/>
                <w:szCs w:val="24"/>
              </w:rPr>
              <w:t>22,7</w:t>
            </w:r>
          </w:p>
        </w:tc>
      </w:tr>
      <w:tr w:rsidR="00D24E61" w:rsidRPr="00771368">
        <w:trPr>
          <w:trHeight w:val="267"/>
        </w:trPr>
        <w:tc>
          <w:tcPr>
            <w:tcW w:w="20" w:type="dxa"/>
            <w:vAlign w:val="bottom"/>
          </w:tcPr>
          <w:p w:rsidR="00D24E61" w:rsidRPr="00771368" w:rsidRDefault="00D24E61">
            <w:pPr>
              <w:rPr>
                <w:sz w:val="23"/>
                <w:szCs w:val="23"/>
              </w:rPr>
            </w:pPr>
          </w:p>
        </w:tc>
        <w:tc>
          <w:tcPr>
            <w:tcW w:w="3700" w:type="dxa"/>
            <w:vAlign w:val="bottom"/>
          </w:tcPr>
          <w:p w:rsidR="00D24E61" w:rsidRPr="00771368" w:rsidRDefault="00D24E61">
            <w:pPr>
              <w:spacing w:line="266" w:lineRule="exact"/>
              <w:ind w:left="120"/>
              <w:rPr>
                <w:sz w:val="20"/>
                <w:szCs w:val="20"/>
              </w:rPr>
            </w:pPr>
            <w:r w:rsidRPr="00771368">
              <w:rPr>
                <w:b/>
                <w:bCs/>
                <w:sz w:val="24"/>
                <w:szCs w:val="24"/>
              </w:rPr>
              <w:t>Escolaridade do pai</w:t>
            </w:r>
          </w:p>
        </w:tc>
        <w:tc>
          <w:tcPr>
            <w:tcW w:w="2140" w:type="dxa"/>
            <w:vAlign w:val="bottom"/>
          </w:tcPr>
          <w:p w:rsidR="00D24E61" w:rsidRPr="00771368" w:rsidRDefault="00D24E61">
            <w:pPr>
              <w:rPr>
                <w:sz w:val="23"/>
                <w:szCs w:val="23"/>
              </w:rPr>
            </w:pPr>
          </w:p>
        </w:tc>
        <w:tc>
          <w:tcPr>
            <w:tcW w:w="2820" w:type="dxa"/>
            <w:vAlign w:val="bottom"/>
          </w:tcPr>
          <w:p w:rsidR="00D24E61" w:rsidRPr="00771368" w:rsidRDefault="00D24E61">
            <w:pPr>
              <w:rPr>
                <w:sz w:val="23"/>
                <w:szCs w:val="23"/>
              </w:rPr>
            </w:pPr>
          </w:p>
        </w:tc>
      </w:tr>
      <w:tr w:rsidR="00D24E61" w:rsidRPr="00771368">
        <w:trPr>
          <w:trHeight w:val="269"/>
        </w:trPr>
        <w:tc>
          <w:tcPr>
            <w:tcW w:w="20" w:type="dxa"/>
            <w:vAlign w:val="bottom"/>
          </w:tcPr>
          <w:p w:rsidR="00D24E61" w:rsidRPr="00771368" w:rsidRDefault="00D24E61">
            <w:pPr>
              <w:rPr>
                <w:sz w:val="23"/>
                <w:szCs w:val="23"/>
              </w:rPr>
            </w:pPr>
          </w:p>
        </w:tc>
        <w:tc>
          <w:tcPr>
            <w:tcW w:w="3700" w:type="dxa"/>
            <w:vAlign w:val="bottom"/>
          </w:tcPr>
          <w:p w:rsidR="00D24E61" w:rsidRPr="00771368" w:rsidRDefault="00D24E61">
            <w:pPr>
              <w:spacing w:line="268" w:lineRule="exact"/>
              <w:ind w:left="120"/>
              <w:rPr>
                <w:sz w:val="20"/>
                <w:szCs w:val="20"/>
              </w:rPr>
            </w:pPr>
            <w:r w:rsidRPr="00771368">
              <w:rPr>
                <w:sz w:val="24"/>
                <w:szCs w:val="24"/>
              </w:rPr>
              <w:t>Analfabeto</w:t>
            </w:r>
          </w:p>
        </w:tc>
        <w:tc>
          <w:tcPr>
            <w:tcW w:w="2140" w:type="dxa"/>
            <w:vAlign w:val="bottom"/>
          </w:tcPr>
          <w:p w:rsidR="00D24E61" w:rsidRPr="00771368" w:rsidRDefault="00D24E61">
            <w:pPr>
              <w:spacing w:line="268" w:lineRule="exact"/>
              <w:ind w:right="420"/>
              <w:jc w:val="center"/>
              <w:rPr>
                <w:sz w:val="20"/>
                <w:szCs w:val="20"/>
              </w:rPr>
            </w:pPr>
            <w:r w:rsidRPr="00771368">
              <w:rPr>
                <w:w w:val="99"/>
                <w:sz w:val="24"/>
                <w:szCs w:val="24"/>
              </w:rPr>
              <w:t>13</w:t>
            </w:r>
          </w:p>
        </w:tc>
        <w:tc>
          <w:tcPr>
            <w:tcW w:w="2820" w:type="dxa"/>
            <w:vAlign w:val="bottom"/>
          </w:tcPr>
          <w:p w:rsidR="00D24E61" w:rsidRPr="00771368" w:rsidRDefault="00D24E61">
            <w:pPr>
              <w:spacing w:line="268" w:lineRule="exact"/>
              <w:jc w:val="center"/>
              <w:rPr>
                <w:sz w:val="20"/>
                <w:szCs w:val="20"/>
              </w:rPr>
            </w:pPr>
            <w:r w:rsidRPr="00771368">
              <w:rPr>
                <w:w w:val="99"/>
                <w:sz w:val="24"/>
                <w:szCs w:val="24"/>
              </w:rPr>
              <w:t>5,9</w:t>
            </w:r>
          </w:p>
        </w:tc>
      </w:tr>
      <w:tr w:rsidR="00D24E61" w:rsidRPr="00771368">
        <w:trPr>
          <w:trHeight w:val="278"/>
        </w:trPr>
        <w:tc>
          <w:tcPr>
            <w:tcW w:w="20" w:type="dxa"/>
            <w:vAlign w:val="bottom"/>
          </w:tcPr>
          <w:p w:rsidR="00D24E61" w:rsidRPr="00771368" w:rsidRDefault="00D24E61">
            <w:pPr>
              <w:rPr>
                <w:sz w:val="24"/>
                <w:szCs w:val="24"/>
              </w:rPr>
            </w:pPr>
          </w:p>
        </w:tc>
        <w:tc>
          <w:tcPr>
            <w:tcW w:w="3700" w:type="dxa"/>
            <w:vAlign w:val="bottom"/>
          </w:tcPr>
          <w:p w:rsidR="00D24E61" w:rsidRPr="00771368" w:rsidRDefault="00D24E61">
            <w:pPr>
              <w:ind w:left="120"/>
              <w:rPr>
                <w:sz w:val="20"/>
                <w:szCs w:val="20"/>
              </w:rPr>
            </w:pPr>
            <w:r w:rsidRPr="00771368">
              <w:rPr>
                <w:sz w:val="24"/>
                <w:szCs w:val="24"/>
              </w:rPr>
              <w:t>Ensino Fundamenta</w:t>
            </w:r>
          </w:p>
        </w:tc>
        <w:tc>
          <w:tcPr>
            <w:tcW w:w="2140" w:type="dxa"/>
            <w:vAlign w:val="bottom"/>
          </w:tcPr>
          <w:p w:rsidR="00D24E61" w:rsidRPr="00771368" w:rsidRDefault="00D24E61">
            <w:pPr>
              <w:ind w:right="420"/>
              <w:jc w:val="center"/>
              <w:rPr>
                <w:sz w:val="20"/>
                <w:szCs w:val="20"/>
              </w:rPr>
            </w:pPr>
            <w:r w:rsidRPr="00771368">
              <w:rPr>
                <w:w w:val="99"/>
                <w:sz w:val="24"/>
                <w:szCs w:val="24"/>
              </w:rPr>
              <w:t>132</w:t>
            </w:r>
          </w:p>
        </w:tc>
        <w:tc>
          <w:tcPr>
            <w:tcW w:w="2820" w:type="dxa"/>
            <w:vAlign w:val="bottom"/>
          </w:tcPr>
          <w:p w:rsidR="00D24E61" w:rsidRPr="00771368" w:rsidRDefault="00D24E61">
            <w:pPr>
              <w:jc w:val="center"/>
              <w:rPr>
                <w:sz w:val="20"/>
                <w:szCs w:val="20"/>
              </w:rPr>
            </w:pPr>
            <w:r w:rsidRPr="00771368">
              <w:rPr>
                <w:sz w:val="24"/>
                <w:szCs w:val="24"/>
              </w:rPr>
              <w:t>60,3</w:t>
            </w:r>
          </w:p>
        </w:tc>
      </w:tr>
      <w:tr w:rsidR="00D24E61" w:rsidRPr="00771368">
        <w:trPr>
          <w:trHeight w:val="274"/>
        </w:trPr>
        <w:tc>
          <w:tcPr>
            <w:tcW w:w="20" w:type="dxa"/>
            <w:vAlign w:val="bottom"/>
          </w:tcPr>
          <w:p w:rsidR="00D24E61" w:rsidRPr="00771368" w:rsidRDefault="00D24E61">
            <w:pPr>
              <w:rPr>
                <w:sz w:val="23"/>
                <w:szCs w:val="23"/>
              </w:rPr>
            </w:pPr>
          </w:p>
        </w:tc>
        <w:tc>
          <w:tcPr>
            <w:tcW w:w="3700" w:type="dxa"/>
            <w:vAlign w:val="bottom"/>
          </w:tcPr>
          <w:p w:rsidR="00D24E61" w:rsidRPr="00771368" w:rsidRDefault="00D24E61">
            <w:pPr>
              <w:spacing w:line="273" w:lineRule="exact"/>
              <w:ind w:left="120"/>
              <w:rPr>
                <w:sz w:val="20"/>
                <w:szCs w:val="20"/>
              </w:rPr>
            </w:pPr>
            <w:r w:rsidRPr="00771368">
              <w:rPr>
                <w:sz w:val="24"/>
                <w:szCs w:val="24"/>
              </w:rPr>
              <w:t>Ensino médio</w:t>
            </w:r>
          </w:p>
        </w:tc>
        <w:tc>
          <w:tcPr>
            <w:tcW w:w="2140" w:type="dxa"/>
            <w:vAlign w:val="bottom"/>
          </w:tcPr>
          <w:p w:rsidR="00D24E61" w:rsidRPr="00771368" w:rsidRDefault="00D24E61">
            <w:pPr>
              <w:spacing w:line="273" w:lineRule="exact"/>
              <w:ind w:right="420"/>
              <w:jc w:val="center"/>
              <w:rPr>
                <w:sz w:val="20"/>
                <w:szCs w:val="20"/>
              </w:rPr>
            </w:pPr>
            <w:r w:rsidRPr="00771368">
              <w:rPr>
                <w:w w:val="99"/>
                <w:sz w:val="24"/>
                <w:szCs w:val="24"/>
              </w:rPr>
              <w:t>60</w:t>
            </w:r>
          </w:p>
        </w:tc>
        <w:tc>
          <w:tcPr>
            <w:tcW w:w="2820" w:type="dxa"/>
            <w:vAlign w:val="bottom"/>
          </w:tcPr>
          <w:p w:rsidR="00D24E61" w:rsidRPr="00771368" w:rsidRDefault="00D24E61">
            <w:pPr>
              <w:spacing w:line="273" w:lineRule="exact"/>
              <w:jc w:val="center"/>
              <w:rPr>
                <w:sz w:val="20"/>
                <w:szCs w:val="20"/>
              </w:rPr>
            </w:pPr>
            <w:r w:rsidRPr="00771368">
              <w:rPr>
                <w:sz w:val="24"/>
                <w:szCs w:val="24"/>
              </w:rPr>
              <w:t>27,4</w:t>
            </w:r>
          </w:p>
        </w:tc>
      </w:tr>
      <w:tr w:rsidR="00D24E61" w:rsidRPr="00771368">
        <w:trPr>
          <w:trHeight w:val="282"/>
        </w:trPr>
        <w:tc>
          <w:tcPr>
            <w:tcW w:w="20" w:type="dxa"/>
            <w:tcBorders>
              <w:bottom w:val="single" w:sz="8" w:space="0" w:color="auto"/>
            </w:tcBorders>
            <w:vAlign w:val="bottom"/>
          </w:tcPr>
          <w:p w:rsidR="00D24E61" w:rsidRPr="00771368" w:rsidRDefault="00D24E61">
            <w:pPr>
              <w:rPr>
                <w:sz w:val="24"/>
                <w:szCs w:val="24"/>
              </w:rPr>
            </w:pPr>
          </w:p>
        </w:tc>
        <w:tc>
          <w:tcPr>
            <w:tcW w:w="3700" w:type="dxa"/>
            <w:tcBorders>
              <w:bottom w:val="single" w:sz="8" w:space="0" w:color="auto"/>
            </w:tcBorders>
            <w:vAlign w:val="bottom"/>
          </w:tcPr>
          <w:p w:rsidR="00D24E61" w:rsidRPr="00771368" w:rsidRDefault="00D24E61">
            <w:pPr>
              <w:ind w:left="120"/>
              <w:rPr>
                <w:sz w:val="20"/>
                <w:szCs w:val="20"/>
              </w:rPr>
            </w:pPr>
            <w:r w:rsidRPr="00771368">
              <w:rPr>
                <w:sz w:val="24"/>
                <w:szCs w:val="24"/>
              </w:rPr>
              <w:t>Ensino superior/pós-graduação</w:t>
            </w:r>
          </w:p>
        </w:tc>
        <w:tc>
          <w:tcPr>
            <w:tcW w:w="2140" w:type="dxa"/>
            <w:tcBorders>
              <w:bottom w:val="single" w:sz="8" w:space="0" w:color="auto"/>
            </w:tcBorders>
            <w:vAlign w:val="bottom"/>
          </w:tcPr>
          <w:p w:rsidR="00D24E61" w:rsidRPr="00771368" w:rsidRDefault="00D24E61">
            <w:pPr>
              <w:ind w:right="420"/>
              <w:jc w:val="center"/>
              <w:rPr>
                <w:sz w:val="20"/>
                <w:szCs w:val="20"/>
              </w:rPr>
            </w:pPr>
            <w:r w:rsidRPr="00771368">
              <w:rPr>
                <w:w w:val="99"/>
                <w:sz w:val="24"/>
                <w:szCs w:val="24"/>
              </w:rPr>
              <w:t>14</w:t>
            </w:r>
          </w:p>
        </w:tc>
        <w:tc>
          <w:tcPr>
            <w:tcW w:w="2820" w:type="dxa"/>
            <w:tcBorders>
              <w:bottom w:val="single" w:sz="8" w:space="0" w:color="auto"/>
            </w:tcBorders>
            <w:vAlign w:val="bottom"/>
          </w:tcPr>
          <w:p w:rsidR="00D24E61" w:rsidRPr="00771368" w:rsidRDefault="00D24E61">
            <w:pPr>
              <w:jc w:val="center"/>
              <w:rPr>
                <w:sz w:val="20"/>
                <w:szCs w:val="20"/>
              </w:rPr>
            </w:pPr>
            <w:r w:rsidRPr="00771368">
              <w:rPr>
                <w:w w:val="99"/>
                <w:sz w:val="24"/>
                <w:szCs w:val="24"/>
              </w:rPr>
              <w:t>6,4</w:t>
            </w:r>
          </w:p>
        </w:tc>
      </w:tr>
    </w:tbl>
    <w:p w:rsidR="00D24E61" w:rsidRPr="00771368" w:rsidRDefault="00D24E61">
      <w:pPr>
        <w:spacing w:line="246" w:lineRule="exact"/>
        <w:rPr>
          <w:sz w:val="20"/>
          <w:szCs w:val="20"/>
        </w:rPr>
      </w:pPr>
    </w:p>
    <w:p w:rsidR="00D24E61" w:rsidRPr="00771368" w:rsidRDefault="00D24E61">
      <w:pPr>
        <w:spacing w:line="222" w:lineRule="auto"/>
        <w:ind w:left="2620" w:right="1880" w:hanging="167"/>
        <w:rPr>
          <w:sz w:val="20"/>
          <w:szCs w:val="20"/>
        </w:rPr>
      </w:pPr>
      <w:r w:rsidRPr="00771368">
        <w:rPr>
          <w:b/>
          <w:bCs/>
          <w:sz w:val="27"/>
          <w:szCs w:val="27"/>
        </w:rPr>
        <w:t>Distribuição dos Alunos da rede estadual de ensino do município de Panelas-PE</w:t>
      </w:r>
    </w:p>
    <w:p w:rsidR="00D24E61" w:rsidRPr="00771368" w:rsidRDefault="00D24E61">
      <w:pPr>
        <w:spacing w:line="18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00"/>
        <w:gridCol w:w="680"/>
        <w:gridCol w:w="480"/>
        <w:gridCol w:w="460"/>
        <w:gridCol w:w="460"/>
        <w:gridCol w:w="440"/>
        <w:gridCol w:w="460"/>
        <w:gridCol w:w="460"/>
        <w:gridCol w:w="460"/>
        <w:gridCol w:w="440"/>
        <w:gridCol w:w="460"/>
        <w:gridCol w:w="460"/>
        <w:gridCol w:w="440"/>
        <w:gridCol w:w="460"/>
        <w:gridCol w:w="460"/>
        <w:gridCol w:w="460"/>
        <w:gridCol w:w="440"/>
        <w:gridCol w:w="460"/>
        <w:gridCol w:w="460"/>
        <w:gridCol w:w="440"/>
        <w:gridCol w:w="30"/>
      </w:tblGrid>
      <w:tr w:rsidR="00D24E61" w:rsidRPr="00771368">
        <w:trPr>
          <w:trHeight w:val="112"/>
        </w:trPr>
        <w:tc>
          <w:tcPr>
            <w:tcW w:w="900" w:type="dxa"/>
            <w:gridSpan w:val="3"/>
            <w:vMerge w:val="restart"/>
            <w:vAlign w:val="bottom"/>
          </w:tcPr>
          <w:p w:rsidR="00D24E61" w:rsidRPr="00771368" w:rsidRDefault="00D24E61">
            <w:pPr>
              <w:spacing w:line="229" w:lineRule="exact"/>
              <w:ind w:right="116"/>
              <w:jc w:val="right"/>
              <w:rPr>
                <w:sz w:val="20"/>
                <w:szCs w:val="20"/>
              </w:rPr>
            </w:pPr>
            <w:r w:rsidRPr="00771368">
              <w:rPr>
                <w:sz w:val="20"/>
                <w:szCs w:val="20"/>
              </w:rPr>
              <w:t>150</w:t>
            </w:r>
          </w:p>
        </w:tc>
        <w:tc>
          <w:tcPr>
            <w:tcW w:w="48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4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4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4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4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60" w:type="dxa"/>
            <w:tcBorders>
              <w:bottom w:val="single" w:sz="8" w:space="0" w:color="868686"/>
            </w:tcBorders>
            <w:vAlign w:val="bottom"/>
          </w:tcPr>
          <w:p w:rsidR="00D24E61" w:rsidRPr="00771368" w:rsidRDefault="00D24E61">
            <w:pPr>
              <w:rPr>
                <w:sz w:val="9"/>
                <w:szCs w:val="9"/>
              </w:rPr>
            </w:pPr>
          </w:p>
        </w:tc>
        <w:tc>
          <w:tcPr>
            <w:tcW w:w="440" w:type="dxa"/>
            <w:tcBorders>
              <w:bottom w:val="single" w:sz="8" w:space="0" w:color="868686"/>
            </w:tcBorders>
            <w:vAlign w:val="bottom"/>
          </w:tcPr>
          <w:p w:rsidR="00D24E61" w:rsidRPr="00771368" w:rsidRDefault="00D24E61">
            <w:pPr>
              <w:rPr>
                <w:sz w:val="9"/>
                <w:szCs w:val="9"/>
              </w:rPr>
            </w:pPr>
          </w:p>
        </w:tc>
        <w:tc>
          <w:tcPr>
            <w:tcW w:w="0" w:type="dxa"/>
            <w:vAlign w:val="bottom"/>
          </w:tcPr>
          <w:p w:rsidR="00D24E61" w:rsidRPr="00771368" w:rsidRDefault="00D24E61">
            <w:pPr>
              <w:rPr>
                <w:sz w:val="1"/>
                <w:szCs w:val="1"/>
              </w:rPr>
            </w:pPr>
          </w:p>
        </w:tc>
      </w:tr>
      <w:tr w:rsidR="00D24E61" w:rsidRPr="00771368">
        <w:trPr>
          <w:trHeight w:val="98"/>
        </w:trPr>
        <w:tc>
          <w:tcPr>
            <w:tcW w:w="900" w:type="dxa"/>
            <w:gridSpan w:val="3"/>
            <w:vMerge/>
            <w:vAlign w:val="bottom"/>
          </w:tcPr>
          <w:p w:rsidR="00D24E61" w:rsidRPr="00771368" w:rsidRDefault="00D24E61">
            <w:pPr>
              <w:rPr>
                <w:sz w:val="8"/>
                <w:szCs w:val="8"/>
              </w:rPr>
            </w:pPr>
          </w:p>
        </w:tc>
        <w:tc>
          <w:tcPr>
            <w:tcW w:w="480" w:type="dxa"/>
            <w:tcBorders>
              <w:left w:val="single" w:sz="8" w:space="0" w:color="868686"/>
            </w:tcBorders>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0" w:type="dxa"/>
            <w:vAlign w:val="bottom"/>
          </w:tcPr>
          <w:p w:rsidR="00D24E61" w:rsidRPr="00771368" w:rsidRDefault="00D24E61">
            <w:pPr>
              <w:rPr>
                <w:sz w:val="1"/>
                <w:szCs w:val="1"/>
              </w:rPr>
            </w:pPr>
          </w:p>
        </w:tc>
      </w:tr>
      <w:tr w:rsidR="00D24E61" w:rsidRPr="00771368">
        <w:trPr>
          <w:trHeight w:val="401"/>
        </w:trPr>
        <w:tc>
          <w:tcPr>
            <w:tcW w:w="900" w:type="dxa"/>
            <w:gridSpan w:val="3"/>
            <w:vMerge w:val="restart"/>
            <w:vAlign w:val="bottom"/>
          </w:tcPr>
          <w:p w:rsidR="00D24E61" w:rsidRPr="00771368" w:rsidRDefault="00D24E61">
            <w:pPr>
              <w:spacing w:line="229" w:lineRule="exact"/>
              <w:ind w:right="116"/>
              <w:jc w:val="right"/>
              <w:rPr>
                <w:sz w:val="20"/>
                <w:szCs w:val="20"/>
              </w:rPr>
            </w:pPr>
            <w:r w:rsidRPr="00771368">
              <w:rPr>
                <w:sz w:val="20"/>
                <w:szCs w:val="20"/>
              </w:rPr>
              <w:t>100</w:t>
            </w:r>
          </w:p>
        </w:tc>
        <w:tc>
          <w:tcPr>
            <w:tcW w:w="480" w:type="dxa"/>
            <w:tcBorders>
              <w:left w:val="single" w:sz="8" w:space="0" w:color="868686"/>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96"/>
        </w:trPr>
        <w:tc>
          <w:tcPr>
            <w:tcW w:w="900" w:type="dxa"/>
            <w:gridSpan w:val="3"/>
            <w:vMerge/>
            <w:vAlign w:val="bottom"/>
          </w:tcPr>
          <w:p w:rsidR="00D24E61" w:rsidRPr="00771368" w:rsidRDefault="00D24E61">
            <w:pPr>
              <w:rPr>
                <w:sz w:val="8"/>
                <w:szCs w:val="8"/>
              </w:rPr>
            </w:pPr>
          </w:p>
        </w:tc>
        <w:tc>
          <w:tcPr>
            <w:tcW w:w="480" w:type="dxa"/>
            <w:tcBorders>
              <w:left w:val="single" w:sz="8" w:space="0" w:color="868686"/>
            </w:tcBorders>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0" w:type="dxa"/>
            <w:vAlign w:val="bottom"/>
          </w:tcPr>
          <w:p w:rsidR="00D24E61" w:rsidRPr="00771368" w:rsidRDefault="00D24E61">
            <w:pPr>
              <w:rPr>
                <w:sz w:val="1"/>
                <w:szCs w:val="1"/>
              </w:rPr>
            </w:pPr>
          </w:p>
        </w:tc>
      </w:tr>
      <w:tr w:rsidR="00D24E61" w:rsidRPr="00771368">
        <w:trPr>
          <w:trHeight w:val="398"/>
        </w:trPr>
        <w:tc>
          <w:tcPr>
            <w:tcW w:w="900" w:type="dxa"/>
            <w:gridSpan w:val="3"/>
            <w:vMerge w:val="restart"/>
            <w:vAlign w:val="bottom"/>
          </w:tcPr>
          <w:p w:rsidR="00D24E61" w:rsidRPr="00771368" w:rsidRDefault="00D24E61">
            <w:pPr>
              <w:spacing w:line="229" w:lineRule="exact"/>
              <w:ind w:right="116"/>
              <w:jc w:val="right"/>
              <w:rPr>
                <w:sz w:val="20"/>
                <w:szCs w:val="20"/>
              </w:rPr>
            </w:pPr>
            <w:r w:rsidRPr="00771368">
              <w:rPr>
                <w:sz w:val="20"/>
                <w:szCs w:val="20"/>
              </w:rPr>
              <w:t>50</w:t>
            </w:r>
          </w:p>
        </w:tc>
        <w:tc>
          <w:tcPr>
            <w:tcW w:w="480" w:type="dxa"/>
            <w:tcBorders>
              <w:left w:val="single" w:sz="8" w:space="0" w:color="868686"/>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99"/>
        </w:trPr>
        <w:tc>
          <w:tcPr>
            <w:tcW w:w="900" w:type="dxa"/>
            <w:gridSpan w:val="3"/>
            <w:vMerge/>
            <w:vAlign w:val="bottom"/>
          </w:tcPr>
          <w:p w:rsidR="00D24E61" w:rsidRPr="00771368" w:rsidRDefault="00D24E61">
            <w:pPr>
              <w:rPr>
                <w:sz w:val="8"/>
                <w:szCs w:val="8"/>
              </w:rPr>
            </w:pPr>
          </w:p>
        </w:tc>
        <w:tc>
          <w:tcPr>
            <w:tcW w:w="480" w:type="dxa"/>
            <w:tcBorders>
              <w:left w:val="single" w:sz="8" w:space="0" w:color="868686"/>
            </w:tcBorders>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0" w:type="dxa"/>
            <w:vAlign w:val="bottom"/>
          </w:tcPr>
          <w:p w:rsidR="00D24E61" w:rsidRPr="00771368" w:rsidRDefault="00D24E61">
            <w:pPr>
              <w:rPr>
                <w:sz w:val="1"/>
                <w:szCs w:val="1"/>
              </w:rPr>
            </w:pPr>
          </w:p>
        </w:tc>
      </w:tr>
      <w:tr w:rsidR="00D24E61" w:rsidRPr="00771368">
        <w:trPr>
          <w:trHeight w:val="399"/>
        </w:trPr>
        <w:tc>
          <w:tcPr>
            <w:tcW w:w="900" w:type="dxa"/>
            <w:gridSpan w:val="3"/>
            <w:vMerge w:val="restart"/>
            <w:vAlign w:val="bottom"/>
          </w:tcPr>
          <w:p w:rsidR="00D24E61" w:rsidRPr="00771368" w:rsidRDefault="00D24E61">
            <w:pPr>
              <w:spacing w:line="229" w:lineRule="exact"/>
              <w:ind w:right="116"/>
              <w:jc w:val="right"/>
              <w:rPr>
                <w:sz w:val="20"/>
                <w:szCs w:val="20"/>
              </w:rPr>
            </w:pPr>
            <w:r w:rsidRPr="00771368">
              <w:rPr>
                <w:sz w:val="20"/>
                <w:szCs w:val="20"/>
              </w:rPr>
              <w:t>0</w:t>
            </w:r>
          </w:p>
        </w:tc>
        <w:tc>
          <w:tcPr>
            <w:tcW w:w="480" w:type="dxa"/>
            <w:tcBorders>
              <w:left w:val="single" w:sz="8" w:space="0" w:color="868686"/>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60" w:type="dxa"/>
            <w:tcBorders>
              <w:bottom w:val="single" w:sz="8" w:space="0" w:color="868686"/>
            </w:tcBorders>
            <w:vAlign w:val="bottom"/>
          </w:tcPr>
          <w:p w:rsidR="00D24E61" w:rsidRPr="00771368" w:rsidRDefault="00D24E61">
            <w:pPr>
              <w:rPr>
                <w:sz w:val="24"/>
                <w:szCs w:val="24"/>
              </w:rPr>
            </w:pPr>
          </w:p>
        </w:tc>
        <w:tc>
          <w:tcPr>
            <w:tcW w:w="440" w:type="dxa"/>
            <w:tcBorders>
              <w:bottom w:val="single" w:sz="8" w:space="0" w:color="868686"/>
            </w:tcBorders>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98"/>
        </w:trPr>
        <w:tc>
          <w:tcPr>
            <w:tcW w:w="900" w:type="dxa"/>
            <w:gridSpan w:val="3"/>
            <w:vMerge/>
            <w:vAlign w:val="bottom"/>
          </w:tcPr>
          <w:p w:rsidR="00D24E61" w:rsidRPr="00771368" w:rsidRDefault="00D24E61">
            <w:pPr>
              <w:rPr>
                <w:sz w:val="8"/>
                <w:szCs w:val="8"/>
              </w:rPr>
            </w:pPr>
          </w:p>
        </w:tc>
        <w:tc>
          <w:tcPr>
            <w:tcW w:w="48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60" w:type="dxa"/>
            <w:vAlign w:val="bottom"/>
          </w:tcPr>
          <w:p w:rsidR="00D24E61" w:rsidRPr="00771368" w:rsidRDefault="00D24E61">
            <w:pPr>
              <w:rPr>
                <w:sz w:val="8"/>
                <w:szCs w:val="8"/>
              </w:rPr>
            </w:pPr>
          </w:p>
        </w:tc>
        <w:tc>
          <w:tcPr>
            <w:tcW w:w="440" w:type="dxa"/>
            <w:vAlign w:val="bottom"/>
          </w:tcPr>
          <w:p w:rsidR="00D24E61" w:rsidRPr="00771368" w:rsidRDefault="00D24E61">
            <w:pPr>
              <w:rPr>
                <w:sz w:val="8"/>
                <w:szCs w:val="8"/>
              </w:rPr>
            </w:pPr>
          </w:p>
        </w:tc>
        <w:tc>
          <w:tcPr>
            <w:tcW w:w="0" w:type="dxa"/>
            <w:vAlign w:val="bottom"/>
          </w:tcPr>
          <w:p w:rsidR="00D24E61" w:rsidRPr="00771368" w:rsidRDefault="00D24E61">
            <w:pPr>
              <w:rPr>
                <w:sz w:val="1"/>
                <w:szCs w:val="1"/>
              </w:rPr>
            </w:pPr>
          </w:p>
        </w:tc>
      </w:tr>
      <w:tr w:rsidR="00D24E61" w:rsidRPr="00771368">
        <w:trPr>
          <w:trHeight w:val="163"/>
        </w:trPr>
        <w:tc>
          <w:tcPr>
            <w:tcW w:w="120" w:type="dxa"/>
            <w:vAlign w:val="bottom"/>
          </w:tcPr>
          <w:p w:rsidR="00D24E61" w:rsidRPr="00771368" w:rsidRDefault="00D24E61">
            <w:pPr>
              <w:rPr>
                <w:sz w:val="14"/>
                <w:szCs w:val="14"/>
              </w:rPr>
            </w:pPr>
          </w:p>
        </w:tc>
        <w:tc>
          <w:tcPr>
            <w:tcW w:w="100" w:type="dxa"/>
            <w:vAlign w:val="bottom"/>
          </w:tcPr>
          <w:p w:rsidR="00D24E61" w:rsidRPr="00771368" w:rsidRDefault="00D24E61">
            <w:pPr>
              <w:rPr>
                <w:sz w:val="14"/>
                <w:szCs w:val="14"/>
              </w:rPr>
            </w:pPr>
          </w:p>
        </w:tc>
        <w:tc>
          <w:tcPr>
            <w:tcW w:w="680" w:type="dxa"/>
            <w:vAlign w:val="bottom"/>
          </w:tcPr>
          <w:p w:rsidR="00D24E61" w:rsidRPr="00771368" w:rsidRDefault="00D24E61">
            <w:pPr>
              <w:rPr>
                <w:sz w:val="14"/>
                <w:szCs w:val="14"/>
              </w:rPr>
            </w:pPr>
          </w:p>
        </w:tc>
        <w:tc>
          <w:tcPr>
            <w:tcW w:w="48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4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4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4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4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60" w:type="dxa"/>
            <w:tcBorders>
              <w:bottom w:val="single" w:sz="8" w:space="0" w:color="auto"/>
            </w:tcBorders>
            <w:vAlign w:val="bottom"/>
          </w:tcPr>
          <w:p w:rsidR="00D24E61" w:rsidRPr="00771368" w:rsidRDefault="00D24E61">
            <w:pPr>
              <w:rPr>
                <w:sz w:val="14"/>
                <w:szCs w:val="14"/>
              </w:rPr>
            </w:pPr>
          </w:p>
        </w:tc>
        <w:tc>
          <w:tcPr>
            <w:tcW w:w="440" w:type="dxa"/>
            <w:tcBorders>
              <w:bottom w:val="single" w:sz="8" w:space="0" w:color="auto"/>
            </w:tcBorders>
            <w:vAlign w:val="bottom"/>
          </w:tcPr>
          <w:p w:rsidR="00D24E61" w:rsidRPr="00771368" w:rsidRDefault="00D24E61">
            <w:pPr>
              <w:rPr>
                <w:sz w:val="14"/>
                <w:szCs w:val="14"/>
              </w:rPr>
            </w:pPr>
          </w:p>
        </w:tc>
        <w:tc>
          <w:tcPr>
            <w:tcW w:w="0" w:type="dxa"/>
            <w:vAlign w:val="bottom"/>
          </w:tcPr>
          <w:p w:rsidR="00D24E61" w:rsidRPr="00771368" w:rsidRDefault="00D24E61">
            <w:pPr>
              <w:rPr>
                <w:sz w:val="1"/>
                <w:szCs w:val="1"/>
              </w:rPr>
            </w:pPr>
          </w:p>
        </w:tc>
      </w:tr>
      <w:tr w:rsidR="00D24E61" w:rsidRPr="00771368">
        <w:trPr>
          <w:trHeight w:val="1381"/>
        </w:trPr>
        <w:tc>
          <w:tcPr>
            <w:tcW w:w="120" w:type="dxa"/>
            <w:vAlign w:val="bottom"/>
          </w:tcPr>
          <w:p w:rsidR="00D24E61" w:rsidRPr="00771368" w:rsidRDefault="00D24E61">
            <w:pPr>
              <w:rPr>
                <w:sz w:val="24"/>
                <w:szCs w:val="24"/>
              </w:rPr>
            </w:pPr>
          </w:p>
        </w:tc>
        <w:tc>
          <w:tcPr>
            <w:tcW w:w="100" w:type="dxa"/>
            <w:vAlign w:val="bottom"/>
          </w:tcPr>
          <w:p w:rsidR="00D24E61" w:rsidRPr="00771368" w:rsidRDefault="00D24E61">
            <w:pPr>
              <w:rPr>
                <w:sz w:val="24"/>
                <w:szCs w:val="24"/>
              </w:rPr>
            </w:pPr>
          </w:p>
        </w:tc>
        <w:tc>
          <w:tcPr>
            <w:tcW w:w="680" w:type="dxa"/>
            <w:vAlign w:val="bottom"/>
          </w:tcPr>
          <w:p w:rsidR="00D24E61" w:rsidRPr="00771368" w:rsidRDefault="00D24E61">
            <w:pPr>
              <w:rPr>
                <w:sz w:val="24"/>
                <w:szCs w:val="24"/>
              </w:rPr>
            </w:pPr>
          </w:p>
        </w:tc>
        <w:tc>
          <w:tcPr>
            <w:tcW w:w="480" w:type="dxa"/>
            <w:tcBorders>
              <w:left w:val="single" w:sz="8" w:space="0" w:color="auto"/>
              <w:right w:val="single" w:sz="8" w:space="0" w:color="auto"/>
            </w:tcBorders>
            <w:textDirection w:val="tbRl"/>
            <w:vAlign w:val="bottom"/>
          </w:tcPr>
          <w:p w:rsidR="00D24E61" w:rsidRPr="00771368" w:rsidRDefault="00D24E61">
            <w:pPr>
              <w:spacing w:line="239" w:lineRule="auto"/>
              <w:ind w:left="167"/>
              <w:jc w:val="right"/>
              <w:rPr>
                <w:sz w:val="20"/>
                <w:szCs w:val="20"/>
              </w:rPr>
            </w:pPr>
            <w:r w:rsidRPr="00771368">
              <w:rPr>
                <w:i/>
                <w:iCs/>
                <w:sz w:val="14"/>
                <w:szCs w:val="14"/>
              </w:rPr>
              <w:t>Ano1º</w:t>
            </w:r>
          </w:p>
        </w:tc>
        <w:tc>
          <w:tcPr>
            <w:tcW w:w="460" w:type="dxa"/>
            <w:tcBorders>
              <w:right w:val="single" w:sz="8" w:space="0" w:color="auto"/>
            </w:tcBorders>
            <w:textDirection w:val="tbRl"/>
            <w:vAlign w:val="bottom"/>
          </w:tcPr>
          <w:p w:rsidR="00D24E61" w:rsidRPr="00771368" w:rsidRDefault="00D24E61">
            <w:pPr>
              <w:ind w:right="95"/>
              <w:jc w:val="right"/>
              <w:rPr>
                <w:sz w:val="20"/>
                <w:szCs w:val="20"/>
              </w:rPr>
            </w:pPr>
            <w:r w:rsidRPr="00771368">
              <w:rPr>
                <w:i/>
                <w:iCs/>
                <w:sz w:val="14"/>
                <w:szCs w:val="14"/>
              </w:rPr>
              <w:t>Ano2º</w:t>
            </w:r>
          </w:p>
        </w:tc>
        <w:tc>
          <w:tcPr>
            <w:tcW w:w="460" w:type="dxa"/>
            <w:tcBorders>
              <w:right w:val="single" w:sz="8" w:space="0" w:color="auto"/>
            </w:tcBorders>
            <w:textDirection w:val="tbRl"/>
            <w:vAlign w:val="bottom"/>
          </w:tcPr>
          <w:p w:rsidR="00D24E61" w:rsidRPr="00771368" w:rsidRDefault="00D24E61">
            <w:pPr>
              <w:ind w:left="134"/>
              <w:jc w:val="right"/>
              <w:rPr>
                <w:sz w:val="20"/>
                <w:szCs w:val="20"/>
              </w:rPr>
            </w:pPr>
            <w:r w:rsidRPr="00771368">
              <w:rPr>
                <w:i/>
                <w:iCs/>
                <w:sz w:val="14"/>
                <w:szCs w:val="14"/>
              </w:rPr>
              <w:t>Ano3º</w:t>
            </w:r>
          </w:p>
        </w:tc>
        <w:tc>
          <w:tcPr>
            <w:tcW w:w="440" w:type="dxa"/>
            <w:tcBorders>
              <w:right w:val="single" w:sz="8" w:space="0" w:color="auto"/>
            </w:tcBorders>
            <w:textDirection w:val="tbRl"/>
            <w:vAlign w:val="bottom"/>
          </w:tcPr>
          <w:p w:rsidR="00D24E61" w:rsidRPr="00771368" w:rsidRDefault="00D24E61">
            <w:pPr>
              <w:ind w:left="135"/>
              <w:jc w:val="right"/>
              <w:rPr>
                <w:sz w:val="20"/>
                <w:szCs w:val="20"/>
              </w:rPr>
            </w:pPr>
            <w:r w:rsidRPr="00771368">
              <w:rPr>
                <w:i/>
                <w:iCs/>
                <w:sz w:val="14"/>
                <w:szCs w:val="14"/>
              </w:rPr>
              <w:t>Feminino</w:t>
            </w:r>
          </w:p>
        </w:tc>
        <w:tc>
          <w:tcPr>
            <w:tcW w:w="460" w:type="dxa"/>
            <w:tcBorders>
              <w:right w:val="single" w:sz="8" w:space="0" w:color="auto"/>
            </w:tcBorders>
            <w:textDirection w:val="tbRl"/>
            <w:vAlign w:val="bottom"/>
          </w:tcPr>
          <w:p w:rsidR="00D24E61" w:rsidRPr="00771368" w:rsidRDefault="00D24E61">
            <w:pPr>
              <w:ind w:left="141"/>
              <w:jc w:val="right"/>
              <w:rPr>
                <w:sz w:val="20"/>
                <w:szCs w:val="20"/>
              </w:rPr>
            </w:pPr>
            <w:r w:rsidRPr="00771368">
              <w:rPr>
                <w:i/>
                <w:iCs/>
                <w:sz w:val="14"/>
                <w:szCs w:val="14"/>
              </w:rPr>
              <w:t>Masculino</w:t>
            </w:r>
          </w:p>
        </w:tc>
        <w:tc>
          <w:tcPr>
            <w:tcW w:w="460" w:type="dxa"/>
            <w:tcBorders>
              <w:right w:val="single" w:sz="8" w:space="0" w:color="auto"/>
            </w:tcBorders>
            <w:textDirection w:val="tbRl"/>
            <w:vAlign w:val="bottom"/>
          </w:tcPr>
          <w:p w:rsidR="00D24E61" w:rsidRPr="00771368" w:rsidRDefault="00D24E61">
            <w:pPr>
              <w:ind w:left="138"/>
              <w:jc w:val="right"/>
              <w:rPr>
                <w:sz w:val="20"/>
                <w:szCs w:val="20"/>
              </w:rPr>
            </w:pPr>
            <w:r w:rsidRPr="00771368">
              <w:rPr>
                <w:i/>
                <w:iCs/>
                <w:sz w:val="14"/>
                <w:szCs w:val="14"/>
              </w:rPr>
              <w:t>anos16deMenos</w:t>
            </w:r>
          </w:p>
        </w:tc>
        <w:tc>
          <w:tcPr>
            <w:tcW w:w="460" w:type="dxa"/>
            <w:tcBorders>
              <w:right w:val="single" w:sz="8" w:space="0" w:color="auto"/>
            </w:tcBorders>
            <w:textDirection w:val="tbRl"/>
            <w:vAlign w:val="bottom"/>
          </w:tcPr>
          <w:p w:rsidR="00D24E61" w:rsidRPr="00771368" w:rsidRDefault="00D24E61">
            <w:pPr>
              <w:ind w:left="138"/>
              <w:jc w:val="right"/>
              <w:rPr>
                <w:sz w:val="20"/>
                <w:szCs w:val="20"/>
              </w:rPr>
            </w:pPr>
            <w:r w:rsidRPr="00771368">
              <w:rPr>
                <w:i/>
                <w:iCs/>
                <w:sz w:val="14"/>
                <w:szCs w:val="14"/>
              </w:rPr>
              <w:t>anos17a16</w:t>
            </w:r>
          </w:p>
        </w:tc>
        <w:tc>
          <w:tcPr>
            <w:tcW w:w="440" w:type="dxa"/>
            <w:tcBorders>
              <w:right w:val="single" w:sz="8" w:space="0" w:color="auto"/>
            </w:tcBorders>
            <w:textDirection w:val="tbRl"/>
            <w:vAlign w:val="bottom"/>
          </w:tcPr>
          <w:p w:rsidR="00D24E61" w:rsidRPr="00771368" w:rsidRDefault="00D24E61">
            <w:pPr>
              <w:ind w:left="125"/>
              <w:jc w:val="right"/>
              <w:rPr>
                <w:sz w:val="20"/>
                <w:szCs w:val="20"/>
              </w:rPr>
            </w:pPr>
            <w:r w:rsidRPr="00771368">
              <w:rPr>
                <w:i/>
                <w:iCs/>
                <w:sz w:val="14"/>
                <w:szCs w:val="14"/>
              </w:rPr>
              <w:t>anos17queMaior</w:t>
            </w:r>
          </w:p>
        </w:tc>
        <w:tc>
          <w:tcPr>
            <w:tcW w:w="460" w:type="dxa"/>
            <w:tcBorders>
              <w:right w:val="single" w:sz="8" w:space="0" w:color="auto"/>
            </w:tcBorders>
            <w:textDirection w:val="tbRl"/>
            <w:vAlign w:val="bottom"/>
          </w:tcPr>
          <w:p w:rsidR="00D24E61" w:rsidRPr="00771368" w:rsidRDefault="00D24E61">
            <w:pPr>
              <w:ind w:left="146"/>
              <w:jc w:val="right"/>
              <w:rPr>
                <w:sz w:val="20"/>
                <w:szCs w:val="20"/>
              </w:rPr>
            </w:pPr>
            <w:r w:rsidRPr="00771368">
              <w:rPr>
                <w:i/>
                <w:iCs/>
                <w:sz w:val="14"/>
                <w:szCs w:val="14"/>
              </w:rPr>
              <w:t>mãedaidadeEscola</w:t>
            </w:r>
          </w:p>
        </w:tc>
        <w:tc>
          <w:tcPr>
            <w:tcW w:w="460" w:type="dxa"/>
            <w:tcBorders>
              <w:right w:val="single" w:sz="8" w:space="0" w:color="auto"/>
            </w:tcBorders>
            <w:textDirection w:val="tbRl"/>
            <w:vAlign w:val="bottom"/>
          </w:tcPr>
          <w:p w:rsidR="00D24E61" w:rsidRPr="00771368" w:rsidRDefault="00D24E61">
            <w:pPr>
              <w:ind w:left="132"/>
              <w:jc w:val="right"/>
              <w:rPr>
                <w:sz w:val="20"/>
                <w:szCs w:val="20"/>
              </w:rPr>
            </w:pPr>
            <w:r w:rsidRPr="00771368">
              <w:rPr>
                <w:i/>
                <w:iCs/>
                <w:sz w:val="14"/>
                <w:szCs w:val="14"/>
              </w:rPr>
              <w:t>Analfabeta</w:t>
            </w:r>
          </w:p>
        </w:tc>
        <w:tc>
          <w:tcPr>
            <w:tcW w:w="440" w:type="dxa"/>
            <w:tcBorders>
              <w:right w:val="single" w:sz="8" w:space="0" w:color="auto"/>
            </w:tcBorders>
            <w:textDirection w:val="tbRl"/>
            <w:vAlign w:val="bottom"/>
          </w:tcPr>
          <w:p w:rsidR="00D24E61" w:rsidRPr="00771368" w:rsidRDefault="00D24E61">
            <w:pPr>
              <w:ind w:left="134"/>
              <w:jc w:val="right"/>
              <w:rPr>
                <w:sz w:val="20"/>
                <w:szCs w:val="20"/>
              </w:rPr>
            </w:pPr>
            <w:r w:rsidRPr="00771368">
              <w:rPr>
                <w:i/>
                <w:iCs/>
                <w:sz w:val="14"/>
                <w:szCs w:val="14"/>
              </w:rPr>
              <w:t>FundamentalEnsino</w:t>
            </w:r>
          </w:p>
        </w:tc>
        <w:tc>
          <w:tcPr>
            <w:tcW w:w="460" w:type="dxa"/>
            <w:tcBorders>
              <w:right w:val="single" w:sz="8" w:space="0" w:color="auto"/>
            </w:tcBorders>
            <w:textDirection w:val="tbRl"/>
            <w:vAlign w:val="bottom"/>
          </w:tcPr>
          <w:p w:rsidR="00D24E61" w:rsidRPr="00771368" w:rsidRDefault="00D24E61">
            <w:pPr>
              <w:ind w:left="145"/>
              <w:jc w:val="right"/>
              <w:rPr>
                <w:sz w:val="20"/>
                <w:szCs w:val="20"/>
              </w:rPr>
            </w:pPr>
            <w:r w:rsidRPr="00771368">
              <w:rPr>
                <w:i/>
                <w:iCs/>
                <w:sz w:val="14"/>
                <w:szCs w:val="14"/>
              </w:rPr>
              <w:t>MédioEnsino</w:t>
            </w:r>
          </w:p>
        </w:tc>
        <w:tc>
          <w:tcPr>
            <w:tcW w:w="460" w:type="dxa"/>
            <w:tcBorders>
              <w:right w:val="single" w:sz="8" w:space="0" w:color="auto"/>
            </w:tcBorders>
            <w:textDirection w:val="tbRl"/>
            <w:vAlign w:val="bottom"/>
          </w:tcPr>
          <w:p w:rsidR="00D24E61" w:rsidRPr="00771368" w:rsidRDefault="00D24E61">
            <w:pPr>
              <w:ind w:right="56"/>
              <w:jc w:val="right"/>
              <w:rPr>
                <w:sz w:val="20"/>
                <w:szCs w:val="20"/>
              </w:rPr>
            </w:pPr>
            <w:r w:rsidRPr="00771368">
              <w:rPr>
                <w:i/>
                <w:iCs/>
                <w:w w:val="71"/>
                <w:sz w:val="13"/>
                <w:szCs w:val="13"/>
              </w:rPr>
              <w:t>Graduação  Pós/SuperiorEnsino</w:t>
            </w:r>
          </w:p>
        </w:tc>
        <w:tc>
          <w:tcPr>
            <w:tcW w:w="460" w:type="dxa"/>
            <w:tcBorders>
              <w:right w:val="single" w:sz="8" w:space="0" w:color="auto"/>
            </w:tcBorders>
            <w:textDirection w:val="tbRl"/>
            <w:vAlign w:val="bottom"/>
          </w:tcPr>
          <w:p w:rsidR="00D24E61" w:rsidRPr="00771368" w:rsidRDefault="00D24E61">
            <w:pPr>
              <w:spacing w:line="191" w:lineRule="auto"/>
              <w:ind w:left="137"/>
              <w:jc w:val="right"/>
              <w:rPr>
                <w:sz w:val="20"/>
                <w:szCs w:val="20"/>
              </w:rPr>
            </w:pPr>
            <w:r w:rsidRPr="00771368">
              <w:rPr>
                <w:i/>
                <w:iCs/>
                <w:sz w:val="14"/>
                <w:szCs w:val="14"/>
              </w:rPr>
              <w:t>paidoidadeEscola</w:t>
            </w:r>
          </w:p>
        </w:tc>
        <w:tc>
          <w:tcPr>
            <w:tcW w:w="440" w:type="dxa"/>
            <w:tcBorders>
              <w:right w:val="single" w:sz="8" w:space="0" w:color="auto"/>
            </w:tcBorders>
            <w:textDirection w:val="tbRl"/>
            <w:vAlign w:val="bottom"/>
          </w:tcPr>
          <w:p w:rsidR="00D24E61" w:rsidRPr="00771368" w:rsidRDefault="00D24E61">
            <w:pPr>
              <w:spacing w:line="191" w:lineRule="auto"/>
              <w:ind w:left="124"/>
              <w:jc w:val="right"/>
              <w:rPr>
                <w:sz w:val="20"/>
                <w:szCs w:val="20"/>
              </w:rPr>
            </w:pPr>
            <w:r w:rsidRPr="00771368">
              <w:rPr>
                <w:i/>
                <w:iCs/>
                <w:sz w:val="14"/>
                <w:szCs w:val="14"/>
              </w:rPr>
              <w:t>Analfabeto</w:t>
            </w:r>
          </w:p>
        </w:tc>
        <w:tc>
          <w:tcPr>
            <w:tcW w:w="460" w:type="dxa"/>
            <w:tcBorders>
              <w:right w:val="single" w:sz="8" w:space="0" w:color="auto"/>
            </w:tcBorders>
            <w:textDirection w:val="tbRl"/>
            <w:vAlign w:val="bottom"/>
          </w:tcPr>
          <w:p w:rsidR="00D24E61" w:rsidRPr="00771368" w:rsidRDefault="00D24E61">
            <w:pPr>
              <w:spacing w:line="191" w:lineRule="auto"/>
              <w:ind w:left="145"/>
              <w:jc w:val="right"/>
              <w:rPr>
                <w:sz w:val="20"/>
                <w:szCs w:val="20"/>
              </w:rPr>
            </w:pPr>
            <w:r w:rsidRPr="00771368">
              <w:rPr>
                <w:i/>
                <w:iCs/>
                <w:sz w:val="14"/>
                <w:szCs w:val="14"/>
              </w:rPr>
              <w:t>FundamentalEnsino</w:t>
            </w:r>
          </w:p>
        </w:tc>
        <w:tc>
          <w:tcPr>
            <w:tcW w:w="460" w:type="dxa"/>
            <w:tcBorders>
              <w:right w:val="single" w:sz="8" w:space="0" w:color="auto"/>
            </w:tcBorders>
            <w:textDirection w:val="tbRl"/>
            <w:vAlign w:val="bottom"/>
          </w:tcPr>
          <w:p w:rsidR="00D24E61" w:rsidRPr="00771368" w:rsidRDefault="00D24E61">
            <w:pPr>
              <w:spacing w:line="191" w:lineRule="auto"/>
              <w:ind w:left="175"/>
              <w:jc w:val="right"/>
              <w:rPr>
                <w:sz w:val="20"/>
                <w:szCs w:val="20"/>
              </w:rPr>
            </w:pPr>
            <w:r w:rsidRPr="00771368">
              <w:rPr>
                <w:i/>
                <w:iCs/>
                <w:sz w:val="14"/>
                <w:szCs w:val="14"/>
              </w:rPr>
              <w:t>MédioEnsino</w:t>
            </w:r>
          </w:p>
        </w:tc>
        <w:tc>
          <w:tcPr>
            <w:tcW w:w="440" w:type="dxa"/>
            <w:tcBorders>
              <w:right w:val="single" w:sz="8" w:space="0" w:color="auto"/>
            </w:tcBorders>
            <w:textDirection w:val="tbRl"/>
            <w:vAlign w:val="bottom"/>
          </w:tcPr>
          <w:p w:rsidR="00D24E61" w:rsidRPr="00771368" w:rsidRDefault="00D24E61">
            <w:pPr>
              <w:ind w:right="44"/>
              <w:jc w:val="right"/>
              <w:rPr>
                <w:sz w:val="20"/>
                <w:szCs w:val="20"/>
              </w:rPr>
            </w:pPr>
            <w:r w:rsidRPr="00771368">
              <w:rPr>
                <w:i/>
                <w:iCs/>
                <w:w w:val="74"/>
                <w:sz w:val="13"/>
                <w:szCs w:val="13"/>
              </w:rPr>
              <w:t>Graduado  Pós/SuperiorEnsino</w:t>
            </w:r>
          </w:p>
        </w:tc>
        <w:tc>
          <w:tcPr>
            <w:tcW w:w="0" w:type="dxa"/>
            <w:vAlign w:val="bottom"/>
          </w:tcPr>
          <w:p w:rsidR="00D24E61" w:rsidRPr="00771368" w:rsidRDefault="00D24E61">
            <w:pPr>
              <w:rPr>
                <w:sz w:val="1"/>
                <w:szCs w:val="1"/>
              </w:rPr>
            </w:pPr>
          </w:p>
        </w:tc>
      </w:tr>
      <w:tr w:rsidR="00D24E61" w:rsidRPr="00771368">
        <w:trPr>
          <w:trHeight w:val="47"/>
        </w:trPr>
        <w:tc>
          <w:tcPr>
            <w:tcW w:w="120" w:type="dxa"/>
            <w:vAlign w:val="bottom"/>
          </w:tcPr>
          <w:p w:rsidR="00D24E61" w:rsidRPr="00771368" w:rsidRDefault="00D24E61">
            <w:pPr>
              <w:rPr>
                <w:sz w:val="4"/>
                <w:szCs w:val="4"/>
              </w:rPr>
            </w:pPr>
          </w:p>
        </w:tc>
        <w:tc>
          <w:tcPr>
            <w:tcW w:w="100" w:type="dxa"/>
            <w:vAlign w:val="bottom"/>
          </w:tcPr>
          <w:p w:rsidR="00D24E61" w:rsidRPr="00771368" w:rsidRDefault="00D24E61">
            <w:pPr>
              <w:rPr>
                <w:sz w:val="4"/>
                <w:szCs w:val="4"/>
              </w:rPr>
            </w:pPr>
          </w:p>
        </w:tc>
        <w:tc>
          <w:tcPr>
            <w:tcW w:w="680" w:type="dxa"/>
            <w:vAlign w:val="bottom"/>
          </w:tcPr>
          <w:p w:rsidR="00D24E61" w:rsidRPr="00771368" w:rsidRDefault="00D24E61">
            <w:pPr>
              <w:rPr>
                <w:sz w:val="4"/>
                <w:szCs w:val="4"/>
              </w:rPr>
            </w:pPr>
          </w:p>
        </w:tc>
        <w:tc>
          <w:tcPr>
            <w:tcW w:w="480" w:type="dxa"/>
            <w:tcBorders>
              <w:left w:val="single" w:sz="8" w:space="0" w:color="auto"/>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4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4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4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textDirection w:val="tbRl"/>
            <w:vAlign w:val="bottom"/>
          </w:tcPr>
          <w:p w:rsidR="00D24E61" w:rsidRPr="00771368" w:rsidRDefault="00D24E61">
            <w:pPr>
              <w:spacing w:line="191" w:lineRule="auto"/>
              <w:ind w:right="56"/>
              <w:jc w:val="right"/>
              <w:rPr>
                <w:sz w:val="20"/>
                <w:szCs w:val="20"/>
              </w:rPr>
            </w:pPr>
            <w:r w:rsidRPr="00771368">
              <w:rPr>
                <w:i/>
                <w:iCs/>
                <w:w w:val="84"/>
                <w:sz w:val="14"/>
                <w:szCs w:val="14"/>
              </w:rPr>
              <w:t>-</w:t>
            </w:r>
          </w:p>
        </w:tc>
        <w:tc>
          <w:tcPr>
            <w:tcW w:w="460" w:type="dxa"/>
            <w:tcBorders>
              <w:right w:val="single" w:sz="8" w:space="0" w:color="auto"/>
            </w:tcBorders>
            <w:vAlign w:val="bottom"/>
          </w:tcPr>
          <w:p w:rsidR="00D24E61" w:rsidRPr="00771368" w:rsidRDefault="00D24E61">
            <w:pPr>
              <w:rPr>
                <w:sz w:val="4"/>
                <w:szCs w:val="4"/>
              </w:rPr>
            </w:pPr>
          </w:p>
        </w:tc>
        <w:tc>
          <w:tcPr>
            <w:tcW w:w="44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60" w:type="dxa"/>
            <w:tcBorders>
              <w:right w:val="single" w:sz="8" w:space="0" w:color="auto"/>
            </w:tcBorders>
            <w:vAlign w:val="bottom"/>
          </w:tcPr>
          <w:p w:rsidR="00D24E61" w:rsidRPr="00771368" w:rsidRDefault="00D24E61">
            <w:pPr>
              <w:rPr>
                <w:sz w:val="4"/>
                <w:szCs w:val="4"/>
              </w:rPr>
            </w:pPr>
          </w:p>
        </w:tc>
        <w:tc>
          <w:tcPr>
            <w:tcW w:w="440" w:type="dxa"/>
            <w:tcBorders>
              <w:right w:val="single" w:sz="8" w:space="0" w:color="auto"/>
            </w:tcBorders>
            <w:textDirection w:val="tbRl"/>
            <w:vAlign w:val="bottom"/>
          </w:tcPr>
          <w:p w:rsidR="00D24E61" w:rsidRPr="00771368" w:rsidRDefault="00D24E61">
            <w:pPr>
              <w:spacing w:line="191" w:lineRule="auto"/>
              <w:ind w:right="44"/>
              <w:jc w:val="right"/>
              <w:rPr>
                <w:sz w:val="20"/>
                <w:szCs w:val="20"/>
              </w:rPr>
            </w:pPr>
            <w:r w:rsidRPr="00771368">
              <w:rPr>
                <w:i/>
                <w:iCs/>
                <w:w w:val="84"/>
                <w:sz w:val="14"/>
                <w:szCs w:val="14"/>
              </w:rPr>
              <w:t>-</w:t>
            </w:r>
          </w:p>
        </w:tc>
        <w:tc>
          <w:tcPr>
            <w:tcW w:w="0" w:type="dxa"/>
            <w:vAlign w:val="bottom"/>
          </w:tcPr>
          <w:p w:rsidR="00D24E61" w:rsidRPr="00771368" w:rsidRDefault="00D24E61">
            <w:pPr>
              <w:rPr>
                <w:sz w:val="1"/>
                <w:szCs w:val="1"/>
              </w:rPr>
            </w:pPr>
          </w:p>
        </w:tc>
      </w:tr>
      <w:tr w:rsidR="00D24E61" w:rsidRPr="00771368">
        <w:trPr>
          <w:trHeight w:val="170"/>
        </w:trPr>
        <w:tc>
          <w:tcPr>
            <w:tcW w:w="120" w:type="dxa"/>
            <w:tcBorders>
              <w:bottom w:val="single" w:sz="8" w:space="0" w:color="auto"/>
            </w:tcBorders>
            <w:vAlign w:val="bottom"/>
          </w:tcPr>
          <w:p w:rsidR="00D24E61" w:rsidRPr="00771368" w:rsidRDefault="00D24E61">
            <w:pPr>
              <w:rPr>
                <w:sz w:val="14"/>
                <w:szCs w:val="14"/>
              </w:rPr>
            </w:pPr>
          </w:p>
        </w:tc>
        <w:tc>
          <w:tcPr>
            <w:tcW w:w="100" w:type="dxa"/>
            <w:tcBorders>
              <w:bottom w:val="single" w:sz="8" w:space="0" w:color="auto"/>
            </w:tcBorders>
            <w:vAlign w:val="bottom"/>
          </w:tcPr>
          <w:p w:rsidR="00D24E61" w:rsidRPr="00771368" w:rsidRDefault="00D24E61">
            <w:pPr>
              <w:rPr>
                <w:sz w:val="14"/>
                <w:szCs w:val="14"/>
              </w:rPr>
            </w:pPr>
          </w:p>
        </w:tc>
        <w:tc>
          <w:tcPr>
            <w:tcW w:w="680" w:type="dxa"/>
            <w:tcBorders>
              <w:bottom w:val="single" w:sz="8" w:space="0" w:color="auto"/>
            </w:tcBorders>
            <w:vAlign w:val="bottom"/>
          </w:tcPr>
          <w:p w:rsidR="00D24E61" w:rsidRPr="00771368" w:rsidRDefault="00D24E61">
            <w:pPr>
              <w:rPr>
                <w:sz w:val="14"/>
                <w:szCs w:val="14"/>
              </w:rPr>
            </w:pPr>
          </w:p>
        </w:tc>
        <w:tc>
          <w:tcPr>
            <w:tcW w:w="480" w:type="dxa"/>
            <w:tcBorders>
              <w:left w:val="single" w:sz="8" w:space="0" w:color="auto"/>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4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4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4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4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60" w:type="dxa"/>
            <w:tcBorders>
              <w:bottom w:val="single" w:sz="8" w:space="0" w:color="auto"/>
              <w:right w:val="single" w:sz="8" w:space="0" w:color="auto"/>
            </w:tcBorders>
            <w:vAlign w:val="bottom"/>
          </w:tcPr>
          <w:p w:rsidR="00D24E61" w:rsidRPr="00771368" w:rsidRDefault="00D24E61">
            <w:pPr>
              <w:rPr>
                <w:sz w:val="14"/>
                <w:szCs w:val="14"/>
              </w:rPr>
            </w:pPr>
          </w:p>
        </w:tc>
        <w:tc>
          <w:tcPr>
            <w:tcW w:w="440" w:type="dxa"/>
            <w:tcBorders>
              <w:bottom w:val="single" w:sz="8" w:space="0" w:color="auto"/>
              <w:right w:val="single" w:sz="8" w:space="0" w:color="auto"/>
            </w:tcBorders>
            <w:vAlign w:val="bottom"/>
          </w:tcPr>
          <w:p w:rsidR="00D24E61" w:rsidRPr="00771368" w:rsidRDefault="00D24E61">
            <w:pPr>
              <w:rPr>
                <w:sz w:val="14"/>
                <w:szCs w:val="14"/>
              </w:rPr>
            </w:pPr>
          </w:p>
        </w:tc>
        <w:tc>
          <w:tcPr>
            <w:tcW w:w="0" w:type="dxa"/>
            <w:vAlign w:val="bottom"/>
          </w:tcPr>
          <w:p w:rsidR="00D24E61" w:rsidRPr="00771368" w:rsidRDefault="00D24E61">
            <w:pPr>
              <w:rPr>
                <w:sz w:val="1"/>
                <w:szCs w:val="1"/>
              </w:rPr>
            </w:pPr>
          </w:p>
        </w:tc>
      </w:tr>
      <w:tr w:rsidR="00D24E61" w:rsidRPr="00771368">
        <w:trPr>
          <w:trHeight w:val="133"/>
        </w:trPr>
        <w:tc>
          <w:tcPr>
            <w:tcW w:w="120" w:type="dxa"/>
            <w:tcBorders>
              <w:left w:val="single" w:sz="8" w:space="0" w:color="auto"/>
            </w:tcBorders>
            <w:vAlign w:val="bottom"/>
          </w:tcPr>
          <w:p w:rsidR="00D24E61" w:rsidRPr="00771368" w:rsidRDefault="00D24E61">
            <w:pPr>
              <w:rPr>
                <w:sz w:val="11"/>
                <w:szCs w:val="11"/>
              </w:rPr>
            </w:pPr>
          </w:p>
        </w:tc>
        <w:tc>
          <w:tcPr>
            <w:tcW w:w="100" w:type="dxa"/>
            <w:tcBorders>
              <w:bottom w:val="single" w:sz="8" w:space="0" w:color="0070C0"/>
            </w:tcBorders>
            <w:vAlign w:val="bottom"/>
          </w:tcPr>
          <w:p w:rsidR="00D24E61" w:rsidRPr="00771368" w:rsidRDefault="00D24E61">
            <w:pPr>
              <w:rPr>
                <w:sz w:val="11"/>
                <w:szCs w:val="11"/>
              </w:rPr>
            </w:pPr>
          </w:p>
        </w:tc>
        <w:tc>
          <w:tcPr>
            <w:tcW w:w="680" w:type="dxa"/>
            <w:vAlign w:val="bottom"/>
          </w:tcPr>
          <w:p w:rsidR="00D24E61" w:rsidRPr="00771368" w:rsidRDefault="00D24E61">
            <w:pPr>
              <w:spacing w:line="96" w:lineRule="exact"/>
              <w:ind w:right="136"/>
              <w:jc w:val="center"/>
              <w:rPr>
                <w:sz w:val="20"/>
                <w:szCs w:val="20"/>
              </w:rPr>
            </w:pPr>
            <w:r w:rsidRPr="00771368">
              <w:rPr>
                <w:w w:val="99"/>
                <w:sz w:val="10"/>
                <w:szCs w:val="10"/>
              </w:rPr>
              <w:t>Variáveis</w:t>
            </w:r>
          </w:p>
        </w:tc>
        <w:tc>
          <w:tcPr>
            <w:tcW w:w="480" w:type="dxa"/>
            <w:tcBorders>
              <w:left w:val="single" w:sz="8" w:space="0" w:color="auto"/>
              <w:right w:val="single" w:sz="8" w:space="0" w:color="auto"/>
            </w:tcBorders>
            <w:vAlign w:val="bottom"/>
          </w:tcPr>
          <w:p w:rsidR="00D24E61" w:rsidRPr="00771368" w:rsidRDefault="00D24E61">
            <w:pPr>
              <w:ind w:right="123"/>
              <w:jc w:val="right"/>
              <w:rPr>
                <w:sz w:val="20"/>
                <w:szCs w:val="20"/>
              </w:rPr>
            </w:pPr>
            <w:r w:rsidRPr="00771368">
              <w:rPr>
                <w:sz w:val="10"/>
                <w:szCs w:val="10"/>
              </w:rPr>
              <w:t>86</w:t>
            </w:r>
          </w:p>
        </w:tc>
        <w:tc>
          <w:tcPr>
            <w:tcW w:w="460" w:type="dxa"/>
            <w:tcBorders>
              <w:right w:val="single" w:sz="8" w:space="0" w:color="auto"/>
            </w:tcBorders>
            <w:vAlign w:val="bottom"/>
          </w:tcPr>
          <w:p w:rsidR="00D24E61" w:rsidRPr="00771368" w:rsidRDefault="00D24E61">
            <w:pPr>
              <w:ind w:right="123"/>
              <w:jc w:val="right"/>
              <w:rPr>
                <w:sz w:val="20"/>
                <w:szCs w:val="20"/>
              </w:rPr>
            </w:pPr>
            <w:r w:rsidRPr="00771368">
              <w:rPr>
                <w:sz w:val="10"/>
                <w:szCs w:val="10"/>
              </w:rPr>
              <w:t>96</w:t>
            </w:r>
          </w:p>
        </w:tc>
        <w:tc>
          <w:tcPr>
            <w:tcW w:w="460" w:type="dxa"/>
            <w:tcBorders>
              <w:right w:val="single" w:sz="8" w:space="0" w:color="auto"/>
            </w:tcBorders>
            <w:vAlign w:val="bottom"/>
          </w:tcPr>
          <w:p w:rsidR="00D24E61" w:rsidRPr="00771368" w:rsidRDefault="00D24E61">
            <w:pPr>
              <w:ind w:right="143"/>
              <w:jc w:val="right"/>
              <w:rPr>
                <w:sz w:val="20"/>
                <w:szCs w:val="20"/>
              </w:rPr>
            </w:pPr>
            <w:r w:rsidRPr="00771368">
              <w:rPr>
                <w:sz w:val="10"/>
                <w:szCs w:val="10"/>
              </w:rPr>
              <w:t>52</w:t>
            </w:r>
          </w:p>
        </w:tc>
        <w:tc>
          <w:tcPr>
            <w:tcW w:w="440" w:type="dxa"/>
            <w:tcBorders>
              <w:right w:val="single" w:sz="8" w:space="0" w:color="auto"/>
            </w:tcBorders>
            <w:vAlign w:val="bottom"/>
          </w:tcPr>
          <w:p w:rsidR="00D24E61" w:rsidRPr="00771368" w:rsidRDefault="00D24E61">
            <w:pPr>
              <w:ind w:right="103"/>
              <w:jc w:val="right"/>
              <w:rPr>
                <w:sz w:val="20"/>
                <w:szCs w:val="20"/>
              </w:rPr>
            </w:pPr>
            <w:r w:rsidRPr="00771368">
              <w:rPr>
                <w:sz w:val="10"/>
                <w:szCs w:val="10"/>
              </w:rPr>
              <w:t>124</w:t>
            </w:r>
          </w:p>
        </w:tc>
        <w:tc>
          <w:tcPr>
            <w:tcW w:w="460" w:type="dxa"/>
            <w:tcBorders>
              <w:right w:val="single" w:sz="8" w:space="0" w:color="auto"/>
            </w:tcBorders>
            <w:vAlign w:val="bottom"/>
          </w:tcPr>
          <w:p w:rsidR="00D24E61" w:rsidRPr="00771368" w:rsidRDefault="00D24E61">
            <w:pPr>
              <w:ind w:right="103"/>
              <w:jc w:val="right"/>
              <w:rPr>
                <w:sz w:val="20"/>
                <w:szCs w:val="20"/>
              </w:rPr>
            </w:pPr>
            <w:r w:rsidRPr="00771368">
              <w:rPr>
                <w:sz w:val="10"/>
                <w:szCs w:val="10"/>
              </w:rPr>
              <w:t>110</w:t>
            </w:r>
          </w:p>
        </w:tc>
        <w:tc>
          <w:tcPr>
            <w:tcW w:w="460" w:type="dxa"/>
            <w:tcBorders>
              <w:right w:val="single" w:sz="8" w:space="0" w:color="auto"/>
            </w:tcBorders>
            <w:vAlign w:val="bottom"/>
          </w:tcPr>
          <w:p w:rsidR="00D24E61" w:rsidRPr="00771368" w:rsidRDefault="00D24E61">
            <w:pPr>
              <w:ind w:right="143"/>
              <w:jc w:val="right"/>
              <w:rPr>
                <w:sz w:val="20"/>
                <w:szCs w:val="20"/>
              </w:rPr>
            </w:pPr>
            <w:r w:rsidRPr="00771368">
              <w:rPr>
                <w:sz w:val="10"/>
                <w:szCs w:val="10"/>
              </w:rPr>
              <w:t>75</w:t>
            </w:r>
          </w:p>
        </w:tc>
        <w:tc>
          <w:tcPr>
            <w:tcW w:w="460" w:type="dxa"/>
            <w:tcBorders>
              <w:right w:val="single" w:sz="8" w:space="0" w:color="auto"/>
            </w:tcBorders>
            <w:vAlign w:val="bottom"/>
          </w:tcPr>
          <w:p w:rsidR="00D24E61" w:rsidRPr="00771368" w:rsidRDefault="00D24E61">
            <w:pPr>
              <w:ind w:right="123"/>
              <w:jc w:val="right"/>
              <w:rPr>
                <w:sz w:val="20"/>
                <w:szCs w:val="20"/>
              </w:rPr>
            </w:pPr>
            <w:r w:rsidRPr="00771368">
              <w:rPr>
                <w:sz w:val="10"/>
                <w:szCs w:val="10"/>
              </w:rPr>
              <w:t>140</w:t>
            </w:r>
          </w:p>
        </w:tc>
        <w:tc>
          <w:tcPr>
            <w:tcW w:w="440" w:type="dxa"/>
            <w:tcBorders>
              <w:right w:val="single" w:sz="8" w:space="0" w:color="auto"/>
            </w:tcBorders>
            <w:vAlign w:val="bottom"/>
          </w:tcPr>
          <w:p w:rsidR="00D24E61" w:rsidRPr="00771368" w:rsidRDefault="00D24E61">
            <w:pPr>
              <w:ind w:right="123"/>
              <w:jc w:val="right"/>
              <w:rPr>
                <w:sz w:val="20"/>
                <w:szCs w:val="20"/>
              </w:rPr>
            </w:pPr>
            <w:r w:rsidRPr="00771368">
              <w:rPr>
                <w:sz w:val="10"/>
                <w:szCs w:val="10"/>
              </w:rPr>
              <w:t>19</w:t>
            </w:r>
          </w:p>
        </w:tc>
        <w:tc>
          <w:tcPr>
            <w:tcW w:w="460" w:type="dxa"/>
            <w:tcBorders>
              <w:right w:val="single" w:sz="8" w:space="0" w:color="auto"/>
            </w:tcBorders>
            <w:vAlign w:val="bottom"/>
          </w:tcPr>
          <w:p w:rsidR="00D24E61" w:rsidRPr="00771368" w:rsidRDefault="00D24E61">
            <w:pPr>
              <w:rPr>
                <w:sz w:val="11"/>
                <w:szCs w:val="11"/>
              </w:rPr>
            </w:pPr>
          </w:p>
        </w:tc>
        <w:tc>
          <w:tcPr>
            <w:tcW w:w="460" w:type="dxa"/>
            <w:tcBorders>
              <w:right w:val="single" w:sz="8" w:space="0" w:color="auto"/>
            </w:tcBorders>
            <w:vAlign w:val="bottom"/>
          </w:tcPr>
          <w:p w:rsidR="00D24E61" w:rsidRPr="00771368" w:rsidRDefault="00D24E61">
            <w:pPr>
              <w:ind w:right="163"/>
              <w:jc w:val="right"/>
              <w:rPr>
                <w:sz w:val="20"/>
                <w:szCs w:val="20"/>
              </w:rPr>
            </w:pPr>
            <w:r w:rsidRPr="00771368">
              <w:rPr>
                <w:sz w:val="10"/>
                <w:szCs w:val="10"/>
              </w:rPr>
              <w:t>5</w:t>
            </w:r>
          </w:p>
        </w:tc>
        <w:tc>
          <w:tcPr>
            <w:tcW w:w="440" w:type="dxa"/>
            <w:tcBorders>
              <w:right w:val="single" w:sz="8" w:space="0" w:color="auto"/>
            </w:tcBorders>
            <w:vAlign w:val="bottom"/>
          </w:tcPr>
          <w:p w:rsidR="00D24E61" w:rsidRPr="00771368" w:rsidRDefault="00D24E61">
            <w:pPr>
              <w:ind w:right="123"/>
              <w:jc w:val="right"/>
              <w:rPr>
                <w:sz w:val="20"/>
                <w:szCs w:val="20"/>
              </w:rPr>
            </w:pPr>
            <w:r w:rsidRPr="00771368">
              <w:rPr>
                <w:sz w:val="10"/>
                <w:szCs w:val="10"/>
              </w:rPr>
              <w:t>92</w:t>
            </w:r>
          </w:p>
        </w:tc>
        <w:tc>
          <w:tcPr>
            <w:tcW w:w="460" w:type="dxa"/>
            <w:tcBorders>
              <w:right w:val="single" w:sz="8" w:space="0" w:color="auto"/>
            </w:tcBorders>
            <w:vAlign w:val="bottom"/>
          </w:tcPr>
          <w:p w:rsidR="00D24E61" w:rsidRPr="00771368" w:rsidRDefault="00D24E61">
            <w:pPr>
              <w:ind w:right="123"/>
              <w:jc w:val="right"/>
              <w:rPr>
                <w:sz w:val="20"/>
                <w:szCs w:val="20"/>
              </w:rPr>
            </w:pPr>
            <w:r w:rsidRPr="00771368">
              <w:rPr>
                <w:sz w:val="10"/>
                <w:szCs w:val="10"/>
              </w:rPr>
              <w:t>83</w:t>
            </w:r>
          </w:p>
        </w:tc>
        <w:tc>
          <w:tcPr>
            <w:tcW w:w="460" w:type="dxa"/>
            <w:tcBorders>
              <w:right w:val="single" w:sz="8" w:space="0" w:color="auto"/>
            </w:tcBorders>
            <w:vAlign w:val="bottom"/>
          </w:tcPr>
          <w:p w:rsidR="00D24E61" w:rsidRPr="00771368" w:rsidRDefault="00D24E61">
            <w:pPr>
              <w:ind w:right="141"/>
              <w:jc w:val="right"/>
              <w:rPr>
                <w:sz w:val="20"/>
                <w:szCs w:val="20"/>
              </w:rPr>
            </w:pPr>
            <w:r w:rsidRPr="00771368">
              <w:rPr>
                <w:sz w:val="10"/>
                <w:szCs w:val="10"/>
              </w:rPr>
              <w:t>53</w:t>
            </w:r>
          </w:p>
        </w:tc>
        <w:tc>
          <w:tcPr>
            <w:tcW w:w="460" w:type="dxa"/>
            <w:tcBorders>
              <w:right w:val="single" w:sz="8" w:space="0" w:color="auto"/>
            </w:tcBorders>
            <w:vAlign w:val="bottom"/>
          </w:tcPr>
          <w:p w:rsidR="00D24E61" w:rsidRPr="00771368" w:rsidRDefault="00D24E61">
            <w:pPr>
              <w:rPr>
                <w:sz w:val="11"/>
                <w:szCs w:val="11"/>
              </w:rPr>
            </w:pPr>
          </w:p>
        </w:tc>
        <w:tc>
          <w:tcPr>
            <w:tcW w:w="440" w:type="dxa"/>
            <w:tcBorders>
              <w:right w:val="single" w:sz="8" w:space="0" w:color="auto"/>
            </w:tcBorders>
            <w:vAlign w:val="bottom"/>
          </w:tcPr>
          <w:p w:rsidR="00D24E61" w:rsidRPr="00771368" w:rsidRDefault="00D24E61">
            <w:pPr>
              <w:ind w:right="123"/>
              <w:jc w:val="right"/>
              <w:rPr>
                <w:sz w:val="20"/>
                <w:szCs w:val="20"/>
              </w:rPr>
            </w:pPr>
            <w:r w:rsidRPr="00771368">
              <w:rPr>
                <w:sz w:val="10"/>
                <w:szCs w:val="10"/>
              </w:rPr>
              <w:t>13</w:t>
            </w:r>
          </w:p>
        </w:tc>
        <w:tc>
          <w:tcPr>
            <w:tcW w:w="460" w:type="dxa"/>
            <w:tcBorders>
              <w:right w:val="single" w:sz="8" w:space="0" w:color="auto"/>
            </w:tcBorders>
            <w:vAlign w:val="bottom"/>
          </w:tcPr>
          <w:p w:rsidR="00D24E61" w:rsidRPr="00771368" w:rsidRDefault="00D24E61">
            <w:pPr>
              <w:ind w:right="103"/>
              <w:jc w:val="right"/>
              <w:rPr>
                <w:sz w:val="20"/>
                <w:szCs w:val="20"/>
              </w:rPr>
            </w:pPr>
            <w:r w:rsidRPr="00771368">
              <w:rPr>
                <w:sz w:val="10"/>
                <w:szCs w:val="10"/>
              </w:rPr>
              <w:t>132</w:t>
            </w:r>
          </w:p>
        </w:tc>
        <w:tc>
          <w:tcPr>
            <w:tcW w:w="460" w:type="dxa"/>
            <w:tcBorders>
              <w:right w:val="single" w:sz="8" w:space="0" w:color="auto"/>
            </w:tcBorders>
            <w:vAlign w:val="bottom"/>
          </w:tcPr>
          <w:p w:rsidR="00D24E61" w:rsidRPr="00771368" w:rsidRDefault="00D24E61">
            <w:pPr>
              <w:ind w:right="143"/>
              <w:jc w:val="right"/>
              <w:rPr>
                <w:sz w:val="20"/>
                <w:szCs w:val="20"/>
              </w:rPr>
            </w:pPr>
            <w:r w:rsidRPr="00771368">
              <w:rPr>
                <w:sz w:val="10"/>
                <w:szCs w:val="10"/>
              </w:rPr>
              <w:t>60</w:t>
            </w:r>
          </w:p>
        </w:tc>
        <w:tc>
          <w:tcPr>
            <w:tcW w:w="440" w:type="dxa"/>
            <w:tcBorders>
              <w:right w:val="single" w:sz="8" w:space="0" w:color="auto"/>
            </w:tcBorders>
            <w:vAlign w:val="bottom"/>
          </w:tcPr>
          <w:p w:rsidR="00D24E61" w:rsidRPr="00771368" w:rsidRDefault="00D24E61">
            <w:pPr>
              <w:ind w:right="121"/>
              <w:jc w:val="right"/>
              <w:rPr>
                <w:sz w:val="20"/>
                <w:szCs w:val="20"/>
              </w:rPr>
            </w:pPr>
            <w:r w:rsidRPr="00771368">
              <w:rPr>
                <w:sz w:val="10"/>
                <w:szCs w:val="10"/>
              </w:rPr>
              <w:t>14</w:t>
            </w:r>
          </w:p>
        </w:tc>
        <w:tc>
          <w:tcPr>
            <w:tcW w:w="0" w:type="dxa"/>
            <w:vAlign w:val="bottom"/>
          </w:tcPr>
          <w:p w:rsidR="00D24E61" w:rsidRPr="00771368" w:rsidRDefault="00D24E61">
            <w:pPr>
              <w:rPr>
                <w:sz w:val="1"/>
                <w:szCs w:val="1"/>
              </w:rPr>
            </w:pPr>
          </w:p>
        </w:tc>
      </w:tr>
      <w:tr w:rsidR="00D24E61" w:rsidRPr="00771368">
        <w:trPr>
          <w:trHeight w:val="58"/>
        </w:trPr>
        <w:tc>
          <w:tcPr>
            <w:tcW w:w="120" w:type="dxa"/>
            <w:tcBorders>
              <w:left w:val="single" w:sz="8" w:space="0" w:color="auto"/>
              <w:bottom w:val="single" w:sz="8" w:space="0" w:color="auto"/>
            </w:tcBorders>
            <w:vAlign w:val="bottom"/>
          </w:tcPr>
          <w:p w:rsidR="00D24E61" w:rsidRPr="00771368" w:rsidRDefault="00D24E61">
            <w:pPr>
              <w:rPr>
                <w:sz w:val="5"/>
                <w:szCs w:val="5"/>
              </w:rPr>
            </w:pPr>
          </w:p>
        </w:tc>
        <w:tc>
          <w:tcPr>
            <w:tcW w:w="100" w:type="dxa"/>
            <w:tcBorders>
              <w:bottom w:val="single" w:sz="8" w:space="0" w:color="auto"/>
            </w:tcBorders>
            <w:vAlign w:val="bottom"/>
          </w:tcPr>
          <w:p w:rsidR="00D24E61" w:rsidRPr="00771368" w:rsidRDefault="00D24E61">
            <w:pPr>
              <w:rPr>
                <w:sz w:val="5"/>
                <w:szCs w:val="5"/>
              </w:rPr>
            </w:pPr>
          </w:p>
        </w:tc>
        <w:tc>
          <w:tcPr>
            <w:tcW w:w="680" w:type="dxa"/>
            <w:tcBorders>
              <w:bottom w:val="single" w:sz="8" w:space="0" w:color="auto"/>
            </w:tcBorders>
            <w:vAlign w:val="bottom"/>
          </w:tcPr>
          <w:p w:rsidR="00D24E61" w:rsidRPr="00771368" w:rsidRDefault="00D24E61">
            <w:pPr>
              <w:spacing w:line="58" w:lineRule="exact"/>
              <w:ind w:right="156"/>
              <w:jc w:val="center"/>
              <w:rPr>
                <w:sz w:val="20"/>
                <w:szCs w:val="20"/>
              </w:rPr>
            </w:pPr>
            <w:r w:rsidRPr="00771368">
              <w:rPr>
                <w:sz w:val="6"/>
                <w:szCs w:val="6"/>
              </w:rPr>
              <w:t>Número</w:t>
            </w:r>
          </w:p>
        </w:tc>
        <w:tc>
          <w:tcPr>
            <w:tcW w:w="480" w:type="dxa"/>
            <w:tcBorders>
              <w:left w:val="single" w:sz="8" w:space="0" w:color="auto"/>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0" w:type="dxa"/>
            <w:vAlign w:val="bottom"/>
          </w:tcPr>
          <w:p w:rsidR="00D24E61" w:rsidRPr="00771368" w:rsidRDefault="00D24E61">
            <w:pPr>
              <w:rPr>
                <w:sz w:val="1"/>
                <w:szCs w:val="1"/>
              </w:rPr>
            </w:pPr>
          </w:p>
        </w:tc>
      </w:tr>
      <w:tr w:rsidR="00D24E61" w:rsidRPr="00771368">
        <w:trPr>
          <w:trHeight w:val="119"/>
        </w:trPr>
        <w:tc>
          <w:tcPr>
            <w:tcW w:w="120" w:type="dxa"/>
            <w:tcBorders>
              <w:left w:val="single" w:sz="8" w:space="0" w:color="auto"/>
            </w:tcBorders>
            <w:vAlign w:val="bottom"/>
          </w:tcPr>
          <w:p w:rsidR="00D24E61" w:rsidRPr="00771368" w:rsidRDefault="00D24E61">
            <w:pPr>
              <w:rPr>
                <w:sz w:val="10"/>
                <w:szCs w:val="10"/>
              </w:rPr>
            </w:pPr>
          </w:p>
        </w:tc>
        <w:tc>
          <w:tcPr>
            <w:tcW w:w="100" w:type="dxa"/>
            <w:tcBorders>
              <w:bottom w:val="single" w:sz="8" w:space="0" w:color="C00000"/>
            </w:tcBorders>
            <w:vAlign w:val="bottom"/>
          </w:tcPr>
          <w:p w:rsidR="00D24E61" w:rsidRPr="00771368" w:rsidRDefault="00D24E61">
            <w:pPr>
              <w:rPr>
                <w:sz w:val="10"/>
                <w:szCs w:val="10"/>
              </w:rPr>
            </w:pPr>
          </w:p>
        </w:tc>
        <w:tc>
          <w:tcPr>
            <w:tcW w:w="680" w:type="dxa"/>
            <w:vAlign w:val="bottom"/>
          </w:tcPr>
          <w:p w:rsidR="00D24E61" w:rsidRPr="00771368" w:rsidRDefault="00D24E61">
            <w:pPr>
              <w:spacing w:line="104" w:lineRule="exact"/>
              <w:ind w:right="136"/>
              <w:jc w:val="center"/>
              <w:rPr>
                <w:sz w:val="20"/>
                <w:szCs w:val="20"/>
              </w:rPr>
            </w:pPr>
            <w:r w:rsidRPr="00771368">
              <w:rPr>
                <w:w w:val="99"/>
                <w:sz w:val="10"/>
                <w:szCs w:val="10"/>
              </w:rPr>
              <w:t>Variáveis</w:t>
            </w:r>
          </w:p>
        </w:tc>
        <w:tc>
          <w:tcPr>
            <w:tcW w:w="480" w:type="dxa"/>
            <w:vMerge w:val="restart"/>
            <w:tcBorders>
              <w:left w:val="single" w:sz="8" w:space="0" w:color="auto"/>
              <w:right w:val="single" w:sz="8" w:space="0" w:color="auto"/>
            </w:tcBorders>
            <w:vAlign w:val="bottom"/>
          </w:tcPr>
          <w:p w:rsidR="00D24E61" w:rsidRPr="00771368" w:rsidRDefault="00D24E61">
            <w:pPr>
              <w:ind w:right="83"/>
              <w:jc w:val="right"/>
              <w:rPr>
                <w:sz w:val="20"/>
                <w:szCs w:val="20"/>
              </w:rPr>
            </w:pPr>
            <w:r w:rsidRPr="00771368">
              <w:rPr>
                <w:sz w:val="10"/>
                <w:szCs w:val="10"/>
              </w:rPr>
              <w:t>36,8</w:t>
            </w:r>
          </w:p>
        </w:tc>
        <w:tc>
          <w:tcPr>
            <w:tcW w:w="460" w:type="dxa"/>
            <w:vMerge w:val="restart"/>
            <w:tcBorders>
              <w:right w:val="single" w:sz="8" w:space="0" w:color="auto"/>
            </w:tcBorders>
            <w:vAlign w:val="bottom"/>
          </w:tcPr>
          <w:p w:rsidR="00D24E61" w:rsidRPr="00771368" w:rsidRDefault="00D24E61">
            <w:pPr>
              <w:ind w:right="123"/>
              <w:jc w:val="right"/>
              <w:rPr>
                <w:sz w:val="20"/>
                <w:szCs w:val="20"/>
              </w:rPr>
            </w:pPr>
            <w:r w:rsidRPr="00771368">
              <w:rPr>
                <w:sz w:val="10"/>
                <w:szCs w:val="10"/>
              </w:rPr>
              <w:t>41</w:t>
            </w:r>
          </w:p>
        </w:tc>
        <w:tc>
          <w:tcPr>
            <w:tcW w:w="460" w:type="dxa"/>
            <w:vMerge w:val="restart"/>
            <w:tcBorders>
              <w:right w:val="single" w:sz="8" w:space="0" w:color="auto"/>
            </w:tcBorders>
            <w:vAlign w:val="bottom"/>
          </w:tcPr>
          <w:p w:rsidR="00D24E61" w:rsidRPr="00771368" w:rsidRDefault="00D24E61">
            <w:pPr>
              <w:ind w:right="103"/>
              <w:jc w:val="right"/>
              <w:rPr>
                <w:sz w:val="20"/>
                <w:szCs w:val="20"/>
              </w:rPr>
            </w:pPr>
            <w:r w:rsidRPr="00771368">
              <w:rPr>
                <w:sz w:val="10"/>
                <w:szCs w:val="10"/>
              </w:rPr>
              <w:t>22,2</w:t>
            </w:r>
          </w:p>
        </w:tc>
        <w:tc>
          <w:tcPr>
            <w:tcW w:w="440" w:type="dxa"/>
            <w:vMerge w:val="restart"/>
            <w:tcBorders>
              <w:right w:val="single" w:sz="8" w:space="0" w:color="auto"/>
            </w:tcBorders>
            <w:vAlign w:val="bottom"/>
          </w:tcPr>
          <w:p w:rsidR="00D24E61" w:rsidRPr="00771368" w:rsidRDefault="00D24E61">
            <w:pPr>
              <w:ind w:right="123"/>
              <w:jc w:val="right"/>
              <w:rPr>
                <w:sz w:val="20"/>
                <w:szCs w:val="20"/>
              </w:rPr>
            </w:pPr>
            <w:r w:rsidRPr="00771368">
              <w:rPr>
                <w:sz w:val="10"/>
                <w:szCs w:val="10"/>
              </w:rPr>
              <w:t>53</w:t>
            </w:r>
          </w:p>
        </w:tc>
        <w:tc>
          <w:tcPr>
            <w:tcW w:w="460" w:type="dxa"/>
            <w:vMerge w:val="restart"/>
            <w:tcBorders>
              <w:right w:val="single" w:sz="8" w:space="0" w:color="auto"/>
            </w:tcBorders>
            <w:vAlign w:val="bottom"/>
          </w:tcPr>
          <w:p w:rsidR="00D24E61" w:rsidRPr="00771368" w:rsidRDefault="00D24E61">
            <w:pPr>
              <w:ind w:right="123"/>
              <w:jc w:val="right"/>
              <w:rPr>
                <w:sz w:val="20"/>
                <w:szCs w:val="20"/>
              </w:rPr>
            </w:pPr>
            <w:r w:rsidRPr="00771368">
              <w:rPr>
                <w:sz w:val="10"/>
                <w:szCs w:val="10"/>
              </w:rPr>
              <w:t>47</w:t>
            </w:r>
          </w:p>
        </w:tc>
        <w:tc>
          <w:tcPr>
            <w:tcW w:w="460" w:type="dxa"/>
            <w:vMerge w:val="restart"/>
            <w:tcBorders>
              <w:right w:val="single" w:sz="8" w:space="0" w:color="auto"/>
            </w:tcBorders>
            <w:vAlign w:val="bottom"/>
          </w:tcPr>
          <w:p w:rsidR="00D24E61" w:rsidRPr="00771368" w:rsidRDefault="00D24E61">
            <w:pPr>
              <w:ind w:right="103"/>
              <w:jc w:val="right"/>
              <w:rPr>
                <w:sz w:val="20"/>
                <w:szCs w:val="20"/>
              </w:rPr>
            </w:pPr>
            <w:r w:rsidRPr="00771368">
              <w:rPr>
                <w:sz w:val="10"/>
                <w:szCs w:val="10"/>
              </w:rPr>
              <w:t>32,1</w:t>
            </w:r>
          </w:p>
        </w:tc>
        <w:tc>
          <w:tcPr>
            <w:tcW w:w="460" w:type="dxa"/>
            <w:vMerge w:val="restart"/>
            <w:tcBorders>
              <w:right w:val="single" w:sz="8" w:space="0" w:color="auto"/>
            </w:tcBorders>
            <w:vAlign w:val="bottom"/>
          </w:tcPr>
          <w:p w:rsidR="00D24E61" w:rsidRPr="00771368" w:rsidRDefault="00D24E61">
            <w:pPr>
              <w:ind w:right="103"/>
              <w:jc w:val="right"/>
              <w:rPr>
                <w:sz w:val="20"/>
                <w:szCs w:val="20"/>
              </w:rPr>
            </w:pPr>
            <w:r w:rsidRPr="00771368">
              <w:rPr>
                <w:sz w:val="10"/>
                <w:szCs w:val="10"/>
              </w:rPr>
              <w:t>59,8</w:t>
            </w:r>
          </w:p>
        </w:tc>
        <w:tc>
          <w:tcPr>
            <w:tcW w:w="440" w:type="dxa"/>
            <w:vMerge w:val="restart"/>
            <w:tcBorders>
              <w:right w:val="single" w:sz="8" w:space="0" w:color="auto"/>
            </w:tcBorders>
            <w:vAlign w:val="bottom"/>
          </w:tcPr>
          <w:p w:rsidR="00D24E61" w:rsidRPr="00771368" w:rsidRDefault="00D24E61">
            <w:pPr>
              <w:ind w:right="103"/>
              <w:jc w:val="right"/>
              <w:rPr>
                <w:sz w:val="20"/>
                <w:szCs w:val="20"/>
              </w:rPr>
            </w:pPr>
            <w:r w:rsidRPr="00771368">
              <w:rPr>
                <w:sz w:val="10"/>
                <w:szCs w:val="10"/>
              </w:rPr>
              <w:t>8,1</w:t>
            </w:r>
          </w:p>
        </w:tc>
        <w:tc>
          <w:tcPr>
            <w:tcW w:w="460" w:type="dxa"/>
            <w:tcBorders>
              <w:right w:val="single" w:sz="8" w:space="0" w:color="auto"/>
            </w:tcBorders>
            <w:vAlign w:val="bottom"/>
          </w:tcPr>
          <w:p w:rsidR="00D24E61" w:rsidRPr="00771368" w:rsidRDefault="00D24E61">
            <w:pPr>
              <w:rPr>
                <w:sz w:val="10"/>
                <w:szCs w:val="10"/>
              </w:rPr>
            </w:pPr>
          </w:p>
        </w:tc>
        <w:tc>
          <w:tcPr>
            <w:tcW w:w="460" w:type="dxa"/>
            <w:vMerge w:val="restart"/>
            <w:tcBorders>
              <w:right w:val="single" w:sz="8" w:space="0" w:color="auto"/>
            </w:tcBorders>
            <w:vAlign w:val="bottom"/>
          </w:tcPr>
          <w:p w:rsidR="00D24E61" w:rsidRPr="00771368" w:rsidRDefault="00D24E61">
            <w:pPr>
              <w:ind w:right="123"/>
              <w:jc w:val="right"/>
              <w:rPr>
                <w:sz w:val="20"/>
                <w:szCs w:val="20"/>
              </w:rPr>
            </w:pPr>
            <w:r w:rsidRPr="00771368">
              <w:rPr>
                <w:sz w:val="10"/>
                <w:szCs w:val="10"/>
              </w:rPr>
              <w:t>2,1</w:t>
            </w:r>
          </w:p>
        </w:tc>
        <w:tc>
          <w:tcPr>
            <w:tcW w:w="440" w:type="dxa"/>
            <w:vMerge w:val="restart"/>
            <w:tcBorders>
              <w:right w:val="single" w:sz="8" w:space="0" w:color="auto"/>
            </w:tcBorders>
            <w:vAlign w:val="bottom"/>
          </w:tcPr>
          <w:p w:rsidR="00D24E61" w:rsidRPr="00771368" w:rsidRDefault="00D24E61">
            <w:pPr>
              <w:ind w:right="83"/>
              <w:jc w:val="right"/>
              <w:rPr>
                <w:sz w:val="20"/>
                <w:szCs w:val="20"/>
              </w:rPr>
            </w:pPr>
            <w:r w:rsidRPr="00771368">
              <w:rPr>
                <w:sz w:val="10"/>
                <w:szCs w:val="10"/>
              </w:rPr>
              <w:t>93,5</w:t>
            </w:r>
          </w:p>
        </w:tc>
        <w:tc>
          <w:tcPr>
            <w:tcW w:w="460" w:type="dxa"/>
            <w:vMerge w:val="restart"/>
            <w:tcBorders>
              <w:right w:val="single" w:sz="8" w:space="0" w:color="auto"/>
            </w:tcBorders>
            <w:vAlign w:val="bottom"/>
          </w:tcPr>
          <w:p w:rsidR="00D24E61" w:rsidRPr="00771368" w:rsidRDefault="00D24E61">
            <w:pPr>
              <w:ind w:right="83"/>
              <w:jc w:val="right"/>
              <w:rPr>
                <w:sz w:val="20"/>
                <w:szCs w:val="20"/>
              </w:rPr>
            </w:pPr>
            <w:r w:rsidRPr="00771368">
              <w:rPr>
                <w:sz w:val="10"/>
                <w:szCs w:val="10"/>
              </w:rPr>
              <w:t>35,6</w:t>
            </w:r>
          </w:p>
        </w:tc>
        <w:tc>
          <w:tcPr>
            <w:tcW w:w="460" w:type="dxa"/>
            <w:vMerge w:val="restart"/>
            <w:tcBorders>
              <w:right w:val="single" w:sz="8" w:space="0" w:color="auto"/>
            </w:tcBorders>
            <w:vAlign w:val="bottom"/>
          </w:tcPr>
          <w:p w:rsidR="00D24E61" w:rsidRPr="00771368" w:rsidRDefault="00D24E61">
            <w:pPr>
              <w:ind w:right="101"/>
              <w:jc w:val="right"/>
              <w:rPr>
                <w:sz w:val="20"/>
                <w:szCs w:val="20"/>
              </w:rPr>
            </w:pPr>
            <w:r w:rsidRPr="00771368">
              <w:rPr>
                <w:sz w:val="10"/>
                <w:szCs w:val="10"/>
              </w:rPr>
              <w:t>22,7</w:t>
            </w:r>
          </w:p>
        </w:tc>
        <w:tc>
          <w:tcPr>
            <w:tcW w:w="460" w:type="dxa"/>
            <w:tcBorders>
              <w:right w:val="single" w:sz="8" w:space="0" w:color="auto"/>
            </w:tcBorders>
            <w:vAlign w:val="bottom"/>
          </w:tcPr>
          <w:p w:rsidR="00D24E61" w:rsidRPr="00771368" w:rsidRDefault="00D24E61">
            <w:pPr>
              <w:rPr>
                <w:sz w:val="10"/>
                <w:szCs w:val="10"/>
              </w:rPr>
            </w:pPr>
          </w:p>
        </w:tc>
        <w:tc>
          <w:tcPr>
            <w:tcW w:w="440" w:type="dxa"/>
            <w:vMerge w:val="restart"/>
            <w:tcBorders>
              <w:right w:val="single" w:sz="8" w:space="0" w:color="auto"/>
            </w:tcBorders>
            <w:vAlign w:val="bottom"/>
          </w:tcPr>
          <w:p w:rsidR="00D24E61" w:rsidRPr="00771368" w:rsidRDefault="00D24E61">
            <w:pPr>
              <w:ind w:right="103"/>
              <w:jc w:val="right"/>
              <w:rPr>
                <w:sz w:val="20"/>
                <w:szCs w:val="20"/>
              </w:rPr>
            </w:pPr>
            <w:r w:rsidRPr="00771368">
              <w:rPr>
                <w:sz w:val="10"/>
                <w:szCs w:val="10"/>
              </w:rPr>
              <w:t>5,9</w:t>
            </w:r>
          </w:p>
        </w:tc>
        <w:tc>
          <w:tcPr>
            <w:tcW w:w="460" w:type="dxa"/>
            <w:vMerge w:val="restart"/>
            <w:tcBorders>
              <w:right w:val="single" w:sz="8" w:space="0" w:color="auto"/>
            </w:tcBorders>
            <w:vAlign w:val="bottom"/>
          </w:tcPr>
          <w:p w:rsidR="00D24E61" w:rsidRPr="00771368" w:rsidRDefault="00D24E61">
            <w:pPr>
              <w:ind w:right="103"/>
              <w:jc w:val="right"/>
              <w:rPr>
                <w:sz w:val="20"/>
                <w:szCs w:val="20"/>
              </w:rPr>
            </w:pPr>
            <w:r w:rsidRPr="00771368">
              <w:rPr>
                <w:sz w:val="10"/>
                <w:szCs w:val="10"/>
              </w:rPr>
              <w:t>60,3</w:t>
            </w:r>
          </w:p>
        </w:tc>
        <w:tc>
          <w:tcPr>
            <w:tcW w:w="460" w:type="dxa"/>
            <w:vMerge w:val="restart"/>
            <w:tcBorders>
              <w:right w:val="single" w:sz="8" w:space="0" w:color="auto"/>
            </w:tcBorders>
            <w:vAlign w:val="bottom"/>
          </w:tcPr>
          <w:p w:rsidR="00D24E61" w:rsidRPr="00771368" w:rsidRDefault="00D24E61">
            <w:pPr>
              <w:ind w:right="103"/>
              <w:jc w:val="right"/>
              <w:rPr>
                <w:sz w:val="20"/>
                <w:szCs w:val="20"/>
              </w:rPr>
            </w:pPr>
            <w:r w:rsidRPr="00771368">
              <w:rPr>
                <w:sz w:val="10"/>
                <w:szCs w:val="10"/>
              </w:rPr>
              <w:t>27,4</w:t>
            </w:r>
          </w:p>
        </w:tc>
        <w:tc>
          <w:tcPr>
            <w:tcW w:w="440" w:type="dxa"/>
            <w:vMerge w:val="restart"/>
            <w:tcBorders>
              <w:right w:val="single" w:sz="8" w:space="0" w:color="auto"/>
            </w:tcBorders>
            <w:vAlign w:val="bottom"/>
          </w:tcPr>
          <w:p w:rsidR="00D24E61" w:rsidRPr="00771368" w:rsidRDefault="00D24E61">
            <w:pPr>
              <w:ind w:right="101"/>
              <w:jc w:val="right"/>
              <w:rPr>
                <w:sz w:val="20"/>
                <w:szCs w:val="20"/>
              </w:rPr>
            </w:pPr>
            <w:r w:rsidRPr="00771368">
              <w:rPr>
                <w:sz w:val="10"/>
                <w:szCs w:val="10"/>
              </w:rPr>
              <w:t>6,4</w:t>
            </w:r>
          </w:p>
        </w:tc>
        <w:tc>
          <w:tcPr>
            <w:tcW w:w="0" w:type="dxa"/>
            <w:vAlign w:val="bottom"/>
          </w:tcPr>
          <w:p w:rsidR="00D24E61" w:rsidRPr="00771368" w:rsidRDefault="00D24E61">
            <w:pPr>
              <w:rPr>
                <w:sz w:val="1"/>
                <w:szCs w:val="1"/>
              </w:rPr>
            </w:pPr>
          </w:p>
        </w:tc>
      </w:tr>
      <w:tr w:rsidR="00D24E61" w:rsidRPr="00771368">
        <w:trPr>
          <w:trHeight w:val="24"/>
        </w:trPr>
        <w:tc>
          <w:tcPr>
            <w:tcW w:w="120" w:type="dxa"/>
            <w:tcBorders>
              <w:left w:val="single" w:sz="8" w:space="0" w:color="auto"/>
            </w:tcBorders>
            <w:vAlign w:val="bottom"/>
          </w:tcPr>
          <w:p w:rsidR="00D24E61" w:rsidRPr="00771368" w:rsidRDefault="00D24E61">
            <w:pPr>
              <w:rPr>
                <w:sz w:val="2"/>
                <w:szCs w:val="2"/>
              </w:rPr>
            </w:pPr>
          </w:p>
        </w:tc>
        <w:tc>
          <w:tcPr>
            <w:tcW w:w="100" w:type="dxa"/>
            <w:vAlign w:val="bottom"/>
          </w:tcPr>
          <w:p w:rsidR="00D24E61" w:rsidRPr="00771368" w:rsidRDefault="00D24E61">
            <w:pPr>
              <w:rPr>
                <w:sz w:val="2"/>
                <w:szCs w:val="2"/>
              </w:rPr>
            </w:pPr>
          </w:p>
        </w:tc>
        <w:tc>
          <w:tcPr>
            <w:tcW w:w="680" w:type="dxa"/>
            <w:vMerge w:val="restart"/>
            <w:vAlign w:val="bottom"/>
          </w:tcPr>
          <w:p w:rsidR="00D24E61" w:rsidRPr="00771368" w:rsidRDefault="00D24E61">
            <w:pPr>
              <w:spacing w:line="81" w:lineRule="exact"/>
              <w:ind w:right="136"/>
              <w:jc w:val="center"/>
              <w:rPr>
                <w:sz w:val="20"/>
                <w:szCs w:val="20"/>
              </w:rPr>
            </w:pPr>
            <w:r w:rsidRPr="00771368">
              <w:rPr>
                <w:sz w:val="9"/>
                <w:szCs w:val="9"/>
              </w:rPr>
              <w:t>Percentual</w:t>
            </w:r>
          </w:p>
        </w:tc>
        <w:tc>
          <w:tcPr>
            <w:tcW w:w="480" w:type="dxa"/>
            <w:vMerge/>
            <w:tcBorders>
              <w:left w:val="single" w:sz="8" w:space="0" w:color="auto"/>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40" w:type="dxa"/>
            <w:vMerge/>
            <w:tcBorders>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40" w:type="dxa"/>
            <w:vMerge/>
            <w:tcBorders>
              <w:right w:val="single" w:sz="8" w:space="0" w:color="auto"/>
            </w:tcBorders>
            <w:vAlign w:val="bottom"/>
          </w:tcPr>
          <w:p w:rsidR="00D24E61" w:rsidRPr="00771368" w:rsidRDefault="00D24E61">
            <w:pPr>
              <w:rPr>
                <w:sz w:val="2"/>
                <w:szCs w:val="2"/>
              </w:rPr>
            </w:pPr>
          </w:p>
        </w:tc>
        <w:tc>
          <w:tcPr>
            <w:tcW w:w="460" w:type="dxa"/>
            <w:tcBorders>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40" w:type="dxa"/>
            <w:vMerge/>
            <w:tcBorders>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60" w:type="dxa"/>
            <w:tcBorders>
              <w:right w:val="single" w:sz="8" w:space="0" w:color="auto"/>
            </w:tcBorders>
            <w:vAlign w:val="bottom"/>
          </w:tcPr>
          <w:p w:rsidR="00D24E61" w:rsidRPr="00771368" w:rsidRDefault="00D24E61">
            <w:pPr>
              <w:rPr>
                <w:sz w:val="2"/>
                <w:szCs w:val="2"/>
              </w:rPr>
            </w:pPr>
          </w:p>
        </w:tc>
        <w:tc>
          <w:tcPr>
            <w:tcW w:w="440" w:type="dxa"/>
            <w:vMerge/>
            <w:tcBorders>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60" w:type="dxa"/>
            <w:vMerge/>
            <w:tcBorders>
              <w:right w:val="single" w:sz="8" w:space="0" w:color="auto"/>
            </w:tcBorders>
            <w:vAlign w:val="bottom"/>
          </w:tcPr>
          <w:p w:rsidR="00D24E61" w:rsidRPr="00771368" w:rsidRDefault="00D24E61">
            <w:pPr>
              <w:rPr>
                <w:sz w:val="2"/>
                <w:szCs w:val="2"/>
              </w:rPr>
            </w:pPr>
          </w:p>
        </w:tc>
        <w:tc>
          <w:tcPr>
            <w:tcW w:w="440" w:type="dxa"/>
            <w:vMerge/>
            <w:tcBorders>
              <w:right w:val="single" w:sz="8" w:space="0" w:color="auto"/>
            </w:tcBorders>
            <w:vAlign w:val="bottom"/>
          </w:tcPr>
          <w:p w:rsidR="00D24E61" w:rsidRPr="00771368" w:rsidRDefault="00D24E61">
            <w:pPr>
              <w:rPr>
                <w:sz w:val="2"/>
                <w:szCs w:val="2"/>
              </w:rPr>
            </w:pPr>
          </w:p>
        </w:tc>
        <w:tc>
          <w:tcPr>
            <w:tcW w:w="0" w:type="dxa"/>
            <w:vAlign w:val="bottom"/>
          </w:tcPr>
          <w:p w:rsidR="00D24E61" w:rsidRPr="00771368" w:rsidRDefault="00D24E61">
            <w:pPr>
              <w:spacing w:line="20" w:lineRule="exact"/>
              <w:rPr>
                <w:sz w:val="1"/>
                <w:szCs w:val="1"/>
              </w:rPr>
            </w:pPr>
          </w:p>
        </w:tc>
      </w:tr>
      <w:tr w:rsidR="00D24E61" w:rsidRPr="00771368">
        <w:trPr>
          <w:trHeight w:val="62"/>
        </w:trPr>
        <w:tc>
          <w:tcPr>
            <w:tcW w:w="120" w:type="dxa"/>
            <w:tcBorders>
              <w:left w:val="single" w:sz="8" w:space="0" w:color="auto"/>
              <w:bottom w:val="single" w:sz="8" w:space="0" w:color="auto"/>
            </w:tcBorders>
            <w:vAlign w:val="bottom"/>
          </w:tcPr>
          <w:p w:rsidR="00D24E61" w:rsidRPr="00771368" w:rsidRDefault="00D24E61">
            <w:pPr>
              <w:rPr>
                <w:sz w:val="5"/>
                <w:szCs w:val="5"/>
              </w:rPr>
            </w:pPr>
          </w:p>
        </w:tc>
        <w:tc>
          <w:tcPr>
            <w:tcW w:w="100" w:type="dxa"/>
            <w:tcBorders>
              <w:bottom w:val="single" w:sz="8" w:space="0" w:color="auto"/>
            </w:tcBorders>
            <w:vAlign w:val="bottom"/>
          </w:tcPr>
          <w:p w:rsidR="00D24E61" w:rsidRPr="00771368" w:rsidRDefault="00D24E61">
            <w:pPr>
              <w:rPr>
                <w:sz w:val="5"/>
                <w:szCs w:val="5"/>
              </w:rPr>
            </w:pPr>
          </w:p>
        </w:tc>
        <w:tc>
          <w:tcPr>
            <w:tcW w:w="680" w:type="dxa"/>
            <w:vMerge/>
            <w:tcBorders>
              <w:bottom w:val="single" w:sz="8" w:space="0" w:color="auto"/>
            </w:tcBorders>
            <w:vAlign w:val="bottom"/>
          </w:tcPr>
          <w:p w:rsidR="00D24E61" w:rsidRPr="00771368" w:rsidRDefault="00D24E61">
            <w:pPr>
              <w:rPr>
                <w:sz w:val="5"/>
                <w:szCs w:val="5"/>
              </w:rPr>
            </w:pPr>
          </w:p>
        </w:tc>
        <w:tc>
          <w:tcPr>
            <w:tcW w:w="480" w:type="dxa"/>
            <w:tcBorders>
              <w:left w:val="single" w:sz="8" w:space="0" w:color="auto"/>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60" w:type="dxa"/>
            <w:tcBorders>
              <w:bottom w:val="single" w:sz="8" w:space="0" w:color="auto"/>
              <w:right w:val="single" w:sz="8" w:space="0" w:color="auto"/>
            </w:tcBorders>
            <w:vAlign w:val="bottom"/>
          </w:tcPr>
          <w:p w:rsidR="00D24E61" w:rsidRPr="00771368" w:rsidRDefault="00D24E61">
            <w:pPr>
              <w:rPr>
                <w:sz w:val="5"/>
                <w:szCs w:val="5"/>
              </w:rPr>
            </w:pPr>
          </w:p>
        </w:tc>
        <w:tc>
          <w:tcPr>
            <w:tcW w:w="440" w:type="dxa"/>
            <w:tcBorders>
              <w:bottom w:val="single" w:sz="8" w:space="0" w:color="auto"/>
              <w:right w:val="single" w:sz="8" w:space="0" w:color="auto"/>
            </w:tcBorders>
            <w:vAlign w:val="bottom"/>
          </w:tcPr>
          <w:p w:rsidR="00D24E61" w:rsidRPr="00771368" w:rsidRDefault="00D24E61">
            <w:pPr>
              <w:rPr>
                <w:sz w:val="5"/>
                <w:szCs w:val="5"/>
              </w:rPr>
            </w:pPr>
          </w:p>
        </w:tc>
        <w:tc>
          <w:tcPr>
            <w:tcW w:w="0" w:type="dxa"/>
            <w:vAlign w:val="bottom"/>
          </w:tcPr>
          <w:p w:rsidR="00D24E61" w:rsidRPr="00771368" w:rsidRDefault="00D24E61">
            <w:pPr>
              <w:rPr>
                <w:sz w:val="1"/>
                <w:szCs w:val="1"/>
              </w:rPr>
            </w:pPr>
          </w:p>
        </w:tc>
      </w:tr>
    </w:tbl>
    <w:p w:rsidR="00D24E61" w:rsidRPr="00771368" w:rsidRDefault="00D24E61">
      <w:pPr>
        <w:spacing w:line="200" w:lineRule="exact"/>
        <w:rPr>
          <w:sz w:val="20"/>
          <w:szCs w:val="20"/>
        </w:rPr>
      </w:pPr>
      <w:r w:rsidRPr="00771368">
        <w:rPr>
          <w:noProof/>
          <w:sz w:val="20"/>
          <w:szCs w:val="20"/>
        </w:rPr>
        <w:drawing>
          <wp:anchor distT="0" distB="0" distL="114300" distR="114300" simplePos="0" relativeHeight="251714560" behindDoc="1" locked="0" layoutInCell="0" allowOverlap="1">
            <wp:simplePos x="0" y="0"/>
            <wp:positionH relativeFrom="column">
              <wp:posOffset>622300</wp:posOffset>
            </wp:positionH>
            <wp:positionV relativeFrom="paragraph">
              <wp:posOffset>-2448560</wp:posOffset>
            </wp:positionV>
            <wp:extent cx="5093335" cy="953770"/>
            <wp:effectExtent l="0" t="0" r="0" b="0"/>
            <wp:wrapNone/>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cstate="print">
                      <a:extLst/>
                    </a:blip>
                    <a:srcRect/>
                    <a:stretch>
                      <a:fillRect/>
                    </a:stretch>
                  </pic:blipFill>
                  <pic:spPr bwMode="auto">
                    <a:xfrm>
                      <a:off x="0" y="0"/>
                      <a:ext cx="5093335" cy="953770"/>
                    </a:xfrm>
                    <a:prstGeom prst="rect">
                      <a:avLst/>
                    </a:prstGeom>
                    <a:noFill/>
                  </pic:spPr>
                </pic:pic>
              </a:graphicData>
            </a:graphic>
          </wp:anchor>
        </w:drawing>
      </w:r>
      <w:r w:rsidR="00013211">
        <w:rPr>
          <w:noProof/>
          <w:sz w:val="20"/>
          <w:szCs w:val="20"/>
        </w:rPr>
        <mc:AlternateContent>
          <mc:Choice Requires="wps">
            <w:drawing>
              <wp:anchor distT="0" distB="0" distL="0" distR="0" simplePos="0" relativeHeight="251717120" behindDoc="0" locked="0" layoutInCell="0" allowOverlap="1">
                <wp:simplePos x="0" y="0"/>
                <wp:positionH relativeFrom="column">
                  <wp:posOffset>73025</wp:posOffset>
                </wp:positionH>
                <wp:positionV relativeFrom="paragraph">
                  <wp:posOffset>-260350</wp:posOffset>
                </wp:positionV>
                <wp:extent cx="0" cy="64135"/>
                <wp:effectExtent l="6350" t="6350" r="12700" b="5715"/>
                <wp:wrapNone/>
                <wp:docPr id="21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71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5pt,-20.5pt" to="5.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" o:allowincell="f" strokecolor="#0070c0"/>
            </w:pict>
          </mc:Fallback>
        </mc:AlternateContent>
      </w:r>
      <w:r w:rsidR="00013211">
        <w:rPr>
          <w:noProof/>
          <w:sz w:val="20"/>
          <w:szCs w:val="20"/>
        </w:rPr>
        <mc:AlternateContent>
          <mc:Choice Requires="wps">
            <w:drawing>
              <wp:anchor distT="0" distB="0" distL="0" distR="0" simplePos="0" relativeHeight="251718144" behindDoc="0" locked="0" layoutInCell="0" allowOverlap="1">
                <wp:simplePos x="0" y="0"/>
                <wp:positionH relativeFrom="column">
                  <wp:posOffset>140335</wp:posOffset>
                </wp:positionH>
                <wp:positionV relativeFrom="paragraph">
                  <wp:posOffset>-260350</wp:posOffset>
                </wp:positionV>
                <wp:extent cx="0" cy="64135"/>
                <wp:effectExtent l="6985" t="6350" r="12065" b="5715"/>
                <wp:wrapNone/>
                <wp:docPr id="21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71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05pt,-20.5pt" to="11.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" o:allowincell="f" strokecolor="#0070c0"/>
            </w:pict>
          </mc:Fallback>
        </mc:AlternateContent>
      </w:r>
      <w:r w:rsidR="00013211">
        <w:rPr>
          <w:noProof/>
          <w:sz w:val="20"/>
          <w:szCs w:val="20"/>
        </w:rPr>
        <mc:AlternateContent>
          <mc:Choice Requires="wps">
            <w:drawing>
              <wp:anchor distT="0" distB="0" distL="0" distR="0" simplePos="0" relativeHeight="251719168" behindDoc="0" locked="0" layoutInCell="0" allowOverlap="1">
                <wp:simplePos x="0" y="0"/>
                <wp:positionH relativeFrom="column">
                  <wp:posOffset>67945</wp:posOffset>
                </wp:positionH>
                <wp:positionV relativeFrom="paragraph">
                  <wp:posOffset>-255270</wp:posOffset>
                </wp:positionV>
                <wp:extent cx="77470" cy="0"/>
                <wp:effectExtent l="10795" t="11430" r="6985" b="7620"/>
                <wp:wrapNone/>
                <wp:docPr id="21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71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5pt,-20.1pt" to="11.4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" o:allowincell="f" strokecolor="#0070c0"/>
            </w:pict>
          </mc:Fallback>
        </mc:AlternateContent>
      </w:r>
      <w:r w:rsidR="00013211">
        <w:rPr>
          <w:noProof/>
          <w:sz w:val="20"/>
          <w:szCs w:val="20"/>
        </w:rPr>
        <mc:AlternateContent>
          <mc:Choice Requires="wps">
            <w:drawing>
              <wp:anchor distT="0" distB="0" distL="0" distR="0" simplePos="0" relativeHeight="251720192" behindDoc="0" locked="0" layoutInCell="0" allowOverlap="1">
                <wp:simplePos x="0" y="0"/>
                <wp:positionH relativeFrom="column">
                  <wp:posOffset>67945</wp:posOffset>
                </wp:positionH>
                <wp:positionV relativeFrom="paragraph">
                  <wp:posOffset>-200660</wp:posOffset>
                </wp:positionV>
                <wp:extent cx="77470" cy="0"/>
                <wp:effectExtent l="10795" t="8890" r="6985" b="10160"/>
                <wp:wrapNone/>
                <wp:docPr id="20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2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5pt,-15.8pt" to="11.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" o:allowincell="f" strokecolor="#0070c0"/>
            </w:pict>
          </mc:Fallback>
        </mc:AlternateContent>
      </w:r>
      <w:r w:rsidR="00013211">
        <w:rPr>
          <w:noProof/>
          <w:sz w:val="20"/>
          <w:szCs w:val="20"/>
        </w:rPr>
        <mc:AlternateContent>
          <mc:Choice Requires="wps">
            <w:drawing>
              <wp:anchor distT="0" distB="0" distL="0" distR="0" simplePos="0" relativeHeight="251721216" behindDoc="0" locked="0" layoutInCell="0" allowOverlap="1">
                <wp:simplePos x="0" y="0"/>
                <wp:positionH relativeFrom="column">
                  <wp:posOffset>73025</wp:posOffset>
                </wp:positionH>
                <wp:positionV relativeFrom="paragraph">
                  <wp:posOffset>-122555</wp:posOffset>
                </wp:positionV>
                <wp:extent cx="0" cy="64135"/>
                <wp:effectExtent l="6350" t="10795" r="12700" b="10795"/>
                <wp:wrapNone/>
                <wp:docPr id="20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2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5pt,-9.65pt" to="5.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" o:allowincell="f" strokecolor="#c00000"/>
            </w:pict>
          </mc:Fallback>
        </mc:AlternateContent>
      </w:r>
      <w:r w:rsidR="00013211">
        <w:rPr>
          <w:noProof/>
          <w:sz w:val="20"/>
          <w:szCs w:val="20"/>
        </w:rPr>
        <mc:AlternateContent>
          <mc:Choice Requires="wps">
            <w:drawing>
              <wp:anchor distT="0" distB="0" distL="0" distR="0" simplePos="0" relativeHeight="251722240" behindDoc="0" locked="0" layoutInCell="0" allowOverlap="1">
                <wp:simplePos x="0" y="0"/>
                <wp:positionH relativeFrom="column">
                  <wp:posOffset>140335</wp:posOffset>
                </wp:positionH>
                <wp:positionV relativeFrom="paragraph">
                  <wp:posOffset>-122555</wp:posOffset>
                </wp:positionV>
                <wp:extent cx="0" cy="64135"/>
                <wp:effectExtent l="6985" t="10795" r="12065" b="10795"/>
                <wp:wrapNone/>
                <wp:docPr id="20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72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05pt,-9.65pt" to="11.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2HFAIAACo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" o:allowincell="f" strokecolor="#c00000"/>
            </w:pict>
          </mc:Fallback>
        </mc:AlternateContent>
      </w:r>
      <w:r w:rsidR="00013211">
        <w:rPr>
          <w:noProof/>
          <w:sz w:val="20"/>
          <w:szCs w:val="20"/>
        </w:rPr>
        <mc:AlternateContent>
          <mc:Choice Requires="wps">
            <w:drawing>
              <wp:anchor distT="0" distB="0" distL="0" distR="0" simplePos="0" relativeHeight="251723264" behindDoc="0" locked="0" layoutInCell="0" allowOverlap="1">
                <wp:simplePos x="0" y="0"/>
                <wp:positionH relativeFrom="column">
                  <wp:posOffset>67945</wp:posOffset>
                </wp:positionH>
                <wp:positionV relativeFrom="paragraph">
                  <wp:posOffset>-117475</wp:posOffset>
                </wp:positionV>
                <wp:extent cx="77470" cy="0"/>
                <wp:effectExtent l="10795" t="6350" r="6985" b="12700"/>
                <wp:wrapNone/>
                <wp:docPr id="20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72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5pt,-9.25pt" to="11.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F9FQ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" o:allowincell="f" strokecolor="#c00000"/>
            </w:pict>
          </mc:Fallback>
        </mc:AlternateContent>
      </w:r>
      <w:r w:rsidR="00013211">
        <w:rPr>
          <w:noProof/>
          <w:sz w:val="20"/>
          <w:szCs w:val="20"/>
        </w:rPr>
        <mc:AlternateContent>
          <mc:Choice Requires="wps">
            <w:drawing>
              <wp:anchor distT="0" distB="0" distL="0" distR="0" simplePos="0" relativeHeight="251724288" behindDoc="0" locked="0" layoutInCell="0" allowOverlap="1">
                <wp:simplePos x="0" y="0"/>
                <wp:positionH relativeFrom="column">
                  <wp:posOffset>67945</wp:posOffset>
                </wp:positionH>
                <wp:positionV relativeFrom="paragraph">
                  <wp:posOffset>-62865</wp:posOffset>
                </wp:positionV>
                <wp:extent cx="77470" cy="0"/>
                <wp:effectExtent l="10795" t="13335" r="6985" b="5715"/>
                <wp:wrapNone/>
                <wp:docPr id="20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72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5pt,-4.95pt" to="11.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LqFQ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" o:allowincell="f" strokecolor="#c00000"/>
            </w:pict>
          </mc:Fallback>
        </mc:AlternateContent>
      </w:r>
    </w:p>
    <w:p w:rsidR="00D24E61" w:rsidRPr="00771368" w:rsidRDefault="00D24E61">
      <w:pPr>
        <w:spacing w:line="314" w:lineRule="exact"/>
        <w:rPr>
          <w:sz w:val="20"/>
          <w:szCs w:val="20"/>
        </w:rPr>
      </w:pPr>
    </w:p>
    <w:p w:rsidR="00D24E61" w:rsidRPr="00771368" w:rsidRDefault="00D24E61">
      <w:pPr>
        <w:ind w:left="120"/>
        <w:rPr>
          <w:sz w:val="20"/>
          <w:szCs w:val="20"/>
        </w:rPr>
      </w:pPr>
      <w:r w:rsidRPr="00771368">
        <w:rPr>
          <w:b/>
          <w:bCs/>
          <w:sz w:val="24"/>
          <w:szCs w:val="24"/>
          <w:u w:val="single"/>
        </w:rPr>
        <w:t>Resultado da Pesquisa e Análise dos Dados</w:t>
      </w:r>
    </w:p>
    <w:p w:rsidR="00D24E61" w:rsidRPr="00771368" w:rsidRDefault="00D24E61">
      <w:pPr>
        <w:spacing w:line="200" w:lineRule="exact"/>
        <w:rPr>
          <w:sz w:val="20"/>
          <w:szCs w:val="20"/>
        </w:rPr>
      </w:pPr>
    </w:p>
    <w:p w:rsidR="00D24E61" w:rsidRPr="00771368" w:rsidRDefault="00D24E61">
      <w:pPr>
        <w:spacing w:line="288" w:lineRule="exact"/>
        <w:rPr>
          <w:sz w:val="20"/>
          <w:szCs w:val="20"/>
        </w:rPr>
      </w:pPr>
    </w:p>
    <w:p w:rsidR="00D24E61" w:rsidRPr="00771368" w:rsidRDefault="00D24E61">
      <w:pPr>
        <w:spacing w:line="348" w:lineRule="auto"/>
        <w:ind w:left="120" w:firstLine="706"/>
        <w:jc w:val="both"/>
        <w:rPr>
          <w:sz w:val="20"/>
          <w:szCs w:val="20"/>
        </w:rPr>
      </w:pPr>
      <w:r w:rsidRPr="00771368">
        <w:rPr>
          <w:sz w:val="24"/>
          <w:szCs w:val="24"/>
        </w:rPr>
        <w:t>Os estudantes respondentes do processo de investigação foram quase que unânimes em afirmar que a questão de relações de gênero não é perceptivelmente discutida na escola. E seguem as análises dos questionários aplicados na instituição de ensino, no qual fo i vivenciado a investigação com intuito de compreender a forma com que é trabalhada o tema relações de gênero, se estas são inclusas no currículo apresentado pela escola e como se dá a prática docente.</w:t>
      </w:r>
    </w:p>
    <w:p w:rsidR="00D24E61" w:rsidRPr="00771368" w:rsidRDefault="00D24E61">
      <w:pPr>
        <w:sectPr w:rsidR="00D24E61" w:rsidRPr="00771368">
          <w:pgSz w:w="11900" w:h="16838"/>
          <w:pgMar w:top="1396" w:right="1400" w:bottom="1440" w:left="1300" w:header="0" w:footer="0" w:gutter="0"/>
          <w:cols w:space="720" w:equalWidth="0">
            <w:col w:w="9200"/>
          </w:cols>
        </w:sectPr>
      </w:pPr>
    </w:p>
    <w:p w:rsidR="00D24E61" w:rsidRPr="00771368" w:rsidRDefault="00D24E61">
      <w:pPr>
        <w:spacing w:line="25" w:lineRule="exact"/>
        <w:rPr>
          <w:sz w:val="20"/>
          <w:szCs w:val="20"/>
        </w:rPr>
      </w:pPr>
    </w:p>
    <w:p w:rsidR="00D24E61" w:rsidRPr="00771368" w:rsidRDefault="00D24E61">
      <w:pPr>
        <w:spacing w:line="349" w:lineRule="auto"/>
        <w:ind w:left="120" w:right="60" w:firstLine="567"/>
        <w:jc w:val="both"/>
        <w:rPr>
          <w:sz w:val="20"/>
          <w:szCs w:val="20"/>
        </w:rPr>
      </w:pPr>
      <w:r w:rsidRPr="00771368">
        <w:rPr>
          <w:sz w:val="24"/>
          <w:szCs w:val="24"/>
        </w:rPr>
        <w:t>No trabalho que se segue pode-se observar o levantamento de dados através dos questionários aplicados aos estudantes da Instituição de Ensino Médio da cidade de Panelas – PE, a Escola de Referência em Ensino Médio, pois é a partir destes autores que percebo as dúvidas que surgem quando estes são abordados e orientados a responderem os questionários propostos, com intuíto de perceber se havia na escola trabalhos desenvolvidos sobre Relações de Gênero.</w:t>
      </w:r>
    </w:p>
    <w:p w:rsidR="00D24E61" w:rsidRPr="00771368" w:rsidRDefault="00D24E61">
      <w:pPr>
        <w:spacing w:line="200" w:lineRule="exact"/>
        <w:rPr>
          <w:sz w:val="20"/>
          <w:szCs w:val="20"/>
        </w:rPr>
      </w:pPr>
    </w:p>
    <w:p w:rsidR="00D24E61" w:rsidRPr="00771368" w:rsidRDefault="00D24E61">
      <w:pPr>
        <w:spacing w:line="239" w:lineRule="exact"/>
        <w:rPr>
          <w:sz w:val="20"/>
          <w:szCs w:val="20"/>
        </w:rPr>
      </w:pPr>
    </w:p>
    <w:p w:rsidR="00D24E61" w:rsidRPr="00771368" w:rsidRDefault="00D24E61">
      <w:pPr>
        <w:spacing w:line="229" w:lineRule="auto"/>
        <w:ind w:left="2380" w:right="60"/>
        <w:jc w:val="both"/>
        <w:rPr>
          <w:sz w:val="20"/>
          <w:szCs w:val="20"/>
        </w:rPr>
      </w:pPr>
      <w:r w:rsidRPr="00771368">
        <w:t>A informação obtida por meio de questionário permite observar as características de um indivíduo ou grupo. Portanto, uma descrição adequada das características de um grupo não apenas beneficia a análise a ser feita por um pesquisador, mas também pode ajudar outros especialistas, tais como planejadores, administradores e outros. (Richardson 2010, p. 189)</w:t>
      </w:r>
    </w:p>
    <w:p w:rsidR="00D24E61" w:rsidRPr="00771368" w:rsidRDefault="00D24E61">
      <w:pPr>
        <w:spacing w:line="200" w:lineRule="exact"/>
        <w:rPr>
          <w:sz w:val="20"/>
          <w:szCs w:val="20"/>
        </w:rPr>
      </w:pPr>
    </w:p>
    <w:p w:rsidR="00D24E61" w:rsidRPr="00771368" w:rsidRDefault="00D24E61">
      <w:pPr>
        <w:spacing w:line="216" w:lineRule="exact"/>
        <w:rPr>
          <w:sz w:val="20"/>
          <w:szCs w:val="20"/>
        </w:rPr>
      </w:pPr>
    </w:p>
    <w:p w:rsidR="00D24E61" w:rsidRPr="00771368" w:rsidRDefault="00D24E61">
      <w:pPr>
        <w:spacing w:line="352" w:lineRule="auto"/>
        <w:ind w:left="120" w:right="40" w:firstLine="1133"/>
        <w:jc w:val="both"/>
        <w:rPr>
          <w:sz w:val="20"/>
          <w:szCs w:val="20"/>
        </w:rPr>
      </w:pPr>
      <w:r w:rsidRPr="00771368">
        <w:rPr>
          <w:sz w:val="24"/>
          <w:szCs w:val="24"/>
        </w:rPr>
        <w:t>Na tabela 2 temos a distribuição dos fatores que provocam ausência do estudo sobre gênero a escola na percepção dos alunos. Através dela verifica-se que os fatores os quais os alunos consideram culpados pela a ausência do estudo de gênero são: Bullying (65,7%, 153 casos), intolerância/desrespeito (64%, 149 casos) e ausência de limites (61,6%, 144 casos). Ainda, verifica-se que os fatores que os alunos mais discordam que influenciam na ausência do estudo sobre gênero na escola são: falta de estrutura escolar (71,8%, 168 casos), professores desmotivados (70,1%, 164 casos) e fatores econômicos-sociais (57,3%, 134 casos).</w:t>
      </w:r>
    </w:p>
    <w:p w:rsidR="00D24E61" w:rsidRPr="00771368" w:rsidRDefault="00D24E61">
      <w:pPr>
        <w:spacing w:line="276" w:lineRule="exact"/>
        <w:rPr>
          <w:sz w:val="20"/>
          <w:szCs w:val="20"/>
        </w:rPr>
      </w:pPr>
    </w:p>
    <w:p w:rsidR="00D24E61" w:rsidRPr="00771368" w:rsidRDefault="00D24E61">
      <w:pPr>
        <w:spacing w:line="213" w:lineRule="auto"/>
        <w:ind w:left="120" w:right="60"/>
        <w:jc w:val="both"/>
        <w:rPr>
          <w:sz w:val="20"/>
          <w:szCs w:val="20"/>
        </w:rPr>
      </w:pPr>
      <w:r w:rsidRPr="00771368">
        <w:rPr>
          <w:b/>
          <w:bCs/>
          <w:sz w:val="24"/>
          <w:szCs w:val="24"/>
        </w:rPr>
        <w:t>Tabela 2</w:t>
      </w:r>
      <w:r w:rsidRPr="00771368">
        <w:rPr>
          <w:sz w:val="24"/>
          <w:szCs w:val="24"/>
        </w:rPr>
        <w:t>. Distribuição dos fatores que provocam ausência do estudo de gênero na escola, na</w:t>
      </w:r>
      <w:r w:rsidRPr="00771368">
        <w:rPr>
          <w:b/>
          <w:bCs/>
          <w:sz w:val="24"/>
          <w:szCs w:val="24"/>
        </w:rPr>
        <w:t xml:space="preserve"> </w:t>
      </w:r>
      <w:r w:rsidRPr="00771368">
        <w:rPr>
          <w:sz w:val="24"/>
          <w:szCs w:val="24"/>
        </w:rPr>
        <w:t>percepção dos alunos</w:t>
      </w:r>
    </w:p>
    <w:p w:rsidR="00D24E61" w:rsidRPr="00771368" w:rsidRDefault="00D24E61">
      <w:pPr>
        <w:spacing w:line="9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0"/>
        <w:gridCol w:w="2980"/>
        <w:gridCol w:w="1680"/>
        <w:gridCol w:w="1400"/>
        <w:gridCol w:w="1420"/>
        <w:gridCol w:w="1440"/>
        <w:gridCol w:w="20"/>
      </w:tblGrid>
      <w:tr w:rsidR="00D24E61" w:rsidRPr="00771368">
        <w:trPr>
          <w:trHeight w:val="280"/>
        </w:trPr>
        <w:tc>
          <w:tcPr>
            <w:tcW w:w="320" w:type="dxa"/>
            <w:tcBorders>
              <w:top w:val="single" w:sz="8" w:space="0" w:color="auto"/>
            </w:tcBorders>
            <w:vAlign w:val="bottom"/>
          </w:tcPr>
          <w:p w:rsidR="00D24E61" w:rsidRPr="00771368" w:rsidRDefault="00D24E61">
            <w:pPr>
              <w:rPr>
                <w:sz w:val="24"/>
                <w:szCs w:val="24"/>
              </w:rPr>
            </w:pPr>
          </w:p>
        </w:tc>
        <w:tc>
          <w:tcPr>
            <w:tcW w:w="2980" w:type="dxa"/>
            <w:vMerge w:val="restart"/>
            <w:tcBorders>
              <w:top w:val="single" w:sz="8" w:space="0" w:color="auto"/>
            </w:tcBorders>
            <w:vAlign w:val="bottom"/>
          </w:tcPr>
          <w:p w:rsidR="00D24E61" w:rsidRPr="00771368" w:rsidRDefault="00D24E61">
            <w:pPr>
              <w:ind w:left="480"/>
              <w:rPr>
                <w:sz w:val="20"/>
                <w:szCs w:val="20"/>
              </w:rPr>
            </w:pPr>
            <w:r w:rsidRPr="00771368">
              <w:rPr>
                <w:b/>
                <w:bCs/>
                <w:sz w:val="24"/>
                <w:szCs w:val="24"/>
              </w:rPr>
              <w:t>Fatores avaliados</w:t>
            </w:r>
          </w:p>
        </w:tc>
        <w:tc>
          <w:tcPr>
            <w:tcW w:w="1680" w:type="dxa"/>
            <w:tcBorders>
              <w:top w:val="single" w:sz="8" w:space="0" w:color="auto"/>
            </w:tcBorders>
            <w:vAlign w:val="bottom"/>
          </w:tcPr>
          <w:p w:rsidR="00D24E61" w:rsidRPr="00771368" w:rsidRDefault="00D24E61">
            <w:pPr>
              <w:ind w:right="200"/>
              <w:jc w:val="right"/>
              <w:rPr>
                <w:sz w:val="20"/>
                <w:szCs w:val="20"/>
              </w:rPr>
            </w:pPr>
            <w:r w:rsidRPr="00771368">
              <w:rPr>
                <w:b/>
                <w:bCs/>
                <w:sz w:val="24"/>
                <w:szCs w:val="24"/>
              </w:rPr>
              <w:t>Concordo</w:t>
            </w:r>
          </w:p>
        </w:tc>
        <w:tc>
          <w:tcPr>
            <w:tcW w:w="1400" w:type="dxa"/>
            <w:vMerge w:val="restart"/>
            <w:tcBorders>
              <w:top w:val="single" w:sz="8" w:space="0" w:color="auto"/>
            </w:tcBorders>
            <w:vAlign w:val="bottom"/>
          </w:tcPr>
          <w:p w:rsidR="00D24E61" w:rsidRPr="00771368" w:rsidRDefault="00D24E61">
            <w:pPr>
              <w:ind w:right="120"/>
              <w:jc w:val="right"/>
              <w:rPr>
                <w:sz w:val="20"/>
                <w:szCs w:val="20"/>
              </w:rPr>
            </w:pPr>
            <w:r w:rsidRPr="00771368">
              <w:rPr>
                <w:b/>
                <w:bCs/>
                <w:sz w:val="24"/>
                <w:szCs w:val="24"/>
              </w:rPr>
              <w:t>Concordo</w:t>
            </w:r>
          </w:p>
        </w:tc>
        <w:tc>
          <w:tcPr>
            <w:tcW w:w="1420" w:type="dxa"/>
            <w:vMerge w:val="restart"/>
            <w:tcBorders>
              <w:top w:val="single" w:sz="8" w:space="0" w:color="auto"/>
            </w:tcBorders>
            <w:vAlign w:val="bottom"/>
          </w:tcPr>
          <w:p w:rsidR="00D24E61" w:rsidRPr="00771368" w:rsidRDefault="00D24E61">
            <w:pPr>
              <w:ind w:right="160"/>
              <w:jc w:val="right"/>
              <w:rPr>
                <w:sz w:val="20"/>
                <w:szCs w:val="20"/>
              </w:rPr>
            </w:pPr>
            <w:r w:rsidRPr="00771368">
              <w:rPr>
                <w:b/>
                <w:bCs/>
                <w:sz w:val="24"/>
                <w:szCs w:val="24"/>
              </w:rPr>
              <w:t>Discordo</w:t>
            </w:r>
          </w:p>
        </w:tc>
        <w:tc>
          <w:tcPr>
            <w:tcW w:w="1440" w:type="dxa"/>
            <w:tcBorders>
              <w:top w:val="single" w:sz="8" w:space="0" w:color="auto"/>
            </w:tcBorders>
            <w:vAlign w:val="bottom"/>
          </w:tcPr>
          <w:p w:rsidR="00D24E61" w:rsidRPr="00771368" w:rsidRDefault="00D24E61">
            <w:pPr>
              <w:ind w:right="140"/>
              <w:jc w:val="right"/>
              <w:rPr>
                <w:sz w:val="20"/>
                <w:szCs w:val="20"/>
              </w:rPr>
            </w:pPr>
            <w:r w:rsidRPr="00771368">
              <w:rPr>
                <w:b/>
                <w:bCs/>
                <w:sz w:val="24"/>
                <w:szCs w:val="24"/>
              </w:rPr>
              <w:t>Discordo</w:t>
            </w:r>
          </w:p>
        </w:tc>
        <w:tc>
          <w:tcPr>
            <w:tcW w:w="0" w:type="dxa"/>
            <w:vAlign w:val="bottom"/>
          </w:tcPr>
          <w:p w:rsidR="00D24E61" w:rsidRPr="00771368" w:rsidRDefault="00D24E61">
            <w:pPr>
              <w:rPr>
                <w:sz w:val="1"/>
                <w:szCs w:val="1"/>
              </w:rPr>
            </w:pPr>
          </w:p>
        </w:tc>
      </w:tr>
      <w:tr w:rsidR="00D24E61" w:rsidRPr="00771368">
        <w:trPr>
          <w:trHeight w:val="139"/>
        </w:trPr>
        <w:tc>
          <w:tcPr>
            <w:tcW w:w="320" w:type="dxa"/>
            <w:vAlign w:val="bottom"/>
          </w:tcPr>
          <w:p w:rsidR="00D24E61" w:rsidRPr="00771368" w:rsidRDefault="00D24E61">
            <w:pPr>
              <w:rPr>
                <w:sz w:val="12"/>
                <w:szCs w:val="12"/>
              </w:rPr>
            </w:pPr>
          </w:p>
        </w:tc>
        <w:tc>
          <w:tcPr>
            <w:tcW w:w="2980" w:type="dxa"/>
            <w:vMerge/>
            <w:vAlign w:val="bottom"/>
          </w:tcPr>
          <w:p w:rsidR="00D24E61" w:rsidRPr="00771368" w:rsidRDefault="00D24E61">
            <w:pPr>
              <w:rPr>
                <w:sz w:val="12"/>
                <w:szCs w:val="12"/>
              </w:rPr>
            </w:pPr>
          </w:p>
        </w:tc>
        <w:tc>
          <w:tcPr>
            <w:tcW w:w="1680" w:type="dxa"/>
            <w:vMerge w:val="restart"/>
            <w:vAlign w:val="bottom"/>
          </w:tcPr>
          <w:p w:rsidR="00D24E61" w:rsidRPr="00771368" w:rsidRDefault="00D24E61">
            <w:pPr>
              <w:ind w:right="120"/>
              <w:jc w:val="right"/>
              <w:rPr>
                <w:sz w:val="20"/>
                <w:szCs w:val="20"/>
              </w:rPr>
            </w:pPr>
            <w:r w:rsidRPr="00771368">
              <w:rPr>
                <w:b/>
                <w:bCs/>
                <w:sz w:val="24"/>
                <w:szCs w:val="24"/>
              </w:rPr>
              <w:t>Totalmente</w:t>
            </w:r>
          </w:p>
        </w:tc>
        <w:tc>
          <w:tcPr>
            <w:tcW w:w="1400" w:type="dxa"/>
            <w:vMerge/>
            <w:vAlign w:val="bottom"/>
          </w:tcPr>
          <w:p w:rsidR="00D24E61" w:rsidRPr="00771368" w:rsidRDefault="00D24E61">
            <w:pPr>
              <w:rPr>
                <w:sz w:val="12"/>
                <w:szCs w:val="12"/>
              </w:rPr>
            </w:pPr>
          </w:p>
        </w:tc>
        <w:tc>
          <w:tcPr>
            <w:tcW w:w="1420" w:type="dxa"/>
            <w:vMerge/>
            <w:vAlign w:val="bottom"/>
          </w:tcPr>
          <w:p w:rsidR="00D24E61" w:rsidRPr="00771368" w:rsidRDefault="00D24E61">
            <w:pPr>
              <w:rPr>
                <w:sz w:val="12"/>
                <w:szCs w:val="12"/>
              </w:rPr>
            </w:pPr>
          </w:p>
        </w:tc>
        <w:tc>
          <w:tcPr>
            <w:tcW w:w="1440" w:type="dxa"/>
            <w:vMerge w:val="restart"/>
            <w:vAlign w:val="bottom"/>
          </w:tcPr>
          <w:p w:rsidR="00D24E61" w:rsidRPr="00771368" w:rsidRDefault="00D24E61">
            <w:pPr>
              <w:ind w:right="20"/>
              <w:jc w:val="right"/>
              <w:rPr>
                <w:sz w:val="20"/>
                <w:szCs w:val="20"/>
              </w:rPr>
            </w:pPr>
            <w:r w:rsidRPr="00771368">
              <w:rPr>
                <w:b/>
                <w:bCs/>
                <w:sz w:val="24"/>
                <w:szCs w:val="24"/>
              </w:rPr>
              <w:t>Totalmente</w:t>
            </w:r>
          </w:p>
        </w:tc>
        <w:tc>
          <w:tcPr>
            <w:tcW w:w="0" w:type="dxa"/>
            <w:vAlign w:val="bottom"/>
          </w:tcPr>
          <w:p w:rsidR="00D24E61" w:rsidRPr="00771368" w:rsidRDefault="00D24E61">
            <w:pPr>
              <w:rPr>
                <w:sz w:val="1"/>
                <w:szCs w:val="1"/>
              </w:rPr>
            </w:pPr>
          </w:p>
        </w:tc>
      </w:tr>
      <w:tr w:rsidR="00D24E61" w:rsidRPr="00771368">
        <w:trPr>
          <w:trHeight w:val="141"/>
        </w:trPr>
        <w:tc>
          <w:tcPr>
            <w:tcW w:w="320" w:type="dxa"/>
            <w:tcBorders>
              <w:bottom w:val="single" w:sz="8" w:space="0" w:color="auto"/>
            </w:tcBorders>
            <w:vAlign w:val="bottom"/>
          </w:tcPr>
          <w:p w:rsidR="00D24E61" w:rsidRPr="00771368" w:rsidRDefault="00D24E61">
            <w:pPr>
              <w:rPr>
                <w:sz w:val="12"/>
                <w:szCs w:val="12"/>
              </w:rPr>
            </w:pPr>
          </w:p>
        </w:tc>
        <w:tc>
          <w:tcPr>
            <w:tcW w:w="2980" w:type="dxa"/>
            <w:tcBorders>
              <w:bottom w:val="single" w:sz="8" w:space="0" w:color="auto"/>
            </w:tcBorders>
            <w:vAlign w:val="bottom"/>
          </w:tcPr>
          <w:p w:rsidR="00D24E61" w:rsidRPr="00771368" w:rsidRDefault="00D24E61">
            <w:pPr>
              <w:rPr>
                <w:sz w:val="12"/>
                <w:szCs w:val="12"/>
              </w:rPr>
            </w:pPr>
          </w:p>
        </w:tc>
        <w:tc>
          <w:tcPr>
            <w:tcW w:w="1680" w:type="dxa"/>
            <w:vMerge/>
            <w:tcBorders>
              <w:bottom w:val="single" w:sz="8" w:space="0" w:color="auto"/>
            </w:tcBorders>
            <w:vAlign w:val="bottom"/>
          </w:tcPr>
          <w:p w:rsidR="00D24E61" w:rsidRPr="00771368" w:rsidRDefault="00D24E61">
            <w:pPr>
              <w:rPr>
                <w:sz w:val="12"/>
                <w:szCs w:val="12"/>
              </w:rPr>
            </w:pPr>
          </w:p>
        </w:tc>
        <w:tc>
          <w:tcPr>
            <w:tcW w:w="1400" w:type="dxa"/>
            <w:tcBorders>
              <w:bottom w:val="single" w:sz="8" w:space="0" w:color="auto"/>
            </w:tcBorders>
            <w:vAlign w:val="bottom"/>
          </w:tcPr>
          <w:p w:rsidR="00D24E61" w:rsidRPr="00771368" w:rsidRDefault="00D24E61">
            <w:pPr>
              <w:rPr>
                <w:sz w:val="12"/>
                <w:szCs w:val="12"/>
              </w:rPr>
            </w:pPr>
          </w:p>
        </w:tc>
        <w:tc>
          <w:tcPr>
            <w:tcW w:w="1420" w:type="dxa"/>
            <w:tcBorders>
              <w:bottom w:val="single" w:sz="8" w:space="0" w:color="auto"/>
            </w:tcBorders>
            <w:vAlign w:val="bottom"/>
          </w:tcPr>
          <w:p w:rsidR="00D24E61" w:rsidRPr="00771368" w:rsidRDefault="00D24E61">
            <w:pPr>
              <w:rPr>
                <w:sz w:val="12"/>
                <w:szCs w:val="12"/>
              </w:rPr>
            </w:pPr>
          </w:p>
        </w:tc>
        <w:tc>
          <w:tcPr>
            <w:tcW w:w="1440" w:type="dxa"/>
            <w:vMerge/>
            <w:tcBorders>
              <w:bottom w:val="single" w:sz="8" w:space="0" w:color="auto"/>
            </w:tcBorders>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57"/>
        </w:trPr>
        <w:tc>
          <w:tcPr>
            <w:tcW w:w="320" w:type="dxa"/>
            <w:vAlign w:val="bottom"/>
          </w:tcPr>
          <w:p w:rsidR="00D24E61" w:rsidRPr="00771368" w:rsidRDefault="00D24E61">
            <w:pPr>
              <w:spacing w:line="256" w:lineRule="exact"/>
              <w:ind w:left="120"/>
              <w:rPr>
                <w:sz w:val="20"/>
                <w:szCs w:val="20"/>
              </w:rPr>
            </w:pPr>
            <w:r w:rsidRPr="00771368">
              <w:rPr>
                <w:w w:val="99"/>
                <w:sz w:val="24"/>
                <w:szCs w:val="24"/>
              </w:rPr>
              <w:t>1.</w:t>
            </w:r>
          </w:p>
        </w:tc>
        <w:tc>
          <w:tcPr>
            <w:tcW w:w="2980" w:type="dxa"/>
            <w:vAlign w:val="bottom"/>
          </w:tcPr>
          <w:p w:rsidR="00D24E61" w:rsidRPr="00771368" w:rsidRDefault="00D24E61">
            <w:pPr>
              <w:spacing w:line="256" w:lineRule="exact"/>
              <w:ind w:left="40"/>
              <w:rPr>
                <w:sz w:val="20"/>
                <w:szCs w:val="20"/>
              </w:rPr>
            </w:pPr>
            <w:r w:rsidRPr="00771368">
              <w:rPr>
                <w:sz w:val="24"/>
                <w:szCs w:val="24"/>
              </w:rPr>
              <w:t>Ausência/desestrutura da</w:t>
            </w:r>
          </w:p>
        </w:tc>
        <w:tc>
          <w:tcPr>
            <w:tcW w:w="1680" w:type="dxa"/>
            <w:vMerge w:val="restart"/>
            <w:vAlign w:val="bottom"/>
          </w:tcPr>
          <w:p w:rsidR="00D24E61" w:rsidRPr="00771368" w:rsidRDefault="00D24E61">
            <w:pPr>
              <w:ind w:right="20"/>
              <w:jc w:val="right"/>
              <w:rPr>
                <w:sz w:val="20"/>
                <w:szCs w:val="20"/>
              </w:rPr>
            </w:pPr>
            <w:r w:rsidRPr="00771368">
              <w:rPr>
                <w:sz w:val="24"/>
                <w:szCs w:val="24"/>
              </w:rPr>
              <w:t>41(17,5%)</w:t>
            </w:r>
          </w:p>
        </w:tc>
        <w:tc>
          <w:tcPr>
            <w:tcW w:w="1400" w:type="dxa"/>
            <w:vMerge w:val="restart"/>
            <w:vAlign w:val="bottom"/>
          </w:tcPr>
          <w:p w:rsidR="00D24E61" w:rsidRPr="00771368" w:rsidRDefault="00D24E61">
            <w:pPr>
              <w:jc w:val="right"/>
              <w:rPr>
                <w:sz w:val="20"/>
                <w:szCs w:val="20"/>
              </w:rPr>
            </w:pPr>
            <w:r w:rsidRPr="00771368">
              <w:rPr>
                <w:sz w:val="24"/>
                <w:szCs w:val="24"/>
              </w:rPr>
              <w:t>77(32,9%)</w:t>
            </w:r>
          </w:p>
        </w:tc>
        <w:tc>
          <w:tcPr>
            <w:tcW w:w="1420" w:type="dxa"/>
            <w:vMerge w:val="restart"/>
            <w:vAlign w:val="bottom"/>
          </w:tcPr>
          <w:p w:rsidR="00D24E61" w:rsidRPr="00771368" w:rsidRDefault="00D24E61">
            <w:pPr>
              <w:ind w:right="20"/>
              <w:jc w:val="right"/>
              <w:rPr>
                <w:sz w:val="20"/>
                <w:szCs w:val="20"/>
              </w:rPr>
            </w:pPr>
            <w:r w:rsidRPr="00771368">
              <w:rPr>
                <w:sz w:val="24"/>
                <w:szCs w:val="24"/>
              </w:rPr>
              <w:t>99(42,3%)</w:t>
            </w:r>
          </w:p>
        </w:tc>
        <w:tc>
          <w:tcPr>
            <w:tcW w:w="1440" w:type="dxa"/>
            <w:vMerge w:val="restart"/>
            <w:vAlign w:val="bottom"/>
          </w:tcPr>
          <w:p w:rsidR="00D24E61" w:rsidRPr="00771368" w:rsidRDefault="00D24E61">
            <w:pPr>
              <w:jc w:val="right"/>
              <w:rPr>
                <w:sz w:val="20"/>
                <w:szCs w:val="20"/>
              </w:rPr>
            </w:pPr>
            <w:r w:rsidRPr="00771368">
              <w:rPr>
                <w:sz w:val="24"/>
                <w:szCs w:val="24"/>
              </w:rPr>
              <w:t>17(7,3%)</w:t>
            </w:r>
          </w:p>
        </w:tc>
        <w:tc>
          <w:tcPr>
            <w:tcW w:w="0" w:type="dxa"/>
            <w:vAlign w:val="bottom"/>
          </w:tcPr>
          <w:p w:rsidR="00D24E61" w:rsidRPr="00771368" w:rsidRDefault="00D24E61">
            <w:pPr>
              <w:rPr>
                <w:sz w:val="1"/>
                <w:szCs w:val="1"/>
              </w:rPr>
            </w:pPr>
          </w:p>
        </w:tc>
      </w:tr>
      <w:tr w:rsidR="00D24E61" w:rsidRPr="00771368">
        <w:trPr>
          <w:trHeight w:val="139"/>
        </w:trPr>
        <w:tc>
          <w:tcPr>
            <w:tcW w:w="3300" w:type="dxa"/>
            <w:gridSpan w:val="2"/>
            <w:vMerge w:val="restart"/>
            <w:vAlign w:val="bottom"/>
          </w:tcPr>
          <w:p w:rsidR="00D24E61" w:rsidRPr="00771368" w:rsidRDefault="00D24E61">
            <w:pPr>
              <w:ind w:left="120"/>
              <w:rPr>
                <w:sz w:val="20"/>
                <w:szCs w:val="20"/>
              </w:rPr>
            </w:pPr>
            <w:r w:rsidRPr="00771368">
              <w:rPr>
                <w:sz w:val="24"/>
                <w:szCs w:val="24"/>
              </w:rPr>
              <w:t>família</w:t>
            </w:r>
          </w:p>
        </w:tc>
        <w:tc>
          <w:tcPr>
            <w:tcW w:w="1680" w:type="dxa"/>
            <w:vMerge/>
            <w:vAlign w:val="bottom"/>
          </w:tcPr>
          <w:p w:rsidR="00D24E61" w:rsidRPr="00771368" w:rsidRDefault="00D24E61">
            <w:pPr>
              <w:rPr>
                <w:sz w:val="12"/>
                <w:szCs w:val="12"/>
              </w:rPr>
            </w:pPr>
          </w:p>
        </w:tc>
        <w:tc>
          <w:tcPr>
            <w:tcW w:w="1400" w:type="dxa"/>
            <w:vMerge/>
            <w:vAlign w:val="bottom"/>
          </w:tcPr>
          <w:p w:rsidR="00D24E61" w:rsidRPr="00771368" w:rsidRDefault="00D24E61">
            <w:pPr>
              <w:rPr>
                <w:sz w:val="12"/>
                <w:szCs w:val="12"/>
              </w:rPr>
            </w:pPr>
          </w:p>
        </w:tc>
        <w:tc>
          <w:tcPr>
            <w:tcW w:w="1420" w:type="dxa"/>
            <w:vMerge/>
            <w:vAlign w:val="bottom"/>
          </w:tcPr>
          <w:p w:rsidR="00D24E61" w:rsidRPr="00771368" w:rsidRDefault="00D24E61">
            <w:pPr>
              <w:rPr>
                <w:sz w:val="12"/>
                <w:szCs w:val="12"/>
              </w:rPr>
            </w:pPr>
          </w:p>
        </w:tc>
        <w:tc>
          <w:tcPr>
            <w:tcW w:w="1440" w:type="dxa"/>
            <w:vMerge/>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139"/>
        </w:trPr>
        <w:tc>
          <w:tcPr>
            <w:tcW w:w="3300" w:type="dxa"/>
            <w:gridSpan w:val="2"/>
            <w:vMerge/>
            <w:vAlign w:val="bottom"/>
          </w:tcPr>
          <w:p w:rsidR="00D24E61" w:rsidRPr="00771368" w:rsidRDefault="00D24E61">
            <w:pPr>
              <w:rPr>
                <w:sz w:val="12"/>
                <w:szCs w:val="12"/>
              </w:rPr>
            </w:pPr>
          </w:p>
        </w:tc>
        <w:tc>
          <w:tcPr>
            <w:tcW w:w="1680" w:type="dxa"/>
            <w:vAlign w:val="bottom"/>
          </w:tcPr>
          <w:p w:rsidR="00D24E61" w:rsidRPr="00771368" w:rsidRDefault="00D24E61">
            <w:pPr>
              <w:rPr>
                <w:sz w:val="12"/>
                <w:szCs w:val="12"/>
              </w:rPr>
            </w:pPr>
          </w:p>
        </w:tc>
        <w:tc>
          <w:tcPr>
            <w:tcW w:w="1400" w:type="dxa"/>
            <w:vAlign w:val="bottom"/>
          </w:tcPr>
          <w:p w:rsidR="00D24E61" w:rsidRPr="00771368" w:rsidRDefault="00D24E61">
            <w:pPr>
              <w:rPr>
                <w:sz w:val="12"/>
                <w:szCs w:val="12"/>
              </w:rPr>
            </w:pPr>
          </w:p>
        </w:tc>
        <w:tc>
          <w:tcPr>
            <w:tcW w:w="1420" w:type="dxa"/>
            <w:vAlign w:val="bottom"/>
          </w:tcPr>
          <w:p w:rsidR="00D24E61" w:rsidRPr="00771368" w:rsidRDefault="00D24E61">
            <w:pPr>
              <w:rPr>
                <w:sz w:val="12"/>
                <w:szCs w:val="12"/>
              </w:rPr>
            </w:pPr>
          </w:p>
        </w:tc>
        <w:tc>
          <w:tcPr>
            <w:tcW w:w="1440" w:type="dxa"/>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74"/>
        </w:trPr>
        <w:tc>
          <w:tcPr>
            <w:tcW w:w="320" w:type="dxa"/>
            <w:vAlign w:val="bottom"/>
          </w:tcPr>
          <w:p w:rsidR="00D24E61" w:rsidRPr="00771368" w:rsidRDefault="00D24E61">
            <w:pPr>
              <w:spacing w:line="273" w:lineRule="exact"/>
              <w:ind w:left="120"/>
              <w:rPr>
                <w:sz w:val="20"/>
                <w:szCs w:val="20"/>
              </w:rPr>
            </w:pPr>
            <w:r w:rsidRPr="00771368">
              <w:rPr>
                <w:w w:val="99"/>
                <w:sz w:val="24"/>
                <w:szCs w:val="24"/>
              </w:rPr>
              <w:t>2.</w:t>
            </w:r>
          </w:p>
        </w:tc>
        <w:tc>
          <w:tcPr>
            <w:tcW w:w="2980" w:type="dxa"/>
            <w:vAlign w:val="bottom"/>
          </w:tcPr>
          <w:p w:rsidR="00D24E61" w:rsidRPr="00771368" w:rsidRDefault="00D24E61">
            <w:pPr>
              <w:spacing w:line="273" w:lineRule="exact"/>
              <w:ind w:left="40"/>
              <w:rPr>
                <w:sz w:val="20"/>
                <w:szCs w:val="20"/>
              </w:rPr>
            </w:pPr>
            <w:r w:rsidRPr="00771368">
              <w:rPr>
                <w:sz w:val="24"/>
                <w:szCs w:val="24"/>
              </w:rPr>
              <w:t>Intolerância/desrespeito</w:t>
            </w:r>
          </w:p>
        </w:tc>
        <w:tc>
          <w:tcPr>
            <w:tcW w:w="1680" w:type="dxa"/>
            <w:vAlign w:val="bottom"/>
          </w:tcPr>
          <w:p w:rsidR="00D24E61" w:rsidRPr="00771368" w:rsidRDefault="00D24E61">
            <w:pPr>
              <w:spacing w:line="273" w:lineRule="exact"/>
              <w:ind w:right="20"/>
              <w:jc w:val="right"/>
              <w:rPr>
                <w:sz w:val="20"/>
                <w:szCs w:val="20"/>
              </w:rPr>
            </w:pPr>
            <w:r w:rsidRPr="00771368">
              <w:rPr>
                <w:sz w:val="24"/>
                <w:szCs w:val="24"/>
              </w:rPr>
              <w:t>48(20,6%)</w:t>
            </w:r>
          </w:p>
        </w:tc>
        <w:tc>
          <w:tcPr>
            <w:tcW w:w="1400" w:type="dxa"/>
            <w:vAlign w:val="bottom"/>
          </w:tcPr>
          <w:p w:rsidR="00D24E61" w:rsidRPr="00771368" w:rsidRDefault="00D24E61">
            <w:pPr>
              <w:spacing w:line="273" w:lineRule="exact"/>
              <w:jc w:val="right"/>
              <w:rPr>
                <w:sz w:val="20"/>
                <w:szCs w:val="20"/>
              </w:rPr>
            </w:pPr>
            <w:r w:rsidRPr="00771368">
              <w:rPr>
                <w:sz w:val="24"/>
                <w:szCs w:val="24"/>
              </w:rPr>
              <w:t>101(43,3%)</w:t>
            </w:r>
          </w:p>
        </w:tc>
        <w:tc>
          <w:tcPr>
            <w:tcW w:w="1420" w:type="dxa"/>
            <w:vAlign w:val="bottom"/>
          </w:tcPr>
          <w:p w:rsidR="00D24E61" w:rsidRPr="00771368" w:rsidRDefault="00D24E61">
            <w:pPr>
              <w:spacing w:line="273" w:lineRule="exact"/>
              <w:ind w:right="20"/>
              <w:jc w:val="right"/>
              <w:rPr>
                <w:sz w:val="20"/>
                <w:szCs w:val="20"/>
              </w:rPr>
            </w:pPr>
            <w:r w:rsidRPr="00771368">
              <w:rPr>
                <w:sz w:val="24"/>
                <w:szCs w:val="24"/>
              </w:rPr>
              <w:t>70(30,0%)</w:t>
            </w:r>
          </w:p>
        </w:tc>
        <w:tc>
          <w:tcPr>
            <w:tcW w:w="1440" w:type="dxa"/>
            <w:vAlign w:val="bottom"/>
          </w:tcPr>
          <w:p w:rsidR="00D24E61" w:rsidRPr="00771368" w:rsidRDefault="00D24E61">
            <w:pPr>
              <w:spacing w:line="273" w:lineRule="exact"/>
              <w:jc w:val="right"/>
              <w:rPr>
                <w:sz w:val="20"/>
                <w:szCs w:val="20"/>
              </w:rPr>
            </w:pPr>
            <w:r w:rsidRPr="00771368">
              <w:rPr>
                <w:sz w:val="24"/>
                <w:szCs w:val="24"/>
              </w:rPr>
              <w:t>14(6,0%)</w:t>
            </w:r>
          </w:p>
        </w:tc>
        <w:tc>
          <w:tcPr>
            <w:tcW w:w="0" w:type="dxa"/>
            <w:vAlign w:val="bottom"/>
          </w:tcPr>
          <w:p w:rsidR="00D24E61" w:rsidRPr="00771368" w:rsidRDefault="00D24E61">
            <w:pPr>
              <w:rPr>
                <w:sz w:val="1"/>
                <w:szCs w:val="1"/>
              </w:rPr>
            </w:pPr>
          </w:p>
        </w:tc>
      </w:tr>
      <w:tr w:rsidR="00D24E61" w:rsidRPr="00771368">
        <w:trPr>
          <w:trHeight w:val="279"/>
        </w:trPr>
        <w:tc>
          <w:tcPr>
            <w:tcW w:w="320" w:type="dxa"/>
            <w:vAlign w:val="bottom"/>
          </w:tcPr>
          <w:p w:rsidR="00D24E61" w:rsidRPr="00771368" w:rsidRDefault="00D24E61">
            <w:pPr>
              <w:ind w:left="120"/>
              <w:rPr>
                <w:sz w:val="20"/>
                <w:szCs w:val="20"/>
              </w:rPr>
            </w:pPr>
            <w:r w:rsidRPr="00771368">
              <w:rPr>
                <w:w w:val="99"/>
                <w:sz w:val="24"/>
                <w:szCs w:val="24"/>
              </w:rPr>
              <w:t>3.</w:t>
            </w:r>
          </w:p>
        </w:tc>
        <w:tc>
          <w:tcPr>
            <w:tcW w:w="2980" w:type="dxa"/>
            <w:vAlign w:val="bottom"/>
          </w:tcPr>
          <w:p w:rsidR="00D24E61" w:rsidRPr="00771368" w:rsidRDefault="00D24E61">
            <w:pPr>
              <w:ind w:left="40"/>
              <w:rPr>
                <w:sz w:val="20"/>
                <w:szCs w:val="20"/>
              </w:rPr>
            </w:pPr>
            <w:r w:rsidRPr="00771368">
              <w:rPr>
                <w:sz w:val="24"/>
                <w:szCs w:val="24"/>
              </w:rPr>
              <w:t>Ausência de limites</w:t>
            </w:r>
          </w:p>
        </w:tc>
        <w:tc>
          <w:tcPr>
            <w:tcW w:w="1680" w:type="dxa"/>
            <w:vAlign w:val="bottom"/>
          </w:tcPr>
          <w:p w:rsidR="00D24E61" w:rsidRPr="00771368" w:rsidRDefault="00D24E61">
            <w:pPr>
              <w:ind w:right="20"/>
              <w:jc w:val="right"/>
              <w:rPr>
                <w:sz w:val="20"/>
                <w:szCs w:val="20"/>
              </w:rPr>
            </w:pPr>
            <w:r w:rsidRPr="00771368">
              <w:rPr>
                <w:sz w:val="24"/>
                <w:szCs w:val="24"/>
              </w:rPr>
              <w:t>43(18,4%)</w:t>
            </w:r>
          </w:p>
        </w:tc>
        <w:tc>
          <w:tcPr>
            <w:tcW w:w="1400" w:type="dxa"/>
            <w:vAlign w:val="bottom"/>
          </w:tcPr>
          <w:p w:rsidR="00D24E61" w:rsidRPr="00771368" w:rsidRDefault="00D24E61">
            <w:pPr>
              <w:jc w:val="right"/>
              <w:rPr>
                <w:sz w:val="20"/>
                <w:szCs w:val="20"/>
              </w:rPr>
            </w:pPr>
            <w:r w:rsidRPr="00771368">
              <w:rPr>
                <w:sz w:val="24"/>
                <w:szCs w:val="24"/>
              </w:rPr>
              <w:t>101(43,2%)</w:t>
            </w:r>
          </w:p>
        </w:tc>
        <w:tc>
          <w:tcPr>
            <w:tcW w:w="1420" w:type="dxa"/>
            <w:vAlign w:val="bottom"/>
          </w:tcPr>
          <w:p w:rsidR="00D24E61" w:rsidRPr="00771368" w:rsidRDefault="00D24E61">
            <w:pPr>
              <w:ind w:right="20"/>
              <w:jc w:val="right"/>
              <w:rPr>
                <w:sz w:val="20"/>
                <w:szCs w:val="20"/>
              </w:rPr>
            </w:pPr>
            <w:r w:rsidRPr="00771368">
              <w:rPr>
                <w:sz w:val="24"/>
                <w:szCs w:val="24"/>
              </w:rPr>
              <w:t>82(35,0%)</w:t>
            </w:r>
          </w:p>
        </w:tc>
        <w:tc>
          <w:tcPr>
            <w:tcW w:w="1440" w:type="dxa"/>
            <w:vAlign w:val="bottom"/>
          </w:tcPr>
          <w:p w:rsidR="00D24E61" w:rsidRPr="00771368" w:rsidRDefault="00D24E61">
            <w:pPr>
              <w:jc w:val="right"/>
              <w:rPr>
                <w:sz w:val="20"/>
                <w:szCs w:val="20"/>
              </w:rPr>
            </w:pPr>
            <w:r w:rsidRPr="00771368">
              <w:rPr>
                <w:sz w:val="24"/>
                <w:szCs w:val="24"/>
              </w:rPr>
              <w:t>8(3,4%)</w:t>
            </w:r>
          </w:p>
        </w:tc>
        <w:tc>
          <w:tcPr>
            <w:tcW w:w="0" w:type="dxa"/>
            <w:vAlign w:val="bottom"/>
          </w:tcPr>
          <w:p w:rsidR="00D24E61" w:rsidRPr="00771368" w:rsidRDefault="00D24E61">
            <w:pPr>
              <w:rPr>
                <w:sz w:val="1"/>
                <w:szCs w:val="1"/>
              </w:rPr>
            </w:pPr>
          </w:p>
        </w:tc>
      </w:tr>
      <w:tr w:rsidR="00D24E61" w:rsidRPr="00771368">
        <w:trPr>
          <w:trHeight w:val="274"/>
        </w:trPr>
        <w:tc>
          <w:tcPr>
            <w:tcW w:w="320" w:type="dxa"/>
            <w:vAlign w:val="bottom"/>
          </w:tcPr>
          <w:p w:rsidR="00D24E61" w:rsidRPr="00771368" w:rsidRDefault="00D24E61">
            <w:pPr>
              <w:spacing w:line="273" w:lineRule="exact"/>
              <w:ind w:left="120"/>
              <w:rPr>
                <w:sz w:val="20"/>
                <w:szCs w:val="20"/>
              </w:rPr>
            </w:pPr>
            <w:r w:rsidRPr="00771368">
              <w:rPr>
                <w:w w:val="99"/>
                <w:sz w:val="24"/>
                <w:szCs w:val="24"/>
              </w:rPr>
              <w:t>4.</w:t>
            </w:r>
          </w:p>
        </w:tc>
        <w:tc>
          <w:tcPr>
            <w:tcW w:w="2980" w:type="dxa"/>
            <w:vAlign w:val="bottom"/>
          </w:tcPr>
          <w:p w:rsidR="00D24E61" w:rsidRPr="00771368" w:rsidRDefault="00D24E61">
            <w:pPr>
              <w:spacing w:line="273" w:lineRule="exact"/>
              <w:ind w:left="40"/>
              <w:rPr>
                <w:sz w:val="20"/>
                <w:szCs w:val="20"/>
              </w:rPr>
            </w:pPr>
            <w:r w:rsidRPr="00771368">
              <w:rPr>
                <w:sz w:val="24"/>
                <w:szCs w:val="24"/>
              </w:rPr>
              <w:t>Impunidade/descaso</w:t>
            </w:r>
          </w:p>
        </w:tc>
        <w:tc>
          <w:tcPr>
            <w:tcW w:w="1680" w:type="dxa"/>
            <w:vAlign w:val="bottom"/>
          </w:tcPr>
          <w:p w:rsidR="00D24E61" w:rsidRPr="00771368" w:rsidRDefault="00D24E61">
            <w:pPr>
              <w:spacing w:line="273" w:lineRule="exact"/>
              <w:ind w:right="20"/>
              <w:jc w:val="right"/>
              <w:rPr>
                <w:sz w:val="20"/>
                <w:szCs w:val="20"/>
              </w:rPr>
            </w:pPr>
            <w:r w:rsidRPr="00771368">
              <w:rPr>
                <w:sz w:val="24"/>
                <w:szCs w:val="24"/>
              </w:rPr>
              <w:t>38(16,2%)</w:t>
            </w:r>
          </w:p>
        </w:tc>
        <w:tc>
          <w:tcPr>
            <w:tcW w:w="1400" w:type="dxa"/>
            <w:vAlign w:val="bottom"/>
          </w:tcPr>
          <w:p w:rsidR="00D24E61" w:rsidRPr="00771368" w:rsidRDefault="00D24E61">
            <w:pPr>
              <w:spacing w:line="273" w:lineRule="exact"/>
              <w:jc w:val="right"/>
              <w:rPr>
                <w:sz w:val="20"/>
                <w:szCs w:val="20"/>
              </w:rPr>
            </w:pPr>
            <w:r w:rsidRPr="00771368">
              <w:rPr>
                <w:sz w:val="24"/>
                <w:szCs w:val="24"/>
              </w:rPr>
              <w:t>88(37,6%)</w:t>
            </w:r>
          </w:p>
        </w:tc>
        <w:tc>
          <w:tcPr>
            <w:tcW w:w="1420" w:type="dxa"/>
            <w:vAlign w:val="bottom"/>
          </w:tcPr>
          <w:p w:rsidR="00D24E61" w:rsidRPr="00771368" w:rsidRDefault="00D24E61">
            <w:pPr>
              <w:spacing w:line="273" w:lineRule="exact"/>
              <w:ind w:right="20"/>
              <w:jc w:val="right"/>
              <w:rPr>
                <w:sz w:val="20"/>
                <w:szCs w:val="20"/>
              </w:rPr>
            </w:pPr>
            <w:r w:rsidRPr="00771368">
              <w:rPr>
                <w:sz w:val="24"/>
                <w:szCs w:val="24"/>
              </w:rPr>
              <w:t>90(38,5%)</w:t>
            </w:r>
          </w:p>
        </w:tc>
        <w:tc>
          <w:tcPr>
            <w:tcW w:w="1440" w:type="dxa"/>
            <w:vAlign w:val="bottom"/>
          </w:tcPr>
          <w:p w:rsidR="00D24E61" w:rsidRPr="00771368" w:rsidRDefault="00D24E61">
            <w:pPr>
              <w:spacing w:line="273" w:lineRule="exact"/>
              <w:jc w:val="right"/>
              <w:rPr>
                <w:sz w:val="20"/>
                <w:szCs w:val="20"/>
              </w:rPr>
            </w:pPr>
            <w:r w:rsidRPr="00771368">
              <w:rPr>
                <w:sz w:val="24"/>
                <w:szCs w:val="24"/>
              </w:rPr>
              <w:t>18(7,7%)</w:t>
            </w:r>
          </w:p>
        </w:tc>
        <w:tc>
          <w:tcPr>
            <w:tcW w:w="0" w:type="dxa"/>
            <w:vAlign w:val="bottom"/>
          </w:tcPr>
          <w:p w:rsidR="00D24E61" w:rsidRPr="00771368" w:rsidRDefault="00D24E61">
            <w:pPr>
              <w:rPr>
                <w:sz w:val="1"/>
                <w:szCs w:val="1"/>
              </w:rPr>
            </w:pPr>
          </w:p>
        </w:tc>
      </w:tr>
      <w:tr w:rsidR="00D24E61" w:rsidRPr="00771368">
        <w:trPr>
          <w:trHeight w:val="278"/>
        </w:trPr>
        <w:tc>
          <w:tcPr>
            <w:tcW w:w="320" w:type="dxa"/>
            <w:vAlign w:val="bottom"/>
          </w:tcPr>
          <w:p w:rsidR="00D24E61" w:rsidRPr="00771368" w:rsidRDefault="00D24E61">
            <w:pPr>
              <w:ind w:left="120"/>
              <w:rPr>
                <w:sz w:val="20"/>
                <w:szCs w:val="20"/>
              </w:rPr>
            </w:pPr>
            <w:r w:rsidRPr="00771368">
              <w:rPr>
                <w:w w:val="99"/>
                <w:sz w:val="24"/>
                <w:szCs w:val="24"/>
              </w:rPr>
              <w:t>5.</w:t>
            </w:r>
          </w:p>
        </w:tc>
        <w:tc>
          <w:tcPr>
            <w:tcW w:w="2980" w:type="dxa"/>
            <w:vAlign w:val="bottom"/>
          </w:tcPr>
          <w:p w:rsidR="00D24E61" w:rsidRPr="00771368" w:rsidRDefault="00D24E61">
            <w:pPr>
              <w:ind w:left="40"/>
              <w:rPr>
                <w:sz w:val="20"/>
                <w:szCs w:val="20"/>
              </w:rPr>
            </w:pPr>
            <w:r w:rsidRPr="00771368">
              <w:rPr>
                <w:sz w:val="24"/>
                <w:szCs w:val="24"/>
              </w:rPr>
              <w:t>Influência da Internet/mídia</w:t>
            </w:r>
          </w:p>
        </w:tc>
        <w:tc>
          <w:tcPr>
            <w:tcW w:w="1680" w:type="dxa"/>
            <w:vAlign w:val="bottom"/>
          </w:tcPr>
          <w:p w:rsidR="00D24E61" w:rsidRPr="00771368" w:rsidRDefault="00D24E61">
            <w:pPr>
              <w:ind w:right="20"/>
              <w:jc w:val="right"/>
              <w:rPr>
                <w:sz w:val="20"/>
                <w:szCs w:val="20"/>
              </w:rPr>
            </w:pPr>
            <w:r w:rsidRPr="00771368">
              <w:rPr>
                <w:sz w:val="24"/>
                <w:szCs w:val="24"/>
              </w:rPr>
              <w:t>30(12,8%)</w:t>
            </w:r>
          </w:p>
        </w:tc>
        <w:tc>
          <w:tcPr>
            <w:tcW w:w="1400" w:type="dxa"/>
            <w:vAlign w:val="bottom"/>
          </w:tcPr>
          <w:p w:rsidR="00D24E61" w:rsidRPr="00771368" w:rsidRDefault="00D24E61">
            <w:pPr>
              <w:jc w:val="right"/>
              <w:rPr>
                <w:sz w:val="20"/>
                <w:szCs w:val="20"/>
              </w:rPr>
            </w:pPr>
            <w:r w:rsidRPr="00771368">
              <w:rPr>
                <w:sz w:val="24"/>
                <w:szCs w:val="24"/>
              </w:rPr>
              <w:t>94(40,2%)</w:t>
            </w:r>
          </w:p>
        </w:tc>
        <w:tc>
          <w:tcPr>
            <w:tcW w:w="1420" w:type="dxa"/>
            <w:vAlign w:val="bottom"/>
          </w:tcPr>
          <w:p w:rsidR="00D24E61" w:rsidRPr="00771368" w:rsidRDefault="00D24E61">
            <w:pPr>
              <w:ind w:right="20"/>
              <w:jc w:val="right"/>
              <w:rPr>
                <w:sz w:val="20"/>
                <w:szCs w:val="20"/>
              </w:rPr>
            </w:pPr>
            <w:r w:rsidRPr="00771368">
              <w:rPr>
                <w:sz w:val="24"/>
                <w:szCs w:val="24"/>
              </w:rPr>
              <w:t>90(38,5%)</w:t>
            </w:r>
          </w:p>
        </w:tc>
        <w:tc>
          <w:tcPr>
            <w:tcW w:w="1440" w:type="dxa"/>
            <w:vAlign w:val="bottom"/>
          </w:tcPr>
          <w:p w:rsidR="00D24E61" w:rsidRPr="00771368" w:rsidRDefault="00D24E61">
            <w:pPr>
              <w:jc w:val="right"/>
              <w:rPr>
                <w:sz w:val="20"/>
                <w:szCs w:val="20"/>
              </w:rPr>
            </w:pPr>
            <w:r w:rsidRPr="00771368">
              <w:rPr>
                <w:sz w:val="24"/>
                <w:szCs w:val="24"/>
              </w:rPr>
              <w:t>20(8,5%)</w:t>
            </w:r>
          </w:p>
        </w:tc>
        <w:tc>
          <w:tcPr>
            <w:tcW w:w="0" w:type="dxa"/>
            <w:vAlign w:val="bottom"/>
          </w:tcPr>
          <w:p w:rsidR="00D24E61" w:rsidRPr="00771368" w:rsidRDefault="00D24E61">
            <w:pPr>
              <w:rPr>
                <w:sz w:val="1"/>
                <w:szCs w:val="1"/>
              </w:rPr>
            </w:pPr>
          </w:p>
        </w:tc>
      </w:tr>
      <w:tr w:rsidR="00D24E61" w:rsidRPr="00771368">
        <w:trPr>
          <w:trHeight w:val="274"/>
        </w:trPr>
        <w:tc>
          <w:tcPr>
            <w:tcW w:w="320" w:type="dxa"/>
            <w:vAlign w:val="bottom"/>
          </w:tcPr>
          <w:p w:rsidR="00D24E61" w:rsidRPr="00771368" w:rsidRDefault="00D24E61">
            <w:pPr>
              <w:spacing w:line="273" w:lineRule="exact"/>
              <w:ind w:left="120"/>
              <w:rPr>
                <w:sz w:val="20"/>
                <w:szCs w:val="20"/>
              </w:rPr>
            </w:pPr>
            <w:r w:rsidRPr="00771368">
              <w:rPr>
                <w:w w:val="99"/>
                <w:sz w:val="24"/>
                <w:szCs w:val="24"/>
              </w:rPr>
              <w:t>6.</w:t>
            </w:r>
          </w:p>
        </w:tc>
        <w:tc>
          <w:tcPr>
            <w:tcW w:w="2980" w:type="dxa"/>
            <w:vAlign w:val="bottom"/>
          </w:tcPr>
          <w:p w:rsidR="00D24E61" w:rsidRPr="00771368" w:rsidRDefault="00D24E61">
            <w:pPr>
              <w:spacing w:line="273" w:lineRule="exact"/>
              <w:ind w:left="40"/>
              <w:rPr>
                <w:sz w:val="20"/>
                <w:szCs w:val="20"/>
              </w:rPr>
            </w:pPr>
            <w:r w:rsidRPr="00771368">
              <w:rPr>
                <w:sz w:val="24"/>
                <w:szCs w:val="24"/>
              </w:rPr>
              <w:t>Bullying</w:t>
            </w:r>
          </w:p>
        </w:tc>
        <w:tc>
          <w:tcPr>
            <w:tcW w:w="1680" w:type="dxa"/>
            <w:vAlign w:val="bottom"/>
          </w:tcPr>
          <w:p w:rsidR="00D24E61" w:rsidRPr="00771368" w:rsidRDefault="00D24E61">
            <w:pPr>
              <w:spacing w:line="273" w:lineRule="exact"/>
              <w:ind w:right="20"/>
              <w:jc w:val="right"/>
              <w:rPr>
                <w:sz w:val="20"/>
                <w:szCs w:val="20"/>
              </w:rPr>
            </w:pPr>
            <w:r w:rsidRPr="00771368">
              <w:rPr>
                <w:sz w:val="24"/>
                <w:szCs w:val="24"/>
              </w:rPr>
              <w:t>62(26,6%)</w:t>
            </w:r>
          </w:p>
        </w:tc>
        <w:tc>
          <w:tcPr>
            <w:tcW w:w="1400" w:type="dxa"/>
            <w:vAlign w:val="bottom"/>
          </w:tcPr>
          <w:p w:rsidR="00D24E61" w:rsidRPr="00771368" w:rsidRDefault="00D24E61">
            <w:pPr>
              <w:spacing w:line="273" w:lineRule="exact"/>
              <w:jc w:val="right"/>
              <w:rPr>
                <w:sz w:val="20"/>
                <w:szCs w:val="20"/>
              </w:rPr>
            </w:pPr>
            <w:r w:rsidRPr="00771368">
              <w:rPr>
                <w:sz w:val="24"/>
                <w:szCs w:val="24"/>
              </w:rPr>
              <w:t>91(39,1%)</w:t>
            </w:r>
          </w:p>
        </w:tc>
        <w:tc>
          <w:tcPr>
            <w:tcW w:w="1420" w:type="dxa"/>
            <w:vAlign w:val="bottom"/>
          </w:tcPr>
          <w:p w:rsidR="00D24E61" w:rsidRPr="00771368" w:rsidRDefault="00D24E61">
            <w:pPr>
              <w:spacing w:line="273" w:lineRule="exact"/>
              <w:ind w:right="20"/>
              <w:jc w:val="right"/>
              <w:rPr>
                <w:sz w:val="20"/>
                <w:szCs w:val="20"/>
              </w:rPr>
            </w:pPr>
            <w:r w:rsidRPr="00771368">
              <w:rPr>
                <w:sz w:val="24"/>
                <w:szCs w:val="24"/>
              </w:rPr>
              <w:t>65(27,9%)</w:t>
            </w:r>
          </w:p>
        </w:tc>
        <w:tc>
          <w:tcPr>
            <w:tcW w:w="1440" w:type="dxa"/>
            <w:vAlign w:val="bottom"/>
          </w:tcPr>
          <w:p w:rsidR="00D24E61" w:rsidRPr="00771368" w:rsidRDefault="00D24E61">
            <w:pPr>
              <w:spacing w:line="273" w:lineRule="exact"/>
              <w:jc w:val="right"/>
              <w:rPr>
                <w:sz w:val="20"/>
                <w:szCs w:val="20"/>
              </w:rPr>
            </w:pPr>
            <w:r w:rsidRPr="00771368">
              <w:rPr>
                <w:sz w:val="24"/>
                <w:szCs w:val="24"/>
              </w:rPr>
              <w:t>15(6,4%)</w:t>
            </w:r>
          </w:p>
        </w:tc>
        <w:tc>
          <w:tcPr>
            <w:tcW w:w="0" w:type="dxa"/>
            <w:vAlign w:val="bottom"/>
          </w:tcPr>
          <w:p w:rsidR="00D24E61" w:rsidRPr="00771368" w:rsidRDefault="00D24E61">
            <w:pPr>
              <w:rPr>
                <w:sz w:val="1"/>
                <w:szCs w:val="1"/>
              </w:rPr>
            </w:pPr>
          </w:p>
        </w:tc>
      </w:tr>
      <w:tr w:rsidR="00D24E61" w:rsidRPr="00771368">
        <w:trPr>
          <w:trHeight w:val="278"/>
        </w:trPr>
        <w:tc>
          <w:tcPr>
            <w:tcW w:w="320" w:type="dxa"/>
            <w:vAlign w:val="bottom"/>
          </w:tcPr>
          <w:p w:rsidR="00D24E61" w:rsidRPr="00771368" w:rsidRDefault="00D24E61">
            <w:pPr>
              <w:ind w:left="120"/>
              <w:rPr>
                <w:sz w:val="20"/>
                <w:szCs w:val="20"/>
              </w:rPr>
            </w:pPr>
            <w:r w:rsidRPr="00771368">
              <w:rPr>
                <w:w w:val="99"/>
                <w:sz w:val="24"/>
                <w:szCs w:val="24"/>
              </w:rPr>
              <w:t>7.</w:t>
            </w:r>
          </w:p>
        </w:tc>
        <w:tc>
          <w:tcPr>
            <w:tcW w:w="2980" w:type="dxa"/>
            <w:vAlign w:val="bottom"/>
          </w:tcPr>
          <w:p w:rsidR="00D24E61" w:rsidRPr="00771368" w:rsidRDefault="00D24E61">
            <w:pPr>
              <w:ind w:left="40"/>
              <w:rPr>
                <w:sz w:val="20"/>
                <w:szCs w:val="20"/>
              </w:rPr>
            </w:pPr>
            <w:r w:rsidRPr="00771368">
              <w:rPr>
                <w:sz w:val="24"/>
                <w:szCs w:val="24"/>
              </w:rPr>
              <w:t>Fatores econômico-sociais</w:t>
            </w:r>
          </w:p>
        </w:tc>
        <w:tc>
          <w:tcPr>
            <w:tcW w:w="1680" w:type="dxa"/>
            <w:vAlign w:val="bottom"/>
          </w:tcPr>
          <w:p w:rsidR="00D24E61" w:rsidRPr="00771368" w:rsidRDefault="00D24E61">
            <w:pPr>
              <w:ind w:right="20"/>
              <w:jc w:val="right"/>
              <w:rPr>
                <w:sz w:val="20"/>
                <w:szCs w:val="20"/>
              </w:rPr>
            </w:pPr>
            <w:r w:rsidRPr="00771368">
              <w:rPr>
                <w:sz w:val="24"/>
                <w:szCs w:val="24"/>
              </w:rPr>
              <w:t>24(10,3%)</w:t>
            </w:r>
          </w:p>
        </w:tc>
        <w:tc>
          <w:tcPr>
            <w:tcW w:w="1400" w:type="dxa"/>
            <w:vAlign w:val="bottom"/>
          </w:tcPr>
          <w:p w:rsidR="00D24E61" w:rsidRPr="00771368" w:rsidRDefault="00D24E61">
            <w:pPr>
              <w:jc w:val="right"/>
              <w:rPr>
                <w:sz w:val="20"/>
                <w:szCs w:val="20"/>
              </w:rPr>
            </w:pPr>
            <w:r w:rsidRPr="00771368">
              <w:rPr>
                <w:sz w:val="24"/>
                <w:szCs w:val="24"/>
              </w:rPr>
              <w:t>76(32,5%)</w:t>
            </w:r>
          </w:p>
        </w:tc>
        <w:tc>
          <w:tcPr>
            <w:tcW w:w="1420" w:type="dxa"/>
            <w:vAlign w:val="bottom"/>
          </w:tcPr>
          <w:p w:rsidR="00D24E61" w:rsidRPr="00771368" w:rsidRDefault="00D24E61">
            <w:pPr>
              <w:ind w:right="20"/>
              <w:jc w:val="right"/>
              <w:rPr>
                <w:sz w:val="20"/>
                <w:szCs w:val="20"/>
              </w:rPr>
            </w:pPr>
            <w:r w:rsidRPr="00771368">
              <w:rPr>
                <w:sz w:val="24"/>
                <w:szCs w:val="24"/>
              </w:rPr>
              <w:t>106(45,3%)</w:t>
            </w:r>
          </w:p>
        </w:tc>
        <w:tc>
          <w:tcPr>
            <w:tcW w:w="1440" w:type="dxa"/>
            <w:vAlign w:val="bottom"/>
          </w:tcPr>
          <w:p w:rsidR="00D24E61" w:rsidRPr="00771368" w:rsidRDefault="00D24E61">
            <w:pPr>
              <w:jc w:val="right"/>
              <w:rPr>
                <w:sz w:val="20"/>
                <w:szCs w:val="20"/>
              </w:rPr>
            </w:pPr>
            <w:r w:rsidRPr="00771368">
              <w:rPr>
                <w:sz w:val="24"/>
                <w:szCs w:val="24"/>
              </w:rPr>
              <w:t>28(12,0%)</w:t>
            </w:r>
          </w:p>
        </w:tc>
        <w:tc>
          <w:tcPr>
            <w:tcW w:w="0" w:type="dxa"/>
            <w:vAlign w:val="bottom"/>
          </w:tcPr>
          <w:p w:rsidR="00D24E61" w:rsidRPr="00771368" w:rsidRDefault="00D24E61">
            <w:pPr>
              <w:rPr>
                <w:sz w:val="1"/>
                <w:szCs w:val="1"/>
              </w:rPr>
            </w:pPr>
          </w:p>
        </w:tc>
      </w:tr>
      <w:tr w:rsidR="00D24E61" w:rsidRPr="00771368">
        <w:trPr>
          <w:trHeight w:val="274"/>
        </w:trPr>
        <w:tc>
          <w:tcPr>
            <w:tcW w:w="320" w:type="dxa"/>
            <w:vAlign w:val="bottom"/>
          </w:tcPr>
          <w:p w:rsidR="00D24E61" w:rsidRPr="00771368" w:rsidRDefault="00D24E61">
            <w:pPr>
              <w:spacing w:line="273" w:lineRule="exact"/>
              <w:ind w:left="120"/>
              <w:rPr>
                <w:sz w:val="20"/>
                <w:szCs w:val="20"/>
              </w:rPr>
            </w:pPr>
            <w:r w:rsidRPr="00771368">
              <w:rPr>
                <w:w w:val="99"/>
                <w:sz w:val="24"/>
                <w:szCs w:val="24"/>
              </w:rPr>
              <w:t>8.</w:t>
            </w:r>
          </w:p>
        </w:tc>
        <w:tc>
          <w:tcPr>
            <w:tcW w:w="2980" w:type="dxa"/>
            <w:vAlign w:val="bottom"/>
          </w:tcPr>
          <w:p w:rsidR="00D24E61" w:rsidRPr="00771368" w:rsidRDefault="00D24E61">
            <w:pPr>
              <w:spacing w:line="273" w:lineRule="exact"/>
              <w:ind w:left="40"/>
              <w:rPr>
                <w:sz w:val="20"/>
                <w:szCs w:val="20"/>
              </w:rPr>
            </w:pPr>
            <w:r w:rsidRPr="00771368">
              <w:rPr>
                <w:sz w:val="24"/>
                <w:szCs w:val="24"/>
              </w:rPr>
              <w:t>Práticas pedagógicas</w:t>
            </w:r>
          </w:p>
        </w:tc>
        <w:tc>
          <w:tcPr>
            <w:tcW w:w="1680" w:type="dxa"/>
            <w:vMerge w:val="restart"/>
            <w:vAlign w:val="bottom"/>
          </w:tcPr>
          <w:p w:rsidR="00D24E61" w:rsidRPr="00771368" w:rsidRDefault="00D24E61">
            <w:pPr>
              <w:ind w:right="20"/>
              <w:jc w:val="right"/>
              <w:rPr>
                <w:sz w:val="20"/>
                <w:szCs w:val="20"/>
              </w:rPr>
            </w:pPr>
            <w:r w:rsidRPr="00771368">
              <w:rPr>
                <w:sz w:val="24"/>
                <w:szCs w:val="24"/>
              </w:rPr>
              <w:t>15(6,4%)</w:t>
            </w:r>
          </w:p>
        </w:tc>
        <w:tc>
          <w:tcPr>
            <w:tcW w:w="1400" w:type="dxa"/>
            <w:vMerge w:val="restart"/>
            <w:vAlign w:val="bottom"/>
          </w:tcPr>
          <w:p w:rsidR="00D24E61" w:rsidRPr="00771368" w:rsidRDefault="00D24E61">
            <w:pPr>
              <w:jc w:val="right"/>
              <w:rPr>
                <w:sz w:val="20"/>
                <w:szCs w:val="20"/>
              </w:rPr>
            </w:pPr>
            <w:r w:rsidRPr="00771368">
              <w:rPr>
                <w:sz w:val="24"/>
                <w:szCs w:val="24"/>
              </w:rPr>
              <w:t>87(37,2%)</w:t>
            </w:r>
          </w:p>
        </w:tc>
        <w:tc>
          <w:tcPr>
            <w:tcW w:w="1420" w:type="dxa"/>
            <w:vMerge w:val="restart"/>
            <w:vAlign w:val="bottom"/>
          </w:tcPr>
          <w:p w:rsidR="00D24E61" w:rsidRPr="00771368" w:rsidRDefault="00D24E61">
            <w:pPr>
              <w:ind w:right="20"/>
              <w:jc w:val="right"/>
              <w:rPr>
                <w:sz w:val="20"/>
                <w:szCs w:val="20"/>
              </w:rPr>
            </w:pPr>
            <w:r w:rsidRPr="00771368">
              <w:rPr>
                <w:sz w:val="24"/>
                <w:szCs w:val="24"/>
              </w:rPr>
              <w:t>104(44,4%)</w:t>
            </w:r>
          </w:p>
        </w:tc>
        <w:tc>
          <w:tcPr>
            <w:tcW w:w="1440" w:type="dxa"/>
            <w:vMerge w:val="restart"/>
            <w:vAlign w:val="bottom"/>
          </w:tcPr>
          <w:p w:rsidR="00D24E61" w:rsidRPr="00771368" w:rsidRDefault="00D24E61">
            <w:pPr>
              <w:jc w:val="right"/>
              <w:rPr>
                <w:sz w:val="20"/>
                <w:szCs w:val="20"/>
              </w:rPr>
            </w:pPr>
            <w:r w:rsidRPr="00771368">
              <w:rPr>
                <w:sz w:val="24"/>
                <w:szCs w:val="24"/>
              </w:rPr>
              <w:t>28(12,0%)</w:t>
            </w:r>
          </w:p>
        </w:tc>
        <w:tc>
          <w:tcPr>
            <w:tcW w:w="0" w:type="dxa"/>
            <w:vAlign w:val="bottom"/>
          </w:tcPr>
          <w:p w:rsidR="00D24E61" w:rsidRPr="00771368" w:rsidRDefault="00D24E61">
            <w:pPr>
              <w:rPr>
                <w:sz w:val="1"/>
                <w:szCs w:val="1"/>
              </w:rPr>
            </w:pPr>
          </w:p>
        </w:tc>
      </w:tr>
      <w:tr w:rsidR="00D24E61" w:rsidRPr="00771368">
        <w:trPr>
          <w:trHeight w:val="139"/>
        </w:trPr>
        <w:tc>
          <w:tcPr>
            <w:tcW w:w="3300" w:type="dxa"/>
            <w:gridSpan w:val="2"/>
            <w:vMerge w:val="restart"/>
            <w:vAlign w:val="bottom"/>
          </w:tcPr>
          <w:p w:rsidR="00D24E61" w:rsidRPr="00771368" w:rsidRDefault="00D24E61">
            <w:pPr>
              <w:ind w:left="120"/>
              <w:rPr>
                <w:sz w:val="20"/>
                <w:szCs w:val="20"/>
              </w:rPr>
            </w:pPr>
            <w:r w:rsidRPr="00771368">
              <w:rPr>
                <w:sz w:val="24"/>
                <w:szCs w:val="24"/>
              </w:rPr>
              <w:t>inflexíveis</w:t>
            </w:r>
          </w:p>
        </w:tc>
        <w:tc>
          <w:tcPr>
            <w:tcW w:w="1680" w:type="dxa"/>
            <w:vMerge/>
            <w:vAlign w:val="bottom"/>
          </w:tcPr>
          <w:p w:rsidR="00D24E61" w:rsidRPr="00771368" w:rsidRDefault="00D24E61">
            <w:pPr>
              <w:rPr>
                <w:sz w:val="12"/>
                <w:szCs w:val="12"/>
              </w:rPr>
            </w:pPr>
          </w:p>
        </w:tc>
        <w:tc>
          <w:tcPr>
            <w:tcW w:w="1400" w:type="dxa"/>
            <w:vMerge/>
            <w:vAlign w:val="bottom"/>
          </w:tcPr>
          <w:p w:rsidR="00D24E61" w:rsidRPr="00771368" w:rsidRDefault="00D24E61">
            <w:pPr>
              <w:rPr>
                <w:sz w:val="12"/>
                <w:szCs w:val="12"/>
              </w:rPr>
            </w:pPr>
          </w:p>
        </w:tc>
        <w:tc>
          <w:tcPr>
            <w:tcW w:w="1420" w:type="dxa"/>
            <w:vMerge/>
            <w:vAlign w:val="bottom"/>
          </w:tcPr>
          <w:p w:rsidR="00D24E61" w:rsidRPr="00771368" w:rsidRDefault="00D24E61">
            <w:pPr>
              <w:rPr>
                <w:sz w:val="12"/>
                <w:szCs w:val="12"/>
              </w:rPr>
            </w:pPr>
          </w:p>
        </w:tc>
        <w:tc>
          <w:tcPr>
            <w:tcW w:w="1440" w:type="dxa"/>
            <w:vMerge/>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139"/>
        </w:trPr>
        <w:tc>
          <w:tcPr>
            <w:tcW w:w="3300" w:type="dxa"/>
            <w:gridSpan w:val="2"/>
            <w:vMerge/>
            <w:vAlign w:val="bottom"/>
          </w:tcPr>
          <w:p w:rsidR="00D24E61" w:rsidRPr="00771368" w:rsidRDefault="00D24E61">
            <w:pPr>
              <w:rPr>
                <w:sz w:val="12"/>
                <w:szCs w:val="12"/>
              </w:rPr>
            </w:pPr>
          </w:p>
        </w:tc>
        <w:tc>
          <w:tcPr>
            <w:tcW w:w="1680" w:type="dxa"/>
            <w:vAlign w:val="bottom"/>
          </w:tcPr>
          <w:p w:rsidR="00D24E61" w:rsidRPr="00771368" w:rsidRDefault="00D24E61">
            <w:pPr>
              <w:rPr>
                <w:sz w:val="12"/>
                <w:szCs w:val="12"/>
              </w:rPr>
            </w:pPr>
          </w:p>
        </w:tc>
        <w:tc>
          <w:tcPr>
            <w:tcW w:w="1400" w:type="dxa"/>
            <w:vAlign w:val="bottom"/>
          </w:tcPr>
          <w:p w:rsidR="00D24E61" w:rsidRPr="00771368" w:rsidRDefault="00D24E61">
            <w:pPr>
              <w:rPr>
                <w:sz w:val="12"/>
                <w:szCs w:val="12"/>
              </w:rPr>
            </w:pPr>
          </w:p>
        </w:tc>
        <w:tc>
          <w:tcPr>
            <w:tcW w:w="1420" w:type="dxa"/>
            <w:vAlign w:val="bottom"/>
          </w:tcPr>
          <w:p w:rsidR="00D24E61" w:rsidRPr="00771368" w:rsidRDefault="00D24E61">
            <w:pPr>
              <w:rPr>
                <w:sz w:val="12"/>
                <w:szCs w:val="12"/>
              </w:rPr>
            </w:pPr>
          </w:p>
        </w:tc>
        <w:tc>
          <w:tcPr>
            <w:tcW w:w="1440" w:type="dxa"/>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r w:rsidR="00D24E61" w:rsidRPr="00771368">
        <w:trPr>
          <w:trHeight w:val="274"/>
        </w:trPr>
        <w:tc>
          <w:tcPr>
            <w:tcW w:w="320" w:type="dxa"/>
            <w:vAlign w:val="bottom"/>
          </w:tcPr>
          <w:p w:rsidR="00D24E61" w:rsidRPr="00771368" w:rsidRDefault="00D24E61">
            <w:pPr>
              <w:spacing w:line="274" w:lineRule="exact"/>
              <w:ind w:left="120"/>
              <w:rPr>
                <w:sz w:val="20"/>
                <w:szCs w:val="20"/>
              </w:rPr>
            </w:pPr>
            <w:r w:rsidRPr="00771368">
              <w:rPr>
                <w:w w:val="99"/>
                <w:sz w:val="24"/>
                <w:szCs w:val="24"/>
              </w:rPr>
              <w:t>9.</w:t>
            </w:r>
          </w:p>
        </w:tc>
        <w:tc>
          <w:tcPr>
            <w:tcW w:w="2980" w:type="dxa"/>
            <w:vAlign w:val="bottom"/>
          </w:tcPr>
          <w:p w:rsidR="00D24E61" w:rsidRPr="00771368" w:rsidRDefault="00D24E61">
            <w:pPr>
              <w:spacing w:line="274" w:lineRule="exact"/>
              <w:ind w:left="40"/>
              <w:rPr>
                <w:sz w:val="20"/>
                <w:szCs w:val="20"/>
              </w:rPr>
            </w:pPr>
            <w:r w:rsidRPr="00771368">
              <w:rPr>
                <w:sz w:val="24"/>
                <w:szCs w:val="24"/>
              </w:rPr>
              <w:t>Ausência de valores morais</w:t>
            </w:r>
          </w:p>
        </w:tc>
        <w:tc>
          <w:tcPr>
            <w:tcW w:w="1680" w:type="dxa"/>
            <w:vAlign w:val="bottom"/>
          </w:tcPr>
          <w:p w:rsidR="00D24E61" w:rsidRPr="00771368" w:rsidRDefault="00D24E61">
            <w:pPr>
              <w:spacing w:line="274" w:lineRule="exact"/>
              <w:ind w:right="20"/>
              <w:jc w:val="right"/>
              <w:rPr>
                <w:sz w:val="20"/>
                <w:szCs w:val="20"/>
              </w:rPr>
            </w:pPr>
            <w:r w:rsidRPr="00771368">
              <w:rPr>
                <w:sz w:val="24"/>
                <w:szCs w:val="24"/>
              </w:rPr>
              <w:t>34(14,5%)</w:t>
            </w:r>
          </w:p>
        </w:tc>
        <w:tc>
          <w:tcPr>
            <w:tcW w:w="1400" w:type="dxa"/>
            <w:vAlign w:val="bottom"/>
          </w:tcPr>
          <w:p w:rsidR="00D24E61" w:rsidRPr="00771368" w:rsidRDefault="00D24E61">
            <w:pPr>
              <w:spacing w:line="274" w:lineRule="exact"/>
              <w:jc w:val="right"/>
              <w:rPr>
                <w:sz w:val="20"/>
                <w:szCs w:val="20"/>
              </w:rPr>
            </w:pPr>
            <w:r w:rsidRPr="00771368">
              <w:rPr>
                <w:sz w:val="24"/>
                <w:szCs w:val="24"/>
              </w:rPr>
              <w:t>92(39,4%)</w:t>
            </w:r>
          </w:p>
        </w:tc>
        <w:tc>
          <w:tcPr>
            <w:tcW w:w="1420" w:type="dxa"/>
            <w:vAlign w:val="bottom"/>
          </w:tcPr>
          <w:p w:rsidR="00D24E61" w:rsidRPr="00771368" w:rsidRDefault="00D24E61">
            <w:pPr>
              <w:spacing w:line="274" w:lineRule="exact"/>
              <w:ind w:right="20"/>
              <w:jc w:val="right"/>
              <w:rPr>
                <w:sz w:val="20"/>
                <w:szCs w:val="20"/>
              </w:rPr>
            </w:pPr>
            <w:r w:rsidRPr="00771368">
              <w:rPr>
                <w:sz w:val="24"/>
                <w:szCs w:val="24"/>
              </w:rPr>
              <w:t>81(34,6%)</w:t>
            </w:r>
          </w:p>
        </w:tc>
        <w:tc>
          <w:tcPr>
            <w:tcW w:w="1440" w:type="dxa"/>
            <w:vAlign w:val="bottom"/>
          </w:tcPr>
          <w:p w:rsidR="00D24E61" w:rsidRPr="00771368" w:rsidRDefault="00D24E61">
            <w:pPr>
              <w:spacing w:line="274" w:lineRule="exact"/>
              <w:jc w:val="right"/>
              <w:rPr>
                <w:sz w:val="20"/>
                <w:szCs w:val="20"/>
              </w:rPr>
            </w:pPr>
            <w:r w:rsidRPr="00771368">
              <w:rPr>
                <w:sz w:val="24"/>
                <w:szCs w:val="24"/>
              </w:rPr>
              <w:t>27(11,5%)</w:t>
            </w:r>
          </w:p>
        </w:tc>
        <w:tc>
          <w:tcPr>
            <w:tcW w:w="0" w:type="dxa"/>
            <w:vAlign w:val="bottom"/>
          </w:tcPr>
          <w:p w:rsidR="00D24E61" w:rsidRPr="00771368" w:rsidRDefault="00D24E61">
            <w:pPr>
              <w:rPr>
                <w:sz w:val="1"/>
                <w:szCs w:val="1"/>
              </w:rPr>
            </w:pPr>
          </w:p>
        </w:tc>
      </w:tr>
      <w:tr w:rsidR="00D24E61" w:rsidRPr="00771368">
        <w:trPr>
          <w:trHeight w:val="278"/>
        </w:trPr>
        <w:tc>
          <w:tcPr>
            <w:tcW w:w="3300" w:type="dxa"/>
            <w:gridSpan w:val="2"/>
            <w:vAlign w:val="bottom"/>
          </w:tcPr>
          <w:p w:rsidR="00D24E61" w:rsidRPr="00771368" w:rsidRDefault="00D24E61">
            <w:pPr>
              <w:ind w:left="120"/>
              <w:rPr>
                <w:sz w:val="20"/>
                <w:szCs w:val="20"/>
              </w:rPr>
            </w:pPr>
            <w:r w:rsidRPr="00771368">
              <w:rPr>
                <w:sz w:val="24"/>
                <w:szCs w:val="24"/>
              </w:rPr>
              <w:t>10. Falta de</w:t>
            </w:r>
          </w:p>
        </w:tc>
        <w:tc>
          <w:tcPr>
            <w:tcW w:w="1680" w:type="dxa"/>
            <w:vAlign w:val="bottom"/>
          </w:tcPr>
          <w:p w:rsidR="00D24E61" w:rsidRPr="00771368" w:rsidRDefault="00D24E61">
            <w:pPr>
              <w:rPr>
                <w:sz w:val="24"/>
                <w:szCs w:val="24"/>
              </w:rPr>
            </w:pPr>
          </w:p>
        </w:tc>
        <w:tc>
          <w:tcPr>
            <w:tcW w:w="1400" w:type="dxa"/>
            <w:vAlign w:val="bottom"/>
          </w:tcPr>
          <w:p w:rsidR="00D24E61" w:rsidRPr="00771368" w:rsidRDefault="00D24E61">
            <w:pPr>
              <w:rPr>
                <w:sz w:val="24"/>
                <w:szCs w:val="24"/>
              </w:rPr>
            </w:pPr>
          </w:p>
        </w:tc>
        <w:tc>
          <w:tcPr>
            <w:tcW w:w="1420" w:type="dxa"/>
            <w:vAlign w:val="bottom"/>
          </w:tcPr>
          <w:p w:rsidR="00D24E61" w:rsidRPr="00771368" w:rsidRDefault="00D24E61">
            <w:pPr>
              <w:rPr>
                <w:sz w:val="24"/>
                <w:szCs w:val="24"/>
              </w:rPr>
            </w:pPr>
          </w:p>
        </w:tc>
        <w:tc>
          <w:tcPr>
            <w:tcW w:w="1440" w:type="dxa"/>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274"/>
        </w:trPr>
        <w:tc>
          <w:tcPr>
            <w:tcW w:w="3300" w:type="dxa"/>
            <w:gridSpan w:val="2"/>
            <w:vAlign w:val="bottom"/>
          </w:tcPr>
          <w:p w:rsidR="00D24E61" w:rsidRPr="00771368" w:rsidRDefault="00D24E61">
            <w:pPr>
              <w:spacing w:line="273" w:lineRule="exact"/>
              <w:ind w:left="120"/>
              <w:rPr>
                <w:sz w:val="20"/>
                <w:szCs w:val="20"/>
              </w:rPr>
            </w:pPr>
            <w:r w:rsidRPr="00771368">
              <w:rPr>
                <w:sz w:val="24"/>
                <w:szCs w:val="24"/>
              </w:rPr>
              <w:t>esclarecimento/insegurança</w:t>
            </w:r>
          </w:p>
        </w:tc>
        <w:tc>
          <w:tcPr>
            <w:tcW w:w="1680" w:type="dxa"/>
            <w:vAlign w:val="bottom"/>
          </w:tcPr>
          <w:p w:rsidR="00D24E61" w:rsidRPr="00771368" w:rsidRDefault="00D24E61">
            <w:pPr>
              <w:spacing w:line="273" w:lineRule="exact"/>
              <w:ind w:right="20"/>
              <w:jc w:val="right"/>
              <w:rPr>
                <w:sz w:val="20"/>
                <w:szCs w:val="20"/>
              </w:rPr>
            </w:pPr>
            <w:r w:rsidRPr="00771368">
              <w:rPr>
                <w:sz w:val="24"/>
                <w:szCs w:val="24"/>
              </w:rPr>
              <w:t>27(11,5%)</w:t>
            </w:r>
          </w:p>
        </w:tc>
        <w:tc>
          <w:tcPr>
            <w:tcW w:w="1400" w:type="dxa"/>
            <w:vAlign w:val="bottom"/>
          </w:tcPr>
          <w:p w:rsidR="00D24E61" w:rsidRPr="00771368" w:rsidRDefault="00D24E61">
            <w:pPr>
              <w:spacing w:line="273" w:lineRule="exact"/>
              <w:jc w:val="right"/>
              <w:rPr>
                <w:sz w:val="20"/>
                <w:szCs w:val="20"/>
              </w:rPr>
            </w:pPr>
            <w:r w:rsidRPr="00771368">
              <w:rPr>
                <w:sz w:val="24"/>
                <w:szCs w:val="24"/>
              </w:rPr>
              <w:t>74(31,6%)</w:t>
            </w:r>
          </w:p>
        </w:tc>
        <w:tc>
          <w:tcPr>
            <w:tcW w:w="1420" w:type="dxa"/>
            <w:vAlign w:val="bottom"/>
          </w:tcPr>
          <w:p w:rsidR="00D24E61" w:rsidRPr="00771368" w:rsidRDefault="00D24E61">
            <w:pPr>
              <w:spacing w:line="273" w:lineRule="exact"/>
              <w:ind w:right="20"/>
              <w:jc w:val="right"/>
              <w:rPr>
                <w:sz w:val="20"/>
                <w:szCs w:val="20"/>
              </w:rPr>
            </w:pPr>
            <w:r w:rsidRPr="00771368">
              <w:rPr>
                <w:sz w:val="24"/>
                <w:szCs w:val="24"/>
              </w:rPr>
              <w:t>96(41,1%)</w:t>
            </w:r>
          </w:p>
        </w:tc>
        <w:tc>
          <w:tcPr>
            <w:tcW w:w="1440" w:type="dxa"/>
            <w:vAlign w:val="bottom"/>
          </w:tcPr>
          <w:p w:rsidR="00D24E61" w:rsidRPr="00771368" w:rsidRDefault="00D24E61">
            <w:pPr>
              <w:spacing w:line="273" w:lineRule="exact"/>
              <w:jc w:val="right"/>
              <w:rPr>
                <w:sz w:val="20"/>
                <w:szCs w:val="20"/>
              </w:rPr>
            </w:pPr>
            <w:r w:rsidRPr="00771368">
              <w:rPr>
                <w:sz w:val="24"/>
                <w:szCs w:val="24"/>
              </w:rPr>
              <w:t>37(15,8%)</w:t>
            </w:r>
          </w:p>
        </w:tc>
        <w:tc>
          <w:tcPr>
            <w:tcW w:w="0" w:type="dxa"/>
            <w:vAlign w:val="bottom"/>
          </w:tcPr>
          <w:p w:rsidR="00D24E61" w:rsidRPr="00771368" w:rsidRDefault="00D24E61">
            <w:pPr>
              <w:rPr>
                <w:sz w:val="1"/>
                <w:szCs w:val="1"/>
              </w:rPr>
            </w:pPr>
          </w:p>
        </w:tc>
      </w:tr>
      <w:tr w:rsidR="00D24E61" w:rsidRPr="00771368">
        <w:trPr>
          <w:trHeight w:val="278"/>
        </w:trPr>
        <w:tc>
          <w:tcPr>
            <w:tcW w:w="3300" w:type="dxa"/>
            <w:gridSpan w:val="2"/>
            <w:vAlign w:val="bottom"/>
          </w:tcPr>
          <w:p w:rsidR="00D24E61" w:rsidRPr="00771368" w:rsidRDefault="00D24E61">
            <w:pPr>
              <w:ind w:left="120"/>
              <w:rPr>
                <w:sz w:val="20"/>
                <w:szCs w:val="20"/>
              </w:rPr>
            </w:pPr>
            <w:r w:rsidRPr="00771368">
              <w:rPr>
                <w:sz w:val="24"/>
                <w:szCs w:val="24"/>
              </w:rPr>
              <w:t>pelos professores</w:t>
            </w:r>
          </w:p>
        </w:tc>
        <w:tc>
          <w:tcPr>
            <w:tcW w:w="1680" w:type="dxa"/>
            <w:vAlign w:val="bottom"/>
          </w:tcPr>
          <w:p w:rsidR="00D24E61" w:rsidRPr="00771368" w:rsidRDefault="00D24E61">
            <w:pPr>
              <w:rPr>
                <w:sz w:val="24"/>
                <w:szCs w:val="24"/>
              </w:rPr>
            </w:pPr>
          </w:p>
        </w:tc>
        <w:tc>
          <w:tcPr>
            <w:tcW w:w="1400" w:type="dxa"/>
            <w:vAlign w:val="bottom"/>
          </w:tcPr>
          <w:p w:rsidR="00D24E61" w:rsidRPr="00771368" w:rsidRDefault="00D24E61">
            <w:pPr>
              <w:rPr>
                <w:sz w:val="24"/>
                <w:szCs w:val="24"/>
              </w:rPr>
            </w:pPr>
          </w:p>
        </w:tc>
        <w:tc>
          <w:tcPr>
            <w:tcW w:w="1420" w:type="dxa"/>
            <w:vAlign w:val="bottom"/>
          </w:tcPr>
          <w:p w:rsidR="00D24E61" w:rsidRPr="00771368" w:rsidRDefault="00D24E61">
            <w:pPr>
              <w:rPr>
                <w:sz w:val="24"/>
                <w:szCs w:val="24"/>
              </w:rPr>
            </w:pPr>
          </w:p>
        </w:tc>
        <w:tc>
          <w:tcPr>
            <w:tcW w:w="1440" w:type="dxa"/>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274"/>
        </w:trPr>
        <w:tc>
          <w:tcPr>
            <w:tcW w:w="3300" w:type="dxa"/>
            <w:gridSpan w:val="2"/>
            <w:vAlign w:val="bottom"/>
          </w:tcPr>
          <w:p w:rsidR="00D24E61" w:rsidRPr="00771368" w:rsidRDefault="00D24E61">
            <w:pPr>
              <w:spacing w:line="273" w:lineRule="exact"/>
              <w:ind w:left="120"/>
              <w:rPr>
                <w:sz w:val="20"/>
                <w:szCs w:val="20"/>
              </w:rPr>
            </w:pPr>
            <w:r w:rsidRPr="00771368">
              <w:rPr>
                <w:sz w:val="24"/>
                <w:szCs w:val="24"/>
              </w:rPr>
              <w:t>11. Falta de estrutura escolar</w:t>
            </w:r>
          </w:p>
        </w:tc>
        <w:tc>
          <w:tcPr>
            <w:tcW w:w="1680" w:type="dxa"/>
            <w:vAlign w:val="bottom"/>
          </w:tcPr>
          <w:p w:rsidR="00D24E61" w:rsidRPr="00771368" w:rsidRDefault="00D24E61">
            <w:pPr>
              <w:spacing w:line="273" w:lineRule="exact"/>
              <w:ind w:right="20"/>
              <w:jc w:val="right"/>
              <w:rPr>
                <w:sz w:val="20"/>
                <w:szCs w:val="20"/>
              </w:rPr>
            </w:pPr>
            <w:r w:rsidRPr="00771368">
              <w:rPr>
                <w:sz w:val="24"/>
                <w:szCs w:val="24"/>
              </w:rPr>
              <w:t>19(8,1%)</w:t>
            </w:r>
          </w:p>
        </w:tc>
        <w:tc>
          <w:tcPr>
            <w:tcW w:w="1400" w:type="dxa"/>
            <w:vAlign w:val="bottom"/>
          </w:tcPr>
          <w:p w:rsidR="00D24E61" w:rsidRPr="00771368" w:rsidRDefault="00D24E61">
            <w:pPr>
              <w:spacing w:line="273" w:lineRule="exact"/>
              <w:jc w:val="right"/>
              <w:rPr>
                <w:sz w:val="20"/>
                <w:szCs w:val="20"/>
              </w:rPr>
            </w:pPr>
            <w:r w:rsidRPr="00771368">
              <w:rPr>
                <w:sz w:val="24"/>
                <w:szCs w:val="24"/>
              </w:rPr>
              <w:t>47(20,1%)</w:t>
            </w:r>
          </w:p>
        </w:tc>
        <w:tc>
          <w:tcPr>
            <w:tcW w:w="1420" w:type="dxa"/>
            <w:vAlign w:val="bottom"/>
          </w:tcPr>
          <w:p w:rsidR="00D24E61" w:rsidRPr="00771368" w:rsidRDefault="00D24E61">
            <w:pPr>
              <w:spacing w:line="273" w:lineRule="exact"/>
              <w:ind w:right="20"/>
              <w:jc w:val="right"/>
              <w:rPr>
                <w:sz w:val="20"/>
                <w:szCs w:val="20"/>
              </w:rPr>
            </w:pPr>
            <w:r w:rsidRPr="00771368">
              <w:rPr>
                <w:sz w:val="24"/>
                <w:szCs w:val="24"/>
              </w:rPr>
              <w:t>127(54,3%)</w:t>
            </w:r>
          </w:p>
        </w:tc>
        <w:tc>
          <w:tcPr>
            <w:tcW w:w="1440" w:type="dxa"/>
            <w:vAlign w:val="bottom"/>
          </w:tcPr>
          <w:p w:rsidR="00D24E61" w:rsidRPr="00771368" w:rsidRDefault="00D24E61">
            <w:pPr>
              <w:spacing w:line="273" w:lineRule="exact"/>
              <w:jc w:val="right"/>
              <w:rPr>
                <w:sz w:val="20"/>
                <w:szCs w:val="20"/>
              </w:rPr>
            </w:pPr>
            <w:r w:rsidRPr="00771368">
              <w:rPr>
                <w:sz w:val="24"/>
                <w:szCs w:val="24"/>
              </w:rPr>
              <w:t>41(17,5%)</w:t>
            </w:r>
          </w:p>
        </w:tc>
        <w:tc>
          <w:tcPr>
            <w:tcW w:w="0" w:type="dxa"/>
            <w:vAlign w:val="bottom"/>
          </w:tcPr>
          <w:p w:rsidR="00D24E61" w:rsidRPr="00771368" w:rsidRDefault="00D24E61">
            <w:pPr>
              <w:rPr>
                <w:sz w:val="1"/>
                <w:szCs w:val="1"/>
              </w:rPr>
            </w:pPr>
          </w:p>
        </w:tc>
      </w:tr>
      <w:tr w:rsidR="00D24E61" w:rsidRPr="00771368">
        <w:trPr>
          <w:trHeight w:val="298"/>
        </w:trPr>
        <w:tc>
          <w:tcPr>
            <w:tcW w:w="3300" w:type="dxa"/>
            <w:gridSpan w:val="2"/>
            <w:vAlign w:val="bottom"/>
          </w:tcPr>
          <w:p w:rsidR="00D24E61" w:rsidRPr="00771368" w:rsidRDefault="00D24E61">
            <w:pPr>
              <w:ind w:left="120"/>
              <w:rPr>
                <w:sz w:val="20"/>
                <w:szCs w:val="20"/>
              </w:rPr>
            </w:pPr>
            <w:r w:rsidRPr="00771368">
              <w:rPr>
                <w:sz w:val="24"/>
                <w:szCs w:val="24"/>
              </w:rPr>
              <w:t>12. Professores desmotivados</w:t>
            </w:r>
          </w:p>
        </w:tc>
        <w:tc>
          <w:tcPr>
            <w:tcW w:w="1680" w:type="dxa"/>
            <w:vAlign w:val="bottom"/>
          </w:tcPr>
          <w:p w:rsidR="00D24E61" w:rsidRPr="00771368" w:rsidRDefault="00D24E61">
            <w:pPr>
              <w:ind w:right="20"/>
              <w:jc w:val="right"/>
              <w:rPr>
                <w:sz w:val="20"/>
                <w:szCs w:val="20"/>
              </w:rPr>
            </w:pPr>
            <w:r w:rsidRPr="00771368">
              <w:rPr>
                <w:sz w:val="24"/>
                <w:szCs w:val="24"/>
              </w:rPr>
              <w:t>22(9,4%)</w:t>
            </w:r>
          </w:p>
        </w:tc>
        <w:tc>
          <w:tcPr>
            <w:tcW w:w="1400" w:type="dxa"/>
            <w:vAlign w:val="bottom"/>
          </w:tcPr>
          <w:p w:rsidR="00D24E61" w:rsidRPr="00771368" w:rsidRDefault="00D24E61">
            <w:pPr>
              <w:jc w:val="right"/>
              <w:rPr>
                <w:sz w:val="20"/>
                <w:szCs w:val="20"/>
              </w:rPr>
            </w:pPr>
            <w:r w:rsidRPr="00771368">
              <w:rPr>
                <w:sz w:val="24"/>
                <w:szCs w:val="24"/>
              </w:rPr>
              <w:t>48(20,5%)</w:t>
            </w:r>
          </w:p>
        </w:tc>
        <w:tc>
          <w:tcPr>
            <w:tcW w:w="1420" w:type="dxa"/>
            <w:vAlign w:val="bottom"/>
          </w:tcPr>
          <w:p w:rsidR="00D24E61" w:rsidRPr="00771368" w:rsidRDefault="00D24E61">
            <w:pPr>
              <w:ind w:right="20"/>
              <w:jc w:val="right"/>
              <w:rPr>
                <w:sz w:val="20"/>
                <w:szCs w:val="20"/>
              </w:rPr>
            </w:pPr>
            <w:r w:rsidRPr="00771368">
              <w:rPr>
                <w:sz w:val="24"/>
                <w:szCs w:val="24"/>
              </w:rPr>
              <w:t>101(43,2%)</w:t>
            </w:r>
          </w:p>
        </w:tc>
        <w:tc>
          <w:tcPr>
            <w:tcW w:w="1440" w:type="dxa"/>
            <w:vAlign w:val="bottom"/>
          </w:tcPr>
          <w:p w:rsidR="00D24E61" w:rsidRPr="00771368" w:rsidRDefault="00D24E61">
            <w:pPr>
              <w:jc w:val="right"/>
              <w:rPr>
                <w:sz w:val="20"/>
                <w:szCs w:val="20"/>
              </w:rPr>
            </w:pPr>
            <w:r w:rsidRPr="00771368">
              <w:rPr>
                <w:sz w:val="24"/>
                <w:szCs w:val="24"/>
              </w:rPr>
              <w:t>63(26,9%)</w:t>
            </w:r>
          </w:p>
        </w:tc>
        <w:tc>
          <w:tcPr>
            <w:tcW w:w="0" w:type="dxa"/>
            <w:vAlign w:val="bottom"/>
          </w:tcPr>
          <w:p w:rsidR="00D24E61" w:rsidRPr="00771368" w:rsidRDefault="00D24E61">
            <w:pPr>
              <w:rPr>
                <w:sz w:val="1"/>
                <w:szCs w:val="1"/>
              </w:rPr>
            </w:pPr>
          </w:p>
        </w:tc>
      </w:tr>
      <w:tr w:rsidR="00D24E61" w:rsidRPr="00771368">
        <w:trPr>
          <w:trHeight w:val="27"/>
        </w:trPr>
        <w:tc>
          <w:tcPr>
            <w:tcW w:w="320" w:type="dxa"/>
            <w:tcBorders>
              <w:bottom w:val="single" w:sz="8" w:space="0" w:color="auto"/>
            </w:tcBorders>
            <w:vAlign w:val="bottom"/>
          </w:tcPr>
          <w:p w:rsidR="00D24E61" w:rsidRPr="00771368" w:rsidRDefault="00D24E61">
            <w:pPr>
              <w:rPr>
                <w:sz w:val="2"/>
                <w:szCs w:val="2"/>
              </w:rPr>
            </w:pPr>
          </w:p>
        </w:tc>
        <w:tc>
          <w:tcPr>
            <w:tcW w:w="2980" w:type="dxa"/>
            <w:tcBorders>
              <w:bottom w:val="single" w:sz="8" w:space="0" w:color="auto"/>
            </w:tcBorders>
            <w:vAlign w:val="bottom"/>
          </w:tcPr>
          <w:p w:rsidR="00D24E61" w:rsidRPr="00771368" w:rsidRDefault="00D24E61">
            <w:pPr>
              <w:rPr>
                <w:sz w:val="2"/>
                <w:szCs w:val="2"/>
              </w:rPr>
            </w:pPr>
          </w:p>
        </w:tc>
        <w:tc>
          <w:tcPr>
            <w:tcW w:w="1680" w:type="dxa"/>
            <w:tcBorders>
              <w:bottom w:val="single" w:sz="8" w:space="0" w:color="auto"/>
            </w:tcBorders>
            <w:vAlign w:val="bottom"/>
          </w:tcPr>
          <w:p w:rsidR="00D24E61" w:rsidRPr="00771368" w:rsidRDefault="00D24E61">
            <w:pPr>
              <w:rPr>
                <w:sz w:val="2"/>
                <w:szCs w:val="2"/>
              </w:rPr>
            </w:pPr>
          </w:p>
        </w:tc>
        <w:tc>
          <w:tcPr>
            <w:tcW w:w="1400" w:type="dxa"/>
            <w:tcBorders>
              <w:bottom w:val="single" w:sz="8" w:space="0" w:color="auto"/>
            </w:tcBorders>
            <w:vAlign w:val="bottom"/>
          </w:tcPr>
          <w:p w:rsidR="00D24E61" w:rsidRPr="00771368" w:rsidRDefault="00D24E61">
            <w:pPr>
              <w:rPr>
                <w:sz w:val="2"/>
                <w:szCs w:val="2"/>
              </w:rPr>
            </w:pPr>
          </w:p>
        </w:tc>
        <w:tc>
          <w:tcPr>
            <w:tcW w:w="1420" w:type="dxa"/>
            <w:tcBorders>
              <w:bottom w:val="single" w:sz="8" w:space="0" w:color="auto"/>
            </w:tcBorders>
            <w:vAlign w:val="bottom"/>
          </w:tcPr>
          <w:p w:rsidR="00D24E61" w:rsidRPr="00771368" w:rsidRDefault="00D24E61">
            <w:pPr>
              <w:rPr>
                <w:sz w:val="2"/>
                <w:szCs w:val="2"/>
              </w:rPr>
            </w:pPr>
          </w:p>
        </w:tc>
        <w:tc>
          <w:tcPr>
            <w:tcW w:w="1440" w:type="dxa"/>
            <w:tcBorders>
              <w:bottom w:val="single" w:sz="8" w:space="0" w:color="auto"/>
            </w:tcBorders>
            <w:vAlign w:val="bottom"/>
          </w:tcPr>
          <w:p w:rsidR="00D24E61" w:rsidRPr="00771368" w:rsidRDefault="00D24E61">
            <w:pPr>
              <w:rPr>
                <w:sz w:val="2"/>
                <w:szCs w:val="2"/>
              </w:rPr>
            </w:pPr>
          </w:p>
        </w:tc>
        <w:tc>
          <w:tcPr>
            <w:tcW w:w="0" w:type="dxa"/>
            <w:vAlign w:val="bottom"/>
          </w:tcPr>
          <w:p w:rsidR="00D24E61" w:rsidRPr="00771368" w:rsidRDefault="00D24E61">
            <w:pPr>
              <w:rPr>
                <w:sz w:val="1"/>
                <w:szCs w:val="1"/>
              </w:rPr>
            </w:pPr>
          </w:p>
        </w:tc>
      </w:tr>
    </w:tbl>
    <w:p w:rsidR="00D24E61" w:rsidRPr="00771368" w:rsidRDefault="00D24E61">
      <w:pPr>
        <w:sectPr w:rsidR="00D24E61" w:rsidRPr="00771368">
          <w:pgSz w:w="11900" w:h="16838"/>
          <w:pgMar w:top="1440" w:right="1360" w:bottom="1440" w:left="1300" w:header="0" w:footer="0" w:gutter="0"/>
          <w:cols w:space="720" w:equalWidth="0">
            <w:col w:w="9240"/>
          </w:cols>
        </w:sectPr>
      </w:pPr>
    </w:p>
    <w:p w:rsidR="00D24E61" w:rsidRPr="00771368" w:rsidRDefault="00D24E61">
      <w:pPr>
        <w:spacing w:line="246" w:lineRule="exact"/>
        <w:rPr>
          <w:sz w:val="20"/>
          <w:szCs w:val="20"/>
        </w:rPr>
      </w:pPr>
    </w:p>
    <w:p w:rsidR="00D24E61" w:rsidRPr="00771368" w:rsidRDefault="00D24E61">
      <w:pPr>
        <w:spacing w:line="221" w:lineRule="auto"/>
        <w:ind w:left="2300" w:right="1960" w:hanging="134"/>
        <w:rPr>
          <w:sz w:val="20"/>
          <w:szCs w:val="20"/>
        </w:rPr>
      </w:pPr>
      <w:r w:rsidRPr="00771368">
        <w:rPr>
          <w:b/>
          <w:bCs/>
          <w:sz w:val="23"/>
          <w:szCs w:val="23"/>
        </w:rPr>
        <w:t>Distribuição dos fatores que provocam ausência do estudo de gênero na escola/percepção dos alunos</w:t>
      </w:r>
    </w:p>
    <w:p w:rsidR="00D24E61" w:rsidRPr="00771368" w:rsidRDefault="00D24E61">
      <w:pPr>
        <w:spacing w:line="197" w:lineRule="exact"/>
        <w:rPr>
          <w:sz w:val="20"/>
          <w:szCs w:val="20"/>
        </w:rPr>
      </w:pPr>
    </w:p>
    <w:p w:rsidR="00D24E61" w:rsidRPr="00771368" w:rsidRDefault="00D24E61">
      <w:pPr>
        <w:spacing w:line="239" w:lineRule="auto"/>
        <w:ind w:left="660"/>
        <w:rPr>
          <w:sz w:val="20"/>
          <w:szCs w:val="20"/>
        </w:rPr>
      </w:pPr>
      <w:r w:rsidRPr="00771368">
        <w:rPr>
          <w:sz w:val="20"/>
          <w:szCs w:val="20"/>
        </w:rPr>
        <w:t>60,0%</w:t>
      </w:r>
    </w:p>
    <w:p w:rsidR="00D24E61" w:rsidRPr="00771368" w:rsidRDefault="00D24E61">
      <w:pPr>
        <w:spacing w:line="203" w:lineRule="exact"/>
        <w:rPr>
          <w:sz w:val="20"/>
          <w:szCs w:val="20"/>
        </w:rPr>
      </w:pPr>
      <w:r w:rsidRPr="00771368">
        <w:rPr>
          <w:noProof/>
          <w:sz w:val="20"/>
          <w:szCs w:val="20"/>
        </w:rPr>
        <w:drawing>
          <wp:anchor distT="0" distB="0" distL="114300" distR="114300" simplePos="0" relativeHeight="251716608" behindDoc="1" locked="0" layoutInCell="0" allowOverlap="1">
            <wp:simplePos x="0" y="0"/>
            <wp:positionH relativeFrom="column">
              <wp:posOffset>850900</wp:posOffset>
            </wp:positionH>
            <wp:positionV relativeFrom="paragraph">
              <wp:posOffset>-73660</wp:posOffset>
            </wp:positionV>
            <wp:extent cx="4902835" cy="844550"/>
            <wp:effectExtent l="0" t="0" r="0" b="0"/>
            <wp:wrapNone/>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6" cstate="print">
                      <a:extLst/>
                    </a:blip>
                    <a:srcRect/>
                    <a:stretch>
                      <a:fillRect/>
                    </a:stretch>
                  </pic:blipFill>
                  <pic:spPr bwMode="auto">
                    <a:xfrm>
                      <a:off x="0" y="0"/>
                      <a:ext cx="4902835" cy="844550"/>
                    </a:xfrm>
                    <a:prstGeom prst="rect">
                      <a:avLst/>
                    </a:prstGeom>
                    <a:noFill/>
                  </pic:spPr>
                </pic:pic>
              </a:graphicData>
            </a:graphic>
          </wp:anchor>
        </w:drawing>
      </w:r>
    </w:p>
    <w:p w:rsidR="00D24E61" w:rsidRPr="00771368" w:rsidRDefault="00D24E61">
      <w:pPr>
        <w:spacing w:line="239" w:lineRule="auto"/>
        <w:ind w:left="660"/>
        <w:rPr>
          <w:sz w:val="20"/>
          <w:szCs w:val="20"/>
        </w:rPr>
      </w:pPr>
      <w:r w:rsidRPr="00771368">
        <w:rPr>
          <w:sz w:val="20"/>
          <w:szCs w:val="20"/>
        </w:rPr>
        <w:t>40,0%</w:t>
      </w:r>
    </w:p>
    <w:p w:rsidR="00D24E61" w:rsidRPr="00771368" w:rsidRDefault="00D24E61">
      <w:pPr>
        <w:spacing w:line="204" w:lineRule="exact"/>
        <w:rPr>
          <w:sz w:val="20"/>
          <w:szCs w:val="20"/>
        </w:rPr>
      </w:pPr>
    </w:p>
    <w:p w:rsidR="00D24E61" w:rsidRPr="00771368" w:rsidRDefault="00D24E61">
      <w:pPr>
        <w:spacing w:line="239" w:lineRule="auto"/>
        <w:ind w:left="660"/>
        <w:rPr>
          <w:sz w:val="20"/>
          <w:szCs w:val="20"/>
        </w:rPr>
      </w:pPr>
      <w:r w:rsidRPr="00771368">
        <w:rPr>
          <w:sz w:val="20"/>
          <w:szCs w:val="20"/>
        </w:rPr>
        <w:t>20,0%</w:t>
      </w:r>
    </w:p>
    <w:p w:rsidR="00D24E61" w:rsidRPr="00771368" w:rsidRDefault="00D24E61">
      <w:pPr>
        <w:spacing w:line="203" w:lineRule="exact"/>
        <w:rPr>
          <w:sz w:val="20"/>
          <w:szCs w:val="20"/>
        </w:rPr>
      </w:pPr>
    </w:p>
    <w:p w:rsidR="00D24E61" w:rsidRPr="00771368" w:rsidRDefault="00D24E61">
      <w:pPr>
        <w:spacing w:line="239" w:lineRule="auto"/>
        <w:ind w:left="760"/>
        <w:rPr>
          <w:sz w:val="20"/>
          <w:szCs w:val="20"/>
        </w:rPr>
      </w:pPr>
      <w:r w:rsidRPr="00771368">
        <w:rPr>
          <w:sz w:val="20"/>
          <w:szCs w:val="20"/>
        </w:rPr>
        <w:t>0,0%</w:t>
      </w:r>
    </w:p>
    <w:p w:rsidR="00D24E61" w:rsidRPr="00771368" w:rsidRDefault="00D24E61">
      <w:pPr>
        <w:spacing w:line="95"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120"/>
        <w:gridCol w:w="1220"/>
        <w:gridCol w:w="720"/>
        <w:gridCol w:w="560"/>
        <w:gridCol w:w="660"/>
        <w:gridCol w:w="640"/>
        <w:gridCol w:w="700"/>
        <w:gridCol w:w="600"/>
        <w:gridCol w:w="700"/>
        <w:gridCol w:w="640"/>
        <w:gridCol w:w="660"/>
        <w:gridCol w:w="680"/>
        <w:gridCol w:w="600"/>
        <w:gridCol w:w="540"/>
        <w:gridCol w:w="20"/>
      </w:tblGrid>
      <w:tr w:rsidR="00D24E61" w:rsidRPr="00771368">
        <w:trPr>
          <w:trHeight w:val="1276"/>
        </w:trPr>
        <w:tc>
          <w:tcPr>
            <w:tcW w:w="120" w:type="dxa"/>
            <w:vAlign w:val="bottom"/>
          </w:tcPr>
          <w:p w:rsidR="00D24E61" w:rsidRPr="00771368" w:rsidRDefault="00D24E61">
            <w:pPr>
              <w:rPr>
                <w:sz w:val="24"/>
                <w:szCs w:val="24"/>
              </w:rPr>
            </w:pPr>
          </w:p>
        </w:tc>
        <w:tc>
          <w:tcPr>
            <w:tcW w:w="1220" w:type="dxa"/>
            <w:vAlign w:val="bottom"/>
          </w:tcPr>
          <w:p w:rsidR="00D24E61" w:rsidRPr="00771368" w:rsidRDefault="00D24E61">
            <w:pPr>
              <w:rPr>
                <w:sz w:val="24"/>
                <w:szCs w:val="24"/>
              </w:rPr>
            </w:pPr>
          </w:p>
        </w:tc>
        <w:tc>
          <w:tcPr>
            <w:tcW w:w="720" w:type="dxa"/>
            <w:textDirection w:val="tbRl"/>
            <w:vAlign w:val="bottom"/>
          </w:tcPr>
          <w:p w:rsidR="00D24E61" w:rsidRPr="00771368" w:rsidRDefault="00D24E61">
            <w:pPr>
              <w:ind w:left="494"/>
              <w:jc w:val="right"/>
              <w:rPr>
                <w:sz w:val="20"/>
                <w:szCs w:val="20"/>
              </w:rPr>
            </w:pPr>
            <w:r w:rsidRPr="00771368">
              <w:rPr>
                <w:i/>
                <w:iCs/>
                <w:w w:val="75"/>
                <w:sz w:val="11"/>
                <w:szCs w:val="11"/>
              </w:rPr>
              <w:t>famíliadaAusência/desestruturação1</w:t>
            </w:r>
          </w:p>
        </w:tc>
        <w:tc>
          <w:tcPr>
            <w:tcW w:w="560" w:type="dxa"/>
            <w:textDirection w:val="tbRl"/>
            <w:vAlign w:val="bottom"/>
          </w:tcPr>
          <w:p w:rsidR="00D24E61" w:rsidRPr="00771368" w:rsidRDefault="00D24E61">
            <w:pPr>
              <w:ind w:left="277"/>
              <w:jc w:val="right"/>
              <w:rPr>
                <w:sz w:val="20"/>
                <w:szCs w:val="20"/>
              </w:rPr>
            </w:pPr>
            <w:r w:rsidRPr="00771368">
              <w:rPr>
                <w:i/>
                <w:iCs/>
                <w:w w:val="98"/>
                <w:sz w:val="12"/>
                <w:szCs w:val="12"/>
              </w:rPr>
              <w:t>Intolerância/desrespeito2</w:t>
            </w:r>
          </w:p>
        </w:tc>
        <w:tc>
          <w:tcPr>
            <w:tcW w:w="660" w:type="dxa"/>
            <w:textDirection w:val="tbRl"/>
            <w:vAlign w:val="bottom"/>
          </w:tcPr>
          <w:p w:rsidR="00D24E61" w:rsidRPr="00771368" w:rsidRDefault="00D24E61">
            <w:pPr>
              <w:ind w:left="369"/>
              <w:jc w:val="right"/>
              <w:rPr>
                <w:sz w:val="20"/>
                <w:szCs w:val="20"/>
              </w:rPr>
            </w:pPr>
            <w:r w:rsidRPr="00771368">
              <w:rPr>
                <w:i/>
                <w:iCs/>
                <w:sz w:val="12"/>
                <w:szCs w:val="12"/>
              </w:rPr>
              <w:t>limitesdeAusência3</w:t>
            </w:r>
          </w:p>
        </w:tc>
        <w:tc>
          <w:tcPr>
            <w:tcW w:w="640" w:type="dxa"/>
            <w:textDirection w:val="tbRl"/>
            <w:vAlign w:val="bottom"/>
          </w:tcPr>
          <w:p w:rsidR="00D24E61" w:rsidRPr="00771368" w:rsidRDefault="00D24E61">
            <w:pPr>
              <w:ind w:left="353"/>
              <w:jc w:val="right"/>
              <w:rPr>
                <w:sz w:val="20"/>
                <w:szCs w:val="20"/>
              </w:rPr>
            </w:pPr>
            <w:r w:rsidRPr="00771368">
              <w:rPr>
                <w:i/>
                <w:iCs/>
                <w:sz w:val="12"/>
                <w:szCs w:val="12"/>
              </w:rPr>
              <w:t>Impunidade/descaso4</w:t>
            </w:r>
          </w:p>
        </w:tc>
        <w:tc>
          <w:tcPr>
            <w:tcW w:w="700" w:type="dxa"/>
            <w:textDirection w:val="tbRl"/>
            <w:vAlign w:val="bottom"/>
          </w:tcPr>
          <w:p w:rsidR="00D24E61" w:rsidRPr="00771368" w:rsidRDefault="00D24E61">
            <w:pPr>
              <w:ind w:left="452"/>
              <w:jc w:val="right"/>
              <w:rPr>
                <w:sz w:val="20"/>
                <w:szCs w:val="20"/>
              </w:rPr>
            </w:pPr>
            <w:r w:rsidRPr="00771368">
              <w:rPr>
                <w:i/>
                <w:iCs/>
                <w:w w:val="71"/>
                <w:sz w:val="9"/>
                <w:szCs w:val="9"/>
              </w:rPr>
              <w:t>internet/mídiadaInfluência5</w:t>
            </w:r>
          </w:p>
        </w:tc>
        <w:tc>
          <w:tcPr>
            <w:tcW w:w="600" w:type="dxa"/>
            <w:textDirection w:val="tbRl"/>
            <w:vAlign w:val="bottom"/>
          </w:tcPr>
          <w:p w:rsidR="00D24E61" w:rsidRPr="00771368" w:rsidRDefault="00D24E61">
            <w:pPr>
              <w:ind w:left="319"/>
              <w:jc w:val="right"/>
              <w:rPr>
                <w:sz w:val="20"/>
                <w:szCs w:val="20"/>
              </w:rPr>
            </w:pPr>
            <w:r w:rsidRPr="00771368">
              <w:rPr>
                <w:i/>
                <w:iCs/>
                <w:sz w:val="12"/>
                <w:szCs w:val="12"/>
              </w:rPr>
              <w:t>Bullying6</w:t>
            </w:r>
          </w:p>
        </w:tc>
        <w:tc>
          <w:tcPr>
            <w:tcW w:w="700" w:type="dxa"/>
            <w:textDirection w:val="tbRl"/>
            <w:vAlign w:val="bottom"/>
          </w:tcPr>
          <w:p w:rsidR="00D24E61" w:rsidRPr="00771368" w:rsidRDefault="00D24E61">
            <w:pPr>
              <w:ind w:right="84"/>
              <w:jc w:val="right"/>
              <w:rPr>
                <w:sz w:val="20"/>
                <w:szCs w:val="20"/>
              </w:rPr>
            </w:pPr>
            <w:r w:rsidRPr="00771368">
              <w:rPr>
                <w:i/>
                <w:iCs/>
                <w:w w:val="73"/>
                <w:sz w:val="11"/>
                <w:szCs w:val="11"/>
              </w:rPr>
              <w:t>econômicos/sociaisFatores7</w:t>
            </w:r>
          </w:p>
        </w:tc>
        <w:tc>
          <w:tcPr>
            <w:tcW w:w="640" w:type="dxa"/>
            <w:textDirection w:val="tbRl"/>
            <w:vAlign w:val="bottom"/>
          </w:tcPr>
          <w:p w:rsidR="00D24E61" w:rsidRPr="00771368" w:rsidRDefault="00D24E61">
            <w:pPr>
              <w:ind w:left="379"/>
              <w:jc w:val="right"/>
              <w:rPr>
                <w:sz w:val="20"/>
                <w:szCs w:val="20"/>
              </w:rPr>
            </w:pPr>
            <w:r w:rsidRPr="00771368">
              <w:rPr>
                <w:i/>
                <w:iCs/>
                <w:w w:val="75"/>
                <w:sz w:val="11"/>
                <w:szCs w:val="11"/>
              </w:rPr>
              <w:t>inflexíveispedagógicasPráticas8</w:t>
            </w:r>
          </w:p>
        </w:tc>
        <w:tc>
          <w:tcPr>
            <w:tcW w:w="660" w:type="dxa"/>
            <w:textDirection w:val="tbRl"/>
            <w:vAlign w:val="bottom"/>
          </w:tcPr>
          <w:p w:rsidR="00D24E61" w:rsidRPr="00771368" w:rsidRDefault="00D24E61">
            <w:pPr>
              <w:ind w:right="87"/>
              <w:jc w:val="right"/>
              <w:rPr>
                <w:sz w:val="20"/>
                <w:szCs w:val="20"/>
              </w:rPr>
            </w:pPr>
            <w:r w:rsidRPr="00771368">
              <w:rPr>
                <w:i/>
                <w:iCs/>
                <w:w w:val="75"/>
                <w:sz w:val="11"/>
                <w:szCs w:val="11"/>
              </w:rPr>
              <w:t>morais        valoresdeAusência9</w:t>
            </w:r>
          </w:p>
        </w:tc>
        <w:tc>
          <w:tcPr>
            <w:tcW w:w="680" w:type="dxa"/>
            <w:textDirection w:val="tbRl"/>
            <w:vAlign w:val="bottom"/>
          </w:tcPr>
          <w:p w:rsidR="00D24E61" w:rsidRPr="00771368" w:rsidRDefault="00D24E61">
            <w:pPr>
              <w:ind w:right="36"/>
              <w:jc w:val="right"/>
              <w:rPr>
                <w:sz w:val="20"/>
                <w:szCs w:val="20"/>
              </w:rPr>
            </w:pPr>
            <w:r w:rsidRPr="00771368">
              <w:rPr>
                <w:i/>
                <w:iCs/>
                <w:w w:val="71"/>
                <w:sz w:val="8"/>
                <w:szCs w:val="8"/>
              </w:rPr>
              <w:t>professorespelosaesclarecimento/insegurançdeFalta10</w:t>
            </w:r>
          </w:p>
        </w:tc>
        <w:tc>
          <w:tcPr>
            <w:tcW w:w="600" w:type="dxa"/>
            <w:textDirection w:val="tbRl"/>
            <w:vAlign w:val="bottom"/>
          </w:tcPr>
          <w:p w:rsidR="00D24E61" w:rsidRPr="00771368" w:rsidRDefault="00D24E61">
            <w:pPr>
              <w:ind w:left="348"/>
              <w:jc w:val="right"/>
              <w:rPr>
                <w:sz w:val="20"/>
                <w:szCs w:val="20"/>
              </w:rPr>
            </w:pPr>
            <w:r w:rsidRPr="00771368">
              <w:rPr>
                <w:i/>
                <w:iCs/>
                <w:w w:val="74"/>
                <w:sz w:val="11"/>
                <w:szCs w:val="11"/>
              </w:rPr>
              <w:t>escolar     estruturadeFalta11</w:t>
            </w:r>
          </w:p>
        </w:tc>
        <w:tc>
          <w:tcPr>
            <w:tcW w:w="540" w:type="dxa"/>
            <w:textDirection w:val="tbRl"/>
            <w:vAlign w:val="bottom"/>
          </w:tcPr>
          <w:p w:rsidR="00D24E61" w:rsidRPr="00771368" w:rsidRDefault="00D24E61">
            <w:pPr>
              <w:ind w:left="436"/>
              <w:jc w:val="right"/>
              <w:rPr>
                <w:sz w:val="20"/>
                <w:szCs w:val="20"/>
              </w:rPr>
            </w:pPr>
            <w:r w:rsidRPr="00771368">
              <w:rPr>
                <w:i/>
                <w:iCs/>
                <w:w w:val="78"/>
                <w:sz w:val="8"/>
                <w:szCs w:val="8"/>
              </w:rPr>
              <w:t>desmotivadosProfessores12</w:t>
            </w:r>
          </w:p>
        </w:tc>
        <w:tc>
          <w:tcPr>
            <w:tcW w:w="0" w:type="dxa"/>
            <w:vAlign w:val="bottom"/>
          </w:tcPr>
          <w:p w:rsidR="00D24E61" w:rsidRPr="00771368" w:rsidRDefault="00D24E61">
            <w:pPr>
              <w:rPr>
                <w:sz w:val="1"/>
                <w:szCs w:val="1"/>
              </w:rPr>
            </w:pPr>
          </w:p>
        </w:tc>
      </w:tr>
      <w:tr w:rsidR="00D24E61" w:rsidRPr="00771368">
        <w:trPr>
          <w:trHeight w:val="260"/>
        </w:trPr>
        <w:tc>
          <w:tcPr>
            <w:tcW w:w="120" w:type="dxa"/>
            <w:tcBorders>
              <w:bottom w:val="single" w:sz="8" w:space="0" w:color="0070C0"/>
            </w:tcBorders>
            <w:vAlign w:val="bottom"/>
          </w:tcPr>
          <w:p w:rsidR="00D24E61" w:rsidRPr="00771368" w:rsidRDefault="00D24E61"/>
        </w:tc>
        <w:tc>
          <w:tcPr>
            <w:tcW w:w="1220" w:type="dxa"/>
            <w:vAlign w:val="bottom"/>
          </w:tcPr>
          <w:p w:rsidR="00D24E61" w:rsidRPr="00771368" w:rsidRDefault="00D24E61">
            <w:pPr>
              <w:ind w:left="60"/>
              <w:rPr>
                <w:sz w:val="20"/>
                <w:szCs w:val="20"/>
              </w:rPr>
            </w:pPr>
            <w:r w:rsidRPr="00771368">
              <w:rPr>
                <w:sz w:val="12"/>
                <w:szCs w:val="12"/>
              </w:rPr>
              <w:t>Concordo totalmente</w:t>
            </w:r>
          </w:p>
        </w:tc>
        <w:tc>
          <w:tcPr>
            <w:tcW w:w="720" w:type="dxa"/>
            <w:vAlign w:val="bottom"/>
          </w:tcPr>
          <w:p w:rsidR="00D24E61" w:rsidRPr="00771368" w:rsidRDefault="00D24E61">
            <w:pPr>
              <w:ind w:right="81"/>
              <w:jc w:val="center"/>
              <w:rPr>
                <w:sz w:val="20"/>
                <w:szCs w:val="20"/>
              </w:rPr>
            </w:pPr>
            <w:r w:rsidRPr="00771368">
              <w:rPr>
                <w:w w:val="96"/>
                <w:sz w:val="12"/>
                <w:szCs w:val="12"/>
              </w:rPr>
              <w:t>17,5%</w:t>
            </w:r>
          </w:p>
        </w:tc>
        <w:tc>
          <w:tcPr>
            <w:tcW w:w="560" w:type="dxa"/>
            <w:vAlign w:val="bottom"/>
          </w:tcPr>
          <w:p w:rsidR="00D24E61" w:rsidRPr="00771368" w:rsidRDefault="00D24E61">
            <w:pPr>
              <w:ind w:right="40"/>
              <w:jc w:val="center"/>
              <w:rPr>
                <w:sz w:val="20"/>
                <w:szCs w:val="20"/>
              </w:rPr>
            </w:pPr>
            <w:r w:rsidRPr="00771368">
              <w:rPr>
                <w:w w:val="96"/>
                <w:sz w:val="12"/>
                <w:szCs w:val="12"/>
              </w:rPr>
              <w:t>20,6%</w:t>
            </w:r>
          </w:p>
        </w:tc>
        <w:tc>
          <w:tcPr>
            <w:tcW w:w="660" w:type="dxa"/>
            <w:vAlign w:val="bottom"/>
          </w:tcPr>
          <w:p w:rsidR="00D24E61" w:rsidRPr="00771368" w:rsidRDefault="00D24E61">
            <w:pPr>
              <w:jc w:val="center"/>
              <w:rPr>
                <w:sz w:val="20"/>
                <w:szCs w:val="20"/>
              </w:rPr>
            </w:pPr>
            <w:r w:rsidRPr="00771368">
              <w:rPr>
                <w:w w:val="96"/>
                <w:sz w:val="12"/>
                <w:szCs w:val="12"/>
              </w:rPr>
              <w:t>18,4%</w:t>
            </w:r>
          </w:p>
        </w:tc>
        <w:tc>
          <w:tcPr>
            <w:tcW w:w="640" w:type="dxa"/>
            <w:vAlign w:val="bottom"/>
          </w:tcPr>
          <w:p w:rsidR="00D24E61" w:rsidRPr="00771368" w:rsidRDefault="00D24E61">
            <w:pPr>
              <w:jc w:val="center"/>
              <w:rPr>
                <w:sz w:val="20"/>
                <w:szCs w:val="20"/>
              </w:rPr>
            </w:pPr>
            <w:r w:rsidRPr="00771368">
              <w:rPr>
                <w:w w:val="96"/>
                <w:sz w:val="12"/>
                <w:szCs w:val="12"/>
              </w:rPr>
              <w:t>16,2%</w:t>
            </w:r>
          </w:p>
        </w:tc>
        <w:tc>
          <w:tcPr>
            <w:tcW w:w="700" w:type="dxa"/>
            <w:vAlign w:val="bottom"/>
          </w:tcPr>
          <w:p w:rsidR="00D24E61" w:rsidRPr="00771368" w:rsidRDefault="00D24E61">
            <w:pPr>
              <w:ind w:right="23"/>
              <w:jc w:val="center"/>
              <w:rPr>
                <w:sz w:val="20"/>
                <w:szCs w:val="20"/>
              </w:rPr>
            </w:pPr>
            <w:r w:rsidRPr="00771368">
              <w:rPr>
                <w:w w:val="96"/>
                <w:sz w:val="12"/>
                <w:szCs w:val="12"/>
              </w:rPr>
              <w:t>12,8%</w:t>
            </w:r>
          </w:p>
        </w:tc>
        <w:tc>
          <w:tcPr>
            <w:tcW w:w="600" w:type="dxa"/>
            <w:vAlign w:val="bottom"/>
          </w:tcPr>
          <w:p w:rsidR="00D24E61" w:rsidRPr="00771368" w:rsidRDefault="00D24E61">
            <w:pPr>
              <w:ind w:right="20"/>
              <w:jc w:val="center"/>
              <w:rPr>
                <w:sz w:val="20"/>
                <w:szCs w:val="20"/>
              </w:rPr>
            </w:pPr>
            <w:r w:rsidRPr="00771368">
              <w:rPr>
                <w:sz w:val="12"/>
                <w:szCs w:val="12"/>
              </w:rPr>
              <w:t>26,6%</w:t>
            </w:r>
          </w:p>
        </w:tc>
        <w:tc>
          <w:tcPr>
            <w:tcW w:w="700" w:type="dxa"/>
            <w:vAlign w:val="bottom"/>
          </w:tcPr>
          <w:p w:rsidR="00D24E61" w:rsidRPr="00771368" w:rsidRDefault="00D24E61">
            <w:pPr>
              <w:ind w:right="181"/>
              <w:jc w:val="right"/>
              <w:rPr>
                <w:sz w:val="20"/>
                <w:szCs w:val="20"/>
              </w:rPr>
            </w:pPr>
            <w:r w:rsidRPr="00771368">
              <w:rPr>
                <w:sz w:val="12"/>
                <w:szCs w:val="12"/>
              </w:rPr>
              <w:t>10,3%</w:t>
            </w:r>
          </w:p>
        </w:tc>
        <w:tc>
          <w:tcPr>
            <w:tcW w:w="640" w:type="dxa"/>
            <w:vAlign w:val="bottom"/>
          </w:tcPr>
          <w:p w:rsidR="00D24E61" w:rsidRPr="00771368" w:rsidRDefault="00D24E61">
            <w:pPr>
              <w:ind w:right="61"/>
              <w:jc w:val="center"/>
              <w:rPr>
                <w:sz w:val="20"/>
                <w:szCs w:val="20"/>
              </w:rPr>
            </w:pPr>
            <w:r w:rsidRPr="00771368">
              <w:rPr>
                <w:w w:val="95"/>
                <w:sz w:val="12"/>
                <w:szCs w:val="12"/>
              </w:rPr>
              <w:t>6,4%</w:t>
            </w:r>
          </w:p>
        </w:tc>
        <w:tc>
          <w:tcPr>
            <w:tcW w:w="660" w:type="dxa"/>
            <w:vAlign w:val="bottom"/>
          </w:tcPr>
          <w:p w:rsidR="00D24E61" w:rsidRPr="00771368" w:rsidRDefault="00D24E61">
            <w:pPr>
              <w:ind w:right="181"/>
              <w:jc w:val="right"/>
              <w:rPr>
                <w:sz w:val="20"/>
                <w:szCs w:val="20"/>
              </w:rPr>
            </w:pPr>
            <w:r w:rsidRPr="00771368">
              <w:rPr>
                <w:sz w:val="12"/>
                <w:szCs w:val="12"/>
              </w:rPr>
              <w:t>14,5%</w:t>
            </w:r>
          </w:p>
        </w:tc>
        <w:tc>
          <w:tcPr>
            <w:tcW w:w="680" w:type="dxa"/>
            <w:vAlign w:val="bottom"/>
          </w:tcPr>
          <w:p w:rsidR="00D24E61" w:rsidRPr="00771368" w:rsidRDefault="00D24E61">
            <w:pPr>
              <w:ind w:right="204"/>
              <w:jc w:val="right"/>
              <w:rPr>
                <w:sz w:val="20"/>
                <w:szCs w:val="20"/>
              </w:rPr>
            </w:pPr>
            <w:r w:rsidRPr="00771368">
              <w:rPr>
                <w:sz w:val="12"/>
                <w:szCs w:val="12"/>
              </w:rPr>
              <w:t>11,5%</w:t>
            </w:r>
          </w:p>
        </w:tc>
        <w:tc>
          <w:tcPr>
            <w:tcW w:w="600" w:type="dxa"/>
            <w:vAlign w:val="bottom"/>
          </w:tcPr>
          <w:p w:rsidR="00D24E61" w:rsidRPr="00771368" w:rsidRDefault="00D24E61">
            <w:pPr>
              <w:ind w:right="61"/>
              <w:jc w:val="center"/>
              <w:rPr>
                <w:sz w:val="20"/>
                <w:szCs w:val="20"/>
              </w:rPr>
            </w:pPr>
            <w:r w:rsidRPr="00771368">
              <w:rPr>
                <w:w w:val="95"/>
                <w:sz w:val="12"/>
                <w:szCs w:val="12"/>
              </w:rPr>
              <w:t>8,1%</w:t>
            </w:r>
          </w:p>
        </w:tc>
        <w:tc>
          <w:tcPr>
            <w:tcW w:w="540" w:type="dxa"/>
            <w:vAlign w:val="bottom"/>
          </w:tcPr>
          <w:p w:rsidR="00D24E61" w:rsidRPr="00771368" w:rsidRDefault="00D24E61">
            <w:pPr>
              <w:jc w:val="center"/>
              <w:rPr>
                <w:sz w:val="20"/>
                <w:szCs w:val="20"/>
              </w:rPr>
            </w:pPr>
            <w:r w:rsidRPr="00771368">
              <w:rPr>
                <w:w w:val="95"/>
                <w:sz w:val="12"/>
                <w:szCs w:val="12"/>
              </w:rPr>
              <w:t>9,4%</w:t>
            </w:r>
          </w:p>
        </w:tc>
        <w:tc>
          <w:tcPr>
            <w:tcW w:w="0" w:type="dxa"/>
            <w:vAlign w:val="bottom"/>
          </w:tcPr>
          <w:p w:rsidR="00D24E61" w:rsidRPr="00771368" w:rsidRDefault="00D24E61">
            <w:pPr>
              <w:rPr>
                <w:sz w:val="1"/>
                <w:szCs w:val="1"/>
              </w:rPr>
            </w:pPr>
          </w:p>
        </w:tc>
      </w:tr>
      <w:tr w:rsidR="00D24E61" w:rsidRPr="00771368">
        <w:trPr>
          <w:trHeight w:val="347"/>
        </w:trPr>
        <w:tc>
          <w:tcPr>
            <w:tcW w:w="120" w:type="dxa"/>
            <w:tcBorders>
              <w:bottom w:val="single" w:sz="8" w:space="0" w:color="C00000"/>
            </w:tcBorders>
            <w:vAlign w:val="bottom"/>
          </w:tcPr>
          <w:p w:rsidR="00D24E61" w:rsidRPr="00771368" w:rsidRDefault="00D24E61">
            <w:pPr>
              <w:rPr>
                <w:sz w:val="24"/>
                <w:szCs w:val="24"/>
              </w:rPr>
            </w:pPr>
          </w:p>
        </w:tc>
        <w:tc>
          <w:tcPr>
            <w:tcW w:w="1220" w:type="dxa"/>
            <w:vAlign w:val="bottom"/>
          </w:tcPr>
          <w:p w:rsidR="00D24E61" w:rsidRPr="00771368" w:rsidRDefault="00D24E61">
            <w:pPr>
              <w:ind w:left="60"/>
              <w:rPr>
                <w:sz w:val="20"/>
                <w:szCs w:val="20"/>
              </w:rPr>
            </w:pPr>
            <w:r w:rsidRPr="00771368">
              <w:rPr>
                <w:sz w:val="12"/>
                <w:szCs w:val="12"/>
              </w:rPr>
              <w:t>Concordo</w:t>
            </w:r>
          </w:p>
        </w:tc>
        <w:tc>
          <w:tcPr>
            <w:tcW w:w="720" w:type="dxa"/>
            <w:vAlign w:val="bottom"/>
          </w:tcPr>
          <w:p w:rsidR="00D24E61" w:rsidRPr="00771368" w:rsidRDefault="00D24E61">
            <w:pPr>
              <w:ind w:right="81"/>
              <w:jc w:val="center"/>
              <w:rPr>
                <w:sz w:val="20"/>
                <w:szCs w:val="20"/>
              </w:rPr>
            </w:pPr>
            <w:r w:rsidRPr="00771368">
              <w:rPr>
                <w:w w:val="96"/>
                <w:sz w:val="12"/>
                <w:szCs w:val="12"/>
              </w:rPr>
              <w:t>32,9%</w:t>
            </w:r>
          </w:p>
        </w:tc>
        <w:tc>
          <w:tcPr>
            <w:tcW w:w="560" w:type="dxa"/>
            <w:vAlign w:val="bottom"/>
          </w:tcPr>
          <w:p w:rsidR="00D24E61" w:rsidRPr="00771368" w:rsidRDefault="00D24E61">
            <w:pPr>
              <w:ind w:right="40"/>
              <w:jc w:val="center"/>
              <w:rPr>
                <w:sz w:val="20"/>
                <w:szCs w:val="20"/>
              </w:rPr>
            </w:pPr>
            <w:r w:rsidRPr="00771368">
              <w:rPr>
                <w:w w:val="96"/>
                <w:sz w:val="12"/>
                <w:szCs w:val="12"/>
              </w:rPr>
              <w:t>43,3%</w:t>
            </w:r>
          </w:p>
        </w:tc>
        <w:tc>
          <w:tcPr>
            <w:tcW w:w="660" w:type="dxa"/>
            <w:vAlign w:val="bottom"/>
          </w:tcPr>
          <w:p w:rsidR="00D24E61" w:rsidRPr="00771368" w:rsidRDefault="00D24E61">
            <w:pPr>
              <w:jc w:val="center"/>
              <w:rPr>
                <w:sz w:val="20"/>
                <w:szCs w:val="20"/>
              </w:rPr>
            </w:pPr>
            <w:r w:rsidRPr="00771368">
              <w:rPr>
                <w:w w:val="96"/>
                <w:sz w:val="12"/>
                <w:szCs w:val="12"/>
              </w:rPr>
              <w:t>43,2%</w:t>
            </w:r>
          </w:p>
        </w:tc>
        <w:tc>
          <w:tcPr>
            <w:tcW w:w="640" w:type="dxa"/>
            <w:vAlign w:val="bottom"/>
          </w:tcPr>
          <w:p w:rsidR="00D24E61" w:rsidRPr="00771368" w:rsidRDefault="00D24E61">
            <w:pPr>
              <w:jc w:val="center"/>
              <w:rPr>
                <w:sz w:val="20"/>
                <w:szCs w:val="20"/>
              </w:rPr>
            </w:pPr>
            <w:r w:rsidRPr="00771368">
              <w:rPr>
                <w:w w:val="96"/>
                <w:sz w:val="12"/>
                <w:szCs w:val="12"/>
              </w:rPr>
              <w:t>37,6%</w:t>
            </w:r>
          </w:p>
        </w:tc>
        <w:tc>
          <w:tcPr>
            <w:tcW w:w="700" w:type="dxa"/>
            <w:vAlign w:val="bottom"/>
          </w:tcPr>
          <w:p w:rsidR="00D24E61" w:rsidRPr="00771368" w:rsidRDefault="00D24E61">
            <w:pPr>
              <w:ind w:right="23"/>
              <w:jc w:val="center"/>
              <w:rPr>
                <w:sz w:val="20"/>
                <w:szCs w:val="20"/>
              </w:rPr>
            </w:pPr>
            <w:r w:rsidRPr="00771368">
              <w:rPr>
                <w:w w:val="96"/>
                <w:sz w:val="12"/>
                <w:szCs w:val="12"/>
              </w:rPr>
              <w:t>40,2%</w:t>
            </w:r>
          </w:p>
        </w:tc>
        <w:tc>
          <w:tcPr>
            <w:tcW w:w="600" w:type="dxa"/>
            <w:vAlign w:val="bottom"/>
          </w:tcPr>
          <w:p w:rsidR="00D24E61" w:rsidRPr="00771368" w:rsidRDefault="00D24E61">
            <w:pPr>
              <w:ind w:right="20"/>
              <w:jc w:val="center"/>
              <w:rPr>
                <w:sz w:val="20"/>
                <w:szCs w:val="20"/>
              </w:rPr>
            </w:pPr>
            <w:r w:rsidRPr="00771368">
              <w:rPr>
                <w:sz w:val="12"/>
                <w:szCs w:val="12"/>
              </w:rPr>
              <w:t>39,1%</w:t>
            </w:r>
          </w:p>
        </w:tc>
        <w:tc>
          <w:tcPr>
            <w:tcW w:w="700" w:type="dxa"/>
            <w:vAlign w:val="bottom"/>
          </w:tcPr>
          <w:p w:rsidR="00D24E61" w:rsidRPr="00771368" w:rsidRDefault="00D24E61">
            <w:pPr>
              <w:ind w:right="181"/>
              <w:jc w:val="right"/>
              <w:rPr>
                <w:sz w:val="20"/>
                <w:szCs w:val="20"/>
              </w:rPr>
            </w:pPr>
            <w:r w:rsidRPr="00771368">
              <w:rPr>
                <w:sz w:val="12"/>
                <w:szCs w:val="12"/>
              </w:rPr>
              <w:t>32,5%</w:t>
            </w:r>
          </w:p>
        </w:tc>
        <w:tc>
          <w:tcPr>
            <w:tcW w:w="640" w:type="dxa"/>
            <w:vAlign w:val="bottom"/>
          </w:tcPr>
          <w:p w:rsidR="00D24E61" w:rsidRPr="00771368" w:rsidRDefault="00D24E61">
            <w:pPr>
              <w:ind w:right="61"/>
              <w:jc w:val="center"/>
              <w:rPr>
                <w:sz w:val="20"/>
                <w:szCs w:val="20"/>
              </w:rPr>
            </w:pPr>
            <w:r w:rsidRPr="00771368">
              <w:rPr>
                <w:sz w:val="12"/>
                <w:szCs w:val="12"/>
              </w:rPr>
              <w:t>37,2%</w:t>
            </w:r>
          </w:p>
        </w:tc>
        <w:tc>
          <w:tcPr>
            <w:tcW w:w="660" w:type="dxa"/>
            <w:vAlign w:val="bottom"/>
          </w:tcPr>
          <w:p w:rsidR="00D24E61" w:rsidRPr="00771368" w:rsidRDefault="00D24E61">
            <w:pPr>
              <w:ind w:right="181"/>
              <w:jc w:val="right"/>
              <w:rPr>
                <w:sz w:val="20"/>
                <w:szCs w:val="20"/>
              </w:rPr>
            </w:pPr>
            <w:r w:rsidRPr="00771368">
              <w:rPr>
                <w:sz w:val="12"/>
                <w:szCs w:val="12"/>
              </w:rPr>
              <w:t>39,4%</w:t>
            </w:r>
          </w:p>
        </w:tc>
        <w:tc>
          <w:tcPr>
            <w:tcW w:w="680" w:type="dxa"/>
            <w:vAlign w:val="bottom"/>
          </w:tcPr>
          <w:p w:rsidR="00D24E61" w:rsidRPr="00771368" w:rsidRDefault="00D24E61">
            <w:pPr>
              <w:ind w:right="204"/>
              <w:jc w:val="right"/>
              <w:rPr>
                <w:sz w:val="20"/>
                <w:szCs w:val="20"/>
              </w:rPr>
            </w:pPr>
            <w:r w:rsidRPr="00771368">
              <w:rPr>
                <w:sz w:val="12"/>
                <w:szCs w:val="12"/>
              </w:rPr>
              <w:t>31,6%</w:t>
            </w:r>
          </w:p>
        </w:tc>
        <w:tc>
          <w:tcPr>
            <w:tcW w:w="600" w:type="dxa"/>
            <w:vAlign w:val="bottom"/>
          </w:tcPr>
          <w:p w:rsidR="00D24E61" w:rsidRPr="00771368" w:rsidRDefault="00D24E61">
            <w:pPr>
              <w:ind w:right="81"/>
              <w:jc w:val="center"/>
              <w:rPr>
                <w:sz w:val="20"/>
                <w:szCs w:val="20"/>
              </w:rPr>
            </w:pPr>
            <w:r w:rsidRPr="00771368">
              <w:rPr>
                <w:w w:val="96"/>
                <w:sz w:val="12"/>
                <w:szCs w:val="12"/>
              </w:rPr>
              <w:t>20,1%</w:t>
            </w:r>
          </w:p>
        </w:tc>
        <w:tc>
          <w:tcPr>
            <w:tcW w:w="540" w:type="dxa"/>
            <w:vAlign w:val="bottom"/>
          </w:tcPr>
          <w:p w:rsidR="00D24E61" w:rsidRPr="00771368" w:rsidRDefault="00D24E61">
            <w:pPr>
              <w:jc w:val="center"/>
              <w:rPr>
                <w:sz w:val="20"/>
                <w:szCs w:val="20"/>
              </w:rPr>
            </w:pPr>
            <w:r w:rsidRPr="00771368">
              <w:rPr>
                <w:sz w:val="12"/>
                <w:szCs w:val="12"/>
              </w:rPr>
              <w:t>20,5%</w:t>
            </w:r>
          </w:p>
        </w:tc>
        <w:tc>
          <w:tcPr>
            <w:tcW w:w="0" w:type="dxa"/>
            <w:vAlign w:val="bottom"/>
          </w:tcPr>
          <w:p w:rsidR="00D24E61" w:rsidRPr="00771368" w:rsidRDefault="00D24E61">
            <w:pPr>
              <w:rPr>
                <w:sz w:val="1"/>
                <w:szCs w:val="1"/>
              </w:rPr>
            </w:pPr>
          </w:p>
        </w:tc>
      </w:tr>
      <w:tr w:rsidR="00D24E61" w:rsidRPr="00771368">
        <w:trPr>
          <w:trHeight w:val="305"/>
        </w:trPr>
        <w:tc>
          <w:tcPr>
            <w:tcW w:w="120" w:type="dxa"/>
            <w:vAlign w:val="bottom"/>
          </w:tcPr>
          <w:p w:rsidR="00D24E61" w:rsidRPr="00771368" w:rsidRDefault="00D24E61">
            <w:pPr>
              <w:rPr>
                <w:sz w:val="24"/>
                <w:szCs w:val="24"/>
              </w:rPr>
            </w:pPr>
          </w:p>
        </w:tc>
        <w:tc>
          <w:tcPr>
            <w:tcW w:w="1220" w:type="dxa"/>
            <w:vAlign w:val="bottom"/>
          </w:tcPr>
          <w:p w:rsidR="00D24E61" w:rsidRPr="00771368" w:rsidRDefault="00D24E61">
            <w:pPr>
              <w:ind w:left="60"/>
              <w:rPr>
                <w:sz w:val="20"/>
                <w:szCs w:val="20"/>
              </w:rPr>
            </w:pPr>
            <w:r w:rsidRPr="00771368">
              <w:rPr>
                <w:sz w:val="12"/>
                <w:szCs w:val="12"/>
              </w:rPr>
              <w:t>Discordo</w:t>
            </w:r>
          </w:p>
        </w:tc>
        <w:tc>
          <w:tcPr>
            <w:tcW w:w="720" w:type="dxa"/>
            <w:vAlign w:val="bottom"/>
          </w:tcPr>
          <w:p w:rsidR="00D24E61" w:rsidRPr="00771368" w:rsidRDefault="00D24E61">
            <w:pPr>
              <w:ind w:right="81"/>
              <w:jc w:val="center"/>
              <w:rPr>
                <w:sz w:val="20"/>
                <w:szCs w:val="20"/>
              </w:rPr>
            </w:pPr>
            <w:r w:rsidRPr="00771368">
              <w:rPr>
                <w:w w:val="96"/>
                <w:sz w:val="12"/>
                <w:szCs w:val="12"/>
              </w:rPr>
              <w:t>42,3%</w:t>
            </w:r>
          </w:p>
        </w:tc>
        <w:tc>
          <w:tcPr>
            <w:tcW w:w="560" w:type="dxa"/>
            <w:vAlign w:val="bottom"/>
          </w:tcPr>
          <w:p w:rsidR="00D24E61" w:rsidRPr="00771368" w:rsidRDefault="00D24E61">
            <w:pPr>
              <w:ind w:right="40"/>
              <w:jc w:val="center"/>
              <w:rPr>
                <w:sz w:val="20"/>
                <w:szCs w:val="20"/>
              </w:rPr>
            </w:pPr>
            <w:r w:rsidRPr="00771368">
              <w:rPr>
                <w:w w:val="96"/>
                <w:sz w:val="12"/>
                <w:szCs w:val="12"/>
              </w:rPr>
              <w:t>30,0%</w:t>
            </w:r>
          </w:p>
        </w:tc>
        <w:tc>
          <w:tcPr>
            <w:tcW w:w="660" w:type="dxa"/>
            <w:vAlign w:val="bottom"/>
          </w:tcPr>
          <w:p w:rsidR="00D24E61" w:rsidRPr="00771368" w:rsidRDefault="00D24E61">
            <w:pPr>
              <w:jc w:val="center"/>
              <w:rPr>
                <w:sz w:val="20"/>
                <w:szCs w:val="20"/>
              </w:rPr>
            </w:pPr>
            <w:r w:rsidRPr="00771368">
              <w:rPr>
                <w:w w:val="96"/>
                <w:sz w:val="12"/>
                <w:szCs w:val="12"/>
              </w:rPr>
              <w:t>35,0%</w:t>
            </w:r>
          </w:p>
        </w:tc>
        <w:tc>
          <w:tcPr>
            <w:tcW w:w="640" w:type="dxa"/>
            <w:vAlign w:val="bottom"/>
          </w:tcPr>
          <w:p w:rsidR="00D24E61" w:rsidRPr="00771368" w:rsidRDefault="00D24E61">
            <w:pPr>
              <w:jc w:val="center"/>
              <w:rPr>
                <w:sz w:val="20"/>
                <w:szCs w:val="20"/>
              </w:rPr>
            </w:pPr>
            <w:r w:rsidRPr="00771368">
              <w:rPr>
                <w:w w:val="96"/>
                <w:sz w:val="12"/>
                <w:szCs w:val="12"/>
              </w:rPr>
              <w:t>38,5%</w:t>
            </w:r>
          </w:p>
        </w:tc>
        <w:tc>
          <w:tcPr>
            <w:tcW w:w="700" w:type="dxa"/>
            <w:vAlign w:val="bottom"/>
          </w:tcPr>
          <w:p w:rsidR="00D24E61" w:rsidRPr="00771368" w:rsidRDefault="00D24E61">
            <w:pPr>
              <w:ind w:right="23"/>
              <w:jc w:val="center"/>
              <w:rPr>
                <w:sz w:val="20"/>
                <w:szCs w:val="20"/>
              </w:rPr>
            </w:pPr>
            <w:r w:rsidRPr="00771368">
              <w:rPr>
                <w:w w:val="96"/>
                <w:sz w:val="12"/>
                <w:szCs w:val="12"/>
              </w:rPr>
              <w:t>38,5%</w:t>
            </w:r>
          </w:p>
        </w:tc>
        <w:tc>
          <w:tcPr>
            <w:tcW w:w="600" w:type="dxa"/>
            <w:vAlign w:val="bottom"/>
          </w:tcPr>
          <w:p w:rsidR="00D24E61" w:rsidRPr="00771368" w:rsidRDefault="00D24E61">
            <w:pPr>
              <w:ind w:right="20"/>
              <w:jc w:val="center"/>
              <w:rPr>
                <w:sz w:val="20"/>
                <w:szCs w:val="20"/>
              </w:rPr>
            </w:pPr>
            <w:r w:rsidRPr="00771368">
              <w:rPr>
                <w:sz w:val="12"/>
                <w:szCs w:val="12"/>
              </w:rPr>
              <w:t>27,9%</w:t>
            </w:r>
          </w:p>
        </w:tc>
        <w:tc>
          <w:tcPr>
            <w:tcW w:w="700" w:type="dxa"/>
            <w:vAlign w:val="bottom"/>
          </w:tcPr>
          <w:p w:rsidR="00D24E61" w:rsidRPr="00771368" w:rsidRDefault="00D24E61">
            <w:pPr>
              <w:ind w:right="181"/>
              <w:jc w:val="right"/>
              <w:rPr>
                <w:sz w:val="20"/>
                <w:szCs w:val="20"/>
              </w:rPr>
            </w:pPr>
            <w:r w:rsidRPr="00771368">
              <w:rPr>
                <w:sz w:val="12"/>
                <w:szCs w:val="12"/>
              </w:rPr>
              <w:t>45,3%</w:t>
            </w:r>
          </w:p>
        </w:tc>
        <w:tc>
          <w:tcPr>
            <w:tcW w:w="640" w:type="dxa"/>
            <w:vAlign w:val="bottom"/>
          </w:tcPr>
          <w:p w:rsidR="00D24E61" w:rsidRPr="00771368" w:rsidRDefault="00D24E61">
            <w:pPr>
              <w:ind w:right="61"/>
              <w:jc w:val="center"/>
              <w:rPr>
                <w:sz w:val="20"/>
                <w:szCs w:val="20"/>
              </w:rPr>
            </w:pPr>
            <w:r w:rsidRPr="00771368">
              <w:rPr>
                <w:sz w:val="12"/>
                <w:szCs w:val="12"/>
              </w:rPr>
              <w:t>44,4%</w:t>
            </w:r>
          </w:p>
        </w:tc>
        <w:tc>
          <w:tcPr>
            <w:tcW w:w="660" w:type="dxa"/>
            <w:vAlign w:val="bottom"/>
          </w:tcPr>
          <w:p w:rsidR="00D24E61" w:rsidRPr="00771368" w:rsidRDefault="00D24E61">
            <w:pPr>
              <w:ind w:right="181"/>
              <w:jc w:val="right"/>
              <w:rPr>
                <w:sz w:val="20"/>
                <w:szCs w:val="20"/>
              </w:rPr>
            </w:pPr>
            <w:r w:rsidRPr="00771368">
              <w:rPr>
                <w:sz w:val="12"/>
                <w:szCs w:val="12"/>
              </w:rPr>
              <w:t>34,6%</w:t>
            </w:r>
          </w:p>
        </w:tc>
        <w:tc>
          <w:tcPr>
            <w:tcW w:w="680" w:type="dxa"/>
            <w:vAlign w:val="bottom"/>
          </w:tcPr>
          <w:p w:rsidR="00D24E61" w:rsidRPr="00771368" w:rsidRDefault="00D24E61">
            <w:pPr>
              <w:ind w:right="204"/>
              <w:jc w:val="right"/>
              <w:rPr>
                <w:sz w:val="20"/>
                <w:szCs w:val="20"/>
              </w:rPr>
            </w:pPr>
            <w:r w:rsidRPr="00771368">
              <w:rPr>
                <w:sz w:val="12"/>
                <w:szCs w:val="12"/>
              </w:rPr>
              <w:t>41,1%</w:t>
            </w:r>
          </w:p>
        </w:tc>
        <w:tc>
          <w:tcPr>
            <w:tcW w:w="600" w:type="dxa"/>
            <w:vAlign w:val="bottom"/>
          </w:tcPr>
          <w:p w:rsidR="00D24E61" w:rsidRPr="00771368" w:rsidRDefault="00D24E61">
            <w:pPr>
              <w:ind w:right="81"/>
              <w:jc w:val="center"/>
              <w:rPr>
                <w:sz w:val="20"/>
                <w:szCs w:val="20"/>
              </w:rPr>
            </w:pPr>
            <w:r w:rsidRPr="00771368">
              <w:rPr>
                <w:w w:val="96"/>
                <w:sz w:val="12"/>
                <w:szCs w:val="12"/>
              </w:rPr>
              <w:t>54,3%</w:t>
            </w:r>
          </w:p>
        </w:tc>
        <w:tc>
          <w:tcPr>
            <w:tcW w:w="540" w:type="dxa"/>
            <w:vAlign w:val="bottom"/>
          </w:tcPr>
          <w:p w:rsidR="00D24E61" w:rsidRPr="00771368" w:rsidRDefault="00D24E61">
            <w:pPr>
              <w:jc w:val="center"/>
              <w:rPr>
                <w:sz w:val="20"/>
                <w:szCs w:val="20"/>
              </w:rPr>
            </w:pPr>
            <w:r w:rsidRPr="00771368">
              <w:rPr>
                <w:sz w:val="12"/>
                <w:szCs w:val="12"/>
              </w:rPr>
              <w:t>43,2%</w:t>
            </w:r>
          </w:p>
        </w:tc>
        <w:tc>
          <w:tcPr>
            <w:tcW w:w="0" w:type="dxa"/>
            <w:vAlign w:val="bottom"/>
          </w:tcPr>
          <w:p w:rsidR="00D24E61" w:rsidRPr="00771368" w:rsidRDefault="00D24E61">
            <w:pPr>
              <w:rPr>
                <w:sz w:val="1"/>
                <w:szCs w:val="1"/>
              </w:rPr>
            </w:pPr>
          </w:p>
        </w:tc>
      </w:tr>
      <w:tr w:rsidR="00D24E61" w:rsidRPr="00771368">
        <w:trPr>
          <w:trHeight w:val="86"/>
        </w:trPr>
        <w:tc>
          <w:tcPr>
            <w:tcW w:w="120" w:type="dxa"/>
            <w:tcBorders>
              <w:right w:val="single" w:sz="8" w:space="0" w:color="92D050"/>
            </w:tcBorders>
            <w:shd w:val="clear" w:color="auto" w:fill="92D050"/>
            <w:vAlign w:val="bottom"/>
          </w:tcPr>
          <w:p w:rsidR="00D24E61" w:rsidRPr="00771368" w:rsidRDefault="00D24E61">
            <w:pPr>
              <w:rPr>
                <w:sz w:val="7"/>
                <w:szCs w:val="7"/>
              </w:rPr>
            </w:pPr>
          </w:p>
        </w:tc>
        <w:tc>
          <w:tcPr>
            <w:tcW w:w="1220" w:type="dxa"/>
            <w:vMerge w:val="restart"/>
            <w:vAlign w:val="bottom"/>
          </w:tcPr>
          <w:p w:rsidR="00D24E61" w:rsidRPr="00771368" w:rsidRDefault="00D24E61">
            <w:pPr>
              <w:ind w:left="60"/>
              <w:rPr>
                <w:sz w:val="20"/>
                <w:szCs w:val="20"/>
              </w:rPr>
            </w:pPr>
            <w:r w:rsidRPr="00771368">
              <w:rPr>
                <w:sz w:val="12"/>
                <w:szCs w:val="12"/>
              </w:rPr>
              <w:t>Discordo totalmente</w:t>
            </w:r>
          </w:p>
        </w:tc>
        <w:tc>
          <w:tcPr>
            <w:tcW w:w="720" w:type="dxa"/>
            <w:vMerge w:val="restart"/>
            <w:vAlign w:val="bottom"/>
          </w:tcPr>
          <w:p w:rsidR="00D24E61" w:rsidRPr="00771368" w:rsidRDefault="00D24E61">
            <w:pPr>
              <w:ind w:right="61"/>
              <w:jc w:val="center"/>
              <w:rPr>
                <w:sz w:val="20"/>
                <w:szCs w:val="20"/>
              </w:rPr>
            </w:pPr>
            <w:r w:rsidRPr="00771368">
              <w:rPr>
                <w:w w:val="95"/>
                <w:sz w:val="12"/>
                <w:szCs w:val="12"/>
              </w:rPr>
              <w:t>7,3%</w:t>
            </w:r>
          </w:p>
        </w:tc>
        <w:tc>
          <w:tcPr>
            <w:tcW w:w="560" w:type="dxa"/>
            <w:vMerge w:val="restart"/>
            <w:vAlign w:val="bottom"/>
          </w:tcPr>
          <w:p w:rsidR="00D24E61" w:rsidRPr="00771368" w:rsidRDefault="00D24E61">
            <w:pPr>
              <w:ind w:right="60"/>
              <w:jc w:val="center"/>
              <w:rPr>
                <w:sz w:val="20"/>
                <w:szCs w:val="20"/>
              </w:rPr>
            </w:pPr>
            <w:r w:rsidRPr="00771368">
              <w:rPr>
                <w:w w:val="95"/>
                <w:sz w:val="12"/>
                <w:szCs w:val="12"/>
              </w:rPr>
              <w:t>6,0%</w:t>
            </w:r>
          </w:p>
        </w:tc>
        <w:tc>
          <w:tcPr>
            <w:tcW w:w="660" w:type="dxa"/>
            <w:vMerge w:val="restart"/>
            <w:vAlign w:val="bottom"/>
          </w:tcPr>
          <w:p w:rsidR="00D24E61" w:rsidRPr="00771368" w:rsidRDefault="00D24E61">
            <w:pPr>
              <w:jc w:val="center"/>
              <w:rPr>
                <w:sz w:val="20"/>
                <w:szCs w:val="20"/>
              </w:rPr>
            </w:pPr>
            <w:r w:rsidRPr="00771368">
              <w:rPr>
                <w:w w:val="95"/>
                <w:sz w:val="12"/>
                <w:szCs w:val="12"/>
              </w:rPr>
              <w:t>3,4%</w:t>
            </w:r>
          </w:p>
        </w:tc>
        <w:tc>
          <w:tcPr>
            <w:tcW w:w="640" w:type="dxa"/>
            <w:vMerge w:val="restart"/>
            <w:vAlign w:val="bottom"/>
          </w:tcPr>
          <w:p w:rsidR="00D24E61" w:rsidRPr="00771368" w:rsidRDefault="00D24E61">
            <w:pPr>
              <w:jc w:val="center"/>
              <w:rPr>
                <w:sz w:val="20"/>
                <w:szCs w:val="20"/>
              </w:rPr>
            </w:pPr>
            <w:r w:rsidRPr="00771368">
              <w:rPr>
                <w:w w:val="95"/>
                <w:sz w:val="12"/>
                <w:szCs w:val="12"/>
              </w:rPr>
              <w:t>7,7%</w:t>
            </w:r>
          </w:p>
        </w:tc>
        <w:tc>
          <w:tcPr>
            <w:tcW w:w="700" w:type="dxa"/>
            <w:vMerge w:val="restart"/>
            <w:vAlign w:val="bottom"/>
          </w:tcPr>
          <w:p w:rsidR="00D24E61" w:rsidRPr="00771368" w:rsidRDefault="00D24E61">
            <w:pPr>
              <w:ind w:right="3"/>
              <w:jc w:val="center"/>
              <w:rPr>
                <w:sz w:val="20"/>
                <w:szCs w:val="20"/>
              </w:rPr>
            </w:pPr>
            <w:r w:rsidRPr="00771368">
              <w:rPr>
                <w:w w:val="95"/>
                <w:sz w:val="12"/>
                <w:szCs w:val="12"/>
              </w:rPr>
              <w:t>8,5%</w:t>
            </w:r>
          </w:p>
        </w:tc>
        <w:tc>
          <w:tcPr>
            <w:tcW w:w="600" w:type="dxa"/>
            <w:vMerge w:val="restart"/>
            <w:vAlign w:val="bottom"/>
          </w:tcPr>
          <w:p w:rsidR="00D24E61" w:rsidRPr="00771368" w:rsidRDefault="00D24E61">
            <w:pPr>
              <w:ind w:right="20"/>
              <w:jc w:val="center"/>
              <w:rPr>
                <w:sz w:val="20"/>
                <w:szCs w:val="20"/>
              </w:rPr>
            </w:pPr>
            <w:r w:rsidRPr="00771368">
              <w:rPr>
                <w:w w:val="95"/>
                <w:sz w:val="12"/>
                <w:szCs w:val="12"/>
              </w:rPr>
              <w:t>6,4%</w:t>
            </w:r>
          </w:p>
        </w:tc>
        <w:tc>
          <w:tcPr>
            <w:tcW w:w="700" w:type="dxa"/>
            <w:vMerge w:val="restart"/>
            <w:vAlign w:val="bottom"/>
          </w:tcPr>
          <w:p w:rsidR="00D24E61" w:rsidRPr="00771368" w:rsidRDefault="00D24E61">
            <w:pPr>
              <w:ind w:right="181"/>
              <w:jc w:val="right"/>
              <w:rPr>
                <w:sz w:val="20"/>
                <w:szCs w:val="20"/>
              </w:rPr>
            </w:pPr>
            <w:r w:rsidRPr="00771368">
              <w:rPr>
                <w:sz w:val="12"/>
                <w:szCs w:val="12"/>
              </w:rPr>
              <w:t>12,0%</w:t>
            </w:r>
          </w:p>
        </w:tc>
        <w:tc>
          <w:tcPr>
            <w:tcW w:w="640" w:type="dxa"/>
            <w:vMerge w:val="restart"/>
            <w:vAlign w:val="bottom"/>
          </w:tcPr>
          <w:p w:rsidR="00D24E61" w:rsidRPr="00771368" w:rsidRDefault="00D24E61">
            <w:pPr>
              <w:ind w:right="61"/>
              <w:jc w:val="center"/>
              <w:rPr>
                <w:sz w:val="20"/>
                <w:szCs w:val="20"/>
              </w:rPr>
            </w:pPr>
            <w:r w:rsidRPr="00771368">
              <w:rPr>
                <w:sz w:val="12"/>
                <w:szCs w:val="12"/>
              </w:rPr>
              <w:t>12,0%</w:t>
            </w:r>
          </w:p>
        </w:tc>
        <w:tc>
          <w:tcPr>
            <w:tcW w:w="660" w:type="dxa"/>
            <w:vMerge w:val="restart"/>
            <w:vAlign w:val="bottom"/>
          </w:tcPr>
          <w:p w:rsidR="00D24E61" w:rsidRPr="00771368" w:rsidRDefault="00D24E61">
            <w:pPr>
              <w:ind w:right="181"/>
              <w:jc w:val="right"/>
              <w:rPr>
                <w:sz w:val="20"/>
                <w:szCs w:val="20"/>
              </w:rPr>
            </w:pPr>
            <w:r w:rsidRPr="00771368">
              <w:rPr>
                <w:sz w:val="12"/>
                <w:szCs w:val="12"/>
              </w:rPr>
              <w:t>11,5%</w:t>
            </w:r>
          </w:p>
        </w:tc>
        <w:tc>
          <w:tcPr>
            <w:tcW w:w="680" w:type="dxa"/>
            <w:vMerge w:val="restart"/>
            <w:vAlign w:val="bottom"/>
          </w:tcPr>
          <w:p w:rsidR="00D24E61" w:rsidRPr="00771368" w:rsidRDefault="00D24E61">
            <w:pPr>
              <w:ind w:right="204"/>
              <w:jc w:val="right"/>
              <w:rPr>
                <w:sz w:val="20"/>
                <w:szCs w:val="20"/>
              </w:rPr>
            </w:pPr>
            <w:r w:rsidRPr="00771368">
              <w:rPr>
                <w:sz w:val="12"/>
                <w:szCs w:val="12"/>
              </w:rPr>
              <w:t>15,8%</w:t>
            </w:r>
          </w:p>
        </w:tc>
        <w:tc>
          <w:tcPr>
            <w:tcW w:w="600" w:type="dxa"/>
            <w:vMerge w:val="restart"/>
            <w:vAlign w:val="bottom"/>
          </w:tcPr>
          <w:p w:rsidR="00D24E61" w:rsidRPr="00771368" w:rsidRDefault="00D24E61">
            <w:pPr>
              <w:ind w:right="81"/>
              <w:jc w:val="center"/>
              <w:rPr>
                <w:sz w:val="20"/>
                <w:szCs w:val="20"/>
              </w:rPr>
            </w:pPr>
            <w:r w:rsidRPr="00771368">
              <w:rPr>
                <w:w w:val="96"/>
                <w:sz w:val="12"/>
                <w:szCs w:val="12"/>
              </w:rPr>
              <w:t>17,5%</w:t>
            </w:r>
          </w:p>
        </w:tc>
        <w:tc>
          <w:tcPr>
            <w:tcW w:w="540" w:type="dxa"/>
            <w:vMerge w:val="restart"/>
            <w:vAlign w:val="bottom"/>
          </w:tcPr>
          <w:p w:rsidR="00D24E61" w:rsidRPr="00771368" w:rsidRDefault="00D24E61">
            <w:pPr>
              <w:jc w:val="center"/>
              <w:rPr>
                <w:sz w:val="20"/>
                <w:szCs w:val="20"/>
              </w:rPr>
            </w:pPr>
            <w:r w:rsidRPr="00771368">
              <w:rPr>
                <w:sz w:val="12"/>
                <w:szCs w:val="12"/>
              </w:rPr>
              <w:t>26,9%</w:t>
            </w:r>
          </w:p>
        </w:tc>
        <w:tc>
          <w:tcPr>
            <w:tcW w:w="0" w:type="dxa"/>
            <w:vAlign w:val="bottom"/>
          </w:tcPr>
          <w:p w:rsidR="00D24E61" w:rsidRPr="00771368" w:rsidRDefault="00D24E61">
            <w:pPr>
              <w:rPr>
                <w:sz w:val="1"/>
                <w:szCs w:val="1"/>
              </w:rPr>
            </w:pPr>
          </w:p>
        </w:tc>
      </w:tr>
      <w:tr w:rsidR="00D24E61" w:rsidRPr="00771368">
        <w:trPr>
          <w:trHeight w:val="282"/>
        </w:trPr>
        <w:tc>
          <w:tcPr>
            <w:tcW w:w="120" w:type="dxa"/>
            <w:vAlign w:val="bottom"/>
          </w:tcPr>
          <w:p w:rsidR="00D24E61" w:rsidRPr="00771368" w:rsidRDefault="00D24E61">
            <w:pPr>
              <w:rPr>
                <w:sz w:val="24"/>
                <w:szCs w:val="24"/>
              </w:rPr>
            </w:pPr>
          </w:p>
        </w:tc>
        <w:tc>
          <w:tcPr>
            <w:tcW w:w="1220" w:type="dxa"/>
            <w:vMerge/>
            <w:vAlign w:val="bottom"/>
          </w:tcPr>
          <w:p w:rsidR="00D24E61" w:rsidRPr="00771368" w:rsidRDefault="00D24E61">
            <w:pPr>
              <w:rPr>
                <w:sz w:val="24"/>
                <w:szCs w:val="24"/>
              </w:rPr>
            </w:pPr>
          </w:p>
        </w:tc>
        <w:tc>
          <w:tcPr>
            <w:tcW w:w="720" w:type="dxa"/>
            <w:vMerge/>
            <w:vAlign w:val="bottom"/>
          </w:tcPr>
          <w:p w:rsidR="00D24E61" w:rsidRPr="00771368" w:rsidRDefault="00D24E61">
            <w:pPr>
              <w:rPr>
                <w:sz w:val="24"/>
                <w:szCs w:val="24"/>
              </w:rPr>
            </w:pPr>
          </w:p>
        </w:tc>
        <w:tc>
          <w:tcPr>
            <w:tcW w:w="560" w:type="dxa"/>
            <w:vMerge/>
            <w:vAlign w:val="bottom"/>
          </w:tcPr>
          <w:p w:rsidR="00D24E61" w:rsidRPr="00771368" w:rsidRDefault="00D24E61">
            <w:pPr>
              <w:rPr>
                <w:sz w:val="24"/>
                <w:szCs w:val="24"/>
              </w:rPr>
            </w:pPr>
          </w:p>
        </w:tc>
        <w:tc>
          <w:tcPr>
            <w:tcW w:w="660" w:type="dxa"/>
            <w:vMerge/>
            <w:vAlign w:val="bottom"/>
          </w:tcPr>
          <w:p w:rsidR="00D24E61" w:rsidRPr="00771368" w:rsidRDefault="00D24E61">
            <w:pPr>
              <w:rPr>
                <w:sz w:val="24"/>
                <w:szCs w:val="24"/>
              </w:rPr>
            </w:pPr>
          </w:p>
        </w:tc>
        <w:tc>
          <w:tcPr>
            <w:tcW w:w="640" w:type="dxa"/>
            <w:vMerge/>
            <w:vAlign w:val="bottom"/>
          </w:tcPr>
          <w:p w:rsidR="00D24E61" w:rsidRPr="00771368" w:rsidRDefault="00D24E61">
            <w:pPr>
              <w:rPr>
                <w:sz w:val="24"/>
                <w:szCs w:val="24"/>
              </w:rPr>
            </w:pPr>
          </w:p>
        </w:tc>
        <w:tc>
          <w:tcPr>
            <w:tcW w:w="700" w:type="dxa"/>
            <w:vMerge/>
            <w:vAlign w:val="bottom"/>
          </w:tcPr>
          <w:p w:rsidR="00D24E61" w:rsidRPr="00771368" w:rsidRDefault="00D24E61">
            <w:pPr>
              <w:rPr>
                <w:sz w:val="24"/>
                <w:szCs w:val="24"/>
              </w:rPr>
            </w:pPr>
          </w:p>
        </w:tc>
        <w:tc>
          <w:tcPr>
            <w:tcW w:w="600" w:type="dxa"/>
            <w:vMerge/>
            <w:vAlign w:val="bottom"/>
          </w:tcPr>
          <w:p w:rsidR="00D24E61" w:rsidRPr="00771368" w:rsidRDefault="00D24E61">
            <w:pPr>
              <w:rPr>
                <w:sz w:val="24"/>
                <w:szCs w:val="24"/>
              </w:rPr>
            </w:pPr>
          </w:p>
        </w:tc>
        <w:tc>
          <w:tcPr>
            <w:tcW w:w="700" w:type="dxa"/>
            <w:vMerge/>
            <w:vAlign w:val="bottom"/>
          </w:tcPr>
          <w:p w:rsidR="00D24E61" w:rsidRPr="00771368" w:rsidRDefault="00D24E61">
            <w:pPr>
              <w:rPr>
                <w:sz w:val="24"/>
                <w:szCs w:val="24"/>
              </w:rPr>
            </w:pPr>
          </w:p>
        </w:tc>
        <w:tc>
          <w:tcPr>
            <w:tcW w:w="640" w:type="dxa"/>
            <w:vMerge/>
            <w:vAlign w:val="bottom"/>
          </w:tcPr>
          <w:p w:rsidR="00D24E61" w:rsidRPr="00771368" w:rsidRDefault="00D24E61">
            <w:pPr>
              <w:rPr>
                <w:sz w:val="24"/>
                <w:szCs w:val="24"/>
              </w:rPr>
            </w:pPr>
          </w:p>
        </w:tc>
        <w:tc>
          <w:tcPr>
            <w:tcW w:w="660" w:type="dxa"/>
            <w:vMerge/>
            <w:vAlign w:val="bottom"/>
          </w:tcPr>
          <w:p w:rsidR="00D24E61" w:rsidRPr="00771368" w:rsidRDefault="00D24E61">
            <w:pPr>
              <w:rPr>
                <w:sz w:val="24"/>
                <w:szCs w:val="24"/>
              </w:rPr>
            </w:pPr>
          </w:p>
        </w:tc>
        <w:tc>
          <w:tcPr>
            <w:tcW w:w="680" w:type="dxa"/>
            <w:vMerge/>
            <w:vAlign w:val="bottom"/>
          </w:tcPr>
          <w:p w:rsidR="00D24E61" w:rsidRPr="00771368" w:rsidRDefault="00D24E61">
            <w:pPr>
              <w:rPr>
                <w:sz w:val="24"/>
                <w:szCs w:val="24"/>
              </w:rPr>
            </w:pPr>
          </w:p>
        </w:tc>
        <w:tc>
          <w:tcPr>
            <w:tcW w:w="600" w:type="dxa"/>
            <w:vMerge/>
            <w:vAlign w:val="bottom"/>
          </w:tcPr>
          <w:p w:rsidR="00D24E61" w:rsidRPr="00771368" w:rsidRDefault="00D24E61">
            <w:pPr>
              <w:rPr>
                <w:sz w:val="24"/>
                <w:szCs w:val="24"/>
              </w:rPr>
            </w:pPr>
          </w:p>
        </w:tc>
        <w:tc>
          <w:tcPr>
            <w:tcW w:w="540" w:type="dxa"/>
            <w:vMerge/>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86"/>
        </w:trPr>
        <w:tc>
          <w:tcPr>
            <w:tcW w:w="120" w:type="dxa"/>
            <w:tcBorders>
              <w:right w:val="single" w:sz="8" w:space="0" w:color="5F497A"/>
            </w:tcBorders>
            <w:shd w:val="clear" w:color="auto" w:fill="5F497A"/>
            <w:vAlign w:val="bottom"/>
          </w:tcPr>
          <w:p w:rsidR="00D24E61" w:rsidRPr="00771368" w:rsidRDefault="00D24E61">
            <w:pPr>
              <w:rPr>
                <w:sz w:val="7"/>
                <w:szCs w:val="7"/>
              </w:rPr>
            </w:pPr>
          </w:p>
        </w:tc>
        <w:tc>
          <w:tcPr>
            <w:tcW w:w="1220" w:type="dxa"/>
            <w:vAlign w:val="bottom"/>
          </w:tcPr>
          <w:p w:rsidR="00D24E61" w:rsidRPr="00771368" w:rsidRDefault="00D24E61">
            <w:pPr>
              <w:rPr>
                <w:sz w:val="7"/>
                <w:szCs w:val="7"/>
              </w:rPr>
            </w:pPr>
          </w:p>
        </w:tc>
        <w:tc>
          <w:tcPr>
            <w:tcW w:w="720" w:type="dxa"/>
            <w:vAlign w:val="bottom"/>
          </w:tcPr>
          <w:p w:rsidR="00D24E61" w:rsidRPr="00771368" w:rsidRDefault="00D24E61">
            <w:pPr>
              <w:rPr>
                <w:sz w:val="7"/>
                <w:szCs w:val="7"/>
              </w:rPr>
            </w:pPr>
          </w:p>
        </w:tc>
        <w:tc>
          <w:tcPr>
            <w:tcW w:w="560" w:type="dxa"/>
            <w:vAlign w:val="bottom"/>
          </w:tcPr>
          <w:p w:rsidR="00D24E61" w:rsidRPr="00771368" w:rsidRDefault="00D24E61">
            <w:pPr>
              <w:rPr>
                <w:sz w:val="7"/>
                <w:szCs w:val="7"/>
              </w:rPr>
            </w:pPr>
          </w:p>
        </w:tc>
        <w:tc>
          <w:tcPr>
            <w:tcW w:w="660" w:type="dxa"/>
            <w:vAlign w:val="bottom"/>
          </w:tcPr>
          <w:p w:rsidR="00D24E61" w:rsidRPr="00771368" w:rsidRDefault="00D24E61">
            <w:pPr>
              <w:rPr>
                <w:sz w:val="7"/>
                <w:szCs w:val="7"/>
              </w:rPr>
            </w:pPr>
          </w:p>
        </w:tc>
        <w:tc>
          <w:tcPr>
            <w:tcW w:w="640" w:type="dxa"/>
            <w:vAlign w:val="bottom"/>
          </w:tcPr>
          <w:p w:rsidR="00D24E61" w:rsidRPr="00771368" w:rsidRDefault="00D24E61">
            <w:pPr>
              <w:rPr>
                <w:sz w:val="7"/>
                <w:szCs w:val="7"/>
              </w:rPr>
            </w:pPr>
          </w:p>
        </w:tc>
        <w:tc>
          <w:tcPr>
            <w:tcW w:w="700" w:type="dxa"/>
            <w:vAlign w:val="bottom"/>
          </w:tcPr>
          <w:p w:rsidR="00D24E61" w:rsidRPr="00771368" w:rsidRDefault="00D24E61">
            <w:pPr>
              <w:rPr>
                <w:sz w:val="7"/>
                <w:szCs w:val="7"/>
              </w:rPr>
            </w:pPr>
          </w:p>
        </w:tc>
        <w:tc>
          <w:tcPr>
            <w:tcW w:w="600" w:type="dxa"/>
            <w:vAlign w:val="bottom"/>
          </w:tcPr>
          <w:p w:rsidR="00D24E61" w:rsidRPr="00771368" w:rsidRDefault="00D24E61">
            <w:pPr>
              <w:rPr>
                <w:sz w:val="7"/>
                <w:szCs w:val="7"/>
              </w:rPr>
            </w:pPr>
          </w:p>
        </w:tc>
        <w:tc>
          <w:tcPr>
            <w:tcW w:w="700" w:type="dxa"/>
            <w:vAlign w:val="bottom"/>
          </w:tcPr>
          <w:p w:rsidR="00D24E61" w:rsidRPr="00771368" w:rsidRDefault="00D24E61">
            <w:pPr>
              <w:rPr>
                <w:sz w:val="7"/>
                <w:szCs w:val="7"/>
              </w:rPr>
            </w:pPr>
          </w:p>
        </w:tc>
        <w:tc>
          <w:tcPr>
            <w:tcW w:w="640" w:type="dxa"/>
            <w:vAlign w:val="bottom"/>
          </w:tcPr>
          <w:p w:rsidR="00D24E61" w:rsidRPr="00771368" w:rsidRDefault="00D24E61">
            <w:pPr>
              <w:rPr>
                <w:sz w:val="7"/>
                <w:szCs w:val="7"/>
              </w:rPr>
            </w:pPr>
          </w:p>
        </w:tc>
        <w:tc>
          <w:tcPr>
            <w:tcW w:w="660" w:type="dxa"/>
            <w:vAlign w:val="bottom"/>
          </w:tcPr>
          <w:p w:rsidR="00D24E61" w:rsidRPr="00771368" w:rsidRDefault="00D24E61">
            <w:pPr>
              <w:rPr>
                <w:sz w:val="7"/>
                <w:szCs w:val="7"/>
              </w:rPr>
            </w:pPr>
          </w:p>
        </w:tc>
        <w:tc>
          <w:tcPr>
            <w:tcW w:w="680" w:type="dxa"/>
            <w:vAlign w:val="bottom"/>
          </w:tcPr>
          <w:p w:rsidR="00D24E61" w:rsidRPr="00771368" w:rsidRDefault="00D24E61">
            <w:pPr>
              <w:rPr>
                <w:sz w:val="7"/>
                <w:szCs w:val="7"/>
              </w:rPr>
            </w:pPr>
          </w:p>
        </w:tc>
        <w:tc>
          <w:tcPr>
            <w:tcW w:w="600" w:type="dxa"/>
            <w:vAlign w:val="bottom"/>
          </w:tcPr>
          <w:p w:rsidR="00D24E61" w:rsidRPr="00771368" w:rsidRDefault="00D24E61">
            <w:pPr>
              <w:rPr>
                <w:sz w:val="7"/>
                <w:szCs w:val="7"/>
              </w:rPr>
            </w:pPr>
          </w:p>
        </w:tc>
        <w:tc>
          <w:tcPr>
            <w:tcW w:w="540" w:type="dxa"/>
            <w:vAlign w:val="bottom"/>
          </w:tcPr>
          <w:p w:rsidR="00D24E61" w:rsidRPr="00771368" w:rsidRDefault="00D24E61">
            <w:pPr>
              <w:rPr>
                <w:sz w:val="7"/>
                <w:szCs w:val="7"/>
              </w:rPr>
            </w:pPr>
          </w:p>
        </w:tc>
        <w:tc>
          <w:tcPr>
            <w:tcW w:w="0" w:type="dxa"/>
            <w:vAlign w:val="bottom"/>
          </w:tcPr>
          <w:p w:rsidR="00D24E61" w:rsidRPr="00771368" w:rsidRDefault="00D24E61">
            <w:pPr>
              <w:rPr>
                <w:sz w:val="1"/>
                <w:szCs w:val="1"/>
              </w:rPr>
            </w:pPr>
          </w:p>
        </w:tc>
      </w:tr>
    </w:tbl>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25312" behindDoc="0" locked="0" layoutInCell="0" allowOverlap="1">
                <wp:simplePos x="0" y="0"/>
                <wp:positionH relativeFrom="column">
                  <wp:posOffset>46355</wp:posOffset>
                </wp:positionH>
                <wp:positionV relativeFrom="paragraph">
                  <wp:posOffset>-774065</wp:posOffset>
                </wp:positionV>
                <wp:extent cx="0" cy="64135"/>
                <wp:effectExtent l="8255" t="6985" r="10795" b="5080"/>
                <wp:wrapNone/>
                <wp:docPr id="20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72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5pt,-60.95pt" to="3.6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" o:allowincell="f" strokecolor="#0070c0"/>
            </w:pict>
          </mc:Fallback>
        </mc:AlternateContent>
      </w:r>
      <w:r>
        <w:rPr>
          <w:noProof/>
          <w:sz w:val="20"/>
          <w:szCs w:val="20"/>
        </w:rPr>
        <mc:AlternateContent>
          <mc:Choice Requires="wps">
            <w:drawing>
              <wp:anchor distT="0" distB="0" distL="0" distR="0" simplePos="0" relativeHeight="251726336" behindDoc="0" locked="0" layoutInCell="0" allowOverlap="1">
                <wp:simplePos x="0" y="0"/>
                <wp:positionH relativeFrom="column">
                  <wp:posOffset>114935</wp:posOffset>
                </wp:positionH>
                <wp:positionV relativeFrom="paragraph">
                  <wp:posOffset>-774065</wp:posOffset>
                </wp:positionV>
                <wp:extent cx="0" cy="64135"/>
                <wp:effectExtent l="10160" t="6985" r="8890" b="5080"/>
                <wp:wrapNone/>
                <wp:docPr id="20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2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05pt,-60.95pt" to="9.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" o:allowincell="f" strokecolor="#0070c0"/>
            </w:pict>
          </mc:Fallback>
        </mc:AlternateContent>
      </w:r>
      <w:r>
        <w:rPr>
          <w:noProof/>
          <w:sz w:val="20"/>
          <w:szCs w:val="20"/>
        </w:rPr>
        <mc:AlternateContent>
          <mc:Choice Requires="wps">
            <w:drawing>
              <wp:anchor distT="0" distB="0" distL="0" distR="0" simplePos="0" relativeHeight="251727360" behindDoc="0" locked="0" layoutInCell="0" allowOverlap="1">
                <wp:simplePos x="0" y="0"/>
                <wp:positionH relativeFrom="column">
                  <wp:posOffset>41910</wp:posOffset>
                </wp:positionH>
                <wp:positionV relativeFrom="paragraph">
                  <wp:posOffset>-768985</wp:posOffset>
                </wp:positionV>
                <wp:extent cx="77470" cy="0"/>
                <wp:effectExtent l="13335" t="12065" r="13970" b="6985"/>
                <wp:wrapNone/>
                <wp:docPr id="20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72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pt,-60.55pt" to="9.4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" o:allowincell="f" strokecolor="#0070c0"/>
            </w:pict>
          </mc:Fallback>
        </mc:AlternateContent>
      </w:r>
      <w:r>
        <w:rPr>
          <w:noProof/>
          <w:sz w:val="20"/>
          <w:szCs w:val="20"/>
        </w:rPr>
        <mc:AlternateContent>
          <mc:Choice Requires="wps">
            <w:drawing>
              <wp:anchor distT="0" distB="0" distL="0" distR="0" simplePos="0" relativeHeight="251728384" behindDoc="0" locked="0" layoutInCell="0" allowOverlap="1">
                <wp:simplePos x="0" y="0"/>
                <wp:positionH relativeFrom="column">
                  <wp:posOffset>41910</wp:posOffset>
                </wp:positionH>
                <wp:positionV relativeFrom="paragraph">
                  <wp:posOffset>-714375</wp:posOffset>
                </wp:positionV>
                <wp:extent cx="77470" cy="0"/>
                <wp:effectExtent l="13335" t="9525" r="13970" b="9525"/>
                <wp:wrapNone/>
                <wp:docPr id="201"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72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pt,-56.25pt" to="9.4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" o:allowincell="f" strokecolor="#0070c0"/>
            </w:pict>
          </mc:Fallback>
        </mc:AlternateContent>
      </w:r>
      <w:r>
        <w:rPr>
          <w:noProof/>
          <w:sz w:val="20"/>
          <w:szCs w:val="20"/>
        </w:rPr>
        <mc:AlternateContent>
          <mc:Choice Requires="wps">
            <w:drawing>
              <wp:anchor distT="0" distB="0" distL="0" distR="0" simplePos="0" relativeHeight="251729408" behindDoc="0" locked="0" layoutInCell="0" allowOverlap="1">
                <wp:simplePos x="0" y="0"/>
                <wp:positionH relativeFrom="column">
                  <wp:posOffset>46355</wp:posOffset>
                </wp:positionH>
                <wp:positionV relativeFrom="paragraph">
                  <wp:posOffset>-541020</wp:posOffset>
                </wp:positionV>
                <wp:extent cx="0" cy="64135"/>
                <wp:effectExtent l="8255" t="11430" r="10795" b="10160"/>
                <wp:wrapNone/>
                <wp:docPr id="20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72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5pt,-42.6pt" to="3.6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KyEwIAACo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" o:allowincell="f" strokecolor="#c00000"/>
            </w:pict>
          </mc:Fallback>
        </mc:AlternateContent>
      </w:r>
      <w:r>
        <w:rPr>
          <w:noProof/>
          <w:sz w:val="20"/>
          <w:szCs w:val="20"/>
        </w:rPr>
        <mc:AlternateContent>
          <mc:Choice Requires="wps">
            <w:drawing>
              <wp:anchor distT="0" distB="0" distL="0" distR="0" simplePos="0" relativeHeight="251730432" behindDoc="0" locked="0" layoutInCell="0" allowOverlap="1">
                <wp:simplePos x="0" y="0"/>
                <wp:positionH relativeFrom="column">
                  <wp:posOffset>114935</wp:posOffset>
                </wp:positionH>
                <wp:positionV relativeFrom="paragraph">
                  <wp:posOffset>-541020</wp:posOffset>
                </wp:positionV>
                <wp:extent cx="0" cy="64135"/>
                <wp:effectExtent l="10160" t="11430" r="8890" b="10160"/>
                <wp:wrapNone/>
                <wp:docPr id="199"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73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05pt,-42.6pt" to="9.0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WoFQIAACo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" o:allowincell="f" strokecolor="#c00000"/>
            </w:pict>
          </mc:Fallback>
        </mc:AlternateContent>
      </w:r>
      <w:r>
        <w:rPr>
          <w:noProof/>
          <w:sz w:val="20"/>
          <w:szCs w:val="20"/>
        </w:rPr>
        <mc:AlternateContent>
          <mc:Choice Requires="wps">
            <w:drawing>
              <wp:anchor distT="0" distB="0" distL="0" distR="0" simplePos="0" relativeHeight="251731456" behindDoc="0" locked="0" layoutInCell="0" allowOverlap="1">
                <wp:simplePos x="0" y="0"/>
                <wp:positionH relativeFrom="column">
                  <wp:posOffset>41910</wp:posOffset>
                </wp:positionH>
                <wp:positionV relativeFrom="paragraph">
                  <wp:posOffset>-536575</wp:posOffset>
                </wp:positionV>
                <wp:extent cx="77470" cy="0"/>
                <wp:effectExtent l="13335" t="6350" r="13970" b="12700"/>
                <wp:wrapNone/>
                <wp:docPr id="19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73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pt,-42.25pt" to="9.4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lS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" o:allowincell="f" strokecolor="#c00000"/>
            </w:pict>
          </mc:Fallback>
        </mc:AlternateContent>
      </w:r>
      <w:r>
        <w:rPr>
          <w:noProof/>
          <w:sz w:val="20"/>
          <w:szCs w:val="20"/>
        </w:rPr>
        <mc:AlternateContent>
          <mc:Choice Requires="wps">
            <w:drawing>
              <wp:anchor distT="0" distB="0" distL="0" distR="0" simplePos="0" relativeHeight="251732480" behindDoc="0" locked="0" layoutInCell="0" allowOverlap="1">
                <wp:simplePos x="0" y="0"/>
                <wp:positionH relativeFrom="column">
                  <wp:posOffset>41910</wp:posOffset>
                </wp:positionH>
                <wp:positionV relativeFrom="paragraph">
                  <wp:posOffset>-481965</wp:posOffset>
                </wp:positionV>
                <wp:extent cx="77470" cy="0"/>
                <wp:effectExtent l="13335" t="13335" r="13970" b="5715"/>
                <wp:wrapNone/>
                <wp:docPr id="197"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8" o:spid="_x0000_s1026" style="position:absolute;z-index:25173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pt,-37.95pt" to="9.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Nf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" o:allowincell="f" strokecolor="#c00000"/>
            </w:pict>
          </mc:Fallback>
        </mc:AlternateContent>
      </w:r>
      <w:r>
        <w:rPr>
          <w:noProof/>
          <w:sz w:val="20"/>
          <w:szCs w:val="20"/>
        </w:rPr>
        <mc:AlternateContent>
          <mc:Choice Requires="wps">
            <w:drawing>
              <wp:anchor distT="0" distB="0" distL="0" distR="0" simplePos="0" relativeHeight="251733504" behindDoc="0" locked="0" layoutInCell="0" allowOverlap="1">
                <wp:simplePos x="0" y="0"/>
                <wp:positionH relativeFrom="column">
                  <wp:posOffset>50800</wp:posOffset>
                </wp:positionH>
                <wp:positionV relativeFrom="paragraph">
                  <wp:posOffset>-292735</wp:posOffset>
                </wp:positionV>
                <wp:extent cx="0" cy="64135"/>
                <wp:effectExtent l="12700" t="12065" r="6350" b="9525"/>
                <wp:wrapNone/>
                <wp:docPr id="196"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9" o:spid="_x0000_s1026" style="position:absolute;z-index:25173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pt,-23.05pt" to="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" o:allowincell="f" strokecolor="#92d050"/>
            </w:pict>
          </mc:Fallback>
        </mc:AlternateContent>
      </w:r>
      <w:r>
        <w:rPr>
          <w:noProof/>
          <w:sz w:val="20"/>
          <w:szCs w:val="20"/>
        </w:rPr>
        <mc:AlternateContent>
          <mc:Choice Requires="wps">
            <w:drawing>
              <wp:anchor distT="0" distB="0" distL="0" distR="0" simplePos="0" relativeHeight="251734528" behindDoc="0" locked="0" layoutInCell="0" allowOverlap="1">
                <wp:simplePos x="0" y="0"/>
                <wp:positionH relativeFrom="column">
                  <wp:posOffset>118110</wp:posOffset>
                </wp:positionH>
                <wp:positionV relativeFrom="paragraph">
                  <wp:posOffset>-292735</wp:posOffset>
                </wp:positionV>
                <wp:extent cx="0" cy="64135"/>
                <wp:effectExtent l="13335" t="12065" r="5715" b="9525"/>
                <wp:wrapNone/>
                <wp:docPr id="195"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0" o:spid="_x0000_s1026" style="position:absolute;z-index:25173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3pt,-23.05pt" to="9.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" o:allowincell="f" strokecolor="#92d050"/>
            </w:pict>
          </mc:Fallback>
        </mc:AlternateContent>
      </w:r>
      <w:r>
        <w:rPr>
          <w:noProof/>
          <w:sz w:val="20"/>
          <w:szCs w:val="20"/>
        </w:rPr>
        <mc:AlternateContent>
          <mc:Choice Requires="wps">
            <w:drawing>
              <wp:anchor distT="0" distB="0" distL="0" distR="0" simplePos="0" relativeHeight="251735552" behindDoc="0" locked="0" layoutInCell="0" allowOverlap="1">
                <wp:simplePos x="0" y="0"/>
                <wp:positionH relativeFrom="column">
                  <wp:posOffset>45720</wp:posOffset>
                </wp:positionH>
                <wp:positionV relativeFrom="paragraph">
                  <wp:posOffset>-288290</wp:posOffset>
                </wp:positionV>
                <wp:extent cx="77470" cy="0"/>
                <wp:effectExtent l="7620" t="6985" r="10160" b="12065"/>
                <wp:wrapNone/>
                <wp:docPr id="19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3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pt,-22.7pt" to="9.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" o:allowincell="f" strokecolor="#92d050"/>
            </w:pict>
          </mc:Fallback>
        </mc:AlternateContent>
      </w:r>
      <w:r>
        <w:rPr>
          <w:noProof/>
          <w:sz w:val="20"/>
          <w:szCs w:val="20"/>
        </w:rPr>
        <mc:AlternateContent>
          <mc:Choice Requires="wps">
            <w:drawing>
              <wp:anchor distT="0" distB="0" distL="0" distR="0" simplePos="0" relativeHeight="251736576" behindDoc="0" locked="0" layoutInCell="0" allowOverlap="1">
                <wp:simplePos x="0" y="0"/>
                <wp:positionH relativeFrom="column">
                  <wp:posOffset>45720</wp:posOffset>
                </wp:positionH>
                <wp:positionV relativeFrom="paragraph">
                  <wp:posOffset>-233045</wp:posOffset>
                </wp:positionV>
                <wp:extent cx="77470" cy="0"/>
                <wp:effectExtent l="7620" t="5080" r="10160" b="13970"/>
                <wp:wrapNone/>
                <wp:docPr id="19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73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pt,-18.35pt" to="9.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" o:allowincell="f" strokecolor="#92d050"/>
            </w:pict>
          </mc:Fallback>
        </mc:AlternateContent>
      </w:r>
      <w:r>
        <w:rPr>
          <w:noProof/>
          <w:sz w:val="20"/>
          <w:szCs w:val="20"/>
        </w:rPr>
        <mc:AlternateContent>
          <mc:Choice Requires="wps">
            <w:drawing>
              <wp:anchor distT="0" distB="0" distL="0" distR="0" simplePos="0" relativeHeight="251737600" behindDoc="0" locked="0" layoutInCell="0" allowOverlap="1">
                <wp:simplePos x="0" y="0"/>
                <wp:positionH relativeFrom="column">
                  <wp:posOffset>50800</wp:posOffset>
                </wp:positionH>
                <wp:positionV relativeFrom="paragraph">
                  <wp:posOffset>-59055</wp:posOffset>
                </wp:positionV>
                <wp:extent cx="0" cy="63500"/>
                <wp:effectExtent l="12700" t="7620" r="6350" b="5080"/>
                <wp:wrapNone/>
                <wp:docPr id="19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73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pt,-4.65pt" to="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" o:allowincell="f" strokecolor="#5f497a"/>
            </w:pict>
          </mc:Fallback>
        </mc:AlternateContent>
      </w:r>
      <w:r>
        <w:rPr>
          <w:noProof/>
          <w:sz w:val="20"/>
          <w:szCs w:val="20"/>
        </w:rPr>
        <mc:AlternateContent>
          <mc:Choice Requires="wps">
            <w:drawing>
              <wp:anchor distT="0" distB="0" distL="0" distR="0" simplePos="0" relativeHeight="251738624" behindDoc="0" locked="0" layoutInCell="0" allowOverlap="1">
                <wp:simplePos x="0" y="0"/>
                <wp:positionH relativeFrom="column">
                  <wp:posOffset>118110</wp:posOffset>
                </wp:positionH>
                <wp:positionV relativeFrom="paragraph">
                  <wp:posOffset>-59055</wp:posOffset>
                </wp:positionV>
                <wp:extent cx="0" cy="63500"/>
                <wp:effectExtent l="13335" t="7620" r="5715" b="5080"/>
                <wp:wrapNone/>
                <wp:docPr id="19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73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3pt,-4.65pt" to="9.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" o:allowincell="f" strokecolor="#5f497a"/>
            </w:pict>
          </mc:Fallback>
        </mc:AlternateContent>
      </w:r>
      <w:r>
        <w:rPr>
          <w:noProof/>
          <w:sz w:val="20"/>
          <w:szCs w:val="20"/>
        </w:rPr>
        <mc:AlternateContent>
          <mc:Choice Requires="wps">
            <w:drawing>
              <wp:anchor distT="0" distB="0" distL="0" distR="0" simplePos="0" relativeHeight="251739648" behindDoc="0" locked="0" layoutInCell="0" allowOverlap="1">
                <wp:simplePos x="0" y="0"/>
                <wp:positionH relativeFrom="column">
                  <wp:posOffset>45720</wp:posOffset>
                </wp:positionH>
                <wp:positionV relativeFrom="paragraph">
                  <wp:posOffset>-53975</wp:posOffset>
                </wp:positionV>
                <wp:extent cx="77470" cy="0"/>
                <wp:effectExtent l="7620" t="12700" r="10160" b="6350"/>
                <wp:wrapNone/>
                <wp:docPr id="190"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3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pt,-4.25pt" to="9.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" o:allowincell="f" strokecolor="#5f497a"/>
            </w:pict>
          </mc:Fallback>
        </mc:AlternateContent>
      </w:r>
      <w:r>
        <w:rPr>
          <w:noProof/>
          <w:sz w:val="20"/>
          <w:szCs w:val="20"/>
        </w:rPr>
        <mc:AlternateContent>
          <mc:Choice Requires="wps">
            <w:drawing>
              <wp:anchor distT="0" distB="0" distL="0" distR="0" simplePos="0" relativeHeight="251740672" behindDoc="0" locked="0" layoutInCell="0" allowOverlap="1">
                <wp:simplePos x="0" y="0"/>
                <wp:positionH relativeFrom="column">
                  <wp:posOffset>45720</wp:posOffset>
                </wp:positionH>
                <wp:positionV relativeFrom="paragraph">
                  <wp:posOffset>0</wp:posOffset>
                </wp:positionV>
                <wp:extent cx="77470" cy="0"/>
                <wp:effectExtent l="7620" t="9525" r="10160" b="9525"/>
                <wp:wrapNone/>
                <wp:docPr id="189"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74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pt,0" to="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" o:allowincell="f" strokecolor="#5f497a"/>
            </w:pict>
          </mc:Fallback>
        </mc:AlternateContent>
      </w:r>
    </w:p>
    <w:p w:rsidR="00D24E61" w:rsidRPr="00771368" w:rsidRDefault="00D24E61">
      <w:pPr>
        <w:spacing w:line="200" w:lineRule="exact"/>
        <w:rPr>
          <w:sz w:val="20"/>
          <w:szCs w:val="20"/>
        </w:rPr>
      </w:pPr>
    </w:p>
    <w:p w:rsidR="00D24E61" w:rsidRPr="00771368" w:rsidRDefault="00D24E61">
      <w:pPr>
        <w:spacing w:line="274" w:lineRule="exact"/>
        <w:rPr>
          <w:sz w:val="20"/>
          <w:szCs w:val="20"/>
        </w:rPr>
      </w:pPr>
    </w:p>
    <w:p w:rsidR="00D24E61" w:rsidRPr="00771368" w:rsidRDefault="00D24E61">
      <w:pPr>
        <w:spacing w:line="379" w:lineRule="auto"/>
        <w:ind w:left="120" w:right="140" w:firstLine="1133"/>
        <w:jc w:val="both"/>
        <w:rPr>
          <w:sz w:val="20"/>
          <w:szCs w:val="20"/>
        </w:rPr>
      </w:pPr>
      <w:r w:rsidRPr="00771368">
        <w:rPr>
          <w:sz w:val="24"/>
          <w:szCs w:val="24"/>
        </w:rPr>
        <w:t>Na tabela 3 temos a distribuição dos fatores relacionados a prática dos docentes na escola acerca do estudo/discussões de gênero na escola. Através dela verifica-se que 77% (180 casos) dos alunos discordam/discordam totalmente de que inexiste a prática docente acerca a discussão sobre gênero na sala de aula. Ainda, 71,2% (166 casos) concordaram que o tema relações de gênero é trabalhado em grupo pelos docentes e 58,1% (136 casos) dos alunos discordam/discordam totalmente que seja feita tal prática de forma ligeira/vaga. Também quando questionados se a prática docente com relação a gênero é feita de forma preconceituosa, 85,1% (199 casos) dos alunos discordam. Com relação da prática docente com relação a gênero através de estudo direcionados, 70,5% (165 casos) dos alunos concordam que os estudos direcionados são realizados e 74% (173 casos) discordam que eles trabalham com insegurança.</w:t>
      </w:r>
    </w:p>
    <w:p w:rsidR="00D24E61" w:rsidRPr="00771368" w:rsidRDefault="00D24E61">
      <w:pPr>
        <w:spacing w:line="103" w:lineRule="exact"/>
        <w:rPr>
          <w:sz w:val="20"/>
          <w:szCs w:val="20"/>
        </w:rPr>
      </w:pPr>
    </w:p>
    <w:p w:rsidR="00D24E61" w:rsidRPr="00771368" w:rsidRDefault="00D24E61">
      <w:pPr>
        <w:spacing w:line="226" w:lineRule="auto"/>
        <w:ind w:left="120" w:right="140"/>
        <w:jc w:val="both"/>
        <w:rPr>
          <w:sz w:val="20"/>
          <w:szCs w:val="20"/>
        </w:rPr>
      </w:pPr>
      <w:r w:rsidRPr="00771368">
        <w:rPr>
          <w:b/>
          <w:bCs/>
          <w:sz w:val="24"/>
          <w:szCs w:val="24"/>
        </w:rPr>
        <w:t>Tabela 3</w:t>
      </w:r>
      <w:r w:rsidRPr="00771368">
        <w:rPr>
          <w:sz w:val="24"/>
          <w:szCs w:val="24"/>
        </w:rPr>
        <w:t>. Distribuição dos fatores relacionados a prática dos docentes na escola acerca do</w:t>
      </w:r>
      <w:r w:rsidRPr="00771368">
        <w:rPr>
          <w:b/>
          <w:bCs/>
          <w:sz w:val="24"/>
          <w:szCs w:val="24"/>
        </w:rPr>
        <w:t xml:space="preserve"> </w:t>
      </w:r>
      <w:r w:rsidRPr="00771368">
        <w:rPr>
          <w:sz w:val="24"/>
          <w:szCs w:val="24"/>
        </w:rPr>
        <w:t>estudo/discussões sobre gênero na escola.</w:t>
      </w:r>
    </w:p>
    <w:p w:rsidR="00D24E61" w:rsidRPr="00771368" w:rsidRDefault="00013211">
      <w:pPr>
        <w:spacing w:line="65" w:lineRule="exact"/>
        <w:rPr>
          <w:sz w:val="20"/>
          <w:szCs w:val="20"/>
        </w:rPr>
      </w:pPr>
      <w:r>
        <w:rPr>
          <w:noProof/>
          <w:sz w:val="20"/>
          <w:szCs w:val="20"/>
        </w:rPr>
        <mc:AlternateContent>
          <mc:Choice Requires="wps">
            <w:drawing>
              <wp:anchor distT="0" distB="0" distL="0" distR="0" simplePos="0" relativeHeight="251741696" behindDoc="0" locked="0" layoutInCell="0" allowOverlap="1">
                <wp:simplePos x="0" y="0"/>
                <wp:positionH relativeFrom="column">
                  <wp:posOffset>3810</wp:posOffset>
                </wp:positionH>
                <wp:positionV relativeFrom="paragraph">
                  <wp:posOffset>38100</wp:posOffset>
                </wp:positionV>
                <wp:extent cx="5911850" cy="0"/>
                <wp:effectExtent l="13335" t="9525" r="8890" b="9525"/>
                <wp:wrapNone/>
                <wp:docPr id="188"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7" o:spid="_x0000_s1026" style="position:absolute;z-index:25174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3pt" to="465.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hFAIAACw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" o:allowincell="f" strokeweight=".16931mm"/>
            </w:pict>
          </mc:Fallback>
        </mc:AlternateContent>
      </w:r>
    </w:p>
    <w:tbl>
      <w:tblPr>
        <w:tblW w:w="0" w:type="auto"/>
        <w:tblLayout w:type="fixed"/>
        <w:tblCellMar>
          <w:left w:w="0" w:type="dxa"/>
          <w:right w:w="0" w:type="dxa"/>
        </w:tblCellMar>
        <w:tblLook w:val="04A0" w:firstRow="1" w:lastRow="0" w:firstColumn="1" w:lastColumn="0" w:noHBand="0" w:noVBand="1"/>
      </w:tblPr>
      <w:tblGrid>
        <w:gridCol w:w="320"/>
        <w:gridCol w:w="3120"/>
        <w:gridCol w:w="1520"/>
        <w:gridCol w:w="1420"/>
        <w:gridCol w:w="1440"/>
        <w:gridCol w:w="1500"/>
        <w:gridCol w:w="20"/>
      </w:tblGrid>
      <w:tr w:rsidR="00D24E61" w:rsidRPr="00771368">
        <w:trPr>
          <w:trHeight w:val="276"/>
        </w:trPr>
        <w:tc>
          <w:tcPr>
            <w:tcW w:w="320" w:type="dxa"/>
            <w:vAlign w:val="bottom"/>
          </w:tcPr>
          <w:p w:rsidR="00D24E61" w:rsidRPr="00771368" w:rsidRDefault="00D24E61">
            <w:pPr>
              <w:rPr>
                <w:sz w:val="23"/>
                <w:szCs w:val="23"/>
              </w:rPr>
            </w:pPr>
          </w:p>
        </w:tc>
        <w:tc>
          <w:tcPr>
            <w:tcW w:w="3120" w:type="dxa"/>
            <w:vMerge w:val="restart"/>
            <w:vAlign w:val="bottom"/>
          </w:tcPr>
          <w:p w:rsidR="00D24E61" w:rsidRPr="00771368" w:rsidRDefault="00D24E61">
            <w:pPr>
              <w:ind w:left="540"/>
              <w:rPr>
                <w:sz w:val="20"/>
                <w:szCs w:val="20"/>
              </w:rPr>
            </w:pPr>
            <w:r w:rsidRPr="00771368">
              <w:rPr>
                <w:b/>
                <w:bCs/>
                <w:sz w:val="24"/>
                <w:szCs w:val="24"/>
              </w:rPr>
              <w:t>Fatores avaliados</w:t>
            </w:r>
          </w:p>
        </w:tc>
        <w:tc>
          <w:tcPr>
            <w:tcW w:w="1520" w:type="dxa"/>
            <w:vAlign w:val="bottom"/>
          </w:tcPr>
          <w:p w:rsidR="00D24E61" w:rsidRPr="00771368" w:rsidRDefault="00D24E61">
            <w:pPr>
              <w:ind w:right="120"/>
              <w:jc w:val="right"/>
              <w:rPr>
                <w:sz w:val="20"/>
                <w:szCs w:val="20"/>
              </w:rPr>
            </w:pPr>
            <w:r w:rsidRPr="00771368">
              <w:rPr>
                <w:b/>
                <w:bCs/>
                <w:sz w:val="24"/>
                <w:szCs w:val="24"/>
              </w:rPr>
              <w:t>Concordo</w:t>
            </w:r>
          </w:p>
        </w:tc>
        <w:tc>
          <w:tcPr>
            <w:tcW w:w="1420" w:type="dxa"/>
            <w:vMerge w:val="restart"/>
            <w:vAlign w:val="bottom"/>
          </w:tcPr>
          <w:p w:rsidR="00D24E61" w:rsidRPr="00771368" w:rsidRDefault="00D24E61">
            <w:pPr>
              <w:ind w:right="120"/>
              <w:jc w:val="right"/>
              <w:rPr>
                <w:sz w:val="20"/>
                <w:szCs w:val="20"/>
              </w:rPr>
            </w:pPr>
            <w:r w:rsidRPr="00771368">
              <w:rPr>
                <w:b/>
                <w:bCs/>
                <w:sz w:val="24"/>
                <w:szCs w:val="24"/>
              </w:rPr>
              <w:t>Concordo</w:t>
            </w:r>
          </w:p>
        </w:tc>
        <w:tc>
          <w:tcPr>
            <w:tcW w:w="1440" w:type="dxa"/>
            <w:vMerge w:val="restart"/>
            <w:vAlign w:val="bottom"/>
          </w:tcPr>
          <w:p w:rsidR="00D24E61" w:rsidRPr="00771368" w:rsidRDefault="00D24E61">
            <w:pPr>
              <w:ind w:right="180"/>
              <w:jc w:val="right"/>
              <w:rPr>
                <w:sz w:val="20"/>
                <w:szCs w:val="20"/>
              </w:rPr>
            </w:pPr>
            <w:r w:rsidRPr="00771368">
              <w:rPr>
                <w:b/>
                <w:bCs/>
                <w:sz w:val="24"/>
                <w:szCs w:val="24"/>
              </w:rPr>
              <w:t>Discordo</w:t>
            </w:r>
          </w:p>
        </w:tc>
        <w:tc>
          <w:tcPr>
            <w:tcW w:w="1500" w:type="dxa"/>
            <w:vAlign w:val="bottom"/>
          </w:tcPr>
          <w:p w:rsidR="00D24E61" w:rsidRPr="00771368" w:rsidRDefault="00D24E61">
            <w:pPr>
              <w:ind w:right="200"/>
              <w:jc w:val="right"/>
              <w:rPr>
                <w:sz w:val="20"/>
                <w:szCs w:val="20"/>
              </w:rPr>
            </w:pPr>
            <w:r w:rsidRPr="00771368">
              <w:rPr>
                <w:b/>
                <w:bCs/>
                <w:sz w:val="24"/>
                <w:szCs w:val="24"/>
              </w:rPr>
              <w:t>Discordo</w:t>
            </w:r>
          </w:p>
        </w:tc>
        <w:tc>
          <w:tcPr>
            <w:tcW w:w="0" w:type="dxa"/>
            <w:vAlign w:val="bottom"/>
          </w:tcPr>
          <w:p w:rsidR="00D24E61" w:rsidRPr="00771368" w:rsidRDefault="00D24E61">
            <w:pPr>
              <w:rPr>
                <w:sz w:val="1"/>
                <w:szCs w:val="1"/>
              </w:rPr>
            </w:pPr>
          </w:p>
        </w:tc>
      </w:tr>
      <w:tr w:rsidR="00D24E61" w:rsidRPr="00771368">
        <w:trPr>
          <w:trHeight w:val="149"/>
        </w:trPr>
        <w:tc>
          <w:tcPr>
            <w:tcW w:w="320" w:type="dxa"/>
            <w:vAlign w:val="bottom"/>
          </w:tcPr>
          <w:p w:rsidR="00D24E61" w:rsidRPr="00771368" w:rsidRDefault="00D24E61">
            <w:pPr>
              <w:rPr>
                <w:sz w:val="12"/>
                <w:szCs w:val="12"/>
              </w:rPr>
            </w:pPr>
          </w:p>
        </w:tc>
        <w:tc>
          <w:tcPr>
            <w:tcW w:w="3120" w:type="dxa"/>
            <w:vMerge/>
            <w:vAlign w:val="bottom"/>
          </w:tcPr>
          <w:p w:rsidR="00D24E61" w:rsidRPr="00771368" w:rsidRDefault="00D24E61">
            <w:pPr>
              <w:rPr>
                <w:sz w:val="12"/>
                <w:szCs w:val="12"/>
              </w:rPr>
            </w:pPr>
          </w:p>
        </w:tc>
        <w:tc>
          <w:tcPr>
            <w:tcW w:w="1520" w:type="dxa"/>
            <w:vMerge w:val="restart"/>
            <w:vAlign w:val="bottom"/>
          </w:tcPr>
          <w:p w:rsidR="00D24E61" w:rsidRPr="00771368" w:rsidRDefault="00D24E61">
            <w:pPr>
              <w:ind w:right="20"/>
              <w:jc w:val="right"/>
              <w:rPr>
                <w:sz w:val="20"/>
                <w:szCs w:val="20"/>
              </w:rPr>
            </w:pPr>
            <w:r w:rsidRPr="00771368">
              <w:rPr>
                <w:b/>
                <w:bCs/>
                <w:sz w:val="24"/>
                <w:szCs w:val="24"/>
              </w:rPr>
              <w:t>Totalmente</w:t>
            </w:r>
          </w:p>
        </w:tc>
        <w:tc>
          <w:tcPr>
            <w:tcW w:w="1420" w:type="dxa"/>
            <w:vMerge/>
            <w:vAlign w:val="bottom"/>
          </w:tcPr>
          <w:p w:rsidR="00D24E61" w:rsidRPr="00771368" w:rsidRDefault="00D24E61">
            <w:pPr>
              <w:rPr>
                <w:sz w:val="12"/>
                <w:szCs w:val="12"/>
              </w:rPr>
            </w:pPr>
          </w:p>
        </w:tc>
        <w:tc>
          <w:tcPr>
            <w:tcW w:w="1440" w:type="dxa"/>
            <w:vMerge/>
            <w:vAlign w:val="bottom"/>
          </w:tcPr>
          <w:p w:rsidR="00D24E61" w:rsidRPr="00771368" w:rsidRDefault="00D24E61">
            <w:pPr>
              <w:rPr>
                <w:sz w:val="12"/>
                <w:szCs w:val="12"/>
              </w:rPr>
            </w:pPr>
          </w:p>
        </w:tc>
        <w:tc>
          <w:tcPr>
            <w:tcW w:w="1500" w:type="dxa"/>
            <w:vMerge w:val="restart"/>
            <w:vAlign w:val="bottom"/>
          </w:tcPr>
          <w:p w:rsidR="00D24E61" w:rsidRPr="00771368" w:rsidRDefault="00D24E61">
            <w:pPr>
              <w:ind w:right="80"/>
              <w:jc w:val="right"/>
              <w:rPr>
                <w:sz w:val="20"/>
                <w:szCs w:val="20"/>
              </w:rPr>
            </w:pPr>
            <w:r w:rsidRPr="00771368">
              <w:rPr>
                <w:b/>
                <w:bCs/>
                <w:sz w:val="24"/>
                <w:szCs w:val="24"/>
              </w:rPr>
              <w:t>Totalmente</w:t>
            </w:r>
          </w:p>
        </w:tc>
        <w:tc>
          <w:tcPr>
            <w:tcW w:w="0" w:type="dxa"/>
            <w:vAlign w:val="bottom"/>
          </w:tcPr>
          <w:p w:rsidR="00D24E61" w:rsidRPr="00771368" w:rsidRDefault="00D24E61">
            <w:pPr>
              <w:rPr>
                <w:sz w:val="1"/>
                <w:szCs w:val="1"/>
              </w:rPr>
            </w:pPr>
          </w:p>
        </w:tc>
      </w:tr>
      <w:tr w:rsidR="00D24E61" w:rsidRPr="00771368">
        <w:trPr>
          <w:trHeight w:val="154"/>
        </w:trPr>
        <w:tc>
          <w:tcPr>
            <w:tcW w:w="320" w:type="dxa"/>
            <w:vAlign w:val="bottom"/>
          </w:tcPr>
          <w:p w:rsidR="00D24E61" w:rsidRPr="00771368" w:rsidRDefault="00D24E61">
            <w:pPr>
              <w:rPr>
                <w:sz w:val="13"/>
                <w:szCs w:val="13"/>
              </w:rPr>
            </w:pPr>
          </w:p>
        </w:tc>
        <w:tc>
          <w:tcPr>
            <w:tcW w:w="3120" w:type="dxa"/>
            <w:vAlign w:val="bottom"/>
          </w:tcPr>
          <w:p w:rsidR="00D24E61" w:rsidRPr="00771368" w:rsidRDefault="00D24E61">
            <w:pPr>
              <w:rPr>
                <w:sz w:val="13"/>
                <w:szCs w:val="13"/>
              </w:rPr>
            </w:pPr>
          </w:p>
        </w:tc>
        <w:tc>
          <w:tcPr>
            <w:tcW w:w="1520" w:type="dxa"/>
            <w:vMerge/>
            <w:vAlign w:val="bottom"/>
          </w:tcPr>
          <w:p w:rsidR="00D24E61" w:rsidRPr="00771368" w:rsidRDefault="00D24E61">
            <w:pPr>
              <w:rPr>
                <w:sz w:val="13"/>
                <w:szCs w:val="13"/>
              </w:rPr>
            </w:pPr>
          </w:p>
        </w:tc>
        <w:tc>
          <w:tcPr>
            <w:tcW w:w="1420" w:type="dxa"/>
            <w:vAlign w:val="bottom"/>
          </w:tcPr>
          <w:p w:rsidR="00D24E61" w:rsidRPr="00771368" w:rsidRDefault="00D24E61">
            <w:pPr>
              <w:rPr>
                <w:sz w:val="13"/>
                <w:szCs w:val="13"/>
              </w:rPr>
            </w:pPr>
          </w:p>
        </w:tc>
        <w:tc>
          <w:tcPr>
            <w:tcW w:w="1440" w:type="dxa"/>
            <w:vAlign w:val="bottom"/>
          </w:tcPr>
          <w:p w:rsidR="00D24E61" w:rsidRPr="00771368" w:rsidRDefault="00D24E61">
            <w:pPr>
              <w:rPr>
                <w:sz w:val="13"/>
                <w:szCs w:val="13"/>
              </w:rPr>
            </w:pPr>
          </w:p>
        </w:tc>
        <w:tc>
          <w:tcPr>
            <w:tcW w:w="1500" w:type="dxa"/>
            <w:vMerge/>
            <w:vAlign w:val="bottom"/>
          </w:tcPr>
          <w:p w:rsidR="00D24E61" w:rsidRPr="00771368" w:rsidRDefault="00D24E61">
            <w:pPr>
              <w:rPr>
                <w:sz w:val="13"/>
                <w:szCs w:val="13"/>
              </w:rPr>
            </w:pPr>
          </w:p>
        </w:tc>
        <w:tc>
          <w:tcPr>
            <w:tcW w:w="0" w:type="dxa"/>
            <w:vAlign w:val="bottom"/>
          </w:tcPr>
          <w:p w:rsidR="00D24E61" w:rsidRPr="00771368" w:rsidRDefault="00D24E61">
            <w:pPr>
              <w:rPr>
                <w:sz w:val="1"/>
                <w:szCs w:val="1"/>
              </w:rPr>
            </w:pPr>
          </w:p>
        </w:tc>
      </w:tr>
      <w:tr w:rsidR="00D24E61" w:rsidRPr="00771368">
        <w:trPr>
          <w:trHeight w:val="32"/>
        </w:trPr>
        <w:tc>
          <w:tcPr>
            <w:tcW w:w="320" w:type="dxa"/>
            <w:tcBorders>
              <w:bottom w:val="single" w:sz="8" w:space="0" w:color="auto"/>
            </w:tcBorders>
            <w:vAlign w:val="bottom"/>
          </w:tcPr>
          <w:p w:rsidR="00D24E61" w:rsidRPr="00771368" w:rsidRDefault="00D24E61">
            <w:pPr>
              <w:rPr>
                <w:sz w:val="2"/>
                <w:szCs w:val="2"/>
              </w:rPr>
            </w:pPr>
          </w:p>
        </w:tc>
        <w:tc>
          <w:tcPr>
            <w:tcW w:w="3120" w:type="dxa"/>
            <w:tcBorders>
              <w:bottom w:val="single" w:sz="8" w:space="0" w:color="auto"/>
            </w:tcBorders>
            <w:vAlign w:val="bottom"/>
          </w:tcPr>
          <w:p w:rsidR="00D24E61" w:rsidRPr="00771368" w:rsidRDefault="00D24E61">
            <w:pPr>
              <w:rPr>
                <w:sz w:val="2"/>
                <w:szCs w:val="2"/>
              </w:rPr>
            </w:pPr>
          </w:p>
        </w:tc>
        <w:tc>
          <w:tcPr>
            <w:tcW w:w="1520" w:type="dxa"/>
            <w:tcBorders>
              <w:bottom w:val="single" w:sz="8" w:space="0" w:color="auto"/>
            </w:tcBorders>
            <w:vAlign w:val="bottom"/>
          </w:tcPr>
          <w:p w:rsidR="00D24E61" w:rsidRPr="00771368" w:rsidRDefault="00D24E61">
            <w:pPr>
              <w:rPr>
                <w:sz w:val="2"/>
                <w:szCs w:val="2"/>
              </w:rPr>
            </w:pPr>
          </w:p>
        </w:tc>
        <w:tc>
          <w:tcPr>
            <w:tcW w:w="1420" w:type="dxa"/>
            <w:tcBorders>
              <w:bottom w:val="single" w:sz="8" w:space="0" w:color="auto"/>
            </w:tcBorders>
            <w:vAlign w:val="bottom"/>
          </w:tcPr>
          <w:p w:rsidR="00D24E61" w:rsidRPr="00771368" w:rsidRDefault="00D24E61">
            <w:pPr>
              <w:rPr>
                <w:sz w:val="2"/>
                <w:szCs w:val="2"/>
              </w:rPr>
            </w:pPr>
          </w:p>
        </w:tc>
        <w:tc>
          <w:tcPr>
            <w:tcW w:w="1440" w:type="dxa"/>
            <w:tcBorders>
              <w:bottom w:val="single" w:sz="8" w:space="0" w:color="auto"/>
            </w:tcBorders>
            <w:vAlign w:val="bottom"/>
          </w:tcPr>
          <w:p w:rsidR="00D24E61" w:rsidRPr="00771368" w:rsidRDefault="00D24E61">
            <w:pPr>
              <w:rPr>
                <w:sz w:val="2"/>
                <w:szCs w:val="2"/>
              </w:rPr>
            </w:pPr>
          </w:p>
        </w:tc>
        <w:tc>
          <w:tcPr>
            <w:tcW w:w="1500" w:type="dxa"/>
            <w:tcBorders>
              <w:bottom w:val="single" w:sz="8" w:space="0" w:color="auto"/>
            </w:tcBorders>
            <w:vAlign w:val="bottom"/>
          </w:tcPr>
          <w:p w:rsidR="00D24E61" w:rsidRPr="00771368" w:rsidRDefault="00D24E61">
            <w:pPr>
              <w:rPr>
                <w:sz w:val="2"/>
                <w:szCs w:val="2"/>
              </w:rPr>
            </w:pPr>
          </w:p>
        </w:tc>
        <w:tc>
          <w:tcPr>
            <w:tcW w:w="0" w:type="dxa"/>
            <w:vAlign w:val="bottom"/>
          </w:tcPr>
          <w:p w:rsidR="00D24E61" w:rsidRPr="00771368" w:rsidRDefault="00D24E61">
            <w:pPr>
              <w:rPr>
                <w:sz w:val="1"/>
                <w:szCs w:val="1"/>
              </w:rPr>
            </w:pPr>
          </w:p>
        </w:tc>
      </w:tr>
      <w:tr w:rsidR="00D24E61" w:rsidRPr="00771368">
        <w:trPr>
          <w:trHeight w:val="256"/>
        </w:trPr>
        <w:tc>
          <w:tcPr>
            <w:tcW w:w="320" w:type="dxa"/>
            <w:vAlign w:val="bottom"/>
          </w:tcPr>
          <w:p w:rsidR="00D24E61" w:rsidRPr="00771368" w:rsidRDefault="00D24E61">
            <w:pPr>
              <w:spacing w:line="255" w:lineRule="exact"/>
              <w:jc w:val="right"/>
              <w:rPr>
                <w:sz w:val="20"/>
                <w:szCs w:val="20"/>
              </w:rPr>
            </w:pPr>
            <w:r w:rsidRPr="00771368">
              <w:rPr>
                <w:sz w:val="24"/>
                <w:szCs w:val="24"/>
              </w:rPr>
              <w:t>1.</w:t>
            </w:r>
          </w:p>
        </w:tc>
        <w:tc>
          <w:tcPr>
            <w:tcW w:w="3120" w:type="dxa"/>
            <w:vAlign w:val="bottom"/>
          </w:tcPr>
          <w:p w:rsidR="00D24E61" w:rsidRPr="00771368" w:rsidRDefault="00D24E61">
            <w:pPr>
              <w:spacing w:line="255" w:lineRule="exact"/>
              <w:ind w:left="100"/>
              <w:rPr>
                <w:sz w:val="20"/>
                <w:szCs w:val="20"/>
              </w:rPr>
            </w:pPr>
            <w:r w:rsidRPr="00771368">
              <w:rPr>
                <w:sz w:val="24"/>
                <w:szCs w:val="24"/>
              </w:rPr>
              <w:t>Inexistente</w:t>
            </w:r>
          </w:p>
        </w:tc>
        <w:tc>
          <w:tcPr>
            <w:tcW w:w="1520" w:type="dxa"/>
            <w:vAlign w:val="bottom"/>
          </w:tcPr>
          <w:p w:rsidR="00D24E61" w:rsidRPr="00771368" w:rsidRDefault="00D24E61">
            <w:pPr>
              <w:spacing w:line="255" w:lineRule="exact"/>
              <w:ind w:right="20"/>
              <w:jc w:val="right"/>
              <w:rPr>
                <w:sz w:val="20"/>
                <w:szCs w:val="20"/>
              </w:rPr>
            </w:pPr>
            <w:r w:rsidRPr="00771368">
              <w:rPr>
                <w:sz w:val="24"/>
                <w:szCs w:val="24"/>
              </w:rPr>
              <w:t>17(7,2%)</w:t>
            </w:r>
          </w:p>
        </w:tc>
        <w:tc>
          <w:tcPr>
            <w:tcW w:w="1420" w:type="dxa"/>
            <w:vAlign w:val="bottom"/>
          </w:tcPr>
          <w:p w:rsidR="00D24E61" w:rsidRPr="00771368" w:rsidRDefault="00D24E61">
            <w:pPr>
              <w:spacing w:line="255" w:lineRule="exact"/>
              <w:jc w:val="right"/>
              <w:rPr>
                <w:sz w:val="20"/>
                <w:szCs w:val="20"/>
              </w:rPr>
            </w:pPr>
            <w:r w:rsidRPr="00771368">
              <w:rPr>
                <w:sz w:val="24"/>
                <w:szCs w:val="24"/>
              </w:rPr>
              <w:t>37(15,8%)</w:t>
            </w:r>
          </w:p>
        </w:tc>
        <w:tc>
          <w:tcPr>
            <w:tcW w:w="1440" w:type="dxa"/>
            <w:vAlign w:val="bottom"/>
          </w:tcPr>
          <w:p w:rsidR="00D24E61" w:rsidRPr="00771368" w:rsidRDefault="00D24E61">
            <w:pPr>
              <w:spacing w:line="255" w:lineRule="exact"/>
              <w:ind w:right="40"/>
              <w:jc w:val="right"/>
              <w:rPr>
                <w:sz w:val="20"/>
                <w:szCs w:val="20"/>
              </w:rPr>
            </w:pPr>
            <w:r w:rsidRPr="00771368">
              <w:rPr>
                <w:sz w:val="24"/>
                <w:szCs w:val="24"/>
              </w:rPr>
              <w:t>119(50,9%)</w:t>
            </w:r>
          </w:p>
        </w:tc>
        <w:tc>
          <w:tcPr>
            <w:tcW w:w="1500" w:type="dxa"/>
            <w:vAlign w:val="bottom"/>
          </w:tcPr>
          <w:p w:rsidR="00D24E61" w:rsidRPr="00771368" w:rsidRDefault="00D24E61">
            <w:pPr>
              <w:spacing w:line="255" w:lineRule="exact"/>
              <w:jc w:val="right"/>
              <w:rPr>
                <w:sz w:val="20"/>
                <w:szCs w:val="20"/>
              </w:rPr>
            </w:pPr>
            <w:r w:rsidRPr="00771368">
              <w:rPr>
                <w:sz w:val="24"/>
                <w:szCs w:val="24"/>
              </w:rPr>
              <w:t>61(26,1%)</w:t>
            </w:r>
          </w:p>
        </w:tc>
        <w:tc>
          <w:tcPr>
            <w:tcW w:w="0" w:type="dxa"/>
            <w:vAlign w:val="bottom"/>
          </w:tcPr>
          <w:p w:rsidR="00D24E61" w:rsidRPr="00771368" w:rsidRDefault="00D24E61">
            <w:pPr>
              <w:rPr>
                <w:sz w:val="1"/>
                <w:szCs w:val="1"/>
              </w:rPr>
            </w:pPr>
          </w:p>
        </w:tc>
      </w:tr>
      <w:tr w:rsidR="00D24E61" w:rsidRPr="00771368">
        <w:trPr>
          <w:trHeight w:val="302"/>
        </w:trPr>
        <w:tc>
          <w:tcPr>
            <w:tcW w:w="320" w:type="dxa"/>
            <w:vAlign w:val="bottom"/>
          </w:tcPr>
          <w:p w:rsidR="00D24E61" w:rsidRPr="00771368" w:rsidRDefault="00D24E61">
            <w:pPr>
              <w:jc w:val="right"/>
              <w:rPr>
                <w:sz w:val="20"/>
                <w:szCs w:val="20"/>
              </w:rPr>
            </w:pPr>
            <w:r w:rsidRPr="00771368">
              <w:rPr>
                <w:sz w:val="24"/>
                <w:szCs w:val="24"/>
              </w:rPr>
              <w:t>2.</w:t>
            </w:r>
          </w:p>
        </w:tc>
        <w:tc>
          <w:tcPr>
            <w:tcW w:w="3120" w:type="dxa"/>
            <w:vAlign w:val="bottom"/>
          </w:tcPr>
          <w:p w:rsidR="00D24E61" w:rsidRPr="00771368" w:rsidRDefault="00D24E61">
            <w:pPr>
              <w:ind w:left="40"/>
              <w:rPr>
                <w:sz w:val="20"/>
                <w:szCs w:val="20"/>
              </w:rPr>
            </w:pPr>
            <w:r w:rsidRPr="00771368">
              <w:rPr>
                <w:sz w:val="24"/>
                <w:szCs w:val="24"/>
              </w:rPr>
              <w:t>Trabalho em grupo</w:t>
            </w:r>
          </w:p>
        </w:tc>
        <w:tc>
          <w:tcPr>
            <w:tcW w:w="1520" w:type="dxa"/>
            <w:vAlign w:val="bottom"/>
          </w:tcPr>
          <w:p w:rsidR="00D24E61" w:rsidRPr="00771368" w:rsidRDefault="00D24E61">
            <w:pPr>
              <w:ind w:right="20"/>
              <w:jc w:val="right"/>
              <w:rPr>
                <w:sz w:val="20"/>
                <w:szCs w:val="20"/>
              </w:rPr>
            </w:pPr>
            <w:r w:rsidRPr="00771368">
              <w:rPr>
                <w:sz w:val="24"/>
                <w:szCs w:val="24"/>
              </w:rPr>
              <w:t>41(17,6%)</w:t>
            </w:r>
          </w:p>
        </w:tc>
        <w:tc>
          <w:tcPr>
            <w:tcW w:w="1420" w:type="dxa"/>
            <w:vAlign w:val="bottom"/>
          </w:tcPr>
          <w:p w:rsidR="00D24E61" w:rsidRPr="00771368" w:rsidRDefault="00D24E61">
            <w:pPr>
              <w:jc w:val="right"/>
              <w:rPr>
                <w:sz w:val="20"/>
                <w:szCs w:val="20"/>
              </w:rPr>
            </w:pPr>
            <w:r w:rsidRPr="00771368">
              <w:rPr>
                <w:sz w:val="24"/>
                <w:szCs w:val="24"/>
              </w:rPr>
              <w:t>125(53,6%)</w:t>
            </w:r>
          </w:p>
        </w:tc>
        <w:tc>
          <w:tcPr>
            <w:tcW w:w="1440" w:type="dxa"/>
            <w:vAlign w:val="bottom"/>
          </w:tcPr>
          <w:p w:rsidR="00D24E61" w:rsidRPr="00771368" w:rsidRDefault="00D24E61">
            <w:pPr>
              <w:ind w:right="40"/>
              <w:jc w:val="right"/>
              <w:rPr>
                <w:sz w:val="20"/>
                <w:szCs w:val="20"/>
              </w:rPr>
            </w:pPr>
            <w:r w:rsidRPr="00771368">
              <w:rPr>
                <w:sz w:val="24"/>
                <w:szCs w:val="24"/>
              </w:rPr>
              <w:t>61(26,2%)</w:t>
            </w:r>
          </w:p>
        </w:tc>
        <w:tc>
          <w:tcPr>
            <w:tcW w:w="1500" w:type="dxa"/>
            <w:vAlign w:val="bottom"/>
          </w:tcPr>
          <w:p w:rsidR="00D24E61" w:rsidRPr="00771368" w:rsidRDefault="00D24E61">
            <w:pPr>
              <w:jc w:val="right"/>
              <w:rPr>
                <w:sz w:val="20"/>
                <w:szCs w:val="20"/>
              </w:rPr>
            </w:pPr>
            <w:r w:rsidRPr="00771368">
              <w:rPr>
                <w:sz w:val="24"/>
                <w:szCs w:val="24"/>
              </w:rPr>
              <w:t>6(2,6%)</w:t>
            </w:r>
          </w:p>
        </w:tc>
        <w:tc>
          <w:tcPr>
            <w:tcW w:w="0" w:type="dxa"/>
            <w:vAlign w:val="bottom"/>
          </w:tcPr>
          <w:p w:rsidR="00D24E61" w:rsidRPr="00771368" w:rsidRDefault="00D24E61">
            <w:pPr>
              <w:rPr>
                <w:sz w:val="1"/>
                <w:szCs w:val="1"/>
              </w:rPr>
            </w:pPr>
          </w:p>
        </w:tc>
      </w:tr>
      <w:tr w:rsidR="00D24E61" w:rsidRPr="00771368">
        <w:trPr>
          <w:trHeight w:val="307"/>
        </w:trPr>
        <w:tc>
          <w:tcPr>
            <w:tcW w:w="320" w:type="dxa"/>
            <w:vAlign w:val="bottom"/>
          </w:tcPr>
          <w:p w:rsidR="00D24E61" w:rsidRPr="00771368" w:rsidRDefault="00D24E61">
            <w:pPr>
              <w:jc w:val="right"/>
              <w:rPr>
                <w:sz w:val="20"/>
                <w:szCs w:val="20"/>
              </w:rPr>
            </w:pPr>
            <w:r w:rsidRPr="00771368">
              <w:rPr>
                <w:sz w:val="24"/>
                <w:szCs w:val="24"/>
              </w:rPr>
              <w:t>3.</w:t>
            </w:r>
          </w:p>
        </w:tc>
        <w:tc>
          <w:tcPr>
            <w:tcW w:w="3120" w:type="dxa"/>
            <w:vAlign w:val="bottom"/>
          </w:tcPr>
          <w:p w:rsidR="00D24E61" w:rsidRPr="00771368" w:rsidRDefault="00D24E61">
            <w:pPr>
              <w:ind w:left="40"/>
              <w:rPr>
                <w:sz w:val="20"/>
                <w:szCs w:val="20"/>
              </w:rPr>
            </w:pPr>
            <w:r w:rsidRPr="00771368">
              <w:rPr>
                <w:sz w:val="24"/>
                <w:szCs w:val="24"/>
              </w:rPr>
              <w:t>De forma ligeira/vaga</w:t>
            </w:r>
          </w:p>
        </w:tc>
        <w:tc>
          <w:tcPr>
            <w:tcW w:w="1520" w:type="dxa"/>
            <w:vAlign w:val="bottom"/>
          </w:tcPr>
          <w:p w:rsidR="00D24E61" w:rsidRPr="00771368" w:rsidRDefault="00D24E61">
            <w:pPr>
              <w:ind w:right="20"/>
              <w:jc w:val="right"/>
              <w:rPr>
                <w:sz w:val="20"/>
                <w:szCs w:val="20"/>
              </w:rPr>
            </w:pPr>
            <w:r w:rsidRPr="00771368">
              <w:rPr>
                <w:sz w:val="24"/>
                <w:szCs w:val="24"/>
              </w:rPr>
              <w:t>15(6,4%)</w:t>
            </w:r>
          </w:p>
        </w:tc>
        <w:tc>
          <w:tcPr>
            <w:tcW w:w="1420" w:type="dxa"/>
            <w:vAlign w:val="bottom"/>
          </w:tcPr>
          <w:p w:rsidR="00D24E61" w:rsidRPr="00771368" w:rsidRDefault="00D24E61">
            <w:pPr>
              <w:jc w:val="right"/>
              <w:rPr>
                <w:sz w:val="20"/>
                <w:szCs w:val="20"/>
              </w:rPr>
            </w:pPr>
            <w:r w:rsidRPr="00771368">
              <w:rPr>
                <w:sz w:val="24"/>
                <w:szCs w:val="24"/>
              </w:rPr>
              <w:t>83(35,5%)</w:t>
            </w:r>
          </w:p>
        </w:tc>
        <w:tc>
          <w:tcPr>
            <w:tcW w:w="1440" w:type="dxa"/>
            <w:vAlign w:val="bottom"/>
          </w:tcPr>
          <w:p w:rsidR="00D24E61" w:rsidRPr="00771368" w:rsidRDefault="00D24E61">
            <w:pPr>
              <w:ind w:right="40"/>
              <w:jc w:val="right"/>
              <w:rPr>
                <w:sz w:val="20"/>
                <w:szCs w:val="20"/>
              </w:rPr>
            </w:pPr>
            <w:r w:rsidRPr="00771368">
              <w:rPr>
                <w:sz w:val="24"/>
                <w:szCs w:val="24"/>
              </w:rPr>
              <w:t>110(47,0%)</w:t>
            </w:r>
          </w:p>
        </w:tc>
        <w:tc>
          <w:tcPr>
            <w:tcW w:w="1500" w:type="dxa"/>
            <w:vAlign w:val="bottom"/>
          </w:tcPr>
          <w:p w:rsidR="00D24E61" w:rsidRPr="00771368" w:rsidRDefault="00D24E61">
            <w:pPr>
              <w:jc w:val="right"/>
              <w:rPr>
                <w:sz w:val="20"/>
                <w:szCs w:val="20"/>
              </w:rPr>
            </w:pPr>
            <w:r w:rsidRPr="00771368">
              <w:rPr>
                <w:sz w:val="24"/>
                <w:szCs w:val="24"/>
              </w:rPr>
              <w:t>26(11,1%)</w:t>
            </w:r>
          </w:p>
        </w:tc>
        <w:tc>
          <w:tcPr>
            <w:tcW w:w="0" w:type="dxa"/>
            <w:vAlign w:val="bottom"/>
          </w:tcPr>
          <w:p w:rsidR="00D24E61" w:rsidRPr="00771368" w:rsidRDefault="00D24E61">
            <w:pPr>
              <w:rPr>
                <w:sz w:val="1"/>
                <w:szCs w:val="1"/>
              </w:rPr>
            </w:pPr>
          </w:p>
        </w:tc>
      </w:tr>
      <w:tr w:rsidR="00D24E61" w:rsidRPr="00771368">
        <w:trPr>
          <w:trHeight w:val="302"/>
        </w:trPr>
        <w:tc>
          <w:tcPr>
            <w:tcW w:w="320" w:type="dxa"/>
            <w:vAlign w:val="bottom"/>
          </w:tcPr>
          <w:p w:rsidR="00D24E61" w:rsidRPr="00771368" w:rsidRDefault="00D24E61">
            <w:pPr>
              <w:jc w:val="right"/>
              <w:rPr>
                <w:sz w:val="20"/>
                <w:szCs w:val="20"/>
              </w:rPr>
            </w:pPr>
            <w:r w:rsidRPr="00771368">
              <w:rPr>
                <w:sz w:val="24"/>
                <w:szCs w:val="24"/>
              </w:rPr>
              <w:t>4.</w:t>
            </w:r>
          </w:p>
        </w:tc>
        <w:tc>
          <w:tcPr>
            <w:tcW w:w="3120" w:type="dxa"/>
            <w:vAlign w:val="bottom"/>
          </w:tcPr>
          <w:p w:rsidR="00D24E61" w:rsidRPr="00771368" w:rsidRDefault="00D24E61">
            <w:pPr>
              <w:ind w:left="40"/>
              <w:rPr>
                <w:sz w:val="20"/>
                <w:szCs w:val="20"/>
              </w:rPr>
            </w:pPr>
            <w:r w:rsidRPr="00771368">
              <w:rPr>
                <w:sz w:val="24"/>
                <w:szCs w:val="24"/>
              </w:rPr>
              <w:t>Com preconceito</w:t>
            </w:r>
          </w:p>
        </w:tc>
        <w:tc>
          <w:tcPr>
            <w:tcW w:w="1520" w:type="dxa"/>
            <w:vAlign w:val="bottom"/>
          </w:tcPr>
          <w:p w:rsidR="00D24E61" w:rsidRPr="00771368" w:rsidRDefault="00D24E61">
            <w:pPr>
              <w:ind w:right="20"/>
              <w:jc w:val="right"/>
              <w:rPr>
                <w:sz w:val="20"/>
                <w:szCs w:val="20"/>
              </w:rPr>
            </w:pPr>
            <w:r w:rsidRPr="00771368">
              <w:rPr>
                <w:sz w:val="24"/>
                <w:szCs w:val="24"/>
              </w:rPr>
              <w:t>12(5,1%)</w:t>
            </w:r>
          </w:p>
        </w:tc>
        <w:tc>
          <w:tcPr>
            <w:tcW w:w="1420" w:type="dxa"/>
            <w:vAlign w:val="bottom"/>
          </w:tcPr>
          <w:p w:rsidR="00D24E61" w:rsidRPr="00771368" w:rsidRDefault="00D24E61">
            <w:pPr>
              <w:jc w:val="right"/>
              <w:rPr>
                <w:sz w:val="20"/>
                <w:szCs w:val="20"/>
              </w:rPr>
            </w:pPr>
            <w:r w:rsidRPr="00771368">
              <w:rPr>
                <w:sz w:val="24"/>
                <w:szCs w:val="24"/>
              </w:rPr>
              <w:t>23(9,8%)</w:t>
            </w:r>
          </w:p>
        </w:tc>
        <w:tc>
          <w:tcPr>
            <w:tcW w:w="1440" w:type="dxa"/>
            <w:vAlign w:val="bottom"/>
          </w:tcPr>
          <w:p w:rsidR="00D24E61" w:rsidRPr="00771368" w:rsidRDefault="00D24E61">
            <w:pPr>
              <w:ind w:right="40"/>
              <w:jc w:val="right"/>
              <w:rPr>
                <w:sz w:val="20"/>
                <w:szCs w:val="20"/>
              </w:rPr>
            </w:pPr>
            <w:r w:rsidRPr="00771368">
              <w:rPr>
                <w:sz w:val="24"/>
                <w:szCs w:val="24"/>
              </w:rPr>
              <w:t>124(53,0%)</w:t>
            </w:r>
          </w:p>
        </w:tc>
        <w:tc>
          <w:tcPr>
            <w:tcW w:w="1500" w:type="dxa"/>
            <w:vAlign w:val="bottom"/>
          </w:tcPr>
          <w:p w:rsidR="00D24E61" w:rsidRPr="00771368" w:rsidRDefault="00D24E61">
            <w:pPr>
              <w:jc w:val="right"/>
              <w:rPr>
                <w:sz w:val="20"/>
                <w:szCs w:val="20"/>
              </w:rPr>
            </w:pPr>
            <w:r w:rsidRPr="00771368">
              <w:rPr>
                <w:sz w:val="24"/>
                <w:szCs w:val="24"/>
              </w:rPr>
              <w:t>75(32,1%)</w:t>
            </w:r>
          </w:p>
        </w:tc>
        <w:tc>
          <w:tcPr>
            <w:tcW w:w="0" w:type="dxa"/>
            <w:vAlign w:val="bottom"/>
          </w:tcPr>
          <w:p w:rsidR="00D24E61" w:rsidRPr="00771368" w:rsidRDefault="00D24E61">
            <w:pPr>
              <w:rPr>
                <w:sz w:val="1"/>
                <w:szCs w:val="1"/>
              </w:rPr>
            </w:pPr>
          </w:p>
        </w:tc>
      </w:tr>
      <w:tr w:rsidR="00D24E61" w:rsidRPr="00771368">
        <w:trPr>
          <w:trHeight w:val="302"/>
        </w:trPr>
        <w:tc>
          <w:tcPr>
            <w:tcW w:w="320" w:type="dxa"/>
            <w:vAlign w:val="bottom"/>
          </w:tcPr>
          <w:p w:rsidR="00D24E61" w:rsidRPr="00771368" w:rsidRDefault="00D24E61">
            <w:pPr>
              <w:jc w:val="right"/>
              <w:rPr>
                <w:sz w:val="20"/>
                <w:szCs w:val="20"/>
              </w:rPr>
            </w:pPr>
            <w:r w:rsidRPr="00771368">
              <w:rPr>
                <w:sz w:val="24"/>
                <w:szCs w:val="24"/>
              </w:rPr>
              <w:t>6.</w:t>
            </w:r>
          </w:p>
        </w:tc>
        <w:tc>
          <w:tcPr>
            <w:tcW w:w="3120" w:type="dxa"/>
            <w:vAlign w:val="bottom"/>
          </w:tcPr>
          <w:p w:rsidR="00D24E61" w:rsidRPr="00771368" w:rsidRDefault="00D24E61">
            <w:pPr>
              <w:ind w:left="40"/>
              <w:rPr>
                <w:sz w:val="20"/>
                <w:szCs w:val="20"/>
              </w:rPr>
            </w:pPr>
            <w:r w:rsidRPr="00771368">
              <w:rPr>
                <w:sz w:val="24"/>
                <w:szCs w:val="24"/>
              </w:rPr>
              <w:t>Estudos direcionados do tema</w:t>
            </w:r>
          </w:p>
        </w:tc>
        <w:tc>
          <w:tcPr>
            <w:tcW w:w="1520" w:type="dxa"/>
            <w:vAlign w:val="bottom"/>
          </w:tcPr>
          <w:p w:rsidR="00D24E61" w:rsidRPr="00771368" w:rsidRDefault="00D24E61">
            <w:pPr>
              <w:ind w:right="20"/>
              <w:jc w:val="right"/>
              <w:rPr>
                <w:sz w:val="20"/>
                <w:szCs w:val="20"/>
              </w:rPr>
            </w:pPr>
            <w:r w:rsidRPr="00771368">
              <w:rPr>
                <w:sz w:val="24"/>
                <w:szCs w:val="24"/>
              </w:rPr>
              <w:t>48(20,5%)</w:t>
            </w:r>
          </w:p>
        </w:tc>
        <w:tc>
          <w:tcPr>
            <w:tcW w:w="1420" w:type="dxa"/>
            <w:vAlign w:val="bottom"/>
          </w:tcPr>
          <w:p w:rsidR="00D24E61" w:rsidRPr="00771368" w:rsidRDefault="00D24E61">
            <w:pPr>
              <w:jc w:val="right"/>
              <w:rPr>
                <w:sz w:val="20"/>
                <w:szCs w:val="20"/>
              </w:rPr>
            </w:pPr>
            <w:r w:rsidRPr="00771368">
              <w:rPr>
                <w:sz w:val="24"/>
                <w:szCs w:val="24"/>
              </w:rPr>
              <w:t>117(50,0%)</w:t>
            </w:r>
          </w:p>
        </w:tc>
        <w:tc>
          <w:tcPr>
            <w:tcW w:w="1440" w:type="dxa"/>
            <w:vAlign w:val="bottom"/>
          </w:tcPr>
          <w:p w:rsidR="00D24E61" w:rsidRPr="00771368" w:rsidRDefault="00D24E61">
            <w:pPr>
              <w:ind w:right="40"/>
              <w:jc w:val="right"/>
              <w:rPr>
                <w:sz w:val="20"/>
                <w:szCs w:val="20"/>
              </w:rPr>
            </w:pPr>
            <w:r w:rsidRPr="00771368">
              <w:rPr>
                <w:sz w:val="24"/>
                <w:szCs w:val="24"/>
              </w:rPr>
              <w:t>57(24,4%)</w:t>
            </w:r>
          </w:p>
        </w:tc>
        <w:tc>
          <w:tcPr>
            <w:tcW w:w="1500" w:type="dxa"/>
            <w:vAlign w:val="bottom"/>
          </w:tcPr>
          <w:p w:rsidR="00D24E61" w:rsidRPr="00771368" w:rsidRDefault="00D24E61">
            <w:pPr>
              <w:jc w:val="right"/>
              <w:rPr>
                <w:sz w:val="20"/>
                <w:szCs w:val="20"/>
              </w:rPr>
            </w:pPr>
            <w:r w:rsidRPr="00771368">
              <w:rPr>
                <w:sz w:val="24"/>
                <w:szCs w:val="24"/>
              </w:rPr>
              <w:t>12(5,1%)</w:t>
            </w:r>
          </w:p>
        </w:tc>
        <w:tc>
          <w:tcPr>
            <w:tcW w:w="0" w:type="dxa"/>
            <w:vAlign w:val="bottom"/>
          </w:tcPr>
          <w:p w:rsidR="00D24E61" w:rsidRPr="00771368" w:rsidRDefault="00D24E61">
            <w:pPr>
              <w:rPr>
                <w:sz w:val="1"/>
                <w:szCs w:val="1"/>
              </w:rPr>
            </w:pPr>
          </w:p>
        </w:tc>
      </w:tr>
      <w:tr w:rsidR="00D24E61" w:rsidRPr="00771368">
        <w:trPr>
          <w:trHeight w:val="303"/>
        </w:trPr>
        <w:tc>
          <w:tcPr>
            <w:tcW w:w="320" w:type="dxa"/>
            <w:vAlign w:val="bottom"/>
          </w:tcPr>
          <w:p w:rsidR="00D24E61" w:rsidRPr="00771368" w:rsidRDefault="00D24E61">
            <w:pPr>
              <w:jc w:val="right"/>
              <w:rPr>
                <w:sz w:val="20"/>
                <w:szCs w:val="20"/>
              </w:rPr>
            </w:pPr>
            <w:r w:rsidRPr="00771368">
              <w:rPr>
                <w:sz w:val="24"/>
                <w:szCs w:val="24"/>
              </w:rPr>
              <w:t>7.</w:t>
            </w:r>
          </w:p>
        </w:tc>
        <w:tc>
          <w:tcPr>
            <w:tcW w:w="3120" w:type="dxa"/>
            <w:vAlign w:val="bottom"/>
          </w:tcPr>
          <w:p w:rsidR="00D24E61" w:rsidRPr="00771368" w:rsidRDefault="00D24E61">
            <w:pPr>
              <w:ind w:left="40"/>
              <w:rPr>
                <w:sz w:val="20"/>
                <w:szCs w:val="20"/>
              </w:rPr>
            </w:pPr>
            <w:r w:rsidRPr="00771368">
              <w:rPr>
                <w:sz w:val="24"/>
                <w:szCs w:val="24"/>
              </w:rPr>
              <w:t>Insegurança</w:t>
            </w:r>
          </w:p>
        </w:tc>
        <w:tc>
          <w:tcPr>
            <w:tcW w:w="1520" w:type="dxa"/>
            <w:vAlign w:val="bottom"/>
          </w:tcPr>
          <w:p w:rsidR="00D24E61" w:rsidRPr="00771368" w:rsidRDefault="00D24E61">
            <w:pPr>
              <w:ind w:right="20"/>
              <w:jc w:val="right"/>
              <w:rPr>
                <w:sz w:val="20"/>
                <w:szCs w:val="20"/>
              </w:rPr>
            </w:pPr>
            <w:r w:rsidRPr="00771368">
              <w:rPr>
                <w:sz w:val="24"/>
                <w:szCs w:val="24"/>
              </w:rPr>
              <w:t>16(6,8%)</w:t>
            </w:r>
          </w:p>
        </w:tc>
        <w:tc>
          <w:tcPr>
            <w:tcW w:w="1420" w:type="dxa"/>
            <w:vAlign w:val="bottom"/>
          </w:tcPr>
          <w:p w:rsidR="00D24E61" w:rsidRPr="00771368" w:rsidRDefault="00D24E61">
            <w:pPr>
              <w:jc w:val="right"/>
              <w:rPr>
                <w:sz w:val="20"/>
                <w:szCs w:val="20"/>
              </w:rPr>
            </w:pPr>
            <w:r w:rsidRPr="00771368">
              <w:rPr>
                <w:sz w:val="24"/>
                <w:szCs w:val="24"/>
              </w:rPr>
              <w:t>45(19,2%)</w:t>
            </w:r>
          </w:p>
        </w:tc>
        <w:tc>
          <w:tcPr>
            <w:tcW w:w="1440" w:type="dxa"/>
            <w:vAlign w:val="bottom"/>
          </w:tcPr>
          <w:p w:rsidR="00D24E61" w:rsidRPr="00771368" w:rsidRDefault="00D24E61">
            <w:pPr>
              <w:ind w:right="40"/>
              <w:jc w:val="right"/>
              <w:rPr>
                <w:sz w:val="20"/>
                <w:szCs w:val="20"/>
              </w:rPr>
            </w:pPr>
            <w:r w:rsidRPr="00771368">
              <w:rPr>
                <w:sz w:val="24"/>
                <w:szCs w:val="24"/>
              </w:rPr>
              <w:t>126(53,9%)</w:t>
            </w:r>
          </w:p>
        </w:tc>
        <w:tc>
          <w:tcPr>
            <w:tcW w:w="1500" w:type="dxa"/>
            <w:vAlign w:val="bottom"/>
          </w:tcPr>
          <w:p w:rsidR="00D24E61" w:rsidRPr="00771368" w:rsidRDefault="00D24E61">
            <w:pPr>
              <w:jc w:val="right"/>
              <w:rPr>
                <w:sz w:val="20"/>
                <w:szCs w:val="20"/>
              </w:rPr>
            </w:pPr>
            <w:r w:rsidRPr="00771368">
              <w:rPr>
                <w:sz w:val="24"/>
                <w:szCs w:val="24"/>
              </w:rPr>
              <w:t>47(20,1%)</w:t>
            </w:r>
          </w:p>
        </w:tc>
        <w:tc>
          <w:tcPr>
            <w:tcW w:w="0" w:type="dxa"/>
            <w:vAlign w:val="bottom"/>
          </w:tcPr>
          <w:p w:rsidR="00D24E61" w:rsidRPr="00771368" w:rsidRDefault="00D24E61">
            <w:pPr>
              <w:rPr>
                <w:sz w:val="1"/>
                <w:szCs w:val="1"/>
              </w:rPr>
            </w:pPr>
          </w:p>
        </w:tc>
      </w:tr>
      <w:tr w:rsidR="00D24E61" w:rsidRPr="00771368">
        <w:trPr>
          <w:trHeight w:val="41"/>
        </w:trPr>
        <w:tc>
          <w:tcPr>
            <w:tcW w:w="320" w:type="dxa"/>
            <w:tcBorders>
              <w:bottom w:val="single" w:sz="8" w:space="0" w:color="auto"/>
            </w:tcBorders>
            <w:vAlign w:val="bottom"/>
          </w:tcPr>
          <w:p w:rsidR="00D24E61" w:rsidRPr="00771368" w:rsidRDefault="00D24E61">
            <w:pPr>
              <w:rPr>
                <w:sz w:val="3"/>
                <w:szCs w:val="3"/>
              </w:rPr>
            </w:pPr>
          </w:p>
        </w:tc>
        <w:tc>
          <w:tcPr>
            <w:tcW w:w="3120" w:type="dxa"/>
            <w:tcBorders>
              <w:bottom w:val="single" w:sz="8" w:space="0" w:color="auto"/>
            </w:tcBorders>
            <w:vAlign w:val="bottom"/>
          </w:tcPr>
          <w:p w:rsidR="00D24E61" w:rsidRPr="00771368" w:rsidRDefault="00D24E61">
            <w:pPr>
              <w:rPr>
                <w:sz w:val="3"/>
                <w:szCs w:val="3"/>
              </w:rPr>
            </w:pPr>
          </w:p>
        </w:tc>
        <w:tc>
          <w:tcPr>
            <w:tcW w:w="1520" w:type="dxa"/>
            <w:tcBorders>
              <w:bottom w:val="single" w:sz="8" w:space="0" w:color="auto"/>
            </w:tcBorders>
            <w:vAlign w:val="bottom"/>
          </w:tcPr>
          <w:p w:rsidR="00D24E61" w:rsidRPr="00771368" w:rsidRDefault="00D24E61">
            <w:pPr>
              <w:rPr>
                <w:sz w:val="3"/>
                <w:szCs w:val="3"/>
              </w:rPr>
            </w:pPr>
          </w:p>
        </w:tc>
        <w:tc>
          <w:tcPr>
            <w:tcW w:w="1420" w:type="dxa"/>
            <w:tcBorders>
              <w:bottom w:val="single" w:sz="8" w:space="0" w:color="auto"/>
            </w:tcBorders>
            <w:vAlign w:val="bottom"/>
          </w:tcPr>
          <w:p w:rsidR="00D24E61" w:rsidRPr="00771368" w:rsidRDefault="00D24E61">
            <w:pPr>
              <w:rPr>
                <w:sz w:val="3"/>
                <w:szCs w:val="3"/>
              </w:rPr>
            </w:pPr>
          </w:p>
        </w:tc>
        <w:tc>
          <w:tcPr>
            <w:tcW w:w="1440" w:type="dxa"/>
            <w:tcBorders>
              <w:bottom w:val="single" w:sz="8" w:space="0" w:color="auto"/>
            </w:tcBorders>
            <w:vAlign w:val="bottom"/>
          </w:tcPr>
          <w:p w:rsidR="00D24E61" w:rsidRPr="00771368" w:rsidRDefault="00D24E61">
            <w:pPr>
              <w:rPr>
                <w:sz w:val="3"/>
                <w:szCs w:val="3"/>
              </w:rPr>
            </w:pPr>
          </w:p>
        </w:tc>
        <w:tc>
          <w:tcPr>
            <w:tcW w:w="1500" w:type="dxa"/>
            <w:tcBorders>
              <w:bottom w:val="single" w:sz="8" w:space="0" w:color="auto"/>
            </w:tcBorders>
            <w:vAlign w:val="bottom"/>
          </w:tcPr>
          <w:p w:rsidR="00D24E61" w:rsidRPr="00771368" w:rsidRDefault="00D24E61">
            <w:pPr>
              <w:rPr>
                <w:sz w:val="3"/>
                <w:szCs w:val="3"/>
              </w:rPr>
            </w:pPr>
          </w:p>
        </w:tc>
        <w:tc>
          <w:tcPr>
            <w:tcW w:w="0" w:type="dxa"/>
            <w:vAlign w:val="bottom"/>
          </w:tcPr>
          <w:p w:rsidR="00D24E61" w:rsidRPr="00771368" w:rsidRDefault="00D24E61">
            <w:pPr>
              <w:rPr>
                <w:sz w:val="1"/>
                <w:szCs w:val="1"/>
              </w:rPr>
            </w:pPr>
          </w:p>
        </w:tc>
      </w:tr>
    </w:tbl>
    <w:p w:rsidR="00D24E61" w:rsidRPr="00771368" w:rsidRDefault="00D24E61">
      <w:pPr>
        <w:sectPr w:rsidR="00D24E61" w:rsidRPr="00771368">
          <w:pgSz w:w="11900" w:h="16838"/>
          <w:pgMar w:top="1440" w:right="1280" w:bottom="1440" w:left="1300" w:header="0" w:footer="0" w:gutter="0"/>
          <w:cols w:space="720" w:equalWidth="0">
            <w:col w:w="9320"/>
          </w:cols>
        </w:sectPr>
      </w:pPr>
    </w:p>
    <w:p w:rsidR="00D24E61" w:rsidRPr="00771368" w:rsidRDefault="00D24E61">
      <w:pPr>
        <w:spacing w:line="309" w:lineRule="exact"/>
        <w:rPr>
          <w:sz w:val="20"/>
          <w:szCs w:val="20"/>
        </w:rPr>
      </w:pPr>
    </w:p>
    <w:p w:rsidR="00D24E61" w:rsidRPr="00771368" w:rsidRDefault="00D24E61">
      <w:pPr>
        <w:spacing w:line="211" w:lineRule="auto"/>
        <w:ind w:hanging="1003"/>
        <w:rPr>
          <w:sz w:val="20"/>
          <w:szCs w:val="20"/>
        </w:rPr>
      </w:pPr>
      <w:r w:rsidRPr="00771368">
        <w:rPr>
          <w:b/>
          <w:bCs/>
          <w:sz w:val="24"/>
          <w:szCs w:val="24"/>
        </w:rPr>
        <w:t>Distribuição dos fatores relacionados a prática dos docentes na escola acerca do estudo/discussão sobre gênero na escola</w:t>
      </w:r>
    </w:p>
    <w:p w:rsidR="00D24E61" w:rsidRPr="00771368" w:rsidRDefault="00D24E61">
      <w:pPr>
        <w:sectPr w:rsidR="00D24E61" w:rsidRPr="00771368">
          <w:pgSz w:w="11900" w:h="16838"/>
          <w:pgMar w:top="1440" w:right="1880" w:bottom="1440" w:left="3940" w:header="0" w:footer="0" w:gutter="0"/>
          <w:cols w:space="720" w:equalWidth="0">
            <w:col w:w="608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64" w:lineRule="exact"/>
        <w:rPr>
          <w:sz w:val="20"/>
          <w:szCs w:val="20"/>
        </w:rPr>
      </w:pPr>
    </w:p>
    <w:tbl>
      <w:tblPr>
        <w:tblW w:w="0" w:type="auto"/>
        <w:jc w:val="center"/>
        <w:tblLayout w:type="fixed"/>
        <w:tblCellMar>
          <w:left w:w="0" w:type="dxa"/>
          <w:right w:w="0" w:type="dxa"/>
        </w:tblCellMar>
        <w:tblLook w:val="04A0" w:firstRow="1" w:lastRow="0" w:firstColumn="1" w:lastColumn="0" w:noHBand="0" w:noVBand="1"/>
      </w:tblPr>
      <w:tblGrid>
        <w:gridCol w:w="229"/>
      </w:tblGrid>
      <w:tr w:rsidR="00D24E61" w:rsidRPr="00771368">
        <w:trPr>
          <w:trHeight w:val="1500"/>
          <w:jc w:val="center"/>
        </w:trPr>
        <w:tc>
          <w:tcPr>
            <w:tcW w:w="229" w:type="dxa"/>
            <w:textDirection w:val="btLr"/>
            <w:vAlign w:val="bottom"/>
          </w:tcPr>
          <w:p w:rsidR="00D24E61" w:rsidRPr="00771368" w:rsidRDefault="00D24E61">
            <w:pPr>
              <w:spacing w:line="239" w:lineRule="auto"/>
              <w:rPr>
                <w:sz w:val="20"/>
                <w:szCs w:val="20"/>
              </w:rPr>
            </w:pPr>
            <w:r w:rsidRPr="00771368">
              <w:rPr>
                <w:b/>
                <w:bCs/>
                <w:i/>
                <w:iCs/>
                <w:sz w:val="20"/>
                <w:szCs w:val="20"/>
              </w:rPr>
              <w:t>Fatores avaliados</w:t>
            </w:r>
          </w:p>
        </w:tc>
      </w:tr>
    </w:tbl>
    <w:p w:rsidR="00D24E61" w:rsidRPr="00771368" w:rsidRDefault="00D24E61">
      <w:pPr>
        <w:spacing w:line="148" w:lineRule="exact"/>
        <w:rPr>
          <w:sz w:val="20"/>
          <w:szCs w:val="20"/>
        </w:rPr>
      </w:pPr>
      <w:r w:rsidRPr="00771368">
        <w:rPr>
          <w:sz w:val="20"/>
          <w:szCs w:val="20"/>
        </w:rPr>
        <w:br w:type="column"/>
      </w:r>
    </w:p>
    <w:p w:rsidR="00D24E61" w:rsidRPr="00771368" w:rsidRDefault="00D24E61">
      <w:pPr>
        <w:spacing w:line="239" w:lineRule="auto"/>
        <w:rPr>
          <w:sz w:val="20"/>
          <w:szCs w:val="20"/>
        </w:rPr>
      </w:pPr>
      <w:r w:rsidRPr="00771368">
        <w:rPr>
          <w:sz w:val="20"/>
          <w:szCs w:val="20"/>
        </w:rPr>
        <w:t>60,0%</w:t>
      </w:r>
    </w:p>
    <w:p w:rsidR="00D24E61" w:rsidRPr="00771368" w:rsidRDefault="00D24E61">
      <w:pPr>
        <w:spacing w:line="153" w:lineRule="exact"/>
        <w:rPr>
          <w:sz w:val="20"/>
          <w:szCs w:val="20"/>
        </w:rPr>
      </w:pPr>
    </w:p>
    <w:p w:rsidR="00D24E61" w:rsidRPr="00771368" w:rsidRDefault="00D24E61">
      <w:pPr>
        <w:spacing w:line="239" w:lineRule="auto"/>
        <w:rPr>
          <w:sz w:val="20"/>
          <w:szCs w:val="20"/>
        </w:rPr>
      </w:pPr>
      <w:r w:rsidRPr="00771368">
        <w:rPr>
          <w:sz w:val="20"/>
          <w:szCs w:val="20"/>
        </w:rPr>
        <w:t>50,0%</w:t>
      </w:r>
    </w:p>
    <w:p w:rsidR="00D24E61" w:rsidRPr="00771368" w:rsidRDefault="00D24E61">
      <w:pPr>
        <w:spacing w:line="152" w:lineRule="exact"/>
        <w:rPr>
          <w:sz w:val="20"/>
          <w:szCs w:val="20"/>
        </w:rPr>
      </w:pPr>
    </w:p>
    <w:p w:rsidR="00D24E61" w:rsidRPr="00771368" w:rsidRDefault="00D24E61">
      <w:pPr>
        <w:spacing w:line="239" w:lineRule="auto"/>
        <w:rPr>
          <w:sz w:val="20"/>
          <w:szCs w:val="20"/>
        </w:rPr>
      </w:pPr>
      <w:r w:rsidRPr="00771368">
        <w:rPr>
          <w:sz w:val="20"/>
          <w:szCs w:val="20"/>
        </w:rPr>
        <w:t>40,0%</w:t>
      </w:r>
    </w:p>
    <w:p w:rsidR="00D24E61" w:rsidRPr="00771368" w:rsidRDefault="00D24E61">
      <w:pPr>
        <w:spacing w:line="152" w:lineRule="exact"/>
        <w:rPr>
          <w:sz w:val="20"/>
          <w:szCs w:val="20"/>
        </w:rPr>
      </w:pPr>
    </w:p>
    <w:p w:rsidR="00D24E61" w:rsidRPr="00771368" w:rsidRDefault="00D24E61">
      <w:pPr>
        <w:spacing w:line="239" w:lineRule="auto"/>
        <w:rPr>
          <w:sz w:val="20"/>
          <w:szCs w:val="20"/>
        </w:rPr>
      </w:pPr>
      <w:r w:rsidRPr="00771368">
        <w:rPr>
          <w:sz w:val="20"/>
          <w:szCs w:val="20"/>
        </w:rPr>
        <w:t>30,0%</w:t>
      </w:r>
    </w:p>
    <w:p w:rsidR="00D24E61" w:rsidRPr="00771368" w:rsidRDefault="00D24E61">
      <w:pPr>
        <w:spacing w:line="152" w:lineRule="exact"/>
        <w:rPr>
          <w:sz w:val="20"/>
          <w:szCs w:val="20"/>
        </w:rPr>
      </w:pPr>
    </w:p>
    <w:p w:rsidR="00D24E61" w:rsidRPr="00771368" w:rsidRDefault="00D24E61">
      <w:pPr>
        <w:spacing w:line="239" w:lineRule="auto"/>
        <w:rPr>
          <w:sz w:val="20"/>
          <w:szCs w:val="20"/>
        </w:rPr>
      </w:pPr>
      <w:r w:rsidRPr="00771368">
        <w:rPr>
          <w:sz w:val="20"/>
          <w:szCs w:val="20"/>
        </w:rPr>
        <w:t>20,0%</w:t>
      </w:r>
    </w:p>
    <w:p w:rsidR="00D24E61" w:rsidRPr="00771368" w:rsidRDefault="00D24E61">
      <w:pPr>
        <w:spacing w:line="153" w:lineRule="exact"/>
        <w:rPr>
          <w:sz w:val="20"/>
          <w:szCs w:val="20"/>
        </w:rPr>
      </w:pPr>
    </w:p>
    <w:p w:rsidR="00D24E61" w:rsidRPr="00771368" w:rsidRDefault="00D24E61">
      <w:pPr>
        <w:spacing w:line="239" w:lineRule="auto"/>
        <w:rPr>
          <w:sz w:val="20"/>
          <w:szCs w:val="20"/>
        </w:rPr>
      </w:pPr>
      <w:r w:rsidRPr="00771368">
        <w:rPr>
          <w:sz w:val="20"/>
          <w:szCs w:val="20"/>
        </w:rPr>
        <w:t>10,0%</w:t>
      </w:r>
    </w:p>
    <w:p w:rsidR="00D24E61" w:rsidRPr="00771368" w:rsidRDefault="00D24E61">
      <w:pPr>
        <w:spacing w:line="152" w:lineRule="exact"/>
        <w:rPr>
          <w:sz w:val="20"/>
          <w:szCs w:val="20"/>
        </w:rPr>
      </w:pPr>
    </w:p>
    <w:p w:rsidR="00D24E61" w:rsidRPr="00771368" w:rsidRDefault="00D24E61">
      <w:pPr>
        <w:spacing w:line="239" w:lineRule="auto"/>
        <w:jc w:val="right"/>
        <w:rPr>
          <w:sz w:val="20"/>
          <w:szCs w:val="20"/>
        </w:rPr>
      </w:pPr>
      <w:r w:rsidRPr="00771368">
        <w:rPr>
          <w:sz w:val="20"/>
          <w:szCs w:val="20"/>
        </w:rPr>
        <w:t>0,0%</w:t>
      </w:r>
    </w:p>
    <w:p w:rsidR="00D24E61" w:rsidRPr="00771368" w:rsidRDefault="00D24E61">
      <w:pPr>
        <w:spacing w:line="200" w:lineRule="exact"/>
        <w:rPr>
          <w:sz w:val="20"/>
          <w:szCs w:val="20"/>
        </w:rPr>
      </w:pPr>
      <w:r w:rsidRPr="00771368">
        <w:rPr>
          <w:sz w:val="20"/>
          <w:szCs w:val="20"/>
        </w:rPr>
        <w:br w:type="column"/>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2" w:lineRule="exact"/>
        <w:rPr>
          <w:sz w:val="20"/>
          <w:szCs w:val="20"/>
        </w:rPr>
      </w:pPr>
    </w:p>
    <w:p w:rsidR="00D24E61" w:rsidRPr="00771368" w:rsidRDefault="00D24E61">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820"/>
        <w:gridCol w:w="1360"/>
        <w:gridCol w:w="1380"/>
        <w:gridCol w:w="1200"/>
        <w:gridCol w:w="1460"/>
        <w:gridCol w:w="840"/>
      </w:tblGrid>
      <w:tr w:rsidR="00D24E61" w:rsidRPr="00771368">
        <w:trPr>
          <w:trHeight w:val="138"/>
        </w:trPr>
        <w:tc>
          <w:tcPr>
            <w:tcW w:w="820" w:type="dxa"/>
            <w:vAlign w:val="bottom"/>
          </w:tcPr>
          <w:p w:rsidR="00D24E61" w:rsidRPr="00771368" w:rsidRDefault="00D24E61">
            <w:pPr>
              <w:ind w:right="460"/>
              <w:jc w:val="right"/>
              <w:rPr>
                <w:sz w:val="20"/>
                <w:szCs w:val="20"/>
              </w:rPr>
            </w:pPr>
            <w:r w:rsidRPr="00771368">
              <w:rPr>
                <w:sz w:val="12"/>
                <w:szCs w:val="12"/>
              </w:rPr>
              <w:t>1</w:t>
            </w:r>
          </w:p>
        </w:tc>
        <w:tc>
          <w:tcPr>
            <w:tcW w:w="1360" w:type="dxa"/>
            <w:vAlign w:val="bottom"/>
          </w:tcPr>
          <w:p w:rsidR="00D24E61" w:rsidRPr="00771368" w:rsidRDefault="00D24E61">
            <w:pPr>
              <w:ind w:right="520"/>
              <w:jc w:val="right"/>
              <w:rPr>
                <w:sz w:val="20"/>
                <w:szCs w:val="20"/>
              </w:rPr>
            </w:pPr>
            <w:r w:rsidRPr="00771368">
              <w:rPr>
                <w:sz w:val="12"/>
                <w:szCs w:val="12"/>
              </w:rPr>
              <w:t>2</w:t>
            </w:r>
          </w:p>
        </w:tc>
        <w:tc>
          <w:tcPr>
            <w:tcW w:w="1380" w:type="dxa"/>
            <w:vAlign w:val="bottom"/>
          </w:tcPr>
          <w:p w:rsidR="00D24E61" w:rsidRPr="00771368" w:rsidRDefault="00D24E61">
            <w:pPr>
              <w:ind w:right="600"/>
              <w:jc w:val="right"/>
              <w:rPr>
                <w:sz w:val="20"/>
                <w:szCs w:val="20"/>
              </w:rPr>
            </w:pPr>
            <w:r w:rsidRPr="00771368">
              <w:rPr>
                <w:sz w:val="12"/>
                <w:szCs w:val="12"/>
              </w:rPr>
              <w:t>3</w:t>
            </w:r>
          </w:p>
        </w:tc>
        <w:tc>
          <w:tcPr>
            <w:tcW w:w="1200" w:type="dxa"/>
            <w:vAlign w:val="bottom"/>
          </w:tcPr>
          <w:p w:rsidR="00D24E61" w:rsidRPr="00771368" w:rsidRDefault="00D24E61">
            <w:pPr>
              <w:ind w:right="500"/>
              <w:jc w:val="right"/>
              <w:rPr>
                <w:sz w:val="20"/>
                <w:szCs w:val="20"/>
              </w:rPr>
            </w:pPr>
            <w:r w:rsidRPr="00771368">
              <w:rPr>
                <w:sz w:val="12"/>
                <w:szCs w:val="12"/>
              </w:rPr>
              <w:t>4</w:t>
            </w:r>
          </w:p>
        </w:tc>
        <w:tc>
          <w:tcPr>
            <w:tcW w:w="1460" w:type="dxa"/>
            <w:vAlign w:val="bottom"/>
          </w:tcPr>
          <w:p w:rsidR="00D24E61" w:rsidRPr="00771368" w:rsidRDefault="00D24E61">
            <w:pPr>
              <w:jc w:val="center"/>
              <w:rPr>
                <w:sz w:val="20"/>
                <w:szCs w:val="20"/>
              </w:rPr>
            </w:pPr>
            <w:r w:rsidRPr="00771368">
              <w:rPr>
                <w:w w:val="99"/>
                <w:sz w:val="12"/>
                <w:szCs w:val="12"/>
              </w:rPr>
              <w:t>5</w:t>
            </w:r>
          </w:p>
        </w:tc>
        <w:tc>
          <w:tcPr>
            <w:tcW w:w="840" w:type="dxa"/>
            <w:vAlign w:val="bottom"/>
          </w:tcPr>
          <w:p w:rsidR="00D24E61" w:rsidRPr="00771368" w:rsidRDefault="00D24E61">
            <w:pPr>
              <w:ind w:right="200"/>
              <w:jc w:val="right"/>
              <w:rPr>
                <w:sz w:val="20"/>
                <w:szCs w:val="20"/>
              </w:rPr>
            </w:pPr>
            <w:r w:rsidRPr="00771368">
              <w:rPr>
                <w:sz w:val="12"/>
                <w:szCs w:val="12"/>
              </w:rPr>
              <w:t>6</w:t>
            </w:r>
          </w:p>
        </w:tc>
      </w:tr>
      <w:tr w:rsidR="00D24E61" w:rsidRPr="00771368">
        <w:trPr>
          <w:trHeight w:val="365"/>
        </w:trPr>
        <w:tc>
          <w:tcPr>
            <w:tcW w:w="820" w:type="dxa"/>
            <w:vAlign w:val="bottom"/>
          </w:tcPr>
          <w:p w:rsidR="00D24E61" w:rsidRPr="00771368" w:rsidRDefault="00D24E61">
            <w:pPr>
              <w:ind w:right="220"/>
              <w:jc w:val="center"/>
              <w:rPr>
                <w:sz w:val="20"/>
                <w:szCs w:val="20"/>
              </w:rPr>
            </w:pPr>
            <w:r w:rsidRPr="00771368">
              <w:rPr>
                <w:sz w:val="12"/>
                <w:szCs w:val="12"/>
              </w:rPr>
              <w:t>Inexistente</w:t>
            </w:r>
          </w:p>
        </w:tc>
        <w:tc>
          <w:tcPr>
            <w:tcW w:w="1360" w:type="dxa"/>
            <w:vAlign w:val="bottom"/>
          </w:tcPr>
          <w:p w:rsidR="00D24E61" w:rsidRPr="00771368" w:rsidRDefault="00D24E61">
            <w:pPr>
              <w:ind w:left="60"/>
              <w:jc w:val="center"/>
              <w:rPr>
                <w:sz w:val="20"/>
                <w:szCs w:val="20"/>
              </w:rPr>
            </w:pPr>
            <w:r w:rsidRPr="00771368">
              <w:rPr>
                <w:w w:val="99"/>
                <w:sz w:val="12"/>
                <w:szCs w:val="12"/>
              </w:rPr>
              <w:t>Trabalho em grupo</w:t>
            </w:r>
          </w:p>
        </w:tc>
        <w:tc>
          <w:tcPr>
            <w:tcW w:w="1380" w:type="dxa"/>
            <w:vAlign w:val="bottom"/>
          </w:tcPr>
          <w:p w:rsidR="00D24E61" w:rsidRPr="00771368" w:rsidRDefault="00D24E61">
            <w:pPr>
              <w:jc w:val="center"/>
              <w:rPr>
                <w:sz w:val="20"/>
                <w:szCs w:val="20"/>
              </w:rPr>
            </w:pPr>
            <w:r w:rsidRPr="00771368">
              <w:rPr>
                <w:w w:val="98"/>
                <w:sz w:val="12"/>
                <w:szCs w:val="12"/>
              </w:rPr>
              <w:t>De forma ligeira/vaga</w:t>
            </w:r>
          </w:p>
        </w:tc>
        <w:tc>
          <w:tcPr>
            <w:tcW w:w="1200" w:type="dxa"/>
            <w:vAlign w:val="bottom"/>
          </w:tcPr>
          <w:p w:rsidR="00D24E61" w:rsidRPr="00771368" w:rsidRDefault="00D24E61">
            <w:pPr>
              <w:jc w:val="center"/>
              <w:rPr>
                <w:sz w:val="20"/>
                <w:szCs w:val="20"/>
              </w:rPr>
            </w:pPr>
            <w:r w:rsidRPr="00771368">
              <w:rPr>
                <w:w w:val="99"/>
                <w:sz w:val="12"/>
                <w:szCs w:val="12"/>
              </w:rPr>
              <w:t>Com preconceito</w:t>
            </w:r>
          </w:p>
        </w:tc>
        <w:tc>
          <w:tcPr>
            <w:tcW w:w="1460" w:type="dxa"/>
            <w:vAlign w:val="bottom"/>
          </w:tcPr>
          <w:p w:rsidR="00D24E61" w:rsidRPr="00771368" w:rsidRDefault="00D24E61">
            <w:pPr>
              <w:jc w:val="center"/>
              <w:rPr>
                <w:sz w:val="20"/>
                <w:szCs w:val="20"/>
              </w:rPr>
            </w:pPr>
            <w:r w:rsidRPr="00771368">
              <w:rPr>
                <w:sz w:val="12"/>
                <w:szCs w:val="12"/>
              </w:rPr>
              <w:t>Estudos direcionados</w:t>
            </w:r>
          </w:p>
        </w:tc>
        <w:tc>
          <w:tcPr>
            <w:tcW w:w="840" w:type="dxa"/>
            <w:vAlign w:val="bottom"/>
          </w:tcPr>
          <w:p w:rsidR="00D24E61" w:rsidRPr="00771368" w:rsidRDefault="00D24E61">
            <w:pPr>
              <w:ind w:left="200"/>
              <w:jc w:val="center"/>
              <w:rPr>
                <w:sz w:val="20"/>
                <w:szCs w:val="20"/>
              </w:rPr>
            </w:pPr>
            <w:r w:rsidRPr="00771368">
              <w:rPr>
                <w:w w:val="99"/>
                <w:sz w:val="12"/>
                <w:szCs w:val="12"/>
              </w:rPr>
              <w:t>Insegurança</w:t>
            </w:r>
          </w:p>
        </w:tc>
      </w:tr>
      <w:tr w:rsidR="00D24E61" w:rsidRPr="00771368">
        <w:trPr>
          <w:trHeight w:val="154"/>
        </w:trPr>
        <w:tc>
          <w:tcPr>
            <w:tcW w:w="820" w:type="dxa"/>
            <w:vAlign w:val="bottom"/>
          </w:tcPr>
          <w:p w:rsidR="00D24E61" w:rsidRPr="00771368" w:rsidRDefault="00D24E61">
            <w:pPr>
              <w:rPr>
                <w:sz w:val="13"/>
                <w:szCs w:val="13"/>
              </w:rPr>
            </w:pPr>
          </w:p>
        </w:tc>
        <w:tc>
          <w:tcPr>
            <w:tcW w:w="1360" w:type="dxa"/>
            <w:vAlign w:val="bottom"/>
          </w:tcPr>
          <w:p w:rsidR="00D24E61" w:rsidRPr="00771368" w:rsidRDefault="00D24E61">
            <w:pPr>
              <w:rPr>
                <w:sz w:val="13"/>
                <w:szCs w:val="13"/>
              </w:rPr>
            </w:pPr>
          </w:p>
        </w:tc>
        <w:tc>
          <w:tcPr>
            <w:tcW w:w="1380" w:type="dxa"/>
            <w:vAlign w:val="bottom"/>
          </w:tcPr>
          <w:p w:rsidR="00D24E61" w:rsidRPr="00771368" w:rsidRDefault="00D24E61">
            <w:pPr>
              <w:rPr>
                <w:sz w:val="13"/>
                <w:szCs w:val="13"/>
              </w:rPr>
            </w:pPr>
          </w:p>
        </w:tc>
        <w:tc>
          <w:tcPr>
            <w:tcW w:w="1200" w:type="dxa"/>
            <w:vAlign w:val="bottom"/>
          </w:tcPr>
          <w:p w:rsidR="00D24E61" w:rsidRPr="00771368" w:rsidRDefault="00D24E61">
            <w:pPr>
              <w:rPr>
                <w:sz w:val="13"/>
                <w:szCs w:val="13"/>
              </w:rPr>
            </w:pPr>
          </w:p>
        </w:tc>
        <w:tc>
          <w:tcPr>
            <w:tcW w:w="1460" w:type="dxa"/>
            <w:vAlign w:val="bottom"/>
          </w:tcPr>
          <w:p w:rsidR="00D24E61" w:rsidRPr="00771368" w:rsidRDefault="00D24E61">
            <w:pPr>
              <w:jc w:val="center"/>
              <w:rPr>
                <w:sz w:val="20"/>
                <w:szCs w:val="20"/>
              </w:rPr>
            </w:pPr>
            <w:r w:rsidRPr="00771368">
              <w:rPr>
                <w:w w:val="99"/>
                <w:sz w:val="12"/>
                <w:szCs w:val="12"/>
              </w:rPr>
              <w:t>do tema</w:t>
            </w:r>
          </w:p>
        </w:tc>
        <w:tc>
          <w:tcPr>
            <w:tcW w:w="840" w:type="dxa"/>
            <w:vAlign w:val="bottom"/>
          </w:tcPr>
          <w:p w:rsidR="00D24E61" w:rsidRPr="00771368" w:rsidRDefault="00D24E61">
            <w:pPr>
              <w:rPr>
                <w:sz w:val="13"/>
                <w:szCs w:val="13"/>
              </w:rPr>
            </w:pPr>
          </w:p>
        </w:tc>
      </w:tr>
    </w:tbl>
    <w:p w:rsidR="00D24E61" w:rsidRPr="00771368" w:rsidRDefault="00D24E61">
      <w:pPr>
        <w:rPr>
          <w:sz w:val="20"/>
          <w:szCs w:val="20"/>
        </w:rPr>
        <w:sectPr w:rsidR="00D24E61" w:rsidRPr="00771368">
          <w:type w:val="continuous"/>
          <w:pgSz w:w="11900" w:h="16838"/>
          <w:pgMar w:top="1440" w:right="1760" w:bottom="1440" w:left="1666" w:header="0" w:footer="0" w:gutter="0"/>
          <w:cols w:num="3" w:space="720" w:equalWidth="0">
            <w:col w:w="229" w:space="85"/>
            <w:col w:w="520" w:space="580"/>
            <w:col w:w="7060"/>
          </w:cols>
        </w:sectPr>
      </w:pPr>
      <w:r w:rsidRPr="00771368">
        <w:rPr>
          <w:noProof/>
          <w:sz w:val="20"/>
          <w:szCs w:val="20"/>
        </w:rPr>
        <w:drawing>
          <wp:anchor distT="0" distB="0" distL="114300" distR="114300" simplePos="0" relativeHeight="251718656" behindDoc="1" locked="0" layoutInCell="0" allowOverlap="1">
            <wp:simplePos x="0" y="0"/>
            <wp:positionH relativeFrom="column">
              <wp:posOffset>-266700</wp:posOffset>
            </wp:positionH>
            <wp:positionV relativeFrom="paragraph">
              <wp:posOffset>-1908175</wp:posOffset>
            </wp:positionV>
            <wp:extent cx="4975860" cy="1475105"/>
            <wp:effectExtent l="0" t="0" r="0" b="0"/>
            <wp:wrapNone/>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7" cstate="print">
                      <a:extLst/>
                    </a:blip>
                    <a:srcRect/>
                    <a:stretch>
                      <a:fillRect/>
                    </a:stretch>
                  </pic:blipFill>
                  <pic:spPr bwMode="auto">
                    <a:xfrm>
                      <a:off x="0" y="0"/>
                      <a:ext cx="4975860" cy="1475105"/>
                    </a:xfrm>
                    <a:prstGeom prst="rect">
                      <a:avLst/>
                    </a:prstGeom>
                    <a:noFill/>
                  </pic:spPr>
                </pic:pic>
              </a:graphicData>
            </a:graphic>
          </wp:anchor>
        </w:drawing>
      </w:r>
    </w:p>
    <w:p w:rsidR="00D24E61" w:rsidRPr="00771368" w:rsidRDefault="00D24E61">
      <w:pPr>
        <w:spacing w:line="2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
        <w:gridCol w:w="1380"/>
        <w:gridCol w:w="1120"/>
        <w:gridCol w:w="1280"/>
        <w:gridCol w:w="1320"/>
        <w:gridCol w:w="1280"/>
        <w:gridCol w:w="1300"/>
        <w:gridCol w:w="820"/>
        <w:gridCol w:w="20"/>
      </w:tblGrid>
      <w:tr w:rsidR="00D24E61" w:rsidRPr="00771368">
        <w:trPr>
          <w:trHeight w:val="146"/>
        </w:trPr>
        <w:tc>
          <w:tcPr>
            <w:tcW w:w="120" w:type="dxa"/>
            <w:tcBorders>
              <w:bottom w:val="single" w:sz="8" w:space="0" w:color="0070C0"/>
            </w:tcBorders>
            <w:vAlign w:val="bottom"/>
          </w:tcPr>
          <w:p w:rsidR="00D24E61" w:rsidRPr="00771368" w:rsidRDefault="00D24E61">
            <w:pPr>
              <w:rPr>
                <w:sz w:val="12"/>
                <w:szCs w:val="12"/>
              </w:rPr>
            </w:pPr>
          </w:p>
        </w:tc>
        <w:tc>
          <w:tcPr>
            <w:tcW w:w="1380" w:type="dxa"/>
            <w:vAlign w:val="bottom"/>
          </w:tcPr>
          <w:p w:rsidR="00D24E61" w:rsidRPr="00771368" w:rsidRDefault="00D24E61">
            <w:pPr>
              <w:ind w:left="60"/>
              <w:rPr>
                <w:sz w:val="20"/>
                <w:szCs w:val="20"/>
              </w:rPr>
            </w:pPr>
            <w:r w:rsidRPr="00771368">
              <w:rPr>
                <w:sz w:val="12"/>
                <w:szCs w:val="12"/>
              </w:rPr>
              <w:t>Concordo totalmente</w:t>
            </w:r>
          </w:p>
        </w:tc>
        <w:tc>
          <w:tcPr>
            <w:tcW w:w="1120" w:type="dxa"/>
            <w:vAlign w:val="bottom"/>
          </w:tcPr>
          <w:p w:rsidR="00D24E61" w:rsidRPr="00771368" w:rsidRDefault="00D24E61">
            <w:pPr>
              <w:ind w:right="140"/>
              <w:jc w:val="center"/>
              <w:rPr>
                <w:sz w:val="20"/>
                <w:szCs w:val="20"/>
              </w:rPr>
            </w:pPr>
            <w:r w:rsidRPr="00771368">
              <w:rPr>
                <w:w w:val="95"/>
                <w:sz w:val="12"/>
                <w:szCs w:val="12"/>
              </w:rPr>
              <w:t>7,2%</w:t>
            </w:r>
          </w:p>
        </w:tc>
        <w:tc>
          <w:tcPr>
            <w:tcW w:w="1280" w:type="dxa"/>
            <w:vAlign w:val="bottom"/>
          </w:tcPr>
          <w:p w:rsidR="00D24E61" w:rsidRPr="00771368" w:rsidRDefault="00D24E61">
            <w:pPr>
              <w:jc w:val="center"/>
              <w:rPr>
                <w:sz w:val="20"/>
                <w:szCs w:val="20"/>
              </w:rPr>
            </w:pPr>
            <w:r w:rsidRPr="00771368">
              <w:rPr>
                <w:sz w:val="12"/>
                <w:szCs w:val="12"/>
              </w:rPr>
              <w:t>17,6%</w:t>
            </w:r>
          </w:p>
        </w:tc>
        <w:tc>
          <w:tcPr>
            <w:tcW w:w="1320" w:type="dxa"/>
            <w:vAlign w:val="bottom"/>
          </w:tcPr>
          <w:p w:rsidR="00D24E61" w:rsidRPr="00771368" w:rsidRDefault="00D24E61">
            <w:pPr>
              <w:jc w:val="center"/>
              <w:rPr>
                <w:sz w:val="20"/>
                <w:szCs w:val="20"/>
              </w:rPr>
            </w:pPr>
            <w:r w:rsidRPr="00771368">
              <w:rPr>
                <w:w w:val="95"/>
                <w:sz w:val="12"/>
                <w:szCs w:val="12"/>
              </w:rPr>
              <w:t>6,4%</w:t>
            </w:r>
          </w:p>
        </w:tc>
        <w:tc>
          <w:tcPr>
            <w:tcW w:w="1280" w:type="dxa"/>
            <w:vAlign w:val="bottom"/>
          </w:tcPr>
          <w:p w:rsidR="00D24E61" w:rsidRPr="00771368" w:rsidRDefault="00D24E61">
            <w:pPr>
              <w:jc w:val="center"/>
              <w:rPr>
                <w:sz w:val="20"/>
                <w:szCs w:val="20"/>
              </w:rPr>
            </w:pPr>
            <w:r w:rsidRPr="00771368">
              <w:rPr>
                <w:w w:val="95"/>
                <w:sz w:val="12"/>
                <w:szCs w:val="12"/>
              </w:rPr>
              <w:t>5,1%</w:t>
            </w:r>
          </w:p>
        </w:tc>
        <w:tc>
          <w:tcPr>
            <w:tcW w:w="1300" w:type="dxa"/>
            <w:vAlign w:val="bottom"/>
          </w:tcPr>
          <w:p w:rsidR="00D24E61" w:rsidRPr="00771368" w:rsidRDefault="00D24E61">
            <w:pPr>
              <w:jc w:val="center"/>
              <w:rPr>
                <w:sz w:val="20"/>
                <w:szCs w:val="20"/>
              </w:rPr>
            </w:pPr>
            <w:r w:rsidRPr="00771368">
              <w:rPr>
                <w:sz w:val="12"/>
                <w:szCs w:val="12"/>
              </w:rPr>
              <w:t>20,5%</w:t>
            </w:r>
          </w:p>
        </w:tc>
        <w:tc>
          <w:tcPr>
            <w:tcW w:w="820" w:type="dxa"/>
            <w:vAlign w:val="bottom"/>
          </w:tcPr>
          <w:p w:rsidR="00D24E61" w:rsidRPr="00771368" w:rsidRDefault="00D24E61">
            <w:pPr>
              <w:ind w:left="440"/>
              <w:jc w:val="center"/>
              <w:rPr>
                <w:sz w:val="20"/>
                <w:szCs w:val="20"/>
              </w:rPr>
            </w:pPr>
            <w:r w:rsidRPr="00771368">
              <w:rPr>
                <w:w w:val="95"/>
                <w:sz w:val="12"/>
                <w:szCs w:val="12"/>
              </w:rPr>
              <w:t>6,8%</w:t>
            </w:r>
          </w:p>
        </w:tc>
        <w:tc>
          <w:tcPr>
            <w:tcW w:w="0" w:type="dxa"/>
            <w:vAlign w:val="bottom"/>
          </w:tcPr>
          <w:p w:rsidR="00D24E61" w:rsidRPr="00771368" w:rsidRDefault="00D24E61">
            <w:pPr>
              <w:rPr>
                <w:sz w:val="1"/>
                <w:szCs w:val="1"/>
              </w:rPr>
            </w:pPr>
          </w:p>
        </w:tc>
      </w:tr>
      <w:tr w:rsidR="00D24E61" w:rsidRPr="00771368">
        <w:trPr>
          <w:trHeight w:val="347"/>
        </w:trPr>
        <w:tc>
          <w:tcPr>
            <w:tcW w:w="120" w:type="dxa"/>
            <w:tcBorders>
              <w:bottom w:val="single" w:sz="8" w:space="0" w:color="C00000"/>
            </w:tcBorders>
            <w:vAlign w:val="bottom"/>
          </w:tcPr>
          <w:p w:rsidR="00D24E61" w:rsidRPr="00771368" w:rsidRDefault="00D24E61">
            <w:pPr>
              <w:rPr>
                <w:sz w:val="24"/>
                <w:szCs w:val="24"/>
              </w:rPr>
            </w:pPr>
          </w:p>
        </w:tc>
        <w:tc>
          <w:tcPr>
            <w:tcW w:w="1380" w:type="dxa"/>
            <w:vAlign w:val="bottom"/>
          </w:tcPr>
          <w:p w:rsidR="00D24E61" w:rsidRPr="00771368" w:rsidRDefault="00D24E61">
            <w:pPr>
              <w:ind w:left="60"/>
              <w:rPr>
                <w:sz w:val="20"/>
                <w:szCs w:val="20"/>
              </w:rPr>
            </w:pPr>
            <w:r w:rsidRPr="00771368">
              <w:rPr>
                <w:sz w:val="12"/>
                <w:szCs w:val="12"/>
              </w:rPr>
              <w:t>Concordo</w:t>
            </w:r>
          </w:p>
        </w:tc>
        <w:tc>
          <w:tcPr>
            <w:tcW w:w="1120" w:type="dxa"/>
            <w:vAlign w:val="bottom"/>
          </w:tcPr>
          <w:p w:rsidR="00D24E61" w:rsidRPr="00771368" w:rsidRDefault="00D24E61">
            <w:pPr>
              <w:ind w:right="140"/>
              <w:jc w:val="center"/>
              <w:rPr>
                <w:sz w:val="20"/>
                <w:szCs w:val="20"/>
              </w:rPr>
            </w:pPr>
            <w:r w:rsidRPr="00771368">
              <w:rPr>
                <w:w w:val="95"/>
                <w:sz w:val="12"/>
                <w:szCs w:val="12"/>
              </w:rPr>
              <w:t>0,0%</w:t>
            </w:r>
          </w:p>
        </w:tc>
        <w:tc>
          <w:tcPr>
            <w:tcW w:w="1280" w:type="dxa"/>
            <w:vAlign w:val="bottom"/>
          </w:tcPr>
          <w:p w:rsidR="00D24E61" w:rsidRPr="00771368" w:rsidRDefault="00D24E61">
            <w:pPr>
              <w:jc w:val="center"/>
              <w:rPr>
                <w:sz w:val="20"/>
                <w:szCs w:val="20"/>
              </w:rPr>
            </w:pPr>
            <w:r w:rsidRPr="00771368">
              <w:rPr>
                <w:sz w:val="12"/>
                <w:szCs w:val="12"/>
              </w:rPr>
              <w:t>53,6%</w:t>
            </w:r>
          </w:p>
        </w:tc>
        <w:tc>
          <w:tcPr>
            <w:tcW w:w="1320" w:type="dxa"/>
            <w:vAlign w:val="bottom"/>
          </w:tcPr>
          <w:p w:rsidR="00D24E61" w:rsidRPr="00771368" w:rsidRDefault="00D24E61">
            <w:pPr>
              <w:jc w:val="center"/>
              <w:rPr>
                <w:sz w:val="20"/>
                <w:szCs w:val="20"/>
              </w:rPr>
            </w:pPr>
            <w:r w:rsidRPr="00771368">
              <w:rPr>
                <w:sz w:val="12"/>
                <w:szCs w:val="12"/>
              </w:rPr>
              <w:t>35,5%</w:t>
            </w:r>
          </w:p>
        </w:tc>
        <w:tc>
          <w:tcPr>
            <w:tcW w:w="1280" w:type="dxa"/>
            <w:vAlign w:val="bottom"/>
          </w:tcPr>
          <w:p w:rsidR="00D24E61" w:rsidRPr="00771368" w:rsidRDefault="00D24E61">
            <w:pPr>
              <w:jc w:val="center"/>
              <w:rPr>
                <w:sz w:val="20"/>
                <w:szCs w:val="20"/>
              </w:rPr>
            </w:pPr>
            <w:r w:rsidRPr="00771368">
              <w:rPr>
                <w:w w:val="95"/>
                <w:sz w:val="12"/>
                <w:szCs w:val="12"/>
              </w:rPr>
              <w:t>9,8%</w:t>
            </w:r>
          </w:p>
        </w:tc>
        <w:tc>
          <w:tcPr>
            <w:tcW w:w="1300" w:type="dxa"/>
            <w:vAlign w:val="bottom"/>
          </w:tcPr>
          <w:p w:rsidR="00D24E61" w:rsidRPr="00771368" w:rsidRDefault="00D24E61">
            <w:pPr>
              <w:jc w:val="center"/>
              <w:rPr>
                <w:sz w:val="20"/>
                <w:szCs w:val="20"/>
              </w:rPr>
            </w:pPr>
            <w:r w:rsidRPr="00771368">
              <w:rPr>
                <w:sz w:val="12"/>
                <w:szCs w:val="12"/>
              </w:rPr>
              <w:t>50,0%</w:t>
            </w:r>
          </w:p>
        </w:tc>
        <w:tc>
          <w:tcPr>
            <w:tcW w:w="820" w:type="dxa"/>
            <w:vAlign w:val="bottom"/>
          </w:tcPr>
          <w:p w:rsidR="00D24E61" w:rsidRPr="00771368" w:rsidRDefault="00D24E61">
            <w:pPr>
              <w:ind w:left="440"/>
              <w:jc w:val="center"/>
              <w:rPr>
                <w:sz w:val="20"/>
                <w:szCs w:val="20"/>
              </w:rPr>
            </w:pPr>
            <w:r w:rsidRPr="00771368">
              <w:rPr>
                <w:sz w:val="12"/>
                <w:szCs w:val="12"/>
              </w:rPr>
              <w:t>19,2%</w:t>
            </w:r>
          </w:p>
        </w:tc>
        <w:tc>
          <w:tcPr>
            <w:tcW w:w="0" w:type="dxa"/>
            <w:vAlign w:val="bottom"/>
          </w:tcPr>
          <w:p w:rsidR="00D24E61" w:rsidRPr="00771368" w:rsidRDefault="00D24E61">
            <w:pPr>
              <w:rPr>
                <w:sz w:val="1"/>
                <w:szCs w:val="1"/>
              </w:rPr>
            </w:pPr>
          </w:p>
        </w:tc>
      </w:tr>
      <w:tr w:rsidR="00D24E61" w:rsidRPr="00771368">
        <w:trPr>
          <w:trHeight w:val="305"/>
        </w:trPr>
        <w:tc>
          <w:tcPr>
            <w:tcW w:w="120" w:type="dxa"/>
            <w:vAlign w:val="bottom"/>
          </w:tcPr>
          <w:p w:rsidR="00D24E61" w:rsidRPr="00771368" w:rsidRDefault="00D24E61">
            <w:pPr>
              <w:rPr>
                <w:sz w:val="24"/>
                <w:szCs w:val="24"/>
              </w:rPr>
            </w:pPr>
          </w:p>
        </w:tc>
        <w:tc>
          <w:tcPr>
            <w:tcW w:w="1380" w:type="dxa"/>
            <w:vAlign w:val="bottom"/>
          </w:tcPr>
          <w:p w:rsidR="00D24E61" w:rsidRPr="00771368" w:rsidRDefault="00D24E61">
            <w:pPr>
              <w:ind w:left="60"/>
              <w:rPr>
                <w:sz w:val="20"/>
                <w:szCs w:val="20"/>
              </w:rPr>
            </w:pPr>
            <w:r w:rsidRPr="00771368">
              <w:rPr>
                <w:sz w:val="12"/>
                <w:szCs w:val="12"/>
              </w:rPr>
              <w:t>Discordo</w:t>
            </w:r>
          </w:p>
        </w:tc>
        <w:tc>
          <w:tcPr>
            <w:tcW w:w="1120" w:type="dxa"/>
            <w:vAlign w:val="bottom"/>
          </w:tcPr>
          <w:p w:rsidR="00D24E61" w:rsidRPr="00771368" w:rsidRDefault="00D24E61">
            <w:pPr>
              <w:ind w:right="140"/>
              <w:jc w:val="center"/>
              <w:rPr>
                <w:sz w:val="20"/>
                <w:szCs w:val="20"/>
              </w:rPr>
            </w:pPr>
            <w:r w:rsidRPr="00771368">
              <w:rPr>
                <w:sz w:val="12"/>
                <w:szCs w:val="12"/>
              </w:rPr>
              <w:t>50,9%</w:t>
            </w:r>
          </w:p>
        </w:tc>
        <w:tc>
          <w:tcPr>
            <w:tcW w:w="1280" w:type="dxa"/>
            <w:vAlign w:val="bottom"/>
          </w:tcPr>
          <w:p w:rsidR="00D24E61" w:rsidRPr="00771368" w:rsidRDefault="00D24E61">
            <w:pPr>
              <w:jc w:val="center"/>
              <w:rPr>
                <w:sz w:val="20"/>
                <w:szCs w:val="20"/>
              </w:rPr>
            </w:pPr>
            <w:r w:rsidRPr="00771368">
              <w:rPr>
                <w:sz w:val="12"/>
                <w:szCs w:val="12"/>
              </w:rPr>
              <w:t>26,2%</w:t>
            </w:r>
          </w:p>
        </w:tc>
        <w:tc>
          <w:tcPr>
            <w:tcW w:w="1320" w:type="dxa"/>
            <w:vAlign w:val="bottom"/>
          </w:tcPr>
          <w:p w:rsidR="00D24E61" w:rsidRPr="00771368" w:rsidRDefault="00D24E61">
            <w:pPr>
              <w:jc w:val="center"/>
              <w:rPr>
                <w:sz w:val="20"/>
                <w:szCs w:val="20"/>
              </w:rPr>
            </w:pPr>
            <w:r w:rsidRPr="00771368">
              <w:rPr>
                <w:sz w:val="12"/>
                <w:szCs w:val="12"/>
              </w:rPr>
              <w:t>47,0%</w:t>
            </w:r>
          </w:p>
        </w:tc>
        <w:tc>
          <w:tcPr>
            <w:tcW w:w="1280" w:type="dxa"/>
            <w:vAlign w:val="bottom"/>
          </w:tcPr>
          <w:p w:rsidR="00D24E61" w:rsidRPr="00771368" w:rsidRDefault="00D24E61">
            <w:pPr>
              <w:jc w:val="center"/>
              <w:rPr>
                <w:sz w:val="20"/>
                <w:szCs w:val="20"/>
              </w:rPr>
            </w:pPr>
            <w:r w:rsidRPr="00771368">
              <w:rPr>
                <w:sz w:val="12"/>
                <w:szCs w:val="12"/>
              </w:rPr>
              <w:t>53,0%</w:t>
            </w:r>
          </w:p>
        </w:tc>
        <w:tc>
          <w:tcPr>
            <w:tcW w:w="1300" w:type="dxa"/>
            <w:vAlign w:val="bottom"/>
          </w:tcPr>
          <w:p w:rsidR="00D24E61" w:rsidRPr="00771368" w:rsidRDefault="00D24E61">
            <w:pPr>
              <w:jc w:val="center"/>
              <w:rPr>
                <w:sz w:val="20"/>
                <w:szCs w:val="20"/>
              </w:rPr>
            </w:pPr>
            <w:r w:rsidRPr="00771368">
              <w:rPr>
                <w:sz w:val="12"/>
                <w:szCs w:val="12"/>
              </w:rPr>
              <w:t>24,4%</w:t>
            </w:r>
          </w:p>
        </w:tc>
        <w:tc>
          <w:tcPr>
            <w:tcW w:w="820" w:type="dxa"/>
            <w:vAlign w:val="bottom"/>
          </w:tcPr>
          <w:p w:rsidR="00D24E61" w:rsidRPr="00771368" w:rsidRDefault="00D24E61">
            <w:pPr>
              <w:ind w:left="440"/>
              <w:jc w:val="center"/>
              <w:rPr>
                <w:sz w:val="20"/>
                <w:szCs w:val="20"/>
              </w:rPr>
            </w:pPr>
            <w:r w:rsidRPr="00771368">
              <w:rPr>
                <w:sz w:val="12"/>
                <w:szCs w:val="12"/>
              </w:rPr>
              <w:t>53,9%</w:t>
            </w:r>
          </w:p>
        </w:tc>
        <w:tc>
          <w:tcPr>
            <w:tcW w:w="0" w:type="dxa"/>
            <w:vAlign w:val="bottom"/>
          </w:tcPr>
          <w:p w:rsidR="00D24E61" w:rsidRPr="00771368" w:rsidRDefault="00D24E61">
            <w:pPr>
              <w:rPr>
                <w:sz w:val="1"/>
                <w:szCs w:val="1"/>
              </w:rPr>
            </w:pPr>
          </w:p>
        </w:tc>
      </w:tr>
      <w:tr w:rsidR="00D24E61" w:rsidRPr="00771368">
        <w:trPr>
          <w:trHeight w:val="86"/>
        </w:trPr>
        <w:tc>
          <w:tcPr>
            <w:tcW w:w="120" w:type="dxa"/>
            <w:tcBorders>
              <w:right w:val="single" w:sz="8" w:space="0" w:color="92D050"/>
            </w:tcBorders>
            <w:shd w:val="clear" w:color="auto" w:fill="92D050"/>
            <w:vAlign w:val="bottom"/>
          </w:tcPr>
          <w:p w:rsidR="00D24E61" w:rsidRPr="00771368" w:rsidRDefault="00D24E61">
            <w:pPr>
              <w:rPr>
                <w:sz w:val="7"/>
                <w:szCs w:val="7"/>
              </w:rPr>
            </w:pPr>
          </w:p>
        </w:tc>
        <w:tc>
          <w:tcPr>
            <w:tcW w:w="1380" w:type="dxa"/>
            <w:vMerge w:val="restart"/>
            <w:vAlign w:val="bottom"/>
          </w:tcPr>
          <w:p w:rsidR="00D24E61" w:rsidRPr="00771368" w:rsidRDefault="00D24E61">
            <w:pPr>
              <w:ind w:left="60"/>
              <w:rPr>
                <w:sz w:val="20"/>
                <w:szCs w:val="20"/>
              </w:rPr>
            </w:pPr>
            <w:r w:rsidRPr="00771368">
              <w:rPr>
                <w:sz w:val="12"/>
                <w:szCs w:val="12"/>
              </w:rPr>
              <w:t>Discordo totalmente</w:t>
            </w:r>
          </w:p>
        </w:tc>
        <w:tc>
          <w:tcPr>
            <w:tcW w:w="1120" w:type="dxa"/>
            <w:vMerge w:val="restart"/>
            <w:vAlign w:val="bottom"/>
          </w:tcPr>
          <w:p w:rsidR="00D24E61" w:rsidRPr="00771368" w:rsidRDefault="00D24E61">
            <w:pPr>
              <w:ind w:right="140"/>
              <w:jc w:val="center"/>
              <w:rPr>
                <w:sz w:val="20"/>
                <w:szCs w:val="20"/>
              </w:rPr>
            </w:pPr>
            <w:r w:rsidRPr="00771368">
              <w:rPr>
                <w:sz w:val="12"/>
                <w:szCs w:val="12"/>
              </w:rPr>
              <w:t>26,1%</w:t>
            </w:r>
          </w:p>
        </w:tc>
        <w:tc>
          <w:tcPr>
            <w:tcW w:w="1280" w:type="dxa"/>
            <w:vMerge w:val="restart"/>
            <w:vAlign w:val="bottom"/>
          </w:tcPr>
          <w:p w:rsidR="00D24E61" w:rsidRPr="00771368" w:rsidRDefault="00D24E61">
            <w:pPr>
              <w:jc w:val="center"/>
              <w:rPr>
                <w:sz w:val="20"/>
                <w:szCs w:val="20"/>
              </w:rPr>
            </w:pPr>
            <w:r w:rsidRPr="00771368">
              <w:rPr>
                <w:w w:val="95"/>
                <w:sz w:val="12"/>
                <w:szCs w:val="12"/>
              </w:rPr>
              <w:t>2,6%</w:t>
            </w:r>
          </w:p>
        </w:tc>
        <w:tc>
          <w:tcPr>
            <w:tcW w:w="1320" w:type="dxa"/>
            <w:vMerge w:val="restart"/>
            <w:vAlign w:val="bottom"/>
          </w:tcPr>
          <w:p w:rsidR="00D24E61" w:rsidRPr="00771368" w:rsidRDefault="00D24E61">
            <w:pPr>
              <w:jc w:val="center"/>
              <w:rPr>
                <w:sz w:val="20"/>
                <w:szCs w:val="20"/>
              </w:rPr>
            </w:pPr>
            <w:r w:rsidRPr="00771368">
              <w:rPr>
                <w:sz w:val="12"/>
                <w:szCs w:val="12"/>
              </w:rPr>
              <w:t>11,1%</w:t>
            </w:r>
          </w:p>
        </w:tc>
        <w:tc>
          <w:tcPr>
            <w:tcW w:w="1280" w:type="dxa"/>
            <w:vMerge w:val="restart"/>
            <w:vAlign w:val="bottom"/>
          </w:tcPr>
          <w:p w:rsidR="00D24E61" w:rsidRPr="00771368" w:rsidRDefault="00D24E61">
            <w:pPr>
              <w:jc w:val="center"/>
              <w:rPr>
                <w:sz w:val="20"/>
                <w:szCs w:val="20"/>
              </w:rPr>
            </w:pPr>
            <w:r w:rsidRPr="00771368">
              <w:rPr>
                <w:sz w:val="12"/>
                <w:szCs w:val="12"/>
              </w:rPr>
              <w:t>32,1%</w:t>
            </w:r>
          </w:p>
        </w:tc>
        <w:tc>
          <w:tcPr>
            <w:tcW w:w="1300" w:type="dxa"/>
            <w:vMerge w:val="restart"/>
            <w:vAlign w:val="bottom"/>
          </w:tcPr>
          <w:p w:rsidR="00D24E61" w:rsidRPr="00771368" w:rsidRDefault="00D24E61">
            <w:pPr>
              <w:jc w:val="center"/>
              <w:rPr>
                <w:sz w:val="20"/>
                <w:szCs w:val="20"/>
              </w:rPr>
            </w:pPr>
            <w:r w:rsidRPr="00771368">
              <w:rPr>
                <w:w w:val="95"/>
                <w:sz w:val="12"/>
                <w:szCs w:val="12"/>
              </w:rPr>
              <w:t>5,1%</w:t>
            </w:r>
          </w:p>
        </w:tc>
        <w:tc>
          <w:tcPr>
            <w:tcW w:w="820" w:type="dxa"/>
            <w:vMerge w:val="restart"/>
            <w:vAlign w:val="bottom"/>
          </w:tcPr>
          <w:p w:rsidR="00D24E61" w:rsidRPr="00771368" w:rsidRDefault="00D24E61">
            <w:pPr>
              <w:ind w:left="440"/>
              <w:jc w:val="center"/>
              <w:rPr>
                <w:sz w:val="20"/>
                <w:szCs w:val="20"/>
              </w:rPr>
            </w:pPr>
            <w:r w:rsidRPr="00771368">
              <w:rPr>
                <w:sz w:val="12"/>
                <w:szCs w:val="12"/>
              </w:rPr>
              <w:t>20,1%</w:t>
            </w:r>
          </w:p>
        </w:tc>
        <w:tc>
          <w:tcPr>
            <w:tcW w:w="0" w:type="dxa"/>
            <w:vAlign w:val="bottom"/>
          </w:tcPr>
          <w:p w:rsidR="00D24E61" w:rsidRPr="00771368" w:rsidRDefault="00D24E61">
            <w:pPr>
              <w:rPr>
                <w:sz w:val="1"/>
                <w:szCs w:val="1"/>
              </w:rPr>
            </w:pPr>
          </w:p>
        </w:tc>
      </w:tr>
      <w:tr w:rsidR="00D24E61" w:rsidRPr="00771368">
        <w:trPr>
          <w:trHeight w:val="282"/>
        </w:trPr>
        <w:tc>
          <w:tcPr>
            <w:tcW w:w="120" w:type="dxa"/>
            <w:vAlign w:val="bottom"/>
          </w:tcPr>
          <w:p w:rsidR="00D24E61" w:rsidRPr="00771368" w:rsidRDefault="00D24E61">
            <w:pPr>
              <w:rPr>
                <w:sz w:val="24"/>
                <w:szCs w:val="24"/>
              </w:rPr>
            </w:pPr>
          </w:p>
        </w:tc>
        <w:tc>
          <w:tcPr>
            <w:tcW w:w="1380" w:type="dxa"/>
            <w:vMerge/>
            <w:vAlign w:val="bottom"/>
          </w:tcPr>
          <w:p w:rsidR="00D24E61" w:rsidRPr="00771368" w:rsidRDefault="00D24E61">
            <w:pPr>
              <w:rPr>
                <w:sz w:val="24"/>
                <w:szCs w:val="24"/>
              </w:rPr>
            </w:pPr>
          </w:p>
        </w:tc>
        <w:tc>
          <w:tcPr>
            <w:tcW w:w="1120" w:type="dxa"/>
            <w:vMerge/>
            <w:vAlign w:val="bottom"/>
          </w:tcPr>
          <w:p w:rsidR="00D24E61" w:rsidRPr="00771368" w:rsidRDefault="00D24E61">
            <w:pPr>
              <w:rPr>
                <w:sz w:val="24"/>
                <w:szCs w:val="24"/>
              </w:rPr>
            </w:pPr>
          </w:p>
        </w:tc>
        <w:tc>
          <w:tcPr>
            <w:tcW w:w="1280" w:type="dxa"/>
            <w:vMerge/>
            <w:vAlign w:val="bottom"/>
          </w:tcPr>
          <w:p w:rsidR="00D24E61" w:rsidRPr="00771368" w:rsidRDefault="00D24E61">
            <w:pPr>
              <w:rPr>
                <w:sz w:val="24"/>
                <w:szCs w:val="24"/>
              </w:rPr>
            </w:pPr>
          </w:p>
        </w:tc>
        <w:tc>
          <w:tcPr>
            <w:tcW w:w="1320" w:type="dxa"/>
            <w:vMerge/>
            <w:vAlign w:val="bottom"/>
          </w:tcPr>
          <w:p w:rsidR="00D24E61" w:rsidRPr="00771368" w:rsidRDefault="00D24E61">
            <w:pPr>
              <w:rPr>
                <w:sz w:val="24"/>
                <w:szCs w:val="24"/>
              </w:rPr>
            </w:pPr>
          </w:p>
        </w:tc>
        <w:tc>
          <w:tcPr>
            <w:tcW w:w="1280" w:type="dxa"/>
            <w:vMerge/>
            <w:vAlign w:val="bottom"/>
          </w:tcPr>
          <w:p w:rsidR="00D24E61" w:rsidRPr="00771368" w:rsidRDefault="00D24E61">
            <w:pPr>
              <w:rPr>
                <w:sz w:val="24"/>
                <w:szCs w:val="24"/>
              </w:rPr>
            </w:pPr>
          </w:p>
        </w:tc>
        <w:tc>
          <w:tcPr>
            <w:tcW w:w="1300" w:type="dxa"/>
            <w:vMerge/>
            <w:vAlign w:val="bottom"/>
          </w:tcPr>
          <w:p w:rsidR="00D24E61" w:rsidRPr="00771368" w:rsidRDefault="00D24E61">
            <w:pPr>
              <w:rPr>
                <w:sz w:val="24"/>
                <w:szCs w:val="24"/>
              </w:rPr>
            </w:pPr>
          </w:p>
        </w:tc>
        <w:tc>
          <w:tcPr>
            <w:tcW w:w="820" w:type="dxa"/>
            <w:vMerge/>
            <w:vAlign w:val="bottom"/>
          </w:tcPr>
          <w:p w:rsidR="00D24E61" w:rsidRPr="00771368" w:rsidRDefault="00D24E61">
            <w:pPr>
              <w:rPr>
                <w:sz w:val="24"/>
                <w:szCs w:val="24"/>
              </w:rPr>
            </w:pPr>
          </w:p>
        </w:tc>
        <w:tc>
          <w:tcPr>
            <w:tcW w:w="0" w:type="dxa"/>
            <w:vAlign w:val="bottom"/>
          </w:tcPr>
          <w:p w:rsidR="00D24E61" w:rsidRPr="00771368" w:rsidRDefault="00D24E61">
            <w:pPr>
              <w:rPr>
                <w:sz w:val="1"/>
                <w:szCs w:val="1"/>
              </w:rPr>
            </w:pPr>
          </w:p>
        </w:tc>
      </w:tr>
      <w:tr w:rsidR="00D24E61" w:rsidRPr="00771368">
        <w:trPr>
          <w:trHeight w:val="86"/>
        </w:trPr>
        <w:tc>
          <w:tcPr>
            <w:tcW w:w="120" w:type="dxa"/>
            <w:tcBorders>
              <w:right w:val="single" w:sz="8" w:space="0" w:color="5F497A"/>
            </w:tcBorders>
            <w:shd w:val="clear" w:color="auto" w:fill="5F497A"/>
            <w:vAlign w:val="bottom"/>
          </w:tcPr>
          <w:p w:rsidR="00D24E61" w:rsidRPr="00771368" w:rsidRDefault="00D24E61">
            <w:pPr>
              <w:rPr>
                <w:sz w:val="7"/>
                <w:szCs w:val="7"/>
              </w:rPr>
            </w:pPr>
          </w:p>
        </w:tc>
        <w:tc>
          <w:tcPr>
            <w:tcW w:w="1380" w:type="dxa"/>
            <w:vAlign w:val="bottom"/>
          </w:tcPr>
          <w:p w:rsidR="00D24E61" w:rsidRPr="00771368" w:rsidRDefault="00D24E61">
            <w:pPr>
              <w:rPr>
                <w:sz w:val="7"/>
                <w:szCs w:val="7"/>
              </w:rPr>
            </w:pPr>
          </w:p>
        </w:tc>
        <w:tc>
          <w:tcPr>
            <w:tcW w:w="1120" w:type="dxa"/>
            <w:vAlign w:val="bottom"/>
          </w:tcPr>
          <w:p w:rsidR="00D24E61" w:rsidRPr="00771368" w:rsidRDefault="00D24E61">
            <w:pPr>
              <w:rPr>
                <w:sz w:val="7"/>
                <w:szCs w:val="7"/>
              </w:rPr>
            </w:pPr>
          </w:p>
        </w:tc>
        <w:tc>
          <w:tcPr>
            <w:tcW w:w="1280" w:type="dxa"/>
            <w:vAlign w:val="bottom"/>
          </w:tcPr>
          <w:p w:rsidR="00D24E61" w:rsidRPr="00771368" w:rsidRDefault="00D24E61">
            <w:pPr>
              <w:rPr>
                <w:sz w:val="7"/>
                <w:szCs w:val="7"/>
              </w:rPr>
            </w:pPr>
          </w:p>
        </w:tc>
        <w:tc>
          <w:tcPr>
            <w:tcW w:w="1320" w:type="dxa"/>
            <w:vAlign w:val="bottom"/>
          </w:tcPr>
          <w:p w:rsidR="00D24E61" w:rsidRPr="00771368" w:rsidRDefault="00D24E61">
            <w:pPr>
              <w:rPr>
                <w:sz w:val="7"/>
                <w:szCs w:val="7"/>
              </w:rPr>
            </w:pPr>
          </w:p>
        </w:tc>
        <w:tc>
          <w:tcPr>
            <w:tcW w:w="1280" w:type="dxa"/>
            <w:vAlign w:val="bottom"/>
          </w:tcPr>
          <w:p w:rsidR="00D24E61" w:rsidRPr="00771368" w:rsidRDefault="00D24E61">
            <w:pPr>
              <w:rPr>
                <w:sz w:val="7"/>
                <w:szCs w:val="7"/>
              </w:rPr>
            </w:pPr>
          </w:p>
        </w:tc>
        <w:tc>
          <w:tcPr>
            <w:tcW w:w="1300" w:type="dxa"/>
            <w:vAlign w:val="bottom"/>
          </w:tcPr>
          <w:p w:rsidR="00D24E61" w:rsidRPr="00771368" w:rsidRDefault="00D24E61">
            <w:pPr>
              <w:rPr>
                <w:sz w:val="7"/>
                <w:szCs w:val="7"/>
              </w:rPr>
            </w:pPr>
          </w:p>
        </w:tc>
        <w:tc>
          <w:tcPr>
            <w:tcW w:w="820" w:type="dxa"/>
            <w:vAlign w:val="bottom"/>
          </w:tcPr>
          <w:p w:rsidR="00D24E61" w:rsidRPr="00771368" w:rsidRDefault="00D24E61">
            <w:pPr>
              <w:rPr>
                <w:sz w:val="7"/>
                <w:szCs w:val="7"/>
              </w:rPr>
            </w:pPr>
          </w:p>
        </w:tc>
        <w:tc>
          <w:tcPr>
            <w:tcW w:w="0" w:type="dxa"/>
            <w:vAlign w:val="bottom"/>
          </w:tcPr>
          <w:p w:rsidR="00D24E61" w:rsidRPr="00771368" w:rsidRDefault="00D24E61">
            <w:pPr>
              <w:rPr>
                <w:sz w:val="1"/>
                <w:szCs w:val="1"/>
              </w:rPr>
            </w:pPr>
          </w:p>
        </w:tc>
      </w:tr>
    </w:tbl>
    <w:p w:rsidR="00D24E61" w:rsidRPr="00771368" w:rsidRDefault="00013211">
      <w:pPr>
        <w:spacing w:line="201" w:lineRule="exact"/>
        <w:rPr>
          <w:sz w:val="20"/>
          <w:szCs w:val="20"/>
        </w:rPr>
      </w:pPr>
      <w:r>
        <w:rPr>
          <w:noProof/>
          <w:sz w:val="20"/>
          <w:szCs w:val="20"/>
        </w:rPr>
        <mc:AlternateContent>
          <mc:Choice Requires="wps">
            <w:drawing>
              <wp:anchor distT="0" distB="0" distL="0" distR="0" simplePos="0" relativeHeight="251742720" behindDoc="0" locked="0" layoutInCell="0" allowOverlap="1">
                <wp:simplePos x="0" y="0"/>
                <wp:positionH relativeFrom="column">
                  <wp:posOffset>-3810</wp:posOffset>
                </wp:positionH>
                <wp:positionV relativeFrom="paragraph">
                  <wp:posOffset>-774065</wp:posOffset>
                </wp:positionV>
                <wp:extent cx="0" cy="64135"/>
                <wp:effectExtent l="5715" t="6985" r="13335" b="5080"/>
                <wp:wrapNone/>
                <wp:docPr id="187"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9" o:spid="_x0000_s1026" style="position:absolute;z-index:25174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60.95pt" to="-.3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" o:allowincell="f" strokecolor="#0070c0"/>
            </w:pict>
          </mc:Fallback>
        </mc:AlternateContent>
      </w:r>
      <w:r>
        <w:rPr>
          <w:noProof/>
          <w:sz w:val="20"/>
          <w:szCs w:val="20"/>
        </w:rPr>
        <mc:AlternateContent>
          <mc:Choice Requires="wps">
            <w:drawing>
              <wp:anchor distT="0" distB="0" distL="0" distR="0" simplePos="0" relativeHeight="251743744" behindDoc="0" locked="0" layoutInCell="0" allowOverlap="1">
                <wp:simplePos x="0" y="0"/>
                <wp:positionH relativeFrom="column">
                  <wp:posOffset>64135</wp:posOffset>
                </wp:positionH>
                <wp:positionV relativeFrom="paragraph">
                  <wp:posOffset>-774065</wp:posOffset>
                </wp:positionV>
                <wp:extent cx="0" cy="64135"/>
                <wp:effectExtent l="6985" t="6985" r="12065" b="5080"/>
                <wp:wrapNone/>
                <wp:docPr id="18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4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5pt,-60.95pt" to="5.0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" o:allowincell="f" strokecolor="#0070c0"/>
            </w:pict>
          </mc:Fallback>
        </mc:AlternateContent>
      </w:r>
      <w:r>
        <w:rPr>
          <w:noProof/>
          <w:sz w:val="20"/>
          <w:szCs w:val="20"/>
        </w:rPr>
        <mc:AlternateContent>
          <mc:Choice Requires="wps">
            <w:drawing>
              <wp:anchor distT="0" distB="0" distL="0" distR="0" simplePos="0" relativeHeight="251744768" behindDoc="0" locked="0" layoutInCell="0" allowOverlap="1">
                <wp:simplePos x="0" y="0"/>
                <wp:positionH relativeFrom="column">
                  <wp:posOffset>-8255</wp:posOffset>
                </wp:positionH>
                <wp:positionV relativeFrom="paragraph">
                  <wp:posOffset>-768985</wp:posOffset>
                </wp:positionV>
                <wp:extent cx="76835" cy="0"/>
                <wp:effectExtent l="10795" t="12065" r="7620" b="6985"/>
                <wp:wrapNone/>
                <wp:docPr id="18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74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pt,-60.55pt" to="5.4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" o:allowincell="f" strokecolor="#0070c0"/>
            </w:pict>
          </mc:Fallback>
        </mc:AlternateContent>
      </w:r>
      <w:r>
        <w:rPr>
          <w:noProof/>
          <w:sz w:val="20"/>
          <w:szCs w:val="20"/>
        </w:rPr>
        <mc:AlternateContent>
          <mc:Choice Requires="wps">
            <w:drawing>
              <wp:anchor distT="0" distB="0" distL="0" distR="0" simplePos="0" relativeHeight="251745792" behindDoc="0" locked="0" layoutInCell="0" allowOverlap="1">
                <wp:simplePos x="0" y="0"/>
                <wp:positionH relativeFrom="column">
                  <wp:posOffset>-8255</wp:posOffset>
                </wp:positionH>
                <wp:positionV relativeFrom="paragraph">
                  <wp:posOffset>-714375</wp:posOffset>
                </wp:positionV>
                <wp:extent cx="76835" cy="0"/>
                <wp:effectExtent l="10795" t="9525" r="7620" b="9525"/>
                <wp:wrapNone/>
                <wp:docPr id="18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745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pt,-56.25pt" to="5.4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" o:allowincell="f" strokecolor="#0070c0"/>
            </w:pict>
          </mc:Fallback>
        </mc:AlternateContent>
      </w:r>
      <w:r>
        <w:rPr>
          <w:noProof/>
          <w:sz w:val="20"/>
          <w:szCs w:val="20"/>
        </w:rPr>
        <mc:AlternateContent>
          <mc:Choice Requires="wps">
            <w:drawing>
              <wp:anchor distT="0" distB="0" distL="0" distR="0" simplePos="0" relativeHeight="251746816" behindDoc="0" locked="0" layoutInCell="0" allowOverlap="1">
                <wp:simplePos x="0" y="0"/>
                <wp:positionH relativeFrom="column">
                  <wp:posOffset>-3810</wp:posOffset>
                </wp:positionH>
                <wp:positionV relativeFrom="paragraph">
                  <wp:posOffset>-541020</wp:posOffset>
                </wp:positionV>
                <wp:extent cx="0" cy="64135"/>
                <wp:effectExtent l="5715" t="11430" r="13335" b="10160"/>
                <wp:wrapNone/>
                <wp:docPr id="18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46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42.6pt" to="-.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DFEwIAACo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" o:allowincell="f" strokecolor="#c00000"/>
            </w:pict>
          </mc:Fallback>
        </mc:AlternateContent>
      </w:r>
      <w:r>
        <w:rPr>
          <w:noProof/>
          <w:sz w:val="20"/>
          <w:szCs w:val="20"/>
        </w:rPr>
        <mc:AlternateContent>
          <mc:Choice Requires="wps">
            <w:drawing>
              <wp:anchor distT="0" distB="0" distL="0" distR="0" simplePos="0" relativeHeight="251747840" behindDoc="0" locked="0" layoutInCell="0" allowOverlap="1">
                <wp:simplePos x="0" y="0"/>
                <wp:positionH relativeFrom="column">
                  <wp:posOffset>64135</wp:posOffset>
                </wp:positionH>
                <wp:positionV relativeFrom="paragraph">
                  <wp:posOffset>-541020</wp:posOffset>
                </wp:positionV>
                <wp:extent cx="0" cy="64135"/>
                <wp:effectExtent l="6985" t="11430" r="12065" b="10160"/>
                <wp:wrapNone/>
                <wp:docPr id="182"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74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5pt,-42.6pt" to="5.0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uFAIAACo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" o:allowincell="f" strokecolor="#c00000"/>
            </w:pict>
          </mc:Fallback>
        </mc:AlternateContent>
      </w:r>
      <w:r>
        <w:rPr>
          <w:noProof/>
          <w:sz w:val="20"/>
          <w:szCs w:val="20"/>
        </w:rPr>
        <mc:AlternateContent>
          <mc:Choice Requires="wps">
            <w:drawing>
              <wp:anchor distT="0" distB="0" distL="0" distR="0" simplePos="0" relativeHeight="251748864" behindDoc="0" locked="0" layoutInCell="0" allowOverlap="1">
                <wp:simplePos x="0" y="0"/>
                <wp:positionH relativeFrom="column">
                  <wp:posOffset>-8255</wp:posOffset>
                </wp:positionH>
                <wp:positionV relativeFrom="paragraph">
                  <wp:posOffset>-536575</wp:posOffset>
                </wp:positionV>
                <wp:extent cx="76835" cy="0"/>
                <wp:effectExtent l="10795" t="6350" r="7620" b="12700"/>
                <wp:wrapNone/>
                <wp:docPr id="18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748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pt,-42.25pt" to="5.4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R2FgIAACo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" o:allowincell="f" strokecolor="#c00000"/>
            </w:pict>
          </mc:Fallback>
        </mc:AlternateContent>
      </w:r>
      <w:r>
        <w:rPr>
          <w:noProof/>
          <w:sz w:val="20"/>
          <w:szCs w:val="20"/>
        </w:rPr>
        <mc:AlternateContent>
          <mc:Choice Requires="wps">
            <w:drawing>
              <wp:anchor distT="0" distB="0" distL="0" distR="0" simplePos="0" relativeHeight="251749888" behindDoc="0" locked="0" layoutInCell="0" allowOverlap="1">
                <wp:simplePos x="0" y="0"/>
                <wp:positionH relativeFrom="column">
                  <wp:posOffset>-8255</wp:posOffset>
                </wp:positionH>
                <wp:positionV relativeFrom="paragraph">
                  <wp:posOffset>-481965</wp:posOffset>
                </wp:positionV>
                <wp:extent cx="76835" cy="0"/>
                <wp:effectExtent l="10795" t="13335" r="7620" b="5715"/>
                <wp:wrapNone/>
                <wp:docPr id="180"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6" o:spid="_x0000_s1026" style="position:absolute;z-index:25174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pt,-37.95pt" to="5.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" o:allowincell="f" strokecolor="#c00000"/>
            </w:pict>
          </mc:Fallback>
        </mc:AlternateContent>
      </w:r>
      <w:r>
        <w:rPr>
          <w:noProof/>
          <w:sz w:val="20"/>
          <w:szCs w:val="20"/>
        </w:rPr>
        <mc:AlternateContent>
          <mc:Choice Requires="wps">
            <w:drawing>
              <wp:anchor distT="0" distB="0" distL="0" distR="0" simplePos="0" relativeHeight="251750912" behindDoc="0" locked="0" layoutInCell="0" allowOverlap="1">
                <wp:simplePos x="0" y="0"/>
                <wp:positionH relativeFrom="column">
                  <wp:posOffset>0</wp:posOffset>
                </wp:positionH>
                <wp:positionV relativeFrom="paragraph">
                  <wp:posOffset>-292735</wp:posOffset>
                </wp:positionV>
                <wp:extent cx="0" cy="64135"/>
                <wp:effectExtent l="9525" t="12065" r="9525" b="9525"/>
                <wp:wrapNone/>
                <wp:docPr id="179"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7" o:spid="_x0000_s1026" style="position:absolute;z-index:25175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3.05pt" to="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" o:allowincell="f" strokecolor="#92d050"/>
            </w:pict>
          </mc:Fallback>
        </mc:AlternateContent>
      </w:r>
      <w:r>
        <w:rPr>
          <w:noProof/>
          <w:sz w:val="20"/>
          <w:szCs w:val="20"/>
        </w:rPr>
        <mc:AlternateContent>
          <mc:Choice Requires="wps">
            <w:drawing>
              <wp:anchor distT="0" distB="0" distL="0" distR="0" simplePos="0" relativeHeight="251751936" behindDoc="0" locked="0" layoutInCell="0" allowOverlap="1">
                <wp:simplePos x="0" y="0"/>
                <wp:positionH relativeFrom="column">
                  <wp:posOffset>67310</wp:posOffset>
                </wp:positionH>
                <wp:positionV relativeFrom="paragraph">
                  <wp:posOffset>-292735</wp:posOffset>
                </wp:positionV>
                <wp:extent cx="0" cy="64135"/>
                <wp:effectExtent l="10160" t="12065" r="8890" b="9525"/>
                <wp:wrapNone/>
                <wp:docPr id="17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8" o:spid="_x0000_s1026" style="position:absolute;z-index:25175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pt,-23.05pt" to="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" o:allowincell="f" strokecolor="#92d050"/>
            </w:pict>
          </mc:Fallback>
        </mc:AlternateContent>
      </w:r>
      <w:r>
        <w:rPr>
          <w:noProof/>
          <w:sz w:val="20"/>
          <w:szCs w:val="20"/>
        </w:rPr>
        <mc:AlternateContent>
          <mc:Choice Requires="wps">
            <w:drawing>
              <wp:anchor distT="0" distB="0" distL="0" distR="0" simplePos="0" relativeHeight="251752960" behindDoc="0" locked="0" layoutInCell="0" allowOverlap="1">
                <wp:simplePos x="0" y="0"/>
                <wp:positionH relativeFrom="column">
                  <wp:posOffset>-4445</wp:posOffset>
                </wp:positionH>
                <wp:positionV relativeFrom="paragraph">
                  <wp:posOffset>-288290</wp:posOffset>
                </wp:positionV>
                <wp:extent cx="76835" cy="0"/>
                <wp:effectExtent l="5080" t="6985" r="13335" b="12065"/>
                <wp:wrapNone/>
                <wp:docPr id="177"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9" o:spid="_x0000_s1026" style="position:absolute;z-index:25175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22.7pt" to="5.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" o:allowincell="f" strokecolor="#92d050"/>
            </w:pict>
          </mc:Fallback>
        </mc:AlternateContent>
      </w:r>
      <w:r>
        <w:rPr>
          <w:noProof/>
          <w:sz w:val="20"/>
          <w:szCs w:val="20"/>
        </w:rPr>
        <mc:AlternateContent>
          <mc:Choice Requires="wps">
            <w:drawing>
              <wp:anchor distT="0" distB="0" distL="0" distR="0" simplePos="0" relativeHeight="251753984" behindDoc="0" locked="0" layoutInCell="0" allowOverlap="1">
                <wp:simplePos x="0" y="0"/>
                <wp:positionH relativeFrom="column">
                  <wp:posOffset>-4445</wp:posOffset>
                </wp:positionH>
                <wp:positionV relativeFrom="paragraph">
                  <wp:posOffset>-233045</wp:posOffset>
                </wp:positionV>
                <wp:extent cx="76835" cy="0"/>
                <wp:effectExtent l="5080" t="5080" r="13335" b="13970"/>
                <wp:wrapNone/>
                <wp:docPr id="176"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0" o:spid="_x0000_s1026" style="position:absolute;z-index:25175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18.35pt" to="5.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" o:allowincell="f" strokecolor="#92d050"/>
            </w:pict>
          </mc:Fallback>
        </mc:AlternateContent>
      </w:r>
      <w:r>
        <w:rPr>
          <w:noProof/>
          <w:sz w:val="20"/>
          <w:szCs w:val="20"/>
        </w:rPr>
        <mc:AlternateContent>
          <mc:Choice Requires="wps">
            <w:drawing>
              <wp:anchor distT="0" distB="0" distL="0" distR="0" simplePos="0" relativeHeight="251755008" behindDoc="0" locked="0" layoutInCell="0" allowOverlap="1">
                <wp:simplePos x="0" y="0"/>
                <wp:positionH relativeFrom="column">
                  <wp:posOffset>0</wp:posOffset>
                </wp:positionH>
                <wp:positionV relativeFrom="paragraph">
                  <wp:posOffset>-59055</wp:posOffset>
                </wp:positionV>
                <wp:extent cx="0" cy="63500"/>
                <wp:effectExtent l="9525" t="7620" r="9525" b="5080"/>
                <wp:wrapNone/>
                <wp:docPr id="175"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1" o:spid="_x0000_s1026" style="position:absolute;z-index:25175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65pt" to="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" o:allowincell="f" strokecolor="#5f497a"/>
            </w:pict>
          </mc:Fallback>
        </mc:AlternateContent>
      </w:r>
      <w:r>
        <w:rPr>
          <w:noProof/>
          <w:sz w:val="20"/>
          <w:szCs w:val="20"/>
        </w:rPr>
        <mc:AlternateContent>
          <mc:Choice Requires="wps">
            <w:drawing>
              <wp:anchor distT="0" distB="0" distL="0" distR="0" simplePos="0" relativeHeight="251756032" behindDoc="0" locked="0" layoutInCell="0" allowOverlap="1">
                <wp:simplePos x="0" y="0"/>
                <wp:positionH relativeFrom="column">
                  <wp:posOffset>67310</wp:posOffset>
                </wp:positionH>
                <wp:positionV relativeFrom="paragraph">
                  <wp:posOffset>-59055</wp:posOffset>
                </wp:positionV>
                <wp:extent cx="0" cy="63500"/>
                <wp:effectExtent l="10160" t="7620" r="8890" b="5080"/>
                <wp:wrapNone/>
                <wp:docPr id="174"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2" o:spid="_x0000_s1026" style="position:absolute;z-index:25175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pt,-4.65pt" to="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" o:allowincell="f" strokecolor="#5f497a"/>
            </w:pict>
          </mc:Fallback>
        </mc:AlternateContent>
      </w:r>
      <w:r>
        <w:rPr>
          <w:noProof/>
          <w:sz w:val="20"/>
          <w:szCs w:val="20"/>
        </w:rPr>
        <mc:AlternateContent>
          <mc:Choice Requires="wps">
            <w:drawing>
              <wp:anchor distT="0" distB="0" distL="0" distR="0" simplePos="0" relativeHeight="251757056" behindDoc="0" locked="0" layoutInCell="0" allowOverlap="1">
                <wp:simplePos x="0" y="0"/>
                <wp:positionH relativeFrom="column">
                  <wp:posOffset>-4445</wp:posOffset>
                </wp:positionH>
                <wp:positionV relativeFrom="paragraph">
                  <wp:posOffset>-54610</wp:posOffset>
                </wp:positionV>
                <wp:extent cx="76835" cy="0"/>
                <wp:effectExtent l="5080" t="12065" r="13335" b="6985"/>
                <wp:wrapNone/>
                <wp:docPr id="17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3" o:spid="_x0000_s1026" style="position:absolute;z-index:25175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4.3pt" to="5.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" o:allowincell="f" strokecolor="#5f497a"/>
            </w:pict>
          </mc:Fallback>
        </mc:AlternateContent>
      </w:r>
      <w:r>
        <w:rPr>
          <w:noProof/>
          <w:sz w:val="20"/>
          <w:szCs w:val="20"/>
        </w:rPr>
        <mc:AlternateContent>
          <mc:Choice Requires="wps">
            <w:drawing>
              <wp:anchor distT="0" distB="0" distL="0" distR="0" simplePos="0" relativeHeight="251758080" behindDoc="0" locked="0" layoutInCell="0" allowOverlap="1">
                <wp:simplePos x="0" y="0"/>
                <wp:positionH relativeFrom="column">
                  <wp:posOffset>-4445</wp:posOffset>
                </wp:positionH>
                <wp:positionV relativeFrom="paragraph">
                  <wp:posOffset>0</wp:posOffset>
                </wp:positionV>
                <wp:extent cx="76835" cy="0"/>
                <wp:effectExtent l="5080" t="9525" r="13335" b="9525"/>
                <wp:wrapNone/>
                <wp:docPr id="172"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4" o:spid="_x0000_s1026" style="position:absolute;z-index:25175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0" to="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" o:allowincell="f" strokecolor="#5f497a"/>
            </w:pict>
          </mc:Fallback>
        </mc:AlternateContent>
      </w:r>
    </w:p>
    <w:p w:rsidR="00D24E61" w:rsidRPr="00771368" w:rsidRDefault="00D24E61">
      <w:pPr>
        <w:spacing w:line="379" w:lineRule="auto"/>
        <w:ind w:left="40" w:firstLine="1133"/>
        <w:jc w:val="both"/>
        <w:rPr>
          <w:sz w:val="20"/>
          <w:szCs w:val="20"/>
        </w:rPr>
      </w:pPr>
      <w:r w:rsidRPr="00771368">
        <w:rPr>
          <w:sz w:val="24"/>
          <w:szCs w:val="24"/>
        </w:rPr>
        <w:t>Vê-se neste quadro 3 que o estudante percebe pois, que o docente não está amplamente preparado para lidar e tratar de assuntos que falem de relações de gênero, e Carvalho (2009, p. 54) acorda que vários professores quando questionados acerca das questões relacionadas à diferenças e à diversidade cultural indicam que estas são questões problemas no panorama educacional. Estes “são unânimes em mostrar como as temáticas da diversidade de gênero, geração, sexualidade, etnia (é curioso como o tema do racismo não aparece nas falas dos professores! Nas discussões em sala de aula, percebemos como a invisibilidade do tema parece estar ligada a um racismo arraigado e de difícil problematização, ou será que usamos etnia quando a referencia deles é raça, ou será que há uma sensibilidade contra o emprego do termo raça por outra contações que traz?) se constituem como um problema para a escola, mesmo com os programas de formação de professores e de professoras a escola em suas práticas pedagógicas de organização continua ela mesma reproduzindo desigualdade social baseada na diferença cultural”.</w:t>
      </w:r>
    </w:p>
    <w:p w:rsidR="00D24E61" w:rsidRPr="00771368" w:rsidRDefault="00D24E61">
      <w:pPr>
        <w:spacing w:line="273" w:lineRule="exact"/>
        <w:rPr>
          <w:sz w:val="20"/>
          <w:szCs w:val="20"/>
        </w:rPr>
      </w:pPr>
    </w:p>
    <w:p w:rsidR="00D24E61" w:rsidRPr="00771368" w:rsidRDefault="00D24E61">
      <w:pPr>
        <w:spacing w:line="371" w:lineRule="auto"/>
        <w:ind w:left="40" w:firstLine="1133"/>
        <w:jc w:val="both"/>
        <w:rPr>
          <w:sz w:val="20"/>
          <w:szCs w:val="20"/>
        </w:rPr>
      </w:pPr>
      <w:r w:rsidRPr="00771368">
        <w:rPr>
          <w:sz w:val="24"/>
          <w:szCs w:val="24"/>
        </w:rPr>
        <w:t>Na tabela 4 temos a distribuição das implicações que o estudo sobre gênero na escola influenciaria na formação do aluno. Através dela observa-se que 91,9% (215 casos) dos alunos concordam que o trabalho de gênero na escola ampliaria a aprendizagem dele e, ainda, 91,9% (215 casos) deles discordam/discordam totalmente que o trabalho sobre gênero lhes traria sentimentos negativos. Com relação implicações de conhecimentos humanos como</w:t>
      </w:r>
    </w:p>
    <w:p w:rsidR="00D24E61" w:rsidRPr="00771368" w:rsidRDefault="00D24E61">
      <w:pPr>
        <w:sectPr w:rsidR="00D24E61" w:rsidRPr="00771368">
          <w:type w:val="continuous"/>
          <w:pgSz w:w="11900" w:h="16838"/>
          <w:pgMar w:top="1440" w:right="1420" w:bottom="1440" w:left="1380" w:header="0" w:footer="0" w:gutter="0"/>
          <w:cols w:space="720" w:equalWidth="0">
            <w:col w:w="9100"/>
          </w:cols>
        </w:sectPr>
      </w:pPr>
    </w:p>
    <w:p w:rsidR="00D24E61" w:rsidRPr="00771368" w:rsidRDefault="00D24E61">
      <w:pPr>
        <w:spacing w:line="25" w:lineRule="exact"/>
        <w:rPr>
          <w:sz w:val="20"/>
          <w:szCs w:val="20"/>
        </w:rPr>
      </w:pPr>
    </w:p>
    <w:p w:rsidR="00D24E61" w:rsidRPr="00771368" w:rsidRDefault="00D24E61">
      <w:pPr>
        <w:spacing w:line="374" w:lineRule="auto"/>
        <w:ind w:left="120"/>
        <w:jc w:val="both"/>
        <w:rPr>
          <w:sz w:val="20"/>
          <w:szCs w:val="20"/>
        </w:rPr>
      </w:pPr>
      <w:r w:rsidRPr="00771368">
        <w:rPr>
          <w:sz w:val="24"/>
          <w:szCs w:val="24"/>
        </w:rPr>
        <w:t>conseqüência da prática do estudo sobre gênero, 95,7% (224 casos) dos alunos concorda que a prática do gênero lhes traria conhecimentos sobre esses direitos. Com relação a queda no rendimento escolar, baixa autoestima, dificuldades de relacionamento, desinteresse pelo assunto e revolta, mais de 81% dos alunos discordaram que o ensino sobre gênero venha lhes trazer essas implicações e ainda 91,1% (213 casos) dos alunos afirmam que o estudo de gênero vai lhes trazer uma nova opinião sobre o tema.</w:t>
      </w:r>
    </w:p>
    <w:p w:rsidR="00D24E61" w:rsidRPr="00771368" w:rsidRDefault="00D24E61">
      <w:pPr>
        <w:spacing w:line="272" w:lineRule="exact"/>
        <w:rPr>
          <w:sz w:val="20"/>
          <w:szCs w:val="20"/>
        </w:rPr>
      </w:pPr>
    </w:p>
    <w:p w:rsidR="00D24E61" w:rsidRPr="00771368" w:rsidRDefault="00D24E61">
      <w:pPr>
        <w:spacing w:line="215" w:lineRule="auto"/>
        <w:ind w:left="120"/>
        <w:jc w:val="both"/>
        <w:rPr>
          <w:sz w:val="20"/>
          <w:szCs w:val="20"/>
        </w:rPr>
      </w:pPr>
      <w:r w:rsidRPr="00771368">
        <w:rPr>
          <w:b/>
          <w:bCs/>
          <w:sz w:val="24"/>
          <w:szCs w:val="24"/>
        </w:rPr>
        <w:t>Tabela 4</w:t>
      </w:r>
      <w:r w:rsidRPr="00771368">
        <w:rPr>
          <w:sz w:val="24"/>
          <w:szCs w:val="24"/>
        </w:rPr>
        <w:t>. Distribuição das implicações que o estudo sobre gênero na escola influenciaria na</w:t>
      </w:r>
      <w:r w:rsidRPr="00771368">
        <w:rPr>
          <w:b/>
          <w:bCs/>
          <w:sz w:val="24"/>
          <w:szCs w:val="24"/>
        </w:rPr>
        <w:t xml:space="preserve"> </w:t>
      </w:r>
      <w:r w:rsidRPr="00771368">
        <w:rPr>
          <w:sz w:val="24"/>
          <w:szCs w:val="24"/>
        </w:rPr>
        <w:t>formação do aluno.</w:t>
      </w:r>
    </w:p>
    <w:p w:rsidR="00D24E61" w:rsidRPr="00771368" w:rsidRDefault="00D24E61">
      <w:pPr>
        <w:spacing w:line="8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80"/>
        <w:gridCol w:w="1780"/>
        <w:gridCol w:w="1400"/>
        <w:gridCol w:w="1340"/>
        <w:gridCol w:w="1480"/>
        <w:gridCol w:w="20"/>
      </w:tblGrid>
      <w:tr w:rsidR="00D24E61" w:rsidRPr="00771368">
        <w:trPr>
          <w:trHeight w:val="280"/>
        </w:trPr>
        <w:tc>
          <w:tcPr>
            <w:tcW w:w="3080" w:type="dxa"/>
            <w:vMerge w:val="restart"/>
            <w:tcBorders>
              <w:top w:val="single" w:sz="8" w:space="0" w:color="auto"/>
            </w:tcBorders>
            <w:vAlign w:val="bottom"/>
          </w:tcPr>
          <w:p w:rsidR="00D24E61" w:rsidRPr="00771368" w:rsidRDefault="00D24E61">
            <w:pPr>
              <w:ind w:left="820"/>
              <w:rPr>
                <w:sz w:val="20"/>
                <w:szCs w:val="20"/>
              </w:rPr>
            </w:pPr>
            <w:r w:rsidRPr="00771368">
              <w:rPr>
                <w:b/>
                <w:bCs/>
                <w:sz w:val="24"/>
                <w:szCs w:val="24"/>
              </w:rPr>
              <w:t>Fatores avaliados</w:t>
            </w:r>
          </w:p>
        </w:tc>
        <w:tc>
          <w:tcPr>
            <w:tcW w:w="1780" w:type="dxa"/>
            <w:tcBorders>
              <w:top w:val="single" w:sz="8" w:space="0" w:color="auto"/>
            </w:tcBorders>
            <w:vAlign w:val="bottom"/>
          </w:tcPr>
          <w:p w:rsidR="00D24E61" w:rsidRPr="00771368" w:rsidRDefault="00D24E61">
            <w:pPr>
              <w:ind w:left="180"/>
              <w:jc w:val="center"/>
              <w:rPr>
                <w:sz w:val="20"/>
                <w:szCs w:val="20"/>
              </w:rPr>
            </w:pPr>
            <w:r w:rsidRPr="00771368">
              <w:rPr>
                <w:b/>
                <w:bCs/>
                <w:w w:val="98"/>
                <w:sz w:val="24"/>
                <w:szCs w:val="24"/>
              </w:rPr>
              <w:t>Concordo</w:t>
            </w:r>
          </w:p>
        </w:tc>
        <w:tc>
          <w:tcPr>
            <w:tcW w:w="1400" w:type="dxa"/>
            <w:vMerge w:val="restart"/>
            <w:tcBorders>
              <w:top w:val="single" w:sz="8" w:space="0" w:color="auto"/>
            </w:tcBorders>
            <w:vAlign w:val="bottom"/>
          </w:tcPr>
          <w:p w:rsidR="00D24E61" w:rsidRPr="00771368" w:rsidRDefault="00D24E61">
            <w:pPr>
              <w:ind w:left="160"/>
              <w:rPr>
                <w:sz w:val="20"/>
                <w:szCs w:val="20"/>
              </w:rPr>
            </w:pPr>
            <w:r w:rsidRPr="00771368">
              <w:rPr>
                <w:b/>
                <w:bCs/>
                <w:sz w:val="24"/>
                <w:szCs w:val="24"/>
              </w:rPr>
              <w:t>Concordo</w:t>
            </w:r>
          </w:p>
        </w:tc>
        <w:tc>
          <w:tcPr>
            <w:tcW w:w="1340" w:type="dxa"/>
            <w:vMerge w:val="restart"/>
            <w:tcBorders>
              <w:top w:val="single" w:sz="8" w:space="0" w:color="auto"/>
            </w:tcBorders>
            <w:vAlign w:val="bottom"/>
          </w:tcPr>
          <w:p w:rsidR="00D24E61" w:rsidRPr="00771368" w:rsidRDefault="00D24E61">
            <w:pPr>
              <w:ind w:left="240"/>
              <w:rPr>
                <w:sz w:val="20"/>
                <w:szCs w:val="20"/>
              </w:rPr>
            </w:pPr>
            <w:r w:rsidRPr="00771368">
              <w:rPr>
                <w:b/>
                <w:bCs/>
                <w:sz w:val="24"/>
                <w:szCs w:val="24"/>
              </w:rPr>
              <w:t>Discordo</w:t>
            </w:r>
          </w:p>
        </w:tc>
        <w:tc>
          <w:tcPr>
            <w:tcW w:w="1480" w:type="dxa"/>
            <w:tcBorders>
              <w:top w:val="single" w:sz="8" w:space="0" w:color="auto"/>
            </w:tcBorders>
            <w:vAlign w:val="bottom"/>
          </w:tcPr>
          <w:p w:rsidR="00D24E61" w:rsidRPr="00771368" w:rsidRDefault="00D24E61">
            <w:pPr>
              <w:jc w:val="center"/>
              <w:rPr>
                <w:sz w:val="20"/>
                <w:szCs w:val="20"/>
              </w:rPr>
            </w:pPr>
            <w:r w:rsidRPr="00771368">
              <w:rPr>
                <w:b/>
                <w:bCs/>
                <w:w w:val="99"/>
                <w:sz w:val="24"/>
                <w:szCs w:val="24"/>
              </w:rPr>
              <w:t>Discordo</w:t>
            </w:r>
          </w:p>
        </w:tc>
        <w:tc>
          <w:tcPr>
            <w:tcW w:w="0" w:type="dxa"/>
            <w:vAlign w:val="bottom"/>
          </w:tcPr>
          <w:p w:rsidR="00D24E61" w:rsidRPr="00771368" w:rsidRDefault="00D24E61">
            <w:pPr>
              <w:rPr>
                <w:sz w:val="1"/>
                <w:szCs w:val="1"/>
              </w:rPr>
            </w:pPr>
          </w:p>
        </w:tc>
      </w:tr>
      <w:tr w:rsidR="00D24E61" w:rsidRPr="00771368">
        <w:trPr>
          <w:trHeight w:val="139"/>
        </w:trPr>
        <w:tc>
          <w:tcPr>
            <w:tcW w:w="3080" w:type="dxa"/>
            <w:vMerge/>
            <w:vAlign w:val="bottom"/>
          </w:tcPr>
          <w:p w:rsidR="00D24E61" w:rsidRPr="00771368" w:rsidRDefault="00D24E61">
            <w:pPr>
              <w:rPr>
                <w:sz w:val="12"/>
                <w:szCs w:val="12"/>
              </w:rPr>
            </w:pPr>
          </w:p>
        </w:tc>
        <w:tc>
          <w:tcPr>
            <w:tcW w:w="1780" w:type="dxa"/>
            <w:vMerge w:val="restart"/>
            <w:vAlign w:val="bottom"/>
          </w:tcPr>
          <w:p w:rsidR="00D24E61" w:rsidRPr="00771368" w:rsidRDefault="00D24E61">
            <w:pPr>
              <w:ind w:left="180"/>
              <w:jc w:val="center"/>
              <w:rPr>
                <w:sz w:val="20"/>
                <w:szCs w:val="20"/>
              </w:rPr>
            </w:pPr>
            <w:r w:rsidRPr="00771368">
              <w:rPr>
                <w:b/>
                <w:bCs/>
                <w:w w:val="98"/>
                <w:sz w:val="24"/>
                <w:szCs w:val="24"/>
              </w:rPr>
              <w:t>Totalmente</w:t>
            </w:r>
          </w:p>
        </w:tc>
        <w:tc>
          <w:tcPr>
            <w:tcW w:w="1400" w:type="dxa"/>
            <w:vMerge/>
            <w:vAlign w:val="bottom"/>
          </w:tcPr>
          <w:p w:rsidR="00D24E61" w:rsidRPr="00771368" w:rsidRDefault="00D24E61">
            <w:pPr>
              <w:rPr>
                <w:sz w:val="12"/>
                <w:szCs w:val="12"/>
              </w:rPr>
            </w:pPr>
          </w:p>
        </w:tc>
        <w:tc>
          <w:tcPr>
            <w:tcW w:w="1340" w:type="dxa"/>
            <w:vMerge/>
            <w:vAlign w:val="bottom"/>
          </w:tcPr>
          <w:p w:rsidR="00D24E61" w:rsidRPr="00771368" w:rsidRDefault="00D24E61">
            <w:pPr>
              <w:rPr>
                <w:sz w:val="12"/>
                <w:szCs w:val="12"/>
              </w:rPr>
            </w:pPr>
          </w:p>
        </w:tc>
        <w:tc>
          <w:tcPr>
            <w:tcW w:w="1480" w:type="dxa"/>
            <w:vMerge w:val="restart"/>
            <w:vAlign w:val="bottom"/>
          </w:tcPr>
          <w:p w:rsidR="00D24E61" w:rsidRPr="00771368" w:rsidRDefault="00D24E61">
            <w:pPr>
              <w:jc w:val="center"/>
              <w:rPr>
                <w:sz w:val="20"/>
                <w:szCs w:val="20"/>
              </w:rPr>
            </w:pPr>
            <w:r w:rsidRPr="00771368">
              <w:rPr>
                <w:b/>
                <w:bCs/>
                <w:sz w:val="24"/>
                <w:szCs w:val="24"/>
              </w:rPr>
              <w:t>Totalmente</w:t>
            </w:r>
          </w:p>
        </w:tc>
        <w:tc>
          <w:tcPr>
            <w:tcW w:w="0" w:type="dxa"/>
            <w:vAlign w:val="bottom"/>
          </w:tcPr>
          <w:p w:rsidR="00D24E61" w:rsidRPr="00771368" w:rsidRDefault="00D24E61">
            <w:pPr>
              <w:rPr>
                <w:sz w:val="1"/>
                <w:szCs w:val="1"/>
              </w:rPr>
            </w:pPr>
          </w:p>
        </w:tc>
      </w:tr>
      <w:tr w:rsidR="00D24E61" w:rsidRPr="00771368">
        <w:trPr>
          <w:trHeight w:val="139"/>
        </w:trPr>
        <w:tc>
          <w:tcPr>
            <w:tcW w:w="3080" w:type="dxa"/>
            <w:vAlign w:val="bottom"/>
          </w:tcPr>
          <w:p w:rsidR="00D24E61" w:rsidRPr="00771368" w:rsidRDefault="00D24E61">
            <w:pPr>
              <w:rPr>
                <w:sz w:val="12"/>
                <w:szCs w:val="12"/>
              </w:rPr>
            </w:pPr>
          </w:p>
        </w:tc>
        <w:tc>
          <w:tcPr>
            <w:tcW w:w="1780" w:type="dxa"/>
            <w:vMerge/>
            <w:vAlign w:val="bottom"/>
          </w:tcPr>
          <w:p w:rsidR="00D24E61" w:rsidRPr="00771368" w:rsidRDefault="00D24E61">
            <w:pPr>
              <w:rPr>
                <w:sz w:val="12"/>
                <w:szCs w:val="12"/>
              </w:rPr>
            </w:pPr>
          </w:p>
        </w:tc>
        <w:tc>
          <w:tcPr>
            <w:tcW w:w="1400" w:type="dxa"/>
            <w:vAlign w:val="bottom"/>
          </w:tcPr>
          <w:p w:rsidR="00D24E61" w:rsidRPr="00771368" w:rsidRDefault="00D24E61">
            <w:pPr>
              <w:rPr>
                <w:sz w:val="12"/>
                <w:szCs w:val="12"/>
              </w:rPr>
            </w:pPr>
          </w:p>
        </w:tc>
        <w:tc>
          <w:tcPr>
            <w:tcW w:w="1340" w:type="dxa"/>
            <w:vAlign w:val="bottom"/>
          </w:tcPr>
          <w:p w:rsidR="00D24E61" w:rsidRPr="00771368" w:rsidRDefault="00D24E61">
            <w:pPr>
              <w:rPr>
                <w:sz w:val="12"/>
                <w:szCs w:val="12"/>
              </w:rPr>
            </w:pPr>
          </w:p>
        </w:tc>
        <w:tc>
          <w:tcPr>
            <w:tcW w:w="1480" w:type="dxa"/>
            <w:vMerge/>
            <w:vAlign w:val="bottom"/>
          </w:tcPr>
          <w:p w:rsidR="00D24E61" w:rsidRPr="00771368" w:rsidRDefault="00D24E61">
            <w:pPr>
              <w:rPr>
                <w:sz w:val="12"/>
                <w:szCs w:val="12"/>
              </w:rPr>
            </w:pPr>
          </w:p>
        </w:tc>
        <w:tc>
          <w:tcPr>
            <w:tcW w:w="0" w:type="dxa"/>
            <w:vAlign w:val="bottom"/>
          </w:tcPr>
          <w:p w:rsidR="00D24E61" w:rsidRPr="00771368" w:rsidRDefault="00D24E61">
            <w:pPr>
              <w:rPr>
                <w:sz w:val="1"/>
                <w:szCs w:val="1"/>
              </w:rPr>
            </w:pPr>
          </w:p>
        </w:tc>
      </w:tr>
    </w:tbl>
    <w:p w:rsidR="00D24E61" w:rsidRPr="00771368" w:rsidRDefault="00013211">
      <w:pPr>
        <w:rPr>
          <w:sz w:val="20"/>
          <w:szCs w:val="20"/>
        </w:rPr>
        <w:sectPr w:rsidR="00D24E61" w:rsidRPr="00771368">
          <w:pgSz w:w="11900" w:h="16838"/>
          <w:pgMar w:top="1440" w:right="1420" w:bottom="1440" w:left="1300" w:header="0" w:footer="0" w:gutter="0"/>
          <w:cols w:space="720" w:equalWidth="0">
            <w:col w:w="9180"/>
          </w:cols>
        </w:sectPr>
      </w:pPr>
      <w:r>
        <w:rPr>
          <w:noProof/>
          <w:sz w:val="20"/>
          <w:szCs w:val="20"/>
        </w:rPr>
        <mc:AlternateContent>
          <mc:Choice Requires="wps">
            <w:drawing>
              <wp:anchor distT="0" distB="0" distL="0" distR="0" simplePos="0" relativeHeight="251759104" behindDoc="0" locked="0" layoutInCell="0" allowOverlap="1">
                <wp:simplePos x="0" y="0"/>
                <wp:positionH relativeFrom="column">
                  <wp:posOffset>3810</wp:posOffset>
                </wp:positionH>
                <wp:positionV relativeFrom="paragraph">
                  <wp:posOffset>4445</wp:posOffset>
                </wp:positionV>
                <wp:extent cx="5762625" cy="0"/>
                <wp:effectExtent l="13335" t="13970" r="5715" b="5080"/>
                <wp:wrapNone/>
                <wp:docPr id="171"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5" o:spid="_x0000_s1026" style="position:absolute;z-index:25175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35pt" to="454.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5E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" o:allowincell="f" strokeweight=".16931mm"/>
            </w:pict>
          </mc:Fallback>
        </mc:AlternateContent>
      </w:r>
    </w:p>
    <w:p w:rsidR="00D24E61" w:rsidRPr="00771368" w:rsidRDefault="00D24E61">
      <w:pPr>
        <w:spacing w:line="2" w:lineRule="exact"/>
        <w:rPr>
          <w:sz w:val="20"/>
          <w:szCs w:val="20"/>
        </w:rPr>
      </w:pPr>
    </w:p>
    <w:p w:rsidR="00D24E61" w:rsidRPr="00771368" w:rsidRDefault="00D24E61" w:rsidP="00D24E61">
      <w:pPr>
        <w:numPr>
          <w:ilvl w:val="0"/>
          <w:numId w:val="9"/>
        </w:numPr>
        <w:tabs>
          <w:tab w:val="left" w:pos="304"/>
        </w:tabs>
        <w:ind w:left="304" w:hanging="304"/>
        <w:jc w:val="both"/>
        <w:rPr>
          <w:sz w:val="24"/>
          <w:szCs w:val="24"/>
        </w:rPr>
      </w:pPr>
      <w:r w:rsidRPr="00771368">
        <w:rPr>
          <w:sz w:val="24"/>
          <w:szCs w:val="24"/>
        </w:rPr>
        <w:t>Ampliaria a aprendizagem</w:t>
      </w:r>
    </w:p>
    <w:p w:rsidR="00D24E61" w:rsidRPr="00771368" w:rsidRDefault="00D24E61">
      <w:pPr>
        <w:spacing w:line="122" w:lineRule="exact"/>
        <w:rPr>
          <w:sz w:val="24"/>
          <w:szCs w:val="24"/>
        </w:rPr>
      </w:pPr>
    </w:p>
    <w:p w:rsidR="00D24E61" w:rsidRPr="00771368" w:rsidRDefault="00D24E61" w:rsidP="00D24E61">
      <w:pPr>
        <w:numPr>
          <w:ilvl w:val="0"/>
          <w:numId w:val="9"/>
        </w:numPr>
        <w:tabs>
          <w:tab w:val="left" w:pos="244"/>
        </w:tabs>
        <w:ind w:left="244" w:hanging="244"/>
        <w:jc w:val="both"/>
        <w:rPr>
          <w:sz w:val="24"/>
          <w:szCs w:val="24"/>
        </w:rPr>
      </w:pPr>
      <w:r w:rsidRPr="00771368">
        <w:rPr>
          <w:sz w:val="24"/>
          <w:szCs w:val="24"/>
        </w:rPr>
        <w:t>Sentimentos negativos</w:t>
      </w:r>
    </w:p>
    <w:p w:rsidR="00D24E61" w:rsidRPr="00771368" w:rsidRDefault="00D24E61">
      <w:pPr>
        <w:spacing w:line="181" w:lineRule="exact"/>
        <w:rPr>
          <w:sz w:val="24"/>
          <w:szCs w:val="24"/>
        </w:rPr>
      </w:pPr>
    </w:p>
    <w:p w:rsidR="00D24E61" w:rsidRPr="00771368" w:rsidRDefault="00D24E61" w:rsidP="00D24E61">
      <w:pPr>
        <w:numPr>
          <w:ilvl w:val="0"/>
          <w:numId w:val="9"/>
        </w:numPr>
        <w:tabs>
          <w:tab w:val="left" w:pos="248"/>
        </w:tabs>
        <w:spacing w:line="213" w:lineRule="auto"/>
        <w:ind w:left="4" w:right="400" w:hanging="4"/>
        <w:jc w:val="both"/>
        <w:rPr>
          <w:sz w:val="24"/>
          <w:szCs w:val="24"/>
        </w:rPr>
      </w:pPr>
      <w:r w:rsidRPr="00771368">
        <w:rPr>
          <w:sz w:val="24"/>
          <w:szCs w:val="24"/>
        </w:rPr>
        <w:t>Conhecimento de diretos humanos</w:t>
      </w:r>
    </w:p>
    <w:p w:rsidR="00D24E61" w:rsidRPr="00771368" w:rsidRDefault="00D24E61">
      <w:pPr>
        <w:spacing w:line="15" w:lineRule="exact"/>
        <w:rPr>
          <w:sz w:val="24"/>
          <w:szCs w:val="24"/>
        </w:rPr>
      </w:pPr>
    </w:p>
    <w:p w:rsidR="00D24E61" w:rsidRPr="00771368" w:rsidRDefault="00D24E61" w:rsidP="00D24E61">
      <w:pPr>
        <w:numPr>
          <w:ilvl w:val="0"/>
          <w:numId w:val="9"/>
        </w:numPr>
        <w:tabs>
          <w:tab w:val="left" w:pos="244"/>
        </w:tabs>
        <w:ind w:left="244" w:hanging="244"/>
        <w:jc w:val="both"/>
        <w:rPr>
          <w:sz w:val="23"/>
          <w:szCs w:val="23"/>
        </w:rPr>
      </w:pPr>
      <w:r w:rsidRPr="00771368">
        <w:rPr>
          <w:sz w:val="23"/>
          <w:szCs w:val="23"/>
        </w:rPr>
        <w:t>Queda no rendimento escolar</w:t>
      </w:r>
    </w:p>
    <w:p w:rsidR="00D24E61" w:rsidRPr="00771368" w:rsidRDefault="00D24E61">
      <w:pPr>
        <w:spacing w:line="117" w:lineRule="exact"/>
        <w:rPr>
          <w:sz w:val="23"/>
          <w:szCs w:val="23"/>
        </w:rPr>
      </w:pPr>
    </w:p>
    <w:p w:rsidR="00D24E61" w:rsidRPr="00771368" w:rsidRDefault="00D24E61" w:rsidP="00D24E61">
      <w:pPr>
        <w:numPr>
          <w:ilvl w:val="0"/>
          <w:numId w:val="9"/>
        </w:numPr>
        <w:tabs>
          <w:tab w:val="left" w:pos="244"/>
        </w:tabs>
        <w:ind w:left="244" w:hanging="244"/>
        <w:jc w:val="both"/>
        <w:rPr>
          <w:sz w:val="24"/>
          <w:szCs w:val="24"/>
        </w:rPr>
      </w:pPr>
      <w:r w:rsidRPr="00771368">
        <w:rPr>
          <w:sz w:val="24"/>
          <w:szCs w:val="24"/>
        </w:rPr>
        <w:t>Baixa autoestima</w:t>
      </w:r>
    </w:p>
    <w:p w:rsidR="00D24E61" w:rsidRPr="00771368" w:rsidRDefault="00D24E61">
      <w:pPr>
        <w:spacing w:line="180" w:lineRule="exact"/>
        <w:rPr>
          <w:sz w:val="24"/>
          <w:szCs w:val="24"/>
        </w:rPr>
      </w:pPr>
    </w:p>
    <w:p w:rsidR="00D24E61" w:rsidRPr="00771368" w:rsidRDefault="00D24E61" w:rsidP="00D24E61">
      <w:pPr>
        <w:numPr>
          <w:ilvl w:val="0"/>
          <w:numId w:val="9"/>
        </w:numPr>
        <w:tabs>
          <w:tab w:val="left" w:pos="248"/>
        </w:tabs>
        <w:spacing w:line="225" w:lineRule="auto"/>
        <w:ind w:left="4" w:right="1300" w:hanging="4"/>
        <w:jc w:val="both"/>
        <w:rPr>
          <w:sz w:val="23"/>
          <w:szCs w:val="23"/>
        </w:rPr>
      </w:pPr>
      <w:r w:rsidRPr="00771368">
        <w:rPr>
          <w:sz w:val="23"/>
          <w:szCs w:val="23"/>
        </w:rPr>
        <w:t>Dificuldades de relascinamento</w:t>
      </w:r>
    </w:p>
    <w:p w:rsidR="00D24E61" w:rsidRPr="00771368" w:rsidRDefault="00D24E61" w:rsidP="00D24E61">
      <w:pPr>
        <w:numPr>
          <w:ilvl w:val="0"/>
          <w:numId w:val="9"/>
        </w:numPr>
        <w:tabs>
          <w:tab w:val="left" w:pos="244"/>
        </w:tabs>
        <w:spacing w:line="237" w:lineRule="auto"/>
        <w:ind w:left="244" w:hanging="244"/>
        <w:jc w:val="both"/>
        <w:rPr>
          <w:sz w:val="24"/>
          <w:szCs w:val="24"/>
        </w:rPr>
      </w:pPr>
      <w:r w:rsidRPr="00771368">
        <w:rPr>
          <w:sz w:val="24"/>
          <w:szCs w:val="24"/>
        </w:rPr>
        <w:t>Desinteresse pelo assunto</w:t>
      </w:r>
    </w:p>
    <w:p w:rsidR="00D24E61" w:rsidRPr="00771368" w:rsidRDefault="00D24E61">
      <w:pPr>
        <w:spacing w:line="123" w:lineRule="exact"/>
        <w:rPr>
          <w:sz w:val="24"/>
          <w:szCs w:val="24"/>
        </w:rPr>
      </w:pPr>
    </w:p>
    <w:p w:rsidR="00D24E61" w:rsidRPr="00771368" w:rsidRDefault="00D24E61" w:rsidP="00D24E61">
      <w:pPr>
        <w:numPr>
          <w:ilvl w:val="0"/>
          <w:numId w:val="9"/>
        </w:numPr>
        <w:tabs>
          <w:tab w:val="left" w:pos="244"/>
        </w:tabs>
        <w:ind w:left="244" w:hanging="244"/>
        <w:jc w:val="both"/>
        <w:rPr>
          <w:sz w:val="24"/>
          <w:szCs w:val="24"/>
        </w:rPr>
      </w:pPr>
      <w:r w:rsidRPr="00771368">
        <w:rPr>
          <w:sz w:val="24"/>
          <w:szCs w:val="24"/>
        </w:rPr>
        <w:t>Revolta</w:t>
      </w:r>
    </w:p>
    <w:p w:rsidR="00D24E61" w:rsidRPr="00771368" w:rsidRDefault="00D24E61">
      <w:pPr>
        <w:spacing w:line="175" w:lineRule="exact"/>
        <w:rPr>
          <w:sz w:val="24"/>
          <w:szCs w:val="24"/>
        </w:rPr>
      </w:pPr>
    </w:p>
    <w:p w:rsidR="00D24E61" w:rsidRPr="00771368" w:rsidRDefault="00D24E61" w:rsidP="00D24E61">
      <w:pPr>
        <w:numPr>
          <w:ilvl w:val="0"/>
          <w:numId w:val="9"/>
        </w:numPr>
        <w:tabs>
          <w:tab w:val="left" w:pos="248"/>
        </w:tabs>
        <w:spacing w:line="215" w:lineRule="auto"/>
        <w:ind w:left="4" w:right="280" w:hanging="4"/>
        <w:jc w:val="both"/>
        <w:rPr>
          <w:sz w:val="24"/>
          <w:szCs w:val="24"/>
        </w:rPr>
      </w:pPr>
      <w:r w:rsidRPr="00771368">
        <w:rPr>
          <w:sz w:val="24"/>
          <w:szCs w:val="24"/>
        </w:rPr>
        <w:t>Uma nova opinião sobre o tema</w:t>
      </w:r>
    </w:p>
    <w:p w:rsidR="00D24E61" w:rsidRPr="00771368" w:rsidRDefault="00D24E61">
      <w:pPr>
        <w:spacing w:line="65" w:lineRule="exact"/>
        <w:rPr>
          <w:sz w:val="20"/>
          <w:szCs w:val="20"/>
        </w:rPr>
      </w:pPr>
      <w:r w:rsidRPr="00771368">
        <w:rPr>
          <w:sz w:val="20"/>
          <w:szCs w:val="20"/>
        </w:rPr>
        <w:br w:type="column"/>
      </w:r>
    </w:p>
    <w:p w:rsidR="00D24E61" w:rsidRPr="00771368" w:rsidRDefault="00D24E61">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280"/>
        <w:gridCol w:w="1420"/>
        <w:gridCol w:w="1420"/>
        <w:gridCol w:w="1280"/>
      </w:tblGrid>
      <w:tr w:rsidR="00D24E61" w:rsidRPr="00771368">
        <w:trPr>
          <w:trHeight w:val="276"/>
        </w:trPr>
        <w:tc>
          <w:tcPr>
            <w:tcW w:w="1280" w:type="dxa"/>
            <w:vAlign w:val="bottom"/>
          </w:tcPr>
          <w:p w:rsidR="00D24E61" w:rsidRPr="00771368" w:rsidRDefault="00D24E61">
            <w:pPr>
              <w:ind w:right="20"/>
              <w:jc w:val="right"/>
              <w:rPr>
                <w:sz w:val="20"/>
                <w:szCs w:val="20"/>
              </w:rPr>
            </w:pPr>
            <w:r w:rsidRPr="00771368">
              <w:rPr>
                <w:w w:val="98"/>
                <w:sz w:val="24"/>
                <w:szCs w:val="24"/>
              </w:rPr>
              <w:t>129(55,1%)</w:t>
            </w:r>
          </w:p>
        </w:tc>
        <w:tc>
          <w:tcPr>
            <w:tcW w:w="1420" w:type="dxa"/>
            <w:vAlign w:val="bottom"/>
          </w:tcPr>
          <w:p w:rsidR="00D24E61" w:rsidRPr="00771368" w:rsidRDefault="00D24E61">
            <w:pPr>
              <w:ind w:right="20"/>
              <w:jc w:val="right"/>
              <w:rPr>
                <w:sz w:val="20"/>
                <w:szCs w:val="20"/>
              </w:rPr>
            </w:pPr>
            <w:r w:rsidRPr="00771368">
              <w:rPr>
                <w:sz w:val="24"/>
                <w:szCs w:val="24"/>
              </w:rPr>
              <w:t>86(36,8%)</w:t>
            </w:r>
          </w:p>
        </w:tc>
        <w:tc>
          <w:tcPr>
            <w:tcW w:w="1420" w:type="dxa"/>
            <w:vAlign w:val="bottom"/>
          </w:tcPr>
          <w:p w:rsidR="00D24E61" w:rsidRPr="00771368" w:rsidRDefault="00D24E61">
            <w:pPr>
              <w:ind w:right="20"/>
              <w:jc w:val="right"/>
              <w:rPr>
                <w:sz w:val="20"/>
                <w:szCs w:val="20"/>
              </w:rPr>
            </w:pPr>
            <w:r w:rsidRPr="00771368">
              <w:rPr>
                <w:sz w:val="24"/>
                <w:szCs w:val="24"/>
              </w:rPr>
              <w:t>13(5,6%)</w:t>
            </w:r>
          </w:p>
        </w:tc>
        <w:tc>
          <w:tcPr>
            <w:tcW w:w="1280" w:type="dxa"/>
            <w:vAlign w:val="bottom"/>
          </w:tcPr>
          <w:p w:rsidR="00D24E61" w:rsidRPr="00771368" w:rsidRDefault="00D24E61">
            <w:pPr>
              <w:jc w:val="right"/>
              <w:rPr>
                <w:sz w:val="20"/>
                <w:szCs w:val="20"/>
              </w:rPr>
            </w:pPr>
            <w:r w:rsidRPr="00771368">
              <w:rPr>
                <w:sz w:val="24"/>
                <w:szCs w:val="24"/>
              </w:rPr>
              <w:t>6(2,5%)</w:t>
            </w:r>
          </w:p>
        </w:tc>
      </w:tr>
      <w:tr w:rsidR="00D24E61" w:rsidRPr="00771368">
        <w:trPr>
          <w:trHeight w:val="394"/>
        </w:trPr>
        <w:tc>
          <w:tcPr>
            <w:tcW w:w="1280" w:type="dxa"/>
            <w:vAlign w:val="bottom"/>
          </w:tcPr>
          <w:p w:rsidR="00D24E61" w:rsidRPr="00771368" w:rsidRDefault="00D24E61">
            <w:pPr>
              <w:ind w:right="20"/>
              <w:jc w:val="right"/>
              <w:rPr>
                <w:sz w:val="20"/>
                <w:szCs w:val="20"/>
              </w:rPr>
            </w:pPr>
            <w:r w:rsidRPr="00771368">
              <w:rPr>
                <w:sz w:val="24"/>
                <w:szCs w:val="24"/>
              </w:rPr>
              <w:t>4(1,7%)</w:t>
            </w:r>
          </w:p>
        </w:tc>
        <w:tc>
          <w:tcPr>
            <w:tcW w:w="1420" w:type="dxa"/>
            <w:vAlign w:val="bottom"/>
          </w:tcPr>
          <w:p w:rsidR="00D24E61" w:rsidRPr="00771368" w:rsidRDefault="00D24E61">
            <w:pPr>
              <w:ind w:right="20"/>
              <w:jc w:val="right"/>
              <w:rPr>
                <w:sz w:val="20"/>
                <w:szCs w:val="20"/>
              </w:rPr>
            </w:pPr>
            <w:r w:rsidRPr="00771368">
              <w:rPr>
                <w:sz w:val="24"/>
                <w:szCs w:val="24"/>
              </w:rPr>
              <w:t>15(6,4%)</w:t>
            </w:r>
          </w:p>
        </w:tc>
        <w:tc>
          <w:tcPr>
            <w:tcW w:w="1420" w:type="dxa"/>
            <w:vAlign w:val="bottom"/>
          </w:tcPr>
          <w:p w:rsidR="00D24E61" w:rsidRPr="00771368" w:rsidRDefault="00D24E61">
            <w:pPr>
              <w:ind w:right="20"/>
              <w:jc w:val="right"/>
              <w:rPr>
                <w:sz w:val="20"/>
                <w:szCs w:val="20"/>
              </w:rPr>
            </w:pPr>
            <w:r w:rsidRPr="00771368">
              <w:rPr>
                <w:sz w:val="24"/>
                <w:szCs w:val="24"/>
              </w:rPr>
              <w:t>123(52,6%)</w:t>
            </w:r>
          </w:p>
        </w:tc>
        <w:tc>
          <w:tcPr>
            <w:tcW w:w="1280" w:type="dxa"/>
            <w:vAlign w:val="bottom"/>
          </w:tcPr>
          <w:p w:rsidR="00D24E61" w:rsidRPr="00771368" w:rsidRDefault="00D24E61">
            <w:pPr>
              <w:jc w:val="right"/>
              <w:rPr>
                <w:sz w:val="20"/>
                <w:szCs w:val="20"/>
              </w:rPr>
            </w:pPr>
            <w:r w:rsidRPr="00771368">
              <w:rPr>
                <w:sz w:val="24"/>
                <w:szCs w:val="24"/>
              </w:rPr>
              <w:t>92(39,3%)</w:t>
            </w:r>
          </w:p>
        </w:tc>
      </w:tr>
      <w:tr w:rsidR="00D24E61" w:rsidRPr="00771368">
        <w:trPr>
          <w:trHeight w:val="476"/>
        </w:trPr>
        <w:tc>
          <w:tcPr>
            <w:tcW w:w="1280" w:type="dxa"/>
            <w:vAlign w:val="bottom"/>
          </w:tcPr>
          <w:p w:rsidR="00D24E61" w:rsidRPr="00771368" w:rsidRDefault="00D24E61">
            <w:pPr>
              <w:ind w:right="20"/>
              <w:jc w:val="right"/>
              <w:rPr>
                <w:sz w:val="20"/>
                <w:szCs w:val="20"/>
              </w:rPr>
            </w:pPr>
            <w:r w:rsidRPr="00771368">
              <w:rPr>
                <w:w w:val="98"/>
                <w:sz w:val="24"/>
                <w:szCs w:val="24"/>
              </w:rPr>
              <w:t>125(53,4%)</w:t>
            </w:r>
          </w:p>
        </w:tc>
        <w:tc>
          <w:tcPr>
            <w:tcW w:w="1420" w:type="dxa"/>
            <w:vAlign w:val="bottom"/>
          </w:tcPr>
          <w:p w:rsidR="00D24E61" w:rsidRPr="00771368" w:rsidRDefault="00D24E61">
            <w:pPr>
              <w:ind w:right="20"/>
              <w:jc w:val="right"/>
              <w:rPr>
                <w:sz w:val="20"/>
                <w:szCs w:val="20"/>
              </w:rPr>
            </w:pPr>
            <w:r w:rsidRPr="00771368">
              <w:rPr>
                <w:sz w:val="24"/>
                <w:szCs w:val="24"/>
              </w:rPr>
              <w:t>99(42,3%)</w:t>
            </w:r>
          </w:p>
        </w:tc>
        <w:tc>
          <w:tcPr>
            <w:tcW w:w="1420" w:type="dxa"/>
            <w:vAlign w:val="bottom"/>
          </w:tcPr>
          <w:p w:rsidR="00D24E61" w:rsidRPr="00771368" w:rsidRDefault="00D24E61">
            <w:pPr>
              <w:ind w:right="20"/>
              <w:jc w:val="right"/>
              <w:rPr>
                <w:sz w:val="20"/>
                <w:szCs w:val="20"/>
              </w:rPr>
            </w:pPr>
            <w:r w:rsidRPr="00771368">
              <w:rPr>
                <w:sz w:val="24"/>
                <w:szCs w:val="24"/>
              </w:rPr>
              <w:t>8(3,4%)</w:t>
            </w:r>
          </w:p>
        </w:tc>
        <w:tc>
          <w:tcPr>
            <w:tcW w:w="1280" w:type="dxa"/>
            <w:vAlign w:val="bottom"/>
          </w:tcPr>
          <w:p w:rsidR="00D24E61" w:rsidRPr="00771368" w:rsidRDefault="00D24E61">
            <w:pPr>
              <w:jc w:val="right"/>
              <w:rPr>
                <w:sz w:val="20"/>
                <w:szCs w:val="20"/>
              </w:rPr>
            </w:pPr>
            <w:r w:rsidRPr="00771368">
              <w:rPr>
                <w:sz w:val="24"/>
                <w:szCs w:val="24"/>
              </w:rPr>
              <w:t>2(0,9%)</w:t>
            </w:r>
          </w:p>
        </w:tc>
      </w:tr>
      <w:tr w:rsidR="00D24E61" w:rsidRPr="00771368">
        <w:trPr>
          <w:trHeight w:val="475"/>
        </w:trPr>
        <w:tc>
          <w:tcPr>
            <w:tcW w:w="1280" w:type="dxa"/>
            <w:vAlign w:val="bottom"/>
          </w:tcPr>
          <w:p w:rsidR="00D24E61" w:rsidRPr="00771368" w:rsidRDefault="00D24E61">
            <w:pPr>
              <w:ind w:right="20"/>
              <w:jc w:val="right"/>
              <w:rPr>
                <w:sz w:val="20"/>
                <w:szCs w:val="20"/>
              </w:rPr>
            </w:pPr>
            <w:r w:rsidRPr="00771368">
              <w:rPr>
                <w:sz w:val="24"/>
                <w:szCs w:val="24"/>
              </w:rPr>
              <w:t>7(3,0%)</w:t>
            </w:r>
          </w:p>
        </w:tc>
        <w:tc>
          <w:tcPr>
            <w:tcW w:w="1420" w:type="dxa"/>
            <w:vAlign w:val="bottom"/>
          </w:tcPr>
          <w:p w:rsidR="00D24E61" w:rsidRPr="00771368" w:rsidRDefault="00D24E61">
            <w:pPr>
              <w:ind w:right="20"/>
              <w:jc w:val="right"/>
              <w:rPr>
                <w:sz w:val="20"/>
                <w:szCs w:val="20"/>
              </w:rPr>
            </w:pPr>
            <w:r w:rsidRPr="00771368">
              <w:rPr>
                <w:sz w:val="24"/>
                <w:szCs w:val="24"/>
              </w:rPr>
              <w:t>12(5,1%)</w:t>
            </w:r>
          </w:p>
        </w:tc>
        <w:tc>
          <w:tcPr>
            <w:tcW w:w="1420" w:type="dxa"/>
            <w:vAlign w:val="bottom"/>
          </w:tcPr>
          <w:p w:rsidR="00D24E61" w:rsidRPr="00771368" w:rsidRDefault="00D24E61">
            <w:pPr>
              <w:ind w:right="20"/>
              <w:jc w:val="right"/>
              <w:rPr>
                <w:sz w:val="20"/>
                <w:szCs w:val="20"/>
              </w:rPr>
            </w:pPr>
            <w:r w:rsidRPr="00771368">
              <w:rPr>
                <w:sz w:val="24"/>
                <w:szCs w:val="24"/>
              </w:rPr>
              <w:t>103(44,0%)</w:t>
            </w:r>
          </w:p>
        </w:tc>
        <w:tc>
          <w:tcPr>
            <w:tcW w:w="1280" w:type="dxa"/>
            <w:vAlign w:val="bottom"/>
          </w:tcPr>
          <w:p w:rsidR="00D24E61" w:rsidRPr="00771368" w:rsidRDefault="00D24E61">
            <w:pPr>
              <w:jc w:val="right"/>
              <w:rPr>
                <w:sz w:val="20"/>
                <w:szCs w:val="20"/>
              </w:rPr>
            </w:pPr>
            <w:r w:rsidRPr="00771368">
              <w:rPr>
                <w:sz w:val="24"/>
                <w:szCs w:val="24"/>
              </w:rPr>
              <w:t>112(47,9%)</w:t>
            </w:r>
          </w:p>
        </w:tc>
      </w:tr>
      <w:tr w:rsidR="00D24E61" w:rsidRPr="00771368">
        <w:trPr>
          <w:trHeight w:val="398"/>
        </w:trPr>
        <w:tc>
          <w:tcPr>
            <w:tcW w:w="1280" w:type="dxa"/>
            <w:vAlign w:val="bottom"/>
          </w:tcPr>
          <w:p w:rsidR="00D24E61" w:rsidRPr="00771368" w:rsidRDefault="00D24E61">
            <w:pPr>
              <w:ind w:right="20"/>
              <w:jc w:val="right"/>
              <w:rPr>
                <w:sz w:val="20"/>
                <w:szCs w:val="20"/>
              </w:rPr>
            </w:pPr>
            <w:r w:rsidRPr="00771368">
              <w:rPr>
                <w:sz w:val="24"/>
                <w:szCs w:val="24"/>
              </w:rPr>
              <w:t>7(3,0%)</w:t>
            </w:r>
          </w:p>
        </w:tc>
        <w:tc>
          <w:tcPr>
            <w:tcW w:w="1420" w:type="dxa"/>
            <w:vAlign w:val="bottom"/>
          </w:tcPr>
          <w:p w:rsidR="00D24E61" w:rsidRPr="00771368" w:rsidRDefault="00D24E61">
            <w:pPr>
              <w:ind w:right="20"/>
              <w:jc w:val="right"/>
              <w:rPr>
                <w:sz w:val="20"/>
                <w:szCs w:val="20"/>
              </w:rPr>
            </w:pPr>
            <w:r w:rsidRPr="00771368">
              <w:rPr>
                <w:sz w:val="24"/>
                <w:szCs w:val="24"/>
              </w:rPr>
              <w:t>17(7,2%)</w:t>
            </w:r>
          </w:p>
        </w:tc>
        <w:tc>
          <w:tcPr>
            <w:tcW w:w="1420" w:type="dxa"/>
            <w:vAlign w:val="bottom"/>
          </w:tcPr>
          <w:p w:rsidR="00D24E61" w:rsidRPr="00771368" w:rsidRDefault="00D24E61">
            <w:pPr>
              <w:ind w:right="20"/>
              <w:jc w:val="right"/>
              <w:rPr>
                <w:sz w:val="20"/>
                <w:szCs w:val="20"/>
              </w:rPr>
            </w:pPr>
            <w:r w:rsidRPr="00771368">
              <w:rPr>
                <w:sz w:val="24"/>
                <w:szCs w:val="24"/>
              </w:rPr>
              <w:t>105(44,9%)</w:t>
            </w:r>
          </w:p>
        </w:tc>
        <w:tc>
          <w:tcPr>
            <w:tcW w:w="1280" w:type="dxa"/>
            <w:vAlign w:val="bottom"/>
          </w:tcPr>
          <w:p w:rsidR="00D24E61" w:rsidRPr="00771368" w:rsidRDefault="00D24E61">
            <w:pPr>
              <w:jc w:val="right"/>
              <w:rPr>
                <w:sz w:val="20"/>
                <w:szCs w:val="20"/>
              </w:rPr>
            </w:pPr>
            <w:r w:rsidRPr="00771368">
              <w:rPr>
                <w:sz w:val="24"/>
                <w:szCs w:val="24"/>
              </w:rPr>
              <w:t>105(44,9%)</w:t>
            </w:r>
          </w:p>
        </w:tc>
      </w:tr>
      <w:tr w:rsidR="00D24E61" w:rsidRPr="00771368">
        <w:trPr>
          <w:trHeight w:val="475"/>
        </w:trPr>
        <w:tc>
          <w:tcPr>
            <w:tcW w:w="1280" w:type="dxa"/>
            <w:vAlign w:val="bottom"/>
          </w:tcPr>
          <w:p w:rsidR="00D24E61" w:rsidRPr="00771368" w:rsidRDefault="00D24E61">
            <w:pPr>
              <w:ind w:right="20"/>
              <w:jc w:val="right"/>
              <w:rPr>
                <w:sz w:val="20"/>
                <w:szCs w:val="20"/>
              </w:rPr>
            </w:pPr>
            <w:r w:rsidRPr="00771368">
              <w:rPr>
                <w:sz w:val="24"/>
                <w:szCs w:val="24"/>
              </w:rPr>
              <w:t>6(2,6%)</w:t>
            </w:r>
          </w:p>
        </w:tc>
        <w:tc>
          <w:tcPr>
            <w:tcW w:w="1420" w:type="dxa"/>
            <w:vAlign w:val="bottom"/>
          </w:tcPr>
          <w:p w:rsidR="00D24E61" w:rsidRPr="00771368" w:rsidRDefault="00D24E61">
            <w:pPr>
              <w:ind w:right="20"/>
              <w:jc w:val="right"/>
              <w:rPr>
                <w:sz w:val="20"/>
                <w:szCs w:val="20"/>
              </w:rPr>
            </w:pPr>
            <w:r w:rsidRPr="00771368">
              <w:rPr>
                <w:sz w:val="24"/>
                <w:szCs w:val="24"/>
              </w:rPr>
              <w:t>18(7,7%)</w:t>
            </w:r>
          </w:p>
        </w:tc>
        <w:tc>
          <w:tcPr>
            <w:tcW w:w="1420" w:type="dxa"/>
            <w:vAlign w:val="bottom"/>
          </w:tcPr>
          <w:p w:rsidR="00D24E61" w:rsidRPr="00771368" w:rsidRDefault="00D24E61">
            <w:pPr>
              <w:ind w:right="20"/>
              <w:jc w:val="right"/>
              <w:rPr>
                <w:sz w:val="20"/>
                <w:szCs w:val="20"/>
              </w:rPr>
            </w:pPr>
            <w:r w:rsidRPr="00771368">
              <w:rPr>
                <w:sz w:val="24"/>
                <w:szCs w:val="24"/>
              </w:rPr>
              <w:t>93(39,7%)</w:t>
            </w:r>
          </w:p>
        </w:tc>
        <w:tc>
          <w:tcPr>
            <w:tcW w:w="1280" w:type="dxa"/>
            <w:vAlign w:val="bottom"/>
          </w:tcPr>
          <w:p w:rsidR="00D24E61" w:rsidRPr="00771368" w:rsidRDefault="00D24E61">
            <w:pPr>
              <w:jc w:val="right"/>
              <w:rPr>
                <w:sz w:val="20"/>
                <w:szCs w:val="20"/>
              </w:rPr>
            </w:pPr>
            <w:r w:rsidRPr="00771368">
              <w:rPr>
                <w:sz w:val="24"/>
                <w:szCs w:val="24"/>
              </w:rPr>
              <w:t>117(50,0%)</w:t>
            </w:r>
          </w:p>
        </w:tc>
      </w:tr>
      <w:tr w:rsidR="00D24E61" w:rsidRPr="00771368">
        <w:trPr>
          <w:trHeight w:val="476"/>
        </w:trPr>
        <w:tc>
          <w:tcPr>
            <w:tcW w:w="1280" w:type="dxa"/>
            <w:vAlign w:val="bottom"/>
          </w:tcPr>
          <w:p w:rsidR="00D24E61" w:rsidRPr="00771368" w:rsidRDefault="00D24E61">
            <w:pPr>
              <w:ind w:right="20"/>
              <w:jc w:val="right"/>
              <w:rPr>
                <w:sz w:val="20"/>
                <w:szCs w:val="20"/>
              </w:rPr>
            </w:pPr>
            <w:r w:rsidRPr="00771368">
              <w:rPr>
                <w:sz w:val="24"/>
                <w:szCs w:val="24"/>
              </w:rPr>
              <w:t>7(3,0%)</w:t>
            </w:r>
          </w:p>
        </w:tc>
        <w:tc>
          <w:tcPr>
            <w:tcW w:w="1420" w:type="dxa"/>
            <w:vAlign w:val="bottom"/>
          </w:tcPr>
          <w:p w:rsidR="00D24E61" w:rsidRPr="00771368" w:rsidRDefault="00D24E61">
            <w:pPr>
              <w:ind w:right="20"/>
              <w:jc w:val="right"/>
              <w:rPr>
                <w:sz w:val="20"/>
                <w:szCs w:val="20"/>
              </w:rPr>
            </w:pPr>
            <w:r w:rsidRPr="00771368">
              <w:rPr>
                <w:sz w:val="24"/>
                <w:szCs w:val="24"/>
              </w:rPr>
              <w:t>33(14,1%)</w:t>
            </w:r>
          </w:p>
        </w:tc>
        <w:tc>
          <w:tcPr>
            <w:tcW w:w="1420" w:type="dxa"/>
            <w:vAlign w:val="bottom"/>
          </w:tcPr>
          <w:p w:rsidR="00D24E61" w:rsidRPr="00771368" w:rsidRDefault="00D24E61">
            <w:pPr>
              <w:ind w:right="20"/>
              <w:jc w:val="right"/>
              <w:rPr>
                <w:sz w:val="20"/>
                <w:szCs w:val="20"/>
              </w:rPr>
            </w:pPr>
            <w:r w:rsidRPr="00771368">
              <w:rPr>
                <w:sz w:val="24"/>
                <w:szCs w:val="24"/>
              </w:rPr>
              <w:t>103(44,0%)</w:t>
            </w:r>
          </w:p>
        </w:tc>
        <w:tc>
          <w:tcPr>
            <w:tcW w:w="1280" w:type="dxa"/>
            <w:vAlign w:val="bottom"/>
          </w:tcPr>
          <w:p w:rsidR="00D24E61" w:rsidRPr="00771368" w:rsidRDefault="00D24E61">
            <w:pPr>
              <w:jc w:val="right"/>
              <w:rPr>
                <w:sz w:val="20"/>
                <w:szCs w:val="20"/>
              </w:rPr>
            </w:pPr>
            <w:r w:rsidRPr="00771368">
              <w:rPr>
                <w:sz w:val="24"/>
                <w:szCs w:val="24"/>
              </w:rPr>
              <w:t>91(38,9%)</w:t>
            </w:r>
          </w:p>
        </w:tc>
      </w:tr>
      <w:tr w:rsidR="00D24E61" w:rsidRPr="00771368">
        <w:trPr>
          <w:trHeight w:val="394"/>
        </w:trPr>
        <w:tc>
          <w:tcPr>
            <w:tcW w:w="1280" w:type="dxa"/>
            <w:vAlign w:val="bottom"/>
          </w:tcPr>
          <w:p w:rsidR="00D24E61" w:rsidRPr="00771368" w:rsidRDefault="00D24E61">
            <w:pPr>
              <w:ind w:right="20"/>
              <w:jc w:val="right"/>
              <w:rPr>
                <w:sz w:val="20"/>
                <w:szCs w:val="20"/>
              </w:rPr>
            </w:pPr>
            <w:r w:rsidRPr="00771368">
              <w:rPr>
                <w:sz w:val="24"/>
                <w:szCs w:val="24"/>
              </w:rPr>
              <w:t>3(1,3%)</w:t>
            </w:r>
          </w:p>
        </w:tc>
        <w:tc>
          <w:tcPr>
            <w:tcW w:w="1420" w:type="dxa"/>
            <w:vAlign w:val="bottom"/>
          </w:tcPr>
          <w:p w:rsidR="00D24E61" w:rsidRPr="00771368" w:rsidRDefault="00D24E61">
            <w:pPr>
              <w:ind w:right="20"/>
              <w:jc w:val="right"/>
              <w:rPr>
                <w:sz w:val="20"/>
                <w:szCs w:val="20"/>
              </w:rPr>
            </w:pPr>
            <w:r w:rsidRPr="00771368">
              <w:rPr>
                <w:sz w:val="24"/>
                <w:szCs w:val="24"/>
              </w:rPr>
              <w:t>19(8,1%)</w:t>
            </w:r>
          </w:p>
        </w:tc>
        <w:tc>
          <w:tcPr>
            <w:tcW w:w="1420" w:type="dxa"/>
            <w:vAlign w:val="bottom"/>
          </w:tcPr>
          <w:p w:rsidR="00D24E61" w:rsidRPr="00771368" w:rsidRDefault="00D24E61">
            <w:pPr>
              <w:ind w:right="20"/>
              <w:jc w:val="right"/>
              <w:rPr>
                <w:sz w:val="20"/>
                <w:szCs w:val="20"/>
              </w:rPr>
            </w:pPr>
            <w:r w:rsidRPr="00771368">
              <w:rPr>
                <w:sz w:val="24"/>
                <w:szCs w:val="24"/>
              </w:rPr>
              <w:t>93(39,7%)</w:t>
            </w:r>
          </w:p>
        </w:tc>
        <w:tc>
          <w:tcPr>
            <w:tcW w:w="1280" w:type="dxa"/>
            <w:vAlign w:val="bottom"/>
          </w:tcPr>
          <w:p w:rsidR="00D24E61" w:rsidRPr="00771368" w:rsidRDefault="00D24E61">
            <w:pPr>
              <w:jc w:val="right"/>
              <w:rPr>
                <w:sz w:val="20"/>
                <w:szCs w:val="20"/>
              </w:rPr>
            </w:pPr>
            <w:r w:rsidRPr="00771368">
              <w:rPr>
                <w:sz w:val="24"/>
                <w:szCs w:val="24"/>
              </w:rPr>
              <w:t>119(50,9%)</w:t>
            </w:r>
          </w:p>
        </w:tc>
      </w:tr>
      <w:tr w:rsidR="00D24E61" w:rsidRPr="00771368">
        <w:trPr>
          <w:trHeight w:val="475"/>
        </w:trPr>
        <w:tc>
          <w:tcPr>
            <w:tcW w:w="1280" w:type="dxa"/>
            <w:vAlign w:val="bottom"/>
          </w:tcPr>
          <w:p w:rsidR="00D24E61" w:rsidRPr="00771368" w:rsidRDefault="00D24E61">
            <w:pPr>
              <w:ind w:right="20"/>
              <w:jc w:val="right"/>
              <w:rPr>
                <w:sz w:val="20"/>
                <w:szCs w:val="20"/>
              </w:rPr>
            </w:pPr>
            <w:r w:rsidRPr="00771368">
              <w:rPr>
                <w:w w:val="98"/>
                <w:sz w:val="24"/>
                <w:szCs w:val="24"/>
              </w:rPr>
              <w:t>109(46,7%)</w:t>
            </w:r>
          </w:p>
        </w:tc>
        <w:tc>
          <w:tcPr>
            <w:tcW w:w="1420" w:type="dxa"/>
            <w:vAlign w:val="bottom"/>
          </w:tcPr>
          <w:p w:rsidR="00D24E61" w:rsidRPr="00771368" w:rsidRDefault="00D24E61">
            <w:pPr>
              <w:ind w:right="20"/>
              <w:jc w:val="right"/>
              <w:rPr>
                <w:sz w:val="20"/>
                <w:szCs w:val="20"/>
              </w:rPr>
            </w:pPr>
            <w:r w:rsidRPr="00771368">
              <w:rPr>
                <w:sz w:val="24"/>
                <w:szCs w:val="24"/>
              </w:rPr>
              <w:t>104(44,4%)</w:t>
            </w:r>
          </w:p>
        </w:tc>
        <w:tc>
          <w:tcPr>
            <w:tcW w:w="1420" w:type="dxa"/>
            <w:vAlign w:val="bottom"/>
          </w:tcPr>
          <w:p w:rsidR="00D24E61" w:rsidRPr="00771368" w:rsidRDefault="00D24E61">
            <w:pPr>
              <w:ind w:right="20"/>
              <w:jc w:val="right"/>
              <w:rPr>
                <w:sz w:val="20"/>
                <w:szCs w:val="20"/>
              </w:rPr>
            </w:pPr>
            <w:r w:rsidRPr="00771368">
              <w:rPr>
                <w:sz w:val="24"/>
                <w:szCs w:val="24"/>
              </w:rPr>
              <w:t>16(6,8%)</w:t>
            </w:r>
          </w:p>
        </w:tc>
        <w:tc>
          <w:tcPr>
            <w:tcW w:w="1280" w:type="dxa"/>
            <w:vAlign w:val="bottom"/>
          </w:tcPr>
          <w:p w:rsidR="00D24E61" w:rsidRPr="00771368" w:rsidRDefault="00D24E61">
            <w:pPr>
              <w:jc w:val="right"/>
              <w:rPr>
                <w:sz w:val="20"/>
                <w:szCs w:val="20"/>
              </w:rPr>
            </w:pPr>
            <w:r w:rsidRPr="00771368">
              <w:rPr>
                <w:sz w:val="24"/>
                <w:szCs w:val="24"/>
              </w:rPr>
              <w:t>5(2,1%)</w:t>
            </w:r>
          </w:p>
        </w:tc>
      </w:tr>
    </w:tbl>
    <w:p w:rsidR="00D24E61" w:rsidRPr="00771368" w:rsidRDefault="00013211">
      <w:pPr>
        <w:jc w:val="right"/>
        <w:rPr>
          <w:sz w:val="20"/>
          <w:szCs w:val="20"/>
        </w:rPr>
        <w:sectPr w:rsidR="00D24E61" w:rsidRPr="00771368">
          <w:type w:val="continuous"/>
          <w:pgSz w:w="11900" w:h="16838"/>
          <w:pgMar w:top="1440" w:right="1620" w:bottom="1440" w:left="1416" w:header="0" w:footer="0" w:gutter="0"/>
          <w:cols w:num="2" w:space="720" w:equalWidth="0">
            <w:col w:w="3044" w:space="420"/>
            <w:col w:w="5400"/>
          </w:cols>
        </w:sectPr>
      </w:pPr>
      <w:r>
        <w:rPr>
          <w:noProof/>
          <w:sz w:val="20"/>
          <w:szCs w:val="20"/>
        </w:rPr>
        <mc:AlternateContent>
          <mc:Choice Requires="wps">
            <w:drawing>
              <wp:anchor distT="0" distB="0" distL="0" distR="0" simplePos="0" relativeHeight="251760128" behindDoc="0" locked="0" layoutInCell="0" allowOverlap="1">
                <wp:simplePos x="0" y="0"/>
                <wp:positionH relativeFrom="column">
                  <wp:posOffset>-2278380</wp:posOffset>
                </wp:positionH>
                <wp:positionV relativeFrom="paragraph">
                  <wp:posOffset>95885</wp:posOffset>
                </wp:positionV>
                <wp:extent cx="5771515" cy="0"/>
                <wp:effectExtent l="7620" t="10160" r="12065" b="8890"/>
                <wp:wrapNone/>
                <wp:docPr id="170"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15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6" o:spid="_x0000_s1026" style="position:absolute;z-index:25176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79.4pt,7.55pt" to="275.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" o:allowincell="f" strokeweight=".48pt"/>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42" w:lineRule="exact"/>
        <w:rPr>
          <w:sz w:val="20"/>
          <w:szCs w:val="20"/>
        </w:rPr>
      </w:pPr>
    </w:p>
    <w:tbl>
      <w:tblPr>
        <w:tblW w:w="0" w:type="auto"/>
        <w:jc w:val="center"/>
        <w:tblLayout w:type="fixed"/>
        <w:tblCellMar>
          <w:left w:w="0" w:type="dxa"/>
          <w:right w:w="0" w:type="dxa"/>
        </w:tblCellMar>
        <w:tblLook w:val="04A0" w:firstRow="1" w:lastRow="0" w:firstColumn="1" w:lastColumn="0" w:noHBand="0" w:noVBand="1"/>
      </w:tblPr>
      <w:tblGrid>
        <w:gridCol w:w="229"/>
      </w:tblGrid>
      <w:tr w:rsidR="00D24E61" w:rsidRPr="00771368">
        <w:trPr>
          <w:trHeight w:val="1500"/>
          <w:jc w:val="center"/>
        </w:trPr>
        <w:tc>
          <w:tcPr>
            <w:tcW w:w="229" w:type="dxa"/>
            <w:textDirection w:val="btLr"/>
            <w:vAlign w:val="bottom"/>
          </w:tcPr>
          <w:p w:rsidR="00D24E61" w:rsidRPr="00771368" w:rsidRDefault="00D24E61">
            <w:pPr>
              <w:spacing w:line="239" w:lineRule="auto"/>
              <w:rPr>
                <w:sz w:val="20"/>
                <w:szCs w:val="20"/>
              </w:rPr>
            </w:pPr>
            <w:r w:rsidRPr="00771368">
              <w:rPr>
                <w:b/>
                <w:bCs/>
                <w:i/>
                <w:iCs/>
                <w:sz w:val="20"/>
                <w:szCs w:val="20"/>
              </w:rPr>
              <w:t>Fatores avaliados</w:t>
            </w:r>
          </w:p>
        </w:tc>
      </w:tr>
    </w:tbl>
    <w:p w:rsidR="00D24E61" w:rsidRPr="00771368" w:rsidRDefault="00D24E61">
      <w:pPr>
        <w:spacing w:line="200" w:lineRule="exact"/>
        <w:rPr>
          <w:sz w:val="20"/>
          <w:szCs w:val="20"/>
        </w:rPr>
      </w:pPr>
      <w:r w:rsidRPr="00771368">
        <w:rPr>
          <w:sz w:val="20"/>
          <w:szCs w:val="20"/>
        </w:rPr>
        <w:br w:type="column"/>
      </w:r>
    </w:p>
    <w:p w:rsidR="00D24E61" w:rsidRPr="00771368" w:rsidRDefault="00D24E61">
      <w:pPr>
        <w:spacing w:line="285" w:lineRule="exact"/>
        <w:rPr>
          <w:sz w:val="20"/>
          <w:szCs w:val="20"/>
        </w:rPr>
      </w:pPr>
    </w:p>
    <w:p w:rsidR="00D24E61" w:rsidRPr="00771368" w:rsidRDefault="00D24E61">
      <w:pPr>
        <w:spacing w:line="221" w:lineRule="auto"/>
        <w:ind w:left="1820" w:right="1480" w:hanging="517"/>
        <w:rPr>
          <w:sz w:val="20"/>
          <w:szCs w:val="20"/>
        </w:rPr>
      </w:pPr>
      <w:r w:rsidRPr="00771368">
        <w:rPr>
          <w:b/>
          <w:bCs/>
          <w:sz w:val="23"/>
          <w:szCs w:val="23"/>
        </w:rPr>
        <w:t>Distribuição das implicações que o estudo sobre gênero na escola influenciaria na formação do aluno</w:t>
      </w:r>
    </w:p>
    <w:p w:rsidR="00D24E61" w:rsidRPr="00771368" w:rsidRDefault="00D24E61">
      <w:pPr>
        <w:spacing w:line="120" w:lineRule="exact"/>
        <w:rPr>
          <w:sz w:val="20"/>
          <w:szCs w:val="20"/>
        </w:rPr>
      </w:pPr>
    </w:p>
    <w:p w:rsidR="00D24E61" w:rsidRPr="00771368" w:rsidRDefault="00D24E61">
      <w:pPr>
        <w:rPr>
          <w:sz w:val="20"/>
          <w:szCs w:val="20"/>
        </w:rPr>
      </w:pPr>
      <w:r w:rsidRPr="00771368">
        <w:rPr>
          <w:rFonts w:eastAsia="Calibri"/>
          <w:sz w:val="20"/>
          <w:szCs w:val="20"/>
        </w:rPr>
        <w:t>60,0%</w:t>
      </w:r>
    </w:p>
    <w:p w:rsidR="00D24E61" w:rsidRPr="00771368" w:rsidRDefault="00D24E61">
      <w:pPr>
        <w:spacing w:line="315" w:lineRule="exact"/>
        <w:rPr>
          <w:sz w:val="20"/>
          <w:szCs w:val="20"/>
        </w:rPr>
      </w:pPr>
      <w:r w:rsidRPr="00771368">
        <w:rPr>
          <w:noProof/>
          <w:sz w:val="20"/>
          <w:szCs w:val="20"/>
        </w:rPr>
        <w:drawing>
          <wp:anchor distT="0" distB="0" distL="114300" distR="114300" simplePos="0" relativeHeight="251720704" behindDoc="1" locked="0" layoutInCell="0" allowOverlap="1">
            <wp:simplePos x="0" y="0"/>
            <wp:positionH relativeFrom="column">
              <wp:posOffset>424815</wp:posOffset>
            </wp:positionH>
            <wp:positionV relativeFrom="paragraph">
              <wp:posOffset>-75565</wp:posOffset>
            </wp:positionV>
            <wp:extent cx="4984750" cy="1088390"/>
            <wp:effectExtent l="0" t="0" r="0" b="0"/>
            <wp:wrapNone/>
            <wp:docPr id="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8" cstate="print">
                      <a:extLst/>
                    </a:blip>
                    <a:srcRect/>
                    <a:stretch>
                      <a:fillRect/>
                    </a:stretch>
                  </pic:blipFill>
                  <pic:spPr bwMode="auto">
                    <a:xfrm>
                      <a:off x="0" y="0"/>
                      <a:ext cx="4984750" cy="1088390"/>
                    </a:xfrm>
                    <a:prstGeom prst="rect">
                      <a:avLst/>
                    </a:prstGeom>
                    <a:noFill/>
                  </pic:spPr>
                </pic:pic>
              </a:graphicData>
            </a:graphic>
          </wp:anchor>
        </w:drawing>
      </w:r>
    </w:p>
    <w:p w:rsidR="00D24E61" w:rsidRPr="00771368" w:rsidRDefault="00D24E61">
      <w:pPr>
        <w:rPr>
          <w:sz w:val="20"/>
          <w:szCs w:val="20"/>
        </w:rPr>
      </w:pPr>
      <w:r w:rsidRPr="00771368">
        <w:rPr>
          <w:rFonts w:eastAsia="Calibri"/>
          <w:sz w:val="20"/>
          <w:szCs w:val="20"/>
        </w:rPr>
        <w:t>40,0%</w:t>
      </w:r>
    </w:p>
    <w:p w:rsidR="00D24E61" w:rsidRPr="00771368" w:rsidRDefault="00D24E61">
      <w:pPr>
        <w:spacing w:line="314" w:lineRule="exact"/>
        <w:rPr>
          <w:sz w:val="20"/>
          <w:szCs w:val="20"/>
        </w:rPr>
      </w:pPr>
    </w:p>
    <w:p w:rsidR="00D24E61" w:rsidRPr="00771368" w:rsidRDefault="00D24E61">
      <w:pPr>
        <w:rPr>
          <w:sz w:val="20"/>
          <w:szCs w:val="20"/>
        </w:rPr>
      </w:pPr>
      <w:r w:rsidRPr="00771368">
        <w:rPr>
          <w:rFonts w:eastAsia="Calibri"/>
          <w:sz w:val="20"/>
          <w:szCs w:val="20"/>
        </w:rPr>
        <w:t>20,0%</w:t>
      </w:r>
    </w:p>
    <w:p w:rsidR="00D24E61" w:rsidRPr="00771368" w:rsidRDefault="00D24E61">
      <w:pPr>
        <w:spacing w:line="273" w:lineRule="exact"/>
        <w:rPr>
          <w:sz w:val="20"/>
          <w:szCs w:val="20"/>
        </w:rPr>
      </w:pPr>
    </w:p>
    <w:p w:rsidR="00D24E61" w:rsidRPr="00771368" w:rsidRDefault="00D24E61">
      <w:pPr>
        <w:ind w:left="100"/>
        <w:rPr>
          <w:sz w:val="20"/>
          <w:szCs w:val="20"/>
        </w:rPr>
      </w:pPr>
      <w:r w:rsidRPr="00771368">
        <w:rPr>
          <w:rFonts w:eastAsia="Calibri"/>
          <w:sz w:val="20"/>
          <w:szCs w:val="20"/>
        </w:rPr>
        <w:t>0,0%</w:t>
      </w:r>
    </w:p>
    <w:tbl>
      <w:tblPr>
        <w:tblW w:w="0" w:type="auto"/>
        <w:tblInd w:w="840" w:type="dxa"/>
        <w:tblLayout w:type="fixed"/>
        <w:tblCellMar>
          <w:left w:w="0" w:type="dxa"/>
          <w:right w:w="0" w:type="dxa"/>
        </w:tblCellMar>
        <w:tblLook w:val="04A0" w:firstRow="1" w:lastRow="0" w:firstColumn="1" w:lastColumn="0" w:noHBand="0" w:noVBand="1"/>
      </w:tblPr>
      <w:tblGrid>
        <w:gridCol w:w="720"/>
        <w:gridCol w:w="860"/>
        <w:gridCol w:w="900"/>
        <w:gridCol w:w="840"/>
        <w:gridCol w:w="840"/>
        <w:gridCol w:w="900"/>
        <w:gridCol w:w="920"/>
        <w:gridCol w:w="740"/>
        <w:gridCol w:w="820"/>
        <w:gridCol w:w="20"/>
      </w:tblGrid>
      <w:tr w:rsidR="00D24E61" w:rsidRPr="00771368">
        <w:trPr>
          <w:trHeight w:val="126"/>
        </w:trPr>
        <w:tc>
          <w:tcPr>
            <w:tcW w:w="720" w:type="dxa"/>
            <w:vMerge w:val="restart"/>
            <w:vAlign w:val="bottom"/>
          </w:tcPr>
          <w:p w:rsidR="00D24E61" w:rsidRPr="00771368" w:rsidRDefault="00D24E61">
            <w:pPr>
              <w:ind w:right="80"/>
              <w:jc w:val="center"/>
              <w:rPr>
                <w:sz w:val="20"/>
                <w:szCs w:val="20"/>
              </w:rPr>
            </w:pPr>
            <w:r w:rsidRPr="00771368">
              <w:rPr>
                <w:w w:val="99"/>
                <w:sz w:val="12"/>
                <w:szCs w:val="12"/>
              </w:rPr>
              <w:t>1</w:t>
            </w:r>
          </w:p>
        </w:tc>
        <w:tc>
          <w:tcPr>
            <w:tcW w:w="860" w:type="dxa"/>
            <w:vAlign w:val="bottom"/>
          </w:tcPr>
          <w:p w:rsidR="00D24E61" w:rsidRPr="00771368" w:rsidRDefault="00D24E61">
            <w:pPr>
              <w:rPr>
                <w:sz w:val="10"/>
                <w:szCs w:val="10"/>
              </w:rPr>
            </w:pPr>
          </w:p>
        </w:tc>
        <w:tc>
          <w:tcPr>
            <w:tcW w:w="900" w:type="dxa"/>
            <w:vMerge w:val="restart"/>
            <w:vAlign w:val="bottom"/>
          </w:tcPr>
          <w:p w:rsidR="00D24E61" w:rsidRPr="00771368" w:rsidRDefault="00D24E61">
            <w:pPr>
              <w:jc w:val="center"/>
              <w:rPr>
                <w:sz w:val="20"/>
                <w:szCs w:val="20"/>
              </w:rPr>
            </w:pPr>
            <w:r w:rsidRPr="00771368">
              <w:rPr>
                <w:w w:val="99"/>
                <w:sz w:val="12"/>
                <w:szCs w:val="12"/>
              </w:rPr>
              <w:t>3</w:t>
            </w:r>
          </w:p>
        </w:tc>
        <w:tc>
          <w:tcPr>
            <w:tcW w:w="840" w:type="dxa"/>
            <w:vMerge w:val="restart"/>
            <w:vAlign w:val="bottom"/>
          </w:tcPr>
          <w:p w:rsidR="00D24E61" w:rsidRPr="00771368" w:rsidRDefault="00D24E61">
            <w:pPr>
              <w:jc w:val="center"/>
              <w:rPr>
                <w:sz w:val="20"/>
                <w:szCs w:val="20"/>
              </w:rPr>
            </w:pPr>
            <w:r w:rsidRPr="00771368">
              <w:rPr>
                <w:w w:val="99"/>
                <w:sz w:val="12"/>
                <w:szCs w:val="12"/>
              </w:rPr>
              <w:t>4</w:t>
            </w:r>
          </w:p>
        </w:tc>
        <w:tc>
          <w:tcPr>
            <w:tcW w:w="840" w:type="dxa"/>
            <w:vAlign w:val="bottom"/>
          </w:tcPr>
          <w:p w:rsidR="00D24E61" w:rsidRPr="00771368" w:rsidRDefault="00D24E61">
            <w:pPr>
              <w:rPr>
                <w:sz w:val="10"/>
                <w:szCs w:val="10"/>
              </w:rPr>
            </w:pPr>
          </w:p>
        </w:tc>
        <w:tc>
          <w:tcPr>
            <w:tcW w:w="900" w:type="dxa"/>
            <w:vAlign w:val="bottom"/>
          </w:tcPr>
          <w:p w:rsidR="00D24E61" w:rsidRPr="00771368" w:rsidRDefault="00D24E61">
            <w:pPr>
              <w:spacing w:line="125" w:lineRule="exact"/>
              <w:jc w:val="center"/>
              <w:rPr>
                <w:sz w:val="20"/>
                <w:szCs w:val="20"/>
              </w:rPr>
            </w:pPr>
            <w:r w:rsidRPr="00771368">
              <w:rPr>
                <w:w w:val="99"/>
                <w:sz w:val="12"/>
                <w:szCs w:val="12"/>
              </w:rPr>
              <w:t>6</w:t>
            </w:r>
          </w:p>
        </w:tc>
        <w:tc>
          <w:tcPr>
            <w:tcW w:w="920" w:type="dxa"/>
            <w:vAlign w:val="bottom"/>
          </w:tcPr>
          <w:p w:rsidR="00D24E61" w:rsidRPr="00771368" w:rsidRDefault="00D24E61">
            <w:pPr>
              <w:rPr>
                <w:sz w:val="10"/>
                <w:szCs w:val="10"/>
              </w:rPr>
            </w:pPr>
          </w:p>
        </w:tc>
        <w:tc>
          <w:tcPr>
            <w:tcW w:w="740" w:type="dxa"/>
            <w:vAlign w:val="bottom"/>
          </w:tcPr>
          <w:p w:rsidR="00D24E61" w:rsidRPr="00771368" w:rsidRDefault="00D24E61">
            <w:pPr>
              <w:rPr>
                <w:sz w:val="10"/>
                <w:szCs w:val="10"/>
              </w:rPr>
            </w:pPr>
          </w:p>
        </w:tc>
        <w:tc>
          <w:tcPr>
            <w:tcW w:w="820" w:type="dxa"/>
            <w:vMerge w:val="restart"/>
            <w:vAlign w:val="bottom"/>
          </w:tcPr>
          <w:p w:rsidR="00D24E61" w:rsidRPr="00771368" w:rsidRDefault="00D24E61">
            <w:pPr>
              <w:ind w:left="140"/>
              <w:jc w:val="center"/>
              <w:rPr>
                <w:sz w:val="20"/>
                <w:szCs w:val="20"/>
              </w:rPr>
            </w:pPr>
            <w:r w:rsidRPr="00771368">
              <w:rPr>
                <w:w w:val="99"/>
                <w:sz w:val="12"/>
                <w:szCs w:val="12"/>
              </w:rPr>
              <w:t>9</w:t>
            </w:r>
          </w:p>
        </w:tc>
        <w:tc>
          <w:tcPr>
            <w:tcW w:w="0" w:type="dxa"/>
            <w:vAlign w:val="bottom"/>
          </w:tcPr>
          <w:p w:rsidR="00D24E61" w:rsidRPr="00771368" w:rsidRDefault="00D24E61">
            <w:pPr>
              <w:rPr>
                <w:sz w:val="1"/>
                <w:szCs w:val="1"/>
              </w:rPr>
            </w:pPr>
          </w:p>
        </w:tc>
      </w:tr>
      <w:tr w:rsidR="00D24E61" w:rsidRPr="00771368">
        <w:trPr>
          <w:trHeight w:val="82"/>
        </w:trPr>
        <w:tc>
          <w:tcPr>
            <w:tcW w:w="720" w:type="dxa"/>
            <w:vMerge/>
            <w:vAlign w:val="bottom"/>
          </w:tcPr>
          <w:p w:rsidR="00D24E61" w:rsidRPr="00771368" w:rsidRDefault="00D24E61">
            <w:pPr>
              <w:rPr>
                <w:sz w:val="7"/>
                <w:szCs w:val="7"/>
              </w:rPr>
            </w:pPr>
          </w:p>
        </w:tc>
        <w:tc>
          <w:tcPr>
            <w:tcW w:w="860" w:type="dxa"/>
            <w:vMerge w:val="restart"/>
            <w:vAlign w:val="bottom"/>
          </w:tcPr>
          <w:p w:rsidR="00D24E61" w:rsidRPr="00771368" w:rsidRDefault="00D24E61">
            <w:pPr>
              <w:jc w:val="center"/>
              <w:rPr>
                <w:sz w:val="20"/>
                <w:szCs w:val="20"/>
              </w:rPr>
            </w:pPr>
            <w:r w:rsidRPr="00771368">
              <w:rPr>
                <w:w w:val="99"/>
                <w:sz w:val="12"/>
                <w:szCs w:val="12"/>
              </w:rPr>
              <w:t>2</w:t>
            </w:r>
          </w:p>
        </w:tc>
        <w:tc>
          <w:tcPr>
            <w:tcW w:w="900" w:type="dxa"/>
            <w:vMerge/>
            <w:vAlign w:val="bottom"/>
          </w:tcPr>
          <w:p w:rsidR="00D24E61" w:rsidRPr="00771368" w:rsidRDefault="00D24E61">
            <w:pPr>
              <w:rPr>
                <w:sz w:val="7"/>
                <w:szCs w:val="7"/>
              </w:rPr>
            </w:pPr>
          </w:p>
        </w:tc>
        <w:tc>
          <w:tcPr>
            <w:tcW w:w="840" w:type="dxa"/>
            <w:vMerge/>
            <w:vAlign w:val="bottom"/>
          </w:tcPr>
          <w:p w:rsidR="00D24E61" w:rsidRPr="00771368" w:rsidRDefault="00D24E61">
            <w:pPr>
              <w:rPr>
                <w:sz w:val="7"/>
                <w:szCs w:val="7"/>
              </w:rPr>
            </w:pPr>
          </w:p>
        </w:tc>
        <w:tc>
          <w:tcPr>
            <w:tcW w:w="840" w:type="dxa"/>
            <w:vMerge w:val="restart"/>
            <w:vAlign w:val="bottom"/>
          </w:tcPr>
          <w:p w:rsidR="00D24E61" w:rsidRPr="00771368" w:rsidRDefault="00D24E61">
            <w:pPr>
              <w:jc w:val="center"/>
              <w:rPr>
                <w:sz w:val="20"/>
                <w:szCs w:val="20"/>
              </w:rPr>
            </w:pPr>
            <w:r w:rsidRPr="00771368">
              <w:rPr>
                <w:w w:val="99"/>
                <w:sz w:val="12"/>
                <w:szCs w:val="12"/>
              </w:rPr>
              <w:t>5</w:t>
            </w:r>
          </w:p>
        </w:tc>
        <w:tc>
          <w:tcPr>
            <w:tcW w:w="900" w:type="dxa"/>
            <w:vAlign w:val="bottom"/>
          </w:tcPr>
          <w:p w:rsidR="00D24E61" w:rsidRPr="00771368" w:rsidRDefault="00D24E61">
            <w:pPr>
              <w:rPr>
                <w:sz w:val="7"/>
                <w:szCs w:val="7"/>
              </w:rPr>
            </w:pPr>
          </w:p>
        </w:tc>
        <w:tc>
          <w:tcPr>
            <w:tcW w:w="920" w:type="dxa"/>
            <w:vMerge w:val="restart"/>
            <w:vAlign w:val="bottom"/>
          </w:tcPr>
          <w:p w:rsidR="00D24E61" w:rsidRPr="00771368" w:rsidRDefault="00D24E61">
            <w:pPr>
              <w:jc w:val="center"/>
              <w:rPr>
                <w:sz w:val="20"/>
                <w:szCs w:val="20"/>
              </w:rPr>
            </w:pPr>
            <w:r w:rsidRPr="00771368">
              <w:rPr>
                <w:w w:val="99"/>
                <w:sz w:val="12"/>
                <w:szCs w:val="12"/>
              </w:rPr>
              <w:t>7</w:t>
            </w:r>
          </w:p>
        </w:tc>
        <w:tc>
          <w:tcPr>
            <w:tcW w:w="740" w:type="dxa"/>
            <w:vAlign w:val="bottom"/>
          </w:tcPr>
          <w:p w:rsidR="00D24E61" w:rsidRPr="00771368" w:rsidRDefault="00D24E61">
            <w:pPr>
              <w:rPr>
                <w:sz w:val="7"/>
                <w:szCs w:val="7"/>
              </w:rPr>
            </w:pPr>
          </w:p>
        </w:tc>
        <w:tc>
          <w:tcPr>
            <w:tcW w:w="820" w:type="dxa"/>
            <w:vMerge/>
            <w:vAlign w:val="bottom"/>
          </w:tcPr>
          <w:p w:rsidR="00D24E61" w:rsidRPr="00771368" w:rsidRDefault="00D24E61">
            <w:pPr>
              <w:rPr>
                <w:sz w:val="7"/>
                <w:szCs w:val="7"/>
              </w:rPr>
            </w:pPr>
          </w:p>
        </w:tc>
        <w:tc>
          <w:tcPr>
            <w:tcW w:w="0" w:type="dxa"/>
            <w:vAlign w:val="bottom"/>
          </w:tcPr>
          <w:p w:rsidR="00D24E61" w:rsidRPr="00771368" w:rsidRDefault="00D24E61">
            <w:pPr>
              <w:rPr>
                <w:sz w:val="1"/>
                <w:szCs w:val="1"/>
              </w:rPr>
            </w:pPr>
          </w:p>
        </w:tc>
      </w:tr>
      <w:tr w:rsidR="00D24E61" w:rsidRPr="00771368">
        <w:trPr>
          <w:trHeight w:val="77"/>
        </w:trPr>
        <w:tc>
          <w:tcPr>
            <w:tcW w:w="720" w:type="dxa"/>
            <w:vAlign w:val="bottom"/>
          </w:tcPr>
          <w:p w:rsidR="00D24E61" w:rsidRPr="00771368" w:rsidRDefault="00D24E61">
            <w:pPr>
              <w:rPr>
                <w:sz w:val="6"/>
                <w:szCs w:val="6"/>
              </w:rPr>
            </w:pPr>
          </w:p>
        </w:tc>
        <w:tc>
          <w:tcPr>
            <w:tcW w:w="860" w:type="dxa"/>
            <w:vMerge/>
            <w:vAlign w:val="bottom"/>
          </w:tcPr>
          <w:p w:rsidR="00D24E61" w:rsidRPr="00771368" w:rsidRDefault="00D24E61">
            <w:pPr>
              <w:rPr>
                <w:sz w:val="6"/>
                <w:szCs w:val="6"/>
              </w:rPr>
            </w:pPr>
          </w:p>
        </w:tc>
        <w:tc>
          <w:tcPr>
            <w:tcW w:w="900" w:type="dxa"/>
            <w:vAlign w:val="bottom"/>
          </w:tcPr>
          <w:p w:rsidR="00D24E61" w:rsidRPr="00771368" w:rsidRDefault="00D24E61">
            <w:pPr>
              <w:rPr>
                <w:sz w:val="6"/>
                <w:szCs w:val="6"/>
              </w:rPr>
            </w:pPr>
          </w:p>
        </w:tc>
        <w:tc>
          <w:tcPr>
            <w:tcW w:w="840" w:type="dxa"/>
            <w:vAlign w:val="bottom"/>
          </w:tcPr>
          <w:p w:rsidR="00D24E61" w:rsidRPr="00771368" w:rsidRDefault="00D24E61">
            <w:pPr>
              <w:rPr>
                <w:sz w:val="6"/>
                <w:szCs w:val="6"/>
              </w:rPr>
            </w:pPr>
          </w:p>
        </w:tc>
        <w:tc>
          <w:tcPr>
            <w:tcW w:w="840" w:type="dxa"/>
            <w:vMerge/>
            <w:vAlign w:val="bottom"/>
          </w:tcPr>
          <w:p w:rsidR="00D24E61" w:rsidRPr="00771368" w:rsidRDefault="00D24E61">
            <w:pPr>
              <w:rPr>
                <w:sz w:val="6"/>
                <w:szCs w:val="6"/>
              </w:rPr>
            </w:pPr>
          </w:p>
        </w:tc>
        <w:tc>
          <w:tcPr>
            <w:tcW w:w="900" w:type="dxa"/>
            <w:vAlign w:val="bottom"/>
          </w:tcPr>
          <w:p w:rsidR="00D24E61" w:rsidRPr="00771368" w:rsidRDefault="00D24E61">
            <w:pPr>
              <w:rPr>
                <w:sz w:val="6"/>
                <w:szCs w:val="6"/>
              </w:rPr>
            </w:pPr>
          </w:p>
        </w:tc>
        <w:tc>
          <w:tcPr>
            <w:tcW w:w="920" w:type="dxa"/>
            <w:vMerge/>
            <w:vAlign w:val="bottom"/>
          </w:tcPr>
          <w:p w:rsidR="00D24E61" w:rsidRPr="00771368" w:rsidRDefault="00D24E61">
            <w:pPr>
              <w:rPr>
                <w:sz w:val="6"/>
                <w:szCs w:val="6"/>
              </w:rPr>
            </w:pPr>
          </w:p>
        </w:tc>
        <w:tc>
          <w:tcPr>
            <w:tcW w:w="740" w:type="dxa"/>
            <w:vMerge w:val="restart"/>
            <w:vAlign w:val="bottom"/>
          </w:tcPr>
          <w:p w:rsidR="00D24E61" w:rsidRPr="00771368" w:rsidRDefault="00D24E61">
            <w:pPr>
              <w:ind w:right="280"/>
              <w:jc w:val="right"/>
              <w:rPr>
                <w:sz w:val="20"/>
                <w:szCs w:val="20"/>
              </w:rPr>
            </w:pPr>
            <w:r w:rsidRPr="00771368">
              <w:rPr>
                <w:sz w:val="12"/>
                <w:szCs w:val="12"/>
              </w:rPr>
              <w:t>8</w:t>
            </w:r>
          </w:p>
        </w:tc>
        <w:tc>
          <w:tcPr>
            <w:tcW w:w="820" w:type="dxa"/>
            <w:vAlign w:val="bottom"/>
          </w:tcPr>
          <w:p w:rsidR="00D24E61" w:rsidRPr="00771368" w:rsidRDefault="00D24E61">
            <w:pPr>
              <w:rPr>
                <w:sz w:val="6"/>
                <w:szCs w:val="6"/>
              </w:rPr>
            </w:pPr>
          </w:p>
        </w:tc>
        <w:tc>
          <w:tcPr>
            <w:tcW w:w="0" w:type="dxa"/>
            <w:vAlign w:val="bottom"/>
          </w:tcPr>
          <w:p w:rsidR="00D24E61" w:rsidRPr="00771368" w:rsidRDefault="00D24E61">
            <w:pPr>
              <w:rPr>
                <w:sz w:val="1"/>
                <w:szCs w:val="1"/>
              </w:rPr>
            </w:pPr>
          </w:p>
        </w:tc>
      </w:tr>
      <w:tr w:rsidR="00D24E61" w:rsidRPr="00771368">
        <w:trPr>
          <w:trHeight w:val="82"/>
        </w:trPr>
        <w:tc>
          <w:tcPr>
            <w:tcW w:w="720" w:type="dxa"/>
            <w:vAlign w:val="bottom"/>
          </w:tcPr>
          <w:p w:rsidR="00D24E61" w:rsidRPr="00771368" w:rsidRDefault="00D24E61">
            <w:pPr>
              <w:rPr>
                <w:sz w:val="7"/>
                <w:szCs w:val="7"/>
              </w:rPr>
            </w:pPr>
          </w:p>
        </w:tc>
        <w:tc>
          <w:tcPr>
            <w:tcW w:w="860" w:type="dxa"/>
            <w:vAlign w:val="bottom"/>
          </w:tcPr>
          <w:p w:rsidR="00D24E61" w:rsidRPr="00771368" w:rsidRDefault="00D24E61">
            <w:pPr>
              <w:rPr>
                <w:sz w:val="7"/>
                <w:szCs w:val="7"/>
              </w:rPr>
            </w:pPr>
          </w:p>
        </w:tc>
        <w:tc>
          <w:tcPr>
            <w:tcW w:w="900" w:type="dxa"/>
            <w:vAlign w:val="bottom"/>
          </w:tcPr>
          <w:p w:rsidR="00D24E61" w:rsidRPr="00771368" w:rsidRDefault="00D24E61">
            <w:pPr>
              <w:rPr>
                <w:sz w:val="7"/>
                <w:szCs w:val="7"/>
              </w:rPr>
            </w:pPr>
          </w:p>
        </w:tc>
        <w:tc>
          <w:tcPr>
            <w:tcW w:w="840" w:type="dxa"/>
            <w:vAlign w:val="bottom"/>
          </w:tcPr>
          <w:p w:rsidR="00D24E61" w:rsidRPr="00771368" w:rsidRDefault="00D24E61">
            <w:pPr>
              <w:rPr>
                <w:sz w:val="7"/>
                <w:szCs w:val="7"/>
              </w:rPr>
            </w:pPr>
          </w:p>
        </w:tc>
        <w:tc>
          <w:tcPr>
            <w:tcW w:w="840" w:type="dxa"/>
            <w:vAlign w:val="bottom"/>
          </w:tcPr>
          <w:p w:rsidR="00D24E61" w:rsidRPr="00771368" w:rsidRDefault="00D24E61">
            <w:pPr>
              <w:rPr>
                <w:sz w:val="7"/>
                <w:szCs w:val="7"/>
              </w:rPr>
            </w:pPr>
          </w:p>
        </w:tc>
        <w:tc>
          <w:tcPr>
            <w:tcW w:w="900" w:type="dxa"/>
            <w:vAlign w:val="bottom"/>
          </w:tcPr>
          <w:p w:rsidR="00D24E61" w:rsidRPr="00771368" w:rsidRDefault="00D24E61">
            <w:pPr>
              <w:rPr>
                <w:sz w:val="7"/>
                <w:szCs w:val="7"/>
              </w:rPr>
            </w:pPr>
          </w:p>
        </w:tc>
        <w:tc>
          <w:tcPr>
            <w:tcW w:w="920" w:type="dxa"/>
            <w:vAlign w:val="bottom"/>
          </w:tcPr>
          <w:p w:rsidR="00D24E61" w:rsidRPr="00771368" w:rsidRDefault="00D24E61">
            <w:pPr>
              <w:rPr>
                <w:sz w:val="7"/>
                <w:szCs w:val="7"/>
              </w:rPr>
            </w:pPr>
          </w:p>
        </w:tc>
        <w:tc>
          <w:tcPr>
            <w:tcW w:w="740" w:type="dxa"/>
            <w:vMerge/>
            <w:vAlign w:val="bottom"/>
          </w:tcPr>
          <w:p w:rsidR="00D24E61" w:rsidRPr="00771368" w:rsidRDefault="00D24E61">
            <w:pPr>
              <w:rPr>
                <w:sz w:val="7"/>
                <w:szCs w:val="7"/>
              </w:rPr>
            </w:pPr>
          </w:p>
        </w:tc>
        <w:tc>
          <w:tcPr>
            <w:tcW w:w="820" w:type="dxa"/>
            <w:vAlign w:val="bottom"/>
          </w:tcPr>
          <w:p w:rsidR="00D24E61" w:rsidRPr="00771368" w:rsidRDefault="00D24E61">
            <w:pPr>
              <w:rPr>
                <w:sz w:val="7"/>
                <w:szCs w:val="7"/>
              </w:rPr>
            </w:pPr>
          </w:p>
        </w:tc>
        <w:tc>
          <w:tcPr>
            <w:tcW w:w="0" w:type="dxa"/>
            <w:vAlign w:val="bottom"/>
          </w:tcPr>
          <w:p w:rsidR="00D24E61" w:rsidRPr="00771368" w:rsidRDefault="00D24E61">
            <w:pPr>
              <w:rPr>
                <w:sz w:val="1"/>
                <w:szCs w:val="1"/>
              </w:rPr>
            </w:pPr>
          </w:p>
        </w:tc>
      </w:tr>
      <w:tr w:rsidR="00D24E61" w:rsidRPr="00771368">
        <w:trPr>
          <w:trHeight w:val="125"/>
        </w:trPr>
        <w:tc>
          <w:tcPr>
            <w:tcW w:w="720" w:type="dxa"/>
            <w:vMerge w:val="restart"/>
            <w:vAlign w:val="bottom"/>
          </w:tcPr>
          <w:p w:rsidR="00D24E61" w:rsidRPr="00771368" w:rsidRDefault="00D24E61">
            <w:pPr>
              <w:ind w:right="100"/>
              <w:jc w:val="center"/>
              <w:rPr>
                <w:sz w:val="20"/>
                <w:szCs w:val="20"/>
              </w:rPr>
            </w:pPr>
            <w:r w:rsidRPr="00771368">
              <w:rPr>
                <w:w w:val="98"/>
                <w:sz w:val="12"/>
                <w:szCs w:val="12"/>
              </w:rPr>
              <w:t>Ampliaria a</w:t>
            </w:r>
          </w:p>
        </w:tc>
        <w:tc>
          <w:tcPr>
            <w:tcW w:w="860" w:type="dxa"/>
            <w:vAlign w:val="bottom"/>
          </w:tcPr>
          <w:p w:rsidR="00D24E61" w:rsidRPr="00771368" w:rsidRDefault="00D24E61">
            <w:pPr>
              <w:rPr>
                <w:sz w:val="10"/>
                <w:szCs w:val="10"/>
              </w:rPr>
            </w:pPr>
          </w:p>
        </w:tc>
        <w:tc>
          <w:tcPr>
            <w:tcW w:w="900" w:type="dxa"/>
            <w:vMerge w:val="restart"/>
            <w:vAlign w:val="bottom"/>
          </w:tcPr>
          <w:p w:rsidR="00D24E61" w:rsidRPr="00771368" w:rsidRDefault="00D24E61">
            <w:pPr>
              <w:jc w:val="center"/>
              <w:rPr>
                <w:sz w:val="20"/>
                <w:szCs w:val="20"/>
              </w:rPr>
            </w:pPr>
            <w:r w:rsidRPr="00771368">
              <w:rPr>
                <w:w w:val="99"/>
                <w:sz w:val="12"/>
                <w:szCs w:val="12"/>
              </w:rPr>
              <w:t>Conheciment</w:t>
            </w:r>
          </w:p>
        </w:tc>
        <w:tc>
          <w:tcPr>
            <w:tcW w:w="840" w:type="dxa"/>
            <w:vMerge w:val="restart"/>
            <w:vAlign w:val="bottom"/>
          </w:tcPr>
          <w:p w:rsidR="00D24E61" w:rsidRPr="00771368" w:rsidRDefault="00D24E61">
            <w:pPr>
              <w:jc w:val="center"/>
              <w:rPr>
                <w:sz w:val="20"/>
                <w:szCs w:val="20"/>
              </w:rPr>
            </w:pPr>
            <w:r w:rsidRPr="00771368">
              <w:rPr>
                <w:w w:val="99"/>
                <w:sz w:val="12"/>
                <w:szCs w:val="12"/>
              </w:rPr>
              <w:t>Queda no</w:t>
            </w:r>
          </w:p>
        </w:tc>
        <w:tc>
          <w:tcPr>
            <w:tcW w:w="840" w:type="dxa"/>
            <w:vAlign w:val="bottom"/>
          </w:tcPr>
          <w:p w:rsidR="00D24E61" w:rsidRPr="00771368" w:rsidRDefault="00D24E61">
            <w:pPr>
              <w:rPr>
                <w:sz w:val="10"/>
                <w:szCs w:val="10"/>
              </w:rPr>
            </w:pPr>
          </w:p>
        </w:tc>
        <w:tc>
          <w:tcPr>
            <w:tcW w:w="900" w:type="dxa"/>
            <w:vAlign w:val="bottom"/>
          </w:tcPr>
          <w:p w:rsidR="00D24E61" w:rsidRPr="00771368" w:rsidRDefault="00D24E61">
            <w:pPr>
              <w:spacing w:line="125" w:lineRule="exact"/>
              <w:jc w:val="center"/>
              <w:rPr>
                <w:sz w:val="20"/>
                <w:szCs w:val="20"/>
              </w:rPr>
            </w:pPr>
            <w:r w:rsidRPr="00771368">
              <w:rPr>
                <w:w w:val="97"/>
                <w:sz w:val="12"/>
                <w:szCs w:val="12"/>
              </w:rPr>
              <w:t>Dificuldades</w:t>
            </w:r>
          </w:p>
        </w:tc>
        <w:tc>
          <w:tcPr>
            <w:tcW w:w="920" w:type="dxa"/>
            <w:vAlign w:val="bottom"/>
          </w:tcPr>
          <w:p w:rsidR="00D24E61" w:rsidRPr="00771368" w:rsidRDefault="00D24E61">
            <w:pPr>
              <w:rPr>
                <w:sz w:val="10"/>
                <w:szCs w:val="10"/>
              </w:rPr>
            </w:pPr>
          </w:p>
        </w:tc>
        <w:tc>
          <w:tcPr>
            <w:tcW w:w="740" w:type="dxa"/>
            <w:vAlign w:val="bottom"/>
          </w:tcPr>
          <w:p w:rsidR="00D24E61" w:rsidRPr="00771368" w:rsidRDefault="00D24E61">
            <w:pPr>
              <w:rPr>
                <w:sz w:val="10"/>
                <w:szCs w:val="10"/>
              </w:rPr>
            </w:pPr>
          </w:p>
        </w:tc>
        <w:tc>
          <w:tcPr>
            <w:tcW w:w="820" w:type="dxa"/>
            <w:vMerge w:val="restart"/>
            <w:vAlign w:val="bottom"/>
          </w:tcPr>
          <w:p w:rsidR="00D24E61" w:rsidRPr="00771368" w:rsidRDefault="00D24E61">
            <w:pPr>
              <w:ind w:left="120"/>
              <w:jc w:val="center"/>
              <w:rPr>
                <w:sz w:val="20"/>
                <w:szCs w:val="20"/>
              </w:rPr>
            </w:pPr>
            <w:r w:rsidRPr="00771368">
              <w:rPr>
                <w:w w:val="96"/>
                <w:sz w:val="12"/>
                <w:szCs w:val="12"/>
              </w:rPr>
              <w:t>Uma nova</w:t>
            </w:r>
          </w:p>
        </w:tc>
        <w:tc>
          <w:tcPr>
            <w:tcW w:w="0" w:type="dxa"/>
            <w:vAlign w:val="bottom"/>
          </w:tcPr>
          <w:p w:rsidR="00D24E61" w:rsidRPr="00771368" w:rsidRDefault="00D24E61">
            <w:pPr>
              <w:rPr>
                <w:sz w:val="1"/>
                <w:szCs w:val="1"/>
              </w:rPr>
            </w:pPr>
          </w:p>
        </w:tc>
      </w:tr>
      <w:tr w:rsidR="00D24E61" w:rsidRPr="00771368">
        <w:trPr>
          <w:trHeight w:val="77"/>
        </w:trPr>
        <w:tc>
          <w:tcPr>
            <w:tcW w:w="720" w:type="dxa"/>
            <w:vMerge/>
            <w:vAlign w:val="bottom"/>
          </w:tcPr>
          <w:p w:rsidR="00D24E61" w:rsidRPr="00771368" w:rsidRDefault="00D24E61">
            <w:pPr>
              <w:rPr>
                <w:sz w:val="6"/>
                <w:szCs w:val="6"/>
              </w:rPr>
            </w:pPr>
          </w:p>
        </w:tc>
        <w:tc>
          <w:tcPr>
            <w:tcW w:w="860" w:type="dxa"/>
            <w:vMerge w:val="restart"/>
            <w:vAlign w:val="bottom"/>
          </w:tcPr>
          <w:p w:rsidR="00D24E61" w:rsidRPr="00771368" w:rsidRDefault="00D24E61">
            <w:pPr>
              <w:jc w:val="center"/>
              <w:rPr>
                <w:sz w:val="20"/>
                <w:szCs w:val="20"/>
              </w:rPr>
            </w:pPr>
            <w:r w:rsidRPr="00771368">
              <w:rPr>
                <w:sz w:val="12"/>
                <w:szCs w:val="12"/>
              </w:rPr>
              <w:t>Sentimentos</w:t>
            </w:r>
          </w:p>
        </w:tc>
        <w:tc>
          <w:tcPr>
            <w:tcW w:w="900" w:type="dxa"/>
            <w:vMerge/>
            <w:vAlign w:val="bottom"/>
          </w:tcPr>
          <w:p w:rsidR="00D24E61" w:rsidRPr="00771368" w:rsidRDefault="00D24E61">
            <w:pPr>
              <w:rPr>
                <w:sz w:val="6"/>
                <w:szCs w:val="6"/>
              </w:rPr>
            </w:pPr>
          </w:p>
        </w:tc>
        <w:tc>
          <w:tcPr>
            <w:tcW w:w="840" w:type="dxa"/>
            <w:vMerge/>
            <w:vAlign w:val="bottom"/>
          </w:tcPr>
          <w:p w:rsidR="00D24E61" w:rsidRPr="00771368" w:rsidRDefault="00D24E61">
            <w:pPr>
              <w:rPr>
                <w:sz w:val="6"/>
                <w:szCs w:val="6"/>
              </w:rPr>
            </w:pPr>
          </w:p>
        </w:tc>
        <w:tc>
          <w:tcPr>
            <w:tcW w:w="840" w:type="dxa"/>
            <w:vMerge w:val="restart"/>
            <w:vAlign w:val="bottom"/>
          </w:tcPr>
          <w:p w:rsidR="00D24E61" w:rsidRPr="00771368" w:rsidRDefault="00D24E61">
            <w:pPr>
              <w:jc w:val="center"/>
              <w:rPr>
                <w:sz w:val="20"/>
                <w:szCs w:val="20"/>
              </w:rPr>
            </w:pPr>
            <w:r w:rsidRPr="00771368">
              <w:rPr>
                <w:w w:val="99"/>
                <w:sz w:val="12"/>
                <w:szCs w:val="12"/>
              </w:rPr>
              <w:t>Baixa</w:t>
            </w:r>
          </w:p>
        </w:tc>
        <w:tc>
          <w:tcPr>
            <w:tcW w:w="900" w:type="dxa"/>
            <w:vMerge w:val="restart"/>
            <w:vAlign w:val="bottom"/>
          </w:tcPr>
          <w:p w:rsidR="00D24E61" w:rsidRPr="00771368" w:rsidRDefault="00D24E61">
            <w:pPr>
              <w:jc w:val="center"/>
              <w:rPr>
                <w:sz w:val="20"/>
                <w:szCs w:val="20"/>
              </w:rPr>
            </w:pPr>
            <w:r w:rsidRPr="00771368">
              <w:rPr>
                <w:sz w:val="12"/>
                <w:szCs w:val="12"/>
              </w:rPr>
              <w:t>de</w:t>
            </w:r>
          </w:p>
        </w:tc>
        <w:tc>
          <w:tcPr>
            <w:tcW w:w="920" w:type="dxa"/>
            <w:vMerge w:val="restart"/>
            <w:vAlign w:val="bottom"/>
          </w:tcPr>
          <w:p w:rsidR="00D24E61" w:rsidRPr="00771368" w:rsidRDefault="00D24E61">
            <w:pPr>
              <w:ind w:right="20"/>
              <w:jc w:val="center"/>
              <w:rPr>
                <w:sz w:val="20"/>
                <w:szCs w:val="20"/>
              </w:rPr>
            </w:pPr>
            <w:r w:rsidRPr="00771368">
              <w:rPr>
                <w:w w:val="98"/>
                <w:sz w:val="12"/>
                <w:szCs w:val="12"/>
              </w:rPr>
              <w:t>Desinteresse</w:t>
            </w:r>
          </w:p>
        </w:tc>
        <w:tc>
          <w:tcPr>
            <w:tcW w:w="740" w:type="dxa"/>
            <w:vAlign w:val="bottom"/>
          </w:tcPr>
          <w:p w:rsidR="00D24E61" w:rsidRPr="00771368" w:rsidRDefault="00D24E61">
            <w:pPr>
              <w:rPr>
                <w:sz w:val="6"/>
                <w:szCs w:val="6"/>
              </w:rPr>
            </w:pPr>
          </w:p>
        </w:tc>
        <w:tc>
          <w:tcPr>
            <w:tcW w:w="820" w:type="dxa"/>
            <w:vMerge/>
            <w:vAlign w:val="bottom"/>
          </w:tcPr>
          <w:p w:rsidR="00D24E61" w:rsidRPr="00771368" w:rsidRDefault="00D24E61">
            <w:pPr>
              <w:rPr>
                <w:sz w:val="6"/>
                <w:szCs w:val="6"/>
              </w:rPr>
            </w:pPr>
          </w:p>
        </w:tc>
        <w:tc>
          <w:tcPr>
            <w:tcW w:w="0" w:type="dxa"/>
            <w:vAlign w:val="bottom"/>
          </w:tcPr>
          <w:p w:rsidR="00D24E61" w:rsidRPr="00771368" w:rsidRDefault="00D24E61">
            <w:pPr>
              <w:rPr>
                <w:sz w:val="1"/>
                <w:szCs w:val="1"/>
              </w:rPr>
            </w:pPr>
          </w:p>
        </w:tc>
      </w:tr>
      <w:tr w:rsidR="00D24E61" w:rsidRPr="00771368">
        <w:trPr>
          <w:trHeight w:val="82"/>
        </w:trPr>
        <w:tc>
          <w:tcPr>
            <w:tcW w:w="720" w:type="dxa"/>
            <w:vMerge w:val="restart"/>
            <w:vAlign w:val="bottom"/>
          </w:tcPr>
          <w:p w:rsidR="00D24E61" w:rsidRPr="00771368" w:rsidRDefault="00D24E61">
            <w:pPr>
              <w:ind w:right="80"/>
              <w:jc w:val="center"/>
              <w:rPr>
                <w:sz w:val="20"/>
                <w:szCs w:val="20"/>
              </w:rPr>
            </w:pPr>
            <w:r w:rsidRPr="00771368">
              <w:rPr>
                <w:w w:val="99"/>
                <w:sz w:val="12"/>
                <w:szCs w:val="12"/>
              </w:rPr>
              <w:t>aprendizage</w:t>
            </w:r>
          </w:p>
        </w:tc>
        <w:tc>
          <w:tcPr>
            <w:tcW w:w="860" w:type="dxa"/>
            <w:vMerge/>
            <w:vAlign w:val="bottom"/>
          </w:tcPr>
          <w:p w:rsidR="00D24E61" w:rsidRPr="00771368" w:rsidRDefault="00D24E61">
            <w:pPr>
              <w:rPr>
                <w:sz w:val="7"/>
                <w:szCs w:val="7"/>
              </w:rPr>
            </w:pPr>
          </w:p>
        </w:tc>
        <w:tc>
          <w:tcPr>
            <w:tcW w:w="900" w:type="dxa"/>
            <w:vMerge w:val="restart"/>
            <w:vAlign w:val="bottom"/>
          </w:tcPr>
          <w:p w:rsidR="00D24E61" w:rsidRPr="00771368" w:rsidRDefault="00D24E61">
            <w:pPr>
              <w:jc w:val="center"/>
              <w:rPr>
                <w:sz w:val="20"/>
                <w:szCs w:val="20"/>
              </w:rPr>
            </w:pPr>
            <w:r w:rsidRPr="00771368">
              <w:rPr>
                <w:w w:val="99"/>
                <w:sz w:val="12"/>
                <w:szCs w:val="12"/>
              </w:rPr>
              <w:t>os de direitos</w:t>
            </w:r>
          </w:p>
        </w:tc>
        <w:tc>
          <w:tcPr>
            <w:tcW w:w="840" w:type="dxa"/>
            <w:vMerge w:val="restart"/>
            <w:vAlign w:val="bottom"/>
          </w:tcPr>
          <w:p w:rsidR="00D24E61" w:rsidRPr="00771368" w:rsidRDefault="00D24E61">
            <w:pPr>
              <w:jc w:val="center"/>
              <w:rPr>
                <w:sz w:val="20"/>
                <w:szCs w:val="20"/>
              </w:rPr>
            </w:pPr>
            <w:r w:rsidRPr="00771368">
              <w:rPr>
                <w:w w:val="98"/>
                <w:sz w:val="12"/>
                <w:szCs w:val="12"/>
              </w:rPr>
              <w:t>rendimento</w:t>
            </w:r>
          </w:p>
        </w:tc>
        <w:tc>
          <w:tcPr>
            <w:tcW w:w="840" w:type="dxa"/>
            <w:vMerge/>
            <w:vAlign w:val="bottom"/>
          </w:tcPr>
          <w:p w:rsidR="00D24E61" w:rsidRPr="00771368" w:rsidRDefault="00D24E61">
            <w:pPr>
              <w:rPr>
                <w:sz w:val="7"/>
                <w:szCs w:val="7"/>
              </w:rPr>
            </w:pPr>
          </w:p>
        </w:tc>
        <w:tc>
          <w:tcPr>
            <w:tcW w:w="900" w:type="dxa"/>
            <w:vMerge/>
            <w:vAlign w:val="bottom"/>
          </w:tcPr>
          <w:p w:rsidR="00D24E61" w:rsidRPr="00771368" w:rsidRDefault="00D24E61">
            <w:pPr>
              <w:rPr>
                <w:sz w:val="7"/>
                <w:szCs w:val="7"/>
              </w:rPr>
            </w:pPr>
          </w:p>
        </w:tc>
        <w:tc>
          <w:tcPr>
            <w:tcW w:w="920" w:type="dxa"/>
            <w:vMerge/>
            <w:vAlign w:val="bottom"/>
          </w:tcPr>
          <w:p w:rsidR="00D24E61" w:rsidRPr="00771368" w:rsidRDefault="00D24E61">
            <w:pPr>
              <w:rPr>
                <w:sz w:val="7"/>
                <w:szCs w:val="7"/>
              </w:rPr>
            </w:pPr>
          </w:p>
        </w:tc>
        <w:tc>
          <w:tcPr>
            <w:tcW w:w="740" w:type="dxa"/>
            <w:vMerge w:val="restart"/>
            <w:vAlign w:val="bottom"/>
          </w:tcPr>
          <w:p w:rsidR="00D24E61" w:rsidRPr="00771368" w:rsidRDefault="00D24E61">
            <w:pPr>
              <w:jc w:val="center"/>
              <w:rPr>
                <w:sz w:val="20"/>
                <w:szCs w:val="20"/>
              </w:rPr>
            </w:pPr>
            <w:r w:rsidRPr="00771368">
              <w:rPr>
                <w:sz w:val="12"/>
                <w:szCs w:val="12"/>
              </w:rPr>
              <w:t>Revolta</w:t>
            </w:r>
          </w:p>
        </w:tc>
        <w:tc>
          <w:tcPr>
            <w:tcW w:w="820" w:type="dxa"/>
            <w:vMerge w:val="restart"/>
            <w:vAlign w:val="bottom"/>
          </w:tcPr>
          <w:p w:rsidR="00D24E61" w:rsidRPr="00771368" w:rsidRDefault="00D24E61">
            <w:pPr>
              <w:ind w:left="120"/>
              <w:jc w:val="center"/>
              <w:rPr>
                <w:sz w:val="20"/>
                <w:szCs w:val="20"/>
              </w:rPr>
            </w:pPr>
            <w:r w:rsidRPr="00771368">
              <w:rPr>
                <w:w w:val="98"/>
                <w:sz w:val="12"/>
                <w:szCs w:val="12"/>
              </w:rPr>
              <w:t>opinião sobre</w:t>
            </w:r>
          </w:p>
        </w:tc>
        <w:tc>
          <w:tcPr>
            <w:tcW w:w="0" w:type="dxa"/>
            <w:vAlign w:val="bottom"/>
          </w:tcPr>
          <w:p w:rsidR="00D24E61" w:rsidRPr="00771368" w:rsidRDefault="00D24E61">
            <w:pPr>
              <w:rPr>
                <w:sz w:val="1"/>
                <w:szCs w:val="1"/>
              </w:rPr>
            </w:pPr>
          </w:p>
        </w:tc>
      </w:tr>
      <w:tr w:rsidR="00D24E61" w:rsidRPr="00771368">
        <w:trPr>
          <w:trHeight w:val="77"/>
        </w:trPr>
        <w:tc>
          <w:tcPr>
            <w:tcW w:w="720" w:type="dxa"/>
            <w:vMerge/>
            <w:vAlign w:val="bottom"/>
          </w:tcPr>
          <w:p w:rsidR="00D24E61" w:rsidRPr="00771368" w:rsidRDefault="00D24E61">
            <w:pPr>
              <w:rPr>
                <w:sz w:val="6"/>
                <w:szCs w:val="6"/>
              </w:rPr>
            </w:pPr>
          </w:p>
        </w:tc>
        <w:tc>
          <w:tcPr>
            <w:tcW w:w="860" w:type="dxa"/>
            <w:vMerge w:val="restart"/>
            <w:vAlign w:val="bottom"/>
          </w:tcPr>
          <w:p w:rsidR="00D24E61" w:rsidRPr="00771368" w:rsidRDefault="00D24E61">
            <w:pPr>
              <w:jc w:val="center"/>
              <w:rPr>
                <w:sz w:val="20"/>
                <w:szCs w:val="20"/>
              </w:rPr>
            </w:pPr>
            <w:r w:rsidRPr="00771368">
              <w:rPr>
                <w:w w:val="99"/>
                <w:sz w:val="12"/>
                <w:szCs w:val="12"/>
              </w:rPr>
              <w:t>negativos</w:t>
            </w:r>
          </w:p>
        </w:tc>
        <w:tc>
          <w:tcPr>
            <w:tcW w:w="900" w:type="dxa"/>
            <w:vMerge/>
            <w:vAlign w:val="bottom"/>
          </w:tcPr>
          <w:p w:rsidR="00D24E61" w:rsidRPr="00771368" w:rsidRDefault="00D24E61">
            <w:pPr>
              <w:rPr>
                <w:sz w:val="6"/>
                <w:szCs w:val="6"/>
              </w:rPr>
            </w:pPr>
          </w:p>
        </w:tc>
        <w:tc>
          <w:tcPr>
            <w:tcW w:w="840" w:type="dxa"/>
            <w:vMerge/>
            <w:vAlign w:val="bottom"/>
          </w:tcPr>
          <w:p w:rsidR="00D24E61" w:rsidRPr="00771368" w:rsidRDefault="00D24E61">
            <w:pPr>
              <w:rPr>
                <w:sz w:val="6"/>
                <w:szCs w:val="6"/>
              </w:rPr>
            </w:pPr>
          </w:p>
        </w:tc>
        <w:tc>
          <w:tcPr>
            <w:tcW w:w="840" w:type="dxa"/>
            <w:vMerge w:val="restart"/>
            <w:vAlign w:val="bottom"/>
          </w:tcPr>
          <w:p w:rsidR="00D24E61" w:rsidRPr="00771368" w:rsidRDefault="00D24E61">
            <w:pPr>
              <w:jc w:val="center"/>
              <w:rPr>
                <w:sz w:val="20"/>
                <w:szCs w:val="20"/>
              </w:rPr>
            </w:pPr>
            <w:r w:rsidRPr="00771368">
              <w:rPr>
                <w:sz w:val="12"/>
                <w:szCs w:val="12"/>
              </w:rPr>
              <w:t>autoestima</w:t>
            </w:r>
          </w:p>
        </w:tc>
        <w:tc>
          <w:tcPr>
            <w:tcW w:w="900" w:type="dxa"/>
            <w:vMerge w:val="restart"/>
            <w:vAlign w:val="bottom"/>
          </w:tcPr>
          <w:p w:rsidR="00D24E61" w:rsidRPr="00771368" w:rsidRDefault="00D24E61">
            <w:pPr>
              <w:jc w:val="center"/>
              <w:rPr>
                <w:sz w:val="20"/>
                <w:szCs w:val="20"/>
              </w:rPr>
            </w:pPr>
            <w:r w:rsidRPr="00771368">
              <w:rPr>
                <w:w w:val="98"/>
                <w:sz w:val="12"/>
                <w:szCs w:val="12"/>
              </w:rPr>
              <w:t>relacionamen</w:t>
            </w:r>
          </w:p>
        </w:tc>
        <w:tc>
          <w:tcPr>
            <w:tcW w:w="920" w:type="dxa"/>
            <w:vMerge w:val="restart"/>
            <w:vAlign w:val="bottom"/>
          </w:tcPr>
          <w:p w:rsidR="00D24E61" w:rsidRPr="00771368" w:rsidRDefault="00D24E61">
            <w:pPr>
              <w:ind w:right="20"/>
              <w:jc w:val="center"/>
              <w:rPr>
                <w:sz w:val="20"/>
                <w:szCs w:val="20"/>
              </w:rPr>
            </w:pPr>
            <w:r w:rsidRPr="00771368">
              <w:rPr>
                <w:sz w:val="12"/>
                <w:szCs w:val="12"/>
              </w:rPr>
              <w:t>pelo assunto</w:t>
            </w:r>
          </w:p>
        </w:tc>
        <w:tc>
          <w:tcPr>
            <w:tcW w:w="740" w:type="dxa"/>
            <w:vMerge/>
            <w:vAlign w:val="bottom"/>
          </w:tcPr>
          <w:p w:rsidR="00D24E61" w:rsidRPr="00771368" w:rsidRDefault="00D24E61">
            <w:pPr>
              <w:rPr>
                <w:sz w:val="6"/>
                <w:szCs w:val="6"/>
              </w:rPr>
            </w:pPr>
          </w:p>
        </w:tc>
        <w:tc>
          <w:tcPr>
            <w:tcW w:w="820" w:type="dxa"/>
            <w:vMerge/>
            <w:vAlign w:val="bottom"/>
          </w:tcPr>
          <w:p w:rsidR="00D24E61" w:rsidRPr="00771368" w:rsidRDefault="00D24E61">
            <w:pPr>
              <w:rPr>
                <w:sz w:val="6"/>
                <w:szCs w:val="6"/>
              </w:rPr>
            </w:pPr>
          </w:p>
        </w:tc>
        <w:tc>
          <w:tcPr>
            <w:tcW w:w="0" w:type="dxa"/>
            <w:vAlign w:val="bottom"/>
          </w:tcPr>
          <w:p w:rsidR="00D24E61" w:rsidRPr="00771368" w:rsidRDefault="00D24E61">
            <w:pPr>
              <w:rPr>
                <w:sz w:val="1"/>
                <w:szCs w:val="1"/>
              </w:rPr>
            </w:pPr>
          </w:p>
        </w:tc>
      </w:tr>
      <w:tr w:rsidR="00D24E61" w:rsidRPr="00771368">
        <w:trPr>
          <w:trHeight w:val="82"/>
        </w:trPr>
        <w:tc>
          <w:tcPr>
            <w:tcW w:w="720" w:type="dxa"/>
            <w:vMerge w:val="restart"/>
            <w:vAlign w:val="bottom"/>
          </w:tcPr>
          <w:p w:rsidR="00D24E61" w:rsidRPr="00771368" w:rsidRDefault="00D24E61">
            <w:pPr>
              <w:ind w:right="80"/>
              <w:jc w:val="center"/>
              <w:rPr>
                <w:sz w:val="20"/>
                <w:szCs w:val="20"/>
              </w:rPr>
            </w:pPr>
            <w:r w:rsidRPr="00771368">
              <w:rPr>
                <w:sz w:val="12"/>
                <w:szCs w:val="12"/>
              </w:rPr>
              <w:t>m</w:t>
            </w:r>
          </w:p>
        </w:tc>
        <w:tc>
          <w:tcPr>
            <w:tcW w:w="860" w:type="dxa"/>
            <w:vMerge/>
            <w:vAlign w:val="bottom"/>
          </w:tcPr>
          <w:p w:rsidR="00D24E61" w:rsidRPr="00771368" w:rsidRDefault="00D24E61">
            <w:pPr>
              <w:rPr>
                <w:sz w:val="7"/>
                <w:szCs w:val="7"/>
              </w:rPr>
            </w:pPr>
          </w:p>
        </w:tc>
        <w:tc>
          <w:tcPr>
            <w:tcW w:w="900" w:type="dxa"/>
            <w:vMerge w:val="restart"/>
            <w:vAlign w:val="bottom"/>
          </w:tcPr>
          <w:p w:rsidR="00D24E61" w:rsidRPr="00771368" w:rsidRDefault="00D24E61">
            <w:pPr>
              <w:jc w:val="center"/>
              <w:rPr>
                <w:sz w:val="20"/>
                <w:szCs w:val="20"/>
              </w:rPr>
            </w:pPr>
            <w:r w:rsidRPr="00771368">
              <w:rPr>
                <w:sz w:val="12"/>
                <w:szCs w:val="12"/>
              </w:rPr>
              <w:t>humanos</w:t>
            </w:r>
          </w:p>
        </w:tc>
        <w:tc>
          <w:tcPr>
            <w:tcW w:w="840" w:type="dxa"/>
            <w:vMerge w:val="restart"/>
            <w:vAlign w:val="bottom"/>
          </w:tcPr>
          <w:p w:rsidR="00D24E61" w:rsidRPr="00771368" w:rsidRDefault="00D24E61">
            <w:pPr>
              <w:jc w:val="center"/>
              <w:rPr>
                <w:sz w:val="20"/>
                <w:szCs w:val="20"/>
              </w:rPr>
            </w:pPr>
            <w:r w:rsidRPr="00771368">
              <w:rPr>
                <w:w w:val="99"/>
                <w:sz w:val="12"/>
                <w:szCs w:val="12"/>
              </w:rPr>
              <w:t>escolar</w:t>
            </w:r>
          </w:p>
        </w:tc>
        <w:tc>
          <w:tcPr>
            <w:tcW w:w="840" w:type="dxa"/>
            <w:vMerge/>
            <w:vAlign w:val="bottom"/>
          </w:tcPr>
          <w:p w:rsidR="00D24E61" w:rsidRPr="00771368" w:rsidRDefault="00D24E61">
            <w:pPr>
              <w:rPr>
                <w:sz w:val="7"/>
                <w:szCs w:val="7"/>
              </w:rPr>
            </w:pPr>
          </w:p>
        </w:tc>
        <w:tc>
          <w:tcPr>
            <w:tcW w:w="900" w:type="dxa"/>
            <w:vMerge/>
            <w:vAlign w:val="bottom"/>
          </w:tcPr>
          <w:p w:rsidR="00D24E61" w:rsidRPr="00771368" w:rsidRDefault="00D24E61">
            <w:pPr>
              <w:rPr>
                <w:sz w:val="7"/>
                <w:szCs w:val="7"/>
              </w:rPr>
            </w:pPr>
          </w:p>
        </w:tc>
        <w:tc>
          <w:tcPr>
            <w:tcW w:w="920" w:type="dxa"/>
            <w:vMerge/>
            <w:vAlign w:val="bottom"/>
          </w:tcPr>
          <w:p w:rsidR="00D24E61" w:rsidRPr="00771368" w:rsidRDefault="00D24E61">
            <w:pPr>
              <w:rPr>
                <w:sz w:val="7"/>
                <w:szCs w:val="7"/>
              </w:rPr>
            </w:pPr>
          </w:p>
        </w:tc>
        <w:tc>
          <w:tcPr>
            <w:tcW w:w="740" w:type="dxa"/>
            <w:vAlign w:val="bottom"/>
          </w:tcPr>
          <w:p w:rsidR="00D24E61" w:rsidRPr="00771368" w:rsidRDefault="00D24E61">
            <w:pPr>
              <w:rPr>
                <w:sz w:val="7"/>
                <w:szCs w:val="7"/>
              </w:rPr>
            </w:pPr>
          </w:p>
        </w:tc>
        <w:tc>
          <w:tcPr>
            <w:tcW w:w="820" w:type="dxa"/>
            <w:vMerge w:val="restart"/>
            <w:vAlign w:val="bottom"/>
          </w:tcPr>
          <w:p w:rsidR="00D24E61" w:rsidRPr="00771368" w:rsidRDefault="00D24E61">
            <w:pPr>
              <w:ind w:left="120"/>
              <w:jc w:val="center"/>
              <w:rPr>
                <w:sz w:val="20"/>
                <w:szCs w:val="20"/>
              </w:rPr>
            </w:pPr>
            <w:r w:rsidRPr="00771368">
              <w:rPr>
                <w:w w:val="98"/>
                <w:sz w:val="12"/>
                <w:szCs w:val="12"/>
              </w:rPr>
              <w:t>o tema</w:t>
            </w:r>
          </w:p>
        </w:tc>
        <w:tc>
          <w:tcPr>
            <w:tcW w:w="0" w:type="dxa"/>
            <w:vAlign w:val="bottom"/>
          </w:tcPr>
          <w:p w:rsidR="00D24E61" w:rsidRPr="00771368" w:rsidRDefault="00D24E61">
            <w:pPr>
              <w:rPr>
                <w:sz w:val="1"/>
                <w:szCs w:val="1"/>
              </w:rPr>
            </w:pPr>
          </w:p>
        </w:tc>
      </w:tr>
      <w:tr w:rsidR="00D24E61" w:rsidRPr="00771368">
        <w:trPr>
          <w:trHeight w:val="77"/>
        </w:trPr>
        <w:tc>
          <w:tcPr>
            <w:tcW w:w="720" w:type="dxa"/>
            <w:vMerge/>
            <w:vAlign w:val="bottom"/>
          </w:tcPr>
          <w:p w:rsidR="00D24E61" w:rsidRPr="00771368" w:rsidRDefault="00D24E61">
            <w:pPr>
              <w:rPr>
                <w:sz w:val="6"/>
                <w:szCs w:val="6"/>
              </w:rPr>
            </w:pPr>
          </w:p>
        </w:tc>
        <w:tc>
          <w:tcPr>
            <w:tcW w:w="860" w:type="dxa"/>
            <w:vAlign w:val="bottom"/>
          </w:tcPr>
          <w:p w:rsidR="00D24E61" w:rsidRPr="00771368" w:rsidRDefault="00D24E61">
            <w:pPr>
              <w:rPr>
                <w:sz w:val="6"/>
                <w:szCs w:val="6"/>
              </w:rPr>
            </w:pPr>
          </w:p>
        </w:tc>
        <w:tc>
          <w:tcPr>
            <w:tcW w:w="900" w:type="dxa"/>
            <w:vMerge/>
            <w:vAlign w:val="bottom"/>
          </w:tcPr>
          <w:p w:rsidR="00D24E61" w:rsidRPr="00771368" w:rsidRDefault="00D24E61">
            <w:pPr>
              <w:rPr>
                <w:sz w:val="6"/>
                <w:szCs w:val="6"/>
              </w:rPr>
            </w:pPr>
          </w:p>
        </w:tc>
        <w:tc>
          <w:tcPr>
            <w:tcW w:w="840" w:type="dxa"/>
            <w:vMerge/>
            <w:vAlign w:val="bottom"/>
          </w:tcPr>
          <w:p w:rsidR="00D24E61" w:rsidRPr="00771368" w:rsidRDefault="00D24E61">
            <w:pPr>
              <w:rPr>
                <w:sz w:val="6"/>
                <w:szCs w:val="6"/>
              </w:rPr>
            </w:pPr>
          </w:p>
        </w:tc>
        <w:tc>
          <w:tcPr>
            <w:tcW w:w="840" w:type="dxa"/>
            <w:vAlign w:val="bottom"/>
          </w:tcPr>
          <w:p w:rsidR="00D24E61" w:rsidRPr="00771368" w:rsidRDefault="00D24E61">
            <w:pPr>
              <w:rPr>
                <w:sz w:val="6"/>
                <w:szCs w:val="6"/>
              </w:rPr>
            </w:pPr>
          </w:p>
        </w:tc>
        <w:tc>
          <w:tcPr>
            <w:tcW w:w="900" w:type="dxa"/>
            <w:vMerge w:val="restart"/>
            <w:vAlign w:val="bottom"/>
          </w:tcPr>
          <w:p w:rsidR="00D24E61" w:rsidRPr="00771368" w:rsidRDefault="00D24E61">
            <w:pPr>
              <w:jc w:val="center"/>
              <w:rPr>
                <w:sz w:val="20"/>
                <w:szCs w:val="20"/>
              </w:rPr>
            </w:pPr>
            <w:r w:rsidRPr="00771368">
              <w:rPr>
                <w:w w:val="99"/>
                <w:sz w:val="12"/>
                <w:szCs w:val="12"/>
              </w:rPr>
              <w:t>tos</w:t>
            </w:r>
          </w:p>
        </w:tc>
        <w:tc>
          <w:tcPr>
            <w:tcW w:w="920" w:type="dxa"/>
            <w:vAlign w:val="bottom"/>
          </w:tcPr>
          <w:p w:rsidR="00D24E61" w:rsidRPr="00771368" w:rsidRDefault="00D24E61">
            <w:pPr>
              <w:rPr>
                <w:sz w:val="6"/>
                <w:szCs w:val="6"/>
              </w:rPr>
            </w:pPr>
          </w:p>
        </w:tc>
        <w:tc>
          <w:tcPr>
            <w:tcW w:w="740" w:type="dxa"/>
            <w:vAlign w:val="bottom"/>
          </w:tcPr>
          <w:p w:rsidR="00D24E61" w:rsidRPr="00771368" w:rsidRDefault="00D24E61">
            <w:pPr>
              <w:rPr>
                <w:sz w:val="6"/>
                <w:szCs w:val="6"/>
              </w:rPr>
            </w:pPr>
          </w:p>
        </w:tc>
        <w:tc>
          <w:tcPr>
            <w:tcW w:w="820" w:type="dxa"/>
            <w:vMerge/>
            <w:vAlign w:val="bottom"/>
          </w:tcPr>
          <w:p w:rsidR="00D24E61" w:rsidRPr="00771368" w:rsidRDefault="00D24E61">
            <w:pPr>
              <w:rPr>
                <w:sz w:val="6"/>
                <w:szCs w:val="6"/>
              </w:rPr>
            </w:pPr>
          </w:p>
        </w:tc>
        <w:tc>
          <w:tcPr>
            <w:tcW w:w="0" w:type="dxa"/>
            <w:vAlign w:val="bottom"/>
          </w:tcPr>
          <w:p w:rsidR="00D24E61" w:rsidRPr="00771368" w:rsidRDefault="00D24E61">
            <w:pPr>
              <w:rPr>
                <w:sz w:val="1"/>
                <w:szCs w:val="1"/>
              </w:rPr>
            </w:pPr>
          </w:p>
        </w:tc>
      </w:tr>
      <w:tr w:rsidR="00D24E61" w:rsidRPr="00771368">
        <w:trPr>
          <w:trHeight w:val="77"/>
        </w:trPr>
        <w:tc>
          <w:tcPr>
            <w:tcW w:w="720" w:type="dxa"/>
            <w:vAlign w:val="bottom"/>
          </w:tcPr>
          <w:p w:rsidR="00D24E61" w:rsidRPr="00771368" w:rsidRDefault="00D24E61">
            <w:pPr>
              <w:rPr>
                <w:sz w:val="6"/>
                <w:szCs w:val="6"/>
              </w:rPr>
            </w:pPr>
          </w:p>
        </w:tc>
        <w:tc>
          <w:tcPr>
            <w:tcW w:w="860" w:type="dxa"/>
            <w:vAlign w:val="bottom"/>
          </w:tcPr>
          <w:p w:rsidR="00D24E61" w:rsidRPr="00771368" w:rsidRDefault="00D24E61">
            <w:pPr>
              <w:rPr>
                <w:sz w:val="6"/>
                <w:szCs w:val="6"/>
              </w:rPr>
            </w:pPr>
          </w:p>
        </w:tc>
        <w:tc>
          <w:tcPr>
            <w:tcW w:w="900" w:type="dxa"/>
            <w:vAlign w:val="bottom"/>
          </w:tcPr>
          <w:p w:rsidR="00D24E61" w:rsidRPr="00771368" w:rsidRDefault="00D24E61">
            <w:pPr>
              <w:rPr>
                <w:sz w:val="6"/>
                <w:szCs w:val="6"/>
              </w:rPr>
            </w:pPr>
          </w:p>
        </w:tc>
        <w:tc>
          <w:tcPr>
            <w:tcW w:w="840" w:type="dxa"/>
            <w:vAlign w:val="bottom"/>
          </w:tcPr>
          <w:p w:rsidR="00D24E61" w:rsidRPr="00771368" w:rsidRDefault="00D24E61">
            <w:pPr>
              <w:rPr>
                <w:sz w:val="6"/>
                <w:szCs w:val="6"/>
              </w:rPr>
            </w:pPr>
          </w:p>
        </w:tc>
        <w:tc>
          <w:tcPr>
            <w:tcW w:w="840" w:type="dxa"/>
            <w:vAlign w:val="bottom"/>
          </w:tcPr>
          <w:p w:rsidR="00D24E61" w:rsidRPr="00771368" w:rsidRDefault="00D24E61">
            <w:pPr>
              <w:rPr>
                <w:sz w:val="6"/>
                <w:szCs w:val="6"/>
              </w:rPr>
            </w:pPr>
          </w:p>
        </w:tc>
        <w:tc>
          <w:tcPr>
            <w:tcW w:w="900" w:type="dxa"/>
            <w:vMerge/>
            <w:vAlign w:val="bottom"/>
          </w:tcPr>
          <w:p w:rsidR="00D24E61" w:rsidRPr="00771368" w:rsidRDefault="00D24E61">
            <w:pPr>
              <w:rPr>
                <w:sz w:val="6"/>
                <w:szCs w:val="6"/>
              </w:rPr>
            </w:pPr>
          </w:p>
        </w:tc>
        <w:tc>
          <w:tcPr>
            <w:tcW w:w="920" w:type="dxa"/>
            <w:vAlign w:val="bottom"/>
          </w:tcPr>
          <w:p w:rsidR="00D24E61" w:rsidRPr="00771368" w:rsidRDefault="00D24E61">
            <w:pPr>
              <w:rPr>
                <w:sz w:val="6"/>
                <w:szCs w:val="6"/>
              </w:rPr>
            </w:pPr>
          </w:p>
        </w:tc>
        <w:tc>
          <w:tcPr>
            <w:tcW w:w="740" w:type="dxa"/>
            <w:vAlign w:val="bottom"/>
          </w:tcPr>
          <w:p w:rsidR="00D24E61" w:rsidRPr="00771368" w:rsidRDefault="00D24E61">
            <w:pPr>
              <w:rPr>
                <w:sz w:val="6"/>
                <w:szCs w:val="6"/>
              </w:rPr>
            </w:pPr>
          </w:p>
        </w:tc>
        <w:tc>
          <w:tcPr>
            <w:tcW w:w="820" w:type="dxa"/>
            <w:vAlign w:val="bottom"/>
          </w:tcPr>
          <w:p w:rsidR="00D24E61" w:rsidRPr="00771368" w:rsidRDefault="00D24E61">
            <w:pPr>
              <w:rPr>
                <w:sz w:val="6"/>
                <w:szCs w:val="6"/>
              </w:rPr>
            </w:pPr>
          </w:p>
        </w:tc>
        <w:tc>
          <w:tcPr>
            <w:tcW w:w="0" w:type="dxa"/>
            <w:vAlign w:val="bottom"/>
          </w:tcPr>
          <w:p w:rsidR="00D24E61" w:rsidRPr="00771368" w:rsidRDefault="00D24E61">
            <w:pPr>
              <w:rPr>
                <w:sz w:val="1"/>
                <w:szCs w:val="1"/>
              </w:rPr>
            </w:pPr>
          </w:p>
        </w:tc>
      </w:tr>
    </w:tbl>
    <w:p w:rsidR="00D24E61" w:rsidRPr="00771368" w:rsidRDefault="00D24E61">
      <w:pPr>
        <w:sectPr w:rsidR="00D24E61" w:rsidRPr="00771368">
          <w:type w:val="continuous"/>
          <w:pgSz w:w="11900" w:h="16838"/>
          <w:pgMar w:top="1440" w:right="1520" w:bottom="1440" w:left="1571" w:header="0" w:footer="0" w:gutter="0"/>
          <w:cols w:num="2" w:space="720" w:equalWidth="0">
            <w:col w:w="229" w:space="200"/>
            <w:col w:w="8380"/>
          </w:cols>
        </w:sectPr>
      </w:pPr>
    </w:p>
    <w:p w:rsidR="00D24E61" w:rsidRPr="00771368" w:rsidRDefault="00D24E61">
      <w:pPr>
        <w:spacing w:line="2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
        <w:gridCol w:w="1280"/>
        <w:gridCol w:w="780"/>
        <w:gridCol w:w="860"/>
        <w:gridCol w:w="860"/>
        <w:gridCol w:w="880"/>
        <w:gridCol w:w="860"/>
        <w:gridCol w:w="860"/>
        <w:gridCol w:w="880"/>
        <w:gridCol w:w="860"/>
        <w:gridCol w:w="580"/>
      </w:tblGrid>
      <w:tr w:rsidR="00D24E61" w:rsidRPr="00771368">
        <w:trPr>
          <w:trHeight w:val="144"/>
        </w:trPr>
        <w:tc>
          <w:tcPr>
            <w:tcW w:w="120" w:type="dxa"/>
            <w:tcBorders>
              <w:bottom w:val="single" w:sz="8" w:space="0" w:color="0070C0"/>
            </w:tcBorders>
            <w:vAlign w:val="bottom"/>
          </w:tcPr>
          <w:p w:rsidR="00D24E61" w:rsidRPr="00771368" w:rsidRDefault="00D24E61">
            <w:pPr>
              <w:rPr>
                <w:sz w:val="12"/>
                <w:szCs w:val="12"/>
              </w:rPr>
            </w:pPr>
          </w:p>
        </w:tc>
        <w:tc>
          <w:tcPr>
            <w:tcW w:w="1280" w:type="dxa"/>
            <w:vAlign w:val="bottom"/>
          </w:tcPr>
          <w:p w:rsidR="00D24E61" w:rsidRPr="00771368" w:rsidRDefault="00D24E61">
            <w:pPr>
              <w:ind w:left="60"/>
              <w:rPr>
                <w:sz w:val="20"/>
                <w:szCs w:val="20"/>
              </w:rPr>
            </w:pPr>
            <w:r w:rsidRPr="00771368">
              <w:rPr>
                <w:sz w:val="12"/>
                <w:szCs w:val="12"/>
              </w:rPr>
              <w:t>Concordo totalmente</w:t>
            </w:r>
          </w:p>
        </w:tc>
        <w:tc>
          <w:tcPr>
            <w:tcW w:w="780" w:type="dxa"/>
            <w:vAlign w:val="bottom"/>
          </w:tcPr>
          <w:p w:rsidR="00D24E61" w:rsidRPr="00771368" w:rsidRDefault="00D24E61">
            <w:pPr>
              <w:ind w:right="20"/>
              <w:jc w:val="center"/>
              <w:rPr>
                <w:sz w:val="20"/>
                <w:szCs w:val="20"/>
              </w:rPr>
            </w:pPr>
            <w:r w:rsidRPr="00771368">
              <w:rPr>
                <w:w w:val="96"/>
                <w:sz w:val="12"/>
                <w:szCs w:val="12"/>
              </w:rPr>
              <w:t>55,1%</w:t>
            </w:r>
          </w:p>
        </w:tc>
        <w:tc>
          <w:tcPr>
            <w:tcW w:w="860" w:type="dxa"/>
            <w:vAlign w:val="bottom"/>
          </w:tcPr>
          <w:p w:rsidR="00D24E61" w:rsidRPr="00771368" w:rsidRDefault="00D24E61">
            <w:pPr>
              <w:jc w:val="center"/>
              <w:rPr>
                <w:sz w:val="20"/>
                <w:szCs w:val="20"/>
              </w:rPr>
            </w:pPr>
            <w:r w:rsidRPr="00771368">
              <w:rPr>
                <w:w w:val="95"/>
                <w:sz w:val="12"/>
                <w:szCs w:val="12"/>
              </w:rPr>
              <w:t>1,7%</w:t>
            </w:r>
          </w:p>
        </w:tc>
        <w:tc>
          <w:tcPr>
            <w:tcW w:w="860" w:type="dxa"/>
            <w:vAlign w:val="bottom"/>
          </w:tcPr>
          <w:p w:rsidR="00D24E61" w:rsidRPr="00771368" w:rsidRDefault="00D24E61">
            <w:pPr>
              <w:jc w:val="center"/>
              <w:rPr>
                <w:sz w:val="20"/>
                <w:szCs w:val="20"/>
              </w:rPr>
            </w:pPr>
            <w:r w:rsidRPr="00771368">
              <w:rPr>
                <w:w w:val="96"/>
                <w:sz w:val="12"/>
                <w:szCs w:val="12"/>
              </w:rPr>
              <w:t>53,4%</w:t>
            </w:r>
          </w:p>
        </w:tc>
        <w:tc>
          <w:tcPr>
            <w:tcW w:w="880" w:type="dxa"/>
            <w:vAlign w:val="bottom"/>
          </w:tcPr>
          <w:p w:rsidR="00D24E61" w:rsidRPr="00771368" w:rsidRDefault="00D24E61">
            <w:pPr>
              <w:jc w:val="center"/>
              <w:rPr>
                <w:sz w:val="20"/>
                <w:szCs w:val="20"/>
              </w:rPr>
            </w:pPr>
            <w:r w:rsidRPr="00771368">
              <w:rPr>
                <w:w w:val="95"/>
                <w:sz w:val="12"/>
                <w:szCs w:val="12"/>
              </w:rPr>
              <w:t>3,0%</w:t>
            </w:r>
          </w:p>
        </w:tc>
        <w:tc>
          <w:tcPr>
            <w:tcW w:w="860" w:type="dxa"/>
            <w:vAlign w:val="bottom"/>
          </w:tcPr>
          <w:p w:rsidR="00D24E61" w:rsidRPr="00771368" w:rsidRDefault="00D24E61">
            <w:pPr>
              <w:jc w:val="center"/>
              <w:rPr>
                <w:sz w:val="20"/>
                <w:szCs w:val="20"/>
              </w:rPr>
            </w:pPr>
            <w:r w:rsidRPr="00771368">
              <w:rPr>
                <w:w w:val="95"/>
                <w:sz w:val="12"/>
                <w:szCs w:val="12"/>
              </w:rPr>
              <w:t>3,0%</w:t>
            </w:r>
          </w:p>
        </w:tc>
        <w:tc>
          <w:tcPr>
            <w:tcW w:w="860" w:type="dxa"/>
            <w:vAlign w:val="bottom"/>
          </w:tcPr>
          <w:p w:rsidR="00D24E61" w:rsidRPr="00771368" w:rsidRDefault="00D24E61">
            <w:pPr>
              <w:jc w:val="center"/>
              <w:rPr>
                <w:sz w:val="20"/>
                <w:szCs w:val="20"/>
              </w:rPr>
            </w:pPr>
            <w:r w:rsidRPr="00771368">
              <w:rPr>
                <w:w w:val="95"/>
                <w:sz w:val="12"/>
                <w:szCs w:val="12"/>
              </w:rPr>
              <w:t>2,6%</w:t>
            </w:r>
          </w:p>
        </w:tc>
        <w:tc>
          <w:tcPr>
            <w:tcW w:w="880" w:type="dxa"/>
            <w:vAlign w:val="bottom"/>
          </w:tcPr>
          <w:p w:rsidR="00D24E61" w:rsidRPr="00771368" w:rsidRDefault="00D24E61">
            <w:pPr>
              <w:jc w:val="center"/>
              <w:rPr>
                <w:sz w:val="20"/>
                <w:szCs w:val="20"/>
              </w:rPr>
            </w:pPr>
            <w:r w:rsidRPr="00771368">
              <w:rPr>
                <w:w w:val="95"/>
                <w:sz w:val="12"/>
                <w:szCs w:val="12"/>
              </w:rPr>
              <w:t>3,0%</w:t>
            </w:r>
          </w:p>
        </w:tc>
        <w:tc>
          <w:tcPr>
            <w:tcW w:w="860" w:type="dxa"/>
            <w:vAlign w:val="bottom"/>
          </w:tcPr>
          <w:p w:rsidR="00D24E61" w:rsidRPr="00771368" w:rsidRDefault="00D24E61">
            <w:pPr>
              <w:jc w:val="center"/>
              <w:rPr>
                <w:sz w:val="20"/>
                <w:szCs w:val="20"/>
              </w:rPr>
            </w:pPr>
            <w:r w:rsidRPr="00771368">
              <w:rPr>
                <w:w w:val="95"/>
                <w:sz w:val="12"/>
                <w:szCs w:val="12"/>
              </w:rPr>
              <w:t>1,3%</w:t>
            </w:r>
          </w:p>
        </w:tc>
        <w:tc>
          <w:tcPr>
            <w:tcW w:w="580" w:type="dxa"/>
            <w:vAlign w:val="bottom"/>
          </w:tcPr>
          <w:p w:rsidR="00D24E61" w:rsidRPr="00771368" w:rsidRDefault="00D24E61">
            <w:pPr>
              <w:ind w:left="220"/>
              <w:jc w:val="center"/>
              <w:rPr>
                <w:sz w:val="20"/>
                <w:szCs w:val="20"/>
              </w:rPr>
            </w:pPr>
            <w:r w:rsidRPr="00771368">
              <w:rPr>
                <w:w w:val="96"/>
                <w:sz w:val="12"/>
                <w:szCs w:val="12"/>
              </w:rPr>
              <w:t>46,7%</w:t>
            </w:r>
          </w:p>
        </w:tc>
      </w:tr>
      <w:tr w:rsidR="00D24E61" w:rsidRPr="00771368">
        <w:trPr>
          <w:trHeight w:val="348"/>
        </w:trPr>
        <w:tc>
          <w:tcPr>
            <w:tcW w:w="120" w:type="dxa"/>
            <w:tcBorders>
              <w:bottom w:val="single" w:sz="8" w:space="0" w:color="C00000"/>
            </w:tcBorders>
            <w:vAlign w:val="bottom"/>
          </w:tcPr>
          <w:p w:rsidR="00D24E61" w:rsidRPr="00771368" w:rsidRDefault="00D24E61">
            <w:pPr>
              <w:rPr>
                <w:sz w:val="24"/>
                <w:szCs w:val="24"/>
              </w:rPr>
            </w:pPr>
          </w:p>
        </w:tc>
        <w:tc>
          <w:tcPr>
            <w:tcW w:w="1280" w:type="dxa"/>
            <w:vAlign w:val="bottom"/>
          </w:tcPr>
          <w:p w:rsidR="00D24E61" w:rsidRPr="00771368" w:rsidRDefault="00D24E61">
            <w:pPr>
              <w:ind w:left="60"/>
              <w:rPr>
                <w:sz w:val="20"/>
                <w:szCs w:val="20"/>
              </w:rPr>
            </w:pPr>
            <w:r w:rsidRPr="00771368">
              <w:rPr>
                <w:sz w:val="12"/>
                <w:szCs w:val="12"/>
              </w:rPr>
              <w:t>Concordo</w:t>
            </w:r>
          </w:p>
        </w:tc>
        <w:tc>
          <w:tcPr>
            <w:tcW w:w="780" w:type="dxa"/>
            <w:vAlign w:val="bottom"/>
          </w:tcPr>
          <w:p w:rsidR="00D24E61" w:rsidRPr="00771368" w:rsidRDefault="00D24E61">
            <w:pPr>
              <w:ind w:right="20"/>
              <w:jc w:val="center"/>
              <w:rPr>
                <w:sz w:val="20"/>
                <w:szCs w:val="20"/>
              </w:rPr>
            </w:pPr>
            <w:r w:rsidRPr="00771368">
              <w:rPr>
                <w:w w:val="96"/>
                <w:sz w:val="12"/>
                <w:szCs w:val="12"/>
              </w:rPr>
              <w:t>36,8%</w:t>
            </w:r>
          </w:p>
        </w:tc>
        <w:tc>
          <w:tcPr>
            <w:tcW w:w="860" w:type="dxa"/>
            <w:vAlign w:val="bottom"/>
          </w:tcPr>
          <w:p w:rsidR="00D24E61" w:rsidRPr="00771368" w:rsidRDefault="00D24E61">
            <w:pPr>
              <w:jc w:val="center"/>
              <w:rPr>
                <w:sz w:val="20"/>
                <w:szCs w:val="20"/>
              </w:rPr>
            </w:pPr>
            <w:r w:rsidRPr="00771368">
              <w:rPr>
                <w:w w:val="95"/>
                <w:sz w:val="12"/>
                <w:szCs w:val="12"/>
              </w:rPr>
              <w:t>6,4%</w:t>
            </w:r>
          </w:p>
        </w:tc>
        <w:tc>
          <w:tcPr>
            <w:tcW w:w="860" w:type="dxa"/>
            <w:vAlign w:val="bottom"/>
          </w:tcPr>
          <w:p w:rsidR="00D24E61" w:rsidRPr="00771368" w:rsidRDefault="00D24E61">
            <w:pPr>
              <w:jc w:val="center"/>
              <w:rPr>
                <w:sz w:val="20"/>
                <w:szCs w:val="20"/>
              </w:rPr>
            </w:pPr>
            <w:r w:rsidRPr="00771368">
              <w:rPr>
                <w:w w:val="96"/>
                <w:sz w:val="12"/>
                <w:szCs w:val="12"/>
              </w:rPr>
              <w:t>42,3%</w:t>
            </w:r>
          </w:p>
        </w:tc>
        <w:tc>
          <w:tcPr>
            <w:tcW w:w="880" w:type="dxa"/>
            <w:vAlign w:val="bottom"/>
          </w:tcPr>
          <w:p w:rsidR="00D24E61" w:rsidRPr="00771368" w:rsidRDefault="00D24E61">
            <w:pPr>
              <w:jc w:val="center"/>
              <w:rPr>
                <w:sz w:val="20"/>
                <w:szCs w:val="20"/>
              </w:rPr>
            </w:pPr>
            <w:r w:rsidRPr="00771368">
              <w:rPr>
                <w:w w:val="95"/>
                <w:sz w:val="12"/>
                <w:szCs w:val="12"/>
              </w:rPr>
              <w:t>5,1%</w:t>
            </w:r>
          </w:p>
        </w:tc>
        <w:tc>
          <w:tcPr>
            <w:tcW w:w="860" w:type="dxa"/>
            <w:vAlign w:val="bottom"/>
          </w:tcPr>
          <w:p w:rsidR="00D24E61" w:rsidRPr="00771368" w:rsidRDefault="00D24E61">
            <w:pPr>
              <w:jc w:val="center"/>
              <w:rPr>
                <w:sz w:val="20"/>
                <w:szCs w:val="20"/>
              </w:rPr>
            </w:pPr>
            <w:r w:rsidRPr="00771368">
              <w:rPr>
                <w:w w:val="95"/>
                <w:sz w:val="12"/>
                <w:szCs w:val="12"/>
              </w:rPr>
              <w:t>7,2%</w:t>
            </w:r>
          </w:p>
        </w:tc>
        <w:tc>
          <w:tcPr>
            <w:tcW w:w="860" w:type="dxa"/>
            <w:vAlign w:val="bottom"/>
          </w:tcPr>
          <w:p w:rsidR="00D24E61" w:rsidRPr="00771368" w:rsidRDefault="00D24E61">
            <w:pPr>
              <w:jc w:val="center"/>
              <w:rPr>
                <w:sz w:val="20"/>
                <w:szCs w:val="20"/>
              </w:rPr>
            </w:pPr>
            <w:r w:rsidRPr="00771368">
              <w:rPr>
                <w:w w:val="95"/>
                <w:sz w:val="12"/>
                <w:szCs w:val="12"/>
              </w:rPr>
              <w:t>7,7%</w:t>
            </w:r>
          </w:p>
        </w:tc>
        <w:tc>
          <w:tcPr>
            <w:tcW w:w="880" w:type="dxa"/>
            <w:vAlign w:val="bottom"/>
          </w:tcPr>
          <w:p w:rsidR="00D24E61" w:rsidRPr="00771368" w:rsidRDefault="00D24E61">
            <w:pPr>
              <w:jc w:val="center"/>
              <w:rPr>
                <w:sz w:val="20"/>
                <w:szCs w:val="20"/>
              </w:rPr>
            </w:pPr>
            <w:r w:rsidRPr="00771368">
              <w:rPr>
                <w:sz w:val="12"/>
                <w:szCs w:val="12"/>
              </w:rPr>
              <w:t>14,1%</w:t>
            </w:r>
          </w:p>
        </w:tc>
        <w:tc>
          <w:tcPr>
            <w:tcW w:w="860" w:type="dxa"/>
            <w:vAlign w:val="bottom"/>
          </w:tcPr>
          <w:p w:rsidR="00D24E61" w:rsidRPr="00771368" w:rsidRDefault="00D24E61">
            <w:pPr>
              <w:jc w:val="center"/>
              <w:rPr>
                <w:sz w:val="20"/>
                <w:szCs w:val="20"/>
              </w:rPr>
            </w:pPr>
            <w:r w:rsidRPr="00771368">
              <w:rPr>
                <w:w w:val="95"/>
                <w:sz w:val="12"/>
                <w:szCs w:val="12"/>
              </w:rPr>
              <w:t>8,1%</w:t>
            </w:r>
          </w:p>
        </w:tc>
        <w:tc>
          <w:tcPr>
            <w:tcW w:w="580" w:type="dxa"/>
            <w:vAlign w:val="bottom"/>
          </w:tcPr>
          <w:p w:rsidR="00D24E61" w:rsidRPr="00771368" w:rsidRDefault="00D24E61">
            <w:pPr>
              <w:ind w:left="220"/>
              <w:jc w:val="center"/>
              <w:rPr>
                <w:sz w:val="20"/>
                <w:szCs w:val="20"/>
              </w:rPr>
            </w:pPr>
            <w:r w:rsidRPr="00771368">
              <w:rPr>
                <w:w w:val="96"/>
                <w:sz w:val="12"/>
                <w:szCs w:val="12"/>
              </w:rPr>
              <w:t>44,4%</w:t>
            </w:r>
          </w:p>
        </w:tc>
      </w:tr>
      <w:tr w:rsidR="00D24E61" w:rsidRPr="00771368">
        <w:trPr>
          <w:trHeight w:val="305"/>
        </w:trPr>
        <w:tc>
          <w:tcPr>
            <w:tcW w:w="120" w:type="dxa"/>
            <w:vAlign w:val="bottom"/>
          </w:tcPr>
          <w:p w:rsidR="00D24E61" w:rsidRPr="00771368" w:rsidRDefault="00D24E61">
            <w:pPr>
              <w:rPr>
                <w:sz w:val="24"/>
                <w:szCs w:val="24"/>
              </w:rPr>
            </w:pPr>
          </w:p>
        </w:tc>
        <w:tc>
          <w:tcPr>
            <w:tcW w:w="1280" w:type="dxa"/>
            <w:vAlign w:val="bottom"/>
          </w:tcPr>
          <w:p w:rsidR="00D24E61" w:rsidRPr="00771368" w:rsidRDefault="00D24E61">
            <w:pPr>
              <w:spacing w:line="137" w:lineRule="exact"/>
              <w:ind w:left="60"/>
              <w:rPr>
                <w:sz w:val="20"/>
                <w:szCs w:val="20"/>
              </w:rPr>
            </w:pPr>
            <w:r w:rsidRPr="00771368">
              <w:rPr>
                <w:sz w:val="12"/>
                <w:szCs w:val="12"/>
              </w:rPr>
              <w:t>Discordo</w:t>
            </w:r>
          </w:p>
        </w:tc>
        <w:tc>
          <w:tcPr>
            <w:tcW w:w="780" w:type="dxa"/>
            <w:vAlign w:val="bottom"/>
          </w:tcPr>
          <w:p w:rsidR="00D24E61" w:rsidRPr="00771368" w:rsidRDefault="00D24E61">
            <w:pPr>
              <w:spacing w:line="137" w:lineRule="exact"/>
              <w:ind w:right="40"/>
              <w:jc w:val="center"/>
              <w:rPr>
                <w:sz w:val="20"/>
                <w:szCs w:val="20"/>
              </w:rPr>
            </w:pPr>
            <w:r w:rsidRPr="00771368">
              <w:rPr>
                <w:w w:val="95"/>
                <w:sz w:val="12"/>
                <w:szCs w:val="12"/>
              </w:rPr>
              <w:t>5,6%</w:t>
            </w:r>
          </w:p>
        </w:tc>
        <w:tc>
          <w:tcPr>
            <w:tcW w:w="860" w:type="dxa"/>
            <w:vAlign w:val="bottom"/>
          </w:tcPr>
          <w:p w:rsidR="00D24E61" w:rsidRPr="00771368" w:rsidRDefault="00D24E61">
            <w:pPr>
              <w:spacing w:line="137" w:lineRule="exact"/>
              <w:jc w:val="center"/>
              <w:rPr>
                <w:sz w:val="20"/>
                <w:szCs w:val="20"/>
              </w:rPr>
            </w:pPr>
            <w:r w:rsidRPr="00771368">
              <w:rPr>
                <w:w w:val="96"/>
                <w:sz w:val="12"/>
                <w:szCs w:val="12"/>
              </w:rPr>
              <w:t>52,6%</w:t>
            </w:r>
          </w:p>
        </w:tc>
        <w:tc>
          <w:tcPr>
            <w:tcW w:w="860" w:type="dxa"/>
            <w:vAlign w:val="bottom"/>
          </w:tcPr>
          <w:p w:rsidR="00D24E61" w:rsidRPr="00771368" w:rsidRDefault="00D24E61">
            <w:pPr>
              <w:spacing w:line="137" w:lineRule="exact"/>
              <w:jc w:val="center"/>
              <w:rPr>
                <w:sz w:val="20"/>
                <w:szCs w:val="20"/>
              </w:rPr>
            </w:pPr>
            <w:r w:rsidRPr="00771368">
              <w:rPr>
                <w:w w:val="95"/>
                <w:sz w:val="12"/>
                <w:szCs w:val="12"/>
              </w:rPr>
              <w:t>3,4%</w:t>
            </w:r>
          </w:p>
        </w:tc>
        <w:tc>
          <w:tcPr>
            <w:tcW w:w="880" w:type="dxa"/>
            <w:vAlign w:val="bottom"/>
          </w:tcPr>
          <w:p w:rsidR="00D24E61" w:rsidRPr="00771368" w:rsidRDefault="00D24E61">
            <w:pPr>
              <w:spacing w:line="137" w:lineRule="exact"/>
              <w:jc w:val="center"/>
              <w:rPr>
                <w:sz w:val="20"/>
                <w:szCs w:val="20"/>
              </w:rPr>
            </w:pPr>
            <w:r w:rsidRPr="00771368">
              <w:rPr>
                <w:w w:val="96"/>
                <w:sz w:val="12"/>
                <w:szCs w:val="12"/>
              </w:rPr>
              <w:t>44,0%</w:t>
            </w:r>
          </w:p>
        </w:tc>
        <w:tc>
          <w:tcPr>
            <w:tcW w:w="860" w:type="dxa"/>
            <w:vAlign w:val="bottom"/>
          </w:tcPr>
          <w:p w:rsidR="00D24E61" w:rsidRPr="00771368" w:rsidRDefault="00D24E61">
            <w:pPr>
              <w:spacing w:line="137" w:lineRule="exact"/>
              <w:jc w:val="center"/>
              <w:rPr>
                <w:sz w:val="20"/>
                <w:szCs w:val="20"/>
              </w:rPr>
            </w:pPr>
            <w:r w:rsidRPr="00771368">
              <w:rPr>
                <w:w w:val="96"/>
                <w:sz w:val="12"/>
                <w:szCs w:val="12"/>
              </w:rPr>
              <w:t>44,9%</w:t>
            </w:r>
          </w:p>
        </w:tc>
        <w:tc>
          <w:tcPr>
            <w:tcW w:w="860" w:type="dxa"/>
            <w:vAlign w:val="bottom"/>
          </w:tcPr>
          <w:p w:rsidR="00D24E61" w:rsidRPr="00771368" w:rsidRDefault="00D24E61">
            <w:pPr>
              <w:spacing w:line="137" w:lineRule="exact"/>
              <w:jc w:val="center"/>
              <w:rPr>
                <w:sz w:val="20"/>
                <w:szCs w:val="20"/>
              </w:rPr>
            </w:pPr>
            <w:r w:rsidRPr="00771368">
              <w:rPr>
                <w:w w:val="96"/>
                <w:sz w:val="12"/>
                <w:szCs w:val="12"/>
              </w:rPr>
              <w:t>39,7%</w:t>
            </w:r>
          </w:p>
        </w:tc>
        <w:tc>
          <w:tcPr>
            <w:tcW w:w="880" w:type="dxa"/>
            <w:vAlign w:val="bottom"/>
          </w:tcPr>
          <w:p w:rsidR="00D24E61" w:rsidRPr="00771368" w:rsidRDefault="00D24E61">
            <w:pPr>
              <w:spacing w:line="137" w:lineRule="exact"/>
              <w:jc w:val="center"/>
              <w:rPr>
                <w:sz w:val="20"/>
                <w:szCs w:val="20"/>
              </w:rPr>
            </w:pPr>
            <w:r w:rsidRPr="00771368">
              <w:rPr>
                <w:w w:val="90"/>
                <w:sz w:val="12"/>
                <w:szCs w:val="12"/>
              </w:rPr>
              <w:t>44%</w:t>
            </w:r>
          </w:p>
        </w:tc>
        <w:tc>
          <w:tcPr>
            <w:tcW w:w="860" w:type="dxa"/>
            <w:vAlign w:val="bottom"/>
          </w:tcPr>
          <w:p w:rsidR="00D24E61" w:rsidRPr="00771368" w:rsidRDefault="00D24E61">
            <w:pPr>
              <w:spacing w:line="137" w:lineRule="exact"/>
              <w:jc w:val="center"/>
              <w:rPr>
                <w:sz w:val="20"/>
                <w:szCs w:val="20"/>
              </w:rPr>
            </w:pPr>
            <w:r w:rsidRPr="00771368">
              <w:rPr>
                <w:w w:val="96"/>
                <w:sz w:val="12"/>
                <w:szCs w:val="12"/>
              </w:rPr>
              <w:t>39,7%</w:t>
            </w:r>
          </w:p>
        </w:tc>
        <w:tc>
          <w:tcPr>
            <w:tcW w:w="580" w:type="dxa"/>
            <w:vAlign w:val="bottom"/>
          </w:tcPr>
          <w:p w:rsidR="00D24E61" w:rsidRPr="00771368" w:rsidRDefault="00D24E61">
            <w:pPr>
              <w:spacing w:line="137" w:lineRule="exact"/>
              <w:ind w:left="240"/>
              <w:jc w:val="center"/>
              <w:rPr>
                <w:sz w:val="20"/>
                <w:szCs w:val="20"/>
              </w:rPr>
            </w:pPr>
            <w:r w:rsidRPr="00771368">
              <w:rPr>
                <w:w w:val="95"/>
                <w:sz w:val="12"/>
                <w:szCs w:val="12"/>
              </w:rPr>
              <w:t>6,8%</w:t>
            </w:r>
          </w:p>
        </w:tc>
      </w:tr>
      <w:tr w:rsidR="00D24E61" w:rsidRPr="00771368">
        <w:trPr>
          <w:trHeight w:val="86"/>
        </w:trPr>
        <w:tc>
          <w:tcPr>
            <w:tcW w:w="120" w:type="dxa"/>
            <w:tcBorders>
              <w:right w:val="single" w:sz="8" w:space="0" w:color="92D050"/>
            </w:tcBorders>
            <w:shd w:val="clear" w:color="auto" w:fill="92D050"/>
            <w:vAlign w:val="bottom"/>
          </w:tcPr>
          <w:p w:rsidR="00D24E61" w:rsidRPr="00771368" w:rsidRDefault="00D24E61">
            <w:pPr>
              <w:rPr>
                <w:sz w:val="7"/>
                <w:szCs w:val="7"/>
              </w:rPr>
            </w:pPr>
          </w:p>
        </w:tc>
        <w:tc>
          <w:tcPr>
            <w:tcW w:w="1280" w:type="dxa"/>
            <w:vAlign w:val="bottom"/>
          </w:tcPr>
          <w:p w:rsidR="00D24E61" w:rsidRPr="00771368" w:rsidRDefault="00D24E61">
            <w:pPr>
              <w:rPr>
                <w:sz w:val="7"/>
                <w:szCs w:val="7"/>
              </w:rPr>
            </w:pPr>
          </w:p>
        </w:tc>
        <w:tc>
          <w:tcPr>
            <w:tcW w:w="780" w:type="dxa"/>
            <w:vAlign w:val="bottom"/>
          </w:tcPr>
          <w:p w:rsidR="00D24E61" w:rsidRPr="00771368" w:rsidRDefault="00D24E61">
            <w:pPr>
              <w:rPr>
                <w:sz w:val="7"/>
                <w:szCs w:val="7"/>
              </w:rPr>
            </w:pPr>
          </w:p>
        </w:tc>
        <w:tc>
          <w:tcPr>
            <w:tcW w:w="860" w:type="dxa"/>
            <w:vAlign w:val="bottom"/>
          </w:tcPr>
          <w:p w:rsidR="00D24E61" w:rsidRPr="00771368" w:rsidRDefault="00D24E61">
            <w:pPr>
              <w:rPr>
                <w:sz w:val="7"/>
                <w:szCs w:val="7"/>
              </w:rPr>
            </w:pPr>
          </w:p>
        </w:tc>
        <w:tc>
          <w:tcPr>
            <w:tcW w:w="860" w:type="dxa"/>
            <w:vAlign w:val="bottom"/>
          </w:tcPr>
          <w:p w:rsidR="00D24E61" w:rsidRPr="00771368" w:rsidRDefault="00D24E61">
            <w:pPr>
              <w:rPr>
                <w:sz w:val="7"/>
                <w:szCs w:val="7"/>
              </w:rPr>
            </w:pPr>
          </w:p>
        </w:tc>
        <w:tc>
          <w:tcPr>
            <w:tcW w:w="880" w:type="dxa"/>
            <w:vAlign w:val="bottom"/>
          </w:tcPr>
          <w:p w:rsidR="00D24E61" w:rsidRPr="00771368" w:rsidRDefault="00D24E61">
            <w:pPr>
              <w:rPr>
                <w:sz w:val="7"/>
                <w:szCs w:val="7"/>
              </w:rPr>
            </w:pPr>
          </w:p>
        </w:tc>
        <w:tc>
          <w:tcPr>
            <w:tcW w:w="860" w:type="dxa"/>
            <w:vAlign w:val="bottom"/>
          </w:tcPr>
          <w:p w:rsidR="00D24E61" w:rsidRPr="00771368" w:rsidRDefault="00D24E61">
            <w:pPr>
              <w:rPr>
                <w:sz w:val="7"/>
                <w:szCs w:val="7"/>
              </w:rPr>
            </w:pPr>
          </w:p>
        </w:tc>
        <w:tc>
          <w:tcPr>
            <w:tcW w:w="860" w:type="dxa"/>
            <w:vAlign w:val="bottom"/>
          </w:tcPr>
          <w:p w:rsidR="00D24E61" w:rsidRPr="00771368" w:rsidRDefault="00D24E61">
            <w:pPr>
              <w:rPr>
                <w:sz w:val="7"/>
                <w:szCs w:val="7"/>
              </w:rPr>
            </w:pPr>
          </w:p>
        </w:tc>
        <w:tc>
          <w:tcPr>
            <w:tcW w:w="880" w:type="dxa"/>
            <w:vAlign w:val="bottom"/>
          </w:tcPr>
          <w:p w:rsidR="00D24E61" w:rsidRPr="00771368" w:rsidRDefault="00D24E61">
            <w:pPr>
              <w:rPr>
                <w:sz w:val="7"/>
                <w:szCs w:val="7"/>
              </w:rPr>
            </w:pPr>
          </w:p>
        </w:tc>
        <w:tc>
          <w:tcPr>
            <w:tcW w:w="860" w:type="dxa"/>
            <w:vAlign w:val="bottom"/>
          </w:tcPr>
          <w:p w:rsidR="00D24E61" w:rsidRPr="00771368" w:rsidRDefault="00D24E61">
            <w:pPr>
              <w:rPr>
                <w:sz w:val="7"/>
                <w:szCs w:val="7"/>
              </w:rPr>
            </w:pPr>
          </w:p>
        </w:tc>
        <w:tc>
          <w:tcPr>
            <w:tcW w:w="580" w:type="dxa"/>
            <w:vAlign w:val="bottom"/>
          </w:tcPr>
          <w:p w:rsidR="00D24E61" w:rsidRPr="00771368" w:rsidRDefault="00D24E61">
            <w:pPr>
              <w:rPr>
                <w:sz w:val="7"/>
                <w:szCs w:val="7"/>
              </w:rPr>
            </w:pPr>
          </w:p>
        </w:tc>
      </w:tr>
    </w:tbl>
    <w:p w:rsidR="00D24E61" w:rsidRPr="00771368" w:rsidRDefault="00013211">
      <w:pPr>
        <w:rPr>
          <w:sz w:val="20"/>
          <w:szCs w:val="20"/>
        </w:rPr>
        <w:sectPr w:rsidR="00D24E61" w:rsidRPr="00771368">
          <w:type w:val="continuous"/>
          <w:pgSz w:w="11900" w:h="16838"/>
          <w:pgMar w:top="1440" w:right="1700" w:bottom="1440" w:left="1380" w:header="0" w:footer="0" w:gutter="0"/>
          <w:cols w:space="720" w:equalWidth="0">
            <w:col w:w="8820"/>
          </w:cols>
        </w:sectPr>
      </w:pPr>
      <w:r>
        <w:rPr>
          <w:noProof/>
          <w:sz w:val="20"/>
          <w:szCs w:val="20"/>
        </w:rPr>
        <mc:AlternateContent>
          <mc:Choice Requires="wps">
            <w:drawing>
              <wp:anchor distT="0" distB="0" distL="0" distR="0" simplePos="0" relativeHeight="251761152" behindDoc="0" locked="0" layoutInCell="0" allowOverlap="1">
                <wp:simplePos x="0" y="0"/>
                <wp:positionH relativeFrom="column">
                  <wp:posOffset>-3810</wp:posOffset>
                </wp:positionH>
                <wp:positionV relativeFrom="paragraph">
                  <wp:posOffset>-541020</wp:posOffset>
                </wp:positionV>
                <wp:extent cx="0" cy="64135"/>
                <wp:effectExtent l="5715" t="11430" r="13335" b="10160"/>
                <wp:wrapNone/>
                <wp:docPr id="169"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8" o:spid="_x0000_s1026" style="position:absolute;z-index:25176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42.6pt" to="-.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" o:allowincell="f" strokecolor="#0070c0"/>
            </w:pict>
          </mc:Fallback>
        </mc:AlternateContent>
      </w:r>
      <w:r>
        <w:rPr>
          <w:noProof/>
          <w:sz w:val="20"/>
          <w:szCs w:val="20"/>
        </w:rPr>
        <mc:AlternateContent>
          <mc:Choice Requires="wps">
            <w:drawing>
              <wp:anchor distT="0" distB="0" distL="0" distR="0" simplePos="0" relativeHeight="251762176" behindDoc="0" locked="0" layoutInCell="0" allowOverlap="1">
                <wp:simplePos x="0" y="0"/>
                <wp:positionH relativeFrom="column">
                  <wp:posOffset>64135</wp:posOffset>
                </wp:positionH>
                <wp:positionV relativeFrom="paragraph">
                  <wp:posOffset>-541020</wp:posOffset>
                </wp:positionV>
                <wp:extent cx="0" cy="64135"/>
                <wp:effectExtent l="6985" t="11430" r="12065" b="10160"/>
                <wp:wrapNone/>
                <wp:docPr id="168"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9" o:spid="_x0000_s1026" style="position:absolute;z-index:25176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5pt,-42.6pt" to="5.0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" o:allowincell="f" strokecolor="#0070c0"/>
            </w:pict>
          </mc:Fallback>
        </mc:AlternateContent>
      </w:r>
      <w:r>
        <w:rPr>
          <w:noProof/>
          <w:sz w:val="20"/>
          <w:szCs w:val="20"/>
        </w:rPr>
        <mc:AlternateContent>
          <mc:Choice Requires="wps">
            <w:drawing>
              <wp:anchor distT="0" distB="0" distL="0" distR="0" simplePos="0" relativeHeight="251763200" behindDoc="0" locked="0" layoutInCell="0" allowOverlap="1">
                <wp:simplePos x="0" y="0"/>
                <wp:positionH relativeFrom="column">
                  <wp:posOffset>-8255</wp:posOffset>
                </wp:positionH>
                <wp:positionV relativeFrom="paragraph">
                  <wp:posOffset>-536575</wp:posOffset>
                </wp:positionV>
                <wp:extent cx="76835" cy="0"/>
                <wp:effectExtent l="10795" t="6350" r="7620" b="12700"/>
                <wp:wrapNone/>
                <wp:docPr id="167"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0" o:spid="_x0000_s1026" style="position:absolute;z-index:25176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pt,-42.25pt" to="5.4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" o:allowincell="f" strokecolor="#0070c0"/>
            </w:pict>
          </mc:Fallback>
        </mc:AlternateContent>
      </w:r>
      <w:r>
        <w:rPr>
          <w:noProof/>
          <w:sz w:val="20"/>
          <w:szCs w:val="20"/>
        </w:rPr>
        <mc:AlternateContent>
          <mc:Choice Requires="wps">
            <w:drawing>
              <wp:anchor distT="0" distB="0" distL="0" distR="0" simplePos="0" relativeHeight="251764224" behindDoc="0" locked="0" layoutInCell="0" allowOverlap="1">
                <wp:simplePos x="0" y="0"/>
                <wp:positionH relativeFrom="column">
                  <wp:posOffset>-8255</wp:posOffset>
                </wp:positionH>
                <wp:positionV relativeFrom="paragraph">
                  <wp:posOffset>-481330</wp:posOffset>
                </wp:positionV>
                <wp:extent cx="76835" cy="0"/>
                <wp:effectExtent l="10795" t="13970" r="7620" b="5080"/>
                <wp:wrapNone/>
                <wp:docPr id="166"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1" o:spid="_x0000_s1026" style="position:absolute;z-index:25176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pt,-37.9pt" to="5.4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" o:allowincell="f" strokecolor="#0070c0"/>
            </w:pict>
          </mc:Fallback>
        </mc:AlternateContent>
      </w:r>
      <w:r>
        <w:rPr>
          <w:noProof/>
          <w:sz w:val="20"/>
          <w:szCs w:val="20"/>
        </w:rPr>
        <mc:AlternateContent>
          <mc:Choice Requires="wps">
            <w:drawing>
              <wp:anchor distT="0" distB="0" distL="0" distR="0" simplePos="0" relativeHeight="251765248" behindDoc="0" locked="0" layoutInCell="0" allowOverlap="1">
                <wp:simplePos x="0" y="0"/>
                <wp:positionH relativeFrom="column">
                  <wp:posOffset>-3810</wp:posOffset>
                </wp:positionH>
                <wp:positionV relativeFrom="paragraph">
                  <wp:posOffset>-307340</wp:posOffset>
                </wp:positionV>
                <wp:extent cx="0" cy="64135"/>
                <wp:effectExtent l="5715" t="6985" r="13335" b="5080"/>
                <wp:wrapNone/>
                <wp:docPr id="165"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2" o:spid="_x0000_s1026" style="position:absolute;z-index:25176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24.2pt" to="-.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" o:allowincell="f" strokecolor="#c00000"/>
            </w:pict>
          </mc:Fallback>
        </mc:AlternateContent>
      </w:r>
      <w:r>
        <w:rPr>
          <w:noProof/>
          <w:sz w:val="20"/>
          <w:szCs w:val="20"/>
        </w:rPr>
        <mc:AlternateContent>
          <mc:Choice Requires="wps">
            <w:drawing>
              <wp:anchor distT="0" distB="0" distL="0" distR="0" simplePos="0" relativeHeight="251766272" behindDoc="0" locked="0" layoutInCell="0" allowOverlap="1">
                <wp:simplePos x="0" y="0"/>
                <wp:positionH relativeFrom="column">
                  <wp:posOffset>64135</wp:posOffset>
                </wp:positionH>
                <wp:positionV relativeFrom="paragraph">
                  <wp:posOffset>-307340</wp:posOffset>
                </wp:positionV>
                <wp:extent cx="0" cy="64135"/>
                <wp:effectExtent l="6985" t="6985" r="12065" b="5080"/>
                <wp:wrapNone/>
                <wp:docPr id="164"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3" o:spid="_x0000_s1026" style="position:absolute;z-index:25176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5pt,-24.2pt" to="5.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" o:allowincell="f" strokecolor="#c00000"/>
            </w:pict>
          </mc:Fallback>
        </mc:AlternateContent>
      </w:r>
      <w:r>
        <w:rPr>
          <w:noProof/>
          <w:sz w:val="20"/>
          <w:szCs w:val="20"/>
        </w:rPr>
        <mc:AlternateContent>
          <mc:Choice Requires="wps">
            <w:drawing>
              <wp:anchor distT="0" distB="0" distL="0" distR="0" simplePos="0" relativeHeight="251767296" behindDoc="0" locked="0" layoutInCell="0" allowOverlap="1">
                <wp:simplePos x="0" y="0"/>
                <wp:positionH relativeFrom="column">
                  <wp:posOffset>-8255</wp:posOffset>
                </wp:positionH>
                <wp:positionV relativeFrom="paragraph">
                  <wp:posOffset>-302895</wp:posOffset>
                </wp:positionV>
                <wp:extent cx="76835" cy="0"/>
                <wp:effectExtent l="10795" t="11430" r="7620" b="7620"/>
                <wp:wrapNone/>
                <wp:docPr id="163"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4" o:spid="_x0000_s1026" style="position:absolute;z-index:25176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pt,-23.85pt" to="5.4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" o:allowincell="f" strokecolor="#c00000"/>
            </w:pict>
          </mc:Fallback>
        </mc:AlternateContent>
      </w:r>
      <w:r>
        <w:rPr>
          <w:noProof/>
          <w:sz w:val="20"/>
          <w:szCs w:val="20"/>
        </w:rPr>
        <mc:AlternateContent>
          <mc:Choice Requires="wps">
            <w:drawing>
              <wp:anchor distT="0" distB="0" distL="0" distR="0" simplePos="0" relativeHeight="251768320" behindDoc="0" locked="0" layoutInCell="0" allowOverlap="1">
                <wp:simplePos x="0" y="0"/>
                <wp:positionH relativeFrom="column">
                  <wp:posOffset>-8255</wp:posOffset>
                </wp:positionH>
                <wp:positionV relativeFrom="paragraph">
                  <wp:posOffset>-248285</wp:posOffset>
                </wp:positionV>
                <wp:extent cx="76835" cy="0"/>
                <wp:effectExtent l="10795" t="8890" r="7620" b="10160"/>
                <wp:wrapNone/>
                <wp:docPr id="162"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5" o:spid="_x0000_s1026" style="position:absolute;z-index:25176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pt,-19.55pt" to="5.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KbFQ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" o:allowincell="f" strokecolor="#c00000"/>
            </w:pict>
          </mc:Fallback>
        </mc:AlternateContent>
      </w:r>
      <w:r>
        <w:rPr>
          <w:noProof/>
          <w:sz w:val="20"/>
          <w:szCs w:val="20"/>
        </w:rPr>
        <mc:AlternateContent>
          <mc:Choice Requires="wps">
            <w:drawing>
              <wp:anchor distT="0" distB="0" distL="0" distR="0" simplePos="0" relativeHeight="251769344" behindDoc="0" locked="0" layoutInCell="0" allowOverlap="1">
                <wp:simplePos x="0" y="0"/>
                <wp:positionH relativeFrom="column">
                  <wp:posOffset>0</wp:posOffset>
                </wp:positionH>
                <wp:positionV relativeFrom="paragraph">
                  <wp:posOffset>-59055</wp:posOffset>
                </wp:positionV>
                <wp:extent cx="0" cy="63500"/>
                <wp:effectExtent l="9525" t="7620" r="9525" b="5080"/>
                <wp:wrapNone/>
                <wp:docPr id="161"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6" o:spid="_x0000_s1026" style="position:absolute;z-index:25176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65pt" to="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" o:allowincell="f" strokecolor="#92d050"/>
            </w:pict>
          </mc:Fallback>
        </mc:AlternateContent>
      </w:r>
      <w:r>
        <w:rPr>
          <w:noProof/>
          <w:sz w:val="20"/>
          <w:szCs w:val="20"/>
        </w:rPr>
        <mc:AlternateContent>
          <mc:Choice Requires="wps">
            <w:drawing>
              <wp:anchor distT="0" distB="0" distL="0" distR="0" simplePos="0" relativeHeight="251770368" behindDoc="0" locked="0" layoutInCell="0" allowOverlap="1">
                <wp:simplePos x="0" y="0"/>
                <wp:positionH relativeFrom="column">
                  <wp:posOffset>67310</wp:posOffset>
                </wp:positionH>
                <wp:positionV relativeFrom="paragraph">
                  <wp:posOffset>-59055</wp:posOffset>
                </wp:positionV>
                <wp:extent cx="0" cy="63500"/>
                <wp:effectExtent l="10160" t="7620" r="8890" b="5080"/>
                <wp:wrapNone/>
                <wp:docPr id="160"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7" o:spid="_x0000_s1026" style="position:absolute;z-index:25177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pt,-4.65pt" to="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" o:allowincell="f" strokecolor="#92d050"/>
            </w:pict>
          </mc:Fallback>
        </mc:AlternateContent>
      </w:r>
      <w:r>
        <w:rPr>
          <w:noProof/>
          <w:sz w:val="20"/>
          <w:szCs w:val="20"/>
        </w:rPr>
        <mc:AlternateContent>
          <mc:Choice Requires="wps">
            <w:drawing>
              <wp:anchor distT="0" distB="0" distL="0" distR="0" simplePos="0" relativeHeight="251771392" behindDoc="0" locked="0" layoutInCell="0" allowOverlap="1">
                <wp:simplePos x="0" y="0"/>
                <wp:positionH relativeFrom="column">
                  <wp:posOffset>-4445</wp:posOffset>
                </wp:positionH>
                <wp:positionV relativeFrom="paragraph">
                  <wp:posOffset>-53975</wp:posOffset>
                </wp:positionV>
                <wp:extent cx="76835" cy="0"/>
                <wp:effectExtent l="5080" t="12700" r="13335" b="6350"/>
                <wp:wrapNone/>
                <wp:docPr id="159"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8" o:spid="_x0000_s1026" style="position:absolute;z-index:25177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4.25pt" to="5.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" o:allowincell="f" strokecolor="#92d050"/>
            </w:pict>
          </mc:Fallback>
        </mc:AlternateContent>
      </w:r>
      <w:r>
        <w:rPr>
          <w:noProof/>
          <w:sz w:val="20"/>
          <w:szCs w:val="20"/>
        </w:rPr>
        <mc:AlternateContent>
          <mc:Choice Requires="wps">
            <w:drawing>
              <wp:anchor distT="0" distB="0" distL="0" distR="0" simplePos="0" relativeHeight="251772416" behindDoc="0" locked="0" layoutInCell="0" allowOverlap="1">
                <wp:simplePos x="0" y="0"/>
                <wp:positionH relativeFrom="column">
                  <wp:posOffset>-4445</wp:posOffset>
                </wp:positionH>
                <wp:positionV relativeFrom="paragraph">
                  <wp:posOffset>0</wp:posOffset>
                </wp:positionV>
                <wp:extent cx="76835" cy="0"/>
                <wp:effectExtent l="5080" t="9525" r="13335" b="9525"/>
                <wp:wrapNone/>
                <wp:docPr id="158"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9" o:spid="_x0000_s1026" style="position:absolute;z-index:25177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0" to="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" o:allowincell="f" strokecolor="#92d050"/>
            </w:pict>
          </mc:Fallback>
        </mc:AlternateContent>
      </w:r>
    </w:p>
    <w:p w:rsidR="00D24E61" w:rsidRPr="00771368" w:rsidRDefault="00D24E61">
      <w:pPr>
        <w:spacing w:line="152" w:lineRule="exact"/>
        <w:rPr>
          <w:sz w:val="20"/>
          <w:szCs w:val="20"/>
        </w:rPr>
      </w:pPr>
    </w:p>
    <w:p w:rsidR="00D24E61" w:rsidRPr="00771368" w:rsidRDefault="00D24E61">
      <w:pPr>
        <w:tabs>
          <w:tab w:val="left" w:pos="1420"/>
          <w:tab w:val="left" w:pos="2260"/>
          <w:tab w:val="left" w:pos="3160"/>
          <w:tab w:val="left" w:pos="4000"/>
          <w:tab w:val="left" w:pos="4860"/>
          <w:tab w:val="left" w:pos="5720"/>
          <w:tab w:val="left" w:pos="6580"/>
          <w:tab w:val="left" w:pos="7460"/>
          <w:tab w:val="left" w:pos="8360"/>
        </w:tabs>
        <w:spacing w:line="239" w:lineRule="auto"/>
        <w:rPr>
          <w:sz w:val="20"/>
          <w:szCs w:val="20"/>
        </w:rPr>
      </w:pPr>
      <w:r w:rsidRPr="00771368">
        <w:rPr>
          <w:sz w:val="12"/>
          <w:szCs w:val="12"/>
        </w:rPr>
        <w:t>Discordo totalmente</w:t>
      </w:r>
      <w:r w:rsidRPr="00771368">
        <w:rPr>
          <w:sz w:val="20"/>
          <w:szCs w:val="20"/>
        </w:rPr>
        <w:tab/>
      </w:r>
      <w:r w:rsidRPr="00771368">
        <w:rPr>
          <w:sz w:val="12"/>
          <w:szCs w:val="12"/>
        </w:rPr>
        <w:t>2,5%</w:t>
      </w:r>
      <w:r w:rsidRPr="00771368">
        <w:rPr>
          <w:sz w:val="20"/>
          <w:szCs w:val="20"/>
        </w:rPr>
        <w:tab/>
      </w:r>
      <w:r w:rsidRPr="00771368">
        <w:rPr>
          <w:sz w:val="12"/>
          <w:szCs w:val="12"/>
        </w:rPr>
        <w:t>39,3%</w:t>
      </w:r>
      <w:r w:rsidRPr="00771368">
        <w:rPr>
          <w:sz w:val="20"/>
          <w:szCs w:val="20"/>
        </w:rPr>
        <w:tab/>
      </w:r>
      <w:r w:rsidRPr="00771368">
        <w:rPr>
          <w:sz w:val="12"/>
          <w:szCs w:val="12"/>
        </w:rPr>
        <w:t>0,9%</w:t>
      </w:r>
      <w:r w:rsidRPr="00771368">
        <w:rPr>
          <w:sz w:val="20"/>
          <w:szCs w:val="20"/>
        </w:rPr>
        <w:tab/>
      </w:r>
      <w:r w:rsidRPr="00771368">
        <w:rPr>
          <w:sz w:val="12"/>
          <w:szCs w:val="12"/>
        </w:rPr>
        <w:t>47,9%</w:t>
      </w:r>
      <w:r w:rsidRPr="00771368">
        <w:rPr>
          <w:sz w:val="20"/>
          <w:szCs w:val="20"/>
        </w:rPr>
        <w:tab/>
      </w:r>
      <w:r w:rsidRPr="00771368">
        <w:rPr>
          <w:sz w:val="12"/>
          <w:szCs w:val="12"/>
        </w:rPr>
        <w:t>44,9%</w:t>
      </w:r>
      <w:r w:rsidRPr="00771368">
        <w:rPr>
          <w:sz w:val="20"/>
          <w:szCs w:val="20"/>
        </w:rPr>
        <w:tab/>
      </w:r>
      <w:r w:rsidRPr="00771368">
        <w:rPr>
          <w:sz w:val="12"/>
          <w:szCs w:val="12"/>
        </w:rPr>
        <w:t>50,0%</w:t>
      </w:r>
      <w:r w:rsidRPr="00771368">
        <w:rPr>
          <w:sz w:val="20"/>
          <w:szCs w:val="20"/>
        </w:rPr>
        <w:tab/>
      </w:r>
      <w:r w:rsidRPr="00771368">
        <w:rPr>
          <w:sz w:val="12"/>
          <w:szCs w:val="12"/>
        </w:rPr>
        <w:t>38,9%</w:t>
      </w:r>
      <w:r w:rsidRPr="00771368">
        <w:rPr>
          <w:sz w:val="20"/>
          <w:szCs w:val="20"/>
        </w:rPr>
        <w:tab/>
      </w:r>
      <w:r w:rsidRPr="00771368">
        <w:rPr>
          <w:sz w:val="12"/>
          <w:szCs w:val="12"/>
        </w:rPr>
        <w:t>50,9%</w:t>
      </w:r>
      <w:r w:rsidRPr="00771368">
        <w:rPr>
          <w:sz w:val="20"/>
          <w:szCs w:val="20"/>
        </w:rPr>
        <w:tab/>
      </w:r>
      <w:r w:rsidRPr="00771368">
        <w:rPr>
          <w:sz w:val="11"/>
          <w:szCs w:val="11"/>
        </w:rPr>
        <w:t>2,1%</w:t>
      </w:r>
    </w:p>
    <w:p w:rsidR="00D24E61" w:rsidRPr="00771368" w:rsidRDefault="00013211">
      <w:pPr>
        <w:tabs>
          <w:tab w:val="left" w:pos="1420"/>
          <w:tab w:val="left" w:pos="2260"/>
          <w:tab w:val="left" w:pos="3160"/>
          <w:tab w:val="left" w:pos="4000"/>
          <w:tab w:val="left" w:pos="4860"/>
          <w:tab w:val="left" w:pos="5720"/>
          <w:tab w:val="left" w:pos="6580"/>
          <w:tab w:val="left" w:pos="7460"/>
          <w:tab w:val="left" w:pos="8360"/>
        </w:tabs>
        <w:spacing w:line="239" w:lineRule="auto"/>
        <w:rPr>
          <w:sz w:val="20"/>
          <w:szCs w:val="20"/>
        </w:rPr>
        <w:sectPr w:rsidR="00D24E61" w:rsidRPr="00771368">
          <w:type w:val="continuous"/>
          <w:pgSz w:w="11900" w:h="16838"/>
          <w:pgMar w:top="1440" w:right="1720" w:bottom="1440" w:left="1560" w:header="0" w:footer="0" w:gutter="0"/>
          <w:cols w:space="720" w:equalWidth="0">
            <w:col w:w="8620"/>
          </w:cols>
        </w:sectPr>
      </w:pPr>
      <w:r>
        <w:rPr>
          <w:noProof/>
          <w:sz w:val="20"/>
          <w:szCs w:val="20"/>
        </w:rPr>
        <mc:AlternateContent>
          <mc:Choice Requires="wps">
            <w:drawing>
              <wp:anchor distT="0" distB="0" distL="0" distR="0" simplePos="0" relativeHeight="251777536" behindDoc="1" locked="0" layoutInCell="0" allowOverlap="1">
                <wp:simplePos x="0" y="0"/>
                <wp:positionH relativeFrom="column">
                  <wp:posOffset>-114300</wp:posOffset>
                </wp:positionH>
                <wp:positionV relativeFrom="paragraph">
                  <wp:posOffset>-5080</wp:posOffset>
                </wp:positionV>
                <wp:extent cx="67945" cy="53975"/>
                <wp:effectExtent l="0" t="4445" r="0" b="0"/>
                <wp:wrapNone/>
                <wp:docPr id="157"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53975"/>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0" o:spid="_x0000_s1026" style="position:absolute;margin-left:-9pt;margin-top:-.4pt;width:5.35pt;height:4.25pt;z-index:-25153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" o:allowincell="f" fillcolor="#5f497a" stroked="f"/>
            </w:pict>
          </mc:Fallback>
        </mc:AlternateContent>
      </w:r>
      <w:r>
        <w:rPr>
          <w:noProof/>
          <w:sz w:val="20"/>
          <w:szCs w:val="20"/>
        </w:rPr>
        <mc:AlternateContent>
          <mc:Choice Requires="wps">
            <w:drawing>
              <wp:anchor distT="0" distB="0" distL="0" distR="0" simplePos="0" relativeHeight="251773440" behindDoc="0" locked="0" layoutInCell="0" allowOverlap="1">
                <wp:simplePos x="0" y="0"/>
                <wp:positionH relativeFrom="column">
                  <wp:posOffset>-114300</wp:posOffset>
                </wp:positionH>
                <wp:positionV relativeFrom="paragraph">
                  <wp:posOffset>-9525</wp:posOffset>
                </wp:positionV>
                <wp:extent cx="0" cy="63500"/>
                <wp:effectExtent l="9525" t="9525" r="9525" b="12700"/>
                <wp:wrapNone/>
                <wp:docPr id="156"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61" o:spid="_x0000_s1026" style="position:absolute;z-index:25177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pt,-.75pt" to="-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" o:allowincell="f" strokecolor="#5f497a"/>
            </w:pict>
          </mc:Fallback>
        </mc:AlternateContent>
      </w:r>
      <w:r>
        <w:rPr>
          <w:noProof/>
          <w:sz w:val="20"/>
          <w:szCs w:val="20"/>
        </w:rPr>
        <mc:AlternateContent>
          <mc:Choice Requires="wps">
            <w:drawing>
              <wp:anchor distT="0" distB="0" distL="0" distR="0" simplePos="0" relativeHeight="251774464" behindDoc="0" locked="0" layoutInCell="0" allowOverlap="1">
                <wp:simplePos x="0" y="0"/>
                <wp:positionH relativeFrom="column">
                  <wp:posOffset>-46355</wp:posOffset>
                </wp:positionH>
                <wp:positionV relativeFrom="paragraph">
                  <wp:posOffset>-9525</wp:posOffset>
                </wp:positionV>
                <wp:extent cx="0" cy="63500"/>
                <wp:effectExtent l="10795" t="9525" r="8255" b="12700"/>
                <wp:wrapNone/>
                <wp:docPr id="155"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62" o:spid="_x0000_s1026" style="position:absolute;z-index:25177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5pt,-.75pt" to="-3.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" o:allowincell="f" strokecolor="#5f497a"/>
            </w:pict>
          </mc:Fallback>
        </mc:AlternateContent>
      </w:r>
      <w:r>
        <w:rPr>
          <w:noProof/>
          <w:sz w:val="20"/>
          <w:szCs w:val="20"/>
        </w:rPr>
        <mc:AlternateContent>
          <mc:Choice Requires="wps">
            <w:drawing>
              <wp:anchor distT="0" distB="0" distL="0" distR="0" simplePos="0" relativeHeight="251775488" behindDoc="0" locked="0" layoutInCell="0" allowOverlap="1">
                <wp:simplePos x="0" y="0"/>
                <wp:positionH relativeFrom="column">
                  <wp:posOffset>-118745</wp:posOffset>
                </wp:positionH>
                <wp:positionV relativeFrom="paragraph">
                  <wp:posOffset>-5080</wp:posOffset>
                </wp:positionV>
                <wp:extent cx="77470" cy="0"/>
                <wp:effectExtent l="5080" t="13970" r="12700" b="5080"/>
                <wp:wrapNone/>
                <wp:docPr id="154"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63" o:spid="_x0000_s1026" style="position:absolute;z-index:25177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35pt,-.4pt" to="-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" o:allowincell="f" strokecolor="#5f497a"/>
            </w:pict>
          </mc:Fallback>
        </mc:AlternateContent>
      </w:r>
      <w:r>
        <w:rPr>
          <w:noProof/>
          <w:sz w:val="20"/>
          <w:szCs w:val="20"/>
        </w:rPr>
        <mc:AlternateContent>
          <mc:Choice Requires="wps">
            <w:drawing>
              <wp:anchor distT="0" distB="0" distL="0" distR="0" simplePos="0" relativeHeight="251776512" behindDoc="0" locked="0" layoutInCell="0" allowOverlap="1">
                <wp:simplePos x="0" y="0"/>
                <wp:positionH relativeFrom="column">
                  <wp:posOffset>-118745</wp:posOffset>
                </wp:positionH>
                <wp:positionV relativeFrom="paragraph">
                  <wp:posOffset>48895</wp:posOffset>
                </wp:positionV>
                <wp:extent cx="77470" cy="0"/>
                <wp:effectExtent l="5080" t="10795" r="12700" b="8255"/>
                <wp:wrapNone/>
                <wp:docPr id="153"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 cy="0"/>
                        </a:xfrm>
                        <a:prstGeom prst="line">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64" o:spid="_x0000_s1026" style="position:absolute;z-index:25177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35pt,3.85pt" to="-3.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" o:allowincell="f" strokecolor="#5f497a"/>
            </w:pict>
          </mc:Fallback>
        </mc:AlternateContent>
      </w:r>
    </w:p>
    <w:p w:rsidR="00D24E61" w:rsidRPr="00771368" w:rsidRDefault="00D24E61">
      <w:pPr>
        <w:spacing w:line="25" w:lineRule="exact"/>
        <w:rPr>
          <w:sz w:val="20"/>
          <w:szCs w:val="20"/>
        </w:rPr>
      </w:pPr>
    </w:p>
    <w:p w:rsidR="00D24E61" w:rsidRPr="00771368" w:rsidRDefault="00D24E61">
      <w:pPr>
        <w:spacing w:line="299" w:lineRule="auto"/>
        <w:ind w:right="20" w:firstLine="1133"/>
        <w:jc w:val="both"/>
        <w:rPr>
          <w:sz w:val="20"/>
          <w:szCs w:val="20"/>
        </w:rPr>
      </w:pPr>
      <w:r w:rsidRPr="00771368">
        <w:rPr>
          <w:sz w:val="24"/>
          <w:szCs w:val="24"/>
        </w:rPr>
        <w:t>Marques (2009) dá sustentabilidade às observações feitas através tabela de dados a partir dos questionários aplicados aos estudantes, quando diz que “a escola é uma instituição social que tem um papel fundamental nesta formação. Assim, assume uma posição protagonista nesta discussão, no sentido de que é um espaço de formação humana e, portanto, de construção de valores e práticas”.</w:t>
      </w:r>
    </w:p>
    <w:p w:rsidR="00D24E61" w:rsidRPr="00771368" w:rsidRDefault="00D24E61">
      <w:pPr>
        <w:spacing w:line="278" w:lineRule="exact"/>
        <w:rPr>
          <w:sz w:val="20"/>
          <w:szCs w:val="20"/>
        </w:rPr>
      </w:pPr>
    </w:p>
    <w:p w:rsidR="00D24E61" w:rsidRPr="00771368" w:rsidRDefault="00D24E61">
      <w:pPr>
        <w:spacing w:line="342" w:lineRule="auto"/>
        <w:ind w:firstLine="1133"/>
        <w:jc w:val="both"/>
        <w:rPr>
          <w:sz w:val="20"/>
          <w:szCs w:val="20"/>
        </w:rPr>
      </w:pPr>
      <w:r w:rsidRPr="00771368">
        <w:rPr>
          <w:sz w:val="24"/>
          <w:szCs w:val="24"/>
        </w:rPr>
        <w:t>A partir dos dados levantados com os questionários vê-se questões que instigam leituras e maiores entendimentos sobre estudos do tema em questão, relações de gênero, ou até mesmo de outras modalidades que de forma direta ou indireta interfira positivamente no conhecimento científico e amplie o conhecimento cultural do educando.</w:t>
      </w:r>
    </w:p>
    <w:p w:rsidR="00D24E61" w:rsidRPr="00771368" w:rsidRDefault="00D24E61">
      <w:pPr>
        <w:spacing w:line="222" w:lineRule="exact"/>
        <w:rPr>
          <w:sz w:val="20"/>
          <w:szCs w:val="20"/>
        </w:rPr>
      </w:pPr>
    </w:p>
    <w:p w:rsidR="00D24E61" w:rsidRPr="00771368" w:rsidRDefault="00D24E61">
      <w:pPr>
        <w:rPr>
          <w:sz w:val="20"/>
          <w:szCs w:val="20"/>
        </w:rPr>
      </w:pPr>
      <w:r w:rsidRPr="00771368">
        <w:rPr>
          <w:b/>
          <w:bCs/>
          <w:sz w:val="24"/>
          <w:szCs w:val="24"/>
          <w:u w:val="single"/>
        </w:rPr>
        <w:t>Conclusão</w:t>
      </w:r>
    </w:p>
    <w:p w:rsidR="00D24E61" w:rsidRPr="00771368" w:rsidRDefault="00D24E61">
      <w:pPr>
        <w:spacing w:line="397" w:lineRule="exact"/>
        <w:rPr>
          <w:sz w:val="20"/>
          <w:szCs w:val="20"/>
        </w:rPr>
      </w:pPr>
    </w:p>
    <w:p w:rsidR="00D24E61" w:rsidRPr="00771368" w:rsidRDefault="00D24E61">
      <w:pPr>
        <w:spacing w:line="354" w:lineRule="auto"/>
        <w:ind w:firstLine="1133"/>
        <w:jc w:val="both"/>
        <w:rPr>
          <w:sz w:val="20"/>
          <w:szCs w:val="20"/>
        </w:rPr>
      </w:pPr>
      <w:r w:rsidRPr="00771368">
        <w:rPr>
          <w:sz w:val="24"/>
          <w:szCs w:val="24"/>
        </w:rPr>
        <w:t>Após longo percurso, percebe-se que muitas coisas se transformam, e isto é intuito do investigador, desconstruir ideias já postas e tentar instigar que outros pesquisadores ampliem tal estudo, como vê-se aqui, a intenção é demonstrar a partir da investigação feita na escola estadual, junto aos estudantes, como se dá a discussão de relações de gênero via currículo e prática docente. Sendo assim, tem-se um árduo caminho na produção de um trabalho como este, tendo a necessidade de ler e reler ideias que relacionam-se para este trabalho. Sendo uma necessidade do pesquisador em entender de forma geral o que se refere a ideia central desta investigação, reportando-se aos fenômenos vistos e vividos no campo de investigação/escola. E FERNANDES (2007, p. 122) diz que “fazer um trabalho desta natureza é um mergulho para dentro de si, é uma experiência que faz descobrir quem somos, o que pensamos, no que acreditamos e o que faremos.</w:t>
      </w:r>
    </w:p>
    <w:p w:rsidR="00D24E61" w:rsidRPr="00771368" w:rsidRDefault="00D24E61">
      <w:pPr>
        <w:spacing w:line="280" w:lineRule="exact"/>
        <w:rPr>
          <w:sz w:val="20"/>
          <w:szCs w:val="20"/>
        </w:rPr>
      </w:pPr>
    </w:p>
    <w:p w:rsidR="00D24E61" w:rsidRPr="00771368" w:rsidRDefault="00D24E61">
      <w:pPr>
        <w:spacing w:line="348" w:lineRule="auto"/>
        <w:ind w:right="20" w:firstLine="1133"/>
        <w:jc w:val="both"/>
        <w:rPr>
          <w:sz w:val="20"/>
          <w:szCs w:val="20"/>
        </w:rPr>
      </w:pPr>
      <w:r w:rsidRPr="00771368">
        <w:rPr>
          <w:sz w:val="24"/>
          <w:szCs w:val="24"/>
        </w:rPr>
        <w:t>O objetivo geral desta pesquisa que é ter levantado as devidas informações sobre temas já citados de forma teórica, para que a partir daí pudesse ter uma compreensão das discussões de relações de gênero a cerca das vivências curriculares e as práticas docentes, na instituição de ensino da investigação. Mas vale salientar que neste ambiente pedagógico não se apresentava uma vivência efetiva sobre relações de gênero, e que se o contrário o fosse apareceria de forma velada.</w:t>
      </w:r>
    </w:p>
    <w:p w:rsidR="00D24E61" w:rsidRPr="00771368" w:rsidRDefault="00D24E61">
      <w:pPr>
        <w:spacing w:line="283" w:lineRule="exact"/>
        <w:rPr>
          <w:sz w:val="20"/>
          <w:szCs w:val="20"/>
        </w:rPr>
      </w:pPr>
    </w:p>
    <w:p w:rsidR="00D24E61" w:rsidRPr="00771368" w:rsidRDefault="00D24E61">
      <w:pPr>
        <w:spacing w:line="343" w:lineRule="auto"/>
        <w:ind w:right="20" w:firstLine="1133"/>
        <w:jc w:val="both"/>
        <w:rPr>
          <w:sz w:val="20"/>
          <w:szCs w:val="20"/>
        </w:rPr>
      </w:pPr>
      <w:r w:rsidRPr="00771368">
        <w:rPr>
          <w:sz w:val="24"/>
          <w:szCs w:val="24"/>
        </w:rPr>
        <w:t>Acreditamos que não podemos desconsiderar a possibilidade de construção/transformação inerente à escola. Da mesma forma que a escola pode reproduzir relações hierárquicas existentes na sociedade, ela pode desenvolver ações, práticas e valores que visem transformar estas relações mais igualitárias entre os diversos grupos sociais. Na</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5" w:lineRule="exact"/>
        <w:rPr>
          <w:sz w:val="20"/>
          <w:szCs w:val="20"/>
        </w:rPr>
      </w:pPr>
    </w:p>
    <w:p w:rsidR="00D24E61" w:rsidRPr="00771368" w:rsidRDefault="00D24E61">
      <w:pPr>
        <w:spacing w:line="308" w:lineRule="auto"/>
        <w:ind w:right="20"/>
        <w:jc w:val="both"/>
        <w:rPr>
          <w:sz w:val="20"/>
          <w:szCs w:val="20"/>
        </w:rPr>
      </w:pPr>
      <w:r w:rsidRPr="00771368">
        <w:rPr>
          <w:sz w:val="24"/>
          <w:szCs w:val="24"/>
        </w:rPr>
        <w:t>segunda perspectiva a escola estaria assumindo seu papel protagonista na democratização da sociedade (Marques, 2009).</w:t>
      </w:r>
    </w:p>
    <w:p w:rsidR="00D24E61" w:rsidRPr="00771368" w:rsidRDefault="00D24E61">
      <w:pPr>
        <w:spacing w:line="324" w:lineRule="exact"/>
        <w:rPr>
          <w:sz w:val="20"/>
          <w:szCs w:val="20"/>
        </w:rPr>
      </w:pPr>
    </w:p>
    <w:p w:rsidR="00D24E61" w:rsidRPr="00771368" w:rsidRDefault="00D24E61">
      <w:pPr>
        <w:spacing w:line="340" w:lineRule="auto"/>
        <w:ind w:right="20" w:firstLine="1133"/>
        <w:jc w:val="both"/>
        <w:rPr>
          <w:sz w:val="20"/>
          <w:szCs w:val="20"/>
        </w:rPr>
      </w:pPr>
      <w:r w:rsidRPr="00771368">
        <w:rPr>
          <w:sz w:val="24"/>
          <w:szCs w:val="24"/>
        </w:rPr>
        <w:t>Observa-se o quanto é importante que a escola busque práticas em seu cotidiano que valorize as diferenças entre as culturas de modo que não inferiorize nem discrimine o diferente, e que haja possibilidades de um trabalho de grande importância, como as relações de gênero, para destacar a importância da formação da mulher na sociedade.</w:t>
      </w:r>
    </w:p>
    <w:p w:rsidR="00D24E61" w:rsidRPr="00771368" w:rsidRDefault="00D24E61">
      <w:pPr>
        <w:spacing w:line="290" w:lineRule="exact"/>
        <w:rPr>
          <w:sz w:val="20"/>
          <w:szCs w:val="20"/>
        </w:rPr>
      </w:pPr>
    </w:p>
    <w:p w:rsidR="00D24E61" w:rsidRPr="00771368" w:rsidRDefault="00D24E61">
      <w:pPr>
        <w:spacing w:line="355" w:lineRule="auto"/>
        <w:ind w:right="20" w:firstLine="706"/>
        <w:jc w:val="both"/>
        <w:rPr>
          <w:sz w:val="20"/>
          <w:szCs w:val="20"/>
        </w:rPr>
      </w:pPr>
      <w:r w:rsidRPr="00771368">
        <w:rPr>
          <w:sz w:val="24"/>
          <w:szCs w:val="24"/>
        </w:rPr>
        <w:t>Tentei compreender de que maneira se dava a discussão a cerca das Relações de Gênero, e como este vinha sendo discutido a nível de Currículo na Escola de Referência em Ensino Médio da cidade de Panelas, e entendo que se faz necessário abordagens teóricas, científicas e práticas para tratar um tema de tão grande importância para a construção de conhecimento do estudante, assim como a construção sócio-cultural do mesmo. Deduzo pois, que um trabalho como este vem demonstrar um pouco da construção das Relações de Gênero na Escola pública, e menciono o quanto se tem a aprender sobre esta discussão, que trata não somente de uma participação mais efetiva no Currículo e Prática Docente, mas também da construção do estudante mais conhecedor de práticas culturais, onde independente da formação biológica do ser, tenha-se o respeito e o conhecimento como base para a construção de educação mais efetiva e democrática.</w:t>
      </w:r>
    </w:p>
    <w:p w:rsidR="00D24E61" w:rsidRPr="00771368" w:rsidRDefault="00D24E61">
      <w:pPr>
        <w:spacing w:line="200" w:lineRule="exact"/>
        <w:rPr>
          <w:sz w:val="20"/>
          <w:szCs w:val="20"/>
        </w:rPr>
      </w:pPr>
    </w:p>
    <w:p w:rsidR="00D24E61" w:rsidRPr="00771368" w:rsidRDefault="00D24E61">
      <w:pPr>
        <w:spacing w:line="225" w:lineRule="exact"/>
        <w:rPr>
          <w:sz w:val="20"/>
          <w:szCs w:val="20"/>
        </w:rPr>
      </w:pPr>
    </w:p>
    <w:p w:rsidR="00D24E61" w:rsidRPr="00771368" w:rsidRDefault="00D24E61">
      <w:pPr>
        <w:rPr>
          <w:sz w:val="20"/>
          <w:szCs w:val="20"/>
        </w:rPr>
      </w:pPr>
      <w:r w:rsidRPr="00771368">
        <w:rPr>
          <w:b/>
          <w:bCs/>
          <w:sz w:val="24"/>
          <w:szCs w:val="24"/>
          <w:u w:val="single"/>
        </w:rPr>
        <w:t>Referências Bibliográficas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Pr="00771368" w:rsidRDefault="00D24E61">
      <w:pPr>
        <w:spacing w:line="231" w:lineRule="auto"/>
        <w:ind w:right="820"/>
        <w:rPr>
          <w:sz w:val="20"/>
          <w:szCs w:val="20"/>
        </w:rPr>
      </w:pPr>
      <w:r w:rsidRPr="00771368">
        <w:t>ALVARENGA, Carolina Faria. Relações de Gênero e Trabalho docente: jornadas e ritmos no cotidiano de professoras e professores. São Paulo: FEUSP, 2008.</w:t>
      </w:r>
    </w:p>
    <w:p w:rsidR="00D24E61" w:rsidRPr="00771368" w:rsidRDefault="00D24E61">
      <w:pPr>
        <w:spacing w:line="242" w:lineRule="exact"/>
        <w:rPr>
          <w:sz w:val="20"/>
          <w:szCs w:val="20"/>
        </w:rPr>
      </w:pPr>
    </w:p>
    <w:p w:rsidR="00D24E61" w:rsidRPr="00771368" w:rsidRDefault="00D24E61">
      <w:pPr>
        <w:spacing w:line="239" w:lineRule="auto"/>
        <w:rPr>
          <w:sz w:val="20"/>
          <w:szCs w:val="20"/>
        </w:rPr>
      </w:pPr>
      <w:r w:rsidRPr="00771368">
        <w:t>ALVES, Branca Moreira, PITANGUY, Jaqueline. O que é feminismo. São Paulo: Editora Brasiliense,</w:t>
      </w:r>
    </w:p>
    <w:p w:rsidR="00D24E61" w:rsidRPr="00771368" w:rsidRDefault="00D24E61">
      <w:pPr>
        <w:spacing w:line="132" w:lineRule="exact"/>
        <w:rPr>
          <w:sz w:val="20"/>
          <w:szCs w:val="20"/>
        </w:rPr>
      </w:pPr>
    </w:p>
    <w:p w:rsidR="00D24E61" w:rsidRPr="00771368" w:rsidRDefault="00D24E61">
      <w:pPr>
        <w:spacing w:line="239" w:lineRule="auto"/>
        <w:rPr>
          <w:sz w:val="20"/>
          <w:szCs w:val="20"/>
        </w:rPr>
      </w:pPr>
      <w:r w:rsidRPr="00771368">
        <w:t>1985.</w:t>
      </w:r>
    </w:p>
    <w:p w:rsidR="00D24E61" w:rsidRPr="00771368" w:rsidRDefault="00D24E61">
      <w:pPr>
        <w:spacing w:line="128" w:lineRule="exact"/>
        <w:rPr>
          <w:sz w:val="20"/>
          <w:szCs w:val="20"/>
        </w:rPr>
      </w:pPr>
    </w:p>
    <w:p w:rsidR="00D24E61" w:rsidRPr="00771368" w:rsidRDefault="00D24E61">
      <w:pPr>
        <w:spacing w:line="239" w:lineRule="auto"/>
        <w:rPr>
          <w:sz w:val="20"/>
          <w:szCs w:val="20"/>
        </w:rPr>
      </w:pPr>
      <w:r w:rsidRPr="00771368">
        <w:t>APPLE, Michael. Ideologia e Currículo. São Paulo: Editora Brasiliense, 1982;</w:t>
      </w:r>
    </w:p>
    <w:p w:rsidR="00D24E61" w:rsidRPr="00771368" w:rsidRDefault="00D24E61">
      <w:pPr>
        <w:spacing w:line="181" w:lineRule="exact"/>
        <w:rPr>
          <w:sz w:val="20"/>
          <w:szCs w:val="20"/>
        </w:rPr>
      </w:pPr>
    </w:p>
    <w:p w:rsidR="00D24E61" w:rsidRPr="00771368" w:rsidRDefault="00D24E61">
      <w:pPr>
        <w:spacing w:line="333" w:lineRule="auto"/>
        <w:ind w:right="20"/>
        <w:jc w:val="both"/>
        <w:rPr>
          <w:sz w:val="20"/>
          <w:szCs w:val="20"/>
        </w:rPr>
      </w:pPr>
      <w:r w:rsidRPr="00771368">
        <w:rPr>
          <w:sz w:val="24"/>
          <w:szCs w:val="24"/>
        </w:rPr>
        <w:t>BRASIL. Estatuto da Criança e do Adolescente/Secretaria Especial dos Direitos Humanos ; Ministério da Educação, Assessoria de Comunicação Social. Brasília: MEC, ACS, 2005. 77 p.; 18x13,5cm.</w:t>
      </w:r>
    </w:p>
    <w:p w:rsidR="00D24E61" w:rsidRPr="00771368" w:rsidRDefault="00D24E61">
      <w:pPr>
        <w:spacing w:line="90" w:lineRule="exact"/>
        <w:rPr>
          <w:sz w:val="20"/>
          <w:szCs w:val="20"/>
        </w:rPr>
      </w:pPr>
    </w:p>
    <w:p w:rsidR="00D24E61" w:rsidRPr="00771368" w:rsidRDefault="00D24E61">
      <w:pPr>
        <w:spacing w:line="335" w:lineRule="auto"/>
        <w:jc w:val="both"/>
        <w:rPr>
          <w:sz w:val="20"/>
          <w:szCs w:val="20"/>
        </w:rPr>
      </w:pPr>
      <w:r w:rsidRPr="00771368">
        <w:rPr>
          <w:sz w:val="24"/>
          <w:szCs w:val="24"/>
        </w:rPr>
        <w:t>BRASIL. Secretaria de Educação Fundamental. Parâmetros Curriculares Nacionais; Introdução aos Parâmetros Curriculares Nacionais / Secretaria de Educação Fundamental. Brasília: MEC/SEF, 1997. 126p.</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5" w:lineRule="exact"/>
        <w:rPr>
          <w:sz w:val="20"/>
          <w:szCs w:val="20"/>
        </w:rPr>
      </w:pPr>
    </w:p>
    <w:p w:rsidR="00D24E61" w:rsidRPr="00771368" w:rsidRDefault="00D24E61">
      <w:pPr>
        <w:spacing w:line="335" w:lineRule="auto"/>
        <w:jc w:val="both"/>
        <w:rPr>
          <w:sz w:val="20"/>
          <w:szCs w:val="20"/>
        </w:rPr>
      </w:pPr>
      <w:r w:rsidRPr="00771368">
        <w:rPr>
          <w:sz w:val="24"/>
          <w:szCs w:val="24"/>
        </w:rPr>
        <w:t>BRASIL. Secretaria de Educação Fundamental. Parâmetros Curriculares Nacionais; Apresentação dos Temas Transversais, ética / Secretaria de Educação Fundamental. Brasília: MEC/SEF, 1997. 146p.</w:t>
      </w:r>
    </w:p>
    <w:p w:rsidR="00D24E61" w:rsidRPr="00771368" w:rsidRDefault="00D24E61">
      <w:pPr>
        <w:spacing w:line="88" w:lineRule="exact"/>
        <w:rPr>
          <w:sz w:val="20"/>
          <w:szCs w:val="20"/>
        </w:rPr>
      </w:pPr>
    </w:p>
    <w:p w:rsidR="00D24E61" w:rsidRPr="00771368" w:rsidRDefault="00D24E61">
      <w:pPr>
        <w:spacing w:line="335" w:lineRule="auto"/>
        <w:jc w:val="both"/>
        <w:rPr>
          <w:sz w:val="20"/>
          <w:szCs w:val="20"/>
        </w:rPr>
      </w:pPr>
      <w:r w:rsidRPr="00771368">
        <w:rPr>
          <w:sz w:val="24"/>
          <w:szCs w:val="24"/>
        </w:rPr>
        <w:t>BRASIL. Secretaria de Educação Fundamental. Parâmetros Curriculares Nacionais: Pluralidade Cultural, Orientação Sexual / Secretaria de Educação Fundamental. Brasília: MEC/SEF, 1997. 164p.</w:t>
      </w:r>
    </w:p>
    <w:p w:rsidR="00D24E61" w:rsidRPr="00771368" w:rsidRDefault="00D24E61">
      <w:pPr>
        <w:spacing w:line="88" w:lineRule="exact"/>
        <w:rPr>
          <w:sz w:val="20"/>
          <w:szCs w:val="20"/>
        </w:rPr>
      </w:pPr>
    </w:p>
    <w:p w:rsidR="00D24E61" w:rsidRPr="00771368" w:rsidRDefault="00D24E61">
      <w:pPr>
        <w:spacing w:line="308" w:lineRule="auto"/>
        <w:jc w:val="both"/>
        <w:rPr>
          <w:sz w:val="20"/>
          <w:szCs w:val="20"/>
        </w:rPr>
      </w:pPr>
      <w:r w:rsidRPr="00771368">
        <w:rPr>
          <w:sz w:val="24"/>
          <w:szCs w:val="24"/>
        </w:rPr>
        <w:t>BRASIL. Constituição (1988). Constituição da República Federativa do Brasil. Brasília, DF: Imprensa Oficial, 2001.</w:t>
      </w:r>
    </w:p>
    <w:p w:rsidR="00D24E61" w:rsidRPr="00771368" w:rsidRDefault="00D24E61">
      <w:pPr>
        <w:spacing w:line="118" w:lineRule="exact"/>
        <w:rPr>
          <w:sz w:val="20"/>
          <w:szCs w:val="20"/>
        </w:rPr>
      </w:pPr>
    </w:p>
    <w:p w:rsidR="00D24E61" w:rsidRPr="00771368" w:rsidRDefault="00D24E61">
      <w:pPr>
        <w:spacing w:line="312" w:lineRule="auto"/>
        <w:jc w:val="both"/>
        <w:rPr>
          <w:sz w:val="20"/>
          <w:szCs w:val="20"/>
        </w:rPr>
      </w:pPr>
      <w:r w:rsidRPr="00771368">
        <w:rPr>
          <w:sz w:val="24"/>
          <w:szCs w:val="24"/>
        </w:rPr>
        <w:t>CAMURÇA, Silvia. GOUVEIA, Taciana. O que é Gênero. Cadernos SOS CORPOS, 3ª Edição. Recife, 2000.</w:t>
      </w:r>
    </w:p>
    <w:p w:rsidR="00D24E61" w:rsidRPr="00771368" w:rsidRDefault="00D24E61">
      <w:pPr>
        <w:spacing w:line="113" w:lineRule="exact"/>
        <w:rPr>
          <w:sz w:val="20"/>
          <w:szCs w:val="20"/>
        </w:rPr>
      </w:pPr>
    </w:p>
    <w:p w:rsidR="00D24E61" w:rsidRPr="00771368" w:rsidRDefault="00D24E61">
      <w:pPr>
        <w:spacing w:line="333" w:lineRule="auto"/>
        <w:ind w:right="80"/>
        <w:rPr>
          <w:sz w:val="20"/>
          <w:szCs w:val="20"/>
        </w:rPr>
      </w:pPr>
      <w:r w:rsidRPr="00771368">
        <w:rPr>
          <w:sz w:val="24"/>
          <w:szCs w:val="24"/>
        </w:rPr>
        <w:t>CAVALEIRO, Maria Cristina. Feminilidades homossexuais no ambiente escolar: ocultamentos e discriminações vividas por garotas. 2009. 217f Tese (Doutorado) – Faculdade de Educação, Universidade de São Paulo, São Paulo, 2009.</w:t>
      </w:r>
    </w:p>
    <w:p w:rsidR="00D24E61" w:rsidRPr="00771368" w:rsidRDefault="00D24E61">
      <w:pPr>
        <w:spacing w:line="95" w:lineRule="exact"/>
        <w:rPr>
          <w:sz w:val="20"/>
          <w:szCs w:val="20"/>
        </w:rPr>
      </w:pPr>
    </w:p>
    <w:p w:rsidR="00D24E61" w:rsidRPr="00771368" w:rsidRDefault="00D24E61">
      <w:pPr>
        <w:spacing w:line="333" w:lineRule="auto"/>
        <w:jc w:val="both"/>
        <w:rPr>
          <w:sz w:val="20"/>
          <w:szCs w:val="20"/>
        </w:rPr>
      </w:pPr>
      <w:r w:rsidRPr="00771368">
        <w:rPr>
          <w:sz w:val="24"/>
          <w:szCs w:val="24"/>
        </w:rPr>
        <w:t>CAVALEIRO, Maria Cristina. Feminilidades homossexuais no ambiente escolar: ocultamentos e discriminações vividas por garotas. 2009. 217f Tese (Doutorado) – Faculdade de Educação, Universidade de São Paulo, São Paulo, 2009.</w:t>
      </w:r>
    </w:p>
    <w:p w:rsidR="00D24E61" w:rsidRPr="00771368" w:rsidRDefault="00D24E61">
      <w:pPr>
        <w:spacing w:line="90" w:lineRule="exact"/>
        <w:rPr>
          <w:sz w:val="20"/>
          <w:szCs w:val="20"/>
        </w:rPr>
      </w:pPr>
    </w:p>
    <w:p w:rsidR="00D24E61" w:rsidRPr="00771368" w:rsidRDefault="00D24E61">
      <w:pPr>
        <w:spacing w:line="308" w:lineRule="auto"/>
        <w:jc w:val="both"/>
        <w:rPr>
          <w:sz w:val="20"/>
          <w:szCs w:val="20"/>
        </w:rPr>
      </w:pPr>
      <w:r w:rsidRPr="00771368">
        <w:t>FERNANDES, Uirá. O Currículo na encruzilhada pós-moderna – o estudo de caso de uma escola pública. São Paulo: FEUSP, 2007.</w:t>
      </w:r>
    </w:p>
    <w:p w:rsidR="00D24E61" w:rsidRPr="00771368" w:rsidRDefault="00D24E61">
      <w:pPr>
        <w:spacing w:line="109" w:lineRule="exact"/>
        <w:rPr>
          <w:sz w:val="20"/>
          <w:szCs w:val="20"/>
        </w:rPr>
      </w:pPr>
    </w:p>
    <w:p w:rsidR="00D24E61" w:rsidRPr="00771368" w:rsidRDefault="00D24E61">
      <w:pPr>
        <w:spacing w:line="308" w:lineRule="auto"/>
        <w:jc w:val="both"/>
        <w:rPr>
          <w:sz w:val="20"/>
          <w:szCs w:val="20"/>
        </w:rPr>
      </w:pPr>
      <w:r w:rsidRPr="00771368">
        <w:t>GOMES, Nilma Lino. Indagação sobre Currículo: diversidade e currículo. Brasília: Ministério da Educação , Secretaria de Educação Básica, 2008, p.48</w:t>
      </w:r>
    </w:p>
    <w:p w:rsidR="00D24E61" w:rsidRPr="00771368" w:rsidRDefault="00D24E61">
      <w:pPr>
        <w:spacing w:line="114" w:lineRule="exact"/>
        <w:rPr>
          <w:sz w:val="20"/>
          <w:szCs w:val="20"/>
        </w:rPr>
      </w:pPr>
    </w:p>
    <w:p w:rsidR="00D24E61" w:rsidRPr="00771368" w:rsidRDefault="00D24E61">
      <w:pPr>
        <w:spacing w:line="309" w:lineRule="auto"/>
        <w:jc w:val="both"/>
        <w:rPr>
          <w:sz w:val="20"/>
          <w:szCs w:val="20"/>
        </w:rPr>
      </w:pPr>
      <w:r w:rsidRPr="00771368">
        <w:t>LOURO, Guacira Lopes. Gênero, sexualidade e educação: uma perspectiva pós-estruturalistra. (7ª. Ed.) Petrópolis, RJ: Vozes, 1997.</w:t>
      </w:r>
    </w:p>
    <w:p w:rsidR="00D24E61" w:rsidRPr="00771368" w:rsidRDefault="00D24E61">
      <w:pPr>
        <w:spacing w:line="107" w:lineRule="exact"/>
        <w:rPr>
          <w:sz w:val="20"/>
          <w:szCs w:val="20"/>
        </w:rPr>
      </w:pPr>
    </w:p>
    <w:p w:rsidR="00D24E61" w:rsidRPr="00771368" w:rsidRDefault="00D24E61">
      <w:pPr>
        <w:spacing w:line="334" w:lineRule="auto"/>
        <w:jc w:val="both"/>
        <w:rPr>
          <w:sz w:val="20"/>
          <w:szCs w:val="20"/>
        </w:rPr>
      </w:pPr>
      <w:r w:rsidRPr="00771368">
        <w:t>LEWIS, Liana, SCOTT, Parry e QUADROS, Marion Teodósio de. Gênero, Diversidade e Desigualdade na Educação: Interpretações e Reflexões para Formação Docente. Recife: Ed. Universitária da UFPE, 2009.</w:t>
      </w:r>
    </w:p>
    <w:p w:rsidR="00D24E61" w:rsidRPr="00771368" w:rsidRDefault="00D24E61">
      <w:pPr>
        <w:spacing w:line="82" w:lineRule="exact"/>
        <w:rPr>
          <w:sz w:val="20"/>
          <w:szCs w:val="20"/>
        </w:rPr>
      </w:pPr>
    </w:p>
    <w:p w:rsidR="00D24E61" w:rsidRPr="00771368" w:rsidRDefault="00D24E61">
      <w:pPr>
        <w:spacing w:line="308" w:lineRule="auto"/>
        <w:jc w:val="both"/>
        <w:rPr>
          <w:sz w:val="20"/>
          <w:szCs w:val="20"/>
        </w:rPr>
      </w:pPr>
      <w:r w:rsidRPr="00771368">
        <w:t>___________ MARQUES, Luciana Rosa. Protagonismo escolar em diversidade, diferenças e direitos. Recife: Ed. Universitária UFPE, 2009, p. 65-74.</w:t>
      </w:r>
    </w:p>
    <w:p w:rsidR="00D24E61" w:rsidRPr="00771368" w:rsidRDefault="00D24E61">
      <w:pPr>
        <w:spacing w:line="109" w:lineRule="exact"/>
        <w:rPr>
          <w:sz w:val="20"/>
          <w:szCs w:val="20"/>
        </w:rPr>
      </w:pPr>
    </w:p>
    <w:p w:rsidR="00D24E61" w:rsidRPr="00771368" w:rsidRDefault="00D24E61">
      <w:pPr>
        <w:spacing w:line="308" w:lineRule="auto"/>
        <w:jc w:val="both"/>
        <w:rPr>
          <w:sz w:val="20"/>
          <w:szCs w:val="20"/>
        </w:rPr>
      </w:pPr>
      <w:r w:rsidRPr="00771368">
        <w:t>MOREIRA, Antônio Flávio Barbosa. Indagação sobre Currículo: currículo, conhecimento e cultura. Brasília: Ministério da Educação , Secretaria de Educação Básica, 2008, p.48.</w:t>
      </w:r>
    </w:p>
    <w:p w:rsidR="00D24E61" w:rsidRPr="00771368" w:rsidRDefault="00D24E61">
      <w:pPr>
        <w:spacing w:line="109" w:lineRule="exact"/>
        <w:rPr>
          <w:sz w:val="20"/>
          <w:szCs w:val="20"/>
        </w:rPr>
      </w:pPr>
    </w:p>
    <w:p w:rsidR="00D24E61" w:rsidRPr="00771368" w:rsidRDefault="00D24E61">
      <w:pPr>
        <w:spacing w:line="309" w:lineRule="auto"/>
        <w:jc w:val="both"/>
        <w:rPr>
          <w:sz w:val="20"/>
          <w:szCs w:val="20"/>
        </w:rPr>
      </w:pPr>
      <w:r w:rsidRPr="00771368">
        <w:t>NOGUEIRA, Daniela Macias. Gênero e sexualidade na educação. I Simpósio sobre Estudos de Gênero e Políticas Públicas, Universidade Estadual de Londrina, 2010, p. 13-21.</w:t>
      </w:r>
    </w:p>
    <w:p w:rsidR="00D24E61" w:rsidRPr="00771368" w:rsidRDefault="00D24E61">
      <w:pPr>
        <w:spacing w:line="54" w:lineRule="exact"/>
        <w:rPr>
          <w:sz w:val="20"/>
          <w:szCs w:val="20"/>
        </w:rPr>
      </w:pPr>
    </w:p>
    <w:p w:rsidR="00D24E61" w:rsidRPr="00771368" w:rsidRDefault="00D24E61">
      <w:pPr>
        <w:spacing w:line="239" w:lineRule="auto"/>
        <w:rPr>
          <w:sz w:val="20"/>
          <w:szCs w:val="20"/>
        </w:rPr>
      </w:pPr>
      <w:r w:rsidRPr="00771368">
        <w:t>PRIORE, Mary Del. História das Mulheres no Brasil.8ª edição, São Paulo: Contexto, 2006.</w:t>
      </w:r>
    </w:p>
    <w:p w:rsidR="00D24E61" w:rsidRPr="00771368" w:rsidRDefault="00D24E61">
      <w:pPr>
        <w:spacing w:line="123" w:lineRule="exact"/>
        <w:rPr>
          <w:sz w:val="20"/>
          <w:szCs w:val="20"/>
        </w:rPr>
      </w:pPr>
    </w:p>
    <w:p w:rsidR="00D24E61" w:rsidRPr="00771368" w:rsidRDefault="00D24E61">
      <w:pPr>
        <w:rPr>
          <w:sz w:val="20"/>
          <w:szCs w:val="20"/>
        </w:rPr>
      </w:pPr>
      <w:r w:rsidRPr="00771368">
        <w:rPr>
          <w:sz w:val="24"/>
          <w:szCs w:val="24"/>
        </w:rPr>
        <w:t>QUADROS,  Marion Teodósio  de.  Escola  Feminista  nos  Bairros/Comunidades:  O  que  é</w:t>
      </w:r>
    </w:p>
    <w:p w:rsidR="00D24E61" w:rsidRPr="00771368" w:rsidRDefault="00D24E61">
      <w:pPr>
        <w:spacing w:line="137" w:lineRule="exact"/>
        <w:rPr>
          <w:sz w:val="20"/>
          <w:szCs w:val="20"/>
        </w:rPr>
      </w:pPr>
    </w:p>
    <w:p w:rsidR="00D24E61" w:rsidRPr="00D61223" w:rsidRDefault="00D24E61">
      <w:pPr>
        <w:rPr>
          <w:sz w:val="20"/>
          <w:szCs w:val="20"/>
          <w:lang w:val="en-US"/>
        </w:rPr>
      </w:pPr>
      <w:r w:rsidRPr="00D61223">
        <w:rPr>
          <w:sz w:val="24"/>
          <w:szCs w:val="24"/>
          <w:lang w:val="en-US"/>
        </w:rPr>
        <w:t>Gênero. FAGES. Recife.</w:t>
      </w:r>
    </w:p>
    <w:p w:rsidR="00D24E61" w:rsidRPr="00D61223" w:rsidRDefault="00D24E61">
      <w:pPr>
        <w:rPr>
          <w:lang w:val="en-US"/>
        </w:rPr>
        <w:sectPr w:rsidR="00D24E61" w:rsidRPr="00D61223">
          <w:pgSz w:w="11900" w:h="16838"/>
          <w:pgMar w:top="1440" w:right="1420" w:bottom="1440" w:left="1420" w:header="0" w:footer="0" w:gutter="0"/>
          <w:cols w:space="720" w:equalWidth="0">
            <w:col w:w="9060"/>
          </w:cols>
        </w:sectPr>
      </w:pPr>
    </w:p>
    <w:p w:rsidR="00D24E61" w:rsidRPr="00D61223" w:rsidRDefault="00D24E61">
      <w:pPr>
        <w:spacing w:line="25" w:lineRule="exact"/>
        <w:rPr>
          <w:sz w:val="20"/>
          <w:szCs w:val="20"/>
          <w:lang w:val="en-US"/>
        </w:rPr>
      </w:pPr>
    </w:p>
    <w:p w:rsidR="00D24E61" w:rsidRPr="00771368" w:rsidRDefault="00D24E61">
      <w:pPr>
        <w:spacing w:line="308" w:lineRule="auto"/>
        <w:ind w:right="340"/>
        <w:rPr>
          <w:sz w:val="20"/>
          <w:szCs w:val="20"/>
        </w:rPr>
      </w:pPr>
      <w:r w:rsidRPr="00D61223">
        <w:rPr>
          <w:lang w:val="en-US"/>
        </w:rPr>
        <w:t xml:space="preserve">RICHARDSON, Roberto Jarry. </w:t>
      </w:r>
      <w:r w:rsidRPr="00771368">
        <w:t>Pesquisa Social: métodos e técnicas. 3ª Edição. São Paulo: Editora Atlas, 2010.</w:t>
      </w:r>
    </w:p>
    <w:p w:rsidR="00D24E61" w:rsidRPr="00771368" w:rsidRDefault="00D24E61">
      <w:pPr>
        <w:spacing w:line="114" w:lineRule="exact"/>
        <w:rPr>
          <w:sz w:val="20"/>
          <w:szCs w:val="20"/>
        </w:rPr>
      </w:pPr>
    </w:p>
    <w:p w:rsidR="00D24E61" w:rsidRPr="00771368" w:rsidRDefault="00D24E61">
      <w:pPr>
        <w:spacing w:line="343" w:lineRule="auto"/>
        <w:ind w:right="60"/>
        <w:rPr>
          <w:sz w:val="20"/>
          <w:szCs w:val="20"/>
        </w:rPr>
      </w:pPr>
      <w:r w:rsidRPr="00771368">
        <w:t xml:space="preserve">SILVA, Edna Lúcia da. Metodologia da pesquisa e elaboração de dissertação/Estera Muszkat Menezes. – 3. ed. rev. atual. – Florianópolis: Laboratório de Ensino a Distância da UFSC, 2001. 121p. SILVA, Maria Aparecida. </w:t>
      </w:r>
      <w:r w:rsidRPr="00771368">
        <w:rPr>
          <w:b/>
          <w:bCs/>
        </w:rPr>
        <w:t xml:space="preserve">História do Currículo e Currículo como Construção Histórico-cultural; </w:t>
      </w:r>
      <w:r w:rsidRPr="00771368">
        <w:t>Disponível em</w:t>
      </w:r>
    </w:p>
    <w:p w:rsidR="00D24E61" w:rsidRPr="00771368" w:rsidRDefault="00D24E61">
      <w:pPr>
        <w:spacing w:line="15" w:lineRule="exact"/>
        <w:rPr>
          <w:sz w:val="20"/>
          <w:szCs w:val="20"/>
        </w:rPr>
      </w:pPr>
    </w:p>
    <w:p w:rsidR="00D24E61" w:rsidRPr="00771368" w:rsidRDefault="00295FC8">
      <w:pPr>
        <w:spacing w:line="239" w:lineRule="auto"/>
        <w:rPr>
          <w:rFonts w:eastAsia="Calibri"/>
          <w:color w:val="0000FF"/>
        </w:rPr>
      </w:pPr>
      <w:hyperlink r:id="rId389">
        <w:r w:rsidR="00D24E61" w:rsidRPr="00771368">
          <w:rPr>
            <w:rFonts w:eastAsia="Calibri"/>
            <w:color w:val="0000FF"/>
            <w:u w:val="single"/>
          </w:rPr>
          <w:t>http://www.faced.ufu.br/colubhe06/anais/arquivos/441MariaAparecidaSilva.pdf</w:t>
        </w:r>
        <w:r w:rsidR="00D24E61" w:rsidRPr="00771368">
          <w:rPr>
            <w:color w:val="000000"/>
          </w:rPr>
          <w:t xml:space="preserve">. </w:t>
        </w:r>
      </w:hyperlink>
      <w:r w:rsidR="00D24E61" w:rsidRPr="00771368">
        <w:rPr>
          <w:rFonts w:eastAsia="Calibri"/>
          <w:color w:val="0000FF"/>
        </w:rPr>
        <w:t xml:space="preserve">Acesso </w:t>
      </w:r>
      <w:r w:rsidR="00D24E61" w:rsidRPr="00771368">
        <w:rPr>
          <w:color w:val="000000"/>
        </w:rPr>
        <w:t>em 13 de</w:t>
      </w:r>
    </w:p>
    <w:p w:rsidR="00D24E61" w:rsidRPr="00771368" w:rsidRDefault="00D24E61">
      <w:pPr>
        <w:spacing w:line="139" w:lineRule="exact"/>
        <w:rPr>
          <w:sz w:val="20"/>
          <w:szCs w:val="20"/>
        </w:rPr>
      </w:pPr>
    </w:p>
    <w:p w:rsidR="00D24E61" w:rsidRPr="00771368" w:rsidRDefault="00D24E61">
      <w:pPr>
        <w:rPr>
          <w:sz w:val="20"/>
          <w:szCs w:val="20"/>
        </w:rPr>
      </w:pPr>
      <w:r w:rsidRPr="00771368">
        <w:t>set. 2011.</w:t>
      </w:r>
    </w:p>
    <w:p w:rsidR="00D24E61" w:rsidRPr="00771368" w:rsidRDefault="00D24E61">
      <w:pPr>
        <w:spacing w:line="127" w:lineRule="exact"/>
        <w:rPr>
          <w:sz w:val="20"/>
          <w:szCs w:val="20"/>
        </w:rPr>
      </w:pPr>
    </w:p>
    <w:p w:rsidR="00D24E61" w:rsidRPr="00771368" w:rsidRDefault="00D24E61">
      <w:pPr>
        <w:rPr>
          <w:sz w:val="20"/>
          <w:szCs w:val="20"/>
        </w:rPr>
      </w:pPr>
      <w:r w:rsidRPr="00771368">
        <w:t>SILVA, Tomaz Tadeu da. Teorias do Currículo, Uma introdução Crítica. Porto: Porto Editora, 2000.</w:t>
      </w:r>
    </w:p>
    <w:p w:rsidR="00D24E61" w:rsidRPr="00771368" w:rsidRDefault="00D24E61">
      <w:pPr>
        <w:spacing w:line="180" w:lineRule="exact"/>
        <w:rPr>
          <w:sz w:val="20"/>
          <w:szCs w:val="20"/>
        </w:rPr>
      </w:pPr>
    </w:p>
    <w:p w:rsidR="00D24E61" w:rsidRPr="00771368" w:rsidRDefault="00D24E61">
      <w:pPr>
        <w:spacing w:line="308" w:lineRule="auto"/>
        <w:jc w:val="both"/>
        <w:rPr>
          <w:sz w:val="20"/>
          <w:szCs w:val="20"/>
        </w:rPr>
      </w:pPr>
      <w:r w:rsidRPr="00771368">
        <w:t>___________. Documentos de identidade: uma introdução às teorias do currículo. Belo Horizonte: Autêntica, 2005.</w:t>
      </w:r>
    </w:p>
    <w:p w:rsidR="00D24E61" w:rsidRPr="00771368" w:rsidRDefault="00D24E61">
      <w:pPr>
        <w:spacing w:line="109" w:lineRule="exact"/>
        <w:rPr>
          <w:sz w:val="20"/>
          <w:szCs w:val="20"/>
        </w:rPr>
      </w:pPr>
    </w:p>
    <w:p w:rsidR="00D24E61" w:rsidRPr="00771368" w:rsidRDefault="00D24E61">
      <w:pPr>
        <w:spacing w:line="333" w:lineRule="auto"/>
        <w:jc w:val="both"/>
        <w:rPr>
          <w:sz w:val="20"/>
          <w:szCs w:val="20"/>
        </w:rPr>
      </w:pPr>
      <w:r w:rsidRPr="00771368">
        <w:rPr>
          <w:sz w:val="24"/>
          <w:szCs w:val="24"/>
        </w:rPr>
        <w:t xml:space="preserve">VIANNA, C.; UNBEHAUM, S. Gênero na educação básica: quem se importa? Uma análise de documentos de políticas públicas no Brasil. </w:t>
      </w:r>
      <w:r w:rsidRPr="00771368">
        <w:rPr>
          <w:i/>
          <w:iCs/>
          <w:sz w:val="24"/>
          <w:szCs w:val="24"/>
        </w:rPr>
        <w:t>Educação &amp; Sociedade</w:t>
      </w:r>
      <w:r w:rsidRPr="00771368">
        <w:rPr>
          <w:sz w:val="24"/>
          <w:szCs w:val="24"/>
        </w:rPr>
        <w:t>, Campinas, v.28, n.95, maio-ago, 2006.</w:t>
      </w:r>
    </w:p>
    <w:p w:rsidR="00D24E61" w:rsidRPr="00771368" w:rsidRDefault="00D24E61">
      <w:pPr>
        <w:spacing w:line="254" w:lineRule="exact"/>
        <w:rPr>
          <w:sz w:val="24"/>
          <w:szCs w:val="24"/>
        </w:rPr>
      </w:pPr>
    </w:p>
    <w:p w:rsidR="00D24E61" w:rsidRPr="00771368" w:rsidRDefault="00D24E61">
      <w:pPr>
        <w:rPr>
          <w:sz w:val="20"/>
          <w:szCs w:val="20"/>
        </w:rPr>
      </w:pPr>
      <w:r w:rsidRPr="00771368">
        <w:rPr>
          <w:b/>
          <w:bCs/>
          <w:sz w:val="24"/>
          <w:szCs w:val="24"/>
        </w:rPr>
        <w:t>Multiculturalismo e educação</w:t>
      </w:r>
      <w:r w:rsidRPr="00771368">
        <w:rPr>
          <w:sz w:val="24"/>
          <w:szCs w:val="24"/>
        </w:rPr>
        <w:t>: as relações de gênero no ambiente escolar</w:t>
      </w:r>
    </w:p>
    <w:p w:rsidR="00D24E61" w:rsidRPr="00771368" w:rsidRDefault="00D24E61">
      <w:pPr>
        <w:spacing w:line="200" w:lineRule="exact"/>
        <w:rPr>
          <w:sz w:val="24"/>
          <w:szCs w:val="24"/>
        </w:rPr>
      </w:pPr>
    </w:p>
    <w:p w:rsidR="00D24E61" w:rsidRPr="00771368" w:rsidRDefault="00D24E61" w:rsidP="00905360">
      <w:pPr>
        <w:pStyle w:val="Ttulo1"/>
        <w:rPr>
          <w:sz w:val="20"/>
          <w:szCs w:val="20"/>
        </w:rPr>
      </w:pPr>
      <w:bookmarkStart w:id="65" w:name="_Toc442034754"/>
      <w:r w:rsidRPr="00771368">
        <w:t>Rarielle Rodrigues Lima</w:t>
      </w:r>
      <w:bookmarkEnd w:id="65"/>
    </w:p>
    <w:p w:rsidR="00D24E61" w:rsidRPr="00771368" w:rsidRDefault="00D24E61">
      <w:pPr>
        <w:spacing w:line="137" w:lineRule="exact"/>
        <w:rPr>
          <w:sz w:val="24"/>
          <w:szCs w:val="24"/>
        </w:rPr>
      </w:pPr>
    </w:p>
    <w:p w:rsidR="00D24E61" w:rsidRPr="00771368" w:rsidRDefault="00D24E61">
      <w:pPr>
        <w:ind w:right="20"/>
        <w:jc w:val="right"/>
        <w:rPr>
          <w:sz w:val="20"/>
          <w:szCs w:val="20"/>
        </w:rPr>
      </w:pPr>
      <w:r w:rsidRPr="00771368">
        <w:rPr>
          <w:sz w:val="24"/>
          <w:szCs w:val="24"/>
        </w:rPr>
        <w:t>Universidade Federal do Maranhão - UFMA</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93" w:lineRule="exact"/>
        <w:rPr>
          <w:sz w:val="24"/>
          <w:szCs w:val="24"/>
        </w:rPr>
      </w:pPr>
    </w:p>
    <w:p w:rsidR="00D24E61" w:rsidRPr="00771368" w:rsidRDefault="00D24E61">
      <w:pPr>
        <w:rPr>
          <w:sz w:val="20"/>
          <w:szCs w:val="20"/>
        </w:rPr>
      </w:pPr>
      <w:r w:rsidRPr="00771368">
        <w:rPr>
          <w:b/>
          <w:bCs/>
          <w:sz w:val="24"/>
          <w:szCs w:val="24"/>
        </w:rPr>
        <w:t>(Des) Ligando os caminhos</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18" w:lineRule="exact"/>
        <w:rPr>
          <w:sz w:val="24"/>
          <w:szCs w:val="24"/>
        </w:rPr>
      </w:pPr>
    </w:p>
    <w:p w:rsidR="00D24E61" w:rsidRPr="00771368" w:rsidRDefault="00D24E61">
      <w:pPr>
        <w:spacing w:line="347" w:lineRule="auto"/>
        <w:ind w:right="20" w:firstLine="708"/>
        <w:jc w:val="both"/>
        <w:rPr>
          <w:sz w:val="20"/>
          <w:szCs w:val="20"/>
        </w:rPr>
      </w:pPr>
      <w:r w:rsidRPr="00771368">
        <w:rPr>
          <w:sz w:val="24"/>
          <w:szCs w:val="24"/>
        </w:rPr>
        <w:t>As discussões, hoje, no ambiente escolar permeiam a contextualização do multiculturalismo em suas mais variadas vertentes. A globalização com seus entremeios massificadores e, ao mesmo tempo, individualizadores favoreceu a percepção do diferente e o enclausuramento dessa diferença. Não obstante a escola por se perceber como uma micro sociedade apresenta modificações decorrentes dessa interferência.</w:t>
      </w:r>
    </w:p>
    <w:p w:rsidR="00D24E61" w:rsidRPr="00771368" w:rsidRDefault="00D24E61">
      <w:pPr>
        <w:spacing w:line="77" w:lineRule="exact"/>
        <w:rPr>
          <w:sz w:val="24"/>
          <w:szCs w:val="24"/>
        </w:rPr>
      </w:pPr>
    </w:p>
    <w:p w:rsidR="00D24E61" w:rsidRPr="00771368" w:rsidRDefault="00D24E61">
      <w:pPr>
        <w:spacing w:line="346" w:lineRule="auto"/>
        <w:ind w:firstLine="708"/>
        <w:jc w:val="both"/>
        <w:rPr>
          <w:sz w:val="20"/>
          <w:szCs w:val="20"/>
        </w:rPr>
      </w:pPr>
      <w:r w:rsidRPr="00771368">
        <w:rPr>
          <w:sz w:val="24"/>
          <w:szCs w:val="24"/>
        </w:rPr>
        <w:t>A sociedade pós-moderna, de quem nos informa Siqueira e Pereira (1998), sofre uma transformação radical impulsionada pela explosão de informações e intensificação das tecnologias de comunicação e informação. Como a escola está inserida nesse contexto a não observância dos acontecimentos e suas influências não é mais possível e muito menos inconceptível.</w:t>
      </w:r>
    </w:p>
    <w:p w:rsidR="00D24E61" w:rsidRPr="00771368" w:rsidRDefault="00D24E61">
      <w:pPr>
        <w:spacing w:line="79" w:lineRule="exact"/>
        <w:rPr>
          <w:sz w:val="24"/>
          <w:szCs w:val="24"/>
        </w:rPr>
      </w:pPr>
    </w:p>
    <w:p w:rsidR="00D24E61" w:rsidRPr="00771368" w:rsidRDefault="00D24E61">
      <w:pPr>
        <w:spacing w:line="347" w:lineRule="auto"/>
        <w:ind w:right="20" w:firstLine="708"/>
        <w:jc w:val="both"/>
        <w:rPr>
          <w:sz w:val="20"/>
          <w:szCs w:val="20"/>
        </w:rPr>
      </w:pPr>
      <w:r w:rsidRPr="00771368">
        <w:rPr>
          <w:sz w:val="24"/>
          <w:szCs w:val="24"/>
        </w:rPr>
        <w:t>Morante e Gasparin (2006) comentam que a problemática da escola não pode ser reduzida aos aspectos relativos à estruturação interna da ‘cultura escolar’ deve ser repensada para incorporar na sua concepção e construção as realidades sociais e culturais oriundas da complexidade de cultura decorrentes das tensões e desafios originados da globalização.</w:t>
      </w:r>
    </w:p>
    <w:p w:rsidR="00D24E61" w:rsidRPr="00771368" w:rsidRDefault="00D24E61">
      <w:pPr>
        <w:spacing w:line="74" w:lineRule="exact"/>
        <w:rPr>
          <w:sz w:val="24"/>
          <w:szCs w:val="24"/>
        </w:rPr>
      </w:pPr>
    </w:p>
    <w:p w:rsidR="00D24E61" w:rsidRDefault="00D24E61">
      <w:pPr>
        <w:spacing w:line="320" w:lineRule="auto"/>
        <w:ind w:right="20" w:firstLine="708"/>
        <w:jc w:val="both"/>
        <w:rPr>
          <w:sz w:val="24"/>
          <w:szCs w:val="24"/>
        </w:rPr>
      </w:pPr>
      <w:r w:rsidRPr="00771368">
        <w:rPr>
          <w:sz w:val="24"/>
          <w:szCs w:val="24"/>
        </w:rPr>
        <w:t>Ainda com os autores, as questões multiculturais estão presentes em todas as sociedades permeando seus vários campos</w:t>
      </w:r>
      <w:r w:rsidRPr="00771368">
        <w:rPr>
          <w:sz w:val="32"/>
          <w:szCs w:val="32"/>
          <w:vertAlign w:val="superscript"/>
        </w:rPr>
        <w:t>1</w:t>
      </w:r>
      <w:r w:rsidRPr="00771368">
        <w:rPr>
          <w:sz w:val="24"/>
          <w:szCs w:val="24"/>
        </w:rPr>
        <w:t xml:space="preserve"> apresentando duas visões, uma onde as multiplicações de tensões e conflitos, as articulações de interesses e mentalidades se confrontam ou justapõem e, de outro as desigualdades sociais e suas relações assimétricas que não são mais desvinculadas das ‘preocupações’ multiculturais.</w:t>
      </w:r>
    </w:p>
    <w:p w:rsidR="00905360" w:rsidRDefault="00905360">
      <w:pPr>
        <w:spacing w:line="320" w:lineRule="auto"/>
        <w:ind w:right="20" w:firstLine="708"/>
        <w:jc w:val="both"/>
        <w:rPr>
          <w:sz w:val="24"/>
          <w:szCs w:val="24"/>
        </w:rPr>
      </w:pPr>
    </w:p>
    <w:p w:rsidR="00905360" w:rsidRDefault="00905360" w:rsidP="00905360">
      <w:pPr>
        <w:spacing w:line="231" w:lineRule="auto"/>
        <w:ind w:left="2280"/>
        <w:jc w:val="both"/>
        <w:rPr>
          <w:sz w:val="20"/>
          <w:szCs w:val="20"/>
        </w:rPr>
      </w:pPr>
      <w:r w:rsidRPr="00771368">
        <w:rPr>
          <w:sz w:val="20"/>
          <w:szCs w:val="20"/>
        </w:rPr>
        <w:t>As visões homogêneas, estáveis e permanentes são questionadas. As certezas vão cedendo lugar à desconstrução, pluralização, ressignificação, reinventando identidades, subjetividades, saberes, valores, convicções, horizontes de sentido. Somos convidados a assumir o múltiplo, o plural, o diferente, o híbrido. Convite este que começa no particular, ou seja: em cada um de nós e estende-se para o coletivo na sociedade como um todo (MORANTE; GASPARIN, 2006, p. 03).</w:t>
      </w:r>
    </w:p>
    <w:p w:rsidR="00905360" w:rsidRPr="00771368" w:rsidRDefault="00905360" w:rsidP="00905360">
      <w:pPr>
        <w:spacing w:line="231" w:lineRule="auto"/>
        <w:ind w:left="2280"/>
        <w:jc w:val="both"/>
        <w:rPr>
          <w:sz w:val="20"/>
          <w:szCs w:val="20"/>
        </w:rPr>
      </w:pPr>
    </w:p>
    <w:p w:rsidR="00905360" w:rsidRPr="00771368" w:rsidRDefault="00905360" w:rsidP="00905360">
      <w:pPr>
        <w:spacing w:line="342" w:lineRule="auto"/>
        <w:ind w:right="20" w:firstLine="708"/>
        <w:jc w:val="both"/>
        <w:rPr>
          <w:sz w:val="20"/>
          <w:szCs w:val="20"/>
        </w:rPr>
      </w:pPr>
      <w:r w:rsidRPr="00771368">
        <w:rPr>
          <w:sz w:val="24"/>
          <w:szCs w:val="24"/>
        </w:rPr>
        <w:t>Não obstante, Candau (2005) afirma que não se trata de maximização da dimensão cultural e de sua desvinculação das questões de caráter estrutural e da problemática de desigualdade e exclusão crescentes, nem tampouco minimizá-la a um mero produto resultante desta realidade.</w:t>
      </w:r>
    </w:p>
    <w:p w:rsidR="00905360" w:rsidRPr="00771368" w:rsidRDefault="00905360" w:rsidP="00905360">
      <w:pPr>
        <w:spacing w:line="233" w:lineRule="auto"/>
        <w:ind w:left="2280" w:right="20"/>
        <w:jc w:val="both"/>
        <w:rPr>
          <w:sz w:val="20"/>
          <w:szCs w:val="20"/>
        </w:rPr>
      </w:pPr>
      <w:r w:rsidRPr="00771368">
        <w:rPr>
          <w:sz w:val="20"/>
          <w:szCs w:val="20"/>
        </w:rPr>
        <w:t>Pensar sobre multiculturalismo e educação pressupõe analisar concepções e experiências pedagógicas baseadas nesse movimento teórico que se inicia em meados do século XX nos Estados Unidos e que se difunde no mundo ocidental como forma de enfrentamento dos conflitos gerados em unção das questões econômicas, políticas, e, mormente, étnico culturais, na tentativa de combater discriminações e preconceitos, haja vista as dificuldades de indivíduos e grupos de acolher e conviver com a pluralidade e as diferenças culturais (SILVA; BRANDIN, 2008, p.52)</w:t>
      </w:r>
    </w:p>
    <w:p w:rsidR="00905360" w:rsidRPr="00771368" w:rsidRDefault="00905360" w:rsidP="00905360">
      <w:pPr>
        <w:spacing w:line="352" w:lineRule="auto"/>
        <w:ind w:right="20" w:firstLine="708"/>
        <w:jc w:val="both"/>
        <w:rPr>
          <w:sz w:val="20"/>
          <w:szCs w:val="20"/>
        </w:rPr>
      </w:pPr>
      <w:r w:rsidRPr="00771368">
        <w:rPr>
          <w:sz w:val="24"/>
          <w:szCs w:val="24"/>
        </w:rPr>
        <w:t>Neste contexto cultural a escola encontra-se acuada e pressionada a modificar toda sua estrutura para corresponder às transformações exigidas pelo processo globalizador de hibridação cultural. A escola que antes era vista como homogeneizadora, passa a ser pensada em uma perspectiva diversificada ficando cada vez mais próximo de um colapso educacional para suprir a demanda. Como modificar uma estrutura que desde seus primórdios foi pensada na homogeinização de sua comunidade? Como contemplar as solicitudes de uma sociedade diversificada? Como perceber a individualidade? Como observar @ alun@ enquanto ser plural no ambiente da escola?</w:t>
      </w:r>
    </w:p>
    <w:p w:rsidR="00905360" w:rsidRPr="00771368" w:rsidRDefault="00905360" w:rsidP="00905360">
      <w:pPr>
        <w:spacing w:line="74" w:lineRule="exact"/>
        <w:rPr>
          <w:sz w:val="20"/>
          <w:szCs w:val="20"/>
        </w:rPr>
      </w:pPr>
    </w:p>
    <w:p w:rsidR="00905360" w:rsidRPr="00771368" w:rsidRDefault="00905360" w:rsidP="00905360">
      <w:pPr>
        <w:spacing w:line="310" w:lineRule="auto"/>
        <w:ind w:right="20" w:firstLine="708"/>
        <w:jc w:val="both"/>
        <w:rPr>
          <w:sz w:val="20"/>
          <w:szCs w:val="20"/>
        </w:rPr>
      </w:pPr>
      <w:r w:rsidRPr="00771368">
        <w:rPr>
          <w:sz w:val="24"/>
          <w:szCs w:val="24"/>
        </w:rPr>
        <w:t>Portanto, a proposta deste artigo é discutir a temática multiculturalismo e educação, explicitando as relações de gênero no ambiente escolar e as influências dessas relações no</w:t>
      </w:r>
    </w:p>
    <w:p w:rsidR="00905360" w:rsidRPr="00771368" w:rsidRDefault="00905360" w:rsidP="00905360">
      <w:pPr>
        <w:spacing w:line="116" w:lineRule="exact"/>
        <w:rPr>
          <w:sz w:val="20"/>
          <w:szCs w:val="20"/>
        </w:rPr>
      </w:pPr>
    </w:p>
    <w:p w:rsidR="00905360" w:rsidRPr="00771368" w:rsidRDefault="00905360" w:rsidP="00905360">
      <w:pPr>
        <w:spacing w:line="342" w:lineRule="auto"/>
        <w:ind w:right="20"/>
        <w:jc w:val="both"/>
        <w:rPr>
          <w:sz w:val="20"/>
          <w:szCs w:val="20"/>
        </w:rPr>
      </w:pPr>
      <w:r w:rsidRPr="00771368">
        <w:rPr>
          <w:sz w:val="24"/>
          <w:szCs w:val="24"/>
        </w:rPr>
        <w:t>‘desenvolver’ do individuo e no papel formador da escola em um contexto globalizado utilizando como base os estudos de Vera Maria Candau (2005; 2000), Peter Maclaren (2000), Judith Butler (2004; 2003), Guacira Lopes Louro (1997; 2003; 2004;2008) entre outros para o desenrolar desta discussão.</w:t>
      </w:r>
    </w:p>
    <w:p w:rsidR="00905360" w:rsidRPr="00771368" w:rsidRDefault="00013211">
      <w:pPr>
        <w:spacing w:line="320" w:lineRule="auto"/>
        <w:ind w:right="20" w:firstLine="708"/>
        <w:jc w:val="both"/>
        <w:rPr>
          <w:sz w:val="20"/>
          <w:szCs w:val="20"/>
        </w:rPr>
      </w:pPr>
      <w:r>
        <w:rPr>
          <w:noProof/>
          <w:sz w:val="24"/>
          <w:szCs w:val="24"/>
        </w:rPr>
        <mc:AlternateContent>
          <mc:Choice Requires="wps">
            <w:drawing>
              <wp:anchor distT="0" distB="0" distL="0" distR="0" simplePos="0" relativeHeight="251778560" behindDoc="0" locked="0" layoutInCell="0" allowOverlap="1">
                <wp:simplePos x="0" y="0"/>
                <wp:positionH relativeFrom="column">
                  <wp:posOffset>13335</wp:posOffset>
                </wp:positionH>
                <wp:positionV relativeFrom="paragraph">
                  <wp:posOffset>118745</wp:posOffset>
                </wp:positionV>
                <wp:extent cx="1828800" cy="0"/>
                <wp:effectExtent l="13335" t="13970" r="5715" b="5080"/>
                <wp:wrapNone/>
                <wp:docPr id="15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77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5pt,9.35pt" to="145.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EFgIAACwEAAAOAAAAZHJzL2Uyb0RvYy54bWysU02P2yAQvVfqf0C+J/5Yb9ax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" o:allowincell="f" strokeweight=".25397mm"/>
            </w:pict>
          </mc:Fallback>
        </mc:AlternateContent>
      </w:r>
    </w:p>
    <w:p w:rsidR="00905360" w:rsidRPr="00771368" w:rsidRDefault="00905360" w:rsidP="00905360">
      <w:pPr>
        <w:spacing w:line="213" w:lineRule="auto"/>
        <w:rPr>
          <w:sz w:val="20"/>
          <w:szCs w:val="20"/>
        </w:rPr>
      </w:pPr>
      <w:r w:rsidRPr="00771368">
        <w:rPr>
          <w:rFonts w:eastAsia="Calibri"/>
          <w:sz w:val="25"/>
          <w:szCs w:val="25"/>
          <w:vertAlign w:val="superscript"/>
        </w:rPr>
        <w:t>1</w:t>
      </w:r>
      <w:r w:rsidRPr="00771368">
        <w:rPr>
          <w:rFonts w:eastAsia="Calibri"/>
          <w:sz w:val="20"/>
          <w:szCs w:val="20"/>
        </w:rPr>
        <w:t xml:space="preserve"> Campos que destacamos aqui como o político, social, econômico, artístico, religioso, tecnológico e educacional.</w:t>
      </w:r>
    </w:p>
    <w:p w:rsidR="00D24E61" w:rsidRPr="00771368" w:rsidRDefault="00D24E61">
      <w:pPr>
        <w:spacing w:line="320" w:lineRule="auto"/>
        <w:ind w:right="20" w:firstLine="708"/>
        <w:jc w:val="both"/>
        <w:rPr>
          <w:sz w:val="24"/>
          <w:szCs w:val="24"/>
        </w:r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227" w:lineRule="exact"/>
        <w:rPr>
          <w:sz w:val="24"/>
          <w:szCs w:val="24"/>
        </w:rPr>
      </w:pPr>
    </w:p>
    <w:p w:rsidR="00D24E61" w:rsidRPr="00771368" w:rsidRDefault="00D24E61">
      <w:pPr>
        <w:rPr>
          <w:sz w:val="20"/>
          <w:szCs w:val="20"/>
        </w:rPr>
      </w:pPr>
      <w:r w:rsidRPr="00771368">
        <w:rPr>
          <w:b/>
          <w:bCs/>
          <w:sz w:val="24"/>
          <w:szCs w:val="24"/>
        </w:rPr>
        <w:t>Vamos caminhar por onde?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8" w:lineRule="exact"/>
        <w:rPr>
          <w:sz w:val="20"/>
          <w:szCs w:val="20"/>
        </w:rPr>
      </w:pPr>
    </w:p>
    <w:p w:rsidR="00D24E61" w:rsidRPr="00771368" w:rsidRDefault="00D24E61">
      <w:pPr>
        <w:spacing w:line="232" w:lineRule="auto"/>
        <w:ind w:left="2280" w:right="20"/>
        <w:jc w:val="both"/>
        <w:rPr>
          <w:sz w:val="20"/>
          <w:szCs w:val="20"/>
        </w:rPr>
      </w:pPr>
      <w:r w:rsidRPr="00771368">
        <w:rPr>
          <w:sz w:val="20"/>
          <w:szCs w:val="20"/>
        </w:rPr>
        <w:t>Culturalmente, com o vertiginoso avanço da tecnologia, mídia, informática e a diluição de fronteiras geográficas, tem-se acelerado o intercâmbio cultural. O mundo assume, definitivamente, as feições e as marcas da multiculturalidade, da diversidade cultural, fazendo-nos crer que estamos “condenados” a pensar a unidade humana na base de sua diversidade cultural e nos desafiando a desenvolver a capacidade de conviver com as diferenças (SILVA; BRANDIN, 2008, p.53).</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spacing w:line="354" w:lineRule="auto"/>
        <w:ind w:firstLine="708"/>
        <w:jc w:val="both"/>
        <w:rPr>
          <w:sz w:val="20"/>
          <w:szCs w:val="20"/>
        </w:rPr>
      </w:pPr>
      <w:r w:rsidRPr="00771368">
        <w:rPr>
          <w:sz w:val="24"/>
          <w:szCs w:val="24"/>
        </w:rPr>
        <w:t>Pressupondo que não há como reprimir a hipotética homogeneidade cultural e considerando que a heterogeneidade é marca do pós-moderno, Silva e Brandin (2008) afirmam que “há que se reconhecer que muitas são as dificuldades que se anunciam perante essa realidade irrevogável e irreversível” (p.53). Mas a dificuldade entremeia-se justamente com a colocação da diferença associada à inferioridade e desigualdade, onde o outro passa a representar uma ameaça aos padrões de ser e viver por apresentar-se diverso e plural.</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60" w:lineRule="exact"/>
        <w:rPr>
          <w:sz w:val="20"/>
          <w:szCs w:val="20"/>
        </w:rPr>
      </w:pPr>
    </w:p>
    <w:p w:rsidR="00D24E61" w:rsidRPr="00771368" w:rsidRDefault="00D24E61">
      <w:pPr>
        <w:spacing w:line="230" w:lineRule="auto"/>
        <w:ind w:left="2280" w:right="20"/>
        <w:jc w:val="both"/>
        <w:rPr>
          <w:sz w:val="20"/>
          <w:szCs w:val="20"/>
        </w:rPr>
      </w:pPr>
      <w:r w:rsidRPr="00771368">
        <w:rPr>
          <w:sz w:val="20"/>
          <w:szCs w:val="20"/>
        </w:rPr>
        <w:t>Em educação, para além da questão em termos de identidade coletiva, o debate circunscreve-se em torno da pluralidade cultural e das práticas político - pedagógicas, o que nos remete ao desafio em relação a contextos brasileiros, não raro, impulsionados pela exclusão e por preconceitos (RIBEIRO; CORREA, 2012, p.02).</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33" w:lineRule="auto"/>
        <w:ind w:firstLine="708"/>
        <w:jc w:val="both"/>
        <w:rPr>
          <w:sz w:val="20"/>
          <w:szCs w:val="20"/>
        </w:rPr>
      </w:pPr>
      <w:r w:rsidRPr="00771368">
        <w:rPr>
          <w:sz w:val="24"/>
          <w:szCs w:val="24"/>
        </w:rPr>
        <w:t>A educação, portanto, em sua constituição sofre micro alterações que transbordam as concepções do ser diferente</w:t>
      </w:r>
      <w:r w:rsidRPr="00771368">
        <w:rPr>
          <w:sz w:val="32"/>
          <w:szCs w:val="32"/>
          <w:vertAlign w:val="superscript"/>
        </w:rPr>
        <w:t>2</w:t>
      </w:r>
      <w:r w:rsidRPr="00771368">
        <w:rPr>
          <w:sz w:val="24"/>
          <w:szCs w:val="24"/>
        </w:rPr>
        <w:t>, as quais desencadeiam conflitos e tensões. Para McLaren (1997) a tensão entre pluralidade cultural e a necessidade de uma política de justificativa universal constituem a urgência desse novo milênio. Podemos então afirmar que a educação encontra-se desafiada, justamente, no sentido de formar cidadãos capazes conscientemente de perceber a necessidade da relação intercultural justa, solidária e democrática.</w:t>
      </w:r>
    </w:p>
    <w:p w:rsidR="00D24E61" w:rsidRPr="00771368" w:rsidRDefault="00D24E61">
      <w:pPr>
        <w:spacing w:line="89"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Como nos afirmam Carneiro, Knechtel e Morales (2012), no foco educacional hoje, formal ou não, é indispensável uma visão multicultural crítica tendo como pressuposto básico o multiculturalismo interativo na construção de sociedades democráticas e inclusivas.</w:t>
      </w:r>
    </w:p>
    <w:p w:rsidR="00D24E61" w:rsidRPr="00771368" w:rsidRDefault="00013211">
      <w:pPr>
        <w:spacing w:line="343" w:lineRule="auto"/>
        <w:ind w:right="20" w:firstLine="708"/>
        <w:jc w:val="both"/>
        <w:rPr>
          <w:sz w:val="20"/>
          <w:szCs w:val="20"/>
        </w:rPr>
        <w:sectPr w:rsidR="00D24E61" w:rsidRPr="00771368">
          <w:pgSz w:w="11900" w:h="16838"/>
          <w:pgMar w:top="1440" w:right="1400" w:bottom="1148" w:left="1700" w:header="0" w:footer="0" w:gutter="0"/>
          <w:cols w:space="720" w:equalWidth="0">
            <w:col w:w="8800"/>
          </w:cols>
        </w:sectPr>
      </w:pPr>
      <w:r>
        <w:rPr>
          <w:noProof/>
          <w:sz w:val="20"/>
          <w:szCs w:val="20"/>
        </w:rPr>
        <mc:AlternateContent>
          <mc:Choice Requires="wps">
            <w:drawing>
              <wp:anchor distT="0" distB="0" distL="0" distR="0" simplePos="0" relativeHeight="251779584" behindDoc="0" locked="0" layoutInCell="0" allowOverlap="1">
                <wp:simplePos x="0" y="0"/>
                <wp:positionH relativeFrom="column">
                  <wp:posOffset>1270</wp:posOffset>
                </wp:positionH>
                <wp:positionV relativeFrom="paragraph">
                  <wp:posOffset>288290</wp:posOffset>
                </wp:positionV>
                <wp:extent cx="1828800" cy="0"/>
                <wp:effectExtent l="10795" t="12065" r="8255" b="6985"/>
                <wp:wrapNone/>
                <wp:docPr id="15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77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22.7pt" to="144.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iAFQ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" o:allowincell="f" strokeweight=".25397mm"/>
            </w:pict>
          </mc:Fallback>
        </mc:AlternateContent>
      </w:r>
    </w:p>
    <w:p w:rsidR="00D24E61" w:rsidRPr="00771368" w:rsidRDefault="00D24E61">
      <w:pPr>
        <w:spacing w:line="200" w:lineRule="exact"/>
        <w:rPr>
          <w:sz w:val="20"/>
          <w:szCs w:val="20"/>
        </w:rPr>
      </w:pPr>
    </w:p>
    <w:p w:rsidR="00D24E61" w:rsidRPr="00771368" w:rsidRDefault="00D24E61">
      <w:pPr>
        <w:spacing w:line="357" w:lineRule="exact"/>
        <w:rPr>
          <w:sz w:val="20"/>
          <w:szCs w:val="20"/>
        </w:rPr>
      </w:pPr>
    </w:p>
    <w:p w:rsidR="00D24E61" w:rsidRPr="00771368" w:rsidRDefault="00D24E61">
      <w:pPr>
        <w:spacing w:line="213" w:lineRule="auto"/>
        <w:rPr>
          <w:sz w:val="20"/>
          <w:szCs w:val="20"/>
        </w:rPr>
      </w:pPr>
      <w:r w:rsidRPr="00771368">
        <w:rPr>
          <w:rFonts w:eastAsia="Calibri"/>
          <w:sz w:val="25"/>
          <w:szCs w:val="25"/>
          <w:vertAlign w:val="superscript"/>
        </w:rPr>
        <w:t>2</w:t>
      </w:r>
      <w:r w:rsidRPr="00771368">
        <w:rPr>
          <w:rFonts w:eastAsia="Calibri"/>
          <w:sz w:val="20"/>
          <w:szCs w:val="20"/>
        </w:rPr>
        <w:t xml:space="preserve"> Usamos aqui ser diferente com o objetivo de comtemplar de forma generalista tudo o que opõe à normatividade homogeneizante.</w:t>
      </w:r>
    </w:p>
    <w:p w:rsidR="00D24E61" w:rsidRPr="00771368" w:rsidRDefault="00D24E61">
      <w:pPr>
        <w:sectPr w:rsidR="00D24E61" w:rsidRPr="00771368">
          <w:type w:val="continuous"/>
          <w:pgSz w:w="11900" w:h="16838"/>
          <w:pgMar w:top="1440" w:right="2160" w:bottom="1148" w:left="1700" w:header="0" w:footer="0" w:gutter="0"/>
          <w:cols w:space="720" w:equalWidth="0">
            <w:col w:w="8040"/>
          </w:cols>
        </w:sectPr>
      </w:pPr>
    </w:p>
    <w:p w:rsidR="00D24E61" w:rsidRPr="00771368" w:rsidRDefault="00D24E61">
      <w:pPr>
        <w:spacing w:line="313" w:lineRule="exact"/>
        <w:rPr>
          <w:sz w:val="20"/>
          <w:szCs w:val="20"/>
        </w:rPr>
      </w:pPr>
    </w:p>
    <w:p w:rsidR="00D24E61" w:rsidRPr="00771368" w:rsidRDefault="00D24E61">
      <w:pPr>
        <w:spacing w:line="308" w:lineRule="auto"/>
        <w:ind w:right="20" w:firstLine="708"/>
        <w:rPr>
          <w:sz w:val="20"/>
          <w:szCs w:val="20"/>
        </w:rPr>
      </w:pPr>
      <w:r w:rsidRPr="00771368">
        <w:rPr>
          <w:sz w:val="24"/>
          <w:szCs w:val="24"/>
        </w:rPr>
        <w:t>As autoras ainda destacam as posições correntes em nossa sociedade que se confrontam com a nova perspectiva educacional:</w:t>
      </w:r>
    </w:p>
    <w:p w:rsidR="00D24E61" w:rsidRPr="00771368" w:rsidRDefault="00D24E61">
      <w:pPr>
        <w:spacing w:line="200" w:lineRule="exact"/>
        <w:rPr>
          <w:sz w:val="20"/>
          <w:szCs w:val="20"/>
        </w:rPr>
      </w:pPr>
    </w:p>
    <w:p w:rsidR="00D24E61" w:rsidRPr="00771368" w:rsidRDefault="00D24E61">
      <w:pPr>
        <w:spacing w:line="323" w:lineRule="exact"/>
        <w:rPr>
          <w:sz w:val="20"/>
          <w:szCs w:val="20"/>
        </w:rPr>
      </w:pPr>
    </w:p>
    <w:p w:rsidR="00D24E61" w:rsidRPr="00771368" w:rsidRDefault="00D24E61">
      <w:pPr>
        <w:spacing w:line="214" w:lineRule="auto"/>
        <w:ind w:left="2280" w:right="20"/>
        <w:jc w:val="both"/>
        <w:rPr>
          <w:sz w:val="20"/>
          <w:szCs w:val="20"/>
        </w:rPr>
      </w:pPr>
      <w:r w:rsidRPr="00771368">
        <w:rPr>
          <w:sz w:val="20"/>
          <w:szCs w:val="20"/>
        </w:rPr>
        <w:t>– Assimilacionistas ou conservadoras – partem do princípio de que vivemos numa sociedade multicultural, mas nem todos têm as mesmas oportunidades;</w:t>
      </w:r>
    </w:p>
    <w:p w:rsidR="00D24E61" w:rsidRPr="00771368" w:rsidRDefault="00D24E61">
      <w:pPr>
        <w:spacing w:line="50" w:lineRule="exact"/>
        <w:rPr>
          <w:sz w:val="20"/>
          <w:szCs w:val="20"/>
        </w:rPr>
      </w:pPr>
    </w:p>
    <w:p w:rsidR="00D24E61" w:rsidRPr="00771368" w:rsidRDefault="00D24E61">
      <w:pPr>
        <w:spacing w:line="226" w:lineRule="auto"/>
        <w:ind w:left="2280" w:right="20"/>
        <w:jc w:val="both"/>
        <w:rPr>
          <w:sz w:val="20"/>
          <w:szCs w:val="20"/>
        </w:rPr>
      </w:pPr>
      <w:r w:rsidRPr="00771368">
        <w:rPr>
          <w:sz w:val="20"/>
          <w:szCs w:val="20"/>
        </w:rPr>
        <w:t xml:space="preserve">– Diferencialistas – defendem processos radicais de afirmação de identidades culturais, apresentando uma “visão estática e essencialista” de formações dessas identidades [...] favorecendo a criação de </w:t>
      </w:r>
      <w:r w:rsidRPr="00771368">
        <w:rPr>
          <w:i/>
          <w:iCs/>
          <w:sz w:val="20"/>
          <w:szCs w:val="20"/>
        </w:rPr>
        <w:t>apartheids</w:t>
      </w:r>
      <w:r w:rsidRPr="00771368">
        <w:rPr>
          <w:sz w:val="20"/>
          <w:szCs w:val="20"/>
        </w:rPr>
        <w:t xml:space="preserve"> socioculturais (CARNEIRO, KNECHTEL; MORALES, 2012, p. 478).</w:t>
      </w: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spacing w:line="352" w:lineRule="auto"/>
        <w:ind w:right="20" w:firstLine="708"/>
        <w:jc w:val="both"/>
        <w:rPr>
          <w:sz w:val="20"/>
          <w:szCs w:val="20"/>
        </w:rPr>
      </w:pPr>
      <w:r w:rsidRPr="00771368">
        <w:rPr>
          <w:sz w:val="24"/>
          <w:szCs w:val="24"/>
        </w:rPr>
        <w:t>Essas posições visionárias tendo como base as contribuições de McLaren (1997) e Candau (2008) se contrapõem justamente no campo educacional porque a vertente multicultural crítica concebe as culturas em um contínuo processo de construção e reconstrução decorrente das relações de lutas político-sociais e históricas na transformação das relações sociais que favorecem, convenientemente, a convivência social em espaços híbridos culturalmente facilitados e construídos pela globalização. Deste modo, tal vertente visualiza a cultura como um conjunto de conflitos cuja diferença relaciona-se a uma politica de crítica e comprometimento com a justiça social.</w:t>
      </w:r>
    </w:p>
    <w:p w:rsidR="00D24E61" w:rsidRPr="00771368" w:rsidRDefault="00D24E61">
      <w:pPr>
        <w:spacing w:line="74" w:lineRule="exact"/>
        <w:rPr>
          <w:sz w:val="20"/>
          <w:szCs w:val="20"/>
        </w:rPr>
      </w:pPr>
    </w:p>
    <w:p w:rsidR="00D24E61" w:rsidRPr="00771368" w:rsidRDefault="00D24E61">
      <w:pPr>
        <w:spacing w:line="316" w:lineRule="auto"/>
        <w:ind w:firstLine="708"/>
        <w:jc w:val="both"/>
        <w:rPr>
          <w:sz w:val="20"/>
          <w:szCs w:val="20"/>
        </w:rPr>
      </w:pPr>
      <w:r w:rsidRPr="00771368">
        <w:rPr>
          <w:sz w:val="24"/>
          <w:szCs w:val="24"/>
        </w:rPr>
        <w:t>Sob essa visão multicultural crítica, Carneiro, Knechtel e Morales (2012), afirmam que “é possível desenvolver uma educação multicultural emancipatória, que favoreça os sujeitos-alun@</w:t>
      </w:r>
      <w:r w:rsidRPr="00771368">
        <w:rPr>
          <w:sz w:val="32"/>
          <w:szCs w:val="32"/>
          <w:vertAlign w:val="superscript"/>
        </w:rPr>
        <w:t>3</w:t>
      </w:r>
      <w:r w:rsidRPr="00771368">
        <w:rPr>
          <w:sz w:val="24"/>
          <w:szCs w:val="24"/>
        </w:rPr>
        <w:t>s a reconhecerem as diferenças culturais e se desvelarem como sujeitos heterogêneos e semelhantes em graus diversos” (p.478).</w:t>
      </w:r>
    </w:p>
    <w:p w:rsidR="00D24E61" w:rsidRPr="00771368" w:rsidRDefault="00D24E61">
      <w:pPr>
        <w:spacing w:line="79"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O principal agente desencadeador dessa concretude na educação, segundo os estudos sobre essa trama, está intrinsicamente ligado @s professor@s, em especial da educação básica, em traduzir nas suas práticas pedagógicas a visão multicultural. Neste aspecto Xavier e Canen (2005, p.336) argumentam que:</w:t>
      </w:r>
    </w:p>
    <w:p w:rsidR="00D24E61" w:rsidRPr="00771368" w:rsidRDefault="00D24E61">
      <w:pPr>
        <w:spacing w:line="200" w:lineRule="exact"/>
        <w:rPr>
          <w:sz w:val="20"/>
          <w:szCs w:val="20"/>
        </w:rPr>
      </w:pPr>
    </w:p>
    <w:p w:rsidR="00D24E61" w:rsidRPr="00771368" w:rsidRDefault="00D24E61">
      <w:pPr>
        <w:spacing w:line="284" w:lineRule="exact"/>
        <w:rPr>
          <w:sz w:val="20"/>
          <w:szCs w:val="20"/>
        </w:rPr>
      </w:pPr>
    </w:p>
    <w:p w:rsidR="00D24E61" w:rsidRPr="00771368" w:rsidRDefault="00D24E61">
      <w:pPr>
        <w:spacing w:line="234" w:lineRule="auto"/>
        <w:ind w:left="2280"/>
        <w:jc w:val="both"/>
        <w:rPr>
          <w:sz w:val="20"/>
          <w:szCs w:val="20"/>
        </w:rPr>
      </w:pPr>
      <w:r w:rsidRPr="00771368">
        <w:rPr>
          <w:sz w:val="20"/>
          <w:szCs w:val="20"/>
        </w:rPr>
        <w:t>Formar o profess@r multiculturalmente orientado implica, conforme temos argumentado, trabalhar em prol de um modelo de professor apto a compreender o conhecimento e o currículo como processos discursivos, marcado por relações de poder desiguais que participam da formação das identidades. Implica tensionar conteúdos pré-estabelecidos e pretensões a verdades únicas, procurando detectar vozes silenciadas e representadas nesses discursos curriculares, de forma a mobilizar a construção de identidades docentes sensíveis à diversidade cultural e aptas a formular alternativas discursivas transformadoras, desafiadoras do congelamento de identidades e estereótipos</w:t>
      </w:r>
    </w:p>
    <w:p w:rsidR="00D24E61" w:rsidRPr="00771368" w:rsidRDefault="00D24E61">
      <w:pPr>
        <w:spacing w:line="2" w:lineRule="exact"/>
        <w:rPr>
          <w:sz w:val="20"/>
          <w:szCs w:val="20"/>
        </w:rPr>
      </w:pPr>
    </w:p>
    <w:p w:rsidR="00D24E61" w:rsidRPr="00771368" w:rsidRDefault="00D24E61">
      <w:pPr>
        <w:spacing w:line="239" w:lineRule="auto"/>
        <w:ind w:left="2280"/>
        <w:rPr>
          <w:sz w:val="20"/>
          <w:szCs w:val="20"/>
        </w:rPr>
      </w:pPr>
      <w:r w:rsidRPr="00771368">
        <w:rPr>
          <w:sz w:val="20"/>
          <w:szCs w:val="20"/>
        </w:rPr>
        <w:t>(utilização do ‘@’ nossa).</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80608" behindDoc="0" locked="0" layoutInCell="0" allowOverlap="1">
                <wp:simplePos x="0" y="0"/>
                <wp:positionH relativeFrom="column">
                  <wp:posOffset>1270</wp:posOffset>
                </wp:positionH>
                <wp:positionV relativeFrom="paragraph">
                  <wp:posOffset>481330</wp:posOffset>
                </wp:positionV>
                <wp:extent cx="1828800" cy="0"/>
                <wp:effectExtent l="10795" t="5080" r="8255" b="13970"/>
                <wp:wrapNone/>
                <wp:docPr id="150"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8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37.9pt" to="144.1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7EFQ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" o:allowincell="f" strokeweight=".25397mm"/>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60" w:lineRule="exact"/>
        <w:rPr>
          <w:sz w:val="20"/>
          <w:szCs w:val="20"/>
        </w:rPr>
      </w:pPr>
    </w:p>
    <w:p w:rsidR="00D24E61" w:rsidRPr="00771368" w:rsidRDefault="00D24E61">
      <w:pPr>
        <w:spacing w:line="213" w:lineRule="auto"/>
        <w:ind w:right="280"/>
        <w:rPr>
          <w:sz w:val="20"/>
          <w:szCs w:val="20"/>
        </w:rPr>
      </w:pPr>
      <w:r w:rsidRPr="00771368">
        <w:rPr>
          <w:rFonts w:eastAsia="Calibri"/>
          <w:sz w:val="25"/>
          <w:szCs w:val="25"/>
          <w:vertAlign w:val="superscript"/>
        </w:rPr>
        <w:t>3</w:t>
      </w:r>
      <w:r w:rsidRPr="00771368">
        <w:rPr>
          <w:rFonts w:eastAsia="Calibri"/>
          <w:sz w:val="20"/>
          <w:szCs w:val="20"/>
        </w:rPr>
        <w:t xml:space="preserve"> O símbolo “@” está sendo utilizado na terminação de algumas palavras para indicar simultaneamente o gênero masculino e feminino</w:t>
      </w:r>
    </w:p>
    <w:p w:rsidR="00D24E61" w:rsidRPr="00771368" w:rsidRDefault="00D24E61">
      <w:pPr>
        <w:sectPr w:rsidR="00D24E61" w:rsidRPr="00771368">
          <w:pgSz w:w="11900" w:h="16838"/>
          <w:pgMar w:top="1440" w:right="1400" w:bottom="1148" w:left="1700" w:header="0" w:footer="0" w:gutter="0"/>
          <w:cols w:space="720" w:equalWidth="0">
            <w:col w:w="8800"/>
          </w:cols>
        </w:sectPr>
      </w:pPr>
    </w:p>
    <w:p w:rsidR="00D24E61" w:rsidRPr="00771368" w:rsidRDefault="00D24E61">
      <w:pPr>
        <w:spacing w:line="313" w:lineRule="exact"/>
        <w:rPr>
          <w:sz w:val="20"/>
          <w:szCs w:val="20"/>
        </w:rPr>
      </w:pPr>
    </w:p>
    <w:p w:rsidR="00D24E61" w:rsidRPr="00771368" w:rsidRDefault="00D24E61">
      <w:pPr>
        <w:spacing w:line="334" w:lineRule="auto"/>
        <w:ind w:firstLine="708"/>
        <w:jc w:val="both"/>
        <w:rPr>
          <w:sz w:val="20"/>
          <w:szCs w:val="20"/>
        </w:rPr>
      </w:pPr>
      <w:r w:rsidRPr="00771368">
        <w:rPr>
          <w:sz w:val="24"/>
          <w:szCs w:val="24"/>
        </w:rPr>
        <w:t>Vale ressaltar que embora o sistema educacional perceba n@s professor@s a saída e solução desse grande conflito, percebemos que as políticas educacionais adotadas não são suficientemente eficientes.</w:t>
      </w:r>
    </w:p>
    <w:p w:rsidR="00D24E61" w:rsidRPr="00771368" w:rsidRDefault="00D24E61">
      <w:pPr>
        <w:spacing w:line="89" w:lineRule="exact"/>
        <w:rPr>
          <w:sz w:val="20"/>
          <w:szCs w:val="20"/>
        </w:rPr>
      </w:pPr>
    </w:p>
    <w:p w:rsidR="00D24E61" w:rsidRPr="00771368" w:rsidRDefault="00D24E61">
      <w:pPr>
        <w:spacing w:line="343" w:lineRule="auto"/>
        <w:ind w:firstLine="708"/>
        <w:jc w:val="both"/>
        <w:rPr>
          <w:sz w:val="20"/>
          <w:szCs w:val="20"/>
        </w:rPr>
      </w:pPr>
      <w:r w:rsidRPr="00771368">
        <w:rPr>
          <w:sz w:val="24"/>
          <w:szCs w:val="24"/>
        </w:rPr>
        <w:t>Madureira (2000) em seu estudo sobre a ‘construção das identidades sexuais não-hegemônicas’ destaca que as estratégias pessoais e coletivas constitutivas da forma como @s participantes vivenciam suas relações sociais são importantes para lidar com o preconceito e a discriminação quanto às identidades sexuais não-hegemônicas.</w:t>
      </w:r>
    </w:p>
    <w:p w:rsidR="00D24E61" w:rsidRPr="00771368" w:rsidRDefault="00D24E61">
      <w:pPr>
        <w:spacing w:line="20" w:lineRule="exact"/>
        <w:rPr>
          <w:sz w:val="20"/>
          <w:szCs w:val="20"/>
        </w:rPr>
      </w:pPr>
    </w:p>
    <w:p w:rsidR="00D24E61" w:rsidRPr="00771368" w:rsidRDefault="00D24E61">
      <w:pPr>
        <w:ind w:left="720"/>
        <w:rPr>
          <w:sz w:val="20"/>
          <w:szCs w:val="20"/>
        </w:rPr>
      </w:pPr>
      <w:r w:rsidRPr="00771368">
        <w:rPr>
          <w:sz w:val="24"/>
          <w:szCs w:val="24"/>
        </w:rPr>
        <w:t>Para Drago e Rodrigues (2008)</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1" w:lineRule="exact"/>
        <w:rPr>
          <w:sz w:val="20"/>
          <w:szCs w:val="20"/>
        </w:rPr>
      </w:pPr>
    </w:p>
    <w:p w:rsidR="00D24E61" w:rsidRPr="00771368" w:rsidRDefault="00D24E61">
      <w:pPr>
        <w:spacing w:line="232" w:lineRule="auto"/>
        <w:ind w:left="2280"/>
        <w:jc w:val="both"/>
        <w:rPr>
          <w:sz w:val="20"/>
          <w:szCs w:val="20"/>
        </w:rPr>
      </w:pPr>
      <w:r w:rsidRPr="00771368">
        <w:rPr>
          <w:sz w:val="20"/>
          <w:szCs w:val="20"/>
        </w:rPr>
        <w:t>A escola, ao impor uma única norma para todos os alunos, esquece-se que ela própria é formada por uma representação fidedigna da sociedade, ou seja, assim como a sociedade, a escola é composta pela diversidade de vidas que compõem a sociedade em si, diversidade esta que, antes de tudo, é benéfica pelo fato de proporcionar a diferenciação de ações, a multiplicidade de características e a possibilidade de apropriarmo-nos de outras características próprias dos seres humanos, para assim, construirmos nossa identidade, nossa subjetividade.</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spacing w:line="343" w:lineRule="auto"/>
        <w:ind w:firstLine="708"/>
        <w:jc w:val="both"/>
        <w:rPr>
          <w:sz w:val="20"/>
          <w:szCs w:val="20"/>
        </w:rPr>
      </w:pPr>
      <w:r w:rsidRPr="00771368">
        <w:rPr>
          <w:sz w:val="24"/>
          <w:szCs w:val="24"/>
        </w:rPr>
        <w:t>Como diz Laraia (2002) A nossa herança cultural, desenvolvida por inúmeras gerações, sempre nos condicionou a reagir depreciativamente em relação ao comportamento daqueles que agem fora dos padrões aceitos pela maioria da comunidade e ainda vai além, afirma que “por isto, discriminamos o comportamento desviante” (p.67).</w:t>
      </w:r>
    </w:p>
    <w:p w:rsidR="00D24E61" w:rsidRPr="00771368" w:rsidRDefault="00D24E61">
      <w:pPr>
        <w:spacing w:line="21" w:lineRule="exact"/>
        <w:rPr>
          <w:sz w:val="20"/>
          <w:szCs w:val="20"/>
        </w:rPr>
      </w:pPr>
    </w:p>
    <w:p w:rsidR="00D24E61" w:rsidRPr="00771368" w:rsidRDefault="00D24E61">
      <w:pPr>
        <w:ind w:left="720"/>
        <w:rPr>
          <w:sz w:val="20"/>
          <w:szCs w:val="20"/>
        </w:rPr>
      </w:pPr>
      <w:r w:rsidRPr="00771368">
        <w:rPr>
          <w:sz w:val="24"/>
          <w:szCs w:val="24"/>
        </w:rPr>
        <w:t>Santos et al. (2008) afirma que</w:t>
      </w:r>
    </w:p>
    <w:p w:rsidR="00D24E61" w:rsidRPr="00771368" w:rsidRDefault="00D24E61">
      <w:pPr>
        <w:spacing w:line="200" w:lineRule="exact"/>
        <w:rPr>
          <w:sz w:val="20"/>
          <w:szCs w:val="20"/>
        </w:rPr>
      </w:pPr>
    </w:p>
    <w:p w:rsidR="00D24E61" w:rsidRPr="00771368" w:rsidRDefault="00D24E61">
      <w:pPr>
        <w:spacing w:line="400" w:lineRule="exact"/>
        <w:rPr>
          <w:sz w:val="20"/>
          <w:szCs w:val="20"/>
        </w:rPr>
      </w:pPr>
    </w:p>
    <w:p w:rsidR="00D24E61" w:rsidRPr="00771368" w:rsidRDefault="00D24E61">
      <w:pPr>
        <w:spacing w:line="230" w:lineRule="auto"/>
        <w:ind w:left="2280"/>
        <w:jc w:val="both"/>
        <w:rPr>
          <w:sz w:val="20"/>
          <w:szCs w:val="20"/>
        </w:rPr>
      </w:pPr>
      <w:r w:rsidRPr="00771368">
        <w:rPr>
          <w:sz w:val="20"/>
          <w:szCs w:val="20"/>
        </w:rPr>
        <w:t>A Escola tem importante função no processo de conscientização, orientação e instrumentalização dos corpos da criança e do adolescente. A instituição escolar, ao classificar os sujeitos pela classe social, etnia e sexo, tem historicamente contribuído para (re)produzir e hierarquizar as diferenças. Essa tradição deixa à margem aqueles que não estão em conformidade com a norma hegemônica [...].</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 escola deve ser pensada não apenas como um espaço de reprodução da normatização hegemônica, mas como um campo de diálogo e conflito entre diferentes sujeitos que constroem no seu cotidiano as suas identidades sempre em relação com @ outr@ (BORTOLINI, 2009). E que essas relações são expressas em sociedade através da interação dos indivíduos com o meio.</w:t>
      </w:r>
    </w:p>
    <w:p w:rsidR="00D24E61" w:rsidRPr="00771368" w:rsidRDefault="00D24E61">
      <w:pPr>
        <w:sectPr w:rsidR="00D24E61" w:rsidRPr="00771368">
          <w:pgSz w:w="11900" w:h="16838"/>
          <w:pgMar w:top="1440" w:right="1420" w:bottom="1440" w:left="1700" w:header="0" w:footer="0" w:gutter="0"/>
          <w:cols w:space="720" w:equalWidth="0">
            <w:col w:w="8780"/>
          </w:cols>
        </w:sectPr>
      </w:pPr>
    </w:p>
    <w:p w:rsidR="00D24E61" w:rsidRPr="00771368" w:rsidRDefault="00D24E61">
      <w:pPr>
        <w:spacing w:line="259" w:lineRule="exact"/>
        <w:rPr>
          <w:sz w:val="20"/>
          <w:szCs w:val="20"/>
        </w:rPr>
      </w:pPr>
    </w:p>
    <w:p w:rsidR="00D24E61" w:rsidRPr="00771368" w:rsidRDefault="00D24E61">
      <w:pPr>
        <w:rPr>
          <w:sz w:val="20"/>
          <w:szCs w:val="20"/>
        </w:rPr>
      </w:pPr>
      <w:r w:rsidRPr="00771368">
        <w:rPr>
          <w:b/>
          <w:bCs/>
          <w:sz w:val="24"/>
          <w:szCs w:val="24"/>
        </w:rPr>
        <w:t>E agora maria? (des)problematizando as relações de gênero na escola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8" w:lineRule="exact"/>
        <w:rPr>
          <w:sz w:val="20"/>
          <w:szCs w:val="20"/>
        </w:rPr>
      </w:pPr>
    </w:p>
    <w:p w:rsidR="00D24E61" w:rsidRPr="00771368" w:rsidRDefault="00D24E61">
      <w:pPr>
        <w:spacing w:line="350" w:lineRule="auto"/>
        <w:ind w:right="20" w:firstLine="708"/>
        <w:jc w:val="both"/>
        <w:rPr>
          <w:sz w:val="20"/>
          <w:szCs w:val="20"/>
        </w:rPr>
      </w:pPr>
      <w:r w:rsidRPr="00771368">
        <w:rPr>
          <w:sz w:val="24"/>
          <w:szCs w:val="24"/>
        </w:rPr>
        <w:t>Partindo do pressuposto que o multiculturalismo crítico tem como foco a desconstrução dos arquétipos de homogeinização, as relações de gênero no que concerne a discussão surgem como, de acordo com Silva (2002), forma de contrapor a pedagogia tradicional de valorização do masculino que o currículo refletia e produzia. O currículo, então, passa a ser visto como um artefato de gênero que corporifica e ao mesmo tempo produz relações de gênero.</w:t>
      </w:r>
    </w:p>
    <w:p w:rsidR="00D24E61" w:rsidRPr="00771368" w:rsidRDefault="00D24E61">
      <w:pPr>
        <w:spacing w:line="12" w:lineRule="exact"/>
        <w:rPr>
          <w:sz w:val="20"/>
          <w:szCs w:val="20"/>
        </w:rPr>
      </w:pPr>
    </w:p>
    <w:p w:rsidR="00D24E61" w:rsidRPr="00771368" w:rsidRDefault="00D24E61">
      <w:pPr>
        <w:ind w:left="720"/>
        <w:rPr>
          <w:sz w:val="20"/>
          <w:szCs w:val="20"/>
        </w:rPr>
      </w:pPr>
      <w:r w:rsidRPr="00771368">
        <w:rPr>
          <w:sz w:val="24"/>
          <w:szCs w:val="24"/>
        </w:rPr>
        <w:t>De acordo com Moraes (1998, p. 02),</w:t>
      </w:r>
    </w:p>
    <w:p w:rsidR="00D24E61" w:rsidRPr="00771368" w:rsidRDefault="00D24E61">
      <w:pPr>
        <w:spacing w:line="200" w:lineRule="exact"/>
        <w:rPr>
          <w:sz w:val="20"/>
          <w:szCs w:val="20"/>
        </w:rPr>
      </w:pPr>
    </w:p>
    <w:p w:rsidR="00D24E61" w:rsidRPr="00771368" w:rsidRDefault="00D24E61">
      <w:pPr>
        <w:spacing w:line="400" w:lineRule="exact"/>
        <w:rPr>
          <w:sz w:val="20"/>
          <w:szCs w:val="20"/>
        </w:rPr>
      </w:pPr>
    </w:p>
    <w:p w:rsidR="00D24E61" w:rsidRPr="00771368" w:rsidRDefault="00D24E61">
      <w:pPr>
        <w:spacing w:line="231" w:lineRule="auto"/>
        <w:ind w:left="2280" w:right="20"/>
        <w:jc w:val="both"/>
        <w:rPr>
          <w:sz w:val="20"/>
          <w:szCs w:val="20"/>
        </w:rPr>
      </w:pPr>
      <w:r w:rsidRPr="00771368">
        <w:rPr>
          <w:sz w:val="20"/>
          <w:szCs w:val="20"/>
        </w:rPr>
        <w:t>A expressão “relações de gênero”, tal como vem sido utilizada no campo das ciências sociais, designa, primordialmente, a perspectiva culturalista em que as categorias diferenciais de sexo não implicam no reconhecimento de uma essência masculina ou feminina, de caráter abstrato e universal, mas, diferentemente, apontam para a ordem cultural como modeladora de mulheres e homens.</w:t>
      </w:r>
    </w:p>
    <w:p w:rsidR="00D24E61" w:rsidRPr="00771368" w:rsidRDefault="00D24E61">
      <w:pPr>
        <w:spacing w:line="200" w:lineRule="exact"/>
        <w:rPr>
          <w:sz w:val="20"/>
          <w:szCs w:val="20"/>
        </w:rPr>
      </w:pPr>
    </w:p>
    <w:p w:rsidR="00D24E61" w:rsidRPr="00771368" w:rsidRDefault="00D24E61">
      <w:pPr>
        <w:spacing w:line="219" w:lineRule="exact"/>
        <w:rPr>
          <w:sz w:val="20"/>
          <w:szCs w:val="20"/>
        </w:rPr>
      </w:pPr>
    </w:p>
    <w:p w:rsidR="00D24E61" w:rsidRPr="00771368" w:rsidRDefault="00D24E61">
      <w:pPr>
        <w:ind w:left="720"/>
        <w:rPr>
          <w:sz w:val="20"/>
          <w:szCs w:val="20"/>
        </w:rPr>
      </w:pPr>
      <w:r w:rsidRPr="00771368">
        <w:rPr>
          <w:sz w:val="24"/>
          <w:szCs w:val="24"/>
        </w:rPr>
        <w:t>De acordo com os apontamentos de Butler (2003, p. 59) gênero corresponde a</w:t>
      </w:r>
    </w:p>
    <w:p w:rsidR="00D24E61" w:rsidRPr="00771368" w:rsidRDefault="00D24E61">
      <w:pPr>
        <w:spacing w:line="195" w:lineRule="exact"/>
        <w:rPr>
          <w:sz w:val="20"/>
          <w:szCs w:val="20"/>
        </w:rPr>
      </w:pPr>
    </w:p>
    <w:p w:rsidR="00D24E61" w:rsidRPr="00771368" w:rsidRDefault="00D24E61">
      <w:pPr>
        <w:spacing w:line="334" w:lineRule="auto"/>
        <w:ind w:right="20"/>
        <w:jc w:val="both"/>
        <w:rPr>
          <w:sz w:val="20"/>
          <w:szCs w:val="20"/>
        </w:rPr>
      </w:pPr>
      <w:r w:rsidRPr="00771368">
        <w:rPr>
          <w:sz w:val="24"/>
          <w:szCs w:val="24"/>
        </w:rPr>
        <w:t>“estilização repetida do corpo, um conjunto de atos repetidos no interior de uma estrutura reguladora altamente rígida, a qual se cristaliza no tempo para produzir a aparência de uma substância, de uma classe natural de ser”.</w:t>
      </w:r>
    </w:p>
    <w:p w:rsidR="00D24E61" w:rsidRPr="00771368" w:rsidRDefault="00D24E61">
      <w:pPr>
        <w:spacing w:line="89"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Segundo Louro (2008) a conceituação de gênero surge pela necessidade de enfatizar o caráter altamente social das diferenças percebidas entre os sexos, apontando para impossibilidade de ancoragem no sexo as diferenças e desigualdade que as mulheres experimentavam em relação aos homens.</w:t>
      </w:r>
    </w:p>
    <w:p w:rsidR="00D24E61" w:rsidRPr="00771368" w:rsidRDefault="00D24E61">
      <w:pPr>
        <w:spacing w:line="78" w:lineRule="exact"/>
        <w:rPr>
          <w:sz w:val="20"/>
          <w:szCs w:val="20"/>
        </w:rPr>
      </w:pPr>
    </w:p>
    <w:p w:rsidR="00D24E61" w:rsidRPr="00771368" w:rsidRDefault="00D24E61">
      <w:pPr>
        <w:spacing w:line="350" w:lineRule="auto"/>
        <w:ind w:firstLine="708"/>
        <w:jc w:val="both"/>
        <w:rPr>
          <w:sz w:val="20"/>
          <w:szCs w:val="20"/>
        </w:rPr>
      </w:pPr>
      <w:r w:rsidRPr="00771368">
        <w:rPr>
          <w:sz w:val="24"/>
          <w:szCs w:val="24"/>
        </w:rPr>
        <w:t>A escola originalmente foi sistematizada para educação exclusivamente masculina, somente com o passar do tempo é que as mulheres conseguiram o direito de ser educadas (Louro, 2006). Carvalho (2004) no mesmo sentindo complementa que a educação desde o inicio foi um trabalho e uma palavra engendrada reproduzindo a divisão sexual do trabalho na sociedade patriarcal, tendo como trabalho feminino somente a reprodução e ao masculino o trabalho produtivo e intelectual.</w:t>
      </w:r>
    </w:p>
    <w:p w:rsidR="00D24E61" w:rsidRPr="00771368" w:rsidRDefault="00D24E61">
      <w:pPr>
        <w:spacing w:line="70"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As transformações catalisadas na estrutura social e identitária pelo movimento feminista evidenciaram as identidades de gênero decorrente da busca pela autoafirmação das mulheres.</w:t>
      </w:r>
    </w:p>
    <w:p w:rsidR="00D24E61" w:rsidRPr="00771368" w:rsidRDefault="00D24E61">
      <w:pPr>
        <w:sectPr w:rsidR="00D24E61" w:rsidRPr="00771368">
          <w:pgSz w:w="11900" w:h="16838"/>
          <w:pgMar w:top="1440" w:right="1400" w:bottom="1440" w:left="1700" w:header="0" w:footer="0" w:gutter="0"/>
          <w:cols w:space="720" w:equalWidth="0">
            <w:col w:w="8800"/>
          </w:cols>
        </w:sectPr>
      </w:pPr>
    </w:p>
    <w:p w:rsidR="00D24E61" w:rsidRPr="00771368" w:rsidRDefault="00D24E61">
      <w:pPr>
        <w:spacing w:line="313" w:lineRule="exact"/>
        <w:rPr>
          <w:sz w:val="20"/>
          <w:szCs w:val="20"/>
        </w:rPr>
      </w:pPr>
    </w:p>
    <w:p w:rsidR="00D24E61" w:rsidRPr="00771368" w:rsidRDefault="00D24E61">
      <w:pPr>
        <w:spacing w:line="349" w:lineRule="auto"/>
        <w:ind w:firstLine="708"/>
        <w:jc w:val="both"/>
        <w:rPr>
          <w:sz w:val="20"/>
          <w:szCs w:val="20"/>
        </w:rPr>
      </w:pPr>
      <w:r w:rsidRPr="00771368">
        <w:rPr>
          <w:sz w:val="24"/>
          <w:szCs w:val="24"/>
        </w:rPr>
        <w:t>Louro (2008) comenta que ao refletirmos sobre identidades de gênero é preciso ressaltar e fazer referências sobre as questões de sexualidade, ou seja, identidade sexual. A aproximação dessas marcações se dá à medida que se assume que ambos são construídos culturalmente carregando consigo historicidade e caráter provisório das culturas, ressaltando ainda que as relações de poder que entrelaçam ambos criam hierarquias e distinções entre os mesmos.</w:t>
      </w:r>
    </w:p>
    <w:p w:rsidR="00D24E61" w:rsidRPr="00771368" w:rsidRDefault="00D24E61">
      <w:pPr>
        <w:spacing w:line="76"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Podemos perceber é que as discussões no tocante as questões de gênero transpassam a neutralidade devido o entrecruzamento de forças ideológicas e de poder em um jogo por soberanias (SCOTT, 1995).</w:t>
      </w:r>
    </w:p>
    <w:p w:rsidR="00D24E61" w:rsidRPr="00771368" w:rsidRDefault="00D24E61">
      <w:pPr>
        <w:spacing w:line="89" w:lineRule="exact"/>
        <w:rPr>
          <w:sz w:val="20"/>
          <w:szCs w:val="20"/>
        </w:rPr>
      </w:pPr>
    </w:p>
    <w:p w:rsidR="00D24E61" w:rsidRPr="00771368" w:rsidRDefault="00D24E61">
      <w:pPr>
        <w:spacing w:line="294" w:lineRule="auto"/>
        <w:ind w:right="20" w:firstLine="708"/>
        <w:jc w:val="both"/>
        <w:rPr>
          <w:sz w:val="20"/>
          <w:szCs w:val="20"/>
        </w:rPr>
      </w:pPr>
      <w:r w:rsidRPr="00771368">
        <w:rPr>
          <w:sz w:val="24"/>
          <w:szCs w:val="24"/>
        </w:rPr>
        <w:t>Louro (2003) nos chama a atenção em relação à desconstrução da concepção binária</w:t>
      </w:r>
      <w:r w:rsidRPr="00771368">
        <w:rPr>
          <w:sz w:val="32"/>
          <w:szCs w:val="32"/>
          <w:vertAlign w:val="superscript"/>
        </w:rPr>
        <w:t>4</w:t>
      </w:r>
      <w:r w:rsidRPr="00771368">
        <w:rPr>
          <w:sz w:val="24"/>
          <w:szCs w:val="24"/>
        </w:rPr>
        <w:t xml:space="preserve"> de gênero, pois reduzi-lo a uma lógica dicotômica implica ignorar ou negar todos os sujeitos sociais que não se encaixam em uma dessas formas – masculino ou feminino.</w:t>
      </w:r>
    </w:p>
    <w:p w:rsidR="00D24E61" w:rsidRPr="00771368" w:rsidRDefault="00D24E61">
      <w:pPr>
        <w:spacing w:line="116"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 autora ainda comenta que ao aceitarmos que a construção do gênero é histórica e se faz de forma incessante, começamos a entender que as relações entre homens e mulheres, os discursos e as representações dessas relações estão em constantes modificações, o que nos leva a supor que as identidades de gêneros continuamente se transformam.</w:t>
      </w:r>
    </w:p>
    <w:p w:rsidR="00D24E61" w:rsidRPr="00771368" w:rsidRDefault="00D24E61">
      <w:pPr>
        <w:spacing w:line="16" w:lineRule="exact"/>
        <w:rPr>
          <w:sz w:val="20"/>
          <w:szCs w:val="20"/>
        </w:rPr>
      </w:pPr>
    </w:p>
    <w:p w:rsidR="00D24E61" w:rsidRPr="00771368" w:rsidRDefault="00D24E61">
      <w:pPr>
        <w:ind w:left="720"/>
        <w:rPr>
          <w:sz w:val="20"/>
          <w:szCs w:val="20"/>
        </w:rPr>
      </w:pPr>
      <w:r w:rsidRPr="00771368">
        <w:rPr>
          <w:sz w:val="24"/>
          <w:szCs w:val="24"/>
        </w:rPr>
        <w:t>Vianna e Unbehaum (2004, 79) comentam que</w:t>
      </w:r>
    </w:p>
    <w:p w:rsidR="00D24E61" w:rsidRPr="00771368" w:rsidRDefault="00D24E61">
      <w:pPr>
        <w:spacing w:line="200" w:lineRule="exact"/>
        <w:rPr>
          <w:sz w:val="20"/>
          <w:szCs w:val="20"/>
        </w:rPr>
      </w:pPr>
    </w:p>
    <w:p w:rsidR="00D24E61" w:rsidRPr="00771368" w:rsidRDefault="00D24E61">
      <w:pPr>
        <w:spacing w:line="400" w:lineRule="exact"/>
        <w:rPr>
          <w:sz w:val="20"/>
          <w:szCs w:val="20"/>
        </w:rPr>
      </w:pPr>
    </w:p>
    <w:p w:rsidR="00D24E61" w:rsidRPr="00771368" w:rsidRDefault="00D24E61">
      <w:pPr>
        <w:spacing w:line="229" w:lineRule="auto"/>
        <w:ind w:left="2280" w:right="20"/>
        <w:jc w:val="both"/>
        <w:rPr>
          <w:sz w:val="20"/>
          <w:szCs w:val="20"/>
        </w:rPr>
      </w:pPr>
      <w:r w:rsidRPr="00771368">
        <w:rPr>
          <w:sz w:val="20"/>
          <w:szCs w:val="20"/>
        </w:rPr>
        <w:t>Ainda temos os olhos pouco treinados para ver as dimensões de gênero no dia-a-dia escolar, talvez pela dificuldade de trazer para o centro das reflexões não apenas as desigualdades entre os sexos, mas também os significados de gênero subjacentes a essas desigualdades e pouco contemplados pelas políticas públicas que ordenam o sistema educacional.</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spacing w:line="347" w:lineRule="auto"/>
        <w:ind w:firstLine="708"/>
        <w:jc w:val="both"/>
        <w:rPr>
          <w:sz w:val="20"/>
          <w:szCs w:val="20"/>
        </w:rPr>
      </w:pPr>
      <w:r w:rsidRPr="00771368">
        <w:rPr>
          <w:sz w:val="24"/>
          <w:szCs w:val="24"/>
        </w:rPr>
        <w:t>O que percebemos é que embora a temática e as discussões sobre gênero tenham aumentado essas questões ainda são pouco relevantes, principalmente quando contextualizamos com o ambiente escolar. Pois a nossa sociedade foi construída com base nas diferenças hierarquizadas e principalmente numa perspectiva sexista. Diante dessa realidade, o sexismo consiste em:</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spacing w:line="230" w:lineRule="auto"/>
        <w:ind w:left="2280" w:right="20"/>
        <w:jc w:val="both"/>
        <w:rPr>
          <w:sz w:val="20"/>
          <w:szCs w:val="20"/>
        </w:rPr>
      </w:pPr>
      <w:r w:rsidRPr="00771368">
        <w:rPr>
          <w:sz w:val="20"/>
          <w:szCs w:val="20"/>
        </w:rPr>
        <w:t>[...] identificar características que evoquem determinismos diferenciais e conceituações significativas pejorativas entre as identidades de gênero. Significaria reconhecer que o homem, a grosso modo, tomado aqui como identidade de gênero, seria identificado e definido como essencialmente lógico, forte, objetivo, autônomo, voltado para atividades afirmativas, solidárias,</w:t>
      </w:r>
    </w:p>
    <w:p w:rsidR="00D24E61" w:rsidRPr="00771368" w:rsidRDefault="00013211">
      <w:pPr>
        <w:spacing w:line="381" w:lineRule="exact"/>
        <w:rPr>
          <w:sz w:val="20"/>
          <w:szCs w:val="20"/>
        </w:rPr>
      </w:pPr>
      <w:r>
        <w:rPr>
          <w:noProof/>
          <w:sz w:val="20"/>
          <w:szCs w:val="20"/>
        </w:rPr>
        <mc:AlternateContent>
          <mc:Choice Requires="wps">
            <w:drawing>
              <wp:anchor distT="0" distB="0" distL="0" distR="0" simplePos="0" relativeHeight="251781632" behindDoc="0" locked="0" layoutInCell="0" allowOverlap="1">
                <wp:simplePos x="0" y="0"/>
                <wp:positionH relativeFrom="column">
                  <wp:posOffset>1270</wp:posOffset>
                </wp:positionH>
                <wp:positionV relativeFrom="paragraph">
                  <wp:posOffset>196215</wp:posOffset>
                </wp:positionV>
                <wp:extent cx="1828800" cy="0"/>
                <wp:effectExtent l="10795" t="5715" r="8255" b="13335"/>
                <wp:wrapNone/>
                <wp:docPr id="14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8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15.45pt" to="144.1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" o:allowincell="f" strokeweight=".25397mm"/>
            </w:pict>
          </mc:Fallback>
        </mc:AlternateContent>
      </w:r>
    </w:p>
    <w:p w:rsidR="00D24E61" w:rsidRPr="00771368" w:rsidRDefault="00D24E61">
      <w:pPr>
        <w:spacing w:line="239" w:lineRule="auto"/>
        <w:rPr>
          <w:sz w:val="20"/>
          <w:szCs w:val="20"/>
        </w:rPr>
      </w:pPr>
      <w:r w:rsidRPr="00771368">
        <w:rPr>
          <w:rFonts w:eastAsia="Calibri"/>
          <w:sz w:val="25"/>
          <w:szCs w:val="25"/>
          <w:vertAlign w:val="superscript"/>
        </w:rPr>
        <w:t>4</w:t>
      </w:r>
      <w:r w:rsidRPr="00771368">
        <w:rPr>
          <w:rFonts w:eastAsia="Calibri"/>
          <w:sz w:val="20"/>
          <w:szCs w:val="20"/>
        </w:rPr>
        <w:t xml:space="preserve"> Em relação masculino e feminino, dominante e dominado por exemplo</w:t>
      </w:r>
    </w:p>
    <w:p w:rsidR="00D24E61" w:rsidRPr="00771368" w:rsidRDefault="00D24E61">
      <w:pPr>
        <w:sectPr w:rsidR="00D24E61" w:rsidRPr="00771368">
          <w:pgSz w:w="11900" w:h="16838"/>
          <w:pgMar w:top="1440" w:right="1400" w:bottom="1119" w:left="1700" w:header="0" w:footer="0" w:gutter="0"/>
          <w:cols w:space="720" w:equalWidth="0">
            <w:col w:w="8800"/>
          </w:cols>
        </w:sectPr>
      </w:pPr>
    </w:p>
    <w:p w:rsidR="00D24E61" w:rsidRPr="00771368" w:rsidRDefault="00D24E61">
      <w:pPr>
        <w:spacing w:line="303" w:lineRule="exact"/>
        <w:rPr>
          <w:sz w:val="20"/>
          <w:szCs w:val="20"/>
        </w:rPr>
      </w:pPr>
    </w:p>
    <w:p w:rsidR="00D24E61" w:rsidRPr="00771368" w:rsidRDefault="00D24E61">
      <w:pPr>
        <w:spacing w:line="222" w:lineRule="auto"/>
        <w:ind w:left="2280" w:right="20"/>
        <w:jc w:val="both"/>
        <w:rPr>
          <w:sz w:val="20"/>
          <w:szCs w:val="20"/>
        </w:rPr>
      </w:pPr>
      <w:r w:rsidRPr="00771368">
        <w:rPr>
          <w:sz w:val="20"/>
          <w:szCs w:val="20"/>
        </w:rPr>
        <w:t>conscientes, racionais e determinadas em oposição a uma concepção de feminilidade intuitiva, emocional, sensitiva, voluntarista e pré-racional. (NUNES e SILVA, 2000 p.68-69).</w:t>
      </w:r>
    </w:p>
    <w:p w:rsidR="00D24E61" w:rsidRPr="00771368" w:rsidRDefault="00D24E61">
      <w:pPr>
        <w:spacing w:line="200" w:lineRule="exact"/>
        <w:rPr>
          <w:sz w:val="20"/>
          <w:szCs w:val="20"/>
        </w:rPr>
      </w:pPr>
    </w:p>
    <w:p w:rsidR="00D24E61" w:rsidRPr="00771368" w:rsidRDefault="00D24E61">
      <w:pPr>
        <w:spacing w:line="276" w:lineRule="exact"/>
        <w:rPr>
          <w:sz w:val="20"/>
          <w:szCs w:val="20"/>
        </w:rPr>
      </w:pPr>
    </w:p>
    <w:p w:rsidR="00D24E61" w:rsidRPr="00771368" w:rsidRDefault="00D24E61">
      <w:pPr>
        <w:spacing w:line="347" w:lineRule="auto"/>
        <w:ind w:firstLine="708"/>
        <w:jc w:val="both"/>
        <w:rPr>
          <w:sz w:val="20"/>
          <w:szCs w:val="20"/>
        </w:rPr>
      </w:pPr>
      <w:r w:rsidRPr="00771368">
        <w:rPr>
          <w:sz w:val="24"/>
          <w:szCs w:val="24"/>
        </w:rPr>
        <w:t>Neste contexto é importante explicitar que a escola tem contribuído para a propagação de pensamentos androcêntricos e de inferiorização da mulher através de mecanismos ideológicos de gênero onde valorizam os padrões de comportamentos masculinos em detrimentos dos comportamentos femininos com o objetivo de garantir a manutenção da sociedade patriarcal.</w:t>
      </w:r>
    </w:p>
    <w:p w:rsidR="00D24E61" w:rsidRPr="00771368" w:rsidRDefault="00D24E61">
      <w:pPr>
        <w:spacing w:line="74" w:lineRule="exact"/>
        <w:rPr>
          <w:sz w:val="20"/>
          <w:szCs w:val="20"/>
        </w:rPr>
      </w:pPr>
    </w:p>
    <w:p w:rsidR="00D24E61" w:rsidRPr="00771368" w:rsidRDefault="00D24E61">
      <w:pPr>
        <w:spacing w:line="343" w:lineRule="auto"/>
        <w:ind w:firstLine="708"/>
        <w:jc w:val="both"/>
        <w:rPr>
          <w:sz w:val="20"/>
          <w:szCs w:val="20"/>
        </w:rPr>
      </w:pPr>
      <w:r w:rsidRPr="00771368">
        <w:rPr>
          <w:sz w:val="24"/>
          <w:szCs w:val="24"/>
        </w:rPr>
        <w:t>A escola, mais precisamente a cultura escolar, está encharcada pela perspectiva do comum, d@ alun@, do ‘aqui somos todos iguais’ evidenciando a ausência de uma educação pautada na diversidade em sala de aula trabalhando ainda com um currículo único onde tod@s precisam se encaixarem (CANDAU, 2002).</w:t>
      </w:r>
    </w:p>
    <w:p w:rsidR="00D24E61" w:rsidRPr="00771368" w:rsidRDefault="00D24E61">
      <w:pPr>
        <w:spacing w:line="200" w:lineRule="exact"/>
        <w:rPr>
          <w:sz w:val="20"/>
          <w:szCs w:val="20"/>
        </w:rPr>
      </w:pPr>
    </w:p>
    <w:p w:rsidR="00D24E61" w:rsidRPr="00771368" w:rsidRDefault="00D24E61">
      <w:pPr>
        <w:spacing w:line="284" w:lineRule="exact"/>
        <w:rPr>
          <w:sz w:val="20"/>
          <w:szCs w:val="20"/>
        </w:rPr>
      </w:pPr>
    </w:p>
    <w:p w:rsidR="00D24E61" w:rsidRPr="00771368" w:rsidRDefault="00D24E61">
      <w:pPr>
        <w:spacing w:line="231" w:lineRule="auto"/>
        <w:ind w:left="2280" w:right="20"/>
        <w:jc w:val="both"/>
        <w:rPr>
          <w:sz w:val="20"/>
          <w:szCs w:val="20"/>
        </w:rPr>
      </w:pPr>
      <w:r w:rsidRPr="00771368">
        <w:rPr>
          <w:sz w:val="20"/>
          <w:szCs w:val="20"/>
        </w:rPr>
        <w:t>[...] tratamento igual não significa tratamento uniformizante, que desrespeita, padroniza e apaga as diferenças. O que se quer é uma igualdade que se constitua num diálogo entre os diferentes, capaz de explorar a riqueza que vem da pluralidade de tradições e de culturas. Enquanto a diversidade cultural for um obstáculo para o êxito escolar, não haverá respeito às diferenças, mas produção e reprodução das desigualdades (CANDAU, 2002, p.71).</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347" w:lineRule="auto"/>
        <w:ind w:firstLine="708"/>
        <w:jc w:val="both"/>
        <w:rPr>
          <w:sz w:val="20"/>
          <w:szCs w:val="20"/>
        </w:rPr>
      </w:pPr>
      <w:r w:rsidRPr="00771368">
        <w:rPr>
          <w:sz w:val="24"/>
          <w:szCs w:val="24"/>
        </w:rPr>
        <w:t>Vale ressaltar os argumentos de Ambramovay, Cunha e Calaf (2010) sobre as interações sociais e o ambiente escolar que enfatizam que as percepções dos atores e atrizes na escola estão vinculadas às interações que estabelecem nesse ambiente destacando que esse processo não se dá em um vácuo normativo, perpassa as noções de autoridade e hierarquias legitimadas por tod@s no seguimento da sociedade.</w:t>
      </w:r>
    </w:p>
    <w:p w:rsidR="00D24E61" w:rsidRPr="00771368" w:rsidRDefault="00D24E61">
      <w:pPr>
        <w:spacing w:line="74" w:lineRule="exact"/>
        <w:rPr>
          <w:sz w:val="20"/>
          <w:szCs w:val="20"/>
        </w:rPr>
      </w:pPr>
    </w:p>
    <w:p w:rsidR="00D24E61" w:rsidRPr="00771368" w:rsidRDefault="00D24E61">
      <w:pPr>
        <w:spacing w:line="353" w:lineRule="auto"/>
        <w:ind w:right="20" w:firstLine="708"/>
        <w:jc w:val="both"/>
        <w:rPr>
          <w:sz w:val="20"/>
          <w:szCs w:val="20"/>
        </w:rPr>
      </w:pPr>
      <w:r w:rsidRPr="00771368">
        <w:rPr>
          <w:sz w:val="24"/>
          <w:szCs w:val="24"/>
        </w:rPr>
        <w:t>As autoras ainda acrescentam que é preciso compreender alguns aspectos de como a experiência de gênero é vivenciada e percebida pel@s alun@s durante seu percurso escolar ouvindo os discursos e visualizando as práticas no cotidiano da escola que expressam valores sobre o que meninos e meninas fazem, pensam, sentem e falam. Butler (2004) nesse aspecto acrescenta que ao seguirmos os processos de disciplinarização e normalização divididos em práticas sociais, condutas percebidas como adequadas são traçadas e reguladas, indicando a complexa relação entre poder social e incorporação das normas de gênero.</w:t>
      </w:r>
    </w:p>
    <w:p w:rsidR="00D24E61" w:rsidRPr="00771368" w:rsidRDefault="00D24E61">
      <w:pPr>
        <w:spacing w:line="65" w:lineRule="exact"/>
        <w:rPr>
          <w:sz w:val="20"/>
          <w:szCs w:val="20"/>
        </w:rPr>
      </w:pPr>
    </w:p>
    <w:p w:rsidR="00D24E61" w:rsidRPr="00771368" w:rsidRDefault="00D24E61">
      <w:pPr>
        <w:spacing w:line="310" w:lineRule="auto"/>
        <w:ind w:right="20" w:firstLine="708"/>
        <w:jc w:val="both"/>
        <w:rPr>
          <w:sz w:val="20"/>
          <w:szCs w:val="20"/>
        </w:rPr>
      </w:pPr>
      <w:r w:rsidRPr="00771368">
        <w:rPr>
          <w:sz w:val="24"/>
          <w:szCs w:val="24"/>
        </w:rPr>
        <w:t>Pensar a educação para alteridade como sugere Fleuri (2003) apresenta implicações importantíssimas, pois a educação começa a ser percebida e construída na relação e no</w:t>
      </w:r>
    </w:p>
    <w:p w:rsidR="00D24E61" w:rsidRPr="00771368" w:rsidRDefault="00D24E61">
      <w:pPr>
        <w:sectPr w:rsidR="00D24E61" w:rsidRPr="00771368">
          <w:pgSz w:w="11900" w:h="16838"/>
          <w:pgMar w:top="1440" w:right="1400" w:bottom="1440" w:left="1700" w:header="0" w:footer="0" w:gutter="0"/>
          <w:cols w:space="720" w:equalWidth="0">
            <w:col w:w="8800"/>
          </w:cols>
        </w:sectPr>
      </w:pPr>
    </w:p>
    <w:p w:rsidR="00D24E61" w:rsidRPr="00771368" w:rsidRDefault="00D24E61">
      <w:pPr>
        <w:spacing w:line="313" w:lineRule="exact"/>
        <w:rPr>
          <w:sz w:val="20"/>
          <w:szCs w:val="20"/>
        </w:rPr>
      </w:pPr>
    </w:p>
    <w:p w:rsidR="00D24E61" w:rsidRPr="00771368" w:rsidRDefault="00D24E61">
      <w:pPr>
        <w:spacing w:line="308" w:lineRule="auto"/>
        <w:ind w:right="20"/>
        <w:jc w:val="both"/>
        <w:rPr>
          <w:sz w:val="20"/>
          <w:szCs w:val="20"/>
        </w:rPr>
      </w:pPr>
      <w:r w:rsidRPr="00771368">
        <w:rPr>
          <w:sz w:val="24"/>
          <w:szCs w:val="24"/>
        </w:rPr>
        <w:t>contato com os diferentes sujeitos, contribuindo para construção de contextos dinâmicos que fomentam a criação de identidades e alimentam menos preconceitos.</w:t>
      </w:r>
    </w:p>
    <w:p w:rsidR="00D24E61" w:rsidRPr="00771368" w:rsidRDefault="00D24E61">
      <w:pPr>
        <w:spacing w:line="120"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Ao nos referirmos à construção de identidades na escola, é preciso comentar a contribuição de Moita Lopes (2002) nos faz quanto à importância dos significados e conceitos construídos em sala de aula:</w:t>
      </w:r>
    </w:p>
    <w:p w:rsidR="00D24E61" w:rsidRPr="00771368" w:rsidRDefault="00D24E61">
      <w:pPr>
        <w:spacing w:line="200" w:lineRule="exact"/>
        <w:rPr>
          <w:sz w:val="20"/>
          <w:szCs w:val="20"/>
        </w:rPr>
      </w:pPr>
    </w:p>
    <w:p w:rsidR="00D24E61" w:rsidRPr="00771368" w:rsidRDefault="00D24E61">
      <w:pPr>
        <w:spacing w:line="294" w:lineRule="exact"/>
        <w:rPr>
          <w:sz w:val="20"/>
          <w:szCs w:val="20"/>
        </w:rPr>
      </w:pPr>
    </w:p>
    <w:p w:rsidR="00D24E61" w:rsidRPr="00771368" w:rsidRDefault="00D24E61">
      <w:pPr>
        <w:spacing w:line="235" w:lineRule="auto"/>
        <w:ind w:left="2280" w:right="20"/>
        <w:jc w:val="both"/>
        <w:rPr>
          <w:sz w:val="20"/>
          <w:szCs w:val="20"/>
        </w:rPr>
      </w:pPr>
      <w:r w:rsidRPr="00771368">
        <w:rPr>
          <w:sz w:val="20"/>
          <w:szCs w:val="20"/>
        </w:rPr>
        <w:t>[...] os significados construídos em sala de aula têm papel preponderante na definição das identidades sociais que desempenhamos. É claro que alunos e professores participam de outras práticas discursivas fora do mundo da escola, as quais, conjuntamente com aquelas do mundo da família, podem até questionar os significados construídos no contexto institucional da sala de aula. Contudo, tendo em vista, entre outros fatores, o fato de esse ser um espaço caracteristicamente emoldurado como contexto de construção de conhecimento, regulado pela assimetria interacional gerenciada pelo professor – par mais competente –, é de se esperar que a sala de aula exerça influencia na definição de como aprendemos a nos representar e a representar os outros no mundo social. (MOITA LOPES, 2002 , p. 192)</w:t>
      </w:r>
    </w:p>
    <w:p w:rsidR="00D24E61" w:rsidRPr="00771368" w:rsidRDefault="00D24E61">
      <w:pPr>
        <w:spacing w:line="200" w:lineRule="exact"/>
        <w:rPr>
          <w:sz w:val="20"/>
          <w:szCs w:val="20"/>
        </w:rPr>
      </w:pPr>
    </w:p>
    <w:p w:rsidR="00D24E61" w:rsidRPr="00771368" w:rsidRDefault="00D24E61">
      <w:pPr>
        <w:spacing w:line="276"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A escola por compreender o primeiro contexto social que a criança participa, fora da família, onde as identidades de gênero e de sexualidade são legitimadas ou contestadas possui papel crucial da formação ‘social’ dessa criança. Nesse espaço, como nos afirma</w:t>
      </w:r>
    </w:p>
    <w:p w:rsidR="00D24E61" w:rsidRPr="00771368" w:rsidRDefault="00D24E61">
      <w:pPr>
        <w:spacing w:line="91" w:lineRule="exact"/>
        <w:rPr>
          <w:sz w:val="20"/>
          <w:szCs w:val="20"/>
        </w:rPr>
      </w:pPr>
    </w:p>
    <w:p w:rsidR="00D24E61" w:rsidRPr="00771368" w:rsidRDefault="00D24E61">
      <w:pPr>
        <w:spacing w:line="308" w:lineRule="auto"/>
        <w:ind w:right="20"/>
        <w:jc w:val="both"/>
        <w:rPr>
          <w:sz w:val="20"/>
          <w:szCs w:val="20"/>
        </w:rPr>
      </w:pPr>
      <w:r w:rsidRPr="00771368">
        <w:rPr>
          <w:sz w:val="24"/>
          <w:szCs w:val="24"/>
        </w:rPr>
        <w:t>Finco (2003), as crianças desenvolvem atitudes e condutas separatistas de ser menino e de ser menino como exercícios de sexualidade.</w:t>
      </w:r>
    </w:p>
    <w:p w:rsidR="00D24E61" w:rsidRPr="00771368" w:rsidRDefault="00D24E61">
      <w:pPr>
        <w:spacing w:line="200" w:lineRule="exact"/>
        <w:rPr>
          <w:sz w:val="20"/>
          <w:szCs w:val="20"/>
        </w:rPr>
      </w:pPr>
    </w:p>
    <w:p w:rsidR="00D24E61" w:rsidRPr="00771368" w:rsidRDefault="00D24E61">
      <w:pPr>
        <w:spacing w:line="323" w:lineRule="exact"/>
        <w:rPr>
          <w:sz w:val="20"/>
          <w:szCs w:val="20"/>
        </w:rPr>
      </w:pPr>
    </w:p>
    <w:p w:rsidR="00D24E61" w:rsidRPr="00771368" w:rsidRDefault="00D24E61">
      <w:pPr>
        <w:spacing w:line="231" w:lineRule="auto"/>
        <w:ind w:left="2280" w:right="20"/>
        <w:jc w:val="both"/>
        <w:rPr>
          <w:sz w:val="20"/>
          <w:szCs w:val="20"/>
        </w:rPr>
      </w:pPr>
      <w:r w:rsidRPr="00771368">
        <w:rPr>
          <w:sz w:val="20"/>
          <w:szCs w:val="20"/>
        </w:rPr>
        <w:t>Foi possível levantar a hipótese de que as crianças ainda não possuem práticas sexistas em suas brincadeiras e, portanto, não reproduzem o sexismo presente no mundo adulto. Esses meninos e meninas ainda não possuem o sexismo da forma como ele está disseminado na cultura construída pelo adulto: as crianças vão aprendendo a oposição e a hierarquia dos sexos ao longo do tempo que permanecem na escola (FINCO, 2003, p. 89).</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spacing w:line="334" w:lineRule="auto"/>
        <w:ind w:firstLine="708"/>
        <w:jc w:val="both"/>
        <w:rPr>
          <w:sz w:val="20"/>
          <w:szCs w:val="20"/>
        </w:rPr>
      </w:pPr>
      <w:r w:rsidRPr="00771368">
        <w:rPr>
          <w:sz w:val="24"/>
          <w:szCs w:val="24"/>
        </w:rPr>
        <w:t>O que nos leva a concretizar que os padrões sexistas e discriminatórios são desenvolvidos no entremeado de relações com adultos, em destaque com seu pai e mãe e professor@s.</w:t>
      </w:r>
    </w:p>
    <w:p w:rsidR="00D24E61" w:rsidRPr="00771368" w:rsidRDefault="00D24E61">
      <w:pPr>
        <w:spacing w:line="89"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 escola delimita espaços. Servindo-se de símbolos e códigos, ela afirma o que cada um pode (ou não pode) fazer, ela separa e institui. Informa o ‘lugar’ dos pequenos e dos grandes, dos meninos e das meninas” (LOURO, 2003, p.58). A escola incansavelmente poda e molda sua comunidade escolar enquadrando através de suas normas e disciplinas as pessoas desviantes.</w:t>
      </w:r>
    </w:p>
    <w:p w:rsidR="00D24E61" w:rsidRPr="00771368" w:rsidRDefault="00D24E61">
      <w:pPr>
        <w:spacing w:line="74" w:lineRule="exact"/>
        <w:rPr>
          <w:sz w:val="20"/>
          <w:szCs w:val="20"/>
        </w:rPr>
      </w:pPr>
    </w:p>
    <w:p w:rsidR="00D24E61" w:rsidRPr="00771368" w:rsidRDefault="00D24E61">
      <w:pPr>
        <w:spacing w:line="310" w:lineRule="auto"/>
        <w:ind w:right="20" w:firstLine="708"/>
        <w:jc w:val="both"/>
        <w:rPr>
          <w:sz w:val="20"/>
          <w:szCs w:val="20"/>
        </w:rPr>
      </w:pPr>
      <w:r w:rsidRPr="00771368">
        <w:rPr>
          <w:sz w:val="24"/>
          <w:szCs w:val="24"/>
        </w:rPr>
        <w:t>Dessa forma, o ambiente escolar onde a criança está inserida pode ser um espaço de mudança e surgimento de novas relações sociais de gênero. Algumas definições referentes</w:t>
      </w:r>
    </w:p>
    <w:p w:rsidR="00D24E61" w:rsidRPr="00771368" w:rsidRDefault="00D24E61">
      <w:pPr>
        <w:sectPr w:rsidR="00D24E61" w:rsidRPr="00771368">
          <w:pgSz w:w="11900" w:h="16838"/>
          <w:pgMar w:top="1440" w:right="1400" w:bottom="1080" w:left="1700" w:header="0" w:footer="0" w:gutter="0"/>
          <w:cols w:space="720" w:equalWidth="0">
            <w:col w:w="8800"/>
          </w:cols>
        </w:sectPr>
      </w:pPr>
    </w:p>
    <w:p w:rsidR="00D24E61" w:rsidRPr="00771368" w:rsidRDefault="00D24E61">
      <w:pPr>
        <w:spacing w:line="313" w:lineRule="exact"/>
        <w:rPr>
          <w:sz w:val="20"/>
          <w:szCs w:val="20"/>
        </w:rPr>
      </w:pPr>
    </w:p>
    <w:p w:rsidR="00D24E61" w:rsidRPr="00771368" w:rsidRDefault="00D24E61">
      <w:pPr>
        <w:spacing w:line="347" w:lineRule="auto"/>
        <w:ind w:right="20"/>
        <w:jc w:val="both"/>
        <w:rPr>
          <w:sz w:val="20"/>
          <w:szCs w:val="20"/>
        </w:rPr>
      </w:pPr>
      <w:r w:rsidRPr="00771368">
        <w:rPr>
          <w:sz w:val="24"/>
          <w:szCs w:val="24"/>
        </w:rPr>
        <w:t>a homens e mulheres, essencialistas e preconceituosas precisam ser alteradas e para isso é fundamental que sejam debatidas no cotidiano das instituições educativas, visto que a escola tem um papel fundamental na desmistificação destas diferenças, além de ser um importante instrumento na construção de valores e atitudes que permitam um olhar mais crítico e reflexivo sobre as identidades de gênero:</w:t>
      </w:r>
    </w:p>
    <w:p w:rsidR="00D24E61" w:rsidRPr="00771368" w:rsidRDefault="00D24E61">
      <w:pPr>
        <w:spacing w:line="200" w:lineRule="exact"/>
        <w:rPr>
          <w:sz w:val="20"/>
          <w:szCs w:val="20"/>
        </w:rPr>
      </w:pPr>
    </w:p>
    <w:p w:rsidR="00D24E61" w:rsidRPr="00771368" w:rsidRDefault="00D24E61">
      <w:pPr>
        <w:spacing w:line="279" w:lineRule="exact"/>
        <w:rPr>
          <w:sz w:val="20"/>
          <w:szCs w:val="20"/>
        </w:rPr>
      </w:pPr>
    </w:p>
    <w:p w:rsidR="00D24E61" w:rsidRPr="00771368" w:rsidRDefault="00D24E61">
      <w:pPr>
        <w:spacing w:line="231" w:lineRule="auto"/>
        <w:ind w:left="2280" w:right="20"/>
        <w:jc w:val="both"/>
        <w:rPr>
          <w:sz w:val="20"/>
          <w:szCs w:val="20"/>
        </w:rPr>
      </w:pPr>
      <w:r w:rsidRPr="00771368">
        <w:rPr>
          <w:sz w:val="20"/>
          <w:szCs w:val="20"/>
        </w:rPr>
        <w:t>Diferenças, distinções, desigualdades... A escola entende disso. Na verdade, a escola produz isso. Desde seus inícios, a instituição escolar exerceu uma ação distintiva. Ela se incumbiu de separar os sujeitos — tornando aqueles que nela entravam distintos dos outros, os que a ela não tinham acesso. Ela dividiu também, internamente, os que lá estavam, através de múltiplos mecanismos de classificação, ordenamento (LOURO, 2003, p.57).</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343" w:lineRule="auto"/>
        <w:ind w:firstLine="708"/>
        <w:jc w:val="both"/>
        <w:rPr>
          <w:sz w:val="20"/>
          <w:szCs w:val="20"/>
        </w:rPr>
      </w:pPr>
      <w:r w:rsidRPr="00771368">
        <w:rPr>
          <w:sz w:val="24"/>
          <w:szCs w:val="24"/>
        </w:rPr>
        <w:t>Desse modo, torna-se importante que professoras e professores percebam como tem organizado seus espaços e, principalmente, como as meninas e meninos comportam-se diante as questões de gênero, pois com efeito como nos afirma Finco no decorrer de sua pesquisa sobre gênero e educação infantil:</w:t>
      </w:r>
    </w:p>
    <w:p w:rsidR="00D24E61" w:rsidRPr="00771368" w:rsidRDefault="00D24E61">
      <w:pPr>
        <w:spacing w:line="200" w:lineRule="exact"/>
        <w:rPr>
          <w:sz w:val="20"/>
          <w:szCs w:val="20"/>
        </w:rPr>
      </w:pPr>
    </w:p>
    <w:p w:rsidR="00D24E61" w:rsidRPr="00771368" w:rsidRDefault="00D24E61">
      <w:pPr>
        <w:spacing w:line="284" w:lineRule="exact"/>
        <w:rPr>
          <w:sz w:val="20"/>
          <w:szCs w:val="20"/>
        </w:rPr>
      </w:pPr>
    </w:p>
    <w:p w:rsidR="00D24E61" w:rsidRPr="00771368" w:rsidRDefault="00D24E61">
      <w:pPr>
        <w:spacing w:line="233" w:lineRule="auto"/>
        <w:ind w:left="2280" w:right="20"/>
        <w:jc w:val="both"/>
        <w:rPr>
          <w:sz w:val="20"/>
          <w:szCs w:val="20"/>
        </w:rPr>
      </w:pPr>
      <w:r w:rsidRPr="00771368">
        <w:rPr>
          <w:sz w:val="20"/>
          <w:szCs w:val="20"/>
        </w:rPr>
        <w:t>[...] as relações das crianças na educação infantil apresentam-se como forma de introdução de meninos e meninas na vida social, quando passam a conhecer e aprender seus sistemas de regras e valores, interagindo e participando nas construções sociais. Porém, ao observar as relações entre as crianças, foi possível levantar a hipótese de que os estereótipos dos papéis sexuais, os comportamentos pré-determinados, os preconceitos e discriminações são construções culturais, que existem nas relações dos adultos, mas ainda não conseguiram contaminar totalmente a cultura da criança. (FINCO, 2007, p.7).</w:t>
      </w:r>
    </w:p>
    <w:p w:rsidR="00D24E61" w:rsidRPr="00771368" w:rsidRDefault="00D24E61">
      <w:pPr>
        <w:spacing w:line="200" w:lineRule="exact"/>
        <w:rPr>
          <w:sz w:val="20"/>
          <w:szCs w:val="20"/>
        </w:rPr>
      </w:pPr>
    </w:p>
    <w:p w:rsidR="00D24E61" w:rsidRPr="00771368" w:rsidRDefault="00D24E61">
      <w:pPr>
        <w:spacing w:line="278" w:lineRule="exact"/>
        <w:rPr>
          <w:sz w:val="20"/>
          <w:szCs w:val="20"/>
        </w:rPr>
      </w:pPr>
    </w:p>
    <w:p w:rsidR="00D24E61" w:rsidRPr="00771368" w:rsidRDefault="00D24E61">
      <w:pPr>
        <w:spacing w:line="334" w:lineRule="auto"/>
        <w:ind w:firstLine="708"/>
        <w:jc w:val="both"/>
        <w:rPr>
          <w:sz w:val="20"/>
          <w:szCs w:val="20"/>
        </w:rPr>
      </w:pPr>
      <w:r w:rsidRPr="00771368">
        <w:rPr>
          <w:sz w:val="24"/>
          <w:szCs w:val="24"/>
        </w:rPr>
        <w:t>Concomitante a esta ideia, defendemos que a formação e o debate entre professoras e professores e toda a equipe de profissionais da escola é o principal caminho para o enfrentamento das questões que se referem ao gênero.</w:t>
      </w:r>
    </w:p>
    <w:p w:rsidR="00D24E61" w:rsidRPr="00771368" w:rsidRDefault="00D24E61">
      <w:pPr>
        <w:spacing w:line="89"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 falta desses debates é preocupante, pois, como foi explicitado anteriormente, ideias e preconceitos são constituídos involuntariamente, e não discutir essas questões é construir e fortalecer as diferenças entre homens e mulheres, já que estudos apontam que</w:t>
      </w:r>
    </w:p>
    <w:p w:rsidR="00D24E61" w:rsidRPr="00771368" w:rsidRDefault="00D24E61">
      <w:pPr>
        <w:spacing w:line="33" w:lineRule="exact"/>
        <w:rPr>
          <w:sz w:val="20"/>
          <w:szCs w:val="20"/>
        </w:rPr>
      </w:pPr>
    </w:p>
    <w:p w:rsidR="00D24E61" w:rsidRPr="00771368" w:rsidRDefault="00D24E61">
      <w:pPr>
        <w:rPr>
          <w:sz w:val="20"/>
          <w:szCs w:val="20"/>
        </w:rPr>
      </w:pPr>
      <w:r w:rsidRPr="00771368">
        <w:rPr>
          <w:sz w:val="24"/>
          <w:szCs w:val="24"/>
        </w:rPr>
        <w:t>“a escola possui mecanismos sutis que constroem e mantêm as diferenças entre os sexos”</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(FINCO, 2003, p. 92).</w:t>
      </w:r>
    </w:p>
    <w:p w:rsidR="00D24E61" w:rsidRPr="00771368" w:rsidRDefault="00D24E61">
      <w:pPr>
        <w:spacing w:line="195" w:lineRule="exact"/>
        <w:rPr>
          <w:sz w:val="20"/>
          <w:szCs w:val="20"/>
        </w:rPr>
      </w:pPr>
    </w:p>
    <w:p w:rsidR="00D24E61" w:rsidRPr="00771368" w:rsidRDefault="00D24E61">
      <w:pPr>
        <w:spacing w:line="343" w:lineRule="auto"/>
        <w:ind w:firstLine="708"/>
        <w:jc w:val="both"/>
        <w:rPr>
          <w:sz w:val="20"/>
          <w:szCs w:val="20"/>
        </w:rPr>
      </w:pPr>
      <w:r w:rsidRPr="00771368">
        <w:rPr>
          <w:sz w:val="24"/>
          <w:szCs w:val="24"/>
        </w:rPr>
        <w:t>Os debates devem ser fomentados visando formas diferenciadas de organização e orientação do processo educativo a fim de superar as polaridades biológicas entre os gêneros femininos e masculinos, desconstruindo a ideia de que existem tendências naturais a certos tipos de comportamentos de acordo com o sexo do individuo.</w:t>
      </w:r>
    </w:p>
    <w:p w:rsidR="00D24E61" w:rsidRPr="00771368" w:rsidRDefault="00D24E61">
      <w:pPr>
        <w:sectPr w:rsidR="00D24E61" w:rsidRPr="00771368">
          <w:pgSz w:w="11900" w:h="16838"/>
          <w:pgMar w:top="1440" w:right="1400" w:bottom="1440" w:left="1700" w:header="0" w:footer="0" w:gutter="0"/>
          <w:cols w:space="720" w:equalWidth="0">
            <w:col w:w="8800"/>
          </w:cols>
        </w:sectPr>
      </w:pPr>
    </w:p>
    <w:p w:rsidR="00D24E61" w:rsidRPr="00771368" w:rsidRDefault="00D24E61">
      <w:pPr>
        <w:spacing w:line="313" w:lineRule="exact"/>
        <w:rPr>
          <w:sz w:val="20"/>
          <w:szCs w:val="20"/>
        </w:rPr>
      </w:pPr>
    </w:p>
    <w:p w:rsidR="00D24E61" w:rsidRPr="00771368" w:rsidRDefault="00D24E61">
      <w:pPr>
        <w:spacing w:line="352" w:lineRule="auto"/>
        <w:ind w:right="20" w:firstLine="708"/>
        <w:jc w:val="both"/>
        <w:rPr>
          <w:sz w:val="20"/>
          <w:szCs w:val="20"/>
        </w:rPr>
      </w:pPr>
      <w:r w:rsidRPr="00771368">
        <w:rPr>
          <w:sz w:val="24"/>
          <w:szCs w:val="24"/>
        </w:rPr>
        <w:t>Por isso, Louro (2004) entende que podemos transformar os paradigmas educacionais tomando a sexualidade e o gênero como questões. As estratégias de controle de corpos e populações tomam a sexualidade como fundante da subjetividade humana, e nós somos constantemente atravessados por esse paradigma. Não o ignorando, mas o reconstruindo. Pois como nos afirma Foucault (2005) uma das formas de exercer a morte de um individuo, um assassinato indireto é através da exclusão, da rejeição. A escola se não for repensada para perceber o ‘diferente’ realizará, se já não realiza, o assassinato de muitas crianças que são simplesmente abjetos do contexto escolar.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9" w:lineRule="exact"/>
        <w:rPr>
          <w:sz w:val="20"/>
          <w:szCs w:val="20"/>
        </w:rPr>
      </w:pPr>
    </w:p>
    <w:p w:rsidR="00D24E61" w:rsidRPr="00771368" w:rsidRDefault="00D24E61">
      <w:pPr>
        <w:rPr>
          <w:sz w:val="20"/>
          <w:szCs w:val="20"/>
        </w:rPr>
      </w:pPr>
      <w:r w:rsidRPr="00771368">
        <w:rPr>
          <w:b/>
          <w:bCs/>
          <w:sz w:val="24"/>
          <w:szCs w:val="24"/>
        </w:rPr>
        <w:t>É por aí....</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8"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No decorrer das discussões aqui expostas percebemos que o multiculturalismo apresenta-se como catalisador das discussões sobre o papel da escola nessa nova conjectura. A projeção de relações identitárias no seio escolar requer novas práticas e efetivação do discurso de inclusão da diversidade, destacando as relações de gênero.</w:t>
      </w:r>
    </w:p>
    <w:p w:rsidR="00D24E61" w:rsidRPr="00771368" w:rsidRDefault="00D24E61">
      <w:pPr>
        <w:spacing w:line="79" w:lineRule="exact"/>
        <w:rPr>
          <w:sz w:val="20"/>
          <w:szCs w:val="20"/>
        </w:rPr>
      </w:pPr>
    </w:p>
    <w:p w:rsidR="00D24E61" w:rsidRPr="00771368" w:rsidRDefault="00D24E61">
      <w:pPr>
        <w:spacing w:line="347" w:lineRule="auto"/>
        <w:ind w:firstLine="708"/>
        <w:jc w:val="both"/>
        <w:rPr>
          <w:sz w:val="20"/>
          <w:szCs w:val="20"/>
        </w:rPr>
      </w:pPr>
      <w:r w:rsidRPr="00771368">
        <w:rPr>
          <w:sz w:val="24"/>
          <w:szCs w:val="24"/>
        </w:rPr>
        <w:t>O que vemos como “naturalizado” no ambiente escolar apresenta em seu íntimo uma construção sobreposta de poderes e ideologias, onde o feminino encontra-se subjugado e invisível ao masculino especialmente quando utilizamos termos genéricos para designar a turma, pois dificilmente os meninos se enquadrarão ou se sentirão contemplados na utilização do termo no feminino.</w:t>
      </w:r>
    </w:p>
    <w:p w:rsidR="00D24E61" w:rsidRPr="00771368" w:rsidRDefault="00D24E61">
      <w:pPr>
        <w:spacing w:line="74"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No entanto vale ressaltar que a discussão sobre as identidades de gênero em âmbito escolar não se reduz a dicotomia masculino/feminino, mas em todas as possibilidades concebidas. Tal discussão deve transpor o binarismo e estabelecer-se no pluralismo de suas transformações culturais diante das interações sociais.</w:t>
      </w:r>
    </w:p>
    <w:p w:rsidR="00D24E61" w:rsidRPr="00771368" w:rsidRDefault="00D24E61">
      <w:pPr>
        <w:spacing w:line="79" w:lineRule="exact"/>
        <w:rPr>
          <w:sz w:val="20"/>
          <w:szCs w:val="20"/>
        </w:rPr>
      </w:pPr>
    </w:p>
    <w:p w:rsidR="00D24E61" w:rsidRPr="00771368" w:rsidRDefault="00D24E61">
      <w:pPr>
        <w:spacing w:line="351" w:lineRule="auto"/>
        <w:ind w:firstLine="708"/>
        <w:jc w:val="both"/>
        <w:rPr>
          <w:sz w:val="20"/>
          <w:szCs w:val="20"/>
        </w:rPr>
      </w:pPr>
      <w:r w:rsidRPr="00771368">
        <w:rPr>
          <w:sz w:val="24"/>
          <w:szCs w:val="24"/>
        </w:rPr>
        <w:t>Na lógica educacional em que a temática está inserida os debates precisam ser precisos e efetivos de caráter informativo e contextualizados. Por esse enredo e devido a escola conceber-se como uma peça crucial na formação do individuo para a sociedade, a justificativa das ações, em especial as de discussão de gênero e sexualidade, necessitarem estar inseridas no cotidiano educacional respaldam a sua indispensabilidade. À medida que a fomentação e a percepção de novas práticas e ações permitem um posicionamento menos segregante, sectário e excludente.</w:t>
      </w:r>
    </w:p>
    <w:p w:rsidR="00D24E61" w:rsidRPr="00771368" w:rsidRDefault="00D24E61">
      <w:pPr>
        <w:sectPr w:rsidR="00D24E61" w:rsidRPr="00771368">
          <w:pgSz w:w="11900" w:h="16838"/>
          <w:pgMar w:top="1440" w:right="1400" w:bottom="1440" w:left="1700" w:header="0" w:footer="0" w:gutter="0"/>
          <w:cols w:space="720" w:equalWidth="0">
            <w:col w:w="8800"/>
          </w:cols>
        </w:sectPr>
      </w:pPr>
    </w:p>
    <w:p w:rsidR="00D24E61" w:rsidRPr="00771368" w:rsidRDefault="00D24E61">
      <w:pPr>
        <w:spacing w:line="313"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Mas não podemos deixar de relatar que o caminho é árduo e precisa encontrar efetivamente subsídios que permitam e favoreçam a construção de uma cultura escolar para a diversidade pautada no respeito, tolerância e compreensão.</w:t>
      </w:r>
    </w:p>
    <w:p w:rsidR="00D24E61" w:rsidRPr="00771368" w:rsidRDefault="00D24E61">
      <w:pPr>
        <w:spacing w:line="89"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 mudança não será simples e nem fácil, mas é preciso que o discurso de inclusão multiculturalista saia das ideias e se concretize na realidade escolar. Pois a escola necessita alterar suas concepções de ensino que ainda estão concebidas no tradicionalismo masculino de uma sociedade patriarcal para conceber-se como um meio educacional de pluralidades diversas.</w:t>
      </w:r>
    </w:p>
    <w:p w:rsidR="00D24E61" w:rsidRPr="00771368" w:rsidRDefault="00D24E61">
      <w:pPr>
        <w:spacing w:line="77" w:lineRule="exact"/>
        <w:rPr>
          <w:sz w:val="20"/>
          <w:szCs w:val="20"/>
        </w:rPr>
      </w:pPr>
    </w:p>
    <w:p w:rsidR="00D24E61" w:rsidRPr="00771368" w:rsidRDefault="00D24E61">
      <w:pPr>
        <w:spacing w:line="351" w:lineRule="auto"/>
        <w:ind w:firstLine="708"/>
        <w:jc w:val="both"/>
        <w:rPr>
          <w:sz w:val="20"/>
          <w:szCs w:val="20"/>
        </w:rPr>
      </w:pPr>
      <w:r w:rsidRPr="00771368">
        <w:rPr>
          <w:sz w:val="24"/>
          <w:szCs w:val="24"/>
        </w:rPr>
        <w:t>A saída apontada e percebida com base nos estudos propostos recai sobre a formação de educador@s capazes de estabelecer a relação entre pluralidade cultural e individualização de cada alun@ com o objetivo primordial de não hierarquização em sala de aula, mas na horizontalização de saberes. Não obstante destacamos aqui não somente professor@as, mas também todo o corpo escolar (gest@res, supervisor@s, funcionári@s) a medida que a escola não se reduz à relação profess@r – alun@ e o debate precisa ser maximizado.</w:t>
      </w:r>
    </w:p>
    <w:p w:rsidR="00D24E61" w:rsidRPr="00771368" w:rsidRDefault="00D24E61">
      <w:pPr>
        <w:spacing w:line="71" w:lineRule="exact"/>
        <w:rPr>
          <w:sz w:val="20"/>
          <w:szCs w:val="20"/>
        </w:rPr>
      </w:pPr>
    </w:p>
    <w:p w:rsidR="00D24E61" w:rsidRPr="00771368" w:rsidRDefault="00D24E61">
      <w:pPr>
        <w:spacing w:line="351" w:lineRule="auto"/>
        <w:ind w:firstLine="708"/>
        <w:jc w:val="both"/>
        <w:rPr>
          <w:sz w:val="20"/>
          <w:szCs w:val="20"/>
        </w:rPr>
      </w:pPr>
      <w:r w:rsidRPr="00771368">
        <w:rPr>
          <w:sz w:val="24"/>
          <w:szCs w:val="24"/>
        </w:rPr>
        <w:t>As discussões sobre as relações de gênero no ambiente escolar estão longe de se substanciar sem alterações, pois como já discutimos a constante mutação não permite uma ação unicalista e definitiva, requer ações em constantes metamorfoses que abarquem todas as necessidades e lacunas inerentes a sua formação social e cultural. Mas isso, não minimiza a necessidade latente de tais discussões fazerem-se presentes no cotidiano escolar. É preciso sim, que a temática de torne “naturalizada” e estruturante da politica educacional.</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6" w:lineRule="exact"/>
        <w:rPr>
          <w:sz w:val="20"/>
          <w:szCs w:val="20"/>
        </w:rPr>
      </w:pPr>
    </w:p>
    <w:p w:rsidR="00D24E61" w:rsidRPr="00771368" w:rsidRDefault="00D24E61">
      <w:pPr>
        <w:rPr>
          <w:sz w:val="20"/>
          <w:szCs w:val="20"/>
        </w:rPr>
      </w:pPr>
      <w:r w:rsidRPr="00771368">
        <w:rPr>
          <w:b/>
          <w:bCs/>
          <w:sz w:val="24"/>
          <w:szCs w:val="24"/>
        </w:rPr>
        <w:t>Referências</w:t>
      </w:r>
    </w:p>
    <w:p w:rsidR="00D24E61" w:rsidRPr="00771368" w:rsidRDefault="00D24E61">
      <w:pPr>
        <w:spacing w:line="227" w:lineRule="auto"/>
        <w:ind w:right="20"/>
        <w:jc w:val="both"/>
        <w:rPr>
          <w:sz w:val="20"/>
          <w:szCs w:val="20"/>
        </w:rPr>
      </w:pPr>
      <w:r w:rsidRPr="00771368">
        <w:rPr>
          <w:sz w:val="24"/>
          <w:szCs w:val="24"/>
        </w:rPr>
        <w:t xml:space="preserve">ABRAMOVAY, M. CUNHA, A. N.; CALAF, P. P. </w:t>
      </w:r>
      <w:r w:rsidRPr="00771368">
        <w:rPr>
          <w:b/>
          <w:bCs/>
          <w:sz w:val="24"/>
          <w:szCs w:val="24"/>
        </w:rPr>
        <w:t>Revelando tramas, descobrindo</w:t>
      </w:r>
      <w:r w:rsidRPr="00771368">
        <w:rPr>
          <w:sz w:val="24"/>
          <w:szCs w:val="24"/>
        </w:rPr>
        <w:t xml:space="preserve"> </w:t>
      </w:r>
      <w:r w:rsidRPr="00771368">
        <w:rPr>
          <w:b/>
          <w:bCs/>
          <w:sz w:val="24"/>
          <w:szCs w:val="24"/>
        </w:rPr>
        <w:t>segredos</w:t>
      </w:r>
      <w:r w:rsidRPr="00771368">
        <w:rPr>
          <w:sz w:val="24"/>
          <w:szCs w:val="24"/>
        </w:rPr>
        <w:t>: violência e convivência na escola. 2 ed. Brasília: Rede de Informação</w:t>
      </w:r>
      <w:r w:rsidRPr="00771368">
        <w:rPr>
          <w:b/>
          <w:bCs/>
          <w:sz w:val="24"/>
          <w:szCs w:val="24"/>
        </w:rPr>
        <w:t xml:space="preserve"> </w:t>
      </w:r>
      <w:r w:rsidRPr="00771368">
        <w:rPr>
          <w:sz w:val="24"/>
          <w:szCs w:val="24"/>
        </w:rPr>
        <w:t>tecnológica Latino-americana – RITLA, Secretaria de Estado de Educação do Distrito Federal – SEEDF, 2010.</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BORTOLINI, A. </w:t>
      </w:r>
      <w:r w:rsidRPr="00771368">
        <w:rPr>
          <w:b/>
          <w:bCs/>
          <w:sz w:val="24"/>
          <w:szCs w:val="24"/>
        </w:rPr>
        <w:t>Diversidade Sexual na Escola</w:t>
      </w:r>
      <w:r w:rsidRPr="00771368">
        <w:rPr>
          <w:sz w:val="24"/>
          <w:szCs w:val="24"/>
        </w:rPr>
        <w:t>. 2 ed. Rio de Janeiro: Pró-Reitoria de Extensão/UFRJ, 2009.</w:t>
      </w:r>
    </w:p>
    <w:p w:rsidR="00D24E61" w:rsidRPr="00771368" w:rsidRDefault="00D24E61">
      <w:pPr>
        <w:sectPr w:rsidR="00D24E61" w:rsidRPr="00771368">
          <w:pgSz w:w="11900" w:h="16838"/>
          <w:pgMar w:top="1440" w:right="1400" w:bottom="1440" w:left="1700" w:header="0" w:footer="0" w:gutter="0"/>
          <w:cols w:space="720" w:equalWidth="0">
            <w:col w:w="8800"/>
          </w:cols>
        </w:sectPr>
      </w:pPr>
    </w:p>
    <w:p w:rsidR="00D24E61" w:rsidRPr="00771368" w:rsidRDefault="00D24E61">
      <w:pPr>
        <w:spacing w:line="254" w:lineRule="exact"/>
        <w:rPr>
          <w:sz w:val="20"/>
          <w:szCs w:val="20"/>
        </w:rPr>
      </w:pPr>
    </w:p>
    <w:p w:rsidR="00D24E61" w:rsidRPr="00D61223" w:rsidRDefault="00D24E61">
      <w:pPr>
        <w:rPr>
          <w:sz w:val="20"/>
          <w:szCs w:val="20"/>
          <w:lang w:val="en-US"/>
        </w:rPr>
      </w:pPr>
      <w:r w:rsidRPr="00D61223">
        <w:rPr>
          <w:sz w:val="24"/>
          <w:szCs w:val="24"/>
          <w:lang w:val="en-US"/>
        </w:rPr>
        <w:t xml:space="preserve">BUTLER, J. </w:t>
      </w:r>
      <w:r w:rsidRPr="00D61223">
        <w:rPr>
          <w:b/>
          <w:bCs/>
          <w:sz w:val="24"/>
          <w:szCs w:val="24"/>
          <w:lang w:val="en-US"/>
        </w:rPr>
        <w:t>Undoing gender</w:t>
      </w:r>
      <w:r w:rsidRPr="00D61223">
        <w:rPr>
          <w:sz w:val="24"/>
          <w:szCs w:val="24"/>
          <w:lang w:val="en-US"/>
        </w:rPr>
        <w:t>. Nova York: Routledge, 2004.</w:t>
      </w:r>
    </w:p>
    <w:p w:rsidR="00D24E61" w:rsidRPr="00D61223" w:rsidRDefault="00D24E61">
      <w:pPr>
        <w:spacing w:line="200" w:lineRule="exact"/>
        <w:rPr>
          <w:sz w:val="20"/>
          <w:szCs w:val="20"/>
          <w:lang w:val="en-US"/>
        </w:rPr>
      </w:pPr>
    </w:p>
    <w:p w:rsidR="00D24E61" w:rsidRPr="00D61223" w:rsidRDefault="00D24E61">
      <w:pPr>
        <w:spacing w:line="200" w:lineRule="exact"/>
        <w:rPr>
          <w:sz w:val="20"/>
          <w:szCs w:val="20"/>
          <w:lang w:val="en-US"/>
        </w:rPr>
      </w:pPr>
    </w:p>
    <w:p w:rsidR="00D24E61" w:rsidRPr="00D61223" w:rsidRDefault="00D24E61">
      <w:pPr>
        <w:spacing w:line="208" w:lineRule="exact"/>
        <w:rPr>
          <w:sz w:val="20"/>
          <w:szCs w:val="20"/>
          <w:lang w:val="en-US"/>
        </w:rPr>
      </w:pPr>
    </w:p>
    <w:p w:rsidR="00D24E61" w:rsidRPr="00771368" w:rsidRDefault="00D24E61">
      <w:pPr>
        <w:spacing w:line="214" w:lineRule="auto"/>
        <w:ind w:right="20"/>
        <w:jc w:val="both"/>
        <w:rPr>
          <w:sz w:val="20"/>
          <w:szCs w:val="20"/>
        </w:rPr>
      </w:pPr>
      <w:r w:rsidRPr="00771368">
        <w:rPr>
          <w:sz w:val="24"/>
          <w:szCs w:val="24"/>
        </w:rPr>
        <w:t xml:space="preserve">__________. </w:t>
      </w:r>
      <w:r w:rsidRPr="00771368">
        <w:rPr>
          <w:b/>
          <w:bCs/>
          <w:sz w:val="24"/>
          <w:szCs w:val="24"/>
        </w:rPr>
        <w:t>Problemas de gênero</w:t>
      </w:r>
      <w:r w:rsidRPr="00771368">
        <w:rPr>
          <w:sz w:val="24"/>
          <w:szCs w:val="24"/>
        </w:rPr>
        <w:t>: feminismo e subversão da identidade. Rio de Janeiro: Civilização Brasileira, 2003.</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CANDAU, V. M. </w:t>
      </w:r>
      <w:r w:rsidRPr="00771368">
        <w:rPr>
          <w:b/>
          <w:bCs/>
          <w:sz w:val="24"/>
          <w:szCs w:val="24"/>
        </w:rPr>
        <w:t>Cultura(s) e Educação</w:t>
      </w:r>
      <w:r w:rsidRPr="00771368">
        <w:rPr>
          <w:sz w:val="24"/>
          <w:szCs w:val="24"/>
        </w:rPr>
        <w:t>: entre o crítico e o pós-critico. Rio de Janeiro: DP&amp;A, 2005.</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223" w:lineRule="auto"/>
        <w:jc w:val="both"/>
        <w:rPr>
          <w:sz w:val="20"/>
          <w:szCs w:val="20"/>
        </w:rPr>
      </w:pPr>
      <w:r w:rsidRPr="00771368">
        <w:rPr>
          <w:sz w:val="24"/>
          <w:szCs w:val="24"/>
        </w:rPr>
        <w:t xml:space="preserve">______________. </w:t>
      </w:r>
      <w:r w:rsidRPr="00771368">
        <w:rPr>
          <w:b/>
          <w:bCs/>
          <w:sz w:val="24"/>
          <w:szCs w:val="24"/>
        </w:rPr>
        <w:t>Direitos humanos, educação e interculturalidade</w:t>
      </w:r>
      <w:r w:rsidRPr="00771368">
        <w:rPr>
          <w:sz w:val="24"/>
          <w:szCs w:val="24"/>
        </w:rPr>
        <w:t>: as tensões entre igualdade e diferença. Revista Brasileira de Educação, Rio de Janeiro, v. 13, n. 37, p. 45-56, jan./abril de 2008.</w:t>
      </w:r>
    </w:p>
    <w:p w:rsidR="00D24E61" w:rsidRPr="00771368" w:rsidRDefault="00D24E61">
      <w:pPr>
        <w:spacing w:line="200" w:lineRule="exact"/>
        <w:rPr>
          <w:sz w:val="20"/>
          <w:szCs w:val="20"/>
        </w:rPr>
      </w:pPr>
    </w:p>
    <w:p w:rsidR="00D24E61" w:rsidRPr="00771368" w:rsidRDefault="00D24E61">
      <w:pPr>
        <w:spacing w:line="272" w:lineRule="exact"/>
        <w:rPr>
          <w:sz w:val="20"/>
          <w:szCs w:val="20"/>
        </w:rPr>
      </w:pPr>
    </w:p>
    <w:p w:rsidR="00D24E61" w:rsidRPr="00771368" w:rsidRDefault="00D24E61">
      <w:pPr>
        <w:spacing w:line="227" w:lineRule="auto"/>
        <w:jc w:val="both"/>
        <w:rPr>
          <w:sz w:val="20"/>
          <w:szCs w:val="20"/>
        </w:rPr>
      </w:pPr>
      <w:r w:rsidRPr="00771368">
        <w:rPr>
          <w:sz w:val="24"/>
          <w:szCs w:val="24"/>
        </w:rPr>
        <w:t xml:space="preserve">CANEN, A.; XAVIER, G.P.M. Multiculturalismo, pesquisa e formação de professores: o caso das Diretrizes Curriculares para a formação docente. </w:t>
      </w:r>
      <w:r w:rsidRPr="00771368">
        <w:rPr>
          <w:b/>
          <w:bCs/>
          <w:sz w:val="24"/>
          <w:szCs w:val="24"/>
        </w:rPr>
        <w:t>Ensaio</w:t>
      </w:r>
      <w:r w:rsidRPr="00771368">
        <w:rPr>
          <w:sz w:val="24"/>
          <w:szCs w:val="24"/>
        </w:rPr>
        <w:t>: Avaliação e políticas públicas em educação. Rio de Janeiro: Fundação Cesgranrio, v.13, n48, p.333-334, jul./set.2005.</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229" w:lineRule="auto"/>
        <w:rPr>
          <w:sz w:val="20"/>
          <w:szCs w:val="20"/>
        </w:rPr>
      </w:pPr>
      <w:r w:rsidRPr="00771368">
        <w:rPr>
          <w:sz w:val="24"/>
          <w:szCs w:val="24"/>
        </w:rPr>
        <w:t xml:space="preserve">CARVALHO, M. E. P. Modos de Educação, gênero e relações escola-família. </w:t>
      </w:r>
      <w:r w:rsidRPr="00771368">
        <w:rPr>
          <w:b/>
          <w:bCs/>
          <w:sz w:val="24"/>
          <w:szCs w:val="24"/>
        </w:rPr>
        <w:t>Cadernos</w:t>
      </w:r>
      <w:r w:rsidRPr="00771368">
        <w:rPr>
          <w:sz w:val="24"/>
          <w:szCs w:val="24"/>
        </w:rPr>
        <w:t xml:space="preserve"> </w:t>
      </w:r>
      <w:r w:rsidRPr="00771368">
        <w:rPr>
          <w:b/>
          <w:bCs/>
          <w:sz w:val="24"/>
          <w:szCs w:val="24"/>
        </w:rPr>
        <w:t xml:space="preserve">de Pesquisa, </w:t>
      </w:r>
      <w:r w:rsidRPr="00771368">
        <w:rPr>
          <w:sz w:val="24"/>
          <w:szCs w:val="24"/>
        </w:rPr>
        <w:t>v. 34, n. 121, jan./abr. 2004. Disponível em:</w:t>
      </w:r>
      <w:r w:rsidRPr="00771368">
        <w:rPr>
          <w:b/>
          <w:bCs/>
          <w:sz w:val="24"/>
          <w:szCs w:val="24"/>
        </w:rPr>
        <w:t xml:space="preserve"> </w:t>
      </w:r>
      <w:r w:rsidRPr="00771368">
        <w:rPr>
          <w:sz w:val="24"/>
          <w:szCs w:val="24"/>
        </w:rPr>
        <w:t>&lt;http://www.smec.salvador.ba.gov.br/site/documentos/espaco-virtual/espaco-diversidade/RELA%C3%87%C3%95ES%20DE%20G%C3%8ANERO/WEBARTIGOS/ modos%20de%20educacao%20genero.pdf&gt;. Acesso em 20 de set de 2013.</w:t>
      </w:r>
    </w:p>
    <w:p w:rsidR="00D24E61" w:rsidRPr="00771368" w:rsidRDefault="00D24E61">
      <w:pPr>
        <w:spacing w:line="200" w:lineRule="exact"/>
        <w:rPr>
          <w:sz w:val="20"/>
          <w:szCs w:val="20"/>
        </w:rPr>
      </w:pPr>
    </w:p>
    <w:p w:rsidR="00D24E61" w:rsidRPr="00771368" w:rsidRDefault="00D24E61">
      <w:pPr>
        <w:spacing w:line="218" w:lineRule="exact"/>
        <w:rPr>
          <w:sz w:val="20"/>
          <w:szCs w:val="20"/>
        </w:rPr>
      </w:pPr>
    </w:p>
    <w:p w:rsidR="00D24E61" w:rsidRPr="00771368" w:rsidRDefault="00D24E61">
      <w:pPr>
        <w:rPr>
          <w:sz w:val="20"/>
          <w:szCs w:val="20"/>
        </w:rPr>
      </w:pPr>
      <w:r w:rsidRPr="00771368">
        <w:rPr>
          <w:sz w:val="24"/>
          <w:szCs w:val="24"/>
        </w:rPr>
        <w:t>DRAGO, R.; RODRIGUES, P. S. Diversidade e exclusão na escola: em busca da inclusão.</w:t>
      </w:r>
    </w:p>
    <w:p w:rsidR="00D24E61" w:rsidRPr="00771368" w:rsidRDefault="00D24E61">
      <w:pPr>
        <w:rPr>
          <w:sz w:val="20"/>
          <w:szCs w:val="20"/>
        </w:rPr>
      </w:pPr>
      <w:r w:rsidRPr="00771368">
        <w:rPr>
          <w:b/>
          <w:bCs/>
          <w:sz w:val="24"/>
          <w:szCs w:val="24"/>
        </w:rPr>
        <w:t>Revista FACEVV</w:t>
      </w:r>
      <w:r w:rsidRPr="00771368">
        <w:rPr>
          <w:sz w:val="24"/>
          <w:szCs w:val="24"/>
        </w:rPr>
        <w:t>, n.1, 2008</w:t>
      </w:r>
    </w:p>
    <w:p w:rsidR="00D24E61" w:rsidRPr="00771368" w:rsidRDefault="00D24E61">
      <w:pPr>
        <w:spacing w:line="200" w:lineRule="exact"/>
        <w:rPr>
          <w:sz w:val="20"/>
          <w:szCs w:val="20"/>
        </w:rPr>
      </w:pPr>
    </w:p>
    <w:p w:rsidR="00D24E61" w:rsidRPr="00771368" w:rsidRDefault="00D24E61">
      <w:pPr>
        <w:spacing w:line="271" w:lineRule="exact"/>
        <w:rPr>
          <w:sz w:val="20"/>
          <w:szCs w:val="20"/>
        </w:rPr>
      </w:pPr>
    </w:p>
    <w:p w:rsidR="00D24E61" w:rsidRPr="00771368" w:rsidRDefault="00D24E61">
      <w:pPr>
        <w:spacing w:line="223" w:lineRule="auto"/>
        <w:jc w:val="both"/>
        <w:rPr>
          <w:sz w:val="20"/>
          <w:szCs w:val="20"/>
        </w:rPr>
      </w:pPr>
      <w:r w:rsidRPr="00771368">
        <w:rPr>
          <w:sz w:val="24"/>
          <w:szCs w:val="24"/>
        </w:rPr>
        <w:t xml:space="preserve">FINCO, D. Relações de gênero nas brincadeiras de meninos e meninas na Educação Infantil. Proposições, </w:t>
      </w:r>
      <w:r w:rsidRPr="00771368">
        <w:rPr>
          <w:b/>
          <w:bCs/>
          <w:sz w:val="24"/>
          <w:szCs w:val="24"/>
        </w:rPr>
        <w:t>Dossiê: Educação Infantil e gênero</w:t>
      </w:r>
      <w:r w:rsidRPr="00771368">
        <w:rPr>
          <w:sz w:val="24"/>
          <w:szCs w:val="24"/>
        </w:rPr>
        <w:t>, vol.14, nº 3,ano 42, p. 89-102, 2003.</w:t>
      </w:r>
    </w:p>
    <w:p w:rsidR="00D24E61" w:rsidRPr="00771368" w:rsidRDefault="00D24E61">
      <w:pPr>
        <w:spacing w:line="200" w:lineRule="exact"/>
        <w:rPr>
          <w:sz w:val="20"/>
          <w:szCs w:val="20"/>
        </w:rPr>
      </w:pPr>
    </w:p>
    <w:p w:rsidR="00D24E61" w:rsidRPr="00771368" w:rsidRDefault="00D24E61">
      <w:pPr>
        <w:spacing w:line="274" w:lineRule="exact"/>
        <w:rPr>
          <w:sz w:val="20"/>
          <w:szCs w:val="20"/>
        </w:rPr>
      </w:pPr>
    </w:p>
    <w:p w:rsidR="00D24E61" w:rsidRPr="00771368" w:rsidRDefault="00D24E61">
      <w:pPr>
        <w:spacing w:line="223" w:lineRule="auto"/>
        <w:jc w:val="both"/>
        <w:rPr>
          <w:sz w:val="20"/>
          <w:szCs w:val="20"/>
        </w:rPr>
      </w:pPr>
      <w:r w:rsidRPr="00771368">
        <w:rPr>
          <w:sz w:val="24"/>
          <w:szCs w:val="24"/>
        </w:rPr>
        <w:t xml:space="preserve">__________. Encontrando nas brincadeiras as múltiplas formas de ser menino e de ser menina. </w:t>
      </w:r>
      <w:r w:rsidRPr="00771368">
        <w:rPr>
          <w:b/>
          <w:bCs/>
          <w:sz w:val="24"/>
          <w:szCs w:val="24"/>
        </w:rPr>
        <w:t>Pátio Educação Infantil, Faz-de-conta na escola: a importância do brincar</w:t>
      </w:r>
      <w:r w:rsidRPr="00771368">
        <w:rPr>
          <w:sz w:val="24"/>
          <w:szCs w:val="24"/>
        </w:rPr>
        <w:t>, n.3, nov/ 2003.</w:t>
      </w:r>
    </w:p>
    <w:p w:rsidR="00D24E61" w:rsidRPr="00771368" w:rsidRDefault="00D24E61">
      <w:pPr>
        <w:spacing w:line="200" w:lineRule="exact"/>
        <w:rPr>
          <w:sz w:val="20"/>
          <w:szCs w:val="20"/>
        </w:rPr>
      </w:pPr>
    </w:p>
    <w:p w:rsidR="00D24E61" w:rsidRPr="00771368" w:rsidRDefault="00D24E61">
      <w:pPr>
        <w:spacing w:line="272" w:lineRule="exact"/>
        <w:rPr>
          <w:sz w:val="20"/>
          <w:szCs w:val="20"/>
        </w:rPr>
      </w:pPr>
    </w:p>
    <w:p w:rsidR="00D24E61" w:rsidRPr="00771368" w:rsidRDefault="00D24E61">
      <w:pPr>
        <w:spacing w:line="214" w:lineRule="auto"/>
        <w:jc w:val="both"/>
        <w:rPr>
          <w:sz w:val="20"/>
          <w:szCs w:val="20"/>
        </w:rPr>
      </w:pPr>
      <w:r w:rsidRPr="00771368">
        <w:rPr>
          <w:sz w:val="24"/>
          <w:szCs w:val="24"/>
        </w:rPr>
        <w:t xml:space="preserve">FLEURI, R. M. Intercultura e Educação. </w:t>
      </w:r>
      <w:r w:rsidRPr="00771368">
        <w:rPr>
          <w:b/>
          <w:bCs/>
          <w:sz w:val="24"/>
          <w:szCs w:val="24"/>
        </w:rPr>
        <w:t>Revista Brasileira de Educação</w:t>
      </w:r>
      <w:r w:rsidRPr="00771368">
        <w:rPr>
          <w:sz w:val="24"/>
          <w:szCs w:val="24"/>
        </w:rPr>
        <w:t>, Rio de Janeiro, n. 23, p. 16-35, 2003.</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214" w:lineRule="auto"/>
        <w:jc w:val="both"/>
        <w:rPr>
          <w:sz w:val="20"/>
          <w:szCs w:val="20"/>
        </w:rPr>
      </w:pPr>
      <w:r w:rsidRPr="00771368">
        <w:rPr>
          <w:sz w:val="24"/>
          <w:szCs w:val="24"/>
        </w:rPr>
        <w:t xml:space="preserve">FOUCAULT, Michel. </w:t>
      </w:r>
      <w:r w:rsidRPr="00771368">
        <w:rPr>
          <w:b/>
          <w:bCs/>
          <w:sz w:val="24"/>
          <w:szCs w:val="24"/>
        </w:rPr>
        <w:t>Em defesa da sociedade:</w:t>
      </w:r>
      <w:r w:rsidRPr="00771368">
        <w:rPr>
          <w:sz w:val="24"/>
          <w:szCs w:val="24"/>
        </w:rPr>
        <w:t xml:space="preserve"> Curso no Collège de France (1975-1976). 4 ed. São Paulo: Martins Fontes, 2005.</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214" w:lineRule="auto"/>
        <w:jc w:val="both"/>
        <w:rPr>
          <w:sz w:val="20"/>
          <w:szCs w:val="20"/>
        </w:rPr>
      </w:pPr>
      <w:r w:rsidRPr="00771368">
        <w:rPr>
          <w:sz w:val="24"/>
          <w:szCs w:val="24"/>
        </w:rPr>
        <w:t>LARAIA, R. B. Cultura: um conceito antropológico. 15 ed. Rio de Janeiro: Jorge Zahar, 2002.</w:t>
      </w:r>
    </w:p>
    <w:p w:rsidR="00D24E61" w:rsidRPr="00771368" w:rsidRDefault="00D24E61">
      <w:pPr>
        <w:sectPr w:rsidR="00D24E61" w:rsidRPr="00771368">
          <w:pgSz w:w="11900" w:h="16838"/>
          <w:pgMar w:top="1440" w:right="1400" w:bottom="1440" w:left="1700" w:header="0" w:footer="0" w:gutter="0"/>
          <w:cols w:space="720" w:equalWidth="0">
            <w:col w:w="8800"/>
          </w:cols>
        </w:sectPr>
      </w:pPr>
    </w:p>
    <w:p w:rsidR="00D24E61" w:rsidRPr="00771368" w:rsidRDefault="00D24E61">
      <w:pPr>
        <w:spacing w:line="310"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LOURO, G. L. </w:t>
      </w:r>
      <w:r w:rsidRPr="00771368">
        <w:rPr>
          <w:b/>
          <w:bCs/>
          <w:sz w:val="24"/>
          <w:szCs w:val="24"/>
        </w:rPr>
        <w:t>Gênero, sexualidade e educação</w:t>
      </w:r>
      <w:r w:rsidRPr="00771368">
        <w:rPr>
          <w:sz w:val="24"/>
          <w:szCs w:val="24"/>
        </w:rPr>
        <w:t>: uma perspectiva pós-estruturalista. 6 ed. Rio de Janeiro: Vozes, 2003.</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____________. </w:t>
      </w:r>
      <w:r w:rsidRPr="00771368">
        <w:rPr>
          <w:b/>
          <w:bCs/>
          <w:sz w:val="24"/>
          <w:szCs w:val="24"/>
        </w:rPr>
        <w:t>Um Corpo Estranho</w:t>
      </w:r>
      <w:r w:rsidRPr="00771368">
        <w:rPr>
          <w:sz w:val="24"/>
          <w:szCs w:val="24"/>
        </w:rPr>
        <w:t>: ensaios sobre sexualidade e teoria queer. Belo Horizonte: Autêntica, 2004.</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214" w:lineRule="auto"/>
        <w:jc w:val="both"/>
        <w:rPr>
          <w:sz w:val="20"/>
          <w:szCs w:val="20"/>
        </w:rPr>
      </w:pPr>
      <w:r w:rsidRPr="00771368">
        <w:rPr>
          <w:sz w:val="24"/>
          <w:szCs w:val="24"/>
        </w:rPr>
        <w:t xml:space="preserve">___________. Gênero e Sexualidade – As Múltiplas “Verdades” da Contemporaneidade. </w:t>
      </w:r>
      <w:r w:rsidRPr="00771368">
        <w:rPr>
          <w:b/>
          <w:bCs/>
          <w:sz w:val="24"/>
          <w:szCs w:val="24"/>
        </w:rPr>
        <w:t>Palestra</w:t>
      </w:r>
      <w:r w:rsidRPr="00771368">
        <w:rPr>
          <w:sz w:val="24"/>
          <w:szCs w:val="24"/>
        </w:rPr>
        <w:t>. Trabalho apresentado em mesa-redonda no II Congresso Internacional Cotidiano</w:t>
      </w:r>
    </w:p>
    <w:p w:rsidR="00D24E61" w:rsidRPr="00771368" w:rsidRDefault="00D24E61">
      <w:pPr>
        <w:spacing w:line="60" w:lineRule="exact"/>
        <w:rPr>
          <w:sz w:val="20"/>
          <w:szCs w:val="20"/>
        </w:rPr>
      </w:pPr>
    </w:p>
    <w:p w:rsidR="00D24E61" w:rsidRPr="00771368" w:rsidRDefault="00D24E61">
      <w:pPr>
        <w:spacing w:line="223" w:lineRule="auto"/>
        <w:ind w:right="20"/>
        <w:jc w:val="both"/>
        <w:rPr>
          <w:sz w:val="20"/>
          <w:szCs w:val="20"/>
        </w:rPr>
      </w:pPr>
      <w:r w:rsidRPr="00771368">
        <w:rPr>
          <w:sz w:val="24"/>
          <w:szCs w:val="24"/>
        </w:rPr>
        <w:t>– Diálogos sobre Diálogos realizado em 06/03/2008. Disponível em: &lt; http://www.grupalfa.com.br/arquivos/ Congresso_trabalhosII/palestras/Guacira.pdf&gt;. Acesso em 12 set 2013.</w:t>
      </w:r>
    </w:p>
    <w:p w:rsidR="00D24E61" w:rsidRPr="00771368" w:rsidRDefault="00D24E61">
      <w:pPr>
        <w:spacing w:line="200" w:lineRule="exact"/>
        <w:rPr>
          <w:sz w:val="20"/>
          <w:szCs w:val="20"/>
        </w:rPr>
      </w:pPr>
    </w:p>
    <w:p w:rsidR="00D24E61" w:rsidRPr="00771368" w:rsidRDefault="00D24E61">
      <w:pPr>
        <w:spacing w:line="272"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______________. Feminilidades na pós-modernidade. Labrys. </w:t>
      </w:r>
      <w:r w:rsidRPr="00771368">
        <w:rPr>
          <w:b/>
          <w:bCs/>
          <w:sz w:val="24"/>
          <w:szCs w:val="24"/>
        </w:rPr>
        <w:t>Estudos feministas</w:t>
      </w:r>
      <w:r w:rsidRPr="00771368">
        <w:rPr>
          <w:sz w:val="24"/>
          <w:szCs w:val="24"/>
        </w:rPr>
        <w:t xml:space="preserve"> </w:t>
      </w:r>
      <w:r w:rsidRPr="00771368">
        <w:rPr>
          <w:b/>
          <w:bCs/>
          <w:sz w:val="24"/>
          <w:szCs w:val="24"/>
        </w:rPr>
        <w:t>(Online)</w:t>
      </w:r>
      <w:r w:rsidRPr="00771368">
        <w:rPr>
          <w:sz w:val="24"/>
          <w:szCs w:val="24"/>
        </w:rPr>
        <w:t>, v. 10, 2006. Disponível em: &lt; http://www.unb.br/ih/his/gefem</w:t>
      </w:r>
      <w:r w:rsidRPr="00771368">
        <w:rPr>
          <w:b/>
          <w:bCs/>
          <w:sz w:val="24"/>
          <w:szCs w:val="24"/>
        </w:rPr>
        <w:t xml:space="preserve"> </w:t>
      </w:r>
      <w:r w:rsidRPr="00771368">
        <w:rPr>
          <w:sz w:val="24"/>
          <w:szCs w:val="24"/>
        </w:rPr>
        <w:t>/labrys10/riogrande/guacira.htm&gt; Acesso em 20 set. de 2013.</w:t>
      </w:r>
    </w:p>
    <w:p w:rsidR="00D24E61" w:rsidRPr="00771368" w:rsidRDefault="00D24E61">
      <w:pPr>
        <w:spacing w:line="200" w:lineRule="exact"/>
        <w:rPr>
          <w:sz w:val="20"/>
          <w:szCs w:val="20"/>
        </w:rPr>
      </w:pPr>
    </w:p>
    <w:p w:rsidR="00D24E61" w:rsidRPr="00771368" w:rsidRDefault="00D24E61">
      <w:pPr>
        <w:spacing w:line="274"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MORANTE, A. D. T.; GASPARIN, J. L. Multiculturalismo e educação: um desafio histórico para escola. In.: VII Seminário Nacional de Estudos e Pesquisas – História, Sociedade e Educação no Brasil, </w:t>
      </w:r>
      <w:r w:rsidRPr="00771368">
        <w:rPr>
          <w:b/>
          <w:bCs/>
          <w:sz w:val="24"/>
          <w:szCs w:val="24"/>
        </w:rPr>
        <w:t>Anais...</w:t>
      </w:r>
      <w:r w:rsidRPr="00771368">
        <w:rPr>
          <w:sz w:val="24"/>
          <w:szCs w:val="24"/>
        </w:rPr>
        <w:t>, Campinas, UNICAMP, julho, 2006.</w:t>
      </w:r>
    </w:p>
    <w:p w:rsidR="00D24E61" w:rsidRPr="00771368" w:rsidRDefault="00D24E61">
      <w:pPr>
        <w:spacing w:line="216" w:lineRule="exact"/>
        <w:rPr>
          <w:sz w:val="20"/>
          <w:szCs w:val="20"/>
        </w:rPr>
      </w:pPr>
    </w:p>
    <w:p w:rsidR="00D24E61" w:rsidRPr="00771368" w:rsidRDefault="00D24E61">
      <w:pPr>
        <w:rPr>
          <w:sz w:val="20"/>
          <w:szCs w:val="20"/>
        </w:rPr>
      </w:pPr>
      <w:r w:rsidRPr="00771368">
        <w:rPr>
          <w:sz w:val="24"/>
          <w:szCs w:val="24"/>
        </w:rPr>
        <w:t xml:space="preserve">MCLAREN, P. </w:t>
      </w:r>
      <w:r w:rsidRPr="00771368">
        <w:rPr>
          <w:b/>
          <w:bCs/>
          <w:sz w:val="24"/>
          <w:szCs w:val="24"/>
        </w:rPr>
        <w:t>Multiculturalismo crítico</w:t>
      </w:r>
      <w:r w:rsidRPr="00771368">
        <w:rPr>
          <w:sz w:val="24"/>
          <w:szCs w:val="24"/>
        </w:rPr>
        <w:t>. São Paulo: Cortez, 1997.</w:t>
      </w:r>
    </w:p>
    <w:p w:rsidR="00D24E61" w:rsidRPr="00771368" w:rsidRDefault="00D24E61">
      <w:pPr>
        <w:spacing w:line="200" w:lineRule="exact"/>
        <w:rPr>
          <w:sz w:val="20"/>
          <w:szCs w:val="20"/>
        </w:rPr>
      </w:pPr>
    </w:p>
    <w:p w:rsidR="00D24E61" w:rsidRPr="00771368" w:rsidRDefault="00D24E61">
      <w:pPr>
        <w:spacing w:line="208"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MOITA LOPES, L. P. </w:t>
      </w:r>
      <w:r w:rsidRPr="00771368">
        <w:rPr>
          <w:b/>
          <w:bCs/>
          <w:sz w:val="24"/>
          <w:szCs w:val="24"/>
        </w:rPr>
        <w:t>Identidades Fragmentadas:</w:t>
      </w:r>
      <w:r w:rsidRPr="00771368">
        <w:rPr>
          <w:sz w:val="24"/>
          <w:szCs w:val="24"/>
        </w:rPr>
        <w:t xml:space="preserve"> a construção discursiva de raça, gênero e sexualidade em sala de aula. Campinas, SP: Mercado de Letras, 2002.</w:t>
      </w:r>
    </w:p>
    <w:p w:rsidR="00D24E61" w:rsidRPr="00771368" w:rsidRDefault="00D24E61">
      <w:pPr>
        <w:spacing w:line="273" w:lineRule="exact"/>
        <w:rPr>
          <w:sz w:val="20"/>
          <w:szCs w:val="20"/>
        </w:rPr>
      </w:pPr>
    </w:p>
    <w:p w:rsidR="00D24E61" w:rsidRPr="00771368" w:rsidRDefault="00D24E61">
      <w:pPr>
        <w:spacing w:line="214" w:lineRule="auto"/>
        <w:jc w:val="both"/>
        <w:rPr>
          <w:sz w:val="20"/>
          <w:szCs w:val="20"/>
        </w:rPr>
      </w:pPr>
      <w:r w:rsidRPr="00771368">
        <w:rPr>
          <w:sz w:val="24"/>
          <w:szCs w:val="24"/>
        </w:rPr>
        <w:t>MORAES, M. L.Q. Usos e limites da categoria gênero. Cadernos Pagu, v11, 1998, p.99-105.</w:t>
      </w:r>
    </w:p>
    <w:p w:rsidR="00D24E61" w:rsidRPr="00771368" w:rsidRDefault="00D24E61">
      <w:pPr>
        <w:spacing w:line="275"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NUNES, C.; SILVA, E. </w:t>
      </w:r>
      <w:r w:rsidRPr="00771368">
        <w:rPr>
          <w:b/>
          <w:bCs/>
          <w:sz w:val="24"/>
          <w:szCs w:val="24"/>
        </w:rPr>
        <w:t>A educação sexual da criança</w:t>
      </w:r>
      <w:r w:rsidRPr="00771368">
        <w:rPr>
          <w:sz w:val="24"/>
          <w:szCs w:val="24"/>
        </w:rPr>
        <w:t>: polêmicas do nosso tempo. Campinas, SP: Autores associados, 2000.</w:t>
      </w:r>
    </w:p>
    <w:p w:rsidR="00D24E61" w:rsidRPr="00771368" w:rsidRDefault="00D24E61">
      <w:pPr>
        <w:spacing w:line="200"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RIBEIRO, W. G.; CORREA, A. C. Multiculturalismo e planejamento: contribuições e conjecturas em discussão. In.: XVI ENDIPE – Encontro Nacional de Didática e Prática de Ensino, </w:t>
      </w:r>
      <w:r w:rsidRPr="00771368">
        <w:rPr>
          <w:b/>
          <w:bCs/>
          <w:sz w:val="24"/>
          <w:szCs w:val="24"/>
        </w:rPr>
        <w:t>Anais...,</w:t>
      </w:r>
      <w:r w:rsidRPr="00771368">
        <w:rPr>
          <w:sz w:val="24"/>
          <w:szCs w:val="24"/>
        </w:rPr>
        <w:t xml:space="preserve"> UNICAMP, Campinas, 2012.</w:t>
      </w:r>
    </w:p>
    <w:p w:rsidR="00D24E61" w:rsidRPr="00771368" w:rsidRDefault="00D24E61">
      <w:pPr>
        <w:spacing w:line="275" w:lineRule="exact"/>
        <w:rPr>
          <w:sz w:val="20"/>
          <w:szCs w:val="20"/>
        </w:rPr>
      </w:pPr>
    </w:p>
    <w:p w:rsidR="00D24E61" w:rsidRPr="00771368" w:rsidRDefault="00D24E61">
      <w:pPr>
        <w:spacing w:line="223" w:lineRule="auto"/>
        <w:jc w:val="both"/>
        <w:rPr>
          <w:sz w:val="20"/>
          <w:szCs w:val="20"/>
        </w:rPr>
      </w:pPr>
      <w:r w:rsidRPr="00771368">
        <w:rPr>
          <w:sz w:val="24"/>
          <w:szCs w:val="24"/>
        </w:rPr>
        <w:t xml:space="preserve">SANTOS, C. et. al. Diversidade sexual na escola e a homofobia: a capacitação de professores como estratégia de intervenção. In.: </w:t>
      </w:r>
      <w:r w:rsidRPr="00771368">
        <w:rPr>
          <w:b/>
          <w:bCs/>
          <w:sz w:val="24"/>
          <w:szCs w:val="24"/>
        </w:rPr>
        <w:t>Fazendo Gênero 8</w:t>
      </w:r>
      <w:r w:rsidRPr="00771368">
        <w:rPr>
          <w:sz w:val="24"/>
          <w:szCs w:val="24"/>
        </w:rPr>
        <w:t xml:space="preserve"> </w:t>
      </w:r>
      <w:r w:rsidRPr="00771368">
        <w:rPr>
          <w:b/>
          <w:bCs/>
          <w:sz w:val="24"/>
          <w:szCs w:val="24"/>
        </w:rPr>
        <w:t>–</w:t>
      </w:r>
      <w:r w:rsidRPr="00771368">
        <w:rPr>
          <w:sz w:val="24"/>
          <w:szCs w:val="24"/>
        </w:rPr>
        <w:t xml:space="preserve"> </w:t>
      </w:r>
      <w:r w:rsidRPr="00771368">
        <w:rPr>
          <w:b/>
          <w:bCs/>
          <w:sz w:val="24"/>
          <w:szCs w:val="24"/>
        </w:rPr>
        <w:t>Corpo, Violência e</w:t>
      </w:r>
      <w:r w:rsidRPr="00771368">
        <w:rPr>
          <w:sz w:val="24"/>
          <w:szCs w:val="24"/>
        </w:rPr>
        <w:t xml:space="preserve"> </w:t>
      </w:r>
      <w:r w:rsidRPr="00771368">
        <w:rPr>
          <w:b/>
          <w:bCs/>
          <w:sz w:val="24"/>
          <w:szCs w:val="24"/>
        </w:rPr>
        <w:t xml:space="preserve">Poder, </w:t>
      </w:r>
      <w:r w:rsidRPr="00771368">
        <w:rPr>
          <w:sz w:val="24"/>
          <w:szCs w:val="24"/>
        </w:rPr>
        <w:t>Florianópolis, 2008.</w:t>
      </w:r>
    </w:p>
    <w:p w:rsidR="00D24E61" w:rsidRPr="00771368" w:rsidRDefault="00D24E61">
      <w:pPr>
        <w:spacing w:line="200"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SIQUEIRA, H. S. G.; PEREIRA, M. A. O sentido da autonomia no processo de globalização. </w:t>
      </w:r>
      <w:r w:rsidRPr="00771368">
        <w:rPr>
          <w:b/>
          <w:bCs/>
          <w:sz w:val="24"/>
          <w:szCs w:val="24"/>
        </w:rPr>
        <w:t>Revista educação,</w:t>
      </w:r>
      <w:r w:rsidRPr="00771368">
        <w:rPr>
          <w:sz w:val="24"/>
          <w:szCs w:val="24"/>
        </w:rPr>
        <w:t xml:space="preserve"> Centro de educação, Universidade Federal de Santa Maria-RS, v. 22, n. 02, 1998.</w:t>
      </w:r>
    </w:p>
    <w:p w:rsidR="00D24E61" w:rsidRPr="00771368" w:rsidRDefault="00D24E61">
      <w:pPr>
        <w:spacing w:line="310"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SILVA, M. J. A.; BRANDIN, M. R.L. Multiculturalismo e educação: em defesa da diversidade cultural, </w:t>
      </w:r>
      <w:r w:rsidRPr="00771368">
        <w:rPr>
          <w:b/>
          <w:bCs/>
          <w:sz w:val="24"/>
          <w:szCs w:val="24"/>
        </w:rPr>
        <w:t>Revista Diversa</w:t>
      </w:r>
      <w:r w:rsidRPr="00771368">
        <w:rPr>
          <w:sz w:val="24"/>
          <w:szCs w:val="24"/>
        </w:rPr>
        <w:t>, ano 1, n.1, jan./jun., 2008, p. 51-66.</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214" w:lineRule="auto"/>
        <w:jc w:val="both"/>
        <w:rPr>
          <w:sz w:val="20"/>
          <w:szCs w:val="20"/>
        </w:rPr>
      </w:pPr>
      <w:r w:rsidRPr="00771368">
        <w:rPr>
          <w:sz w:val="24"/>
          <w:szCs w:val="24"/>
        </w:rPr>
        <w:t xml:space="preserve">SCOTT, J. Gênero: uma categoria útil de análise histórica. </w:t>
      </w:r>
      <w:r w:rsidRPr="00771368">
        <w:rPr>
          <w:b/>
          <w:bCs/>
          <w:sz w:val="24"/>
          <w:szCs w:val="24"/>
        </w:rPr>
        <w:t>Educação e Realidade</w:t>
      </w:r>
      <w:r w:rsidRPr="00771368">
        <w:rPr>
          <w:sz w:val="24"/>
          <w:szCs w:val="24"/>
        </w:rPr>
        <w:t>, jul./dez. p. 71–99, 1995.</w:t>
      </w:r>
    </w:p>
    <w:p w:rsidR="00D24E61" w:rsidRPr="00771368" w:rsidRDefault="00D24E61">
      <w:pPr>
        <w:spacing w:line="200"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VIANNA, C.; UNBEHAUM, S. O gênero nas políticas públicas de educação no Brasil: 1988-2002. </w:t>
      </w:r>
      <w:r w:rsidRPr="00771368">
        <w:rPr>
          <w:b/>
          <w:bCs/>
          <w:sz w:val="24"/>
          <w:szCs w:val="24"/>
        </w:rPr>
        <w:t>Cadernos de Pesquisa</w:t>
      </w:r>
      <w:r w:rsidRPr="00771368">
        <w:rPr>
          <w:sz w:val="24"/>
          <w:szCs w:val="24"/>
        </w:rPr>
        <w:t>. São Paulo: Fundação Carlos Chagas/Autores Associados, v.34, n.121, 2004.</w:t>
      </w:r>
    </w:p>
    <w:p w:rsidR="00D24E61" w:rsidRPr="00771368" w:rsidRDefault="00D24E61">
      <w:pPr>
        <w:pStyle w:val="Corpodetexto"/>
        <w:spacing w:before="0" w:after="0" w:line="360" w:lineRule="auto"/>
        <w:jc w:val="center"/>
      </w:pPr>
      <w:r w:rsidRPr="00771368">
        <w:rPr>
          <w:b/>
          <w:bCs/>
          <w:color w:val="000000"/>
        </w:rPr>
        <w:t>DAS NECESSIDADES HISTÓRICAS PARA A CRIAÇÃO DA L</w:t>
      </w:r>
      <w:r w:rsidRPr="00771368">
        <w:rPr>
          <w:b/>
          <w:bCs/>
          <w:color w:val="000000"/>
          <w:lang w:val="it-IT"/>
        </w:rPr>
        <w:t>EI</w:t>
      </w:r>
      <w:r w:rsidRPr="00771368">
        <w:rPr>
          <w:b/>
          <w:bCs/>
          <w:color w:val="000000"/>
        </w:rPr>
        <w:t xml:space="preserve"> MARIA DA PENHA</w:t>
      </w:r>
      <w:r w:rsidRPr="00771368">
        <w:rPr>
          <w:rStyle w:val="Refdenotaderodap"/>
          <w:b/>
          <w:bCs/>
          <w:color w:val="000000"/>
        </w:rPr>
        <w:footnoteReference w:id="126"/>
      </w:r>
    </w:p>
    <w:p w:rsidR="00D24E61" w:rsidRPr="00771368" w:rsidRDefault="00D24E61">
      <w:pPr>
        <w:pStyle w:val="Corpodetexto"/>
        <w:spacing w:before="0" w:after="0" w:line="360" w:lineRule="auto"/>
        <w:jc w:val="both"/>
      </w:pPr>
    </w:p>
    <w:p w:rsidR="00D24E61" w:rsidRPr="00771368" w:rsidRDefault="00D24E61">
      <w:pPr>
        <w:pStyle w:val="Corpodetexto"/>
        <w:spacing w:before="0" w:after="0" w:line="360" w:lineRule="auto"/>
        <w:jc w:val="both"/>
        <w:rPr>
          <w:b/>
          <w:bCs/>
          <w:color w:val="000000"/>
        </w:rPr>
      </w:pPr>
      <w:bookmarkStart w:id="66" w:name="_Toc442034755"/>
      <w:r w:rsidRPr="00905360">
        <w:rPr>
          <w:rStyle w:val="Ttulo1Char"/>
        </w:rPr>
        <w:t>Andréia Márcia de Castro Galvão</w:t>
      </w:r>
      <w:bookmarkEnd w:id="66"/>
      <w:r w:rsidRPr="00771368">
        <w:rPr>
          <w:color w:val="000000"/>
        </w:rPr>
        <w:t>,</w:t>
      </w:r>
      <w:r w:rsidRPr="00771368">
        <w:rPr>
          <w:bCs/>
          <w:color w:val="000000"/>
        </w:rPr>
        <w:t xml:space="preserve"> aluna do Programa de Pós-Graduação Stricto-Sensu em Territórios e Expressões Culturais do Cerrado da Universidade Estadual de Goiás.</w:t>
      </w:r>
      <w:r w:rsidRPr="00771368">
        <w:rPr>
          <w:b/>
          <w:bCs/>
          <w:color w:val="000000"/>
        </w:rPr>
        <w:t xml:space="preserve"> </w:t>
      </w:r>
    </w:p>
    <w:p w:rsidR="00D24E61" w:rsidRPr="00771368" w:rsidRDefault="00D24E61">
      <w:pPr>
        <w:pStyle w:val="Corpodetexto"/>
        <w:spacing w:before="0" w:after="0" w:line="100" w:lineRule="atLeast"/>
        <w:rPr>
          <w:b/>
          <w:bCs/>
          <w:color w:val="000000"/>
        </w:rPr>
      </w:pPr>
    </w:p>
    <w:p w:rsidR="00D24E61" w:rsidRPr="00771368" w:rsidRDefault="00D24E61">
      <w:pPr>
        <w:pStyle w:val="Corpodetexto"/>
        <w:spacing w:before="0" w:after="0" w:line="360" w:lineRule="auto"/>
        <w:rPr>
          <w:color w:val="000000"/>
          <w:shd w:val="clear" w:color="auto" w:fill="FFFFFF"/>
        </w:rPr>
      </w:pPr>
      <w:r w:rsidRPr="00771368">
        <w:rPr>
          <w:b/>
          <w:bCs/>
          <w:color w:val="000000"/>
        </w:rPr>
        <w:t>Introdução</w:t>
      </w:r>
    </w:p>
    <w:p w:rsidR="00D24E61" w:rsidRPr="00771368" w:rsidRDefault="00D24E61">
      <w:pPr>
        <w:spacing w:line="360" w:lineRule="auto"/>
        <w:ind w:firstLine="850"/>
        <w:jc w:val="both"/>
        <w:rPr>
          <w:color w:val="000000"/>
        </w:rPr>
      </w:pPr>
      <w:r w:rsidRPr="00771368">
        <w:rPr>
          <w:color w:val="000000"/>
          <w:shd w:val="clear" w:color="auto" w:fill="FFFFFF"/>
        </w:rPr>
        <w:t>Este artigo analisa as motivações históricas</w:t>
      </w:r>
      <w:r w:rsidRPr="00771368">
        <w:rPr>
          <w:rStyle w:val="Caracteresdenotaderodap"/>
          <w:color w:val="000000"/>
          <w:shd w:val="clear" w:color="auto" w:fill="FFFFFF"/>
        </w:rPr>
        <w:footnoteReference w:id="127"/>
      </w:r>
      <w:r w:rsidRPr="00771368">
        <w:rPr>
          <w:color w:val="000000"/>
          <w:shd w:val="clear" w:color="auto" w:fill="FFFFFF"/>
        </w:rPr>
        <w:t xml:space="preserve"> que levaram à implantação da Lei 11.340</w:t>
      </w:r>
      <w:r w:rsidRPr="00771368">
        <w:rPr>
          <w:color w:val="000000"/>
          <w:shd w:val="clear" w:color="auto" w:fill="FFFFFF"/>
          <w:lang w:val="it-IT"/>
        </w:rPr>
        <w:t>/</w:t>
      </w:r>
      <w:r w:rsidRPr="00771368">
        <w:rPr>
          <w:color w:val="000000"/>
          <w:shd w:val="clear" w:color="auto" w:fill="FFFFFF"/>
        </w:rPr>
        <w:t>06</w:t>
      </w:r>
      <w:r w:rsidRPr="00771368">
        <w:rPr>
          <w:rStyle w:val="Refdenotaderodap"/>
          <w:color w:val="000000"/>
          <w:shd w:val="clear" w:color="auto" w:fill="FFFFFF"/>
        </w:rPr>
        <w:footnoteReference w:id="128"/>
      </w:r>
      <w:r w:rsidRPr="00771368">
        <w:rPr>
          <w:color w:val="000000"/>
          <w:shd w:val="clear" w:color="auto" w:fill="FFFFFF"/>
        </w:rPr>
        <w:t xml:space="preserve"> na tentativa de promover uma discussão acerca </w:t>
      </w:r>
      <w:r w:rsidRPr="00905360">
        <w:rPr>
          <w:color w:val="000000"/>
          <w:u w:val="single"/>
          <w:shd w:val="clear" w:color="auto" w:fill="FFFFFF"/>
        </w:rPr>
        <w:t>dos</w:t>
      </w:r>
      <w:r w:rsidRPr="00771368">
        <w:rPr>
          <w:color w:val="000000"/>
          <w:shd w:val="clear" w:color="auto" w:fill="FFFFFF"/>
        </w:rPr>
        <w:t xml:space="preserve"> impasses provocados pela sua aprovação no âmbito jurídico. Buscamos compreender se o Estado vem oferecendo os recursos e mecanismos necessários e cabíveis para a efetivação da Lei, que se propõe a romper com o ciclo de violências contra mulheres por meio de medidas punitivas mais severas e imediatas contra os</w:t>
      </w:r>
      <w:r w:rsidRPr="00771368">
        <w:rPr>
          <w:color w:val="000000"/>
          <w:shd w:val="clear" w:color="auto" w:fill="FFFFFF"/>
          <w:lang w:val="it-IT"/>
        </w:rPr>
        <w:t>/</w:t>
      </w:r>
      <w:r w:rsidRPr="00771368">
        <w:rPr>
          <w:color w:val="000000"/>
          <w:shd w:val="clear" w:color="auto" w:fill="FFFFFF"/>
        </w:rPr>
        <w:t>as agressores/as.</w:t>
      </w:r>
    </w:p>
    <w:p w:rsidR="00D24E61" w:rsidRPr="00771368" w:rsidRDefault="00D24E61">
      <w:pPr>
        <w:spacing w:line="360" w:lineRule="auto"/>
        <w:ind w:firstLine="850"/>
        <w:jc w:val="both"/>
        <w:rPr>
          <w:color w:val="000000"/>
        </w:rPr>
      </w:pPr>
      <w:r w:rsidRPr="00771368">
        <w:rPr>
          <w:color w:val="000000"/>
        </w:rPr>
        <w:t xml:space="preserve">Para ilustrar a prática da violência doméstica e familiar exercida contra mulheres no Brasil poderíamos narrar a história de Marias, Luzias, Joanas ou Marlenes posto que, esse tipo de violência se configura em fato corriqueiro na vida de tantas delas. Nossa escolha em narrar a história de Maria da Penha Maia Fernandes não é porém, aleatória. Ela protagonizou um dos casos de violência que se tornou símbolo de luta e perseverança nacional. </w:t>
      </w:r>
      <w:r w:rsidRPr="00771368">
        <w:rPr>
          <w:rFonts w:eastAsia="FrutigerLT-LightCn"/>
          <w:color w:val="000000"/>
        </w:rPr>
        <w:t>Maria</w:t>
      </w:r>
      <w:r w:rsidRPr="00771368">
        <w:rPr>
          <w:color w:val="000000"/>
        </w:rPr>
        <w:t xml:space="preserve"> da Penha sofreu violência psicológica e verbal durante vários anos pelo seu então marido. As agressões foram tomando proporções cada vez maiores até que, em maio de </w:t>
      </w:r>
      <w:r w:rsidRPr="00771368">
        <w:rPr>
          <w:rFonts w:eastAsia="FrutigerLT-LightCn"/>
          <w:color w:val="000000"/>
        </w:rPr>
        <w:t>1983,</w:t>
      </w:r>
      <w:r w:rsidRPr="00771368">
        <w:rPr>
          <w:color w:val="000000"/>
        </w:rPr>
        <w:t xml:space="preserve"> ele tentou matá-la com um tiro, alegando um assalto no qual ambos foram ferido</w:t>
      </w:r>
      <w:r w:rsidRPr="00771368">
        <w:rPr>
          <w:rFonts w:eastAsia="FrutigerLT-LightCn"/>
          <w:color w:val="000000"/>
          <w:shd w:val="clear" w:color="auto" w:fill="FFFFFF"/>
        </w:rPr>
        <w:t>s</w:t>
      </w:r>
      <w:r w:rsidRPr="00771368">
        <w:rPr>
          <w:color w:val="000000"/>
          <w:shd w:val="clear" w:color="auto" w:fill="FFFFFF"/>
        </w:rPr>
        <w:t xml:space="preserve"> (ele simulou em si mesmo um ferimento com faca). </w:t>
      </w:r>
      <w:r w:rsidRPr="00771368">
        <w:rPr>
          <w:rFonts w:eastAsia="FrutigerLT-LightCn"/>
          <w:color w:val="000000"/>
        </w:rPr>
        <w:t>Este</w:t>
      </w:r>
      <w:r w:rsidRPr="00771368">
        <w:rPr>
          <w:color w:val="000000"/>
        </w:rPr>
        <w:t xml:space="preserve"> episódio custou à Maria cinco meses de tratamentos em hospitais e uma lesão irreversível na coluna, forçando-lhe ao uso permanente de cadeira de rodas. </w:t>
      </w:r>
    </w:p>
    <w:p w:rsidR="00D24E61" w:rsidRPr="00771368" w:rsidRDefault="00D24E61">
      <w:pPr>
        <w:spacing w:line="360" w:lineRule="auto"/>
        <w:ind w:firstLine="850"/>
        <w:jc w:val="both"/>
        <w:rPr>
          <w:color w:val="000000"/>
        </w:rPr>
      </w:pPr>
      <w:r w:rsidRPr="00771368">
        <w:rPr>
          <w:color w:val="000000"/>
        </w:rPr>
        <w:t xml:space="preserve">Apesar de ter sido condenado em dois julgamentos, o autor da violência permaneceu em liberdade graças aos sucessivos recursos de apelação. O caso se arrastou por mais de 15 anos sem uma decisão final de condenação. Após esses longos anos de espera, Maria da Penha – juntamente com </w:t>
      </w:r>
      <w:r w:rsidRPr="00771368">
        <w:rPr>
          <w:rFonts w:eastAsia="FrutigerLT-LightCn"/>
          <w:color w:val="000000"/>
        </w:rPr>
        <w:t>o</w:t>
      </w:r>
      <w:r w:rsidRPr="00771368">
        <w:rPr>
          <w:color w:val="000000"/>
        </w:rPr>
        <w:t xml:space="preserve"> Centro pela Justiça pelo Direito Internacional (CEJIL-Brasil) e o Comitê Latino-Americano do Caribe para Defesa dos Direitos da Mulher (CLADEM-Brasil) – </w:t>
      </w:r>
      <w:r w:rsidRPr="00771368">
        <w:rPr>
          <w:rFonts w:eastAsia="FrutigerLT-LightCn"/>
          <w:color w:val="000000"/>
        </w:rPr>
        <w:t>formalizou</w:t>
      </w:r>
      <w:r w:rsidRPr="00771368">
        <w:rPr>
          <w:color w:val="000000"/>
        </w:rPr>
        <w:t xml:space="preserve"> uma denúncia à Comissão Interamericana de Direitos Humanos da Organização dos Estados Americanos (OEA)</w:t>
      </w:r>
      <w:r w:rsidRPr="00771368">
        <w:rPr>
          <w:rStyle w:val="Caracteresdenotaderodap"/>
          <w:color w:val="000000"/>
        </w:rPr>
        <w:footnoteReference w:id="129"/>
      </w:r>
      <w:r w:rsidRPr="00771368">
        <w:rPr>
          <w:color w:val="000000"/>
        </w:rPr>
        <w:t xml:space="preserve"> contra o Estado brasileiro. Os peticionários denunciaram a tolerância do Estado em relação à violência doméstica sofrida por Maria da Penha e a não adoção de medidas efetivas cabíveis para processar e punir seu agressor.</w:t>
      </w:r>
    </w:p>
    <w:p w:rsidR="00D24E61" w:rsidRPr="00771368" w:rsidRDefault="00D24E61">
      <w:pPr>
        <w:spacing w:line="360" w:lineRule="auto"/>
        <w:ind w:firstLine="855"/>
        <w:jc w:val="both"/>
        <w:rPr>
          <w:rFonts w:eastAsia="FrutigerLT-LightCn"/>
          <w:color w:val="000000"/>
          <w:shd w:val="clear" w:color="auto" w:fill="FFFFFF"/>
        </w:rPr>
      </w:pPr>
      <w:r w:rsidRPr="00771368">
        <w:rPr>
          <w:color w:val="000000"/>
        </w:rPr>
        <w:t xml:space="preserve">O Estado brasileiro foi, então, denunciado pela violação de vários artigos dos tratados internacionais dos quais faz parte, tais como o da Convenção Americana de Direitos Humanos ou Pacto de San José de Costa Rica em seus artigos 1°, 8°, 24° e 25° que </w:t>
      </w:r>
      <w:r w:rsidRPr="00771368">
        <w:rPr>
          <w:rFonts w:eastAsia="FrutigerLT-LightCn"/>
          <w:color w:val="000000"/>
        </w:rPr>
        <w:t>prevêem,</w:t>
      </w:r>
      <w:r w:rsidRPr="00771368">
        <w:rPr>
          <w:color w:val="000000"/>
        </w:rPr>
        <w:t xml:space="preserve"> dentre outras coisas, garantias judiciais, proteção judicial e igualdade perante a lei. Pela Convenção de Belém do Pará, Convenção Interamericana para prevenir, punir e erradicar a violência contra a mulher, foi acusado de violar os artigos 3°, 4°, 5° e 6°, contrariando os direitos protegidos às mulheres, e pela Declaração Americana dos Direitos e Deveres dos Homens nos artigos II que assegura a igualdade perante a lei e o XVIII que permite o recurso aos Tribunais para o cumprimento dos direitos previstos pela constituição, aprovada na IX Conferência Internacional Americana. </w:t>
      </w:r>
    </w:p>
    <w:p w:rsidR="00D24E61" w:rsidRPr="00771368" w:rsidRDefault="00D24E61">
      <w:pPr>
        <w:spacing w:line="360" w:lineRule="auto"/>
        <w:ind w:firstLine="855"/>
        <w:jc w:val="both"/>
        <w:rPr>
          <w:color w:val="000000"/>
          <w:sz w:val="20"/>
          <w:szCs w:val="20"/>
        </w:rPr>
      </w:pPr>
      <w:r w:rsidRPr="00771368">
        <w:rPr>
          <w:rFonts w:eastAsia="FrutigerLT-LightCn"/>
          <w:color w:val="000000"/>
          <w:shd w:val="clear" w:color="auto" w:fill="FFFFFF"/>
        </w:rPr>
        <w:t>Em</w:t>
      </w:r>
      <w:r w:rsidRPr="00771368">
        <w:rPr>
          <w:color w:val="000000"/>
          <w:shd w:val="clear" w:color="auto" w:fill="FFFFFF"/>
        </w:rPr>
        <w:t xml:space="preserve"> 2002 o processo foi encerrado e em 2003 o agressor de Maria da Penha foi preso. </w:t>
      </w:r>
      <w:r w:rsidRPr="00771368">
        <w:rPr>
          <w:rFonts w:eastAsia="FrutigerLT-LightCn"/>
          <w:color w:val="000000"/>
        </w:rPr>
        <w:t>Vejamos</w:t>
      </w:r>
      <w:r w:rsidRPr="00771368">
        <w:rPr>
          <w:color w:val="000000"/>
        </w:rPr>
        <w:t xml:space="preserve"> parte do relatório de seu processo </w:t>
      </w:r>
    </w:p>
    <w:p w:rsidR="00D24E61" w:rsidRPr="00771368" w:rsidRDefault="00D24E61">
      <w:pPr>
        <w:spacing w:line="100" w:lineRule="atLeast"/>
        <w:ind w:left="2250"/>
        <w:jc w:val="both"/>
        <w:rPr>
          <w:color w:val="000000"/>
          <w:sz w:val="20"/>
          <w:szCs w:val="20"/>
        </w:rPr>
      </w:pPr>
    </w:p>
    <w:p w:rsidR="00D24E61" w:rsidRPr="00771368" w:rsidRDefault="00D24E61">
      <w:pPr>
        <w:spacing w:line="100" w:lineRule="atLeast"/>
        <w:ind w:left="2250"/>
        <w:jc w:val="both"/>
        <w:rPr>
          <w:color w:val="000000"/>
        </w:rPr>
      </w:pPr>
      <w:r w:rsidRPr="00771368">
        <w:rPr>
          <w:color w:val="000000"/>
          <w:sz w:val="20"/>
          <w:szCs w:val="20"/>
        </w:rPr>
        <w:t>Conclui também que essa violação segue um padrão discriminatório com respeito a tolerância da violência doméstica contra mulheres no Brasil por ineficácia da ação judicial. A Comissão recomenda ao Estado que proceda a uma investigação séria, imparcial e exaustiva para determinar a responsabilidade penal do autor do delito de tentativa de homicídio em prejuízo da Senhora Fernandes e para determinar se há outros fatos ou ações de agentes estatais que tenham impedido o processamento rápido e efetivo do responsável; também recomenda a reparação efetiva e pronta da vítima e a adoção de medidas, no âmbito nacional, para eliminar essa tolerância do Estado ante a violência doméstica contra mulheres</w:t>
      </w:r>
      <w:r w:rsidRPr="00771368">
        <w:rPr>
          <w:rStyle w:val="Caracteresdenotaderodap"/>
          <w:color w:val="000000"/>
          <w:sz w:val="20"/>
          <w:szCs w:val="20"/>
        </w:rPr>
        <w:footnoteReference w:id="130"/>
      </w:r>
      <w:r w:rsidRPr="00771368">
        <w:rPr>
          <w:color w:val="000000"/>
          <w:sz w:val="20"/>
          <w:szCs w:val="20"/>
        </w:rPr>
        <w:t xml:space="preserve">. </w:t>
      </w:r>
    </w:p>
    <w:p w:rsidR="00D24E61" w:rsidRPr="00771368" w:rsidRDefault="00D24E61">
      <w:pPr>
        <w:spacing w:line="100" w:lineRule="atLeast"/>
        <w:jc w:val="both"/>
        <w:rPr>
          <w:color w:val="000000"/>
        </w:rPr>
      </w:pPr>
    </w:p>
    <w:p w:rsidR="00D24E61" w:rsidRPr="00771368" w:rsidRDefault="00D24E61">
      <w:pPr>
        <w:spacing w:line="360" w:lineRule="auto"/>
        <w:ind w:firstLine="855"/>
        <w:jc w:val="both"/>
        <w:rPr>
          <w:color w:val="000000"/>
        </w:rPr>
      </w:pPr>
      <w:r w:rsidRPr="00771368">
        <w:rPr>
          <w:rFonts w:eastAsia="FrutigerLT-LightCn"/>
          <w:color w:val="000000"/>
          <w:shd w:val="clear" w:color="auto" w:fill="FFFFFF"/>
        </w:rPr>
        <w:t>Percebemos,</w:t>
      </w:r>
      <w:r w:rsidRPr="00771368">
        <w:rPr>
          <w:color w:val="000000"/>
          <w:shd w:val="clear" w:color="auto" w:fill="FFFFFF"/>
        </w:rPr>
        <w:t xml:space="preserve"> </w:t>
      </w:r>
      <w:r w:rsidRPr="00771368">
        <w:rPr>
          <w:rFonts w:eastAsia="Arial"/>
          <w:color w:val="000000"/>
          <w:shd w:val="clear" w:color="auto" w:fill="FFFFFF"/>
        </w:rPr>
        <w:t>através</w:t>
      </w:r>
      <w:r w:rsidRPr="00771368">
        <w:rPr>
          <w:color w:val="000000"/>
          <w:shd w:val="clear" w:color="auto" w:fill="FFFFFF"/>
        </w:rPr>
        <w:t xml:space="preserve"> </w:t>
      </w:r>
      <w:r w:rsidRPr="00771368">
        <w:rPr>
          <w:rFonts w:eastAsia="Arial"/>
          <w:color w:val="000000"/>
          <w:shd w:val="clear" w:color="auto" w:fill="FFFFFF"/>
        </w:rPr>
        <w:t>da</w:t>
      </w:r>
      <w:r w:rsidRPr="00771368">
        <w:rPr>
          <w:color w:val="000000"/>
          <w:shd w:val="clear" w:color="auto" w:fill="FFFFFF"/>
        </w:rPr>
        <w:t xml:space="preserve"> </w:t>
      </w:r>
      <w:r w:rsidRPr="00771368">
        <w:rPr>
          <w:rFonts w:eastAsia="Arial"/>
          <w:color w:val="000000"/>
          <w:shd w:val="clear" w:color="auto" w:fill="FFFFFF"/>
        </w:rPr>
        <w:t>citação</w:t>
      </w:r>
      <w:r w:rsidRPr="00771368">
        <w:rPr>
          <w:color w:val="000000"/>
          <w:shd w:val="clear" w:color="auto" w:fill="FFFFFF"/>
        </w:rPr>
        <w:t xml:space="preserve"> </w:t>
      </w:r>
      <w:r w:rsidRPr="00771368">
        <w:rPr>
          <w:rFonts w:eastAsia="Arial"/>
          <w:color w:val="000000"/>
          <w:shd w:val="clear" w:color="auto" w:fill="FFFFFF"/>
        </w:rPr>
        <w:t>acima,</w:t>
      </w:r>
      <w:r w:rsidRPr="00771368">
        <w:rPr>
          <w:color w:val="000000"/>
          <w:shd w:val="clear" w:color="auto" w:fill="FFFFFF"/>
        </w:rPr>
        <w:t xml:space="preserve"> </w:t>
      </w:r>
      <w:r w:rsidRPr="00771368">
        <w:rPr>
          <w:rFonts w:eastAsia="Arial"/>
          <w:color w:val="000000"/>
          <w:shd w:val="clear" w:color="auto" w:fill="FFFFFF"/>
        </w:rPr>
        <w:t>que</w:t>
      </w:r>
      <w:r w:rsidRPr="00771368">
        <w:rPr>
          <w:color w:val="000000"/>
          <w:shd w:val="clear" w:color="auto" w:fill="FFFFFF"/>
        </w:rPr>
        <w:t xml:space="preserve"> </w:t>
      </w:r>
      <w:r w:rsidRPr="00771368">
        <w:rPr>
          <w:rFonts w:eastAsia="Arial"/>
          <w:color w:val="000000"/>
          <w:shd w:val="clear" w:color="auto" w:fill="FFFFFF"/>
        </w:rPr>
        <w:t>o</w:t>
      </w:r>
      <w:r w:rsidRPr="00771368">
        <w:rPr>
          <w:color w:val="000000"/>
          <w:shd w:val="clear" w:color="auto" w:fill="FFFFFF"/>
        </w:rPr>
        <w:t xml:space="preserve"> </w:t>
      </w:r>
      <w:r w:rsidRPr="00771368">
        <w:rPr>
          <w:rFonts w:eastAsia="Arial"/>
          <w:color w:val="000000"/>
          <w:shd w:val="clear" w:color="auto" w:fill="FFFFFF"/>
        </w:rPr>
        <w:t>Estado</w:t>
      </w:r>
      <w:r w:rsidRPr="00771368">
        <w:rPr>
          <w:color w:val="000000"/>
          <w:shd w:val="clear" w:color="auto" w:fill="FFFFFF"/>
        </w:rPr>
        <w:t xml:space="preserve"> </w:t>
      </w:r>
      <w:r w:rsidRPr="00771368">
        <w:rPr>
          <w:rFonts w:eastAsia="Arial"/>
          <w:color w:val="000000"/>
          <w:shd w:val="clear" w:color="auto" w:fill="FFFFFF"/>
        </w:rPr>
        <w:t>brasileiro</w:t>
      </w:r>
      <w:r w:rsidRPr="00771368">
        <w:rPr>
          <w:color w:val="000000"/>
          <w:shd w:val="clear" w:color="auto" w:fill="FFFFFF"/>
        </w:rPr>
        <w:t xml:space="preserve"> </w:t>
      </w:r>
      <w:r w:rsidRPr="00771368">
        <w:rPr>
          <w:rFonts w:eastAsia="Arial"/>
          <w:color w:val="000000"/>
          <w:shd w:val="clear" w:color="auto" w:fill="FFFFFF"/>
        </w:rPr>
        <w:t>foi</w:t>
      </w:r>
      <w:r w:rsidRPr="00771368">
        <w:rPr>
          <w:color w:val="000000"/>
          <w:shd w:val="clear" w:color="auto" w:fill="FFFFFF"/>
        </w:rPr>
        <w:t xml:space="preserve"> </w:t>
      </w:r>
      <w:r w:rsidRPr="00771368">
        <w:rPr>
          <w:rFonts w:eastAsia="Arial"/>
          <w:color w:val="000000"/>
          <w:shd w:val="clear" w:color="auto" w:fill="FFFFFF"/>
        </w:rPr>
        <w:t>responsabilizado</w:t>
      </w:r>
      <w:r w:rsidRPr="00771368">
        <w:rPr>
          <w:color w:val="000000"/>
          <w:shd w:val="clear" w:color="auto" w:fill="FFFFFF"/>
        </w:rPr>
        <w:t xml:space="preserve"> </w:t>
      </w:r>
      <w:r w:rsidRPr="00771368">
        <w:rPr>
          <w:rFonts w:eastAsia="Arial"/>
          <w:color w:val="000000"/>
          <w:shd w:val="clear" w:color="auto" w:fill="FFFFFF"/>
        </w:rPr>
        <w:t>por</w:t>
      </w:r>
      <w:r w:rsidRPr="00771368">
        <w:rPr>
          <w:color w:val="000000"/>
          <w:shd w:val="clear" w:color="auto" w:fill="FFFFFF"/>
        </w:rPr>
        <w:t xml:space="preserve"> </w:t>
      </w:r>
      <w:r w:rsidRPr="00771368">
        <w:rPr>
          <w:rFonts w:eastAsia="Arial"/>
          <w:color w:val="000000"/>
          <w:shd w:val="clear" w:color="auto" w:fill="FFFFFF"/>
        </w:rPr>
        <w:t>negligência,</w:t>
      </w:r>
      <w:r w:rsidRPr="00771368">
        <w:rPr>
          <w:color w:val="000000"/>
          <w:shd w:val="clear" w:color="auto" w:fill="FFFFFF"/>
        </w:rPr>
        <w:t xml:space="preserve"> </w:t>
      </w:r>
      <w:r w:rsidRPr="00771368">
        <w:rPr>
          <w:rFonts w:eastAsia="Arial"/>
          <w:color w:val="000000"/>
          <w:shd w:val="clear" w:color="auto" w:fill="FFFFFF"/>
        </w:rPr>
        <w:t>tolerância</w:t>
      </w:r>
      <w:r w:rsidRPr="00771368">
        <w:rPr>
          <w:color w:val="000000"/>
          <w:shd w:val="clear" w:color="auto" w:fill="FFFFFF"/>
        </w:rPr>
        <w:t xml:space="preserve"> </w:t>
      </w:r>
      <w:r w:rsidRPr="00771368">
        <w:rPr>
          <w:rFonts w:eastAsia="Arial"/>
          <w:color w:val="000000"/>
          <w:shd w:val="clear" w:color="auto" w:fill="FFFFFF"/>
        </w:rPr>
        <w:t>e</w:t>
      </w:r>
      <w:r w:rsidRPr="00771368">
        <w:rPr>
          <w:color w:val="000000"/>
          <w:shd w:val="clear" w:color="auto" w:fill="FFFFFF"/>
        </w:rPr>
        <w:t xml:space="preserve"> </w:t>
      </w:r>
      <w:r w:rsidRPr="00771368">
        <w:rPr>
          <w:rFonts w:eastAsia="Arial"/>
          <w:color w:val="000000"/>
          <w:shd w:val="clear" w:color="auto" w:fill="FFFFFF"/>
        </w:rPr>
        <w:t>omissão</w:t>
      </w:r>
      <w:r w:rsidRPr="00771368">
        <w:rPr>
          <w:color w:val="000000"/>
          <w:shd w:val="clear" w:color="auto" w:fill="FFFFFF"/>
        </w:rPr>
        <w:t xml:space="preserve"> </w:t>
      </w:r>
      <w:r w:rsidRPr="00771368">
        <w:rPr>
          <w:rFonts w:eastAsia="Arial"/>
          <w:color w:val="000000"/>
          <w:shd w:val="clear" w:color="auto" w:fill="FFFFFF"/>
        </w:rPr>
        <w:t>no</w:t>
      </w:r>
      <w:r w:rsidRPr="00771368">
        <w:rPr>
          <w:color w:val="000000"/>
          <w:shd w:val="clear" w:color="auto" w:fill="FFFFFF"/>
        </w:rPr>
        <w:t xml:space="preserve"> </w:t>
      </w:r>
      <w:r w:rsidRPr="00771368">
        <w:rPr>
          <w:rFonts w:eastAsia="Arial"/>
          <w:color w:val="000000"/>
          <w:shd w:val="clear" w:color="auto" w:fill="FFFFFF"/>
        </w:rPr>
        <w:t>que</w:t>
      </w:r>
      <w:r w:rsidRPr="00771368">
        <w:rPr>
          <w:color w:val="000000"/>
          <w:shd w:val="clear" w:color="auto" w:fill="FFFFFF"/>
        </w:rPr>
        <w:t xml:space="preserve"> </w:t>
      </w:r>
      <w:r w:rsidRPr="00771368">
        <w:rPr>
          <w:rFonts w:eastAsia="Arial"/>
          <w:color w:val="000000"/>
          <w:shd w:val="clear" w:color="auto" w:fill="FFFFFF"/>
        </w:rPr>
        <w:t>se</w:t>
      </w:r>
      <w:r w:rsidRPr="00771368">
        <w:rPr>
          <w:color w:val="000000"/>
          <w:shd w:val="clear" w:color="auto" w:fill="FFFFFF"/>
        </w:rPr>
        <w:t xml:space="preserve"> </w:t>
      </w:r>
      <w:r w:rsidRPr="00771368">
        <w:rPr>
          <w:rFonts w:eastAsia="Arial"/>
          <w:color w:val="000000"/>
          <w:shd w:val="clear" w:color="auto" w:fill="FFFFFF"/>
        </w:rPr>
        <w:t>refere</w:t>
      </w:r>
      <w:r w:rsidRPr="00771368">
        <w:rPr>
          <w:color w:val="000000"/>
          <w:shd w:val="clear" w:color="auto" w:fill="FFFFFF"/>
        </w:rPr>
        <w:t xml:space="preserve"> </w:t>
      </w:r>
      <w:r w:rsidRPr="00771368">
        <w:rPr>
          <w:rFonts w:eastAsia="Arial"/>
          <w:color w:val="000000"/>
          <w:shd w:val="clear" w:color="auto" w:fill="FFFFFF"/>
        </w:rPr>
        <w:t>à</w:t>
      </w:r>
      <w:r w:rsidRPr="00771368">
        <w:rPr>
          <w:color w:val="000000"/>
          <w:shd w:val="clear" w:color="auto" w:fill="FFFFFF"/>
        </w:rPr>
        <w:t xml:space="preserve"> </w:t>
      </w:r>
      <w:r w:rsidRPr="00771368">
        <w:rPr>
          <w:rFonts w:eastAsia="Arial"/>
          <w:color w:val="000000"/>
          <w:shd w:val="clear" w:color="auto" w:fill="FFFFFF"/>
        </w:rPr>
        <w:t>violência</w:t>
      </w:r>
      <w:r w:rsidRPr="00771368">
        <w:rPr>
          <w:color w:val="000000"/>
          <w:shd w:val="clear" w:color="auto" w:fill="FFFFFF"/>
        </w:rPr>
        <w:t xml:space="preserve"> </w:t>
      </w:r>
      <w:r w:rsidRPr="00771368">
        <w:rPr>
          <w:rFonts w:eastAsia="Arial"/>
          <w:color w:val="000000"/>
          <w:shd w:val="clear" w:color="auto" w:fill="FFFFFF"/>
        </w:rPr>
        <w:t>contra</w:t>
      </w:r>
      <w:r w:rsidRPr="00771368">
        <w:rPr>
          <w:color w:val="000000"/>
          <w:shd w:val="clear" w:color="auto" w:fill="FFFFFF"/>
        </w:rPr>
        <w:t xml:space="preserve"> </w:t>
      </w:r>
      <w:r w:rsidRPr="00771368">
        <w:rPr>
          <w:rFonts w:eastAsia="Arial"/>
          <w:color w:val="000000"/>
          <w:shd w:val="clear" w:color="auto" w:fill="FFFFFF"/>
        </w:rPr>
        <w:t>a</w:t>
      </w:r>
      <w:r w:rsidRPr="00771368">
        <w:rPr>
          <w:color w:val="000000"/>
          <w:shd w:val="clear" w:color="auto" w:fill="FFFFFF"/>
        </w:rPr>
        <w:t xml:space="preserve"> </w:t>
      </w:r>
      <w:r w:rsidRPr="00771368">
        <w:rPr>
          <w:rFonts w:eastAsia="Arial"/>
          <w:color w:val="000000"/>
          <w:shd w:val="clear" w:color="auto" w:fill="FFFFFF"/>
        </w:rPr>
        <w:t>mulher.</w:t>
      </w:r>
      <w:r w:rsidRPr="00771368">
        <w:rPr>
          <w:color w:val="000000"/>
          <w:shd w:val="clear" w:color="auto" w:fill="FFFFFF"/>
        </w:rPr>
        <w:t xml:space="preserve"> </w:t>
      </w:r>
      <w:r w:rsidRPr="00771368">
        <w:rPr>
          <w:rFonts w:eastAsia="Arial"/>
          <w:color w:val="000000"/>
          <w:shd w:val="clear" w:color="auto" w:fill="FFFFFF"/>
        </w:rPr>
        <w:t>Com</w:t>
      </w:r>
      <w:r w:rsidRPr="00771368">
        <w:rPr>
          <w:color w:val="000000"/>
          <w:shd w:val="clear" w:color="auto" w:fill="FFFFFF"/>
        </w:rPr>
        <w:t xml:space="preserve"> </w:t>
      </w:r>
      <w:r w:rsidRPr="00771368">
        <w:rPr>
          <w:rFonts w:eastAsia="Arial"/>
          <w:color w:val="000000"/>
          <w:shd w:val="clear" w:color="auto" w:fill="FFFFFF"/>
        </w:rPr>
        <w:t>o</w:t>
      </w:r>
      <w:r w:rsidRPr="00771368">
        <w:rPr>
          <w:color w:val="000000"/>
          <w:shd w:val="clear" w:color="auto" w:fill="FFFFFF"/>
        </w:rPr>
        <w:t xml:space="preserve"> </w:t>
      </w:r>
      <w:r w:rsidRPr="00771368">
        <w:rPr>
          <w:rFonts w:eastAsia="Arial"/>
          <w:color w:val="000000"/>
          <w:shd w:val="clear" w:color="auto" w:fill="FFFFFF"/>
        </w:rPr>
        <w:t>intuito</w:t>
      </w:r>
      <w:r w:rsidRPr="00771368">
        <w:rPr>
          <w:color w:val="000000"/>
          <w:shd w:val="clear" w:color="auto" w:fill="FFFFFF"/>
        </w:rPr>
        <w:t xml:space="preserve"> </w:t>
      </w:r>
      <w:r w:rsidRPr="00771368">
        <w:rPr>
          <w:rFonts w:eastAsia="Arial"/>
          <w:color w:val="000000"/>
          <w:shd w:val="clear" w:color="auto" w:fill="FFFFFF"/>
        </w:rPr>
        <w:t>de</w:t>
      </w:r>
      <w:r w:rsidRPr="00771368">
        <w:rPr>
          <w:color w:val="000000"/>
          <w:shd w:val="clear" w:color="auto" w:fill="FFFFFF"/>
        </w:rPr>
        <w:t xml:space="preserve"> </w:t>
      </w:r>
      <w:r w:rsidRPr="00771368">
        <w:rPr>
          <w:rFonts w:eastAsia="Arial"/>
          <w:color w:val="000000"/>
          <w:shd w:val="clear" w:color="auto" w:fill="FFFFFF"/>
        </w:rPr>
        <w:t>reverter</w:t>
      </w:r>
      <w:r w:rsidRPr="00771368">
        <w:rPr>
          <w:color w:val="000000"/>
          <w:shd w:val="clear" w:color="auto" w:fill="FFFFFF"/>
        </w:rPr>
        <w:t xml:space="preserve"> </w:t>
      </w:r>
      <w:r w:rsidRPr="00771368">
        <w:rPr>
          <w:rFonts w:eastAsia="Arial"/>
          <w:color w:val="000000"/>
          <w:shd w:val="clear" w:color="auto" w:fill="FFFFFF"/>
        </w:rPr>
        <w:t>essa</w:t>
      </w:r>
      <w:r w:rsidRPr="00771368">
        <w:rPr>
          <w:color w:val="000000"/>
          <w:shd w:val="clear" w:color="auto" w:fill="FFFFFF"/>
        </w:rPr>
        <w:t xml:space="preserve"> </w:t>
      </w:r>
      <w:r w:rsidRPr="00771368">
        <w:rPr>
          <w:rFonts w:eastAsia="Arial"/>
          <w:color w:val="000000"/>
          <w:shd w:val="clear" w:color="auto" w:fill="FFFFFF"/>
        </w:rPr>
        <w:t>situação,</w:t>
      </w:r>
      <w:r w:rsidRPr="00771368">
        <w:rPr>
          <w:color w:val="000000"/>
          <w:shd w:val="clear" w:color="auto" w:fill="FFFFFF"/>
        </w:rPr>
        <w:t xml:space="preserve"> </w:t>
      </w:r>
      <w:r w:rsidRPr="00771368">
        <w:rPr>
          <w:rFonts w:eastAsia="Arial"/>
          <w:color w:val="000000"/>
          <w:shd w:val="clear" w:color="auto" w:fill="FFFFFF"/>
        </w:rPr>
        <w:t>ficou</w:t>
      </w:r>
      <w:r w:rsidRPr="00771368">
        <w:rPr>
          <w:color w:val="000000"/>
          <w:shd w:val="clear" w:color="auto" w:fill="FFFFFF"/>
        </w:rPr>
        <w:t xml:space="preserve"> </w:t>
      </w:r>
      <w:r w:rsidRPr="00771368">
        <w:rPr>
          <w:rFonts w:eastAsia="Arial"/>
          <w:color w:val="000000"/>
          <w:shd w:val="clear" w:color="auto" w:fill="FFFFFF"/>
        </w:rPr>
        <w:t>determinado</w:t>
      </w:r>
      <w:r w:rsidRPr="00771368">
        <w:rPr>
          <w:color w:val="000000"/>
          <w:shd w:val="clear" w:color="auto" w:fill="FFFFFF"/>
        </w:rPr>
        <w:t xml:space="preserve"> </w:t>
      </w:r>
      <w:r w:rsidRPr="00771368">
        <w:rPr>
          <w:rFonts w:eastAsia="Arial"/>
          <w:color w:val="000000"/>
          <w:shd w:val="clear" w:color="auto" w:fill="FFFFFF"/>
        </w:rPr>
        <w:t>através</w:t>
      </w:r>
      <w:r w:rsidRPr="00771368">
        <w:rPr>
          <w:color w:val="000000"/>
          <w:shd w:val="clear" w:color="auto" w:fill="FFFFFF"/>
        </w:rPr>
        <w:t xml:space="preserve"> </w:t>
      </w:r>
      <w:r w:rsidRPr="00771368">
        <w:rPr>
          <w:rFonts w:eastAsia="Arial"/>
          <w:color w:val="000000"/>
          <w:shd w:val="clear" w:color="auto" w:fill="FFFFFF"/>
        </w:rPr>
        <w:t>do</w:t>
      </w:r>
      <w:r w:rsidRPr="00771368">
        <w:rPr>
          <w:color w:val="000000"/>
          <w:shd w:val="clear" w:color="auto" w:fill="FFFFFF"/>
        </w:rPr>
        <w:t xml:space="preserve"> </w:t>
      </w:r>
      <w:r w:rsidRPr="00771368">
        <w:rPr>
          <w:rFonts w:eastAsia="Arial"/>
          <w:color w:val="000000"/>
          <w:shd w:val="clear" w:color="auto" w:fill="FFFFFF"/>
        </w:rPr>
        <w:t>§</w:t>
      </w:r>
      <w:r w:rsidRPr="00771368">
        <w:rPr>
          <w:color w:val="000000"/>
          <w:shd w:val="clear" w:color="auto" w:fill="FFFFFF"/>
        </w:rPr>
        <w:t xml:space="preserve"> </w:t>
      </w:r>
      <w:r w:rsidRPr="00771368">
        <w:rPr>
          <w:rFonts w:eastAsia="Arial"/>
          <w:color w:val="000000"/>
          <w:shd w:val="clear" w:color="auto" w:fill="FFFFFF"/>
        </w:rPr>
        <w:t>1°</w:t>
      </w:r>
      <w:r w:rsidRPr="00771368">
        <w:rPr>
          <w:color w:val="000000"/>
          <w:shd w:val="clear" w:color="auto" w:fill="FFFFFF"/>
        </w:rPr>
        <w:t xml:space="preserve"> </w:t>
      </w:r>
      <w:r w:rsidRPr="00771368">
        <w:rPr>
          <w:rFonts w:eastAsia="Arial"/>
          <w:color w:val="000000"/>
          <w:shd w:val="clear" w:color="auto" w:fill="FFFFFF"/>
        </w:rPr>
        <w:t>do</w:t>
      </w:r>
      <w:r w:rsidRPr="00771368">
        <w:rPr>
          <w:color w:val="000000"/>
          <w:shd w:val="clear" w:color="auto" w:fill="FFFFFF"/>
        </w:rPr>
        <w:t xml:space="preserve"> </w:t>
      </w:r>
      <w:r w:rsidRPr="00771368">
        <w:rPr>
          <w:rFonts w:eastAsia="Arial"/>
          <w:color w:val="000000"/>
          <w:shd w:val="clear" w:color="auto" w:fill="FFFFFF"/>
        </w:rPr>
        <w:t>art.</w:t>
      </w:r>
      <w:r w:rsidRPr="00771368">
        <w:rPr>
          <w:color w:val="000000"/>
          <w:shd w:val="clear" w:color="auto" w:fill="FFFFFF"/>
        </w:rPr>
        <w:t xml:space="preserve"> </w:t>
      </w:r>
      <w:r w:rsidRPr="00771368">
        <w:rPr>
          <w:rFonts w:eastAsia="Arial"/>
          <w:color w:val="000000"/>
          <w:shd w:val="clear" w:color="auto" w:fill="FFFFFF"/>
        </w:rPr>
        <w:t>3°</w:t>
      </w:r>
      <w:r w:rsidRPr="00771368">
        <w:rPr>
          <w:color w:val="000000"/>
          <w:shd w:val="clear" w:color="auto" w:fill="FFFFFF"/>
        </w:rPr>
        <w:t xml:space="preserve"> </w:t>
      </w:r>
      <w:r w:rsidRPr="00771368">
        <w:rPr>
          <w:rFonts w:eastAsia="Arial"/>
          <w:color w:val="000000"/>
          <w:shd w:val="clear" w:color="auto" w:fill="FFFFFF"/>
        </w:rPr>
        <w:t>das</w:t>
      </w:r>
      <w:r w:rsidRPr="00771368">
        <w:rPr>
          <w:color w:val="000000"/>
          <w:shd w:val="clear" w:color="auto" w:fill="FFFFFF"/>
        </w:rPr>
        <w:t xml:space="preserve"> </w:t>
      </w:r>
      <w:r w:rsidRPr="00771368">
        <w:rPr>
          <w:rFonts w:eastAsia="Arial"/>
          <w:color w:val="000000"/>
          <w:shd w:val="clear" w:color="auto" w:fill="FFFFFF"/>
        </w:rPr>
        <w:t>Disposições</w:t>
      </w:r>
      <w:r w:rsidRPr="00771368">
        <w:rPr>
          <w:color w:val="000000"/>
          <w:shd w:val="clear" w:color="auto" w:fill="FFFFFF"/>
        </w:rPr>
        <w:t xml:space="preserve"> </w:t>
      </w:r>
      <w:r w:rsidRPr="00771368">
        <w:rPr>
          <w:rFonts w:eastAsia="Arial"/>
          <w:color w:val="000000"/>
          <w:shd w:val="clear" w:color="auto" w:fill="FFFFFF"/>
        </w:rPr>
        <w:t>Preliminares</w:t>
      </w:r>
      <w:r w:rsidRPr="00771368">
        <w:rPr>
          <w:color w:val="000000"/>
          <w:shd w:val="clear" w:color="auto" w:fill="FFFFFF"/>
        </w:rPr>
        <w:t xml:space="preserve"> </w:t>
      </w:r>
      <w:r w:rsidRPr="00771368">
        <w:rPr>
          <w:rFonts w:eastAsia="Arial"/>
          <w:color w:val="000000"/>
          <w:shd w:val="clear" w:color="auto" w:fill="FFFFFF"/>
        </w:rPr>
        <w:t>da</w:t>
      </w:r>
      <w:r w:rsidRPr="00771368">
        <w:rPr>
          <w:color w:val="000000"/>
          <w:shd w:val="clear" w:color="auto" w:fill="FFFFFF"/>
        </w:rPr>
        <w:t xml:space="preserve"> </w:t>
      </w:r>
      <w:r w:rsidRPr="00771368">
        <w:rPr>
          <w:rFonts w:eastAsia="Arial"/>
          <w:color w:val="000000"/>
          <w:shd w:val="clear" w:color="auto" w:fill="FFFFFF"/>
        </w:rPr>
        <w:t>Lei</w:t>
      </w:r>
      <w:r w:rsidRPr="00771368">
        <w:rPr>
          <w:color w:val="000000"/>
          <w:shd w:val="clear" w:color="auto" w:fill="FFFFFF"/>
        </w:rPr>
        <w:t xml:space="preserve"> </w:t>
      </w:r>
      <w:r w:rsidRPr="00771368">
        <w:rPr>
          <w:rFonts w:eastAsia="Arial"/>
          <w:color w:val="000000"/>
          <w:shd w:val="clear" w:color="auto" w:fill="FFFFFF"/>
        </w:rPr>
        <w:t>Maria</w:t>
      </w:r>
      <w:r w:rsidRPr="00771368">
        <w:rPr>
          <w:color w:val="000000"/>
          <w:shd w:val="clear" w:color="auto" w:fill="FFFFFF"/>
        </w:rPr>
        <w:t xml:space="preserve"> </w:t>
      </w:r>
      <w:r w:rsidRPr="00771368">
        <w:rPr>
          <w:rFonts w:eastAsia="Arial"/>
          <w:color w:val="000000"/>
          <w:shd w:val="clear" w:color="auto" w:fill="FFFFFF"/>
        </w:rPr>
        <w:t>da</w:t>
      </w:r>
      <w:r w:rsidRPr="00771368">
        <w:rPr>
          <w:color w:val="000000"/>
          <w:shd w:val="clear" w:color="auto" w:fill="FFFFFF"/>
        </w:rPr>
        <w:t xml:space="preserve"> </w:t>
      </w:r>
      <w:r w:rsidRPr="00771368">
        <w:rPr>
          <w:rFonts w:eastAsia="Arial"/>
          <w:color w:val="000000"/>
          <w:shd w:val="clear" w:color="auto" w:fill="FFFFFF"/>
        </w:rPr>
        <w:t>Penha</w:t>
      </w:r>
      <w:r w:rsidRPr="00771368">
        <w:rPr>
          <w:color w:val="000000"/>
          <w:shd w:val="clear" w:color="auto" w:fill="FFFFFF"/>
        </w:rPr>
        <w:t xml:space="preserve"> </w:t>
      </w:r>
      <w:r w:rsidRPr="00771368">
        <w:rPr>
          <w:rFonts w:eastAsia="Arial"/>
          <w:color w:val="000000"/>
          <w:shd w:val="clear" w:color="auto" w:fill="FFFFFF"/>
        </w:rPr>
        <w:t>que</w:t>
      </w:r>
      <w:r w:rsidRPr="00771368">
        <w:rPr>
          <w:color w:val="000000"/>
          <w:shd w:val="clear" w:color="auto" w:fill="FFFFFF"/>
        </w:rPr>
        <w:t xml:space="preserve"> “</w:t>
      </w:r>
      <w:r w:rsidRPr="00771368">
        <w:rPr>
          <w:rFonts w:eastAsia="Arial"/>
          <w:color w:val="000000"/>
          <w:shd w:val="clear" w:color="auto" w:fill="FFFFFF"/>
        </w:rPr>
        <w:t>o</w:t>
      </w:r>
      <w:r w:rsidRPr="00771368">
        <w:rPr>
          <w:color w:val="000000"/>
          <w:shd w:val="clear" w:color="auto" w:fill="FFFFFF"/>
        </w:rPr>
        <w:t xml:space="preserve"> </w:t>
      </w:r>
      <w:r w:rsidRPr="00771368">
        <w:rPr>
          <w:rFonts w:eastAsia="Arial"/>
          <w:color w:val="000000"/>
          <w:shd w:val="clear" w:color="auto" w:fill="FFFFFF"/>
        </w:rPr>
        <w:t>poder</w:t>
      </w:r>
      <w:r w:rsidRPr="00771368">
        <w:rPr>
          <w:color w:val="000000"/>
          <w:shd w:val="clear" w:color="auto" w:fill="FFFFFF"/>
        </w:rPr>
        <w:t xml:space="preserve"> </w:t>
      </w:r>
      <w:r w:rsidRPr="00771368">
        <w:rPr>
          <w:rFonts w:eastAsia="Arial"/>
          <w:color w:val="000000"/>
          <w:shd w:val="clear" w:color="auto" w:fill="FFFFFF"/>
        </w:rPr>
        <w:t>público</w:t>
      </w:r>
      <w:r w:rsidRPr="00771368">
        <w:rPr>
          <w:color w:val="000000"/>
          <w:shd w:val="clear" w:color="auto" w:fill="FFFFFF"/>
        </w:rPr>
        <w:t xml:space="preserve"> </w:t>
      </w:r>
      <w:r w:rsidRPr="00771368">
        <w:rPr>
          <w:rFonts w:eastAsia="StoneSerif"/>
          <w:color w:val="000000"/>
          <w:shd w:val="clear" w:color="auto" w:fill="FFFFFF"/>
        </w:rPr>
        <w:t>desenvolverá</w:t>
      </w:r>
      <w:r w:rsidRPr="00771368">
        <w:rPr>
          <w:color w:val="000000"/>
          <w:shd w:val="clear" w:color="auto" w:fill="FFFFFF"/>
        </w:rPr>
        <w:t xml:space="preserve"> </w:t>
      </w:r>
      <w:r w:rsidRPr="00771368">
        <w:rPr>
          <w:rFonts w:eastAsia="Arial"/>
          <w:color w:val="000000"/>
          <w:shd w:val="clear" w:color="auto" w:fill="FFFFFF"/>
        </w:rPr>
        <w:t>políticas</w:t>
      </w:r>
      <w:r w:rsidRPr="00771368">
        <w:rPr>
          <w:color w:val="000000"/>
          <w:shd w:val="clear" w:color="auto" w:fill="FFFFFF"/>
        </w:rPr>
        <w:t xml:space="preserve"> </w:t>
      </w:r>
      <w:r w:rsidRPr="00771368">
        <w:rPr>
          <w:rFonts w:eastAsia="Arial"/>
          <w:color w:val="000000"/>
          <w:shd w:val="clear" w:color="auto" w:fill="FFFFFF"/>
        </w:rPr>
        <w:t>que</w:t>
      </w:r>
      <w:r w:rsidRPr="00771368">
        <w:rPr>
          <w:color w:val="000000"/>
          <w:shd w:val="clear" w:color="auto" w:fill="FFFFFF"/>
        </w:rPr>
        <w:t xml:space="preserve"> </w:t>
      </w:r>
      <w:r w:rsidRPr="00771368">
        <w:rPr>
          <w:rFonts w:eastAsia="Arial"/>
          <w:color w:val="000000"/>
          <w:shd w:val="clear" w:color="auto" w:fill="FFFFFF"/>
        </w:rPr>
        <w:t>visem</w:t>
      </w:r>
      <w:r w:rsidRPr="00771368">
        <w:rPr>
          <w:color w:val="000000"/>
          <w:shd w:val="clear" w:color="auto" w:fill="FFFFFF"/>
        </w:rPr>
        <w:t xml:space="preserve"> </w:t>
      </w:r>
      <w:r w:rsidRPr="00771368">
        <w:rPr>
          <w:rFonts w:eastAsia="Arial"/>
          <w:color w:val="000000"/>
          <w:shd w:val="clear" w:color="auto" w:fill="FFFFFF"/>
        </w:rPr>
        <w:t>garantir</w:t>
      </w:r>
      <w:r w:rsidRPr="00771368">
        <w:rPr>
          <w:color w:val="000000"/>
          <w:shd w:val="clear" w:color="auto" w:fill="FFFFFF"/>
        </w:rPr>
        <w:t xml:space="preserve"> </w:t>
      </w:r>
      <w:r w:rsidRPr="00771368">
        <w:rPr>
          <w:rFonts w:eastAsia="Arial"/>
          <w:color w:val="000000"/>
          <w:shd w:val="clear" w:color="auto" w:fill="FFFFFF"/>
        </w:rPr>
        <w:t>os</w:t>
      </w:r>
      <w:r w:rsidRPr="00771368">
        <w:rPr>
          <w:color w:val="000000"/>
          <w:shd w:val="clear" w:color="auto" w:fill="FFFFFF"/>
        </w:rPr>
        <w:t xml:space="preserve"> </w:t>
      </w:r>
      <w:r w:rsidRPr="00771368">
        <w:rPr>
          <w:rFonts w:eastAsia="Arial"/>
          <w:color w:val="000000"/>
          <w:shd w:val="clear" w:color="auto" w:fill="FFFFFF"/>
        </w:rPr>
        <w:t>direitos</w:t>
      </w:r>
      <w:r w:rsidRPr="00771368">
        <w:rPr>
          <w:color w:val="000000"/>
          <w:shd w:val="clear" w:color="auto" w:fill="FFFFFF"/>
        </w:rPr>
        <w:t xml:space="preserve"> </w:t>
      </w:r>
      <w:r w:rsidRPr="00771368">
        <w:rPr>
          <w:rFonts w:eastAsia="Arial"/>
          <w:color w:val="000000"/>
          <w:shd w:val="clear" w:color="auto" w:fill="FFFFFF"/>
        </w:rPr>
        <w:t>humanos</w:t>
      </w:r>
      <w:r w:rsidRPr="00771368">
        <w:rPr>
          <w:color w:val="000000"/>
          <w:shd w:val="clear" w:color="auto" w:fill="FFFFFF"/>
        </w:rPr>
        <w:t xml:space="preserve"> </w:t>
      </w:r>
      <w:r w:rsidRPr="00771368">
        <w:rPr>
          <w:rFonts w:eastAsia="Arial"/>
          <w:color w:val="000000"/>
          <w:shd w:val="clear" w:color="auto" w:fill="FFFFFF"/>
        </w:rPr>
        <w:t>das</w:t>
      </w:r>
      <w:r w:rsidRPr="00771368">
        <w:rPr>
          <w:color w:val="000000"/>
          <w:shd w:val="clear" w:color="auto" w:fill="FFFFFF"/>
        </w:rPr>
        <w:t xml:space="preserve"> </w:t>
      </w:r>
      <w:r w:rsidRPr="00771368">
        <w:rPr>
          <w:rFonts w:eastAsia="Arial"/>
          <w:color w:val="000000"/>
          <w:shd w:val="clear" w:color="auto" w:fill="FFFFFF"/>
        </w:rPr>
        <w:t>mulheres</w:t>
      </w:r>
      <w:r w:rsidRPr="00771368">
        <w:rPr>
          <w:color w:val="000000"/>
          <w:shd w:val="clear" w:color="auto" w:fill="FFFFFF"/>
        </w:rPr>
        <w:t xml:space="preserve"> </w:t>
      </w:r>
      <w:r w:rsidRPr="00771368">
        <w:rPr>
          <w:rFonts w:eastAsia="Arial"/>
          <w:color w:val="000000"/>
          <w:shd w:val="clear" w:color="auto" w:fill="FFFFFF"/>
        </w:rPr>
        <w:t>no</w:t>
      </w:r>
      <w:r w:rsidRPr="00771368">
        <w:rPr>
          <w:color w:val="000000"/>
          <w:shd w:val="clear" w:color="auto" w:fill="FFFFFF"/>
        </w:rPr>
        <w:t xml:space="preserve"> </w:t>
      </w:r>
      <w:r w:rsidRPr="00771368">
        <w:rPr>
          <w:rFonts w:eastAsia="Arial"/>
          <w:color w:val="000000"/>
          <w:shd w:val="clear" w:color="auto" w:fill="FFFFFF"/>
        </w:rPr>
        <w:t>âmbito</w:t>
      </w:r>
      <w:r w:rsidRPr="00771368">
        <w:rPr>
          <w:color w:val="000000"/>
          <w:shd w:val="clear" w:color="auto" w:fill="FFFFFF"/>
        </w:rPr>
        <w:t xml:space="preserve"> </w:t>
      </w:r>
      <w:r w:rsidRPr="00771368">
        <w:rPr>
          <w:rFonts w:eastAsia="Arial"/>
          <w:color w:val="000000"/>
          <w:shd w:val="clear" w:color="auto" w:fill="FFFFFF"/>
        </w:rPr>
        <w:t>das</w:t>
      </w:r>
      <w:r w:rsidRPr="00771368">
        <w:rPr>
          <w:color w:val="000000"/>
          <w:shd w:val="clear" w:color="auto" w:fill="FFFFFF"/>
        </w:rPr>
        <w:t xml:space="preserve"> </w:t>
      </w:r>
      <w:r w:rsidRPr="00771368">
        <w:rPr>
          <w:rFonts w:eastAsia="Arial"/>
          <w:color w:val="000000"/>
          <w:shd w:val="clear" w:color="auto" w:fill="FFFFFF"/>
        </w:rPr>
        <w:t>relações</w:t>
      </w:r>
      <w:r w:rsidRPr="00771368">
        <w:rPr>
          <w:color w:val="000000"/>
          <w:shd w:val="clear" w:color="auto" w:fill="FFFFFF"/>
        </w:rPr>
        <w:t xml:space="preserve"> </w:t>
      </w:r>
      <w:r w:rsidRPr="00771368">
        <w:rPr>
          <w:rFonts w:eastAsia="Arial"/>
          <w:color w:val="000000"/>
          <w:shd w:val="clear" w:color="auto" w:fill="FFFFFF"/>
        </w:rPr>
        <w:t>domésticas</w:t>
      </w:r>
      <w:r w:rsidRPr="00771368">
        <w:rPr>
          <w:color w:val="000000"/>
          <w:shd w:val="clear" w:color="auto" w:fill="FFFFFF"/>
        </w:rPr>
        <w:t xml:space="preserve"> </w:t>
      </w:r>
      <w:r w:rsidRPr="00771368">
        <w:rPr>
          <w:rFonts w:eastAsia="Arial"/>
          <w:color w:val="000000"/>
          <w:shd w:val="clear" w:color="auto" w:fill="FFFFFF"/>
        </w:rPr>
        <w:t>e</w:t>
      </w:r>
      <w:r w:rsidRPr="00771368">
        <w:rPr>
          <w:color w:val="000000"/>
          <w:shd w:val="clear" w:color="auto" w:fill="FFFFFF"/>
        </w:rPr>
        <w:t xml:space="preserve"> </w:t>
      </w:r>
      <w:r w:rsidRPr="00771368">
        <w:rPr>
          <w:rFonts w:eastAsia="Arial"/>
          <w:color w:val="000000"/>
          <w:shd w:val="clear" w:color="auto" w:fill="FFFFFF"/>
        </w:rPr>
        <w:t>familiares</w:t>
      </w:r>
      <w:r w:rsidRPr="00771368">
        <w:rPr>
          <w:color w:val="000000"/>
          <w:shd w:val="clear" w:color="auto" w:fill="FFFFFF"/>
        </w:rPr>
        <w:t xml:space="preserve"> </w:t>
      </w:r>
      <w:r w:rsidRPr="00771368">
        <w:rPr>
          <w:rFonts w:eastAsia="Arial"/>
          <w:color w:val="000000"/>
          <w:shd w:val="clear" w:color="auto" w:fill="FFFFFF"/>
        </w:rPr>
        <w:t>no</w:t>
      </w:r>
      <w:r w:rsidRPr="00771368">
        <w:rPr>
          <w:color w:val="000000"/>
          <w:shd w:val="clear" w:color="auto" w:fill="FFFFFF"/>
        </w:rPr>
        <w:t xml:space="preserve"> </w:t>
      </w:r>
      <w:r w:rsidRPr="00771368">
        <w:rPr>
          <w:rFonts w:eastAsia="Arial"/>
          <w:color w:val="000000"/>
          <w:shd w:val="clear" w:color="auto" w:fill="FFFFFF"/>
        </w:rPr>
        <w:t>sentido</w:t>
      </w:r>
      <w:r w:rsidRPr="00771368">
        <w:rPr>
          <w:color w:val="000000"/>
          <w:shd w:val="clear" w:color="auto" w:fill="FFFFFF"/>
        </w:rPr>
        <w:t xml:space="preserve"> </w:t>
      </w:r>
      <w:r w:rsidRPr="00771368">
        <w:rPr>
          <w:rFonts w:eastAsia="Arial"/>
          <w:color w:val="000000"/>
          <w:shd w:val="clear" w:color="auto" w:fill="FFFFFF"/>
        </w:rPr>
        <w:t>de</w:t>
      </w:r>
      <w:r w:rsidRPr="00771368">
        <w:rPr>
          <w:color w:val="000000"/>
          <w:shd w:val="clear" w:color="auto" w:fill="FFFFFF"/>
        </w:rPr>
        <w:t xml:space="preserve"> </w:t>
      </w:r>
      <w:r w:rsidRPr="00771368">
        <w:rPr>
          <w:rFonts w:eastAsia="Arial"/>
          <w:color w:val="000000"/>
          <w:shd w:val="clear" w:color="auto" w:fill="FFFFFF"/>
        </w:rPr>
        <w:t>resguardá-las</w:t>
      </w:r>
      <w:r w:rsidRPr="00771368">
        <w:rPr>
          <w:color w:val="000000"/>
          <w:shd w:val="clear" w:color="auto" w:fill="FFFFFF"/>
        </w:rPr>
        <w:t xml:space="preserve"> </w:t>
      </w:r>
      <w:r w:rsidRPr="00771368">
        <w:rPr>
          <w:rFonts w:eastAsia="Arial"/>
          <w:color w:val="000000"/>
          <w:shd w:val="clear" w:color="auto" w:fill="FFFFFF"/>
        </w:rPr>
        <w:t>de</w:t>
      </w:r>
      <w:r w:rsidRPr="00771368">
        <w:rPr>
          <w:color w:val="000000"/>
          <w:shd w:val="clear" w:color="auto" w:fill="FFFFFF"/>
        </w:rPr>
        <w:t xml:space="preserve"> </w:t>
      </w:r>
      <w:r w:rsidRPr="00771368">
        <w:rPr>
          <w:rFonts w:eastAsia="Arial"/>
          <w:color w:val="000000"/>
          <w:shd w:val="clear" w:color="auto" w:fill="FFFFFF"/>
        </w:rPr>
        <w:t>toda</w:t>
      </w:r>
      <w:r w:rsidRPr="00771368">
        <w:rPr>
          <w:color w:val="000000"/>
          <w:shd w:val="clear" w:color="auto" w:fill="FFFFFF"/>
        </w:rPr>
        <w:t xml:space="preserve"> </w:t>
      </w:r>
      <w:r w:rsidRPr="00771368">
        <w:rPr>
          <w:rFonts w:eastAsia="Arial"/>
          <w:color w:val="000000"/>
          <w:shd w:val="clear" w:color="auto" w:fill="FFFFFF"/>
        </w:rPr>
        <w:t>forma</w:t>
      </w:r>
      <w:r w:rsidRPr="00771368">
        <w:rPr>
          <w:color w:val="000000"/>
          <w:shd w:val="clear" w:color="auto" w:fill="FFFFFF"/>
        </w:rPr>
        <w:t xml:space="preserve"> </w:t>
      </w:r>
      <w:r w:rsidRPr="00771368">
        <w:rPr>
          <w:rFonts w:eastAsia="Arial"/>
          <w:color w:val="000000"/>
          <w:shd w:val="clear" w:color="auto" w:fill="FFFFFF"/>
        </w:rPr>
        <w:t>de</w:t>
      </w:r>
      <w:r w:rsidRPr="00771368">
        <w:rPr>
          <w:color w:val="000000"/>
          <w:shd w:val="clear" w:color="auto" w:fill="FFFFFF"/>
        </w:rPr>
        <w:t xml:space="preserve"> </w:t>
      </w:r>
      <w:r w:rsidRPr="00771368">
        <w:rPr>
          <w:rFonts w:eastAsia="Arial"/>
          <w:color w:val="000000"/>
          <w:shd w:val="clear" w:color="auto" w:fill="FFFFFF"/>
        </w:rPr>
        <w:t>negligência,</w:t>
      </w:r>
      <w:r w:rsidRPr="00771368">
        <w:rPr>
          <w:color w:val="000000"/>
          <w:shd w:val="clear" w:color="auto" w:fill="FFFFFF"/>
        </w:rPr>
        <w:t xml:space="preserve"> </w:t>
      </w:r>
      <w:r w:rsidRPr="00771368">
        <w:rPr>
          <w:rFonts w:eastAsia="Arial"/>
          <w:color w:val="000000"/>
          <w:shd w:val="clear" w:color="auto" w:fill="FFFFFF"/>
        </w:rPr>
        <w:t>discriminação,</w:t>
      </w:r>
      <w:r w:rsidRPr="00771368">
        <w:rPr>
          <w:color w:val="000000"/>
          <w:shd w:val="clear" w:color="auto" w:fill="FFFFFF"/>
        </w:rPr>
        <w:t xml:space="preserve"> </w:t>
      </w:r>
      <w:r w:rsidRPr="00771368">
        <w:rPr>
          <w:rFonts w:eastAsia="Arial"/>
          <w:color w:val="000000"/>
          <w:shd w:val="clear" w:color="auto" w:fill="FFFFFF"/>
        </w:rPr>
        <w:t>exploração,</w:t>
      </w:r>
      <w:r w:rsidRPr="00771368">
        <w:rPr>
          <w:color w:val="000000"/>
          <w:shd w:val="clear" w:color="auto" w:fill="FFFFFF"/>
        </w:rPr>
        <w:t xml:space="preserve"> </w:t>
      </w:r>
      <w:r w:rsidRPr="00771368">
        <w:rPr>
          <w:rFonts w:eastAsia="Arial"/>
          <w:color w:val="000000"/>
          <w:shd w:val="clear" w:color="auto" w:fill="FFFFFF"/>
        </w:rPr>
        <w:t>violência,</w:t>
      </w:r>
      <w:r w:rsidRPr="00771368">
        <w:rPr>
          <w:color w:val="000000"/>
          <w:shd w:val="clear" w:color="auto" w:fill="FFFFFF"/>
        </w:rPr>
        <w:t xml:space="preserve"> </w:t>
      </w:r>
      <w:r w:rsidRPr="00771368">
        <w:rPr>
          <w:rFonts w:eastAsia="Arial"/>
          <w:color w:val="000000"/>
          <w:shd w:val="clear" w:color="auto" w:fill="FFFFFF"/>
        </w:rPr>
        <w:t>crueldade</w:t>
      </w:r>
      <w:r w:rsidRPr="00771368">
        <w:rPr>
          <w:color w:val="000000"/>
          <w:shd w:val="clear" w:color="auto" w:fill="FFFFFF"/>
        </w:rPr>
        <w:t xml:space="preserve"> </w:t>
      </w:r>
      <w:r w:rsidRPr="00771368">
        <w:rPr>
          <w:rFonts w:eastAsia="Arial"/>
          <w:color w:val="000000"/>
          <w:shd w:val="clear" w:color="auto" w:fill="FFFFFF"/>
        </w:rPr>
        <w:t>e</w:t>
      </w:r>
      <w:r w:rsidRPr="00771368">
        <w:rPr>
          <w:color w:val="000000"/>
          <w:shd w:val="clear" w:color="auto" w:fill="FFFFFF"/>
        </w:rPr>
        <w:t xml:space="preserve"> </w:t>
      </w:r>
      <w:r w:rsidRPr="00771368">
        <w:rPr>
          <w:rFonts w:eastAsia="Arial"/>
          <w:color w:val="000000"/>
          <w:shd w:val="clear" w:color="auto" w:fill="FFFFFF"/>
        </w:rPr>
        <w:t>opressão</w:t>
      </w:r>
      <w:r w:rsidRPr="00771368">
        <w:rPr>
          <w:color w:val="000000"/>
          <w:shd w:val="clear" w:color="auto" w:fill="FFFFFF"/>
        </w:rPr>
        <w:t xml:space="preserve">” </w:t>
      </w:r>
      <w:r w:rsidRPr="00771368">
        <w:rPr>
          <w:rFonts w:eastAsia="StoneSerif"/>
          <w:color w:val="000000"/>
          <w:shd w:val="clear" w:color="auto" w:fill="FFFFFF"/>
        </w:rPr>
        <w:t>(Art.</w:t>
      </w:r>
      <w:r w:rsidRPr="00771368">
        <w:rPr>
          <w:color w:val="000000"/>
          <w:shd w:val="clear" w:color="auto" w:fill="FFFFFF"/>
        </w:rPr>
        <w:t xml:space="preserve"> 3</w:t>
      </w:r>
      <w:r w:rsidRPr="00771368">
        <w:rPr>
          <w:rFonts w:eastAsia="StoneSerif"/>
          <w:color w:val="000000"/>
          <w:shd w:val="clear" w:color="auto" w:fill="FFFFFF"/>
        </w:rPr>
        <w:t>º</w:t>
      </w:r>
      <w:r w:rsidRPr="00771368">
        <w:rPr>
          <w:color w:val="000000"/>
          <w:shd w:val="clear" w:color="auto" w:fill="FFFFFF"/>
        </w:rPr>
        <w:t xml:space="preserve"> </w:t>
      </w:r>
      <w:r w:rsidRPr="00771368">
        <w:rPr>
          <w:rFonts w:eastAsia="Arial"/>
          <w:color w:val="000000"/>
          <w:shd w:val="clear" w:color="auto" w:fill="FFFFFF"/>
        </w:rPr>
        <w:t>Lei</w:t>
      </w:r>
      <w:r w:rsidRPr="00771368">
        <w:rPr>
          <w:color w:val="000000"/>
          <w:shd w:val="clear" w:color="auto" w:fill="FFFFFF"/>
        </w:rPr>
        <w:t xml:space="preserve"> </w:t>
      </w:r>
      <w:r w:rsidRPr="00771368">
        <w:rPr>
          <w:rFonts w:eastAsia="Arial"/>
          <w:color w:val="000000"/>
          <w:shd w:val="clear" w:color="auto" w:fill="FFFFFF"/>
        </w:rPr>
        <w:t>11.340</w:t>
      </w:r>
      <w:r w:rsidRPr="00771368">
        <w:rPr>
          <w:rFonts w:eastAsia="StoneSerif"/>
          <w:color w:val="000000"/>
          <w:shd w:val="clear" w:color="auto" w:fill="FFFFFF"/>
          <w:lang w:val="it-IT"/>
        </w:rPr>
        <w:t>/06</w:t>
      </w:r>
      <w:r w:rsidRPr="00771368">
        <w:rPr>
          <w:rFonts w:eastAsia="StoneSerif"/>
          <w:color w:val="000000"/>
          <w:shd w:val="clear" w:color="auto" w:fill="FFFFFF"/>
        </w:rPr>
        <w:t>).</w:t>
      </w:r>
      <w:r w:rsidRPr="00771368">
        <w:rPr>
          <w:color w:val="000000"/>
          <w:shd w:val="clear" w:color="auto" w:fill="FFFFFF"/>
        </w:rPr>
        <w:t xml:space="preserve"> </w:t>
      </w:r>
      <w:r w:rsidRPr="00771368">
        <w:rPr>
          <w:rFonts w:eastAsia="Arial"/>
          <w:color w:val="000000"/>
        </w:rPr>
        <w:t>A</w:t>
      </w:r>
      <w:r w:rsidRPr="00771368">
        <w:rPr>
          <w:color w:val="000000"/>
        </w:rPr>
        <w:t xml:space="preserve"> </w:t>
      </w:r>
      <w:r w:rsidRPr="00771368">
        <w:rPr>
          <w:rFonts w:eastAsia="Arial"/>
          <w:color w:val="000000"/>
        </w:rPr>
        <w:t>incansável</w:t>
      </w:r>
      <w:r w:rsidRPr="00771368">
        <w:rPr>
          <w:color w:val="000000"/>
        </w:rPr>
        <w:t xml:space="preserve"> </w:t>
      </w:r>
      <w:r w:rsidRPr="00771368">
        <w:rPr>
          <w:rFonts w:eastAsia="Arial"/>
          <w:color w:val="000000"/>
        </w:rPr>
        <w:t>luta</w:t>
      </w:r>
      <w:r w:rsidRPr="00771368">
        <w:rPr>
          <w:color w:val="000000"/>
        </w:rPr>
        <w:t xml:space="preserve"> </w:t>
      </w:r>
      <w:r w:rsidRPr="00771368">
        <w:rPr>
          <w:rFonts w:eastAsia="Arial"/>
          <w:color w:val="000000"/>
        </w:rPr>
        <w:t>de</w:t>
      </w:r>
      <w:r w:rsidRPr="00771368">
        <w:rPr>
          <w:color w:val="000000"/>
        </w:rPr>
        <w:t xml:space="preserve"> </w:t>
      </w:r>
      <w:r w:rsidRPr="00771368">
        <w:rPr>
          <w:rFonts w:eastAsia="Arial"/>
          <w:color w:val="000000"/>
        </w:rPr>
        <w:t>Maria</w:t>
      </w:r>
      <w:r w:rsidRPr="00771368">
        <w:rPr>
          <w:color w:val="000000"/>
        </w:rPr>
        <w:t xml:space="preserve"> </w:t>
      </w:r>
      <w:r w:rsidRPr="00771368">
        <w:rPr>
          <w:rFonts w:eastAsia="Arial"/>
          <w:color w:val="000000"/>
        </w:rPr>
        <w:t>da</w:t>
      </w:r>
      <w:r w:rsidRPr="00771368">
        <w:rPr>
          <w:color w:val="000000"/>
        </w:rPr>
        <w:t xml:space="preserve"> </w:t>
      </w:r>
      <w:r w:rsidRPr="00771368">
        <w:rPr>
          <w:rFonts w:eastAsia="Arial"/>
          <w:color w:val="000000"/>
        </w:rPr>
        <w:t>Penha</w:t>
      </w:r>
      <w:r w:rsidRPr="00771368">
        <w:rPr>
          <w:color w:val="000000"/>
        </w:rPr>
        <w:t xml:space="preserve"> </w:t>
      </w:r>
      <w:r w:rsidRPr="00771368">
        <w:rPr>
          <w:rFonts w:eastAsia="Arial"/>
          <w:color w:val="000000"/>
        </w:rPr>
        <w:t>aliada</w:t>
      </w:r>
      <w:r w:rsidRPr="00771368">
        <w:rPr>
          <w:color w:val="000000"/>
        </w:rPr>
        <w:t xml:space="preserve"> </w:t>
      </w:r>
      <w:r w:rsidRPr="00771368">
        <w:rPr>
          <w:rFonts w:eastAsia="Arial"/>
          <w:color w:val="000000"/>
        </w:rPr>
        <w:t>às</w:t>
      </w:r>
      <w:r w:rsidRPr="00771368">
        <w:rPr>
          <w:color w:val="000000"/>
        </w:rPr>
        <w:t xml:space="preserve"> </w:t>
      </w:r>
      <w:r w:rsidRPr="00771368">
        <w:rPr>
          <w:rFonts w:eastAsia="Arial"/>
          <w:color w:val="000000"/>
        </w:rPr>
        <w:t>pressões</w:t>
      </w:r>
      <w:r w:rsidRPr="00771368">
        <w:rPr>
          <w:color w:val="000000"/>
        </w:rPr>
        <w:t xml:space="preserve"> </w:t>
      </w:r>
      <w:r w:rsidRPr="00771368">
        <w:rPr>
          <w:rFonts w:eastAsia="Arial"/>
          <w:color w:val="000000"/>
        </w:rPr>
        <w:t>internacionais</w:t>
      </w:r>
      <w:r w:rsidRPr="00771368">
        <w:rPr>
          <w:color w:val="000000"/>
        </w:rPr>
        <w:t xml:space="preserve"> </w:t>
      </w:r>
      <w:r w:rsidRPr="00771368">
        <w:rPr>
          <w:rFonts w:eastAsia="Arial"/>
          <w:color w:val="000000"/>
        </w:rPr>
        <w:t>renderam</w:t>
      </w:r>
      <w:r w:rsidRPr="00771368">
        <w:rPr>
          <w:color w:val="000000"/>
        </w:rPr>
        <w:t xml:space="preserve"> </w:t>
      </w:r>
      <w:r w:rsidRPr="00771368">
        <w:rPr>
          <w:rFonts w:eastAsia="Arial"/>
          <w:color w:val="000000"/>
        </w:rPr>
        <w:t>às</w:t>
      </w:r>
      <w:r w:rsidRPr="00771368">
        <w:rPr>
          <w:color w:val="000000"/>
        </w:rPr>
        <w:t xml:space="preserve"> </w:t>
      </w:r>
      <w:r w:rsidRPr="00771368">
        <w:rPr>
          <w:rFonts w:eastAsia="Arial"/>
          <w:color w:val="000000"/>
        </w:rPr>
        <w:t>mulheres</w:t>
      </w:r>
      <w:r w:rsidRPr="00771368">
        <w:rPr>
          <w:color w:val="000000"/>
        </w:rPr>
        <w:t xml:space="preserve"> </w:t>
      </w:r>
      <w:r w:rsidRPr="00771368">
        <w:rPr>
          <w:rFonts w:eastAsia="Arial"/>
          <w:color w:val="000000"/>
        </w:rPr>
        <w:t>brasileiras</w:t>
      </w:r>
      <w:r w:rsidRPr="00771368">
        <w:rPr>
          <w:color w:val="000000"/>
        </w:rPr>
        <w:t xml:space="preserve"> </w:t>
      </w:r>
      <w:r w:rsidRPr="00771368">
        <w:rPr>
          <w:rFonts w:eastAsia="Arial"/>
          <w:color w:val="000000"/>
        </w:rPr>
        <w:t>uma</w:t>
      </w:r>
      <w:r w:rsidRPr="00771368">
        <w:rPr>
          <w:color w:val="000000"/>
        </w:rPr>
        <w:t xml:space="preserve"> </w:t>
      </w:r>
      <w:r w:rsidRPr="00771368">
        <w:rPr>
          <w:rFonts w:eastAsia="Arial"/>
          <w:color w:val="000000"/>
        </w:rPr>
        <w:t>lei</w:t>
      </w:r>
      <w:r w:rsidRPr="00771368">
        <w:rPr>
          <w:color w:val="000000"/>
        </w:rPr>
        <w:t xml:space="preserve"> </w:t>
      </w:r>
      <w:r w:rsidRPr="00771368">
        <w:rPr>
          <w:rFonts w:eastAsia="Arial"/>
          <w:color w:val="000000"/>
        </w:rPr>
        <w:t>de</w:t>
      </w:r>
      <w:r w:rsidRPr="00771368">
        <w:rPr>
          <w:color w:val="000000"/>
        </w:rPr>
        <w:t xml:space="preserve"> </w:t>
      </w:r>
      <w:r w:rsidRPr="00771368">
        <w:rPr>
          <w:rFonts w:eastAsia="Arial"/>
          <w:color w:val="000000"/>
        </w:rPr>
        <w:t>proteção</w:t>
      </w:r>
      <w:r w:rsidRPr="00771368">
        <w:rPr>
          <w:color w:val="000000"/>
        </w:rPr>
        <w:t xml:space="preserve"> contra a violênc</w:t>
      </w:r>
      <w:r w:rsidRPr="00771368">
        <w:rPr>
          <w:color w:val="000000"/>
          <w:sz w:val="24"/>
          <w:szCs w:val="24"/>
        </w:rPr>
        <w:t>ia que, para os efeitos desta Lei, configura-se como “qualquer ação ou omissão baseada no gênero que lhe cause morte, lesão, sofrimento físico, sexual ou psicológico e dano moral ou patrimonial” (Lei 11.340</w:t>
      </w:r>
      <w:r w:rsidRPr="00771368">
        <w:rPr>
          <w:color w:val="000000"/>
          <w:sz w:val="24"/>
          <w:szCs w:val="24"/>
          <w:lang w:val="it-IT"/>
        </w:rPr>
        <w:t>/06).</w:t>
      </w:r>
    </w:p>
    <w:p w:rsidR="00D24E61" w:rsidRPr="00771368" w:rsidRDefault="00D24E61">
      <w:pPr>
        <w:spacing w:line="360" w:lineRule="auto"/>
        <w:ind w:firstLine="868"/>
        <w:jc w:val="both"/>
        <w:rPr>
          <w:color w:val="000000"/>
          <w:sz w:val="20"/>
          <w:szCs w:val="20"/>
        </w:rPr>
      </w:pPr>
      <w:r w:rsidRPr="00771368">
        <w:rPr>
          <w:color w:val="000000"/>
        </w:rPr>
        <w:t>A abrangência e os objetivos da Lei Maria da Penha provoca inovações em várias instâncias judiciais, pois</w:t>
      </w:r>
    </w:p>
    <w:p w:rsidR="00D24E61" w:rsidRPr="00771368" w:rsidRDefault="00D24E61">
      <w:pPr>
        <w:pStyle w:val="Corpodetexto"/>
        <w:spacing w:before="0" w:after="0" w:line="100" w:lineRule="atLeast"/>
        <w:ind w:left="2268"/>
        <w:jc w:val="both"/>
        <w:rPr>
          <w:color w:val="000000"/>
        </w:rPr>
      </w:pPr>
      <w:r w:rsidRPr="00771368">
        <w:rPr>
          <w:color w:val="000000"/>
          <w:sz w:val="20"/>
          <w:szCs w:val="20"/>
        </w:rPr>
        <w:t>Cria mecanismos para coibir a violência doméstica e familiar contra a mulher, nos termos do § 8º do art. 226 da Constituição Federal, da Convenção sobre a Eliminação de Todas as Formas de Discriminação contra as Mulheres e da Convenção Interamericana para Prevenir, Punir e Erradicar a Violência contra a Mulher; dispõe sobre a criação dos Juizados de Violência Doméstica e Familiar contra a Mulher; altera o Código de Processo Penal, o Código Penal e a Lei de Execução Penal; e dá outras providências (Lei 11.340</w:t>
      </w:r>
      <w:r w:rsidRPr="00771368">
        <w:rPr>
          <w:color w:val="000000"/>
          <w:sz w:val="20"/>
          <w:szCs w:val="20"/>
          <w:lang w:val="it-IT"/>
        </w:rPr>
        <w:t>/06</w:t>
      </w:r>
      <w:r w:rsidRPr="00771368">
        <w:rPr>
          <w:color w:val="000000"/>
          <w:sz w:val="20"/>
          <w:szCs w:val="20"/>
        </w:rPr>
        <w:t>).</w:t>
      </w:r>
    </w:p>
    <w:p w:rsidR="00D24E61" w:rsidRPr="00771368" w:rsidRDefault="00D24E61">
      <w:pPr>
        <w:pStyle w:val="Corpodetexto"/>
        <w:spacing w:line="360" w:lineRule="auto"/>
        <w:jc w:val="both"/>
        <w:rPr>
          <w:color w:val="000000"/>
        </w:rPr>
      </w:pPr>
    </w:p>
    <w:p w:rsidR="00D24E61" w:rsidRPr="00771368" w:rsidRDefault="00D24E61">
      <w:pPr>
        <w:pStyle w:val="Corpodetexto"/>
        <w:spacing w:before="0" w:after="0" w:line="360" w:lineRule="auto"/>
        <w:ind w:firstLine="855"/>
        <w:jc w:val="both"/>
        <w:rPr>
          <w:color w:val="000000"/>
        </w:rPr>
      </w:pPr>
      <w:r w:rsidRPr="00771368">
        <w:rPr>
          <w:color w:val="000000"/>
        </w:rPr>
        <w:t>O § 8º do art. 226 da Constituição Federal</w:t>
      </w:r>
      <w:r w:rsidRPr="00771368">
        <w:rPr>
          <w:rStyle w:val="Caracteresdenotaderodap"/>
          <w:color w:val="000000"/>
        </w:rPr>
        <w:footnoteReference w:id="131"/>
      </w:r>
      <w:r w:rsidRPr="00771368">
        <w:rPr>
          <w:color w:val="000000"/>
        </w:rPr>
        <w:t xml:space="preserve">  diz que: “O Estado assegurará a assistência à família, na pessoa de cada um dos que a integram, criando mecanismos para coibir a violência no âmbito das relações”. Muito embora concordemos com Saffioti (2008) ao assinalar que “t</w:t>
      </w:r>
      <w:r w:rsidRPr="00771368">
        <w:rPr>
          <w:rFonts w:eastAsia="Arial"/>
          <w:color w:val="000000"/>
        </w:rPr>
        <w:t>al</w:t>
      </w:r>
      <w:r w:rsidRPr="00771368">
        <w:rPr>
          <w:color w:val="000000"/>
        </w:rPr>
        <w:t xml:space="preserve"> princípio conflita expressamente com a ideologia dominante, que considera a família um grupo privado, no âmbito do qual seria descabida a ingerência do Estado” (SAFFIOTI, 2008, p.110)</w:t>
      </w:r>
      <w:r w:rsidRPr="00771368">
        <w:rPr>
          <w:rFonts w:eastAsia="Arial"/>
          <w:color w:val="000000"/>
          <w:sz w:val="22"/>
          <w:szCs w:val="22"/>
        </w:rPr>
        <w:t xml:space="preserve"> p</w:t>
      </w:r>
      <w:r w:rsidRPr="00771368">
        <w:rPr>
          <w:color w:val="000000"/>
        </w:rPr>
        <w:t>odemos observar que apesar da inovação em relação a leis anteriores, o parágrafo citado é genérico e não faz referência específica à mulher. Ato que a Lei vem fazer menção.</w:t>
      </w:r>
    </w:p>
    <w:p w:rsidR="00D24E61" w:rsidRPr="00771368" w:rsidRDefault="00D24E61">
      <w:pPr>
        <w:spacing w:line="360" w:lineRule="auto"/>
        <w:ind w:firstLine="855"/>
        <w:jc w:val="both"/>
        <w:rPr>
          <w:color w:val="000000"/>
          <w:sz w:val="20"/>
          <w:szCs w:val="20"/>
        </w:rPr>
      </w:pPr>
      <w:r w:rsidRPr="00771368">
        <w:rPr>
          <w:color w:val="000000"/>
        </w:rPr>
        <w:t xml:space="preserve"> No Brasil (como em várias nações latino-americanas) a violência doméstica e familiar contra a mulher tende a configurar-se como endêmica. Com a aprovação da Lei Maria da Penha, o Brasil tornou-se o 18º país da América Latina a possuir uma lei específica para a mulher em situação de violência (RIBEIRO, 2008). A Lei é abrangente e possui um caráter progressista, observemos, por exemplo, o Artigo 2° o qual assinala que</w:t>
      </w:r>
    </w:p>
    <w:p w:rsidR="00D24E61" w:rsidRPr="00771368" w:rsidRDefault="00D24E61">
      <w:pPr>
        <w:spacing w:line="100" w:lineRule="atLeast"/>
        <w:ind w:left="2268"/>
        <w:jc w:val="both"/>
        <w:rPr>
          <w:color w:val="000000"/>
          <w:sz w:val="20"/>
          <w:szCs w:val="20"/>
        </w:rPr>
      </w:pPr>
    </w:p>
    <w:p w:rsidR="00D24E61" w:rsidRPr="00771368" w:rsidRDefault="00D24E61">
      <w:pPr>
        <w:spacing w:line="100" w:lineRule="atLeast"/>
        <w:ind w:left="2268"/>
        <w:jc w:val="both"/>
        <w:rPr>
          <w:color w:val="000000"/>
        </w:rPr>
      </w:pPr>
      <w:r w:rsidRPr="00771368">
        <w:rPr>
          <w:color w:val="000000"/>
          <w:sz w:val="20"/>
          <w:szCs w:val="20"/>
          <w:shd w:val="clear" w:color="auto" w:fill="FFFFFF"/>
        </w:rPr>
        <w:t>Toda mulher, independentemente de classe, raça, etnia, orientação sexual, renda, cultura, nível educacional, idade e religião, goza dos direitos fundamentais inerentes à pessoa humana, sendo-lhe asseguradas as oportunidades e facilidades para viver sem violência, preservar sua saúde física e mental e seu aperfeiçoamento moral, intelectual e social (Art. 2º Lei 11.340</w:t>
      </w:r>
      <w:r w:rsidRPr="00771368">
        <w:rPr>
          <w:color w:val="000000"/>
          <w:sz w:val="20"/>
          <w:szCs w:val="20"/>
          <w:shd w:val="clear" w:color="auto" w:fill="FFFFFF"/>
          <w:lang w:val="it-IT"/>
        </w:rPr>
        <w:t>/06</w:t>
      </w:r>
      <w:r w:rsidRPr="00771368">
        <w:rPr>
          <w:color w:val="000000"/>
          <w:sz w:val="20"/>
          <w:szCs w:val="20"/>
          <w:shd w:val="clear" w:color="auto" w:fill="FFFFFF"/>
        </w:rPr>
        <w:t>).</w:t>
      </w:r>
    </w:p>
    <w:p w:rsidR="00D24E61" w:rsidRPr="00771368" w:rsidRDefault="00D24E61">
      <w:pPr>
        <w:spacing w:line="360" w:lineRule="auto"/>
        <w:ind w:firstLine="850"/>
        <w:jc w:val="both"/>
        <w:rPr>
          <w:color w:val="000000"/>
        </w:rPr>
      </w:pPr>
    </w:p>
    <w:p w:rsidR="00D24E61" w:rsidRPr="00771368" w:rsidRDefault="00D24E61">
      <w:pPr>
        <w:spacing w:line="360" w:lineRule="auto"/>
        <w:ind w:firstLine="850"/>
        <w:jc w:val="both"/>
        <w:rPr>
          <w:color w:val="000000"/>
        </w:rPr>
      </w:pPr>
      <w:r w:rsidRPr="00771368">
        <w:rPr>
          <w:color w:val="000000"/>
        </w:rPr>
        <w:t>Ao mesmo tempo, essa “tônica protecionista” vem fazendo com que a Lei seja alvo de fortes críticas. Críticas estas, que vão da acusação de uma suposta inconstitucionalidade à uma ideia de paternalismo. Importante lembrarmos que a Lei aplica-se nos casos de violência doméstica ou familiar contra a mulher, independentemente se o agente agressor for do sexo masculino e/ou feminino.</w:t>
      </w:r>
    </w:p>
    <w:p w:rsidR="00D24E61" w:rsidRPr="00771368" w:rsidRDefault="00D24E61">
      <w:pPr>
        <w:spacing w:line="360" w:lineRule="auto"/>
        <w:ind w:firstLine="850"/>
        <w:jc w:val="both"/>
        <w:rPr>
          <w:color w:val="000000"/>
        </w:rPr>
      </w:pPr>
    </w:p>
    <w:p w:rsidR="00D24E61" w:rsidRPr="00771368" w:rsidRDefault="00D24E61">
      <w:pPr>
        <w:spacing w:line="360" w:lineRule="auto"/>
        <w:jc w:val="both"/>
        <w:rPr>
          <w:color w:val="000000"/>
        </w:rPr>
      </w:pPr>
      <w:r w:rsidRPr="00771368">
        <w:rPr>
          <w:b/>
          <w:bCs/>
          <w:color w:val="000000"/>
        </w:rPr>
        <w:t>A construção dos agentes sociais, condição feminina e violência</w:t>
      </w:r>
    </w:p>
    <w:p w:rsidR="00D24E61" w:rsidRPr="00771368" w:rsidRDefault="00D24E61">
      <w:pPr>
        <w:spacing w:line="360" w:lineRule="auto"/>
        <w:ind w:firstLine="850"/>
        <w:jc w:val="both"/>
        <w:rPr>
          <w:color w:val="000000"/>
        </w:rPr>
      </w:pPr>
      <w:r w:rsidRPr="00771368">
        <w:rPr>
          <w:color w:val="000000"/>
        </w:rPr>
        <w:t xml:space="preserve">A fim de compreendermos as dinâmicas atuais das complexas relações entre mulheres e homens é necessário atentarmos à construção histórica e cultural dessas personagens e de suas relações, nos diversos campos da vida individual e em sociedade. Na formação do Brasil e das “mentalidades brasileiras” o Estado, a Igreja e a família – e mais recentemente a escola – tiveram, ao longo do tempo, em maior ou menor intensidade, o papel de reguladores e normatizadores das condutas sociais, aos moldes do processo civilizatório em voga na Europa. É importante acrescentar que atualmente outros veículos como a mídia e a propaganda, vêm conquistando poder como reguladores sociais, muitas vezes reforçando preconceitos e estereótipos, tornando-se cada vez mais influentes na “imposição” de modelos, comportamentos e valores e na circulação de pensamentos e ideais que acabam atingindo a todos, direta ou indiretamente. </w:t>
      </w:r>
    </w:p>
    <w:p w:rsidR="00D24E61" w:rsidRPr="00771368" w:rsidRDefault="00D24E61">
      <w:pPr>
        <w:spacing w:line="360" w:lineRule="auto"/>
        <w:ind w:firstLine="850"/>
        <w:jc w:val="both"/>
        <w:rPr>
          <w:color w:val="000000"/>
        </w:rPr>
      </w:pPr>
      <w:r w:rsidRPr="00771368">
        <w:rPr>
          <w:color w:val="000000"/>
        </w:rPr>
        <w:t>O</w:t>
      </w:r>
      <w:r w:rsidRPr="00771368">
        <w:rPr>
          <w:b/>
          <w:bCs/>
          <w:color w:val="000000"/>
        </w:rPr>
        <w:t xml:space="preserve"> </w:t>
      </w:r>
      <w:r w:rsidRPr="00771368">
        <w:rPr>
          <w:color w:val="000000"/>
        </w:rPr>
        <w:t>Concílio de Trento, realizado no século XVI, estabeleceu e reforçou normas morais e valores a serem seguidos por aqueles que professavam a fé católica. As normas tridentinas tiveram enorme influência no mundo ocidental, chegando à Colônia Portuguesa através dos missionários e jesuítas que exerciam poder pela “educação” que difundiam.</w:t>
      </w:r>
    </w:p>
    <w:p w:rsidR="00D24E61" w:rsidRPr="00771368" w:rsidRDefault="00D24E61">
      <w:pPr>
        <w:spacing w:line="360" w:lineRule="auto"/>
        <w:ind w:firstLine="855"/>
        <w:jc w:val="both"/>
        <w:rPr>
          <w:color w:val="000000"/>
        </w:rPr>
      </w:pPr>
      <w:r w:rsidRPr="00771368">
        <w:rPr>
          <w:color w:val="000000"/>
        </w:rPr>
        <w:t>Vieram para a Colônia fluxos humanos os mais variados, as relações interpessoais que aqui se estabeleceram tiveram por base diferentes tipos de violência e dominação, do homem sobre a mulher, do branco sobre o indígena e depois sobre o negro escravizado. A violência, como assinala Strey (2001) “tem muitas caras, algumas disfarçadas de tradição, outras de moralidade, outras, sem disfarce algum, mas sempre carregadas de algum tipo ou qualidade de poder que lhes permitam violentar em alguma extensão” (STREY, 2001, p. 48). Aqui na Colônia, as relações, na maioria das vezes, sofreram o peso da violência em suas variadas dimensões e intensidades.</w:t>
      </w:r>
    </w:p>
    <w:p w:rsidR="00D24E61" w:rsidRPr="00771368" w:rsidRDefault="00D24E61">
      <w:pPr>
        <w:spacing w:line="360" w:lineRule="auto"/>
        <w:ind w:firstLine="850"/>
        <w:jc w:val="both"/>
        <w:rPr>
          <w:color w:val="000000"/>
        </w:rPr>
      </w:pPr>
      <w:r w:rsidRPr="00771368">
        <w:rPr>
          <w:color w:val="000000"/>
        </w:rPr>
        <w:t xml:space="preserve">A Coroa e a Igreja enalteceram o casamento como mantenedor e regulador de relações que, sobretudo nas classes baixas, eram clandestinas, constituídas por amancebamentos nos quais muitas mulheres vinham abandonadas por companheiros que partiam em busca de melhores condições de existência. O casamento era, ao menos inicialmente, coisa da elite que, para manter o patrimônio de família e proteger a herança dos filhos, mais facilmente se adequaram às novas regras sociais. Houve, sobretudo a partir de século XVII, o florescimento da necessidade de relações mais estáveis na Colônia, até então vista como um local de violência e abandono. O casamento passou a ser incentivado como forma de proteção à mulher, à família e à moralidade e também, como um modo de promover o saneamento econômico e social (DEL PRIORE, 1993). </w:t>
      </w:r>
    </w:p>
    <w:p w:rsidR="00D24E61" w:rsidRPr="00771368" w:rsidRDefault="00D24E61">
      <w:pPr>
        <w:spacing w:line="360" w:lineRule="auto"/>
        <w:ind w:firstLine="855"/>
        <w:jc w:val="both"/>
        <w:rPr>
          <w:color w:val="000000"/>
        </w:rPr>
      </w:pPr>
      <w:r w:rsidRPr="00771368">
        <w:rPr>
          <w:color w:val="000000"/>
        </w:rPr>
        <w:t>Os contornos comportamentais das mulheres e dos homens foram sendo forjados de acordo com interesses particulares e estatais</w:t>
      </w:r>
      <w:r w:rsidRPr="00771368">
        <w:rPr>
          <w:color w:val="000000"/>
          <w:lang w:val="it-IT"/>
        </w:rPr>
        <w:t>/</w:t>
      </w:r>
      <w:r w:rsidRPr="00771368">
        <w:rPr>
          <w:color w:val="000000"/>
        </w:rPr>
        <w:t>religiosos. Vemos que a “conjugalidade, entendida como relações estáveis entre homens e mulheres que pressupõem o exercício da sexualidade, a coabitação e a reprodução familiar.” (MACHADO, 2004, p. 46) foi se configurando como único modelo de relação “visto com bons olhos”.</w:t>
      </w:r>
    </w:p>
    <w:p w:rsidR="00D24E61" w:rsidRPr="00771368" w:rsidRDefault="00D24E61">
      <w:pPr>
        <w:spacing w:line="360" w:lineRule="auto"/>
        <w:ind w:firstLine="855"/>
        <w:jc w:val="both"/>
        <w:rPr>
          <w:color w:val="000000"/>
        </w:rPr>
      </w:pPr>
      <w:r w:rsidRPr="00771368">
        <w:rPr>
          <w:color w:val="000000"/>
        </w:rPr>
        <w:t>Ao longo do tempo, os discursos biológico</w:t>
      </w:r>
      <w:r w:rsidRPr="00771368">
        <w:rPr>
          <w:color w:val="000000"/>
          <w:lang w:val="it-IT"/>
        </w:rPr>
        <w:t>/</w:t>
      </w:r>
      <w:r w:rsidRPr="00771368">
        <w:rPr>
          <w:color w:val="000000"/>
        </w:rPr>
        <w:t xml:space="preserve">naturalizantes serviram para criar e consolidar um papel a cada um dos gêneros sociais. O homem “forte e inteligente” deveria cuidar da mulher “frágil e incapaz”. Esses discursos prevaleceram até pouco tempo. Foi custosa a admissão médica que, substancialmente, a capacidade intelectual de ambos os gêneros era idêntica. </w:t>
      </w:r>
    </w:p>
    <w:p w:rsidR="00D24E61" w:rsidRPr="00771368" w:rsidRDefault="00D24E61">
      <w:pPr>
        <w:spacing w:line="360" w:lineRule="auto"/>
        <w:ind w:firstLine="855"/>
        <w:jc w:val="both"/>
        <w:rPr>
          <w:color w:val="000000"/>
        </w:rPr>
      </w:pPr>
      <w:r w:rsidRPr="00771368">
        <w:rPr>
          <w:color w:val="000000"/>
        </w:rPr>
        <w:t xml:space="preserve">Entendemos a feminilidade e a masculinidade como comportamentos construídos social e culturalmente, não podendo levar o estatuto de </w:t>
      </w:r>
      <w:r w:rsidRPr="00771368">
        <w:rPr>
          <w:color w:val="000000"/>
          <w:lang w:val="it-IT"/>
        </w:rPr>
        <w:t>natural/biológico</w:t>
      </w:r>
      <w:r w:rsidRPr="00771368">
        <w:rPr>
          <w:color w:val="000000"/>
        </w:rPr>
        <w:t>. A naturalização dos comportamentos e dos papéis sociais serviu como</w:t>
      </w:r>
      <w:r w:rsidRPr="00771368">
        <w:rPr>
          <w:color w:val="000000"/>
          <w:shd w:val="clear" w:color="auto" w:fill="FFFFFF"/>
        </w:rPr>
        <w:t xml:space="preserve"> álibi </w:t>
      </w:r>
      <w:r w:rsidRPr="00771368">
        <w:rPr>
          <w:color w:val="000000"/>
        </w:rPr>
        <w:t>de dominação e domesticação das condições feminina e masculina. Do homem se esperava a força, o empreendedorismo, as decisões, as provisões, a dedicação ao público, às “coisas importantes”, enquanto que à mulher foi relegado um papel infantilizado, no doméstico e privado, considerado menos importante ou fútil. Podemos refletir, porém, que os papéis domésticos de reprodução e cuidados com a prole, num dado momento, foram convenientes às mulheres. Elas fizeram uma espécie de  acordo tácito com seus agentes persuasivos. A mulher, aqui entendida como mãe, educadora, fiel e zelosa de seus/</w:t>
      </w:r>
      <w:r w:rsidRPr="00771368">
        <w:rPr>
          <w:color w:val="000000"/>
          <w:lang w:val="it-IT"/>
        </w:rPr>
        <w:t>suas</w:t>
      </w:r>
      <w:r w:rsidRPr="00771368">
        <w:rPr>
          <w:color w:val="000000"/>
        </w:rPr>
        <w:t xml:space="preserve"> filh@s e de seu marido, torna-se a cúmplice estatal para a criação e reprodução de um modelo ideal de civilização baseado na ordem, no trabalho e no compromisso cristão. Isso fez com que ela rompesse a inércia de sua vida privada, nas sombras, e passasse a desempenhar o papel de sujeito histórico, papel historicamente relegado aos homens.</w:t>
      </w:r>
    </w:p>
    <w:p w:rsidR="00D24E61" w:rsidRPr="00771368" w:rsidRDefault="00D24E61">
      <w:pPr>
        <w:spacing w:line="360" w:lineRule="auto"/>
        <w:ind w:firstLine="855"/>
        <w:jc w:val="both"/>
        <w:rPr>
          <w:color w:val="000000"/>
        </w:rPr>
      </w:pPr>
      <w:r w:rsidRPr="00771368">
        <w:rPr>
          <w:color w:val="000000"/>
        </w:rPr>
        <w:t>Os homens, assim como as mulheres, sofreram as consequências das políticas higienistas do século XIX, fossem eles grandes proprietários de terras, indústrias ou comércio ou indivíduos despossuídos. Em geral, os homens se transformaram em “pais higiênicos”; cada grupo se aliou ao Estado à sua maneira, buscando defender seus interesses próprios. Esse novo compromisso e trato com a paternidade foi recompensado pelo machismo. Em relação ao machismo, vemos que “para o 'homem médio', cúmplice do Estado agrário e seus senhores, esta conduta terá uma enorme importância. Será, praticamente, um dos raros 'direitos' e uma das raras parcelas de poder social que poderá usufruir sem restrição” (COSTA, 1999, p. 251). Sobre esse assunto, Strey (2001) citando Saffioti (1997) faz uma reflexão sobre o fato de que os homens foram educados para lidarem com o poder e não com a impotência, ação nem sempre possível numa sociedade dividida em classes sociais, o que reforçaria a ideia de poder de gênero utilizado para compensar as frustrações e dominações sofridas em outras áreas.</w:t>
      </w:r>
    </w:p>
    <w:p w:rsidR="00D24E61" w:rsidRPr="00771368" w:rsidRDefault="00D24E61">
      <w:pPr>
        <w:pStyle w:val="Normal1"/>
        <w:spacing w:line="360" w:lineRule="auto"/>
        <w:ind w:firstLine="850"/>
        <w:jc w:val="both"/>
        <w:rPr>
          <w:rFonts w:ascii="Times New Roman" w:hAnsi="Times New Roman" w:cs="Times New Roman"/>
        </w:rPr>
      </w:pP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afirmação</w:t>
      </w:r>
      <w:r w:rsidRPr="00771368">
        <w:rPr>
          <w:rFonts w:ascii="Times New Roman" w:eastAsia="Times New Roman" w:hAnsi="Times New Roman" w:cs="Times New Roman"/>
        </w:rPr>
        <w:t xml:space="preserve"> </w:t>
      </w:r>
      <w:r w:rsidRPr="00771368">
        <w:rPr>
          <w:rFonts w:ascii="Times New Roman" w:hAnsi="Times New Roman" w:cs="Times New Roman"/>
        </w:rPr>
        <w:t>da</w:t>
      </w:r>
      <w:r w:rsidRPr="00771368">
        <w:rPr>
          <w:rFonts w:ascii="Times New Roman" w:eastAsia="Times New Roman" w:hAnsi="Times New Roman" w:cs="Times New Roman"/>
        </w:rPr>
        <w:t xml:space="preserve"> </w:t>
      </w:r>
      <w:r w:rsidRPr="00771368">
        <w:rPr>
          <w:rFonts w:ascii="Times New Roman" w:hAnsi="Times New Roman" w:cs="Times New Roman"/>
        </w:rPr>
        <w:t>identidade</w:t>
      </w:r>
      <w:r w:rsidRPr="00771368">
        <w:rPr>
          <w:rFonts w:ascii="Times New Roman" w:eastAsia="Times New Roman" w:hAnsi="Times New Roman" w:cs="Times New Roman"/>
        </w:rPr>
        <w:t xml:space="preserve"> </w:t>
      </w:r>
      <w:r w:rsidRPr="00771368">
        <w:rPr>
          <w:rFonts w:ascii="Times New Roman" w:hAnsi="Times New Roman" w:cs="Times New Roman"/>
        </w:rPr>
        <w:t>e</w:t>
      </w:r>
      <w:r w:rsidRPr="00771368">
        <w:rPr>
          <w:rFonts w:ascii="Times New Roman" w:eastAsia="Times New Roman" w:hAnsi="Times New Roman" w:cs="Times New Roman"/>
        </w:rPr>
        <w:t xml:space="preserve"> </w:t>
      </w:r>
      <w:r w:rsidRPr="00771368">
        <w:rPr>
          <w:rFonts w:ascii="Times New Roman" w:hAnsi="Times New Roman" w:cs="Times New Roman"/>
        </w:rPr>
        <w:t>virilidade</w:t>
      </w:r>
      <w:r w:rsidRPr="00771368">
        <w:rPr>
          <w:rFonts w:ascii="Times New Roman" w:eastAsia="Times New Roman" w:hAnsi="Times New Roman" w:cs="Times New Roman"/>
        </w:rPr>
        <w:t xml:space="preserve"> </w:t>
      </w:r>
      <w:r w:rsidRPr="00771368">
        <w:rPr>
          <w:rFonts w:ascii="Times New Roman" w:hAnsi="Times New Roman" w:cs="Times New Roman"/>
        </w:rPr>
        <w:t>masculinas</w:t>
      </w:r>
      <w:r w:rsidRPr="00771368">
        <w:rPr>
          <w:rFonts w:ascii="Times New Roman" w:eastAsia="Times New Roman" w:hAnsi="Times New Roman" w:cs="Times New Roman"/>
        </w:rPr>
        <w:t xml:space="preserve"> </w:t>
      </w:r>
      <w:r w:rsidRPr="00771368">
        <w:rPr>
          <w:rFonts w:ascii="Times New Roman" w:hAnsi="Times New Roman" w:cs="Times New Roman"/>
        </w:rPr>
        <w:t>seria</w:t>
      </w:r>
      <w:r w:rsidRPr="00771368">
        <w:rPr>
          <w:rFonts w:ascii="Times New Roman" w:eastAsia="Times New Roman" w:hAnsi="Times New Roman" w:cs="Times New Roman"/>
        </w:rPr>
        <w:t xml:space="preserve"> </w:t>
      </w:r>
      <w:r w:rsidRPr="00771368">
        <w:rPr>
          <w:rFonts w:ascii="Times New Roman" w:hAnsi="Times New Roman" w:cs="Times New Roman"/>
        </w:rPr>
        <w:t>diretamente</w:t>
      </w:r>
      <w:r w:rsidRPr="00771368">
        <w:rPr>
          <w:rFonts w:ascii="Times New Roman" w:eastAsia="Times New Roman" w:hAnsi="Times New Roman" w:cs="Times New Roman"/>
        </w:rPr>
        <w:t xml:space="preserve"> </w:t>
      </w:r>
      <w:r w:rsidRPr="00771368">
        <w:rPr>
          <w:rFonts w:ascii="Times New Roman" w:hAnsi="Times New Roman" w:cs="Times New Roman"/>
        </w:rPr>
        <w:t>relacionada</w:t>
      </w:r>
      <w:r w:rsidRPr="00771368">
        <w:rPr>
          <w:rFonts w:ascii="Times New Roman" w:eastAsia="Times New Roman" w:hAnsi="Times New Roman" w:cs="Times New Roman"/>
        </w:rPr>
        <w:t xml:space="preserve"> </w:t>
      </w:r>
      <w:r w:rsidRPr="00771368">
        <w:rPr>
          <w:rFonts w:ascii="Times New Roman" w:hAnsi="Times New Roman" w:cs="Times New Roman"/>
        </w:rPr>
        <w:t>à</w:t>
      </w:r>
      <w:r w:rsidRPr="00771368">
        <w:rPr>
          <w:rFonts w:ascii="Times New Roman" w:eastAsia="Times New Roman" w:hAnsi="Times New Roman" w:cs="Times New Roman"/>
        </w:rPr>
        <w:t xml:space="preserve"> </w:t>
      </w:r>
      <w:r w:rsidRPr="00771368">
        <w:rPr>
          <w:rFonts w:ascii="Times New Roman" w:hAnsi="Times New Roman" w:cs="Times New Roman"/>
        </w:rPr>
        <w:t>capacidade</w:t>
      </w:r>
      <w:r w:rsidRPr="00771368">
        <w:rPr>
          <w:rFonts w:ascii="Times New Roman" w:eastAsia="Times New Roman" w:hAnsi="Times New Roman" w:cs="Times New Roman"/>
        </w:rPr>
        <w:t xml:space="preserve"> </w:t>
      </w:r>
      <w:r w:rsidRPr="00771368">
        <w:rPr>
          <w:rFonts w:ascii="Times New Roman" w:hAnsi="Times New Roman" w:cs="Times New Roman"/>
        </w:rPr>
        <w:t>do</w:t>
      </w:r>
      <w:r w:rsidRPr="00771368">
        <w:rPr>
          <w:rFonts w:ascii="Times New Roman" w:eastAsia="Times New Roman" w:hAnsi="Times New Roman" w:cs="Times New Roman"/>
        </w:rPr>
        <w:t xml:space="preserve"> </w:t>
      </w:r>
      <w:r w:rsidRPr="00771368">
        <w:rPr>
          <w:rFonts w:ascii="Times New Roman" w:hAnsi="Times New Roman" w:cs="Times New Roman"/>
        </w:rPr>
        <w:t>homem</w:t>
      </w:r>
      <w:r w:rsidRPr="00771368">
        <w:rPr>
          <w:rFonts w:ascii="Times New Roman" w:eastAsia="Times New Roman" w:hAnsi="Times New Roman" w:cs="Times New Roman"/>
        </w:rPr>
        <w:t xml:space="preserve"> </w:t>
      </w:r>
      <w:r w:rsidRPr="00771368">
        <w:rPr>
          <w:rFonts w:ascii="Times New Roman" w:hAnsi="Times New Roman" w:cs="Times New Roman"/>
        </w:rPr>
        <w:t>em</w:t>
      </w:r>
      <w:r w:rsidRPr="00771368">
        <w:rPr>
          <w:rFonts w:ascii="Times New Roman" w:eastAsia="Times New Roman" w:hAnsi="Times New Roman" w:cs="Times New Roman"/>
        </w:rPr>
        <w:t xml:space="preserve"> </w:t>
      </w:r>
      <w:r w:rsidRPr="00771368">
        <w:rPr>
          <w:rFonts w:ascii="Times New Roman" w:hAnsi="Times New Roman" w:cs="Times New Roman"/>
        </w:rPr>
        <w:t>controlar</w:t>
      </w:r>
      <w:r w:rsidRPr="00771368">
        <w:rPr>
          <w:rFonts w:ascii="Times New Roman" w:eastAsia="Times New Roman" w:hAnsi="Times New Roman" w:cs="Times New Roman"/>
        </w:rPr>
        <w:t xml:space="preserve"> </w:t>
      </w:r>
      <w:r w:rsidRPr="00771368">
        <w:rPr>
          <w:rFonts w:ascii="Times New Roman" w:hAnsi="Times New Roman" w:cs="Times New Roman"/>
        </w:rPr>
        <w:t>e</w:t>
      </w:r>
      <w:r w:rsidRPr="00771368">
        <w:rPr>
          <w:rFonts w:ascii="Times New Roman" w:eastAsia="Times New Roman" w:hAnsi="Times New Roman" w:cs="Times New Roman"/>
        </w:rPr>
        <w:t xml:space="preserve"> </w:t>
      </w:r>
      <w:r w:rsidRPr="00771368">
        <w:rPr>
          <w:rFonts w:ascii="Times New Roman" w:hAnsi="Times New Roman" w:cs="Times New Roman"/>
        </w:rPr>
        <w:t>transgredir</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honra</w:t>
      </w:r>
      <w:r w:rsidRPr="00771368">
        <w:rPr>
          <w:rFonts w:ascii="Times New Roman" w:eastAsia="Times New Roman" w:hAnsi="Times New Roman" w:cs="Times New Roman"/>
        </w:rPr>
        <w:t xml:space="preserve"> </w:t>
      </w:r>
      <w:r w:rsidRPr="00771368">
        <w:rPr>
          <w:rFonts w:ascii="Times New Roman" w:hAnsi="Times New Roman" w:cs="Times New Roman"/>
        </w:rPr>
        <w:t>(alheia),</w:t>
      </w:r>
      <w:r w:rsidRPr="00771368">
        <w:rPr>
          <w:rFonts w:ascii="Times New Roman" w:eastAsia="Times New Roman" w:hAnsi="Times New Roman" w:cs="Times New Roman"/>
        </w:rPr>
        <w:t xml:space="preserve"> </w:t>
      </w:r>
      <w:r w:rsidRPr="00771368">
        <w:rPr>
          <w:rFonts w:ascii="Times New Roman" w:hAnsi="Times New Roman" w:cs="Times New Roman"/>
        </w:rPr>
        <w:t>nesse</w:t>
      </w:r>
      <w:r w:rsidRPr="00771368">
        <w:rPr>
          <w:rFonts w:ascii="Times New Roman" w:eastAsia="Times New Roman" w:hAnsi="Times New Roman" w:cs="Times New Roman"/>
        </w:rPr>
        <w:t xml:space="preserve"> </w:t>
      </w:r>
      <w:r w:rsidRPr="00771368">
        <w:rPr>
          <w:rFonts w:ascii="Times New Roman" w:hAnsi="Times New Roman" w:cs="Times New Roman"/>
        </w:rPr>
        <w:t>sentido</w:t>
      </w:r>
      <w:r w:rsidRPr="00771368">
        <w:rPr>
          <w:rFonts w:ascii="Times New Roman" w:eastAsia="Times New Roman" w:hAnsi="Times New Roman" w:cs="Times New Roman"/>
        </w:rPr>
        <w:t xml:space="preserve"> </w:t>
      </w:r>
      <w:r w:rsidRPr="00771368">
        <w:rPr>
          <w:rFonts w:ascii="Times New Roman" w:hAnsi="Times New Roman" w:cs="Times New Roman"/>
        </w:rPr>
        <w:t>seu</w:t>
      </w:r>
      <w:r w:rsidRPr="00771368">
        <w:rPr>
          <w:rFonts w:ascii="Times New Roman" w:eastAsia="Times New Roman" w:hAnsi="Times New Roman" w:cs="Times New Roman"/>
        </w:rPr>
        <w:t xml:space="preserve"> </w:t>
      </w:r>
      <w:r w:rsidRPr="00771368">
        <w:rPr>
          <w:rFonts w:ascii="Times New Roman" w:hAnsi="Times New Roman" w:cs="Times New Roman"/>
        </w:rPr>
        <w:t>prestígio</w:t>
      </w:r>
      <w:r w:rsidRPr="00771368">
        <w:rPr>
          <w:rFonts w:ascii="Times New Roman" w:eastAsia="Times New Roman" w:hAnsi="Times New Roman" w:cs="Times New Roman"/>
        </w:rPr>
        <w:t xml:space="preserve"> </w:t>
      </w:r>
      <w:r w:rsidRPr="00771368">
        <w:rPr>
          <w:rFonts w:ascii="Times New Roman" w:hAnsi="Times New Roman" w:cs="Times New Roman"/>
        </w:rPr>
        <w:t>e</w:t>
      </w:r>
      <w:r w:rsidRPr="00771368">
        <w:rPr>
          <w:rFonts w:ascii="Times New Roman" w:eastAsia="Times New Roman" w:hAnsi="Times New Roman" w:cs="Times New Roman"/>
        </w:rPr>
        <w:t xml:space="preserve"> </w:t>
      </w:r>
      <w:r w:rsidRPr="00771368">
        <w:rPr>
          <w:rFonts w:ascii="Times New Roman" w:hAnsi="Times New Roman" w:cs="Times New Roman"/>
        </w:rPr>
        <w:t>honra</w:t>
      </w:r>
      <w:r w:rsidRPr="00771368">
        <w:rPr>
          <w:rFonts w:ascii="Times New Roman" w:eastAsia="Times New Roman" w:hAnsi="Times New Roman" w:cs="Times New Roman"/>
        </w:rPr>
        <w:t xml:space="preserve"> </w:t>
      </w:r>
      <w:r w:rsidRPr="00771368">
        <w:rPr>
          <w:rFonts w:ascii="Times New Roman" w:hAnsi="Times New Roman" w:cs="Times New Roman"/>
        </w:rPr>
        <w:t>estariam</w:t>
      </w:r>
      <w:r w:rsidRPr="00771368">
        <w:rPr>
          <w:rFonts w:ascii="Times New Roman" w:eastAsia="Times New Roman" w:hAnsi="Times New Roman" w:cs="Times New Roman"/>
        </w:rPr>
        <w:t xml:space="preserve"> </w:t>
      </w:r>
      <w:r w:rsidRPr="00771368">
        <w:rPr>
          <w:rFonts w:ascii="Times New Roman" w:hAnsi="Times New Roman" w:cs="Times New Roman"/>
        </w:rPr>
        <w:t>em</w:t>
      </w:r>
      <w:r w:rsidRPr="00771368">
        <w:rPr>
          <w:rFonts w:ascii="Times New Roman" w:eastAsia="Times New Roman" w:hAnsi="Times New Roman" w:cs="Times New Roman"/>
        </w:rPr>
        <w:t xml:space="preserve"> </w:t>
      </w:r>
      <w:r w:rsidRPr="00771368">
        <w:rPr>
          <w:rFonts w:ascii="Times New Roman" w:hAnsi="Times New Roman" w:cs="Times New Roman"/>
        </w:rPr>
        <w:t>constante</w:t>
      </w:r>
      <w:r w:rsidRPr="00771368">
        <w:rPr>
          <w:rFonts w:ascii="Times New Roman" w:eastAsia="Times New Roman" w:hAnsi="Times New Roman" w:cs="Times New Roman"/>
        </w:rPr>
        <w:t xml:space="preserve"> </w:t>
      </w:r>
      <w:r w:rsidRPr="00771368">
        <w:rPr>
          <w:rFonts w:ascii="Times New Roman" w:hAnsi="Times New Roman" w:cs="Times New Roman"/>
        </w:rPr>
        <w:t>ameaça</w:t>
      </w:r>
      <w:r w:rsidRPr="00771368">
        <w:rPr>
          <w:rFonts w:ascii="Times New Roman" w:eastAsia="Times New Roman" w:hAnsi="Times New Roman" w:cs="Times New Roman"/>
        </w:rPr>
        <w:t xml:space="preserve"> </w:t>
      </w:r>
      <w:r w:rsidRPr="00771368">
        <w:rPr>
          <w:rFonts w:ascii="Times New Roman" w:hAnsi="Times New Roman" w:cs="Times New Roman"/>
        </w:rPr>
        <w:t>pela</w:t>
      </w:r>
      <w:r w:rsidRPr="00771368">
        <w:rPr>
          <w:rFonts w:ascii="Times New Roman" w:eastAsia="Times New Roman" w:hAnsi="Times New Roman" w:cs="Times New Roman"/>
        </w:rPr>
        <w:t xml:space="preserve"> </w:t>
      </w:r>
      <w:r w:rsidRPr="00771368">
        <w:rPr>
          <w:rFonts w:ascii="Times New Roman" w:hAnsi="Times New Roman" w:cs="Times New Roman"/>
        </w:rPr>
        <w:t>conduta</w:t>
      </w:r>
      <w:r w:rsidRPr="00771368">
        <w:rPr>
          <w:rFonts w:ascii="Times New Roman" w:eastAsia="Times New Roman" w:hAnsi="Times New Roman" w:cs="Times New Roman"/>
        </w:rPr>
        <w:t xml:space="preserve"> </w:t>
      </w:r>
      <w:r w:rsidRPr="00771368">
        <w:rPr>
          <w:rFonts w:ascii="Times New Roman" w:hAnsi="Times New Roman" w:cs="Times New Roman"/>
        </w:rPr>
        <w:t>moral</w:t>
      </w:r>
      <w:r w:rsidRPr="00771368">
        <w:rPr>
          <w:rFonts w:ascii="Times New Roman" w:eastAsia="Times New Roman" w:hAnsi="Times New Roman" w:cs="Times New Roman"/>
        </w:rPr>
        <w:t xml:space="preserve"> </w:t>
      </w:r>
      <w:r w:rsidRPr="00771368">
        <w:rPr>
          <w:rFonts w:ascii="Times New Roman" w:hAnsi="Times New Roman" w:cs="Times New Roman"/>
        </w:rPr>
        <w:t>dos</w:t>
      </w:r>
      <w:r w:rsidRPr="00771368">
        <w:rPr>
          <w:rFonts w:ascii="Times New Roman" w:eastAsia="Times New Roman" w:hAnsi="Times New Roman" w:cs="Times New Roman"/>
        </w:rPr>
        <w:t xml:space="preserve"> </w:t>
      </w:r>
      <w:r w:rsidRPr="00771368">
        <w:rPr>
          <w:rFonts w:ascii="Times New Roman" w:hAnsi="Times New Roman" w:cs="Times New Roman"/>
        </w:rPr>
        <w:t>membros</w:t>
      </w:r>
      <w:r w:rsidRPr="00771368">
        <w:rPr>
          <w:rFonts w:ascii="Times New Roman" w:eastAsia="Times New Roman" w:hAnsi="Times New Roman" w:cs="Times New Roman"/>
        </w:rPr>
        <w:t xml:space="preserve"> </w:t>
      </w:r>
      <w:r w:rsidRPr="00771368">
        <w:rPr>
          <w:rFonts w:ascii="Times New Roman" w:hAnsi="Times New Roman" w:cs="Times New Roman"/>
        </w:rPr>
        <w:t>femininos</w:t>
      </w:r>
      <w:r w:rsidRPr="00771368">
        <w:rPr>
          <w:rFonts w:ascii="Times New Roman" w:eastAsia="Times New Roman" w:hAnsi="Times New Roman" w:cs="Times New Roman"/>
        </w:rPr>
        <w:t xml:space="preserve"> </w:t>
      </w:r>
      <w:r w:rsidRPr="00771368">
        <w:rPr>
          <w:rFonts w:ascii="Times New Roman" w:hAnsi="Times New Roman" w:cs="Times New Roman"/>
        </w:rPr>
        <w:t>de</w:t>
      </w:r>
      <w:r w:rsidRPr="00771368">
        <w:rPr>
          <w:rFonts w:ascii="Times New Roman" w:eastAsia="Times New Roman" w:hAnsi="Times New Roman" w:cs="Times New Roman"/>
        </w:rPr>
        <w:t xml:space="preserve"> </w:t>
      </w:r>
      <w:r w:rsidRPr="00771368">
        <w:rPr>
          <w:rFonts w:ascii="Times New Roman" w:hAnsi="Times New Roman" w:cs="Times New Roman"/>
        </w:rPr>
        <w:t>sua</w:t>
      </w:r>
      <w:r w:rsidRPr="00771368">
        <w:rPr>
          <w:rFonts w:ascii="Times New Roman" w:eastAsia="Times New Roman" w:hAnsi="Times New Roman" w:cs="Times New Roman"/>
        </w:rPr>
        <w:t xml:space="preserve"> </w:t>
      </w:r>
      <w:r w:rsidRPr="00771368">
        <w:rPr>
          <w:rFonts w:ascii="Times New Roman" w:hAnsi="Times New Roman" w:cs="Times New Roman"/>
        </w:rPr>
        <w:t>família.</w:t>
      </w:r>
      <w:r w:rsidRPr="00771368">
        <w:rPr>
          <w:rFonts w:ascii="Times New Roman" w:eastAsia="Times New Roman" w:hAnsi="Times New Roman" w:cs="Times New Roman"/>
        </w:rPr>
        <w:t xml:space="preserve"> </w:t>
      </w:r>
      <w:r w:rsidRPr="00771368">
        <w:rPr>
          <w:rFonts w:ascii="Times New Roman" w:hAnsi="Times New Roman" w:cs="Times New Roman"/>
        </w:rPr>
        <w:t>Em</w:t>
      </w:r>
      <w:r w:rsidRPr="00771368">
        <w:rPr>
          <w:rFonts w:ascii="Times New Roman" w:eastAsia="Times New Roman" w:hAnsi="Times New Roman" w:cs="Times New Roman"/>
        </w:rPr>
        <w:t xml:space="preserve"> </w:t>
      </w:r>
      <w:r w:rsidRPr="00771368">
        <w:rPr>
          <w:rFonts w:ascii="Times New Roman" w:hAnsi="Times New Roman" w:cs="Times New Roman"/>
        </w:rPr>
        <w:t>relação</w:t>
      </w:r>
      <w:r w:rsidRPr="00771368">
        <w:rPr>
          <w:rFonts w:ascii="Times New Roman" w:eastAsia="Times New Roman" w:hAnsi="Times New Roman" w:cs="Times New Roman"/>
        </w:rPr>
        <w:t xml:space="preserve"> </w:t>
      </w:r>
      <w:r w:rsidRPr="00771368">
        <w:rPr>
          <w:rFonts w:ascii="Times New Roman" w:hAnsi="Times New Roman" w:cs="Times New Roman"/>
        </w:rPr>
        <w:t>ao</w:t>
      </w:r>
      <w:r w:rsidRPr="00771368">
        <w:rPr>
          <w:rFonts w:ascii="Times New Roman" w:eastAsia="Times New Roman" w:hAnsi="Times New Roman" w:cs="Times New Roman"/>
        </w:rPr>
        <w:t xml:space="preserve"> </w:t>
      </w:r>
      <w:r w:rsidRPr="00771368">
        <w:rPr>
          <w:rFonts w:ascii="Times New Roman" w:hAnsi="Times New Roman" w:cs="Times New Roman"/>
        </w:rPr>
        <w:t>exposto,</w:t>
      </w:r>
      <w:r w:rsidRPr="00771368">
        <w:rPr>
          <w:rFonts w:ascii="Times New Roman" w:eastAsia="Times New Roman" w:hAnsi="Times New Roman" w:cs="Times New Roman"/>
        </w:rPr>
        <w:t xml:space="preserve"> </w:t>
      </w:r>
      <w:r w:rsidRPr="00771368">
        <w:rPr>
          <w:rFonts w:ascii="Times New Roman" w:hAnsi="Times New Roman" w:cs="Times New Roman"/>
        </w:rPr>
        <w:t>Machado</w:t>
      </w:r>
      <w:r w:rsidRPr="00771368">
        <w:rPr>
          <w:rFonts w:ascii="Times New Roman" w:eastAsia="Times New Roman" w:hAnsi="Times New Roman" w:cs="Times New Roman"/>
        </w:rPr>
        <w:t xml:space="preserve"> </w:t>
      </w:r>
      <w:r w:rsidRPr="00771368">
        <w:rPr>
          <w:rFonts w:ascii="Times New Roman" w:hAnsi="Times New Roman" w:cs="Times New Roman"/>
        </w:rPr>
        <w:t>(2004)</w:t>
      </w:r>
      <w:r w:rsidRPr="00771368">
        <w:rPr>
          <w:rFonts w:ascii="Times New Roman" w:eastAsia="Times New Roman" w:hAnsi="Times New Roman" w:cs="Times New Roman"/>
        </w:rPr>
        <w:t xml:space="preserve"> </w:t>
      </w:r>
      <w:r w:rsidRPr="00771368">
        <w:rPr>
          <w:rFonts w:ascii="Times New Roman" w:hAnsi="Times New Roman" w:cs="Times New Roman"/>
        </w:rPr>
        <w:t>assinala</w:t>
      </w:r>
      <w:r w:rsidRPr="00771368">
        <w:rPr>
          <w:rFonts w:ascii="Times New Roman" w:eastAsia="Times New Roman" w:hAnsi="Times New Roman" w:cs="Times New Roman"/>
        </w:rPr>
        <w:t xml:space="preserve"> </w:t>
      </w:r>
      <w:r w:rsidRPr="00771368">
        <w:rPr>
          <w:rFonts w:ascii="Times New Roman" w:hAnsi="Times New Roman" w:cs="Times New Roman"/>
        </w:rPr>
        <w:t>que</w:t>
      </w:r>
      <w:r w:rsidRPr="00771368">
        <w:rPr>
          <w:rFonts w:ascii="Times New Roman" w:eastAsia="Times New Roman" w:hAnsi="Times New Roman" w:cs="Times New Roman"/>
        </w:rPr>
        <w:t xml:space="preserve"> “</w:t>
      </w:r>
      <w:r w:rsidRPr="00771368">
        <w:rPr>
          <w:rFonts w:ascii="Times New Roman" w:hAnsi="Times New Roman" w:cs="Times New Roman"/>
          <w:lang w:val="it-IT"/>
        </w:rPr>
        <w:t>a</w:t>
      </w:r>
      <w:r w:rsidRPr="00771368">
        <w:rPr>
          <w:rFonts w:ascii="Times New Roman" w:eastAsia="Times New Roman" w:hAnsi="Times New Roman" w:cs="Times New Roman"/>
        </w:rPr>
        <w:t xml:space="preserve"> </w:t>
      </w:r>
      <w:r w:rsidRPr="00771368">
        <w:rPr>
          <w:rFonts w:ascii="Times New Roman" w:hAnsi="Times New Roman" w:cs="Times New Roman"/>
        </w:rPr>
        <w:t>construção</w:t>
      </w:r>
      <w:r w:rsidRPr="00771368">
        <w:rPr>
          <w:rFonts w:ascii="Times New Roman" w:eastAsia="Times New Roman" w:hAnsi="Times New Roman" w:cs="Times New Roman"/>
        </w:rPr>
        <w:t xml:space="preserve"> </w:t>
      </w:r>
      <w:r w:rsidRPr="00771368">
        <w:rPr>
          <w:rFonts w:ascii="Times New Roman" w:hAnsi="Times New Roman" w:cs="Times New Roman"/>
        </w:rPr>
        <w:t>simbólica</w:t>
      </w:r>
      <w:r w:rsidRPr="00771368">
        <w:rPr>
          <w:rFonts w:ascii="Times New Roman" w:eastAsia="Times New Roman" w:hAnsi="Times New Roman" w:cs="Times New Roman"/>
        </w:rPr>
        <w:t xml:space="preserve"> </w:t>
      </w:r>
      <w:r w:rsidRPr="00771368">
        <w:rPr>
          <w:rFonts w:ascii="Times New Roman" w:hAnsi="Times New Roman" w:cs="Times New Roman"/>
        </w:rPr>
        <w:t>masculina</w:t>
      </w:r>
      <w:r w:rsidRPr="00771368">
        <w:rPr>
          <w:rFonts w:ascii="Times New Roman" w:eastAsia="Times New Roman" w:hAnsi="Times New Roman" w:cs="Times New Roman"/>
        </w:rPr>
        <w:t xml:space="preserve"> </w:t>
      </w:r>
      <w:r w:rsidRPr="00771368">
        <w:rPr>
          <w:rFonts w:ascii="Times New Roman" w:hAnsi="Times New Roman" w:cs="Times New Roman"/>
        </w:rPr>
        <w:t>articula-se</w:t>
      </w:r>
      <w:r w:rsidRPr="00771368">
        <w:rPr>
          <w:rFonts w:ascii="Times New Roman" w:eastAsia="Times New Roman" w:hAnsi="Times New Roman" w:cs="Times New Roman"/>
        </w:rPr>
        <w:t xml:space="preserve"> </w:t>
      </w:r>
      <w:r w:rsidRPr="00771368">
        <w:rPr>
          <w:rFonts w:ascii="Times New Roman" w:hAnsi="Times New Roman" w:cs="Times New Roman"/>
        </w:rPr>
        <w:t>em</w:t>
      </w:r>
      <w:r w:rsidRPr="00771368">
        <w:rPr>
          <w:rFonts w:ascii="Times New Roman" w:eastAsia="Times New Roman" w:hAnsi="Times New Roman" w:cs="Times New Roman"/>
        </w:rPr>
        <w:t xml:space="preserve"> </w:t>
      </w:r>
      <w:r w:rsidRPr="00771368">
        <w:rPr>
          <w:rFonts w:ascii="Times New Roman" w:hAnsi="Times New Roman" w:cs="Times New Roman"/>
        </w:rPr>
        <w:t>torno</w:t>
      </w:r>
      <w:r w:rsidRPr="00771368">
        <w:rPr>
          <w:rFonts w:ascii="Times New Roman" w:eastAsia="Times New Roman" w:hAnsi="Times New Roman" w:cs="Times New Roman"/>
        </w:rPr>
        <w:t xml:space="preserve"> </w:t>
      </w:r>
      <w:r w:rsidRPr="00771368">
        <w:rPr>
          <w:rFonts w:ascii="Times New Roman" w:hAnsi="Times New Roman" w:cs="Times New Roman"/>
        </w:rPr>
        <w:t>do</w:t>
      </w:r>
      <w:r w:rsidRPr="00771368">
        <w:rPr>
          <w:rFonts w:ascii="Times New Roman" w:eastAsia="Times New Roman" w:hAnsi="Times New Roman" w:cs="Times New Roman"/>
        </w:rPr>
        <w:t xml:space="preserve"> </w:t>
      </w:r>
      <w:r w:rsidRPr="00771368">
        <w:rPr>
          <w:rFonts w:ascii="Times New Roman" w:hAnsi="Times New Roman" w:cs="Times New Roman"/>
        </w:rPr>
        <w:t>desafio</w:t>
      </w:r>
      <w:r w:rsidRPr="00771368">
        <w:rPr>
          <w:rFonts w:ascii="Times New Roman" w:eastAsia="Times New Roman" w:hAnsi="Times New Roman" w:cs="Times New Roman"/>
        </w:rPr>
        <w:t xml:space="preserve"> </w:t>
      </w:r>
      <w:r w:rsidRPr="00771368">
        <w:rPr>
          <w:rFonts w:ascii="Times New Roman" w:hAnsi="Times New Roman" w:cs="Times New Roman"/>
        </w:rPr>
        <w:t>da</w:t>
      </w:r>
      <w:r w:rsidRPr="00771368">
        <w:rPr>
          <w:rFonts w:ascii="Times New Roman" w:eastAsia="Times New Roman" w:hAnsi="Times New Roman" w:cs="Times New Roman"/>
        </w:rPr>
        <w:t xml:space="preserve"> </w:t>
      </w:r>
      <w:r w:rsidRPr="00771368">
        <w:rPr>
          <w:rFonts w:ascii="Times New Roman" w:hAnsi="Times New Roman" w:cs="Times New Roman"/>
        </w:rPr>
        <w:t>honra,</w:t>
      </w:r>
      <w:r w:rsidRPr="00771368">
        <w:rPr>
          <w:rFonts w:ascii="Times New Roman" w:eastAsia="Times New Roman" w:hAnsi="Times New Roman" w:cs="Times New Roman"/>
        </w:rPr>
        <w:t xml:space="preserve"> </w:t>
      </w:r>
      <w:r w:rsidRPr="00771368">
        <w:rPr>
          <w:rFonts w:ascii="Times New Roman" w:hAnsi="Times New Roman" w:cs="Times New Roman"/>
        </w:rPr>
        <w:t>da</w:t>
      </w:r>
      <w:r w:rsidRPr="00771368">
        <w:rPr>
          <w:rFonts w:ascii="Times New Roman" w:eastAsia="Times New Roman" w:hAnsi="Times New Roman" w:cs="Times New Roman"/>
        </w:rPr>
        <w:t xml:space="preserve"> </w:t>
      </w:r>
      <w:r w:rsidRPr="00771368">
        <w:rPr>
          <w:rFonts w:ascii="Times New Roman" w:hAnsi="Times New Roman" w:cs="Times New Roman"/>
        </w:rPr>
        <w:t>disputa</w:t>
      </w:r>
      <w:r w:rsidRPr="00771368">
        <w:rPr>
          <w:rFonts w:ascii="Times New Roman" w:eastAsia="Times New Roman" w:hAnsi="Times New Roman" w:cs="Times New Roman"/>
        </w:rPr>
        <w:t xml:space="preserve"> </w:t>
      </w:r>
      <w:r w:rsidRPr="00771368">
        <w:rPr>
          <w:rFonts w:ascii="Times New Roman" w:hAnsi="Times New Roman" w:cs="Times New Roman"/>
        </w:rPr>
        <w:t>entre</w:t>
      </w:r>
      <w:r w:rsidRPr="00771368">
        <w:rPr>
          <w:rFonts w:ascii="Times New Roman" w:eastAsia="Times New Roman" w:hAnsi="Times New Roman" w:cs="Times New Roman"/>
        </w:rPr>
        <w:t xml:space="preserve"> </w:t>
      </w:r>
      <w:r w:rsidRPr="00771368">
        <w:rPr>
          <w:rFonts w:ascii="Times New Roman" w:hAnsi="Times New Roman" w:cs="Times New Roman"/>
        </w:rPr>
        <w:t>homens</w:t>
      </w:r>
      <w:r w:rsidRPr="00771368">
        <w:rPr>
          <w:rFonts w:ascii="Times New Roman" w:eastAsia="Times New Roman" w:hAnsi="Times New Roman" w:cs="Times New Roman"/>
        </w:rPr>
        <w:t xml:space="preserve"> </w:t>
      </w:r>
      <w:r w:rsidRPr="00771368">
        <w:rPr>
          <w:rFonts w:ascii="Times New Roman" w:hAnsi="Times New Roman" w:cs="Times New Roman"/>
        </w:rPr>
        <w:t>e</w:t>
      </w:r>
      <w:r w:rsidRPr="00771368">
        <w:rPr>
          <w:rFonts w:ascii="Times New Roman" w:eastAsia="Times New Roman" w:hAnsi="Times New Roman" w:cs="Times New Roman"/>
        </w:rPr>
        <w:t xml:space="preserve"> </w:t>
      </w:r>
      <w:r w:rsidRPr="00771368">
        <w:rPr>
          <w:rFonts w:ascii="Times New Roman" w:hAnsi="Times New Roman" w:cs="Times New Roman"/>
        </w:rPr>
        <w:t>do</w:t>
      </w:r>
      <w:r w:rsidRPr="00771368">
        <w:rPr>
          <w:rFonts w:ascii="Times New Roman" w:eastAsia="Times New Roman" w:hAnsi="Times New Roman" w:cs="Times New Roman"/>
        </w:rPr>
        <w:t xml:space="preserve"> </w:t>
      </w:r>
      <w:r w:rsidRPr="00771368">
        <w:rPr>
          <w:rFonts w:ascii="Times New Roman" w:hAnsi="Times New Roman" w:cs="Times New Roman"/>
        </w:rPr>
        <w:t>controle</w:t>
      </w:r>
      <w:r w:rsidRPr="00771368">
        <w:rPr>
          <w:rFonts w:ascii="Times New Roman" w:eastAsia="Times New Roman" w:hAnsi="Times New Roman" w:cs="Times New Roman"/>
        </w:rPr>
        <w:t xml:space="preserve"> </w:t>
      </w:r>
      <w:r w:rsidRPr="00771368">
        <w:rPr>
          <w:rFonts w:ascii="Times New Roman" w:hAnsi="Times New Roman" w:cs="Times New Roman"/>
        </w:rPr>
        <w:t>das</w:t>
      </w:r>
      <w:r w:rsidRPr="00771368">
        <w:rPr>
          <w:rFonts w:ascii="Times New Roman" w:eastAsia="Times New Roman" w:hAnsi="Times New Roman" w:cs="Times New Roman"/>
        </w:rPr>
        <w:t xml:space="preserve"> </w:t>
      </w:r>
      <w:r w:rsidRPr="00771368">
        <w:rPr>
          <w:rFonts w:ascii="Times New Roman" w:hAnsi="Times New Roman" w:cs="Times New Roman"/>
        </w:rPr>
        <w:t>mulheres</w:t>
      </w:r>
      <w:r w:rsidRPr="00771368">
        <w:rPr>
          <w:rFonts w:ascii="Times New Roman" w:eastAsia="Times New Roman" w:hAnsi="Times New Roman" w:cs="Times New Roman"/>
        </w:rPr>
        <w:t xml:space="preserve"> </w:t>
      </w:r>
      <w:r w:rsidRPr="00771368">
        <w:rPr>
          <w:rFonts w:ascii="Times New Roman" w:hAnsi="Times New Roman" w:cs="Times New Roman"/>
        </w:rPr>
        <w:t>e,</w:t>
      </w:r>
      <w:r w:rsidRPr="00771368">
        <w:rPr>
          <w:rFonts w:ascii="Times New Roman" w:eastAsia="Times New Roman" w:hAnsi="Times New Roman" w:cs="Times New Roman"/>
        </w:rPr>
        <w:t xml:space="preserve"> </w:t>
      </w:r>
      <w:r w:rsidRPr="00771368">
        <w:rPr>
          <w:rFonts w:ascii="Times New Roman" w:hAnsi="Times New Roman" w:cs="Times New Roman"/>
        </w:rPr>
        <w:t>constitui</w:t>
      </w:r>
      <w:r w:rsidRPr="00771368">
        <w:rPr>
          <w:rFonts w:ascii="Times New Roman" w:eastAsia="Times New Roman" w:hAnsi="Times New Roman" w:cs="Times New Roman"/>
        </w:rPr>
        <w:t xml:space="preserve"> </w:t>
      </w:r>
      <w:r w:rsidRPr="00771368">
        <w:rPr>
          <w:rFonts w:ascii="Times New Roman" w:hAnsi="Times New Roman" w:cs="Times New Roman"/>
        </w:rPr>
        <w:t>grande</w:t>
      </w:r>
      <w:r w:rsidRPr="00771368">
        <w:rPr>
          <w:rFonts w:ascii="Times New Roman" w:eastAsia="Times New Roman" w:hAnsi="Times New Roman" w:cs="Times New Roman"/>
        </w:rPr>
        <w:t xml:space="preserve"> </w:t>
      </w:r>
      <w:r w:rsidRPr="00771368">
        <w:rPr>
          <w:rFonts w:ascii="Times New Roman" w:hAnsi="Times New Roman" w:cs="Times New Roman"/>
        </w:rPr>
        <w:t>parte</w:t>
      </w:r>
      <w:r w:rsidRPr="00771368">
        <w:rPr>
          <w:rFonts w:ascii="Times New Roman" w:eastAsia="Times New Roman" w:hAnsi="Times New Roman" w:cs="Times New Roman"/>
        </w:rPr>
        <w:t xml:space="preserve"> </w:t>
      </w:r>
      <w:r w:rsidRPr="00771368">
        <w:rPr>
          <w:rFonts w:ascii="Times New Roman" w:hAnsi="Times New Roman" w:cs="Times New Roman"/>
        </w:rPr>
        <w:t>das</w:t>
      </w:r>
      <w:r w:rsidRPr="00771368">
        <w:rPr>
          <w:rFonts w:ascii="Times New Roman" w:eastAsia="Times New Roman" w:hAnsi="Times New Roman" w:cs="Times New Roman"/>
        </w:rPr>
        <w:t xml:space="preserve"> </w:t>
      </w:r>
      <w:r w:rsidRPr="00771368">
        <w:rPr>
          <w:rFonts w:ascii="Times New Roman" w:hAnsi="Times New Roman" w:cs="Times New Roman"/>
        </w:rPr>
        <w:t>formas</w:t>
      </w:r>
      <w:r w:rsidRPr="00771368">
        <w:rPr>
          <w:rFonts w:ascii="Times New Roman" w:eastAsia="Times New Roman" w:hAnsi="Times New Roman" w:cs="Times New Roman"/>
        </w:rPr>
        <w:t xml:space="preserve"> </w:t>
      </w:r>
      <w:r w:rsidRPr="00771368">
        <w:rPr>
          <w:rFonts w:ascii="Times New Roman" w:hAnsi="Times New Roman" w:cs="Times New Roman"/>
        </w:rPr>
        <w:t>de</w:t>
      </w:r>
      <w:r w:rsidRPr="00771368">
        <w:rPr>
          <w:rFonts w:ascii="Times New Roman" w:eastAsia="Times New Roman" w:hAnsi="Times New Roman" w:cs="Times New Roman"/>
        </w:rPr>
        <w:t xml:space="preserve"> </w:t>
      </w:r>
      <w:r w:rsidRPr="00771368">
        <w:rPr>
          <w:rFonts w:ascii="Times New Roman" w:hAnsi="Times New Roman" w:cs="Times New Roman"/>
        </w:rPr>
        <w:t>violência</w:t>
      </w:r>
      <w:r w:rsidRPr="00771368">
        <w:rPr>
          <w:rFonts w:ascii="Times New Roman" w:eastAsia="Times New Roman" w:hAnsi="Times New Roman" w:cs="Times New Roman"/>
        </w:rPr>
        <w:t xml:space="preserve"> </w:t>
      </w:r>
      <w:r w:rsidRPr="00771368">
        <w:rPr>
          <w:rFonts w:ascii="Times New Roman" w:hAnsi="Times New Roman" w:cs="Times New Roman"/>
        </w:rPr>
        <w:t>masculina</w:t>
      </w:r>
      <w:r w:rsidRPr="00771368">
        <w:rPr>
          <w:rFonts w:ascii="Times New Roman" w:eastAsia="Times New Roman" w:hAnsi="Times New Roman" w:cs="Times New Roman"/>
        </w:rPr>
        <w:t xml:space="preserve"> </w:t>
      </w:r>
      <w:r w:rsidRPr="00771368">
        <w:rPr>
          <w:rFonts w:ascii="Times New Roman" w:hAnsi="Times New Roman" w:cs="Times New Roman"/>
        </w:rPr>
        <w:t>brasileira</w:t>
      </w:r>
      <w:r w:rsidRPr="00771368">
        <w:rPr>
          <w:rFonts w:ascii="Times New Roman" w:eastAsia="Times New Roman" w:hAnsi="Times New Roman" w:cs="Times New Roman"/>
        </w:rPr>
        <w:t xml:space="preserve">” </w:t>
      </w:r>
      <w:r w:rsidRPr="00771368">
        <w:rPr>
          <w:rFonts w:ascii="Times New Roman" w:hAnsi="Times New Roman" w:cs="Times New Roman"/>
        </w:rPr>
        <w:t>(MACHADO,</w:t>
      </w:r>
      <w:r w:rsidRPr="00771368">
        <w:rPr>
          <w:rFonts w:ascii="Times New Roman" w:eastAsia="Times New Roman" w:hAnsi="Times New Roman" w:cs="Times New Roman"/>
        </w:rPr>
        <w:t xml:space="preserve"> </w:t>
      </w:r>
      <w:r w:rsidRPr="00771368">
        <w:rPr>
          <w:rFonts w:ascii="Times New Roman" w:hAnsi="Times New Roman" w:cs="Times New Roman"/>
        </w:rPr>
        <w:t>2004,</w:t>
      </w:r>
      <w:r w:rsidRPr="00771368">
        <w:rPr>
          <w:rFonts w:ascii="Times New Roman" w:eastAsia="Times New Roman" w:hAnsi="Times New Roman" w:cs="Times New Roman"/>
        </w:rPr>
        <w:t xml:space="preserve"> </w:t>
      </w:r>
      <w:r w:rsidRPr="00771368">
        <w:rPr>
          <w:rFonts w:ascii="Times New Roman" w:hAnsi="Times New Roman" w:cs="Times New Roman"/>
        </w:rPr>
        <w:t>p.</w:t>
      </w:r>
      <w:r w:rsidRPr="00771368">
        <w:rPr>
          <w:rFonts w:ascii="Times New Roman" w:eastAsia="Times New Roman" w:hAnsi="Times New Roman" w:cs="Times New Roman"/>
        </w:rPr>
        <w:t xml:space="preserve"> </w:t>
      </w:r>
      <w:r w:rsidRPr="00771368">
        <w:rPr>
          <w:rFonts w:ascii="Times New Roman" w:hAnsi="Times New Roman" w:cs="Times New Roman"/>
        </w:rPr>
        <w:t>57).</w:t>
      </w:r>
    </w:p>
    <w:p w:rsidR="00D24E61" w:rsidRPr="00771368" w:rsidRDefault="00D24E61">
      <w:pPr>
        <w:pStyle w:val="Normal1"/>
        <w:spacing w:line="360" w:lineRule="auto"/>
        <w:ind w:firstLine="850"/>
        <w:jc w:val="both"/>
        <w:rPr>
          <w:rFonts w:ascii="Times New Roman" w:hAnsi="Times New Roman" w:cs="Times New Roman"/>
        </w:rPr>
      </w:pPr>
      <w:r w:rsidRPr="00771368">
        <w:rPr>
          <w:rFonts w:ascii="Times New Roman" w:hAnsi="Times New Roman" w:cs="Times New Roman"/>
        </w:rPr>
        <w:t>Na</w:t>
      </w:r>
      <w:r w:rsidRPr="00771368">
        <w:rPr>
          <w:rFonts w:ascii="Times New Roman" w:eastAsia="Times New Roman" w:hAnsi="Times New Roman" w:cs="Times New Roman"/>
        </w:rPr>
        <w:t xml:space="preserve"> </w:t>
      </w:r>
      <w:r w:rsidRPr="00771368">
        <w:rPr>
          <w:rFonts w:ascii="Times New Roman" w:hAnsi="Times New Roman" w:cs="Times New Roman"/>
        </w:rPr>
        <w:t>virada</w:t>
      </w:r>
      <w:r w:rsidRPr="00771368">
        <w:rPr>
          <w:rFonts w:ascii="Times New Roman" w:eastAsia="Times New Roman" w:hAnsi="Times New Roman" w:cs="Times New Roman"/>
        </w:rPr>
        <w:t xml:space="preserve"> </w:t>
      </w:r>
      <w:r w:rsidRPr="00771368">
        <w:rPr>
          <w:rFonts w:ascii="Times New Roman" w:hAnsi="Times New Roman" w:cs="Times New Roman"/>
        </w:rPr>
        <w:t>do</w:t>
      </w:r>
      <w:r w:rsidRPr="00771368">
        <w:rPr>
          <w:rFonts w:ascii="Times New Roman" w:eastAsia="Times New Roman" w:hAnsi="Times New Roman" w:cs="Times New Roman"/>
        </w:rPr>
        <w:t xml:space="preserve"> </w:t>
      </w:r>
      <w:r w:rsidRPr="00771368">
        <w:rPr>
          <w:rFonts w:ascii="Times New Roman" w:hAnsi="Times New Roman" w:cs="Times New Roman"/>
        </w:rPr>
        <w:t>século</w:t>
      </w:r>
      <w:r w:rsidRPr="00771368">
        <w:rPr>
          <w:rFonts w:ascii="Times New Roman" w:eastAsia="Times New Roman" w:hAnsi="Times New Roman" w:cs="Times New Roman"/>
        </w:rPr>
        <w:t xml:space="preserve"> </w:t>
      </w:r>
      <w:r w:rsidRPr="00771368">
        <w:rPr>
          <w:rFonts w:ascii="Times New Roman" w:hAnsi="Times New Roman" w:cs="Times New Roman"/>
        </w:rPr>
        <w:t>XIX</w:t>
      </w:r>
      <w:r w:rsidRPr="00771368">
        <w:rPr>
          <w:rFonts w:ascii="Times New Roman" w:eastAsia="Times New Roman" w:hAnsi="Times New Roman" w:cs="Times New Roman"/>
        </w:rPr>
        <w:t xml:space="preserve"> </w:t>
      </w:r>
      <w:r w:rsidRPr="00771368">
        <w:rPr>
          <w:rFonts w:ascii="Times New Roman" w:hAnsi="Times New Roman" w:cs="Times New Roman"/>
        </w:rPr>
        <w:t>para</w:t>
      </w:r>
      <w:r w:rsidRPr="00771368">
        <w:rPr>
          <w:rFonts w:ascii="Times New Roman" w:eastAsia="Times New Roman" w:hAnsi="Times New Roman" w:cs="Times New Roman"/>
        </w:rPr>
        <w:t xml:space="preserve"> </w:t>
      </w:r>
      <w:r w:rsidRPr="00771368">
        <w:rPr>
          <w:rFonts w:ascii="Times New Roman" w:hAnsi="Times New Roman" w:cs="Times New Roman"/>
        </w:rPr>
        <w:t>o</w:t>
      </w:r>
      <w:r w:rsidRPr="00771368">
        <w:rPr>
          <w:rFonts w:ascii="Times New Roman" w:eastAsia="Times New Roman" w:hAnsi="Times New Roman" w:cs="Times New Roman"/>
        </w:rPr>
        <w:t xml:space="preserve"> </w:t>
      </w:r>
      <w:r w:rsidRPr="00771368">
        <w:rPr>
          <w:rFonts w:ascii="Times New Roman" w:hAnsi="Times New Roman" w:cs="Times New Roman"/>
        </w:rPr>
        <w:t>XX</w:t>
      </w:r>
      <w:r w:rsidRPr="00771368">
        <w:rPr>
          <w:rFonts w:ascii="Times New Roman" w:eastAsia="Times New Roman" w:hAnsi="Times New Roman" w:cs="Times New Roman"/>
        </w:rPr>
        <w:t xml:space="preserve"> </w:t>
      </w:r>
      <w:r w:rsidRPr="00771368">
        <w:rPr>
          <w:rFonts w:ascii="Times New Roman" w:hAnsi="Times New Roman" w:cs="Times New Roman"/>
        </w:rPr>
        <w:t>o</w:t>
      </w:r>
      <w:r w:rsidRPr="00771368">
        <w:rPr>
          <w:rFonts w:ascii="Times New Roman" w:eastAsia="Times New Roman" w:hAnsi="Times New Roman" w:cs="Times New Roman"/>
        </w:rPr>
        <w:t xml:space="preserve"> </w:t>
      </w:r>
      <w:r w:rsidRPr="00771368">
        <w:rPr>
          <w:rFonts w:ascii="Times New Roman" w:hAnsi="Times New Roman" w:cs="Times New Roman"/>
        </w:rPr>
        <w:t>homem</w:t>
      </w:r>
      <w:r w:rsidRPr="00771368">
        <w:rPr>
          <w:rFonts w:ascii="Times New Roman" w:eastAsia="Times New Roman" w:hAnsi="Times New Roman" w:cs="Times New Roman"/>
        </w:rPr>
        <w:t xml:space="preserve"> </w:t>
      </w:r>
      <w:r w:rsidRPr="00771368">
        <w:rPr>
          <w:rFonts w:ascii="Times New Roman" w:hAnsi="Times New Roman" w:cs="Times New Roman"/>
        </w:rPr>
        <w:t>pobre,</w:t>
      </w:r>
      <w:r w:rsidRPr="00771368">
        <w:rPr>
          <w:rFonts w:ascii="Times New Roman" w:eastAsia="Times New Roman" w:hAnsi="Times New Roman" w:cs="Times New Roman"/>
        </w:rPr>
        <w:t xml:space="preserve"> </w:t>
      </w:r>
      <w:r w:rsidRPr="00771368">
        <w:rPr>
          <w:rFonts w:ascii="Times New Roman" w:hAnsi="Times New Roman" w:cs="Times New Roman"/>
        </w:rPr>
        <w:t>na</w:t>
      </w:r>
      <w:r w:rsidRPr="00771368">
        <w:rPr>
          <w:rFonts w:ascii="Times New Roman" w:eastAsia="Times New Roman" w:hAnsi="Times New Roman" w:cs="Times New Roman"/>
        </w:rPr>
        <w:t xml:space="preserve"> </w:t>
      </w:r>
      <w:r w:rsidRPr="00771368">
        <w:rPr>
          <w:rFonts w:ascii="Times New Roman" w:hAnsi="Times New Roman" w:cs="Times New Roman"/>
        </w:rPr>
        <w:t>visão</w:t>
      </w:r>
      <w:r w:rsidRPr="00771368">
        <w:rPr>
          <w:rFonts w:ascii="Times New Roman" w:eastAsia="Times New Roman" w:hAnsi="Times New Roman" w:cs="Times New Roman"/>
        </w:rPr>
        <w:t xml:space="preserve"> </w:t>
      </w:r>
      <w:r w:rsidRPr="00771368">
        <w:rPr>
          <w:rFonts w:ascii="Times New Roman" w:hAnsi="Times New Roman" w:cs="Times New Roman"/>
        </w:rPr>
        <w:t>de</w:t>
      </w:r>
      <w:r w:rsidRPr="00771368">
        <w:rPr>
          <w:rFonts w:ascii="Times New Roman" w:eastAsia="Times New Roman" w:hAnsi="Times New Roman" w:cs="Times New Roman"/>
        </w:rPr>
        <w:t xml:space="preserve"> </w:t>
      </w:r>
      <w:r w:rsidRPr="00771368">
        <w:rPr>
          <w:rFonts w:ascii="Times New Roman" w:hAnsi="Times New Roman" w:cs="Times New Roman"/>
        </w:rPr>
        <w:t>Soieht</w:t>
      </w:r>
      <w:r w:rsidRPr="00771368">
        <w:rPr>
          <w:rFonts w:ascii="Times New Roman" w:eastAsia="Times New Roman" w:hAnsi="Times New Roman" w:cs="Times New Roman"/>
        </w:rPr>
        <w:t xml:space="preserve"> </w:t>
      </w:r>
      <w:r w:rsidRPr="00771368">
        <w:rPr>
          <w:rFonts w:ascii="Times New Roman" w:hAnsi="Times New Roman" w:cs="Times New Roman"/>
        </w:rPr>
        <w:t>(1997),</w:t>
      </w:r>
      <w:r w:rsidRPr="00771368">
        <w:rPr>
          <w:rFonts w:ascii="Times New Roman" w:eastAsia="Times New Roman" w:hAnsi="Times New Roman" w:cs="Times New Roman"/>
        </w:rPr>
        <w:t xml:space="preserve"> </w:t>
      </w:r>
      <w:r w:rsidRPr="00771368">
        <w:rPr>
          <w:rFonts w:ascii="Times New Roman" w:hAnsi="Times New Roman" w:cs="Times New Roman"/>
        </w:rPr>
        <w:t>sentindo-se</w:t>
      </w:r>
      <w:r w:rsidRPr="00771368">
        <w:rPr>
          <w:rFonts w:ascii="Times New Roman" w:eastAsia="Times New Roman" w:hAnsi="Times New Roman" w:cs="Times New Roman"/>
        </w:rPr>
        <w:t xml:space="preserve"> </w:t>
      </w:r>
      <w:r w:rsidRPr="00771368">
        <w:rPr>
          <w:rFonts w:ascii="Times New Roman" w:hAnsi="Times New Roman" w:cs="Times New Roman"/>
        </w:rPr>
        <w:t>à</w:t>
      </w:r>
      <w:r w:rsidRPr="00771368">
        <w:rPr>
          <w:rFonts w:ascii="Times New Roman" w:eastAsia="Times New Roman" w:hAnsi="Times New Roman" w:cs="Times New Roman"/>
        </w:rPr>
        <w:t xml:space="preserve"> </w:t>
      </w:r>
      <w:r w:rsidRPr="00771368">
        <w:rPr>
          <w:rFonts w:ascii="Times New Roman" w:hAnsi="Times New Roman" w:cs="Times New Roman"/>
        </w:rPr>
        <w:t>margem</w:t>
      </w:r>
      <w:r w:rsidRPr="00771368">
        <w:rPr>
          <w:rFonts w:ascii="Times New Roman" w:eastAsia="Times New Roman" w:hAnsi="Times New Roman" w:cs="Times New Roman"/>
        </w:rPr>
        <w:t xml:space="preserve"> </w:t>
      </w:r>
      <w:r w:rsidRPr="00771368">
        <w:rPr>
          <w:rFonts w:ascii="Times New Roman" w:hAnsi="Times New Roman" w:cs="Times New Roman"/>
        </w:rPr>
        <w:t>do</w:t>
      </w:r>
      <w:r w:rsidRPr="00771368">
        <w:rPr>
          <w:rFonts w:ascii="Times New Roman" w:eastAsia="Times New Roman" w:hAnsi="Times New Roman" w:cs="Times New Roman"/>
        </w:rPr>
        <w:t xml:space="preserve"> </w:t>
      </w:r>
      <w:r w:rsidRPr="00771368">
        <w:rPr>
          <w:rFonts w:ascii="Times New Roman" w:hAnsi="Times New Roman" w:cs="Times New Roman"/>
        </w:rPr>
        <w:t>padrão</w:t>
      </w:r>
      <w:r w:rsidRPr="00771368">
        <w:rPr>
          <w:rFonts w:ascii="Times New Roman" w:eastAsia="Times New Roman" w:hAnsi="Times New Roman" w:cs="Times New Roman"/>
        </w:rPr>
        <w:t xml:space="preserve"> </w:t>
      </w:r>
      <w:r w:rsidRPr="00771368">
        <w:rPr>
          <w:rFonts w:ascii="Times New Roman" w:hAnsi="Times New Roman" w:cs="Times New Roman"/>
        </w:rPr>
        <w:t>determinado</w:t>
      </w:r>
      <w:r w:rsidRPr="00771368">
        <w:rPr>
          <w:rFonts w:ascii="Times New Roman" w:eastAsia="Times New Roman" w:hAnsi="Times New Roman" w:cs="Times New Roman"/>
        </w:rPr>
        <w:t xml:space="preserve"> </w:t>
      </w:r>
      <w:r w:rsidRPr="00771368">
        <w:rPr>
          <w:rFonts w:ascii="Times New Roman" w:hAnsi="Times New Roman" w:cs="Times New Roman"/>
        </w:rPr>
        <w:t>como</w:t>
      </w:r>
      <w:r w:rsidRPr="00771368">
        <w:rPr>
          <w:rFonts w:ascii="Times New Roman" w:eastAsia="Times New Roman" w:hAnsi="Times New Roman" w:cs="Times New Roman"/>
        </w:rPr>
        <w:t xml:space="preserve"> </w:t>
      </w:r>
      <w:r w:rsidRPr="00771368">
        <w:rPr>
          <w:rFonts w:ascii="Times New Roman" w:hAnsi="Times New Roman" w:cs="Times New Roman"/>
        </w:rPr>
        <w:t>obrigação</w:t>
      </w:r>
      <w:r w:rsidRPr="00771368">
        <w:rPr>
          <w:rFonts w:ascii="Times New Roman" w:eastAsia="Times New Roman" w:hAnsi="Times New Roman" w:cs="Times New Roman"/>
        </w:rPr>
        <w:t xml:space="preserve"> </w:t>
      </w:r>
      <w:r w:rsidRPr="00771368">
        <w:rPr>
          <w:rFonts w:ascii="Times New Roman" w:hAnsi="Times New Roman" w:cs="Times New Roman"/>
        </w:rPr>
        <w:t>masculina,</w:t>
      </w:r>
      <w:r w:rsidRPr="00771368">
        <w:rPr>
          <w:rFonts w:ascii="Times New Roman" w:eastAsia="Times New Roman" w:hAnsi="Times New Roman" w:cs="Times New Roman"/>
        </w:rPr>
        <w:t xml:space="preserve"> </w:t>
      </w:r>
      <w:r w:rsidRPr="00771368">
        <w:rPr>
          <w:rFonts w:ascii="Times New Roman" w:hAnsi="Times New Roman" w:cs="Times New Roman"/>
        </w:rPr>
        <w:t>como</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manutenção</w:t>
      </w:r>
      <w:r w:rsidRPr="00771368">
        <w:rPr>
          <w:rFonts w:ascii="Times New Roman" w:eastAsia="Times New Roman" w:hAnsi="Times New Roman" w:cs="Times New Roman"/>
        </w:rPr>
        <w:t xml:space="preserve"> </w:t>
      </w:r>
      <w:r w:rsidRPr="00771368">
        <w:rPr>
          <w:rFonts w:ascii="Times New Roman" w:hAnsi="Times New Roman" w:cs="Times New Roman"/>
        </w:rPr>
        <w:t>econômica</w:t>
      </w:r>
      <w:r w:rsidRPr="00771368">
        <w:rPr>
          <w:rFonts w:ascii="Times New Roman" w:eastAsia="Times New Roman" w:hAnsi="Times New Roman" w:cs="Times New Roman"/>
        </w:rPr>
        <w:t xml:space="preserve"> </w:t>
      </w:r>
      <w:r w:rsidRPr="00771368">
        <w:rPr>
          <w:rFonts w:ascii="Times New Roman" w:hAnsi="Times New Roman" w:cs="Times New Roman"/>
        </w:rPr>
        <w:t>da</w:t>
      </w:r>
      <w:r w:rsidRPr="00771368">
        <w:rPr>
          <w:rFonts w:ascii="Times New Roman" w:eastAsia="Times New Roman" w:hAnsi="Times New Roman" w:cs="Times New Roman"/>
        </w:rPr>
        <w:t xml:space="preserve"> </w:t>
      </w:r>
      <w:r w:rsidRPr="00771368">
        <w:rPr>
          <w:rFonts w:ascii="Times New Roman" w:hAnsi="Times New Roman" w:cs="Times New Roman"/>
        </w:rPr>
        <w:t>família,</w:t>
      </w:r>
      <w:r w:rsidRPr="00771368">
        <w:rPr>
          <w:rFonts w:ascii="Times New Roman" w:eastAsia="Times New Roman" w:hAnsi="Times New Roman" w:cs="Times New Roman"/>
        </w:rPr>
        <w:t xml:space="preserve"> </w:t>
      </w:r>
      <w:r w:rsidRPr="00771368">
        <w:rPr>
          <w:rFonts w:ascii="Times New Roman" w:hAnsi="Times New Roman" w:cs="Times New Roman"/>
        </w:rPr>
        <w:t>por</w:t>
      </w:r>
      <w:r w:rsidRPr="00771368">
        <w:rPr>
          <w:rFonts w:ascii="Times New Roman" w:eastAsia="Times New Roman" w:hAnsi="Times New Roman" w:cs="Times New Roman"/>
        </w:rPr>
        <w:t xml:space="preserve"> </w:t>
      </w:r>
      <w:r w:rsidRPr="00771368">
        <w:rPr>
          <w:rFonts w:ascii="Times New Roman" w:hAnsi="Times New Roman" w:cs="Times New Roman"/>
        </w:rPr>
        <w:t>exemplo,</w:t>
      </w:r>
      <w:r w:rsidRPr="00771368">
        <w:rPr>
          <w:rFonts w:ascii="Times New Roman" w:eastAsia="Times New Roman" w:hAnsi="Times New Roman" w:cs="Times New Roman"/>
        </w:rPr>
        <w:t xml:space="preserve"> </w:t>
      </w:r>
      <w:r w:rsidRPr="00771368">
        <w:rPr>
          <w:rFonts w:ascii="Times New Roman" w:hAnsi="Times New Roman" w:cs="Times New Roman"/>
        </w:rPr>
        <w:t>fazia</w:t>
      </w:r>
      <w:r w:rsidRPr="00771368">
        <w:rPr>
          <w:rFonts w:ascii="Times New Roman" w:eastAsia="Times New Roman" w:hAnsi="Times New Roman" w:cs="Times New Roman"/>
        </w:rPr>
        <w:t xml:space="preserve"> </w:t>
      </w:r>
      <w:r w:rsidRPr="00771368">
        <w:rPr>
          <w:rFonts w:ascii="Times New Roman" w:hAnsi="Times New Roman" w:cs="Times New Roman"/>
        </w:rPr>
        <w:t>fatiga</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impor-se</w:t>
      </w:r>
      <w:r w:rsidRPr="00771368">
        <w:rPr>
          <w:rFonts w:ascii="Times New Roman" w:eastAsia="Times New Roman" w:hAnsi="Times New Roman" w:cs="Times New Roman"/>
        </w:rPr>
        <w:t xml:space="preserve"> </w:t>
      </w:r>
      <w:r w:rsidRPr="00771368">
        <w:rPr>
          <w:rFonts w:ascii="Times New Roman" w:hAnsi="Times New Roman" w:cs="Times New Roman"/>
        </w:rPr>
        <w:t>como</w:t>
      </w:r>
      <w:r w:rsidRPr="00771368">
        <w:rPr>
          <w:rFonts w:ascii="Times New Roman" w:eastAsia="Times New Roman" w:hAnsi="Times New Roman" w:cs="Times New Roman"/>
        </w:rPr>
        <w:t xml:space="preserve"> </w:t>
      </w:r>
      <w:r w:rsidRPr="00771368">
        <w:rPr>
          <w:rFonts w:ascii="Times New Roman" w:hAnsi="Times New Roman" w:cs="Times New Roman"/>
        </w:rPr>
        <w:t>dominador</w:t>
      </w:r>
      <w:r w:rsidRPr="00771368">
        <w:rPr>
          <w:rFonts w:ascii="Times New Roman" w:eastAsia="Times New Roman" w:hAnsi="Times New Roman" w:cs="Times New Roman"/>
        </w:rPr>
        <w:t xml:space="preserve"> </w:t>
      </w:r>
      <w:r w:rsidRPr="00771368">
        <w:rPr>
          <w:rFonts w:ascii="Times New Roman" w:hAnsi="Times New Roman" w:cs="Times New Roman"/>
        </w:rPr>
        <w:t>e</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incapacidade</w:t>
      </w:r>
      <w:r w:rsidRPr="00771368">
        <w:rPr>
          <w:rFonts w:ascii="Times New Roman" w:eastAsia="Times New Roman" w:hAnsi="Times New Roman" w:cs="Times New Roman"/>
        </w:rPr>
        <w:t xml:space="preserve"> </w:t>
      </w:r>
      <w:r w:rsidRPr="00771368">
        <w:rPr>
          <w:rFonts w:ascii="Times New Roman" w:hAnsi="Times New Roman" w:cs="Times New Roman"/>
        </w:rPr>
        <w:t>de</w:t>
      </w:r>
      <w:r w:rsidRPr="00771368">
        <w:rPr>
          <w:rFonts w:ascii="Times New Roman" w:eastAsia="Times New Roman" w:hAnsi="Times New Roman" w:cs="Times New Roman"/>
        </w:rPr>
        <w:t xml:space="preserve"> </w:t>
      </w:r>
      <w:r w:rsidRPr="00771368">
        <w:rPr>
          <w:rFonts w:ascii="Times New Roman" w:hAnsi="Times New Roman" w:cs="Times New Roman"/>
        </w:rPr>
        <w:t>exercer</w:t>
      </w:r>
      <w:r w:rsidRPr="00771368">
        <w:rPr>
          <w:rFonts w:ascii="Times New Roman" w:eastAsia="Times New Roman" w:hAnsi="Times New Roman" w:cs="Times New Roman"/>
        </w:rPr>
        <w:t xml:space="preserve"> </w:t>
      </w:r>
      <w:r w:rsidRPr="00771368">
        <w:rPr>
          <w:rFonts w:ascii="Times New Roman" w:hAnsi="Times New Roman" w:cs="Times New Roman"/>
        </w:rPr>
        <w:t>poder</w:t>
      </w:r>
      <w:r w:rsidRPr="00771368">
        <w:rPr>
          <w:rFonts w:ascii="Times New Roman" w:eastAsia="Times New Roman" w:hAnsi="Times New Roman" w:cs="Times New Roman"/>
        </w:rPr>
        <w:t xml:space="preserve"> </w:t>
      </w:r>
      <w:r w:rsidRPr="00771368">
        <w:rPr>
          <w:rFonts w:ascii="Times New Roman" w:hAnsi="Times New Roman" w:cs="Times New Roman"/>
        </w:rPr>
        <w:t>sobre</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mulher</w:t>
      </w:r>
      <w:r w:rsidRPr="00771368">
        <w:rPr>
          <w:rFonts w:ascii="Times New Roman" w:eastAsia="Times New Roman" w:hAnsi="Times New Roman" w:cs="Times New Roman"/>
        </w:rPr>
        <w:t xml:space="preserve"> </w:t>
      </w:r>
      <w:r w:rsidRPr="00771368">
        <w:rPr>
          <w:rFonts w:ascii="Times New Roman" w:hAnsi="Times New Roman" w:cs="Times New Roman"/>
        </w:rPr>
        <w:t>era</w:t>
      </w:r>
      <w:r w:rsidRPr="00771368">
        <w:rPr>
          <w:rFonts w:ascii="Times New Roman" w:eastAsia="Times New Roman" w:hAnsi="Times New Roman" w:cs="Times New Roman"/>
        </w:rPr>
        <w:t xml:space="preserve"> </w:t>
      </w:r>
      <w:r w:rsidRPr="00771368">
        <w:rPr>
          <w:rFonts w:ascii="Times New Roman" w:hAnsi="Times New Roman" w:cs="Times New Roman"/>
        </w:rPr>
        <w:t>convertido</w:t>
      </w:r>
      <w:r w:rsidRPr="00771368">
        <w:rPr>
          <w:rFonts w:ascii="Times New Roman" w:eastAsia="Times New Roman" w:hAnsi="Times New Roman" w:cs="Times New Roman"/>
        </w:rPr>
        <w:t xml:space="preserve"> </w:t>
      </w:r>
      <w:r w:rsidRPr="00771368">
        <w:rPr>
          <w:rFonts w:ascii="Times New Roman" w:hAnsi="Times New Roman" w:cs="Times New Roman"/>
        </w:rPr>
        <w:t>em</w:t>
      </w:r>
      <w:r w:rsidRPr="00771368">
        <w:rPr>
          <w:rFonts w:ascii="Times New Roman" w:eastAsia="Times New Roman" w:hAnsi="Times New Roman" w:cs="Times New Roman"/>
        </w:rPr>
        <w:t xml:space="preserve"> </w:t>
      </w:r>
      <w:r w:rsidRPr="00771368">
        <w:rPr>
          <w:rFonts w:ascii="Times New Roman" w:hAnsi="Times New Roman" w:cs="Times New Roman"/>
        </w:rPr>
        <w:t>violência,</w:t>
      </w:r>
      <w:r w:rsidRPr="00771368">
        <w:rPr>
          <w:rFonts w:ascii="Times New Roman" w:eastAsia="Times New Roman" w:hAnsi="Times New Roman" w:cs="Times New Roman"/>
        </w:rPr>
        <w:t xml:space="preserve"> </w:t>
      </w:r>
      <w:r w:rsidRPr="00771368">
        <w:rPr>
          <w:rFonts w:ascii="Times New Roman" w:hAnsi="Times New Roman" w:cs="Times New Roman"/>
        </w:rPr>
        <w:t>exprimindo</w:t>
      </w:r>
      <w:r w:rsidRPr="00771368">
        <w:rPr>
          <w:rFonts w:ascii="Times New Roman" w:eastAsia="Times New Roman" w:hAnsi="Times New Roman" w:cs="Times New Roman"/>
        </w:rPr>
        <w:t xml:space="preserve"> </w:t>
      </w:r>
      <w:r w:rsidRPr="00771368">
        <w:rPr>
          <w:rFonts w:ascii="Times New Roman" w:hAnsi="Times New Roman" w:cs="Times New Roman"/>
        </w:rPr>
        <w:t>não</w:t>
      </w:r>
      <w:r w:rsidRPr="00771368">
        <w:rPr>
          <w:rFonts w:ascii="Times New Roman" w:eastAsia="Times New Roman" w:hAnsi="Times New Roman" w:cs="Times New Roman"/>
        </w:rPr>
        <w:t xml:space="preserve"> </w:t>
      </w:r>
      <w:r w:rsidRPr="00771368">
        <w:rPr>
          <w:rFonts w:ascii="Times New Roman" w:hAnsi="Times New Roman" w:cs="Times New Roman"/>
        </w:rPr>
        <w:t>o</w:t>
      </w:r>
      <w:r w:rsidRPr="00771368">
        <w:rPr>
          <w:rFonts w:ascii="Times New Roman" w:eastAsia="Times New Roman" w:hAnsi="Times New Roman" w:cs="Times New Roman"/>
        </w:rPr>
        <w:t xml:space="preserve"> </w:t>
      </w:r>
      <w:r w:rsidRPr="00771368">
        <w:rPr>
          <w:rFonts w:ascii="Times New Roman" w:hAnsi="Times New Roman" w:cs="Times New Roman"/>
        </w:rPr>
        <w:t>poder</w:t>
      </w:r>
      <w:r w:rsidRPr="00771368">
        <w:rPr>
          <w:rFonts w:ascii="Times New Roman" w:eastAsia="Times New Roman" w:hAnsi="Times New Roman" w:cs="Times New Roman"/>
        </w:rPr>
        <w:t xml:space="preserve"> </w:t>
      </w:r>
      <w:r w:rsidRPr="00771368">
        <w:rPr>
          <w:rFonts w:ascii="Times New Roman" w:hAnsi="Times New Roman" w:cs="Times New Roman"/>
        </w:rPr>
        <w:t>e</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força,</w:t>
      </w:r>
      <w:r w:rsidRPr="00771368">
        <w:rPr>
          <w:rFonts w:ascii="Times New Roman" w:eastAsia="Times New Roman" w:hAnsi="Times New Roman" w:cs="Times New Roman"/>
        </w:rPr>
        <w:t xml:space="preserve"> </w:t>
      </w:r>
      <w:r w:rsidRPr="00771368">
        <w:rPr>
          <w:rFonts w:ascii="Times New Roman" w:hAnsi="Times New Roman" w:cs="Times New Roman"/>
        </w:rPr>
        <w:t>mas</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fraqueza</w:t>
      </w:r>
      <w:r w:rsidRPr="00771368">
        <w:rPr>
          <w:rFonts w:ascii="Times New Roman" w:eastAsia="Times New Roman" w:hAnsi="Times New Roman" w:cs="Times New Roman"/>
        </w:rPr>
        <w:t xml:space="preserve"> </w:t>
      </w:r>
      <w:r w:rsidRPr="00771368">
        <w:rPr>
          <w:rFonts w:ascii="Times New Roman" w:hAnsi="Times New Roman" w:cs="Times New Roman"/>
        </w:rPr>
        <w:t>e</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impotência.</w:t>
      </w:r>
      <w:r w:rsidRPr="00771368">
        <w:rPr>
          <w:rFonts w:ascii="Times New Roman" w:eastAsia="Times New Roman" w:hAnsi="Times New Roman" w:cs="Times New Roman"/>
        </w:rPr>
        <w:t xml:space="preserve"> </w:t>
      </w:r>
      <w:r w:rsidRPr="00771368">
        <w:rPr>
          <w:rFonts w:ascii="Times New Roman" w:hAnsi="Times New Roman" w:cs="Times New Roman"/>
          <w:lang w:val="it-IT"/>
        </w:rPr>
        <w:t>M</w:t>
      </w:r>
      <w:r w:rsidRPr="00771368">
        <w:rPr>
          <w:rFonts w:ascii="Times New Roman" w:hAnsi="Times New Roman" w:cs="Times New Roman"/>
        </w:rPr>
        <w:t>uitas</w:t>
      </w:r>
      <w:r w:rsidRPr="00771368">
        <w:rPr>
          <w:rFonts w:ascii="Times New Roman" w:eastAsia="Times New Roman" w:hAnsi="Times New Roman" w:cs="Times New Roman"/>
        </w:rPr>
        <w:t xml:space="preserve"> </w:t>
      </w:r>
      <w:r w:rsidRPr="00771368">
        <w:rPr>
          <w:rFonts w:ascii="Times New Roman" w:hAnsi="Times New Roman" w:cs="Times New Roman"/>
        </w:rPr>
        <w:t>mulheres</w:t>
      </w:r>
      <w:r w:rsidRPr="00771368">
        <w:rPr>
          <w:rFonts w:ascii="Times New Roman" w:eastAsia="Times New Roman" w:hAnsi="Times New Roman" w:cs="Times New Roman"/>
        </w:rPr>
        <w:t xml:space="preserve"> </w:t>
      </w:r>
      <w:r w:rsidRPr="00771368">
        <w:rPr>
          <w:rFonts w:ascii="Times New Roman" w:hAnsi="Times New Roman" w:cs="Times New Roman"/>
        </w:rPr>
        <w:t>das</w:t>
      </w:r>
      <w:r w:rsidRPr="00771368">
        <w:rPr>
          <w:rFonts w:ascii="Times New Roman" w:eastAsia="Times New Roman" w:hAnsi="Times New Roman" w:cs="Times New Roman"/>
        </w:rPr>
        <w:t xml:space="preserve"> </w:t>
      </w:r>
      <w:r w:rsidRPr="00771368">
        <w:rPr>
          <w:rFonts w:ascii="Times New Roman" w:hAnsi="Times New Roman" w:cs="Times New Roman"/>
        </w:rPr>
        <w:t>classes</w:t>
      </w:r>
      <w:r w:rsidRPr="00771368">
        <w:rPr>
          <w:rFonts w:ascii="Times New Roman" w:eastAsia="Times New Roman" w:hAnsi="Times New Roman" w:cs="Times New Roman"/>
        </w:rPr>
        <w:t xml:space="preserve"> </w:t>
      </w:r>
      <w:r w:rsidRPr="00771368">
        <w:rPr>
          <w:rFonts w:ascii="Times New Roman" w:hAnsi="Times New Roman" w:cs="Times New Roman"/>
        </w:rPr>
        <w:t>menos</w:t>
      </w:r>
      <w:r w:rsidRPr="00771368">
        <w:rPr>
          <w:rFonts w:ascii="Times New Roman" w:eastAsia="Times New Roman" w:hAnsi="Times New Roman" w:cs="Times New Roman"/>
        </w:rPr>
        <w:t xml:space="preserve"> </w:t>
      </w:r>
      <w:r w:rsidRPr="00771368">
        <w:rPr>
          <w:rFonts w:ascii="Times New Roman" w:hAnsi="Times New Roman" w:cs="Times New Roman"/>
        </w:rPr>
        <w:t>abastadas</w:t>
      </w:r>
      <w:r w:rsidRPr="00771368">
        <w:rPr>
          <w:rFonts w:ascii="Times New Roman" w:eastAsia="Times New Roman" w:hAnsi="Times New Roman" w:cs="Times New Roman"/>
        </w:rPr>
        <w:t xml:space="preserve"> </w:t>
      </w:r>
      <w:r w:rsidRPr="00771368">
        <w:rPr>
          <w:rFonts w:ascii="Times New Roman" w:hAnsi="Times New Roman" w:cs="Times New Roman"/>
        </w:rPr>
        <w:t>fugiam</w:t>
      </w:r>
      <w:r w:rsidRPr="00771368">
        <w:rPr>
          <w:rFonts w:ascii="Times New Roman" w:eastAsia="Times New Roman" w:hAnsi="Times New Roman" w:cs="Times New Roman"/>
        </w:rPr>
        <w:t xml:space="preserve"> </w:t>
      </w:r>
      <w:r w:rsidRPr="00771368">
        <w:rPr>
          <w:rFonts w:ascii="Times New Roman" w:hAnsi="Times New Roman" w:cs="Times New Roman"/>
        </w:rPr>
        <w:t>ou</w:t>
      </w:r>
      <w:r w:rsidRPr="00771368">
        <w:rPr>
          <w:rFonts w:ascii="Times New Roman" w:eastAsia="Times New Roman" w:hAnsi="Times New Roman" w:cs="Times New Roman"/>
        </w:rPr>
        <w:t xml:space="preserve"> </w:t>
      </w:r>
      <w:r w:rsidRPr="00771368">
        <w:rPr>
          <w:rFonts w:ascii="Times New Roman" w:hAnsi="Times New Roman" w:cs="Times New Roman"/>
        </w:rPr>
        <w:t>se</w:t>
      </w:r>
      <w:r w:rsidRPr="00771368">
        <w:rPr>
          <w:rFonts w:ascii="Times New Roman" w:eastAsia="Times New Roman" w:hAnsi="Times New Roman" w:cs="Times New Roman"/>
        </w:rPr>
        <w:t xml:space="preserve"> </w:t>
      </w:r>
      <w:r w:rsidRPr="00771368">
        <w:rPr>
          <w:rFonts w:ascii="Times New Roman" w:hAnsi="Times New Roman" w:cs="Times New Roman"/>
        </w:rPr>
        <w:t>rebelavam</w:t>
      </w:r>
      <w:r w:rsidRPr="00771368">
        <w:rPr>
          <w:rFonts w:ascii="Times New Roman" w:eastAsia="Times New Roman" w:hAnsi="Times New Roman" w:cs="Times New Roman"/>
        </w:rPr>
        <w:t xml:space="preserve"> </w:t>
      </w:r>
      <w:r w:rsidRPr="00771368">
        <w:rPr>
          <w:rFonts w:ascii="Times New Roman" w:hAnsi="Times New Roman" w:cs="Times New Roman"/>
        </w:rPr>
        <w:t>aos</w:t>
      </w:r>
      <w:r w:rsidRPr="00771368">
        <w:rPr>
          <w:rFonts w:ascii="Times New Roman" w:eastAsia="Times New Roman" w:hAnsi="Times New Roman" w:cs="Times New Roman"/>
        </w:rPr>
        <w:t xml:space="preserve"> </w:t>
      </w:r>
      <w:r w:rsidRPr="00771368">
        <w:rPr>
          <w:rFonts w:ascii="Times New Roman" w:hAnsi="Times New Roman" w:cs="Times New Roman"/>
        </w:rPr>
        <w:t>estereótipos</w:t>
      </w:r>
      <w:r w:rsidRPr="00771368">
        <w:rPr>
          <w:rFonts w:ascii="Times New Roman" w:eastAsia="Times New Roman" w:hAnsi="Times New Roman" w:cs="Times New Roman"/>
        </w:rPr>
        <w:t xml:space="preserve"> </w:t>
      </w:r>
      <w:r w:rsidRPr="00771368">
        <w:rPr>
          <w:rFonts w:ascii="Times New Roman" w:hAnsi="Times New Roman" w:cs="Times New Roman"/>
        </w:rPr>
        <w:t>tidos</w:t>
      </w:r>
      <w:r w:rsidRPr="00771368">
        <w:rPr>
          <w:rFonts w:ascii="Times New Roman" w:eastAsia="Times New Roman" w:hAnsi="Times New Roman" w:cs="Times New Roman"/>
        </w:rPr>
        <w:t xml:space="preserve"> </w:t>
      </w:r>
      <w:r w:rsidRPr="00771368">
        <w:rPr>
          <w:rFonts w:ascii="Times New Roman" w:hAnsi="Times New Roman" w:cs="Times New Roman"/>
        </w:rPr>
        <w:t>como</w:t>
      </w:r>
      <w:r w:rsidRPr="00771368">
        <w:rPr>
          <w:rFonts w:ascii="Times New Roman" w:eastAsia="Times New Roman" w:hAnsi="Times New Roman" w:cs="Times New Roman"/>
        </w:rPr>
        <w:t xml:space="preserve"> </w:t>
      </w:r>
      <w:r w:rsidRPr="00771368">
        <w:rPr>
          <w:rFonts w:ascii="Times New Roman" w:hAnsi="Times New Roman" w:cs="Times New Roman"/>
        </w:rPr>
        <w:t>universais</w:t>
      </w:r>
      <w:r w:rsidRPr="00771368">
        <w:rPr>
          <w:rFonts w:ascii="Times New Roman" w:eastAsia="Times New Roman" w:hAnsi="Times New Roman" w:cs="Times New Roman"/>
        </w:rPr>
        <w:t xml:space="preserve"> </w:t>
      </w:r>
      <w:r w:rsidRPr="00771368">
        <w:rPr>
          <w:rFonts w:ascii="Times New Roman" w:hAnsi="Times New Roman" w:cs="Times New Roman"/>
        </w:rPr>
        <w:t>do</w:t>
      </w:r>
      <w:r w:rsidRPr="00771368">
        <w:rPr>
          <w:rFonts w:ascii="Times New Roman" w:eastAsia="Times New Roman" w:hAnsi="Times New Roman" w:cs="Times New Roman"/>
        </w:rPr>
        <w:t xml:space="preserve"> </w:t>
      </w:r>
      <w:r w:rsidRPr="00771368">
        <w:rPr>
          <w:rFonts w:ascii="Times New Roman" w:hAnsi="Times New Roman" w:cs="Times New Roman"/>
        </w:rPr>
        <w:t>sexo</w:t>
      </w:r>
      <w:r w:rsidRPr="00771368">
        <w:rPr>
          <w:rFonts w:ascii="Times New Roman" w:eastAsia="Times New Roman" w:hAnsi="Times New Roman" w:cs="Times New Roman"/>
        </w:rPr>
        <w:t xml:space="preserve"> </w:t>
      </w:r>
      <w:r w:rsidRPr="00771368">
        <w:rPr>
          <w:rFonts w:ascii="Times New Roman" w:hAnsi="Times New Roman" w:cs="Times New Roman"/>
        </w:rPr>
        <w:t>feminino e quando</w:t>
      </w:r>
      <w:r w:rsidRPr="00771368">
        <w:rPr>
          <w:rFonts w:ascii="Times New Roman" w:eastAsia="Times New Roman" w:hAnsi="Times New Roman" w:cs="Times New Roman"/>
        </w:rPr>
        <w:t xml:space="preserve"> </w:t>
      </w:r>
      <w:r w:rsidRPr="00771368">
        <w:rPr>
          <w:rFonts w:ascii="Times New Roman" w:hAnsi="Times New Roman" w:cs="Times New Roman"/>
        </w:rPr>
        <w:t>vítimas</w:t>
      </w:r>
      <w:r w:rsidRPr="00771368">
        <w:rPr>
          <w:rFonts w:ascii="Times New Roman" w:eastAsia="Times New Roman" w:hAnsi="Times New Roman" w:cs="Times New Roman"/>
        </w:rPr>
        <w:t xml:space="preserve"> </w:t>
      </w:r>
      <w:r w:rsidRPr="00771368">
        <w:rPr>
          <w:rFonts w:ascii="Times New Roman" w:hAnsi="Times New Roman" w:cs="Times New Roman"/>
        </w:rPr>
        <w:t>de</w:t>
      </w:r>
      <w:r w:rsidRPr="00771368">
        <w:rPr>
          <w:rFonts w:ascii="Times New Roman" w:eastAsia="Times New Roman" w:hAnsi="Times New Roman" w:cs="Times New Roman"/>
        </w:rPr>
        <w:t xml:space="preserve"> </w:t>
      </w:r>
      <w:r w:rsidRPr="00771368">
        <w:rPr>
          <w:rFonts w:ascii="Times New Roman" w:hAnsi="Times New Roman" w:cs="Times New Roman"/>
        </w:rPr>
        <w:t>violência,</w:t>
      </w:r>
      <w:r w:rsidRPr="00771368">
        <w:rPr>
          <w:rFonts w:ascii="Times New Roman" w:eastAsia="Times New Roman" w:hAnsi="Times New Roman" w:cs="Times New Roman"/>
        </w:rPr>
        <w:t xml:space="preserve"> </w:t>
      </w:r>
      <w:r w:rsidRPr="00771368">
        <w:rPr>
          <w:rFonts w:ascii="Times New Roman" w:hAnsi="Times New Roman" w:cs="Times New Roman"/>
        </w:rPr>
        <w:t>respondiam</w:t>
      </w:r>
      <w:r w:rsidRPr="00771368">
        <w:rPr>
          <w:rFonts w:ascii="Times New Roman" w:eastAsia="Times New Roman" w:hAnsi="Times New Roman" w:cs="Times New Roman"/>
        </w:rPr>
        <w:t xml:space="preserve"> </w:t>
      </w:r>
      <w:r w:rsidRPr="00771368">
        <w:rPr>
          <w:rFonts w:ascii="Times New Roman" w:hAnsi="Times New Roman" w:cs="Times New Roman"/>
        </w:rPr>
        <w:t>com</w:t>
      </w:r>
      <w:r w:rsidRPr="00771368">
        <w:rPr>
          <w:rFonts w:ascii="Times New Roman" w:eastAsia="Times New Roman" w:hAnsi="Times New Roman" w:cs="Times New Roman"/>
        </w:rPr>
        <w:t xml:space="preserve"> </w:t>
      </w:r>
      <w:r w:rsidRPr="00771368">
        <w:rPr>
          <w:rFonts w:ascii="Times New Roman" w:hAnsi="Times New Roman" w:cs="Times New Roman"/>
        </w:rPr>
        <w:t>violência</w:t>
      </w:r>
      <w:r w:rsidRPr="00771368">
        <w:rPr>
          <w:rFonts w:ascii="Times New Roman" w:eastAsia="Times New Roman" w:hAnsi="Times New Roman" w:cs="Times New Roman"/>
        </w:rPr>
        <w:t xml:space="preserve"> </w:t>
      </w:r>
      <w:r w:rsidRPr="00771368">
        <w:rPr>
          <w:rFonts w:ascii="Times New Roman" w:hAnsi="Times New Roman" w:cs="Times New Roman"/>
        </w:rPr>
        <w:t>proporcional,</w:t>
      </w:r>
      <w:r w:rsidRPr="00771368">
        <w:rPr>
          <w:rFonts w:ascii="Times New Roman" w:eastAsia="Times New Roman" w:hAnsi="Times New Roman" w:cs="Times New Roman"/>
        </w:rPr>
        <w:t xml:space="preserve"> </w:t>
      </w:r>
      <w:r w:rsidRPr="00771368">
        <w:rPr>
          <w:rFonts w:ascii="Times New Roman" w:hAnsi="Times New Roman" w:cs="Times New Roman"/>
        </w:rPr>
        <w:t>às</w:t>
      </w:r>
      <w:r w:rsidRPr="00771368">
        <w:rPr>
          <w:rFonts w:ascii="Times New Roman" w:eastAsia="Times New Roman" w:hAnsi="Times New Roman" w:cs="Times New Roman"/>
        </w:rPr>
        <w:t xml:space="preserve"> </w:t>
      </w:r>
      <w:r w:rsidRPr="00771368">
        <w:rPr>
          <w:rFonts w:ascii="Times New Roman" w:hAnsi="Times New Roman" w:cs="Times New Roman"/>
        </w:rPr>
        <w:t>vezes,</w:t>
      </w:r>
      <w:r w:rsidRPr="00771368">
        <w:rPr>
          <w:rFonts w:ascii="Times New Roman" w:eastAsia="Times New Roman" w:hAnsi="Times New Roman" w:cs="Times New Roman"/>
        </w:rPr>
        <w:t xml:space="preserve"> </w:t>
      </w:r>
      <w:r w:rsidRPr="00771368">
        <w:rPr>
          <w:rFonts w:ascii="Times New Roman" w:hAnsi="Times New Roman" w:cs="Times New Roman"/>
        </w:rPr>
        <w:t>recorrendo</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decisões</w:t>
      </w:r>
      <w:r w:rsidRPr="00771368">
        <w:rPr>
          <w:rFonts w:ascii="Times New Roman" w:eastAsia="Times New Roman" w:hAnsi="Times New Roman" w:cs="Times New Roman"/>
        </w:rPr>
        <w:t xml:space="preserve"> </w:t>
      </w:r>
      <w:r w:rsidRPr="00771368">
        <w:rPr>
          <w:rFonts w:ascii="Times New Roman" w:hAnsi="Times New Roman" w:cs="Times New Roman"/>
        </w:rPr>
        <w:t>extremas,</w:t>
      </w:r>
      <w:r w:rsidRPr="00771368">
        <w:rPr>
          <w:rFonts w:ascii="Times New Roman" w:eastAsia="Times New Roman" w:hAnsi="Times New Roman" w:cs="Times New Roman"/>
        </w:rPr>
        <w:t xml:space="preserve"> </w:t>
      </w:r>
      <w:r w:rsidRPr="00771368">
        <w:rPr>
          <w:rFonts w:ascii="Times New Roman" w:hAnsi="Times New Roman" w:cs="Times New Roman"/>
        </w:rPr>
        <w:t>como</w:t>
      </w:r>
      <w:r w:rsidRPr="00771368">
        <w:rPr>
          <w:rFonts w:ascii="Times New Roman" w:eastAsia="Times New Roman" w:hAnsi="Times New Roman" w:cs="Times New Roman"/>
        </w:rPr>
        <w:t xml:space="preserve"> </w:t>
      </w:r>
      <w:r w:rsidRPr="00771368">
        <w:rPr>
          <w:rFonts w:ascii="Times New Roman" w:hAnsi="Times New Roman" w:cs="Times New Roman"/>
        </w:rPr>
        <w:t>a</w:t>
      </w:r>
      <w:r w:rsidRPr="00771368">
        <w:rPr>
          <w:rFonts w:ascii="Times New Roman" w:eastAsia="Times New Roman" w:hAnsi="Times New Roman" w:cs="Times New Roman"/>
        </w:rPr>
        <w:t xml:space="preserve"> </w:t>
      </w:r>
      <w:r w:rsidRPr="00771368">
        <w:rPr>
          <w:rFonts w:ascii="Times New Roman" w:hAnsi="Times New Roman" w:cs="Times New Roman"/>
        </w:rPr>
        <w:t>separação</w:t>
      </w:r>
      <w:r w:rsidRPr="00771368">
        <w:rPr>
          <w:rFonts w:ascii="Times New Roman" w:eastAsia="Times New Roman" w:hAnsi="Times New Roman" w:cs="Times New Roman"/>
        </w:rPr>
        <w:t xml:space="preserve"> </w:t>
      </w:r>
      <w:r w:rsidRPr="00771368">
        <w:rPr>
          <w:rFonts w:ascii="Times New Roman" w:hAnsi="Times New Roman" w:cs="Times New Roman"/>
        </w:rPr>
        <w:t>do</w:t>
      </w:r>
      <w:r w:rsidRPr="00771368">
        <w:rPr>
          <w:rFonts w:ascii="Times New Roman" w:eastAsia="Times New Roman" w:hAnsi="Times New Roman" w:cs="Times New Roman"/>
        </w:rPr>
        <w:t xml:space="preserve"> </w:t>
      </w:r>
      <w:r w:rsidRPr="00771368">
        <w:rPr>
          <w:rFonts w:ascii="Times New Roman" w:hAnsi="Times New Roman" w:cs="Times New Roman"/>
        </w:rPr>
        <w:t>companheiro.</w:t>
      </w:r>
      <w:r w:rsidRPr="00771368">
        <w:rPr>
          <w:rFonts w:ascii="Times New Roman" w:eastAsia="Times New Roman" w:hAnsi="Times New Roman" w:cs="Times New Roman"/>
        </w:rPr>
        <w:t xml:space="preserve"> </w:t>
      </w:r>
    </w:p>
    <w:p w:rsidR="00D24E61" w:rsidRPr="00771368" w:rsidRDefault="00D24E61">
      <w:pPr>
        <w:spacing w:line="360" w:lineRule="auto"/>
        <w:ind w:firstLine="850"/>
        <w:jc w:val="both"/>
        <w:rPr>
          <w:color w:val="000000"/>
          <w:shd w:val="clear" w:color="auto" w:fill="FFFFFF"/>
        </w:rPr>
      </w:pPr>
      <w:r w:rsidRPr="00771368">
        <w:rPr>
          <w:color w:val="000000"/>
        </w:rPr>
        <w:t xml:space="preserve">No período que se seguiu à Segunda Guerra Mundial, o discurso sobre a sexualidade ganha força com Freud e seus seguidores. Segundo Badinter (1985) as teorias psicanalistas contribuíram para a divulgação da mística sobre a natureza feminina, sobre seu instinto maternal, deixando de lado a preocupação com a cultura, a formação dos valores, enfim com a construção social do ser “feminino” e “masculino”. </w:t>
      </w:r>
    </w:p>
    <w:p w:rsidR="00D24E61" w:rsidRPr="00771368" w:rsidRDefault="00D24E61">
      <w:pPr>
        <w:spacing w:line="360" w:lineRule="auto"/>
        <w:ind w:firstLine="850"/>
        <w:jc w:val="both"/>
        <w:rPr>
          <w:b/>
          <w:bCs/>
          <w:color w:val="000000"/>
        </w:rPr>
      </w:pPr>
      <w:r w:rsidRPr="00771368">
        <w:rPr>
          <w:color w:val="000000"/>
          <w:shd w:val="clear" w:color="auto" w:fill="FFFFFF"/>
        </w:rPr>
        <w:t>Nas últimas décadas, tem-se falado muito sobre uma “crise da masculinidade”. Observa Machado (2004) que há um “desencontro entre o antigo valor masculino do exercício do controle e da rivalidade entre os homens e o novo valor dos direitos da mulher” (MACHADO, 2004, p. 72). Com as conquistas femininas, muitos homens teriam perdido seu senso de orientação, há tempos cristalizado na ideia de macho provedor, de senhor incontestável nas decisões familiares, apesar do aumento substancial do poder feminino alcançado pela sacralização da maternidade. Seria essa  “crise da masculinidade” um sinal evidente que os modelos vigentes estão realmente em xeque?</w:t>
      </w:r>
      <w:r w:rsidRPr="00771368">
        <w:rPr>
          <w:color w:val="000000"/>
        </w:rPr>
        <w:t xml:space="preserve">  </w:t>
      </w:r>
    </w:p>
    <w:p w:rsidR="00D24E61" w:rsidRPr="00771368" w:rsidRDefault="00D24E61">
      <w:pPr>
        <w:spacing w:line="360" w:lineRule="auto"/>
        <w:ind w:firstLine="850"/>
        <w:jc w:val="both"/>
        <w:rPr>
          <w:b/>
          <w:bCs/>
          <w:color w:val="000000"/>
        </w:rPr>
      </w:pPr>
    </w:p>
    <w:p w:rsidR="00D24E61" w:rsidRPr="00771368" w:rsidRDefault="00D24E61">
      <w:pPr>
        <w:spacing w:line="360" w:lineRule="auto"/>
        <w:jc w:val="both"/>
        <w:rPr>
          <w:color w:val="000000"/>
        </w:rPr>
      </w:pPr>
      <w:r w:rsidRPr="00771368">
        <w:rPr>
          <w:b/>
          <w:bCs/>
          <w:color w:val="000000"/>
        </w:rPr>
        <w:t>A Lei 11.340/06, seus desafios e inovações</w:t>
      </w:r>
    </w:p>
    <w:p w:rsidR="00D24E61" w:rsidRPr="00771368" w:rsidRDefault="00D24E61">
      <w:pPr>
        <w:spacing w:line="360" w:lineRule="auto"/>
        <w:ind w:firstLine="850"/>
        <w:jc w:val="both"/>
        <w:rPr>
          <w:color w:val="000000"/>
        </w:rPr>
      </w:pPr>
      <w:r w:rsidRPr="00771368">
        <w:rPr>
          <w:color w:val="000000"/>
        </w:rPr>
        <w:t xml:space="preserve">O maior desafio da Lei 11.340/06, como talvez seja o de todas as outras, é a sua plena efetivação. Para tanto será necessária a união de forças: a) o Estado como promotor oficial de políticas públicas deve ser capaz de garantir a execução da Lei pelos profissionais competentes; b) as instituições e organizações ligadas aos movimentos sociais, as escolas, as universidades e as igrejas, por lidarem diretamente com a comunidade, devem agir como portadoras de mudanças, auxiliando no processo de divulgação e promoção de debates acerca do tema, como também na criação de trabalhos comunitários interdisciplinares que difundam ideias de cidadania, equidade social e igualdade de direitos; c) a mídia em geral, por seu enorme raio de ação e seu poder de criação e difusão de valores sociais, deve colocar o tema da violência – dentre vários outros, aliás – em discussão e reavaliação; d) as famílias e a sociedade.  </w:t>
      </w:r>
    </w:p>
    <w:p w:rsidR="00D24E61" w:rsidRPr="00771368" w:rsidRDefault="00D24E61">
      <w:pPr>
        <w:spacing w:line="360" w:lineRule="auto"/>
        <w:ind w:firstLine="850"/>
        <w:jc w:val="both"/>
        <w:rPr>
          <w:color w:val="000000"/>
        </w:rPr>
      </w:pPr>
      <w:r w:rsidRPr="00771368">
        <w:rPr>
          <w:color w:val="000000"/>
        </w:rPr>
        <w:t>Ao citarmos estas instituições, colocando-as como possíveis agentes portadores de divulgação e transformação, não podemos deixar de lado a triste constatação que tantas delas foram ao longo do tempo e ainda são, conservadoras. É na família, por exemplo, que se legitima quotidianamente os direitos masculinos dominantes e se observa a precocidade na divisão sexual do trabalho; na Igreja se percebe a perpetuação de valores patriarcais se valendo ainda do “dogma da inata inferioridade das mulheres”; na escola se “continua a transmitir os pressupostos da representação patriarcal” (na relação homem/mulher e naquela adulto/criança) como também na definição de aptidões acadêmicas e profissionais de meninas e meninos e; concluindo a lista, “o papel do Estado, que veio ratificar e retificar as prescrições e as proscrições do patriarcado privado com as de um patriarcado público, inscrito em todas as instituições encarregadas de gerir e regulamentar a existência quotidiana da unidade doméstica” (BOURDIEU, 2007,</w:t>
      </w:r>
      <w:r w:rsidRPr="00771368">
        <w:rPr>
          <w:color w:val="000000"/>
          <w:shd w:val="clear" w:color="auto" w:fill="FFFFFF"/>
        </w:rPr>
        <w:t xml:space="preserve"> p. 105).</w:t>
      </w:r>
    </w:p>
    <w:p w:rsidR="00D24E61" w:rsidRPr="00771368" w:rsidRDefault="00D24E61">
      <w:pPr>
        <w:spacing w:line="360" w:lineRule="auto"/>
        <w:ind w:firstLine="850"/>
        <w:jc w:val="both"/>
        <w:rPr>
          <w:color w:val="000000"/>
        </w:rPr>
      </w:pPr>
      <w:r w:rsidRPr="00771368">
        <w:rPr>
          <w:color w:val="000000"/>
        </w:rPr>
        <w:t>Em relação à Lei Maria da Penha e aos esforços promovidos para sua popularização e seu cumprimento por parte das instituições acima citadas, nos surgem alguns questionamentos que, por hora, ficarão somente no campo das especulações; como por exemplo: as maiores interessadas estão conseguindo suporte psicológico, econômico e social por parte do Estado e de outras instituições para fazer a denúncia e levar avante o processo judicial sem ca</w:t>
      </w:r>
      <w:r w:rsidRPr="00771368">
        <w:rPr>
          <w:color w:val="000000"/>
          <w:lang w:val="it-IT"/>
        </w:rPr>
        <w:t>ir</w:t>
      </w:r>
      <w:r w:rsidRPr="00771368">
        <w:rPr>
          <w:color w:val="000000"/>
        </w:rPr>
        <w:t xml:space="preserve"> em arrependimentos contraproducentes</w:t>
      </w:r>
      <w:r w:rsidRPr="00771368">
        <w:rPr>
          <w:color w:val="000000"/>
          <w:lang w:val="it-IT"/>
        </w:rPr>
        <w:t xml:space="preserve">? </w:t>
      </w:r>
      <w:r w:rsidRPr="00771368">
        <w:rPr>
          <w:color w:val="000000"/>
        </w:rPr>
        <w:t>A Lei e a ameaça de sua aplicação nos casos de violência estão condicionando os agressores a repensar seus comportamentos e valores? Bastam os centros de reeducação</w:t>
      </w:r>
      <w:r w:rsidRPr="00771368">
        <w:rPr>
          <w:rStyle w:val="Caracteresdenotaderodap"/>
          <w:color w:val="000000"/>
        </w:rPr>
        <w:footnoteReference w:id="132"/>
      </w:r>
      <w:r w:rsidRPr="00771368">
        <w:rPr>
          <w:color w:val="000000"/>
        </w:rPr>
        <w:t xml:space="preserve"> e recuperação para os agressores, previstos na Lei, para promoverem mudanças desse porte numa mentalidade patriarcalista como a nossa</w:t>
      </w:r>
      <w:r w:rsidRPr="00771368">
        <w:rPr>
          <w:color w:val="000000"/>
          <w:lang w:val="it-IT"/>
        </w:rPr>
        <w:t>?</w:t>
      </w:r>
    </w:p>
    <w:p w:rsidR="00D24E61" w:rsidRPr="00771368" w:rsidRDefault="00D24E61">
      <w:pPr>
        <w:spacing w:line="360" w:lineRule="auto"/>
        <w:ind w:firstLine="868"/>
        <w:jc w:val="both"/>
        <w:rPr>
          <w:color w:val="000000"/>
        </w:rPr>
      </w:pPr>
      <w:r w:rsidRPr="00771368">
        <w:rPr>
          <w:color w:val="000000"/>
        </w:rPr>
        <w:t>A Lei garante à mulher que se sente vítima de agressão física, sexual, moral, psicológica ou patrimonial a possibilidade de fazer denúncia na Delegacia Especializada de Atendimento à Mulher (DEAM)</w:t>
      </w:r>
      <w:r w:rsidRPr="00771368">
        <w:rPr>
          <w:rStyle w:val="Caracteresdenotaderodap"/>
          <w:color w:val="000000"/>
        </w:rPr>
        <w:footnoteReference w:id="133"/>
      </w:r>
      <w:r w:rsidRPr="00771368">
        <w:rPr>
          <w:color w:val="000000"/>
        </w:rPr>
        <w:t xml:space="preserve"> ou no Ministério Público. Caso não haja a presença da delegacia especializada na localidade, o atendimento e o registro da ocorrência poderão ser feitos em uma delegacia comum.</w:t>
      </w:r>
      <w:r w:rsidRPr="00771368">
        <w:rPr>
          <w:rStyle w:val="Refdenotaderodap"/>
          <w:color w:val="000000"/>
        </w:rPr>
        <w:footnoteReference w:id="134"/>
      </w:r>
      <w:r w:rsidRPr="00771368">
        <w:rPr>
          <w:color w:val="000000"/>
        </w:rPr>
        <w:t xml:space="preserve"> </w:t>
      </w:r>
    </w:p>
    <w:p w:rsidR="00D24E61" w:rsidRPr="00771368" w:rsidRDefault="00D24E61">
      <w:pPr>
        <w:spacing w:line="360" w:lineRule="auto"/>
        <w:ind w:firstLine="855"/>
        <w:jc w:val="both"/>
        <w:rPr>
          <w:color w:val="000000"/>
        </w:rPr>
      </w:pPr>
      <w:r w:rsidRPr="00771368">
        <w:rPr>
          <w:color w:val="000000"/>
        </w:rPr>
        <w:t>No que se refere aos tipos de violência especificados na Lei, é importante ressaltar que cada um deles pode ocorrer de forma mais incisiva ou sutil.</w:t>
      </w:r>
      <w:r w:rsidRPr="00771368">
        <w:rPr>
          <w:color w:val="000000"/>
          <w:shd w:val="clear" w:color="auto" w:fill="FFFFFF"/>
        </w:rPr>
        <w:t xml:space="preserve"> A violência sexual, por exemplo, vai muito além de sua modalidade extrema (o estupro), podendo ocorrer de forma mais ambígua e menos explícita.</w:t>
      </w:r>
      <w:r w:rsidRPr="00771368">
        <w:rPr>
          <w:color w:val="000000"/>
        </w:rPr>
        <w:t xml:space="preserve"> Configura-se como violência sexual </w:t>
      </w:r>
    </w:p>
    <w:p w:rsidR="00D24E61" w:rsidRPr="00771368" w:rsidRDefault="00D24E61">
      <w:pPr>
        <w:spacing w:line="360" w:lineRule="auto"/>
        <w:ind w:firstLine="868"/>
        <w:jc w:val="both"/>
        <w:rPr>
          <w:color w:val="000000"/>
        </w:rPr>
      </w:pPr>
    </w:p>
    <w:p w:rsidR="00D24E61" w:rsidRPr="00771368" w:rsidRDefault="00D24E61">
      <w:pPr>
        <w:autoSpaceDE w:val="0"/>
        <w:spacing w:line="100" w:lineRule="atLeast"/>
        <w:ind w:left="2268"/>
        <w:jc w:val="both"/>
        <w:rPr>
          <w:color w:val="000000"/>
        </w:rPr>
      </w:pPr>
      <w:r w:rsidRPr="00771368">
        <w:rPr>
          <w:rFonts w:eastAsia="Arial"/>
          <w:color w:val="000000"/>
          <w:sz w:val="20"/>
          <w:szCs w:val="20"/>
          <w:shd w:val="clear" w:color="auto" w:fill="FFFFFF"/>
        </w:rPr>
        <w:t>a</w:t>
      </w:r>
      <w:r w:rsidRPr="00771368">
        <w:rPr>
          <w:color w:val="000000"/>
          <w:sz w:val="20"/>
          <w:szCs w:val="20"/>
          <w:shd w:val="clear" w:color="auto" w:fill="FFFFFF"/>
        </w:rPr>
        <w:t xml:space="preserve"> violência sexual, entendida como qualquer conduta que a constranja a presenciar, a manter ou a participar de relação sexual não desejada, mediante intimidação, ameaça, coação ou uso da força; que a induza a comercializar ou a utilizar, de qualquer modo, a sua sexualidade, que a impeça de usar qualquer método contraceptivo ou que a force ao matrimônio, à gravidez, ao aborto ou à prostituição, mediante coação, chantagem, suborno ou manipulação; ou que limite ou anule o exercício de seus direitos sexuais e reprodutivos (Lei 11.340</w:t>
      </w:r>
      <w:r w:rsidRPr="00771368">
        <w:rPr>
          <w:rFonts w:eastAsia="Arial"/>
          <w:color w:val="000000"/>
          <w:sz w:val="20"/>
          <w:szCs w:val="20"/>
          <w:shd w:val="clear" w:color="auto" w:fill="FFFFFF"/>
          <w:lang w:val="it-IT"/>
        </w:rPr>
        <w:t>/06</w:t>
      </w:r>
      <w:r w:rsidRPr="00771368">
        <w:rPr>
          <w:rFonts w:eastAsia="Arial"/>
          <w:color w:val="000000"/>
          <w:sz w:val="20"/>
          <w:szCs w:val="20"/>
          <w:shd w:val="clear" w:color="auto" w:fill="FFFFFF"/>
        </w:rPr>
        <w:t>).</w:t>
      </w:r>
    </w:p>
    <w:p w:rsidR="00D24E61" w:rsidRPr="00771368" w:rsidRDefault="00D24E61">
      <w:pPr>
        <w:spacing w:line="360" w:lineRule="auto"/>
        <w:ind w:firstLine="868"/>
        <w:jc w:val="both"/>
        <w:rPr>
          <w:color w:val="000000"/>
        </w:rPr>
      </w:pPr>
    </w:p>
    <w:p w:rsidR="00D24E61" w:rsidRPr="00771368" w:rsidRDefault="00D24E61">
      <w:pPr>
        <w:spacing w:line="360" w:lineRule="auto"/>
        <w:ind w:firstLine="850"/>
        <w:jc w:val="both"/>
        <w:rPr>
          <w:color w:val="000000"/>
        </w:rPr>
      </w:pPr>
      <w:r w:rsidRPr="00771368">
        <w:rPr>
          <w:color w:val="000000"/>
        </w:rPr>
        <w:t xml:space="preserve">Um certo discurso “científico” – ou pseudo científico, hoje quase totalmente desacreditado – por séculos atribuiu ao macho humano um caráter sexual dominador quase insaciável, naturalizando e legitimando </w:t>
      </w:r>
      <w:r w:rsidRPr="00771368">
        <w:rPr>
          <w:color w:val="000000"/>
          <w:shd w:val="clear" w:color="auto" w:fill="FFFFFF"/>
        </w:rPr>
        <w:t xml:space="preserve">as investidas </w:t>
      </w:r>
      <w:r w:rsidRPr="00771368">
        <w:rPr>
          <w:color w:val="000000"/>
        </w:rPr>
        <w:t xml:space="preserve">masculinas. À fêmea a aceitação e o consentimento, à exemplo dos antigos jargões de “dever feminino” ou “obrigações do casamento”. Atualmente, o discurso sexual é mais abrangente e complexo. A partir da década de 1970, com a chegada da pílula anticoncepcional ao Brasil e com a chamada “revolução sexual”, os papéis de ativ@ e passiv@ foram redimensionados. Embora muitas mulheres tenham incorporado o discurso masculino em relação às práticas sexuais, vendo-as como obrigação a ser cumprida ou como um modo de “segurar” o homem ou manter a relação, um grande número delas começa a entender o ato sexual – ou outras formas de contato físico ou verbal – forçado (sem o pleno consentimento) como um ato violento, passível de denúncia às autoridades judiciais. </w:t>
      </w:r>
    </w:p>
    <w:p w:rsidR="00D24E61" w:rsidRPr="00771368" w:rsidRDefault="00D24E61">
      <w:pPr>
        <w:spacing w:line="360" w:lineRule="auto"/>
        <w:ind w:firstLine="850"/>
        <w:jc w:val="both"/>
        <w:rPr>
          <w:rFonts w:eastAsia="Arial"/>
          <w:color w:val="000000"/>
          <w:shd w:val="clear" w:color="auto" w:fill="FFFFFF"/>
        </w:rPr>
      </w:pPr>
      <w:r w:rsidRPr="00771368">
        <w:rPr>
          <w:color w:val="000000"/>
        </w:rPr>
        <w:t>Na fala da psicóloga Gerley Arruda, profissional que atua na DEAM “a violência tende a não ser somente de um tipo. Na maioria dos casos, ela começa com agressões psicológicas, morais e simbólicas, evoluindo para atos físicos e sexuais” (Cartilha do Ministério Público do Estado de Goiás, p. 19). A partir desse enunciado notamos que na grande parte das vezes, quando se chega às vias de fato, há já o histórico de outras agressões</w:t>
      </w:r>
      <w:r w:rsidRPr="00771368">
        <w:rPr>
          <w:color w:val="000000"/>
          <w:shd w:val="clear" w:color="auto" w:fill="FFFFFF"/>
        </w:rPr>
        <w:t>.</w:t>
      </w:r>
      <w:r w:rsidRPr="00771368">
        <w:rPr>
          <w:color w:val="000000"/>
        </w:rPr>
        <w:t xml:space="preserve"> </w:t>
      </w:r>
    </w:p>
    <w:p w:rsidR="00D24E61" w:rsidRPr="00771368" w:rsidRDefault="00D24E61">
      <w:pPr>
        <w:spacing w:line="360" w:lineRule="auto"/>
        <w:ind w:firstLine="850"/>
        <w:jc w:val="both"/>
        <w:rPr>
          <w:color w:val="000000"/>
          <w:shd w:val="clear" w:color="auto" w:fill="FFFFFF"/>
        </w:rPr>
      </w:pPr>
      <w:r w:rsidRPr="00771368">
        <w:rPr>
          <w:rFonts w:eastAsia="Arial"/>
          <w:color w:val="000000"/>
          <w:shd w:val="clear" w:color="auto" w:fill="FFFFFF"/>
        </w:rPr>
        <w:t>Vale</w:t>
      </w:r>
      <w:r w:rsidRPr="00771368">
        <w:rPr>
          <w:color w:val="000000"/>
          <w:shd w:val="clear" w:color="auto" w:fill="FFFFFF"/>
        </w:rPr>
        <w:t xml:space="preserve"> lembrar que, e</w:t>
      </w:r>
      <w:r w:rsidRPr="00771368">
        <w:rPr>
          <w:color w:val="000000"/>
        </w:rPr>
        <w:t xml:space="preserve">mbora muito ainda precise ser feito, as últimas décadas marcaram um período de mudanças legislativas importantes para a conquista da emancipação feminina em várias frentes. </w:t>
      </w:r>
      <w:r w:rsidRPr="00771368">
        <w:rPr>
          <w:rFonts w:eastAsia="Arial"/>
          <w:color w:val="000000"/>
          <w:shd w:val="clear" w:color="auto" w:fill="FFFFFF"/>
        </w:rPr>
        <w:t>Para</w:t>
      </w:r>
      <w:r w:rsidRPr="00771368">
        <w:rPr>
          <w:color w:val="000000"/>
          <w:shd w:val="clear" w:color="auto" w:fill="FFFFFF"/>
        </w:rPr>
        <w:t xml:space="preserve"> </w:t>
      </w:r>
      <w:r w:rsidRPr="00771368">
        <w:rPr>
          <w:rFonts w:eastAsia="Arial"/>
          <w:color w:val="000000"/>
          <w:shd w:val="clear" w:color="auto" w:fill="FFFFFF"/>
        </w:rPr>
        <w:t>citar</w:t>
      </w:r>
      <w:r w:rsidRPr="00771368">
        <w:rPr>
          <w:color w:val="000000"/>
          <w:shd w:val="clear" w:color="auto" w:fill="FFFFFF"/>
        </w:rPr>
        <w:t xml:space="preserve"> </w:t>
      </w:r>
      <w:r w:rsidRPr="00771368">
        <w:rPr>
          <w:rFonts w:eastAsia="Arial"/>
          <w:color w:val="000000"/>
          <w:shd w:val="clear" w:color="auto" w:fill="FFFFFF"/>
        </w:rPr>
        <w:t>alguns</w:t>
      </w:r>
      <w:r w:rsidRPr="00771368">
        <w:rPr>
          <w:color w:val="000000"/>
          <w:shd w:val="clear" w:color="auto" w:fill="FFFFFF"/>
        </w:rPr>
        <w:t xml:space="preserve"> </w:t>
      </w:r>
      <w:r w:rsidRPr="00771368">
        <w:rPr>
          <w:rFonts w:eastAsia="Arial"/>
          <w:color w:val="000000"/>
          <w:shd w:val="clear" w:color="auto" w:fill="FFFFFF"/>
        </w:rPr>
        <w:t>exemplos</w:t>
      </w:r>
      <w:r w:rsidRPr="00771368">
        <w:rPr>
          <w:color w:val="000000"/>
          <w:shd w:val="clear" w:color="auto" w:fill="FFFFFF"/>
        </w:rPr>
        <w:t xml:space="preserve"> </w:t>
      </w:r>
      <w:r w:rsidRPr="00771368">
        <w:rPr>
          <w:rFonts w:eastAsia="Arial"/>
          <w:color w:val="000000"/>
          <w:shd w:val="clear" w:color="auto" w:fill="FFFFFF"/>
        </w:rPr>
        <w:t>de</w:t>
      </w:r>
      <w:r w:rsidRPr="00771368">
        <w:rPr>
          <w:color w:val="000000"/>
          <w:shd w:val="clear" w:color="auto" w:fill="FFFFFF"/>
        </w:rPr>
        <w:t xml:space="preserve"> </w:t>
      </w:r>
      <w:r w:rsidRPr="00771368">
        <w:rPr>
          <w:rFonts w:eastAsia="Arial"/>
          <w:color w:val="000000"/>
          <w:shd w:val="clear" w:color="auto" w:fill="FFFFFF"/>
        </w:rPr>
        <w:t>legislações</w:t>
      </w:r>
      <w:r w:rsidRPr="00771368">
        <w:rPr>
          <w:color w:val="000000"/>
          <w:shd w:val="clear" w:color="auto" w:fill="FFFFFF"/>
        </w:rPr>
        <w:t xml:space="preserve"> </w:t>
      </w:r>
      <w:r w:rsidRPr="00771368">
        <w:rPr>
          <w:rFonts w:eastAsia="Arial"/>
          <w:color w:val="000000"/>
          <w:shd w:val="clear" w:color="auto" w:fill="FFFFFF"/>
        </w:rPr>
        <w:t>que,</w:t>
      </w:r>
      <w:r w:rsidRPr="00771368">
        <w:rPr>
          <w:color w:val="000000"/>
          <w:shd w:val="clear" w:color="auto" w:fill="FFFFFF"/>
        </w:rPr>
        <w:t xml:space="preserve"> no passado, </w:t>
      </w:r>
      <w:r w:rsidRPr="00771368">
        <w:rPr>
          <w:rFonts w:eastAsia="Arial"/>
          <w:color w:val="000000"/>
          <w:shd w:val="clear" w:color="auto" w:fill="FFFFFF"/>
        </w:rPr>
        <w:t>privilegiavam</w:t>
      </w:r>
      <w:r w:rsidRPr="00771368">
        <w:rPr>
          <w:color w:val="000000"/>
          <w:shd w:val="clear" w:color="auto" w:fill="FFFFFF"/>
        </w:rPr>
        <w:t xml:space="preserve"> </w:t>
      </w:r>
      <w:r w:rsidRPr="00771368">
        <w:rPr>
          <w:rFonts w:eastAsia="Arial"/>
          <w:color w:val="000000"/>
          <w:shd w:val="clear" w:color="auto" w:fill="FFFFFF"/>
        </w:rPr>
        <w:t>o</w:t>
      </w:r>
      <w:r w:rsidRPr="00771368">
        <w:rPr>
          <w:color w:val="000000"/>
          <w:shd w:val="clear" w:color="auto" w:fill="FFFFFF"/>
        </w:rPr>
        <w:t xml:space="preserve"> </w:t>
      </w:r>
      <w:r w:rsidRPr="00771368">
        <w:rPr>
          <w:rFonts w:eastAsia="Arial"/>
          <w:color w:val="000000"/>
          <w:shd w:val="clear" w:color="auto" w:fill="FFFFFF"/>
        </w:rPr>
        <w:t>masculino,</w:t>
      </w:r>
      <w:r w:rsidRPr="00771368">
        <w:rPr>
          <w:color w:val="000000"/>
          <w:shd w:val="clear" w:color="auto" w:fill="FFFFFF"/>
        </w:rPr>
        <w:t xml:space="preserve"> </w:t>
      </w:r>
      <w:r w:rsidRPr="00771368">
        <w:rPr>
          <w:rFonts w:eastAsia="Arial"/>
          <w:color w:val="000000"/>
          <w:shd w:val="clear" w:color="auto" w:fill="FFFFFF"/>
        </w:rPr>
        <w:t>basta</w:t>
      </w:r>
      <w:r w:rsidRPr="00771368">
        <w:rPr>
          <w:color w:val="000000"/>
          <w:shd w:val="clear" w:color="auto" w:fill="FFFFFF"/>
        </w:rPr>
        <w:t xml:space="preserve"> </w:t>
      </w:r>
      <w:r w:rsidRPr="00771368">
        <w:rPr>
          <w:rFonts w:eastAsia="Arial"/>
          <w:color w:val="000000"/>
          <w:shd w:val="clear" w:color="auto" w:fill="FFFFFF"/>
        </w:rPr>
        <w:t>pensar</w:t>
      </w:r>
      <w:r w:rsidRPr="00771368">
        <w:rPr>
          <w:color w:val="000000"/>
          <w:shd w:val="clear" w:color="auto" w:fill="FFFFFF"/>
        </w:rPr>
        <w:t xml:space="preserve"> </w:t>
      </w:r>
      <w:r w:rsidRPr="00771368">
        <w:rPr>
          <w:rFonts w:eastAsia="Arial"/>
          <w:color w:val="000000"/>
          <w:shd w:val="clear" w:color="auto" w:fill="FFFFFF"/>
        </w:rPr>
        <w:t>que</w:t>
      </w:r>
      <w:r w:rsidRPr="00771368">
        <w:rPr>
          <w:color w:val="000000"/>
          <w:shd w:val="clear" w:color="auto" w:fill="FFFFFF"/>
        </w:rPr>
        <w:t xml:space="preserve"> </w:t>
      </w:r>
      <w:r w:rsidRPr="00771368">
        <w:rPr>
          <w:rFonts w:eastAsia="Arial"/>
          <w:color w:val="000000"/>
          <w:shd w:val="clear" w:color="auto" w:fill="FFFFFF"/>
        </w:rPr>
        <w:t>foi</w:t>
      </w:r>
      <w:r w:rsidRPr="00771368">
        <w:rPr>
          <w:color w:val="000000"/>
          <w:shd w:val="clear" w:color="auto" w:fill="FFFFFF"/>
        </w:rPr>
        <w:t xml:space="preserve"> </w:t>
      </w:r>
      <w:r w:rsidRPr="00771368">
        <w:rPr>
          <w:rFonts w:eastAsia="Arial"/>
          <w:color w:val="000000"/>
          <w:shd w:val="clear" w:color="auto" w:fill="FFFFFF"/>
        </w:rPr>
        <w:t>somente</w:t>
      </w:r>
      <w:r w:rsidRPr="00771368">
        <w:rPr>
          <w:color w:val="000000"/>
          <w:shd w:val="clear" w:color="auto" w:fill="FFFFFF"/>
        </w:rPr>
        <w:t xml:space="preserve"> </w:t>
      </w:r>
      <w:r w:rsidRPr="00771368">
        <w:rPr>
          <w:rFonts w:eastAsia="Arial"/>
          <w:color w:val="000000"/>
          <w:shd w:val="clear" w:color="auto" w:fill="FFFFFF"/>
        </w:rPr>
        <w:t>a</w:t>
      </w:r>
      <w:r w:rsidRPr="00771368">
        <w:rPr>
          <w:color w:val="000000"/>
          <w:shd w:val="clear" w:color="auto" w:fill="FFFFFF"/>
        </w:rPr>
        <w:t xml:space="preserve"> </w:t>
      </w:r>
      <w:r w:rsidRPr="00771368">
        <w:rPr>
          <w:rFonts w:eastAsia="Arial"/>
          <w:color w:val="000000"/>
          <w:shd w:val="clear" w:color="auto" w:fill="FFFFFF"/>
        </w:rPr>
        <w:t>partir</w:t>
      </w:r>
      <w:r w:rsidRPr="00771368">
        <w:rPr>
          <w:color w:val="000000"/>
          <w:shd w:val="clear" w:color="auto" w:fill="FFFFFF"/>
        </w:rPr>
        <w:t xml:space="preserve"> </w:t>
      </w:r>
      <w:r w:rsidRPr="00771368">
        <w:rPr>
          <w:rFonts w:eastAsia="Arial"/>
          <w:color w:val="000000"/>
          <w:shd w:val="clear" w:color="auto" w:fill="FFFFFF"/>
        </w:rPr>
        <w:t>do</w:t>
      </w:r>
      <w:r w:rsidRPr="00771368">
        <w:rPr>
          <w:color w:val="000000"/>
          <w:shd w:val="clear" w:color="auto" w:fill="FFFFFF"/>
        </w:rPr>
        <w:t xml:space="preserve"> </w:t>
      </w:r>
      <w:r w:rsidRPr="00771368">
        <w:rPr>
          <w:rFonts w:eastAsia="Arial"/>
          <w:color w:val="000000"/>
          <w:shd w:val="clear" w:color="auto" w:fill="FFFFFF"/>
        </w:rPr>
        <w:t>Código</w:t>
      </w:r>
      <w:r w:rsidRPr="00771368">
        <w:rPr>
          <w:color w:val="000000"/>
          <w:shd w:val="clear" w:color="auto" w:fill="FFFFFF"/>
        </w:rPr>
        <w:t xml:space="preserve"> </w:t>
      </w:r>
      <w:r w:rsidRPr="00771368">
        <w:rPr>
          <w:rFonts w:eastAsia="Arial"/>
          <w:color w:val="000000"/>
          <w:shd w:val="clear" w:color="auto" w:fill="FFFFFF"/>
        </w:rPr>
        <w:t>Penal</w:t>
      </w:r>
      <w:r w:rsidRPr="00771368">
        <w:rPr>
          <w:color w:val="000000"/>
          <w:shd w:val="clear" w:color="auto" w:fill="FFFFFF"/>
        </w:rPr>
        <w:t xml:space="preserve"> </w:t>
      </w:r>
      <w:r w:rsidRPr="00771368">
        <w:rPr>
          <w:rFonts w:eastAsia="Arial"/>
          <w:color w:val="000000"/>
          <w:shd w:val="clear" w:color="auto" w:fill="FFFFFF"/>
        </w:rPr>
        <w:t>de</w:t>
      </w:r>
      <w:r w:rsidRPr="00771368">
        <w:rPr>
          <w:color w:val="000000"/>
          <w:shd w:val="clear" w:color="auto" w:fill="FFFFFF"/>
        </w:rPr>
        <w:t xml:space="preserve"> </w:t>
      </w:r>
      <w:r w:rsidRPr="00771368">
        <w:rPr>
          <w:rFonts w:eastAsia="Arial"/>
          <w:color w:val="000000"/>
          <w:shd w:val="clear" w:color="auto" w:fill="FFFFFF"/>
        </w:rPr>
        <w:t>1940,</w:t>
      </w:r>
      <w:r w:rsidRPr="00771368">
        <w:rPr>
          <w:color w:val="000000"/>
          <w:shd w:val="clear" w:color="auto" w:fill="FFFFFF"/>
        </w:rPr>
        <w:t xml:space="preserve"> </w:t>
      </w:r>
      <w:r w:rsidRPr="00771368">
        <w:rPr>
          <w:rFonts w:eastAsia="Arial"/>
          <w:color w:val="000000"/>
          <w:shd w:val="clear" w:color="auto" w:fill="FFFFFF"/>
        </w:rPr>
        <w:t>que</w:t>
      </w:r>
      <w:r w:rsidRPr="00771368">
        <w:rPr>
          <w:color w:val="000000"/>
          <w:shd w:val="clear" w:color="auto" w:fill="FFFFFF"/>
        </w:rPr>
        <w:t xml:space="preserve"> </w:t>
      </w:r>
      <w:r w:rsidRPr="00771368">
        <w:rPr>
          <w:rFonts w:eastAsia="Arial"/>
          <w:color w:val="000000"/>
          <w:shd w:val="clear" w:color="auto" w:fill="FFFFFF"/>
        </w:rPr>
        <w:t>ambos</w:t>
      </w:r>
      <w:r w:rsidRPr="00771368">
        <w:rPr>
          <w:color w:val="000000"/>
          <w:shd w:val="clear" w:color="auto" w:fill="FFFFFF"/>
        </w:rPr>
        <w:t xml:space="preserve"> </w:t>
      </w:r>
      <w:r w:rsidRPr="00771368">
        <w:rPr>
          <w:rFonts w:eastAsia="Arial"/>
          <w:color w:val="000000"/>
          <w:shd w:val="clear" w:color="auto" w:fill="FFFFFF"/>
        </w:rPr>
        <w:t>os</w:t>
      </w:r>
      <w:r w:rsidRPr="00771368">
        <w:rPr>
          <w:color w:val="000000"/>
          <w:shd w:val="clear" w:color="auto" w:fill="FFFFFF"/>
        </w:rPr>
        <w:t xml:space="preserve"> </w:t>
      </w:r>
      <w:r w:rsidRPr="00771368">
        <w:rPr>
          <w:rFonts w:eastAsia="Arial"/>
          <w:color w:val="000000"/>
          <w:shd w:val="clear" w:color="auto" w:fill="FFFFFF"/>
        </w:rPr>
        <w:t>cônjuges</w:t>
      </w:r>
      <w:r w:rsidRPr="00771368">
        <w:rPr>
          <w:color w:val="000000"/>
          <w:shd w:val="clear" w:color="auto" w:fill="FFFFFF"/>
        </w:rPr>
        <w:t xml:space="preserve"> </w:t>
      </w:r>
      <w:r w:rsidRPr="00771368">
        <w:rPr>
          <w:rFonts w:eastAsia="Arial"/>
          <w:color w:val="000000"/>
          <w:shd w:val="clear" w:color="auto" w:fill="FFFFFF"/>
        </w:rPr>
        <w:t>puderam</w:t>
      </w:r>
      <w:r w:rsidRPr="00771368">
        <w:rPr>
          <w:color w:val="000000"/>
          <w:shd w:val="clear" w:color="auto" w:fill="FFFFFF"/>
        </w:rPr>
        <w:t xml:space="preserve"> </w:t>
      </w:r>
      <w:r w:rsidRPr="00771368">
        <w:rPr>
          <w:rFonts w:eastAsia="Arial"/>
          <w:color w:val="000000"/>
          <w:shd w:val="clear" w:color="auto" w:fill="FFFFFF"/>
        </w:rPr>
        <w:t>ser</w:t>
      </w:r>
      <w:r w:rsidRPr="00771368">
        <w:rPr>
          <w:color w:val="000000"/>
          <w:shd w:val="clear" w:color="auto" w:fill="FFFFFF"/>
        </w:rPr>
        <w:t xml:space="preserve"> </w:t>
      </w:r>
      <w:r w:rsidRPr="00771368">
        <w:rPr>
          <w:rFonts w:eastAsia="Arial"/>
          <w:color w:val="000000"/>
          <w:shd w:val="clear" w:color="auto" w:fill="FFFFFF"/>
        </w:rPr>
        <w:t>acusados</w:t>
      </w:r>
      <w:r w:rsidRPr="00771368">
        <w:rPr>
          <w:color w:val="000000"/>
          <w:shd w:val="clear" w:color="auto" w:fill="FFFFFF"/>
        </w:rPr>
        <w:t xml:space="preserve"> </w:t>
      </w:r>
      <w:r w:rsidRPr="00771368">
        <w:rPr>
          <w:rFonts w:eastAsia="Arial"/>
          <w:color w:val="000000"/>
          <w:shd w:val="clear" w:color="auto" w:fill="FFFFFF"/>
        </w:rPr>
        <w:t>de</w:t>
      </w:r>
      <w:r w:rsidRPr="00771368">
        <w:rPr>
          <w:color w:val="000000"/>
          <w:shd w:val="clear" w:color="auto" w:fill="FFFFFF"/>
        </w:rPr>
        <w:t xml:space="preserve"> </w:t>
      </w:r>
      <w:r w:rsidRPr="00771368">
        <w:rPr>
          <w:rFonts w:eastAsia="Arial"/>
          <w:color w:val="000000"/>
          <w:shd w:val="clear" w:color="auto" w:fill="FFFFFF"/>
        </w:rPr>
        <w:t>adultério,</w:t>
      </w:r>
      <w:r w:rsidRPr="00771368">
        <w:rPr>
          <w:color w:val="000000"/>
          <w:shd w:val="clear" w:color="auto" w:fill="FFFFFF"/>
        </w:rPr>
        <w:t xml:space="preserve"> </w:t>
      </w:r>
      <w:r w:rsidRPr="00771368">
        <w:rPr>
          <w:rFonts w:eastAsia="Arial"/>
          <w:color w:val="000000"/>
          <w:shd w:val="clear" w:color="auto" w:fill="FFFFFF"/>
        </w:rPr>
        <w:t>até</w:t>
      </w:r>
      <w:r w:rsidRPr="00771368">
        <w:rPr>
          <w:color w:val="000000"/>
          <w:shd w:val="clear" w:color="auto" w:fill="FFFFFF"/>
        </w:rPr>
        <w:t xml:space="preserve"> </w:t>
      </w:r>
      <w:r w:rsidRPr="00771368">
        <w:rPr>
          <w:rFonts w:eastAsia="Arial"/>
          <w:color w:val="000000"/>
          <w:shd w:val="clear" w:color="auto" w:fill="FFFFFF"/>
        </w:rPr>
        <w:t>então,</w:t>
      </w:r>
      <w:r w:rsidRPr="00771368">
        <w:rPr>
          <w:color w:val="000000"/>
          <w:shd w:val="clear" w:color="auto" w:fill="FFFFFF"/>
        </w:rPr>
        <w:t xml:space="preserve"> </w:t>
      </w:r>
      <w:r w:rsidRPr="00771368">
        <w:rPr>
          <w:rFonts w:eastAsia="Arial"/>
          <w:color w:val="000000"/>
          <w:shd w:val="clear" w:color="auto" w:fill="FFFFFF"/>
        </w:rPr>
        <w:t>a</w:t>
      </w:r>
      <w:r w:rsidRPr="00771368">
        <w:rPr>
          <w:color w:val="000000"/>
          <w:shd w:val="clear" w:color="auto" w:fill="FFFFFF"/>
        </w:rPr>
        <w:t xml:space="preserve"> </w:t>
      </w:r>
      <w:r w:rsidRPr="00771368">
        <w:rPr>
          <w:rFonts w:eastAsia="Arial"/>
          <w:color w:val="000000"/>
          <w:shd w:val="clear" w:color="auto" w:fill="FFFFFF"/>
        </w:rPr>
        <w:t>mulher</w:t>
      </w:r>
      <w:r w:rsidRPr="00771368">
        <w:rPr>
          <w:color w:val="000000"/>
          <w:shd w:val="clear" w:color="auto" w:fill="FFFFFF"/>
        </w:rPr>
        <w:t xml:space="preserve"> </w:t>
      </w:r>
      <w:r w:rsidRPr="00771368">
        <w:rPr>
          <w:rFonts w:eastAsia="Arial"/>
          <w:color w:val="000000"/>
          <w:shd w:val="clear" w:color="auto" w:fill="FFFFFF"/>
        </w:rPr>
        <w:t>era</w:t>
      </w:r>
      <w:r w:rsidRPr="00771368">
        <w:rPr>
          <w:color w:val="000000"/>
          <w:shd w:val="clear" w:color="auto" w:fill="FFFFFF"/>
        </w:rPr>
        <w:t xml:space="preserve"> </w:t>
      </w:r>
      <w:r w:rsidRPr="00771368">
        <w:rPr>
          <w:rFonts w:eastAsia="Arial"/>
          <w:color w:val="000000"/>
          <w:shd w:val="clear" w:color="auto" w:fill="FFFFFF"/>
        </w:rPr>
        <w:t>a</w:t>
      </w:r>
      <w:r w:rsidRPr="00771368">
        <w:rPr>
          <w:color w:val="000000"/>
          <w:shd w:val="clear" w:color="auto" w:fill="FFFFFF"/>
        </w:rPr>
        <w:t xml:space="preserve"> </w:t>
      </w:r>
      <w:r w:rsidRPr="00771368">
        <w:rPr>
          <w:rFonts w:eastAsia="Arial"/>
          <w:color w:val="000000"/>
          <w:shd w:val="clear" w:color="auto" w:fill="FFFFFF"/>
        </w:rPr>
        <w:t>única</w:t>
      </w:r>
      <w:r w:rsidRPr="00771368">
        <w:rPr>
          <w:color w:val="000000"/>
          <w:shd w:val="clear" w:color="auto" w:fill="FFFFFF"/>
        </w:rPr>
        <w:t xml:space="preserve"> </w:t>
      </w:r>
      <w:r w:rsidRPr="00771368">
        <w:rPr>
          <w:rFonts w:eastAsia="Arial"/>
          <w:color w:val="000000"/>
          <w:shd w:val="clear" w:color="auto" w:fill="FFFFFF"/>
        </w:rPr>
        <w:t>que</w:t>
      </w:r>
      <w:r w:rsidRPr="00771368">
        <w:rPr>
          <w:color w:val="000000"/>
          <w:shd w:val="clear" w:color="auto" w:fill="FFFFFF"/>
        </w:rPr>
        <w:t xml:space="preserve"> </w:t>
      </w:r>
      <w:r w:rsidRPr="00771368">
        <w:rPr>
          <w:rFonts w:eastAsia="Arial"/>
          <w:color w:val="000000"/>
          <w:shd w:val="clear" w:color="auto" w:fill="FFFFFF"/>
        </w:rPr>
        <w:t>sofria</w:t>
      </w:r>
      <w:r w:rsidRPr="00771368">
        <w:rPr>
          <w:color w:val="000000"/>
          <w:shd w:val="clear" w:color="auto" w:fill="FFFFFF"/>
        </w:rPr>
        <w:t xml:space="preserve"> </w:t>
      </w:r>
      <w:r w:rsidRPr="00771368">
        <w:rPr>
          <w:rFonts w:eastAsia="Arial"/>
          <w:color w:val="000000"/>
          <w:shd w:val="clear" w:color="auto" w:fill="FFFFFF"/>
        </w:rPr>
        <w:t>as</w:t>
      </w:r>
      <w:r w:rsidRPr="00771368">
        <w:rPr>
          <w:color w:val="000000"/>
          <w:shd w:val="clear" w:color="auto" w:fill="FFFFFF"/>
        </w:rPr>
        <w:t xml:space="preserve"> </w:t>
      </w:r>
      <w:r w:rsidRPr="00771368">
        <w:rPr>
          <w:rFonts w:eastAsia="Arial"/>
          <w:color w:val="000000"/>
          <w:shd w:val="clear" w:color="auto" w:fill="FFFFFF"/>
        </w:rPr>
        <w:t>consequências</w:t>
      </w:r>
      <w:r w:rsidRPr="00771368">
        <w:rPr>
          <w:color w:val="000000"/>
          <w:shd w:val="clear" w:color="auto" w:fill="FFFFFF"/>
        </w:rPr>
        <w:t xml:space="preserve"> </w:t>
      </w:r>
      <w:r w:rsidRPr="00771368">
        <w:rPr>
          <w:rFonts w:eastAsia="Arial"/>
          <w:color w:val="000000"/>
          <w:shd w:val="clear" w:color="auto" w:fill="FFFFFF"/>
        </w:rPr>
        <w:t>deste</w:t>
      </w:r>
      <w:r w:rsidRPr="00771368">
        <w:rPr>
          <w:color w:val="000000"/>
          <w:shd w:val="clear" w:color="auto" w:fill="FFFFFF"/>
        </w:rPr>
        <w:t xml:space="preserve"> </w:t>
      </w:r>
      <w:r w:rsidRPr="00771368">
        <w:rPr>
          <w:rFonts w:eastAsia="Arial"/>
          <w:color w:val="000000"/>
          <w:shd w:val="clear" w:color="auto" w:fill="FFFFFF"/>
        </w:rPr>
        <w:t>ato</w:t>
      </w:r>
      <w:r w:rsidRPr="00771368">
        <w:rPr>
          <w:color w:val="000000"/>
          <w:shd w:val="clear" w:color="auto" w:fill="FFFFFF"/>
        </w:rPr>
        <w:t>.</w:t>
      </w:r>
      <w:r w:rsidRPr="00771368">
        <w:rPr>
          <w:rFonts w:eastAsia="Arial"/>
          <w:color w:val="000000"/>
          <w:shd w:val="clear" w:color="auto" w:fill="FFFFFF"/>
        </w:rPr>
        <w:t xml:space="preserve"> Um outro exemplo importante </w:t>
      </w:r>
      <w:r w:rsidRPr="00771368">
        <w:rPr>
          <w:color w:val="000000"/>
        </w:rPr>
        <w:t>é o de que a</w:t>
      </w:r>
      <w:r w:rsidRPr="00771368">
        <w:rPr>
          <w:rFonts w:eastAsia="Arial"/>
          <w:color w:val="000000"/>
          <w:shd w:val="clear" w:color="auto" w:fill="FFFFFF"/>
        </w:rPr>
        <w:t>té</w:t>
      </w:r>
      <w:r w:rsidRPr="00771368">
        <w:rPr>
          <w:color w:val="000000"/>
          <w:shd w:val="clear" w:color="auto" w:fill="FFFFFF"/>
        </w:rPr>
        <w:t xml:space="preserve"> 1962 </w:t>
      </w:r>
    </w:p>
    <w:p w:rsidR="00D24E61" w:rsidRPr="00771368" w:rsidRDefault="00D24E61">
      <w:pPr>
        <w:spacing w:line="360" w:lineRule="auto"/>
        <w:ind w:firstLine="850"/>
        <w:jc w:val="both"/>
        <w:rPr>
          <w:color w:val="000000"/>
          <w:shd w:val="clear" w:color="auto" w:fill="FFFFFF"/>
        </w:rPr>
      </w:pPr>
    </w:p>
    <w:p w:rsidR="00D24E61" w:rsidRPr="00771368" w:rsidRDefault="00D24E61">
      <w:pPr>
        <w:spacing w:line="100" w:lineRule="atLeast"/>
        <w:ind w:left="2268"/>
        <w:jc w:val="both"/>
        <w:rPr>
          <w:rFonts w:eastAsia="Arial"/>
          <w:color w:val="000000"/>
          <w:shd w:val="clear" w:color="auto" w:fill="FFFFFF"/>
        </w:rPr>
      </w:pPr>
      <w:r w:rsidRPr="00771368">
        <w:rPr>
          <w:rFonts w:eastAsia="Arial"/>
          <w:color w:val="000000"/>
          <w:sz w:val="20"/>
          <w:szCs w:val="20"/>
          <w:shd w:val="clear" w:color="auto" w:fill="FFFFFF"/>
        </w:rPr>
        <w:t>a</w:t>
      </w:r>
      <w:r w:rsidRPr="00771368">
        <w:rPr>
          <w:color w:val="000000"/>
          <w:sz w:val="20"/>
          <w:szCs w:val="20"/>
          <w:shd w:val="clear" w:color="auto" w:fill="FFFFFF"/>
        </w:rPr>
        <w:t xml:space="preserve"> mulher casada era considerada relativamente incapaz, necessitando da autorização do marido para exercer os mais elementares direitos, como por exemplo, o direito ao trabalho, elas perdiam direitos civis, quando se casavam. Muitos dos direitos detidos por brasileiras solteiras, foram readquiridos pelas casadas, com a Lei 4.121, também conhecida como Estatuto da Mulher Casada (SAFFIOTI, 2008, p. 92).</w:t>
      </w:r>
    </w:p>
    <w:p w:rsidR="00D24E61" w:rsidRPr="00771368" w:rsidRDefault="00D24E61">
      <w:pPr>
        <w:spacing w:line="360" w:lineRule="auto"/>
        <w:ind w:firstLine="850"/>
        <w:jc w:val="both"/>
        <w:rPr>
          <w:rFonts w:eastAsia="Arial"/>
          <w:color w:val="000000"/>
          <w:shd w:val="clear" w:color="auto" w:fill="FFFFFF"/>
        </w:rPr>
      </w:pPr>
    </w:p>
    <w:p w:rsidR="00D24E61" w:rsidRPr="00771368" w:rsidRDefault="00D24E61">
      <w:pPr>
        <w:spacing w:line="360" w:lineRule="auto"/>
        <w:ind w:firstLine="855"/>
        <w:jc w:val="both"/>
        <w:rPr>
          <w:color w:val="000000"/>
        </w:rPr>
      </w:pPr>
      <w:r w:rsidRPr="00771368">
        <w:rPr>
          <w:rFonts w:eastAsia="Arial"/>
          <w:color w:val="000000"/>
          <w:shd w:val="clear" w:color="auto" w:fill="FFFFFF"/>
        </w:rPr>
        <w:t>Quanto</w:t>
      </w:r>
      <w:r w:rsidRPr="00771368">
        <w:rPr>
          <w:color w:val="000000"/>
          <w:shd w:val="clear" w:color="auto" w:fill="FFFFFF"/>
        </w:rPr>
        <w:t xml:space="preserve"> aos direitos trabalhistas, a lei impedia a entrada da mulher em diversos setores do mercado de trabalho até a década de 1970 e, somente em 2005, a lei penal brasileira “eliminou a possibilidade de impunidade do agressor sexual que se casava com a vítima; retirou do rol dos crimes o adultério </w:t>
      </w:r>
      <w:r w:rsidRPr="00771368">
        <w:rPr>
          <w:rFonts w:eastAsia="Arial"/>
          <w:color w:val="000000"/>
          <w:shd w:val="clear" w:color="auto" w:fill="FFFFFF"/>
          <w:lang w:val="it-IT"/>
        </w:rPr>
        <w:t>[...]</w:t>
      </w:r>
      <w:r w:rsidRPr="00771368">
        <w:rPr>
          <w:color w:val="000000"/>
          <w:shd w:val="clear" w:color="auto" w:fill="FFFFFF"/>
        </w:rPr>
        <w:t xml:space="preserve"> e eliminou a expressão discriminatória “mulher honesta” presente na definição da vítima de alguns crimes sexuais (BARSTED, 2008, p. 47). Após décadas de lutas contra a discriminação, as mulheres alcançaram o direito à igualdade entre homem e mulher, vale dizer que, institucionalmente, a Constituição Brasileira de 1988 rompeu com o poder patriarcal. O princípio de isonomia entre os cônjuges é um exemplo desse avanço, o § 5º do art. 226 estabelece que “Os direitos e deveres referentes à sociedade conjugal são exercidos igualmente pelo homem e pela mulher</w:t>
      </w:r>
      <w:r w:rsidRPr="00771368">
        <w:rPr>
          <w:rStyle w:val="Caracteresdenotaderodap"/>
          <w:color w:val="000000"/>
          <w:shd w:val="clear" w:color="auto" w:fill="FFFFFF"/>
        </w:rPr>
        <w:footnoteReference w:id="135"/>
      </w:r>
      <w:r w:rsidRPr="00771368">
        <w:rPr>
          <w:color w:val="000000"/>
          <w:shd w:val="clear" w:color="auto" w:fill="FFFFFF"/>
        </w:rPr>
        <w:t>” determinando assim, a paridade dos deveres e direitos dentro da família. O Estado reconheceu também a igualdade entre filhos, o reconhecimento de direitos reprodutivos etc.</w:t>
      </w:r>
    </w:p>
    <w:p w:rsidR="00D24E61" w:rsidRPr="00771368" w:rsidRDefault="00D24E61">
      <w:pPr>
        <w:pStyle w:val="Normal1"/>
        <w:widowControl/>
        <w:spacing w:line="360" w:lineRule="auto"/>
        <w:jc w:val="both"/>
        <w:rPr>
          <w:rFonts w:ascii="Times New Roman" w:hAnsi="Times New Roman" w:cs="Times New Roman"/>
        </w:rPr>
      </w:pPr>
    </w:p>
    <w:p w:rsidR="00D24E61" w:rsidRPr="00771368" w:rsidRDefault="00D24E61">
      <w:pPr>
        <w:spacing w:line="360" w:lineRule="auto"/>
        <w:jc w:val="both"/>
        <w:rPr>
          <w:rFonts w:eastAsia="ArialMT"/>
          <w:color w:val="000000"/>
        </w:rPr>
      </w:pPr>
      <w:r w:rsidRPr="00771368">
        <w:rPr>
          <w:b/>
          <w:bCs/>
          <w:color w:val="000000"/>
        </w:rPr>
        <w:t>A questão da mulher e os Direitos Humanos</w:t>
      </w:r>
    </w:p>
    <w:p w:rsidR="00D24E61" w:rsidRPr="00771368" w:rsidRDefault="00D24E61">
      <w:pPr>
        <w:spacing w:line="360" w:lineRule="auto"/>
        <w:ind w:firstLine="868"/>
        <w:jc w:val="both"/>
        <w:rPr>
          <w:color w:val="000000"/>
        </w:rPr>
      </w:pPr>
      <w:r w:rsidRPr="00771368">
        <w:rPr>
          <w:rFonts w:eastAsia="ArialMT"/>
          <w:color w:val="000000"/>
        </w:rPr>
        <w:t>O</w:t>
      </w:r>
      <w:r w:rsidRPr="00771368">
        <w:rPr>
          <w:color w:val="000000"/>
        </w:rPr>
        <w:t xml:space="preserve"> "Direito Internacional dos Direitos Humanos", nasceu após a Segunda Guerra Mundial, com o intuito de dar maior proteção à pessoa humana e reconstruir o valor dos direitos humanos – os horrores da Guerra levaram à uma maior preocupação e integração jurídicas entre os Estados na tentativa de estabelecer leis de proteção internacionais para que tais violações não voltassem a acontecer. Várias nações passaram a tratar, então, com regras internacionais e não somente com uma jurisdição puramente doméstica. </w:t>
      </w:r>
    </w:p>
    <w:p w:rsidR="00D24E61" w:rsidRPr="00771368" w:rsidRDefault="00D24E61">
      <w:pPr>
        <w:spacing w:line="360" w:lineRule="auto"/>
        <w:ind w:firstLine="868"/>
        <w:jc w:val="both"/>
        <w:rPr>
          <w:color w:val="000000"/>
        </w:rPr>
      </w:pPr>
      <w:r w:rsidRPr="00771368">
        <w:rPr>
          <w:color w:val="000000"/>
        </w:rPr>
        <w:t xml:space="preserve">Em 1945 surge a Organização das Nações Unidas (ONU) e em 1948 é adotada a Declaração Universal dos Direitos Humanos com aprovação unânime de 48 Estados, e 8 abstenções. Não obstante </w:t>
      </w:r>
      <w:r w:rsidRPr="00771368">
        <w:rPr>
          <w:rFonts w:eastAsia="ArialMT"/>
          <w:color w:val="000000"/>
          <w:lang w:val="it-IT"/>
        </w:rPr>
        <w:t>su</w:t>
      </w:r>
      <w:r w:rsidRPr="00771368">
        <w:rPr>
          <w:rFonts w:eastAsia="ArialMT"/>
          <w:color w:val="000000"/>
        </w:rPr>
        <w:t>a</w:t>
      </w:r>
      <w:r w:rsidRPr="00771368">
        <w:rPr>
          <w:color w:val="000000"/>
        </w:rPr>
        <w:t xml:space="preserve"> adoção em 1948, é “somente a partir de 1993, (que) a violência contra a mulher passa a ser considerada como uma violação dos direitos humanos” (STREY E</w:t>
      </w:r>
      <w:r w:rsidRPr="00771368">
        <w:rPr>
          <w:color w:val="000000"/>
          <w:lang w:val="it-IT"/>
        </w:rPr>
        <w:t xml:space="preserve"> </w:t>
      </w:r>
      <w:r w:rsidRPr="00771368">
        <w:rPr>
          <w:rFonts w:eastAsia="ArialMT"/>
          <w:color w:val="000000"/>
        </w:rPr>
        <w:t>WERBA,</w:t>
      </w:r>
      <w:r w:rsidRPr="00771368">
        <w:rPr>
          <w:color w:val="000000"/>
        </w:rPr>
        <w:t xml:space="preserve"> 2001, p.75), vale dizer que houve uma lacuna de 45 anos desde a Declaração e a admissão da violência contra a mulher como desrespeito a esses direitos humanos.</w:t>
      </w:r>
    </w:p>
    <w:p w:rsidR="00D24E61" w:rsidRPr="00771368" w:rsidRDefault="00D24E61">
      <w:pPr>
        <w:spacing w:line="360" w:lineRule="auto"/>
        <w:ind w:firstLine="868"/>
        <w:jc w:val="both"/>
        <w:rPr>
          <w:color w:val="000000"/>
          <w:sz w:val="20"/>
          <w:szCs w:val="20"/>
        </w:rPr>
      </w:pPr>
      <w:r w:rsidRPr="00771368">
        <w:rPr>
          <w:color w:val="000000"/>
        </w:rPr>
        <w:t xml:space="preserve">A Declaração estabelece a universalidade e indivisibilidade de direitos, eleva valores éticos de cunho universal, consagra direitos civis e políticos e direitos econômicos, sociais e culturais. Ela estabelece também a coexistência dos sistemas geral e especial de proteção dos direitos humanos, como sistemas de proteção complementares. O direito específico da mulher está </w:t>
      </w:r>
      <w:r w:rsidRPr="00771368">
        <w:rPr>
          <w:color w:val="000000"/>
          <w:shd w:val="clear" w:color="auto" w:fill="FFFFFF"/>
        </w:rPr>
        <w:t>compreendido</w:t>
      </w:r>
      <w:r w:rsidRPr="00771368">
        <w:rPr>
          <w:color w:val="000000"/>
        </w:rPr>
        <w:t xml:space="preserve"> no sistema especial de proteção, como também os grupos étnicos minoritários, a criança, dentre outros, considerados parte de grupos vulneráveis. Eis alguns acordos que o Brasil validou</w:t>
      </w:r>
    </w:p>
    <w:p w:rsidR="00D24E61" w:rsidRPr="00771368" w:rsidRDefault="00D24E61">
      <w:pPr>
        <w:spacing w:line="100" w:lineRule="atLeast"/>
        <w:ind w:left="2268"/>
        <w:jc w:val="both"/>
        <w:rPr>
          <w:color w:val="000000"/>
          <w:sz w:val="20"/>
          <w:szCs w:val="20"/>
        </w:rPr>
      </w:pPr>
    </w:p>
    <w:p w:rsidR="00D24E61" w:rsidRPr="00771368" w:rsidRDefault="00D24E61">
      <w:pPr>
        <w:spacing w:line="100" w:lineRule="atLeast"/>
        <w:ind w:left="2268"/>
        <w:jc w:val="both"/>
        <w:rPr>
          <w:color w:val="000000"/>
        </w:rPr>
      </w:pPr>
      <w:r w:rsidRPr="00771368">
        <w:rPr>
          <w:color w:val="000000"/>
          <w:sz w:val="20"/>
          <w:szCs w:val="20"/>
        </w:rPr>
        <w:t>Assim, a partir da Carta de 1988 foram ratificados pelo Brasil: a) a Convenção Interamericana para Prevenir e Punir a Tortura, em 20 de julho de 1989; b) a Convenção sobre os Direitos da Criança, em 24 de setembro de 1990; c) o Pacto Internacional dos Direitos Civis e Políticos, em 24 de janeiro de 1992; d) o Pacto Internacional dos Direitos Econômicos, Sociais e Culturais, em 24 de janeiro de 1992; e) A convenção Americana de Direitos Humanos, em 25 de setembro de 1992; f) a Convenção Interamericana para Prevenir, Punir e Erradicar a Violência contra a Mulher, em 27 de novembro de 1995 (PIOVESAN, 2008, p. 29).</w:t>
      </w:r>
    </w:p>
    <w:p w:rsidR="00D24E61" w:rsidRPr="00771368" w:rsidRDefault="00D24E61">
      <w:pPr>
        <w:spacing w:line="360" w:lineRule="auto"/>
        <w:jc w:val="both"/>
        <w:rPr>
          <w:color w:val="000000"/>
        </w:rPr>
      </w:pPr>
    </w:p>
    <w:p w:rsidR="00D24E61" w:rsidRPr="00771368" w:rsidRDefault="00D24E61">
      <w:pPr>
        <w:spacing w:line="360" w:lineRule="auto"/>
        <w:ind w:firstLine="855"/>
        <w:jc w:val="both"/>
        <w:rPr>
          <w:color w:val="000000"/>
        </w:rPr>
      </w:pPr>
      <w:r w:rsidRPr="00771368">
        <w:rPr>
          <w:color w:val="000000"/>
        </w:rPr>
        <w:t>Segundo a normativa da Convenção Interamericana para Prevenir, Punir e Erradicar a Violência contra a Mulher, a violência de gênero, isto é, aquela feita à mulher pelo fato de ser mulher, configura-se num preconceito que lhe impede de gozar de liberdade em base à igualdade com os homens, essa desigualdade pode abranger várias instâncias como: o direito à vida, às oportunidades e condições justas de trabalho, o direito à mesma igualdade na família, à segurança da pessoa, dentre outras.</w:t>
      </w:r>
    </w:p>
    <w:p w:rsidR="00D24E61" w:rsidRPr="00771368" w:rsidRDefault="00D24E61">
      <w:pPr>
        <w:spacing w:line="360" w:lineRule="auto"/>
        <w:ind w:firstLine="855"/>
        <w:jc w:val="both"/>
        <w:rPr>
          <w:color w:val="000000"/>
        </w:rPr>
      </w:pPr>
      <w:r w:rsidRPr="00771368">
        <w:rPr>
          <w:color w:val="000000"/>
        </w:rPr>
        <w:t xml:space="preserve">No que se refere ao impacto jurídico dos tratados acima citados com o Direito Brasileiro, temos as três seguintes situações: a) aquela na qual o direito assegurado pela Constituição coincide com o do Direito Internacional dos Direitos Humanos e assim o reproduz; b) aquela na qual o Direito Internacional integre, complemente e amplie o universo de direitos constitucionalmente previstos; </w:t>
      </w:r>
      <w:r w:rsidRPr="00771368">
        <w:rPr>
          <w:color w:val="000000"/>
          <w:lang w:val="it-IT"/>
        </w:rPr>
        <w:t>e c</w:t>
      </w:r>
      <w:r w:rsidRPr="00771368">
        <w:rPr>
          <w:color w:val="000000"/>
        </w:rPr>
        <w:t>)</w:t>
      </w:r>
      <w:r w:rsidRPr="00771368">
        <w:rPr>
          <w:color w:val="000000"/>
          <w:lang w:val="it-IT"/>
        </w:rPr>
        <w:t xml:space="preserve"> </w:t>
      </w:r>
      <w:r w:rsidRPr="00771368">
        <w:rPr>
          <w:color w:val="000000"/>
        </w:rPr>
        <w:t>os casos que</w:t>
      </w:r>
      <w:r w:rsidRPr="00771368">
        <w:rPr>
          <w:color w:val="000000"/>
          <w:lang w:val="it-IT"/>
        </w:rPr>
        <w:t xml:space="preserve">, por ventura, </w:t>
      </w:r>
      <w:r w:rsidRPr="00771368">
        <w:rPr>
          <w:color w:val="000000"/>
        </w:rPr>
        <w:t xml:space="preserve">contrariem o preceito do Direito interno. </w:t>
      </w:r>
    </w:p>
    <w:p w:rsidR="00D24E61" w:rsidRPr="00771368" w:rsidRDefault="00D24E61">
      <w:pPr>
        <w:spacing w:line="360" w:lineRule="auto"/>
        <w:ind w:firstLine="855"/>
        <w:jc w:val="both"/>
        <w:rPr>
          <w:color w:val="000000"/>
        </w:rPr>
      </w:pPr>
      <w:r w:rsidRPr="00771368">
        <w:rPr>
          <w:color w:val="000000"/>
        </w:rPr>
        <w:t>A Lei 11.340</w:t>
      </w:r>
      <w:r w:rsidRPr="00771368">
        <w:rPr>
          <w:color w:val="000000"/>
          <w:lang w:val="it-IT"/>
        </w:rPr>
        <w:t>/</w:t>
      </w:r>
      <w:r w:rsidRPr="00771368">
        <w:rPr>
          <w:color w:val="000000"/>
        </w:rPr>
        <w:t xml:space="preserve">06 se inclui no caso “b” acima mencionado, ou seja, foi aprovada e adotada na perspectiva de complementação e ampliação do Direito interno brasileiro, medida cabível e assegurada pelos tratados internacionais dos quais o Brasil faz parte. Segundo </w:t>
      </w:r>
      <w:r w:rsidRPr="00771368">
        <w:rPr>
          <w:color w:val="000000"/>
          <w:shd w:val="clear" w:color="auto" w:fill="FFFFFF"/>
        </w:rPr>
        <w:t>Piovesan (2008) v</w:t>
      </w:r>
      <w:r w:rsidRPr="00771368">
        <w:rPr>
          <w:color w:val="000000"/>
        </w:rPr>
        <w:t xml:space="preserve">ale dizer a “possibilidade de adoção pelos Estados de medidas temporárias e especiais que objetivem acelerar a igualdade de fato entre homens e mulheres, nos termos do artigo 4º da Convenção sobre a Eliminação de todas as formas de Discriminação contra a Mulher” (PIOVESAN, 2008, p. 32); nestes tratados estão previstos ainda conceitualizações importantes como: a definição jurídica de violência e discriminação contra a mulher, dentre outras. </w:t>
      </w:r>
    </w:p>
    <w:p w:rsidR="00D24E61" w:rsidRPr="00771368" w:rsidRDefault="00D24E61">
      <w:pPr>
        <w:spacing w:line="360" w:lineRule="auto"/>
        <w:ind w:firstLine="855"/>
        <w:jc w:val="both"/>
        <w:rPr>
          <w:color w:val="000000"/>
        </w:rPr>
      </w:pPr>
      <w:r w:rsidRPr="00771368">
        <w:rPr>
          <w:color w:val="000000"/>
        </w:rPr>
        <w:t>Com base no acima citado, percebemos que a Lei Maria da Penha não se configura, como foi alegad</w:t>
      </w:r>
      <w:r w:rsidRPr="00771368">
        <w:rPr>
          <w:color w:val="000000"/>
          <w:lang w:val="it-IT"/>
        </w:rPr>
        <w:t>o</w:t>
      </w:r>
      <w:r w:rsidRPr="00771368">
        <w:rPr>
          <w:color w:val="000000"/>
        </w:rPr>
        <w:t xml:space="preserve"> por uma ala mais conservadora da sociedade, como uma lei diabólica</w:t>
      </w:r>
      <w:r w:rsidRPr="00771368">
        <w:rPr>
          <w:rStyle w:val="Caracteresdenotaderodap"/>
          <w:color w:val="000000"/>
        </w:rPr>
        <w:footnoteReference w:id="136"/>
      </w:r>
      <w:r w:rsidRPr="00771368">
        <w:rPr>
          <w:color w:val="000000"/>
        </w:rPr>
        <w:t xml:space="preserve"> e inconstitucional. Afinal “toda discussão a respeito de inconstitucionalidade de norma envolve uma discussão na qual se corre o risco de se privilegiar a teoria em detrimento da realidade fática” (GUEDES, 2008, p. 55). </w:t>
      </w:r>
    </w:p>
    <w:p w:rsidR="00D24E61" w:rsidRPr="00771368" w:rsidRDefault="00D24E61">
      <w:pPr>
        <w:spacing w:line="360" w:lineRule="auto"/>
        <w:ind w:firstLine="855"/>
        <w:jc w:val="both"/>
        <w:rPr>
          <w:rFonts w:eastAsia="Arial"/>
          <w:color w:val="000000"/>
          <w:sz w:val="20"/>
          <w:szCs w:val="20"/>
        </w:rPr>
      </w:pPr>
      <w:r w:rsidRPr="00771368">
        <w:rPr>
          <w:color w:val="000000"/>
        </w:rPr>
        <w:t xml:space="preserve">Sobre as resistência em relação à Lei 11.340/06, </w:t>
      </w:r>
      <w:r w:rsidRPr="00771368">
        <w:rPr>
          <w:rFonts w:eastAsia="Arial"/>
          <w:color w:val="000000"/>
        </w:rPr>
        <w:t>Shelma</w:t>
      </w:r>
      <w:r w:rsidRPr="00771368">
        <w:rPr>
          <w:color w:val="000000"/>
        </w:rPr>
        <w:t xml:space="preserve"> Lombardi de Kato presidente da Associação Nacional de Magistradas (ANM) conclui que</w:t>
      </w:r>
    </w:p>
    <w:p w:rsidR="00D24E61" w:rsidRPr="00771368" w:rsidRDefault="00D24E61">
      <w:pPr>
        <w:spacing w:line="100" w:lineRule="atLeast"/>
        <w:ind w:left="2268"/>
        <w:jc w:val="both"/>
        <w:rPr>
          <w:rFonts w:eastAsia="Arial"/>
          <w:color w:val="000000"/>
          <w:sz w:val="20"/>
          <w:szCs w:val="20"/>
        </w:rPr>
      </w:pPr>
    </w:p>
    <w:p w:rsidR="00D24E61" w:rsidRPr="00771368" w:rsidRDefault="00D24E61">
      <w:pPr>
        <w:spacing w:line="100" w:lineRule="atLeast"/>
        <w:ind w:left="2268"/>
        <w:jc w:val="both"/>
        <w:rPr>
          <w:color w:val="000000"/>
          <w:sz w:val="20"/>
          <w:szCs w:val="20"/>
          <w:shd w:val="clear" w:color="auto" w:fill="FFFF00"/>
        </w:rPr>
      </w:pPr>
      <w:r w:rsidRPr="00771368">
        <w:rPr>
          <w:rFonts w:eastAsia="Arial"/>
          <w:color w:val="000000"/>
          <w:sz w:val="20"/>
          <w:szCs w:val="20"/>
        </w:rPr>
        <w:t>Por</w:t>
      </w:r>
      <w:r w:rsidRPr="00771368">
        <w:rPr>
          <w:color w:val="000000"/>
          <w:sz w:val="20"/>
          <w:szCs w:val="20"/>
        </w:rPr>
        <w:t xml:space="preserve"> representar a mudança de paradigmas, a fustigada Lei experimenta toda a sorte de resistência por parte dos que insistem na reprodução das velhas estruturas e categorias jurídicas construídas em séculos anteriores e superadas pela humanização e universalização dos direitos para a melhor proteção de cada ser humano, ainda que este ser humano seja uma mulher (KATO, 2008, p. 22).</w:t>
      </w:r>
    </w:p>
    <w:p w:rsidR="00D24E61" w:rsidRPr="00771368" w:rsidRDefault="00D24E61">
      <w:pPr>
        <w:spacing w:line="100" w:lineRule="atLeast"/>
        <w:ind w:left="2268"/>
        <w:jc w:val="both"/>
        <w:rPr>
          <w:color w:val="000000"/>
          <w:sz w:val="20"/>
          <w:szCs w:val="20"/>
          <w:shd w:val="clear" w:color="auto" w:fill="FFFF00"/>
        </w:rPr>
      </w:pPr>
    </w:p>
    <w:p w:rsidR="00D24E61" w:rsidRPr="00771368" w:rsidRDefault="00D24E61">
      <w:pPr>
        <w:spacing w:line="100" w:lineRule="atLeast"/>
        <w:ind w:left="-13" w:firstLine="868"/>
        <w:jc w:val="both"/>
        <w:rPr>
          <w:rFonts w:eastAsia="FrutigerLT-LightCn"/>
          <w:color w:val="000000"/>
        </w:rPr>
      </w:pPr>
    </w:p>
    <w:p w:rsidR="00D24E61" w:rsidRPr="00771368" w:rsidRDefault="00D24E61">
      <w:pPr>
        <w:spacing w:line="360" w:lineRule="auto"/>
        <w:ind w:firstLine="855"/>
        <w:jc w:val="both"/>
        <w:rPr>
          <w:color w:val="000000"/>
          <w:sz w:val="20"/>
          <w:szCs w:val="20"/>
          <w:shd w:val="clear" w:color="auto" w:fill="FFFFFF"/>
        </w:rPr>
      </w:pPr>
      <w:r w:rsidRPr="00771368">
        <w:rPr>
          <w:color w:val="000000"/>
        </w:rPr>
        <w:t>Uma das acusações que se faz à Lei é que esta fere o princípio da isonomia, garantido pelo  art. 5º, I</w:t>
      </w:r>
      <w:r w:rsidRPr="00771368">
        <w:rPr>
          <w:rFonts w:eastAsia="Arial"/>
          <w:color w:val="000000"/>
        </w:rPr>
        <w:t xml:space="preserve"> </w:t>
      </w:r>
      <w:r w:rsidRPr="00771368">
        <w:rPr>
          <w:color w:val="000000"/>
        </w:rPr>
        <w:t>- “homens e mulheres são iguais em direitos e obrigações, nos termos desta Constituição”, da Constituição Federal, porém vale-nos lembrar que, como assinala a juiza de direito – TJ/MT Amini Haddad Campos</w:t>
      </w:r>
    </w:p>
    <w:p w:rsidR="00D24E61" w:rsidRPr="00771368" w:rsidRDefault="00D24E61">
      <w:pPr>
        <w:spacing w:line="100" w:lineRule="atLeast"/>
        <w:ind w:left="2265"/>
        <w:jc w:val="both"/>
        <w:rPr>
          <w:color w:val="000000"/>
          <w:sz w:val="20"/>
          <w:szCs w:val="20"/>
          <w:shd w:val="clear" w:color="auto" w:fill="FFFFFF"/>
        </w:rPr>
      </w:pPr>
    </w:p>
    <w:p w:rsidR="00D24E61" w:rsidRPr="00771368" w:rsidRDefault="00D24E61">
      <w:pPr>
        <w:spacing w:line="100" w:lineRule="atLeast"/>
        <w:ind w:left="2265"/>
        <w:jc w:val="both"/>
        <w:rPr>
          <w:rFonts w:eastAsia="Arial"/>
          <w:color w:val="000000"/>
          <w:sz w:val="20"/>
          <w:szCs w:val="20"/>
          <w:shd w:val="clear" w:color="auto" w:fill="FFFF00"/>
        </w:rPr>
      </w:pPr>
      <w:r w:rsidRPr="00771368">
        <w:rPr>
          <w:color w:val="000000"/>
          <w:sz w:val="20"/>
          <w:szCs w:val="20"/>
          <w:shd w:val="clear" w:color="auto" w:fill="FFFFFF"/>
        </w:rPr>
        <w:t xml:space="preserve">A correta interpretação desse dispositivo torna inaceitável a utilização do </w:t>
      </w:r>
      <w:r w:rsidRPr="00771368">
        <w:rPr>
          <w:rFonts w:eastAsia="Arial"/>
          <w:i/>
          <w:iCs/>
          <w:color w:val="000000"/>
          <w:sz w:val="20"/>
          <w:szCs w:val="20"/>
          <w:shd w:val="clear" w:color="auto" w:fill="FFFFFF"/>
        </w:rPr>
        <w:t>discrimen</w:t>
      </w:r>
      <w:r w:rsidRPr="00771368">
        <w:rPr>
          <w:i/>
          <w:iCs/>
          <w:color w:val="000000"/>
          <w:sz w:val="20"/>
          <w:szCs w:val="20"/>
          <w:shd w:val="clear" w:color="auto" w:fill="FFFFFF"/>
        </w:rPr>
        <w:t xml:space="preserve"> </w:t>
      </w:r>
      <w:r w:rsidRPr="00771368">
        <w:rPr>
          <w:rFonts w:eastAsia="Arial"/>
          <w:color w:val="000000"/>
          <w:sz w:val="20"/>
          <w:szCs w:val="20"/>
          <w:shd w:val="clear" w:color="auto" w:fill="FFFFFF"/>
        </w:rPr>
        <w:t>o</w:t>
      </w:r>
      <w:r w:rsidRPr="00771368">
        <w:rPr>
          <w:color w:val="000000"/>
          <w:sz w:val="20"/>
          <w:szCs w:val="20"/>
          <w:shd w:val="clear" w:color="auto" w:fill="FFFFFF"/>
        </w:rPr>
        <w:t xml:space="preserve"> sexo sempre que o mesmo seja eleito com o propósito de desnivelar materialmente o homem da mulher; aceitando-o, porém, quando a finalidade pretendida for atenuar os desníveis. Conseqüentemente, além de tratamentos diferenciados entre homens e mulheres previstos pela própria Constituição (art. 7º, XVIII, e XIX; 143, §§ 1º e 2º; 202, I e II), poderá a legislação infraconstitucional pretender atenuar os desníveis de tratamento em razão do sexo; nunca, porém, beneficiando um deles (CAMPOS, 2008, p. 43).</w:t>
      </w:r>
    </w:p>
    <w:p w:rsidR="00D24E61" w:rsidRPr="00771368" w:rsidRDefault="00D24E61">
      <w:pPr>
        <w:spacing w:line="100" w:lineRule="atLeast"/>
        <w:ind w:left="2265"/>
        <w:jc w:val="both"/>
        <w:rPr>
          <w:rFonts w:eastAsia="Arial"/>
          <w:color w:val="000000"/>
          <w:sz w:val="20"/>
          <w:szCs w:val="20"/>
          <w:shd w:val="clear" w:color="auto" w:fill="FFFF00"/>
        </w:rPr>
      </w:pPr>
    </w:p>
    <w:p w:rsidR="00D24E61" w:rsidRPr="00771368" w:rsidRDefault="00D24E61">
      <w:pPr>
        <w:spacing w:line="100" w:lineRule="atLeast"/>
        <w:ind w:left="2265"/>
        <w:jc w:val="both"/>
        <w:rPr>
          <w:rFonts w:eastAsia="Arial"/>
          <w:color w:val="000000"/>
          <w:sz w:val="20"/>
          <w:szCs w:val="20"/>
          <w:shd w:val="clear" w:color="auto" w:fill="FFFF00"/>
        </w:rPr>
      </w:pPr>
    </w:p>
    <w:p w:rsidR="00D24E61" w:rsidRPr="00771368" w:rsidRDefault="00D24E61">
      <w:pPr>
        <w:spacing w:line="360" w:lineRule="auto"/>
        <w:ind w:firstLine="855"/>
        <w:jc w:val="both"/>
        <w:rPr>
          <w:color w:val="000000"/>
        </w:rPr>
      </w:pPr>
      <w:r w:rsidRPr="00771368">
        <w:rPr>
          <w:color w:val="000000"/>
          <w:shd w:val="clear" w:color="auto" w:fill="FFFFFF"/>
        </w:rPr>
        <w:t>Ao compreendermos os direitos da mulher como parte integrante dos Direitos Humanos, começamos a colocar em “xeque” o histórico de preconceitos e discriminações que estas vêm sofrendo. Apesar do princípio de igualdade e equidade garantidos pela Magna Carta, a história de um cotidiano sem violências está ainda por ser escrito. E, nesse sentido, a criação e efetivação de leis que visem a democracia, a inclusão e a paridade de direitos são fundamentais.</w:t>
      </w:r>
    </w:p>
    <w:p w:rsidR="00D24E61" w:rsidRPr="00771368" w:rsidRDefault="00D24E61">
      <w:pPr>
        <w:spacing w:line="360" w:lineRule="auto"/>
        <w:ind w:firstLine="850"/>
        <w:jc w:val="both"/>
        <w:rPr>
          <w:color w:val="000000"/>
        </w:rPr>
      </w:pPr>
      <w:r w:rsidRPr="00771368">
        <w:rPr>
          <w:color w:val="000000"/>
        </w:rPr>
        <w:t xml:space="preserve"> Uma interessante iniciativa para a discussão e busca desses direitos são as conferências nacionais das políticas para as mulheres, já em sua terceira edição (2004, 2007 e 2011). Naquela ocorrida em 2004, discursaram várias autoridades ligadas diretamente às questões de lutas pela igualdade e equidade sociais. Em relação aos avanços femininos obtidos na última Constituição Brasileira a diretora da Cidadania, Estudos, Pesquisa, Informação (CEPIA) Jacqueline Pitanguy assinala que</w:t>
      </w:r>
    </w:p>
    <w:p w:rsidR="00D24E61" w:rsidRPr="00771368" w:rsidRDefault="00D24E61">
      <w:pPr>
        <w:spacing w:line="360" w:lineRule="auto"/>
        <w:ind w:firstLine="850"/>
        <w:jc w:val="both"/>
        <w:rPr>
          <w:color w:val="000000"/>
        </w:rPr>
      </w:pPr>
    </w:p>
    <w:p w:rsidR="00D24E61" w:rsidRPr="00771368" w:rsidRDefault="00D24E61">
      <w:pPr>
        <w:spacing w:line="100" w:lineRule="atLeast"/>
        <w:ind w:left="2268"/>
        <w:jc w:val="both"/>
        <w:rPr>
          <w:color w:val="000000"/>
        </w:rPr>
      </w:pPr>
      <w:r w:rsidRPr="00771368">
        <w:rPr>
          <w:color w:val="000000"/>
          <w:sz w:val="20"/>
          <w:szCs w:val="20"/>
        </w:rPr>
        <w:t xml:space="preserve">No plano legislativo, a Constituição de 1988 traça um marco normativo igualitário para homens e mulheres no âmbito da sociedade conjugal, reconhece a violência intrafamiliar como questão de governo, afirma o direito a livre escolha no âmbito da reprodução, avança na garantia de Direitos específicos na esfera do trabalho, incluindo o trabalho doméstico, da previdência, da mulher rural, dentre outros </w:t>
      </w:r>
      <w:r w:rsidRPr="00771368">
        <w:rPr>
          <w:color w:val="000000"/>
          <w:sz w:val="20"/>
          <w:szCs w:val="20"/>
          <w:shd w:val="clear" w:color="auto" w:fill="FFFFFF"/>
        </w:rPr>
        <w:t>(PITANGUY, 2004, p. 33).</w:t>
      </w:r>
    </w:p>
    <w:p w:rsidR="00D24E61" w:rsidRPr="00771368" w:rsidRDefault="00D24E61">
      <w:pPr>
        <w:spacing w:line="360" w:lineRule="auto"/>
        <w:ind w:firstLine="868"/>
        <w:jc w:val="both"/>
        <w:rPr>
          <w:color w:val="000000"/>
        </w:rPr>
      </w:pPr>
    </w:p>
    <w:p w:rsidR="00D24E61" w:rsidRPr="00771368" w:rsidRDefault="00D24E61">
      <w:pPr>
        <w:spacing w:line="360" w:lineRule="auto"/>
        <w:ind w:firstLine="855"/>
        <w:jc w:val="both"/>
        <w:rPr>
          <w:color w:val="000000"/>
          <w:shd w:val="clear" w:color="auto" w:fill="FFFFFF"/>
        </w:rPr>
      </w:pPr>
      <w:r w:rsidRPr="00771368">
        <w:rPr>
          <w:color w:val="000000"/>
        </w:rPr>
        <w:t xml:space="preserve">Para se ter uma ideia da abrangência dessas mobilizações, a I Conferência Nacional de Políticas para as Mulheres obteve, após as reuniões municipais e estaduais para formulação de propostas, 3844 diretrizes que foram discutidas em grupos e sessões plenárias no Governo e, a II Conferência, ocorrida em 2007, contou com a mobilização de mais de 200 mil brasileiras de todo o país e foram estabelecidas 94 metas, 56 prioridades e 388 ações distribuídas em 11 grandes áreas de atuação. Vale ressaltar que, embora as discussões estejam sendo feitas pelas principais interessadas, há ainda uma baixa participação feminina em cargos políticos, sobretudo naqueles que detêm maior poder de decisão. Conquanto o Código Eleitoral em vigor determine em seu </w:t>
      </w:r>
      <w:r w:rsidRPr="00771368">
        <w:rPr>
          <w:color w:val="000000"/>
          <w:shd w:val="clear" w:color="auto" w:fill="FFFFFF"/>
        </w:rPr>
        <w:t xml:space="preserve">§ 3° do art. 10° “Do número de vagas resultante das regras previstas neste artigo, cada partido ou coligação preencherá o mínimo de 30% (trinta por cento) e o máximo de 70% (setenta por cento) para candidaturas de cada sexo” </w:t>
      </w:r>
      <w:r w:rsidRPr="00771368">
        <w:rPr>
          <w:rStyle w:val="Caracteresdenotaderodap"/>
          <w:color w:val="000000"/>
          <w:shd w:val="clear" w:color="auto" w:fill="FFFFFF"/>
        </w:rPr>
        <w:footnoteReference w:id="137"/>
      </w:r>
      <w:r w:rsidRPr="00771368">
        <w:rPr>
          <w:color w:val="000000"/>
          <w:shd w:val="clear" w:color="auto" w:fill="FFFFFF"/>
        </w:rPr>
        <w:t xml:space="preserve"> (Art. 10°, Lei 12.034/09), esta especificação é negligenciada tendo como “cúmplice” a Lei que não impõe sanções</w:t>
      </w:r>
      <w:r w:rsidRPr="00771368">
        <w:rPr>
          <w:rStyle w:val="Caracteresdenotaderodap"/>
          <w:color w:val="000000"/>
          <w:shd w:val="clear" w:color="auto" w:fill="FFFFFF"/>
        </w:rPr>
        <w:footnoteReference w:id="138"/>
      </w:r>
      <w:r w:rsidRPr="00771368">
        <w:rPr>
          <w:color w:val="000000"/>
          <w:shd w:val="clear" w:color="auto" w:fill="FFFFFF"/>
        </w:rPr>
        <w:t xml:space="preserve"> ao seu desrespeito. Após as eleições de 2010, o Brasil passou a contar com cerca de 10 % de presença feminina no Senado e na Câmara dos Deputados, como podemos perceber é uma porcentagem muito inferior àquela determinada pelo Código Eleitoral. </w:t>
      </w:r>
    </w:p>
    <w:p w:rsidR="00D24E61" w:rsidRPr="00771368" w:rsidRDefault="00D24E61">
      <w:pPr>
        <w:spacing w:line="360" w:lineRule="auto"/>
        <w:ind w:firstLine="868"/>
        <w:jc w:val="both"/>
        <w:rPr>
          <w:color w:val="000000"/>
          <w:shd w:val="clear" w:color="auto" w:fill="FFFFFF"/>
        </w:rPr>
      </w:pPr>
      <w:r w:rsidRPr="00771368">
        <w:rPr>
          <w:color w:val="000000"/>
          <w:shd w:val="clear" w:color="auto" w:fill="FFFFFF"/>
        </w:rPr>
        <w:t>O Estado, ao mesmo tempo em que patrocina, por meio do poder executivo as conferências pelas lutas femininas por direitos igualitários, mostra-se negligente em relação à violência contra a mulher ao “permitir” que o poder judiciário e o ministério público “fechem os olhos” para as inovações trazidas pela Lei Maria da Penha. Assim, ao invés de reconhecer a violência como uma expressão da questão social, buscando combatê-la sob todos os aspectos e envolvendo todos os recursos dos poderes (executivo, legislativo e judiciário) preocupa-se apenas com o aspecto da propaganda “politicamente correta” que essas secretarias com suas conferências possibilita.</w:t>
      </w:r>
    </w:p>
    <w:p w:rsidR="00D24E61" w:rsidRPr="00771368" w:rsidRDefault="00D24E61">
      <w:pPr>
        <w:spacing w:line="360" w:lineRule="auto"/>
        <w:ind w:firstLine="868"/>
        <w:jc w:val="both"/>
        <w:rPr>
          <w:b/>
          <w:bCs/>
          <w:color w:val="000000"/>
          <w:sz w:val="24"/>
          <w:szCs w:val="24"/>
        </w:rPr>
      </w:pPr>
      <w:r w:rsidRPr="00771368">
        <w:rPr>
          <w:color w:val="000000"/>
          <w:shd w:val="clear" w:color="auto" w:fill="FFFFFF"/>
        </w:rPr>
        <w:t xml:space="preserve">Ainda que sejam garantidas no papel a igualdade de oportunidades entre homens e mulheres, segundo a coordenadora da Marcha Mundial de Mulheres (MARCHA) Nalu Faria, o Brasil carece de políticas específicas em três níveis: a) referentes à construção da autonomia pessoal e econômica; b) em relação à alteração da divisão sexual do trabalho em casa e no mercado e, c) no campo da autonomia sobre o corpo. Se faz cada vez mais urgente e necessária a luta por políticas públicas que proporcionem mudanças nas formas culturais dominantes, que contribuam na superação da dominação masculina nos campos econômico e simbólico, por exemplo (FARIA, 2004). </w:t>
      </w:r>
    </w:p>
    <w:p w:rsidR="00D24E61" w:rsidRPr="00771368" w:rsidRDefault="00D24E61">
      <w:pPr>
        <w:spacing w:line="360" w:lineRule="auto"/>
        <w:ind w:firstLine="855"/>
        <w:jc w:val="both"/>
        <w:rPr>
          <w:b/>
          <w:bCs/>
          <w:color w:val="000000"/>
          <w:sz w:val="24"/>
          <w:szCs w:val="24"/>
        </w:rPr>
      </w:pPr>
    </w:p>
    <w:p w:rsidR="00D24E61" w:rsidRPr="00771368" w:rsidRDefault="00D24E61">
      <w:pPr>
        <w:spacing w:line="360" w:lineRule="auto"/>
        <w:jc w:val="both"/>
        <w:rPr>
          <w:color w:val="000000"/>
        </w:rPr>
      </w:pPr>
      <w:r w:rsidRPr="00771368">
        <w:rPr>
          <w:b/>
          <w:bCs/>
          <w:color w:val="000000"/>
        </w:rPr>
        <w:t>Entrevistas e vivências na DEAM de Anápolis</w:t>
      </w:r>
    </w:p>
    <w:p w:rsidR="00D24E61" w:rsidRPr="00771368" w:rsidRDefault="00D24E61">
      <w:pPr>
        <w:spacing w:line="360" w:lineRule="auto"/>
        <w:ind w:firstLine="855"/>
        <w:jc w:val="both"/>
        <w:rPr>
          <w:color w:val="000000"/>
        </w:rPr>
      </w:pPr>
      <w:r w:rsidRPr="00771368">
        <w:rPr>
          <w:color w:val="000000"/>
        </w:rPr>
        <w:t>Com o intuito de experienciar e compreender a dinâmica das atividades desenvolvidas na Delegacia Especializada de Atendimento à Mulher da cidade de Anápolis, foram feitas duas “visitas”</w:t>
      </w:r>
      <w:r w:rsidRPr="00771368">
        <w:rPr>
          <w:rStyle w:val="Caracteresdenotaderodap"/>
          <w:color w:val="000000"/>
        </w:rPr>
        <w:footnoteReference w:id="139"/>
      </w:r>
      <w:r w:rsidRPr="00771368">
        <w:rPr>
          <w:color w:val="000000"/>
        </w:rPr>
        <w:t xml:space="preserve"> e duas entrevistas aos respectivos funcionários: à delegada titular da DEAM Aline S.R.Vilela e ao escrivão de polícia Ricardo do Nascimento Martins. As visitas e as entrevistas foram úteis para algumas reflexões que reportamos ao longo desse tópico.</w:t>
      </w:r>
    </w:p>
    <w:p w:rsidR="00D24E61" w:rsidRPr="00771368" w:rsidRDefault="00D24E61">
      <w:pPr>
        <w:spacing w:line="360" w:lineRule="auto"/>
        <w:ind w:firstLine="885"/>
        <w:jc w:val="both"/>
        <w:rPr>
          <w:color w:val="000000"/>
        </w:rPr>
      </w:pPr>
      <w:r w:rsidRPr="00771368">
        <w:rPr>
          <w:color w:val="000000"/>
        </w:rPr>
        <w:t>Quanto ao questionário, este foi previamente elaborado e contou com 06 propostas de reflexão. @s convidad@s se dispuseram prontamente a respondê-lo. Decidimos utilizar o mesmo roteiro de entrevista para ambos com a intenção de colher um parecer feminino e um masculino sobre os temas abordadas.</w:t>
      </w:r>
    </w:p>
    <w:p w:rsidR="00D24E61" w:rsidRPr="00771368" w:rsidRDefault="00D24E61">
      <w:pPr>
        <w:spacing w:line="360" w:lineRule="auto"/>
        <w:ind w:firstLine="850"/>
        <w:jc w:val="both"/>
        <w:rPr>
          <w:rFonts w:eastAsia="TrebuchetMS"/>
          <w:color w:val="000000"/>
          <w:shd w:val="clear" w:color="auto" w:fill="FFFFFF"/>
        </w:rPr>
      </w:pPr>
      <w:r w:rsidRPr="00771368">
        <w:rPr>
          <w:color w:val="000000"/>
        </w:rPr>
        <w:t>Ao serem questionados sobre o conhecimento da Lei Maria da Penha por parte das pessoas que procuram a Delegacia, ambos concordaram que seu conhecimento é superficial e por “ouvir dizer”, as vítimas (e agressores/</w:t>
      </w:r>
      <w:r w:rsidRPr="00771368">
        <w:rPr>
          <w:color w:val="000000"/>
          <w:lang w:val="it-IT"/>
        </w:rPr>
        <w:t>as), no entanto,</w:t>
      </w:r>
      <w:r w:rsidRPr="00771368">
        <w:rPr>
          <w:color w:val="000000"/>
        </w:rPr>
        <w:t xml:space="preserve"> têm consciência </w:t>
      </w:r>
      <w:r w:rsidRPr="00771368">
        <w:rPr>
          <w:color w:val="000000"/>
          <w:lang w:val="it-IT"/>
        </w:rPr>
        <w:t>da</w:t>
      </w:r>
      <w:r w:rsidRPr="00771368">
        <w:rPr>
          <w:color w:val="000000"/>
        </w:rPr>
        <w:t xml:space="preserve"> existência de uma lei que as protege, mas na maior parte das vezes, porém, não desejam a punição judicial de seus agressores. O escrivão Martins alega que o Inquérito Policial e a Ação Penal não alteram de imediato a realidade da vítima</w:t>
      </w:r>
      <w:r w:rsidRPr="00771368">
        <w:t xml:space="preserve"> </w:t>
      </w:r>
      <w:r w:rsidRPr="00771368">
        <w:rPr>
          <w:color w:val="000000"/>
        </w:rPr>
        <w:t>(salvo nos casos de requerimento de Medidas Protetivas de Urgência decretando o afastamento do agressor nas situações de eminente perigo físico e/ou psicológico para a vítima) e que muitas mulheres aspiram “apenas a restauração de uma convivência pacífica com o companheiro […] e não que o mesmo seja punido pura e simplesmente”. Essa observação corrobora uma pesquisa narrada por Sabadell (2005) a qual advoga que “</w:t>
      </w:r>
      <w:r w:rsidRPr="00771368">
        <w:rPr>
          <w:rFonts w:eastAsia="TrebuchetMS"/>
          <w:color w:val="000000"/>
        </w:rPr>
        <w:t>não</w:t>
      </w:r>
      <w:r w:rsidRPr="00771368">
        <w:rPr>
          <w:color w:val="000000"/>
        </w:rPr>
        <w:t xml:space="preserve"> podemos ignorar que a solicitação feita pela mulher vitimada é muito simples: o que ela deseja é que os companheiros deixem de ser violentos!” (SABADELL, 2005, p. 449). A esperança de uma interrupção do ciclo de violência e/ou o medo de uma possível separação do agressor (com o qual se sentem ligadas afetivamente, na maioria dos casos) faz com que várias mulheres desistam de manter o procedimento de denúncia e permaneçam na situação de violência. </w:t>
      </w:r>
    </w:p>
    <w:p w:rsidR="00D24E61" w:rsidRPr="00771368" w:rsidRDefault="00D24E61">
      <w:pPr>
        <w:spacing w:after="120" w:line="360" w:lineRule="auto"/>
        <w:ind w:firstLine="850"/>
        <w:jc w:val="both"/>
        <w:rPr>
          <w:rFonts w:eastAsia="Arial"/>
          <w:b/>
          <w:bCs/>
          <w:color w:val="000000"/>
          <w:sz w:val="24"/>
          <w:szCs w:val="24"/>
        </w:rPr>
      </w:pPr>
      <w:r w:rsidRPr="00771368">
        <w:rPr>
          <w:rFonts w:eastAsia="TrebuchetMS"/>
          <w:color w:val="000000"/>
          <w:shd w:val="clear" w:color="auto" w:fill="FFFFFF"/>
        </w:rPr>
        <w:t>A</w:t>
      </w:r>
      <w:r w:rsidRPr="00771368">
        <w:rPr>
          <w:color w:val="000000"/>
          <w:shd w:val="clear" w:color="auto" w:fill="FFFFFF"/>
        </w:rPr>
        <w:t xml:space="preserve"> Delegada </w:t>
      </w:r>
      <w:r w:rsidRPr="00771368">
        <w:rPr>
          <w:rFonts w:eastAsia="TrebuchetMS"/>
          <w:color w:val="000000"/>
          <w:shd w:val="clear" w:color="auto" w:fill="FFFFFF"/>
        </w:rPr>
        <w:t>Vilela</w:t>
      </w:r>
      <w:r w:rsidRPr="00771368">
        <w:rPr>
          <w:color w:val="000000"/>
          <w:shd w:val="clear" w:color="auto" w:fill="FFFFFF"/>
        </w:rPr>
        <w:t xml:space="preserve"> e </w:t>
      </w:r>
      <w:r w:rsidRPr="00771368">
        <w:rPr>
          <w:rFonts w:eastAsia="TrebuchetMS"/>
          <w:color w:val="000000"/>
          <w:shd w:val="clear" w:color="auto" w:fill="FFFFFF"/>
        </w:rPr>
        <w:t>o</w:t>
      </w:r>
      <w:r w:rsidRPr="00771368">
        <w:rPr>
          <w:color w:val="000000"/>
          <w:shd w:val="clear" w:color="auto" w:fill="FFFFFF"/>
        </w:rPr>
        <w:t xml:space="preserve"> Escrivão </w:t>
      </w:r>
      <w:r w:rsidRPr="00771368">
        <w:rPr>
          <w:rFonts w:eastAsia="TrebuchetMS"/>
          <w:color w:val="000000"/>
          <w:shd w:val="clear" w:color="auto" w:fill="FFFFFF"/>
        </w:rPr>
        <w:t>Martins</w:t>
      </w:r>
      <w:r w:rsidRPr="00771368">
        <w:rPr>
          <w:color w:val="000000"/>
          <w:shd w:val="clear" w:color="auto" w:fill="FFFFFF"/>
        </w:rPr>
        <w:t xml:space="preserve"> </w:t>
      </w:r>
      <w:r w:rsidRPr="00771368">
        <w:rPr>
          <w:rFonts w:eastAsia="TrebuchetMS"/>
          <w:color w:val="000000"/>
          <w:shd w:val="clear" w:color="auto" w:fill="FFFFFF"/>
        </w:rPr>
        <w:t>narram</w:t>
      </w:r>
      <w:r w:rsidRPr="00771368">
        <w:rPr>
          <w:color w:val="000000"/>
          <w:shd w:val="clear" w:color="auto" w:fill="FFFFFF"/>
        </w:rPr>
        <w:t xml:space="preserve"> como motivos para a violência de gênero a dependência de álcool ou droga, em primeiro lugar. Enquanto Martins cita como uma das causas a definição genérica de “herança cultural patriarcal” a delegada Vilela utiliza termos mais específicos como o “ciúme doentio” e o tratamento da mulher como “propriedade”. Martins acredita que uma participação mais efetiva de agentes externos como a igreja ou ONGs poderia contribuir na conscientização dos envolvidos na busca de uma harmonia familiar. Vilela vê a influência da religião em sua forma positiva como freio moral ao agressor</w:t>
      </w:r>
      <w:r w:rsidRPr="00771368">
        <w:rPr>
          <w:rFonts w:eastAsia="TrebuchetMS"/>
          <w:color w:val="000000"/>
          <w:shd w:val="clear" w:color="auto" w:fill="FFFFFF"/>
        </w:rPr>
        <w:t>,</w:t>
      </w:r>
      <w:r w:rsidRPr="00771368">
        <w:rPr>
          <w:color w:val="000000"/>
          <w:shd w:val="clear" w:color="auto" w:fill="FFFFFF"/>
        </w:rPr>
        <w:t xml:space="preserve"> </w:t>
      </w:r>
      <w:r w:rsidRPr="00771368">
        <w:rPr>
          <w:rFonts w:eastAsia="TrebuchetMS"/>
          <w:color w:val="000000"/>
          <w:shd w:val="clear" w:color="auto" w:fill="FFFFFF"/>
        </w:rPr>
        <w:t>porém</w:t>
      </w:r>
      <w:r w:rsidRPr="00771368">
        <w:rPr>
          <w:color w:val="000000"/>
          <w:shd w:val="clear" w:color="auto" w:fill="FFFFFF"/>
        </w:rPr>
        <w:t xml:space="preserve"> considera que o perdoar sempre (dogma religioso) acaba por vitimar a mulher não permitindo que esta dê um basta à violência vivida. O escrivão Martins narra que o número de denúncias na delegacia de Anápolis varia muito em quantidade, intensificando-se nos finais de semana e feriados (fato que pode ser associado a um maior consumo de bebida alcoólica nesses dias, funcionando como grande potencializador da violência). C</w:t>
      </w:r>
      <w:r w:rsidRPr="00771368">
        <w:rPr>
          <w:rFonts w:eastAsia="TrebuchetMS"/>
          <w:color w:val="000000"/>
          <w:shd w:val="clear" w:color="auto" w:fill="FFFFFF"/>
          <w:lang w:val="it-IT"/>
        </w:rPr>
        <w:t>onstata</w:t>
      </w:r>
      <w:r w:rsidRPr="00771368">
        <w:rPr>
          <w:color w:val="000000"/>
          <w:shd w:val="clear" w:color="auto" w:fill="FFFFFF"/>
          <w:lang w:val="it-IT"/>
        </w:rPr>
        <w:t xml:space="preserve"> que ultimamente, </w:t>
      </w:r>
      <w:r w:rsidRPr="00771368">
        <w:rPr>
          <w:rFonts w:eastAsia="TrebuchetMS"/>
          <w:color w:val="000000"/>
          <w:shd w:val="clear" w:color="auto" w:fill="FFFFFF"/>
        </w:rPr>
        <w:t>os</w:t>
      </w:r>
      <w:r w:rsidRPr="00771368">
        <w:rPr>
          <w:color w:val="000000"/>
          <w:shd w:val="clear" w:color="auto" w:fill="FFFFFF"/>
        </w:rPr>
        <w:t xml:space="preserve"> homicídios sofreram uma queda drástica como também as denúncias de lesão corporal grave. A esse ponto, </w:t>
      </w:r>
      <w:r w:rsidRPr="00771368">
        <w:rPr>
          <w:rFonts w:eastAsia="TrebuchetMS"/>
          <w:color w:val="000000"/>
          <w:shd w:val="clear" w:color="auto" w:fill="FFFFFF"/>
          <w:lang w:val="it-IT"/>
        </w:rPr>
        <w:t>a</w:t>
      </w:r>
      <w:r w:rsidRPr="00771368">
        <w:rPr>
          <w:color w:val="000000"/>
          <w:shd w:val="clear" w:color="auto" w:fill="FFFFFF"/>
        </w:rPr>
        <w:t xml:space="preserve"> pergunta que permanece é a seguinte: visto que as Ocorrências não diminuíram, o que houve foi um “aumento </w:t>
      </w:r>
      <w:r w:rsidRPr="00771368">
        <w:rPr>
          <w:rFonts w:eastAsia="TrebuchetMS"/>
          <w:color w:val="000000"/>
          <w:shd w:val="clear" w:color="auto" w:fill="FFFFFF"/>
        </w:rPr>
        <w:t>real</w:t>
      </w:r>
      <w:r w:rsidRPr="00771368">
        <w:rPr>
          <w:color w:val="000000"/>
          <w:shd w:val="clear" w:color="auto" w:fill="FFFFFF"/>
        </w:rPr>
        <w:t xml:space="preserve"> </w:t>
      </w:r>
      <w:r w:rsidRPr="00771368">
        <w:rPr>
          <w:rFonts w:eastAsia="TrebuchetMS"/>
          <w:color w:val="000000"/>
          <w:shd w:val="clear" w:color="auto" w:fill="FFFFFF"/>
        </w:rPr>
        <w:t>de</w:t>
      </w:r>
      <w:r w:rsidRPr="00771368">
        <w:rPr>
          <w:color w:val="000000"/>
          <w:shd w:val="clear" w:color="auto" w:fill="FFFFFF"/>
        </w:rPr>
        <w:t xml:space="preserve"> </w:t>
      </w:r>
      <w:r w:rsidRPr="00771368">
        <w:rPr>
          <w:rFonts w:eastAsia="TrebuchetMS"/>
          <w:color w:val="000000"/>
          <w:shd w:val="clear" w:color="auto" w:fill="FFFFFF"/>
        </w:rPr>
        <w:t>casos</w:t>
      </w:r>
      <w:r w:rsidRPr="00771368">
        <w:rPr>
          <w:color w:val="000000"/>
          <w:shd w:val="clear" w:color="auto" w:fill="FFFFFF"/>
        </w:rPr>
        <w:t xml:space="preserve"> </w:t>
      </w:r>
      <w:r w:rsidRPr="00771368">
        <w:rPr>
          <w:rFonts w:eastAsia="TrebuchetMS"/>
          <w:color w:val="000000"/>
          <w:shd w:val="clear" w:color="auto" w:fill="FFFFFF"/>
        </w:rPr>
        <w:t>de</w:t>
      </w:r>
      <w:r w:rsidRPr="00771368">
        <w:rPr>
          <w:color w:val="000000"/>
          <w:shd w:val="clear" w:color="auto" w:fill="FFFFFF"/>
        </w:rPr>
        <w:t xml:space="preserve"> </w:t>
      </w:r>
      <w:r w:rsidRPr="00771368">
        <w:rPr>
          <w:rFonts w:eastAsia="TrebuchetMS"/>
          <w:color w:val="000000"/>
          <w:shd w:val="clear" w:color="auto" w:fill="FFFFFF"/>
        </w:rPr>
        <w:t>violência</w:t>
      </w:r>
      <w:r w:rsidRPr="00771368">
        <w:rPr>
          <w:color w:val="000000"/>
          <w:shd w:val="clear" w:color="auto" w:fill="FFFFFF"/>
        </w:rPr>
        <w:t xml:space="preserve"> </w:t>
      </w:r>
      <w:r w:rsidRPr="00771368">
        <w:rPr>
          <w:rFonts w:eastAsia="TrebuchetMS"/>
          <w:color w:val="000000"/>
          <w:shd w:val="clear" w:color="auto" w:fill="FFFFFF"/>
        </w:rPr>
        <w:t>doméstica,</w:t>
      </w:r>
      <w:r w:rsidRPr="00771368">
        <w:rPr>
          <w:color w:val="000000"/>
          <w:shd w:val="clear" w:color="auto" w:fill="FFFFFF"/>
        </w:rPr>
        <w:t xml:space="preserve"> </w:t>
      </w:r>
      <w:r w:rsidRPr="00771368">
        <w:rPr>
          <w:rFonts w:eastAsia="TrebuchetMS"/>
          <w:color w:val="000000"/>
          <w:shd w:val="clear" w:color="auto" w:fill="FFFFFF"/>
        </w:rPr>
        <w:t>ou</w:t>
      </w:r>
      <w:r w:rsidRPr="00771368">
        <w:rPr>
          <w:color w:val="000000"/>
          <w:shd w:val="clear" w:color="auto" w:fill="FFFFFF"/>
        </w:rPr>
        <w:t xml:space="preserve"> </w:t>
      </w:r>
      <w:r w:rsidRPr="00771368">
        <w:rPr>
          <w:rFonts w:eastAsia="TrebuchetMS"/>
          <w:color w:val="000000"/>
          <w:shd w:val="clear" w:color="auto" w:fill="FFFFFF"/>
        </w:rPr>
        <w:t>de</w:t>
      </w:r>
      <w:r w:rsidRPr="00771368">
        <w:rPr>
          <w:color w:val="000000"/>
          <w:shd w:val="clear" w:color="auto" w:fill="FFFFFF"/>
        </w:rPr>
        <w:t xml:space="preserve"> </w:t>
      </w:r>
      <w:r w:rsidRPr="00771368">
        <w:rPr>
          <w:rFonts w:eastAsia="TrebuchetMS"/>
          <w:color w:val="000000"/>
          <w:shd w:val="clear" w:color="auto" w:fill="FFFFFF"/>
        </w:rPr>
        <w:t>vítimas</w:t>
      </w:r>
      <w:r w:rsidRPr="00771368">
        <w:rPr>
          <w:color w:val="000000"/>
          <w:shd w:val="clear" w:color="auto" w:fill="FFFFFF"/>
        </w:rPr>
        <w:t xml:space="preserve"> </w:t>
      </w:r>
      <w:r w:rsidRPr="00771368">
        <w:rPr>
          <w:rFonts w:eastAsia="TrebuchetMS"/>
          <w:color w:val="000000"/>
          <w:shd w:val="clear" w:color="auto" w:fill="FFFFFF"/>
        </w:rPr>
        <w:t>que</w:t>
      </w:r>
      <w:r w:rsidRPr="00771368">
        <w:rPr>
          <w:color w:val="000000"/>
          <w:shd w:val="clear" w:color="auto" w:fill="FFFFFF"/>
        </w:rPr>
        <w:t xml:space="preserve"> </w:t>
      </w:r>
      <w:r w:rsidRPr="00771368">
        <w:rPr>
          <w:rFonts w:eastAsia="TrebuchetMS"/>
          <w:color w:val="000000"/>
          <w:shd w:val="clear" w:color="auto" w:fill="FFFFFF"/>
        </w:rPr>
        <w:t>ficaram</w:t>
      </w:r>
      <w:r w:rsidRPr="00771368">
        <w:rPr>
          <w:color w:val="000000"/>
          <w:shd w:val="clear" w:color="auto" w:fill="FFFFFF"/>
        </w:rPr>
        <w:t xml:space="preserve"> </w:t>
      </w:r>
      <w:r w:rsidRPr="00771368">
        <w:rPr>
          <w:rFonts w:eastAsia="TrebuchetMS"/>
          <w:color w:val="000000"/>
          <w:shd w:val="clear" w:color="auto" w:fill="FFFFFF"/>
        </w:rPr>
        <w:t>encorajadas</w:t>
      </w:r>
      <w:r w:rsidRPr="00771368">
        <w:rPr>
          <w:color w:val="000000"/>
          <w:shd w:val="clear" w:color="auto" w:fill="FFFFFF"/>
        </w:rPr>
        <w:t xml:space="preserve"> </w:t>
      </w:r>
      <w:r w:rsidRPr="00771368">
        <w:rPr>
          <w:rFonts w:eastAsia="TrebuchetMS"/>
          <w:color w:val="000000"/>
          <w:shd w:val="clear" w:color="auto" w:fill="FFFFFF"/>
        </w:rPr>
        <w:t>a</w:t>
      </w:r>
      <w:r w:rsidRPr="00771368">
        <w:rPr>
          <w:color w:val="000000"/>
          <w:shd w:val="clear" w:color="auto" w:fill="FFFFFF"/>
        </w:rPr>
        <w:t xml:space="preserve"> </w:t>
      </w:r>
      <w:r w:rsidRPr="00771368">
        <w:rPr>
          <w:rFonts w:eastAsia="TrebuchetMS"/>
          <w:color w:val="000000"/>
          <w:shd w:val="clear" w:color="auto" w:fill="FFFFFF"/>
        </w:rPr>
        <w:t>registrar</w:t>
      </w:r>
      <w:r w:rsidRPr="00771368">
        <w:rPr>
          <w:color w:val="000000"/>
          <w:shd w:val="clear" w:color="auto" w:fill="FFFFFF"/>
        </w:rPr>
        <w:t>”? Infelizmente a esta pergunta ainda não temos uma resposta.</w:t>
      </w:r>
    </w:p>
    <w:p w:rsidR="00D24E61" w:rsidRPr="00771368" w:rsidRDefault="00D24E61">
      <w:pPr>
        <w:pStyle w:val="Corpodetexto"/>
        <w:autoSpaceDE w:val="0"/>
        <w:spacing w:before="0" w:after="0" w:line="360" w:lineRule="auto"/>
        <w:rPr>
          <w:color w:val="000000"/>
        </w:rPr>
      </w:pPr>
      <w:r w:rsidRPr="00771368">
        <w:rPr>
          <w:rFonts w:eastAsia="Arial"/>
          <w:b/>
          <w:bCs/>
          <w:color w:val="000000"/>
        </w:rPr>
        <w:t>Resultados da pesquisa e discussão</w:t>
      </w:r>
    </w:p>
    <w:p w:rsidR="00D24E61" w:rsidRPr="00771368" w:rsidRDefault="00D24E61">
      <w:pPr>
        <w:autoSpaceDE w:val="0"/>
        <w:spacing w:line="360" w:lineRule="auto"/>
        <w:ind w:firstLine="855"/>
        <w:jc w:val="both"/>
        <w:rPr>
          <w:color w:val="000000"/>
        </w:rPr>
      </w:pPr>
      <w:r w:rsidRPr="00771368">
        <w:rPr>
          <w:color w:val="000000"/>
        </w:rPr>
        <w:t>Um dos objetivos principais desta pesquisa foi tentar compreender se a Lei Maria da Penha vem se configurando numa medida eficaz de</w:t>
      </w:r>
      <w:r w:rsidRPr="00771368">
        <w:rPr>
          <w:color w:val="000000"/>
          <w:shd w:val="clear" w:color="auto" w:fill="FFFFFF"/>
        </w:rPr>
        <w:t xml:space="preserve"> contenção </w:t>
      </w:r>
      <w:r w:rsidRPr="00771368">
        <w:rPr>
          <w:color w:val="000000"/>
        </w:rPr>
        <w:t xml:space="preserve">do ciclo de violência doméstica e familiar contra as mulheres ou se a Lei rompe somente com a teoria jurídica e, em que medida o Estado está proporcionando as condições para a plena efetivação desta Lei. </w:t>
      </w:r>
      <w:r w:rsidRPr="00771368">
        <w:rPr>
          <w:color w:val="000000"/>
          <w:shd w:val="clear" w:color="auto" w:fill="FFFFFF"/>
        </w:rPr>
        <w:t xml:space="preserve">Esse intento se configurou numa “missão” difícil, para não dizer, impossível. A falta de informações sistematizadas disponíveis com dados de abrangência nacional sobre o número de </w:t>
      </w:r>
      <w:r w:rsidRPr="00771368">
        <w:rPr>
          <w:rFonts w:eastAsia="Candara"/>
          <w:color w:val="000000"/>
          <w:shd w:val="clear" w:color="auto" w:fill="FFFFFF"/>
        </w:rPr>
        <w:t>registros</w:t>
      </w:r>
      <w:r w:rsidRPr="00771368">
        <w:rPr>
          <w:color w:val="000000"/>
          <w:shd w:val="clear" w:color="auto" w:fill="FFFFFF"/>
        </w:rPr>
        <w:t xml:space="preserve"> policiais, de denúncias pelo Ministério </w:t>
      </w:r>
      <w:r w:rsidRPr="00771368">
        <w:rPr>
          <w:rFonts w:eastAsia="Candara"/>
          <w:color w:val="000000"/>
        </w:rPr>
        <w:t>Público,</w:t>
      </w:r>
      <w:r w:rsidRPr="00771368">
        <w:rPr>
          <w:color w:val="000000"/>
        </w:rPr>
        <w:t xml:space="preserve"> de decisões judiciais,</w:t>
      </w:r>
      <w:r w:rsidRPr="00771368">
        <w:rPr>
          <w:color w:val="000000"/>
          <w:shd w:val="clear" w:color="auto" w:fill="FFFFFF"/>
        </w:rPr>
        <w:t xml:space="preserve"> de solicitações de medidas protetivas </w:t>
      </w:r>
      <w:r w:rsidRPr="00771368">
        <w:rPr>
          <w:rFonts w:eastAsia="Candara"/>
          <w:color w:val="000000"/>
        </w:rPr>
        <w:t>e</w:t>
      </w:r>
      <w:r w:rsidRPr="00771368">
        <w:rPr>
          <w:color w:val="000000"/>
        </w:rPr>
        <w:t xml:space="preserve"> de atendimentos nos serviços especializados</w:t>
      </w:r>
      <w:r w:rsidRPr="00771368">
        <w:rPr>
          <w:rFonts w:eastAsia="Candara"/>
          <w:color w:val="000000"/>
        </w:rPr>
        <w:t>,</w:t>
      </w:r>
      <w:r w:rsidRPr="00771368">
        <w:rPr>
          <w:color w:val="000000"/>
        </w:rPr>
        <w:t xml:space="preserve"> por exemplo</w:t>
      </w:r>
      <w:r w:rsidRPr="00771368">
        <w:rPr>
          <w:rFonts w:eastAsia="Candara"/>
          <w:color w:val="000000"/>
        </w:rPr>
        <w:t>,</w:t>
      </w:r>
      <w:r w:rsidRPr="00771368">
        <w:rPr>
          <w:color w:val="000000"/>
        </w:rPr>
        <w:t xml:space="preserve"> não </w:t>
      </w:r>
      <w:r w:rsidRPr="00771368">
        <w:rPr>
          <w:rFonts w:eastAsia="Candara"/>
          <w:color w:val="000000"/>
        </w:rPr>
        <w:t>nos</w:t>
      </w:r>
      <w:r w:rsidRPr="00771368">
        <w:rPr>
          <w:color w:val="000000"/>
        </w:rPr>
        <w:t xml:space="preserve"> permite saber como a Lei vem sendo aplicada e quais as respostas estatais oferecidas a partir do conhecimento desse tipo de violência. Enquanto não se romper com a invisibilidade deste problema nas estatísticas oficiais, uma avaliação de sua aplicabilidade e eficácia serão possíveis somente </w:t>
      </w:r>
      <w:r w:rsidRPr="00771368">
        <w:rPr>
          <w:rFonts w:eastAsia="Candara"/>
          <w:color w:val="000000"/>
        </w:rPr>
        <w:t>no</w:t>
      </w:r>
      <w:r w:rsidRPr="00771368">
        <w:rPr>
          <w:color w:val="000000"/>
        </w:rPr>
        <w:t xml:space="preserve"> âmbito das especulações e possibilidades.</w:t>
      </w:r>
    </w:p>
    <w:p w:rsidR="00D24E61" w:rsidRPr="00771368" w:rsidRDefault="00D24E61">
      <w:pPr>
        <w:autoSpaceDE w:val="0"/>
        <w:spacing w:line="360" w:lineRule="auto"/>
        <w:ind w:firstLine="855"/>
        <w:jc w:val="both"/>
        <w:rPr>
          <w:rFonts w:eastAsia="Candara"/>
          <w:color w:val="000000"/>
        </w:rPr>
      </w:pPr>
      <w:r w:rsidRPr="00771368">
        <w:rPr>
          <w:color w:val="000000"/>
        </w:rPr>
        <w:t>Uma das medidas de suporte às mulheres em situação de violência é a Central de Atendimento à Mulher – Ligue 180</w:t>
      </w:r>
      <w:r w:rsidRPr="00771368">
        <w:rPr>
          <w:rStyle w:val="Caracteresdenotaderodap"/>
          <w:color w:val="000000"/>
        </w:rPr>
        <w:footnoteReference w:id="140"/>
      </w:r>
      <w:r w:rsidRPr="00771368">
        <w:rPr>
          <w:color w:val="000000"/>
        </w:rPr>
        <w:t xml:space="preserve">. Este serviço de utilidade pública da Secretaria Especial de Políticas para as Mulheres criado em 2005 “tem por </w:t>
      </w:r>
      <w:r w:rsidRPr="00771368">
        <w:rPr>
          <w:rFonts w:eastAsia="ArialMT"/>
          <w:color w:val="000000"/>
        </w:rPr>
        <w:t>objetivo</w:t>
      </w:r>
      <w:r w:rsidRPr="00771368">
        <w:rPr>
          <w:color w:val="000000"/>
        </w:rPr>
        <w:t xml:space="preserve"> receber denúncias/relatos de violência e reclamações sobre os serviços da rede, além de orientar as mulheres sobre seus direitos encaminhando-as para os serviços da Rede de Atendimento à Mulher em Situação de Violência, quando necessário” (BONETTI; PINHEIRO E</w:t>
      </w:r>
      <w:r w:rsidRPr="00771368">
        <w:rPr>
          <w:color w:val="000000"/>
          <w:lang w:val="it-IT"/>
        </w:rPr>
        <w:t xml:space="preserve"> </w:t>
      </w:r>
      <w:r w:rsidRPr="00771368">
        <w:rPr>
          <w:rFonts w:eastAsia="ArialMT"/>
          <w:color w:val="000000"/>
        </w:rPr>
        <w:t>FERREIRA,</w:t>
      </w:r>
      <w:r w:rsidRPr="00771368">
        <w:rPr>
          <w:color w:val="000000"/>
        </w:rPr>
        <w:t xml:space="preserve"> 2009, p. 4). Segundo dados da Secretaria, da data de sua implantação em abril de 2005 a dezembro de 2009, a Central atendeu a 923.878 casos. Segundo fonte da Secretaria de Políticas para as Mulheres, cerca de 1/3 dos casos atendidos de abril de 2006 a outubro de 2010 foram respectivos a informações sobre a Lei Maria da Penha.</w:t>
      </w:r>
    </w:p>
    <w:p w:rsidR="00D24E61" w:rsidRPr="00771368" w:rsidRDefault="00D24E61">
      <w:pPr>
        <w:autoSpaceDE w:val="0"/>
        <w:spacing w:line="360" w:lineRule="auto"/>
        <w:ind w:firstLine="850"/>
        <w:jc w:val="both"/>
        <w:rPr>
          <w:color w:val="000000"/>
        </w:rPr>
      </w:pPr>
      <w:r w:rsidRPr="00771368">
        <w:rPr>
          <w:rFonts w:eastAsia="Candara"/>
          <w:color w:val="000000"/>
        </w:rPr>
        <w:t>O</w:t>
      </w:r>
      <w:r w:rsidRPr="00771368">
        <w:rPr>
          <w:color w:val="000000"/>
        </w:rPr>
        <w:t xml:space="preserve"> Observatório pela aplicação da Lei Maria da Penha (OBSERVE) </w:t>
      </w:r>
      <w:r w:rsidRPr="00771368">
        <w:rPr>
          <w:rFonts w:eastAsia="Candara"/>
          <w:color w:val="000000"/>
        </w:rPr>
        <w:t>por</w:t>
      </w:r>
      <w:r w:rsidRPr="00771368">
        <w:rPr>
          <w:color w:val="000000"/>
        </w:rPr>
        <w:t xml:space="preserve"> meio </w:t>
      </w:r>
      <w:r w:rsidRPr="00771368">
        <w:rPr>
          <w:rFonts w:eastAsia="Candara"/>
          <w:color w:val="000000"/>
        </w:rPr>
        <w:t>de</w:t>
      </w:r>
      <w:r w:rsidRPr="00771368">
        <w:rPr>
          <w:color w:val="000000"/>
        </w:rPr>
        <w:t xml:space="preserve"> diversas parcerias realizou uma importante pesquisa de monitoramento e de análise qualitativa e quantitativa de dados coletados sobre as condições de aplicação da Lei nas DEAMs e nos Juizados de Violência Doméstica e Familiar nas capitais brasileiras e no Distrito Federal. A pesquisa foi finalizada em 2010 e abrangeu 40 delegacias, um número pequeno se considerado as 475 entre Delegacias e Postos Especializados de Atendimento à Mulher mas ao mesmo tempo significativo por se referirem às principais do país. Teve como objetivo a análise da adequação (ou não) das estruturas existentes em relação às recomendações previstas na Lei.</w:t>
      </w:r>
    </w:p>
    <w:p w:rsidR="00D24E61" w:rsidRPr="00771368" w:rsidRDefault="00D24E61">
      <w:pPr>
        <w:autoSpaceDE w:val="0"/>
        <w:spacing w:line="360" w:lineRule="auto"/>
        <w:ind w:firstLine="850"/>
        <w:jc w:val="both"/>
        <w:rPr>
          <w:color w:val="000000"/>
        </w:rPr>
      </w:pPr>
      <w:r w:rsidRPr="00771368">
        <w:rPr>
          <w:color w:val="000000"/>
        </w:rPr>
        <w:t xml:space="preserve">A pesquisa do Observatório é válida na medida em que as DEAMs, se apresentam como o mecanismo de execução mais importante das políticas públicas, são os elementos-chave noenfrentamento à violência contra a mulher e na efetivação da Lei Maria da Penha. Segundo o relatório final da OBSERVE as Delegacias Especializadas se “figuram como a principal referência para as mulheres que decidem denunciar a situação de violência na qual se encontram, representando também a porta de entrada para acesso à justiça com importante papel na promoção do direito a viver sem violência” (PASINATO, 2010, p. 13). </w:t>
      </w:r>
    </w:p>
    <w:p w:rsidR="00D24E61" w:rsidRPr="00771368" w:rsidRDefault="00D24E61">
      <w:pPr>
        <w:autoSpaceDE w:val="0"/>
        <w:spacing w:line="360" w:lineRule="auto"/>
        <w:ind w:firstLine="850"/>
        <w:jc w:val="both"/>
        <w:rPr>
          <w:color w:val="000000"/>
        </w:rPr>
      </w:pPr>
      <w:r w:rsidRPr="00771368">
        <w:rPr>
          <w:color w:val="000000"/>
        </w:rPr>
        <w:t xml:space="preserve">A pesquisa </w:t>
      </w:r>
      <w:r w:rsidRPr="00771368">
        <w:rPr>
          <w:rFonts w:eastAsia="Candara"/>
          <w:color w:val="000000"/>
        </w:rPr>
        <w:t>pelo</w:t>
      </w:r>
      <w:r w:rsidRPr="00771368">
        <w:rPr>
          <w:color w:val="000000"/>
        </w:rPr>
        <w:t xml:space="preserve"> OBSERVE </w:t>
      </w:r>
      <w:r w:rsidRPr="00771368">
        <w:rPr>
          <w:rFonts w:eastAsia="Candara"/>
          <w:color w:val="000000"/>
        </w:rPr>
        <w:t>revelou</w:t>
      </w:r>
      <w:r w:rsidRPr="00771368">
        <w:rPr>
          <w:color w:val="000000"/>
        </w:rPr>
        <w:t xml:space="preserve"> que as novas atribuições dadas às DEAMs após a aprovação da Lei 11.340/06, passaram a exigir dos funcionários e do Governo um comprometimento ainda maior, fato que não vem ocorrendo. Essas delegacias ocupam uma posição marginal dentro do quadro de “política de segurança pública dos estados”. A grande parte das 40 delegacias analisadas não possuía nem uma infraestrutura ideal e nem recursos materiais e humanos para um adequado atendimento às vítimas</w:t>
      </w:r>
      <w:r w:rsidRPr="00771368">
        <w:rPr>
          <w:rStyle w:val="Caracteresdenotaderodap"/>
          <w:color w:val="000000"/>
        </w:rPr>
        <w:footnoteReference w:id="141"/>
      </w:r>
      <w:r w:rsidRPr="00771368">
        <w:rPr>
          <w:rFonts w:eastAsia="Candara"/>
          <w:color w:val="000000"/>
        </w:rPr>
        <w:t>.</w:t>
      </w:r>
      <w:r w:rsidRPr="00771368">
        <w:rPr>
          <w:color w:val="000000"/>
        </w:rPr>
        <w:t xml:space="preserve"> A falta de espaço para garantir a privacidade e proteção das denunciantes e a falta de viaturas para o transporte das mulheres são algumas das carências observadas nas DEAMs das capitais. Outro problema apontado nos Juizados contra Violência Doméstica e Familiar contra a Mulher assim como nas DEAMs é a falta de formação de equipes multidisciplinares </w:t>
      </w:r>
      <w:r w:rsidRPr="00771368">
        <w:rPr>
          <w:rFonts w:eastAsia="Candara"/>
          <w:color w:val="000000"/>
        </w:rPr>
        <w:t>para</w:t>
      </w:r>
      <w:r w:rsidRPr="00771368">
        <w:rPr>
          <w:color w:val="000000"/>
        </w:rPr>
        <w:t xml:space="preserve"> atuação nas áreas de suporte psicológico </w:t>
      </w:r>
      <w:r w:rsidRPr="00771368">
        <w:rPr>
          <w:rFonts w:eastAsia="Candara"/>
          <w:color w:val="000000"/>
        </w:rPr>
        <w:t>e</w:t>
      </w:r>
      <w:r w:rsidRPr="00771368">
        <w:rPr>
          <w:color w:val="000000"/>
        </w:rPr>
        <w:t xml:space="preserve"> </w:t>
      </w:r>
      <w:r w:rsidRPr="00771368">
        <w:rPr>
          <w:rFonts w:eastAsia="Candara"/>
          <w:color w:val="000000"/>
        </w:rPr>
        <w:t>de</w:t>
      </w:r>
      <w:r w:rsidRPr="00771368">
        <w:rPr>
          <w:color w:val="000000"/>
        </w:rPr>
        <w:t xml:space="preserve"> assistência social às vítimas.</w:t>
      </w:r>
    </w:p>
    <w:p w:rsidR="00D24E61" w:rsidRPr="00771368" w:rsidRDefault="00D24E61">
      <w:pPr>
        <w:autoSpaceDE w:val="0"/>
        <w:spacing w:line="360" w:lineRule="auto"/>
        <w:ind w:firstLine="850"/>
        <w:jc w:val="both"/>
        <w:rPr>
          <w:rFonts w:eastAsia="Candara"/>
          <w:color w:val="000000"/>
          <w:lang w:val="it-IT"/>
        </w:rPr>
      </w:pPr>
      <w:r w:rsidRPr="00771368">
        <w:rPr>
          <w:color w:val="000000"/>
        </w:rPr>
        <w:t>A falta de infraestrutura adequada foi observada pela pesquisadora na DEAM de Anápolis onde as mulheres se expõem narrando suas histórias de violência  no balcão de informações, posto que este se encontra conjugado à sala de espera, contrariando a Norma Técnica de Padronização das DEAMs</w:t>
      </w:r>
      <w:r w:rsidRPr="00771368">
        <w:rPr>
          <w:rStyle w:val="Caracteresdenotaderodap"/>
          <w:color w:val="000000"/>
        </w:rPr>
        <w:footnoteReference w:id="142"/>
      </w:r>
      <w:r w:rsidRPr="00771368">
        <w:rPr>
          <w:color w:val="000000"/>
        </w:rPr>
        <w:t xml:space="preserve">  em sua página 56 onde estabelece que as instalações das Delegacias devem contar com no mínimo (dentre outros cômodos) uma área para recepção que “deve ser composta por duas salas: uma para a espera das vítimas e outra para espera dos agressores” e área para registro que “deve ser composto por cartório, sala de espera e sala de registro de ocorrências”. Quanto à falta de recursos humanos, há carência de um trabalho interdisciplinar de profissionais na DEAM de Anápolis, esta não conta com o serviço de apoio adequado para um trabalho que atenda as necessidades da vítima cumprindo o que a Lei 11.340/</w:t>
      </w:r>
      <w:r w:rsidRPr="00771368">
        <w:rPr>
          <w:rFonts w:eastAsia="Candara"/>
          <w:color w:val="000000"/>
          <w:lang w:val="it-IT"/>
        </w:rPr>
        <w:t>06</w:t>
      </w:r>
      <w:r w:rsidRPr="00771368">
        <w:rPr>
          <w:color w:val="000000"/>
          <w:lang w:val="it-IT"/>
        </w:rPr>
        <w:t xml:space="preserve"> </w:t>
      </w:r>
      <w:r w:rsidRPr="00771368">
        <w:rPr>
          <w:rFonts w:eastAsia="Candara"/>
          <w:color w:val="000000"/>
        </w:rPr>
        <w:t>determina.</w:t>
      </w:r>
      <w:r w:rsidRPr="00771368">
        <w:rPr>
          <w:color w:val="000000"/>
        </w:rPr>
        <w:t xml:space="preserve"> </w:t>
      </w:r>
    </w:p>
    <w:p w:rsidR="00D24E61" w:rsidRPr="00771368" w:rsidRDefault="00D24E61">
      <w:pPr>
        <w:autoSpaceDE w:val="0"/>
        <w:spacing w:line="360" w:lineRule="auto"/>
        <w:ind w:firstLine="850"/>
        <w:jc w:val="both"/>
        <w:rPr>
          <w:color w:val="000000"/>
        </w:rPr>
      </w:pPr>
      <w:r w:rsidRPr="00771368">
        <w:rPr>
          <w:rFonts w:eastAsia="Candara"/>
          <w:color w:val="000000"/>
          <w:lang w:val="it-IT"/>
        </w:rPr>
        <w:t>A</w:t>
      </w:r>
      <w:r w:rsidRPr="00771368">
        <w:rPr>
          <w:color w:val="000000"/>
          <w:lang w:val="it-IT"/>
        </w:rPr>
        <w:t xml:space="preserve"> Lei 11.340/06 </w:t>
      </w:r>
      <w:r w:rsidRPr="00771368">
        <w:rPr>
          <w:rFonts w:eastAsia="Candara"/>
          <w:color w:val="000000"/>
        </w:rPr>
        <w:t>prevê</w:t>
      </w:r>
      <w:r w:rsidRPr="00771368">
        <w:rPr>
          <w:color w:val="000000"/>
          <w:lang w:val="it-IT"/>
        </w:rPr>
        <w:t xml:space="preserve"> </w:t>
      </w:r>
      <w:r w:rsidRPr="00771368">
        <w:rPr>
          <w:rFonts w:eastAsia="Candara"/>
          <w:color w:val="000000"/>
        </w:rPr>
        <w:t>em</w:t>
      </w:r>
      <w:r w:rsidRPr="00771368">
        <w:rPr>
          <w:color w:val="000000"/>
        </w:rPr>
        <w:t xml:space="preserve"> seu texto, </w:t>
      </w:r>
      <w:r w:rsidRPr="00771368">
        <w:rPr>
          <w:rFonts w:eastAsia="Candara"/>
          <w:color w:val="000000"/>
          <w:lang w:val="it-IT"/>
        </w:rPr>
        <w:t>toda</w:t>
      </w:r>
      <w:r w:rsidRPr="00771368">
        <w:rPr>
          <w:color w:val="000000"/>
          <w:lang w:val="it-IT"/>
        </w:rPr>
        <w:t xml:space="preserve"> uma estrutura de apoio </w:t>
      </w:r>
      <w:r w:rsidRPr="00771368">
        <w:rPr>
          <w:rFonts w:eastAsia="Candara"/>
          <w:color w:val="000000"/>
        </w:rPr>
        <w:t>material,</w:t>
      </w:r>
      <w:r w:rsidRPr="00771368">
        <w:rPr>
          <w:color w:val="000000"/>
        </w:rPr>
        <w:t xml:space="preserve"> médico e psicológico</w:t>
      </w:r>
      <w:r w:rsidRPr="00771368">
        <w:rPr>
          <w:color w:val="000000"/>
          <w:lang w:val="it-IT"/>
        </w:rPr>
        <w:t xml:space="preserve"> </w:t>
      </w:r>
      <w:r w:rsidRPr="00771368">
        <w:rPr>
          <w:rFonts w:eastAsia="Candara"/>
          <w:color w:val="000000"/>
        </w:rPr>
        <w:t>à</w:t>
      </w:r>
      <w:r w:rsidRPr="00771368">
        <w:rPr>
          <w:color w:val="000000"/>
        </w:rPr>
        <w:t xml:space="preserve"> vítima e medidas de  recuperação e reeducação – caso o juiz ou juiza assim determinar – e também punitivas @ agressor/</w:t>
      </w:r>
      <w:r w:rsidRPr="00771368">
        <w:rPr>
          <w:rFonts w:eastAsia="Candara"/>
          <w:color w:val="000000"/>
          <w:lang w:val="it-IT"/>
        </w:rPr>
        <w:t>a.</w:t>
      </w:r>
      <w:r w:rsidRPr="00771368">
        <w:rPr>
          <w:color w:val="000000"/>
          <w:lang w:val="it-IT"/>
        </w:rPr>
        <w:t xml:space="preserve"> </w:t>
      </w:r>
      <w:r w:rsidRPr="00771368">
        <w:rPr>
          <w:rFonts w:eastAsia="Candara"/>
          <w:color w:val="000000"/>
        </w:rPr>
        <w:t>Quanto</w:t>
      </w:r>
      <w:r w:rsidRPr="00771368">
        <w:rPr>
          <w:color w:val="000000"/>
        </w:rPr>
        <w:t xml:space="preserve"> ao acesso à segurança e justiça, foram obtidas grandes conquistas formais de direitos porém sua aplicação e efetivação carregam ainda uma “visão tradicional de acesso à justiça criminal que se limita às decisões judiciais (de absolvição ou condenação) e resiste à abertura destas instituições para o diálogo mais próximo com os serviços da rede de atenção especializada” (PASINATO, 2010, p. 120). </w:t>
      </w:r>
    </w:p>
    <w:p w:rsidR="00D24E61" w:rsidRPr="00771368" w:rsidRDefault="00D24E61">
      <w:pPr>
        <w:autoSpaceDE w:val="0"/>
        <w:spacing w:line="360" w:lineRule="auto"/>
        <w:ind w:firstLine="850"/>
        <w:jc w:val="both"/>
        <w:rPr>
          <w:color w:val="000000"/>
        </w:rPr>
      </w:pPr>
      <w:r w:rsidRPr="00771368">
        <w:rPr>
          <w:color w:val="000000"/>
        </w:rPr>
        <w:t xml:space="preserve">O relatório da OBSERVE faz menção à posição de desprestígio que possuem essas delegacias frente aos funcionários que são designados para os cargos, além disso não há um controle institucional no que diz respeito às qualificações profissionais dos funcionários, se estes participam ou não de cursos de capacitação e quais são as temáticas dos cursos. </w:t>
      </w:r>
    </w:p>
    <w:p w:rsidR="00D24E61" w:rsidRPr="00771368" w:rsidRDefault="00D24E61">
      <w:pPr>
        <w:autoSpaceDE w:val="0"/>
        <w:spacing w:line="360" w:lineRule="auto"/>
        <w:ind w:firstLine="850"/>
        <w:jc w:val="both"/>
      </w:pPr>
      <w:r w:rsidRPr="00771368">
        <w:rPr>
          <w:color w:val="000000"/>
        </w:rPr>
        <w:t>Essas delegacias devem oferecer atendimento especializado às mulheres em situação de violência, o que exige uma preparação e capacitação próprias para essas funções. A Lei prevê um tratamento completo e multidisciplinar no trato com as questões de gênero e violência e para isso é necessária uma mudança de comportamento, a punição por si só não basta. Há uma necessidade firme de reinventar as relações simbólicas entre os gêneros e para tanto é essencial se repensar as concepções vigentes de masculinidade e de feminilidade.</w:t>
      </w:r>
    </w:p>
    <w:p w:rsidR="00D24E61" w:rsidRPr="00771368" w:rsidRDefault="00D24E61">
      <w:pPr>
        <w:pStyle w:val="Corpodetexto"/>
        <w:autoSpaceDE w:val="0"/>
        <w:spacing w:before="0" w:after="0" w:line="360" w:lineRule="auto"/>
        <w:jc w:val="center"/>
      </w:pPr>
    </w:p>
    <w:p w:rsidR="00D24E61" w:rsidRPr="00771368" w:rsidRDefault="00D24E61">
      <w:pPr>
        <w:pStyle w:val="Corpodetexto"/>
        <w:autoSpaceDE w:val="0"/>
        <w:spacing w:before="0" w:after="0" w:line="360" w:lineRule="auto"/>
        <w:rPr>
          <w:color w:val="000000"/>
        </w:rPr>
      </w:pPr>
      <w:r w:rsidRPr="00771368">
        <w:rPr>
          <w:b/>
          <w:bCs/>
          <w:color w:val="000000"/>
        </w:rPr>
        <w:t>Conclusões</w:t>
      </w:r>
    </w:p>
    <w:p w:rsidR="00D24E61" w:rsidRPr="00771368" w:rsidRDefault="00D24E61">
      <w:pPr>
        <w:pStyle w:val="Corpodetexto"/>
        <w:spacing w:before="0" w:after="0" w:line="360" w:lineRule="auto"/>
        <w:ind w:firstLine="850"/>
        <w:jc w:val="both"/>
        <w:rPr>
          <w:color w:val="000000"/>
        </w:rPr>
      </w:pPr>
      <w:r w:rsidRPr="00771368">
        <w:rPr>
          <w:color w:val="000000"/>
        </w:rPr>
        <w:t>Considerando o desequilíbrio de poder existente entre a mulher e o homem como algo construído historicamente por meio de discursos dominadores e normatizantes que variaram ao longo do tempo, podemos dizer que a Lei 11.340/06 é um mecanismo que funciona como compensadora das assimetrias nessas relações, partindo da premissa que a mulher é vítima de sua situação de gênero.</w:t>
      </w:r>
    </w:p>
    <w:p w:rsidR="00D24E61" w:rsidRPr="00771368" w:rsidRDefault="00D24E61">
      <w:pPr>
        <w:pStyle w:val="Corpodetexto"/>
        <w:spacing w:before="0" w:after="0" w:line="360" w:lineRule="auto"/>
        <w:ind w:firstLine="850"/>
        <w:jc w:val="both"/>
        <w:rPr>
          <w:color w:val="000000"/>
          <w:shd w:val="clear" w:color="auto" w:fill="FFFFFF"/>
        </w:rPr>
      </w:pPr>
      <w:r w:rsidRPr="00771368">
        <w:rPr>
          <w:color w:val="000000"/>
        </w:rPr>
        <w:t>Podemos concluir que a Lei Maria da Penha é uma lei que “pegou”. Em geral, grande parte da população já ouviu falar sobre ela, ao menos, de forma superficial. Embora a efetividade de seus resultados ainda é difícil de ser verificada, podemos considerar algumas questões. Dentre elas, o mérito do reconhecimento da violência doméstica e familiar contra a mulher, em suas diferentes modalidades, como problema público e social, passível de interferência das forças do Estado.</w:t>
      </w:r>
    </w:p>
    <w:p w:rsidR="00D24E61" w:rsidRPr="00771368" w:rsidRDefault="00D24E61">
      <w:pPr>
        <w:spacing w:after="120" w:line="360" w:lineRule="auto"/>
        <w:ind w:firstLine="850"/>
        <w:jc w:val="both"/>
        <w:rPr>
          <w:b/>
          <w:bCs/>
          <w:color w:val="000000"/>
          <w:sz w:val="24"/>
          <w:szCs w:val="24"/>
          <w:shd w:val="clear" w:color="auto" w:fill="FFFFFF"/>
        </w:rPr>
      </w:pPr>
      <w:r w:rsidRPr="00771368">
        <w:rPr>
          <w:color w:val="000000"/>
          <w:shd w:val="clear" w:color="auto" w:fill="FFFFFF"/>
        </w:rPr>
        <w:t xml:space="preserve">A sensação que permanece porém, ao final da pesquisa, é que apesar das várias políticas públicas voltarem-se para o combate à violência contra a mulher, a raiz do problema, isto é, a mentalidade patriarcal que controla, impõe valores, oprime e submete a mulher se mantém quase intacta. As medidas punitivas, via ações jurídicas e penais, agirão de forma fragmentária enquanto </w:t>
      </w:r>
      <w:r w:rsidRPr="00771368">
        <w:rPr>
          <w:rFonts w:eastAsia="Candara"/>
          <w:color w:val="000000"/>
          <w:sz w:val="24"/>
          <w:szCs w:val="24"/>
          <w:shd w:val="clear" w:color="auto" w:fill="FFFFFF"/>
        </w:rPr>
        <w:t>a</w:t>
      </w:r>
      <w:r w:rsidRPr="00771368">
        <w:rPr>
          <w:color w:val="000000"/>
          <w:sz w:val="24"/>
          <w:szCs w:val="24"/>
          <w:shd w:val="clear" w:color="auto" w:fill="FFFFFF"/>
        </w:rPr>
        <w:t xml:space="preserve"> própria cultura patriarcal não for posta "no banco dos réus". </w:t>
      </w:r>
      <w:r w:rsidRPr="00771368">
        <w:rPr>
          <w:color w:val="000000"/>
          <w:sz w:val="24"/>
          <w:szCs w:val="24"/>
        </w:rPr>
        <w:t xml:space="preserve"> </w:t>
      </w:r>
    </w:p>
    <w:p w:rsidR="00D24E61" w:rsidRPr="00771368" w:rsidRDefault="00D24E61">
      <w:pPr>
        <w:pStyle w:val="Corpodetexto"/>
        <w:spacing w:before="0" w:after="0" w:line="100" w:lineRule="atLeast"/>
        <w:rPr>
          <w:color w:val="000000"/>
          <w:shd w:val="clear" w:color="auto" w:fill="FFFFFF"/>
        </w:rPr>
      </w:pPr>
      <w:r w:rsidRPr="00771368">
        <w:rPr>
          <w:b/>
          <w:bCs/>
          <w:color w:val="000000"/>
          <w:shd w:val="clear" w:color="auto" w:fill="FFFFFF"/>
        </w:rPr>
        <w:t>Referências bibliográfica:</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BADINTER, Elizabeth. </w:t>
      </w:r>
      <w:r w:rsidRPr="00771368">
        <w:rPr>
          <w:i/>
          <w:iCs/>
          <w:color w:val="000000"/>
          <w:sz w:val="24"/>
          <w:shd w:val="clear" w:color="auto" w:fill="FFFFFF"/>
        </w:rPr>
        <w:t>Um amor conquistado: O mito do amor materno.</w:t>
      </w:r>
      <w:r w:rsidRPr="00771368">
        <w:rPr>
          <w:color w:val="000000"/>
          <w:sz w:val="24"/>
          <w:shd w:val="clear" w:color="auto" w:fill="FFFFFF"/>
        </w:rPr>
        <w:t xml:space="preserve"> Rio de Janeiro: Ed. Nova Fronteira, 1985.</w:t>
      </w:r>
    </w:p>
    <w:p w:rsidR="00D24E61" w:rsidRPr="00771368" w:rsidRDefault="00D24E61">
      <w:pPr>
        <w:spacing w:line="100" w:lineRule="atLeast"/>
        <w:jc w:val="both"/>
        <w:rPr>
          <w:color w:val="000000"/>
          <w:sz w:val="24"/>
        </w:rPr>
      </w:pPr>
      <w:r w:rsidRPr="00771368">
        <w:rPr>
          <w:color w:val="000000"/>
          <w:sz w:val="24"/>
          <w:shd w:val="clear" w:color="auto" w:fill="FFFFFF"/>
        </w:rPr>
        <w:t xml:space="preserve">BARSTED, L. L. Lei e realidade social: igualdade X desigualdade. In: KATO, S. L. (Org.). </w:t>
      </w:r>
      <w:r w:rsidRPr="00771368">
        <w:rPr>
          <w:i/>
          <w:iCs/>
          <w:color w:val="000000"/>
          <w:sz w:val="24"/>
          <w:shd w:val="clear" w:color="auto" w:fill="FFFFFF"/>
        </w:rPr>
        <w:t>Manual de capacitação multidisciplinar:</w:t>
      </w:r>
      <w:r w:rsidRPr="00771368">
        <w:rPr>
          <w:color w:val="000000"/>
          <w:sz w:val="24"/>
          <w:shd w:val="clear" w:color="auto" w:fill="FFFFFF"/>
        </w:rPr>
        <w:t xml:space="preserve"> lei n. 11.340, de 7 de agosto de 2006 – Lei Maria da Penha. 3ª ed. Cuiabá: Departamento Gráfico-TJMT, 2008,  p. 44-50. Disponível em:</w:t>
      </w:r>
    </w:p>
    <w:p w:rsidR="00D24E61" w:rsidRPr="00771368" w:rsidRDefault="00D24E61">
      <w:pPr>
        <w:spacing w:line="100" w:lineRule="atLeast"/>
        <w:jc w:val="both"/>
        <w:rPr>
          <w:color w:val="000000"/>
          <w:sz w:val="24"/>
          <w:shd w:val="clear" w:color="auto" w:fill="FFFFFF"/>
        </w:rPr>
      </w:pPr>
      <w:r w:rsidRPr="00771368">
        <w:rPr>
          <w:color w:val="000000"/>
          <w:sz w:val="24"/>
        </w:rPr>
        <w:t>&lt;http://www.spm.gov.br/subsecretaria-de-enfrentamento-a-violencia-contra-as-mulheres/lei-maria-da-penha/manual-maria-da-penha-mt.pdf &gt; Acesso em: 08-12-2011.</w:t>
      </w:r>
    </w:p>
    <w:p w:rsidR="00D24E61" w:rsidRPr="00771368" w:rsidRDefault="00D24E61">
      <w:pPr>
        <w:spacing w:line="100" w:lineRule="atLeast"/>
        <w:jc w:val="both"/>
        <w:rPr>
          <w:color w:val="000000"/>
          <w:sz w:val="24"/>
        </w:rPr>
      </w:pPr>
      <w:r w:rsidRPr="00771368">
        <w:rPr>
          <w:color w:val="000000"/>
          <w:sz w:val="24"/>
          <w:shd w:val="clear" w:color="auto" w:fill="FFFFFF"/>
        </w:rPr>
        <w:t xml:space="preserve">BONETTI A.; PINHEIRO L. &amp; FERREIRA P. </w:t>
      </w:r>
      <w:r w:rsidRPr="00771368">
        <w:rPr>
          <w:i/>
          <w:iCs/>
          <w:color w:val="000000"/>
          <w:sz w:val="24"/>
          <w:shd w:val="clear" w:color="auto" w:fill="FFFFFF"/>
        </w:rPr>
        <w:t>A segurança pública no atendimento às mulheres: uma análise a partir do Ligue 180.</w:t>
      </w:r>
      <w:r w:rsidRPr="00771368">
        <w:rPr>
          <w:color w:val="000000"/>
          <w:sz w:val="24"/>
          <w:shd w:val="clear" w:color="auto" w:fill="FFFFFF"/>
        </w:rPr>
        <w:t xml:space="preserve"> Anais do XIV Congresso Brasileiro de Sociologia, realizado no Rio de Janeiro-RJ, de 28 a 31 de julho de 2009. </w:t>
      </w:r>
    </w:p>
    <w:p w:rsidR="00D24E61" w:rsidRPr="00771368" w:rsidRDefault="00D24E61">
      <w:pPr>
        <w:spacing w:line="100" w:lineRule="atLeast"/>
        <w:rPr>
          <w:color w:val="000000"/>
          <w:sz w:val="24"/>
          <w:shd w:val="clear" w:color="auto" w:fill="FFFFFF"/>
        </w:rPr>
      </w:pPr>
      <w:r w:rsidRPr="00771368">
        <w:rPr>
          <w:color w:val="000000"/>
          <w:sz w:val="24"/>
        </w:rPr>
        <w:t xml:space="preserve">Disponível em: &lt;http://www.sbsociologia.com.br/portal/index.php?option=com_docman&amp;task=cat_view&amp;gid=203&amp;Itemid=171&gt; Acesso em: 29-01-2012 </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BOURDIEU, Pierre. </w:t>
      </w:r>
      <w:r w:rsidRPr="00771368">
        <w:rPr>
          <w:i/>
          <w:iCs/>
          <w:color w:val="000000"/>
          <w:sz w:val="24"/>
          <w:shd w:val="clear" w:color="auto" w:fill="FFFFFF"/>
        </w:rPr>
        <w:t>A dominação masculina</w:t>
      </w:r>
      <w:r w:rsidRPr="00771368">
        <w:rPr>
          <w:color w:val="000000"/>
          <w:sz w:val="24"/>
          <w:shd w:val="clear" w:color="auto" w:fill="FFFFFF"/>
        </w:rPr>
        <w:t>. Rio de Janeiro: Bertrand Brasil, 2007.</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CAMPOS, Amini H. Concreção normativa da constituição – perspectiva de gênero. In: KATO, S. L. (Org.). </w:t>
      </w:r>
      <w:r w:rsidRPr="00771368">
        <w:rPr>
          <w:i/>
          <w:iCs/>
          <w:color w:val="000000"/>
          <w:sz w:val="24"/>
          <w:shd w:val="clear" w:color="auto" w:fill="FFFFFF"/>
        </w:rPr>
        <w:t>Manual de capacitação multidisciplinar</w:t>
      </w:r>
      <w:r w:rsidRPr="00771368">
        <w:rPr>
          <w:color w:val="000000"/>
          <w:sz w:val="24"/>
          <w:shd w:val="clear" w:color="auto" w:fill="FFFFFF"/>
        </w:rPr>
        <w:t>: lei n. 11.340, de 7 de agosto de 2006 – Lei Maria da Penha.  3ª ed. Cuiabá: Departamento Gráfico-TJMT, 2008, p. 36-43. Disponível em: &lt;</w:t>
      </w:r>
      <w:r w:rsidRPr="00771368">
        <w:rPr>
          <w:color w:val="000000"/>
          <w:sz w:val="24"/>
        </w:rPr>
        <w:t xml:space="preserve">http://www.spm.gov.br/subsecretaria-de-enfrentamento-a-violencia-contra-as-mulheres/lei-maria-da-penha/manual-maria-da-penha-mt.pdf </w:t>
      </w:r>
      <w:r w:rsidRPr="00771368">
        <w:rPr>
          <w:color w:val="000000"/>
          <w:sz w:val="24"/>
          <w:shd w:val="clear" w:color="auto" w:fill="FFFFFF"/>
        </w:rPr>
        <w:t>&gt; Acesso em: 08-12-2011.</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COSTA, Jurandir Freire. </w:t>
      </w:r>
      <w:r w:rsidRPr="00771368">
        <w:rPr>
          <w:i/>
          <w:iCs/>
          <w:color w:val="000000"/>
          <w:sz w:val="24"/>
          <w:shd w:val="clear" w:color="auto" w:fill="FFFFFF"/>
        </w:rPr>
        <w:t>Ordem médica e norma familiar.</w:t>
      </w:r>
      <w:r w:rsidRPr="00771368">
        <w:rPr>
          <w:color w:val="000000"/>
          <w:sz w:val="24"/>
          <w:shd w:val="clear" w:color="auto" w:fill="FFFFFF"/>
        </w:rPr>
        <w:t xml:space="preserve"> Rio de Janeiro: Edições Graal, 1999</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DEL PRIORE, Mary. </w:t>
      </w:r>
      <w:r w:rsidRPr="00771368">
        <w:rPr>
          <w:i/>
          <w:iCs/>
          <w:color w:val="000000"/>
          <w:sz w:val="24"/>
          <w:shd w:val="clear" w:color="auto" w:fill="FFFFFF"/>
        </w:rPr>
        <w:t>Ao Sul do Corpo. Condição feminina, maternidade e mentalidades no Brasil Colônia.</w:t>
      </w:r>
      <w:r w:rsidRPr="00771368">
        <w:rPr>
          <w:color w:val="000000"/>
          <w:sz w:val="24"/>
          <w:shd w:val="clear" w:color="auto" w:fill="FFFFFF"/>
        </w:rPr>
        <w:t xml:space="preserve"> Rio de Janeiro: Ed. José Olympio; Brasília, DF: Edunb, 1993.</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FARIA, Nalu. </w:t>
      </w:r>
      <w:r w:rsidRPr="00771368">
        <w:rPr>
          <w:i/>
          <w:iCs/>
          <w:color w:val="000000"/>
          <w:sz w:val="24"/>
          <w:shd w:val="clear" w:color="auto" w:fill="FFFFFF"/>
        </w:rPr>
        <w:t>Anais I Conferência Nacional de Políticas para as Mulheres</w:t>
      </w:r>
      <w:r w:rsidRPr="00771368">
        <w:rPr>
          <w:color w:val="000000"/>
          <w:sz w:val="24"/>
          <w:shd w:val="clear" w:color="auto" w:fill="FFFFFF"/>
        </w:rPr>
        <w:t>. (p. 90-93). disponível em: &lt;http://bvsms.saude.gov.br/bvs/publicacoes/anais1cnpm.pdf&gt; Acesso em: 29-01-2012.</w:t>
      </w:r>
    </w:p>
    <w:p w:rsidR="00D24E61" w:rsidRPr="00771368" w:rsidRDefault="00D24E61">
      <w:pPr>
        <w:spacing w:line="100" w:lineRule="atLeast"/>
        <w:jc w:val="both"/>
        <w:rPr>
          <w:color w:val="000000"/>
          <w:sz w:val="24"/>
        </w:rPr>
      </w:pPr>
      <w:r w:rsidRPr="00771368">
        <w:rPr>
          <w:color w:val="000000"/>
          <w:sz w:val="24"/>
          <w:shd w:val="clear" w:color="auto" w:fill="FFFFFF"/>
        </w:rPr>
        <w:t xml:space="preserve">GUEDES, Alexandre M. A Lei Maria da Penha – algumas notas e sugestões sobre sua aplicação. In: KATO, S. L. (Org.). </w:t>
      </w:r>
      <w:r w:rsidRPr="00771368">
        <w:rPr>
          <w:i/>
          <w:iCs/>
          <w:color w:val="000000"/>
          <w:sz w:val="24"/>
          <w:shd w:val="clear" w:color="auto" w:fill="FFFFFF"/>
        </w:rPr>
        <w:t>Manual de capacitação multidisciplinar</w:t>
      </w:r>
      <w:r w:rsidRPr="00771368">
        <w:rPr>
          <w:color w:val="000000"/>
          <w:sz w:val="24"/>
          <w:shd w:val="clear" w:color="auto" w:fill="FFFFFF"/>
        </w:rPr>
        <w:t>: lei n. 11.340, de 7 de agosto de 2006 – Lei Maria da Penha. 3ª ed. Cuiabá: Departamento Gráfico-TJMT, 2008, p. 54-58. Disponível em:</w:t>
      </w:r>
    </w:p>
    <w:p w:rsidR="00D24E61" w:rsidRPr="00771368" w:rsidRDefault="00D24E61">
      <w:pPr>
        <w:widowControl w:val="0"/>
        <w:spacing w:line="100" w:lineRule="atLeast"/>
        <w:jc w:val="both"/>
        <w:rPr>
          <w:color w:val="000000"/>
          <w:sz w:val="24"/>
          <w:shd w:val="clear" w:color="auto" w:fill="FFFFFF"/>
        </w:rPr>
      </w:pPr>
      <w:r w:rsidRPr="00771368">
        <w:rPr>
          <w:color w:val="000000"/>
          <w:sz w:val="24"/>
        </w:rPr>
        <w:t>&lt;http://www.spm.gov.br/subsecretaria-de-enfrentamento-a-violencia-contra-as-mulheres/lei-maria-da-penha/manual-maria-da-penha-mt.pdf &gt; Acesso em: 12-11-2011.</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KATO, Shelma Lombardi de. A Lei Maria da Penha e a proteção dos direitos humanos dob a perspectiva de gênero. In: KATO, S. L. (Org.). </w:t>
      </w:r>
      <w:r w:rsidRPr="00771368">
        <w:rPr>
          <w:i/>
          <w:iCs/>
          <w:color w:val="000000"/>
          <w:sz w:val="24"/>
          <w:shd w:val="clear" w:color="auto" w:fill="FFFFFF"/>
        </w:rPr>
        <w:t>Manual de capacitação multidisciplinar</w:t>
      </w:r>
      <w:r w:rsidRPr="00771368">
        <w:rPr>
          <w:color w:val="000000"/>
          <w:sz w:val="24"/>
          <w:shd w:val="clear" w:color="auto" w:fill="FFFFFF"/>
        </w:rPr>
        <w:t>: lei n. 11.340, de 7 de agosto de 2006 – Lei Maria da Penha. 3ª ed. Cuiabá: Departamento Gráfico-TJMT, 2008, p. 21-22. Disponível em:</w:t>
      </w:r>
    </w:p>
    <w:p w:rsidR="00D24E61" w:rsidRPr="00771368" w:rsidRDefault="00D24E61">
      <w:pPr>
        <w:spacing w:line="100" w:lineRule="atLeast"/>
        <w:jc w:val="both"/>
        <w:rPr>
          <w:i/>
          <w:iCs/>
          <w:color w:val="000000"/>
          <w:sz w:val="24"/>
          <w:shd w:val="clear" w:color="auto" w:fill="FFFFFF"/>
        </w:rPr>
      </w:pPr>
      <w:r w:rsidRPr="00771368">
        <w:rPr>
          <w:color w:val="000000"/>
          <w:sz w:val="24"/>
          <w:shd w:val="clear" w:color="auto" w:fill="FFFFFF"/>
        </w:rPr>
        <w:t>&lt;http://www.spm.gov.br/subsecretaria-de-enfrentamento-a-violencia-contra-as-mulheres/lei-maria-da-penha/manual-maria-da-penha-mt.pdf &gt; Acesso em: 15-11-2011.</w:t>
      </w:r>
    </w:p>
    <w:p w:rsidR="00D24E61" w:rsidRPr="00771368" w:rsidRDefault="00D24E61">
      <w:pPr>
        <w:spacing w:line="100" w:lineRule="atLeast"/>
        <w:jc w:val="both"/>
        <w:rPr>
          <w:color w:val="000000"/>
          <w:sz w:val="24"/>
          <w:shd w:val="clear" w:color="auto" w:fill="FFFFFF"/>
        </w:rPr>
      </w:pPr>
      <w:r w:rsidRPr="00771368">
        <w:rPr>
          <w:i/>
          <w:iCs/>
          <w:color w:val="000000"/>
          <w:sz w:val="24"/>
          <w:shd w:val="clear" w:color="auto" w:fill="FFFFFF"/>
        </w:rPr>
        <w:t>Lei Maria da Penha: Uma Superação Coletiva</w:t>
      </w:r>
      <w:r w:rsidRPr="00771368">
        <w:rPr>
          <w:b/>
          <w:color w:val="000000"/>
          <w:sz w:val="24"/>
          <w:shd w:val="clear" w:color="auto" w:fill="FFFFFF"/>
        </w:rPr>
        <w:t xml:space="preserve"> </w:t>
      </w:r>
      <w:r w:rsidRPr="00771368">
        <w:rPr>
          <w:color w:val="000000"/>
          <w:sz w:val="24"/>
          <w:shd w:val="clear" w:color="auto" w:fill="FFFFFF"/>
        </w:rPr>
        <w:t>(cartilha de divulgação e compreensão da Lei Maria da Penha – Lei 11.340/06) Coordenado por José Carlos Miranda Nery Júnior – Goiânia: Ministério Público do estado de Goiás: 2010.</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MACHADO, Lia Zanotta. Masculinidades e violências. Gênero e mal-estar na sociedade contemporânea. In: SCHPUN, Mônica Raisa (org.). </w:t>
      </w:r>
      <w:r w:rsidRPr="00771368">
        <w:rPr>
          <w:i/>
          <w:iCs/>
          <w:color w:val="000000"/>
          <w:sz w:val="24"/>
          <w:shd w:val="clear" w:color="auto" w:fill="FFFFFF"/>
        </w:rPr>
        <w:t>Masculinidades.</w:t>
      </w:r>
      <w:r w:rsidRPr="00771368">
        <w:rPr>
          <w:color w:val="000000"/>
          <w:sz w:val="24"/>
          <w:shd w:val="clear" w:color="auto" w:fill="FFFFFF"/>
        </w:rPr>
        <w:t xml:space="preserve"> Boitempo Editorial e Edunisc, São Paulo: 2004.</w:t>
      </w:r>
    </w:p>
    <w:p w:rsidR="00D24E61" w:rsidRPr="00771368" w:rsidRDefault="00D24E61">
      <w:pPr>
        <w:spacing w:line="100" w:lineRule="atLeast"/>
        <w:jc w:val="both"/>
        <w:rPr>
          <w:color w:val="000000"/>
          <w:sz w:val="24"/>
        </w:rPr>
      </w:pPr>
      <w:r w:rsidRPr="00771368">
        <w:rPr>
          <w:color w:val="000000"/>
          <w:sz w:val="24"/>
          <w:shd w:val="clear" w:color="auto" w:fill="FFFFFF"/>
        </w:rPr>
        <w:t xml:space="preserve">PIOVESAN, Flávia. A Constituição Brasileira de 1988 e os Tratados Internacionais de Proteção dos Direitos Humanos. In: KATO, S. L. (Org.). </w:t>
      </w:r>
      <w:r w:rsidRPr="00771368">
        <w:rPr>
          <w:i/>
          <w:iCs/>
          <w:color w:val="000000"/>
          <w:sz w:val="24"/>
          <w:shd w:val="clear" w:color="auto" w:fill="FFFFFF"/>
        </w:rPr>
        <w:t>Manual de capacitação multidisciplinar</w:t>
      </w:r>
      <w:r w:rsidRPr="00771368">
        <w:rPr>
          <w:color w:val="000000"/>
          <w:sz w:val="24"/>
          <w:shd w:val="clear" w:color="auto" w:fill="FFFFFF"/>
        </w:rPr>
        <w:t>: lei n. 11.340, de 7 de agosto de 2006 – Lei Maria da Penha. 3ª ed. Cuiabá: Departamento Gráfico-TJMT, 2008, p. 25-35. Disponível em:</w:t>
      </w:r>
    </w:p>
    <w:p w:rsidR="00D24E61" w:rsidRPr="00771368" w:rsidRDefault="00D24E61">
      <w:pPr>
        <w:jc w:val="both"/>
        <w:rPr>
          <w:color w:val="000000"/>
          <w:sz w:val="24"/>
          <w:shd w:val="clear" w:color="auto" w:fill="FFFFFF"/>
        </w:rPr>
      </w:pPr>
      <w:r w:rsidRPr="00771368">
        <w:rPr>
          <w:color w:val="000000"/>
          <w:sz w:val="24"/>
        </w:rPr>
        <w:t>&lt;</w:t>
      </w:r>
      <w:hyperlink r:id="rId390" w:history="1">
        <w:r w:rsidRPr="00771368">
          <w:rPr>
            <w:rStyle w:val="Hyperlink"/>
            <w:rFonts w:eastAsia="Calibri"/>
            <w:color w:val="000000"/>
          </w:rPr>
          <w:t>http://www.spm.gov.br/subsecretaria-de-enfrentamento-a-violencia-contra-as-mulheres/lei-maria-da-penha/manual-maria-da-penha-mt.pdf</w:t>
        </w:r>
      </w:hyperlink>
      <w:r w:rsidRPr="00771368">
        <w:rPr>
          <w:color w:val="000000"/>
          <w:sz w:val="24"/>
        </w:rPr>
        <w:t xml:space="preserve"> &gt;  Acesso em: 08-06-2011.</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PITANGUI, Jaqueline. </w:t>
      </w:r>
      <w:r w:rsidRPr="00771368">
        <w:rPr>
          <w:i/>
          <w:iCs/>
          <w:color w:val="000000"/>
          <w:sz w:val="24"/>
          <w:shd w:val="clear" w:color="auto" w:fill="FFFFFF"/>
        </w:rPr>
        <w:t>Anais I Conferência Nacional de Políticas para as Mulheres</w:t>
      </w:r>
      <w:r w:rsidRPr="00771368">
        <w:rPr>
          <w:color w:val="000000"/>
          <w:sz w:val="24"/>
          <w:shd w:val="clear" w:color="auto" w:fill="FFFFFF"/>
        </w:rPr>
        <w:t>. (p. 30-38). disponível em: &lt;http://bvsms.saude.gov.br/bvs/publicacoes/anais1cnpm.pdf&gt; Acesso em: 29-01-2012.</w:t>
      </w:r>
    </w:p>
    <w:p w:rsidR="00D24E61" w:rsidRPr="00771368" w:rsidRDefault="00D24E61">
      <w:pPr>
        <w:spacing w:line="100" w:lineRule="atLeast"/>
        <w:jc w:val="both"/>
        <w:rPr>
          <w:color w:val="000000"/>
          <w:sz w:val="24"/>
        </w:rPr>
      </w:pPr>
      <w:r w:rsidRPr="00771368">
        <w:rPr>
          <w:color w:val="000000"/>
          <w:sz w:val="24"/>
          <w:shd w:val="clear" w:color="auto" w:fill="FFFFFF"/>
        </w:rPr>
        <w:t>Relatório Final:</w:t>
      </w:r>
      <w:r w:rsidRPr="00771368">
        <w:rPr>
          <w:b/>
          <w:color w:val="000000"/>
          <w:sz w:val="24"/>
          <w:shd w:val="clear" w:color="auto" w:fill="FFFFFF"/>
        </w:rPr>
        <w:t xml:space="preserve"> “</w:t>
      </w:r>
      <w:r w:rsidRPr="00771368">
        <w:rPr>
          <w:i/>
          <w:iCs/>
          <w:color w:val="000000"/>
          <w:sz w:val="24"/>
          <w:shd w:val="clear" w:color="auto" w:fill="FFFFFF"/>
        </w:rPr>
        <w:t>Condições para aplicação da Lei 11.340/2006 (Lei Maria da Penha) nas Delegacias Especializadas de Atendimento à Mulher (DEAMS) e nos Juizados de Violência Doméstica e Familiar nas capitais e no Distrito Federal”</w:t>
      </w:r>
      <w:r w:rsidRPr="00771368">
        <w:rPr>
          <w:color w:val="000000"/>
          <w:sz w:val="24"/>
          <w:shd w:val="clear" w:color="auto" w:fill="FFFFFF"/>
        </w:rPr>
        <w:t xml:space="preserve"> realizado pelo Observatório pela aplicação da Lei Maria da Penha (OBSERVE) 2010. Disponível em:</w:t>
      </w:r>
    </w:p>
    <w:p w:rsidR="00D24E61" w:rsidRPr="00771368" w:rsidRDefault="00D24E61">
      <w:pPr>
        <w:spacing w:line="100" w:lineRule="atLeast"/>
        <w:jc w:val="both"/>
        <w:rPr>
          <w:color w:val="000000"/>
          <w:sz w:val="24"/>
          <w:shd w:val="clear" w:color="auto" w:fill="FFFFFF"/>
        </w:rPr>
      </w:pPr>
      <w:r w:rsidRPr="00771368">
        <w:rPr>
          <w:color w:val="000000"/>
          <w:sz w:val="24"/>
        </w:rPr>
        <w:t xml:space="preserve"> &lt;http://www.observe.ufba.br/_ARQ/Relatorio%20apresent%20e%20DEAMs.pdf &gt; Acesso em: 01-02-2012.</w:t>
      </w:r>
    </w:p>
    <w:p w:rsidR="00D24E61" w:rsidRPr="00771368" w:rsidRDefault="00D24E61">
      <w:pPr>
        <w:spacing w:line="100" w:lineRule="atLeast"/>
        <w:jc w:val="both"/>
        <w:rPr>
          <w:color w:val="000000"/>
          <w:sz w:val="24"/>
        </w:rPr>
      </w:pPr>
      <w:r w:rsidRPr="00771368">
        <w:rPr>
          <w:color w:val="000000"/>
          <w:sz w:val="24"/>
          <w:shd w:val="clear" w:color="auto" w:fill="FFFFFF"/>
        </w:rPr>
        <w:t xml:space="preserve">RIBEIRO, Rui Ramos. Lei Maria da Penha. </w:t>
      </w:r>
      <w:r w:rsidRPr="00D61223">
        <w:rPr>
          <w:color w:val="000000"/>
          <w:sz w:val="24"/>
          <w:shd w:val="clear" w:color="auto" w:fill="FFFFFF"/>
          <w:lang w:val="en-US"/>
        </w:rPr>
        <w:t xml:space="preserve">In: KATO, S. L. (Org.). </w:t>
      </w:r>
      <w:r w:rsidRPr="00771368">
        <w:rPr>
          <w:i/>
          <w:iCs/>
          <w:color w:val="000000"/>
          <w:sz w:val="24"/>
          <w:shd w:val="clear" w:color="auto" w:fill="FFFFFF"/>
        </w:rPr>
        <w:t>Manual de capacitação multidisciplinar:</w:t>
      </w:r>
      <w:r w:rsidRPr="00771368">
        <w:rPr>
          <w:color w:val="000000"/>
          <w:sz w:val="24"/>
          <w:shd w:val="clear" w:color="auto" w:fill="FFFFFF"/>
        </w:rPr>
        <w:t xml:space="preserve"> lei n. 11.340, de 7 de agosto de 2006 – Lei Maria da Penha.  3ª ed. Cuiabá: Departamento Gráfico-TJMT, 2008, p. 51-53. Disponível em:</w:t>
      </w:r>
    </w:p>
    <w:p w:rsidR="00D24E61" w:rsidRPr="00771368" w:rsidRDefault="00D24E61">
      <w:pPr>
        <w:jc w:val="both"/>
        <w:rPr>
          <w:color w:val="000000"/>
          <w:sz w:val="24"/>
          <w:shd w:val="clear" w:color="auto" w:fill="FFFFFF"/>
        </w:rPr>
      </w:pPr>
      <w:r w:rsidRPr="00771368">
        <w:rPr>
          <w:color w:val="000000"/>
          <w:sz w:val="24"/>
        </w:rPr>
        <w:t>&lt;http://www.spm.gov.br/subsecretaria-de-enfrentamento-a-violencia-contra-as-mulheres/lei-maria-da-penha/manual-maria-da-penha-mt.pdf&gt; Acesso em: 12-12-2011.</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SABADELL, Ana Lucia. </w:t>
      </w:r>
      <w:r w:rsidRPr="00771368">
        <w:rPr>
          <w:i/>
          <w:iCs/>
          <w:color w:val="000000"/>
          <w:sz w:val="24"/>
          <w:shd w:val="clear" w:color="auto" w:fill="FFFFFF"/>
        </w:rPr>
        <w:t>Perspectivas jussociológicas da violência doméstica</w:t>
      </w:r>
      <w:r w:rsidRPr="00771368">
        <w:rPr>
          <w:color w:val="000000"/>
          <w:sz w:val="24"/>
          <w:shd w:val="clear" w:color="auto" w:fill="FFFFFF"/>
        </w:rPr>
        <w:t>: efetiva tutela de direitos fundamentais e/ou repressão penal. In: Revista dos Tribunais, São Paulo, v. 840, 2005, p. 429-456. Material da 4ª aula da Disciplina Política Criminal, ministrada no Curso de Pós-Graduação Lato Sensu Telepresencial e Virtual em Ciências Penais – UNIDERP – REDE LFG - IPAN.</w:t>
      </w:r>
    </w:p>
    <w:p w:rsidR="00D24E61" w:rsidRPr="00771368" w:rsidRDefault="00D24E61">
      <w:pPr>
        <w:spacing w:line="100" w:lineRule="atLeast"/>
        <w:jc w:val="both"/>
        <w:rPr>
          <w:color w:val="000000"/>
          <w:sz w:val="24"/>
        </w:rPr>
      </w:pPr>
      <w:r w:rsidRPr="00771368">
        <w:rPr>
          <w:color w:val="000000"/>
          <w:sz w:val="24"/>
          <w:shd w:val="clear" w:color="auto" w:fill="FFFFFF"/>
        </w:rPr>
        <w:t xml:space="preserve">SAFFIOTI, Heleieth. Gênero: Ontogênese e filogênese. </w:t>
      </w:r>
      <w:r w:rsidRPr="00D61223">
        <w:rPr>
          <w:color w:val="000000"/>
          <w:sz w:val="24"/>
          <w:shd w:val="clear" w:color="auto" w:fill="FFFFFF"/>
          <w:lang w:val="en-US"/>
        </w:rPr>
        <w:t xml:space="preserve">In: KATO, S. L. (Org.). </w:t>
      </w:r>
      <w:r w:rsidRPr="00771368">
        <w:rPr>
          <w:i/>
          <w:iCs/>
          <w:color w:val="000000"/>
          <w:sz w:val="24"/>
          <w:shd w:val="clear" w:color="auto" w:fill="FFFFFF"/>
        </w:rPr>
        <w:t>Manual de capacitação multidisciplinar</w:t>
      </w:r>
      <w:r w:rsidRPr="00771368">
        <w:rPr>
          <w:color w:val="000000"/>
          <w:sz w:val="24"/>
          <w:shd w:val="clear" w:color="auto" w:fill="FFFFFF"/>
        </w:rPr>
        <w:t>: lei n. 11.340, de 7 de agosto de 2006 – Lei Maria da Penha.  3ª ed. Cuiabá: Departamento Gráfico-TJMT, 2008, p. 91-124. Disponível em:</w:t>
      </w:r>
    </w:p>
    <w:p w:rsidR="00D24E61" w:rsidRPr="00771368" w:rsidRDefault="00D24E61">
      <w:pPr>
        <w:spacing w:line="100" w:lineRule="atLeast"/>
        <w:jc w:val="both"/>
        <w:rPr>
          <w:color w:val="000000"/>
          <w:sz w:val="24"/>
          <w:shd w:val="clear" w:color="auto" w:fill="FFFFFF"/>
        </w:rPr>
      </w:pPr>
      <w:r w:rsidRPr="00771368">
        <w:rPr>
          <w:color w:val="000000"/>
          <w:sz w:val="24"/>
        </w:rPr>
        <w:t>&lt;</w:t>
      </w:r>
      <w:hyperlink r:id="rId391" w:history="1">
        <w:r w:rsidRPr="00771368">
          <w:rPr>
            <w:rStyle w:val="Hyperlink"/>
            <w:rFonts w:eastAsia="Calibri"/>
            <w:color w:val="000000"/>
          </w:rPr>
          <w:t>http://www.spm.gov.br/subsecretaria-de-enfrentamento-a-violencia-contra-as-mulheres/lei-maria-da-penha/manual-maria-da-penha-mt.pdf</w:t>
        </w:r>
      </w:hyperlink>
      <w:r w:rsidRPr="00771368">
        <w:rPr>
          <w:color w:val="000000"/>
          <w:sz w:val="24"/>
        </w:rPr>
        <w:t xml:space="preserve"> &gt; Acesso em: 06-06-2011.</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SOIHET, Rachel. Mulheres pobres e violência no Brasil urbano. </w:t>
      </w:r>
      <w:r w:rsidRPr="00D61223">
        <w:rPr>
          <w:color w:val="000000"/>
          <w:sz w:val="24"/>
          <w:shd w:val="clear" w:color="auto" w:fill="FFFFFF"/>
          <w:lang w:val="en-US"/>
        </w:rPr>
        <w:t xml:space="preserve">In: DEL PRIORE, Mary (org.) </w:t>
      </w:r>
      <w:r w:rsidRPr="00771368">
        <w:rPr>
          <w:i/>
          <w:iCs/>
          <w:color w:val="000000"/>
          <w:sz w:val="24"/>
          <w:shd w:val="clear" w:color="auto" w:fill="FFFFFF"/>
        </w:rPr>
        <w:t>História das mulheres no Brasil.</w:t>
      </w:r>
      <w:r w:rsidRPr="00771368">
        <w:rPr>
          <w:color w:val="000000"/>
          <w:sz w:val="24"/>
          <w:shd w:val="clear" w:color="auto" w:fill="FFFFFF"/>
        </w:rPr>
        <w:t xml:space="preserve"> São Paulo: Contexto, 1997, p. 362-401.</w:t>
      </w:r>
    </w:p>
    <w:p w:rsidR="00D24E61" w:rsidRPr="00771368" w:rsidRDefault="00D24E61">
      <w:pPr>
        <w:spacing w:line="100" w:lineRule="atLeast"/>
        <w:jc w:val="both"/>
        <w:rPr>
          <w:color w:val="000000"/>
          <w:sz w:val="24"/>
          <w:shd w:val="clear" w:color="auto" w:fill="FFFFFF"/>
        </w:rPr>
      </w:pPr>
      <w:r w:rsidRPr="00771368">
        <w:rPr>
          <w:color w:val="000000"/>
          <w:sz w:val="24"/>
          <w:shd w:val="clear" w:color="auto" w:fill="FFFFFF"/>
        </w:rPr>
        <w:t xml:space="preserve">STREY, Marlene N. Violência e gênero: um casamento que tem tudo para dar certo. In: GROSSI, Patrícia; WERBA, Graziela. (orgs) </w:t>
      </w:r>
      <w:r w:rsidRPr="00771368">
        <w:rPr>
          <w:i/>
          <w:iCs/>
          <w:color w:val="000000"/>
          <w:sz w:val="24"/>
          <w:shd w:val="clear" w:color="auto" w:fill="FFFFFF"/>
        </w:rPr>
        <w:t>Violências e gênero. Coisas que a gente não gostaria de saber.</w:t>
      </w:r>
      <w:r w:rsidRPr="00771368">
        <w:rPr>
          <w:color w:val="000000"/>
          <w:sz w:val="24"/>
          <w:shd w:val="clear" w:color="auto" w:fill="FFFFFF"/>
        </w:rPr>
        <w:t xml:space="preserve"> Porto Alegre: EDIPUCRS, 2001, p. 47-69. </w:t>
      </w:r>
    </w:p>
    <w:p w:rsidR="00D24E61" w:rsidRPr="00771368" w:rsidRDefault="00D24E61">
      <w:pPr>
        <w:spacing w:line="100" w:lineRule="atLeast"/>
        <w:jc w:val="both"/>
        <w:rPr>
          <w:b/>
          <w:color w:val="000000"/>
          <w:sz w:val="24"/>
          <w:shd w:val="clear" w:color="auto" w:fill="FFFFFF"/>
        </w:rPr>
      </w:pPr>
      <w:r w:rsidRPr="00771368">
        <w:rPr>
          <w:color w:val="000000"/>
          <w:sz w:val="24"/>
          <w:shd w:val="clear" w:color="auto" w:fill="FFFFFF"/>
        </w:rPr>
        <w:t xml:space="preserve">_______________; WERBA, Graziela C. “Longe dos olhos, longe do coração: ainda a invisibilidade da violência contra a mulher”. In: GROSSI, Patrícia; WERBA, Graziela. (orgs) Violências e gênero. Coisas que a gente não gostaria de saber. Porto Alegre: EDIPUCRS, 2001, p. 71-81. </w:t>
      </w:r>
    </w:p>
    <w:p w:rsidR="00D24E61" w:rsidRPr="00771368" w:rsidRDefault="00D24E61">
      <w:pPr>
        <w:spacing w:after="120" w:line="100" w:lineRule="atLeast"/>
        <w:jc w:val="both"/>
        <w:rPr>
          <w:b/>
          <w:color w:val="000000"/>
          <w:sz w:val="24"/>
          <w:shd w:val="clear" w:color="auto" w:fill="FFFFFF"/>
        </w:rPr>
      </w:pPr>
    </w:p>
    <w:p w:rsidR="00D24E61" w:rsidRPr="00771368" w:rsidRDefault="00D24E61">
      <w:pPr>
        <w:spacing w:line="100" w:lineRule="atLeast"/>
        <w:jc w:val="both"/>
        <w:rPr>
          <w:color w:val="000000"/>
          <w:sz w:val="24"/>
        </w:rPr>
      </w:pPr>
      <w:r w:rsidRPr="00771368">
        <w:rPr>
          <w:b/>
          <w:color w:val="000000"/>
          <w:sz w:val="24"/>
          <w:shd w:val="clear" w:color="auto" w:fill="FFFFFF"/>
        </w:rPr>
        <w:t>Páginas eletrônicas:</w:t>
      </w:r>
    </w:p>
    <w:p w:rsidR="00D24E61" w:rsidRPr="00771368" w:rsidRDefault="00D24E61">
      <w:pPr>
        <w:spacing w:line="100" w:lineRule="atLeast"/>
        <w:jc w:val="both"/>
        <w:rPr>
          <w:color w:val="1C1C1C"/>
          <w:sz w:val="24"/>
        </w:rPr>
      </w:pPr>
      <w:r w:rsidRPr="00771368">
        <w:rPr>
          <w:color w:val="000000"/>
          <w:sz w:val="24"/>
        </w:rPr>
        <w:t xml:space="preserve">AULETE, Caldas. Aulete Digital – </w:t>
      </w:r>
      <w:r w:rsidRPr="00771368">
        <w:rPr>
          <w:i/>
          <w:iCs/>
          <w:color w:val="000000"/>
          <w:sz w:val="24"/>
        </w:rPr>
        <w:t>Dicionário contemporâneo da língua portuguesa</w:t>
      </w:r>
      <w:r w:rsidRPr="00771368">
        <w:rPr>
          <w:color w:val="000000"/>
          <w:sz w:val="24"/>
        </w:rPr>
        <w:t>: Dicionário Caldas Aulete, vs online.</w:t>
      </w:r>
    </w:p>
    <w:p w:rsidR="00D24E61" w:rsidRPr="00771368" w:rsidRDefault="00D24E61">
      <w:pPr>
        <w:spacing w:line="100" w:lineRule="atLeast"/>
        <w:jc w:val="both"/>
        <w:rPr>
          <w:color w:val="1C1C1C"/>
          <w:sz w:val="24"/>
        </w:rPr>
      </w:pPr>
      <w:r w:rsidRPr="00771368">
        <w:rPr>
          <w:color w:val="1C1C1C"/>
          <w:sz w:val="24"/>
        </w:rPr>
        <w:t xml:space="preserve">BRASIL. </w:t>
      </w:r>
      <w:r w:rsidRPr="00771368">
        <w:rPr>
          <w:i/>
          <w:iCs/>
          <w:color w:val="1C1C1C"/>
          <w:sz w:val="24"/>
        </w:rPr>
        <w:t>Código Eleitoral. Lei dos Partidos Políticos.</w:t>
      </w:r>
      <w:r w:rsidRPr="00771368">
        <w:rPr>
          <w:color w:val="1C1C1C"/>
          <w:sz w:val="24"/>
        </w:rPr>
        <w:t xml:space="preserve"> Disponível em:</w:t>
      </w:r>
    </w:p>
    <w:p w:rsidR="00D24E61" w:rsidRPr="00771368" w:rsidRDefault="00D24E61">
      <w:pPr>
        <w:spacing w:line="100" w:lineRule="atLeast"/>
        <w:jc w:val="both"/>
        <w:rPr>
          <w:color w:val="1C1C1C"/>
          <w:sz w:val="24"/>
        </w:rPr>
      </w:pPr>
      <w:r w:rsidRPr="00771368">
        <w:rPr>
          <w:color w:val="1C1C1C"/>
          <w:sz w:val="24"/>
        </w:rPr>
        <w:t>&lt;http://www.planalto.gov.br/ccivil_03/_Ato2007-2010/2009/Lei/L12034.htm#art2&gt;</w:t>
      </w:r>
    </w:p>
    <w:p w:rsidR="00D24E61" w:rsidRPr="00771368" w:rsidRDefault="00D24E61">
      <w:pPr>
        <w:spacing w:line="100" w:lineRule="atLeast"/>
        <w:jc w:val="both"/>
        <w:rPr>
          <w:color w:val="1C1C1C"/>
          <w:sz w:val="24"/>
        </w:rPr>
      </w:pPr>
      <w:r w:rsidRPr="00771368">
        <w:rPr>
          <w:color w:val="1C1C1C"/>
          <w:sz w:val="24"/>
        </w:rPr>
        <w:t>Acesso em: 25-08-2011.</w:t>
      </w:r>
    </w:p>
    <w:p w:rsidR="00D24E61" w:rsidRPr="00771368" w:rsidRDefault="00D24E61">
      <w:pPr>
        <w:spacing w:line="200" w:lineRule="atLeast"/>
        <w:jc w:val="both"/>
        <w:rPr>
          <w:color w:val="1C1C1C"/>
          <w:sz w:val="24"/>
        </w:rPr>
      </w:pPr>
      <w:r w:rsidRPr="00771368">
        <w:rPr>
          <w:color w:val="1C1C1C"/>
          <w:sz w:val="24"/>
        </w:rPr>
        <w:t xml:space="preserve">BRASIL. </w:t>
      </w:r>
      <w:r w:rsidRPr="00771368">
        <w:rPr>
          <w:i/>
          <w:iCs/>
          <w:color w:val="1C1C1C"/>
          <w:sz w:val="24"/>
        </w:rPr>
        <w:t>Constituição da República Federativa do Brasil,</w:t>
      </w:r>
      <w:r w:rsidRPr="00771368">
        <w:rPr>
          <w:color w:val="1C1C1C"/>
          <w:sz w:val="24"/>
        </w:rPr>
        <w:t xml:space="preserve"> consultar:</w:t>
      </w:r>
    </w:p>
    <w:p w:rsidR="00D24E61" w:rsidRPr="00771368" w:rsidRDefault="00D24E61">
      <w:pPr>
        <w:spacing w:line="200" w:lineRule="atLeast"/>
        <w:jc w:val="both"/>
        <w:rPr>
          <w:color w:val="1C1C1C"/>
          <w:sz w:val="24"/>
        </w:rPr>
      </w:pPr>
      <w:r w:rsidRPr="00771368">
        <w:rPr>
          <w:color w:val="1C1C1C"/>
          <w:sz w:val="24"/>
        </w:rPr>
        <w:t>&lt;http://www.planalto.gov.br/ccivil_03/Constituicao/Constitui%C3%A7ao.htm&gt;</w:t>
      </w:r>
    </w:p>
    <w:p w:rsidR="00D24E61" w:rsidRPr="00771368" w:rsidRDefault="00D24E61">
      <w:pPr>
        <w:spacing w:line="100" w:lineRule="atLeast"/>
        <w:jc w:val="both"/>
        <w:rPr>
          <w:color w:val="1C1C1C"/>
          <w:sz w:val="24"/>
        </w:rPr>
      </w:pPr>
      <w:r w:rsidRPr="00771368">
        <w:rPr>
          <w:color w:val="1C1C1C"/>
          <w:sz w:val="24"/>
        </w:rPr>
        <w:t>Acesso em: 30-01-2012.</w:t>
      </w:r>
    </w:p>
    <w:p w:rsidR="00D24E61" w:rsidRPr="00771368" w:rsidRDefault="00D24E61">
      <w:pPr>
        <w:spacing w:line="100" w:lineRule="atLeast"/>
        <w:jc w:val="both"/>
        <w:rPr>
          <w:color w:val="1C1C1C"/>
          <w:sz w:val="24"/>
        </w:rPr>
      </w:pPr>
      <w:r w:rsidRPr="00771368">
        <w:rPr>
          <w:color w:val="1C1C1C"/>
          <w:sz w:val="24"/>
        </w:rPr>
        <w:t>BRASIL.</w:t>
      </w:r>
      <w:r w:rsidRPr="00771368">
        <w:rPr>
          <w:b/>
          <w:color w:val="1C1C1C"/>
          <w:sz w:val="24"/>
        </w:rPr>
        <w:t xml:space="preserve"> </w:t>
      </w:r>
      <w:r w:rsidRPr="00771368">
        <w:rPr>
          <w:i/>
          <w:iCs/>
          <w:color w:val="1C1C1C"/>
          <w:sz w:val="24"/>
        </w:rPr>
        <w:t>Lei n. 11.340 de 7 de agosto de 2006. Lei Maria da Penha.</w:t>
      </w:r>
      <w:r w:rsidRPr="00771368">
        <w:rPr>
          <w:color w:val="1C1C1C"/>
          <w:sz w:val="24"/>
        </w:rPr>
        <w:t xml:space="preserve"> Diário Oficial da República Federativa do Brasil. Brasília, DF, 07 ago. 2006. Disponível em:</w:t>
      </w:r>
    </w:p>
    <w:p w:rsidR="00D24E61" w:rsidRPr="00771368" w:rsidRDefault="00D24E61">
      <w:pPr>
        <w:spacing w:line="100" w:lineRule="atLeast"/>
        <w:jc w:val="both"/>
        <w:rPr>
          <w:color w:val="1C1C1C"/>
          <w:sz w:val="24"/>
        </w:rPr>
      </w:pPr>
      <w:r w:rsidRPr="00771368">
        <w:rPr>
          <w:color w:val="1C1C1C"/>
          <w:sz w:val="24"/>
        </w:rPr>
        <w:t>&lt;http://www.planalto.gov.br/ccivil_03/_ato2004-2006/2006/lei/l11340.htm&gt; Acesso: 01-07-2011.</w:t>
      </w:r>
    </w:p>
    <w:p w:rsidR="00D24E61" w:rsidRPr="00771368" w:rsidRDefault="00D24E61">
      <w:pPr>
        <w:spacing w:line="100" w:lineRule="atLeast"/>
        <w:jc w:val="both"/>
        <w:rPr>
          <w:color w:val="1C1C1C"/>
          <w:sz w:val="24"/>
        </w:rPr>
      </w:pPr>
      <w:r w:rsidRPr="00771368">
        <w:rPr>
          <w:color w:val="1C1C1C"/>
          <w:sz w:val="24"/>
        </w:rPr>
        <w:t>Conferência Nacional de Políticas para as Mulheres, I, 2004, Brasília. Anais disponível no site: &lt;http://www.observatoriodegenero.gov.br&gt; Acesso em: 04-06-2011.</w:t>
      </w:r>
    </w:p>
    <w:p w:rsidR="00D24E61" w:rsidRPr="00771368" w:rsidRDefault="00D24E61">
      <w:pPr>
        <w:spacing w:line="100" w:lineRule="atLeast"/>
        <w:jc w:val="both"/>
        <w:rPr>
          <w:color w:val="1C1C1C"/>
          <w:sz w:val="24"/>
        </w:rPr>
      </w:pPr>
      <w:r w:rsidRPr="00771368">
        <w:rPr>
          <w:color w:val="1C1C1C"/>
          <w:sz w:val="24"/>
        </w:rPr>
        <w:t xml:space="preserve">ORGANIZAÇAO DOS ESTADOS AMERICANOS. Comissão Interamericana de Direitos Humanos. </w:t>
      </w:r>
      <w:r w:rsidRPr="00771368">
        <w:rPr>
          <w:i/>
          <w:iCs/>
          <w:color w:val="1C1C1C"/>
          <w:sz w:val="24"/>
        </w:rPr>
        <w:t xml:space="preserve">Relatório n° 54/01. </w:t>
      </w:r>
      <w:r w:rsidRPr="00771368">
        <w:rPr>
          <w:color w:val="1C1C1C"/>
          <w:sz w:val="24"/>
        </w:rPr>
        <w:t xml:space="preserve">Caso 12.051: Maria da Penha Maia Fernandes. 4 abr. 2001. </w:t>
      </w:r>
    </w:p>
    <w:p w:rsidR="00D24E61" w:rsidRPr="00771368" w:rsidRDefault="00D24E61">
      <w:pPr>
        <w:spacing w:line="100" w:lineRule="atLeast"/>
        <w:jc w:val="both"/>
        <w:rPr>
          <w:color w:val="1C1C1C"/>
          <w:sz w:val="24"/>
          <w:shd w:val="clear" w:color="auto" w:fill="FFFFFF"/>
        </w:rPr>
      </w:pPr>
      <w:r w:rsidRPr="00771368">
        <w:rPr>
          <w:color w:val="1C1C1C"/>
          <w:sz w:val="24"/>
        </w:rPr>
        <w:t>Disponível em: &lt;http://www.cidh.org/annualrep/2000port/12051.htm&gt; Acesso em: 30-08-2011.</w:t>
      </w:r>
    </w:p>
    <w:p w:rsidR="00D24E61" w:rsidRPr="00771368" w:rsidRDefault="00D24E61">
      <w:pPr>
        <w:spacing w:line="100" w:lineRule="atLeast"/>
        <w:jc w:val="both"/>
        <w:rPr>
          <w:color w:val="1C1C1C"/>
          <w:sz w:val="24"/>
        </w:rPr>
      </w:pPr>
      <w:r w:rsidRPr="00771368">
        <w:rPr>
          <w:color w:val="1C1C1C"/>
          <w:sz w:val="24"/>
          <w:shd w:val="clear" w:color="auto" w:fill="FFFFFF"/>
        </w:rPr>
        <w:t>Para aprofundamento sobre o II Plano Nacional de Políticas para as Mulheres, consultar:</w:t>
      </w:r>
    </w:p>
    <w:p w:rsidR="00D24E61" w:rsidRPr="00771368" w:rsidRDefault="00D24E61">
      <w:pPr>
        <w:spacing w:line="100" w:lineRule="atLeast"/>
        <w:jc w:val="both"/>
        <w:rPr>
          <w:color w:val="1C1C1C"/>
          <w:sz w:val="24"/>
          <w:shd w:val="clear" w:color="auto" w:fill="FFFFFF"/>
        </w:rPr>
      </w:pPr>
      <w:r w:rsidRPr="00771368">
        <w:rPr>
          <w:color w:val="1C1C1C"/>
          <w:sz w:val="24"/>
        </w:rPr>
        <w:t>&lt;http://www.conferenciadasmulheres.com.br/arquivosConferencias/PublicacaoConferencia.pdf&gt; Acesso em: 29-01-2012.</w:t>
      </w:r>
    </w:p>
    <w:p w:rsidR="00D24E61" w:rsidRPr="00771368" w:rsidRDefault="00D24E61">
      <w:pPr>
        <w:spacing w:line="100" w:lineRule="atLeast"/>
        <w:jc w:val="both"/>
        <w:rPr>
          <w:color w:val="1C1C1C"/>
          <w:sz w:val="24"/>
          <w:shd w:val="clear" w:color="auto" w:fill="FFFFFF"/>
        </w:rPr>
      </w:pPr>
      <w:r w:rsidRPr="00771368">
        <w:rPr>
          <w:color w:val="1C1C1C"/>
          <w:sz w:val="24"/>
          <w:shd w:val="clear" w:color="auto" w:fill="FFFFFF"/>
        </w:rPr>
        <w:t>Para aprofundamento sobre a mudança ocorrida na Lei Maria da Penha (dia 09-02-2012) consultar: &lt;http://www.senado.gov.br/noticias/lei-maria-da-penha-stf-decide-que-agressor-pode-ser-processado-mesmo-se-vitima-retirar-queixa.aspx&gt; Acesso em: 27-02-2012.</w:t>
      </w:r>
    </w:p>
    <w:p w:rsidR="00D24E61" w:rsidRPr="00771368" w:rsidRDefault="00D24E61">
      <w:pPr>
        <w:spacing w:line="100" w:lineRule="atLeast"/>
        <w:jc w:val="both"/>
        <w:rPr>
          <w:color w:val="1C1C1C"/>
          <w:sz w:val="24"/>
        </w:rPr>
      </w:pPr>
      <w:r w:rsidRPr="00771368">
        <w:rPr>
          <w:color w:val="1C1C1C"/>
          <w:sz w:val="24"/>
          <w:shd w:val="clear" w:color="auto" w:fill="FFFFFF"/>
        </w:rPr>
        <w:t>Para informações sobre a Comissão Interamericana dos Direitos humanos, consultar:</w:t>
      </w:r>
    </w:p>
    <w:p w:rsidR="00D24E61" w:rsidRPr="00771368" w:rsidRDefault="00D24E61">
      <w:pPr>
        <w:spacing w:line="100" w:lineRule="atLeast"/>
        <w:jc w:val="both"/>
        <w:rPr>
          <w:color w:val="1C1C1C"/>
          <w:sz w:val="24"/>
        </w:rPr>
      </w:pPr>
      <w:r w:rsidRPr="00771368">
        <w:rPr>
          <w:color w:val="1C1C1C"/>
          <w:sz w:val="24"/>
        </w:rPr>
        <w:t>&lt;http://www.cidh.org/que.port.htm&gt; Acesso em: 25-08-2011.</w:t>
      </w:r>
    </w:p>
    <w:p w:rsidR="00D24E61" w:rsidRPr="00771368" w:rsidRDefault="00D24E61">
      <w:pPr>
        <w:spacing w:line="100" w:lineRule="atLeast"/>
        <w:jc w:val="both"/>
        <w:rPr>
          <w:color w:val="1C1C1C"/>
          <w:sz w:val="24"/>
        </w:rPr>
      </w:pPr>
      <w:r w:rsidRPr="00771368">
        <w:rPr>
          <w:color w:val="1C1C1C"/>
          <w:sz w:val="24"/>
        </w:rPr>
        <w:t>Para Normas Técnicas de Padronização das DEAMs, edição atualizada 2010, consultar:</w:t>
      </w:r>
    </w:p>
    <w:p w:rsidR="00D24E61" w:rsidRPr="00771368" w:rsidRDefault="00D24E61">
      <w:pPr>
        <w:spacing w:line="100" w:lineRule="atLeast"/>
        <w:jc w:val="both"/>
        <w:rPr>
          <w:color w:val="1C1C1C"/>
          <w:sz w:val="24"/>
        </w:rPr>
      </w:pPr>
      <w:r w:rsidRPr="00771368">
        <w:rPr>
          <w:color w:val="1C1C1C"/>
          <w:sz w:val="24"/>
        </w:rPr>
        <w:t>&lt;http://www.observatoriodegenero.gov.br/menu/noticias/lancada-norma-tecnica-de-padronizacao-das-delegacias-especializadas-de-atendimento-a-mulher/&gt; Acesso em: 08-02-2012.</w:t>
      </w:r>
    </w:p>
    <w:p w:rsidR="00D24E61" w:rsidRPr="00771368" w:rsidRDefault="00D24E61">
      <w:pPr>
        <w:spacing w:line="100" w:lineRule="atLeast"/>
        <w:jc w:val="both"/>
        <w:rPr>
          <w:color w:val="1C1C1C"/>
          <w:sz w:val="24"/>
        </w:rPr>
      </w:pPr>
      <w:r w:rsidRPr="00771368">
        <w:rPr>
          <w:color w:val="1C1C1C"/>
          <w:sz w:val="24"/>
        </w:rPr>
        <w:t>Para notícia do afastamento do juiz acusado de preconceito contra a Lei Maria da Penha, consultar:</w:t>
      </w:r>
    </w:p>
    <w:p w:rsidR="00D24E61" w:rsidRPr="00771368" w:rsidRDefault="00D24E61">
      <w:pPr>
        <w:jc w:val="both"/>
      </w:pPr>
      <w:r w:rsidRPr="00771368">
        <w:rPr>
          <w:color w:val="1C1C1C"/>
          <w:sz w:val="24"/>
        </w:rPr>
        <w:t>&lt;http://www.sepm.gov.br/noticias/ultimas_noticias/2010/11/cnj-afasta-juiz-por-preconceito-contra-a-lei-maria-da-penha &gt; Acesso em: 05-07-2011.</w:t>
      </w:r>
    </w:p>
    <w:p w:rsidR="00D24E61" w:rsidRPr="00771368" w:rsidRDefault="00D24E61">
      <w:pPr>
        <w:spacing w:line="200" w:lineRule="exact"/>
        <w:rPr>
          <w:sz w:val="24"/>
          <w:szCs w:val="24"/>
        </w:rPr>
      </w:pPr>
    </w:p>
    <w:p w:rsidR="00D24E61" w:rsidRPr="00771368" w:rsidRDefault="00D24E61">
      <w:pPr>
        <w:spacing w:line="239" w:lineRule="exact"/>
        <w:rPr>
          <w:sz w:val="24"/>
          <w:szCs w:val="24"/>
        </w:rPr>
      </w:pPr>
    </w:p>
    <w:p w:rsidR="00D24E61" w:rsidRPr="00771368" w:rsidRDefault="00D24E61">
      <w:pPr>
        <w:ind w:left="120"/>
        <w:rPr>
          <w:sz w:val="20"/>
          <w:szCs w:val="20"/>
        </w:rPr>
      </w:pPr>
      <w:r w:rsidRPr="00771368">
        <w:rPr>
          <w:b/>
          <w:bCs/>
          <w:sz w:val="24"/>
          <w:szCs w:val="24"/>
        </w:rPr>
        <w:t>DIFERENÇAS DE GÊNERO NA GESTÃO DE EMPRESAS: PERFIL DO GÊNERO</w:t>
      </w:r>
    </w:p>
    <w:p w:rsidR="00D24E61" w:rsidRPr="00D61223" w:rsidRDefault="00D24E61">
      <w:pPr>
        <w:ind w:left="3880"/>
        <w:rPr>
          <w:sz w:val="20"/>
          <w:szCs w:val="20"/>
          <w:lang w:val="en-US"/>
        </w:rPr>
      </w:pPr>
      <w:r w:rsidRPr="00D61223">
        <w:rPr>
          <w:b/>
          <w:bCs/>
          <w:sz w:val="24"/>
          <w:szCs w:val="24"/>
          <w:lang w:val="en-US"/>
        </w:rPr>
        <w:t>FEMININO.</w:t>
      </w:r>
    </w:p>
    <w:p w:rsidR="00D24E61" w:rsidRPr="00D61223" w:rsidRDefault="00D24E61">
      <w:pPr>
        <w:spacing w:line="397" w:lineRule="exact"/>
        <w:rPr>
          <w:sz w:val="24"/>
          <w:szCs w:val="24"/>
          <w:lang w:val="en-US"/>
        </w:rPr>
      </w:pPr>
    </w:p>
    <w:p w:rsidR="00D24E61" w:rsidRPr="00D61223" w:rsidRDefault="00D24E61">
      <w:pPr>
        <w:ind w:left="2660"/>
        <w:rPr>
          <w:sz w:val="20"/>
          <w:szCs w:val="20"/>
          <w:lang w:val="en-US"/>
        </w:rPr>
      </w:pPr>
      <w:bookmarkStart w:id="67" w:name="_Toc442034756"/>
      <w:r w:rsidRPr="00D61223">
        <w:rPr>
          <w:rStyle w:val="Ttulo1Char"/>
          <w:lang w:val="en-US"/>
        </w:rPr>
        <w:t>Daiane L. Marafon</w:t>
      </w:r>
      <w:bookmarkEnd w:id="67"/>
      <w:r w:rsidRPr="00D61223">
        <w:rPr>
          <w:sz w:val="32"/>
          <w:szCs w:val="32"/>
          <w:vertAlign w:val="superscript"/>
          <w:lang w:val="en-US"/>
        </w:rPr>
        <w:t>1</w:t>
      </w:r>
      <w:r w:rsidRPr="00D61223">
        <w:rPr>
          <w:sz w:val="24"/>
          <w:szCs w:val="24"/>
          <w:lang w:val="en-US"/>
        </w:rPr>
        <w:t>, Dr. Kenny Basso</w:t>
      </w:r>
      <w:r w:rsidRPr="00D61223">
        <w:rPr>
          <w:sz w:val="32"/>
          <w:szCs w:val="32"/>
          <w:vertAlign w:val="superscript"/>
          <w:lang w:val="en-US"/>
        </w:rPr>
        <w:t>2</w:t>
      </w:r>
    </w:p>
    <w:p w:rsidR="00D24E61" w:rsidRPr="00D61223" w:rsidRDefault="00D24E61">
      <w:pPr>
        <w:spacing w:line="200" w:lineRule="exact"/>
        <w:rPr>
          <w:sz w:val="24"/>
          <w:szCs w:val="24"/>
          <w:lang w:val="en-US"/>
        </w:rPr>
      </w:pPr>
    </w:p>
    <w:p w:rsidR="00D24E61" w:rsidRPr="00D61223" w:rsidRDefault="00D24E61">
      <w:pPr>
        <w:spacing w:line="200" w:lineRule="exact"/>
        <w:rPr>
          <w:sz w:val="24"/>
          <w:szCs w:val="24"/>
          <w:lang w:val="en-US"/>
        </w:rPr>
      </w:pPr>
    </w:p>
    <w:p w:rsidR="00D24E61" w:rsidRPr="00D61223" w:rsidRDefault="00D24E61">
      <w:pPr>
        <w:spacing w:line="200" w:lineRule="exact"/>
        <w:rPr>
          <w:sz w:val="24"/>
          <w:szCs w:val="24"/>
          <w:lang w:val="en-US"/>
        </w:rPr>
      </w:pPr>
    </w:p>
    <w:p w:rsidR="00D24E61" w:rsidRPr="00D61223" w:rsidRDefault="00D24E61">
      <w:pPr>
        <w:spacing w:line="297" w:lineRule="exact"/>
        <w:rPr>
          <w:sz w:val="24"/>
          <w:szCs w:val="24"/>
          <w:lang w:val="en-US"/>
        </w:rPr>
      </w:pPr>
    </w:p>
    <w:p w:rsidR="00D24E61" w:rsidRPr="00771368" w:rsidRDefault="00D24E61">
      <w:pPr>
        <w:spacing w:line="297" w:lineRule="auto"/>
        <w:ind w:left="3360" w:right="520" w:hanging="2872"/>
        <w:rPr>
          <w:color w:val="0000FF"/>
          <w:u w:val="single"/>
        </w:rPr>
      </w:pPr>
      <w:r w:rsidRPr="00771368">
        <w:rPr>
          <w:sz w:val="27"/>
          <w:szCs w:val="27"/>
          <w:vertAlign w:val="superscript"/>
        </w:rPr>
        <w:t>1</w:t>
      </w:r>
      <w:r w:rsidRPr="00771368">
        <w:t xml:space="preserve"> Especialista em Gestão Empresarial pela Faculdade Meridional (IMED). Passo Fundo/RS. </w:t>
      </w:r>
      <w:hyperlink r:id="rId392">
        <w:r w:rsidRPr="00771368">
          <w:rPr>
            <w:color w:val="0000FF"/>
            <w:u w:val="single"/>
          </w:rPr>
          <w:t>daiane_lm@yahoo.com.br</w:t>
        </w:r>
      </w:hyperlink>
    </w:p>
    <w:p w:rsidR="00D24E61" w:rsidRPr="00771368" w:rsidRDefault="00D24E61">
      <w:pPr>
        <w:spacing w:line="61" w:lineRule="exact"/>
        <w:rPr>
          <w:sz w:val="24"/>
          <w:szCs w:val="24"/>
        </w:rPr>
      </w:pPr>
    </w:p>
    <w:p w:rsidR="00D24E61" w:rsidRPr="00771368" w:rsidRDefault="00D24E61">
      <w:pPr>
        <w:spacing w:line="297" w:lineRule="auto"/>
        <w:ind w:left="2880" w:right="1100" w:hanging="1804"/>
      </w:pPr>
      <w:r w:rsidRPr="00771368">
        <w:rPr>
          <w:sz w:val="27"/>
          <w:szCs w:val="27"/>
          <w:vertAlign w:val="superscript"/>
        </w:rPr>
        <w:t>2</w:t>
      </w:r>
      <w:r w:rsidRPr="00771368">
        <w:t xml:space="preserve"> Dr. em Administração. Professor Orientador, Faculdade Meridional (IMED). Passo Fundo/RS </w:t>
      </w:r>
      <w:hyperlink r:id="rId393">
        <w:r w:rsidRPr="00771368">
          <w:rPr>
            <w:color w:val="0000FF"/>
            <w:u w:val="single"/>
          </w:rPr>
          <w:t>kenny@imed.edu.br</w:t>
        </w:r>
      </w:hyperlink>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87" w:lineRule="exact"/>
        <w:rPr>
          <w:sz w:val="24"/>
          <w:szCs w:val="24"/>
        </w:rPr>
      </w:pPr>
    </w:p>
    <w:p w:rsidR="00D24E61" w:rsidRPr="00771368" w:rsidRDefault="00D24E61">
      <w:pPr>
        <w:rPr>
          <w:sz w:val="20"/>
          <w:szCs w:val="20"/>
        </w:rPr>
      </w:pPr>
      <w:r w:rsidRPr="00771368">
        <w:rPr>
          <w:b/>
          <w:bCs/>
          <w:sz w:val="24"/>
          <w:szCs w:val="24"/>
        </w:rPr>
        <w:t>1 Introdução</w:t>
      </w:r>
    </w:p>
    <w:p w:rsidR="00D24E61" w:rsidRPr="00771368" w:rsidRDefault="00D24E61">
      <w:pPr>
        <w:spacing w:line="200" w:lineRule="exact"/>
        <w:rPr>
          <w:sz w:val="24"/>
          <w:szCs w:val="24"/>
        </w:rPr>
      </w:pPr>
    </w:p>
    <w:p w:rsidR="00D24E61" w:rsidRPr="00771368" w:rsidRDefault="00D24E61">
      <w:pPr>
        <w:spacing w:line="347" w:lineRule="auto"/>
        <w:ind w:firstLine="708"/>
        <w:jc w:val="both"/>
        <w:rPr>
          <w:sz w:val="20"/>
          <w:szCs w:val="20"/>
        </w:rPr>
      </w:pPr>
      <w:r w:rsidRPr="00771368">
        <w:rPr>
          <w:sz w:val="24"/>
          <w:szCs w:val="24"/>
        </w:rPr>
        <w:t>O mercado de trabalho está em constante evolução, novas profissões surgem para suprir necessidades antes não percebidas. A diversidade e complexidade de empresas surgindo e exigindo profissionais cada dia mais preparados, com perfis pré-definidos, com habilidades desejadas e fluência em idiomas específicos. Esse novo profissional está disponível no mercado e é tanto homem quanto mulher.</w:t>
      </w:r>
    </w:p>
    <w:p w:rsidR="00D24E61" w:rsidRPr="00771368" w:rsidRDefault="00D24E61">
      <w:pPr>
        <w:spacing w:line="74" w:lineRule="exact"/>
        <w:rPr>
          <w:sz w:val="24"/>
          <w:szCs w:val="24"/>
        </w:rPr>
      </w:pPr>
    </w:p>
    <w:p w:rsidR="00D24E61" w:rsidRPr="00771368" w:rsidRDefault="00D24E61">
      <w:pPr>
        <w:spacing w:line="351" w:lineRule="auto"/>
        <w:ind w:firstLine="708"/>
        <w:jc w:val="both"/>
        <w:rPr>
          <w:sz w:val="20"/>
          <w:szCs w:val="20"/>
        </w:rPr>
      </w:pPr>
      <w:r w:rsidRPr="00771368">
        <w:rPr>
          <w:sz w:val="24"/>
          <w:szCs w:val="24"/>
        </w:rPr>
        <w:t>A evolução no mundo corporativo tem espaço para algumas discussões antigas, como as diferenças de gêneros feminino e masculino dentro das organizações. Com histórico de preconceito na mente das pessoas, a mulher era vista no século passado como progenitora, cuidadora do lar e do marido, submissa, com demasiada sensibilidade e inteligência rasa (FIGUEIREDO; ZANELLA, 2008). Hoje o papel dela se inverteu e as características são substituídas por guerreira, determinada, incansável mulher que batalha para conquistar cada vez mais espaço no mundo corporativo.</w:t>
      </w:r>
    </w:p>
    <w:p w:rsidR="00D24E61" w:rsidRPr="00771368" w:rsidRDefault="00D24E61">
      <w:pPr>
        <w:spacing w:line="72" w:lineRule="exact"/>
        <w:rPr>
          <w:sz w:val="24"/>
          <w:szCs w:val="24"/>
        </w:rPr>
      </w:pPr>
    </w:p>
    <w:p w:rsidR="00D24E61" w:rsidRPr="00771368" w:rsidRDefault="00D24E61">
      <w:pPr>
        <w:spacing w:line="347" w:lineRule="auto"/>
        <w:ind w:right="20" w:firstLine="708"/>
        <w:jc w:val="both"/>
        <w:rPr>
          <w:sz w:val="20"/>
          <w:szCs w:val="20"/>
        </w:rPr>
      </w:pPr>
      <w:r w:rsidRPr="00771368">
        <w:rPr>
          <w:sz w:val="24"/>
          <w:szCs w:val="24"/>
        </w:rPr>
        <w:t>Lipovetsky (2000) descreve a evolução das mulheres ao longo das décadas e as conquistas que elas obtiveram como a independência financeira, o direito ao divórcio o controle do número de filhos com a descoberta da pílula anticoncepcional, enfim, conquistaram muito além da liberdade que buscavam no início do século XX, elas ganharam a admiração e o respeito da sociedade como um todo.</w:t>
      </w:r>
    </w:p>
    <w:p w:rsidR="00D24E61" w:rsidRPr="00771368" w:rsidRDefault="00D24E61">
      <w:pPr>
        <w:spacing w:line="76" w:lineRule="exact"/>
        <w:rPr>
          <w:sz w:val="24"/>
          <w:szCs w:val="24"/>
        </w:rPr>
      </w:pPr>
    </w:p>
    <w:p w:rsidR="00D24E61" w:rsidRPr="00771368" w:rsidRDefault="00D24E61">
      <w:pPr>
        <w:spacing w:line="334" w:lineRule="auto"/>
        <w:ind w:right="20" w:firstLine="708"/>
        <w:jc w:val="both"/>
        <w:rPr>
          <w:sz w:val="20"/>
          <w:szCs w:val="20"/>
        </w:rPr>
      </w:pPr>
      <w:r w:rsidRPr="00771368">
        <w:rPr>
          <w:sz w:val="24"/>
          <w:szCs w:val="24"/>
        </w:rPr>
        <w:t>No espaço corporativo, dominado pelo sexo masculino, Lipovetsky (2000) relata que foi a partir do pós guerra que a mulher conseguiu mais espaço pois ela teve que ajudar a sustentar as famílias devastadas com a falta do homem morto em batalha. Hoje, a mulher tem</w:t>
      </w:r>
    </w:p>
    <w:p w:rsidR="00D24E61" w:rsidRPr="00771368" w:rsidRDefault="00D24E61">
      <w:pPr>
        <w:spacing w:line="308" w:lineRule="auto"/>
        <w:ind w:right="20"/>
        <w:jc w:val="both"/>
        <w:rPr>
          <w:sz w:val="20"/>
          <w:szCs w:val="20"/>
        </w:rPr>
      </w:pPr>
      <w:r w:rsidRPr="00771368">
        <w:rPr>
          <w:sz w:val="24"/>
          <w:szCs w:val="24"/>
        </w:rPr>
        <w:t>destaque em diversos setores da economia, gerindo equipes e conciliando a vida profissional com a pessoal.</w:t>
      </w:r>
    </w:p>
    <w:p w:rsidR="00D24E61" w:rsidRPr="00771368" w:rsidRDefault="00D24E61">
      <w:pPr>
        <w:spacing w:line="120" w:lineRule="exact"/>
        <w:rPr>
          <w:sz w:val="20"/>
          <w:szCs w:val="20"/>
        </w:rPr>
      </w:pPr>
    </w:p>
    <w:p w:rsidR="00D24E61" w:rsidRPr="00771368" w:rsidRDefault="00D24E61">
      <w:pPr>
        <w:spacing w:line="353" w:lineRule="auto"/>
        <w:ind w:right="20" w:firstLine="720"/>
        <w:jc w:val="both"/>
        <w:rPr>
          <w:sz w:val="20"/>
          <w:szCs w:val="20"/>
        </w:rPr>
      </w:pPr>
      <w:r w:rsidRPr="00771368">
        <w:rPr>
          <w:sz w:val="24"/>
          <w:szCs w:val="24"/>
        </w:rPr>
        <w:t xml:space="preserve">Algumas diferenças são percebidas na gestão feminina e masculina. Características marcantes da mulher são refletidas na sua maneira de gerir. Há um conflito muito forte para as mulheres com relação a estagnação de uma carreira promissora após a decisão de ser mãe. Esta decisão importante para a mulher pode ser adiada devido ao momento vivido na carreira. Vários estudos foram realizados tratando sobre o tema, mas com contextos diferentes, por exemplo Andrade </w:t>
      </w:r>
      <w:r w:rsidRPr="00771368">
        <w:rPr>
          <w:i/>
          <w:iCs/>
          <w:sz w:val="24"/>
          <w:szCs w:val="24"/>
        </w:rPr>
        <w:t>et al.</w:t>
      </w:r>
      <w:r w:rsidRPr="00771368">
        <w:rPr>
          <w:sz w:val="24"/>
          <w:szCs w:val="24"/>
        </w:rPr>
        <w:t xml:space="preserve"> (2002) delimita seu estudo para o setor bancário, Capelle </w:t>
      </w:r>
      <w:r w:rsidRPr="00771368">
        <w:rPr>
          <w:i/>
          <w:iCs/>
          <w:sz w:val="24"/>
          <w:szCs w:val="24"/>
        </w:rPr>
        <w:t>et al.</w:t>
      </w:r>
      <w:r w:rsidRPr="00771368">
        <w:rPr>
          <w:sz w:val="24"/>
          <w:szCs w:val="24"/>
        </w:rPr>
        <w:t xml:space="preserve"> (2004) frisa a relação com o poder, porém, todos os atigos abordam temas relacionados a carreira feminina dentro das organizações (KANAN, 2010; FIGUEIREDO; ZANELLA, 2008; CAPELLE </w:t>
      </w:r>
      <w:r w:rsidRPr="00771368">
        <w:rPr>
          <w:i/>
          <w:iCs/>
          <w:sz w:val="24"/>
          <w:szCs w:val="24"/>
        </w:rPr>
        <w:t>et al</w:t>
      </w:r>
      <w:r w:rsidRPr="00771368">
        <w:rPr>
          <w:sz w:val="24"/>
          <w:szCs w:val="24"/>
        </w:rPr>
        <w:t xml:space="preserve">., 2004; ANDRADE </w:t>
      </w:r>
      <w:r w:rsidRPr="00771368">
        <w:rPr>
          <w:i/>
          <w:iCs/>
          <w:sz w:val="24"/>
          <w:szCs w:val="24"/>
        </w:rPr>
        <w:t>et al</w:t>
      </w:r>
      <w:r w:rsidRPr="00771368">
        <w:rPr>
          <w:sz w:val="24"/>
          <w:szCs w:val="24"/>
        </w:rPr>
        <w:t>., 2002).</w:t>
      </w:r>
    </w:p>
    <w:p w:rsidR="00D24E61" w:rsidRPr="00771368" w:rsidRDefault="00D24E61">
      <w:pPr>
        <w:spacing w:line="72"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O principal objetivo deste estudo é analisar se as mulheres gestoras sentem diferenças de tratamento por serem do sexo feminino, como elas trabalham com isso e se, em algum momento, a sua carreira pode ser afetada por ela ser mulher.</w:t>
      </w:r>
    </w:p>
    <w:p w:rsidR="00D24E61" w:rsidRPr="00771368" w:rsidRDefault="00D24E61">
      <w:pPr>
        <w:spacing w:line="91"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Mas especificamente, busca-se verificar quais as principais características destacadas pelas gestoras mulheres, quais as diferenças apontadas pelas entrevistadas entre os gêneros e qual a principal barreira encontrada pelas mulheres para o crescimento profissional.</w:t>
      </w:r>
    </w:p>
    <w:p w:rsidR="00D24E61" w:rsidRPr="00771368" w:rsidRDefault="00D24E61">
      <w:pPr>
        <w:spacing w:line="89" w:lineRule="exact"/>
        <w:rPr>
          <w:sz w:val="20"/>
          <w:szCs w:val="20"/>
        </w:rPr>
      </w:pPr>
    </w:p>
    <w:p w:rsidR="00D24E61" w:rsidRPr="00771368" w:rsidRDefault="00D24E61">
      <w:pPr>
        <w:spacing w:line="310" w:lineRule="auto"/>
        <w:ind w:right="20" w:firstLine="708"/>
        <w:jc w:val="both"/>
        <w:rPr>
          <w:sz w:val="20"/>
          <w:szCs w:val="20"/>
        </w:rPr>
      </w:pPr>
      <w:r w:rsidRPr="00771368">
        <w:rPr>
          <w:sz w:val="24"/>
          <w:szCs w:val="24"/>
        </w:rPr>
        <w:t>A seguir será relatado a relação entre os gêneros nas organizações, e especialmente a relação com a mulher, sua evolução e crescimento profissional.</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90" w:lineRule="exact"/>
        <w:rPr>
          <w:sz w:val="20"/>
          <w:szCs w:val="20"/>
        </w:rPr>
      </w:pPr>
    </w:p>
    <w:p w:rsidR="00D24E61" w:rsidRPr="00771368" w:rsidRDefault="00D24E61">
      <w:pPr>
        <w:rPr>
          <w:sz w:val="20"/>
          <w:szCs w:val="20"/>
        </w:rPr>
      </w:pPr>
      <w:r w:rsidRPr="00771368">
        <w:rPr>
          <w:b/>
          <w:bCs/>
          <w:sz w:val="24"/>
          <w:szCs w:val="24"/>
        </w:rPr>
        <w:t>2 Relação entre os gêneros nas organizações</w:t>
      </w:r>
    </w:p>
    <w:p w:rsidR="00D61223" w:rsidRDefault="00D61223">
      <w:pPr>
        <w:spacing w:line="343" w:lineRule="auto"/>
        <w:ind w:right="20" w:firstLine="720"/>
        <w:jc w:val="both"/>
        <w:rPr>
          <w:sz w:val="24"/>
          <w:szCs w:val="24"/>
        </w:rPr>
      </w:pPr>
    </w:p>
    <w:p w:rsidR="00D24E61" w:rsidRPr="00771368" w:rsidRDefault="00D24E61">
      <w:pPr>
        <w:spacing w:line="343" w:lineRule="auto"/>
        <w:ind w:right="20" w:firstLine="720"/>
        <w:jc w:val="both"/>
        <w:rPr>
          <w:sz w:val="20"/>
          <w:szCs w:val="20"/>
        </w:rPr>
      </w:pPr>
      <w:r w:rsidRPr="00771368">
        <w:rPr>
          <w:sz w:val="24"/>
          <w:szCs w:val="24"/>
        </w:rPr>
        <w:t>Ao longo das décadas percebe-se a evolução da tecnologia, das ciências e do próprio ser humano. No mercado de trabalho a evolução mais notável é com relação aos gêneros femininos e masculinos. No cunho social a diferença entre os sexos e as profissões permanece e não parece ter fim a disputa pela igualdade.</w:t>
      </w:r>
    </w:p>
    <w:p w:rsidR="00D24E61" w:rsidRPr="00771368" w:rsidRDefault="00D24E61">
      <w:pPr>
        <w:spacing w:line="79" w:lineRule="exact"/>
        <w:rPr>
          <w:sz w:val="20"/>
          <w:szCs w:val="20"/>
        </w:rPr>
      </w:pPr>
    </w:p>
    <w:p w:rsidR="00D24E61" w:rsidRPr="00771368" w:rsidRDefault="00D24E61">
      <w:pPr>
        <w:spacing w:line="347" w:lineRule="auto"/>
        <w:ind w:firstLine="720"/>
        <w:jc w:val="both"/>
        <w:rPr>
          <w:sz w:val="20"/>
          <w:szCs w:val="20"/>
        </w:rPr>
      </w:pPr>
      <w:r w:rsidRPr="00771368">
        <w:rPr>
          <w:sz w:val="24"/>
          <w:szCs w:val="24"/>
        </w:rPr>
        <w:t xml:space="preserve">Existem vários estudos mostrando essas diferenças entre homens e mulheres dentro das organizações (SÊCA, 2011; BENEDICTO </w:t>
      </w:r>
      <w:r w:rsidRPr="00771368">
        <w:rPr>
          <w:i/>
          <w:iCs/>
          <w:sz w:val="24"/>
          <w:szCs w:val="24"/>
        </w:rPr>
        <w:t>et al.</w:t>
      </w:r>
      <w:r w:rsidRPr="00771368">
        <w:rPr>
          <w:sz w:val="24"/>
          <w:szCs w:val="24"/>
        </w:rPr>
        <w:t xml:space="preserve">, 2006; CAPPELLE </w:t>
      </w:r>
      <w:r w:rsidRPr="00771368">
        <w:rPr>
          <w:i/>
          <w:iCs/>
          <w:sz w:val="24"/>
          <w:szCs w:val="24"/>
        </w:rPr>
        <w:t>et al</w:t>
      </w:r>
      <w:r w:rsidRPr="00771368">
        <w:rPr>
          <w:sz w:val="24"/>
          <w:szCs w:val="24"/>
        </w:rPr>
        <w:t xml:space="preserve">., 2004; ANDRADE </w:t>
      </w:r>
      <w:r w:rsidRPr="00771368">
        <w:rPr>
          <w:i/>
          <w:iCs/>
          <w:sz w:val="24"/>
          <w:szCs w:val="24"/>
        </w:rPr>
        <w:t>et al</w:t>
      </w:r>
      <w:r w:rsidRPr="00771368">
        <w:rPr>
          <w:sz w:val="24"/>
          <w:szCs w:val="24"/>
        </w:rPr>
        <w:t xml:space="preserve">., 2002; STEIL, 1997). Embora historicamente a mulher tenha conquistado muito espaço no mercado de trabalho, ele ainda é pequeno e possui peculiaridades. Andrade </w:t>
      </w:r>
      <w:r w:rsidRPr="00771368">
        <w:rPr>
          <w:i/>
          <w:iCs/>
          <w:sz w:val="24"/>
          <w:szCs w:val="24"/>
        </w:rPr>
        <w:t xml:space="preserve">et al. </w:t>
      </w:r>
      <w:r w:rsidRPr="00771368">
        <w:rPr>
          <w:sz w:val="24"/>
          <w:szCs w:val="24"/>
        </w:rPr>
        <w:t>(2002, p.</w:t>
      </w:r>
      <w:r w:rsidRPr="00771368">
        <w:rPr>
          <w:i/>
          <w:iCs/>
          <w:sz w:val="24"/>
          <w:szCs w:val="24"/>
        </w:rPr>
        <w:t xml:space="preserve"> </w:t>
      </w:r>
      <w:r w:rsidRPr="00771368">
        <w:rPr>
          <w:sz w:val="24"/>
          <w:szCs w:val="24"/>
        </w:rPr>
        <w:t>5) cita em sua pesquisa que “não é o sexo o fator desencadeante das diferenças</w:t>
      </w:r>
    </w:p>
    <w:p w:rsidR="00D24E61" w:rsidRPr="00771368" w:rsidRDefault="00D24E61">
      <w:pPr>
        <w:spacing w:line="308" w:lineRule="auto"/>
        <w:ind w:right="20"/>
        <w:jc w:val="both"/>
        <w:rPr>
          <w:sz w:val="20"/>
          <w:szCs w:val="20"/>
        </w:rPr>
      </w:pPr>
      <w:r w:rsidRPr="00771368">
        <w:rPr>
          <w:sz w:val="24"/>
          <w:szCs w:val="24"/>
        </w:rPr>
        <w:t>[...] e sim o significado socialmente construído de ser homem e de ser mulher”. Ou seja, o fator biológico não determina as diferenças e sim o comportamento social.</w:t>
      </w:r>
    </w:p>
    <w:p w:rsidR="00D24E61" w:rsidRPr="00771368" w:rsidRDefault="00D24E61">
      <w:pPr>
        <w:spacing w:line="120" w:lineRule="exact"/>
        <w:rPr>
          <w:sz w:val="20"/>
          <w:szCs w:val="20"/>
        </w:rPr>
      </w:pPr>
    </w:p>
    <w:p w:rsidR="00D24E61" w:rsidRPr="00771368" w:rsidRDefault="00D24E61">
      <w:pPr>
        <w:spacing w:line="351" w:lineRule="auto"/>
        <w:ind w:firstLine="720"/>
        <w:jc w:val="both"/>
        <w:rPr>
          <w:sz w:val="20"/>
          <w:szCs w:val="20"/>
        </w:rPr>
      </w:pPr>
      <w:r w:rsidRPr="00771368">
        <w:rPr>
          <w:sz w:val="24"/>
          <w:szCs w:val="24"/>
        </w:rPr>
        <w:t xml:space="preserve">Percebe-se na reflexão de Andrade </w:t>
      </w:r>
      <w:r w:rsidRPr="00771368">
        <w:rPr>
          <w:i/>
          <w:iCs/>
          <w:sz w:val="24"/>
          <w:szCs w:val="24"/>
        </w:rPr>
        <w:t>et al</w:t>
      </w:r>
      <w:r w:rsidRPr="00771368">
        <w:rPr>
          <w:sz w:val="24"/>
          <w:szCs w:val="24"/>
        </w:rPr>
        <w:t xml:space="preserve">. (2002) e em diversos estudos (SÊCA, 2011; KANAN, 2010; BENEDICTO </w:t>
      </w:r>
      <w:r w:rsidRPr="00771368">
        <w:rPr>
          <w:i/>
          <w:iCs/>
          <w:sz w:val="24"/>
          <w:szCs w:val="24"/>
        </w:rPr>
        <w:t>et al.</w:t>
      </w:r>
      <w:r w:rsidRPr="00771368">
        <w:rPr>
          <w:sz w:val="24"/>
          <w:szCs w:val="24"/>
        </w:rPr>
        <w:t xml:space="preserve">, 2006; STEIL, 1997) que é a sociedade que dita o que deve ou não ser feito ou seguido. Na visão dos autores Steil (1997), Benedicto </w:t>
      </w:r>
      <w:r w:rsidRPr="00771368">
        <w:rPr>
          <w:i/>
          <w:iCs/>
          <w:sz w:val="24"/>
          <w:szCs w:val="24"/>
        </w:rPr>
        <w:t>et al.</w:t>
      </w:r>
      <w:r w:rsidRPr="00771368">
        <w:rPr>
          <w:sz w:val="24"/>
          <w:szCs w:val="24"/>
        </w:rPr>
        <w:t xml:space="preserve"> (2006), Kanan (2010), Sêca (2011), existem funções e atividades classificadas como masculinas e femininas e para a população como um todo, os homens devem trabalhar fora e são os provedores da riqueza, a eles cabe a produção, o sustento da família e às mulheres cabem os trabalhos domésticos, invisíveis e a reprodução humana.</w:t>
      </w:r>
    </w:p>
    <w:p w:rsidR="00D24E61" w:rsidRPr="00771368" w:rsidRDefault="00D24E61">
      <w:pPr>
        <w:spacing w:line="72" w:lineRule="exact"/>
        <w:rPr>
          <w:sz w:val="20"/>
          <w:szCs w:val="20"/>
        </w:rPr>
      </w:pPr>
    </w:p>
    <w:p w:rsidR="00D24E61" w:rsidRPr="00771368" w:rsidRDefault="00D24E61">
      <w:pPr>
        <w:spacing w:line="347" w:lineRule="auto"/>
        <w:ind w:right="20" w:firstLine="720"/>
        <w:jc w:val="both"/>
        <w:rPr>
          <w:sz w:val="20"/>
          <w:szCs w:val="20"/>
        </w:rPr>
      </w:pPr>
      <w:r w:rsidRPr="00771368">
        <w:rPr>
          <w:sz w:val="24"/>
          <w:szCs w:val="24"/>
        </w:rPr>
        <w:t>Sêca (2011) destaca que essa postura é aceita por muitos, inclusive pelas mulheres, que concordam que certos trabalhos devem ser feitos por homens. A mulher, mesmo com a conquista de um pequeno espaço no mercado masculino de trabalho, aceita a dupla jornada, ou seja, ela trabalha oito horas remuneradas nas empresas e em casa nas demais dezesseis, sem remuneração (SÊCA, 2011).</w:t>
      </w:r>
    </w:p>
    <w:p w:rsidR="00D24E61" w:rsidRPr="00771368" w:rsidRDefault="00D24E61">
      <w:pPr>
        <w:spacing w:line="76" w:lineRule="exact"/>
        <w:rPr>
          <w:sz w:val="20"/>
          <w:szCs w:val="20"/>
        </w:rPr>
      </w:pPr>
    </w:p>
    <w:p w:rsidR="00D24E61" w:rsidRPr="00771368" w:rsidRDefault="00D24E61">
      <w:pPr>
        <w:spacing w:line="342" w:lineRule="auto"/>
        <w:ind w:right="20" w:firstLine="720"/>
        <w:jc w:val="both"/>
        <w:rPr>
          <w:sz w:val="20"/>
          <w:szCs w:val="20"/>
        </w:rPr>
      </w:pPr>
      <w:r w:rsidRPr="00771368">
        <w:rPr>
          <w:sz w:val="24"/>
          <w:szCs w:val="24"/>
        </w:rPr>
        <w:t>Steil (1997) afirma que relacionando cargos ocupados por homens e mulheres, para elas o salário geralmente é menor e com menos perspectivas de promoção. A estrutura do cargo é modificada quando ele é ocupado pelo sexo feminino e quando a função é de supervisão, o escopo de autoridade é reduzido (STEIL, 1997).</w:t>
      </w:r>
    </w:p>
    <w:p w:rsidR="00D24E61" w:rsidRPr="00771368" w:rsidRDefault="00D24E61">
      <w:pPr>
        <w:spacing w:line="83" w:lineRule="exact"/>
        <w:rPr>
          <w:sz w:val="20"/>
          <w:szCs w:val="20"/>
        </w:rPr>
      </w:pPr>
    </w:p>
    <w:p w:rsidR="00D24E61" w:rsidRPr="00771368" w:rsidRDefault="00D24E61">
      <w:pPr>
        <w:spacing w:line="354" w:lineRule="auto"/>
        <w:ind w:firstLine="720"/>
        <w:jc w:val="both"/>
        <w:rPr>
          <w:sz w:val="20"/>
          <w:szCs w:val="20"/>
        </w:rPr>
      </w:pPr>
      <w:r w:rsidRPr="00771368">
        <w:rPr>
          <w:sz w:val="24"/>
          <w:szCs w:val="24"/>
        </w:rPr>
        <w:t xml:space="preserve">Concordando com o pensamento de Steil (1997), Sêca (2011) afirma que a divisão de funções no mercado não está relacionada com a escolaridade, com o avanço tecnológico ou com a situação social da mulher. A divisão de funções pode ser classificada pela cultura. Culturalmente a mulher é vista com melhor desempenho em funções que destaquem suas características de paciência, delicadeza, amabilidade e que possuam menor grau de responsabilidade, são assim selecionadas para funções de atendimento (SÊCA, 2011; CAPPELLE </w:t>
      </w:r>
      <w:r w:rsidRPr="00771368">
        <w:rPr>
          <w:i/>
          <w:iCs/>
          <w:sz w:val="24"/>
          <w:szCs w:val="24"/>
        </w:rPr>
        <w:t>et al</w:t>
      </w:r>
      <w:r w:rsidRPr="00771368">
        <w:rPr>
          <w:sz w:val="24"/>
          <w:szCs w:val="24"/>
        </w:rPr>
        <w:t>., 2004). Isto pode ser observado na pesquisa realizada por Grzybovski (2002) onde na análise de empresas familiares gaúchas as mulheres das famílias empreendedoras, mesmo como sócias, em parte das empresas estudadas, desempenhavam papéis de auxiliares e assistentes apenas, deixando os cargos de direção para outros.</w:t>
      </w:r>
    </w:p>
    <w:p w:rsidR="00D24E61" w:rsidRPr="00771368" w:rsidRDefault="00D24E61">
      <w:pPr>
        <w:spacing w:line="68" w:lineRule="exact"/>
        <w:rPr>
          <w:sz w:val="20"/>
          <w:szCs w:val="20"/>
        </w:rPr>
      </w:pPr>
    </w:p>
    <w:p w:rsidR="00D24E61" w:rsidRPr="00771368" w:rsidRDefault="00D24E61" w:rsidP="00D61223">
      <w:pPr>
        <w:spacing w:line="350" w:lineRule="auto"/>
        <w:ind w:firstLine="720"/>
        <w:jc w:val="both"/>
        <w:rPr>
          <w:sz w:val="20"/>
          <w:szCs w:val="20"/>
        </w:rPr>
      </w:pPr>
      <w:r w:rsidRPr="00771368">
        <w:rPr>
          <w:sz w:val="24"/>
          <w:szCs w:val="24"/>
        </w:rPr>
        <w:t xml:space="preserve">O trabalho feminino merece destaque, de acordo com Benedicto </w:t>
      </w:r>
      <w:r w:rsidRPr="00771368">
        <w:rPr>
          <w:i/>
          <w:iCs/>
          <w:sz w:val="24"/>
          <w:szCs w:val="24"/>
        </w:rPr>
        <w:t>et al.</w:t>
      </w:r>
      <w:r w:rsidRPr="00771368">
        <w:rPr>
          <w:sz w:val="24"/>
          <w:szCs w:val="24"/>
        </w:rPr>
        <w:t xml:space="preserve"> (2006), principalmente pelo senso de responsabilidade e a qualidade do serviço, além das relações interpessoais que acabam produzindo um maior índice de satisfação dos envolvidos no processo de trabalho. Porém, Oliveira e Dalfior (2000 </w:t>
      </w:r>
      <w:r w:rsidRPr="00771368">
        <w:rPr>
          <w:i/>
          <w:iCs/>
          <w:sz w:val="24"/>
          <w:szCs w:val="24"/>
        </w:rPr>
        <w:t>apud</w:t>
      </w:r>
      <w:r w:rsidRPr="00771368">
        <w:rPr>
          <w:sz w:val="24"/>
          <w:szCs w:val="24"/>
        </w:rPr>
        <w:t xml:space="preserve"> BENEDICTO </w:t>
      </w:r>
      <w:r w:rsidRPr="00771368">
        <w:rPr>
          <w:i/>
          <w:iCs/>
          <w:sz w:val="24"/>
          <w:szCs w:val="24"/>
        </w:rPr>
        <w:t>et al.,</w:t>
      </w:r>
      <w:r w:rsidRPr="00771368">
        <w:rPr>
          <w:sz w:val="24"/>
          <w:szCs w:val="24"/>
        </w:rPr>
        <w:t xml:space="preserve"> 2006) afirmavam que no Brasil no ano de 2000 as mulheres já ocupavam mais de 50% de cargos públicos, em contrapartida, elas detinham apenas 13% dos cargos de responsabilidade.</w:t>
      </w:r>
    </w:p>
    <w:p w:rsidR="00D24E61" w:rsidRPr="00771368" w:rsidRDefault="00D24E61">
      <w:pPr>
        <w:spacing w:line="334" w:lineRule="auto"/>
        <w:ind w:right="20"/>
        <w:jc w:val="both"/>
        <w:rPr>
          <w:sz w:val="20"/>
          <w:szCs w:val="20"/>
        </w:rPr>
      </w:pPr>
      <w:r w:rsidRPr="00771368">
        <w:rPr>
          <w:sz w:val="24"/>
          <w:szCs w:val="24"/>
        </w:rPr>
        <w:t xml:space="preserve">Benedicto </w:t>
      </w:r>
      <w:r w:rsidRPr="00771368">
        <w:rPr>
          <w:i/>
          <w:iCs/>
          <w:sz w:val="24"/>
          <w:szCs w:val="24"/>
        </w:rPr>
        <w:t>et al.</w:t>
      </w:r>
      <w:r w:rsidRPr="00771368">
        <w:rPr>
          <w:sz w:val="24"/>
          <w:szCs w:val="24"/>
        </w:rPr>
        <w:t xml:space="preserve"> (2006, p. 7) ainda destaca que “apesar de receberem elogios pela qualidade dos serviços prestados às organizações, os trabalhos femininos geralmente são aqueles enfadonhos aos homens”.</w:t>
      </w:r>
    </w:p>
    <w:p w:rsidR="00D24E61" w:rsidRPr="00771368" w:rsidRDefault="00D24E61">
      <w:pPr>
        <w:spacing w:line="89" w:lineRule="exact"/>
        <w:rPr>
          <w:sz w:val="20"/>
          <w:szCs w:val="20"/>
        </w:rPr>
      </w:pPr>
    </w:p>
    <w:p w:rsidR="00D24E61" w:rsidRPr="00771368" w:rsidRDefault="00D24E61">
      <w:pPr>
        <w:spacing w:line="310" w:lineRule="auto"/>
        <w:ind w:right="20" w:firstLine="708"/>
        <w:jc w:val="both"/>
        <w:rPr>
          <w:sz w:val="20"/>
          <w:szCs w:val="20"/>
        </w:rPr>
      </w:pPr>
      <w:r w:rsidRPr="00771368">
        <w:rPr>
          <w:sz w:val="24"/>
          <w:szCs w:val="24"/>
        </w:rPr>
        <w:t>Em artigo publicado na década de 1990, Steil (1997) apresentava o fenômeno conhecido como “teto de vidro”. Esse fenômeno que iniciou na década de 1980 nos Estados</w:t>
      </w:r>
    </w:p>
    <w:p w:rsidR="00D24E61" w:rsidRPr="00771368" w:rsidRDefault="00D24E61">
      <w:pPr>
        <w:spacing w:line="115" w:lineRule="exact"/>
        <w:rPr>
          <w:sz w:val="20"/>
          <w:szCs w:val="20"/>
        </w:rPr>
      </w:pPr>
    </w:p>
    <w:p w:rsidR="00D24E61" w:rsidRPr="00771368" w:rsidRDefault="00D24E61">
      <w:pPr>
        <w:spacing w:line="350" w:lineRule="auto"/>
        <w:jc w:val="both"/>
        <w:rPr>
          <w:sz w:val="20"/>
          <w:szCs w:val="20"/>
        </w:rPr>
      </w:pPr>
      <w:r w:rsidRPr="00771368">
        <w:rPr>
          <w:sz w:val="24"/>
          <w:szCs w:val="24"/>
        </w:rPr>
        <w:t>Unidos descreve uma barreira sutil, transparente, que justificaria o porquê das mulheres ficarem impossibilitadas de ocuparem cargos com níveis mais altos na hierarquia organizacional (STEIL, 1997). Segundo a descrição da autora, embora invisível, a barreira é forte o suficiente para impedir tal crescimento e ela bloqueia o crescimento da mulher exclusivamente por ser do gênero feminino e não por incompetência de ocupar o cargo na hierarquia organizacional (STEIL, 1997).</w:t>
      </w:r>
    </w:p>
    <w:p w:rsidR="00D24E61" w:rsidRPr="00771368" w:rsidRDefault="00D24E61">
      <w:pPr>
        <w:spacing w:line="70" w:lineRule="exact"/>
        <w:rPr>
          <w:sz w:val="20"/>
          <w:szCs w:val="20"/>
        </w:rPr>
      </w:pPr>
    </w:p>
    <w:p w:rsidR="00D24E61" w:rsidRPr="00771368" w:rsidRDefault="00D24E61">
      <w:pPr>
        <w:spacing w:line="354" w:lineRule="auto"/>
        <w:ind w:firstLine="720"/>
        <w:jc w:val="both"/>
        <w:rPr>
          <w:sz w:val="20"/>
          <w:szCs w:val="20"/>
        </w:rPr>
      </w:pPr>
      <w:r w:rsidRPr="00771368">
        <w:rPr>
          <w:sz w:val="24"/>
          <w:szCs w:val="24"/>
        </w:rPr>
        <w:t xml:space="preserve">O sexo masculino domina os cargos de direção enquanto mulheres ganham destaque geralmente em cargos medianos, como gerência e supervisão. Para a professora Maria Otília Bocchini (2001 </w:t>
      </w:r>
      <w:r w:rsidRPr="00771368">
        <w:rPr>
          <w:i/>
          <w:iCs/>
          <w:sz w:val="24"/>
          <w:szCs w:val="24"/>
        </w:rPr>
        <w:t>apud</w:t>
      </w:r>
      <w:r w:rsidRPr="00771368">
        <w:rPr>
          <w:sz w:val="24"/>
          <w:szCs w:val="24"/>
        </w:rPr>
        <w:t xml:space="preserve"> SÊCA, 2011, p. 4) desde o ensino primário a divisão de tarefas e de profissões é ensinada aos alunos. Segundo Bocchini (2001 </w:t>
      </w:r>
      <w:r w:rsidRPr="00771368">
        <w:rPr>
          <w:i/>
          <w:iCs/>
          <w:sz w:val="24"/>
          <w:szCs w:val="24"/>
        </w:rPr>
        <w:t>apud</w:t>
      </w:r>
      <w:r w:rsidRPr="00771368">
        <w:rPr>
          <w:sz w:val="24"/>
          <w:szCs w:val="24"/>
        </w:rPr>
        <w:t xml:space="preserve"> SÊCA, 2011, p. 4) existe preconceito contra a mulher explicitamente divulgado nos livros do 1º ao 4º ano do ensino fundamental. A professora cita a coleção que obteve a melhor classificação entre os livros para esta faixa etária no ano de 2001 intitulada “Descobrindo o ambiente”. De acordo com a estudiosa as meninas não representam 30% das figuras humanas, já os meninos aparecem como protagonistas, fazendo experiências, usando instrumentos especializados enquanto as meninas aparecem apenas ajudando” (BOCCHINI, 2001 </w:t>
      </w:r>
      <w:r w:rsidRPr="00771368">
        <w:rPr>
          <w:i/>
          <w:iCs/>
          <w:sz w:val="24"/>
          <w:szCs w:val="24"/>
        </w:rPr>
        <w:t>apud</w:t>
      </w:r>
      <w:r w:rsidRPr="00771368">
        <w:rPr>
          <w:sz w:val="24"/>
          <w:szCs w:val="24"/>
        </w:rPr>
        <w:t xml:space="preserve"> SÊCA, 2011, p. 4).</w:t>
      </w:r>
    </w:p>
    <w:p w:rsidR="00D24E61" w:rsidRPr="00771368" w:rsidRDefault="00D24E61">
      <w:pPr>
        <w:spacing w:line="70" w:lineRule="exact"/>
        <w:rPr>
          <w:sz w:val="20"/>
          <w:szCs w:val="20"/>
        </w:rPr>
      </w:pPr>
    </w:p>
    <w:p w:rsidR="00D24E61" w:rsidRPr="00771368" w:rsidRDefault="00D24E61">
      <w:pPr>
        <w:spacing w:line="349" w:lineRule="auto"/>
        <w:ind w:right="20" w:firstLine="720"/>
        <w:jc w:val="both"/>
        <w:rPr>
          <w:sz w:val="20"/>
          <w:szCs w:val="20"/>
        </w:rPr>
      </w:pPr>
      <w:r w:rsidRPr="00771368">
        <w:rPr>
          <w:sz w:val="24"/>
          <w:szCs w:val="24"/>
        </w:rPr>
        <w:t>A partir do relato percebe-se preconceito desde o início da educação feminina e as mulheres recebem tratamentos e ensinamentos diferentes dos homens. Na mesma linha de pesquisa, Sêca (2011) destaca que na década de 1980 as instituições que ofereciam cursos profissionalizantes como SESC (Serviço Social do Comércio) e SENAC (Serviço Nacional de Aprendizagem Comercial) não permitiam a participação de mulheres em cursos como de mecânico e eletricista, por serem consideradas profissões masculinas.</w:t>
      </w:r>
    </w:p>
    <w:p w:rsidR="00D24E61" w:rsidRPr="00771368" w:rsidRDefault="00D24E61">
      <w:pPr>
        <w:spacing w:line="77" w:lineRule="exact"/>
        <w:rPr>
          <w:sz w:val="20"/>
          <w:szCs w:val="20"/>
        </w:rPr>
      </w:pPr>
    </w:p>
    <w:p w:rsidR="00D24E61" w:rsidRPr="00771368" w:rsidRDefault="00D24E61">
      <w:pPr>
        <w:spacing w:line="349" w:lineRule="auto"/>
        <w:ind w:firstLine="720"/>
        <w:jc w:val="both"/>
        <w:rPr>
          <w:sz w:val="20"/>
          <w:szCs w:val="20"/>
        </w:rPr>
      </w:pPr>
      <w:r w:rsidRPr="00771368">
        <w:rPr>
          <w:sz w:val="24"/>
          <w:szCs w:val="24"/>
        </w:rPr>
        <w:t xml:space="preserve">É de conhecimento de todos que existem diferenças de comportamento entre os gêneros. Diversos estudos detacam estas diferenças, como Melnyck </w:t>
      </w:r>
      <w:r w:rsidRPr="00771368">
        <w:rPr>
          <w:i/>
          <w:iCs/>
          <w:sz w:val="24"/>
          <w:szCs w:val="24"/>
        </w:rPr>
        <w:t>et al</w:t>
      </w:r>
      <w:r w:rsidRPr="00771368">
        <w:rPr>
          <w:sz w:val="24"/>
          <w:szCs w:val="24"/>
        </w:rPr>
        <w:t xml:space="preserve">. (2009) que afirma que homens e mulheres são diferentes consumidores e possuem graus de confiança diferentes, para Graham </w:t>
      </w:r>
      <w:r w:rsidRPr="00771368">
        <w:rPr>
          <w:i/>
          <w:iCs/>
          <w:sz w:val="24"/>
          <w:szCs w:val="24"/>
        </w:rPr>
        <w:t>et al</w:t>
      </w:r>
      <w:r w:rsidRPr="00771368">
        <w:rPr>
          <w:sz w:val="24"/>
          <w:szCs w:val="24"/>
        </w:rPr>
        <w:t>. (2002) há diferenças perceptíveis no meio financeiro e mercado de ações, para ele os investimentos feitos por homens são mais arriscados e as mulheres optam por investimentos mais seguros.</w:t>
      </w:r>
    </w:p>
    <w:p w:rsidR="00D24E61" w:rsidRPr="00771368" w:rsidRDefault="00D24E61">
      <w:pPr>
        <w:spacing w:line="334" w:lineRule="auto"/>
        <w:ind w:right="20" w:firstLine="720"/>
        <w:jc w:val="both"/>
        <w:rPr>
          <w:sz w:val="20"/>
          <w:szCs w:val="20"/>
        </w:rPr>
      </w:pPr>
      <w:r w:rsidRPr="00771368">
        <w:rPr>
          <w:sz w:val="24"/>
          <w:szCs w:val="24"/>
        </w:rPr>
        <w:t>A partir destes relatos, nota-se as diferenças ainda existentes nos perfis femininos e masculinos, tanto no meio organizacional quando na sociedade como um todo. A seguir será abordado pontos específicos sobre a mulher dentro das organizações.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64" w:lineRule="exact"/>
        <w:rPr>
          <w:sz w:val="20"/>
          <w:szCs w:val="20"/>
        </w:rPr>
      </w:pPr>
    </w:p>
    <w:p w:rsidR="00D24E61" w:rsidRPr="00771368" w:rsidRDefault="00D24E61">
      <w:pPr>
        <w:rPr>
          <w:sz w:val="20"/>
          <w:szCs w:val="20"/>
        </w:rPr>
      </w:pPr>
      <w:r w:rsidRPr="00771368">
        <w:rPr>
          <w:b/>
          <w:bCs/>
          <w:sz w:val="24"/>
          <w:szCs w:val="24"/>
        </w:rPr>
        <w:t>3 O papel da mulher nas organizações</w:t>
      </w:r>
    </w:p>
    <w:p w:rsidR="00D24E61" w:rsidRPr="00771368" w:rsidRDefault="00D24E61">
      <w:pPr>
        <w:spacing w:line="200" w:lineRule="exact"/>
        <w:rPr>
          <w:sz w:val="20"/>
          <w:szCs w:val="20"/>
        </w:rPr>
      </w:pPr>
    </w:p>
    <w:p w:rsidR="00D24E61" w:rsidRPr="00771368" w:rsidRDefault="00D24E61">
      <w:pPr>
        <w:spacing w:line="342" w:lineRule="auto"/>
        <w:ind w:right="20" w:firstLine="720"/>
        <w:jc w:val="both"/>
        <w:rPr>
          <w:sz w:val="20"/>
          <w:szCs w:val="20"/>
        </w:rPr>
      </w:pPr>
      <w:r w:rsidRPr="00771368">
        <w:rPr>
          <w:sz w:val="24"/>
          <w:szCs w:val="24"/>
        </w:rPr>
        <w:t>A mulher conquistou grande espaço no mercado de trabalho. Hoje existem grandes executivas e no Brasil até a Presidente da República é mulher. É notável a evolução que a sociedade obteve ao longo dos anos. A antiga auxiliar é diretora e comanda equipes genuinamente masculinas.</w:t>
      </w:r>
    </w:p>
    <w:p w:rsidR="00D24E61" w:rsidRPr="00771368" w:rsidRDefault="00D24E61">
      <w:pPr>
        <w:spacing w:line="84" w:lineRule="exact"/>
        <w:rPr>
          <w:sz w:val="20"/>
          <w:szCs w:val="20"/>
        </w:rPr>
      </w:pPr>
    </w:p>
    <w:p w:rsidR="00D24E61" w:rsidRPr="00771368" w:rsidRDefault="00D24E61">
      <w:pPr>
        <w:spacing w:line="351" w:lineRule="auto"/>
        <w:ind w:right="20" w:firstLine="720"/>
        <w:jc w:val="both"/>
        <w:rPr>
          <w:sz w:val="20"/>
          <w:szCs w:val="20"/>
        </w:rPr>
      </w:pPr>
      <w:r w:rsidRPr="00771368">
        <w:rPr>
          <w:sz w:val="24"/>
          <w:szCs w:val="24"/>
        </w:rPr>
        <w:t>Para entender este contexto atual deve-se compreender inicialmente que a mulher sempre trabalhou. Na sociedade pré industrial todos os membros da família trabalhavam e a mulher ajudava nas tarefas domésticas, além de auxiliar o pai nas tarefas agrícolas, quando solteira (LIPOVETSKY, 2000). Após o casamento, quando viviam no campo eram as responsáveis pelo tratamento dos animais e da horta, quando moravam na cidade as esposas de artesãos, por exemplo, auxiliavam os maridos na preparação e acabamento dos produtos (KANAN, 2010; LIPOVETSKY, 2000).</w:t>
      </w:r>
    </w:p>
    <w:p w:rsidR="00D24E61" w:rsidRPr="00771368" w:rsidRDefault="00D24E61">
      <w:pPr>
        <w:spacing w:line="72" w:lineRule="exact"/>
        <w:rPr>
          <w:sz w:val="20"/>
          <w:szCs w:val="20"/>
        </w:rPr>
      </w:pPr>
    </w:p>
    <w:p w:rsidR="00D24E61" w:rsidRPr="00771368" w:rsidRDefault="00D24E61">
      <w:pPr>
        <w:spacing w:line="347" w:lineRule="auto"/>
        <w:ind w:right="20" w:firstLine="720"/>
        <w:jc w:val="both"/>
        <w:rPr>
          <w:sz w:val="20"/>
          <w:szCs w:val="20"/>
        </w:rPr>
      </w:pPr>
      <w:r w:rsidRPr="00771368">
        <w:rPr>
          <w:sz w:val="24"/>
          <w:szCs w:val="24"/>
        </w:rPr>
        <w:t>Lipovetsky (2000) explica que com o passar dos anos, a mulher percebeu que poderia receber salário e a partir do século XIX com a industrialização ela foi beneficiada com a disponibilidade de empregos. O mesmo autor completa que na França em 1906 quase 40% das mulheres ativas trabalhavam em casa, outras 17% eram empregadas domésticas e mais de 20% trabalhavam como operárias (LIPOVETSKY, 2000).</w:t>
      </w:r>
    </w:p>
    <w:p w:rsidR="00D24E61" w:rsidRPr="00771368" w:rsidRDefault="00D24E61">
      <w:pPr>
        <w:spacing w:line="74" w:lineRule="exact"/>
        <w:rPr>
          <w:sz w:val="20"/>
          <w:szCs w:val="20"/>
        </w:rPr>
      </w:pPr>
    </w:p>
    <w:p w:rsidR="00D24E61" w:rsidRPr="00771368" w:rsidRDefault="00D24E61" w:rsidP="00D61223">
      <w:pPr>
        <w:spacing w:line="354" w:lineRule="auto"/>
        <w:ind w:right="20" w:firstLine="720"/>
        <w:jc w:val="both"/>
        <w:rPr>
          <w:sz w:val="20"/>
          <w:szCs w:val="20"/>
        </w:rPr>
      </w:pPr>
      <w:r w:rsidRPr="00771368">
        <w:rPr>
          <w:sz w:val="24"/>
          <w:szCs w:val="24"/>
        </w:rPr>
        <w:t>A mulher conquistou significativas batalhas ao longo da história com merecido destaque para o crescimento do emprego formal, a busca pela igualdade e direitos, passou a decidir quantos filhos teria após a descoberta da pílula anticoncepcional, ter direito a voto, possibilidade de dissolver o vínculo matrimonial e a criação de leis que a amparassem judicialmente (LIPOVETSKY, 2000). Mesmo com essa constante evolução, as mulheres trabalhadoras da classe operária do século XIX ainda ouviam associações com apelo sexual para as trabalhadoras das fábricas, além de relações com classes sociais onde a burguesia da época via mulheres assalariadas como sinal de pobreza (KANAN, 2010; LIPOVETSKY, 2000). Kanan (2010) relata o fato, com dados narrados na literatura da época, que no dia 08 de março de 1908, cento e cinquenta mulheres foram queimadas dentro da fábrica onde</w:t>
      </w:r>
      <w:r w:rsidR="00D61223">
        <w:rPr>
          <w:sz w:val="24"/>
          <w:szCs w:val="24"/>
        </w:rPr>
        <w:t xml:space="preserve"> </w:t>
      </w:r>
      <w:r w:rsidRPr="00771368">
        <w:rPr>
          <w:sz w:val="24"/>
          <w:szCs w:val="24"/>
        </w:rPr>
        <w:t>trabalhavam pois estavam reinvindicando melhores salários e redução na jornada de trabalho. O fato teve repercussão e a data é lembrada como dia internacional da mulher.</w:t>
      </w:r>
    </w:p>
    <w:p w:rsidR="00D24E61" w:rsidRPr="00771368" w:rsidRDefault="00D24E61">
      <w:pPr>
        <w:spacing w:line="120" w:lineRule="exact"/>
        <w:rPr>
          <w:sz w:val="20"/>
          <w:szCs w:val="20"/>
        </w:rPr>
      </w:pPr>
    </w:p>
    <w:p w:rsidR="00D24E61" w:rsidRPr="00771368" w:rsidRDefault="00D24E61">
      <w:pPr>
        <w:spacing w:line="355" w:lineRule="auto"/>
        <w:ind w:firstLine="720"/>
        <w:jc w:val="both"/>
        <w:rPr>
          <w:sz w:val="20"/>
          <w:szCs w:val="20"/>
        </w:rPr>
      </w:pPr>
      <w:r w:rsidRPr="00771368">
        <w:rPr>
          <w:sz w:val="24"/>
          <w:szCs w:val="24"/>
        </w:rPr>
        <w:t>O trabalho das mulheres em turno integral era visto como temporário na época, pois ela viria a abandoná-lo para cuidar dos filhos ou dos afazeres domésticos (LIPOVETSKY, 2000). Hoje a relação de abandono não existe no mesmo teor, embora muitas mulheres adiam o momento de serem mães por medo de não retornarem ao trabalho. Acredita-se também que algumas empresas não contratam ou promovem mulheres para que não as percam pelo período de licença maternidade ou após. Steil no estudo realizado em 1997 já afirmava que a barreira imposta as mulheres nem sempre é intencional e que a tendência que homens possuem de escolher para uma função gerencial alguém do mesmo sexo é comum. Steil (1997) destaca que as mulheres são muito envolvidas com a empresa e por isso são reconhecidas pelos gestores, no entanto, em segredo, eles preocupam-se com o investimento financeiro dispensado para treinar uma mulher para depois vê-la casar-se, ter filhos e deixar a empresa. Fato este que raramente acontece com homens.</w:t>
      </w:r>
    </w:p>
    <w:p w:rsidR="00D24E61" w:rsidRPr="00771368" w:rsidRDefault="00D24E61">
      <w:pPr>
        <w:spacing w:line="70" w:lineRule="exact"/>
        <w:rPr>
          <w:sz w:val="20"/>
          <w:szCs w:val="20"/>
        </w:rPr>
      </w:pPr>
    </w:p>
    <w:p w:rsidR="00D24E61" w:rsidRPr="00771368" w:rsidRDefault="00D24E61">
      <w:pPr>
        <w:spacing w:line="347" w:lineRule="auto"/>
        <w:ind w:right="20" w:firstLine="720"/>
        <w:jc w:val="both"/>
        <w:rPr>
          <w:sz w:val="20"/>
          <w:szCs w:val="20"/>
        </w:rPr>
      </w:pPr>
      <w:r w:rsidRPr="00771368">
        <w:rPr>
          <w:sz w:val="24"/>
          <w:szCs w:val="24"/>
        </w:rPr>
        <w:t>Homens e mulheres possuem formas diferentes de gerenciar, enquanto os homens são mais diretivos, as mulheres, por trazerem características da maternidade para a carreira, são mais flexíveis para gerir diferentes situações, demonstram ter mais paciência, disposição para recomeçar e aprender e maturidade para administrar em ambientes estáveis (GRZYBOVSKI, 2002).</w:t>
      </w:r>
    </w:p>
    <w:p w:rsidR="00D24E61" w:rsidRPr="00771368" w:rsidRDefault="00D24E61">
      <w:pPr>
        <w:spacing w:line="74" w:lineRule="exact"/>
        <w:rPr>
          <w:sz w:val="20"/>
          <w:szCs w:val="20"/>
        </w:rPr>
      </w:pPr>
    </w:p>
    <w:p w:rsidR="00D24E61" w:rsidRPr="00771368" w:rsidRDefault="00D24E61">
      <w:pPr>
        <w:spacing w:line="347" w:lineRule="auto"/>
        <w:ind w:right="20" w:firstLine="720"/>
        <w:jc w:val="both"/>
        <w:rPr>
          <w:sz w:val="20"/>
          <w:szCs w:val="20"/>
        </w:rPr>
      </w:pPr>
      <w:r w:rsidRPr="00771368">
        <w:rPr>
          <w:sz w:val="24"/>
          <w:szCs w:val="24"/>
        </w:rPr>
        <w:t xml:space="preserve">Além das características destacadas por Grzybovski (2002) outros autores definem traços peculiares de cada sexo como a confiança percebida mais em mulheres do que em homens em estudo realizado por Melnyk </w:t>
      </w:r>
      <w:r w:rsidRPr="00771368">
        <w:rPr>
          <w:i/>
          <w:iCs/>
          <w:sz w:val="24"/>
          <w:szCs w:val="24"/>
        </w:rPr>
        <w:t>et al</w:t>
      </w:r>
      <w:r w:rsidRPr="00771368">
        <w:rPr>
          <w:sz w:val="24"/>
          <w:szCs w:val="24"/>
        </w:rPr>
        <w:t>. (2009) considerando os sexos na relação de consumo. Para Ndubisi (2006) alguns traços femininos são destacado em relações de gerenciamento de vendas, como a sensibilidade e a empatia.</w:t>
      </w:r>
    </w:p>
    <w:p w:rsidR="00D24E61" w:rsidRPr="00771368" w:rsidRDefault="00D24E61">
      <w:pPr>
        <w:spacing w:line="74" w:lineRule="exact"/>
        <w:rPr>
          <w:sz w:val="20"/>
          <w:szCs w:val="20"/>
        </w:rPr>
      </w:pPr>
    </w:p>
    <w:p w:rsidR="00D61223" w:rsidRDefault="00D24E61" w:rsidP="00D61223">
      <w:pPr>
        <w:spacing w:line="353" w:lineRule="auto"/>
        <w:ind w:firstLine="720"/>
        <w:jc w:val="both"/>
        <w:rPr>
          <w:sz w:val="24"/>
          <w:szCs w:val="24"/>
        </w:rPr>
      </w:pPr>
      <w:r w:rsidRPr="00771368">
        <w:rPr>
          <w:sz w:val="24"/>
          <w:szCs w:val="24"/>
        </w:rPr>
        <w:t>Dentro das organizações estas habilidades ganham destaques em tarefas que envolvam o relacionamento interpessoal, a comunicação e o cuidado com os outros. O estilo de liderança feminino, apontado na pesquisa de Grzybovski (2002), é ser mais democrático, incentivando a participação dos colaboradores, enquanto o masculino é mais voltado a autoridade formal. Funções que geralmente são desempenhadas por mulheres atendem ao menos um desses fatores. Os cargos mais ocupados pelas mulheres nas empresas são relacionados aos setores de recursos humanos, marketing, publicidade e secretaria além de outras profissões que historicamente são exercidas por mulheres como enfermeira, professora e psicóloga (KANAN, 2010; GRZYBOVSKI, 2002 ).</w:t>
      </w:r>
      <w:r w:rsidR="00D61223">
        <w:rPr>
          <w:sz w:val="24"/>
          <w:szCs w:val="24"/>
        </w:rPr>
        <w:tab/>
      </w:r>
    </w:p>
    <w:p w:rsidR="00D24E61" w:rsidRPr="00771368" w:rsidRDefault="00D24E61" w:rsidP="00D61223">
      <w:pPr>
        <w:spacing w:line="353" w:lineRule="auto"/>
        <w:ind w:firstLine="720"/>
        <w:jc w:val="both"/>
        <w:rPr>
          <w:sz w:val="20"/>
          <w:szCs w:val="20"/>
        </w:rPr>
      </w:pPr>
      <w:r w:rsidRPr="00771368">
        <w:rPr>
          <w:sz w:val="24"/>
          <w:szCs w:val="24"/>
        </w:rPr>
        <w:t xml:space="preserve">Para Andrade </w:t>
      </w:r>
      <w:r w:rsidRPr="00771368">
        <w:rPr>
          <w:i/>
          <w:iCs/>
          <w:sz w:val="24"/>
          <w:szCs w:val="24"/>
        </w:rPr>
        <w:t>et al.</w:t>
      </w:r>
      <w:r w:rsidRPr="00771368">
        <w:rPr>
          <w:sz w:val="24"/>
          <w:szCs w:val="24"/>
        </w:rPr>
        <w:t xml:space="preserve"> (2002) essa visão cultural de que a mulher é que deve cuidar da casa é percebida nas organizações. A pesquisa desenvolvida por Andrade </w:t>
      </w:r>
      <w:r w:rsidRPr="00771368">
        <w:rPr>
          <w:i/>
          <w:iCs/>
          <w:sz w:val="24"/>
          <w:szCs w:val="24"/>
        </w:rPr>
        <w:t>et al</w:t>
      </w:r>
      <w:r w:rsidRPr="00771368">
        <w:rPr>
          <w:sz w:val="24"/>
          <w:szCs w:val="24"/>
        </w:rPr>
        <w:t xml:space="preserve">. (2002) com uma empresa do setor bancário apontou que as próprias mulheres pensam desta maneira, uma entrevistada afirmou que não era possível ter um filho na época pois iria concorrer com o crescimento profissional dela. Andrade </w:t>
      </w:r>
      <w:r w:rsidRPr="00771368">
        <w:rPr>
          <w:i/>
          <w:iCs/>
          <w:sz w:val="24"/>
          <w:szCs w:val="24"/>
        </w:rPr>
        <w:t>et al</w:t>
      </w:r>
      <w:r w:rsidRPr="00771368">
        <w:rPr>
          <w:sz w:val="24"/>
          <w:szCs w:val="24"/>
        </w:rPr>
        <w:t>. (2002) ainda destacaram que os dois gêneros concordam que o apoio da família é importante para o crescimento e a estruturação profissional, tanto para o homem quanto para a mulher, no entanto o papel de abdicar da carreira profissional para se dedicar a família cabe à mulher.</w:t>
      </w:r>
    </w:p>
    <w:p w:rsidR="00D24E61" w:rsidRPr="00771368" w:rsidRDefault="00D24E61">
      <w:pPr>
        <w:spacing w:line="74" w:lineRule="exact"/>
        <w:rPr>
          <w:sz w:val="20"/>
          <w:szCs w:val="20"/>
        </w:rPr>
      </w:pPr>
    </w:p>
    <w:p w:rsidR="00D24E61" w:rsidRPr="00771368" w:rsidRDefault="00D24E61">
      <w:pPr>
        <w:spacing w:line="355" w:lineRule="auto"/>
        <w:ind w:right="20" w:firstLine="720"/>
        <w:jc w:val="both"/>
        <w:rPr>
          <w:sz w:val="20"/>
          <w:szCs w:val="20"/>
        </w:rPr>
      </w:pPr>
      <w:r w:rsidRPr="00771368">
        <w:rPr>
          <w:sz w:val="24"/>
          <w:szCs w:val="24"/>
        </w:rPr>
        <w:t>No meio organizacional a mulher não possui destaque em cargos de direção na maioria das vezes, segundo Kanan (2010), porque os homens possuem dificuldades em obedecer ordens dadas por elas, eles as respeitam, mas cumprem por benevolência. Além disto, a pausa para engravidar e o cuidado com os filhos contribuem para a descontinuidade da carreira feminina. Kanan (2010) ainda comenta a diferença de gestão feminina e masculina no cunho de dar ordens, para eles ordens são dadas para serem cumpridas e o gênero feminino trata as ordens de acordo com a equipe, cultuando diálogo e o conhecimento do outro (KANAN, 2010). Grzybovski (2002) destaca que muitas vezes as mulheres não aspiram por cargos de presidência, pois dedicam-se as áreas humanas, como Recursos Humanos e Comunicação e destas, geralmente, não são escolhidos os novos sucessores da linha presidencial.</w:t>
      </w:r>
    </w:p>
    <w:p w:rsidR="00D24E61" w:rsidRPr="00771368" w:rsidRDefault="00D24E61">
      <w:pPr>
        <w:spacing w:line="63" w:lineRule="exact"/>
        <w:rPr>
          <w:sz w:val="20"/>
          <w:szCs w:val="20"/>
        </w:rPr>
      </w:pPr>
    </w:p>
    <w:p w:rsidR="00D24E61" w:rsidRPr="00771368" w:rsidRDefault="00D24E61">
      <w:pPr>
        <w:spacing w:line="353" w:lineRule="auto"/>
        <w:ind w:right="20" w:firstLine="720"/>
        <w:jc w:val="both"/>
        <w:rPr>
          <w:sz w:val="20"/>
          <w:szCs w:val="20"/>
        </w:rPr>
      </w:pPr>
      <w:r w:rsidRPr="00771368">
        <w:rPr>
          <w:sz w:val="24"/>
          <w:szCs w:val="24"/>
        </w:rPr>
        <w:t>Referenciando destaques de personalidade feminina, Kanan (2010) divulga características que são consideradas e desempenhadas por mulheres empreendedoras dentro das organizações, são elas: a intuição acentuada, a responsabilidade, a preocupação com o cliente, a flexibilidade, além de possuírem um poder de comunicação muito eficaz. Todavia, essas características não parecem ser suficientes para conseguirem cargos da alta administração. O estudo de Madalozzo (2011) realizado com grandes empresas brasileiras no ano de 2007, apontou que embora a diferença salarial dos sexos tenha diminuído passando de 30% em 1978 para 15% em 2007, as mulheres ainda não conseguiram a confiança para assumirem cargos de CEO (</w:t>
      </w:r>
      <w:r w:rsidRPr="00771368">
        <w:rPr>
          <w:i/>
          <w:iCs/>
          <w:sz w:val="24"/>
          <w:szCs w:val="24"/>
        </w:rPr>
        <w:t>Chief Executive Officer</w:t>
      </w:r>
      <w:r w:rsidRPr="00771368">
        <w:rPr>
          <w:sz w:val="24"/>
          <w:szCs w:val="24"/>
        </w:rPr>
        <w:t>) nestas organizações.</w:t>
      </w:r>
    </w:p>
    <w:p w:rsidR="00D24E61" w:rsidRPr="00771368" w:rsidRDefault="00D24E61">
      <w:pPr>
        <w:spacing w:line="72" w:lineRule="exact"/>
        <w:rPr>
          <w:sz w:val="20"/>
          <w:szCs w:val="20"/>
        </w:rPr>
      </w:pPr>
    </w:p>
    <w:p w:rsidR="00D24E61" w:rsidRPr="00771368" w:rsidRDefault="00D24E61" w:rsidP="00D61223">
      <w:pPr>
        <w:spacing w:line="350" w:lineRule="auto"/>
        <w:ind w:firstLine="720"/>
        <w:jc w:val="both"/>
        <w:rPr>
          <w:sz w:val="20"/>
          <w:szCs w:val="20"/>
        </w:rPr>
      </w:pPr>
      <w:r w:rsidRPr="00771368">
        <w:rPr>
          <w:sz w:val="24"/>
          <w:szCs w:val="24"/>
        </w:rPr>
        <w:t>De acordo com a pesquisa realizada pelo Grupo Catho no ano de 2007 e apresentada por Madalozzo (2011) o percentual de mulheres na presidência de empresas brasileiras não chegava a 10% naquele ano. Segundo Madalozzo (2011), empresas que possuem Conselho de Administração raramente terão mulheres assumindo a presidência e isso se deve ao fato de os conselhos serem majoritariamente masculinos e eles, por sua vez, escolhem para presidência pessoas com perfis semelhantes aos seus.</w:t>
      </w:r>
    </w:p>
    <w:p w:rsidR="00D24E61" w:rsidRPr="00771368" w:rsidRDefault="00D24E61">
      <w:pPr>
        <w:spacing w:line="352" w:lineRule="auto"/>
        <w:ind w:right="20" w:firstLine="708"/>
        <w:jc w:val="both"/>
        <w:rPr>
          <w:sz w:val="20"/>
          <w:szCs w:val="20"/>
        </w:rPr>
      </w:pPr>
      <w:r w:rsidRPr="00771368">
        <w:rPr>
          <w:sz w:val="24"/>
          <w:szCs w:val="24"/>
        </w:rPr>
        <w:t>Pode-se destacar a partir das considerações dos autores (MADALOZZO, 2011; KANAN, 2010; GRZYBOVSKI, 2002) que a valorização da mulher é constante, mas ela ainda recebe tratamento diferenciado e menos chances de crescimento dentro das organizações. O principal fator destacado pelos estudiosos ainda é a relação familiar, pois como progenitora, a mulher é obrigada a se afastar da carreira. Embora isto não seja visto como impecilho, e mais como opção para elas, é afirmado por todos que este é o ponto principal de diferenças em crescimento profissional (MADALOZZO, 2011; KANAN, 2010; GRZYBOVSKI, 2002).</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9" w:lineRule="exact"/>
        <w:rPr>
          <w:sz w:val="20"/>
          <w:szCs w:val="20"/>
        </w:rPr>
      </w:pPr>
    </w:p>
    <w:p w:rsidR="00D24E61" w:rsidRPr="00771368" w:rsidRDefault="00D24E61">
      <w:pPr>
        <w:rPr>
          <w:sz w:val="20"/>
          <w:szCs w:val="20"/>
        </w:rPr>
      </w:pPr>
      <w:r w:rsidRPr="00771368">
        <w:rPr>
          <w:b/>
          <w:bCs/>
          <w:sz w:val="24"/>
          <w:szCs w:val="24"/>
        </w:rPr>
        <w:t>4 Método de Pesquisa</w:t>
      </w:r>
    </w:p>
    <w:p w:rsidR="00D24E61" w:rsidRPr="00771368" w:rsidRDefault="00D24E61">
      <w:pPr>
        <w:spacing w:line="200" w:lineRule="exact"/>
        <w:rPr>
          <w:sz w:val="20"/>
          <w:szCs w:val="20"/>
        </w:rPr>
      </w:pPr>
    </w:p>
    <w:p w:rsidR="00D24E61" w:rsidRPr="00771368" w:rsidRDefault="00D61223">
      <w:pPr>
        <w:spacing w:line="343" w:lineRule="auto"/>
        <w:ind w:right="20" w:firstLine="720"/>
        <w:jc w:val="both"/>
        <w:rPr>
          <w:sz w:val="20"/>
          <w:szCs w:val="20"/>
        </w:rPr>
      </w:pPr>
      <w:r>
        <w:rPr>
          <w:sz w:val="24"/>
          <w:szCs w:val="24"/>
        </w:rPr>
        <w:t>A</w:t>
      </w:r>
      <w:r w:rsidR="00D24E61" w:rsidRPr="00771368">
        <w:rPr>
          <w:sz w:val="24"/>
          <w:szCs w:val="24"/>
        </w:rPr>
        <w:t xml:space="preserve"> pesquisa realizada é classificada como exploratória qualitativa. A pesquisa exploratória, segundo Malhotra (2012) ajuda o pesquisador a compreender o problema, mas não é uma pesquisa muito aprofundada. Na definição do autor, a pesquisa exploratória faz uma “busca em uma situação a fim de oferecer informações e maior compreensão”</w:t>
      </w:r>
    </w:p>
    <w:p w:rsidR="00D24E61" w:rsidRPr="00771368" w:rsidRDefault="00D24E61">
      <w:pPr>
        <w:spacing w:line="21" w:lineRule="exact"/>
        <w:rPr>
          <w:sz w:val="20"/>
          <w:szCs w:val="20"/>
        </w:rPr>
      </w:pPr>
    </w:p>
    <w:p w:rsidR="00D24E61" w:rsidRPr="00771368" w:rsidRDefault="00D24E61">
      <w:pPr>
        <w:rPr>
          <w:sz w:val="20"/>
          <w:szCs w:val="20"/>
        </w:rPr>
      </w:pPr>
      <w:r w:rsidRPr="00771368">
        <w:rPr>
          <w:sz w:val="24"/>
          <w:szCs w:val="24"/>
        </w:rPr>
        <w:t>(MALHOTRA, 2012, p. 59).</w:t>
      </w:r>
    </w:p>
    <w:p w:rsidR="00D24E61" w:rsidRPr="00771368" w:rsidRDefault="00D24E61">
      <w:pPr>
        <w:spacing w:line="197" w:lineRule="exact"/>
        <w:rPr>
          <w:sz w:val="20"/>
          <w:szCs w:val="20"/>
        </w:rPr>
      </w:pPr>
    </w:p>
    <w:p w:rsidR="00D24E61" w:rsidRPr="00771368" w:rsidRDefault="00D24E61">
      <w:pPr>
        <w:spacing w:line="334" w:lineRule="auto"/>
        <w:ind w:firstLine="720"/>
        <w:jc w:val="both"/>
        <w:rPr>
          <w:sz w:val="20"/>
          <w:szCs w:val="20"/>
        </w:rPr>
      </w:pPr>
      <w:r w:rsidRPr="00771368">
        <w:rPr>
          <w:sz w:val="24"/>
          <w:szCs w:val="24"/>
        </w:rPr>
        <w:t>A pesquisa qualitativa avalia de uma forma ampla o contexto do problema, ela é utilizada com amostras pequenas e busca compreender razões e motivações para o problema em análise (MALHOTRA, 2012).</w:t>
      </w:r>
    </w:p>
    <w:p w:rsidR="00D24E61" w:rsidRPr="00771368" w:rsidRDefault="00D24E61">
      <w:pPr>
        <w:spacing w:line="89" w:lineRule="exact"/>
        <w:rPr>
          <w:sz w:val="20"/>
          <w:szCs w:val="20"/>
        </w:rPr>
      </w:pPr>
    </w:p>
    <w:p w:rsidR="00D24E61" w:rsidRPr="00771368" w:rsidRDefault="00D24E61">
      <w:pPr>
        <w:spacing w:line="342" w:lineRule="auto"/>
        <w:ind w:right="20" w:firstLine="720"/>
        <w:jc w:val="both"/>
        <w:rPr>
          <w:sz w:val="20"/>
          <w:szCs w:val="20"/>
        </w:rPr>
      </w:pPr>
      <w:r w:rsidRPr="00771368">
        <w:rPr>
          <w:sz w:val="24"/>
          <w:szCs w:val="24"/>
        </w:rPr>
        <w:t>A amostra para a pesquisa foi um grupo de 4 gestoras de empresas que possuem cargos com um nível gerencial alto e atuam ou já atuaram gerindo equipes mistas, com homens e mulheres por longos períodos. Todas as entrevistadas possuem mais de 5 anos de experiência na área, porém duas delas estão com o cargo atual a menos de 1 ano.</w:t>
      </w:r>
    </w:p>
    <w:p w:rsidR="00D24E61" w:rsidRPr="00771368" w:rsidRDefault="00D24E61">
      <w:pPr>
        <w:spacing w:line="84" w:lineRule="exact"/>
        <w:rPr>
          <w:sz w:val="20"/>
          <w:szCs w:val="20"/>
        </w:rPr>
      </w:pPr>
    </w:p>
    <w:p w:rsidR="00D24E61" w:rsidRPr="00771368" w:rsidRDefault="00D24E61">
      <w:pPr>
        <w:spacing w:line="349" w:lineRule="auto"/>
        <w:ind w:firstLine="720"/>
        <w:jc w:val="both"/>
        <w:rPr>
          <w:sz w:val="20"/>
          <w:szCs w:val="20"/>
        </w:rPr>
      </w:pPr>
      <w:r w:rsidRPr="00771368">
        <w:rPr>
          <w:sz w:val="24"/>
          <w:szCs w:val="24"/>
        </w:rPr>
        <w:t>O perfil profissional das entrevistadas foi idade entre 37 – 45 anos, todas casadas, duas delas possuem filhos e duas ainda não possuem. As entrevistadas possuem experiências com equipes brasileiras, americanas e européias. A profissão das gestoras são Administração (duas entrevistadas), Psicologia e Engenharia. Todas possuem cursos de formação ou especialização em gestão de pessoas e três delas trabalham ou já tabalharam com recrutamento e seleção para suas atuais empresas.</w:t>
      </w:r>
    </w:p>
    <w:p w:rsidR="00D24E61" w:rsidRPr="00771368" w:rsidRDefault="00D24E61">
      <w:pPr>
        <w:spacing w:line="76" w:lineRule="exact"/>
        <w:rPr>
          <w:sz w:val="20"/>
          <w:szCs w:val="20"/>
        </w:rPr>
      </w:pPr>
    </w:p>
    <w:p w:rsidR="00D24E61" w:rsidRPr="00771368" w:rsidRDefault="00D24E61" w:rsidP="00D61223">
      <w:pPr>
        <w:spacing w:line="308" w:lineRule="auto"/>
        <w:ind w:right="20" w:firstLine="720"/>
        <w:jc w:val="both"/>
        <w:rPr>
          <w:sz w:val="20"/>
          <w:szCs w:val="20"/>
        </w:rPr>
      </w:pPr>
      <w:r w:rsidRPr="00771368">
        <w:rPr>
          <w:sz w:val="24"/>
          <w:szCs w:val="24"/>
        </w:rPr>
        <w:t>As entrevistas em profundidade foram realizadas pessoalmente ou por telefone com vídeo a partir de um roteiro de entrevista. A entrevista em profundidade, segundo Malhotra</w:t>
      </w:r>
      <w:r w:rsidR="00D61223">
        <w:rPr>
          <w:sz w:val="24"/>
          <w:szCs w:val="24"/>
        </w:rPr>
        <w:t xml:space="preserve"> </w:t>
      </w:r>
      <w:r w:rsidRPr="00771368">
        <w:rPr>
          <w:sz w:val="24"/>
          <w:szCs w:val="24"/>
        </w:rPr>
        <w:t>(2012, p. 121) “é direta, pessoal” e o entrevistador iniciar com uma pergunta genérica e a partir dessa desta pergunta ele segue um esquema predeterminado.</w:t>
      </w:r>
    </w:p>
    <w:p w:rsidR="00D24E61" w:rsidRPr="00771368" w:rsidRDefault="00D24E61">
      <w:pPr>
        <w:spacing w:line="120" w:lineRule="exact"/>
        <w:rPr>
          <w:sz w:val="20"/>
          <w:szCs w:val="20"/>
        </w:rPr>
      </w:pPr>
    </w:p>
    <w:p w:rsidR="00D24E61" w:rsidRPr="00771368" w:rsidRDefault="00D24E61">
      <w:pPr>
        <w:spacing w:line="349" w:lineRule="auto"/>
        <w:ind w:left="100" w:firstLine="720"/>
        <w:jc w:val="both"/>
        <w:rPr>
          <w:sz w:val="20"/>
          <w:szCs w:val="20"/>
        </w:rPr>
      </w:pPr>
      <w:r w:rsidRPr="00771368">
        <w:rPr>
          <w:sz w:val="24"/>
          <w:szCs w:val="24"/>
        </w:rPr>
        <w:t>A conversa individual teve duração de 40 a 60 minutos com cada gestora e foi realizada no seu ambiente de trabalho. Todas as entrevistadas foram avisadas de que se tratava de um trabalho acadêmico, que a identificação de cada uma seria preservada, que apenas as informações pertinentes ao trabalho seriam expostas e foi solicitada autorização prévia para que a entrevista pudesse ser gravada. Com uma entrevistada que não reside no Brasil a conversa foi via telefone com vídeo.</w:t>
      </w:r>
    </w:p>
    <w:p w:rsidR="00D24E61" w:rsidRPr="00771368" w:rsidRDefault="00D24E61">
      <w:pPr>
        <w:spacing w:line="334" w:lineRule="auto"/>
        <w:ind w:left="100" w:right="20" w:firstLine="720"/>
        <w:jc w:val="both"/>
        <w:rPr>
          <w:sz w:val="20"/>
          <w:szCs w:val="20"/>
        </w:rPr>
      </w:pPr>
      <w:r w:rsidRPr="00771368">
        <w:rPr>
          <w:sz w:val="24"/>
          <w:szCs w:val="24"/>
        </w:rPr>
        <w:t>As perguntas para o roteiro foram baseadas na bibliografia utilizada para o estudo e foram desenvolvidas sob orientação de professor da área de Administração em formato abrangente com o objetivo de conseguir as respostas para o problema de pesquisa.</w:t>
      </w:r>
    </w:p>
    <w:p w:rsidR="00D24E61" w:rsidRPr="00771368" w:rsidRDefault="00D24E61">
      <w:pPr>
        <w:spacing w:line="31" w:lineRule="exact"/>
        <w:rPr>
          <w:sz w:val="20"/>
          <w:szCs w:val="20"/>
        </w:rPr>
      </w:pPr>
    </w:p>
    <w:p w:rsidR="00D24E61" w:rsidRPr="00771368" w:rsidRDefault="00D24E61">
      <w:pPr>
        <w:ind w:left="820"/>
        <w:rPr>
          <w:sz w:val="20"/>
          <w:szCs w:val="20"/>
        </w:rPr>
      </w:pPr>
      <w:r w:rsidRPr="00771368">
        <w:rPr>
          <w:sz w:val="24"/>
          <w:szCs w:val="24"/>
        </w:rPr>
        <w:t>As perguntas utilizadas estão descritas no quadro 1:</w:t>
      </w:r>
    </w:p>
    <w:p w:rsidR="00D24E61" w:rsidRPr="00771368" w:rsidRDefault="00D24E61">
      <w:pPr>
        <w:spacing w:line="200" w:lineRule="exact"/>
        <w:rPr>
          <w:sz w:val="20"/>
          <w:szCs w:val="20"/>
        </w:rPr>
      </w:pPr>
    </w:p>
    <w:p w:rsidR="00D24E61" w:rsidRPr="00771368" w:rsidRDefault="00D24E61">
      <w:pPr>
        <w:spacing w:line="352" w:lineRule="exact"/>
        <w:rPr>
          <w:sz w:val="20"/>
          <w:szCs w:val="20"/>
        </w:rPr>
      </w:pPr>
    </w:p>
    <w:p w:rsidR="00D24E61" w:rsidRPr="00771368" w:rsidRDefault="00D24E61">
      <w:pPr>
        <w:ind w:left="100"/>
        <w:rPr>
          <w:sz w:val="20"/>
          <w:szCs w:val="20"/>
        </w:rPr>
      </w:pPr>
      <w:r w:rsidRPr="00771368">
        <w:rPr>
          <w:sz w:val="24"/>
          <w:szCs w:val="24"/>
        </w:rPr>
        <w:t>Quadro1: Roteiro de entrevista</w:t>
      </w:r>
    </w:p>
    <w:p w:rsidR="00D24E61" w:rsidRPr="00771368" w:rsidRDefault="00D24E61">
      <w:pPr>
        <w:spacing w:line="103" w:lineRule="exact"/>
        <w:rPr>
          <w:sz w:val="20"/>
          <w:szCs w:val="20"/>
        </w:rPr>
      </w:pPr>
      <w:r w:rsidRPr="00771368">
        <w:rPr>
          <w:noProof/>
          <w:sz w:val="20"/>
          <w:szCs w:val="20"/>
        </w:rPr>
        <w:drawing>
          <wp:anchor distT="0" distB="0" distL="114300" distR="114300" simplePos="0" relativeHeight="251722752" behindDoc="1" locked="0" layoutInCell="0" allowOverlap="1">
            <wp:simplePos x="0" y="0"/>
            <wp:positionH relativeFrom="column">
              <wp:posOffset>-8255</wp:posOffset>
            </wp:positionH>
            <wp:positionV relativeFrom="paragraph">
              <wp:posOffset>93345</wp:posOffset>
            </wp:positionV>
            <wp:extent cx="5856605" cy="5142865"/>
            <wp:effectExtent l="0" t="0" r="0" b="0"/>
            <wp:wrapNone/>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 cstate="print">
                      <a:extLst/>
                    </a:blip>
                    <a:srcRect/>
                    <a:stretch>
                      <a:fillRect/>
                    </a:stretch>
                  </pic:blipFill>
                  <pic:spPr bwMode="auto">
                    <a:xfrm>
                      <a:off x="0" y="0"/>
                      <a:ext cx="5856605" cy="5142865"/>
                    </a:xfrm>
                    <a:prstGeom prst="rect">
                      <a:avLst/>
                    </a:prstGeom>
                    <a:noFill/>
                  </pic:spPr>
                </pic:pic>
              </a:graphicData>
            </a:graphic>
          </wp:anchor>
        </w:drawing>
      </w:r>
    </w:p>
    <w:p w:rsidR="00D24E61" w:rsidRPr="00771368" w:rsidRDefault="00D24E61">
      <w:pPr>
        <w:tabs>
          <w:tab w:val="left" w:pos="500"/>
        </w:tabs>
        <w:spacing w:line="239" w:lineRule="auto"/>
        <w:rPr>
          <w:sz w:val="20"/>
          <w:szCs w:val="20"/>
        </w:rPr>
      </w:pPr>
      <w:r w:rsidRPr="00771368">
        <w:rPr>
          <w:noProof/>
          <w:sz w:val="20"/>
          <w:szCs w:val="20"/>
        </w:rPr>
        <w:drawing>
          <wp:inline distT="0" distB="0" distL="0" distR="0">
            <wp:extent cx="66040" cy="240665"/>
            <wp:effectExtent l="0" t="0" r="0" b="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5" cstate="print">
                      <a:extLst/>
                    </a:blip>
                    <a:srcRect/>
                    <a:stretch>
                      <a:fillRect/>
                    </a:stretch>
                  </pic:blipFill>
                  <pic:spPr bwMode="auto">
                    <a:xfrm>
                      <a:off x="0" y="0"/>
                      <a:ext cx="66040" cy="240665"/>
                    </a:xfrm>
                    <a:prstGeom prst="rect">
                      <a:avLst/>
                    </a:prstGeom>
                    <a:noFill/>
                    <a:ln>
                      <a:noFill/>
                    </a:ln>
                  </pic:spPr>
                </pic:pic>
              </a:graphicData>
            </a:graphic>
          </wp:inline>
        </w:drawing>
      </w:r>
      <w:r w:rsidRPr="00771368">
        <w:t>1)</w:t>
      </w:r>
      <w:r w:rsidRPr="00771368">
        <w:rPr>
          <w:sz w:val="20"/>
          <w:szCs w:val="20"/>
        </w:rPr>
        <w:tab/>
      </w:r>
      <w:r w:rsidRPr="00771368">
        <w:t>Qual a sua trajetória profissional?</w:t>
      </w:r>
    </w:p>
    <w:p w:rsidR="00D24E61" w:rsidRPr="00771368" w:rsidRDefault="00D24E61">
      <w:pPr>
        <w:spacing w:line="55" w:lineRule="exact"/>
        <w:rPr>
          <w:sz w:val="20"/>
          <w:szCs w:val="20"/>
        </w:rPr>
      </w:pPr>
    </w:p>
    <w:p w:rsidR="00D24E61" w:rsidRPr="00771368" w:rsidRDefault="00D24E61" w:rsidP="00EA38AA">
      <w:pPr>
        <w:numPr>
          <w:ilvl w:val="0"/>
          <w:numId w:val="50"/>
        </w:numPr>
        <w:tabs>
          <w:tab w:val="left" w:pos="520"/>
        </w:tabs>
        <w:spacing w:line="308" w:lineRule="auto"/>
        <w:ind w:right="320"/>
        <w:jc w:val="both"/>
      </w:pPr>
      <w:r w:rsidRPr="00771368">
        <w:t>Com o desenvolvimento do mercado de trabalho para as mulheres, como você enxerga o papel desempenhado pelos homens e pelas mulheres, e como eles se relacionam?</w:t>
      </w:r>
    </w:p>
    <w:p w:rsidR="00D24E61" w:rsidRPr="00771368" w:rsidRDefault="00D24E61">
      <w:pPr>
        <w:spacing w:line="119" w:lineRule="exact"/>
      </w:pPr>
    </w:p>
    <w:p w:rsidR="00D24E61" w:rsidRPr="00771368" w:rsidRDefault="00D24E61" w:rsidP="00EA38AA">
      <w:pPr>
        <w:numPr>
          <w:ilvl w:val="0"/>
          <w:numId w:val="50"/>
        </w:numPr>
        <w:tabs>
          <w:tab w:val="left" w:pos="520"/>
        </w:tabs>
        <w:spacing w:line="311" w:lineRule="auto"/>
        <w:ind w:right="80"/>
        <w:jc w:val="both"/>
      </w:pPr>
      <w:r w:rsidRPr="00771368">
        <w:t>Como é sua relação com clientes da sua empresa? Há diferença quando estes clientes são do sexo masculino ou feminino? Quais diferenças?</w:t>
      </w:r>
    </w:p>
    <w:p w:rsidR="00D24E61" w:rsidRPr="00771368" w:rsidRDefault="00D24E61">
      <w:pPr>
        <w:spacing w:line="114" w:lineRule="exact"/>
      </w:pPr>
    </w:p>
    <w:p w:rsidR="00D24E61" w:rsidRPr="00771368" w:rsidRDefault="00D24E61" w:rsidP="00EA38AA">
      <w:pPr>
        <w:numPr>
          <w:ilvl w:val="0"/>
          <w:numId w:val="50"/>
        </w:numPr>
        <w:tabs>
          <w:tab w:val="left" w:pos="520"/>
        </w:tabs>
        <w:spacing w:line="308" w:lineRule="auto"/>
        <w:ind w:right="340"/>
        <w:jc w:val="both"/>
      </w:pPr>
      <w:r w:rsidRPr="00771368">
        <w:t>Na sua opinião como é a inserção da mulher no mercado de trabalho? E como é a inserção dos homens comparado ao das mulheres?</w:t>
      </w:r>
    </w:p>
    <w:p w:rsidR="00D24E61" w:rsidRPr="00771368" w:rsidRDefault="00D24E61">
      <w:pPr>
        <w:spacing w:line="19" w:lineRule="exact"/>
        <w:rPr>
          <w:sz w:val="20"/>
          <w:szCs w:val="20"/>
        </w:rPr>
      </w:pPr>
    </w:p>
    <w:p w:rsidR="00D24E61" w:rsidRPr="00771368" w:rsidRDefault="00D24E61">
      <w:pPr>
        <w:tabs>
          <w:tab w:val="left" w:pos="500"/>
        </w:tabs>
        <w:spacing w:line="239" w:lineRule="auto"/>
        <w:rPr>
          <w:sz w:val="20"/>
          <w:szCs w:val="20"/>
        </w:rPr>
      </w:pPr>
      <w:r w:rsidRPr="00771368">
        <w:rPr>
          <w:noProof/>
          <w:sz w:val="20"/>
          <w:szCs w:val="20"/>
        </w:rPr>
        <w:drawing>
          <wp:inline distT="0" distB="0" distL="0" distR="0">
            <wp:extent cx="66040" cy="240665"/>
            <wp:effectExtent l="0" t="0" r="0"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5" cstate="print">
                      <a:extLst/>
                    </a:blip>
                    <a:srcRect/>
                    <a:stretch>
                      <a:fillRect/>
                    </a:stretch>
                  </pic:blipFill>
                  <pic:spPr bwMode="auto">
                    <a:xfrm>
                      <a:off x="0" y="0"/>
                      <a:ext cx="66040" cy="240665"/>
                    </a:xfrm>
                    <a:prstGeom prst="rect">
                      <a:avLst/>
                    </a:prstGeom>
                    <a:noFill/>
                    <a:ln>
                      <a:noFill/>
                    </a:ln>
                  </pic:spPr>
                </pic:pic>
              </a:graphicData>
            </a:graphic>
          </wp:inline>
        </w:drawing>
      </w:r>
      <w:r w:rsidRPr="00771368">
        <w:t>5)</w:t>
      </w:r>
      <w:r w:rsidRPr="00771368">
        <w:rPr>
          <w:sz w:val="20"/>
          <w:szCs w:val="20"/>
        </w:rPr>
        <w:tab/>
      </w:r>
      <w:r w:rsidRPr="00771368">
        <w:t>Você acha que existem funções femininas e outras masculinas?</w:t>
      </w:r>
    </w:p>
    <w:p w:rsidR="00D24E61" w:rsidRPr="00771368" w:rsidRDefault="00D24E61">
      <w:pPr>
        <w:spacing w:line="58" w:lineRule="exact"/>
        <w:rPr>
          <w:sz w:val="20"/>
          <w:szCs w:val="20"/>
        </w:rPr>
      </w:pPr>
    </w:p>
    <w:p w:rsidR="00D24E61" w:rsidRPr="00771368" w:rsidRDefault="00D24E61">
      <w:pPr>
        <w:numPr>
          <w:ilvl w:val="0"/>
          <w:numId w:val="2"/>
        </w:numPr>
        <w:tabs>
          <w:tab w:val="left" w:pos="520"/>
        </w:tabs>
        <w:spacing w:line="308" w:lineRule="auto"/>
        <w:ind w:left="520" w:right="100" w:hanging="421"/>
        <w:jc w:val="both"/>
      </w:pPr>
      <w:r w:rsidRPr="00771368">
        <w:t>Você sendo gestora, percebe diferenças em gerir equipes com a maioria dos funcionários homens ou mulheres?</w:t>
      </w:r>
    </w:p>
    <w:p w:rsidR="00D24E61" w:rsidRPr="00771368" w:rsidRDefault="00D24E61">
      <w:pPr>
        <w:spacing w:line="118" w:lineRule="exact"/>
      </w:pPr>
    </w:p>
    <w:p w:rsidR="00D24E61" w:rsidRPr="00771368" w:rsidRDefault="00D24E61">
      <w:pPr>
        <w:numPr>
          <w:ilvl w:val="0"/>
          <w:numId w:val="2"/>
        </w:numPr>
        <w:tabs>
          <w:tab w:val="left" w:pos="520"/>
        </w:tabs>
        <w:spacing w:line="334" w:lineRule="auto"/>
        <w:ind w:left="520" w:right="340" w:hanging="421"/>
      </w:pPr>
      <w:r w:rsidRPr="00771368">
        <w:t>Na sua opinião, existem valores, crenças, atitudes diferentes na gestão feminina e masculina? Que características você acha que os homens executivos possuem em destaque e quais que são destacadas nas mulheres?</w:t>
      </w:r>
    </w:p>
    <w:p w:rsidR="00D24E61" w:rsidRPr="00771368" w:rsidRDefault="00D24E61">
      <w:pPr>
        <w:spacing w:line="91" w:lineRule="exact"/>
      </w:pPr>
    </w:p>
    <w:p w:rsidR="00D24E61" w:rsidRPr="00771368" w:rsidRDefault="00D24E61">
      <w:pPr>
        <w:numPr>
          <w:ilvl w:val="0"/>
          <w:numId w:val="2"/>
        </w:numPr>
        <w:tabs>
          <w:tab w:val="left" w:pos="520"/>
        </w:tabs>
        <w:spacing w:line="311" w:lineRule="auto"/>
        <w:ind w:left="520" w:right="280" w:hanging="421"/>
        <w:jc w:val="both"/>
      </w:pPr>
      <w:r w:rsidRPr="00771368">
        <w:t>Na sua opinião existe algum impedimento, mesmo não explícito, por parte das empresas para o crescimento profissional da mulher?</w:t>
      </w:r>
    </w:p>
    <w:p w:rsidR="00D24E61" w:rsidRPr="00771368" w:rsidRDefault="00D24E61">
      <w:pPr>
        <w:spacing w:line="114" w:lineRule="exact"/>
      </w:pPr>
    </w:p>
    <w:p w:rsidR="00D24E61" w:rsidRPr="00771368" w:rsidRDefault="00D24E61">
      <w:pPr>
        <w:numPr>
          <w:ilvl w:val="0"/>
          <w:numId w:val="2"/>
        </w:numPr>
        <w:tabs>
          <w:tab w:val="left" w:pos="520"/>
        </w:tabs>
        <w:spacing w:line="308" w:lineRule="auto"/>
        <w:ind w:left="520" w:right="980" w:hanging="421"/>
        <w:jc w:val="both"/>
      </w:pPr>
      <w:r w:rsidRPr="00771368">
        <w:t>Você já teve uma chefia feminina? Como subordinada, percebe/percebia diferenças no relacionamento com superiores homens e mulheres?</w:t>
      </w:r>
    </w:p>
    <w:p w:rsidR="00D24E61" w:rsidRPr="00771368" w:rsidRDefault="00D24E61">
      <w:pPr>
        <w:spacing w:line="118" w:lineRule="exact"/>
      </w:pPr>
    </w:p>
    <w:p w:rsidR="00D24E61" w:rsidRPr="00771368" w:rsidRDefault="00D24E61">
      <w:pPr>
        <w:numPr>
          <w:ilvl w:val="0"/>
          <w:numId w:val="2"/>
        </w:numPr>
        <w:tabs>
          <w:tab w:val="left" w:pos="520"/>
        </w:tabs>
        <w:spacing w:line="308" w:lineRule="auto"/>
        <w:ind w:left="520" w:right="160" w:hanging="421"/>
        <w:jc w:val="both"/>
      </w:pPr>
      <w:r w:rsidRPr="00771368">
        <w:t>Na sua opinião, há diferenças na absorção de homens e mulheres para cargos de gestão por parte das empresas? Quais as diferenças? Por que ocorrem? Como será nos próximos anos?</w:t>
      </w:r>
    </w:p>
    <w:p w:rsidR="00D24E61" w:rsidRPr="00771368" w:rsidRDefault="00D24E61">
      <w:pPr>
        <w:spacing w:line="28" w:lineRule="exact"/>
        <w:rPr>
          <w:sz w:val="20"/>
          <w:szCs w:val="20"/>
        </w:rPr>
      </w:pPr>
    </w:p>
    <w:p w:rsidR="00D24E61" w:rsidRPr="00771368" w:rsidRDefault="00D24E61">
      <w:pPr>
        <w:rPr>
          <w:sz w:val="20"/>
          <w:szCs w:val="20"/>
        </w:rPr>
      </w:pPr>
      <w:r w:rsidRPr="00771368">
        <w:rPr>
          <w:noProof/>
          <w:sz w:val="20"/>
          <w:szCs w:val="20"/>
        </w:rPr>
        <w:drawing>
          <wp:inline distT="0" distB="0" distL="0" distR="0">
            <wp:extent cx="66040" cy="228600"/>
            <wp:effectExtent l="0" t="0" r="0" b="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6" cstate="print">
                      <a:extLst/>
                    </a:blip>
                    <a:srcRect/>
                    <a:stretch>
                      <a:fillRect/>
                    </a:stretch>
                  </pic:blipFill>
                  <pic:spPr bwMode="auto">
                    <a:xfrm>
                      <a:off x="0" y="0"/>
                      <a:ext cx="66040" cy="228600"/>
                    </a:xfrm>
                    <a:prstGeom prst="rect">
                      <a:avLst/>
                    </a:prstGeom>
                    <a:noFill/>
                    <a:ln>
                      <a:noFill/>
                    </a:ln>
                  </pic:spPr>
                </pic:pic>
              </a:graphicData>
            </a:graphic>
          </wp:inline>
        </w:drawing>
      </w:r>
      <w:r w:rsidRPr="00771368">
        <w:t>11)  Quais as características que o mercado procura para um diretor/presidente/CEO?</w:t>
      </w:r>
    </w:p>
    <w:p w:rsidR="00D24E61" w:rsidRPr="00771368" w:rsidRDefault="00D24E61" w:rsidP="00D61223">
      <w:pPr>
        <w:rPr>
          <w:sz w:val="20"/>
          <w:szCs w:val="20"/>
        </w:rPr>
      </w:pPr>
      <w:r w:rsidRPr="00771368">
        <w:rPr>
          <w:noProof/>
          <w:sz w:val="20"/>
          <w:szCs w:val="20"/>
        </w:rPr>
        <w:drawing>
          <wp:inline distT="0" distB="0" distL="0" distR="0">
            <wp:extent cx="66040" cy="228600"/>
            <wp:effectExtent l="0" t="0" r="0" b="0"/>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7" cstate="print">
                      <a:extLst/>
                    </a:blip>
                    <a:srcRect/>
                    <a:stretch>
                      <a:fillRect/>
                    </a:stretch>
                  </pic:blipFill>
                  <pic:spPr bwMode="auto">
                    <a:xfrm>
                      <a:off x="0" y="0"/>
                      <a:ext cx="66040" cy="228600"/>
                    </a:xfrm>
                    <a:prstGeom prst="rect">
                      <a:avLst/>
                    </a:prstGeom>
                    <a:noFill/>
                    <a:ln>
                      <a:noFill/>
                    </a:ln>
                  </pic:spPr>
                </pic:pic>
              </a:graphicData>
            </a:graphic>
          </wp:inline>
        </w:drawing>
      </w:r>
      <w:r w:rsidRPr="00771368">
        <w:t>12)  Como você descreve a sua relação com fornecedores/parceiros?</w:t>
      </w:r>
      <w:r w:rsidRPr="00771368">
        <w:rPr>
          <w:noProof/>
          <w:sz w:val="20"/>
          <w:szCs w:val="20"/>
        </w:rPr>
        <w:drawing>
          <wp:anchor distT="0" distB="0" distL="114300" distR="114300" simplePos="0" relativeHeight="251724800" behindDoc="1" locked="0" layoutInCell="0" allowOverlap="1" wp14:anchorId="6221E66F" wp14:editId="499212C8">
            <wp:simplePos x="0" y="0"/>
            <wp:positionH relativeFrom="column">
              <wp:posOffset>-8255</wp:posOffset>
            </wp:positionH>
            <wp:positionV relativeFrom="paragraph">
              <wp:posOffset>281940</wp:posOffset>
            </wp:positionV>
            <wp:extent cx="5856605" cy="742315"/>
            <wp:effectExtent l="0" t="0" r="0" b="0"/>
            <wp:wrapNone/>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8" cstate="print">
                      <a:extLst/>
                    </a:blip>
                    <a:srcRect/>
                    <a:stretch>
                      <a:fillRect/>
                    </a:stretch>
                  </pic:blipFill>
                  <pic:spPr bwMode="auto">
                    <a:xfrm>
                      <a:off x="0" y="0"/>
                      <a:ext cx="5856605" cy="742315"/>
                    </a:xfrm>
                    <a:prstGeom prst="rect">
                      <a:avLst/>
                    </a:prstGeom>
                    <a:noFill/>
                  </pic:spPr>
                </pic:pic>
              </a:graphicData>
            </a:graphic>
          </wp:anchor>
        </w:drawing>
      </w:r>
    </w:p>
    <w:p w:rsidR="00D24E61" w:rsidRPr="00771368" w:rsidRDefault="00D24E61">
      <w:pPr>
        <w:numPr>
          <w:ilvl w:val="0"/>
          <w:numId w:val="3"/>
        </w:numPr>
        <w:tabs>
          <w:tab w:val="left" w:pos="520"/>
        </w:tabs>
        <w:spacing w:line="309" w:lineRule="auto"/>
        <w:ind w:left="520" w:right="100" w:hanging="421"/>
        <w:jc w:val="both"/>
      </w:pPr>
      <w:r w:rsidRPr="00771368">
        <w:t>Considerando as sua participação no mercado como descreveria o seu perfil profissional ? Qual é o perfil da (nome da entrevistada)?</w:t>
      </w:r>
    </w:p>
    <w:p w:rsidR="00D24E61" w:rsidRPr="00771368" w:rsidRDefault="00D24E61">
      <w:pPr>
        <w:spacing w:line="24" w:lineRule="exact"/>
        <w:rPr>
          <w:sz w:val="20"/>
          <w:szCs w:val="20"/>
        </w:rPr>
      </w:pPr>
      <w:r w:rsidRPr="00771368">
        <w:rPr>
          <w:noProof/>
          <w:sz w:val="20"/>
          <w:szCs w:val="20"/>
        </w:rPr>
        <w:drawing>
          <wp:anchor distT="0" distB="0" distL="114300" distR="114300" simplePos="0" relativeHeight="251726848" behindDoc="1" locked="0" layoutInCell="0" allowOverlap="1">
            <wp:simplePos x="0" y="0"/>
            <wp:positionH relativeFrom="column">
              <wp:posOffset>62865</wp:posOffset>
            </wp:positionH>
            <wp:positionV relativeFrom="paragraph">
              <wp:posOffset>-201295</wp:posOffset>
            </wp:positionV>
            <wp:extent cx="5778500" cy="488950"/>
            <wp:effectExtent l="0" t="0" r="0" b="0"/>
            <wp:wrapNone/>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9" cstate="print">
                      <a:clrChange>
                        <a:clrFrom>
                          <a:srgbClr val="000000"/>
                        </a:clrFrom>
                        <a:clrTo>
                          <a:srgbClr val="000000">
                            <a:alpha val="0"/>
                          </a:srgbClr>
                        </a:clrTo>
                      </a:clrChange>
                      <a:extLst/>
                    </a:blip>
                    <a:srcRect/>
                    <a:stretch>
                      <a:fillRect/>
                    </a:stretch>
                  </pic:blipFill>
                  <pic:spPr bwMode="auto">
                    <a:xfrm>
                      <a:off x="0" y="0"/>
                      <a:ext cx="5778500" cy="488950"/>
                    </a:xfrm>
                    <a:prstGeom prst="rect">
                      <a:avLst/>
                    </a:prstGeom>
                    <a:noFill/>
                  </pic:spPr>
                </pic:pic>
              </a:graphicData>
            </a:graphic>
          </wp:anchor>
        </w:drawing>
      </w:r>
      <w:r w:rsidRPr="00771368">
        <w:rPr>
          <w:noProof/>
          <w:sz w:val="20"/>
          <w:szCs w:val="20"/>
        </w:rPr>
        <w:drawing>
          <wp:anchor distT="0" distB="0" distL="114300" distR="114300" simplePos="0" relativeHeight="251728896" behindDoc="1" locked="0" layoutInCell="0" allowOverlap="1">
            <wp:simplePos x="0" y="0"/>
            <wp:positionH relativeFrom="column">
              <wp:posOffset>62865</wp:posOffset>
            </wp:positionH>
            <wp:positionV relativeFrom="paragraph">
              <wp:posOffset>-201295</wp:posOffset>
            </wp:positionV>
            <wp:extent cx="5778500" cy="488950"/>
            <wp:effectExtent l="0" t="0" r="0" b="0"/>
            <wp:wrapNone/>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0" cstate="print">
                      <a:clrChange>
                        <a:clrFrom>
                          <a:srgbClr val="FFFFFF"/>
                        </a:clrFrom>
                        <a:clrTo>
                          <a:srgbClr val="FFFFFF">
                            <a:alpha val="0"/>
                          </a:srgbClr>
                        </a:clrTo>
                      </a:clrChange>
                      <a:extLst/>
                    </a:blip>
                    <a:srcRect/>
                    <a:stretch>
                      <a:fillRect/>
                    </a:stretch>
                  </pic:blipFill>
                  <pic:spPr bwMode="auto">
                    <a:xfrm>
                      <a:off x="0" y="0"/>
                      <a:ext cx="5778500" cy="488950"/>
                    </a:xfrm>
                    <a:prstGeom prst="rect">
                      <a:avLst/>
                    </a:prstGeom>
                    <a:noFill/>
                  </pic:spPr>
                </pic:pic>
              </a:graphicData>
            </a:graphic>
          </wp:anchor>
        </w:drawing>
      </w:r>
    </w:p>
    <w:p w:rsidR="00D24E61" w:rsidRPr="00771368" w:rsidRDefault="00D24E61">
      <w:pPr>
        <w:rPr>
          <w:sz w:val="20"/>
          <w:szCs w:val="20"/>
        </w:rPr>
      </w:pPr>
      <w:r w:rsidRPr="00771368">
        <w:rPr>
          <w:noProof/>
          <w:sz w:val="20"/>
          <w:szCs w:val="20"/>
        </w:rPr>
        <w:drawing>
          <wp:inline distT="0" distB="0" distL="0" distR="0">
            <wp:extent cx="66040" cy="228600"/>
            <wp:effectExtent l="0" t="0" r="0" b="0"/>
            <wp:docPr id="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7" cstate="print">
                      <a:extLst/>
                    </a:blip>
                    <a:srcRect/>
                    <a:stretch>
                      <a:fillRect/>
                    </a:stretch>
                  </pic:blipFill>
                  <pic:spPr bwMode="auto">
                    <a:xfrm>
                      <a:off x="0" y="0"/>
                      <a:ext cx="66040" cy="228600"/>
                    </a:xfrm>
                    <a:prstGeom prst="rect">
                      <a:avLst/>
                    </a:prstGeom>
                    <a:noFill/>
                    <a:ln>
                      <a:noFill/>
                    </a:ln>
                  </pic:spPr>
                </pic:pic>
              </a:graphicData>
            </a:graphic>
          </wp:inline>
        </w:drawing>
      </w:r>
      <w:r w:rsidRPr="00771368">
        <w:t>14)  O que motiva você a continuar com o negócio?</w:t>
      </w:r>
    </w:p>
    <w:p w:rsidR="00D24E61" w:rsidRPr="00771368" w:rsidRDefault="00D24E61">
      <w:pPr>
        <w:spacing w:line="23" w:lineRule="exact"/>
        <w:rPr>
          <w:sz w:val="20"/>
          <w:szCs w:val="20"/>
        </w:rPr>
      </w:pPr>
      <w:r w:rsidRPr="00771368">
        <w:rPr>
          <w:noProof/>
          <w:sz w:val="20"/>
          <w:szCs w:val="20"/>
        </w:rPr>
        <w:drawing>
          <wp:anchor distT="0" distB="0" distL="114300" distR="114300" simplePos="0" relativeHeight="251730944" behindDoc="1" locked="0" layoutInCell="0" allowOverlap="1">
            <wp:simplePos x="0" y="0"/>
            <wp:positionH relativeFrom="column">
              <wp:posOffset>-8255</wp:posOffset>
            </wp:positionH>
            <wp:positionV relativeFrom="paragraph">
              <wp:posOffset>-227965</wp:posOffset>
            </wp:positionV>
            <wp:extent cx="5856605" cy="248285"/>
            <wp:effectExtent l="0" t="0" r="0" b="0"/>
            <wp:wrapNone/>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1" cstate="print">
                      <a:clrChange>
                        <a:clrFrom>
                          <a:srgbClr val="000000"/>
                        </a:clrFrom>
                        <a:clrTo>
                          <a:srgbClr val="000000">
                            <a:alpha val="0"/>
                          </a:srgbClr>
                        </a:clrTo>
                      </a:clrChange>
                      <a:extLst/>
                    </a:blip>
                    <a:srcRect/>
                    <a:stretch>
                      <a:fillRect/>
                    </a:stretch>
                  </pic:blipFill>
                  <pic:spPr bwMode="auto">
                    <a:xfrm>
                      <a:off x="0" y="0"/>
                      <a:ext cx="5856605" cy="248285"/>
                    </a:xfrm>
                    <a:prstGeom prst="rect">
                      <a:avLst/>
                    </a:prstGeom>
                    <a:noFill/>
                  </pic:spPr>
                </pic:pic>
              </a:graphicData>
            </a:graphic>
          </wp:anchor>
        </w:drawing>
      </w:r>
      <w:r w:rsidRPr="00771368">
        <w:rPr>
          <w:noProof/>
          <w:sz w:val="20"/>
          <w:szCs w:val="20"/>
        </w:rPr>
        <w:drawing>
          <wp:anchor distT="0" distB="0" distL="114300" distR="114300" simplePos="0" relativeHeight="251732992" behindDoc="1" locked="0" layoutInCell="0" allowOverlap="1">
            <wp:simplePos x="0" y="0"/>
            <wp:positionH relativeFrom="column">
              <wp:posOffset>-8255</wp:posOffset>
            </wp:positionH>
            <wp:positionV relativeFrom="paragraph">
              <wp:posOffset>-227965</wp:posOffset>
            </wp:positionV>
            <wp:extent cx="5856605" cy="248285"/>
            <wp:effectExtent l="0" t="0" r="0" b="0"/>
            <wp:wrapNone/>
            <wp:docPr id="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2" cstate="print">
                      <a:clrChange>
                        <a:clrFrom>
                          <a:srgbClr val="FFFFFF"/>
                        </a:clrFrom>
                        <a:clrTo>
                          <a:srgbClr val="FFFFFF">
                            <a:alpha val="0"/>
                          </a:srgbClr>
                        </a:clrTo>
                      </a:clrChange>
                      <a:extLst/>
                    </a:blip>
                    <a:srcRect/>
                    <a:stretch>
                      <a:fillRect/>
                    </a:stretch>
                  </pic:blipFill>
                  <pic:spPr bwMode="auto">
                    <a:xfrm>
                      <a:off x="0" y="0"/>
                      <a:ext cx="5856605" cy="248285"/>
                    </a:xfrm>
                    <a:prstGeom prst="rect">
                      <a:avLst/>
                    </a:prstGeom>
                    <a:noFill/>
                  </pic:spPr>
                </pic:pic>
              </a:graphicData>
            </a:graphic>
          </wp:anchor>
        </w:drawing>
      </w:r>
    </w:p>
    <w:p w:rsidR="00D24E61" w:rsidRPr="00771368" w:rsidRDefault="00D24E61">
      <w:pPr>
        <w:tabs>
          <w:tab w:val="left" w:pos="740"/>
        </w:tabs>
        <w:spacing w:line="239" w:lineRule="auto"/>
        <w:ind w:left="100"/>
        <w:rPr>
          <w:sz w:val="20"/>
          <w:szCs w:val="20"/>
        </w:rPr>
      </w:pPr>
      <w:r w:rsidRPr="00771368">
        <w:rPr>
          <w:sz w:val="20"/>
          <w:szCs w:val="20"/>
        </w:rPr>
        <w:t>Fonte:</w:t>
      </w:r>
      <w:r w:rsidRPr="00771368">
        <w:rPr>
          <w:sz w:val="20"/>
          <w:szCs w:val="20"/>
        </w:rPr>
        <w:tab/>
        <w:t>Peguntas elaboradas pela autora.</w:t>
      </w:r>
    </w:p>
    <w:p w:rsidR="00D24E61" w:rsidRPr="00771368" w:rsidRDefault="00D24E61">
      <w:pPr>
        <w:spacing w:line="200" w:lineRule="exact"/>
        <w:rPr>
          <w:sz w:val="20"/>
          <w:szCs w:val="20"/>
        </w:rPr>
      </w:pPr>
    </w:p>
    <w:p w:rsidR="00D24E61" w:rsidRPr="00771368" w:rsidRDefault="00D24E61">
      <w:pPr>
        <w:spacing w:line="351" w:lineRule="auto"/>
        <w:ind w:left="100" w:firstLine="720"/>
        <w:jc w:val="both"/>
        <w:rPr>
          <w:sz w:val="20"/>
          <w:szCs w:val="20"/>
        </w:rPr>
      </w:pPr>
      <w:r w:rsidRPr="00771368">
        <w:rPr>
          <w:sz w:val="24"/>
          <w:szCs w:val="24"/>
        </w:rPr>
        <w:t>A análise do conteúdo das respostas ocorreu após a transcrição literal das entrevistas gravadas para o formato de redação. Em seguida estas foram estruturadas a partir da ordem apresentada no texto e analisadas a partir da bibliografia encontrada relacionando a fala de cada entrevista com a citação do autor. Foram encontrados alguns pontos de divergências entre as respostas e a bibliografia citada, como será mostrado abaixo, o que demonstra uma não conformidade padrão na pesquisa, mas que é esperado em pesquisas qualitativas com grupos de poucos entrevistados.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7" w:lineRule="exact"/>
        <w:rPr>
          <w:sz w:val="20"/>
          <w:szCs w:val="20"/>
        </w:rPr>
      </w:pPr>
    </w:p>
    <w:p w:rsidR="00D24E61" w:rsidRPr="00771368" w:rsidRDefault="00D24E61">
      <w:pPr>
        <w:ind w:left="100"/>
        <w:rPr>
          <w:sz w:val="20"/>
          <w:szCs w:val="20"/>
        </w:rPr>
      </w:pPr>
      <w:r w:rsidRPr="00771368">
        <w:rPr>
          <w:b/>
          <w:bCs/>
          <w:sz w:val="24"/>
          <w:szCs w:val="24"/>
        </w:rPr>
        <w:t>5 Resultados e Discussão</w:t>
      </w:r>
    </w:p>
    <w:p w:rsidR="00D24E61" w:rsidRPr="00771368" w:rsidRDefault="00D24E61">
      <w:pPr>
        <w:spacing w:line="200" w:lineRule="exact"/>
        <w:rPr>
          <w:sz w:val="20"/>
          <w:szCs w:val="20"/>
        </w:rPr>
      </w:pPr>
    </w:p>
    <w:p w:rsidR="00D24E61" w:rsidRPr="00771368" w:rsidRDefault="00D24E61">
      <w:pPr>
        <w:spacing w:line="342" w:lineRule="auto"/>
        <w:ind w:left="100" w:right="20" w:firstLine="720"/>
        <w:jc w:val="both"/>
        <w:rPr>
          <w:sz w:val="20"/>
          <w:szCs w:val="20"/>
        </w:rPr>
      </w:pPr>
      <w:r w:rsidRPr="00771368">
        <w:rPr>
          <w:sz w:val="24"/>
          <w:szCs w:val="24"/>
        </w:rPr>
        <w:t>A análise dos resultados iniciou a partir da leitura das respostas das entrevistas transcritas que foi relacionado com a bibliografia encontrada sobre o assunto. A partir deste momento iniciou-se a análise e comparação da resposta recebida com a citação do autor referência. Foi considerado a experiência e vivência da entrevistada na análise das respostas.</w:t>
      </w:r>
    </w:p>
    <w:p w:rsidR="00D24E61" w:rsidRPr="00771368" w:rsidRDefault="00D24E61">
      <w:pPr>
        <w:spacing w:line="83" w:lineRule="exact"/>
        <w:rPr>
          <w:sz w:val="20"/>
          <w:szCs w:val="20"/>
        </w:rPr>
      </w:pPr>
    </w:p>
    <w:p w:rsidR="00D24E61" w:rsidRPr="00771368" w:rsidRDefault="00D24E61" w:rsidP="00D61223">
      <w:pPr>
        <w:spacing w:line="355" w:lineRule="auto"/>
        <w:ind w:left="100" w:firstLine="720"/>
        <w:jc w:val="both"/>
        <w:rPr>
          <w:sz w:val="20"/>
          <w:szCs w:val="20"/>
        </w:rPr>
      </w:pPr>
      <w:r w:rsidRPr="00771368">
        <w:rPr>
          <w:sz w:val="24"/>
          <w:szCs w:val="24"/>
        </w:rPr>
        <w:t xml:space="preserve">Quando questionadas as gestoras sobre o início de sua carreira profissional, duas delas, hoje com função de diretoras, iniciaram suas carreiras como secretárias de grandes empresas e destacam o contato com a diretoria e a assessoria a grandes executivos como fonte de grande aprendizado no início de suas carreiras. A terceira entrevistada (E3) iniciou em uma grande empresa substituindo uma pessoa que estava em licença maternidade diretamente no setor de recursos humanos. A entrevistada 4 (E4) que possui a formação mais técnica, iniciou sua carreira já na área de engenharia, após formada, em uma grande empresa, porém não com cargo de gestão. Alguns autores (SÊCA, 2011; CAPELLE </w:t>
      </w:r>
      <w:r w:rsidRPr="00771368">
        <w:rPr>
          <w:i/>
          <w:iCs/>
          <w:sz w:val="24"/>
          <w:szCs w:val="24"/>
        </w:rPr>
        <w:t>et al.,</w:t>
      </w:r>
      <w:r w:rsidRPr="00771368">
        <w:rPr>
          <w:sz w:val="24"/>
          <w:szCs w:val="24"/>
        </w:rPr>
        <w:t xml:space="preserve"> 2004; KANAN, 2004; GRZYBOVSKI, 2002) mencionaram em suas pesquisas que as principais atividades exercidas pelas mulheres são vinculadas ao atendimento e são funções de secretária e atendimento ao cliente. Os mesmos autores (SÊCA, 2011; CAPELLE </w:t>
      </w:r>
      <w:r w:rsidRPr="00771368">
        <w:rPr>
          <w:i/>
          <w:iCs/>
          <w:sz w:val="24"/>
          <w:szCs w:val="24"/>
        </w:rPr>
        <w:t>et al.,</w:t>
      </w:r>
      <w:r w:rsidRPr="00771368">
        <w:rPr>
          <w:sz w:val="24"/>
          <w:szCs w:val="24"/>
        </w:rPr>
        <w:t xml:space="preserve"> 2004; KANAN, 2004; GRZYBOVSKI, 2002) revelam que parte das mulheres de destaque no meio</w:t>
      </w:r>
      <w:r w:rsidR="00D61223">
        <w:rPr>
          <w:sz w:val="24"/>
          <w:szCs w:val="24"/>
        </w:rPr>
        <w:t xml:space="preserve"> </w:t>
      </w:r>
      <w:r w:rsidRPr="00771368">
        <w:rPr>
          <w:sz w:val="24"/>
          <w:szCs w:val="24"/>
        </w:rPr>
        <w:t>empresarial estão ligadas as áreas de Recursos Humanos, Marketing, Psicologia e Enfermagem.</w:t>
      </w:r>
    </w:p>
    <w:p w:rsidR="00D24E61" w:rsidRPr="00771368" w:rsidRDefault="00D24E61">
      <w:pPr>
        <w:spacing w:line="120" w:lineRule="exact"/>
        <w:rPr>
          <w:sz w:val="20"/>
          <w:szCs w:val="20"/>
        </w:rPr>
      </w:pPr>
    </w:p>
    <w:p w:rsidR="00D24E61" w:rsidRPr="00771368" w:rsidRDefault="00D24E61">
      <w:pPr>
        <w:spacing w:line="352" w:lineRule="auto"/>
        <w:ind w:firstLine="720"/>
        <w:jc w:val="both"/>
        <w:rPr>
          <w:sz w:val="20"/>
          <w:szCs w:val="20"/>
        </w:rPr>
      </w:pPr>
      <w:r w:rsidRPr="00771368">
        <w:rPr>
          <w:sz w:val="24"/>
          <w:szCs w:val="24"/>
        </w:rPr>
        <w:t>Todas as entrevistadas concordam que não existem diferenças de gênero para o ingresso na vida profissional, elas acreditam existir algumas profissões consideradas femininas e outras masculinas, mas quanto a inserção no mercado de trabalho não há diferenças. O único ponto destacado como inibidor profissional é a questão física que determinadas profissões exigem e, devido a natureza humana, a capacidade de elevar peso é diferente para homens e mulheres. Nas palavras da E2 “existe um delimitador físico, nunca técnico”. Relatando trabalhos como os relacionados a obras civis e na indústria metal-mecânica, onde o esforço físico é exigido de algumas funções.</w:t>
      </w:r>
    </w:p>
    <w:p w:rsidR="00D24E61" w:rsidRPr="00771368" w:rsidRDefault="00D24E61">
      <w:pPr>
        <w:spacing w:line="74" w:lineRule="exact"/>
        <w:rPr>
          <w:sz w:val="20"/>
          <w:szCs w:val="20"/>
        </w:rPr>
      </w:pPr>
    </w:p>
    <w:p w:rsidR="00D24E61" w:rsidRPr="00771368" w:rsidRDefault="00D24E61">
      <w:pPr>
        <w:spacing w:line="353" w:lineRule="auto"/>
        <w:ind w:firstLine="720"/>
        <w:jc w:val="both"/>
        <w:rPr>
          <w:sz w:val="20"/>
          <w:szCs w:val="20"/>
        </w:rPr>
      </w:pPr>
      <w:r w:rsidRPr="00771368">
        <w:rPr>
          <w:sz w:val="24"/>
          <w:szCs w:val="24"/>
        </w:rPr>
        <w:t>Uma entrevistada que trabalha com recrutamento e seleção afirmou que para determinadas funções as empresas exigem o sexo do candidato para a vaga, um exemplo disto são vagas para engenharia e agronomia que ainda são vistas como masculinas. “As empresas pedem que o candidato seja do sexo masculino, caso não seja encontrado nenhum, então eles aceitam entrevistar mulheres” afirmou a E2. Ao contrário, para algumas vagas na área comercial, por exemplo, a preferência é por candidatas devido as características da mulher e a predisposição a melhor atender ao cliente. Características como confiança, responsabilidade e dedicação também foram citadas pela entrevistada 2 para perfis femininos e preferência das empresas pela candidata.</w:t>
      </w:r>
    </w:p>
    <w:p w:rsidR="00D24E61" w:rsidRPr="00771368" w:rsidRDefault="00D24E61">
      <w:pPr>
        <w:spacing w:line="72" w:lineRule="exact"/>
        <w:rPr>
          <w:sz w:val="20"/>
          <w:szCs w:val="20"/>
        </w:rPr>
      </w:pPr>
    </w:p>
    <w:p w:rsidR="00D24E61" w:rsidRPr="00771368" w:rsidRDefault="00D24E61">
      <w:pPr>
        <w:spacing w:line="353" w:lineRule="auto"/>
        <w:ind w:right="20" w:firstLine="720"/>
        <w:jc w:val="both"/>
        <w:rPr>
          <w:sz w:val="20"/>
          <w:szCs w:val="20"/>
        </w:rPr>
      </w:pPr>
      <w:r w:rsidRPr="00771368">
        <w:rPr>
          <w:sz w:val="24"/>
          <w:szCs w:val="24"/>
        </w:rPr>
        <w:t>Considerando características gerais do comportamento feminino, quando questionadas sobre o perfil de gestão feminino e masculino foi destacado pelas E1, E2 e E4 a sensibilidade feminina na gestão das equipes. A E1 afirma que “considerando valores e crenças existem diferenças na forma de gestão, a mulher é mais cuidadosa, entende o lado emocional, a sensibilidade da mulher é mais aflorada”. A E1 destaca também que a sensibilidade da mulher compreende que determinados funcionários não estão rendendo da mesma maneira todos os dias, que um problema pessoal pode afetar o dia de trabalho enquanto o homem, por ser mais racional, nem sempre se detem a estes detalhes e por vezes acaba sendo considerado distante por não perceber a realidade dos que o cercam.</w:t>
      </w:r>
    </w:p>
    <w:p w:rsidR="00D24E61" w:rsidRPr="00771368" w:rsidRDefault="00D24E61">
      <w:pPr>
        <w:spacing w:line="72" w:lineRule="exact"/>
        <w:rPr>
          <w:sz w:val="20"/>
          <w:szCs w:val="20"/>
        </w:rPr>
      </w:pPr>
    </w:p>
    <w:p w:rsidR="00D24E61" w:rsidRPr="00771368" w:rsidRDefault="00D24E61" w:rsidP="00D61223">
      <w:pPr>
        <w:spacing w:line="350" w:lineRule="auto"/>
        <w:ind w:right="20" w:firstLine="720"/>
        <w:jc w:val="both"/>
        <w:rPr>
          <w:sz w:val="20"/>
          <w:szCs w:val="20"/>
        </w:rPr>
      </w:pPr>
      <w:r w:rsidRPr="00771368">
        <w:rPr>
          <w:sz w:val="24"/>
          <w:szCs w:val="24"/>
        </w:rPr>
        <w:t xml:space="preserve">Na mesma linha da característica da sensibilidade das mulheres a E4 relata que a sensibilidade também prejudica a mulher, “na hora de demitir algum funcionário, a mulher por ser mais sensível não consegue separar o lado emocional e acaba se envolvendo demais com a situação”. Os autores já citavam esta característica da mulher, porém com outras palavras. Andrade </w:t>
      </w:r>
      <w:r w:rsidRPr="00771368">
        <w:rPr>
          <w:i/>
          <w:iCs/>
          <w:sz w:val="24"/>
          <w:szCs w:val="24"/>
        </w:rPr>
        <w:t>et al.</w:t>
      </w:r>
      <w:r w:rsidRPr="00771368">
        <w:rPr>
          <w:sz w:val="24"/>
          <w:szCs w:val="24"/>
        </w:rPr>
        <w:t xml:space="preserve"> (2002) e Grzybovski (2002) utilizavam a caracterísica de cuidadora, de preocupar-se com o outro para descrever a mesma sensibilidade descrita pelas</w:t>
      </w:r>
      <w:r w:rsidR="00D61223">
        <w:rPr>
          <w:sz w:val="20"/>
          <w:szCs w:val="20"/>
        </w:rPr>
        <w:t xml:space="preserve"> </w:t>
      </w:r>
      <w:r w:rsidRPr="00771368">
        <w:rPr>
          <w:sz w:val="24"/>
          <w:szCs w:val="24"/>
        </w:rPr>
        <w:t>entrevistadas. Todas as quatro entrevistadas destacaram o perfil cuidador da mulher gestora, a preocupação dela com a equipe, com o crescimento profissional de cada membro da equipe e relataram a diferença percebida por elas nos gestores do sexo masculino, com palavras semelhantes a E1 e E4 disseram: “os homens são muito práticos e as vezes não percebem que o funcionário não está bem fora da empresa”. Elas frisaram que sempre tentam se aproximar de sua equipe para “tentar ajudar” mesmo que o problema seja particular.</w:t>
      </w:r>
    </w:p>
    <w:p w:rsidR="00D24E61" w:rsidRPr="00771368" w:rsidRDefault="00D24E61">
      <w:pPr>
        <w:spacing w:line="77" w:lineRule="exact"/>
        <w:rPr>
          <w:sz w:val="20"/>
          <w:szCs w:val="20"/>
        </w:rPr>
      </w:pPr>
    </w:p>
    <w:p w:rsidR="00D24E61" w:rsidRPr="00771368" w:rsidRDefault="00D24E61">
      <w:pPr>
        <w:spacing w:line="354" w:lineRule="auto"/>
        <w:ind w:right="20" w:firstLine="720"/>
        <w:jc w:val="both"/>
        <w:rPr>
          <w:sz w:val="20"/>
          <w:szCs w:val="20"/>
        </w:rPr>
      </w:pPr>
      <w:r w:rsidRPr="00771368">
        <w:rPr>
          <w:sz w:val="24"/>
          <w:szCs w:val="24"/>
        </w:rPr>
        <w:t>Algumas das características citadas por Kanan (2010) também foram apontadas, em destaque a intuição, a responsabilidade, a preocupação com o cliente e a boa comunicação como características fortes na gestão feminina. Além disso, para E3 a organização, ponderação, calma e paciência são características femininas na gestão de empresas. Em contrapartida, a E3 relata algumas caracterísicas negativas que a relação da mulher como gestora principal acaba por prejudicar outras mulheres por ciúme, por inveja e sentimentos que são considerados, por ela, da natureza da mulher. E3 afirma que isso pode ser percebido em algumas gestoras. A E4 revela um fato que aconteceu com ela em emprego anterior onde algumas de suas subordinadas não aceitavam as ordens passadas por ela enquanto que para os funcionários homens não havia problema nenhum com as solicitações da gestora. Ela comenta</w:t>
      </w:r>
    </w:p>
    <w:p w:rsidR="00D24E61" w:rsidRPr="00771368" w:rsidRDefault="00D24E61">
      <w:pPr>
        <w:spacing w:line="70" w:lineRule="exact"/>
        <w:rPr>
          <w:sz w:val="20"/>
          <w:szCs w:val="20"/>
        </w:rPr>
      </w:pPr>
    </w:p>
    <w:p w:rsidR="00D24E61" w:rsidRPr="00771368" w:rsidRDefault="00D24E61">
      <w:pPr>
        <w:spacing w:line="308" w:lineRule="auto"/>
        <w:ind w:right="20"/>
        <w:jc w:val="both"/>
        <w:rPr>
          <w:sz w:val="20"/>
          <w:szCs w:val="20"/>
        </w:rPr>
      </w:pPr>
      <w:r w:rsidRPr="00771368">
        <w:rPr>
          <w:sz w:val="24"/>
          <w:szCs w:val="24"/>
        </w:rPr>
        <w:t>“prefiro trabalhar com homens, porque mulher é muito invejosa e não gosta de receber ordens e outra mulher”.</w:t>
      </w:r>
    </w:p>
    <w:p w:rsidR="00D24E61" w:rsidRPr="00771368" w:rsidRDefault="00D24E61">
      <w:pPr>
        <w:spacing w:line="120" w:lineRule="exact"/>
        <w:rPr>
          <w:sz w:val="20"/>
          <w:szCs w:val="20"/>
        </w:rPr>
      </w:pPr>
    </w:p>
    <w:p w:rsidR="00D24E61" w:rsidRPr="00771368" w:rsidRDefault="00D24E61">
      <w:pPr>
        <w:spacing w:line="334" w:lineRule="auto"/>
        <w:ind w:firstLine="720"/>
        <w:jc w:val="both"/>
        <w:rPr>
          <w:sz w:val="20"/>
          <w:szCs w:val="20"/>
        </w:rPr>
      </w:pPr>
      <w:r w:rsidRPr="00771368">
        <w:rPr>
          <w:sz w:val="24"/>
          <w:szCs w:val="24"/>
        </w:rPr>
        <w:t>Nos gestores masculinos as entrevistadas destacam como principais características a racionalidade, praticidade, objetividade, o foco na tarefa e serem mais diretos. É frisado por todas as entrevistadas a objetividade e praticidade com principais características masculinas.</w:t>
      </w:r>
    </w:p>
    <w:p w:rsidR="00D24E61" w:rsidRPr="00771368" w:rsidRDefault="00D24E61">
      <w:pPr>
        <w:spacing w:line="89" w:lineRule="exact"/>
        <w:rPr>
          <w:sz w:val="20"/>
          <w:szCs w:val="20"/>
        </w:rPr>
      </w:pPr>
    </w:p>
    <w:p w:rsidR="00D24E61" w:rsidRPr="00771368" w:rsidRDefault="00D24E61">
      <w:pPr>
        <w:spacing w:line="354" w:lineRule="auto"/>
        <w:ind w:right="20" w:firstLine="720"/>
        <w:jc w:val="both"/>
        <w:rPr>
          <w:sz w:val="20"/>
          <w:szCs w:val="20"/>
        </w:rPr>
      </w:pPr>
      <w:r w:rsidRPr="00771368">
        <w:rPr>
          <w:sz w:val="24"/>
          <w:szCs w:val="24"/>
        </w:rPr>
        <w:t>Como várias perguntas relacionavam perfis, e assim, características de gestão, foi questionado às gestoras sobre o perfil profissional ideal de um grande líder, gestor ou CEO, alguém que tenha o maior cargo dentro de uma organização. Na opinião delas, o executivo de sucesso, ou CEO, deve ter visão sistêmica, visão do todo, ele é um grande líder dentro da organização, deve ter conhecimento técnico, saber ouvir e se comunicar com as pessoas, respeitar o próximo, buscar sempre o melhor para sua equipe. O líder leva as pessoas junto com ele, é o facilitador, tem foco, ele faz a equipe toda crescer com ele. Estas características são observadas tanto em homens quando em mulheres, não sendo descritas pelo gênero e sim pelo perfil profissional. Todas as gestoras afirmaram que o líder ideal não tem gênero, ele tem as características acima citadas, independente de ser homem ou mulher.</w:t>
      </w:r>
    </w:p>
    <w:p w:rsidR="00D24E61" w:rsidRPr="00771368" w:rsidRDefault="00D24E61">
      <w:pPr>
        <w:spacing w:line="70" w:lineRule="exact"/>
        <w:rPr>
          <w:sz w:val="20"/>
          <w:szCs w:val="20"/>
        </w:rPr>
      </w:pPr>
    </w:p>
    <w:p w:rsidR="00D24E61" w:rsidRPr="00771368" w:rsidRDefault="00D24E61" w:rsidP="00D61223">
      <w:pPr>
        <w:spacing w:line="334" w:lineRule="auto"/>
        <w:ind w:right="20" w:firstLine="720"/>
        <w:jc w:val="both"/>
        <w:rPr>
          <w:sz w:val="20"/>
          <w:szCs w:val="20"/>
        </w:rPr>
      </w:pPr>
      <w:r w:rsidRPr="00771368">
        <w:rPr>
          <w:sz w:val="24"/>
          <w:szCs w:val="24"/>
        </w:rPr>
        <w:t>Nas questões relacionadas às diferenças entre os sexos, nenhuma das entrevistadas relatou perceber diferenças no trato recebido pelos clientes por serem as gestoras do sexo feminino. Uma delas apenas citou um caso em que em uma mesa de negociações foi</w:t>
      </w:r>
      <w:r w:rsidR="00D61223">
        <w:rPr>
          <w:sz w:val="20"/>
          <w:szCs w:val="20"/>
        </w:rPr>
        <w:t xml:space="preserve"> </w:t>
      </w:r>
      <w:r w:rsidRPr="00771368">
        <w:rPr>
          <w:sz w:val="24"/>
          <w:szCs w:val="24"/>
        </w:rPr>
        <w:t>necessária a intervenção de seu colega para que ficasse claro que a negociadora e diretora era a mulher e não o homem, neste fato a entrevistada relatou sentir um pouco de insegurança do cliente homem em aceitar a negociação sendo conduzida por uma diretora.</w:t>
      </w:r>
    </w:p>
    <w:p w:rsidR="00D24E61" w:rsidRPr="00771368" w:rsidRDefault="00D24E61">
      <w:pPr>
        <w:spacing w:line="89" w:lineRule="exact"/>
        <w:rPr>
          <w:sz w:val="20"/>
          <w:szCs w:val="20"/>
        </w:rPr>
      </w:pPr>
    </w:p>
    <w:p w:rsidR="00D24E61" w:rsidRPr="00771368" w:rsidRDefault="00D24E61">
      <w:pPr>
        <w:spacing w:line="343" w:lineRule="auto"/>
        <w:ind w:right="20" w:firstLine="720"/>
        <w:jc w:val="both"/>
        <w:rPr>
          <w:sz w:val="20"/>
          <w:szCs w:val="20"/>
        </w:rPr>
      </w:pPr>
      <w:r w:rsidRPr="00771368">
        <w:rPr>
          <w:sz w:val="24"/>
          <w:szCs w:val="24"/>
        </w:rPr>
        <w:t>Vindo de encontro com o autor Kanan (2010) que relatou que os homens possuem dificuldades em obedecer ordens dadas por mulheres, as entrevistadas disseram não sentir tal resistência e uma delas descreveu que os estagiários de sexo masculino, geralmente jovens, demonstram muito respeito em tratar com uma mulher na direção.</w:t>
      </w:r>
    </w:p>
    <w:p w:rsidR="00D24E61" w:rsidRPr="00771368" w:rsidRDefault="00D24E61">
      <w:pPr>
        <w:spacing w:line="78" w:lineRule="exact"/>
        <w:rPr>
          <w:sz w:val="20"/>
          <w:szCs w:val="20"/>
        </w:rPr>
      </w:pPr>
    </w:p>
    <w:p w:rsidR="00D24E61" w:rsidRPr="00771368" w:rsidRDefault="00D24E61">
      <w:pPr>
        <w:spacing w:line="354" w:lineRule="auto"/>
        <w:ind w:firstLine="720"/>
        <w:jc w:val="both"/>
        <w:rPr>
          <w:sz w:val="20"/>
          <w:szCs w:val="20"/>
        </w:rPr>
      </w:pPr>
      <w:r w:rsidRPr="00771368">
        <w:rPr>
          <w:sz w:val="24"/>
          <w:szCs w:val="24"/>
        </w:rPr>
        <w:t>Considerando a barreira profissional que Steil (1997) afirmou existir quase que imperceptível dentro das organizações e chamou de “teto de vidro”, todas as entrevistadas discordam. A E1 afirma que se a mulher se destaca, se é uma excelente profissional, não há barreiras. “O que ocorre é que a mulher se substima e acha que ela não foi promovida por ser mulher, quando na verdade é devido as características específicas da função que exige esta ou aquela habilidade”, afirmou. Esse pensamento descrito pela entrevistada E1 é devido a pressão que a sociedade exerce e que acaba forçando o preconceito. “A partir do momento que mulher pensar apenas nas suas qualidades, defeitos e habilidades ela será mais respeitada no meio organizacional”, diz a E1. A entrevistada 1 faz uma crítica ao comportamento feminino no geral considerando suas experiências com recrutamento e seleção e vivência na</w:t>
      </w:r>
    </w:p>
    <w:p w:rsidR="00D24E61" w:rsidRPr="00771368" w:rsidRDefault="00D24E61">
      <w:pPr>
        <w:spacing w:line="70" w:lineRule="exact"/>
        <w:rPr>
          <w:sz w:val="20"/>
          <w:szCs w:val="20"/>
        </w:rPr>
      </w:pPr>
    </w:p>
    <w:p w:rsidR="00D24E61" w:rsidRPr="00771368" w:rsidRDefault="00D24E61">
      <w:pPr>
        <w:spacing w:line="347" w:lineRule="auto"/>
        <w:jc w:val="both"/>
        <w:rPr>
          <w:sz w:val="20"/>
          <w:szCs w:val="20"/>
        </w:rPr>
      </w:pPr>
      <w:r w:rsidRPr="00771368">
        <w:rPr>
          <w:sz w:val="24"/>
          <w:szCs w:val="24"/>
        </w:rPr>
        <w:t>área de gestão. Para ela “a mulher precisa crescer e amadurecer profissionalmente, mulher não pode ‘dar piti’, ela tem que ouvir de um lado e esquecer de outro, não pode dar bola para bobagens desnecessárias, tem que aprender a pensar como homem.” Esta afirmação da E1 explica como ela vê a realidade de algumas mulheres gestoras e a forma como deveria ser, segundo ela, com o pensamento mais sistêmico e racional que os homens possuem.</w:t>
      </w:r>
    </w:p>
    <w:p w:rsidR="00D24E61" w:rsidRPr="00771368" w:rsidRDefault="00D24E61">
      <w:pPr>
        <w:spacing w:line="76" w:lineRule="exact"/>
        <w:rPr>
          <w:sz w:val="20"/>
          <w:szCs w:val="20"/>
        </w:rPr>
      </w:pPr>
    </w:p>
    <w:p w:rsidR="00D24E61" w:rsidRPr="00771368" w:rsidRDefault="00D24E61" w:rsidP="00D61223">
      <w:pPr>
        <w:spacing w:line="355" w:lineRule="auto"/>
        <w:ind w:firstLine="780"/>
        <w:jc w:val="both"/>
        <w:rPr>
          <w:sz w:val="20"/>
          <w:szCs w:val="20"/>
        </w:rPr>
      </w:pPr>
      <w:r w:rsidRPr="00771368">
        <w:rPr>
          <w:sz w:val="24"/>
          <w:szCs w:val="24"/>
        </w:rPr>
        <w:t xml:space="preserve">Com base nos relatos apresentados por Kanan (2010) e Andrade </w:t>
      </w:r>
      <w:r w:rsidRPr="00771368">
        <w:rPr>
          <w:i/>
          <w:iCs/>
          <w:sz w:val="24"/>
          <w:szCs w:val="24"/>
        </w:rPr>
        <w:t>et al.</w:t>
      </w:r>
      <w:r w:rsidRPr="00771368">
        <w:rPr>
          <w:sz w:val="24"/>
          <w:szCs w:val="24"/>
        </w:rPr>
        <w:t xml:space="preserve"> (2002) que citaram em seus estudos que as mulheres é que abrem mão da carreira para se dedicarem a família, e que a maternidade é uma das causas da interrupção da carreira delas, consegue-se relacionar as opiniões das entrevistadas em relação a cultura familiar a barreira imposta pela natureza humana. Para a E2, E3 e E4 a principal barreira para o cresimento feminino dentro das corporações é uma gestação. A E2 diz “receio pelas mulheres quando penso do ponto de vista corporativo, uma vez que no Brasil, uma mulher em licença maternidade se ausenta por mais de 4 meses e que do ponto de vista da empresa, torna-se um fator que causa baixa produtividade, custo, retrabalho, entre outros.” Para a E3 o fato da mulher engravidar impede o seu crescimento naturalmente, pois o tempo de ausência da empresa durante a licença maternidade vai afetar a sua acensão profissional. A E4 concorda que o mínimo de 4 meses é muito tempo de licença e acredita que a mulher deveria poder escolher se fica todo o tempo</w:t>
      </w:r>
      <w:r w:rsidR="00D61223">
        <w:rPr>
          <w:sz w:val="20"/>
          <w:szCs w:val="20"/>
        </w:rPr>
        <w:t xml:space="preserve"> </w:t>
      </w:r>
      <w:r w:rsidRPr="00771368">
        <w:rPr>
          <w:sz w:val="24"/>
          <w:szCs w:val="24"/>
        </w:rPr>
        <w:t>ou retorna antes a sua função, pois em 4 meses muitas mudanças podem ocorrer e a gestora pode até perder o cargo.</w:t>
      </w:r>
    </w:p>
    <w:p w:rsidR="00D24E61" w:rsidRPr="00771368" w:rsidRDefault="00D24E61">
      <w:pPr>
        <w:spacing w:line="120" w:lineRule="exact"/>
        <w:rPr>
          <w:sz w:val="20"/>
          <w:szCs w:val="20"/>
        </w:rPr>
      </w:pPr>
    </w:p>
    <w:p w:rsidR="00D24E61" w:rsidRPr="00771368" w:rsidRDefault="00D24E61">
      <w:pPr>
        <w:spacing w:line="351" w:lineRule="auto"/>
        <w:ind w:right="20" w:firstLine="708"/>
        <w:jc w:val="both"/>
        <w:rPr>
          <w:sz w:val="20"/>
          <w:szCs w:val="20"/>
        </w:rPr>
      </w:pPr>
      <w:r w:rsidRPr="00771368">
        <w:rPr>
          <w:sz w:val="24"/>
          <w:szCs w:val="24"/>
        </w:rPr>
        <w:t>Relatos da E3 sobre costumes nos países europeus onde trabalhou afirma ainda mais o pensamento de que a licença maternidade cancela o crescimento profissional. A E3 exemplifica a descrição afirmando que na Alemanha as mulheres ficam afastadas da empresa por no mínimo 1 ano podendo ser estendido o período para até 2 anos. Muito diferente do Brasil onde a licença é de 4 meses podendo ser estendida para 6 meses em algumas instituições. A entrevistada ainda descrevendo o país europeu destaca que mesmo que a mulher não queira ficar todo o tempo afastada, ela é praticamente obrigada pela cultura local.</w:t>
      </w:r>
    </w:p>
    <w:p w:rsidR="00D24E61" w:rsidRPr="00771368" w:rsidRDefault="00D24E61">
      <w:pPr>
        <w:spacing w:line="72" w:lineRule="exact"/>
        <w:rPr>
          <w:sz w:val="20"/>
          <w:szCs w:val="20"/>
        </w:rPr>
      </w:pPr>
    </w:p>
    <w:p w:rsidR="00D24E61" w:rsidRPr="00771368" w:rsidRDefault="00D24E61">
      <w:pPr>
        <w:spacing w:line="334" w:lineRule="auto"/>
        <w:ind w:right="20"/>
        <w:jc w:val="both"/>
        <w:rPr>
          <w:sz w:val="20"/>
          <w:szCs w:val="20"/>
        </w:rPr>
      </w:pPr>
      <w:r w:rsidRPr="00771368">
        <w:rPr>
          <w:sz w:val="24"/>
          <w:szCs w:val="24"/>
        </w:rPr>
        <w:t>“Para a família e a cultura do país, a mulher tem obrigação de cuidar do filho no primeiro ano e, além disso, não existem creches ou escolas que recebam crianças com poucos meses de vida”, tornando a presença próxima da mãe extremamente necessária.</w:t>
      </w:r>
    </w:p>
    <w:p w:rsidR="00D24E61" w:rsidRPr="00771368" w:rsidRDefault="00D24E61">
      <w:pPr>
        <w:spacing w:line="91" w:lineRule="exact"/>
        <w:rPr>
          <w:sz w:val="20"/>
          <w:szCs w:val="20"/>
        </w:rPr>
      </w:pPr>
    </w:p>
    <w:p w:rsidR="00D24E61" w:rsidRDefault="00D24E61" w:rsidP="00D61223">
      <w:pPr>
        <w:spacing w:line="353" w:lineRule="auto"/>
        <w:ind w:right="20" w:firstLine="720"/>
        <w:jc w:val="both"/>
        <w:rPr>
          <w:sz w:val="24"/>
          <w:szCs w:val="24"/>
        </w:rPr>
      </w:pPr>
      <w:r w:rsidRPr="00771368">
        <w:rPr>
          <w:sz w:val="24"/>
          <w:szCs w:val="24"/>
        </w:rPr>
        <w:t>Considerando este aspecto familiar, percebe-se na narração feita pelas entrevistadas que a principal barreira para a ascensão da mulher dentro das organizações é conciliar a carreira com a maternidade. A carreira de sucesso sonhada por toda mulher atuante no mercado global é dividida com a vida pessoal, com o sonho de infância de casar e ter filhos. Hoje a profissional bem sucedida vive em contradição com a maternidade, pois o sucesso se aproxima junto com a idade de gerar vida, e este dom de gerar acaba interferindo na escolha de ser a grande profissional. Um dilema, uma escolha, que perturba as gestoras mas que não pode ser definida nem defendida por nenhuma parte pois cabe somente a ela a escolha entre carreira e maternidade.</w:t>
      </w:r>
    </w:p>
    <w:p w:rsidR="00D61223" w:rsidRDefault="00D61223" w:rsidP="00D61223">
      <w:pPr>
        <w:spacing w:line="353" w:lineRule="auto"/>
        <w:ind w:right="20" w:firstLine="720"/>
        <w:jc w:val="both"/>
        <w:rPr>
          <w:sz w:val="24"/>
          <w:szCs w:val="24"/>
        </w:rPr>
      </w:pPr>
    </w:p>
    <w:p w:rsidR="00D61223" w:rsidRPr="00771368" w:rsidRDefault="00D61223" w:rsidP="00D61223">
      <w:pPr>
        <w:spacing w:line="353" w:lineRule="auto"/>
        <w:ind w:right="20" w:firstLine="720"/>
        <w:jc w:val="both"/>
        <w:rPr>
          <w:sz w:val="20"/>
          <w:szCs w:val="20"/>
        </w:rPr>
      </w:pPr>
    </w:p>
    <w:p w:rsidR="00D24E61" w:rsidRPr="00771368" w:rsidRDefault="00D24E61">
      <w:pPr>
        <w:spacing w:line="200" w:lineRule="exact"/>
        <w:rPr>
          <w:sz w:val="20"/>
          <w:szCs w:val="20"/>
        </w:rPr>
      </w:pPr>
    </w:p>
    <w:p w:rsidR="00D24E61" w:rsidRPr="00771368" w:rsidRDefault="00D24E61">
      <w:pPr>
        <w:spacing w:line="247" w:lineRule="exact"/>
        <w:rPr>
          <w:sz w:val="20"/>
          <w:szCs w:val="20"/>
        </w:rPr>
      </w:pPr>
    </w:p>
    <w:p w:rsidR="00D24E61" w:rsidRPr="00771368" w:rsidRDefault="00D24E61">
      <w:pPr>
        <w:rPr>
          <w:sz w:val="20"/>
          <w:szCs w:val="20"/>
        </w:rPr>
      </w:pPr>
      <w:r w:rsidRPr="00771368">
        <w:rPr>
          <w:b/>
          <w:bCs/>
          <w:sz w:val="24"/>
          <w:szCs w:val="24"/>
        </w:rPr>
        <w:t>6 Considerações finais</w:t>
      </w:r>
    </w:p>
    <w:p w:rsidR="00D24E61" w:rsidRPr="00771368" w:rsidRDefault="00D24E61">
      <w:pPr>
        <w:spacing w:line="200" w:lineRule="exact"/>
        <w:rPr>
          <w:sz w:val="20"/>
          <w:szCs w:val="20"/>
        </w:rPr>
      </w:pPr>
    </w:p>
    <w:p w:rsidR="00D24E61" w:rsidRPr="00771368" w:rsidRDefault="00D24E61">
      <w:pPr>
        <w:spacing w:line="334" w:lineRule="auto"/>
        <w:ind w:right="20" w:firstLine="720"/>
        <w:jc w:val="both"/>
        <w:rPr>
          <w:sz w:val="20"/>
          <w:szCs w:val="20"/>
        </w:rPr>
      </w:pPr>
      <w:r w:rsidRPr="00771368">
        <w:rPr>
          <w:sz w:val="24"/>
          <w:szCs w:val="24"/>
        </w:rPr>
        <w:t>Com o crescimento do mundo corporativo, as empresas não tem mais barreiras, elas são globais. Cresce com isso o aperfeiçoamento profissional e a busca pela melhor qualificação, pelo melhor cargo, pelo melhor salário.</w:t>
      </w:r>
    </w:p>
    <w:p w:rsidR="00D24E61" w:rsidRPr="00771368" w:rsidRDefault="00D24E61">
      <w:pPr>
        <w:spacing w:line="91" w:lineRule="exact"/>
        <w:rPr>
          <w:sz w:val="20"/>
          <w:szCs w:val="20"/>
        </w:rPr>
      </w:pPr>
    </w:p>
    <w:p w:rsidR="00D24E61" w:rsidRPr="00771368" w:rsidRDefault="00D24E61" w:rsidP="00D61223">
      <w:pPr>
        <w:spacing w:line="347" w:lineRule="auto"/>
        <w:ind w:firstLine="720"/>
        <w:jc w:val="both"/>
        <w:rPr>
          <w:sz w:val="20"/>
          <w:szCs w:val="20"/>
        </w:rPr>
      </w:pPr>
      <w:r w:rsidRPr="00771368">
        <w:rPr>
          <w:sz w:val="24"/>
          <w:szCs w:val="24"/>
        </w:rPr>
        <w:t xml:space="preserve">É discutido por muitos autores (SÊCA, 2011; BENEDICTO </w:t>
      </w:r>
      <w:r w:rsidRPr="00771368">
        <w:rPr>
          <w:i/>
          <w:iCs/>
          <w:sz w:val="24"/>
          <w:szCs w:val="24"/>
        </w:rPr>
        <w:t>et al.</w:t>
      </w:r>
      <w:r w:rsidRPr="00771368">
        <w:rPr>
          <w:sz w:val="24"/>
          <w:szCs w:val="24"/>
        </w:rPr>
        <w:t xml:space="preserve">, 2006; CAPPELLE, 2004; ANDRADE </w:t>
      </w:r>
      <w:r w:rsidRPr="00771368">
        <w:rPr>
          <w:i/>
          <w:iCs/>
          <w:sz w:val="24"/>
          <w:szCs w:val="24"/>
        </w:rPr>
        <w:t>et al</w:t>
      </w:r>
      <w:r w:rsidRPr="00771368">
        <w:rPr>
          <w:sz w:val="24"/>
          <w:szCs w:val="24"/>
        </w:rPr>
        <w:t>., 2002; STEIL, 1997) algumas diferenças de perfil profissional, onde alguns são definidos pelo gênero. O gênero feminino inicialmente considerado frágil hoje lidera diversas áreas de gestão, é visto como reponsável, organizado, com visão do todo e extremante cuidadoso com a equipe que o rodeia., O gênero masculino, com muitos pontos a</w:t>
      </w:r>
      <w:r w:rsidR="00D61223">
        <w:rPr>
          <w:sz w:val="20"/>
          <w:szCs w:val="20"/>
        </w:rPr>
        <w:t xml:space="preserve"> </w:t>
      </w:r>
      <w:r w:rsidRPr="00771368">
        <w:rPr>
          <w:sz w:val="24"/>
          <w:szCs w:val="24"/>
        </w:rPr>
        <w:t>destacar, também possui perfil de liderança, porém a qualidade mais reconhecida como diferencial é sua praticidade e rapidez para solução de problemas. O homem não se detém a detalhes, pensa no que deve ser feito e tem a visão sistêmica da organização. O estudo proposto buscou aprofundar o tema de diferenças entre a gestão feminina e masculina e compreender se há ou não barreiras para o crescimento da mulher dentro das organizações.</w:t>
      </w:r>
    </w:p>
    <w:p w:rsidR="00D24E61" w:rsidRPr="00771368" w:rsidRDefault="00D24E61">
      <w:pPr>
        <w:spacing w:line="74" w:lineRule="exact"/>
        <w:rPr>
          <w:sz w:val="20"/>
          <w:szCs w:val="20"/>
        </w:rPr>
      </w:pPr>
    </w:p>
    <w:p w:rsidR="00D24E61" w:rsidRPr="00771368" w:rsidRDefault="00D24E61">
      <w:pPr>
        <w:spacing w:line="353" w:lineRule="auto"/>
        <w:ind w:firstLine="720"/>
        <w:jc w:val="both"/>
        <w:rPr>
          <w:sz w:val="20"/>
          <w:szCs w:val="20"/>
        </w:rPr>
      </w:pPr>
      <w:r w:rsidRPr="00771368">
        <w:rPr>
          <w:sz w:val="24"/>
          <w:szCs w:val="24"/>
        </w:rPr>
        <w:t>A pesquisa foi realizada através de entrevistas em profundidade com quatro gestoras de empresas e a partir das experiências delas chegou-se a algumas conclusões. Constatou-se que em relação a profissionalismo, empenho, dedicação a carreira da mulher está totalmente igualada ao homem. As características de gestão podem ser tanto femininas quanto masculinas, as principais diferenças são conhecidas a anos e consideradas específicas de cada sexo. O principal fator que pode impedir a rápida ascensão da mulher é da própria natureza feminina, de cunho humano e não técnico, que é a maternidade. Cabe, assim, a própria mulher decidir quando e se é sua vontade investir fortemente na carreira ou dedicar parte de seu empenho na constituição da família.</w:t>
      </w:r>
    </w:p>
    <w:p w:rsidR="00D24E61" w:rsidRPr="00771368" w:rsidRDefault="00D24E61">
      <w:pPr>
        <w:spacing w:line="75" w:lineRule="exact"/>
        <w:rPr>
          <w:sz w:val="20"/>
          <w:szCs w:val="20"/>
        </w:rPr>
      </w:pPr>
    </w:p>
    <w:p w:rsidR="00D24E61" w:rsidRPr="00771368" w:rsidRDefault="00D24E61">
      <w:pPr>
        <w:spacing w:line="342" w:lineRule="auto"/>
        <w:ind w:firstLine="720"/>
        <w:jc w:val="both"/>
        <w:rPr>
          <w:sz w:val="20"/>
          <w:szCs w:val="20"/>
        </w:rPr>
      </w:pPr>
      <w:r w:rsidRPr="00771368">
        <w:rPr>
          <w:sz w:val="24"/>
          <w:szCs w:val="24"/>
        </w:rPr>
        <w:t>As gestoras entrevistadas destacaram pelas experiências vividas por elas que esta difícil e importante decisão pode prejudicar o crescimento profissional da mulher, então sem certo ou errado, sem opinião a defender, a única pessoa que pode decidir se continua a investir na carreira ou opta pela pausa para gerar uma vida é a própria mulher.</w:t>
      </w:r>
    </w:p>
    <w:p w:rsidR="00D24E61" w:rsidRPr="00771368" w:rsidRDefault="00D24E61">
      <w:pPr>
        <w:spacing w:line="83" w:lineRule="exact"/>
        <w:rPr>
          <w:sz w:val="20"/>
          <w:szCs w:val="20"/>
        </w:rPr>
      </w:pPr>
    </w:p>
    <w:p w:rsidR="00D24E61" w:rsidRPr="00771368" w:rsidRDefault="00D24E61">
      <w:pPr>
        <w:spacing w:line="352" w:lineRule="auto"/>
        <w:ind w:right="20" w:firstLine="708"/>
        <w:jc w:val="both"/>
        <w:rPr>
          <w:sz w:val="20"/>
          <w:szCs w:val="20"/>
        </w:rPr>
      </w:pPr>
      <w:r w:rsidRPr="00771368">
        <w:rPr>
          <w:sz w:val="24"/>
          <w:szCs w:val="24"/>
        </w:rPr>
        <w:t>Como sugestão para estudos futuros pode-se continuar a análise com a relação de mulheres gestoras com filhos em idades abaixo de 2 anos, como ela concilia a carreira com o cuidado ao filho pequeno e como foi a opção pela maternidade, se esta escolha acarretou alguma perda profissional. A sugestão de analisar perfis diferentes de mulheres, em cargos diferentes também pode apresentar outros resultados, já que o perfil neste estudo era homogêneo. Uma pesquisa ampla, com entrevistas de ambos os gêneros analisando sob o aspecto da comparação de como é executada a função por cada gênero contribuiria para a verificação de diferenças entre eles.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7" w:lineRule="exact"/>
        <w:rPr>
          <w:sz w:val="20"/>
          <w:szCs w:val="20"/>
        </w:rPr>
      </w:pPr>
    </w:p>
    <w:p w:rsidR="00D24E61" w:rsidRPr="00771368" w:rsidRDefault="00D24E61">
      <w:pPr>
        <w:ind w:left="3640"/>
        <w:rPr>
          <w:sz w:val="20"/>
          <w:szCs w:val="20"/>
        </w:rPr>
      </w:pPr>
      <w:r w:rsidRPr="00771368">
        <w:rPr>
          <w:b/>
          <w:bCs/>
          <w:sz w:val="24"/>
          <w:szCs w:val="24"/>
        </w:rPr>
        <w:t>BIBLIOGRAFIA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Default="00D24E61" w:rsidP="00D61223">
      <w:pPr>
        <w:spacing w:line="223" w:lineRule="auto"/>
        <w:ind w:right="20"/>
        <w:jc w:val="both"/>
        <w:rPr>
          <w:sz w:val="24"/>
          <w:szCs w:val="24"/>
        </w:rPr>
      </w:pPr>
      <w:r w:rsidRPr="00771368">
        <w:rPr>
          <w:sz w:val="24"/>
          <w:szCs w:val="24"/>
        </w:rPr>
        <w:t xml:space="preserve">ANDRADE, Á. L. S.; CAPPELLE, M. C. A.; BRITO, M. J. de; NETO, A. P.; VILAS BOAS, L. H. B. Gênero nas organizações: um estudo no setor bancário. </w:t>
      </w:r>
      <w:r w:rsidRPr="00771368">
        <w:rPr>
          <w:i/>
          <w:iCs/>
          <w:sz w:val="24"/>
          <w:szCs w:val="24"/>
        </w:rPr>
        <w:t>RAE-eletrônica</w:t>
      </w:r>
      <w:r w:rsidR="00D61223">
        <w:rPr>
          <w:sz w:val="24"/>
          <w:szCs w:val="24"/>
        </w:rPr>
        <w:t>, v. 1, n. 2, Jul/Dez. 2002.</w:t>
      </w:r>
    </w:p>
    <w:p w:rsidR="00D24E61" w:rsidRPr="00771368" w:rsidRDefault="00D24E61">
      <w:pPr>
        <w:spacing w:line="357"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BENEDICTO, S. C. D.; PEREIRA, W. D.; STIEG, C. M.; PENIDO, A. M. S.; RODRIGUES, A. C. Relações de gênero e poder: uma análise do comportamento humano nas organizações. </w:t>
      </w:r>
      <w:r w:rsidRPr="00771368">
        <w:rPr>
          <w:i/>
          <w:iCs/>
          <w:sz w:val="24"/>
          <w:szCs w:val="24"/>
        </w:rPr>
        <w:t>XVII ENANGRAD</w:t>
      </w:r>
      <w:r w:rsidRPr="00771368">
        <w:rPr>
          <w:sz w:val="24"/>
          <w:szCs w:val="24"/>
        </w:rPr>
        <w:t>. São Luís, Maranhão, 2006.</w:t>
      </w:r>
    </w:p>
    <w:p w:rsidR="00D24E61" w:rsidRPr="00771368" w:rsidRDefault="00D24E61">
      <w:pPr>
        <w:spacing w:line="335" w:lineRule="exact"/>
        <w:rPr>
          <w:sz w:val="20"/>
          <w:szCs w:val="20"/>
        </w:rPr>
      </w:pPr>
    </w:p>
    <w:p w:rsidR="00D24E61" w:rsidRPr="00771368" w:rsidRDefault="00D24E61">
      <w:pPr>
        <w:spacing w:line="223" w:lineRule="auto"/>
        <w:ind w:right="20"/>
        <w:jc w:val="both"/>
        <w:rPr>
          <w:sz w:val="20"/>
          <w:szCs w:val="20"/>
        </w:rPr>
      </w:pPr>
      <w:r w:rsidRPr="00771368">
        <w:rPr>
          <w:sz w:val="24"/>
          <w:szCs w:val="24"/>
        </w:rPr>
        <w:t xml:space="preserve">CAPPELLE, M. C. A.; MELO, M. C. O. L.; BRITO, M. J. M.; BRITO, M. J. Uma análise da dinâmica do poder e das relações de gênero no espaço organizacional. </w:t>
      </w:r>
      <w:r w:rsidRPr="00771368">
        <w:rPr>
          <w:i/>
          <w:iCs/>
          <w:sz w:val="24"/>
          <w:szCs w:val="24"/>
        </w:rPr>
        <w:t>RAE-eletrônica</w:t>
      </w:r>
      <w:r w:rsidRPr="00771368">
        <w:rPr>
          <w:sz w:val="24"/>
          <w:szCs w:val="24"/>
        </w:rPr>
        <w:t>, v. 3, n. 2, Art. 22, Jul/Dez. 2004.</w:t>
      </w:r>
    </w:p>
    <w:p w:rsidR="00D24E61" w:rsidRPr="00771368" w:rsidRDefault="00D24E61">
      <w:pPr>
        <w:spacing w:line="335" w:lineRule="exact"/>
        <w:rPr>
          <w:sz w:val="20"/>
          <w:szCs w:val="20"/>
        </w:rPr>
      </w:pPr>
    </w:p>
    <w:p w:rsidR="00D24E61" w:rsidRPr="00771368" w:rsidRDefault="00D24E61">
      <w:pPr>
        <w:spacing w:line="223" w:lineRule="auto"/>
        <w:ind w:right="80"/>
        <w:jc w:val="both"/>
        <w:rPr>
          <w:sz w:val="20"/>
          <w:szCs w:val="20"/>
        </w:rPr>
      </w:pPr>
      <w:r w:rsidRPr="00771368">
        <w:rPr>
          <w:sz w:val="24"/>
          <w:szCs w:val="24"/>
        </w:rPr>
        <w:t xml:space="preserve">DIEDRICH, Marlei Maria. </w:t>
      </w:r>
      <w:r w:rsidRPr="00771368">
        <w:rPr>
          <w:i/>
          <w:iCs/>
          <w:sz w:val="24"/>
          <w:szCs w:val="24"/>
        </w:rPr>
        <w:t>Bê-a-bá da metodologia de trabalhos acadêmicos e científicos</w:t>
      </w:r>
      <w:r w:rsidRPr="00771368">
        <w:rPr>
          <w:sz w:val="24"/>
          <w:szCs w:val="24"/>
        </w:rPr>
        <w:t>: uma orientação prática a alunos de graduação e de pós-graduação. 2. ed. rev. e ampliada. Passo Fundo: IMED, 2009.</w:t>
      </w:r>
    </w:p>
    <w:p w:rsidR="00D24E61" w:rsidRPr="00771368" w:rsidRDefault="00D24E61">
      <w:pPr>
        <w:spacing w:line="335" w:lineRule="exact"/>
        <w:rPr>
          <w:sz w:val="20"/>
          <w:szCs w:val="20"/>
        </w:rPr>
      </w:pPr>
    </w:p>
    <w:p w:rsidR="00D24E61" w:rsidRPr="00771368" w:rsidRDefault="00D24E61">
      <w:pPr>
        <w:spacing w:line="223" w:lineRule="auto"/>
        <w:jc w:val="both"/>
        <w:rPr>
          <w:sz w:val="20"/>
          <w:szCs w:val="20"/>
        </w:rPr>
      </w:pPr>
      <w:r w:rsidRPr="00771368">
        <w:rPr>
          <w:sz w:val="24"/>
          <w:szCs w:val="24"/>
        </w:rPr>
        <w:t xml:space="preserve">FIGUEIREDO, P. M. ; ZANELLA, L. C. H. ; Percepções de mulheres profissionais em meio ao cenário da reestruturação produtiva: a persistência de uma emancipação limitada? </w:t>
      </w:r>
      <w:r w:rsidRPr="00771368">
        <w:rPr>
          <w:i/>
          <w:iCs/>
          <w:sz w:val="24"/>
          <w:szCs w:val="24"/>
        </w:rPr>
        <w:t>Revista</w:t>
      </w:r>
      <w:r w:rsidRPr="00771368">
        <w:rPr>
          <w:sz w:val="24"/>
          <w:szCs w:val="24"/>
        </w:rPr>
        <w:t xml:space="preserve"> </w:t>
      </w:r>
      <w:r w:rsidRPr="00771368">
        <w:rPr>
          <w:i/>
          <w:iCs/>
          <w:sz w:val="24"/>
          <w:szCs w:val="24"/>
        </w:rPr>
        <w:t>de Ciências da Administração</w:t>
      </w:r>
      <w:r w:rsidRPr="00771368">
        <w:rPr>
          <w:sz w:val="24"/>
          <w:szCs w:val="24"/>
        </w:rPr>
        <w:t>, v. 10, n. 20, p. 141-164, Jan/Abr. 2008.</w:t>
      </w:r>
    </w:p>
    <w:p w:rsidR="00D24E61" w:rsidRPr="00771368" w:rsidRDefault="00D24E61">
      <w:pPr>
        <w:spacing w:line="335" w:lineRule="exact"/>
        <w:rPr>
          <w:sz w:val="20"/>
          <w:szCs w:val="20"/>
        </w:rPr>
      </w:pPr>
    </w:p>
    <w:p w:rsidR="00D24E61" w:rsidRPr="00D61223" w:rsidRDefault="00D24E61">
      <w:pPr>
        <w:spacing w:line="223" w:lineRule="auto"/>
        <w:ind w:right="20"/>
        <w:jc w:val="both"/>
        <w:rPr>
          <w:sz w:val="20"/>
          <w:szCs w:val="20"/>
          <w:lang w:val="en-US"/>
        </w:rPr>
      </w:pPr>
      <w:r w:rsidRPr="00D61223">
        <w:rPr>
          <w:sz w:val="24"/>
          <w:szCs w:val="24"/>
          <w:lang w:val="en-US"/>
        </w:rPr>
        <w:t xml:space="preserve">GRAHAN, J. F.; STENDARDI JR, E. J.; MYERS, J. K., GRAHAM, M. J. Gender differences in investment strategies: an information processing perspective. </w:t>
      </w:r>
      <w:r w:rsidRPr="00D61223">
        <w:rPr>
          <w:i/>
          <w:iCs/>
          <w:sz w:val="24"/>
          <w:szCs w:val="24"/>
          <w:lang w:val="en-US"/>
        </w:rPr>
        <w:t>International</w:t>
      </w:r>
      <w:r w:rsidRPr="00D61223">
        <w:rPr>
          <w:sz w:val="24"/>
          <w:szCs w:val="24"/>
          <w:lang w:val="en-US"/>
        </w:rPr>
        <w:t xml:space="preserve"> </w:t>
      </w:r>
      <w:r w:rsidRPr="00D61223">
        <w:rPr>
          <w:i/>
          <w:iCs/>
          <w:sz w:val="24"/>
          <w:szCs w:val="24"/>
          <w:lang w:val="en-US"/>
        </w:rPr>
        <w:t>Journal of Bank Marketing</w:t>
      </w:r>
      <w:r w:rsidRPr="00D61223">
        <w:rPr>
          <w:sz w:val="24"/>
          <w:szCs w:val="24"/>
          <w:lang w:val="en-US"/>
        </w:rPr>
        <w:t>, v. 20, n. 1, p. 17-26, 2002.</w:t>
      </w:r>
    </w:p>
    <w:p w:rsidR="00D24E61" w:rsidRPr="00D61223" w:rsidRDefault="00D24E61">
      <w:pPr>
        <w:spacing w:line="335" w:lineRule="exact"/>
        <w:rPr>
          <w:sz w:val="20"/>
          <w:szCs w:val="20"/>
          <w:lang w:val="en-US"/>
        </w:rPr>
      </w:pPr>
    </w:p>
    <w:p w:rsidR="00D24E61" w:rsidRPr="00771368" w:rsidRDefault="00D24E61">
      <w:pPr>
        <w:spacing w:line="214" w:lineRule="auto"/>
        <w:ind w:right="20"/>
        <w:jc w:val="both"/>
        <w:rPr>
          <w:sz w:val="20"/>
          <w:szCs w:val="20"/>
        </w:rPr>
      </w:pPr>
      <w:r w:rsidRPr="00D61223">
        <w:rPr>
          <w:sz w:val="24"/>
          <w:szCs w:val="24"/>
          <w:lang w:val="en-US"/>
        </w:rPr>
        <w:t xml:space="preserve">GRZYBOVSKI, D. BOSCARIN, R. MIGOTT, A. M. B. Estilo feminino de gestão em empresas familiares gaúchas. </w:t>
      </w:r>
      <w:r w:rsidRPr="00771368">
        <w:rPr>
          <w:i/>
          <w:iCs/>
          <w:sz w:val="24"/>
          <w:szCs w:val="24"/>
        </w:rPr>
        <w:t>RAC</w:t>
      </w:r>
      <w:r w:rsidRPr="00771368">
        <w:rPr>
          <w:sz w:val="24"/>
          <w:szCs w:val="24"/>
        </w:rPr>
        <w:t>, v. 6, n. 2, p. 185-207. Maio/Ago. 2002.</w:t>
      </w:r>
    </w:p>
    <w:p w:rsidR="00D24E61" w:rsidRPr="00771368" w:rsidRDefault="00D24E61">
      <w:pPr>
        <w:spacing w:line="336"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KANAN, Lilia Aparecida. Poder e liderança de mulheres nas organizações de trabalho. </w:t>
      </w:r>
      <w:r w:rsidRPr="00771368">
        <w:rPr>
          <w:i/>
          <w:iCs/>
          <w:sz w:val="24"/>
          <w:szCs w:val="24"/>
        </w:rPr>
        <w:t>Revista O&amp;S</w:t>
      </w:r>
      <w:r w:rsidRPr="00771368">
        <w:rPr>
          <w:sz w:val="24"/>
          <w:szCs w:val="24"/>
        </w:rPr>
        <w:t>, Salvador, v.17, n. 53, p. 243-257, Abril/Junho. 2010.</w:t>
      </w:r>
    </w:p>
    <w:p w:rsidR="00D24E61" w:rsidRPr="00771368" w:rsidRDefault="00D24E61">
      <w:pPr>
        <w:spacing w:line="336" w:lineRule="exact"/>
        <w:rPr>
          <w:sz w:val="20"/>
          <w:szCs w:val="20"/>
        </w:rPr>
      </w:pPr>
    </w:p>
    <w:p w:rsidR="00D24E61" w:rsidRPr="00771368" w:rsidRDefault="00D24E61">
      <w:pPr>
        <w:spacing w:line="214" w:lineRule="auto"/>
        <w:ind w:right="20"/>
        <w:jc w:val="both"/>
        <w:rPr>
          <w:sz w:val="20"/>
          <w:szCs w:val="20"/>
        </w:rPr>
      </w:pPr>
      <w:r w:rsidRPr="00771368">
        <w:rPr>
          <w:sz w:val="24"/>
          <w:szCs w:val="24"/>
        </w:rPr>
        <w:t xml:space="preserve">LIPOVETSKY, Gilles. </w:t>
      </w:r>
      <w:r w:rsidRPr="00771368">
        <w:rPr>
          <w:i/>
          <w:iCs/>
          <w:sz w:val="24"/>
          <w:szCs w:val="24"/>
        </w:rPr>
        <w:t>A terceira mulher</w:t>
      </w:r>
      <w:r w:rsidRPr="00771368">
        <w:rPr>
          <w:sz w:val="24"/>
          <w:szCs w:val="24"/>
        </w:rPr>
        <w:t>: permanência e revolução do feminino. Companhia das Letras, São Paulo: 2000.</w:t>
      </w:r>
    </w:p>
    <w:p w:rsidR="00D24E61" w:rsidRPr="00771368" w:rsidRDefault="00D24E61">
      <w:pPr>
        <w:spacing w:line="336" w:lineRule="exact"/>
        <w:rPr>
          <w:sz w:val="20"/>
          <w:szCs w:val="20"/>
        </w:rPr>
      </w:pPr>
    </w:p>
    <w:p w:rsidR="00D24E61" w:rsidRPr="00D61223" w:rsidRDefault="00D24E61">
      <w:pPr>
        <w:spacing w:line="223" w:lineRule="auto"/>
        <w:ind w:right="20"/>
        <w:jc w:val="both"/>
        <w:rPr>
          <w:sz w:val="20"/>
          <w:szCs w:val="20"/>
          <w:lang w:val="en-US"/>
        </w:rPr>
      </w:pPr>
      <w:r w:rsidRPr="00771368">
        <w:rPr>
          <w:sz w:val="24"/>
          <w:szCs w:val="24"/>
        </w:rPr>
        <w:t xml:space="preserve">MADALOZZO, Regina. CEOs e composição do conselho de administração: a falta de identificação pode ser motivo para existência de teto de vidro para mulheres no Brasil? </w:t>
      </w:r>
      <w:r w:rsidRPr="00D61223">
        <w:rPr>
          <w:i/>
          <w:iCs/>
          <w:sz w:val="24"/>
          <w:szCs w:val="24"/>
          <w:lang w:val="en-US"/>
        </w:rPr>
        <w:t>RAC,</w:t>
      </w:r>
      <w:r w:rsidRPr="00D61223">
        <w:rPr>
          <w:sz w:val="24"/>
          <w:szCs w:val="24"/>
          <w:lang w:val="en-US"/>
        </w:rPr>
        <w:t xml:space="preserve"> Curitiba, v. 15, n. 1, art. 7, p. 126-137, Jan/Fev. 2011.</w:t>
      </w:r>
    </w:p>
    <w:p w:rsidR="00D24E61" w:rsidRPr="00D61223" w:rsidRDefault="00D24E61">
      <w:pPr>
        <w:spacing w:line="335" w:lineRule="exact"/>
        <w:rPr>
          <w:sz w:val="20"/>
          <w:szCs w:val="20"/>
          <w:lang w:val="en-US"/>
        </w:rPr>
      </w:pPr>
    </w:p>
    <w:p w:rsidR="00D24E61" w:rsidRPr="00D61223" w:rsidRDefault="00D24E61">
      <w:pPr>
        <w:spacing w:line="214" w:lineRule="auto"/>
        <w:ind w:right="20"/>
        <w:jc w:val="both"/>
        <w:rPr>
          <w:sz w:val="20"/>
          <w:szCs w:val="20"/>
          <w:lang w:val="en-US"/>
        </w:rPr>
      </w:pPr>
      <w:r w:rsidRPr="00D61223">
        <w:rPr>
          <w:sz w:val="24"/>
          <w:szCs w:val="24"/>
          <w:lang w:val="en-US"/>
        </w:rPr>
        <w:t xml:space="preserve">MALHOTRA, Naresh. </w:t>
      </w:r>
      <w:r w:rsidRPr="00771368">
        <w:rPr>
          <w:i/>
          <w:iCs/>
          <w:sz w:val="24"/>
          <w:szCs w:val="24"/>
        </w:rPr>
        <w:t>Pesquisa de marketing</w:t>
      </w:r>
      <w:r w:rsidRPr="00771368">
        <w:rPr>
          <w:sz w:val="24"/>
          <w:szCs w:val="24"/>
        </w:rPr>
        <w:t xml:space="preserve">: uma orientação aplicada. </w:t>
      </w:r>
      <w:r w:rsidRPr="00D61223">
        <w:rPr>
          <w:sz w:val="24"/>
          <w:szCs w:val="24"/>
          <w:lang w:val="en-US"/>
        </w:rPr>
        <w:t>6. Ed. Porto Alegre: Artmed, 2012.</w:t>
      </w:r>
    </w:p>
    <w:p w:rsidR="00D24E61" w:rsidRPr="00D61223" w:rsidRDefault="00D24E61">
      <w:pPr>
        <w:spacing w:line="336" w:lineRule="exact"/>
        <w:rPr>
          <w:sz w:val="20"/>
          <w:szCs w:val="20"/>
          <w:lang w:val="en-US"/>
        </w:rPr>
      </w:pPr>
    </w:p>
    <w:p w:rsidR="00D24E61" w:rsidRPr="00D61223" w:rsidRDefault="00D24E61">
      <w:pPr>
        <w:spacing w:line="223" w:lineRule="auto"/>
        <w:ind w:right="20"/>
        <w:jc w:val="both"/>
        <w:rPr>
          <w:sz w:val="20"/>
          <w:szCs w:val="20"/>
          <w:lang w:val="en-US"/>
        </w:rPr>
      </w:pPr>
      <w:r w:rsidRPr="00D61223">
        <w:rPr>
          <w:sz w:val="24"/>
          <w:szCs w:val="24"/>
          <w:lang w:val="en-US"/>
        </w:rPr>
        <w:t xml:space="preserve">MELNYK, V.; OSSELAER, S. M. J. V.; BIJMOLT, T. H. A. Are women more loyal customers than men? Gender differences in loyalty to firms and individual service providers. </w:t>
      </w:r>
      <w:r w:rsidRPr="00D61223">
        <w:rPr>
          <w:i/>
          <w:iCs/>
          <w:sz w:val="24"/>
          <w:szCs w:val="24"/>
          <w:lang w:val="en-US"/>
        </w:rPr>
        <w:t>Journal of Marketing</w:t>
      </w:r>
      <w:r w:rsidRPr="00D61223">
        <w:rPr>
          <w:sz w:val="24"/>
          <w:szCs w:val="24"/>
          <w:lang w:val="en-US"/>
        </w:rPr>
        <w:t>. v. 73, p. 82-96, 2009.</w:t>
      </w:r>
    </w:p>
    <w:p w:rsidR="00D24E61" w:rsidRPr="00D61223" w:rsidRDefault="00D24E61">
      <w:pPr>
        <w:spacing w:line="335" w:lineRule="exact"/>
        <w:rPr>
          <w:sz w:val="20"/>
          <w:szCs w:val="20"/>
          <w:lang w:val="en-US"/>
        </w:rPr>
      </w:pPr>
    </w:p>
    <w:p w:rsidR="00D24E61" w:rsidRPr="00D61223" w:rsidRDefault="00D24E61">
      <w:pPr>
        <w:spacing w:line="214" w:lineRule="auto"/>
        <w:ind w:right="20"/>
        <w:jc w:val="both"/>
        <w:rPr>
          <w:sz w:val="20"/>
          <w:szCs w:val="20"/>
          <w:lang w:val="en-US"/>
        </w:rPr>
      </w:pPr>
      <w:r w:rsidRPr="00D61223">
        <w:rPr>
          <w:sz w:val="24"/>
          <w:szCs w:val="24"/>
          <w:lang w:val="en-US"/>
        </w:rPr>
        <w:t xml:space="preserve">NDUBISI, Nelson Oly. Effect of gender on customer loyalty: a relationship marketing approach. </w:t>
      </w:r>
      <w:r w:rsidRPr="00D61223">
        <w:rPr>
          <w:i/>
          <w:iCs/>
          <w:sz w:val="24"/>
          <w:szCs w:val="24"/>
          <w:lang w:val="en-US"/>
        </w:rPr>
        <w:t>Marketing Intelligence &amp; Planning</w:t>
      </w:r>
      <w:r w:rsidRPr="00D61223">
        <w:rPr>
          <w:sz w:val="24"/>
          <w:szCs w:val="24"/>
          <w:lang w:val="en-US"/>
        </w:rPr>
        <w:t>. v. 24, n. 1, p. 48-61, 2006.</w:t>
      </w:r>
    </w:p>
    <w:p w:rsidR="00D24E61" w:rsidRPr="00D61223" w:rsidRDefault="00D24E61">
      <w:pPr>
        <w:spacing w:line="336" w:lineRule="exact"/>
        <w:rPr>
          <w:sz w:val="20"/>
          <w:szCs w:val="20"/>
          <w:lang w:val="en-US"/>
        </w:rPr>
      </w:pPr>
    </w:p>
    <w:p w:rsidR="00D24E61" w:rsidRPr="00771368" w:rsidRDefault="00D24E61">
      <w:pPr>
        <w:spacing w:line="223" w:lineRule="auto"/>
        <w:ind w:right="20"/>
        <w:jc w:val="both"/>
        <w:rPr>
          <w:sz w:val="20"/>
          <w:szCs w:val="20"/>
        </w:rPr>
      </w:pPr>
      <w:r w:rsidRPr="00D61223">
        <w:rPr>
          <w:sz w:val="24"/>
          <w:szCs w:val="24"/>
          <w:lang w:val="en-US"/>
        </w:rPr>
        <w:t xml:space="preserve">SÊCA, Izabel Cristina Guimarães. </w:t>
      </w:r>
      <w:r w:rsidRPr="00771368">
        <w:rPr>
          <w:sz w:val="24"/>
          <w:szCs w:val="24"/>
        </w:rPr>
        <w:t>Serra</w:t>
      </w:r>
      <w:r w:rsidRPr="00771368">
        <w:rPr>
          <w:i/>
          <w:iCs/>
          <w:sz w:val="24"/>
          <w:szCs w:val="24"/>
        </w:rPr>
        <w:t>.</w:t>
      </w:r>
      <w:r w:rsidRPr="00771368">
        <w:rPr>
          <w:sz w:val="24"/>
          <w:szCs w:val="24"/>
        </w:rPr>
        <w:t xml:space="preserve"> As questões de gênero na gestão empresarial: estudo das experiências em organizações estatais brasileiras. In: </w:t>
      </w:r>
      <w:r w:rsidRPr="00771368">
        <w:rPr>
          <w:i/>
          <w:iCs/>
          <w:sz w:val="24"/>
          <w:szCs w:val="24"/>
        </w:rPr>
        <w:t>VII CONGRESSO NACIONAL DE</w:t>
      </w:r>
      <w:r w:rsidRPr="00771368">
        <w:rPr>
          <w:sz w:val="24"/>
          <w:szCs w:val="24"/>
        </w:rPr>
        <w:t xml:space="preserve"> </w:t>
      </w:r>
      <w:r w:rsidRPr="00771368">
        <w:rPr>
          <w:i/>
          <w:iCs/>
          <w:sz w:val="24"/>
          <w:szCs w:val="24"/>
        </w:rPr>
        <w:t xml:space="preserve">EXCELÊNCIA EM GESTÃO </w:t>
      </w:r>
      <w:r w:rsidRPr="00771368">
        <w:rPr>
          <w:sz w:val="24"/>
          <w:szCs w:val="24"/>
        </w:rPr>
        <w:t>12 e 13 de agosto de 2011.</w:t>
      </w:r>
    </w:p>
    <w:p w:rsidR="00D24E61" w:rsidRPr="00771368" w:rsidRDefault="00D24E61">
      <w:pPr>
        <w:spacing w:line="293" w:lineRule="exact"/>
        <w:rPr>
          <w:sz w:val="20"/>
          <w:szCs w:val="20"/>
        </w:rPr>
      </w:pPr>
    </w:p>
    <w:p w:rsidR="00D24E61" w:rsidRPr="00771368" w:rsidRDefault="00D24E61">
      <w:pPr>
        <w:spacing w:line="223" w:lineRule="auto"/>
        <w:jc w:val="both"/>
        <w:rPr>
          <w:sz w:val="20"/>
          <w:szCs w:val="20"/>
        </w:rPr>
      </w:pPr>
      <w:r w:rsidRPr="00771368">
        <w:rPr>
          <w:sz w:val="24"/>
          <w:szCs w:val="24"/>
        </w:rPr>
        <w:t xml:space="preserve">STEIL, Andrea Valéria. Organizações, gênero e posição hierárquica: compreendendo o fenômeno do teto de vidro. </w:t>
      </w:r>
      <w:r w:rsidRPr="00771368">
        <w:rPr>
          <w:i/>
          <w:iCs/>
          <w:sz w:val="24"/>
          <w:szCs w:val="24"/>
        </w:rPr>
        <w:t>Revista de Administração</w:t>
      </w:r>
      <w:r w:rsidRPr="00771368">
        <w:rPr>
          <w:sz w:val="24"/>
          <w:szCs w:val="24"/>
        </w:rPr>
        <w:t>, São Paulo, v.32, n. 3, p. 62-69, Jul/Set 1997.</w:t>
      </w:r>
    </w:p>
    <w:p w:rsidR="00D24E61" w:rsidRPr="00771368" w:rsidRDefault="00D24E61" w:rsidP="00D24E61">
      <w:pPr>
        <w:spacing w:before="60" w:after="40" w:line="360" w:lineRule="auto"/>
        <w:ind w:right="-1"/>
        <w:jc w:val="center"/>
        <w:rPr>
          <w:sz w:val="21"/>
          <w:szCs w:val="21"/>
        </w:rPr>
      </w:pPr>
    </w:p>
    <w:p w:rsidR="00D24E61" w:rsidRPr="00771368" w:rsidRDefault="00D24E61" w:rsidP="00D24E61">
      <w:pPr>
        <w:spacing w:before="60" w:after="40" w:line="360" w:lineRule="auto"/>
        <w:ind w:left="1701" w:right="1134"/>
        <w:jc w:val="center"/>
        <w:rPr>
          <w:sz w:val="21"/>
          <w:szCs w:val="21"/>
        </w:rPr>
      </w:pPr>
    </w:p>
    <w:p w:rsidR="00D24E61" w:rsidRPr="00771368" w:rsidRDefault="00D24E61" w:rsidP="00D24E61">
      <w:pPr>
        <w:spacing w:before="60" w:after="40" w:line="360" w:lineRule="auto"/>
        <w:ind w:left="1701" w:right="1134"/>
        <w:jc w:val="center"/>
      </w:pPr>
    </w:p>
    <w:p w:rsidR="00D24E61" w:rsidRPr="00D61223" w:rsidRDefault="00D24E61" w:rsidP="00D61223">
      <w:pPr>
        <w:spacing w:before="60" w:after="40" w:line="360" w:lineRule="auto"/>
        <w:ind w:left="1134" w:right="1134"/>
        <w:jc w:val="center"/>
        <w:rPr>
          <w:b/>
          <w:sz w:val="24"/>
        </w:rPr>
      </w:pPr>
      <w:r w:rsidRPr="00D61223">
        <w:rPr>
          <w:b/>
          <w:sz w:val="24"/>
        </w:rPr>
        <w:t>UNIVERSIDADE VALE DO ACARAÚ</w:t>
      </w:r>
    </w:p>
    <w:p w:rsidR="00D24E61" w:rsidRPr="00D61223" w:rsidRDefault="00D61223" w:rsidP="00D61223">
      <w:pPr>
        <w:pStyle w:val="Ttulo1"/>
      </w:pPr>
      <w:bookmarkStart w:id="68" w:name="_Toc442034757"/>
      <w:r w:rsidRPr="00D61223">
        <w:t>Edenilton Da Cruz Leal Júnior</w:t>
      </w:r>
      <w:bookmarkEnd w:id="68"/>
    </w:p>
    <w:p w:rsidR="00D24E61" w:rsidRDefault="00D24E61" w:rsidP="00D61223">
      <w:pPr>
        <w:tabs>
          <w:tab w:val="left" w:pos="9071"/>
        </w:tabs>
        <w:spacing w:line="360" w:lineRule="auto"/>
        <w:ind w:right="-1"/>
        <w:jc w:val="center"/>
        <w:rPr>
          <w:sz w:val="24"/>
        </w:rPr>
      </w:pPr>
      <w:r w:rsidRPr="00D61223">
        <w:rPr>
          <w:b/>
          <w:sz w:val="24"/>
        </w:rPr>
        <w:t xml:space="preserve">EDUCAÇÃO DE GÊNERO: </w:t>
      </w:r>
      <w:r w:rsidRPr="00D61223">
        <w:rPr>
          <w:sz w:val="24"/>
        </w:rPr>
        <w:t>Reflexões sobre a prática docente</w:t>
      </w:r>
    </w:p>
    <w:p w:rsidR="00D61223" w:rsidRDefault="00D61223" w:rsidP="00D61223">
      <w:pPr>
        <w:tabs>
          <w:tab w:val="left" w:pos="9071"/>
        </w:tabs>
        <w:spacing w:line="360" w:lineRule="auto"/>
        <w:ind w:right="-1"/>
        <w:jc w:val="center"/>
        <w:rPr>
          <w:sz w:val="24"/>
        </w:rPr>
      </w:pPr>
    </w:p>
    <w:p w:rsidR="00D61223" w:rsidRPr="00771368" w:rsidRDefault="00D61223" w:rsidP="00D61223">
      <w:pPr>
        <w:tabs>
          <w:tab w:val="left" w:pos="9071"/>
        </w:tabs>
        <w:spacing w:line="360" w:lineRule="auto"/>
        <w:ind w:right="-1"/>
        <w:jc w:val="center"/>
      </w:pPr>
    </w:p>
    <w:p w:rsidR="00D24E61" w:rsidRPr="00771368" w:rsidRDefault="00D24E61" w:rsidP="00D24E61">
      <w:pPr>
        <w:pStyle w:val="NormalWeb"/>
        <w:tabs>
          <w:tab w:val="left" w:leader="dot" w:pos="8640"/>
        </w:tabs>
        <w:spacing w:before="0" w:beforeAutospacing="0" w:after="0" w:afterAutospacing="0" w:line="720" w:lineRule="auto"/>
        <w:rPr>
          <w:b/>
          <w:bCs/>
          <w:szCs w:val="22"/>
        </w:rPr>
      </w:pPr>
      <w:r w:rsidRPr="00771368">
        <w:rPr>
          <w:b/>
          <w:bCs/>
          <w:szCs w:val="22"/>
        </w:rPr>
        <w:t xml:space="preserve">INTRODUÇÃO </w:t>
      </w:r>
    </w:p>
    <w:p w:rsidR="00D24E61" w:rsidRPr="00771368" w:rsidRDefault="00D24E61" w:rsidP="00D24E61">
      <w:pPr>
        <w:spacing w:line="360" w:lineRule="auto"/>
        <w:ind w:firstLine="708"/>
        <w:jc w:val="both"/>
      </w:pPr>
      <w:r w:rsidRPr="00771368">
        <w:t>Nas escolas brasileiras, usualmente, meninas e meninos estão juntos. Prática tão comum que quase nos parece “natural”, um arranjo inquestionável, a respeito do qual não</w:t>
      </w:r>
      <w:r w:rsidRPr="00771368">
        <w:rPr>
          <w:b/>
        </w:rPr>
        <w:t xml:space="preserve"> </w:t>
      </w:r>
      <w:r w:rsidRPr="00771368">
        <w:t>há o que estranhar.</w:t>
      </w:r>
    </w:p>
    <w:p w:rsidR="00D24E61" w:rsidRPr="00771368" w:rsidRDefault="00D24E61" w:rsidP="00D24E61">
      <w:pPr>
        <w:spacing w:line="360" w:lineRule="auto"/>
        <w:ind w:firstLine="708"/>
        <w:jc w:val="both"/>
      </w:pPr>
      <w:r w:rsidRPr="00771368">
        <w:t>No entanto, percebe-se ainda que a escola seja um lugar privilegiado para a construção da igualdade entre meninos e meninas, onde detêm na educação elementos fundamentais para a cidadania e para a construção da democracia entre os gêneros. Lidar com as diferenças sem transformá-los em desigualdades é um dos grandes desafios dos educadores na atualidade.</w:t>
      </w:r>
    </w:p>
    <w:p w:rsidR="00D24E61" w:rsidRPr="00771368" w:rsidRDefault="00D24E61" w:rsidP="00D24E61">
      <w:pPr>
        <w:spacing w:line="360" w:lineRule="auto"/>
        <w:ind w:firstLine="708"/>
        <w:jc w:val="both"/>
      </w:pPr>
      <w:r w:rsidRPr="00771368">
        <w:t xml:space="preserve">Em nossa sociedade, as diferenças entre homens e mulheres são comumente remetidas ao sexo, às características físicas, tidas como naturais e imutáveis. Com base em definições do que é ser homem e/ou mulher edifica-se um sistema de discriminação e exclusão entre os sexos, que comporta vários estereótipos. O feminino e o masculino são apresentados como categorias opostas, excludentes e hierarquizadas, nas quais a mulher, os valores e os significados femininos ocupam posição inferior. </w:t>
      </w:r>
    </w:p>
    <w:p w:rsidR="00D24E61" w:rsidRPr="00771368" w:rsidRDefault="00D24E61" w:rsidP="00D24E61">
      <w:pPr>
        <w:spacing w:line="360" w:lineRule="auto"/>
        <w:ind w:firstLine="708"/>
        <w:jc w:val="both"/>
      </w:pPr>
      <w:r w:rsidRPr="00771368">
        <w:t>Considerando-se que somos educadas (os) desde pequenas (os) para representar papéis criados social e culturalmente e com os quais estamos tão acostumadas (os) que até parecem “natural”, vemos que é na família, na escola e no resto de nossas vidas que aprendemos e incorporamos estes papéis sociais. Assim, meninos e meninas são educados de forma diferente e nesta educação diferenciada vamos encontrar uma das bases para a submissão da mulher.</w:t>
      </w:r>
    </w:p>
    <w:p w:rsidR="00D24E61" w:rsidRPr="00771368" w:rsidRDefault="00D24E61" w:rsidP="00D24E61">
      <w:pPr>
        <w:spacing w:line="360" w:lineRule="auto"/>
        <w:ind w:firstLine="708"/>
        <w:jc w:val="both"/>
      </w:pPr>
      <w:r w:rsidRPr="00771368">
        <w:t>A diferença de gênero ainda é muito presente na educação de uma forma geral. A idéia de que ao homem cabe o “público” e as mulheres o “privado” ainda existe e é amplamente reproduzida. A escola, como instrumento de educação que é ainda faz circular muito desses significados em suas práticas e no seu cotidiano. (AUAD, 2006).</w:t>
      </w:r>
    </w:p>
    <w:p w:rsidR="00D24E61" w:rsidRPr="00771368" w:rsidRDefault="00D24E61" w:rsidP="00D24E61">
      <w:pPr>
        <w:spacing w:line="360" w:lineRule="auto"/>
        <w:ind w:firstLine="708"/>
        <w:jc w:val="both"/>
      </w:pPr>
      <w:r w:rsidRPr="00771368">
        <w:t>Assim pensar na igualdade e democratização do ensino escolar, nada pode ficar alheio ao enfoque das relações de gênero, desde as políticas educacionais, as trajetórias de alunas e alunos, o desenvolvimento de currículos, a análise dos livros didáticos e dos recursos pedagógicos, a formação de professores e até os temas que dizem respeito à identidade docente.</w:t>
      </w:r>
    </w:p>
    <w:p w:rsidR="00D24E61" w:rsidRPr="00771368" w:rsidRDefault="00D24E61" w:rsidP="00D24E61">
      <w:pPr>
        <w:spacing w:line="360" w:lineRule="auto"/>
        <w:ind w:firstLine="708"/>
        <w:jc w:val="both"/>
      </w:pPr>
      <w:r w:rsidRPr="00771368">
        <w:t xml:space="preserve">Professoras (es) têm tido um papel destacado em lutas históricas, das quais temos obtido grandes conquistas. No entanto, ainda é pequeno o trabalho desenvolvido sob a perspectiva de gênero para potencializar a educação como um verdadeiro instrumento de democracia e equidade para o futuro que desejamos. </w:t>
      </w:r>
    </w:p>
    <w:p w:rsidR="00D24E61" w:rsidRPr="00771368" w:rsidRDefault="00D24E61" w:rsidP="00D24E61">
      <w:pPr>
        <w:spacing w:line="360" w:lineRule="auto"/>
        <w:ind w:firstLine="708"/>
        <w:jc w:val="both"/>
      </w:pPr>
      <w:r w:rsidRPr="00771368">
        <w:t xml:space="preserve">Só assim a escola poderá certamente contribuir para uma maior igualdade entre homens e mulheres no conjunto da sociedade, à medida que caminhar na direção de uma educação não-sexista, que contribua para superação de preconceitos e para a construção de pessoas comprometidas com a igualdade de direitos entre os sexos. Transformar esse modelo exige determinação, atenção e disposição. </w:t>
      </w:r>
    </w:p>
    <w:p w:rsidR="00D24E61" w:rsidRPr="00771368" w:rsidRDefault="00D24E61" w:rsidP="00D24E61">
      <w:pPr>
        <w:spacing w:line="360" w:lineRule="auto"/>
        <w:ind w:firstLine="708"/>
        <w:jc w:val="both"/>
      </w:pPr>
      <w:r w:rsidRPr="00771368">
        <w:t>Para se combater esta educação sexista deve-se evitar grupos por sexo, fazer leituras críticas dos livros didáticos a partir da perspectiva de gênero, analisar a realidade da sociedade brasileira e a importância da mulher nessa sociedade, acabar com os estereótipos que enclausuram homens e mulheres em mundos divididos e rígidos padrões de comportamento.</w:t>
      </w:r>
    </w:p>
    <w:p w:rsidR="00D24E61" w:rsidRPr="00771368" w:rsidRDefault="00D24E61" w:rsidP="00D24E61">
      <w:pPr>
        <w:spacing w:line="360" w:lineRule="auto"/>
        <w:ind w:firstLine="708"/>
        <w:jc w:val="both"/>
      </w:pPr>
      <w:r w:rsidRPr="00771368">
        <w:t>A transformação não ocorre por inércia ou por acaso. Se hoje as mulheres ocupam outros espaços e não desempenham apenas o papel do privado é porque o movimento feminista questionou e lutou pela igualdade entre homens e mulheres. É, portanto, um grande desafio das (os) educadoras (es) a construção de uma educação não sexista e que ajude a transformar nossa sociedade.</w:t>
      </w:r>
    </w:p>
    <w:p w:rsidR="00D24E61" w:rsidRPr="00771368" w:rsidRDefault="00D24E61" w:rsidP="00D24E61">
      <w:pPr>
        <w:spacing w:line="360" w:lineRule="auto"/>
        <w:ind w:firstLine="708"/>
        <w:jc w:val="both"/>
      </w:pPr>
      <w:r w:rsidRPr="00771368">
        <w:t xml:space="preserve">Ao longo deste trabalho, estaremos referindo-se especificamente e predominantemente à igualdade no que tange as relações de gênero. Para tal, cabe questionar como se estabelecem tais relações na escola. Como são vivenciadas e percebidas por professoras, alunos e alunas? Qual a importância da adoção de gênero, por parte das professoras, para lidar com o cotidiano escolar? O que é, afinal, gênero? Assim, pretendemos fornecer alguns elementos para a compreensão dessas questões ao sistematizar, brevemente, aspectos teóricos considerados básicos para o desenvolvimento do tema; problematizar situações próprias do cotidiano escolar à luz do referencial de gênero; e refletir sobre a adoção deste nas intervenções das professoras na educação de meninos e meninas. </w:t>
      </w:r>
    </w:p>
    <w:p w:rsidR="00D24E61" w:rsidRPr="00771368" w:rsidRDefault="00D24E61" w:rsidP="00D24E61">
      <w:pPr>
        <w:spacing w:line="360" w:lineRule="auto"/>
        <w:jc w:val="both"/>
        <w:rPr>
          <w:b/>
        </w:rPr>
      </w:pPr>
      <w:r w:rsidRPr="00771368">
        <w:rPr>
          <w:b/>
        </w:rPr>
        <w:t>OBJETIVOS</w:t>
      </w:r>
    </w:p>
    <w:p w:rsidR="00D24E61" w:rsidRPr="00771368" w:rsidRDefault="00D24E61" w:rsidP="00D24E61">
      <w:pPr>
        <w:spacing w:line="360" w:lineRule="auto"/>
        <w:jc w:val="both"/>
        <w:rPr>
          <w:b/>
        </w:rPr>
      </w:pPr>
    </w:p>
    <w:p w:rsidR="00D24E61" w:rsidRPr="00771368" w:rsidRDefault="00D24E61" w:rsidP="00D24E61">
      <w:pPr>
        <w:spacing w:line="360" w:lineRule="auto"/>
        <w:ind w:firstLine="708"/>
        <w:jc w:val="both"/>
      </w:pPr>
      <w:r w:rsidRPr="00771368">
        <w:t>O objetivo deste trabalho é compreender de que forma os professores de 1º ano á 4ª série do ensino fundamental I trabalha as relações de gênero em sala de aula e quais as contribuições para o combate aos estereótipos e as desigualdades existentes entre homens e mulheres.</w:t>
      </w:r>
    </w:p>
    <w:p w:rsidR="00D24E61" w:rsidRPr="00771368" w:rsidRDefault="00D24E61" w:rsidP="00D24E61">
      <w:pPr>
        <w:spacing w:line="360" w:lineRule="auto"/>
        <w:ind w:firstLine="708"/>
        <w:jc w:val="both"/>
      </w:pPr>
      <w:r w:rsidRPr="00771368">
        <w:t xml:space="preserve"> Nesse processo, tornou-se fundamental também discutir o gênero entre cidadania e democracia, igualdade e exclusão social que compõe o horizonte teórico no qual se inseriu o estudo. As questões referentes ao conceito de gênero merecem uma atenção especial, pois para Auad (2006, p. 18) diz que:</w:t>
      </w:r>
    </w:p>
    <w:p w:rsidR="00D24E61" w:rsidRPr="00771368" w:rsidRDefault="00D24E61" w:rsidP="00D24E61">
      <w:pPr>
        <w:jc w:val="both"/>
      </w:pPr>
    </w:p>
    <w:p w:rsidR="00D24E61" w:rsidRPr="00771368" w:rsidRDefault="00D24E61" w:rsidP="00D24E61">
      <w:pPr>
        <w:ind w:left="2268"/>
        <w:jc w:val="both"/>
        <w:rPr>
          <w:sz w:val="20"/>
          <w:szCs w:val="20"/>
        </w:rPr>
      </w:pPr>
      <w:r w:rsidRPr="00771368">
        <w:rPr>
          <w:sz w:val="20"/>
          <w:szCs w:val="20"/>
        </w:rPr>
        <w:t xml:space="preserve">Um conceito de que seja gênero e este é, sem sombra de dúvida, um terreno de controvérsias e até de certa nebulosidade. Contudo, é imprescindível adotar algumas noções acerca de gênero (ainda que iniciais e passiveis de reformulações e correções) para o conhecimento e o debate sobre o tema. </w:t>
      </w:r>
    </w:p>
    <w:p w:rsidR="00D24E61" w:rsidRPr="00771368" w:rsidRDefault="00D24E61" w:rsidP="00D24E61">
      <w:pPr>
        <w:spacing w:line="360" w:lineRule="auto"/>
        <w:rPr>
          <w:sz w:val="20"/>
          <w:szCs w:val="20"/>
        </w:rPr>
      </w:pPr>
    </w:p>
    <w:p w:rsidR="00D24E61" w:rsidRPr="00771368" w:rsidRDefault="00D24E61" w:rsidP="00D24E61">
      <w:pPr>
        <w:spacing w:line="360" w:lineRule="auto"/>
        <w:ind w:firstLine="708"/>
        <w:jc w:val="both"/>
      </w:pPr>
      <w:r w:rsidRPr="00771368">
        <w:t>Muitas são as afirmações ou imprecisões sobre os conceitos estabelecidos entre homens e mulheres em nossa sociedade, acerca dos papéis e funções que devem ser desempenhadas de forma igual ou diferenciadas. Quando falamos de papéis e características sexuais, o conceito torna-se também uma categoria de análise das relações entre homens e mulheres, é a construção sócio-cultural do masculino e feminino. Em termos práticos, são os papéis ensinados às meninas e meninos. Esses não são biológicos, mas resultados da socialização que são construções culturais e sociais, as chamadas características masculinas e bem como as femininas. Portanto, desconstruí-los é uma das maneiras de buscar a igualdade. (SECRETARIA EXTRAORDINÁRIA DE POLÍTICAS PARA AS MULHERES, 2009).</w:t>
      </w:r>
    </w:p>
    <w:p w:rsidR="00D24E61" w:rsidRPr="00771368" w:rsidRDefault="00D24E61" w:rsidP="00D24E61">
      <w:pPr>
        <w:spacing w:line="360" w:lineRule="auto"/>
        <w:ind w:firstLine="708"/>
        <w:jc w:val="both"/>
      </w:pPr>
      <w:r w:rsidRPr="00771368">
        <w:t>O discurso da igualdade no plano da educação escolar, especificamente no tocante ao gênero, exige um entendimento sobre os processos de exclusão social, em especial da mulher.</w:t>
      </w:r>
    </w:p>
    <w:p w:rsidR="00D24E61" w:rsidRPr="00771368" w:rsidRDefault="00D24E61" w:rsidP="00D24E61">
      <w:pPr>
        <w:spacing w:line="360" w:lineRule="auto"/>
        <w:ind w:firstLine="708"/>
      </w:pPr>
      <w:r w:rsidRPr="00771368">
        <w:t>Nesta perspectiva os autores Alves e Pitanguy (1985, p.11) falam que:</w:t>
      </w:r>
    </w:p>
    <w:p w:rsidR="00D24E61" w:rsidRPr="00771368" w:rsidRDefault="00D24E61" w:rsidP="00D24E61">
      <w:pPr>
        <w:ind w:firstLine="708"/>
      </w:pPr>
    </w:p>
    <w:p w:rsidR="00D24E61" w:rsidRPr="00771368" w:rsidRDefault="00D24E61" w:rsidP="00D24E61">
      <w:pPr>
        <w:ind w:left="2268"/>
        <w:jc w:val="both"/>
        <w:rPr>
          <w:sz w:val="20"/>
          <w:szCs w:val="20"/>
        </w:rPr>
      </w:pPr>
      <w:r w:rsidRPr="00771368">
        <w:rPr>
          <w:sz w:val="20"/>
          <w:szCs w:val="20"/>
        </w:rPr>
        <w:t xml:space="preserve">Na Grécia a mulher ocupava posição equivalente à do escravo no sentido de que tão somente estes executavam trabalhos manuais, extremamente desvalorizados pelo homem livre. Em Atenas ser livre era, primeiramente, ser homem e não mulher, ser ateniense e não estrangeiro, ser livre e não escravo. </w:t>
      </w:r>
    </w:p>
    <w:p w:rsidR="00D24E61" w:rsidRPr="00771368" w:rsidRDefault="00D24E61" w:rsidP="00D24E61">
      <w:pPr>
        <w:jc w:val="both"/>
        <w:rPr>
          <w:sz w:val="20"/>
          <w:szCs w:val="20"/>
        </w:rPr>
      </w:pPr>
    </w:p>
    <w:p w:rsidR="00D24E61" w:rsidRPr="00771368" w:rsidRDefault="00D24E61" w:rsidP="00D24E61">
      <w:pPr>
        <w:spacing w:line="360" w:lineRule="auto"/>
        <w:jc w:val="both"/>
      </w:pPr>
      <w:r w:rsidRPr="00771368">
        <w:rPr>
          <w:sz w:val="20"/>
          <w:szCs w:val="20"/>
        </w:rPr>
        <w:tab/>
      </w:r>
      <w:r w:rsidRPr="00771368">
        <w:t>De fato, a exclusão social da mulher é secular e diferenciada. A compreensão sobre a condição bipolarizada do sexo possibilita indicações dos nortes da exclusão social fundamentada na diferença.</w:t>
      </w:r>
    </w:p>
    <w:p w:rsidR="00D24E61" w:rsidRPr="00771368" w:rsidRDefault="00D24E61" w:rsidP="00D24E61">
      <w:pPr>
        <w:spacing w:line="360" w:lineRule="auto"/>
        <w:jc w:val="both"/>
      </w:pPr>
      <w:r w:rsidRPr="00771368">
        <w:tab/>
        <w:t>Assim, no processo de reconceituação da cultura e de reconhecimento de novas identidades culturais, há uma ruptura com a visão unilateral, homogênea e monolítica para se construir um entendimento multifocal que se focaliza, no presente estudo, a questão das diferenças representadas pelas relações de gênero nas políticas públicas e na cultura curricular do país.</w:t>
      </w:r>
    </w:p>
    <w:p w:rsidR="00D24E61" w:rsidRPr="00771368" w:rsidRDefault="00D24E61" w:rsidP="00D24E61">
      <w:pPr>
        <w:spacing w:line="360" w:lineRule="auto"/>
        <w:jc w:val="both"/>
      </w:pPr>
      <w:r w:rsidRPr="00771368">
        <w:tab/>
        <w:t>Essencialmente, a distinção entre as relações de gênero é dizer que as pessoas nascem meninos ou meninas e aprendem com os grupos sociais que convivem a tornarem-se homens e mulheres. São ensinados, no dia-a-dia, comportamentos adequados, papéis e atividades de meninos e meninas. Esses ensinamentos são aprendidos e incorporados, e assim determinado a organização da identidade de gênero.</w:t>
      </w:r>
    </w:p>
    <w:p w:rsidR="00D24E61" w:rsidRPr="00771368" w:rsidRDefault="00D24E61" w:rsidP="00D24E61">
      <w:pPr>
        <w:spacing w:line="360" w:lineRule="auto"/>
        <w:ind w:firstLine="708"/>
        <w:jc w:val="both"/>
      </w:pPr>
      <w:r w:rsidRPr="00771368">
        <w:t xml:space="preserve">A Escola é um local importante de troca de experiências, e construção de conhecimentos. Entretanto essa mesma escola que acolhe é marcada por processo histórico de segregação. Embora não seja possível atribuir a ela toda a responsabilidade pela construção das identidades sociais, ela continua sendo para crianças e jovens, um local importante de vivências cotidianas específicas e, ao mesmo tempo, plurais. </w:t>
      </w:r>
      <w:r w:rsidRPr="00771368">
        <w:tab/>
      </w:r>
    </w:p>
    <w:p w:rsidR="00D24E61" w:rsidRPr="00771368" w:rsidRDefault="00D24E61" w:rsidP="00D24E61">
      <w:pPr>
        <w:spacing w:line="360" w:lineRule="auto"/>
        <w:ind w:firstLine="708"/>
        <w:jc w:val="both"/>
      </w:pPr>
      <w:r w:rsidRPr="00771368">
        <w:t>Desde muito cedo, padrões de comportamento diferenciados para homens e mulheres são impostos às crianças. Esses padrões acabam substituindo as diferenças biológicas na definição dos gêneros masculinos e femininos. Segundo Queiroz (2000, p. 676) “historicamente os padrões tem beneficiado os homens, pois a sociedade não oferece as mesmas oportunidades para ambos os sexos”.</w:t>
      </w:r>
    </w:p>
    <w:p w:rsidR="00D24E61" w:rsidRPr="00771368" w:rsidRDefault="00D24E61" w:rsidP="00D24E61">
      <w:pPr>
        <w:spacing w:line="360" w:lineRule="auto"/>
        <w:ind w:firstLine="708"/>
        <w:jc w:val="both"/>
      </w:pPr>
      <w:r w:rsidRPr="00771368">
        <w:t>A discussão sobre valores de gênero tem como objetivo combater relações autoritárias, questionando padrões de conduta estabelecidos para homens e mulheres e buscar transforma-los.</w:t>
      </w:r>
    </w:p>
    <w:p w:rsidR="00D24E61" w:rsidRPr="00771368" w:rsidRDefault="00D24E61" w:rsidP="00D24E61">
      <w:pPr>
        <w:spacing w:line="360" w:lineRule="auto"/>
        <w:jc w:val="both"/>
      </w:pPr>
      <w:r w:rsidRPr="00771368">
        <w:t xml:space="preserve"> </w:t>
      </w:r>
      <w:r w:rsidRPr="00771368">
        <w:tab/>
        <w:t>No primeiro ciclo do ensino fundamental, são normais os meninos e meninas agruparem-se, formando grupos separados. Essa atitude faz parte da construção da identidade da criança, que tem a necessidade de ser auto - afirmar perante seus semelhantes. O simples acesso, a permanência ou a exclusão da escola, por exemplo, mesmo quando essa não produz os resultados esperados em termos de certificação e empregabilidade, têm efeitos sobre a vida dos indivíduos e grupos dos quais estes fazem parte, uma vez que entra ou não na escola, e o tempo de permanência nela, se constituem como distinções sociais e muitas delas estão inscritas no corpo.</w:t>
      </w:r>
    </w:p>
    <w:p w:rsidR="00D24E61" w:rsidRPr="00771368" w:rsidRDefault="00D24E61" w:rsidP="00D24E61">
      <w:pPr>
        <w:spacing w:line="360" w:lineRule="auto"/>
        <w:jc w:val="both"/>
      </w:pPr>
    </w:p>
    <w:p w:rsidR="00D24E61" w:rsidRPr="00771368" w:rsidRDefault="00D24E61" w:rsidP="00D24E61">
      <w:pPr>
        <w:spacing w:line="360" w:lineRule="auto"/>
        <w:ind w:firstLine="708"/>
        <w:jc w:val="both"/>
        <w:rPr>
          <w:b/>
        </w:rPr>
      </w:pPr>
      <w:r w:rsidRPr="00771368">
        <w:rPr>
          <w:b/>
        </w:rPr>
        <w:t>METODOLOGIA</w:t>
      </w:r>
    </w:p>
    <w:p w:rsidR="00D24E61" w:rsidRPr="00771368" w:rsidRDefault="00D24E61" w:rsidP="00D24E61">
      <w:pPr>
        <w:spacing w:line="360" w:lineRule="auto"/>
        <w:jc w:val="both"/>
      </w:pPr>
    </w:p>
    <w:p w:rsidR="00D24E61" w:rsidRPr="00771368" w:rsidRDefault="00D24E61" w:rsidP="00D24E61">
      <w:pPr>
        <w:spacing w:line="360" w:lineRule="auto"/>
        <w:jc w:val="both"/>
      </w:pPr>
      <w:r w:rsidRPr="00771368">
        <w:tab/>
        <w:t>A pesquisa qualitativa se preocupa com o nível de realidade que não pode ser quantificado. Ou seja, ela trabalha com o universo de significados, motivos aspirações, crenças valores e atitudes, o que corresponde a um espaço mais profundo das relações dos processos e dos fenômenos que não podem ser reduzidos à operacionalização de variáveis. (COSTA, 2005).</w:t>
      </w:r>
    </w:p>
    <w:p w:rsidR="00D24E61" w:rsidRPr="00771368" w:rsidRDefault="00D24E61" w:rsidP="00D24E61">
      <w:pPr>
        <w:ind w:firstLine="708"/>
        <w:jc w:val="both"/>
      </w:pPr>
    </w:p>
    <w:p w:rsidR="00D24E61" w:rsidRPr="00771368" w:rsidRDefault="00D24E61" w:rsidP="00D24E61">
      <w:pPr>
        <w:ind w:left="2280"/>
        <w:jc w:val="both"/>
        <w:rPr>
          <w:sz w:val="20"/>
          <w:szCs w:val="18"/>
        </w:rPr>
      </w:pPr>
      <w:r w:rsidRPr="00771368">
        <w:rPr>
          <w:sz w:val="20"/>
          <w:szCs w:val="18"/>
        </w:rPr>
        <w:t>Qualquer que sejam as distinções que se posam fazer para caracterizar as várias formas de trabalhos científicos, é preciso afirmar preliminarmente de que todos eles têm em comum a necessária procedência de um trabalho de pesquisa e de reflexão que seja pessoal, autônomo, criativo e rigoroso. (Souza, 2006, p. 145).</w:t>
      </w:r>
    </w:p>
    <w:p w:rsidR="00D24E61" w:rsidRPr="00771368" w:rsidRDefault="00D24E61" w:rsidP="00D24E61">
      <w:pPr>
        <w:spacing w:line="276" w:lineRule="auto"/>
        <w:jc w:val="both"/>
      </w:pPr>
    </w:p>
    <w:p w:rsidR="00D24E61" w:rsidRPr="00771368" w:rsidRDefault="00D24E61" w:rsidP="00D24E61">
      <w:pPr>
        <w:spacing w:line="360" w:lineRule="auto"/>
        <w:ind w:firstLine="708"/>
        <w:jc w:val="both"/>
      </w:pPr>
      <w:r w:rsidRPr="00771368">
        <w:t xml:space="preserve">Numa metodologia de base </w:t>
      </w:r>
      <w:r w:rsidRPr="00771368">
        <w:rPr>
          <w:bCs/>
          <w:shd w:val="clear" w:color="auto" w:fill="FFFFFF"/>
        </w:rPr>
        <w:t>qualitativa</w:t>
      </w:r>
      <w:r w:rsidRPr="00771368">
        <w:t xml:space="preserve"> o número de sujeitos que virão a compor o quadro das entrevistas dificilmente pode ser determinado a </w:t>
      </w:r>
      <w:r w:rsidRPr="00771368">
        <w:rPr>
          <w:i/>
        </w:rPr>
        <w:t>priori</w:t>
      </w:r>
      <w:r w:rsidRPr="00771368">
        <w:t xml:space="preserve"> – tudo depende da qualidade das informações obtidas em cada depoimento, assim como da profundidade e do grau de recorrência e divergência destas informações. Enquanto estiverem aparecendo “dados” originais ou pistas que possam indicar novas perspectivas à investigação em curso as entrevistas precisam continuar sendo feitas. À medida que se colhem os depoimentos, vão sendo levantadas e organizadas as informações relativas ao objeto da investigação e, dependendo do volume e da qualidade delas, o material de análise torna-se cada vez mais consistente e denso. Quando já é possível identificar padrões simbólicos, práticas, sistemas classificatórios, categorias de análise da realidade e visões de mundo do universo em questão, e as recorrências atingem o que se convencionou chamar de “ponto de saturação”, dá-se por finalizado o trabalho de campo, sabendo que se pode (e deve) voltar para esclarecimentos. (DUARTE, 2002).</w:t>
      </w:r>
    </w:p>
    <w:p w:rsidR="00D24E61" w:rsidRPr="00771368" w:rsidRDefault="00D24E61" w:rsidP="00D24E61">
      <w:pPr>
        <w:spacing w:line="276" w:lineRule="auto"/>
        <w:ind w:firstLine="708"/>
        <w:jc w:val="both"/>
      </w:pPr>
    </w:p>
    <w:p w:rsidR="00D24E61" w:rsidRDefault="00D24E61" w:rsidP="00D24E61">
      <w:pPr>
        <w:spacing w:line="276" w:lineRule="auto"/>
        <w:jc w:val="both"/>
      </w:pPr>
    </w:p>
    <w:p w:rsidR="00D61223" w:rsidRPr="00771368" w:rsidRDefault="00D61223" w:rsidP="00D24E61">
      <w:pPr>
        <w:spacing w:line="276" w:lineRule="auto"/>
        <w:jc w:val="both"/>
      </w:pPr>
    </w:p>
    <w:p w:rsidR="00D24E61" w:rsidRPr="00771368" w:rsidRDefault="00D24E61" w:rsidP="00D24E61">
      <w:pPr>
        <w:spacing w:line="360" w:lineRule="auto"/>
        <w:rPr>
          <w:b/>
        </w:rPr>
      </w:pPr>
      <w:r w:rsidRPr="00771368">
        <w:rPr>
          <w:b/>
        </w:rPr>
        <w:t>Resultado da pesquisa e discussão</w:t>
      </w:r>
    </w:p>
    <w:p w:rsidR="00D24E61" w:rsidRPr="00771368" w:rsidRDefault="00D24E61" w:rsidP="00D24E61">
      <w:pPr>
        <w:spacing w:line="360" w:lineRule="auto"/>
        <w:rPr>
          <w:b/>
        </w:rPr>
      </w:pPr>
    </w:p>
    <w:p w:rsidR="00D24E61" w:rsidRPr="00771368" w:rsidRDefault="00D24E61" w:rsidP="00D24E61">
      <w:pPr>
        <w:spacing w:line="360" w:lineRule="auto"/>
        <w:rPr>
          <w:b/>
        </w:rPr>
      </w:pPr>
      <w:r w:rsidRPr="00771368">
        <w:rPr>
          <w:b/>
        </w:rPr>
        <w:t xml:space="preserve"> O Campo de Pesquisa</w:t>
      </w:r>
    </w:p>
    <w:p w:rsidR="00D24E61" w:rsidRPr="00771368" w:rsidRDefault="00D24E61" w:rsidP="00D24E61">
      <w:pPr>
        <w:spacing w:line="360" w:lineRule="auto"/>
        <w:jc w:val="both"/>
      </w:pPr>
    </w:p>
    <w:p w:rsidR="00D24E61" w:rsidRPr="00771368" w:rsidRDefault="00D24E61" w:rsidP="00D24E61">
      <w:pPr>
        <w:spacing w:line="360" w:lineRule="auto"/>
        <w:ind w:firstLine="708"/>
        <w:jc w:val="both"/>
      </w:pPr>
      <w:r w:rsidRPr="00771368">
        <w:t>Considerando a problematização das relações de gêneros e norteado neste trabalho, buscamos investigar a Escola Municipal de Ensino Fundamental José Duarte de Azevedo. A partir do momento em que o campo de pesquisa foi definido, verificaram-se os sujeitos da pesquisa que foram 06 professores do ensino fundamental, sendo, 02 professores do 1º ano e 02 professores do 2º ano do ensino fundamental de nove anos, e mais 02 professores da 3ª série do ensino fundamental de oito anos e são identificados na análise de dados por P1, P2, P3, P4, P5 e P6, e por fim o coordenador pedagógico, a fim de identificar se os estereótipos sexuais são reproduzidos e/ ou reforçados na prática docente, exercido pelos sujeitos da pesquisa. Um dado importante foi relacionar essa questão à relação de gênero, percebendo-a como uma categoria de análise importante e para o tratamento do processo de ensino-aprendizagem e da prática dos docentes e ainda mais, se buscou compreender como o trabalho está sendo desenvolvido nos encontros pedagógicos a respeito das discussões, a cerca das reflexões sobre o tema.</w:t>
      </w:r>
    </w:p>
    <w:p w:rsidR="00D24E61" w:rsidRPr="00771368" w:rsidRDefault="00D24E61" w:rsidP="00D24E61">
      <w:pPr>
        <w:jc w:val="both"/>
      </w:pPr>
    </w:p>
    <w:p w:rsidR="00D24E61" w:rsidRPr="00771368" w:rsidRDefault="00D24E61" w:rsidP="00D24E61">
      <w:pPr>
        <w:jc w:val="both"/>
        <w:rPr>
          <w:b/>
        </w:rPr>
      </w:pPr>
    </w:p>
    <w:p w:rsidR="00D24E61" w:rsidRPr="00771368" w:rsidRDefault="00D24E61" w:rsidP="00D24E61">
      <w:pPr>
        <w:spacing w:line="360" w:lineRule="auto"/>
        <w:jc w:val="both"/>
        <w:outlineLvl w:val="0"/>
        <w:rPr>
          <w:b/>
        </w:rPr>
      </w:pPr>
      <w:r w:rsidRPr="00771368">
        <w:rPr>
          <w:b/>
        </w:rPr>
        <w:t xml:space="preserve"> </w:t>
      </w:r>
      <w:bookmarkStart w:id="69" w:name="_Toc437623892"/>
      <w:bookmarkStart w:id="70" w:name="_Toc438079878"/>
      <w:bookmarkStart w:id="71" w:name="_Toc438086496"/>
      <w:bookmarkStart w:id="72" w:name="_Toc442034758"/>
      <w:r w:rsidRPr="00771368">
        <w:rPr>
          <w:b/>
        </w:rPr>
        <w:t>Análise dos Dados</w:t>
      </w:r>
      <w:bookmarkEnd w:id="69"/>
      <w:bookmarkEnd w:id="70"/>
      <w:bookmarkEnd w:id="71"/>
      <w:bookmarkEnd w:id="72"/>
    </w:p>
    <w:p w:rsidR="00D24E61" w:rsidRPr="00771368" w:rsidRDefault="00D24E61" w:rsidP="00D24E61">
      <w:pPr>
        <w:jc w:val="both"/>
        <w:outlineLvl w:val="0"/>
        <w:rPr>
          <w:b/>
        </w:rPr>
      </w:pPr>
    </w:p>
    <w:p w:rsidR="00D24E61" w:rsidRPr="00771368" w:rsidRDefault="00D24E61" w:rsidP="00D24E61">
      <w:pPr>
        <w:spacing w:line="360" w:lineRule="auto"/>
        <w:jc w:val="both"/>
      </w:pPr>
      <w:r w:rsidRPr="00771368">
        <w:t xml:space="preserve"> </w:t>
      </w:r>
      <w:r w:rsidRPr="00771368">
        <w:tab/>
        <w:t xml:space="preserve"> São comuns as brincadeiras exploratórias, os risos e as piadas sobre partes íntimas, além de palavrões e comentários depreciativos ou agressivos sobre características físicas dos outros. Quando isto acontece à escola se preocupa em discutir a educação sexual por meios de várias atividades, diante disto o coordenador pedagógico da escola diz “existe, e passamos alguns vídeos, os professores também explicam com os alunos a respeito da questão da sexualidade”. Essa afirmação não se condiz “não, porém eu discuto pouca a educação sexual”. (P2). Quanto a isso se ver o quanto a escola se distância da importância de se trabalhar a Orientação Sexual, assim deixando claro que cada professor procura ensinar de sua maneira, e por sua vez ainda quando é explicitado aos alunos em sala de aula, ignoram muitos assuntos sobre a sexualidade.</w:t>
      </w:r>
    </w:p>
    <w:p w:rsidR="00D24E61" w:rsidRPr="00771368" w:rsidRDefault="00D24E61" w:rsidP="00D24E61">
      <w:pPr>
        <w:spacing w:line="360" w:lineRule="auto"/>
        <w:ind w:firstLine="708"/>
        <w:jc w:val="both"/>
      </w:pPr>
      <w:r w:rsidRPr="00771368">
        <w:t>Conforme Martins, (2008, p. 38-39) fala que:</w:t>
      </w:r>
    </w:p>
    <w:p w:rsidR="00D24E61" w:rsidRPr="00771368" w:rsidRDefault="00D24E61" w:rsidP="00D24E61">
      <w:pPr>
        <w:jc w:val="both"/>
      </w:pPr>
    </w:p>
    <w:p w:rsidR="00D24E61" w:rsidRPr="00771368" w:rsidRDefault="00D24E61" w:rsidP="00D24E61">
      <w:pPr>
        <w:ind w:left="2268"/>
        <w:jc w:val="both"/>
        <w:rPr>
          <w:sz w:val="20"/>
          <w:szCs w:val="20"/>
        </w:rPr>
      </w:pPr>
      <w:r w:rsidRPr="00771368">
        <w:rPr>
          <w:sz w:val="20"/>
          <w:szCs w:val="20"/>
        </w:rPr>
        <w:t>Organizar palestras isoladas não surte efeito. O que funciona mesmo é trabalhar os assuntos sem medo nem preconceito, afinal, algumas das questões precisam ser retornadas, com diferentes graus de aprofundamento conforme mudam as dúvidas e o nível de compreensão dos estudantes.</w:t>
      </w:r>
    </w:p>
    <w:p w:rsidR="00D24E61" w:rsidRPr="00771368" w:rsidRDefault="00D24E61" w:rsidP="00D24E61">
      <w:pPr>
        <w:spacing w:line="276" w:lineRule="auto"/>
        <w:jc w:val="both"/>
      </w:pPr>
      <w:r w:rsidRPr="00771368">
        <w:tab/>
      </w:r>
    </w:p>
    <w:p w:rsidR="00D24E61" w:rsidRPr="00771368" w:rsidRDefault="00D24E61" w:rsidP="00D24E61">
      <w:pPr>
        <w:spacing w:line="360" w:lineRule="auto"/>
        <w:ind w:firstLine="708"/>
        <w:jc w:val="both"/>
      </w:pPr>
      <w:r w:rsidRPr="00771368">
        <w:t xml:space="preserve"> Com relação às brincadeiras e jogos a dois ou em grupo, é importante notar se meninos e meninas, promovem hierarquização das relações de gêneros, onde contribui para as desigualdades dos sexos. Portanto, manter a escola mista é tão importante quanto apontar lacunas atuais desse modelo para poder transformá-lo. Para que isso ocorra, os profissionais da área de educação precisam assumir a reflexão sobre as relações de gêneros na escola como prática pedagógica. Segundo o Coordenador Pedagógico “os alunos da escola se interagem muito bem e com respeito”.</w:t>
      </w:r>
    </w:p>
    <w:p w:rsidR="00D24E61" w:rsidRPr="00771368" w:rsidRDefault="00D24E61" w:rsidP="00D24E61">
      <w:pPr>
        <w:spacing w:line="360" w:lineRule="auto"/>
        <w:ind w:firstLine="708"/>
        <w:jc w:val="both"/>
      </w:pPr>
      <w:r w:rsidRPr="00771368">
        <w:t xml:space="preserve">Neste ponto se observou durante o estágio que as crianças em relação às brincadeiras e jogos elas se interagem de forma dinâmica, não ocasionando conflitos por fatos relacionados ao gênero, no entanto, há conflitos, porém está ligado com os comportamentos dos alunos. </w:t>
      </w:r>
    </w:p>
    <w:p w:rsidR="00D24E61" w:rsidRPr="00771368" w:rsidRDefault="00D24E61" w:rsidP="00D24E61">
      <w:pPr>
        <w:ind w:left="2280"/>
        <w:jc w:val="both"/>
      </w:pPr>
    </w:p>
    <w:p w:rsidR="00D24E61" w:rsidRPr="00771368" w:rsidRDefault="00D24E61" w:rsidP="00D24E61">
      <w:pPr>
        <w:ind w:left="2280"/>
        <w:jc w:val="both"/>
        <w:rPr>
          <w:sz w:val="20"/>
          <w:szCs w:val="18"/>
        </w:rPr>
      </w:pPr>
      <w:r w:rsidRPr="00771368">
        <w:rPr>
          <w:sz w:val="20"/>
          <w:szCs w:val="18"/>
        </w:rPr>
        <w:t>Ao observarmos as crianças e os adolescentes de nossas escolas brincando, podemos conhecê-lo melhor ultrapassando os muros da escola, pois uma parte de seus mundos e experiências revela-se nas ações e significados que constroem nas suas brincadeiras (BORBA, 2008, p.35).</w:t>
      </w:r>
    </w:p>
    <w:p w:rsidR="00D24E61" w:rsidRPr="00771368" w:rsidRDefault="00D24E61" w:rsidP="00D24E61">
      <w:pPr>
        <w:spacing w:line="360" w:lineRule="auto"/>
        <w:ind w:left="2280"/>
        <w:jc w:val="both"/>
        <w:rPr>
          <w:sz w:val="20"/>
          <w:szCs w:val="18"/>
        </w:rPr>
      </w:pPr>
    </w:p>
    <w:p w:rsidR="00D24E61" w:rsidRPr="00771368" w:rsidRDefault="00D24E61" w:rsidP="00D24E61">
      <w:pPr>
        <w:spacing w:line="360" w:lineRule="auto"/>
        <w:ind w:firstLine="708"/>
        <w:jc w:val="both"/>
      </w:pPr>
      <w:r w:rsidRPr="00771368">
        <w:t xml:space="preserve">Dentro dessa análise, de apresentar, de discutir e de compreender a sexualidade humana e o gênero como mais múltiplo e possível do que o modelo hegemônico da normalidade que nos foram ensinados e que conhecemos por sua vez o coordenador deve proporcionar mais ainda o desenvolvimento entre meninos e meninas, e as diversas formas de organização do homem e da mulher nos dias de hoje. Assim, conseqüentemente a escola estará se preocupando somente em discutir o gênero de forma incompleto, visto que a escola não trabalha as relações de gênero com os alunos, e isto traz a exclusão de diferentes identidades em educação sexual e os papéis estereotipados que convivemos com o meio social.   </w:t>
      </w:r>
    </w:p>
    <w:p w:rsidR="00D24E61" w:rsidRPr="00771368" w:rsidRDefault="00D24E61" w:rsidP="00D24E61">
      <w:pPr>
        <w:spacing w:line="360" w:lineRule="auto"/>
        <w:jc w:val="both"/>
      </w:pPr>
      <w:r w:rsidRPr="00771368">
        <w:rPr>
          <w:sz w:val="23"/>
          <w:szCs w:val="21"/>
        </w:rPr>
        <w:tab/>
      </w:r>
      <w:r w:rsidRPr="00771368">
        <w:t xml:space="preserve">O que se observa é que os professores da escola trabalham ao seu modo a Sexualidade e Orientação sexual, levando em conta a série em que lecionam. Porém os professores 1 e 6 discutem só quando é preciso, ou seja, quando os alunos conversam sobre sexualidade, demonstram atos relacionados aos órgãos sexuais femininos ou masculinos e por sua vez, ocasionando agitação das crianças no decorrer das atividades das professoras, já os professores 2, 3,4 e 5 não trabalham o assunto. </w:t>
      </w:r>
    </w:p>
    <w:p w:rsidR="00D24E61" w:rsidRPr="00771368" w:rsidRDefault="00D24E61" w:rsidP="00D24E61">
      <w:pPr>
        <w:spacing w:line="360" w:lineRule="auto"/>
        <w:ind w:firstLine="708"/>
        <w:jc w:val="both"/>
      </w:pPr>
      <w:r w:rsidRPr="00771368">
        <w:t>Diz nessa discussão que “não, cada professor trabalha do seu jeito (da melhor maneira possível em sala de aula)’’. (P1). O que se percebe é uma falta de preparo do professor que raramente incorpora temas sobre a sexualidade em sua grade curricular acadêmica e durante a formação continuada e até mesmo nos encontros pedagógicos, deixando de lado os aspectos emocionais, éticos e culturais dos alunos.</w:t>
      </w:r>
    </w:p>
    <w:p w:rsidR="00D24E61" w:rsidRPr="00771368" w:rsidRDefault="00D24E61" w:rsidP="00D24E61">
      <w:pPr>
        <w:spacing w:line="360" w:lineRule="auto"/>
        <w:jc w:val="both"/>
      </w:pPr>
      <w:r w:rsidRPr="00771368">
        <w:tab/>
        <w:t xml:space="preserve">Não se deve descrever a sexualidade como um ímpeto rebelde, estranha por natureza e indócil por necessidade, a um poder que, por sua vez, esgota-se na tentativa de sujeitá-la e muita vez fracassa em dominá-la inteiramente. Ela aparece mais como um ponto de passagem particularmente denso pelas relações de poder; entre homens e mulheres, entre jovens e velhos, entre pais e filhos, entre educadores e alunos. Nas relações de poder, a sexualidade não é o elemento mais rígido, mas um dos dotados da maior instrumentalidade: utilizável no maior número de manobras, e podendo servir de ponto de apoio, de articulações às mais variadas estratégias. (FOUCAULT, 2001). </w:t>
      </w:r>
    </w:p>
    <w:p w:rsidR="00D24E61" w:rsidRPr="00771368" w:rsidRDefault="00D24E61" w:rsidP="00D24E61">
      <w:pPr>
        <w:jc w:val="both"/>
        <w:rPr>
          <w:sz w:val="18"/>
        </w:rPr>
      </w:pPr>
    </w:p>
    <w:p w:rsidR="00D24E61" w:rsidRPr="00771368" w:rsidRDefault="00D24E61" w:rsidP="00D24E61">
      <w:pPr>
        <w:spacing w:line="360" w:lineRule="auto"/>
        <w:ind w:firstLine="708"/>
        <w:jc w:val="both"/>
      </w:pPr>
      <w:r w:rsidRPr="00771368">
        <w:t>Segundo Louro, apud Zenti, (2002, pg. 55) “é fundamental estar atento às formas como se produzem as desigualdades entre pessoas e grupos – sejam elas atribuídas à raça, à classe ou ao sexo”.</w:t>
      </w:r>
    </w:p>
    <w:p w:rsidR="00D24E61" w:rsidRPr="00771368" w:rsidRDefault="00D24E61" w:rsidP="00D24E61">
      <w:pPr>
        <w:spacing w:line="360" w:lineRule="auto"/>
        <w:ind w:firstLine="708"/>
        <w:jc w:val="both"/>
      </w:pPr>
      <w:r w:rsidRPr="00771368">
        <w:t xml:space="preserve">Relacionada, a princípio, às distinções biológicas, a diferença entre os gêneros serviu para explicar e justificar as mais variadas distinções entre mulheres e homens. Teorias foram construídas e utilizadas para provar distinções físicas, psíquicas, comportamentais; para indicar diferentes habilidades sociais, talentos ou aptidões; para justificar os lugares sociais, as possibilidades e os destinos próprios de cada gênero. Neste sentido houve grandes desigualdades de gênero, que acarretou grandes movimentos feministas, onde a princípio afetou várias instituições sociais, um exemplo, são as escolas que encontram diferenças entre os gêneros. Portanto, é dever da escola procurar de alguma forma de socializar e esclarecer as diferenças encontradas. </w:t>
      </w:r>
    </w:p>
    <w:p w:rsidR="00D24E61" w:rsidRPr="00771368" w:rsidRDefault="00D24E61" w:rsidP="00D24E61">
      <w:pPr>
        <w:spacing w:line="360" w:lineRule="auto"/>
        <w:ind w:firstLine="708"/>
        <w:jc w:val="both"/>
      </w:pPr>
    </w:p>
    <w:p w:rsidR="00D24E61" w:rsidRPr="00771368" w:rsidRDefault="00D24E61" w:rsidP="00D24E61">
      <w:pPr>
        <w:spacing w:line="360" w:lineRule="auto"/>
        <w:ind w:firstLine="708"/>
        <w:jc w:val="both"/>
      </w:pPr>
    </w:p>
    <w:p w:rsidR="00D24E61" w:rsidRPr="00771368" w:rsidRDefault="00D24E61" w:rsidP="00D24E61">
      <w:pPr>
        <w:spacing w:line="360" w:lineRule="auto"/>
        <w:ind w:firstLine="708"/>
        <w:jc w:val="both"/>
      </w:pPr>
    </w:p>
    <w:p w:rsidR="00D24E61" w:rsidRPr="00771368" w:rsidRDefault="00D24E61" w:rsidP="00D24E61">
      <w:pPr>
        <w:spacing w:after="200"/>
        <w:rPr>
          <w:b/>
        </w:rPr>
      </w:pPr>
      <w:r w:rsidRPr="00771368">
        <w:rPr>
          <w:b/>
        </w:rPr>
        <w:t>A Categoria de Gênero</w:t>
      </w:r>
    </w:p>
    <w:p w:rsidR="00D24E61" w:rsidRPr="00771368" w:rsidRDefault="00D24E61" w:rsidP="00D24E61">
      <w:pPr>
        <w:tabs>
          <w:tab w:val="left" w:pos="8505"/>
        </w:tabs>
        <w:spacing w:line="360" w:lineRule="auto"/>
        <w:ind w:right="-1"/>
        <w:jc w:val="both"/>
      </w:pPr>
    </w:p>
    <w:p w:rsidR="00D24E61" w:rsidRPr="00771368" w:rsidRDefault="00D24E61" w:rsidP="00D24E61">
      <w:pPr>
        <w:spacing w:line="360" w:lineRule="auto"/>
        <w:ind w:right="-1" w:firstLine="708"/>
        <w:jc w:val="both"/>
      </w:pPr>
      <w:r w:rsidRPr="00771368">
        <w:t xml:space="preserve">Ainda que gênero, enquanto categoria analítica passe a ser utilizado, com maior ou menor propriedade e ajustamento, no contexto de vários paradigmas teóricos, uma parte significativa das formulações produzidas pelas/os feministas atuais, estabelecer articulações entre essa conceptualização e algumas teorizações pós-estruturalistas. </w:t>
      </w:r>
    </w:p>
    <w:p w:rsidR="00D24E61" w:rsidRPr="00771368" w:rsidRDefault="00D24E61" w:rsidP="00D24E61">
      <w:pPr>
        <w:tabs>
          <w:tab w:val="left" w:pos="9072"/>
        </w:tabs>
        <w:spacing w:line="360" w:lineRule="auto"/>
        <w:ind w:right="-1" w:firstLine="708"/>
        <w:jc w:val="both"/>
      </w:pPr>
      <w:r w:rsidRPr="00771368">
        <w:t>A perspectiva de gênero evidencia, também, a existência de várias estratégias simbólicas de discriminação em relação às mulheres. A linguagem é uma das formas de exclusão mais visível. A incorporação ainda naturalizada do modelo masculino como referência genérica acaba associando tudo o que acontece com os seres humanos como sendo realizações masculinas exclusivas. Isso traz à tona representações sociais que colocam o homem como regra de modelo, inviabilizando outras contribuições, necessidades ou imagens. Um exemplo evidencia-se na construção dos processos identitários, nos quais muitas mulheres se autodenominam como sendo um professor excelente, um médico competente, ou ainda, um profissional exemplar. Por sua vez, a disseminação de uma linguagem masculina exclusivista é também incorporada nas estruturas simbólicas, sócio-institucionais e jurídicas, assim como no planejamento de políticas públicas. (BANDEIRA, 2005).</w:t>
      </w:r>
    </w:p>
    <w:p w:rsidR="00D24E61" w:rsidRPr="00771368" w:rsidRDefault="00D24E61" w:rsidP="00D24E61">
      <w:pPr>
        <w:tabs>
          <w:tab w:val="left" w:pos="9072"/>
        </w:tabs>
        <w:spacing w:line="360" w:lineRule="auto"/>
        <w:ind w:right="-1" w:firstLine="708"/>
        <w:jc w:val="both"/>
      </w:pPr>
      <w:r w:rsidRPr="00771368">
        <w:t xml:space="preserve">Admitindo que as palavras tenham história, ou melhor, que elas fazem história, o conceito de gênero que aqui se pretende enfatizar está ligado diretamente à história do movimento feminista. Constituinte desse movimento, ele está implícito lingüística e politicamente em suas lutas de incorporação, é preciso que se recupere um de todo o processo. Ações isoladas ou coletivas, dirigidas contra a opressão das mulheres, podem ser observadas em muitos momentos da história e, mais recentemente, algumas publicações, filmes etc. vêm se preocupando em reconhecer essas ações. No entanto, quando se pretende referir ao feminismo como um movimento social organizado, esse é usualmente remetido, no Ocidente, ao século XIX. </w:t>
      </w:r>
    </w:p>
    <w:p w:rsidR="00D24E61" w:rsidRPr="00771368" w:rsidRDefault="00D24E61" w:rsidP="00D24E61">
      <w:pPr>
        <w:tabs>
          <w:tab w:val="left" w:pos="9072"/>
        </w:tabs>
        <w:ind w:right="-1" w:firstLine="708"/>
        <w:jc w:val="both"/>
        <w:rPr>
          <w:sz w:val="14"/>
          <w:szCs w:val="12"/>
        </w:rPr>
      </w:pPr>
    </w:p>
    <w:p w:rsidR="00D24E61" w:rsidRPr="00771368" w:rsidRDefault="00D24E61" w:rsidP="00D24E61">
      <w:pPr>
        <w:tabs>
          <w:tab w:val="left" w:pos="9072"/>
        </w:tabs>
        <w:ind w:left="2268" w:right="-1"/>
        <w:jc w:val="both"/>
        <w:rPr>
          <w:sz w:val="20"/>
          <w:szCs w:val="20"/>
        </w:rPr>
      </w:pPr>
      <w:r w:rsidRPr="00771368">
        <w:rPr>
          <w:sz w:val="20"/>
          <w:szCs w:val="20"/>
        </w:rPr>
        <w:t xml:space="preserve">Esse movimento de questionamento sobre a desigualdade de direitos e de luta pela igualdade, que chamamos de feminino, teve sua primeira grande onda no século XIX. Mas preste atenção a um fato: se aparece um movimento pelos direitos das mulheres e não há um movimento correspondente para os homens é porque, de fato, eram os direitos das mulheres que estavam sendo ameaçados. (CIÊNCIA HOJE NA ESCOLA, 2002, p. 47). </w:t>
      </w:r>
    </w:p>
    <w:p w:rsidR="00D24E61" w:rsidRPr="00771368" w:rsidRDefault="00D24E61" w:rsidP="00D24E61">
      <w:pPr>
        <w:tabs>
          <w:tab w:val="left" w:pos="9072"/>
        </w:tabs>
        <w:spacing w:line="276" w:lineRule="auto"/>
        <w:ind w:right="-1" w:firstLine="708"/>
        <w:jc w:val="both"/>
      </w:pPr>
    </w:p>
    <w:p w:rsidR="00D24E61" w:rsidRPr="00771368" w:rsidRDefault="00D24E61" w:rsidP="00D24E61">
      <w:pPr>
        <w:tabs>
          <w:tab w:val="left" w:pos="9072"/>
        </w:tabs>
        <w:spacing w:line="360" w:lineRule="auto"/>
        <w:ind w:right="-1" w:firstLine="708"/>
        <w:jc w:val="both"/>
      </w:pPr>
      <w:r w:rsidRPr="00771368">
        <w:t>Na virada do século, as manifestações contra a discriminação feminina adquiriram uma visibilidade e uma expressividade maior no chamado sufragismo, ou seja, no movimento voltado para estender o direito do voto às mulheres. Com uma amplitude inusitada, alastrando-se por vários países ocidentais (ainda que com força e resultados desiguais), o sufragismo passou a ser reconhecido, posteriormente, como a primeira onda do feminismo.</w:t>
      </w:r>
    </w:p>
    <w:p w:rsidR="00D24E61" w:rsidRPr="00771368" w:rsidRDefault="00D24E61" w:rsidP="00D24E61">
      <w:pPr>
        <w:tabs>
          <w:tab w:val="left" w:pos="9072"/>
        </w:tabs>
        <w:spacing w:line="360" w:lineRule="auto"/>
        <w:ind w:right="-1" w:firstLine="708"/>
        <w:jc w:val="both"/>
      </w:pPr>
    </w:p>
    <w:p w:rsidR="00D24E61" w:rsidRPr="00771368" w:rsidRDefault="00D24E61" w:rsidP="00D24E61">
      <w:pPr>
        <w:spacing w:line="720" w:lineRule="auto"/>
        <w:rPr>
          <w:b/>
        </w:rPr>
      </w:pPr>
      <w:r w:rsidRPr="00771368">
        <w:rPr>
          <w:b/>
        </w:rPr>
        <w:t>GÊNERO NO COTIDIANO ESCOLAR</w:t>
      </w:r>
    </w:p>
    <w:p w:rsidR="00D24E61" w:rsidRPr="00771368" w:rsidRDefault="00D24E61" w:rsidP="00D24E61">
      <w:pPr>
        <w:spacing w:line="360" w:lineRule="auto"/>
        <w:ind w:firstLine="708"/>
        <w:jc w:val="both"/>
      </w:pPr>
      <w:r w:rsidRPr="00771368">
        <w:t>Não é nenhuma novidade que a coexistência de indivíduos, membros de grupos sociais variados, no seio de um espaço social ou institucional possa causar diferenças, distinções e diversidade hierarquizadas, ou seja, desigualdades. No que se refere especificamente à educação escolar, são muitas as pesquisas e publicações que afirmam, com propriedades, que a escola é um espaço pautado pelas relações de gênero e, portanto, pelas desigualdades entre masculino e o feminino.</w:t>
      </w:r>
    </w:p>
    <w:p w:rsidR="00D24E61" w:rsidRPr="00771368" w:rsidRDefault="00D24E61" w:rsidP="00D24E61">
      <w:pPr>
        <w:ind w:firstLine="708"/>
        <w:jc w:val="both"/>
      </w:pPr>
    </w:p>
    <w:p w:rsidR="00D24E61" w:rsidRPr="00771368" w:rsidRDefault="00D24E61" w:rsidP="00D24E61">
      <w:pPr>
        <w:ind w:left="2268"/>
        <w:jc w:val="both"/>
        <w:rPr>
          <w:sz w:val="20"/>
          <w:szCs w:val="20"/>
        </w:rPr>
      </w:pPr>
      <w:r w:rsidRPr="00771368">
        <w:rPr>
          <w:sz w:val="20"/>
          <w:szCs w:val="20"/>
        </w:rPr>
        <w:t xml:space="preserve">Em nossas escolas e nos estudos sobre educação, ainda é comum a utilização indistinta de termos aparentemente neutros masculinos ou femininos, sem nenhum critério definido. Desconsidera-se a distinção de sexo dos professores, não apenas do ponto de vista das diferenças existentes entre homens e mulheres, mas principalmente dos valores masculinos e femininos presentes bem como interferir na produção e reprodução de preconceitos de gênero. (AQUINO, 1998, p. 100). </w:t>
      </w:r>
    </w:p>
    <w:p w:rsidR="00D24E61" w:rsidRPr="00771368" w:rsidRDefault="00D24E61" w:rsidP="00D24E61">
      <w:pPr>
        <w:ind w:left="2268"/>
        <w:jc w:val="both"/>
        <w:rPr>
          <w:sz w:val="20"/>
          <w:szCs w:val="20"/>
        </w:rPr>
      </w:pPr>
    </w:p>
    <w:p w:rsidR="00D24E61" w:rsidRPr="00771368" w:rsidRDefault="00D24E61" w:rsidP="00D24E61">
      <w:pPr>
        <w:ind w:left="2268"/>
        <w:jc w:val="both"/>
        <w:rPr>
          <w:sz w:val="20"/>
          <w:szCs w:val="20"/>
        </w:rPr>
      </w:pPr>
    </w:p>
    <w:p w:rsidR="00D24E61" w:rsidRPr="00771368" w:rsidRDefault="00D24E61" w:rsidP="00D24E61">
      <w:pPr>
        <w:spacing w:line="360" w:lineRule="auto"/>
        <w:jc w:val="both"/>
      </w:pPr>
      <w:r w:rsidRPr="00771368">
        <w:rPr>
          <w:sz w:val="20"/>
          <w:szCs w:val="20"/>
        </w:rPr>
        <w:tab/>
      </w:r>
      <w:r w:rsidRPr="00771368">
        <w:t>Revelam-se, assim, que a consideração da categoria gênero pode potencializar a percepção dessas desigualdades como construções sociais, tanto na escola quanto nas demais instituições sociais. Ao se considerar o gênero, é possível colocar em causa as tradicionais assertivas sobre o que é natural, no sentido do que é inato e instintivo, para cada um dos sexos. Logo, no contexto deste capitulo, assim como no âmbito mais amplo da pesquisa, ao se falar de gênero na escola, faz-se referência ao conjunto de representações que são construídas ao longo do processo de ensino – aprendizagem, através dos significados, símbolos e diferenças para cada um dos sexos. Logo, as características biológicas entre meninos e meninas são valorizadas e interpretadas segundo as construções do gênero de cada sociedade.</w:t>
      </w:r>
    </w:p>
    <w:p w:rsidR="00D24E61" w:rsidRPr="00771368" w:rsidRDefault="00D24E61" w:rsidP="00D24E61">
      <w:pPr>
        <w:spacing w:line="360" w:lineRule="auto"/>
        <w:jc w:val="both"/>
      </w:pPr>
      <w:r w:rsidRPr="00771368">
        <w:tab/>
        <w:t>Há muito se acena com a necessidade de conhecer como se expressam as relações de gênero nas atividades habituais e rotineiras da escola. Torna-se recorrente a importância de saber quais usos das relações de gênero para organizar o trabalho na escola e possibilitar ver quais lacunas contribuem para o aumento e diminuição das desigualdades existentes nela.</w:t>
      </w:r>
    </w:p>
    <w:p w:rsidR="00D24E61" w:rsidRPr="00771368" w:rsidRDefault="00D24E61" w:rsidP="00D24E61">
      <w:pPr>
        <w:spacing w:line="360" w:lineRule="auto"/>
        <w:jc w:val="both"/>
      </w:pPr>
      <w:r w:rsidRPr="00771368">
        <w:tab/>
        <w:t>Os estudos das situações e atividades desempenhadas por meninas e meninos, seus comportamentos e interações informa onde e como se inscrevem as diferenças, polaridades e assimetrias de gênero no cotidiano da escolar. Desta forma, são reveladoras tanto as relações toleradas, encorajadas e induzidas, pelas/os professoras/es, nas atividades escolares; quanto é pertinente as relações que não são tão aceitas e motivadas entre alunas e alunos.</w:t>
      </w:r>
    </w:p>
    <w:p w:rsidR="00D24E61" w:rsidRPr="00771368" w:rsidRDefault="00D24E61" w:rsidP="00D24E61">
      <w:pPr>
        <w:spacing w:line="360" w:lineRule="auto"/>
        <w:jc w:val="both"/>
      </w:pPr>
      <w:r w:rsidRPr="00771368">
        <w:tab/>
        <w:t>Portanto, a criação de um ambiente educacional e social onde homens e mulheres, meninos e meninas sejam tratados/as igualmente e encorajados/as a explorarem completamente seu potencial, respeitando a liberdade de pensamento, de consciência, de religião e de crença, e onde os recursos educacionais promovam imagens não estereotipadas de homens e mulheres pode ter resultados efetivos na eliminação das causas da discriminação contra as mulheres e de desigualdades em ambos os sexos.</w:t>
      </w:r>
    </w:p>
    <w:p w:rsidR="00D24E61" w:rsidRPr="00771368" w:rsidRDefault="00D24E61" w:rsidP="00D24E61">
      <w:pPr>
        <w:spacing w:line="360" w:lineRule="auto"/>
        <w:jc w:val="both"/>
      </w:pPr>
    </w:p>
    <w:p w:rsidR="00D24E61" w:rsidRPr="00771368" w:rsidRDefault="00D24E61" w:rsidP="00D24E61">
      <w:pPr>
        <w:spacing w:line="360" w:lineRule="auto"/>
        <w:jc w:val="both"/>
        <w:rPr>
          <w:b/>
        </w:rPr>
      </w:pPr>
      <w:r w:rsidRPr="00771368">
        <w:rPr>
          <w:b/>
          <w:bCs/>
        </w:rPr>
        <w:t xml:space="preserve"> </w:t>
      </w:r>
      <w:r w:rsidRPr="00771368">
        <w:rPr>
          <w:b/>
        </w:rPr>
        <w:t>Os Estereótipos Sexistas</w:t>
      </w:r>
    </w:p>
    <w:p w:rsidR="00D24E61" w:rsidRPr="00771368" w:rsidRDefault="00D24E61" w:rsidP="00D24E61">
      <w:pPr>
        <w:spacing w:line="360" w:lineRule="auto"/>
        <w:jc w:val="both"/>
        <w:rPr>
          <w:b/>
        </w:rPr>
      </w:pPr>
    </w:p>
    <w:p w:rsidR="00D24E61" w:rsidRPr="00771368" w:rsidRDefault="00D24E61" w:rsidP="00D24E61">
      <w:pPr>
        <w:spacing w:line="360" w:lineRule="auto"/>
        <w:ind w:firstLine="708"/>
        <w:jc w:val="both"/>
      </w:pPr>
      <w:r w:rsidRPr="00771368">
        <w:t>Meninos são bagunceiros, gostam das aulas de Matemática e se dão melhor nos esportes. Meninas são organizadas, se destacam em Língua Portuguesa, Arte e têm mais disciplina. Quantas vezes você já não ouviu, disse ou pensou uma dessas frases? Várias, certo? Mas será que é isso mesmo? Esses conceitos, tão comuns em nosso cotidiano, expressam na verdade, estereótipos sobre masculinidade e feminilidade. São heranças culturais transmitidas pela sociedade (família, amigos, professores e outros). O que não quer dizer que seja verdade absoluta.</w:t>
      </w:r>
    </w:p>
    <w:p w:rsidR="00D24E61" w:rsidRPr="00771368" w:rsidRDefault="00D24E61" w:rsidP="00D24E61">
      <w:pPr>
        <w:spacing w:line="360" w:lineRule="auto"/>
        <w:ind w:firstLine="708"/>
        <w:jc w:val="both"/>
        <w:rPr>
          <w:i/>
        </w:rPr>
      </w:pPr>
      <w:r w:rsidRPr="00771368">
        <w:t xml:space="preserve">A palavra estereótipo é formada pelo termo grego </w:t>
      </w:r>
      <w:r w:rsidRPr="00771368">
        <w:rPr>
          <w:i/>
        </w:rPr>
        <w:t>tupos</w:t>
      </w:r>
      <w:r w:rsidRPr="00771368">
        <w:t xml:space="preserve">, através do latim </w:t>
      </w:r>
      <w:r w:rsidRPr="00771368">
        <w:rPr>
          <w:i/>
        </w:rPr>
        <w:t>tipus</w:t>
      </w:r>
      <w:r w:rsidRPr="00771368">
        <w:t>, que significa impressão, figura, imagem, forma ou modelo. Na Psicologia, o termo estereótipo tem duas interpretações diferentes: No primeiro deles se dá preferência à palavra estereotipia ao contrário de estereótipo, que corresponde a padrões de comportamentos repetitivos e inconstantes, estendendo-se a serem interpretados como sintomas de perturbações mentais. O outro significa relaciona-se a opiniões mais grotescas e simplórias.</w:t>
      </w:r>
      <w:r w:rsidRPr="00771368">
        <w:rPr>
          <w:i/>
        </w:rPr>
        <w:t xml:space="preserve"> (SOUZA, 2006).</w:t>
      </w:r>
    </w:p>
    <w:p w:rsidR="00D24E61" w:rsidRPr="00771368" w:rsidRDefault="00D24E61" w:rsidP="00D24E61">
      <w:pPr>
        <w:spacing w:line="360" w:lineRule="auto"/>
        <w:ind w:firstLine="708"/>
        <w:jc w:val="both"/>
      </w:pPr>
      <w:r w:rsidRPr="00771368">
        <w:t>Na medida em que os estereótipos são generalizações, é preciso perceber qual a função que estes desempenham. Na política pública para educação brasileira, desde a sua implantação, os Parâmetros Curriculares Nacionais posicionam-se na questão:</w:t>
      </w:r>
    </w:p>
    <w:p w:rsidR="00D24E61" w:rsidRPr="00771368" w:rsidRDefault="00D24E61" w:rsidP="00D24E61">
      <w:pPr>
        <w:ind w:firstLine="708"/>
        <w:jc w:val="both"/>
      </w:pPr>
    </w:p>
    <w:p w:rsidR="00D24E61" w:rsidRPr="00771368" w:rsidRDefault="00D24E61" w:rsidP="00D24E61">
      <w:pPr>
        <w:ind w:left="2268"/>
        <w:jc w:val="both"/>
        <w:rPr>
          <w:sz w:val="20"/>
          <w:szCs w:val="20"/>
        </w:rPr>
      </w:pPr>
      <w:r w:rsidRPr="00771368">
        <w:rPr>
          <w:sz w:val="20"/>
          <w:szCs w:val="20"/>
        </w:rPr>
        <w:t>A discussão sobre as relações de gênero tem como objetivo combater relações autoritárias, questionar a rigidez dos padrões de conduta estabelecidos para homens e mulheres a apontar para sua transformação. A flexibilização dos padrões visa permitir a expressão de potencialidades existentes em cada ser humano que é dificultado pelos estereótipos de gênero (BRASIL, 2001, v. 10, p. 144).</w:t>
      </w:r>
    </w:p>
    <w:p w:rsidR="00D24E61" w:rsidRPr="00771368" w:rsidRDefault="00D24E61" w:rsidP="00D24E61">
      <w:pPr>
        <w:spacing w:line="276" w:lineRule="auto"/>
        <w:ind w:left="2268"/>
        <w:jc w:val="both"/>
      </w:pPr>
    </w:p>
    <w:p w:rsidR="00D24E61" w:rsidRPr="00771368" w:rsidRDefault="00D24E61" w:rsidP="00D24E61">
      <w:pPr>
        <w:spacing w:line="360" w:lineRule="auto"/>
        <w:ind w:firstLine="708"/>
        <w:jc w:val="both"/>
      </w:pPr>
      <w:r w:rsidRPr="00771368">
        <w:t xml:space="preserve">Muitos artefatos culturais apresentam conteúdos implícitos, qualificados como estereótipos, que podem estar presentes num roteiro de cinema ou numa ilustração de um livro didático, metamorfose, por exemplo, no argumento táciro e sutil da obra. </w:t>
      </w:r>
    </w:p>
    <w:p w:rsidR="00D24E61" w:rsidRPr="00771368" w:rsidRDefault="00D24E61" w:rsidP="00D24E61">
      <w:pPr>
        <w:spacing w:line="360" w:lineRule="auto"/>
        <w:ind w:firstLine="708"/>
        <w:jc w:val="both"/>
      </w:pPr>
      <w:r w:rsidRPr="00771368">
        <w:t>Educadoras e educadores mais recente colocam-se contrários a essas representações, especialmente por elas parecerem se revestir de uma descrição exagerada, imprecisa ou irreal dos sujeitos ou da identidade cultural a que se referem. Também a oposição é observada, sobretudo quando os estereótipos são usados para acentuar preconceitos e formas diversas de desigualdades, pelo caráter contundente, obrigatório, impositivo, compulsório que impõem aos sujeitos de que falam. (FURLANI, 2008).</w:t>
      </w:r>
    </w:p>
    <w:p w:rsidR="00D24E61" w:rsidRPr="00771368" w:rsidRDefault="00D24E61" w:rsidP="00D24E61">
      <w:pPr>
        <w:spacing w:line="360" w:lineRule="auto"/>
        <w:ind w:firstLine="708"/>
        <w:jc w:val="both"/>
      </w:pPr>
      <w:r w:rsidRPr="00771368">
        <w:t xml:space="preserve">Diante de um determinado material que reforce estereótipos de gêneros, raça e orientação sexual, os professores devem ter a capacidade de empreender um percurso com os alunos, mostrando a dimensão preconceituosa implícita nos textos. Deste modo, estamos ajudando a construir a capacidade crítica em relação a estes temas e às distintas possibilidades de posicionamento diante deles. </w:t>
      </w:r>
    </w:p>
    <w:p w:rsidR="00D24E61" w:rsidRPr="00771368" w:rsidRDefault="00D24E61" w:rsidP="00D24E61">
      <w:pPr>
        <w:spacing w:line="276" w:lineRule="auto"/>
        <w:ind w:firstLine="708"/>
        <w:jc w:val="both"/>
      </w:pPr>
    </w:p>
    <w:p w:rsidR="00D24E61" w:rsidRPr="00771368" w:rsidRDefault="00D24E61" w:rsidP="00D24E61">
      <w:pPr>
        <w:spacing w:line="720" w:lineRule="auto"/>
        <w:rPr>
          <w:b/>
        </w:rPr>
      </w:pPr>
      <w:r w:rsidRPr="00771368">
        <w:rPr>
          <w:b/>
        </w:rPr>
        <w:t>Entre Diferenças e Preconceitos</w:t>
      </w:r>
    </w:p>
    <w:p w:rsidR="00D24E61" w:rsidRPr="00771368" w:rsidRDefault="00D24E61" w:rsidP="00D24E61">
      <w:pPr>
        <w:spacing w:line="360" w:lineRule="auto"/>
        <w:jc w:val="both"/>
      </w:pPr>
      <w:r w:rsidRPr="00771368">
        <w:tab/>
        <w:t>Diferenças, distinções, desigualdades... A escola entende disso. Na verdade, a escola produz isso. Desde seus inícios, a instituição escolar exerceu uma ação distintiva. Ela se incumbiu de separar os sujeitos – tornando aqueles que nela entravam distintos dos outros, os que a ela não tinham acesso. Ela dividiu também, internamente, os que lá estavam, através de múltiplos mecanismos de classificação, ordenamento, hierarquização. A escola que nos foi legada pela sociedade ocidental moderna começou por separar adultos de crianças, católicos de protestantes. Ela também se fez diferente para os ricos e para os pobres e ela imediatamente separou os meninos das meninas. (LOURO, 2008).</w:t>
      </w:r>
    </w:p>
    <w:p w:rsidR="00D24E61" w:rsidRPr="00771368" w:rsidRDefault="00D24E61" w:rsidP="00D24E61">
      <w:pPr>
        <w:spacing w:line="360" w:lineRule="auto"/>
        <w:ind w:firstLine="708"/>
        <w:jc w:val="both"/>
      </w:pPr>
      <w:r w:rsidRPr="00771368">
        <w:t>Concebiam inicialmente para acolher alguns, mas não todos, ela foi lentamente sendo requisitada por aquele/as o/as quais havia sido negada. Os novos grupos foram trazendo transformações à instituição. Ela precisou ser diversa: organização, currículos, prédios, docentes, regulamentos, avaliações iriam, explicita ou implicitamente, garantir – e também produzir – as diferenças entre os sujeitos.</w:t>
      </w:r>
    </w:p>
    <w:p w:rsidR="00D24E61" w:rsidRPr="00771368" w:rsidRDefault="00D24E61" w:rsidP="00D24E61">
      <w:pPr>
        <w:spacing w:line="360" w:lineRule="auto"/>
        <w:ind w:firstLine="708"/>
        <w:jc w:val="both"/>
      </w:pPr>
      <w:r w:rsidRPr="00771368">
        <w:t>É necessário que nos perguntemos, então, como se produziram e se produzem tais diferenças e que efeitos elas têm sobre os sujeitos.</w:t>
      </w:r>
    </w:p>
    <w:p w:rsidR="00D24E61" w:rsidRPr="00771368" w:rsidRDefault="00D24E61" w:rsidP="00D24E61">
      <w:pPr>
        <w:spacing w:line="360" w:lineRule="auto"/>
        <w:ind w:firstLine="708"/>
        <w:jc w:val="both"/>
      </w:pPr>
      <w:r w:rsidRPr="00771368">
        <w:t xml:space="preserve">A sala de aula é tida como um espaço de visão e formação do aluno em relação ao acolhimento das diferenças e desigualdades. Desse modo é importante tratamos à desigualdade que é movida por preconceitos e discriminação como um modo significativo que colabora para que todos aprendam a perceber que os seres humanos possuem pluralidade em vários aspectos de sua identidade fazendo parte dos gêneros. </w:t>
      </w:r>
    </w:p>
    <w:p w:rsidR="00D24E61" w:rsidRPr="00771368" w:rsidRDefault="00D24E61" w:rsidP="00D24E61">
      <w:pPr>
        <w:spacing w:line="360" w:lineRule="auto"/>
        <w:ind w:firstLine="708"/>
        <w:jc w:val="both"/>
      </w:pPr>
      <w:r w:rsidRPr="00771368">
        <w:t xml:space="preserve">Comenta Suplicy et al, (2000, p. 62) “preconceito é um pré-julgamento, uma posição assumida sem conhecimento ou reflexão sobre os fatos. Sendo o preconceito calcado em valores, manifesta determinada forma de encarar o mundo”. </w:t>
      </w:r>
    </w:p>
    <w:p w:rsidR="00D24E61" w:rsidRPr="00771368" w:rsidRDefault="00D24E61" w:rsidP="00D24E61">
      <w:pPr>
        <w:spacing w:line="360" w:lineRule="auto"/>
        <w:ind w:firstLine="708"/>
        <w:jc w:val="both"/>
      </w:pPr>
      <w:r w:rsidRPr="00771368">
        <w:t>Entretanto, as diferenças não são necessariamente fontes de estereótipos e preconceitos. Há um processo simultâneo de acomodação e resistência às atitudes e aos comportamentos socialmente definidos para homens e mulheres. Nesse processo, a adesão absoluta aos padrões sexuais é praticamente inexistente. Mas quando ignoramos essas diferenças ou atribuímos a elas valores permanentes sem atentar para as possibilidades de ruptura e de construção de novas definições do que é socialmente concebido como masculino e feminino, corremos o risco de reforçar a desigualdade de gênero. (AQUINO, 1998).</w:t>
      </w:r>
    </w:p>
    <w:p w:rsidR="00D24E61" w:rsidRPr="00771368" w:rsidRDefault="00D24E61" w:rsidP="00D24E61">
      <w:pPr>
        <w:spacing w:line="360" w:lineRule="auto"/>
        <w:ind w:firstLine="708"/>
        <w:jc w:val="both"/>
      </w:pPr>
      <w:r w:rsidRPr="00771368">
        <w:t>Segundo Rosa (2003, p. 17) “o nosso cotidiano está repleto de exemplos práticos (modelos) de como essas relações acontecem. E esse é um aspecto fundamental ao se planejar e executar atividades didáticas com os alunos”.</w:t>
      </w:r>
    </w:p>
    <w:p w:rsidR="00D24E61" w:rsidRPr="00771368" w:rsidRDefault="00D24E61" w:rsidP="00D24E61">
      <w:pPr>
        <w:spacing w:line="360" w:lineRule="auto"/>
        <w:ind w:firstLine="708"/>
        <w:jc w:val="both"/>
      </w:pPr>
      <w:r w:rsidRPr="00771368">
        <w:t>O professor, no entanto, deve inspirar-se na realidade em vez de teorizar exemplos e conceitos hipotéticos, ate porque não há aluno ou aluna que não tenha tido, ao menos, uma evidencia na própria escola, referente a essa questão. As crianças e jovens, especialmente das séries iniciais, respondem e praticam muito mais quando encontram, nas atividades didáticas, elementos que lhes são familiares. (AQUINO, 1998).</w:t>
      </w:r>
    </w:p>
    <w:p w:rsidR="00D24E61" w:rsidRPr="00771368" w:rsidRDefault="00D24E61" w:rsidP="00D24E61">
      <w:pPr>
        <w:spacing w:line="360" w:lineRule="auto"/>
        <w:ind w:firstLine="708"/>
        <w:jc w:val="both"/>
      </w:pPr>
      <w:r w:rsidRPr="00771368">
        <w:t>Por esse motivo, é conveniente ressaltar a grande influência que os modelos sexuais têm sobre o comportamento das crianças e dos jovens. Eles são encontrados todos os dias (família, mídia, trabalho, escola, etc.) nos impregnando com suas percepções e valores de como ser homem e de como ser mulher na sociedade. Na verdade, eles são, sem dúvida alguma, fatores determinantes do desempenho dos papéis sexuais.</w:t>
      </w:r>
    </w:p>
    <w:p w:rsidR="00D24E61" w:rsidRPr="00771368" w:rsidRDefault="00D24E61" w:rsidP="00D24E61">
      <w:pPr>
        <w:spacing w:line="360" w:lineRule="auto"/>
        <w:ind w:firstLine="708"/>
        <w:jc w:val="both"/>
      </w:pPr>
    </w:p>
    <w:p w:rsidR="00D24E61" w:rsidRPr="00771368" w:rsidRDefault="00D24E61" w:rsidP="00D24E61">
      <w:pPr>
        <w:spacing w:line="720" w:lineRule="auto"/>
        <w:rPr>
          <w:b/>
        </w:rPr>
      </w:pPr>
      <w:r w:rsidRPr="00771368">
        <w:rPr>
          <w:b/>
        </w:rPr>
        <w:t>SEXUALIDADE E ORIENTAÇÃO SEXUAL</w:t>
      </w:r>
    </w:p>
    <w:p w:rsidR="00D24E61" w:rsidRPr="00771368" w:rsidRDefault="00D24E61" w:rsidP="00D24E61">
      <w:pPr>
        <w:autoSpaceDE w:val="0"/>
        <w:autoSpaceDN w:val="0"/>
        <w:adjustRightInd w:val="0"/>
        <w:spacing w:line="360" w:lineRule="auto"/>
        <w:ind w:firstLine="708"/>
        <w:jc w:val="both"/>
        <w:rPr>
          <w:rFonts w:eastAsia="Frutiger-LightCn"/>
        </w:rPr>
      </w:pPr>
      <w:r w:rsidRPr="00771368">
        <w:rPr>
          <w:rFonts w:eastAsia="Frutiger-LightCn"/>
        </w:rPr>
        <w:t>Assim que uma criança nasce, providências são tomadas em relação a ela. Se for menino, carrinhos, roupinhas azuis, bonecos de super-heróis “chovem” ao seu redor. Se for menina, bonecas, lacinhos de cabelo, roupinhas rosa, ursinhos rosa e tudo o que se possam imaginar rosa, chegam à criança como um “bombardeio” de objetos. Então, ela cresce e registram todas essas situações. Todas essas convenções, melhor dizendo. Por que não se vê menininhas quando bebê usando azul ou meninos usando rosa? “E contra a natureza”, “Porque as coisas sempre foram assim”. São as respostas mais comuns.</w:t>
      </w:r>
    </w:p>
    <w:p w:rsidR="00D24E61" w:rsidRPr="00771368" w:rsidRDefault="00D24E61" w:rsidP="00D24E61">
      <w:pPr>
        <w:autoSpaceDE w:val="0"/>
        <w:autoSpaceDN w:val="0"/>
        <w:adjustRightInd w:val="0"/>
        <w:spacing w:line="360" w:lineRule="auto"/>
        <w:ind w:firstLine="708"/>
        <w:jc w:val="both"/>
        <w:rPr>
          <w:rFonts w:eastAsia="Frutiger-LightCn"/>
        </w:rPr>
      </w:pPr>
      <w:r w:rsidRPr="00771368">
        <w:rPr>
          <w:rFonts w:eastAsia="Frutiger-LightCn"/>
        </w:rPr>
        <w:t>Ainda mais quando se vê um menino querendo brincar de boneca, ou uma menina mexendo em um carrinho... E nesse momento que eles se tornam anormais. Taxados desse modo, muitas vezes, pelo preconceito dos próprios pais. Uns se acostumam e voltam a brincar com brinquedos “condizentes ao seu sexo” e outros insistem, estando sujeitos a serem chamados de gays.</w:t>
      </w:r>
    </w:p>
    <w:p w:rsidR="00D24E61" w:rsidRPr="00771368" w:rsidRDefault="00D24E61" w:rsidP="00D24E61">
      <w:pPr>
        <w:autoSpaceDE w:val="0"/>
        <w:autoSpaceDN w:val="0"/>
        <w:adjustRightInd w:val="0"/>
        <w:ind w:firstLine="708"/>
        <w:jc w:val="both"/>
        <w:rPr>
          <w:rFonts w:eastAsia="Frutiger-LightCn"/>
        </w:rPr>
      </w:pPr>
    </w:p>
    <w:p w:rsidR="00D24E61" w:rsidRPr="00771368" w:rsidRDefault="00D24E61" w:rsidP="00D24E61">
      <w:pPr>
        <w:autoSpaceDE w:val="0"/>
        <w:autoSpaceDN w:val="0"/>
        <w:adjustRightInd w:val="0"/>
        <w:ind w:left="2268"/>
        <w:jc w:val="both"/>
        <w:rPr>
          <w:rFonts w:eastAsia="Frutiger-LightCn"/>
          <w:sz w:val="18"/>
          <w:szCs w:val="18"/>
        </w:rPr>
      </w:pPr>
      <w:r w:rsidRPr="00771368">
        <w:rPr>
          <w:rFonts w:eastAsia="Frutiger-LightCn"/>
          <w:sz w:val="18"/>
          <w:szCs w:val="18"/>
        </w:rPr>
        <w:t>A criança também sofre influencias de muitas outras fontes; de livros, da escola, de pessoas que não pertencem à sua família e, principalmente, nos dias de hoje, da mídia. Essas fontes atuam de maneira decisiva na formação sexual de crianças, jovens e adultos. (BRASIL, 2001, V.10, p. 112).</w:t>
      </w:r>
    </w:p>
    <w:p w:rsidR="00D24E61" w:rsidRPr="00771368" w:rsidRDefault="00D24E61" w:rsidP="00D24E61">
      <w:pPr>
        <w:autoSpaceDE w:val="0"/>
        <w:autoSpaceDN w:val="0"/>
        <w:adjustRightInd w:val="0"/>
        <w:spacing w:line="276" w:lineRule="auto"/>
        <w:ind w:left="2268"/>
        <w:jc w:val="both"/>
        <w:rPr>
          <w:rFonts w:eastAsia="Frutiger-LightCn"/>
        </w:rPr>
      </w:pPr>
    </w:p>
    <w:p w:rsidR="00D24E61" w:rsidRPr="00771368" w:rsidRDefault="00D24E61" w:rsidP="00D24E61">
      <w:pPr>
        <w:autoSpaceDE w:val="0"/>
        <w:autoSpaceDN w:val="0"/>
        <w:adjustRightInd w:val="0"/>
        <w:spacing w:line="360" w:lineRule="auto"/>
        <w:ind w:firstLine="708"/>
        <w:jc w:val="both"/>
        <w:rPr>
          <w:rFonts w:eastAsia="Frutiger-LightCn"/>
        </w:rPr>
      </w:pPr>
      <w:r w:rsidRPr="00771368">
        <w:t>A escola, por sua vez na perspectiva da sexualidade e orientação sexual, continua pretendendo, através do disciplinamento dos corpos, produzirem sujeitos obedientes, pacíficos, ordeiros. Esses mesmos corpos, no entanto, procuram, talvez com a mesma insistência, a título de sobrevivência subjetiva, válvulas de escape, linhas de fuga e brechas para extravasar os seus modos de pensar, sua criatividade, seus posicionamentos, inquietudes e sentimentos, manifestações que a escola nomeia como indisciplina, falta de limitações, desordem e outras denominações diversas.</w:t>
      </w:r>
    </w:p>
    <w:p w:rsidR="00D24E61" w:rsidRPr="00771368" w:rsidRDefault="00D24E61" w:rsidP="00D24E61">
      <w:pPr>
        <w:spacing w:line="360" w:lineRule="auto"/>
        <w:ind w:firstLine="708"/>
        <w:jc w:val="both"/>
      </w:pPr>
      <w:r w:rsidRPr="00771368">
        <w:t xml:space="preserve">A par da multiplicidade de transformações que acontecem, diariamente, em todos os níveis e em todos os lugares, a escola organiza seu cotidiano com práticas e propósitos de fixar, adaptar e modelar, corpo e pensamento, desde a infância. Crianças e jovens estudantes fazem seus movimentos de resistência aos procedimentos normalizadores da escola. </w:t>
      </w:r>
    </w:p>
    <w:p w:rsidR="00D24E61" w:rsidRPr="00771368" w:rsidRDefault="00D24E61" w:rsidP="00D24E61">
      <w:pPr>
        <w:spacing w:line="360" w:lineRule="auto"/>
        <w:ind w:firstLine="708"/>
        <w:jc w:val="both"/>
      </w:pPr>
      <w:r w:rsidRPr="00771368">
        <w:t>Muitos episódios nos levam a crer que a escola, por não se dar conta, por não reconhecer as senhas dos acontecimentos da atualidade, que estão à disposição, como se a vida passasse ao lado, ainda faz uma pedagogia enrijecida, idêntica, uniformizada, desprovida de escuta e de significados que interpelem que façam sentido às demandas, às necessidades e às individualidades de seu público de estudantes. (ROSA, 2008).</w:t>
      </w:r>
    </w:p>
    <w:p w:rsidR="00D24E61" w:rsidRPr="00771368" w:rsidRDefault="00D24E61" w:rsidP="00D24E61">
      <w:pPr>
        <w:spacing w:line="360" w:lineRule="auto"/>
        <w:ind w:firstLine="708"/>
        <w:jc w:val="both"/>
      </w:pPr>
      <w:r w:rsidRPr="00771368">
        <w:t>Todas essas questões são tradizas pelos alunos para dentro da escola. Cabe a ela desenvolver ação crítica, reflexiva e educativa com todos que participam diretamente e indiretamente.</w:t>
      </w:r>
    </w:p>
    <w:p w:rsidR="00D24E61" w:rsidRPr="00771368" w:rsidRDefault="00D24E61" w:rsidP="00D24E61">
      <w:pPr>
        <w:spacing w:line="360" w:lineRule="auto"/>
        <w:ind w:firstLine="708"/>
        <w:jc w:val="both"/>
      </w:pPr>
    </w:p>
    <w:p w:rsidR="00D24E61" w:rsidRPr="00771368" w:rsidRDefault="00D24E61" w:rsidP="00D24E61">
      <w:pPr>
        <w:pStyle w:val="PargrafodaLista"/>
        <w:spacing w:line="360" w:lineRule="auto"/>
        <w:ind w:left="0"/>
        <w:rPr>
          <w:rFonts w:ascii="Times New Roman" w:hAnsi="Times New Roman"/>
          <w:b/>
          <w:color w:val="000000"/>
          <w:sz w:val="24"/>
        </w:rPr>
      </w:pPr>
      <w:r w:rsidRPr="00771368">
        <w:rPr>
          <w:rFonts w:ascii="Times New Roman" w:hAnsi="Times New Roman"/>
          <w:b/>
          <w:color w:val="000000"/>
          <w:sz w:val="24"/>
        </w:rPr>
        <w:t>Gênero e a Sexualidade a Partir de Jogos e Brincadeiras</w:t>
      </w:r>
    </w:p>
    <w:p w:rsidR="00D24E61" w:rsidRPr="00771368" w:rsidRDefault="00D24E61" w:rsidP="00D24E61">
      <w:pPr>
        <w:pStyle w:val="PargrafodaLista"/>
        <w:spacing w:line="360" w:lineRule="auto"/>
        <w:ind w:left="0" w:firstLine="708"/>
        <w:rPr>
          <w:rFonts w:ascii="Times New Roman" w:hAnsi="Times New Roman"/>
          <w:b/>
          <w:color w:val="000000"/>
          <w:sz w:val="24"/>
        </w:rPr>
      </w:pPr>
    </w:p>
    <w:p w:rsidR="00D24E61" w:rsidRPr="00771368" w:rsidRDefault="00D24E61" w:rsidP="00D24E61">
      <w:pPr>
        <w:pStyle w:val="PargrafodaLista"/>
        <w:spacing w:line="360" w:lineRule="auto"/>
        <w:ind w:left="0" w:firstLine="708"/>
        <w:rPr>
          <w:rFonts w:ascii="Times New Roman" w:hAnsi="Times New Roman"/>
          <w:color w:val="000000"/>
          <w:sz w:val="24"/>
        </w:rPr>
      </w:pPr>
      <w:r w:rsidRPr="00771368">
        <w:rPr>
          <w:rFonts w:ascii="Times New Roman" w:hAnsi="Times New Roman"/>
          <w:color w:val="000000"/>
          <w:sz w:val="24"/>
        </w:rPr>
        <w:t xml:space="preserve">Na criança a tendência a jogar é sem dúvida inata, mas as maneiras nas quais os jogos se exprimem, as suas regras e seus objetos são indubitavelmente os produtos de uma cultura. O patrimônio lúdico é transmitido de uma geração para outra, pelos adultos às crianças, pelos meninos mais crescidos aos menorzinhos e são limitados às variações de uma passagem para outra. </w:t>
      </w:r>
    </w:p>
    <w:p w:rsidR="00D24E61" w:rsidRPr="00771368" w:rsidRDefault="00D24E61" w:rsidP="00D24E61">
      <w:pPr>
        <w:pStyle w:val="PargrafodaLista"/>
        <w:spacing w:line="360" w:lineRule="auto"/>
        <w:ind w:left="0" w:firstLine="708"/>
        <w:rPr>
          <w:rFonts w:ascii="Times New Roman" w:hAnsi="Times New Roman"/>
          <w:color w:val="000000"/>
          <w:sz w:val="24"/>
        </w:rPr>
      </w:pPr>
      <w:r w:rsidRPr="00771368">
        <w:rPr>
          <w:rFonts w:ascii="Times New Roman" w:hAnsi="Times New Roman"/>
          <w:color w:val="000000"/>
          <w:sz w:val="24"/>
        </w:rPr>
        <w:t>Conforme Borba (2008, p. 36) “é importante ressaltar que a brincadeira não é algo já dado na vida do ser humano, ou seja, aprender-se a brincar, desde cedo, nas relações que os sujeitos estabelecem com os outros e com a cultura”.</w:t>
      </w:r>
    </w:p>
    <w:p w:rsidR="00D24E61" w:rsidRPr="00771368" w:rsidRDefault="00D24E61" w:rsidP="00D24E61">
      <w:pPr>
        <w:pStyle w:val="PargrafodaLista"/>
        <w:spacing w:line="360" w:lineRule="auto"/>
        <w:ind w:left="0" w:firstLine="708"/>
        <w:rPr>
          <w:rFonts w:ascii="Times New Roman" w:hAnsi="Times New Roman"/>
          <w:color w:val="000000"/>
          <w:sz w:val="24"/>
        </w:rPr>
      </w:pPr>
      <w:r w:rsidRPr="00771368">
        <w:rPr>
          <w:rFonts w:ascii="Times New Roman" w:hAnsi="Times New Roman"/>
          <w:color w:val="000000"/>
          <w:sz w:val="24"/>
        </w:rPr>
        <w:t>Quando os adultos afirmam que a própria criança faz suas opções a respeito de jogos, não refletem que para manifestar preferências por este ou por aquele jogo, deve a criança ter aprendido os jogos de alguma pessoa. E esta já fez uma opção em lugar da criança, no âmbito das possibilidades que se oferecem, ou seja, do material para jogar, encontrável e disponível. Numa palavra, jogos e brinquedos são frutos de uma determinada cultura em cujo âmbito se podem fazer escolhas aparentemente amplas, mas na realidade bastante limitadas. (BELOTTI, 1987).</w:t>
      </w:r>
    </w:p>
    <w:p w:rsidR="00D24E61" w:rsidRPr="00771368" w:rsidRDefault="00D24E61" w:rsidP="00D24E61">
      <w:pPr>
        <w:spacing w:line="360" w:lineRule="auto"/>
        <w:rPr>
          <w:b/>
        </w:rPr>
      </w:pPr>
      <w:r w:rsidRPr="00771368">
        <w:rPr>
          <w:b/>
        </w:rPr>
        <w:t>CONSIDERAÇÕES FINAIS</w:t>
      </w:r>
    </w:p>
    <w:p w:rsidR="00D24E61" w:rsidRPr="00771368" w:rsidRDefault="00D24E61" w:rsidP="00D24E61">
      <w:pPr>
        <w:spacing w:line="360" w:lineRule="auto"/>
        <w:rPr>
          <w:b/>
        </w:rPr>
      </w:pPr>
    </w:p>
    <w:p w:rsidR="00D24E61" w:rsidRPr="00771368" w:rsidRDefault="00D24E61" w:rsidP="00D24E61">
      <w:pPr>
        <w:spacing w:line="360" w:lineRule="auto"/>
        <w:ind w:firstLine="708"/>
        <w:jc w:val="both"/>
      </w:pPr>
      <w:r w:rsidRPr="00771368">
        <w:t>A realização desta pesquisa buscou apontar que aquilo que verbaliza as ações pedagógicas dos docentes, nos fornece elementos para uma análise das significações que dizem respeito às relações de gênero.  Enquanto sexo é uma categoria biológica, indicando as diferenças anatômicas entre homens e mulheres, o conceito de gênero tem conotação social, superando a mera oposição de seres anatomicamente diferentes e trazendo a percepção de que os comportamentos sociais são diferenciados entre homens e mulheres.</w:t>
      </w:r>
    </w:p>
    <w:p w:rsidR="00D24E61" w:rsidRPr="00771368" w:rsidRDefault="00D24E61" w:rsidP="00D24E61">
      <w:pPr>
        <w:spacing w:line="360" w:lineRule="auto"/>
        <w:jc w:val="both"/>
      </w:pPr>
      <w:r w:rsidRPr="00771368">
        <w:tab/>
        <w:t>Assim, detectamos que a escola é um campo fértil e um espaço privilegiado para observar como se desenvolvem, desde os anos iniciais da escolaridade, as relações de gênero. Nessa caminhada, a conformação de gênero tem início na família e encontrada eco e reforço na escola. Ali são ensinadas maneiras apropriadas de se movimentar, de se comportar, de se expressar e, até mesmo, maneiras de preferir.</w:t>
      </w:r>
    </w:p>
    <w:p w:rsidR="00D24E61" w:rsidRPr="00771368" w:rsidRDefault="00D24E61" w:rsidP="00D24E61">
      <w:pPr>
        <w:spacing w:line="360" w:lineRule="auto"/>
        <w:jc w:val="both"/>
      </w:pPr>
      <w:r w:rsidRPr="00771368">
        <w:tab/>
        <w:t>Contudo, os sujeitos, meninos e meninas, não são apenas receptores passivos de imposições externas. Alunos e alunas, de diferentes modos, reagem, sejam ao recusar ou assumir, ás aprendizagens sobre o feminino e o masculino propostas implícita e explicitamente nos processos educacionais.</w:t>
      </w:r>
    </w:p>
    <w:p w:rsidR="00D24E61" w:rsidRPr="00771368" w:rsidRDefault="00D24E61" w:rsidP="00D24E61">
      <w:pPr>
        <w:spacing w:line="360" w:lineRule="auto"/>
        <w:jc w:val="both"/>
      </w:pPr>
      <w:r w:rsidRPr="00771368">
        <w:tab/>
        <w:t>É urgente a destruição de qualquer caráter segredado nas escolas. Geralmente isso se expressa no uso diferenciado por sexo dos espaços escolares e nas divisões por sexo nas atividades escolares. Todas essas são ações individuais ou em pequenos grupos cujo efeito é a formação de núcleos de resistência às relações de gênero tradicionais.</w:t>
      </w:r>
    </w:p>
    <w:p w:rsidR="00D24E61" w:rsidRPr="00771368" w:rsidRDefault="00D24E61" w:rsidP="00D24E61">
      <w:pPr>
        <w:spacing w:line="360" w:lineRule="auto"/>
        <w:jc w:val="both"/>
      </w:pPr>
      <w:r w:rsidRPr="00771368">
        <w:tab/>
        <w:t>Assim, a ação dos sujeitos é, sem dúvida, importante para a transformação da realidade cotidiana. Além dessa resistência minuciosa, há de se apostar em uma mudança do sistema de ensino de modo sistemático.</w:t>
      </w:r>
    </w:p>
    <w:p w:rsidR="00D24E61" w:rsidRPr="00771368" w:rsidRDefault="00D24E61" w:rsidP="00D24E61">
      <w:pPr>
        <w:spacing w:line="360" w:lineRule="auto"/>
        <w:jc w:val="both"/>
      </w:pPr>
      <w:r w:rsidRPr="00771368">
        <w:tab/>
        <w:t>A partir do momento em que se teve na escola durante o estágio supervisionado II e com os questionários analisados, foi possível ver que a escola Municipal de Ensino Fundamental José Duarte de Azevedo apresentam facetas obscurecidas quanto às relações de gênero e, podemos observar uma possível tensão entre perpassar a suas práticas entre igualdade e desigualdade na socialização de meninos e meninas, e com isto se ver o quanto salientamos e que nem sempre se explicita diretamente no discurso de alguns professores e do próprio coordenador pedagógico, mas de forma alusiva, é a idéia de explicar as relações de gênero como uma diferença biológica. Esta perspectiva expressa o quanto a reflexão sobre o assunto está fora do contexto da escola.</w:t>
      </w:r>
    </w:p>
    <w:p w:rsidR="00D24E61" w:rsidRPr="00771368" w:rsidRDefault="00D24E61" w:rsidP="00D24E61">
      <w:pPr>
        <w:spacing w:line="360" w:lineRule="auto"/>
        <w:ind w:firstLine="708"/>
        <w:jc w:val="both"/>
      </w:pPr>
      <w:r w:rsidRPr="00771368">
        <w:t>Os jogos e brincadeiras fornecem alguns dados para a passagem de uma escola que é apenas mista para uma real experiência co-educativa, na qual os jogos e brincadeiras remetem às competências a serem desenvolvidos igualmente por meninos e meninas nas atividades escolares.</w:t>
      </w:r>
    </w:p>
    <w:p w:rsidR="00D24E61" w:rsidRPr="00771368" w:rsidRDefault="00D24E61" w:rsidP="00D24E61">
      <w:pPr>
        <w:spacing w:line="360" w:lineRule="auto"/>
        <w:jc w:val="both"/>
      </w:pPr>
      <w:r w:rsidRPr="00771368">
        <w:tab/>
        <w:t>É preciso considerar que os sujeitos da pesquisa refletem uma fronteira ambígua. De um lado, o coordenador pedagógico acredita que trata de todas as formas do gênero na escola, através de um princípio democrático fundamental. Por outro lado, revelam, mesmo que de modo inconsciente ou consciente, que os próprios professores não tem em sua profissão a prática quanto às relações de gênero, e, no entanto, eles são agentes importantes na construção do significado do que é ser homem ou mulher para as crianças.</w:t>
      </w:r>
    </w:p>
    <w:p w:rsidR="00D24E61" w:rsidRPr="00771368" w:rsidRDefault="00D24E61" w:rsidP="00D24E61">
      <w:pPr>
        <w:spacing w:line="360" w:lineRule="auto"/>
        <w:jc w:val="both"/>
      </w:pPr>
      <w:r w:rsidRPr="00771368">
        <w:tab/>
        <w:t>Com base nos dados levantados, é possível dizer que o trabalho dos professores e do coordenador pedagógico está embasado na construção de um modelo pedagógico no qual essas questões não emergem, pois fazem parte de um currículo oculto. Desse modo, se percebe, durante o período de formação, não foram preparados para refletir sobre como os estereótipos de papéis sexuais agem no contexto escolar. Este assunto não está incluído no currículo e no planejamento escolar, mas situações concretas cotidianas mostram como é forte o processo de construção de diferenciação sexista. Por outro lado, demonstra o quanto os próprios docentes são vitimas desse processo, pois desconhece a força dos estereótipos sexistas.</w:t>
      </w:r>
    </w:p>
    <w:p w:rsidR="00D24E61" w:rsidRPr="00771368" w:rsidRDefault="00D24E61" w:rsidP="00D24E61">
      <w:pPr>
        <w:spacing w:line="360" w:lineRule="auto"/>
        <w:jc w:val="both"/>
      </w:pPr>
      <w:r w:rsidRPr="00771368">
        <w:tab/>
        <w:t xml:space="preserve"> É assinalável que esta questão seja caracterizada pela sua sutileza, uma vez que é percebida de maneira inconsciente e até mesmo invisível. É também significativa a existência de posições que indicam muito mais as desigualdades que a igualdade que se estabelece entre os sexos.</w:t>
      </w:r>
    </w:p>
    <w:p w:rsidR="00D24E61" w:rsidRPr="00771368" w:rsidRDefault="00D24E61" w:rsidP="00D24E61">
      <w:pPr>
        <w:spacing w:line="360" w:lineRule="auto"/>
        <w:jc w:val="both"/>
      </w:pPr>
      <w:r w:rsidRPr="00771368">
        <w:tab/>
        <w:t xml:space="preserve">Portanto, a conquista da igualdade de gênero é, pois, essencial para o progresso humano, para a transformação da sociedade e para a melhora dos relacionamentos entre homens e mulheres. O que se pretende estabelecer com essas considerações, é que homens e mulheres são diferentes no sentido descritivo, por possuírem características factuais diversas. No entanto, são iguais no plano normativo, já de uma regra ao mesmo tratamento. O compromisso frente à igualdade de gênero ressalta a importância, nas questões econômicas, direitos legais, participação política, relações pessoais e a construir uma prática docente na qual a tônica seja dada pela igualdade, não só de gênero, mas também de classe e etnia.  </w:t>
      </w:r>
    </w:p>
    <w:p w:rsidR="00D24E61" w:rsidRPr="00771368" w:rsidRDefault="00D24E61" w:rsidP="00D24E61">
      <w:pPr>
        <w:spacing w:line="360" w:lineRule="auto"/>
        <w:jc w:val="both"/>
      </w:pPr>
    </w:p>
    <w:p w:rsidR="00D24E61" w:rsidRPr="00771368" w:rsidRDefault="00D24E61" w:rsidP="00D24E61">
      <w:pPr>
        <w:spacing w:line="360" w:lineRule="auto"/>
        <w:jc w:val="both"/>
      </w:pPr>
      <w:r w:rsidRPr="00771368">
        <w:tab/>
        <w:t xml:space="preserve"> </w:t>
      </w:r>
    </w:p>
    <w:p w:rsidR="00D24E61" w:rsidRPr="00771368" w:rsidRDefault="00D24E61" w:rsidP="00D24E61">
      <w:pPr>
        <w:spacing w:line="360" w:lineRule="auto"/>
        <w:rPr>
          <w:b/>
        </w:rPr>
      </w:pPr>
      <w:r w:rsidRPr="00771368">
        <w:rPr>
          <w:b/>
        </w:rPr>
        <w:t>REFERÊNCIAS BIBLIOGRAFICAS</w:t>
      </w:r>
    </w:p>
    <w:p w:rsidR="00D24E61" w:rsidRPr="00771368" w:rsidRDefault="00D24E61" w:rsidP="00D24E61">
      <w:pPr>
        <w:spacing w:line="360" w:lineRule="auto"/>
        <w:jc w:val="both"/>
      </w:pPr>
    </w:p>
    <w:p w:rsidR="00D24E61" w:rsidRPr="00771368" w:rsidRDefault="00D24E61" w:rsidP="00D24E61">
      <w:pPr>
        <w:jc w:val="both"/>
      </w:pPr>
      <w:r w:rsidRPr="00771368">
        <w:t xml:space="preserve">ALVES, Branca Moreira; PITANGUY, Jacqueline. </w:t>
      </w:r>
      <w:r w:rsidRPr="00771368">
        <w:rPr>
          <w:b/>
        </w:rPr>
        <w:t>O que é feminismo</w:t>
      </w:r>
      <w:r w:rsidRPr="00771368">
        <w:t>. 1 ed. São Paulo: Ed. Brasiliense, 1985.</w:t>
      </w:r>
    </w:p>
    <w:p w:rsidR="00D24E61" w:rsidRPr="00771368" w:rsidRDefault="00D24E61" w:rsidP="00D24E61">
      <w:pPr>
        <w:jc w:val="both"/>
      </w:pPr>
    </w:p>
    <w:p w:rsidR="00D24E61" w:rsidRPr="00771368" w:rsidRDefault="00D24E61" w:rsidP="00D24E61">
      <w:pPr>
        <w:jc w:val="both"/>
      </w:pPr>
      <w:r w:rsidRPr="00771368">
        <w:t xml:space="preserve">AQUINO, Julio Groppa. </w:t>
      </w:r>
      <w:r w:rsidRPr="00771368">
        <w:rPr>
          <w:b/>
        </w:rPr>
        <w:t>Diferenças e Preconceitos na Escola:</w:t>
      </w:r>
      <w:r w:rsidRPr="00771368">
        <w:t xml:space="preserve"> alternativas teóricas e práticas. 5 ed. São Paulo: Ed. Summus, 1998.</w:t>
      </w:r>
    </w:p>
    <w:p w:rsidR="00D24E61" w:rsidRPr="00771368" w:rsidRDefault="00D24E61" w:rsidP="00D24E61">
      <w:pPr>
        <w:jc w:val="both"/>
      </w:pPr>
    </w:p>
    <w:p w:rsidR="00D24E61" w:rsidRPr="00771368" w:rsidRDefault="00D24E61" w:rsidP="00D24E61">
      <w:pPr>
        <w:jc w:val="both"/>
      </w:pPr>
      <w:r w:rsidRPr="00771368">
        <w:t xml:space="preserve">AUAD, Daniela. </w:t>
      </w:r>
      <w:r w:rsidRPr="00771368">
        <w:rPr>
          <w:b/>
        </w:rPr>
        <w:t>Educar Meninos e Meninas:</w:t>
      </w:r>
      <w:r w:rsidRPr="00771368">
        <w:t xml:space="preserve"> relações na escola. 1 ed. São Paulo: Ed. Contexto, 2006.</w:t>
      </w:r>
    </w:p>
    <w:p w:rsidR="00D24E61" w:rsidRPr="00771368" w:rsidRDefault="00D24E61" w:rsidP="00D24E61">
      <w:pPr>
        <w:jc w:val="both"/>
      </w:pPr>
    </w:p>
    <w:p w:rsidR="00D24E61" w:rsidRPr="00771368" w:rsidRDefault="00D24E61" w:rsidP="00D24E61">
      <w:pPr>
        <w:jc w:val="both"/>
        <w:rPr>
          <w:color w:val="000000"/>
        </w:rPr>
      </w:pPr>
      <w:r w:rsidRPr="00771368">
        <w:t xml:space="preserve">BANDEIRA, Lourdes. </w:t>
      </w:r>
      <w:r w:rsidRPr="00771368">
        <w:rPr>
          <w:b/>
        </w:rPr>
        <w:t>Gênero, Racismo e Violência</w:t>
      </w:r>
      <w:r w:rsidRPr="00771368">
        <w:t>. Disponível em: &lt;</w:t>
      </w:r>
      <w:hyperlink r:id="rId403" w:history="1">
        <w:r w:rsidRPr="00771368">
          <w:rPr>
            <w:rStyle w:val="Hyperlink"/>
            <w:color w:val="000000"/>
          </w:rPr>
          <w:t>http://www.fpabamo.org.br</w:t>
        </w:r>
      </w:hyperlink>
      <w:r w:rsidRPr="00771368">
        <w:rPr>
          <w:color w:val="000000"/>
        </w:rPr>
        <w:t>&gt; ou &lt;</w:t>
      </w:r>
      <w:hyperlink r:id="rId404" w:history="1">
        <w:r w:rsidRPr="00771368">
          <w:rPr>
            <w:rStyle w:val="Hyperlink"/>
            <w:color w:val="000000"/>
          </w:rPr>
          <w:t>www.tvbrasil.com.br/salto. htm&gt;. Acesso em: 20 jul. 2009</w:t>
        </w:r>
      </w:hyperlink>
      <w:r w:rsidRPr="00771368">
        <w:rPr>
          <w:color w:val="000000"/>
        </w:rPr>
        <w:t>, 10h00min.</w:t>
      </w:r>
    </w:p>
    <w:p w:rsidR="00D24E61" w:rsidRPr="00771368" w:rsidRDefault="00D24E61" w:rsidP="00D24E61">
      <w:pPr>
        <w:jc w:val="both"/>
      </w:pPr>
    </w:p>
    <w:p w:rsidR="00D24E61" w:rsidRPr="00771368" w:rsidRDefault="00D24E61" w:rsidP="00D24E61">
      <w:pPr>
        <w:jc w:val="both"/>
      </w:pPr>
      <w:r w:rsidRPr="00771368">
        <w:t xml:space="preserve">BELLOTI, Elena Gianini. </w:t>
      </w:r>
      <w:r w:rsidRPr="00771368">
        <w:rPr>
          <w:b/>
        </w:rPr>
        <w:t xml:space="preserve">Educar para a </w:t>
      </w:r>
      <w:r w:rsidRPr="00771368">
        <w:t>Submissão: o descondicionamento da mulher. 1 ed. Petrópolis, RJ: Ed. Vozes, 1987.</w:t>
      </w:r>
    </w:p>
    <w:p w:rsidR="00D24E61" w:rsidRPr="00771368" w:rsidRDefault="00D24E61" w:rsidP="00D24E61">
      <w:pPr>
        <w:jc w:val="both"/>
      </w:pPr>
    </w:p>
    <w:p w:rsidR="00D24E61" w:rsidRPr="00771368" w:rsidRDefault="00D24E61" w:rsidP="00D24E61">
      <w:pPr>
        <w:jc w:val="both"/>
      </w:pPr>
      <w:r w:rsidRPr="00771368">
        <w:t xml:space="preserve">BORBA, Ângela Meyer. O Brincar como um modo de ser e estar no mundo. In: </w:t>
      </w:r>
      <w:r w:rsidRPr="00771368">
        <w:rPr>
          <w:b/>
        </w:rPr>
        <w:t>Ensino Fundamental de Nove Ano</w:t>
      </w:r>
      <w:r w:rsidRPr="00771368">
        <w:t>s: orientações para a inclusão da criança de seis anos de idade. In: Brasil. Ministério da Educação e Cultura, Brasília, 2008, p. 33 – 56.</w:t>
      </w:r>
    </w:p>
    <w:p w:rsidR="00D24E61" w:rsidRPr="00771368" w:rsidRDefault="00D24E61" w:rsidP="00D24E61">
      <w:pPr>
        <w:jc w:val="both"/>
      </w:pPr>
    </w:p>
    <w:p w:rsidR="00D24E61" w:rsidRPr="00771368" w:rsidRDefault="00D24E61" w:rsidP="00D24E61">
      <w:pPr>
        <w:spacing w:line="360" w:lineRule="auto"/>
        <w:jc w:val="both"/>
      </w:pPr>
      <w:r w:rsidRPr="00771368">
        <w:t xml:space="preserve">BRASIL. Ministério da Educação e Cultura. Secretaria da Educação Fundamental. </w:t>
      </w:r>
      <w:r w:rsidRPr="00771368">
        <w:rPr>
          <w:b/>
        </w:rPr>
        <w:t>Pluralidade, Cultural e Orientação Sexual</w:t>
      </w:r>
      <w:r w:rsidRPr="00771368">
        <w:t>. Parâmetros Curriculares Nacionais. Brasília, 2001. V.10. d.</w:t>
      </w:r>
    </w:p>
    <w:p w:rsidR="00D24E61" w:rsidRPr="00771368" w:rsidRDefault="00D24E61" w:rsidP="00D24E61">
      <w:pPr>
        <w:jc w:val="both"/>
      </w:pPr>
      <w:r w:rsidRPr="00771368">
        <w:t xml:space="preserve"> </w:t>
      </w:r>
    </w:p>
    <w:p w:rsidR="00D24E61" w:rsidRPr="00771368" w:rsidRDefault="00D24E61" w:rsidP="00D24E61">
      <w:pPr>
        <w:jc w:val="both"/>
      </w:pPr>
      <w:r w:rsidRPr="00771368">
        <w:t xml:space="preserve">CIÊNCIA HOJE NA ESCOLA: </w:t>
      </w:r>
      <w:r w:rsidRPr="00771368">
        <w:rPr>
          <w:b/>
        </w:rPr>
        <w:t xml:space="preserve">Sexualidade: </w:t>
      </w:r>
      <w:r w:rsidRPr="00771368">
        <w:t>corpo, desejo e cultura. 8 ed. São Paulo: Ed. Global, 2002.</w:t>
      </w:r>
    </w:p>
    <w:p w:rsidR="00D24E61" w:rsidRPr="00771368" w:rsidRDefault="00D24E61" w:rsidP="00D24E61">
      <w:pPr>
        <w:jc w:val="both"/>
      </w:pPr>
    </w:p>
    <w:p w:rsidR="00D24E61" w:rsidRPr="00771368" w:rsidRDefault="00D24E61" w:rsidP="00D24E61">
      <w:pPr>
        <w:jc w:val="both"/>
      </w:pPr>
      <w:r w:rsidRPr="00771368">
        <w:t xml:space="preserve">COSTA, Cristina. </w:t>
      </w:r>
      <w:r w:rsidRPr="00771368">
        <w:rPr>
          <w:b/>
        </w:rPr>
        <w:t>Sociologia:</w:t>
      </w:r>
      <w:r w:rsidRPr="00771368">
        <w:t xml:space="preserve"> introdução à Ciência da sociedade. São Paulo: Ed. Moderna, 2005.</w:t>
      </w:r>
    </w:p>
    <w:p w:rsidR="00D24E61" w:rsidRPr="00771368" w:rsidRDefault="00D24E61" w:rsidP="00D24E61">
      <w:pPr>
        <w:jc w:val="both"/>
      </w:pPr>
    </w:p>
    <w:p w:rsidR="00D24E61" w:rsidRPr="00771368" w:rsidRDefault="00D24E61" w:rsidP="00D24E61">
      <w:pPr>
        <w:jc w:val="both"/>
        <w:rPr>
          <w:color w:val="000000"/>
        </w:rPr>
      </w:pPr>
      <w:r w:rsidRPr="00771368">
        <w:t xml:space="preserve">DUARTE, Rosália. </w:t>
      </w:r>
      <w:r w:rsidRPr="00771368">
        <w:rPr>
          <w:b/>
        </w:rPr>
        <w:t xml:space="preserve">Pesquisa Qualitativa: </w:t>
      </w:r>
      <w:r w:rsidRPr="00771368">
        <w:t>reflexões sobre o trabalho de campo. Disponível em: &lt;</w:t>
      </w:r>
      <w:hyperlink r:id="rId405" w:history="1">
        <w:r w:rsidRPr="00771368">
          <w:rPr>
            <w:rStyle w:val="Hyperlink"/>
            <w:color w:val="000000"/>
          </w:rPr>
          <w:t>http://www.scielo.br/pdf/cp/n115/a05n115.pdf</w:t>
        </w:r>
      </w:hyperlink>
      <w:r w:rsidRPr="00771368">
        <w:rPr>
          <w:color w:val="000000"/>
          <w:u w:val="single"/>
        </w:rPr>
        <w:t>. htm</w:t>
      </w:r>
      <w:r w:rsidRPr="00771368">
        <w:rPr>
          <w:color w:val="000000"/>
        </w:rPr>
        <w:t>&gt;. Acesso em: 20 jul. 2009, 10h30min.</w:t>
      </w:r>
    </w:p>
    <w:p w:rsidR="00D24E61" w:rsidRPr="00771368" w:rsidRDefault="00D24E61" w:rsidP="00D24E61">
      <w:pPr>
        <w:jc w:val="both"/>
      </w:pPr>
    </w:p>
    <w:p w:rsidR="00D24E61" w:rsidRPr="00771368" w:rsidRDefault="00D24E61" w:rsidP="00D24E61">
      <w:pPr>
        <w:jc w:val="both"/>
      </w:pPr>
      <w:r w:rsidRPr="00771368">
        <w:t xml:space="preserve">FOUCAULT, Michel. </w:t>
      </w:r>
      <w:r w:rsidRPr="00771368">
        <w:rPr>
          <w:b/>
        </w:rPr>
        <w:t xml:space="preserve">História da Sexualidade: </w:t>
      </w:r>
      <w:r w:rsidRPr="00771368">
        <w:t>a vontade de saber. 14 ed. Rio de Janeiro: Ed. Graal, 2001.</w:t>
      </w:r>
    </w:p>
    <w:p w:rsidR="00D24E61" w:rsidRPr="00771368" w:rsidRDefault="00D24E61" w:rsidP="00D24E61">
      <w:pPr>
        <w:jc w:val="both"/>
      </w:pPr>
    </w:p>
    <w:p w:rsidR="00D24E61" w:rsidRPr="00771368" w:rsidRDefault="00D24E61" w:rsidP="00D24E61">
      <w:pPr>
        <w:jc w:val="both"/>
      </w:pPr>
      <w:r w:rsidRPr="00771368">
        <w:t xml:space="preserve">FURLANI, Jimenta. Educação Sexual: do estereótipo à representação – argumentando a favor da multiplicidade sexual, de gênero e étnico-racial. In: RIBEIRO, Paula Regina Costa. </w:t>
      </w:r>
      <w:r w:rsidRPr="00771368">
        <w:rPr>
          <w:b/>
        </w:rPr>
        <w:t>Corpos, Gêneros e Sexualidades:</w:t>
      </w:r>
      <w:r w:rsidRPr="00771368">
        <w:t xml:space="preserve"> questões possíveis para o currículo escolar: Caderno Pedagógico. Anos iniciais, Brasília, 2008, p. 17-29.</w:t>
      </w:r>
    </w:p>
    <w:p w:rsidR="00D24E61" w:rsidRPr="00771368" w:rsidRDefault="00D24E61" w:rsidP="00D24E61">
      <w:pPr>
        <w:jc w:val="both"/>
      </w:pPr>
    </w:p>
    <w:p w:rsidR="00D24E61" w:rsidRPr="00771368" w:rsidRDefault="00D24E61" w:rsidP="00D24E61">
      <w:pPr>
        <w:jc w:val="both"/>
      </w:pPr>
      <w:r w:rsidRPr="00771368">
        <w:t xml:space="preserve">GOELLNER, Silvana Vilodre; LOURO, Guaciara Lopes; NECKEL, Jane Felipe. </w:t>
      </w:r>
      <w:r w:rsidRPr="00771368">
        <w:rPr>
          <w:b/>
        </w:rPr>
        <w:t xml:space="preserve">Corpo, Gênero e Sexualidade: </w:t>
      </w:r>
      <w:r w:rsidRPr="00771368">
        <w:t>um debate contemporâneo na educação. 1 ed. Petrópolis, RJ: Ed. Vozes, 2002.</w:t>
      </w:r>
    </w:p>
    <w:p w:rsidR="00D24E61" w:rsidRPr="00771368" w:rsidRDefault="00D24E61" w:rsidP="00D24E61">
      <w:pPr>
        <w:jc w:val="both"/>
      </w:pPr>
    </w:p>
    <w:p w:rsidR="00D24E61" w:rsidRPr="00771368" w:rsidRDefault="00D24E61" w:rsidP="00D24E61">
      <w:pPr>
        <w:jc w:val="both"/>
      </w:pPr>
      <w:r w:rsidRPr="00771368">
        <w:t xml:space="preserve">LOURO, Guaciara Lopes. </w:t>
      </w:r>
      <w:r w:rsidRPr="00771368">
        <w:rPr>
          <w:b/>
        </w:rPr>
        <w:t>Gênero, Sexualidade e Educação:</w:t>
      </w:r>
      <w:r w:rsidRPr="00771368">
        <w:t xml:space="preserve"> uma perspectiva pós-estruturalista. 10 ed. Petrópolis, RJ: Ed. Vozes, 2008.</w:t>
      </w:r>
    </w:p>
    <w:p w:rsidR="00D24E61" w:rsidRPr="00771368" w:rsidRDefault="00D24E61" w:rsidP="00D24E61">
      <w:pPr>
        <w:jc w:val="both"/>
      </w:pPr>
    </w:p>
    <w:p w:rsidR="00D24E61" w:rsidRPr="00771368" w:rsidRDefault="00D24E61" w:rsidP="00D24E61">
      <w:pPr>
        <w:jc w:val="both"/>
      </w:pPr>
      <w:r w:rsidRPr="00771368">
        <w:t xml:space="preserve">MARTINS, Ana Rita. O Mundo é sexo. E é Sério. In: REVISTA NOVA ESCOLA. </w:t>
      </w:r>
      <w:r w:rsidRPr="00771368">
        <w:rPr>
          <w:b/>
        </w:rPr>
        <w:t xml:space="preserve">Você Estar Pronto Para Falar de Sexo? </w:t>
      </w:r>
      <w:r w:rsidRPr="00771368">
        <w:t>São Paulo: ano XXIII nº 214, ago. 2008, p. 38 – 46.</w:t>
      </w:r>
    </w:p>
    <w:p w:rsidR="00D24E61" w:rsidRPr="00771368" w:rsidRDefault="00D24E61" w:rsidP="00D24E61">
      <w:pPr>
        <w:jc w:val="both"/>
      </w:pPr>
    </w:p>
    <w:p w:rsidR="00D24E61" w:rsidRPr="00771368" w:rsidRDefault="00D24E61" w:rsidP="00D24E61">
      <w:pPr>
        <w:jc w:val="both"/>
      </w:pPr>
      <w:r w:rsidRPr="00771368">
        <w:t xml:space="preserve">ROSA, José Antônio Rodrigues da. Orientação Sexual: discutindo as relações de gênero e as desigualdades entre homens e mulheres. In: REVISTA DO PROFESSOR. </w:t>
      </w:r>
      <w:r w:rsidRPr="00771368">
        <w:rPr>
          <w:b/>
        </w:rPr>
        <w:t>Educar para o Transito:</w:t>
      </w:r>
      <w:r w:rsidRPr="00771368">
        <w:t xml:space="preserve"> papel social da escola. Porto Alegre. Ano XIX nº 76, out./dez., 2008, p. 17 - 22.</w:t>
      </w:r>
    </w:p>
    <w:p w:rsidR="00D24E61" w:rsidRPr="00771368" w:rsidRDefault="00D24E61" w:rsidP="00D24E61">
      <w:pPr>
        <w:jc w:val="both"/>
      </w:pPr>
    </w:p>
    <w:p w:rsidR="00D24E61" w:rsidRPr="00771368" w:rsidRDefault="00D24E61" w:rsidP="00D24E61">
      <w:pPr>
        <w:jc w:val="both"/>
      </w:pPr>
      <w:r w:rsidRPr="00771368">
        <w:t xml:space="preserve">SECRETARIA EXTRAORDINÁRIA DE POLÍTICAS PARA AS MULHERES. </w:t>
      </w:r>
      <w:r w:rsidRPr="00771368">
        <w:rPr>
          <w:b/>
        </w:rPr>
        <w:t>Governo do Estado do</w:t>
      </w:r>
      <w:r w:rsidRPr="00771368">
        <w:t xml:space="preserve"> </w:t>
      </w:r>
      <w:r w:rsidRPr="00771368">
        <w:rPr>
          <w:b/>
        </w:rPr>
        <w:t>Amapá-AP</w:t>
      </w:r>
      <w:r w:rsidRPr="00771368">
        <w:t>, 2009.</w:t>
      </w:r>
    </w:p>
    <w:p w:rsidR="00D24E61" w:rsidRPr="00771368" w:rsidRDefault="00D24E61" w:rsidP="00D24E61">
      <w:pPr>
        <w:jc w:val="both"/>
      </w:pPr>
    </w:p>
    <w:p w:rsidR="00D24E61" w:rsidRPr="00771368" w:rsidRDefault="00D24E61" w:rsidP="00D24E61">
      <w:pPr>
        <w:jc w:val="both"/>
      </w:pPr>
      <w:r w:rsidRPr="00771368">
        <w:t xml:space="preserve">SOUZA, Fabiana Cristina de. </w:t>
      </w:r>
      <w:r w:rsidRPr="00771368">
        <w:rPr>
          <w:b/>
        </w:rPr>
        <w:t>Meninos e Meninas na Escola:</w:t>
      </w:r>
      <w:r w:rsidRPr="00771368">
        <w:t xml:space="preserve"> um encontro possível? 1 ed. Porto Alegre: Ed. Zouk, 2006.</w:t>
      </w:r>
    </w:p>
    <w:p w:rsidR="00D24E61" w:rsidRPr="00771368" w:rsidRDefault="00D24E61" w:rsidP="00D24E61">
      <w:pPr>
        <w:jc w:val="both"/>
      </w:pPr>
    </w:p>
    <w:p w:rsidR="00D24E61" w:rsidRPr="00771368" w:rsidRDefault="00D24E61" w:rsidP="00D24E61">
      <w:pPr>
        <w:jc w:val="both"/>
      </w:pPr>
      <w:r w:rsidRPr="00771368">
        <w:t xml:space="preserve">SUPLICY, Marta. et al. </w:t>
      </w:r>
      <w:r w:rsidRPr="00771368">
        <w:rPr>
          <w:b/>
        </w:rPr>
        <w:t>Sexo se Aprende na Escola</w:t>
      </w:r>
      <w:r w:rsidRPr="00771368">
        <w:t>. 3 ed. São Paulo: Ed. Olho D’água, 2000.</w:t>
      </w:r>
    </w:p>
    <w:p w:rsidR="00D24E61" w:rsidRPr="00771368" w:rsidRDefault="00D24E61" w:rsidP="00D24E61">
      <w:pPr>
        <w:jc w:val="both"/>
      </w:pPr>
    </w:p>
    <w:p w:rsidR="00D24E61" w:rsidRPr="00771368" w:rsidRDefault="00D24E61" w:rsidP="00D24E61">
      <w:pPr>
        <w:jc w:val="both"/>
        <w:rPr>
          <w:sz w:val="21"/>
          <w:szCs w:val="21"/>
        </w:rPr>
      </w:pPr>
    </w:p>
    <w:p w:rsidR="00D24E61" w:rsidRPr="00771368" w:rsidRDefault="00D24E61" w:rsidP="00D24E61">
      <w:pPr>
        <w:rPr>
          <w:sz w:val="21"/>
          <w:szCs w:val="21"/>
        </w:rPr>
      </w:pPr>
    </w:p>
    <w:p w:rsidR="00D24E61" w:rsidRPr="00771368" w:rsidRDefault="00D24E61" w:rsidP="00D24E61">
      <w:pPr>
        <w:rPr>
          <w:sz w:val="21"/>
          <w:szCs w:val="21"/>
        </w:rPr>
      </w:pPr>
    </w:p>
    <w:p w:rsidR="00D24E61" w:rsidRPr="00771368" w:rsidRDefault="00D24E61" w:rsidP="00D61223">
      <w:pPr>
        <w:rPr>
          <w:b/>
          <w:sz w:val="21"/>
          <w:szCs w:val="21"/>
        </w:rPr>
      </w:pPr>
    </w:p>
    <w:p w:rsidR="00D24E61" w:rsidRPr="00771368" w:rsidRDefault="00D24E61" w:rsidP="00D24E61">
      <w:pPr>
        <w:rPr>
          <w:b/>
          <w:sz w:val="21"/>
          <w:szCs w:val="21"/>
        </w:rPr>
      </w:pPr>
    </w:p>
    <w:p w:rsidR="00D24E61" w:rsidRPr="00771368" w:rsidRDefault="00D24E61" w:rsidP="00D24E61">
      <w:pPr>
        <w:jc w:val="center"/>
        <w:rPr>
          <w:b/>
          <w:sz w:val="28"/>
          <w:szCs w:val="28"/>
        </w:rPr>
      </w:pPr>
      <w:r w:rsidRPr="00771368">
        <w:rPr>
          <w:b/>
          <w:sz w:val="28"/>
          <w:szCs w:val="28"/>
        </w:rPr>
        <w:t>OS/AS “</w:t>
      </w:r>
      <w:r w:rsidRPr="00771368">
        <w:rPr>
          <w:b/>
          <w:i/>
          <w:sz w:val="28"/>
          <w:szCs w:val="28"/>
        </w:rPr>
        <w:t>E.T</w:t>
      </w:r>
      <w:r w:rsidRPr="00771368">
        <w:rPr>
          <w:b/>
          <w:sz w:val="28"/>
          <w:szCs w:val="28"/>
        </w:rPr>
        <w:t>.” INVADEM E SE EVADEM DA ESCOLA: A EXPULSÃO COMPULSÓRIA DE ESTUDANTES</w:t>
      </w:r>
      <w:r w:rsidRPr="00771368">
        <w:rPr>
          <w:b/>
          <w:i/>
          <w:sz w:val="28"/>
          <w:szCs w:val="28"/>
        </w:rPr>
        <w:t xml:space="preserve"> TRANS</w:t>
      </w:r>
    </w:p>
    <w:p w:rsidR="00D24E61" w:rsidRPr="00771368" w:rsidRDefault="00D24E61" w:rsidP="00D24E61">
      <w:pPr>
        <w:jc w:val="right"/>
        <w:rPr>
          <w:sz w:val="24"/>
          <w:szCs w:val="24"/>
        </w:rPr>
      </w:pPr>
    </w:p>
    <w:p w:rsidR="00D24E61" w:rsidRPr="00771368" w:rsidRDefault="00D24E61" w:rsidP="00D24E61">
      <w:pPr>
        <w:jc w:val="both"/>
        <w:rPr>
          <w:sz w:val="24"/>
          <w:szCs w:val="24"/>
        </w:rPr>
      </w:pPr>
      <w:bookmarkStart w:id="73" w:name="_Toc442034759"/>
      <w:r w:rsidRPr="00D61223">
        <w:rPr>
          <w:rStyle w:val="Ttulo1Char"/>
        </w:rPr>
        <w:t>Isaias Batista de Oliveira Junior</w:t>
      </w:r>
      <w:bookmarkEnd w:id="73"/>
      <w:r w:rsidRPr="00771368">
        <w:rPr>
          <w:sz w:val="24"/>
          <w:szCs w:val="24"/>
        </w:rPr>
        <w:t xml:space="preserve"> – Mestrando em Educação pela Universidade Estadual de Maringá – UEM. Bolsista CAPES/CNPQ. Membro do Núcleo de Pesquisa e Estudos sobre Diversidade Sexual. E-mail: </w:t>
      </w:r>
      <w:hyperlink r:id="rId406" w:history="1">
        <w:r w:rsidRPr="00771368">
          <w:rPr>
            <w:rStyle w:val="Hyperlink"/>
            <w:rFonts w:eastAsia="Calibri"/>
            <w:color w:val="auto"/>
            <w:szCs w:val="24"/>
          </w:rPr>
          <w:t>jr_oliveira1979@hotmail.com</w:t>
        </w:r>
      </w:hyperlink>
      <w:r w:rsidRPr="00771368">
        <w:rPr>
          <w:rStyle w:val="Hyperlink"/>
          <w:rFonts w:eastAsia="Calibri"/>
          <w:color w:val="auto"/>
          <w:szCs w:val="24"/>
        </w:rPr>
        <w:t xml:space="preserve">. </w:t>
      </w:r>
    </w:p>
    <w:p w:rsidR="00D24E61" w:rsidRPr="00771368" w:rsidRDefault="00D24E61" w:rsidP="00D24E61">
      <w:pPr>
        <w:pStyle w:val="Textodenotaderodap"/>
        <w:rPr>
          <w:rStyle w:val="Hyperlink"/>
          <w:rFonts w:ascii="Times New Roman" w:hAnsi="Times New Roman"/>
          <w:color w:val="auto"/>
          <w:szCs w:val="24"/>
        </w:rPr>
      </w:pPr>
      <w:r w:rsidRPr="00771368">
        <w:rPr>
          <w:rFonts w:ascii="Times New Roman" w:hAnsi="Times New Roman"/>
          <w:b/>
          <w:sz w:val="24"/>
          <w:szCs w:val="24"/>
        </w:rPr>
        <w:t xml:space="preserve">Eliane Rose Maio </w:t>
      </w:r>
      <w:r w:rsidRPr="00771368">
        <w:rPr>
          <w:rFonts w:ascii="Times New Roman" w:hAnsi="Times New Roman"/>
          <w:sz w:val="24"/>
          <w:szCs w:val="24"/>
        </w:rPr>
        <w:t xml:space="preserve">– (Orientadora) - Psicóloga. Pós-Doutora em Educação Escolar-UNESP/Araraquara. Professora do Mestrado em Educação – PPE, UEM, Coordenadora do Grupo de Estudos Núcleo de Pesquisa e Estudos sobre Diversidade Sexual.  E-mail: </w:t>
      </w:r>
      <w:hyperlink r:id="rId407" w:history="1">
        <w:r w:rsidRPr="00771368">
          <w:rPr>
            <w:rStyle w:val="Hyperlink"/>
            <w:rFonts w:ascii="Times New Roman" w:hAnsi="Times New Roman"/>
            <w:color w:val="auto"/>
            <w:szCs w:val="24"/>
          </w:rPr>
          <w:t>elianerosemaio@yahoo.com.br</w:t>
        </w:r>
      </w:hyperlink>
      <w:r w:rsidRPr="00771368">
        <w:rPr>
          <w:rStyle w:val="Hyperlink"/>
          <w:rFonts w:ascii="Times New Roman" w:hAnsi="Times New Roman"/>
          <w:color w:val="auto"/>
          <w:szCs w:val="24"/>
        </w:rPr>
        <w:t xml:space="preserve">. </w:t>
      </w:r>
    </w:p>
    <w:p w:rsidR="00D24E61" w:rsidRPr="00771368" w:rsidRDefault="00D24E61" w:rsidP="00D24E61">
      <w:pPr>
        <w:pStyle w:val="Dissertao1"/>
        <w:tabs>
          <w:tab w:val="clear" w:pos="360"/>
        </w:tabs>
        <w:rPr>
          <w:rFonts w:ascii="Times New Roman" w:hAnsi="Times New Roman"/>
        </w:rPr>
      </w:pPr>
      <w:bookmarkStart w:id="74" w:name="_Toc361505794"/>
      <w:bookmarkStart w:id="75" w:name="_Toc361506621"/>
      <w:bookmarkStart w:id="76" w:name="_Toc364283419"/>
      <w:r w:rsidRPr="00771368">
        <w:rPr>
          <w:rFonts w:ascii="Times New Roman" w:hAnsi="Times New Roman"/>
        </w:rPr>
        <w:t>(DES) CONSTRUINDO IDENTIDADE(S) E (RE)PRODUZINDO DIFERENÇAS</w:t>
      </w:r>
      <w:bookmarkEnd w:id="74"/>
      <w:bookmarkEnd w:id="75"/>
      <w:bookmarkEnd w:id="76"/>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Stuart Hall (2006) denomina o atual período que vivenciamos de “modernidade” ou “modernidade tardia”, período demarcado a partir da segunda metade do século XX, ao ponderar que “as velhas identidades que por tanto tempo estabilizaram o mundo social estão em declínio fazendo surgir novas identidades e fragmentando o indivíduo moderno” (2006, p. 07), ou seja, “as identidades estão sujeitas a historicização radical, estando constantemente em processo de mudança e transformação” (HALL, 2007, p. 108) (des)constituídas e (des)construídas ao longo de discursos que podem ser opostos ou unívocos. </w:t>
      </w:r>
    </w:p>
    <w:p w:rsidR="00D24E61" w:rsidRPr="00771368" w:rsidRDefault="00D24E61" w:rsidP="00D24E61">
      <w:pPr>
        <w:spacing w:line="360" w:lineRule="auto"/>
        <w:ind w:firstLine="709"/>
        <w:jc w:val="both"/>
        <w:rPr>
          <w:sz w:val="24"/>
          <w:szCs w:val="24"/>
        </w:rPr>
      </w:pPr>
      <w:r w:rsidRPr="00771368">
        <w:rPr>
          <w:sz w:val="24"/>
          <w:szCs w:val="24"/>
        </w:rPr>
        <w:t xml:space="preserve">Hall (2006), Silva (2007) e Woodward (2007) concebem o sujeito da atualidade como sendo um produto da pós-modernidade estruturados no contexto das relações sociais, culturais, demarcada por símbolos de tal forma que não existe a possibilidade de se constituir uma identidade única, completa, coerente, fixa e imutável. Ao invés disso, somos apresentados/as a uma multiplicidade de identidades pessoais possíveis, nem que seja ao menos por certo período e que se encontra em constante processo de mudança provocando a fragmentação dos sujeitos e evidenciando as suas diferenças. </w:t>
      </w:r>
    </w:p>
    <w:p w:rsidR="00D24E61" w:rsidRPr="00771368" w:rsidRDefault="00D24E61" w:rsidP="00D24E61">
      <w:pPr>
        <w:tabs>
          <w:tab w:val="left" w:pos="709"/>
        </w:tabs>
        <w:spacing w:line="360" w:lineRule="auto"/>
        <w:jc w:val="both"/>
        <w:rPr>
          <w:sz w:val="24"/>
          <w:szCs w:val="24"/>
        </w:rPr>
      </w:pPr>
      <w:r w:rsidRPr="00771368">
        <w:rPr>
          <w:sz w:val="24"/>
          <w:szCs w:val="24"/>
        </w:rPr>
        <w:tab/>
        <w:t xml:space="preserve">Visto dessa forma, a princípio, parece ser simples definir “identidade”, ela é autocontida e autossuficiente, simplesmente aquilo que somos. Por exemplo: “sou homem”, “sou branco”, “sou heterossexual”. Nessa mesma linha de raciocínio a “diferença” também é concebida, ou seja, como algo que remete a si própria. “Apenas neste caso, em oposição à identidade, a diferença é aquilo que o outro é”: “ele é negro”, “ela é mulher”, “ele é </w:t>
      </w:r>
      <w:r w:rsidRPr="00771368">
        <w:rPr>
          <w:i/>
          <w:sz w:val="24"/>
          <w:szCs w:val="24"/>
        </w:rPr>
        <w:t>gay</w:t>
      </w:r>
      <w:r w:rsidRPr="00771368">
        <w:rPr>
          <w:sz w:val="24"/>
          <w:szCs w:val="24"/>
        </w:rPr>
        <w:t xml:space="preserve">” (SILVA, 2007, p. 74). </w:t>
      </w:r>
    </w:p>
    <w:p w:rsidR="00D24E61" w:rsidRPr="00771368" w:rsidRDefault="00D24E61" w:rsidP="00D24E61">
      <w:pPr>
        <w:tabs>
          <w:tab w:val="left" w:pos="1845"/>
        </w:tabs>
        <w:spacing w:line="360" w:lineRule="auto"/>
        <w:ind w:firstLine="709"/>
        <w:jc w:val="both"/>
        <w:rPr>
          <w:sz w:val="24"/>
          <w:szCs w:val="24"/>
        </w:rPr>
      </w:pPr>
      <w:r w:rsidRPr="00771368">
        <w:rPr>
          <w:sz w:val="24"/>
          <w:szCs w:val="24"/>
        </w:rPr>
        <w:t xml:space="preserve">Neste sentido fica evidente que identidade(s) e diferença(s) se encontra(m) em uma estreita relação de interdependência vista a condição afirmativa que expressamos a identidade. Porém, tal positividade tende a esconder as agruras dessa relação. A afirmação de “sou homem”, “sou heterossexual” em verdade é parte de uma extensa cadeia de “negações”, de expressões negativadas de identidade(s) e diferença(s), por trás dessa afirmação deve-se ler: “não sou mulher”, “não sou </w:t>
      </w:r>
      <w:r w:rsidRPr="00771368">
        <w:rPr>
          <w:i/>
          <w:sz w:val="24"/>
          <w:szCs w:val="24"/>
        </w:rPr>
        <w:t>gay</w:t>
      </w:r>
      <w:r w:rsidRPr="00771368">
        <w:rPr>
          <w:sz w:val="24"/>
          <w:szCs w:val="24"/>
        </w:rPr>
        <w:t xml:space="preserve">”, “não sou bissexual”, “não sou </w:t>
      </w:r>
      <w:r w:rsidRPr="00771368">
        <w:rPr>
          <w:i/>
          <w:sz w:val="24"/>
          <w:szCs w:val="24"/>
        </w:rPr>
        <w:t>Trans</w:t>
      </w:r>
      <w:r w:rsidRPr="00771368">
        <w:rPr>
          <w:sz w:val="24"/>
          <w:szCs w:val="24"/>
        </w:rPr>
        <w:t xml:space="preserve">”, entre outras (SILVA, 2007; HALL, 2006, 2007). </w:t>
      </w:r>
    </w:p>
    <w:p w:rsidR="00D24E61" w:rsidRPr="00771368" w:rsidRDefault="00D24E61" w:rsidP="00D24E61">
      <w:pPr>
        <w:tabs>
          <w:tab w:val="left" w:pos="1845"/>
        </w:tabs>
        <w:spacing w:line="360" w:lineRule="auto"/>
        <w:ind w:firstLine="709"/>
        <w:jc w:val="both"/>
        <w:rPr>
          <w:sz w:val="24"/>
          <w:szCs w:val="24"/>
        </w:rPr>
      </w:pPr>
    </w:p>
    <w:p w:rsidR="00D24E61" w:rsidRPr="00771368" w:rsidRDefault="00D24E61" w:rsidP="00D24E61">
      <w:pPr>
        <w:tabs>
          <w:tab w:val="left" w:pos="1845"/>
        </w:tabs>
        <w:ind w:left="2268"/>
        <w:jc w:val="both"/>
        <w:rPr>
          <w:sz w:val="20"/>
          <w:szCs w:val="20"/>
        </w:rPr>
      </w:pPr>
      <w:r w:rsidRPr="00771368">
        <w:rPr>
          <w:sz w:val="20"/>
          <w:szCs w:val="20"/>
        </w:rPr>
        <w:t xml:space="preserve">Portanto, o discurso que afirma as diferenças é o discurso inaugural, a enunciação fundante, a evidência primeira, a verdade imediata e inconteste. Os mecanismos que se seguem a esta “constatação do bom senso” acerca do “fato concreto” das diferenças (focalizar, sublinhar, fixar, absolutizar, naturalizar, biologizar, perenizar...) é que vai transformá-la numa tomada de posição [...] [preconceituosa] propriamente dita, excludente e destrutiva da(s) diferença(s) selecionada(s) como alvo, numa convicção de segundo grau legitimadora de práticas de violência no mínimo verbal (PIERUCCI, 1990, p. 14). </w:t>
      </w:r>
    </w:p>
    <w:p w:rsidR="00D24E61" w:rsidRPr="00771368" w:rsidRDefault="00D24E61" w:rsidP="00D24E61">
      <w:pPr>
        <w:tabs>
          <w:tab w:val="left" w:pos="1845"/>
        </w:tabs>
        <w:ind w:left="2268"/>
        <w:jc w:val="both"/>
        <w:rPr>
          <w:sz w:val="20"/>
          <w:szCs w:val="20"/>
        </w:rPr>
      </w:pPr>
    </w:p>
    <w:p w:rsidR="00D24E61" w:rsidRPr="00771368" w:rsidRDefault="00D24E61" w:rsidP="00D24E61">
      <w:pPr>
        <w:tabs>
          <w:tab w:val="left" w:pos="1845"/>
        </w:tabs>
        <w:spacing w:line="360" w:lineRule="auto"/>
        <w:ind w:firstLine="709"/>
        <w:jc w:val="both"/>
        <w:rPr>
          <w:sz w:val="24"/>
          <w:szCs w:val="24"/>
        </w:rPr>
      </w:pPr>
      <w:r w:rsidRPr="00771368">
        <w:rPr>
          <w:sz w:val="24"/>
          <w:szCs w:val="24"/>
        </w:rPr>
        <w:t xml:space="preserve">Tal como a diferença, a identidade é uma relação social. Isso significa que sua definição está sujeita a vetores de força, de relação de poder. “Elas não são simplesmente definidas; elas são impostas. Elas não convivem harmoniosamente, lado a lado em um campo sem hierarquias, elas são disputadas” (SILVA, 2007, p. 81) e “atravessadas por diferentes divisões e antagonismos que produzem uma variedade de diferentes “posições de sujeitos”” (HALL, 2006, p. 17) e efetivadas através de uma série de “procedimentos discursivos tendentes a aumentar a distância entre os signos, a exacerbar a diferença, a fazer funcionar a diferença, radicalizando-a no ato mesmo de enraizá-la no dado biológico [...] ou no dado cultural dito “irredutível”” (PIERUCCI, 1990, p. 14). Assim “as identidades são fabricadas por meio da marcação da diferença”, tanto pelo meio simbólico, quanto pelas formas de exclusão social. “A identidade, pois, não é o oposto da diferença: a identidade </w:t>
      </w:r>
      <w:r w:rsidRPr="00771368">
        <w:rPr>
          <w:i/>
          <w:sz w:val="24"/>
          <w:szCs w:val="24"/>
        </w:rPr>
        <w:t>depende</w:t>
      </w:r>
      <w:r w:rsidRPr="00771368">
        <w:rPr>
          <w:sz w:val="24"/>
          <w:szCs w:val="24"/>
        </w:rPr>
        <w:t xml:space="preserve"> [grifo do original] da diferença” (WOODWARD, 2007, p. 39-40).</w:t>
      </w:r>
    </w:p>
    <w:p w:rsidR="00D24E61" w:rsidRPr="00771368" w:rsidRDefault="00D24E61" w:rsidP="00D24E61">
      <w:pPr>
        <w:spacing w:line="360" w:lineRule="auto"/>
        <w:ind w:firstLine="709"/>
        <w:jc w:val="both"/>
        <w:rPr>
          <w:sz w:val="24"/>
          <w:szCs w:val="24"/>
        </w:rPr>
      </w:pPr>
      <w:r w:rsidRPr="00771368">
        <w:rPr>
          <w:sz w:val="24"/>
          <w:szCs w:val="24"/>
        </w:rPr>
        <w:t>Considerando esses aspectos na perspectiva da “diversidade [sexual], as identidades tendem a ser naturalizadas, cristalizadas, essencializadas. São tomadas como dados ou fatos da vida social diante dos quais se deve tomar uma posição” (SILVA, 2007, p. 73) e em geral, quando há uma posição aceita socialmente e pedagogicamente, não ultrapassa a mera questão da tolerância constantemente questionada pelos Estudos Culturais por pressupor a manutenção das relações de poder, porque quem tolera é alguém que supostamente se encontra em um nível hierárquico superior a determinada(s) identidade(s) (PIERUCCI, 1990), “isto é o que todo mundo já sabe desde sempre, não choca ouvido algum, apenas confirma o já sabido e, pior ainda, legitima que a diferença seja enfocada e as distâncias, alargadas” (FURLANI, 2009b, p. 15) em uma estreita relação de poder e domínio de uma identidade sobre as outras.</w:t>
      </w:r>
    </w:p>
    <w:p w:rsidR="00D24E61" w:rsidRPr="00771368" w:rsidRDefault="00D24E61" w:rsidP="00D24E61">
      <w:pPr>
        <w:spacing w:line="360" w:lineRule="auto"/>
        <w:ind w:firstLine="709"/>
        <w:jc w:val="both"/>
        <w:rPr>
          <w:sz w:val="24"/>
          <w:szCs w:val="24"/>
        </w:rPr>
      </w:pPr>
      <w:r w:rsidRPr="00771368">
        <w:rPr>
          <w:sz w:val="24"/>
          <w:szCs w:val="24"/>
        </w:rPr>
        <w:t xml:space="preserve">Respaldados/as na teoria dos Estudos Culturais proposta por Stuart Hall (2006, 2007) e Tomaz Tadeu da Silva (2007), para este estudo nos atemos a (re)produção das identidades e as diferenças por elas estabelecidas no contexto escolar para aqueles/as que chamaremos de “E.T” </w:t>
      </w:r>
      <w:r w:rsidRPr="00771368">
        <w:rPr>
          <w:i/>
          <w:sz w:val="24"/>
          <w:szCs w:val="24"/>
        </w:rPr>
        <w:t>˗</w:t>
      </w:r>
      <w:r w:rsidRPr="00771368">
        <w:rPr>
          <w:sz w:val="24"/>
          <w:szCs w:val="24"/>
        </w:rPr>
        <w:t xml:space="preserve"> Estudantes </w:t>
      </w:r>
      <w:r w:rsidRPr="00771368">
        <w:rPr>
          <w:i/>
          <w:sz w:val="24"/>
          <w:szCs w:val="24"/>
        </w:rPr>
        <w:t xml:space="preserve">Trans </w:t>
      </w:r>
      <w:r w:rsidRPr="00771368">
        <w:rPr>
          <w:sz w:val="24"/>
          <w:szCs w:val="24"/>
        </w:rPr>
        <w:t xml:space="preserve">(Travestis, Transexuais e Transgêneros). A adoção dessa expressão pode ser interpretada ambiguamente, e de fato é essa a intenção, ao evidenciar que os/as “E.T” são vistos/as como ‘extraterrestres’ pela comunidade escolar e por outro lado é uma forma de sintetizar e evitar repetições excessivas ao nos referirmos a alunos/as </w:t>
      </w:r>
      <w:r w:rsidRPr="00771368">
        <w:rPr>
          <w:i/>
          <w:sz w:val="24"/>
          <w:szCs w:val="24"/>
        </w:rPr>
        <w:t>Trans</w:t>
      </w:r>
      <w:r w:rsidRPr="00771368">
        <w:rPr>
          <w:sz w:val="24"/>
          <w:szCs w:val="24"/>
        </w:rPr>
        <w:t xml:space="preserve">. Como recorte de uma ampla pesquisa realizada para a obtenção do título de Mestre em Educação, realizada em escolas da Rede Pública de Ensino Médio em treze município do Estado do Paraná, onde foram perquiridos/as treze Diretores/as escolares, doze Pedagogas e doze docentes de Biologia através de questionário sócio demográfico e entrevistas semiestruturadas, gravadas, transcritas e categorizadas apresentamos neste artigo fragmentos bibliográficos que subsidiaram os dados encontrados em nosso trabalho como proposta estabelecer a cultura das diferenças que recaem sobre esses/as alunos/as ao analisar as estratégias que estabelecem essas diferenças, verificar as suas reiterações e evidenciar as condutas de expulsão compulsória imposta aos/as “E.T”. </w:t>
      </w:r>
    </w:p>
    <w:p w:rsidR="00D24E61" w:rsidRPr="00771368" w:rsidRDefault="00D24E61" w:rsidP="00D24E61">
      <w:pPr>
        <w:pStyle w:val="Dissertao1"/>
        <w:tabs>
          <w:tab w:val="clear" w:pos="360"/>
        </w:tabs>
        <w:rPr>
          <w:rFonts w:ascii="Times New Roman" w:hAnsi="Times New Roman"/>
        </w:rPr>
      </w:pPr>
      <w:bookmarkStart w:id="77" w:name="_Toc361505797"/>
      <w:bookmarkStart w:id="78" w:name="_Toc361506624"/>
      <w:bookmarkStart w:id="79" w:name="_Toc364283422"/>
      <w:r w:rsidRPr="00771368">
        <w:rPr>
          <w:rFonts w:ascii="Times New Roman" w:hAnsi="Times New Roman"/>
        </w:rPr>
        <w:t>HETERO</w:t>
      </w:r>
      <w:bookmarkEnd w:id="77"/>
      <w:bookmarkEnd w:id="78"/>
      <w:r w:rsidRPr="00771368">
        <w:rPr>
          <w:rFonts w:ascii="Times New Roman" w:hAnsi="Times New Roman"/>
        </w:rPr>
        <w:t>NORMATI</w:t>
      </w:r>
      <w:bookmarkEnd w:id="79"/>
      <w:r w:rsidRPr="00771368">
        <w:rPr>
          <w:rFonts w:ascii="Times New Roman" w:hAnsi="Times New Roman"/>
        </w:rPr>
        <w:t>ZANDO SUJEITOS ATRAVÉS DA GENERIFICAÇÃO</w:t>
      </w:r>
    </w:p>
    <w:p w:rsidR="00D24E61" w:rsidRPr="00771368" w:rsidRDefault="00D24E61" w:rsidP="00D24E61">
      <w:pPr>
        <w:pStyle w:val="Dissertao1"/>
        <w:tabs>
          <w:tab w:val="clear" w:pos="360"/>
        </w:tabs>
        <w:rPr>
          <w:rFonts w:ascii="Times New Roman" w:hAnsi="Times New Roman"/>
        </w:rPr>
      </w:pPr>
    </w:p>
    <w:p w:rsidR="00D24E61" w:rsidRPr="00771368" w:rsidRDefault="00D24E61" w:rsidP="00D24E61">
      <w:pPr>
        <w:tabs>
          <w:tab w:val="left" w:pos="1845"/>
        </w:tabs>
        <w:spacing w:line="360" w:lineRule="auto"/>
        <w:ind w:firstLine="709"/>
        <w:jc w:val="both"/>
        <w:rPr>
          <w:sz w:val="24"/>
          <w:szCs w:val="24"/>
        </w:rPr>
      </w:pPr>
      <w:r w:rsidRPr="00771368">
        <w:rPr>
          <w:sz w:val="24"/>
          <w:szCs w:val="24"/>
        </w:rPr>
        <w:t>Uma das maneiras de manutenção das identidades e de (re)produção das diferenças ocorre através de um processo denominado de hetenormatização. Embora, seja pouco debatida, a sua prática é bastante difundida em nossa sociedade por algumas instituições, como a escola, o Estado, a igreja, a sociedade etc. e culturalmente disseminado. A inculcação da heteronormatividade se desenvolve cotidianamente nas práticas de reiteração compulsória a serviço da consolidação do imperativo heterossexual em detrimento das outras formas de opção sexual</w:t>
      </w:r>
      <w:r w:rsidRPr="00771368">
        <w:rPr>
          <w:rStyle w:val="Refdenotaderodap"/>
          <w:sz w:val="24"/>
          <w:szCs w:val="24"/>
        </w:rPr>
        <w:footnoteReference w:id="143"/>
      </w:r>
      <w:r w:rsidRPr="00771368">
        <w:rPr>
          <w:sz w:val="24"/>
          <w:szCs w:val="24"/>
        </w:rPr>
        <w:t xml:space="preserve"> e materialização de normas regulatórias que são em partes, aquelas da hegemonia sexual, através de uma relação binária, onde uma das formas de manifestação da sexualidade recebe um valor positivo e privilegiado, enquanto a outra recebe um cunho negativo. Assim, a heteronormatização está inserida em nossa sociedade por meio de leis, religiões, políticas públicas, costumes, línguas, símbolos etc. (BUTLER, 2010; HALL, 2007; SILVA, 2007; LOURO, 2009; ROCHA FILHO, 2010). </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Neste aspecto, reiteradamente a heterossexualidade passa a ser </w:t>
      </w:r>
    </w:p>
    <w:p w:rsidR="00D24E61" w:rsidRPr="00771368" w:rsidRDefault="00D24E61" w:rsidP="00D24E61">
      <w:pPr>
        <w:autoSpaceDE w:val="0"/>
        <w:autoSpaceDN w:val="0"/>
        <w:adjustRightInd w:val="0"/>
        <w:spacing w:line="360" w:lineRule="auto"/>
        <w:ind w:firstLine="709"/>
        <w:jc w:val="both"/>
        <w:rPr>
          <w:sz w:val="24"/>
          <w:szCs w:val="24"/>
        </w:rPr>
      </w:pPr>
    </w:p>
    <w:p w:rsidR="00D24E61" w:rsidRPr="00771368" w:rsidRDefault="00D24E61" w:rsidP="00D24E61">
      <w:pPr>
        <w:autoSpaceDE w:val="0"/>
        <w:autoSpaceDN w:val="0"/>
        <w:adjustRightInd w:val="0"/>
        <w:ind w:left="2268"/>
        <w:jc w:val="both"/>
        <w:rPr>
          <w:sz w:val="20"/>
          <w:szCs w:val="20"/>
        </w:rPr>
      </w:pPr>
      <w:r w:rsidRPr="00771368">
        <w:rPr>
          <w:sz w:val="20"/>
          <w:szCs w:val="20"/>
        </w:rPr>
        <w:t>afirmada na dinâmica das relações sociais, nas concepções de família e conjugalidade ou na explicação biológica e naturalizada da relação sexual como o encontro dos corpos com efeitos procriativos. Aliada à censura implícita à diversidade sexual encontra-se afirmada a compulsoriedade da heterossexualidade. Essa exigência normativa tem como efeito a desqualificação de outros modos de viver a sexualidade, gerando a prática discriminatória homofóbica (LIONÇO, DINIZ, 2009, p. 11).</w:t>
      </w:r>
    </w:p>
    <w:p w:rsidR="00D24E61" w:rsidRPr="00771368" w:rsidRDefault="00D24E61" w:rsidP="00D24E61">
      <w:pPr>
        <w:autoSpaceDE w:val="0"/>
        <w:autoSpaceDN w:val="0"/>
        <w:adjustRightInd w:val="0"/>
        <w:ind w:left="2268"/>
        <w:jc w:val="both"/>
        <w:rPr>
          <w:sz w:val="20"/>
          <w:szCs w:val="20"/>
        </w:rPr>
      </w:pP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Assim, o quotidiano de tantas pessoas não heteronormatizadas é debatido constantemente através do dispositivo da sexualidade em ação, “que institui e destitui identidades, dita comportamentos, práticas, representações e, sobretudo, auto representações” firmado no discurso midiático, nas </w:t>
      </w:r>
      <w:r w:rsidRPr="00771368">
        <w:rPr>
          <w:i/>
          <w:sz w:val="24"/>
          <w:szCs w:val="24"/>
        </w:rPr>
        <w:t>pseudo</w:t>
      </w:r>
      <w:r w:rsidRPr="00771368">
        <w:rPr>
          <w:sz w:val="24"/>
          <w:szCs w:val="24"/>
        </w:rPr>
        <w:t>s ciências, na psicanálise, na repetição incessante e</w:t>
      </w:r>
      <w:r w:rsidR="00D61223">
        <w:rPr>
          <w:sz w:val="24"/>
          <w:szCs w:val="24"/>
        </w:rPr>
        <w:t xml:space="preserve"> </w:t>
      </w:r>
      <w:r w:rsidRPr="00771368">
        <w:rPr>
          <w:sz w:val="24"/>
          <w:szCs w:val="24"/>
        </w:rPr>
        <w:t xml:space="preserve">imagens estereotipadas, em modelos de ajuste, padrões de conduta e valores que devem permitir a inclusão social e o pertencimento a um grupo (SWAIN, 2009b). </w:t>
      </w:r>
    </w:p>
    <w:p w:rsidR="00D24E61" w:rsidRPr="00771368" w:rsidRDefault="00D24E61" w:rsidP="00D24E61">
      <w:pPr>
        <w:spacing w:line="360" w:lineRule="auto"/>
        <w:ind w:firstLine="708"/>
        <w:jc w:val="both"/>
        <w:rPr>
          <w:sz w:val="24"/>
          <w:szCs w:val="24"/>
        </w:rPr>
      </w:pPr>
      <w:r w:rsidRPr="00771368">
        <w:rPr>
          <w:sz w:val="24"/>
          <w:szCs w:val="24"/>
        </w:rPr>
        <w:t xml:space="preserve">Para compreendermos uma das vertentes da construção da(s) identidade(s) e da(s) diferença(s) através da heteronormatividade, precisamos, nos debruçar no conceito de identidade de gênero, o que chamamos aqui de processo de generificação. Embora, este elemento ocorra de forma interseccionada a outros aspectos nos ateremos apenas à identidade de gênero para este estudo com a intenção de permitir ao/à leitor/a maior compreensão sobre o mesmo e para isso propomos uma discussão sobre seu conceito, pois, embora imperceptíveis à comunidade escolar seja constantemente empregada nos discursos e nas práticas pedagógicas que cerceiam o processo ensino-aprendizagem.  </w:t>
      </w:r>
    </w:p>
    <w:p w:rsidR="00D24E61" w:rsidRPr="00771368" w:rsidRDefault="00D24E61" w:rsidP="00D24E61">
      <w:pPr>
        <w:autoSpaceDE w:val="0"/>
        <w:autoSpaceDN w:val="0"/>
        <w:adjustRightInd w:val="0"/>
        <w:spacing w:line="360" w:lineRule="auto"/>
        <w:ind w:firstLine="709"/>
        <w:jc w:val="both"/>
        <w:rPr>
          <w:sz w:val="24"/>
          <w:szCs w:val="24"/>
        </w:rPr>
      </w:pPr>
      <w:r w:rsidRPr="00771368">
        <w:rPr>
          <w:sz w:val="24"/>
          <w:szCs w:val="24"/>
        </w:rPr>
        <w:t xml:space="preserve">Inicialmente vale ressaltar que este, como quaisquer outros aspectos da vida dos seres humanos carrega em sua essência determinados pressupostos históricos, antropológicos e culturais e “todo este jogo de diferenças é prescrito pela função do autor, tal como a recebe de sua época ou tal como ele, por sua vez, a modifica” (FOUCAULT, 2007, p. 29). </w:t>
      </w:r>
    </w:p>
    <w:p w:rsidR="00D24E61" w:rsidRPr="00771368" w:rsidRDefault="00D24E61" w:rsidP="00D24E61">
      <w:pPr>
        <w:spacing w:line="360" w:lineRule="auto"/>
        <w:ind w:firstLine="708"/>
        <w:jc w:val="both"/>
        <w:rPr>
          <w:sz w:val="24"/>
          <w:szCs w:val="24"/>
        </w:rPr>
      </w:pPr>
      <w:r w:rsidRPr="00771368">
        <w:rPr>
          <w:sz w:val="24"/>
          <w:szCs w:val="24"/>
        </w:rPr>
        <w:t xml:space="preserve">Para Scott (1995, p. 72), “através dos séculos, as pessoas utilizaram de modo figurado os termos gramaticais para evocar os traços de caráter ou traços sexuais” e quando fazemos referência ao termo gênero, “seu uso implicou uma ampla gama tanto de posições teóricas quanto de simples referências descritivas às relações entre os sexos” (SCOTT, 1995, p. 73). Há de se considerar que o gênero não é uma simples categoria analítica; mas o fazer e desfazer de “corpos” num mundo de contestações, em uma estreita relação de poder (HARAWAY, 2004; WEEKS, 2010). </w:t>
      </w:r>
    </w:p>
    <w:p w:rsidR="00D24E61" w:rsidRPr="00771368" w:rsidRDefault="00D24E61" w:rsidP="00D24E61">
      <w:pPr>
        <w:spacing w:line="360" w:lineRule="auto"/>
        <w:ind w:firstLine="708"/>
        <w:jc w:val="both"/>
      </w:pPr>
      <w:r w:rsidRPr="00771368">
        <w:rPr>
          <w:sz w:val="24"/>
          <w:szCs w:val="24"/>
        </w:rPr>
        <w:t xml:space="preserve">Destarte, “padrões de sexualidade feminina são, inescapavelmente, um produto do poder dos homens para definir o que é necessário e desejável – um poder historicamente enraizado” (WEEKS, 2010, p. 56), “seria melhor dizer: gênero é um campo primário no interior do qual, ou por meio do qual, o poder é articulado” (SCOTT, 1995, p. 188) e que em seu estudo descritivo o termo “gênero” acaba sendo um conceito associado ao estudo das coisas relativas às mulheres. Porém, o termo tem sido empregado numa variedade de abordagens na análise do gênero e desenvolvimento da sexualidade e uma das suas aplicabilidades pode ser </w:t>
      </w:r>
    </w:p>
    <w:p w:rsidR="00D24E61" w:rsidRPr="00771368" w:rsidRDefault="00D24E61" w:rsidP="00D24E61">
      <w:pPr>
        <w:spacing w:before="100" w:beforeAutospacing="1" w:after="100" w:afterAutospacing="1"/>
        <w:ind w:left="2268"/>
        <w:jc w:val="both"/>
        <w:rPr>
          <w:sz w:val="20"/>
          <w:szCs w:val="20"/>
        </w:rPr>
      </w:pPr>
      <w:r w:rsidRPr="00771368">
        <w:rPr>
          <w:sz w:val="20"/>
          <w:szCs w:val="20"/>
        </w:rPr>
        <w:t>anterior à emergência do humano, ao considerar uma criança, por exemplo, de um ser “neutro” para um “ele ou ela”, torna a garota uma garota e a traz para o domínio da linguagem e do parentesco através da interpelação fundante de gênero. Porém, esse tornar-se garota, não se encerra na sua concepção ou nascimento, mas é reiterada por várias autoridades, ao longo de vários intervalos de tempo, na tentativa de reforçar ou contestar esse efeito naturalizado. Essa nomeação é, ao mesmo tempo, o estabelecimento de uma fronteira e também a inculcação repetida de uma norma (BUTLER, 2010, p. 161).</w:t>
      </w:r>
    </w:p>
    <w:p w:rsidR="00D24E61" w:rsidRPr="00771368" w:rsidRDefault="00D24E61" w:rsidP="00D24E61">
      <w:pPr>
        <w:spacing w:line="360" w:lineRule="auto"/>
        <w:ind w:firstLine="709"/>
        <w:jc w:val="both"/>
        <w:rPr>
          <w:sz w:val="24"/>
          <w:szCs w:val="24"/>
        </w:rPr>
      </w:pPr>
      <w:r w:rsidRPr="00771368">
        <w:rPr>
          <w:sz w:val="24"/>
          <w:szCs w:val="24"/>
        </w:rPr>
        <w:t>Neste aspecto, o conceito de gênero se refere à construção social do sexo biológico e foi criado para distinguir a dimensão anatômica biológica da dimensão social, baseando-se no raciocínio de que há machos e fêmeas na espécie humana. No entanto,</w:t>
      </w:r>
    </w:p>
    <w:p w:rsidR="00D24E61" w:rsidRPr="00771368" w:rsidRDefault="00D24E61" w:rsidP="00D24E61">
      <w:pPr>
        <w:spacing w:line="360" w:lineRule="auto"/>
        <w:ind w:firstLine="709"/>
        <w:jc w:val="both"/>
        <w:rPr>
          <w:sz w:val="24"/>
          <w:szCs w:val="24"/>
        </w:rPr>
      </w:pPr>
    </w:p>
    <w:p w:rsidR="00D24E61" w:rsidRPr="00771368" w:rsidRDefault="00D24E61" w:rsidP="00D24E61">
      <w:pPr>
        <w:ind w:left="2268"/>
        <w:jc w:val="both"/>
        <w:rPr>
          <w:sz w:val="20"/>
          <w:szCs w:val="20"/>
        </w:rPr>
      </w:pPr>
      <w:r w:rsidRPr="00771368">
        <w:rPr>
          <w:sz w:val="20"/>
          <w:szCs w:val="20"/>
        </w:rPr>
        <w:t xml:space="preserve">a maneira de ser homem e de ser mulher é realizada através de inúmeras aprendizagens e práticas, nas mais distintas situações, empreendida de modo explícito ou dissimulada por um conjunto inesgotável de instâncias sociais e culturais. É um processo minucioso, sutil, sempre inacabado. Família, escola, igreja, instituições legais e médicas mantêm-se, por certo, como instâncias importantes nesse processo constitutivo (LOURO, 2008, p. 18). </w:t>
      </w:r>
    </w:p>
    <w:p w:rsidR="00D24E61" w:rsidRPr="00771368" w:rsidRDefault="00D24E61" w:rsidP="00D24E61">
      <w:pPr>
        <w:ind w:left="2268"/>
        <w:jc w:val="both"/>
      </w:pPr>
    </w:p>
    <w:p w:rsidR="00D24E61" w:rsidRPr="00771368" w:rsidRDefault="00D24E61" w:rsidP="00D24E61">
      <w:pPr>
        <w:spacing w:line="360" w:lineRule="auto"/>
        <w:ind w:firstLine="708"/>
        <w:jc w:val="both"/>
        <w:rPr>
          <w:sz w:val="24"/>
          <w:szCs w:val="24"/>
        </w:rPr>
      </w:pPr>
      <w:r w:rsidRPr="00771368">
        <w:rPr>
          <w:sz w:val="24"/>
          <w:szCs w:val="24"/>
        </w:rPr>
        <w:t>Tais aspectos implicam diretamente no modo como homens e mulheres se comportam, há uma expectativa social em relação à forma como “homens e mulheres devem andar, falar, sentar, mostrar seu corpo, brincar, dançar, namorar, cuidar do outro, amar, trabalhar, gerenciar outras pessoas, ensinar, dirigir o carro, gastar o dinheiro, ingerir bebidas, dentre outras atividades” (BRASIL, 2009, p. 40).</w:t>
      </w:r>
    </w:p>
    <w:p w:rsidR="00D24E61" w:rsidRPr="00771368" w:rsidRDefault="00D24E61" w:rsidP="00D24E61">
      <w:pPr>
        <w:pStyle w:val="Textodenotadefim"/>
        <w:spacing w:line="360" w:lineRule="auto"/>
        <w:ind w:firstLine="708"/>
        <w:jc w:val="both"/>
        <w:rPr>
          <w:rFonts w:ascii="Times New Roman" w:hAnsi="Times New Roman"/>
          <w:sz w:val="24"/>
          <w:szCs w:val="24"/>
        </w:rPr>
      </w:pPr>
      <w:r w:rsidRPr="00771368">
        <w:rPr>
          <w:rFonts w:ascii="Times New Roman" w:hAnsi="Times New Roman"/>
          <w:sz w:val="24"/>
          <w:szCs w:val="24"/>
        </w:rPr>
        <w:t xml:space="preserve">Com grande frequência os discursos sobre sexualidade e gênero constroem mulheres e homens como tipos diferentes de indivíduos. </w:t>
      </w:r>
    </w:p>
    <w:p w:rsidR="00D24E61" w:rsidRPr="00771368" w:rsidRDefault="00D24E61" w:rsidP="00D24E61">
      <w:pPr>
        <w:pStyle w:val="Textodenotadefim"/>
        <w:spacing w:line="360" w:lineRule="auto"/>
        <w:ind w:firstLine="540"/>
        <w:jc w:val="both"/>
        <w:rPr>
          <w:rFonts w:ascii="Times New Roman" w:hAnsi="Times New Roman"/>
          <w:sz w:val="24"/>
          <w:szCs w:val="24"/>
        </w:rPr>
      </w:pPr>
    </w:p>
    <w:p w:rsidR="00D24E61" w:rsidRPr="00771368" w:rsidRDefault="00D24E61" w:rsidP="00D24E61">
      <w:pPr>
        <w:pStyle w:val="Textodenotadefim"/>
        <w:ind w:left="2268"/>
        <w:jc w:val="both"/>
        <w:rPr>
          <w:rFonts w:ascii="Times New Roman" w:hAnsi="Times New Roman"/>
        </w:rPr>
      </w:pPr>
      <w:r w:rsidRPr="00771368">
        <w:rPr>
          <w:rFonts w:ascii="Times New Roman" w:hAnsi="Times New Roman"/>
        </w:rPr>
        <w:t xml:space="preserve">Essas pessoas marcadas por gênero corporificam diferentes princípios de agência [...] onde a sexualidade masculina e pessoas do gênero masculino são retratadas como ativas, agressivas, impositivas e poderosas, enquanto que a sexualidade feminina e pessoas do gênero feminino são vistas como essencialmente passivas, fracas, submissas e receptivas. Esses discursos marcados por gênero são em todos os casos construídos através da imbricação mútua com diferenças de raça, classe, etnicidade e religião (MOORE, 2000, p. 16). </w:t>
      </w:r>
    </w:p>
    <w:p w:rsidR="00D24E61" w:rsidRPr="00771368" w:rsidRDefault="00D24E61" w:rsidP="00D24E61">
      <w:pPr>
        <w:pStyle w:val="Textodenotadefim"/>
        <w:ind w:left="2268"/>
        <w:jc w:val="both"/>
        <w:rPr>
          <w:rFonts w:ascii="Times New Roman" w:hAnsi="Times New Roman"/>
          <w:sz w:val="22"/>
          <w:szCs w:val="22"/>
        </w:rPr>
      </w:pPr>
    </w:p>
    <w:p w:rsidR="00D24E61" w:rsidRPr="00771368" w:rsidRDefault="00D24E61" w:rsidP="00D24E61">
      <w:pPr>
        <w:pStyle w:val="Textodenotadefim"/>
        <w:spacing w:line="360" w:lineRule="auto"/>
        <w:ind w:firstLine="708"/>
        <w:jc w:val="both"/>
        <w:rPr>
          <w:rFonts w:ascii="Times New Roman" w:hAnsi="Times New Roman"/>
          <w:sz w:val="24"/>
          <w:szCs w:val="24"/>
        </w:rPr>
      </w:pPr>
      <w:r w:rsidRPr="00771368">
        <w:rPr>
          <w:rFonts w:ascii="Times New Roman" w:hAnsi="Times New Roman"/>
          <w:sz w:val="24"/>
          <w:szCs w:val="24"/>
        </w:rPr>
        <w:t xml:space="preserve">A identidade de gênero então pode ser considerada como sendo algo que não é dado e sim constituído e vivenciado ativamente por cada homem e mulher a partir dos elementos fornecidos por sua cultura, ou pelo fato de alguém se sentir masculino e/ou feminino, num processo contínuo e dinâmico, não dado no nascimento e a partir daí marcado para sempre, ou seja, é uma construção cultural/social e histórica, uma aquisição, uma performance, uma atuação. Isso quer dizer que não há um elo imediato e inescapável entre os cromossomos, o órgão genital, o aparelho reprodutor, os hormônios, enfim o corpo biológico em sua totalidade, e o sentimento que a pessoa possui de ser homem ou mulher. É evidente que este processo identitário não é determinista (MOORE, 2000; BUTLER, 2009). </w:t>
      </w:r>
    </w:p>
    <w:p w:rsidR="00D24E61" w:rsidRPr="00771368" w:rsidRDefault="00D24E61" w:rsidP="00D24E61">
      <w:pPr>
        <w:pStyle w:val="Textodenotadefim"/>
        <w:spacing w:line="360" w:lineRule="auto"/>
        <w:ind w:firstLine="708"/>
        <w:jc w:val="both"/>
        <w:rPr>
          <w:rFonts w:ascii="Times New Roman" w:hAnsi="Times New Roman"/>
          <w:sz w:val="24"/>
          <w:szCs w:val="24"/>
        </w:rPr>
      </w:pPr>
      <w:r w:rsidRPr="00771368">
        <w:rPr>
          <w:rFonts w:ascii="Times New Roman" w:hAnsi="Times New Roman"/>
          <w:sz w:val="24"/>
          <w:szCs w:val="24"/>
        </w:rPr>
        <w:t xml:space="preserve">A vivência da identidade de gênero  Inclui, fatores de natureza distintas combinadas com o aprendizado, a descoberta e a invenção, portanto, ela “é estruturante da trajetória pessoal e constitui-se na complexa combinação de muitos elementos de cunho subjetivo e da relação com o outro. Isso ocorre desde o nascimento a partir da sexuação e da erotização do corpo”. (SAYÃO, 1997, p. 113 -114).  </w:t>
      </w:r>
    </w:p>
    <w:p w:rsidR="00D24E61" w:rsidRPr="00771368" w:rsidRDefault="00D24E61" w:rsidP="00D24E61">
      <w:pPr>
        <w:spacing w:line="360" w:lineRule="auto"/>
        <w:ind w:firstLine="708"/>
        <w:jc w:val="both"/>
        <w:rPr>
          <w:i/>
          <w:sz w:val="24"/>
          <w:szCs w:val="24"/>
        </w:rPr>
      </w:pPr>
      <w:r w:rsidRPr="00771368">
        <w:rPr>
          <w:sz w:val="24"/>
          <w:szCs w:val="24"/>
        </w:rPr>
        <w:t xml:space="preserve">De tal modo temos aqueles/as que ultrapassam as fronteiras do binarismo de gênero macho/fêmea, masculino/feminino, ditos indivíduos </w:t>
      </w:r>
      <w:r w:rsidRPr="00771368">
        <w:rPr>
          <w:i/>
          <w:sz w:val="24"/>
          <w:szCs w:val="24"/>
        </w:rPr>
        <w:t>Trans,</w:t>
      </w:r>
      <w:r w:rsidRPr="00771368">
        <w:rPr>
          <w:sz w:val="24"/>
          <w:szCs w:val="24"/>
        </w:rPr>
        <w:t xml:space="preserve"> caracterizados como aqueles que sentem pertencer ao gênero oposto ao seu, ou a ambos ou até mesmo nenhum dos dois sexos – masculino e feminino. Nesse grupo podemos incluir pessoas Travestis, Transexuais e Transgêneros, que são aquelas que se identificam como sendo do sexo oposto em uma base temporária ou permanente e que convivem harmoniosamente ou conflituosamente com o sexo biológico dado com o nascimento (GATTI, 2003; ÀVILA, GROSSI, 2010)</w:t>
      </w:r>
      <w:r w:rsidRPr="00771368">
        <w:rPr>
          <w:i/>
          <w:sz w:val="24"/>
          <w:szCs w:val="24"/>
        </w:rPr>
        <w:t xml:space="preserve">. </w:t>
      </w:r>
    </w:p>
    <w:p w:rsidR="00D24E61" w:rsidRPr="00771368" w:rsidRDefault="00D24E61" w:rsidP="00D24E61">
      <w:pPr>
        <w:pStyle w:val="Textodenotadefim"/>
        <w:spacing w:line="360" w:lineRule="auto"/>
        <w:ind w:firstLine="708"/>
        <w:jc w:val="both"/>
        <w:rPr>
          <w:rFonts w:ascii="Times New Roman" w:hAnsi="Times New Roman"/>
          <w:sz w:val="24"/>
          <w:szCs w:val="24"/>
        </w:rPr>
      </w:pPr>
      <w:r w:rsidRPr="00771368">
        <w:rPr>
          <w:rFonts w:ascii="Times New Roman" w:hAnsi="Times New Roman"/>
          <w:sz w:val="24"/>
          <w:szCs w:val="24"/>
        </w:rPr>
        <w:t>Há pessoas que nasceram com órgão sexual masculino – pênis – e se sentem femininas, ou nasceram com órgão sexual feminino – vulva, e percebem-se como gênero masculino, como exemplo as mulheres travestis, os homens travestis, as mulheres transexuais e os transhomens/transexuais masculinos</w:t>
      </w:r>
      <w:r w:rsidRPr="00771368">
        <w:rPr>
          <w:rStyle w:val="Refdenotaderodap"/>
          <w:rFonts w:ascii="Times New Roman" w:hAnsi="Times New Roman"/>
          <w:sz w:val="24"/>
          <w:szCs w:val="24"/>
        </w:rPr>
        <w:footnoteReference w:id="144"/>
      </w:r>
      <w:r w:rsidRPr="00771368">
        <w:rPr>
          <w:rFonts w:ascii="Times New Roman" w:hAnsi="Times New Roman"/>
          <w:sz w:val="24"/>
          <w:szCs w:val="24"/>
        </w:rPr>
        <w:t xml:space="preserve"> (BRASIL, 2009). De uma forma sintetizada, porém não fixa e determinante as mulheres e os homens travestis são pessoas com identidade de gênero oposta ao seu sexo biológico. Realizam modificações corporais temporárias ou permanentes (mas não rejeitam o seu órgão sexual), vivem e apresentam-se socialmente como do gênero oposto ao que lhe seria convencionado, desejando serem identificados/as cotidianamente pelo resultado desta expressão. As/os Transexuais são pessoas de sexo genital determinado, mas que psicologicamente pertencem ao sexo oposto. A maioria dos casos tem como características, a rejeição pelo órgão genital e a necessidade da cirurgia de transgenitalização, readequação de sexo ou redesignação sexual</w:t>
      </w:r>
      <w:r w:rsidRPr="00771368">
        <w:rPr>
          <w:rStyle w:val="Refdenotaderodap"/>
          <w:rFonts w:ascii="Times New Roman" w:hAnsi="Times New Roman"/>
          <w:sz w:val="24"/>
          <w:szCs w:val="24"/>
        </w:rPr>
        <w:footnoteReference w:id="145"/>
      </w:r>
      <w:r w:rsidRPr="00771368">
        <w:rPr>
          <w:rFonts w:ascii="Times New Roman" w:hAnsi="Times New Roman"/>
          <w:sz w:val="24"/>
          <w:szCs w:val="24"/>
        </w:rPr>
        <w:t xml:space="preserve"> (MOORE, 2000; BORTOLINI, 2008a,  BOHM, 2009). </w:t>
      </w:r>
    </w:p>
    <w:p w:rsidR="00D24E61" w:rsidRPr="00771368" w:rsidRDefault="00D24E61" w:rsidP="00D24E61">
      <w:pPr>
        <w:pStyle w:val="Textodenotadefim"/>
        <w:spacing w:line="360" w:lineRule="auto"/>
        <w:ind w:firstLine="708"/>
        <w:jc w:val="both"/>
        <w:rPr>
          <w:rFonts w:ascii="Times New Roman" w:hAnsi="Times New Roman"/>
          <w:sz w:val="24"/>
          <w:szCs w:val="24"/>
        </w:rPr>
      </w:pPr>
      <w:r w:rsidRPr="00771368">
        <w:rPr>
          <w:rFonts w:ascii="Times New Roman" w:hAnsi="Times New Roman"/>
          <w:sz w:val="24"/>
          <w:szCs w:val="24"/>
        </w:rPr>
        <w:t xml:space="preserve">Portanto, a forma como o indivíduo percebe sua  identidade de gênero inclui o senso pessoal do corpo, que poderão sofrer alterações por livre escolha que variam desde a modificações estéticas ou anatômicas através de intervenções médicos ou cirúrgicos ou outros formas mais sutis transitórias. Isso está ligado diretamente a nossa identidade de gênero, por tratar-se da forma que nos vemos e queremos ser vistos, reconhecidos e respeitados, como homens ou como mulheres, vide o caso de pessoas </w:t>
      </w:r>
      <w:r w:rsidRPr="00771368">
        <w:rPr>
          <w:rFonts w:ascii="Times New Roman" w:hAnsi="Times New Roman"/>
          <w:i/>
          <w:sz w:val="24"/>
          <w:szCs w:val="24"/>
        </w:rPr>
        <w:t>Trans</w:t>
      </w:r>
      <w:r w:rsidRPr="00771368">
        <w:rPr>
          <w:rFonts w:ascii="Times New Roman" w:hAnsi="Times New Roman"/>
          <w:sz w:val="24"/>
          <w:szCs w:val="24"/>
        </w:rPr>
        <w:t xml:space="preserve"> (JESUS </w:t>
      </w:r>
      <w:r w:rsidRPr="00771368">
        <w:rPr>
          <w:rFonts w:ascii="Times New Roman" w:hAnsi="Times New Roman"/>
          <w:i/>
          <w:sz w:val="24"/>
          <w:szCs w:val="24"/>
        </w:rPr>
        <w:t>et al.</w:t>
      </w:r>
      <w:r w:rsidRPr="00771368">
        <w:rPr>
          <w:rFonts w:ascii="Times New Roman" w:hAnsi="Times New Roman"/>
          <w:sz w:val="24"/>
          <w:szCs w:val="24"/>
        </w:rPr>
        <w:t xml:space="preserve"> 2008). </w:t>
      </w:r>
    </w:p>
    <w:p w:rsidR="00D24E61" w:rsidRPr="00771368" w:rsidRDefault="00D24E61" w:rsidP="00D24E61">
      <w:pPr>
        <w:spacing w:line="360" w:lineRule="auto"/>
        <w:ind w:firstLine="708"/>
        <w:jc w:val="both"/>
        <w:rPr>
          <w:sz w:val="24"/>
          <w:szCs w:val="24"/>
        </w:rPr>
      </w:pPr>
      <w:r w:rsidRPr="00771368">
        <w:rPr>
          <w:sz w:val="24"/>
          <w:szCs w:val="24"/>
        </w:rPr>
        <w:t xml:space="preserve">Dessa forma, dentre o gradiente das sexualidades </w:t>
      </w:r>
    </w:p>
    <w:p w:rsidR="00D24E61" w:rsidRPr="00771368" w:rsidRDefault="00D24E61" w:rsidP="00D24E61">
      <w:pPr>
        <w:spacing w:line="360" w:lineRule="auto"/>
        <w:ind w:firstLine="708"/>
        <w:jc w:val="both"/>
        <w:rPr>
          <w:sz w:val="24"/>
          <w:szCs w:val="24"/>
        </w:rPr>
      </w:pPr>
    </w:p>
    <w:p w:rsidR="00D24E61" w:rsidRPr="00771368" w:rsidRDefault="00D24E61" w:rsidP="00D24E61">
      <w:pPr>
        <w:ind w:left="2268"/>
        <w:jc w:val="both"/>
        <w:rPr>
          <w:sz w:val="20"/>
          <w:szCs w:val="20"/>
        </w:rPr>
      </w:pPr>
      <w:r w:rsidRPr="00771368">
        <w:rPr>
          <w:sz w:val="20"/>
          <w:szCs w:val="20"/>
        </w:rPr>
        <w:t xml:space="preserve">não há uma única feminilidade ou masculinidade com que as mulheres e homens individuais possam se identificar em seus contextos sociais, mas sim uma variedade de feminilidades e masculinidades possíveis fornecidas pelos discursos concorrentes e contraditórios que existem, e que produzem e são reproduzidos por práticas e instituições sociais (MOORE, 2000, p. 35). </w:t>
      </w:r>
    </w:p>
    <w:p w:rsidR="00D24E61" w:rsidRPr="00771368" w:rsidRDefault="00D24E61" w:rsidP="00D24E61">
      <w:pPr>
        <w:ind w:left="2268"/>
        <w:jc w:val="both"/>
      </w:pPr>
    </w:p>
    <w:p w:rsidR="00D24E61" w:rsidRPr="00771368" w:rsidRDefault="00D24E61" w:rsidP="00D24E61">
      <w:pPr>
        <w:pStyle w:val="Textodenotadefim"/>
        <w:spacing w:line="360" w:lineRule="auto"/>
        <w:ind w:firstLine="709"/>
        <w:jc w:val="both"/>
        <w:rPr>
          <w:rFonts w:ascii="Times New Roman" w:hAnsi="Times New Roman"/>
          <w:sz w:val="24"/>
          <w:szCs w:val="24"/>
        </w:rPr>
      </w:pPr>
      <w:r w:rsidRPr="00771368">
        <w:rPr>
          <w:rFonts w:ascii="Times New Roman" w:hAnsi="Times New Roman"/>
          <w:sz w:val="24"/>
          <w:szCs w:val="24"/>
        </w:rPr>
        <w:t>Numa definição sociológica, poderíamos dizer que a identidade de gênero é um conjunto de fatores que forma um complexo “jogo do eu”, em que entra em cena a interioridade, como a pessoa se vê e se comporta individualmente e a exterioridade - como ela é vista e tratada pelos demais (BRASIL, 2011a).</w:t>
      </w:r>
    </w:p>
    <w:p w:rsidR="00D24E61" w:rsidRPr="00771368" w:rsidRDefault="00D24E61" w:rsidP="00D24E61">
      <w:pPr>
        <w:pStyle w:val="Textodenotadefim"/>
        <w:spacing w:line="360" w:lineRule="auto"/>
        <w:ind w:firstLine="709"/>
        <w:jc w:val="both"/>
        <w:rPr>
          <w:rFonts w:ascii="Times New Roman" w:hAnsi="Times New Roman"/>
          <w:sz w:val="24"/>
          <w:szCs w:val="24"/>
        </w:rPr>
      </w:pPr>
    </w:p>
    <w:p w:rsidR="00D24E61" w:rsidRPr="00771368" w:rsidRDefault="00D24E61" w:rsidP="00D24E61">
      <w:pPr>
        <w:pStyle w:val="Textodenotadefim"/>
        <w:ind w:left="2268"/>
        <w:jc w:val="both"/>
        <w:rPr>
          <w:rFonts w:ascii="Times New Roman" w:hAnsi="Times New Roman"/>
        </w:rPr>
      </w:pPr>
      <w:r w:rsidRPr="00771368">
        <w:rPr>
          <w:rFonts w:ascii="Times New Roman" w:hAnsi="Times New Roman"/>
        </w:rPr>
        <w:t>Os indivíduos assumem certas posições de sujeito por causa do modo em que essas posições dão prazer, satisfação ou retribuição ao nível individual ou pessoal, devemos também reconhecer que essas satisfações individuais têm poder e significado apenas no contexto de vários discursos e práticas institucionalizados, isto é, no contexto de certos modos sancionados de subjetividade (MOORE, 2000, p. 37).</w:t>
      </w:r>
    </w:p>
    <w:p w:rsidR="00D24E61" w:rsidRPr="00771368" w:rsidRDefault="00D24E61" w:rsidP="00D24E61">
      <w:pPr>
        <w:pStyle w:val="Textodenotadefim"/>
        <w:ind w:left="2268"/>
        <w:jc w:val="both"/>
        <w:rPr>
          <w:rFonts w:ascii="Times New Roman" w:hAnsi="Times New Roman"/>
          <w:sz w:val="22"/>
          <w:szCs w:val="22"/>
        </w:rPr>
      </w:pPr>
    </w:p>
    <w:p w:rsidR="00D24E61" w:rsidRPr="00771368" w:rsidRDefault="00D24E61" w:rsidP="00D24E61">
      <w:pPr>
        <w:pStyle w:val="Textodenotadefim"/>
        <w:spacing w:line="360" w:lineRule="auto"/>
        <w:ind w:firstLine="709"/>
        <w:jc w:val="both"/>
        <w:rPr>
          <w:rFonts w:ascii="Times New Roman" w:hAnsi="Times New Roman"/>
          <w:sz w:val="24"/>
          <w:szCs w:val="24"/>
        </w:rPr>
      </w:pPr>
      <w:r w:rsidRPr="00771368">
        <w:rPr>
          <w:rFonts w:ascii="Times New Roman" w:hAnsi="Times New Roman"/>
          <w:sz w:val="24"/>
          <w:szCs w:val="24"/>
        </w:rPr>
        <w:t>Independente de disputas conceituais quanto aos modos de compreender e atribuir sentido a esses processos intelectuais precisamos “concordar que não é o momento do nascimento e da nomeação de um corpo como macho ou como fêmea que faz deste um sujeito masculino ou feminino” (LOURO, 2008, p. 18). A construção e manifestação do gênero e da sexualidade dão-se ao longo de toda a vida, continuamente, infindavelmente, “transformando-se não apenas ao longo do tempo, historicamente, como também transformando-se na articulação com as histórias pessoais, as identidades sexuais, étnicas, de raça, de classe” (LOURO, 1997, p. 28). Ninguém discorda que homens e mulheres possuem diferenças. O que não podemos é contribuir para que essas diferenças na construção da identidade sejam transformadas em desigualdades (BRASIL, 2011b).</w:t>
      </w:r>
    </w:p>
    <w:p w:rsidR="00D24E61" w:rsidRPr="00771368" w:rsidRDefault="00D24E61" w:rsidP="00D24E61">
      <w:pPr>
        <w:pStyle w:val="Textodenotadefim"/>
        <w:spacing w:line="360" w:lineRule="auto"/>
        <w:ind w:firstLine="708"/>
        <w:jc w:val="both"/>
        <w:rPr>
          <w:rFonts w:ascii="Times New Roman" w:hAnsi="Times New Roman"/>
          <w:sz w:val="24"/>
          <w:szCs w:val="24"/>
        </w:rPr>
      </w:pPr>
      <w:r w:rsidRPr="00771368">
        <w:rPr>
          <w:rFonts w:ascii="Times New Roman" w:hAnsi="Times New Roman"/>
          <w:sz w:val="24"/>
          <w:szCs w:val="24"/>
        </w:rPr>
        <w:t>Nesse sentido, numa paráfrase à célebre frase de Simone Beauvoir que “ninguém nasce mulher: torna-se mulher” em sua obra “O Segundo Sexo” (1980, p.?), podemos dizer que ninguém “nasce homem ou mulher”, mas torna-se homem ou mulher ao longo da vida, em razão da constante interação com o meio histórico sociocultural dentro de um processo de formação de identidade do ser masculino ou feminino.  Para Louro (2008, p. 17) fazer-se homem ou mulher depende de escolhas “das marcas, dos gestos, dos comportamentos, das preferências e dos desgostos que lhes são ensinados e reiterados, cotidianamente, conforme normas e valores de uma dada cultura”. O que consideramos masculino ou feminino é apenas o resultado de convenções sociais e não aquilo que cada um/a vivencia e expressa individualmente na construção da sua identidade de gênero.</w:t>
      </w:r>
    </w:p>
    <w:p w:rsidR="00D24E61" w:rsidRPr="00771368" w:rsidRDefault="00D24E61" w:rsidP="00D24E61">
      <w:pPr>
        <w:pStyle w:val="Dissertao1"/>
        <w:tabs>
          <w:tab w:val="clear" w:pos="360"/>
        </w:tabs>
        <w:rPr>
          <w:rFonts w:ascii="Times New Roman" w:hAnsi="Times New Roman"/>
        </w:rPr>
      </w:pPr>
      <w:bookmarkStart w:id="80" w:name="_Toc361505835"/>
      <w:bookmarkStart w:id="81" w:name="_Toc361506662"/>
      <w:bookmarkStart w:id="82" w:name="_Toc364283460"/>
      <w:r w:rsidRPr="00771368">
        <w:rPr>
          <w:rFonts w:ascii="Times New Roman" w:hAnsi="Times New Roman"/>
        </w:rPr>
        <w:t>OS/AS “E.T” E A ESCOLA</w:t>
      </w:r>
      <w:bookmarkEnd w:id="80"/>
      <w:bookmarkEnd w:id="81"/>
      <w:bookmarkEnd w:id="82"/>
    </w:p>
    <w:p w:rsidR="00D24E61" w:rsidRPr="00771368" w:rsidRDefault="00D24E61" w:rsidP="00D24E61">
      <w:pPr>
        <w:pStyle w:val="Textodenotadefim"/>
        <w:tabs>
          <w:tab w:val="left" w:pos="5670"/>
        </w:tabs>
        <w:spacing w:line="360" w:lineRule="auto"/>
        <w:ind w:firstLine="709"/>
        <w:jc w:val="both"/>
        <w:rPr>
          <w:rFonts w:ascii="Times New Roman" w:hAnsi="Times New Roman"/>
          <w:sz w:val="24"/>
          <w:szCs w:val="24"/>
        </w:rPr>
      </w:pPr>
    </w:p>
    <w:p w:rsidR="00D24E61" w:rsidRPr="00771368" w:rsidRDefault="00D24E61" w:rsidP="00D24E61">
      <w:pPr>
        <w:pStyle w:val="Textodenotadefim"/>
        <w:tabs>
          <w:tab w:val="left" w:pos="5670"/>
        </w:tabs>
        <w:spacing w:line="360" w:lineRule="auto"/>
        <w:ind w:firstLine="709"/>
        <w:jc w:val="both"/>
        <w:rPr>
          <w:rFonts w:ascii="Times New Roman" w:hAnsi="Times New Roman"/>
          <w:sz w:val="24"/>
          <w:szCs w:val="24"/>
        </w:rPr>
      </w:pPr>
      <w:r w:rsidRPr="00771368">
        <w:rPr>
          <w:rFonts w:ascii="Times New Roman" w:hAnsi="Times New Roman"/>
          <w:sz w:val="24"/>
          <w:szCs w:val="24"/>
        </w:rPr>
        <w:t xml:space="preserve">A escola, em particular é uma “instituição que nasceu disciplinar e normatizadora, a diferença, ou tudo aquilo que está fora da norma, em especial, a norma sexual, mostra ser insuportável por transbordar os limites do conhecido” (CÉSAR, 2008, p. 48) configurando-se num lugar de opressão  no qual sujeitos Lésbicas, </w:t>
      </w:r>
      <w:r w:rsidRPr="00771368">
        <w:rPr>
          <w:rFonts w:ascii="Times New Roman" w:hAnsi="Times New Roman"/>
          <w:i/>
          <w:sz w:val="24"/>
          <w:szCs w:val="24"/>
        </w:rPr>
        <w:t>Gays</w:t>
      </w:r>
      <w:r w:rsidRPr="00771368">
        <w:rPr>
          <w:rFonts w:ascii="Times New Roman" w:hAnsi="Times New Roman"/>
          <w:sz w:val="24"/>
          <w:szCs w:val="24"/>
        </w:rPr>
        <w:t xml:space="preserve">, Bissexuais, Bigêneros, Travestis, Transexuais, Transgêneros, </w:t>
      </w:r>
      <w:r w:rsidRPr="00771368">
        <w:rPr>
          <w:rFonts w:ascii="Times New Roman" w:hAnsi="Times New Roman"/>
          <w:i/>
          <w:sz w:val="24"/>
          <w:szCs w:val="24"/>
        </w:rPr>
        <w:t>Queer</w:t>
      </w:r>
      <w:r w:rsidRPr="00771368">
        <w:rPr>
          <w:rFonts w:ascii="Times New Roman" w:hAnsi="Times New Roman"/>
          <w:sz w:val="24"/>
          <w:szCs w:val="24"/>
        </w:rPr>
        <w:t>, Questionadores, Intersexos, Indecisos, Assexuados e Aliados – LGBTQIA vivem de maneiras distintas, situações delicadas de vulnerabilidade, negação, autoculpabilização e internalização da homofobia. Isso se faz com a participação ou omissão da família, da comunidade escolar</w:t>
      </w:r>
      <w:r w:rsidRPr="00771368">
        <w:rPr>
          <w:rStyle w:val="Refdenotaderodap"/>
          <w:rFonts w:ascii="Times New Roman" w:hAnsi="Times New Roman"/>
          <w:sz w:val="24"/>
          <w:szCs w:val="24"/>
        </w:rPr>
        <w:footnoteReference w:id="146"/>
      </w:r>
      <w:r w:rsidRPr="00771368">
        <w:rPr>
          <w:rFonts w:ascii="Times New Roman" w:hAnsi="Times New Roman"/>
          <w:sz w:val="24"/>
          <w:szCs w:val="24"/>
        </w:rPr>
        <w:t xml:space="preserve">, sociedade civil e Estado (LIONÇO, DINIZ, 2009; JUNQUEIRA 2009a; FERRARI, 2000; 2011). </w:t>
      </w:r>
    </w:p>
    <w:p w:rsidR="00D24E61" w:rsidRPr="00771368" w:rsidRDefault="00D24E61" w:rsidP="00D24E61">
      <w:pPr>
        <w:pStyle w:val="Textodenotadefim"/>
        <w:tabs>
          <w:tab w:val="left" w:pos="5670"/>
        </w:tabs>
        <w:spacing w:line="360" w:lineRule="auto"/>
        <w:ind w:firstLine="709"/>
        <w:jc w:val="both"/>
        <w:rPr>
          <w:rFonts w:ascii="Times New Roman" w:hAnsi="Times New Roman"/>
          <w:sz w:val="24"/>
          <w:szCs w:val="24"/>
        </w:rPr>
      </w:pPr>
      <w:r w:rsidRPr="00771368">
        <w:rPr>
          <w:rFonts w:ascii="Times New Roman" w:hAnsi="Times New Roman"/>
          <w:sz w:val="24"/>
          <w:szCs w:val="24"/>
        </w:rPr>
        <w:t xml:space="preserve">As </w:t>
      </w:r>
      <w:r w:rsidRPr="00771368">
        <w:rPr>
          <w:rFonts w:ascii="Times New Roman" w:hAnsi="Times New Roman"/>
          <w:i/>
          <w:sz w:val="24"/>
          <w:szCs w:val="24"/>
        </w:rPr>
        <w:t>fobias</w:t>
      </w:r>
      <w:r w:rsidRPr="00771368">
        <w:rPr>
          <w:rFonts w:ascii="Times New Roman" w:hAnsi="Times New Roman"/>
          <w:sz w:val="24"/>
          <w:szCs w:val="24"/>
        </w:rPr>
        <w:t xml:space="preserve"> associadas ao ódio, medo, nojo, raiva, desconforto, aversão ou igualmente as “tentativas de horrorizar, gerar pânico, amedrontar </w:t>
      </w:r>
      <w:r w:rsidRPr="00771368">
        <w:rPr>
          <w:rFonts w:ascii="Times New Roman" w:hAnsi="Times New Roman"/>
          <w:i/>
          <w:sz w:val="24"/>
          <w:szCs w:val="24"/>
        </w:rPr>
        <w:t>gays</w:t>
      </w:r>
      <w:r w:rsidRPr="00771368">
        <w:rPr>
          <w:rFonts w:ascii="Times New Roman" w:hAnsi="Times New Roman"/>
          <w:sz w:val="24"/>
          <w:szCs w:val="24"/>
        </w:rPr>
        <w:t xml:space="preserve">, lésbicas, travestis, transexuais, por suas condições e posições, e em circunstâncias diversas” (SOUSA FILHO, 2013, p. 15) são um fenômeno social que atinge milhões de jovens e adultos/as escolares e </w:t>
      </w:r>
    </w:p>
    <w:p w:rsidR="00D24E61" w:rsidRPr="00771368" w:rsidRDefault="00D24E61" w:rsidP="00D24E61">
      <w:pPr>
        <w:pStyle w:val="Textodenotadefim"/>
        <w:tabs>
          <w:tab w:val="left" w:pos="5670"/>
        </w:tabs>
        <w:spacing w:line="360" w:lineRule="auto"/>
        <w:ind w:firstLine="709"/>
        <w:jc w:val="both"/>
        <w:rPr>
          <w:rFonts w:ascii="Times New Roman" w:hAnsi="Times New Roman"/>
          <w:sz w:val="24"/>
          <w:szCs w:val="24"/>
        </w:rPr>
      </w:pPr>
    </w:p>
    <w:p w:rsidR="00D24E61" w:rsidRPr="00771368" w:rsidRDefault="00D24E61" w:rsidP="00D24E61">
      <w:pPr>
        <w:ind w:left="2268"/>
        <w:jc w:val="both"/>
        <w:rPr>
          <w:sz w:val="20"/>
          <w:szCs w:val="20"/>
        </w:rPr>
      </w:pPr>
      <w:r w:rsidRPr="00771368">
        <w:rPr>
          <w:sz w:val="20"/>
          <w:szCs w:val="20"/>
        </w:rPr>
        <w:t>representam problemas reais que produzem e alimentam preconceitos, discriminações, violências e violações de direitos humanos. Geram, nas pessoas que são alvos desses mecanismos, mal-estar, insegurança, angústia, isolamento e sofrimento. Esses sentimentos podem interferir em suas relações sociais; prejudicar seu rendimento escolar, levando-as até a sair da escola; impedir seu acesso a oportunidades de emprego ou promoção no ambiente de trabalho; aumentar sua vulnerabilidade às DST/HIV/AIDS e ao uso de drogas, e influenciar em sua qualidade de vida e de saúde (BRASIL, 2011a, p. 22).</w:t>
      </w:r>
    </w:p>
    <w:p w:rsidR="00D24E61" w:rsidRPr="00771368" w:rsidRDefault="00D24E61" w:rsidP="00D24E61">
      <w:pPr>
        <w:ind w:left="2268"/>
        <w:jc w:val="both"/>
      </w:pPr>
    </w:p>
    <w:p w:rsidR="00D24E61" w:rsidRPr="00771368" w:rsidRDefault="00D24E61" w:rsidP="00D24E61">
      <w:pPr>
        <w:spacing w:line="360" w:lineRule="auto"/>
        <w:ind w:firstLine="708"/>
        <w:jc w:val="both"/>
        <w:rPr>
          <w:sz w:val="24"/>
          <w:szCs w:val="24"/>
        </w:rPr>
      </w:pPr>
      <w:r w:rsidRPr="00771368">
        <w:rPr>
          <w:sz w:val="24"/>
          <w:szCs w:val="24"/>
        </w:rPr>
        <w:t xml:space="preserve">Quando o ambiente em que se manifestam os atos de violência contra pessoas LGBTQIA, como a escola, um local que deveria ser seguro e de promoção do conhecimento e da cidadania adquire um </w:t>
      </w:r>
      <w:r w:rsidRPr="00771368">
        <w:rPr>
          <w:i/>
          <w:sz w:val="24"/>
          <w:szCs w:val="24"/>
        </w:rPr>
        <w:t>status</w:t>
      </w:r>
      <w:r w:rsidRPr="00771368">
        <w:rPr>
          <w:sz w:val="24"/>
          <w:szCs w:val="24"/>
        </w:rPr>
        <w:t xml:space="preserve"> de privacidade, essas ações se traduzem em situações limites, como agressões físicas, ou desvelam-se em formas mais sutis, como as de violência simbólica sinalizadas em piadas, brincadeiras jocosas ou mesmo comentários e insinuações de desejo de afastamento de pessoas (re)conhecidas como homossexuais. Logo, a prática discriminatória não afeta somente pessoas lésbicas, </w:t>
      </w:r>
      <w:r w:rsidRPr="00771368">
        <w:rPr>
          <w:i/>
          <w:sz w:val="24"/>
          <w:szCs w:val="24"/>
        </w:rPr>
        <w:t>gays</w:t>
      </w:r>
      <w:r w:rsidRPr="00771368">
        <w:rPr>
          <w:sz w:val="24"/>
          <w:szCs w:val="24"/>
        </w:rPr>
        <w:t xml:space="preserve">, bissexuais, travestis, transexuais e transgêneros: comumente desde que um indivíduo não corresponda às normas de heteronormatividade, passa a ser tratado, sobretudo como potencial homossexual e discriminado como tal (DINIS, 2011; BORGES, PASSAMANI, OHLWEILER, BULSING, 2011). </w:t>
      </w:r>
    </w:p>
    <w:p w:rsidR="00D24E61" w:rsidRPr="00771368" w:rsidRDefault="00D24E61" w:rsidP="00D24E61">
      <w:pPr>
        <w:spacing w:line="360" w:lineRule="auto"/>
        <w:ind w:firstLine="708"/>
        <w:jc w:val="both"/>
        <w:rPr>
          <w:sz w:val="24"/>
          <w:szCs w:val="24"/>
        </w:rPr>
      </w:pPr>
      <w:r w:rsidRPr="00771368">
        <w:rPr>
          <w:sz w:val="24"/>
          <w:szCs w:val="24"/>
        </w:rPr>
        <w:t>A LGBTQIAfobia</w:t>
      </w:r>
      <w:r w:rsidRPr="00771368">
        <w:rPr>
          <w:rStyle w:val="Refdenotaderodap"/>
          <w:sz w:val="24"/>
          <w:szCs w:val="24"/>
        </w:rPr>
        <w:footnoteReference w:id="147"/>
      </w:r>
      <w:r w:rsidRPr="00771368">
        <w:rPr>
          <w:sz w:val="24"/>
          <w:szCs w:val="24"/>
        </w:rPr>
        <w:t xml:space="preserve"> impacta diretamente na esfera dos sentimentos, da dignidade,  do sucesso ou do fracasso escolar. As agressões físicas e verbais, a destituição de esperanças, de sobrevivência digna, além das exclusões constantes às quais alunos/as LGBTQIA são submetidos/as corriqueiramente no cotidiano escolar, quando são comumente inferiorizados/as ou reprimidos/as criam situações tristes de constrangimentos, sofrimento psíquico intenso, além de impulsionar a saída dessas pessoas das escolas dificultando seu acesso ao mercado de trabalho, obrigando-os/as à sujeição de subempregos e atividades estigmatizantes (ABRAMAVOAY, 2009; DUARTE, 2012). </w:t>
      </w:r>
    </w:p>
    <w:p w:rsidR="00D24E61" w:rsidRPr="00771368" w:rsidRDefault="00D24E61" w:rsidP="00D24E61">
      <w:pPr>
        <w:pStyle w:val="Textodenotaderodap"/>
        <w:spacing w:line="360" w:lineRule="auto"/>
        <w:ind w:firstLine="708"/>
        <w:rPr>
          <w:rFonts w:ascii="Times New Roman" w:hAnsi="Times New Roman"/>
          <w:sz w:val="24"/>
          <w:szCs w:val="24"/>
        </w:rPr>
      </w:pPr>
      <w:r w:rsidRPr="00771368">
        <w:rPr>
          <w:rFonts w:ascii="Times New Roman" w:hAnsi="Times New Roman"/>
          <w:sz w:val="24"/>
          <w:szCs w:val="24"/>
        </w:rPr>
        <w:t xml:space="preserve">A manutenção das diferenças é sustentada na pedagogia do insulto que atinge de diversas formas e variada intensidades, homossexuais masculinos ou femininos e assumem fóruns de agravamento em relação aos/às “E.T.”. Subproduto dos processos de (re)produção de identidades de gênero o processo de atribuições ou interpelações que alimentam o campo do discurso e do poder na escola é sustentando naquilo que pode ser considerado como normal e desviante, e colocam em xeque a própria humanidade e direitos daqueles/as que ultrapassam as barreiras do binarismo de gênero masculino/feminino (BUTLER, 2010). </w:t>
      </w:r>
    </w:p>
    <w:p w:rsidR="00D24E61" w:rsidRPr="00771368" w:rsidRDefault="00D24E61" w:rsidP="00D24E61">
      <w:pPr>
        <w:pStyle w:val="Textodenotaderodap"/>
        <w:spacing w:line="360" w:lineRule="auto"/>
        <w:ind w:firstLine="708"/>
        <w:rPr>
          <w:rFonts w:ascii="Times New Roman" w:hAnsi="Times New Roman"/>
          <w:sz w:val="22"/>
          <w:szCs w:val="22"/>
        </w:rPr>
      </w:pPr>
      <w:r w:rsidRPr="00771368">
        <w:rPr>
          <w:rFonts w:ascii="Times New Roman" w:hAnsi="Times New Roman"/>
          <w:sz w:val="24"/>
          <w:szCs w:val="24"/>
        </w:rPr>
        <w:t>Os/as “E.T.” não passam incógnitos/as pelo incômodo natural que apresentam ao conformismo generificado. Ao arquitetarem seus corpos, suas maneiras de apresentar-se, expressar-se e agir na escola, “tendem a enfrentar obstáculos para se matricular, participar das atividades pedagógicas, ter suas identidades respeitadas, fazer uso das estruturas escolares (como  os banheiros) e preservar sua integridade física” (JUNQUEIRA, 2012, p. 78</w:t>
      </w:r>
      <w:r w:rsidRPr="00771368">
        <w:rPr>
          <w:rFonts w:ascii="Times New Roman" w:hAnsi="Times New Roman"/>
          <w:sz w:val="22"/>
          <w:szCs w:val="22"/>
        </w:rPr>
        <w:t xml:space="preserve">) em um sistematizado processo de </w:t>
      </w:r>
      <w:r w:rsidRPr="00771368">
        <w:rPr>
          <w:rFonts w:ascii="Times New Roman" w:hAnsi="Times New Roman"/>
          <w:i/>
          <w:sz w:val="22"/>
          <w:szCs w:val="22"/>
        </w:rPr>
        <w:t>Trans</w:t>
      </w:r>
      <w:r w:rsidRPr="00771368">
        <w:rPr>
          <w:rFonts w:ascii="Times New Roman" w:hAnsi="Times New Roman"/>
          <w:sz w:val="22"/>
          <w:szCs w:val="22"/>
        </w:rPr>
        <w:t>fobia pedagógica.</w:t>
      </w:r>
    </w:p>
    <w:p w:rsidR="00D24E61" w:rsidRPr="00771368" w:rsidRDefault="00D24E61" w:rsidP="00D24E61">
      <w:pPr>
        <w:spacing w:line="360" w:lineRule="auto"/>
        <w:ind w:firstLine="709"/>
        <w:jc w:val="both"/>
        <w:rPr>
          <w:sz w:val="24"/>
          <w:szCs w:val="24"/>
        </w:rPr>
      </w:pPr>
      <w:r w:rsidRPr="00771368">
        <w:rPr>
          <w:sz w:val="24"/>
          <w:szCs w:val="24"/>
        </w:rPr>
        <w:t xml:space="preserve">Se, inicialmente, a escola é tida como o local da inclusão, da convivência das diferenças, do acesso livre e democrático ao conhecimento para os/as “E.T.” o processo de escolarização é também um método de penitência e aborto de suas expectativas de vida e conquistas sociais (SILVA, 2008). </w:t>
      </w:r>
    </w:p>
    <w:p w:rsidR="00D24E61" w:rsidRPr="00771368" w:rsidRDefault="00D24E61" w:rsidP="00D24E61">
      <w:pPr>
        <w:tabs>
          <w:tab w:val="left" w:pos="709"/>
        </w:tabs>
        <w:spacing w:line="360" w:lineRule="auto"/>
        <w:jc w:val="both"/>
        <w:rPr>
          <w:sz w:val="24"/>
          <w:szCs w:val="24"/>
        </w:rPr>
      </w:pPr>
      <w:r w:rsidRPr="00771368">
        <w:rPr>
          <w:sz w:val="24"/>
          <w:szCs w:val="24"/>
        </w:rPr>
        <w:tab/>
        <w:t>Neste viés o sistema escolar não consegue alcançar a unidade almejada, pois há corpos que escapam ao processo de (re)produção dos gêneros inteligíveis e imutáveis e da dicotomia hierarquizada, essa transgressão põe em risco toda uma estruturação, por desobedecerem aos códigos de gênero e ao mesmo tempo revelarem as possibilidades de transformação dessas mesmas normas. Esse processo de subterfúgio carcerário dos corpos sexuados é marcado por anseios, dores, conflitos e medos (BENTO, 2011).</w:t>
      </w:r>
    </w:p>
    <w:p w:rsidR="00D24E61" w:rsidRPr="00771368" w:rsidRDefault="00D24E61" w:rsidP="00D24E61">
      <w:pPr>
        <w:spacing w:line="360" w:lineRule="auto"/>
        <w:ind w:firstLine="709"/>
        <w:jc w:val="both"/>
        <w:rPr>
          <w:sz w:val="24"/>
          <w:szCs w:val="24"/>
        </w:rPr>
      </w:pPr>
      <w:r w:rsidRPr="00771368">
        <w:rPr>
          <w:sz w:val="24"/>
          <w:szCs w:val="24"/>
        </w:rPr>
        <w:t>Em estudo realizado por Bohm (2009) ao entrevistar travestis sobre sua trajetória acadêmica, muitas delas afirmaram não ter dado prosseguimento aos estudos mediante a problemática com que se deparavam em seu cotidiano. Elas apontam como impedimentos, desde o simples ato para entrada na escola, como o livre acesso a seus espaços previamente organizados ˗ não para elas ˗ e a intransigência de grande parte da comunidade escolar de sua permanência neste local. “E.T.” apontam como dificuldades cotidianas no processo de escolarização a</w:t>
      </w:r>
    </w:p>
    <w:p w:rsidR="00D24E61" w:rsidRPr="00771368" w:rsidRDefault="00D24E61" w:rsidP="00D24E61">
      <w:pPr>
        <w:ind w:left="2268"/>
        <w:jc w:val="both"/>
      </w:pPr>
    </w:p>
    <w:p w:rsidR="00D24E61" w:rsidRPr="00771368" w:rsidRDefault="00D24E61" w:rsidP="00D24E61">
      <w:pPr>
        <w:ind w:left="2268"/>
        <w:jc w:val="both"/>
        <w:rPr>
          <w:sz w:val="20"/>
          <w:szCs w:val="20"/>
        </w:rPr>
      </w:pPr>
      <w:r w:rsidRPr="00771368">
        <w:rPr>
          <w:sz w:val="20"/>
          <w:szCs w:val="20"/>
        </w:rPr>
        <w:t xml:space="preserve">efetivação de matrícula, instituída a partir de ações intransigentes não observadas em relação às demais matrículas; relatam desde a imposição de regras de vestimenta ou de impedimentos para o uso do nome social até a submissão a um torturante cotidiano de piadas, agressões verbais e até mesmo físicas; denunciam o isolamento e a segregação impostos pelos colegas e também, muitas vezes, pelos professores. Tal contexto produz uma crescente tensão nas relações escolares, consistindo desafio muitas vezes sequer identificado como parte do trabalho escolar, no sentido de inclusão e permanência nas instituições de tais sujeitos (BOHM, 2009, p. 59). </w:t>
      </w:r>
    </w:p>
    <w:p w:rsidR="00D24E61" w:rsidRPr="00771368" w:rsidRDefault="00D24E61" w:rsidP="00D24E61">
      <w:pPr>
        <w:ind w:left="2268"/>
        <w:jc w:val="both"/>
      </w:pPr>
    </w:p>
    <w:p w:rsidR="00D24E61" w:rsidRPr="00771368" w:rsidRDefault="00D24E61" w:rsidP="00D24E61">
      <w:pPr>
        <w:tabs>
          <w:tab w:val="left" w:pos="5730"/>
        </w:tabs>
        <w:spacing w:line="360" w:lineRule="auto"/>
        <w:ind w:firstLine="709"/>
        <w:jc w:val="both"/>
        <w:rPr>
          <w:sz w:val="24"/>
          <w:szCs w:val="24"/>
          <w:lang w:val="pt-PT"/>
        </w:rPr>
      </w:pPr>
      <w:r w:rsidRPr="00771368">
        <w:rPr>
          <w:sz w:val="24"/>
          <w:szCs w:val="24"/>
          <w:lang w:val="pt-PT"/>
        </w:rPr>
        <w:t>Assim como defende Junqueira (2012, p. 73) “notamos facilmente a intensa generificação dos seus espaços e de suas práticas, e o quanto as fronteiras de gênero são obsessiva e binariamente demarcadas”. Atitudes, comportamentos, maneira de agir, como se vestir, dentre outras manifestações pessoais do exercício da identidade de gênero são alvos de intervenção por parte da comunidade escolar, com o propósito de naturalizar e subverter condutas culturais de como ser homem ou mulher. Tais práticas são arbitrariamentes empregadas com os/as “E.T.” a serviço do processo de heterormalização através de</w:t>
      </w:r>
    </w:p>
    <w:p w:rsidR="00D24E61" w:rsidRPr="00771368" w:rsidRDefault="00D24E61" w:rsidP="00D24E61">
      <w:pPr>
        <w:tabs>
          <w:tab w:val="left" w:pos="5730"/>
        </w:tabs>
        <w:ind w:left="2268"/>
        <w:jc w:val="both"/>
      </w:pPr>
    </w:p>
    <w:p w:rsidR="00D24E61" w:rsidRPr="00771368" w:rsidRDefault="00D24E61" w:rsidP="00D24E61">
      <w:pPr>
        <w:tabs>
          <w:tab w:val="left" w:pos="5730"/>
        </w:tabs>
        <w:ind w:left="2268"/>
        <w:jc w:val="both"/>
        <w:rPr>
          <w:sz w:val="20"/>
          <w:szCs w:val="20"/>
        </w:rPr>
      </w:pPr>
      <w:r w:rsidRPr="00771368">
        <w:rPr>
          <w:sz w:val="20"/>
          <w:szCs w:val="20"/>
        </w:rPr>
        <w:t>uma inclusão onde a condição é que eles abram mão de suas identidades e se enquadrem em determinados padrões de comportamento; padrões estes que não têm nada a ver com o papel de um aluno – se comportar, fazer o dever, estudar, etc. – mas com papéis de gênero. Padrões de gênero que não constam em nenhuma lei ou norma escolar. Padrões de gênero que são acriticamente reproduzidos pelas escolas e estão baseados tão somente nas concepções pessoais dos educadores. Obrigar um aluno ou aluna a modificar o seu jeito íntimo de ser, de falar, de se fazer bonito para poder estudar, é condicionar um direito que é incondicional. É abuso de poder. É desrespeito. E é sinal de que o educador ainda não entendeu que a identidade sexual daquele aluno não é uma firula ou uma brincadeira, mas parte constitutiva da sua própria personalidade (BORTOLINI, 2008a, s/p).</w:t>
      </w:r>
    </w:p>
    <w:p w:rsidR="00D24E61" w:rsidRPr="00771368" w:rsidRDefault="00D24E61" w:rsidP="00D24E61">
      <w:pPr>
        <w:tabs>
          <w:tab w:val="left" w:pos="5730"/>
        </w:tabs>
        <w:ind w:left="2268"/>
        <w:jc w:val="both"/>
        <w:rPr>
          <w:sz w:val="20"/>
          <w:szCs w:val="20"/>
        </w:rPr>
      </w:pPr>
    </w:p>
    <w:p w:rsidR="00D24E61" w:rsidRPr="00771368" w:rsidRDefault="00D24E61" w:rsidP="00D24E61">
      <w:pPr>
        <w:pStyle w:val="Textodenotaderodap"/>
        <w:spacing w:line="360" w:lineRule="auto"/>
        <w:ind w:firstLine="708"/>
        <w:rPr>
          <w:rFonts w:ascii="Times New Roman" w:hAnsi="Times New Roman"/>
          <w:sz w:val="24"/>
          <w:szCs w:val="24"/>
        </w:rPr>
      </w:pPr>
      <w:r w:rsidRPr="00771368">
        <w:rPr>
          <w:rFonts w:ascii="Times New Roman" w:hAnsi="Times New Roman"/>
          <w:sz w:val="24"/>
          <w:szCs w:val="24"/>
        </w:rPr>
        <w:t xml:space="preserve">Outra vertente deste desentendimento entre comunidade escolar está condicionada à recusa em chamar a estudante travesti pelo seu nome social e essa postura ensina e incentiva os/às demais alunos/as a adotarem atitudes de hostilidade e de desrespeito às diferenças em geral “pode ser destacada como um símbolo de desempoderamento uma vez que implica em desapropriar o sujeito de seu próprio nome” (MOSCHETA, 2011, p. 52). </w:t>
      </w:r>
    </w:p>
    <w:p w:rsidR="00D24E61" w:rsidRPr="00771368" w:rsidRDefault="00D24E61" w:rsidP="00D24E61">
      <w:pPr>
        <w:pStyle w:val="Textodenotaderodap"/>
        <w:spacing w:line="360" w:lineRule="auto"/>
        <w:ind w:firstLine="708"/>
        <w:rPr>
          <w:rFonts w:ascii="Times New Roman" w:hAnsi="Times New Roman"/>
          <w:sz w:val="24"/>
          <w:szCs w:val="24"/>
        </w:rPr>
      </w:pPr>
      <w:r w:rsidRPr="00771368">
        <w:rPr>
          <w:rFonts w:ascii="Times New Roman" w:hAnsi="Times New Roman"/>
          <w:sz w:val="24"/>
          <w:szCs w:val="24"/>
        </w:rPr>
        <w:t xml:space="preserve">Junqueira (2012) questiona por que é tão difícil e perturbador garantir o direito de uma pessoa ser tratada da forma em que ela se sente confortável e, sobretudo, humana, independente do lugar e da ocasião? É uma simples questão de respeito e humanidade. Este é um dos meios mais eficientes “de se traduzir a pedagogia do insulto no currículo em ação em processos de desumanização, estigmatização e exclusão e, assim, de reforçar ulteriormente os ditames que a pedagogia do armário exerce sobre todo o alunado” (p. 78). </w:t>
      </w:r>
    </w:p>
    <w:p w:rsidR="00D24E61" w:rsidRPr="00771368" w:rsidRDefault="00D24E61" w:rsidP="00D24E61">
      <w:pPr>
        <w:pStyle w:val="Textodenotaderodap"/>
        <w:spacing w:line="360" w:lineRule="auto"/>
        <w:ind w:firstLine="708"/>
        <w:rPr>
          <w:rFonts w:ascii="Times New Roman" w:hAnsi="Times New Roman"/>
          <w:sz w:val="24"/>
          <w:szCs w:val="24"/>
        </w:rPr>
      </w:pPr>
      <w:r w:rsidRPr="00771368">
        <w:rPr>
          <w:rFonts w:ascii="Times New Roman" w:hAnsi="Times New Roman"/>
          <w:sz w:val="24"/>
          <w:szCs w:val="24"/>
        </w:rPr>
        <w:t xml:space="preserve">O nome social não é um capricho de um/a aluno/a travesti, transexual e transgênero/a, ele representa a valorização da dignidade humana, o reconhecimento político da legitimidade de sua identidade social previsto pela Secretaria de Estado da Educação - SEED na Orientação Pedagógica nº 001/2010 – DEDI/SEED (PARANÁ, 2010). </w:t>
      </w:r>
    </w:p>
    <w:p w:rsidR="00D24E61" w:rsidRPr="00771368" w:rsidRDefault="00D24E61" w:rsidP="00D24E61">
      <w:pPr>
        <w:pStyle w:val="Textodenotaderodap"/>
        <w:spacing w:line="360" w:lineRule="auto"/>
        <w:ind w:firstLine="708"/>
        <w:rPr>
          <w:rFonts w:ascii="Times New Roman" w:hAnsi="Times New Roman"/>
          <w:sz w:val="24"/>
          <w:szCs w:val="24"/>
        </w:rPr>
      </w:pPr>
    </w:p>
    <w:p w:rsidR="00D24E61" w:rsidRPr="00771368" w:rsidRDefault="00D24E61" w:rsidP="00D24E61">
      <w:pPr>
        <w:pStyle w:val="Textodenotaderodap"/>
        <w:ind w:left="2268"/>
        <w:rPr>
          <w:rFonts w:ascii="Times New Roman" w:hAnsi="Times New Roman"/>
        </w:rPr>
      </w:pPr>
      <w:r w:rsidRPr="00771368">
        <w:rPr>
          <w:rFonts w:ascii="Times New Roman" w:hAnsi="Times New Roman"/>
        </w:rPr>
        <w:t xml:space="preserve">O nome social é o reconhecimento de pertencimento da identidade de gêneros das/dos travestis e transexuais. Sendo assim, fica instituído o uso do mesmo a fim de garantir o acesso e a permanência dessa população em todos os estabelecimentos de ensino da Rede Pública Estadual do Paraná e, principalmente, para possibilitar a garantia do direito constitucional à educação pública e de qualidade a todas/os as/os cidadãs/os (PARANÁ, 2010, p. 01).  </w:t>
      </w:r>
    </w:p>
    <w:p w:rsidR="00D24E61" w:rsidRPr="00771368" w:rsidRDefault="00D24E61" w:rsidP="00D24E61">
      <w:pPr>
        <w:pStyle w:val="Textodenotaderodap"/>
        <w:ind w:left="2268"/>
        <w:rPr>
          <w:rFonts w:ascii="Times New Roman" w:hAnsi="Times New Roman"/>
        </w:rPr>
      </w:pPr>
    </w:p>
    <w:p w:rsidR="00D24E61" w:rsidRPr="00771368" w:rsidRDefault="00D24E61" w:rsidP="00D24E61">
      <w:pPr>
        <w:spacing w:line="360" w:lineRule="auto"/>
        <w:ind w:firstLine="709"/>
        <w:jc w:val="both"/>
        <w:rPr>
          <w:sz w:val="24"/>
          <w:szCs w:val="24"/>
        </w:rPr>
      </w:pPr>
      <w:r w:rsidRPr="00771368">
        <w:rPr>
          <w:sz w:val="24"/>
          <w:szCs w:val="24"/>
        </w:rPr>
        <w:t xml:space="preserve">O/A </w:t>
      </w:r>
      <w:r w:rsidRPr="00771368">
        <w:rPr>
          <w:sz w:val="24"/>
          <w:szCs w:val="24"/>
          <w:lang w:val="pt-PT"/>
        </w:rPr>
        <w:t xml:space="preserve">“E.T.” </w:t>
      </w:r>
      <w:r w:rsidRPr="00771368">
        <w:rPr>
          <w:sz w:val="24"/>
          <w:szCs w:val="24"/>
        </w:rPr>
        <w:t>deverá receber tratamento respeitoso e ético de acordo com sua identidade de gênero (feminina ou masculina), por todas as pessoas envolvidas no ambiente escolar, desde seu primeiro contato e em todos os espaços e relações rotineiras. A comunidade escolar incluindo aí professores/as, pedagogos/as, diretores/as, alunos/as, funcionários/as devem garantir um tratamento solidário em todos os ambientes e ocasiões ao longo do processo de escolarização desses sujeitos (PARANÁ, 2010).</w:t>
      </w:r>
    </w:p>
    <w:p w:rsidR="00D24E61" w:rsidRPr="00771368" w:rsidRDefault="00D24E61" w:rsidP="00D24E61">
      <w:pPr>
        <w:spacing w:line="360" w:lineRule="auto"/>
        <w:ind w:firstLine="709"/>
        <w:jc w:val="both"/>
        <w:rPr>
          <w:sz w:val="24"/>
          <w:szCs w:val="24"/>
        </w:rPr>
      </w:pPr>
    </w:p>
    <w:p w:rsidR="00D24E61" w:rsidRPr="00771368" w:rsidRDefault="00D24E61" w:rsidP="00D24E61">
      <w:pPr>
        <w:tabs>
          <w:tab w:val="left" w:pos="709"/>
        </w:tabs>
        <w:ind w:left="2268"/>
        <w:jc w:val="both"/>
        <w:rPr>
          <w:sz w:val="20"/>
          <w:szCs w:val="20"/>
        </w:rPr>
      </w:pPr>
      <w:r w:rsidRPr="00771368">
        <w:rPr>
          <w:sz w:val="20"/>
          <w:szCs w:val="20"/>
        </w:rPr>
        <w:t xml:space="preserve">Chamar o/a travesti no feminino ou no masculino é uma decisão política e acadêmica que veio do movimento social que se organizou mais recentemente, principalmente depois dos anos 80, porque o que vai se considerar é que o gênero como construção social, como aquilo vivido no cotidiano, como a maneira que o/a travesti, transexual ou transgênero se apresenta e lida com as pessoas ao estabelecer suas relações é que vai ser definidor de quem a pessoa é e não a sua genitália. Essa definição biológica, naturalizante é menos relevante levando em conta que nós enquanto humanos somos seres sociais (PELÚCIO, 2013, s/p.). </w:t>
      </w:r>
    </w:p>
    <w:p w:rsidR="00D24E61" w:rsidRPr="00771368" w:rsidRDefault="00D24E61" w:rsidP="00D24E61">
      <w:pPr>
        <w:tabs>
          <w:tab w:val="left" w:pos="709"/>
        </w:tabs>
        <w:ind w:left="2268"/>
        <w:jc w:val="both"/>
      </w:pPr>
    </w:p>
    <w:p w:rsidR="00D24E61" w:rsidRPr="00771368" w:rsidRDefault="00D24E61" w:rsidP="00D24E61">
      <w:pPr>
        <w:pStyle w:val="Textodenotaderodap"/>
        <w:spacing w:line="360" w:lineRule="auto"/>
        <w:ind w:firstLine="708"/>
        <w:rPr>
          <w:rFonts w:ascii="Times New Roman" w:hAnsi="Times New Roman"/>
          <w:sz w:val="24"/>
          <w:szCs w:val="24"/>
        </w:rPr>
      </w:pPr>
      <w:r w:rsidRPr="00771368">
        <w:rPr>
          <w:rFonts w:ascii="Times New Roman" w:hAnsi="Times New Roman"/>
          <w:sz w:val="24"/>
          <w:szCs w:val="24"/>
        </w:rPr>
        <w:t xml:space="preserve">A adoção de tal conduta está contemplada na Orientação Pedagógica nº 001/2010 do Estado do Paraná que estabelece que a Rede Pública de Ensino Estadual de Educação Básica, deverá incluir, após solicitação por escrito do/a “E.T.”, no ato da matrícula, o nome social no campo destinado para esse registro no cadastro do/a aluno/a, bem como o sigilo aos documentos que constem o nome civil dessa pessoa. Dessa forma, o nome social será impresso automaticamente no espelho do Livro Registro de Classe, nos Editais e Boletins Escolares (PARANÁ, 2010). </w:t>
      </w:r>
    </w:p>
    <w:p w:rsidR="00D24E61" w:rsidRPr="00771368" w:rsidRDefault="00D24E61" w:rsidP="00D24E61">
      <w:pPr>
        <w:spacing w:line="360" w:lineRule="auto"/>
        <w:ind w:firstLine="709"/>
        <w:jc w:val="both"/>
        <w:rPr>
          <w:sz w:val="24"/>
          <w:szCs w:val="24"/>
        </w:rPr>
      </w:pPr>
      <w:r w:rsidRPr="00771368">
        <w:rPr>
          <w:sz w:val="24"/>
          <w:szCs w:val="24"/>
        </w:rPr>
        <w:t>Na escola a situação do/a “E.T.” possui um fator agravante quanto à aquiescência de sua identidade de gênero ao carecerem do uso de sanitários. Para Silva (2008, p. 13) “a rígida organização física de separação entre o masculino e o feminino marca a experiência destas pessoas tensionadas pela reprodução da heteronormatividade e pela resistência à ordem instituída”. O banheiro da escola é muito mais que um espaço reservado de realização de necessidades fisiológicas, ele é parte fundamental do processo de construção de identidades e reprodução das diferenças. É neste espaço que essas pessoas passam por constrangimentos, aversões e diversas outras formas de agressão e segregação.</w:t>
      </w:r>
    </w:p>
    <w:p w:rsidR="00D24E61" w:rsidRPr="00771368" w:rsidRDefault="00D24E61" w:rsidP="00D24E61">
      <w:pPr>
        <w:pStyle w:val="Textodenotaderodap"/>
        <w:spacing w:line="360" w:lineRule="auto"/>
        <w:ind w:firstLine="708"/>
        <w:rPr>
          <w:rFonts w:ascii="Times New Roman" w:hAnsi="Times New Roman"/>
          <w:sz w:val="24"/>
          <w:szCs w:val="24"/>
        </w:rPr>
      </w:pPr>
      <w:r w:rsidRPr="00771368">
        <w:rPr>
          <w:rFonts w:ascii="Times New Roman" w:hAnsi="Times New Roman"/>
          <w:sz w:val="24"/>
          <w:szCs w:val="24"/>
        </w:rPr>
        <w:t>Quanto ao uso de banheiros, o/a “E.T.” deve utilizar o sanitários das/os alunas/os de acordo com a identidade de gênero que apresentam. Dessa forma a arquitetura da escola não precisará sofrer qualquer alteração, ou seja, não carece de construção de um terceiro banheiro como tem sido defendido por alguns/as educadores/as. No mais é orientado que não seja concedido nesse caso o banheiro de professores/as ou de pessoas com necessidades especiais (PARANÁ, 2010).</w:t>
      </w:r>
    </w:p>
    <w:p w:rsidR="00D24E61" w:rsidRPr="00771368" w:rsidRDefault="00D24E61" w:rsidP="00D24E61">
      <w:pPr>
        <w:pStyle w:val="Textodenotaderodap"/>
        <w:spacing w:line="360" w:lineRule="auto"/>
        <w:ind w:firstLine="708"/>
        <w:rPr>
          <w:rFonts w:ascii="Times New Roman" w:hAnsi="Times New Roman"/>
          <w:sz w:val="24"/>
          <w:szCs w:val="24"/>
        </w:rPr>
      </w:pPr>
      <w:r w:rsidRPr="00771368">
        <w:rPr>
          <w:rFonts w:ascii="Times New Roman" w:hAnsi="Times New Roman"/>
          <w:sz w:val="24"/>
          <w:szCs w:val="24"/>
        </w:rPr>
        <w:t xml:space="preserve">No entanto o que se percebe nas escolas é a intenção inicial de livre escolha do sanitários pelas/os “E.T.”, porém rapidamente há um recuo em sua decisão que passa a contrariar normativas estabelecidas pela Secretaria de Estado da Educação de forma manter a fraudulenta atmosfera de convivência pacífica com os demais membros sociais. </w:t>
      </w:r>
    </w:p>
    <w:p w:rsidR="00D24E61" w:rsidRPr="00771368" w:rsidRDefault="00D24E61" w:rsidP="00D24E61">
      <w:pPr>
        <w:spacing w:line="360" w:lineRule="auto"/>
        <w:jc w:val="both"/>
        <w:rPr>
          <w:sz w:val="24"/>
          <w:szCs w:val="24"/>
        </w:rPr>
      </w:pPr>
      <w:r w:rsidRPr="00771368">
        <w:rPr>
          <w:sz w:val="24"/>
          <w:szCs w:val="24"/>
        </w:rPr>
        <w:tab/>
        <w:t xml:space="preserve">O abrandamento dos conflitos é justificado pelo incômodo dos/as alunos/as tidos/as como “normais”, dito de outra forma, heterossexuais, com a presença de um/a “E.T.” frequentando o mesmo ambiente privado que eles/as. Então a solução encontrada, na maior parte, é o contorno da situação de forma que aqueles/as vistos/as como desviantes possam satisfazer suas necessidades fisiológicas de maneira imperceptível, garantindo sua invisibilidade. Assim, estrategicamente a escola dispõem os sanitários de docentes ou um terceiro banheiro. No entanto, estes mesmos espaços tendem a ser partilhados por sujeitos tanto do sexo masculino quanto feminino, porque a divisão nos demais ambientes coletivos é constantemente reforçada? O que percebemos nesse discurso é mais uma das formas de opressão a que os/as “E.T.” vivenciam no cotidiano escolar, como seres inabitáveis desse espaço. </w:t>
      </w:r>
    </w:p>
    <w:p w:rsidR="00D24E61" w:rsidRPr="00771368" w:rsidRDefault="00D24E61" w:rsidP="00D24E61">
      <w:pPr>
        <w:spacing w:line="360" w:lineRule="auto"/>
        <w:ind w:firstLine="708"/>
        <w:jc w:val="both"/>
        <w:rPr>
          <w:sz w:val="24"/>
          <w:szCs w:val="24"/>
        </w:rPr>
      </w:pPr>
      <w:r w:rsidRPr="00771368">
        <w:rPr>
          <w:sz w:val="24"/>
          <w:szCs w:val="24"/>
        </w:rPr>
        <w:t>Em pesquisa realizada por Bohm (2010) uma travesti relatara que “preferia ficar sem fazer xixi à manhã toda, a entrar em um dos banheiros”. A adoção de medidas como a oferta de um terceiro sanitário tende a minimizar os efeitos imediatos entre comunidade escolar e demais agentes como a família, porém desconsidera completamente o sentimento de desprezo e o sofrimento físico aos quais são submetidos/as o/a “E.T.”.</w:t>
      </w:r>
    </w:p>
    <w:p w:rsidR="00D24E61" w:rsidRPr="00771368" w:rsidRDefault="00D24E61" w:rsidP="00D24E61">
      <w:pPr>
        <w:spacing w:line="360" w:lineRule="auto"/>
        <w:ind w:firstLine="708"/>
        <w:jc w:val="both"/>
        <w:rPr>
          <w:sz w:val="24"/>
          <w:szCs w:val="24"/>
        </w:rPr>
      </w:pPr>
      <w:r w:rsidRPr="00771368">
        <w:rPr>
          <w:sz w:val="24"/>
          <w:szCs w:val="24"/>
        </w:rPr>
        <w:t xml:space="preserve">É importante ressaltar que tanto a arquitetura do banheiro feminino quanto masculino historicamente encontra-se organizada de forma a garantir a privacidade de quem o utiliza. É necessário que a escola crie estratégias de desestabilização e de problematização a fim de superar o preconceito e as práticas discriminatórias. Urge a necessidade de reflexões acerca da existência de vários espaços públicos de uso coletivo por homens e mulheres e que na esfera privada observamos que a maioria das famílias brasileiras tem por hábito utilizar o mesmo banheiro sem distinção de sexo, por que na escola teria de ser diferente? (PARANÁ, 2010). </w:t>
      </w:r>
    </w:p>
    <w:p w:rsidR="00D24E61" w:rsidRPr="00771368" w:rsidRDefault="00D24E61" w:rsidP="00D24E61">
      <w:pPr>
        <w:ind w:left="2268"/>
        <w:jc w:val="both"/>
      </w:pPr>
    </w:p>
    <w:p w:rsidR="00D24E61" w:rsidRPr="00771368" w:rsidRDefault="00D24E61" w:rsidP="00D24E61">
      <w:pPr>
        <w:ind w:left="2268"/>
        <w:jc w:val="both"/>
        <w:rPr>
          <w:sz w:val="20"/>
          <w:szCs w:val="20"/>
        </w:rPr>
      </w:pPr>
      <w:r w:rsidRPr="00771368">
        <w:rPr>
          <w:sz w:val="20"/>
          <w:szCs w:val="20"/>
        </w:rPr>
        <w:t>O que aparece em jogo no uso dos banheiros são trocas simbólicas de exercícios de identidade de gênero que são fortemente desempenhadas entre os grupos. As pessoas que não se encaixam nos polos separados e opostos da masculinidade ou feminilidade são excluídas do ritual ou incorporadas de forma subordinada, inferiorizada (SILVA, 2008, p. 14).</w:t>
      </w:r>
    </w:p>
    <w:p w:rsidR="00D24E61" w:rsidRPr="00771368" w:rsidRDefault="00D24E61" w:rsidP="00D24E61">
      <w:pPr>
        <w:ind w:left="2268"/>
        <w:jc w:val="both"/>
      </w:pPr>
    </w:p>
    <w:p w:rsidR="00D24E61" w:rsidRPr="00771368" w:rsidRDefault="00D24E61" w:rsidP="00D24E61">
      <w:pPr>
        <w:pStyle w:val="Textodenotaderodap"/>
        <w:tabs>
          <w:tab w:val="left" w:pos="2025"/>
        </w:tabs>
        <w:spacing w:line="360" w:lineRule="auto"/>
        <w:ind w:firstLine="708"/>
        <w:rPr>
          <w:rFonts w:ascii="Times New Roman" w:hAnsi="Times New Roman"/>
          <w:sz w:val="24"/>
          <w:szCs w:val="24"/>
        </w:rPr>
      </w:pPr>
      <w:r w:rsidRPr="00771368">
        <w:rPr>
          <w:rFonts w:ascii="Times New Roman" w:hAnsi="Times New Roman"/>
          <w:sz w:val="24"/>
          <w:szCs w:val="24"/>
        </w:rPr>
        <w:t xml:space="preserve">E quando o assunto transpõe os muros da escola e chega até a família tanto o/a “E.T.” quanto à escola passam a sofrer fortes interferências em seu funcionamento e no cumprimento dos direitos ao livre acesso. Assim, os/as educadores/as não são os/as únicos/as a verem com alguma preocupação aparecimento em cena daquilo que podemos chamar de “alienígenas” ou simplesmente, “eles/as”, isto é, esses “outros/as” que se apresentam em nossas salas de aula. </w:t>
      </w:r>
    </w:p>
    <w:p w:rsidR="00D24E61" w:rsidRPr="00771368" w:rsidRDefault="00D24E61" w:rsidP="00D24E61">
      <w:pPr>
        <w:pStyle w:val="Textodenotaderodap"/>
        <w:ind w:left="2268"/>
        <w:rPr>
          <w:rFonts w:ascii="Times New Roman" w:hAnsi="Times New Roman"/>
          <w:sz w:val="22"/>
          <w:szCs w:val="22"/>
        </w:rPr>
      </w:pPr>
    </w:p>
    <w:p w:rsidR="00D24E61" w:rsidRPr="00771368" w:rsidRDefault="00D24E61" w:rsidP="00D24E61">
      <w:pPr>
        <w:pStyle w:val="Textodenotaderodap"/>
        <w:ind w:left="2268"/>
        <w:rPr>
          <w:rFonts w:ascii="Times New Roman" w:hAnsi="Times New Roman"/>
        </w:rPr>
      </w:pPr>
      <w:r w:rsidRPr="00771368">
        <w:rPr>
          <w:rFonts w:ascii="Times New Roman" w:hAnsi="Times New Roman"/>
        </w:rPr>
        <w:t xml:space="preserve">Os pais e as mães também têm expressado esse tipo de preocupação, assim como tem feito, de forma mais geral, a esfera pública convencional (a opinião pública). Tem havido recentemente uma onda crescente de pânico moral, cujo foco, é o suposto desvio da juventude contemporânea – não apenas sua diversidade ou sua diferença, mas, mais radicalmente, sua alteridade, e a ameaça que isso apresenta para o/a observador/a, para o olhar do ego, para o olhar do sujeito, para o eu. Esse desvio é oficialmente representado e construído não como a mudança que tão claramente parece ser, mas como uma questão de deficiência, de incompletude e de inadequação. O tom é fortemente apocalíptico e a mudança é concebida como patologia (GREEN, BIGUM, 1995, p. 212). </w:t>
      </w:r>
    </w:p>
    <w:p w:rsidR="00D24E61" w:rsidRPr="00771368" w:rsidRDefault="00D24E61" w:rsidP="00D24E61">
      <w:pPr>
        <w:pStyle w:val="Textodenotaderodap"/>
        <w:ind w:left="2268"/>
        <w:rPr>
          <w:rFonts w:ascii="Times New Roman" w:hAnsi="Times New Roman"/>
          <w:sz w:val="22"/>
          <w:szCs w:val="22"/>
        </w:rPr>
      </w:pPr>
    </w:p>
    <w:p w:rsidR="00D24E61" w:rsidRPr="00771368" w:rsidRDefault="00D24E61" w:rsidP="00D24E61">
      <w:pPr>
        <w:spacing w:line="360" w:lineRule="auto"/>
        <w:ind w:firstLine="708"/>
        <w:jc w:val="both"/>
        <w:rPr>
          <w:sz w:val="24"/>
          <w:szCs w:val="24"/>
        </w:rPr>
      </w:pPr>
      <w:r w:rsidRPr="00771368">
        <w:rPr>
          <w:sz w:val="24"/>
          <w:szCs w:val="24"/>
        </w:rPr>
        <w:t xml:space="preserve">Num cotidiano escolar como esse, tão hostil, não nos surpreende que alguns/mas educadores/as se refiram “a problemas de desempenho escolar, manifestados em absenteísmo, reprovações sucessivas, abandono etc.” pelo/a “E.T.” (GÓIS, SOLIVA, 2011, p. 43). </w:t>
      </w:r>
    </w:p>
    <w:p w:rsidR="00D24E61" w:rsidRPr="00771368" w:rsidRDefault="00D24E61" w:rsidP="00D24E61">
      <w:pPr>
        <w:spacing w:line="360" w:lineRule="auto"/>
        <w:ind w:firstLine="708"/>
        <w:jc w:val="both"/>
        <w:rPr>
          <w:sz w:val="24"/>
          <w:szCs w:val="24"/>
        </w:rPr>
      </w:pPr>
      <w:r w:rsidRPr="00771368">
        <w:rPr>
          <w:sz w:val="24"/>
          <w:szCs w:val="24"/>
        </w:rPr>
        <w:t>O que nos espanta é que tais afirmativas desconsideram a desmotivação que os/as impelem diante da recusa da comunidade escolar em entender o gênero como constituinte da identidade desses sujeitos, a tirania a que são submetidas/os para se adequar a inúmeras regras de comportamento de gênero, a estigmatização dessas pessoas caracterizadas como “desviantes” e, em alguns casos, “anormais”, numa sociedade em que prevalece o binarismo e a heteronormatividade, destituindo dessas pessoas as possibilidades de viverem suas identidades da maneira como lhes bastar. Tudo isso contribui certamente para a cristalização de um sentimento nesses/as alunos/as de que não deveriam estar ali, pois são um incômodo permanente e que a única forma de superar todos esses obstáculos é sair da escola. Aqui nos vemos frente ao complexo conceito de formação de identidade e a subjetivação das diferenças, que podem ser formulados a partir de diferentes perspectivas. Aproximando a teoria dos Estudos Culturais compreendemos que os/as “E.T.” possuem identidades plurais e que a intolerância as suas diferenças podem levá-los/as a distintas direções e nem sempre os caminhos que lhes são apontados são os da continuidade do processo de escolarização (LOURO, 1997; HALL, 2007; SILVA, 2007; BORTOLINI, 2008a).</w:t>
      </w:r>
    </w:p>
    <w:p w:rsidR="00D24E61" w:rsidRPr="00771368" w:rsidRDefault="00D24E61" w:rsidP="00D24E61">
      <w:pPr>
        <w:pStyle w:val="Textodenotaderodap"/>
        <w:spacing w:line="360" w:lineRule="auto"/>
        <w:ind w:firstLine="708"/>
        <w:rPr>
          <w:rFonts w:ascii="Times New Roman" w:hAnsi="Times New Roman"/>
          <w:sz w:val="24"/>
          <w:szCs w:val="24"/>
        </w:rPr>
      </w:pPr>
      <w:r w:rsidRPr="00771368">
        <w:rPr>
          <w:rFonts w:ascii="Times New Roman" w:hAnsi="Times New Roman"/>
          <w:sz w:val="24"/>
          <w:szCs w:val="24"/>
        </w:rPr>
        <w:t xml:space="preserve">Considerados/as como as principais vítimas do processo de evasão escolar, eles/as dificilmente conseguem concluir seus estudos, “sendo forçadas(os) a abandonar a escola, já que diferentemente de adolescentes </w:t>
      </w:r>
      <w:r w:rsidRPr="00771368">
        <w:rPr>
          <w:rFonts w:ascii="Times New Roman" w:hAnsi="Times New Roman"/>
          <w:i/>
          <w:sz w:val="24"/>
          <w:szCs w:val="24"/>
        </w:rPr>
        <w:t>gays</w:t>
      </w:r>
      <w:r w:rsidRPr="00771368">
        <w:rPr>
          <w:rFonts w:ascii="Times New Roman" w:hAnsi="Times New Roman"/>
          <w:sz w:val="24"/>
          <w:szCs w:val="24"/>
        </w:rPr>
        <w:t xml:space="preserve"> e lésbicas, têm mais dificuldade em esconder sua diferença, tornando-se as vítimas mais visíveis dessa violência escolar” (DINIS, 2011, p. 43). </w:t>
      </w:r>
    </w:p>
    <w:p w:rsidR="00D24E61" w:rsidRPr="00771368" w:rsidRDefault="00D24E61" w:rsidP="00D24E61">
      <w:pPr>
        <w:spacing w:line="360" w:lineRule="auto"/>
        <w:ind w:firstLine="709"/>
        <w:jc w:val="both"/>
        <w:rPr>
          <w:sz w:val="24"/>
          <w:szCs w:val="24"/>
        </w:rPr>
      </w:pPr>
      <w:r w:rsidRPr="00771368">
        <w:rPr>
          <w:sz w:val="24"/>
          <w:szCs w:val="24"/>
        </w:rPr>
        <w:t xml:space="preserve">Não pretendemos com isso apontar a evasão sob um manto de invisibilidade, uma vez que o que chamamos até aqui de evasão compulsória é traduzido pelo “desejo de eliminar e excluir aqueles que “contaminam” o espaço escolar. Há um processo de expulsão, e não de evasão” (BENTO, 2011, p. 555) ocasionado pela rejeição cotidiana ao modo de se vestir, às formas de agir e se portar, ao descumprimento de preceitos essenciais como o uso do nome social e o livre trânsito entre os espaços que compõem a escola (JUNQUEIRA, 2009b). </w:t>
      </w:r>
    </w:p>
    <w:p w:rsidR="00D24E61" w:rsidRPr="00771368" w:rsidRDefault="00D24E61" w:rsidP="00D24E61">
      <w:pPr>
        <w:pStyle w:val="Textodenotaderodap"/>
        <w:spacing w:line="360" w:lineRule="auto"/>
        <w:ind w:firstLine="708"/>
        <w:rPr>
          <w:rFonts w:ascii="Times New Roman" w:hAnsi="Times New Roman"/>
          <w:sz w:val="24"/>
          <w:szCs w:val="24"/>
        </w:rPr>
      </w:pPr>
      <w:r w:rsidRPr="00771368">
        <w:rPr>
          <w:rFonts w:ascii="Times New Roman" w:hAnsi="Times New Roman"/>
          <w:sz w:val="24"/>
          <w:szCs w:val="24"/>
        </w:rPr>
        <w:t xml:space="preserve">Toda essa engrenagem limita as possibilidades de realização social e profissional de um/a “E.T.”. “Não por uma limitação pessoal, mas por uma máquina de exclusão que o/a empurra permanentemente para a marginalidade da vida social, o que os/as torna um segmento populacional extremamente vulnerável” (BORTOLINI, 2008a, s/p.). </w:t>
      </w:r>
    </w:p>
    <w:p w:rsidR="00D24E61" w:rsidRPr="00771368" w:rsidRDefault="00D24E61" w:rsidP="00D24E61">
      <w:pPr>
        <w:pStyle w:val="Textodenotaderodap"/>
        <w:spacing w:line="360" w:lineRule="auto"/>
        <w:ind w:firstLine="708"/>
        <w:rPr>
          <w:rFonts w:ascii="Times New Roman" w:hAnsi="Times New Roman"/>
          <w:iCs/>
          <w:sz w:val="24"/>
          <w:szCs w:val="24"/>
        </w:rPr>
      </w:pPr>
      <w:r w:rsidRPr="00771368">
        <w:rPr>
          <w:rFonts w:ascii="Times New Roman" w:hAnsi="Times New Roman"/>
          <w:sz w:val="24"/>
          <w:szCs w:val="24"/>
        </w:rPr>
        <w:t xml:space="preserve">Neste sentido é importante diferenciar “evasão” de “expulsão”, pois, ao apontar com maior verossimilhança as causas que impelem o/a “E.T.” a não frequentarem o processo de escolarização teremos como enfrentar com eficácia os dilemas que constituem o cotidiano escolar, entre eles, a intolerância alimentada pela LGBTQIAfobia (BORTOLINI, 2008a; BENTO, 2011). </w:t>
      </w:r>
      <w:r w:rsidRPr="00771368">
        <w:rPr>
          <w:rFonts w:ascii="Times New Roman" w:hAnsi="Times New Roman"/>
          <w:iCs/>
          <w:sz w:val="24"/>
          <w:szCs w:val="24"/>
        </w:rPr>
        <w:t xml:space="preserve">O reflexo deste processo incide em dados estatísticos, como os publicados no ano de 2010 pelo Grupo </w:t>
      </w:r>
      <w:r w:rsidRPr="00771368">
        <w:rPr>
          <w:rFonts w:ascii="Times New Roman" w:hAnsi="Times New Roman"/>
          <w:i/>
          <w:iCs/>
          <w:sz w:val="24"/>
          <w:szCs w:val="24"/>
        </w:rPr>
        <w:t>Gay</w:t>
      </w:r>
      <w:r w:rsidRPr="00771368">
        <w:rPr>
          <w:rFonts w:ascii="Times New Roman" w:hAnsi="Times New Roman"/>
          <w:iCs/>
          <w:sz w:val="24"/>
          <w:szCs w:val="24"/>
        </w:rPr>
        <w:t xml:space="preserve"> da Bahia (2011) através do Relatório Anual de Assassinato de Homossexuais em que foram documentados 260 assassinatos de </w:t>
      </w:r>
      <w:r w:rsidRPr="00771368">
        <w:rPr>
          <w:rFonts w:ascii="Times New Roman" w:hAnsi="Times New Roman"/>
          <w:i/>
          <w:iCs/>
          <w:sz w:val="24"/>
          <w:szCs w:val="24"/>
        </w:rPr>
        <w:t>gays</w:t>
      </w:r>
      <w:r w:rsidRPr="00771368">
        <w:rPr>
          <w:rFonts w:ascii="Times New Roman" w:hAnsi="Times New Roman"/>
          <w:iCs/>
          <w:sz w:val="24"/>
          <w:szCs w:val="24"/>
        </w:rPr>
        <w:t>, travestis e lésbicas no Brasil no referido ano. Dentre os</w:t>
      </w:r>
      <w:r w:rsidRPr="00771368">
        <w:rPr>
          <w:rFonts w:ascii="Times New Roman" w:hAnsi="Times New Roman"/>
          <w:sz w:val="24"/>
          <w:szCs w:val="24"/>
        </w:rPr>
        <w:t>/as</w:t>
      </w:r>
      <w:r w:rsidRPr="00771368">
        <w:rPr>
          <w:rFonts w:ascii="Times New Roman" w:hAnsi="Times New Roman"/>
          <w:iCs/>
          <w:sz w:val="24"/>
          <w:szCs w:val="24"/>
        </w:rPr>
        <w:t xml:space="preserve"> mortos</w:t>
      </w:r>
      <w:r w:rsidRPr="00771368">
        <w:rPr>
          <w:rFonts w:ascii="Times New Roman" w:hAnsi="Times New Roman"/>
          <w:sz w:val="24"/>
          <w:szCs w:val="24"/>
        </w:rPr>
        <w:t>/as</w:t>
      </w:r>
      <w:r w:rsidRPr="00771368">
        <w:rPr>
          <w:rFonts w:ascii="Times New Roman" w:hAnsi="Times New Roman"/>
          <w:iCs/>
          <w:sz w:val="24"/>
          <w:szCs w:val="24"/>
        </w:rPr>
        <w:t>, 110 travestis, o que corresponde a 42% dos assassinatos</w:t>
      </w:r>
      <w:r w:rsidRPr="00771368">
        <w:rPr>
          <w:rFonts w:ascii="Times New Roman" w:hAnsi="Times New Roman"/>
          <w:sz w:val="24"/>
          <w:szCs w:val="24"/>
        </w:rPr>
        <w:t>.</w:t>
      </w:r>
      <w:r w:rsidRPr="00771368">
        <w:rPr>
          <w:rFonts w:ascii="Times New Roman" w:hAnsi="Times New Roman"/>
          <w:iCs/>
          <w:sz w:val="24"/>
          <w:szCs w:val="24"/>
        </w:rPr>
        <w:t xml:space="preserve"> </w:t>
      </w:r>
    </w:p>
    <w:p w:rsidR="00D24E61" w:rsidRPr="00771368" w:rsidRDefault="00D24E61" w:rsidP="00D24E61">
      <w:pPr>
        <w:pStyle w:val="Textodenotaderodap"/>
        <w:spacing w:line="360" w:lineRule="auto"/>
        <w:ind w:firstLine="708"/>
        <w:rPr>
          <w:rFonts w:ascii="Times New Roman" w:hAnsi="Times New Roman"/>
          <w:sz w:val="24"/>
          <w:szCs w:val="24"/>
        </w:rPr>
      </w:pPr>
    </w:p>
    <w:p w:rsidR="00D24E61" w:rsidRPr="00771368" w:rsidRDefault="00D24E61" w:rsidP="00D24E61">
      <w:pPr>
        <w:pStyle w:val="Textodenotaderodap"/>
        <w:spacing w:line="360" w:lineRule="auto"/>
        <w:rPr>
          <w:rFonts w:ascii="Times New Roman" w:hAnsi="Times New Roman"/>
          <w:b/>
          <w:sz w:val="24"/>
          <w:szCs w:val="24"/>
        </w:rPr>
      </w:pPr>
      <w:r w:rsidRPr="00771368">
        <w:rPr>
          <w:rFonts w:ascii="Times New Roman" w:hAnsi="Times New Roman"/>
          <w:b/>
          <w:sz w:val="24"/>
          <w:szCs w:val="24"/>
        </w:rPr>
        <w:t>CONCLUSÃO</w:t>
      </w:r>
    </w:p>
    <w:p w:rsidR="00D24E61" w:rsidRPr="00771368" w:rsidRDefault="00D24E61" w:rsidP="00D24E61">
      <w:pPr>
        <w:spacing w:line="360" w:lineRule="auto"/>
        <w:ind w:firstLine="708"/>
        <w:jc w:val="both"/>
        <w:rPr>
          <w:sz w:val="24"/>
          <w:szCs w:val="24"/>
        </w:rPr>
      </w:pPr>
    </w:p>
    <w:p w:rsidR="00D24E61" w:rsidRPr="00771368" w:rsidRDefault="00D24E61" w:rsidP="00D24E61">
      <w:pPr>
        <w:pStyle w:val="Textodenotaderodap"/>
        <w:spacing w:line="360" w:lineRule="auto"/>
        <w:ind w:firstLine="708"/>
        <w:rPr>
          <w:rFonts w:ascii="Times New Roman" w:hAnsi="Times New Roman"/>
          <w:sz w:val="22"/>
          <w:szCs w:val="22"/>
        </w:rPr>
      </w:pPr>
      <w:r w:rsidRPr="00771368">
        <w:rPr>
          <w:rFonts w:ascii="Times New Roman" w:hAnsi="Times New Roman"/>
          <w:i/>
          <w:sz w:val="24"/>
          <w:szCs w:val="24"/>
        </w:rPr>
        <w:t>E</w:t>
      </w:r>
      <w:r w:rsidRPr="00771368">
        <w:rPr>
          <w:rFonts w:ascii="Times New Roman" w:hAnsi="Times New Roman"/>
          <w:sz w:val="24"/>
          <w:szCs w:val="24"/>
        </w:rPr>
        <w:t xml:space="preserve">studantes </w:t>
      </w:r>
      <w:r w:rsidRPr="00771368">
        <w:rPr>
          <w:rFonts w:ascii="Times New Roman" w:hAnsi="Times New Roman"/>
          <w:i/>
          <w:sz w:val="24"/>
          <w:szCs w:val="24"/>
        </w:rPr>
        <w:t>T</w:t>
      </w:r>
      <w:r w:rsidRPr="00771368">
        <w:rPr>
          <w:rFonts w:ascii="Times New Roman" w:hAnsi="Times New Roman"/>
          <w:sz w:val="24"/>
          <w:szCs w:val="24"/>
        </w:rPr>
        <w:t>rans – “E.T.”, não passam incólumes ao processo de generificação ao arquitetarem seus corpos de acordo com a sua identidade de gênero e são vítimas constantes do processo colonizador de heteronormatização compulsória através de um conjunto de estratégias sistematizadas e que se manifestam através da “</w:t>
      </w:r>
      <w:r w:rsidRPr="00771368">
        <w:rPr>
          <w:rFonts w:ascii="Times New Roman" w:hAnsi="Times New Roman"/>
          <w:i/>
          <w:sz w:val="22"/>
          <w:szCs w:val="22"/>
        </w:rPr>
        <w:t>Trans</w:t>
      </w:r>
      <w:r w:rsidRPr="00771368">
        <w:rPr>
          <w:rFonts w:ascii="Times New Roman" w:hAnsi="Times New Roman"/>
          <w:sz w:val="22"/>
          <w:szCs w:val="22"/>
        </w:rPr>
        <w:t>fobia pedagógica”.</w:t>
      </w:r>
    </w:p>
    <w:p w:rsidR="00D24E61" w:rsidRPr="00771368" w:rsidRDefault="00D24E61" w:rsidP="00D24E61">
      <w:pPr>
        <w:spacing w:line="360" w:lineRule="auto"/>
        <w:ind w:firstLine="708"/>
        <w:jc w:val="both"/>
        <w:rPr>
          <w:sz w:val="24"/>
          <w:szCs w:val="24"/>
        </w:rPr>
      </w:pPr>
      <w:r w:rsidRPr="00771368">
        <w:rPr>
          <w:sz w:val="24"/>
          <w:szCs w:val="24"/>
        </w:rPr>
        <w:t xml:space="preserve"> A escola ao desconsiderar os graves efeitos de subjetivação produzidos pelas suas estratégias de invisibilidade e de discursos, literários, religiosos, éticos, biológicos, médicos e jurídicos, que (re)produzem identidades e diferenças, quando faz referência a identidade de gênero, torna utópica a possibilidade de atuação da escola como coadjuvante na promoção da cultura do respeito ao/a “E.T.” colocando-o/a em situações vexatórias de vulnerabilidade, obrigando-o/a a evadirem-se da escola, por não terem seus direitos básicos respeitados, sujeitando-o/a a informalidade ou situações degradantes de sobrevida, quando não conseguem colocação no mercado de trabalho pela desqualificação profissional, aliada ao preconceito e à discriminação. </w:t>
      </w:r>
    </w:p>
    <w:p w:rsidR="00D24E61" w:rsidRPr="00771368" w:rsidRDefault="00D24E61" w:rsidP="00D24E61">
      <w:pPr>
        <w:spacing w:line="360" w:lineRule="auto"/>
        <w:ind w:firstLine="708"/>
        <w:jc w:val="both"/>
        <w:rPr>
          <w:sz w:val="24"/>
          <w:szCs w:val="24"/>
        </w:rPr>
      </w:pPr>
      <w:r w:rsidRPr="00771368">
        <w:rPr>
          <w:sz w:val="24"/>
          <w:szCs w:val="24"/>
        </w:rPr>
        <w:t xml:space="preserve">A necessidade da adoção de atitudes positivas de enfrentamento à </w:t>
      </w:r>
      <w:r w:rsidRPr="00771368">
        <w:rPr>
          <w:i/>
          <w:sz w:val="24"/>
          <w:szCs w:val="24"/>
        </w:rPr>
        <w:t>Trans</w:t>
      </w:r>
      <w:r w:rsidRPr="00771368">
        <w:rPr>
          <w:sz w:val="24"/>
          <w:szCs w:val="24"/>
        </w:rPr>
        <w:t xml:space="preserve">fobia, através do estabelecimento escolar, prescinde da regulação intermediária entre o conjunto de signos, valores, condutas, códigos morais e éticos da comunidade escolar e os preceitos que regem a comportamento do/a “E.T.” que podem ser temporalmente alargados e múltiplos. Defendemos a ideia de que a gênese que mantém o equilíbrio nessa relação é o </w:t>
      </w:r>
      <w:r w:rsidRPr="00771368">
        <w:rPr>
          <w:i/>
          <w:sz w:val="24"/>
          <w:szCs w:val="24"/>
        </w:rPr>
        <w:t>respeito</w:t>
      </w:r>
      <w:r w:rsidRPr="00771368">
        <w:rPr>
          <w:sz w:val="24"/>
          <w:szCs w:val="24"/>
        </w:rPr>
        <w:t>.</w:t>
      </w:r>
    </w:p>
    <w:p w:rsidR="00D24E61" w:rsidRPr="00771368" w:rsidRDefault="00D24E61" w:rsidP="00D24E61">
      <w:pPr>
        <w:spacing w:line="360" w:lineRule="auto"/>
        <w:ind w:firstLine="708"/>
        <w:jc w:val="both"/>
        <w:rPr>
          <w:sz w:val="24"/>
          <w:szCs w:val="24"/>
        </w:rPr>
      </w:pPr>
      <w:r w:rsidRPr="00771368">
        <w:rPr>
          <w:sz w:val="24"/>
          <w:szCs w:val="24"/>
        </w:rPr>
        <w:t xml:space="preserve">Não pretendemos com esse discurso negar a (co)existência da(s) diferença(s), mas, o direito das pessoas serem diferentes e que essa diferença possa ser vista como algo que caracteriza a espécie </w:t>
      </w:r>
      <w:r w:rsidRPr="00771368">
        <w:rPr>
          <w:i/>
          <w:sz w:val="24"/>
          <w:szCs w:val="24"/>
        </w:rPr>
        <w:t>homo sapiens</w:t>
      </w:r>
      <w:r w:rsidRPr="00771368">
        <w:rPr>
          <w:sz w:val="24"/>
          <w:szCs w:val="24"/>
        </w:rPr>
        <w:t>, não simplesmente como algo a ser tolerado, uma vez que essa espécie de benevolência atribui aos sujeitos, com variáveis graus de preconceitos, uma dose de benignidade, pela compaixão que caridosamente destinam ao/à “E.T.” ao permitir a sua coexistência ˗ à margem é óbvio ˗ sem evidenciar a relação de poder que sustenta essa relação.</w:t>
      </w:r>
    </w:p>
    <w:p w:rsidR="00D24E61" w:rsidRPr="00771368" w:rsidRDefault="00D24E61" w:rsidP="00D24E61">
      <w:pPr>
        <w:spacing w:line="360" w:lineRule="auto"/>
        <w:ind w:firstLine="708"/>
        <w:jc w:val="both"/>
        <w:rPr>
          <w:sz w:val="24"/>
          <w:szCs w:val="24"/>
        </w:rPr>
      </w:pPr>
      <w:r w:rsidRPr="00771368">
        <w:rPr>
          <w:sz w:val="24"/>
          <w:szCs w:val="24"/>
        </w:rPr>
        <w:t xml:space="preserve">O que não podemos esquecer é de que esses atos de negativação se assemelham às distintas “navalhas” usadas no assassinato de Travestis, Transexuais e Transgêneros no Brasil, o que pode fazer de nós educadores/as, profissionais diplomados/as e especializados/as em empunhar distintas armas contra o/a “E.T.”. Com o intuito de transpor as barreiras da </w:t>
      </w:r>
      <w:r w:rsidRPr="00771368">
        <w:rPr>
          <w:i/>
          <w:sz w:val="24"/>
          <w:szCs w:val="24"/>
        </w:rPr>
        <w:t>Trans</w:t>
      </w:r>
      <w:r w:rsidRPr="00771368">
        <w:rPr>
          <w:sz w:val="24"/>
          <w:szCs w:val="24"/>
        </w:rPr>
        <w:t xml:space="preserve">fobia e evitar tal genocídio precisamos ter a consciência da multiplicidade de sexualidades existentes e que cada sujeito tem a sua forma de existir no mundo através da sua sexualidade e/ou erotismo e para isso carecemos pensar cotidianamente em estratégias educacionais e políticas públicas de combate e enfrentamento às diversas formas de assédio e opressão a que são submetidos/as os/as pessoas </w:t>
      </w:r>
      <w:r w:rsidRPr="00771368">
        <w:rPr>
          <w:i/>
          <w:sz w:val="24"/>
          <w:szCs w:val="24"/>
        </w:rPr>
        <w:t xml:space="preserve">Trans </w:t>
      </w:r>
      <w:r w:rsidRPr="00771368">
        <w:rPr>
          <w:sz w:val="24"/>
          <w:szCs w:val="24"/>
        </w:rPr>
        <w:t xml:space="preserve">na sociedade brasileira e nesse embate a escola tem papel de destaque no reconhecimento e valoração dos direitos. </w:t>
      </w:r>
    </w:p>
    <w:p w:rsidR="00D24E61" w:rsidRPr="00771368" w:rsidRDefault="00D24E61" w:rsidP="00D24E61">
      <w:pPr>
        <w:spacing w:line="360" w:lineRule="auto"/>
        <w:ind w:firstLine="708"/>
        <w:jc w:val="both"/>
        <w:rPr>
          <w:sz w:val="24"/>
          <w:szCs w:val="24"/>
        </w:rPr>
      </w:pPr>
      <w:r w:rsidRPr="00771368">
        <w:rPr>
          <w:sz w:val="24"/>
          <w:szCs w:val="24"/>
        </w:rPr>
        <w:t xml:space="preserve">Nesse sentido defendemos a efetivação de programas continuados de contestação sobre temas como LGBTQIAfobia, sexualidades, discriminação, preconceito, identidade de gênero, violência de gênero etc., pautados não apenas na inclusão de professores/as, mas também de toda a comunidade escolar, de forma a evitar que o/a “E.T.” seja vítima da tirania e expulsão compulsória do processo de escolarização. Numa paráfrase a Foucault (2007) acreditamos, que, talvez a escola já começou a dar seus primeiros passos neste sentido, talvez ainda estejamos muito aquém desse propósito, talvez não cheguemos nunca a este objetivo e às vezes fica a dúvida se estamos ou não indo na direção adequada. </w:t>
      </w:r>
    </w:p>
    <w:p w:rsidR="00D24E61" w:rsidRPr="00771368" w:rsidRDefault="00D24E61" w:rsidP="00D24E61">
      <w:pPr>
        <w:pStyle w:val="Textodenotaderodap"/>
        <w:spacing w:line="360" w:lineRule="auto"/>
        <w:ind w:firstLine="708"/>
        <w:rPr>
          <w:rFonts w:ascii="Times New Roman" w:hAnsi="Times New Roman"/>
          <w:sz w:val="24"/>
          <w:szCs w:val="24"/>
        </w:rPr>
      </w:pPr>
    </w:p>
    <w:p w:rsidR="00D24E61" w:rsidRPr="00771368" w:rsidRDefault="00D24E61" w:rsidP="00D61223">
      <w:pPr>
        <w:spacing w:after="120"/>
        <w:rPr>
          <w:b/>
          <w:sz w:val="24"/>
          <w:szCs w:val="24"/>
        </w:rPr>
      </w:pPr>
      <w:r w:rsidRPr="00771368">
        <w:rPr>
          <w:b/>
          <w:sz w:val="24"/>
          <w:szCs w:val="24"/>
        </w:rPr>
        <w:t>REFERÊNCIAS</w:t>
      </w:r>
    </w:p>
    <w:p w:rsidR="00D24E61" w:rsidRPr="00771368" w:rsidRDefault="00D24E61" w:rsidP="00D61223">
      <w:pPr>
        <w:spacing w:after="120"/>
        <w:rPr>
          <w:sz w:val="24"/>
          <w:szCs w:val="24"/>
        </w:rPr>
      </w:pPr>
    </w:p>
    <w:p w:rsidR="00D24E61" w:rsidRPr="00771368" w:rsidRDefault="00D24E61" w:rsidP="00D61223">
      <w:pPr>
        <w:spacing w:after="120"/>
        <w:rPr>
          <w:sz w:val="24"/>
          <w:szCs w:val="24"/>
        </w:rPr>
      </w:pPr>
      <w:r w:rsidRPr="00771368">
        <w:rPr>
          <w:sz w:val="24"/>
          <w:szCs w:val="24"/>
        </w:rPr>
        <w:t xml:space="preserve">ABRAMOVAY, Miriam (Coord.). </w:t>
      </w:r>
      <w:r w:rsidRPr="00771368">
        <w:rPr>
          <w:b/>
          <w:sz w:val="24"/>
          <w:szCs w:val="24"/>
        </w:rPr>
        <w:t xml:space="preserve">Revelando tramas, descobrindo segredos: </w:t>
      </w:r>
      <w:r w:rsidRPr="00771368">
        <w:rPr>
          <w:sz w:val="24"/>
          <w:szCs w:val="24"/>
        </w:rPr>
        <w:t xml:space="preserve">violência e convivência nas escolas. Brasília: Rede de Informação Tecnológica Latino-Americana – RITLA, Secretaria de Estado de Educação do Distrito Federal - SEEDF, 2009. </w:t>
      </w:r>
    </w:p>
    <w:p w:rsidR="00D24E61" w:rsidRPr="00771368" w:rsidRDefault="00D24E61" w:rsidP="00D61223">
      <w:pPr>
        <w:spacing w:after="120"/>
        <w:rPr>
          <w:sz w:val="24"/>
          <w:szCs w:val="24"/>
        </w:rPr>
      </w:pPr>
      <w:r w:rsidRPr="00771368">
        <w:rPr>
          <w:sz w:val="24"/>
          <w:szCs w:val="24"/>
        </w:rPr>
        <w:t xml:space="preserve">ÀVILA, Simone. GROSSI, Miriam Pillar. “Maria, Maria João, João: reflexões sobre a transexperiência masculina”. </w:t>
      </w:r>
      <w:r w:rsidRPr="00771368">
        <w:rPr>
          <w:i/>
          <w:sz w:val="24"/>
          <w:szCs w:val="24"/>
        </w:rPr>
        <w:t>In</w:t>
      </w:r>
      <w:r w:rsidRPr="00771368">
        <w:rPr>
          <w:sz w:val="24"/>
          <w:szCs w:val="24"/>
        </w:rPr>
        <w:t xml:space="preserve">: Fazendo Gênero 9. Diásporas, Diversidades, Deslocamentos, </w:t>
      </w:r>
      <w:r w:rsidRPr="00771368">
        <w:rPr>
          <w:b/>
          <w:sz w:val="24"/>
          <w:szCs w:val="24"/>
        </w:rPr>
        <w:t>Anais</w:t>
      </w:r>
      <w:r w:rsidRPr="00771368">
        <w:rPr>
          <w:sz w:val="24"/>
          <w:szCs w:val="24"/>
        </w:rPr>
        <w:t xml:space="preserve">...23 a 26 de agosto de 2010, p. 01-10. </w:t>
      </w:r>
    </w:p>
    <w:p w:rsidR="00D24E61" w:rsidRPr="00771368" w:rsidRDefault="00D24E61" w:rsidP="00D61223">
      <w:pPr>
        <w:spacing w:after="120"/>
        <w:rPr>
          <w:sz w:val="24"/>
          <w:szCs w:val="24"/>
        </w:rPr>
      </w:pPr>
      <w:r w:rsidRPr="00771368">
        <w:rPr>
          <w:sz w:val="24"/>
          <w:szCs w:val="24"/>
        </w:rPr>
        <w:t xml:space="preserve">BEAUVOIR, Simone. </w:t>
      </w:r>
      <w:r w:rsidRPr="00771368">
        <w:rPr>
          <w:b/>
          <w:sz w:val="24"/>
          <w:szCs w:val="24"/>
        </w:rPr>
        <w:t>O segundo sexo</w:t>
      </w:r>
      <w:r w:rsidRPr="00771368">
        <w:rPr>
          <w:sz w:val="24"/>
          <w:szCs w:val="24"/>
        </w:rPr>
        <w:t>. Rio de Janeiro: Nova Fronteira, 1980.</w:t>
      </w:r>
    </w:p>
    <w:p w:rsidR="00D24E61" w:rsidRPr="00771368" w:rsidRDefault="00D24E61" w:rsidP="00D61223">
      <w:pPr>
        <w:spacing w:after="120"/>
        <w:rPr>
          <w:sz w:val="24"/>
          <w:szCs w:val="24"/>
        </w:rPr>
      </w:pPr>
      <w:r w:rsidRPr="00771368">
        <w:rPr>
          <w:sz w:val="24"/>
          <w:szCs w:val="24"/>
        </w:rPr>
        <w:t xml:space="preserve">BENTO, Berenice. Na escola se aprende que a diferença faz a diferença. </w:t>
      </w:r>
      <w:r w:rsidRPr="00771368">
        <w:rPr>
          <w:b/>
          <w:sz w:val="24"/>
          <w:szCs w:val="24"/>
        </w:rPr>
        <w:t>Estudos Feministas</w:t>
      </w:r>
      <w:r w:rsidRPr="00771368">
        <w:rPr>
          <w:sz w:val="24"/>
          <w:szCs w:val="24"/>
        </w:rPr>
        <w:t xml:space="preserve">, Florianópolis, mai./ago. 2011, p. 549-559. </w:t>
      </w:r>
    </w:p>
    <w:p w:rsidR="00D24E61" w:rsidRPr="00771368" w:rsidRDefault="00D24E61" w:rsidP="00D61223">
      <w:pPr>
        <w:spacing w:after="120"/>
        <w:rPr>
          <w:sz w:val="24"/>
          <w:szCs w:val="24"/>
        </w:rPr>
      </w:pPr>
      <w:r w:rsidRPr="00771368">
        <w:rPr>
          <w:sz w:val="24"/>
          <w:szCs w:val="24"/>
        </w:rPr>
        <w:t xml:space="preserve">BERGESCH, Vanessa. CHEMIN, Beatris Francisca. A cirurgia de transgenitalização e a concretização dos direitos fundamentais constitucionais. </w:t>
      </w:r>
      <w:r w:rsidRPr="00771368">
        <w:rPr>
          <w:b/>
          <w:sz w:val="24"/>
          <w:szCs w:val="24"/>
        </w:rPr>
        <w:t>Revista Destaques Acadêmicos</w:t>
      </w:r>
      <w:r w:rsidRPr="00771368">
        <w:rPr>
          <w:sz w:val="24"/>
          <w:szCs w:val="24"/>
        </w:rPr>
        <w:t xml:space="preserve">, a. 1, n. 2, 2009, p. 7-18. </w:t>
      </w:r>
    </w:p>
    <w:p w:rsidR="00D24E61" w:rsidRPr="00771368" w:rsidRDefault="00D24E61" w:rsidP="00D61223">
      <w:pPr>
        <w:spacing w:after="120"/>
        <w:rPr>
          <w:sz w:val="24"/>
          <w:szCs w:val="24"/>
        </w:rPr>
      </w:pPr>
      <w:r w:rsidRPr="00771368">
        <w:rPr>
          <w:sz w:val="24"/>
          <w:szCs w:val="24"/>
        </w:rPr>
        <w:t xml:space="preserve">BOHM, Alessandra Maria. </w:t>
      </w:r>
      <w:r w:rsidRPr="00771368">
        <w:rPr>
          <w:b/>
          <w:sz w:val="24"/>
          <w:szCs w:val="24"/>
        </w:rPr>
        <w:t>Os “monstros” e a escola</w:t>
      </w:r>
      <w:r w:rsidRPr="00771368">
        <w:rPr>
          <w:sz w:val="24"/>
          <w:szCs w:val="24"/>
        </w:rPr>
        <w:t xml:space="preserve">: identidade e escolaridade de sujeitos travestis. 2009. 103 f. Dissertação (Mestrado), Universidade Federal do Rio Grande do Sul – Programa de Pós Graduação em Educação, Porto Alegre, 2009. </w:t>
      </w:r>
    </w:p>
    <w:p w:rsidR="00D24E61" w:rsidRPr="00771368" w:rsidRDefault="00D24E61" w:rsidP="00D61223">
      <w:pPr>
        <w:spacing w:after="120"/>
        <w:rPr>
          <w:sz w:val="24"/>
          <w:szCs w:val="24"/>
        </w:rPr>
      </w:pPr>
      <w:r w:rsidRPr="00771368">
        <w:rPr>
          <w:sz w:val="24"/>
          <w:szCs w:val="24"/>
        </w:rPr>
        <w:t xml:space="preserve">BORGES, Zulmira Newlands. PASSAMANI, Guilherme Rodrigues. </w:t>
      </w:r>
      <w:r w:rsidRPr="00771368">
        <w:rPr>
          <w:sz w:val="24"/>
          <w:szCs w:val="24"/>
          <w:lang w:val="en-US"/>
        </w:rPr>
        <w:t xml:space="preserve">OHLWEILER, Mariane Inês. BULSING, Muriel. </w:t>
      </w:r>
      <w:r w:rsidRPr="00771368">
        <w:rPr>
          <w:sz w:val="24"/>
          <w:szCs w:val="24"/>
        </w:rPr>
        <w:t xml:space="preserve">Percepção de professoras de ensino médio e fundamental sobre a homofobia na escola em Santa Maria (Rio Grande do Sul / Brasil). </w:t>
      </w:r>
      <w:r w:rsidRPr="00771368">
        <w:rPr>
          <w:b/>
          <w:sz w:val="24"/>
          <w:szCs w:val="24"/>
        </w:rPr>
        <w:t>Educar em Revista</w:t>
      </w:r>
      <w:r w:rsidRPr="00771368">
        <w:rPr>
          <w:sz w:val="24"/>
          <w:szCs w:val="24"/>
        </w:rPr>
        <w:t xml:space="preserve">, Curitiba: UFPR, n. 39, jan./abr. 2011, p. 21-38. </w:t>
      </w:r>
    </w:p>
    <w:p w:rsidR="00D24E61" w:rsidRPr="00771368" w:rsidRDefault="00D24E61" w:rsidP="00D61223">
      <w:pPr>
        <w:spacing w:after="120"/>
        <w:rPr>
          <w:sz w:val="24"/>
          <w:szCs w:val="24"/>
        </w:rPr>
      </w:pPr>
      <w:r w:rsidRPr="00771368">
        <w:rPr>
          <w:sz w:val="24"/>
          <w:szCs w:val="24"/>
        </w:rPr>
        <w:t xml:space="preserve">BORTOLINI, Alexandre. </w:t>
      </w:r>
      <w:r w:rsidRPr="00771368">
        <w:rPr>
          <w:b/>
          <w:sz w:val="24"/>
          <w:szCs w:val="24"/>
        </w:rPr>
        <w:t>Diversidade sexual na escola</w:t>
      </w:r>
      <w:r w:rsidRPr="00771368">
        <w:rPr>
          <w:sz w:val="24"/>
          <w:szCs w:val="24"/>
        </w:rPr>
        <w:t>. 1ª edição – Rio de Janeiro: Pró-Reitoria de Extensão/UFRJ, 2008a.</w:t>
      </w:r>
    </w:p>
    <w:p w:rsidR="00D24E61" w:rsidRPr="00771368" w:rsidRDefault="00D24E61" w:rsidP="00D61223">
      <w:pPr>
        <w:spacing w:after="120"/>
        <w:rPr>
          <w:sz w:val="24"/>
          <w:szCs w:val="24"/>
        </w:rPr>
      </w:pPr>
      <w:r w:rsidRPr="00771368">
        <w:rPr>
          <w:sz w:val="24"/>
          <w:szCs w:val="24"/>
        </w:rPr>
        <w:t xml:space="preserve">BRAGA, Eliane Rose Maio. Orientação sexual escolar: a necessidade do estudo no curso de Pedagogia. </w:t>
      </w:r>
      <w:r w:rsidRPr="00771368">
        <w:rPr>
          <w:i/>
          <w:sz w:val="24"/>
          <w:szCs w:val="24"/>
        </w:rPr>
        <w:t xml:space="preserve">In: </w:t>
      </w:r>
      <w:r w:rsidRPr="00771368">
        <w:rPr>
          <w:sz w:val="24"/>
          <w:szCs w:val="24"/>
        </w:rPr>
        <w:t xml:space="preserve">RODRIGUES, Elaine. ROSIN, Sheila Maria. </w:t>
      </w:r>
      <w:r w:rsidRPr="00771368">
        <w:rPr>
          <w:b/>
          <w:sz w:val="24"/>
          <w:szCs w:val="24"/>
        </w:rPr>
        <w:t>Pedagogia 35 anos:</w:t>
      </w:r>
      <w:r w:rsidRPr="00771368">
        <w:rPr>
          <w:sz w:val="24"/>
          <w:szCs w:val="24"/>
        </w:rPr>
        <w:t xml:space="preserve"> história e memória. Maringá: EDUEM, 2009, p. 265-282. </w:t>
      </w:r>
    </w:p>
    <w:p w:rsidR="00D24E61" w:rsidRPr="00771368" w:rsidRDefault="00D24E61" w:rsidP="00D61223">
      <w:pPr>
        <w:spacing w:after="120"/>
        <w:rPr>
          <w:sz w:val="24"/>
          <w:szCs w:val="24"/>
        </w:rPr>
      </w:pPr>
      <w:r w:rsidRPr="00771368">
        <w:rPr>
          <w:sz w:val="24"/>
          <w:szCs w:val="24"/>
        </w:rPr>
        <w:t xml:space="preserve">______. Diversidade Sexual: questões pedagógicas. </w:t>
      </w:r>
      <w:r w:rsidRPr="00771368">
        <w:rPr>
          <w:i/>
          <w:sz w:val="24"/>
          <w:szCs w:val="24"/>
        </w:rPr>
        <w:t>In</w:t>
      </w:r>
      <w:r w:rsidRPr="00771368">
        <w:rPr>
          <w:sz w:val="24"/>
          <w:szCs w:val="24"/>
        </w:rPr>
        <w:t xml:space="preserve">: SILVA, Henrique Manoel da. CELÓRIO, José Aparecido. SILVA, Márcia Cristina Amaral da. </w:t>
      </w:r>
      <w:r w:rsidRPr="00771368">
        <w:rPr>
          <w:b/>
          <w:sz w:val="24"/>
          <w:szCs w:val="24"/>
        </w:rPr>
        <w:t xml:space="preserve">Saberes e sabores da Educação. </w:t>
      </w:r>
      <w:r w:rsidRPr="00771368">
        <w:rPr>
          <w:sz w:val="24"/>
          <w:szCs w:val="24"/>
        </w:rPr>
        <w:t>Maringá: EDUEM, 2010, p. 49-58.</w:t>
      </w:r>
    </w:p>
    <w:p w:rsidR="00D24E61" w:rsidRPr="00771368" w:rsidRDefault="00D24E61" w:rsidP="00D61223">
      <w:pPr>
        <w:spacing w:after="120"/>
        <w:rPr>
          <w:sz w:val="24"/>
          <w:szCs w:val="24"/>
        </w:rPr>
      </w:pPr>
      <w:r w:rsidRPr="00771368">
        <w:rPr>
          <w:sz w:val="24"/>
          <w:szCs w:val="24"/>
        </w:rPr>
        <w:t xml:space="preserve">BRASIL. </w:t>
      </w:r>
      <w:r w:rsidRPr="00771368">
        <w:rPr>
          <w:b/>
          <w:sz w:val="24"/>
          <w:szCs w:val="24"/>
        </w:rPr>
        <w:t>Gênero e diversidade na escola</w:t>
      </w:r>
      <w:r w:rsidRPr="00771368">
        <w:rPr>
          <w:sz w:val="24"/>
          <w:szCs w:val="24"/>
        </w:rPr>
        <w:t>: formação de professoras/es em Gênero, Orientação Sexual e Relações Étnico-Raciais. Livro de conteúdo. v.1, versão 2009.  Rio de Janeiro: CEPESC; Brasília: SPM, 2009.</w:t>
      </w:r>
    </w:p>
    <w:p w:rsidR="00D24E61" w:rsidRPr="00771368" w:rsidRDefault="00D24E61" w:rsidP="00D61223">
      <w:pPr>
        <w:spacing w:after="120"/>
        <w:rPr>
          <w:sz w:val="24"/>
          <w:szCs w:val="24"/>
        </w:rPr>
      </w:pPr>
      <w:r w:rsidRPr="00771368">
        <w:rPr>
          <w:sz w:val="24"/>
          <w:szCs w:val="24"/>
        </w:rPr>
        <w:t xml:space="preserve">______. Ministério da Saúde, Secretaria de Vigilância em Saúde. Departamento de DST, AIDS e Hepatites Virais. </w:t>
      </w:r>
      <w:r w:rsidRPr="00771368">
        <w:rPr>
          <w:b/>
          <w:sz w:val="24"/>
          <w:szCs w:val="24"/>
        </w:rPr>
        <w:t>Adolescentes e jovens para uma educação entre pares</w:t>
      </w:r>
      <w:r w:rsidRPr="00771368">
        <w:rPr>
          <w:sz w:val="24"/>
          <w:szCs w:val="24"/>
        </w:rPr>
        <w:t>: diversidades sexuais. Brasília: Ministério da Saúde, v. 8, 2011a.</w:t>
      </w:r>
    </w:p>
    <w:p w:rsidR="00D24E61" w:rsidRPr="00771368" w:rsidRDefault="00D24E61" w:rsidP="00D61223">
      <w:pPr>
        <w:spacing w:after="120"/>
        <w:rPr>
          <w:sz w:val="24"/>
          <w:szCs w:val="24"/>
        </w:rPr>
      </w:pPr>
      <w:r w:rsidRPr="00771368">
        <w:rPr>
          <w:sz w:val="24"/>
          <w:szCs w:val="24"/>
        </w:rPr>
        <w:t xml:space="preserve">______. Ministério da Saúde, Secretaria de Vigilância em Saúde. Departamento de DST, AIDS e Hepatites Virais. </w:t>
      </w:r>
      <w:r w:rsidRPr="00771368">
        <w:rPr>
          <w:b/>
          <w:sz w:val="24"/>
          <w:szCs w:val="24"/>
        </w:rPr>
        <w:t>Adolescentes e jovens para uma educação entre pares</w:t>
      </w:r>
      <w:r w:rsidRPr="00771368">
        <w:rPr>
          <w:sz w:val="24"/>
          <w:szCs w:val="24"/>
        </w:rPr>
        <w:t>: gêneros. Brasília: Ministério da Saúde, v. 7, 2011b.</w:t>
      </w:r>
    </w:p>
    <w:p w:rsidR="00D24E61" w:rsidRPr="00771368" w:rsidRDefault="00D24E61" w:rsidP="00D61223">
      <w:pPr>
        <w:spacing w:after="120"/>
        <w:rPr>
          <w:sz w:val="24"/>
          <w:szCs w:val="24"/>
        </w:rPr>
      </w:pPr>
      <w:r w:rsidRPr="00771368">
        <w:rPr>
          <w:sz w:val="24"/>
          <w:szCs w:val="24"/>
        </w:rPr>
        <w:t xml:space="preserve">BUTLER, Judith. Corpos que pesam: sobre os limites discursivos do “sexo”. </w:t>
      </w:r>
      <w:r w:rsidRPr="00771368">
        <w:rPr>
          <w:i/>
          <w:sz w:val="24"/>
          <w:szCs w:val="24"/>
        </w:rPr>
        <w:t>In</w:t>
      </w:r>
      <w:r w:rsidRPr="00771368">
        <w:rPr>
          <w:sz w:val="24"/>
          <w:szCs w:val="24"/>
        </w:rPr>
        <w:t xml:space="preserve">: LOURO, Guacira Lopes (Org.). </w:t>
      </w:r>
      <w:r w:rsidRPr="00771368">
        <w:rPr>
          <w:b/>
          <w:sz w:val="24"/>
          <w:szCs w:val="24"/>
        </w:rPr>
        <w:t>O corpo educado</w:t>
      </w:r>
      <w:r w:rsidRPr="00771368">
        <w:rPr>
          <w:sz w:val="24"/>
          <w:szCs w:val="24"/>
        </w:rPr>
        <w:t>. Tradução: Tomaz Tadeu da Silva. 3. ed. Belo Horizonte: Autêntica, 2010, p. 151-172.</w:t>
      </w:r>
    </w:p>
    <w:p w:rsidR="00D24E61" w:rsidRPr="00771368" w:rsidRDefault="00D24E61" w:rsidP="00D61223">
      <w:pPr>
        <w:spacing w:after="120"/>
        <w:rPr>
          <w:sz w:val="24"/>
          <w:szCs w:val="24"/>
        </w:rPr>
      </w:pPr>
      <w:r w:rsidRPr="00771368">
        <w:rPr>
          <w:sz w:val="24"/>
          <w:szCs w:val="24"/>
        </w:rPr>
        <w:t xml:space="preserve">CÉSAR, Maria Rita de Assis. Gênero, sexualidade e educação: notas para uma “Epistemologia”. </w:t>
      </w:r>
      <w:r w:rsidRPr="00771368">
        <w:rPr>
          <w:b/>
          <w:sz w:val="24"/>
          <w:szCs w:val="24"/>
        </w:rPr>
        <w:t>Educar</w:t>
      </w:r>
      <w:r w:rsidRPr="00771368">
        <w:rPr>
          <w:sz w:val="24"/>
          <w:szCs w:val="24"/>
        </w:rPr>
        <w:t>, n. 35, Curitiba: Editora UFPR, 2009, p. 37-51.</w:t>
      </w:r>
    </w:p>
    <w:p w:rsidR="00D24E61" w:rsidRPr="00771368" w:rsidRDefault="00D24E61" w:rsidP="00D61223">
      <w:pPr>
        <w:spacing w:after="120"/>
        <w:rPr>
          <w:sz w:val="24"/>
          <w:szCs w:val="24"/>
        </w:rPr>
      </w:pPr>
      <w:r w:rsidRPr="00771368">
        <w:rPr>
          <w:sz w:val="24"/>
          <w:szCs w:val="24"/>
        </w:rPr>
        <w:t xml:space="preserve">DINIS, Nilson Fernandes. Homofobia e educação: quando a omissão também é signo de violência. </w:t>
      </w:r>
      <w:r w:rsidRPr="00771368">
        <w:rPr>
          <w:b/>
          <w:sz w:val="24"/>
          <w:szCs w:val="24"/>
        </w:rPr>
        <w:t>Educar em Revista</w:t>
      </w:r>
      <w:r w:rsidRPr="00771368">
        <w:rPr>
          <w:sz w:val="24"/>
          <w:szCs w:val="24"/>
        </w:rPr>
        <w:t>, n. 39, jan./abr. Curitiba: Editora UFPR, 2011, p. 39-50.</w:t>
      </w:r>
    </w:p>
    <w:p w:rsidR="00D24E61" w:rsidRPr="00771368" w:rsidRDefault="00D24E61" w:rsidP="00D61223">
      <w:pPr>
        <w:spacing w:after="120"/>
        <w:rPr>
          <w:sz w:val="24"/>
          <w:szCs w:val="24"/>
        </w:rPr>
      </w:pPr>
      <w:r w:rsidRPr="00771368">
        <w:rPr>
          <w:sz w:val="24"/>
          <w:szCs w:val="24"/>
        </w:rPr>
        <w:t xml:space="preserve">DUARTE, Marco José de Oliveira. Políticas Públicas para a população de Lésbicas, </w:t>
      </w:r>
      <w:r w:rsidRPr="00771368">
        <w:rPr>
          <w:i/>
          <w:sz w:val="24"/>
          <w:szCs w:val="24"/>
        </w:rPr>
        <w:t>Gays</w:t>
      </w:r>
      <w:r w:rsidRPr="00771368">
        <w:rPr>
          <w:sz w:val="24"/>
          <w:szCs w:val="24"/>
        </w:rPr>
        <w:t xml:space="preserve">, Travestis e Transexuais (LGBT): uma questão de Direitos Humanos e de Cidadania. </w:t>
      </w:r>
      <w:r w:rsidRPr="00771368">
        <w:rPr>
          <w:b/>
          <w:sz w:val="24"/>
          <w:szCs w:val="24"/>
        </w:rPr>
        <w:t>Advir</w:t>
      </w:r>
      <w:r w:rsidRPr="00771368">
        <w:rPr>
          <w:sz w:val="24"/>
          <w:szCs w:val="24"/>
        </w:rPr>
        <w:t xml:space="preserve">, Rio de Janeiro: Aduesrj, julho 2012, p. 92-99. </w:t>
      </w:r>
    </w:p>
    <w:p w:rsidR="00D24E61" w:rsidRPr="00771368" w:rsidRDefault="00D24E61" w:rsidP="00D61223">
      <w:pPr>
        <w:spacing w:after="120"/>
        <w:rPr>
          <w:sz w:val="24"/>
          <w:szCs w:val="24"/>
        </w:rPr>
      </w:pPr>
      <w:r w:rsidRPr="00771368">
        <w:rPr>
          <w:sz w:val="24"/>
          <w:szCs w:val="24"/>
        </w:rPr>
        <w:t xml:space="preserve">FERRARI, Anderson. </w:t>
      </w:r>
      <w:r w:rsidRPr="00771368">
        <w:rPr>
          <w:b/>
          <w:sz w:val="24"/>
          <w:szCs w:val="24"/>
        </w:rPr>
        <w:t>O quê se fala e o quê se cala sobre o homoerotismo masculino</w:t>
      </w:r>
      <w:r w:rsidRPr="00771368">
        <w:rPr>
          <w:sz w:val="24"/>
          <w:szCs w:val="24"/>
        </w:rPr>
        <w:t>: discursos, práticas e posturas dos professores diante do fato e do assunto. Anped, GT Sociologia da Educação, 2000. Disponível em &lt;http://www.anped.org.br/reunioes/23/textos/1412t.PDF&gt;. Acesso em: 17 de jan. de 2013.</w:t>
      </w:r>
    </w:p>
    <w:p w:rsidR="00D24E61" w:rsidRPr="00771368" w:rsidRDefault="00D24E61" w:rsidP="00D61223">
      <w:pPr>
        <w:spacing w:after="120"/>
        <w:rPr>
          <w:sz w:val="24"/>
          <w:szCs w:val="24"/>
        </w:rPr>
      </w:pPr>
      <w:r w:rsidRPr="00771368">
        <w:rPr>
          <w:sz w:val="24"/>
          <w:szCs w:val="24"/>
        </w:rPr>
        <w:t xml:space="preserve">______. Reflexões Sobre a Homofobia na Escola. </w:t>
      </w:r>
      <w:r w:rsidRPr="00771368">
        <w:rPr>
          <w:i/>
          <w:sz w:val="24"/>
          <w:szCs w:val="24"/>
        </w:rPr>
        <w:t>In</w:t>
      </w:r>
      <w:r w:rsidRPr="00771368">
        <w:rPr>
          <w:sz w:val="24"/>
          <w:szCs w:val="24"/>
        </w:rPr>
        <w:t xml:space="preserve">: CASAGRANDE, Lindamir S. LUZ, Nanci Stancki da. CARVALHO, Maria Gomes de (Orgs.). </w:t>
      </w:r>
      <w:r w:rsidRPr="00771368">
        <w:rPr>
          <w:b/>
          <w:sz w:val="24"/>
          <w:szCs w:val="24"/>
        </w:rPr>
        <w:t>Igualdade na diversidade</w:t>
      </w:r>
      <w:r w:rsidRPr="00771368">
        <w:rPr>
          <w:sz w:val="24"/>
          <w:szCs w:val="24"/>
        </w:rPr>
        <w:t xml:space="preserve">: enfrentando o sexismo e a homofobia. 1. ed. Curitiba: Ed. UTFPR, 2011, p. 69-89. </w:t>
      </w:r>
    </w:p>
    <w:p w:rsidR="00D24E61" w:rsidRPr="00771368" w:rsidRDefault="00D24E61" w:rsidP="00D61223">
      <w:pPr>
        <w:spacing w:after="120"/>
        <w:rPr>
          <w:sz w:val="24"/>
          <w:szCs w:val="24"/>
        </w:rPr>
      </w:pPr>
      <w:r w:rsidRPr="00771368">
        <w:rPr>
          <w:sz w:val="24"/>
          <w:szCs w:val="24"/>
        </w:rPr>
        <w:t xml:space="preserve">FOUCAULT, Michel. </w:t>
      </w:r>
      <w:r w:rsidRPr="00771368">
        <w:rPr>
          <w:b/>
          <w:sz w:val="24"/>
          <w:szCs w:val="24"/>
        </w:rPr>
        <w:t>A ordem do discurso</w:t>
      </w:r>
      <w:r w:rsidRPr="00771368">
        <w:rPr>
          <w:sz w:val="24"/>
          <w:szCs w:val="24"/>
        </w:rPr>
        <w:t>. 15. ed. São Paulo: Loyola, 2007.</w:t>
      </w:r>
    </w:p>
    <w:p w:rsidR="00D24E61" w:rsidRPr="00771368" w:rsidRDefault="00D24E61" w:rsidP="00D61223">
      <w:pPr>
        <w:spacing w:after="120"/>
        <w:rPr>
          <w:sz w:val="24"/>
          <w:szCs w:val="24"/>
        </w:rPr>
      </w:pPr>
      <w:r w:rsidRPr="00771368">
        <w:rPr>
          <w:sz w:val="24"/>
          <w:szCs w:val="24"/>
        </w:rPr>
        <w:t xml:space="preserve">FURLANI, Jimena. Encarar o desafio da educação sexual na escola. </w:t>
      </w:r>
      <w:r w:rsidRPr="00771368">
        <w:rPr>
          <w:i/>
          <w:sz w:val="24"/>
          <w:szCs w:val="24"/>
        </w:rPr>
        <w:t xml:space="preserve">In: </w:t>
      </w:r>
      <w:r w:rsidRPr="00771368">
        <w:rPr>
          <w:sz w:val="24"/>
          <w:szCs w:val="24"/>
        </w:rPr>
        <w:t xml:space="preserve">PARANÁ. Secretaria de Estado da Educação. Superintendência de Educação. Departamento de Diversidade. Núcleo de Gênero e Diversidade. </w:t>
      </w:r>
      <w:r w:rsidRPr="00771368">
        <w:rPr>
          <w:b/>
          <w:sz w:val="24"/>
          <w:szCs w:val="24"/>
        </w:rPr>
        <w:t xml:space="preserve">Sexualidade. </w:t>
      </w:r>
      <w:r w:rsidRPr="00771368">
        <w:rPr>
          <w:sz w:val="24"/>
          <w:szCs w:val="24"/>
        </w:rPr>
        <w:t xml:space="preserve">Curitiba: SEED. 2009c, p. 37-48. </w:t>
      </w:r>
    </w:p>
    <w:p w:rsidR="00D24E61" w:rsidRPr="00771368" w:rsidRDefault="00D24E61" w:rsidP="00D61223">
      <w:pPr>
        <w:spacing w:after="120"/>
        <w:rPr>
          <w:noProof/>
          <w:sz w:val="24"/>
          <w:szCs w:val="24"/>
        </w:rPr>
      </w:pPr>
      <w:r w:rsidRPr="00771368">
        <w:rPr>
          <w:sz w:val="24"/>
          <w:szCs w:val="24"/>
        </w:rPr>
        <w:t xml:space="preserve">GÓIS, João Bôsco Hora. SOLIVA, Thiago Barcelos. A violência contra gays em ambiente escolar. </w:t>
      </w:r>
      <w:r w:rsidRPr="00771368">
        <w:rPr>
          <w:b/>
          <w:sz w:val="24"/>
          <w:szCs w:val="24"/>
        </w:rPr>
        <w:t>Revista Espaço Acadêmico</w:t>
      </w:r>
      <w:r w:rsidRPr="00771368">
        <w:rPr>
          <w:sz w:val="24"/>
          <w:szCs w:val="24"/>
        </w:rPr>
        <w:t>, n. 123. Agosto, 2011, p. 38-45.</w:t>
      </w:r>
      <w:r w:rsidRPr="00771368">
        <w:rPr>
          <w:noProof/>
          <w:sz w:val="24"/>
          <w:szCs w:val="24"/>
        </w:rPr>
        <w:t xml:space="preserve"> </w:t>
      </w:r>
    </w:p>
    <w:p w:rsidR="00D24E61" w:rsidRPr="00771368" w:rsidRDefault="00D24E61" w:rsidP="00D61223">
      <w:pPr>
        <w:spacing w:after="120"/>
        <w:rPr>
          <w:sz w:val="24"/>
          <w:szCs w:val="24"/>
        </w:rPr>
      </w:pPr>
      <w:r w:rsidRPr="00771368">
        <w:rPr>
          <w:sz w:val="24"/>
          <w:szCs w:val="24"/>
        </w:rPr>
        <w:t xml:space="preserve">GREEN, Bill. BIGUM, Chris. Alienígenas na sala de aula. </w:t>
      </w:r>
      <w:r w:rsidRPr="00771368">
        <w:rPr>
          <w:i/>
          <w:sz w:val="24"/>
          <w:szCs w:val="24"/>
        </w:rPr>
        <w:t>In</w:t>
      </w:r>
      <w:r w:rsidRPr="00771368">
        <w:rPr>
          <w:sz w:val="24"/>
          <w:szCs w:val="24"/>
        </w:rPr>
        <w:t xml:space="preserve">: SILVA, Tomaz Tadeu da (Org). </w:t>
      </w:r>
      <w:r w:rsidRPr="00771368">
        <w:rPr>
          <w:b/>
          <w:sz w:val="24"/>
          <w:szCs w:val="24"/>
        </w:rPr>
        <w:t>Alienígenas na sala de aula</w:t>
      </w:r>
      <w:r w:rsidRPr="00771368">
        <w:rPr>
          <w:sz w:val="24"/>
          <w:szCs w:val="24"/>
        </w:rPr>
        <w:t>: uma introdução aos estudos culturais em educação. 5. ed. Petrópolis/RJ: Vozes, 1995, p. 208-243.</w:t>
      </w:r>
    </w:p>
    <w:p w:rsidR="00D24E61" w:rsidRPr="00771368" w:rsidRDefault="00D24E61" w:rsidP="00D61223">
      <w:pPr>
        <w:spacing w:after="120"/>
        <w:rPr>
          <w:rStyle w:val="Forte"/>
          <w:b w:val="0"/>
          <w:sz w:val="24"/>
          <w:szCs w:val="24"/>
        </w:rPr>
      </w:pPr>
      <w:r w:rsidRPr="00771368">
        <w:rPr>
          <w:sz w:val="24"/>
          <w:szCs w:val="24"/>
        </w:rPr>
        <w:t xml:space="preserve">GRUPO </w:t>
      </w:r>
      <w:r w:rsidRPr="00771368">
        <w:rPr>
          <w:i/>
          <w:sz w:val="24"/>
          <w:szCs w:val="24"/>
        </w:rPr>
        <w:t>Gay</w:t>
      </w:r>
      <w:r w:rsidRPr="00771368">
        <w:rPr>
          <w:sz w:val="24"/>
          <w:szCs w:val="24"/>
        </w:rPr>
        <w:t xml:space="preserve"> da Bahia. </w:t>
      </w:r>
      <w:r w:rsidRPr="00771368">
        <w:rPr>
          <w:rStyle w:val="Forte"/>
          <w:sz w:val="24"/>
          <w:szCs w:val="24"/>
        </w:rPr>
        <w:t>Epidemia do ódio</w:t>
      </w:r>
      <w:r w:rsidRPr="00771368">
        <w:rPr>
          <w:rStyle w:val="Forte"/>
          <w:b w:val="0"/>
          <w:sz w:val="24"/>
          <w:szCs w:val="24"/>
        </w:rPr>
        <w:t>. 2011. Disponível em &lt;</w:t>
      </w:r>
      <w:r w:rsidRPr="00771368">
        <w:rPr>
          <w:rStyle w:val="Forte"/>
          <w:b w:val="0"/>
          <w:bCs w:val="0"/>
          <w:sz w:val="24"/>
          <w:szCs w:val="24"/>
        </w:rPr>
        <w:t>http://www.ggb.org.br/Assassinatos%20de%20homossexuais%20no%20Brasil%20relatorio%20geral%20completo.html</w:t>
      </w:r>
      <w:r w:rsidRPr="00771368">
        <w:rPr>
          <w:rStyle w:val="Forte"/>
          <w:b w:val="0"/>
          <w:sz w:val="24"/>
          <w:szCs w:val="24"/>
        </w:rPr>
        <w:t xml:space="preserve">&gt;. Acesso em: 03 de jan. de 2012. </w:t>
      </w:r>
    </w:p>
    <w:p w:rsidR="00D24E61" w:rsidRPr="00771368" w:rsidRDefault="00D24E61" w:rsidP="00D61223">
      <w:pPr>
        <w:spacing w:after="120"/>
        <w:rPr>
          <w:sz w:val="24"/>
          <w:szCs w:val="24"/>
        </w:rPr>
      </w:pPr>
      <w:r w:rsidRPr="00771368">
        <w:rPr>
          <w:sz w:val="24"/>
          <w:szCs w:val="24"/>
        </w:rPr>
        <w:t xml:space="preserve">HALL, Stuart. </w:t>
      </w:r>
      <w:r w:rsidRPr="00771368">
        <w:rPr>
          <w:b/>
          <w:sz w:val="24"/>
          <w:szCs w:val="24"/>
        </w:rPr>
        <w:t>A Identidade Cultural na Pós Modernidade</w:t>
      </w:r>
      <w:r w:rsidRPr="00771368">
        <w:rPr>
          <w:sz w:val="24"/>
          <w:szCs w:val="24"/>
        </w:rPr>
        <w:t xml:space="preserve">. Tradução: Tomaz Tadeu da Silva; Guacira Lopes Louro. 11. ed. Rio de Janeiro, RJ: DP&amp;A, 2006. </w:t>
      </w:r>
    </w:p>
    <w:p w:rsidR="00D24E61" w:rsidRPr="00771368" w:rsidRDefault="00D24E61" w:rsidP="00D61223">
      <w:pPr>
        <w:spacing w:after="120"/>
        <w:rPr>
          <w:sz w:val="24"/>
          <w:szCs w:val="24"/>
        </w:rPr>
      </w:pPr>
      <w:r w:rsidRPr="00771368">
        <w:rPr>
          <w:sz w:val="24"/>
          <w:szCs w:val="24"/>
        </w:rPr>
        <w:t>______. Quem precisa da identidade?</w:t>
      </w:r>
      <w:r w:rsidRPr="00771368">
        <w:rPr>
          <w:b/>
          <w:sz w:val="24"/>
          <w:szCs w:val="24"/>
        </w:rPr>
        <w:t xml:space="preserve"> </w:t>
      </w:r>
      <w:r w:rsidRPr="00771368">
        <w:rPr>
          <w:i/>
          <w:sz w:val="24"/>
          <w:szCs w:val="24"/>
        </w:rPr>
        <w:t>In</w:t>
      </w:r>
      <w:r w:rsidRPr="00771368">
        <w:rPr>
          <w:sz w:val="24"/>
          <w:szCs w:val="24"/>
        </w:rPr>
        <w:t>: SILVA, Tomaz Tadeu da</w:t>
      </w:r>
      <w:r w:rsidRPr="00771368">
        <w:rPr>
          <w:b/>
          <w:sz w:val="24"/>
          <w:szCs w:val="24"/>
        </w:rPr>
        <w:t xml:space="preserve"> </w:t>
      </w:r>
      <w:r w:rsidRPr="00771368">
        <w:rPr>
          <w:sz w:val="24"/>
          <w:szCs w:val="24"/>
        </w:rPr>
        <w:t xml:space="preserve">(Org.). </w:t>
      </w:r>
      <w:r w:rsidRPr="00771368">
        <w:rPr>
          <w:b/>
          <w:sz w:val="24"/>
          <w:szCs w:val="24"/>
        </w:rPr>
        <w:t xml:space="preserve">Identidade e Diferença: </w:t>
      </w:r>
      <w:r w:rsidRPr="00771368">
        <w:rPr>
          <w:sz w:val="24"/>
          <w:szCs w:val="24"/>
        </w:rPr>
        <w:t>a Perspectiva dos Estudos Culturais. 7. ed. Petrópolis/RJ: Vozes, 2007, p. 103-133.</w:t>
      </w:r>
    </w:p>
    <w:p w:rsidR="00D24E61" w:rsidRPr="00771368" w:rsidRDefault="00D24E61" w:rsidP="00D61223">
      <w:pPr>
        <w:spacing w:after="120"/>
        <w:rPr>
          <w:sz w:val="24"/>
          <w:szCs w:val="24"/>
        </w:rPr>
      </w:pPr>
      <w:r w:rsidRPr="00771368">
        <w:rPr>
          <w:sz w:val="24"/>
          <w:szCs w:val="24"/>
        </w:rPr>
        <w:t xml:space="preserve">HARAWAY, Donna. “Gênero” pra um dicionário marxista: a política sexual de uma palavra. </w:t>
      </w:r>
      <w:r w:rsidRPr="00771368">
        <w:rPr>
          <w:b/>
          <w:sz w:val="24"/>
          <w:szCs w:val="24"/>
        </w:rPr>
        <w:t>Cadernos Pagu</w:t>
      </w:r>
      <w:r w:rsidRPr="00771368">
        <w:rPr>
          <w:sz w:val="24"/>
          <w:szCs w:val="24"/>
        </w:rPr>
        <w:t xml:space="preserve">, jun. 2004, n. 22, p. 201-2046. </w:t>
      </w:r>
    </w:p>
    <w:p w:rsidR="00D24E61" w:rsidRPr="00771368" w:rsidRDefault="00D24E61" w:rsidP="00D61223">
      <w:pPr>
        <w:spacing w:after="120"/>
        <w:rPr>
          <w:sz w:val="24"/>
          <w:szCs w:val="24"/>
        </w:rPr>
      </w:pPr>
      <w:r w:rsidRPr="00771368">
        <w:rPr>
          <w:sz w:val="24"/>
          <w:szCs w:val="24"/>
        </w:rPr>
        <w:t xml:space="preserve">JESUS, Beto de. RAMIRES, Lula. UNBEHAUM, Sandra. CAVASIN, Sylvia. </w:t>
      </w:r>
      <w:r w:rsidRPr="00771368">
        <w:rPr>
          <w:b/>
          <w:sz w:val="24"/>
          <w:szCs w:val="24"/>
        </w:rPr>
        <w:t>Diversidade Sexual na Escola</w:t>
      </w:r>
      <w:r w:rsidRPr="00771368">
        <w:rPr>
          <w:sz w:val="24"/>
          <w:szCs w:val="24"/>
        </w:rPr>
        <w:t>: uma metodologia de trabalho com adolescentes e jovens. São Paulo: Ecos, Corsa, 2006.</w:t>
      </w:r>
    </w:p>
    <w:p w:rsidR="00D24E61" w:rsidRPr="00771368" w:rsidRDefault="00D24E61" w:rsidP="00D61223">
      <w:pPr>
        <w:spacing w:after="120"/>
        <w:rPr>
          <w:sz w:val="24"/>
          <w:szCs w:val="24"/>
        </w:rPr>
      </w:pPr>
      <w:r w:rsidRPr="00771368">
        <w:rPr>
          <w:sz w:val="24"/>
          <w:szCs w:val="24"/>
        </w:rPr>
        <w:t>JUNQUEIRA, Rogério Diniz</w:t>
      </w:r>
      <w:r w:rsidRPr="00771368">
        <w:rPr>
          <w:b/>
          <w:sz w:val="24"/>
          <w:szCs w:val="24"/>
        </w:rPr>
        <w:t xml:space="preserve"> </w:t>
      </w:r>
      <w:r w:rsidRPr="00771368">
        <w:rPr>
          <w:sz w:val="24"/>
          <w:szCs w:val="24"/>
        </w:rPr>
        <w:t xml:space="preserve">O reconhecimento da diversidade sexual e a problematização da homofobia no contexto escolar. </w:t>
      </w:r>
      <w:r w:rsidRPr="00771368">
        <w:rPr>
          <w:i/>
          <w:sz w:val="24"/>
          <w:szCs w:val="24"/>
        </w:rPr>
        <w:t>In</w:t>
      </w:r>
      <w:r w:rsidRPr="00771368">
        <w:rPr>
          <w:sz w:val="24"/>
          <w:szCs w:val="24"/>
        </w:rPr>
        <w:t xml:space="preserve">: Seminário Corpo, Gênero e Sexualidade: discutindo práticas educativas. </w:t>
      </w:r>
      <w:r w:rsidRPr="00771368">
        <w:rPr>
          <w:b/>
          <w:sz w:val="24"/>
          <w:szCs w:val="24"/>
        </w:rPr>
        <w:t>Anais</w:t>
      </w:r>
      <w:r w:rsidRPr="00771368">
        <w:rPr>
          <w:sz w:val="24"/>
          <w:szCs w:val="24"/>
        </w:rPr>
        <w:t>... Rio Grande, RS: Ed. da FURG, 2007.</w:t>
      </w:r>
    </w:p>
    <w:p w:rsidR="00D24E61" w:rsidRPr="00771368" w:rsidRDefault="00D24E61" w:rsidP="00D61223">
      <w:pPr>
        <w:spacing w:after="120"/>
        <w:rPr>
          <w:sz w:val="24"/>
          <w:szCs w:val="24"/>
        </w:rPr>
      </w:pPr>
      <w:r w:rsidRPr="00771368">
        <w:rPr>
          <w:sz w:val="24"/>
          <w:szCs w:val="24"/>
        </w:rPr>
        <w:t xml:space="preserve">______. Homofobia nas escolas: um problema de todos. </w:t>
      </w:r>
      <w:r w:rsidRPr="00771368">
        <w:rPr>
          <w:i/>
          <w:sz w:val="24"/>
          <w:szCs w:val="24"/>
        </w:rPr>
        <w:t xml:space="preserve">In: </w:t>
      </w:r>
      <w:r w:rsidRPr="00771368">
        <w:rPr>
          <w:sz w:val="24"/>
          <w:szCs w:val="24"/>
        </w:rPr>
        <w:t xml:space="preserve">______ (Org.). </w:t>
      </w:r>
      <w:r w:rsidRPr="00771368">
        <w:rPr>
          <w:b/>
          <w:sz w:val="24"/>
          <w:szCs w:val="24"/>
        </w:rPr>
        <w:t>Diversidade Sexual na Educação</w:t>
      </w:r>
      <w:r w:rsidRPr="00771368">
        <w:rPr>
          <w:sz w:val="24"/>
          <w:szCs w:val="24"/>
        </w:rPr>
        <w:t xml:space="preserve">: problematizações sobre a homofobia nas escolas. Ministério da Educação: Secad/MEC. Brasília, 2009a, p. 13-52. </w:t>
      </w:r>
    </w:p>
    <w:p w:rsidR="00D24E61" w:rsidRPr="00771368" w:rsidRDefault="00D24E61" w:rsidP="00D61223">
      <w:pPr>
        <w:spacing w:after="120"/>
        <w:rPr>
          <w:sz w:val="24"/>
          <w:szCs w:val="24"/>
        </w:rPr>
      </w:pPr>
      <w:r w:rsidRPr="00771368">
        <w:rPr>
          <w:sz w:val="24"/>
          <w:szCs w:val="24"/>
        </w:rPr>
        <w:t xml:space="preserve">______. “Aqui não temos </w:t>
      </w:r>
      <w:r w:rsidRPr="00771368">
        <w:rPr>
          <w:i/>
          <w:sz w:val="24"/>
          <w:szCs w:val="24"/>
        </w:rPr>
        <w:t>gay</w:t>
      </w:r>
      <w:r w:rsidRPr="00771368">
        <w:rPr>
          <w:sz w:val="24"/>
          <w:szCs w:val="24"/>
        </w:rPr>
        <w:t xml:space="preserve">s nem lésbicas”: estratégias discursivas de agentes públicos ante medidas de promoção do reconhecimento da diversidade sexual nas escolas. </w:t>
      </w:r>
      <w:r w:rsidRPr="00771368">
        <w:rPr>
          <w:b/>
          <w:sz w:val="24"/>
          <w:szCs w:val="24"/>
        </w:rPr>
        <w:t>Bagoas.</w:t>
      </w:r>
      <w:r w:rsidRPr="00771368">
        <w:rPr>
          <w:sz w:val="24"/>
          <w:szCs w:val="24"/>
        </w:rPr>
        <w:t xml:space="preserve"> n. 04, p.171-190, 2009b. </w:t>
      </w:r>
    </w:p>
    <w:p w:rsidR="00D24E61" w:rsidRPr="00771368" w:rsidRDefault="00D24E61" w:rsidP="00D61223">
      <w:pPr>
        <w:spacing w:after="120"/>
        <w:rPr>
          <w:sz w:val="24"/>
          <w:szCs w:val="24"/>
        </w:rPr>
      </w:pPr>
      <w:r w:rsidRPr="00771368">
        <w:rPr>
          <w:sz w:val="24"/>
          <w:szCs w:val="24"/>
        </w:rPr>
        <w:t xml:space="preserve">______. A Pedagogia do Armário: heterossexismo e vigilância de gênero no cotidiano escolar. </w:t>
      </w:r>
      <w:r w:rsidRPr="00771368">
        <w:rPr>
          <w:b/>
          <w:sz w:val="24"/>
          <w:szCs w:val="24"/>
        </w:rPr>
        <w:t>Revista Educação</w:t>
      </w:r>
      <w:r w:rsidRPr="00771368">
        <w:rPr>
          <w:b/>
          <w:i/>
          <w:sz w:val="24"/>
          <w:szCs w:val="24"/>
        </w:rPr>
        <w:t xml:space="preserve"> On-line</w:t>
      </w:r>
      <w:r w:rsidRPr="00771368">
        <w:rPr>
          <w:b/>
          <w:sz w:val="24"/>
          <w:szCs w:val="24"/>
        </w:rPr>
        <w:t xml:space="preserve"> PUC</w:t>
      </w:r>
      <w:r w:rsidRPr="00771368">
        <w:rPr>
          <w:sz w:val="24"/>
          <w:szCs w:val="24"/>
        </w:rPr>
        <w:t xml:space="preserve">, Rio de Janeiro, n. 10, p. 64-83, 2012. </w:t>
      </w:r>
    </w:p>
    <w:p w:rsidR="00D24E61" w:rsidRPr="00771368" w:rsidRDefault="00D24E61" w:rsidP="00D61223">
      <w:pPr>
        <w:spacing w:after="120"/>
        <w:rPr>
          <w:sz w:val="24"/>
          <w:szCs w:val="24"/>
        </w:rPr>
      </w:pPr>
      <w:r w:rsidRPr="00771368">
        <w:rPr>
          <w:sz w:val="24"/>
          <w:szCs w:val="24"/>
        </w:rPr>
        <w:t xml:space="preserve">LIONÇO, Tatiana. DINIZ, Debora. Qual a diversidade sexual dos livros didáticos brasileiros? </w:t>
      </w:r>
      <w:r w:rsidRPr="00771368">
        <w:rPr>
          <w:i/>
          <w:sz w:val="24"/>
          <w:szCs w:val="24"/>
        </w:rPr>
        <w:t>In</w:t>
      </w:r>
      <w:r w:rsidRPr="00771368">
        <w:rPr>
          <w:sz w:val="24"/>
          <w:szCs w:val="24"/>
        </w:rPr>
        <w:t>: LIONÇO, Tatiana. DINIZ, Debora (Org.).</w:t>
      </w:r>
      <w:r w:rsidRPr="00771368">
        <w:rPr>
          <w:b/>
          <w:sz w:val="24"/>
          <w:szCs w:val="24"/>
        </w:rPr>
        <w:t xml:space="preserve"> Homofobia &amp; Educação</w:t>
      </w:r>
      <w:r w:rsidRPr="00771368">
        <w:rPr>
          <w:sz w:val="24"/>
          <w:szCs w:val="24"/>
        </w:rPr>
        <w:t xml:space="preserve">: um desafio ao silêncio. Brasília: Letras Livres: EdUnB, 2009, p. 09-13. </w:t>
      </w:r>
    </w:p>
    <w:p w:rsidR="00D24E61" w:rsidRPr="00771368" w:rsidRDefault="00D24E61" w:rsidP="00D61223">
      <w:pPr>
        <w:spacing w:after="120"/>
        <w:rPr>
          <w:sz w:val="24"/>
          <w:szCs w:val="24"/>
        </w:rPr>
      </w:pPr>
      <w:r w:rsidRPr="00771368">
        <w:rPr>
          <w:sz w:val="24"/>
          <w:szCs w:val="24"/>
        </w:rPr>
        <w:t xml:space="preserve">LOURO, Guacira Lopes. </w:t>
      </w:r>
      <w:r w:rsidRPr="00771368">
        <w:rPr>
          <w:b/>
          <w:sz w:val="24"/>
          <w:szCs w:val="24"/>
        </w:rPr>
        <w:t>Gênero, sexualidade e educação</w:t>
      </w:r>
      <w:r w:rsidRPr="00771368">
        <w:rPr>
          <w:sz w:val="24"/>
          <w:szCs w:val="24"/>
        </w:rPr>
        <w:t xml:space="preserve">. Uma perspectiva pós-estruturalista. Petrópolis/RJ: Vozes, 1997. </w:t>
      </w:r>
    </w:p>
    <w:p w:rsidR="00D24E61" w:rsidRPr="00771368" w:rsidRDefault="00D24E61" w:rsidP="00D61223">
      <w:pPr>
        <w:spacing w:after="120"/>
        <w:rPr>
          <w:sz w:val="24"/>
          <w:szCs w:val="24"/>
        </w:rPr>
      </w:pPr>
      <w:r w:rsidRPr="00771368">
        <w:rPr>
          <w:sz w:val="24"/>
          <w:szCs w:val="24"/>
        </w:rPr>
        <w:t xml:space="preserve">______. Gênero e sexualidade: pedagogias contemporâneas. </w:t>
      </w:r>
      <w:r w:rsidRPr="00771368">
        <w:rPr>
          <w:b/>
          <w:sz w:val="24"/>
          <w:szCs w:val="24"/>
        </w:rPr>
        <w:t>Pro-Posições</w:t>
      </w:r>
      <w:r w:rsidRPr="00771368">
        <w:rPr>
          <w:sz w:val="24"/>
          <w:szCs w:val="24"/>
        </w:rPr>
        <w:t xml:space="preserve">, v. 19, n. 2 (56) – mai./ago. 2008, p. 17-23. </w:t>
      </w:r>
    </w:p>
    <w:p w:rsidR="00D24E61" w:rsidRPr="00771368" w:rsidRDefault="00D24E61" w:rsidP="00D61223">
      <w:pPr>
        <w:spacing w:after="120"/>
        <w:rPr>
          <w:sz w:val="24"/>
          <w:szCs w:val="24"/>
        </w:rPr>
      </w:pPr>
      <w:r w:rsidRPr="00771368">
        <w:rPr>
          <w:sz w:val="24"/>
          <w:szCs w:val="24"/>
        </w:rPr>
        <w:t xml:space="preserve">______. Qual a diversidade sexual dos livros didáticos brasileiros? </w:t>
      </w:r>
      <w:r w:rsidRPr="00771368">
        <w:rPr>
          <w:i/>
          <w:sz w:val="24"/>
          <w:szCs w:val="24"/>
        </w:rPr>
        <w:t>In</w:t>
      </w:r>
      <w:r w:rsidRPr="00771368">
        <w:rPr>
          <w:sz w:val="24"/>
          <w:szCs w:val="24"/>
        </w:rPr>
        <w:t>: LIONÇO, Tatiana. DINIZ, Debora (Org.).</w:t>
      </w:r>
      <w:r w:rsidRPr="00771368">
        <w:rPr>
          <w:b/>
          <w:sz w:val="24"/>
          <w:szCs w:val="24"/>
        </w:rPr>
        <w:t xml:space="preserve"> Homofobia &amp; Educação</w:t>
      </w:r>
      <w:r w:rsidRPr="00771368">
        <w:rPr>
          <w:sz w:val="24"/>
          <w:szCs w:val="24"/>
        </w:rPr>
        <w:t xml:space="preserve">: um desafio ao silêncio. Brasília: Letras Livres: EdUnB, 2009, p. 09-13. </w:t>
      </w:r>
    </w:p>
    <w:p w:rsidR="00D24E61" w:rsidRPr="00771368" w:rsidRDefault="00D24E61" w:rsidP="00D61223">
      <w:pPr>
        <w:spacing w:after="120"/>
        <w:rPr>
          <w:sz w:val="24"/>
          <w:szCs w:val="24"/>
        </w:rPr>
      </w:pPr>
      <w:r w:rsidRPr="00771368">
        <w:rPr>
          <w:sz w:val="24"/>
          <w:szCs w:val="24"/>
        </w:rPr>
        <w:t xml:space="preserve">MOORE, Henrietta L. Fantasias de poder e fantasias de identidade: gênero, raça e violência. </w:t>
      </w:r>
      <w:r w:rsidRPr="00771368">
        <w:rPr>
          <w:b/>
          <w:sz w:val="24"/>
          <w:szCs w:val="24"/>
        </w:rPr>
        <w:t>Cadernos Pagu</w:t>
      </w:r>
      <w:r w:rsidRPr="00771368">
        <w:rPr>
          <w:sz w:val="24"/>
          <w:szCs w:val="24"/>
        </w:rPr>
        <w:t xml:space="preserve">, 2000, p. 13-44. </w:t>
      </w:r>
    </w:p>
    <w:p w:rsidR="00D24E61" w:rsidRPr="00771368" w:rsidRDefault="00D24E61" w:rsidP="00D61223">
      <w:pPr>
        <w:spacing w:after="120"/>
        <w:rPr>
          <w:sz w:val="24"/>
          <w:szCs w:val="24"/>
        </w:rPr>
      </w:pPr>
      <w:r w:rsidRPr="00771368">
        <w:rPr>
          <w:sz w:val="24"/>
          <w:szCs w:val="24"/>
        </w:rPr>
        <w:t xml:space="preserve">MOSCHETA, Murilo dos Santos. </w:t>
      </w:r>
      <w:r w:rsidRPr="00771368">
        <w:rPr>
          <w:b/>
          <w:sz w:val="24"/>
          <w:szCs w:val="24"/>
        </w:rPr>
        <w:t>Responsividade como recurso relacional para a qualificação da assistência a saúde de lésbicas, gays, bissexuais, travestis e transexuais</w:t>
      </w:r>
      <w:r w:rsidRPr="00771368">
        <w:rPr>
          <w:sz w:val="24"/>
          <w:szCs w:val="24"/>
        </w:rPr>
        <w:t>. 2011. 213 f. Tese de Doutorado. Faculdade de Filosofia, Ciências e Letras de Ribeirão Preto/USP Ribeirão Preto, 2011.</w:t>
      </w:r>
    </w:p>
    <w:p w:rsidR="00D24E61" w:rsidRPr="00771368" w:rsidRDefault="00D24E61" w:rsidP="00D61223">
      <w:pPr>
        <w:spacing w:after="120"/>
        <w:rPr>
          <w:sz w:val="24"/>
          <w:szCs w:val="24"/>
        </w:rPr>
      </w:pPr>
      <w:bookmarkStart w:id="83" w:name="_Toc361505856"/>
      <w:bookmarkStart w:id="84" w:name="_Toc361506683"/>
      <w:bookmarkStart w:id="85" w:name="_Toc361519584"/>
      <w:bookmarkStart w:id="86" w:name="_Toc361520088"/>
      <w:r w:rsidRPr="00771368">
        <w:rPr>
          <w:sz w:val="24"/>
          <w:szCs w:val="24"/>
        </w:rPr>
        <w:t>PARANÁ.</w:t>
      </w:r>
      <w:r w:rsidRPr="00771368">
        <w:rPr>
          <w:b/>
          <w:sz w:val="24"/>
          <w:szCs w:val="24"/>
        </w:rPr>
        <w:t xml:space="preserve"> Orientação pedagógica nº 001/2010.</w:t>
      </w:r>
      <w:r w:rsidRPr="00771368">
        <w:rPr>
          <w:sz w:val="24"/>
          <w:szCs w:val="24"/>
        </w:rPr>
        <w:t xml:space="preserve"> Secretaria de Estado da Educação.Superintendência da Educação. Departamento da Diversidade. Curitiba, 2010.</w:t>
      </w:r>
      <w:bookmarkEnd w:id="83"/>
      <w:bookmarkEnd w:id="84"/>
      <w:bookmarkEnd w:id="85"/>
      <w:bookmarkEnd w:id="86"/>
    </w:p>
    <w:p w:rsidR="00D24E61" w:rsidRPr="00771368" w:rsidRDefault="00D24E61" w:rsidP="00D61223">
      <w:pPr>
        <w:spacing w:after="120"/>
        <w:rPr>
          <w:sz w:val="24"/>
          <w:szCs w:val="24"/>
        </w:rPr>
      </w:pPr>
      <w:r w:rsidRPr="00771368">
        <w:rPr>
          <w:sz w:val="24"/>
          <w:szCs w:val="24"/>
        </w:rPr>
        <w:t xml:space="preserve">PELÚCIO, Larissa. Homossexualidade e orientação sexual. </w:t>
      </w:r>
      <w:r w:rsidRPr="00771368">
        <w:rPr>
          <w:b/>
          <w:sz w:val="24"/>
          <w:szCs w:val="24"/>
        </w:rPr>
        <w:t>Programa Diálogos</w:t>
      </w:r>
      <w:r w:rsidRPr="00771368">
        <w:rPr>
          <w:sz w:val="24"/>
          <w:szCs w:val="24"/>
        </w:rPr>
        <w:t>. TV UNESP.  2013. Disponível em &lt;</w:t>
      </w:r>
      <w:hyperlink r:id="rId408" w:history="1">
        <w:r w:rsidRPr="00771368">
          <w:rPr>
            <w:rStyle w:val="Hyperlink"/>
            <w:rFonts w:eastAsia="Calibri"/>
            <w:color w:val="auto"/>
            <w:szCs w:val="24"/>
          </w:rPr>
          <w:t>http://www.youtube.com/watch?v=UD4945XmGGY</w:t>
        </w:r>
      </w:hyperlink>
      <w:r w:rsidRPr="00771368">
        <w:rPr>
          <w:rStyle w:val="Hyperlink"/>
          <w:rFonts w:eastAsia="Calibri"/>
          <w:color w:val="auto"/>
          <w:szCs w:val="24"/>
        </w:rPr>
        <w:t>&gt;</w:t>
      </w:r>
      <w:r w:rsidRPr="00771368">
        <w:rPr>
          <w:sz w:val="24"/>
          <w:szCs w:val="24"/>
        </w:rPr>
        <w:t>. Acesso em: 16 de jan. de 2013.</w:t>
      </w:r>
    </w:p>
    <w:p w:rsidR="00D24E61" w:rsidRPr="00771368" w:rsidRDefault="00D24E61" w:rsidP="00D61223">
      <w:pPr>
        <w:spacing w:after="120"/>
        <w:rPr>
          <w:sz w:val="24"/>
          <w:szCs w:val="24"/>
        </w:rPr>
      </w:pPr>
      <w:r w:rsidRPr="00771368">
        <w:rPr>
          <w:sz w:val="24"/>
          <w:szCs w:val="24"/>
        </w:rPr>
        <w:t xml:space="preserve">PIERUCCI, Antônio Flávio. Ciladas da diferença. </w:t>
      </w:r>
      <w:r w:rsidRPr="00771368">
        <w:rPr>
          <w:b/>
          <w:sz w:val="24"/>
          <w:szCs w:val="24"/>
        </w:rPr>
        <w:t>Tempo Social: Rev. Sociol. USP</w:t>
      </w:r>
      <w:r w:rsidRPr="00771368">
        <w:rPr>
          <w:sz w:val="24"/>
          <w:szCs w:val="24"/>
        </w:rPr>
        <w:t xml:space="preserve">, S. Paulo, v. 02, n. 02, 2. sem. 1990, p. 7 - 33. </w:t>
      </w:r>
    </w:p>
    <w:p w:rsidR="00D24E61" w:rsidRPr="00771368" w:rsidRDefault="00D24E61" w:rsidP="00D61223">
      <w:pPr>
        <w:spacing w:after="120"/>
        <w:rPr>
          <w:sz w:val="24"/>
          <w:szCs w:val="24"/>
        </w:rPr>
      </w:pPr>
      <w:r w:rsidRPr="00771368">
        <w:rPr>
          <w:sz w:val="24"/>
          <w:szCs w:val="24"/>
        </w:rPr>
        <w:t xml:space="preserve">ROCHA FILHO, João Silva. O currículo escolar e as relações de heterossexismo e homofobia na educação básica. </w:t>
      </w:r>
      <w:r w:rsidRPr="00771368">
        <w:rPr>
          <w:b/>
          <w:sz w:val="24"/>
          <w:szCs w:val="24"/>
        </w:rPr>
        <w:t xml:space="preserve">Fazendo Gênero. </w:t>
      </w:r>
      <w:r w:rsidRPr="00771368">
        <w:rPr>
          <w:sz w:val="24"/>
          <w:szCs w:val="24"/>
        </w:rPr>
        <w:t>Diásporas, Diversidade, Deslocamentos. ago. 2010, p. 1-9.</w:t>
      </w:r>
    </w:p>
    <w:p w:rsidR="00D24E61" w:rsidRPr="00771368" w:rsidRDefault="00D24E61" w:rsidP="00D61223">
      <w:pPr>
        <w:spacing w:after="120"/>
        <w:rPr>
          <w:sz w:val="24"/>
          <w:szCs w:val="24"/>
        </w:rPr>
      </w:pPr>
      <w:r w:rsidRPr="00771368">
        <w:rPr>
          <w:sz w:val="24"/>
          <w:szCs w:val="24"/>
        </w:rPr>
        <w:t xml:space="preserve">SALA, Arianna. </w:t>
      </w:r>
      <w:r w:rsidRPr="00771368">
        <w:rPr>
          <w:b/>
          <w:sz w:val="24"/>
          <w:szCs w:val="24"/>
        </w:rPr>
        <w:t xml:space="preserve">Construcciones identitarias en el contexto histórico-cultural: </w:t>
      </w:r>
      <w:r w:rsidRPr="00771368">
        <w:rPr>
          <w:sz w:val="24"/>
          <w:szCs w:val="24"/>
        </w:rPr>
        <w:t>identidades lésbicas, histórias de vida y discursos sociales. 2007. 309 f. Tese (Doutorado). Universidad de Sevilla, Sevilla, 2007. </w:t>
      </w:r>
    </w:p>
    <w:p w:rsidR="00D24E61" w:rsidRPr="00771368" w:rsidRDefault="00D24E61" w:rsidP="00D61223">
      <w:pPr>
        <w:spacing w:after="120"/>
        <w:rPr>
          <w:sz w:val="24"/>
          <w:szCs w:val="24"/>
        </w:rPr>
      </w:pPr>
      <w:r w:rsidRPr="00771368">
        <w:rPr>
          <w:sz w:val="24"/>
          <w:szCs w:val="24"/>
        </w:rPr>
        <w:t xml:space="preserve">______. Opção x Orientação Sexual. </w:t>
      </w:r>
      <w:r w:rsidRPr="00771368">
        <w:rPr>
          <w:b/>
          <w:sz w:val="24"/>
          <w:szCs w:val="24"/>
        </w:rPr>
        <w:t>Canal SAP</w:t>
      </w:r>
      <w:r w:rsidRPr="00771368">
        <w:rPr>
          <w:sz w:val="24"/>
          <w:szCs w:val="24"/>
        </w:rPr>
        <w:t>. 2012. Disponível em &lt;http://www.youtube.com/watch?v=nV2Vjn9Pf3I&amp;playnext=1&amp;list=PLiX7GB_A3TPhYTpQ7gLmCh5vcAdce3_V2&amp;feature=results_video&gt;. Acesso em: 16 de janeiro de 2013.</w:t>
      </w:r>
    </w:p>
    <w:p w:rsidR="00D24E61" w:rsidRPr="00771368" w:rsidRDefault="00D24E61" w:rsidP="00D61223">
      <w:pPr>
        <w:spacing w:after="120"/>
        <w:rPr>
          <w:sz w:val="24"/>
          <w:szCs w:val="24"/>
        </w:rPr>
      </w:pPr>
      <w:r w:rsidRPr="00771368">
        <w:rPr>
          <w:sz w:val="24"/>
          <w:szCs w:val="24"/>
        </w:rPr>
        <w:t xml:space="preserve">SAYÃO, Yara. Orientação sexual na escola: os territórios possíveis e necessários. </w:t>
      </w:r>
      <w:r w:rsidRPr="00771368">
        <w:rPr>
          <w:i/>
          <w:sz w:val="24"/>
          <w:szCs w:val="24"/>
        </w:rPr>
        <w:t xml:space="preserve">In: </w:t>
      </w:r>
      <w:r w:rsidRPr="00771368">
        <w:rPr>
          <w:sz w:val="24"/>
          <w:szCs w:val="24"/>
        </w:rPr>
        <w:t xml:space="preserve">AQUINO, Júlio Groppa. </w:t>
      </w:r>
      <w:r w:rsidRPr="00771368">
        <w:rPr>
          <w:b/>
          <w:sz w:val="24"/>
          <w:szCs w:val="24"/>
        </w:rPr>
        <w:t>Sexualidade na escola</w:t>
      </w:r>
      <w:r w:rsidRPr="00771368">
        <w:rPr>
          <w:sz w:val="24"/>
          <w:szCs w:val="24"/>
        </w:rPr>
        <w:t>: alternativas teóricas e práticas. São Paulo: Summus, 1997, p. 107-118.</w:t>
      </w:r>
    </w:p>
    <w:p w:rsidR="00D24E61" w:rsidRPr="00771368" w:rsidRDefault="00D24E61" w:rsidP="00D61223">
      <w:pPr>
        <w:spacing w:after="120"/>
        <w:rPr>
          <w:sz w:val="24"/>
          <w:szCs w:val="24"/>
        </w:rPr>
      </w:pPr>
      <w:r w:rsidRPr="00771368">
        <w:rPr>
          <w:sz w:val="24"/>
          <w:szCs w:val="24"/>
        </w:rPr>
        <w:t xml:space="preserve">SCHULMAN, Michael. </w:t>
      </w:r>
      <w:r w:rsidRPr="00771368">
        <w:rPr>
          <w:bCs/>
          <w:sz w:val="24"/>
          <w:szCs w:val="24"/>
        </w:rPr>
        <w:t xml:space="preserve">Assexuados, bichas &amp; cia: </w:t>
      </w:r>
      <w:r w:rsidRPr="00771368">
        <w:rPr>
          <w:iCs/>
          <w:sz w:val="24"/>
          <w:szCs w:val="24"/>
        </w:rPr>
        <w:t xml:space="preserve">a nova geração </w:t>
      </w:r>
      <w:r w:rsidRPr="00771368">
        <w:rPr>
          <w:i/>
          <w:iCs/>
          <w:sz w:val="24"/>
          <w:szCs w:val="24"/>
        </w:rPr>
        <w:t>gay</w:t>
      </w:r>
      <w:r w:rsidRPr="00771368">
        <w:rPr>
          <w:iCs/>
          <w:sz w:val="24"/>
          <w:szCs w:val="24"/>
        </w:rPr>
        <w:t xml:space="preserve"> nas universidades dos EUA. Tradução: Clara Alain. </w:t>
      </w:r>
      <w:r w:rsidRPr="00771368">
        <w:rPr>
          <w:sz w:val="24"/>
          <w:szCs w:val="24"/>
        </w:rPr>
        <w:t xml:space="preserve">Texto originalmente publicado no jornal "The New York Times". </w:t>
      </w:r>
      <w:r w:rsidRPr="00771368">
        <w:rPr>
          <w:b/>
          <w:sz w:val="24"/>
          <w:szCs w:val="24"/>
        </w:rPr>
        <w:t xml:space="preserve">Folha de S. Paulo. </w:t>
      </w:r>
      <w:r w:rsidRPr="00771368">
        <w:rPr>
          <w:sz w:val="24"/>
          <w:szCs w:val="24"/>
        </w:rPr>
        <w:t>São Paulo, 17 de fev. de 2013. Seção Comportamento, s/p.</w:t>
      </w:r>
      <w:r w:rsidRPr="00771368">
        <w:rPr>
          <w:b/>
          <w:sz w:val="24"/>
          <w:szCs w:val="24"/>
        </w:rPr>
        <w:t xml:space="preserve"> </w:t>
      </w:r>
      <w:r w:rsidRPr="00771368">
        <w:rPr>
          <w:sz w:val="24"/>
          <w:szCs w:val="24"/>
        </w:rPr>
        <w:t>Disponível em &lt;http://www1.folha.uol.com.br/fsp/ilustrissima/94158-assexuados-bichas-amp-cia.shtml&gt;. Acesso em: 17 de fev. de 2013.</w:t>
      </w:r>
    </w:p>
    <w:p w:rsidR="00D24E61" w:rsidRPr="00771368" w:rsidRDefault="00D24E61" w:rsidP="00D61223">
      <w:pPr>
        <w:spacing w:after="120"/>
        <w:rPr>
          <w:sz w:val="24"/>
          <w:szCs w:val="24"/>
        </w:rPr>
      </w:pPr>
      <w:r w:rsidRPr="00771368">
        <w:rPr>
          <w:sz w:val="24"/>
          <w:szCs w:val="24"/>
        </w:rPr>
        <w:t xml:space="preserve">SCOTT, Joan. Gênero: uma categoria útil de análise histórica. </w:t>
      </w:r>
      <w:r w:rsidRPr="00771368">
        <w:rPr>
          <w:b/>
          <w:sz w:val="24"/>
          <w:szCs w:val="24"/>
        </w:rPr>
        <w:t>Educação &amp; Realidade</w:t>
      </w:r>
      <w:r w:rsidRPr="00771368">
        <w:rPr>
          <w:sz w:val="24"/>
          <w:szCs w:val="24"/>
        </w:rPr>
        <w:t>.</w:t>
      </w:r>
      <w:r w:rsidRPr="00771368">
        <w:rPr>
          <w:rStyle w:val="style9"/>
          <w:sz w:val="24"/>
          <w:szCs w:val="24"/>
        </w:rPr>
        <w:t xml:space="preserve"> Porto Alegre. </w:t>
      </w:r>
      <w:r w:rsidRPr="00771368">
        <w:rPr>
          <w:sz w:val="24"/>
          <w:szCs w:val="24"/>
        </w:rPr>
        <w:t>jul/dez. 1995, p. 71-99.</w:t>
      </w:r>
    </w:p>
    <w:p w:rsidR="00D24E61" w:rsidRPr="00771368" w:rsidRDefault="00D24E61" w:rsidP="00D61223">
      <w:pPr>
        <w:spacing w:after="120"/>
        <w:rPr>
          <w:sz w:val="24"/>
          <w:szCs w:val="24"/>
        </w:rPr>
      </w:pPr>
      <w:r w:rsidRPr="00771368">
        <w:rPr>
          <w:sz w:val="24"/>
          <w:szCs w:val="24"/>
        </w:rPr>
        <w:t xml:space="preserve">SILVA, Joseli Maria. A cidade dos corpos transgressores da heteronormatividade. </w:t>
      </w:r>
      <w:r w:rsidRPr="00771368">
        <w:rPr>
          <w:b/>
          <w:sz w:val="24"/>
          <w:szCs w:val="24"/>
        </w:rPr>
        <w:t>Geo</w:t>
      </w:r>
      <w:r w:rsidRPr="00771368">
        <w:rPr>
          <w:sz w:val="24"/>
          <w:szCs w:val="24"/>
        </w:rPr>
        <w:t xml:space="preserve"> UERJ, a. 10, n. 18, vol. 1, 2008, p. 01-17. </w:t>
      </w:r>
    </w:p>
    <w:p w:rsidR="00D24E61" w:rsidRPr="00771368" w:rsidRDefault="00D24E61" w:rsidP="00D61223">
      <w:pPr>
        <w:spacing w:after="120"/>
        <w:rPr>
          <w:sz w:val="24"/>
          <w:szCs w:val="24"/>
        </w:rPr>
      </w:pPr>
      <w:r w:rsidRPr="00771368">
        <w:rPr>
          <w:sz w:val="24"/>
          <w:szCs w:val="24"/>
        </w:rPr>
        <w:t>SILVA, Tomaz Tadeu da. A produção social da identidade e da diferença.</w:t>
      </w:r>
      <w:r w:rsidRPr="00771368">
        <w:rPr>
          <w:b/>
          <w:sz w:val="24"/>
          <w:szCs w:val="24"/>
        </w:rPr>
        <w:t xml:space="preserve"> </w:t>
      </w:r>
      <w:r w:rsidRPr="00771368">
        <w:rPr>
          <w:i/>
          <w:sz w:val="24"/>
          <w:szCs w:val="24"/>
        </w:rPr>
        <w:t>In</w:t>
      </w:r>
      <w:r w:rsidRPr="00771368">
        <w:rPr>
          <w:sz w:val="24"/>
          <w:szCs w:val="24"/>
        </w:rPr>
        <w:t>: SILVA, Tomaz Tadeu da</w:t>
      </w:r>
      <w:r w:rsidRPr="00771368">
        <w:rPr>
          <w:b/>
          <w:sz w:val="24"/>
          <w:szCs w:val="24"/>
        </w:rPr>
        <w:t xml:space="preserve"> </w:t>
      </w:r>
      <w:r w:rsidRPr="00771368">
        <w:rPr>
          <w:sz w:val="24"/>
          <w:szCs w:val="24"/>
        </w:rPr>
        <w:t xml:space="preserve">(Org.). </w:t>
      </w:r>
      <w:r w:rsidRPr="00771368">
        <w:rPr>
          <w:b/>
          <w:sz w:val="24"/>
          <w:szCs w:val="24"/>
        </w:rPr>
        <w:t>Identidade e Diferença: a Perspectiva dos Estudos Culturais.</w:t>
      </w:r>
      <w:r w:rsidRPr="00771368">
        <w:rPr>
          <w:sz w:val="24"/>
          <w:szCs w:val="24"/>
        </w:rPr>
        <w:t xml:space="preserve"> 7. ed. Petrópolis/RJ: Vozes, 2007, p. 73-102. </w:t>
      </w:r>
    </w:p>
    <w:p w:rsidR="00D24E61" w:rsidRPr="00771368" w:rsidRDefault="00D24E61" w:rsidP="00D61223">
      <w:pPr>
        <w:spacing w:after="120"/>
        <w:rPr>
          <w:sz w:val="24"/>
          <w:szCs w:val="24"/>
        </w:rPr>
      </w:pPr>
      <w:r w:rsidRPr="00771368">
        <w:rPr>
          <w:sz w:val="24"/>
          <w:szCs w:val="24"/>
        </w:rPr>
        <w:t xml:space="preserve">SOUSA FILHO, Alípio de. A política do conceito: subversiva ou conservadora? - crítica à essencialização do conceito de orientação sexual. </w:t>
      </w:r>
      <w:r w:rsidRPr="00771368">
        <w:rPr>
          <w:b/>
          <w:sz w:val="24"/>
          <w:szCs w:val="24"/>
        </w:rPr>
        <w:t>Bagoas</w:t>
      </w:r>
      <w:r w:rsidRPr="00771368">
        <w:rPr>
          <w:sz w:val="24"/>
          <w:szCs w:val="24"/>
        </w:rPr>
        <w:t xml:space="preserve">, n. 04, 2009a, p. 59-77. </w:t>
      </w:r>
    </w:p>
    <w:p w:rsidR="00D24E61" w:rsidRPr="00771368" w:rsidRDefault="00D24E61" w:rsidP="00D61223">
      <w:pPr>
        <w:spacing w:after="120"/>
        <w:rPr>
          <w:sz w:val="24"/>
          <w:szCs w:val="24"/>
        </w:rPr>
      </w:pPr>
      <w:r w:rsidRPr="00771368">
        <w:rPr>
          <w:sz w:val="24"/>
          <w:szCs w:val="24"/>
        </w:rPr>
        <w:t xml:space="preserve">______. Teorias sobre a gênese da homossexualidade: ideologia, preconceito e fraude. </w:t>
      </w:r>
      <w:r w:rsidRPr="00771368">
        <w:rPr>
          <w:i/>
          <w:sz w:val="24"/>
          <w:szCs w:val="24"/>
        </w:rPr>
        <w:t>In</w:t>
      </w:r>
      <w:r w:rsidRPr="00771368">
        <w:rPr>
          <w:sz w:val="24"/>
          <w:szCs w:val="24"/>
        </w:rPr>
        <w:t xml:space="preserve">: JUNQUEIRA, Rogério Diniz (Org.). </w:t>
      </w:r>
      <w:r w:rsidRPr="00771368">
        <w:rPr>
          <w:b/>
          <w:sz w:val="24"/>
          <w:szCs w:val="24"/>
        </w:rPr>
        <w:t>Diversidade Sexual na Educação</w:t>
      </w:r>
      <w:r w:rsidRPr="00771368">
        <w:rPr>
          <w:sz w:val="24"/>
          <w:szCs w:val="24"/>
        </w:rPr>
        <w:t>: problematizações sobre a homofobia nas escolas. Ministério da Educação: SECADI/MEC. Brasília, 2009b, p. 95-124.</w:t>
      </w:r>
    </w:p>
    <w:p w:rsidR="00D24E61" w:rsidRPr="00771368" w:rsidRDefault="00D24E61" w:rsidP="00D61223">
      <w:pPr>
        <w:spacing w:after="120"/>
        <w:rPr>
          <w:sz w:val="24"/>
          <w:szCs w:val="24"/>
        </w:rPr>
      </w:pPr>
      <w:r w:rsidRPr="00771368">
        <w:rPr>
          <w:sz w:val="24"/>
          <w:szCs w:val="24"/>
        </w:rPr>
        <w:t xml:space="preserve">______. </w:t>
      </w:r>
      <w:r w:rsidRPr="00771368">
        <w:rPr>
          <w:b/>
          <w:sz w:val="24"/>
          <w:szCs w:val="24"/>
        </w:rPr>
        <w:t>A resposta gay</w:t>
      </w:r>
      <w:r w:rsidRPr="00771368">
        <w:rPr>
          <w:sz w:val="24"/>
          <w:szCs w:val="24"/>
        </w:rPr>
        <w:t xml:space="preserve">. 2013a. Disponível em &lt;http://www.cchla.ufrn.br/alipiosousa/index_arquivos/ARTIGOS%20ACADEMICOS/ARTIGOS_PDF/A%20RESPOSTA%20GAY.pdf&gt;. Acesso em: 07 de jan. de 2013. </w:t>
      </w:r>
    </w:p>
    <w:p w:rsidR="00D24E61" w:rsidRPr="00771368" w:rsidRDefault="00D24E61" w:rsidP="00D61223">
      <w:pPr>
        <w:spacing w:after="120"/>
        <w:rPr>
          <w:sz w:val="24"/>
          <w:szCs w:val="24"/>
        </w:rPr>
      </w:pPr>
      <w:r w:rsidRPr="00771368">
        <w:rPr>
          <w:sz w:val="24"/>
          <w:szCs w:val="24"/>
        </w:rPr>
        <w:t xml:space="preserve">______. </w:t>
      </w:r>
      <w:r w:rsidRPr="00771368">
        <w:rPr>
          <w:b/>
          <w:sz w:val="24"/>
          <w:szCs w:val="24"/>
        </w:rPr>
        <w:t>Orientação sexual</w:t>
      </w:r>
      <w:r w:rsidRPr="00771368">
        <w:rPr>
          <w:sz w:val="24"/>
          <w:szCs w:val="24"/>
        </w:rPr>
        <w:t>: construção política do desejo, ou crítica da substancialização. 2013b. Disponível em &lt;http://www.cchla.ufrn.br/alipiosousa/index_arquivos/ARTIGOS%20ACADEMICOS/ARTIGOS_PDF/Orientacao%20sexual%20-%20a%20construcao%20politica%20do%20desejo.pdf&gt;. Acesso em: 07 de jan. de 2013.</w:t>
      </w:r>
    </w:p>
    <w:p w:rsidR="00D24E61" w:rsidRPr="00771368" w:rsidRDefault="00D24E61" w:rsidP="00D61223">
      <w:pPr>
        <w:spacing w:after="120"/>
        <w:rPr>
          <w:sz w:val="24"/>
          <w:szCs w:val="24"/>
        </w:rPr>
      </w:pPr>
      <w:r w:rsidRPr="00771368">
        <w:rPr>
          <w:sz w:val="24"/>
          <w:szCs w:val="24"/>
        </w:rPr>
        <w:t xml:space="preserve">SWAIN, Tania Navarro. </w:t>
      </w:r>
      <w:r w:rsidRPr="00771368">
        <w:rPr>
          <w:b/>
          <w:sz w:val="24"/>
          <w:szCs w:val="24"/>
        </w:rPr>
        <w:t>Entre a vida e a morte, o sexo</w:t>
      </w:r>
      <w:r w:rsidRPr="00771368">
        <w:rPr>
          <w:sz w:val="24"/>
          <w:szCs w:val="24"/>
        </w:rPr>
        <w:t>. 2009b. Disponível em &lt; http://intervencoesfeministas.mpbnet.com.br/textos/tania-entre_a_vida_ea_morte.pdf&gt;. Acesso em: 13 de jul. de 2013.</w:t>
      </w:r>
    </w:p>
    <w:p w:rsidR="00D24E61" w:rsidRPr="00771368" w:rsidRDefault="00D24E61" w:rsidP="00D61223">
      <w:pPr>
        <w:spacing w:after="120"/>
        <w:rPr>
          <w:sz w:val="24"/>
          <w:szCs w:val="24"/>
        </w:rPr>
      </w:pPr>
      <w:r w:rsidRPr="00771368">
        <w:rPr>
          <w:sz w:val="24"/>
          <w:szCs w:val="24"/>
        </w:rPr>
        <w:t>WEEKS, Jeffrey. O corpo e a sexualidade.</w:t>
      </w:r>
      <w:r w:rsidRPr="00771368">
        <w:rPr>
          <w:i/>
          <w:sz w:val="24"/>
          <w:szCs w:val="24"/>
        </w:rPr>
        <w:t xml:space="preserve"> In</w:t>
      </w:r>
      <w:r w:rsidRPr="00771368">
        <w:rPr>
          <w:sz w:val="24"/>
          <w:szCs w:val="24"/>
        </w:rPr>
        <w:t xml:space="preserve">: LOURO, Guacira Lopes (Org.). </w:t>
      </w:r>
      <w:r w:rsidRPr="00771368">
        <w:rPr>
          <w:b/>
          <w:sz w:val="24"/>
          <w:szCs w:val="24"/>
        </w:rPr>
        <w:t>O corpo educado</w:t>
      </w:r>
      <w:r w:rsidRPr="00771368">
        <w:rPr>
          <w:sz w:val="24"/>
          <w:szCs w:val="24"/>
        </w:rPr>
        <w:t>: pedagogias da sexualidade. 3. ed. Belo Horizonte: Autêntica, 2010, p. 35-82.</w:t>
      </w:r>
    </w:p>
    <w:p w:rsidR="00D24E61" w:rsidRPr="00771368" w:rsidRDefault="00D24E61" w:rsidP="00D61223">
      <w:pPr>
        <w:spacing w:after="120"/>
        <w:rPr>
          <w:sz w:val="24"/>
          <w:szCs w:val="24"/>
        </w:rPr>
      </w:pPr>
      <w:r w:rsidRPr="00771368">
        <w:rPr>
          <w:sz w:val="24"/>
          <w:szCs w:val="24"/>
        </w:rPr>
        <w:t xml:space="preserve">WOODWARD, Katryn. Identidade e diferença: uma introdução teórica e conceitual. </w:t>
      </w:r>
      <w:r w:rsidRPr="00771368">
        <w:rPr>
          <w:i/>
          <w:sz w:val="24"/>
          <w:szCs w:val="24"/>
        </w:rPr>
        <w:t>In</w:t>
      </w:r>
      <w:r w:rsidRPr="00771368">
        <w:rPr>
          <w:sz w:val="24"/>
          <w:szCs w:val="24"/>
        </w:rPr>
        <w:t>: SILVA, Tomaz Tadeu da</w:t>
      </w:r>
      <w:r w:rsidRPr="00771368">
        <w:rPr>
          <w:b/>
          <w:sz w:val="24"/>
          <w:szCs w:val="24"/>
        </w:rPr>
        <w:t xml:space="preserve"> </w:t>
      </w:r>
      <w:r w:rsidRPr="00771368">
        <w:rPr>
          <w:sz w:val="24"/>
          <w:szCs w:val="24"/>
        </w:rPr>
        <w:t xml:space="preserve">(Org.). </w:t>
      </w:r>
      <w:r w:rsidRPr="00771368">
        <w:rPr>
          <w:b/>
          <w:sz w:val="24"/>
          <w:szCs w:val="24"/>
        </w:rPr>
        <w:t>Identidade e Diferença:</w:t>
      </w:r>
      <w:r w:rsidRPr="00771368">
        <w:rPr>
          <w:sz w:val="24"/>
          <w:szCs w:val="24"/>
        </w:rPr>
        <w:t xml:space="preserve"> a Perspectiva dos Estudos Culturais. 7. ed. Petrópolis/RJ: Vozes, 2007, p. 07-72.</w:t>
      </w:r>
    </w:p>
    <w:p w:rsidR="00D24E61" w:rsidRPr="00771368" w:rsidRDefault="00D24E61" w:rsidP="00D24E61">
      <w:pPr>
        <w:rPr>
          <w:sz w:val="24"/>
          <w:szCs w:val="24"/>
        </w:rPr>
      </w:pPr>
    </w:p>
    <w:p w:rsidR="00D24E61" w:rsidRPr="00771368" w:rsidRDefault="00D24E61">
      <w:pPr>
        <w:rPr>
          <w:b/>
          <w:sz w:val="24"/>
          <w:szCs w:val="24"/>
        </w:rPr>
      </w:pPr>
    </w:p>
    <w:p w:rsidR="00D24E61" w:rsidRPr="00771368" w:rsidRDefault="00D24E61" w:rsidP="00D24E61">
      <w:pPr>
        <w:keepNext/>
        <w:widowControl w:val="0"/>
        <w:spacing w:line="360" w:lineRule="auto"/>
        <w:contextualSpacing/>
        <w:jc w:val="center"/>
        <w:rPr>
          <w:b/>
          <w:sz w:val="24"/>
          <w:szCs w:val="24"/>
        </w:rPr>
      </w:pPr>
      <w:r w:rsidRPr="00771368">
        <w:rPr>
          <w:b/>
          <w:sz w:val="24"/>
          <w:szCs w:val="24"/>
        </w:rPr>
        <w:t>GÊNERO E DEFICIÊNCIA: RUMO À EQUIDADE!</w:t>
      </w:r>
    </w:p>
    <w:p w:rsidR="00D24E61" w:rsidRPr="00771368" w:rsidRDefault="00D24E61" w:rsidP="00D24E61">
      <w:pPr>
        <w:keepNext/>
        <w:widowControl w:val="0"/>
        <w:spacing w:line="360" w:lineRule="auto"/>
        <w:contextualSpacing/>
        <w:jc w:val="center"/>
        <w:rPr>
          <w:b/>
          <w:sz w:val="24"/>
          <w:szCs w:val="24"/>
        </w:rPr>
      </w:pPr>
    </w:p>
    <w:p w:rsidR="00D24E61" w:rsidRPr="00771368" w:rsidRDefault="00D24E61" w:rsidP="00D24E61">
      <w:pPr>
        <w:keepNext/>
        <w:widowControl w:val="0"/>
        <w:spacing w:line="360" w:lineRule="auto"/>
        <w:contextualSpacing/>
        <w:jc w:val="right"/>
        <w:rPr>
          <w:i/>
          <w:sz w:val="24"/>
          <w:szCs w:val="24"/>
        </w:rPr>
      </w:pPr>
      <w:bookmarkStart w:id="87" w:name="_Toc442034760"/>
      <w:r w:rsidRPr="00D61223">
        <w:rPr>
          <w:rStyle w:val="Ttulo1Char"/>
        </w:rPr>
        <w:t>Luciana Steffen</w:t>
      </w:r>
      <w:bookmarkEnd w:id="87"/>
      <w:r w:rsidRPr="00771368">
        <w:rPr>
          <w:rStyle w:val="Refdenotaderodap"/>
          <w:rFonts w:eastAsia="Calibri"/>
          <w:i/>
          <w:sz w:val="24"/>
          <w:szCs w:val="24"/>
        </w:rPr>
        <w:footnoteReference w:id="148"/>
      </w:r>
    </w:p>
    <w:p w:rsidR="00D24E61" w:rsidRPr="00771368" w:rsidRDefault="00D24E61" w:rsidP="00D24E61">
      <w:pPr>
        <w:keepNext/>
        <w:widowControl w:val="0"/>
        <w:spacing w:line="360" w:lineRule="auto"/>
        <w:contextualSpacing/>
        <w:jc w:val="both"/>
        <w:rPr>
          <w:b/>
          <w:sz w:val="24"/>
          <w:szCs w:val="24"/>
        </w:rPr>
      </w:pPr>
    </w:p>
    <w:p w:rsidR="00D24E61" w:rsidRPr="00771368" w:rsidRDefault="00D24E61" w:rsidP="00D24E61">
      <w:pPr>
        <w:keepNext/>
        <w:widowControl w:val="0"/>
        <w:spacing w:line="360" w:lineRule="auto"/>
        <w:contextualSpacing/>
        <w:jc w:val="both"/>
        <w:rPr>
          <w:b/>
          <w:sz w:val="24"/>
          <w:szCs w:val="24"/>
        </w:rPr>
      </w:pPr>
    </w:p>
    <w:p w:rsidR="00D24E61" w:rsidRPr="00771368" w:rsidRDefault="00D24E61" w:rsidP="00D24E61">
      <w:pPr>
        <w:keepNext/>
        <w:widowControl w:val="0"/>
        <w:spacing w:line="360" w:lineRule="auto"/>
        <w:contextualSpacing/>
        <w:jc w:val="both"/>
        <w:rPr>
          <w:b/>
          <w:sz w:val="24"/>
          <w:szCs w:val="24"/>
        </w:rPr>
      </w:pPr>
      <w:r w:rsidRPr="00771368">
        <w:rPr>
          <w:b/>
          <w:sz w:val="24"/>
          <w:szCs w:val="24"/>
        </w:rPr>
        <w:t>Introdução</w:t>
      </w:r>
    </w:p>
    <w:p w:rsidR="00D24E61" w:rsidRPr="00771368" w:rsidRDefault="00D24E61" w:rsidP="00D24E61">
      <w:pPr>
        <w:keepNext/>
        <w:widowControl w:val="0"/>
        <w:spacing w:line="360" w:lineRule="auto"/>
        <w:contextualSpacing/>
        <w:jc w:val="both"/>
        <w:rPr>
          <w:b/>
          <w:sz w:val="24"/>
          <w:szCs w:val="24"/>
        </w:rPr>
      </w:pPr>
    </w:p>
    <w:p w:rsidR="00D24E61" w:rsidRPr="00771368" w:rsidRDefault="00D24E61" w:rsidP="00D24E61">
      <w:pPr>
        <w:keepNext/>
        <w:widowControl w:val="0"/>
        <w:spacing w:line="360" w:lineRule="auto"/>
        <w:ind w:firstLine="851"/>
        <w:contextualSpacing/>
        <w:jc w:val="both"/>
        <w:rPr>
          <w:sz w:val="24"/>
          <w:szCs w:val="24"/>
        </w:rPr>
      </w:pPr>
      <w:r w:rsidRPr="00771368">
        <w:rPr>
          <w:sz w:val="24"/>
          <w:szCs w:val="24"/>
        </w:rPr>
        <w:t xml:space="preserve">Pensar a deficiência à luz da categoria de análise de gênero, e as relações de gênero considerando a deficiência como categoria de análise são ocorrências raras nas pesquisas brasileiras. Os entendimentos da deficiência e das relações de gênero ainda são frequentemente entrelaçados por preconceitos que vão contra as noções de equidade, igualdade e inclusão. Isso pode ser percebido no cotidiano, nas pesquisas, e inclusive na falta de pesquisas sobre gênero e deficiência. Esta pesquisa é uma revisão bibliográfica que objetiva investigar relações entre gênero, feminismo e deficiência e sua relevância para a pesquisa. Serão apontados e desconstruídos alguns preconceitos em relação ao gênero e à deficiência, assim como serão apresentadas algumas questões da influência de gênero na deficiência. </w:t>
      </w:r>
    </w:p>
    <w:p w:rsidR="00D24E61" w:rsidRPr="00771368" w:rsidRDefault="00D24E61" w:rsidP="00D24E61">
      <w:pPr>
        <w:keepNext/>
        <w:widowControl w:val="0"/>
        <w:spacing w:line="360" w:lineRule="auto"/>
        <w:ind w:firstLine="851"/>
        <w:contextualSpacing/>
        <w:jc w:val="both"/>
        <w:rPr>
          <w:sz w:val="24"/>
          <w:szCs w:val="24"/>
        </w:rPr>
      </w:pPr>
      <w:r w:rsidRPr="00771368">
        <w:rPr>
          <w:sz w:val="24"/>
          <w:szCs w:val="24"/>
        </w:rPr>
        <w:t xml:space="preserve">O conceito de deficiência considerado para este artigo vai de acordo com a </w:t>
      </w:r>
      <w:r w:rsidRPr="00771368">
        <w:rPr>
          <w:i/>
          <w:sz w:val="24"/>
          <w:szCs w:val="24"/>
        </w:rPr>
        <w:t>Convenção sobre os Direitos das Pessoas com Deficiência</w:t>
      </w:r>
      <w:r w:rsidRPr="00771368">
        <w:rPr>
          <w:sz w:val="24"/>
          <w:szCs w:val="24"/>
        </w:rPr>
        <w:t>, no qual a “deficiência resulta da interação entre pessoas com deficiência e as barreiras devidas às atitudes e ao ambiente que impedem a plena e efetiva participação dessas pessoas na sociedade.”</w:t>
      </w:r>
      <w:r w:rsidRPr="00771368">
        <w:rPr>
          <w:rStyle w:val="Refdenotaderodap"/>
          <w:rFonts w:eastAsia="Calibri"/>
          <w:sz w:val="24"/>
          <w:szCs w:val="24"/>
        </w:rPr>
        <w:footnoteReference w:id="149"/>
      </w:r>
      <w:r w:rsidRPr="00771368">
        <w:rPr>
          <w:sz w:val="24"/>
          <w:szCs w:val="24"/>
        </w:rPr>
        <w:t xml:space="preserve"> Inicialmente, a deficiência era entendida de acordo com o modelo médico, sendo considerada como uma consequência natural da lesão em um corpo, necessitando de cuidados médicos, de cura.</w:t>
      </w:r>
      <w:r w:rsidRPr="00771368">
        <w:rPr>
          <w:rStyle w:val="Refdenotaderodap"/>
          <w:rFonts w:eastAsia="Calibri"/>
          <w:sz w:val="24"/>
          <w:szCs w:val="24"/>
        </w:rPr>
        <w:footnoteReference w:id="150"/>
      </w:r>
      <w:r w:rsidRPr="00771368">
        <w:rPr>
          <w:sz w:val="24"/>
          <w:szCs w:val="24"/>
        </w:rPr>
        <w:t xml:space="preserve"> </w:t>
      </w:r>
    </w:p>
    <w:p w:rsidR="00D24E61" w:rsidRPr="00771368" w:rsidRDefault="00D24E61" w:rsidP="00D24E61">
      <w:pPr>
        <w:keepNext/>
        <w:widowControl w:val="0"/>
        <w:spacing w:line="360" w:lineRule="auto"/>
        <w:ind w:firstLine="851"/>
        <w:contextualSpacing/>
        <w:jc w:val="both"/>
        <w:rPr>
          <w:sz w:val="24"/>
          <w:szCs w:val="24"/>
        </w:rPr>
      </w:pPr>
      <w:r w:rsidRPr="00771368">
        <w:rPr>
          <w:sz w:val="24"/>
          <w:szCs w:val="24"/>
        </w:rPr>
        <w:t>A L</w:t>
      </w:r>
      <w:r w:rsidRPr="00771368">
        <w:rPr>
          <w:rStyle w:val="nfase"/>
          <w:i w:val="0"/>
          <w:sz w:val="24"/>
          <w:szCs w:val="24"/>
        </w:rPr>
        <w:t>iga dos Lesados Físicos Contra a Segregação</w:t>
      </w:r>
      <w:r w:rsidRPr="00771368">
        <w:rPr>
          <w:rStyle w:val="st"/>
          <w:sz w:val="24"/>
          <w:szCs w:val="24"/>
        </w:rPr>
        <w:t xml:space="preserve"> – </w:t>
      </w:r>
      <w:r w:rsidRPr="00771368">
        <w:rPr>
          <w:i/>
          <w:color w:val="000000"/>
          <w:sz w:val="24"/>
          <w:szCs w:val="24"/>
        </w:rPr>
        <w:t>Union of the Physically Impaired Against Segregation</w:t>
      </w:r>
      <w:r w:rsidRPr="00771368">
        <w:rPr>
          <w:rStyle w:val="apple-converted-space"/>
          <w:i/>
          <w:color w:val="000000"/>
          <w:sz w:val="24"/>
          <w:szCs w:val="24"/>
        </w:rPr>
        <w:t> (</w:t>
      </w:r>
      <w:r w:rsidRPr="00771368">
        <w:rPr>
          <w:i/>
          <w:sz w:val="24"/>
          <w:szCs w:val="24"/>
        </w:rPr>
        <w:t>Upias)</w:t>
      </w:r>
      <w:r w:rsidRPr="00771368">
        <w:rPr>
          <w:sz w:val="24"/>
          <w:szCs w:val="24"/>
        </w:rPr>
        <w:t>,</w:t>
      </w:r>
      <w:r w:rsidRPr="00771368">
        <w:rPr>
          <w:rStyle w:val="Refdenotaderodap"/>
          <w:rFonts w:eastAsia="Calibri"/>
          <w:sz w:val="24"/>
          <w:szCs w:val="24"/>
        </w:rPr>
        <w:footnoteReference w:id="151"/>
      </w:r>
      <w:r w:rsidRPr="00771368">
        <w:rPr>
          <w:sz w:val="24"/>
          <w:szCs w:val="24"/>
        </w:rPr>
        <w:t xml:space="preserve"> criada em 1972, buscava questionar essa concepção opressiva da deficiência. A Upias queria tirar essa responsabilidade da opressão e exclusão das pessoas com deficiência</w:t>
      </w:r>
      <w:r w:rsidRPr="00771368">
        <w:rPr>
          <w:rStyle w:val="Refdenotaderodap"/>
          <w:rFonts w:eastAsia="Calibri"/>
          <w:sz w:val="24"/>
          <w:szCs w:val="24"/>
        </w:rPr>
        <w:footnoteReference w:id="152"/>
      </w:r>
      <w:r w:rsidRPr="00771368">
        <w:rPr>
          <w:sz w:val="24"/>
          <w:szCs w:val="24"/>
        </w:rPr>
        <w:t xml:space="preserve"> delas mesmas, e colocá-la na sociedade, onde a responsabilidade da exclusão está na incapacidade da sociedade se deparar com a deficiência. Assim surgiu o modelo social da deficiência, que ampliou o conceito de deficiência, atribuindo o impedimento da participação social das pessoas com deficiência aos contextos sociais não sensíveis à diversidade, e não, à lesão. Assim, nenhuma deficiência pode ser definida somente em termos biológicos, pois a organização social e expectativas da sociedade contribuem para ela.</w:t>
      </w:r>
      <w:r w:rsidRPr="00771368">
        <w:rPr>
          <w:rStyle w:val="Refdenotaderodap"/>
          <w:rFonts w:eastAsia="Calibri"/>
          <w:sz w:val="24"/>
          <w:szCs w:val="24"/>
        </w:rPr>
        <w:footnoteReference w:id="153"/>
      </w:r>
      <w:r w:rsidRPr="00771368">
        <w:rPr>
          <w:sz w:val="24"/>
          <w:szCs w:val="24"/>
        </w:rPr>
        <w:t xml:space="preserve"> “Deve-se entender deficiência como um conceito amplo e relacional. É deficiência toda e qualquer forma de desvantagem resultante da relação do corpo com lesões e a sociedade.”</w:t>
      </w:r>
      <w:r w:rsidRPr="00771368">
        <w:rPr>
          <w:rStyle w:val="Refdenotaderodap"/>
          <w:rFonts w:eastAsia="Calibri"/>
          <w:sz w:val="24"/>
          <w:szCs w:val="24"/>
        </w:rPr>
        <w:footnoteReference w:id="154"/>
      </w:r>
      <w:r w:rsidRPr="00771368">
        <w:rPr>
          <w:sz w:val="24"/>
          <w:szCs w:val="24"/>
        </w:rPr>
        <w:t xml:space="preserve"> </w:t>
      </w:r>
    </w:p>
    <w:p w:rsidR="00D61223" w:rsidRDefault="00D24E61" w:rsidP="00D61223">
      <w:pPr>
        <w:keepNext/>
        <w:widowControl w:val="0"/>
        <w:autoSpaceDE w:val="0"/>
        <w:autoSpaceDN w:val="0"/>
        <w:adjustRightInd w:val="0"/>
        <w:spacing w:line="360" w:lineRule="auto"/>
        <w:ind w:firstLine="851"/>
        <w:contextualSpacing/>
        <w:jc w:val="both"/>
        <w:rPr>
          <w:b/>
          <w:sz w:val="24"/>
          <w:szCs w:val="24"/>
        </w:rPr>
      </w:pPr>
      <w:r w:rsidRPr="00771368">
        <w:rPr>
          <w:sz w:val="24"/>
          <w:szCs w:val="24"/>
        </w:rPr>
        <w:t>Não somente a arquitetura, mas toda a organização física e social de uma sociedade que cria a deficiência.</w:t>
      </w:r>
      <w:r w:rsidRPr="00771368">
        <w:rPr>
          <w:rStyle w:val="Refdenotaderodap"/>
          <w:rFonts w:eastAsia="Calibri"/>
          <w:sz w:val="24"/>
          <w:szCs w:val="24"/>
        </w:rPr>
        <w:footnoteReference w:id="155"/>
      </w:r>
      <w:r w:rsidRPr="00771368">
        <w:rPr>
          <w:sz w:val="24"/>
          <w:szCs w:val="24"/>
        </w:rPr>
        <w:t xml:space="preserve"> São “barreiras devidas às atitudes e ao ambiente que impedem a plena e efetiva participação dessas pessoas na sociedade em igualdade de oportunidades com as demais pessoas.”</w:t>
      </w:r>
      <w:r w:rsidRPr="00771368">
        <w:rPr>
          <w:rStyle w:val="Refdenotaderodap"/>
          <w:rFonts w:eastAsia="Calibri"/>
          <w:sz w:val="24"/>
          <w:szCs w:val="24"/>
        </w:rPr>
        <w:footnoteReference w:id="156"/>
      </w:r>
      <w:r w:rsidRPr="00771368">
        <w:rPr>
          <w:sz w:val="24"/>
          <w:szCs w:val="24"/>
        </w:rPr>
        <w:t xml:space="preserve"> Entre as barreiras socioculturais geradas pela deficiência (e outras condições), temos: barreiras familiares, educacionais, profissionais, de saúde,  arquitetônicas, atitudinais, comunicacionais, entre outras.</w:t>
      </w:r>
      <w:r w:rsidRPr="00771368">
        <w:rPr>
          <w:rStyle w:val="Refdenotaderodap"/>
          <w:rFonts w:eastAsia="Calibri"/>
          <w:sz w:val="24"/>
          <w:szCs w:val="24"/>
        </w:rPr>
        <w:footnoteReference w:id="157"/>
      </w:r>
      <w:r w:rsidRPr="00771368">
        <w:rPr>
          <w:b/>
          <w:sz w:val="24"/>
          <w:szCs w:val="24"/>
        </w:rPr>
        <w:t xml:space="preserve"> </w:t>
      </w:r>
    </w:p>
    <w:p w:rsidR="00D24E61" w:rsidRPr="00771368" w:rsidRDefault="00D24E61" w:rsidP="00D61223">
      <w:pPr>
        <w:keepNext/>
        <w:widowControl w:val="0"/>
        <w:autoSpaceDE w:val="0"/>
        <w:autoSpaceDN w:val="0"/>
        <w:adjustRightInd w:val="0"/>
        <w:spacing w:line="360" w:lineRule="auto"/>
        <w:ind w:left="1985"/>
        <w:contextualSpacing/>
        <w:jc w:val="both"/>
        <w:rPr>
          <w:b/>
          <w:szCs w:val="24"/>
        </w:rPr>
      </w:pPr>
      <w:r w:rsidRPr="00771368">
        <w:rPr>
          <w:b/>
          <w:szCs w:val="24"/>
        </w:rPr>
        <w:t>As sociedades, segundo Susan Wendell, são fisicamente construídas e socialmente organizadas com um padrão de ideias de que todos são saudáveis, jovens, sem deficiência, formados de acordo com ideias culturais, e, de preferência homens, criam uma grande ideia de deficiência, negligenciando o que a maioria das pessoas precisa para participar completamente nela. As estruturas físicas (arquitetura, falta de acessibilidade) e organizações sociais (expectativas de performance e produtividade, transporte público, sistemas de comunicação, horários de trabalho, sem descanso), excluem as pessoas com deficiência, ou melhor, criam muita deficiência.</w:t>
      </w:r>
      <w:r w:rsidRPr="00771368">
        <w:rPr>
          <w:rStyle w:val="Refdenotaderodap"/>
          <w:rFonts w:eastAsia="Calibri"/>
          <w:b/>
          <w:szCs w:val="24"/>
        </w:rPr>
        <w:footnoteReference w:id="158"/>
      </w:r>
    </w:p>
    <w:p w:rsidR="00D24E61" w:rsidRPr="00771368" w:rsidRDefault="00D24E61" w:rsidP="00D61223">
      <w:pPr>
        <w:pStyle w:val="Ttulo6"/>
        <w:widowControl w:val="0"/>
        <w:tabs>
          <w:tab w:val="left" w:pos="851"/>
        </w:tabs>
        <w:spacing w:before="0" w:line="360" w:lineRule="auto"/>
        <w:ind w:left="1985" w:firstLine="0"/>
        <w:contextualSpacing/>
        <w:rPr>
          <w:rFonts w:ascii="Times New Roman" w:hAnsi="Times New Roman"/>
          <w:b/>
          <w:szCs w:val="24"/>
        </w:rPr>
      </w:pPr>
      <w:r w:rsidRPr="00771368">
        <w:rPr>
          <w:rFonts w:ascii="Times New Roman" w:hAnsi="Times New Roman"/>
          <w:b/>
          <w:szCs w:val="24"/>
        </w:rPr>
        <w:t>Há grande expectativa da sociedade em relação à execução de determinadas habilidades, especialmente aos métodos utilizados, e não se as pessoas irão conseguir ou não realizar essas habilidades. As expectativas da sociedade de produtividade muitas vezes excluem as pessoas com deficiência, mesmo que elas consigam realizar o trabalho esperado. O que pode ocorrer, é que as pessoas com deficiência precisem de uma carga horária ou trabalho diferenciado, e aí a grande demanda por produtividade e cargas horárias imensas muitas vezes se tornam incompatíveis.</w:t>
      </w:r>
      <w:r w:rsidRPr="00771368">
        <w:rPr>
          <w:rStyle w:val="Refdenotaderodap"/>
          <w:rFonts w:ascii="Times New Roman" w:eastAsia="Calibri" w:hAnsi="Times New Roman"/>
          <w:b/>
          <w:szCs w:val="24"/>
        </w:rPr>
        <w:footnoteReference w:id="159"/>
      </w:r>
      <w:r w:rsidRPr="00771368">
        <w:rPr>
          <w:rFonts w:ascii="Times New Roman" w:hAnsi="Times New Roman"/>
          <w:b/>
          <w:szCs w:val="24"/>
        </w:rPr>
        <w:t xml:space="preserve">  </w:t>
      </w:r>
    </w:p>
    <w:p w:rsidR="00D24E61" w:rsidRPr="00771368" w:rsidRDefault="00D24E61" w:rsidP="00D24E61">
      <w:pPr>
        <w:keepNext/>
        <w:widowControl w:val="0"/>
        <w:tabs>
          <w:tab w:val="left" w:pos="851"/>
        </w:tabs>
        <w:spacing w:line="360" w:lineRule="auto"/>
        <w:ind w:firstLine="851"/>
        <w:contextualSpacing/>
        <w:jc w:val="both"/>
        <w:rPr>
          <w:sz w:val="24"/>
          <w:szCs w:val="24"/>
        </w:rPr>
      </w:pPr>
      <w:r w:rsidRPr="00771368">
        <w:rPr>
          <w:sz w:val="24"/>
          <w:szCs w:val="24"/>
        </w:rPr>
        <w:t>A cultura também influencia na formação de estereótipos das pessoas com deficiência, na generalização de limitações mentais e físicas, nos significados atribuídos aos diferentes tipos de deficiência e doenças, e na exclusão das pessoas com deficiência nas atividades que não podem exercer, ou não se espera que exerçam,</w:t>
      </w:r>
      <w:r w:rsidRPr="00771368">
        <w:rPr>
          <w:rStyle w:val="Refdenotaderodap"/>
          <w:sz w:val="24"/>
          <w:szCs w:val="24"/>
        </w:rPr>
        <w:footnoteReference w:id="160"/>
      </w:r>
      <w:r w:rsidRPr="00771368">
        <w:rPr>
          <w:sz w:val="24"/>
          <w:szCs w:val="24"/>
        </w:rPr>
        <w:t xml:space="preserve"> categorizando as pessoas com deficiência de forma desvantajosa, de acordo com seus corpos que não estão de acordo com os padrões culturais.</w:t>
      </w:r>
      <w:r w:rsidRPr="00771368">
        <w:rPr>
          <w:rStyle w:val="Refdenotaderodap"/>
          <w:rFonts w:eastAsia="Calibri"/>
          <w:sz w:val="24"/>
          <w:szCs w:val="24"/>
        </w:rPr>
        <w:footnoteReference w:id="161"/>
      </w:r>
      <w:r w:rsidRPr="00771368">
        <w:rPr>
          <w:sz w:val="24"/>
          <w:szCs w:val="24"/>
        </w:rPr>
        <w:t xml:space="preserve"> A falta de representação cultural sobre as experiências das pessoas com deficiência, sobre como é ter uma deficiência, leva a um entendimento que é inconcebível viver com deficiência e aumenta o medo da deficiência, justamente por não saber como é viver com ela. Isso contribui para a consideração das pessoas com deficiência como “outros/outras”, não como sujeitos, como um grupo à parte, excluído, e cria um sistema de “normalidade”.</w:t>
      </w:r>
      <w:r w:rsidRPr="00771368">
        <w:rPr>
          <w:rStyle w:val="Refdenotaderodap"/>
          <w:rFonts w:eastAsia="Calibri"/>
          <w:sz w:val="24"/>
          <w:szCs w:val="24"/>
        </w:rPr>
        <w:footnoteReference w:id="162"/>
      </w:r>
    </w:p>
    <w:p w:rsidR="00D24E61" w:rsidRPr="00771368" w:rsidRDefault="00D24E61" w:rsidP="00D24E61">
      <w:pPr>
        <w:keepNext/>
        <w:widowControl w:val="0"/>
        <w:ind w:left="2268"/>
        <w:contextualSpacing/>
        <w:jc w:val="both"/>
        <w:rPr>
          <w:b/>
          <w:sz w:val="20"/>
          <w:szCs w:val="20"/>
        </w:rPr>
      </w:pPr>
      <w:r w:rsidRPr="00771368">
        <w:rPr>
          <w:sz w:val="20"/>
          <w:szCs w:val="20"/>
        </w:rPr>
        <w:t>“Em todas as culturas existem certos códigos de comportamento ou aparência física que determinam como devemos ser para estar na linha dos “normais” ou corretos; se esses padrões não são seguidos ou não possuem tais características as desvantagens deverão ser compensadas.”</w:t>
      </w:r>
      <w:r w:rsidRPr="00771368">
        <w:rPr>
          <w:rStyle w:val="Refdenotaderodap"/>
          <w:rFonts w:eastAsia="Calibri"/>
        </w:rPr>
        <w:footnoteReference w:id="163"/>
      </w:r>
      <w:r w:rsidRPr="00771368">
        <w:rPr>
          <w:b/>
          <w:sz w:val="20"/>
          <w:szCs w:val="20"/>
        </w:rPr>
        <w:t xml:space="preserve"> </w:t>
      </w:r>
    </w:p>
    <w:p w:rsidR="00D24E61" w:rsidRPr="00771368" w:rsidRDefault="00D24E61" w:rsidP="00D24E61">
      <w:pPr>
        <w:pStyle w:val="Ttulo6"/>
        <w:widowControl w:val="0"/>
        <w:tabs>
          <w:tab w:val="left" w:pos="851"/>
        </w:tabs>
        <w:spacing w:before="0" w:line="360" w:lineRule="auto"/>
        <w:contextualSpacing/>
        <w:rPr>
          <w:rFonts w:ascii="Times New Roman" w:hAnsi="Times New Roman"/>
          <w:b/>
          <w:szCs w:val="24"/>
        </w:rPr>
      </w:pPr>
    </w:p>
    <w:p w:rsidR="00D24E61" w:rsidRPr="00771368" w:rsidRDefault="00D24E61" w:rsidP="00D24E61">
      <w:pPr>
        <w:pStyle w:val="PargrafodaLista"/>
        <w:keepNext/>
        <w:widowControl w:val="0"/>
        <w:ind w:left="0"/>
        <w:rPr>
          <w:rFonts w:ascii="Times New Roman" w:hAnsi="Times New Roman"/>
          <w:sz w:val="24"/>
          <w:szCs w:val="24"/>
        </w:rPr>
      </w:pPr>
      <w:r w:rsidRPr="00771368">
        <w:rPr>
          <w:rFonts w:ascii="Times New Roman" w:hAnsi="Times New Roman"/>
          <w:sz w:val="24"/>
          <w:szCs w:val="24"/>
        </w:rPr>
        <w:t xml:space="preserve">Assim, a deficiência foi criada por convenções que diferem corpos capazes de incapazes, definindo o que é “normal”. Dessa forma, o valor de uma pessoa é medido pelas suas </w:t>
      </w:r>
      <w:r w:rsidR="00D61223">
        <w:rPr>
          <w:rFonts w:ascii="Times New Roman" w:hAnsi="Times New Roman"/>
          <w:sz w:val="24"/>
          <w:szCs w:val="24"/>
        </w:rPr>
        <w:t>H</w:t>
      </w:r>
      <w:r w:rsidRPr="00771368">
        <w:rPr>
          <w:rFonts w:ascii="Times New Roman" w:hAnsi="Times New Roman"/>
          <w:sz w:val="24"/>
          <w:szCs w:val="24"/>
        </w:rPr>
        <w:t>abilidades, poder e corpo perfeito,</w:t>
      </w:r>
      <w:r w:rsidRPr="00771368">
        <w:rPr>
          <w:rFonts w:ascii="Times New Roman" w:hAnsi="Times New Roman"/>
          <w:sz w:val="24"/>
          <w:szCs w:val="24"/>
          <w:vertAlign w:val="superscript"/>
        </w:rPr>
        <w:footnoteReference w:id="164"/>
      </w:r>
      <w:r w:rsidRPr="00771368">
        <w:rPr>
          <w:rFonts w:ascii="Times New Roman" w:hAnsi="Times New Roman"/>
          <w:sz w:val="24"/>
          <w:szCs w:val="24"/>
        </w:rPr>
        <w:t xml:space="preserve"> sendo a</w:t>
      </w:r>
      <w:r w:rsidRPr="00771368">
        <w:rPr>
          <w:rFonts w:ascii="Times New Roman" w:hAnsi="Times New Roman"/>
          <w:iCs/>
          <w:sz w:val="24"/>
          <w:szCs w:val="24"/>
        </w:rPr>
        <w:t>s pessoas com deficiência oprimidas desde o início da história da deficiência.</w:t>
      </w:r>
      <w:r w:rsidRPr="00771368">
        <w:rPr>
          <w:rStyle w:val="Refdenotaderodap"/>
          <w:rFonts w:ascii="Times New Roman" w:hAnsi="Times New Roman"/>
          <w:sz w:val="24"/>
          <w:szCs w:val="24"/>
        </w:rPr>
        <w:footnoteReference w:id="165"/>
      </w:r>
      <w:r w:rsidRPr="00771368">
        <w:rPr>
          <w:rFonts w:ascii="Times New Roman" w:hAnsi="Times New Roman"/>
          <w:iCs/>
          <w:sz w:val="24"/>
          <w:szCs w:val="24"/>
        </w:rPr>
        <w:t xml:space="preserve"> Somente n</w:t>
      </w:r>
      <w:r w:rsidRPr="00771368">
        <w:rPr>
          <w:rFonts w:ascii="Times New Roman" w:hAnsi="Times New Roman"/>
          <w:sz w:val="24"/>
          <w:szCs w:val="24"/>
        </w:rPr>
        <w:t>o fim da década de 80, surge o conceito de inclusão social, que se baseia no modelo social da deficiência, o primeiro a salientar a competência das pessoas com deficiência e das mulheres.</w:t>
      </w:r>
      <w:r w:rsidRPr="00771368">
        <w:rPr>
          <w:rStyle w:val="Refdenotaderodap"/>
          <w:rFonts w:ascii="Times New Roman" w:hAnsi="Times New Roman"/>
          <w:sz w:val="24"/>
          <w:szCs w:val="24"/>
        </w:rPr>
        <w:footnoteReference w:id="166"/>
      </w:r>
      <w:r w:rsidRPr="00771368">
        <w:rPr>
          <w:rFonts w:ascii="Times New Roman" w:hAnsi="Times New Roman"/>
          <w:sz w:val="24"/>
          <w:szCs w:val="24"/>
        </w:rPr>
        <w:t xml:space="preserve">  </w:t>
      </w:r>
    </w:p>
    <w:p w:rsidR="00D24E61" w:rsidRPr="00771368" w:rsidRDefault="00D24E61" w:rsidP="00D24E61">
      <w:pPr>
        <w:pStyle w:val="PargrafodaLista"/>
        <w:keepNext/>
        <w:widowControl w:val="0"/>
        <w:spacing w:line="240" w:lineRule="auto"/>
        <w:ind w:left="2268"/>
        <w:rPr>
          <w:rFonts w:ascii="Times New Roman" w:hAnsi="Times New Roman"/>
          <w:sz w:val="24"/>
          <w:szCs w:val="24"/>
        </w:rPr>
      </w:pPr>
      <w:r w:rsidRPr="00771368">
        <w:rPr>
          <w:rFonts w:ascii="Times New Roman" w:hAnsi="Times New Roman"/>
          <w:sz w:val="20"/>
          <w:szCs w:val="20"/>
        </w:rPr>
        <w:t>Inclusão, como um paradigma de sociedade, é o processo pelo qual os sistemas sociais comuns são tornados adequados para toda a diversidade humana - composta por etnia, raça, língua, nacionalidade, gênero, orientação sexual, deficiência e outros atributos - com a participação das próprias pessoas na formulação e execução dessas adequações</w:t>
      </w:r>
      <w:r w:rsidRPr="00771368">
        <w:rPr>
          <w:rFonts w:ascii="Times New Roman" w:hAnsi="Times New Roman"/>
          <w:sz w:val="24"/>
          <w:szCs w:val="24"/>
        </w:rPr>
        <w:t>.</w:t>
      </w:r>
      <w:r w:rsidRPr="00771368">
        <w:rPr>
          <w:rStyle w:val="Refdenotaderodap"/>
          <w:rFonts w:ascii="Times New Roman" w:hAnsi="Times New Roman"/>
          <w:sz w:val="24"/>
          <w:szCs w:val="24"/>
        </w:rPr>
        <w:footnoteReference w:id="167"/>
      </w:r>
      <w:r w:rsidRPr="00771368">
        <w:rPr>
          <w:rFonts w:ascii="Times New Roman" w:hAnsi="Times New Roman"/>
          <w:sz w:val="24"/>
          <w:szCs w:val="24"/>
        </w:rPr>
        <w:t xml:space="preserve"> </w:t>
      </w:r>
    </w:p>
    <w:p w:rsidR="00D24E61" w:rsidRPr="00771368" w:rsidRDefault="00D24E61" w:rsidP="00D24E61">
      <w:pPr>
        <w:pStyle w:val="PargrafodaLista"/>
        <w:keepNext/>
        <w:widowControl w:val="0"/>
        <w:spacing w:line="240" w:lineRule="auto"/>
        <w:ind w:left="2268"/>
        <w:rPr>
          <w:rFonts w:ascii="Times New Roman" w:hAnsi="Times New Roman"/>
          <w:sz w:val="24"/>
          <w:szCs w:val="24"/>
        </w:rPr>
      </w:pPr>
    </w:p>
    <w:p w:rsidR="00D24E61" w:rsidRPr="00771368" w:rsidRDefault="00D24E61" w:rsidP="00D24E61">
      <w:pPr>
        <w:pStyle w:val="PargrafodaLista"/>
        <w:keepNext/>
        <w:widowControl w:val="0"/>
        <w:ind w:left="0"/>
        <w:rPr>
          <w:rFonts w:ascii="Times New Roman" w:hAnsi="Times New Roman"/>
          <w:sz w:val="24"/>
          <w:szCs w:val="24"/>
        </w:rPr>
      </w:pPr>
      <w:r w:rsidRPr="00771368">
        <w:rPr>
          <w:rFonts w:ascii="Times New Roman" w:hAnsi="Times New Roman"/>
          <w:sz w:val="24"/>
          <w:szCs w:val="24"/>
        </w:rPr>
        <w:t>Porém, a exclusão e segregação continuam sendo praticadas,</w:t>
      </w:r>
      <w:r w:rsidRPr="00771368">
        <w:rPr>
          <w:rStyle w:val="Refdenotaderodap"/>
          <w:rFonts w:ascii="Times New Roman" w:hAnsi="Times New Roman"/>
          <w:sz w:val="24"/>
          <w:szCs w:val="24"/>
        </w:rPr>
        <w:footnoteReference w:id="168"/>
      </w:r>
      <w:r w:rsidRPr="00771368">
        <w:rPr>
          <w:rFonts w:ascii="Times New Roman" w:hAnsi="Times New Roman"/>
          <w:sz w:val="24"/>
          <w:szCs w:val="24"/>
        </w:rPr>
        <w:t xml:space="preserve"> mesmo com alguns avanços contra a discriminação de gênero e deficiência, a inclusão e equidade ainda não estão inseridas na prática diária.</w:t>
      </w:r>
      <w:r w:rsidRPr="00771368">
        <w:rPr>
          <w:rStyle w:val="Refdenotaderodap"/>
          <w:rFonts w:ascii="Times New Roman" w:hAnsi="Times New Roman"/>
          <w:sz w:val="24"/>
          <w:szCs w:val="24"/>
        </w:rPr>
        <w:footnoteReference w:id="169"/>
      </w:r>
      <w:r w:rsidRPr="00771368">
        <w:rPr>
          <w:rFonts w:ascii="Times New Roman" w:hAnsi="Times New Roman"/>
          <w:sz w:val="24"/>
          <w:szCs w:val="24"/>
          <w:lang w:eastAsia="pt-BR"/>
        </w:rPr>
        <w:t xml:space="preserve"> </w:t>
      </w:r>
      <w:r w:rsidRPr="00771368">
        <w:rPr>
          <w:rFonts w:ascii="Times New Roman" w:hAnsi="Times New Roman"/>
          <w:sz w:val="24"/>
          <w:szCs w:val="24"/>
        </w:rPr>
        <w:t>Os Estudos sobre Deficiência surgiram entre os anos 1970 e 1980, a partir das lutas políticas das pessoas com deficiência, por vida independente,</w:t>
      </w:r>
      <w:r w:rsidRPr="00771368">
        <w:rPr>
          <w:rStyle w:val="Refdenotaderodap"/>
          <w:rFonts w:ascii="Times New Roman" w:hAnsi="Times New Roman"/>
          <w:sz w:val="24"/>
          <w:szCs w:val="24"/>
        </w:rPr>
        <w:footnoteReference w:id="170"/>
      </w:r>
      <w:r w:rsidRPr="00771368">
        <w:rPr>
          <w:rFonts w:ascii="Times New Roman" w:hAnsi="Times New Roman"/>
          <w:sz w:val="24"/>
          <w:szCs w:val="24"/>
        </w:rPr>
        <w:t xml:space="preserve"> reivindicando seus direitos e tendo como principal eixo o modelo social da deficiência.</w:t>
      </w:r>
      <w:r w:rsidRPr="00771368">
        <w:rPr>
          <w:rStyle w:val="Refdenotaderodap"/>
          <w:rFonts w:ascii="Times New Roman" w:hAnsi="Times New Roman"/>
          <w:sz w:val="24"/>
          <w:szCs w:val="24"/>
        </w:rPr>
        <w:footnoteReference w:id="171"/>
      </w:r>
      <w:r w:rsidRPr="00771368">
        <w:rPr>
          <w:rFonts w:ascii="Times New Roman" w:hAnsi="Times New Roman"/>
          <w:sz w:val="24"/>
          <w:szCs w:val="24"/>
        </w:rPr>
        <w:t xml:space="preserve"> </w:t>
      </w:r>
    </w:p>
    <w:p w:rsidR="00D24E61" w:rsidRPr="00771368" w:rsidRDefault="00D24E61" w:rsidP="00D24E61">
      <w:pPr>
        <w:pStyle w:val="PargrafodaLista"/>
        <w:keepNext/>
        <w:widowControl w:val="0"/>
        <w:ind w:left="0"/>
        <w:rPr>
          <w:rFonts w:ascii="Times New Roman" w:hAnsi="Times New Roman"/>
          <w:color w:val="FF0000"/>
          <w:sz w:val="24"/>
          <w:szCs w:val="24"/>
        </w:rPr>
      </w:pPr>
      <w:r w:rsidRPr="00771368">
        <w:rPr>
          <w:rFonts w:ascii="Times New Roman" w:hAnsi="Times New Roman"/>
          <w:sz w:val="24"/>
          <w:szCs w:val="24"/>
        </w:rPr>
        <w:t>Os Estudos Feministas surgem a partir dos movimentos feministas, buscando transformar as relações sociais entre os sexos, visando uma equidade entre homens e mulheres.</w:t>
      </w:r>
      <w:r w:rsidRPr="00771368">
        <w:rPr>
          <w:rStyle w:val="Refdenotaderodap"/>
          <w:rFonts w:ascii="Times New Roman" w:hAnsi="Times New Roman"/>
          <w:sz w:val="24"/>
          <w:szCs w:val="24"/>
        </w:rPr>
        <w:footnoteReference w:id="172"/>
      </w:r>
      <w:r w:rsidRPr="00771368">
        <w:rPr>
          <w:rFonts w:ascii="Times New Roman" w:hAnsi="Times New Roman"/>
          <w:sz w:val="24"/>
          <w:szCs w:val="24"/>
        </w:rPr>
        <w:t xml:space="preserve"> O conceito de gênero surge a partir dos movimentos feministas, como a “construção cultural do que se constituem os papéis, as funções e os valores considerados inerentes a cada sexo em determinada sociedade”.</w:t>
      </w:r>
      <w:r w:rsidRPr="00771368">
        <w:rPr>
          <w:rStyle w:val="Refdenotaderodap"/>
          <w:rFonts w:ascii="Times New Roman" w:hAnsi="Times New Roman"/>
          <w:sz w:val="24"/>
          <w:szCs w:val="24"/>
        </w:rPr>
        <w:footnoteReference w:id="173"/>
      </w:r>
      <w:r w:rsidRPr="00771368">
        <w:rPr>
          <w:rFonts w:ascii="Times New Roman" w:hAnsi="Times New Roman"/>
          <w:sz w:val="24"/>
          <w:szCs w:val="24"/>
        </w:rPr>
        <w:t xml:space="preserve"> A</w:t>
      </w:r>
      <w:r w:rsidRPr="00771368">
        <w:rPr>
          <w:rFonts w:ascii="Times New Roman" w:hAnsi="Times New Roman"/>
          <w:iCs/>
          <w:color w:val="1D1D1B"/>
          <w:sz w:val="24"/>
          <w:szCs w:val="24"/>
        </w:rPr>
        <w:t xml:space="preserve"> categoria de análise de gênero nos leva a compreender</w:t>
      </w:r>
      <w:r w:rsidRPr="00771368">
        <w:rPr>
          <w:rFonts w:ascii="Times New Roman" w:hAnsi="Times New Roman"/>
          <w:sz w:val="24"/>
          <w:szCs w:val="24"/>
        </w:rPr>
        <w:t xml:space="preserve"> </w:t>
      </w:r>
      <w:r w:rsidRPr="00771368">
        <w:rPr>
          <w:rFonts w:ascii="Times New Roman" w:hAnsi="Times New Roman"/>
          <w:iCs/>
          <w:color w:val="1D1D1B"/>
          <w:sz w:val="24"/>
          <w:szCs w:val="24"/>
        </w:rPr>
        <w:t xml:space="preserve">que há um entendimento de que </w:t>
      </w:r>
      <w:r w:rsidRPr="00771368">
        <w:rPr>
          <w:rFonts w:ascii="Times New Roman" w:hAnsi="Times New Roman"/>
          <w:sz w:val="24"/>
          <w:szCs w:val="24"/>
        </w:rPr>
        <w:t>cabe às mulheres o espaço privado (âmbito familiar) e aos homens, a responsabilidade pelo sustento da família (âmbito público).</w:t>
      </w:r>
      <w:r w:rsidRPr="00771368">
        <w:rPr>
          <w:rStyle w:val="Refdenotaderodap"/>
          <w:rFonts w:ascii="Times New Roman" w:hAnsi="Times New Roman"/>
          <w:sz w:val="24"/>
          <w:szCs w:val="24"/>
        </w:rPr>
        <w:footnoteReference w:id="174"/>
      </w:r>
      <w:r w:rsidRPr="00771368">
        <w:rPr>
          <w:rFonts w:ascii="Times New Roman" w:hAnsi="Times New Roman"/>
          <w:sz w:val="24"/>
          <w:szCs w:val="24"/>
        </w:rPr>
        <w:t xml:space="preserve"> Tanto as teorias feministas/de gênero quanto os Estudos sobre Deficiência consideram a desigualdade imoral e lutam contra a opressão. Ambos os estudos denunciam a desigualdade, a discriminação e a opressão socialmente criada pelo corpo (sexo/lesão).</w:t>
      </w:r>
      <w:r w:rsidRPr="00771368">
        <w:rPr>
          <w:rStyle w:val="Refdenotaderodap"/>
          <w:rFonts w:ascii="Times New Roman" w:hAnsi="Times New Roman"/>
          <w:sz w:val="24"/>
          <w:szCs w:val="24"/>
        </w:rPr>
        <w:footnoteReference w:id="175"/>
      </w:r>
      <w:r w:rsidRPr="00771368">
        <w:rPr>
          <w:rFonts w:ascii="Times New Roman" w:hAnsi="Times New Roman"/>
          <w:sz w:val="24"/>
          <w:szCs w:val="24"/>
        </w:rPr>
        <w:t xml:space="preserve"> Assim, os estudos sobre Deficiência podem se beneficiar dos Estudos Feministas/de Gênero, e vice-e-versa.</w:t>
      </w:r>
      <w:r w:rsidRPr="00771368">
        <w:rPr>
          <w:rStyle w:val="Refdenotaderodap"/>
          <w:rFonts w:ascii="Times New Roman" w:hAnsi="Times New Roman"/>
          <w:sz w:val="24"/>
          <w:szCs w:val="24"/>
        </w:rPr>
        <w:footnoteReference w:id="176"/>
      </w:r>
    </w:p>
    <w:p w:rsidR="00D24E61" w:rsidRPr="00771368" w:rsidRDefault="00D24E61" w:rsidP="00D24E61">
      <w:pPr>
        <w:keepNext/>
        <w:widowControl w:val="0"/>
        <w:spacing w:line="360" w:lineRule="auto"/>
        <w:ind w:firstLine="851"/>
        <w:contextualSpacing/>
        <w:jc w:val="both"/>
        <w:rPr>
          <w:sz w:val="24"/>
          <w:szCs w:val="24"/>
        </w:rPr>
      </w:pPr>
    </w:p>
    <w:p w:rsidR="00D24E61" w:rsidRPr="00771368" w:rsidRDefault="00D24E61" w:rsidP="00D24E61">
      <w:pPr>
        <w:keepNext/>
        <w:widowControl w:val="0"/>
        <w:spacing w:line="360" w:lineRule="auto"/>
        <w:contextualSpacing/>
        <w:jc w:val="both"/>
        <w:rPr>
          <w:b/>
          <w:sz w:val="24"/>
          <w:szCs w:val="24"/>
        </w:rPr>
      </w:pPr>
      <w:r w:rsidRPr="00771368">
        <w:rPr>
          <w:b/>
          <w:sz w:val="24"/>
          <w:szCs w:val="24"/>
        </w:rPr>
        <w:t>Objetivos</w:t>
      </w:r>
    </w:p>
    <w:p w:rsidR="00D24E61" w:rsidRPr="00771368" w:rsidRDefault="00D24E61" w:rsidP="00D24E61">
      <w:pPr>
        <w:keepNext/>
        <w:widowControl w:val="0"/>
        <w:spacing w:line="360" w:lineRule="auto"/>
        <w:contextualSpacing/>
        <w:jc w:val="both"/>
        <w:rPr>
          <w:b/>
          <w:sz w:val="24"/>
          <w:szCs w:val="24"/>
        </w:rPr>
      </w:pPr>
    </w:p>
    <w:p w:rsidR="00D24E61" w:rsidRPr="00771368" w:rsidRDefault="00D24E61" w:rsidP="00D24E61">
      <w:pPr>
        <w:keepNext/>
        <w:widowControl w:val="0"/>
        <w:spacing w:line="360" w:lineRule="auto"/>
        <w:ind w:firstLine="851"/>
        <w:contextualSpacing/>
        <w:jc w:val="both"/>
        <w:rPr>
          <w:sz w:val="24"/>
          <w:szCs w:val="24"/>
        </w:rPr>
      </w:pPr>
      <w:r w:rsidRPr="00771368">
        <w:rPr>
          <w:sz w:val="24"/>
          <w:szCs w:val="24"/>
        </w:rPr>
        <w:t>A partir da escassez de pesquisas sobre gênero e deficiência na língua portuguesa, este artigo visa investigar relações entre gênero, feminismo e deficiência, além de oferecer contribuições para as pesquisas na área.</w:t>
      </w:r>
    </w:p>
    <w:p w:rsidR="00D24E61" w:rsidRPr="00771368" w:rsidRDefault="00D24E61" w:rsidP="00D24E61">
      <w:pPr>
        <w:keepNext/>
        <w:widowControl w:val="0"/>
        <w:spacing w:line="360" w:lineRule="auto"/>
        <w:ind w:firstLine="851"/>
        <w:contextualSpacing/>
        <w:jc w:val="both"/>
        <w:rPr>
          <w:sz w:val="24"/>
          <w:szCs w:val="24"/>
        </w:rPr>
      </w:pPr>
    </w:p>
    <w:p w:rsidR="00D24E61" w:rsidRPr="00771368" w:rsidRDefault="00D24E61" w:rsidP="00D24E61">
      <w:pPr>
        <w:keepNext/>
        <w:widowControl w:val="0"/>
        <w:spacing w:line="360" w:lineRule="auto"/>
        <w:contextualSpacing/>
        <w:jc w:val="both"/>
        <w:rPr>
          <w:b/>
          <w:sz w:val="24"/>
          <w:szCs w:val="24"/>
        </w:rPr>
      </w:pPr>
      <w:r w:rsidRPr="00771368">
        <w:rPr>
          <w:b/>
          <w:sz w:val="24"/>
          <w:szCs w:val="24"/>
        </w:rPr>
        <w:t>Metodologia</w:t>
      </w:r>
    </w:p>
    <w:p w:rsidR="00D24E61" w:rsidRPr="00771368" w:rsidRDefault="00D24E61" w:rsidP="00D24E61">
      <w:pPr>
        <w:keepNext/>
        <w:widowControl w:val="0"/>
        <w:spacing w:line="360" w:lineRule="auto"/>
        <w:contextualSpacing/>
        <w:jc w:val="both"/>
        <w:rPr>
          <w:b/>
          <w:sz w:val="24"/>
          <w:szCs w:val="24"/>
        </w:rPr>
      </w:pPr>
    </w:p>
    <w:p w:rsidR="00D24E61" w:rsidRPr="00771368" w:rsidRDefault="00D24E61" w:rsidP="00D24E61">
      <w:pPr>
        <w:keepNext/>
        <w:widowControl w:val="0"/>
        <w:spacing w:line="360" w:lineRule="auto"/>
        <w:ind w:firstLine="851"/>
        <w:contextualSpacing/>
        <w:jc w:val="both"/>
        <w:rPr>
          <w:sz w:val="24"/>
          <w:szCs w:val="24"/>
        </w:rPr>
      </w:pPr>
      <w:r w:rsidRPr="00771368">
        <w:rPr>
          <w:sz w:val="24"/>
          <w:szCs w:val="24"/>
        </w:rPr>
        <w:t>A presente pesquisa é uma revisão bibliográfica sobre gênero, deficiência e feminismo, através da busca em periódicos em diversas bases de dados a partir do Portal de Periódicos da CAPES (Coordenação de Aperfeiçoamento de Pessoal de Nível Superior), e de teses e dissertações na Biblioteca Digital de Teses e Dissertações (TEDE), além de livros eletrônicos, com a inclusão dos termos: “deficiência” e “gênero”, ou “mulheres”, “homens”, “feminismo” ou “feminista”.</w:t>
      </w:r>
    </w:p>
    <w:p w:rsidR="00D24E61" w:rsidRPr="00771368" w:rsidRDefault="00D24E61" w:rsidP="00D24E61">
      <w:pPr>
        <w:keepNext/>
        <w:widowControl w:val="0"/>
        <w:spacing w:line="360" w:lineRule="auto"/>
        <w:ind w:firstLine="851"/>
        <w:contextualSpacing/>
        <w:jc w:val="both"/>
        <w:rPr>
          <w:b/>
          <w:sz w:val="24"/>
          <w:szCs w:val="24"/>
        </w:rPr>
      </w:pPr>
    </w:p>
    <w:p w:rsidR="00D24E61" w:rsidRPr="00771368" w:rsidRDefault="00D24E61" w:rsidP="00D24E61">
      <w:pPr>
        <w:keepNext/>
        <w:widowControl w:val="0"/>
        <w:spacing w:line="360" w:lineRule="auto"/>
        <w:contextualSpacing/>
        <w:jc w:val="both"/>
        <w:rPr>
          <w:b/>
          <w:sz w:val="24"/>
          <w:szCs w:val="24"/>
        </w:rPr>
      </w:pPr>
      <w:r w:rsidRPr="00771368">
        <w:rPr>
          <w:b/>
          <w:sz w:val="24"/>
          <w:szCs w:val="24"/>
        </w:rPr>
        <w:t>Resultados e Discussão</w:t>
      </w:r>
    </w:p>
    <w:p w:rsidR="00D24E61" w:rsidRPr="00771368" w:rsidRDefault="00D24E61" w:rsidP="00D24E61">
      <w:pPr>
        <w:keepNext/>
        <w:widowControl w:val="0"/>
        <w:spacing w:line="360" w:lineRule="auto"/>
        <w:contextualSpacing/>
        <w:jc w:val="both"/>
        <w:rPr>
          <w:b/>
          <w:sz w:val="24"/>
          <w:szCs w:val="24"/>
        </w:rPr>
      </w:pPr>
    </w:p>
    <w:p w:rsidR="00D24E61" w:rsidRPr="00771368" w:rsidRDefault="00D24E61" w:rsidP="00D24E61">
      <w:pPr>
        <w:keepNext/>
        <w:widowControl w:val="0"/>
        <w:autoSpaceDE w:val="0"/>
        <w:autoSpaceDN w:val="0"/>
        <w:adjustRightInd w:val="0"/>
        <w:spacing w:line="360" w:lineRule="auto"/>
        <w:ind w:firstLine="851"/>
        <w:contextualSpacing/>
        <w:jc w:val="both"/>
        <w:rPr>
          <w:sz w:val="24"/>
          <w:szCs w:val="24"/>
        </w:rPr>
      </w:pPr>
      <w:r w:rsidRPr="00771368">
        <w:rPr>
          <w:sz w:val="24"/>
          <w:szCs w:val="24"/>
          <w:shd w:val="clear" w:color="auto" w:fill="FFFFFF"/>
        </w:rPr>
        <w:t>A reflexão feminista e a análise de gênero foram incluídas na</w:t>
      </w:r>
      <w:r w:rsidRPr="00771368">
        <w:rPr>
          <w:sz w:val="24"/>
          <w:szCs w:val="24"/>
        </w:rPr>
        <w:t xml:space="preserve"> segunda geração do modelo social da deficiência, somente a partir de 1990, além das outras identidades como raça, idade, orientação sexual, entre outras.</w:t>
      </w:r>
      <w:r w:rsidRPr="00771368">
        <w:rPr>
          <w:rStyle w:val="Refdenotaderodap"/>
          <w:rFonts w:eastAsia="Calibri"/>
          <w:sz w:val="24"/>
          <w:szCs w:val="24"/>
        </w:rPr>
        <w:footnoteReference w:id="177"/>
      </w:r>
      <w:r w:rsidRPr="00771368">
        <w:rPr>
          <w:sz w:val="24"/>
          <w:szCs w:val="24"/>
        </w:rPr>
        <w:t xml:space="preserve"> Até então o modelo social da deficiência só contava com experiências masculinas.</w:t>
      </w:r>
      <w:r w:rsidRPr="00771368">
        <w:rPr>
          <w:rStyle w:val="Refdenotaderodap"/>
          <w:rFonts w:eastAsia="Calibri"/>
          <w:sz w:val="24"/>
          <w:szCs w:val="24"/>
        </w:rPr>
        <w:footnoteReference w:id="178"/>
      </w:r>
      <w:r w:rsidRPr="00771368">
        <w:rPr>
          <w:sz w:val="24"/>
          <w:szCs w:val="24"/>
        </w:rPr>
        <w:t xml:space="preserve"> </w:t>
      </w:r>
    </w:p>
    <w:p w:rsidR="00D24E61" w:rsidRPr="00771368" w:rsidRDefault="00D24E61" w:rsidP="00D24E61">
      <w:pPr>
        <w:pStyle w:val="Ttulo6"/>
        <w:widowControl w:val="0"/>
        <w:tabs>
          <w:tab w:val="left" w:pos="851"/>
        </w:tabs>
        <w:spacing w:before="0" w:line="360" w:lineRule="auto"/>
        <w:rPr>
          <w:rFonts w:ascii="Times New Roman" w:hAnsi="Times New Roman"/>
          <w:b/>
          <w:szCs w:val="24"/>
        </w:rPr>
      </w:pPr>
      <w:r w:rsidRPr="00771368">
        <w:rPr>
          <w:rFonts w:ascii="Times New Roman" w:hAnsi="Times New Roman"/>
          <w:b/>
          <w:szCs w:val="24"/>
        </w:rPr>
        <w:t>A primeira geração do modelo social, criada por homens, provavelmente em idade produtiva, e na sua maioria com deficiências físicas, concebia a independência e autonomia como ideais éticos. Acreditavam que retirando as barreiras sociais (especialmente as arquitetônicas e de transporte), que impediam a independência das pessoas com deficiência, faria com que se tornassem independentes. As teóricas feministas criticaram este modelo, que se baseava na inclusão, e não na crítica aos pressupostos morais de organização social em torno do trabalho e independência.</w:t>
      </w:r>
      <w:r w:rsidRPr="00771368">
        <w:rPr>
          <w:rStyle w:val="Refdenotaderodap"/>
          <w:rFonts w:ascii="Times New Roman" w:eastAsia="Calibri" w:hAnsi="Times New Roman"/>
          <w:b/>
          <w:szCs w:val="24"/>
        </w:rPr>
        <w:footnoteReference w:id="179"/>
      </w:r>
      <w:r w:rsidRPr="00771368">
        <w:rPr>
          <w:rFonts w:ascii="Times New Roman" w:hAnsi="Times New Roman"/>
          <w:b/>
          <w:szCs w:val="24"/>
        </w:rPr>
        <w:t xml:space="preserve"> </w:t>
      </w:r>
    </w:p>
    <w:p w:rsidR="00D24E61" w:rsidRPr="00771368" w:rsidRDefault="00D24E61" w:rsidP="00D24E61">
      <w:pPr>
        <w:keepNext/>
        <w:widowControl w:val="0"/>
        <w:spacing w:line="360" w:lineRule="auto"/>
        <w:ind w:firstLine="851"/>
        <w:jc w:val="both"/>
        <w:rPr>
          <w:sz w:val="24"/>
          <w:szCs w:val="24"/>
        </w:rPr>
      </w:pPr>
      <w:r w:rsidRPr="00771368">
        <w:rPr>
          <w:sz w:val="24"/>
          <w:szCs w:val="24"/>
        </w:rPr>
        <w:t>As teóricas feministas ampliaram o olhar para as questões que permeiam as vidas das pessoas com deficiência, refletindo sobre o cuidado, a dor, a independência, a lesão e a interdependência.</w:t>
      </w:r>
      <w:r w:rsidRPr="00771368">
        <w:rPr>
          <w:b/>
          <w:sz w:val="24"/>
          <w:szCs w:val="24"/>
        </w:rPr>
        <w:t xml:space="preserve"> </w:t>
      </w:r>
      <w:r w:rsidRPr="00771368">
        <w:rPr>
          <w:sz w:val="24"/>
          <w:szCs w:val="24"/>
        </w:rPr>
        <w:t>Também debateram sobre as restrições intelectuais, e a ambiguidade da identidade deficiente das pessoas com lesões não aparentes. Também foram as feministas que apresentaram a influência das questões de gênero, raça, idade e orientação sexual,</w:t>
      </w:r>
      <w:r w:rsidRPr="00771368">
        <w:rPr>
          <w:rStyle w:val="Refdenotaderodap"/>
          <w:rFonts w:eastAsia="Calibri"/>
          <w:sz w:val="24"/>
          <w:szCs w:val="24"/>
        </w:rPr>
        <w:footnoteReference w:id="180"/>
      </w:r>
      <w:r w:rsidRPr="00771368">
        <w:rPr>
          <w:sz w:val="24"/>
          <w:szCs w:val="24"/>
        </w:rPr>
        <w:t xml:space="preserve"> cada característica dessas pode alterar o significado de sua deficiência".</w:t>
      </w:r>
      <w:r w:rsidRPr="00771368">
        <w:rPr>
          <w:rStyle w:val="Refdenotaderodap"/>
          <w:rFonts w:eastAsia="Calibri"/>
          <w:sz w:val="24"/>
          <w:szCs w:val="24"/>
        </w:rPr>
        <w:footnoteReference w:id="181"/>
      </w:r>
      <w:r w:rsidRPr="00771368">
        <w:rPr>
          <w:sz w:val="24"/>
          <w:szCs w:val="24"/>
        </w:rPr>
        <w:t xml:space="preserve"> </w:t>
      </w:r>
    </w:p>
    <w:p w:rsidR="00D24E61" w:rsidRPr="00771368" w:rsidRDefault="00D24E61" w:rsidP="00D24E61">
      <w:pPr>
        <w:pStyle w:val="PargrafodaLista"/>
        <w:keepNext/>
        <w:widowControl w:val="0"/>
        <w:ind w:left="0"/>
        <w:rPr>
          <w:rFonts w:ascii="Times New Roman" w:hAnsi="Times New Roman"/>
          <w:sz w:val="24"/>
          <w:szCs w:val="24"/>
        </w:rPr>
      </w:pPr>
      <w:r w:rsidRPr="00771368">
        <w:rPr>
          <w:rFonts w:ascii="Times New Roman" w:hAnsi="Times New Roman"/>
          <w:sz w:val="24"/>
          <w:szCs w:val="24"/>
        </w:rPr>
        <w:t>As pessoas com deficiência não enfrentam discriminações somente em relação à deficiência, mas também em relação ao gênero. A deficiência ocorre com a interseção de outras identidades como gênero, classe, raça/etnia e orientação sexual, e junto com elas pode produzir profundas desigualdades.</w:t>
      </w:r>
      <w:r w:rsidRPr="00771368">
        <w:rPr>
          <w:rFonts w:ascii="Times New Roman" w:hAnsi="Times New Roman"/>
          <w:sz w:val="24"/>
          <w:szCs w:val="24"/>
          <w:vertAlign w:val="superscript"/>
        </w:rPr>
        <w:footnoteReference w:id="182"/>
      </w:r>
      <w:r w:rsidRPr="00771368">
        <w:rPr>
          <w:rFonts w:ascii="Times New Roman" w:hAnsi="Times New Roman"/>
          <w:sz w:val="24"/>
          <w:szCs w:val="24"/>
        </w:rPr>
        <w:t xml:space="preserve"> Tanto em relação ao gênero quanto à deficiência, discriminações ocorrem em relação aos corpos, ou pela lesão (deficiência) ou pelo sexo biológico (gênero), de acordo com Kim Hall.</w:t>
      </w:r>
      <w:r w:rsidRPr="00771368">
        <w:rPr>
          <w:rStyle w:val="Refdenotaderodap"/>
          <w:rFonts w:ascii="Times New Roman" w:hAnsi="Times New Roman"/>
          <w:sz w:val="24"/>
          <w:szCs w:val="24"/>
        </w:rPr>
        <w:footnoteReference w:id="183"/>
      </w:r>
      <w:r w:rsidRPr="00771368">
        <w:rPr>
          <w:rFonts w:ascii="Times New Roman" w:hAnsi="Times New Roman"/>
          <w:sz w:val="24"/>
          <w:szCs w:val="24"/>
        </w:rPr>
        <w:t xml:space="preserve"> Assim, “os significados construídos em torno de gênero e deficiência devem ser compreendidos como a relação entre o corpo com impedimento e a relação desigual de poder.”</w:t>
      </w:r>
      <w:r w:rsidRPr="00771368">
        <w:rPr>
          <w:rStyle w:val="Refdenotaderodap"/>
          <w:rFonts w:ascii="Times New Roman" w:hAnsi="Times New Roman"/>
          <w:sz w:val="24"/>
          <w:szCs w:val="24"/>
        </w:rPr>
        <w:footnoteReference w:id="184"/>
      </w:r>
      <w:r w:rsidRPr="00771368">
        <w:rPr>
          <w:rFonts w:ascii="Times New Roman" w:hAnsi="Times New Roman"/>
          <w:color w:val="FF0000"/>
          <w:sz w:val="24"/>
          <w:szCs w:val="24"/>
        </w:rPr>
        <w:t xml:space="preserve"> </w:t>
      </w:r>
    </w:p>
    <w:p w:rsidR="00D24E61" w:rsidRPr="00771368" w:rsidRDefault="00D24E61" w:rsidP="00D24E61">
      <w:pPr>
        <w:pStyle w:val="FG10-corpo-do-texto"/>
        <w:keepNext/>
        <w:widowControl w:val="0"/>
        <w:suppressAutoHyphens w:val="0"/>
        <w:ind w:firstLine="851"/>
        <w:rPr>
          <w:rFonts w:cs="Times New Roman"/>
          <w:szCs w:val="24"/>
        </w:rPr>
      </w:pPr>
      <w:r w:rsidRPr="00771368">
        <w:rPr>
          <w:rFonts w:cs="Times New Roman"/>
          <w:szCs w:val="24"/>
        </w:rPr>
        <w:t>As pessoas com deficiências mais severas, de acordo com Helen Meekosha são representadas como se estivessem fora das representações de gênero para o seu sexo, não tendo expectativas em relação aos papeis de gênero que devem desempenhar, estes se tornam obscurecidos pela deficiência.</w:t>
      </w:r>
      <w:r w:rsidRPr="00771368">
        <w:rPr>
          <w:rStyle w:val="Refdenotaderodap"/>
          <w:rFonts w:cs="Times New Roman"/>
          <w:szCs w:val="24"/>
        </w:rPr>
        <w:footnoteReference w:id="185"/>
      </w:r>
      <w:r w:rsidRPr="00771368">
        <w:rPr>
          <w:rFonts w:cs="Times New Roman"/>
          <w:szCs w:val="24"/>
        </w:rPr>
        <w:t xml:space="preserve"> Assim, as expectativas em relação ao gênero são diferentes de acordo com o tipo e severidade da deficiência</w:t>
      </w:r>
      <w:r w:rsidRPr="00771368">
        <w:rPr>
          <w:rStyle w:val="Refdenotaderodap"/>
          <w:rFonts w:cs="Times New Roman"/>
          <w:szCs w:val="24"/>
        </w:rPr>
        <w:footnoteReference w:id="186"/>
      </w:r>
      <w:r w:rsidRPr="00771368">
        <w:rPr>
          <w:rFonts w:cs="Times New Roman"/>
          <w:szCs w:val="24"/>
        </w:rPr>
        <w:t xml:space="preserve">, </w:t>
      </w:r>
      <w:r w:rsidRPr="00771368">
        <w:rPr>
          <w:rFonts w:cs="Times New Roman"/>
        </w:rPr>
        <w:t>sendo moduladas por ela.</w:t>
      </w:r>
      <w:r w:rsidRPr="00771368">
        <w:rPr>
          <w:rStyle w:val="Refdenotaderodap"/>
          <w:rFonts w:cs="Times New Roman"/>
        </w:rPr>
        <w:footnoteReference w:id="187"/>
      </w:r>
      <w:r w:rsidRPr="00771368">
        <w:rPr>
          <w:rFonts w:cs="Times New Roman"/>
        </w:rPr>
        <w:t xml:space="preserve"> Q</w:t>
      </w:r>
      <w:r w:rsidRPr="00771368">
        <w:rPr>
          <w:rFonts w:cs="Times New Roman"/>
          <w:szCs w:val="24"/>
        </w:rPr>
        <w:t>uanto maior a severidade da deficiência, menores as expectativas em relação ao gênero.</w:t>
      </w:r>
      <w:r w:rsidRPr="00771368">
        <w:rPr>
          <w:rStyle w:val="Refdenotaderodap"/>
          <w:rFonts w:cs="Times New Roman"/>
          <w:szCs w:val="24"/>
        </w:rPr>
        <w:footnoteReference w:id="188"/>
      </w:r>
      <w:r w:rsidRPr="00771368">
        <w:rPr>
          <w:rFonts w:cs="Times New Roman"/>
          <w:szCs w:val="24"/>
        </w:rPr>
        <w:t xml:space="preserve"> </w:t>
      </w:r>
    </w:p>
    <w:p w:rsidR="00D24E61" w:rsidRPr="00771368" w:rsidRDefault="00D24E61" w:rsidP="00D24E61">
      <w:pPr>
        <w:pStyle w:val="FG10-corpo-do-texto"/>
        <w:keepNext/>
        <w:widowControl w:val="0"/>
        <w:suppressAutoHyphens w:val="0"/>
        <w:ind w:firstLine="851"/>
        <w:rPr>
          <w:rFonts w:cs="Times New Roman"/>
          <w:szCs w:val="24"/>
        </w:rPr>
      </w:pPr>
      <w:r w:rsidRPr="00771368">
        <w:rPr>
          <w:rFonts w:cs="Times New Roman"/>
          <w:szCs w:val="24"/>
        </w:rPr>
        <w:t>As mulheres com deficiência são excluídas do sistema cultural de representação de gênero, das expectativas em relação ao seu gênero,</w:t>
      </w:r>
      <w:r w:rsidRPr="00771368">
        <w:rPr>
          <w:rStyle w:val="Refdenotaderodap"/>
          <w:rFonts w:cs="Times New Roman"/>
          <w:szCs w:val="24"/>
        </w:rPr>
        <w:footnoteReference w:id="189"/>
      </w:r>
      <w:r w:rsidRPr="00771368">
        <w:rPr>
          <w:rFonts w:cs="Times New Roman"/>
          <w:szCs w:val="24"/>
        </w:rPr>
        <w:t xml:space="preserve"> ou melhor, segundo Adrienne Harris e Dana Wideman,</w:t>
      </w:r>
      <w:r w:rsidRPr="00771368">
        <w:rPr>
          <w:rStyle w:val="Refdenotaderodap"/>
          <w:rFonts w:cs="Times New Roman"/>
          <w:szCs w:val="24"/>
        </w:rPr>
        <w:footnoteReference w:id="190"/>
      </w:r>
      <w:r w:rsidRPr="00771368">
        <w:rPr>
          <w:rFonts w:cs="Times New Roman"/>
          <w:szCs w:val="24"/>
        </w:rPr>
        <w:t xml:space="preserve"> não</w:t>
      </w:r>
      <w:r w:rsidRPr="00771368">
        <w:rPr>
          <w:rFonts w:eastAsia="Times New Roman" w:cs="Times New Roman"/>
          <w:szCs w:val="24"/>
          <w:lang w:eastAsia="pt-BR"/>
        </w:rPr>
        <w:t xml:space="preserve"> são excluídas desse sistema que institui papeis de gênero, mas têm acesso negado à ele. </w:t>
      </w:r>
      <w:r w:rsidRPr="00771368">
        <w:rPr>
          <w:rFonts w:cs="Times New Roman"/>
          <w:szCs w:val="24"/>
        </w:rPr>
        <w:t>As expectativas culturais das mulheres são: cuidar da casa, ser mãe, esposa e parceira sexual, e atualmente, trabalhadora, além de enfermeira, secretaria, entre outros. Essas expectativas estereotipadas podem ser difíceis de alcançar para algumas mulheres com deficiência.</w:t>
      </w:r>
      <w:r w:rsidRPr="00771368">
        <w:rPr>
          <w:rStyle w:val="Refdenotaderodap"/>
          <w:rFonts w:cs="Times New Roman"/>
          <w:szCs w:val="24"/>
        </w:rPr>
        <w:footnoteReference w:id="191"/>
      </w:r>
      <w:r w:rsidRPr="00771368">
        <w:rPr>
          <w:rFonts w:cs="Times New Roman"/>
          <w:szCs w:val="24"/>
        </w:rPr>
        <w:t xml:space="preserve"> </w:t>
      </w:r>
    </w:p>
    <w:p w:rsidR="00D24E61" w:rsidRPr="00771368" w:rsidRDefault="00D24E61" w:rsidP="00D24E61">
      <w:pPr>
        <w:pStyle w:val="FG10-corpo-do-texto"/>
        <w:keepNext/>
        <w:widowControl w:val="0"/>
        <w:suppressAutoHyphens w:val="0"/>
        <w:ind w:firstLine="851"/>
        <w:rPr>
          <w:rFonts w:cs="Times New Roman"/>
          <w:szCs w:val="24"/>
        </w:rPr>
      </w:pPr>
      <w:r w:rsidRPr="00771368">
        <w:rPr>
          <w:rFonts w:cs="Times New Roman"/>
          <w:szCs w:val="24"/>
        </w:rPr>
        <w:t>A expectativa em relação às mulheres com deficiência é que alguém cuide delas, por isso têm acesso menor aos recursos sociais.</w:t>
      </w:r>
      <w:r w:rsidRPr="00771368">
        <w:rPr>
          <w:rStyle w:val="Refdenotaderodap"/>
          <w:rFonts w:cs="Times New Roman"/>
          <w:szCs w:val="24"/>
        </w:rPr>
        <w:footnoteReference w:id="192"/>
      </w:r>
      <w:r w:rsidRPr="00771368">
        <w:rPr>
          <w:rFonts w:cs="Times New Roman"/>
          <w:szCs w:val="24"/>
        </w:rPr>
        <w:t xml:space="preserve"> As mulheres com deficiência acabam ficando mais dentro da família, tendo suas experiências pouco compartilhadas na sociedade, o que é representado pela mídia, que confirma imagens estereotipadas e distorcidas ou omite as mulheres com deficiência.</w:t>
      </w:r>
      <w:r w:rsidRPr="00771368">
        <w:rPr>
          <w:rStyle w:val="Refdenotaderodap"/>
          <w:rFonts w:cs="Times New Roman"/>
          <w:szCs w:val="24"/>
        </w:rPr>
        <w:footnoteReference w:id="193"/>
      </w:r>
      <w:r w:rsidRPr="00771368">
        <w:rPr>
          <w:rFonts w:cs="Times New Roman"/>
          <w:szCs w:val="24"/>
        </w:rPr>
        <w:t xml:space="preserve"> </w:t>
      </w:r>
    </w:p>
    <w:p w:rsidR="00D24E61" w:rsidRPr="00771368" w:rsidRDefault="00D24E61" w:rsidP="00D24E61">
      <w:pPr>
        <w:pStyle w:val="FG10-corpo-do-texto"/>
        <w:keepNext/>
        <w:widowControl w:val="0"/>
        <w:suppressAutoHyphens w:val="0"/>
        <w:ind w:firstLine="851"/>
        <w:rPr>
          <w:rFonts w:cs="Times New Roman"/>
          <w:szCs w:val="24"/>
        </w:rPr>
      </w:pPr>
      <w:r w:rsidRPr="00771368">
        <w:rPr>
          <w:rFonts w:cs="Times New Roman"/>
          <w:szCs w:val="24"/>
        </w:rPr>
        <w:t>As mulheres com deficiência sofrem então uma dupla discriminação, estando em dupla desvantagem e dupla vulnerabilidade</w:t>
      </w:r>
      <w:r w:rsidRPr="00771368">
        <w:rPr>
          <w:rStyle w:val="Refdenotaderodap"/>
          <w:rFonts w:cs="Times New Roman"/>
          <w:szCs w:val="24"/>
        </w:rPr>
        <w:footnoteReference w:id="194"/>
      </w:r>
      <w:r w:rsidRPr="00771368">
        <w:rPr>
          <w:rFonts w:cs="Times New Roman"/>
          <w:szCs w:val="24"/>
        </w:rPr>
        <w:t>, pelo seu sexo (feminino) e pelo corpo com lesões.</w:t>
      </w:r>
      <w:r w:rsidRPr="00771368">
        <w:rPr>
          <w:rStyle w:val="Refdenotaderodap"/>
          <w:rFonts w:cs="Times New Roman"/>
          <w:szCs w:val="24"/>
        </w:rPr>
        <w:footnoteReference w:id="195"/>
      </w:r>
      <w:r w:rsidRPr="00771368">
        <w:rPr>
          <w:rFonts w:cs="Times New Roman"/>
          <w:szCs w:val="24"/>
        </w:rPr>
        <w:t xml:space="preserve"> Precisam confrontar o sexismo, o capacitismo (</w:t>
      </w:r>
      <w:r w:rsidRPr="00771368">
        <w:rPr>
          <w:rFonts w:cs="Times New Roman"/>
          <w:i/>
          <w:szCs w:val="24"/>
        </w:rPr>
        <w:t>disablism),</w:t>
      </w:r>
      <w:r w:rsidRPr="00771368">
        <w:rPr>
          <w:rStyle w:val="Refdenotaderodap"/>
          <w:rFonts w:eastAsia="MinionPro-Regular" w:cs="Times New Roman"/>
          <w:szCs w:val="24"/>
        </w:rPr>
        <w:footnoteReference w:id="196"/>
      </w:r>
      <w:r w:rsidRPr="00771368">
        <w:rPr>
          <w:rFonts w:cs="Times New Roman"/>
          <w:szCs w:val="24"/>
        </w:rPr>
        <w:t xml:space="preserve"> e o fato de ter as duas condições,</w:t>
      </w:r>
      <w:r w:rsidRPr="00771368">
        <w:rPr>
          <w:rStyle w:val="Refdenotaderodap"/>
          <w:rFonts w:cs="Times New Roman"/>
          <w:szCs w:val="24"/>
        </w:rPr>
        <w:footnoteReference w:id="197"/>
      </w:r>
      <w:r w:rsidRPr="00771368">
        <w:rPr>
          <w:rFonts w:cs="Times New Roman"/>
          <w:szCs w:val="24"/>
        </w:rPr>
        <w:t xml:space="preserve"> o que soma diversas barreiras, como as atitudinais, com ideias de que não podem trabalhar, cuidar da casa, ter um relacionamento amoroso e sexual, ser mães, estudar, entre outros,</w:t>
      </w:r>
      <w:r w:rsidRPr="00771368">
        <w:rPr>
          <w:rStyle w:val="Refdenotaderodap"/>
          <w:rFonts w:cs="Times New Roman"/>
          <w:szCs w:val="24"/>
        </w:rPr>
        <w:footnoteReference w:id="198"/>
      </w:r>
      <w:r w:rsidRPr="00771368">
        <w:rPr>
          <w:rFonts w:cs="Times New Roman"/>
          <w:szCs w:val="24"/>
        </w:rPr>
        <w:t xml:space="preserve"> tendo essas atividades negadas e sendo cotidianamente desencorajadas a essas atividades.</w:t>
      </w:r>
      <w:r w:rsidRPr="00771368">
        <w:rPr>
          <w:rStyle w:val="Refdenotaderodap"/>
          <w:rFonts w:cs="Times New Roman"/>
          <w:szCs w:val="24"/>
        </w:rPr>
        <w:footnoteReference w:id="199"/>
      </w:r>
      <w:r w:rsidRPr="00771368">
        <w:rPr>
          <w:rFonts w:cs="Times New Roman"/>
          <w:szCs w:val="24"/>
        </w:rPr>
        <w:t xml:space="preserve"> </w:t>
      </w:r>
    </w:p>
    <w:p w:rsidR="00D24E61" w:rsidRPr="00771368" w:rsidRDefault="00D24E61" w:rsidP="00D24E61">
      <w:pPr>
        <w:pStyle w:val="FG10-corpo-do-texto"/>
        <w:keepNext/>
        <w:widowControl w:val="0"/>
        <w:suppressAutoHyphens w:val="0"/>
        <w:ind w:firstLine="851"/>
        <w:rPr>
          <w:rFonts w:cs="Times New Roman"/>
          <w:szCs w:val="24"/>
        </w:rPr>
      </w:pPr>
      <w:r w:rsidRPr="00771368">
        <w:rPr>
          <w:rFonts w:cs="Times New Roman"/>
          <w:szCs w:val="24"/>
        </w:rPr>
        <w:t>A deficiência complica o processo de construção de gênero.</w:t>
      </w:r>
      <w:r w:rsidRPr="00771368">
        <w:rPr>
          <w:rStyle w:val="Refdenotaderodap"/>
          <w:rFonts w:cs="Times New Roman"/>
          <w:szCs w:val="24"/>
        </w:rPr>
        <w:footnoteReference w:id="200"/>
      </w:r>
      <w:r w:rsidRPr="00771368">
        <w:rPr>
          <w:rFonts w:cs="Times New Roman"/>
          <w:szCs w:val="24"/>
        </w:rPr>
        <w:t xml:space="preserve"> As questões de gênero podem intensificar as imagens formadas em relação à deficiência, reforçando a passividade e dependência das mulheres e da deficiência</w:t>
      </w:r>
      <w:r w:rsidRPr="00771368">
        <w:rPr>
          <w:rFonts w:eastAsia="MinionPro-Regular" w:cs="Times New Roman"/>
          <w:szCs w:val="24"/>
          <w:lang w:eastAsia="pt-BR"/>
        </w:rPr>
        <w:t>,</w:t>
      </w:r>
      <w:r w:rsidRPr="00771368">
        <w:rPr>
          <w:rStyle w:val="Refdenotaderodap"/>
          <w:rFonts w:eastAsia="MinionPro-Regular" w:cs="Times New Roman"/>
          <w:szCs w:val="24"/>
          <w:lang w:eastAsia="pt-BR"/>
        </w:rPr>
        <w:footnoteReference w:id="201"/>
      </w:r>
      <w:r w:rsidRPr="00771368">
        <w:rPr>
          <w:rFonts w:cs="Times New Roman"/>
          <w:szCs w:val="24"/>
        </w:rPr>
        <w:t xml:space="preserve"> e a pouca expectativa cultural que se tem delas, sendo redundantes.</w:t>
      </w:r>
      <w:r w:rsidRPr="00771368">
        <w:rPr>
          <w:rStyle w:val="Refdenotaderodap"/>
          <w:rFonts w:cs="Times New Roman"/>
          <w:szCs w:val="24"/>
        </w:rPr>
        <w:footnoteReference w:id="202"/>
      </w:r>
      <w:r w:rsidRPr="00771368">
        <w:rPr>
          <w:rFonts w:cs="Times New Roman"/>
          <w:szCs w:val="24"/>
        </w:rPr>
        <w:t xml:space="preserve"> Já para os homens há uma contradição entre ter uma deficiência e ser homem, pela dependência que a deficiência pode gerar.</w:t>
      </w:r>
      <w:r w:rsidRPr="00771368">
        <w:rPr>
          <w:rStyle w:val="Refdenotaderodap"/>
          <w:rFonts w:cs="Times New Roman"/>
          <w:szCs w:val="24"/>
        </w:rPr>
        <w:footnoteReference w:id="203"/>
      </w:r>
      <w:r w:rsidRPr="00771368">
        <w:rPr>
          <w:rFonts w:cs="Times New Roman"/>
          <w:szCs w:val="24"/>
        </w:rPr>
        <w:t xml:space="preserve"> </w:t>
      </w:r>
    </w:p>
    <w:p w:rsidR="00D24E61" w:rsidRPr="00771368" w:rsidRDefault="00D24E61" w:rsidP="00D24E61">
      <w:pPr>
        <w:pStyle w:val="FG10-corpo-do-texto"/>
        <w:keepNext/>
        <w:widowControl w:val="0"/>
        <w:suppressAutoHyphens w:val="0"/>
        <w:ind w:firstLine="851"/>
        <w:rPr>
          <w:rFonts w:cs="Times New Roman"/>
          <w:szCs w:val="24"/>
        </w:rPr>
      </w:pPr>
      <w:r w:rsidRPr="00771368">
        <w:rPr>
          <w:rFonts w:cs="Times New Roman"/>
          <w:szCs w:val="24"/>
        </w:rPr>
        <w:t>Das mulheres e das pessoas com deficiência não se espera que tomem decisões por conta própria, reforçando o mito de que as mulheres com deficiência não são aptas a tomar decisões sozinhas.</w:t>
      </w:r>
      <w:r w:rsidRPr="00771368">
        <w:rPr>
          <w:rStyle w:val="Refdenotaderodap"/>
          <w:rFonts w:cs="Times New Roman"/>
          <w:szCs w:val="24"/>
        </w:rPr>
        <w:footnoteReference w:id="204"/>
      </w:r>
      <w:r w:rsidRPr="00771368">
        <w:rPr>
          <w:rFonts w:cs="Times New Roman"/>
          <w:szCs w:val="24"/>
        </w:rPr>
        <w:t xml:space="preserve"> Essas imagens estereotipadas duplamente pelo gênero e deficiência são refletidas e reforçadas nos mais diversos setores: educacional, laboral, social, no acesso à saúde, entre outros.</w:t>
      </w:r>
      <w:r w:rsidRPr="00771368">
        <w:rPr>
          <w:rStyle w:val="Refdenotaderodap"/>
          <w:rFonts w:cs="Times New Roman"/>
          <w:szCs w:val="24"/>
        </w:rPr>
        <w:footnoteReference w:id="205"/>
      </w:r>
      <w:r w:rsidRPr="00771368">
        <w:rPr>
          <w:rFonts w:cs="Times New Roman"/>
          <w:szCs w:val="24"/>
        </w:rPr>
        <w:t xml:space="preserve"> As mulheres com deficiência têm menos apoio educacional e de reabilitação, sendo a reabilitação mais voltada às tarefas domésticas e nunca sendo mencionada a ideia de serem mães.</w:t>
      </w:r>
      <w:r w:rsidRPr="00771368">
        <w:rPr>
          <w:rStyle w:val="Refdenotaderodap"/>
          <w:rFonts w:cs="Times New Roman"/>
          <w:szCs w:val="24"/>
        </w:rPr>
        <w:footnoteReference w:id="206"/>
      </w:r>
      <w:r w:rsidRPr="00771368">
        <w:rPr>
          <w:rFonts w:cs="Times New Roman"/>
          <w:szCs w:val="24"/>
        </w:rPr>
        <w:t xml:space="preserve"> Aos homens há um apoio vocacional maior.</w:t>
      </w:r>
      <w:r w:rsidRPr="00771368">
        <w:rPr>
          <w:rStyle w:val="Refdenotaderodap"/>
          <w:rFonts w:cs="Times New Roman"/>
          <w:szCs w:val="24"/>
        </w:rPr>
        <w:footnoteReference w:id="207"/>
      </w:r>
      <w:r w:rsidRPr="00771368">
        <w:rPr>
          <w:rFonts w:cs="Times New Roman"/>
          <w:szCs w:val="24"/>
        </w:rPr>
        <w:t xml:space="preserve"> As terapias frequentemente afirmam as identidades masculinas, encorajando os homens a praticar esportes em cadeiras de rodas, e às mulheres se ensina a se embelezar, com aulas sobre como se maquiar, por exemplo.</w:t>
      </w:r>
      <w:r w:rsidRPr="00771368">
        <w:rPr>
          <w:rStyle w:val="Refdenotaderodap"/>
          <w:rFonts w:cs="Times New Roman"/>
          <w:szCs w:val="24"/>
        </w:rPr>
        <w:footnoteReference w:id="208"/>
      </w:r>
    </w:p>
    <w:p w:rsidR="00D24E61" w:rsidRPr="00771368" w:rsidRDefault="00D24E61" w:rsidP="00D24E61">
      <w:pPr>
        <w:pStyle w:val="FG10-corpo-do-texto"/>
        <w:keepNext/>
        <w:widowControl w:val="0"/>
        <w:suppressAutoHyphens w:val="0"/>
        <w:ind w:firstLine="851"/>
        <w:rPr>
          <w:rFonts w:eastAsia="Times New Roman" w:cs="Times New Roman"/>
          <w:szCs w:val="24"/>
          <w:lang w:eastAsia="pt-BR"/>
        </w:rPr>
      </w:pPr>
      <w:r w:rsidRPr="00771368">
        <w:rPr>
          <w:rFonts w:cs="Times New Roman"/>
          <w:szCs w:val="24"/>
        </w:rPr>
        <w:t>Uma mulher com deficiência está sempre tentando superar suas expectativas culturais,</w:t>
      </w:r>
      <w:r w:rsidRPr="00771368">
        <w:rPr>
          <w:rStyle w:val="Refdenotaderodap"/>
          <w:rFonts w:cs="Times New Roman"/>
          <w:szCs w:val="24"/>
        </w:rPr>
        <w:footnoteReference w:id="209"/>
      </w:r>
      <w:r w:rsidRPr="00771368">
        <w:rPr>
          <w:rFonts w:cs="Times New Roman"/>
          <w:szCs w:val="24"/>
        </w:rPr>
        <w:t xml:space="preserve"> lutando contra a expectativa de que ela não irá conseguir. Há mais expectativas em relação aos homens,</w:t>
      </w:r>
      <w:r w:rsidRPr="00771368">
        <w:rPr>
          <w:rStyle w:val="Refdenotaderodap"/>
          <w:rFonts w:cs="Times New Roman"/>
          <w:szCs w:val="24"/>
        </w:rPr>
        <w:footnoteReference w:id="210"/>
      </w:r>
      <w:r w:rsidRPr="00771368">
        <w:rPr>
          <w:rFonts w:cs="Times New Roman"/>
          <w:szCs w:val="24"/>
        </w:rPr>
        <w:t xml:space="preserve"> e para os homens com deficiência, se espera que sua esposa cuide dele.</w:t>
      </w:r>
      <w:r w:rsidRPr="00771368">
        <w:rPr>
          <w:rStyle w:val="Refdenotaderodap"/>
          <w:rFonts w:eastAsia="Times New Roman" w:cs="Times New Roman"/>
          <w:szCs w:val="24"/>
          <w:lang w:eastAsia="pt-BR"/>
        </w:rPr>
        <w:footnoteReference w:id="211"/>
      </w:r>
      <w:r w:rsidRPr="00771368">
        <w:rPr>
          <w:rFonts w:cs="Times New Roman"/>
          <w:szCs w:val="24"/>
        </w:rPr>
        <w:t xml:space="preserve"> Os homens com deficiência tendem a casar com mulheres sem deficiência, e as mulheres com deficiência se relacionam mais com homens com deficiência. O número de divórcios é muito mais alto para mulheres que adquirem uma deficiência depois do casamento, do que para homens.</w:t>
      </w:r>
      <w:r w:rsidRPr="00771368">
        <w:rPr>
          <w:rStyle w:val="Refdenotaderodap"/>
          <w:rFonts w:cs="Times New Roman"/>
          <w:szCs w:val="24"/>
        </w:rPr>
        <w:footnoteReference w:id="212"/>
      </w:r>
      <w:r w:rsidRPr="00771368">
        <w:rPr>
          <w:rFonts w:cs="Times New Roman"/>
          <w:szCs w:val="24"/>
        </w:rPr>
        <w:t xml:space="preserve"> </w:t>
      </w:r>
      <w:r w:rsidRPr="00771368">
        <w:rPr>
          <w:rFonts w:eastAsia="Times New Roman" w:cs="Times New Roman"/>
          <w:szCs w:val="24"/>
          <w:lang w:eastAsia="pt-BR"/>
        </w:rPr>
        <w:t>Se uma mulher tem uma deficiência, não se espera que ela case ou continue casada, pois assim não pode ser uma “boa” esposa no sentido de cumprir com as expectativas culturais dos papeis de gênero e cuidar do marido, da casa e dos filhos.</w:t>
      </w:r>
      <w:r w:rsidRPr="00771368">
        <w:rPr>
          <w:rStyle w:val="Refdenotaderodap"/>
          <w:rFonts w:eastAsia="Times New Roman" w:cs="Times New Roman"/>
          <w:szCs w:val="24"/>
          <w:lang w:eastAsia="pt-BR"/>
        </w:rPr>
        <w:footnoteReference w:id="213"/>
      </w:r>
    </w:p>
    <w:p w:rsidR="00D24E61" w:rsidRPr="00771368" w:rsidRDefault="00D24E61" w:rsidP="00D24E61">
      <w:pPr>
        <w:pStyle w:val="FG10-corpo-do-texto"/>
        <w:keepNext/>
        <w:widowControl w:val="0"/>
        <w:suppressAutoHyphens w:val="0"/>
        <w:ind w:firstLine="851"/>
        <w:rPr>
          <w:rFonts w:cs="Times New Roman"/>
          <w:szCs w:val="24"/>
        </w:rPr>
      </w:pPr>
      <w:r w:rsidRPr="00771368">
        <w:rPr>
          <w:rFonts w:eastAsia="Times New Roman" w:cs="Times New Roman"/>
          <w:szCs w:val="24"/>
          <w:lang w:eastAsia="pt-BR"/>
        </w:rPr>
        <w:t xml:space="preserve">Uma mulher ter uma deficiência causa impacto por causa da estética, do que se espera da aparência de uma mulher e de suas funções, em </w:t>
      </w:r>
      <w:r w:rsidRPr="00771368">
        <w:rPr>
          <w:rFonts w:cs="Times New Roman"/>
          <w:color w:val="231F20"/>
          <w:szCs w:val="24"/>
        </w:rPr>
        <w:t>relação à corponormatividade, (padrões hegemônicos funcionais/corporais</w:t>
      </w:r>
      <w:r w:rsidRPr="00771368">
        <w:rPr>
          <w:rFonts w:cs="Times New Roman"/>
          <w:szCs w:val="24"/>
        </w:rPr>
        <w:t>). O feminismo exalta o corpo como fonte de prazer para as mulheres. Já, na deficiência, é fonte de sofrimento. É preciso falar sobre como conviver com o sofrimento do corpo.</w:t>
      </w:r>
      <w:r w:rsidRPr="00771368">
        <w:rPr>
          <w:rStyle w:val="Refdenotaderodap"/>
          <w:rFonts w:cs="Times New Roman"/>
          <w:szCs w:val="24"/>
        </w:rPr>
        <w:footnoteReference w:id="214"/>
      </w:r>
      <w:r w:rsidRPr="00771368">
        <w:rPr>
          <w:rFonts w:cs="Times New Roman"/>
          <w:szCs w:val="24"/>
        </w:rPr>
        <w:t xml:space="preserve"> As feministas criticam os ideais relacionados à imagem do corpo (padrões estabelecidos de supervalorização do corpo como objeto – moda, maquiagem,...), a fim de promover imagens mais realistas e positivas do corpo, e reduzir sua alienação, focando na experiência do corpo e competência, mais que na aparência. Esses princípios são importantes tanto para as mulheres sem deficiência, como com deficiência.</w:t>
      </w:r>
      <w:r w:rsidRPr="00771368">
        <w:rPr>
          <w:rStyle w:val="Refdenotaderodap"/>
          <w:rFonts w:cs="Times New Roman"/>
          <w:szCs w:val="24"/>
        </w:rPr>
        <w:footnoteReference w:id="215"/>
      </w:r>
      <w:r w:rsidRPr="00771368">
        <w:rPr>
          <w:rFonts w:cs="Times New Roman"/>
          <w:szCs w:val="24"/>
        </w:rPr>
        <w:t xml:space="preserve">  Diminuir a supervalorização do corpo é tornar os corpos mais facilmente aceitáveis na sociedade, é se libertar das pressões da sociedade, aumentar a aceitação das lesões nos corpos. </w:t>
      </w:r>
    </w:p>
    <w:p w:rsidR="00D24E61" w:rsidRPr="00771368" w:rsidRDefault="00D24E61" w:rsidP="00D24E61">
      <w:pPr>
        <w:pStyle w:val="FG10-corpo-do-texto"/>
        <w:keepNext/>
        <w:widowControl w:val="0"/>
        <w:suppressAutoHyphens w:val="0"/>
        <w:ind w:firstLine="851"/>
        <w:rPr>
          <w:rFonts w:eastAsia="Times New Roman" w:cs="Times New Roman"/>
          <w:szCs w:val="24"/>
          <w:lang w:eastAsia="pt-BR"/>
        </w:rPr>
      </w:pPr>
      <w:r w:rsidRPr="00771368">
        <w:rPr>
          <w:rFonts w:cs="Times New Roman"/>
          <w:szCs w:val="24"/>
        </w:rPr>
        <w:t>Outra opressão frequente às mulheres com deficiência é a crença de que elas não podem ter vida sexual, o que se traduz em um grande preconceito de gênero, o qual tem sérias implicações éticas. A autora Kim Hall ilustra casos de meninas com deficiência, nos quais, médicos, juntamente com família, optaram por procedimentos muito invasivos, juntamente com medicação hormonal, a fim de evitar que a criança desenvolva a sexualidade, permanecendo eternamente com o “corpo de uma criança”.</w:t>
      </w:r>
      <w:r w:rsidRPr="00771368">
        <w:rPr>
          <w:rStyle w:val="Refdenotaderodap"/>
          <w:rFonts w:cs="Times New Roman"/>
          <w:szCs w:val="24"/>
        </w:rPr>
        <w:footnoteReference w:id="216"/>
      </w:r>
      <w:r w:rsidRPr="00771368">
        <w:rPr>
          <w:rFonts w:cs="Times New Roman"/>
          <w:szCs w:val="24"/>
        </w:rPr>
        <w:t xml:space="preserve"> O estudo </w:t>
      </w:r>
      <w:r w:rsidRPr="00771368">
        <w:rPr>
          <w:rFonts w:cs="Times New Roman"/>
          <w:i/>
          <w:iCs/>
          <w:color w:val="000000"/>
          <w:szCs w:val="24"/>
          <w:shd w:val="clear" w:color="auto" w:fill="FFFFFF"/>
        </w:rPr>
        <w:t>Discrimination Generated by the Intersection of Gender and Disability</w:t>
      </w:r>
      <w:r w:rsidRPr="00771368">
        <w:rPr>
          <w:rStyle w:val="Refdenotaderodap"/>
          <w:rFonts w:cs="Times New Roman"/>
          <w:szCs w:val="24"/>
        </w:rPr>
        <w:t xml:space="preserve"> </w:t>
      </w:r>
      <w:r w:rsidRPr="00771368">
        <w:rPr>
          <w:rStyle w:val="Refdenotaderodap"/>
          <w:rFonts w:cs="Times New Roman"/>
          <w:szCs w:val="24"/>
        </w:rPr>
        <w:footnoteReference w:id="217"/>
      </w:r>
      <w:r w:rsidRPr="00771368">
        <w:rPr>
          <w:rFonts w:cs="Times New Roman"/>
          <w:szCs w:val="24"/>
        </w:rPr>
        <w:t xml:space="preserve"> salienta o direito das </w:t>
      </w:r>
      <w:r w:rsidRPr="00771368">
        <w:rPr>
          <w:rFonts w:eastAsia="Times New Roman" w:cs="Times New Roman"/>
          <w:szCs w:val="24"/>
          <w:lang w:eastAsia="pt-BR"/>
        </w:rPr>
        <w:t>mulheres e dos homens com deficiência pela liberdade sexual e reprodutiva, tendo o direito de exercitar a sexualidade sem discriminação, com orientação sexual, direito à informação sobre sexualidade e acesso à serviços de saúde. Anahi Guedes de Mello salienta a importância do tema da sexualidade nas políticas públicas, “só assim o estatuto de pessoa das pessoas com deficiência será plenamente conquistado.”</w:t>
      </w:r>
      <w:r w:rsidRPr="00771368">
        <w:rPr>
          <w:rStyle w:val="Refdenotaderodap"/>
          <w:rFonts w:eastAsia="Times New Roman" w:cs="Times New Roman"/>
          <w:szCs w:val="24"/>
          <w:lang w:eastAsia="pt-BR"/>
        </w:rPr>
        <w:footnoteReference w:id="218"/>
      </w:r>
      <w:r w:rsidRPr="00771368">
        <w:rPr>
          <w:rStyle w:val="Refdenotaderodap"/>
          <w:rFonts w:eastAsia="Times New Roman" w:cs="Times New Roman"/>
          <w:szCs w:val="24"/>
          <w:lang w:eastAsia="pt-BR"/>
        </w:rPr>
        <w:footnoteReference w:id="219"/>
      </w:r>
    </w:p>
    <w:p w:rsidR="00D24E61" w:rsidRPr="00771368" w:rsidRDefault="00D24E61" w:rsidP="00D24E61">
      <w:pPr>
        <w:keepNext/>
        <w:widowControl w:val="0"/>
        <w:spacing w:line="360" w:lineRule="auto"/>
        <w:ind w:firstLine="851"/>
        <w:jc w:val="both"/>
        <w:rPr>
          <w:sz w:val="24"/>
          <w:szCs w:val="24"/>
        </w:rPr>
      </w:pPr>
      <w:r w:rsidRPr="00771368">
        <w:rPr>
          <w:sz w:val="24"/>
          <w:szCs w:val="24"/>
        </w:rPr>
        <w:t>Em relação à violência contra as pessoas com deficiência,</w:t>
      </w:r>
      <w:r w:rsidRPr="00771368">
        <w:rPr>
          <w:rStyle w:val="Refdenotaderodap"/>
          <w:sz w:val="24"/>
          <w:szCs w:val="24"/>
        </w:rPr>
        <w:footnoteReference w:id="220"/>
      </w:r>
      <w:r w:rsidRPr="00771368">
        <w:rPr>
          <w:sz w:val="24"/>
          <w:szCs w:val="24"/>
        </w:rPr>
        <w:t xml:space="preserve"> a</w:t>
      </w:r>
      <w:r w:rsidRPr="00771368">
        <w:rPr>
          <w:i/>
          <w:iCs/>
          <w:sz w:val="24"/>
          <w:szCs w:val="24"/>
        </w:rPr>
        <w:t xml:space="preserve"> C</w:t>
      </w:r>
      <w:r w:rsidRPr="00771368">
        <w:rPr>
          <w:i/>
          <w:sz w:val="24"/>
          <w:szCs w:val="24"/>
        </w:rPr>
        <w:t xml:space="preserve">onvenção sobre os Direitos das Pessoas com Deficiência </w:t>
      </w:r>
      <w:r w:rsidRPr="00771368">
        <w:rPr>
          <w:sz w:val="24"/>
          <w:szCs w:val="24"/>
        </w:rPr>
        <w:t>re</w:t>
      </w:r>
      <w:r w:rsidRPr="00771368">
        <w:rPr>
          <w:iCs/>
          <w:sz w:val="24"/>
          <w:szCs w:val="24"/>
        </w:rPr>
        <w:t>conhece</w:t>
      </w:r>
      <w:r w:rsidRPr="00771368">
        <w:rPr>
          <w:i/>
          <w:iCs/>
          <w:sz w:val="24"/>
          <w:szCs w:val="24"/>
        </w:rPr>
        <w:t xml:space="preserve"> “</w:t>
      </w:r>
      <w:r w:rsidRPr="00771368">
        <w:rPr>
          <w:sz w:val="24"/>
          <w:szCs w:val="24"/>
        </w:rPr>
        <w:t>que mulheres e meninas com deficiência estão frequentemente expostas a maiores riscos, tanto no lar como fora dele, de sofrer violência, lesões ou abuso, descaso ou tratamento negligente, maus-tratos ou exploração.”</w:t>
      </w:r>
      <w:r w:rsidRPr="00771368">
        <w:rPr>
          <w:rStyle w:val="Refdenotaderodap"/>
          <w:rFonts w:eastAsia="Calibri"/>
          <w:sz w:val="24"/>
          <w:szCs w:val="24"/>
        </w:rPr>
        <w:footnoteReference w:id="221"/>
      </w:r>
      <w:r w:rsidRPr="00771368">
        <w:rPr>
          <w:sz w:val="24"/>
          <w:szCs w:val="24"/>
        </w:rPr>
        <w:t xml:space="preserve"> A violência praticada contra mulheres com deficiência é sempre maior que contra homens com deficiência.</w:t>
      </w:r>
      <w:r w:rsidRPr="00771368">
        <w:rPr>
          <w:rStyle w:val="Refdenotaderodap"/>
          <w:sz w:val="24"/>
          <w:szCs w:val="24"/>
        </w:rPr>
        <w:footnoteReference w:id="222"/>
      </w:r>
      <w:r w:rsidRPr="00771368">
        <w:rPr>
          <w:sz w:val="24"/>
          <w:szCs w:val="24"/>
        </w:rPr>
        <w:t xml:space="preserve"> Os dados sobre violência contra as mulheres são escassos e representam um número menor que a realidade, por ser às vezes considerada legal e aceita pela sociedade.</w:t>
      </w:r>
      <w:r w:rsidRPr="00771368">
        <w:rPr>
          <w:rStyle w:val="Refdenotaderodap"/>
          <w:sz w:val="24"/>
          <w:szCs w:val="24"/>
        </w:rPr>
        <w:footnoteReference w:id="223"/>
      </w:r>
    </w:p>
    <w:p w:rsidR="00D24E61" w:rsidRPr="00771368" w:rsidRDefault="00D24E61" w:rsidP="00D24E61">
      <w:pPr>
        <w:pStyle w:val="FG10-corpo-do-texto"/>
        <w:keepNext/>
        <w:widowControl w:val="0"/>
        <w:suppressAutoHyphens w:val="0"/>
        <w:ind w:firstLine="851"/>
        <w:rPr>
          <w:rFonts w:eastAsia="Times New Roman" w:cs="Times New Roman"/>
          <w:szCs w:val="24"/>
          <w:lang w:eastAsia="pt-BR"/>
        </w:rPr>
      </w:pPr>
      <w:r w:rsidRPr="00771368">
        <w:rPr>
          <w:rFonts w:eastAsia="Times New Roman" w:cs="Times New Roman"/>
          <w:szCs w:val="24"/>
          <w:lang w:eastAsia="pt-BR"/>
        </w:rPr>
        <w:t>Além dos tipos de violência cometidos contra as mulheres, em relação às mulheres com deficiência também ocorre: institucionalização forçada e coercitiva; criação de situações pretextadas para fazer a mulher parecer violenta ou incompetente a fim de justificar sua institucionalização e privação da capacidade legal; forjamento de rótulos de raiva e autodeclaração das mulheres como um comportamento de “pessoas com transtorno mental e perigosas”; negação das necessidades e negligência intencional; ameaças para negligenciar ou cancelar apoios ou animais assistentes; colocação de mulheres em desconforto físico ou em situações constrangedoras por longo período de tempo; ameaças de abandono cometidas por cuidadores; violações de privacidade; estupro e abuso sexual cometidos por membro da equipe ou por outro paciente internado em instituições; restrição, desnudamento e confinamento solitário que replica o trauma do estupro; aborto forçado, entre outros.</w:t>
      </w:r>
      <w:r w:rsidRPr="00771368">
        <w:rPr>
          <w:rStyle w:val="Refdenotaderodap"/>
          <w:rFonts w:eastAsia="Times New Roman" w:cs="Times New Roman"/>
          <w:szCs w:val="24"/>
          <w:lang w:eastAsia="pt-BR"/>
        </w:rPr>
        <w:footnoteReference w:id="224"/>
      </w:r>
    </w:p>
    <w:p w:rsidR="00D24E61" w:rsidRPr="00771368" w:rsidRDefault="00D24E61" w:rsidP="00D24E61">
      <w:pPr>
        <w:keepNext/>
        <w:widowControl w:val="0"/>
        <w:spacing w:line="360" w:lineRule="auto"/>
        <w:ind w:firstLine="851"/>
        <w:jc w:val="both"/>
        <w:rPr>
          <w:sz w:val="24"/>
          <w:szCs w:val="24"/>
        </w:rPr>
      </w:pPr>
      <w:r w:rsidRPr="00771368">
        <w:rPr>
          <w:sz w:val="24"/>
          <w:szCs w:val="24"/>
        </w:rPr>
        <w:t>Já em relação ao acesso ao mercado de trabalho, no Brasil, as mulheres com deficiência recebem um salário menor que as mulheres sem deficiência e que os homens com ou sem deficiência, e trabalham menos que os homens com deficiência.</w:t>
      </w:r>
      <w:r w:rsidRPr="00771368">
        <w:rPr>
          <w:rStyle w:val="Refdenotaderodap"/>
          <w:rFonts w:eastAsia="Calibri"/>
          <w:sz w:val="24"/>
          <w:szCs w:val="24"/>
        </w:rPr>
        <w:footnoteReference w:id="225"/>
      </w:r>
      <w:r w:rsidRPr="00771368">
        <w:rPr>
          <w:sz w:val="24"/>
          <w:szCs w:val="24"/>
        </w:rPr>
        <w:t xml:space="preserve"> Segundo o IBGE, 60,3% dos homens com algum tipo de deficiência trabalham, enquanto 41,7% das mulheres com deficiência trabalham,</w:t>
      </w:r>
      <w:r w:rsidRPr="00771368">
        <w:rPr>
          <w:rStyle w:val="Refdenotaderodap"/>
          <w:rFonts w:eastAsia="Calibri"/>
          <w:sz w:val="24"/>
          <w:szCs w:val="24"/>
        </w:rPr>
        <w:footnoteReference w:id="226"/>
      </w:r>
      <w:r w:rsidRPr="00771368">
        <w:rPr>
          <w:sz w:val="24"/>
          <w:szCs w:val="24"/>
        </w:rPr>
        <w:t xml:space="preserve"> mesmo havendo mais mulheres com deficiência.</w:t>
      </w:r>
    </w:p>
    <w:p w:rsidR="00D24E61" w:rsidRPr="00771368" w:rsidRDefault="00D24E61" w:rsidP="00D24E61">
      <w:pPr>
        <w:pStyle w:val="FG10-corpo-do-texto"/>
        <w:keepNext/>
        <w:widowControl w:val="0"/>
        <w:suppressAutoHyphens w:val="0"/>
        <w:ind w:firstLine="851"/>
        <w:rPr>
          <w:rFonts w:cs="Times New Roman"/>
          <w:szCs w:val="24"/>
        </w:rPr>
      </w:pPr>
      <w:r w:rsidRPr="00771368">
        <w:rPr>
          <w:rFonts w:cs="Times New Roman"/>
          <w:szCs w:val="24"/>
        </w:rPr>
        <w:t>As meninas com deficiência ao se depararem com essas representações opressivas são desestimuladas a seguirem seus desejos.</w:t>
      </w:r>
      <w:r w:rsidRPr="00771368">
        <w:rPr>
          <w:rStyle w:val="Refdenotaderodap"/>
          <w:rFonts w:cs="Times New Roman"/>
          <w:szCs w:val="24"/>
        </w:rPr>
        <w:footnoteReference w:id="227"/>
      </w:r>
      <w:r w:rsidRPr="00771368">
        <w:rPr>
          <w:rFonts w:cs="Times New Roman"/>
          <w:szCs w:val="24"/>
        </w:rPr>
        <w:t xml:space="preserve"> Assim, as mulheres com deficiência passam por experiências e por opressões diferentes dos homens com deficiência. Para Rosemarie Garland-Thomson as mais sofisticadas e complexas análises da deficiência integram a teoria feminista, assim como as análises de gênero que levam em consideração a deficiência, além da consideração de raça/etnia, identidade sexual e classe, que podem alterar mais ainda o significado de deficiência.</w:t>
      </w:r>
      <w:r w:rsidRPr="00771368">
        <w:rPr>
          <w:rStyle w:val="Refdenotaderodap"/>
          <w:rFonts w:cs="Times New Roman"/>
          <w:szCs w:val="24"/>
        </w:rPr>
        <w:footnoteReference w:id="228"/>
      </w:r>
      <w:r w:rsidRPr="00771368">
        <w:rPr>
          <w:rFonts w:cs="Times New Roman"/>
          <w:szCs w:val="24"/>
        </w:rPr>
        <w:t xml:space="preserve"> </w:t>
      </w:r>
    </w:p>
    <w:p w:rsidR="00D24E61" w:rsidRPr="00771368" w:rsidRDefault="00D24E61" w:rsidP="00D24E61">
      <w:pPr>
        <w:pStyle w:val="FG10-corpo-do-texto"/>
        <w:keepNext/>
        <w:widowControl w:val="0"/>
        <w:suppressAutoHyphens w:val="0"/>
        <w:ind w:firstLine="851"/>
        <w:rPr>
          <w:rFonts w:eastAsia="MinionPro-Regular" w:cs="Times New Roman"/>
          <w:szCs w:val="24"/>
        </w:rPr>
      </w:pPr>
      <w:r w:rsidRPr="00771368">
        <w:rPr>
          <w:rFonts w:cs="Times New Roman"/>
          <w:szCs w:val="24"/>
        </w:rPr>
        <w:t xml:space="preserve">No Brasil a relação entre deficiência, gênero e feminismo é quase inexistente, tendo as maiores contribuições a partir da organização não governamental: </w:t>
      </w:r>
      <w:r w:rsidRPr="00771368">
        <w:rPr>
          <w:rFonts w:cs="Times New Roman"/>
          <w:i/>
          <w:szCs w:val="24"/>
        </w:rPr>
        <w:t>Anis</w:t>
      </w:r>
      <w:r w:rsidRPr="00771368">
        <w:rPr>
          <w:rFonts w:cs="Times New Roman"/>
          <w:szCs w:val="24"/>
        </w:rPr>
        <w:t xml:space="preserve"> – Instituto de Bioética, Direitos Humanos e Gênero.</w:t>
      </w:r>
      <w:r w:rsidRPr="00771368">
        <w:rPr>
          <w:rStyle w:val="Refdenotaderodap"/>
          <w:rFonts w:cs="Times New Roman"/>
          <w:szCs w:val="24"/>
        </w:rPr>
        <w:footnoteReference w:id="229"/>
      </w:r>
      <w:r w:rsidRPr="00771368">
        <w:rPr>
          <w:rFonts w:cs="Times New Roman"/>
          <w:szCs w:val="24"/>
        </w:rPr>
        <w:t xml:space="preserve"> O artigo mais completo encontrado foi </w:t>
      </w:r>
      <w:r w:rsidRPr="00771368">
        <w:rPr>
          <w:rFonts w:cs="Times New Roman"/>
          <w:i/>
          <w:szCs w:val="24"/>
        </w:rPr>
        <w:t>Gênero e deficiência: intersecções e perspectivas</w:t>
      </w:r>
      <w:r w:rsidRPr="00771368">
        <w:rPr>
          <w:rFonts w:cs="Times New Roman"/>
          <w:szCs w:val="24"/>
        </w:rPr>
        <w:t xml:space="preserve"> de Anahi Guedes de Mello e Adriano Nuernberg. As principais articulações entre Gênero e Deficiência se relacionam com discussões sobre o corpo, independência e cuidado,</w:t>
      </w:r>
      <w:r w:rsidRPr="00771368">
        <w:rPr>
          <w:rStyle w:val="Refdenotaderodap"/>
          <w:rFonts w:cs="Times New Roman"/>
          <w:szCs w:val="24"/>
        </w:rPr>
        <w:footnoteReference w:id="230"/>
      </w:r>
      <w:r w:rsidRPr="00771368">
        <w:rPr>
          <w:rFonts w:cs="Times New Roman"/>
          <w:szCs w:val="24"/>
          <w:lang w:eastAsia="pt-BR"/>
        </w:rPr>
        <w:t xml:space="preserve"> e sobre a</w:t>
      </w:r>
      <w:r w:rsidRPr="00771368">
        <w:rPr>
          <w:rFonts w:cs="Times New Roman"/>
          <w:szCs w:val="24"/>
        </w:rPr>
        <w:t xml:space="preserve"> ética feminista da deficiência e do cuidado.</w:t>
      </w:r>
      <w:r w:rsidRPr="00771368">
        <w:rPr>
          <w:rStyle w:val="Refdenotaderodap"/>
          <w:rFonts w:cs="Times New Roman"/>
          <w:szCs w:val="24"/>
          <w:lang w:eastAsia="pt-BR"/>
        </w:rPr>
        <w:footnoteReference w:id="231"/>
      </w:r>
      <w:r w:rsidRPr="00771368">
        <w:rPr>
          <w:rFonts w:cs="Times New Roman"/>
          <w:szCs w:val="24"/>
        </w:rPr>
        <w:t xml:space="preserve"> N</w:t>
      </w:r>
      <w:r w:rsidRPr="00771368">
        <w:rPr>
          <w:rFonts w:cs="Times New Roman"/>
          <w:szCs w:val="24"/>
          <w:lang w:eastAsia="pt-BR"/>
        </w:rPr>
        <w:t>a língua inglesa, há estudos avançados sobre o tema</w:t>
      </w:r>
      <w:r w:rsidRPr="00771368">
        <w:rPr>
          <w:rFonts w:cs="Times New Roman"/>
          <w:szCs w:val="24"/>
        </w:rPr>
        <w:t xml:space="preserve">, formando os </w:t>
      </w:r>
      <w:r w:rsidRPr="00771368">
        <w:rPr>
          <w:rFonts w:cs="Times New Roman"/>
          <w:i/>
          <w:szCs w:val="24"/>
        </w:rPr>
        <w:t>Feminist Disability Studies</w:t>
      </w:r>
      <w:r w:rsidRPr="00771368">
        <w:rPr>
          <w:rFonts w:cs="Times New Roman"/>
          <w:szCs w:val="24"/>
        </w:rPr>
        <w:t xml:space="preserve"> (Estudos Feministas sobre Deficiência),</w:t>
      </w:r>
      <w:r w:rsidRPr="00771368">
        <w:rPr>
          <w:rStyle w:val="Refdenotaderodap"/>
          <w:rFonts w:cs="Times New Roman"/>
          <w:szCs w:val="24"/>
        </w:rPr>
        <w:footnoteReference w:id="232"/>
      </w:r>
      <w:r w:rsidRPr="00771368">
        <w:rPr>
          <w:rFonts w:cs="Times New Roman"/>
          <w:szCs w:val="24"/>
        </w:rPr>
        <w:t xml:space="preserve"> que salientam a importância de modificar a sociedade para criar um ambiente onde as pessoas com deficiência possam realmente exercer seus direitos,</w:t>
      </w:r>
      <w:r w:rsidRPr="00771368">
        <w:rPr>
          <w:rStyle w:val="Refdenotaderodap"/>
          <w:rFonts w:cs="Times New Roman"/>
          <w:szCs w:val="24"/>
        </w:rPr>
        <w:footnoteReference w:id="233"/>
      </w:r>
      <w:r w:rsidRPr="00771368">
        <w:rPr>
          <w:rFonts w:cs="Times New Roman"/>
          <w:szCs w:val="24"/>
        </w:rPr>
        <w:t xml:space="preserve"> incluindo </w:t>
      </w:r>
      <w:r w:rsidRPr="00771368">
        <w:rPr>
          <w:rFonts w:eastAsia="MinionPro-Regular" w:cs="Times New Roman"/>
          <w:szCs w:val="24"/>
        </w:rPr>
        <w:t>condições físicas, pesquisas, políticas públicas, entre outros.</w:t>
      </w:r>
      <w:r w:rsidRPr="00771368">
        <w:rPr>
          <w:rStyle w:val="Refdenotaderodap"/>
          <w:rFonts w:eastAsia="MinionPro-Regular" w:cs="Times New Roman"/>
          <w:szCs w:val="24"/>
        </w:rPr>
        <w:footnoteReference w:id="234"/>
      </w:r>
    </w:p>
    <w:p w:rsidR="00D24E61" w:rsidRPr="00771368" w:rsidRDefault="00D24E61" w:rsidP="00D24E61">
      <w:pPr>
        <w:pStyle w:val="PargrafodaLista"/>
        <w:keepNext/>
        <w:widowControl w:val="0"/>
        <w:ind w:left="0"/>
        <w:rPr>
          <w:rFonts w:ascii="Times New Roman" w:hAnsi="Times New Roman"/>
          <w:sz w:val="24"/>
          <w:szCs w:val="24"/>
        </w:rPr>
      </w:pPr>
      <w:r w:rsidRPr="00771368">
        <w:rPr>
          <w:rFonts w:ascii="Times New Roman" w:hAnsi="Times New Roman"/>
          <w:sz w:val="24"/>
          <w:szCs w:val="24"/>
        </w:rPr>
        <w:t xml:space="preserve">Rosemarie Thomson-Garland apresenta quatro argumentos da teoria feminista que podem se inserir nos Estudos sobre Deficiência, sendo importantes nos </w:t>
      </w:r>
      <w:r w:rsidRPr="00771368">
        <w:rPr>
          <w:rFonts w:ascii="Times New Roman" w:hAnsi="Times New Roman"/>
          <w:i/>
          <w:sz w:val="24"/>
          <w:szCs w:val="24"/>
        </w:rPr>
        <w:t>Feminist Disability Studies</w:t>
      </w:r>
      <w:r w:rsidRPr="00771368">
        <w:rPr>
          <w:rFonts w:ascii="Times New Roman" w:hAnsi="Times New Roman"/>
          <w:sz w:val="24"/>
          <w:szCs w:val="24"/>
        </w:rPr>
        <w:t>: gênero e deficiência são representações que carregam discriminação, mulheres com deficiência são consideradas como incapazes; a normatização do corpo na sociedade faz com que tanto as mulheres, quanto as pessoas com deficiência sejam associadas ao corpo, e que atinjam as expectativas culturais em torno do corpo; as identidades são separadas em categorias por falta de conhecimento sobre a deficiência; e por último, o ativismo, que aponta a necessidade de melhorar o reconhecimento e aceitação das pessoas com deficiência, por exemplo, na mídia. Da mesma forma, Beth Ferri e Noël Gregg tratam desses assuntos, questionando o corpo, a sexualidade, a normatização, a morte e a ênfase na diferença.</w:t>
      </w:r>
      <w:r w:rsidRPr="00771368">
        <w:rPr>
          <w:rStyle w:val="Refdenotaderodap"/>
          <w:rFonts w:ascii="Times New Roman" w:hAnsi="Times New Roman"/>
          <w:sz w:val="24"/>
          <w:szCs w:val="24"/>
        </w:rPr>
        <w:footnoteReference w:id="235"/>
      </w:r>
    </w:p>
    <w:p w:rsidR="00D24E61" w:rsidRPr="00771368" w:rsidRDefault="00D24E61" w:rsidP="00D24E61">
      <w:pPr>
        <w:pStyle w:val="PargrafodaLista"/>
        <w:keepNext/>
        <w:widowControl w:val="0"/>
        <w:ind w:left="0"/>
        <w:rPr>
          <w:rFonts w:ascii="Times New Roman" w:hAnsi="Times New Roman"/>
          <w:sz w:val="24"/>
          <w:szCs w:val="24"/>
        </w:rPr>
      </w:pPr>
      <w:r w:rsidRPr="00771368">
        <w:rPr>
          <w:rFonts w:ascii="Times New Roman" w:hAnsi="Times New Roman"/>
          <w:sz w:val="24"/>
          <w:szCs w:val="24"/>
        </w:rPr>
        <w:t>Jenny Morris</w:t>
      </w:r>
      <w:r w:rsidRPr="00771368">
        <w:rPr>
          <w:rStyle w:val="Refdenotaderodap"/>
          <w:rFonts w:ascii="Times New Roman" w:hAnsi="Times New Roman"/>
          <w:sz w:val="24"/>
          <w:szCs w:val="24"/>
        </w:rPr>
        <w:footnoteReference w:id="236"/>
      </w:r>
      <w:r w:rsidRPr="00771368">
        <w:rPr>
          <w:rFonts w:ascii="Times New Roman" w:hAnsi="Times New Roman"/>
          <w:sz w:val="24"/>
          <w:szCs w:val="24"/>
        </w:rPr>
        <w:t xml:space="preserve"> também relata algumas contribuições da teoria feminista para as pesquisas sobre deficiência, a fim de empoderar e emancipar as pessoas com deficiência, como a inclusão da política do feminismo, pois o desconhecimento e a representação negativa das pessoas com deficiência mostram que não vale a pena viver com uma deficiência, sendo preciso divulgar que viver, envelhecer, ficar doente, sentir dor, ter limitações físicas e intelectuais fazem parte da vida. Dessa forma, as pesquisas sobre deficiência devem ser revolucionárias. Segundo a autora, poucos estudos confirmam a opressão na deficiência; pesquisadores/as sem deficiência devem ser tomados como aliados, inserindo a deficiência nas pesquisas, se questionando sobre como empoderar essas pessoas e sobre suas próprias atitudes em relação à deficiência. Além disso, pesquisas e políticas sobre deficiência são relevantes para todos os grupos sociais, pois são parte de discussões de discriminação e desigualdade econômica, devendo ser inseridas no mundo público.</w:t>
      </w:r>
    </w:p>
    <w:p w:rsidR="00D24E61" w:rsidRPr="00771368" w:rsidRDefault="00D24E61" w:rsidP="00D24E61">
      <w:pPr>
        <w:pStyle w:val="FG10-corpo-do-texto"/>
        <w:keepNext/>
        <w:widowControl w:val="0"/>
        <w:suppressAutoHyphens w:val="0"/>
        <w:ind w:firstLine="851"/>
        <w:rPr>
          <w:rFonts w:cs="Times New Roman"/>
          <w:szCs w:val="24"/>
        </w:rPr>
      </w:pPr>
      <w:r w:rsidRPr="00771368">
        <w:rPr>
          <w:rFonts w:cs="Times New Roman"/>
        </w:rPr>
        <w:t>Eva Kittay apresenta o conceito de interdependência, anunciando que todos/as são interdependentes e precisam de cuidados,</w:t>
      </w:r>
      <w:r w:rsidRPr="00771368">
        <w:rPr>
          <w:rStyle w:val="Refdenotaderodap"/>
          <w:rFonts w:cs="Times New Roman"/>
        </w:rPr>
        <w:footnoteReference w:id="237"/>
      </w:r>
      <w:r w:rsidRPr="00771368">
        <w:rPr>
          <w:rFonts w:cs="Times New Roman"/>
        </w:rPr>
        <w:t xml:space="preserve"> dessa forma desmancha o ideal de independência, que as pessoas com deficiência podem ter mais dificuldade de alcançar, mostrando que todas e todos precisam das/os outras/os, tendo suas limitações, e sendo vulneráveis. </w:t>
      </w:r>
      <w:r w:rsidRPr="00771368">
        <w:rPr>
          <w:rFonts w:cs="Times New Roman"/>
          <w:szCs w:val="24"/>
        </w:rPr>
        <w:t>Susan Wendell salienta que todas as pessoas podem vir a ter uma deficiência, nomeando as pessoas sem deficiência como: pessoas temporariamente sem deficiência (temporarily able-bodies). Esses entendimentos aproximam as pessoas sem deficiência da deficiência, como algo que não está tão distante. Para essa aproximação ser ainda maior e evitar a reprodução de preconceitos, é preciso que o entendimento de deficiência e de inclusão estejam mais presentes, nas pesquisas, nas políticas públicas, nas práticas diárias. Enfatizar assim as semelhanças das pessoas sem e com deficiência é importante para mudar os paradigmas, mas também é importante enfatizar as diferenças, o que gera um senso de solidariedade, sem esquecer que todas as pessoas são diferentes entre si.</w:t>
      </w:r>
      <w:r w:rsidRPr="00771368">
        <w:rPr>
          <w:rStyle w:val="Refdenotaderodap"/>
          <w:rFonts w:cs="Times New Roman"/>
          <w:szCs w:val="24"/>
        </w:rPr>
        <w:footnoteReference w:id="238"/>
      </w:r>
    </w:p>
    <w:p w:rsidR="00D24E61" w:rsidRPr="00771368" w:rsidRDefault="00D24E61" w:rsidP="00D24E61">
      <w:pPr>
        <w:keepNext/>
        <w:widowControl w:val="0"/>
        <w:autoSpaceDE w:val="0"/>
        <w:autoSpaceDN w:val="0"/>
        <w:adjustRightInd w:val="0"/>
        <w:spacing w:line="360" w:lineRule="auto"/>
        <w:ind w:firstLine="851"/>
        <w:jc w:val="both"/>
        <w:rPr>
          <w:sz w:val="24"/>
          <w:szCs w:val="24"/>
        </w:rPr>
      </w:pPr>
      <w:r w:rsidRPr="00771368">
        <w:rPr>
          <w:sz w:val="24"/>
          <w:szCs w:val="24"/>
        </w:rPr>
        <w:t>A categoria “pessoas com deficiência” não tem um propósito útil, exclui a diversidade de experiências, não contemplado as experiências das mulheres com deficiência, e sim considerando as experiências dos homens como universais, não considera diferenças de gênero, classe, idade, raça ou identidade sexual.</w:t>
      </w:r>
      <w:r w:rsidRPr="00771368">
        <w:rPr>
          <w:rStyle w:val="Refdenotaderodap"/>
          <w:rFonts w:eastAsia="Calibri"/>
          <w:sz w:val="24"/>
          <w:szCs w:val="24"/>
        </w:rPr>
        <w:footnoteReference w:id="239"/>
      </w:r>
      <w:r w:rsidRPr="00771368">
        <w:rPr>
          <w:sz w:val="24"/>
          <w:szCs w:val="24"/>
        </w:rPr>
        <w:t xml:space="preserve"> É preciso considerar gênero e as demais identidades para que a inclusão se torne um paradigma universal. As pessoas com deficiência têm o direito à saúde, educação, trabalho, família, liberdade, justiça, vida independente e respeito.</w:t>
      </w:r>
      <w:r w:rsidRPr="00771368">
        <w:rPr>
          <w:rStyle w:val="Refdenotaderodap"/>
          <w:rFonts w:eastAsia="Calibri"/>
          <w:sz w:val="24"/>
          <w:szCs w:val="24"/>
        </w:rPr>
        <w:footnoteReference w:id="240"/>
      </w:r>
      <w:r w:rsidRPr="00771368">
        <w:rPr>
          <w:sz w:val="24"/>
          <w:szCs w:val="24"/>
        </w:rPr>
        <w:t xml:space="preserve"> São capazes de realizar tarefas, porém, às vezes não as executam da maneira como a sociedade espera, mas conseguem achar outros meios, assim, uma mulher com deficiência física pode cuidar perfeitamente de seus filhos/as, por exemplo.</w:t>
      </w:r>
      <w:r w:rsidRPr="00771368">
        <w:rPr>
          <w:rStyle w:val="Refdenotaderodap"/>
          <w:rFonts w:eastAsia="Calibri"/>
          <w:sz w:val="24"/>
          <w:szCs w:val="24"/>
        </w:rPr>
        <w:footnoteReference w:id="241"/>
      </w:r>
    </w:p>
    <w:p w:rsidR="00D24E61" w:rsidRPr="00771368" w:rsidRDefault="00D24E61" w:rsidP="00D24E61">
      <w:pPr>
        <w:keepNext/>
        <w:widowControl w:val="0"/>
        <w:autoSpaceDE w:val="0"/>
        <w:autoSpaceDN w:val="0"/>
        <w:adjustRightInd w:val="0"/>
        <w:spacing w:line="360" w:lineRule="auto"/>
        <w:ind w:firstLine="851"/>
        <w:jc w:val="both"/>
        <w:rPr>
          <w:sz w:val="24"/>
          <w:szCs w:val="24"/>
        </w:rPr>
      </w:pPr>
      <w:r w:rsidRPr="00771368">
        <w:rPr>
          <w:sz w:val="24"/>
          <w:szCs w:val="24"/>
        </w:rPr>
        <w:t xml:space="preserve">As representações sociais e culturais da deficiência precisam ser modificadas para incluir as pessoas com deficiência que têm contemplado seus direitos e acessibilidade em todas as áreas sociais na </w:t>
      </w:r>
      <w:r w:rsidRPr="00771368">
        <w:rPr>
          <w:i/>
          <w:sz w:val="24"/>
          <w:szCs w:val="24"/>
        </w:rPr>
        <w:t>Convenção sobre os Direitos das Pessoas com Deficiência</w:t>
      </w:r>
      <w:r w:rsidRPr="00771368">
        <w:rPr>
          <w:sz w:val="24"/>
          <w:szCs w:val="24"/>
        </w:rPr>
        <w:t>, independente do gênero ou demais identidades. Dessa forma, pesquisas devem ser emancipatórias, para as mulheres com deficiência, assim como para todas as pessoas, sem a reprodução de estereótipos e representações preconceituosas.</w:t>
      </w:r>
    </w:p>
    <w:p w:rsidR="00D24E61" w:rsidRPr="00771368" w:rsidRDefault="00D24E61" w:rsidP="00D24E61">
      <w:pPr>
        <w:keepNext/>
        <w:widowControl w:val="0"/>
        <w:spacing w:line="360" w:lineRule="auto"/>
        <w:ind w:firstLine="851"/>
        <w:jc w:val="both"/>
        <w:rPr>
          <w:sz w:val="24"/>
          <w:szCs w:val="24"/>
        </w:rPr>
      </w:pPr>
    </w:p>
    <w:p w:rsidR="00D24E61" w:rsidRPr="00771368" w:rsidRDefault="00D24E61" w:rsidP="00D24E61">
      <w:pPr>
        <w:keepNext/>
        <w:widowControl w:val="0"/>
        <w:spacing w:line="360" w:lineRule="auto"/>
        <w:contextualSpacing/>
        <w:jc w:val="both"/>
        <w:rPr>
          <w:b/>
          <w:sz w:val="24"/>
          <w:szCs w:val="24"/>
        </w:rPr>
      </w:pPr>
      <w:r w:rsidRPr="00771368">
        <w:rPr>
          <w:b/>
          <w:sz w:val="24"/>
          <w:szCs w:val="24"/>
        </w:rPr>
        <w:t>Considerações Finais</w:t>
      </w:r>
    </w:p>
    <w:p w:rsidR="00D24E61" w:rsidRPr="00771368" w:rsidRDefault="00D24E61" w:rsidP="00D24E61">
      <w:pPr>
        <w:keepNext/>
        <w:widowControl w:val="0"/>
        <w:spacing w:line="360" w:lineRule="auto"/>
        <w:contextualSpacing/>
        <w:jc w:val="both"/>
        <w:rPr>
          <w:b/>
          <w:sz w:val="24"/>
          <w:szCs w:val="24"/>
        </w:rPr>
      </w:pPr>
    </w:p>
    <w:p w:rsidR="00D24E61" w:rsidRPr="00771368" w:rsidRDefault="00D24E61" w:rsidP="00D24E61">
      <w:pPr>
        <w:keepNext/>
        <w:widowControl w:val="0"/>
        <w:spacing w:line="360" w:lineRule="auto"/>
        <w:ind w:firstLine="851"/>
        <w:jc w:val="both"/>
        <w:rPr>
          <w:sz w:val="24"/>
          <w:szCs w:val="24"/>
        </w:rPr>
      </w:pPr>
      <w:r w:rsidRPr="00771368">
        <w:rPr>
          <w:sz w:val="24"/>
          <w:szCs w:val="24"/>
        </w:rPr>
        <w:t>Discriminações em relação ao gênero são ainda visíveis no âmbito privado e público, assim como discriminações em relação às pessoas com deficiência. As identidades de gênero, deficiência, classe, raça/etnia, orientação sexual, quanto mais somadas, mais discriminações produzem. Articulações entre gênero e deficiência são dificilmente realizadas, e ainda são pouco salientadas as diferenças entre ser uma mulher e um homem com deficiência.</w:t>
      </w:r>
    </w:p>
    <w:p w:rsidR="00D24E61" w:rsidRPr="00771368" w:rsidRDefault="00D24E61" w:rsidP="00D24E61">
      <w:pPr>
        <w:keepNext/>
        <w:widowControl w:val="0"/>
        <w:spacing w:line="360" w:lineRule="auto"/>
        <w:ind w:firstLine="851"/>
        <w:jc w:val="both"/>
        <w:rPr>
          <w:sz w:val="24"/>
          <w:szCs w:val="24"/>
        </w:rPr>
      </w:pPr>
      <w:r w:rsidRPr="00771368">
        <w:rPr>
          <w:sz w:val="24"/>
          <w:szCs w:val="24"/>
        </w:rPr>
        <w:t xml:space="preserve">A conscientização das diferenças de gênero e das questões da deficiência é urgente para desmanchar preconceitos e estereótipos. Uma sociedade que estimula o capacitismo, a corponormatividade, a normalidade, o sexismo, a heteronormatividade, entre outros, dificulta muito as noções de equidade, justiça e inclusão entre as pessoas, separando-as e excluindo-as se não se adequam às normas criadas. É preciso desconstruir esses conceitos, pois não existe uma pessoa “normal” de acordo com os conceitos criados pela sociedade. Todas as pessoas têm limitações, uma lesão, ou podem vir a ter. </w:t>
      </w:r>
    </w:p>
    <w:p w:rsidR="00D24E61" w:rsidRPr="00771368" w:rsidRDefault="00D24E61" w:rsidP="00D24E61">
      <w:pPr>
        <w:keepNext/>
        <w:widowControl w:val="0"/>
        <w:spacing w:line="360" w:lineRule="auto"/>
        <w:ind w:firstLine="851"/>
        <w:jc w:val="both"/>
        <w:rPr>
          <w:sz w:val="24"/>
          <w:szCs w:val="24"/>
        </w:rPr>
      </w:pPr>
      <w:r w:rsidRPr="00771368">
        <w:rPr>
          <w:sz w:val="24"/>
          <w:szCs w:val="24"/>
        </w:rPr>
        <w:t>Discutir sobre gênero e sobre deficiência é fundamental para questionar estereótipos normativos em relação ao gênero e deficiência, mostrando que todas as pessoas são livres para ser, agir, ter uma vida escolar, profissional, familiar, sexual, afetiva, de forma equitativa e justa, sem ter limitações em relação ao gênero, deficiência, ou outras condições. Todas as pessoas são dignas e devem ter os mesmos direitos.</w:t>
      </w:r>
    </w:p>
    <w:p w:rsidR="00D24E61" w:rsidRPr="00771368" w:rsidRDefault="00D24E61" w:rsidP="00D24E61">
      <w:pPr>
        <w:keepNext/>
        <w:widowControl w:val="0"/>
        <w:spacing w:line="360" w:lineRule="auto"/>
        <w:ind w:firstLine="851"/>
        <w:jc w:val="both"/>
        <w:rPr>
          <w:sz w:val="24"/>
          <w:szCs w:val="24"/>
        </w:rPr>
      </w:pPr>
      <w:r w:rsidRPr="00771368">
        <w:rPr>
          <w:sz w:val="24"/>
          <w:szCs w:val="24"/>
        </w:rPr>
        <w:t>Ser mulher ou ser homem não significa ter que corresponder aos papeis sociais hegemônicos criados pela cultura. Ter uma lesão, não significa ficar aprisionado nas expectativas culturais criadas, ou na falta delas em torno da deficiência. As pesquisas precisam promover articulações entre as áreas de gênero e deficiência a fim de emancipar as pessoas e promover a libertação de estereótipos e preconceitos, terminando com as relações hierárquicas que compõe as sociedades, promovendo maior inclusão, participação, acessibilidade para todos e todas. São necessários mais estudos de gênero a fim de fomentar relações fundadas na reciprocidade, no respeito às diferenças, empoderando as pessoas.</w:t>
      </w:r>
    </w:p>
    <w:p w:rsidR="00D24E61" w:rsidRPr="00771368" w:rsidRDefault="00D24E61" w:rsidP="00D24E61">
      <w:pPr>
        <w:keepNext/>
        <w:widowControl w:val="0"/>
        <w:spacing w:line="360" w:lineRule="auto"/>
        <w:jc w:val="both"/>
        <w:rPr>
          <w:sz w:val="24"/>
          <w:szCs w:val="24"/>
        </w:rPr>
      </w:pPr>
    </w:p>
    <w:p w:rsidR="00D24E61" w:rsidRPr="00771368" w:rsidRDefault="00D24E61" w:rsidP="00D24E61">
      <w:pPr>
        <w:keepNext/>
        <w:widowControl w:val="0"/>
        <w:spacing w:line="360" w:lineRule="auto"/>
        <w:jc w:val="both"/>
        <w:rPr>
          <w:b/>
          <w:sz w:val="24"/>
          <w:szCs w:val="24"/>
        </w:rPr>
      </w:pPr>
      <w:r w:rsidRPr="00771368">
        <w:rPr>
          <w:b/>
          <w:sz w:val="24"/>
          <w:szCs w:val="24"/>
        </w:rPr>
        <w:t>REFERÊNCIAS</w:t>
      </w:r>
    </w:p>
    <w:p w:rsidR="00D24E61" w:rsidRPr="00771368" w:rsidRDefault="00D24E61" w:rsidP="00D24E61">
      <w:pPr>
        <w:keepNext/>
        <w:widowControl w:val="0"/>
        <w:jc w:val="both"/>
        <w:rPr>
          <w:sz w:val="24"/>
          <w:szCs w:val="24"/>
        </w:rPr>
      </w:pPr>
    </w:p>
    <w:p w:rsidR="00D24E61" w:rsidRPr="00771368" w:rsidRDefault="00D24E61" w:rsidP="00D24E61">
      <w:pPr>
        <w:keepNext/>
        <w:widowControl w:val="0"/>
        <w:spacing w:after="240"/>
        <w:jc w:val="both"/>
        <w:rPr>
          <w:sz w:val="24"/>
          <w:szCs w:val="24"/>
        </w:rPr>
      </w:pPr>
      <w:r w:rsidRPr="00771368">
        <w:rPr>
          <w:sz w:val="24"/>
          <w:szCs w:val="24"/>
        </w:rPr>
        <w:t xml:space="preserve">ALMEIDA, Welita Gomes. Gênero e Deficiência: a exclusão social de mulheres deficientes. In: SEMINÁRIO NACIONAL GÊNERO E PRÁTICAS CULTURAIS: culturas, leituras e representações, 2., 2009, João pessoa. </w:t>
      </w:r>
      <w:r w:rsidRPr="00771368">
        <w:rPr>
          <w:i/>
          <w:sz w:val="24"/>
          <w:szCs w:val="24"/>
        </w:rPr>
        <w:t>Anais do II Seminário Nacional Gênero e Práticas culturais</w:t>
      </w:r>
      <w:r w:rsidRPr="00771368">
        <w:rPr>
          <w:sz w:val="24"/>
          <w:szCs w:val="24"/>
        </w:rPr>
        <w:t>. João Pessoa: Editora Universitária da UFPB, 2009. p. 1-13.</w:t>
      </w:r>
    </w:p>
    <w:p w:rsidR="00D24E61" w:rsidRPr="00771368" w:rsidRDefault="00D24E61" w:rsidP="00D24E61">
      <w:pPr>
        <w:keepNext/>
        <w:widowControl w:val="0"/>
        <w:spacing w:after="240"/>
        <w:jc w:val="both"/>
        <w:rPr>
          <w:sz w:val="24"/>
          <w:szCs w:val="24"/>
        </w:rPr>
      </w:pPr>
      <w:r w:rsidRPr="00771368">
        <w:rPr>
          <w:sz w:val="24"/>
          <w:szCs w:val="24"/>
          <w:lang w:val="en-US"/>
        </w:rPr>
        <w:t xml:space="preserve">ASSMANN, Hugo; MO SUNG, Jung. </w:t>
      </w:r>
      <w:r w:rsidRPr="00771368">
        <w:rPr>
          <w:i/>
          <w:sz w:val="24"/>
          <w:szCs w:val="24"/>
        </w:rPr>
        <w:t>Competência e sensibilidade solidária</w:t>
      </w:r>
      <w:r w:rsidRPr="00771368">
        <w:rPr>
          <w:sz w:val="24"/>
          <w:szCs w:val="24"/>
        </w:rPr>
        <w:t xml:space="preserve">. Petrópolis: Vozes, 2000. </w:t>
      </w:r>
    </w:p>
    <w:p w:rsidR="00D24E61" w:rsidRPr="00771368" w:rsidRDefault="00291C73" w:rsidP="00D24E61">
      <w:pPr>
        <w:keepNext/>
        <w:widowControl w:val="0"/>
        <w:spacing w:after="240"/>
        <w:jc w:val="both"/>
        <w:rPr>
          <w:sz w:val="24"/>
          <w:szCs w:val="24"/>
        </w:rPr>
      </w:pPr>
      <w:r w:rsidRPr="00771368">
        <w:rPr>
          <w:sz w:val="24"/>
          <w:szCs w:val="24"/>
        </w:rPr>
        <w:fldChar w:fldCharType="begin"/>
      </w:r>
      <w:r w:rsidR="00D24E61" w:rsidRPr="00771368">
        <w:rPr>
          <w:sz w:val="24"/>
          <w:szCs w:val="24"/>
        </w:rPr>
        <w:instrText xml:space="preserve"> LINK Word.Document.12 "Documento3" "OLE_LINK1" \a \r  \* MERGEFORMAT </w:instrText>
      </w:r>
      <w:r w:rsidRPr="00771368">
        <w:rPr>
          <w:sz w:val="24"/>
          <w:szCs w:val="24"/>
        </w:rPr>
        <w:fldChar w:fldCharType="separate"/>
      </w:r>
      <w:bookmarkStart w:id="88" w:name="OLE_LINK1"/>
      <w:r w:rsidR="00D24E61" w:rsidRPr="00771368">
        <w:rPr>
          <w:sz w:val="24"/>
          <w:szCs w:val="24"/>
        </w:rPr>
        <w:t xml:space="preserve">BICALHO, Elizabete. Correntes Feministas e abordagens de gênero. In: SOTER (Org.) </w:t>
      </w:r>
      <w:r w:rsidR="00D24E61" w:rsidRPr="00771368">
        <w:rPr>
          <w:i/>
          <w:sz w:val="24"/>
          <w:szCs w:val="24"/>
        </w:rPr>
        <w:t>Gênero e teologia</w:t>
      </w:r>
      <w:r w:rsidR="00D24E61" w:rsidRPr="00771368">
        <w:rPr>
          <w:sz w:val="24"/>
          <w:szCs w:val="24"/>
        </w:rPr>
        <w:t>: interpelações e perspectivas. São Paulo: SOTER/Paulinas/Loyola, 2003. p. 37-50.</w:t>
      </w:r>
    </w:p>
    <w:p w:rsidR="00D24E61" w:rsidRPr="00771368" w:rsidRDefault="00D24E61" w:rsidP="00D24E61">
      <w:pPr>
        <w:pStyle w:val="FG10-referencias"/>
        <w:keepNext/>
        <w:widowControl w:val="0"/>
        <w:suppressAutoHyphens w:val="0"/>
        <w:spacing w:after="240"/>
        <w:rPr>
          <w:rFonts w:cs="Times New Roman"/>
          <w:szCs w:val="24"/>
        </w:rPr>
      </w:pPr>
      <w:r w:rsidRPr="00771368">
        <w:rPr>
          <w:rFonts w:cs="Times New Roman"/>
          <w:szCs w:val="24"/>
        </w:rPr>
        <w:t xml:space="preserve">BRASIL. Decreto Legislativo n. 186, de 09 de julho de 2008. </w:t>
      </w:r>
      <w:r w:rsidRPr="00771368">
        <w:rPr>
          <w:rFonts w:cs="Times New Roman"/>
          <w:i/>
          <w:szCs w:val="24"/>
        </w:rPr>
        <w:t>Aprova o texto da Convenção sobre os Direitos das Pessoas com Deficiência e de seu Protocolo Facultativo</w:t>
      </w:r>
      <w:r w:rsidRPr="00771368">
        <w:rPr>
          <w:rFonts w:cs="Times New Roman"/>
          <w:szCs w:val="24"/>
        </w:rPr>
        <w:t>, assinados em Nova Iorque, em 30 de março de 2007. Diário Oficial da União, Brasília-DF, 10 jul. 2008, seção 1, edição 131, p. 1. Disponível em: &lt;http://www2.senado.gov.br/bdsf/item/id/99423&gt;. Acesso em: 06 fev. 2012.</w:t>
      </w:r>
    </w:p>
    <w:p w:rsidR="00D24E61" w:rsidRPr="00771368" w:rsidRDefault="00D24E61" w:rsidP="00D24E61">
      <w:pPr>
        <w:keepNext/>
        <w:widowControl w:val="0"/>
        <w:spacing w:after="240"/>
        <w:jc w:val="both"/>
        <w:rPr>
          <w:sz w:val="24"/>
          <w:szCs w:val="24"/>
        </w:rPr>
      </w:pPr>
      <w:r w:rsidRPr="00771368">
        <w:rPr>
          <w:sz w:val="24"/>
          <w:szCs w:val="24"/>
        </w:rPr>
        <w:t xml:space="preserve">DEIFELT, Wanda. Temas e metodologias da teologia feminista. In: SOTER (Org.) </w:t>
      </w:r>
      <w:r w:rsidRPr="00771368">
        <w:rPr>
          <w:i/>
          <w:sz w:val="24"/>
          <w:szCs w:val="24"/>
        </w:rPr>
        <w:t>Gênero e teologia</w:t>
      </w:r>
      <w:r w:rsidRPr="00771368">
        <w:rPr>
          <w:sz w:val="24"/>
          <w:szCs w:val="24"/>
        </w:rPr>
        <w:t>: interpelações e perspectivas. São Paulo: SOTER/Paulinas/Loyola, 2003. p. 171-186.</w:t>
      </w:r>
    </w:p>
    <w:p w:rsidR="00D24E61" w:rsidRPr="00771368" w:rsidRDefault="00D24E61" w:rsidP="00D24E61">
      <w:pPr>
        <w:keepNext/>
        <w:widowControl w:val="0"/>
        <w:spacing w:after="240"/>
        <w:jc w:val="both"/>
        <w:rPr>
          <w:sz w:val="24"/>
          <w:szCs w:val="24"/>
        </w:rPr>
      </w:pPr>
      <w:r w:rsidRPr="00771368">
        <w:rPr>
          <w:sz w:val="24"/>
          <w:szCs w:val="24"/>
        </w:rPr>
        <w:t xml:space="preserve">DINIZ, Débora. </w:t>
      </w:r>
      <w:r w:rsidRPr="00771368">
        <w:rPr>
          <w:i/>
          <w:sz w:val="24"/>
          <w:szCs w:val="24"/>
        </w:rPr>
        <w:t>Modelo social da deficiência</w:t>
      </w:r>
      <w:r w:rsidRPr="00771368">
        <w:rPr>
          <w:sz w:val="24"/>
          <w:szCs w:val="24"/>
        </w:rPr>
        <w:t xml:space="preserve">: a crítica feminista. Série Anis 28, Brasília, p. 1-8, jul. 2003. </w:t>
      </w:r>
    </w:p>
    <w:p w:rsidR="00D24E61" w:rsidRPr="00771368" w:rsidRDefault="00D24E61" w:rsidP="00D24E61">
      <w:pPr>
        <w:keepNext/>
        <w:widowControl w:val="0"/>
        <w:spacing w:after="240"/>
        <w:jc w:val="both"/>
        <w:rPr>
          <w:sz w:val="24"/>
          <w:szCs w:val="24"/>
        </w:rPr>
      </w:pPr>
      <w:r w:rsidRPr="00771368">
        <w:rPr>
          <w:sz w:val="24"/>
          <w:szCs w:val="24"/>
        </w:rPr>
        <w:t xml:space="preserve">______. </w:t>
      </w:r>
      <w:r w:rsidRPr="00771368">
        <w:rPr>
          <w:i/>
          <w:sz w:val="24"/>
          <w:szCs w:val="24"/>
        </w:rPr>
        <w:t>O que é deficiência</w:t>
      </w:r>
      <w:r w:rsidRPr="00771368">
        <w:rPr>
          <w:sz w:val="24"/>
          <w:szCs w:val="24"/>
        </w:rPr>
        <w:t>. São Paulo: Editora Brasiliense, 2007.</w:t>
      </w:r>
    </w:p>
    <w:p w:rsidR="00D24E61" w:rsidRPr="00771368" w:rsidRDefault="00D24E61" w:rsidP="00D24E61">
      <w:pPr>
        <w:keepNext/>
        <w:widowControl w:val="0"/>
        <w:spacing w:after="240"/>
        <w:jc w:val="both"/>
        <w:rPr>
          <w:sz w:val="24"/>
          <w:szCs w:val="24"/>
          <w:shd w:val="clear" w:color="auto" w:fill="FFFFFF"/>
          <w:lang w:val="en-US"/>
        </w:rPr>
      </w:pPr>
      <w:r w:rsidRPr="00771368">
        <w:rPr>
          <w:sz w:val="24"/>
          <w:szCs w:val="24"/>
          <w:lang w:val="en-US"/>
        </w:rPr>
        <w:t>DIRECTORATE GENERAL FOR INTERNAL POLICIES</w:t>
      </w:r>
      <w:r w:rsidRPr="00771368">
        <w:rPr>
          <w:sz w:val="24"/>
          <w:szCs w:val="24"/>
          <w:shd w:val="clear" w:color="auto" w:fill="FFFFFF"/>
          <w:lang w:val="en-US"/>
        </w:rPr>
        <w:t>. </w:t>
      </w:r>
      <w:r w:rsidRPr="00771368">
        <w:rPr>
          <w:i/>
          <w:iCs/>
          <w:sz w:val="24"/>
          <w:szCs w:val="24"/>
          <w:shd w:val="clear" w:color="auto" w:fill="FFFFFF"/>
          <w:lang w:val="en-US"/>
        </w:rPr>
        <w:t>Discrimination Generated by the Intersection of Gender and Disability</w:t>
      </w:r>
      <w:r w:rsidRPr="00771368">
        <w:rPr>
          <w:sz w:val="24"/>
          <w:szCs w:val="24"/>
          <w:shd w:val="clear" w:color="auto" w:fill="FFFFFF"/>
          <w:lang w:val="en-US"/>
        </w:rPr>
        <w:t>, European Parliament, 2013.</w:t>
      </w:r>
    </w:p>
    <w:p w:rsidR="00D24E61" w:rsidRPr="00771368" w:rsidRDefault="00D24E61" w:rsidP="00D24E61">
      <w:pPr>
        <w:keepNext/>
        <w:widowControl w:val="0"/>
        <w:spacing w:after="240"/>
        <w:jc w:val="both"/>
        <w:rPr>
          <w:sz w:val="24"/>
          <w:szCs w:val="24"/>
          <w:lang w:val="en-US"/>
        </w:rPr>
      </w:pPr>
      <w:r w:rsidRPr="00771368">
        <w:rPr>
          <w:sz w:val="24"/>
          <w:szCs w:val="24"/>
        </w:rPr>
        <w:t xml:space="preserve">FARIAS, Adenize Queiroz de. </w:t>
      </w:r>
      <w:r w:rsidRPr="00771368">
        <w:rPr>
          <w:bCs/>
          <w:i/>
          <w:sz w:val="24"/>
          <w:szCs w:val="24"/>
        </w:rPr>
        <w:t>Gênero e deficiência</w:t>
      </w:r>
      <w:r w:rsidRPr="00771368">
        <w:rPr>
          <w:bCs/>
          <w:sz w:val="24"/>
          <w:szCs w:val="24"/>
        </w:rPr>
        <w:t xml:space="preserve">: </w:t>
      </w:r>
      <w:r w:rsidRPr="00771368">
        <w:rPr>
          <w:sz w:val="24"/>
          <w:szCs w:val="24"/>
        </w:rPr>
        <w:t xml:space="preserve">uma história feminina de ruptura e superação de vulnerabilidades. Dissertação (Mestrado) - Programa de Pós-Graduação em Educação, Universidade Federal da Paraíba. </w:t>
      </w:r>
      <w:r w:rsidRPr="00771368">
        <w:rPr>
          <w:sz w:val="24"/>
          <w:szCs w:val="24"/>
          <w:lang w:val="en-US"/>
        </w:rPr>
        <w:t>João Pessoa: UFPB, 2011.</w:t>
      </w:r>
    </w:p>
    <w:p w:rsidR="00D24E61" w:rsidRPr="00771368" w:rsidRDefault="00D24E61" w:rsidP="00D24E61">
      <w:pPr>
        <w:keepNext/>
        <w:widowControl w:val="0"/>
        <w:spacing w:after="240"/>
        <w:jc w:val="both"/>
        <w:rPr>
          <w:sz w:val="24"/>
          <w:szCs w:val="24"/>
          <w:lang w:val="en-US"/>
        </w:rPr>
      </w:pPr>
      <w:r w:rsidRPr="00771368">
        <w:rPr>
          <w:sz w:val="24"/>
          <w:szCs w:val="24"/>
          <w:lang w:val="en-US"/>
        </w:rPr>
        <w:t xml:space="preserve">FERRI, Beth A.; GREGG, Noel. </w:t>
      </w:r>
      <w:r w:rsidRPr="00771368">
        <w:rPr>
          <w:i/>
          <w:sz w:val="24"/>
          <w:szCs w:val="24"/>
          <w:lang w:val="en-US"/>
        </w:rPr>
        <w:t>Women with disabilities</w:t>
      </w:r>
      <w:r w:rsidRPr="00771368">
        <w:rPr>
          <w:sz w:val="24"/>
          <w:szCs w:val="24"/>
          <w:lang w:val="en-US"/>
        </w:rPr>
        <w:t xml:space="preserve">: missing voices. Women's Studies International Forum, v. 21, n. 4, p. 429-439, 1998. </w:t>
      </w:r>
    </w:p>
    <w:p w:rsidR="00D24E61" w:rsidRPr="00771368" w:rsidRDefault="00D24E61" w:rsidP="00D24E61">
      <w:pPr>
        <w:keepNext/>
        <w:widowControl w:val="0"/>
        <w:spacing w:after="240"/>
        <w:jc w:val="both"/>
        <w:rPr>
          <w:sz w:val="24"/>
          <w:szCs w:val="24"/>
          <w:lang w:val="en-US"/>
        </w:rPr>
      </w:pPr>
      <w:r w:rsidRPr="00771368">
        <w:rPr>
          <w:sz w:val="24"/>
          <w:szCs w:val="24"/>
          <w:lang w:val="en-US"/>
        </w:rPr>
        <w:t xml:space="preserve">FINE, Michelle; ASCH, Adrienne. </w:t>
      </w:r>
      <w:r w:rsidRPr="00771368">
        <w:rPr>
          <w:i/>
          <w:sz w:val="24"/>
          <w:szCs w:val="24"/>
          <w:lang w:val="en-US"/>
        </w:rPr>
        <w:t>Women with disabilities</w:t>
      </w:r>
      <w:r w:rsidRPr="00771368">
        <w:rPr>
          <w:sz w:val="24"/>
          <w:szCs w:val="24"/>
          <w:lang w:val="en-US"/>
        </w:rPr>
        <w:t>: essays in psychology, culture and politics. Philadelphia: Temple University Press, 1988.</w:t>
      </w:r>
    </w:p>
    <w:p w:rsidR="00D24E61" w:rsidRPr="00771368" w:rsidRDefault="00D24E61" w:rsidP="00D24E61">
      <w:pPr>
        <w:keepNext/>
        <w:widowControl w:val="0"/>
        <w:spacing w:after="240"/>
        <w:jc w:val="both"/>
        <w:rPr>
          <w:sz w:val="24"/>
          <w:szCs w:val="24"/>
          <w:lang w:val="en-US"/>
        </w:rPr>
      </w:pPr>
      <w:r w:rsidRPr="00771368">
        <w:rPr>
          <w:sz w:val="24"/>
          <w:szCs w:val="24"/>
          <w:lang w:val="en-US"/>
        </w:rPr>
        <w:t xml:space="preserve">FROSCHL, Merle; RUBIN, Ellen; SPRUNG, Barbara. Connecting gender and disability. </w:t>
      </w:r>
      <w:r w:rsidRPr="00771368">
        <w:rPr>
          <w:i/>
          <w:sz w:val="24"/>
          <w:szCs w:val="24"/>
          <w:lang w:val="en-US"/>
        </w:rPr>
        <w:t>Gender and Disability Digest</w:t>
      </w:r>
      <w:r w:rsidRPr="00771368">
        <w:rPr>
          <w:sz w:val="24"/>
          <w:szCs w:val="24"/>
          <w:lang w:val="en-US"/>
        </w:rPr>
        <w:t xml:space="preserve">. Newton: Women’s Educational Equity Act (WEEA) Resource Center, nov. 1999. </w:t>
      </w:r>
    </w:p>
    <w:p w:rsidR="00D24E61" w:rsidRPr="00771368" w:rsidRDefault="00D24E61" w:rsidP="00D24E61">
      <w:pPr>
        <w:keepNext/>
        <w:widowControl w:val="0"/>
        <w:spacing w:after="240"/>
        <w:jc w:val="both"/>
        <w:rPr>
          <w:sz w:val="24"/>
          <w:szCs w:val="24"/>
          <w:lang w:val="en-US"/>
        </w:rPr>
      </w:pPr>
      <w:r w:rsidRPr="00771368">
        <w:rPr>
          <w:sz w:val="24"/>
          <w:szCs w:val="24"/>
          <w:lang w:val="en-US"/>
        </w:rPr>
        <w:t xml:space="preserve">GARLAND-THOMSON, Rosemarie. Integrating disability, transforming feminist theory. In: HALL, Kim Q. (Ed.) </w:t>
      </w:r>
      <w:r w:rsidRPr="00771368">
        <w:rPr>
          <w:i/>
          <w:sz w:val="24"/>
          <w:szCs w:val="24"/>
          <w:lang w:val="en-US"/>
        </w:rPr>
        <w:t>Feminist Disability Studies</w:t>
      </w:r>
      <w:r w:rsidRPr="00771368">
        <w:rPr>
          <w:sz w:val="24"/>
          <w:szCs w:val="24"/>
          <w:lang w:val="en-US"/>
        </w:rPr>
        <w:t xml:space="preserve">. Bloomington: Indiana University Press, 2011. </w:t>
      </w:r>
    </w:p>
    <w:p w:rsidR="00D24E61" w:rsidRPr="00771368" w:rsidRDefault="00D24E61" w:rsidP="00D24E61">
      <w:pPr>
        <w:keepNext/>
        <w:widowControl w:val="0"/>
        <w:tabs>
          <w:tab w:val="left" w:pos="993"/>
        </w:tabs>
        <w:autoSpaceDE w:val="0"/>
        <w:autoSpaceDN w:val="0"/>
        <w:adjustRightInd w:val="0"/>
        <w:spacing w:after="240"/>
        <w:jc w:val="both"/>
        <w:rPr>
          <w:sz w:val="24"/>
          <w:szCs w:val="24"/>
          <w:shd w:val="clear" w:color="auto" w:fill="FEFEFE"/>
          <w:lang w:val="en-US"/>
        </w:rPr>
      </w:pPr>
      <w:r w:rsidRPr="00771368">
        <w:rPr>
          <w:sz w:val="24"/>
          <w:szCs w:val="24"/>
          <w:shd w:val="clear" w:color="auto" w:fill="FEFEFE"/>
          <w:lang w:val="en-US"/>
        </w:rPr>
        <w:t xml:space="preserve">GARLAND-THOMSON, </w:t>
      </w:r>
      <w:r w:rsidRPr="00771368">
        <w:rPr>
          <w:i/>
          <w:sz w:val="24"/>
          <w:szCs w:val="24"/>
          <w:shd w:val="clear" w:color="auto" w:fill="FEFEFE"/>
          <w:lang w:val="en-US"/>
        </w:rPr>
        <w:t>Rosemarie. Re-shaping, re-thinking, re-defining</w:t>
      </w:r>
      <w:r w:rsidRPr="00771368">
        <w:rPr>
          <w:sz w:val="24"/>
          <w:szCs w:val="24"/>
          <w:shd w:val="clear" w:color="auto" w:fill="FEFEFE"/>
          <w:lang w:val="en-US"/>
        </w:rPr>
        <w:t>: feminist disability studies. Washington: Center for Women and Policy Studies, 2001.</w:t>
      </w:r>
      <w:r w:rsidRPr="00771368">
        <w:rPr>
          <w:sz w:val="24"/>
          <w:szCs w:val="24"/>
          <w:lang w:val="en-US"/>
        </w:rPr>
        <w:t xml:space="preserve"> p. 4-5.</w:t>
      </w:r>
    </w:p>
    <w:p w:rsidR="00D24E61" w:rsidRPr="00771368" w:rsidRDefault="00D24E61" w:rsidP="00D24E61">
      <w:pPr>
        <w:keepNext/>
        <w:widowControl w:val="0"/>
        <w:spacing w:after="240"/>
        <w:jc w:val="both"/>
        <w:rPr>
          <w:sz w:val="24"/>
          <w:szCs w:val="24"/>
          <w:lang w:val="en-US"/>
        </w:rPr>
      </w:pPr>
      <w:r w:rsidRPr="00771368">
        <w:rPr>
          <w:sz w:val="24"/>
          <w:szCs w:val="24"/>
          <w:lang w:val="en-US"/>
        </w:rPr>
        <w:t>GERSCHICK, Thomas J. Toward a Theory of Disability and Gender. Signs: Journal of Women in Culture &amp; Society, v. 25, n. 4, p. 1263-1268, 2000.</w:t>
      </w:r>
    </w:p>
    <w:p w:rsidR="00D24E61" w:rsidRPr="00771368" w:rsidRDefault="00D24E61" w:rsidP="00D24E61">
      <w:pPr>
        <w:keepNext/>
        <w:widowControl w:val="0"/>
        <w:spacing w:after="240"/>
        <w:jc w:val="both"/>
        <w:rPr>
          <w:sz w:val="24"/>
          <w:szCs w:val="24"/>
          <w:lang w:val="en-US"/>
        </w:rPr>
      </w:pPr>
      <w:r w:rsidRPr="00771368">
        <w:rPr>
          <w:sz w:val="24"/>
          <w:szCs w:val="24"/>
          <w:lang w:val="en-US"/>
        </w:rPr>
        <w:t xml:space="preserve">HALL, Kim Q. (Ed.) </w:t>
      </w:r>
      <w:r w:rsidRPr="00771368">
        <w:rPr>
          <w:i/>
          <w:sz w:val="24"/>
          <w:szCs w:val="24"/>
          <w:lang w:val="en-US"/>
        </w:rPr>
        <w:t>Feminist Disability Studies</w:t>
      </w:r>
      <w:r w:rsidRPr="00771368">
        <w:rPr>
          <w:sz w:val="24"/>
          <w:szCs w:val="24"/>
          <w:lang w:val="en-US"/>
        </w:rPr>
        <w:t>. Bloomington: Indiana University Press, 2011.</w:t>
      </w:r>
    </w:p>
    <w:p w:rsidR="00D24E61" w:rsidRPr="00771368" w:rsidRDefault="00D24E61" w:rsidP="00D24E61">
      <w:pPr>
        <w:keepNext/>
        <w:widowControl w:val="0"/>
        <w:spacing w:after="240"/>
        <w:jc w:val="both"/>
        <w:rPr>
          <w:sz w:val="24"/>
          <w:szCs w:val="24"/>
          <w:lang w:val="en-US"/>
        </w:rPr>
      </w:pPr>
      <w:r w:rsidRPr="00771368">
        <w:rPr>
          <w:sz w:val="24"/>
          <w:szCs w:val="24"/>
          <w:lang w:val="en-US"/>
        </w:rPr>
        <w:t xml:space="preserve">HANNA, William John; ROGOVSKY, Betsy. Women with disabilities: two handicaps plus. In: BARTON, Len. </w:t>
      </w:r>
      <w:r w:rsidRPr="00771368">
        <w:rPr>
          <w:i/>
          <w:sz w:val="24"/>
          <w:szCs w:val="24"/>
          <w:lang w:val="en-US"/>
        </w:rPr>
        <w:t>Overcoming disabling barriers</w:t>
      </w:r>
      <w:r w:rsidRPr="00771368">
        <w:rPr>
          <w:sz w:val="24"/>
          <w:szCs w:val="24"/>
          <w:lang w:val="en-US"/>
        </w:rPr>
        <w:t>: 18 years of disability and Ssociety. London: Routledge, 2006. p. 37-52.</w:t>
      </w:r>
    </w:p>
    <w:p w:rsidR="00D24E61" w:rsidRPr="00771368" w:rsidRDefault="00D24E61" w:rsidP="00D24E61">
      <w:pPr>
        <w:keepNext/>
        <w:widowControl w:val="0"/>
        <w:spacing w:after="240"/>
        <w:jc w:val="both"/>
        <w:rPr>
          <w:sz w:val="24"/>
          <w:szCs w:val="24"/>
          <w:lang w:val="en-US"/>
        </w:rPr>
      </w:pPr>
      <w:r w:rsidRPr="00771368">
        <w:rPr>
          <w:sz w:val="24"/>
          <w:szCs w:val="24"/>
          <w:lang w:val="en-US"/>
        </w:rPr>
        <w:t>HARRELL, Erika.Crime Against Persons with Disabilities, 2009-2011-Statistical Tables. Washington: Bureau of Justice Statistics, 2012. Disponível em: http://www.bjs.gov/content/pub/pdf/capd0911st.pdf. Acesso em 29 set. 2013.</w:t>
      </w:r>
    </w:p>
    <w:p w:rsidR="00D61223" w:rsidRDefault="00D24E61" w:rsidP="00D61223">
      <w:pPr>
        <w:rPr>
          <w:lang w:val="en-US"/>
        </w:rPr>
      </w:pPr>
      <w:r w:rsidRPr="00D61223">
        <w:rPr>
          <w:lang w:val="en-US"/>
        </w:rPr>
        <w:t>HARRIS, Adrienne; WIDEMAN, Dana. The construction of gender and disability in early attachment. In: FINE, Michelle; ASCH Adrienne (Eds.). Women with disabilities: Essays in psychology, culture, and politics, Philadelphia: Temple University, 1988. p. 115–138.</w:t>
      </w:r>
    </w:p>
    <w:p w:rsidR="00D61223" w:rsidRDefault="00D61223" w:rsidP="00D61223">
      <w:pPr>
        <w:rPr>
          <w:lang w:val="en-US"/>
        </w:rPr>
      </w:pPr>
    </w:p>
    <w:p w:rsidR="00D61223" w:rsidRDefault="00D24E61" w:rsidP="00D61223">
      <w:pPr>
        <w:rPr>
          <w:sz w:val="24"/>
          <w:szCs w:val="24"/>
          <w:lang w:val="en-US"/>
        </w:rPr>
      </w:pPr>
      <w:r w:rsidRPr="00771368">
        <w:rPr>
          <w:sz w:val="24"/>
          <w:szCs w:val="24"/>
        </w:rPr>
        <w:t xml:space="preserve">IBGE. </w:t>
      </w:r>
      <w:r w:rsidRPr="00771368">
        <w:rPr>
          <w:i/>
          <w:sz w:val="24"/>
          <w:szCs w:val="24"/>
        </w:rPr>
        <w:t>Instituto Brasileiro de Geografia e Estatística</w:t>
      </w:r>
      <w:r w:rsidRPr="00771368">
        <w:rPr>
          <w:sz w:val="24"/>
          <w:szCs w:val="24"/>
        </w:rPr>
        <w:t xml:space="preserve">. </w:t>
      </w:r>
      <w:r w:rsidRPr="00771368">
        <w:rPr>
          <w:rStyle w:val="Forte"/>
          <w:b w:val="0"/>
          <w:szCs w:val="24"/>
        </w:rPr>
        <w:t>Comunicação Social 29 de junho de 2012</w:t>
      </w:r>
      <w:r w:rsidRPr="00771368">
        <w:rPr>
          <w:sz w:val="24"/>
          <w:szCs w:val="24"/>
        </w:rPr>
        <w:t xml:space="preserve">. Disponível em &lt;http://www.ibge.gov.br/home/presidencia/noticias/noticia_impressao.php?id_noticia=2170. </w:t>
      </w:r>
      <w:r w:rsidRPr="00771368">
        <w:rPr>
          <w:sz w:val="24"/>
          <w:szCs w:val="24"/>
          <w:lang w:val="en-US"/>
        </w:rPr>
        <w:t>Acesso em 29 jul. 2012.</w:t>
      </w:r>
    </w:p>
    <w:p w:rsidR="00D61223" w:rsidRDefault="00D61223" w:rsidP="00D61223">
      <w:pPr>
        <w:rPr>
          <w:sz w:val="24"/>
          <w:szCs w:val="24"/>
          <w:lang w:val="en-US"/>
        </w:rPr>
      </w:pPr>
    </w:p>
    <w:p w:rsidR="00D24E61" w:rsidRDefault="00D24E61" w:rsidP="00D61223">
      <w:pPr>
        <w:rPr>
          <w:sz w:val="24"/>
          <w:szCs w:val="24"/>
          <w:shd w:val="clear" w:color="auto" w:fill="FFFFFF"/>
        </w:rPr>
      </w:pPr>
      <w:r w:rsidRPr="00771368">
        <w:rPr>
          <w:rStyle w:val="nfase"/>
          <w:bCs/>
          <w:i w:val="0"/>
          <w:iCs w:val="0"/>
          <w:sz w:val="24"/>
          <w:szCs w:val="24"/>
          <w:shd w:val="clear" w:color="auto" w:fill="FFFFFF"/>
          <w:lang w:val="en-US"/>
        </w:rPr>
        <w:t>KITTAY</w:t>
      </w:r>
      <w:r w:rsidRPr="00771368">
        <w:rPr>
          <w:sz w:val="24"/>
          <w:szCs w:val="24"/>
          <w:shd w:val="clear" w:color="auto" w:fill="FFFFFF"/>
          <w:lang w:val="en-US"/>
        </w:rPr>
        <w:t>,</w:t>
      </w:r>
      <w:r w:rsidRPr="00771368">
        <w:rPr>
          <w:rStyle w:val="apple-converted-space"/>
          <w:sz w:val="24"/>
          <w:szCs w:val="24"/>
          <w:shd w:val="clear" w:color="auto" w:fill="FFFFFF"/>
          <w:lang w:val="en-US"/>
        </w:rPr>
        <w:t> </w:t>
      </w:r>
      <w:r w:rsidRPr="00771368">
        <w:rPr>
          <w:rStyle w:val="nfase"/>
          <w:bCs/>
          <w:i w:val="0"/>
          <w:iCs w:val="0"/>
          <w:sz w:val="24"/>
          <w:szCs w:val="24"/>
          <w:shd w:val="clear" w:color="auto" w:fill="FFFFFF"/>
          <w:lang w:val="en-US"/>
        </w:rPr>
        <w:t>Eva F</w:t>
      </w:r>
      <w:r w:rsidRPr="00771368">
        <w:rPr>
          <w:sz w:val="24"/>
          <w:szCs w:val="24"/>
          <w:shd w:val="clear" w:color="auto" w:fill="FFFFFF"/>
          <w:lang w:val="en-US"/>
        </w:rPr>
        <w:t>.</w:t>
      </w:r>
      <w:r w:rsidRPr="00771368">
        <w:rPr>
          <w:rStyle w:val="apple-converted-space"/>
          <w:sz w:val="24"/>
          <w:szCs w:val="24"/>
          <w:shd w:val="clear" w:color="auto" w:fill="FFFFFF"/>
          <w:lang w:val="en-US"/>
        </w:rPr>
        <w:t> </w:t>
      </w:r>
      <w:r w:rsidRPr="00771368">
        <w:rPr>
          <w:rStyle w:val="nfase"/>
          <w:bCs/>
          <w:iCs w:val="0"/>
          <w:sz w:val="24"/>
          <w:szCs w:val="24"/>
          <w:shd w:val="clear" w:color="auto" w:fill="FFFFFF"/>
          <w:lang w:val="en-US"/>
        </w:rPr>
        <w:t>Love's Labor</w:t>
      </w:r>
      <w:r w:rsidRPr="00771368">
        <w:rPr>
          <w:sz w:val="24"/>
          <w:szCs w:val="24"/>
          <w:shd w:val="clear" w:color="auto" w:fill="FFFFFF"/>
          <w:lang w:val="en-US"/>
        </w:rPr>
        <w:t>:</w:t>
      </w:r>
      <w:r w:rsidRPr="00771368">
        <w:rPr>
          <w:rStyle w:val="apple-converted-space"/>
          <w:sz w:val="24"/>
          <w:szCs w:val="24"/>
          <w:shd w:val="clear" w:color="auto" w:fill="FFFFFF"/>
          <w:lang w:val="en-US"/>
        </w:rPr>
        <w:t> </w:t>
      </w:r>
      <w:r w:rsidRPr="00771368">
        <w:rPr>
          <w:rStyle w:val="nfase"/>
          <w:bCs/>
          <w:i w:val="0"/>
          <w:iCs w:val="0"/>
          <w:sz w:val="24"/>
          <w:szCs w:val="24"/>
          <w:shd w:val="clear" w:color="auto" w:fill="FFFFFF"/>
          <w:lang w:val="en-US"/>
        </w:rPr>
        <w:t>Essays</w:t>
      </w:r>
      <w:r w:rsidRPr="00771368">
        <w:rPr>
          <w:rStyle w:val="apple-converted-space"/>
          <w:sz w:val="24"/>
          <w:szCs w:val="24"/>
          <w:shd w:val="clear" w:color="auto" w:fill="FFFFFF"/>
          <w:lang w:val="en-US"/>
        </w:rPr>
        <w:t> </w:t>
      </w:r>
      <w:r w:rsidRPr="00771368">
        <w:rPr>
          <w:sz w:val="24"/>
          <w:szCs w:val="24"/>
          <w:shd w:val="clear" w:color="auto" w:fill="FFFFFF"/>
          <w:lang w:val="en-US"/>
        </w:rPr>
        <w:t xml:space="preserve">on Women, Equality, and Dependency. </w:t>
      </w:r>
      <w:r w:rsidRPr="00771368">
        <w:rPr>
          <w:sz w:val="24"/>
          <w:szCs w:val="24"/>
          <w:shd w:val="clear" w:color="auto" w:fill="FFFFFF"/>
        </w:rPr>
        <w:t>New York: Routledge, 1999.</w:t>
      </w:r>
    </w:p>
    <w:p w:rsidR="00D61223" w:rsidRDefault="00D61223" w:rsidP="00D24E61">
      <w:pPr>
        <w:keepNext/>
        <w:widowControl w:val="0"/>
        <w:spacing w:after="240"/>
        <w:jc w:val="both"/>
        <w:rPr>
          <w:sz w:val="24"/>
          <w:szCs w:val="24"/>
        </w:rPr>
      </w:pPr>
    </w:p>
    <w:p w:rsidR="00D24E61" w:rsidRPr="00771368" w:rsidRDefault="00D24E61" w:rsidP="00D24E61">
      <w:pPr>
        <w:keepNext/>
        <w:widowControl w:val="0"/>
        <w:spacing w:after="240"/>
        <w:jc w:val="both"/>
        <w:rPr>
          <w:sz w:val="24"/>
          <w:szCs w:val="24"/>
        </w:rPr>
      </w:pPr>
      <w:r w:rsidRPr="00771368">
        <w:rPr>
          <w:sz w:val="24"/>
          <w:szCs w:val="24"/>
        </w:rPr>
        <w:t xml:space="preserve">MELLO, Anahi Guedes de; NUERNBERG, Adriano Henrique. </w:t>
      </w:r>
      <w:r w:rsidRPr="00771368">
        <w:rPr>
          <w:i/>
          <w:sz w:val="24"/>
          <w:szCs w:val="24"/>
        </w:rPr>
        <w:t>Gênero e deficiência</w:t>
      </w:r>
      <w:r w:rsidRPr="00771368">
        <w:rPr>
          <w:sz w:val="24"/>
          <w:szCs w:val="24"/>
        </w:rPr>
        <w:t xml:space="preserve">: interseções e perspectivas. Revista Estudos Feministas, Florianópolis, v. 20, n. 3, p. 635-655, 2012. </w:t>
      </w:r>
    </w:p>
    <w:p w:rsidR="00D24E61" w:rsidRPr="00771368" w:rsidRDefault="00D24E61" w:rsidP="00D24E61">
      <w:pPr>
        <w:keepNext/>
        <w:widowControl w:val="0"/>
        <w:spacing w:after="240"/>
        <w:jc w:val="both"/>
        <w:rPr>
          <w:sz w:val="24"/>
          <w:szCs w:val="24"/>
        </w:rPr>
      </w:pPr>
      <w:r w:rsidRPr="00771368">
        <w:rPr>
          <w:sz w:val="24"/>
          <w:szCs w:val="24"/>
        </w:rPr>
        <w:t xml:space="preserve">MEEKOSHA, Helen. </w:t>
      </w:r>
      <w:r w:rsidRPr="00771368">
        <w:rPr>
          <w:i/>
          <w:sz w:val="24"/>
          <w:szCs w:val="24"/>
        </w:rPr>
        <w:t>Gender and Disability</w:t>
      </w:r>
      <w:r w:rsidRPr="00771368">
        <w:rPr>
          <w:sz w:val="24"/>
          <w:szCs w:val="24"/>
        </w:rPr>
        <w:t>. Sage Encyclopaedia of Disability. 2004. Disponível em: http://wwda.org.au/gendis2001.htm. Acesso em 17 abr. 2013.</w:t>
      </w:r>
    </w:p>
    <w:p w:rsidR="00D24E61" w:rsidRPr="00771368" w:rsidRDefault="00D24E61" w:rsidP="00D24E61">
      <w:pPr>
        <w:keepNext/>
        <w:widowControl w:val="0"/>
        <w:spacing w:after="240"/>
        <w:jc w:val="both"/>
        <w:rPr>
          <w:sz w:val="24"/>
          <w:szCs w:val="24"/>
        </w:rPr>
      </w:pPr>
      <w:r w:rsidRPr="00771368">
        <w:rPr>
          <w:sz w:val="24"/>
          <w:szCs w:val="24"/>
          <w:lang w:val="en-US"/>
        </w:rPr>
        <w:t xml:space="preserve">MORRIS, Jenny. </w:t>
      </w:r>
      <w:r w:rsidRPr="00771368">
        <w:rPr>
          <w:i/>
          <w:sz w:val="24"/>
          <w:szCs w:val="24"/>
          <w:lang w:val="en-US"/>
        </w:rPr>
        <w:t>Personal and political</w:t>
      </w:r>
      <w:r w:rsidRPr="00771368">
        <w:rPr>
          <w:sz w:val="24"/>
          <w:szCs w:val="24"/>
          <w:lang w:val="en-US"/>
        </w:rPr>
        <w:t xml:space="preserve">: a feminist perspective in researching physical disability. In: BARTON, Len. Overcoming Disabling Barriers: 18 years of disability and society. </w:t>
      </w:r>
      <w:r w:rsidRPr="00771368">
        <w:rPr>
          <w:sz w:val="24"/>
          <w:szCs w:val="24"/>
        </w:rPr>
        <w:t>London: Routledge, 2006. p. 283-293.</w:t>
      </w:r>
    </w:p>
    <w:p w:rsidR="00D24E61" w:rsidRPr="00771368" w:rsidRDefault="00D24E61" w:rsidP="00D24E61">
      <w:pPr>
        <w:keepNext/>
        <w:widowControl w:val="0"/>
        <w:spacing w:after="240"/>
        <w:jc w:val="both"/>
        <w:rPr>
          <w:sz w:val="24"/>
          <w:szCs w:val="24"/>
        </w:rPr>
      </w:pPr>
      <w:r w:rsidRPr="00771368">
        <w:rPr>
          <w:sz w:val="24"/>
          <w:szCs w:val="24"/>
        </w:rPr>
        <w:t xml:space="preserve">NICOLAU, Stella Maris. </w:t>
      </w:r>
      <w:r w:rsidRPr="00771368">
        <w:rPr>
          <w:i/>
          <w:sz w:val="24"/>
          <w:szCs w:val="24"/>
        </w:rPr>
        <w:t>Deficiência, gênero e práticas de saúde</w:t>
      </w:r>
      <w:r w:rsidRPr="00771368">
        <w:rPr>
          <w:sz w:val="24"/>
          <w:szCs w:val="24"/>
        </w:rPr>
        <w:t>: estudo sobre a integralidade em atenção primária. 298 p. Tese (Doutorado) - Programa de Medicina Preventiva - Faculdade de Medicina, Universidade de São Paulo. São Paulo, 2011.</w:t>
      </w:r>
    </w:p>
    <w:p w:rsidR="00D24E61" w:rsidRPr="00771368" w:rsidRDefault="00D24E61" w:rsidP="00D24E61">
      <w:pPr>
        <w:pStyle w:val="Ttulo6"/>
        <w:widowControl w:val="0"/>
        <w:tabs>
          <w:tab w:val="left" w:pos="851"/>
        </w:tabs>
        <w:spacing w:before="0" w:after="240"/>
        <w:ind w:firstLine="0"/>
        <w:rPr>
          <w:rFonts w:ascii="Times New Roman" w:hAnsi="Times New Roman"/>
          <w:b/>
          <w:szCs w:val="24"/>
        </w:rPr>
      </w:pPr>
      <w:r w:rsidRPr="00771368">
        <w:rPr>
          <w:rFonts w:ascii="Times New Roman" w:hAnsi="Times New Roman"/>
          <w:b/>
          <w:szCs w:val="24"/>
          <w:shd w:val="clear" w:color="auto" w:fill="FFFFFF"/>
        </w:rPr>
        <w:t>ORGANIZAÇÃO MUNDIAL DA SAÚDE.</w:t>
      </w:r>
      <w:r w:rsidRPr="00771368">
        <w:rPr>
          <w:rStyle w:val="apple-converted-space"/>
          <w:rFonts w:ascii="Times New Roman" w:hAnsi="Times New Roman"/>
          <w:b/>
          <w:szCs w:val="24"/>
          <w:shd w:val="clear" w:color="auto" w:fill="FFFFFF"/>
        </w:rPr>
        <w:t> </w:t>
      </w:r>
      <w:r w:rsidRPr="00771368">
        <w:rPr>
          <w:rFonts w:ascii="Times New Roman" w:hAnsi="Times New Roman"/>
          <w:b/>
          <w:i w:val="0"/>
          <w:iCs w:val="0"/>
          <w:szCs w:val="24"/>
          <w:shd w:val="clear" w:color="auto" w:fill="FFFFFF"/>
        </w:rPr>
        <w:t>Relatório mundial sobre a deficiência</w:t>
      </w:r>
      <w:r w:rsidRPr="00771368">
        <w:rPr>
          <w:rFonts w:ascii="Times New Roman" w:hAnsi="Times New Roman"/>
          <w:b/>
          <w:szCs w:val="24"/>
          <w:shd w:val="clear" w:color="auto" w:fill="FFFFFF"/>
        </w:rPr>
        <w:t>. São Paulo: SEDPcD, 2012. p. 8. Disponível em: &lt;</w:t>
      </w:r>
      <w:r w:rsidRPr="00771368">
        <w:rPr>
          <w:rFonts w:ascii="Times New Roman" w:hAnsi="Times New Roman"/>
          <w:b/>
          <w:szCs w:val="24"/>
        </w:rPr>
        <w:t>http://www.pessoacomdeficiencia.sp.gov.br/usr/share/documents/Relatorio_Mundial_SUMARIO_PDF2012.pdf&gt;. Acesso em 20 fev. 2013.</w:t>
      </w:r>
    </w:p>
    <w:p w:rsidR="00D24E61" w:rsidRPr="00771368" w:rsidRDefault="00D24E61" w:rsidP="00D24E61">
      <w:pPr>
        <w:pStyle w:val="Ttulo6"/>
        <w:widowControl w:val="0"/>
        <w:tabs>
          <w:tab w:val="left" w:pos="851"/>
        </w:tabs>
        <w:spacing w:before="0" w:after="240"/>
        <w:ind w:firstLine="0"/>
        <w:rPr>
          <w:rFonts w:ascii="Times New Roman" w:hAnsi="Times New Roman"/>
          <w:b/>
          <w:szCs w:val="24"/>
        </w:rPr>
      </w:pPr>
      <w:r w:rsidRPr="00771368">
        <w:rPr>
          <w:rFonts w:ascii="Times New Roman" w:hAnsi="Times New Roman"/>
          <w:b/>
          <w:szCs w:val="24"/>
        </w:rPr>
        <w:t xml:space="preserve">PEREIRA, Ana Maria Baila Albergaria. </w:t>
      </w:r>
      <w:r w:rsidRPr="00771368">
        <w:rPr>
          <w:rFonts w:ascii="Times New Roman" w:hAnsi="Times New Roman"/>
          <w:b/>
          <w:i w:val="0"/>
          <w:iCs w:val="0"/>
          <w:szCs w:val="24"/>
        </w:rPr>
        <w:t>Viagem ao interior da sombra</w:t>
      </w:r>
      <w:r w:rsidRPr="00771368">
        <w:rPr>
          <w:rFonts w:ascii="Times New Roman" w:hAnsi="Times New Roman"/>
          <w:b/>
          <w:szCs w:val="24"/>
        </w:rPr>
        <w:t>: deficiência, doença crónica e invisibilidade numa sociedade capacitista. Dissertação (Mestrado em Sociologia) -</w:t>
      </w:r>
      <w:r w:rsidRPr="00771368">
        <w:rPr>
          <w:rStyle w:val="apple-converted-space"/>
          <w:rFonts w:ascii="Times New Roman" w:hAnsi="Times New Roman"/>
          <w:b/>
          <w:szCs w:val="24"/>
          <w:shd w:val="clear" w:color="auto" w:fill="FFFFFF"/>
        </w:rPr>
        <w:t> </w:t>
      </w:r>
      <w:r w:rsidRPr="00771368">
        <w:rPr>
          <w:rFonts w:ascii="Times New Roman" w:hAnsi="Times New Roman"/>
          <w:b/>
          <w:szCs w:val="24"/>
          <w:shd w:val="clear" w:color="auto" w:fill="FFFFFF"/>
        </w:rPr>
        <w:t>Programa de Pós-Colonialismos e Cidadania Global pela Faculdade de Economia,</w:t>
      </w:r>
      <w:r w:rsidRPr="00771368">
        <w:rPr>
          <w:rFonts w:ascii="Times New Roman" w:hAnsi="Times New Roman"/>
          <w:b/>
          <w:szCs w:val="24"/>
        </w:rPr>
        <w:t xml:space="preserve"> Universidade de Coimbra, 2008.</w:t>
      </w:r>
    </w:p>
    <w:p w:rsidR="00D24E61" w:rsidRPr="00771368" w:rsidRDefault="00D24E61" w:rsidP="00D24E61">
      <w:pPr>
        <w:keepNext/>
        <w:widowControl w:val="0"/>
        <w:spacing w:after="240"/>
        <w:jc w:val="both"/>
        <w:rPr>
          <w:sz w:val="24"/>
          <w:szCs w:val="24"/>
          <w:lang w:val="en-US"/>
        </w:rPr>
      </w:pPr>
      <w:r w:rsidRPr="00771368">
        <w:rPr>
          <w:sz w:val="24"/>
          <w:szCs w:val="24"/>
        </w:rPr>
        <w:t xml:space="preserve">REDE INTERNACIONAL DE MULHERES COM DEFICIÊNCIA. Relatório Violência contra Mulheres com Deficiência, 2011. </w:t>
      </w:r>
      <w:r w:rsidRPr="00771368">
        <w:rPr>
          <w:sz w:val="24"/>
          <w:szCs w:val="24"/>
          <w:lang w:val="en-US"/>
        </w:rPr>
        <w:t xml:space="preserve">Disponível em: </w:t>
      </w:r>
      <w:hyperlink r:id="rId409" w:history="1">
        <w:r w:rsidRPr="00771368">
          <w:rPr>
            <w:rStyle w:val="Hyperlink"/>
            <w:sz w:val="24"/>
            <w:szCs w:val="24"/>
            <w:lang w:val="en-US"/>
          </w:rPr>
          <w:t>http://www.faders.rs.gov.br/uploads/1307988553Violencia_contra_Mulheres_com_Deficiencia.pdf</w:t>
        </w:r>
      </w:hyperlink>
      <w:r w:rsidRPr="00771368">
        <w:rPr>
          <w:sz w:val="24"/>
          <w:szCs w:val="24"/>
          <w:lang w:val="en-US"/>
        </w:rPr>
        <w:t>. Acesso em 20 set. 2013.</w:t>
      </w:r>
    </w:p>
    <w:p w:rsidR="00D24E61" w:rsidRPr="00771368" w:rsidRDefault="00295FC8" w:rsidP="00D24E61">
      <w:pPr>
        <w:keepNext/>
        <w:widowControl w:val="0"/>
        <w:spacing w:after="240"/>
        <w:jc w:val="both"/>
        <w:rPr>
          <w:sz w:val="24"/>
          <w:szCs w:val="24"/>
          <w:lang w:val="en-US"/>
        </w:rPr>
      </w:pPr>
      <w:hyperlink r:id="rId410" w:history="1">
        <w:r w:rsidR="00D24E61" w:rsidRPr="00771368">
          <w:rPr>
            <w:rStyle w:val="Hyperlink"/>
            <w:sz w:val="24"/>
            <w:szCs w:val="24"/>
            <w:shd w:val="clear" w:color="auto" w:fill="FFFFFF"/>
            <w:lang w:val="en-US"/>
          </w:rPr>
          <w:t>REYNOLDS, Thomas E.</w:t>
        </w:r>
      </w:hyperlink>
      <w:r w:rsidR="00D24E61" w:rsidRPr="00771368">
        <w:rPr>
          <w:rStyle w:val="apple-converted-space"/>
          <w:sz w:val="24"/>
          <w:szCs w:val="24"/>
          <w:shd w:val="clear" w:color="auto" w:fill="FFFFFF"/>
          <w:lang w:val="en-US"/>
        </w:rPr>
        <w:t> </w:t>
      </w:r>
      <w:hyperlink r:id="rId411" w:history="1">
        <w:r w:rsidR="00D24E61" w:rsidRPr="00771368">
          <w:rPr>
            <w:rStyle w:val="Hyperlink"/>
            <w:bCs/>
            <w:sz w:val="24"/>
            <w:szCs w:val="24"/>
            <w:shd w:val="clear" w:color="auto" w:fill="FFFFFF"/>
            <w:lang w:val="en-US"/>
          </w:rPr>
          <w:t>Theology and Disability: Changing the Conversation</w:t>
        </w:r>
      </w:hyperlink>
      <w:r w:rsidR="00D24E61" w:rsidRPr="00771368">
        <w:rPr>
          <w:rStyle w:val="biblio-title"/>
          <w:bCs/>
          <w:sz w:val="24"/>
          <w:szCs w:val="24"/>
          <w:shd w:val="clear" w:color="auto" w:fill="FFFFFF"/>
          <w:lang w:val="en-US"/>
        </w:rPr>
        <w:t>.</w:t>
      </w:r>
      <w:r w:rsidR="00D24E61" w:rsidRPr="00771368">
        <w:rPr>
          <w:rStyle w:val="apple-converted-space"/>
          <w:b/>
          <w:bCs/>
          <w:sz w:val="24"/>
          <w:szCs w:val="24"/>
          <w:shd w:val="clear" w:color="auto" w:fill="FFFFFF"/>
          <w:lang w:val="en-US"/>
        </w:rPr>
        <w:t> </w:t>
      </w:r>
      <w:r w:rsidR="00D24E61" w:rsidRPr="00771368">
        <w:rPr>
          <w:i/>
          <w:sz w:val="24"/>
          <w:szCs w:val="24"/>
          <w:shd w:val="clear" w:color="auto" w:fill="FFFFFF"/>
          <w:lang w:val="en-US"/>
        </w:rPr>
        <w:t>Journal of Religion, Disability &amp; Health</w:t>
      </w:r>
      <w:r w:rsidR="00D24E61" w:rsidRPr="00771368">
        <w:rPr>
          <w:sz w:val="24"/>
          <w:szCs w:val="24"/>
          <w:shd w:val="clear" w:color="auto" w:fill="FFFFFF"/>
          <w:lang w:val="en-US"/>
        </w:rPr>
        <w:t>, v. 16, n. 1, p.</w:t>
      </w:r>
      <w:r w:rsidR="00D24E61" w:rsidRPr="00771368">
        <w:rPr>
          <w:rStyle w:val="apple-converted-space"/>
          <w:sz w:val="24"/>
          <w:szCs w:val="24"/>
          <w:shd w:val="clear" w:color="auto" w:fill="FFFFFF"/>
          <w:lang w:val="en-US"/>
        </w:rPr>
        <w:t> </w:t>
      </w:r>
      <w:r w:rsidR="00D24E61" w:rsidRPr="00771368">
        <w:rPr>
          <w:sz w:val="24"/>
          <w:szCs w:val="24"/>
          <w:shd w:val="clear" w:color="auto" w:fill="FFFFFF"/>
          <w:lang w:val="en-US"/>
        </w:rPr>
        <w:t>33–48, 2012.</w:t>
      </w:r>
    </w:p>
    <w:p w:rsidR="00D24E61" w:rsidRPr="00771368" w:rsidRDefault="00D24E61" w:rsidP="00D24E61">
      <w:pPr>
        <w:keepNext/>
        <w:widowControl w:val="0"/>
        <w:spacing w:after="240"/>
        <w:jc w:val="both"/>
        <w:rPr>
          <w:sz w:val="24"/>
          <w:szCs w:val="24"/>
        </w:rPr>
      </w:pPr>
      <w:r w:rsidRPr="00771368">
        <w:rPr>
          <w:sz w:val="24"/>
          <w:szCs w:val="24"/>
        </w:rPr>
        <w:t>SALAZAR, Elizabeth. Talita Cumi: chamados a viver na diversidade. In:</w:t>
      </w:r>
      <w:r w:rsidRPr="00771368">
        <w:rPr>
          <w:sz w:val="24"/>
          <w:szCs w:val="24"/>
          <w:shd w:val="clear" w:color="auto" w:fill="FFFFFF"/>
        </w:rPr>
        <w:t xml:space="preserve"> MENESES, Alexandra; GIESE, Nilton; COLLOT, Noel F. (Orgs.) </w:t>
      </w:r>
      <w:r w:rsidRPr="00771368">
        <w:rPr>
          <w:i/>
          <w:sz w:val="24"/>
          <w:szCs w:val="24"/>
          <w:shd w:val="clear" w:color="auto" w:fill="FFFFFF"/>
        </w:rPr>
        <w:t>Teologia e Deficiência</w:t>
      </w:r>
      <w:r w:rsidRPr="00771368">
        <w:rPr>
          <w:sz w:val="24"/>
          <w:szCs w:val="24"/>
          <w:shd w:val="clear" w:color="auto" w:fill="FFFFFF"/>
        </w:rPr>
        <w:t>. São Leopoldo: Editora </w:t>
      </w:r>
      <w:r w:rsidRPr="00771368">
        <w:rPr>
          <w:bCs/>
          <w:sz w:val="24"/>
          <w:szCs w:val="24"/>
          <w:shd w:val="clear" w:color="auto" w:fill="FFFFFF"/>
        </w:rPr>
        <w:t>Sinodal</w:t>
      </w:r>
      <w:r w:rsidRPr="00771368">
        <w:rPr>
          <w:sz w:val="24"/>
          <w:szCs w:val="24"/>
          <w:shd w:val="clear" w:color="auto" w:fill="FFFFFF"/>
        </w:rPr>
        <w:t>/CLAI, </w:t>
      </w:r>
      <w:r w:rsidRPr="00771368">
        <w:rPr>
          <w:bCs/>
          <w:sz w:val="24"/>
          <w:szCs w:val="24"/>
          <w:shd w:val="clear" w:color="auto" w:fill="FFFFFF"/>
        </w:rPr>
        <w:t>2010.</w:t>
      </w:r>
    </w:p>
    <w:p w:rsidR="00D24E61" w:rsidRPr="00771368" w:rsidRDefault="00D24E61" w:rsidP="00D24E61">
      <w:pPr>
        <w:keepNext/>
        <w:widowControl w:val="0"/>
        <w:autoSpaceDE w:val="0"/>
        <w:autoSpaceDN w:val="0"/>
        <w:adjustRightInd w:val="0"/>
        <w:spacing w:after="240"/>
        <w:jc w:val="both"/>
        <w:rPr>
          <w:sz w:val="24"/>
          <w:szCs w:val="24"/>
        </w:rPr>
      </w:pPr>
      <w:r w:rsidRPr="00771368">
        <w:rPr>
          <w:sz w:val="24"/>
          <w:szCs w:val="24"/>
        </w:rPr>
        <w:t>SASSAKI, Romeu Kazumi. Inclusão: acessibilidade no lazer, trabalho e educação. Revista Nacional de Reabilitação (Reação), São Paulo, Ano XII, mar./abr. 2009, p. 10-16.</w:t>
      </w:r>
    </w:p>
    <w:p w:rsidR="00D24E61" w:rsidRPr="00771368" w:rsidRDefault="00D24E61" w:rsidP="00D24E61">
      <w:pPr>
        <w:keepNext/>
        <w:widowControl w:val="0"/>
        <w:spacing w:after="240"/>
        <w:jc w:val="both"/>
        <w:rPr>
          <w:sz w:val="24"/>
          <w:szCs w:val="24"/>
        </w:rPr>
      </w:pPr>
      <w:r w:rsidRPr="00771368">
        <w:rPr>
          <w:sz w:val="24"/>
          <w:szCs w:val="24"/>
        </w:rPr>
        <w:t xml:space="preserve">SASSAKI, Romeu K. </w:t>
      </w:r>
      <w:r w:rsidRPr="00771368">
        <w:rPr>
          <w:i/>
          <w:sz w:val="24"/>
          <w:szCs w:val="24"/>
        </w:rPr>
        <w:t>Inclusão</w:t>
      </w:r>
      <w:r w:rsidRPr="00771368">
        <w:rPr>
          <w:sz w:val="24"/>
          <w:szCs w:val="24"/>
        </w:rPr>
        <w:t xml:space="preserve">: construindo uma sociedade para todos. 8.ed. Rio de Janeiro: WVA, 2010. </w:t>
      </w:r>
    </w:p>
    <w:p w:rsidR="00D24E61" w:rsidRPr="00771368" w:rsidRDefault="00D24E61" w:rsidP="00D24E61">
      <w:pPr>
        <w:keepNext/>
        <w:widowControl w:val="0"/>
        <w:spacing w:after="240"/>
        <w:jc w:val="both"/>
        <w:rPr>
          <w:iCs/>
          <w:sz w:val="24"/>
          <w:szCs w:val="24"/>
          <w:lang w:val="en-US"/>
        </w:rPr>
      </w:pPr>
      <w:r w:rsidRPr="00771368">
        <w:rPr>
          <w:iCs/>
          <w:sz w:val="24"/>
          <w:szCs w:val="24"/>
        </w:rPr>
        <w:t xml:space="preserve">TEIXEIRA, Marilane O. Desigualdades salariais entre homens e mulheres a partir de uma abordagem de economistas feministas. </w:t>
      </w:r>
      <w:r w:rsidRPr="00771368">
        <w:rPr>
          <w:i/>
          <w:iCs/>
          <w:sz w:val="24"/>
          <w:szCs w:val="24"/>
          <w:lang w:val="en-US"/>
        </w:rPr>
        <w:t>Niterói</w:t>
      </w:r>
      <w:r w:rsidRPr="00771368">
        <w:rPr>
          <w:iCs/>
          <w:sz w:val="24"/>
          <w:szCs w:val="24"/>
          <w:lang w:val="en-US"/>
        </w:rPr>
        <w:t xml:space="preserve">, v. 9, n. 1, p. 31-45, 2008. </w:t>
      </w:r>
    </w:p>
    <w:p w:rsidR="00D24E61" w:rsidRPr="00771368" w:rsidRDefault="00D24E61" w:rsidP="00D24E61">
      <w:pPr>
        <w:keepNext/>
        <w:widowControl w:val="0"/>
        <w:spacing w:after="240"/>
        <w:jc w:val="both"/>
        <w:rPr>
          <w:sz w:val="24"/>
          <w:szCs w:val="24"/>
          <w:lang w:val="en-US"/>
        </w:rPr>
      </w:pPr>
      <w:r w:rsidRPr="00771368">
        <w:rPr>
          <w:sz w:val="24"/>
          <w:szCs w:val="24"/>
          <w:lang w:val="en-US"/>
        </w:rPr>
        <w:t xml:space="preserve">UPIAS. </w:t>
      </w:r>
      <w:r w:rsidRPr="00771368">
        <w:rPr>
          <w:i/>
          <w:sz w:val="24"/>
          <w:szCs w:val="24"/>
          <w:lang w:val="en-US"/>
        </w:rPr>
        <w:t>Fundamental Principles of Disability</w:t>
      </w:r>
      <w:r w:rsidRPr="00771368">
        <w:rPr>
          <w:sz w:val="24"/>
          <w:szCs w:val="24"/>
          <w:lang w:val="en-US"/>
        </w:rPr>
        <w:t>. London: Union of the Physically Impaired Against Segregation, 1976.</w:t>
      </w:r>
    </w:p>
    <w:p w:rsidR="00D24E61" w:rsidRPr="00771368" w:rsidRDefault="00D24E61" w:rsidP="00D24E61">
      <w:pPr>
        <w:keepNext/>
        <w:widowControl w:val="0"/>
        <w:spacing w:after="240"/>
        <w:jc w:val="both"/>
      </w:pPr>
      <w:r w:rsidRPr="00771368">
        <w:rPr>
          <w:sz w:val="24"/>
          <w:szCs w:val="24"/>
          <w:lang w:val="en-US"/>
        </w:rPr>
        <w:t xml:space="preserve">WENDELL, Susan. </w:t>
      </w:r>
      <w:r w:rsidRPr="00771368">
        <w:rPr>
          <w:i/>
          <w:sz w:val="24"/>
          <w:szCs w:val="24"/>
          <w:lang w:val="en-US"/>
        </w:rPr>
        <w:t>The rejected body</w:t>
      </w:r>
      <w:r w:rsidRPr="00771368">
        <w:rPr>
          <w:sz w:val="24"/>
          <w:szCs w:val="24"/>
          <w:lang w:val="en-US"/>
        </w:rPr>
        <w:t xml:space="preserve">: feminist philosophical reflections on disability. </w:t>
      </w:r>
      <w:r w:rsidRPr="00D61223">
        <w:rPr>
          <w:sz w:val="24"/>
          <w:szCs w:val="24"/>
        </w:rPr>
        <w:t>New York: Routledge, 1996.</w:t>
      </w:r>
      <w:bookmarkEnd w:id="88"/>
      <w:r w:rsidR="00291C73" w:rsidRPr="00771368">
        <w:rPr>
          <w:sz w:val="24"/>
          <w:szCs w:val="24"/>
        </w:rPr>
        <w:fldChar w:fldCharType="end"/>
      </w:r>
    </w:p>
    <w:p w:rsidR="00D24E61" w:rsidRPr="00771368" w:rsidRDefault="00D24E61">
      <w:pPr>
        <w:ind w:left="60"/>
        <w:rPr>
          <w:sz w:val="20"/>
          <w:szCs w:val="20"/>
        </w:rPr>
      </w:pPr>
      <w:r w:rsidRPr="00771368">
        <w:rPr>
          <w:b/>
          <w:bCs/>
          <w:sz w:val="24"/>
          <w:szCs w:val="24"/>
        </w:rPr>
        <w:t>A MULHER COMO COADJUVANTE NO CONTEXTO DO PROCESSO PARTURITIVO:</w:t>
      </w:r>
    </w:p>
    <w:p w:rsidR="00D24E61" w:rsidRPr="00771368" w:rsidRDefault="00D24E61">
      <w:pPr>
        <w:spacing w:line="132" w:lineRule="exact"/>
        <w:rPr>
          <w:sz w:val="24"/>
          <w:szCs w:val="24"/>
        </w:rPr>
      </w:pPr>
    </w:p>
    <w:p w:rsidR="00D24E61" w:rsidRPr="00771368" w:rsidRDefault="00D24E61">
      <w:pPr>
        <w:ind w:left="3380"/>
        <w:rPr>
          <w:sz w:val="20"/>
          <w:szCs w:val="20"/>
        </w:rPr>
      </w:pPr>
      <w:r w:rsidRPr="00771368">
        <w:rPr>
          <w:b/>
          <w:bCs/>
          <w:sz w:val="24"/>
          <w:szCs w:val="24"/>
        </w:rPr>
        <w:t>UMA ANÁLISE CRÍTICA</w:t>
      </w:r>
      <w:r w:rsidRPr="00771368">
        <w:rPr>
          <w:b/>
          <w:bCs/>
          <w:sz w:val="31"/>
          <w:szCs w:val="31"/>
          <w:vertAlign w:val="superscript"/>
        </w:rPr>
        <w:t>1</w:t>
      </w:r>
    </w:p>
    <w:p w:rsidR="00D24E61" w:rsidRPr="00771368" w:rsidRDefault="00D24E61">
      <w:pPr>
        <w:spacing w:line="200" w:lineRule="exact"/>
        <w:rPr>
          <w:sz w:val="24"/>
          <w:szCs w:val="24"/>
        </w:rPr>
      </w:pPr>
    </w:p>
    <w:p w:rsidR="00D24E61" w:rsidRPr="00771368" w:rsidRDefault="00D24E61">
      <w:pPr>
        <w:spacing w:line="280" w:lineRule="exact"/>
        <w:rPr>
          <w:sz w:val="24"/>
          <w:szCs w:val="24"/>
        </w:rPr>
      </w:pPr>
    </w:p>
    <w:p w:rsidR="00D24E61" w:rsidRPr="00771368" w:rsidRDefault="00D24E61">
      <w:pPr>
        <w:jc w:val="right"/>
        <w:rPr>
          <w:sz w:val="20"/>
          <w:szCs w:val="20"/>
        </w:rPr>
      </w:pPr>
      <w:bookmarkStart w:id="89" w:name="_Toc442034761"/>
      <w:r w:rsidRPr="00D61223">
        <w:rPr>
          <w:rStyle w:val="Ttulo1Char"/>
        </w:rPr>
        <w:t>Isaiane da Silva Carvalho</w:t>
      </w:r>
      <w:bookmarkEnd w:id="89"/>
      <w:r w:rsidRPr="00771368">
        <w:rPr>
          <w:b/>
          <w:bCs/>
          <w:sz w:val="24"/>
          <w:szCs w:val="24"/>
        </w:rPr>
        <w:t xml:space="preserve"> (Autora)</w:t>
      </w:r>
    </w:p>
    <w:p w:rsidR="00D24E61" w:rsidRPr="00771368" w:rsidRDefault="00D24E61">
      <w:pPr>
        <w:spacing w:line="132" w:lineRule="exact"/>
        <w:rPr>
          <w:sz w:val="24"/>
          <w:szCs w:val="24"/>
        </w:rPr>
      </w:pPr>
    </w:p>
    <w:p w:rsidR="00D24E61" w:rsidRPr="00771368" w:rsidRDefault="00D24E61">
      <w:pPr>
        <w:jc w:val="right"/>
        <w:rPr>
          <w:sz w:val="20"/>
          <w:szCs w:val="20"/>
        </w:rPr>
      </w:pPr>
      <w:r w:rsidRPr="00771368">
        <w:rPr>
          <w:sz w:val="24"/>
          <w:szCs w:val="24"/>
        </w:rPr>
        <w:t>Universidade Federal do Rio Grande do Norte</w:t>
      </w:r>
    </w:p>
    <w:p w:rsidR="00D24E61" w:rsidRPr="00771368" w:rsidRDefault="00D24E61">
      <w:pPr>
        <w:spacing w:line="137" w:lineRule="exact"/>
        <w:rPr>
          <w:sz w:val="24"/>
          <w:szCs w:val="24"/>
        </w:rPr>
      </w:pPr>
    </w:p>
    <w:p w:rsidR="00D24E61" w:rsidRPr="00771368" w:rsidRDefault="00D24E61">
      <w:pPr>
        <w:jc w:val="right"/>
        <w:rPr>
          <w:sz w:val="20"/>
          <w:szCs w:val="20"/>
        </w:rPr>
      </w:pPr>
      <w:r w:rsidRPr="00771368">
        <w:rPr>
          <w:b/>
          <w:bCs/>
          <w:sz w:val="24"/>
          <w:szCs w:val="24"/>
        </w:rPr>
        <w:t xml:space="preserve">Rosineide Santana de Brito </w:t>
      </w:r>
      <w:r w:rsidRPr="00771368">
        <w:rPr>
          <w:sz w:val="24"/>
          <w:szCs w:val="24"/>
        </w:rPr>
        <w:t>(</w:t>
      </w:r>
      <w:r w:rsidRPr="00771368">
        <w:rPr>
          <w:b/>
          <w:bCs/>
          <w:sz w:val="24"/>
          <w:szCs w:val="24"/>
        </w:rPr>
        <w:t>Orientadora)</w:t>
      </w:r>
    </w:p>
    <w:p w:rsidR="00D24E61" w:rsidRPr="00771368" w:rsidRDefault="00D24E61">
      <w:pPr>
        <w:spacing w:line="146" w:lineRule="exact"/>
        <w:rPr>
          <w:sz w:val="24"/>
          <w:szCs w:val="24"/>
        </w:rPr>
      </w:pPr>
    </w:p>
    <w:p w:rsidR="00D24E61" w:rsidRPr="00771368" w:rsidRDefault="00D24E61">
      <w:pPr>
        <w:jc w:val="right"/>
        <w:rPr>
          <w:sz w:val="20"/>
          <w:szCs w:val="20"/>
        </w:rPr>
      </w:pPr>
      <w:r w:rsidRPr="00771368">
        <w:rPr>
          <w:b/>
          <w:bCs/>
          <w:sz w:val="24"/>
          <w:szCs w:val="24"/>
        </w:rPr>
        <w:t>Bertha Cruz Enders (Co-orientadora)</w:t>
      </w:r>
    </w:p>
    <w:p w:rsidR="00D24E61" w:rsidRPr="00771368" w:rsidRDefault="00D24E61">
      <w:pPr>
        <w:spacing w:line="200" w:lineRule="exact"/>
        <w:rPr>
          <w:sz w:val="24"/>
          <w:szCs w:val="24"/>
        </w:rPr>
      </w:pPr>
    </w:p>
    <w:p w:rsidR="00D24E61" w:rsidRPr="00771368" w:rsidRDefault="00D24E61">
      <w:pPr>
        <w:spacing w:line="350" w:lineRule="exact"/>
        <w:rPr>
          <w:sz w:val="24"/>
          <w:szCs w:val="24"/>
        </w:rPr>
      </w:pPr>
    </w:p>
    <w:p w:rsidR="00D24E61" w:rsidRPr="00771368" w:rsidRDefault="00D24E61">
      <w:pPr>
        <w:rPr>
          <w:sz w:val="20"/>
          <w:szCs w:val="20"/>
        </w:rPr>
      </w:pPr>
      <w:r w:rsidRPr="00771368">
        <w:rPr>
          <w:b/>
          <w:bCs/>
          <w:sz w:val="24"/>
          <w:szCs w:val="24"/>
        </w:rPr>
        <w:t>RESUMO</w:t>
      </w:r>
    </w:p>
    <w:p w:rsidR="00D24E61" w:rsidRPr="00771368" w:rsidRDefault="00D24E61">
      <w:pPr>
        <w:spacing w:line="190" w:lineRule="exact"/>
        <w:rPr>
          <w:sz w:val="24"/>
          <w:szCs w:val="24"/>
        </w:rPr>
      </w:pPr>
    </w:p>
    <w:p w:rsidR="00D509F1" w:rsidRDefault="00D24E61" w:rsidP="00D509F1">
      <w:pPr>
        <w:jc w:val="both"/>
        <w:rPr>
          <w:sz w:val="24"/>
          <w:szCs w:val="24"/>
        </w:rPr>
      </w:pPr>
      <w:r w:rsidRPr="00771368">
        <w:rPr>
          <w:b/>
          <w:bCs/>
          <w:sz w:val="24"/>
          <w:szCs w:val="24"/>
        </w:rPr>
        <w:t xml:space="preserve">Objetivo: </w:t>
      </w:r>
      <w:r w:rsidRPr="00771368">
        <w:rPr>
          <w:sz w:val="24"/>
          <w:szCs w:val="24"/>
        </w:rPr>
        <w:t>analisar os aspectos contextuais relacionados a concepções e práticas que determinam a</w:t>
      </w:r>
      <w:r w:rsidRPr="00771368">
        <w:rPr>
          <w:b/>
          <w:bCs/>
          <w:sz w:val="24"/>
          <w:szCs w:val="24"/>
        </w:rPr>
        <w:t xml:space="preserve"> </w:t>
      </w:r>
      <w:r w:rsidRPr="00771368">
        <w:rPr>
          <w:sz w:val="24"/>
          <w:szCs w:val="24"/>
        </w:rPr>
        <w:t xml:space="preserve">atuação da mulher enquanto coadjuvante no processo parturitivo. </w:t>
      </w:r>
      <w:r w:rsidRPr="00771368">
        <w:rPr>
          <w:b/>
          <w:bCs/>
          <w:sz w:val="24"/>
          <w:szCs w:val="24"/>
        </w:rPr>
        <w:t>Metodologia:</w:t>
      </w:r>
      <w:r w:rsidRPr="00771368">
        <w:rPr>
          <w:sz w:val="24"/>
          <w:szCs w:val="24"/>
        </w:rPr>
        <w:t xml:space="preserve"> ensaio analítico norteado pelo aporte teórico da análise contextual de Hinds, Chaves, Cypress. Dentro desta proposta, a análise ocorreu a partir de quatro temáticas que representam os níveis contextuais, a saber: a mulher enquanto coadjuvante no processo parturitivo; os aspectos institucionais e profissionais associados ao fenômeno; os aspectos individuais – crenças e valores relativos ao parto; e as políticas públicas voltadas à saúde da mulher. </w:t>
      </w:r>
      <w:r w:rsidRPr="00771368">
        <w:rPr>
          <w:b/>
          <w:bCs/>
          <w:sz w:val="24"/>
          <w:szCs w:val="24"/>
        </w:rPr>
        <w:t>Resultados:</w:t>
      </w:r>
      <w:r w:rsidRPr="00771368">
        <w:rPr>
          <w:sz w:val="24"/>
          <w:szCs w:val="24"/>
        </w:rPr>
        <w:t xml:space="preserve"> o advento da institucionalização do parto impôs uma nova conformação do cenário e dos personagens que estão envolvidos no processo parturitivo. Nesta nova perspectiva, a mulher é vista como um objeto sobre o qual deve incidir intervenções que buscam reestabelecer o seu funcionamento ‘normal’. O parto, apesar de ser um evento fisiológico, assume uma visão patológica e o médico é visto como o ser capaz de garantir que a máquina ‘mulher’ funcione dentro de um padrão esperado para que tudo transcorra sem maiores problemas. Assim, o protagonismo feminino, outrora vivenciado durante o nascimento de seu filho sai de cena para dar lugar a uma atuação passiva. A mulher passa a operar como uma mera coadjuvante em um cenário no qual lhe foi negado o direito de participar das decisões que envolvem procedimentos a serem incididos sobre o seu próprio corpo. Por sua vez, as parteiras, outrora responsáveis pelo ato de partejar, tiveram suas atividades questionadas pelos homens da ciência, uma vez que suas práticas fundamentavam-se em um conhecimento popular, sem base científica. Os médicos, em uma verdadeira luta de poder contra elas, passaram a propagar a ideia de que mulheres submetidas a este tipo de atendimento estavam expondo-se a pessoas sem conhecimento e consequentemente colocando em risco sua saúde. Para consolidar esta nova forma de parir, e considerando o corpo feminino como uma máquina defeituosa, empreendeu-se sob as mulheres a concepção de que elas não eram capazes de ter seus filhos de forma natural – fisiológica. Uma crença utilizada para justificar a intervenção exacerbada, pois se afirmava que todos os</w:t>
      </w:r>
      <w:r w:rsidR="00D509F1">
        <w:rPr>
          <w:sz w:val="24"/>
          <w:szCs w:val="24"/>
        </w:rPr>
        <w:t xml:space="preserve"> </w:t>
      </w:r>
      <w:r w:rsidR="00D509F1" w:rsidRPr="00D509F1">
        <w:rPr>
          <w:sz w:val="24"/>
          <w:szCs w:val="24"/>
        </w:rPr>
        <w:t xml:space="preserve">procedimentos realizados visavam garantir a segurança do parto e nascimento. Em face de todas as mudanças que ocorreram no campo obstétrico e como forma de reação ao modelo instituído com a hospitalização da mulher por ocasião do parto e nascimento, emergiu, nos últimos anos, um movimento com vista à humanização deste momento. Em sua essência, trouxe uma série de discussões, as quais colocaram em evidência práticas e rotinas institucionais concebidas cientificamente como desnecessárias e contribuintes para transformar uma ocasião que deveria trazer alegria e satisfação em algo amedrontador. Em consonância com este movimento, o cenário brasileiro, desde a década de 1980, experienciou discussões sobre a situação feminina e sua </w:t>
      </w:r>
    </w:p>
    <w:p w:rsidR="00D61223" w:rsidRPr="00771368" w:rsidRDefault="00013211" w:rsidP="00D509F1">
      <w:pPr>
        <w:jc w:val="both"/>
        <w:rPr>
          <w:sz w:val="20"/>
          <w:szCs w:val="20"/>
        </w:rPr>
      </w:pPr>
      <w:r>
        <w:rPr>
          <w:noProof/>
          <w:sz w:val="24"/>
          <w:szCs w:val="24"/>
        </w:rPr>
        <mc:AlternateContent>
          <mc:Choice Requires="wps">
            <w:drawing>
              <wp:anchor distT="0" distB="0" distL="0" distR="0" simplePos="0" relativeHeight="251782656" behindDoc="0" locked="0" layoutInCell="0" allowOverlap="1">
                <wp:simplePos x="0" y="0"/>
                <wp:positionH relativeFrom="column">
                  <wp:posOffset>14605</wp:posOffset>
                </wp:positionH>
                <wp:positionV relativeFrom="paragraph">
                  <wp:posOffset>117475</wp:posOffset>
                </wp:positionV>
                <wp:extent cx="1828800" cy="0"/>
                <wp:effectExtent l="5080" t="12700" r="13970" b="6350"/>
                <wp:wrapNone/>
                <wp:docPr id="14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78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5pt,9.25pt" to="145.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" o:allowincell="f" strokeweight=".72pt"/>
            </w:pict>
          </mc:Fallback>
        </mc:AlternateContent>
      </w:r>
    </w:p>
    <w:p w:rsidR="00D509F1" w:rsidRPr="00771368" w:rsidRDefault="00D509F1" w:rsidP="00D509F1">
      <w:pPr>
        <w:spacing w:line="210" w:lineRule="auto"/>
        <w:rPr>
          <w:sz w:val="20"/>
          <w:szCs w:val="20"/>
        </w:rPr>
      </w:pPr>
      <w:r w:rsidRPr="00771368">
        <w:rPr>
          <w:sz w:val="25"/>
          <w:szCs w:val="25"/>
          <w:vertAlign w:val="superscript"/>
        </w:rPr>
        <w:t>1</w:t>
      </w:r>
      <w:r w:rsidRPr="00771368">
        <w:rPr>
          <w:sz w:val="20"/>
          <w:szCs w:val="20"/>
        </w:rPr>
        <w:t xml:space="preserve"> Trabalho desenvolvido no âmbito da disciplina Bases Filosóficas e Teóricas da Enfermagem na Atenção à Saúde do Programa de Pós-graduação em Enfermagem da Universidade Federal do Rio Grande do Norte.</w:t>
      </w:r>
    </w:p>
    <w:p w:rsidR="00D509F1" w:rsidRPr="00771368" w:rsidRDefault="00D509F1" w:rsidP="00D509F1">
      <w:pPr>
        <w:sectPr w:rsidR="00D509F1" w:rsidRPr="00771368" w:rsidSect="00D509F1">
          <w:pgSz w:w="11900" w:h="16838"/>
          <w:pgMar w:top="700" w:right="1140" w:bottom="864" w:left="1140" w:header="0" w:footer="0" w:gutter="0"/>
          <w:cols w:space="720" w:equalWidth="0">
            <w:col w:w="9620"/>
          </w:cols>
        </w:sectPr>
      </w:pPr>
    </w:p>
    <w:p w:rsidR="00D24E61" w:rsidRPr="00771368" w:rsidRDefault="00D509F1" w:rsidP="00D509F1">
      <w:pPr>
        <w:jc w:val="both"/>
        <w:rPr>
          <w:sz w:val="20"/>
          <w:szCs w:val="20"/>
        </w:rPr>
      </w:pPr>
      <w:r w:rsidRPr="00D509F1">
        <w:rPr>
          <w:sz w:val="24"/>
          <w:szCs w:val="24"/>
        </w:rPr>
        <w:t>inserção</w:t>
      </w:r>
      <w:r w:rsidRPr="00771368">
        <w:rPr>
          <w:sz w:val="24"/>
          <w:szCs w:val="24"/>
        </w:rPr>
        <w:t xml:space="preserve"> </w:t>
      </w:r>
      <w:r w:rsidR="00D24E61" w:rsidRPr="00771368">
        <w:rPr>
          <w:sz w:val="24"/>
          <w:szCs w:val="24"/>
        </w:rPr>
        <w:t>nos serviços de saúde. Com isso, intensificou-se o destaque dado por órgãos governamentais e não governamentais à questão da mortalidade materna no período gravídico e puerperal. Isto favoreceu o desenvolvimento de uma série de iniciativas voltadas à saúde materna: o Projeto desenvolvido por Galba de Araújo; A criação de Centros de Partos Normais no âmbito do Sistema Único de Saúde; o Programa de Atenção Integral a Saúde da Mulher (PAISM), o Projeto Maternidade Segura, o Programa de Humanização do Pré-natal e Nascimento e mais recentemente a Rede Cegonha.</w:t>
      </w:r>
    </w:p>
    <w:p w:rsidR="00D24E61" w:rsidRPr="00771368" w:rsidRDefault="00D24E61" w:rsidP="00D509F1">
      <w:pPr>
        <w:rPr>
          <w:sz w:val="20"/>
          <w:szCs w:val="20"/>
        </w:rPr>
      </w:pPr>
    </w:p>
    <w:p w:rsidR="00D24E61" w:rsidRPr="00771368" w:rsidRDefault="00D24E61" w:rsidP="00D509F1">
      <w:pPr>
        <w:jc w:val="both"/>
        <w:rPr>
          <w:sz w:val="20"/>
          <w:szCs w:val="20"/>
        </w:rPr>
      </w:pPr>
      <w:r w:rsidRPr="00771368">
        <w:rPr>
          <w:b/>
          <w:bCs/>
          <w:sz w:val="24"/>
          <w:szCs w:val="24"/>
        </w:rPr>
        <w:t xml:space="preserve">Conclusões: </w:t>
      </w:r>
      <w:r w:rsidRPr="00771368">
        <w:rPr>
          <w:sz w:val="24"/>
          <w:szCs w:val="24"/>
        </w:rPr>
        <w:t>faz-se necessário voltar um olhar ampliado para o atendimento obstétrico, em</w:t>
      </w:r>
      <w:r w:rsidRPr="00771368">
        <w:rPr>
          <w:b/>
          <w:bCs/>
          <w:sz w:val="24"/>
          <w:szCs w:val="24"/>
        </w:rPr>
        <w:t xml:space="preserve"> </w:t>
      </w:r>
      <w:r w:rsidRPr="00771368">
        <w:rPr>
          <w:sz w:val="24"/>
          <w:szCs w:val="24"/>
        </w:rPr>
        <w:t>detrimento da necessidade de manutenção de hegemonias socialmente construídas. Romper com concepções e práticas inerentes ao nascimento que não deveriam ter espaço no âmbito da sociedade contemporânea é, antes de tudo, uma luta pela vida.</w:t>
      </w:r>
    </w:p>
    <w:p w:rsidR="00D24E61" w:rsidRPr="00771368" w:rsidRDefault="00D24E61" w:rsidP="00D509F1">
      <w:pPr>
        <w:rPr>
          <w:sz w:val="20"/>
          <w:szCs w:val="20"/>
        </w:rPr>
      </w:pPr>
    </w:p>
    <w:p w:rsidR="00D24E61" w:rsidRPr="00771368" w:rsidRDefault="00D24E61" w:rsidP="00D509F1">
      <w:pPr>
        <w:rPr>
          <w:sz w:val="20"/>
          <w:szCs w:val="20"/>
        </w:rPr>
      </w:pPr>
      <w:r w:rsidRPr="00771368">
        <w:rPr>
          <w:b/>
          <w:bCs/>
          <w:sz w:val="24"/>
          <w:szCs w:val="24"/>
        </w:rPr>
        <w:t xml:space="preserve">Palavras-chave: </w:t>
      </w:r>
      <w:r w:rsidRPr="00771368">
        <w:rPr>
          <w:sz w:val="24"/>
          <w:szCs w:val="24"/>
        </w:rPr>
        <w:t>enfermagem; saúde da mulher; obstetrícia; parto.</w:t>
      </w:r>
    </w:p>
    <w:p w:rsidR="00D24E61" w:rsidRDefault="00D24E61">
      <w:pPr>
        <w:ind w:left="9520"/>
        <w:rPr>
          <w:sz w:val="20"/>
          <w:szCs w:val="20"/>
        </w:rPr>
      </w:pPr>
    </w:p>
    <w:p w:rsidR="00D509F1" w:rsidRDefault="00D509F1">
      <w:pPr>
        <w:ind w:left="9520"/>
        <w:rPr>
          <w:sz w:val="20"/>
          <w:szCs w:val="20"/>
        </w:rPr>
      </w:pPr>
    </w:p>
    <w:p w:rsidR="00D509F1" w:rsidRPr="00771368" w:rsidRDefault="00D509F1">
      <w:pPr>
        <w:ind w:left="9520"/>
        <w:rPr>
          <w:sz w:val="20"/>
          <w:szCs w:val="20"/>
        </w:rPr>
      </w:pPr>
    </w:p>
    <w:p w:rsidR="00D24E61" w:rsidRPr="00771368" w:rsidRDefault="00D24E61">
      <w:pPr>
        <w:spacing w:line="271" w:lineRule="exact"/>
        <w:rPr>
          <w:sz w:val="20"/>
          <w:szCs w:val="20"/>
        </w:rPr>
      </w:pPr>
    </w:p>
    <w:p w:rsidR="00D24E61" w:rsidRPr="00771368" w:rsidRDefault="00D24E61">
      <w:pPr>
        <w:rPr>
          <w:sz w:val="20"/>
          <w:szCs w:val="20"/>
        </w:rPr>
      </w:pPr>
      <w:r w:rsidRPr="00771368">
        <w:rPr>
          <w:b/>
          <w:bCs/>
          <w:sz w:val="24"/>
          <w:szCs w:val="24"/>
        </w:rPr>
        <w:t>INTRODUÇÃO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81" w:lineRule="exact"/>
        <w:rPr>
          <w:sz w:val="20"/>
          <w:szCs w:val="20"/>
        </w:rPr>
      </w:pPr>
    </w:p>
    <w:p w:rsidR="00D24E61" w:rsidRPr="00771368" w:rsidRDefault="00D24E61">
      <w:pPr>
        <w:spacing w:line="432" w:lineRule="auto"/>
        <w:ind w:firstLine="850"/>
        <w:jc w:val="both"/>
        <w:rPr>
          <w:sz w:val="20"/>
          <w:szCs w:val="20"/>
        </w:rPr>
      </w:pPr>
      <w:r w:rsidRPr="00771368">
        <w:rPr>
          <w:sz w:val="24"/>
          <w:szCs w:val="24"/>
        </w:rPr>
        <w:t>Historicamente a assistência prestada à mulher durante o processo parturitivo passou por profundas modificações sociais, culturais e políticas. Um olhar atento ao passado permite evidenciar que os partos transcorriam, em sua maioria, no ambiente domiciliar e eram assistidos por mulheres, denominadas de “aparadeiras, comadres ou mesmo parteiras leigas”.</w:t>
      </w:r>
      <w:r w:rsidRPr="00771368">
        <w:rPr>
          <w:sz w:val="31"/>
          <w:szCs w:val="31"/>
          <w:vertAlign w:val="superscript"/>
        </w:rPr>
        <w:t>1:768</w:t>
      </w:r>
      <w:r w:rsidRPr="00771368">
        <w:rPr>
          <w:sz w:val="24"/>
          <w:szCs w:val="24"/>
        </w:rPr>
        <w:t xml:space="preserve"> Contudo, a partir dos anos 40 do século XX, com vista à redução da mortalidade materna e neonatal, houve crescente tendência à institucionalização do parto.</w:t>
      </w:r>
      <w:r w:rsidRPr="00771368">
        <w:rPr>
          <w:sz w:val="31"/>
          <w:szCs w:val="31"/>
          <w:vertAlign w:val="superscript"/>
        </w:rPr>
        <w:t>2</w:t>
      </w:r>
    </w:p>
    <w:p w:rsidR="00D24E61" w:rsidRPr="00771368" w:rsidRDefault="00D24E61">
      <w:pPr>
        <w:spacing w:line="43" w:lineRule="exact"/>
        <w:rPr>
          <w:sz w:val="20"/>
          <w:szCs w:val="20"/>
        </w:rPr>
      </w:pPr>
    </w:p>
    <w:p w:rsidR="00D24E61" w:rsidRPr="00771368" w:rsidRDefault="00D24E61">
      <w:pPr>
        <w:spacing w:line="451" w:lineRule="auto"/>
        <w:ind w:firstLine="850"/>
        <w:jc w:val="both"/>
        <w:rPr>
          <w:sz w:val="20"/>
          <w:szCs w:val="20"/>
        </w:rPr>
      </w:pPr>
      <w:r w:rsidRPr="00771368">
        <w:rPr>
          <w:sz w:val="24"/>
          <w:szCs w:val="24"/>
        </w:rPr>
        <w:t>Neste novo cenário, o suporte fornecido pelas parteiras e familiares, no intuito de promover apoio psicológico e emocional, foi considerado pela obstetrícia como indesejado e, portanto excluído. As parturientes, por sua vez, ao adentrarem no ambiente hospitalar passaram a ser submetidas a uma série de intervenções desnecessárias, permanecendo isoladas em um ambiente hostil, rodeadas por equipamentos técnicos e pessoas desconhecidas.</w:t>
      </w:r>
      <w:r w:rsidRPr="00771368">
        <w:rPr>
          <w:sz w:val="31"/>
          <w:szCs w:val="31"/>
          <w:vertAlign w:val="superscript"/>
        </w:rPr>
        <w:t>3</w:t>
      </w:r>
    </w:p>
    <w:p w:rsidR="00D24E61" w:rsidRPr="00771368" w:rsidRDefault="00D24E61">
      <w:pPr>
        <w:spacing w:line="17" w:lineRule="exact"/>
        <w:rPr>
          <w:sz w:val="20"/>
          <w:szCs w:val="20"/>
        </w:rPr>
      </w:pPr>
    </w:p>
    <w:p w:rsidR="00D24E61" w:rsidRPr="00771368" w:rsidRDefault="00D24E61">
      <w:pPr>
        <w:spacing w:line="444" w:lineRule="auto"/>
        <w:ind w:firstLine="850"/>
        <w:jc w:val="both"/>
        <w:rPr>
          <w:sz w:val="20"/>
          <w:szCs w:val="20"/>
        </w:rPr>
      </w:pPr>
      <w:r w:rsidRPr="00771368">
        <w:rPr>
          <w:sz w:val="24"/>
          <w:szCs w:val="24"/>
        </w:rPr>
        <w:t>Ademais, desconsiderou-se a evolução fisiológica do parto e intensificou-se a necessidade de corrigi-lo por meio da medicalização, e uso de intervenções que colocavam em risco a saúde materna e fetal. O domicílio, logo deu lugar a um ambiente pautado em tecnologias, no qual os direitos das mulheres e recém-nascidos foram comumente desrespeitados.</w:t>
      </w:r>
      <w:r w:rsidRPr="00771368">
        <w:rPr>
          <w:sz w:val="31"/>
          <w:szCs w:val="31"/>
          <w:vertAlign w:val="superscript"/>
        </w:rPr>
        <w:t>4</w:t>
      </w:r>
      <w:r w:rsidRPr="00771368">
        <w:rPr>
          <w:sz w:val="24"/>
          <w:szCs w:val="24"/>
        </w:rPr>
        <w:t xml:space="preserve"> Neste cenário, a mulher perdeu seu papel de protagonista e o médico passou a decidir como o processo parturitivo deveria transcorrer.</w:t>
      </w:r>
    </w:p>
    <w:p w:rsidR="00D24E61" w:rsidRPr="00771368" w:rsidRDefault="00D24E61">
      <w:pPr>
        <w:spacing w:line="101" w:lineRule="exact"/>
        <w:rPr>
          <w:sz w:val="20"/>
          <w:szCs w:val="20"/>
        </w:rPr>
      </w:pPr>
    </w:p>
    <w:p w:rsidR="00D24E61" w:rsidRPr="00771368" w:rsidRDefault="00D24E61">
      <w:pPr>
        <w:spacing w:line="442" w:lineRule="auto"/>
        <w:ind w:firstLine="850"/>
        <w:jc w:val="both"/>
        <w:rPr>
          <w:sz w:val="20"/>
          <w:szCs w:val="20"/>
        </w:rPr>
      </w:pPr>
      <w:r w:rsidRPr="00771368">
        <w:rPr>
          <w:sz w:val="24"/>
          <w:szCs w:val="24"/>
        </w:rPr>
        <w:t>A situação torna-se ainda mais inquietante quando se pensa que além de despersonalizar o nascimento, a institucionalização do parto e a sua consequente medicalização, trouxe consigo um fato preocupante: a epidemia das cesáreas. Este procedimento cirúrgico é indispensável no contexto da obstetrícia contemporânea quando utilizado em situações que envolvem risco para mãe e o feto.</w:t>
      </w:r>
      <w:r w:rsidRPr="00771368">
        <w:rPr>
          <w:sz w:val="31"/>
          <w:szCs w:val="31"/>
          <w:vertAlign w:val="superscript"/>
        </w:rPr>
        <w:t>5</w:t>
      </w:r>
    </w:p>
    <w:p w:rsidR="00D24E61" w:rsidRPr="00771368" w:rsidRDefault="00D24E61">
      <w:pPr>
        <w:spacing w:line="27" w:lineRule="exact"/>
        <w:rPr>
          <w:sz w:val="20"/>
          <w:szCs w:val="20"/>
        </w:rPr>
      </w:pPr>
    </w:p>
    <w:p w:rsidR="00D24E61" w:rsidRPr="00771368" w:rsidRDefault="00D24E61">
      <w:pPr>
        <w:spacing w:line="425" w:lineRule="auto"/>
        <w:ind w:right="20"/>
        <w:jc w:val="both"/>
        <w:rPr>
          <w:sz w:val="20"/>
          <w:szCs w:val="20"/>
        </w:rPr>
      </w:pPr>
      <w:r w:rsidRPr="00771368">
        <w:rPr>
          <w:sz w:val="24"/>
          <w:szCs w:val="24"/>
        </w:rPr>
        <w:t>Contudo, ressaltam-se as suas complicações – infecções cirúrgicas, uterinas, do trata urinário, anemia, dificuldades para a amamentação, bem como sobre o estabelecimento do vínculo com o recém-nascido - principalmente em casos de indicação inadequada.</w:t>
      </w:r>
      <w:r w:rsidRPr="00771368">
        <w:rPr>
          <w:sz w:val="31"/>
          <w:szCs w:val="31"/>
          <w:vertAlign w:val="superscript"/>
        </w:rPr>
        <w:t>6</w:t>
      </w:r>
    </w:p>
    <w:p w:rsidR="00D24E61" w:rsidRPr="00771368" w:rsidRDefault="00D24E61" w:rsidP="00D509F1">
      <w:pPr>
        <w:spacing w:line="457" w:lineRule="auto"/>
        <w:ind w:firstLine="720"/>
        <w:jc w:val="both"/>
        <w:rPr>
          <w:sz w:val="20"/>
          <w:szCs w:val="20"/>
        </w:rPr>
      </w:pPr>
      <w:r w:rsidRPr="00771368">
        <w:rPr>
          <w:sz w:val="24"/>
          <w:szCs w:val="24"/>
        </w:rPr>
        <w:t>4 Deste modo, nas últimas três décadas, um movimento internacional tem alcançado notório destaque  por  lutar  contra  a  realidade  ora  apresentada.  No  Brasil,  esta  proposta  recebeu  a denominação de Movimento pela Humanização do Parto e Nascimento.</w:t>
      </w:r>
      <w:r w:rsidRPr="00771368">
        <w:rPr>
          <w:sz w:val="31"/>
          <w:szCs w:val="31"/>
          <w:vertAlign w:val="superscript"/>
        </w:rPr>
        <w:t>7</w:t>
      </w:r>
      <w:r w:rsidRPr="00771368">
        <w:rPr>
          <w:sz w:val="24"/>
          <w:szCs w:val="24"/>
        </w:rPr>
        <w:t xml:space="preserve">  Destaca-se, pois, como uma abordagem que busca transformar o nascimento em uma experiência satisfatória para a mulher</w:t>
      </w:r>
    </w:p>
    <w:p w:rsidR="00D24E61" w:rsidRPr="00771368" w:rsidRDefault="00D24E61" w:rsidP="00D509F1">
      <w:pPr>
        <w:jc w:val="both"/>
        <w:rPr>
          <w:sz w:val="20"/>
          <w:szCs w:val="20"/>
        </w:rPr>
      </w:pPr>
      <w:r w:rsidRPr="00771368">
        <w:rPr>
          <w:sz w:val="24"/>
          <w:szCs w:val="24"/>
        </w:rPr>
        <w:t>e familiares.</w:t>
      </w:r>
      <w:r w:rsidRPr="00771368">
        <w:rPr>
          <w:sz w:val="31"/>
          <w:szCs w:val="31"/>
          <w:vertAlign w:val="superscript"/>
        </w:rPr>
        <w:t>8</w:t>
      </w:r>
    </w:p>
    <w:p w:rsidR="00D24E61" w:rsidRPr="00771368" w:rsidRDefault="00D24E61">
      <w:pPr>
        <w:spacing w:line="259" w:lineRule="exact"/>
        <w:rPr>
          <w:sz w:val="20"/>
          <w:szCs w:val="20"/>
        </w:rPr>
      </w:pPr>
    </w:p>
    <w:p w:rsidR="00D24E61" w:rsidRPr="00771368" w:rsidRDefault="00D24E61">
      <w:pPr>
        <w:spacing w:line="442" w:lineRule="auto"/>
        <w:ind w:firstLine="850"/>
        <w:jc w:val="both"/>
        <w:rPr>
          <w:sz w:val="20"/>
          <w:szCs w:val="20"/>
        </w:rPr>
      </w:pPr>
      <w:r w:rsidRPr="00771368">
        <w:rPr>
          <w:sz w:val="24"/>
          <w:szCs w:val="24"/>
        </w:rPr>
        <w:t>Para tanto, faz-se necessária uma postura ética e solidária de todos os envolvidos neste processo, com vista à criação de um ambiente acolhedor, pautado por condutas que rompam com o tradicional isolamento empreendido à mulher, além do incentivo quanto a práticas cientificamente consideradas benéficas em detrimento dos procedimentos intervencionistas desnecessários.</w:t>
      </w:r>
      <w:r w:rsidRPr="00771368">
        <w:rPr>
          <w:sz w:val="31"/>
          <w:szCs w:val="31"/>
          <w:vertAlign w:val="superscript"/>
        </w:rPr>
        <w:t>9</w:t>
      </w:r>
    </w:p>
    <w:p w:rsidR="00D24E61" w:rsidRPr="00771368" w:rsidRDefault="00D24E61">
      <w:pPr>
        <w:spacing w:line="28" w:lineRule="exact"/>
        <w:rPr>
          <w:sz w:val="20"/>
          <w:szCs w:val="20"/>
        </w:rPr>
      </w:pPr>
    </w:p>
    <w:p w:rsidR="00D24E61" w:rsidRPr="00771368" w:rsidRDefault="00D24E61">
      <w:pPr>
        <w:spacing w:line="467" w:lineRule="auto"/>
        <w:ind w:firstLine="850"/>
        <w:jc w:val="both"/>
        <w:rPr>
          <w:sz w:val="20"/>
          <w:szCs w:val="20"/>
        </w:rPr>
      </w:pPr>
      <w:r w:rsidRPr="00771368">
        <w:rPr>
          <w:sz w:val="24"/>
          <w:szCs w:val="24"/>
        </w:rPr>
        <w:t>Assim, apesar das reações contrárias ao modelo dominante, tornou-se evidente a instituição de um modelo que condicionou a forma como a mulher deveria vivenciar o fenômeno do parto e nascimento. Desta forma, diante da necessidade de melhor compreender este fenômeno, o estudo apresentou o seguinte questionamento: como o contexto histórico e cultural contribuiu para que a mulher apresentasse um papel passivo diante do parto e nascimento?</w:t>
      </w:r>
    </w:p>
    <w:p w:rsidR="00D24E61" w:rsidRPr="00771368" w:rsidRDefault="00D24E61">
      <w:pPr>
        <w:spacing w:line="75" w:lineRule="exact"/>
        <w:rPr>
          <w:sz w:val="20"/>
          <w:szCs w:val="20"/>
        </w:rPr>
      </w:pPr>
    </w:p>
    <w:p w:rsidR="00D24E61" w:rsidRPr="00771368" w:rsidRDefault="00D24E61">
      <w:pPr>
        <w:spacing w:line="429" w:lineRule="auto"/>
        <w:ind w:firstLine="850"/>
        <w:jc w:val="both"/>
        <w:rPr>
          <w:sz w:val="20"/>
          <w:szCs w:val="20"/>
        </w:rPr>
      </w:pPr>
      <w:r w:rsidRPr="00771368">
        <w:rPr>
          <w:sz w:val="24"/>
          <w:szCs w:val="24"/>
        </w:rPr>
        <w:t>O estudo em tela objetivou analisar os aspectos contextuais relacionados a concepções e práticas que determinaram a atuação da mulher enquanto coadjuvante no processo parturitivo.</w:t>
      </w:r>
    </w:p>
    <w:p w:rsidR="00D24E61" w:rsidRPr="00771368" w:rsidRDefault="00D24E61">
      <w:pPr>
        <w:spacing w:line="118" w:lineRule="exact"/>
        <w:rPr>
          <w:sz w:val="20"/>
          <w:szCs w:val="20"/>
        </w:rPr>
      </w:pPr>
    </w:p>
    <w:p w:rsidR="00D24E61" w:rsidRPr="00771368" w:rsidRDefault="00D24E61">
      <w:pPr>
        <w:spacing w:line="435" w:lineRule="auto"/>
        <w:ind w:firstLine="850"/>
        <w:jc w:val="both"/>
        <w:rPr>
          <w:sz w:val="20"/>
          <w:szCs w:val="20"/>
        </w:rPr>
      </w:pPr>
      <w:r w:rsidRPr="00771368">
        <w:rPr>
          <w:sz w:val="24"/>
          <w:szCs w:val="24"/>
        </w:rPr>
        <w:t>Sabe-se que as mulheres, paulatinamente, estão assumindo novas formas de atuação diante do parto, com vista a uma participação efetiva durante este momento, apesar dos entraves empreendidos pelas instituições de saúde.</w:t>
      </w:r>
      <w:r w:rsidRPr="00771368">
        <w:rPr>
          <w:sz w:val="31"/>
          <w:szCs w:val="31"/>
          <w:vertAlign w:val="superscript"/>
        </w:rPr>
        <w:t>10</w:t>
      </w:r>
      <w:r w:rsidRPr="00771368">
        <w:rPr>
          <w:sz w:val="24"/>
          <w:szCs w:val="24"/>
        </w:rPr>
        <w:t xml:space="preserve"> Neste sentido, a análise do contexto proposta pode contribuir para a identificação dos aspectos que impedem o resgate do protagonismo da mulher no cenário do nascimento, com vista a subsidiar o empoderamento feminino.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3" w:lineRule="exact"/>
        <w:rPr>
          <w:sz w:val="20"/>
          <w:szCs w:val="20"/>
        </w:rPr>
      </w:pPr>
    </w:p>
    <w:p w:rsidR="00D24E61" w:rsidRPr="00771368" w:rsidRDefault="00D24E61">
      <w:pPr>
        <w:rPr>
          <w:sz w:val="20"/>
          <w:szCs w:val="20"/>
        </w:rPr>
      </w:pPr>
      <w:r w:rsidRPr="00771368">
        <w:rPr>
          <w:b/>
          <w:bCs/>
          <w:sz w:val="24"/>
          <w:szCs w:val="24"/>
        </w:rPr>
        <w:t>METODOLOGIA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81" w:lineRule="exact"/>
        <w:rPr>
          <w:sz w:val="20"/>
          <w:szCs w:val="20"/>
        </w:rPr>
      </w:pPr>
    </w:p>
    <w:p w:rsidR="00D24E61" w:rsidRPr="00771368" w:rsidRDefault="00D24E61" w:rsidP="00D509F1">
      <w:pPr>
        <w:spacing w:line="429" w:lineRule="auto"/>
        <w:ind w:firstLine="850"/>
        <w:jc w:val="both"/>
        <w:rPr>
          <w:sz w:val="20"/>
          <w:szCs w:val="20"/>
        </w:rPr>
      </w:pPr>
      <w:r w:rsidRPr="00771368">
        <w:rPr>
          <w:sz w:val="24"/>
          <w:szCs w:val="24"/>
        </w:rPr>
        <w:t>Diante do exposto, elaborou-se um ensaio analítico norteado pelo aporte teórico da análise contextual de Hinds, Chaves, Cypress. O ensaio compreende uma exposição reflexiva, pautada por</w:t>
      </w:r>
      <w:r w:rsidRPr="00771368">
        <w:rPr>
          <w:sz w:val="23"/>
          <w:szCs w:val="23"/>
        </w:rPr>
        <w:t xml:space="preserve"> argumentos rigorosos, intepretações e julgamentos pessoais.</w:t>
      </w:r>
      <w:r w:rsidRPr="00771368">
        <w:rPr>
          <w:sz w:val="30"/>
          <w:szCs w:val="30"/>
          <w:vertAlign w:val="superscript"/>
        </w:rPr>
        <w:t>11</w:t>
      </w:r>
      <w:r w:rsidRPr="00771368">
        <w:rPr>
          <w:sz w:val="23"/>
          <w:szCs w:val="23"/>
        </w:rPr>
        <w:t xml:space="preserve"> Sobre a análise contextual, necessário se faz definir a concepção de contexto discutida no decorrer deste ensaio: o contexto figura-se como uma fonte de dados, bem como de significados e compreensões. Assim, é composto por quatro camadas, quais sejam: o contexto imediato – apresenta como característica a imediação e tem como foco o presente; o contexto específico – engloba o passado imediato, o qual é influenciado por uma série de circunstâncias; o contexto geral – envolve o quadro de referência do indivíduo a partir de aspectos passados e atuais; e o metacontexto – compreende uma fonte de conhecimento socialmente construída.</w:t>
      </w:r>
      <w:r w:rsidRPr="00771368">
        <w:rPr>
          <w:sz w:val="30"/>
          <w:szCs w:val="30"/>
          <w:vertAlign w:val="superscript"/>
        </w:rPr>
        <w:t>12</w:t>
      </w:r>
    </w:p>
    <w:p w:rsidR="00D24E61" w:rsidRPr="00771368" w:rsidRDefault="00D24E61">
      <w:pPr>
        <w:spacing w:line="14" w:lineRule="exact"/>
        <w:rPr>
          <w:sz w:val="20"/>
          <w:szCs w:val="20"/>
        </w:rPr>
      </w:pPr>
    </w:p>
    <w:p w:rsidR="00D24E61" w:rsidRPr="00771368" w:rsidRDefault="00D24E61">
      <w:pPr>
        <w:spacing w:line="456" w:lineRule="auto"/>
        <w:ind w:firstLine="850"/>
        <w:jc w:val="both"/>
        <w:rPr>
          <w:sz w:val="20"/>
          <w:szCs w:val="20"/>
        </w:rPr>
      </w:pPr>
      <w:r w:rsidRPr="00771368">
        <w:rPr>
          <w:sz w:val="24"/>
          <w:szCs w:val="24"/>
        </w:rPr>
        <w:t>Ressalta-se que todos os níveis contextuais descritos sempre estão presentes e correlacionam-se entre si, apesar de, em diversos momentos, não serem considerados por alguns estudos. A interpretação do todo por meio da análise de um único nível pode ser desenvolvido, porém é possível considerar a existência de distorções na compreensão do fenômeno. Ademais através das interações os níveis contextuais é que os profissionais de saúde poderão compreender diversos aspectos inerentes às atividades desenvolvidas.</w:t>
      </w:r>
      <w:r w:rsidRPr="00771368">
        <w:rPr>
          <w:sz w:val="31"/>
          <w:szCs w:val="31"/>
          <w:vertAlign w:val="superscript"/>
        </w:rPr>
        <w:t>12</w:t>
      </w:r>
    </w:p>
    <w:p w:rsidR="00D24E61" w:rsidRPr="00771368" w:rsidRDefault="00D24E61">
      <w:pPr>
        <w:spacing w:line="14" w:lineRule="exact"/>
        <w:rPr>
          <w:sz w:val="20"/>
          <w:szCs w:val="20"/>
        </w:rPr>
      </w:pPr>
    </w:p>
    <w:p w:rsidR="00D24E61" w:rsidRPr="00771368" w:rsidRDefault="00D24E61">
      <w:pPr>
        <w:spacing w:line="463" w:lineRule="auto"/>
        <w:ind w:firstLine="850"/>
        <w:jc w:val="both"/>
        <w:rPr>
          <w:sz w:val="20"/>
          <w:szCs w:val="20"/>
        </w:rPr>
      </w:pPr>
      <w:r w:rsidRPr="00771368">
        <w:rPr>
          <w:sz w:val="24"/>
          <w:szCs w:val="24"/>
        </w:rPr>
        <w:t>Dentro desta proposta, a análise ocorreu a partir de quatro temáticas, que representam os níveis contextuais, quais sejam: a mulher enquanto coadjuvante no processo parturitivo; os aspectos institucionais e profissionais associados ao fenômeno; os aspectos individuais – crenças e valores relativos ao parto; e as políticas públicas voltadas à saúde da mulher (Figura 01).</w:t>
      </w:r>
    </w:p>
    <w:p w:rsidR="00D509F1" w:rsidRDefault="00D509F1">
      <w:pPr>
        <w:rPr>
          <w:sz w:val="20"/>
          <w:szCs w:val="20"/>
        </w:rPr>
      </w:pPr>
      <w:r>
        <w:rPr>
          <w:sz w:val="20"/>
          <w:szCs w:val="20"/>
        </w:rPr>
        <w:br w:type="page"/>
      </w:r>
    </w:p>
    <w:p w:rsidR="00D24E61" w:rsidRPr="00771368" w:rsidRDefault="00D24E61">
      <w:pPr>
        <w:spacing w:line="200" w:lineRule="exact"/>
        <w:rPr>
          <w:sz w:val="20"/>
          <w:szCs w:val="20"/>
        </w:rPr>
      </w:pPr>
    </w:p>
    <w:p w:rsidR="00D24E61" w:rsidRPr="00771368" w:rsidRDefault="00D509F1">
      <w:pPr>
        <w:spacing w:line="240" w:lineRule="exact"/>
        <w:rPr>
          <w:sz w:val="20"/>
          <w:szCs w:val="20"/>
        </w:rPr>
      </w:pPr>
      <w:r w:rsidRPr="00771368">
        <w:rPr>
          <w:noProof/>
          <w:sz w:val="20"/>
          <w:szCs w:val="20"/>
        </w:rPr>
        <w:drawing>
          <wp:anchor distT="0" distB="0" distL="114300" distR="114300" simplePos="0" relativeHeight="251735040" behindDoc="1" locked="0" layoutInCell="0" allowOverlap="1" wp14:anchorId="5B2CBA87" wp14:editId="5DFCB7AA">
            <wp:simplePos x="0" y="0"/>
            <wp:positionH relativeFrom="column">
              <wp:posOffset>535305</wp:posOffset>
            </wp:positionH>
            <wp:positionV relativeFrom="paragraph">
              <wp:posOffset>32858</wp:posOffset>
            </wp:positionV>
            <wp:extent cx="5189220" cy="3387090"/>
            <wp:effectExtent l="0" t="0" r="0" b="0"/>
            <wp:wrapNone/>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2" cstate="print">
                      <a:extLst/>
                    </a:blip>
                    <a:srcRect/>
                    <a:stretch>
                      <a:fillRect/>
                    </a:stretch>
                  </pic:blipFill>
                  <pic:spPr bwMode="auto">
                    <a:xfrm>
                      <a:off x="0" y="0"/>
                      <a:ext cx="5189220" cy="3387090"/>
                    </a:xfrm>
                    <a:prstGeom prst="rect">
                      <a:avLst/>
                    </a:prstGeom>
                    <a:noFill/>
                  </pic:spPr>
                </pic:pic>
              </a:graphicData>
            </a:graphic>
          </wp:anchor>
        </w:drawing>
      </w:r>
    </w:p>
    <w:p w:rsidR="00D24E61" w:rsidRPr="00771368" w:rsidRDefault="00D24E61">
      <w:pPr>
        <w:spacing w:line="206" w:lineRule="auto"/>
        <w:ind w:left="6340" w:right="1540"/>
        <w:jc w:val="center"/>
        <w:rPr>
          <w:sz w:val="20"/>
          <w:szCs w:val="20"/>
        </w:rPr>
      </w:pPr>
      <w:r w:rsidRPr="00771368">
        <w:t>A mulher enquanto coadjuvante no processo parturitivo</w:t>
      </w:r>
    </w:p>
    <w:p w:rsidR="00D24E61" w:rsidRPr="00771368" w:rsidRDefault="00D24E61">
      <w:pPr>
        <w:spacing w:line="302" w:lineRule="exact"/>
        <w:rPr>
          <w:sz w:val="20"/>
          <w:szCs w:val="20"/>
        </w:rPr>
      </w:pPr>
    </w:p>
    <w:p w:rsidR="00D24E61" w:rsidRPr="00771368" w:rsidRDefault="00D24E61">
      <w:pPr>
        <w:spacing w:line="205" w:lineRule="auto"/>
        <w:ind w:left="6560" w:right="1740"/>
        <w:jc w:val="center"/>
        <w:rPr>
          <w:sz w:val="20"/>
          <w:szCs w:val="20"/>
        </w:rPr>
      </w:pPr>
      <w:r w:rsidRPr="00771368">
        <w:t>Aspectos institucionais e profissionais</w:t>
      </w:r>
    </w:p>
    <w:p w:rsidR="00D24E61" w:rsidRPr="00771368" w:rsidRDefault="00D24E61">
      <w:pPr>
        <w:spacing w:line="305" w:lineRule="exact"/>
        <w:rPr>
          <w:sz w:val="20"/>
          <w:szCs w:val="20"/>
        </w:rPr>
      </w:pPr>
    </w:p>
    <w:p w:rsidR="00D24E61" w:rsidRPr="00771368" w:rsidRDefault="00D24E61">
      <w:pPr>
        <w:spacing w:line="215" w:lineRule="auto"/>
        <w:ind w:left="6420" w:right="1500" w:hanging="100"/>
        <w:rPr>
          <w:sz w:val="20"/>
          <w:szCs w:val="20"/>
        </w:rPr>
      </w:pPr>
      <w:r w:rsidRPr="00771368">
        <w:rPr>
          <w:sz w:val="21"/>
          <w:szCs w:val="21"/>
        </w:rPr>
        <w:t>Aspectos individuais - crenças e valores relativos ao parto</w:t>
      </w:r>
    </w:p>
    <w:p w:rsidR="00D24E61" w:rsidRPr="00771368" w:rsidRDefault="00D24E61">
      <w:pPr>
        <w:spacing w:line="304" w:lineRule="exact"/>
        <w:rPr>
          <w:sz w:val="20"/>
          <w:szCs w:val="20"/>
        </w:rPr>
      </w:pPr>
    </w:p>
    <w:p w:rsidR="00D24E61" w:rsidRPr="00771368" w:rsidRDefault="00D24E61">
      <w:pPr>
        <w:spacing w:line="205" w:lineRule="auto"/>
        <w:ind w:left="6380" w:right="1560"/>
        <w:jc w:val="center"/>
        <w:rPr>
          <w:sz w:val="20"/>
          <w:szCs w:val="20"/>
        </w:rPr>
      </w:pPr>
      <w:r w:rsidRPr="00771368">
        <w:t>Políticas públicas voltadas à saúde da mulher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79" w:lineRule="exact"/>
        <w:rPr>
          <w:sz w:val="20"/>
          <w:szCs w:val="20"/>
        </w:rPr>
      </w:pPr>
    </w:p>
    <w:p w:rsidR="00D24E61" w:rsidRPr="00771368" w:rsidRDefault="00D24E61">
      <w:pPr>
        <w:spacing w:line="232" w:lineRule="auto"/>
        <w:ind w:left="840" w:right="20"/>
        <w:rPr>
          <w:sz w:val="20"/>
          <w:szCs w:val="20"/>
        </w:rPr>
      </w:pPr>
      <w:r w:rsidRPr="00771368">
        <w:rPr>
          <w:b/>
          <w:bCs/>
          <w:sz w:val="24"/>
          <w:szCs w:val="24"/>
        </w:rPr>
        <w:t xml:space="preserve">Figura 01: </w:t>
      </w:r>
      <w:r w:rsidRPr="00771368">
        <w:rPr>
          <w:sz w:val="24"/>
          <w:szCs w:val="24"/>
        </w:rPr>
        <w:t>Representação dos quatro níveis contextuais relacionados ao papel da mulher</w:t>
      </w:r>
      <w:r w:rsidRPr="00771368">
        <w:rPr>
          <w:b/>
          <w:bCs/>
          <w:sz w:val="24"/>
          <w:szCs w:val="24"/>
        </w:rPr>
        <w:t xml:space="preserve"> </w:t>
      </w:r>
      <w:r w:rsidRPr="00771368">
        <w:rPr>
          <w:sz w:val="24"/>
          <w:szCs w:val="24"/>
        </w:rPr>
        <w:t>no processo parturitivo.</w:t>
      </w:r>
    </w:p>
    <w:p w:rsidR="00D24E61" w:rsidRPr="00771368" w:rsidRDefault="00D24E61">
      <w:pPr>
        <w:spacing w:line="200" w:lineRule="exact"/>
        <w:rPr>
          <w:sz w:val="20"/>
          <w:szCs w:val="20"/>
        </w:rPr>
      </w:pPr>
    </w:p>
    <w:p w:rsidR="00D24E61" w:rsidRPr="00771368" w:rsidRDefault="00D24E61">
      <w:pPr>
        <w:spacing w:line="399" w:lineRule="exact"/>
        <w:rPr>
          <w:sz w:val="20"/>
          <w:szCs w:val="20"/>
        </w:rPr>
      </w:pPr>
    </w:p>
    <w:p w:rsidR="00D24E61" w:rsidRPr="00771368" w:rsidRDefault="00D24E61">
      <w:pPr>
        <w:rPr>
          <w:sz w:val="20"/>
          <w:szCs w:val="20"/>
        </w:rPr>
      </w:pPr>
      <w:r w:rsidRPr="00771368">
        <w:rPr>
          <w:b/>
          <w:bCs/>
          <w:sz w:val="24"/>
          <w:szCs w:val="24"/>
        </w:rPr>
        <w:t>RESULTADOS E DISCUSSÃO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3" w:lineRule="exact"/>
        <w:rPr>
          <w:sz w:val="20"/>
          <w:szCs w:val="20"/>
        </w:rPr>
      </w:pPr>
    </w:p>
    <w:p w:rsidR="00D24E61" w:rsidRPr="00771368" w:rsidRDefault="00D24E61">
      <w:pPr>
        <w:rPr>
          <w:sz w:val="20"/>
          <w:szCs w:val="20"/>
        </w:rPr>
      </w:pPr>
      <w:r w:rsidRPr="00771368">
        <w:rPr>
          <w:sz w:val="24"/>
          <w:szCs w:val="24"/>
        </w:rPr>
        <w:t>A MULHER ENQUANTO COADJUVANTE NO PROCESSO PARTURITIVO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28" w:lineRule="exact"/>
        <w:rPr>
          <w:sz w:val="20"/>
          <w:szCs w:val="20"/>
        </w:rPr>
      </w:pPr>
    </w:p>
    <w:p w:rsidR="00D24E61" w:rsidRPr="00771368" w:rsidRDefault="00D24E61">
      <w:pPr>
        <w:ind w:left="840"/>
        <w:rPr>
          <w:sz w:val="20"/>
          <w:szCs w:val="20"/>
        </w:rPr>
      </w:pPr>
      <w:r w:rsidRPr="00771368">
        <w:rPr>
          <w:sz w:val="24"/>
          <w:szCs w:val="24"/>
        </w:rPr>
        <w:t>No intuito de retratar a realidade do fenômeno em análise, destaca-se a citação abaixo, a</w:t>
      </w:r>
    </w:p>
    <w:p w:rsidR="00D24E61" w:rsidRPr="00771368" w:rsidRDefault="00D24E61">
      <w:pPr>
        <w:spacing w:line="276" w:lineRule="exact"/>
        <w:rPr>
          <w:sz w:val="20"/>
          <w:szCs w:val="20"/>
        </w:rPr>
      </w:pPr>
    </w:p>
    <w:p w:rsidR="00D24E61" w:rsidRPr="00771368" w:rsidRDefault="00D24E61">
      <w:pPr>
        <w:rPr>
          <w:sz w:val="20"/>
          <w:szCs w:val="20"/>
        </w:rPr>
      </w:pPr>
      <w:r w:rsidRPr="00771368">
        <w:rPr>
          <w:sz w:val="24"/>
          <w:szCs w:val="24"/>
        </w:rPr>
        <w:t>qual, de modo geral, traduz aspectos presentes em muitos serviços obstétricos brasileiros: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52" w:lineRule="exact"/>
        <w:rPr>
          <w:sz w:val="20"/>
          <w:szCs w:val="20"/>
        </w:rPr>
      </w:pPr>
    </w:p>
    <w:p w:rsidR="00D24E61" w:rsidRPr="00771368" w:rsidRDefault="00D24E61">
      <w:pPr>
        <w:spacing w:line="339" w:lineRule="auto"/>
        <w:ind w:left="2260"/>
        <w:jc w:val="both"/>
        <w:rPr>
          <w:sz w:val="20"/>
          <w:szCs w:val="20"/>
        </w:rPr>
      </w:pPr>
      <w:r w:rsidRPr="00771368">
        <w:rPr>
          <w:sz w:val="24"/>
          <w:szCs w:val="24"/>
        </w:rPr>
        <w:t>Podemos lembrar das múltiplas vezes em que os anseios e ritmos naturais da mulher não receberam prioridade e a despersonalizamos em nossos serviços, quando autoritariamente a despimos, raspamos seus pêlos, limpamos seu intestino com um enema, instalamos um soro e a deixamos afastada da família.</w:t>
      </w:r>
      <w:r w:rsidRPr="00771368">
        <w:rPr>
          <w:sz w:val="31"/>
          <w:szCs w:val="31"/>
          <w:vertAlign w:val="superscript"/>
        </w:rPr>
        <w:t>13:83</w:t>
      </w:r>
    </w:p>
    <w:p w:rsidR="00D24E61" w:rsidRPr="00771368" w:rsidRDefault="00D24E61">
      <w:pPr>
        <w:spacing w:line="200" w:lineRule="exact"/>
        <w:rPr>
          <w:sz w:val="20"/>
          <w:szCs w:val="20"/>
        </w:rPr>
      </w:pPr>
    </w:p>
    <w:p w:rsidR="00D24E61" w:rsidRPr="00771368" w:rsidRDefault="00D24E61">
      <w:pPr>
        <w:spacing w:line="300" w:lineRule="exact"/>
        <w:rPr>
          <w:sz w:val="20"/>
          <w:szCs w:val="20"/>
        </w:rPr>
      </w:pPr>
    </w:p>
    <w:p w:rsidR="00D24E61" w:rsidRPr="00771368" w:rsidRDefault="00D24E61">
      <w:pPr>
        <w:spacing w:line="239" w:lineRule="auto"/>
        <w:ind w:left="840"/>
        <w:rPr>
          <w:sz w:val="20"/>
          <w:szCs w:val="20"/>
        </w:rPr>
      </w:pPr>
      <w:r w:rsidRPr="00771368">
        <w:rPr>
          <w:sz w:val="24"/>
          <w:szCs w:val="24"/>
        </w:rPr>
        <w:t>O advento da institucionalização do parto impôs uma nova conformação do cenário e dos</w:t>
      </w:r>
    </w:p>
    <w:p w:rsidR="00D24E61" w:rsidRPr="00771368" w:rsidRDefault="00D24E61">
      <w:pPr>
        <w:spacing w:line="277" w:lineRule="exact"/>
        <w:rPr>
          <w:sz w:val="20"/>
          <w:szCs w:val="20"/>
        </w:rPr>
      </w:pPr>
    </w:p>
    <w:p w:rsidR="00D24E61" w:rsidRPr="00771368" w:rsidRDefault="00D24E61">
      <w:pPr>
        <w:rPr>
          <w:sz w:val="20"/>
          <w:szCs w:val="20"/>
        </w:rPr>
      </w:pPr>
      <w:r w:rsidRPr="00771368">
        <w:rPr>
          <w:sz w:val="24"/>
          <w:szCs w:val="24"/>
        </w:rPr>
        <w:t>personagens que estão envolvidos no processo parturitivo, conforme mencionado anteriormente.</w:t>
      </w:r>
    </w:p>
    <w:p w:rsidR="00D24E61" w:rsidRPr="00771368" w:rsidRDefault="00D24E61">
      <w:pPr>
        <w:spacing w:line="277" w:lineRule="exact"/>
        <w:rPr>
          <w:sz w:val="20"/>
          <w:szCs w:val="20"/>
        </w:rPr>
      </w:pPr>
    </w:p>
    <w:p w:rsidR="00D24E61" w:rsidRPr="00771368" w:rsidRDefault="00D24E61">
      <w:pPr>
        <w:rPr>
          <w:sz w:val="20"/>
          <w:szCs w:val="20"/>
        </w:rPr>
      </w:pPr>
      <w:r w:rsidRPr="00771368">
        <w:rPr>
          <w:sz w:val="24"/>
          <w:szCs w:val="24"/>
        </w:rPr>
        <w:t>Nesta nova perspectiva, a mulher é vista como um objeto sobre o qual deve incidir intervenções que</w:t>
      </w:r>
    </w:p>
    <w:p w:rsidR="00D24E61" w:rsidRPr="00771368" w:rsidRDefault="00D24E61">
      <w:pPr>
        <w:sectPr w:rsidR="00D24E61" w:rsidRPr="00771368">
          <w:pgSz w:w="11900" w:h="16838"/>
          <w:pgMar w:top="700" w:right="1120" w:bottom="999" w:left="1140" w:header="0" w:footer="0" w:gutter="0"/>
          <w:cols w:space="720" w:equalWidth="0">
            <w:col w:w="9640"/>
          </w:cols>
        </w:sectPr>
      </w:pPr>
    </w:p>
    <w:p w:rsidR="00D24E61" w:rsidRPr="00771368" w:rsidRDefault="00D24E61" w:rsidP="00D509F1">
      <w:pPr>
        <w:spacing w:line="475" w:lineRule="auto"/>
        <w:jc w:val="both"/>
        <w:rPr>
          <w:sz w:val="20"/>
          <w:szCs w:val="20"/>
        </w:rPr>
      </w:pPr>
      <w:r w:rsidRPr="00771368">
        <w:rPr>
          <w:sz w:val="23"/>
          <w:szCs w:val="23"/>
        </w:rPr>
        <w:t xml:space="preserve"> buscam reestabelecer o seu funcionamento ‘normal’. O parto, apesar de ser um evento fisiológico, assume uma visão patológica e o médico é visto como o ser capaz de garantir que a máquina</w:t>
      </w:r>
    </w:p>
    <w:p w:rsidR="00D24E61" w:rsidRPr="00771368" w:rsidRDefault="00D24E61">
      <w:pPr>
        <w:spacing w:line="76" w:lineRule="exact"/>
        <w:rPr>
          <w:sz w:val="20"/>
          <w:szCs w:val="20"/>
        </w:rPr>
      </w:pPr>
    </w:p>
    <w:p w:rsidR="00D24E61" w:rsidRPr="00771368" w:rsidRDefault="00D24E61">
      <w:pPr>
        <w:spacing w:line="429" w:lineRule="auto"/>
        <w:ind w:left="840" w:hanging="849"/>
        <w:jc w:val="both"/>
        <w:rPr>
          <w:sz w:val="20"/>
          <w:szCs w:val="20"/>
        </w:rPr>
      </w:pPr>
      <w:r w:rsidRPr="00771368">
        <w:rPr>
          <w:sz w:val="24"/>
          <w:szCs w:val="24"/>
        </w:rPr>
        <w:t>‘mulher’ funcione dentro de um padrão esperado para que tudo transcorra sem maiores problemas. Assim, o protagonismo feminino, outrora vivenciado durante o nascimento de seu filho sai</w:t>
      </w:r>
    </w:p>
    <w:p w:rsidR="00D24E61" w:rsidRPr="00771368" w:rsidRDefault="00D24E61">
      <w:pPr>
        <w:spacing w:line="118" w:lineRule="exact"/>
        <w:rPr>
          <w:sz w:val="20"/>
          <w:szCs w:val="20"/>
        </w:rPr>
      </w:pPr>
    </w:p>
    <w:p w:rsidR="00D24E61" w:rsidRPr="00771368" w:rsidRDefault="00D24E61">
      <w:pPr>
        <w:spacing w:line="454" w:lineRule="auto"/>
        <w:jc w:val="both"/>
        <w:rPr>
          <w:sz w:val="20"/>
          <w:szCs w:val="20"/>
        </w:rPr>
      </w:pPr>
      <w:r w:rsidRPr="00771368">
        <w:rPr>
          <w:sz w:val="24"/>
          <w:szCs w:val="24"/>
        </w:rPr>
        <w:t>de cena para dar lugar a uma atuação passiva. A mulher passa a operar como uma mera coadjuvante em um cenário no qual lhe é negado o direito de participar das decisões que envolvem procedimentos a serem incididos sobre o seu próprio corpo.</w:t>
      </w:r>
    </w:p>
    <w:p w:rsidR="00D24E61" w:rsidRPr="00771368" w:rsidRDefault="00D24E61">
      <w:pPr>
        <w:spacing w:line="90" w:lineRule="exact"/>
        <w:rPr>
          <w:sz w:val="20"/>
          <w:szCs w:val="20"/>
        </w:rPr>
      </w:pPr>
    </w:p>
    <w:p w:rsidR="00D24E61" w:rsidRPr="00771368" w:rsidRDefault="00D24E61">
      <w:pPr>
        <w:spacing w:line="460" w:lineRule="auto"/>
        <w:ind w:firstLine="850"/>
        <w:jc w:val="both"/>
        <w:rPr>
          <w:sz w:val="20"/>
          <w:szCs w:val="20"/>
        </w:rPr>
      </w:pPr>
      <w:r w:rsidRPr="00771368">
        <w:rPr>
          <w:sz w:val="24"/>
          <w:szCs w:val="24"/>
        </w:rPr>
        <w:t>Tais características constituem o reflexo do modelo tecnocrático que, com base no pensamento cartesiano, norteou a obstetrícia moderna. Este modelo configura-se como um poderoso agente de controle social e formador de valores, crenças e comportamentos do indivíduo. Caracteriza-se pelo predomínio da separação entre corpo e mente, e sob esta ótica o corpo feminino é visto como uma máquina defeituosa, que durante o processo parturitivo necessitará de uma série de intervenções realizadas pelo médico, as quais trarão como produto final um novo ser social – o bebê – e uma nova mãe, reduzida a um subproduto deste momento.</w:t>
      </w:r>
      <w:r w:rsidRPr="00771368">
        <w:rPr>
          <w:sz w:val="31"/>
          <w:szCs w:val="31"/>
          <w:vertAlign w:val="superscript"/>
        </w:rPr>
        <w:t>14</w:t>
      </w:r>
    </w:p>
    <w:p w:rsidR="00D24E61" w:rsidRPr="00771368" w:rsidRDefault="00D24E61">
      <w:pPr>
        <w:spacing w:line="8" w:lineRule="exact"/>
        <w:rPr>
          <w:sz w:val="20"/>
          <w:szCs w:val="20"/>
        </w:rPr>
      </w:pPr>
    </w:p>
    <w:p w:rsidR="00D24E61" w:rsidRPr="00771368" w:rsidRDefault="00D24E61">
      <w:pPr>
        <w:spacing w:line="460" w:lineRule="auto"/>
        <w:ind w:firstLine="850"/>
        <w:jc w:val="both"/>
        <w:rPr>
          <w:sz w:val="20"/>
          <w:szCs w:val="20"/>
        </w:rPr>
      </w:pPr>
      <w:r w:rsidRPr="00771368">
        <w:rPr>
          <w:sz w:val="24"/>
          <w:szCs w:val="24"/>
        </w:rPr>
        <w:t>Com base em tais preceitos, a ciência obstétrica transformou o médico em um protetor da mulher, como forma de legitimar a sua inserção no cenário do nascimento. O obstetra, então, passou a deter o controle não apenas do parto, mas também de todo o período gestacional e a partir desta nova conjuntura, tais profissionais difundiram o modelo biológico como forma de explicar a natureza feminina, com foco em estruturas e processos. Esta concepção favoreceu o uso constante de intervenções e tecnologias para o correto gerenciamento do corpo feminino, que se tornou cada vez mais alienado e passivo ante ao avanço e especialização do conhecimento obstétrico.</w:t>
      </w:r>
      <w:r w:rsidRPr="00771368">
        <w:rPr>
          <w:sz w:val="31"/>
          <w:szCs w:val="31"/>
          <w:vertAlign w:val="superscript"/>
        </w:rPr>
        <w:t>15</w:t>
      </w:r>
    </w:p>
    <w:p w:rsidR="00D24E61" w:rsidRPr="00771368" w:rsidRDefault="00D24E61">
      <w:pPr>
        <w:spacing w:line="8" w:lineRule="exact"/>
        <w:rPr>
          <w:sz w:val="20"/>
          <w:szCs w:val="20"/>
        </w:rPr>
      </w:pPr>
    </w:p>
    <w:p w:rsidR="00D24E61" w:rsidRPr="00771368" w:rsidRDefault="00D24E61">
      <w:pPr>
        <w:spacing w:line="450" w:lineRule="auto"/>
        <w:ind w:firstLine="850"/>
        <w:jc w:val="both"/>
        <w:rPr>
          <w:sz w:val="20"/>
          <w:szCs w:val="20"/>
        </w:rPr>
      </w:pPr>
      <w:r w:rsidRPr="00771368">
        <w:rPr>
          <w:sz w:val="24"/>
          <w:szCs w:val="24"/>
        </w:rPr>
        <w:t>Uma destas intervenções, e que reforça claramente a concepção defeituosa do corpo feminino e a consequente necessidade de correção, diz respeito à questão da episiotomia – “corte da musculatura, tecidos eréteis, nervos e vasos da vulva e vagina, instituída no início do século XX, com a intenção de ampliar o canal de parto”.</w:t>
      </w:r>
      <w:r w:rsidRPr="00771368">
        <w:rPr>
          <w:sz w:val="31"/>
          <w:szCs w:val="31"/>
          <w:vertAlign w:val="superscript"/>
        </w:rPr>
        <w:t>16:318</w:t>
      </w:r>
      <w:r w:rsidRPr="00771368">
        <w:rPr>
          <w:sz w:val="24"/>
          <w:szCs w:val="24"/>
        </w:rPr>
        <w:t xml:space="preserve"> Por longo período de tempo, inúmeras mulheres tiveram suas vulvas e vaginas mutiladas, no intuito de prevenir danos ao binômio mãe e filho sem</w:t>
      </w:r>
    </w:p>
    <w:p w:rsidR="00D24E61" w:rsidRPr="00771368" w:rsidRDefault="00D24E61">
      <w:pPr>
        <w:sectPr w:rsidR="00D24E61" w:rsidRPr="00771368">
          <w:pgSz w:w="11900" w:h="16838"/>
          <w:pgMar w:top="759" w:right="1120" w:bottom="927" w:left="1140" w:header="0" w:footer="0" w:gutter="0"/>
          <w:cols w:space="720" w:equalWidth="0">
            <w:col w:w="9640"/>
          </w:cols>
        </w:sectPr>
      </w:pPr>
    </w:p>
    <w:p w:rsidR="00D24E61" w:rsidRPr="00771368" w:rsidRDefault="00D24E61" w:rsidP="00D509F1">
      <w:pPr>
        <w:spacing w:line="459" w:lineRule="auto"/>
        <w:jc w:val="both"/>
        <w:rPr>
          <w:sz w:val="20"/>
          <w:szCs w:val="20"/>
        </w:rPr>
      </w:pPr>
      <w:r w:rsidRPr="00771368">
        <w:rPr>
          <w:sz w:val="23"/>
          <w:szCs w:val="23"/>
        </w:rPr>
        <w:t>qualquer evidência científica sobre a indicação deste procedimento em caráter de rotina, condição que denota uma clara exaltação dos benefícios associados ao emprego da tecnologia e a subvalorização dos efeitos adversos oriundos das intervenções empreendidas.</w:t>
      </w:r>
      <w:r w:rsidRPr="00771368">
        <w:rPr>
          <w:sz w:val="30"/>
          <w:szCs w:val="30"/>
          <w:vertAlign w:val="superscript"/>
        </w:rPr>
        <w:t>16</w:t>
      </w:r>
    </w:p>
    <w:p w:rsidR="00D24E61" w:rsidRPr="00771368" w:rsidRDefault="00D24E61">
      <w:pPr>
        <w:spacing w:line="22" w:lineRule="exact"/>
        <w:rPr>
          <w:sz w:val="20"/>
          <w:szCs w:val="20"/>
        </w:rPr>
      </w:pPr>
    </w:p>
    <w:p w:rsidR="00D24E61" w:rsidRPr="00771368" w:rsidRDefault="00D24E61">
      <w:pPr>
        <w:spacing w:line="465" w:lineRule="auto"/>
        <w:ind w:firstLine="850"/>
        <w:jc w:val="both"/>
        <w:rPr>
          <w:sz w:val="20"/>
          <w:szCs w:val="20"/>
        </w:rPr>
      </w:pPr>
      <w:r w:rsidRPr="00771368">
        <w:rPr>
          <w:sz w:val="24"/>
          <w:szCs w:val="24"/>
        </w:rPr>
        <w:t xml:space="preserve">Outro procedimento que chama a atenção, refere-se à instituição de cirurgias cesarianas de rotina. No Brasil, por exemplo, o setor privado substituiu a imprevisibilidade do parto normal por um planejamento centrado no modelo de administração taylorista, caracterizado pelo aumento da produtividade através do aumento da eficiência operacional, no intuito de obter vultosos lucros. Ademais, difundiu-se na sociedade a concepção de que o fato de ser realizado por um especialista é condição </w:t>
      </w:r>
      <w:r w:rsidRPr="00771368">
        <w:rPr>
          <w:i/>
          <w:iCs/>
          <w:sz w:val="24"/>
          <w:szCs w:val="24"/>
        </w:rPr>
        <w:t>sine qua non</w:t>
      </w:r>
      <w:r w:rsidRPr="00771368">
        <w:rPr>
          <w:sz w:val="24"/>
          <w:szCs w:val="24"/>
        </w:rPr>
        <w:t xml:space="preserve"> para garantir a segurança do procedimento. Assim, qualquer profissional que, indo de encontro ao sistema vigente, preste assistência a um parto normal e neste ocorra algum tipo de complicação, sofrerá represálias dos demais profissionais e mesmo da própria paciente e seus familiares.</w:t>
      </w:r>
      <w:r w:rsidRPr="00771368">
        <w:rPr>
          <w:sz w:val="31"/>
          <w:szCs w:val="31"/>
          <w:vertAlign w:val="superscript"/>
        </w:rPr>
        <w:t>16-17</w:t>
      </w:r>
    </w:p>
    <w:p w:rsidR="00D24E61" w:rsidRPr="00771368" w:rsidRDefault="00D24E61">
      <w:pPr>
        <w:spacing w:line="1" w:lineRule="exact"/>
        <w:rPr>
          <w:sz w:val="20"/>
          <w:szCs w:val="20"/>
        </w:rPr>
      </w:pPr>
    </w:p>
    <w:p w:rsidR="00D24E61" w:rsidRPr="00771368" w:rsidRDefault="00D24E61">
      <w:pPr>
        <w:spacing w:line="469" w:lineRule="auto"/>
        <w:ind w:firstLine="850"/>
        <w:jc w:val="both"/>
        <w:rPr>
          <w:sz w:val="20"/>
          <w:szCs w:val="20"/>
        </w:rPr>
      </w:pPr>
      <w:r w:rsidRPr="00771368">
        <w:rPr>
          <w:sz w:val="24"/>
          <w:szCs w:val="24"/>
        </w:rPr>
        <w:t>Em se tratando de relações de poder, a cirurgia cesariana funciona como um poderoso mecanismo de controle empreendido pelo médico, não apenas em termos do corpo feminino, mas também frente aos demais profissionais que atuam na assistência obstétrica, como enfermeiros e parteiras. Enquanto ato privativo da categoria médica, este procedimento garante o espaço de atuação destes profissionais e a consolidação de sua soberania ante a todos os envolvidos neste evento.</w:t>
      </w:r>
    </w:p>
    <w:p w:rsidR="00D24E61" w:rsidRPr="00771368" w:rsidRDefault="00D24E61">
      <w:pPr>
        <w:spacing w:line="77" w:lineRule="exact"/>
        <w:rPr>
          <w:sz w:val="20"/>
          <w:szCs w:val="20"/>
        </w:rPr>
      </w:pPr>
    </w:p>
    <w:p w:rsidR="00D24E61" w:rsidRPr="00771368" w:rsidRDefault="00D24E61">
      <w:pPr>
        <w:spacing w:line="454" w:lineRule="auto"/>
        <w:ind w:firstLine="850"/>
        <w:jc w:val="both"/>
        <w:rPr>
          <w:sz w:val="20"/>
          <w:szCs w:val="20"/>
        </w:rPr>
      </w:pPr>
      <w:r w:rsidRPr="00771368">
        <w:rPr>
          <w:sz w:val="24"/>
          <w:szCs w:val="24"/>
        </w:rPr>
        <w:t>O contexto imediato ora apresentado subsidiará as reflexões posteriores dando continuidade ao presente ensaio. Um contexto permeado por concepções e práticas históricas e culturais que marcaram profundamente o modelo de assistência obstétrica vigente.</w:t>
      </w:r>
    </w:p>
    <w:p w:rsidR="00D24E61" w:rsidRPr="00771368" w:rsidRDefault="00D24E61">
      <w:pPr>
        <w:spacing w:line="200" w:lineRule="exact"/>
        <w:rPr>
          <w:sz w:val="20"/>
          <w:szCs w:val="20"/>
        </w:rPr>
      </w:pPr>
    </w:p>
    <w:p w:rsidR="00D24E61" w:rsidRPr="00771368" w:rsidRDefault="00D24E61">
      <w:pPr>
        <w:spacing w:line="385" w:lineRule="exact"/>
        <w:rPr>
          <w:sz w:val="20"/>
          <w:szCs w:val="20"/>
        </w:rPr>
      </w:pPr>
    </w:p>
    <w:p w:rsidR="00D24E61" w:rsidRPr="00771368" w:rsidRDefault="00D24E61">
      <w:pPr>
        <w:rPr>
          <w:sz w:val="20"/>
          <w:szCs w:val="20"/>
        </w:rPr>
      </w:pPr>
      <w:r w:rsidRPr="00771368">
        <w:rPr>
          <w:sz w:val="24"/>
          <w:szCs w:val="24"/>
        </w:rPr>
        <w:t>ASPECTOS INSTITUCIONAIS E PROFISSIONAIS ASSOCIADOS AO FENÔMENO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86" w:lineRule="exact"/>
        <w:rPr>
          <w:sz w:val="20"/>
          <w:szCs w:val="20"/>
        </w:rPr>
      </w:pPr>
    </w:p>
    <w:p w:rsidR="00D24E61" w:rsidRPr="00D509F1" w:rsidRDefault="00D24E61" w:rsidP="00D509F1">
      <w:pPr>
        <w:spacing w:line="429" w:lineRule="auto"/>
        <w:ind w:firstLine="850"/>
        <w:jc w:val="both"/>
        <w:rPr>
          <w:sz w:val="20"/>
          <w:szCs w:val="20"/>
        </w:rPr>
        <w:sectPr w:rsidR="00D24E61" w:rsidRPr="00D509F1">
          <w:pgSz w:w="11900" w:h="16838"/>
          <w:pgMar w:top="759" w:right="1120" w:bottom="1022" w:left="1140" w:header="0" w:footer="0" w:gutter="0"/>
          <w:cols w:space="720" w:equalWidth="0">
            <w:col w:w="9640"/>
          </w:cols>
        </w:sectPr>
      </w:pPr>
      <w:r w:rsidRPr="00771368">
        <w:rPr>
          <w:sz w:val="24"/>
          <w:szCs w:val="24"/>
        </w:rPr>
        <w:t>Para compreender o processo que levou a passividade da mulher no processo de parto, necessário se faz vislumbrar o contexto social e político que serviu de base para tais mudanças.</w:t>
      </w:r>
    </w:p>
    <w:p w:rsidR="00D24E61" w:rsidRPr="00771368" w:rsidRDefault="00D24E61" w:rsidP="00D509F1">
      <w:pPr>
        <w:spacing w:line="469" w:lineRule="auto"/>
        <w:jc w:val="both"/>
        <w:rPr>
          <w:sz w:val="20"/>
          <w:szCs w:val="20"/>
        </w:rPr>
      </w:pPr>
      <w:r w:rsidRPr="00771368">
        <w:rPr>
          <w:sz w:val="23"/>
          <w:szCs w:val="23"/>
        </w:rPr>
        <w:t xml:space="preserve"> Sabe-se que o século XX foi marcado por uma grande euforia quanto às possibilidades inerentes ao avanço do processo industrial. Neste sentido, os mais diversos setores da sociedade foram influenciados por essa nova conjuntura e no campo da saúde não foi diferente: deu-se ênfase ao componente técnico e a racionalidade mecânica, com foco na produtividade.</w:t>
      </w:r>
      <w:r w:rsidRPr="00771368">
        <w:rPr>
          <w:sz w:val="30"/>
          <w:szCs w:val="30"/>
          <w:vertAlign w:val="superscript"/>
        </w:rPr>
        <w:t>18</w:t>
      </w:r>
    </w:p>
    <w:p w:rsidR="00D24E61" w:rsidRPr="00771368" w:rsidRDefault="00D24E61">
      <w:pPr>
        <w:spacing w:line="10" w:lineRule="exact"/>
        <w:rPr>
          <w:sz w:val="20"/>
          <w:szCs w:val="20"/>
        </w:rPr>
      </w:pPr>
    </w:p>
    <w:p w:rsidR="00D24E61" w:rsidRPr="00771368" w:rsidRDefault="00D24E61">
      <w:pPr>
        <w:spacing w:line="462" w:lineRule="auto"/>
        <w:ind w:firstLine="850"/>
        <w:jc w:val="both"/>
        <w:rPr>
          <w:sz w:val="20"/>
          <w:szCs w:val="20"/>
        </w:rPr>
      </w:pPr>
      <w:r w:rsidRPr="00771368">
        <w:rPr>
          <w:sz w:val="24"/>
          <w:szCs w:val="24"/>
        </w:rPr>
        <w:t>Sob a lógica capitalista imperante, a organização da assistência em saúde sofreu considerável influência, fato que resultou em um trabalho coletivo parcelado e exercido por profissionais da saúde, bem como por outras categorias de trabalhadores que se fazem necessárias no ambiente institucional. Neste sentido, o médico figurou-se como um gerenciador - traços da gerência taylorista na organização do trabalho em saúde - e apesar dos demais profissionais apresentarem relativa autonomia para o desempenho de suas atividades, sofreram a interferência do médico, e consequentemente, houve o estabelecimento de uma relação de subordinação, em virtude do controle quanto ao processo assistencial.</w:t>
      </w:r>
      <w:r w:rsidRPr="00771368">
        <w:rPr>
          <w:sz w:val="31"/>
          <w:szCs w:val="31"/>
          <w:vertAlign w:val="superscript"/>
        </w:rPr>
        <w:t>19</w:t>
      </w:r>
    </w:p>
    <w:p w:rsidR="00D24E61" w:rsidRPr="00771368" w:rsidRDefault="00D24E61">
      <w:pPr>
        <w:spacing w:line="12" w:lineRule="exact"/>
        <w:rPr>
          <w:sz w:val="20"/>
          <w:szCs w:val="20"/>
        </w:rPr>
      </w:pPr>
    </w:p>
    <w:p w:rsidR="00D24E61" w:rsidRPr="00771368" w:rsidRDefault="00D24E61">
      <w:pPr>
        <w:spacing w:line="460" w:lineRule="auto"/>
        <w:ind w:firstLine="850"/>
        <w:jc w:val="both"/>
        <w:rPr>
          <w:sz w:val="20"/>
          <w:szCs w:val="20"/>
        </w:rPr>
      </w:pPr>
      <w:r w:rsidRPr="00771368">
        <w:rPr>
          <w:sz w:val="24"/>
          <w:szCs w:val="24"/>
        </w:rPr>
        <w:t>Ademais, o avanço dos conhecimentos no âmbito da saúde trouxe consigo o surgimento de grandiosas instituições – hospitais - constituídas por setores especializados, nos quais se desenvolviam intervenções com elevado nível de complexidade. Sob a égide do paradigma positivista, todo o conhecimento produzido só foi considerado válido se passível de verificação empírica e fundamentado no método científico. No ambiente hospitalar, os médicos surgiram como verdadeiros senhores do conhecimento científico e logo práticas não institucionalizadas passaram a ser perseguidas.</w:t>
      </w:r>
      <w:r w:rsidRPr="00771368">
        <w:rPr>
          <w:sz w:val="31"/>
          <w:szCs w:val="31"/>
          <w:vertAlign w:val="superscript"/>
        </w:rPr>
        <w:t>19</w:t>
      </w:r>
    </w:p>
    <w:p w:rsidR="00D24E61" w:rsidRPr="00771368" w:rsidRDefault="00D24E61">
      <w:pPr>
        <w:spacing w:line="8" w:lineRule="exact"/>
        <w:rPr>
          <w:sz w:val="20"/>
          <w:szCs w:val="20"/>
        </w:rPr>
      </w:pPr>
    </w:p>
    <w:p w:rsidR="00D24E61" w:rsidRPr="00771368" w:rsidRDefault="00D24E61">
      <w:pPr>
        <w:spacing w:line="469" w:lineRule="auto"/>
        <w:ind w:firstLine="850"/>
        <w:jc w:val="both"/>
        <w:rPr>
          <w:sz w:val="20"/>
          <w:szCs w:val="20"/>
        </w:rPr>
      </w:pPr>
      <w:r w:rsidRPr="00771368">
        <w:rPr>
          <w:sz w:val="24"/>
          <w:szCs w:val="24"/>
        </w:rPr>
        <w:t>Um exemplo de perseguição se deu em relação às parteiras. Outrora responsáveis pelo ato de partejar, além de cuidados com a mulher e seu filho, tiveram suas atividades questionadas pelos homens da ciência, uma vez que suas práticas fundamentavam-se em um conhecimento popular, sem base científica. Os médicos, em uma verdadeira luta de poder contra elas, passaram a propagar a ideia de que mulheres submetidas a este tipo de atendimento estavam expondo-se a pessoas sem conhecimento e consequentemente colocando em risco sua saúde. Logo, difundiu-se que as</w:t>
      </w:r>
    </w:p>
    <w:p w:rsidR="00D24E61" w:rsidRPr="00771368" w:rsidRDefault="00D24E61">
      <w:pPr>
        <w:sectPr w:rsidR="00D24E61" w:rsidRPr="00771368">
          <w:pgSz w:w="11900" w:h="16838"/>
          <w:pgMar w:top="759" w:right="1120" w:bottom="1440" w:left="1140" w:header="0" w:footer="0" w:gutter="0"/>
          <w:cols w:space="720" w:equalWidth="0">
            <w:col w:w="9640"/>
          </w:cols>
        </w:sectPr>
      </w:pPr>
    </w:p>
    <w:p w:rsidR="00D24E61" w:rsidRPr="00771368" w:rsidRDefault="00D24E61" w:rsidP="00D509F1">
      <w:pPr>
        <w:spacing w:line="442" w:lineRule="auto"/>
        <w:jc w:val="both"/>
        <w:rPr>
          <w:sz w:val="20"/>
          <w:szCs w:val="20"/>
        </w:rPr>
      </w:pPr>
      <w:r w:rsidRPr="00771368">
        <w:rPr>
          <w:sz w:val="23"/>
          <w:szCs w:val="23"/>
        </w:rPr>
        <w:t>atividades das parteiras estavam associadas a altos índices de mortalidade e apresentavam efeitos nocivos para a sociedade – uma visão crítica da história mostraria o contrário.</w:t>
      </w:r>
      <w:r w:rsidRPr="00771368">
        <w:rPr>
          <w:sz w:val="30"/>
          <w:szCs w:val="30"/>
          <w:vertAlign w:val="superscript"/>
        </w:rPr>
        <w:t>20-21</w:t>
      </w:r>
    </w:p>
    <w:p w:rsidR="00D24E61" w:rsidRPr="00771368" w:rsidRDefault="00D24E61">
      <w:pPr>
        <w:spacing w:line="37" w:lineRule="exact"/>
        <w:rPr>
          <w:sz w:val="20"/>
          <w:szCs w:val="20"/>
        </w:rPr>
      </w:pPr>
    </w:p>
    <w:p w:rsidR="00D24E61" w:rsidRPr="00771368" w:rsidRDefault="00D24E61">
      <w:pPr>
        <w:spacing w:line="442" w:lineRule="auto"/>
        <w:ind w:firstLine="850"/>
        <w:jc w:val="both"/>
        <w:rPr>
          <w:sz w:val="20"/>
          <w:szCs w:val="20"/>
        </w:rPr>
      </w:pPr>
      <w:r w:rsidRPr="00771368">
        <w:rPr>
          <w:sz w:val="24"/>
          <w:szCs w:val="24"/>
        </w:rPr>
        <w:t>Neste contexto de crescente medicalização da saúde, entendido como um processor secular empreendida pelo Estado e fundamentado principalmente por reformas liberais do século XIX, período em que concepções caritativas e religiosas anteriormente presentes caíram em detrimento para dar lugar a figura do médico e do hospital, é que se estrutura um novo espaço de nascimento.</w:t>
      </w:r>
      <w:r w:rsidRPr="00771368">
        <w:rPr>
          <w:sz w:val="31"/>
          <w:szCs w:val="31"/>
          <w:vertAlign w:val="superscript"/>
        </w:rPr>
        <w:t>21</w:t>
      </w:r>
    </w:p>
    <w:p w:rsidR="00D24E61" w:rsidRPr="00771368" w:rsidRDefault="00D24E61">
      <w:pPr>
        <w:spacing w:line="28" w:lineRule="exact"/>
        <w:rPr>
          <w:sz w:val="20"/>
          <w:szCs w:val="20"/>
        </w:rPr>
      </w:pPr>
    </w:p>
    <w:p w:rsidR="00D24E61" w:rsidRPr="00771368" w:rsidRDefault="00D24E61">
      <w:pPr>
        <w:spacing w:line="470" w:lineRule="auto"/>
        <w:ind w:firstLine="850"/>
        <w:jc w:val="both"/>
        <w:rPr>
          <w:sz w:val="20"/>
          <w:szCs w:val="20"/>
        </w:rPr>
      </w:pPr>
      <w:r w:rsidRPr="00771368">
        <w:rPr>
          <w:sz w:val="24"/>
          <w:szCs w:val="24"/>
        </w:rPr>
        <w:t>Não se pode negar que avanços no campo da ciência foram importantes para a obtenção de conquistas como a redução da mortalidade materna e neonatal. Contudo, as consequências da institucionalização do parto, o uso abusivo de tecnologias e procedimentos desnecessários tem suscitado diversos questionamentos sobre o assunto – os benefícios que justificaram as mudanças ocorridas durante o nascimento começam a apresentar menor relevância frente aos danos que se tem produzido.</w:t>
      </w:r>
    </w:p>
    <w:p w:rsidR="00D24E61" w:rsidRPr="00771368" w:rsidRDefault="00D24E61">
      <w:pPr>
        <w:spacing w:line="200" w:lineRule="exact"/>
        <w:rPr>
          <w:sz w:val="20"/>
          <w:szCs w:val="20"/>
        </w:rPr>
      </w:pPr>
    </w:p>
    <w:p w:rsidR="00D24E61" w:rsidRPr="00771368" w:rsidRDefault="00D24E61">
      <w:pPr>
        <w:spacing w:line="364" w:lineRule="exact"/>
        <w:rPr>
          <w:sz w:val="20"/>
          <w:szCs w:val="20"/>
        </w:rPr>
      </w:pPr>
    </w:p>
    <w:p w:rsidR="00D24E61" w:rsidRPr="00771368" w:rsidRDefault="00D24E61">
      <w:pPr>
        <w:rPr>
          <w:sz w:val="20"/>
          <w:szCs w:val="20"/>
        </w:rPr>
      </w:pPr>
      <w:r w:rsidRPr="00771368">
        <w:rPr>
          <w:sz w:val="24"/>
          <w:szCs w:val="24"/>
        </w:rPr>
        <w:t>ASPECTOS INDIVIDUAIS – CRENÇAS E VALORES RELATIVOS AO PARTO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87" w:lineRule="exact"/>
        <w:rPr>
          <w:sz w:val="20"/>
          <w:szCs w:val="20"/>
        </w:rPr>
      </w:pPr>
    </w:p>
    <w:p w:rsidR="00D24E61" w:rsidRPr="00771368" w:rsidRDefault="00D24E61">
      <w:pPr>
        <w:spacing w:line="467" w:lineRule="auto"/>
        <w:ind w:right="20" w:firstLine="850"/>
        <w:jc w:val="both"/>
        <w:rPr>
          <w:sz w:val="20"/>
          <w:szCs w:val="20"/>
        </w:rPr>
      </w:pPr>
      <w:r w:rsidRPr="00771368">
        <w:rPr>
          <w:sz w:val="24"/>
          <w:szCs w:val="24"/>
        </w:rPr>
        <w:t>Para consolidar esta nova forma de parir, e considerando o corpo feminino como uma máquina defeituosa, empreendeu-se sob as mulheres a concepção de que elas não eram capazes de ter seus filhos de forma natural – fisiológica. Uma crença utilizada para justificar a intervenção exacerbada, pois se afirmava que todos os procedimentos realizados visavam garantir a segurança do parto e nascimento.</w:t>
      </w:r>
    </w:p>
    <w:p w:rsidR="00D24E61" w:rsidRPr="00771368" w:rsidRDefault="00D24E61">
      <w:pPr>
        <w:spacing w:line="76" w:lineRule="exact"/>
        <w:rPr>
          <w:sz w:val="20"/>
          <w:szCs w:val="20"/>
        </w:rPr>
      </w:pPr>
    </w:p>
    <w:p w:rsidR="00D24E61" w:rsidRPr="00771368" w:rsidRDefault="00D24E61">
      <w:pPr>
        <w:spacing w:line="442" w:lineRule="auto"/>
        <w:ind w:firstLine="850"/>
        <w:jc w:val="both"/>
        <w:rPr>
          <w:sz w:val="20"/>
          <w:szCs w:val="20"/>
        </w:rPr>
      </w:pPr>
      <w:r w:rsidRPr="00771368">
        <w:rPr>
          <w:sz w:val="24"/>
          <w:szCs w:val="24"/>
        </w:rPr>
        <w:t>Assim, as mulheres passaram a suportar o trabalho de parto, pautado pelo medo, sofrimento, culpa e ansiedade. A obstetrícia moderna estabeleceu ainda um comportamento ideal que deveria ser apresentado durante o processo parturitivo pelas mulheres, caracterizado pela passividade, obediência e resignação.</w:t>
      </w:r>
      <w:r w:rsidRPr="00771368">
        <w:rPr>
          <w:sz w:val="31"/>
          <w:szCs w:val="31"/>
          <w:vertAlign w:val="superscript"/>
        </w:rPr>
        <w:t>22</w:t>
      </w:r>
    </w:p>
    <w:p w:rsidR="00D24E61" w:rsidRPr="00771368" w:rsidRDefault="00D24E61">
      <w:pPr>
        <w:spacing w:line="27" w:lineRule="exact"/>
        <w:rPr>
          <w:sz w:val="20"/>
          <w:szCs w:val="20"/>
        </w:rPr>
      </w:pPr>
    </w:p>
    <w:p w:rsidR="00D24E61" w:rsidRPr="00771368" w:rsidRDefault="00D24E61">
      <w:pPr>
        <w:spacing w:line="429" w:lineRule="auto"/>
        <w:ind w:firstLine="850"/>
        <w:jc w:val="both"/>
        <w:rPr>
          <w:sz w:val="20"/>
          <w:szCs w:val="20"/>
        </w:rPr>
      </w:pPr>
      <w:r w:rsidRPr="00771368">
        <w:rPr>
          <w:sz w:val="24"/>
          <w:szCs w:val="24"/>
        </w:rPr>
        <w:t>Neste cenário, as mulheres foram conduzidas a tolerar o uso do fórceps, de pinças, bisturis, agulhas, sem poder queixar-se. Um sofrimento em silêncio, justificado pela sua incapacidade, e</w:t>
      </w:r>
    </w:p>
    <w:p w:rsidR="00D24E61" w:rsidRPr="00771368" w:rsidRDefault="00D24E61">
      <w:pPr>
        <w:sectPr w:rsidR="00D24E61" w:rsidRPr="00771368">
          <w:pgSz w:w="11900" w:h="16838"/>
          <w:pgMar w:top="759" w:right="1120" w:bottom="1022" w:left="1140" w:header="0" w:footer="0" w:gutter="0"/>
          <w:cols w:space="720" w:equalWidth="0">
            <w:col w:w="9640"/>
          </w:cols>
        </w:sectPr>
      </w:pPr>
    </w:p>
    <w:p w:rsidR="00D24E61" w:rsidRPr="00771368" w:rsidRDefault="00D24E61" w:rsidP="00D509F1">
      <w:pPr>
        <w:spacing w:line="459" w:lineRule="auto"/>
        <w:jc w:val="both"/>
        <w:rPr>
          <w:sz w:val="20"/>
          <w:szCs w:val="20"/>
        </w:rPr>
      </w:pPr>
      <w:r w:rsidRPr="00771368">
        <w:rPr>
          <w:sz w:val="23"/>
          <w:szCs w:val="23"/>
        </w:rPr>
        <w:t>necessário ao nascimento de seu filho. E se, por ventura, ocorresse algum questionamento, suas queixas eram consideradas infundadas, pois na concepção médica nenhum mal estava sendo praticado, ao contrário , era um bem que se fazia para preservar a vida da mulher e de seu filho.</w:t>
      </w:r>
      <w:r w:rsidRPr="00771368">
        <w:rPr>
          <w:sz w:val="30"/>
          <w:szCs w:val="30"/>
          <w:vertAlign w:val="superscript"/>
        </w:rPr>
        <w:t>21</w:t>
      </w:r>
    </w:p>
    <w:p w:rsidR="00D24E61" w:rsidRPr="00771368" w:rsidRDefault="00D24E61">
      <w:pPr>
        <w:spacing w:line="22" w:lineRule="exact"/>
        <w:rPr>
          <w:sz w:val="20"/>
          <w:szCs w:val="20"/>
        </w:rPr>
      </w:pPr>
    </w:p>
    <w:p w:rsidR="00D24E61" w:rsidRPr="00771368" w:rsidRDefault="00D24E61">
      <w:pPr>
        <w:spacing w:line="467" w:lineRule="auto"/>
        <w:ind w:firstLine="850"/>
        <w:jc w:val="both"/>
        <w:rPr>
          <w:sz w:val="20"/>
          <w:szCs w:val="20"/>
        </w:rPr>
      </w:pPr>
      <w:r w:rsidRPr="00771368">
        <w:rPr>
          <w:sz w:val="24"/>
          <w:szCs w:val="24"/>
        </w:rPr>
        <w:t>Sobre o assunto, ressaltasse a imagem da mulher ‘escandalosa’. Um estudo acerca da violência institucional sob a ótica das usuárias apontou que na concepção destas, as mulheres que fazem escândalos são mal atendidas na maternidade. A escandalosa é entendida como “aquela que não suporta a dor do parto, que é fraca ou descontrolada [...] que briga pelo que considera ser um direito seu: o de uma assistência que atente para suas necessidades, ainda que elas paguem o preço”.</w:t>
      </w:r>
    </w:p>
    <w:p w:rsidR="00D24E61" w:rsidRPr="00771368" w:rsidRDefault="00D24E61">
      <w:pPr>
        <w:spacing w:line="75" w:lineRule="exact"/>
        <w:rPr>
          <w:sz w:val="20"/>
          <w:szCs w:val="20"/>
        </w:rPr>
      </w:pPr>
    </w:p>
    <w:p w:rsidR="00D24E61" w:rsidRPr="00771368" w:rsidRDefault="00D24E61">
      <w:pPr>
        <w:spacing w:line="383" w:lineRule="auto"/>
        <w:ind w:right="20"/>
        <w:jc w:val="both"/>
        <w:rPr>
          <w:sz w:val="20"/>
          <w:szCs w:val="20"/>
        </w:rPr>
      </w:pPr>
      <w:r w:rsidRPr="00771368">
        <w:rPr>
          <w:sz w:val="24"/>
          <w:szCs w:val="24"/>
        </w:rPr>
        <w:t>Deste modo, frequentemente utiliza-se a estratégia de calar-se ante o sofrimento como meio de esquivar-se da violência institucional.</w:t>
      </w:r>
      <w:r w:rsidRPr="00771368">
        <w:rPr>
          <w:sz w:val="31"/>
          <w:szCs w:val="31"/>
          <w:vertAlign w:val="superscript"/>
        </w:rPr>
        <w:t>23:85-86</w:t>
      </w:r>
    </w:p>
    <w:p w:rsidR="00D24E61" w:rsidRPr="00771368" w:rsidRDefault="00D24E61">
      <w:pPr>
        <w:spacing w:line="95" w:lineRule="exact"/>
        <w:rPr>
          <w:sz w:val="20"/>
          <w:szCs w:val="20"/>
        </w:rPr>
      </w:pPr>
    </w:p>
    <w:p w:rsidR="00D24E61" w:rsidRPr="00771368" w:rsidRDefault="00D24E61">
      <w:pPr>
        <w:spacing w:line="456" w:lineRule="auto"/>
        <w:ind w:firstLine="850"/>
        <w:jc w:val="both"/>
        <w:rPr>
          <w:sz w:val="20"/>
          <w:szCs w:val="20"/>
        </w:rPr>
      </w:pPr>
      <w:r w:rsidRPr="00771368">
        <w:rPr>
          <w:sz w:val="24"/>
          <w:szCs w:val="24"/>
        </w:rPr>
        <w:t>A submissão feminina imposta e o novo contexto instituído abriu espaço para a ocorrência da violência institucional, praticada justamente pelos responsáveis em cuidar da mulher. Nesta esfera, ocorre a banalização do seu sofrimento, pautado pela concepção de que este é o preço a ser pago pelo prazer sexual ou inerente ao processo biológico. Ademais, o parto hospitalar levanta a questão da dupla relação de poder que se estabelece sobre a mulher: enquanto paciente e como indivíduos do sexo feminino.</w:t>
      </w:r>
      <w:r w:rsidRPr="00771368">
        <w:rPr>
          <w:sz w:val="31"/>
          <w:szCs w:val="31"/>
          <w:vertAlign w:val="superscript"/>
        </w:rPr>
        <w:t>23</w:t>
      </w:r>
    </w:p>
    <w:p w:rsidR="00D24E61" w:rsidRPr="00771368" w:rsidRDefault="00D24E61">
      <w:pPr>
        <w:spacing w:line="14" w:lineRule="exact"/>
        <w:rPr>
          <w:sz w:val="20"/>
          <w:szCs w:val="20"/>
        </w:rPr>
      </w:pPr>
    </w:p>
    <w:p w:rsidR="00D24E61" w:rsidRPr="00771368" w:rsidRDefault="00D24E61" w:rsidP="00D509F1">
      <w:pPr>
        <w:spacing w:line="456" w:lineRule="auto"/>
        <w:ind w:firstLine="850"/>
        <w:jc w:val="both"/>
        <w:rPr>
          <w:sz w:val="20"/>
          <w:szCs w:val="20"/>
        </w:rPr>
      </w:pPr>
      <w:r w:rsidRPr="00771368">
        <w:rPr>
          <w:sz w:val="24"/>
          <w:szCs w:val="24"/>
        </w:rPr>
        <w:t>Relativo ao poder, Foucault pontua que o controle empreendido sobre a sociedade não se efetua apenas no campo ideológico. Ao contrário, tem-se início no corpo, pois foi no campo biológico que a capitalismo efetuou seus investimentos: “o corpo é uma realidade biopolítica. A medicina é uma estratégia biopolítica”. Sob esta ótica, percebe-se que para garantir sua hegemonia, a obstetrícia moderna cuidou de dominar primeiro o corpo, pautado pelo cientificismo, para depois dominar a consciência social e feminina.</w:t>
      </w:r>
      <w:r w:rsidRPr="00771368">
        <w:rPr>
          <w:sz w:val="31"/>
          <w:szCs w:val="31"/>
          <w:vertAlign w:val="superscript"/>
        </w:rPr>
        <w:t>24:80</w:t>
      </w:r>
    </w:p>
    <w:p w:rsidR="00D24E61" w:rsidRPr="00771368" w:rsidRDefault="00D24E61">
      <w:pPr>
        <w:spacing w:line="266" w:lineRule="exact"/>
        <w:rPr>
          <w:sz w:val="20"/>
          <w:szCs w:val="20"/>
        </w:rPr>
      </w:pPr>
    </w:p>
    <w:p w:rsidR="00D24E61" w:rsidRPr="00771368" w:rsidRDefault="00D24E61">
      <w:pPr>
        <w:rPr>
          <w:sz w:val="20"/>
          <w:szCs w:val="20"/>
        </w:rPr>
      </w:pPr>
      <w:r w:rsidRPr="00771368">
        <w:rPr>
          <w:sz w:val="24"/>
          <w:szCs w:val="24"/>
        </w:rPr>
        <w:t>POLÍTICAS PÚBLICAS VOLTADAS À SAÚDE DA MULHER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86" w:lineRule="exact"/>
        <w:rPr>
          <w:sz w:val="20"/>
          <w:szCs w:val="20"/>
        </w:rPr>
      </w:pPr>
    </w:p>
    <w:p w:rsidR="00D24E61" w:rsidRPr="00771368" w:rsidRDefault="00D24E61">
      <w:pPr>
        <w:spacing w:line="470" w:lineRule="auto"/>
        <w:ind w:firstLine="850"/>
        <w:jc w:val="both"/>
        <w:rPr>
          <w:sz w:val="20"/>
          <w:szCs w:val="20"/>
        </w:rPr>
      </w:pPr>
      <w:r w:rsidRPr="00771368">
        <w:rPr>
          <w:sz w:val="24"/>
          <w:szCs w:val="24"/>
        </w:rPr>
        <w:t>Em face de todas as mudanças que ocorreram no campo obstétrico e como forma de reação ao modelo instituído com a hospitalização da mulher por ocasião do parto e nascimento, emergiu, nos últimos anos, um movimento com vista à humanização deste momento. Em sua essência, trouxe uma série de discussões, as quais colocaram em evidência práticas e rotinas institucionais concebidas cientificamente como desnecessárias e contribuintes para transformar uma ocasião que deveria trazer alegria e satisfação em algo amedrontador.</w:t>
      </w:r>
    </w:p>
    <w:p w:rsidR="00D24E61" w:rsidRPr="00771368" w:rsidRDefault="00D24E61">
      <w:pPr>
        <w:spacing w:line="70" w:lineRule="exact"/>
        <w:rPr>
          <w:sz w:val="20"/>
          <w:szCs w:val="20"/>
        </w:rPr>
      </w:pPr>
    </w:p>
    <w:p w:rsidR="00D24E61" w:rsidRPr="00771368" w:rsidRDefault="00D24E61">
      <w:pPr>
        <w:spacing w:line="428" w:lineRule="auto"/>
        <w:ind w:firstLine="850"/>
        <w:jc w:val="both"/>
        <w:rPr>
          <w:sz w:val="20"/>
          <w:szCs w:val="20"/>
        </w:rPr>
      </w:pPr>
      <w:r w:rsidRPr="00771368">
        <w:rPr>
          <w:sz w:val="24"/>
          <w:szCs w:val="24"/>
        </w:rPr>
        <w:t>Dessa forma, o foco passa a ser uma assistência humanizada e holística, em que o indivíduo é visto como sujeito e não um simples objeto condicionado a obedecer passivamente ordens originárias daqueles que detém o poder do saber.</w:t>
      </w:r>
      <w:r w:rsidRPr="00771368">
        <w:rPr>
          <w:sz w:val="31"/>
          <w:szCs w:val="31"/>
          <w:vertAlign w:val="superscript"/>
        </w:rPr>
        <w:t>25</w:t>
      </w:r>
      <w:r w:rsidRPr="00771368">
        <w:rPr>
          <w:sz w:val="24"/>
          <w:szCs w:val="24"/>
        </w:rPr>
        <w:t xml:space="preserve"> Sobre este assunto, o enfermeiro é reconhecido pelo Ministério da Saúde e demais entidades governamentais como um profissional com formação holística, capaz de atuar na perspectiva da humanização nos diferentes espaços do nascimento.</w:t>
      </w:r>
      <w:r w:rsidRPr="00771368">
        <w:rPr>
          <w:sz w:val="31"/>
          <w:szCs w:val="31"/>
          <w:vertAlign w:val="superscript"/>
        </w:rPr>
        <w:t>25</w:t>
      </w:r>
      <w:r w:rsidRPr="00771368">
        <w:rPr>
          <w:sz w:val="24"/>
          <w:szCs w:val="24"/>
        </w:rPr>
        <w:t xml:space="preserve"> Deste modo, a humanização tem contribuído para a valorização da enfermagem obstétrica, a qual passa a assumir um papel contrário ao modelo intervencionista, medicalizado e institucional ora presente.</w:t>
      </w:r>
      <w:r w:rsidRPr="00771368">
        <w:rPr>
          <w:sz w:val="31"/>
          <w:szCs w:val="31"/>
          <w:vertAlign w:val="superscript"/>
        </w:rPr>
        <w:t>26</w:t>
      </w:r>
    </w:p>
    <w:p w:rsidR="00D24E61" w:rsidRPr="00771368" w:rsidRDefault="00D24E61">
      <w:pPr>
        <w:spacing w:line="49" w:lineRule="exact"/>
        <w:rPr>
          <w:sz w:val="20"/>
          <w:szCs w:val="20"/>
        </w:rPr>
      </w:pPr>
    </w:p>
    <w:p w:rsidR="00D24E61" w:rsidRPr="00771368" w:rsidRDefault="00D24E61">
      <w:pPr>
        <w:spacing w:line="451" w:lineRule="auto"/>
        <w:ind w:right="20" w:firstLine="850"/>
        <w:jc w:val="both"/>
        <w:rPr>
          <w:sz w:val="20"/>
          <w:szCs w:val="20"/>
        </w:rPr>
      </w:pPr>
      <w:r w:rsidRPr="00771368">
        <w:rPr>
          <w:sz w:val="24"/>
          <w:szCs w:val="24"/>
        </w:rPr>
        <w:t>Além disso, entidades como a Organização Mundial de Saúde, tem incentivado a formação do enfermeiro obstetra como forma de promover modificações no atual contexto dos serviços obstétricos. No Brasil, o Ministério da Saúde, investiu em cursos de especializações, na perspectiva de que as atividades desenvolvidas por estes profissionais pudessem colaborar, por exemplo, com a redução das taxas de cirurgias cesarianas.</w:t>
      </w:r>
      <w:r w:rsidRPr="00771368">
        <w:rPr>
          <w:sz w:val="31"/>
          <w:szCs w:val="31"/>
          <w:vertAlign w:val="superscript"/>
        </w:rPr>
        <w:t>27</w:t>
      </w:r>
    </w:p>
    <w:p w:rsidR="00D24E61" w:rsidRPr="00771368" w:rsidRDefault="00D24E61">
      <w:pPr>
        <w:spacing w:line="16" w:lineRule="exact"/>
        <w:rPr>
          <w:sz w:val="20"/>
          <w:szCs w:val="20"/>
        </w:rPr>
      </w:pPr>
    </w:p>
    <w:p w:rsidR="00D24E61" w:rsidRPr="00771368" w:rsidRDefault="00D24E61" w:rsidP="00D509F1">
      <w:pPr>
        <w:spacing w:line="463" w:lineRule="auto"/>
        <w:ind w:right="20" w:firstLine="850"/>
        <w:jc w:val="both"/>
        <w:rPr>
          <w:sz w:val="20"/>
          <w:szCs w:val="20"/>
        </w:rPr>
      </w:pPr>
      <w:r w:rsidRPr="00771368">
        <w:rPr>
          <w:sz w:val="24"/>
          <w:szCs w:val="24"/>
        </w:rPr>
        <w:t>Portanto, o enfermeiro obstetra figura-se como um profissional comprometido e qualificado, capaz de resgatar o parto normal como um evento fisiológico, com foco na dignidade, segurança e autonomia da mulher. Além disso, reconhece os aspectos sociais e culturais inerentes ao ciclo reprodutivo e não realiza intervenções reconhecidas como desnecessárias. Neste sentido,</w:t>
      </w:r>
      <w:r w:rsidR="00D509F1">
        <w:rPr>
          <w:sz w:val="20"/>
          <w:szCs w:val="20"/>
        </w:rPr>
        <w:t xml:space="preserve"> </w:t>
      </w:r>
      <w:r w:rsidRPr="00771368">
        <w:rPr>
          <w:sz w:val="23"/>
          <w:szCs w:val="23"/>
        </w:rPr>
        <w:t>sua inserção marca uma mudança paradigmática no cuidado à mulher, recém-nascido e seus familiares.</w:t>
      </w:r>
      <w:r w:rsidRPr="00771368">
        <w:rPr>
          <w:sz w:val="30"/>
          <w:szCs w:val="30"/>
          <w:vertAlign w:val="superscript"/>
        </w:rPr>
        <w:t>28</w:t>
      </w:r>
    </w:p>
    <w:p w:rsidR="00D24E61" w:rsidRPr="00771368" w:rsidRDefault="00D24E61">
      <w:pPr>
        <w:spacing w:line="37" w:lineRule="exact"/>
        <w:rPr>
          <w:sz w:val="20"/>
          <w:szCs w:val="20"/>
        </w:rPr>
      </w:pPr>
    </w:p>
    <w:p w:rsidR="00D24E61" w:rsidRPr="00771368" w:rsidRDefault="00D24E61">
      <w:pPr>
        <w:spacing w:line="454" w:lineRule="auto"/>
        <w:ind w:firstLine="850"/>
        <w:jc w:val="both"/>
        <w:rPr>
          <w:sz w:val="20"/>
          <w:szCs w:val="20"/>
        </w:rPr>
      </w:pPr>
      <w:r w:rsidRPr="00771368">
        <w:rPr>
          <w:sz w:val="24"/>
          <w:szCs w:val="24"/>
        </w:rPr>
        <w:t>Em consonância com este movimento, o cenário brasileiro, desde a década de 1980, experienciou discussões sobre a situação feminina e sua inserção nos serviços de saúde. Com isso, intensificou-se o destaque dado por órgãos governamentais e não governamentais à questão da mortalidade materna no período gravídico e puerperal.</w:t>
      </w:r>
      <w:r w:rsidRPr="00771368">
        <w:rPr>
          <w:sz w:val="31"/>
          <w:szCs w:val="31"/>
          <w:vertAlign w:val="superscript"/>
        </w:rPr>
        <w:t>29</w:t>
      </w:r>
      <w:r w:rsidRPr="00771368">
        <w:rPr>
          <w:sz w:val="24"/>
          <w:szCs w:val="24"/>
        </w:rPr>
        <w:t xml:space="preserve"> Isto favoreceu o desenvolvimento de uma série de iniciativas voltadas à saúde materna: o Projeto desenvolvido por Galba de Araújo; A criação de Centros de Partos Normais no âmbito do Sistema Único de Saúde; o Programa de Atenção Integral a Saúde da Mulher (PAISM), o Projeto Maternidade Segura, o Programa de Humanização do Pré-natal e Nascimento e mais recentemente a Rede Cegonha.</w:t>
      </w:r>
    </w:p>
    <w:p w:rsidR="00D24E61" w:rsidRPr="00771368" w:rsidRDefault="00D24E61">
      <w:pPr>
        <w:spacing w:line="89" w:lineRule="exact"/>
        <w:rPr>
          <w:sz w:val="20"/>
          <w:szCs w:val="20"/>
        </w:rPr>
      </w:pPr>
    </w:p>
    <w:p w:rsidR="00D24E61" w:rsidRPr="00771368" w:rsidRDefault="00D24E61">
      <w:pPr>
        <w:spacing w:line="470" w:lineRule="auto"/>
        <w:ind w:firstLine="850"/>
        <w:jc w:val="both"/>
        <w:rPr>
          <w:sz w:val="20"/>
          <w:szCs w:val="20"/>
        </w:rPr>
      </w:pPr>
      <w:r w:rsidRPr="00771368">
        <w:rPr>
          <w:sz w:val="24"/>
          <w:szCs w:val="24"/>
        </w:rPr>
        <w:t>De modo geral, o caminhar destas políticas apontam para o resgaste da autonomia feminina enquanto ser humano e mulher. Busca-se, talvez, diminuir a dívida histórica que a sociedade apresenta frente às incoerências que foram empreendidas no decorrer do tempo. Contudo, apesar das várias iniciativas, percebe-se que há um descompasso entre o discurso das políticas públicas e o que de fato impera na prática. O desafio maior, seja talvez, alinhar estes dois campos, atualmente polarizados por uma série de questões históricas e culturais.</w:t>
      </w:r>
    </w:p>
    <w:p w:rsidR="00D24E61" w:rsidRPr="00771368" w:rsidRDefault="00D24E61">
      <w:pPr>
        <w:spacing w:line="200" w:lineRule="exact"/>
        <w:rPr>
          <w:sz w:val="20"/>
          <w:szCs w:val="20"/>
        </w:rPr>
      </w:pPr>
    </w:p>
    <w:p w:rsidR="00D24E61" w:rsidRPr="00771368" w:rsidRDefault="00D24E61">
      <w:pPr>
        <w:spacing w:line="369" w:lineRule="exact"/>
        <w:rPr>
          <w:sz w:val="20"/>
          <w:szCs w:val="20"/>
        </w:rPr>
      </w:pPr>
    </w:p>
    <w:p w:rsidR="00D24E61" w:rsidRPr="00771368" w:rsidRDefault="00D24E61">
      <w:pPr>
        <w:rPr>
          <w:sz w:val="20"/>
          <w:szCs w:val="20"/>
        </w:rPr>
      </w:pPr>
      <w:r w:rsidRPr="00771368">
        <w:rPr>
          <w:b/>
          <w:bCs/>
          <w:sz w:val="24"/>
          <w:szCs w:val="24"/>
        </w:rPr>
        <w:t>CONCLUSÕES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82" w:lineRule="exact"/>
        <w:rPr>
          <w:sz w:val="20"/>
          <w:szCs w:val="20"/>
        </w:rPr>
      </w:pPr>
    </w:p>
    <w:p w:rsidR="00D509F1" w:rsidRDefault="00D24E61" w:rsidP="00D509F1">
      <w:pPr>
        <w:spacing w:line="469" w:lineRule="auto"/>
        <w:ind w:firstLine="850"/>
        <w:jc w:val="both"/>
        <w:rPr>
          <w:sz w:val="24"/>
          <w:szCs w:val="24"/>
        </w:rPr>
      </w:pPr>
      <w:r w:rsidRPr="00771368">
        <w:rPr>
          <w:sz w:val="24"/>
          <w:szCs w:val="24"/>
        </w:rPr>
        <w:t>Diante do exposto, percebe-se que análise contextual acerca da participação feminina enquanto coadjuvante do processo parturitivo foi importante na medida em que possibilitou uma visão panorâmica da problemática, ressaltando aspectos históricos, culturais, sociais e econômicos que levaram a sua constituição. Recorreu-se frequentemente da volta ao passado, pois só o conhecendo profundamente é possível compreender a conjuntura atual, com vista à construção de um futuro que rompa com os erros outrora cometidos e promova a sua consequente libertação.</w:t>
      </w:r>
    </w:p>
    <w:p w:rsidR="00D24E61" w:rsidRPr="00771368" w:rsidRDefault="00D24E61" w:rsidP="00D509F1">
      <w:pPr>
        <w:spacing w:line="469" w:lineRule="auto"/>
        <w:ind w:firstLine="850"/>
        <w:jc w:val="both"/>
        <w:rPr>
          <w:sz w:val="20"/>
          <w:szCs w:val="20"/>
        </w:rPr>
      </w:pPr>
      <w:r w:rsidRPr="00771368">
        <w:rPr>
          <w:sz w:val="24"/>
          <w:szCs w:val="24"/>
        </w:rPr>
        <w:t xml:space="preserve"> Não se pretendeu com este ensaio encontrar possíveis responsáveis por mudanças que começam  a  apresentar  resultados  negativos  no  campo  obstétrico,  haja  vista  que,  conforme apresentado  na  análise,  uma  série  de  fatores  contribuíram  para  a  consolidação  do  modelo hegemônico  atual  –  positivismo,  capitalismo,  industrialização.  Contudo,  não  se  pode  negar  a influência que a medicina apresentou na construção deste cenário, evidentemente na tentativa de se adaptar  a  nova  ordem  mundial,  e  das  concepções  e  práticas  que  difundiram  para  garantir  a</w:t>
      </w:r>
      <w:r w:rsidR="00D509F1">
        <w:rPr>
          <w:sz w:val="20"/>
          <w:szCs w:val="20"/>
        </w:rPr>
        <w:t xml:space="preserve"> </w:t>
      </w:r>
      <w:r w:rsidRPr="00771368">
        <w:rPr>
          <w:sz w:val="24"/>
          <w:szCs w:val="24"/>
        </w:rPr>
        <w:t>sustentação do seu poder e autoridade frente aos demais sujeitos – pacientes e profissionais.</w:t>
      </w:r>
    </w:p>
    <w:p w:rsidR="00D24E61" w:rsidRPr="00771368" w:rsidRDefault="00D24E61">
      <w:pPr>
        <w:spacing w:line="471" w:lineRule="auto"/>
        <w:ind w:left="7" w:right="20" w:firstLine="850"/>
        <w:jc w:val="both"/>
        <w:rPr>
          <w:sz w:val="20"/>
          <w:szCs w:val="20"/>
        </w:rPr>
      </w:pPr>
      <w:r w:rsidRPr="00771368">
        <w:rPr>
          <w:sz w:val="24"/>
          <w:szCs w:val="24"/>
        </w:rPr>
        <w:t>O nascimento configura-se como um momento ímpar na vida de uma família e a dimensão deste acontecimento deve ser considerado em toda a sua plenitude. Faz-se necessário, desta forma, deixar de lado interesses próprios, lutas de classe, disputas de poder, que despersonalizaram o cenário do nascimento. Não se trata da existência de vilões ou heróis, mas de voltar um olhar ampliado para o atendimento obstétrico, em detrimento da necessidade de manutenção de hegemonias socialmente construídas que na atual conjuntura dão sinais de desgaste, pois já não atendem as necessidades da população.</w:t>
      </w:r>
    </w:p>
    <w:p w:rsidR="00D24E61" w:rsidRPr="00771368" w:rsidRDefault="00D24E61">
      <w:pPr>
        <w:spacing w:line="74" w:lineRule="exact"/>
        <w:rPr>
          <w:sz w:val="20"/>
          <w:szCs w:val="20"/>
        </w:rPr>
      </w:pPr>
    </w:p>
    <w:p w:rsidR="00D24E61" w:rsidRPr="00771368" w:rsidRDefault="00D24E61">
      <w:pPr>
        <w:spacing w:line="463" w:lineRule="auto"/>
        <w:ind w:left="7" w:firstLine="850"/>
        <w:jc w:val="both"/>
        <w:rPr>
          <w:sz w:val="20"/>
          <w:szCs w:val="20"/>
        </w:rPr>
      </w:pPr>
      <w:r w:rsidRPr="00771368">
        <w:rPr>
          <w:sz w:val="24"/>
          <w:szCs w:val="24"/>
        </w:rPr>
        <w:t>A obstetrícia necessita de profissionais que apoiem os benefícios promovidos por um atendimento multidisciplinar, holístico e integral. Romper com concepções e práticas inerentes ao nascimento que não deveriam ter espaço no âmbito da sociedade contemporânea é, antes de tudo, uma luta pela vida.</w:t>
      </w:r>
    </w:p>
    <w:p w:rsidR="00D24E61" w:rsidRPr="00771368" w:rsidRDefault="00D24E61">
      <w:pPr>
        <w:spacing w:line="200" w:lineRule="exact"/>
        <w:rPr>
          <w:sz w:val="20"/>
          <w:szCs w:val="20"/>
        </w:rPr>
      </w:pPr>
    </w:p>
    <w:p w:rsidR="00D24E61" w:rsidRPr="00771368" w:rsidRDefault="00D24E61">
      <w:pPr>
        <w:spacing w:line="378" w:lineRule="exact"/>
        <w:rPr>
          <w:sz w:val="20"/>
          <w:szCs w:val="20"/>
        </w:rPr>
      </w:pPr>
    </w:p>
    <w:p w:rsidR="00D24E61" w:rsidRPr="00771368" w:rsidRDefault="00D24E61">
      <w:pPr>
        <w:ind w:left="7"/>
        <w:rPr>
          <w:sz w:val="20"/>
          <w:szCs w:val="20"/>
        </w:rPr>
      </w:pPr>
      <w:r w:rsidRPr="00771368">
        <w:rPr>
          <w:b/>
          <w:bCs/>
          <w:sz w:val="24"/>
          <w:szCs w:val="24"/>
        </w:rPr>
        <w:t>REFERÊNCIAS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Pr="00D61223" w:rsidRDefault="00D24E61" w:rsidP="00FA0ABA">
      <w:pPr>
        <w:numPr>
          <w:ilvl w:val="0"/>
          <w:numId w:val="44"/>
        </w:numPr>
        <w:tabs>
          <w:tab w:val="left" w:pos="290"/>
        </w:tabs>
        <w:spacing w:line="343" w:lineRule="auto"/>
        <w:ind w:left="7" w:right="20" w:hanging="7"/>
        <w:jc w:val="both"/>
        <w:rPr>
          <w:color w:val="0000FF"/>
          <w:sz w:val="24"/>
          <w:szCs w:val="24"/>
          <w:lang w:val="en-US"/>
        </w:rPr>
      </w:pPr>
      <w:r w:rsidRPr="00771368">
        <w:rPr>
          <w:sz w:val="24"/>
          <w:szCs w:val="24"/>
        </w:rPr>
        <w:t xml:space="preserve">Gregório VRP, Padilha MICS. História do cuidado à mulher na maternidade Carmela Dutra, Florianópolis-SC, Brasil (1956-2001). </w:t>
      </w:r>
      <w:r w:rsidRPr="00D61223">
        <w:rPr>
          <w:sz w:val="24"/>
          <w:szCs w:val="24"/>
          <w:lang w:val="en-US"/>
        </w:rPr>
        <w:t xml:space="preserve">Rev bras enferm [Internet]. 2012 set/out [cited 2013 Jul 8]; 65(5):767-74. Available from: </w:t>
      </w:r>
      <w:hyperlink r:id="rId413">
        <w:r w:rsidRPr="00D61223">
          <w:rPr>
            <w:color w:val="0000FF"/>
            <w:sz w:val="24"/>
            <w:szCs w:val="24"/>
            <w:u w:val="single"/>
            <w:lang w:val="en-US"/>
          </w:rPr>
          <w:t>http://www.scielo.br/scielo.php?script=sci_arttext&amp;pid=S0034-</w:t>
        </w:r>
      </w:hyperlink>
      <w:hyperlink r:id="rId414">
        <w:r w:rsidRPr="00D61223">
          <w:rPr>
            <w:color w:val="0000FF"/>
            <w:sz w:val="24"/>
            <w:szCs w:val="24"/>
            <w:u w:val="single"/>
            <w:lang w:val="en-US"/>
          </w:rPr>
          <w:t>71672012000500008</w:t>
        </w:r>
        <w:r w:rsidRPr="00D61223">
          <w:rPr>
            <w:color w:val="0000FF"/>
            <w:sz w:val="24"/>
            <w:szCs w:val="24"/>
            <w:lang w:val="en-US"/>
          </w:rPr>
          <w:t xml:space="preserve"> </w:t>
        </w:r>
      </w:hyperlink>
      <w:r w:rsidRPr="00D61223">
        <w:rPr>
          <w:color w:val="000000"/>
          <w:sz w:val="24"/>
          <w:szCs w:val="24"/>
          <w:lang w:val="en-US"/>
        </w:rPr>
        <w:t>doi:</w:t>
      </w:r>
      <w:r w:rsidRPr="00D61223">
        <w:rPr>
          <w:color w:val="0000FF"/>
          <w:sz w:val="24"/>
          <w:szCs w:val="24"/>
          <w:lang w:val="en-US"/>
        </w:rPr>
        <w:t xml:space="preserve"> </w:t>
      </w:r>
      <w:r w:rsidRPr="00D61223">
        <w:rPr>
          <w:color w:val="000000"/>
          <w:sz w:val="24"/>
          <w:szCs w:val="24"/>
          <w:lang w:val="en-US"/>
        </w:rPr>
        <w:t>10.1590/S0034-71672012000500008</w:t>
      </w:r>
    </w:p>
    <w:p w:rsidR="00D24E61" w:rsidRPr="00D61223" w:rsidRDefault="00D24E61">
      <w:pPr>
        <w:spacing w:line="200" w:lineRule="exact"/>
        <w:rPr>
          <w:color w:val="0000FF"/>
          <w:sz w:val="24"/>
          <w:szCs w:val="24"/>
          <w:lang w:val="en-US"/>
        </w:rPr>
      </w:pPr>
    </w:p>
    <w:p w:rsidR="00D24E61" w:rsidRPr="00D61223" w:rsidRDefault="00D24E61">
      <w:pPr>
        <w:spacing w:line="296" w:lineRule="exact"/>
        <w:rPr>
          <w:color w:val="0000FF"/>
          <w:sz w:val="24"/>
          <w:szCs w:val="24"/>
          <w:lang w:val="en-US"/>
        </w:rPr>
      </w:pPr>
    </w:p>
    <w:p w:rsidR="00D24E61" w:rsidRPr="00D509F1" w:rsidRDefault="00D24E61" w:rsidP="00EC0E77">
      <w:pPr>
        <w:numPr>
          <w:ilvl w:val="0"/>
          <w:numId w:val="44"/>
        </w:numPr>
        <w:tabs>
          <w:tab w:val="left" w:pos="251"/>
        </w:tabs>
        <w:spacing w:line="308" w:lineRule="auto"/>
        <w:ind w:left="7" w:right="20" w:hanging="7"/>
        <w:jc w:val="both"/>
        <w:rPr>
          <w:color w:val="0000FF"/>
          <w:sz w:val="24"/>
          <w:szCs w:val="24"/>
          <w:lang w:val="en-US"/>
        </w:rPr>
      </w:pPr>
      <w:r w:rsidRPr="00D509F1">
        <w:rPr>
          <w:sz w:val="23"/>
          <w:szCs w:val="23"/>
        </w:rPr>
        <w:t xml:space="preserve">Rattner D. Humanização na atenção a nascimentos e partos: ponderações sobre políticas públicas. </w:t>
      </w:r>
      <w:r w:rsidRPr="00D509F1">
        <w:rPr>
          <w:sz w:val="23"/>
          <w:szCs w:val="23"/>
          <w:lang w:val="en-US"/>
        </w:rPr>
        <w:t>Interface comun saúde educ [Internet]. 2009 [cited 2013 Jul 8]; 13:(supl.1): 759-68. Available from:</w:t>
      </w:r>
      <w:r w:rsidR="00D509F1">
        <w:rPr>
          <w:sz w:val="23"/>
          <w:szCs w:val="23"/>
          <w:lang w:val="en-US"/>
        </w:rPr>
        <w:t xml:space="preserve"> </w:t>
      </w:r>
      <w:hyperlink r:id="rId415">
        <w:r w:rsidRPr="00D509F1">
          <w:rPr>
            <w:color w:val="0000FF"/>
            <w:sz w:val="24"/>
            <w:szCs w:val="24"/>
            <w:u w:val="single"/>
            <w:lang w:val="en-US"/>
          </w:rPr>
          <w:t>http://www.scielo.br/scielo.php?pid=S1414-32832009000500027&amp;script=sci_arttext</w:t>
        </w:r>
        <w:r w:rsidRPr="00D509F1">
          <w:rPr>
            <w:color w:val="0000FF"/>
            <w:sz w:val="24"/>
            <w:szCs w:val="24"/>
            <w:lang w:val="en-US"/>
          </w:rPr>
          <w:t xml:space="preserve"> </w:t>
        </w:r>
      </w:hyperlink>
      <w:r w:rsidRPr="00D509F1">
        <w:rPr>
          <w:color w:val="000000"/>
          <w:sz w:val="24"/>
          <w:szCs w:val="24"/>
          <w:lang w:val="en-US"/>
        </w:rPr>
        <w:t>doi:</w:t>
      </w:r>
      <w:r w:rsidRPr="00D509F1">
        <w:rPr>
          <w:color w:val="0000FF"/>
          <w:sz w:val="24"/>
          <w:szCs w:val="24"/>
          <w:lang w:val="en-US"/>
        </w:rPr>
        <w:t xml:space="preserve"> </w:t>
      </w:r>
      <w:r w:rsidRPr="00D509F1">
        <w:rPr>
          <w:color w:val="000000"/>
          <w:sz w:val="24"/>
          <w:szCs w:val="24"/>
          <w:lang w:val="en-US"/>
        </w:rPr>
        <w:t>10.1590/S1414-32832009000500027</w:t>
      </w:r>
    </w:p>
    <w:p w:rsidR="00D24E61" w:rsidRPr="00D509F1" w:rsidRDefault="00D24E61">
      <w:pPr>
        <w:spacing w:line="200" w:lineRule="exact"/>
        <w:rPr>
          <w:sz w:val="20"/>
          <w:szCs w:val="20"/>
          <w:lang w:val="en-US"/>
        </w:rPr>
      </w:pPr>
    </w:p>
    <w:p w:rsidR="00D24E61" w:rsidRPr="00D509F1" w:rsidRDefault="00D24E61">
      <w:pPr>
        <w:spacing w:line="335" w:lineRule="exact"/>
        <w:rPr>
          <w:sz w:val="20"/>
          <w:szCs w:val="20"/>
          <w:lang w:val="en-US"/>
        </w:rPr>
      </w:pPr>
    </w:p>
    <w:p w:rsidR="00D24E61" w:rsidRPr="00D61223" w:rsidRDefault="00D24E61">
      <w:pPr>
        <w:spacing w:line="343" w:lineRule="auto"/>
        <w:ind w:left="7" w:right="20"/>
        <w:jc w:val="both"/>
        <w:rPr>
          <w:color w:val="0000FF"/>
          <w:sz w:val="24"/>
          <w:szCs w:val="24"/>
          <w:u w:val="single"/>
          <w:lang w:val="en-US"/>
        </w:rPr>
      </w:pPr>
      <w:r w:rsidRPr="00771368">
        <w:rPr>
          <w:sz w:val="24"/>
          <w:szCs w:val="24"/>
        </w:rPr>
        <w:t xml:space="preserve">3. Santos JO, Tambellini CA, Oliveira SMJV de. Presença do acompanhante durante o processo de parturição: uma reflexão. </w:t>
      </w:r>
      <w:r w:rsidRPr="00D61223">
        <w:rPr>
          <w:sz w:val="24"/>
          <w:szCs w:val="24"/>
          <w:lang w:val="en-US"/>
        </w:rPr>
        <w:t xml:space="preserve">REME rev min enferm [Internet]. 2011 jul/set [cited 2013 Jul 8]; 15(3):453-58. Available from: </w:t>
      </w:r>
      <w:hyperlink r:id="rId416">
        <w:r w:rsidRPr="00D61223">
          <w:rPr>
            <w:color w:val="0000FF"/>
            <w:sz w:val="24"/>
            <w:szCs w:val="24"/>
            <w:u w:val="single"/>
            <w:lang w:val="en-US"/>
          </w:rPr>
          <w:t>http://www.enf.ufmg.br/site_novo/modules/mastop_publish/files/files_4e8da8407cc5a.pdf</w:t>
        </w:r>
      </w:hyperlink>
    </w:p>
    <w:p w:rsidR="00D24E61" w:rsidRPr="00D61223" w:rsidRDefault="00D24E61">
      <w:pPr>
        <w:spacing w:line="200" w:lineRule="exact"/>
        <w:rPr>
          <w:sz w:val="20"/>
          <w:szCs w:val="20"/>
          <w:lang w:val="en-US"/>
        </w:rPr>
      </w:pPr>
    </w:p>
    <w:p w:rsidR="00D24E61" w:rsidRPr="00D61223" w:rsidRDefault="00D24E61">
      <w:pPr>
        <w:spacing w:line="292" w:lineRule="exact"/>
        <w:rPr>
          <w:sz w:val="20"/>
          <w:szCs w:val="20"/>
          <w:lang w:val="en-US"/>
        </w:rPr>
      </w:pPr>
    </w:p>
    <w:p w:rsidR="00D24E61" w:rsidRPr="00771368" w:rsidRDefault="00D24E61">
      <w:pPr>
        <w:spacing w:line="343" w:lineRule="auto"/>
        <w:ind w:left="7"/>
        <w:jc w:val="both"/>
        <w:rPr>
          <w:color w:val="0000FF"/>
          <w:sz w:val="24"/>
          <w:szCs w:val="24"/>
        </w:rPr>
      </w:pPr>
      <w:r w:rsidRPr="00771368">
        <w:rPr>
          <w:sz w:val="24"/>
          <w:szCs w:val="24"/>
        </w:rPr>
        <w:t xml:space="preserve">4. Narchi NZ, Cruz EF, Gonçalves R. O papel das obstetrizes e enfermeiras obstetras na promoção da maternidade segura no Brasil. Ciênc saúde coletiva [Internet]. 2013 apr [cited 2013 Jul 9]; 18(4):1059-68. Available from: </w:t>
      </w:r>
      <w:hyperlink r:id="rId417">
        <w:r w:rsidRPr="00771368">
          <w:rPr>
            <w:color w:val="0000FF"/>
            <w:sz w:val="24"/>
            <w:szCs w:val="24"/>
            <w:u w:val="single"/>
          </w:rPr>
          <w:t>http://www.scielo.br/scielo.php?pid=S1413-</w:t>
        </w:r>
      </w:hyperlink>
      <w:hyperlink r:id="rId418">
        <w:r w:rsidRPr="00771368">
          <w:rPr>
            <w:color w:val="0000FF"/>
            <w:sz w:val="24"/>
            <w:szCs w:val="24"/>
            <w:u w:val="single"/>
          </w:rPr>
          <w:t>81232013000400019&amp;script=sci_arttext</w:t>
        </w:r>
        <w:r w:rsidRPr="00771368">
          <w:rPr>
            <w:color w:val="0000FF"/>
            <w:sz w:val="24"/>
            <w:szCs w:val="24"/>
          </w:rPr>
          <w:t xml:space="preserve"> </w:t>
        </w:r>
      </w:hyperlink>
      <w:r w:rsidRPr="00771368">
        <w:rPr>
          <w:color w:val="000000"/>
          <w:sz w:val="24"/>
          <w:szCs w:val="24"/>
        </w:rPr>
        <w:t>doi:</w:t>
      </w:r>
      <w:r w:rsidRPr="00771368">
        <w:rPr>
          <w:color w:val="0000FF"/>
          <w:sz w:val="24"/>
          <w:szCs w:val="24"/>
        </w:rPr>
        <w:t xml:space="preserve"> </w:t>
      </w:r>
      <w:r w:rsidRPr="00771368">
        <w:rPr>
          <w:color w:val="000000"/>
          <w:sz w:val="24"/>
          <w:szCs w:val="24"/>
        </w:rPr>
        <w:t>10.1590/S1413-81232013000400019</w:t>
      </w:r>
    </w:p>
    <w:p w:rsidR="00D24E61" w:rsidRPr="00771368" w:rsidRDefault="00D24E61">
      <w:pPr>
        <w:spacing w:line="200" w:lineRule="exact"/>
        <w:rPr>
          <w:sz w:val="20"/>
          <w:szCs w:val="20"/>
        </w:rPr>
      </w:pPr>
    </w:p>
    <w:p w:rsidR="00D24E61" w:rsidRPr="00771368" w:rsidRDefault="00D24E61">
      <w:pPr>
        <w:spacing w:line="292" w:lineRule="exact"/>
        <w:rPr>
          <w:sz w:val="20"/>
          <w:szCs w:val="20"/>
        </w:rPr>
      </w:pPr>
    </w:p>
    <w:p w:rsidR="00D24E61" w:rsidRPr="00D61223" w:rsidRDefault="00D24E61">
      <w:pPr>
        <w:spacing w:line="343" w:lineRule="auto"/>
        <w:ind w:left="7"/>
        <w:jc w:val="both"/>
        <w:rPr>
          <w:color w:val="0000FF"/>
          <w:sz w:val="24"/>
          <w:szCs w:val="24"/>
          <w:lang w:val="en-US"/>
        </w:rPr>
      </w:pPr>
      <w:r w:rsidRPr="00771368">
        <w:rPr>
          <w:sz w:val="24"/>
          <w:szCs w:val="24"/>
        </w:rPr>
        <w:t xml:space="preserve">5. Machado Junior LC et al. Associação entre via de parto e complicações maternas em hospital público da Grande São Paulo, Brasil. </w:t>
      </w:r>
      <w:r w:rsidRPr="00D61223">
        <w:rPr>
          <w:sz w:val="24"/>
          <w:szCs w:val="24"/>
          <w:lang w:val="en-US"/>
        </w:rPr>
        <w:t xml:space="preserve">Cad saúde pública [Internet]. 2009 jan [cited 2013 Jul 9]; 25(1):124-32. Available from: </w:t>
      </w:r>
      <w:hyperlink r:id="rId419">
        <w:r w:rsidRPr="00D61223">
          <w:rPr>
            <w:color w:val="0000FF"/>
            <w:sz w:val="24"/>
            <w:szCs w:val="24"/>
            <w:u w:val="single"/>
            <w:lang w:val="en-US"/>
          </w:rPr>
          <w:t>http://www.scielo.br/scielo.php?pid=S0102-</w:t>
        </w:r>
      </w:hyperlink>
      <w:hyperlink r:id="rId420">
        <w:r w:rsidRPr="00D61223">
          <w:rPr>
            <w:color w:val="0000FF"/>
            <w:sz w:val="24"/>
            <w:szCs w:val="24"/>
            <w:u w:val="single"/>
            <w:lang w:val="en-US"/>
          </w:rPr>
          <w:t>311X2009000100013&amp;script=sci_arttext</w:t>
        </w:r>
        <w:r w:rsidRPr="00D61223">
          <w:rPr>
            <w:color w:val="0000FF"/>
            <w:sz w:val="24"/>
            <w:szCs w:val="24"/>
            <w:lang w:val="en-US"/>
          </w:rPr>
          <w:t xml:space="preserve"> </w:t>
        </w:r>
      </w:hyperlink>
      <w:r w:rsidRPr="00D61223">
        <w:rPr>
          <w:color w:val="000000"/>
          <w:sz w:val="24"/>
          <w:szCs w:val="24"/>
          <w:lang w:val="en-US"/>
        </w:rPr>
        <w:t>doi:</w:t>
      </w:r>
      <w:r w:rsidRPr="00D61223">
        <w:rPr>
          <w:color w:val="0000FF"/>
          <w:sz w:val="24"/>
          <w:szCs w:val="24"/>
          <w:lang w:val="en-US"/>
        </w:rPr>
        <w:t xml:space="preserve"> </w:t>
      </w:r>
      <w:r w:rsidRPr="00D61223">
        <w:rPr>
          <w:color w:val="000000"/>
          <w:sz w:val="24"/>
          <w:szCs w:val="24"/>
          <w:lang w:val="en-US"/>
        </w:rPr>
        <w:t>10.1590/S0102-311X2009000100013</w:t>
      </w:r>
    </w:p>
    <w:p w:rsidR="00D24E61" w:rsidRPr="00D61223" w:rsidRDefault="00D24E61">
      <w:pPr>
        <w:spacing w:line="200" w:lineRule="exact"/>
        <w:rPr>
          <w:sz w:val="20"/>
          <w:szCs w:val="20"/>
          <w:lang w:val="en-US"/>
        </w:rPr>
      </w:pPr>
    </w:p>
    <w:p w:rsidR="00D24E61" w:rsidRPr="00D61223" w:rsidRDefault="00D24E61">
      <w:pPr>
        <w:spacing w:line="296" w:lineRule="exact"/>
        <w:rPr>
          <w:sz w:val="20"/>
          <w:szCs w:val="20"/>
          <w:lang w:val="en-US"/>
        </w:rPr>
      </w:pPr>
    </w:p>
    <w:p w:rsidR="00D24E61" w:rsidRPr="00D61223" w:rsidRDefault="00D24E61">
      <w:pPr>
        <w:spacing w:line="346" w:lineRule="auto"/>
        <w:ind w:left="7"/>
        <w:jc w:val="both"/>
        <w:rPr>
          <w:sz w:val="24"/>
          <w:szCs w:val="24"/>
          <w:lang w:val="en-US"/>
        </w:rPr>
      </w:pPr>
      <w:r w:rsidRPr="00D61223">
        <w:rPr>
          <w:sz w:val="24"/>
          <w:szCs w:val="24"/>
          <w:lang w:val="en-US"/>
        </w:rPr>
        <w:t xml:space="preserve">6. Mendez EG, Maddux CG, Hall C, Gonzalez MM, Handley MA. An examination of cesarean and vaginal birth histories among hispanic women entering prenatal care in two California counties with large immigrant populations. J immigr menor health [Internet]. 2012 Apr [cited 2013 Jul 10]; 14(2):209-14. Available from: </w:t>
      </w:r>
      <w:hyperlink r:id="rId421">
        <w:r w:rsidRPr="00D61223">
          <w:rPr>
            <w:color w:val="0000FF"/>
            <w:sz w:val="24"/>
            <w:szCs w:val="24"/>
            <w:u w:val="single"/>
            <w:lang w:val="en-US"/>
          </w:rPr>
          <w:t>http://www.ncbi.nlm.nih.gov/pmc/articles/PMC3299965/</w:t>
        </w:r>
        <w:r w:rsidRPr="00D61223">
          <w:rPr>
            <w:sz w:val="24"/>
            <w:szCs w:val="24"/>
            <w:u w:val="single"/>
            <w:lang w:val="en-US"/>
          </w:rPr>
          <w:t xml:space="preserve"> </w:t>
        </w:r>
      </w:hyperlink>
      <w:r w:rsidRPr="00D61223">
        <w:rPr>
          <w:sz w:val="24"/>
          <w:szCs w:val="24"/>
          <w:lang w:val="en-US"/>
        </w:rPr>
        <w:t>doi: 10.1007/s10903-011-9450-0</w:t>
      </w:r>
    </w:p>
    <w:p w:rsidR="00D24E61" w:rsidRPr="00D61223" w:rsidRDefault="00D24E61">
      <w:pPr>
        <w:spacing w:line="200" w:lineRule="exact"/>
        <w:rPr>
          <w:sz w:val="20"/>
          <w:szCs w:val="20"/>
          <w:lang w:val="en-US"/>
        </w:rPr>
      </w:pPr>
    </w:p>
    <w:p w:rsidR="00D24E61" w:rsidRPr="00D61223" w:rsidRDefault="00D24E61">
      <w:pPr>
        <w:spacing w:line="293" w:lineRule="exact"/>
        <w:rPr>
          <w:sz w:val="20"/>
          <w:szCs w:val="20"/>
          <w:lang w:val="en-US"/>
        </w:rPr>
      </w:pPr>
    </w:p>
    <w:p w:rsidR="00D24E61" w:rsidRPr="00D61223" w:rsidRDefault="00D24E61" w:rsidP="00FA0ABA">
      <w:pPr>
        <w:numPr>
          <w:ilvl w:val="0"/>
          <w:numId w:val="45"/>
        </w:numPr>
        <w:tabs>
          <w:tab w:val="left" w:pos="256"/>
        </w:tabs>
        <w:spacing w:line="347" w:lineRule="auto"/>
        <w:ind w:left="7" w:hanging="7"/>
        <w:jc w:val="both"/>
        <w:rPr>
          <w:color w:val="0000FF"/>
          <w:sz w:val="24"/>
          <w:szCs w:val="24"/>
          <w:lang w:val="en-US"/>
        </w:rPr>
      </w:pPr>
      <w:r w:rsidRPr="00771368">
        <w:rPr>
          <w:sz w:val="24"/>
          <w:szCs w:val="24"/>
        </w:rPr>
        <w:t xml:space="preserve">Silveira SC da, Camargo BV, Crepaldi MA. Assistência ao parto na maternidade: representações sociais de mulheres assistidas e profissionais de saúde. </w:t>
      </w:r>
      <w:r w:rsidRPr="00D61223">
        <w:rPr>
          <w:sz w:val="24"/>
          <w:szCs w:val="24"/>
          <w:lang w:val="en-US"/>
        </w:rPr>
        <w:t xml:space="preserve">Psicol reflex crit [Internet]. 2010 jan/apr [cited 2013 Jul 10]; 23(1):1-10. Available from: </w:t>
      </w:r>
      <w:hyperlink r:id="rId422">
        <w:r w:rsidRPr="00D61223">
          <w:rPr>
            <w:color w:val="0000FF"/>
            <w:sz w:val="24"/>
            <w:szCs w:val="24"/>
            <w:u w:val="single"/>
            <w:lang w:val="en-US"/>
          </w:rPr>
          <w:t>http://www.scielo.br/scielo.php?script=sci_arttext&amp;pid=S0102-79722010000100002</w:t>
        </w:r>
        <w:r w:rsidRPr="00D61223">
          <w:rPr>
            <w:color w:val="0000FF"/>
            <w:sz w:val="24"/>
            <w:szCs w:val="24"/>
            <w:lang w:val="en-US"/>
          </w:rPr>
          <w:t xml:space="preserve"> </w:t>
        </w:r>
      </w:hyperlink>
      <w:r w:rsidRPr="00D61223">
        <w:rPr>
          <w:color w:val="000000"/>
          <w:sz w:val="24"/>
          <w:szCs w:val="24"/>
          <w:lang w:val="en-US"/>
        </w:rPr>
        <w:t>doi:</w:t>
      </w:r>
      <w:r w:rsidRPr="00D61223">
        <w:rPr>
          <w:color w:val="0000FF"/>
          <w:sz w:val="24"/>
          <w:szCs w:val="24"/>
          <w:lang w:val="en-US"/>
        </w:rPr>
        <w:t xml:space="preserve"> </w:t>
      </w:r>
      <w:r w:rsidRPr="00D61223">
        <w:rPr>
          <w:color w:val="000000"/>
          <w:sz w:val="24"/>
          <w:szCs w:val="24"/>
          <w:lang w:val="en-US"/>
        </w:rPr>
        <w:t>10.1590/S0102-79722010000100002</w:t>
      </w:r>
    </w:p>
    <w:p w:rsidR="00D24E61" w:rsidRPr="00D61223" w:rsidRDefault="00D24E61">
      <w:pPr>
        <w:spacing w:line="200" w:lineRule="exact"/>
        <w:rPr>
          <w:color w:val="0000FF"/>
          <w:sz w:val="24"/>
          <w:szCs w:val="24"/>
          <w:lang w:val="en-US"/>
        </w:rPr>
      </w:pPr>
    </w:p>
    <w:p w:rsidR="00D24E61" w:rsidRPr="00D61223" w:rsidRDefault="00D24E61">
      <w:pPr>
        <w:spacing w:line="287" w:lineRule="exact"/>
        <w:rPr>
          <w:color w:val="0000FF"/>
          <w:sz w:val="24"/>
          <w:szCs w:val="24"/>
          <w:lang w:val="en-US"/>
        </w:rPr>
      </w:pPr>
    </w:p>
    <w:p w:rsidR="00D24E61" w:rsidRPr="00771368" w:rsidRDefault="00D24E61" w:rsidP="00FA0ABA">
      <w:pPr>
        <w:numPr>
          <w:ilvl w:val="0"/>
          <w:numId w:val="45"/>
        </w:numPr>
        <w:tabs>
          <w:tab w:val="left" w:pos="285"/>
        </w:tabs>
        <w:spacing w:line="312" w:lineRule="auto"/>
        <w:ind w:left="7" w:hanging="7"/>
        <w:jc w:val="both"/>
        <w:rPr>
          <w:sz w:val="24"/>
          <w:szCs w:val="24"/>
        </w:rPr>
      </w:pPr>
      <w:r w:rsidRPr="00771368">
        <w:rPr>
          <w:sz w:val="24"/>
          <w:szCs w:val="24"/>
        </w:rPr>
        <w:t>Rebello MTMP, Rodrigues Neto JF. A humanização da assistência ao parto na percepção de estudantes de medicina. Rev bras educ méd [Internet]. 2012 apr/june [cited 2013 Jul 11]; 36(2):188-</w:t>
      </w:r>
    </w:p>
    <w:p w:rsidR="00D24E61" w:rsidRPr="00771368" w:rsidRDefault="00D24E61">
      <w:pPr>
        <w:spacing w:line="55" w:lineRule="exact"/>
        <w:rPr>
          <w:sz w:val="20"/>
          <w:szCs w:val="20"/>
        </w:rPr>
      </w:pPr>
    </w:p>
    <w:p w:rsidR="00D24E61" w:rsidRPr="00771368" w:rsidRDefault="00D24E61">
      <w:pPr>
        <w:tabs>
          <w:tab w:val="left" w:pos="1486"/>
          <w:tab w:val="left" w:pos="3626"/>
          <w:tab w:val="left" w:pos="5366"/>
        </w:tabs>
        <w:ind w:left="7"/>
        <w:rPr>
          <w:color w:val="0000FF"/>
          <w:sz w:val="23"/>
          <w:szCs w:val="23"/>
          <w:u w:val="single"/>
        </w:rPr>
      </w:pPr>
      <w:r w:rsidRPr="00771368">
        <w:rPr>
          <w:sz w:val="24"/>
          <w:szCs w:val="24"/>
        </w:rPr>
        <w:t>97.</w:t>
      </w:r>
      <w:r w:rsidRPr="00771368">
        <w:rPr>
          <w:sz w:val="20"/>
          <w:szCs w:val="20"/>
        </w:rPr>
        <w:tab/>
      </w:r>
      <w:r w:rsidRPr="00771368">
        <w:rPr>
          <w:sz w:val="24"/>
          <w:szCs w:val="24"/>
        </w:rPr>
        <w:t>Available</w:t>
      </w:r>
      <w:r w:rsidRPr="00771368">
        <w:rPr>
          <w:sz w:val="20"/>
          <w:szCs w:val="20"/>
        </w:rPr>
        <w:tab/>
      </w:r>
      <w:r w:rsidRPr="00771368">
        <w:rPr>
          <w:sz w:val="24"/>
          <w:szCs w:val="24"/>
        </w:rPr>
        <w:t>from:</w:t>
      </w:r>
      <w:r w:rsidRPr="00771368">
        <w:rPr>
          <w:sz w:val="20"/>
          <w:szCs w:val="20"/>
        </w:rPr>
        <w:tab/>
      </w:r>
      <w:hyperlink r:id="rId423">
        <w:r w:rsidRPr="00771368">
          <w:rPr>
            <w:color w:val="0000FF"/>
            <w:sz w:val="23"/>
            <w:szCs w:val="23"/>
            <w:u w:val="single"/>
          </w:rPr>
          <w:t>http://www.scielo.br/scielo.php?pid=S0100-</w:t>
        </w:r>
      </w:hyperlink>
    </w:p>
    <w:p w:rsidR="00D24E61" w:rsidRPr="00771368" w:rsidRDefault="00D24E61">
      <w:pPr>
        <w:spacing w:line="137" w:lineRule="exact"/>
        <w:rPr>
          <w:sz w:val="20"/>
          <w:szCs w:val="20"/>
        </w:rPr>
      </w:pPr>
    </w:p>
    <w:p w:rsidR="00D24E61" w:rsidRPr="006B3861" w:rsidRDefault="00295FC8" w:rsidP="00D509F1">
      <w:pPr>
        <w:ind w:left="7"/>
        <w:rPr>
          <w:sz w:val="20"/>
          <w:szCs w:val="20"/>
          <w:lang w:val="en-US"/>
        </w:rPr>
      </w:pPr>
      <w:hyperlink r:id="rId424">
        <w:r w:rsidR="00D24E61" w:rsidRPr="00D61223">
          <w:rPr>
            <w:color w:val="0000FF"/>
            <w:sz w:val="24"/>
            <w:szCs w:val="24"/>
            <w:u w:val="single"/>
            <w:lang w:val="en-US"/>
          </w:rPr>
          <w:t>55022012000400006&amp;script=sci_arttext</w:t>
        </w:r>
        <w:r w:rsidR="00D24E61" w:rsidRPr="00D61223">
          <w:rPr>
            <w:color w:val="0000FF"/>
            <w:sz w:val="24"/>
            <w:szCs w:val="24"/>
            <w:lang w:val="en-US"/>
          </w:rPr>
          <w:t xml:space="preserve"> </w:t>
        </w:r>
      </w:hyperlink>
      <w:r w:rsidR="00D24E61" w:rsidRPr="00D61223">
        <w:rPr>
          <w:color w:val="000000"/>
          <w:sz w:val="24"/>
          <w:szCs w:val="24"/>
          <w:lang w:val="en-US"/>
        </w:rPr>
        <w:t>doi:</w:t>
      </w:r>
      <w:r w:rsidR="00D24E61" w:rsidRPr="00D61223">
        <w:rPr>
          <w:color w:val="0000FF"/>
          <w:sz w:val="24"/>
          <w:szCs w:val="24"/>
          <w:lang w:val="en-US"/>
        </w:rPr>
        <w:t xml:space="preserve"> </w:t>
      </w:r>
      <w:r w:rsidR="00D509F1">
        <w:rPr>
          <w:color w:val="000000"/>
          <w:sz w:val="24"/>
          <w:szCs w:val="24"/>
          <w:lang w:val="en-US"/>
        </w:rPr>
        <w:t>10.1590/S0100-550220120004000</w:t>
      </w:r>
    </w:p>
    <w:p w:rsidR="00D24E61" w:rsidRPr="006B3861" w:rsidRDefault="00D24E61">
      <w:pPr>
        <w:spacing w:line="325" w:lineRule="exact"/>
        <w:rPr>
          <w:sz w:val="20"/>
          <w:szCs w:val="20"/>
          <w:lang w:val="en-US"/>
        </w:rPr>
      </w:pPr>
    </w:p>
    <w:p w:rsidR="00D24E61" w:rsidRPr="00D61223" w:rsidRDefault="00D24E61" w:rsidP="00FA0ABA">
      <w:pPr>
        <w:numPr>
          <w:ilvl w:val="0"/>
          <w:numId w:val="46"/>
        </w:numPr>
        <w:tabs>
          <w:tab w:val="left" w:pos="342"/>
        </w:tabs>
        <w:spacing w:line="343" w:lineRule="auto"/>
        <w:ind w:left="7" w:hanging="7"/>
        <w:jc w:val="both"/>
        <w:rPr>
          <w:color w:val="0000FF"/>
          <w:sz w:val="24"/>
          <w:szCs w:val="24"/>
          <w:lang w:val="en-US"/>
        </w:rPr>
      </w:pPr>
      <w:r w:rsidRPr="00771368">
        <w:rPr>
          <w:sz w:val="24"/>
          <w:szCs w:val="24"/>
        </w:rPr>
        <w:t xml:space="preserve">Souza TG, Gaíva MAM, Modes PSSA. A humanização do nascimento: percepção dos profissionais de saúde que atuam na atenção ao parto. </w:t>
      </w:r>
      <w:r w:rsidRPr="00D61223">
        <w:rPr>
          <w:sz w:val="24"/>
          <w:szCs w:val="24"/>
          <w:lang w:val="en-US"/>
        </w:rPr>
        <w:t xml:space="preserve">Rev gaúch enferm [Internet]. 2011 sept [cited 2013 Jul 12]; 32(3):479-86. Available from: </w:t>
      </w:r>
      <w:hyperlink r:id="rId425">
        <w:r w:rsidRPr="00D61223">
          <w:rPr>
            <w:color w:val="0000FF"/>
            <w:sz w:val="24"/>
            <w:szCs w:val="24"/>
            <w:u w:val="single"/>
            <w:lang w:val="en-US"/>
          </w:rPr>
          <w:t>http://www.scielo.br/scielo.php?pid=S1983-</w:t>
        </w:r>
      </w:hyperlink>
      <w:hyperlink r:id="rId426">
        <w:r w:rsidRPr="00D61223">
          <w:rPr>
            <w:color w:val="0000FF"/>
            <w:sz w:val="24"/>
            <w:szCs w:val="24"/>
            <w:u w:val="single"/>
            <w:lang w:val="en-US"/>
          </w:rPr>
          <w:t>14472011000300007&amp;script=sci_arttext</w:t>
        </w:r>
        <w:r w:rsidRPr="00D61223">
          <w:rPr>
            <w:color w:val="0000FF"/>
            <w:sz w:val="24"/>
            <w:szCs w:val="24"/>
            <w:lang w:val="en-US"/>
          </w:rPr>
          <w:t xml:space="preserve"> </w:t>
        </w:r>
      </w:hyperlink>
      <w:r w:rsidRPr="00D61223">
        <w:rPr>
          <w:color w:val="000000"/>
          <w:sz w:val="24"/>
          <w:szCs w:val="24"/>
          <w:lang w:val="en-US"/>
        </w:rPr>
        <w:t>doi:</w:t>
      </w:r>
      <w:r w:rsidRPr="00D61223">
        <w:rPr>
          <w:color w:val="0000FF"/>
          <w:sz w:val="24"/>
          <w:szCs w:val="24"/>
          <w:lang w:val="en-US"/>
        </w:rPr>
        <w:t xml:space="preserve"> </w:t>
      </w:r>
      <w:r w:rsidRPr="00D61223">
        <w:rPr>
          <w:color w:val="000000"/>
          <w:sz w:val="24"/>
          <w:szCs w:val="24"/>
          <w:lang w:val="en-US"/>
        </w:rPr>
        <w:t>10.1590/S1983-14472011000300007</w:t>
      </w:r>
    </w:p>
    <w:p w:rsidR="00D24E61" w:rsidRPr="00D61223" w:rsidRDefault="00D24E61">
      <w:pPr>
        <w:spacing w:line="200" w:lineRule="exact"/>
        <w:rPr>
          <w:color w:val="0000FF"/>
          <w:sz w:val="24"/>
          <w:szCs w:val="24"/>
          <w:lang w:val="en-US"/>
        </w:rPr>
      </w:pPr>
    </w:p>
    <w:p w:rsidR="00D24E61" w:rsidRPr="00D61223" w:rsidRDefault="00D24E61">
      <w:pPr>
        <w:spacing w:line="291" w:lineRule="exact"/>
        <w:rPr>
          <w:color w:val="0000FF"/>
          <w:sz w:val="24"/>
          <w:szCs w:val="24"/>
          <w:lang w:val="en-US"/>
        </w:rPr>
      </w:pPr>
    </w:p>
    <w:p w:rsidR="00D24E61" w:rsidRPr="00771368" w:rsidRDefault="00D24E61" w:rsidP="00FA0ABA">
      <w:pPr>
        <w:numPr>
          <w:ilvl w:val="0"/>
          <w:numId w:val="46"/>
        </w:numPr>
        <w:tabs>
          <w:tab w:val="left" w:pos="429"/>
        </w:tabs>
        <w:spacing w:line="347" w:lineRule="auto"/>
        <w:ind w:left="7" w:hanging="7"/>
        <w:jc w:val="both"/>
        <w:rPr>
          <w:color w:val="0000FF"/>
          <w:sz w:val="24"/>
          <w:szCs w:val="24"/>
        </w:rPr>
      </w:pPr>
      <w:r w:rsidRPr="00771368">
        <w:rPr>
          <w:sz w:val="24"/>
          <w:szCs w:val="24"/>
        </w:rPr>
        <w:t xml:space="preserve">Silva RM da, Barros NF de, Jorge HMF, Melo LPT de, Ferreira Junior AR. Evidências qualitativas sobre o acompanhamento por doulas no trabalho de parto e no parto. Ciênc saúde coletiva [Internet]. 2012 oct [cited 2013 Jul 13]; 17(10):2783-94. Available from: </w:t>
      </w:r>
      <w:hyperlink r:id="rId427">
        <w:r w:rsidRPr="00771368">
          <w:rPr>
            <w:color w:val="0000FF"/>
            <w:sz w:val="24"/>
            <w:szCs w:val="24"/>
            <w:u w:val="single"/>
          </w:rPr>
          <w:t>http://www.scielo.br/scielo.php?pid=S1413-81232012001000026&amp;script=sci_arttext</w:t>
        </w:r>
        <w:r w:rsidRPr="00771368">
          <w:rPr>
            <w:color w:val="0000FF"/>
            <w:sz w:val="24"/>
            <w:szCs w:val="24"/>
          </w:rPr>
          <w:t xml:space="preserve"> </w:t>
        </w:r>
      </w:hyperlink>
      <w:r w:rsidRPr="00771368">
        <w:rPr>
          <w:color w:val="000000"/>
          <w:sz w:val="24"/>
          <w:szCs w:val="24"/>
        </w:rPr>
        <w:t>doi:</w:t>
      </w:r>
      <w:r w:rsidRPr="00771368">
        <w:rPr>
          <w:color w:val="0000FF"/>
          <w:sz w:val="24"/>
          <w:szCs w:val="24"/>
        </w:rPr>
        <w:t xml:space="preserve"> </w:t>
      </w:r>
      <w:r w:rsidRPr="00771368">
        <w:rPr>
          <w:color w:val="000000"/>
          <w:sz w:val="24"/>
          <w:szCs w:val="24"/>
        </w:rPr>
        <w:t>10.1590/S1413-81232012001000026</w:t>
      </w:r>
    </w:p>
    <w:p w:rsidR="00D24E61" w:rsidRPr="00771368" w:rsidRDefault="00D24E61">
      <w:pPr>
        <w:spacing w:line="200" w:lineRule="exact"/>
        <w:rPr>
          <w:color w:val="0000FF"/>
          <w:sz w:val="24"/>
          <w:szCs w:val="24"/>
        </w:rPr>
      </w:pPr>
    </w:p>
    <w:p w:rsidR="00D24E61" w:rsidRPr="00771368" w:rsidRDefault="00D24E61">
      <w:pPr>
        <w:spacing w:line="233" w:lineRule="exact"/>
        <w:rPr>
          <w:color w:val="0000FF"/>
          <w:sz w:val="24"/>
          <w:szCs w:val="24"/>
        </w:rPr>
      </w:pPr>
    </w:p>
    <w:p w:rsidR="00D24E61" w:rsidRPr="00771368" w:rsidRDefault="00D24E61" w:rsidP="00FA0ABA">
      <w:pPr>
        <w:numPr>
          <w:ilvl w:val="0"/>
          <w:numId w:val="46"/>
        </w:numPr>
        <w:tabs>
          <w:tab w:val="left" w:pos="367"/>
        </w:tabs>
        <w:ind w:left="367" w:hanging="367"/>
        <w:jc w:val="both"/>
        <w:rPr>
          <w:sz w:val="24"/>
          <w:szCs w:val="24"/>
        </w:rPr>
      </w:pPr>
      <w:r w:rsidRPr="00771368">
        <w:rPr>
          <w:sz w:val="24"/>
          <w:szCs w:val="24"/>
        </w:rPr>
        <w:t>Severino AJ. Metodologia do trabalho científico. 23. ed. São Paulo: Cortez; 2007.</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8" w:lineRule="exact"/>
        <w:rPr>
          <w:sz w:val="24"/>
          <w:szCs w:val="24"/>
        </w:rPr>
      </w:pPr>
    </w:p>
    <w:p w:rsidR="00D24E61" w:rsidRPr="00771368" w:rsidRDefault="00D24E61" w:rsidP="00FA0ABA">
      <w:pPr>
        <w:numPr>
          <w:ilvl w:val="0"/>
          <w:numId w:val="46"/>
        </w:numPr>
        <w:tabs>
          <w:tab w:val="left" w:pos="390"/>
        </w:tabs>
        <w:spacing w:line="312" w:lineRule="auto"/>
        <w:ind w:left="7" w:hanging="7"/>
        <w:jc w:val="both"/>
        <w:rPr>
          <w:sz w:val="24"/>
          <w:szCs w:val="24"/>
        </w:rPr>
      </w:pPr>
      <w:r w:rsidRPr="00D61223">
        <w:rPr>
          <w:sz w:val="24"/>
          <w:szCs w:val="24"/>
          <w:lang w:val="en-US"/>
        </w:rPr>
        <w:t xml:space="preserve">Hinds PS, Chaves DE, Cypress SM. Context as a source of meaning and understanding. </w:t>
      </w:r>
      <w:r w:rsidRPr="00771368">
        <w:rPr>
          <w:sz w:val="24"/>
          <w:szCs w:val="24"/>
        </w:rPr>
        <w:t>Qual health res. 1992 Feb; 2(1):61-74.</w:t>
      </w:r>
    </w:p>
    <w:p w:rsidR="00D24E61" w:rsidRPr="00771368" w:rsidRDefault="00D24E61">
      <w:pPr>
        <w:spacing w:line="200" w:lineRule="exact"/>
        <w:rPr>
          <w:sz w:val="24"/>
          <w:szCs w:val="24"/>
        </w:rPr>
      </w:pPr>
    </w:p>
    <w:p w:rsidR="00D24E61" w:rsidRPr="00771368" w:rsidRDefault="00D24E61">
      <w:pPr>
        <w:spacing w:line="326" w:lineRule="exact"/>
        <w:rPr>
          <w:sz w:val="24"/>
          <w:szCs w:val="24"/>
        </w:rPr>
      </w:pPr>
    </w:p>
    <w:p w:rsidR="00D24E61" w:rsidRPr="00D61223" w:rsidRDefault="00D24E61" w:rsidP="00FA0ABA">
      <w:pPr>
        <w:numPr>
          <w:ilvl w:val="0"/>
          <w:numId w:val="46"/>
        </w:numPr>
        <w:tabs>
          <w:tab w:val="left" w:pos="390"/>
        </w:tabs>
        <w:spacing w:line="335" w:lineRule="auto"/>
        <w:ind w:left="7" w:hanging="7"/>
        <w:rPr>
          <w:color w:val="0000FF"/>
          <w:sz w:val="24"/>
          <w:szCs w:val="24"/>
          <w:u w:val="single"/>
          <w:lang w:val="en-US"/>
        </w:rPr>
      </w:pPr>
      <w:r w:rsidRPr="00771368">
        <w:rPr>
          <w:sz w:val="24"/>
          <w:szCs w:val="24"/>
        </w:rPr>
        <w:t xml:space="preserve">Sodré TM, Lacerda RA. O processo de trabalho na assistência ao parto em Londrina-PR. </w:t>
      </w:r>
      <w:r w:rsidRPr="00D61223">
        <w:rPr>
          <w:sz w:val="24"/>
          <w:szCs w:val="24"/>
          <w:lang w:val="en-US"/>
        </w:rPr>
        <w:t xml:space="preserve">Rev esc enferm USP [Internet]. 2007 mar [cited 2013 Jul 17]; 41(1):82-9. Available from: </w:t>
      </w:r>
      <w:hyperlink r:id="rId428">
        <w:r w:rsidRPr="00D61223">
          <w:rPr>
            <w:color w:val="0000FF"/>
            <w:sz w:val="24"/>
            <w:szCs w:val="24"/>
            <w:u w:val="single"/>
            <w:lang w:val="en-US"/>
          </w:rPr>
          <w:t>http://www.scielo.br/scielo.php?pid=S0080-62342007000100011&amp;script=sci_arttext</w:t>
        </w:r>
      </w:hyperlink>
    </w:p>
    <w:p w:rsidR="00D24E61" w:rsidRPr="00D61223" w:rsidRDefault="00D24E61">
      <w:pPr>
        <w:spacing w:line="200" w:lineRule="exact"/>
        <w:rPr>
          <w:color w:val="0000FF"/>
          <w:sz w:val="24"/>
          <w:szCs w:val="24"/>
          <w:u w:val="single"/>
          <w:lang w:val="en-US"/>
        </w:rPr>
      </w:pPr>
    </w:p>
    <w:p w:rsidR="00D24E61" w:rsidRPr="00D61223" w:rsidRDefault="00D24E61">
      <w:pPr>
        <w:spacing w:line="300" w:lineRule="exact"/>
        <w:rPr>
          <w:color w:val="0000FF"/>
          <w:sz w:val="24"/>
          <w:szCs w:val="24"/>
          <w:u w:val="single"/>
          <w:lang w:val="en-US"/>
        </w:rPr>
      </w:pPr>
    </w:p>
    <w:p w:rsidR="00D24E61" w:rsidRPr="00771368" w:rsidRDefault="00D24E61" w:rsidP="00FA0ABA">
      <w:pPr>
        <w:numPr>
          <w:ilvl w:val="0"/>
          <w:numId w:val="46"/>
        </w:numPr>
        <w:tabs>
          <w:tab w:val="left" w:pos="405"/>
        </w:tabs>
        <w:spacing w:line="308" w:lineRule="auto"/>
        <w:ind w:left="7" w:hanging="7"/>
        <w:jc w:val="both"/>
        <w:rPr>
          <w:sz w:val="24"/>
          <w:szCs w:val="24"/>
        </w:rPr>
      </w:pPr>
      <w:r w:rsidRPr="00D61223">
        <w:rPr>
          <w:sz w:val="24"/>
          <w:szCs w:val="24"/>
          <w:lang w:val="en-US"/>
        </w:rPr>
        <w:t xml:space="preserve">Davis-Floyd RE. The technocratic body: american childbirth as cultural expression. </w:t>
      </w:r>
      <w:r w:rsidRPr="00771368">
        <w:rPr>
          <w:sz w:val="24"/>
          <w:szCs w:val="24"/>
        </w:rPr>
        <w:t>Sot sci med. 1994; 38(8):1125-39.</w:t>
      </w:r>
    </w:p>
    <w:p w:rsidR="00D24E61" w:rsidRPr="00771368" w:rsidRDefault="00D24E61">
      <w:pPr>
        <w:spacing w:line="200" w:lineRule="exact"/>
        <w:rPr>
          <w:sz w:val="24"/>
          <w:szCs w:val="24"/>
        </w:rPr>
      </w:pPr>
    </w:p>
    <w:p w:rsidR="00D24E61" w:rsidRPr="00771368" w:rsidRDefault="00D24E61">
      <w:pPr>
        <w:spacing w:line="334" w:lineRule="exact"/>
        <w:rPr>
          <w:sz w:val="24"/>
          <w:szCs w:val="24"/>
        </w:rPr>
      </w:pPr>
    </w:p>
    <w:p w:rsidR="00D24E61" w:rsidRPr="00771368" w:rsidRDefault="00D24E61" w:rsidP="00FA0ABA">
      <w:pPr>
        <w:numPr>
          <w:ilvl w:val="0"/>
          <w:numId w:val="46"/>
        </w:numPr>
        <w:tabs>
          <w:tab w:val="left" w:pos="419"/>
        </w:tabs>
        <w:spacing w:line="308" w:lineRule="auto"/>
        <w:ind w:left="7" w:right="20" w:hanging="7"/>
        <w:jc w:val="both"/>
        <w:rPr>
          <w:sz w:val="24"/>
          <w:szCs w:val="24"/>
        </w:rPr>
      </w:pPr>
      <w:r w:rsidRPr="00771368">
        <w:rPr>
          <w:sz w:val="24"/>
          <w:szCs w:val="24"/>
        </w:rPr>
        <w:t>Martins APV. Visões do feminino: a medicina da mulher nos séculos XIX e XX. Rio de Janeiro: Editora FIOCRUZ; 2004.</w:t>
      </w:r>
    </w:p>
    <w:p w:rsidR="00D24E61" w:rsidRPr="00771368" w:rsidRDefault="00D24E61">
      <w:pPr>
        <w:spacing w:line="200" w:lineRule="exact"/>
        <w:rPr>
          <w:sz w:val="24"/>
          <w:szCs w:val="24"/>
        </w:rPr>
      </w:pPr>
    </w:p>
    <w:p w:rsidR="00D24E61" w:rsidRPr="00771368" w:rsidRDefault="00D24E61">
      <w:pPr>
        <w:spacing w:line="330" w:lineRule="exact"/>
        <w:rPr>
          <w:sz w:val="24"/>
          <w:szCs w:val="24"/>
        </w:rPr>
      </w:pPr>
    </w:p>
    <w:p w:rsidR="00D24E61" w:rsidRPr="00D61223" w:rsidRDefault="00D24E61" w:rsidP="00FA0ABA">
      <w:pPr>
        <w:numPr>
          <w:ilvl w:val="0"/>
          <w:numId w:val="46"/>
        </w:numPr>
        <w:tabs>
          <w:tab w:val="left" w:pos="381"/>
        </w:tabs>
        <w:spacing w:line="335" w:lineRule="auto"/>
        <w:ind w:left="7" w:right="20" w:hanging="7"/>
        <w:jc w:val="both"/>
        <w:rPr>
          <w:color w:val="0000FF"/>
          <w:sz w:val="24"/>
          <w:szCs w:val="24"/>
          <w:u w:val="single"/>
          <w:lang w:val="en-US"/>
        </w:rPr>
      </w:pPr>
      <w:r w:rsidRPr="00771368">
        <w:rPr>
          <w:sz w:val="24"/>
          <w:szCs w:val="24"/>
        </w:rPr>
        <w:t xml:space="preserve">Diniz SG. Gênero, saúde materna e o paradoxo perinatal. Rev bras crescimento desenvolv hum [Internet]. </w:t>
      </w:r>
      <w:r w:rsidRPr="00D61223">
        <w:rPr>
          <w:sz w:val="24"/>
          <w:szCs w:val="24"/>
          <w:lang w:val="en-US"/>
        </w:rPr>
        <w:t xml:space="preserve">2009 ago [cited 2013 Jul 17]; 19(2):313-326. Available from: </w:t>
      </w:r>
      <w:hyperlink r:id="rId429">
        <w:r w:rsidRPr="00D61223">
          <w:rPr>
            <w:color w:val="0000FF"/>
            <w:sz w:val="24"/>
            <w:szCs w:val="24"/>
            <w:u w:val="single"/>
            <w:lang w:val="en-US"/>
          </w:rPr>
          <w:t>http://pepsic.bvsalud.org/scielo.php?script=sci_arttext&amp;pid=S0104-12822009000200012</w:t>
        </w:r>
      </w:hyperlink>
    </w:p>
    <w:p w:rsidR="00D24E61" w:rsidRPr="00D61223" w:rsidRDefault="00D24E61">
      <w:pPr>
        <w:spacing w:line="200" w:lineRule="exact"/>
        <w:rPr>
          <w:color w:val="0000FF"/>
          <w:sz w:val="24"/>
          <w:szCs w:val="24"/>
          <w:u w:val="single"/>
          <w:lang w:val="en-US"/>
        </w:rPr>
      </w:pPr>
    </w:p>
    <w:p w:rsidR="00D24E61" w:rsidRPr="00D61223" w:rsidRDefault="00D24E61">
      <w:pPr>
        <w:spacing w:line="300" w:lineRule="exact"/>
        <w:rPr>
          <w:color w:val="0000FF"/>
          <w:sz w:val="24"/>
          <w:szCs w:val="24"/>
          <w:u w:val="single"/>
          <w:lang w:val="en-US"/>
        </w:rPr>
      </w:pPr>
    </w:p>
    <w:p w:rsidR="00D24E61" w:rsidRPr="00771368" w:rsidRDefault="00D24E61" w:rsidP="00FA0ABA">
      <w:pPr>
        <w:numPr>
          <w:ilvl w:val="0"/>
          <w:numId w:val="46"/>
        </w:numPr>
        <w:tabs>
          <w:tab w:val="left" w:pos="405"/>
        </w:tabs>
        <w:spacing w:line="312" w:lineRule="auto"/>
        <w:ind w:left="7" w:right="20" w:hanging="7"/>
        <w:jc w:val="both"/>
        <w:rPr>
          <w:sz w:val="24"/>
          <w:szCs w:val="24"/>
        </w:rPr>
      </w:pPr>
      <w:r w:rsidRPr="00771368">
        <w:rPr>
          <w:sz w:val="24"/>
          <w:szCs w:val="24"/>
        </w:rPr>
        <w:t>Chiavenato I. Introdução à Teoria Geral da Administração. 8. ed. Rio de Janeiro: Elsevier; 2011.</w:t>
      </w:r>
    </w:p>
    <w:p w:rsidR="00D24E61" w:rsidRPr="00771368" w:rsidRDefault="00D24E61">
      <w:pPr>
        <w:spacing w:line="200" w:lineRule="exact"/>
        <w:rPr>
          <w:sz w:val="24"/>
          <w:szCs w:val="24"/>
        </w:rPr>
      </w:pPr>
    </w:p>
    <w:p w:rsidR="00D24E61" w:rsidRPr="00771368" w:rsidRDefault="00D24E61">
      <w:pPr>
        <w:spacing w:line="267" w:lineRule="exact"/>
        <w:rPr>
          <w:sz w:val="24"/>
          <w:szCs w:val="24"/>
        </w:rPr>
      </w:pPr>
    </w:p>
    <w:p w:rsidR="00D24E61" w:rsidRPr="00771368" w:rsidRDefault="00D24E61" w:rsidP="00FA0ABA">
      <w:pPr>
        <w:numPr>
          <w:ilvl w:val="0"/>
          <w:numId w:val="46"/>
        </w:numPr>
        <w:tabs>
          <w:tab w:val="left" w:pos="367"/>
        </w:tabs>
        <w:ind w:left="367" w:hanging="367"/>
        <w:jc w:val="both"/>
        <w:rPr>
          <w:sz w:val="24"/>
          <w:szCs w:val="24"/>
        </w:rPr>
      </w:pPr>
      <w:r w:rsidRPr="00D61223">
        <w:rPr>
          <w:sz w:val="24"/>
          <w:szCs w:val="24"/>
          <w:lang w:val="en-US"/>
        </w:rPr>
        <w:t xml:space="preserve">Rattner D. Humanizing childbirth care: brief theoretical framework. </w:t>
      </w:r>
      <w:r w:rsidRPr="00771368">
        <w:rPr>
          <w:sz w:val="24"/>
          <w:szCs w:val="24"/>
        </w:rPr>
        <w:t>Interface comun saúde educ</w:t>
      </w:r>
    </w:p>
    <w:p w:rsidR="00D24E61" w:rsidRPr="00771368" w:rsidRDefault="00D24E61">
      <w:pPr>
        <w:sectPr w:rsidR="00D24E61" w:rsidRPr="00771368">
          <w:pgSz w:w="11900" w:h="16838"/>
          <w:pgMar w:top="700" w:right="1120" w:bottom="965" w:left="1133" w:header="0" w:footer="0" w:gutter="0"/>
          <w:cols w:space="720" w:equalWidth="0">
            <w:col w:w="9647"/>
          </w:cols>
        </w:sectPr>
      </w:pPr>
    </w:p>
    <w:p w:rsidR="00D24E61" w:rsidRPr="00771368" w:rsidRDefault="00D24E61">
      <w:pPr>
        <w:spacing w:line="137" w:lineRule="exact"/>
        <w:rPr>
          <w:sz w:val="24"/>
          <w:szCs w:val="24"/>
        </w:rPr>
      </w:pPr>
    </w:p>
    <w:p w:rsidR="00D24E61" w:rsidRPr="00D509F1" w:rsidRDefault="00D24E61" w:rsidP="00D509F1">
      <w:pPr>
        <w:tabs>
          <w:tab w:val="left" w:pos="1320"/>
          <w:tab w:val="left" w:pos="2180"/>
          <w:tab w:val="left" w:pos="3080"/>
          <w:tab w:val="left" w:pos="3940"/>
          <w:tab w:val="left" w:pos="4600"/>
          <w:tab w:val="left" w:pos="5360"/>
          <w:tab w:val="left" w:pos="7780"/>
          <w:tab w:val="left" w:pos="9080"/>
        </w:tabs>
        <w:rPr>
          <w:sz w:val="20"/>
          <w:szCs w:val="20"/>
          <w:lang w:val="en-US"/>
        </w:rPr>
        <w:sectPr w:rsidR="00D24E61" w:rsidRPr="00D509F1">
          <w:type w:val="continuous"/>
          <w:pgSz w:w="11900" w:h="16838"/>
          <w:pgMar w:top="700" w:right="1140" w:bottom="965" w:left="1140" w:header="0" w:footer="0" w:gutter="0"/>
          <w:cols w:space="720" w:equalWidth="0">
            <w:col w:w="9620"/>
          </w:cols>
        </w:sectPr>
      </w:pPr>
      <w:r w:rsidRPr="00D61223">
        <w:rPr>
          <w:sz w:val="24"/>
          <w:szCs w:val="24"/>
          <w:lang w:val="en-US"/>
        </w:rPr>
        <w:t>[Internet].</w:t>
      </w:r>
      <w:r w:rsidRPr="00D61223">
        <w:rPr>
          <w:sz w:val="20"/>
          <w:szCs w:val="20"/>
          <w:lang w:val="en-US"/>
        </w:rPr>
        <w:tab/>
      </w:r>
      <w:r w:rsidRPr="00D61223">
        <w:rPr>
          <w:sz w:val="24"/>
          <w:szCs w:val="24"/>
          <w:lang w:val="en-US"/>
        </w:rPr>
        <w:t>2009</w:t>
      </w:r>
      <w:r w:rsidRPr="00D61223">
        <w:rPr>
          <w:sz w:val="20"/>
          <w:szCs w:val="20"/>
          <w:lang w:val="en-US"/>
        </w:rPr>
        <w:tab/>
      </w:r>
      <w:r w:rsidRPr="00D61223">
        <w:rPr>
          <w:sz w:val="24"/>
          <w:szCs w:val="24"/>
          <w:lang w:val="en-US"/>
        </w:rPr>
        <w:t>[cited</w:t>
      </w:r>
      <w:r w:rsidRPr="00D61223">
        <w:rPr>
          <w:sz w:val="20"/>
          <w:szCs w:val="20"/>
          <w:lang w:val="en-US"/>
        </w:rPr>
        <w:tab/>
      </w:r>
      <w:r w:rsidRPr="00D61223">
        <w:rPr>
          <w:sz w:val="24"/>
          <w:szCs w:val="24"/>
          <w:lang w:val="en-US"/>
        </w:rPr>
        <w:t>2013</w:t>
      </w:r>
      <w:r w:rsidRPr="00D61223">
        <w:rPr>
          <w:sz w:val="20"/>
          <w:szCs w:val="20"/>
          <w:lang w:val="en-US"/>
        </w:rPr>
        <w:tab/>
      </w:r>
      <w:r w:rsidRPr="00D61223">
        <w:rPr>
          <w:sz w:val="24"/>
          <w:szCs w:val="24"/>
          <w:lang w:val="en-US"/>
        </w:rPr>
        <w:t>Jul</w:t>
      </w:r>
      <w:r w:rsidRPr="00D61223">
        <w:rPr>
          <w:sz w:val="20"/>
          <w:szCs w:val="20"/>
          <w:lang w:val="en-US"/>
        </w:rPr>
        <w:tab/>
      </w:r>
      <w:r w:rsidRPr="00D61223">
        <w:rPr>
          <w:sz w:val="24"/>
          <w:szCs w:val="24"/>
          <w:lang w:val="en-US"/>
        </w:rPr>
        <w:t>17];</w:t>
      </w:r>
      <w:r w:rsidRPr="00D61223">
        <w:rPr>
          <w:sz w:val="20"/>
          <w:szCs w:val="20"/>
          <w:lang w:val="en-US"/>
        </w:rPr>
        <w:tab/>
      </w:r>
      <w:r w:rsidRPr="00D61223">
        <w:rPr>
          <w:sz w:val="24"/>
          <w:szCs w:val="24"/>
          <w:lang w:val="en-US"/>
        </w:rPr>
        <w:t>13(suppl.1):595-602.</w:t>
      </w:r>
      <w:r w:rsidRPr="00D61223">
        <w:rPr>
          <w:sz w:val="20"/>
          <w:szCs w:val="20"/>
          <w:lang w:val="en-US"/>
        </w:rPr>
        <w:tab/>
      </w:r>
      <w:r w:rsidRPr="00D61223">
        <w:rPr>
          <w:sz w:val="24"/>
          <w:szCs w:val="24"/>
          <w:lang w:val="en-US"/>
        </w:rPr>
        <w:t>Available</w:t>
      </w:r>
      <w:r w:rsidRPr="00D61223">
        <w:rPr>
          <w:sz w:val="20"/>
          <w:szCs w:val="20"/>
          <w:lang w:val="en-US"/>
        </w:rPr>
        <w:tab/>
      </w:r>
      <w:r w:rsidRPr="00D61223">
        <w:rPr>
          <w:sz w:val="23"/>
          <w:szCs w:val="23"/>
          <w:lang w:val="en-US"/>
        </w:rPr>
        <w:t>from:</w:t>
      </w:r>
      <w:r w:rsidR="00D509F1">
        <w:rPr>
          <w:sz w:val="23"/>
          <w:szCs w:val="23"/>
          <w:lang w:val="en-US"/>
        </w:rPr>
        <w:t xml:space="preserve">  </w:t>
      </w:r>
    </w:p>
    <w:p w:rsidR="00D24E61" w:rsidRPr="00D61223" w:rsidRDefault="00D24E61">
      <w:pPr>
        <w:spacing w:line="266" w:lineRule="exact"/>
        <w:rPr>
          <w:sz w:val="20"/>
          <w:szCs w:val="20"/>
          <w:lang w:val="en-US"/>
        </w:rPr>
      </w:pPr>
    </w:p>
    <w:p w:rsidR="00D24E61" w:rsidRPr="00D61223" w:rsidRDefault="00295FC8">
      <w:pPr>
        <w:tabs>
          <w:tab w:val="left" w:pos="9246"/>
        </w:tabs>
        <w:ind w:left="7"/>
        <w:rPr>
          <w:color w:val="0000FF"/>
          <w:sz w:val="24"/>
          <w:szCs w:val="24"/>
          <w:lang w:val="en-US"/>
        </w:rPr>
      </w:pPr>
      <w:hyperlink r:id="rId430">
        <w:r w:rsidR="00D24E61" w:rsidRPr="00D61223">
          <w:rPr>
            <w:color w:val="0000FF"/>
            <w:sz w:val="24"/>
            <w:szCs w:val="24"/>
            <w:u w:val="single"/>
            <w:lang w:val="en-US"/>
          </w:rPr>
          <w:t>http://www.scielo.br/scielo.php?pid=S1414-2832009000500011&amp;script=sci_arttext&amp;tlng=pt</w:t>
        </w:r>
      </w:hyperlink>
      <w:r w:rsidR="00D24E61" w:rsidRPr="00D61223">
        <w:rPr>
          <w:color w:val="0000FF"/>
          <w:sz w:val="24"/>
          <w:szCs w:val="24"/>
          <w:lang w:val="en-US"/>
        </w:rPr>
        <w:tab/>
        <w:t>doi:</w:t>
      </w:r>
    </w:p>
    <w:p w:rsidR="00D24E61" w:rsidRPr="00D61223" w:rsidRDefault="00D24E61">
      <w:pPr>
        <w:spacing w:line="137" w:lineRule="exact"/>
        <w:rPr>
          <w:sz w:val="20"/>
          <w:szCs w:val="20"/>
          <w:lang w:val="en-US"/>
        </w:rPr>
      </w:pPr>
    </w:p>
    <w:p w:rsidR="00D24E61" w:rsidRPr="00771368" w:rsidRDefault="00D24E61">
      <w:pPr>
        <w:ind w:left="7"/>
        <w:rPr>
          <w:sz w:val="20"/>
          <w:szCs w:val="20"/>
        </w:rPr>
      </w:pPr>
      <w:r w:rsidRPr="00771368">
        <w:rPr>
          <w:sz w:val="24"/>
          <w:szCs w:val="24"/>
        </w:rPr>
        <w:t>10.1590/S1414-32832009000500011</w:t>
      </w:r>
    </w:p>
    <w:p w:rsidR="00D24E61" w:rsidRPr="00771368" w:rsidRDefault="00D24E61">
      <w:pPr>
        <w:spacing w:line="200" w:lineRule="exact"/>
        <w:rPr>
          <w:sz w:val="20"/>
          <w:szCs w:val="20"/>
        </w:rPr>
      </w:pPr>
    </w:p>
    <w:p w:rsidR="00D24E61" w:rsidRPr="00771368" w:rsidRDefault="00D24E61">
      <w:pPr>
        <w:spacing w:line="355" w:lineRule="exact"/>
        <w:rPr>
          <w:sz w:val="20"/>
          <w:szCs w:val="20"/>
        </w:rPr>
      </w:pPr>
    </w:p>
    <w:p w:rsidR="00D24E61" w:rsidRPr="00771368" w:rsidRDefault="00D24E61" w:rsidP="00FA0ABA">
      <w:pPr>
        <w:numPr>
          <w:ilvl w:val="0"/>
          <w:numId w:val="19"/>
        </w:numPr>
        <w:tabs>
          <w:tab w:val="left" w:pos="367"/>
        </w:tabs>
        <w:ind w:left="367" w:hanging="367"/>
        <w:jc w:val="both"/>
        <w:rPr>
          <w:sz w:val="24"/>
          <w:szCs w:val="24"/>
        </w:rPr>
      </w:pPr>
      <w:r w:rsidRPr="00771368">
        <w:rPr>
          <w:sz w:val="24"/>
          <w:szCs w:val="24"/>
        </w:rPr>
        <w:t>Pires D. Reestruturação produtiva e trabalho em saúde no Brasil. São Paulo: Annablume; 1998.</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7" w:lineRule="exact"/>
        <w:rPr>
          <w:sz w:val="24"/>
          <w:szCs w:val="24"/>
        </w:rPr>
      </w:pPr>
    </w:p>
    <w:p w:rsidR="00D24E61" w:rsidRPr="00D61223" w:rsidRDefault="00D24E61" w:rsidP="00FA0ABA">
      <w:pPr>
        <w:numPr>
          <w:ilvl w:val="0"/>
          <w:numId w:val="19"/>
        </w:numPr>
        <w:tabs>
          <w:tab w:val="left" w:pos="400"/>
        </w:tabs>
        <w:spacing w:line="343" w:lineRule="auto"/>
        <w:ind w:left="7" w:hanging="7"/>
        <w:rPr>
          <w:color w:val="0000FF"/>
          <w:sz w:val="24"/>
          <w:szCs w:val="24"/>
          <w:lang w:val="en-US"/>
        </w:rPr>
      </w:pPr>
      <w:r w:rsidRPr="00D61223">
        <w:rPr>
          <w:sz w:val="24"/>
          <w:szCs w:val="24"/>
          <w:lang w:val="en-US"/>
        </w:rPr>
        <w:t xml:space="preserve">Barreto MRN. Assisted birth in 19th century Bahia. </w:t>
      </w:r>
      <w:r w:rsidRPr="00771368">
        <w:rPr>
          <w:sz w:val="24"/>
          <w:szCs w:val="24"/>
        </w:rPr>
        <w:t xml:space="preserve">Hist ciênc saúde-Manguinhos [Internet]. </w:t>
      </w:r>
      <w:r w:rsidRPr="00D61223">
        <w:rPr>
          <w:sz w:val="24"/>
          <w:szCs w:val="24"/>
          <w:lang w:val="en-US"/>
        </w:rPr>
        <w:t xml:space="preserve">2008 oct/dec [cited 2013 Jul 25]; 15(4):901-25. Available from: </w:t>
      </w:r>
      <w:hyperlink r:id="rId431">
        <w:r w:rsidRPr="00D61223">
          <w:rPr>
            <w:color w:val="0000FF"/>
            <w:sz w:val="24"/>
            <w:szCs w:val="24"/>
            <w:u w:val="single"/>
            <w:lang w:val="en-US"/>
          </w:rPr>
          <w:t>http://www.scielo.br/scielo.php?script=sci_arttext&amp;pid=S0104-</w:t>
        </w:r>
      </w:hyperlink>
      <w:hyperlink r:id="rId432">
        <w:r w:rsidRPr="00D61223">
          <w:rPr>
            <w:color w:val="0000FF"/>
            <w:sz w:val="24"/>
            <w:szCs w:val="24"/>
            <w:u w:val="single"/>
            <w:lang w:val="en-US"/>
          </w:rPr>
          <w:t>59702008000400002&amp;lng=en&amp;nrm=iso&amp;tlng=en</w:t>
        </w:r>
        <w:r w:rsidRPr="00D61223">
          <w:rPr>
            <w:color w:val="0000FF"/>
            <w:sz w:val="24"/>
            <w:szCs w:val="24"/>
            <w:lang w:val="en-US"/>
          </w:rPr>
          <w:t xml:space="preserve"> </w:t>
        </w:r>
      </w:hyperlink>
      <w:r w:rsidRPr="00D61223">
        <w:rPr>
          <w:color w:val="000000"/>
          <w:sz w:val="24"/>
          <w:szCs w:val="24"/>
          <w:lang w:val="en-US"/>
        </w:rPr>
        <w:t>doi:</w:t>
      </w:r>
      <w:r w:rsidRPr="00D61223">
        <w:rPr>
          <w:color w:val="0000FF"/>
          <w:sz w:val="24"/>
          <w:szCs w:val="24"/>
          <w:lang w:val="en-US"/>
        </w:rPr>
        <w:t xml:space="preserve"> </w:t>
      </w:r>
      <w:r w:rsidRPr="00D61223">
        <w:rPr>
          <w:color w:val="000000"/>
          <w:sz w:val="24"/>
          <w:szCs w:val="24"/>
          <w:lang w:val="en-US"/>
        </w:rPr>
        <w:t>10.1590/S0104-59702008000400002</w:t>
      </w:r>
    </w:p>
    <w:p w:rsidR="00D24E61" w:rsidRPr="00D61223" w:rsidRDefault="00D24E61">
      <w:pPr>
        <w:spacing w:line="200" w:lineRule="exact"/>
        <w:rPr>
          <w:color w:val="0000FF"/>
          <w:sz w:val="24"/>
          <w:szCs w:val="24"/>
          <w:lang w:val="en-US"/>
        </w:rPr>
      </w:pPr>
    </w:p>
    <w:p w:rsidR="00D24E61" w:rsidRPr="00D61223" w:rsidRDefault="00D24E61">
      <w:pPr>
        <w:spacing w:line="296" w:lineRule="exact"/>
        <w:rPr>
          <w:color w:val="0000FF"/>
          <w:sz w:val="24"/>
          <w:szCs w:val="24"/>
          <w:lang w:val="en-US"/>
        </w:rPr>
      </w:pPr>
    </w:p>
    <w:p w:rsidR="00D24E61" w:rsidRPr="00D61223" w:rsidRDefault="00D24E61" w:rsidP="00FA0ABA">
      <w:pPr>
        <w:numPr>
          <w:ilvl w:val="0"/>
          <w:numId w:val="19"/>
        </w:numPr>
        <w:tabs>
          <w:tab w:val="left" w:pos="381"/>
        </w:tabs>
        <w:spacing w:line="333" w:lineRule="auto"/>
        <w:ind w:left="7" w:hanging="7"/>
        <w:jc w:val="both"/>
        <w:rPr>
          <w:sz w:val="24"/>
          <w:szCs w:val="24"/>
          <w:lang w:val="en-US"/>
        </w:rPr>
      </w:pPr>
      <w:r w:rsidRPr="00771368">
        <w:rPr>
          <w:sz w:val="24"/>
          <w:szCs w:val="24"/>
        </w:rPr>
        <w:t xml:space="preserve">Alanís-Rufino M. Una cuestión de parteras y médicos. Mujeres en el Hospital de Maternidad e Infancia en la ciudad de México, 1861-1905. </w:t>
      </w:r>
      <w:r w:rsidRPr="00D61223">
        <w:rPr>
          <w:sz w:val="24"/>
          <w:szCs w:val="24"/>
          <w:lang w:val="en-US"/>
        </w:rPr>
        <w:t xml:space="preserve">Bol mex his fil med [Internet]. 2009 [cited 2013 Jul 25]; 12(2):63-8. Available from: </w:t>
      </w:r>
      <w:hyperlink r:id="rId433">
        <w:r w:rsidRPr="00D61223">
          <w:rPr>
            <w:color w:val="0000FF"/>
            <w:sz w:val="24"/>
            <w:szCs w:val="24"/>
            <w:u w:val="single"/>
            <w:lang w:val="en-US"/>
          </w:rPr>
          <w:t>http://www.medigraphic.com/pdfs/bmhfm/hf-2009/hf092g.pdf</w:t>
        </w:r>
      </w:hyperlink>
    </w:p>
    <w:p w:rsidR="00D24E61" w:rsidRPr="00D61223" w:rsidRDefault="00D24E61">
      <w:pPr>
        <w:spacing w:line="200" w:lineRule="exact"/>
        <w:rPr>
          <w:sz w:val="24"/>
          <w:szCs w:val="24"/>
          <w:lang w:val="en-US"/>
        </w:rPr>
      </w:pPr>
    </w:p>
    <w:p w:rsidR="00D24E61" w:rsidRPr="00D61223" w:rsidRDefault="00D24E61">
      <w:pPr>
        <w:spacing w:line="307" w:lineRule="exact"/>
        <w:rPr>
          <w:sz w:val="24"/>
          <w:szCs w:val="24"/>
          <w:lang w:val="en-US"/>
        </w:rPr>
      </w:pPr>
    </w:p>
    <w:p w:rsidR="00D24E61" w:rsidRPr="00771368" w:rsidRDefault="00D24E61" w:rsidP="00FA0ABA">
      <w:pPr>
        <w:numPr>
          <w:ilvl w:val="0"/>
          <w:numId w:val="19"/>
        </w:numPr>
        <w:tabs>
          <w:tab w:val="left" w:pos="386"/>
        </w:tabs>
        <w:spacing w:line="308" w:lineRule="auto"/>
        <w:ind w:left="7" w:hanging="7"/>
        <w:jc w:val="both"/>
        <w:rPr>
          <w:sz w:val="24"/>
          <w:szCs w:val="24"/>
        </w:rPr>
      </w:pPr>
      <w:r w:rsidRPr="00771368">
        <w:rPr>
          <w:sz w:val="24"/>
          <w:szCs w:val="24"/>
        </w:rPr>
        <w:t>Silva LM, Barbieri M, Fustinoni SM. Vivenciando a experiência da parturição em um modelo assistencial humanizado. Rev bras Enferm [Internet]. 2011 jan/feb [cited 2013 Jul 25]; 64(1): 60-5.</w:t>
      </w:r>
    </w:p>
    <w:p w:rsidR="00D24E61" w:rsidRPr="00771368" w:rsidRDefault="00D24E61">
      <w:pPr>
        <w:spacing w:line="59" w:lineRule="exact"/>
        <w:rPr>
          <w:color w:val="0000FF"/>
          <w:sz w:val="24"/>
          <w:szCs w:val="24"/>
          <w:u w:val="single"/>
        </w:rPr>
      </w:pPr>
    </w:p>
    <w:p w:rsidR="00D24E61" w:rsidRPr="00771368" w:rsidRDefault="00D24E61">
      <w:pPr>
        <w:tabs>
          <w:tab w:val="left" w:pos="1946"/>
          <w:tab w:val="left" w:pos="3506"/>
        </w:tabs>
        <w:ind w:left="7"/>
        <w:rPr>
          <w:color w:val="0000FF"/>
          <w:sz w:val="23"/>
          <w:szCs w:val="23"/>
          <w:u w:val="single"/>
        </w:rPr>
      </w:pPr>
      <w:r w:rsidRPr="00771368">
        <w:rPr>
          <w:sz w:val="24"/>
          <w:szCs w:val="24"/>
        </w:rPr>
        <w:t>Available</w:t>
      </w:r>
      <w:r w:rsidRPr="00771368">
        <w:rPr>
          <w:sz w:val="20"/>
          <w:szCs w:val="20"/>
        </w:rPr>
        <w:tab/>
      </w:r>
      <w:r w:rsidRPr="00771368">
        <w:rPr>
          <w:sz w:val="24"/>
          <w:szCs w:val="24"/>
        </w:rPr>
        <w:t>from:</w:t>
      </w:r>
      <w:r w:rsidRPr="00771368">
        <w:rPr>
          <w:sz w:val="20"/>
          <w:szCs w:val="20"/>
        </w:rPr>
        <w:tab/>
      </w:r>
      <w:hyperlink r:id="rId434">
        <w:r w:rsidRPr="00771368">
          <w:rPr>
            <w:color w:val="0000FF"/>
            <w:sz w:val="23"/>
            <w:szCs w:val="23"/>
            <w:u w:val="single"/>
          </w:rPr>
          <w:t>http://www.scielo.br/scielo.php?script=sci_arttext&amp;pid=S0034-</w:t>
        </w:r>
      </w:hyperlink>
    </w:p>
    <w:p w:rsidR="00D24E61" w:rsidRPr="00771368" w:rsidRDefault="00D24E61">
      <w:pPr>
        <w:spacing w:line="137" w:lineRule="exact"/>
        <w:rPr>
          <w:color w:val="0000FF"/>
          <w:sz w:val="24"/>
          <w:szCs w:val="24"/>
          <w:u w:val="single"/>
        </w:rPr>
      </w:pPr>
    </w:p>
    <w:p w:rsidR="00D24E61" w:rsidRPr="00771368" w:rsidRDefault="00295FC8">
      <w:pPr>
        <w:ind w:left="7"/>
        <w:rPr>
          <w:color w:val="0000FF"/>
          <w:sz w:val="24"/>
          <w:szCs w:val="24"/>
        </w:rPr>
      </w:pPr>
      <w:hyperlink r:id="rId435">
        <w:r w:rsidR="00D24E61" w:rsidRPr="00771368">
          <w:rPr>
            <w:color w:val="0000FF"/>
            <w:sz w:val="24"/>
            <w:szCs w:val="24"/>
            <w:u w:val="single"/>
          </w:rPr>
          <w:t>71672011000100009</w:t>
        </w:r>
        <w:r w:rsidR="00D24E61" w:rsidRPr="00771368">
          <w:rPr>
            <w:color w:val="0000FF"/>
            <w:sz w:val="24"/>
            <w:szCs w:val="24"/>
          </w:rPr>
          <w:t xml:space="preserve"> </w:t>
        </w:r>
      </w:hyperlink>
      <w:r w:rsidR="00D24E61" w:rsidRPr="00771368">
        <w:rPr>
          <w:color w:val="000000"/>
          <w:sz w:val="24"/>
          <w:szCs w:val="24"/>
        </w:rPr>
        <w:t>doi:</w:t>
      </w:r>
      <w:r w:rsidR="00D24E61" w:rsidRPr="00771368">
        <w:rPr>
          <w:color w:val="0000FF"/>
          <w:sz w:val="24"/>
          <w:szCs w:val="24"/>
        </w:rPr>
        <w:t xml:space="preserve"> </w:t>
      </w:r>
      <w:r w:rsidR="00D24E61" w:rsidRPr="00771368">
        <w:rPr>
          <w:color w:val="000000"/>
          <w:sz w:val="24"/>
          <w:szCs w:val="24"/>
        </w:rPr>
        <w:t>10.1590/S0034-71672011000100009</w:t>
      </w:r>
    </w:p>
    <w:p w:rsidR="00D24E61" w:rsidRPr="00771368" w:rsidRDefault="00D24E61">
      <w:pPr>
        <w:spacing w:line="200" w:lineRule="exact"/>
        <w:rPr>
          <w:color w:val="0000FF"/>
          <w:sz w:val="24"/>
          <w:szCs w:val="24"/>
          <w:u w:val="single"/>
        </w:rPr>
      </w:pPr>
    </w:p>
    <w:p w:rsidR="00D24E61" w:rsidRPr="00771368" w:rsidRDefault="00D24E61">
      <w:pPr>
        <w:spacing w:line="200" w:lineRule="exact"/>
        <w:rPr>
          <w:color w:val="0000FF"/>
          <w:sz w:val="24"/>
          <w:szCs w:val="24"/>
          <w:u w:val="single"/>
        </w:rPr>
      </w:pPr>
    </w:p>
    <w:p w:rsidR="00D24E61" w:rsidRPr="00771368" w:rsidRDefault="00D24E61">
      <w:pPr>
        <w:spacing w:line="213" w:lineRule="exact"/>
        <w:rPr>
          <w:color w:val="0000FF"/>
          <w:sz w:val="24"/>
          <w:szCs w:val="24"/>
          <w:u w:val="single"/>
        </w:rPr>
      </w:pPr>
    </w:p>
    <w:p w:rsidR="00D24E61" w:rsidRPr="00D61223" w:rsidRDefault="00D24E61">
      <w:pPr>
        <w:spacing w:line="342" w:lineRule="auto"/>
        <w:ind w:left="7"/>
        <w:jc w:val="both"/>
        <w:rPr>
          <w:color w:val="0000FF"/>
          <w:sz w:val="24"/>
          <w:szCs w:val="24"/>
          <w:lang w:val="en-US"/>
        </w:rPr>
      </w:pPr>
      <w:r w:rsidRPr="00771368">
        <w:rPr>
          <w:sz w:val="24"/>
          <w:szCs w:val="24"/>
        </w:rPr>
        <w:t xml:space="preserve">23. Aguiar JM, d’Oliveira AFL. Violência institucional em maternidades públicas sob a ótica das usuárias. </w:t>
      </w:r>
      <w:r w:rsidRPr="00D61223">
        <w:rPr>
          <w:sz w:val="24"/>
          <w:szCs w:val="24"/>
          <w:lang w:val="en-US"/>
        </w:rPr>
        <w:t xml:space="preserve">Interface comun saúde educ [Internet]. 2011 jan/mar [cited 2013 Jul 25]; 15(36):79-91. Available from: </w:t>
      </w:r>
      <w:hyperlink r:id="rId436">
        <w:r w:rsidRPr="00D61223">
          <w:rPr>
            <w:color w:val="0000FF"/>
            <w:sz w:val="24"/>
            <w:szCs w:val="24"/>
            <w:u w:val="single"/>
            <w:lang w:val="en-US"/>
          </w:rPr>
          <w:t>http://www.scielo.br/scielo.php?pid=S1414-</w:t>
        </w:r>
      </w:hyperlink>
      <w:hyperlink r:id="rId437">
        <w:r w:rsidRPr="00D61223">
          <w:rPr>
            <w:color w:val="0000FF"/>
            <w:sz w:val="24"/>
            <w:szCs w:val="24"/>
            <w:u w:val="single"/>
            <w:lang w:val="en-US"/>
          </w:rPr>
          <w:t>32832011000100007&amp;script=sci_arttext</w:t>
        </w:r>
        <w:r w:rsidRPr="00D61223">
          <w:rPr>
            <w:color w:val="0000FF"/>
            <w:sz w:val="24"/>
            <w:szCs w:val="24"/>
            <w:lang w:val="en-US"/>
          </w:rPr>
          <w:t xml:space="preserve"> </w:t>
        </w:r>
      </w:hyperlink>
      <w:r w:rsidRPr="00D61223">
        <w:rPr>
          <w:color w:val="000000"/>
          <w:sz w:val="24"/>
          <w:szCs w:val="24"/>
          <w:lang w:val="en-US"/>
        </w:rPr>
        <w:t>doi:</w:t>
      </w:r>
      <w:r w:rsidRPr="00D61223">
        <w:rPr>
          <w:color w:val="0000FF"/>
          <w:sz w:val="24"/>
          <w:szCs w:val="24"/>
          <w:lang w:val="en-US"/>
        </w:rPr>
        <w:t xml:space="preserve"> </w:t>
      </w:r>
      <w:r w:rsidRPr="00D61223">
        <w:rPr>
          <w:color w:val="000000"/>
          <w:sz w:val="24"/>
          <w:szCs w:val="24"/>
          <w:lang w:val="en-US"/>
        </w:rPr>
        <w:t>10.1590/S1414-32832010005000035</w:t>
      </w:r>
    </w:p>
    <w:p w:rsidR="00D24E61" w:rsidRPr="00D61223" w:rsidRDefault="00D24E61">
      <w:pPr>
        <w:spacing w:line="200" w:lineRule="exact"/>
        <w:rPr>
          <w:sz w:val="20"/>
          <w:szCs w:val="20"/>
          <w:lang w:val="en-US"/>
        </w:rPr>
      </w:pPr>
    </w:p>
    <w:p w:rsidR="00D24E61" w:rsidRPr="00D61223" w:rsidRDefault="00D24E61">
      <w:pPr>
        <w:spacing w:line="238" w:lineRule="exact"/>
        <w:rPr>
          <w:sz w:val="20"/>
          <w:szCs w:val="20"/>
          <w:lang w:val="en-US"/>
        </w:rPr>
      </w:pPr>
    </w:p>
    <w:p w:rsidR="00D24E61" w:rsidRPr="00771368" w:rsidRDefault="00D24E61" w:rsidP="00FA0ABA">
      <w:pPr>
        <w:numPr>
          <w:ilvl w:val="0"/>
          <w:numId w:val="47"/>
        </w:numPr>
        <w:tabs>
          <w:tab w:val="left" w:pos="367"/>
        </w:tabs>
        <w:ind w:left="367" w:hanging="367"/>
        <w:jc w:val="both"/>
        <w:rPr>
          <w:sz w:val="24"/>
          <w:szCs w:val="24"/>
        </w:rPr>
      </w:pPr>
      <w:r w:rsidRPr="00771368">
        <w:rPr>
          <w:sz w:val="24"/>
          <w:szCs w:val="24"/>
        </w:rPr>
        <w:t>Foucault, M. Microfísica do poder. 24. ed. Rio de Janeiro: Graal; 2007.</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8" w:lineRule="exact"/>
        <w:rPr>
          <w:sz w:val="24"/>
          <w:szCs w:val="24"/>
        </w:rPr>
      </w:pPr>
    </w:p>
    <w:p w:rsidR="00D24E61" w:rsidRPr="00D61223" w:rsidRDefault="00D24E61" w:rsidP="00FA0ABA">
      <w:pPr>
        <w:numPr>
          <w:ilvl w:val="0"/>
          <w:numId w:val="47"/>
        </w:numPr>
        <w:tabs>
          <w:tab w:val="left" w:pos="453"/>
        </w:tabs>
        <w:spacing w:line="347" w:lineRule="auto"/>
        <w:ind w:left="7" w:hanging="7"/>
        <w:jc w:val="both"/>
        <w:rPr>
          <w:color w:val="0000FF"/>
          <w:sz w:val="24"/>
          <w:szCs w:val="24"/>
          <w:lang w:val="en-US"/>
        </w:rPr>
      </w:pPr>
      <w:r w:rsidRPr="00771368">
        <w:rPr>
          <w:sz w:val="24"/>
          <w:szCs w:val="24"/>
        </w:rPr>
        <w:t xml:space="preserve">Moura FMJSP, Crizostomo CD, Nery IS, Mendonça RCM, Araújo OD, Rocha SS. A humanização e a assistência de enfermagem ao parto normal. </w:t>
      </w:r>
      <w:r w:rsidRPr="00D61223">
        <w:rPr>
          <w:sz w:val="24"/>
          <w:szCs w:val="24"/>
          <w:lang w:val="en-US"/>
        </w:rPr>
        <w:t xml:space="preserve">Rev bras enferm [Internet]. 2007 july/aug [cited 2013 Jul 25]; 60(4):452-5. Available from: </w:t>
      </w:r>
      <w:hyperlink r:id="rId438">
        <w:r w:rsidRPr="00D61223">
          <w:rPr>
            <w:color w:val="0000FF"/>
            <w:sz w:val="24"/>
            <w:szCs w:val="24"/>
            <w:u w:val="single"/>
            <w:lang w:val="en-US"/>
          </w:rPr>
          <w:t>http://www.scielo.br/scielo.php?script=sci_arttext&amp;pid=S0034-71672007000400018</w:t>
        </w:r>
        <w:r w:rsidRPr="00D61223">
          <w:rPr>
            <w:color w:val="0000FF"/>
            <w:sz w:val="24"/>
            <w:szCs w:val="24"/>
            <w:lang w:val="en-US"/>
          </w:rPr>
          <w:t xml:space="preserve"> </w:t>
        </w:r>
      </w:hyperlink>
      <w:r w:rsidRPr="00D61223">
        <w:rPr>
          <w:color w:val="000000"/>
          <w:sz w:val="24"/>
          <w:szCs w:val="24"/>
          <w:lang w:val="en-US"/>
        </w:rPr>
        <w:t>doi:</w:t>
      </w:r>
      <w:r w:rsidRPr="00D61223">
        <w:rPr>
          <w:color w:val="0000FF"/>
          <w:sz w:val="24"/>
          <w:szCs w:val="24"/>
          <w:lang w:val="en-US"/>
        </w:rPr>
        <w:t xml:space="preserve"> </w:t>
      </w:r>
      <w:r w:rsidRPr="00D61223">
        <w:rPr>
          <w:color w:val="000000"/>
          <w:sz w:val="24"/>
          <w:szCs w:val="24"/>
          <w:lang w:val="en-US"/>
        </w:rPr>
        <w:t>10.1590/S0034-71672007000400018</w:t>
      </w:r>
    </w:p>
    <w:p w:rsidR="00D24E61" w:rsidRPr="00D61223" w:rsidRDefault="00D24E61">
      <w:pPr>
        <w:spacing w:line="200" w:lineRule="exact"/>
        <w:rPr>
          <w:color w:val="0000FF"/>
          <w:sz w:val="24"/>
          <w:szCs w:val="24"/>
          <w:lang w:val="en-US"/>
        </w:rPr>
      </w:pPr>
    </w:p>
    <w:p w:rsidR="00D24E61" w:rsidRPr="00D61223" w:rsidRDefault="00D24E61">
      <w:pPr>
        <w:spacing w:line="291" w:lineRule="exact"/>
        <w:rPr>
          <w:color w:val="0000FF"/>
          <w:sz w:val="24"/>
          <w:szCs w:val="24"/>
          <w:lang w:val="en-US"/>
        </w:rPr>
      </w:pPr>
    </w:p>
    <w:p w:rsidR="00D24E61" w:rsidRPr="00D61223" w:rsidRDefault="00D24E61" w:rsidP="00FA0ABA">
      <w:pPr>
        <w:numPr>
          <w:ilvl w:val="0"/>
          <w:numId w:val="47"/>
        </w:numPr>
        <w:tabs>
          <w:tab w:val="left" w:pos="390"/>
        </w:tabs>
        <w:spacing w:line="333" w:lineRule="auto"/>
        <w:ind w:left="7" w:hanging="7"/>
        <w:jc w:val="both"/>
        <w:rPr>
          <w:sz w:val="24"/>
          <w:szCs w:val="24"/>
          <w:lang w:val="en-US"/>
        </w:rPr>
      </w:pPr>
      <w:r w:rsidRPr="00771368">
        <w:rPr>
          <w:sz w:val="24"/>
          <w:szCs w:val="24"/>
        </w:rPr>
        <w:t xml:space="preserve">Garcia SAL, Lippi UG, Garcia SAL. O parto assistido por enfermeira obstetra: perspectivas e controvérsias. </w:t>
      </w:r>
      <w:r w:rsidRPr="00D61223">
        <w:rPr>
          <w:sz w:val="24"/>
          <w:szCs w:val="24"/>
          <w:lang w:val="en-US"/>
        </w:rPr>
        <w:t xml:space="preserve">Rev bras promoç saúde [Internet]. 2010 oct/dec [cited 2013 Jul 25]; 23(4): 380-8. Available from: </w:t>
      </w:r>
      <w:hyperlink r:id="rId439">
        <w:r w:rsidRPr="00D61223">
          <w:rPr>
            <w:color w:val="0000FF"/>
            <w:sz w:val="24"/>
            <w:szCs w:val="24"/>
            <w:u w:val="single"/>
            <w:lang w:val="en-US"/>
          </w:rPr>
          <w:t>http://www.unifor.br/images/pdfs/rbps/artigo11_2010.4.pdf</w:t>
        </w:r>
      </w:hyperlink>
    </w:p>
    <w:p w:rsidR="00D24E61" w:rsidRPr="00D61223" w:rsidRDefault="00D24E61">
      <w:pPr>
        <w:rPr>
          <w:lang w:val="en-US"/>
        </w:rPr>
        <w:sectPr w:rsidR="00D24E61" w:rsidRPr="00D61223">
          <w:pgSz w:w="11900" w:h="16838"/>
          <w:pgMar w:top="700" w:right="1120" w:bottom="860" w:left="1133" w:header="0" w:footer="0" w:gutter="0"/>
          <w:cols w:space="720" w:equalWidth="0">
            <w:col w:w="9647"/>
          </w:cols>
        </w:sectPr>
      </w:pPr>
    </w:p>
    <w:p w:rsidR="00D24E61" w:rsidRPr="00D61223" w:rsidRDefault="00D24E61">
      <w:pPr>
        <w:spacing w:line="343" w:lineRule="auto"/>
        <w:ind w:left="7"/>
        <w:jc w:val="both"/>
        <w:rPr>
          <w:color w:val="0000FF"/>
          <w:sz w:val="24"/>
          <w:szCs w:val="24"/>
          <w:u w:val="single"/>
          <w:lang w:val="en-US"/>
        </w:rPr>
      </w:pPr>
      <w:r w:rsidRPr="00771368">
        <w:rPr>
          <w:sz w:val="24"/>
          <w:szCs w:val="24"/>
        </w:rPr>
        <w:t xml:space="preserve">27. Rocha CR, Fonseca LC. Assistência do enfermeiro obstetra à mulher parturiente: em busca do respeito à natureza. </w:t>
      </w:r>
      <w:r w:rsidRPr="00D61223">
        <w:rPr>
          <w:sz w:val="24"/>
          <w:szCs w:val="24"/>
          <w:lang w:val="en-US"/>
        </w:rPr>
        <w:t xml:space="preserve">Rer pesqui cuid fundam [Internet]. 2010 abr/jun [cited 2013 Jul 28]; 2(2):807-16. Available from: </w:t>
      </w:r>
      <w:hyperlink r:id="rId440">
        <w:r w:rsidRPr="00D61223">
          <w:rPr>
            <w:color w:val="0000FF"/>
            <w:sz w:val="24"/>
            <w:szCs w:val="24"/>
            <w:u w:val="single"/>
            <w:lang w:val="en-US"/>
          </w:rPr>
          <w:t>http://www.seer.unirio.br/index.php/cuidadofundamental/article/view/339/pdf_19</w:t>
        </w:r>
      </w:hyperlink>
    </w:p>
    <w:p w:rsidR="00D24E61" w:rsidRPr="00D61223" w:rsidRDefault="00D24E61">
      <w:pPr>
        <w:spacing w:line="200" w:lineRule="exact"/>
        <w:rPr>
          <w:sz w:val="20"/>
          <w:szCs w:val="20"/>
          <w:lang w:val="en-US"/>
        </w:rPr>
      </w:pPr>
    </w:p>
    <w:p w:rsidR="00D24E61" w:rsidRPr="00D61223" w:rsidRDefault="00D24E61">
      <w:pPr>
        <w:spacing w:line="297" w:lineRule="exact"/>
        <w:rPr>
          <w:sz w:val="20"/>
          <w:szCs w:val="20"/>
          <w:lang w:val="en-US"/>
        </w:rPr>
      </w:pPr>
    </w:p>
    <w:p w:rsidR="00D24E61" w:rsidRPr="00D61223" w:rsidRDefault="00D24E61" w:rsidP="00FA0ABA">
      <w:pPr>
        <w:numPr>
          <w:ilvl w:val="0"/>
          <w:numId w:val="48"/>
        </w:numPr>
        <w:tabs>
          <w:tab w:val="left" w:pos="376"/>
        </w:tabs>
        <w:spacing w:line="342" w:lineRule="auto"/>
        <w:ind w:left="7" w:hanging="7"/>
        <w:jc w:val="both"/>
        <w:rPr>
          <w:sz w:val="24"/>
          <w:szCs w:val="24"/>
          <w:lang w:val="en-US"/>
        </w:rPr>
      </w:pPr>
      <w:r w:rsidRPr="00771368">
        <w:rPr>
          <w:sz w:val="24"/>
          <w:szCs w:val="24"/>
        </w:rPr>
        <w:t xml:space="preserve">Velho MB, Oliveira ME, Santos EKA. Reflexões sobre a assistência de enfermagem prestada à parturiente. </w:t>
      </w:r>
      <w:r w:rsidRPr="00D61223">
        <w:rPr>
          <w:sz w:val="24"/>
          <w:szCs w:val="24"/>
          <w:lang w:val="en-US"/>
        </w:rPr>
        <w:t xml:space="preserve">Rev bras enferm [Internet]. 2010 july/aug [cited 2013 Jul 25]; 63(4): 652-9. Available from: </w:t>
      </w:r>
      <w:hyperlink r:id="rId441">
        <w:r w:rsidRPr="00D61223">
          <w:rPr>
            <w:color w:val="0000FF"/>
            <w:sz w:val="24"/>
            <w:szCs w:val="24"/>
            <w:u w:val="single"/>
            <w:lang w:val="en-US"/>
          </w:rPr>
          <w:t>http://www.scielo.br/scielo.php?pid=S0034-71672010000400023&amp;script=sci_arttext</w:t>
        </w:r>
        <w:r w:rsidRPr="00D61223">
          <w:rPr>
            <w:sz w:val="24"/>
            <w:szCs w:val="24"/>
            <w:u w:val="single"/>
            <w:lang w:val="en-US"/>
          </w:rPr>
          <w:t xml:space="preserve"> </w:t>
        </w:r>
      </w:hyperlink>
      <w:r w:rsidRPr="00D61223">
        <w:rPr>
          <w:sz w:val="24"/>
          <w:szCs w:val="24"/>
          <w:lang w:val="en-US"/>
        </w:rPr>
        <w:t>doi: 10.1590/S0034-71672010000400023</w:t>
      </w:r>
    </w:p>
    <w:p w:rsidR="00D24E61" w:rsidRPr="00D61223" w:rsidRDefault="00D24E61">
      <w:pPr>
        <w:spacing w:line="200" w:lineRule="exact"/>
        <w:rPr>
          <w:sz w:val="24"/>
          <w:szCs w:val="24"/>
          <w:lang w:val="en-US"/>
        </w:rPr>
      </w:pPr>
    </w:p>
    <w:p w:rsidR="00D24E61" w:rsidRPr="00D61223" w:rsidRDefault="00D24E61">
      <w:pPr>
        <w:spacing w:line="296" w:lineRule="exact"/>
        <w:rPr>
          <w:sz w:val="24"/>
          <w:szCs w:val="24"/>
          <w:lang w:val="en-US"/>
        </w:rPr>
      </w:pPr>
    </w:p>
    <w:p w:rsidR="00D24E61" w:rsidRPr="00771368" w:rsidRDefault="00D24E61" w:rsidP="00FA0ABA">
      <w:pPr>
        <w:numPr>
          <w:ilvl w:val="0"/>
          <w:numId w:val="48"/>
        </w:numPr>
        <w:tabs>
          <w:tab w:val="left" w:pos="448"/>
        </w:tabs>
        <w:spacing w:line="308" w:lineRule="auto"/>
        <w:ind w:left="7" w:right="20" w:hanging="7"/>
        <w:jc w:val="both"/>
        <w:rPr>
          <w:sz w:val="24"/>
          <w:szCs w:val="24"/>
        </w:rPr>
      </w:pPr>
      <w:r w:rsidRPr="00771368">
        <w:rPr>
          <w:sz w:val="24"/>
          <w:szCs w:val="24"/>
        </w:rPr>
        <w:t>Griboski RA, Guilhem D. Mulheres e profissionais de saúde: o imaginário cultural na humanização ao parto e nascimento. Texto &amp; contexto enferm [Internet]. 2006 jan/mar [cited 2013</w:t>
      </w:r>
    </w:p>
    <w:p w:rsidR="00D24E61" w:rsidRPr="00771368" w:rsidRDefault="00D24E61">
      <w:pPr>
        <w:spacing w:line="60" w:lineRule="exact"/>
        <w:rPr>
          <w:sz w:val="20"/>
          <w:szCs w:val="20"/>
        </w:rPr>
      </w:pPr>
    </w:p>
    <w:p w:rsidR="00D24E61" w:rsidRPr="00771368" w:rsidRDefault="00D24E61">
      <w:pPr>
        <w:tabs>
          <w:tab w:val="left" w:pos="1806"/>
          <w:tab w:val="left" w:pos="3726"/>
          <w:tab w:val="left" w:pos="6606"/>
          <w:tab w:val="left" w:pos="9086"/>
        </w:tabs>
        <w:ind w:left="7"/>
        <w:rPr>
          <w:sz w:val="20"/>
          <w:szCs w:val="20"/>
        </w:rPr>
      </w:pPr>
      <w:r w:rsidRPr="00771368">
        <w:rPr>
          <w:sz w:val="24"/>
          <w:szCs w:val="24"/>
        </w:rPr>
        <w:t>Jul</w:t>
      </w:r>
      <w:r w:rsidRPr="00771368">
        <w:rPr>
          <w:sz w:val="20"/>
          <w:szCs w:val="20"/>
        </w:rPr>
        <w:tab/>
      </w:r>
      <w:r w:rsidRPr="00771368">
        <w:rPr>
          <w:sz w:val="24"/>
          <w:szCs w:val="24"/>
        </w:rPr>
        <w:t>25];</w:t>
      </w:r>
      <w:r w:rsidRPr="00771368">
        <w:rPr>
          <w:sz w:val="20"/>
          <w:szCs w:val="20"/>
        </w:rPr>
        <w:tab/>
      </w:r>
      <w:r w:rsidRPr="00771368">
        <w:rPr>
          <w:sz w:val="24"/>
          <w:szCs w:val="24"/>
        </w:rPr>
        <w:t>15(1):107-14.</w:t>
      </w:r>
      <w:r w:rsidRPr="00771368">
        <w:rPr>
          <w:sz w:val="20"/>
          <w:szCs w:val="20"/>
        </w:rPr>
        <w:tab/>
      </w:r>
      <w:r w:rsidRPr="00771368">
        <w:rPr>
          <w:sz w:val="24"/>
          <w:szCs w:val="24"/>
        </w:rPr>
        <w:t>Available</w:t>
      </w:r>
      <w:r w:rsidRPr="00771368">
        <w:rPr>
          <w:sz w:val="20"/>
          <w:szCs w:val="20"/>
        </w:rPr>
        <w:tab/>
      </w:r>
      <w:r w:rsidRPr="00771368">
        <w:rPr>
          <w:sz w:val="23"/>
          <w:szCs w:val="23"/>
        </w:rPr>
        <w:t>from:</w:t>
      </w:r>
    </w:p>
    <w:p w:rsidR="00D24E61" w:rsidRPr="00771368" w:rsidRDefault="00D24E61">
      <w:pPr>
        <w:spacing w:line="142" w:lineRule="exact"/>
        <w:rPr>
          <w:sz w:val="20"/>
          <w:szCs w:val="20"/>
        </w:rPr>
      </w:pPr>
    </w:p>
    <w:p w:rsidR="00D24E61" w:rsidRPr="00771368" w:rsidRDefault="00295FC8">
      <w:pPr>
        <w:tabs>
          <w:tab w:val="left" w:pos="9246"/>
        </w:tabs>
        <w:ind w:left="7"/>
        <w:rPr>
          <w:color w:val="0000FF"/>
          <w:sz w:val="24"/>
          <w:szCs w:val="24"/>
        </w:rPr>
      </w:pPr>
      <w:hyperlink r:id="rId442">
        <w:r w:rsidR="00D24E61" w:rsidRPr="00771368">
          <w:rPr>
            <w:color w:val="0000FF"/>
            <w:sz w:val="24"/>
            <w:szCs w:val="24"/>
            <w:u w:val="single"/>
          </w:rPr>
          <w:t>http://www.scielo.br/scielo.php?script=sci_arttext&amp;pid=S0104-07072006000100013</w:t>
        </w:r>
      </w:hyperlink>
      <w:r w:rsidR="00D24E61" w:rsidRPr="00771368">
        <w:rPr>
          <w:color w:val="0000FF"/>
          <w:sz w:val="24"/>
          <w:szCs w:val="24"/>
        </w:rPr>
        <w:tab/>
        <w:t>doi:</w:t>
      </w:r>
    </w:p>
    <w:p w:rsidR="00D24E61" w:rsidRPr="00771368" w:rsidRDefault="00D24E61">
      <w:pPr>
        <w:spacing w:line="137" w:lineRule="exact"/>
        <w:rPr>
          <w:sz w:val="20"/>
          <w:szCs w:val="20"/>
        </w:rPr>
      </w:pPr>
    </w:p>
    <w:p w:rsidR="00D24E61" w:rsidRPr="00771368" w:rsidRDefault="00D24E61">
      <w:pPr>
        <w:ind w:left="7"/>
        <w:rPr>
          <w:sz w:val="20"/>
          <w:szCs w:val="20"/>
        </w:rPr>
      </w:pPr>
      <w:r w:rsidRPr="00771368">
        <w:rPr>
          <w:sz w:val="24"/>
          <w:szCs w:val="24"/>
        </w:rPr>
        <w:t>10.1590/S0104-07072006000100013</w:t>
      </w:r>
    </w:p>
    <w:p w:rsidR="00D24E61" w:rsidRPr="00771368" w:rsidRDefault="00D24E61">
      <w:pPr>
        <w:spacing w:line="255" w:lineRule="exact"/>
        <w:rPr>
          <w:sz w:val="24"/>
          <w:szCs w:val="24"/>
        </w:rPr>
      </w:pPr>
    </w:p>
    <w:p w:rsidR="00D509F1" w:rsidRDefault="00D509F1">
      <w:pPr>
        <w:ind w:left="2480"/>
        <w:rPr>
          <w:rFonts w:eastAsia="Arial"/>
          <w:sz w:val="24"/>
          <w:szCs w:val="24"/>
        </w:rPr>
      </w:pPr>
    </w:p>
    <w:p w:rsidR="00D509F1" w:rsidRDefault="00D509F1">
      <w:pPr>
        <w:ind w:left="2480"/>
        <w:rPr>
          <w:rFonts w:eastAsia="Arial"/>
          <w:sz w:val="24"/>
          <w:szCs w:val="24"/>
        </w:rPr>
      </w:pPr>
    </w:p>
    <w:p w:rsidR="00D509F1" w:rsidRDefault="00D509F1">
      <w:pPr>
        <w:ind w:left="2480"/>
        <w:rPr>
          <w:rFonts w:eastAsia="Arial"/>
          <w:sz w:val="24"/>
          <w:szCs w:val="24"/>
        </w:rPr>
      </w:pPr>
    </w:p>
    <w:p w:rsidR="00D509F1" w:rsidRDefault="00D509F1">
      <w:pPr>
        <w:ind w:left="2480"/>
        <w:rPr>
          <w:rFonts w:eastAsia="Arial"/>
          <w:sz w:val="24"/>
          <w:szCs w:val="24"/>
        </w:rPr>
      </w:pPr>
    </w:p>
    <w:p w:rsidR="00085E73" w:rsidRDefault="00085E73">
      <w:pPr>
        <w:rPr>
          <w:rFonts w:eastAsia="Arial"/>
          <w:b/>
          <w:sz w:val="36"/>
          <w:szCs w:val="24"/>
        </w:rPr>
      </w:pPr>
      <w:r>
        <w:rPr>
          <w:rFonts w:eastAsia="Arial"/>
          <w:b/>
          <w:sz w:val="36"/>
          <w:szCs w:val="24"/>
        </w:rPr>
        <w:br w:type="page"/>
      </w:r>
    </w:p>
    <w:p w:rsidR="00D24E61" w:rsidRPr="00D509F1" w:rsidRDefault="00D24E61" w:rsidP="00D509F1">
      <w:pPr>
        <w:ind w:left="1418"/>
        <w:rPr>
          <w:b/>
          <w:sz w:val="28"/>
          <w:szCs w:val="20"/>
        </w:rPr>
      </w:pPr>
      <w:r w:rsidRPr="00D509F1">
        <w:rPr>
          <w:rFonts w:eastAsia="Arial"/>
          <w:b/>
          <w:sz w:val="36"/>
          <w:szCs w:val="24"/>
        </w:rPr>
        <w:t>A queixa da filha de aliança de Montaigne</w:t>
      </w:r>
    </w:p>
    <w:p w:rsidR="00D24E61" w:rsidRPr="00771368" w:rsidRDefault="00D24E61">
      <w:pPr>
        <w:spacing w:line="200" w:lineRule="exact"/>
        <w:rPr>
          <w:sz w:val="24"/>
          <w:szCs w:val="24"/>
        </w:rPr>
      </w:pPr>
    </w:p>
    <w:p w:rsidR="00D24E61" w:rsidRPr="00771368" w:rsidRDefault="00D24E61">
      <w:pPr>
        <w:spacing w:line="276" w:lineRule="exact"/>
        <w:rPr>
          <w:sz w:val="24"/>
          <w:szCs w:val="24"/>
        </w:rPr>
      </w:pPr>
    </w:p>
    <w:p w:rsidR="00D24E61" w:rsidRPr="00771368" w:rsidRDefault="00D24E61">
      <w:pPr>
        <w:ind w:left="5920"/>
        <w:rPr>
          <w:sz w:val="20"/>
          <w:szCs w:val="20"/>
        </w:rPr>
      </w:pPr>
      <w:bookmarkStart w:id="90" w:name="_Toc442034762"/>
      <w:r w:rsidRPr="00D509F1">
        <w:rPr>
          <w:rStyle w:val="Ttulo1Char"/>
          <w:rFonts w:eastAsia="Arial"/>
        </w:rPr>
        <w:t>Cinelli Tardioli Mesquita</w:t>
      </w:r>
      <w:bookmarkEnd w:id="90"/>
      <w:r w:rsidRPr="00771368">
        <w:rPr>
          <w:rFonts w:eastAsia="Arial"/>
          <w:sz w:val="24"/>
          <w:szCs w:val="24"/>
        </w:rPr>
        <w:t xml:space="preserve"> (UFPR).</w:t>
      </w:r>
    </w:p>
    <w:p w:rsidR="00D24E61" w:rsidRPr="00771368" w:rsidRDefault="00D24E61">
      <w:pPr>
        <w:spacing w:line="200" w:lineRule="exact"/>
        <w:rPr>
          <w:sz w:val="24"/>
          <w:szCs w:val="24"/>
        </w:rPr>
      </w:pPr>
    </w:p>
    <w:p w:rsidR="00D24E61" w:rsidRPr="00771368" w:rsidRDefault="00D24E61">
      <w:pPr>
        <w:spacing w:line="273" w:lineRule="exact"/>
        <w:rPr>
          <w:sz w:val="24"/>
          <w:szCs w:val="24"/>
        </w:rPr>
      </w:pPr>
    </w:p>
    <w:p w:rsidR="00D24E61" w:rsidRPr="00771368" w:rsidRDefault="00D24E61">
      <w:pPr>
        <w:rPr>
          <w:sz w:val="20"/>
          <w:szCs w:val="20"/>
        </w:rPr>
      </w:pPr>
      <w:r w:rsidRPr="00771368">
        <w:rPr>
          <w:rFonts w:eastAsia="Arial"/>
          <w:b/>
          <w:bCs/>
          <w:sz w:val="24"/>
          <w:szCs w:val="24"/>
        </w:rPr>
        <w:t>Introdução</w:t>
      </w:r>
    </w:p>
    <w:p w:rsidR="00D24E61" w:rsidRPr="00771368" w:rsidRDefault="00D24E61">
      <w:pPr>
        <w:spacing w:line="200" w:lineRule="exact"/>
        <w:rPr>
          <w:sz w:val="24"/>
          <w:szCs w:val="24"/>
        </w:rPr>
      </w:pPr>
    </w:p>
    <w:p w:rsidR="00D24E61" w:rsidRPr="00771368" w:rsidRDefault="00D24E61">
      <w:pPr>
        <w:spacing w:line="335" w:lineRule="exact"/>
        <w:rPr>
          <w:sz w:val="24"/>
          <w:szCs w:val="24"/>
        </w:rPr>
      </w:pPr>
    </w:p>
    <w:p w:rsidR="00D24E61" w:rsidRPr="00771368" w:rsidRDefault="00D24E61" w:rsidP="00085E73">
      <w:pPr>
        <w:spacing w:line="338" w:lineRule="auto"/>
        <w:ind w:right="20" w:firstLine="708"/>
        <w:jc w:val="both"/>
        <w:rPr>
          <w:sz w:val="20"/>
          <w:szCs w:val="20"/>
        </w:rPr>
      </w:pPr>
      <w:r w:rsidRPr="00771368">
        <w:rPr>
          <w:rFonts w:eastAsia="Arial"/>
          <w:sz w:val="24"/>
          <w:szCs w:val="24"/>
        </w:rPr>
        <w:t>Poderia vir a parecer misoginia não colocar no título deste artigo o nome daquela que se queixa. E esta foi, na verdade, a intenção da escolha deste título. Pois quem é ela? Por muito tempo (e mesmo em seu tempo, a saber, final do século XVI e início do</w:t>
      </w:r>
      <w:r w:rsidR="00085E73">
        <w:rPr>
          <w:rFonts w:eastAsia="Arial"/>
          <w:sz w:val="24"/>
          <w:szCs w:val="24"/>
        </w:rPr>
        <w:t xml:space="preserve"> </w:t>
      </w:r>
      <w:r w:rsidRPr="00771368">
        <w:rPr>
          <w:rFonts w:eastAsia="Arial"/>
          <w:sz w:val="24"/>
          <w:szCs w:val="24"/>
        </w:rPr>
        <w:t>XVII) ela fora conhecida pelos “homens de saber” apenas como a “fille d’alliance” de</w:t>
      </w:r>
      <w:r w:rsidR="00085E73">
        <w:rPr>
          <w:rFonts w:eastAsia="Arial"/>
          <w:sz w:val="24"/>
          <w:szCs w:val="24"/>
        </w:rPr>
        <w:t xml:space="preserve"> </w:t>
      </w:r>
      <w:r w:rsidRPr="00771368">
        <w:rPr>
          <w:rFonts w:eastAsia="Arial"/>
          <w:sz w:val="24"/>
          <w:szCs w:val="24"/>
        </w:rPr>
        <w:t>Montaigne.</w:t>
      </w:r>
    </w:p>
    <w:p w:rsidR="00D24E61" w:rsidRPr="00771368" w:rsidRDefault="00D24E61">
      <w:pPr>
        <w:spacing w:line="137" w:lineRule="exact"/>
        <w:rPr>
          <w:sz w:val="24"/>
          <w:szCs w:val="24"/>
        </w:rPr>
      </w:pPr>
    </w:p>
    <w:p w:rsidR="00D24E61" w:rsidRPr="00771368" w:rsidRDefault="00D24E61">
      <w:pPr>
        <w:spacing w:line="324" w:lineRule="auto"/>
        <w:ind w:right="20" w:firstLine="708"/>
        <w:jc w:val="both"/>
        <w:rPr>
          <w:sz w:val="20"/>
          <w:szCs w:val="20"/>
        </w:rPr>
      </w:pPr>
      <w:r w:rsidRPr="00771368">
        <w:rPr>
          <w:rFonts w:eastAsia="Arial"/>
          <w:sz w:val="24"/>
          <w:szCs w:val="24"/>
        </w:rPr>
        <w:t>Eu mesma</w:t>
      </w:r>
      <w:r w:rsidRPr="00771368">
        <w:rPr>
          <w:rFonts w:eastAsia="Arial"/>
          <w:sz w:val="32"/>
          <w:szCs w:val="32"/>
          <w:vertAlign w:val="superscript"/>
        </w:rPr>
        <w:t>1</w:t>
      </w:r>
      <w:r w:rsidRPr="00771368">
        <w:rPr>
          <w:rFonts w:eastAsia="Arial"/>
          <w:sz w:val="24"/>
          <w:szCs w:val="24"/>
        </w:rPr>
        <w:t>, mulher e apaixonada por Montaigne há anos</w:t>
      </w:r>
      <w:r w:rsidRPr="00771368">
        <w:rPr>
          <w:rFonts w:eastAsia="Arial"/>
          <w:sz w:val="32"/>
          <w:szCs w:val="32"/>
          <w:vertAlign w:val="superscript"/>
        </w:rPr>
        <w:t>2</w:t>
      </w:r>
      <w:r w:rsidRPr="00771368">
        <w:rPr>
          <w:rFonts w:eastAsia="Arial"/>
          <w:sz w:val="24"/>
          <w:szCs w:val="24"/>
        </w:rPr>
        <w:t xml:space="preserve">, não sabia, até o ano de 2011, nada mais sobre Marie de Gournay do que a apreciação do filósofo francês. E uma apreciação tão forte que ele chegou a dizer sobre ela, em seus </w:t>
      </w:r>
      <w:r w:rsidRPr="00771368">
        <w:rPr>
          <w:rFonts w:eastAsia="Arial"/>
          <w:i/>
          <w:iCs/>
          <w:sz w:val="24"/>
          <w:szCs w:val="24"/>
        </w:rPr>
        <w:t>Ensaios</w:t>
      </w:r>
      <w:r w:rsidRPr="00771368">
        <w:rPr>
          <w:rFonts w:eastAsia="Arial"/>
          <w:sz w:val="24"/>
          <w:szCs w:val="24"/>
        </w:rPr>
        <w:t>, palavras belas como:</w:t>
      </w:r>
    </w:p>
    <w:p w:rsidR="00D24E61" w:rsidRPr="00771368" w:rsidRDefault="00D24E61">
      <w:pPr>
        <w:spacing w:line="85" w:lineRule="exact"/>
        <w:rPr>
          <w:sz w:val="24"/>
          <w:szCs w:val="24"/>
        </w:rPr>
      </w:pPr>
    </w:p>
    <w:p w:rsidR="00D24E61" w:rsidRPr="00771368" w:rsidRDefault="00D24E61">
      <w:pPr>
        <w:ind w:left="2260" w:firstLine="560"/>
        <w:jc w:val="both"/>
        <w:rPr>
          <w:sz w:val="20"/>
          <w:szCs w:val="20"/>
        </w:rPr>
      </w:pPr>
      <w:r w:rsidRPr="00771368">
        <w:rPr>
          <w:rFonts w:eastAsia="Arial"/>
          <w:sz w:val="20"/>
          <w:szCs w:val="20"/>
        </w:rPr>
        <w:t>Tive prazer em divulgar em vários lugares a esperança que deposito em Marie de Gournay le Jars, minha filha de aliança</w:t>
      </w:r>
      <w:r w:rsidRPr="00771368">
        <w:rPr>
          <w:rFonts w:eastAsia="Arial"/>
          <w:sz w:val="26"/>
          <w:szCs w:val="26"/>
          <w:vertAlign w:val="superscript"/>
        </w:rPr>
        <w:t>3</w:t>
      </w:r>
      <w:r w:rsidRPr="00771368">
        <w:rPr>
          <w:rFonts w:eastAsia="Arial"/>
          <w:sz w:val="20"/>
          <w:szCs w:val="20"/>
        </w:rPr>
        <w:t>, sem dúvida amada por mim muito mais que paternalmente e envolvida em meu retiro e solidão, como uma das melhores partes de meu próprio ser. Não vejo mais que ela no mundo. Se a adolescência pode pressagiar, um dia essa alma será capaz das mais belas coisas, e entre outras da perfeição dessa santa amizade à qual não lemos que seu sexo já tenha conseguido elevar-se: a sinceridade e a firmeza de seu caráter já são suficientes, sua afeição para comigo mais que abundante e tal em suma que nada há que desejar, exceto que a apreensão que ela sente por meu fim, aos cinquenta e cinco anos nos quais me encontrou, a atormentasse menos cruelmente. O julgamento que fez dos meus primeiros Ensaios, sendo mulher e neste século e tão jovem e sozinha em sua região, e a notável intensidade com que me amou e me buscou durante muito tempo, baseada simplesmente na estima por mim que adquiriu por meio deles, antes mesmo de me ter visto, é uma particularidade digna de consideração. (</w:t>
      </w:r>
      <w:r w:rsidRPr="00771368">
        <w:rPr>
          <w:rFonts w:eastAsia="Arial"/>
          <w:i/>
          <w:iCs/>
          <w:sz w:val="20"/>
          <w:szCs w:val="20"/>
        </w:rPr>
        <w:t>Ensaios</w:t>
      </w:r>
      <w:r w:rsidRPr="00771368">
        <w:rPr>
          <w:rFonts w:eastAsia="Arial"/>
          <w:sz w:val="20"/>
          <w:szCs w:val="20"/>
        </w:rPr>
        <w:t>, Livro II, página 494).</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783680" behindDoc="0" locked="0" layoutInCell="0" allowOverlap="1">
                <wp:simplePos x="0" y="0"/>
                <wp:positionH relativeFrom="column">
                  <wp:posOffset>0</wp:posOffset>
                </wp:positionH>
                <wp:positionV relativeFrom="paragraph">
                  <wp:posOffset>962660</wp:posOffset>
                </wp:positionV>
                <wp:extent cx="1829435" cy="0"/>
                <wp:effectExtent l="9525" t="10160" r="8890" b="8890"/>
                <wp:wrapNone/>
                <wp:docPr id="14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8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75.8pt" to="144.0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D+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" o:allowincell="f" strokeweight=".8pt"/>
            </w:pict>
          </mc:Fallback>
        </mc:AlternateConten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56" w:lineRule="exact"/>
        <w:rPr>
          <w:sz w:val="24"/>
          <w:szCs w:val="24"/>
        </w:rPr>
      </w:pPr>
    </w:p>
    <w:p w:rsidR="00D24E61" w:rsidRPr="00771368" w:rsidRDefault="00D24E61" w:rsidP="00D24E61">
      <w:pPr>
        <w:numPr>
          <w:ilvl w:val="0"/>
          <w:numId w:val="9"/>
        </w:numPr>
        <w:tabs>
          <w:tab w:val="left" w:pos="120"/>
        </w:tabs>
        <w:spacing w:line="239" w:lineRule="auto"/>
        <w:ind w:left="120" w:hanging="119"/>
        <w:jc w:val="both"/>
        <w:rPr>
          <w:rFonts w:eastAsia="Arial"/>
          <w:sz w:val="26"/>
          <w:szCs w:val="26"/>
          <w:vertAlign w:val="superscript"/>
        </w:rPr>
      </w:pPr>
      <w:r w:rsidRPr="00771368">
        <w:rPr>
          <w:rFonts w:eastAsia="Arial"/>
          <w:sz w:val="20"/>
          <w:szCs w:val="20"/>
        </w:rPr>
        <w:t>Peço licença para escrever em primeira pessoa em vista do estilo pessoal tanto de Montaigne como de</w:t>
      </w:r>
    </w:p>
    <w:p w:rsidR="00D24E61" w:rsidRPr="00771368" w:rsidRDefault="00D24E61">
      <w:pPr>
        <w:spacing w:line="12" w:lineRule="exact"/>
        <w:rPr>
          <w:rFonts w:eastAsia="Arial"/>
          <w:sz w:val="26"/>
          <w:szCs w:val="26"/>
          <w:vertAlign w:val="superscript"/>
        </w:rPr>
      </w:pPr>
    </w:p>
    <w:p w:rsidR="00D24E61" w:rsidRPr="00771368" w:rsidRDefault="00D24E61">
      <w:pPr>
        <w:spacing w:line="223" w:lineRule="auto"/>
        <w:jc w:val="both"/>
        <w:rPr>
          <w:rFonts w:eastAsia="Arial"/>
          <w:sz w:val="26"/>
          <w:szCs w:val="26"/>
          <w:vertAlign w:val="superscript"/>
        </w:rPr>
      </w:pPr>
      <w:r w:rsidRPr="00771368">
        <w:rPr>
          <w:rFonts w:eastAsia="Arial"/>
          <w:sz w:val="20"/>
          <w:szCs w:val="20"/>
        </w:rPr>
        <w:t>Marie de Gournay.</w:t>
      </w:r>
    </w:p>
    <w:p w:rsidR="00D24E61" w:rsidRPr="00771368" w:rsidRDefault="00D24E61">
      <w:pPr>
        <w:spacing w:line="46" w:lineRule="exact"/>
        <w:rPr>
          <w:rFonts w:eastAsia="Arial"/>
          <w:sz w:val="26"/>
          <w:szCs w:val="26"/>
          <w:vertAlign w:val="superscript"/>
        </w:rPr>
      </w:pPr>
    </w:p>
    <w:p w:rsidR="00D24E61" w:rsidRPr="00771368" w:rsidRDefault="00D24E61" w:rsidP="00D24E61">
      <w:pPr>
        <w:numPr>
          <w:ilvl w:val="0"/>
          <w:numId w:val="9"/>
        </w:numPr>
        <w:tabs>
          <w:tab w:val="left" w:pos="156"/>
        </w:tabs>
        <w:spacing w:line="212" w:lineRule="auto"/>
        <w:ind w:right="20" w:firstLine="1"/>
        <w:jc w:val="both"/>
        <w:rPr>
          <w:rFonts w:eastAsia="Arial"/>
          <w:sz w:val="26"/>
          <w:szCs w:val="26"/>
          <w:vertAlign w:val="superscript"/>
        </w:rPr>
      </w:pPr>
      <w:r w:rsidRPr="00771368">
        <w:rPr>
          <w:rFonts w:eastAsia="Arial"/>
          <w:sz w:val="20"/>
          <w:szCs w:val="20"/>
        </w:rPr>
        <w:t xml:space="preserve">Minha primeira pesquisa científica sobre Montaigne teve início em 2006 na Universidade Federal de São João Del Rei (UFSJ), de lá pra cá continuo minhas pesquisas. Hoje, estou matriculada no programa de mestrado da Universidade Federal do Paraná (UFPR) e prestes a defender minha dissertação intitulada “Pintando a passagem: acaso e pintura de si nos </w:t>
      </w:r>
      <w:r w:rsidRPr="00771368">
        <w:rPr>
          <w:rFonts w:eastAsia="Arial"/>
          <w:i/>
          <w:iCs/>
          <w:sz w:val="20"/>
          <w:szCs w:val="20"/>
        </w:rPr>
        <w:t>Ensaios</w:t>
      </w:r>
      <w:r w:rsidRPr="00771368">
        <w:rPr>
          <w:rFonts w:eastAsia="Arial"/>
          <w:sz w:val="20"/>
          <w:szCs w:val="20"/>
        </w:rPr>
        <w:t xml:space="preserve"> de Montaigne”, sob a orientação de</w:t>
      </w:r>
    </w:p>
    <w:p w:rsidR="00D24E61" w:rsidRPr="00771368" w:rsidRDefault="00D24E61">
      <w:pPr>
        <w:spacing w:line="2" w:lineRule="exact"/>
        <w:rPr>
          <w:rFonts w:eastAsia="Arial"/>
          <w:sz w:val="26"/>
          <w:szCs w:val="26"/>
          <w:vertAlign w:val="superscript"/>
        </w:rPr>
      </w:pPr>
    </w:p>
    <w:p w:rsidR="00D24E61" w:rsidRPr="00771368" w:rsidRDefault="00D24E61">
      <w:pPr>
        <w:spacing w:line="239" w:lineRule="auto"/>
        <w:jc w:val="both"/>
        <w:rPr>
          <w:rFonts w:eastAsia="Arial"/>
          <w:sz w:val="26"/>
          <w:szCs w:val="26"/>
          <w:vertAlign w:val="superscript"/>
        </w:rPr>
      </w:pPr>
      <w:r w:rsidRPr="00771368">
        <w:rPr>
          <w:rFonts w:eastAsia="Arial"/>
          <w:sz w:val="20"/>
          <w:szCs w:val="20"/>
        </w:rPr>
        <w:t>Luiz Antônio Alves Eva.</w:t>
      </w:r>
    </w:p>
    <w:p w:rsidR="00D24E61" w:rsidRPr="00771368" w:rsidRDefault="00D24E61" w:rsidP="00D24E61">
      <w:pPr>
        <w:numPr>
          <w:ilvl w:val="0"/>
          <w:numId w:val="9"/>
        </w:numPr>
        <w:tabs>
          <w:tab w:val="left" w:pos="120"/>
        </w:tabs>
        <w:spacing w:line="184" w:lineRule="auto"/>
        <w:ind w:left="120" w:hanging="119"/>
        <w:jc w:val="both"/>
        <w:rPr>
          <w:rFonts w:eastAsia="Arial"/>
          <w:sz w:val="26"/>
          <w:szCs w:val="26"/>
          <w:vertAlign w:val="superscript"/>
        </w:rPr>
      </w:pPr>
      <w:r w:rsidRPr="00771368">
        <w:rPr>
          <w:rFonts w:eastAsia="Arial"/>
          <w:sz w:val="20"/>
          <w:szCs w:val="20"/>
        </w:rPr>
        <w:t>Por afinidade pessoal.</w:t>
      </w: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309" w:lineRule="exact"/>
        <w:rPr>
          <w:sz w:val="20"/>
          <w:szCs w:val="20"/>
        </w:rPr>
      </w:pPr>
    </w:p>
    <w:p w:rsidR="00D24E61" w:rsidRPr="00771368" w:rsidRDefault="00D24E61">
      <w:pPr>
        <w:spacing w:line="355" w:lineRule="auto"/>
        <w:ind w:firstLine="560"/>
        <w:jc w:val="both"/>
        <w:rPr>
          <w:sz w:val="20"/>
          <w:szCs w:val="20"/>
        </w:rPr>
      </w:pPr>
      <w:r w:rsidRPr="00771368">
        <w:rPr>
          <w:rFonts w:eastAsia="Arial"/>
          <w:sz w:val="24"/>
          <w:szCs w:val="24"/>
        </w:rPr>
        <w:t xml:space="preserve">Tudo o que eu sabia sobre Marie de Gournay era o que o próprio Montaigne dizia sobre ela em seus </w:t>
      </w:r>
      <w:r w:rsidRPr="00771368">
        <w:rPr>
          <w:rFonts w:eastAsia="Arial"/>
          <w:i/>
          <w:iCs/>
          <w:sz w:val="24"/>
          <w:szCs w:val="24"/>
        </w:rPr>
        <w:t>Ensaios</w:t>
      </w:r>
      <w:r w:rsidRPr="00771368">
        <w:rPr>
          <w:rFonts w:eastAsia="Arial"/>
          <w:sz w:val="24"/>
          <w:szCs w:val="24"/>
        </w:rPr>
        <w:t xml:space="preserve">. Que ele a conheceu por ocasião de sua viagem a Paris em 1588 quando ele tinha cinquenta e cinco anos e ela vinte e três. Que ela não era muito querida por seus conterrâneos na região de Picardie e que ele deixara sob os cuidados dela suas últimas anotações feitas em seus </w:t>
      </w:r>
      <w:r w:rsidRPr="00771368">
        <w:rPr>
          <w:rFonts w:eastAsia="Arial"/>
          <w:i/>
          <w:iCs/>
          <w:sz w:val="24"/>
          <w:szCs w:val="24"/>
        </w:rPr>
        <w:t>Ensaios</w:t>
      </w:r>
      <w:r w:rsidRPr="00771368">
        <w:rPr>
          <w:rFonts w:eastAsia="Arial"/>
          <w:sz w:val="24"/>
          <w:szCs w:val="24"/>
        </w:rPr>
        <w:t xml:space="preserve"> para edição e publicação póstumas. Nada que de fato provasse as qualidades dela enquanto escritora autoral. Tendo como base os </w:t>
      </w:r>
      <w:r w:rsidRPr="00771368">
        <w:rPr>
          <w:rFonts w:eastAsia="Arial"/>
          <w:i/>
          <w:iCs/>
          <w:sz w:val="24"/>
          <w:szCs w:val="24"/>
        </w:rPr>
        <w:t>Ensaios</w:t>
      </w:r>
      <w:r w:rsidRPr="00771368">
        <w:rPr>
          <w:rFonts w:eastAsia="Arial"/>
          <w:sz w:val="24"/>
          <w:szCs w:val="24"/>
        </w:rPr>
        <w:t xml:space="preserve"> de Montaigne, não poderia ser diferente, já que ela escreveu apenas após a morte do amigo. Para mim, como posteriormente constatei que para a maioria dos pesquisadores de Montaigne (falo maioria, pois pode haver alguma exceção que desconheço) o único trabalho dela teria sido a edição póstuma dos</w:t>
      </w:r>
    </w:p>
    <w:p w:rsidR="00D24E61" w:rsidRPr="00771368" w:rsidRDefault="00D24E61">
      <w:pPr>
        <w:spacing w:line="2" w:lineRule="exact"/>
        <w:rPr>
          <w:sz w:val="20"/>
          <w:szCs w:val="20"/>
        </w:rPr>
      </w:pPr>
    </w:p>
    <w:p w:rsidR="00D24E61" w:rsidRPr="00771368" w:rsidRDefault="00D24E61">
      <w:pPr>
        <w:rPr>
          <w:sz w:val="20"/>
          <w:szCs w:val="20"/>
        </w:rPr>
      </w:pPr>
      <w:r w:rsidRPr="00771368">
        <w:rPr>
          <w:rFonts w:eastAsia="Arial"/>
          <w:i/>
          <w:iCs/>
          <w:sz w:val="24"/>
          <w:szCs w:val="24"/>
        </w:rPr>
        <w:t>Ensaios.</w:t>
      </w:r>
    </w:p>
    <w:p w:rsidR="00D24E61" w:rsidRPr="00771368" w:rsidRDefault="00D24E61">
      <w:pPr>
        <w:spacing w:line="142" w:lineRule="exact"/>
        <w:rPr>
          <w:sz w:val="20"/>
          <w:szCs w:val="20"/>
        </w:rPr>
      </w:pPr>
    </w:p>
    <w:p w:rsidR="00D24E61" w:rsidRPr="00771368" w:rsidRDefault="00D24E61">
      <w:pPr>
        <w:spacing w:line="353" w:lineRule="auto"/>
        <w:ind w:firstLine="560"/>
        <w:jc w:val="both"/>
        <w:rPr>
          <w:sz w:val="20"/>
          <w:szCs w:val="20"/>
        </w:rPr>
      </w:pPr>
      <w:r w:rsidRPr="00771368">
        <w:rPr>
          <w:rFonts w:eastAsia="Arial"/>
          <w:sz w:val="24"/>
          <w:szCs w:val="24"/>
        </w:rPr>
        <w:t>Na ocasião de um estágio de mestrado</w:t>
      </w:r>
      <w:r w:rsidRPr="00771368">
        <w:rPr>
          <w:rFonts w:eastAsia="Arial"/>
          <w:sz w:val="32"/>
          <w:szCs w:val="32"/>
          <w:vertAlign w:val="superscript"/>
        </w:rPr>
        <w:t>4</w:t>
      </w:r>
      <w:r w:rsidRPr="00771368">
        <w:rPr>
          <w:rFonts w:eastAsia="Arial"/>
          <w:sz w:val="24"/>
          <w:szCs w:val="24"/>
        </w:rPr>
        <w:t>, de janeiro a junho de 2011, estive em Montreal. Tal cidade é referência pelo respeito àqueles que em muitos lugares do mundo ficam, em graus variados, à margem da sociedade; a saber, negros, homossexuais e mulheres. E este fato não é um mero acaso, deve-se muito deste respeito às manifestações dessas classes comunmente discriminadas e o interesse acadêmico e governamental pela questão. Embora na questão da homossexualidade, recentemente (2012) o primeiro ministro, Harper, tenha regredido no avanço dos direitos dos homossexuais ao cancelar a validade dos casamentos desta classe, que há muitos anos ela havia conquistado, no que concerne ao interesse do meio acadêmico às questões feministas, que é o assunto que mais nos interessa neste artigo, fiquei impressionada com a quantidade de livros feministas em todas as áreas do conhecimento e espalhados por todos os tipos de bibliotecas. E me parece que, juntamente com as manifestações feministas - que não é novidade no Canadá e ainda hoje tem uma força invejável, vide a Marcha das Vadias que começou em Toronto em maio do ano passado e repercutiu no mundo todo – o interesse acadêmico pela questão da igualdade de gênero repercute também favoravelmente em tal sociedade no que diz respeito à igualdade social com a qual as mulheres são tratadas. Vi, com meus próprios olhos, por exemplo, a naturalidade com que os homens preparam um jantar,</w:t>
      </w:r>
    </w:p>
    <w:p w:rsidR="00D24E61" w:rsidRPr="00771368" w:rsidRDefault="00013211">
      <w:pPr>
        <w:spacing w:line="353" w:lineRule="auto"/>
        <w:ind w:firstLine="560"/>
        <w:jc w:val="both"/>
        <w:rPr>
          <w:sz w:val="20"/>
          <w:szCs w:val="20"/>
        </w:rPr>
        <w:sectPr w:rsidR="00D24E61" w:rsidRPr="00771368">
          <w:pgSz w:w="12240" w:h="15840"/>
          <w:pgMar w:top="1440" w:right="1140" w:bottom="859" w:left="1700" w:header="0" w:footer="0" w:gutter="0"/>
          <w:cols w:space="720" w:equalWidth="0">
            <w:col w:w="9400"/>
          </w:cols>
        </w:sectPr>
      </w:pPr>
      <w:r>
        <w:rPr>
          <w:noProof/>
          <w:sz w:val="20"/>
          <w:szCs w:val="20"/>
        </w:rPr>
        <mc:AlternateContent>
          <mc:Choice Requires="wps">
            <w:drawing>
              <wp:anchor distT="0" distB="0" distL="0" distR="0" simplePos="0" relativeHeight="251784704" behindDoc="0" locked="0" layoutInCell="0" allowOverlap="1">
                <wp:simplePos x="0" y="0"/>
                <wp:positionH relativeFrom="column">
                  <wp:posOffset>0</wp:posOffset>
                </wp:positionH>
                <wp:positionV relativeFrom="paragraph">
                  <wp:posOffset>282575</wp:posOffset>
                </wp:positionV>
                <wp:extent cx="1829435" cy="0"/>
                <wp:effectExtent l="9525" t="6350" r="8890" b="12700"/>
                <wp:wrapNone/>
                <wp:docPr id="14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8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25pt" to="144.0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Rq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" o:allowincell="f" strokeweight=".28219mm"/>
            </w:pict>
          </mc:Fallback>
        </mc:AlternateContent>
      </w:r>
    </w:p>
    <w:p w:rsidR="00D24E61" w:rsidRPr="00771368" w:rsidRDefault="00D24E61">
      <w:pPr>
        <w:spacing w:line="200" w:lineRule="exact"/>
        <w:rPr>
          <w:sz w:val="20"/>
          <w:szCs w:val="20"/>
        </w:rPr>
      </w:pPr>
    </w:p>
    <w:p w:rsidR="00D24E61" w:rsidRPr="00771368" w:rsidRDefault="00D24E61">
      <w:pPr>
        <w:spacing w:line="308" w:lineRule="exact"/>
        <w:rPr>
          <w:sz w:val="20"/>
          <w:szCs w:val="20"/>
        </w:rPr>
      </w:pPr>
    </w:p>
    <w:p w:rsidR="00D24E61" w:rsidRPr="00771368" w:rsidRDefault="00D24E61">
      <w:pPr>
        <w:rPr>
          <w:sz w:val="20"/>
          <w:szCs w:val="20"/>
        </w:rPr>
      </w:pPr>
      <w:r w:rsidRPr="00771368">
        <w:rPr>
          <w:rFonts w:eastAsia="Arial"/>
          <w:sz w:val="25"/>
          <w:szCs w:val="25"/>
          <w:vertAlign w:val="superscript"/>
        </w:rPr>
        <w:t>4</w:t>
      </w:r>
      <w:r w:rsidRPr="00771368">
        <w:rPr>
          <w:rFonts w:eastAsia="Arial"/>
          <w:sz w:val="19"/>
          <w:szCs w:val="19"/>
        </w:rPr>
        <w:t xml:space="preserve"> Concluí um estágio de mestrado na Université du Québèc à Montréal, sob a orientação de Dario</w:t>
      </w:r>
    </w:p>
    <w:p w:rsidR="00D24E61" w:rsidRPr="00771368" w:rsidRDefault="00D24E61">
      <w:pPr>
        <w:spacing w:line="225" w:lineRule="auto"/>
        <w:rPr>
          <w:sz w:val="20"/>
          <w:szCs w:val="20"/>
        </w:rPr>
      </w:pPr>
      <w:r w:rsidRPr="00771368">
        <w:rPr>
          <w:rFonts w:eastAsia="Arial"/>
          <w:sz w:val="20"/>
          <w:szCs w:val="20"/>
        </w:rPr>
        <w:t>Perinetti.</w:t>
      </w:r>
    </w:p>
    <w:p w:rsidR="00D24E61" w:rsidRPr="00771368" w:rsidRDefault="00D24E61">
      <w:pPr>
        <w:sectPr w:rsidR="00D24E61" w:rsidRPr="00771368">
          <w:type w:val="continuous"/>
          <w:pgSz w:w="12240" w:h="15840"/>
          <w:pgMar w:top="1440" w:right="1880" w:bottom="859" w:left="1700" w:header="0" w:footer="0" w:gutter="0"/>
          <w:cols w:space="720" w:equalWidth="0">
            <w:col w:w="8660"/>
          </w:cols>
        </w:sectPr>
      </w:pPr>
    </w:p>
    <w:p w:rsidR="00D24E61" w:rsidRPr="00771368" w:rsidRDefault="00D24E61">
      <w:pPr>
        <w:spacing w:line="309" w:lineRule="exact"/>
        <w:rPr>
          <w:sz w:val="20"/>
          <w:szCs w:val="20"/>
        </w:rPr>
      </w:pPr>
    </w:p>
    <w:p w:rsidR="00D24E61" w:rsidRPr="00771368" w:rsidRDefault="00D24E61">
      <w:pPr>
        <w:spacing w:line="317" w:lineRule="auto"/>
        <w:jc w:val="both"/>
        <w:rPr>
          <w:sz w:val="20"/>
          <w:szCs w:val="20"/>
        </w:rPr>
      </w:pPr>
      <w:r w:rsidRPr="00771368">
        <w:rPr>
          <w:rFonts w:eastAsia="Arial"/>
          <w:sz w:val="24"/>
          <w:szCs w:val="24"/>
        </w:rPr>
        <w:t>servem a mesa, lavam as louças e outras tarefas que em outras sociedades atribui-se quase que exclusivamente às mulheres.</w:t>
      </w:r>
    </w:p>
    <w:p w:rsidR="00D24E61" w:rsidRPr="00771368" w:rsidRDefault="00D24E61">
      <w:pPr>
        <w:spacing w:line="99" w:lineRule="exact"/>
        <w:rPr>
          <w:sz w:val="20"/>
          <w:szCs w:val="20"/>
        </w:rPr>
      </w:pPr>
    </w:p>
    <w:p w:rsidR="00D24E61" w:rsidRPr="00771368" w:rsidRDefault="00D24E61">
      <w:pPr>
        <w:spacing w:line="352" w:lineRule="auto"/>
        <w:ind w:firstLine="560"/>
        <w:jc w:val="both"/>
        <w:rPr>
          <w:sz w:val="20"/>
          <w:szCs w:val="20"/>
        </w:rPr>
      </w:pPr>
      <w:r w:rsidRPr="00771368">
        <w:rPr>
          <w:rFonts w:eastAsia="Arial"/>
          <w:sz w:val="24"/>
          <w:szCs w:val="24"/>
        </w:rPr>
        <w:t>Voltando ao caso Marie de Gournay. Certo dia, estando eu garimpando livros de filosofia em um sebo de Montreal, encontro um livro escrito seu nome. Espantada, indaguei internamente: O quê?! Será que é a amiga de Montaigne?! Abri o livro e uma das primeiras coisas vistas foi a citação de Montaigne a qual transcorri acima e que estava como epígrafe do livro. Era ela, só poderia ser ela! Meu entusiasmo foi tanto que li o prefácio do livro ali mesmo, em pé no sebo. E no livro encontrei uma passagem muito interessante, escrita por Séverine Auffret, a qual dizia que, por muito tempo</w:t>
      </w:r>
    </w:p>
    <w:p w:rsidR="00D24E61" w:rsidRPr="00771368" w:rsidRDefault="00D24E61">
      <w:pPr>
        <w:spacing w:line="68" w:lineRule="exact"/>
        <w:rPr>
          <w:sz w:val="20"/>
          <w:szCs w:val="20"/>
        </w:rPr>
      </w:pPr>
    </w:p>
    <w:p w:rsidR="00D24E61" w:rsidRPr="00771368" w:rsidRDefault="00D24E61">
      <w:pPr>
        <w:spacing w:line="338" w:lineRule="auto"/>
        <w:jc w:val="both"/>
        <w:rPr>
          <w:sz w:val="20"/>
          <w:szCs w:val="20"/>
        </w:rPr>
      </w:pPr>
      <w:r w:rsidRPr="00771368">
        <w:rPr>
          <w:rFonts w:eastAsia="Arial"/>
          <w:sz w:val="24"/>
          <w:szCs w:val="24"/>
        </w:rPr>
        <w:t>Gournay fora conhecida como o “satélite de um astro”. Ou seja, por muito tempo ela desenvolveu um papel secundário na vida das letras, sempre como a amiga próxima de Montaigne.</w:t>
      </w:r>
    </w:p>
    <w:p w:rsidR="00D24E61" w:rsidRPr="00771368" w:rsidRDefault="00D24E61">
      <w:pPr>
        <w:spacing w:line="74" w:lineRule="exact"/>
        <w:rPr>
          <w:sz w:val="20"/>
          <w:szCs w:val="20"/>
        </w:rPr>
      </w:pPr>
    </w:p>
    <w:p w:rsidR="00D24E61" w:rsidRPr="00771368" w:rsidRDefault="00D24E61">
      <w:pPr>
        <w:spacing w:line="355" w:lineRule="auto"/>
        <w:ind w:firstLine="560"/>
        <w:jc w:val="both"/>
        <w:rPr>
          <w:sz w:val="20"/>
          <w:szCs w:val="20"/>
        </w:rPr>
      </w:pPr>
      <w:r w:rsidRPr="00771368">
        <w:rPr>
          <w:rFonts w:eastAsia="Arial"/>
          <w:sz w:val="24"/>
          <w:szCs w:val="24"/>
        </w:rPr>
        <w:t xml:space="preserve">O prefácio de Auffret refletia um entusiasmo tão grande para com a escritora que me deixou ainda mais curiosa para conhecê-la, o que me levou a comprar aquele pequeno livro intitulado </w:t>
      </w:r>
      <w:r w:rsidRPr="00771368">
        <w:rPr>
          <w:rFonts w:eastAsia="Arial"/>
          <w:i/>
          <w:iCs/>
          <w:sz w:val="24"/>
          <w:szCs w:val="24"/>
        </w:rPr>
        <w:t>Égalité des Hommes et des Femmes: suivi de Grief des Dames</w:t>
      </w:r>
      <w:r w:rsidRPr="00771368">
        <w:rPr>
          <w:rFonts w:eastAsia="Arial"/>
          <w:sz w:val="24"/>
          <w:szCs w:val="24"/>
        </w:rPr>
        <w:t>. Livro que fora lido em apenas um dia pelo encantamento que me causou, a despeito da pequena dificuldade que eu tinha para compreender seu francês arcaico. O que mais me impressionara naquele livro foi o vanguardismo de Gournay. Tratava-se de uma feminista em pleno século XVII! E uma feminista que conseguiu, há quatro séculos atrás, identificar muitos dos preconceitos que sustentam a misoginia e que ainda hoje persistem. Mas outro aspecto que não deixou de me deixar admirada, foi o da proximidade de seu estilo ao de Montaigne, tanto na forma da escrita ensaísta como no conteúdo antidogmático.</w:t>
      </w:r>
    </w:p>
    <w:p w:rsidR="00D24E61" w:rsidRPr="00771368" w:rsidRDefault="00D24E61">
      <w:pPr>
        <w:spacing w:line="67" w:lineRule="exact"/>
        <w:rPr>
          <w:sz w:val="20"/>
          <w:szCs w:val="20"/>
        </w:rPr>
      </w:pPr>
    </w:p>
    <w:p w:rsidR="00D24E61" w:rsidRPr="00771368" w:rsidRDefault="00D24E61">
      <w:pPr>
        <w:spacing w:line="352" w:lineRule="auto"/>
        <w:ind w:firstLine="560"/>
        <w:jc w:val="both"/>
        <w:rPr>
          <w:sz w:val="20"/>
          <w:szCs w:val="20"/>
        </w:rPr>
      </w:pPr>
      <w:r w:rsidRPr="00771368">
        <w:rPr>
          <w:rFonts w:eastAsia="Arial"/>
          <w:sz w:val="24"/>
          <w:szCs w:val="24"/>
        </w:rPr>
        <w:t>Eu não me conformei com o fato de que, apenas após anos estudando Montaigne, fui descobrir que Marie de Gournay era filósofa; e, o pior ainda, por acaso. Por que não havia, em nenhum dos estudos sobre Montaigne que eu havia lido, nem uma nota de que ela, posteriormente, viria a escrever ensaios filosóficos? E uma questão ainda mais instigante me perturbava (e ainda perturba): se Montaigne admirava o espírito crítico de Gournay a ponto de chamá-la amiga, após anos de solidão declarada desde que perdera seu amigo filósofo La Boétie - pelo qual tivera uma amizade tão profunda que</w:t>
      </w:r>
    </w:p>
    <w:p w:rsidR="00D24E61" w:rsidRPr="00771368" w:rsidRDefault="00D24E61">
      <w:pPr>
        <w:sectPr w:rsidR="00D24E61" w:rsidRPr="00771368">
          <w:pgSz w:w="12240" w:h="15840"/>
          <w:pgMar w:top="1440" w:right="1140" w:bottom="1440" w:left="1700" w:header="0" w:footer="0" w:gutter="0"/>
          <w:cols w:space="720" w:equalWidth="0">
            <w:col w:w="9400"/>
          </w:cols>
        </w:sectPr>
      </w:pPr>
    </w:p>
    <w:p w:rsidR="00D24E61" w:rsidRPr="00771368" w:rsidRDefault="00D24E61">
      <w:pPr>
        <w:spacing w:line="255" w:lineRule="exact"/>
        <w:rPr>
          <w:sz w:val="20"/>
          <w:szCs w:val="20"/>
        </w:rPr>
      </w:pPr>
    </w:p>
    <w:p w:rsidR="00D24E61" w:rsidRPr="00771368" w:rsidRDefault="00D24E61">
      <w:pPr>
        <w:spacing w:line="341" w:lineRule="auto"/>
        <w:jc w:val="both"/>
        <w:rPr>
          <w:sz w:val="20"/>
          <w:szCs w:val="20"/>
        </w:rPr>
      </w:pPr>
      <w:r w:rsidRPr="00771368">
        <w:rPr>
          <w:rFonts w:eastAsia="Arial"/>
          <w:sz w:val="23"/>
          <w:szCs w:val="23"/>
        </w:rPr>
        <w:t>chegou a dizer que o amava porque eles eram a mesma pessoa</w:t>
      </w:r>
      <w:r w:rsidRPr="00771368">
        <w:rPr>
          <w:rFonts w:eastAsia="Arial"/>
          <w:sz w:val="31"/>
          <w:szCs w:val="31"/>
          <w:vertAlign w:val="superscript"/>
        </w:rPr>
        <w:t>5</w:t>
      </w:r>
      <w:r w:rsidRPr="00771368">
        <w:rPr>
          <w:rFonts w:eastAsia="Arial"/>
          <w:sz w:val="23"/>
          <w:szCs w:val="23"/>
        </w:rPr>
        <w:t xml:space="preserve"> e admirava tanto seus escritos a ponto de desejar colocar uma obra dele no centro de seus </w:t>
      </w:r>
      <w:r w:rsidRPr="00771368">
        <w:rPr>
          <w:rFonts w:eastAsia="Arial"/>
          <w:i/>
          <w:iCs/>
          <w:sz w:val="23"/>
          <w:szCs w:val="23"/>
        </w:rPr>
        <w:t>Ensaios -</w:t>
      </w:r>
      <w:r w:rsidRPr="00771368">
        <w:rPr>
          <w:rFonts w:eastAsia="Arial"/>
          <w:sz w:val="23"/>
          <w:szCs w:val="23"/>
        </w:rPr>
        <w:t xml:space="preserve"> mesmo que Gournay não houvesse escrito nenhum ensaio filosófico enquanto Montaigne estava vivo, será que ela não o influenciara de alguma forma filosoficamente?</w:t>
      </w:r>
    </w:p>
    <w:p w:rsidR="00D24E61" w:rsidRPr="00771368" w:rsidRDefault="00D24E61">
      <w:pPr>
        <w:spacing w:line="77" w:lineRule="exact"/>
        <w:rPr>
          <w:sz w:val="20"/>
          <w:szCs w:val="20"/>
        </w:rPr>
      </w:pPr>
    </w:p>
    <w:p w:rsidR="00D24E61" w:rsidRPr="00771368" w:rsidRDefault="00D24E61">
      <w:pPr>
        <w:spacing w:line="352" w:lineRule="auto"/>
        <w:ind w:firstLine="560"/>
        <w:jc w:val="both"/>
        <w:rPr>
          <w:sz w:val="20"/>
          <w:szCs w:val="20"/>
        </w:rPr>
      </w:pPr>
      <w:r w:rsidRPr="00771368">
        <w:rPr>
          <w:rFonts w:eastAsia="Arial"/>
          <w:sz w:val="24"/>
          <w:szCs w:val="24"/>
        </w:rPr>
        <w:t>Atormentada por tais questões, compartilhei-as com meus amigos estudantes de filosofia, até que um deles que fazia seu doutorado na McGill University, disse que uma professora de sua universidade chamada Marguerite era doutora em Marie de Gounay. Com esta informação, fui buscar algum modo de entrar em contato com ela pela internet. Encontrei seu email e entrei então em contato, mesmo sem muitas esperanças, pois ao pesquisar sobre ela descobri que ela tinha cargos muito elevados em sua universidade</w:t>
      </w:r>
      <w:r w:rsidRPr="00771368">
        <w:rPr>
          <w:rFonts w:eastAsia="Arial"/>
          <w:sz w:val="32"/>
          <w:szCs w:val="32"/>
          <w:vertAlign w:val="superscript"/>
        </w:rPr>
        <w:t>6</w:t>
      </w:r>
      <w:r w:rsidRPr="00771368">
        <w:rPr>
          <w:rFonts w:eastAsia="Arial"/>
          <w:sz w:val="24"/>
          <w:szCs w:val="24"/>
        </w:rPr>
        <w:t xml:space="preserve"> e que, portanto, poderia não querer perder seu tempo com uma reles estagiária brasileira matriculada em outra universidade. Mas que nada! Ela foi super simpática em sua resposta e me convidou para encontrá-la em sua sala na McGill. Chegando lá ela me perguntou sobre minha pesquisa e o que me interessava em Marie de Gournay. Então contei a ela toda a história a qual narrei até aqui e lancei aquelas duas questões as quais expus no parágrafo anterior. A respeito da primeira questão, sobre o motivo de Gournay não ser referenciada como filósofa nos estudos montaigneanos, não tive muita surpresa quando ela respondeu que, provavelmente pela área da filosofia ser ainda muito masculina, há pouco interesse por filósofas. Mas quanto à segunda questão, sobre a possível influência dela nos </w:t>
      </w:r>
      <w:r w:rsidRPr="00771368">
        <w:rPr>
          <w:rFonts w:eastAsia="Arial"/>
          <w:i/>
          <w:iCs/>
          <w:sz w:val="24"/>
          <w:szCs w:val="24"/>
        </w:rPr>
        <w:t>Ensaios</w:t>
      </w:r>
      <w:r w:rsidRPr="00771368">
        <w:rPr>
          <w:rFonts w:eastAsia="Arial"/>
          <w:sz w:val="24"/>
          <w:szCs w:val="24"/>
        </w:rPr>
        <w:t xml:space="preserve"> de Montaigne, ela disse nunca ter pensado nisso e que também nunca lera alguém que tentasse mostrar isso, mas que frequentemente estuda-se o caminho contrário; ou seja, a influência de Montaigne sobre Gournay, mas que, entretanto, a pesquisa sobre minha questão poderia ser muito interessante. Mas eu mesma desmereci minha ideia dizendo que se não há registros filosóficos de Marie enquanto Montaigne vivia, seria complicado tentar provar minha hipótese. Então, deixamos de lado a questão e ela me apresentou as obras completas da filósofa, o que me deixou mais impressionada ainda. A filósofa</w:t>
      </w:r>
    </w:p>
    <w:p w:rsidR="00D24E61" w:rsidRPr="00771368" w:rsidRDefault="00013211">
      <w:pPr>
        <w:spacing w:line="236" w:lineRule="exact"/>
        <w:rPr>
          <w:sz w:val="20"/>
          <w:szCs w:val="20"/>
        </w:rPr>
      </w:pPr>
      <w:r>
        <w:rPr>
          <w:noProof/>
          <w:sz w:val="20"/>
          <w:szCs w:val="20"/>
        </w:rPr>
        <mc:AlternateContent>
          <mc:Choice Requires="wps">
            <w:drawing>
              <wp:anchor distT="0" distB="0" distL="0" distR="0" simplePos="0" relativeHeight="251785728" behindDoc="0" locked="0" layoutInCell="0" allowOverlap="1">
                <wp:simplePos x="0" y="0"/>
                <wp:positionH relativeFrom="column">
                  <wp:posOffset>0</wp:posOffset>
                </wp:positionH>
                <wp:positionV relativeFrom="paragraph">
                  <wp:posOffset>89535</wp:posOffset>
                </wp:positionV>
                <wp:extent cx="1829435" cy="0"/>
                <wp:effectExtent l="9525" t="13335" r="8890" b="5715"/>
                <wp:wrapNone/>
                <wp:docPr id="14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8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7.05pt" to="144.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" o:allowincell="f" strokeweight=".8pt"/>
            </w:pict>
          </mc:Fallback>
        </mc:AlternateContent>
      </w:r>
    </w:p>
    <w:p w:rsidR="00D24E61" w:rsidRPr="00771368" w:rsidRDefault="00D24E61">
      <w:pPr>
        <w:spacing w:line="218" w:lineRule="auto"/>
        <w:jc w:val="both"/>
        <w:rPr>
          <w:sz w:val="20"/>
          <w:szCs w:val="20"/>
        </w:rPr>
      </w:pPr>
      <w:r w:rsidRPr="00771368">
        <w:rPr>
          <w:rFonts w:eastAsia="Arial"/>
          <w:sz w:val="26"/>
          <w:szCs w:val="26"/>
          <w:vertAlign w:val="superscript"/>
        </w:rPr>
        <w:t>5</w:t>
      </w:r>
      <w:r w:rsidRPr="00771368">
        <w:rPr>
          <w:rFonts w:eastAsia="Arial"/>
          <w:sz w:val="20"/>
          <w:szCs w:val="20"/>
        </w:rPr>
        <w:t xml:space="preserve"> Disse Montaigne sobre sua amizade com La Boétie : « Se me pressionarem para dizer por que o amava, sinto que isso só pode ser expresso respondendo: “Porque era ele; porque era eu.”» (Da amizade. In: </w:t>
      </w:r>
      <w:r w:rsidRPr="00771368">
        <w:rPr>
          <w:rFonts w:eastAsia="Arial"/>
          <w:i/>
          <w:iCs/>
          <w:sz w:val="20"/>
          <w:szCs w:val="20"/>
        </w:rPr>
        <w:t>Ensaios</w:t>
      </w:r>
      <w:r w:rsidRPr="00771368">
        <w:rPr>
          <w:rFonts w:eastAsia="Arial"/>
          <w:sz w:val="20"/>
          <w:szCs w:val="20"/>
        </w:rPr>
        <w:t>, Livro I, página 281). E, como vimos na passagem que serve como epígrafe ao livro de Marie ao qual referimos, ele disse sobre ela: «uma das melhores partes de meu próprio ser».</w:t>
      </w:r>
    </w:p>
    <w:p w:rsidR="00D24E61" w:rsidRPr="00771368" w:rsidRDefault="00D24E61">
      <w:pPr>
        <w:spacing w:line="22" w:lineRule="exact"/>
        <w:rPr>
          <w:sz w:val="20"/>
          <w:szCs w:val="20"/>
        </w:rPr>
      </w:pPr>
    </w:p>
    <w:p w:rsidR="00D24E61" w:rsidRPr="00771368" w:rsidRDefault="00D24E61">
      <w:pPr>
        <w:spacing w:line="221" w:lineRule="auto"/>
        <w:jc w:val="both"/>
        <w:rPr>
          <w:sz w:val="20"/>
          <w:szCs w:val="20"/>
        </w:rPr>
      </w:pPr>
      <w:r w:rsidRPr="00771368">
        <w:rPr>
          <w:rFonts w:eastAsia="Arial"/>
          <w:sz w:val="26"/>
          <w:szCs w:val="26"/>
          <w:vertAlign w:val="superscript"/>
        </w:rPr>
        <w:t>6</w:t>
      </w:r>
      <w:r w:rsidRPr="00771368">
        <w:rPr>
          <w:rFonts w:eastAsia="Arial"/>
          <w:sz w:val="20"/>
          <w:szCs w:val="20"/>
        </w:rPr>
        <w:t xml:space="preserve"> Marguerite Deslauriers além de lecionar na Mcgill University é também diretora do «Instituto de Pesquisa sobre a mulher» e do «Instituto de Gênero, Sexualidade e Estudos feministas» na mesma universidade.</w:t>
      </w:r>
    </w:p>
    <w:p w:rsidR="00D24E61" w:rsidRPr="00771368" w:rsidRDefault="00D24E61">
      <w:pPr>
        <w:sectPr w:rsidR="00D24E61" w:rsidRPr="00771368">
          <w:pgSz w:w="12240" w:h="15840"/>
          <w:pgMar w:top="1440" w:right="1140" w:bottom="858" w:left="1700" w:header="0" w:footer="0" w:gutter="0"/>
          <w:cols w:space="720" w:equalWidth="0">
            <w:col w:w="9400"/>
          </w:cols>
        </w:sectPr>
      </w:pPr>
    </w:p>
    <w:p w:rsidR="00D24E61" w:rsidRPr="00771368" w:rsidRDefault="00D24E61">
      <w:pPr>
        <w:spacing w:line="309" w:lineRule="exact"/>
        <w:rPr>
          <w:sz w:val="20"/>
          <w:szCs w:val="20"/>
        </w:rPr>
      </w:pPr>
    </w:p>
    <w:p w:rsidR="00D24E61" w:rsidRPr="00771368" w:rsidRDefault="00D24E61">
      <w:pPr>
        <w:spacing w:line="337" w:lineRule="auto"/>
        <w:jc w:val="both"/>
        <w:rPr>
          <w:sz w:val="20"/>
          <w:szCs w:val="20"/>
        </w:rPr>
      </w:pPr>
      <w:r w:rsidRPr="00771368">
        <w:rPr>
          <w:rFonts w:eastAsia="Arial"/>
          <w:sz w:val="24"/>
          <w:szCs w:val="24"/>
        </w:rPr>
        <w:t>escreveu mais que o próprio Montaigne! E, no entanto, mesmo que em alguns países ela tenha um certo reconhecimento como filósofa, ela ainda é mais conhecida como “o satélite de um astro”, como disse Auffret.</w:t>
      </w:r>
    </w:p>
    <w:p w:rsidR="00D24E61" w:rsidRPr="00771368" w:rsidRDefault="00D24E61">
      <w:pPr>
        <w:spacing w:line="28" w:lineRule="exact"/>
        <w:rPr>
          <w:sz w:val="20"/>
          <w:szCs w:val="20"/>
        </w:rPr>
      </w:pPr>
    </w:p>
    <w:p w:rsidR="00D24E61" w:rsidRPr="00771368" w:rsidRDefault="00D24E61">
      <w:pPr>
        <w:spacing w:line="350" w:lineRule="auto"/>
        <w:ind w:firstLine="560"/>
        <w:jc w:val="both"/>
        <w:rPr>
          <w:sz w:val="20"/>
          <w:szCs w:val="20"/>
        </w:rPr>
      </w:pPr>
      <w:r w:rsidRPr="00771368">
        <w:rPr>
          <w:rFonts w:eastAsia="Arial"/>
          <w:sz w:val="24"/>
          <w:szCs w:val="24"/>
        </w:rPr>
        <w:t>De volta ao Brasil, fui participar de um encontro na UFMG sobre Montaigne</w:t>
      </w:r>
      <w:r w:rsidRPr="00771368">
        <w:rPr>
          <w:rFonts w:eastAsia="Arial"/>
          <w:sz w:val="32"/>
          <w:szCs w:val="32"/>
          <w:vertAlign w:val="superscript"/>
        </w:rPr>
        <w:t>7</w:t>
      </w:r>
      <w:r w:rsidRPr="00771368">
        <w:rPr>
          <w:rFonts w:eastAsia="Arial"/>
          <w:sz w:val="24"/>
          <w:szCs w:val="24"/>
        </w:rPr>
        <w:t xml:space="preserve"> onde quase todos os grandes especialistas estavam presentes. Na ocasião onde uma pesquisadora expunha as mudanças de apreciação de Montaigne sobre as mulheres ao longo dos </w:t>
      </w:r>
      <w:r w:rsidRPr="00771368">
        <w:rPr>
          <w:rFonts w:eastAsia="Arial"/>
          <w:i/>
          <w:iCs/>
          <w:sz w:val="24"/>
          <w:szCs w:val="24"/>
        </w:rPr>
        <w:t>Ensaios</w:t>
      </w:r>
      <w:r w:rsidRPr="00771368">
        <w:rPr>
          <w:rFonts w:eastAsia="Arial"/>
          <w:sz w:val="24"/>
          <w:szCs w:val="24"/>
        </w:rPr>
        <w:t>, tendo como hipótese desta mudança a leitura de Agripa, percebi que nos ensaios publicados postumamente (e editados por Gournay, vale lembrar) o filósofo deixava de lado seus preconceitos quanto às mulheres. Achando esta informação muito interessante, por ressuscitar aquela minha velha questão de saber se Marie influenciou filosoficamente Montaigne, perguntei à conferencista se ela já tinha se interessado na minha questão e se ela acharia interessante levá-la em consideração, no que ela respondeu que nem sabia que Marie era filósofa, para minha surpresa. E surpresa maior eu tive quando, no intervalo entre conferências, muitos daqueles especialistas de alto nível vieram me dizer que também não sabiam que ela era filósofa e me pediram referências.</w:t>
      </w:r>
    </w:p>
    <w:p w:rsidR="00D24E61" w:rsidRPr="00771368" w:rsidRDefault="00D24E61">
      <w:pPr>
        <w:spacing w:line="200" w:lineRule="exact"/>
        <w:rPr>
          <w:sz w:val="20"/>
          <w:szCs w:val="20"/>
        </w:rPr>
      </w:pPr>
    </w:p>
    <w:p w:rsidR="00D24E61" w:rsidRPr="00771368" w:rsidRDefault="00D24E61">
      <w:pPr>
        <w:spacing w:line="230" w:lineRule="exact"/>
        <w:rPr>
          <w:sz w:val="20"/>
          <w:szCs w:val="20"/>
        </w:rPr>
      </w:pPr>
    </w:p>
    <w:p w:rsidR="00D24E61" w:rsidRPr="00771368" w:rsidRDefault="00D24E61">
      <w:pPr>
        <w:ind w:left="560"/>
        <w:rPr>
          <w:sz w:val="20"/>
          <w:szCs w:val="20"/>
        </w:rPr>
      </w:pPr>
      <w:r w:rsidRPr="00771368">
        <w:rPr>
          <w:rFonts w:eastAsia="Arial"/>
          <w:b/>
          <w:bCs/>
          <w:sz w:val="24"/>
          <w:szCs w:val="24"/>
        </w:rPr>
        <w:t>Objetivos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7" w:lineRule="exact"/>
        <w:rPr>
          <w:sz w:val="20"/>
          <w:szCs w:val="20"/>
        </w:rPr>
      </w:pPr>
    </w:p>
    <w:p w:rsidR="00D24E61" w:rsidRPr="00771368" w:rsidRDefault="00D24E61">
      <w:pPr>
        <w:spacing w:line="350" w:lineRule="auto"/>
        <w:ind w:firstLine="560"/>
        <w:jc w:val="both"/>
        <w:rPr>
          <w:sz w:val="20"/>
          <w:szCs w:val="20"/>
        </w:rPr>
      </w:pPr>
      <w:r w:rsidRPr="00771368">
        <w:rPr>
          <w:rFonts w:eastAsia="Arial"/>
          <w:sz w:val="24"/>
          <w:szCs w:val="24"/>
        </w:rPr>
        <w:t>Se, assim como eu não conhecia Gournay para além de sua relação afetiva com Montaigne até 2011, aqueles grandes pesquisadores até aquele ano também não, provavelmente ela não é muito conhecida no Brasil. E, pelo que me parece, ela nunca fora traduzida para o português e, talvez por isso, ela seja uma ilustre desconhecida. Por este motivo, o objetivo principal deste artigo é divulgar esta filósofa que poderá, quem sabe, contribuir para os estudos de gênero em nosso país.</w:t>
      </w:r>
    </w:p>
    <w:p w:rsidR="00D24E61" w:rsidRPr="00771368" w:rsidRDefault="00D24E61">
      <w:pPr>
        <w:spacing w:line="200" w:lineRule="exact"/>
        <w:rPr>
          <w:sz w:val="20"/>
          <w:szCs w:val="20"/>
        </w:rPr>
      </w:pPr>
    </w:p>
    <w:p w:rsidR="00D24E61" w:rsidRPr="00771368" w:rsidRDefault="00D24E61">
      <w:pPr>
        <w:spacing w:line="227" w:lineRule="exact"/>
        <w:rPr>
          <w:sz w:val="20"/>
          <w:szCs w:val="20"/>
        </w:rPr>
      </w:pPr>
    </w:p>
    <w:p w:rsidR="00D24E61" w:rsidRPr="00771368" w:rsidRDefault="00D24E61">
      <w:pPr>
        <w:ind w:left="560"/>
        <w:rPr>
          <w:sz w:val="20"/>
          <w:szCs w:val="20"/>
        </w:rPr>
      </w:pPr>
      <w:r w:rsidRPr="00771368">
        <w:rPr>
          <w:rFonts w:eastAsia="Arial"/>
          <w:b/>
          <w:bCs/>
          <w:sz w:val="24"/>
          <w:szCs w:val="24"/>
        </w:rPr>
        <w:t>Metodologia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7" w:lineRule="exact"/>
        <w:rPr>
          <w:sz w:val="20"/>
          <w:szCs w:val="20"/>
        </w:rPr>
      </w:pPr>
    </w:p>
    <w:p w:rsidR="00D24E61" w:rsidRPr="00771368" w:rsidRDefault="00D24E61">
      <w:pPr>
        <w:spacing w:line="314" w:lineRule="auto"/>
        <w:ind w:firstLine="560"/>
        <w:jc w:val="both"/>
        <w:rPr>
          <w:sz w:val="20"/>
          <w:szCs w:val="20"/>
        </w:rPr>
      </w:pPr>
      <w:r w:rsidRPr="00771368">
        <w:rPr>
          <w:rFonts w:eastAsia="Arial"/>
          <w:sz w:val="24"/>
          <w:szCs w:val="24"/>
        </w:rPr>
        <w:t>Acredito que para divulgar um autor em outra língua que não a dele, o primeiro passo que deve ser dado é traduzi-lo para o público de novos leitores. No caso de</w:t>
      </w:r>
    </w:p>
    <w:p w:rsidR="00D24E61" w:rsidRPr="00771368" w:rsidRDefault="00013211">
      <w:pPr>
        <w:spacing w:line="314" w:lineRule="auto"/>
        <w:ind w:firstLine="560"/>
        <w:jc w:val="both"/>
        <w:rPr>
          <w:sz w:val="20"/>
          <w:szCs w:val="20"/>
        </w:rPr>
        <w:sectPr w:rsidR="00D24E61" w:rsidRPr="00771368">
          <w:pgSz w:w="12240" w:h="15840"/>
          <w:pgMar w:top="1440" w:right="1140" w:bottom="810" w:left="1700" w:header="0" w:footer="0" w:gutter="0"/>
          <w:cols w:space="720" w:equalWidth="0">
            <w:col w:w="9400"/>
          </w:cols>
        </w:sectPr>
      </w:pPr>
      <w:r>
        <w:rPr>
          <w:noProof/>
          <w:sz w:val="20"/>
          <w:szCs w:val="20"/>
        </w:rPr>
        <mc:AlternateContent>
          <mc:Choice Requires="wps">
            <w:drawing>
              <wp:anchor distT="0" distB="0" distL="0" distR="0" simplePos="0" relativeHeight="251786752" behindDoc="0" locked="0" layoutInCell="0" allowOverlap="1">
                <wp:simplePos x="0" y="0"/>
                <wp:positionH relativeFrom="column">
                  <wp:posOffset>0</wp:posOffset>
                </wp:positionH>
                <wp:positionV relativeFrom="paragraph">
                  <wp:posOffset>193675</wp:posOffset>
                </wp:positionV>
                <wp:extent cx="1829435" cy="0"/>
                <wp:effectExtent l="9525" t="12700" r="8890" b="6350"/>
                <wp:wrapNone/>
                <wp:docPr id="14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8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25pt" to="144.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85FgIAAC0EAAAOAAAAZHJzL2Uyb0RvYy54bWysU02P2yAQvVfqf0DcE3+sN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" o:allowincell="f" strokeweight=".8pt"/>
            </w:pict>
          </mc:Fallback>
        </mc:AlternateContent>
      </w:r>
    </w:p>
    <w:p w:rsidR="00D24E61" w:rsidRPr="00771368" w:rsidRDefault="00D24E61">
      <w:pPr>
        <w:spacing w:line="400" w:lineRule="exact"/>
        <w:rPr>
          <w:sz w:val="20"/>
          <w:szCs w:val="20"/>
        </w:rPr>
      </w:pPr>
    </w:p>
    <w:p w:rsidR="00D24E61" w:rsidRPr="00771368" w:rsidRDefault="00D24E61">
      <w:pPr>
        <w:rPr>
          <w:sz w:val="20"/>
          <w:szCs w:val="20"/>
        </w:rPr>
      </w:pPr>
      <w:r w:rsidRPr="00771368">
        <w:rPr>
          <w:rFonts w:eastAsia="Arial"/>
          <w:sz w:val="25"/>
          <w:szCs w:val="25"/>
          <w:vertAlign w:val="superscript"/>
        </w:rPr>
        <w:t>7</w:t>
      </w:r>
      <w:r w:rsidRPr="00771368">
        <w:rPr>
          <w:rFonts w:eastAsia="Arial"/>
          <w:sz w:val="19"/>
          <w:szCs w:val="19"/>
        </w:rPr>
        <w:t xml:space="preserve"> Colóquio Montaigne: novas leituras. Realizado entre 31 de agosto a 2 de setembro de 2011.</w:t>
      </w:r>
    </w:p>
    <w:p w:rsidR="00D24E61" w:rsidRPr="00771368" w:rsidRDefault="00D24E61">
      <w:pPr>
        <w:sectPr w:rsidR="00D24E61" w:rsidRPr="00771368">
          <w:type w:val="continuous"/>
          <w:pgSz w:w="12240" w:h="15840"/>
          <w:pgMar w:top="1440" w:right="2220" w:bottom="810" w:left="1700" w:header="0" w:footer="0" w:gutter="0"/>
          <w:cols w:space="720" w:equalWidth="0">
            <w:col w:w="8320"/>
          </w:cols>
        </w:sectPr>
      </w:pPr>
    </w:p>
    <w:p w:rsidR="00D24E61" w:rsidRPr="00771368" w:rsidRDefault="00D24E61">
      <w:pPr>
        <w:spacing w:line="309" w:lineRule="exact"/>
        <w:rPr>
          <w:sz w:val="20"/>
          <w:szCs w:val="20"/>
        </w:rPr>
      </w:pPr>
    </w:p>
    <w:p w:rsidR="00D24E61" w:rsidRPr="00771368" w:rsidRDefault="00D24E61">
      <w:pPr>
        <w:spacing w:line="342" w:lineRule="auto"/>
        <w:jc w:val="both"/>
        <w:rPr>
          <w:sz w:val="20"/>
          <w:szCs w:val="20"/>
        </w:rPr>
      </w:pPr>
      <w:r w:rsidRPr="00771368">
        <w:rPr>
          <w:rFonts w:eastAsia="Arial"/>
          <w:sz w:val="24"/>
          <w:szCs w:val="24"/>
        </w:rPr>
        <w:t>Gournay, este trabalho torna-se ainda mais importante por se tratar de um texto em francês arcaico, o que torna ainda mais estreito o público que pode lê-lo no original. Por isso, o ponto alto deste trabalho será o resultado da tradução que, juntamente com minha amiga Martha Tremblay-Vilao</w:t>
      </w:r>
      <w:r w:rsidRPr="00771368">
        <w:rPr>
          <w:rFonts w:eastAsia="Arial"/>
          <w:sz w:val="32"/>
          <w:szCs w:val="32"/>
          <w:vertAlign w:val="superscript"/>
        </w:rPr>
        <w:t>8</w:t>
      </w:r>
      <w:r w:rsidRPr="00771368">
        <w:rPr>
          <w:rFonts w:eastAsia="Arial"/>
          <w:sz w:val="24"/>
          <w:szCs w:val="24"/>
        </w:rPr>
        <w:t>, fiz de seu curto ensaio intitulado «Grief des Dames». Meu desejo de traduzir o ensaio mais aclamado pelas feministas norte americanas e europeias, a saber, o «Egalité des Hommes et des femmes», será preciso ser deixado de lado por economia de páginas. Entretanto, julgo que o pequeno ensaio seja uma boa amostra do feminismo de Marie e sua importância para as discussões atuais sobre tal temática. Apenas após a exibição do texto traduzido, sobrevoarei a história da filósofa e passarei à discussão e às conclusões.</w:t>
      </w:r>
    </w:p>
    <w:p w:rsidR="00D24E61" w:rsidRPr="00771368" w:rsidRDefault="00D24E61">
      <w:pPr>
        <w:spacing w:line="200" w:lineRule="exact"/>
        <w:rPr>
          <w:sz w:val="20"/>
          <w:szCs w:val="20"/>
        </w:rPr>
      </w:pPr>
    </w:p>
    <w:p w:rsidR="00D24E61" w:rsidRPr="00771368" w:rsidRDefault="00D24E61">
      <w:pPr>
        <w:spacing w:line="239" w:lineRule="exact"/>
        <w:rPr>
          <w:sz w:val="20"/>
          <w:szCs w:val="20"/>
        </w:rPr>
      </w:pPr>
    </w:p>
    <w:p w:rsidR="00D24E61" w:rsidRPr="00771368" w:rsidRDefault="00D24E61">
      <w:pPr>
        <w:ind w:left="560"/>
        <w:rPr>
          <w:sz w:val="20"/>
          <w:szCs w:val="20"/>
        </w:rPr>
      </w:pPr>
      <w:r w:rsidRPr="00771368">
        <w:rPr>
          <w:rFonts w:eastAsia="Arial"/>
          <w:b/>
          <w:bCs/>
          <w:sz w:val="24"/>
          <w:szCs w:val="24"/>
        </w:rPr>
        <w:t>Resultados da Pesquisa e Discussão</w:t>
      </w:r>
    </w:p>
    <w:p w:rsidR="00D24E61" w:rsidRPr="00771368" w:rsidRDefault="00D24E61">
      <w:pPr>
        <w:spacing w:line="200" w:lineRule="exact"/>
        <w:rPr>
          <w:sz w:val="20"/>
          <w:szCs w:val="20"/>
        </w:rPr>
      </w:pPr>
    </w:p>
    <w:p w:rsidR="00D24E61" w:rsidRPr="00771368" w:rsidRDefault="00D24E61">
      <w:pPr>
        <w:spacing w:line="357" w:lineRule="exact"/>
        <w:rPr>
          <w:sz w:val="20"/>
          <w:szCs w:val="20"/>
        </w:rPr>
      </w:pPr>
    </w:p>
    <w:p w:rsidR="00D24E61" w:rsidRPr="00771368" w:rsidRDefault="00D24E61">
      <w:pPr>
        <w:ind w:left="560"/>
        <w:rPr>
          <w:sz w:val="20"/>
          <w:szCs w:val="20"/>
        </w:rPr>
      </w:pPr>
      <w:r w:rsidRPr="00771368">
        <w:rPr>
          <w:rFonts w:eastAsia="Arial"/>
          <w:sz w:val="24"/>
          <w:szCs w:val="24"/>
        </w:rPr>
        <w:t>Antes de mais nada, passemos à exibição da tradução do referido texto:</w:t>
      </w:r>
    </w:p>
    <w:p w:rsidR="00D24E61" w:rsidRPr="00771368" w:rsidRDefault="00D24E61">
      <w:pPr>
        <w:spacing w:line="200" w:lineRule="exact"/>
        <w:rPr>
          <w:sz w:val="20"/>
          <w:szCs w:val="20"/>
        </w:rPr>
      </w:pPr>
    </w:p>
    <w:p w:rsidR="00D24E61" w:rsidRPr="00771368" w:rsidRDefault="00D24E61">
      <w:pPr>
        <w:spacing w:line="204" w:lineRule="exact"/>
        <w:rPr>
          <w:sz w:val="20"/>
          <w:szCs w:val="20"/>
        </w:rPr>
      </w:pPr>
    </w:p>
    <w:p w:rsidR="00D24E61" w:rsidRPr="00771368" w:rsidRDefault="00D24E61">
      <w:pPr>
        <w:ind w:left="3520"/>
        <w:rPr>
          <w:sz w:val="20"/>
          <w:szCs w:val="20"/>
        </w:rPr>
      </w:pPr>
      <w:r w:rsidRPr="00771368">
        <w:rPr>
          <w:rFonts w:eastAsia="Arial"/>
          <w:b/>
          <w:bCs/>
          <w:color w:val="222222"/>
          <w:sz w:val="24"/>
          <w:szCs w:val="24"/>
        </w:rPr>
        <w:t>A Queixa das Damas</w:t>
      </w:r>
    </w:p>
    <w:p w:rsidR="00D24E61" w:rsidRPr="00771368" w:rsidRDefault="00D24E61">
      <w:pPr>
        <w:spacing w:line="335" w:lineRule="exact"/>
        <w:rPr>
          <w:sz w:val="20"/>
          <w:szCs w:val="20"/>
        </w:rPr>
      </w:pPr>
    </w:p>
    <w:p w:rsidR="00D24E61" w:rsidRPr="00771368" w:rsidRDefault="00D24E61">
      <w:pPr>
        <w:spacing w:line="351" w:lineRule="auto"/>
        <w:ind w:firstLine="708"/>
        <w:jc w:val="both"/>
        <w:rPr>
          <w:sz w:val="20"/>
          <w:szCs w:val="20"/>
        </w:rPr>
      </w:pPr>
      <w:r w:rsidRPr="00771368">
        <w:rPr>
          <w:rFonts w:eastAsia="Arial"/>
          <w:sz w:val="24"/>
          <w:szCs w:val="24"/>
        </w:rPr>
        <w:t>Bendito és tu</w:t>
      </w:r>
      <w:r w:rsidRPr="00771368">
        <w:rPr>
          <w:rFonts w:eastAsia="Arial"/>
          <w:color w:val="222222"/>
          <w:sz w:val="24"/>
          <w:szCs w:val="24"/>
        </w:rPr>
        <w:t>, leitor, se tu não pertences àquele sexo</w:t>
      </w:r>
      <w:r w:rsidRPr="00771368">
        <w:rPr>
          <w:rFonts w:eastAsia="Arial"/>
          <w:sz w:val="24"/>
          <w:szCs w:val="24"/>
        </w:rPr>
        <w:t xml:space="preserve"> interditado </w:t>
      </w:r>
      <w:r w:rsidRPr="00771368">
        <w:rPr>
          <w:rFonts w:eastAsia="Arial"/>
          <w:color w:val="222222"/>
          <w:sz w:val="24"/>
          <w:szCs w:val="24"/>
        </w:rPr>
        <w:t>de todos os</w:t>
      </w:r>
      <w:r w:rsidRPr="00771368">
        <w:rPr>
          <w:rFonts w:eastAsia="Arial"/>
          <w:sz w:val="24"/>
          <w:szCs w:val="24"/>
        </w:rPr>
        <w:t xml:space="preserve"> </w:t>
      </w:r>
      <w:r w:rsidRPr="00771368">
        <w:rPr>
          <w:rFonts w:eastAsia="Arial"/>
          <w:color w:val="222222"/>
          <w:sz w:val="24"/>
          <w:szCs w:val="24"/>
        </w:rPr>
        <w:t xml:space="preserve">bens, o privando da liberdade e também de quase todas as virtudes, </w:t>
      </w:r>
      <w:r w:rsidRPr="00771368">
        <w:rPr>
          <w:rFonts w:eastAsia="Arial"/>
          <w:color w:val="000000"/>
          <w:sz w:val="24"/>
          <w:szCs w:val="24"/>
        </w:rPr>
        <w:t>subtraindo-lhe</w:t>
      </w:r>
      <w:r w:rsidRPr="00771368">
        <w:rPr>
          <w:rFonts w:eastAsia="Arial"/>
          <w:color w:val="222222"/>
          <w:sz w:val="24"/>
          <w:szCs w:val="24"/>
        </w:rPr>
        <w:t xml:space="preserve"> as cargas, </w:t>
      </w:r>
      <w:r w:rsidRPr="00771368">
        <w:rPr>
          <w:rFonts w:eastAsia="Arial"/>
          <w:color w:val="000000"/>
          <w:sz w:val="24"/>
          <w:szCs w:val="24"/>
        </w:rPr>
        <w:t>ofícios</w:t>
      </w:r>
      <w:r w:rsidRPr="00771368">
        <w:rPr>
          <w:rFonts w:eastAsia="Arial"/>
          <w:color w:val="222222"/>
          <w:sz w:val="24"/>
          <w:szCs w:val="24"/>
        </w:rPr>
        <w:t xml:space="preserve"> e funções publicas; em uma palavra, </w:t>
      </w:r>
      <w:r w:rsidRPr="00771368">
        <w:rPr>
          <w:rFonts w:eastAsia="Arial"/>
          <w:color w:val="000000"/>
          <w:sz w:val="24"/>
          <w:szCs w:val="24"/>
        </w:rPr>
        <w:t>tirando-lhe</w:t>
      </w:r>
      <w:r w:rsidRPr="00771368">
        <w:rPr>
          <w:rFonts w:eastAsia="Arial"/>
          <w:color w:val="222222"/>
          <w:sz w:val="24"/>
          <w:szCs w:val="24"/>
        </w:rPr>
        <w:t xml:space="preserve"> o poder da moderação, do qual a maioria das virtudes se formam, afim de lhe atribuir como única felicidade, como virtudes soberanas e únicas, a ignorância, a servidão e a faculdade de se fazer de bobo se este jogo lhe agradar.</w:t>
      </w:r>
    </w:p>
    <w:p w:rsidR="00D24E61" w:rsidRPr="00771368" w:rsidRDefault="00D24E61">
      <w:pPr>
        <w:spacing w:line="63" w:lineRule="exact"/>
        <w:rPr>
          <w:sz w:val="20"/>
          <w:szCs w:val="20"/>
        </w:rPr>
      </w:pPr>
    </w:p>
    <w:p w:rsidR="00D24E61" w:rsidRPr="00771368" w:rsidRDefault="00D24E61">
      <w:pPr>
        <w:spacing w:line="351" w:lineRule="auto"/>
        <w:ind w:firstLine="708"/>
        <w:jc w:val="both"/>
        <w:rPr>
          <w:sz w:val="20"/>
          <w:szCs w:val="20"/>
        </w:rPr>
      </w:pPr>
      <w:r w:rsidRPr="00771368">
        <w:rPr>
          <w:rFonts w:eastAsia="Arial"/>
          <w:color w:val="222222"/>
          <w:sz w:val="24"/>
          <w:szCs w:val="24"/>
        </w:rPr>
        <w:t>Bendito, novamente, tu que podes ser sábio sem crime, tua qualidade de homem te concedendo, enquanto se priva às mulheres, toda ação de alto propósito, todo julgamento sublime e toda palavra de especulação requintada. Mas afim de calar de vez as outras queixas deste sexo, que de maneira injusta é ordinariamente tratado, eu lhes peço que, desde que ele esteja nas conferências, não seja tratado como intrometido. E eu sou tão pouco, ou para dizer melhor, tão gloriosa, que não temo</w:t>
      </w:r>
    </w:p>
    <w:p w:rsidR="00D24E61" w:rsidRPr="00771368" w:rsidRDefault="00013211">
      <w:pPr>
        <w:spacing w:line="265" w:lineRule="exact"/>
        <w:rPr>
          <w:sz w:val="20"/>
          <w:szCs w:val="20"/>
        </w:rPr>
      </w:pPr>
      <w:r>
        <w:rPr>
          <w:noProof/>
          <w:sz w:val="20"/>
          <w:szCs w:val="20"/>
        </w:rPr>
        <mc:AlternateContent>
          <mc:Choice Requires="wps">
            <w:drawing>
              <wp:anchor distT="0" distB="0" distL="0" distR="0" simplePos="0" relativeHeight="251787776" behindDoc="0" locked="0" layoutInCell="0" allowOverlap="1">
                <wp:simplePos x="0" y="0"/>
                <wp:positionH relativeFrom="column">
                  <wp:posOffset>0</wp:posOffset>
                </wp:positionH>
                <wp:positionV relativeFrom="paragraph">
                  <wp:posOffset>107950</wp:posOffset>
                </wp:positionV>
                <wp:extent cx="1829435" cy="0"/>
                <wp:effectExtent l="9525" t="12700" r="8890" b="6350"/>
                <wp:wrapNone/>
                <wp:docPr id="14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78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8.5pt" to="14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J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" o:allowincell="f" strokeweight=".8pt"/>
            </w:pict>
          </mc:Fallback>
        </mc:AlternateContent>
      </w:r>
    </w:p>
    <w:p w:rsidR="00D24E61" w:rsidRPr="00771368" w:rsidRDefault="00D24E61">
      <w:pPr>
        <w:spacing w:line="228" w:lineRule="auto"/>
        <w:jc w:val="both"/>
        <w:rPr>
          <w:sz w:val="20"/>
          <w:szCs w:val="20"/>
        </w:rPr>
      </w:pPr>
      <w:r w:rsidRPr="00771368">
        <w:rPr>
          <w:rFonts w:eastAsia="Arial"/>
          <w:color w:val="000000"/>
          <w:sz w:val="26"/>
          <w:szCs w:val="26"/>
          <w:vertAlign w:val="superscript"/>
        </w:rPr>
        <w:t>8</w:t>
      </w:r>
      <w:r w:rsidRPr="00771368">
        <w:rPr>
          <w:rFonts w:eastAsia="Arial"/>
          <w:color w:val="222222"/>
          <w:sz w:val="20"/>
          <w:szCs w:val="20"/>
        </w:rPr>
        <w:t xml:space="preserve"> Professora e tradutora de francês, a canadense Martha Tremblay-Vilao é formada em letras pela UQÀM (Université du Québèc à Montréal) e autora do artigo «La pornographie comme revendication féminine» presente na revista «FéminÉtudes» do «Institut de recherches et d'études féministes», edição 2008, vol.13 («Femmes sur la scène publique: visibilités subversives»). Atualmente, Vilao inicia seu mestrado em Clarice Lispector na UQÀM, tendo como orientadora a professora doutora </w:t>
      </w:r>
      <w:r w:rsidRPr="00771368">
        <w:rPr>
          <w:rFonts w:eastAsia="Arial"/>
          <w:color w:val="333333"/>
          <w:sz w:val="20"/>
          <w:szCs w:val="20"/>
        </w:rPr>
        <w:t>Johanne Villeneuve.</w:t>
      </w:r>
    </w:p>
    <w:p w:rsidR="00D24E61" w:rsidRPr="00771368" w:rsidRDefault="00D24E61">
      <w:pPr>
        <w:sectPr w:rsidR="00D24E61" w:rsidRPr="00771368">
          <w:pgSz w:w="12240" w:h="15840"/>
          <w:pgMar w:top="1440" w:right="1140" w:bottom="859" w:left="1700" w:header="0" w:footer="0" w:gutter="0"/>
          <w:cols w:space="720" w:equalWidth="0">
            <w:col w:w="9400"/>
          </w:cols>
        </w:sectPr>
      </w:pPr>
    </w:p>
    <w:p w:rsidR="00D24E61" w:rsidRPr="00771368" w:rsidRDefault="00D24E61">
      <w:pPr>
        <w:spacing w:line="309" w:lineRule="exact"/>
        <w:rPr>
          <w:sz w:val="20"/>
          <w:szCs w:val="20"/>
        </w:rPr>
      </w:pPr>
    </w:p>
    <w:p w:rsidR="00D24E61" w:rsidRPr="00771368" w:rsidRDefault="00D24E61">
      <w:pPr>
        <w:spacing w:line="346" w:lineRule="auto"/>
        <w:jc w:val="both"/>
        <w:rPr>
          <w:sz w:val="20"/>
          <w:szCs w:val="20"/>
        </w:rPr>
      </w:pPr>
      <w:r w:rsidRPr="00771368">
        <w:rPr>
          <w:rFonts w:eastAsia="Arial"/>
          <w:color w:val="222222"/>
          <w:sz w:val="24"/>
          <w:szCs w:val="24"/>
        </w:rPr>
        <w:t>confessar que eu o sei por minha própria experiência. Tendo as damas razões e meditações de Carnéades, não há tão franzino que não lhes barre, com a aprovação da maioria dos assistentes, apenas com um sorriso, ou algum pequeno movimento de cabeça, sua eloquência muda dirá: «É uma mulher que fala.»</w:t>
      </w:r>
    </w:p>
    <w:p w:rsidR="00D24E61" w:rsidRPr="00771368" w:rsidRDefault="00D24E61">
      <w:pPr>
        <w:spacing w:line="65"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Tal, recusa por azedume espinhoso, ou ao menos por teimosia, todo tipo de resistência que elas possam ter contra as interrupções do seu julgamento, por discreta que ela se mostre. Ou porque ele não acredita que elas possam chocar sua preciosa cabeça por outra mola que aquela do azedume ou da teimosia, ou porque, se sentindo, no fundo do coraçao, mal afiado para o combate. Afim de fugir das pancadas, é preciso que ele trame querela de alemão. E não é invenção muito estúpida a de recusar categoricamente o encontro com alguns miolos que talvez lhe superariam.</w:t>
      </w:r>
    </w:p>
    <w:p w:rsidR="00D24E61" w:rsidRPr="00771368" w:rsidRDefault="00D24E61">
      <w:pPr>
        <w:spacing w:line="67" w:lineRule="exact"/>
        <w:rPr>
          <w:sz w:val="20"/>
          <w:szCs w:val="20"/>
        </w:rPr>
      </w:pPr>
    </w:p>
    <w:p w:rsidR="00D24E61" w:rsidRPr="00771368" w:rsidRDefault="00D24E61">
      <w:pPr>
        <w:spacing w:line="352" w:lineRule="auto"/>
        <w:ind w:firstLine="708"/>
        <w:jc w:val="both"/>
        <w:rPr>
          <w:sz w:val="20"/>
          <w:szCs w:val="20"/>
        </w:rPr>
      </w:pPr>
      <w:r w:rsidRPr="00771368">
        <w:rPr>
          <w:rFonts w:eastAsia="Arial"/>
          <w:color w:val="222222"/>
          <w:sz w:val="24"/>
          <w:szCs w:val="24"/>
        </w:rPr>
        <w:t>Um outro, parando por fraqueza no meio do caminho, sob o pretexto de não querer importunar uma pessoa de vestido, será visto ao mesmo tempo como vitorioso e cortês. Um outro, ainda, mesmo que estime uma mulher capaz de sustentar uma disputa, não acredita que sua etiqueta lhe permita entrar num duelo legitimo com este espírito, porque ele tem a boa opinião do vulgo, o qual despreza o sexo a este ponto. É mais fácil, ao final das contas, levar pelo nariz alguém do vulgo do que admitir, de maneira vã, que ele leva a nós mesmos pelo nariz.</w:t>
      </w:r>
    </w:p>
    <w:p w:rsidR="00D24E61" w:rsidRPr="00771368" w:rsidRDefault="00D24E61">
      <w:pPr>
        <w:spacing w:line="13" w:lineRule="exact"/>
        <w:rPr>
          <w:sz w:val="20"/>
          <w:szCs w:val="20"/>
        </w:rPr>
      </w:pPr>
    </w:p>
    <w:p w:rsidR="00D24E61" w:rsidRPr="00771368" w:rsidRDefault="00D24E61">
      <w:pPr>
        <w:rPr>
          <w:sz w:val="20"/>
          <w:szCs w:val="20"/>
        </w:rPr>
      </w:pPr>
      <w:r w:rsidRPr="00771368">
        <w:rPr>
          <w:rFonts w:eastAsia="Arial"/>
          <w:color w:val="222222"/>
          <w:sz w:val="24"/>
          <w:szCs w:val="24"/>
        </w:rPr>
        <w:t>Sigamos.</w:t>
      </w:r>
    </w:p>
    <w:p w:rsidR="00D24E61" w:rsidRPr="00771368" w:rsidRDefault="00D24E61">
      <w:pPr>
        <w:spacing w:line="191" w:lineRule="exact"/>
        <w:rPr>
          <w:sz w:val="20"/>
          <w:szCs w:val="20"/>
        </w:rPr>
      </w:pPr>
    </w:p>
    <w:p w:rsidR="00D24E61" w:rsidRPr="00771368" w:rsidRDefault="00D24E61">
      <w:pPr>
        <w:spacing w:line="350" w:lineRule="auto"/>
        <w:ind w:firstLine="708"/>
        <w:jc w:val="both"/>
        <w:rPr>
          <w:sz w:val="20"/>
          <w:szCs w:val="20"/>
        </w:rPr>
      </w:pPr>
      <w:r w:rsidRPr="00771368">
        <w:rPr>
          <w:rFonts w:eastAsia="Arial"/>
          <w:color w:val="222222"/>
          <w:sz w:val="24"/>
          <w:szCs w:val="24"/>
        </w:rPr>
        <w:t>Este, dizendo trinta bobagens, levará, entretanto, o prêmio por sua barba ou pelo orgulho de uma pretensa capacidade que a companhia e ele mesmo medem segundo as comodidades e sua moda, sem considerar que, frequentemente, elas nascem por um ser mais palhaço ou mais lisonjeiro que seus companheiros, ou de alguma covarde submissão, ou outro vício, ou da boa graça e favor de tal pessoa que não daria lugar no seu coração, nem familiaridade, a pessoas mais hábeis que ele.</w:t>
      </w:r>
    </w:p>
    <w:p w:rsidR="00D24E61" w:rsidRPr="00771368" w:rsidRDefault="00D24E61">
      <w:pPr>
        <w:spacing w:line="70" w:lineRule="exact"/>
        <w:rPr>
          <w:sz w:val="20"/>
          <w:szCs w:val="20"/>
        </w:rPr>
      </w:pPr>
    </w:p>
    <w:p w:rsidR="00D24E61" w:rsidRPr="00771368" w:rsidRDefault="00D24E61">
      <w:pPr>
        <w:spacing w:line="348" w:lineRule="auto"/>
        <w:ind w:firstLine="708"/>
        <w:jc w:val="both"/>
        <w:rPr>
          <w:sz w:val="20"/>
          <w:szCs w:val="20"/>
        </w:rPr>
      </w:pPr>
      <w:r w:rsidRPr="00771368">
        <w:rPr>
          <w:rFonts w:eastAsia="Arial"/>
          <w:color w:val="222222"/>
          <w:sz w:val="24"/>
          <w:szCs w:val="24"/>
        </w:rPr>
        <w:t>Aquele será surpreendido por não conseguir discernir o golpe apressado de uma mão feminina. E tal outro tanto o discerne e o sente, que, para enganá-lo, torna piada, ou uma perpétua metralhadora de conversa fiada o discurso, ou o deturpa e distrai fora do assunto. E se põe então a vomitar pedantemente e com força belas coisas que nem lhe foram perguntadas, ou por tola ostentação, a intriga e confunde com uma prosa</w:t>
      </w:r>
    </w:p>
    <w:p w:rsidR="00D24E61" w:rsidRPr="00771368" w:rsidRDefault="00D24E61">
      <w:pPr>
        <w:sectPr w:rsidR="00D24E61" w:rsidRPr="00771368">
          <w:pgSz w:w="12240" w:h="15840"/>
          <w:pgMar w:top="1440" w:right="1140" w:bottom="1440" w:left="1700" w:header="0" w:footer="0" w:gutter="0"/>
          <w:cols w:space="720" w:equalWidth="0">
            <w:col w:w="9400"/>
          </w:cols>
        </w:sectPr>
      </w:pPr>
    </w:p>
    <w:p w:rsidR="00D24E61" w:rsidRPr="00771368" w:rsidRDefault="00D24E61">
      <w:pPr>
        <w:spacing w:line="309" w:lineRule="exact"/>
        <w:rPr>
          <w:sz w:val="20"/>
          <w:szCs w:val="20"/>
        </w:rPr>
      </w:pPr>
    </w:p>
    <w:p w:rsidR="00D24E61" w:rsidRPr="00771368" w:rsidRDefault="00D24E61">
      <w:pPr>
        <w:spacing w:line="317" w:lineRule="auto"/>
        <w:ind w:right="20"/>
        <w:jc w:val="both"/>
        <w:rPr>
          <w:sz w:val="20"/>
          <w:szCs w:val="20"/>
        </w:rPr>
      </w:pPr>
      <w:r w:rsidRPr="00771368">
        <w:rPr>
          <w:rFonts w:eastAsia="Arial"/>
          <w:color w:val="222222"/>
          <w:sz w:val="24"/>
          <w:szCs w:val="24"/>
        </w:rPr>
        <w:t>lógica, pensando ofuscar seu antagonista pelos únicos raios de sua doutrina, de qualquer viés ou lustre que ele os apresenta.</w:t>
      </w:r>
    </w:p>
    <w:p w:rsidR="00D24E61" w:rsidRPr="00771368" w:rsidRDefault="00D24E61">
      <w:pPr>
        <w:spacing w:line="99" w:lineRule="exact"/>
        <w:rPr>
          <w:sz w:val="20"/>
          <w:szCs w:val="20"/>
        </w:rPr>
      </w:pPr>
    </w:p>
    <w:p w:rsidR="00D24E61" w:rsidRPr="00771368" w:rsidRDefault="00D24E61">
      <w:pPr>
        <w:spacing w:line="351" w:lineRule="auto"/>
        <w:ind w:right="20" w:firstLine="708"/>
        <w:jc w:val="both"/>
        <w:rPr>
          <w:sz w:val="20"/>
          <w:szCs w:val="20"/>
        </w:rPr>
      </w:pPr>
      <w:r w:rsidRPr="00771368">
        <w:rPr>
          <w:rFonts w:eastAsia="Arial"/>
          <w:color w:val="222222"/>
          <w:sz w:val="24"/>
          <w:szCs w:val="24"/>
        </w:rPr>
        <w:t>Essas pessoas sabem o quanto é fácil aproveitar do ouvido do espectador, que não pode descobrir se esses galanteios são fuga ou vitória, por ele se encontrar muito raramente capaz de julgar a ordem e a condução de uma conferência, e a força dos que a conduzem. O espectador é também facilmente deslumbrado frente ao brilho dessa ciência vã que uma vaidade presunçosa escarra, como se fosse questão de dar conta de suas lições.</w:t>
      </w:r>
    </w:p>
    <w:p w:rsidR="00D24E61" w:rsidRPr="00771368" w:rsidRDefault="00D24E61">
      <w:pPr>
        <w:spacing w:line="63" w:lineRule="exact"/>
        <w:rPr>
          <w:sz w:val="20"/>
          <w:szCs w:val="20"/>
        </w:rPr>
      </w:pPr>
    </w:p>
    <w:p w:rsidR="00D24E61" w:rsidRPr="00771368" w:rsidRDefault="00D24E61">
      <w:pPr>
        <w:spacing w:line="329" w:lineRule="auto"/>
        <w:ind w:right="20" w:firstLine="708"/>
        <w:jc w:val="both"/>
        <w:rPr>
          <w:sz w:val="20"/>
          <w:szCs w:val="20"/>
        </w:rPr>
      </w:pPr>
      <w:r w:rsidRPr="00771368">
        <w:rPr>
          <w:rFonts w:eastAsia="Arial"/>
          <w:sz w:val="24"/>
          <w:szCs w:val="24"/>
        </w:rPr>
        <w:t xml:space="preserve">Assim, para ganhar o prêmio, basta a esses senhores de esquivar ao combate, colhendo toda a glória tanto quanto poupando qualquer labor. A arte da conversação em geral, com suas perfeiçoes e defeitos já foi altamente desenvolvida e aperfeiçoada nos </w:t>
      </w:r>
      <w:r w:rsidRPr="00771368">
        <w:rPr>
          <w:rFonts w:eastAsia="Arial"/>
          <w:i/>
          <w:iCs/>
          <w:sz w:val="24"/>
          <w:szCs w:val="24"/>
        </w:rPr>
        <w:t>Ensaios</w:t>
      </w:r>
      <w:r w:rsidRPr="00771368">
        <w:rPr>
          <w:rFonts w:eastAsia="Arial"/>
          <w:sz w:val="32"/>
          <w:szCs w:val="32"/>
          <w:vertAlign w:val="superscript"/>
        </w:rPr>
        <w:t>9</w:t>
      </w:r>
      <w:r w:rsidRPr="00771368">
        <w:rPr>
          <w:rFonts w:eastAsia="Arial"/>
          <w:i/>
          <w:iCs/>
          <w:sz w:val="24"/>
          <w:szCs w:val="24"/>
        </w:rPr>
        <w:t>.</w:t>
      </w:r>
      <w:r w:rsidRPr="00771368">
        <w:rPr>
          <w:rFonts w:eastAsia="Arial"/>
          <w:sz w:val="24"/>
          <w:szCs w:val="24"/>
        </w:rPr>
        <w:t xml:space="preserve"> Aqui o assunto é levado em consideração do ponto de vista especial das damas.</w:t>
      </w:r>
    </w:p>
    <w:p w:rsidR="00D24E61" w:rsidRPr="00771368" w:rsidRDefault="00D24E61">
      <w:pPr>
        <w:spacing w:line="55" w:lineRule="exact"/>
        <w:rPr>
          <w:sz w:val="20"/>
          <w:szCs w:val="20"/>
        </w:rPr>
      </w:pPr>
    </w:p>
    <w:p w:rsidR="00D24E61" w:rsidRPr="00771368" w:rsidRDefault="00D24E61">
      <w:pPr>
        <w:spacing w:line="356" w:lineRule="auto"/>
        <w:ind w:firstLine="708"/>
        <w:jc w:val="both"/>
        <w:rPr>
          <w:sz w:val="20"/>
          <w:szCs w:val="20"/>
        </w:rPr>
      </w:pPr>
      <w:r w:rsidRPr="00771368">
        <w:rPr>
          <w:rFonts w:eastAsia="Arial"/>
          <w:sz w:val="24"/>
          <w:szCs w:val="24"/>
        </w:rPr>
        <w:t>Reparemos neste discurso que não somente o vulgo dos letrados reclama contra o sexo feminino, mas que, no meio daqueles mesmos, vivos e mortos, que adquirirem algum nome de letrado em nosso século –as vezes oficialmente- conheceu-se quem desprezasse absolutamente as obras das mulheres sem sequer tentar se divertir procurando saber de qual estofo elas são feitas, nem buscar aproveitar de um aviso ou conselho que eles possam encontrar nas obras femininas, e nem quiserem primeiramente se informar se eles mesmo pudessem escrever algo que merecesse que todo tipo de mulher o lesse. Isso me faz suspeitar que, lendo somente as escritas deles, os homens sao guiados mais pela anatomia de suas barbas do que pela própria razão.</w:t>
      </w:r>
    </w:p>
    <w:p w:rsidR="00D24E61" w:rsidRPr="00771368" w:rsidRDefault="00D24E61">
      <w:pPr>
        <w:spacing w:line="200" w:lineRule="exact"/>
        <w:rPr>
          <w:sz w:val="20"/>
          <w:szCs w:val="20"/>
        </w:rPr>
      </w:pPr>
    </w:p>
    <w:p w:rsidR="00D24E61" w:rsidRPr="00771368" w:rsidRDefault="00D24E61">
      <w:pPr>
        <w:spacing w:line="257" w:lineRule="exact"/>
        <w:rPr>
          <w:sz w:val="20"/>
          <w:szCs w:val="20"/>
        </w:rPr>
      </w:pPr>
    </w:p>
    <w:p w:rsidR="00D24E61" w:rsidRPr="00771368" w:rsidRDefault="00D24E61">
      <w:pPr>
        <w:spacing w:line="350" w:lineRule="auto"/>
        <w:ind w:right="20" w:firstLine="708"/>
        <w:jc w:val="both"/>
        <w:rPr>
          <w:sz w:val="20"/>
          <w:szCs w:val="20"/>
        </w:rPr>
      </w:pPr>
      <w:r w:rsidRPr="00771368">
        <w:rPr>
          <w:rFonts w:eastAsia="Arial"/>
          <w:sz w:val="24"/>
          <w:szCs w:val="24"/>
        </w:rPr>
        <w:t xml:space="preserve">Esses traços de desprezo de tais doutores de bigode são na verdade fortemente cômodos, segundo o gosto popular, para reafirmar o brilho de sua sabedoria. Pois, para erguer-se na estima dos outros, o homem, besta de várias cabeças, sobretudo na corte, só precisa desprezar este e aquele, e jurar com convicção ser o </w:t>
      </w:r>
      <w:r w:rsidRPr="00771368">
        <w:rPr>
          <w:rFonts w:eastAsia="Arial"/>
          <w:i/>
          <w:iCs/>
          <w:sz w:val="24"/>
          <w:szCs w:val="24"/>
        </w:rPr>
        <w:t>prime del monde</w:t>
      </w:r>
      <w:r w:rsidRPr="00771368">
        <w:rPr>
          <w:rFonts w:eastAsia="Arial"/>
          <w:sz w:val="24"/>
          <w:szCs w:val="24"/>
        </w:rPr>
        <w:t>, seguindo o exemplo daquela pobre louca que tinha a certeza de ser um modelo de beleza gritando nas ruas de Paris: «Venham ver como eu sou bonita!».</w:t>
      </w:r>
    </w:p>
    <w:p w:rsidR="00D24E61" w:rsidRPr="00771368" w:rsidRDefault="00013211">
      <w:pPr>
        <w:spacing w:line="350" w:lineRule="auto"/>
        <w:ind w:right="20" w:firstLine="708"/>
        <w:jc w:val="both"/>
        <w:rPr>
          <w:sz w:val="20"/>
          <w:szCs w:val="20"/>
        </w:rPr>
        <w:sectPr w:rsidR="00D24E61" w:rsidRPr="00771368">
          <w:pgSz w:w="12240" w:h="15840"/>
          <w:pgMar w:top="1440" w:right="1120" w:bottom="828" w:left="1700" w:header="0" w:footer="0" w:gutter="0"/>
          <w:cols w:space="720" w:equalWidth="0">
            <w:col w:w="9420"/>
          </w:cols>
        </w:sectPr>
      </w:pPr>
      <w:r>
        <w:rPr>
          <w:noProof/>
          <w:sz w:val="20"/>
          <w:szCs w:val="20"/>
        </w:rPr>
        <mc:AlternateContent>
          <mc:Choice Requires="wps">
            <w:drawing>
              <wp:anchor distT="0" distB="0" distL="0" distR="0" simplePos="0" relativeHeight="251788800" behindDoc="0" locked="0" layoutInCell="0" allowOverlap="1">
                <wp:simplePos x="0" y="0"/>
                <wp:positionH relativeFrom="column">
                  <wp:posOffset>0</wp:posOffset>
                </wp:positionH>
                <wp:positionV relativeFrom="paragraph">
                  <wp:posOffset>421640</wp:posOffset>
                </wp:positionV>
                <wp:extent cx="1829435" cy="0"/>
                <wp:effectExtent l="9525" t="12065" r="8890" b="6985"/>
                <wp:wrapNone/>
                <wp:docPr id="14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78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3.2pt" to="144.0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C6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" o:allowincell="f" strokeweight=".28219mm"/>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40" w:lineRule="exact"/>
        <w:rPr>
          <w:sz w:val="20"/>
          <w:szCs w:val="20"/>
        </w:rPr>
      </w:pPr>
    </w:p>
    <w:p w:rsidR="00D24E61" w:rsidRPr="00771368" w:rsidRDefault="00D24E61">
      <w:pPr>
        <w:rPr>
          <w:sz w:val="20"/>
          <w:szCs w:val="20"/>
        </w:rPr>
      </w:pPr>
      <w:r w:rsidRPr="00771368">
        <w:rPr>
          <w:rFonts w:eastAsia="Calibri"/>
          <w:sz w:val="25"/>
          <w:szCs w:val="25"/>
          <w:vertAlign w:val="superscript"/>
        </w:rPr>
        <w:t>9</w:t>
      </w:r>
      <w:r w:rsidRPr="00771368">
        <w:rPr>
          <w:rFonts w:eastAsia="Arial"/>
          <w:sz w:val="19"/>
          <w:szCs w:val="19"/>
        </w:rPr>
        <w:t xml:space="preserve"> Montaigne, </w:t>
      </w:r>
      <w:r w:rsidRPr="00771368">
        <w:rPr>
          <w:rFonts w:eastAsia="Arial"/>
          <w:i/>
          <w:iCs/>
          <w:sz w:val="19"/>
          <w:szCs w:val="19"/>
        </w:rPr>
        <w:t>Ensaios</w:t>
      </w:r>
      <w:r w:rsidRPr="00771368">
        <w:rPr>
          <w:rFonts w:eastAsia="Arial"/>
          <w:sz w:val="19"/>
          <w:szCs w:val="19"/>
        </w:rPr>
        <w:t>, Livro III, ensaio 8.</w:t>
      </w:r>
    </w:p>
    <w:p w:rsidR="00D24E61" w:rsidRPr="00771368" w:rsidRDefault="00D24E61">
      <w:pPr>
        <w:sectPr w:rsidR="00D24E61" w:rsidRPr="00771368">
          <w:type w:val="continuous"/>
          <w:pgSz w:w="12240" w:h="15840"/>
          <w:pgMar w:top="1440" w:right="6980" w:bottom="828" w:left="1700" w:header="0" w:footer="0" w:gutter="0"/>
          <w:cols w:space="720" w:equalWidth="0">
            <w:col w:w="3560"/>
          </w:cols>
        </w:sectPr>
      </w:pPr>
    </w:p>
    <w:p w:rsidR="00D24E61" w:rsidRPr="00771368" w:rsidRDefault="00D24E61">
      <w:pPr>
        <w:spacing w:line="309" w:lineRule="exact"/>
        <w:rPr>
          <w:sz w:val="20"/>
          <w:szCs w:val="20"/>
        </w:rPr>
      </w:pPr>
    </w:p>
    <w:p w:rsidR="00D24E61" w:rsidRPr="00771368" w:rsidRDefault="00D24E61">
      <w:pPr>
        <w:spacing w:line="354" w:lineRule="auto"/>
        <w:ind w:firstLine="708"/>
        <w:jc w:val="both"/>
        <w:rPr>
          <w:sz w:val="20"/>
          <w:szCs w:val="20"/>
        </w:rPr>
      </w:pPr>
      <w:r w:rsidRPr="00771368">
        <w:rPr>
          <w:rFonts w:eastAsia="Arial"/>
          <w:sz w:val="24"/>
          <w:szCs w:val="24"/>
        </w:rPr>
        <w:t>Essas pessoas acrescentaram mais um traço no retrato deles: hão de nos mostrar que o valor do espirito deles ultrapassa àquele do nosso sexo, ou seja, na melhor das hipóteses, empata com aquele de seus vizinhos – eu falo, mesmo dos vizinhos abaixo do ultimo andar. Deste modo, não lemos nos registros que as interpretações dos bons autores que essa tropa faz são infames, das concepções fracas e baixas que eles discorrem, das contradições frequentes, das inúmeras quedas, do julgamento cego da escolha no andamento das coisas . Surgem assim, obras temperadas com apenas um ligeiro brilho de linguagem sobre matérias roubadas: clara de ovo batido.</w:t>
      </w:r>
    </w:p>
    <w:p w:rsidR="00D24E61" w:rsidRPr="00771368" w:rsidRDefault="00D24E61">
      <w:pPr>
        <w:spacing w:line="65" w:lineRule="exact"/>
        <w:rPr>
          <w:sz w:val="20"/>
          <w:szCs w:val="20"/>
        </w:rPr>
      </w:pPr>
    </w:p>
    <w:p w:rsidR="00D24E61" w:rsidRPr="00771368" w:rsidRDefault="00D24E61">
      <w:pPr>
        <w:spacing w:line="353" w:lineRule="auto"/>
        <w:ind w:firstLine="708"/>
        <w:jc w:val="both"/>
        <w:rPr>
          <w:sz w:val="20"/>
          <w:szCs w:val="20"/>
        </w:rPr>
      </w:pPr>
      <w:r w:rsidRPr="00771368">
        <w:rPr>
          <w:rFonts w:eastAsia="Arial"/>
          <w:sz w:val="24"/>
          <w:szCs w:val="24"/>
        </w:rPr>
        <w:t>A propósito, eu encontrei a missiva preliminar de um personagem qualquer outro dia, um dos que nunca pretendem se divertir lendo uma obra feminina: meu Deus! Tantos diademas, tanta glória, tanto Oriente, esplendor e tanta Palestina procurados além do Monte Líbano! Meu Deus! Tantas páginas fragmentadas mostradas como fênix na opinião do mestre, e quão longe da verdade aqueles que a buscam na inflamação e no exagero das palavras, na prosa especificamente! « Àqueles que foram dados um corpo franzino por natureza, disse um homem de alto merecimento, se enfeitam de estopa; e aqueles que têm imaginação magra ou infértil a inflam de palavras.»</w:t>
      </w:r>
    </w:p>
    <w:p w:rsidR="00D24E61" w:rsidRPr="00771368" w:rsidRDefault="00D24E61">
      <w:pPr>
        <w:spacing w:line="65" w:lineRule="exact"/>
        <w:rPr>
          <w:sz w:val="20"/>
          <w:szCs w:val="20"/>
        </w:rPr>
      </w:pPr>
    </w:p>
    <w:p w:rsidR="00D24E61" w:rsidRPr="00771368" w:rsidRDefault="00D24E61">
      <w:pPr>
        <w:spacing w:line="349" w:lineRule="auto"/>
        <w:ind w:firstLine="708"/>
        <w:jc w:val="both"/>
        <w:rPr>
          <w:sz w:val="20"/>
          <w:szCs w:val="20"/>
        </w:rPr>
      </w:pPr>
      <w:r w:rsidRPr="00771368">
        <w:rPr>
          <w:rFonts w:eastAsia="Arial"/>
          <w:sz w:val="24"/>
          <w:szCs w:val="24"/>
        </w:rPr>
        <w:t>Que vergonha, ainda, que a França veja de um olho tão turvo e de um julgamento tão duvidoso o merecimento dos escritores aos quais ela deu tão boa reputação, como o dono dessa missiva, que nunca teve qualidade recomendável, fora o apoio desse brilho, assistido por tal ciência escolástica! Eu nem o quero nomear, pois ele está morto.</w:t>
      </w:r>
    </w:p>
    <w:p w:rsidR="00D24E61" w:rsidRPr="00771368" w:rsidRDefault="00D24E61">
      <w:pPr>
        <w:spacing w:line="62"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 xml:space="preserve">Finalmente, para voltar a desejar o bem ao meu próximo, eu também queria que alguns desse grupo de sábios ou escritores, desprezadores desse pobre sexo maltratado, parem de usar as impressoras, para pelo menos deixar-nos a liberdade de decidir se eles sabem ou não escrever um livro. Pois, eles nos exibem que não podem, compondo os livros deles graças ao labor alheio – digo, edificando-os detalhadamente e algumas vezes grosseiramente, receando que esse «homem honesto», que os </w:t>
      </w:r>
      <w:r w:rsidRPr="00771368">
        <w:rPr>
          <w:rFonts w:eastAsia="Arial"/>
          <w:i/>
          <w:iCs/>
          <w:sz w:val="24"/>
          <w:szCs w:val="24"/>
        </w:rPr>
        <w:t xml:space="preserve">Ensaios </w:t>
      </w:r>
      <w:r w:rsidRPr="00771368">
        <w:rPr>
          <w:rFonts w:eastAsia="Arial"/>
          <w:sz w:val="24"/>
          <w:szCs w:val="24"/>
        </w:rPr>
        <w:t>ridicularizam do mesmo vício na época de seu autor, ficasse sem companhia.</w:t>
      </w:r>
    </w:p>
    <w:p w:rsidR="00D24E61" w:rsidRPr="00771368" w:rsidRDefault="00D24E61">
      <w:pPr>
        <w:spacing w:line="63" w:lineRule="exact"/>
        <w:rPr>
          <w:sz w:val="20"/>
          <w:szCs w:val="20"/>
        </w:rPr>
      </w:pPr>
    </w:p>
    <w:p w:rsidR="00D24E61" w:rsidRPr="00771368" w:rsidRDefault="00D24E61">
      <w:pPr>
        <w:spacing w:line="317" w:lineRule="auto"/>
        <w:ind w:firstLine="708"/>
        <w:jc w:val="both"/>
        <w:rPr>
          <w:sz w:val="20"/>
          <w:szCs w:val="20"/>
        </w:rPr>
      </w:pPr>
      <w:r w:rsidRPr="00771368">
        <w:rPr>
          <w:rFonts w:eastAsia="Arial"/>
          <w:sz w:val="24"/>
          <w:szCs w:val="24"/>
        </w:rPr>
        <w:t>Se eu ousasse me esforçar para proteger as damas contra eles, eu encontraria logo ao meu lado Sócrates, Platão, Plutarco, Sêneca, Antístenes, ou ainda São Basílio,</w:t>
      </w:r>
    </w:p>
    <w:p w:rsidR="00D24E61" w:rsidRPr="00771368" w:rsidRDefault="00D24E61">
      <w:pPr>
        <w:sectPr w:rsidR="00D24E61" w:rsidRPr="00771368">
          <w:pgSz w:w="12240" w:h="15840"/>
          <w:pgMar w:top="1440" w:right="1140" w:bottom="1078" w:left="1700" w:header="0" w:footer="0" w:gutter="0"/>
          <w:cols w:space="720" w:equalWidth="0">
            <w:col w:w="9400"/>
          </w:cols>
        </w:sectPr>
      </w:pPr>
    </w:p>
    <w:p w:rsidR="00D24E61" w:rsidRPr="00771368" w:rsidRDefault="00D24E61">
      <w:pPr>
        <w:spacing w:line="309" w:lineRule="exact"/>
        <w:rPr>
          <w:sz w:val="20"/>
          <w:szCs w:val="20"/>
        </w:rPr>
      </w:pPr>
    </w:p>
    <w:p w:rsidR="00D24E61" w:rsidRPr="00771368" w:rsidRDefault="00D24E61">
      <w:pPr>
        <w:spacing w:line="355" w:lineRule="auto"/>
        <w:jc w:val="both"/>
        <w:rPr>
          <w:sz w:val="20"/>
          <w:szCs w:val="20"/>
        </w:rPr>
      </w:pPr>
      <w:r w:rsidRPr="00771368">
        <w:rPr>
          <w:rFonts w:eastAsia="Arial"/>
          <w:sz w:val="24"/>
          <w:szCs w:val="24"/>
        </w:rPr>
        <w:t xml:space="preserve">Santo Jerônimo, e tais espíritos que esses doutores contradizem e negam com tanta liberdade, quando diferenciam, de maneira universal, os méritos e as faculdades próprios à cada sexo. Mas eles se encontram já vencidos e punidos pela estupidez deles, condenando o particular pelo geral – ao conceder que o talento das mulheres seja de maneira geral inferior – , e também pela ousadia de desprezar o julgamento de personagens tão importantes como aqueles, sem falar dos modernos, ou o decreto eterno de Deus mesmo, que faz dos dois sexos uma única criação, e, mais adiante na história santa, glorifica as mulheres de todos os dons e de todos os favores que os homens hão de se beneficiar, assim como eu apresentei de maneira mais ampla na </w:t>
      </w:r>
      <w:r w:rsidRPr="00771368">
        <w:rPr>
          <w:rFonts w:eastAsia="Arial"/>
          <w:i/>
          <w:iCs/>
          <w:sz w:val="24"/>
          <w:szCs w:val="24"/>
        </w:rPr>
        <w:t xml:space="preserve">Igualdade </w:t>
      </w:r>
      <w:r w:rsidRPr="00771368">
        <w:rPr>
          <w:rFonts w:eastAsia="Arial"/>
          <w:sz w:val="24"/>
          <w:szCs w:val="24"/>
        </w:rPr>
        <w:t>deles e delas.</w:t>
      </w:r>
    </w:p>
    <w:p w:rsidR="00D24E61" w:rsidRPr="00771368" w:rsidRDefault="00D24E61">
      <w:pPr>
        <w:spacing w:line="59" w:lineRule="exact"/>
        <w:rPr>
          <w:sz w:val="20"/>
          <w:szCs w:val="20"/>
        </w:rPr>
      </w:pPr>
    </w:p>
    <w:p w:rsidR="00D24E61" w:rsidRPr="00771368" w:rsidRDefault="00D24E61">
      <w:pPr>
        <w:spacing w:line="356" w:lineRule="auto"/>
        <w:ind w:firstLine="708"/>
        <w:jc w:val="both"/>
        <w:rPr>
          <w:sz w:val="20"/>
          <w:szCs w:val="20"/>
        </w:rPr>
      </w:pPr>
      <w:r w:rsidRPr="00771368">
        <w:rPr>
          <w:rFonts w:eastAsia="Arial"/>
          <w:sz w:val="24"/>
          <w:szCs w:val="24"/>
        </w:rPr>
        <w:t>Além disso, aqueles deste estofo sofrerão certamente, se eles quiserem, as advertências de que se passará a duvidar da capacidade deles de superar as mulheres fora da soberana lei do bel prazer deles, que os condena e os confina dentro das limitações da incapacidade, ou que se apague a glória de seus esforços pelo desprezo que eles, com prazer, usam como arma. Aliás, conhecemos algumas mulheres que nunca se vangloriariam de tão pouca coisa que de apagá-los, nem de vez, nem por simples comparação ou vingança. Ainda mais, eles saberão que, com a mesma sutileza que procuram desprezar esse sexo sem escutá-lo nem ler os seus escritos, ele procura vingar-se porque ouviu e leu os escritos que partiram de suas mãos. Eles poderão reter em suplício este lembrete perigoso de casa de boa família: Que apenas os menos hábeis podem viver contentes com suas capacidades, olhando as do outro por detrás do ombro, e que a ignorância é mãe da vaidade.</w:t>
      </w:r>
    </w:p>
    <w:p w:rsidR="00D24E61" w:rsidRPr="00771368" w:rsidRDefault="00D24E61">
      <w:pPr>
        <w:spacing w:line="200" w:lineRule="exact"/>
        <w:rPr>
          <w:sz w:val="20"/>
          <w:szCs w:val="20"/>
        </w:rPr>
      </w:pPr>
    </w:p>
    <w:p w:rsidR="00D24E61" w:rsidRPr="00771368" w:rsidRDefault="00D24E61">
      <w:pPr>
        <w:spacing w:line="223" w:lineRule="exact"/>
        <w:rPr>
          <w:sz w:val="20"/>
          <w:szCs w:val="20"/>
        </w:rPr>
      </w:pPr>
    </w:p>
    <w:p w:rsidR="00D24E61" w:rsidRPr="00771368" w:rsidRDefault="00D24E61">
      <w:pPr>
        <w:ind w:left="4100"/>
        <w:rPr>
          <w:sz w:val="20"/>
          <w:szCs w:val="20"/>
        </w:rPr>
      </w:pPr>
      <w:r w:rsidRPr="00771368">
        <w:rPr>
          <w:rFonts w:eastAsia="Arial"/>
          <w:sz w:val="24"/>
          <w:szCs w:val="24"/>
        </w:rPr>
        <w:t>*Fim da tradução*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3" w:lineRule="exact"/>
        <w:rPr>
          <w:sz w:val="20"/>
          <w:szCs w:val="20"/>
        </w:rPr>
      </w:pPr>
    </w:p>
    <w:p w:rsidR="00D24E61" w:rsidRPr="00771368" w:rsidRDefault="00D24E61">
      <w:pPr>
        <w:spacing w:line="350" w:lineRule="auto"/>
        <w:ind w:firstLine="708"/>
        <w:jc w:val="both"/>
        <w:rPr>
          <w:sz w:val="20"/>
          <w:szCs w:val="20"/>
        </w:rPr>
      </w:pPr>
      <w:r w:rsidRPr="00771368">
        <w:rPr>
          <w:rFonts w:eastAsia="Arial"/>
          <w:sz w:val="24"/>
          <w:szCs w:val="24"/>
        </w:rPr>
        <w:t xml:space="preserve">Como dito anteriormente, este pequeno ensaio é uma boa amostra do feminismo de Gournay. Ela retoma o argumento presente nos </w:t>
      </w:r>
      <w:r w:rsidRPr="00771368">
        <w:rPr>
          <w:rFonts w:eastAsia="Arial"/>
          <w:i/>
          <w:iCs/>
          <w:sz w:val="24"/>
          <w:szCs w:val="24"/>
        </w:rPr>
        <w:t>Ensaios</w:t>
      </w:r>
      <w:r w:rsidRPr="00771368">
        <w:rPr>
          <w:rFonts w:eastAsia="Arial"/>
          <w:sz w:val="24"/>
          <w:szCs w:val="24"/>
        </w:rPr>
        <w:t xml:space="preserve"> de Montaigne de que apenas a vaidade sustenta a sabedoria de alguns “homens de saber”. Ao invés de sustentarem sua ciência na verdade, criam suas próprias “verdades” a fim de sustentar suas comodidades e obter o reconhecimento público. Como nos mostra KRIER (2009: 247-248), a diferença entre o homem e a mulher, em Montaigne, tende a se atenuar</w:t>
      </w:r>
    </w:p>
    <w:p w:rsidR="00D24E61" w:rsidRPr="00771368" w:rsidRDefault="00D24E61">
      <w:pPr>
        <w:sectPr w:rsidR="00D24E61" w:rsidRPr="00771368">
          <w:pgSz w:w="12240" w:h="15840"/>
          <w:pgMar w:top="1440" w:right="1140" w:bottom="1045" w:left="1700" w:header="0" w:footer="0" w:gutter="0"/>
          <w:cols w:space="720" w:equalWidth="0">
            <w:col w:w="9400"/>
          </w:cols>
        </w:sectPr>
      </w:pPr>
    </w:p>
    <w:p w:rsidR="00D24E61" w:rsidRPr="00771368" w:rsidRDefault="00D24E61">
      <w:pPr>
        <w:spacing w:line="305" w:lineRule="exact"/>
        <w:rPr>
          <w:sz w:val="20"/>
          <w:szCs w:val="20"/>
        </w:rPr>
      </w:pPr>
    </w:p>
    <w:p w:rsidR="00D24E61" w:rsidRPr="00771368" w:rsidRDefault="00D24E61">
      <w:pPr>
        <w:spacing w:line="357" w:lineRule="auto"/>
        <w:jc w:val="both"/>
        <w:rPr>
          <w:sz w:val="20"/>
          <w:szCs w:val="20"/>
        </w:rPr>
      </w:pPr>
      <w:r w:rsidRPr="00771368">
        <w:rPr>
          <w:rFonts w:eastAsia="Arial"/>
          <w:sz w:val="24"/>
          <w:szCs w:val="24"/>
        </w:rPr>
        <w:t xml:space="preserve">pelos </w:t>
      </w:r>
      <w:r w:rsidRPr="00771368">
        <w:rPr>
          <w:rFonts w:eastAsia="Arial"/>
          <w:i/>
          <w:iCs/>
          <w:sz w:val="24"/>
          <w:szCs w:val="24"/>
        </w:rPr>
        <w:t>Ensaios</w:t>
      </w:r>
      <w:r w:rsidRPr="00771368">
        <w:rPr>
          <w:rFonts w:eastAsia="Arial"/>
          <w:sz w:val="24"/>
          <w:szCs w:val="24"/>
        </w:rPr>
        <w:t xml:space="preserve"> apenas deixarem lugar a um sujeito a qual a forma universal poderia bem se a vacuidade. E Marie, segundo a pesquisadora, leva a questão do ceticismo de Montaigne para o campo feminista ao defender que é a inconsistência inata da espécie humana que torna necessária a elaboração de uma ética da caridade, da qual a causa feminista faz parte. Como vimos no ensaio traduzido, Marie defende que os “homens de saber” criam verdades universais, como a de que as mulheres são universalmente inferiores aos homens, também para se defenderem de um perigoso duelo intelectual que poderia advir de um reconhecimento da particularidade de cada indivíduo, reconhecimento que ela herda de seu “pai de aliança”. Sobre a particularidade que fundamenta a constituição até mesmo dos próprios homens, como vimos em nossa tradução, Marie disse, “hão [os homens] de nos mostrar que o valor do espirito deles ultrapassa àquele do nosso sexo</w:t>
      </w:r>
      <w:r w:rsidRPr="00771368">
        <w:rPr>
          <w:rFonts w:eastAsia="Arial"/>
          <w:i/>
          <w:iCs/>
          <w:sz w:val="24"/>
          <w:szCs w:val="24"/>
        </w:rPr>
        <w:t>”</w:t>
      </w:r>
      <w:r w:rsidRPr="00771368">
        <w:rPr>
          <w:rFonts w:eastAsia="Arial"/>
          <w:sz w:val="24"/>
          <w:szCs w:val="24"/>
        </w:rPr>
        <w:t xml:space="preserve">. Ou seja, a diferença entre homens e mulheres não deve ser reconhecida simplesmente pelo gênero, mas pelo bom uso da razão, pela incrível diversidade que é o fundamento da humanidade em geral. Como disse GOURDE (2005: 72) ao analizar um outro ensaio “feminista” de Marie, a saber, </w:t>
      </w:r>
      <w:r w:rsidRPr="00771368">
        <w:rPr>
          <w:rFonts w:eastAsia="Arial"/>
          <w:i/>
          <w:iCs/>
          <w:sz w:val="24"/>
          <w:szCs w:val="24"/>
        </w:rPr>
        <w:t xml:space="preserve">Apologie pour celle qui escrit, </w:t>
      </w:r>
      <w:r w:rsidRPr="00771368">
        <w:rPr>
          <w:rFonts w:eastAsia="Arial"/>
          <w:sz w:val="24"/>
          <w:szCs w:val="24"/>
        </w:rPr>
        <w:t>Marie defende que existam apenas duas coisas</w:t>
      </w:r>
      <w:r w:rsidRPr="00771368">
        <w:rPr>
          <w:rFonts w:eastAsia="Arial"/>
          <w:i/>
          <w:iCs/>
          <w:sz w:val="24"/>
          <w:szCs w:val="24"/>
        </w:rPr>
        <w:t xml:space="preserve"> </w:t>
      </w:r>
      <w:r w:rsidRPr="00771368">
        <w:rPr>
          <w:rFonts w:eastAsia="Arial"/>
          <w:sz w:val="24"/>
          <w:szCs w:val="24"/>
        </w:rPr>
        <w:t xml:space="preserve">universais no mundo: a Razão e a Virtude. Sobre a temática da diversidade humana, Montaigne abre seu ensaio intitulado </w:t>
      </w:r>
      <w:r w:rsidRPr="00771368">
        <w:rPr>
          <w:rFonts w:eastAsia="Arial"/>
          <w:i/>
          <w:iCs/>
          <w:sz w:val="24"/>
          <w:szCs w:val="24"/>
        </w:rPr>
        <w:t>Da desigualde que existe entre nós</w:t>
      </w:r>
      <w:r w:rsidRPr="00771368">
        <w:rPr>
          <w:rFonts w:eastAsia="Arial"/>
          <w:sz w:val="24"/>
          <w:szCs w:val="24"/>
        </w:rPr>
        <w:t>, com um parágrafo em que destaca com maestria a diferença existente entre os homens:</w:t>
      </w:r>
    </w:p>
    <w:p w:rsidR="00D24E61" w:rsidRPr="00771368" w:rsidRDefault="00D24E61">
      <w:pPr>
        <w:spacing w:line="291" w:lineRule="exact"/>
        <w:rPr>
          <w:sz w:val="20"/>
          <w:szCs w:val="20"/>
        </w:rPr>
      </w:pPr>
    </w:p>
    <w:p w:rsidR="00D24E61" w:rsidRPr="00771368" w:rsidRDefault="00D24E61">
      <w:pPr>
        <w:spacing w:line="234" w:lineRule="auto"/>
        <w:ind w:left="2260" w:firstLine="708"/>
        <w:jc w:val="both"/>
        <w:rPr>
          <w:sz w:val="20"/>
          <w:szCs w:val="20"/>
        </w:rPr>
      </w:pPr>
      <w:r w:rsidRPr="00771368">
        <w:rPr>
          <w:rFonts w:eastAsia="Arial"/>
          <w:sz w:val="20"/>
          <w:szCs w:val="20"/>
        </w:rPr>
        <w:t xml:space="preserve">Plutarco diz em algum lugar que não observa entre um animal e outro distância tão grande como encontra entre um homem e outro. Está falando da capacidade da alma e das qualidades interiores. Na verdade, observo tanta distância de Epaminondas, como o imagino, até alguém que conheço, quero dizer capaz de senso comum, que de bom grado eu iria além de Plutarco e diria que </w:t>
      </w:r>
      <w:r w:rsidRPr="00771368">
        <w:rPr>
          <w:rFonts w:eastAsia="Arial"/>
          <w:i/>
          <w:iCs/>
          <w:sz w:val="20"/>
          <w:szCs w:val="20"/>
        </w:rPr>
        <w:t>há mais distância entre tal e tal homem do que entre tal homem e tal</w:t>
      </w:r>
      <w:r w:rsidRPr="00771368">
        <w:rPr>
          <w:rFonts w:eastAsia="Arial"/>
          <w:sz w:val="20"/>
          <w:szCs w:val="20"/>
        </w:rPr>
        <w:t xml:space="preserve"> </w:t>
      </w:r>
      <w:r w:rsidRPr="00771368">
        <w:rPr>
          <w:rFonts w:eastAsia="Arial"/>
          <w:i/>
          <w:iCs/>
          <w:sz w:val="20"/>
          <w:szCs w:val="20"/>
        </w:rPr>
        <w:t xml:space="preserve">animal </w:t>
      </w:r>
      <w:r w:rsidRPr="00771368">
        <w:rPr>
          <w:rFonts w:eastAsia="Arial"/>
          <w:sz w:val="20"/>
          <w:szCs w:val="20"/>
        </w:rPr>
        <w:t>e que há tantos graus de espíritos quantas braças há daqui ao céu, e</w:t>
      </w:r>
      <w:r w:rsidRPr="00771368">
        <w:rPr>
          <w:rFonts w:eastAsia="Arial"/>
          <w:i/>
          <w:iCs/>
          <w:sz w:val="20"/>
          <w:szCs w:val="20"/>
        </w:rPr>
        <w:t xml:space="preserve"> </w:t>
      </w:r>
      <w:r w:rsidRPr="00771368">
        <w:rPr>
          <w:rFonts w:eastAsia="Arial"/>
          <w:sz w:val="20"/>
          <w:szCs w:val="20"/>
        </w:rPr>
        <w:t>igualmente inumeráveis. (Livro I, página 384- itálico meu)</w:t>
      </w:r>
    </w:p>
    <w:p w:rsidR="00D24E61" w:rsidRPr="00771368" w:rsidRDefault="00D24E61">
      <w:pPr>
        <w:spacing w:line="200" w:lineRule="exact"/>
        <w:rPr>
          <w:sz w:val="20"/>
          <w:szCs w:val="20"/>
        </w:rPr>
      </w:pPr>
    </w:p>
    <w:p w:rsidR="00D24E61" w:rsidRPr="00771368" w:rsidRDefault="00D24E61">
      <w:pPr>
        <w:spacing w:line="274" w:lineRule="exact"/>
        <w:rPr>
          <w:sz w:val="20"/>
          <w:szCs w:val="20"/>
        </w:rPr>
      </w:pPr>
    </w:p>
    <w:p w:rsidR="00D24E61" w:rsidRPr="00771368" w:rsidRDefault="00D24E61">
      <w:pPr>
        <w:spacing w:line="350" w:lineRule="auto"/>
        <w:ind w:right="20" w:firstLine="708"/>
        <w:jc w:val="both"/>
        <w:rPr>
          <w:sz w:val="20"/>
          <w:szCs w:val="20"/>
        </w:rPr>
      </w:pPr>
      <w:r w:rsidRPr="00771368">
        <w:rPr>
          <w:rFonts w:eastAsia="Arial"/>
          <w:sz w:val="24"/>
          <w:szCs w:val="24"/>
        </w:rPr>
        <w:t xml:space="preserve">Tal observação de Montaigne é uma crítica sutil aos intelectuais de sua época (a saber, os do Renascimento) que se obstinavam em encontar a “natureza humana” sem considerar a desigualdade entre os homens. Marie, por sua vez, apropria-se das palavras de Montaigne para criticar os “homens de saber” de sua época que vaidosamente pretendem definir a natureza masculina e feminina. Em seu ensaio </w:t>
      </w:r>
      <w:r w:rsidRPr="00771368">
        <w:rPr>
          <w:rFonts w:eastAsia="Arial"/>
          <w:i/>
          <w:iCs/>
          <w:sz w:val="24"/>
          <w:szCs w:val="24"/>
        </w:rPr>
        <w:t>Da</w:t>
      </w:r>
      <w:r w:rsidRPr="00771368">
        <w:rPr>
          <w:rFonts w:eastAsia="Arial"/>
          <w:sz w:val="24"/>
          <w:szCs w:val="24"/>
        </w:rPr>
        <w:t xml:space="preserve"> </w:t>
      </w:r>
      <w:r w:rsidRPr="00771368">
        <w:rPr>
          <w:rFonts w:eastAsia="Arial"/>
          <w:i/>
          <w:iCs/>
          <w:sz w:val="24"/>
          <w:szCs w:val="24"/>
        </w:rPr>
        <w:t>Igualdade dos Homens e das Mulheres</w:t>
      </w:r>
      <w:r w:rsidRPr="00771368">
        <w:rPr>
          <w:rFonts w:eastAsia="Arial"/>
          <w:sz w:val="24"/>
          <w:szCs w:val="24"/>
        </w:rPr>
        <w:t>, tal apropriação feita de Montaigne é melhor</w:t>
      </w:r>
    </w:p>
    <w:p w:rsidR="00D24E61" w:rsidRPr="00771368" w:rsidRDefault="00D24E61">
      <w:pPr>
        <w:sectPr w:rsidR="00D24E61" w:rsidRPr="00771368">
          <w:pgSz w:w="12240" w:h="15840"/>
          <w:pgMar w:top="1440" w:right="1120" w:bottom="1045" w:left="1700" w:header="0" w:footer="0" w:gutter="0"/>
          <w:cols w:space="720" w:equalWidth="0">
            <w:col w:w="9420"/>
          </w:cols>
        </w:sectPr>
      </w:pPr>
    </w:p>
    <w:p w:rsidR="00D24E61" w:rsidRPr="00771368" w:rsidRDefault="00D24E61">
      <w:pPr>
        <w:spacing w:line="309" w:lineRule="exact"/>
        <w:rPr>
          <w:sz w:val="20"/>
          <w:szCs w:val="20"/>
        </w:rPr>
      </w:pPr>
    </w:p>
    <w:p w:rsidR="00D24E61" w:rsidRPr="00771368" w:rsidRDefault="00D24E61">
      <w:pPr>
        <w:spacing w:line="351" w:lineRule="auto"/>
        <w:jc w:val="both"/>
        <w:rPr>
          <w:sz w:val="20"/>
          <w:szCs w:val="20"/>
        </w:rPr>
      </w:pPr>
      <w:r w:rsidRPr="00771368">
        <w:rPr>
          <w:rFonts w:eastAsia="Arial"/>
          <w:sz w:val="24"/>
          <w:szCs w:val="24"/>
        </w:rPr>
        <w:t>explicitada por sua frase: « há mais diferença entre uma mulher e outra do que entre uma mulher e um homem» (p. 30). E Marie justifica esta diferença entre as mulheres pelas circusntâncias sociais, espaciais e culturais as quais elas são submetidas. Se, na França, segundo Marie, as mulheres são inferiores intelectualmente aos homens, não é por uma questão de natureza, mas de acesso à sabedoria. Como destacou KRIER (2009: 250) antes da descoberta da Sociologia, ela já via a interferência da sociedade.</w:t>
      </w:r>
    </w:p>
    <w:p w:rsidR="00D24E61" w:rsidRPr="00771368" w:rsidRDefault="00D24E61">
      <w:pPr>
        <w:spacing w:line="63" w:lineRule="exact"/>
        <w:rPr>
          <w:sz w:val="20"/>
          <w:szCs w:val="20"/>
        </w:rPr>
      </w:pPr>
    </w:p>
    <w:p w:rsidR="00D24E61" w:rsidRPr="00771368" w:rsidRDefault="00D24E61">
      <w:pPr>
        <w:spacing w:line="338" w:lineRule="auto"/>
        <w:ind w:firstLine="708"/>
        <w:jc w:val="both"/>
        <w:rPr>
          <w:sz w:val="20"/>
          <w:szCs w:val="20"/>
        </w:rPr>
      </w:pPr>
      <w:r w:rsidRPr="00771368">
        <w:rPr>
          <w:rFonts w:eastAsia="Arial"/>
          <w:sz w:val="24"/>
          <w:szCs w:val="24"/>
        </w:rPr>
        <w:t>Quanto ao acesso à sabedoria, nosso texto traduzido alude bem à uma realidade da própria Marie, a de ter sido negado seu acesso a algumas conferências e, quando permitida sua presença nelas, ela era tratada como intrometida ou recebida com a</w:t>
      </w:r>
    </w:p>
    <w:p w:rsidR="00D24E61" w:rsidRPr="00771368" w:rsidRDefault="00D24E61">
      <w:pPr>
        <w:spacing w:line="78" w:lineRule="exact"/>
        <w:rPr>
          <w:sz w:val="20"/>
          <w:szCs w:val="20"/>
        </w:rPr>
      </w:pPr>
    </w:p>
    <w:p w:rsidR="00D24E61" w:rsidRPr="00771368" w:rsidRDefault="00D24E61">
      <w:pPr>
        <w:spacing w:line="314" w:lineRule="auto"/>
        <w:jc w:val="both"/>
        <w:rPr>
          <w:sz w:val="20"/>
          <w:szCs w:val="20"/>
        </w:rPr>
      </w:pPr>
      <w:r w:rsidRPr="00771368">
        <w:rPr>
          <w:rFonts w:eastAsia="Arial"/>
          <w:sz w:val="24"/>
          <w:szCs w:val="24"/>
        </w:rPr>
        <w:t>“cortesia” daqueles que a julgavam pelo sexo ou simplesmente ignorada pela consideração machista: «É uma mulher que fala!».</w:t>
      </w:r>
    </w:p>
    <w:p w:rsidR="00D24E61" w:rsidRPr="00771368" w:rsidRDefault="00D24E61">
      <w:pPr>
        <w:spacing w:line="106" w:lineRule="exact"/>
        <w:rPr>
          <w:sz w:val="20"/>
          <w:szCs w:val="20"/>
        </w:rPr>
      </w:pPr>
    </w:p>
    <w:p w:rsidR="00D24E61" w:rsidRPr="00771368" w:rsidRDefault="00D24E61">
      <w:pPr>
        <w:spacing w:line="352" w:lineRule="auto"/>
        <w:ind w:firstLine="708"/>
        <w:jc w:val="both"/>
        <w:rPr>
          <w:sz w:val="20"/>
          <w:szCs w:val="20"/>
        </w:rPr>
      </w:pPr>
      <w:r w:rsidRPr="00771368">
        <w:rPr>
          <w:rFonts w:eastAsia="Arial"/>
          <w:sz w:val="24"/>
          <w:szCs w:val="24"/>
        </w:rPr>
        <w:t xml:space="preserve">Marie não se conformando com o fato de que o papel da mulher na sociedade era apenas o de esposa, não se casou e aventurou-se no mundo das letras a despeito dos preconceitos e da consequente miséria a qual lhe fora arrogada. Um outro preconceito do qual sofrera, para além dos que nosso texto alude, como destaca BEAULIEU (2000: 26), era o de que ela se aventurava no mundo das letras apenas por ser desprovida de beleza, qualidade necessária para o casamento. Para se defender de calúnias tais como esta, Marie escreveu seu ensaio, anteriormente citado, </w:t>
      </w:r>
      <w:r w:rsidRPr="00771368">
        <w:rPr>
          <w:rFonts w:eastAsia="Arial"/>
          <w:i/>
          <w:iCs/>
          <w:sz w:val="24"/>
          <w:szCs w:val="24"/>
        </w:rPr>
        <w:t>Apologie</w:t>
      </w:r>
      <w:r w:rsidRPr="00771368">
        <w:rPr>
          <w:rFonts w:eastAsia="Arial"/>
          <w:sz w:val="24"/>
          <w:szCs w:val="24"/>
        </w:rPr>
        <w:t xml:space="preserve"> </w:t>
      </w:r>
      <w:r w:rsidRPr="00771368">
        <w:rPr>
          <w:rFonts w:eastAsia="Arial"/>
          <w:i/>
          <w:iCs/>
          <w:sz w:val="24"/>
          <w:szCs w:val="24"/>
        </w:rPr>
        <w:t>pour celle qui escrit</w:t>
      </w:r>
      <w:r w:rsidRPr="00771368">
        <w:rPr>
          <w:rFonts w:eastAsia="Arial"/>
          <w:sz w:val="24"/>
          <w:szCs w:val="24"/>
        </w:rPr>
        <w:t>. Além de destacar a injustiça caluniosa da qual sofria, Marie, neste</w:t>
      </w:r>
      <w:r w:rsidRPr="00771368">
        <w:rPr>
          <w:rFonts w:eastAsia="Arial"/>
          <w:i/>
          <w:iCs/>
          <w:sz w:val="24"/>
          <w:szCs w:val="24"/>
        </w:rPr>
        <w:t xml:space="preserve"> </w:t>
      </w:r>
      <w:r w:rsidRPr="00771368">
        <w:rPr>
          <w:rFonts w:eastAsia="Arial"/>
          <w:sz w:val="24"/>
          <w:szCs w:val="24"/>
        </w:rPr>
        <w:t xml:space="preserve">ensaio ainda destaca o mal uso da razão feita por seus caluniadores. Enquanto eles balbuciam calúnias, ela escreve. GOURDE (2005:63) destaca a oposição entre oralidade e escrita que Marie faz em sua </w:t>
      </w:r>
      <w:r w:rsidRPr="00771368">
        <w:rPr>
          <w:rFonts w:eastAsia="Arial"/>
          <w:i/>
          <w:iCs/>
          <w:sz w:val="24"/>
          <w:szCs w:val="24"/>
        </w:rPr>
        <w:t>Apologia.</w:t>
      </w:r>
      <w:r w:rsidRPr="00771368">
        <w:rPr>
          <w:rFonts w:eastAsia="Arial"/>
          <w:sz w:val="24"/>
          <w:szCs w:val="24"/>
        </w:rPr>
        <w:t xml:space="preserve"> Marie qualifica o oralidade como fugidia e propensa à mentira. Enquanto a escrita, por ser mais durável, pode ser mais facilmente associada à verdade. Enquanto a primeira se relaciona à calúnia, a segunda à Razão. KRIER (2009: 248-249), ao analisar o ensaio </w:t>
      </w:r>
      <w:r w:rsidRPr="00771368">
        <w:rPr>
          <w:rFonts w:eastAsia="Arial"/>
          <w:i/>
          <w:iCs/>
          <w:sz w:val="24"/>
          <w:szCs w:val="24"/>
        </w:rPr>
        <w:t>Égalité des Hommes e des</w:t>
      </w:r>
      <w:r w:rsidRPr="00771368">
        <w:rPr>
          <w:rFonts w:eastAsia="Arial"/>
          <w:sz w:val="24"/>
          <w:szCs w:val="24"/>
        </w:rPr>
        <w:t xml:space="preserve"> </w:t>
      </w:r>
      <w:r w:rsidRPr="00771368">
        <w:rPr>
          <w:rFonts w:eastAsia="Arial"/>
          <w:i/>
          <w:iCs/>
          <w:sz w:val="24"/>
          <w:szCs w:val="24"/>
        </w:rPr>
        <w:t xml:space="preserve">Femmes, </w:t>
      </w:r>
      <w:r w:rsidRPr="00771368">
        <w:rPr>
          <w:rFonts w:eastAsia="Arial"/>
          <w:sz w:val="24"/>
          <w:szCs w:val="24"/>
        </w:rPr>
        <w:t>também encontra esta oposição entre escrita e oralidade e ainda destaca a</w:t>
      </w:r>
      <w:r w:rsidRPr="00771368">
        <w:rPr>
          <w:rFonts w:eastAsia="Arial"/>
          <w:i/>
          <w:iCs/>
          <w:sz w:val="24"/>
          <w:szCs w:val="24"/>
        </w:rPr>
        <w:t xml:space="preserve"> </w:t>
      </w:r>
      <w:r w:rsidRPr="00771368">
        <w:rPr>
          <w:rFonts w:eastAsia="Arial"/>
          <w:sz w:val="24"/>
          <w:szCs w:val="24"/>
        </w:rPr>
        <w:t>influência de Montaigne. Ambos destacam a dominação entre os povos pelo “ouvir dizer”</w:t>
      </w:r>
      <w:r w:rsidRPr="00771368">
        <w:rPr>
          <w:rFonts w:eastAsia="Arial"/>
          <w:sz w:val="32"/>
          <w:szCs w:val="32"/>
          <w:vertAlign w:val="superscript"/>
        </w:rPr>
        <w:t>10</w:t>
      </w:r>
      <w:r w:rsidRPr="00771368">
        <w:rPr>
          <w:rFonts w:eastAsia="Arial"/>
          <w:sz w:val="24"/>
          <w:szCs w:val="24"/>
        </w:rPr>
        <w:t>, mas enquanto Montaigne se limita à questão do conhecimento humano, Marie eleva a questão à causa feminina, defendendo que a base da misoginia é o mal uso da</w:t>
      </w:r>
    </w:p>
    <w:p w:rsidR="00D24E61" w:rsidRPr="00771368" w:rsidRDefault="00013211">
      <w:pPr>
        <w:spacing w:line="352" w:lineRule="auto"/>
        <w:ind w:firstLine="708"/>
        <w:jc w:val="both"/>
        <w:rPr>
          <w:sz w:val="20"/>
          <w:szCs w:val="20"/>
        </w:rPr>
        <w:sectPr w:rsidR="00D24E61" w:rsidRPr="00771368">
          <w:pgSz w:w="12240" w:h="15840"/>
          <w:pgMar w:top="1440" w:right="1140" w:bottom="860" w:left="1700" w:header="0" w:footer="0" w:gutter="0"/>
          <w:cols w:space="720" w:equalWidth="0">
            <w:col w:w="9400"/>
          </w:cols>
        </w:sectPr>
      </w:pPr>
      <w:r>
        <w:rPr>
          <w:noProof/>
          <w:sz w:val="20"/>
          <w:szCs w:val="20"/>
        </w:rPr>
        <mc:AlternateContent>
          <mc:Choice Requires="wps">
            <w:drawing>
              <wp:anchor distT="0" distB="0" distL="0" distR="0" simplePos="0" relativeHeight="251789824" behindDoc="0" locked="0" layoutInCell="0" allowOverlap="1">
                <wp:simplePos x="0" y="0"/>
                <wp:positionH relativeFrom="column">
                  <wp:posOffset>0</wp:posOffset>
                </wp:positionH>
                <wp:positionV relativeFrom="paragraph">
                  <wp:posOffset>261620</wp:posOffset>
                </wp:positionV>
                <wp:extent cx="1829435" cy="0"/>
                <wp:effectExtent l="9525" t="13970" r="8890" b="5080"/>
                <wp:wrapNone/>
                <wp:docPr id="14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78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0.6pt" to="144.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su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" o:allowincell="f" strokeweight=".28219mm"/>
            </w:pict>
          </mc:Fallback>
        </mc:AlternateContent>
      </w:r>
    </w:p>
    <w:p w:rsidR="00D24E61" w:rsidRPr="00771368" w:rsidRDefault="00D24E61">
      <w:pPr>
        <w:spacing w:line="200" w:lineRule="exact"/>
        <w:rPr>
          <w:sz w:val="20"/>
          <w:szCs w:val="20"/>
        </w:rPr>
      </w:pPr>
    </w:p>
    <w:p w:rsidR="00D24E61" w:rsidRPr="00771368" w:rsidRDefault="00D24E61">
      <w:pPr>
        <w:spacing w:line="311" w:lineRule="exact"/>
        <w:rPr>
          <w:sz w:val="20"/>
          <w:szCs w:val="20"/>
        </w:rPr>
      </w:pPr>
    </w:p>
    <w:p w:rsidR="00D24E61" w:rsidRPr="00771368" w:rsidRDefault="00D24E61">
      <w:pPr>
        <w:spacing w:line="211" w:lineRule="auto"/>
        <w:rPr>
          <w:sz w:val="20"/>
          <w:szCs w:val="20"/>
        </w:rPr>
      </w:pPr>
      <w:r w:rsidRPr="00771368">
        <w:rPr>
          <w:rFonts w:eastAsia="Arial"/>
          <w:sz w:val="26"/>
          <w:szCs w:val="26"/>
          <w:vertAlign w:val="superscript"/>
        </w:rPr>
        <w:t>10</w:t>
      </w:r>
      <w:r w:rsidRPr="00771368">
        <w:rPr>
          <w:rFonts w:eastAsia="Arial"/>
          <w:sz w:val="20"/>
          <w:szCs w:val="20"/>
        </w:rPr>
        <w:t xml:space="preserve"> Um bom ensaio de Montaigne para averiguar as consequências de pautar-se no “ouvir dizer” é o “Dos coxos”.</w:t>
      </w:r>
    </w:p>
    <w:p w:rsidR="00D24E61" w:rsidRPr="00771368" w:rsidRDefault="00D24E61">
      <w:pPr>
        <w:sectPr w:rsidR="00D24E61" w:rsidRPr="00771368">
          <w:type w:val="continuous"/>
          <w:pgSz w:w="12240" w:h="15840"/>
          <w:pgMar w:top="1440" w:right="1280" w:bottom="860" w:left="1700" w:header="0" w:footer="0" w:gutter="0"/>
          <w:cols w:space="720" w:equalWidth="0">
            <w:col w:w="9260"/>
          </w:cols>
        </w:sectPr>
      </w:pPr>
    </w:p>
    <w:p w:rsidR="00D24E61" w:rsidRPr="00771368" w:rsidRDefault="00D24E61">
      <w:pPr>
        <w:spacing w:line="309" w:lineRule="exact"/>
        <w:rPr>
          <w:sz w:val="20"/>
          <w:szCs w:val="20"/>
        </w:rPr>
      </w:pPr>
    </w:p>
    <w:p w:rsidR="00D24E61" w:rsidRPr="00771368" w:rsidRDefault="00D24E61">
      <w:pPr>
        <w:spacing w:line="357" w:lineRule="auto"/>
        <w:jc w:val="both"/>
        <w:rPr>
          <w:sz w:val="20"/>
          <w:szCs w:val="20"/>
        </w:rPr>
      </w:pPr>
      <w:r w:rsidRPr="00771368">
        <w:rPr>
          <w:rFonts w:eastAsia="Arial"/>
          <w:sz w:val="24"/>
          <w:szCs w:val="24"/>
        </w:rPr>
        <w:t>Razão. Os caluniadores tagarelam palavras sem compreender o sentido delas e é preciso combater estes estereótipos. KRIER (Idem: 245-247) ainda lança um outro paralelo entre Marie e Montaigne no que concerne à origem da arrogância humana, segundo eles, é orgulho humano que fabrica a ideia da superioridade entre as espécies. Como vimos anteriormente, enquanto Montaigne defende que há mais diferença entre um homem e outro homem do que entre um homem e um animal, Marie defende que há mais diferença entre uma mulher e tal mulher do que entre uma mulher e um homem. Ainda segundo KRIER (Idem: 249), a emancipação feminina, para Marie, passa pela vitória do relativismo dos sexos sobre o essencialismo (fundamentado pelo orgulho humano que pretende abarcar a natureza das coisa). Ao contrário do que dizem os caluniadores das mulheres, as capacidades e as funções dos indivíduos não são fixados de uma vez por todas segundo o gênero. Para Marie, as mulheres são, em primeiro lugar, susceptíveis de evoluir; em segundo, não incumbem às naturezas e; por último, estão em condições sociais diversas e flexíveis. Desta forma, para ela, a educação é uma questão crucial: lutar contra as desigualdades sociais requer, em primeiro lugar, favorizar o acesso semelhante dos homens e das mulheres ao saber. Sendo assim, conclui KRIER (Idem: 250): “a universalidade das identidades masculinas e femininas é ficcional.”</w:t>
      </w:r>
    </w:p>
    <w:p w:rsidR="00D24E61" w:rsidRPr="00771368" w:rsidRDefault="00D24E61">
      <w:pPr>
        <w:spacing w:line="61" w:lineRule="exact"/>
        <w:rPr>
          <w:sz w:val="20"/>
          <w:szCs w:val="20"/>
        </w:rPr>
      </w:pPr>
    </w:p>
    <w:p w:rsidR="00D24E61" w:rsidRPr="00771368" w:rsidRDefault="00D24E61">
      <w:pPr>
        <w:spacing w:line="349" w:lineRule="auto"/>
        <w:ind w:firstLine="708"/>
        <w:jc w:val="both"/>
        <w:rPr>
          <w:sz w:val="20"/>
          <w:szCs w:val="20"/>
        </w:rPr>
      </w:pPr>
      <w:r w:rsidRPr="00771368">
        <w:rPr>
          <w:rFonts w:eastAsia="Arial"/>
          <w:sz w:val="24"/>
          <w:szCs w:val="24"/>
        </w:rPr>
        <w:t xml:space="preserve">Noiset, em seu artigo </w:t>
      </w:r>
      <w:r w:rsidRPr="00771368">
        <w:rPr>
          <w:rFonts w:eastAsia="Arial"/>
          <w:i/>
          <w:iCs/>
          <w:sz w:val="24"/>
          <w:szCs w:val="24"/>
        </w:rPr>
        <w:t>Marie de Gournay et le caprice des siècles</w:t>
      </w:r>
      <w:r w:rsidRPr="00771368">
        <w:rPr>
          <w:rFonts w:eastAsia="Arial"/>
          <w:sz w:val="24"/>
          <w:szCs w:val="24"/>
        </w:rPr>
        <w:t xml:space="preserve"> (p. 194) afirma que Marie presume que seu insucesso como filósofa deveu-se mais à dissipação da época do que à sua condição feminina, isto porque, diz Noiset mais adiante (p.204) Marie denuncia o antifeminismo do século XVII por ser regido pela falta de capacidade intelectual da sociedade.</w:t>
      </w:r>
    </w:p>
    <w:p w:rsidR="00D24E61" w:rsidRPr="00771368" w:rsidRDefault="00D24E61">
      <w:pPr>
        <w:spacing w:line="70" w:lineRule="exact"/>
        <w:rPr>
          <w:sz w:val="20"/>
          <w:szCs w:val="20"/>
        </w:rPr>
      </w:pPr>
    </w:p>
    <w:p w:rsidR="00D24E61" w:rsidRPr="00771368" w:rsidRDefault="00D24E61">
      <w:pPr>
        <w:spacing w:line="344" w:lineRule="auto"/>
        <w:ind w:firstLine="708"/>
        <w:jc w:val="both"/>
        <w:rPr>
          <w:sz w:val="20"/>
          <w:szCs w:val="20"/>
        </w:rPr>
      </w:pPr>
      <w:r w:rsidRPr="00771368">
        <w:rPr>
          <w:rFonts w:eastAsia="Arial"/>
          <w:sz w:val="24"/>
          <w:szCs w:val="24"/>
        </w:rPr>
        <w:t>Seja como for, ou pela falta de capacidade de seu século ou pela vaidade destrutiva dos homens de seu tempo, fato é que as mulheres eram colocadas nas funções que tais homens bem escolhiam, privando-as dos bens e virtudes. E Marie rebelou-se contra este modelo machista de sua sociedade.</w:t>
      </w:r>
    </w:p>
    <w:p w:rsidR="00D24E61" w:rsidRPr="00771368" w:rsidRDefault="00D24E61">
      <w:pPr>
        <w:spacing w:line="200" w:lineRule="exact"/>
        <w:rPr>
          <w:sz w:val="20"/>
          <w:szCs w:val="20"/>
        </w:rPr>
      </w:pPr>
    </w:p>
    <w:p w:rsidR="00D24E61" w:rsidRPr="00771368" w:rsidRDefault="00D24E61">
      <w:pPr>
        <w:spacing w:line="232" w:lineRule="exact"/>
        <w:rPr>
          <w:sz w:val="20"/>
          <w:szCs w:val="20"/>
        </w:rPr>
      </w:pPr>
    </w:p>
    <w:p w:rsidR="007918E2" w:rsidRDefault="007918E2">
      <w:pPr>
        <w:rPr>
          <w:rFonts w:eastAsia="Arial"/>
          <w:b/>
          <w:bCs/>
          <w:sz w:val="24"/>
          <w:szCs w:val="24"/>
        </w:rPr>
      </w:pPr>
      <w:r>
        <w:rPr>
          <w:rFonts w:eastAsia="Arial"/>
          <w:b/>
          <w:bCs/>
          <w:sz w:val="24"/>
          <w:szCs w:val="24"/>
        </w:rPr>
        <w:br w:type="page"/>
      </w:r>
    </w:p>
    <w:p w:rsidR="007918E2" w:rsidRDefault="00D24E61" w:rsidP="007918E2">
      <w:pPr>
        <w:ind w:left="700"/>
        <w:rPr>
          <w:rFonts w:eastAsia="Arial"/>
          <w:b/>
          <w:bCs/>
          <w:sz w:val="24"/>
          <w:szCs w:val="24"/>
        </w:rPr>
      </w:pPr>
      <w:r w:rsidRPr="00771368">
        <w:rPr>
          <w:rFonts w:eastAsia="Arial"/>
          <w:b/>
          <w:bCs/>
          <w:sz w:val="24"/>
          <w:szCs w:val="24"/>
        </w:rPr>
        <w:t>Conclusões</w:t>
      </w:r>
    </w:p>
    <w:p w:rsidR="007918E2" w:rsidRDefault="007918E2" w:rsidP="007918E2">
      <w:pPr>
        <w:ind w:left="700"/>
        <w:rPr>
          <w:rFonts w:eastAsia="Arial"/>
          <w:b/>
          <w:bCs/>
          <w:sz w:val="24"/>
          <w:szCs w:val="24"/>
        </w:rPr>
      </w:pPr>
    </w:p>
    <w:p w:rsidR="00D24E61" w:rsidRPr="00771368" w:rsidRDefault="00D24E61" w:rsidP="007918E2">
      <w:pPr>
        <w:ind w:firstLine="560"/>
        <w:rPr>
          <w:sz w:val="20"/>
          <w:szCs w:val="20"/>
        </w:rPr>
      </w:pPr>
      <w:r w:rsidRPr="00771368">
        <w:rPr>
          <w:rFonts w:eastAsia="Arial"/>
          <w:sz w:val="24"/>
          <w:szCs w:val="24"/>
        </w:rPr>
        <w:t>Pela experiência de vida de Marie, podemos concluir que “A queixa das Damas” na verdade era a queixa da própria filósofa, que vivenciara todos os preconceitos machistas em vida, como ela mesmo disse, «falo por minha própria experiência». Entretanto, sua queixa permanece tão atual que no século XX seus escritos estouraram depois que o movimento feminista norte americano e europeu se interessaram por eles.</w:t>
      </w:r>
    </w:p>
    <w:p w:rsidR="00D24E61" w:rsidRPr="00771368" w:rsidRDefault="00D24E61">
      <w:pPr>
        <w:spacing w:line="66" w:lineRule="exact"/>
        <w:rPr>
          <w:sz w:val="20"/>
          <w:szCs w:val="20"/>
        </w:rPr>
      </w:pPr>
    </w:p>
    <w:p w:rsidR="00D24E61" w:rsidRPr="00771368" w:rsidRDefault="00D24E61">
      <w:pPr>
        <w:spacing w:line="357" w:lineRule="auto"/>
        <w:ind w:firstLine="560"/>
        <w:jc w:val="both"/>
        <w:rPr>
          <w:sz w:val="20"/>
          <w:szCs w:val="20"/>
        </w:rPr>
      </w:pPr>
      <w:r w:rsidRPr="00771368">
        <w:rPr>
          <w:rFonts w:eastAsia="Arial"/>
          <w:sz w:val="24"/>
          <w:szCs w:val="24"/>
        </w:rPr>
        <w:t>Espero que, com este pequeno artigo introdutório ao pensamento de Gournay, eu consiga contribuir um pouco com o reconhecimento da importância dos escritos de Gournay no Brasil. Apenas gostaria de ressaltar que Marie não sustenta a igualdade por argumentos essencialistas, pois estes são os mesmos aos quais ela condenara. Como disse GOURDE (2005: 66), Marie defende uma identidade feminina singular ou, como disse KRIER (2009: 246) trata-se de um singular indefinido ou de um diferente sem referente, pois, por não conhecermos a natureza em sua totalidade, não podemos estabelecer níveis hierárquicos que pretensamente existiriam nela. Em suma, seja como for, o recado de Marie parece ser o de que nós mulheres não somos essencialmente iguais aos homens, apenas somos iguais na falta de definição. Podemos ser tolas, espertas e ainda muitas outras coisas, assim como os homens também podem ser. Ao citar Sócrates, Platão, Plutarco, Sêneca, Antístenes, São Basílio, Santo Jerônimo, Marie deixa claro também que não se trata de menosprezar os homens como eles fazem com as mulheres, há homens inteligentes, assim como mulheres. De resto, deixo outras infinitas conclusões a possíveis leitoras e leitores que possam ter mais conhecimento do que seja os feminismos do que eu, que há pouco venho me aventurando na questão.</w:t>
      </w:r>
    </w:p>
    <w:p w:rsidR="00D24E61" w:rsidRPr="00771368" w:rsidRDefault="00D24E61">
      <w:pPr>
        <w:spacing w:line="251" w:lineRule="exact"/>
        <w:rPr>
          <w:sz w:val="20"/>
          <w:szCs w:val="20"/>
        </w:rPr>
      </w:pPr>
    </w:p>
    <w:p w:rsidR="00D24E61" w:rsidRDefault="00D24E61">
      <w:pPr>
        <w:rPr>
          <w:rFonts w:eastAsia="Arial"/>
          <w:b/>
          <w:bCs/>
          <w:sz w:val="24"/>
          <w:szCs w:val="24"/>
        </w:rPr>
      </w:pPr>
      <w:r w:rsidRPr="00771368">
        <w:rPr>
          <w:rFonts w:eastAsia="Arial"/>
          <w:b/>
          <w:bCs/>
          <w:sz w:val="24"/>
          <w:szCs w:val="24"/>
        </w:rPr>
        <w:t>Referências bibliográficas</w:t>
      </w:r>
    </w:p>
    <w:p w:rsidR="007918E2" w:rsidRPr="00771368" w:rsidRDefault="007918E2">
      <w:pPr>
        <w:rPr>
          <w:sz w:val="20"/>
          <w:szCs w:val="20"/>
        </w:rPr>
      </w:pPr>
    </w:p>
    <w:p w:rsidR="00D24E61" w:rsidRPr="00771368" w:rsidRDefault="00D24E61">
      <w:pPr>
        <w:rPr>
          <w:sz w:val="20"/>
          <w:szCs w:val="20"/>
        </w:rPr>
      </w:pPr>
      <w:r w:rsidRPr="00771368">
        <w:rPr>
          <w:rFonts w:eastAsia="Arial"/>
          <w:b/>
          <w:bCs/>
          <w:sz w:val="24"/>
          <w:szCs w:val="24"/>
        </w:rPr>
        <w:t>Primárias</w:t>
      </w:r>
    </w:p>
    <w:p w:rsidR="00D24E61" w:rsidRPr="00771368" w:rsidRDefault="00D24E61">
      <w:pPr>
        <w:spacing w:line="226" w:lineRule="auto"/>
        <w:ind w:right="20"/>
        <w:jc w:val="both"/>
        <w:rPr>
          <w:sz w:val="20"/>
          <w:szCs w:val="20"/>
        </w:rPr>
      </w:pPr>
      <w:r w:rsidRPr="00771368">
        <w:rPr>
          <w:rFonts w:eastAsia="Arial"/>
          <w:b/>
          <w:bCs/>
          <w:sz w:val="24"/>
          <w:szCs w:val="24"/>
        </w:rPr>
        <w:t xml:space="preserve">GOURNAY, Marie de. </w:t>
      </w:r>
      <w:r w:rsidRPr="00771368">
        <w:rPr>
          <w:rFonts w:eastAsia="Arial"/>
          <w:i/>
          <w:iCs/>
          <w:sz w:val="24"/>
          <w:szCs w:val="24"/>
        </w:rPr>
        <w:t>Égalité des hommes et des femmes suivi de Grief des</w:t>
      </w:r>
      <w:r w:rsidRPr="00771368">
        <w:rPr>
          <w:rFonts w:eastAsia="Arial"/>
          <w:b/>
          <w:bCs/>
          <w:sz w:val="24"/>
          <w:szCs w:val="24"/>
        </w:rPr>
        <w:t xml:space="preserve"> </w:t>
      </w:r>
      <w:r w:rsidRPr="00771368">
        <w:rPr>
          <w:rFonts w:eastAsia="Arial"/>
          <w:i/>
          <w:iCs/>
          <w:sz w:val="24"/>
          <w:szCs w:val="24"/>
        </w:rPr>
        <w:t xml:space="preserve">Dames. </w:t>
      </w:r>
      <w:r w:rsidRPr="00771368">
        <w:rPr>
          <w:rFonts w:eastAsia="Arial"/>
          <w:sz w:val="24"/>
          <w:szCs w:val="24"/>
        </w:rPr>
        <w:t>Édition établie par Claude Pinganaud et présentée par Séverine Auffret</w:t>
      </w:r>
      <w:r w:rsidRPr="00771368">
        <w:rPr>
          <w:rFonts w:eastAsia="Arial"/>
          <w:i/>
          <w:iCs/>
          <w:sz w:val="24"/>
          <w:szCs w:val="24"/>
        </w:rPr>
        <w:t xml:space="preserve"> </w:t>
      </w:r>
      <w:r w:rsidRPr="00771368">
        <w:rPr>
          <w:rFonts w:eastAsia="Arial"/>
          <w:sz w:val="24"/>
          <w:szCs w:val="24"/>
        </w:rPr>
        <w:t>(Éditions Arléa 2008).</w:t>
      </w:r>
    </w:p>
    <w:p w:rsidR="00D24E61" w:rsidRDefault="00D24E61">
      <w:pPr>
        <w:spacing w:line="219" w:lineRule="auto"/>
        <w:ind w:right="20"/>
        <w:jc w:val="both"/>
        <w:rPr>
          <w:rFonts w:eastAsia="Arial"/>
          <w:sz w:val="24"/>
          <w:szCs w:val="24"/>
        </w:rPr>
      </w:pPr>
      <w:r w:rsidRPr="00771368">
        <w:rPr>
          <w:rFonts w:eastAsia="Arial"/>
          <w:b/>
          <w:bCs/>
          <w:sz w:val="24"/>
          <w:szCs w:val="24"/>
        </w:rPr>
        <w:t xml:space="preserve">MONTAIGNE, M. </w:t>
      </w:r>
      <w:r w:rsidRPr="00771368">
        <w:rPr>
          <w:rFonts w:eastAsia="Arial"/>
          <w:i/>
          <w:iCs/>
          <w:sz w:val="24"/>
          <w:szCs w:val="24"/>
        </w:rPr>
        <w:t>Ensaios</w:t>
      </w:r>
      <w:r w:rsidRPr="00771368">
        <w:rPr>
          <w:rFonts w:eastAsia="Arial"/>
          <w:sz w:val="24"/>
          <w:szCs w:val="24"/>
        </w:rPr>
        <w:t>. 3 v. Trad. Rosemary C. A. São Paulo: Martins Fontes, 2000-2001.</w:t>
      </w:r>
    </w:p>
    <w:p w:rsidR="007918E2" w:rsidRPr="00771368" w:rsidRDefault="007918E2">
      <w:pPr>
        <w:spacing w:line="219" w:lineRule="auto"/>
        <w:ind w:right="20"/>
        <w:jc w:val="both"/>
        <w:rPr>
          <w:sz w:val="20"/>
          <w:szCs w:val="20"/>
        </w:rPr>
      </w:pPr>
    </w:p>
    <w:p w:rsidR="00D24E61" w:rsidRPr="00771368" w:rsidRDefault="00D24E61">
      <w:pPr>
        <w:rPr>
          <w:sz w:val="20"/>
          <w:szCs w:val="20"/>
        </w:rPr>
      </w:pPr>
      <w:r w:rsidRPr="00771368">
        <w:rPr>
          <w:rFonts w:eastAsia="Arial"/>
          <w:b/>
          <w:bCs/>
          <w:sz w:val="24"/>
          <w:szCs w:val="24"/>
        </w:rPr>
        <w:t>Secundárias</w:t>
      </w:r>
    </w:p>
    <w:p w:rsidR="00D24E61" w:rsidRPr="00771368" w:rsidRDefault="00D24E61">
      <w:pPr>
        <w:spacing w:line="219" w:lineRule="auto"/>
        <w:ind w:right="520"/>
        <w:rPr>
          <w:sz w:val="20"/>
          <w:szCs w:val="20"/>
        </w:rPr>
      </w:pPr>
      <w:r w:rsidRPr="00771368">
        <w:rPr>
          <w:rFonts w:eastAsia="Arial"/>
          <w:b/>
          <w:bCs/>
          <w:sz w:val="24"/>
          <w:szCs w:val="24"/>
        </w:rPr>
        <w:t>BEAULIEU</w:t>
      </w:r>
      <w:r w:rsidRPr="00771368">
        <w:rPr>
          <w:rFonts w:eastAsia="Arial"/>
          <w:sz w:val="24"/>
          <w:szCs w:val="24"/>
        </w:rPr>
        <w:t>, Jean-Philippe.</w:t>
      </w:r>
      <w:r w:rsidRPr="00771368">
        <w:rPr>
          <w:rFonts w:eastAsia="Arial"/>
          <w:b/>
          <w:bCs/>
          <w:sz w:val="24"/>
          <w:szCs w:val="24"/>
        </w:rPr>
        <w:t xml:space="preserve"> </w:t>
      </w:r>
      <w:r w:rsidRPr="00771368">
        <w:rPr>
          <w:rFonts w:eastAsia="Arial"/>
          <w:i/>
          <w:iCs/>
          <w:sz w:val="24"/>
          <w:szCs w:val="24"/>
        </w:rPr>
        <w:t>Marie de Gournay ou l’occultation d’une figure autoriale</w:t>
      </w:r>
      <w:r w:rsidRPr="00771368">
        <w:rPr>
          <w:rFonts w:eastAsia="Arial"/>
          <w:sz w:val="24"/>
          <w:szCs w:val="24"/>
        </w:rPr>
        <w:t>.</w:t>
      </w:r>
      <w:r w:rsidRPr="00771368">
        <w:rPr>
          <w:rFonts w:eastAsia="Arial"/>
          <w:b/>
          <w:bCs/>
          <w:sz w:val="24"/>
          <w:szCs w:val="24"/>
        </w:rPr>
        <w:t xml:space="preserve"> </w:t>
      </w:r>
      <w:r w:rsidRPr="00771368">
        <w:rPr>
          <w:rFonts w:eastAsia="Arial"/>
          <w:sz w:val="24"/>
          <w:szCs w:val="24"/>
        </w:rPr>
        <w:t>Renaissance and Reformation/ Renaissance et Réforme, XXIV, 2, 2000, p. 23-34.</w:t>
      </w:r>
    </w:p>
    <w:p w:rsidR="00D24E61" w:rsidRPr="00771368" w:rsidRDefault="00D24E61">
      <w:pPr>
        <w:spacing w:line="219" w:lineRule="auto"/>
        <w:rPr>
          <w:sz w:val="20"/>
          <w:szCs w:val="20"/>
        </w:rPr>
      </w:pPr>
      <w:r w:rsidRPr="00D61223">
        <w:rPr>
          <w:rFonts w:eastAsia="Arial"/>
          <w:b/>
          <w:bCs/>
          <w:sz w:val="24"/>
          <w:szCs w:val="24"/>
          <w:lang w:val="en-US"/>
        </w:rPr>
        <w:t xml:space="preserve">DEZON-JONES, </w:t>
      </w:r>
      <w:r w:rsidRPr="00D61223">
        <w:rPr>
          <w:rFonts w:eastAsia="Arial"/>
          <w:sz w:val="24"/>
          <w:szCs w:val="24"/>
          <w:lang w:val="en-US"/>
        </w:rPr>
        <w:t>Elyane.</w:t>
      </w:r>
      <w:r w:rsidRPr="00D61223">
        <w:rPr>
          <w:rFonts w:eastAsia="Arial"/>
          <w:b/>
          <w:bCs/>
          <w:sz w:val="24"/>
          <w:szCs w:val="24"/>
          <w:lang w:val="en-US"/>
        </w:rPr>
        <w:t xml:space="preserve"> </w:t>
      </w:r>
      <w:r w:rsidRPr="00D61223">
        <w:rPr>
          <w:rFonts w:eastAsia="Arial"/>
          <w:i/>
          <w:iCs/>
          <w:sz w:val="24"/>
          <w:szCs w:val="24"/>
          <w:lang w:val="en-US"/>
        </w:rPr>
        <w:t>Marie de Gournay -</w:t>
      </w:r>
      <w:r w:rsidRPr="00D61223">
        <w:rPr>
          <w:rFonts w:eastAsia="Arial"/>
          <w:b/>
          <w:bCs/>
          <w:sz w:val="24"/>
          <w:szCs w:val="24"/>
          <w:lang w:val="en-US"/>
        </w:rPr>
        <w:t xml:space="preserve"> </w:t>
      </w:r>
      <w:r w:rsidRPr="00D61223">
        <w:rPr>
          <w:rFonts w:eastAsia="Arial"/>
          <w:i/>
          <w:iCs/>
          <w:sz w:val="24"/>
          <w:szCs w:val="24"/>
          <w:lang w:val="en-US"/>
        </w:rPr>
        <w:t>Fragments d’un discours féminin</w:t>
      </w:r>
      <w:r w:rsidRPr="00D61223">
        <w:rPr>
          <w:rFonts w:eastAsia="Arial"/>
          <w:sz w:val="24"/>
          <w:szCs w:val="24"/>
          <w:lang w:val="en-US"/>
        </w:rPr>
        <w:t xml:space="preserve">. </w:t>
      </w:r>
      <w:r w:rsidRPr="00771368">
        <w:rPr>
          <w:rFonts w:eastAsia="Arial"/>
          <w:sz w:val="24"/>
          <w:szCs w:val="24"/>
        </w:rPr>
        <w:t>Paris :</w:t>
      </w:r>
      <w:r w:rsidRPr="00771368">
        <w:rPr>
          <w:rFonts w:eastAsia="Arial"/>
          <w:b/>
          <w:bCs/>
          <w:sz w:val="24"/>
          <w:szCs w:val="24"/>
        </w:rPr>
        <w:t xml:space="preserve"> </w:t>
      </w:r>
      <w:r w:rsidRPr="00771368">
        <w:rPr>
          <w:rFonts w:eastAsia="Arial"/>
          <w:sz w:val="24"/>
          <w:szCs w:val="24"/>
        </w:rPr>
        <w:t>José Corti, 1988.</w:t>
      </w:r>
    </w:p>
    <w:p w:rsidR="00D24E61" w:rsidRPr="00771368" w:rsidRDefault="00D24E61">
      <w:pPr>
        <w:spacing w:line="219" w:lineRule="auto"/>
        <w:ind w:right="280"/>
        <w:rPr>
          <w:sz w:val="20"/>
          <w:szCs w:val="20"/>
        </w:rPr>
      </w:pPr>
      <w:r w:rsidRPr="00771368">
        <w:rPr>
          <w:rFonts w:eastAsia="Arial"/>
          <w:b/>
          <w:bCs/>
          <w:sz w:val="24"/>
          <w:szCs w:val="24"/>
        </w:rPr>
        <w:t>FOGEL</w:t>
      </w:r>
      <w:r w:rsidRPr="00771368">
        <w:rPr>
          <w:rFonts w:eastAsia="Arial"/>
          <w:i/>
          <w:iCs/>
          <w:sz w:val="24"/>
          <w:szCs w:val="24"/>
        </w:rPr>
        <w:t>,</w:t>
      </w:r>
      <w:r w:rsidRPr="00771368">
        <w:rPr>
          <w:rFonts w:eastAsia="Arial"/>
          <w:b/>
          <w:bCs/>
          <w:sz w:val="24"/>
          <w:szCs w:val="24"/>
        </w:rPr>
        <w:t xml:space="preserve"> </w:t>
      </w:r>
      <w:r w:rsidRPr="00771368">
        <w:rPr>
          <w:rFonts w:eastAsia="Arial"/>
          <w:sz w:val="24"/>
          <w:szCs w:val="24"/>
        </w:rPr>
        <w:t>Micheèle</w:t>
      </w:r>
      <w:r w:rsidRPr="00771368">
        <w:rPr>
          <w:rFonts w:eastAsia="Arial"/>
          <w:i/>
          <w:iCs/>
          <w:sz w:val="24"/>
          <w:szCs w:val="24"/>
        </w:rPr>
        <w:t>. Marie de Gournay,</w:t>
      </w:r>
      <w:r w:rsidRPr="00771368">
        <w:rPr>
          <w:rFonts w:eastAsia="Arial"/>
          <w:b/>
          <w:bCs/>
          <w:sz w:val="24"/>
          <w:szCs w:val="24"/>
        </w:rPr>
        <w:t xml:space="preserve"> </w:t>
      </w:r>
      <w:r w:rsidRPr="00771368">
        <w:rPr>
          <w:rFonts w:eastAsia="Arial"/>
          <w:sz w:val="24"/>
          <w:szCs w:val="24"/>
        </w:rPr>
        <w:t>Itinéraires d’une femme savante. Paris :Fayard,</w:t>
      </w:r>
      <w:r w:rsidRPr="00771368">
        <w:rPr>
          <w:rFonts w:eastAsia="Arial"/>
          <w:b/>
          <w:bCs/>
          <w:sz w:val="24"/>
          <w:szCs w:val="24"/>
        </w:rPr>
        <w:t xml:space="preserve"> </w:t>
      </w:r>
      <w:r w:rsidRPr="00771368">
        <w:rPr>
          <w:rFonts w:eastAsia="Arial"/>
          <w:sz w:val="24"/>
          <w:szCs w:val="24"/>
        </w:rPr>
        <w:t>2004.</w:t>
      </w:r>
    </w:p>
    <w:p w:rsidR="00D24E61" w:rsidRPr="00771368" w:rsidRDefault="00D24E61">
      <w:pPr>
        <w:spacing w:line="219" w:lineRule="auto"/>
        <w:ind w:right="420"/>
        <w:rPr>
          <w:sz w:val="20"/>
          <w:szCs w:val="20"/>
        </w:rPr>
      </w:pPr>
      <w:r w:rsidRPr="00771368">
        <w:rPr>
          <w:rFonts w:eastAsia="Arial"/>
          <w:b/>
          <w:bCs/>
          <w:sz w:val="24"/>
          <w:szCs w:val="24"/>
        </w:rPr>
        <w:t>GOURDE</w:t>
      </w:r>
      <w:r w:rsidRPr="00771368">
        <w:rPr>
          <w:rFonts w:eastAsia="Arial"/>
          <w:sz w:val="24"/>
          <w:szCs w:val="24"/>
        </w:rPr>
        <w:t>, Sylvie.</w:t>
      </w:r>
      <w:r w:rsidRPr="00771368">
        <w:rPr>
          <w:rFonts w:eastAsia="Arial"/>
          <w:b/>
          <w:bCs/>
          <w:sz w:val="24"/>
          <w:szCs w:val="24"/>
        </w:rPr>
        <w:t xml:space="preserve"> </w:t>
      </w:r>
      <w:r w:rsidRPr="00771368">
        <w:rPr>
          <w:rFonts w:eastAsia="Arial"/>
          <w:i/>
          <w:iCs/>
          <w:sz w:val="24"/>
          <w:szCs w:val="24"/>
        </w:rPr>
        <w:t>Écriture contre parole</w:t>
      </w:r>
      <w:r w:rsidRPr="00771368">
        <w:rPr>
          <w:rFonts w:eastAsia="Arial"/>
          <w:sz w:val="24"/>
          <w:szCs w:val="24"/>
        </w:rPr>
        <w:t>: Marie de Gournay et son autodéfense dans</w:t>
      </w:r>
      <w:r w:rsidRPr="00771368">
        <w:rPr>
          <w:rFonts w:eastAsia="Arial"/>
          <w:b/>
          <w:bCs/>
          <w:sz w:val="24"/>
          <w:szCs w:val="24"/>
        </w:rPr>
        <w:t xml:space="preserve"> </w:t>
      </w:r>
      <w:r w:rsidRPr="00771368">
        <w:rPr>
          <w:rFonts w:eastAsia="Arial"/>
          <w:sz w:val="24"/>
          <w:szCs w:val="24"/>
        </w:rPr>
        <w:t>«Apologie pour celle qui escrit». Tangence, n° 77, 2005, p. 61-72.</w:t>
      </w:r>
    </w:p>
    <w:p w:rsidR="00D24E61" w:rsidRPr="00771368" w:rsidRDefault="00D24E61">
      <w:pPr>
        <w:spacing w:line="226" w:lineRule="auto"/>
        <w:ind w:right="820"/>
        <w:jc w:val="both"/>
        <w:rPr>
          <w:sz w:val="20"/>
          <w:szCs w:val="20"/>
        </w:rPr>
      </w:pPr>
      <w:r w:rsidRPr="00771368">
        <w:rPr>
          <w:rFonts w:eastAsia="Arial"/>
          <w:b/>
          <w:bCs/>
          <w:sz w:val="24"/>
          <w:szCs w:val="24"/>
        </w:rPr>
        <w:t>KRIER</w:t>
      </w:r>
      <w:r w:rsidRPr="00771368">
        <w:rPr>
          <w:rFonts w:eastAsia="Arial"/>
          <w:sz w:val="24"/>
          <w:szCs w:val="24"/>
        </w:rPr>
        <w:t>, Isabelle.</w:t>
      </w:r>
      <w:r w:rsidRPr="00771368">
        <w:rPr>
          <w:rFonts w:eastAsia="Arial"/>
          <w:b/>
          <w:bCs/>
          <w:sz w:val="24"/>
          <w:szCs w:val="24"/>
        </w:rPr>
        <w:t xml:space="preserve"> </w:t>
      </w:r>
      <w:r w:rsidRPr="00771368">
        <w:rPr>
          <w:rFonts w:eastAsia="Arial"/>
          <w:i/>
          <w:iCs/>
          <w:sz w:val="24"/>
          <w:szCs w:val="24"/>
        </w:rPr>
        <w:t>Souvenirs sceptiques de Marie de Gournay dans</w:t>
      </w:r>
      <w:r w:rsidRPr="00771368">
        <w:rPr>
          <w:rFonts w:eastAsia="Arial"/>
          <w:b/>
          <w:bCs/>
          <w:sz w:val="24"/>
          <w:szCs w:val="24"/>
        </w:rPr>
        <w:t xml:space="preserve"> </w:t>
      </w:r>
      <w:r w:rsidRPr="00771368">
        <w:rPr>
          <w:rFonts w:eastAsia="Arial"/>
          <w:i/>
          <w:iCs/>
          <w:sz w:val="24"/>
          <w:szCs w:val="24"/>
        </w:rPr>
        <w:t>l’«</w:t>
      </w:r>
      <w:r w:rsidRPr="00771368">
        <w:rPr>
          <w:rFonts w:eastAsia="Arial"/>
          <w:b/>
          <w:bCs/>
          <w:sz w:val="24"/>
          <w:szCs w:val="24"/>
        </w:rPr>
        <w:t xml:space="preserve"> </w:t>
      </w:r>
      <w:r w:rsidRPr="00771368">
        <w:rPr>
          <w:rFonts w:eastAsia="Arial"/>
          <w:i/>
          <w:iCs/>
          <w:sz w:val="24"/>
          <w:szCs w:val="24"/>
        </w:rPr>
        <w:t>Égalité des</w:t>
      </w:r>
      <w:r w:rsidRPr="00771368">
        <w:rPr>
          <w:rFonts w:eastAsia="Arial"/>
          <w:b/>
          <w:bCs/>
          <w:sz w:val="24"/>
          <w:szCs w:val="24"/>
        </w:rPr>
        <w:t xml:space="preserve"> </w:t>
      </w:r>
      <w:r w:rsidRPr="00771368">
        <w:rPr>
          <w:rFonts w:eastAsia="Arial"/>
          <w:i/>
          <w:iCs/>
          <w:sz w:val="24"/>
          <w:szCs w:val="24"/>
        </w:rPr>
        <w:t>hommes et des femmes »</w:t>
      </w:r>
      <w:r w:rsidRPr="00771368">
        <w:rPr>
          <w:rFonts w:eastAsia="Arial"/>
          <w:sz w:val="24"/>
          <w:szCs w:val="24"/>
        </w:rPr>
        <w:t>.</w:t>
      </w:r>
      <w:r w:rsidRPr="00771368">
        <w:rPr>
          <w:rFonts w:eastAsia="Arial"/>
          <w:i/>
          <w:iCs/>
          <w:sz w:val="24"/>
          <w:szCs w:val="24"/>
        </w:rPr>
        <w:t xml:space="preserve"> </w:t>
      </w:r>
      <w:r w:rsidRPr="00771368">
        <w:rPr>
          <w:rFonts w:eastAsia="Arial"/>
          <w:sz w:val="24"/>
          <w:szCs w:val="24"/>
        </w:rPr>
        <w:t>Clio. Histoire‚ femmes et sociétés</w:t>
      </w:r>
      <w:r w:rsidRPr="00771368">
        <w:rPr>
          <w:rFonts w:eastAsia="Arial"/>
          <w:i/>
          <w:iCs/>
          <w:sz w:val="24"/>
          <w:szCs w:val="24"/>
        </w:rPr>
        <w:t xml:space="preserve"> </w:t>
      </w:r>
      <w:r w:rsidRPr="00771368">
        <w:rPr>
          <w:rFonts w:eastAsia="Arial"/>
          <w:sz w:val="24"/>
          <w:szCs w:val="24"/>
        </w:rPr>
        <w:t>[Online], 29 | 2009,</w:t>
      </w:r>
      <w:r w:rsidRPr="00771368">
        <w:rPr>
          <w:rFonts w:eastAsia="Arial"/>
          <w:i/>
          <w:iCs/>
          <w:sz w:val="24"/>
          <w:szCs w:val="24"/>
        </w:rPr>
        <w:t xml:space="preserve"> </w:t>
      </w:r>
      <w:r w:rsidRPr="00771368">
        <w:rPr>
          <w:rFonts w:eastAsia="Arial"/>
          <w:sz w:val="24"/>
          <w:szCs w:val="24"/>
        </w:rPr>
        <w:t>29 | 2009, 243-257.</w:t>
      </w:r>
    </w:p>
    <w:p w:rsidR="00D24E61" w:rsidRPr="00771368" w:rsidRDefault="00D24E61">
      <w:pPr>
        <w:spacing w:line="219" w:lineRule="auto"/>
        <w:ind w:right="60"/>
        <w:rPr>
          <w:sz w:val="20"/>
          <w:szCs w:val="20"/>
        </w:rPr>
      </w:pPr>
      <w:r w:rsidRPr="00771368">
        <w:rPr>
          <w:rFonts w:eastAsia="Arial"/>
          <w:b/>
          <w:bCs/>
          <w:sz w:val="24"/>
          <w:szCs w:val="24"/>
        </w:rPr>
        <w:t>NOISET</w:t>
      </w:r>
      <w:r w:rsidRPr="00771368">
        <w:rPr>
          <w:rFonts w:eastAsia="Arial"/>
          <w:sz w:val="24"/>
          <w:szCs w:val="24"/>
        </w:rPr>
        <w:t>, Marie-Thérèse.</w:t>
      </w:r>
      <w:r w:rsidRPr="00771368">
        <w:rPr>
          <w:rFonts w:eastAsia="Arial"/>
          <w:b/>
          <w:bCs/>
          <w:sz w:val="24"/>
          <w:szCs w:val="24"/>
        </w:rPr>
        <w:t xml:space="preserve"> </w:t>
      </w:r>
      <w:r w:rsidRPr="00771368">
        <w:rPr>
          <w:rFonts w:eastAsia="Arial"/>
          <w:i/>
          <w:iCs/>
          <w:sz w:val="24"/>
          <w:szCs w:val="24"/>
        </w:rPr>
        <w:t>Marie de Gournay et le caprice des siècles</w:t>
      </w:r>
      <w:r w:rsidRPr="00771368">
        <w:rPr>
          <w:rFonts w:eastAsia="Arial"/>
          <w:sz w:val="24"/>
          <w:szCs w:val="24"/>
        </w:rPr>
        <w:t>. Études françaises,</w:t>
      </w:r>
      <w:r w:rsidRPr="00771368">
        <w:rPr>
          <w:rFonts w:eastAsia="Arial"/>
          <w:b/>
          <w:bCs/>
          <w:sz w:val="24"/>
          <w:szCs w:val="24"/>
        </w:rPr>
        <w:t xml:space="preserve"> </w:t>
      </w:r>
      <w:r w:rsidRPr="00771368">
        <w:rPr>
          <w:rFonts w:eastAsia="Arial"/>
          <w:sz w:val="24"/>
          <w:szCs w:val="24"/>
        </w:rPr>
        <w:t>vol. 29, n° 3, 1993, p. 193-205.</w:t>
      </w:r>
    </w:p>
    <w:p w:rsidR="00D24E61" w:rsidRPr="00771368" w:rsidRDefault="00D24E61">
      <w:pPr>
        <w:spacing w:line="389" w:lineRule="exact"/>
        <w:rPr>
          <w:sz w:val="24"/>
          <w:szCs w:val="24"/>
        </w:rPr>
      </w:pPr>
    </w:p>
    <w:p w:rsidR="00D24E61" w:rsidRPr="00771368" w:rsidRDefault="00D24E61">
      <w:pPr>
        <w:ind w:left="261"/>
        <w:rPr>
          <w:sz w:val="20"/>
          <w:szCs w:val="20"/>
        </w:rPr>
      </w:pPr>
      <w:r w:rsidRPr="00771368">
        <w:rPr>
          <w:b/>
          <w:bCs/>
          <w:sz w:val="24"/>
          <w:szCs w:val="24"/>
        </w:rPr>
        <w:t xml:space="preserve">ABORDAGENS DO FEMININO EM </w:t>
      </w:r>
      <w:r w:rsidRPr="00771368">
        <w:rPr>
          <w:b/>
          <w:bCs/>
          <w:i/>
          <w:iCs/>
          <w:sz w:val="24"/>
          <w:szCs w:val="24"/>
        </w:rPr>
        <w:t>O CÉU DE SUELY</w:t>
      </w:r>
      <w:r w:rsidRPr="00771368">
        <w:rPr>
          <w:b/>
          <w:bCs/>
          <w:sz w:val="24"/>
          <w:szCs w:val="24"/>
        </w:rPr>
        <w:t>: POSSÍVEIS OLHARES,</w:t>
      </w:r>
    </w:p>
    <w:p w:rsidR="00D24E61" w:rsidRPr="00771368" w:rsidRDefault="00D24E61">
      <w:pPr>
        <w:spacing w:line="139" w:lineRule="exact"/>
        <w:rPr>
          <w:sz w:val="24"/>
          <w:szCs w:val="24"/>
        </w:rPr>
      </w:pPr>
    </w:p>
    <w:p w:rsidR="00D24E61" w:rsidRPr="00771368" w:rsidRDefault="00D24E61">
      <w:pPr>
        <w:ind w:left="3181"/>
        <w:rPr>
          <w:sz w:val="20"/>
          <w:szCs w:val="20"/>
        </w:rPr>
      </w:pPr>
      <w:r w:rsidRPr="00771368">
        <w:rPr>
          <w:b/>
          <w:bCs/>
          <w:sz w:val="24"/>
          <w:szCs w:val="24"/>
        </w:rPr>
        <w:t>MULHERES POSSÍVEIS</w:t>
      </w:r>
    </w:p>
    <w:p w:rsidR="00D24E61" w:rsidRPr="00771368" w:rsidRDefault="00D24E61">
      <w:pPr>
        <w:spacing w:line="200" w:lineRule="exact"/>
        <w:rPr>
          <w:sz w:val="24"/>
          <w:szCs w:val="24"/>
        </w:rPr>
      </w:pPr>
    </w:p>
    <w:p w:rsidR="00D24E61" w:rsidRPr="00771368" w:rsidRDefault="00D24E61">
      <w:pPr>
        <w:spacing w:line="338" w:lineRule="exact"/>
        <w:rPr>
          <w:sz w:val="24"/>
          <w:szCs w:val="24"/>
        </w:rPr>
      </w:pPr>
    </w:p>
    <w:p w:rsidR="00D24E61" w:rsidRPr="00771368" w:rsidRDefault="00D24E61">
      <w:pPr>
        <w:ind w:right="20"/>
        <w:jc w:val="right"/>
        <w:rPr>
          <w:sz w:val="20"/>
          <w:szCs w:val="20"/>
        </w:rPr>
      </w:pPr>
      <w:bookmarkStart w:id="91" w:name="_Toc442034763"/>
      <w:r w:rsidRPr="007918E2">
        <w:rPr>
          <w:rStyle w:val="Ttulo1Char"/>
        </w:rPr>
        <w:t>Mariana Cepeda</w:t>
      </w:r>
      <w:bookmarkEnd w:id="91"/>
      <w:r w:rsidRPr="00771368">
        <w:rPr>
          <w:b/>
          <w:bCs/>
          <w:sz w:val="32"/>
          <w:szCs w:val="32"/>
          <w:vertAlign w:val="superscript"/>
        </w:rPr>
        <w:t>1</w:t>
      </w:r>
    </w:p>
    <w:p w:rsidR="00D24E61" w:rsidRPr="00771368" w:rsidRDefault="00D24E61">
      <w:pPr>
        <w:spacing w:line="45" w:lineRule="exact"/>
        <w:rPr>
          <w:sz w:val="24"/>
          <w:szCs w:val="24"/>
        </w:rPr>
      </w:pPr>
    </w:p>
    <w:p w:rsidR="00D24E61" w:rsidRPr="00771368" w:rsidRDefault="00D24E61">
      <w:pPr>
        <w:ind w:right="20"/>
        <w:jc w:val="right"/>
        <w:rPr>
          <w:sz w:val="20"/>
          <w:szCs w:val="20"/>
        </w:rPr>
      </w:pPr>
      <w:r w:rsidRPr="00771368">
        <w:rPr>
          <w:b/>
          <w:bCs/>
          <w:sz w:val="24"/>
          <w:szCs w:val="24"/>
        </w:rPr>
        <w:t>Ângela Marques</w:t>
      </w:r>
      <w:r w:rsidRPr="00771368">
        <w:rPr>
          <w:b/>
          <w:bCs/>
          <w:sz w:val="32"/>
          <w:szCs w:val="32"/>
          <w:vertAlign w:val="superscript"/>
        </w:rPr>
        <w:t>2</w:t>
      </w:r>
    </w:p>
    <w:p w:rsidR="00D24E61" w:rsidRPr="00771368" w:rsidRDefault="00D24E61">
      <w:pPr>
        <w:spacing w:line="200" w:lineRule="exact"/>
        <w:rPr>
          <w:sz w:val="24"/>
          <w:szCs w:val="24"/>
        </w:rPr>
      </w:pPr>
    </w:p>
    <w:p w:rsidR="00D24E61" w:rsidRPr="00771368" w:rsidRDefault="00D24E61">
      <w:pPr>
        <w:spacing w:line="274" w:lineRule="exact"/>
        <w:rPr>
          <w:sz w:val="24"/>
          <w:szCs w:val="24"/>
        </w:rPr>
      </w:pPr>
    </w:p>
    <w:p w:rsidR="00D24E61" w:rsidRPr="00771368" w:rsidRDefault="00D24E61">
      <w:pPr>
        <w:tabs>
          <w:tab w:val="left" w:pos="701"/>
        </w:tabs>
        <w:spacing w:line="239" w:lineRule="auto"/>
        <w:ind w:left="361"/>
        <w:rPr>
          <w:sz w:val="20"/>
          <w:szCs w:val="20"/>
        </w:rPr>
      </w:pPr>
      <w:r w:rsidRPr="00771368">
        <w:rPr>
          <w:b/>
          <w:bCs/>
          <w:sz w:val="24"/>
          <w:szCs w:val="24"/>
        </w:rPr>
        <w:t>1.</w:t>
      </w:r>
      <w:r w:rsidRPr="00771368">
        <w:rPr>
          <w:sz w:val="20"/>
          <w:szCs w:val="20"/>
        </w:rPr>
        <w:tab/>
      </w:r>
      <w:r w:rsidRPr="00771368">
        <w:rPr>
          <w:b/>
          <w:bCs/>
          <w:sz w:val="23"/>
          <w:szCs w:val="23"/>
        </w:rPr>
        <w:t>Introdução</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6" w:lineRule="exact"/>
        <w:rPr>
          <w:sz w:val="24"/>
          <w:szCs w:val="24"/>
        </w:rPr>
      </w:pPr>
    </w:p>
    <w:p w:rsidR="00D24E61" w:rsidRPr="00771368" w:rsidRDefault="00D24E61">
      <w:pPr>
        <w:spacing w:line="353" w:lineRule="auto"/>
        <w:ind w:left="1" w:firstLine="566"/>
        <w:jc w:val="both"/>
        <w:rPr>
          <w:sz w:val="20"/>
          <w:szCs w:val="20"/>
        </w:rPr>
      </w:pPr>
      <w:r w:rsidRPr="00771368">
        <w:rPr>
          <w:sz w:val="24"/>
          <w:szCs w:val="24"/>
        </w:rPr>
        <w:t xml:space="preserve">Este projeto se envereda por um caminho tortuoso em que propõe pensar relações de gênero, imagens do feminino, construções de subjetividades, identificações, afetos e sexualidades, sempre em relação; mas, ao mesmo tempo, valorizando o objeto empírico escolhido – o filme </w:t>
      </w:r>
      <w:r w:rsidRPr="00771368">
        <w:rPr>
          <w:i/>
          <w:iCs/>
          <w:sz w:val="24"/>
          <w:szCs w:val="24"/>
        </w:rPr>
        <w:t>O céu de Suely</w:t>
      </w:r>
      <w:r w:rsidRPr="00771368">
        <w:rPr>
          <w:sz w:val="24"/>
          <w:szCs w:val="24"/>
        </w:rPr>
        <w:t xml:space="preserve"> –, o que ele tem de singular e o que traz para o cinema nacional e suas representações do feminino. Como veremos ao longo deste trabalho, a questão de como colocar a mulher em cena, como deixá-la representar-se, criar seu espaço e subjetividade, em um universo simbólico patriarcal e a partir de uma linguagem historicamente adaptada a encaixar as mulheres em espaços convencionais; é uma importante questão que encontram as (os) cineastas feministas.</w:t>
      </w:r>
    </w:p>
    <w:p w:rsidR="00D24E61" w:rsidRPr="00771368" w:rsidRDefault="00D24E61">
      <w:pPr>
        <w:spacing w:line="74" w:lineRule="exact"/>
        <w:rPr>
          <w:sz w:val="24"/>
          <w:szCs w:val="24"/>
        </w:rPr>
      </w:pPr>
    </w:p>
    <w:p w:rsidR="00D24E61" w:rsidRPr="00771368" w:rsidRDefault="00D24E61">
      <w:pPr>
        <w:spacing w:line="347" w:lineRule="auto"/>
        <w:ind w:left="1" w:right="20" w:firstLine="566"/>
        <w:jc w:val="both"/>
        <w:rPr>
          <w:sz w:val="20"/>
          <w:szCs w:val="20"/>
        </w:rPr>
      </w:pPr>
      <w:r w:rsidRPr="00771368">
        <w:rPr>
          <w:sz w:val="24"/>
          <w:szCs w:val="24"/>
        </w:rPr>
        <w:t xml:space="preserve">A dificuldade em se falar do feminino, ou daquelas experiências que não as convencionais, que não aquelas aceitas, ou melhor, inteligíveis; é um problema que perpassa este trabalho; bem como a reflexão sobre o que seria um cinema </w:t>
      </w:r>
      <w:r w:rsidRPr="00771368">
        <w:rPr>
          <w:i/>
          <w:iCs/>
          <w:sz w:val="24"/>
          <w:szCs w:val="24"/>
        </w:rPr>
        <w:t>outro</w:t>
      </w:r>
      <w:r w:rsidRPr="00771368">
        <w:rPr>
          <w:sz w:val="24"/>
          <w:szCs w:val="24"/>
        </w:rPr>
        <w:t>, que desafia as construções linguísticas, técnicas e narrativas tradicionais, ou mesmo que se utiliza delas, subvertendo-as, transformando-as, questionando-as, abrindo-as para novas possibilidades.</w:t>
      </w:r>
    </w:p>
    <w:p w:rsidR="00D24E61" w:rsidRPr="00771368" w:rsidRDefault="00D24E61">
      <w:pPr>
        <w:spacing w:line="74" w:lineRule="exact"/>
        <w:rPr>
          <w:sz w:val="24"/>
          <w:szCs w:val="24"/>
        </w:rPr>
      </w:pPr>
    </w:p>
    <w:p w:rsidR="00D24E61" w:rsidRPr="00771368" w:rsidRDefault="00D24E61">
      <w:pPr>
        <w:spacing w:line="349" w:lineRule="auto"/>
        <w:ind w:left="1" w:firstLine="566"/>
        <w:jc w:val="both"/>
        <w:rPr>
          <w:sz w:val="20"/>
          <w:szCs w:val="20"/>
        </w:rPr>
      </w:pPr>
      <w:r w:rsidRPr="00771368">
        <w:rPr>
          <w:sz w:val="24"/>
          <w:szCs w:val="24"/>
        </w:rPr>
        <w:t xml:space="preserve">Acreditamos que o filme </w:t>
      </w:r>
      <w:r w:rsidRPr="00771368">
        <w:rPr>
          <w:i/>
          <w:iCs/>
          <w:sz w:val="24"/>
          <w:szCs w:val="24"/>
        </w:rPr>
        <w:t>O Céu de Suely</w:t>
      </w:r>
      <w:r w:rsidRPr="00771368">
        <w:rPr>
          <w:sz w:val="24"/>
          <w:szCs w:val="24"/>
        </w:rPr>
        <w:t xml:space="preserve"> (2006) apresenta uma narrativa que desestabiliza os papéis tradicionais femininos e masculinos, questionando a noção do feminino como assujeitado, incompleto e em luta pelo poder, bem a ideia do masculino como dominação e poder. Pretendemos, neste artigo, refletir sobre como a personagem principal desse filme, Hermila/Suely, nos é dada a ver, como seu corpo nos é mostrado e que </w:t>
      </w:r>
      <w:r w:rsidRPr="00771368">
        <w:rPr>
          <w:i/>
          <w:iCs/>
          <w:sz w:val="24"/>
          <w:szCs w:val="24"/>
        </w:rPr>
        <w:t xml:space="preserve">performatividades </w:t>
      </w:r>
      <w:r w:rsidRPr="00771368">
        <w:rPr>
          <w:sz w:val="24"/>
          <w:szCs w:val="24"/>
        </w:rPr>
        <w:t>a perpassa.</w:t>
      </w:r>
    </w:p>
    <w:p w:rsidR="00D24E61" w:rsidRPr="00771368" w:rsidRDefault="00013211">
      <w:pPr>
        <w:spacing w:line="200" w:lineRule="exact"/>
        <w:rPr>
          <w:sz w:val="24"/>
          <w:szCs w:val="24"/>
        </w:rPr>
      </w:pPr>
      <w:r>
        <w:rPr>
          <w:noProof/>
          <w:sz w:val="24"/>
          <w:szCs w:val="24"/>
        </w:rPr>
        <mc:AlternateContent>
          <mc:Choice Requires="wps">
            <w:drawing>
              <wp:anchor distT="0" distB="0" distL="0" distR="0" simplePos="0" relativeHeight="251790848" behindDoc="0" locked="0" layoutInCell="0" allowOverlap="1">
                <wp:simplePos x="0" y="0"/>
                <wp:positionH relativeFrom="column">
                  <wp:posOffset>0</wp:posOffset>
                </wp:positionH>
                <wp:positionV relativeFrom="paragraph">
                  <wp:posOffset>483870</wp:posOffset>
                </wp:positionV>
                <wp:extent cx="1828800" cy="0"/>
                <wp:effectExtent l="9525" t="7620" r="9525" b="11430"/>
                <wp:wrapNone/>
                <wp:docPr id="14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79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8.1pt" to="2in,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" o:allowincell="f" strokeweight=".25397mm"/>
            </w:pict>
          </mc:Fallback>
        </mc:AlternateConten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14" w:lineRule="exact"/>
        <w:rPr>
          <w:sz w:val="24"/>
          <w:szCs w:val="24"/>
        </w:rPr>
      </w:pPr>
    </w:p>
    <w:p w:rsidR="00D24E61" w:rsidRPr="00771368" w:rsidRDefault="00D24E61" w:rsidP="00EA38AA">
      <w:pPr>
        <w:numPr>
          <w:ilvl w:val="0"/>
          <w:numId w:val="50"/>
        </w:numPr>
        <w:tabs>
          <w:tab w:val="left" w:pos="140"/>
        </w:tabs>
        <w:spacing w:line="186" w:lineRule="auto"/>
        <w:ind w:right="20"/>
        <w:jc w:val="both"/>
        <w:rPr>
          <w:sz w:val="26"/>
          <w:szCs w:val="26"/>
          <w:vertAlign w:val="superscript"/>
        </w:rPr>
      </w:pPr>
      <w:r w:rsidRPr="00771368">
        <w:rPr>
          <w:sz w:val="20"/>
          <w:szCs w:val="20"/>
        </w:rPr>
        <w:t>Bacharel em Comunicação Social Jornalismo, pela Universidade Federal de Minas Gerais (UFMG). E-mail: marianacepeda09@gmail.com</w:t>
      </w:r>
    </w:p>
    <w:p w:rsidR="00D24E61" w:rsidRPr="00771368" w:rsidRDefault="00D24E61">
      <w:pPr>
        <w:spacing w:line="1" w:lineRule="exact"/>
        <w:rPr>
          <w:sz w:val="26"/>
          <w:szCs w:val="26"/>
          <w:vertAlign w:val="superscript"/>
        </w:rPr>
      </w:pPr>
    </w:p>
    <w:p w:rsidR="00D24E61" w:rsidRPr="00771368" w:rsidRDefault="00D24E61" w:rsidP="00EA38AA">
      <w:pPr>
        <w:numPr>
          <w:ilvl w:val="0"/>
          <w:numId w:val="50"/>
        </w:numPr>
        <w:tabs>
          <w:tab w:val="left" w:pos="161"/>
        </w:tabs>
        <w:spacing w:line="184" w:lineRule="auto"/>
        <w:jc w:val="both"/>
        <w:rPr>
          <w:sz w:val="26"/>
          <w:szCs w:val="26"/>
          <w:vertAlign w:val="superscript"/>
        </w:rPr>
      </w:pPr>
      <w:r w:rsidRPr="00771368">
        <w:rPr>
          <w:sz w:val="20"/>
          <w:szCs w:val="20"/>
        </w:rPr>
        <w:t>Doutora  em  Comunicação  Social  pela  Universidade  Federal  de  Minas  Gerais  (UFMG).  Pós-doutora  em</w:t>
      </w:r>
    </w:p>
    <w:p w:rsidR="00D24E61" w:rsidRPr="00771368" w:rsidRDefault="00D24E61">
      <w:pPr>
        <w:spacing w:line="17" w:lineRule="exact"/>
        <w:rPr>
          <w:sz w:val="26"/>
          <w:szCs w:val="26"/>
          <w:vertAlign w:val="superscript"/>
        </w:rPr>
      </w:pPr>
    </w:p>
    <w:p w:rsidR="00D24E61" w:rsidRPr="00771368" w:rsidRDefault="00D24E61">
      <w:pPr>
        <w:spacing w:line="220" w:lineRule="auto"/>
        <w:ind w:left="1"/>
        <w:jc w:val="both"/>
        <w:rPr>
          <w:sz w:val="26"/>
          <w:szCs w:val="26"/>
          <w:vertAlign w:val="superscript"/>
        </w:rPr>
      </w:pPr>
      <w:r w:rsidRPr="00771368">
        <w:rPr>
          <w:sz w:val="20"/>
          <w:szCs w:val="20"/>
        </w:rPr>
        <w:t>Communication et Médias par l’Université Stendhal, Grenoble 3. Professora do Departamento de Comunicação</w:t>
      </w:r>
    </w:p>
    <w:p w:rsidR="00D24E61" w:rsidRPr="00771368" w:rsidRDefault="00D24E61">
      <w:pPr>
        <w:spacing w:line="239" w:lineRule="auto"/>
        <w:ind w:left="1"/>
        <w:jc w:val="both"/>
        <w:rPr>
          <w:sz w:val="26"/>
          <w:szCs w:val="26"/>
          <w:vertAlign w:val="superscript"/>
        </w:rPr>
      </w:pPr>
      <w:r w:rsidRPr="00771368">
        <w:rPr>
          <w:sz w:val="20"/>
          <w:szCs w:val="20"/>
        </w:rPr>
        <w:t>Social da UFMG. E-mail: angelasalgueiro@gmail.com</w:t>
      </w:r>
    </w:p>
    <w:p w:rsidR="00D24E61" w:rsidRPr="00771368" w:rsidRDefault="00D24E61">
      <w:pPr>
        <w:spacing w:line="205" w:lineRule="exact"/>
        <w:rPr>
          <w:sz w:val="24"/>
          <w:szCs w:val="24"/>
        </w:rPr>
      </w:pPr>
    </w:p>
    <w:p w:rsidR="00D24E61" w:rsidRPr="00771368" w:rsidRDefault="00D24E61">
      <w:pPr>
        <w:ind w:left="8961"/>
        <w:rPr>
          <w:sz w:val="20"/>
          <w:szCs w:val="20"/>
        </w:rPr>
      </w:pP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47" w:lineRule="auto"/>
        <w:ind w:right="20" w:firstLine="566"/>
        <w:jc w:val="both"/>
        <w:rPr>
          <w:sz w:val="20"/>
          <w:szCs w:val="20"/>
        </w:rPr>
      </w:pPr>
      <w:r w:rsidRPr="00771368">
        <w:rPr>
          <w:sz w:val="24"/>
          <w:szCs w:val="24"/>
        </w:rPr>
        <w:t xml:space="preserve">Entretanto, mais do que tentar responder à questão “como se dá a construção do feminino em </w:t>
      </w:r>
      <w:r w:rsidRPr="00771368">
        <w:rPr>
          <w:i/>
          <w:iCs/>
          <w:sz w:val="24"/>
          <w:szCs w:val="24"/>
        </w:rPr>
        <w:t>O céu de Suely?”</w:t>
      </w:r>
      <w:r w:rsidRPr="00771368">
        <w:rPr>
          <w:sz w:val="24"/>
          <w:szCs w:val="24"/>
        </w:rPr>
        <w:t>, considera-se que mais importante é ressaltar que a potência do filme reside justamente na abertura às significações que não se enquadram em classificações muito limitadas ou que não podem ser captadas apenas por uma lente, muito específica, a custo de perder a riqueza de sua ambiguidade e complexidade.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9" w:lineRule="exact"/>
        <w:rPr>
          <w:sz w:val="20"/>
          <w:szCs w:val="20"/>
        </w:rPr>
      </w:pPr>
    </w:p>
    <w:p w:rsidR="00D24E61" w:rsidRPr="00771368" w:rsidRDefault="00D24E61">
      <w:pPr>
        <w:numPr>
          <w:ilvl w:val="0"/>
          <w:numId w:val="2"/>
        </w:numPr>
        <w:tabs>
          <w:tab w:val="left" w:pos="720"/>
        </w:tabs>
        <w:ind w:left="720" w:hanging="361"/>
        <w:jc w:val="both"/>
        <w:rPr>
          <w:b/>
          <w:bCs/>
          <w:sz w:val="24"/>
          <w:szCs w:val="24"/>
        </w:rPr>
      </w:pPr>
      <w:r w:rsidRPr="00771368">
        <w:rPr>
          <w:b/>
          <w:bCs/>
          <w:sz w:val="24"/>
          <w:szCs w:val="24"/>
        </w:rPr>
        <w:t>Embasamento teórico e objetivos</w:t>
      </w:r>
    </w:p>
    <w:p w:rsidR="00D24E61" w:rsidRPr="00771368" w:rsidRDefault="00D24E61">
      <w:pPr>
        <w:spacing w:line="134" w:lineRule="exact"/>
        <w:rPr>
          <w:b/>
          <w:bCs/>
          <w:sz w:val="24"/>
          <w:szCs w:val="24"/>
        </w:rPr>
      </w:pPr>
    </w:p>
    <w:p w:rsidR="00D24E61" w:rsidRPr="00771368" w:rsidRDefault="00D24E61">
      <w:pPr>
        <w:numPr>
          <w:ilvl w:val="1"/>
          <w:numId w:val="2"/>
        </w:numPr>
        <w:tabs>
          <w:tab w:val="left" w:pos="1120"/>
        </w:tabs>
        <w:ind w:left="1120" w:hanging="413"/>
        <w:jc w:val="both"/>
        <w:rPr>
          <w:b/>
          <w:bCs/>
          <w:sz w:val="24"/>
          <w:szCs w:val="24"/>
        </w:rPr>
      </w:pPr>
      <w:r w:rsidRPr="00771368">
        <w:rPr>
          <w:sz w:val="24"/>
          <w:szCs w:val="24"/>
        </w:rPr>
        <w:t>Cinema e feminilidades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1" w:lineRule="exact"/>
        <w:rPr>
          <w:sz w:val="20"/>
          <w:szCs w:val="20"/>
        </w:rPr>
      </w:pPr>
    </w:p>
    <w:p w:rsidR="00D24E61" w:rsidRPr="00771368" w:rsidRDefault="00D24E61">
      <w:pPr>
        <w:spacing w:line="347" w:lineRule="auto"/>
        <w:ind w:right="20" w:firstLine="566"/>
        <w:jc w:val="both"/>
        <w:rPr>
          <w:sz w:val="20"/>
          <w:szCs w:val="20"/>
        </w:rPr>
      </w:pPr>
      <w:r w:rsidRPr="00771368">
        <w:rPr>
          <w:sz w:val="24"/>
          <w:szCs w:val="24"/>
        </w:rPr>
        <w:t xml:space="preserve">Ao tratar do esforço do feminismo de criar novos espaços de discurso e definir uma outra visão da expressão das práticas femininas, Teresa de Lauretis (1994) afirma que essa visão não é dada em um único texto ou reconhecível como representação, não porque as feministas não tenham conseguido produzi-la, mas porque este “outro lugar” é o que ela denomina </w:t>
      </w:r>
      <w:r w:rsidRPr="00771368">
        <w:rPr>
          <w:i/>
          <w:iCs/>
          <w:sz w:val="24"/>
          <w:szCs w:val="24"/>
        </w:rPr>
        <w:t>space-off</w:t>
      </w:r>
      <w:r w:rsidRPr="00771368">
        <w:rPr>
          <w:sz w:val="24"/>
          <w:szCs w:val="24"/>
        </w:rPr>
        <w:t xml:space="preserve"> (termo emprestado da teoria do cinema). Segundo ela, essa visão inclui a</w:t>
      </w:r>
    </w:p>
    <w:p w:rsidR="00D24E61" w:rsidRPr="00771368" w:rsidRDefault="00D24E61">
      <w:pPr>
        <w:spacing w:line="74" w:lineRule="exact"/>
        <w:rPr>
          <w:sz w:val="20"/>
          <w:szCs w:val="20"/>
        </w:rPr>
      </w:pPr>
    </w:p>
    <w:p w:rsidR="00D24E61" w:rsidRPr="00771368" w:rsidRDefault="00D24E61">
      <w:pPr>
        <w:spacing w:line="310" w:lineRule="auto"/>
        <w:jc w:val="both"/>
        <w:rPr>
          <w:sz w:val="20"/>
          <w:szCs w:val="20"/>
        </w:rPr>
      </w:pPr>
      <w:r w:rsidRPr="00771368">
        <w:rPr>
          <w:sz w:val="24"/>
          <w:szCs w:val="24"/>
        </w:rPr>
        <w:t>“constituição de espaços nas margens dos discursos hegemônicos, espaços sociais entalhados nos interstícios das instituições e nas fendas e brechas dos aparelhos de poder-conhecimento”</w:t>
      </w:r>
    </w:p>
    <w:p w:rsidR="00D24E61" w:rsidRPr="00771368" w:rsidRDefault="00D24E61">
      <w:pPr>
        <w:spacing w:line="115" w:lineRule="exact"/>
        <w:rPr>
          <w:sz w:val="20"/>
          <w:szCs w:val="20"/>
        </w:rPr>
      </w:pPr>
    </w:p>
    <w:p w:rsidR="00D24E61" w:rsidRPr="00771368" w:rsidRDefault="00D24E61">
      <w:pPr>
        <w:spacing w:line="334" w:lineRule="auto"/>
        <w:ind w:right="20"/>
        <w:jc w:val="both"/>
        <w:rPr>
          <w:sz w:val="20"/>
          <w:szCs w:val="20"/>
        </w:rPr>
      </w:pPr>
      <w:r w:rsidRPr="00771368">
        <w:rPr>
          <w:sz w:val="24"/>
          <w:szCs w:val="24"/>
        </w:rPr>
        <w:t>(1994, p.237). Assim, é nas práticas micropolíticas da vida cotidiana e nas produções culturais que revelam as mulheres em sua complexidade que se dão esses agenciamentos de poder e se cruzam e recruzam as fronteiras das diferenças sexuais.</w:t>
      </w:r>
    </w:p>
    <w:p w:rsidR="00D24E61" w:rsidRPr="00771368" w:rsidRDefault="00D24E61">
      <w:pPr>
        <w:spacing w:line="91" w:lineRule="exact"/>
        <w:rPr>
          <w:sz w:val="20"/>
          <w:szCs w:val="20"/>
        </w:rPr>
      </w:pPr>
    </w:p>
    <w:p w:rsidR="00D24E61" w:rsidRPr="00771368" w:rsidRDefault="00D24E61">
      <w:pPr>
        <w:spacing w:line="352" w:lineRule="auto"/>
        <w:ind w:right="20" w:firstLine="566"/>
        <w:jc w:val="both"/>
        <w:rPr>
          <w:sz w:val="20"/>
          <w:szCs w:val="20"/>
        </w:rPr>
      </w:pPr>
      <w:r w:rsidRPr="00771368">
        <w:rPr>
          <w:sz w:val="24"/>
          <w:szCs w:val="24"/>
        </w:rPr>
        <w:t>Lauretis (1993, 1994) afirma que o gênero é a representação de uma relação, tanto uma construção sociocultural, quanto um aparato semiótico. Construção esta que é o produto e o processo da sua representação (e da autorrepresentação). É a partir desta perspectiva que a autora vai construir suas reflexões e análise sobre o cinema, pensando-o como uma tecnologia social e de gênero, e pensando as representações de gênero no cinema como representações de representações. Ela também ressalta a importância do espectador para os significados dos filmes e de se pensar o cinema como uma construção coletiva, questões que consideramos relevantes a se levar em conta.</w:t>
      </w:r>
    </w:p>
    <w:p w:rsidR="00D24E61" w:rsidRPr="00771368" w:rsidRDefault="00D24E61">
      <w:pPr>
        <w:spacing w:line="72" w:lineRule="exact"/>
        <w:rPr>
          <w:sz w:val="20"/>
          <w:szCs w:val="20"/>
        </w:rPr>
      </w:pPr>
    </w:p>
    <w:p w:rsidR="00D24E61" w:rsidRPr="00771368" w:rsidRDefault="00D24E61">
      <w:pPr>
        <w:spacing w:line="350" w:lineRule="auto"/>
        <w:ind w:firstLine="566"/>
        <w:jc w:val="both"/>
        <w:rPr>
          <w:sz w:val="20"/>
          <w:szCs w:val="20"/>
        </w:rPr>
      </w:pPr>
      <w:r w:rsidRPr="00771368">
        <w:rPr>
          <w:sz w:val="24"/>
          <w:szCs w:val="24"/>
        </w:rPr>
        <w:t>A teoria feminista do cinema, segundo Giselle Gubernikoff (2009), iniciou-se nos anos 1970, a partir de um grupo de realizadores e teóricos britânicos e norte-americanos, e começou a se desenvolver no Brasil somente no final dos anos 80. Essa autora busca contextualizar a teoria feminista do cinema dentro da realidade brasileira, considerando o processo de emancipação da mulher em nossa sociedade capitalista, sub-desenvolvida e patriarcalista. Segundo ela, pode-se observar uma forte influência do sistema patriarcal e seus</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771368" w:rsidRDefault="00D24E61">
      <w:pPr>
        <w:spacing w:line="179" w:lineRule="exact"/>
        <w:rPr>
          <w:sz w:val="20"/>
          <w:szCs w:val="20"/>
        </w:rPr>
      </w:pPr>
    </w:p>
    <w:p w:rsidR="00D24E61" w:rsidRPr="00771368" w:rsidRDefault="00D24E61">
      <w:pPr>
        <w:sectPr w:rsidR="00D24E61" w:rsidRPr="00771368" w:rsidSect="00E452AE">
          <w:type w:val="continuous"/>
          <w:pgSz w:w="11900" w:h="16838"/>
          <w:pgMar w:top="1440" w:right="600" w:bottom="676" w:left="10380" w:header="0" w:footer="0" w:gutter="0"/>
          <w:cols w:space="720" w:equalWidth="0">
            <w:col w:w="9880"/>
          </w:cols>
        </w:sectPr>
      </w:pPr>
    </w:p>
    <w:p w:rsidR="00D24E61" w:rsidRPr="00771368" w:rsidRDefault="00D24E61">
      <w:pPr>
        <w:spacing w:line="29" w:lineRule="exact"/>
        <w:rPr>
          <w:sz w:val="20"/>
          <w:szCs w:val="20"/>
        </w:rPr>
      </w:pPr>
    </w:p>
    <w:p w:rsidR="00D24E61" w:rsidRPr="00771368" w:rsidRDefault="00D24E61">
      <w:pPr>
        <w:spacing w:line="349" w:lineRule="auto"/>
        <w:ind w:right="20"/>
        <w:jc w:val="both"/>
        <w:rPr>
          <w:sz w:val="20"/>
          <w:szCs w:val="20"/>
        </w:rPr>
      </w:pPr>
      <w:r w:rsidRPr="00771368">
        <w:rPr>
          <w:sz w:val="24"/>
          <w:szCs w:val="24"/>
        </w:rPr>
        <w:t xml:space="preserve">valores na cinematografia brasileira, além de muitos dos conceitos do cinema clássico hollywoodiano, como o da mulher-objeto e não participante da sociedade produtiva. A exploração da mulher-objeto no cinema, no Brasil, atinge um ápice com o famoso gênero da </w:t>
      </w:r>
      <w:r w:rsidRPr="00771368">
        <w:rPr>
          <w:i/>
          <w:iCs/>
          <w:sz w:val="24"/>
          <w:szCs w:val="24"/>
        </w:rPr>
        <w:t>pornochanchada</w:t>
      </w:r>
      <w:r w:rsidRPr="00771368">
        <w:rPr>
          <w:sz w:val="24"/>
          <w:szCs w:val="24"/>
        </w:rPr>
        <w:t>, na década de 70, que, segundo Gubernikoff (2009), vulgariza a imagem</w:t>
      </w:r>
      <w:r w:rsidRPr="00771368">
        <w:rPr>
          <w:i/>
          <w:iCs/>
          <w:sz w:val="24"/>
          <w:szCs w:val="24"/>
        </w:rPr>
        <w:t xml:space="preserve"> </w:t>
      </w:r>
      <w:r w:rsidRPr="00771368">
        <w:rPr>
          <w:sz w:val="24"/>
          <w:szCs w:val="24"/>
        </w:rPr>
        <w:t>feminina, em um cenário de dominação e violência, que ainda permanece no imaginário brasileiro e nas expectativas do espectador quanto ao cinema nacional.</w:t>
      </w:r>
    </w:p>
    <w:p w:rsidR="00D24E61" w:rsidRPr="00771368" w:rsidRDefault="00D24E61">
      <w:pPr>
        <w:spacing w:line="77" w:lineRule="exact"/>
        <w:rPr>
          <w:sz w:val="20"/>
          <w:szCs w:val="20"/>
        </w:rPr>
      </w:pPr>
    </w:p>
    <w:p w:rsidR="00D24E61" w:rsidRPr="00771368" w:rsidRDefault="00D24E61">
      <w:pPr>
        <w:spacing w:line="349" w:lineRule="auto"/>
        <w:ind w:right="20" w:firstLine="566"/>
        <w:jc w:val="both"/>
        <w:rPr>
          <w:sz w:val="20"/>
          <w:szCs w:val="20"/>
        </w:rPr>
      </w:pPr>
      <w:r w:rsidRPr="00771368">
        <w:rPr>
          <w:sz w:val="24"/>
          <w:szCs w:val="24"/>
        </w:rPr>
        <w:t>Flávia Esteves (2007) e Guacira Lopes Louro (2008) também tratam de experiências femininas comuns em foco no cinema, apontando para a necessidade de se pensar a dimensão cotidiana do político. Elas articulam o espaço do cotidiano como espaço também do político, de relações sociais e como uma forma primeira de significar relações de poder que ganham corpo nos discursos e atitudes cotidianos dos indivíduos, questões estas que adiante desenvolveremos mais detidamente.</w:t>
      </w:r>
    </w:p>
    <w:p w:rsidR="00D24E61" w:rsidRPr="00771368" w:rsidRDefault="00D24E61">
      <w:pPr>
        <w:spacing w:line="77" w:lineRule="exact"/>
        <w:rPr>
          <w:sz w:val="20"/>
          <w:szCs w:val="20"/>
        </w:rPr>
      </w:pPr>
    </w:p>
    <w:p w:rsidR="00D24E61" w:rsidRPr="00771368" w:rsidRDefault="00D24E61">
      <w:pPr>
        <w:spacing w:line="353" w:lineRule="auto"/>
        <w:ind w:firstLine="566"/>
        <w:jc w:val="both"/>
        <w:rPr>
          <w:sz w:val="20"/>
          <w:szCs w:val="20"/>
        </w:rPr>
      </w:pPr>
      <w:r w:rsidRPr="00771368">
        <w:rPr>
          <w:sz w:val="24"/>
          <w:szCs w:val="24"/>
        </w:rPr>
        <w:t>Maria Rita César (2011), por sua vez, destaca não só as narrativas cinematográficas, mas a própria forma do filme e sua linguagem para tratar de um cinema em que outros tipos de subjetividades possam ser construídas. Este, que ela denomina cinema da diferença, não apresenta a superficialidade dos personagens normalmente criados nas narrativas fílmicas, mas a compreensão de que há outra lógica que não a lógica patriarcal, uma outra ordem simbólica. Assim, como já esboçado aqui, o que muito se tem questionado no cinema feminista é o que, afinal, o feminino poderia ser fora das construções patriarcais (Kaplan, 1995). Como dar simplesmente voz às mulheres se elas só podem falar a partir de uma posição dentro do patriarcado? Como inserir uma outra realidade ao discurso masculino?</w:t>
      </w:r>
    </w:p>
    <w:p w:rsidR="00D24E61" w:rsidRPr="00771368" w:rsidRDefault="00D24E61">
      <w:pPr>
        <w:spacing w:line="72" w:lineRule="exact"/>
        <w:rPr>
          <w:sz w:val="20"/>
          <w:szCs w:val="20"/>
        </w:rPr>
      </w:pPr>
    </w:p>
    <w:p w:rsidR="00D24E61" w:rsidRPr="00771368" w:rsidRDefault="00D24E61">
      <w:pPr>
        <w:spacing w:line="342" w:lineRule="auto"/>
        <w:ind w:firstLine="566"/>
        <w:jc w:val="both"/>
        <w:rPr>
          <w:sz w:val="20"/>
          <w:szCs w:val="20"/>
        </w:rPr>
      </w:pPr>
      <w:r w:rsidRPr="00771368">
        <w:rPr>
          <w:sz w:val="24"/>
          <w:szCs w:val="24"/>
        </w:rPr>
        <w:t>Refletir sobre todas estas questões é importante não somente para se pensar cinemas possíveis, mas para imaginar quaisquer representações, discursos e expressões femininas que possam, de fato, se abrir para as complexidades e diversidade das mulheres e, assim, contribuir para construções que fujam do determinismo e da dominação falocêntrica.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3" w:lineRule="exact"/>
        <w:rPr>
          <w:sz w:val="20"/>
          <w:szCs w:val="20"/>
        </w:rPr>
      </w:pPr>
    </w:p>
    <w:p w:rsidR="00D24E61" w:rsidRPr="00771368" w:rsidRDefault="00D24E61">
      <w:pPr>
        <w:ind w:left="700"/>
        <w:rPr>
          <w:sz w:val="20"/>
          <w:szCs w:val="20"/>
        </w:rPr>
      </w:pPr>
      <w:r w:rsidRPr="00771368">
        <w:rPr>
          <w:b/>
          <w:bCs/>
          <w:sz w:val="24"/>
          <w:szCs w:val="24"/>
        </w:rPr>
        <w:t xml:space="preserve">2.2. </w:t>
      </w:r>
      <w:r w:rsidRPr="00771368">
        <w:rPr>
          <w:sz w:val="24"/>
          <w:szCs w:val="24"/>
        </w:rPr>
        <w:t>Poder e</w:t>
      </w:r>
      <w:r w:rsidRPr="00771368">
        <w:rPr>
          <w:b/>
          <w:bCs/>
          <w:sz w:val="24"/>
          <w:szCs w:val="24"/>
        </w:rPr>
        <w:t xml:space="preserve"> </w:t>
      </w:r>
      <w:r w:rsidRPr="00771368">
        <w:rPr>
          <w:i/>
          <w:iCs/>
          <w:sz w:val="24"/>
          <w:szCs w:val="24"/>
        </w:rPr>
        <w:t>performatividades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10" w:lineRule="exact"/>
        <w:rPr>
          <w:sz w:val="20"/>
          <w:szCs w:val="20"/>
        </w:rPr>
      </w:pPr>
    </w:p>
    <w:p w:rsidR="00D24E61" w:rsidRPr="00771368" w:rsidRDefault="00D24E61">
      <w:pPr>
        <w:spacing w:line="342" w:lineRule="auto"/>
        <w:ind w:firstLine="566"/>
        <w:jc w:val="both"/>
        <w:rPr>
          <w:sz w:val="20"/>
          <w:szCs w:val="20"/>
        </w:rPr>
      </w:pPr>
      <w:r w:rsidRPr="00771368">
        <w:rPr>
          <w:sz w:val="24"/>
          <w:szCs w:val="24"/>
        </w:rPr>
        <w:t>Michel Foucault (2003) considera que o poder não possui um sujeito, nem se exerce unilateralmente. Ao contrário, se dá de forma difusa e atravessa nossas relações de forma horizontal; “encontra o nível dos indivíduos, atinge seus corpos, vem se inserir em seus gestos, suas atitudes, seus discursos, sua aprendizagem, sua vida cotidiana” (FOUCAULT,</w:t>
      </w:r>
    </w:p>
    <w:p w:rsidR="00D24E61" w:rsidRPr="00771368" w:rsidRDefault="00D24E61">
      <w:pPr>
        <w:spacing w:line="25" w:lineRule="exact"/>
        <w:rPr>
          <w:sz w:val="20"/>
          <w:szCs w:val="20"/>
        </w:rPr>
      </w:pPr>
    </w:p>
    <w:p w:rsidR="00D24E61" w:rsidRPr="00771368" w:rsidRDefault="00D24E61">
      <w:pPr>
        <w:rPr>
          <w:sz w:val="20"/>
          <w:szCs w:val="20"/>
        </w:rPr>
      </w:pPr>
      <w:r w:rsidRPr="00771368">
        <w:rPr>
          <w:sz w:val="24"/>
          <w:szCs w:val="24"/>
        </w:rPr>
        <w:t>2003, p.131). É a partir do conceito de poder de Foucault que Judith Butler (2010) constrói o</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771368" w:rsidRDefault="00D24E61">
      <w:pPr>
        <w:sectPr w:rsidR="00D24E61" w:rsidRPr="00771368">
          <w:type w:val="continuous"/>
          <w:pgSz w:w="11900" w:h="16838"/>
          <w:pgMar w:top="1440" w:right="1420" w:bottom="676" w:left="10380" w:header="0" w:footer="0" w:gutter="0"/>
          <w:cols w:space="720" w:equalWidth="0">
            <w:col w:w="100"/>
          </w:cols>
        </w:sectPr>
      </w:pPr>
    </w:p>
    <w:p w:rsidR="00D24E61" w:rsidRPr="00771368" w:rsidRDefault="00D24E61">
      <w:pPr>
        <w:spacing w:line="29" w:lineRule="exact"/>
        <w:rPr>
          <w:sz w:val="20"/>
          <w:szCs w:val="20"/>
        </w:rPr>
      </w:pPr>
    </w:p>
    <w:p w:rsidR="00D24E61" w:rsidRPr="00771368" w:rsidRDefault="00D24E61">
      <w:pPr>
        <w:spacing w:line="353" w:lineRule="auto"/>
        <w:jc w:val="both"/>
        <w:rPr>
          <w:sz w:val="20"/>
          <w:szCs w:val="20"/>
        </w:rPr>
      </w:pPr>
      <w:r w:rsidRPr="00771368">
        <w:rPr>
          <w:sz w:val="24"/>
          <w:szCs w:val="24"/>
        </w:rPr>
        <w:t xml:space="preserve">seu conceito, já aqui rapidamente citado, de </w:t>
      </w:r>
      <w:r w:rsidRPr="00771368">
        <w:rPr>
          <w:i/>
          <w:iCs/>
          <w:sz w:val="24"/>
          <w:szCs w:val="24"/>
        </w:rPr>
        <w:t>performatividade</w:t>
      </w:r>
      <w:r w:rsidRPr="00771368">
        <w:rPr>
          <w:sz w:val="24"/>
          <w:szCs w:val="24"/>
        </w:rPr>
        <w:t xml:space="preserve"> - segundo ela, uma prática reiterativa e citacional pela qual o discurso produz os efeitos que nomeia, uma prática em que se repete, mas também se muda, em que se reconstroem constantemente as identidades de gênero. A identidade de gênero, segundo Butler (2010), não existe, mas se constitui </w:t>
      </w:r>
      <w:r w:rsidRPr="00771368">
        <w:rPr>
          <w:i/>
          <w:iCs/>
          <w:sz w:val="24"/>
          <w:szCs w:val="24"/>
        </w:rPr>
        <w:t xml:space="preserve">performativamente </w:t>
      </w:r>
      <w:r w:rsidRPr="00771368">
        <w:rPr>
          <w:sz w:val="24"/>
          <w:szCs w:val="24"/>
        </w:rPr>
        <w:t>através das expressões de gênero, as quais são vistas como resultados de</w:t>
      </w:r>
      <w:r w:rsidRPr="00771368">
        <w:rPr>
          <w:i/>
          <w:iCs/>
          <w:sz w:val="24"/>
          <w:szCs w:val="24"/>
        </w:rPr>
        <w:t xml:space="preserve"> </w:t>
      </w:r>
      <w:r w:rsidRPr="00771368">
        <w:rPr>
          <w:sz w:val="24"/>
          <w:szCs w:val="24"/>
        </w:rPr>
        <w:t>uma identidade supostamente existente. Se os discursos atravessam os sujeitos, estes, por sua vez, ao atuarem e performarem no mundo, também deixam suas marcas neste universo discursivo. Eles, portanto, constroem, reconstroem, mas também desconstroem em suas expressões de gênero.</w:t>
      </w:r>
    </w:p>
    <w:p w:rsidR="00D24E61" w:rsidRPr="00771368" w:rsidRDefault="00D24E61">
      <w:pPr>
        <w:spacing w:line="73" w:lineRule="exact"/>
        <w:rPr>
          <w:sz w:val="20"/>
          <w:szCs w:val="20"/>
        </w:rPr>
      </w:pPr>
    </w:p>
    <w:p w:rsidR="00D24E61" w:rsidRPr="00771368" w:rsidRDefault="00D24E61">
      <w:pPr>
        <w:spacing w:line="334" w:lineRule="auto"/>
        <w:ind w:right="20" w:firstLine="566"/>
        <w:jc w:val="both"/>
        <w:rPr>
          <w:sz w:val="20"/>
          <w:szCs w:val="20"/>
        </w:rPr>
      </w:pPr>
      <w:r w:rsidRPr="00771368">
        <w:rPr>
          <w:sz w:val="24"/>
          <w:szCs w:val="24"/>
        </w:rPr>
        <w:t xml:space="preserve">Assim, Butler (2010) critica essencialismos, não só referentes a identidades de gênero supostamente existentes antes de suas </w:t>
      </w:r>
      <w:r w:rsidRPr="00771368">
        <w:rPr>
          <w:i/>
          <w:iCs/>
          <w:sz w:val="24"/>
          <w:szCs w:val="24"/>
        </w:rPr>
        <w:t>performatividades</w:t>
      </w:r>
      <w:r w:rsidRPr="00771368">
        <w:rPr>
          <w:sz w:val="24"/>
          <w:szCs w:val="24"/>
        </w:rPr>
        <w:t>, mas também referentes a um sujeito do feminismo, como se este movimento representasse um ser único e homogêneo, a</w:t>
      </w:r>
    </w:p>
    <w:p w:rsidR="00D24E61" w:rsidRPr="00771368" w:rsidRDefault="00D24E61">
      <w:pPr>
        <w:spacing w:line="91" w:lineRule="exact"/>
        <w:rPr>
          <w:sz w:val="20"/>
          <w:szCs w:val="20"/>
        </w:rPr>
      </w:pPr>
    </w:p>
    <w:p w:rsidR="00D24E61" w:rsidRPr="00771368" w:rsidRDefault="00D24E61">
      <w:pPr>
        <w:spacing w:line="342" w:lineRule="auto"/>
        <w:ind w:right="20"/>
        <w:jc w:val="both"/>
        <w:rPr>
          <w:sz w:val="20"/>
          <w:szCs w:val="20"/>
        </w:rPr>
      </w:pPr>
      <w:r w:rsidRPr="00771368">
        <w:rPr>
          <w:sz w:val="24"/>
          <w:szCs w:val="24"/>
        </w:rPr>
        <w:t>“Mulher”. Em vez disso, ela ressalta a importância de se pensar o gênero como dinâmico e inter-relacional, associado à linguagem e em interação com outros fatores, culturais e sociais; bem como de se construir um feminismo dinâmico, mais adequado “ao grande número de mulheres para as quais o significado da categoria está em permanente debate” (BUTLER,</w:t>
      </w:r>
    </w:p>
    <w:p w:rsidR="00D24E61" w:rsidRPr="00771368" w:rsidRDefault="00D24E61">
      <w:pPr>
        <w:spacing w:line="25" w:lineRule="exact"/>
        <w:rPr>
          <w:sz w:val="20"/>
          <w:szCs w:val="20"/>
        </w:rPr>
      </w:pPr>
    </w:p>
    <w:p w:rsidR="00D24E61" w:rsidRPr="00771368" w:rsidRDefault="00D24E61">
      <w:pPr>
        <w:rPr>
          <w:sz w:val="20"/>
          <w:szCs w:val="20"/>
        </w:rPr>
      </w:pPr>
      <w:r w:rsidRPr="00771368">
        <w:rPr>
          <w:sz w:val="24"/>
          <w:szCs w:val="24"/>
        </w:rPr>
        <w:t>2010, p.36).</w:t>
      </w:r>
    </w:p>
    <w:p w:rsidR="00D24E61" w:rsidRPr="00771368" w:rsidRDefault="00D24E61">
      <w:pPr>
        <w:spacing w:line="195" w:lineRule="exact"/>
        <w:rPr>
          <w:sz w:val="20"/>
          <w:szCs w:val="20"/>
        </w:rPr>
      </w:pPr>
    </w:p>
    <w:p w:rsidR="00D24E61" w:rsidRPr="00771368" w:rsidRDefault="00D24E61">
      <w:pPr>
        <w:spacing w:line="354" w:lineRule="auto"/>
        <w:ind w:firstLine="566"/>
        <w:jc w:val="both"/>
        <w:rPr>
          <w:sz w:val="20"/>
          <w:szCs w:val="20"/>
        </w:rPr>
      </w:pPr>
      <w:r w:rsidRPr="00771368">
        <w:rPr>
          <w:sz w:val="24"/>
          <w:szCs w:val="24"/>
        </w:rPr>
        <w:t xml:space="preserve">Também a autora Beatriz Preciado (2011) apresenta estratégias políticas semelhantes, como a “desidentificação”, identificações estratégicas e a desontologização do sujeito da política sexual. Ao contrário de essencialismos ou identidades universais, propõem-se identificações estratégicas, localizadas, contextualizadas, resistentes à normalização e ao ponto de vista universal, branco, colonial e </w:t>
      </w:r>
      <w:r w:rsidRPr="00771368">
        <w:rPr>
          <w:i/>
          <w:iCs/>
          <w:sz w:val="24"/>
          <w:szCs w:val="24"/>
        </w:rPr>
        <w:t>straight.</w:t>
      </w:r>
      <w:r w:rsidRPr="00771368">
        <w:rPr>
          <w:sz w:val="24"/>
          <w:szCs w:val="24"/>
        </w:rPr>
        <w:t xml:space="preserve"> Este feminismo, chamado de feminismo </w:t>
      </w:r>
      <w:r w:rsidRPr="00771368">
        <w:rPr>
          <w:i/>
          <w:iCs/>
          <w:sz w:val="24"/>
          <w:szCs w:val="24"/>
        </w:rPr>
        <w:t>queer</w:t>
      </w:r>
      <w:r w:rsidRPr="00771368">
        <w:rPr>
          <w:sz w:val="24"/>
          <w:szCs w:val="24"/>
        </w:rPr>
        <w:t>, seria crítico e ciente de suas próprias limitações. Não mais baseado</w:t>
      </w:r>
      <w:r w:rsidRPr="00771368">
        <w:rPr>
          <w:i/>
          <w:iCs/>
          <w:sz w:val="24"/>
          <w:szCs w:val="24"/>
        </w:rPr>
        <w:t xml:space="preserve"> </w:t>
      </w:r>
      <w:r w:rsidRPr="00771368">
        <w:rPr>
          <w:sz w:val="24"/>
          <w:szCs w:val="24"/>
        </w:rPr>
        <w:t>em uma “diferença</w:t>
      </w:r>
      <w:r w:rsidRPr="00771368">
        <w:rPr>
          <w:i/>
          <w:iCs/>
          <w:sz w:val="24"/>
          <w:szCs w:val="24"/>
        </w:rPr>
        <w:t xml:space="preserve"> </w:t>
      </w:r>
      <w:r w:rsidRPr="00771368">
        <w:rPr>
          <w:sz w:val="24"/>
          <w:szCs w:val="24"/>
        </w:rPr>
        <w:t>sexual”, mas em “uma multidão de diferenças, uma transversalidade de relações de poder, uma diversidade de potências de vida.” (PRECIADO, 2011, p. 18). Não mais focado na dicotomia feminino/masculino e heterossexual/homossexual, mas numa multiplicidade de possibilidades, de desejos e de identificações.</w:t>
      </w:r>
    </w:p>
    <w:p w:rsidR="00D24E61" w:rsidRPr="00771368" w:rsidRDefault="00D24E61">
      <w:pPr>
        <w:spacing w:line="70" w:lineRule="exact"/>
        <w:rPr>
          <w:sz w:val="20"/>
          <w:szCs w:val="20"/>
        </w:rPr>
      </w:pPr>
    </w:p>
    <w:p w:rsidR="00D24E61" w:rsidRPr="00771368" w:rsidRDefault="00D24E61">
      <w:pPr>
        <w:spacing w:line="342" w:lineRule="auto"/>
        <w:ind w:right="20" w:firstLine="566"/>
        <w:jc w:val="both"/>
        <w:rPr>
          <w:sz w:val="20"/>
          <w:szCs w:val="20"/>
        </w:rPr>
      </w:pPr>
      <w:r w:rsidRPr="00771368">
        <w:rPr>
          <w:sz w:val="24"/>
          <w:szCs w:val="24"/>
        </w:rPr>
        <w:t>Acreditamos que o filme escolhido para ser analisado é repleto destas questões e apresenta uma mobilidade de identificações que o fazem importante para se pensar o que o cinema feminista pode ser e que formas, linguagens e narrativas ele pode explorar para desenvolver espaços e subjetividades femininas.</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771368" w:rsidRDefault="00D24E61">
      <w:pPr>
        <w:tabs>
          <w:tab w:val="left" w:pos="700"/>
        </w:tabs>
        <w:spacing w:line="239" w:lineRule="auto"/>
        <w:ind w:left="360"/>
        <w:rPr>
          <w:sz w:val="20"/>
          <w:szCs w:val="20"/>
        </w:rPr>
      </w:pPr>
      <w:r w:rsidRPr="00771368">
        <w:rPr>
          <w:b/>
          <w:bCs/>
          <w:sz w:val="24"/>
          <w:szCs w:val="24"/>
        </w:rPr>
        <w:t>3.</w:t>
      </w:r>
      <w:r w:rsidRPr="00771368">
        <w:rPr>
          <w:sz w:val="20"/>
          <w:szCs w:val="20"/>
        </w:rPr>
        <w:tab/>
      </w:r>
      <w:r w:rsidRPr="00771368">
        <w:rPr>
          <w:b/>
          <w:bCs/>
          <w:i/>
          <w:iCs/>
          <w:sz w:val="23"/>
          <w:szCs w:val="23"/>
        </w:rPr>
        <w:t>O céu de Suely</w:t>
      </w:r>
      <w:r w:rsidRPr="00771368">
        <w:rPr>
          <w:b/>
          <w:bCs/>
          <w:sz w:val="23"/>
          <w:szCs w:val="23"/>
        </w:rPr>
        <w:t>: uma proposta de análise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1" w:lineRule="exact"/>
        <w:rPr>
          <w:sz w:val="20"/>
          <w:szCs w:val="20"/>
        </w:rPr>
      </w:pPr>
    </w:p>
    <w:p w:rsidR="00D24E61" w:rsidRPr="00771368" w:rsidRDefault="00D24E61">
      <w:pPr>
        <w:spacing w:line="337" w:lineRule="auto"/>
        <w:ind w:right="20" w:firstLine="566"/>
        <w:jc w:val="both"/>
        <w:rPr>
          <w:sz w:val="20"/>
          <w:szCs w:val="20"/>
        </w:rPr>
      </w:pPr>
      <w:r w:rsidRPr="00771368">
        <w:rPr>
          <w:sz w:val="24"/>
          <w:szCs w:val="24"/>
        </w:rPr>
        <w:t xml:space="preserve">Com roteiro original de Karim Aïnouz, Felipe Bragança e Maurício Zacharias e direção de Karim Aïnouz, </w:t>
      </w:r>
      <w:r w:rsidRPr="00771368">
        <w:rPr>
          <w:i/>
          <w:iCs/>
          <w:sz w:val="24"/>
          <w:szCs w:val="24"/>
        </w:rPr>
        <w:t>O céu de Suely</w:t>
      </w:r>
      <w:r w:rsidRPr="00771368">
        <w:rPr>
          <w:sz w:val="24"/>
          <w:szCs w:val="24"/>
        </w:rPr>
        <w:t xml:space="preserve"> (2006) participou de vários festivais e recebeu diversos prêmios nacionais e internacionais. O filme envolve nomes importantes do cinema brasileiro, como Walter Salles, na co-produção, e Walter Carvalho na fotografia</w:t>
      </w:r>
      <w:r w:rsidRPr="00771368">
        <w:rPr>
          <w:rFonts w:eastAsia="Calibri"/>
          <w:sz w:val="27"/>
          <w:szCs w:val="27"/>
          <w:vertAlign w:val="superscript"/>
        </w:rPr>
        <w:t>3</w:t>
      </w:r>
      <w:r w:rsidRPr="00771368">
        <w:rPr>
          <w:sz w:val="24"/>
          <w:szCs w:val="24"/>
        </w:rPr>
        <w:t>. Filmado no interior do Ceará, conta com um elenco nordestino, que se mistura a moradores locais não-atores em várias cenas.</w:t>
      </w:r>
    </w:p>
    <w:p w:rsidR="00D24E61" w:rsidRPr="00771368" w:rsidRDefault="00D24E61">
      <w:pPr>
        <w:spacing w:line="91" w:lineRule="exact"/>
        <w:rPr>
          <w:sz w:val="20"/>
          <w:szCs w:val="20"/>
        </w:rPr>
      </w:pPr>
    </w:p>
    <w:p w:rsidR="00D24E61" w:rsidRPr="00771368" w:rsidRDefault="00D24E61">
      <w:pPr>
        <w:spacing w:line="356" w:lineRule="auto"/>
        <w:ind w:firstLine="566"/>
        <w:jc w:val="both"/>
        <w:rPr>
          <w:sz w:val="20"/>
          <w:szCs w:val="20"/>
        </w:rPr>
      </w:pPr>
      <w:r w:rsidRPr="00771368">
        <w:rPr>
          <w:sz w:val="24"/>
          <w:szCs w:val="24"/>
        </w:rPr>
        <w:t>O longa-metragem conta a história de Hermila, uma mulher jovem que retorna para sua cidade natal, Iguatu, no interior do Ceará, depois de ter fugido para morar em São Paulo com o namorado e pai de seu filho. Com o bebê, ela volta para a pequena comunidade e vai morar com a avó e a tia, enquanto ansiosamente aguarda o retorno de seu companheiro, Mateus. No entanto, em seus telefonemas para São Paulo, vai ficando claro que ele está se esquivando, até que, finalmente, desaparece. Em um primeiro momento abatida, Hermila vai retomando sua vida: arruma um novo emprego – como lavadora de carros -, volta a sair para dançar e se divertir com uma nova amiga, a prostituta Georgina, e se relaciona com um antigo caso amoroso, João, que ainda é apaixonado por ela. Entretanto, ela deseja fugir de Iguatu, novamente. Para isso, coloca em prática um plano que choca a comunidade: assume o nome de Suely e faz uma rifa do próprio corpo. Hermila/Suely consegue vendê-las para grande parte da vila e juntar dinheiro suficiente para comprar uma passagem para Porto Alegre, além de deixar uma ajuda para a avó. O vencedor da rifa, por fim, tem direito ao seu corpo, por uma noite; e, em seguida, ela abandona a cidade, deixando para trás o filho e João.</w:t>
      </w:r>
    </w:p>
    <w:p w:rsidR="00D24E61" w:rsidRPr="00771368" w:rsidRDefault="00D24E61">
      <w:pPr>
        <w:spacing w:line="65" w:lineRule="exact"/>
        <w:rPr>
          <w:sz w:val="20"/>
          <w:szCs w:val="20"/>
        </w:rPr>
      </w:pPr>
    </w:p>
    <w:p w:rsidR="00D24E61" w:rsidRPr="00771368" w:rsidRDefault="00D24E61">
      <w:pPr>
        <w:spacing w:line="352" w:lineRule="auto"/>
        <w:ind w:right="20" w:firstLine="708"/>
        <w:jc w:val="both"/>
        <w:rPr>
          <w:sz w:val="20"/>
          <w:szCs w:val="20"/>
        </w:rPr>
      </w:pPr>
      <w:r w:rsidRPr="00771368">
        <w:rPr>
          <w:sz w:val="24"/>
          <w:szCs w:val="24"/>
        </w:rPr>
        <w:t>Considerando esse breve resumo da história, como explicitar a complexidade e a articulação entre as diferentes facetas do feminino descortinadas por Hermila? Geralmente costumamos olhar para um filme através de nossas lentes teóricas e buscar respostas às nossas perguntas já delimitadas. Contudo, frequentemente filmes nos retornam nossas próprias questões, suscitam e demandam novos olhares, novas questões, novas lentes, ou mesmo nenhuma. Às vezes, demandam simplesmente que nós, mesmo para uma reflexão acadêmica posterior, assistamos ao filme como espectadores desprovidos de intenções ou busca de significados, à disposição, à mercê, à deriva.</w:t>
      </w:r>
    </w:p>
    <w:p w:rsidR="00D24E61" w:rsidRPr="00771368" w:rsidRDefault="00013211">
      <w:pPr>
        <w:spacing w:line="361" w:lineRule="exact"/>
        <w:rPr>
          <w:sz w:val="20"/>
          <w:szCs w:val="20"/>
        </w:rPr>
      </w:pPr>
      <w:r>
        <w:rPr>
          <w:noProof/>
          <w:sz w:val="20"/>
          <w:szCs w:val="20"/>
        </w:rPr>
        <mc:AlternateContent>
          <mc:Choice Requires="wps">
            <w:drawing>
              <wp:anchor distT="0" distB="0" distL="0" distR="0" simplePos="0" relativeHeight="251791872" behindDoc="0" locked="0" layoutInCell="0" allowOverlap="1">
                <wp:simplePos x="0" y="0"/>
                <wp:positionH relativeFrom="column">
                  <wp:posOffset>-635</wp:posOffset>
                </wp:positionH>
                <wp:positionV relativeFrom="paragraph">
                  <wp:posOffset>158115</wp:posOffset>
                </wp:positionV>
                <wp:extent cx="1828800" cy="0"/>
                <wp:effectExtent l="8890" t="5715" r="10160" b="13335"/>
                <wp:wrapNone/>
                <wp:docPr id="13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79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2.45pt" to="143.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DCFgIAACwEAAAOAAAAZHJzL2Uyb0RvYy54bWysU8uu2jAQ3VfqP1jeQxJIaY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" o:allowincell="f" strokeweight=".25397mm"/>
            </w:pict>
          </mc:Fallback>
        </mc:AlternateContent>
      </w:r>
    </w:p>
    <w:p w:rsidR="00D24E61" w:rsidRPr="00771368" w:rsidRDefault="00D24E61">
      <w:pPr>
        <w:spacing w:line="225" w:lineRule="auto"/>
        <w:ind w:right="40"/>
        <w:rPr>
          <w:sz w:val="20"/>
          <w:szCs w:val="20"/>
        </w:rPr>
      </w:pPr>
      <w:r w:rsidRPr="00771368">
        <w:rPr>
          <w:sz w:val="25"/>
          <w:szCs w:val="25"/>
          <w:vertAlign w:val="superscript"/>
        </w:rPr>
        <w:t>3</w:t>
      </w:r>
      <w:r w:rsidRPr="00771368">
        <w:rPr>
          <w:sz w:val="20"/>
          <w:szCs w:val="20"/>
        </w:rPr>
        <w:t xml:space="preserve"> Informações retiradas do roteiro do filme, publicado pela </w:t>
      </w:r>
      <w:r w:rsidRPr="00771368">
        <w:rPr>
          <w:i/>
          <w:iCs/>
          <w:sz w:val="20"/>
          <w:szCs w:val="20"/>
        </w:rPr>
        <w:t>Coleção Aplauso Cinema Brasil</w:t>
      </w:r>
      <w:r w:rsidRPr="00771368">
        <w:rPr>
          <w:sz w:val="20"/>
          <w:szCs w:val="20"/>
        </w:rPr>
        <w:t xml:space="preserve">, da Editora </w:t>
      </w:r>
      <w:r w:rsidRPr="00771368">
        <w:rPr>
          <w:i/>
          <w:iCs/>
          <w:sz w:val="20"/>
          <w:szCs w:val="20"/>
        </w:rPr>
        <w:t>Imprensa</w:t>
      </w:r>
      <w:r w:rsidRPr="00771368">
        <w:rPr>
          <w:sz w:val="20"/>
          <w:szCs w:val="20"/>
        </w:rPr>
        <w:t xml:space="preserve"> </w:t>
      </w:r>
      <w:r w:rsidRPr="00771368">
        <w:rPr>
          <w:i/>
          <w:iCs/>
          <w:sz w:val="20"/>
          <w:szCs w:val="20"/>
        </w:rPr>
        <w:t>Oficial</w:t>
      </w:r>
      <w:r w:rsidRPr="00771368">
        <w:rPr>
          <w:sz w:val="20"/>
          <w:szCs w:val="20"/>
        </w:rPr>
        <w:t>. São Paulo, 2008.</w:t>
      </w:r>
    </w:p>
    <w:p w:rsidR="00D24E61" w:rsidRPr="00771368" w:rsidRDefault="00D24E61">
      <w:pPr>
        <w:spacing w:line="200" w:lineRule="exact"/>
        <w:rPr>
          <w:sz w:val="20"/>
          <w:szCs w:val="20"/>
        </w:rPr>
      </w:pPr>
    </w:p>
    <w:p w:rsidR="00D24E61" w:rsidRPr="00771368" w:rsidRDefault="00D24E61">
      <w:pPr>
        <w:spacing w:line="239" w:lineRule="exact"/>
        <w:rPr>
          <w:sz w:val="20"/>
          <w:szCs w:val="20"/>
        </w:rPr>
      </w:pPr>
    </w:p>
    <w:p w:rsidR="00D24E61" w:rsidRPr="00771368" w:rsidRDefault="00D24E61">
      <w:pPr>
        <w:ind w:left="8960"/>
        <w:rPr>
          <w:sz w:val="20"/>
          <w:szCs w:val="20"/>
        </w:rPr>
      </w:pPr>
      <w:r w:rsidRPr="00771368">
        <w:rPr>
          <w:rFonts w:eastAsia="Calibri"/>
        </w:rPr>
        <w:t>5</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34" w:lineRule="auto"/>
        <w:ind w:firstLine="566"/>
        <w:jc w:val="both"/>
        <w:rPr>
          <w:sz w:val="20"/>
          <w:szCs w:val="20"/>
        </w:rPr>
      </w:pPr>
      <w:r w:rsidRPr="00771368">
        <w:rPr>
          <w:sz w:val="24"/>
          <w:szCs w:val="24"/>
        </w:rPr>
        <w:t>Assim como Flávia Esteves (2007), consideramos necessário manter abertas as possibilidades de questões e leituras apresentadas pelo cinema. A partir de Phillippe Dubois, a autora critica a atitude de se tomar uma imagem como objeto a serviço de uma interpretação.</w:t>
      </w:r>
    </w:p>
    <w:p w:rsidR="00D24E61" w:rsidRPr="00771368" w:rsidRDefault="00D24E61">
      <w:pPr>
        <w:spacing w:line="89" w:lineRule="exact"/>
        <w:rPr>
          <w:sz w:val="20"/>
          <w:szCs w:val="20"/>
        </w:rPr>
      </w:pPr>
    </w:p>
    <w:p w:rsidR="00D24E61" w:rsidRPr="00771368" w:rsidRDefault="00D24E61">
      <w:pPr>
        <w:spacing w:line="334" w:lineRule="auto"/>
        <w:jc w:val="both"/>
        <w:rPr>
          <w:sz w:val="20"/>
          <w:szCs w:val="20"/>
        </w:rPr>
      </w:pPr>
      <w:r w:rsidRPr="00771368">
        <w:rPr>
          <w:sz w:val="24"/>
          <w:szCs w:val="24"/>
        </w:rPr>
        <w:t xml:space="preserve">“É preciso não procurar nada numa imagem, para ser capaz de descobrir aquilo em que não estávamos pensando, que não era imaginável </w:t>
      </w:r>
      <w:r w:rsidRPr="00771368">
        <w:rPr>
          <w:i/>
          <w:iCs/>
          <w:sz w:val="24"/>
          <w:szCs w:val="24"/>
        </w:rPr>
        <w:t>a priori</w:t>
      </w:r>
      <w:r w:rsidRPr="00771368">
        <w:rPr>
          <w:sz w:val="24"/>
          <w:szCs w:val="24"/>
        </w:rPr>
        <w:t xml:space="preserve">.” (DUBOIS, 2004 </w:t>
      </w:r>
      <w:r w:rsidRPr="00771368">
        <w:rPr>
          <w:i/>
          <w:iCs/>
          <w:sz w:val="24"/>
          <w:szCs w:val="24"/>
        </w:rPr>
        <w:t>apud</w:t>
      </w:r>
      <w:r w:rsidRPr="00771368">
        <w:rPr>
          <w:sz w:val="24"/>
          <w:szCs w:val="24"/>
        </w:rPr>
        <w:t xml:space="preserve"> ESTEVES, 2007).</w:t>
      </w:r>
    </w:p>
    <w:p w:rsidR="00D24E61" w:rsidRPr="00771368" w:rsidRDefault="00D24E61">
      <w:pPr>
        <w:spacing w:line="91" w:lineRule="exact"/>
        <w:rPr>
          <w:sz w:val="20"/>
          <w:szCs w:val="20"/>
        </w:rPr>
      </w:pPr>
    </w:p>
    <w:p w:rsidR="00D24E61" w:rsidRPr="00771368" w:rsidRDefault="00D24E61">
      <w:pPr>
        <w:spacing w:line="339" w:lineRule="auto"/>
        <w:ind w:firstLine="566"/>
        <w:jc w:val="both"/>
        <w:rPr>
          <w:sz w:val="20"/>
          <w:szCs w:val="20"/>
        </w:rPr>
      </w:pPr>
      <w:r w:rsidRPr="00771368">
        <w:rPr>
          <w:sz w:val="24"/>
          <w:szCs w:val="24"/>
        </w:rPr>
        <w:t xml:space="preserve">Propomos, portanto, olhar para determinadas cenas do filme deixando que ele fale por si e suscite novas reflexões a serem articuladas e tensionadas pelos conceitos de feminino e </w:t>
      </w:r>
      <w:r w:rsidRPr="00771368">
        <w:rPr>
          <w:i/>
          <w:iCs/>
          <w:sz w:val="24"/>
          <w:szCs w:val="24"/>
        </w:rPr>
        <w:t xml:space="preserve">performatividade </w:t>
      </w:r>
      <w:r w:rsidRPr="00771368">
        <w:rPr>
          <w:sz w:val="24"/>
          <w:szCs w:val="24"/>
        </w:rPr>
        <w:t>de gênero; além de sempre levar em conta a linguagem cinematográfica e</w:t>
      </w:r>
      <w:r w:rsidRPr="00771368">
        <w:rPr>
          <w:i/>
          <w:iCs/>
          <w:sz w:val="24"/>
          <w:szCs w:val="24"/>
        </w:rPr>
        <w:t xml:space="preserve"> </w:t>
      </w:r>
      <w:r w:rsidRPr="00771368">
        <w:rPr>
          <w:sz w:val="24"/>
          <w:szCs w:val="24"/>
        </w:rPr>
        <w:t xml:space="preserve">suas especificidades. Propomos um movimento de </w:t>
      </w:r>
      <w:r w:rsidRPr="00771368">
        <w:rPr>
          <w:i/>
          <w:iCs/>
          <w:sz w:val="24"/>
          <w:szCs w:val="24"/>
        </w:rPr>
        <w:t>deixar-se envolver</w:t>
      </w:r>
      <w:r w:rsidRPr="00771368">
        <w:rPr>
          <w:sz w:val="24"/>
          <w:szCs w:val="24"/>
        </w:rPr>
        <w:t xml:space="preserve">, como sugerem Guimarães </w:t>
      </w:r>
      <w:r w:rsidRPr="00771368">
        <w:rPr>
          <w:i/>
          <w:iCs/>
          <w:sz w:val="24"/>
          <w:szCs w:val="24"/>
        </w:rPr>
        <w:t>et al.</w:t>
      </w:r>
      <w:r w:rsidRPr="00771368">
        <w:rPr>
          <w:sz w:val="24"/>
          <w:szCs w:val="24"/>
        </w:rPr>
        <w:t xml:space="preserve"> (2012), de modo a pensar o lugar do espectador que vê, sente, significa e resignifica, relacionando a </w:t>
      </w:r>
      <w:r w:rsidRPr="00771368">
        <w:rPr>
          <w:i/>
          <w:iCs/>
          <w:sz w:val="24"/>
          <w:szCs w:val="24"/>
        </w:rPr>
        <w:t>mise-en-scène</w:t>
      </w:r>
      <w:r w:rsidRPr="00771368">
        <w:rPr>
          <w:i/>
          <w:iCs/>
          <w:sz w:val="32"/>
          <w:szCs w:val="32"/>
          <w:vertAlign w:val="superscript"/>
        </w:rPr>
        <w:t>4</w:t>
      </w:r>
      <w:r w:rsidRPr="00771368">
        <w:rPr>
          <w:sz w:val="24"/>
          <w:szCs w:val="24"/>
        </w:rPr>
        <w:t xml:space="preserve"> </w:t>
      </w:r>
      <w:r w:rsidRPr="00771368">
        <w:rPr>
          <w:i/>
          <w:iCs/>
          <w:sz w:val="24"/>
          <w:szCs w:val="24"/>
        </w:rPr>
        <w:t>fílmica</w:t>
      </w:r>
      <w:r w:rsidRPr="00771368">
        <w:rPr>
          <w:sz w:val="24"/>
          <w:szCs w:val="24"/>
        </w:rPr>
        <w:t xml:space="preserve"> e o que ela instiga em termos psíquicos, sensoriais, afetivos, imaginários. A partir disso, pretendemos mobilizar os conceitos apresentados relacionando-os com o filme e pensando-os a partir do que as imagens nos suscitam, trazendo, quando necessário, novas reflexões teóricas.</w:t>
      </w:r>
    </w:p>
    <w:p w:rsidR="00D24E61" w:rsidRPr="00771368" w:rsidRDefault="00D24E61">
      <w:pPr>
        <w:spacing w:line="87" w:lineRule="exact"/>
        <w:rPr>
          <w:sz w:val="20"/>
          <w:szCs w:val="20"/>
        </w:rPr>
      </w:pPr>
    </w:p>
    <w:p w:rsidR="00D24E61" w:rsidRPr="00771368" w:rsidRDefault="00D24E61">
      <w:pPr>
        <w:spacing w:line="343" w:lineRule="auto"/>
        <w:ind w:right="20" w:firstLine="566"/>
        <w:jc w:val="both"/>
        <w:rPr>
          <w:sz w:val="20"/>
          <w:szCs w:val="20"/>
        </w:rPr>
      </w:pPr>
      <w:r w:rsidRPr="00771368">
        <w:rPr>
          <w:sz w:val="24"/>
          <w:szCs w:val="24"/>
        </w:rPr>
        <w:t>Destacamos algumas cenas específicas. Primeiramente, analisaremos a cena inicial (em que Hermila aparece dançando com Mateus) e a final (em que deixa a cidade). Posteriormente, abordamos duas cenas em que ela sai para dançar. Por fim, nos voltamos para duas cenas em que ela tem relações sexuais (com João e, ao final, com o vencedor da rifa).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53" w:lineRule="exact"/>
        <w:rPr>
          <w:sz w:val="20"/>
          <w:szCs w:val="20"/>
        </w:rPr>
      </w:pPr>
    </w:p>
    <w:p w:rsidR="00D24E61" w:rsidRPr="00771368" w:rsidRDefault="00D24E61">
      <w:pPr>
        <w:numPr>
          <w:ilvl w:val="0"/>
          <w:numId w:val="3"/>
        </w:numPr>
        <w:tabs>
          <w:tab w:val="left" w:pos="720"/>
        </w:tabs>
        <w:ind w:left="720" w:hanging="361"/>
        <w:jc w:val="both"/>
        <w:rPr>
          <w:b/>
          <w:bCs/>
          <w:sz w:val="24"/>
          <w:szCs w:val="24"/>
        </w:rPr>
      </w:pPr>
      <w:r w:rsidRPr="00771368">
        <w:rPr>
          <w:b/>
          <w:bCs/>
          <w:sz w:val="24"/>
          <w:szCs w:val="24"/>
        </w:rPr>
        <w:t>Pelos céus de Suely: movimentando conceitos</w:t>
      </w:r>
    </w:p>
    <w:p w:rsidR="00D24E61" w:rsidRPr="00771368" w:rsidRDefault="00D24E61">
      <w:pPr>
        <w:spacing w:line="134" w:lineRule="exact"/>
        <w:rPr>
          <w:b/>
          <w:bCs/>
          <w:sz w:val="24"/>
          <w:szCs w:val="24"/>
        </w:rPr>
      </w:pPr>
    </w:p>
    <w:p w:rsidR="00D24E61" w:rsidRPr="00771368" w:rsidRDefault="00D24E61">
      <w:pPr>
        <w:numPr>
          <w:ilvl w:val="1"/>
          <w:numId w:val="3"/>
        </w:numPr>
        <w:tabs>
          <w:tab w:val="left" w:pos="1120"/>
        </w:tabs>
        <w:ind w:left="1120" w:hanging="413"/>
        <w:jc w:val="both"/>
        <w:rPr>
          <w:b/>
          <w:bCs/>
          <w:sz w:val="24"/>
          <w:szCs w:val="24"/>
        </w:rPr>
      </w:pPr>
      <w:r w:rsidRPr="00771368">
        <w:rPr>
          <w:sz w:val="24"/>
          <w:szCs w:val="24"/>
        </w:rPr>
        <w:t>Desafios às classificações de gênero: o “ser entre”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4" w:lineRule="exact"/>
        <w:rPr>
          <w:sz w:val="20"/>
          <w:szCs w:val="20"/>
        </w:rPr>
      </w:pPr>
    </w:p>
    <w:p w:rsidR="00D24E61" w:rsidRPr="00771368" w:rsidRDefault="00D24E61">
      <w:pPr>
        <w:spacing w:line="351" w:lineRule="auto"/>
        <w:ind w:right="20" w:firstLine="566"/>
        <w:jc w:val="both"/>
        <w:rPr>
          <w:sz w:val="20"/>
          <w:szCs w:val="20"/>
        </w:rPr>
      </w:pPr>
      <w:r w:rsidRPr="00771368">
        <w:rPr>
          <w:sz w:val="24"/>
          <w:szCs w:val="24"/>
        </w:rPr>
        <w:t xml:space="preserve">Através da narrativa de </w:t>
      </w:r>
      <w:r w:rsidRPr="00771368">
        <w:rPr>
          <w:i/>
          <w:iCs/>
          <w:sz w:val="24"/>
          <w:szCs w:val="24"/>
        </w:rPr>
        <w:t>O Céu de Suely</w:t>
      </w:r>
      <w:r w:rsidRPr="00771368">
        <w:rPr>
          <w:sz w:val="24"/>
          <w:szCs w:val="24"/>
        </w:rPr>
        <w:t>, que segue Hermila/Suely em seus conflitos, mas também em seus prazeres: a dança, a música, as drogas e o sexo; podemos refletir sobre algumas questões das relações de gênero e sexualidade aqui discutidas. Como um elemento externo àquela comunidade simples, Hermila/Suely traz conflitos para a cidade, por não se encaixar em nenhum lugar pré-determinado. Nem prostituta, nem mãe recatada, ela desafia diversas das convenções da sua cidade natal. A maneira como se veste e as mechas loiras na franja – marcas de sua “fuga” para uma metrópole -, a forma de dançar e de se comportar,</w:t>
      </w:r>
    </w:p>
    <w:p w:rsidR="00D24E61" w:rsidRPr="00771368" w:rsidRDefault="00013211">
      <w:pPr>
        <w:spacing w:line="205" w:lineRule="exact"/>
        <w:rPr>
          <w:sz w:val="20"/>
          <w:szCs w:val="20"/>
        </w:rPr>
      </w:pPr>
      <w:r>
        <w:rPr>
          <w:noProof/>
          <w:sz w:val="20"/>
          <w:szCs w:val="20"/>
        </w:rPr>
        <mc:AlternateContent>
          <mc:Choice Requires="wps">
            <w:drawing>
              <wp:anchor distT="0" distB="0" distL="0" distR="0" simplePos="0" relativeHeight="251792896" behindDoc="0" locked="0" layoutInCell="0" allowOverlap="1">
                <wp:simplePos x="0" y="0"/>
                <wp:positionH relativeFrom="column">
                  <wp:posOffset>-635</wp:posOffset>
                </wp:positionH>
                <wp:positionV relativeFrom="paragraph">
                  <wp:posOffset>60325</wp:posOffset>
                </wp:positionV>
                <wp:extent cx="1828800" cy="0"/>
                <wp:effectExtent l="8890" t="12700" r="10160" b="6350"/>
                <wp:wrapNone/>
                <wp:docPr id="13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79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4.75pt" to="143.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zCFAIAACwEAAAOAAAAZHJzL2Uyb0RvYy54bWysU02P2jAQvVfqf7Byh3yQ0h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" o:allowincell="f" strokeweight=".72pt"/>
            </w:pict>
          </mc:Fallback>
        </mc:AlternateContent>
      </w:r>
    </w:p>
    <w:p w:rsidR="00D24E61" w:rsidRPr="00771368" w:rsidRDefault="00D24E61">
      <w:pPr>
        <w:spacing w:line="220" w:lineRule="auto"/>
        <w:ind w:right="20"/>
        <w:jc w:val="both"/>
        <w:rPr>
          <w:sz w:val="20"/>
          <w:szCs w:val="20"/>
        </w:rPr>
      </w:pPr>
      <w:r w:rsidRPr="00771368">
        <w:rPr>
          <w:sz w:val="25"/>
          <w:szCs w:val="25"/>
          <w:vertAlign w:val="superscript"/>
        </w:rPr>
        <w:t>4</w:t>
      </w:r>
      <w:r w:rsidRPr="00771368">
        <w:rPr>
          <w:sz w:val="20"/>
          <w:szCs w:val="20"/>
        </w:rPr>
        <w:t xml:space="preserve"> Segundo Caixeta e Guimarães (2008), os termos mais próximos de mise-en-scène no português (encenação, colocar em cena), “não comportam todos os sentidos da expressão, aqui definida como o conjunto dos diversos elementos que constituem a cena cinematográfica” (CAIXETA, GUIMARÃES, 2008, p.5).</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E452AE" w:rsidRDefault="00D24E61">
      <w:pPr>
        <w:rPr>
          <w:sz w:val="20"/>
          <w:szCs w:val="20"/>
        </w:rPr>
        <w:sectPr w:rsidR="00D24E61" w:rsidRPr="00E452AE">
          <w:type w:val="continuous"/>
          <w:pgSz w:w="11900" w:h="16838"/>
          <w:pgMar w:top="1440" w:right="1420" w:bottom="676" w:left="10380" w:header="0" w:footer="0" w:gutter="0"/>
          <w:cols w:space="720" w:equalWidth="0">
            <w:col w:w="100"/>
          </w:cols>
        </w:sectPr>
      </w:pPr>
    </w:p>
    <w:p w:rsidR="00D24E61" w:rsidRPr="00771368" w:rsidRDefault="00D24E61">
      <w:pPr>
        <w:spacing w:line="342" w:lineRule="auto"/>
        <w:ind w:right="20"/>
        <w:jc w:val="both"/>
        <w:rPr>
          <w:sz w:val="20"/>
          <w:szCs w:val="20"/>
        </w:rPr>
      </w:pPr>
      <w:r w:rsidRPr="00771368">
        <w:rPr>
          <w:sz w:val="24"/>
          <w:szCs w:val="24"/>
        </w:rPr>
        <w:t>bem como a maneira como conversa e vende sua rifa para os homens, vão contra as expectativas e a “normalidade” do local. Mostram também uma mulher que saiu daquela pequena comunidade para uma grande cidade e encontra dificuldades em se readaptar, em se reencaixar.</w:t>
      </w:r>
    </w:p>
    <w:p w:rsidR="00D24E61" w:rsidRPr="00771368" w:rsidRDefault="00D24E61">
      <w:pPr>
        <w:spacing w:line="83" w:lineRule="exact"/>
        <w:rPr>
          <w:sz w:val="20"/>
          <w:szCs w:val="20"/>
        </w:rPr>
      </w:pPr>
    </w:p>
    <w:p w:rsidR="00D24E61" w:rsidRPr="00771368" w:rsidRDefault="00D24E61">
      <w:pPr>
        <w:spacing w:line="354" w:lineRule="auto"/>
        <w:ind w:firstLine="566"/>
        <w:jc w:val="both"/>
        <w:rPr>
          <w:sz w:val="20"/>
          <w:szCs w:val="20"/>
        </w:rPr>
      </w:pPr>
      <w:r w:rsidRPr="00771368">
        <w:rPr>
          <w:sz w:val="24"/>
          <w:szCs w:val="24"/>
        </w:rPr>
        <w:t xml:space="preserve">Na cena inicial do filme, sob um céu intensamente azul, temos Hermila, em um lugar que não sabemos bem onde é, nem quando é. Mas percebemos que ela está feliz. A voz </w:t>
      </w:r>
      <w:r w:rsidRPr="00771368">
        <w:rPr>
          <w:i/>
          <w:iCs/>
          <w:sz w:val="24"/>
          <w:szCs w:val="24"/>
        </w:rPr>
        <w:t>over,</w:t>
      </w:r>
      <w:r w:rsidRPr="00771368">
        <w:rPr>
          <w:sz w:val="24"/>
          <w:szCs w:val="24"/>
        </w:rPr>
        <w:t xml:space="preserve"> que nos narra, também fala daquela felicidade, ainda que como acontecimento do passado, mas também com um tom de esperança. Hermila ensaia passos e gestos diante da câmera que a filma. Gestos que estão ligados aos daquele homem de quem mal vemos o rosto, mas que a puxa e a tira de cena. Ela nos conta sobre sua gravidez e sobre as declarações de amor dele, enquanto a música em </w:t>
      </w:r>
      <w:r w:rsidRPr="00771368">
        <w:rPr>
          <w:i/>
          <w:iCs/>
          <w:sz w:val="24"/>
          <w:szCs w:val="24"/>
        </w:rPr>
        <w:t>off</w:t>
      </w:r>
      <w:r w:rsidRPr="00771368">
        <w:rPr>
          <w:sz w:val="24"/>
          <w:szCs w:val="24"/>
        </w:rPr>
        <w:t xml:space="preserve"> fala de completude, e depois de ausência. Aquelas imagens, que parecem terem sido feitas em </w:t>
      </w:r>
      <w:r w:rsidRPr="00771368">
        <w:rPr>
          <w:i/>
          <w:iCs/>
          <w:sz w:val="24"/>
          <w:szCs w:val="24"/>
        </w:rPr>
        <w:t>Super 8</w:t>
      </w:r>
      <w:r w:rsidRPr="00771368">
        <w:rPr>
          <w:sz w:val="24"/>
          <w:szCs w:val="24"/>
        </w:rPr>
        <w:t xml:space="preserve"> e são repletas de ruídos visuais, nos parecem outra realidade diante do resto do filme, ou como uma memória repleta de nostalgia e de idealização.</w:t>
      </w:r>
    </w:p>
    <w:p w:rsidR="00D24E61" w:rsidRPr="00771368" w:rsidRDefault="00D24E61">
      <w:pPr>
        <w:spacing w:line="70" w:lineRule="exact"/>
        <w:rPr>
          <w:sz w:val="20"/>
          <w:szCs w:val="20"/>
        </w:rPr>
      </w:pPr>
    </w:p>
    <w:p w:rsidR="00D24E61" w:rsidRPr="00771368" w:rsidRDefault="00D24E61">
      <w:pPr>
        <w:spacing w:line="349" w:lineRule="auto"/>
        <w:ind w:right="20" w:firstLine="566"/>
        <w:jc w:val="both"/>
        <w:rPr>
          <w:sz w:val="20"/>
          <w:szCs w:val="20"/>
        </w:rPr>
      </w:pPr>
      <w:r w:rsidRPr="00771368">
        <w:rPr>
          <w:sz w:val="24"/>
          <w:szCs w:val="24"/>
        </w:rPr>
        <w:t xml:space="preserve">Quando nos deparamos com a cena subsequente, Hermila com o filho, no ônibus, o que primeiro nos fala é a falta, a mudança de expressão dela, o tom diferente de cores e o silêncio. É talvez nas primeiras cenas do filme que se faz mais forte a ausência. Hermila só pode se identificar pelo que falta ou, dito de outro modo, a falta parece constituir uma Hermila que apreendemos “pela indefinição (de um porvir)” (Mesquita, 2011 </w:t>
      </w:r>
      <w:r w:rsidRPr="00771368">
        <w:rPr>
          <w:i/>
          <w:iCs/>
          <w:sz w:val="24"/>
          <w:szCs w:val="24"/>
        </w:rPr>
        <w:t>apud</w:t>
      </w:r>
      <w:r w:rsidRPr="00771368">
        <w:rPr>
          <w:sz w:val="24"/>
          <w:szCs w:val="24"/>
        </w:rPr>
        <w:t xml:space="preserve"> Guimarães et al., 2012, p. 7).</w:t>
      </w:r>
    </w:p>
    <w:p w:rsidR="00D24E61" w:rsidRPr="00771368" w:rsidRDefault="00D24E61">
      <w:pPr>
        <w:spacing w:line="77" w:lineRule="exact"/>
        <w:rPr>
          <w:sz w:val="20"/>
          <w:szCs w:val="20"/>
        </w:rPr>
      </w:pPr>
    </w:p>
    <w:p w:rsidR="00D24E61" w:rsidRPr="00771368" w:rsidRDefault="00D24E61">
      <w:pPr>
        <w:spacing w:line="308" w:lineRule="auto"/>
        <w:ind w:right="20" w:firstLine="566"/>
        <w:jc w:val="both"/>
        <w:rPr>
          <w:sz w:val="20"/>
          <w:szCs w:val="20"/>
        </w:rPr>
      </w:pPr>
      <w:r w:rsidRPr="00771368">
        <w:rPr>
          <w:sz w:val="24"/>
          <w:szCs w:val="24"/>
        </w:rPr>
        <w:t>Se em uma das cenas iniciais vemos a placa de “Aqui começa Iguatu”, na cena final temos a placa “Aqui começa a saudade de Iguatu” em um plano fixo, uma estrada e um</w:t>
      </w:r>
    </w:p>
    <w:p w:rsidR="00D24E61" w:rsidRPr="00771368" w:rsidRDefault="00D24E61">
      <w:pPr>
        <w:spacing w:line="120" w:lineRule="exact"/>
        <w:rPr>
          <w:sz w:val="20"/>
          <w:szCs w:val="20"/>
        </w:rPr>
      </w:pPr>
    </w:p>
    <w:p w:rsidR="00D24E61" w:rsidRPr="00771368" w:rsidRDefault="00D24E61">
      <w:pPr>
        <w:spacing w:line="349" w:lineRule="auto"/>
        <w:ind w:right="20"/>
        <w:jc w:val="both"/>
        <w:rPr>
          <w:sz w:val="20"/>
          <w:szCs w:val="20"/>
        </w:rPr>
      </w:pPr>
      <w:r w:rsidRPr="00771368">
        <w:rPr>
          <w:sz w:val="24"/>
          <w:szCs w:val="24"/>
        </w:rPr>
        <w:t>ônibus que se dirige ao enorme céu azul. Hermila/Suely deixa o enquadramento, quando o ônibus em que está some do quadro, pela estrada que se perde no horizonte. A personagem permanece constituída de falta e desejo, mas agora sua falta é difusa, vai além da prometida completude associada à presença do ser amado. Ela não sabe o que busca, mas sabe que tudo está depois daquela placa, para além daquele céu, para além do enquadramento que já não pode enquadrá-la, o qual ela abandona, em direção a um outro lugar, indefinido.</w:t>
      </w:r>
    </w:p>
    <w:p w:rsidR="00D24E61" w:rsidRPr="00771368" w:rsidRDefault="00D24E61">
      <w:pPr>
        <w:spacing w:line="74" w:lineRule="exact"/>
        <w:rPr>
          <w:sz w:val="20"/>
          <w:szCs w:val="20"/>
        </w:rPr>
      </w:pPr>
    </w:p>
    <w:p w:rsidR="00D24E61" w:rsidRPr="00771368" w:rsidRDefault="00D24E61">
      <w:pPr>
        <w:spacing w:line="350" w:lineRule="auto"/>
        <w:ind w:right="20" w:firstLine="566"/>
        <w:jc w:val="both"/>
        <w:rPr>
          <w:sz w:val="20"/>
          <w:szCs w:val="20"/>
        </w:rPr>
      </w:pPr>
      <w:r w:rsidRPr="00771368">
        <w:rPr>
          <w:sz w:val="24"/>
          <w:szCs w:val="24"/>
        </w:rPr>
        <w:t>Se, no início, o que parece nos indicar quem é Hermila/Suely e qual o seu “papel” na narrativa são seus lugares de esposa e mãe, que se deixa levar por um amor e acaba sendo deixada sozinha por ele; ao longo do filme vemos que a personagem apresenta muito mais características e complexidades do que poderíamos esperar de um papel convencional de esposa e mãe, ou de vítima. Hermila parece, como qualquer outra personagem central do filme, não se encaixar, não se deixar enquadrar completamente. Podemos dizer que ela alterna</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E452AE" w:rsidRDefault="00D24E61">
      <w:pPr>
        <w:rPr>
          <w:sz w:val="20"/>
          <w:szCs w:val="20"/>
        </w:rPr>
        <w:sectPr w:rsidR="00D24E61" w:rsidRPr="00E452AE">
          <w:type w:val="continuous"/>
          <w:pgSz w:w="11900" w:h="16838"/>
          <w:pgMar w:top="1440" w:right="1420" w:bottom="676" w:left="10380" w:header="0" w:footer="0" w:gutter="0"/>
          <w:cols w:space="720" w:equalWidth="0">
            <w:col w:w="100"/>
          </w:cols>
        </w:sectPr>
      </w:pPr>
    </w:p>
    <w:p w:rsidR="00D24E61" w:rsidRPr="00771368" w:rsidRDefault="00D24E61">
      <w:pPr>
        <w:spacing w:line="347" w:lineRule="auto"/>
        <w:jc w:val="both"/>
        <w:rPr>
          <w:sz w:val="20"/>
          <w:szCs w:val="20"/>
        </w:rPr>
      </w:pPr>
      <w:r w:rsidRPr="00771368">
        <w:rPr>
          <w:sz w:val="24"/>
          <w:szCs w:val="24"/>
        </w:rPr>
        <w:t xml:space="preserve">entre </w:t>
      </w:r>
      <w:r w:rsidRPr="00771368">
        <w:rPr>
          <w:i/>
          <w:iCs/>
          <w:sz w:val="24"/>
          <w:szCs w:val="24"/>
        </w:rPr>
        <w:t>performatividades</w:t>
      </w:r>
      <w:r w:rsidRPr="00771368">
        <w:rPr>
          <w:sz w:val="24"/>
          <w:szCs w:val="24"/>
        </w:rPr>
        <w:t xml:space="preserve"> e posições de gênero masculinas e femininas e recusa alguns desses lugares, por vezes, mas, mais do que isso, nos parece que transita por estes espaços, sem se preocupar com delimitações ou fronteiras muito marcadas. Ela assume uma posição de ser-entre, de se desidentificar com posições fixas e cristalizadas, colocando-se como resultado de uma tensão entre Hermila e Suely, moça de família/mãe/esposa e prostituta.</w:t>
      </w:r>
    </w:p>
    <w:p w:rsidR="00D24E61" w:rsidRPr="00771368" w:rsidRDefault="00D24E61">
      <w:pPr>
        <w:spacing w:line="74" w:lineRule="exact"/>
        <w:rPr>
          <w:sz w:val="20"/>
          <w:szCs w:val="20"/>
        </w:rPr>
      </w:pPr>
    </w:p>
    <w:p w:rsidR="00D24E61" w:rsidRPr="00771368" w:rsidRDefault="00D24E61">
      <w:pPr>
        <w:spacing w:line="356" w:lineRule="auto"/>
        <w:ind w:firstLine="566"/>
        <w:jc w:val="both"/>
        <w:rPr>
          <w:sz w:val="20"/>
          <w:szCs w:val="20"/>
        </w:rPr>
      </w:pPr>
      <w:r w:rsidRPr="00771368">
        <w:rPr>
          <w:sz w:val="24"/>
          <w:szCs w:val="24"/>
        </w:rPr>
        <w:t>Desde as primeiras cenas após seu retorno à Iguatu, Hermila parece recusar, em parte, a maternidade. Como mãe e mulher, é dado a ela o papel de levar a criança para casa, antes do marido voltar. Ainda que seu leite tenha secado, nos parece inconcebível em nossa sociedade que o filho fique para trás. Então, mesmo com todo o esforço e trabalho que isto apresenta, Hermila deixa São Paulo sozinha, em uma longa viagem de ônibus, com o filho no colo e algumas bagagens, para voltar ao Ceará e lá esperar pelo marido. Já em Iguatu, a avó cuida mais do menino do que ela e, frequentemente, Hermila associa o filho ao marido, atrelando Mateuzinho mais à paixão dos dois do que à completude como mãe (que ela obviamente não apresenta). Em um momento, em que o bebê chora, ela afirma que, por vezes, tem vontade de deixá-lo no mato e fugir. No entanto, é somente no fim do filme que a ruptura com a posição materna parece completa, e é possível que nos surpreendamos – apesar de todas as pistas que nos foram dadas – que ela, de fato, deixe o filho com a avó. Pode ser também surpreendente para alguns que Hermila deixe o “namorado”, João, para trás, mesmo com todo o amor e cuidado que ele lhe parece oferecer – e, com ele, toda a segurança. Hermila/Suely deixa, sozinha, a cidade para trás - bem como todos os olhares desejosos sobre ela, inclusive o nosso, talvez.</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5" w:lineRule="exact"/>
        <w:rPr>
          <w:sz w:val="20"/>
          <w:szCs w:val="20"/>
        </w:rPr>
      </w:pPr>
    </w:p>
    <w:p w:rsidR="00D24E61" w:rsidRPr="00771368" w:rsidRDefault="00D24E61">
      <w:pPr>
        <w:ind w:left="700"/>
        <w:rPr>
          <w:sz w:val="20"/>
          <w:szCs w:val="20"/>
        </w:rPr>
      </w:pPr>
      <w:r w:rsidRPr="00771368">
        <w:rPr>
          <w:b/>
          <w:bCs/>
          <w:sz w:val="24"/>
          <w:szCs w:val="24"/>
        </w:rPr>
        <w:t xml:space="preserve">4.2. </w:t>
      </w:r>
      <w:r w:rsidRPr="00771368">
        <w:rPr>
          <w:sz w:val="24"/>
          <w:szCs w:val="24"/>
        </w:rPr>
        <w:t>Performances e coreografias de reinvenção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4" w:lineRule="exact"/>
        <w:rPr>
          <w:sz w:val="20"/>
          <w:szCs w:val="20"/>
        </w:rPr>
      </w:pPr>
    </w:p>
    <w:p w:rsidR="00D24E61" w:rsidRPr="00771368" w:rsidRDefault="00D24E61">
      <w:pPr>
        <w:spacing w:line="336" w:lineRule="auto"/>
        <w:ind w:firstLine="566"/>
        <w:jc w:val="both"/>
        <w:rPr>
          <w:sz w:val="20"/>
          <w:szCs w:val="20"/>
        </w:rPr>
      </w:pPr>
      <w:r w:rsidRPr="00771368">
        <w:rPr>
          <w:sz w:val="24"/>
          <w:szCs w:val="24"/>
        </w:rPr>
        <w:t xml:space="preserve">Carla Rodrigues (2011), a partir de Jacques Derrida, traz um conceito interessante para a nossa análise: o de </w:t>
      </w:r>
      <w:r w:rsidRPr="00771368">
        <w:rPr>
          <w:i/>
          <w:iCs/>
          <w:sz w:val="24"/>
          <w:szCs w:val="24"/>
        </w:rPr>
        <w:t>coreografia</w:t>
      </w:r>
      <w:r w:rsidRPr="00771368">
        <w:rPr>
          <w:sz w:val="24"/>
          <w:szCs w:val="24"/>
        </w:rPr>
        <w:t xml:space="preserve">. Segundo ela, a coreografia se relaciona à dança, a movimentos corporais de improviso, que abrem espaço para a criação e recriação de posições de sujeito. Em parte, a coreografia se aproxima da noção de </w:t>
      </w:r>
      <w:r w:rsidRPr="00771368">
        <w:rPr>
          <w:i/>
          <w:iCs/>
          <w:sz w:val="24"/>
          <w:szCs w:val="24"/>
        </w:rPr>
        <w:t>performatividade</w:t>
      </w:r>
      <w:r w:rsidRPr="00771368">
        <w:rPr>
          <w:sz w:val="24"/>
          <w:szCs w:val="24"/>
        </w:rPr>
        <w:t xml:space="preserve"> de Butler, mas com uma ênfase na performance</w:t>
      </w:r>
      <w:r w:rsidRPr="00771368">
        <w:rPr>
          <w:sz w:val="32"/>
          <w:szCs w:val="32"/>
          <w:vertAlign w:val="superscript"/>
        </w:rPr>
        <w:t>5</w:t>
      </w:r>
      <w:r w:rsidRPr="00771368">
        <w:rPr>
          <w:sz w:val="24"/>
          <w:szCs w:val="24"/>
        </w:rPr>
        <w:t xml:space="preserve"> e nas reinvenções que se concretizam quando os sujeitos</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93920" behindDoc="0" locked="0" layoutInCell="0" allowOverlap="1">
                <wp:simplePos x="0" y="0"/>
                <wp:positionH relativeFrom="column">
                  <wp:posOffset>-635</wp:posOffset>
                </wp:positionH>
                <wp:positionV relativeFrom="paragraph">
                  <wp:posOffset>218440</wp:posOffset>
                </wp:positionV>
                <wp:extent cx="1828800" cy="0"/>
                <wp:effectExtent l="8890" t="8890" r="10160" b="10160"/>
                <wp:wrapNone/>
                <wp:docPr id="13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79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7.2pt" to="143.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sF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" o:allowincell="f" strokeweight=".25397mm"/>
            </w:pict>
          </mc:Fallback>
        </mc:AlternateContent>
      </w:r>
    </w:p>
    <w:p w:rsidR="00D24E61" w:rsidRPr="00771368" w:rsidRDefault="00D24E61">
      <w:pPr>
        <w:spacing w:line="256" w:lineRule="exact"/>
        <w:rPr>
          <w:sz w:val="20"/>
          <w:szCs w:val="20"/>
        </w:rPr>
      </w:pPr>
    </w:p>
    <w:p w:rsidR="00D24E61" w:rsidRPr="00771368" w:rsidRDefault="00D24E61">
      <w:pPr>
        <w:spacing w:line="241" w:lineRule="auto"/>
        <w:jc w:val="both"/>
        <w:rPr>
          <w:sz w:val="20"/>
          <w:szCs w:val="20"/>
        </w:rPr>
      </w:pPr>
      <w:r w:rsidRPr="00771368">
        <w:rPr>
          <w:sz w:val="25"/>
          <w:szCs w:val="25"/>
          <w:vertAlign w:val="superscript"/>
        </w:rPr>
        <w:t>5</w:t>
      </w:r>
      <w:r w:rsidRPr="00771368">
        <w:rPr>
          <w:sz w:val="20"/>
          <w:szCs w:val="20"/>
        </w:rPr>
        <w:t xml:space="preserve"> Se a </w:t>
      </w:r>
      <w:r w:rsidRPr="00771368">
        <w:rPr>
          <w:i/>
          <w:iCs/>
          <w:sz w:val="20"/>
          <w:szCs w:val="20"/>
        </w:rPr>
        <w:t>performatividade</w:t>
      </w:r>
      <w:r w:rsidRPr="00771368">
        <w:rPr>
          <w:sz w:val="20"/>
          <w:szCs w:val="20"/>
        </w:rPr>
        <w:t xml:space="preserve"> de Butler não é um processo consciente dos indivíduos, que não poderiam “escolher” deliberadamente uma performance disponível, interpretamos, por outro lado, que seja possível para os sujeitos, por vezes, “performarem”, ou seja, atuarem no mundo com certa consciência das </w:t>
      </w:r>
      <w:r w:rsidRPr="00771368">
        <w:rPr>
          <w:i/>
          <w:iCs/>
          <w:sz w:val="20"/>
          <w:szCs w:val="20"/>
        </w:rPr>
        <w:t>performatividades</w:t>
      </w:r>
      <w:r w:rsidRPr="00771368">
        <w:rPr>
          <w:sz w:val="20"/>
          <w:szCs w:val="20"/>
        </w:rPr>
        <w:t xml:space="preserve"> de gênero.</w:t>
      </w:r>
    </w:p>
    <w:p w:rsidR="00D24E61" w:rsidRPr="00771368" w:rsidRDefault="00D24E61">
      <w:pPr>
        <w:sectPr w:rsidR="00D24E61" w:rsidRPr="00771368">
          <w:pgSz w:w="11900" w:h="16838"/>
          <w:pgMar w:top="1440" w:right="1420" w:bottom="676" w:left="1420" w:header="0" w:footer="0" w:gutter="0"/>
          <w:cols w:space="720" w:equalWidth="0">
            <w:col w:w="9060"/>
          </w:cols>
        </w:sectPr>
      </w:pPr>
    </w:p>
    <w:p w:rsidR="00D24E61" w:rsidRPr="00771368" w:rsidRDefault="00D24E61">
      <w:pPr>
        <w:spacing w:line="200" w:lineRule="exact"/>
        <w:rPr>
          <w:sz w:val="20"/>
          <w:szCs w:val="20"/>
        </w:rPr>
      </w:pPr>
    </w:p>
    <w:p w:rsidR="00D24E61" w:rsidRPr="00E452AE" w:rsidRDefault="00D24E61">
      <w:pPr>
        <w:rPr>
          <w:sz w:val="20"/>
          <w:szCs w:val="20"/>
        </w:rPr>
        <w:sectPr w:rsidR="00D24E61" w:rsidRPr="00E452AE">
          <w:type w:val="continuous"/>
          <w:pgSz w:w="11900" w:h="16838"/>
          <w:pgMar w:top="1440" w:right="1420" w:bottom="676" w:left="10380" w:header="0" w:footer="0" w:gutter="0"/>
          <w:cols w:space="720" w:equalWidth="0">
            <w:col w:w="100"/>
          </w:cols>
        </w:sectPr>
      </w:pPr>
    </w:p>
    <w:p w:rsidR="00D24E61" w:rsidRPr="00771368" w:rsidRDefault="00D24E61">
      <w:pPr>
        <w:spacing w:line="351" w:lineRule="auto"/>
        <w:ind w:right="20"/>
        <w:jc w:val="both"/>
        <w:rPr>
          <w:sz w:val="20"/>
          <w:szCs w:val="20"/>
        </w:rPr>
      </w:pPr>
      <w:r w:rsidRPr="00771368">
        <w:rPr>
          <w:sz w:val="24"/>
          <w:szCs w:val="24"/>
        </w:rPr>
        <w:t xml:space="preserve">atuam no mundo. Portanto, se Hermila (e também outras personagens) por vezes repete, cita, reitera as </w:t>
      </w:r>
      <w:r w:rsidRPr="00771368">
        <w:rPr>
          <w:i/>
          <w:iCs/>
          <w:sz w:val="24"/>
          <w:szCs w:val="24"/>
        </w:rPr>
        <w:t>performatividades</w:t>
      </w:r>
      <w:r w:rsidRPr="00771368">
        <w:rPr>
          <w:sz w:val="24"/>
          <w:szCs w:val="24"/>
        </w:rPr>
        <w:t xml:space="preserve"> de gênero durante todo o filme, ela, ao mesmo tempo, também as tensiona e reconstrói, deixando em aberto novas possibilidades, não só para aquele universo diegético, mas para o nosso, de espectadores. Portanto, construir e realizar uma coreografia é estar dentro de um repertório de movimentos e gestos possíveis, mas também sobre eles ser capaz de inventar e reinventar. Cada performance de Hermila parece, portanto, importante. Mas escolhemos analisar aqui, primeiramente, os seus movimentos de dança, literalmente.</w:t>
      </w:r>
    </w:p>
    <w:p w:rsidR="00D24E61" w:rsidRPr="00771368" w:rsidRDefault="00D24E61">
      <w:pPr>
        <w:spacing w:line="72" w:lineRule="exact"/>
        <w:rPr>
          <w:sz w:val="20"/>
          <w:szCs w:val="20"/>
        </w:rPr>
      </w:pPr>
    </w:p>
    <w:p w:rsidR="00D24E61" w:rsidRPr="00771368" w:rsidRDefault="00D24E61">
      <w:pPr>
        <w:spacing w:line="353" w:lineRule="auto"/>
        <w:ind w:firstLine="566"/>
        <w:jc w:val="both"/>
        <w:rPr>
          <w:sz w:val="20"/>
          <w:szCs w:val="20"/>
        </w:rPr>
      </w:pPr>
      <w:r w:rsidRPr="00771368">
        <w:rPr>
          <w:sz w:val="24"/>
          <w:szCs w:val="24"/>
        </w:rPr>
        <w:t xml:space="preserve">Na primeira cena do filme em que vemos Hermila dançando, em uma festa no posto de gasolina, somos colocados diante do seu rosto, que balança no ritmo da música, com um sorriso e os olhos fechados. Nos parece que, em um momento em que a ausência ainda se fazia tão presente, ali Hermila se liberta de tal falta, de amarras e constrangimentos. Ela é pura mobilidade que, por vezes, não se deixa enquadrar. Sua dança revela uma </w:t>
      </w:r>
      <w:r w:rsidRPr="00771368">
        <w:rPr>
          <w:i/>
          <w:iCs/>
          <w:sz w:val="24"/>
          <w:szCs w:val="24"/>
        </w:rPr>
        <w:t>performatividade</w:t>
      </w:r>
      <w:r w:rsidRPr="00771368">
        <w:rPr>
          <w:sz w:val="24"/>
          <w:szCs w:val="24"/>
        </w:rPr>
        <w:t xml:space="preserve"> tipicamente feminina: o rebolado, a sensualidade, os acessórios em seu corpo (brincos, blusa apertada, faixa no cabelo) e, no entanto, ela rompe com o significado daquela sensualidade e feminilidade, não mais disponível para o olhar e desejo masculino (ainda que os olhares de outros personagens caiam sobre ela), mas para o seu próprio desejo e sua própria satisfação.</w:t>
      </w:r>
    </w:p>
    <w:p w:rsidR="00D24E61" w:rsidRPr="00771368" w:rsidRDefault="00D24E61">
      <w:pPr>
        <w:spacing w:line="75" w:lineRule="exact"/>
        <w:rPr>
          <w:sz w:val="20"/>
          <w:szCs w:val="20"/>
        </w:rPr>
      </w:pPr>
    </w:p>
    <w:p w:rsidR="00D24E61" w:rsidRPr="00771368" w:rsidRDefault="00D24E61">
      <w:pPr>
        <w:spacing w:line="354" w:lineRule="auto"/>
        <w:ind w:firstLine="566"/>
        <w:jc w:val="both"/>
        <w:rPr>
          <w:sz w:val="20"/>
          <w:szCs w:val="20"/>
        </w:rPr>
      </w:pPr>
      <w:r w:rsidRPr="00771368">
        <w:rPr>
          <w:sz w:val="24"/>
          <w:szCs w:val="24"/>
        </w:rPr>
        <w:t>Ela está, de fato, vulnerável aos olhares masculinos ao seu redor, e estaria também ao nosso, se a câmera não fosse cuidadosa. Mas nenhum olhar ali a domina, nem no sentido de tornar aquela sensualidade em traço de vulgaridade, nem no sentido de fazê-la mais recatada. O enquadramento, por sua vez, que se importa mais com o rosto de Hermila do que com o resto de seu corpo, também não facilita nosso domínio sobre ela e muito menos nossa identificação com qualquer personagem masculino. Além disso, a câmera não fetichiza, não direciona, nem tenta evitar os limites que aparecem ao nosso acesso ou à apreensão daqueles corpos: pessoas passam pelo enquadramento, Hermila deixa o quadro, por breves instantes, a câmera treme e se perde. A dança parece ser, ao mesmo tempo que suscetível a olhares desejosos ou coercitivos, um pequeno espaço de resistência, em que Hermila fecha os olhos para estes outros olhares, ignora por completo os enquadramentos.</w:t>
      </w:r>
    </w:p>
    <w:p w:rsidR="00D24E61" w:rsidRPr="00771368" w:rsidRDefault="00D24E61">
      <w:pPr>
        <w:spacing w:line="76" w:lineRule="exact"/>
        <w:rPr>
          <w:sz w:val="20"/>
          <w:szCs w:val="20"/>
        </w:rPr>
      </w:pPr>
    </w:p>
    <w:p w:rsidR="00D24E61" w:rsidRPr="00771368" w:rsidRDefault="00D24E61">
      <w:pPr>
        <w:spacing w:line="294" w:lineRule="auto"/>
        <w:ind w:firstLine="566"/>
        <w:jc w:val="both"/>
        <w:rPr>
          <w:sz w:val="20"/>
          <w:szCs w:val="20"/>
        </w:rPr>
      </w:pPr>
      <w:r w:rsidRPr="00771368">
        <w:rPr>
          <w:sz w:val="24"/>
          <w:szCs w:val="24"/>
        </w:rPr>
        <w:t xml:space="preserve">Nem tudo nos é dado a ver, o mecanismo naturalista de </w:t>
      </w:r>
      <w:r w:rsidRPr="00771368">
        <w:rPr>
          <w:i/>
          <w:iCs/>
          <w:sz w:val="24"/>
          <w:szCs w:val="24"/>
        </w:rPr>
        <w:t>voyeurismo</w:t>
      </w:r>
      <w:r w:rsidRPr="00771368">
        <w:rPr>
          <w:sz w:val="24"/>
          <w:szCs w:val="24"/>
        </w:rPr>
        <w:t xml:space="preserve"> e escopofilia ficam comprometidos, e mesmo o de identificação/projeção</w:t>
      </w:r>
      <w:r w:rsidRPr="00771368">
        <w:rPr>
          <w:sz w:val="32"/>
          <w:szCs w:val="32"/>
          <w:vertAlign w:val="superscript"/>
        </w:rPr>
        <w:t>6</w:t>
      </w:r>
      <w:r w:rsidRPr="00771368">
        <w:rPr>
          <w:sz w:val="24"/>
          <w:szCs w:val="24"/>
        </w:rPr>
        <w:t xml:space="preserve"> parece se dar de forma diferente – se é que se dá, realmente. Ao mesmo tempo em que não conseguimos dominar a cena e os corpos</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94944" behindDoc="0" locked="0" layoutInCell="0" allowOverlap="1">
                <wp:simplePos x="0" y="0"/>
                <wp:positionH relativeFrom="column">
                  <wp:posOffset>-635</wp:posOffset>
                </wp:positionH>
                <wp:positionV relativeFrom="paragraph">
                  <wp:posOffset>220980</wp:posOffset>
                </wp:positionV>
                <wp:extent cx="1828800" cy="0"/>
                <wp:effectExtent l="8890" t="11430" r="10160" b="7620"/>
                <wp:wrapNone/>
                <wp:docPr id="13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79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17.4pt" to="143.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NCFAIAACw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" o:allowincell="f" strokeweight=".72pt"/>
            </w:pict>
          </mc:Fallback>
        </mc:AlternateContent>
      </w:r>
    </w:p>
    <w:p w:rsidR="00D24E61" w:rsidRPr="00771368" w:rsidRDefault="00D24E61">
      <w:pPr>
        <w:spacing w:line="260" w:lineRule="exact"/>
        <w:rPr>
          <w:sz w:val="20"/>
          <w:szCs w:val="20"/>
        </w:rPr>
      </w:pPr>
    </w:p>
    <w:p w:rsidR="00D24E61" w:rsidRPr="00771368" w:rsidRDefault="00D24E61">
      <w:pPr>
        <w:spacing w:line="226" w:lineRule="auto"/>
        <w:ind w:right="20"/>
        <w:jc w:val="both"/>
        <w:rPr>
          <w:sz w:val="20"/>
          <w:szCs w:val="20"/>
        </w:rPr>
      </w:pPr>
      <w:r w:rsidRPr="00771368">
        <w:rPr>
          <w:rFonts w:eastAsia="Calibri"/>
          <w:sz w:val="27"/>
          <w:szCs w:val="27"/>
          <w:vertAlign w:val="superscript"/>
        </w:rPr>
        <w:t>6</w:t>
      </w:r>
      <w:r w:rsidRPr="00771368">
        <w:rPr>
          <w:sz w:val="20"/>
          <w:szCs w:val="20"/>
        </w:rPr>
        <w:t xml:space="preserve"> Segundo Laura Mulvey (1991), o </w:t>
      </w:r>
      <w:r w:rsidRPr="00771368">
        <w:rPr>
          <w:i/>
          <w:iCs/>
          <w:sz w:val="20"/>
          <w:szCs w:val="20"/>
        </w:rPr>
        <w:t>voyeurismo</w:t>
      </w:r>
      <w:r w:rsidRPr="00771368">
        <w:rPr>
          <w:sz w:val="20"/>
          <w:szCs w:val="20"/>
        </w:rPr>
        <w:t xml:space="preserve"> e escopofilia baseiam-se no prazer de olhar o outro, no ato de tomar outras pessoas como objetos, sujeitas a um olhar controlador. No mecanismo naturalista do cinema clássico, em que o olhar da câmera é sempre disfarçado e sugere-se um mundo hermeticamente fechado que se desenrola indiferente à plateia, potencializam-se o voyeurismo, bem como a identificação com alguns personagens e a apropriação de outros como objetos de desejo.</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E452AE" w:rsidRDefault="00D24E61">
      <w:pPr>
        <w:rPr>
          <w:sz w:val="20"/>
          <w:szCs w:val="20"/>
        </w:rPr>
        <w:sectPr w:rsidR="00D24E61" w:rsidRPr="00E452AE">
          <w:type w:val="continuous"/>
          <w:pgSz w:w="11900" w:h="16838"/>
          <w:pgMar w:top="1440" w:right="1420" w:bottom="676" w:left="10380" w:header="0" w:footer="0" w:gutter="0"/>
          <w:cols w:space="720" w:equalWidth="0">
            <w:col w:w="100"/>
          </w:cols>
        </w:sectPr>
      </w:pPr>
    </w:p>
    <w:p w:rsidR="00D24E61" w:rsidRPr="00771368" w:rsidRDefault="00D24E61">
      <w:pPr>
        <w:spacing w:line="347" w:lineRule="auto"/>
        <w:ind w:right="20"/>
        <w:jc w:val="both"/>
        <w:rPr>
          <w:sz w:val="20"/>
          <w:szCs w:val="20"/>
        </w:rPr>
      </w:pPr>
      <w:r w:rsidRPr="00771368">
        <w:rPr>
          <w:sz w:val="24"/>
          <w:szCs w:val="24"/>
        </w:rPr>
        <w:t>que nela se movem, que planamos entre a identificação e a não-identificação com Hermila, ou outros personagens; somos instados a fazer escolhas interpretativas. Podemos, de fato, tentar tomar aquele corpo dançante em sua passividade e sua condição de objeto sexual, ou podemos nos aproximar dele e de sua complexidade, sentir sua receptividade e também sermos golpeados por suas resistências, sua aspereza e dureza.</w:t>
      </w:r>
    </w:p>
    <w:p w:rsidR="00D24E61" w:rsidRPr="00771368" w:rsidRDefault="00D24E61">
      <w:pPr>
        <w:spacing w:line="74" w:lineRule="exact"/>
        <w:rPr>
          <w:sz w:val="20"/>
          <w:szCs w:val="20"/>
        </w:rPr>
      </w:pPr>
    </w:p>
    <w:p w:rsidR="00D24E61" w:rsidRPr="00771368" w:rsidRDefault="00D24E61">
      <w:pPr>
        <w:spacing w:line="355" w:lineRule="auto"/>
        <w:ind w:firstLine="566"/>
        <w:jc w:val="both"/>
        <w:rPr>
          <w:sz w:val="20"/>
          <w:szCs w:val="20"/>
        </w:rPr>
      </w:pPr>
      <w:r w:rsidRPr="00771368">
        <w:rPr>
          <w:sz w:val="24"/>
          <w:szCs w:val="24"/>
        </w:rPr>
        <w:t>Se a resistência – ou o escape – de Hermila, já é possível de se perceber na primeira cena de dança, na segunda, pouco antes de assumir-se como Suely, isto fica ainda mais evidente. Aliás, ainda que Hermila tensione alguns lugares femininos tradicionais - em seu discurso distante da mãe ideal, suas roupas provocantes, sua resistência em ser passiva diante do que a vida lhe oferece, bem como sua vida afetiva e sexual -; é somente como Suely que se faz possível uma completa ruptura. Suely é aquela mulher vista como marginalizada, que ocupa um lugar de mais fácil compreensão para a sociedade pois previamente rotulado: prostituta; o que não a faz menos marginalizada. Sua amiga Georgina, uma prostituta, parece mais aceita pela comunidade, não porque completamente aceita, mas porque compreensível, estigmatizada. Toda a sua identidade pode ser resumida a isso, enquanto, no filme, entramos em contato com sua complexidade, e sua profissão é apenas uma pequena parte dela para nós, espectadores.</w:t>
      </w:r>
    </w:p>
    <w:p w:rsidR="00D24E61" w:rsidRPr="00771368" w:rsidRDefault="00D24E61">
      <w:pPr>
        <w:spacing w:line="70" w:lineRule="exact"/>
        <w:rPr>
          <w:sz w:val="20"/>
          <w:szCs w:val="20"/>
        </w:rPr>
      </w:pPr>
    </w:p>
    <w:p w:rsidR="00D24E61" w:rsidRPr="00771368" w:rsidRDefault="00D24E61">
      <w:pPr>
        <w:spacing w:line="355" w:lineRule="auto"/>
        <w:ind w:right="20" w:firstLine="566"/>
        <w:jc w:val="both"/>
        <w:rPr>
          <w:sz w:val="20"/>
          <w:szCs w:val="20"/>
        </w:rPr>
      </w:pPr>
      <w:r w:rsidRPr="00771368">
        <w:rPr>
          <w:sz w:val="24"/>
          <w:szCs w:val="24"/>
        </w:rPr>
        <w:t>No entanto, este ser-entre, este entre Suely e Hermila, moça de família/mãe/esposa e prostituta – ser-entre do qual Hermila/Suely está ciente -, se constitui como um problema muito maior para a sociedade. Hermila/Suely dita as regras, e as enfatiza bastante quando negocia com os compradores da rifa: ela não está à disposição do prazer dos homens, passiva aos seus avanços em troco de pouco dinheiro, a rifa custa quinze reais e ela não aceitará menos que isso. E talvez o comprador aproveite do prêmio, se ele der sorte. Ela parece encontrar uma escapatória em um universo em que não há muitas. Georgina, por exemplo, precisa se submeter àquela posição em que se encontra, aceitando vinte, trinta, no máximo setenta reais – se o programa for completo – para disponibilizar seu corpo. Preço que diz muito do valor do corpo feminino naquele espaço; mas também das precárias condições do lugar, em termos de oportunidades, crescimento e poder aquisitivo.</w:t>
      </w:r>
    </w:p>
    <w:p w:rsidR="00D24E61" w:rsidRPr="00771368" w:rsidRDefault="00D24E61">
      <w:pPr>
        <w:spacing w:line="63" w:lineRule="exact"/>
        <w:rPr>
          <w:sz w:val="20"/>
          <w:szCs w:val="20"/>
        </w:rPr>
      </w:pPr>
    </w:p>
    <w:p w:rsidR="00D24E61" w:rsidRPr="00771368" w:rsidRDefault="00D24E61">
      <w:pPr>
        <w:spacing w:line="347" w:lineRule="auto"/>
        <w:ind w:right="20" w:firstLine="566"/>
        <w:jc w:val="both"/>
        <w:rPr>
          <w:sz w:val="20"/>
          <w:szCs w:val="20"/>
        </w:rPr>
      </w:pPr>
      <w:r w:rsidRPr="00771368">
        <w:rPr>
          <w:sz w:val="24"/>
          <w:szCs w:val="24"/>
        </w:rPr>
        <w:t>Na segunda cena de dança aqui escolhida, Hermila e Georgina dançam ingovernáveis e a câmera, muito próxima, frequentemente as perde de vista, não consegue enquadrá-las. As duas gritam, riem, vibrantes, sem se incomodar com o ambiente em volta, que mal podemos ver – pois talvez não nos interesse, de fato -, além de algumas pessoas aqui e ali, dançando mais moderadamente.</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rsidP="00E452AE">
      <w:pPr>
        <w:spacing w:line="349" w:lineRule="auto"/>
        <w:ind w:firstLine="566"/>
        <w:jc w:val="both"/>
        <w:rPr>
          <w:sz w:val="20"/>
          <w:szCs w:val="20"/>
        </w:rPr>
      </w:pPr>
      <w:r w:rsidRPr="00771368">
        <w:rPr>
          <w:sz w:val="24"/>
          <w:szCs w:val="24"/>
        </w:rPr>
        <w:t>Quando um homem se aproxima de Hermila para dançar com ela, ela o abraça pelo pescoço e os dois dançam, também sem muito governo ou direção. A câmera sempre busca Hermila e, no entanto, frequentemente a perde nos seus movimentos incontroláveis, na multidão, na qual pessoas passam na frente do quadro, e também nos movimentos do homem, que se coloca por vezes entre a câmera e Hermila. No entanto, ele pouco guia a dança: a iniciativa dos movimentos vem tanto dela quanto dele.</w:t>
      </w:r>
    </w:p>
    <w:p w:rsidR="00D24E61" w:rsidRPr="00771368" w:rsidRDefault="00D24E61">
      <w:pPr>
        <w:spacing w:line="77" w:lineRule="exact"/>
        <w:rPr>
          <w:sz w:val="20"/>
          <w:szCs w:val="20"/>
        </w:rPr>
      </w:pPr>
    </w:p>
    <w:p w:rsidR="00D24E61" w:rsidRPr="00771368" w:rsidRDefault="00D24E61">
      <w:pPr>
        <w:spacing w:line="352" w:lineRule="auto"/>
        <w:ind w:right="20" w:firstLine="566"/>
        <w:jc w:val="both"/>
        <w:rPr>
          <w:sz w:val="20"/>
          <w:szCs w:val="20"/>
        </w:rPr>
      </w:pPr>
      <w:r w:rsidRPr="00771368">
        <w:rPr>
          <w:sz w:val="24"/>
          <w:szCs w:val="24"/>
        </w:rPr>
        <w:t>Depois, quando se afastam da multidão, Hermila é visivelmente dona da situação. Ela contém os avanços dele e, mais uma vez, sozinha, ao som da música, dança. Ele tenta beijar seu pescoço mais uma vez e ela aperta seu “saco”, ao que ele grita e ri, ao mesmo tempo. Se, durante a dança, Hermila parecia tão interessada quanto ele e a sedução parecia mútua, agora fica claro que ela mantém um espaço, apesar de continuar sedutora. É então que ela lhe oferece a rifa e se assume como Suely. Esta questão da dança voltará ainda, e de forma muito relevante, em um terceiro momento, já no tópico que discute as relações sexuais da personagem.</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4" w:lineRule="exact"/>
        <w:rPr>
          <w:sz w:val="20"/>
          <w:szCs w:val="20"/>
        </w:rPr>
      </w:pPr>
    </w:p>
    <w:p w:rsidR="00D24E61" w:rsidRPr="00771368" w:rsidRDefault="00D24E61">
      <w:pPr>
        <w:ind w:left="700"/>
        <w:rPr>
          <w:sz w:val="20"/>
          <w:szCs w:val="20"/>
        </w:rPr>
      </w:pPr>
      <w:r w:rsidRPr="00771368">
        <w:rPr>
          <w:b/>
          <w:bCs/>
          <w:sz w:val="24"/>
          <w:szCs w:val="24"/>
        </w:rPr>
        <w:t xml:space="preserve">4.3. </w:t>
      </w:r>
      <w:r w:rsidRPr="00771368">
        <w:rPr>
          <w:sz w:val="24"/>
          <w:szCs w:val="24"/>
        </w:rPr>
        <w:t>Autonomia sobre o próprio corpo?</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4" w:lineRule="exact"/>
        <w:rPr>
          <w:sz w:val="20"/>
          <w:szCs w:val="20"/>
        </w:rPr>
      </w:pPr>
    </w:p>
    <w:p w:rsidR="00D24E61" w:rsidRPr="00771368" w:rsidRDefault="00D24E61">
      <w:pPr>
        <w:spacing w:line="353" w:lineRule="auto"/>
        <w:ind w:firstLine="566"/>
        <w:jc w:val="both"/>
        <w:rPr>
          <w:sz w:val="20"/>
          <w:szCs w:val="20"/>
        </w:rPr>
      </w:pPr>
      <w:r w:rsidRPr="00771368">
        <w:rPr>
          <w:sz w:val="24"/>
          <w:szCs w:val="24"/>
        </w:rPr>
        <w:t xml:space="preserve">Diante de um histórico de apropriação do corpo feminino como objeto passivo em função de um desejo masculino, como filmar o corpo da mulher? Nos pareceu desconcertante que o corpo feminino se encontrasse tão exposto – frente a corpos masculinos que muito pouco se expõem, dos quais não vemos quase nada – em um filme que, no todo, parece desafiar os lugares e </w:t>
      </w:r>
      <w:r w:rsidRPr="00771368">
        <w:rPr>
          <w:i/>
          <w:iCs/>
          <w:sz w:val="24"/>
          <w:szCs w:val="24"/>
        </w:rPr>
        <w:t>performatividades</w:t>
      </w:r>
      <w:r w:rsidRPr="00771368">
        <w:rPr>
          <w:sz w:val="24"/>
          <w:szCs w:val="24"/>
        </w:rPr>
        <w:t xml:space="preserve"> tradicionais femininos e em que se destacam a atividade e dinamicidade da protagonista. Portanto, em um primeiro momento, há, de certa forma, um deslocamento, uma contradição no desenrolar do filme, que parece oferecer-nos um prazer </w:t>
      </w:r>
      <w:r w:rsidRPr="00771368">
        <w:rPr>
          <w:i/>
          <w:iCs/>
          <w:sz w:val="24"/>
          <w:szCs w:val="24"/>
        </w:rPr>
        <w:t>voyeristico</w:t>
      </w:r>
      <w:r w:rsidRPr="00771368">
        <w:rPr>
          <w:sz w:val="24"/>
          <w:szCs w:val="24"/>
        </w:rPr>
        <w:t xml:space="preserve"> tradicional e domínio ativo sobre o corpo passivo de Hermila/Suely: nu, à disposição daquelas figuras masculinas e sua dominação sobre ela.</w:t>
      </w:r>
    </w:p>
    <w:p w:rsidR="00D24E61" w:rsidRPr="00771368" w:rsidRDefault="00D24E61">
      <w:pPr>
        <w:spacing w:line="72" w:lineRule="exact"/>
        <w:rPr>
          <w:sz w:val="20"/>
          <w:szCs w:val="20"/>
        </w:rPr>
      </w:pPr>
    </w:p>
    <w:p w:rsidR="00D24E61" w:rsidRPr="00771368" w:rsidRDefault="00D24E61">
      <w:pPr>
        <w:spacing w:line="350" w:lineRule="auto"/>
        <w:ind w:firstLine="566"/>
        <w:jc w:val="both"/>
        <w:rPr>
          <w:sz w:val="20"/>
          <w:szCs w:val="20"/>
        </w:rPr>
      </w:pPr>
      <w:r w:rsidRPr="00771368">
        <w:rPr>
          <w:sz w:val="24"/>
          <w:szCs w:val="24"/>
        </w:rPr>
        <w:t xml:space="preserve">No entanto, há algumas ressalvas que nos parecem fornecer um escape dessas posições convencionais. Primeiramente, </w:t>
      </w:r>
      <w:r w:rsidRPr="00771368">
        <w:rPr>
          <w:i/>
          <w:iCs/>
          <w:sz w:val="24"/>
          <w:szCs w:val="24"/>
        </w:rPr>
        <w:t>O céu de Suely</w:t>
      </w:r>
      <w:r w:rsidRPr="00771368">
        <w:rPr>
          <w:sz w:val="24"/>
          <w:szCs w:val="24"/>
        </w:rPr>
        <w:t xml:space="preserve"> rompe com a narrativa naturalista baseada no apagamento dos olhares da câmera e do espectador. A presença da câmera e a presença/ausência do que ela não dá conta de enquadrar, dos seus limites – e, portanto, do nosso limite como espectadores – se fazem muito claros para nós, interferindo nos mecanismos de projeção e identificação.</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771368" w:rsidRDefault="00D24E61">
      <w:pPr>
        <w:spacing w:line="200" w:lineRule="exact"/>
        <w:rPr>
          <w:sz w:val="20"/>
          <w:szCs w:val="20"/>
        </w:rPr>
      </w:pPr>
    </w:p>
    <w:p w:rsidR="00D24E61" w:rsidRPr="00E452AE" w:rsidRDefault="00D24E61">
      <w:pPr>
        <w:rPr>
          <w:sz w:val="20"/>
          <w:szCs w:val="20"/>
        </w:rPr>
        <w:sectPr w:rsidR="00D24E61" w:rsidRPr="00E452AE">
          <w:type w:val="continuous"/>
          <w:pgSz w:w="11900" w:h="16838"/>
          <w:pgMar w:top="1440" w:right="1400" w:bottom="676" w:left="10260" w:header="0" w:footer="0" w:gutter="0"/>
          <w:cols w:space="720" w:equalWidth="0">
            <w:col w:w="240"/>
          </w:cols>
        </w:sectPr>
      </w:pPr>
    </w:p>
    <w:p w:rsidR="00D24E61" w:rsidRPr="00771368" w:rsidRDefault="00D24E61" w:rsidP="00E452AE">
      <w:pPr>
        <w:spacing w:line="357" w:lineRule="auto"/>
        <w:ind w:firstLine="566"/>
        <w:jc w:val="both"/>
        <w:rPr>
          <w:sz w:val="20"/>
          <w:szCs w:val="20"/>
        </w:rPr>
      </w:pPr>
      <w:r w:rsidRPr="00771368">
        <w:rPr>
          <w:sz w:val="24"/>
          <w:szCs w:val="24"/>
        </w:rPr>
        <w:t xml:space="preserve">Se o cinema – as escolhas de </w:t>
      </w:r>
      <w:r w:rsidRPr="00771368">
        <w:rPr>
          <w:i/>
          <w:iCs/>
          <w:sz w:val="24"/>
          <w:szCs w:val="24"/>
        </w:rPr>
        <w:t>mise-en-scène</w:t>
      </w:r>
      <w:r w:rsidRPr="00771368">
        <w:rPr>
          <w:sz w:val="24"/>
          <w:szCs w:val="24"/>
        </w:rPr>
        <w:t xml:space="preserve">, de cortes e montagem, de narrativa, etc. - constrói a forma como devemos olhar para a mulher, para o corpo feminino, fica claro que, no filme, a câmera se interessa muito mais pelo olhar de Hermila/Suely do que pelos olhares masculinos que sobre ela caem. É importante salientar também como as </w:t>
      </w:r>
      <w:r w:rsidRPr="00771368">
        <w:rPr>
          <w:i/>
          <w:iCs/>
          <w:sz w:val="24"/>
          <w:szCs w:val="24"/>
        </w:rPr>
        <w:t>mise-en-scènes</w:t>
      </w:r>
      <w:r w:rsidRPr="00771368">
        <w:rPr>
          <w:sz w:val="24"/>
          <w:szCs w:val="24"/>
        </w:rPr>
        <w:t xml:space="preserve"> de cada uma das cenas (com João e o ganhador da rifa) se distinguem de forma importante a partir das posições assumidas por Hermila/Suely em cada uma delas. Permanece ligeiramente incômodo o olhar de João e seu toque sobre o corpo, em parte, passivo de Hermila. E, no entanto, se considerarmos a narrativa, Hermila não é de forma alguma dominada por João e sua presença ali é uma opção, o que revela, nessa circunstância específica, autonomia sobre suas escolhas, sobre seu corpo e desejos. Hermila/Suely rompe com o ideal romântico e o substitui por um relacionamento que se baseia em um amor possível, construído a partir da igualdade social e sexual dos indivíduos envolvidos, bem como na satisfação e no investimento das partes. Portanto, parece se fazer menos necessário que a câmera se atente às posições de cada personagem na cena em que Hermila e João se relacionam sexualmente, não somente pela narrativa que os envolve, como pela relação dos dois, seus gestos, suas </w:t>
      </w:r>
      <w:r w:rsidRPr="00771368">
        <w:rPr>
          <w:i/>
          <w:iCs/>
          <w:sz w:val="24"/>
          <w:szCs w:val="24"/>
        </w:rPr>
        <w:t>performatividades</w:t>
      </w:r>
      <w:r w:rsidRPr="00771368">
        <w:rPr>
          <w:sz w:val="24"/>
          <w:szCs w:val="24"/>
        </w:rPr>
        <w:t>. Os dois avançam aos poucos, devagar, em relação ao outro. Hermila/Suely</w:t>
      </w:r>
      <w:r w:rsidRPr="00771368">
        <w:rPr>
          <w:i/>
          <w:iCs/>
          <w:sz w:val="24"/>
          <w:szCs w:val="24"/>
        </w:rPr>
        <w:t xml:space="preserve"> </w:t>
      </w:r>
      <w:r w:rsidRPr="00771368">
        <w:rPr>
          <w:sz w:val="24"/>
          <w:szCs w:val="24"/>
        </w:rPr>
        <w:t>toma a iniciativa de retirar o soutien, João, encostado na parede, aproxima sua mão como que timidamente. A forma adequada de encontro, toque, olhar, se constrói ali, conjuntamente.</w:t>
      </w:r>
    </w:p>
    <w:p w:rsidR="00D24E61" w:rsidRPr="00771368" w:rsidRDefault="00D24E61">
      <w:pPr>
        <w:spacing w:line="64" w:lineRule="exact"/>
        <w:rPr>
          <w:sz w:val="20"/>
          <w:szCs w:val="20"/>
        </w:rPr>
      </w:pPr>
    </w:p>
    <w:p w:rsidR="00D24E61" w:rsidRPr="00771368" w:rsidRDefault="00D24E61">
      <w:pPr>
        <w:spacing w:line="356" w:lineRule="auto"/>
        <w:ind w:right="20" w:firstLine="566"/>
        <w:jc w:val="both"/>
        <w:rPr>
          <w:sz w:val="20"/>
          <w:szCs w:val="20"/>
        </w:rPr>
      </w:pPr>
      <w:r w:rsidRPr="00771368">
        <w:rPr>
          <w:sz w:val="24"/>
          <w:szCs w:val="24"/>
        </w:rPr>
        <w:t xml:space="preserve">Já a relação de Suely com o ganhador da rifa aponta em outra direção. É para aquele momento, em que Hermila/Suely precisa se submeter e perder momentaneamente o controle sobre seu corpo – para depois ganhá-lo com mais força -, que se faz mais importante o olhar da câmera, o olhar de Suely e o nosso olhar. Hermila/Suely busca se expor menos e agir mais, querendo dominar de alguma forma um momento de submissão à dominação masculina. Ao contrário da cena com João, em que ela não se importa em deixar a luz acesa e de esperar que ele a toque e beije lentamente, deixando que ele venha até ela e fique por cima dela; com o ganhador da rifa Hermila/Suely toma as rédeas da maneira que pode, pedindo para que ele apague a luz, tentando assumir o ritmo da situação, tirando sua roupa e a dele rapidamente, se colocando sobre ele. No entanto, o homem quer deixar claro a sua dominação e não permite que ela dite completamente as regras. É com desconforto, portanto, que acompanhamos o rosto e corpo de Hermila/Suely constrangidos, governados, infelizes. É difícil negar qualquer possibilidade de </w:t>
      </w:r>
      <w:r w:rsidRPr="00771368">
        <w:rPr>
          <w:i/>
          <w:iCs/>
          <w:sz w:val="24"/>
          <w:szCs w:val="24"/>
        </w:rPr>
        <w:t>voyeurismo</w:t>
      </w:r>
      <w:r w:rsidRPr="00771368">
        <w:rPr>
          <w:sz w:val="24"/>
          <w:szCs w:val="24"/>
        </w:rPr>
        <w:t xml:space="preserve"> por parte do espectador – ainda que a câmera com cuidado negue o olhar do homem, foque a expressão de Hermila/Suely, ressalte sua posição ativa. No entanto, nos parece interessante a possibilidade que se faz muito acessível de justamente sentir-se passiva(o), dominada(o) e constrangida(o), juntamente com a protagonista.</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771368" w:rsidRDefault="00D24E61">
      <w:pPr>
        <w:spacing w:line="145" w:lineRule="exact"/>
        <w:rPr>
          <w:sz w:val="20"/>
          <w:szCs w:val="20"/>
        </w:rPr>
      </w:pPr>
    </w:p>
    <w:p w:rsidR="00D24E61" w:rsidRPr="00E452AE" w:rsidRDefault="00D24E61">
      <w:pPr>
        <w:rPr>
          <w:sz w:val="20"/>
          <w:szCs w:val="20"/>
        </w:rPr>
        <w:sectPr w:rsidR="00D24E61" w:rsidRPr="00E452AE">
          <w:type w:val="continuous"/>
          <w:pgSz w:w="11900" w:h="16838"/>
          <w:pgMar w:top="1440" w:right="1400" w:bottom="676" w:left="10260" w:header="0" w:footer="0" w:gutter="0"/>
          <w:cols w:space="720" w:equalWidth="0">
            <w:col w:w="240"/>
          </w:cols>
        </w:sectPr>
      </w:pPr>
    </w:p>
    <w:p w:rsidR="00D24E61" w:rsidRPr="00771368" w:rsidRDefault="00D24E61" w:rsidP="00E452AE">
      <w:pPr>
        <w:spacing w:line="352" w:lineRule="auto"/>
        <w:ind w:firstLine="360"/>
        <w:jc w:val="both"/>
        <w:rPr>
          <w:sz w:val="20"/>
          <w:szCs w:val="20"/>
        </w:rPr>
      </w:pPr>
      <w:r w:rsidRPr="00771368">
        <w:rPr>
          <w:sz w:val="24"/>
          <w:szCs w:val="24"/>
        </w:rPr>
        <w:t>Se, em toda narrativa, acompanhamos a ingovernabilidade dos gestos, danças e ações de Hermila/Suely, senti-la ali, presa, forma uma imagem que entra em choque com todo o resto do filme, principalmente no que diz respeito ao seu corpo, sua performance e sua posição em quadro. E se é justamente através da dança que seu corpo nos apresenta maior liberdade e movimentação, é com pesar que ele se enquadra naquela dança constrangida que o homem exige que ela lhe ofereça. Nos parece, portanto, que acompanhamos com Hermila/Suely aquele momento, e mesmo o gozo do homem fica no extracampo, pressionando a protagonista, se impondo sobre ela, mas não dominando-a totalmente.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9" w:lineRule="exact"/>
        <w:rPr>
          <w:sz w:val="20"/>
          <w:szCs w:val="20"/>
        </w:rPr>
      </w:pPr>
    </w:p>
    <w:p w:rsidR="00D24E61" w:rsidRPr="00771368" w:rsidRDefault="00D24E61">
      <w:pPr>
        <w:tabs>
          <w:tab w:val="left" w:pos="700"/>
        </w:tabs>
        <w:spacing w:line="239" w:lineRule="auto"/>
        <w:ind w:left="360"/>
        <w:rPr>
          <w:sz w:val="20"/>
          <w:szCs w:val="20"/>
        </w:rPr>
      </w:pPr>
      <w:r w:rsidRPr="00771368">
        <w:rPr>
          <w:b/>
          <w:bCs/>
          <w:sz w:val="24"/>
          <w:szCs w:val="24"/>
        </w:rPr>
        <w:t>5.</w:t>
      </w:r>
      <w:r w:rsidRPr="00771368">
        <w:rPr>
          <w:sz w:val="20"/>
          <w:szCs w:val="20"/>
        </w:rPr>
        <w:tab/>
      </w:r>
      <w:r w:rsidRPr="00771368">
        <w:rPr>
          <w:b/>
          <w:bCs/>
          <w:sz w:val="23"/>
          <w:szCs w:val="23"/>
        </w:rPr>
        <w:t>Considerações finais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99" w:lineRule="exact"/>
        <w:rPr>
          <w:sz w:val="20"/>
          <w:szCs w:val="20"/>
        </w:rPr>
      </w:pPr>
    </w:p>
    <w:p w:rsidR="00D24E61" w:rsidRPr="00771368" w:rsidRDefault="00D24E61">
      <w:pPr>
        <w:spacing w:line="352" w:lineRule="auto"/>
        <w:ind w:right="20" w:firstLine="566"/>
        <w:jc w:val="both"/>
        <w:rPr>
          <w:sz w:val="20"/>
          <w:szCs w:val="20"/>
        </w:rPr>
      </w:pPr>
      <w:r w:rsidRPr="00771368">
        <w:rPr>
          <w:i/>
          <w:iCs/>
          <w:sz w:val="24"/>
          <w:szCs w:val="24"/>
        </w:rPr>
        <w:t xml:space="preserve">O céu de Suely </w:t>
      </w:r>
      <w:r w:rsidRPr="00771368">
        <w:rPr>
          <w:sz w:val="24"/>
          <w:szCs w:val="24"/>
        </w:rPr>
        <w:t>revela, em sua narrativa e linguagem, ambiguidade, abertura,</w:t>
      </w:r>
      <w:r w:rsidRPr="00771368">
        <w:rPr>
          <w:i/>
          <w:iCs/>
          <w:sz w:val="24"/>
          <w:szCs w:val="24"/>
        </w:rPr>
        <w:t xml:space="preserve"> </w:t>
      </w:r>
      <w:r w:rsidRPr="00771368">
        <w:rPr>
          <w:sz w:val="24"/>
          <w:szCs w:val="24"/>
        </w:rPr>
        <w:t xml:space="preserve">incompletude, possibilidades. Revela uma estrada da qual não vemos o fim, um céu de possibilidades - talvez </w:t>
      </w:r>
      <w:r w:rsidRPr="00771368">
        <w:rPr>
          <w:i/>
          <w:iCs/>
          <w:sz w:val="24"/>
          <w:szCs w:val="24"/>
        </w:rPr>
        <w:t>céus</w:t>
      </w:r>
      <w:r w:rsidRPr="00771368">
        <w:rPr>
          <w:sz w:val="24"/>
          <w:szCs w:val="24"/>
        </w:rPr>
        <w:t xml:space="preserve"> de possibilidades. Assim como a identidade de Hermila, as identidades de gênero – ou melhor dizendo: posições de gênero – se dão também como devir e acompanham a coreografia traçada e performada pelos corpos e gestos. Em enquadramentos fixos, os personagens se movem para além deles e os deixam, expressando sua condição de limites porosos e a existência de um além: de espaços que estão em </w:t>
      </w:r>
      <w:r w:rsidRPr="00771368">
        <w:rPr>
          <w:i/>
          <w:iCs/>
          <w:sz w:val="24"/>
          <w:szCs w:val="24"/>
        </w:rPr>
        <w:t>off</w:t>
      </w:r>
      <w:r w:rsidRPr="00771368">
        <w:rPr>
          <w:sz w:val="24"/>
          <w:szCs w:val="24"/>
        </w:rPr>
        <w:t>, em extracampo, espaços possíveis que existem apesar de sua não-visibilidade.</w:t>
      </w:r>
    </w:p>
    <w:p w:rsidR="00D24E61" w:rsidRPr="00771368" w:rsidRDefault="00D24E61">
      <w:pPr>
        <w:spacing w:line="74" w:lineRule="exact"/>
        <w:rPr>
          <w:sz w:val="20"/>
          <w:szCs w:val="20"/>
        </w:rPr>
      </w:pPr>
    </w:p>
    <w:p w:rsidR="00D24E61" w:rsidRPr="00771368" w:rsidRDefault="00D24E61">
      <w:pPr>
        <w:spacing w:line="349" w:lineRule="auto"/>
        <w:ind w:right="20" w:firstLine="566"/>
        <w:jc w:val="both"/>
        <w:rPr>
          <w:sz w:val="20"/>
          <w:szCs w:val="20"/>
        </w:rPr>
      </w:pPr>
      <w:r w:rsidRPr="00771368">
        <w:rPr>
          <w:sz w:val="24"/>
          <w:szCs w:val="24"/>
        </w:rPr>
        <w:t xml:space="preserve">Se as resistências se fazem dentro da rede de poder é porque o próprio poder – bem como as </w:t>
      </w:r>
      <w:r w:rsidRPr="00771368">
        <w:rPr>
          <w:i/>
          <w:iCs/>
          <w:sz w:val="24"/>
          <w:szCs w:val="24"/>
        </w:rPr>
        <w:t>performatividades</w:t>
      </w:r>
      <w:r w:rsidRPr="00771368">
        <w:rPr>
          <w:sz w:val="24"/>
          <w:szCs w:val="24"/>
        </w:rPr>
        <w:t xml:space="preserve"> – se reconstrói permanentemente e, no seu (re)construir muitas vezes se desconstrói, se subverte, fornece brechas para novas construções. O próprio construir e reconstruir do poder, das </w:t>
      </w:r>
      <w:r w:rsidRPr="00771368">
        <w:rPr>
          <w:i/>
          <w:iCs/>
          <w:sz w:val="24"/>
          <w:szCs w:val="24"/>
        </w:rPr>
        <w:t>performatividades</w:t>
      </w:r>
      <w:r w:rsidRPr="00771368">
        <w:rPr>
          <w:sz w:val="24"/>
          <w:szCs w:val="24"/>
        </w:rPr>
        <w:t xml:space="preserve"> de gênero, das representações possíveis, da linguagem, se fazem nas relações, inclusive naquelas pequenas, muitas vezes privadas, do cotidiano.</w:t>
      </w:r>
    </w:p>
    <w:p w:rsidR="00D24E61" w:rsidRPr="00771368" w:rsidRDefault="00D24E61">
      <w:pPr>
        <w:spacing w:line="77" w:lineRule="exact"/>
        <w:rPr>
          <w:sz w:val="20"/>
          <w:szCs w:val="20"/>
        </w:rPr>
      </w:pPr>
    </w:p>
    <w:p w:rsidR="00D24E61" w:rsidRPr="00E452AE" w:rsidRDefault="00D24E61" w:rsidP="00E452AE">
      <w:pPr>
        <w:spacing w:line="351" w:lineRule="auto"/>
        <w:ind w:right="20" w:firstLine="566"/>
        <w:jc w:val="both"/>
        <w:rPr>
          <w:sz w:val="20"/>
          <w:szCs w:val="20"/>
        </w:rPr>
        <w:sectPr w:rsidR="00D24E61" w:rsidRPr="00E452AE">
          <w:pgSz w:w="11900" w:h="16838"/>
          <w:pgMar w:top="1440" w:right="1400" w:bottom="676" w:left="1420" w:header="0" w:footer="0" w:gutter="0"/>
          <w:cols w:space="720" w:equalWidth="0">
            <w:col w:w="9080"/>
          </w:cols>
        </w:sectPr>
      </w:pPr>
      <w:r w:rsidRPr="00771368">
        <w:rPr>
          <w:sz w:val="24"/>
          <w:szCs w:val="24"/>
        </w:rPr>
        <w:t xml:space="preserve">É importante ressaltar também que </w:t>
      </w:r>
      <w:r w:rsidRPr="00771368">
        <w:rPr>
          <w:i/>
          <w:iCs/>
          <w:sz w:val="24"/>
          <w:szCs w:val="24"/>
        </w:rPr>
        <w:t>O Céu de Suely</w:t>
      </w:r>
      <w:r w:rsidRPr="00771368">
        <w:rPr>
          <w:sz w:val="24"/>
          <w:szCs w:val="24"/>
        </w:rPr>
        <w:t xml:space="preserve"> é exemplo da existência de um cinema </w:t>
      </w:r>
      <w:r w:rsidRPr="00771368">
        <w:rPr>
          <w:i/>
          <w:iCs/>
          <w:sz w:val="24"/>
          <w:szCs w:val="24"/>
        </w:rPr>
        <w:t>outro</w:t>
      </w:r>
      <w:r w:rsidRPr="00771368">
        <w:rPr>
          <w:sz w:val="24"/>
          <w:szCs w:val="24"/>
        </w:rPr>
        <w:t>, no Brasil, que desafia representações e formas tradicionais. Cinema que não rende muito nas bilheterias, mas que tem sido reconhecido pela crítica nacional e internacional. Podemos supor, portanto, que a maioria de seus espectadores o busca justamente por procurar outros olhares e possibilidades que não o do cinema dominante, que ocupa a maior parte das salas de cinema e rende a maior bilheteria. Isto diz de novos significados possíveis advindos do filme, mas também daqueles olhares ao filme, que buscam</w:t>
      </w:r>
    </w:p>
    <w:p w:rsidR="00D24E61" w:rsidRPr="00E452AE" w:rsidRDefault="00D24E61">
      <w:pPr>
        <w:rPr>
          <w:sz w:val="20"/>
          <w:szCs w:val="20"/>
        </w:rPr>
        <w:sectPr w:rsidR="00D24E61" w:rsidRPr="00E452AE">
          <w:type w:val="continuous"/>
          <w:pgSz w:w="11900" w:h="16838"/>
          <w:pgMar w:top="1440" w:right="1400" w:bottom="676" w:left="10260" w:header="0" w:footer="0" w:gutter="0"/>
          <w:cols w:space="720" w:equalWidth="0">
            <w:col w:w="240"/>
          </w:cols>
        </w:sectPr>
      </w:pPr>
    </w:p>
    <w:p w:rsidR="00D24E61" w:rsidRPr="00771368" w:rsidRDefault="00D24E61">
      <w:pPr>
        <w:spacing w:line="342" w:lineRule="auto"/>
        <w:jc w:val="both"/>
        <w:rPr>
          <w:sz w:val="20"/>
          <w:szCs w:val="20"/>
        </w:rPr>
      </w:pPr>
      <w:r w:rsidRPr="00771368">
        <w:rPr>
          <w:sz w:val="24"/>
          <w:szCs w:val="24"/>
        </w:rPr>
        <w:t xml:space="preserve">outras coisas. Acreditamos que, tanto em relação a um outro cinema, quanto ao cinema dominante – quanto àqueles que ficam em entre-lugares – faz-se importante ressaltar a relevância do </w:t>
      </w:r>
      <w:r w:rsidRPr="00771368">
        <w:rPr>
          <w:i/>
          <w:iCs/>
          <w:sz w:val="24"/>
          <w:szCs w:val="24"/>
        </w:rPr>
        <w:t>space-off</w:t>
      </w:r>
      <w:r w:rsidRPr="00771368">
        <w:rPr>
          <w:sz w:val="24"/>
          <w:szCs w:val="24"/>
        </w:rPr>
        <w:t xml:space="preserve"> de Lauretis (1994), pois ele é um espaço de possibilidades que coexiste, a todo momento, com os espaços oficiais, dominantes.</w:t>
      </w:r>
    </w:p>
    <w:p w:rsidR="00D24E61" w:rsidRPr="00771368" w:rsidRDefault="00D24E61">
      <w:pPr>
        <w:spacing w:line="83" w:lineRule="exact"/>
        <w:rPr>
          <w:sz w:val="20"/>
          <w:szCs w:val="20"/>
        </w:rPr>
      </w:pPr>
    </w:p>
    <w:p w:rsidR="00D24E61" w:rsidRPr="00771368" w:rsidRDefault="00D24E61">
      <w:pPr>
        <w:spacing w:line="353" w:lineRule="auto"/>
        <w:ind w:firstLine="566"/>
        <w:jc w:val="both"/>
        <w:rPr>
          <w:sz w:val="20"/>
          <w:szCs w:val="20"/>
        </w:rPr>
      </w:pPr>
      <w:r w:rsidRPr="00771368">
        <w:rPr>
          <w:sz w:val="24"/>
          <w:szCs w:val="24"/>
        </w:rPr>
        <w:t xml:space="preserve">O que vemos em </w:t>
      </w:r>
      <w:r w:rsidRPr="00771368">
        <w:rPr>
          <w:i/>
          <w:iCs/>
          <w:sz w:val="24"/>
          <w:szCs w:val="24"/>
        </w:rPr>
        <w:t>O céu de Suely</w:t>
      </w:r>
      <w:r w:rsidRPr="00771368">
        <w:rPr>
          <w:sz w:val="24"/>
          <w:szCs w:val="24"/>
        </w:rPr>
        <w:t xml:space="preserve"> são resistências locais, no âmbito da subjetividade e da autorrepresentação. São práticas micro-políticas, espaços de lutas cotidianas que imprimem em seus personagens, enredo e linguagem cinematográfica a marca do dissenso. </w:t>
      </w:r>
      <w:r w:rsidRPr="00771368">
        <w:rPr>
          <w:i/>
          <w:iCs/>
          <w:sz w:val="24"/>
          <w:szCs w:val="24"/>
        </w:rPr>
        <w:t>O céu de</w:t>
      </w:r>
      <w:r w:rsidRPr="00771368">
        <w:rPr>
          <w:sz w:val="24"/>
          <w:szCs w:val="24"/>
        </w:rPr>
        <w:t xml:space="preserve"> </w:t>
      </w:r>
      <w:r w:rsidRPr="00771368">
        <w:rPr>
          <w:i/>
          <w:iCs/>
          <w:sz w:val="24"/>
          <w:szCs w:val="24"/>
        </w:rPr>
        <w:t>Suely</w:t>
      </w:r>
      <w:r w:rsidRPr="00771368">
        <w:rPr>
          <w:sz w:val="24"/>
          <w:szCs w:val="24"/>
        </w:rPr>
        <w:t>, primeiramente, inverte o que geralmente é colocado dentro de campo - a experiência</w:t>
      </w:r>
      <w:r w:rsidRPr="00771368">
        <w:rPr>
          <w:i/>
          <w:iCs/>
          <w:sz w:val="24"/>
          <w:szCs w:val="24"/>
        </w:rPr>
        <w:t xml:space="preserve"> </w:t>
      </w:r>
      <w:r w:rsidRPr="00771368">
        <w:rPr>
          <w:sz w:val="24"/>
          <w:szCs w:val="24"/>
        </w:rPr>
        <w:t>masculina -, para dar lugar à experiência feminina. Contudo, ao mesmo tempo em que ele quer dar conta daquela experiência feminina, dar conta dela significa principalmente deixá-la escapar, não oferecer total clareza ou delimitações, não enquadrá-la totalmente por meio de uma linguagem que está acostumada a recortar e a fechar em um espaço limitado certas experiências e formas de vida.</w:t>
      </w:r>
    </w:p>
    <w:p w:rsidR="00D24E61" w:rsidRPr="00771368" w:rsidRDefault="00D24E61">
      <w:pPr>
        <w:spacing w:line="72" w:lineRule="exact"/>
        <w:rPr>
          <w:sz w:val="20"/>
          <w:szCs w:val="20"/>
        </w:rPr>
      </w:pPr>
    </w:p>
    <w:p w:rsidR="00D24E61" w:rsidRPr="00771368" w:rsidRDefault="00D24E61">
      <w:pPr>
        <w:spacing w:line="353" w:lineRule="auto"/>
        <w:ind w:right="20" w:firstLine="566"/>
        <w:jc w:val="both"/>
        <w:rPr>
          <w:sz w:val="20"/>
          <w:szCs w:val="20"/>
        </w:rPr>
      </w:pPr>
      <w:r w:rsidRPr="00771368">
        <w:rPr>
          <w:sz w:val="24"/>
          <w:szCs w:val="24"/>
        </w:rPr>
        <w:t xml:space="preserve">A personagem Hermila/Suely não se define somente por um “ser entre” identidades, mas refere-se à demonstração do caráter construído e fluido da identidade de um indivíduo. É, mais do que isso, um desafio a uma identidade fixa e uma identidade de gênero pré-determinada. A coreografia de Hermila/Suely desenha um constante ir e vir, passagens entre diferentes ordens e registros de representação. O próprio construir e reconstruir do poder, das </w:t>
      </w:r>
      <w:r w:rsidRPr="00771368">
        <w:rPr>
          <w:i/>
          <w:iCs/>
          <w:sz w:val="24"/>
          <w:szCs w:val="24"/>
        </w:rPr>
        <w:t xml:space="preserve">performatividades </w:t>
      </w:r>
      <w:r w:rsidRPr="00771368">
        <w:rPr>
          <w:sz w:val="24"/>
          <w:szCs w:val="24"/>
        </w:rPr>
        <w:t>de gênero, das representações possíveis, da linguagem, se fazem nas</w:t>
      </w:r>
      <w:r w:rsidRPr="00771368">
        <w:rPr>
          <w:i/>
          <w:iCs/>
          <w:sz w:val="24"/>
          <w:szCs w:val="24"/>
        </w:rPr>
        <w:t xml:space="preserve"> </w:t>
      </w:r>
      <w:r w:rsidRPr="00771368">
        <w:rPr>
          <w:sz w:val="24"/>
          <w:szCs w:val="24"/>
        </w:rPr>
        <w:t>relações, inclusive nas do cotidiano. É nessas brechas que existem as outras possibilidades, que novas representações e sujeitos coexistem em atrito com o que é dado como legítimo, visível, compreensível, possível de ser dito e reconhecido como digno de valor.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7" w:lineRule="exact"/>
        <w:rPr>
          <w:sz w:val="20"/>
          <w:szCs w:val="20"/>
        </w:rPr>
      </w:pPr>
    </w:p>
    <w:p w:rsidR="00D24E61" w:rsidRPr="00771368" w:rsidRDefault="00D24E61">
      <w:pPr>
        <w:tabs>
          <w:tab w:val="left" w:pos="700"/>
        </w:tabs>
        <w:ind w:left="360"/>
        <w:rPr>
          <w:sz w:val="20"/>
          <w:szCs w:val="20"/>
        </w:rPr>
      </w:pPr>
      <w:r w:rsidRPr="00771368">
        <w:rPr>
          <w:b/>
          <w:bCs/>
          <w:sz w:val="24"/>
          <w:szCs w:val="24"/>
        </w:rPr>
        <w:t>6.</w:t>
      </w:r>
      <w:r w:rsidRPr="00771368">
        <w:rPr>
          <w:sz w:val="20"/>
          <w:szCs w:val="20"/>
        </w:rPr>
        <w:tab/>
      </w:r>
      <w:r w:rsidRPr="00771368">
        <w:rPr>
          <w:b/>
          <w:bCs/>
          <w:sz w:val="24"/>
          <w:szCs w:val="24"/>
        </w:rPr>
        <w:t>Referências</w:t>
      </w:r>
    </w:p>
    <w:p w:rsidR="00D24E61" w:rsidRPr="00771368" w:rsidRDefault="00D24E61">
      <w:pPr>
        <w:spacing w:line="200" w:lineRule="exact"/>
        <w:rPr>
          <w:sz w:val="20"/>
          <w:szCs w:val="20"/>
        </w:rPr>
      </w:pPr>
    </w:p>
    <w:p w:rsidR="00D24E61" w:rsidRPr="00771368" w:rsidRDefault="00D24E61">
      <w:pPr>
        <w:spacing w:line="313" w:lineRule="exact"/>
        <w:rPr>
          <w:sz w:val="20"/>
          <w:szCs w:val="20"/>
        </w:rPr>
      </w:pPr>
    </w:p>
    <w:p w:rsidR="00D24E61" w:rsidRPr="00771368" w:rsidRDefault="00D24E61">
      <w:pPr>
        <w:spacing w:line="239" w:lineRule="auto"/>
        <w:rPr>
          <w:sz w:val="20"/>
          <w:szCs w:val="20"/>
        </w:rPr>
      </w:pPr>
      <w:r w:rsidRPr="00771368">
        <w:t>BUTLER, Judith. “Corpos que Pesam sobre os Limites Discursivos do Sexo”. In: LOURO, Guacira</w:t>
      </w:r>
    </w:p>
    <w:p w:rsidR="00D24E61" w:rsidRPr="00771368" w:rsidRDefault="00D24E61">
      <w:pPr>
        <w:spacing w:line="54" w:lineRule="exact"/>
        <w:rPr>
          <w:sz w:val="20"/>
          <w:szCs w:val="20"/>
        </w:rPr>
      </w:pPr>
    </w:p>
    <w:p w:rsidR="00D24E61" w:rsidRPr="00771368" w:rsidRDefault="00D24E61">
      <w:pPr>
        <w:spacing w:line="215" w:lineRule="auto"/>
        <w:jc w:val="both"/>
        <w:rPr>
          <w:sz w:val="20"/>
          <w:szCs w:val="20"/>
        </w:rPr>
      </w:pPr>
      <w:r w:rsidRPr="00771368">
        <w:t xml:space="preserve">(org.). </w:t>
      </w:r>
      <w:r w:rsidRPr="00771368">
        <w:rPr>
          <w:i/>
          <w:iCs/>
        </w:rPr>
        <w:t>O Corpo Educado: Pedagogias da Sexualidade</w:t>
      </w:r>
      <w:r w:rsidRPr="00771368">
        <w:t>. 3. ed. Belo Horizonte: Autêntica Editora, 2010, p.151-172.</w:t>
      </w:r>
    </w:p>
    <w:p w:rsidR="00D24E61" w:rsidRPr="00771368" w:rsidRDefault="00D24E61">
      <w:pPr>
        <w:spacing w:line="200" w:lineRule="exact"/>
        <w:rPr>
          <w:sz w:val="20"/>
          <w:szCs w:val="20"/>
        </w:rPr>
      </w:pPr>
    </w:p>
    <w:p w:rsidR="00D24E61" w:rsidRPr="00771368" w:rsidRDefault="00D24E61">
      <w:pPr>
        <w:spacing w:line="360" w:lineRule="exact"/>
        <w:rPr>
          <w:sz w:val="20"/>
          <w:szCs w:val="20"/>
        </w:rPr>
      </w:pPr>
    </w:p>
    <w:p w:rsidR="00D24E61" w:rsidRPr="00771368" w:rsidRDefault="00D24E61">
      <w:pPr>
        <w:spacing w:line="223" w:lineRule="auto"/>
        <w:jc w:val="both"/>
        <w:rPr>
          <w:sz w:val="20"/>
          <w:szCs w:val="20"/>
        </w:rPr>
      </w:pPr>
      <w:r w:rsidRPr="00771368">
        <w:t xml:space="preserve">CAIXETA, GUIMARÃES. Nota dos organizadores e tradutores. In: COMOLLI, Jean-Louis. </w:t>
      </w:r>
      <w:r w:rsidRPr="00771368">
        <w:rPr>
          <w:i/>
          <w:iCs/>
        </w:rPr>
        <w:t>Ver e</w:t>
      </w:r>
      <w:r w:rsidRPr="00771368">
        <w:t xml:space="preserve"> </w:t>
      </w:r>
      <w:r w:rsidRPr="00771368">
        <w:rPr>
          <w:i/>
          <w:iCs/>
        </w:rPr>
        <w:t>Poder: a inocência perdida: cinema, televisão, ficção, documentário</w:t>
      </w:r>
      <w:r w:rsidRPr="00771368">
        <w:t>. Org. Belo Horizonte: Editora</w:t>
      </w:r>
      <w:r w:rsidRPr="00771368">
        <w:rPr>
          <w:i/>
          <w:iCs/>
        </w:rPr>
        <w:t xml:space="preserve"> </w:t>
      </w:r>
      <w:r w:rsidRPr="00771368">
        <w:t>UFMG, 2008.</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E452AE" w:rsidRDefault="00D24E61">
      <w:pPr>
        <w:rPr>
          <w:sz w:val="20"/>
          <w:szCs w:val="20"/>
        </w:rPr>
        <w:sectPr w:rsidR="00D24E61" w:rsidRPr="00E452AE">
          <w:type w:val="continuous"/>
          <w:pgSz w:w="11900" w:h="16838"/>
          <w:pgMar w:top="1440" w:right="1400" w:bottom="676" w:left="10260" w:header="0" w:footer="0" w:gutter="0"/>
          <w:cols w:space="720" w:equalWidth="0">
            <w:col w:w="240"/>
          </w:cols>
        </w:sectPr>
      </w:pPr>
    </w:p>
    <w:p w:rsidR="00D24E61" w:rsidRPr="00771368" w:rsidRDefault="00D24E61">
      <w:pPr>
        <w:spacing w:line="223" w:lineRule="auto"/>
        <w:jc w:val="both"/>
        <w:rPr>
          <w:sz w:val="20"/>
          <w:szCs w:val="20"/>
        </w:rPr>
      </w:pPr>
      <w:r w:rsidRPr="00771368">
        <w:t xml:space="preserve">CÉSAR, Maria Rita. “Notas para um cinema da diferença. Algumas imagens de mulheres em filmes recentes”. In: ADELMAN, Miriam et al (org.). </w:t>
      </w:r>
      <w:r w:rsidRPr="00771368">
        <w:rPr>
          <w:i/>
          <w:iCs/>
        </w:rPr>
        <w:t>Mulheres, homens, olhares e cenas.</w:t>
      </w:r>
      <w:r w:rsidRPr="00771368">
        <w:t xml:space="preserve"> Curitiba: Editora da UFPR, 2011.</w:t>
      </w:r>
    </w:p>
    <w:p w:rsidR="00D24E61" w:rsidRPr="00771368" w:rsidRDefault="00D24E61">
      <w:pPr>
        <w:spacing w:line="200" w:lineRule="exact"/>
        <w:rPr>
          <w:sz w:val="20"/>
          <w:szCs w:val="20"/>
        </w:rPr>
      </w:pPr>
    </w:p>
    <w:p w:rsidR="00D24E61" w:rsidRPr="00771368" w:rsidRDefault="00D24E61">
      <w:pPr>
        <w:spacing w:line="360" w:lineRule="exact"/>
        <w:rPr>
          <w:sz w:val="20"/>
          <w:szCs w:val="20"/>
        </w:rPr>
      </w:pPr>
    </w:p>
    <w:p w:rsidR="00D24E61" w:rsidRPr="00771368" w:rsidRDefault="00D24E61">
      <w:pPr>
        <w:spacing w:line="214" w:lineRule="auto"/>
        <w:jc w:val="both"/>
        <w:rPr>
          <w:sz w:val="20"/>
          <w:szCs w:val="20"/>
        </w:rPr>
      </w:pPr>
      <w:r w:rsidRPr="00771368">
        <w:t>CÉU de Suely, O. Direção: Karim Ainouz. Fotografia: Walter Carvalho. Rio de Janeiro: Videofilmes, 2006. 1 DVD, cor, 88min.</w:t>
      </w:r>
    </w:p>
    <w:p w:rsidR="00D24E61" w:rsidRPr="00771368" w:rsidRDefault="00D24E61">
      <w:pPr>
        <w:spacing w:line="200" w:lineRule="exact"/>
        <w:rPr>
          <w:sz w:val="20"/>
          <w:szCs w:val="20"/>
        </w:rPr>
      </w:pPr>
    </w:p>
    <w:p w:rsidR="00D24E61" w:rsidRPr="00771368" w:rsidRDefault="00D24E61">
      <w:pPr>
        <w:spacing w:line="362" w:lineRule="exact"/>
        <w:rPr>
          <w:sz w:val="20"/>
          <w:szCs w:val="20"/>
        </w:rPr>
      </w:pPr>
    </w:p>
    <w:p w:rsidR="00D24E61" w:rsidRPr="00771368" w:rsidRDefault="00D24E61">
      <w:pPr>
        <w:spacing w:line="227" w:lineRule="auto"/>
        <w:jc w:val="both"/>
        <w:rPr>
          <w:sz w:val="20"/>
          <w:szCs w:val="20"/>
        </w:rPr>
      </w:pPr>
      <w:r w:rsidRPr="00771368">
        <w:t xml:space="preserve">ESTEVES, Flávia. </w:t>
      </w:r>
      <w:r w:rsidRPr="00771368">
        <w:rPr>
          <w:i/>
          <w:iCs/>
        </w:rPr>
        <w:t>“Sob”sentidos do político: história, gênero e poder no cinema de Ana Carolina</w:t>
      </w:r>
      <w:r w:rsidRPr="00771368">
        <w:t xml:space="preserve"> </w:t>
      </w:r>
      <w:r w:rsidRPr="00771368">
        <w:rPr>
          <w:i/>
          <w:iCs/>
        </w:rPr>
        <w:t xml:space="preserve">(‘Mar de rosas’, ‘Das tripas coração’ e ‘Sonho de valsa’, 1977-1986). </w:t>
      </w:r>
      <w:r w:rsidRPr="00771368">
        <w:t>In: SIMPÓSIO NACIONAL</w:t>
      </w:r>
      <w:r w:rsidRPr="00771368">
        <w:rPr>
          <w:i/>
          <w:iCs/>
        </w:rPr>
        <w:t xml:space="preserve"> </w:t>
      </w:r>
      <w:r w:rsidRPr="00771368">
        <w:t>DE HISTÓRIA, 24., 2007, São Leopoldo, RS. Anais do XXIV Simpósio Nacional de História – História e multidisciplinaridade: territórios e deslocamentos. São Leopoldo: Unisinos, 2007.</w:t>
      </w:r>
    </w:p>
    <w:p w:rsidR="00D24E61" w:rsidRPr="00771368" w:rsidRDefault="00D24E61">
      <w:pPr>
        <w:spacing w:line="200" w:lineRule="exact"/>
        <w:rPr>
          <w:sz w:val="20"/>
          <w:szCs w:val="20"/>
        </w:rPr>
      </w:pPr>
    </w:p>
    <w:p w:rsidR="00D24E61" w:rsidRPr="00771368" w:rsidRDefault="00D24E61">
      <w:pPr>
        <w:spacing w:line="307" w:lineRule="exact"/>
        <w:rPr>
          <w:sz w:val="20"/>
          <w:szCs w:val="20"/>
        </w:rPr>
      </w:pPr>
    </w:p>
    <w:p w:rsidR="00D24E61" w:rsidRPr="00771368" w:rsidRDefault="00D24E61">
      <w:pPr>
        <w:rPr>
          <w:sz w:val="20"/>
          <w:szCs w:val="20"/>
        </w:rPr>
      </w:pPr>
      <w:r w:rsidRPr="00771368">
        <w:t xml:space="preserve">FOUCAULT, Michel. </w:t>
      </w:r>
      <w:r w:rsidRPr="00771368">
        <w:rPr>
          <w:i/>
          <w:iCs/>
        </w:rPr>
        <w:t>Microfísica do poder</w:t>
      </w:r>
      <w:r w:rsidRPr="00771368">
        <w:t>. Rio de Janeiro: Edições Graal, 2003.</w:t>
      </w:r>
    </w:p>
    <w:p w:rsidR="00D24E61" w:rsidRPr="00771368" w:rsidRDefault="00D24E61">
      <w:pPr>
        <w:spacing w:line="200" w:lineRule="exact"/>
        <w:rPr>
          <w:sz w:val="20"/>
          <w:szCs w:val="20"/>
        </w:rPr>
      </w:pPr>
    </w:p>
    <w:p w:rsidR="00D24E61" w:rsidRPr="00771368" w:rsidRDefault="00D24E61">
      <w:pPr>
        <w:spacing w:line="305" w:lineRule="exact"/>
        <w:rPr>
          <w:sz w:val="20"/>
          <w:szCs w:val="20"/>
        </w:rPr>
      </w:pPr>
    </w:p>
    <w:p w:rsidR="00D24E61" w:rsidRPr="00771368" w:rsidRDefault="00D24E61">
      <w:pPr>
        <w:tabs>
          <w:tab w:val="left" w:pos="1740"/>
          <w:tab w:val="left" w:pos="2560"/>
          <w:tab w:val="left" w:pos="2860"/>
          <w:tab w:val="left" w:pos="3800"/>
          <w:tab w:val="left" w:pos="5200"/>
          <w:tab w:val="left" w:pos="5580"/>
          <w:tab w:val="left" w:pos="6360"/>
          <w:tab w:val="left" w:pos="6740"/>
          <w:tab w:val="left" w:pos="7600"/>
          <w:tab w:val="left" w:pos="8000"/>
          <w:tab w:val="left" w:pos="8940"/>
        </w:tabs>
        <w:rPr>
          <w:sz w:val="20"/>
          <w:szCs w:val="20"/>
        </w:rPr>
      </w:pPr>
      <w:r w:rsidRPr="00771368">
        <w:t>GUBERNIKOFF,</w:t>
      </w:r>
      <w:r w:rsidRPr="00771368">
        <w:rPr>
          <w:sz w:val="20"/>
          <w:szCs w:val="20"/>
        </w:rPr>
        <w:tab/>
      </w:r>
      <w:r w:rsidRPr="00771368">
        <w:t>Giselle.</w:t>
      </w:r>
      <w:r w:rsidRPr="00771368">
        <w:rPr>
          <w:sz w:val="20"/>
          <w:szCs w:val="20"/>
        </w:rPr>
        <w:tab/>
      </w:r>
      <w:r w:rsidRPr="00771368">
        <w:rPr>
          <w:i/>
          <w:iCs/>
        </w:rPr>
        <w:t>A</w:t>
      </w:r>
      <w:r w:rsidRPr="00771368">
        <w:rPr>
          <w:sz w:val="20"/>
          <w:szCs w:val="20"/>
        </w:rPr>
        <w:tab/>
      </w:r>
      <w:r w:rsidRPr="00771368">
        <w:rPr>
          <w:i/>
          <w:iCs/>
        </w:rPr>
        <w:t>imagem:</w:t>
      </w:r>
      <w:r w:rsidRPr="00771368">
        <w:rPr>
          <w:sz w:val="20"/>
          <w:szCs w:val="20"/>
        </w:rPr>
        <w:tab/>
      </w:r>
      <w:r w:rsidRPr="00771368">
        <w:rPr>
          <w:i/>
          <w:iCs/>
        </w:rPr>
        <w:t>representação</w:t>
      </w:r>
      <w:r w:rsidRPr="00771368">
        <w:rPr>
          <w:sz w:val="20"/>
          <w:szCs w:val="20"/>
        </w:rPr>
        <w:tab/>
      </w:r>
      <w:r w:rsidRPr="00771368">
        <w:rPr>
          <w:i/>
          <w:iCs/>
        </w:rPr>
        <w:t>da</w:t>
      </w:r>
      <w:r w:rsidRPr="00771368">
        <w:rPr>
          <w:sz w:val="20"/>
          <w:szCs w:val="20"/>
        </w:rPr>
        <w:tab/>
      </w:r>
      <w:r w:rsidRPr="00771368">
        <w:rPr>
          <w:i/>
          <w:iCs/>
        </w:rPr>
        <w:t>mulher</w:t>
      </w:r>
      <w:r w:rsidRPr="00771368">
        <w:rPr>
          <w:sz w:val="20"/>
          <w:szCs w:val="20"/>
        </w:rPr>
        <w:tab/>
      </w:r>
      <w:r w:rsidRPr="00771368">
        <w:rPr>
          <w:i/>
          <w:iCs/>
        </w:rPr>
        <w:t>no</w:t>
      </w:r>
      <w:r w:rsidRPr="00771368">
        <w:rPr>
          <w:sz w:val="20"/>
          <w:szCs w:val="20"/>
        </w:rPr>
        <w:tab/>
      </w:r>
      <w:r w:rsidRPr="00771368">
        <w:rPr>
          <w:i/>
          <w:iCs/>
        </w:rPr>
        <w:t>cinema</w:t>
      </w:r>
      <w:r w:rsidRPr="00771368">
        <w:t>.</w:t>
      </w:r>
      <w:r w:rsidRPr="00771368">
        <w:rPr>
          <w:sz w:val="20"/>
          <w:szCs w:val="20"/>
        </w:rPr>
        <w:tab/>
      </w:r>
      <w:r w:rsidRPr="00771368">
        <w:t>In:</w:t>
      </w:r>
      <w:r w:rsidRPr="00771368">
        <w:rPr>
          <w:sz w:val="20"/>
          <w:szCs w:val="20"/>
        </w:rPr>
        <w:tab/>
      </w:r>
      <w:r w:rsidRPr="00771368">
        <w:rPr>
          <w:i/>
          <w:iCs/>
        </w:rPr>
        <w:t>Conexão</w:t>
      </w:r>
      <w:r w:rsidRPr="00771368">
        <w:rPr>
          <w:sz w:val="20"/>
          <w:szCs w:val="20"/>
        </w:rPr>
        <w:tab/>
      </w:r>
      <w:r w:rsidRPr="00771368">
        <w:t>–</w:t>
      </w:r>
    </w:p>
    <w:p w:rsidR="00D24E61" w:rsidRPr="00771368" w:rsidRDefault="00D24E61">
      <w:pPr>
        <w:spacing w:line="1" w:lineRule="exact"/>
        <w:rPr>
          <w:sz w:val="20"/>
          <w:szCs w:val="20"/>
        </w:rPr>
      </w:pPr>
    </w:p>
    <w:p w:rsidR="00D24E61" w:rsidRPr="00771368" w:rsidRDefault="00D24E61">
      <w:pPr>
        <w:rPr>
          <w:sz w:val="20"/>
          <w:szCs w:val="20"/>
        </w:rPr>
      </w:pPr>
      <w:r w:rsidRPr="00771368">
        <w:t>Comunicação e Cultura, UCS, Caxias do Sul, v.8, n.15, jan./jun. 2009.</w:t>
      </w:r>
    </w:p>
    <w:p w:rsidR="00D24E61" w:rsidRPr="00771368" w:rsidRDefault="00D24E61">
      <w:pPr>
        <w:spacing w:line="200" w:lineRule="exact"/>
        <w:rPr>
          <w:sz w:val="20"/>
          <w:szCs w:val="20"/>
        </w:rPr>
      </w:pPr>
    </w:p>
    <w:p w:rsidR="00D24E61" w:rsidRPr="00771368" w:rsidRDefault="00D24E61">
      <w:pPr>
        <w:spacing w:line="359" w:lineRule="exact"/>
        <w:rPr>
          <w:sz w:val="20"/>
          <w:szCs w:val="20"/>
        </w:rPr>
      </w:pPr>
    </w:p>
    <w:p w:rsidR="00D24E61" w:rsidRPr="00771368" w:rsidRDefault="00D24E61">
      <w:pPr>
        <w:spacing w:line="223" w:lineRule="auto"/>
        <w:jc w:val="both"/>
        <w:rPr>
          <w:sz w:val="20"/>
          <w:szCs w:val="20"/>
        </w:rPr>
      </w:pPr>
      <w:r w:rsidRPr="00771368">
        <w:t xml:space="preserve">GUIMARÃES, César; LIMA, Cristiane; GUIMARÃES, Victor. </w:t>
      </w:r>
      <w:r w:rsidRPr="00771368">
        <w:rPr>
          <w:i/>
          <w:iCs/>
        </w:rPr>
        <w:t>Mis-en-scène e experiência estética</w:t>
      </w:r>
      <w:r w:rsidRPr="00771368">
        <w:t xml:space="preserve"> </w:t>
      </w:r>
      <w:r w:rsidRPr="00771368">
        <w:rPr>
          <w:i/>
          <w:iCs/>
        </w:rPr>
        <w:t>–</w:t>
      </w:r>
      <w:r w:rsidRPr="00771368">
        <w:t xml:space="preserve"> </w:t>
      </w:r>
      <w:r w:rsidRPr="00771368">
        <w:rPr>
          <w:i/>
          <w:iCs/>
        </w:rPr>
        <w:t xml:space="preserve">o trabalho do espectador em </w:t>
      </w:r>
      <w:r w:rsidRPr="00771368">
        <w:t>A falta que me faz. In: Grupo Comunicação e Experiência Estética do</w:t>
      </w:r>
      <w:r w:rsidRPr="00771368">
        <w:rPr>
          <w:i/>
          <w:iCs/>
        </w:rPr>
        <w:t xml:space="preserve"> </w:t>
      </w:r>
      <w:r w:rsidRPr="00771368">
        <w:t>XXI Encontro da Compós. Juiz de Fora: Universidade Federal de Juiz de Fora, 2012.</w:t>
      </w:r>
    </w:p>
    <w:p w:rsidR="00D24E61" w:rsidRPr="00771368" w:rsidRDefault="00D24E61">
      <w:pPr>
        <w:spacing w:line="200" w:lineRule="exact"/>
        <w:rPr>
          <w:sz w:val="20"/>
          <w:szCs w:val="20"/>
        </w:rPr>
      </w:pPr>
    </w:p>
    <w:p w:rsidR="00D24E61" w:rsidRPr="00771368" w:rsidRDefault="00D24E61">
      <w:pPr>
        <w:spacing w:line="360" w:lineRule="exact"/>
        <w:rPr>
          <w:sz w:val="20"/>
          <w:szCs w:val="20"/>
        </w:rPr>
      </w:pPr>
    </w:p>
    <w:p w:rsidR="00D24E61" w:rsidRPr="00771368" w:rsidRDefault="00D24E61">
      <w:pPr>
        <w:spacing w:line="214" w:lineRule="auto"/>
        <w:ind w:right="20"/>
        <w:jc w:val="both"/>
        <w:rPr>
          <w:sz w:val="20"/>
          <w:szCs w:val="20"/>
        </w:rPr>
      </w:pPr>
      <w:r w:rsidRPr="00771368">
        <w:t xml:space="preserve">KAPLAN, Ann. </w:t>
      </w:r>
      <w:r w:rsidRPr="00771368">
        <w:rPr>
          <w:i/>
          <w:iCs/>
        </w:rPr>
        <w:t>A mulher e o cinema: os dois lados da câmera</w:t>
      </w:r>
      <w:r w:rsidRPr="00771368">
        <w:t>. Rio de Janeiro: Artemídia; Rocco, 1995.</w:t>
      </w:r>
    </w:p>
    <w:p w:rsidR="00D24E61" w:rsidRPr="00771368" w:rsidRDefault="00D24E61">
      <w:pPr>
        <w:spacing w:line="200" w:lineRule="exact"/>
        <w:rPr>
          <w:sz w:val="20"/>
          <w:szCs w:val="20"/>
        </w:rPr>
      </w:pPr>
    </w:p>
    <w:p w:rsidR="00D24E61" w:rsidRPr="00771368" w:rsidRDefault="00D24E61">
      <w:pPr>
        <w:spacing w:line="360" w:lineRule="exact"/>
        <w:rPr>
          <w:sz w:val="20"/>
          <w:szCs w:val="20"/>
        </w:rPr>
      </w:pPr>
    </w:p>
    <w:p w:rsidR="00D24E61" w:rsidRPr="00771368" w:rsidRDefault="00D24E61">
      <w:pPr>
        <w:spacing w:line="215" w:lineRule="auto"/>
        <w:jc w:val="both"/>
        <w:rPr>
          <w:sz w:val="20"/>
          <w:szCs w:val="20"/>
        </w:rPr>
      </w:pPr>
      <w:r w:rsidRPr="00771368">
        <w:t xml:space="preserve">LAURETIS, Teresa de. “Através do espelho: mulher, cinema e linguagem”. In: Revista </w:t>
      </w:r>
      <w:r w:rsidRPr="00771368">
        <w:rPr>
          <w:i/>
          <w:iCs/>
        </w:rPr>
        <w:t>Estudos</w:t>
      </w:r>
      <w:r w:rsidRPr="00771368">
        <w:t xml:space="preserve"> </w:t>
      </w:r>
      <w:r w:rsidRPr="00771368">
        <w:rPr>
          <w:i/>
          <w:iCs/>
        </w:rPr>
        <w:t>Feministas</w:t>
      </w:r>
      <w:r w:rsidRPr="00771368">
        <w:t>. Trad. Vera Pereira. Ano 1. 1º semestre, 1993</w:t>
      </w:r>
    </w:p>
    <w:p w:rsidR="00D24E61" w:rsidRPr="00771368" w:rsidRDefault="00D24E61">
      <w:pPr>
        <w:spacing w:line="200" w:lineRule="exact"/>
        <w:rPr>
          <w:sz w:val="20"/>
          <w:szCs w:val="20"/>
        </w:rPr>
      </w:pPr>
    </w:p>
    <w:p w:rsidR="00D24E61" w:rsidRPr="00771368" w:rsidRDefault="00D24E61">
      <w:pPr>
        <w:spacing w:line="306" w:lineRule="exact"/>
        <w:rPr>
          <w:sz w:val="20"/>
          <w:szCs w:val="20"/>
        </w:rPr>
      </w:pPr>
    </w:p>
    <w:p w:rsidR="00D24E61" w:rsidRPr="00771368" w:rsidRDefault="00D24E61">
      <w:pPr>
        <w:spacing w:line="239" w:lineRule="auto"/>
        <w:rPr>
          <w:sz w:val="20"/>
          <w:szCs w:val="20"/>
        </w:rPr>
      </w:pPr>
      <w:r w:rsidRPr="00771368">
        <w:t>LAURETIS, Teresa de. “A tecnologia do gênero”. In: BUARQUE DE HOLLANDA, Heloísa (Org.).</w:t>
      </w:r>
    </w:p>
    <w:p w:rsidR="00D24E61" w:rsidRPr="00771368" w:rsidRDefault="00D24E61">
      <w:pPr>
        <w:spacing w:line="2" w:lineRule="exact"/>
        <w:rPr>
          <w:sz w:val="20"/>
          <w:szCs w:val="20"/>
        </w:rPr>
      </w:pPr>
    </w:p>
    <w:p w:rsidR="00D24E61" w:rsidRPr="00771368" w:rsidRDefault="00D24E61">
      <w:pPr>
        <w:spacing w:line="239" w:lineRule="auto"/>
        <w:rPr>
          <w:sz w:val="20"/>
          <w:szCs w:val="20"/>
        </w:rPr>
      </w:pPr>
      <w:r w:rsidRPr="00771368">
        <w:rPr>
          <w:i/>
          <w:iCs/>
        </w:rPr>
        <w:t xml:space="preserve">Tendências e Impasses: o feminismo como crítica da cultura. </w:t>
      </w:r>
      <w:r w:rsidRPr="00771368">
        <w:t>Rio de Janeiro: Rocco, 1994. p. 206-242.</w:t>
      </w:r>
    </w:p>
    <w:p w:rsidR="00D24E61" w:rsidRPr="00771368" w:rsidRDefault="00D24E61">
      <w:pPr>
        <w:spacing w:line="200" w:lineRule="exact"/>
        <w:rPr>
          <w:sz w:val="20"/>
          <w:szCs w:val="20"/>
        </w:rPr>
      </w:pPr>
    </w:p>
    <w:p w:rsidR="00D24E61" w:rsidRPr="00771368" w:rsidRDefault="00D24E61">
      <w:pPr>
        <w:spacing w:line="360" w:lineRule="exact"/>
        <w:rPr>
          <w:sz w:val="20"/>
          <w:szCs w:val="20"/>
        </w:rPr>
      </w:pPr>
    </w:p>
    <w:p w:rsidR="00D24E61" w:rsidRPr="00771368" w:rsidRDefault="00D24E61">
      <w:pPr>
        <w:spacing w:line="214" w:lineRule="auto"/>
        <w:jc w:val="both"/>
        <w:rPr>
          <w:sz w:val="20"/>
          <w:szCs w:val="20"/>
        </w:rPr>
      </w:pPr>
      <w:r w:rsidRPr="00771368">
        <w:t xml:space="preserve">LOURO, Guacira Lopes. “Cinema e Sexualidade”. In: </w:t>
      </w:r>
      <w:r w:rsidRPr="00771368">
        <w:rPr>
          <w:i/>
          <w:iCs/>
        </w:rPr>
        <w:t>Dossiê Cinema e Educação</w:t>
      </w:r>
      <w:r w:rsidRPr="00771368">
        <w:t xml:space="preserve">. Revista </w:t>
      </w:r>
      <w:r w:rsidRPr="00771368">
        <w:rPr>
          <w:i/>
          <w:iCs/>
        </w:rPr>
        <w:t>Educação</w:t>
      </w:r>
      <w:r w:rsidRPr="00771368">
        <w:t xml:space="preserve"> </w:t>
      </w:r>
      <w:r w:rsidRPr="00771368">
        <w:rPr>
          <w:i/>
          <w:iCs/>
        </w:rPr>
        <w:t>e Realidades</w:t>
      </w:r>
      <w:r w:rsidRPr="00771368">
        <w:t>, v.33, n.1, 2008.</w:t>
      </w:r>
    </w:p>
    <w:p w:rsidR="00D24E61" w:rsidRPr="00771368" w:rsidRDefault="00D24E61">
      <w:pPr>
        <w:spacing w:line="200" w:lineRule="exact"/>
        <w:rPr>
          <w:sz w:val="20"/>
          <w:szCs w:val="20"/>
        </w:rPr>
      </w:pPr>
    </w:p>
    <w:p w:rsidR="00D24E61" w:rsidRPr="00771368" w:rsidRDefault="00D24E61">
      <w:pPr>
        <w:spacing w:line="360" w:lineRule="exact"/>
        <w:rPr>
          <w:sz w:val="20"/>
          <w:szCs w:val="20"/>
        </w:rPr>
      </w:pPr>
    </w:p>
    <w:p w:rsidR="00D24E61" w:rsidRPr="00771368" w:rsidRDefault="00D24E61">
      <w:pPr>
        <w:spacing w:line="215" w:lineRule="auto"/>
        <w:jc w:val="both"/>
        <w:rPr>
          <w:sz w:val="20"/>
          <w:szCs w:val="20"/>
        </w:rPr>
      </w:pPr>
      <w:r w:rsidRPr="00771368">
        <w:t xml:space="preserve">MULVEY, Laura. “Prazer visual e cinema narrativo”. In: XAVIER, Ismail. </w:t>
      </w:r>
      <w:r w:rsidRPr="00771368">
        <w:rPr>
          <w:i/>
          <w:iCs/>
        </w:rPr>
        <w:t>A experiência do cinema</w:t>
      </w:r>
      <w:r w:rsidRPr="00771368">
        <w:t>. 2. ed. Rio de Janeiro: Graal, 1991.</w:t>
      </w:r>
    </w:p>
    <w:p w:rsidR="00D24E61" w:rsidRPr="00771368" w:rsidRDefault="00D24E61">
      <w:pPr>
        <w:spacing w:line="200" w:lineRule="exact"/>
        <w:rPr>
          <w:sz w:val="20"/>
          <w:szCs w:val="20"/>
        </w:rPr>
      </w:pPr>
    </w:p>
    <w:p w:rsidR="00D24E61" w:rsidRPr="00771368" w:rsidRDefault="00D24E61">
      <w:pPr>
        <w:spacing w:line="306" w:lineRule="exact"/>
        <w:rPr>
          <w:sz w:val="20"/>
          <w:szCs w:val="20"/>
        </w:rPr>
      </w:pPr>
    </w:p>
    <w:p w:rsidR="00D24E61" w:rsidRPr="00771368" w:rsidRDefault="00D24E61">
      <w:pPr>
        <w:spacing w:line="239" w:lineRule="auto"/>
        <w:rPr>
          <w:sz w:val="20"/>
          <w:szCs w:val="20"/>
        </w:rPr>
      </w:pPr>
      <w:r w:rsidRPr="00771368">
        <w:t>RODRIGUES, Carla. “A força da biologia: representações da sexualidade em Denys Arcand”. In:</w:t>
      </w:r>
    </w:p>
    <w:p w:rsidR="00D24E61" w:rsidRPr="00771368" w:rsidRDefault="00D24E61">
      <w:pPr>
        <w:spacing w:line="54" w:lineRule="exact"/>
        <w:rPr>
          <w:sz w:val="20"/>
          <w:szCs w:val="20"/>
        </w:rPr>
      </w:pPr>
    </w:p>
    <w:p w:rsidR="00D24E61" w:rsidRPr="00771368" w:rsidRDefault="00D24E61">
      <w:pPr>
        <w:spacing w:line="215" w:lineRule="auto"/>
        <w:ind w:right="20"/>
        <w:jc w:val="both"/>
        <w:rPr>
          <w:sz w:val="20"/>
          <w:szCs w:val="20"/>
        </w:rPr>
      </w:pPr>
      <w:r w:rsidRPr="00771368">
        <w:t xml:space="preserve">ADELMAN, Miriam et al (orgs.). </w:t>
      </w:r>
      <w:r w:rsidRPr="00771368">
        <w:rPr>
          <w:i/>
          <w:iCs/>
        </w:rPr>
        <w:t>Mulheres, homens, olhares e cenas.</w:t>
      </w:r>
      <w:r w:rsidRPr="00771368">
        <w:t xml:space="preserve"> Curitiba: Editora da UFPR, 2011.</w:t>
      </w:r>
    </w:p>
    <w:p w:rsidR="00D24E61" w:rsidRPr="00771368" w:rsidRDefault="00D24E61">
      <w:pPr>
        <w:spacing w:line="200" w:lineRule="exact"/>
        <w:rPr>
          <w:sz w:val="20"/>
          <w:szCs w:val="20"/>
        </w:rPr>
      </w:pPr>
    </w:p>
    <w:p w:rsidR="00D24E61" w:rsidRPr="00771368" w:rsidRDefault="00D24E61">
      <w:pPr>
        <w:spacing w:line="360" w:lineRule="exact"/>
        <w:rPr>
          <w:sz w:val="20"/>
          <w:szCs w:val="20"/>
        </w:rPr>
      </w:pPr>
    </w:p>
    <w:p w:rsidR="00D24E61" w:rsidRPr="00771368" w:rsidRDefault="00D24E61">
      <w:pPr>
        <w:spacing w:line="214" w:lineRule="auto"/>
        <w:jc w:val="both"/>
        <w:rPr>
          <w:sz w:val="20"/>
          <w:szCs w:val="20"/>
        </w:rPr>
      </w:pPr>
      <w:r w:rsidRPr="00771368">
        <w:t xml:space="preserve">PRECIADO, Beatriz. </w:t>
      </w:r>
      <w:r w:rsidRPr="00771368">
        <w:rPr>
          <w:i/>
          <w:iCs/>
        </w:rPr>
        <w:t>Multidões</w:t>
      </w:r>
      <w:r w:rsidRPr="00771368">
        <w:t xml:space="preserve"> queer</w:t>
      </w:r>
      <w:r w:rsidRPr="00771368">
        <w:rPr>
          <w:i/>
          <w:iCs/>
        </w:rPr>
        <w:t>: notas para uma política dos anormais</w:t>
      </w:r>
      <w:r w:rsidRPr="00771368">
        <w:t>. In: Estudos feministas, Florianópolis, CFH/CCE/UFSC, v.19, p. 11-20, 2011</w:t>
      </w:r>
    </w:p>
    <w:p w:rsidR="00D24E61" w:rsidRPr="00771368" w:rsidRDefault="00D24E61">
      <w:pPr>
        <w:sectPr w:rsidR="00D24E61" w:rsidRPr="00771368">
          <w:pgSz w:w="11900" w:h="16838"/>
          <w:pgMar w:top="1440" w:right="1400" w:bottom="676" w:left="1420" w:header="0" w:footer="0" w:gutter="0"/>
          <w:cols w:space="720" w:equalWidth="0">
            <w:col w:w="9080"/>
          </w:cols>
        </w:sectPr>
      </w:pPr>
    </w:p>
    <w:p w:rsidR="00D24E61" w:rsidRPr="00771368" w:rsidRDefault="00D24E61" w:rsidP="00E452AE">
      <w:pPr>
        <w:ind w:left="130"/>
        <w:rPr>
          <w:sz w:val="20"/>
          <w:szCs w:val="20"/>
        </w:rPr>
      </w:pPr>
      <w:r w:rsidRPr="00771368">
        <w:rPr>
          <w:b/>
          <w:bCs/>
          <w:sz w:val="28"/>
          <w:szCs w:val="28"/>
        </w:rPr>
        <w:t>ESTUDAR AO LADO DO FOGÃO A LENHA: NARRATIVAS DAS MULHERES</w:t>
      </w:r>
      <w:r w:rsidR="00E452AE">
        <w:rPr>
          <w:b/>
          <w:bCs/>
          <w:sz w:val="28"/>
          <w:szCs w:val="28"/>
        </w:rPr>
        <w:t xml:space="preserve"> </w:t>
      </w:r>
      <w:r w:rsidRPr="00771368">
        <w:rPr>
          <w:b/>
          <w:bCs/>
          <w:sz w:val="28"/>
          <w:szCs w:val="28"/>
        </w:rPr>
        <w:t>NEGRAS NO BRASIL</w:t>
      </w:r>
    </w:p>
    <w:p w:rsidR="00D24E61" w:rsidRPr="00771368" w:rsidRDefault="00D24E61">
      <w:pPr>
        <w:spacing w:line="200" w:lineRule="exact"/>
        <w:rPr>
          <w:sz w:val="24"/>
          <w:szCs w:val="24"/>
        </w:rPr>
      </w:pPr>
    </w:p>
    <w:p w:rsidR="00D24E61" w:rsidRPr="00771368" w:rsidRDefault="00D24E61">
      <w:pPr>
        <w:spacing w:line="373" w:lineRule="exact"/>
        <w:rPr>
          <w:sz w:val="24"/>
          <w:szCs w:val="24"/>
        </w:rPr>
      </w:pPr>
    </w:p>
    <w:p w:rsidR="00D24E61" w:rsidRPr="00771368" w:rsidRDefault="00D24E61">
      <w:pPr>
        <w:ind w:left="10"/>
        <w:rPr>
          <w:sz w:val="20"/>
          <w:szCs w:val="20"/>
        </w:rPr>
      </w:pPr>
      <w:bookmarkStart w:id="92" w:name="_Toc442034764"/>
      <w:r w:rsidRPr="00E452AE">
        <w:rPr>
          <w:rStyle w:val="Ttulo1Char"/>
        </w:rPr>
        <w:t>Jussara Marques de Medeiros Dias</w:t>
      </w:r>
      <w:bookmarkEnd w:id="92"/>
      <w:r w:rsidRPr="00771368">
        <w:rPr>
          <w:b/>
          <w:bCs/>
          <w:sz w:val="31"/>
          <w:szCs w:val="31"/>
          <w:vertAlign w:val="superscript"/>
        </w:rPr>
        <w:t>1</w:t>
      </w:r>
    </w:p>
    <w:p w:rsidR="00D24E61" w:rsidRPr="00771368" w:rsidRDefault="00D24E61">
      <w:pPr>
        <w:spacing w:line="56" w:lineRule="exact"/>
        <w:rPr>
          <w:sz w:val="24"/>
          <w:szCs w:val="24"/>
        </w:rPr>
      </w:pPr>
    </w:p>
    <w:p w:rsidR="00D24E61" w:rsidRPr="00771368" w:rsidRDefault="00D24E61">
      <w:pPr>
        <w:ind w:left="10"/>
        <w:rPr>
          <w:sz w:val="20"/>
          <w:szCs w:val="20"/>
        </w:rPr>
      </w:pPr>
      <w:r w:rsidRPr="00771368">
        <w:rPr>
          <w:b/>
          <w:bCs/>
          <w:sz w:val="24"/>
          <w:szCs w:val="24"/>
        </w:rPr>
        <w:t>Orientadora: Nanci Stancki da Luz</w:t>
      </w:r>
      <w:r w:rsidRPr="00771368">
        <w:rPr>
          <w:b/>
          <w:bCs/>
          <w:sz w:val="31"/>
          <w:szCs w:val="31"/>
          <w:vertAlign w:val="superscript"/>
        </w:rPr>
        <w:t>2</w:t>
      </w:r>
    </w:p>
    <w:p w:rsidR="00D24E61" w:rsidRPr="00771368" w:rsidRDefault="00D24E61">
      <w:pPr>
        <w:spacing w:line="66" w:lineRule="exact"/>
        <w:rPr>
          <w:sz w:val="24"/>
          <w:szCs w:val="24"/>
        </w:rPr>
      </w:pPr>
    </w:p>
    <w:p w:rsidR="00D24E61" w:rsidRPr="00771368" w:rsidRDefault="00D24E61">
      <w:pPr>
        <w:ind w:left="10"/>
        <w:rPr>
          <w:sz w:val="20"/>
          <w:szCs w:val="20"/>
        </w:rPr>
      </w:pPr>
      <w:r w:rsidRPr="00771368">
        <w:rPr>
          <w:b/>
          <w:bCs/>
          <w:sz w:val="24"/>
          <w:szCs w:val="24"/>
        </w:rPr>
        <w:t>Introdução</w:t>
      </w:r>
    </w:p>
    <w:p w:rsidR="00D24E61" w:rsidRPr="00771368" w:rsidRDefault="00D24E61">
      <w:pPr>
        <w:spacing w:line="190" w:lineRule="exact"/>
        <w:rPr>
          <w:sz w:val="24"/>
          <w:szCs w:val="24"/>
        </w:rPr>
      </w:pPr>
    </w:p>
    <w:p w:rsidR="00D24E61" w:rsidRPr="00771368" w:rsidRDefault="00D24E61" w:rsidP="00E452AE">
      <w:pPr>
        <w:spacing w:line="335" w:lineRule="auto"/>
        <w:ind w:left="10" w:firstLine="706"/>
        <w:jc w:val="both"/>
        <w:rPr>
          <w:sz w:val="20"/>
          <w:szCs w:val="20"/>
        </w:rPr>
      </w:pPr>
      <w:r w:rsidRPr="00771368">
        <w:rPr>
          <w:sz w:val="24"/>
          <w:szCs w:val="24"/>
        </w:rPr>
        <w:t>Em 01/03/2013, a Gazeta do Povo, jornal de grande circulação no Estado do Paraná, publica uma reportagem intitulada: “Negra Enedina, a engenheira”, destacando que esta, uma célebre figura paranaense, a primeira engenheira negra formada pela Universidade Federal do Paraná, fora encontrada morta e sua foto “saiu sem pudores, na cama, em camisolas, um tratamento dado aos “presuntos”, no jargão da imprensa policial. Houve quem não gostasse, com punhos e coração. "</w:t>
      </w:r>
      <w:r w:rsidRPr="00771368">
        <w:rPr>
          <w:sz w:val="31"/>
          <w:szCs w:val="31"/>
          <w:vertAlign w:val="superscript"/>
        </w:rPr>
        <w:t>3</w:t>
      </w:r>
      <w:r w:rsidRPr="00771368">
        <w:rPr>
          <w:sz w:val="24"/>
          <w:szCs w:val="24"/>
        </w:rPr>
        <w:t xml:space="preserve"> Aqui, o repórter destaca que houve protestos de seus companheiros engenheiros, pois a vitória de uma mulher negra e pobre deveria figurar nos anais da república, não em um “tablóide sanguinolento”. Assim, Enedina Alves</w:t>
      </w:r>
      <w:r w:rsidR="00E452AE">
        <w:rPr>
          <w:sz w:val="24"/>
          <w:szCs w:val="24"/>
        </w:rPr>
        <w:t xml:space="preserve"> </w:t>
      </w:r>
      <w:r w:rsidRPr="00771368">
        <w:rPr>
          <w:sz w:val="24"/>
          <w:szCs w:val="24"/>
        </w:rPr>
        <w:t>Marques, de 68 anos, vira placa de rua e sua história vem sido estudada na academia. Prepara-se um documentário sobre ela, que não foi apenas uma mulher negra que conseguiu se formar, mas teve grande contribuição na autonomia elétrica do Paraná e em 1960, aposentou-se como procuradora. Histórias como essa são evocadas como exemplos de superação, de negras que encontram tempo para estudar ao lado do fogão a lenha. Porém, infelizmente, essas histórias não são recorrentes no Brasil.</w:t>
      </w:r>
    </w:p>
    <w:p w:rsidR="00D24E61" w:rsidRPr="00771368" w:rsidRDefault="00D24E61">
      <w:pPr>
        <w:spacing w:line="21" w:lineRule="exact"/>
        <w:rPr>
          <w:sz w:val="24"/>
          <w:szCs w:val="24"/>
        </w:rPr>
      </w:pPr>
    </w:p>
    <w:p w:rsidR="00D24E61" w:rsidRPr="00771368" w:rsidRDefault="00D24E61">
      <w:pPr>
        <w:spacing w:line="318" w:lineRule="auto"/>
        <w:ind w:left="10" w:firstLine="706"/>
        <w:jc w:val="both"/>
        <w:rPr>
          <w:sz w:val="20"/>
          <w:szCs w:val="20"/>
        </w:rPr>
      </w:pPr>
      <w:r w:rsidRPr="00771368">
        <w:rPr>
          <w:sz w:val="24"/>
          <w:szCs w:val="24"/>
        </w:rPr>
        <w:t>De acordo com dados do Observatório de Gênero</w:t>
      </w:r>
      <w:r w:rsidRPr="00771368">
        <w:rPr>
          <w:sz w:val="31"/>
          <w:szCs w:val="31"/>
          <w:vertAlign w:val="superscript"/>
        </w:rPr>
        <w:t>4</w:t>
      </w:r>
      <w:r w:rsidRPr="00771368">
        <w:rPr>
          <w:sz w:val="24"/>
          <w:szCs w:val="24"/>
        </w:rPr>
        <w:t>, nas três últimas décadas, a desigualdade de gênero brasileira foi reduzida no que se refere ao acesso e permanência das mulheres em todo o processo educacional. Porém, quando consideramos os dados concernentes às mulheres negras, pesquisa realizada pela Articulação de Mulheres Negras Brasileiras (AMNB)</w:t>
      </w:r>
      <w:r w:rsidRPr="00771368">
        <w:rPr>
          <w:sz w:val="31"/>
          <w:szCs w:val="31"/>
          <w:vertAlign w:val="superscript"/>
        </w:rPr>
        <w:t>5</w:t>
      </w:r>
      <w:r w:rsidRPr="00771368">
        <w:rPr>
          <w:sz w:val="24"/>
          <w:szCs w:val="24"/>
        </w:rPr>
        <w:t xml:space="preserve"> aponta que essas mulheres estão entre os contingentes de maior pobreza e indigência do país.</w:t>
      </w:r>
    </w:p>
    <w:p w:rsidR="00D24E61" w:rsidRPr="00771368" w:rsidRDefault="00013211">
      <w:pPr>
        <w:spacing w:line="353" w:lineRule="exact"/>
        <w:rPr>
          <w:sz w:val="24"/>
          <w:szCs w:val="24"/>
        </w:rPr>
      </w:pPr>
      <w:r>
        <w:rPr>
          <w:noProof/>
          <w:sz w:val="24"/>
          <w:szCs w:val="24"/>
        </w:rPr>
        <mc:AlternateContent>
          <mc:Choice Requires="wps">
            <w:drawing>
              <wp:anchor distT="0" distB="0" distL="0" distR="0" simplePos="0" relativeHeight="251795968" behindDoc="0" locked="0" layoutInCell="0" allowOverlap="1">
                <wp:simplePos x="0" y="0"/>
                <wp:positionH relativeFrom="column">
                  <wp:posOffset>0</wp:posOffset>
                </wp:positionH>
                <wp:positionV relativeFrom="paragraph">
                  <wp:posOffset>150495</wp:posOffset>
                </wp:positionV>
                <wp:extent cx="1829435" cy="0"/>
                <wp:effectExtent l="9525" t="7620" r="8890" b="11430"/>
                <wp:wrapNone/>
                <wp:docPr id="13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79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1.85pt" to="14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YwE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" o:allowincell="f" strokeweight=".16931mm"/>
            </w:pict>
          </mc:Fallback>
        </mc:AlternateContent>
      </w:r>
    </w:p>
    <w:p w:rsidR="00D24E61" w:rsidRPr="00771368" w:rsidRDefault="00D24E61" w:rsidP="00532078">
      <w:pPr>
        <w:ind w:left="10" w:right="20"/>
        <w:jc w:val="both"/>
        <w:rPr>
          <w:sz w:val="20"/>
          <w:szCs w:val="20"/>
        </w:rPr>
      </w:pPr>
      <w:r w:rsidRPr="00771368">
        <w:rPr>
          <w:sz w:val="25"/>
          <w:szCs w:val="25"/>
          <w:vertAlign w:val="superscript"/>
        </w:rPr>
        <w:t>1</w:t>
      </w:r>
      <w:r w:rsidRPr="00771368">
        <w:rPr>
          <w:sz w:val="20"/>
          <w:szCs w:val="20"/>
        </w:rPr>
        <w:t xml:space="preserve"> Mestranda do Programa de Pós-graduação em Tecnologia da Universidade Tecnológica Federal do Paraná (UTFPR), professora do curso de Serviço Social da UNIBRASIL, Curitiba, Brasil.</w:t>
      </w:r>
    </w:p>
    <w:p w:rsidR="00D24E61" w:rsidRPr="00E452AE" w:rsidRDefault="00E452AE" w:rsidP="00532078">
      <w:pPr>
        <w:tabs>
          <w:tab w:val="left" w:pos="130"/>
        </w:tabs>
        <w:ind w:right="240"/>
        <w:rPr>
          <w:sz w:val="26"/>
          <w:szCs w:val="26"/>
          <w:vertAlign w:val="superscript"/>
        </w:rPr>
      </w:pPr>
      <w:r>
        <w:rPr>
          <w:sz w:val="20"/>
          <w:szCs w:val="20"/>
        </w:rPr>
        <w:t>2.</w:t>
      </w:r>
      <w:r w:rsidR="00D24E61" w:rsidRPr="00E452AE">
        <w:rPr>
          <w:sz w:val="20"/>
          <w:szCs w:val="20"/>
        </w:rPr>
        <w:t>Doutora em Política Científica e Tecnológica (UNICAMP), professora do Programa de Pós-graduação em Tecnologia e do Departamento Acadêmico de Matemática da Universidade Tecnológica Federal do Paraná</w:t>
      </w:r>
    </w:p>
    <w:p w:rsidR="00D24E61" w:rsidRPr="00E452AE" w:rsidRDefault="00E452AE" w:rsidP="00532078">
      <w:pPr>
        <w:tabs>
          <w:tab w:val="left" w:pos="130"/>
        </w:tabs>
        <w:rPr>
          <w:sz w:val="26"/>
          <w:szCs w:val="26"/>
          <w:vertAlign w:val="superscript"/>
        </w:rPr>
      </w:pPr>
      <w:r>
        <w:rPr>
          <w:sz w:val="20"/>
          <w:szCs w:val="20"/>
        </w:rPr>
        <w:t>3.</w:t>
      </w:r>
      <w:r w:rsidR="00D24E61" w:rsidRPr="00E452AE">
        <w:rPr>
          <w:sz w:val="20"/>
          <w:szCs w:val="20"/>
        </w:rPr>
        <w:t>Jornal Gazeta do Povo. Publicado em 01/03/2013.</w:t>
      </w:r>
    </w:p>
    <w:p w:rsidR="00D24E61" w:rsidRPr="00532078" w:rsidRDefault="00D24E61" w:rsidP="00EC0E77">
      <w:pPr>
        <w:numPr>
          <w:ilvl w:val="0"/>
          <w:numId w:val="11"/>
        </w:numPr>
        <w:tabs>
          <w:tab w:val="left" w:pos="154"/>
        </w:tabs>
        <w:ind w:left="10" w:right="160" w:hanging="10"/>
        <w:rPr>
          <w:sz w:val="32"/>
          <w:szCs w:val="32"/>
          <w:vertAlign w:val="superscript"/>
        </w:rPr>
      </w:pPr>
      <w:r w:rsidRPr="00532078">
        <w:rPr>
          <w:sz w:val="20"/>
          <w:szCs w:val="20"/>
        </w:rPr>
        <w:t>O Observatório surgiu em diálogo com a iniciativa da Comissão Econômica para América Latina e o Caribe - CEPAL - de criação de um Observatório de Gênero para América Latina e Caribe como estratégia de disseminação de informações acerca das desigualdades de gênero e dos direitos das mulheres com vistas a subsidiar o processo de formulação e implementação de políticas de gênero e de políticas públicas com perspectiva de gênero no país. Saiba mais: http://www.observatoriodegenero.gov.br</w:t>
      </w:r>
    </w:p>
    <w:p w:rsidR="00D24E61" w:rsidRPr="00771368" w:rsidRDefault="00D24E61" w:rsidP="00532078">
      <w:pPr>
        <w:ind w:left="10" w:right="880"/>
        <w:jc w:val="both"/>
        <w:rPr>
          <w:color w:val="0000FF"/>
          <w:sz w:val="20"/>
          <w:szCs w:val="20"/>
          <w:u w:val="single"/>
        </w:rPr>
      </w:pPr>
      <w:r w:rsidRPr="00771368">
        <w:rPr>
          <w:sz w:val="20"/>
          <w:szCs w:val="20"/>
        </w:rPr>
        <w:t xml:space="preserve">Disponível em </w:t>
      </w:r>
      <w:hyperlink r:id="rId443">
        <w:r w:rsidRPr="00771368">
          <w:rPr>
            <w:color w:val="0000FF"/>
            <w:sz w:val="20"/>
            <w:szCs w:val="20"/>
            <w:u w:val="single"/>
          </w:rPr>
          <w:t>http://www.spm.gov.br/acesso-a-informacao/perguntas-frequentes/obig/qual-e-a-importancia-de-um-</w:t>
        </w:r>
      </w:hyperlink>
      <w:hyperlink r:id="rId444">
        <w:r w:rsidRPr="00771368">
          <w:rPr>
            <w:color w:val="0000FF"/>
            <w:sz w:val="20"/>
            <w:szCs w:val="20"/>
            <w:u w:val="single"/>
          </w:rPr>
          <w:t>observatorio-de-genero</w:t>
        </w:r>
      </w:hyperlink>
    </w:p>
    <w:p w:rsidR="00532078" w:rsidRPr="00532078" w:rsidRDefault="00D24E61" w:rsidP="00532078">
      <w:pPr>
        <w:numPr>
          <w:ilvl w:val="0"/>
          <w:numId w:val="11"/>
        </w:numPr>
        <w:tabs>
          <w:tab w:val="left" w:pos="130"/>
        </w:tabs>
        <w:spacing w:line="184" w:lineRule="auto"/>
        <w:ind w:left="130" w:hanging="130"/>
        <w:jc w:val="both"/>
        <w:rPr>
          <w:sz w:val="20"/>
          <w:szCs w:val="20"/>
        </w:rPr>
      </w:pPr>
      <w:r w:rsidRPr="00771368">
        <w:rPr>
          <w:sz w:val="20"/>
          <w:szCs w:val="20"/>
        </w:rPr>
        <w:t xml:space="preserve">Disponível em </w:t>
      </w:r>
      <w:hyperlink r:id="rId445">
        <w:r w:rsidRPr="00771368">
          <w:rPr>
            <w:color w:val="0000FF"/>
            <w:sz w:val="20"/>
            <w:szCs w:val="20"/>
            <w:u w:val="single"/>
          </w:rPr>
          <w:t>http://www.globalrights.org/site/DocServer/RELATORIO_CEDAW_FINAL_-</w:t>
        </w:r>
      </w:hyperlink>
      <w:r w:rsidR="00532078">
        <w:rPr>
          <w:sz w:val="20"/>
          <w:szCs w:val="20"/>
        </w:rPr>
        <w:t xml:space="preserve"> </w:t>
      </w:r>
      <w:hyperlink r:id="rId446">
        <w:r w:rsidR="00532078" w:rsidRPr="00532078">
          <w:rPr>
            <w:color w:val="0000FF"/>
            <w:sz w:val="19"/>
            <w:szCs w:val="19"/>
            <w:u w:val="single"/>
          </w:rPr>
          <w:t>_Portugues.pdf/749676568?docID=13324&amp;verID=1</w:t>
        </w:r>
      </w:hyperlink>
    </w:p>
    <w:p w:rsidR="00532078" w:rsidRPr="00532078" w:rsidRDefault="00532078" w:rsidP="00532078">
      <w:pPr>
        <w:numPr>
          <w:ilvl w:val="0"/>
          <w:numId w:val="11"/>
        </w:numPr>
        <w:tabs>
          <w:tab w:val="left" w:pos="130"/>
        </w:tabs>
        <w:spacing w:line="184" w:lineRule="auto"/>
        <w:ind w:left="130" w:hanging="130"/>
        <w:jc w:val="both"/>
        <w:rPr>
          <w:sz w:val="20"/>
          <w:szCs w:val="20"/>
        </w:rPr>
        <w:sectPr w:rsidR="00532078" w:rsidRPr="00532078" w:rsidSect="00D24E61">
          <w:pgSz w:w="11900" w:h="16840"/>
          <w:pgMar w:top="690" w:right="1420" w:bottom="1440" w:left="1420" w:header="0" w:footer="0" w:gutter="0"/>
          <w:cols w:space="720" w:equalWidth="0">
            <w:col w:w="9060"/>
          </w:cols>
        </w:sectPr>
      </w:pPr>
    </w:p>
    <w:p w:rsidR="00532078" w:rsidRDefault="00532078"/>
    <w:p w:rsidR="00532078" w:rsidRDefault="00532078"/>
    <w:p w:rsidR="00D24E61" w:rsidRPr="00771368" w:rsidRDefault="00532078" w:rsidP="00532078">
      <w:pPr>
        <w:spacing w:line="308" w:lineRule="auto"/>
        <w:ind w:firstLine="706"/>
        <w:jc w:val="both"/>
        <w:rPr>
          <w:sz w:val="20"/>
          <w:szCs w:val="20"/>
        </w:rPr>
      </w:pPr>
      <w:r w:rsidRPr="00771368">
        <w:rPr>
          <w:sz w:val="24"/>
          <w:szCs w:val="24"/>
        </w:rPr>
        <w:t>As pesquisas mostram que elas têm menor escolaridade e detém uma taxa de analfabetismo três vezes maior que as mulheres brancas e uma menor expectativa de vida. Um número significativo de</w:t>
      </w:r>
      <w:r>
        <w:rPr>
          <w:sz w:val="24"/>
          <w:szCs w:val="24"/>
        </w:rPr>
        <w:t xml:space="preserve"> </w:t>
      </w:r>
      <w:r w:rsidR="00D24E61" w:rsidRPr="00771368">
        <w:rPr>
          <w:sz w:val="24"/>
          <w:szCs w:val="24"/>
        </w:rPr>
        <w:t>trabalhadoras negras está sem ocupação, sem acesso à previdência, residem em ambientes insalubres e são responsáveis pelo cuidado e sustento do grupo familiar. Dados (IPEA, 2011) explicitam que, no contexto da informalidade 21,4% das mulheres negras estão no trabalho doméstico e nas menores proporções de trabalho com carteira assinada (23,3%). Assim, são elas que a partir dos dados sobre renda detém a pior posição na escala social.</w:t>
      </w:r>
    </w:p>
    <w:p w:rsidR="00D24E61" w:rsidRPr="00771368" w:rsidRDefault="00D24E61">
      <w:pPr>
        <w:spacing w:line="74" w:lineRule="exact"/>
        <w:rPr>
          <w:sz w:val="20"/>
          <w:szCs w:val="20"/>
        </w:rPr>
      </w:pPr>
    </w:p>
    <w:p w:rsidR="00D24E61" w:rsidRPr="00771368" w:rsidRDefault="00D24E61">
      <w:pPr>
        <w:spacing w:line="343" w:lineRule="auto"/>
        <w:ind w:right="20" w:firstLine="706"/>
        <w:jc w:val="both"/>
        <w:rPr>
          <w:sz w:val="20"/>
          <w:szCs w:val="20"/>
        </w:rPr>
      </w:pPr>
      <w:r w:rsidRPr="00771368">
        <w:rPr>
          <w:sz w:val="24"/>
          <w:szCs w:val="24"/>
        </w:rPr>
        <w:t>Apesar desses dados, há uma defesa que a situação dos negros em geral e da mulher negra, especificamente, mostram uma relação de pobreza e não de racismo e, muito menos, de sexismo. Alguns até criticam as medidas criadas para minimizar as desigualdades como, por exemplo, as cotas raciais, que seriam privilégio para uma categoria e um “racismo as avessas”.</w:t>
      </w:r>
    </w:p>
    <w:p w:rsidR="00D24E61" w:rsidRPr="00771368" w:rsidRDefault="00D24E61">
      <w:pPr>
        <w:spacing w:line="79" w:lineRule="exact"/>
        <w:rPr>
          <w:sz w:val="20"/>
          <w:szCs w:val="20"/>
        </w:rPr>
      </w:pPr>
    </w:p>
    <w:p w:rsidR="00D24E61" w:rsidRPr="00771368" w:rsidRDefault="00D24E61">
      <w:pPr>
        <w:spacing w:line="353" w:lineRule="auto"/>
        <w:ind w:firstLine="706"/>
        <w:jc w:val="both"/>
        <w:rPr>
          <w:sz w:val="20"/>
          <w:szCs w:val="20"/>
        </w:rPr>
      </w:pPr>
      <w:r w:rsidRPr="00771368">
        <w:rPr>
          <w:sz w:val="24"/>
          <w:szCs w:val="24"/>
        </w:rPr>
        <w:t>Mesmo com toda a polêmica e considerando os dados relativos aos negros, de forma geral, criam-se nas universidades federais os processos de ações afirmativas, principalmente o concernente as cotas raciais, que ensejaram grandes discussões no país e ganharam destaca na mídia, particularmente após a aprovação da lei nº 12.711, de 29 de agosto de 2012. Esta lei dispõe sobre o ingresso nas universidades e institutos federais, determinando que estes deverão reservar 50% de suas vagas a estudantes que tenham cursado integralmente o ensino médio em escolas públicas. Destas vagas, deverão ser ofertadas ainda 50% para estudantes com renda per capita inferior a um salário e meio e para estudantes que se autodeterminarem pretos, pardos e índios.</w:t>
      </w:r>
    </w:p>
    <w:p w:rsidR="00D24E61" w:rsidRPr="00771368" w:rsidRDefault="00D24E61">
      <w:pPr>
        <w:spacing w:line="66" w:lineRule="exact"/>
        <w:rPr>
          <w:sz w:val="20"/>
          <w:szCs w:val="20"/>
        </w:rPr>
      </w:pPr>
    </w:p>
    <w:p w:rsidR="00D24E61" w:rsidRPr="00771368" w:rsidRDefault="00D24E61">
      <w:pPr>
        <w:spacing w:line="353" w:lineRule="auto"/>
        <w:ind w:firstLine="706"/>
        <w:jc w:val="both"/>
        <w:rPr>
          <w:sz w:val="20"/>
          <w:szCs w:val="20"/>
        </w:rPr>
      </w:pPr>
      <w:r w:rsidRPr="00771368">
        <w:rPr>
          <w:sz w:val="24"/>
          <w:szCs w:val="24"/>
        </w:rPr>
        <w:t>Nesta perspectiva, este artigo analisa as abordagens sobre gênero e relações étnico raciais na história da ciência e apresenta dados sobre a mulher negra pontuando sua relação com o trabalho doméstico no Brasil. Em seguida, será analisada a forma como a lei 12.711 de 2012 foi instituída na UTFPR, a partir de dados preliminares da engenharia civil (considerada predominantemente de homens) e da Licenciatura de Letras/Inglês (campo predominantemente de mulheres) no campus Curitiba. Também são apresentadas a implantação das novas categorias de cotas, destacando as cotas raciais. Em seguida, será discutido como, apesar dos dados que apontam o racismo à brasileira, ainda persiste o mito da democracia racial.</w:t>
      </w:r>
    </w:p>
    <w:p w:rsidR="00D24E61" w:rsidRPr="00771368" w:rsidRDefault="00D24E61">
      <w:pPr>
        <w:spacing w:line="200" w:lineRule="exact"/>
        <w:rPr>
          <w:sz w:val="20"/>
          <w:szCs w:val="20"/>
        </w:rPr>
      </w:pPr>
    </w:p>
    <w:p w:rsidR="00D24E61" w:rsidRPr="00771368" w:rsidRDefault="00D24E61">
      <w:pPr>
        <w:spacing w:line="225" w:lineRule="exact"/>
        <w:rPr>
          <w:sz w:val="20"/>
          <w:szCs w:val="20"/>
        </w:rPr>
      </w:pPr>
    </w:p>
    <w:p w:rsidR="00D24E61" w:rsidRPr="00771368" w:rsidRDefault="00D24E61">
      <w:pPr>
        <w:rPr>
          <w:sz w:val="20"/>
          <w:szCs w:val="20"/>
        </w:rPr>
      </w:pPr>
      <w:r w:rsidRPr="00771368">
        <w:rPr>
          <w:b/>
          <w:bCs/>
          <w:sz w:val="24"/>
          <w:szCs w:val="24"/>
        </w:rPr>
        <w:t>Mulher Negra: uma construção da Ciência</w:t>
      </w:r>
    </w:p>
    <w:p w:rsidR="00D24E61" w:rsidRPr="00771368" w:rsidRDefault="00D24E61">
      <w:pPr>
        <w:spacing w:line="191" w:lineRule="exact"/>
        <w:rPr>
          <w:sz w:val="20"/>
          <w:szCs w:val="20"/>
        </w:rPr>
      </w:pPr>
    </w:p>
    <w:p w:rsidR="00D24E61" w:rsidRPr="00771368" w:rsidRDefault="00D24E61">
      <w:pPr>
        <w:spacing w:line="308" w:lineRule="auto"/>
        <w:ind w:firstLine="706"/>
        <w:jc w:val="both"/>
        <w:rPr>
          <w:sz w:val="20"/>
          <w:szCs w:val="20"/>
        </w:rPr>
      </w:pPr>
      <w:r w:rsidRPr="00771368">
        <w:rPr>
          <w:sz w:val="24"/>
          <w:szCs w:val="24"/>
        </w:rPr>
        <w:t>Nas pesquisas referentes à mulher, gênero e tecnologia, discute-se a pouca inserção das mulheres negras nas ciências, destacando-se as engenharias, as áreas exatas e tecnológicas.</w:t>
      </w:r>
    </w:p>
    <w:p w:rsidR="00D24E61" w:rsidRPr="00771368" w:rsidRDefault="00D24E61">
      <w:pPr>
        <w:spacing w:line="122" w:lineRule="exact"/>
        <w:rPr>
          <w:sz w:val="20"/>
          <w:szCs w:val="20"/>
        </w:rPr>
      </w:pPr>
    </w:p>
    <w:p w:rsidR="00D24E61" w:rsidRPr="00771368" w:rsidRDefault="00D24E61">
      <w:pPr>
        <w:spacing w:line="349" w:lineRule="auto"/>
        <w:ind w:firstLine="706"/>
        <w:jc w:val="both"/>
        <w:rPr>
          <w:sz w:val="20"/>
          <w:szCs w:val="20"/>
        </w:rPr>
      </w:pPr>
      <w:r w:rsidRPr="00771368">
        <w:rPr>
          <w:sz w:val="24"/>
          <w:szCs w:val="24"/>
        </w:rPr>
        <w:t>Para Silva (1999), é fato incontestável que o meio acadêmico reflete e reproduz estereótipos de gênero especialmente no campo cognitivo. Para a autora, os estudos de gênero e ciências se avolumaram enquadrando-se em três grandes abordagens que são: a estrutural, que analisa a presença, a colocação e a visibilidade das mulheres nas instituições científicas; a epistemológica, que questiona os modos de produção do conhecimento a partir de uma crítica aos princípios norteadores do principio hegemônico científico e análise dos discursos e das representações das mulheres nas ciências, com o homem associado</w:t>
      </w:r>
    </w:p>
    <w:p w:rsidR="00D24E61" w:rsidRPr="00771368" w:rsidRDefault="00D24E61">
      <w:pPr>
        <w:rPr>
          <w:sz w:val="20"/>
          <w:szCs w:val="20"/>
        </w:rPr>
      </w:pPr>
      <w:r w:rsidRPr="00771368">
        <w:rPr>
          <w:sz w:val="24"/>
          <w:szCs w:val="24"/>
        </w:rPr>
        <w:t>a razão e a mulher à natureza. A mulher negra, porém, historicamente, é vista de acordo com a visão</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“científica” etnocêntrica europeia, como parte da natureza.</w:t>
      </w:r>
    </w:p>
    <w:p w:rsidR="00D24E61" w:rsidRPr="00771368" w:rsidRDefault="00D24E61">
      <w:pPr>
        <w:spacing w:line="195" w:lineRule="exact"/>
        <w:rPr>
          <w:sz w:val="20"/>
          <w:szCs w:val="20"/>
        </w:rPr>
      </w:pPr>
    </w:p>
    <w:p w:rsidR="00D24E61" w:rsidRPr="00771368" w:rsidRDefault="00D24E61">
      <w:pPr>
        <w:spacing w:line="347" w:lineRule="auto"/>
        <w:ind w:firstLine="763"/>
        <w:jc w:val="both"/>
        <w:rPr>
          <w:sz w:val="20"/>
          <w:szCs w:val="20"/>
        </w:rPr>
      </w:pPr>
      <w:r w:rsidRPr="00771368">
        <w:rPr>
          <w:sz w:val="24"/>
          <w:szCs w:val="24"/>
        </w:rPr>
        <w:t>Para Schwarcz (1993), no século XVIII, a partir do legado da Revolução Francesa e do Iluminismo, estabelecem-se bases filosóficas para pensar a humanidade enquanto totalidade. Pensar igualdade e liberdade leva a uma universalização destes princípios, como um modelo imposto pela natureza. Porém, a partir da metade do século XVIII, havia vertentes mais negativas, como Buffon, com sua tese de “infantilidade do continente” e De Pauw, com a teoria de “degeneração americana”.</w:t>
      </w:r>
    </w:p>
    <w:p w:rsidR="00D24E61" w:rsidRPr="00771368" w:rsidRDefault="00D24E61">
      <w:pPr>
        <w:spacing w:line="17" w:lineRule="exact"/>
        <w:rPr>
          <w:sz w:val="20"/>
          <w:szCs w:val="20"/>
        </w:rPr>
      </w:pPr>
    </w:p>
    <w:p w:rsidR="00D24E61" w:rsidRPr="00771368" w:rsidRDefault="00D24E61">
      <w:pPr>
        <w:rPr>
          <w:sz w:val="20"/>
          <w:szCs w:val="20"/>
        </w:rPr>
      </w:pPr>
      <w:r w:rsidRPr="00771368">
        <w:rPr>
          <w:sz w:val="24"/>
          <w:szCs w:val="24"/>
        </w:rPr>
        <w:t>(Schwarcz, 1993).</w:t>
      </w:r>
    </w:p>
    <w:p w:rsidR="00D24E61" w:rsidRPr="00771368" w:rsidRDefault="00D24E61">
      <w:pPr>
        <w:spacing w:line="200" w:lineRule="exact"/>
        <w:rPr>
          <w:sz w:val="20"/>
          <w:szCs w:val="20"/>
        </w:rPr>
      </w:pPr>
    </w:p>
    <w:p w:rsidR="00D24E61" w:rsidRPr="00771368" w:rsidRDefault="00D24E61">
      <w:pPr>
        <w:spacing w:line="342" w:lineRule="auto"/>
        <w:ind w:right="20" w:firstLine="706"/>
        <w:jc w:val="both"/>
        <w:rPr>
          <w:sz w:val="20"/>
          <w:szCs w:val="20"/>
        </w:rPr>
      </w:pPr>
      <w:r w:rsidRPr="00771368">
        <w:rPr>
          <w:sz w:val="24"/>
          <w:szCs w:val="24"/>
        </w:rPr>
        <w:t>Buffon caracteriza o continente americano sob o signo da carência: o pequeno porte de animais, a proliferação de espécies pequenas, de répteis e de insetos, a ausência de pelos nos homens, parecia corroborar a tese de debilidade e imaturidade. Cornelius de Paw afirmava que os americanos não eram apenas “imaturos” como “decaídos”. (Schwarcz, 1993).</w:t>
      </w:r>
    </w:p>
    <w:p w:rsidR="00D24E61" w:rsidRPr="00771368" w:rsidRDefault="00D24E61">
      <w:pPr>
        <w:spacing w:line="84" w:lineRule="exact"/>
        <w:rPr>
          <w:sz w:val="20"/>
          <w:szCs w:val="20"/>
        </w:rPr>
      </w:pPr>
    </w:p>
    <w:p w:rsidR="00D24E61" w:rsidRPr="00771368" w:rsidRDefault="00D24E61">
      <w:pPr>
        <w:spacing w:line="351" w:lineRule="auto"/>
        <w:ind w:firstLine="706"/>
        <w:jc w:val="both"/>
        <w:rPr>
          <w:sz w:val="20"/>
          <w:szCs w:val="20"/>
        </w:rPr>
      </w:pPr>
      <w:r w:rsidRPr="00771368">
        <w:rPr>
          <w:sz w:val="24"/>
          <w:szCs w:val="24"/>
        </w:rPr>
        <w:t>Apesar disso, no final do século XVIII, um certo otimismo da Revolução Francesa ainda considera os diversos grupos como povos, nações e não como diferentes raças em suas conformações. Para a autora, o termo raça é introduzido na literatura mais especializada em início do século XIX por Georges Cuvier, delineando a partir de então “uma certa reorientação intelectual, uma reação ao Iluminismo em sua visão unitária de humanidade” já que nesses grupos discorre-se mais sobre as determinações do grupo biológico.( SCHWARCZ, 1993,p.47) Exemplo dessa visão é a história de Saartjie Baartmann da África do Sul, que vai para a Europa em 1810.</w:t>
      </w:r>
    </w:p>
    <w:p w:rsidR="00D24E61" w:rsidRPr="00771368" w:rsidRDefault="00D24E61">
      <w:pPr>
        <w:spacing w:line="70" w:lineRule="exact"/>
        <w:rPr>
          <w:sz w:val="20"/>
          <w:szCs w:val="20"/>
        </w:rPr>
      </w:pPr>
    </w:p>
    <w:p w:rsidR="00D24E61" w:rsidRPr="00771368" w:rsidRDefault="00D24E61">
      <w:pPr>
        <w:spacing w:line="353" w:lineRule="auto"/>
        <w:ind w:firstLine="706"/>
        <w:jc w:val="both"/>
        <w:rPr>
          <w:sz w:val="20"/>
          <w:szCs w:val="20"/>
        </w:rPr>
      </w:pPr>
      <w:r w:rsidRPr="00771368">
        <w:rPr>
          <w:sz w:val="24"/>
          <w:szCs w:val="24"/>
        </w:rPr>
        <w:t>Sarah Bartmann, como foi batizada depois, media 1,35m de altura, era negra, tinha as nádegas grandes e pertencia ao povo de baixa estatura conhecido como hotentote pelos colonizadores. Para Citeli (2001), a mulher negra foi construída historicamente pela ciência como um ser inferior como se constata na história dessa sul africana. A autora conta como Sarah Bartmann começa a fazer sucesso em espetáculos e logo atrai a atenção de cientistas na França, quando passam a estudá-la. Quando ela morre, com 26 anos, seu corpo é entregue a esses cientistas que dissecam seu cadáver e tiram o molde de seus genitais. Cuvier, cientista francês citado anteriormente, estuda o corpo de Bartmann e começa a chama-la de Vênus Hottentotte, enfatizando sua sexualidade. Citeli narra as conclusões de Cuvier:</w:t>
      </w:r>
    </w:p>
    <w:p w:rsidR="00D24E61" w:rsidRPr="00771368" w:rsidRDefault="00D24E61">
      <w:pPr>
        <w:spacing w:line="356" w:lineRule="exact"/>
        <w:rPr>
          <w:sz w:val="20"/>
          <w:szCs w:val="20"/>
        </w:rPr>
      </w:pPr>
    </w:p>
    <w:p w:rsidR="00D24E61" w:rsidRPr="00771368" w:rsidRDefault="00D24E61">
      <w:pPr>
        <w:spacing w:line="232" w:lineRule="auto"/>
        <w:ind w:left="2260"/>
        <w:jc w:val="both"/>
        <w:rPr>
          <w:sz w:val="20"/>
          <w:szCs w:val="20"/>
        </w:rPr>
      </w:pPr>
      <w:r w:rsidRPr="00771368">
        <w:rPr>
          <w:sz w:val="20"/>
          <w:szCs w:val="20"/>
        </w:rPr>
        <w:t>Ao tratar do achatamento de seus ossos nasais, Cuvier afirma que jamais vira "uma cabeça humana mais similar à dos macacos"; discorrendo sobre a anormalidade de seu pequeno crânio (nada surpreendente para uma mulher de 1,35 m), classifica-a de "estúpida", em virtude da "lei cruel que parece ter condenado a uma eterna inferioridade aquelas raças que têm crânios pequenos e comprimidos”. Cuvier teria daí inferido certos comportamentos de Bartmann: movimentos bruscos que recordavam os dos macacos e uma maneira de mexer os lábios idêntica à dos orangotangos. (Citeli, 2001, p.61).</w:t>
      </w:r>
    </w:p>
    <w:p w:rsidR="00D24E61" w:rsidRPr="00771368" w:rsidRDefault="00D24E61">
      <w:pPr>
        <w:sectPr w:rsidR="00D24E61" w:rsidRPr="00771368">
          <w:pgSz w:w="11900" w:h="16838"/>
          <w:pgMar w:top="700" w:right="840" w:bottom="711" w:left="860" w:header="0" w:footer="0" w:gutter="0"/>
          <w:cols w:space="720" w:equalWidth="0">
            <w:col w:w="10200"/>
          </w:cols>
        </w:sectPr>
      </w:pPr>
    </w:p>
    <w:p w:rsidR="00D24E61" w:rsidRPr="00771368" w:rsidRDefault="00D24E61">
      <w:pPr>
        <w:spacing w:line="367" w:lineRule="exact"/>
        <w:rPr>
          <w:sz w:val="20"/>
          <w:szCs w:val="20"/>
        </w:rPr>
      </w:pPr>
    </w:p>
    <w:p w:rsidR="00D24E61" w:rsidRPr="00771368" w:rsidRDefault="00D24E61" w:rsidP="00532078">
      <w:pPr>
        <w:spacing w:line="333" w:lineRule="auto"/>
        <w:ind w:firstLine="706"/>
        <w:jc w:val="both"/>
        <w:rPr>
          <w:sz w:val="20"/>
          <w:szCs w:val="20"/>
        </w:rPr>
      </w:pPr>
      <w:r w:rsidRPr="00771368">
        <w:rPr>
          <w:sz w:val="24"/>
          <w:szCs w:val="24"/>
        </w:rPr>
        <w:t>Em relação à sexualidade e as características dos órgãos genitais de Bartmann, Cuvier explicava que “os lábios inferiores dos genitais femininos se desenvolvem muito nas hotentotes e podem chegar a medir de 8 até 10 cm, dando a impressão de uma cortina de pele independente.” (CITELI, 201, p. 167). O</w:t>
      </w:r>
      <w:r w:rsidR="00532078">
        <w:rPr>
          <w:sz w:val="24"/>
          <w:szCs w:val="24"/>
        </w:rPr>
        <w:t xml:space="preserve"> </w:t>
      </w:r>
      <w:r w:rsidRPr="00771368">
        <w:rPr>
          <w:sz w:val="24"/>
          <w:szCs w:val="24"/>
        </w:rPr>
        <w:t>cientista relacionava sexualidade e animalidade e chegou a afirmar que com a proximidade do Egito, os lábios inferiores do genital deviam diminuir, visto que o povo egípcio era considerado caucasiano.</w:t>
      </w:r>
    </w:p>
    <w:p w:rsidR="00D24E61" w:rsidRPr="00771368" w:rsidRDefault="00D24E61">
      <w:pPr>
        <w:spacing w:line="117" w:lineRule="exact"/>
        <w:rPr>
          <w:sz w:val="20"/>
          <w:szCs w:val="20"/>
        </w:rPr>
      </w:pPr>
    </w:p>
    <w:p w:rsidR="00D24E61" w:rsidRPr="00771368" w:rsidRDefault="00D24E61">
      <w:pPr>
        <w:spacing w:line="347" w:lineRule="auto"/>
        <w:ind w:firstLine="706"/>
        <w:jc w:val="both"/>
        <w:rPr>
          <w:sz w:val="20"/>
          <w:szCs w:val="20"/>
        </w:rPr>
      </w:pPr>
      <w:r w:rsidRPr="00771368">
        <w:rPr>
          <w:sz w:val="24"/>
          <w:szCs w:val="24"/>
        </w:rPr>
        <w:t>Schiebinger (2001) afirma que esses valores são formados por circunstâncias históricas e discorda que raça e sexo sejam o mesmo problema no contexto do início do século XIX. Stepan (2005), ao estudar a eugenia, contrapõe-se a essa visão quando afirma que raça está relacionada ao problema de interpretação científica. Eugenia é considerada uma ciência de “aprimoramento racial” e para a autora, teve uma grande influência também na América Latina.</w:t>
      </w:r>
    </w:p>
    <w:p w:rsidR="00D24E61" w:rsidRPr="00771368" w:rsidRDefault="00D24E61">
      <w:pPr>
        <w:spacing w:line="75" w:lineRule="exact"/>
        <w:rPr>
          <w:sz w:val="20"/>
          <w:szCs w:val="20"/>
        </w:rPr>
      </w:pPr>
    </w:p>
    <w:p w:rsidR="00D24E61" w:rsidRPr="00771368" w:rsidRDefault="00D24E61">
      <w:pPr>
        <w:spacing w:line="347" w:lineRule="auto"/>
        <w:ind w:right="20" w:firstLine="706"/>
        <w:jc w:val="both"/>
        <w:rPr>
          <w:sz w:val="20"/>
          <w:szCs w:val="20"/>
        </w:rPr>
      </w:pPr>
      <w:r w:rsidRPr="00771368">
        <w:rPr>
          <w:sz w:val="24"/>
          <w:szCs w:val="24"/>
        </w:rPr>
        <w:t>Nos estudos sobre a origem do homem, há duas vertentes que aglutinaram diferentes autores: a visão monogenista, dominante até o século XIX, que congrega a maior parte dos pensadores e acreditava que a humanidade tinha a mesma origem e podiam ser um produto de maior perfeição ou degeneração divina. A poligenista, a partir do século XIX, que acredita em vários centros de criação, responsáveis pelas diferenças raciais observadas. (Schwarcz, 1993).</w:t>
      </w:r>
    </w:p>
    <w:p w:rsidR="00D24E61" w:rsidRPr="00771368" w:rsidRDefault="00D24E61">
      <w:pPr>
        <w:spacing w:line="79" w:lineRule="exact"/>
        <w:rPr>
          <w:sz w:val="20"/>
          <w:szCs w:val="20"/>
        </w:rPr>
      </w:pPr>
    </w:p>
    <w:p w:rsidR="00D24E61" w:rsidRPr="00771368" w:rsidRDefault="00D24E61">
      <w:pPr>
        <w:spacing w:line="351" w:lineRule="auto"/>
        <w:ind w:firstLine="706"/>
        <w:jc w:val="both"/>
        <w:rPr>
          <w:sz w:val="20"/>
          <w:szCs w:val="20"/>
        </w:rPr>
      </w:pPr>
      <w:r w:rsidRPr="00771368">
        <w:rPr>
          <w:sz w:val="24"/>
          <w:szCs w:val="24"/>
        </w:rPr>
        <w:t>Essa visão permite o fortalecimento do aspecto biológico na análise do comportamento humano, encorajando a utilização da frenologia e da antropometria que passam a interpretar o conhecimento humano de acordo com o tamanho e proporção do cérebro. Essa linha se afasta de modelos humanistas e ganha forma novos tipos de análise como as análises biológicas do comportamento criminoso e das doenças mentais. Se nesta vertente, o ser humano se constitui como espécie diversa, não deveriam existir formas de fraternidade, igualdade ou trocas entre povos. (Schwarcz, 1993). Nesta perspectiva, constata-se cada vez mais a inferioridade do negro e da mulher, estando a mulher negra na pior escala de análise.</w:t>
      </w:r>
    </w:p>
    <w:p w:rsidR="00D24E61" w:rsidRPr="00771368" w:rsidRDefault="00D24E61">
      <w:pPr>
        <w:spacing w:line="16" w:lineRule="exact"/>
        <w:rPr>
          <w:sz w:val="20"/>
          <w:szCs w:val="20"/>
        </w:rPr>
      </w:pPr>
    </w:p>
    <w:p w:rsidR="00D24E61" w:rsidRPr="00771368" w:rsidRDefault="00D24E61">
      <w:pPr>
        <w:rPr>
          <w:sz w:val="20"/>
          <w:szCs w:val="20"/>
        </w:rPr>
      </w:pPr>
      <w:r w:rsidRPr="00771368">
        <w:rPr>
          <w:b/>
          <w:bCs/>
          <w:sz w:val="24"/>
          <w:szCs w:val="24"/>
        </w:rPr>
        <w:t>Raça e Eugenia no Brasil</w:t>
      </w:r>
    </w:p>
    <w:p w:rsidR="00D24E61" w:rsidRPr="00771368" w:rsidRDefault="00D24E61">
      <w:pPr>
        <w:spacing w:line="195" w:lineRule="exact"/>
        <w:rPr>
          <w:sz w:val="20"/>
          <w:szCs w:val="20"/>
        </w:rPr>
      </w:pPr>
    </w:p>
    <w:p w:rsidR="00D24E61" w:rsidRPr="00771368" w:rsidRDefault="00D24E61">
      <w:pPr>
        <w:spacing w:line="351" w:lineRule="auto"/>
        <w:ind w:firstLine="706"/>
        <w:jc w:val="both"/>
        <w:rPr>
          <w:sz w:val="20"/>
          <w:szCs w:val="20"/>
        </w:rPr>
      </w:pPr>
      <w:r w:rsidRPr="00771368">
        <w:rPr>
          <w:sz w:val="24"/>
          <w:szCs w:val="24"/>
        </w:rPr>
        <w:t>Não há dúvida que a estratificação social tem forte relação com a questão da cor no Brasil. Skidmore (1991) afirma que a resposta que se dá a isso pela elite e cientistas sociais tem sido uma utilização da tese assimilacionista, ou seja, o problema seria a classe, não a cor. Dessa forma, não há discriminação, mas um passado socioeconômico desvantajoso consequência da escravidão brasileira. Por essa lógica assimilacionista, quando a pobreza declinar, isto automaticamente ocorrerá com a condição dos negros. Nesta parte da nossa pesquisa, busca-se mostrar como se dá historicamente a formação da identidade da mulher negra, argumentando contra a tese assimilacionista preconizada na nossa sociedade.</w:t>
      </w:r>
    </w:p>
    <w:p w:rsidR="00D24E61" w:rsidRPr="00771368" w:rsidRDefault="00D24E61">
      <w:pPr>
        <w:spacing w:line="70" w:lineRule="exact"/>
        <w:rPr>
          <w:sz w:val="20"/>
          <w:szCs w:val="20"/>
        </w:rPr>
      </w:pPr>
    </w:p>
    <w:p w:rsidR="00532078" w:rsidRDefault="00D24E61" w:rsidP="00532078">
      <w:pPr>
        <w:spacing w:line="352" w:lineRule="auto"/>
        <w:ind w:firstLine="706"/>
        <w:jc w:val="both"/>
        <w:rPr>
          <w:sz w:val="24"/>
          <w:szCs w:val="24"/>
        </w:rPr>
      </w:pPr>
      <w:r w:rsidRPr="00771368">
        <w:rPr>
          <w:sz w:val="24"/>
          <w:szCs w:val="24"/>
        </w:rPr>
        <w:t>Para Stepan (2005) a ciência é uma força produtiva que gera conhecimento e práticas que conformam o mundo em que vivemos. Para a autora, a ciência tem uma grande autoridade moral no mundo moderno, baseada no seu caráter de factualidade, neutralidade e universalidade. Ela produz estereótipos, construções sociais percepções e “técnicas que conformaram interpretações culturais e levaram ao desenvolvimento de estratégias sociais”. Assim, eugenia como ciência “produziu percepções e técnicas que conformaram interpretações culturais e levaram ao desenvolvimento de interpretações sociais.” (Stepan, 2005, p.17)</w:t>
      </w:r>
    </w:p>
    <w:p w:rsidR="00D24E61" w:rsidRPr="00771368" w:rsidRDefault="00D24E61" w:rsidP="00532078">
      <w:pPr>
        <w:spacing w:line="352" w:lineRule="auto"/>
        <w:ind w:firstLine="706"/>
        <w:jc w:val="both"/>
        <w:rPr>
          <w:sz w:val="20"/>
          <w:szCs w:val="20"/>
        </w:rPr>
      </w:pPr>
      <w:r w:rsidRPr="00771368">
        <w:rPr>
          <w:sz w:val="24"/>
          <w:szCs w:val="24"/>
        </w:rPr>
        <w:t>Dessa forma, a raça está relacionada aos problemas de interpretação científica, já que fornece um conjunto de conceitos e princípios políticos, que seriam derivados de diferenças biológicas. Esta visão utiliza a ciência como uma forma de respaldo para afirmação da superioridade de um povo pelo outro.</w:t>
      </w:r>
    </w:p>
    <w:p w:rsidR="00D24E61" w:rsidRPr="00771368" w:rsidRDefault="00D24E61">
      <w:pPr>
        <w:spacing w:line="32" w:lineRule="exact"/>
        <w:rPr>
          <w:sz w:val="20"/>
          <w:szCs w:val="20"/>
        </w:rPr>
      </w:pPr>
    </w:p>
    <w:p w:rsidR="00D24E61" w:rsidRPr="00771368" w:rsidRDefault="00D24E61">
      <w:pPr>
        <w:ind w:left="700"/>
        <w:rPr>
          <w:sz w:val="20"/>
          <w:szCs w:val="20"/>
        </w:rPr>
      </w:pPr>
      <w:r w:rsidRPr="00771368">
        <w:rPr>
          <w:sz w:val="24"/>
          <w:szCs w:val="24"/>
        </w:rPr>
        <w:t>Stepan (2005) afirma que a eugenia estava relacionada às diferenças também de sexo e de gênero:</w:t>
      </w:r>
    </w:p>
    <w:p w:rsidR="00D24E61" w:rsidRPr="00771368" w:rsidRDefault="00D24E61">
      <w:pPr>
        <w:spacing w:line="200" w:lineRule="exact"/>
        <w:rPr>
          <w:sz w:val="20"/>
          <w:szCs w:val="20"/>
        </w:rPr>
      </w:pPr>
    </w:p>
    <w:p w:rsidR="00D24E61" w:rsidRPr="00771368" w:rsidRDefault="00D24E61">
      <w:pPr>
        <w:spacing w:line="290" w:lineRule="exact"/>
        <w:rPr>
          <w:sz w:val="20"/>
          <w:szCs w:val="20"/>
        </w:rPr>
      </w:pPr>
    </w:p>
    <w:p w:rsidR="00D24E61" w:rsidRPr="00771368" w:rsidRDefault="00D24E61">
      <w:pPr>
        <w:spacing w:line="231" w:lineRule="auto"/>
        <w:ind w:left="2260"/>
        <w:jc w:val="both"/>
        <w:rPr>
          <w:sz w:val="20"/>
          <w:szCs w:val="20"/>
        </w:rPr>
      </w:pPr>
      <w:r w:rsidRPr="00771368">
        <w:rPr>
          <w:sz w:val="20"/>
          <w:szCs w:val="20"/>
        </w:rPr>
        <w:t>“os eugenistas preocupavam-se particularmente com as mulheres porque consideravam que a reprodução definia o papel social das mulheres, muito mais que a dos homens; além disso, as mulheres eram mais vulneráveis e socialmente dependentes que os homens, o que fazia com que a administração de suas vidas reprodutivo-hereditárias parecesse mais urgente e mais factível. Assim, as prescrições e proscrições eugênicas recaíam diferenciadamente entre homens e mulheres.” (STEPAN, 2005.p. 18)</w:t>
      </w:r>
    </w:p>
    <w:p w:rsidR="00D24E61" w:rsidRPr="00771368" w:rsidRDefault="00D24E61">
      <w:pPr>
        <w:spacing w:line="359" w:lineRule="exact"/>
        <w:rPr>
          <w:sz w:val="20"/>
          <w:szCs w:val="20"/>
        </w:rPr>
      </w:pPr>
    </w:p>
    <w:p w:rsidR="00D24E61" w:rsidRPr="00771368" w:rsidRDefault="00D24E61">
      <w:pPr>
        <w:spacing w:line="347" w:lineRule="auto"/>
        <w:ind w:firstLine="706"/>
        <w:jc w:val="both"/>
        <w:rPr>
          <w:sz w:val="20"/>
          <w:szCs w:val="20"/>
        </w:rPr>
      </w:pPr>
      <w:r w:rsidRPr="00771368">
        <w:rPr>
          <w:sz w:val="24"/>
          <w:szCs w:val="24"/>
        </w:rPr>
        <w:t>Para entender a eugenia no Brasil, é importante destacar que na segunda metade do século XX, a situação de miséria e saúde dos pobres era vista na consciência pública, como uma questão nacional. O grupo que mais inquietava os médicos, os especialistas em saneamento e os reformadores brasileiros eram em grande parte constituídos por negros e mulatos. Os preconceitos de classe e raça fundiram-se no conceito de hereditariedade.</w:t>
      </w:r>
    </w:p>
    <w:p w:rsidR="00D24E61" w:rsidRPr="00771368" w:rsidRDefault="00D24E61">
      <w:pPr>
        <w:spacing w:line="74" w:lineRule="exact"/>
        <w:rPr>
          <w:sz w:val="20"/>
          <w:szCs w:val="20"/>
        </w:rPr>
      </w:pPr>
    </w:p>
    <w:p w:rsidR="00D24E61" w:rsidRPr="00771368" w:rsidRDefault="00D24E61">
      <w:pPr>
        <w:spacing w:line="350" w:lineRule="auto"/>
        <w:ind w:firstLine="706"/>
        <w:jc w:val="both"/>
        <w:rPr>
          <w:sz w:val="20"/>
          <w:szCs w:val="20"/>
        </w:rPr>
      </w:pPr>
      <w:r w:rsidRPr="00771368">
        <w:rPr>
          <w:sz w:val="24"/>
          <w:szCs w:val="24"/>
        </w:rPr>
        <w:t>Diwan (2007) pontua que para os médicos da primeira Faculdade de Medicina do país, em Salvador, a miscigenação era impedimento para o desenvolvimento do país, já que a mistura proporcionava loucura, criminalidade e doença. A escola se inspirou em Raimundo Nina Rodrigues, médico legista e antropólogo, que propugnava existir a “inferioridade racial negra, tendo debatido durante o final do século XIX a construção do saber médico do país, a higiene pública, principalmente a epidemiologia e a sua inter-relação com outras instituições, fossem médicas ou de direito.” (DIWAN,</w:t>
      </w:r>
    </w:p>
    <w:p w:rsidR="00D24E61" w:rsidRPr="00771368" w:rsidRDefault="00D24E61">
      <w:pPr>
        <w:spacing w:line="14" w:lineRule="exact"/>
        <w:rPr>
          <w:sz w:val="20"/>
          <w:szCs w:val="20"/>
        </w:rPr>
      </w:pPr>
    </w:p>
    <w:p w:rsidR="00D24E61" w:rsidRPr="00771368" w:rsidRDefault="00D24E61">
      <w:pPr>
        <w:rPr>
          <w:sz w:val="20"/>
          <w:szCs w:val="20"/>
        </w:rPr>
      </w:pPr>
      <w:r w:rsidRPr="00771368">
        <w:rPr>
          <w:sz w:val="24"/>
          <w:szCs w:val="24"/>
        </w:rPr>
        <w:t>2007, p.92)</w:t>
      </w:r>
    </w:p>
    <w:p w:rsidR="00D24E61" w:rsidRPr="00771368" w:rsidRDefault="00D24E61">
      <w:pPr>
        <w:spacing w:line="195" w:lineRule="exact"/>
        <w:rPr>
          <w:sz w:val="20"/>
          <w:szCs w:val="20"/>
        </w:rPr>
      </w:pPr>
    </w:p>
    <w:p w:rsidR="00D24E61" w:rsidRPr="00771368" w:rsidRDefault="00D24E61">
      <w:pPr>
        <w:spacing w:line="308" w:lineRule="auto"/>
        <w:ind w:firstLine="706"/>
        <w:jc w:val="both"/>
        <w:rPr>
          <w:sz w:val="20"/>
          <w:szCs w:val="20"/>
        </w:rPr>
      </w:pPr>
      <w:r w:rsidRPr="00771368">
        <w:rPr>
          <w:sz w:val="24"/>
          <w:szCs w:val="24"/>
        </w:rPr>
        <w:t>No Rio de Janeiro, com a descoberta de doenças tropicais, procurava-se extirpar as doenças através de políticas sanitárias. Para curar um país enfermo, os sanitaristas afirmam a necessidade de</w:t>
      </w:r>
    </w:p>
    <w:p w:rsidR="00D24E61" w:rsidRPr="00771368" w:rsidRDefault="00D24E61">
      <w:pPr>
        <w:spacing w:line="123" w:lineRule="exact"/>
        <w:rPr>
          <w:sz w:val="20"/>
          <w:szCs w:val="20"/>
        </w:rPr>
      </w:pPr>
    </w:p>
    <w:p w:rsidR="00D24E61" w:rsidRPr="00771368" w:rsidRDefault="00D24E61">
      <w:pPr>
        <w:spacing w:line="333" w:lineRule="auto"/>
        <w:jc w:val="both"/>
        <w:rPr>
          <w:sz w:val="20"/>
          <w:szCs w:val="20"/>
        </w:rPr>
      </w:pPr>
      <w:r w:rsidRPr="00771368">
        <w:rPr>
          <w:sz w:val="24"/>
          <w:szCs w:val="24"/>
        </w:rPr>
        <w:t>“extirpar todos os resquícios de nossa miscigenação”, defendendo a vacinação compulsória contra a varíola, o que acarreta a revolta da Vacina em 1904, transformando a capital do país em campo de guerra.(DIWAN,2007)</w:t>
      </w:r>
    </w:p>
    <w:p w:rsidR="00D24E61" w:rsidRPr="00771368" w:rsidRDefault="00D24E61">
      <w:pPr>
        <w:spacing w:line="90" w:lineRule="exact"/>
        <w:rPr>
          <w:sz w:val="20"/>
          <w:szCs w:val="20"/>
        </w:rPr>
      </w:pPr>
    </w:p>
    <w:p w:rsidR="00D24E61" w:rsidRPr="00771368" w:rsidRDefault="00D24E61">
      <w:pPr>
        <w:spacing w:line="335" w:lineRule="auto"/>
        <w:ind w:firstLine="706"/>
        <w:jc w:val="both"/>
        <w:rPr>
          <w:sz w:val="20"/>
          <w:szCs w:val="20"/>
        </w:rPr>
      </w:pPr>
      <w:r w:rsidRPr="00771368">
        <w:rPr>
          <w:sz w:val="24"/>
          <w:szCs w:val="24"/>
        </w:rPr>
        <w:t>Na década de 20 há um ressurgimento do nacionalismo e para contrapor-se a visão negativa da identidade brasileira como nação de mulatos e negros, afirmava-se que o Brasil estava em época de expansão e aprimoramento racial.</w:t>
      </w:r>
    </w:p>
    <w:p w:rsidR="00D24E61" w:rsidRPr="00771368" w:rsidRDefault="00D24E61">
      <w:pPr>
        <w:spacing w:line="88" w:lineRule="exact"/>
        <w:rPr>
          <w:sz w:val="20"/>
          <w:szCs w:val="20"/>
        </w:rPr>
      </w:pPr>
    </w:p>
    <w:p w:rsidR="00D24E61" w:rsidRPr="00771368" w:rsidRDefault="00D24E61">
      <w:pPr>
        <w:spacing w:line="347" w:lineRule="auto"/>
        <w:ind w:firstLine="706"/>
        <w:jc w:val="both"/>
        <w:rPr>
          <w:sz w:val="20"/>
          <w:szCs w:val="20"/>
        </w:rPr>
      </w:pPr>
      <w:r w:rsidRPr="00771368">
        <w:rPr>
          <w:sz w:val="24"/>
          <w:szCs w:val="24"/>
        </w:rPr>
        <w:t>É criada nesse contexto a versão brasileira de miscigenação positiva, onde começa a firmar-se a ideia de que a miscigenação racial do país deveria ser vista em termos positivos, pois os poucos índios puros e remanescentes estavam desaparecendo. As altas taxas de mortalidade e baixa reprodução eram vistos como problemas derivados da raça. A grande imigração branca para o Brasil na última década do século XIX e início do século XX, foi preponderante para a crença de branqueamento da população.</w:t>
      </w:r>
    </w:p>
    <w:p w:rsidR="00D24E61" w:rsidRPr="00771368" w:rsidRDefault="00D24E61">
      <w:pPr>
        <w:spacing w:line="74" w:lineRule="exact"/>
        <w:rPr>
          <w:sz w:val="20"/>
          <w:szCs w:val="20"/>
        </w:rPr>
      </w:pPr>
    </w:p>
    <w:p w:rsidR="00D24E61" w:rsidRDefault="00D24E61" w:rsidP="00532078">
      <w:pPr>
        <w:spacing w:line="308" w:lineRule="auto"/>
        <w:ind w:firstLine="706"/>
        <w:jc w:val="both"/>
        <w:rPr>
          <w:sz w:val="24"/>
          <w:szCs w:val="24"/>
        </w:rPr>
      </w:pPr>
      <w:r w:rsidRPr="00771368">
        <w:rPr>
          <w:sz w:val="24"/>
          <w:szCs w:val="24"/>
        </w:rPr>
        <w:t>Ao final da década de 20, inicia-se uma eugenia mais racista e negativa, que a autora afirma ser por vários fatores como: maior familiaridade com a eugenia alemã, diminuição da imigração, término do</w:t>
      </w:r>
      <w:r w:rsidR="00532078">
        <w:rPr>
          <w:sz w:val="24"/>
          <w:szCs w:val="24"/>
        </w:rPr>
        <w:t xml:space="preserve"> </w:t>
      </w:r>
    </w:p>
    <w:p w:rsidR="00D24E61" w:rsidRPr="00771368" w:rsidRDefault="00D24E61">
      <w:pPr>
        <w:spacing w:line="342" w:lineRule="auto"/>
        <w:jc w:val="both"/>
        <w:rPr>
          <w:sz w:val="20"/>
          <w:szCs w:val="20"/>
        </w:rPr>
      </w:pPr>
      <w:r w:rsidRPr="00771368">
        <w:rPr>
          <w:sz w:val="24"/>
          <w:szCs w:val="24"/>
        </w:rPr>
        <w:t>liberalismo. Na questão da raça, começa a ser questionada a miscigenação racial. Os mulatos passam a ser vistos como elementos heterogêneos, instáveis, que perturbavam a ordem nacional. Havia preocupação com os diferenciais de fertilidade entre as classes e eram desaconselhados os cruzamentos raciais e de classe. (STEPAN, 2005).</w:t>
      </w:r>
    </w:p>
    <w:p w:rsidR="00D24E61" w:rsidRPr="00771368" w:rsidRDefault="00D24E61">
      <w:pPr>
        <w:spacing w:line="84" w:lineRule="exact"/>
        <w:rPr>
          <w:sz w:val="20"/>
          <w:szCs w:val="20"/>
        </w:rPr>
      </w:pPr>
    </w:p>
    <w:p w:rsidR="00D24E61" w:rsidRPr="00771368" w:rsidRDefault="00D24E61">
      <w:pPr>
        <w:spacing w:line="333" w:lineRule="auto"/>
        <w:ind w:firstLine="706"/>
        <w:jc w:val="both"/>
        <w:rPr>
          <w:sz w:val="20"/>
          <w:szCs w:val="20"/>
        </w:rPr>
      </w:pPr>
      <w:r w:rsidRPr="00771368">
        <w:rPr>
          <w:sz w:val="24"/>
          <w:szCs w:val="24"/>
        </w:rPr>
        <w:t>Para a autora, os higienistas pensavam na reprodução como responsabilidade coletiva, que levava a produção da boa ou má hereditariedade. O papel social das mulheres era visto como primordialmente reprodutivo. Nas décadas de 20 e 30, o discurso sobre gênero e raça ficou mais ligado ao de nação.</w:t>
      </w:r>
    </w:p>
    <w:p w:rsidR="00D24E61" w:rsidRPr="00771368" w:rsidRDefault="00D24E61">
      <w:pPr>
        <w:spacing w:line="90" w:lineRule="exact"/>
        <w:rPr>
          <w:sz w:val="20"/>
          <w:szCs w:val="20"/>
        </w:rPr>
      </w:pPr>
    </w:p>
    <w:p w:rsidR="00D24E61" w:rsidRPr="00771368" w:rsidRDefault="00D24E61">
      <w:pPr>
        <w:spacing w:line="352" w:lineRule="auto"/>
        <w:ind w:firstLine="706"/>
        <w:jc w:val="both"/>
        <w:rPr>
          <w:sz w:val="20"/>
          <w:szCs w:val="20"/>
        </w:rPr>
      </w:pPr>
      <w:r w:rsidRPr="00771368">
        <w:rPr>
          <w:sz w:val="24"/>
          <w:szCs w:val="24"/>
        </w:rPr>
        <w:t>Autores como o antropólogo Edgar Roquettte Pinto lutam contra a acusação de degeneração racial, trazendo o conceito ambientalista de cultura. Neste contexto, Gilberto Freyre, sociólogo-historiador-escritor, com uma forte influencia de Franz Boas, sociólogo culturalista e antirracista da Universidade de Columbia, defende a influência do ambiente para as questões higiênicas e defende as virtudes da miscigenação. Porém, também reforça uma democracia racial, trazida pela íntima associação entre senhores e escravos, advindos da cultura portuguesa, mais maleável a mistura racial como podemos constatar pelos trechos de seu livro Casa Grande Senzala:</w:t>
      </w:r>
    </w:p>
    <w:p w:rsidR="00D24E61" w:rsidRPr="00771368" w:rsidRDefault="00D24E61">
      <w:pPr>
        <w:spacing w:line="357" w:lineRule="exact"/>
        <w:rPr>
          <w:sz w:val="20"/>
          <w:szCs w:val="20"/>
        </w:rPr>
      </w:pPr>
    </w:p>
    <w:p w:rsidR="00D24E61" w:rsidRPr="00771368" w:rsidRDefault="00D24E61">
      <w:pPr>
        <w:spacing w:line="226" w:lineRule="auto"/>
        <w:ind w:left="2260"/>
        <w:jc w:val="both"/>
        <w:rPr>
          <w:sz w:val="20"/>
          <w:szCs w:val="20"/>
        </w:rPr>
      </w:pPr>
      <w:r w:rsidRPr="00771368">
        <w:rPr>
          <w:sz w:val="20"/>
          <w:szCs w:val="20"/>
        </w:rPr>
        <w:t>Pode-se, entretanto afirmar que a mulher morena tem sido a preferida dos portugueses para o amor, pelo menos para o amor físico. A moda da mulher loura, limitada aliás às classes altas, terá sido antes a repercussão de influências exteriores do que a expressão de genuíno gosto nacional. (FREIRE, 1933.p.71-72)</w:t>
      </w:r>
    </w:p>
    <w:p w:rsidR="00D24E61" w:rsidRPr="00771368" w:rsidRDefault="00D24E61">
      <w:pPr>
        <w:spacing w:line="307" w:lineRule="exact"/>
        <w:rPr>
          <w:sz w:val="20"/>
          <w:szCs w:val="20"/>
        </w:rPr>
      </w:pPr>
    </w:p>
    <w:p w:rsidR="00D24E61" w:rsidRPr="00771368" w:rsidRDefault="00D24E61">
      <w:pPr>
        <w:ind w:left="700"/>
        <w:rPr>
          <w:sz w:val="20"/>
          <w:szCs w:val="20"/>
        </w:rPr>
      </w:pPr>
      <w:r w:rsidRPr="00771368">
        <w:rPr>
          <w:sz w:val="24"/>
          <w:szCs w:val="24"/>
        </w:rPr>
        <w:t>Ele completa:</w:t>
      </w:r>
    </w:p>
    <w:p w:rsidR="00D24E61" w:rsidRPr="00771368" w:rsidRDefault="00D24E61">
      <w:pPr>
        <w:spacing w:line="200" w:lineRule="exact"/>
        <w:rPr>
          <w:sz w:val="20"/>
          <w:szCs w:val="20"/>
        </w:rPr>
      </w:pPr>
    </w:p>
    <w:p w:rsidR="00D24E61" w:rsidRPr="00771368" w:rsidRDefault="00D24E61">
      <w:pPr>
        <w:spacing w:line="286" w:lineRule="exact"/>
        <w:rPr>
          <w:sz w:val="20"/>
          <w:szCs w:val="20"/>
        </w:rPr>
      </w:pPr>
    </w:p>
    <w:p w:rsidR="00D24E61" w:rsidRPr="00771368" w:rsidRDefault="00D24E61">
      <w:pPr>
        <w:spacing w:line="233" w:lineRule="auto"/>
        <w:ind w:left="2260"/>
        <w:jc w:val="both"/>
        <w:rPr>
          <w:sz w:val="20"/>
          <w:szCs w:val="20"/>
        </w:rPr>
      </w:pPr>
      <w:r w:rsidRPr="00771368">
        <w:rPr>
          <w:sz w:val="20"/>
          <w:szCs w:val="20"/>
        </w:rPr>
        <w:t>Com relação ao Brasil, que o diga o ditado: “Branca para casar, mulata para f..., negra para trabalhar...”; ditado em que se sente, ao lado do convencionalismo social da superioridade da mulher branca e da inferioridade da preta, a preferência sexual pela mulata. Aliás, o nosso lirismo amoroso não revela outra tendência senão a glorificação da mulata, da cabocla, da morena celebrada pela beleza de seus olhos, pela alvura de seus dentes, pelos seus dengues, quindins e embelegos, muito mais que as “virgens pálidas” e as “louras donzelas”. Estas surgem em um ou em outro soneto, em uma ou em outra modinha, do século XVI ou XIX. Mas sem o relevo das outras. (Freyre, 1933, p.72)</w:t>
      </w:r>
    </w:p>
    <w:p w:rsidR="00D24E61" w:rsidRPr="00771368" w:rsidRDefault="00D24E61">
      <w:pPr>
        <w:spacing w:line="362" w:lineRule="exact"/>
        <w:rPr>
          <w:sz w:val="20"/>
          <w:szCs w:val="20"/>
        </w:rPr>
      </w:pPr>
    </w:p>
    <w:p w:rsidR="00D24E61" w:rsidRPr="00771368" w:rsidRDefault="00D24E61">
      <w:pPr>
        <w:spacing w:line="312" w:lineRule="auto"/>
        <w:ind w:right="20" w:firstLine="706"/>
        <w:jc w:val="both"/>
        <w:rPr>
          <w:sz w:val="20"/>
          <w:szCs w:val="20"/>
        </w:rPr>
      </w:pPr>
      <w:r w:rsidRPr="00771368">
        <w:rPr>
          <w:sz w:val="24"/>
          <w:szCs w:val="24"/>
        </w:rPr>
        <w:t>Skidmore (1991) afirma que Freyre torna-se o “talismã a quem a elite brasileira recorre quando precisa refutar alguma sugestão que a sociedade seja racista.” (SKIDMORE, 1991, p.9)</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rPr>
          <w:sz w:val="20"/>
          <w:szCs w:val="20"/>
        </w:rPr>
      </w:pPr>
      <w:r w:rsidRPr="00771368">
        <w:rPr>
          <w:b/>
          <w:bCs/>
          <w:sz w:val="24"/>
          <w:szCs w:val="24"/>
        </w:rPr>
        <w:t>Mulher Negra</w:t>
      </w:r>
    </w:p>
    <w:p w:rsidR="00D24E61" w:rsidRPr="00771368" w:rsidRDefault="00D24E61">
      <w:pPr>
        <w:spacing w:line="190" w:lineRule="exact"/>
        <w:rPr>
          <w:sz w:val="20"/>
          <w:szCs w:val="20"/>
        </w:rPr>
      </w:pPr>
    </w:p>
    <w:p w:rsidR="00D24E61" w:rsidRPr="00771368" w:rsidRDefault="00D24E61">
      <w:pPr>
        <w:spacing w:line="333" w:lineRule="auto"/>
        <w:ind w:firstLine="706"/>
        <w:jc w:val="both"/>
        <w:rPr>
          <w:sz w:val="20"/>
          <w:szCs w:val="20"/>
        </w:rPr>
      </w:pPr>
      <w:r w:rsidRPr="00771368">
        <w:rPr>
          <w:sz w:val="24"/>
          <w:szCs w:val="24"/>
        </w:rPr>
        <w:t>Hoje, há um debate no Brasil referente aos médicos cubanos. Não nos referimos neste contexto as questões políticas que levaram o governo brasileiro a aderir ao Programa Mais Médicos, mas a declaração da jornalista potiguar Micheline Borges que em uma declaração nas redes sociais afirmou que as médicas cubanas “tem uma cara de empregada doméstica”.</w:t>
      </w:r>
      <w:r w:rsidRPr="00771368">
        <w:rPr>
          <w:sz w:val="31"/>
          <w:szCs w:val="31"/>
          <w:vertAlign w:val="superscript"/>
        </w:rPr>
        <w:t>6</w:t>
      </w:r>
      <w:r w:rsidRPr="00771368">
        <w:rPr>
          <w:sz w:val="24"/>
          <w:szCs w:val="24"/>
        </w:rPr>
        <w:t xml:space="preserve"> Neste contexto, voltamos ao título da nossa pesquisa:</w:t>
      </w:r>
    </w:p>
    <w:p w:rsidR="00D24E61" w:rsidRPr="00771368" w:rsidRDefault="00013211">
      <w:pPr>
        <w:spacing w:line="333" w:lineRule="auto"/>
        <w:ind w:firstLine="706"/>
        <w:jc w:val="both"/>
        <w:rPr>
          <w:sz w:val="20"/>
          <w:szCs w:val="20"/>
        </w:rPr>
        <w:sectPr w:rsidR="00D24E61" w:rsidRPr="00771368">
          <w:pgSz w:w="11900" w:h="16838"/>
          <w:pgMar w:top="700" w:right="840" w:bottom="580" w:left="860" w:header="0" w:footer="0" w:gutter="0"/>
          <w:cols w:space="720" w:equalWidth="0">
            <w:col w:w="10200"/>
          </w:cols>
        </w:sectPr>
      </w:pPr>
      <w:r>
        <w:rPr>
          <w:noProof/>
          <w:sz w:val="20"/>
          <w:szCs w:val="20"/>
        </w:rPr>
        <mc:AlternateContent>
          <mc:Choice Requires="wps">
            <w:drawing>
              <wp:anchor distT="0" distB="0" distL="0" distR="0" simplePos="0" relativeHeight="251796992" behindDoc="0" locked="0" layoutInCell="0" allowOverlap="1">
                <wp:simplePos x="0" y="0"/>
                <wp:positionH relativeFrom="column">
                  <wp:posOffset>-5715</wp:posOffset>
                </wp:positionH>
                <wp:positionV relativeFrom="paragraph">
                  <wp:posOffset>69850</wp:posOffset>
                </wp:positionV>
                <wp:extent cx="1828800" cy="0"/>
                <wp:effectExtent l="13335" t="12700" r="5715" b="6350"/>
                <wp:wrapNone/>
                <wp:docPr id="13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79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5.5pt" to="14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sXFQIAACwEAAAOAAAAZHJzL2Uyb0RvYy54bWysU8GO2jAQvVfqP1i5QxJI0x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" o:allowincell="f" strokeweight=".48pt"/>
            </w:pict>
          </mc:Fallback>
        </mc:AlternateContent>
      </w:r>
    </w:p>
    <w:p w:rsidR="00D24E61" w:rsidRPr="00771368" w:rsidRDefault="00D24E61">
      <w:pPr>
        <w:spacing w:line="200" w:lineRule="exact"/>
        <w:rPr>
          <w:sz w:val="20"/>
          <w:szCs w:val="20"/>
        </w:rPr>
      </w:pPr>
    </w:p>
    <w:p w:rsidR="00D24E61" w:rsidRPr="00771368" w:rsidRDefault="00295FC8">
      <w:pPr>
        <w:spacing w:line="210" w:lineRule="auto"/>
        <w:rPr>
          <w:color w:val="0000FF"/>
          <w:sz w:val="20"/>
          <w:szCs w:val="20"/>
          <w:u w:val="single"/>
        </w:rPr>
      </w:pPr>
      <w:hyperlink r:id="rId447"/>
      <w:r w:rsidR="00D24E61" w:rsidRPr="00771368">
        <w:rPr>
          <w:color w:val="000000"/>
          <w:sz w:val="25"/>
          <w:szCs w:val="25"/>
          <w:vertAlign w:val="superscript"/>
        </w:rPr>
        <w:t>6</w:t>
      </w:r>
      <w:r w:rsidR="00D24E61" w:rsidRPr="00771368">
        <w:rPr>
          <w:color w:val="0000FF"/>
          <w:sz w:val="20"/>
          <w:szCs w:val="20"/>
        </w:rPr>
        <w:t xml:space="preserve"> </w:t>
      </w:r>
      <w:hyperlink r:id="rId448">
        <w:r w:rsidR="00D24E61" w:rsidRPr="00771368">
          <w:rPr>
            <w:color w:val="0000FF"/>
            <w:sz w:val="20"/>
            <w:szCs w:val="20"/>
            <w:u w:val="single"/>
          </w:rPr>
          <w:t>http://noticias.terra.com.br/educacao/jornalista-se-arrepende-de-comparar-medicas-cubanas-a-</w:t>
        </w:r>
      </w:hyperlink>
      <w:hyperlink r:id="rId449">
        <w:r w:rsidR="00D24E61" w:rsidRPr="00771368">
          <w:rPr>
            <w:color w:val="0000FF"/>
            <w:sz w:val="20"/>
            <w:szCs w:val="20"/>
            <w:u w:val="single"/>
          </w:rPr>
          <w:t>domesticas,3f1181c0881c0410VgnVCM10000098cceb0aRCRD.html</w:t>
        </w:r>
      </w:hyperlink>
    </w:p>
    <w:p w:rsidR="00D24E61" w:rsidRPr="00771368" w:rsidRDefault="00D24E61">
      <w:pPr>
        <w:sectPr w:rsidR="00D24E61" w:rsidRPr="00771368">
          <w:type w:val="continuous"/>
          <w:pgSz w:w="11900" w:h="16838"/>
          <w:pgMar w:top="700" w:right="3380" w:bottom="580" w:left="860" w:header="0" w:footer="0" w:gutter="0"/>
          <w:cols w:space="720" w:equalWidth="0">
            <w:col w:w="7660"/>
          </w:cols>
        </w:sectPr>
      </w:pPr>
    </w:p>
    <w:p w:rsidR="00D24E61" w:rsidRPr="00771368" w:rsidRDefault="00532078">
      <w:pPr>
        <w:spacing w:line="308" w:lineRule="auto"/>
        <w:ind w:right="20"/>
        <w:jc w:val="both"/>
        <w:rPr>
          <w:sz w:val="20"/>
          <w:szCs w:val="20"/>
        </w:rPr>
      </w:pPr>
      <w:r w:rsidRPr="00771368">
        <w:rPr>
          <w:sz w:val="24"/>
          <w:szCs w:val="24"/>
        </w:rPr>
        <w:t xml:space="preserve"> </w:t>
      </w:r>
      <w:r w:rsidR="00D24E61" w:rsidRPr="00771368">
        <w:rPr>
          <w:sz w:val="24"/>
          <w:szCs w:val="24"/>
        </w:rPr>
        <w:t>“estudar ao lado do fogão a lenha...” Por que quando se fala em mulher negra, se remete ao fogão a lenha, ao trabalho doméstico?</w:t>
      </w:r>
    </w:p>
    <w:p w:rsidR="00D24E61" w:rsidRPr="00771368" w:rsidRDefault="00D24E61">
      <w:pPr>
        <w:spacing w:line="117" w:lineRule="exact"/>
        <w:rPr>
          <w:sz w:val="20"/>
          <w:szCs w:val="20"/>
        </w:rPr>
      </w:pPr>
    </w:p>
    <w:p w:rsidR="00D24E61" w:rsidRPr="00771368" w:rsidRDefault="00D24E61">
      <w:pPr>
        <w:spacing w:line="353" w:lineRule="auto"/>
        <w:ind w:firstLine="706"/>
        <w:jc w:val="both"/>
        <w:rPr>
          <w:sz w:val="20"/>
          <w:szCs w:val="20"/>
        </w:rPr>
      </w:pPr>
      <w:r w:rsidRPr="00771368">
        <w:rPr>
          <w:sz w:val="24"/>
          <w:szCs w:val="24"/>
        </w:rPr>
        <w:t>Para Carvalho (2008) no final do século XVIII, os valores burgueses engendraram uma visão instrumental e sistemática das atividades domésticas estranhas aos padrões da família patriarcal escravista. O trabalho doméstico é marginal no mercado de trabalho formal, mas valorizado nos manuais de economia doméstica (em contraposição a um comportamento na casa colonial interpretado como ocioso). Existem fatores ideológicos burgueses e determinantes econômicos que definem a fixação da mulher na casa. Mas este projeto não se restringia apenas aos segmentos médios da sociedade, mas também aos meios operários, sendo essencial para diminuir a concorrência no restrito mercado de trabalho.</w:t>
      </w:r>
    </w:p>
    <w:p w:rsidR="00D24E61" w:rsidRPr="00771368" w:rsidRDefault="00D24E61">
      <w:pPr>
        <w:spacing w:line="66" w:lineRule="exact"/>
        <w:rPr>
          <w:sz w:val="20"/>
          <w:szCs w:val="20"/>
        </w:rPr>
      </w:pPr>
    </w:p>
    <w:p w:rsidR="00D24E61" w:rsidRPr="00771368" w:rsidRDefault="00D24E61">
      <w:pPr>
        <w:spacing w:line="353" w:lineRule="auto"/>
        <w:ind w:firstLine="706"/>
        <w:jc w:val="both"/>
        <w:rPr>
          <w:sz w:val="20"/>
          <w:szCs w:val="20"/>
        </w:rPr>
      </w:pPr>
      <w:r w:rsidRPr="00771368">
        <w:rPr>
          <w:sz w:val="24"/>
          <w:szCs w:val="24"/>
        </w:rPr>
        <w:t>A autora discute como nos EUA, inicia-se a racionalização do trabalho doméstico com a ideia que as atividades de dentro de casa deveriam ser planejadas e organizadas. Em 1910, já se confundiam os termos economia doméstica, com engenharia doméstica ou gestão científica do lar. A matriz dessa nova abordagem foi a fábrica. A planificação do trabalho fabril introduzido pelo taylorismo por meio da decomposição e análise de cada movimento do operário permitiu que os gestos considerados desnecessários fossem eliminados e que as sequencias de tarefas e os equipamentos e ferramentas a elas associadas fossem reorganizados de maneira que se alcançasse a maior eficácia no menor tempo, envolvendo todos os cômodos da casa.</w:t>
      </w:r>
    </w:p>
    <w:p w:rsidR="00D24E61" w:rsidRPr="00771368" w:rsidRDefault="00D24E61">
      <w:pPr>
        <w:spacing w:line="66" w:lineRule="exact"/>
        <w:rPr>
          <w:sz w:val="20"/>
          <w:szCs w:val="20"/>
        </w:rPr>
      </w:pPr>
    </w:p>
    <w:p w:rsidR="00D24E61" w:rsidRPr="00771368" w:rsidRDefault="00D24E61">
      <w:pPr>
        <w:spacing w:line="343" w:lineRule="auto"/>
        <w:ind w:firstLine="706"/>
        <w:jc w:val="both"/>
        <w:rPr>
          <w:sz w:val="20"/>
          <w:szCs w:val="20"/>
        </w:rPr>
      </w:pPr>
      <w:r w:rsidRPr="00771368">
        <w:rPr>
          <w:sz w:val="24"/>
          <w:szCs w:val="24"/>
        </w:rPr>
        <w:t>Na Europa, as questões relativas a otimização do funcionamento da casa passa a ser objeto de interesse dos arquitetos. Além de dar desenvolvimento à ideia de superfícies contínuas e centros de trabalhos integrados, a arquitetura europeia dos anos 1920, especialmente a alemã, desenvolverá sua criatividade na fusão dos conceitos de forma e funcionalidade. (Carvalho, 2008)</w:t>
      </w:r>
    </w:p>
    <w:p w:rsidR="00D24E61" w:rsidRPr="00771368" w:rsidRDefault="00D24E61">
      <w:pPr>
        <w:spacing w:line="79" w:lineRule="exact"/>
        <w:rPr>
          <w:sz w:val="20"/>
          <w:szCs w:val="20"/>
        </w:rPr>
      </w:pPr>
    </w:p>
    <w:p w:rsidR="00D24E61" w:rsidRPr="00771368" w:rsidRDefault="00D24E61">
      <w:pPr>
        <w:spacing w:line="343" w:lineRule="auto"/>
        <w:ind w:right="20" w:firstLine="706"/>
        <w:jc w:val="both"/>
        <w:rPr>
          <w:sz w:val="20"/>
          <w:szCs w:val="20"/>
        </w:rPr>
      </w:pPr>
      <w:r w:rsidRPr="00771368">
        <w:rPr>
          <w:sz w:val="24"/>
          <w:szCs w:val="24"/>
        </w:rPr>
        <w:t>No Brasil, a figura da empregada doméstica não desapareceu. A abolição, a intensa imigração e o êxodo rural reuniram na cidade um grande contingente de mão de obra flutuante, precariamente absorvido pelo setor terciário, o mais desenvolvido na época. Em 1870, das mulheres ativas 71% eram criadas. Em 1906, 76% das mulheres eram criadas. (Carvalho, 2008)</w:t>
      </w:r>
    </w:p>
    <w:p w:rsidR="00D24E61" w:rsidRPr="00771368" w:rsidRDefault="00D24E61">
      <w:pPr>
        <w:spacing w:line="79" w:lineRule="exact"/>
        <w:rPr>
          <w:sz w:val="20"/>
          <w:szCs w:val="20"/>
        </w:rPr>
      </w:pPr>
    </w:p>
    <w:p w:rsidR="00D24E61" w:rsidRPr="00771368" w:rsidRDefault="00D24E61">
      <w:pPr>
        <w:spacing w:line="351" w:lineRule="auto"/>
        <w:ind w:firstLine="706"/>
        <w:jc w:val="both"/>
        <w:rPr>
          <w:sz w:val="20"/>
          <w:szCs w:val="20"/>
        </w:rPr>
      </w:pPr>
      <w:r w:rsidRPr="00771368">
        <w:rPr>
          <w:sz w:val="24"/>
          <w:szCs w:val="24"/>
        </w:rPr>
        <w:t>Graham (1992) resgata as experiências das criadas em seu trabalho e em sua vida privada, a partir de uma pesquisa minuciosa no Rio de Janeiro, de 1860 a 1919. A autora afirma que até 1860, as casa do Rio de Janeiro não eram equipadas com água encanada nem com sistema de esgoto e, sem geladeiras, os moradores não podiam estocar víveres. Assim, contavam com criadas para carregar água, lavar roupa, fazer compras diárias. Havia uma diferença entre o trabalho interno e o trabalho externo, que era feito em chafarizes públicos ou mercados. Neste contexto, há um perfil de empregada para o espaço da casa e o espaço da rua:</w:t>
      </w:r>
    </w:p>
    <w:p w:rsidR="00D24E61" w:rsidRPr="00771368" w:rsidRDefault="00D24E61">
      <w:pPr>
        <w:sectPr w:rsidR="00D24E61" w:rsidRPr="00771368">
          <w:pgSz w:w="11900" w:h="16838"/>
          <w:pgMar w:top="700" w:right="840" w:bottom="657" w:left="860" w:header="0" w:footer="0" w:gutter="0"/>
          <w:cols w:space="720" w:equalWidth="0">
            <w:col w:w="10200"/>
          </w:cols>
        </w:sectPr>
      </w:pPr>
    </w:p>
    <w:p w:rsidR="00D24E61" w:rsidRPr="00771368" w:rsidRDefault="00D24E61">
      <w:pPr>
        <w:spacing w:line="365" w:lineRule="exact"/>
        <w:rPr>
          <w:sz w:val="20"/>
          <w:szCs w:val="20"/>
        </w:rPr>
      </w:pPr>
    </w:p>
    <w:p w:rsidR="00D24E61" w:rsidRPr="00771368" w:rsidRDefault="00D24E61">
      <w:pPr>
        <w:spacing w:line="222" w:lineRule="auto"/>
        <w:jc w:val="both"/>
        <w:rPr>
          <w:sz w:val="20"/>
          <w:szCs w:val="20"/>
        </w:rPr>
      </w:pPr>
      <w:r w:rsidRPr="00771368">
        <w:rPr>
          <w:sz w:val="20"/>
          <w:szCs w:val="20"/>
        </w:rPr>
        <w:t>“Presumia-se que as criadas enviadas às ruas e praças, expostas aos grosseiros espaços públicos eram mais velhas, resistentes, traquejadas e, sobretudo, sexualmente experientes...” (GRAHAM, 1992, p. 45)</w:t>
      </w:r>
    </w:p>
    <w:p w:rsidR="00D24E61" w:rsidRPr="00771368" w:rsidRDefault="00D24E61">
      <w:pPr>
        <w:sectPr w:rsidR="00D24E61" w:rsidRPr="00771368">
          <w:type w:val="continuous"/>
          <w:pgSz w:w="11900" w:h="16838"/>
          <w:pgMar w:top="700" w:right="860" w:bottom="657" w:left="3120" w:header="0" w:footer="0" w:gutter="0"/>
          <w:cols w:space="720" w:equalWidth="0">
            <w:col w:w="7920"/>
          </w:cols>
        </w:sectPr>
      </w:pPr>
    </w:p>
    <w:p w:rsidR="00D24E61" w:rsidRPr="00771368" w:rsidRDefault="00D24E61">
      <w:pPr>
        <w:spacing w:line="349" w:lineRule="auto"/>
        <w:ind w:firstLine="706"/>
        <w:jc w:val="both"/>
        <w:rPr>
          <w:sz w:val="20"/>
          <w:szCs w:val="20"/>
        </w:rPr>
      </w:pPr>
      <w:r w:rsidRPr="00771368">
        <w:rPr>
          <w:sz w:val="24"/>
          <w:szCs w:val="24"/>
        </w:rPr>
        <w:t>A autora discute como, no final do século XIX e início do século XX, a ideia de lar originava-se a partir da antiga tradição familiar portuguesa que demandava a responsabilidade e autoridade sobre todos os membros da família, inclusive os criados, ao chefe de família. De acordo com a lei portuguesa, ele podia castigar fisicamente criado, mulher, filho ou escravo. Também devia guardar a honra das mulheres, incluindo a das criadas. A lei brasileira, respaldando essas diferenças, negava a todos os dependentes do lar o direito ao voto.</w:t>
      </w:r>
    </w:p>
    <w:p w:rsidR="00D24E61" w:rsidRPr="00771368" w:rsidRDefault="00D24E61">
      <w:pPr>
        <w:spacing w:line="74" w:lineRule="exact"/>
        <w:rPr>
          <w:sz w:val="20"/>
          <w:szCs w:val="20"/>
        </w:rPr>
      </w:pPr>
    </w:p>
    <w:p w:rsidR="00D24E61" w:rsidRPr="00771368" w:rsidRDefault="00D24E61">
      <w:pPr>
        <w:spacing w:line="347" w:lineRule="auto"/>
        <w:ind w:firstLine="706"/>
        <w:jc w:val="both"/>
        <w:rPr>
          <w:sz w:val="20"/>
          <w:szCs w:val="20"/>
        </w:rPr>
      </w:pPr>
      <w:r w:rsidRPr="00771368">
        <w:rPr>
          <w:sz w:val="24"/>
          <w:szCs w:val="24"/>
        </w:rPr>
        <w:t>Os brasileiros alternavam os termos família, morada ou fogo para designar o lar, porém, “seu ponto de referência essencial era o agrupamento de pessoas mutuamente dependentes e co-residentes.” (GRAHAM, 1992, p.25). Esta visão de família que faz com que os recenseadores, quando tentam contar em 1906 pela primeira vez o número de indivíduos em uma unidade familiar encontram resistência. Assim, é difícil precisar quantas famílias no Rio de Janeiro mantinham criados.</w:t>
      </w:r>
    </w:p>
    <w:p w:rsidR="00D24E61" w:rsidRPr="00771368" w:rsidRDefault="00D24E61">
      <w:pPr>
        <w:spacing w:line="75" w:lineRule="exact"/>
        <w:rPr>
          <w:sz w:val="20"/>
          <w:szCs w:val="20"/>
        </w:rPr>
      </w:pPr>
    </w:p>
    <w:p w:rsidR="00D24E61" w:rsidRPr="00771368" w:rsidRDefault="00D24E61">
      <w:pPr>
        <w:spacing w:line="350" w:lineRule="auto"/>
        <w:ind w:firstLine="706"/>
        <w:jc w:val="both"/>
        <w:rPr>
          <w:sz w:val="20"/>
          <w:szCs w:val="20"/>
        </w:rPr>
      </w:pPr>
      <w:r w:rsidRPr="00771368">
        <w:rPr>
          <w:sz w:val="24"/>
          <w:szCs w:val="24"/>
        </w:rPr>
        <w:t>A autora exemplifica trazendo os números existentes de censo de 1870, da Freguesia de São Cristóvão. Somente 249 famílias, ou 18% afirmaram ter criados no emprego. Estimou-se em 673 o número de domésticos, entre homens e mulheres, escravos ou livres, ou seja, apenas 8%. Pelo menos 392 lares mencionaram agregados ou escravos, cujas ocupações não foram registradas. Também não foi especificado as tarefas de 323 escravas em idade de trabalhar presentes no censo. (GRAHAM, 1992, p. 27)</w:t>
      </w:r>
    </w:p>
    <w:p w:rsidR="00D24E61" w:rsidRPr="00771368" w:rsidRDefault="00D24E61">
      <w:pPr>
        <w:spacing w:line="72" w:lineRule="exact"/>
        <w:rPr>
          <w:sz w:val="20"/>
          <w:szCs w:val="20"/>
        </w:rPr>
      </w:pPr>
    </w:p>
    <w:p w:rsidR="00D24E61" w:rsidRPr="00771368" w:rsidRDefault="00D24E61">
      <w:pPr>
        <w:spacing w:line="343" w:lineRule="auto"/>
        <w:ind w:firstLine="706"/>
        <w:jc w:val="both"/>
        <w:rPr>
          <w:sz w:val="20"/>
          <w:szCs w:val="20"/>
        </w:rPr>
      </w:pPr>
      <w:r w:rsidRPr="00771368">
        <w:rPr>
          <w:sz w:val="24"/>
          <w:szCs w:val="24"/>
        </w:rPr>
        <w:t>Skidmore (1991) afirma que a política de branqueamento levou políticos e acadêmicos a ignorarem a raça ou dado o grande número de não brancos (56% no censo de 1890) pode ter trazido o medo de enfrentar uma dúvida óbvia: com esse número de não brancos, como seria possível ter certeza que a população iria embranquecer? O fato é que foi suprimido do censo de 1970 o dado referente a raça.</w:t>
      </w:r>
    </w:p>
    <w:p w:rsidR="00D24E61" w:rsidRPr="00771368" w:rsidRDefault="00D24E61">
      <w:pPr>
        <w:spacing w:line="79" w:lineRule="exact"/>
        <w:rPr>
          <w:sz w:val="20"/>
          <w:szCs w:val="20"/>
        </w:rPr>
      </w:pPr>
    </w:p>
    <w:p w:rsidR="00D24E61" w:rsidRPr="00771368" w:rsidRDefault="00D24E61">
      <w:pPr>
        <w:spacing w:line="333" w:lineRule="auto"/>
        <w:ind w:firstLine="706"/>
        <w:jc w:val="both"/>
        <w:rPr>
          <w:sz w:val="20"/>
          <w:szCs w:val="20"/>
        </w:rPr>
      </w:pPr>
      <w:r w:rsidRPr="00771368">
        <w:rPr>
          <w:sz w:val="24"/>
          <w:szCs w:val="24"/>
        </w:rPr>
        <w:t>Em 1980, as autoridades tentaram suprimir a raça, mas houve um grande protesto (demógrafos, acadêmicos, militantes afro-brasileiros elementos de imprensa que forçaram uma reconsideração). (SKIDMORE, 1991, p. 10)</w:t>
      </w:r>
    </w:p>
    <w:p w:rsidR="00D24E61" w:rsidRPr="00771368" w:rsidRDefault="00D24E61">
      <w:pPr>
        <w:spacing w:line="95" w:lineRule="exact"/>
        <w:rPr>
          <w:sz w:val="20"/>
          <w:szCs w:val="20"/>
        </w:rPr>
      </w:pPr>
    </w:p>
    <w:p w:rsidR="00D24E61" w:rsidRPr="00771368" w:rsidRDefault="00D24E61">
      <w:pPr>
        <w:spacing w:line="342" w:lineRule="auto"/>
        <w:ind w:firstLine="706"/>
        <w:jc w:val="both"/>
        <w:rPr>
          <w:sz w:val="20"/>
          <w:szCs w:val="20"/>
        </w:rPr>
      </w:pPr>
      <w:r w:rsidRPr="00771368">
        <w:rPr>
          <w:sz w:val="24"/>
          <w:szCs w:val="24"/>
        </w:rPr>
        <w:t>Em 1983, pesquisadores do IBGE produziram uma análise relevante sobre os dados coletados evidenciando em seus resultados um padrão de discriminação contra afro-brasileiros. O presidente do IBGE recusou-se a mostrar os resultados do estudo, que foram divulgados apenas dois anos depois. (SKIDMORE, 1991, p.10)</w:t>
      </w:r>
    </w:p>
    <w:p w:rsidR="00D24E61" w:rsidRPr="00771368" w:rsidRDefault="00D24E61">
      <w:pPr>
        <w:spacing w:line="25" w:lineRule="exact"/>
        <w:rPr>
          <w:sz w:val="20"/>
          <w:szCs w:val="20"/>
        </w:rPr>
      </w:pPr>
    </w:p>
    <w:p w:rsidR="00D24E61" w:rsidRPr="00771368" w:rsidRDefault="00D24E61">
      <w:pPr>
        <w:spacing w:line="355" w:lineRule="auto"/>
        <w:ind w:firstLine="706"/>
        <w:jc w:val="both"/>
        <w:rPr>
          <w:sz w:val="20"/>
          <w:szCs w:val="20"/>
        </w:rPr>
      </w:pPr>
      <w:r w:rsidRPr="00771368">
        <w:rPr>
          <w:sz w:val="23"/>
          <w:szCs w:val="23"/>
        </w:rPr>
        <w:t>De acordo com análise dos dados do IPEA, realizada por Pinheiro e Madsen (2011)</w:t>
      </w:r>
      <w:r w:rsidRPr="00771368">
        <w:rPr>
          <w:sz w:val="30"/>
          <w:szCs w:val="30"/>
          <w:vertAlign w:val="superscript"/>
        </w:rPr>
        <w:t>7</w:t>
      </w:r>
      <w:r w:rsidRPr="00771368">
        <w:rPr>
          <w:sz w:val="23"/>
          <w:szCs w:val="23"/>
        </w:rPr>
        <w:t xml:space="preserve"> o trabalho doméstico é uma ocupação de mulheres e, especialmente, de mulheres negras. Em 2009, enquanto apenas 1% dos homens ocupados eram trabalhadores domésticos, essa proporção alcançou 17% das mulheres, o que representa cerca de 6,7 milhões de trabalhadoras. Esta ocupação é ainda mais importante para as mulheres negras, sendo responsável pelo emprego de 21,8% dessas trabalhadoras, frente a 12,6% das brancas. A sobre representação da população feminina e negra nesta categoria está relacionada não apenas</w:t>
      </w:r>
    </w:p>
    <w:p w:rsidR="00D24E61" w:rsidRPr="00771368" w:rsidRDefault="00013211">
      <w:pPr>
        <w:spacing w:line="355" w:lineRule="auto"/>
        <w:ind w:firstLine="706"/>
        <w:jc w:val="both"/>
        <w:rPr>
          <w:sz w:val="20"/>
          <w:szCs w:val="20"/>
        </w:rPr>
        <w:sectPr w:rsidR="00D24E61" w:rsidRPr="00771368">
          <w:pgSz w:w="11900" w:h="16838"/>
          <w:pgMar w:top="700" w:right="840" w:bottom="580" w:left="860" w:header="0" w:footer="0" w:gutter="0"/>
          <w:cols w:space="720" w:equalWidth="0">
            <w:col w:w="10200"/>
          </w:cols>
        </w:sectPr>
      </w:pPr>
      <w:r>
        <w:rPr>
          <w:noProof/>
          <w:sz w:val="20"/>
          <w:szCs w:val="20"/>
        </w:rPr>
        <mc:AlternateContent>
          <mc:Choice Requires="wps">
            <w:drawing>
              <wp:anchor distT="0" distB="0" distL="0" distR="0" simplePos="0" relativeHeight="251798016" behindDoc="0" locked="0" layoutInCell="0" allowOverlap="1">
                <wp:simplePos x="0" y="0"/>
                <wp:positionH relativeFrom="column">
                  <wp:posOffset>-5715</wp:posOffset>
                </wp:positionH>
                <wp:positionV relativeFrom="paragraph">
                  <wp:posOffset>61595</wp:posOffset>
                </wp:positionV>
                <wp:extent cx="1828800" cy="0"/>
                <wp:effectExtent l="13335" t="13970" r="5715" b="5080"/>
                <wp:wrapNone/>
                <wp:docPr id="13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79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4.85pt" to="143.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Z0FQIAACwEAAAOAAAAZHJzL2Uyb0RvYy54bWysU8GO2jAQvVfqP1i+QxKg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" o:allowincell="f" strokeweight=".48pt"/>
            </w:pict>
          </mc:Fallback>
        </mc:AlternateContent>
      </w:r>
    </w:p>
    <w:p w:rsidR="00D24E61" w:rsidRPr="00771368" w:rsidRDefault="00D24E61">
      <w:pPr>
        <w:spacing w:line="214" w:lineRule="exact"/>
        <w:rPr>
          <w:sz w:val="20"/>
          <w:szCs w:val="20"/>
        </w:rPr>
      </w:pPr>
    </w:p>
    <w:p w:rsidR="00D24E61" w:rsidRPr="00532078" w:rsidRDefault="00D24E61" w:rsidP="00532078">
      <w:pPr>
        <w:spacing w:line="220" w:lineRule="auto"/>
        <w:rPr>
          <w:color w:val="0000FF"/>
          <w:sz w:val="19"/>
          <w:szCs w:val="19"/>
          <w:u w:val="single"/>
        </w:rPr>
        <w:sectPr w:rsidR="00D24E61" w:rsidRPr="00532078">
          <w:type w:val="continuous"/>
          <w:pgSz w:w="11900" w:h="16838"/>
          <w:pgMar w:top="700" w:right="2160" w:bottom="580" w:left="860" w:header="0" w:footer="0" w:gutter="0"/>
          <w:cols w:space="720" w:equalWidth="0">
            <w:col w:w="8880"/>
          </w:cols>
        </w:sectPr>
      </w:pPr>
      <w:r w:rsidRPr="00771368">
        <w:rPr>
          <w:sz w:val="24"/>
          <w:szCs w:val="24"/>
          <w:vertAlign w:val="superscript"/>
        </w:rPr>
        <w:t>7</w:t>
      </w:r>
      <w:r w:rsidRPr="00771368">
        <w:rPr>
          <w:sz w:val="19"/>
          <w:szCs w:val="19"/>
        </w:rPr>
        <w:t xml:space="preserve"> Disponível em </w:t>
      </w:r>
      <w:hyperlink r:id="rId450">
        <w:r w:rsidRPr="00771368">
          <w:rPr>
            <w:color w:val="0000FF"/>
            <w:sz w:val="19"/>
            <w:szCs w:val="19"/>
            <w:u w:val="single"/>
          </w:rPr>
          <w:t>http://www.ipea.gov.br/desafios/index.php?option=com_content&amp;view=article&amp;id=2684:catid=28&amp;Itemid=23</w:t>
        </w:r>
      </w:hyperlink>
    </w:p>
    <w:p w:rsidR="00D24E61" w:rsidRPr="00771368" w:rsidRDefault="00D24E61" w:rsidP="00532078">
      <w:pPr>
        <w:rPr>
          <w:sz w:val="20"/>
          <w:szCs w:val="20"/>
        </w:rPr>
      </w:pPr>
    </w:p>
    <w:p w:rsidR="00D24E61" w:rsidRPr="00771368" w:rsidRDefault="00D24E61">
      <w:pPr>
        <w:spacing w:line="351" w:lineRule="auto"/>
        <w:jc w:val="both"/>
        <w:rPr>
          <w:sz w:val="20"/>
          <w:szCs w:val="20"/>
        </w:rPr>
      </w:pPr>
      <w:r w:rsidRPr="00771368">
        <w:rPr>
          <w:sz w:val="24"/>
          <w:szCs w:val="24"/>
        </w:rPr>
        <w:t>a tradicionais concepções de gênero, que representam o trabalho doméstico como uma habilidade natural das mulheres, mas também a uma herança escravista da sociedade brasileira, que se combinou com a construção de um cenário de desigualdade no qual as mulheres negras têm menor escolaridade e maior nível de pobreza e no qual o trabalho doméstico desqualificado, desregulado e de baixos salários constitui-se numa das poucas opções de emprego. As autoras afirmam que as mulheres negras assumiram as responsabilidades domésticas das mulheres brancas, com maiores oportunidades educacionais e de renda, liberando-as para maior inserção de trabalho no espaço público. (Pinheiro e Madsen, 2011).</w:t>
      </w:r>
    </w:p>
    <w:p w:rsidR="00D24E61" w:rsidRPr="00771368" w:rsidRDefault="00D24E61">
      <w:pPr>
        <w:spacing w:line="70" w:lineRule="exact"/>
        <w:rPr>
          <w:sz w:val="20"/>
          <w:szCs w:val="20"/>
        </w:rPr>
      </w:pPr>
    </w:p>
    <w:p w:rsidR="00D24E61" w:rsidRPr="00771368" w:rsidRDefault="00D24E61">
      <w:pPr>
        <w:spacing w:line="343" w:lineRule="auto"/>
        <w:ind w:firstLine="763"/>
        <w:jc w:val="both"/>
        <w:rPr>
          <w:sz w:val="20"/>
          <w:szCs w:val="20"/>
        </w:rPr>
      </w:pPr>
      <w:r w:rsidRPr="00771368">
        <w:rPr>
          <w:sz w:val="24"/>
          <w:szCs w:val="24"/>
        </w:rPr>
        <w:t>Para Saffioti (2011) as mulheres negras se constroem como sujeitos políticos a partir do confronto com o racismo patriarcal. A autora (2011) defende que cada linha teórica enfatiza um aspecto do gênero, porém há um tênue consenso: “o gênero é a construção social do feminino e do masculino” mas para ela, há uma estrutura de poder que unifica as três subestruturas: gênero, classe social, raça/etnia.</w:t>
      </w:r>
    </w:p>
    <w:p w:rsidR="00D24E61" w:rsidRPr="00771368" w:rsidRDefault="00D24E61">
      <w:pPr>
        <w:spacing w:line="79" w:lineRule="exact"/>
        <w:rPr>
          <w:sz w:val="20"/>
          <w:szCs w:val="20"/>
        </w:rPr>
      </w:pPr>
    </w:p>
    <w:p w:rsidR="00D24E61" w:rsidRPr="00771368" w:rsidRDefault="00D24E61">
      <w:pPr>
        <w:spacing w:line="335" w:lineRule="auto"/>
        <w:ind w:firstLine="706"/>
        <w:jc w:val="both"/>
        <w:rPr>
          <w:sz w:val="20"/>
          <w:szCs w:val="20"/>
        </w:rPr>
      </w:pPr>
      <w:r w:rsidRPr="00771368">
        <w:rPr>
          <w:sz w:val="24"/>
          <w:szCs w:val="24"/>
        </w:rPr>
        <w:t>Werneck(2009) pontua que as mulheres negras devem ser compreendidas como uma articulação de heterogeneidades, que devem confrontar a dominação eurocêntrica em várias épocas, a modernidade racializada, racista e heterossexista e suas configurações atuais.</w:t>
      </w:r>
    </w:p>
    <w:p w:rsidR="00D24E61" w:rsidRPr="00771368" w:rsidRDefault="00D24E61">
      <w:pPr>
        <w:spacing w:line="200" w:lineRule="exact"/>
        <w:rPr>
          <w:sz w:val="20"/>
          <w:szCs w:val="20"/>
        </w:rPr>
      </w:pPr>
    </w:p>
    <w:p w:rsidR="00D24E61" w:rsidRPr="00771368" w:rsidRDefault="00D24E61">
      <w:pPr>
        <w:spacing w:line="247" w:lineRule="exact"/>
        <w:rPr>
          <w:sz w:val="20"/>
          <w:szCs w:val="20"/>
        </w:rPr>
      </w:pPr>
    </w:p>
    <w:p w:rsidR="00D24E61" w:rsidRPr="00771368" w:rsidRDefault="00D24E61">
      <w:pPr>
        <w:rPr>
          <w:sz w:val="20"/>
          <w:szCs w:val="20"/>
        </w:rPr>
      </w:pPr>
      <w:r w:rsidRPr="00771368">
        <w:rPr>
          <w:b/>
          <w:bCs/>
          <w:sz w:val="24"/>
          <w:szCs w:val="24"/>
        </w:rPr>
        <w:t>Gênero, raça e identidade.</w:t>
      </w:r>
    </w:p>
    <w:p w:rsidR="00D24E61" w:rsidRPr="00771368" w:rsidRDefault="00D24E61">
      <w:pPr>
        <w:spacing w:line="195" w:lineRule="exact"/>
        <w:rPr>
          <w:sz w:val="20"/>
          <w:szCs w:val="20"/>
        </w:rPr>
      </w:pPr>
    </w:p>
    <w:p w:rsidR="00D24E61" w:rsidRPr="00771368" w:rsidRDefault="00D24E61">
      <w:pPr>
        <w:spacing w:line="332" w:lineRule="auto"/>
        <w:ind w:right="3940"/>
        <w:rPr>
          <w:sz w:val="20"/>
          <w:szCs w:val="20"/>
        </w:rPr>
      </w:pPr>
      <w:r w:rsidRPr="00771368">
        <w:rPr>
          <w:i/>
          <w:iCs/>
          <w:sz w:val="23"/>
          <w:szCs w:val="23"/>
        </w:rPr>
        <w:t>“Se o preto de alma branca pra você é o exemplo da dignidade Não nos ajuda, só nos faz sofrer, nem resgata nossa identidade”.</w:t>
      </w:r>
    </w:p>
    <w:p w:rsidR="00D24E61" w:rsidRPr="00771368" w:rsidRDefault="00D24E61">
      <w:pPr>
        <w:spacing w:line="36" w:lineRule="exact"/>
        <w:rPr>
          <w:sz w:val="20"/>
          <w:szCs w:val="20"/>
        </w:rPr>
      </w:pPr>
    </w:p>
    <w:p w:rsidR="00D24E61" w:rsidRPr="00771368" w:rsidRDefault="00D24E61">
      <w:pPr>
        <w:rPr>
          <w:sz w:val="20"/>
          <w:szCs w:val="20"/>
        </w:rPr>
      </w:pPr>
      <w:r w:rsidRPr="00771368">
        <w:rPr>
          <w:i/>
          <w:iCs/>
          <w:sz w:val="24"/>
          <w:szCs w:val="24"/>
        </w:rPr>
        <w:t>Jorge Aragão</w:t>
      </w:r>
    </w:p>
    <w:p w:rsidR="00D24E61" w:rsidRPr="00771368" w:rsidRDefault="00D24E61">
      <w:pPr>
        <w:spacing w:line="195" w:lineRule="exact"/>
        <w:rPr>
          <w:sz w:val="20"/>
          <w:szCs w:val="20"/>
        </w:rPr>
      </w:pPr>
    </w:p>
    <w:p w:rsidR="00D24E61" w:rsidRPr="00771368" w:rsidRDefault="00D24E61">
      <w:pPr>
        <w:spacing w:line="343" w:lineRule="auto"/>
        <w:ind w:firstLine="706"/>
        <w:jc w:val="both"/>
        <w:rPr>
          <w:sz w:val="20"/>
          <w:szCs w:val="20"/>
        </w:rPr>
      </w:pPr>
      <w:r w:rsidRPr="00771368">
        <w:rPr>
          <w:sz w:val="24"/>
          <w:szCs w:val="24"/>
        </w:rPr>
        <w:t>Essa música de Jorge Aragão resgata um conceito de identidade relacionado a resistência de um povo: “Quem cede a vez não quer vitória, somos herança da memória, temos a cor da noite, filhos de todo açoite, fato real de nossa história”. Castells entende identidade como a fonte de significado e experiência de um povo:</w:t>
      </w:r>
    </w:p>
    <w:p w:rsidR="00D24E61" w:rsidRPr="00771368" w:rsidRDefault="00D24E61">
      <w:pPr>
        <w:spacing w:line="370" w:lineRule="exact"/>
        <w:rPr>
          <w:sz w:val="20"/>
          <w:szCs w:val="20"/>
        </w:rPr>
      </w:pPr>
    </w:p>
    <w:p w:rsidR="00D24E61" w:rsidRPr="00771368" w:rsidRDefault="00D24E61">
      <w:pPr>
        <w:spacing w:line="224" w:lineRule="auto"/>
        <w:ind w:left="2260"/>
        <w:jc w:val="both"/>
        <w:rPr>
          <w:sz w:val="20"/>
          <w:szCs w:val="20"/>
        </w:rPr>
      </w:pPr>
      <w:r w:rsidRPr="00771368">
        <w:rPr>
          <w:sz w:val="20"/>
          <w:szCs w:val="20"/>
        </w:rPr>
        <w:t>O processo de construção de significado com base em um atributo cultural, ou ainda, um conjunto de atributos culturais inter-relacionados, os quais prevalecem sobre uma fonte de significado. (CASTELLS, 1999, p.22)</w:t>
      </w:r>
    </w:p>
    <w:p w:rsidR="00D24E61" w:rsidRPr="00771368" w:rsidRDefault="00D24E61">
      <w:pPr>
        <w:spacing w:line="357" w:lineRule="exact"/>
        <w:rPr>
          <w:sz w:val="20"/>
          <w:szCs w:val="20"/>
        </w:rPr>
      </w:pPr>
    </w:p>
    <w:p w:rsidR="00D24E61" w:rsidRPr="00771368" w:rsidRDefault="00D24E61">
      <w:pPr>
        <w:spacing w:line="347" w:lineRule="auto"/>
        <w:ind w:firstLine="706"/>
        <w:jc w:val="both"/>
        <w:rPr>
          <w:sz w:val="20"/>
          <w:szCs w:val="20"/>
        </w:rPr>
      </w:pPr>
      <w:r w:rsidRPr="00771368">
        <w:rPr>
          <w:sz w:val="24"/>
          <w:szCs w:val="24"/>
        </w:rPr>
        <w:t>O autor define papéis como “aqueles definidos por normas estruturadas pelas instituições e organizações da sociedade” e identidades “como o que constitui fontes de significados para os próprios atores, por eles originadas e construídas por meio de um processo de individuação.” (CASTELLS, 1999, p.23). Não se podem misturar esses conceitos, pois o conceito de identidade sempre ocorre em um ambiente marcado por relações de poder. Castells propõe três formas de construção de identidade:</w:t>
      </w:r>
    </w:p>
    <w:p w:rsidR="00D24E61" w:rsidRPr="00771368" w:rsidRDefault="00D24E61">
      <w:pPr>
        <w:spacing w:line="75" w:lineRule="exact"/>
        <w:rPr>
          <w:sz w:val="20"/>
          <w:szCs w:val="20"/>
        </w:rPr>
      </w:pPr>
    </w:p>
    <w:p w:rsidR="00D24E61" w:rsidRPr="00771368" w:rsidRDefault="00D24E61" w:rsidP="004B5D56">
      <w:pPr>
        <w:numPr>
          <w:ilvl w:val="0"/>
          <w:numId w:val="51"/>
        </w:numPr>
        <w:tabs>
          <w:tab w:val="left" w:pos="1060"/>
        </w:tabs>
        <w:spacing w:line="308" w:lineRule="auto"/>
        <w:jc w:val="both"/>
        <w:rPr>
          <w:sz w:val="24"/>
          <w:szCs w:val="24"/>
        </w:rPr>
      </w:pPr>
      <w:r w:rsidRPr="00771368">
        <w:rPr>
          <w:sz w:val="24"/>
          <w:szCs w:val="24"/>
        </w:rPr>
        <w:t>Identidade legitimadora: introduzida pelas instituições dominantes da sociedade no intuito de expandir e racionalizar sua dominação em relação aos atores sociais;</w:t>
      </w:r>
    </w:p>
    <w:p w:rsidR="00D24E61" w:rsidRPr="00771368" w:rsidRDefault="00D24E61">
      <w:pPr>
        <w:spacing w:line="121" w:lineRule="exact"/>
        <w:rPr>
          <w:sz w:val="24"/>
          <w:szCs w:val="24"/>
        </w:rPr>
      </w:pPr>
    </w:p>
    <w:p w:rsidR="00D24E61" w:rsidRPr="00532078" w:rsidRDefault="00D24E61" w:rsidP="004B5D56">
      <w:pPr>
        <w:numPr>
          <w:ilvl w:val="0"/>
          <w:numId w:val="51"/>
        </w:numPr>
        <w:tabs>
          <w:tab w:val="left" w:pos="1060"/>
        </w:tabs>
        <w:spacing w:line="308" w:lineRule="auto"/>
        <w:ind w:right="20"/>
        <w:jc w:val="both"/>
        <w:rPr>
          <w:sz w:val="24"/>
          <w:szCs w:val="24"/>
        </w:rPr>
        <w:sectPr w:rsidR="00D24E61" w:rsidRPr="00532078">
          <w:pgSz w:w="11900" w:h="16838"/>
          <w:pgMar w:top="700" w:right="840" w:bottom="830" w:left="860" w:header="0" w:footer="0" w:gutter="0"/>
          <w:cols w:space="720" w:equalWidth="0">
            <w:col w:w="10200"/>
          </w:cols>
        </w:sectPr>
      </w:pPr>
      <w:r w:rsidRPr="00771368">
        <w:rPr>
          <w:sz w:val="24"/>
          <w:szCs w:val="24"/>
        </w:rPr>
        <w:t>Identidade de resistência: criada pelos atores que se encontram em posições/condições desvalorizadas e/ou estigmatizadas pela lógica da domi</w:t>
      </w:r>
      <w:r w:rsidR="00532078">
        <w:rPr>
          <w:sz w:val="24"/>
          <w:szCs w:val="24"/>
        </w:rPr>
        <w:t>nação construindo trincheiras de</w:t>
      </w:r>
    </w:p>
    <w:p w:rsidR="00D24E61" w:rsidRPr="00771368" w:rsidRDefault="00D24E61">
      <w:pPr>
        <w:spacing w:line="334" w:lineRule="exact"/>
        <w:rPr>
          <w:sz w:val="20"/>
          <w:szCs w:val="20"/>
        </w:rPr>
      </w:pPr>
    </w:p>
    <w:p w:rsidR="00D24E61" w:rsidRPr="00771368" w:rsidRDefault="00D24E61">
      <w:pPr>
        <w:spacing w:line="308" w:lineRule="auto"/>
        <w:ind w:left="1060" w:right="20"/>
        <w:rPr>
          <w:sz w:val="20"/>
          <w:szCs w:val="20"/>
        </w:rPr>
      </w:pPr>
      <w:r w:rsidRPr="00771368">
        <w:rPr>
          <w:sz w:val="24"/>
          <w:szCs w:val="24"/>
        </w:rPr>
        <w:t>resistência e sobrevivência como base em princípios diferentes dos que permeiam as instituições da sociedade.</w:t>
      </w:r>
    </w:p>
    <w:p w:rsidR="00D24E61" w:rsidRPr="00771368" w:rsidRDefault="00D24E61">
      <w:pPr>
        <w:spacing w:line="117" w:lineRule="exact"/>
        <w:rPr>
          <w:sz w:val="20"/>
          <w:szCs w:val="20"/>
        </w:rPr>
      </w:pPr>
    </w:p>
    <w:p w:rsidR="00D24E61" w:rsidRPr="00771368" w:rsidRDefault="00D24E61" w:rsidP="00FA0ABA">
      <w:pPr>
        <w:numPr>
          <w:ilvl w:val="0"/>
          <w:numId w:val="44"/>
        </w:numPr>
        <w:tabs>
          <w:tab w:val="left" w:pos="1060"/>
        </w:tabs>
        <w:spacing w:line="308" w:lineRule="auto"/>
        <w:ind w:left="1060" w:hanging="364"/>
        <w:jc w:val="both"/>
        <w:rPr>
          <w:sz w:val="24"/>
          <w:szCs w:val="24"/>
        </w:rPr>
      </w:pPr>
      <w:r w:rsidRPr="00771368">
        <w:rPr>
          <w:sz w:val="24"/>
          <w:szCs w:val="24"/>
        </w:rPr>
        <w:t>Identidade de projeto: quando os atores sociais, utilizando-se de qualquer tipo de material cultural ao seu alcance constroem uma nova identidade capaz de redefinir sua posição na</w:t>
      </w:r>
    </w:p>
    <w:p w:rsidR="00D24E61" w:rsidRPr="00771368" w:rsidRDefault="00D24E61">
      <w:pPr>
        <w:spacing w:line="64" w:lineRule="exact"/>
        <w:rPr>
          <w:sz w:val="20"/>
          <w:szCs w:val="20"/>
        </w:rPr>
      </w:pPr>
    </w:p>
    <w:p w:rsidR="00D24E61" w:rsidRPr="00771368" w:rsidRDefault="00D24E61">
      <w:pPr>
        <w:ind w:left="1060"/>
        <w:rPr>
          <w:sz w:val="20"/>
          <w:szCs w:val="20"/>
        </w:rPr>
      </w:pPr>
      <w:r w:rsidRPr="00771368">
        <w:rPr>
          <w:sz w:val="24"/>
          <w:szCs w:val="24"/>
        </w:rPr>
        <w:t>sociedade, ao fazê-lo, buscam a transformação de toda a estrutura social.</w:t>
      </w:r>
    </w:p>
    <w:p w:rsidR="00D24E61" w:rsidRPr="00771368" w:rsidRDefault="00D24E61">
      <w:pPr>
        <w:spacing w:line="195" w:lineRule="exact"/>
        <w:rPr>
          <w:sz w:val="20"/>
          <w:szCs w:val="20"/>
        </w:rPr>
      </w:pPr>
    </w:p>
    <w:p w:rsidR="00D24E61" w:rsidRPr="00771368" w:rsidRDefault="00D24E61">
      <w:pPr>
        <w:spacing w:line="349" w:lineRule="auto"/>
        <w:ind w:firstLine="706"/>
        <w:jc w:val="both"/>
        <w:rPr>
          <w:sz w:val="20"/>
          <w:szCs w:val="20"/>
        </w:rPr>
      </w:pPr>
      <w:r w:rsidRPr="00771368">
        <w:rPr>
          <w:sz w:val="24"/>
          <w:szCs w:val="24"/>
        </w:rPr>
        <w:t>A identidade de projeto pode ser exemplificada pelo movimento feminista, que faz frente ao patriarcalismo e à estrutura de produção e reprodução da sexualidade. Porém, historicamente, a identidade da mulher negra vem vendo construída como inferior, tanto no que se refere ao aspecto corporal (sem beleza), quanto ao intelectual (sem inteligência). A mulata encontra-se em outro patamar, onde a sexualidade é inerente as suas características. Nascimento afirma que para Castells “as identidades étnicas articulam-se ou confundem-se frequentemente com identidades religiosas ou nacionais.”(Nascimento,</w:t>
      </w:r>
    </w:p>
    <w:p w:rsidR="00D24E61" w:rsidRPr="00771368" w:rsidRDefault="00D24E61">
      <w:pPr>
        <w:spacing w:line="16" w:lineRule="exact"/>
        <w:rPr>
          <w:sz w:val="20"/>
          <w:szCs w:val="20"/>
        </w:rPr>
      </w:pPr>
    </w:p>
    <w:p w:rsidR="00D24E61" w:rsidRPr="00771368" w:rsidRDefault="00D24E61">
      <w:pPr>
        <w:rPr>
          <w:sz w:val="20"/>
          <w:szCs w:val="20"/>
        </w:rPr>
      </w:pPr>
      <w:r w:rsidRPr="00771368">
        <w:rPr>
          <w:sz w:val="24"/>
          <w:szCs w:val="24"/>
        </w:rPr>
        <w:t>2003, p.43)</w:t>
      </w:r>
    </w:p>
    <w:p w:rsidR="00D24E61" w:rsidRPr="00771368" w:rsidRDefault="00D24E61">
      <w:pPr>
        <w:spacing w:line="200" w:lineRule="exact"/>
        <w:rPr>
          <w:sz w:val="20"/>
          <w:szCs w:val="20"/>
        </w:rPr>
      </w:pPr>
    </w:p>
    <w:p w:rsidR="00D24E61" w:rsidRPr="00771368" w:rsidRDefault="00D24E61">
      <w:pPr>
        <w:spacing w:line="308" w:lineRule="auto"/>
        <w:ind w:right="20" w:firstLine="706"/>
        <w:jc w:val="both"/>
        <w:rPr>
          <w:sz w:val="20"/>
          <w:szCs w:val="20"/>
        </w:rPr>
      </w:pPr>
      <w:r w:rsidRPr="00771368">
        <w:rPr>
          <w:sz w:val="24"/>
          <w:szCs w:val="24"/>
        </w:rPr>
        <w:t>Porém, a autora faz uma crítica a Castells devido a sua afirmação que raça é um fator importante, mas que dificilmente possa construir significados. A autora finaliza:</w:t>
      </w:r>
    </w:p>
    <w:p w:rsidR="00D24E61" w:rsidRPr="00771368" w:rsidRDefault="00D24E61">
      <w:pPr>
        <w:spacing w:line="200" w:lineRule="exact"/>
        <w:rPr>
          <w:sz w:val="20"/>
          <w:szCs w:val="20"/>
        </w:rPr>
      </w:pPr>
    </w:p>
    <w:p w:rsidR="00D24E61" w:rsidRPr="00771368" w:rsidRDefault="00D24E61">
      <w:pPr>
        <w:spacing w:line="208" w:lineRule="exact"/>
        <w:rPr>
          <w:sz w:val="20"/>
          <w:szCs w:val="20"/>
        </w:rPr>
      </w:pPr>
    </w:p>
    <w:p w:rsidR="00D24E61" w:rsidRPr="00771368" w:rsidRDefault="00D24E61">
      <w:pPr>
        <w:spacing w:line="229" w:lineRule="auto"/>
        <w:ind w:left="2260"/>
        <w:jc w:val="both"/>
        <w:rPr>
          <w:sz w:val="20"/>
          <w:szCs w:val="20"/>
        </w:rPr>
      </w:pPr>
      <w:r w:rsidRPr="00771368">
        <w:rPr>
          <w:sz w:val="20"/>
          <w:szCs w:val="20"/>
        </w:rPr>
        <w:t>“Acredito que, ao contrário, a identidade racial seja proativa, em particular nas sociedades multiétnicas e pluriculturais formadas a partir do tráfico de africanos escravizados, e constitua uma base de identidades de projeto cuja articulação vem exercendo efeitos transformadores profundos e difusos, interagindo com os movimentos ecológicos e feministas nessa intervenção na realidade social.”(NASCIMENTO, 2003, p.43-44)</w:t>
      </w:r>
    </w:p>
    <w:p w:rsidR="00D24E61" w:rsidRPr="00771368" w:rsidRDefault="00D24E61">
      <w:pPr>
        <w:spacing w:line="365" w:lineRule="exact"/>
        <w:rPr>
          <w:sz w:val="20"/>
          <w:szCs w:val="20"/>
        </w:rPr>
      </w:pPr>
    </w:p>
    <w:p w:rsidR="00D24E61" w:rsidRPr="00771368" w:rsidRDefault="00D24E61">
      <w:pPr>
        <w:spacing w:line="333" w:lineRule="auto"/>
        <w:ind w:firstLine="706"/>
        <w:jc w:val="both"/>
        <w:rPr>
          <w:sz w:val="20"/>
          <w:szCs w:val="20"/>
        </w:rPr>
      </w:pPr>
      <w:r w:rsidRPr="00771368">
        <w:rPr>
          <w:sz w:val="24"/>
          <w:szCs w:val="24"/>
        </w:rPr>
        <w:t>A autora define identidades de projeto como as que representam uma continuidade de resistência com raízes de longa data, como no caso de grupos subjugados pelo sistema de dominação colonialista e patriarcal. (NASCIMENTO, 2003, p. 43).</w:t>
      </w:r>
    </w:p>
    <w:p w:rsidR="00D24E61" w:rsidRPr="00771368" w:rsidRDefault="00D24E61">
      <w:pPr>
        <w:spacing w:line="90" w:lineRule="exact"/>
        <w:rPr>
          <w:sz w:val="20"/>
          <w:szCs w:val="20"/>
        </w:rPr>
      </w:pPr>
    </w:p>
    <w:p w:rsidR="00D24E61" w:rsidRPr="00771368" w:rsidRDefault="00D24E61">
      <w:pPr>
        <w:spacing w:line="353" w:lineRule="auto"/>
        <w:ind w:firstLine="706"/>
        <w:jc w:val="both"/>
        <w:rPr>
          <w:sz w:val="20"/>
          <w:szCs w:val="20"/>
        </w:rPr>
      </w:pPr>
      <w:r w:rsidRPr="00771368">
        <w:rPr>
          <w:sz w:val="24"/>
          <w:szCs w:val="24"/>
        </w:rPr>
        <w:t>É importante destacar que, de acordo com Nascimento (2003), o conceito de raça e sua utilidade como categoria de análise vêm sendo negada desde o final da II Guerra Mundial A autora afirma que esse fato é contestado devido ao horror causado pelo holocausto dos judeus na Europa, terrível episódio que segundo ela, teve maior repercussão que o genocídio dos povos africanos e indígenas durante o escravismo mercantil, envolvendo maior número de vítimas ao longo dos anos. Na América Latina, a hierarquia racial da escala gradativa de cor e prestígio, foi transformada numa estrutura tida como neutra no sentido racial. Segundo essa tese, a categoria “raça” não existira como classificador nas sociedades “latinas”.</w:t>
      </w:r>
    </w:p>
    <w:p w:rsidR="00D24E61" w:rsidRPr="00771368" w:rsidRDefault="00D24E61">
      <w:pPr>
        <w:spacing w:line="356" w:lineRule="exact"/>
        <w:rPr>
          <w:sz w:val="20"/>
          <w:szCs w:val="20"/>
        </w:rPr>
      </w:pPr>
    </w:p>
    <w:p w:rsidR="00D24E61" w:rsidRPr="00771368" w:rsidRDefault="00D24E61">
      <w:pPr>
        <w:spacing w:line="232" w:lineRule="auto"/>
        <w:ind w:left="2260"/>
        <w:jc w:val="both"/>
        <w:rPr>
          <w:sz w:val="20"/>
          <w:szCs w:val="20"/>
        </w:rPr>
      </w:pPr>
      <w:r w:rsidRPr="00771368">
        <w:rPr>
          <w:sz w:val="20"/>
          <w:szCs w:val="20"/>
        </w:rPr>
        <w:t>“Ao contrário do critério norte americano, de classificação racial pela origem (a chamada hipodescendência), o critério da cor, que classifica pela marca ou pelo fenótipo, seria de natureza puramente estética, divorciado da noção de origem racial ou étnica e, portanto, não racista. Se a cor preta, com sua correspondente aparência, revela-se a menos prestigiada nessa escala hierárquica, tal fato nada teria a ver com a raça ou com a origem africana enunciada pela cor. Se a cor dos mulatos ou mestiços atribui-se a um status inferior a branca, trata-se de um critério estético ou de classe desprovido de qualquer implicação racial.”(NASCIMENTO, 2003, p.46)</w:t>
      </w:r>
    </w:p>
    <w:p w:rsidR="00D24E61" w:rsidRPr="00771368" w:rsidRDefault="00D24E61">
      <w:pPr>
        <w:sectPr w:rsidR="00D24E61" w:rsidRPr="00771368">
          <w:pgSz w:w="11900" w:h="16838"/>
          <w:pgMar w:top="700" w:right="840" w:bottom="1440" w:left="860" w:header="0" w:footer="0" w:gutter="0"/>
          <w:cols w:space="720" w:equalWidth="0">
            <w:col w:w="10200"/>
          </w:cols>
        </w:sectPr>
      </w:pPr>
    </w:p>
    <w:p w:rsidR="00D24E61" w:rsidRPr="00771368" w:rsidRDefault="00D24E61">
      <w:pPr>
        <w:spacing w:line="342" w:lineRule="auto"/>
        <w:ind w:firstLine="706"/>
        <w:jc w:val="both"/>
        <w:rPr>
          <w:sz w:val="20"/>
          <w:szCs w:val="20"/>
        </w:rPr>
      </w:pPr>
      <w:r w:rsidRPr="00771368">
        <w:rPr>
          <w:sz w:val="24"/>
          <w:szCs w:val="24"/>
        </w:rPr>
        <w:t>A autora conceitua sortilégio da cor “o processo de desracialização ideológica, que comparece travestida de análise científica, para esvaziar de conteúdo racial hierarquias baseadas no supremacismo branco.” A sua função ideológica seria ocultar o etnocentrismo ocidental e o supremacismo branco, exaltando o critério de cor e etnia, que teria permanecido sobre o de raça. (NASCIMENTO, 2003, p.47).</w:t>
      </w:r>
    </w:p>
    <w:p w:rsidR="00D24E61" w:rsidRPr="00771368" w:rsidRDefault="00D24E61">
      <w:pPr>
        <w:spacing w:line="84" w:lineRule="exact"/>
        <w:rPr>
          <w:sz w:val="20"/>
          <w:szCs w:val="20"/>
        </w:rPr>
      </w:pPr>
    </w:p>
    <w:p w:rsidR="00D24E61" w:rsidRPr="00771368" w:rsidRDefault="00D24E61">
      <w:pPr>
        <w:spacing w:line="347" w:lineRule="auto"/>
        <w:ind w:firstLine="706"/>
        <w:jc w:val="both"/>
        <w:rPr>
          <w:sz w:val="20"/>
          <w:szCs w:val="20"/>
        </w:rPr>
      </w:pPr>
      <w:r w:rsidRPr="00771368">
        <w:rPr>
          <w:sz w:val="24"/>
          <w:szCs w:val="24"/>
        </w:rPr>
        <w:t>Na perspectiva de identidade de projeto enquanto uma forma de resistência ao racismo e sexismo, hoje é possível pensar em políticas afirmativas que propiciem o combate não apenas da desigualdade de gênero, mas também das desigualdades étnico-raciais, valorizando a herança que a mulher negra trouxe na sua história. Assim, além da pobreza também deve ser considerado o contexto histórico, onde a classe social, a raça e o gênero estão associados para discutir políticas afirmativas para a população negra.</w:t>
      </w:r>
    </w:p>
    <w:p w:rsidR="00D24E61" w:rsidRPr="00771368" w:rsidRDefault="00D24E61">
      <w:pPr>
        <w:spacing w:line="74" w:lineRule="exact"/>
        <w:rPr>
          <w:sz w:val="20"/>
          <w:szCs w:val="20"/>
        </w:rPr>
      </w:pPr>
    </w:p>
    <w:p w:rsidR="00D24E61" w:rsidRPr="00771368" w:rsidRDefault="00D24E61">
      <w:pPr>
        <w:spacing w:line="308" w:lineRule="auto"/>
        <w:ind w:firstLine="706"/>
        <w:jc w:val="both"/>
        <w:rPr>
          <w:sz w:val="20"/>
          <w:szCs w:val="20"/>
        </w:rPr>
      </w:pPr>
      <w:r w:rsidRPr="00771368">
        <w:rPr>
          <w:sz w:val="24"/>
          <w:szCs w:val="24"/>
        </w:rPr>
        <w:t>Werneck (2009) pontua a necessidade de assumir de forma positiva sexo e cor de pele como conceito e identidade da mulher negra. Dessa forma, busca-se desconstruir a identidade legitimadora e</w:t>
      </w:r>
    </w:p>
    <w:p w:rsidR="00D24E61" w:rsidRPr="00771368" w:rsidRDefault="00D24E61">
      <w:pPr>
        <w:spacing w:line="118" w:lineRule="exact"/>
        <w:rPr>
          <w:sz w:val="20"/>
          <w:szCs w:val="20"/>
        </w:rPr>
      </w:pPr>
    </w:p>
    <w:p w:rsidR="00D24E61" w:rsidRPr="00771368" w:rsidRDefault="00D24E61">
      <w:pPr>
        <w:spacing w:line="312" w:lineRule="auto"/>
        <w:jc w:val="both"/>
        <w:rPr>
          <w:sz w:val="20"/>
          <w:szCs w:val="20"/>
        </w:rPr>
      </w:pPr>
      <w:r w:rsidRPr="00771368">
        <w:rPr>
          <w:sz w:val="24"/>
          <w:szCs w:val="24"/>
        </w:rPr>
        <w:t>“científica” que construiu uma mulher negra a margem das riquezas e conhecimentos socialmente construídos.</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3" w:lineRule="exact"/>
        <w:rPr>
          <w:sz w:val="20"/>
          <w:szCs w:val="20"/>
        </w:rPr>
      </w:pPr>
    </w:p>
    <w:p w:rsidR="00D24E61" w:rsidRPr="00771368" w:rsidRDefault="00D24E61">
      <w:pPr>
        <w:rPr>
          <w:sz w:val="20"/>
          <w:szCs w:val="20"/>
        </w:rPr>
      </w:pPr>
      <w:r w:rsidRPr="00771368">
        <w:rPr>
          <w:b/>
          <w:bCs/>
          <w:sz w:val="24"/>
          <w:szCs w:val="24"/>
        </w:rPr>
        <w:t>A História das Políticas Afirmativas na UTFPR</w:t>
      </w:r>
    </w:p>
    <w:p w:rsidR="00D24E61" w:rsidRPr="00771368" w:rsidRDefault="00D24E61">
      <w:pPr>
        <w:spacing w:line="190" w:lineRule="exact"/>
        <w:rPr>
          <w:sz w:val="20"/>
          <w:szCs w:val="20"/>
        </w:rPr>
      </w:pPr>
    </w:p>
    <w:p w:rsidR="00D24E61" w:rsidRPr="00771368" w:rsidRDefault="00D24E61">
      <w:pPr>
        <w:spacing w:line="347" w:lineRule="auto"/>
        <w:ind w:right="20" w:firstLine="706"/>
        <w:jc w:val="both"/>
        <w:rPr>
          <w:sz w:val="20"/>
          <w:szCs w:val="20"/>
        </w:rPr>
      </w:pPr>
      <w:r w:rsidRPr="00771368">
        <w:rPr>
          <w:sz w:val="24"/>
          <w:szCs w:val="24"/>
        </w:rPr>
        <w:t>A Universidade Tecnológica Federal do Paraná é uma instituição Federal que abrange o ensino técnico e o ensino superior. Ela foi transformada de Centro Federal de Educação Tecnológica do Paraná (CEFET-PR</w:t>
      </w:r>
      <w:r w:rsidRPr="00771368">
        <w:rPr>
          <w:b/>
          <w:bCs/>
          <w:sz w:val="24"/>
          <w:szCs w:val="24"/>
        </w:rPr>
        <w:t>)</w:t>
      </w:r>
      <w:r w:rsidRPr="00771368">
        <w:rPr>
          <w:sz w:val="24"/>
          <w:szCs w:val="24"/>
        </w:rPr>
        <w:t>, para Universidade Tecnológica em 2005 e hoje, possui 12 campus: Curitiba, Apucarana, Campo Mourão, Cornélio Procópio, Dois Vizinhos, Francisco Beltrão, Guarapuava, Londrina, Medianeira, Pato Branco, Ponta Grossa e Toledo.</w:t>
      </w:r>
    </w:p>
    <w:p w:rsidR="00D24E61" w:rsidRPr="00771368" w:rsidRDefault="00D24E61">
      <w:pPr>
        <w:spacing w:line="74" w:lineRule="exact"/>
        <w:rPr>
          <w:sz w:val="20"/>
          <w:szCs w:val="20"/>
        </w:rPr>
      </w:pPr>
    </w:p>
    <w:p w:rsidR="00D24E61" w:rsidRPr="00771368" w:rsidRDefault="00D24E61">
      <w:pPr>
        <w:spacing w:line="336" w:lineRule="auto"/>
        <w:ind w:firstLine="706"/>
        <w:jc w:val="both"/>
        <w:rPr>
          <w:sz w:val="20"/>
          <w:szCs w:val="20"/>
        </w:rPr>
      </w:pPr>
      <w:r w:rsidRPr="00771368">
        <w:rPr>
          <w:sz w:val="24"/>
          <w:szCs w:val="24"/>
        </w:rPr>
        <w:t>Em 2007, foi instituído o “Programa de Apoio a Planos de Reestruturação e Expansão das Universidades Federais – REUNI, que definiu como um dos seus objetivos “dotar as universidades federais das condições necessárias para ampliação do acesso e permanência na educação superior”.</w:t>
      </w:r>
    </w:p>
    <w:p w:rsidR="00D24E61" w:rsidRPr="00771368" w:rsidRDefault="00D24E61">
      <w:pPr>
        <w:spacing w:line="85" w:lineRule="exact"/>
        <w:rPr>
          <w:sz w:val="20"/>
          <w:szCs w:val="20"/>
        </w:rPr>
      </w:pPr>
    </w:p>
    <w:p w:rsidR="00D24E61" w:rsidRPr="00771368" w:rsidRDefault="00D24E61">
      <w:pPr>
        <w:spacing w:line="342" w:lineRule="auto"/>
        <w:ind w:firstLine="763"/>
        <w:jc w:val="both"/>
        <w:rPr>
          <w:sz w:val="20"/>
          <w:szCs w:val="20"/>
        </w:rPr>
      </w:pPr>
      <w:r w:rsidRPr="00771368">
        <w:rPr>
          <w:sz w:val="24"/>
          <w:szCs w:val="24"/>
        </w:rPr>
        <w:t>Este programa pretende consolidar uma política nacional de expansão da educação superior pública, pela qual o Ministério da Educação cumpre o papel atribuído pelo Plano Nacional de Educação (Lei nº 10.172/2001) quando estabelece o provimento da oferta de educação superior para, pelo menos, 30% dos jovens na faixa etária de 18 a 24 anos, até o final da década.</w:t>
      </w:r>
    </w:p>
    <w:p w:rsidR="00D24E61" w:rsidRPr="00771368" w:rsidRDefault="00D24E61">
      <w:pPr>
        <w:spacing w:line="83" w:lineRule="exact"/>
        <w:rPr>
          <w:sz w:val="20"/>
          <w:szCs w:val="20"/>
        </w:rPr>
      </w:pPr>
    </w:p>
    <w:p w:rsidR="00D24E61" w:rsidRPr="00532078" w:rsidRDefault="00D24E61" w:rsidP="00532078">
      <w:pPr>
        <w:spacing w:line="347" w:lineRule="auto"/>
        <w:ind w:firstLine="706"/>
        <w:jc w:val="both"/>
        <w:rPr>
          <w:sz w:val="20"/>
          <w:szCs w:val="20"/>
        </w:rPr>
        <w:sectPr w:rsidR="00D24E61" w:rsidRPr="00532078">
          <w:pgSz w:w="11900" w:h="16838"/>
          <w:pgMar w:top="700" w:right="840" w:bottom="1440" w:left="860" w:header="0" w:footer="0" w:gutter="0"/>
          <w:cols w:space="720" w:equalWidth="0">
            <w:col w:w="10200"/>
          </w:cols>
        </w:sectPr>
      </w:pPr>
      <w:r w:rsidRPr="00771368">
        <w:rPr>
          <w:sz w:val="24"/>
          <w:szCs w:val="24"/>
        </w:rPr>
        <w:t>A partir dessas diretrizes, em 2007, foi aprovado pelo Conselho Universitário da UTFPR para o vestibular e o exame de seleção dos cursos técnicos, o sistema de cotas para alunos que vêm de escola pública (socioeconômicas), aplicadas a 50% das vagas. O vestibular passa a incluir a nota do Exame Nacional do Ensino Médio (Enem) na avaliação e os candidatos passam por duas provas: uma de conhecimentos gerais e outra de conhecimentos específicos.</w:t>
      </w:r>
    </w:p>
    <w:p w:rsidR="00D24E61" w:rsidRPr="00771368" w:rsidRDefault="00D24E61" w:rsidP="00532078">
      <w:pPr>
        <w:rPr>
          <w:sz w:val="20"/>
          <w:szCs w:val="20"/>
        </w:rPr>
      </w:pPr>
    </w:p>
    <w:p w:rsidR="00D24E61" w:rsidRPr="00771368" w:rsidRDefault="00D24E61">
      <w:pPr>
        <w:spacing w:line="349" w:lineRule="auto"/>
        <w:ind w:firstLine="706"/>
        <w:jc w:val="both"/>
        <w:rPr>
          <w:sz w:val="20"/>
          <w:szCs w:val="20"/>
        </w:rPr>
      </w:pPr>
      <w:r w:rsidRPr="00771368">
        <w:rPr>
          <w:sz w:val="24"/>
          <w:szCs w:val="24"/>
        </w:rPr>
        <w:t>Para ter direito às vagas destinadas a cotas públicas, era necessário que os estudantes que fizeram o vestibular ou o exame de seleção para o curso técnico comprovem que estudaram todo o Ensino Médio em escolas públicas. No caso dos cursos técnicos, tanto para a modalidade integrada (quatro anos de duração), quanto para a modalidade Proeja - Programa de Educação Profissional de Jovens e Adultos (três anos de duração) era preciso também que os candidatos tenham cursado todo o Ensino Fundamental em instituição pública.</w:t>
      </w:r>
    </w:p>
    <w:p w:rsidR="00D24E61" w:rsidRPr="00771368" w:rsidRDefault="00D24E61">
      <w:pPr>
        <w:spacing w:line="74" w:lineRule="exact"/>
        <w:rPr>
          <w:sz w:val="20"/>
          <w:szCs w:val="20"/>
        </w:rPr>
      </w:pPr>
    </w:p>
    <w:p w:rsidR="00D24E61" w:rsidRPr="00771368" w:rsidRDefault="00D24E61">
      <w:pPr>
        <w:spacing w:line="335" w:lineRule="auto"/>
        <w:ind w:firstLine="706"/>
        <w:jc w:val="both"/>
        <w:rPr>
          <w:sz w:val="20"/>
          <w:szCs w:val="20"/>
        </w:rPr>
      </w:pPr>
      <w:r w:rsidRPr="00771368">
        <w:rPr>
          <w:sz w:val="24"/>
          <w:szCs w:val="24"/>
        </w:rPr>
        <w:t>Outras mudanças na instituição devem ainda ser destacadas: em 2010, a seleção dos alunos começa a ser feita pelo SISU (Sistema de Seleção Unificada). Progressivamente, os cursos técnicos de ensino médio começam a diminuir, com a mudança do “antigo CEFET” como “Universidade</w:t>
      </w:r>
    </w:p>
    <w:p w:rsidR="00D24E61" w:rsidRPr="00771368" w:rsidRDefault="00D24E61">
      <w:pPr>
        <w:spacing w:line="88" w:lineRule="exact"/>
        <w:rPr>
          <w:sz w:val="20"/>
          <w:szCs w:val="20"/>
        </w:rPr>
      </w:pPr>
    </w:p>
    <w:p w:rsidR="00D24E61" w:rsidRPr="00771368" w:rsidRDefault="00D24E61">
      <w:pPr>
        <w:spacing w:line="343" w:lineRule="auto"/>
        <w:jc w:val="both"/>
        <w:rPr>
          <w:sz w:val="20"/>
          <w:szCs w:val="20"/>
        </w:rPr>
      </w:pPr>
      <w:r w:rsidRPr="00771368">
        <w:rPr>
          <w:sz w:val="24"/>
          <w:szCs w:val="24"/>
        </w:rPr>
        <w:t>Tecnológica”. Em 2012 gradativamente está sendo discutida e instituída a lei n° 12.711, de 29 de agosto de 2012 que dispõe sobre o ingresso nas universidades federais e nas instituições de ensino técnico de nível médio. Assim, há uma mudança no edital em relação às cotas, que ficam organizadas da seguinte forma:</w:t>
      </w:r>
    </w:p>
    <w:p w:rsidR="00D24E61" w:rsidRPr="00771368" w:rsidRDefault="00D24E61">
      <w:pPr>
        <w:spacing w:line="79" w:lineRule="exact"/>
        <w:rPr>
          <w:sz w:val="20"/>
          <w:szCs w:val="20"/>
        </w:rPr>
      </w:pPr>
    </w:p>
    <w:p w:rsidR="00D24E61" w:rsidRPr="00771368" w:rsidRDefault="00D24E61">
      <w:pPr>
        <w:spacing w:line="330" w:lineRule="auto"/>
        <w:ind w:firstLine="706"/>
        <w:jc w:val="both"/>
        <w:rPr>
          <w:sz w:val="20"/>
          <w:szCs w:val="20"/>
        </w:rPr>
      </w:pPr>
      <w:r w:rsidRPr="00771368">
        <w:rPr>
          <w:sz w:val="24"/>
          <w:szCs w:val="24"/>
        </w:rPr>
        <w:t>São destinadas 50% das vagas ofertadas em cada curso e turno para candidatos que tenham cursado e concluído todas as séries do Ensino Médio regular ou equivalente (técnico, magistério ou Educação de Jovens e Adultos) em escola pública brasileira das esferas federal, estadual ou municipal ou que tenham obtido certificado de conclusão com base no resultado do Encceja</w:t>
      </w:r>
      <w:r w:rsidRPr="00771368">
        <w:rPr>
          <w:sz w:val="31"/>
          <w:szCs w:val="31"/>
          <w:vertAlign w:val="superscript"/>
        </w:rPr>
        <w:t>8</w:t>
      </w:r>
      <w:r w:rsidRPr="00771368">
        <w:rPr>
          <w:sz w:val="24"/>
          <w:szCs w:val="24"/>
        </w:rPr>
        <w:t xml:space="preserve"> ou de exames de certificação de competência ou de avaliação de jovens e adultos realizados pelos sistemas estaduais de ensino. Esses candidatos são denominados Cotistas.</w:t>
      </w:r>
    </w:p>
    <w:p w:rsidR="00D24E61" w:rsidRPr="00771368" w:rsidRDefault="00D24E61">
      <w:pPr>
        <w:spacing w:line="95" w:lineRule="exact"/>
        <w:rPr>
          <w:sz w:val="20"/>
          <w:szCs w:val="20"/>
        </w:rPr>
      </w:pPr>
    </w:p>
    <w:p w:rsidR="00D24E61" w:rsidRPr="00771368" w:rsidRDefault="00D24E61">
      <w:pPr>
        <w:spacing w:line="335" w:lineRule="auto"/>
        <w:ind w:right="20" w:firstLine="706"/>
        <w:jc w:val="both"/>
        <w:rPr>
          <w:sz w:val="20"/>
          <w:szCs w:val="20"/>
        </w:rPr>
      </w:pPr>
      <w:r w:rsidRPr="00771368">
        <w:rPr>
          <w:sz w:val="24"/>
          <w:szCs w:val="24"/>
        </w:rPr>
        <w:t>Para se beneficiar de tais vagas, não vale a comprovação de ter o candidato recebido bolsa de estudo em escola privada. As condições étnicas raciais, dessa forma, são associadas a condições de renda e de não acesso a escolas particulares. As vagas de cotistas são divididas em dois grupos:</w:t>
      </w:r>
    </w:p>
    <w:p w:rsidR="00D24E61" w:rsidRPr="00771368" w:rsidRDefault="00D24E61">
      <w:pPr>
        <w:spacing w:line="88" w:lineRule="exact"/>
        <w:rPr>
          <w:sz w:val="20"/>
          <w:szCs w:val="20"/>
        </w:rPr>
      </w:pPr>
    </w:p>
    <w:p w:rsidR="00D24E61" w:rsidRPr="00771368" w:rsidRDefault="00D24E61" w:rsidP="00FA0ABA">
      <w:pPr>
        <w:numPr>
          <w:ilvl w:val="0"/>
          <w:numId w:val="45"/>
        </w:numPr>
        <w:tabs>
          <w:tab w:val="left" w:pos="720"/>
        </w:tabs>
        <w:spacing w:line="308" w:lineRule="auto"/>
        <w:ind w:left="720" w:right="20" w:hanging="370"/>
        <w:jc w:val="both"/>
        <w:rPr>
          <w:sz w:val="24"/>
          <w:szCs w:val="24"/>
        </w:rPr>
      </w:pPr>
      <w:r w:rsidRPr="00771368">
        <w:rPr>
          <w:sz w:val="24"/>
          <w:szCs w:val="24"/>
        </w:rPr>
        <w:t>Grupo 1 - Candidatos oriundos de famílias com renda bruta, comprovada, igual ou inferior a 1,5 salário-mínimo per capita, correspondendo a 50% (cinquenta por cento) das vagas de cotistas.</w:t>
      </w:r>
    </w:p>
    <w:p w:rsidR="00D24E61" w:rsidRPr="00771368" w:rsidRDefault="00D24E61">
      <w:pPr>
        <w:spacing w:line="122" w:lineRule="exact"/>
        <w:rPr>
          <w:sz w:val="24"/>
          <w:szCs w:val="24"/>
        </w:rPr>
      </w:pPr>
    </w:p>
    <w:p w:rsidR="00D24E61" w:rsidRPr="00771368" w:rsidRDefault="00D24E61" w:rsidP="00FA0ABA">
      <w:pPr>
        <w:numPr>
          <w:ilvl w:val="0"/>
          <w:numId w:val="45"/>
        </w:numPr>
        <w:tabs>
          <w:tab w:val="left" w:pos="720"/>
        </w:tabs>
        <w:spacing w:line="308" w:lineRule="auto"/>
        <w:ind w:left="720" w:right="20" w:hanging="370"/>
        <w:jc w:val="both"/>
        <w:rPr>
          <w:sz w:val="24"/>
          <w:szCs w:val="24"/>
        </w:rPr>
      </w:pPr>
      <w:r w:rsidRPr="00771368">
        <w:rPr>
          <w:sz w:val="24"/>
          <w:szCs w:val="24"/>
        </w:rPr>
        <w:t>Grupo 2 - Candidatos oriundos de família independente de renda (sem necessidade de comprovação), correspondendo ao complemento das vagas de cotistas.</w:t>
      </w:r>
    </w:p>
    <w:p w:rsidR="00D24E61" w:rsidRPr="00771368" w:rsidRDefault="00D24E61">
      <w:pPr>
        <w:spacing w:line="59" w:lineRule="exact"/>
        <w:rPr>
          <w:sz w:val="24"/>
          <w:szCs w:val="24"/>
        </w:rPr>
      </w:pPr>
    </w:p>
    <w:p w:rsidR="00D24E61" w:rsidRPr="00771368" w:rsidRDefault="00D24E61">
      <w:pPr>
        <w:ind w:left="700"/>
        <w:jc w:val="both"/>
        <w:rPr>
          <w:sz w:val="24"/>
          <w:szCs w:val="24"/>
        </w:rPr>
      </w:pPr>
      <w:r w:rsidRPr="00771368">
        <w:rPr>
          <w:sz w:val="24"/>
          <w:szCs w:val="24"/>
        </w:rPr>
        <w:t>A Proporção de vagas para o conjunto de pretos, pardos e indígenas é a soma do porcentual de</w:t>
      </w:r>
    </w:p>
    <w:p w:rsidR="00D24E61" w:rsidRPr="00771368" w:rsidRDefault="00D24E61">
      <w:pPr>
        <w:spacing w:line="195" w:lineRule="exact"/>
        <w:rPr>
          <w:sz w:val="20"/>
          <w:szCs w:val="20"/>
        </w:rPr>
      </w:pPr>
    </w:p>
    <w:p w:rsidR="00D24E61" w:rsidRPr="00771368" w:rsidRDefault="00D24E61">
      <w:pPr>
        <w:spacing w:line="343" w:lineRule="auto"/>
        <w:jc w:val="both"/>
        <w:rPr>
          <w:sz w:val="20"/>
          <w:szCs w:val="20"/>
        </w:rPr>
      </w:pPr>
      <w:r w:rsidRPr="00771368">
        <w:rPr>
          <w:sz w:val="24"/>
          <w:szCs w:val="24"/>
        </w:rPr>
        <w:t>pretos, pardos e indígenas do Estado do Paraná, ou seja, de 28,264% referente ao último Censo Demográfico divulgado pelo Instituto Brasileiro de Geografia e Estatística - IBGE, aos autodeclarados Pretos, Pardos e Indígenas - atendendo a Portaria Normativa N° 18-MEC, de 11 de outubro de 2012, Art. 3°, Inciso II.</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799040" behindDoc="0" locked="0" layoutInCell="0" allowOverlap="1">
                <wp:simplePos x="0" y="0"/>
                <wp:positionH relativeFrom="column">
                  <wp:posOffset>-5715</wp:posOffset>
                </wp:positionH>
                <wp:positionV relativeFrom="paragraph">
                  <wp:posOffset>503555</wp:posOffset>
                </wp:positionV>
                <wp:extent cx="1828800" cy="0"/>
                <wp:effectExtent l="13335" t="8255" r="5715" b="10795"/>
                <wp:wrapNone/>
                <wp:docPr id="13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79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39.65pt" to="143.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csFQIAACw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" o:allowincell="f" strokeweight=".16931mm"/>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12" w:lineRule="exact"/>
        <w:rPr>
          <w:sz w:val="20"/>
          <w:szCs w:val="20"/>
        </w:rPr>
      </w:pPr>
    </w:p>
    <w:p w:rsidR="00D24E61" w:rsidRPr="00532078" w:rsidRDefault="00D24E61" w:rsidP="00532078">
      <w:pPr>
        <w:spacing w:line="225" w:lineRule="auto"/>
        <w:jc w:val="both"/>
        <w:rPr>
          <w:color w:val="0000FF"/>
          <w:u w:val="single"/>
        </w:rPr>
        <w:sectPr w:rsidR="00D24E61" w:rsidRPr="00532078">
          <w:pgSz w:w="11900" w:h="16838"/>
          <w:pgMar w:top="700" w:right="840" w:bottom="581" w:left="860" w:header="0" w:footer="0" w:gutter="0"/>
          <w:cols w:space="720" w:equalWidth="0">
            <w:col w:w="10200"/>
          </w:cols>
        </w:sectPr>
      </w:pPr>
      <w:r w:rsidRPr="00771368">
        <w:rPr>
          <w:sz w:val="27"/>
          <w:szCs w:val="27"/>
          <w:vertAlign w:val="superscript"/>
        </w:rPr>
        <w:t>8</w:t>
      </w:r>
      <w:r w:rsidRPr="00771368">
        <w:t xml:space="preserve"> O Exame Nacional para Certificação de Competências de Jovens e Adultos (Encceja) é uma avaliação voluntária e gratuita ofertada às pessoas que não tiveram a oportunidade de concluir os estudos em idade apropriada para aferir competências, habilidades e saberes adquiridos tanto no processo escolar quanto no extra-escolar. </w:t>
      </w:r>
      <w:hyperlink r:id="rId451">
        <w:r w:rsidRPr="00771368">
          <w:rPr>
            <w:color w:val="0000FF"/>
            <w:u w:val="single"/>
          </w:rPr>
          <w:t>http://encceja.inep.gov.br/</w:t>
        </w:r>
      </w:hyperlink>
    </w:p>
    <w:p w:rsidR="00D24E61" w:rsidRPr="00771368" w:rsidRDefault="00D24E61">
      <w:pPr>
        <w:spacing w:line="334" w:lineRule="exact"/>
        <w:rPr>
          <w:sz w:val="20"/>
          <w:szCs w:val="20"/>
        </w:rPr>
      </w:pPr>
    </w:p>
    <w:p w:rsidR="00D24E61" w:rsidRPr="00771368" w:rsidRDefault="00D24E61">
      <w:pPr>
        <w:spacing w:line="349" w:lineRule="auto"/>
        <w:ind w:left="120" w:firstLine="706"/>
        <w:jc w:val="both"/>
        <w:rPr>
          <w:sz w:val="20"/>
          <w:szCs w:val="20"/>
        </w:rPr>
      </w:pPr>
      <w:r w:rsidRPr="00771368">
        <w:rPr>
          <w:sz w:val="24"/>
          <w:szCs w:val="24"/>
        </w:rPr>
        <w:t>Destaca-se que para fins de análise, será utilizado o termo raça, entendendo-se que mesmo considerando as críticas concernentes ao termo raça, as cotas estão sendo implantadas utilizando o conceito cor, entendendo-se que a mulher de fenótipo negro é mais discriminada, assim como o pardo. Nascimento (2003) discute anteriormente que não se trata de racismo, mas de garantia de direitos já que o fenótipo negro é desprestigiado. Não trata de uma diferença étnica, mas de uma diferença política de garantia de direitos.</w:t>
      </w:r>
    </w:p>
    <w:p w:rsidR="00D24E61" w:rsidRPr="00771368" w:rsidRDefault="00D24E61">
      <w:pPr>
        <w:spacing w:line="74" w:lineRule="exact"/>
        <w:rPr>
          <w:sz w:val="20"/>
          <w:szCs w:val="20"/>
        </w:rPr>
      </w:pPr>
    </w:p>
    <w:p w:rsidR="00D24E61" w:rsidRPr="00771368" w:rsidRDefault="00D24E61">
      <w:pPr>
        <w:spacing w:line="335" w:lineRule="auto"/>
        <w:ind w:left="120" w:firstLine="706"/>
        <w:jc w:val="both"/>
        <w:rPr>
          <w:sz w:val="20"/>
          <w:szCs w:val="20"/>
        </w:rPr>
      </w:pPr>
      <w:r w:rsidRPr="00771368">
        <w:rPr>
          <w:sz w:val="24"/>
          <w:szCs w:val="24"/>
        </w:rPr>
        <w:t>Esses grupos são divididos entre o conjunto de autodeclarados pretos, pardos e indígenas e os que não se declararam pretos, pardos e indígenas. .Em cada um desses grupos, são divididas as seguintes categorias, de acordo com quadro 1:</w:t>
      </w:r>
    </w:p>
    <w:p w:rsidR="00D24E61" w:rsidRPr="00771368" w:rsidRDefault="00D24E61">
      <w:pPr>
        <w:ind w:left="820"/>
        <w:rPr>
          <w:sz w:val="20"/>
          <w:szCs w:val="20"/>
        </w:rPr>
      </w:pPr>
      <w:r w:rsidRPr="00771368">
        <w:rPr>
          <w:sz w:val="24"/>
          <w:szCs w:val="24"/>
        </w:rPr>
        <w:t>Quadro1: Categorias de cotas da UTFPR, criadas em 2013</w:t>
      </w:r>
    </w:p>
    <w:p w:rsidR="00D24E61" w:rsidRPr="00771368" w:rsidRDefault="00D24E61">
      <w:pPr>
        <w:spacing w:line="12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340"/>
        <w:gridCol w:w="880"/>
        <w:gridCol w:w="560"/>
        <w:gridCol w:w="660"/>
        <w:gridCol w:w="720"/>
        <w:gridCol w:w="1000"/>
        <w:gridCol w:w="500"/>
      </w:tblGrid>
      <w:tr w:rsidR="00D24E61" w:rsidRPr="00771368">
        <w:trPr>
          <w:trHeight w:val="276"/>
        </w:trPr>
        <w:tc>
          <w:tcPr>
            <w:tcW w:w="4340" w:type="dxa"/>
            <w:tcBorders>
              <w:top w:val="single" w:sz="8" w:space="0" w:color="auto"/>
              <w:left w:val="single" w:sz="8" w:space="0" w:color="auto"/>
              <w:right w:val="single" w:sz="8" w:space="0" w:color="auto"/>
            </w:tcBorders>
            <w:vAlign w:val="bottom"/>
          </w:tcPr>
          <w:p w:rsidR="00D24E61" w:rsidRPr="00771368" w:rsidRDefault="00D24E61">
            <w:pPr>
              <w:rPr>
                <w:sz w:val="23"/>
                <w:szCs w:val="23"/>
              </w:rPr>
            </w:pPr>
          </w:p>
        </w:tc>
        <w:tc>
          <w:tcPr>
            <w:tcW w:w="4320" w:type="dxa"/>
            <w:gridSpan w:val="6"/>
            <w:tcBorders>
              <w:top w:val="single" w:sz="8" w:space="0" w:color="auto"/>
              <w:right w:val="single" w:sz="8" w:space="0" w:color="auto"/>
            </w:tcBorders>
            <w:vAlign w:val="bottom"/>
          </w:tcPr>
          <w:p w:rsidR="00D24E61" w:rsidRPr="00771368" w:rsidRDefault="00D24E61">
            <w:pPr>
              <w:spacing w:line="275" w:lineRule="exact"/>
              <w:ind w:left="100"/>
              <w:rPr>
                <w:sz w:val="20"/>
                <w:szCs w:val="20"/>
              </w:rPr>
            </w:pPr>
            <w:r w:rsidRPr="00771368">
              <w:rPr>
                <w:sz w:val="24"/>
                <w:szCs w:val="24"/>
              </w:rPr>
              <w:t>Cotista  oriundo  de  família  com  renda</w:t>
            </w:r>
          </w:p>
        </w:tc>
      </w:tr>
      <w:tr w:rsidR="00D24E61" w:rsidRPr="00771368">
        <w:trPr>
          <w:trHeight w:val="413"/>
        </w:trPr>
        <w:tc>
          <w:tcPr>
            <w:tcW w:w="4340" w:type="dxa"/>
            <w:tcBorders>
              <w:left w:val="single" w:sz="8" w:space="0" w:color="auto"/>
              <w:right w:val="single" w:sz="8" w:space="0" w:color="auto"/>
            </w:tcBorders>
            <w:vAlign w:val="bottom"/>
          </w:tcPr>
          <w:p w:rsidR="00D24E61" w:rsidRPr="00771368" w:rsidRDefault="00D24E61">
            <w:pPr>
              <w:ind w:left="1380"/>
              <w:rPr>
                <w:sz w:val="20"/>
                <w:szCs w:val="20"/>
              </w:rPr>
            </w:pPr>
            <w:r w:rsidRPr="00771368">
              <w:rPr>
                <w:sz w:val="24"/>
                <w:szCs w:val="24"/>
              </w:rPr>
              <w:t>CATEGORIA 1</w:t>
            </w:r>
          </w:p>
        </w:tc>
        <w:tc>
          <w:tcPr>
            <w:tcW w:w="4320" w:type="dxa"/>
            <w:gridSpan w:val="6"/>
            <w:tcBorders>
              <w:right w:val="single" w:sz="8" w:space="0" w:color="auto"/>
            </w:tcBorders>
            <w:vAlign w:val="bottom"/>
          </w:tcPr>
          <w:p w:rsidR="00D24E61" w:rsidRPr="00771368" w:rsidRDefault="00D24E61">
            <w:pPr>
              <w:ind w:left="100"/>
              <w:rPr>
                <w:sz w:val="20"/>
                <w:szCs w:val="20"/>
              </w:rPr>
            </w:pPr>
            <w:r w:rsidRPr="00771368">
              <w:rPr>
                <w:sz w:val="24"/>
                <w:szCs w:val="24"/>
              </w:rPr>
              <w:t>bruta, comprovada, igual ou inferior a 1,5</w:t>
            </w:r>
          </w:p>
        </w:tc>
      </w:tr>
      <w:tr w:rsidR="00D24E61" w:rsidRPr="00771368">
        <w:trPr>
          <w:trHeight w:val="418"/>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4320" w:type="dxa"/>
            <w:gridSpan w:val="6"/>
            <w:tcBorders>
              <w:right w:val="single" w:sz="8" w:space="0" w:color="auto"/>
            </w:tcBorders>
            <w:vAlign w:val="bottom"/>
          </w:tcPr>
          <w:p w:rsidR="00D24E61" w:rsidRPr="00771368" w:rsidRDefault="00D24E61">
            <w:pPr>
              <w:ind w:left="100"/>
              <w:rPr>
                <w:sz w:val="20"/>
                <w:szCs w:val="20"/>
              </w:rPr>
            </w:pPr>
            <w:r w:rsidRPr="00771368">
              <w:rPr>
                <w:sz w:val="24"/>
                <w:szCs w:val="24"/>
              </w:rPr>
              <w:t>salário-mínimo  per  capita  e  que  não  se</w:t>
            </w:r>
          </w:p>
        </w:tc>
      </w:tr>
      <w:tr w:rsidR="00D24E61" w:rsidRPr="00771368">
        <w:trPr>
          <w:trHeight w:val="413"/>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3820" w:type="dxa"/>
            <w:gridSpan w:val="5"/>
            <w:vAlign w:val="bottom"/>
          </w:tcPr>
          <w:p w:rsidR="00D24E61" w:rsidRPr="00771368" w:rsidRDefault="00D24E61">
            <w:pPr>
              <w:ind w:left="100"/>
              <w:rPr>
                <w:sz w:val="20"/>
                <w:szCs w:val="20"/>
              </w:rPr>
            </w:pPr>
            <w:r w:rsidRPr="00771368">
              <w:rPr>
                <w:sz w:val="24"/>
                <w:szCs w:val="24"/>
              </w:rPr>
              <w:t>declarou preto, pardo ou indígena,</w:t>
            </w:r>
          </w:p>
        </w:tc>
        <w:tc>
          <w:tcPr>
            <w:tcW w:w="500" w:type="dxa"/>
            <w:tcBorders>
              <w:right w:val="single" w:sz="8" w:space="0" w:color="auto"/>
            </w:tcBorders>
            <w:vAlign w:val="bottom"/>
          </w:tcPr>
          <w:p w:rsidR="00D24E61" w:rsidRPr="00771368" w:rsidRDefault="00D24E61">
            <w:pPr>
              <w:rPr>
                <w:sz w:val="24"/>
                <w:szCs w:val="24"/>
              </w:rPr>
            </w:pPr>
          </w:p>
        </w:tc>
      </w:tr>
      <w:tr w:rsidR="00D24E61" w:rsidRPr="00771368">
        <w:trPr>
          <w:trHeight w:val="147"/>
        </w:trPr>
        <w:tc>
          <w:tcPr>
            <w:tcW w:w="434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4320" w:type="dxa"/>
            <w:gridSpan w:val="6"/>
            <w:tcBorders>
              <w:bottom w:val="single" w:sz="8" w:space="0" w:color="auto"/>
              <w:right w:val="single" w:sz="8" w:space="0" w:color="auto"/>
            </w:tcBorders>
            <w:vAlign w:val="bottom"/>
          </w:tcPr>
          <w:p w:rsidR="00D24E61" w:rsidRPr="00771368" w:rsidRDefault="00D24E61">
            <w:pPr>
              <w:rPr>
                <w:sz w:val="12"/>
                <w:szCs w:val="12"/>
              </w:rPr>
            </w:pPr>
          </w:p>
        </w:tc>
      </w:tr>
      <w:tr w:rsidR="00D24E61" w:rsidRPr="00771368">
        <w:trPr>
          <w:trHeight w:val="256"/>
        </w:trPr>
        <w:tc>
          <w:tcPr>
            <w:tcW w:w="4340" w:type="dxa"/>
            <w:tcBorders>
              <w:left w:val="single" w:sz="8" w:space="0" w:color="auto"/>
              <w:right w:val="single" w:sz="8" w:space="0" w:color="auto"/>
            </w:tcBorders>
            <w:vAlign w:val="bottom"/>
          </w:tcPr>
          <w:p w:rsidR="00D24E61" w:rsidRPr="00771368" w:rsidRDefault="00D24E61">
            <w:pPr>
              <w:spacing w:line="255" w:lineRule="exact"/>
              <w:ind w:left="1380"/>
              <w:rPr>
                <w:sz w:val="20"/>
                <w:szCs w:val="20"/>
              </w:rPr>
            </w:pPr>
            <w:r w:rsidRPr="00771368">
              <w:rPr>
                <w:sz w:val="24"/>
                <w:szCs w:val="24"/>
              </w:rPr>
              <w:t>CATEGORIA 2</w:t>
            </w:r>
          </w:p>
        </w:tc>
        <w:tc>
          <w:tcPr>
            <w:tcW w:w="4320" w:type="dxa"/>
            <w:gridSpan w:val="6"/>
            <w:tcBorders>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Cotista  oriundo  de  família  com  renda</w:t>
            </w:r>
          </w:p>
        </w:tc>
      </w:tr>
      <w:tr w:rsidR="00D24E61" w:rsidRPr="00771368">
        <w:trPr>
          <w:trHeight w:val="413"/>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4320" w:type="dxa"/>
            <w:gridSpan w:val="6"/>
            <w:tcBorders>
              <w:right w:val="single" w:sz="8" w:space="0" w:color="auto"/>
            </w:tcBorders>
            <w:vAlign w:val="bottom"/>
          </w:tcPr>
          <w:p w:rsidR="00D24E61" w:rsidRPr="00771368" w:rsidRDefault="00D24E61">
            <w:pPr>
              <w:ind w:left="100"/>
              <w:rPr>
                <w:sz w:val="20"/>
                <w:szCs w:val="20"/>
              </w:rPr>
            </w:pPr>
            <w:r w:rsidRPr="00771368">
              <w:rPr>
                <w:sz w:val="24"/>
                <w:szCs w:val="24"/>
              </w:rPr>
              <w:t>bruta, comprovada, igual ou inferior a 1,5</w:t>
            </w:r>
          </w:p>
        </w:tc>
      </w:tr>
      <w:tr w:rsidR="00D24E61" w:rsidRPr="00771368">
        <w:trPr>
          <w:trHeight w:val="418"/>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4320" w:type="dxa"/>
            <w:gridSpan w:val="6"/>
            <w:tcBorders>
              <w:right w:val="single" w:sz="8" w:space="0" w:color="auto"/>
            </w:tcBorders>
            <w:vAlign w:val="bottom"/>
          </w:tcPr>
          <w:p w:rsidR="00D24E61" w:rsidRPr="00771368" w:rsidRDefault="00D24E61">
            <w:pPr>
              <w:ind w:left="100"/>
              <w:rPr>
                <w:sz w:val="20"/>
                <w:szCs w:val="20"/>
              </w:rPr>
            </w:pPr>
            <w:r w:rsidRPr="00771368">
              <w:rPr>
                <w:sz w:val="24"/>
                <w:szCs w:val="24"/>
              </w:rPr>
              <w:t>salário-mínimo per capita e autodeclarado</w:t>
            </w:r>
          </w:p>
        </w:tc>
      </w:tr>
      <w:tr w:rsidR="00D24E61" w:rsidRPr="00771368">
        <w:trPr>
          <w:trHeight w:val="413"/>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880" w:type="dxa"/>
            <w:vAlign w:val="bottom"/>
          </w:tcPr>
          <w:p w:rsidR="00D24E61" w:rsidRPr="00771368" w:rsidRDefault="00D24E61">
            <w:pPr>
              <w:ind w:left="100"/>
              <w:rPr>
                <w:sz w:val="20"/>
                <w:szCs w:val="20"/>
              </w:rPr>
            </w:pPr>
            <w:r w:rsidRPr="00771368">
              <w:rPr>
                <w:sz w:val="24"/>
                <w:szCs w:val="24"/>
              </w:rPr>
              <w:t>preto,</w:t>
            </w:r>
          </w:p>
        </w:tc>
        <w:tc>
          <w:tcPr>
            <w:tcW w:w="1940" w:type="dxa"/>
            <w:gridSpan w:val="3"/>
            <w:vAlign w:val="bottom"/>
          </w:tcPr>
          <w:p w:rsidR="00D24E61" w:rsidRPr="00771368" w:rsidRDefault="00D24E61">
            <w:pPr>
              <w:jc w:val="center"/>
              <w:rPr>
                <w:sz w:val="20"/>
                <w:szCs w:val="20"/>
              </w:rPr>
            </w:pPr>
            <w:r w:rsidRPr="00771368">
              <w:rPr>
                <w:w w:val="99"/>
                <w:sz w:val="24"/>
                <w:szCs w:val="24"/>
              </w:rPr>
              <w:t>autodeclarado</w:t>
            </w:r>
          </w:p>
        </w:tc>
        <w:tc>
          <w:tcPr>
            <w:tcW w:w="1000" w:type="dxa"/>
            <w:vAlign w:val="bottom"/>
          </w:tcPr>
          <w:p w:rsidR="00D24E61" w:rsidRPr="00771368" w:rsidRDefault="00D24E61">
            <w:pPr>
              <w:ind w:left="120"/>
              <w:rPr>
                <w:sz w:val="20"/>
                <w:szCs w:val="20"/>
              </w:rPr>
            </w:pPr>
            <w:r w:rsidRPr="00771368">
              <w:rPr>
                <w:sz w:val="24"/>
                <w:szCs w:val="24"/>
              </w:rPr>
              <w:t>pardo</w:t>
            </w:r>
          </w:p>
        </w:tc>
        <w:tc>
          <w:tcPr>
            <w:tcW w:w="500" w:type="dxa"/>
            <w:tcBorders>
              <w:right w:val="single" w:sz="8" w:space="0" w:color="auto"/>
            </w:tcBorders>
            <w:vAlign w:val="bottom"/>
          </w:tcPr>
          <w:p w:rsidR="00D24E61" w:rsidRPr="00771368" w:rsidRDefault="00D24E61">
            <w:pPr>
              <w:jc w:val="right"/>
              <w:rPr>
                <w:sz w:val="20"/>
                <w:szCs w:val="20"/>
              </w:rPr>
            </w:pPr>
            <w:r w:rsidRPr="00771368">
              <w:rPr>
                <w:sz w:val="24"/>
                <w:szCs w:val="24"/>
              </w:rPr>
              <w:t>ou</w:t>
            </w:r>
          </w:p>
        </w:tc>
      </w:tr>
      <w:tr w:rsidR="00D24E61" w:rsidRPr="00771368">
        <w:trPr>
          <w:trHeight w:val="413"/>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2820" w:type="dxa"/>
            <w:gridSpan w:val="4"/>
            <w:vAlign w:val="bottom"/>
          </w:tcPr>
          <w:p w:rsidR="00D24E61" w:rsidRPr="00771368" w:rsidRDefault="00D24E61">
            <w:pPr>
              <w:ind w:left="100"/>
              <w:rPr>
                <w:sz w:val="20"/>
                <w:szCs w:val="20"/>
              </w:rPr>
            </w:pPr>
            <w:r w:rsidRPr="00771368">
              <w:rPr>
                <w:sz w:val="24"/>
                <w:szCs w:val="24"/>
              </w:rPr>
              <w:t>autodeclarado indígena,</w:t>
            </w:r>
          </w:p>
        </w:tc>
        <w:tc>
          <w:tcPr>
            <w:tcW w:w="1000" w:type="dxa"/>
            <w:vAlign w:val="bottom"/>
          </w:tcPr>
          <w:p w:rsidR="00D24E61" w:rsidRPr="00771368" w:rsidRDefault="00D24E61">
            <w:pPr>
              <w:rPr>
                <w:sz w:val="24"/>
                <w:szCs w:val="24"/>
              </w:rPr>
            </w:pPr>
          </w:p>
        </w:tc>
        <w:tc>
          <w:tcPr>
            <w:tcW w:w="500" w:type="dxa"/>
            <w:tcBorders>
              <w:right w:val="single" w:sz="8" w:space="0" w:color="auto"/>
            </w:tcBorders>
            <w:vAlign w:val="bottom"/>
          </w:tcPr>
          <w:p w:rsidR="00D24E61" w:rsidRPr="00771368" w:rsidRDefault="00D24E61">
            <w:pPr>
              <w:rPr>
                <w:sz w:val="24"/>
                <w:szCs w:val="24"/>
              </w:rPr>
            </w:pPr>
          </w:p>
        </w:tc>
      </w:tr>
      <w:tr w:rsidR="00D24E61" w:rsidRPr="00771368">
        <w:trPr>
          <w:trHeight w:val="147"/>
        </w:trPr>
        <w:tc>
          <w:tcPr>
            <w:tcW w:w="434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4320" w:type="dxa"/>
            <w:gridSpan w:val="6"/>
            <w:tcBorders>
              <w:bottom w:val="single" w:sz="8" w:space="0" w:color="auto"/>
              <w:right w:val="single" w:sz="8" w:space="0" w:color="auto"/>
            </w:tcBorders>
            <w:vAlign w:val="bottom"/>
          </w:tcPr>
          <w:p w:rsidR="00D24E61" w:rsidRPr="00771368" w:rsidRDefault="00D24E61">
            <w:pPr>
              <w:rPr>
                <w:sz w:val="12"/>
                <w:szCs w:val="12"/>
              </w:rPr>
            </w:pPr>
          </w:p>
        </w:tc>
      </w:tr>
      <w:tr w:rsidR="00D24E61" w:rsidRPr="00771368">
        <w:trPr>
          <w:trHeight w:val="261"/>
        </w:trPr>
        <w:tc>
          <w:tcPr>
            <w:tcW w:w="4340" w:type="dxa"/>
            <w:tcBorders>
              <w:left w:val="single" w:sz="8" w:space="0" w:color="auto"/>
              <w:right w:val="single" w:sz="8" w:space="0" w:color="auto"/>
            </w:tcBorders>
            <w:vAlign w:val="bottom"/>
          </w:tcPr>
          <w:p w:rsidR="00D24E61" w:rsidRPr="00771368" w:rsidRDefault="00D24E61">
            <w:pPr>
              <w:spacing w:line="260" w:lineRule="exact"/>
              <w:ind w:left="1380"/>
              <w:rPr>
                <w:sz w:val="20"/>
                <w:szCs w:val="20"/>
              </w:rPr>
            </w:pPr>
            <w:r w:rsidRPr="00771368">
              <w:rPr>
                <w:sz w:val="24"/>
                <w:szCs w:val="24"/>
              </w:rPr>
              <w:t>CATEGORIA 3</w:t>
            </w:r>
          </w:p>
        </w:tc>
        <w:tc>
          <w:tcPr>
            <w:tcW w:w="4320" w:type="dxa"/>
            <w:gridSpan w:val="6"/>
            <w:tcBorders>
              <w:right w:val="single" w:sz="8" w:space="0" w:color="auto"/>
            </w:tcBorders>
            <w:vAlign w:val="bottom"/>
          </w:tcPr>
          <w:p w:rsidR="00D24E61" w:rsidRPr="00771368" w:rsidRDefault="00D24E61">
            <w:pPr>
              <w:spacing w:line="260" w:lineRule="exact"/>
              <w:ind w:left="100"/>
              <w:rPr>
                <w:sz w:val="20"/>
                <w:szCs w:val="20"/>
              </w:rPr>
            </w:pPr>
            <w:r w:rsidRPr="00771368">
              <w:rPr>
                <w:sz w:val="24"/>
                <w:szCs w:val="24"/>
              </w:rPr>
              <w:t>Cotista   independente   de   renda   (sem</w:t>
            </w:r>
          </w:p>
        </w:tc>
      </w:tr>
      <w:tr w:rsidR="00D24E61" w:rsidRPr="00771368">
        <w:trPr>
          <w:trHeight w:val="413"/>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4320" w:type="dxa"/>
            <w:gridSpan w:val="6"/>
            <w:tcBorders>
              <w:right w:val="single" w:sz="8" w:space="0" w:color="auto"/>
            </w:tcBorders>
            <w:vAlign w:val="bottom"/>
          </w:tcPr>
          <w:p w:rsidR="00D24E61" w:rsidRPr="00771368" w:rsidRDefault="00D24E61">
            <w:pPr>
              <w:ind w:left="100"/>
              <w:rPr>
                <w:sz w:val="20"/>
                <w:szCs w:val="20"/>
              </w:rPr>
            </w:pPr>
            <w:r w:rsidRPr="00771368">
              <w:rPr>
                <w:sz w:val="24"/>
                <w:szCs w:val="24"/>
              </w:rPr>
              <w:t>necessidade de comprovação) e que não se</w:t>
            </w:r>
          </w:p>
        </w:tc>
      </w:tr>
      <w:tr w:rsidR="00D24E61" w:rsidRPr="00771368">
        <w:trPr>
          <w:trHeight w:val="413"/>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3820" w:type="dxa"/>
            <w:gridSpan w:val="5"/>
            <w:vAlign w:val="bottom"/>
          </w:tcPr>
          <w:p w:rsidR="00D24E61" w:rsidRPr="00771368" w:rsidRDefault="00D24E61">
            <w:pPr>
              <w:ind w:left="100"/>
              <w:rPr>
                <w:sz w:val="20"/>
                <w:szCs w:val="20"/>
              </w:rPr>
            </w:pPr>
            <w:r w:rsidRPr="00771368">
              <w:rPr>
                <w:sz w:val="24"/>
                <w:szCs w:val="24"/>
              </w:rPr>
              <w:t>declarou preto, pardo ou indígena.</w:t>
            </w:r>
          </w:p>
        </w:tc>
        <w:tc>
          <w:tcPr>
            <w:tcW w:w="500" w:type="dxa"/>
            <w:tcBorders>
              <w:right w:val="single" w:sz="8" w:space="0" w:color="auto"/>
            </w:tcBorders>
            <w:vAlign w:val="bottom"/>
          </w:tcPr>
          <w:p w:rsidR="00D24E61" w:rsidRPr="00771368" w:rsidRDefault="00D24E61">
            <w:pPr>
              <w:rPr>
                <w:sz w:val="24"/>
                <w:szCs w:val="24"/>
              </w:rPr>
            </w:pPr>
          </w:p>
        </w:tc>
      </w:tr>
      <w:tr w:rsidR="00D24E61" w:rsidRPr="00771368">
        <w:trPr>
          <w:trHeight w:val="147"/>
        </w:trPr>
        <w:tc>
          <w:tcPr>
            <w:tcW w:w="434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4320" w:type="dxa"/>
            <w:gridSpan w:val="6"/>
            <w:tcBorders>
              <w:bottom w:val="single" w:sz="8" w:space="0" w:color="auto"/>
              <w:right w:val="single" w:sz="8" w:space="0" w:color="auto"/>
            </w:tcBorders>
            <w:vAlign w:val="bottom"/>
          </w:tcPr>
          <w:p w:rsidR="00D24E61" w:rsidRPr="00771368" w:rsidRDefault="00D24E61">
            <w:pPr>
              <w:rPr>
                <w:sz w:val="12"/>
                <w:szCs w:val="12"/>
              </w:rPr>
            </w:pPr>
          </w:p>
        </w:tc>
      </w:tr>
      <w:tr w:rsidR="00D24E61" w:rsidRPr="00771368">
        <w:trPr>
          <w:trHeight w:val="256"/>
        </w:trPr>
        <w:tc>
          <w:tcPr>
            <w:tcW w:w="4340" w:type="dxa"/>
            <w:tcBorders>
              <w:left w:val="single" w:sz="8" w:space="0" w:color="auto"/>
              <w:right w:val="single" w:sz="8" w:space="0" w:color="auto"/>
            </w:tcBorders>
            <w:vAlign w:val="bottom"/>
          </w:tcPr>
          <w:p w:rsidR="00D24E61" w:rsidRPr="00771368" w:rsidRDefault="00D24E61">
            <w:pPr>
              <w:spacing w:line="255" w:lineRule="exact"/>
              <w:ind w:left="1380"/>
              <w:rPr>
                <w:sz w:val="20"/>
                <w:szCs w:val="20"/>
              </w:rPr>
            </w:pPr>
            <w:r w:rsidRPr="00771368">
              <w:rPr>
                <w:sz w:val="24"/>
                <w:szCs w:val="24"/>
              </w:rPr>
              <w:t>CATEGORIA 4</w:t>
            </w:r>
          </w:p>
        </w:tc>
        <w:tc>
          <w:tcPr>
            <w:tcW w:w="4320" w:type="dxa"/>
            <w:gridSpan w:val="6"/>
            <w:tcBorders>
              <w:right w:val="single" w:sz="8" w:space="0" w:color="auto"/>
            </w:tcBorders>
            <w:vAlign w:val="bottom"/>
          </w:tcPr>
          <w:p w:rsidR="00D24E61" w:rsidRPr="00771368" w:rsidRDefault="00D24E61">
            <w:pPr>
              <w:spacing w:line="255" w:lineRule="exact"/>
              <w:ind w:left="100"/>
              <w:rPr>
                <w:sz w:val="20"/>
                <w:szCs w:val="20"/>
              </w:rPr>
            </w:pPr>
            <w:r w:rsidRPr="00771368">
              <w:rPr>
                <w:sz w:val="24"/>
                <w:szCs w:val="24"/>
              </w:rPr>
              <w:t>Cotista   independente   de   renda   (sem</w:t>
            </w:r>
          </w:p>
        </w:tc>
      </w:tr>
      <w:tr w:rsidR="00D24E61" w:rsidRPr="00771368">
        <w:trPr>
          <w:trHeight w:val="418"/>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1440" w:type="dxa"/>
            <w:gridSpan w:val="2"/>
            <w:vAlign w:val="bottom"/>
          </w:tcPr>
          <w:p w:rsidR="00D24E61" w:rsidRPr="00771368" w:rsidRDefault="00D24E61">
            <w:pPr>
              <w:ind w:left="100"/>
              <w:rPr>
                <w:sz w:val="20"/>
                <w:szCs w:val="20"/>
              </w:rPr>
            </w:pPr>
            <w:r w:rsidRPr="00771368">
              <w:rPr>
                <w:sz w:val="24"/>
                <w:szCs w:val="24"/>
              </w:rPr>
              <w:t>necessidade</w:t>
            </w:r>
          </w:p>
        </w:tc>
        <w:tc>
          <w:tcPr>
            <w:tcW w:w="660" w:type="dxa"/>
            <w:vAlign w:val="bottom"/>
          </w:tcPr>
          <w:p w:rsidR="00D24E61" w:rsidRPr="00771368" w:rsidRDefault="00D24E61">
            <w:pPr>
              <w:jc w:val="center"/>
              <w:rPr>
                <w:sz w:val="20"/>
                <w:szCs w:val="20"/>
              </w:rPr>
            </w:pPr>
            <w:r w:rsidRPr="00771368">
              <w:rPr>
                <w:w w:val="96"/>
                <w:sz w:val="24"/>
                <w:szCs w:val="24"/>
              </w:rPr>
              <w:t>de</w:t>
            </w:r>
          </w:p>
        </w:tc>
        <w:tc>
          <w:tcPr>
            <w:tcW w:w="1720" w:type="dxa"/>
            <w:gridSpan w:val="2"/>
            <w:vAlign w:val="bottom"/>
          </w:tcPr>
          <w:p w:rsidR="00D24E61" w:rsidRPr="00771368" w:rsidRDefault="00D24E61">
            <w:pPr>
              <w:ind w:left="200"/>
              <w:rPr>
                <w:sz w:val="20"/>
                <w:szCs w:val="20"/>
              </w:rPr>
            </w:pPr>
            <w:r w:rsidRPr="00771368">
              <w:rPr>
                <w:sz w:val="24"/>
                <w:szCs w:val="24"/>
              </w:rPr>
              <w:t>comprovação)</w:t>
            </w:r>
          </w:p>
        </w:tc>
        <w:tc>
          <w:tcPr>
            <w:tcW w:w="500" w:type="dxa"/>
            <w:tcBorders>
              <w:right w:val="single" w:sz="8" w:space="0" w:color="auto"/>
            </w:tcBorders>
            <w:vAlign w:val="bottom"/>
          </w:tcPr>
          <w:p w:rsidR="00D24E61" w:rsidRPr="00771368" w:rsidRDefault="00D24E61">
            <w:pPr>
              <w:jc w:val="right"/>
              <w:rPr>
                <w:sz w:val="20"/>
                <w:szCs w:val="20"/>
              </w:rPr>
            </w:pPr>
            <w:r w:rsidRPr="00771368">
              <w:rPr>
                <w:sz w:val="24"/>
                <w:szCs w:val="24"/>
              </w:rPr>
              <w:t>e</w:t>
            </w:r>
          </w:p>
        </w:tc>
      </w:tr>
      <w:tr w:rsidR="00D24E61" w:rsidRPr="00771368">
        <w:trPr>
          <w:trHeight w:val="413"/>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4320" w:type="dxa"/>
            <w:gridSpan w:val="6"/>
            <w:tcBorders>
              <w:right w:val="single" w:sz="8" w:space="0" w:color="auto"/>
            </w:tcBorders>
            <w:vAlign w:val="bottom"/>
          </w:tcPr>
          <w:p w:rsidR="00D24E61" w:rsidRPr="00771368" w:rsidRDefault="00D24E61">
            <w:pPr>
              <w:ind w:left="100"/>
              <w:rPr>
                <w:sz w:val="20"/>
                <w:szCs w:val="20"/>
              </w:rPr>
            </w:pPr>
            <w:r w:rsidRPr="00771368">
              <w:rPr>
                <w:sz w:val="24"/>
                <w:szCs w:val="24"/>
              </w:rPr>
              <w:t>autodeclarado preto, autodeclarado pardo</w:t>
            </w:r>
          </w:p>
        </w:tc>
      </w:tr>
      <w:tr w:rsidR="00D24E61" w:rsidRPr="00771368">
        <w:trPr>
          <w:trHeight w:val="413"/>
        </w:trPr>
        <w:tc>
          <w:tcPr>
            <w:tcW w:w="4340" w:type="dxa"/>
            <w:tcBorders>
              <w:left w:val="single" w:sz="8" w:space="0" w:color="auto"/>
              <w:right w:val="single" w:sz="8" w:space="0" w:color="auto"/>
            </w:tcBorders>
            <w:vAlign w:val="bottom"/>
          </w:tcPr>
          <w:p w:rsidR="00D24E61" w:rsidRPr="00771368" w:rsidRDefault="00D24E61">
            <w:pPr>
              <w:rPr>
                <w:sz w:val="24"/>
                <w:szCs w:val="24"/>
              </w:rPr>
            </w:pPr>
          </w:p>
        </w:tc>
        <w:tc>
          <w:tcPr>
            <w:tcW w:w="2820" w:type="dxa"/>
            <w:gridSpan w:val="4"/>
            <w:vAlign w:val="bottom"/>
          </w:tcPr>
          <w:p w:rsidR="00D24E61" w:rsidRPr="00771368" w:rsidRDefault="00D24E61">
            <w:pPr>
              <w:ind w:left="100"/>
              <w:rPr>
                <w:sz w:val="20"/>
                <w:szCs w:val="20"/>
              </w:rPr>
            </w:pPr>
            <w:r w:rsidRPr="00771368">
              <w:rPr>
                <w:sz w:val="24"/>
                <w:szCs w:val="24"/>
              </w:rPr>
              <w:t>ou autodeclarado indígena,</w:t>
            </w:r>
          </w:p>
        </w:tc>
        <w:tc>
          <w:tcPr>
            <w:tcW w:w="1000" w:type="dxa"/>
            <w:vAlign w:val="bottom"/>
          </w:tcPr>
          <w:p w:rsidR="00D24E61" w:rsidRPr="00771368" w:rsidRDefault="00D24E61">
            <w:pPr>
              <w:rPr>
                <w:sz w:val="24"/>
                <w:szCs w:val="24"/>
              </w:rPr>
            </w:pPr>
          </w:p>
        </w:tc>
        <w:tc>
          <w:tcPr>
            <w:tcW w:w="500" w:type="dxa"/>
            <w:tcBorders>
              <w:right w:val="single" w:sz="8" w:space="0" w:color="auto"/>
            </w:tcBorders>
            <w:vAlign w:val="bottom"/>
          </w:tcPr>
          <w:p w:rsidR="00D24E61" w:rsidRPr="00771368" w:rsidRDefault="00D24E61">
            <w:pPr>
              <w:rPr>
                <w:sz w:val="24"/>
                <w:szCs w:val="24"/>
              </w:rPr>
            </w:pPr>
          </w:p>
        </w:tc>
      </w:tr>
      <w:tr w:rsidR="00D24E61" w:rsidRPr="00771368">
        <w:trPr>
          <w:trHeight w:val="147"/>
        </w:trPr>
        <w:tc>
          <w:tcPr>
            <w:tcW w:w="4340" w:type="dxa"/>
            <w:tcBorders>
              <w:left w:val="single" w:sz="8" w:space="0" w:color="auto"/>
              <w:bottom w:val="single" w:sz="8" w:space="0" w:color="auto"/>
              <w:right w:val="single" w:sz="8" w:space="0" w:color="auto"/>
            </w:tcBorders>
            <w:vAlign w:val="bottom"/>
          </w:tcPr>
          <w:p w:rsidR="00D24E61" w:rsidRPr="00771368" w:rsidRDefault="00D24E61">
            <w:pPr>
              <w:rPr>
                <w:sz w:val="12"/>
                <w:szCs w:val="12"/>
              </w:rPr>
            </w:pPr>
          </w:p>
        </w:tc>
        <w:tc>
          <w:tcPr>
            <w:tcW w:w="880" w:type="dxa"/>
            <w:tcBorders>
              <w:bottom w:val="single" w:sz="8" w:space="0" w:color="auto"/>
            </w:tcBorders>
            <w:vAlign w:val="bottom"/>
          </w:tcPr>
          <w:p w:rsidR="00D24E61" w:rsidRPr="00771368" w:rsidRDefault="00D24E61">
            <w:pPr>
              <w:rPr>
                <w:sz w:val="12"/>
                <w:szCs w:val="12"/>
              </w:rPr>
            </w:pPr>
          </w:p>
        </w:tc>
        <w:tc>
          <w:tcPr>
            <w:tcW w:w="560" w:type="dxa"/>
            <w:tcBorders>
              <w:bottom w:val="single" w:sz="8" w:space="0" w:color="auto"/>
            </w:tcBorders>
            <w:vAlign w:val="bottom"/>
          </w:tcPr>
          <w:p w:rsidR="00D24E61" w:rsidRPr="00771368" w:rsidRDefault="00D24E61">
            <w:pPr>
              <w:rPr>
                <w:sz w:val="12"/>
                <w:szCs w:val="12"/>
              </w:rPr>
            </w:pPr>
          </w:p>
        </w:tc>
        <w:tc>
          <w:tcPr>
            <w:tcW w:w="660" w:type="dxa"/>
            <w:tcBorders>
              <w:bottom w:val="single" w:sz="8" w:space="0" w:color="auto"/>
            </w:tcBorders>
            <w:vAlign w:val="bottom"/>
          </w:tcPr>
          <w:p w:rsidR="00D24E61" w:rsidRPr="00771368" w:rsidRDefault="00D24E61">
            <w:pPr>
              <w:rPr>
                <w:sz w:val="12"/>
                <w:szCs w:val="12"/>
              </w:rPr>
            </w:pPr>
          </w:p>
        </w:tc>
        <w:tc>
          <w:tcPr>
            <w:tcW w:w="720" w:type="dxa"/>
            <w:tcBorders>
              <w:bottom w:val="single" w:sz="8" w:space="0" w:color="auto"/>
            </w:tcBorders>
            <w:vAlign w:val="bottom"/>
          </w:tcPr>
          <w:p w:rsidR="00D24E61" w:rsidRPr="00771368" w:rsidRDefault="00D24E61">
            <w:pPr>
              <w:rPr>
                <w:sz w:val="12"/>
                <w:szCs w:val="12"/>
              </w:rPr>
            </w:pPr>
          </w:p>
        </w:tc>
        <w:tc>
          <w:tcPr>
            <w:tcW w:w="1000" w:type="dxa"/>
            <w:tcBorders>
              <w:bottom w:val="single" w:sz="8" w:space="0" w:color="auto"/>
            </w:tcBorders>
            <w:vAlign w:val="bottom"/>
          </w:tcPr>
          <w:p w:rsidR="00D24E61" w:rsidRPr="00771368" w:rsidRDefault="00D24E61">
            <w:pPr>
              <w:rPr>
                <w:sz w:val="12"/>
                <w:szCs w:val="12"/>
              </w:rPr>
            </w:pPr>
          </w:p>
        </w:tc>
        <w:tc>
          <w:tcPr>
            <w:tcW w:w="500" w:type="dxa"/>
            <w:tcBorders>
              <w:bottom w:val="single" w:sz="8" w:space="0" w:color="auto"/>
              <w:right w:val="single" w:sz="8" w:space="0" w:color="auto"/>
            </w:tcBorders>
            <w:vAlign w:val="bottom"/>
          </w:tcPr>
          <w:p w:rsidR="00D24E61" w:rsidRPr="00771368" w:rsidRDefault="00D24E61">
            <w:pPr>
              <w:rPr>
                <w:sz w:val="12"/>
                <w:szCs w:val="12"/>
              </w:rPr>
            </w:pPr>
          </w:p>
        </w:tc>
      </w:tr>
    </w:tbl>
    <w:p w:rsidR="00D24E61" w:rsidRPr="00771368" w:rsidRDefault="00D24E61">
      <w:pPr>
        <w:sectPr w:rsidR="00D24E61" w:rsidRPr="00771368">
          <w:pgSz w:w="11900" w:h="16838"/>
          <w:pgMar w:top="700" w:right="840" w:bottom="954" w:left="740" w:header="0" w:footer="0" w:gutter="0"/>
          <w:cols w:space="720" w:equalWidth="0">
            <w:col w:w="10320"/>
          </w:cols>
        </w:sectPr>
      </w:pPr>
    </w:p>
    <w:p w:rsidR="00D24E61" w:rsidRPr="00771368" w:rsidRDefault="00D24E61">
      <w:pPr>
        <w:spacing w:line="1" w:lineRule="exact"/>
        <w:rPr>
          <w:sz w:val="20"/>
          <w:szCs w:val="20"/>
        </w:rPr>
      </w:pPr>
    </w:p>
    <w:p w:rsidR="00D24E61" w:rsidRDefault="00D24E61">
      <w:pPr>
        <w:rPr>
          <w:sz w:val="19"/>
          <w:szCs w:val="19"/>
        </w:rPr>
      </w:pPr>
      <w:r w:rsidRPr="00771368">
        <w:rPr>
          <w:sz w:val="19"/>
          <w:szCs w:val="19"/>
        </w:rPr>
        <w:t>Fonte: Organizado a partir do edital 19/2013 da PROGRAD</w:t>
      </w:r>
      <w:r w:rsidR="00532078">
        <w:rPr>
          <w:sz w:val="19"/>
          <w:szCs w:val="19"/>
        </w:rPr>
        <w:t xml:space="preserve">    </w:t>
      </w:r>
    </w:p>
    <w:p w:rsidR="00532078" w:rsidRPr="00532078" w:rsidRDefault="00532078">
      <w:pPr>
        <w:rPr>
          <w:sz w:val="20"/>
          <w:szCs w:val="20"/>
        </w:rPr>
        <w:sectPr w:rsidR="00532078" w:rsidRPr="00532078">
          <w:type w:val="continuous"/>
          <w:pgSz w:w="11900" w:h="16838"/>
          <w:pgMar w:top="700" w:right="6240" w:bottom="954" w:left="860" w:header="0" w:footer="0" w:gutter="0"/>
          <w:cols w:space="720" w:equalWidth="0">
            <w:col w:w="4800"/>
          </w:cols>
        </w:sectPr>
      </w:pPr>
    </w:p>
    <w:p w:rsidR="00D24E61" w:rsidRPr="00771368" w:rsidRDefault="00D24E61">
      <w:pPr>
        <w:rPr>
          <w:sz w:val="20"/>
          <w:szCs w:val="20"/>
        </w:rPr>
      </w:pPr>
      <w:r w:rsidRPr="00771368">
        <w:rPr>
          <w:b/>
          <w:bCs/>
          <w:sz w:val="24"/>
          <w:szCs w:val="24"/>
        </w:rPr>
        <w:t>Metodologia</w:t>
      </w:r>
    </w:p>
    <w:p w:rsidR="00D24E61" w:rsidRPr="00771368" w:rsidRDefault="00D24E61">
      <w:pPr>
        <w:spacing w:line="190" w:lineRule="exact"/>
        <w:rPr>
          <w:sz w:val="20"/>
          <w:szCs w:val="20"/>
        </w:rPr>
      </w:pPr>
    </w:p>
    <w:p w:rsidR="00D24E61" w:rsidRPr="00771368" w:rsidRDefault="00D24E61">
      <w:pPr>
        <w:spacing w:line="343" w:lineRule="auto"/>
        <w:ind w:firstLine="706"/>
        <w:jc w:val="both"/>
        <w:rPr>
          <w:sz w:val="20"/>
          <w:szCs w:val="20"/>
        </w:rPr>
      </w:pPr>
      <w:r w:rsidRPr="00771368">
        <w:rPr>
          <w:sz w:val="24"/>
          <w:szCs w:val="24"/>
        </w:rPr>
        <w:t>A partir do quadro 1, foi realizada uma análise dos dados referentes aos alunos cotistas dos cursos de Engenharia Civil e Licenciatura Letras/ Inglês, ofertados pela UTFPR, selecionados pelo fato de que, historicamente o primeiro tem um maior número de alunos do sexo masculino e o segundo, tem uma composição discente com maioria de mulheres.</w:t>
      </w:r>
    </w:p>
    <w:p w:rsidR="00D24E61" w:rsidRPr="00771368" w:rsidRDefault="00D24E61">
      <w:pPr>
        <w:spacing w:line="200" w:lineRule="exact"/>
        <w:rPr>
          <w:sz w:val="20"/>
          <w:szCs w:val="20"/>
        </w:rPr>
      </w:pPr>
    </w:p>
    <w:p w:rsidR="00D24E61" w:rsidRPr="00771368" w:rsidRDefault="00D24E61">
      <w:pPr>
        <w:spacing w:line="239" w:lineRule="exact"/>
        <w:rPr>
          <w:sz w:val="20"/>
          <w:szCs w:val="20"/>
        </w:rPr>
      </w:pPr>
    </w:p>
    <w:p w:rsidR="00D24E61" w:rsidRPr="00771368" w:rsidRDefault="00D24E61">
      <w:pPr>
        <w:rPr>
          <w:sz w:val="20"/>
          <w:szCs w:val="20"/>
        </w:rPr>
      </w:pPr>
      <w:r w:rsidRPr="00771368">
        <w:rPr>
          <w:b/>
          <w:bCs/>
          <w:sz w:val="24"/>
          <w:szCs w:val="24"/>
        </w:rPr>
        <w:t>Resultados da Pesquisa e Discussão</w:t>
      </w:r>
    </w:p>
    <w:p w:rsidR="00D24E61" w:rsidRPr="00771368" w:rsidRDefault="00D24E61">
      <w:pPr>
        <w:spacing w:line="195" w:lineRule="exact"/>
        <w:rPr>
          <w:sz w:val="20"/>
          <w:szCs w:val="20"/>
        </w:rPr>
      </w:pPr>
    </w:p>
    <w:p w:rsidR="00D24E61" w:rsidRPr="00771368" w:rsidRDefault="00D24E61">
      <w:pPr>
        <w:spacing w:line="342" w:lineRule="auto"/>
        <w:ind w:right="20" w:firstLine="706"/>
        <w:jc w:val="both"/>
        <w:rPr>
          <w:sz w:val="20"/>
          <w:szCs w:val="20"/>
        </w:rPr>
      </w:pPr>
      <w:r w:rsidRPr="00771368">
        <w:rPr>
          <w:sz w:val="24"/>
          <w:szCs w:val="24"/>
        </w:rPr>
        <w:t>No sistema acadêmico, não há uma especificação de quem se declarou preto, pardo ou índio, mas a categoria 2 indica que o candidato se declarou preto pardo ou indígena com renda inferior a 1,5 salário mínimo e na categoria 4 e indica que o candidato se declarou preto pardo ou indígena com renda superior a 1,5 salário mínimo, todos advindos de escola pública.</w:t>
      </w:r>
    </w:p>
    <w:p w:rsidR="00D24E61" w:rsidRPr="00771368" w:rsidRDefault="00D24E61">
      <w:pPr>
        <w:spacing w:line="84" w:lineRule="exact"/>
        <w:rPr>
          <w:sz w:val="20"/>
          <w:szCs w:val="20"/>
        </w:rPr>
      </w:pPr>
    </w:p>
    <w:p w:rsidR="00D24E61" w:rsidRPr="00771368" w:rsidRDefault="00D24E61">
      <w:pPr>
        <w:spacing w:line="333" w:lineRule="auto"/>
        <w:ind w:firstLine="706"/>
        <w:jc w:val="both"/>
        <w:rPr>
          <w:sz w:val="20"/>
          <w:szCs w:val="20"/>
        </w:rPr>
      </w:pPr>
      <w:r w:rsidRPr="00771368">
        <w:rPr>
          <w:sz w:val="24"/>
          <w:szCs w:val="24"/>
        </w:rPr>
        <w:t>Na engenharia civil, entre 85 alunos matriculados, 21 são do sexo feminino e 64 do sexo masculino. Em relação às alunas, 9 são não cotistas e 12 são cotistas., com um percentual de 57,14 % entre as mulheres. Das cotistas, as categorias estão organizadas da seguinte forma:</w:t>
      </w:r>
    </w:p>
    <w:p w:rsidR="00D24E61" w:rsidRPr="00771368" w:rsidRDefault="00D24E61">
      <w:pPr>
        <w:spacing w:line="90" w:lineRule="exact"/>
        <w:rPr>
          <w:sz w:val="20"/>
          <w:szCs w:val="20"/>
        </w:rPr>
      </w:pPr>
    </w:p>
    <w:p w:rsidR="00D24E61" w:rsidRPr="00771368" w:rsidRDefault="00D24E61">
      <w:pPr>
        <w:spacing w:line="361" w:lineRule="auto"/>
        <w:ind w:left="700" w:right="7460"/>
        <w:jc w:val="both"/>
        <w:rPr>
          <w:sz w:val="20"/>
          <w:szCs w:val="20"/>
        </w:rPr>
      </w:pPr>
      <w:r w:rsidRPr="00771368">
        <w:rPr>
          <w:sz w:val="23"/>
          <w:szCs w:val="23"/>
        </w:rPr>
        <w:t>Categoria 1- 4 alunas Categoria 2- 3 alunas Categoria 3- 2 alunas Categoria 4- 3 alunas</w:t>
      </w:r>
    </w:p>
    <w:p w:rsidR="00D24E61" w:rsidRPr="00771368" w:rsidRDefault="00D24E61">
      <w:pPr>
        <w:spacing w:line="65" w:lineRule="exact"/>
        <w:rPr>
          <w:sz w:val="20"/>
          <w:szCs w:val="20"/>
        </w:rPr>
      </w:pPr>
    </w:p>
    <w:p w:rsidR="00D24E61" w:rsidRPr="00771368" w:rsidRDefault="00D24E61">
      <w:pPr>
        <w:spacing w:line="312" w:lineRule="auto"/>
        <w:ind w:right="20" w:firstLine="706"/>
        <w:rPr>
          <w:sz w:val="20"/>
          <w:szCs w:val="20"/>
        </w:rPr>
      </w:pPr>
      <w:r w:rsidRPr="00771368">
        <w:rPr>
          <w:sz w:val="24"/>
          <w:szCs w:val="24"/>
        </w:rPr>
        <w:t>Nesse curso, observa-se que dentre as 6 que ingressaram por meio de cotas étnicos raciais, 3 são com baixa renda.</w:t>
      </w:r>
    </w:p>
    <w:p w:rsidR="00D24E61" w:rsidRPr="00771368" w:rsidRDefault="00D24E61">
      <w:pPr>
        <w:spacing w:line="113" w:lineRule="exact"/>
        <w:rPr>
          <w:sz w:val="20"/>
          <w:szCs w:val="20"/>
        </w:rPr>
      </w:pPr>
    </w:p>
    <w:p w:rsidR="00D24E61" w:rsidRPr="00771368" w:rsidRDefault="00D24E61">
      <w:pPr>
        <w:spacing w:line="308" w:lineRule="auto"/>
        <w:ind w:right="20" w:firstLine="706"/>
        <w:rPr>
          <w:sz w:val="20"/>
          <w:szCs w:val="20"/>
        </w:rPr>
      </w:pPr>
      <w:r w:rsidRPr="00771368">
        <w:rPr>
          <w:sz w:val="24"/>
          <w:szCs w:val="24"/>
        </w:rPr>
        <w:t>Em relação ao sexo masculino, há 64 alunos matriculados. Destes, 34 são não cotistas e 31 são cotistas.</w:t>
      </w:r>
    </w:p>
    <w:p w:rsidR="00D24E61" w:rsidRPr="00771368" w:rsidRDefault="00D24E61">
      <w:pPr>
        <w:spacing w:line="118" w:lineRule="exact"/>
        <w:rPr>
          <w:sz w:val="20"/>
          <w:szCs w:val="20"/>
        </w:rPr>
      </w:pPr>
    </w:p>
    <w:p w:rsidR="00D24E61" w:rsidRPr="00771368" w:rsidRDefault="00D24E61">
      <w:pPr>
        <w:spacing w:line="361" w:lineRule="auto"/>
        <w:ind w:left="700" w:right="7320"/>
        <w:rPr>
          <w:sz w:val="20"/>
          <w:szCs w:val="20"/>
        </w:rPr>
      </w:pPr>
      <w:r w:rsidRPr="00771368">
        <w:rPr>
          <w:sz w:val="23"/>
          <w:szCs w:val="23"/>
        </w:rPr>
        <w:t>Categoria 1- 9 alunos Categoria 2- 5 alunos Categoria 3- 11 alunos Categoria 4- 6 alunos</w:t>
      </w:r>
    </w:p>
    <w:p w:rsidR="00D24E61" w:rsidRPr="00771368" w:rsidRDefault="00D24E61">
      <w:pPr>
        <w:spacing w:line="65" w:lineRule="exact"/>
        <w:rPr>
          <w:sz w:val="20"/>
          <w:szCs w:val="20"/>
        </w:rPr>
      </w:pPr>
    </w:p>
    <w:p w:rsidR="00D24E61" w:rsidRPr="00771368" w:rsidRDefault="00D24E61">
      <w:pPr>
        <w:spacing w:line="343" w:lineRule="auto"/>
        <w:ind w:firstLine="706"/>
        <w:jc w:val="both"/>
        <w:rPr>
          <w:sz w:val="20"/>
          <w:szCs w:val="20"/>
        </w:rPr>
      </w:pPr>
      <w:r w:rsidRPr="00771368">
        <w:rPr>
          <w:sz w:val="24"/>
          <w:szCs w:val="24"/>
        </w:rPr>
        <w:t>Na categoria 2, há 5 alunos, que ingressaram por questões étnico raciais e baixa renda. Dos alunos do sexo masculino, 6 estão enquadrados na categoria 4, referente a pardos, pretos e índios. Isso aponta para uma maior entrada de alunos do sexo masculino com 17,18% em relação ao todo, do sexo masculino, com critérios étnicos raciais.</w:t>
      </w:r>
    </w:p>
    <w:p w:rsidR="00D24E61" w:rsidRPr="00771368" w:rsidRDefault="00D24E61">
      <w:pPr>
        <w:spacing w:line="79" w:lineRule="exact"/>
        <w:rPr>
          <w:sz w:val="20"/>
          <w:szCs w:val="20"/>
        </w:rPr>
      </w:pPr>
    </w:p>
    <w:p w:rsidR="00D24E61" w:rsidRPr="00771368" w:rsidRDefault="00D24E61">
      <w:pPr>
        <w:spacing w:line="335" w:lineRule="auto"/>
        <w:ind w:firstLine="706"/>
        <w:jc w:val="both"/>
        <w:rPr>
          <w:sz w:val="20"/>
          <w:szCs w:val="20"/>
        </w:rPr>
      </w:pPr>
      <w:r w:rsidRPr="00771368">
        <w:rPr>
          <w:sz w:val="24"/>
          <w:szCs w:val="24"/>
        </w:rPr>
        <w:t>Em relação ao curso de Licenciatura em Letras/ Inglês, entre 43 alunos matriculados, 30 são do sexo feminino e 13 do sexo masculino, predominando o maior percentual de alunas. Dentre estas, 15 não são cotistas e 15 são cotistas, distribuídas da seguinte forma:</w:t>
      </w:r>
    </w:p>
    <w:p w:rsidR="00D24E61" w:rsidRPr="00771368" w:rsidRDefault="00D24E61">
      <w:pPr>
        <w:spacing w:line="29" w:lineRule="exact"/>
        <w:rPr>
          <w:sz w:val="20"/>
          <w:szCs w:val="20"/>
        </w:rPr>
      </w:pPr>
    </w:p>
    <w:p w:rsidR="00D24E61" w:rsidRPr="00771368" w:rsidRDefault="00D24E61">
      <w:pPr>
        <w:ind w:left="700"/>
        <w:rPr>
          <w:sz w:val="20"/>
          <w:szCs w:val="20"/>
        </w:rPr>
      </w:pPr>
      <w:r w:rsidRPr="00771368">
        <w:rPr>
          <w:sz w:val="24"/>
          <w:szCs w:val="24"/>
        </w:rPr>
        <w:t>Categoria 1- 7 alunas</w:t>
      </w:r>
    </w:p>
    <w:p w:rsidR="00D24E61" w:rsidRPr="00771368" w:rsidRDefault="00D24E61">
      <w:pPr>
        <w:sectPr w:rsidR="00D24E61" w:rsidRPr="00771368">
          <w:pgSz w:w="11900" w:h="16838"/>
          <w:pgMar w:top="700" w:right="840" w:bottom="956" w:left="860" w:header="0" w:footer="0" w:gutter="0"/>
          <w:cols w:space="720" w:equalWidth="0">
            <w:col w:w="10200"/>
          </w:cols>
        </w:sectPr>
      </w:pPr>
    </w:p>
    <w:p w:rsidR="00D24E61" w:rsidRPr="00771368" w:rsidRDefault="00D24E61">
      <w:pPr>
        <w:spacing w:line="353" w:lineRule="auto"/>
        <w:ind w:left="700" w:right="7460"/>
        <w:jc w:val="both"/>
        <w:rPr>
          <w:sz w:val="20"/>
          <w:szCs w:val="20"/>
        </w:rPr>
      </w:pPr>
      <w:r w:rsidRPr="00771368">
        <w:rPr>
          <w:sz w:val="23"/>
          <w:szCs w:val="23"/>
        </w:rPr>
        <w:t>Categoria 2- 0 alunas Categoria 3- 6 alunas Categoria 4- 2 alunas</w:t>
      </w:r>
    </w:p>
    <w:p w:rsidR="00D24E61" w:rsidRPr="00771368" w:rsidRDefault="00D24E61">
      <w:pPr>
        <w:spacing w:line="72" w:lineRule="exact"/>
        <w:rPr>
          <w:sz w:val="20"/>
          <w:szCs w:val="20"/>
        </w:rPr>
      </w:pPr>
    </w:p>
    <w:p w:rsidR="00D24E61" w:rsidRPr="00771368" w:rsidRDefault="00D24E61">
      <w:pPr>
        <w:spacing w:line="335" w:lineRule="auto"/>
        <w:ind w:firstLine="706"/>
        <w:jc w:val="both"/>
        <w:rPr>
          <w:sz w:val="20"/>
          <w:szCs w:val="20"/>
        </w:rPr>
      </w:pPr>
      <w:r w:rsidRPr="00771368">
        <w:rPr>
          <w:sz w:val="24"/>
          <w:szCs w:val="24"/>
        </w:rPr>
        <w:t>Destaca-se que, do percentual total de alunas 2 estão enquadradas na categoria 4, referente a pardos, pretos e índios, totalizando 6,6% de cotistas nesta categoria. No que se refere aos alunos, 9 são não cotistas e 4 cotistas, organizados da seguinte forma:</w:t>
      </w:r>
    </w:p>
    <w:p w:rsidR="00D24E61" w:rsidRPr="00771368" w:rsidRDefault="00D24E61">
      <w:pPr>
        <w:spacing w:line="88" w:lineRule="exact"/>
        <w:rPr>
          <w:sz w:val="20"/>
          <w:szCs w:val="20"/>
        </w:rPr>
      </w:pPr>
    </w:p>
    <w:p w:rsidR="00D24E61" w:rsidRPr="00771368" w:rsidRDefault="00D24E61">
      <w:pPr>
        <w:spacing w:line="362" w:lineRule="auto"/>
        <w:ind w:left="700" w:right="7440"/>
        <w:rPr>
          <w:sz w:val="20"/>
          <w:szCs w:val="20"/>
        </w:rPr>
      </w:pPr>
      <w:r w:rsidRPr="00771368">
        <w:rPr>
          <w:sz w:val="23"/>
          <w:szCs w:val="23"/>
        </w:rPr>
        <w:t>Categoria 1- 0 alunos Categoria 2- 1 aluno Categoria 3- 1 aluno Categoria 4- 2 alunos</w:t>
      </w:r>
    </w:p>
    <w:p w:rsidR="00D24E61" w:rsidRPr="00771368" w:rsidRDefault="00D24E61">
      <w:pPr>
        <w:spacing w:line="61" w:lineRule="exact"/>
        <w:rPr>
          <w:sz w:val="20"/>
          <w:szCs w:val="20"/>
        </w:rPr>
      </w:pPr>
    </w:p>
    <w:p w:rsidR="00D24E61" w:rsidRPr="00771368" w:rsidRDefault="00D24E61">
      <w:pPr>
        <w:spacing w:line="343" w:lineRule="auto"/>
        <w:ind w:right="20" w:firstLine="706"/>
        <w:jc w:val="both"/>
        <w:rPr>
          <w:sz w:val="20"/>
          <w:szCs w:val="20"/>
        </w:rPr>
      </w:pPr>
      <w:r w:rsidRPr="00771368">
        <w:rPr>
          <w:sz w:val="24"/>
          <w:szCs w:val="24"/>
        </w:rPr>
        <w:t>O número de cotistas da categoria 2, referente a pardos, pretos e índios, com baixa renda é menor que o número de cotistas da categoria 4 de negros, pardos e índios, sem critério de renda. Porém, mesmo em minoria relacionada ao sexo masculino neste curso, o percentual de cotistas com critérios étnico raciais é maior que o mesmo critério, nas cotas de mulheres.</w:t>
      </w:r>
    </w:p>
    <w:p w:rsidR="00D24E61" w:rsidRPr="00771368" w:rsidRDefault="00D24E61">
      <w:pPr>
        <w:spacing w:line="79" w:lineRule="exact"/>
        <w:rPr>
          <w:sz w:val="20"/>
          <w:szCs w:val="20"/>
        </w:rPr>
      </w:pPr>
    </w:p>
    <w:p w:rsidR="00D24E61" w:rsidRPr="00771368" w:rsidRDefault="00D24E61">
      <w:pPr>
        <w:spacing w:line="335" w:lineRule="auto"/>
        <w:ind w:firstLine="706"/>
        <w:jc w:val="both"/>
        <w:rPr>
          <w:sz w:val="20"/>
          <w:szCs w:val="20"/>
        </w:rPr>
      </w:pPr>
      <w:r w:rsidRPr="00771368">
        <w:rPr>
          <w:sz w:val="24"/>
          <w:szCs w:val="24"/>
        </w:rPr>
        <w:t>Assim, a partir desses dados, mesmo com as mulheres constituindo a maioria do corpo discente tanto nos cursos de graduação como de pós- graduação ainda se verifica uma marcante diferença na distribuição dos sexos por áreas de conhecimento.</w:t>
      </w:r>
    </w:p>
    <w:p w:rsidR="00D24E61" w:rsidRPr="00771368" w:rsidRDefault="00D24E61">
      <w:pPr>
        <w:spacing w:line="88" w:lineRule="exact"/>
        <w:rPr>
          <w:sz w:val="20"/>
          <w:szCs w:val="20"/>
        </w:rPr>
      </w:pPr>
    </w:p>
    <w:p w:rsidR="00D24E61" w:rsidRPr="00771368" w:rsidRDefault="00D24E61">
      <w:pPr>
        <w:spacing w:line="343" w:lineRule="auto"/>
        <w:ind w:firstLine="710"/>
        <w:jc w:val="both"/>
        <w:rPr>
          <w:sz w:val="20"/>
          <w:szCs w:val="20"/>
        </w:rPr>
      </w:pPr>
      <w:r w:rsidRPr="00771368">
        <w:rPr>
          <w:sz w:val="24"/>
          <w:szCs w:val="24"/>
        </w:rPr>
        <w:t>Dados do IBGE (2008) referentes ao ano de 2005 apontam que os dez maiores cursos por número de matrícula com os maiores percentuais de matrícula do sexo feminino foram: Pedagogia (91,3%), Letras (80%) e Enfermagem (82,9%). Já os cursos com os maiores percentuais de matrícula do sexo masculino foram: Engenharia (79,7%) e Ciência da Computação (81,2%).</w:t>
      </w:r>
    </w:p>
    <w:p w:rsidR="00D24E61" w:rsidRPr="00771368" w:rsidRDefault="00D24E61">
      <w:pPr>
        <w:spacing w:line="79" w:lineRule="exact"/>
        <w:rPr>
          <w:sz w:val="20"/>
          <w:szCs w:val="20"/>
        </w:rPr>
      </w:pPr>
    </w:p>
    <w:p w:rsidR="00D24E61" w:rsidRPr="00771368" w:rsidRDefault="00D24E61">
      <w:pPr>
        <w:spacing w:line="351" w:lineRule="auto"/>
        <w:ind w:firstLine="710"/>
        <w:jc w:val="both"/>
        <w:rPr>
          <w:sz w:val="20"/>
          <w:szCs w:val="20"/>
        </w:rPr>
      </w:pPr>
      <w:r w:rsidRPr="00771368">
        <w:rPr>
          <w:sz w:val="24"/>
          <w:szCs w:val="24"/>
        </w:rPr>
        <w:t>Quando se acrescenta a variável raça, verifica-se na realidade da UTFPR que as mulheres negras também não estão presentes em cursos com presença majoritariamente feminina. As mulheres autodeclaradas pretas e pardas mantém o mesmo baixo percentual nos cursos de Engenharia e Letras. Na Licenciatura de Letras/ Inglês, predominantemente com a presença de mulheres, não há nenhuma cotista na categoria 2 que aponta relação étnico racial e baixa renda, apenas duas na categoria 4, mostrando como as mulheres negras não tem acesso a licenciatura. Na Engenharia Civil, há 3 cotistas de baixa renda associada as condições étnico raciais.</w:t>
      </w:r>
    </w:p>
    <w:p w:rsidR="00D24E61" w:rsidRPr="00771368" w:rsidRDefault="00D24E61">
      <w:pPr>
        <w:spacing w:line="200" w:lineRule="exact"/>
        <w:rPr>
          <w:sz w:val="20"/>
          <w:szCs w:val="20"/>
        </w:rPr>
      </w:pPr>
    </w:p>
    <w:p w:rsidR="00D24E61" w:rsidRPr="00771368" w:rsidRDefault="00D24E61">
      <w:pPr>
        <w:spacing w:line="234" w:lineRule="exact"/>
        <w:rPr>
          <w:sz w:val="20"/>
          <w:szCs w:val="20"/>
        </w:rPr>
      </w:pPr>
    </w:p>
    <w:p w:rsidR="00D24E61" w:rsidRPr="00771368" w:rsidRDefault="00D24E61">
      <w:pPr>
        <w:rPr>
          <w:sz w:val="20"/>
          <w:szCs w:val="20"/>
        </w:rPr>
      </w:pPr>
      <w:r w:rsidRPr="00771368">
        <w:rPr>
          <w:b/>
          <w:bCs/>
          <w:sz w:val="24"/>
          <w:szCs w:val="24"/>
        </w:rPr>
        <w:t>Conclusões</w:t>
      </w:r>
    </w:p>
    <w:p w:rsidR="00D24E61" w:rsidRPr="00771368" w:rsidRDefault="00D24E61">
      <w:pPr>
        <w:spacing w:line="190" w:lineRule="exact"/>
        <w:rPr>
          <w:sz w:val="20"/>
          <w:szCs w:val="20"/>
        </w:rPr>
      </w:pPr>
    </w:p>
    <w:p w:rsidR="00D24E61" w:rsidRPr="00771368" w:rsidRDefault="00D24E61">
      <w:pPr>
        <w:spacing w:line="333" w:lineRule="auto"/>
        <w:ind w:firstLine="706"/>
        <w:jc w:val="both"/>
        <w:rPr>
          <w:sz w:val="20"/>
          <w:szCs w:val="20"/>
        </w:rPr>
      </w:pPr>
      <w:r w:rsidRPr="00771368">
        <w:rPr>
          <w:sz w:val="24"/>
          <w:szCs w:val="24"/>
        </w:rPr>
        <w:t>Ao analisarmos o ingresso e permanência na escola, constatamos que o número de mulheres tem superado o de homens. Porém, isto não se verifica em todos os cursos, pois em áreas específicas como nas engenharias, há um percentual maior do sexo masculino.</w:t>
      </w:r>
    </w:p>
    <w:p w:rsidR="00D24E61" w:rsidRPr="00771368" w:rsidRDefault="00D24E61">
      <w:pPr>
        <w:sectPr w:rsidR="00D24E61" w:rsidRPr="00771368">
          <w:pgSz w:w="11900" w:h="16838"/>
          <w:pgMar w:top="700" w:right="840" w:bottom="1440" w:left="860" w:header="0" w:footer="0" w:gutter="0"/>
          <w:cols w:space="720" w:equalWidth="0">
            <w:col w:w="10200"/>
          </w:cols>
        </w:sectPr>
      </w:pPr>
    </w:p>
    <w:p w:rsidR="00D24E61" w:rsidRPr="00771368" w:rsidRDefault="00D24E61">
      <w:pPr>
        <w:spacing w:line="323" w:lineRule="auto"/>
        <w:ind w:firstLine="706"/>
        <w:jc w:val="both"/>
        <w:rPr>
          <w:sz w:val="20"/>
          <w:szCs w:val="20"/>
        </w:rPr>
      </w:pPr>
      <w:r w:rsidRPr="00771368">
        <w:rPr>
          <w:sz w:val="24"/>
          <w:szCs w:val="24"/>
        </w:rPr>
        <w:t>Em relação ao ingresso, constatamos que poucas mulheres negras tem acesso a educação superior. De acordo com o retrato das Desigualdades de Gênero e Raça</w:t>
      </w:r>
      <w:r w:rsidRPr="00771368">
        <w:rPr>
          <w:sz w:val="31"/>
          <w:szCs w:val="31"/>
          <w:vertAlign w:val="superscript"/>
        </w:rPr>
        <w:t>9</w:t>
      </w:r>
      <w:r w:rsidRPr="00771368">
        <w:rPr>
          <w:sz w:val="24"/>
          <w:szCs w:val="24"/>
        </w:rPr>
        <w:t>, em 1995 as mulheres brancas tinham um índice de acesso no ensino superior de 9,9% e as mulheres negras de 2,4%. Em 2009, essa taxa das mulheres brancas foi para 23,8% e das mulheres negras para 9,9%, ou seja, um aumento pouco significativo comparado às mulheres brancas.</w:t>
      </w:r>
    </w:p>
    <w:p w:rsidR="00D24E61" w:rsidRPr="00771368" w:rsidRDefault="00D24E61">
      <w:pPr>
        <w:spacing w:line="104" w:lineRule="exact"/>
        <w:rPr>
          <w:sz w:val="20"/>
          <w:szCs w:val="20"/>
        </w:rPr>
      </w:pPr>
    </w:p>
    <w:p w:rsidR="00D24E61" w:rsidRPr="00771368" w:rsidRDefault="00D24E61">
      <w:pPr>
        <w:spacing w:line="347" w:lineRule="auto"/>
        <w:ind w:right="20" w:firstLine="706"/>
        <w:jc w:val="both"/>
        <w:rPr>
          <w:sz w:val="20"/>
          <w:szCs w:val="20"/>
        </w:rPr>
      </w:pPr>
      <w:r w:rsidRPr="00771368">
        <w:rPr>
          <w:sz w:val="24"/>
          <w:szCs w:val="24"/>
        </w:rPr>
        <w:t>De acordo com Werneck (2009) as disparidades raciais em relação às mulheres negras, potencializadas pela desigualdade de gênero e pelo efeito na escolaridade, tem impacto no mercado de trabalho. A autora destaca que as mulheres negras apresentaram as maiores taxas de desemprego em 2007, de 12,66%, sendo que no mesmo período a taxa de desemprego de mulheres brancas equivalia a 9,67%, pior que os homens negros (6,84%) e dos homens brancos. (5,61%).</w:t>
      </w:r>
    </w:p>
    <w:p w:rsidR="00D24E61" w:rsidRPr="00771368" w:rsidRDefault="00D24E61">
      <w:pPr>
        <w:spacing w:line="74" w:lineRule="exact"/>
        <w:rPr>
          <w:sz w:val="20"/>
          <w:szCs w:val="20"/>
        </w:rPr>
      </w:pPr>
    </w:p>
    <w:p w:rsidR="00D24E61" w:rsidRPr="00771368" w:rsidRDefault="00D24E61">
      <w:pPr>
        <w:spacing w:line="343" w:lineRule="auto"/>
        <w:ind w:firstLine="706"/>
        <w:jc w:val="both"/>
        <w:rPr>
          <w:sz w:val="20"/>
          <w:szCs w:val="20"/>
        </w:rPr>
      </w:pPr>
      <w:r w:rsidRPr="00771368">
        <w:rPr>
          <w:sz w:val="24"/>
          <w:szCs w:val="24"/>
        </w:rPr>
        <w:t>Ao analisarmos o discurso racista presente na sociedade brasileira, cada vez mais evidenciado na própria mídia (voltando a afirmação de Micheline Borges sobre as médicas cubanas) observamos que a história da mulher negra cria um lugar para ela no trabalho doméstico e outros de menor prestigio e salário.</w:t>
      </w:r>
    </w:p>
    <w:p w:rsidR="00D24E61" w:rsidRPr="00771368" w:rsidRDefault="00D24E61">
      <w:pPr>
        <w:spacing w:line="21" w:lineRule="exact"/>
        <w:rPr>
          <w:sz w:val="20"/>
          <w:szCs w:val="20"/>
        </w:rPr>
      </w:pPr>
    </w:p>
    <w:p w:rsidR="00D24E61" w:rsidRPr="00771368" w:rsidRDefault="00D24E61">
      <w:pPr>
        <w:ind w:left="700"/>
        <w:rPr>
          <w:sz w:val="20"/>
          <w:szCs w:val="20"/>
        </w:rPr>
      </w:pPr>
      <w:r w:rsidRPr="00771368">
        <w:rPr>
          <w:sz w:val="24"/>
          <w:szCs w:val="24"/>
        </w:rPr>
        <w:t>Porém, esse discurso é mascarado pela democracia racial e o acesso a oportunidades que se afirma</w:t>
      </w:r>
    </w:p>
    <w:p w:rsidR="00D24E61" w:rsidRPr="00771368" w:rsidRDefault="00D24E61">
      <w:pPr>
        <w:spacing w:line="195" w:lineRule="exact"/>
        <w:rPr>
          <w:sz w:val="20"/>
          <w:szCs w:val="20"/>
        </w:rPr>
      </w:pPr>
    </w:p>
    <w:p w:rsidR="00D24E61" w:rsidRPr="00771368" w:rsidRDefault="00D24E61">
      <w:pPr>
        <w:spacing w:line="335" w:lineRule="auto"/>
        <w:ind w:right="20"/>
        <w:jc w:val="both"/>
        <w:rPr>
          <w:sz w:val="20"/>
          <w:szCs w:val="20"/>
        </w:rPr>
      </w:pPr>
      <w:r w:rsidRPr="00771368">
        <w:rPr>
          <w:sz w:val="24"/>
          <w:szCs w:val="24"/>
        </w:rPr>
        <w:t>“os negros não aproveitam”. Porém, quando os negros, ou especificamente, as mulheres negras buscam esses espaços, muitas completam sua educação com idade avançada ou com grandes sacrifícios, seja ao lado do fogão a lenha, seja como primeiras mulheres da família a conquistarem “um diploma”.</w:t>
      </w:r>
    </w:p>
    <w:p w:rsidR="00D24E61" w:rsidRPr="00771368" w:rsidRDefault="00D24E61">
      <w:pPr>
        <w:spacing w:line="88" w:lineRule="exact"/>
        <w:rPr>
          <w:sz w:val="20"/>
          <w:szCs w:val="20"/>
        </w:rPr>
      </w:pPr>
    </w:p>
    <w:p w:rsidR="00D24E61" w:rsidRPr="00771368" w:rsidRDefault="00D24E61">
      <w:pPr>
        <w:spacing w:line="352" w:lineRule="auto"/>
        <w:ind w:firstLine="706"/>
        <w:jc w:val="both"/>
        <w:rPr>
          <w:sz w:val="20"/>
          <w:szCs w:val="20"/>
        </w:rPr>
      </w:pPr>
      <w:r w:rsidRPr="00771368">
        <w:rPr>
          <w:sz w:val="24"/>
          <w:szCs w:val="24"/>
        </w:rPr>
        <w:t>Não podemos desarticular o debate sobre as relações étnico raciais e gênero do contexto de pobreza, como também não podemos negar o racismo, mascarado na nossa sociedade sob o discurso da democracia racial. Enquanto se discutia a necessidade da inserção da mulher no mercado de trabalho, a mulher negra já estava inserida neste mercado, de forma precária, sendo discriminada e explorada. Desta forma, as demandas concernentes a esse segmento buscam políticas sociais capazes de atender as especificidades que são demandadas também pela questão do racismo, sendo que o acesso a educação pode ser visto como uma das estratégias de alteração das condições de subordinação da mulher negra</w:t>
      </w:r>
    </w:p>
    <w:p w:rsidR="00D24E61" w:rsidRPr="00771368" w:rsidRDefault="00013211">
      <w:pPr>
        <w:spacing w:line="352" w:lineRule="auto"/>
        <w:ind w:firstLine="706"/>
        <w:jc w:val="both"/>
        <w:rPr>
          <w:sz w:val="20"/>
          <w:szCs w:val="20"/>
        </w:rPr>
        <w:sectPr w:rsidR="00D24E61" w:rsidRPr="00771368">
          <w:pgSz w:w="11900" w:h="16838"/>
          <w:pgMar w:top="700" w:right="840" w:bottom="527" w:left="860" w:header="0" w:footer="0" w:gutter="0"/>
          <w:cols w:space="720" w:equalWidth="0">
            <w:col w:w="10200"/>
          </w:cols>
        </w:sectPr>
      </w:pPr>
      <w:r>
        <w:rPr>
          <w:noProof/>
          <w:sz w:val="20"/>
          <w:szCs w:val="20"/>
        </w:rPr>
        <mc:AlternateContent>
          <mc:Choice Requires="wps">
            <w:drawing>
              <wp:anchor distT="0" distB="0" distL="0" distR="0" simplePos="0" relativeHeight="251800064" behindDoc="0" locked="0" layoutInCell="0" allowOverlap="1">
                <wp:simplePos x="0" y="0"/>
                <wp:positionH relativeFrom="column">
                  <wp:posOffset>-5715</wp:posOffset>
                </wp:positionH>
                <wp:positionV relativeFrom="paragraph">
                  <wp:posOffset>2569210</wp:posOffset>
                </wp:positionV>
                <wp:extent cx="1828800" cy="0"/>
                <wp:effectExtent l="13335" t="6985" r="5715" b="12065"/>
                <wp:wrapNone/>
                <wp:docPr id="13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80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02.3pt" to="143.55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fDFQIAACwEAAAOAAAAZHJzL2Uyb0RvYy54bWysU8GO2jAQvVfqP1i+QxJgaY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" o:allowincell="f" strokeweight=".16931mm"/>
            </w:pict>
          </mc:Fallback>
        </mc:AlternateContent>
      </w:r>
    </w:p>
    <w:p w:rsidR="00532078" w:rsidRDefault="00532078">
      <w:pPr>
        <w:rPr>
          <w:sz w:val="24"/>
          <w:szCs w:val="24"/>
          <w:vertAlign w:val="superscript"/>
        </w:rPr>
      </w:pPr>
    </w:p>
    <w:p w:rsidR="00532078" w:rsidRPr="00771368" w:rsidRDefault="00532078" w:rsidP="00532078">
      <w:pPr>
        <w:rPr>
          <w:sz w:val="20"/>
          <w:szCs w:val="20"/>
        </w:rPr>
      </w:pPr>
      <w:r w:rsidRPr="00771368">
        <w:rPr>
          <w:b/>
          <w:bCs/>
          <w:sz w:val="24"/>
          <w:szCs w:val="24"/>
        </w:rPr>
        <w:t>Referências Bibliográficas</w:t>
      </w:r>
    </w:p>
    <w:p w:rsidR="00532078" w:rsidRPr="00771368" w:rsidRDefault="00532078" w:rsidP="00532078">
      <w:pPr>
        <w:spacing w:line="200" w:lineRule="exact"/>
        <w:rPr>
          <w:sz w:val="20"/>
          <w:szCs w:val="20"/>
        </w:rPr>
      </w:pPr>
    </w:p>
    <w:p w:rsidR="00532078" w:rsidRPr="00771368" w:rsidRDefault="00532078" w:rsidP="00532078">
      <w:pPr>
        <w:spacing w:line="208" w:lineRule="exact"/>
        <w:rPr>
          <w:sz w:val="20"/>
          <w:szCs w:val="20"/>
        </w:rPr>
      </w:pPr>
    </w:p>
    <w:p w:rsidR="00532078" w:rsidRPr="00771368" w:rsidRDefault="00532078" w:rsidP="00532078">
      <w:pPr>
        <w:spacing w:line="226" w:lineRule="auto"/>
        <w:jc w:val="both"/>
        <w:rPr>
          <w:color w:val="0000FF"/>
          <w:sz w:val="24"/>
          <w:szCs w:val="24"/>
        </w:rPr>
      </w:pPr>
      <w:r w:rsidRPr="00771368">
        <w:rPr>
          <w:sz w:val="24"/>
          <w:szCs w:val="24"/>
        </w:rPr>
        <w:t xml:space="preserve">BRASIL. Ministério da Educação. Lei nº 12.711, de 29 de agosto de 2012. Dispõe sobre o ingresso nas universidades federais e nas instituições federais de ensino técnico de nível médio e dá outras providências. Disponível em </w:t>
      </w:r>
      <w:hyperlink r:id="rId452">
        <w:r w:rsidRPr="00771368">
          <w:rPr>
            <w:color w:val="0000FF"/>
            <w:sz w:val="24"/>
            <w:szCs w:val="24"/>
            <w:u w:val="single"/>
          </w:rPr>
          <w:t>http://www.planalto.gov.br/ccivil_03/_Ato2011-</w:t>
        </w:r>
      </w:hyperlink>
      <w:hyperlink r:id="rId453">
        <w:r w:rsidRPr="00771368">
          <w:rPr>
            <w:color w:val="0000FF"/>
            <w:sz w:val="24"/>
            <w:szCs w:val="24"/>
            <w:u w:val="single"/>
          </w:rPr>
          <w:t>2014/2012/Lei/L12711.htm</w:t>
        </w:r>
        <w:r w:rsidRPr="00771368">
          <w:rPr>
            <w:color w:val="000000"/>
            <w:sz w:val="24"/>
            <w:szCs w:val="24"/>
          </w:rPr>
          <w:t xml:space="preserve">. </w:t>
        </w:r>
      </w:hyperlink>
      <w:r w:rsidRPr="00771368">
        <w:rPr>
          <w:color w:val="0000FF"/>
          <w:sz w:val="24"/>
          <w:szCs w:val="24"/>
        </w:rPr>
        <w:t xml:space="preserve">Acesso </w:t>
      </w:r>
      <w:r w:rsidRPr="00771368">
        <w:rPr>
          <w:color w:val="000000"/>
          <w:sz w:val="24"/>
          <w:szCs w:val="24"/>
        </w:rPr>
        <w:t>em 10 abril 2013.</w:t>
      </w:r>
    </w:p>
    <w:p w:rsidR="00532078" w:rsidRPr="00771368" w:rsidRDefault="00532078" w:rsidP="00532078">
      <w:pPr>
        <w:spacing w:line="200" w:lineRule="exact"/>
        <w:rPr>
          <w:sz w:val="20"/>
          <w:szCs w:val="20"/>
        </w:rPr>
      </w:pPr>
    </w:p>
    <w:p w:rsidR="00532078" w:rsidRPr="00771368" w:rsidRDefault="00532078" w:rsidP="00532078">
      <w:pPr>
        <w:spacing w:line="278" w:lineRule="exact"/>
        <w:rPr>
          <w:sz w:val="20"/>
          <w:szCs w:val="20"/>
        </w:rPr>
      </w:pPr>
    </w:p>
    <w:p w:rsidR="00532078" w:rsidRPr="00771368" w:rsidRDefault="00532078" w:rsidP="00532078">
      <w:pPr>
        <w:spacing w:line="229" w:lineRule="auto"/>
        <w:jc w:val="both"/>
        <w:rPr>
          <w:color w:val="0000FF"/>
          <w:sz w:val="24"/>
          <w:szCs w:val="24"/>
        </w:rPr>
      </w:pPr>
      <w:r w:rsidRPr="00771368">
        <w:rPr>
          <w:sz w:val="24"/>
          <w:szCs w:val="24"/>
        </w:rPr>
        <w:t xml:space="preserve">BRASIL. Ministério da Educação. Portaria Normativa nº 18. Dispõe sobre a implementação das reservas de vagas em instituições federais de ensino de que tratam a </w:t>
      </w:r>
      <w:hyperlink r:id="rId454">
        <w:r w:rsidRPr="00771368">
          <w:rPr>
            <w:color w:val="0000FF"/>
            <w:sz w:val="24"/>
            <w:szCs w:val="24"/>
            <w:u w:val="single"/>
          </w:rPr>
          <w:t>Lei nº 12.711, de 29 de agosto de 2012</w:t>
        </w:r>
        <w:r w:rsidRPr="00771368">
          <w:rPr>
            <w:sz w:val="24"/>
            <w:szCs w:val="24"/>
            <w:u w:val="single"/>
          </w:rPr>
          <w:t xml:space="preserve">, </w:t>
        </w:r>
      </w:hyperlink>
      <w:r w:rsidRPr="00771368">
        <w:rPr>
          <w:sz w:val="24"/>
          <w:szCs w:val="24"/>
        </w:rPr>
        <w:t xml:space="preserve">e o </w:t>
      </w:r>
      <w:hyperlink r:id="rId455">
        <w:r w:rsidRPr="00771368">
          <w:rPr>
            <w:color w:val="0000FF"/>
            <w:sz w:val="24"/>
            <w:szCs w:val="24"/>
          </w:rPr>
          <w:t>Decreto nº 7.824, de 11 de outubro de 2012</w:t>
        </w:r>
        <w:r w:rsidRPr="00771368">
          <w:rPr>
            <w:color w:val="000000"/>
            <w:sz w:val="24"/>
            <w:szCs w:val="24"/>
          </w:rPr>
          <w:t xml:space="preserve">. </w:t>
        </w:r>
      </w:hyperlink>
      <w:r w:rsidRPr="00771368">
        <w:rPr>
          <w:color w:val="0000FF"/>
          <w:sz w:val="24"/>
          <w:szCs w:val="24"/>
        </w:rPr>
        <w:t xml:space="preserve">Disponível </w:t>
      </w:r>
      <w:r w:rsidRPr="00771368">
        <w:rPr>
          <w:color w:val="000000"/>
          <w:sz w:val="24"/>
          <w:szCs w:val="24"/>
        </w:rPr>
        <w:t>em</w:t>
      </w:r>
      <w:r w:rsidRPr="00771368">
        <w:rPr>
          <w:color w:val="0000FF"/>
          <w:sz w:val="24"/>
          <w:szCs w:val="24"/>
        </w:rPr>
        <w:t xml:space="preserve"> </w:t>
      </w:r>
      <w:hyperlink r:id="rId456">
        <w:r w:rsidRPr="00771368">
          <w:rPr>
            <w:color w:val="0000FF"/>
            <w:sz w:val="24"/>
            <w:szCs w:val="24"/>
            <w:u w:val="single"/>
          </w:rPr>
          <w:t>http://www.lex.com.br/legis_23866622_PORTARIA_NORMATIVA_N_18_DE_11_DE_OUTUBRO_D</w:t>
        </w:r>
      </w:hyperlink>
      <w:r w:rsidRPr="00771368">
        <w:rPr>
          <w:color w:val="0000FF"/>
          <w:sz w:val="24"/>
          <w:szCs w:val="24"/>
          <w:u w:val="single"/>
        </w:rPr>
        <w:t xml:space="preserve"> </w:t>
      </w:r>
      <w:hyperlink r:id="rId457">
        <w:r w:rsidRPr="00771368">
          <w:rPr>
            <w:color w:val="0000FF"/>
            <w:sz w:val="24"/>
            <w:szCs w:val="24"/>
            <w:u w:val="single"/>
          </w:rPr>
          <w:t>E_2012.aspx</w:t>
        </w:r>
        <w:r w:rsidRPr="00771368">
          <w:rPr>
            <w:color w:val="0000FF"/>
            <w:sz w:val="24"/>
            <w:szCs w:val="24"/>
          </w:rPr>
          <w:t xml:space="preserve"> </w:t>
        </w:r>
      </w:hyperlink>
      <w:r w:rsidRPr="00771368">
        <w:rPr>
          <w:color w:val="000000"/>
          <w:sz w:val="24"/>
          <w:szCs w:val="24"/>
        </w:rPr>
        <w:t>Acesso</w:t>
      </w:r>
      <w:r w:rsidRPr="00771368">
        <w:rPr>
          <w:color w:val="0000FF"/>
          <w:sz w:val="24"/>
          <w:szCs w:val="24"/>
        </w:rPr>
        <w:t xml:space="preserve"> </w:t>
      </w:r>
      <w:r w:rsidRPr="00771368">
        <w:rPr>
          <w:color w:val="000000"/>
          <w:sz w:val="24"/>
          <w:szCs w:val="24"/>
        </w:rPr>
        <w:t>em 10 de abril de 2013.</w:t>
      </w:r>
    </w:p>
    <w:p w:rsidR="00532078" w:rsidRPr="00771368" w:rsidRDefault="00013211" w:rsidP="00532078">
      <w:pPr>
        <w:spacing w:line="282" w:lineRule="exact"/>
        <w:rPr>
          <w:color w:val="0000FF"/>
          <w:sz w:val="24"/>
          <w:szCs w:val="24"/>
        </w:rPr>
      </w:pPr>
      <w:r>
        <w:rPr>
          <w:noProof/>
          <w:color w:val="0000FF"/>
          <w:sz w:val="24"/>
          <w:szCs w:val="24"/>
        </w:rPr>
        <mc:AlternateContent>
          <mc:Choice Requires="wps">
            <w:drawing>
              <wp:anchor distT="0" distB="0" distL="0" distR="0" simplePos="0" relativeHeight="251810304" behindDoc="0" locked="0" layoutInCell="0" allowOverlap="1">
                <wp:simplePos x="0" y="0"/>
                <wp:positionH relativeFrom="column">
                  <wp:posOffset>-5715</wp:posOffset>
                </wp:positionH>
                <wp:positionV relativeFrom="paragraph">
                  <wp:posOffset>-360680</wp:posOffset>
                </wp:positionV>
                <wp:extent cx="4941570" cy="0"/>
                <wp:effectExtent l="13335" t="10795" r="7620" b="8255"/>
                <wp:wrapNone/>
                <wp:docPr id="130"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1570" cy="0"/>
                        </a:xfrm>
                        <a:prstGeom prst="line">
                          <a:avLst/>
                        </a:prstGeom>
                        <a:noFill/>
                        <a:ln w="609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81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28.4pt" to="388.6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" o:allowincell="f" strokecolor="blue" strokeweight=".48pt"/>
            </w:pict>
          </mc:Fallback>
        </mc:AlternateContent>
      </w:r>
    </w:p>
    <w:p w:rsidR="00D24E61" w:rsidRPr="00771368" w:rsidRDefault="00D24E61">
      <w:pPr>
        <w:rPr>
          <w:sz w:val="19"/>
          <w:szCs w:val="19"/>
        </w:rPr>
      </w:pPr>
      <w:r w:rsidRPr="00771368">
        <w:rPr>
          <w:sz w:val="24"/>
          <w:szCs w:val="24"/>
          <w:vertAlign w:val="superscript"/>
        </w:rPr>
        <w:t>9</w:t>
      </w:r>
      <w:r w:rsidRPr="00771368">
        <w:rPr>
          <w:sz w:val="19"/>
          <w:szCs w:val="19"/>
        </w:rPr>
        <w:t xml:space="preserve"> Disponível em </w:t>
      </w:r>
      <w:hyperlink r:id="rId458">
        <w:r w:rsidRPr="00771368">
          <w:rPr>
            <w:color w:val="0000FF"/>
            <w:sz w:val="19"/>
            <w:szCs w:val="19"/>
            <w:u w:val="single"/>
          </w:rPr>
          <w:t>http://www.ipea.gov.br/retrato/indicadores_educacao.html</w:t>
        </w:r>
      </w:hyperlink>
    </w:p>
    <w:p w:rsidR="00D24E61" w:rsidRPr="00771368" w:rsidRDefault="00D24E61">
      <w:pPr>
        <w:sectPr w:rsidR="00D24E61" w:rsidRPr="00771368" w:rsidSect="00532078">
          <w:type w:val="continuous"/>
          <w:pgSz w:w="11900" w:h="16838"/>
          <w:pgMar w:top="700" w:right="1410" w:bottom="527" w:left="860" w:header="0" w:footer="0" w:gutter="0"/>
          <w:cols w:space="720" w:equalWidth="0">
            <w:col w:w="9630"/>
          </w:cols>
        </w:sectPr>
      </w:pPr>
    </w:p>
    <w:p w:rsidR="00532078" w:rsidRPr="00771368" w:rsidRDefault="00532078" w:rsidP="00532078">
      <w:pPr>
        <w:rPr>
          <w:sz w:val="20"/>
          <w:szCs w:val="20"/>
        </w:rPr>
      </w:pPr>
      <w:r w:rsidRPr="00771368">
        <w:rPr>
          <w:sz w:val="24"/>
          <w:szCs w:val="24"/>
        </w:rPr>
        <w:t>CARVALHO, Vânia Carneiro de</w:t>
      </w:r>
      <w:r w:rsidRPr="00771368">
        <w:rPr>
          <w:b/>
          <w:bCs/>
          <w:sz w:val="24"/>
          <w:szCs w:val="24"/>
        </w:rPr>
        <w:t>. Gênero e Artefato.</w:t>
      </w:r>
      <w:r w:rsidRPr="00771368">
        <w:rPr>
          <w:sz w:val="24"/>
          <w:szCs w:val="24"/>
        </w:rPr>
        <w:t xml:space="preserve"> São Paulo: EDUSP, 2008, p. 217-271.</w:t>
      </w:r>
    </w:p>
    <w:p w:rsidR="00532078" w:rsidRPr="00771368" w:rsidRDefault="00532078" w:rsidP="00532078">
      <w:pPr>
        <w:spacing w:line="334" w:lineRule="exact"/>
        <w:rPr>
          <w:color w:val="0000FF"/>
          <w:sz w:val="24"/>
          <w:szCs w:val="24"/>
        </w:rPr>
      </w:pPr>
    </w:p>
    <w:p w:rsidR="00532078" w:rsidRPr="00771368" w:rsidRDefault="00532078" w:rsidP="00532078">
      <w:pPr>
        <w:spacing w:line="213" w:lineRule="auto"/>
        <w:ind w:right="20"/>
        <w:jc w:val="both"/>
        <w:rPr>
          <w:sz w:val="20"/>
          <w:szCs w:val="20"/>
        </w:rPr>
      </w:pPr>
      <w:r w:rsidRPr="00771368">
        <w:rPr>
          <w:sz w:val="24"/>
          <w:szCs w:val="24"/>
        </w:rPr>
        <w:t xml:space="preserve">CASTELLS, Manuel. </w:t>
      </w:r>
      <w:r w:rsidRPr="00771368">
        <w:rPr>
          <w:b/>
          <w:bCs/>
          <w:sz w:val="24"/>
          <w:szCs w:val="24"/>
        </w:rPr>
        <w:t>O poder da identidade</w:t>
      </w:r>
      <w:r w:rsidRPr="00771368">
        <w:rPr>
          <w:sz w:val="24"/>
          <w:szCs w:val="24"/>
        </w:rPr>
        <w:t xml:space="preserve"> (A era da informação, economia, sociedade e cultura, v. 2). São Paulo: Paz e Terra, 1999.</w:t>
      </w:r>
    </w:p>
    <w:p w:rsidR="00D24E61" w:rsidRPr="00771368" w:rsidRDefault="00D24E61">
      <w:pPr>
        <w:spacing w:line="336" w:lineRule="exact"/>
        <w:rPr>
          <w:color w:val="0000FF"/>
          <w:sz w:val="24"/>
          <w:szCs w:val="24"/>
        </w:rPr>
      </w:pPr>
    </w:p>
    <w:p w:rsidR="00D24E61" w:rsidRPr="00771368" w:rsidRDefault="00D24E61">
      <w:pPr>
        <w:spacing w:line="215" w:lineRule="auto"/>
        <w:jc w:val="both"/>
        <w:rPr>
          <w:color w:val="0000FF"/>
          <w:sz w:val="24"/>
          <w:szCs w:val="24"/>
        </w:rPr>
      </w:pPr>
      <w:r w:rsidRPr="00771368">
        <w:rPr>
          <w:sz w:val="24"/>
          <w:szCs w:val="24"/>
        </w:rPr>
        <w:t xml:space="preserve">De Escola de Aprendizes a Universidade Tecnológica. Disponível em </w:t>
      </w:r>
      <w:hyperlink r:id="rId459">
        <w:r w:rsidRPr="00771368">
          <w:rPr>
            <w:color w:val="0000FF"/>
            <w:sz w:val="24"/>
            <w:szCs w:val="24"/>
            <w:u w:val="single"/>
          </w:rPr>
          <w:t>http://www.utfpr.edu.br/a-</w:t>
        </w:r>
      </w:hyperlink>
      <w:hyperlink r:id="rId460">
        <w:r w:rsidRPr="00771368">
          <w:rPr>
            <w:color w:val="0000FF"/>
            <w:sz w:val="24"/>
            <w:szCs w:val="24"/>
            <w:u w:val="single"/>
          </w:rPr>
          <w:t>instituicao/historico</w:t>
        </w:r>
        <w:r w:rsidRPr="00771368">
          <w:rPr>
            <w:color w:val="000000"/>
            <w:sz w:val="24"/>
            <w:szCs w:val="24"/>
          </w:rPr>
          <w:t xml:space="preserve">. </w:t>
        </w:r>
      </w:hyperlink>
      <w:r w:rsidRPr="00771368">
        <w:rPr>
          <w:color w:val="0000FF"/>
          <w:sz w:val="24"/>
          <w:szCs w:val="24"/>
        </w:rPr>
        <w:t xml:space="preserve">Acesso </w:t>
      </w:r>
      <w:r w:rsidRPr="00771368">
        <w:rPr>
          <w:color w:val="000000"/>
          <w:sz w:val="24"/>
          <w:szCs w:val="24"/>
        </w:rPr>
        <w:t>em 13 de abril de 2013.</w:t>
      </w:r>
    </w:p>
    <w:p w:rsidR="00D24E61" w:rsidRPr="00771368" w:rsidRDefault="00D24E61">
      <w:pPr>
        <w:spacing w:line="336" w:lineRule="exact"/>
        <w:rPr>
          <w:sz w:val="20"/>
          <w:szCs w:val="20"/>
        </w:rPr>
      </w:pPr>
    </w:p>
    <w:p w:rsidR="00D24E61" w:rsidRPr="00771368" w:rsidRDefault="00D24E61">
      <w:pPr>
        <w:spacing w:line="213" w:lineRule="auto"/>
        <w:jc w:val="both"/>
        <w:rPr>
          <w:sz w:val="20"/>
          <w:szCs w:val="20"/>
        </w:rPr>
      </w:pPr>
      <w:r w:rsidRPr="00771368">
        <w:rPr>
          <w:color w:val="222222"/>
          <w:sz w:val="24"/>
          <w:szCs w:val="24"/>
        </w:rPr>
        <w:t xml:space="preserve">DIWAN, Pietra. </w:t>
      </w:r>
      <w:r w:rsidRPr="00771368">
        <w:rPr>
          <w:b/>
          <w:bCs/>
          <w:color w:val="222222"/>
          <w:sz w:val="24"/>
          <w:szCs w:val="24"/>
        </w:rPr>
        <w:t>Raça pura: uma história da eugenia no Brasil e no mundo</w:t>
      </w:r>
      <w:r w:rsidRPr="00771368">
        <w:rPr>
          <w:color w:val="222222"/>
          <w:sz w:val="24"/>
          <w:szCs w:val="24"/>
        </w:rPr>
        <w:t>. São Paulo: Editora Contexto, 2007.</w:t>
      </w:r>
    </w:p>
    <w:p w:rsidR="00D24E61" w:rsidRPr="00771368" w:rsidRDefault="00D24E61">
      <w:pPr>
        <w:spacing w:line="213" w:lineRule="auto"/>
        <w:jc w:val="both"/>
        <w:rPr>
          <w:sz w:val="20"/>
          <w:szCs w:val="20"/>
        </w:rPr>
      </w:pPr>
      <w:r w:rsidRPr="00771368">
        <w:rPr>
          <w:sz w:val="24"/>
          <w:szCs w:val="24"/>
        </w:rPr>
        <w:t xml:space="preserve">CITELI, Maria Teresa. As Desmedidas da Vênus Negra: gênero e raça na história da ciência. </w:t>
      </w:r>
      <w:r w:rsidRPr="00771368">
        <w:rPr>
          <w:b/>
          <w:bCs/>
          <w:sz w:val="24"/>
          <w:szCs w:val="24"/>
        </w:rPr>
        <w:t>Novos</w:t>
      </w:r>
      <w:r w:rsidRPr="00771368">
        <w:rPr>
          <w:sz w:val="24"/>
          <w:szCs w:val="24"/>
        </w:rPr>
        <w:t xml:space="preserve"> </w:t>
      </w:r>
      <w:r w:rsidRPr="00771368">
        <w:rPr>
          <w:b/>
          <w:bCs/>
          <w:sz w:val="24"/>
          <w:szCs w:val="24"/>
        </w:rPr>
        <w:t>Estudos CEBRAP</w:t>
      </w:r>
      <w:r w:rsidRPr="00771368">
        <w:rPr>
          <w:sz w:val="24"/>
          <w:szCs w:val="24"/>
        </w:rPr>
        <w:t>, n. 61, p. 163-175, 2001.</w:t>
      </w:r>
    </w:p>
    <w:p w:rsidR="00D24E61" w:rsidRPr="00771368" w:rsidRDefault="00D24E61">
      <w:pPr>
        <w:spacing w:line="336" w:lineRule="exact"/>
        <w:rPr>
          <w:sz w:val="20"/>
          <w:szCs w:val="20"/>
        </w:rPr>
      </w:pPr>
    </w:p>
    <w:p w:rsidR="00D24E61" w:rsidRPr="00771368" w:rsidRDefault="00D24E61">
      <w:pPr>
        <w:spacing w:line="215" w:lineRule="auto"/>
        <w:ind w:right="20"/>
        <w:jc w:val="both"/>
        <w:rPr>
          <w:sz w:val="20"/>
          <w:szCs w:val="20"/>
        </w:rPr>
      </w:pPr>
      <w:r w:rsidRPr="00771368">
        <w:rPr>
          <w:color w:val="222222"/>
          <w:sz w:val="24"/>
          <w:szCs w:val="24"/>
        </w:rPr>
        <w:t xml:space="preserve">FREYRE, Gilberto. </w:t>
      </w:r>
      <w:r w:rsidRPr="00771368">
        <w:rPr>
          <w:b/>
          <w:bCs/>
          <w:color w:val="222222"/>
          <w:sz w:val="24"/>
          <w:szCs w:val="24"/>
        </w:rPr>
        <w:t>Casa-grande &amp; senzala: formação da família brasileira sob o regime da</w:t>
      </w:r>
      <w:r w:rsidRPr="00771368">
        <w:rPr>
          <w:color w:val="222222"/>
          <w:sz w:val="24"/>
          <w:szCs w:val="24"/>
        </w:rPr>
        <w:t xml:space="preserve"> </w:t>
      </w:r>
      <w:r w:rsidRPr="00771368">
        <w:rPr>
          <w:b/>
          <w:bCs/>
          <w:color w:val="222222"/>
          <w:sz w:val="24"/>
          <w:szCs w:val="24"/>
        </w:rPr>
        <w:t>economica patriarcal</w:t>
      </w:r>
      <w:r w:rsidRPr="00771368">
        <w:rPr>
          <w:color w:val="222222"/>
          <w:sz w:val="24"/>
          <w:szCs w:val="24"/>
        </w:rPr>
        <w:t>. São Paulo: 48ª Edição.J. Olympio, 1933.</w:t>
      </w:r>
    </w:p>
    <w:p w:rsidR="00D24E61" w:rsidRPr="00771368" w:rsidRDefault="00D24E61">
      <w:pPr>
        <w:spacing w:line="336" w:lineRule="exact"/>
        <w:rPr>
          <w:sz w:val="20"/>
          <w:szCs w:val="20"/>
        </w:rPr>
      </w:pPr>
    </w:p>
    <w:p w:rsidR="00D24E61" w:rsidRPr="00771368" w:rsidRDefault="00D24E61">
      <w:pPr>
        <w:spacing w:line="213" w:lineRule="auto"/>
        <w:ind w:right="20"/>
        <w:jc w:val="both"/>
        <w:rPr>
          <w:sz w:val="20"/>
          <w:szCs w:val="20"/>
        </w:rPr>
      </w:pPr>
      <w:r w:rsidRPr="00771368">
        <w:rPr>
          <w:sz w:val="24"/>
          <w:szCs w:val="24"/>
        </w:rPr>
        <w:t xml:space="preserve">GRAHAM, Sandra Lauderdale. </w:t>
      </w:r>
      <w:r w:rsidRPr="00771368">
        <w:rPr>
          <w:b/>
          <w:bCs/>
          <w:sz w:val="24"/>
          <w:szCs w:val="24"/>
        </w:rPr>
        <w:t>Proteção e Obediência: Criadas e seus Patrões no Rio de Janeiro,</w:t>
      </w:r>
      <w:r w:rsidRPr="00771368">
        <w:rPr>
          <w:sz w:val="24"/>
          <w:szCs w:val="24"/>
        </w:rPr>
        <w:t xml:space="preserve"> </w:t>
      </w:r>
      <w:r w:rsidRPr="00771368">
        <w:rPr>
          <w:b/>
          <w:bCs/>
          <w:sz w:val="24"/>
          <w:szCs w:val="24"/>
        </w:rPr>
        <w:t xml:space="preserve">1860-1910. </w:t>
      </w:r>
      <w:r w:rsidRPr="00771368">
        <w:rPr>
          <w:sz w:val="24"/>
          <w:szCs w:val="24"/>
        </w:rPr>
        <w:t>São Paulo: Cia. das Letras, 1992</w:t>
      </w:r>
    </w:p>
    <w:p w:rsidR="00D24E61" w:rsidRPr="00771368" w:rsidRDefault="00D24E61">
      <w:pPr>
        <w:spacing w:line="336" w:lineRule="exact"/>
        <w:rPr>
          <w:sz w:val="20"/>
          <w:szCs w:val="20"/>
        </w:rPr>
      </w:pPr>
    </w:p>
    <w:p w:rsidR="00D24E61" w:rsidRPr="00771368" w:rsidRDefault="00D24E61">
      <w:pPr>
        <w:spacing w:line="215" w:lineRule="auto"/>
        <w:jc w:val="both"/>
        <w:rPr>
          <w:sz w:val="20"/>
          <w:szCs w:val="20"/>
        </w:rPr>
      </w:pPr>
      <w:r w:rsidRPr="00771368">
        <w:rPr>
          <w:sz w:val="24"/>
          <w:szCs w:val="24"/>
        </w:rPr>
        <w:t xml:space="preserve">NASCIMENTO, Elisa Larkin. </w:t>
      </w:r>
      <w:r w:rsidRPr="00771368">
        <w:rPr>
          <w:b/>
          <w:bCs/>
          <w:sz w:val="24"/>
          <w:szCs w:val="24"/>
        </w:rPr>
        <w:t>O sortilégio da cor: identidade, raça e gênero no Brasil</w:t>
      </w:r>
      <w:r w:rsidRPr="00771368">
        <w:rPr>
          <w:sz w:val="24"/>
          <w:szCs w:val="24"/>
        </w:rPr>
        <w:t>. Selo Negro Edições, 2003.</w:t>
      </w:r>
    </w:p>
    <w:p w:rsidR="00D24E61" w:rsidRPr="00771368" w:rsidRDefault="00D24E61">
      <w:pPr>
        <w:spacing w:line="278" w:lineRule="exact"/>
        <w:rPr>
          <w:sz w:val="20"/>
          <w:szCs w:val="20"/>
        </w:rPr>
      </w:pPr>
    </w:p>
    <w:p w:rsidR="00D24E61" w:rsidRPr="00771368" w:rsidRDefault="00D24E61">
      <w:pPr>
        <w:rPr>
          <w:sz w:val="20"/>
          <w:szCs w:val="20"/>
        </w:rPr>
      </w:pPr>
      <w:r w:rsidRPr="00771368">
        <w:rPr>
          <w:sz w:val="24"/>
          <w:szCs w:val="24"/>
        </w:rPr>
        <w:t xml:space="preserve">PINHEIRO, Luana e MADSEN, Nina. </w:t>
      </w:r>
      <w:r w:rsidRPr="00771368">
        <w:rPr>
          <w:b/>
          <w:bCs/>
          <w:sz w:val="24"/>
          <w:szCs w:val="24"/>
        </w:rPr>
        <w:t>As mulheres Negras no Trabalho Doméstico remunerado. Ano</w:t>
      </w:r>
    </w:p>
    <w:p w:rsidR="00D24E61" w:rsidRPr="00771368" w:rsidRDefault="00D24E61">
      <w:pPr>
        <w:spacing w:line="65" w:lineRule="exact"/>
        <w:rPr>
          <w:sz w:val="20"/>
          <w:szCs w:val="20"/>
        </w:rPr>
      </w:pPr>
    </w:p>
    <w:p w:rsidR="00D24E61" w:rsidRPr="00771368" w:rsidRDefault="00D24E61">
      <w:pPr>
        <w:spacing w:line="230" w:lineRule="auto"/>
        <w:ind w:right="40"/>
        <w:rPr>
          <w:color w:val="0000FF"/>
          <w:sz w:val="23"/>
          <w:szCs w:val="23"/>
          <w:u w:val="single"/>
        </w:rPr>
      </w:pPr>
      <w:r w:rsidRPr="00771368">
        <w:rPr>
          <w:b/>
          <w:bCs/>
          <w:sz w:val="23"/>
          <w:szCs w:val="23"/>
        </w:rPr>
        <w:t xml:space="preserve">8 . Edição 70 - 29/12/2011. Disponível em </w:t>
      </w:r>
      <w:hyperlink r:id="rId461">
        <w:r w:rsidRPr="00771368">
          <w:rPr>
            <w:color w:val="0000FF"/>
            <w:sz w:val="23"/>
            <w:szCs w:val="23"/>
            <w:u w:val="single"/>
          </w:rPr>
          <w:t>http://www.ipea.gov.br/desafios/index.php?option=com_content&amp;view=article&amp;id=2684:catid=28&amp;Itemi</w:t>
        </w:r>
      </w:hyperlink>
      <w:r w:rsidRPr="00771368">
        <w:rPr>
          <w:color w:val="0000FF"/>
          <w:sz w:val="23"/>
          <w:szCs w:val="23"/>
          <w:u w:val="single"/>
        </w:rPr>
        <w:t xml:space="preserve"> </w:t>
      </w:r>
      <w:hyperlink r:id="rId462">
        <w:r w:rsidRPr="00771368">
          <w:rPr>
            <w:color w:val="0000FF"/>
            <w:sz w:val="23"/>
            <w:szCs w:val="23"/>
            <w:u w:val="single"/>
          </w:rPr>
          <w:t>d=23</w:t>
        </w:r>
      </w:hyperlink>
    </w:p>
    <w:p w:rsidR="00D24E61" w:rsidRPr="00771368" w:rsidRDefault="00D24E61">
      <w:pPr>
        <w:spacing w:line="277" w:lineRule="exact"/>
        <w:rPr>
          <w:sz w:val="20"/>
          <w:szCs w:val="20"/>
        </w:rPr>
      </w:pPr>
    </w:p>
    <w:p w:rsidR="00D24E61" w:rsidRPr="00771368" w:rsidRDefault="00D24E61">
      <w:pPr>
        <w:rPr>
          <w:sz w:val="20"/>
          <w:szCs w:val="20"/>
        </w:rPr>
      </w:pPr>
      <w:r w:rsidRPr="00771368">
        <w:rPr>
          <w:sz w:val="24"/>
          <w:szCs w:val="24"/>
        </w:rPr>
        <w:t xml:space="preserve">PIZA, Edith; ROSEMBERG, Fúlvia. Cor nos censos brasileiros. </w:t>
      </w:r>
      <w:r w:rsidRPr="00771368">
        <w:rPr>
          <w:b/>
          <w:bCs/>
          <w:sz w:val="24"/>
          <w:szCs w:val="24"/>
        </w:rPr>
        <w:t>Revista USP</w:t>
      </w:r>
      <w:r w:rsidRPr="00771368">
        <w:rPr>
          <w:sz w:val="24"/>
          <w:szCs w:val="24"/>
        </w:rPr>
        <w:t>, n. 40, 1999.</w:t>
      </w:r>
    </w:p>
    <w:p w:rsidR="00D24E61" w:rsidRPr="00771368" w:rsidRDefault="00D24E61">
      <w:pPr>
        <w:spacing w:line="334" w:lineRule="exact"/>
        <w:rPr>
          <w:sz w:val="20"/>
          <w:szCs w:val="20"/>
        </w:rPr>
      </w:pPr>
    </w:p>
    <w:p w:rsidR="00D24E61" w:rsidRPr="00771368" w:rsidRDefault="00D24E61">
      <w:pPr>
        <w:spacing w:line="223" w:lineRule="auto"/>
        <w:jc w:val="both"/>
        <w:rPr>
          <w:sz w:val="20"/>
          <w:szCs w:val="20"/>
        </w:rPr>
      </w:pPr>
      <w:r w:rsidRPr="00771368">
        <w:rPr>
          <w:sz w:val="24"/>
          <w:szCs w:val="24"/>
        </w:rPr>
        <w:t xml:space="preserve">Wernwck, Jurema. </w:t>
      </w:r>
      <w:r w:rsidRPr="00771368">
        <w:rPr>
          <w:b/>
          <w:bCs/>
          <w:sz w:val="24"/>
          <w:szCs w:val="24"/>
        </w:rPr>
        <w:t>Mulheres negras brasileiras e os resultados de Durban</w:t>
      </w:r>
      <w:r w:rsidRPr="00771368">
        <w:rPr>
          <w:sz w:val="24"/>
          <w:szCs w:val="24"/>
        </w:rPr>
        <w:t>. In: HERINGER, Rosana; PAULA, Marilene. Caminhos Convergentes: Estado e sociedade na superação das desigualdades raciais no Brasil. Rio de Janeiro: Fundação Heinrich Boll, ActionAid, 2009.</w:t>
      </w:r>
    </w:p>
    <w:p w:rsidR="00D24E61" w:rsidRPr="00771368" w:rsidRDefault="00D24E61">
      <w:pPr>
        <w:spacing w:line="335" w:lineRule="exact"/>
        <w:rPr>
          <w:sz w:val="20"/>
          <w:szCs w:val="20"/>
        </w:rPr>
      </w:pPr>
    </w:p>
    <w:p w:rsidR="00D24E61" w:rsidRPr="00771368" w:rsidRDefault="00D24E61">
      <w:pPr>
        <w:spacing w:line="215" w:lineRule="auto"/>
        <w:ind w:right="20"/>
        <w:jc w:val="both"/>
        <w:rPr>
          <w:sz w:val="20"/>
          <w:szCs w:val="20"/>
        </w:rPr>
      </w:pPr>
      <w:r w:rsidRPr="00771368">
        <w:rPr>
          <w:sz w:val="24"/>
          <w:szCs w:val="24"/>
        </w:rPr>
        <w:t xml:space="preserve">SAFFIOTI, HELEIETH I. B. </w:t>
      </w:r>
      <w:r w:rsidRPr="00771368">
        <w:rPr>
          <w:b/>
          <w:bCs/>
          <w:sz w:val="24"/>
          <w:szCs w:val="24"/>
        </w:rPr>
        <w:t>Gênero, patriarcado, violência.</w:t>
      </w:r>
      <w:r w:rsidRPr="00771368">
        <w:rPr>
          <w:sz w:val="24"/>
          <w:szCs w:val="24"/>
        </w:rPr>
        <w:t xml:space="preserve"> 1ºed. São Paulo: Fundação Perseu Abramo, 2004,151p.</w:t>
      </w:r>
    </w:p>
    <w:p w:rsidR="00D24E61" w:rsidRPr="00771368" w:rsidRDefault="00D24E61">
      <w:pPr>
        <w:spacing w:line="336" w:lineRule="exact"/>
        <w:rPr>
          <w:sz w:val="20"/>
          <w:szCs w:val="20"/>
        </w:rPr>
      </w:pPr>
    </w:p>
    <w:p w:rsidR="00D24E61" w:rsidRPr="00771368" w:rsidRDefault="00D24E61">
      <w:pPr>
        <w:spacing w:line="213" w:lineRule="auto"/>
        <w:ind w:right="20"/>
        <w:jc w:val="both"/>
        <w:rPr>
          <w:sz w:val="20"/>
          <w:szCs w:val="20"/>
        </w:rPr>
      </w:pPr>
      <w:r w:rsidRPr="00771368">
        <w:rPr>
          <w:color w:val="222222"/>
          <w:sz w:val="24"/>
          <w:szCs w:val="24"/>
        </w:rPr>
        <w:t xml:space="preserve">SCHWARCZ, Lilian Moritz. </w:t>
      </w:r>
      <w:r w:rsidRPr="00771368">
        <w:rPr>
          <w:b/>
          <w:bCs/>
          <w:color w:val="222222"/>
          <w:sz w:val="24"/>
          <w:szCs w:val="24"/>
        </w:rPr>
        <w:t>O espetáculo das raças: cientistas, instituições e pensamento racial no</w:t>
      </w:r>
      <w:r w:rsidRPr="00771368">
        <w:rPr>
          <w:color w:val="222222"/>
          <w:sz w:val="24"/>
          <w:szCs w:val="24"/>
        </w:rPr>
        <w:t xml:space="preserve"> </w:t>
      </w:r>
      <w:r w:rsidRPr="00771368">
        <w:rPr>
          <w:b/>
          <w:bCs/>
          <w:color w:val="222222"/>
          <w:sz w:val="24"/>
          <w:szCs w:val="24"/>
        </w:rPr>
        <w:t>Brasil, 1870-1930</w:t>
      </w:r>
      <w:r w:rsidRPr="00771368">
        <w:rPr>
          <w:color w:val="222222"/>
          <w:sz w:val="24"/>
          <w:szCs w:val="24"/>
        </w:rPr>
        <w:t>. São Paulo, Companhia das Letras: 1993.</w:t>
      </w:r>
    </w:p>
    <w:p w:rsidR="00D24E61" w:rsidRPr="00771368" w:rsidRDefault="00D24E61">
      <w:pPr>
        <w:spacing w:line="200" w:lineRule="exact"/>
        <w:rPr>
          <w:sz w:val="20"/>
          <w:szCs w:val="20"/>
        </w:rPr>
      </w:pPr>
    </w:p>
    <w:p w:rsidR="00D24E61" w:rsidRPr="00771368" w:rsidRDefault="00D24E61">
      <w:pPr>
        <w:spacing w:line="217" w:lineRule="exact"/>
        <w:rPr>
          <w:sz w:val="20"/>
          <w:szCs w:val="20"/>
        </w:rPr>
      </w:pPr>
    </w:p>
    <w:p w:rsidR="00D24E61" w:rsidRPr="00771368" w:rsidRDefault="00D24E61">
      <w:pPr>
        <w:rPr>
          <w:sz w:val="20"/>
          <w:szCs w:val="20"/>
        </w:rPr>
      </w:pPr>
      <w:r w:rsidRPr="00771368">
        <w:rPr>
          <w:sz w:val="24"/>
          <w:szCs w:val="24"/>
        </w:rPr>
        <w:t xml:space="preserve">SCHIEBINGER, L. </w:t>
      </w:r>
      <w:r w:rsidRPr="00771368">
        <w:rPr>
          <w:b/>
          <w:bCs/>
          <w:sz w:val="24"/>
          <w:szCs w:val="24"/>
        </w:rPr>
        <w:t>O feminismo mudou a ciência.</w:t>
      </w:r>
      <w:r w:rsidRPr="00771368">
        <w:rPr>
          <w:sz w:val="24"/>
          <w:szCs w:val="24"/>
        </w:rPr>
        <w:t xml:space="preserve"> Bauru: Edusc, 2001.</w:t>
      </w:r>
    </w:p>
    <w:p w:rsidR="00D24E61" w:rsidRPr="00771368" w:rsidRDefault="00D24E61">
      <w:pPr>
        <w:spacing w:line="334" w:lineRule="exact"/>
        <w:rPr>
          <w:sz w:val="20"/>
          <w:szCs w:val="20"/>
        </w:rPr>
      </w:pPr>
    </w:p>
    <w:p w:rsidR="00D24E61" w:rsidRPr="00771368" w:rsidRDefault="00D24E61">
      <w:pPr>
        <w:spacing w:line="223" w:lineRule="auto"/>
        <w:ind w:right="400"/>
        <w:rPr>
          <w:color w:val="0000FF"/>
          <w:sz w:val="24"/>
          <w:szCs w:val="24"/>
        </w:rPr>
      </w:pPr>
      <w:r w:rsidRPr="00771368">
        <w:rPr>
          <w:sz w:val="24"/>
          <w:szCs w:val="24"/>
        </w:rPr>
        <w:t xml:space="preserve">SCOTT, J. Gênero: uma categoria útil de análise histórica. </w:t>
      </w:r>
      <w:r w:rsidRPr="00D61223">
        <w:rPr>
          <w:b/>
          <w:bCs/>
          <w:sz w:val="24"/>
          <w:szCs w:val="24"/>
          <w:lang w:val="en-US"/>
        </w:rPr>
        <w:t>NET,</w:t>
      </w:r>
      <w:r w:rsidRPr="00D61223">
        <w:rPr>
          <w:sz w:val="24"/>
          <w:szCs w:val="24"/>
          <w:lang w:val="en-US"/>
        </w:rPr>
        <w:t xml:space="preserve"> New York, Columbia University Press,1989. </w:t>
      </w:r>
      <w:r w:rsidRPr="00771368">
        <w:rPr>
          <w:sz w:val="24"/>
          <w:szCs w:val="24"/>
        </w:rPr>
        <w:t xml:space="preserve">Disponível em: </w:t>
      </w:r>
      <w:hyperlink r:id="rId463">
        <w:r w:rsidRPr="00771368">
          <w:rPr>
            <w:color w:val="0000FF"/>
            <w:sz w:val="24"/>
            <w:szCs w:val="24"/>
            <w:u w:val="single"/>
          </w:rPr>
          <w:t>http://wesleycarvalho.com.br/wp-content/uploads/G%C3%AAnero-Joan-</w:t>
        </w:r>
      </w:hyperlink>
      <w:hyperlink r:id="rId464">
        <w:r w:rsidRPr="00771368">
          <w:rPr>
            <w:color w:val="0000FF"/>
            <w:sz w:val="24"/>
            <w:szCs w:val="24"/>
            <w:u w:val="single"/>
          </w:rPr>
          <w:t>Scott.pdf</w:t>
        </w:r>
        <w:r w:rsidRPr="00771368">
          <w:rPr>
            <w:color w:val="000000"/>
            <w:sz w:val="24"/>
            <w:szCs w:val="24"/>
          </w:rPr>
          <w:t xml:space="preserve">. </w:t>
        </w:r>
      </w:hyperlink>
      <w:r w:rsidRPr="00771368">
        <w:rPr>
          <w:color w:val="0000FF"/>
          <w:sz w:val="24"/>
          <w:szCs w:val="24"/>
        </w:rPr>
        <w:t xml:space="preserve">Acesso </w:t>
      </w:r>
      <w:r w:rsidRPr="00771368">
        <w:rPr>
          <w:color w:val="000000"/>
          <w:sz w:val="24"/>
          <w:szCs w:val="24"/>
        </w:rPr>
        <w:t>em 13 de junho de 2013.</w:t>
      </w:r>
    </w:p>
    <w:p w:rsidR="00D24E61" w:rsidRPr="00771368" w:rsidRDefault="00D24E61">
      <w:pPr>
        <w:spacing w:line="335" w:lineRule="exact"/>
        <w:rPr>
          <w:sz w:val="20"/>
          <w:szCs w:val="20"/>
        </w:rPr>
      </w:pPr>
    </w:p>
    <w:p w:rsidR="00D24E61" w:rsidRPr="00771368" w:rsidRDefault="00D24E61">
      <w:pPr>
        <w:spacing w:line="215" w:lineRule="auto"/>
        <w:ind w:right="660"/>
        <w:rPr>
          <w:sz w:val="20"/>
          <w:szCs w:val="20"/>
        </w:rPr>
      </w:pPr>
      <w:r w:rsidRPr="00771368">
        <w:rPr>
          <w:sz w:val="24"/>
          <w:szCs w:val="24"/>
        </w:rPr>
        <w:t xml:space="preserve">SILVA, Elizabeth Bortolaia. Des-construindo gênero em ciência e tecnologia. </w:t>
      </w:r>
      <w:r w:rsidRPr="00771368">
        <w:rPr>
          <w:b/>
          <w:bCs/>
          <w:sz w:val="24"/>
          <w:szCs w:val="24"/>
        </w:rPr>
        <w:t>Cadernos Pagu</w:t>
      </w:r>
      <w:r w:rsidRPr="00771368">
        <w:rPr>
          <w:sz w:val="24"/>
          <w:szCs w:val="24"/>
        </w:rPr>
        <w:t>, São Paulo, v. 10, p. 07-20, 1998.</w:t>
      </w:r>
    </w:p>
    <w:p w:rsidR="00D24E61" w:rsidRPr="00771368" w:rsidRDefault="00D24E61">
      <w:pPr>
        <w:spacing w:line="336" w:lineRule="exact"/>
        <w:rPr>
          <w:sz w:val="20"/>
          <w:szCs w:val="20"/>
        </w:rPr>
      </w:pPr>
    </w:p>
    <w:p w:rsidR="00D24E61" w:rsidRPr="00771368" w:rsidRDefault="00D24E61">
      <w:pPr>
        <w:spacing w:line="213" w:lineRule="auto"/>
        <w:rPr>
          <w:sz w:val="20"/>
          <w:szCs w:val="20"/>
        </w:rPr>
      </w:pPr>
      <w:r w:rsidRPr="00771368">
        <w:rPr>
          <w:color w:val="222222"/>
          <w:sz w:val="24"/>
          <w:szCs w:val="24"/>
        </w:rPr>
        <w:t xml:space="preserve">SKIDMORE, Thomas E. Fato e mito: descobrindo um problema racial no Brasil. </w:t>
      </w:r>
      <w:r w:rsidRPr="00771368">
        <w:rPr>
          <w:b/>
          <w:bCs/>
          <w:color w:val="222222"/>
          <w:sz w:val="24"/>
          <w:szCs w:val="24"/>
        </w:rPr>
        <w:t>Cadernos de Pesquisa</w:t>
      </w:r>
      <w:r w:rsidRPr="00771368">
        <w:rPr>
          <w:color w:val="222222"/>
          <w:sz w:val="24"/>
          <w:szCs w:val="24"/>
        </w:rPr>
        <w:t>, v. 79, p. 5-16, 1991.</w:t>
      </w:r>
    </w:p>
    <w:p w:rsidR="00D24E61" w:rsidRPr="00771368" w:rsidRDefault="00D24E61">
      <w:pPr>
        <w:spacing w:line="213" w:lineRule="auto"/>
        <w:ind w:right="540"/>
        <w:rPr>
          <w:sz w:val="20"/>
          <w:szCs w:val="20"/>
        </w:rPr>
      </w:pPr>
      <w:r w:rsidRPr="00771368">
        <w:rPr>
          <w:sz w:val="24"/>
          <w:szCs w:val="24"/>
        </w:rPr>
        <w:t xml:space="preserve">STEPAN, Nancy Leys. </w:t>
      </w:r>
      <w:r w:rsidRPr="00771368">
        <w:rPr>
          <w:b/>
          <w:bCs/>
          <w:sz w:val="24"/>
          <w:szCs w:val="24"/>
        </w:rPr>
        <w:t>A Hora da Eugenia</w:t>
      </w:r>
      <w:r w:rsidRPr="00771368">
        <w:rPr>
          <w:sz w:val="24"/>
          <w:szCs w:val="24"/>
        </w:rPr>
        <w:t>: raça, gênero e nação na América Latina Rio de Janeiro: Editora. Fiocruz, 2005.</w:t>
      </w:r>
    </w:p>
    <w:p w:rsidR="00D24E61" w:rsidRPr="00771368" w:rsidRDefault="00D24E61">
      <w:pPr>
        <w:sectPr w:rsidR="00D24E61" w:rsidRPr="00771368">
          <w:pgSz w:w="11900" w:h="16838"/>
          <w:pgMar w:top="700" w:right="840" w:bottom="1440" w:left="860" w:header="0" w:footer="0" w:gutter="0"/>
          <w:cols w:space="720" w:equalWidth="0">
            <w:col w:w="10200"/>
          </w:cols>
        </w:sectPr>
      </w:pPr>
    </w:p>
    <w:p w:rsidR="00D24E61" w:rsidRPr="00771368" w:rsidRDefault="00D24E61">
      <w:pPr>
        <w:ind w:left="3320"/>
        <w:rPr>
          <w:sz w:val="20"/>
          <w:szCs w:val="20"/>
        </w:rPr>
      </w:pPr>
      <w:r w:rsidRPr="00771368">
        <w:rPr>
          <w:b/>
          <w:bCs/>
          <w:sz w:val="24"/>
          <w:szCs w:val="24"/>
        </w:rPr>
        <w:t>MULHERES NEGRAS</w:t>
      </w:r>
    </w:p>
    <w:p w:rsidR="00D24E61" w:rsidRPr="00771368" w:rsidRDefault="00D24E61">
      <w:pPr>
        <w:spacing w:line="132" w:lineRule="exact"/>
        <w:rPr>
          <w:sz w:val="24"/>
          <w:szCs w:val="24"/>
        </w:rPr>
      </w:pPr>
    </w:p>
    <w:p w:rsidR="00D24E61" w:rsidRPr="00771368" w:rsidRDefault="00D24E61">
      <w:pPr>
        <w:ind w:left="2020"/>
        <w:rPr>
          <w:sz w:val="20"/>
          <w:szCs w:val="20"/>
        </w:rPr>
      </w:pPr>
      <w:r w:rsidRPr="00771368">
        <w:rPr>
          <w:sz w:val="24"/>
          <w:szCs w:val="24"/>
        </w:rPr>
        <w:t>Protagonismo invisível na sociedade contemporânea</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72" w:lineRule="exact"/>
        <w:rPr>
          <w:sz w:val="24"/>
          <w:szCs w:val="24"/>
        </w:rPr>
      </w:pPr>
    </w:p>
    <w:p w:rsidR="00D24E61" w:rsidRPr="00771368" w:rsidRDefault="00D24E61" w:rsidP="00532078">
      <w:pPr>
        <w:pStyle w:val="Ttulo1"/>
        <w:rPr>
          <w:sz w:val="20"/>
          <w:szCs w:val="20"/>
        </w:rPr>
      </w:pPr>
      <w:bookmarkStart w:id="93" w:name="_Toc442034765"/>
      <w:r w:rsidRPr="00771368">
        <w:t>Íris Monteiro da Silva</w:t>
      </w:r>
      <w:bookmarkEnd w:id="93"/>
    </w:p>
    <w:p w:rsidR="00D24E61" w:rsidRPr="00771368" w:rsidRDefault="00D24E61">
      <w:pPr>
        <w:spacing w:line="132" w:lineRule="exact"/>
        <w:rPr>
          <w:sz w:val="24"/>
          <w:szCs w:val="24"/>
        </w:rPr>
      </w:pPr>
    </w:p>
    <w:p w:rsidR="00D24E61" w:rsidRPr="00771368" w:rsidRDefault="00D24E61">
      <w:pPr>
        <w:rPr>
          <w:sz w:val="20"/>
          <w:szCs w:val="20"/>
        </w:rPr>
      </w:pPr>
      <w:r w:rsidRPr="00771368">
        <w:rPr>
          <w:sz w:val="24"/>
          <w:szCs w:val="24"/>
        </w:rPr>
        <w:t>Graduada em Licenciatura em Ciências Sociais, pela Universidade do Vale do Rio dos Sinos</w:t>
      </w:r>
    </w:p>
    <w:p w:rsidR="00D24E61" w:rsidRPr="00771368" w:rsidRDefault="00D24E61">
      <w:pPr>
        <w:spacing w:line="200" w:lineRule="exact"/>
        <w:rPr>
          <w:sz w:val="24"/>
          <w:szCs w:val="24"/>
        </w:rPr>
      </w:pPr>
    </w:p>
    <w:p w:rsidR="00D24E61" w:rsidRPr="00771368" w:rsidRDefault="00D24E61">
      <w:pPr>
        <w:spacing w:line="357" w:lineRule="exact"/>
        <w:rPr>
          <w:sz w:val="24"/>
          <w:szCs w:val="24"/>
        </w:rPr>
      </w:pPr>
    </w:p>
    <w:p w:rsidR="00D24E61" w:rsidRPr="00771368" w:rsidRDefault="00D24E61">
      <w:pPr>
        <w:rPr>
          <w:sz w:val="20"/>
          <w:szCs w:val="20"/>
        </w:rPr>
      </w:pPr>
      <w:r w:rsidRPr="00771368">
        <w:rPr>
          <w:b/>
          <w:bCs/>
          <w:sz w:val="24"/>
          <w:szCs w:val="24"/>
        </w:rPr>
        <w:t>RESUMO</w:t>
      </w:r>
    </w:p>
    <w:p w:rsidR="00D24E61" w:rsidRPr="00771368" w:rsidRDefault="00D24E61">
      <w:pPr>
        <w:spacing w:line="193" w:lineRule="exact"/>
        <w:rPr>
          <w:sz w:val="24"/>
          <w:szCs w:val="24"/>
        </w:rPr>
      </w:pPr>
    </w:p>
    <w:p w:rsidR="00D24E61" w:rsidRPr="00771368" w:rsidRDefault="00D24E61">
      <w:pPr>
        <w:spacing w:line="352" w:lineRule="auto"/>
        <w:ind w:right="20"/>
        <w:jc w:val="both"/>
        <w:rPr>
          <w:sz w:val="20"/>
          <w:szCs w:val="20"/>
        </w:rPr>
      </w:pPr>
      <w:r w:rsidRPr="00771368">
        <w:rPr>
          <w:sz w:val="24"/>
          <w:szCs w:val="24"/>
        </w:rPr>
        <w:t>Atualmente, a mulher negra tem presença marcante nas lutas por melhores condições de vida e reconhecimento de sua atuação nos segmentos familiar, social e profissional. Isso tem ocorrido por meio de diversas formas de organização, desde o período escravista, passando pelo pós-abolicionista e chegando aos dias atuais. Diante disso, o presente artigo, originado da monografia apresentada como requisito de conclusão de curso,em julho de 2013, sob o mesmo título, visa investigar histórias de vida de quatro mulheres negras, moradoras da cidade de Porto Alegre, a fim de compreender a ambivalência em torno destes (as) sujeitos, contrapondo o protagonismo e a invisibilidade vivida na sociedade contemporânea.</w:t>
      </w:r>
    </w:p>
    <w:p w:rsidR="00D24E61" w:rsidRPr="00771368" w:rsidRDefault="00D24E61">
      <w:pPr>
        <w:spacing w:line="200" w:lineRule="exact"/>
        <w:rPr>
          <w:sz w:val="24"/>
          <w:szCs w:val="24"/>
        </w:rPr>
      </w:pPr>
    </w:p>
    <w:p w:rsidR="00D24E61" w:rsidRPr="00771368" w:rsidRDefault="00D24E61">
      <w:pPr>
        <w:spacing w:line="229" w:lineRule="exact"/>
        <w:rPr>
          <w:sz w:val="24"/>
          <w:szCs w:val="24"/>
        </w:rPr>
      </w:pPr>
    </w:p>
    <w:p w:rsidR="00D24E61" w:rsidRPr="00771368" w:rsidRDefault="00D24E61">
      <w:pPr>
        <w:rPr>
          <w:sz w:val="20"/>
          <w:szCs w:val="20"/>
        </w:rPr>
      </w:pPr>
      <w:r w:rsidRPr="00771368">
        <w:rPr>
          <w:b/>
          <w:bCs/>
          <w:sz w:val="24"/>
          <w:szCs w:val="24"/>
        </w:rPr>
        <w:t xml:space="preserve">Palavras-chave: </w:t>
      </w:r>
      <w:r w:rsidRPr="00771368">
        <w:rPr>
          <w:sz w:val="24"/>
          <w:szCs w:val="24"/>
        </w:rPr>
        <w:t>Mulheres negras. Protagonismo. Invisibilidade.</w:t>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72" w:lineRule="exact"/>
        <w:rPr>
          <w:sz w:val="24"/>
          <w:szCs w:val="24"/>
        </w:rPr>
      </w:pPr>
    </w:p>
    <w:p w:rsidR="00D24E61" w:rsidRPr="00771368" w:rsidRDefault="00D24E61">
      <w:pPr>
        <w:ind w:left="700"/>
        <w:rPr>
          <w:sz w:val="20"/>
          <w:szCs w:val="20"/>
        </w:rPr>
      </w:pPr>
      <w:r w:rsidRPr="00771368">
        <w:rPr>
          <w:b/>
          <w:bCs/>
          <w:sz w:val="24"/>
          <w:szCs w:val="24"/>
        </w:rPr>
        <w:t>INTRODUÇÃO</w:t>
      </w:r>
    </w:p>
    <w:p w:rsidR="00D24E61" w:rsidRPr="00771368" w:rsidRDefault="00D24E61">
      <w:pPr>
        <w:spacing w:line="190" w:lineRule="exact"/>
        <w:rPr>
          <w:sz w:val="24"/>
          <w:szCs w:val="24"/>
        </w:rPr>
      </w:pPr>
    </w:p>
    <w:p w:rsidR="00D24E61" w:rsidRPr="00771368" w:rsidRDefault="00D24E61">
      <w:pPr>
        <w:spacing w:line="334" w:lineRule="auto"/>
        <w:ind w:right="20" w:firstLine="708"/>
        <w:jc w:val="both"/>
        <w:rPr>
          <w:sz w:val="20"/>
          <w:szCs w:val="20"/>
        </w:rPr>
      </w:pPr>
      <w:r w:rsidRPr="00771368">
        <w:rPr>
          <w:sz w:val="24"/>
          <w:szCs w:val="24"/>
        </w:rPr>
        <w:t>Em primeiro lugar, desejo que saibam “de onde venho”. Inspiro-me na obra “</w:t>
      </w:r>
      <w:r w:rsidRPr="00771368">
        <w:rPr>
          <w:i/>
          <w:iCs/>
          <w:sz w:val="24"/>
          <w:szCs w:val="24"/>
        </w:rPr>
        <w:t>Na casa</w:t>
      </w:r>
      <w:r w:rsidRPr="00771368">
        <w:rPr>
          <w:sz w:val="24"/>
          <w:szCs w:val="24"/>
        </w:rPr>
        <w:t xml:space="preserve"> </w:t>
      </w:r>
      <w:r w:rsidRPr="00771368">
        <w:rPr>
          <w:i/>
          <w:iCs/>
          <w:sz w:val="24"/>
          <w:szCs w:val="24"/>
        </w:rPr>
        <w:t>do meu pai</w:t>
      </w:r>
      <w:r w:rsidRPr="00771368">
        <w:rPr>
          <w:sz w:val="24"/>
          <w:szCs w:val="24"/>
        </w:rPr>
        <w:t>” de Kwame Anthony Appiah (1997), para, no início deste artigo</w:t>
      </w:r>
      <w:r w:rsidRPr="00771368">
        <w:rPr>
          <w:color w:val="FF0000"/>
          <w:sz w:val="24"/>
          <w:szCs w:val="24"/>
        </w:rPr>
        <w:t>,</w:t>
      </w:r>
      <w:r w:rsidRPr="00771368">
        <w:rPr>
          <w:i/>
          <w:iCs/>
          <w:sz w:val="24"/>
          <w:szCs w:val="24"/>
        </w:rPr>
        <w:t xml:space="preserve"> </w:t>
      </w:r>
      <w:r w:rsidRPr="00771368">
        <w:rPr>
          <w:sz w:val="24"/>
          <w:szCs w:val="24"/>
        </w:rPr>
        <w:t>trazer alguns</w:t>
      </w:r>
      <w:r w:rsidRPr="00771368">
        <w:rPr>
          <w:i/>
          <w:iCs/>
          <w:sz w:val="24"/>
          <w:szCs w:val="24"/>
        </w:rPr>
        <w:t xml:space="preserve"> </w:t>
      </w:r>
      <w:r w:rsidRPr="00771368">
        <w:rPr>
          <w:sz w:val="24"/>
          <w:szCs w:val="24"/>
        </w:rPr>
        <w:t>retalhos da minha história de vida.</w:t>
      </w:r>
    </w:p>
    <w:p w:rsidR="00D24E61" w:rsidRPr="00771368" w:rsidRDefault="00D24E61">
      <w:pPr>
        <w:spacing w:line="89" w:lineRule="exact"/>
        <w:rPr>
          <w:sz w:val="24"/>
          <w:szCs w:val="24"/>
        </w:rPr>
      </w:pPr>
    </w:p>
    <w:p w:rsidR="00D24E61" w:rsidRPr="00771368" w:rsidRDefault="00D24E61">
      <w:pPr>
        <w:spacing w:line="352" w:lineRule="auto"/>
        <w:ind w:firstLine="708"/>
        <w:jc w:val="both"/>
        <w:rPr>
          <w:sz w:val="20"/>
          <w:szCs w:val="20"/>
        </w:rPr>
      </w:pPr>
      <w:r w:rsidRPr="00771368">
        <w:rPr>
          <w:sz w:val="24"/>
          <w:szCs w:val="24"/>
        </w:rPr>
        <w:t>Meu pai é natural da cidade de Cachoeira do Sul, terra do arroz e de dominação da cultura alemã. Ao todo, eram nove irmãos. Como uma prática conhecida entre as famílias negras da época, os pais, devido às dificuldades de garantir o sustento, entregavam os filhos para adoção. No caso do meu pai, isso não foi diferente. Aos oito anos passou a “integrar” a família Schmidt, onde permaneceu até os dezoito anos. A sua situação</w:t>
      </w:r>
      <w:r w:rsidRPr="00771368">
        <w:rPr>
          <w:strike/>
          <w:sz w:val="24"/>
          <w:szCs w:val="24"/>
        </w:rPr>
        <w:t>,</w:t>
      </w:r>
      <w:r w:rsidRPr="00771368">
        <w:rPr>
          <w:sz w:val="24"/>
          <w:szCs w:val="24"/>
        </w:rPr>
        <w:t xml:space="preserve"> foi mais difícil que a de seus “irmãos”: recebia castigos físicos e foi cerceado de escolarização. Veio a Porto Alegre devido a uma oportunidade de trabalhar na cervejaria Brahma. Recentemente, aposentou-se por tempo de trabalho e retornou ao ambiente escolar, concluindo o ensino fundamental.</w:t>
      </w:r>
    </w:p>
    <w:p w:rsidR="00D24E61" w:rsidRPr="00771368" w:rsidRDefault="00D24E61">
      <w:pPr>
        <w:spacing w:line="74" w:lineRule="exact"/>
        <w:rPr>
          <w:sz w:val="24"/>
          <w:szCs w:val="24"/>
        </w:rPr>
      </w:pPr>
    </w:p>
    <w:p w:rsidR="00D24E61" w:rsidRPr="00771368" w:rsidRDefault="00D24E61">
      <w:pPr>
        <w:spacing w:line="310" w:lineRule="auto"/>
        <w:ind w:firstLine="708"/>
        <w:jc w:val="both"/>
        <w:rPr>
          <w:sz w:val="20"/>
          <w:szCs w:val="20"/>
        </w:rPr>
      </w:pPr>
      <w:r w:rsidRPr="00771368">
        <w:rPr>
          <w:sz w:val="24"/>
          <w:szCs w:val="24"/>
        </w:rPr>
        <w:t>Minha origem, por parte materna, não é muito diferente – começa, também, no interior do Estado, na cidade de Faxinal de Soturno, região dominada por imigrantes italianos. Minha</w:t>
      </w:r>
    </w:p>
    <w:p w:rsidR="00D24E61" w:rsidRPr="00771368" w:rsidRDefault="00D24E61">
      <w:pPr>
        <w:sectPr w:rsidR="00D24E61" w:rsidRPr="00771368" w:rsidSect="00D24E61">
          <w:pgSz w:w="11900" w:h="16840"/>
          <w:pgMar w:top="690" w:right="1420" w:bottom="1440" w:left="1420" w:header="0" w:footer="0" w:gutter="0"/>
          <w:cols w:space="720" w:equalWidth="0">
            <w:col w:w="9060"/>
          </w:cols>
        </w:sectPr>
      </w:pPr>
    </w:p>
    <w:p w:rsidR="00D24E61" w:rsidRPr="00771368" w:rsidRDefault="00D24E61">
      <w:pPr>
        <w:spacing w:line="29" w:lineRule="exact"/>
        <w:rPr>
          <w:sz w:val="20"/>
          <w:szCs w:val="20"/>
        </w:rPr>
      </w:pPr>
    </w:p>
    <w:p w:rsidR="00D24E61" w:rsidRPr="00771368" w:rsidRDefault="00D24E61">
      <w:pPr>
        <w:spacing w:line="352" w:lineRule="auto"/>
        <w:ind w:left="1" w:right="20"/>
        <w:jc w:val="both"/>
        <w:rPr>
          <w:sz w:val="20"/>
          <w:szCs w:val="20"/>
        </w:rPr>
      </w:pPr>
      <w:r w:rsidRPr="00771368">
        <w:rPr>
          <w:sz w:val="24"/>
          <w:szCs w:val="24"/>
        </w:rPr>
        <w:t>mãe é a terceira de doze filhos. Desde criança sua tarefa era trabalhar nas plantações de feijão, fumo e milho, o que gerava recursos financeiros para a família, administrados pelo patriarca, sendo apenas para pagar os dividendos gerados no decorrer do ano na mercearia do bairro. Aos doze anos, veio para a capital gaúcha a fim de trabalhar como doméstica e babá de três crianças, menores de cinco anos de idade. Saiu do emprego sete anos depois para assumir a vida de casada e sua própria casa, situada em uma região que concentrava grandes índices de violência e criminalidade, o até então desconhecido Morro da Cruz, na zona leste de Porto Alegre.</w:t>
      </w:r>
    </w:p>
    <w:p w:rsidR="00D24E61" w:rsidRPr="00771368" w:rsidRDefault="00D24E61">
      <w:pPr>
        <w:spacing w:line="74" w:lineRule="exact"/>
        <w:rPr>
          <w:sz w:val="20"/>
          <w:szCs w:val="20"/>
        </w:rPr>
      </w:pPr>
    </w:p>
    <w:p w:rsidR="00D24E61" w:rsidRPr="00771368" w:rsidRDefault="00D24E61">
      <w:pPr>
        <w:spacing w:line="342" w:lineRule="auto"/>
        <w:ind w:left="1" w:firstLine="708"/>
        <w:jc w:val="both"/>
        <w:rPr>
          <w:sz w:val="20"/>
          <w:szCs w:val="20"/>
        </w:rPr>
      </w:pPr>
      <w:r w:rsidRPr="00771368">
        <w:rPr>
          <w:sz w:val="24"/>
          <w:szCs w:val="24"/>
        </w:rPr>
        <w:t>Devido às suas vivências, meus pais não tiveram acesso a informações nem, tampouco, condições de construírem um senso crítico sobre qual o método mais adequado ou o melhor projeto de educação para os filhos – compreendiam, somente, que a escolarização daria conta da nossa formação, que assim nos tornaríamos “alguém na vida”.</w:t>
      </w:r>
    </w:p>
    <w:p w:rsidR="00D24E61" w:rsidRPr="00771368" w:rsidRDefault="00D24E61">
      <w:pPr>
        <w:spacing w:line="83" w:lineRule="exact"/>
        <w:rPr>
          <w:sz w:val="20"/>
          <w:szCs w:val="20"/>
        </w:rPr>
      </w:pPr>
    </w:p>
    <w:p w:rsidR="00D24E61" w:rsidRPr="00771368" w:rsidRDefault="00D24E61">
      <w:pPr>
        <w:spacing w:line="327" w:lineRule="auto"/>
        <w:ind w:left="1" w:right="20" w:firstLine="708"/>
        <w:jc w:val="both"/>
        <w:rPr>
          <w:sz w:val="20"/>
          <w:szCs w:val="20"/>
        </w:rPr>
      </w:pPr>
      <w:r w:rsidRPr="00771368">
        <w:rPr>
          <w:sz w:val="24"/>
          <w:szCs w:val="24"/>
        </w:rPr>
        <w:t>O ambiente escolar em que convivi era perverso. Sofri inúmeras vezes e por diferentes formas o racismo, o preconceito e a discriminação; não apenas pelos colegas, como, também, por alguns professores, que sem a mínima compreensão do que é ser negro e a complexidade que há em torno das questões étnico-raciais</w:t>
      </w:r>
      <w:r w:rsidRPr="00771368">
        <w:rPr>
          <w:sz w:val="32"/>
          <w:szCs w:val="32"/>
          <w:vertAlign w:val="superscript"/>
        </w:rPr>
        <w:t>1</w:t>
      </w:r>
      <w:r w:rsidRPr="00771368">
        <w:rPr>
          <w:sz w:val="24"/>
          <w:szCs w:val="24"/>
        </w:rPr>
        <w:t>, levavam materiais desatualizados ou tendenciosos, a fim de fomentar a discriminação racial e a desvalorização da cultura negra.</w:t>
      </w:r>
    </w:p>
    <w:p w:rsidR="00D24E61" w:rsidRPr="00771368" w:rsidRDefault="00D24E61">
      <w:pPr>
        <w:spacing w:line="64" w:lineRule="exact"/>
        <w:rPr>
          <w:sz w:val="20"/>
          <w:szCs w:val="20"/>
        </w:rPr>
      </w:pPr>
    </w:p>
    <w:p w:rsidR="00D24E61" w:rsidRPr="00771368" w:rsidRDefault="00D24E61">
      <w:pPr>
        <w:spacing w:line="343" w:lineRule="auto"/>
        <w:ind w:left="1" w:right="20" w:firstLine="708"/>
        <w:jc w:val="both"/>
        <w:rPr>
          <w:sz w:val="20"/>
          <w:szCs w:val="20"/>
        </w:rPr>
      </w:pPr>
      <w:r w:rsidRPr="00771368">
        <w:rPr>
          <w:sz w:val="24"/>
          <w:szCs w:val="24"/>
        </w:rPr>
        <w:t>Isso me causou imenso sofrimento, mas nada que fizesse com queeu não me reconhecesse como negra. Ferreira (2002) comenta que é a partir destas práticas e movimentos discriminatórios que a população negra – em especial, as crianças – não assume a sua negritude.</w:t>
      </w:r>
    </w:p>
    <w:p w:rsidR="00D24E61" w:rsidRPr="00771368" w:rsidRDefault="00D24E61">
      <w:pPr>
        <w:spacing w:line="69" w:lineRule="exact"/>
        <w:rPr>
          <w:sz w:val="20"/>
          <w:szCs w:val="20"/>
        </w:rPr>
      </w:pPr>
    </w:p>
    <w:p w:rsidR="00D24E61" w:rsidRPr="00771368" w:rsidRDefault="00D24E61">
      <w:pPr>
        <w:spacing w:line="347" w:lineRule="auto"/>
        <w:ind w:left="2841" w:right="20"/>
        <w:jc w:val="both"/>
        <w:rPr>
          <w:sz w:val="20"/>
          <w:szCs w:val="20"/>
        </w:rPr>
      </w:pPr>
      <w:r w:rsidRPr="00771368">
        <w:rPr>
          <w:sz w:val="20"/>
          <w:szCs w:val="20"/>
        </w:rPr>
        <w:t>Em função do processo de desvalorização da pessoa negra, os afrodescendentes tendem a introjetar a visão dominante de mundo branco, visto como superior. Em decorrência, tendem a desvalorizar o mundo negro ou assumirem como insignificante para suas vidas o fato de serem afrodescendentes.</w:t>
      </w:r>
    </w:p>
    <w:p w:rsidR="00D24E61" w:rsidRPr="00771368" w:rsidRDefault="00D24E61">
      <w:pPr>
        <w:spacing w:line="200" w:lineRule="exact"/>
        <w:rPr>
          <w:sz w:val="20"/>
          <w:szCs w:val="20"/>
        </w:rPr>
      </w:pPr>
    </w:p>
    <w:p w:rsidR="00D24E61" w:rsidRPr="00771368" w:rsidRDefault="00D24E61">
      <w:pPr>
        <w:spacing w:line="217" w:lineRule="exact"/>
        <w:rPr>
          <w:sz w:val="20"/>
          <w:szCs w:val="20"/>
        </w:rPr>
      </w:pPr>
    </w:p>
    <w:p w:rsidR="00D24E61" w:rsidRPr="00771368" w:rsidRDefault="00D24E61">
      <w:pPr>
        <w:spacing w:line="334" w:lineRule="auto"/>
        <w:ind w:left="1" w:right="20" w:firstLine="708"/>
        <w:jc w:val="both"/>
        <w:rPr>
          <w:sz w:val="20"/>
          <w:szCs w:val="20"/>
        </w:rPr>
      </w:pPr>
      <w:r w:rsidRPr="00771368">
        <w:rPr>
          <w:sz w:val="24"/>
          <w:szCs w:val="24"/>
        </w:rPr>
        <w:t>Como, até o momento, meus pais não haviam enfrentado esta discriminação racial não se preocuparam em nos ensinar como se posiconam e resistir às diversas formas de preconceito racial.</w:t>
      </w:r>
    </w:p>
    <w:p w:rsidR="00D24E61" w:rsidRPr="00771368" w:rsidRDefault="00D24E61">
      <w:pPr>
        <w:spacing w:line="91" w:lineRule="exact"/>
        <w:rPr>
          <w:sz w:val="20"/>
          <w:szCs w:val="20"/>
        </w:rPr>
      </w:pPr>
    </w:p>
    <w:p w:rsidR="00D24E61" w:rsidRPr="00771368" w:rsidRDefault="00D24E61">
      <w:pPr>
        <w:spacing w:line="308" w:lineRule="auto"/>
        <w:ind w:left="1" w:right="20" w:firstLine="708"/>
        <w:jc w:val="both"/>
        <w:rPr>
          <w:sz w:val="20"/>
          <w:szCs w:val="20"/>
        </w:rPr>
      </w:pPr>
      <w:r w:rsidRPr="00771368">
        <w:rPr>
          <w:sz w:val="24"/>
          <w:szCs w:val="24"/>
        </w:rPr>
        <w:t>Na contramão disso, o Morro da Cruz passava por uma grande transformação social, com os moradores buscando a implementação de aparelhos públicos básicos. Muitos,</w:t>
      </w:r>
    </w:p>
    <w:p w:rsidR="00D24E61" w:rsidRPr="00771368" w:rsidRDefault="00D24E61">
      <w:pPr>
        <w:spacing w:line="200" w:lineRule="exact"/>
        <w:rPr>
          <w:sz w:val="20"/>
          <w:szCs w:val="20"/>
        </w:rPr>
      </w:pPr>
    </w:p>
    <w:p w:rsidR="00D24E61" w:rsidRPr="00771368" w:rsidRDefault="00013211">
      <w:pPr>
        <w:spacing w:line="378" w:lineRule="exact"/>
        <w:rPr>
          <w:sz w:val="20"/>
          <w:szCs w:val="20"/>
        </w:rPr>
      </w:pPr>
      <w:r>
        <w:rPr>
          <w:noProof/>
          <w:sz w:val="20"/>
          <w:szCs w:val="20"/>
        </w:rPr>
        <mc:AlternateContent>
          <mc:Choice Requires="wps">
            <w:drawing>
              <wp:anchor distT="0" distB="0" distL="0" distR="0" simplePos="0" relativeHeight="251801088" behindDoc="0" locked="0" layoutInCell="0" allowOverlap="1">
                <wp:simplePos x="0" y="0"/>
                <wp:positionH relativeFrom="column">
                  <wp:posOffset>8890</wp:posOffset>
                </wp:positionH>
                <wp:positionV relativeFrom="paragraph">
                  <wp:posOffset>117475</wp:posOffset>
                </wp:positionV>
                <wp:extent cx="1829435" cy="0"/>
                <wp:effectExtent l="8890" t="12700" r="9525" b="6350"/>
                <wp:wrapNone/>
                <wp:docPr id="129"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80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pt,9.25pt" to="144.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" o:allowincell="f" strokeweight=".21164mm"/>
            </w:pict>
          </mc:Fallback>
        </mc:AlternateContent>
      </w:r>
    </w:p>
    <w:p w:rsidR="00D24E61" w:rsidRPr="00771368" w:rsidRDefault="00532078" w:rsidP="00532078">
      <w:pPr>
        <w:tabs>
          <w:tab w:val="left" w:pos="136"/>
        </w:tabs>
        <w:spacing w:line="188" w:lineRule="auto"/>
        <w:ind w:right="20"/>
        <w:jc w:val="both"/>
        <w:rPr>
          <w:sz w:val="32"/>
          <w:szCs w:val="32"/>
          <w:vertAlign w:val="superscript"/>
        </w:rPr>
      </w:pPr>
      <w:r>
        <w:rPr>
          <w:sz w:val="20"/>
          <w:szCs w:val="20"/>
        </w:rPr>
        <w:t xml:space="preserve">1 </w:t>
      </w:r>
      <w:r w:rsidR="00D24E61" w:rsidRPr="00771368">
        <w:rPr>
          <w:sz w:val="20"/>
          <w:szCs w:val="20"/>
        </w:rPr>
        <w:t xml:space="preserve">O termo </w:t>
      </w:r>
      <w:r w:rsidR="00D24E61" w:rsidRPr="00771368">
        <w:rPr>
          <w:i/>
          <w:iCs/>
          <w:sz w:val="20"/>
          <w:szCs w:val="20"/>
        </w:rPr>
        <w:t>raça,</w:t>
      </w:r>
      <w:r w:rsidR="00D24E61" w:rsidRPr="00771368">
        <w:rPr>
          <w:sz w:val="20"/>
          <w:szCs w:val="20"/>
        </w:rPr>
        <w:t xml:space="preserve"> não o fazem alicerçados na idéia de raças superiores e inferiores, como originalmente, era usada no século XIX. Pelo contrário, usam-no com uma nova interpretação, que se baseia na dimensão social e política do referido termo.</w:t>
      </w:r>
    </w:p>
    <w:p w:rsidR="00D24E61" w:rsidRPr="00771368" w:rsidRDefault="00D24E61">
      <w:pPr>
        <w:sectPr w:rsidR="00D24E61" w:rsidRPr="00771368">
          <w:pgSz w:w="11900" w:h="16838"/>
          <w:pgMar w:top="1440" w:right="1400" w:bottom="1151" w:left="1419" w:header="0" w:footer="0" w:gutter="0"/>
          <w:cols w:space="720" w:equalWidth="0">
            <w:col w:w="9081"/>
          </w:cols>
        </w:sectPr>
      </w:pPr>
    </w:p>
    <w:p w:rsidR="00D24E61" w:rsidRPr="00771368" w:rsidRDefault="00D24E61">
      <w:pPr>
        <w:spacing w:line="29" w:lineRule="exact"/>
        <w:rPr>
          <w:sz w:val="20"/>
          <w:szCs w:val="20"/>
        </w:rPr>
      </w:pPr>
    </w:p>
    <w:p w:rsidR="00D24E61" w:rsidRPr="00771368" w:rsidRDefault="00D24E61">
      <w:pPr>
        <w:spacing w:line="308" w:lineRule="auto"/>
        <w:ind w:left="1" w:right="20"/>
        <w:jc w:val="both"/>
        <w:rPr>
          <w:sz w:val="20"/>
          <w:szCs w:val="20"/>
        </w:rPr>
      </w:pPr>
      <w:r w:rsidRPr="00771368">
        <w:rPr>
          <w:sz w:val="24"/>
          <w:szCs w:val="24"/>
        </w:rPr>
        <w:t>inclusive, iniciaram a participação popular filiando-se em partidos políticos de esquerda, fazendo com que as necessidades da região ganhassem força nas agendas políticas.</w:t>
      </w:r>
    </w:p>
    <w:p w:rsidR="00D24E61" w:rsidRPr="00771368" w:rsidRDefault="00D24E61">
      <w:pPr>
        <w:spacing w:line="120" w:lineRule="exact"/>
        <w:rPr>
          <w:sz w:val="20"/>
          <w:szCs w:val="20"/>
        </w:rPr>
      </w:pPr>
    </w:p>
    <w:p w:rsidR="00D24E61" w:rsidRPr="00771368" w:rsidRDefault="00D24E61">
      <w:pPr>
        <w:spacing w:line="327" w:lineRule="auto"/>
        <w:ind w:left="1" w:right="20" w:firstLine="708"/>
        <w:jc w:val="both"/>
        <w:rPr>
          <w:sz w:val="20"/>
          <w:szCs w:val="20"/>
        </w:rPr>
      </w:pPr>
      <w:r w:rsidRPr="00771368">
        <w:rPr>
          <w:sz w:val="24"/>
          <w:szCs w:val="24"/>
        </w:rPr>
        <w:t>A participação dos meus pais na busca de um Morro da Cruz melhor logo impulsionou um processo de construção da minha identidade negra, tanto que comecei a participar do movimento social negro</w:t>
      </w:r>
      <w:r w:rsidRPr="00771368">
        <w:rPr>
          <w:sz w:val="32"/>
          <w:szCs w:val="32"/>
          <w:vertAlign w:val="superscript"/>
        </w:rPr>
        <w:t>2</w:t>
      </w:r>
      <w:r w:rsidRPr="00771368">
        <w:rPr>
          <w:sz w:val="24"/>
          <w:szCs w:val="24"/>
        </w:rPr>
        <w:t xml:space="preserve"> e a trabalhar em instituições sociais, como associação de moradores, organizações não governamentais, entre outras formas de mobilizar as comunidades para rediscutir a participação popular na construção de políticas públicas que tomem os sujeitos na sua totalidade.</w:t>
      </w:r>
    </w:p>
    <w:p w:rsidR="00D24E61" w:rsidRPr="00771368" w:rsidRDefault="00013211">
      <w:pPr>
        <w:spacing w:line="103" w:lineRule="exact"/>
        <w:rPr>
          <w:sz w:val="20"/>
          <w:szCs w:val="20"/>
        </w:rPr>
      </w:pPr>
      <w:r>
        <w:rPr>
          <w:noProof/>
          <w:sz w:val="20"/>
          <w:szCs w:val="20"/>
        </w:rPr>
        <mc:AlternateContent>
          <mc:Choice Requires="wps">
            <w:drawing>
              <wp:anchor distT="0" distB="0" distL="0" distR="0" simplePos="0" relativeHeight="251802112" behindDoc="0" locked="0" layoutInCell="0" allowOverlap="1">
                <wp:simplePos x="0" y="0"/>
                <wp:positionH relativeFrom="column">
                  <wp:posOffset>5424805</wp:posOffset>
                </wp:positionH>
                <wp:positionV relativeFrom="paragraph">
                  <wp:posOffset>-653415</wp:posOffset>
                </wp:positionV>
                <wp:extent cx="266700" cy="0"/>
                <wp:effectExtent l="5080" t="13335" r="13970" b="5715"/>
                <wp:wrapNone/>
                <wp:docPr id="128"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80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7.15pt,-51.45pt" to="448.1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" o:allowincell="f" strokeweight=".21164mm"/>
            </w:pict>
          </mc:Fallback>
        </mc:AlternateContent>
      </w:r>
    </w:p>
    <w:p w:rsidR="00D24E61" w:rsidRPr="00771368" w:rsidRDefault="00D24E61">
      <w:pPr>
        <w:spacing w:line="342" w:lineRule="auto"/>
        <w:ind w:left="1" w:right="20" w:firstLine="708"/>
        <w:jc w:val="both"/>
        <w:rPr>
          <w:sz w:val="20"/>
          <w:szCs w:val="20"/>
        </w:rPr>
      </w:pPr>
      <w:r w:rsidRPr="00771368">
        <w:rPr>
          <w:sz w:val="24"/>
          <w:szCs w:val="24"/>
        </w:rPr>
        <w:t>Mais consciente da minha função e representação social (Negra, Mulher, Jovem, Pobre e moradora de área conflagrada pela violência), iniciei um processo de desconstrução do senso comum referente ao gênero, à situação econômica e às questões étnico-raciais, com foco na valorização da população negra – em especial, as mulheres negras.</w:t>
      </w:r>
    </w:p>
    <w:p w:rsidR="00D24E61" w:rsidRPr="00771368" w:rsidRDefault="00D24E61">
      <w:pPr>
        <w:spacing w:line="83" w:lineRule="exact"/>
        <w:rPr>
          <w:sz w:val="20"/>
          <w:szCs w:val="20"/>
        </w:rPr>
      </w:pPr>
    </w:p>
    <w:p w:rsidR="00D24E61" w:rsidRPr="00771368" w:rsidRDefault="00D24E61">
      <w:pPr>
        <w:spacing w:line="349" w:lineRule="auto"/>
        <w:ind w:left="1" w:right="20" w:firstLine="708"/>
        <w:jc w:val="both"/>
        <w:rPr>
          <w:sz w:val="20"/>
          <w:szCs w:val="20"/>
        </w:rPr>
      </w:pPr>
      <w:r w:rsidRPr="00771368">
        <w:rPr>
          <w:sz w:val="24"/>
          <w:szCs w:val="24"/>
        </w:rPr>
        <w:t>Na prática, os movimentos sociais, negro e feminista, acabam privilegiando as mesmas pessoas: os homens negros e as mulheres brancas, ficando as mulheres negras, foco deste estudo, confinadas nos piores lugares da hierarquia social. Lemos (1997) salienta que entre tantas distinções, o mais perverso é o direito à procriação, em que a mulher branca reivindicar o direito de evitá-los, enquanto a mulher negra busca garantir o direito de tê-los, criá-los e vê-los vivos até a velhice.</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ind w:left="701"/>
        <w:rPr>
          <w:sz w:val="20"/>
          <w:szCs w:val="20"/>
        </w:rPr>
      </w:pPr>
      <w:r w:rsidRPr="00771368">
        <w:rPr>
          <w:b/>
          <w:bCs/>
          <w:sz w:val="24"/>
          <w:szCs w:val="24"/>
        </w:rPr>
        <w:t>OBJETIVO</w:t>
      </w:r>
    </w:p>
    <w:p w:rsidR="00D24E61" w:rsidRPr="00771368" w:rsidRDefault="00D24E61">
      <w:pPr>
        <w:spacing w:line="193" w:lineRule="exact"/>
        <w:rPr>
          <w:sz w:val="20"/>
          <w:szCs w:val="20"/>
        </w:rPr>
      </w:pPr>
    </w:p>
    <w:p w:rsidR="00D24E61" w:rsidRPr="00771368" w:rsidRDefault="00D24E61">
      <w:pPr>
        <w:spacing w:line="346" w:lineRule="auto"/>
        <w:ind w:left="1" w:firstLine="708"/>
        <w:jc w:val="both"/>
        <w:rPr>
          <w:sz w:val="20"/>
          <w:szCs w:val="20"/>
        </w:rPr>
      </w:pPr>
      <w:r w:rsidRPr="00771368">
        <w:rPr>
          <w:sz w:val="24"/>
          <w:szCs w:val="24"/>
        </w:rPr>
        <w:t xml:space="preserve">A partir dos autores Alain Touraine (sujeito), Pierre Bourdieu (habitus) e ZygmuntBauman (ambivalência), </w:t>
      </w:r>
      <w:r w:rsidRPr="00771368">
        <w:rPr>
          <w:color w:val="FF0000"/>
          <w:sz w:val="24"/>
          <w:szCs w:val="24"/>
        </w:rPr>
        <w:t>me propus</w:t>
      </w:r>
      <w:r w:rsidRPr="00771368">
        <w:rPr>
          <w:sz w:val="24"/>
          <w:szCs w:val="24"/>
        </w:rPr>
        <w:t xml:space="preserve"> a investigar histórias de vida de quatro mulheres negras moradoras da cidade de Porto Alegre, a fim de compreender a ambivalência em torno destes (as) sujeitos, de maneira a c</w:t>
      </w:r>
      <w:r w:rsidRPr="00771368">
        <w:rPr>
          <w:color w:val="292526"/>
          <w:sz w:val="24"/>
          <w:szCs w:val="24"/>
        </w:rPr>
        <w:t>ontrapor o protagonismo e</w:t>
      </w:r>
      <w:r w:rsidRPr="00771368">
        <w:rPr>
          <w:sz w:val="24"/>
          <w:szCs w:val="24"/>
        </w:rPr>
        <w:t xml:space="preserve"> </w:t>
      </w:r>
      <w:r w:rsidRPr="00771368">
        <w:rPr>
          <w:color w:val="FF0000"/>
          <w:sz w:val="24"/>
          <w:szCs w:val="24"/>
        </w:rPr>
        <w:t>a</w:t>
      </w:r>
      <w:r w:rsidRPr="00771368">
        <w:rPr>
          <w:sz w:val="24"/>
          <w:szCs w:val="24"/>
        </w:rPr>
        <w:t xml:space="preserve"> </w:t>
      </w:r>
      <w:r w:rsidRPr="00771368">
        <w:rPr>
          <w:color w:val="292526"/>
          <w:sz w:val="24"/>
          <w:szCs w:val="24"/>
        </w:rPr>
        <w:t>invisibilidade na</w:t>
      </w:r>
      <w:r w:rsidRPr="00771368">
        <w:rPr>
          <w:sz w:val="24"/>
          <w:szCs w:val="24"/>
        </w:rPr>
        <w:t xml:space="preserve"> sociedade contemporânea.</w:t>
      </w:r>
    </w:p>
    <w:p w:rsidR="00D24E61" w:rsidRPr="00771368" w:rsidRDefault="00D24E61">
      <w:pPr>
        <w:spacing w:line="80" w:lineRule="exact"/>
        <w:rPr>
          <w:sz w:val="20"/>
          <w:szCs w:val="20"/>
        </w:rPr>
      </w:pPr>
    </w:p>
    <w:p w:rsidR="00D24E61" w:rsidRPr="00771368" w:rsidRDefault="00D24E61">
      <w:pPr>
        <w:spacing w:line="349" w:lineRule="auto"/>
        <w:ind w:left="1" w:right="20" w:firstLine="708"/>
        <w:jc w:val="both"/>
        <w:rPr>
          <w:sz w:val="20"/>
          <w:szCs w:val="20"/>
        </w:rPr>
      </w:pPr>
      <w:r w:rsidRPr="00771368">
        <w:rPr>
          <w:sz w:val="24"/>
          <w:szCs w:val="24"/>
        </w:rPr>
        <w:t>A proposta é opor dicotomicamente essas teorias visivelmente distintas, admitindo que, a partir de uma análise focada nas vivências e nas condições de superação e permanência de desigualdades sociais, percebe-se que, em relação às mulheres negras, não é possível escolher uma das ênfases, as quais seriam combinadas. Enfim, a proposta metodológica deste estudo é trabalhá-las em ambivalência, tendo como questões chavesos seguintes questionamentos:</w:t>
      </w:r>
    </w:p>
    <w:p w:rsidR="00D24E61" w:rsidRPr="00771368" w:rsidRDefault="00013211">
      <w:pPr>
        <w:spacing w:line="316" w:lineRule="exact"/>
        <w:rPr>
          <w:sz w:val="20"/>
          <w:szCs w:val="20"/>
        </w:rPr>
      </w:pPr>
      <w:r>
        <w:rPr>
          <w:noProof/>
          <w:sz w:val="20"/>
          <w:szCs w:val="20"/>
        </w:rPr>
        <mc:AlternateContent>
          <mc:Choice Requires="wps">
            <w:drawing>
              <wp:anchor distT="0" distB="0" distL="0" distR="0" simplePos="0" relativeHeight="251803136" behindDoc="0" locked="0" layoutInCell="0" allowOverlap="1">
                <wp:simplePos x="0" y="0"/>
                <wp:positionH relativeFrom="column">
                  <wp:posOffset>448945</wp:posOffset>
                </wp:positionH>
                <wp:positionV relativeFrom="paragraph">
                  <wp:posOffset>99060</wp:posOffset>
                </wp:positionV>
                <wp:extent cx="1829435" cy="0"/>
                <wp:effectExtent l="10795" t="13335" r="7620" b="5715"/>
                <wp:wrapNone/>
                <wp:docPr id="12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9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80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35pt,7.8pt" to="179.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5B/FQIAACw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" o:allowincell="f" strokeweight=".22014mm"/>
            </w:pict>
          </mc:Fallback>
        </mc:AlternateContent>
      </w:r>
    </w:p>
    <w:p w:rsidR="00D24E61" w:rsidRPr="00771368" w:rsidRDefault="00D24E61" w:rsidP="00FA0ABA">
      <w:pPr>
        <w:numPr>
          <w:ilvl w:val="0"/>
          <w:numId w:val="44"/>
        </w:numPr>
        <w:tabs>
          <w:tab w:val="left" w:pos="129"/>
        </w:tabs>
        <w:spacing w:line="211" w:lineRule="auto"/>
        <w:ind w:left="141" w:right="20" w:hanging="141"/>
        <w:jc w:val="both"/>
        <w:rPr>
          <w:rFonts w:eastAsia="Arial"/>
          <w:sz w:val="26"/>
          <w:szCs w:val="26"/>
          <w:vertAlign w:val="superscript"/>
        </w:rPr>
      </w:pPr>
      <w:r w:rsidRPr="00771368">
        <w:rPr>
          <w:sz w:val="20"/>
          <w:szCs w:val="20"/>
        </w:rPr>
        <w:t>Movimentos sociais são agentes que expressam as formas históricas de opressão, de miséria, de injustiça entre outros, mas, expressam também o devir, através de sua critica, de suas formas contestação, de suas lutas na busca de novas alternativas, para o comando de uma nova historicidade (TOURAINE apud ARAÚJO, 1999, p. 32).</w:t>
      </w:r>
    </w:p>
    <w:p w:rsidR="00D24E61" w:rsidRPr="00771368" w:rsidRDefault="00D24E61">
      <w:pPr>
        <w:sectPr w:rsidR="00D24E61" w:rsidRPr="00771368">
          <w:pgSz w:w="11900" w:h="16838"/>
          <w:pgMar w:top="1440" w:right="1400" w:bottom="1148" w:left="1419" w:header="0" w:footer="0" w:gutter="0"/>
          <w:cols w:space="720" w:equalWidth="0">
            <w:col w:w="9081"/>
          </w:cols>
        </w:sectPr>
      </w:pPr>
    </w:p>
    <w:p w:rsidR="00D24E61" w:rsidRPr="00771368" w:rsidRDefault="00D24E61">
      <w:pPr>
        <w:spacing w:line="29" w:lineRule="exact"/>
        <w:rPr>
          <w:sz w:val="20"/>
          <w:szCs w:val="20"/>
        </w:rPr>
      </w:pPr>
    </w:p>
    <w:p w:rsidR="00D24E61" w:rsidRPr="00771368" w:rsidRDefault="00D24E61" w:rsidP="00FA0ABA">
      <w:pPr>
        <w:numPr>
          <w:ilvl w:val="0"/>
          <w:numId w:val="45"/>
        </w:numPr>
        <w:tabs>
          <w:tab w:val="left" w:pos="989"/>
        </w:tabs>
        <w:spacing w:line="334" w:lineRule="auto"/>
        <w:ind w:right="20" w:firstLine="707"/>
        <w:jc w:val="both"/>
        <w:rPr>
          <w:sz w:val="24"/>
          <w:szCs w:val="24"/>
        </w:rPr>
      </w:pPr>
      <w:r w:rsidRPr="00771368">
        <w:rPr>
          <w:sz w:val="24"/>
          <w:szCs w:val="24"/>
        </w:rPr>
        <w:t>Pode-se afirmar que as mulheres negras que hoje v</w:t>
      </w:r>
      <w:r w:rsidRPr="00771368">
        <w:rPr>
          <w:color w:val="FF0000"/>
          <w:sz w:val="24"/>
          <w:szCs w:val="24"/>
        </w:rPr>
        <w:t>ê</w:t>
      </w:r>
      <w:r w:rsidRPr="00771368">
        <w:rPr>
          <w:sz w:val="24"/>
          <w:szCs w:val="24"/>
        </w:rPr>
        <w:t>m conquistando espaços em diversos campos sociais, não vêem neste seu protagonismo algo que fomente a sua visibilidade social?</w:t>
      </w:r>
    </w:p>
    <w:p w:rsidR="00D24E61" w:rsidRPr="00771368" w:rsidRDefault="00D24E61">
      <w:pPr>
        <w:spacing w:line="88" w:lineRule="exact"/>
        <w:rPr>
          <w:sz w:val="24"/>
          <w:szCs w:val="24"/>
        </w:rPr>
      </w:pPr>
    </w:p>
    <w:p w:rsidR="00D24E61" w:rsidRPr="00771368" w:rsidRDefault="00D24E61" w:rsidP="00FA0ABA">
      <w:pPr>
        <w:numPr>
          <w:ilvl w:val="0"/>
          <w:numId w:val="45"/>
        </w:numPr>
        <w:tabs>
          <w:tab w:val="left" w:pos="1082"/>
        </w:tabs>
        <w:spacing w:line="343" w:lineRule="auto"/>
        <w:ind w:firstLine="707"/>
        <w:jc w:val="both"/>
        <w:rPr>
          <w:sz w:val="24"/>
          <w:szCs w:val="24"/>
        </w:rPr>
      </w:pPr>
      <w:r w:rsidRPr="00771368">
        <w:rPr>
          <w:sz w:val="24"/>
          <w:szCs w:val="24"/>
        </w:rPr>
        <w:t xml:space="preserve">Os projetos e ações sociais de prevenção à violência e à criminalidade desenvolvidos pela Administração Pública possibilitam um protagonismo cidadão, reconhecendo as potencialidades e as particularidades da mulher negra, ou </w:t>
      </w:r>
      <w:r w:rsidRPr="00771368">
        <w:rPr>
          <w:strike/>
          <w:sz w:val="24"/>
          <w:szCs w:val="24"/>
        </w:rPr>
        <w:t>isso</w:t>
      </w:r>
      <w:r w:rsidRPr="00771368">
        <w:rPr>
          <w:sz w:val="24"/>
          <w:szCs w:val="24"/>
        </w:rPr>
        <w:t xml:space="preserve"> apenas delimitam e reproduzem as subalternizações da figura feminina negra?</w:t>
      </w:r>
    </w:p>
    <w:p w:rsidR="00D24E61" w:rsidRPr="00771368" w:rsidRDefault="00D24E61">
      <w:pPr>
        <w:spacing w:line="78" w:lineRule="exact"/>
        <w:rPr>
          <w:sz w:val="24"/>
          <w:szCs w:val="24"/>
        </w:rPr>
      </w:pPr>
    </w:p>
    <w:p w:rsidR="00D24E61" w:rsidRPr="00771368" w:rsidRDefault="00D24E61" w:rsidP="00FA0ABA">
      <w:pPr>
        <w:numPr>
          <w:ilvl w:val="0"/>
          <w:numId w:val="45"/>
        </w:numPr>
        <w:tabs>
          <w:tab w:val="left" w:pos="969"/>
        </w:tabs>
        <w:spacing w:line="310" w:lineRule="auto"/>
        <w:ind w:right="20" w:firstLine="707"/>
        <w:jc w:val="both"/>
        <w:rPr>
          <w:sz w:val="24"/>
          <w:szCs w:val="24"/>
        </w:rPr>
      </w:pPr>
      <w:r w:rsidRPr="00771368">
        <w:rPr>
          <w:sz w:val="24"/>
          <w:szCs w:val="24"/>
        </w:rPr>
        <w:t>Pode-se afirmar que a força do protagonismo das mulheres negras não chega a ser visível para a sociedade, por estar direcionado a pequenos grupos?</w:t>
      </w:r>
    </w:p>
    <w:p w:rsidR="00D24E61" w:rsidRPr="00771368" w:rsidRDefault="00D24E61">
      <w:pPr>
        <w:spacing w:line="200" w:lineRule="exact"/>
        <w:rPr>
          <w:sz w:val="20"/>
          <w:szCs w:val="20"/>
        </w:rPr>
      </w:pPr>
    </w:p>
    <w:p w:rsidR="00D24E61" w:rsidRPr="00771368" w:rsidRDefault="00D24E61">
      <w:pPr>
        <w:spacing w:line="277" w:lineRule="exact"/>
        <w:rPr>
          <w:sz w:val="20"/>
          <w:szCs w:val="20"/>
        </w:rPr>
      </w:pPr>
    </w:p>
    <w:p w:rsidR="00D24E61" w:rsidRPr="00771368" w:rsidRDefault="00D24E61">
      <w:pPr>
        <w:rPr>
          <w:sz w:val="20"/>
          <w:szCs w:val="20"/>
        </w:rPr>
      </w:pPr>
      <w:r w:rsidRPr="00771368">
        <w:rPr>
          <w:b/>
          <w:bCs/>
          <w:sz w:val="24"/>
          <w:szCs w:val="24"/>
        </w:rPr>
        <w:t>REFERÊNCIA TEÓRICA</w:t>
      </w:r>
    </w:p>
    <w:p w:rsidR="00D24E61" w:rsidRPr="00771368" w:rsidRDefault="00D24E61">
      <w:pPr>
        <w:spacing w:line="190" w:lineRule="exact"/>
        <w:rPr>
          <w:sz w:val="20"/>
          <w:szCs w:val="20"/>
        </w:rPr>
      </w:pPr>
    </w:p>
    <w:p w:rsidR="00D24E61" w:rsidRPr="00771368" w:rsidRDefault="00D24E61">
      <w:pPr>
        <w:spacing w:line="351" w:lineRule="auto"/>
        <w:ind w:firstLine="708"/>
        <w:jc w:val="both"/>
        <w:rPr>
          <w:sz w:val="20"/>
          <w:szCs w:val="20"/>
        </w:rPr>
      </w:pPr>
      <w:r w:rsidRPr="00771368">
        <w:rPr>
          <w:sz w:val="24"/>
          <w:szCs w:val="24"/>
        </w:rPr>
        <w:t>As ênfases das teorias aqui abordadas são diferentemente caracterizadas. Em termos sociológicos, poder-se-ia dizer que numa delas será retratada a condição da mulher negra na sociedade, na perspectiva de um “paradigma estrutural”, onde a sociedade, através das instituições, possui uma irredutível influência sobre a formação das pessoas (subalternização), e, na outra, um “paradigma cultural”, onde se enfatizam sujeitos individuais, que se constituem por suas experiências pessoais e afirmam-se nessa condição quando lutam pela garantia de seus direitos (protagonistas).</w:t>
      </w:r>
    </w:p>
    <w:p w:rsidR="00D24E61" w:rsidRPr="00771368" w:rsidRDefault="00D24E61">
      <w:pPr>
        <w:spacing w:line="74" w:lineRule="exact"/>
        <w:rPr>
          <w:sz w:val="20"/>
          <w:szCs w:val="20"/>
        </w:rPr>
      </w:pPr>
    </w:p>
    <w:p w:rsidR="00D24E61" w:rsidRPr="00771368" w:rsidRDefault="00D24E61">
      <w:pPr>
        <w:spacing w:line="349" w:lineRule="auto"/>
        <w:ind w:right="20" w:firstLine="708"/>
        <w:jc w:val="both"/>
        <w:rPr>
          <w:sz w:val="20"/>
          <w:szCs w:val="20"/>
        </w:rPr>
      </w:pPr>
      <w:r w:rsidRPr="00771368">
        <w:rPr>
          <w:sz w:val="24"/>
          <w:szCs w:val="24"/>
        </w:rPr>
        <w:t>Entretanto, a proposta é opor dicotomicamente essas teorias visivelmente distintas, admitindo-se que, a partir de uma análise focada nas vivências e nas condições de superação e permanência de desigualdades sociais, sendo que, em relação às mulheres negras, não é possível escolher uma das ênfases, as quais precisam ser combinadas. Enfim, a proposta metodológica deste estudo é trabalhá-las em ambivalência. Desta forma, abordar-se-á cada uma delas para, após, estabelecer relações.</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rPr>
          <w:sz w:val="20"/>
          <w:szCs w:val="20"/>
        </w:rPr>
      </w:pPr>
      <w:r w:rsidRPr="00771368">
        <w:rPr>
          <w:b/>
          <w:bCs/>
          <w:sz w:val="24"/>
          <w:szCs w:val="24"/>
        </w:rPr>
        <w:t xml:space="preserve">O </w:t>
      </w:r>
      <w:r w:rsidRPr="00771368">
        <w:rPr>
          <w:b/>
          <w:bCs/>
          <w:i/>
          <w:iCs/>
          <w:sz w:val="24"/>
          <w:szCs w:val="24"/>
        </w:rPr>
        <w:t>HABITUS</w:t>
      </w:r>
      <w:r w:rsidRPr="00771368">
        <w:rPr>
          <w:b/>
          <w:bCs/>
          <w:sz w:val="24"/>
          <w:szCs w:val="24"/>
        </w:rPr>
        <w:t xml:space="preserve"> DA SUBALTERNIZAÇÃO</w:t>
      </w:r>
    </w:p>
    <w:p w:rsidR="00D24E61" w:rsidRPr="00771368" w:rsidRDefault="00D24E61">
      <w:pPr>
        <w:spacing w:line="190" w:lineRule="exact"/>
        <w:rPr>
          <w:sz w:val="20"/>
          <w:szCs w:val="20"/>
        </w:rPr>
      </w:pPr>
    </w:p>
    <w:p w:rsidR="00D24E61" w:rsidRPr="00771368" w:rsidRDefault="00D24E61">
      <w:pPr>
        <w:spacing w:line="343" w:lineRule="auto"/>
        <w:ind w:firstLine="708"/>
        <w:jc w:val="both"/>
        <w:rPr>
          <w:sz w:val="20"/>
          <w:szCs w:val="20"/>
        </w:rPr>
      </w:pPr>
      <w:r w:rsidRPr="00771368">
        <w:rPr>
          <w:sz w:val="24"/>
          <w:szCs w:val="24"/>
        </w:rPr>
        <w:t xml:space="preserve">Pierre Bourdieu, através de seu livro intitulado “A Dominação Masculina” – onde ele analisa uma sociedade “cabila” – desenvolve, relacionalmente com o foco nesse tipo de dominação, as suas construções teóricas anteriores, principalmente sobre </w:t>
      </w:r>
      <w:r w:rsidRPr="00771368">
        <w:rPr>
          <w:i/>
          <w:iCs/>
          <w:sz w:val="24"/>
          <w:szCs w:val="24"/>
        </w:rPr>
        <w:t>habitus</w:t>
      </w:r>
      <w:r w:rsidRPr="00771368">
        <w:rPr>
          <w:sz w:val="24"/>
          <w:szCs w:val="24"/>
        </w:rPr>
        <w:t xml:space="preserve">, </w:t>
      </w:r>
      <w:r w:rsidRPr="00771368">
        <w:rPr>
          <w:i/>
          <w:iCs/>
          <w:sz w:val="24"/>
          <w:szCs w:val="24"/>
        </w:rPr>
        <w:t>trocas</w:t>
      </w:r>
      <w:r w:rsidRPr="00771368">
        <w:rPr>
          <w:sz w:val="24"/>
          <w:szCs w:val="24"/>
        </w:rPr>
        <w:t xml:space="preserve"> </w:t>
      </w:r>
      <w:r w:rsidRPr="00771368">
        <w:rPr>
          <w:i/>
          <w:iCs/>
          <w:sz w:val="24"/>
          <w:szCs w:val="24"/>
        </w:rPr>
        <w:t>simbólicas</w:t>
      </w:r>
      <w:r w:rsidRPr="00771368">
        <w:rPr>
          <w:sz w:val="24"/>
          <w:szCs w:val="24"/>
        </w:rPr>
        <w:t>, o</w:t>
      </w:r>
      <w:r w:rsidRPr="00771368">
        <w:rPr>
          <w:i/>
          <w:iCs/>
          <w:sz w:val="24"/>
          <w:szCs w:val="24"/>
        </w:rPr>
        <w:t xml:space="preserve"> poder simbólico </w:t>
      </w:r>
      <w:r w:rsidRPr="00771368">
        <w:rPr>
          <w:sz w:val="24"/>
          <w:szCs w:val="24"/>
        </w:rPr>
        <w:t>e a</w:t>
      </w:r>
      <w:r w:rsidRPr="00771368">
        <w:rPr>
          <w:i/>
          <w:iCs/>
          <w:sz w:val="24"/>
          <w:szCs w:val="24"/>
        </w:rPr>
        <w:t xml:space="preserve"> violência simbólica</w:t>
      </w:r>
      <w:r w:rsidRPr="00771368">
        <w:rPr>
          <w:sz w:val="24"/>
          <w:szCs w:val="24"/>
        </w:rPr>
        <w:t>.</w:t>
      </w:r>
    </w:p>
    <w:p w:rsidR="00D24E61" w:rsidRPr="00771368" w:rsidRDefault="00D24E61">
      <w:pPr>
        <w:spacing w:line="78"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 xml:space="preserve">Segundo a teoria de Bourdieu, a dominação masculina se mantém pela reprodução de estruturas de comportamento incorporadas, por isso, através do </w:t>
      </w:r>
      <w:r w:rsidRPr="00771368">
        <w:rPr>
          <w:i/>
          <w:iCs/>
          <w:sz w:val="24"/>
          <w:szCs w:val="24"/>
        </w:rPr>
        <w:t>habitus.</w:t>
      </w:r>
      <w:r w:rsidRPr="00771368">
        <w:rPr>
          <w:sz w:val="24"/>
          <w:szCs w:val="24"/>
        </w:rPr>
        <w:t xml:space="preserve"> Para Bourdieu (2006, p. 61), é um conhecimento adquirido, que indica uma disposição ou necessidade incorporada,</w:t>
      </w:r>
    </w:p>
    <w:p w:rsidR="00D24E61" w:rsidRPr="00771368" w:rsidRDefault="00D24E61">
      <w:pPr>
        <w:spacing w:line="33" w:lineRule="exact"/>
        <w:rPr>
          <w:sz w:val="20"/>
          <w:szCs w:val="20"/>
        </w:rPr>
      </w:pPr>
    </w:p>
    <w:p w:rsidR="00D24E61" w:rsidRPr="00771368" w:rsidRDefault="00D24E61">
      <w:pPr>
        <w:rPr>
          <w:sz w:val="20"/>
          <w:szCs w:val="20"/>
        </w:rPr>
      </w:pPr>
      <w:r w:rsidRPr="00771368">
        <w:rPr>
          <w:sz w:val="24"/>
          <w:szCs w:val="24"/>
        </w:rPr>
        <w:t>“quase postural”, que funciona como um esquema de percepção, de pensamento e de ação.</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34" w:lineRule="auto"/>
        <w:ind w:right="20"/>
        <w:jc w:val="both"/>
        <w:rPr>
          <w:sz w:val="20"/>
          <w:szCs w:val="20"/>
        </w:rPr>
      </w:pPr>
      <w:r w:rsidRPr="00771368">
        <w:rPr>
          <w:sz w:val="24"/>
          <w:szCs w:val="24"/>
        </w:rPr>
        <w:t xml:space="preserve">Através do </w:t>
      </w:r>
      <w:r w:rsidRPr="00771368">
        <w:rPr>
          <w:i/>
          <w:iCs/>
          <w:sz w:val="24"/>
          <w:szCs w:val="24"/>
        </w:rPr>
        <w:t>habitus</w:t>
      </w:r>
      <w:r w:rsidRPr="00771368">
        <w:rPr>
          <w:sz w:val="24"/>
          <w:szCs w:val="24"/>
        </w:rPr>
        <w:t xml:space="preserve">, se motivam as “vontades” (BOURDIEU, 2006, p. 81). Aciona-se o </w:t>
      </w:r>
      <w:r w:rsidRPr="00771368">
        <w:rPr>
          <w:i/>
          <w:iCs/>
          <w:sz w:val="24"/>
          <w:szCs w:val="24"/>
        </w:rPr>
        <w:t xml:space="preserve">habitus </w:t>
      </w:r>
      <w:r w:rsidRPr="00771368">
        <w:rPr>
          <w:sz w:val="24"/>
          <w:szCs w:val="24"/>
        </w:rPr>
        <w:t>estando num papel, ou personagem social, desempenhando o que dele se espera e que</w:t>
      </w:r>
      <w:r w:rsidRPr="00771368">
        <w:rPr>
          <w:i/>
          <w:iCs/>
          <w:sz w:val="24"/>
          <w:szCs w:val="24"/>
        </w:rPr>
        <w:t xml:space="preserve"> </w:t>
      </w:r>
      <w:r w:rsidRPr="00771368">
        <w:rPr>
          <w:sz w:val="24"/>
          <w:szCs w:val="24"/>
        </w:rPr>
        <w:t xml:space="preserve">se espera de si próprio </w:t>
      </w:r>
      <w:r w:rsidRPr="00771368">
        <w:rPr>
          <w:strike/>
          <w:sz w:val="24"/>
          <w:szCs w:val="24"/>
        </w:rPr>
        <w:t>(BOURDIEU, 2006)</w:t>
      </w:r>
      <w:r w:rsidRPr="00771368">
        <w:rPr>
          <w:sz w:val="24"/>
          <w:szCs w:val="24"/>
        </w:rPr>
        <w:t>.</w:t>
      </w:r>
    </w:p>
    <w:p w:rsidR="00D24E61" w:rsidRPr="00771368" w:rsidRDefault="00D24E61">
      <w:pPr>
        <w:spacing w:line="79" w:lineRule="exact"/>
        <w:rPr>
          <w:sz w:val="20"/>
          <w:szCs w:val="20"/>
        </w:rPr>
      </w:pPr>
    </w:p>
    <w:p w:rsidR="00D24E61" w:rsidRPr="00771368" w:rsidRDefault="00D24E61">
      <w:pPr>
        <w:spacing w:line="352" w:lineRule="auto"/>
        <w:ind w:left="2120"/>
        <w:jc w:val="both"/>
        <w:rPr>
          <w:sz w:val="20"/>
          <w:szCs w:val="20"/>
        </w:rPr>
      </w:pPr>
      <w:r w:rsidRPr="00771368">
        <w:rPr>
          <w:sz w:val="20"/>
          <w:szCs w:val="20"/>
        </w:rPr>
        <w:t xml:space="preserve">A primazia universalmente concedida aos homens se afirma na objetividade de estruturas sociais e de atividades produtivas e reprodutivas, baseadas em uma divisão sexual do trabalho de produção e de reprodução biológica e social, que confere aos homens a melhor parte, bem como nos esquemas imanentes a todos os </w:t>
      </w:r>
      <w:r w:rsidRPr="00771368">
        <w:rPr>
          <w:i/>
          <w:iCs/>
          <w:sz w:val="20"/>
          <w:szCs w:val="20"/>
        </w:rPr>
        <w:t>habitus</w:t>
      </w:r>
      <w:r w:rsidRPr="00771368">
        <w:rPr>
          <w:sz w:val="20"/>
          <w:szCs w:val="20"/>
        </w:rPr>
        <w:t>: moldados por tais condições, portanto objetivamente concordes, eles funcionam como matrizes das percepções, dos pensamentos e das ações de todos os membros da sociedade, como transcendentais históricos que, sendo universalmente partilhados, impõem-se a cada agente como transcendentes. (BOURDIEU, 2006, p. 45)</w:t>
      </w:r>
    </w:p>
    <w:p w:rsidR="00D24E61" w:rsidRPr="00771368" w:rsidRDefault="00D24E61">
      <w:pPr>
        <w:spacing w:line="200" w:lineRule="exact"/>
        <w:rPr>
          <w:sz w:val="20"/>
          <w:szCs w:val="20"/>
        </w:rPr>
      </w:pPr>
    </w:p>
    <w:p w:rsidR="00D24E61" w:rsidRPr="00771368" w:rsidRDefault="00D24E61">
      <w:pPr>
        <w:spacing w:line="218"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Assim, os efeitos de dominação, não se reduzem à aspiração de somente uma das partes e sim através dos esquemas de percepção, de avaliação e de ação que são constituídos pelo habitus, fundamentando as decisões e controlando as vontades (BOURDIEU, 2005): as</w:t>
      </w:r>
    </w:p>
    <w:p w:rsidR="00D24E61" w:rsidRPr="00771368" w:rsidRDefault="00D24E61">
      <w:pPr>
        <w:spacing w:line="89" w:lineRule="exact"/>
        <w:rPr>
          <w:sz w:val="20"/>
          <w:szCs w:val="20"/>
        </w:rPr>
      </w:pPr>
    </w:p>
    <w:p w:rsidR="00D24E61" w:rsidRPr="00771368" w:rsidRDefault="00D24E61">
      <w:pPr>
        <w:spacing w:line="350" w:lineRule="auto"/>
        <w:ind w:right="20"/>
        <w:jc w:val="both"/>
        <w:rPr>
          <w:sz w:val="20"/>
          <w:szCs w:val="20"/>
        </w:rPr>
      </w:pPr>
      <w:r w:rsidRPr="00771368">
        <w:rPr>
          <w:sz w:val="24"/>
          <w:szCs w:val="24"/>
        </w:rPr>
        <w:t>“[...] disposições (</w:t>
      </w:r>
      <w:r w:rsidRPr="00771368">
        <w:rPr>
          <w:i/>
          <w:iCs/>
          <w:sz w:val="24"/>
          <w:szCs w:val="24"/>
        </w:rPr>
        <w:t>habitus</w:t>
      </w:r>
      <w:r w:rsidRPr="00771368">
        <w:rPr>
          <w:sz w:val="24"/>
          <w:szCs w:val="24"/>
        </w:rPr>
        <w:t>) são inseparáveis das estruturas (</w:t>
      </w:r>
      <w:r w:rsidRPr="00771368">
        <w:rPr>
          <w:i/>
          <w:iCs/>
          <w:sz w:val="24"/>
          <w:szCs w:val="24"/>
        </w:rPr>
        <w:t>habitudines</w:t>
      </w:r>
      <w:r w:rsidRPr="00771368">
        <w:rPr>
          <w:sz w:val="24"/>
          <w:szCs w:val="24"/>
        </w:rPr>
        <w:t>)”</w:t>
      </w:r>
      <w:r w:rsidRPr="00771368">
        <w:rPr>
          <w:strike/>
          <w:sz w:val="24"/>
          <w:szCs w:val="24"/>
        </w:rPr>
        <w:t>, segundo Bourdieu</w:t>
      </w:r>
      <w:r w:rsidRPr="00771368">
        <w:rPr>
          <w:sz w:val="24"/>
          <w:szCs w:val="24"/>
        </w:rPr>
        <w:t xml:space="preserve"> </w:t>
      </w:r>
      <w:r w:rsidRPr="00771368">
        <w:rPr>
          <w:strike/>
          <w:sz w:val="24"/>
          <w:szCs w:val="24"/>
        </w:rPr>
        <w:t>(2005).</w:t>
      </w:r>
      <w:r w:rsidRPr="00771368">
        <w:rPr>
          <w:sz w:val="24"/>
          <w:szCs w:val="24"/>
        </w:rPr>
        <w:t xml:space="preserve"> Essas produzem e reproduzem os modos de comportamento, tanto nos homens como nas mulheres, como uma cultura hegemônica encontrando seu fundamento derradeiro na estrutura do mercado de bens simbólicos. A subalternização, as significações ou interesses superiores e exteriores aos interesses individuais raramente são efeito de uma determinação forçosa e de uma submissão conscienciosa (BOURDIEU, 2006, p. 86).</w:t>
      </w:r>
    </w:p>
    <w:p w:rsidR="00D24E61" w:rsidRPr="00771368" w:rsidRDefault="00D24E61">
      <w:pPr>
        <w:spacing w:line="70" w:lineRule="exact"/>
        <w:rPr>
          <w:sz w:val="20"/>
          <w:szCs w:val="20"/>
        </w:rPr>
      </w:pPr>
    </w:p>
    <w:p w:rsidR="00D24E61" w:rsidRPr="00771368" w:rsidRDefault="00D24E61">
      <w:pPr>
        <w:spacing w:line="350" w:lineRule="auto"/>
        <w:jc w:val="both"/>
        <w:rPr>
          <w:sz w:val="20"/>
          <w:szCs w:val="20"/>
        </w:rPr>
      </w:pPr>
      <w:r w:rsidRPr="00771368">
        <w:rPr>
          <w:sz w:val="24"/>
          <w:szCs w:val="24"/>
        </w:rPr>
        <w:t xml:space="preserve">O autor constata a existência de uma construção social das estruturas cognitivas, que organizam os atos de construção do mundo e de seus poderes. Pode-se perceber, que esta construção prática não é “um ato intelectual consciente, livre, deliberado de um </w:t>
      </w:r>
      <w:r w:rsidRPr="00771368">
        <w:rPr>
          <w:i/>
          <w:iCs/>
          <w:sz w:val="24"/>
          <w:szCs w:val="24"/>
        </w:rPr>
        <w:t>sujeito</w:t>
      </w:r>
      <w:r w:rsidRPr="00771368">
        <w:rPr>
          <w:sz w:val="24"/>
          <w:szCs w:val="24"/>
        </w:rPr>
        <w:t xml:space="preserve"> </w:t>
      </w:r>
      <w:r w:rsidRPr="00771368">
        <w:rPr>
          <w:i/>
          <w:iCs/>
          <w:sz w:val="24"/>
          <w:szCs w:val="24"/>
        </w:rPr>
        <w:t>isolado</w:t>
      </w:r>
      <w:r w:rsidRPr="00771368">
        <w:rPr>
          <w:sz w:val="24"/>
          <w:szCs w:val="24"/>
        </w:rPr>
        <w:t>”. Para ele, é resultante de um poder simbólico, “[...] inscrito duradouramente no corpo</w:t>
      </w:r>
      <w:r w:rsidRPr="00771368">
        <w:rPr>
          <w:i/>
          <w:iCs/>
          <w:sz w:val="24"/>
          <w:szCs w:val="24"/>
        </w:rPr>
        <w:t xml:space="preserve"> </w:t>
      </w:r>
      <w:r w:rsidRPr="00771368">
        <w:rPr>
          <w:sz w:val="24"/>
          <w:szCs w:val="24"/>
        </w:rPr>
        <w:t>dos dominados sob a forma de esquemas de percepção e de disposições (a admirar, respeitar, amar etc.) que o tornam sensível a certas manifestações simbólicas de poder”.</w:t>
      </w:r>
    </w:p>
    <w:p w:rsidR="00D24E61" w:rsidRPr="00771368" w:rsidRDefault="00D24E61">
      <w:pPr>
        <w:spacing w:line="70"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 xml:space="preserve">Contudo, as relações são fruto de um trabalho de construção prática, que confere uma </w:t>
      </w:r>
      <w:r w:rsidRPr="00771368">
        <w:rPr>
          <w:i/>
          <w:iCs/>
          <w:sz w:val="24"/>
          <w:szCs w:val="24"/>
        </w:rPr>
        <w:t xml:space="preserve">definição diferencial </w:t>
      </w:r>
      <w:r w:rsidRPr="00771368">
        <w:rPr>
          <w:sz w:val="24"/>
          <w:szCs w:val="24"/>
        </w:rPr>
        <w:t>dos usos considerados legítimos do corpo, a fim de produzir este como</w:t>
      </w:r>
      <w:r w:rsidRPr="00771368">
        <w:rPr>
          <w:i/>
          <w:iCs/>
          <w:sz w:val="24"/>
          <w:szCs w:val="24"/>
        </w:rPr>
        <w:t xml:space="preserve"> </w:t>
      </w:r>
      <w:r w:rsidRPr="00771368">
        <w:rPr>
          <w:sz w:val="24"/>
          <w:szCs w:val="24"/>
        </w:rPr>
        <w:t>um “artefato social”, que fundaria um homem viril e uma mulher feminina (BOURDIEU,</w:t>
      </w:r>
    </w:p>
    <w:p w:rsidR="00D24E61" w:rsidRPr="00771368" w:rsidRDefault="00D24E61">
      <w:pPr>
        <w:spacing w:line="91" w:lineRule="exact"/>
        <w:rPr>
          <w:sz w:val="20"/>
          <w:szCs w:val="20"/>
        </w:rPr>
      </w:pPr>
    </w:p>
    <w:p w:rsidR="00D24E61" w:rsidRPr="00771368" w:rsidRDefault="00D24E61">
      <w:pPr>
        <w:spacing w:line="342" w:lineRule="auto"/>
        <w:ind w:right="20"/>
        <w:jc w:val="both"/>
        <w:rPr>
          <w:sz w:val="20"/>
          <w:szCs w:val="20"/>
        </w:rPr>
      </w:pPr>
      <w:r w:rsidRPr="00771368">
        <w:rPr>
          <w:sz w:val="24"/>
          <w:szCs w:val="24"/>
        </w:rPr>
        <w:t>2005). Através de uma série de “operações de diferenciação”, realizadas através do conjunto de instituições sociais, e dos “signos exteriores”, são, portanto, ressaltadas desde a infância as “distinções sexuais”, estimulando práticas que “convém ao sexo” de cada pessoa, “[...] proibindo ou desencorajando as condutas impróprias, sobretudo na relação com o outro sexo”</w:t>
      </w:r>
    </w:p>
    <w:p w:rsidR="00D24E61" w:rsidRPr="00771368" w:rsidRDefault="00D24E61">
      <w:pPr>
        <w:spacing w:line="25" w:lineRule="exact"/>
        <w:rPr>
          <w:sz w:val="20"/>
          <w:szCs w:val="20"/>
        </w:rPr>
      </w:pPr>
    </w:p>
    <w:p w:rsidR="00D24E61" w:rsidRPr="00771368" w:rsidRDefault="00D24E61">
      <w:pPr>
        <w:rPr>
          <w:sz w:val="20"/>
          <w:szCs w:val="20"/>
        </w:rPr>
      </w:pPr>
      <w:r w:rsidRPr="00771368">
        <w:rPr>
          <w:sz w:val="24"/>
          <w:szCs w:val="24"/>
        </w:rPr>
        <w:t>(BOURDIEU, 2005, p. 35). Desta forma, a divisão sexual está inscrita, de um lado, nas</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34" w:lineRule="auto"/>
        <w:ind w:left="1" w:right="20"/>
        <w:jc w:val="both"/>
        <w:rPr>
          <w:sz w:val="20"/>
          <w:szCs w:val="20"/>
        </w:rPr>
      </w:pPr>
      <w:r w:rsidRPr="00771368">
        <w:rPr>
          <w:sz w:val="24"/>
          <w:szCs w:val="24"/>
        </w:rPr>
        <w:t xml:space="preserve">atividades produtivas que se entendem por trabalho e, de outro, está no </w:t>
      </w:r>
      <w:r w:rsidRPr="00771368">
        <w:rPr>
          <w:i/>
          <w:iCs/>
          <w:sz w:val="24"/>
          <w:szCs w:val="24"/>
        </w:rPr>
        <w:t>habitus</w:t>
      </w:r>
      <w:r w:rsidRPr="00771368">
        <w:rPr>
          <w:sz w:val="24"/>
          <w:szCs w:val="24"/>
        </w:rPr>
        <w:t xml:space="preserve"> dos protagonistas da economia de bens simbólicos (os homens) e das mulheres que, nesta economia, são reduzidas a objetos de troca (BOURDIEU, 2005)</w:t>
      </w:r>
    </w:p>
    <w:p w:rsidR="00D24E61" w:rsidRPr="00771368" w:rsidRDefault="00D24E61">
      <w:pPr>
        <w:spacing w:line="89" w:lineRule="exact"/>
        <w:rPr>
          <w:sz w:val="20"/>
          <w:szCs w:val="20"/>
        </w:rPr>
      </w:pPr>
    </w:p>
    <w:p w:rsidR="00D24E61" w:rsidRPr="00771368" w:rsidRDefault="00D24E61">
      <w:pPr>
        <w:spacing w:line="351" w:lineRule="auto"/>
        <w:ind w:left="1" w:right="20" w:firstLine="708"/>
        <w:jc w:val="both"/>
        <w:rPr>
          <w:sz w:val="20"/>
          <w:szCs w:val="20"/>
        </w:rPr>
      </w:pPr>
      <w:r w:rsidRPr="00771368">
        <w:rPr>
          <w:sz w:val="24"/>
          <w:szCs w:val="24"/>
        </w:rPr>
        <w:t xml:space="preserve">Nessa perspectiva, as mulheres estariam sob a ação de </w:t>
      </w:r>
      <w:r w:rsidRPr="00771368">
        <w:rPr>
          <w:i/>
          <w:iCs/>
          <w:sz w:val="24"/>
          <w:szCs w:val="24"/>
        </w:rPr>
        <w:t>violência simbólica</w:t>
      </w:r>
      <w:r w:rsidRPr="00771368">
        <w:rPr>
          <w:sz w:val="24"/>
          <w:szCs w:val="24"/>
        </w:rPr>
        <w:t xml:space="preserve"> ao ceder ou conceder (docilmente), atribuindo a esta ação a concepção de que não pode ou não deve agirdiferentemente. A violência simbólica se funda por intermédio da aderência que a pessoa dominada não pode deixar de conferir ao dominante, por não dispor para se pensar e para pensar sua relação com o outro, “mas que de instrumentos de conhecimento que ambos têm em comum e que, não sendo mais que uma forma incorporada da relação de dominação, fazem esta relação ser vista como natural” (2005, p. 47).</w:t>
      </w:r>
    </w:p>
    <w:p w:rsidR="00D24E61" w:rsidRPr="00771368" w:rsidRDefault="00D24E61">
      <w:pPr>
        <w:spacing w:line="74" w:lineRule="exact"/>
        <w:rPr>
          <w:sz w:val="20"/>
          <w:szCs w:val="20"/>
        </w:rPr>
      </w:pPr>
    </w:p>
    <w:p w:rsidR="00D24E61" w:rsidRPr="00771368" w:rsidRDefault="00D24E61">
      <w:pPr>
        <w:spacing w:line="349" w:lineRule="auto"/>
        <w:ind w:left="1" w:firstLine="708"/>
        <w:jc w:val="both"/>
        <w:rPr>
          <w:sz w:val="20"/>
          <w:szCs w:val="20"/>
        </w:rPr>
      </w:pPr>
      <w:r w:rsidRPr="00771368">
        <w:rPr>
          <w:sz w:val="24"/>
          <w:szCs w:val="24"/>
        </w:rPr>
        <w:t xml:space="preserve">A abordagem de Pierre Bourdieu, portanto, está marcada de um viés estrutural, onde os determinismos sociais têm papel principal na constituição das pessoas e, neste caso, das mulheres dominadas e homens dominantes. As condutas são orientadas por um </w:t>
      </w:r>
      <w:r w:rsidRPr="00771368">
        <w:rPr>
          <w:i/>
          <w:iCs/>
          <w:sz w:val="24"/>
          <w:szCs w:val="24"/>
        </w:rPr>
        <w:t>habitus</w:t>
      </w:r>
      <w:r w:rsidRPr="00771368">
        <w:rPr>
          <w:sz w:val="24"/>
          <w:szCs w:val="24"/>
        </w:rPr>
        <w:t xml:space="preserve"> resultante de uma construção histórica que não possibilita cessar a sua reprodução facilmente, principalmente por serem de difícil percepção pessoal, constituindo, assim, um estado de </w:t>
      </w:r>
      <w:r w:rsidRPr="00771368">
        <w:rPr>
          <w:i/>
          <w:iCs/>
          <w:sz w:val="24"/>
          <w:szCs w:val="24"/>
        </w:rPr>
        <w:t xml:space="preserve">subalternização </w:t>
      </w:r>
      <w:r w:rsidRPr="00771368">
        <w:rPr>
          <w:sz w:val="24"/>
          <w:szCs w:val="24"/>
        </w:rPr>
        <w:t>produzido por uma dominação ou</w:t>
      </w:r>
      <w:r w:rsidRPr="00771368">
        <w:rPr>
          <w:i/>
          <w:iCs/>
          <w:sz w:val="24"/>
          <w:szCs w:val="24"/>
        </w:rPr>
        <w:t xml:space="preserve"> poder simbólico</w:t>
      </w:r>
      <w:r w:rsidRPr="00771368">
        <w:rPr>
          <w:sz w:val="24"/>
          <w:szCs w:val="24"/>
        </w:rPr>
        <w:t>.</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ind w:left="1"/>
        <w:rPr>
          <w:sz w:val="20"/>
          <w:szCs w:val="20"/>
        </w:rPr>
      </w:pPr>
      <w:r w:rsidRPr="00771368">
        <w:rPr>
          <w:b/>
          <w:bCs/>
          <w:sz w:val="24"/>
          <w:szCs w:val="24"/>
        </w:rPr>
        <w:t>O (A) SUJEITO (PROTAGONISMO – AUTONOMIA CRÍTICA)</w:t>
      </w:r>
    </w:p>
    <w:p w:rsidR="00D24E61" w:rsidRPr="00771368" w:rsidRDefault="00D24E61">
      <w:pPr>
        <w:spacing w:line="193" w:lineRule="exact"/>
        <w:rPr>
          <w:sz w:val="20"/>
          <w:szCs w:val="20"/>
        </w:rPr>
      </w:pPr>
    </w:p>
    <w:p w:rsidR="00D24E61" w:rsidRPr="00771368" w:rsidRDefault="00D24E61">
      <w:pPr>
        <w:spacing w:line="325" w:lineRule="auto"/>
        <w:ind w:left="1" w:right="20" w:firstLine="708"/>
        <w:jc w:val="both"/>
        <w:rPr>
          <w:sz w:val="20"/>
          <w:szCs w:val="20"/>
        </w:rPr>
      </w:pPr>
      <w:r w:rsidRPr="00771368">
        <w:rPr>
          <w:sz w:val="24"/>
          <w:szCs w:val="24"/>
        </w:rPr>
        <w:t xml:space="preserve">A ênfase de Alain Touraine constitui-se através de uma abordagem cultural. Não sendo, portanto, uma concepção centralizada na sociedade, mas, sim, uma percepção de existência bipolarizada, onde </w:t>
      </w:r>
      <w:r w:rsidRPr="00771368">
        <w:rPr>
          <w:i/>
          <w:iCs/>
          <w:sz w:val="24"/>
          <w:szCs w:val="24"/>
        </w:rPr>
        <w:t>sujeito e razão</w:t>
      </w:r>
      <w:r w:rsidRPr="00771368">
        <w:rPr>
          <w:sz w:val="24"/>
          <w:szCs w:val="24"/>
        </w:rPr>
        <w:t xml:space="preserve"> estão inter-relacionados. Nesse sentido, preconiza-se a abordagem da temática das desigualdades sociais, gênero e étnico-racial, não a partir da dominação masculina</w:t>
      </w:r>
      <w:r w:rsidRPr="00771368">
        <w:rPr>
          <w:sz w:val="32"/>
          <w:szCs w:val="32"/>
          <w:vertAlign w:val="superscript"/>
        </w:rPr>
        <w:t>3</w:t>
      </w:r>
      <w:r w:rsidRPr="00771368">
        <w:rPr>
          <w:sz w:val="24"/>
          <w:szCs w:val="24"/>
        </w:rPr>
        <w:t xml:space="preserve">, mas a partir de um sujeito que confere sentido às suas ações, independentemente do papel social que desempenhe, ou que determinem as </w:t>
      </w:r>
      <w:r w:rsidRPr="00771368">
        <w:rPr>
          <w:i/>
          <w:iCs/>
          <w:sz w:val="24"/>
          <w:szCs w:val="24"/>
        </w:rPr>
        <w:t>agências de</w:t>
      </w:r>
      <w:r w:rsidRPr="00771368">
        <w:rPr>
          <w:sz w:val="24"/>
          <w:szCs w:val="24"/>
        </w:rPr>
        <w:t xml:space="preserve"> </w:t>
      </w:r>
      <w:r w:rsidRPr="00771368">
        <w:rPr>
          <w:i/>
          <w:iCs/>
          <w:sz w:val="24"/>
          <w:szCs w:val="24"/>
        </w:rPr>
        <w:t>socialização</w:t>
      </w:r>
      <w:r w:rsidRPr="00771368">
        <w:rPr>
          <w:sz w:val="24"/>
          <w:szCs w:val="24"/>
        </w:rPr>
        <w:t>. Portanto, um sujeito</w:t>
      </w:r>
      <w:r w:rsidRPr="00771368">
        <w:rPr>
          <w:sz w:val="32"/>
          <w:szCs w:val="32"/>
          <w:vertAlign w:val="superscript"/>
        </w:rPr>
        <w:t>4</w:t>
      </w:r>
      <w:r w:rsidRPr="00771368">
        <w:rPr>
          <w:i/>
          <w:iCs/>
          <w:sz w:val="24"/>
          <w:szCs w:val="24"/>
        </w:rPr>
        <w:t xml:space="preserve"> </w:t>
      </w:r>
      <w:r w:rsidRPr="00771368">
        <w:rPr>
          <w:sz w:val="24"/>
          <w:szCs w:val="24"/>
        </w:rPr>
        <w:t>desejante de produzir sua experiência pessoal através do</w:t>
      </w:r>
      <w:r w:rsidRPr="00771368">
        <w:rPr>
          <w:i/>
          <w:iCs/>
          <w:sz w:val="24"/>
          <w:szCs w:val="24"/>
        </w:rPr>
        <w:t xml:space="preserve"> </w:t>
      </w:r>
      <w:r w:rsidRPr="00771368">
        <w:rPr>
          <w:sz w:val="24"/>
          <w:szCs w:val="24"/>
        </w:rPr>
        <w:t>meio-social e das relações sociais, não apenas de consumi-la.</w:t>
      </w:r>
    </w:p>
    <w:p w:rsidR="00D24E61" w:rsidRPr="00771368" w:rsidRDefault="00D24E61">
      <w:pPr>
        <w:spacing w:line="71" w:lineRule="exact"/>
        <w:rPr>
          <w:sz w:val="20"/>
          <w:szCs w:val="20"/>
        </w:rPr>
      </w:pPr>
    </w:p>
    <w:p w:rsidR="00D24E61" w:rsidRPr="00771368" w:rsidRDefault="00D24E61">
      <w:pPr>
        <w:spacing w:line="334" w:lineRule="auto"/>
        <w:ind w:left="1" w:right="20" w:firstLine="708"/>
        <w:jc w:val="both"/>
        <w:rPr>
          <w:sz w:val="20"/>
          <w:szCs w:val="20"/>
        </w:rPr>
      </w:pPr>
      <w:r w:rsidRPr="00771368">
        <w:rPr>
          <w:sz w:val="24"/>
          <w:szCs w:val="24"/>
        </w:rPr>
        <w:t>O sujeito se fortalece com a vontade que tem de estar nessa condição – de emancipação e liberdade – e quando reivindica e luta em favor da garantia de efetivação dos seus direitos. É essa associação de direitos com sujeito que, para Touraine (2006, p. 95),</w:t>
      </w:r>
    </w:p>
    <w:p w:rsidR="00D24E61" w:rsidRPr="00771368" w:rsidRDefault="00D24E61">
      <w:pPr>
        <w:spacing w:line="91" w:lineRule="exact"/>
        <w:rPr>
          <w:sz w:val="20"/>
          <w:szCs w:val="20"/>
        </w:rPr>
      </w:pPr>
    </w:p>
    <w:p w:rsidR="00D24E61" w:rsidRPr="00771368" w:rsidRDefault="00D24E61">
      <w:pPr>
        <w:spacing w:line="308" w:lineRule="auto"/>
        <w:ind w:left="1"/>
        <w:jc w:val="both"/>
        <w:rPr>
          <w:sz w:val="20"/>
          <w:szCs w:val="20"/>
        </w:rPr>
      </w:pPr>
      <w:r w:rsidRPr="00771368">
        <w:rPr>
          <w:sz w:val="24"/>
          <w:szCs w:val="24"/>
        </w:rPr>
        <w:t>“oferece a melhor defesa diante de todas as formas de dominação social”. Dessa maneira, é a “afirmação do ser positivo das mulheres” que lhes permite – através de uma auto-estima</w:t>
      </w:r>
    </w:p>
    <w:p w:rsidR="00D24E61" w:rsidRPr="00771368" w:rsidRDefault="00013211">
      <w:pPr>
        <w:spacing w:line="161" w:lineRule="exact"/>
        <w:rPr>
          <w:sz w:val="20"/>
          <w:szCs w:val="20"/>
        </w:rPr>
      </w:pPr>
      <w:r>
        <w:rPr>
          <w:noProof/>
          <w:sz w:val="20"/>
          <w:szCs w:val="20"/>
        </w:rPr>
        <mc:AlternateContent>
          <mc:Choice Requires="wps">
            <w:drawing>
              <wp:anchor distT="0" distB="0" distL="0" distR="0" simplePos="0" relativeHeight="251804160" behindDoc="0" locked="0" layoutInCell="0" allowOverlap="1">
                <wp:simplePos x="0" y="0"/>
                <wp:positionH relativeFrom="column">
                  <wp:posOffset>8890</wp:posOffset>
                </wp:positionH>
                <wp:positionV relativeFrom="paragraph">
                  <wp:posOffset>85090</wp:posOffset>
                </wp:positionV>
                <wp:extent cx="1829435" cy="0"/>
                <wp:effectExtent l="8890" t="8890" r="9525" b="10160"/>
                <wp:wrapNone/>
                <wp:docPr id="1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80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pt,6.7pt" to="144.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iI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" o:allowincell="f" strokeweight=".21164mm"/>
            </w:pict>
          </mc:Fallback>
        </mc:AlternateContent>
      </w:r>
    </w:p>
    <w:p w:rsidR="00D24E61" w:rsidRPr="00771368" w:rsidRDefault="00532078" w:rsidP="00532078">
      <w:pPr>
        <w:tabs>
          <w:tab w:val="left" w:pos="141"/>
        </w:tabs>
        <w:jc w:val="both"/>
        <w:rPr>
          <w:sz w:val="32"/>
          <w:szCs w:val="32"/>
          <w:vertAlign w:val="superscript"/>
        </w:rPr>
      </w:pPr>
      <w:r>
        <w:rPr>
          <w:sz w:val="20"/>
          <w:szCs w:val="20"/>
        </w:rPr>
        <w:t>3-</w:t>
      </w:r>
      <w:r w:rsidR="00D24E61" w:rsidRPr="00771368">
        <w:rPr>
          <w:sz w:val="20"/>
          <w:szCs w:val="20"/>
        </w:rPr>
        <w:t>O autor não afirma a inexistência dessa, mas, sim, ,opta por não enfocá-la como a principal fonte de análise.</w:t>
      </w:r>
    </w:p>
    <w:p w:rsidR="00D24E61" w:rsidRPr="00771368" w:rsidRDefault="00D24E61">
      <w:pPr>
        <w:spacing w:line="61" w:lineRule="exact"/>
        <w:rPr>
          <w:sz w:val="32"/>
          <w:szCs w:val="32"/>
          <w:vertAlign w:val="superscript"/>
        </w:rPr>
      </w:pPr>
    </w:p>
    <w:p w:rsidR="00D24E61" w:rsidRPr="00771368" w:rsidRDefault="00532078" w:rsidP="00532078">
      <w:pPr>
        <w:tabs>
          <w:tab w:val="left" w:pos="136"/>
        </w:tabs>
        <w:spacing w:line="202" w:lineRule="auto"/>
        <w:jc w:val="both"/>
        <w:rPr>
          <w:rFonts w:eastAsia="Arial"/>
          <w:sz w:val="26"/>
          <w:szCs w:val="26"/>
          <w:vertAlign w:val="superscript"/>
        </w:rPr>
      </w:pPr>
      <w:r>
        <w:rPr>
          <w:sz w:val="20"/>
          <w:szCs w:val="20"/>
        </w:rPr>
        <w:t xml:space="preserve">4- </w:t>
      </w:r>
      <w:r w:rsidR="00D24E61" w:rsidRPr="00771368">
        <w:rPr>
          <w:sz w:val="20"/>
          <w:szCs w:val="20"/>
        </w:rPr>
        <w:t>Gostar-se-ia utilizar o termo sujeito no feminino: “sujeita”. Porém, pela conotação e sentido que a linguagem adquiriu, opta-se pelo “sujeito”, para que não pareça uma sujeição a algo ou alguém, mas sim uma capacidade de pensar-se e pensar as relações e o meio reflexivamente.</w:t>
      </w:r>
    </w:p>
    <w:p w:rsidR="00D24E61" w:rsidRPr="00771368" w:rsidRDefault="00D24E61">
      <w:pPr>
        <w:sectPr w:rsidR="00D24E61" w:rsidRPr="00771368">
          <w:pgSz w:w="11900" w:h="16838"/>
          <w:pgMar w:top="1440" w:right="1400" w:bottom="1149" w:left="1419" w:header="0" w:footer="0" w:gutter="0"/>
          <w:cols w:space="720" w:equalWidth="0">
            <w:col w:w="9081"/>
          </w:cols>
        </w:sectPr>
      </w:pPr>
    </w:p>
    <w:p w:rsidR="00D24E61" w:rsidRPr="00771368" w:rsidRDefault="00D24E61">
      <w:pPr>
        <w:rPr>
          <w:sz w:val="20"/>
          <w:szCs w:val="20"/>
        </w:rPr>
      </w:pPr>
      <w:r w:rsidRPr="00771368">
        <w:rPr>
          <w:sz w:val="24"/>
          <w:szCs w:val="24"/>
        </w:rPr>
        <w:t>maior – transformar-se em “[...] atrizes da própria vida e da vida de todas e de todos”</w:t>
      </w:r>
    </w:p>
    <w:p w:rsidR="00D24E61" w:rsidRPr="00771368" w:rsidRDefault="00D24E61">
      <w:pPr>
        <w:spacing w:line="137" w:lineRule="exact"/>
        <w:rPr>
          <w:sz w:val="20"/>
          <w:szCs w:val="20"/>
        </w:rPr>
      </w:pPr>
    </w:p>
    <w:p w:rsidR="00D24E61" w:rsidRPr="00771368" w:rsidRDefault="00D24E61">
      <w:pPr>
        <w:rPr>
          <w:sz w:val="20"/>
          <w:szCs w:val="20"/>
        </w:rPr>
      </w:pPr>
      <w:r w:rsidRPr="00771368">
        <w:rPr>
          <w:sz w:val="24"/>
          <w:szCs w:val="24"/>
        </w:rPr>
        <w:t>(TOURAINE, 2007, p. 29).</w:t>
      </w:r>
    </w:p>
    <w:p w:rsidR="00D24E61" w:rsidRPr="00771368" w:rsidRDefault="00D24E61">
      <w:pPr>
        <w:spacing w:line="197" w:lineRule="exact"/>
        <w:rPr>
          <w:sz w:val="20"/>
          <w:szCs w:val="20"/>
        </w:rPr>
      </w:pPr>
    </w:p>
    <w:p w:rsidR="00D24E61" w:rsidRPr="00771368" w:rsidRDefault="00D24E61">
      <w:pPr>
        <w:spacing w:line="353" w:lineRule="auto"/>
        <w:ind w:right="20" w:firstLine="708"/>
        <w:jc w:val="both"/>
        <w:rPr>
          <w:sz w:val="20"/>
          <w:szCs w:val="20"/>
        </w:rPr>
      </w:pPr>
      <w:r w:rsidRPr="00771368">
        <w:rPr>
          <w:sz w:val="24"/>
          <w:szCs w:val="24"/>
        </w:rPr>
        <w:t>Ao realizar as entrevistas que fazem parte de seu livro “</w:t>
      </w:r>
      <w:r w:rsidRPr="00771368">
        <w:rPr>
          <w:i/>
          <w:iCs/>
          <w:sz w:val="24"/>
          <w:szCs w:val="24"/>
        </w:rPr>
        <w:t>O Mundo das Mulheres</w:t>
      </w:r>
      <w:r w:rsidRPr="00771368">
        <w:rPr>
          <w:sz w:val="24"/>
          <w:szCs w:val="24"/>
        </w:rPr>
        <w:t>” e perceber, após ouvi-las, afirmações como: “eu sou mulher”, constata que as mulheres querem dizer que existem por elas mesmas e para elas mesmas, mesmo quando tinham consciência de uma situação dependente, ou de existência para ou outros (TOURAINE, 2007). Se a identidade das mulheres lhes é dada pelas representações que os homens e as instituições por eles dominadas fazem delas, a ideia de uma construção de si não tem nenhum sentido para a mulher segundo o autor. Por isso, a afirmação de uma lógica da dominação sofrida é, antes de tudo, a ausência de subjetividade, o que justifica a importância primordial da afirmação já descoberta: “Eu sou mulher” (TOURAINE, 2007, p. 46).</w:t>
      </w:r>
    </w:p>
    <w:p w:rsidR="00D24E61" w:rsidRPr="00771368" w:rsidRDefault="00D24E61">
      <w:pPr>
        <w:spacing w:line="72" w:lineRule="exact"/>
        <w:rPr>
          <w:sz w:val="20"/>
          <w:szCs w:val="20"/>
        </w:rPr>
      </w:pPr>
    </w:p>
    <w:p w:rsidR="00D24E61" w:rsidRPr="00771368" w:rsidRDefault="00D24E61">
      <w:pPr>
        <w:spacing w:line="350" w:lineRule="auto"/>
        <w:ind w:firstLine="708"/>
        <w:jc w:val="both"/>
        <w:rPr>
          <w:sz w:val="20"/>
          <w:szCs w:val="20"/>
        </w:rPr>
      </w:pPr>
      <w:r w:rsidRPr="00771368">
        <w:rPr>
          <w:sz w:val="24"/>
          <w:szCs w:val="24"/>
        </w:rPr>
        <w:t>O que se entende como principal nessa construção teórica de Touraine é a “queda” das sociedades, ou a destruição do social que o autor enfatiza. Na “outra sociedade” que se entra, o lugar central, tanto da dominação quanto da libertação</w:t>
      </w:r>
      <w:r w:rsidRPr="00771368">
        <w:rPr>
          <w:color w:val="FF0000"/>
          <w:sz w:val="24"/>
          <w:szCs w:val="24"/>
        </w:rPr>
        <w:t>,</w:t>
      </w:r>
      <w:r w:rsidRPr="00771368">
        <w:rPr>
          <w:sz w:val="24"/>
          <w:szCs w:val="24"/>
        </w:rPr>
        <w:t xml:space="preserve"> é a sexualidade. Esse papel distinto que possui a sexualidade provém do fato de que, segundo o autor, “[...] ela está o mais distante possível do poder estatal e das empresas capitalistas, onde, no passado, operaram-se as transformações mais carregadas de sentido” (TOURAINE, 2007, p. 157).</w:t>
      </w:r>
    </w:p>
    <w:p w:rsidR="00D24E61" w:rsidRPr="00771368" w:rsidRDefault="00D24E61">
      <w:pPr>
        <w:spacing w:line="70" w:lineRule="exact"/>
        <w:rPr>
          <w:sz w:val="20"/>
          <w:szCs w:val="20"/>
        </w:rPr>
      </w:pPr>
    </w:p>
    <w:p w:rsidR="00D24E61" w:rsidRPr="00771368" w:rsidRDefault="00D24E61">
      <w:pPr>
        <w:spacing w:line="350" w:lineRule="auto"/>
        <w:ind w:firstLine="708"/>
        <w:jc w:val="both"/>
        <w:rPr>
          <w:sz w:val="20"/>
          <w:szCs w:val="20"/>
        </w:rPr>
      </w:pPr>
      <w:r w:rsidRPr="00771368">
        <w:rPr>
          <w:strike/>
          <w:sz w:val="24"/>
          <w:szCs w:val="24"/>
        </w:rPr>
        <w:t>É</w:t>
      </w:r>
      <w:r w:rsidRPr="00771368">
        <w:rPr>
          <w:sz w:val="24"/>
          <w:szCs w:val="24"/>
        </w:rPr>
        <w:t xml:space="preserve"> </w:t>
      </w:r>
      <w:r w:rsidRPr="00771368">
        <w:rPr>
          <w:strike/>
          <w:color w:val="FF0000"/>
          <w:sz w:val="24"/>
          <w:szCs w:val="24"/>
        </w:rPr>
        <w:t>P</w:t>
      </w:r>
      <w:r w:rsidRPr="00771368">
        <w:rPr>
          <w:sz w:val="24"/>
          <w:szCs w:val="24"/>
        </w:rPr>
        <w:t xml:space="preserve">ara Touraine (2007), </w:t>
      </w:r>
      <w:r w:rsidRPr="00771368">
        <w:rPr>
          <w:color w:val="FF0000"/>
          <w:sz w:val="24"/>
          <w:szCs w:val="24"/>
        </w:rPr>
        <w:t>é</w:t>
      </w:r>
      <w:r w:rsidRPr="00771368">
        <w:rPr>
          <w:sz w:val="24"/>
          <w:szCs w:val="24"/>
        </w:rPr>
        <w:t xml:space="preserve"> o ator social que, por efeito de ser e perceber-se sujeito, reúne o que foi separado, recria uma singularidade que o protege, construindo isso,se apoiando na razão e se libertando das dominações sofridas. O modelo de sociedade que configura a oposição entre homem superior e mulher inferior gradualmente se extingue dando espaço à ação das mulheres, que chegarão a reconstituir uma cultura plural em benefício de todos.</w:t>
      </w:r>
    </w:p>
    <w:p w:rsidR="00D24E61" w:rsidRPr="00771368" w:rsidRDefault="00D24E61">
      <w:pPr>
        <w:spacing w:line="200" w:lineRule="exact"/>
        <w:rPr>
          <w:sz w:val="20"/>
          <w:szCs w:val="20"/>
        </w:rPr>
      </w:pPr>
    </w:p>
    <w:p w:rsidR="00D24E61" w:rsidRPr="00771368" w:rsidRDefault="00D24E61">
      <w:pPr>
        <w:spacing w:line="229" w:lineRule="exact"/>
        <w:rPr>
          <w:sz w:val="20"/>
          <w:szCs w:val="20"/>
        </w:rPr>
      </w:pPr>
    </w:p>
    <w:p w:rsidR="00D24E61" w:rsidRPr="00771368" w:rsidRDefault="00D24E61">
      <w:pPr>
        <w:rPr>
          <w:sz w:val="20"/>
          <w:szCs w:val="20"/>
        </w:rPr>
      </w:pPr>
      <w:r w:rsidRPr="00771368">
        <w:rPr>
          <w:b/>
          <w:bCs/>
          <w:sz w:val="24"/>
          <w:szCs w:val="24"/>
        </w:rPr>
        <w:t>A AMBIVALÊNCIA SOBRE O (A) SUJEITO (A) FEMININO NEGRO</w:t>
      </w:r>
    </w:p>
    <w:p w:rsidR="00D24E61" w:rsidRPr="00771368" w:rsidRDefault="00D24E61">
      <w:pPr>
        <w:spacing w:line="193" w:lineRule="exact"/>
        <w:rPr>
          <w:sz w:val="20"/>
          <w:szCs w:val="20"/>
        </w:rPr>
      </w:pPr>
    </w:p>
    <w:p w:rsidR="00D24E61" w:rsidRPr="00771368" w:rsidRDefault="00D24E61">
      <w:pPr>
        <w:spacing w:line="347" w:lineRule="auto"/>
        <w:ind w:firstLine="708"/>
        <w:jc w:val="both"/>
        <w:rPr>
          <w:sz w:val="20"/>
          <w:szCs w:val="20"/>
        </w:rPr>
      </w:pPr>
      <w:r w:rsidRPr="00771368">
        <w:rPr>
          <w:sz w:val="24"/>
          <w:szCs w:val="24"/>
        </w:rPr>
        <w:t>Ambivalência corresponde às situações onde não é possível ou é recusado optar entre duas posições – geralmente opostas – mantendo-se e combinando-se estas posições opostas concomitantemente. No entanto, admitir uma ambivalência sociológica nos reporta às estruturas sociais, ou à cultura de uma sociedade e não à personalidade ou estado de sentimento (psicologia).</w:t>
      </w:r>
    </w:p>
    <w:p w:rsidR="00D24E61" w:rsidRPr="00771368" w:rsidRDefault="00D24E61">
      <w:pPr>
        <w:spacing w:line="74"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A ambivalência é um subproduto de um esforço de classificação e chama a um maior empenho classificatório. Mesmo tendo sido criada através de uma recusa de nomear e classificar, só pode ser extinta, segundo Bauman (1999, p. 11), “através de uma nomeação ainda mais exata e classes definidas de modo mais preciso ainda: isto é, com operações tais</w:t>
      </w:r>
    </w:p>
    <w:p w:rsidR="00D24E61" w:rsidRPr="00771368" w:rsidRDefault="00D24E61">
      <w:pPr>
        <w:sectPr w:rsidR="00D24E61" w:rsidRPr="00771368">
          <w:pgSz w:w="11900" w:h="16838"/>
          <w:pgMar w:top="1411" w:right="1400" w:bottom="1096"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34" w:lineRule="auto"/>
        <w:jc w:val="both"/>
        <w:rPr>
          <w:sz w:val="20"/>
          <w:szCs w:val="20"/>
        </w:rPr>
      </w:pPr>
      <w:r w:rsidRPr="00771368">
        <w:rPr>
          <w:sz w:val="24"/>
          <w:szCs w:val="24"/>
        </w:rPr>
        <w:t>que farão demandas ainda mais exigentes (contrafactuais) à descontinuidade e transparência do mundo”, dando assim mais lugar à ambiguidade, onde a ambivalência prossegue com força porque, segundo o autor, cria seus próprios problemas enquanto os resolve.</w:t>
      </w:r>
    </w:p>
    <w:p w:rsidR="00D24E61" w:rsidRPr="00771368" w:rsidRDefault="00D24E61">
      <w:pPr>
        <w:spacing w:line="89" w:lineRule="exact"/>
        <w:rPr>
          <w:sz w:val="20"/>
          <w:szCs w:val="20"/>
        </w:rPr>
      </w:pPr>
    </w:p>
    <w:p w:rsidR="00D24E61" w:rsidRPr="00771368" w:rsidRDefault="00D24E61">
      <w:pPr>
        <w:spacing w:line="347" w:lineRule="auto"/>
        <w:ind w:firstLine="708"/>
        <w:jc w:val="both"/>
        <w:rPr>
          <w:sz w:val="20"/>
          <w:szCs w:val="20"/>
        </w:rPr>
      </w:pPr>
      <w:r w:rsidRPr="00771368">
        <w:rPr>
          <w:sz w:val="24"/>
          <w:szCs w:val="24"/>
        </w:rPr>
        <w:t>Entretanto, a ambivalência que aqui se diz possível não é a que aceita conviver com duas condições opostas, como as apresentadas anteriormente por Bourdieu e Touraine, como uma concessão frente a um mundo “implacavelmente ambíguo”. Entende-se ser a impossibilidade de afirmar que é somente uma a condição que atualmente faz parte das vivências e das experiências da maioria das mulheres negras.</w:t>
      </w:r>
    </w:p>
    <w:p w:rsidR="00D24E61" w:rsidRPr="00771368" w:rsidRDefault="00D24E61">
      <w:pPr>
        <w:spacing w:line="77" w:lineRule="exact"/>
        <w:rPr>
          <w:sz w:val="20"/>
          <w:szCs w:val="20"/>
        </w:rPr>
      </w:pPr>
    </w:p>
    <w:p w:rsidR="00D24E61" w:rsidRPr="00771368" w:rsidRDefault="00D24E61">
      <w:pPr>
        <w:spacing w:line="327" w:lineRule="auto"/>
        <w:ind w:firstLine="708"/>
        <w:jc w:val="both"/>
        <w:rPr>
          <w:sz w:val="20"/>
          <w:szCs w:val="20"/>
        </w:rPr>
      </w:pPr>
      <w:r w:rsidRPr="00771368">
        <w:rPr>
          <w:sz w:val="24"/>
          <w:szCs w:val="24"/>
        </w:rPr>
        <w:t>Ao remeter-se o pensamento a situações práticas cotidianas, ou seja, da rotina dessas mulheres, o que pode parecer acontecendo, por vezes, é que essa situação ambivalente fortalece o peso que as mulheres já vinham carregando</w:t>
      </w:r>
      <w:r w:rsidRPr="00771368">
        <w:rPr>
          <w:sz w:val="32"/>
          <w:szCs w:val="32"/>
          <w:vertAlign w:val="superscript"/>
        </w:rPr>
        <w:t>5</w:t>
      </w:r>
      <w:r w:rsidRPr="00771368">
        <w:rPr>
          <w:sz w:val="24"/>
          <w:szCs w:val="24"/>
        </w:rPr>
        <w:t xml:space="preserve"> quando ainda estavam presas apenas ao espaço privado e à função de reprodução, pois pouco se abdicou (muitas vezes por não conseguirem) das tarefas cotidianas, muito menos se deixou, no geral, de ser “mãe-esposa/companheira-profissional-doméstica".</w:t>
      </w:r>
    </w:p>
    <w:p w:rsidR="00D24E61" w:rsidRPr="00771368" w:rsidRDefault="00D24E61">
      <w:pPr>
        <w:spacing w:line="103" w:lineRule="exact"/>
        <w:rPr>
          <w:sz w:val="20"/>
          <w:szCs w:val="20"/>
        </w:rPr>
      </w:pPr>
    </w:p>
    <w:p w:rsidR="00D24E61" w:rsidRPr="00771368" w:rsidRDefault="00D24E61">
      <w:pPr>
        <w:spacing w:line="342" w:lineRule="auto"/>
        <w:ind w:firstLine="708"/>
        <w:jc w:val="both"/>
        <w:rPr>
          <w:sz w:val="20"/>
          <w:szCs w:val="20"/>
        </w:rPr>
      </w:pPr>
      <w:r w:rsidRPr="00771368">
        <w:rPr>
          <w:sz w:val="24"/>
          <w:szCs w:val="24"/>
        </w:rPr>
        <w:t>Contudo, nesse momento, opta-se pela hipótese da existência de uma ambivalência na condição em que se encontram as mulheres negras, dominadas, mas sujeitas (ou sujeitos); reprodutoras, mas produtoras; chefes de família, mas, mães; esposas/companheiras com uma função social, mas mulheres que se constituem por si.</w:t>
      </w:r>
    </w:p>
    <w:p w:rsidR="00D24E61" w:rsidRPr="00771368" w:rsidRDefault="00D24E61">
      <w:pPr>
        <w:spacing w:line="200" w:lineRule="exact"/>
        <w:rPr>
          <w:sz w:val="20"/>
          <w:szCs w:val="20"/>
        </w:rPr>
      </w:pPr>
    </w:p>
    <w:p w:rsidR="00D24E61" w:rsidRPr="00771368" w:rsidRDefault="00D24E61">
      <w:pPr>
        <w:spacing w:line="243" w:lineRule="exact"/>
        <w:rPr>
          <w:sz w:val="20"/>
          <w:szCs w:val="20"/>
        </w:rPr>
      </w:pPr>
    </w:p>
    <w:p w:rsidR="00D24E61" w:rsidRPr="00771368" w:rsidRDefault="00D24E61">
      <w:pPr>
        <w:ind w:left="700"/>
        <w:rPr>
          <w:sz w:val="20"/>
          <w:szCs w:val="20"/>
        </w:rPr>
      </w:pPr>
      <w:r w:rsidRPr="00771368">
        <w:rPr>
          <w:b/>
          <w:bCs/>
          <w:sz w:val="24"/>
          <w:szCs w:val="24"/>
        </w:rPr>
        <w:t>METODOLOGIA</w:t>
      </w:r>
    </w:p>
    <w:p w:rsidR="00D24E61" w:rsidRPr="00771368" w:rsidRDefault="00D24E61">
      <w:pPr>
        <w:spacing w:line="193" w:lineRule="exact"/>
        <w:rPr>
          <w:sz w:val="20"/>
          <w:szCs w:val="20"/>
        </w:rPr>
      </w:pPr>
    </w:p>
    <w:p w:rsidR="00D24E61" w:rsidRPr="00771368" w:rsidRDefault="00D24E61">
      <w:pPr>
        <w:spacing w:line="355" w:lineRule="auto"/>
        <w:ind w:firstLine="708"/>
        <w:jc w:val="both"/>
        <w:rPr>
          <w:sz w:val="20"/>
          <w:szCs w:val="20"/>
        </w:rPr>
      </w:pPr>
      <w:r w:rsidRPr="00771368">
        <w:rPr>
          <w:sz w:val="24"/>
          <w:szCs w:val="24"/>
        </w:rPr>
        <w:t xml:space="preserve">A pesquisa dividiu-se em três momentos: (1) A identificação das quatro personalidades negras, que tem como critérios de participação, mulher, negra, inserida e/ou que esteve em algum momento num contexto conflagrado pela violência e pela criminalidade; atuante em sua comunidade/ bairro ou movimento social há mais de cinco anos, sendo atualmente reconhecida pelos seus trabalhos sociais. (2) Identificada à técnica de estudo de caso qualitativo, segundo Yin </w:t>
      </w:r>
      <w:r w:rsidRPr="00771368">
        <w:rPr>
          <w:color w:val="292526"/>
          <w:sz w:val="24"/>
          <w:szCs w:val="24"/>
        </w:rPr>
        <w:t>(1984, p. 23)</w:t>
      </w:r>
      <w:r w:rsidRPr="00771368">
        <w:rPr>
          <w:sz w:val="24"/>
          <w:szCs w:val="24"/>
        </w:rPr>
        <w:t>: “</w:t>
      </w:r>
      <w:r w:rsidRPr="00771368">
        <w:rPr>
          <w:color w:val="292526"/>
          <w:sz w:val="24"/>
          <w:szCs w:val="24"/>
        </w:rPr>
        <w:t>empírica que investiga um fenômeno</w:t>
      </w:r>
      <w:r w:rsidRPr="00771368">
        <w:rPr>
          <w:sz w:val="24"/>
          <w:szCs w:val="24"/>
        </w:rPr>
        <w:t xml:space="preserve"> </w:t>
      </w:r>
      <w:r w:rsidRPr="00771368">
        <w:rPr>
          <w:color w:val="292526"/>
          <w:sz w:val="24"/>
          <w:szCs w:val="24"/>
        </w:rPr>
        <w:t xml:space="preserve">contemporâneo em seu contexto natural, em que as fronteiras entre o contexto e o fenômeno não são claramente evidentes.”; a qual utilizou o método de entrevistas individuais, com o </w:t>
      </w:r>
      <w:r w:rsidRPr="00771368">
        <w:rPr>
          <w:color w:val="000000"/>
          <w:sz w:val="24"/>
          <w:szCs w:val="24"/>
        </w:rPr>
        <w:t>aparelho gravador ligado, previamente autorizado, em um ambiente indicado pela participante, iniciava a “conversa” organizada de maneira temporal, em que auxiliava a busca nas lembranças mais significantes, como o desenvolvimento do bairro e a participação comunitária, outras situações marcantes que queiram destacar. (3) O terceiro momento foi</w:t>
      </w:r>
    </w:p>
    <w:p w:rsidR="00D24E61" w:rsidRPr="00771368" w:rsidRDefault="00013211">
      <w:pPr>
        <w:spacing w:line="355" w:lineRule="auto"/>
        <w:ind w:firstLine="708"/>
        <w:jc w:val="both"/>
        <w:rPr>
          <w:sz w:val="20"/>
          <w:szCs w:val="20"/>
        </w:rPr>
        <w:sectPr w:rsidR="00D24E61" w:rsidRPr="00771368">
          <w:pgSz w:w="11900" w:h="16838"/>
          <w:pgMar w:top="1440" w:right="1420" w:bottom="1149" w:left="1420" w:header="0" w:footer="0" w:gutter="0"/>
          <w:cols w:space="720" w:equalWidth="0">
            <w:col w:w="9060"/>
          </w:cols>
        </w:sectPr>
      </w:pPr>
      <w:r>
        <w:rPr>
          <w:noProof/>
          <w:sz w:val="20"/>
          <w:szCs w:val="20"/>
        </w:rPr>
        <mc:AlternateContent>
          <mc:Choice Requires="wps">
            <w:drawing>
              <wp:anchor distT="0" distB="0" distL="0" distR="0" simplePos="0" relativeHeight="251805184" behindDoc="0" locked="0" layoutInCell="0" allowOverlap="1">
                <wp:simplePos x="0" y="0"/>
                <wp:positionH relativeFrom="column">
                  <wp:posOffset>17145</wp:posOffset>
                </wp:positionH>
                <wp:positionV relativeFrom="paragraph">
                  <wp:posOffset>124460</wp:posOffset>
                </wp:positionV>
                <wp:extent cx="1829435" cy="0"/>
                <wp:effectExtent l="7620" t="10160" r="10795" b="8890"/>
                <wp:wrapNone/>
                <wp:docPr id="12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80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5pt,9.8pt" to="145.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hn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" o:allowincell="f" strokeweight=".21164mm"/>
            </w:pict>
          </mc:Fallback>
        </mc:AlternateContent>
      </w:r>
    </w:p>
    <w:p w:rsidR="00D24E61" w:rsidRPr="00771368" w:rsidRDefault="00D24E61">
      <w:pPr>
        <w:spacing w:line="299" w:lineRule="exact"/>
        <w:rPr>
          <w:sz w:val="20"/>
          <w:szCs w:val="20"/>
        </w:rPr>
      </w:pPr>
    </w:p>
    <w:p w:rsidR="00D24E61" w:rsidRPr="00771368" w:rsidRDefault="00D24E61">
      <w:pPr>
        <w:spacing w:line="215" w:lineRule="auto"/>
        <w:ind w:hanging="169"/>
        <w:rPr>
          <w:sz w:val="20"/>
          <w:szCs w:val="20"/>
        </w:rPr>
      </w:pPr>
      <w:r w:rsidRPr="00771368">
        <w:rPr>
          <w:rFonts w:eastAsia="Arial"/>
          <w:sz w:val="25"/>
          <w:szCs w:val="25"/>
          <w:vertAlign w:val="superscript"/>
        </w:rPr>
        <w:t>5</w:t>
      </w:r>
      <w:r w:rsidRPr="00771368">
        <w:rPr>
          <w:sz w:val="20"/>
          <w:szCs w:val="20"/>
        </w:rPr>
        <w:t xml:space="preserve"> Sem esforço de promover vitimização, trata-se apenas de relembrar fatos dissertados pelos autores anteriormente.</w:t>
      </w:r>
    </w:p>
    <w:p w:rsidR="00D24E61" w:rsidRPr="00771368" w:rsidRDefault="00D24E61">
      <w:pPr>
        <w:sectPr w:rsidR="00D24E61" w:rsidRPr="00771368">
          <w:type w:val="continuous"/>
          <w:pgSz w:w="11900" w:h="16838"/>
          <w:pgMar w:top="1440" w:right="1420" w:bottom="1149" w:left="1580" w:header="0" w:footer="0" w:gutter="0"/>
          <w:cols w:space="720" w:equalWidth="0">
            <w:col w:w="8900"/>
          </w:cols>
        </w:sectPr>
      </w:pPr>
    </w:p>
    <w:p w:rsidR="00D24E61" w:rsidRPr="00771368" w:rsidRDefault="00D24E61">
      <w:pPr>
        <w:spacing w:line="29" w:lineRule="exact"/>
        <w:rPr>
          <w:sz w:val="20"/>
          <w:szCs w:val="20"/>
        </w:rPr>
      </w:pPr>
    </w:p>
    <w:p w:rsidR="00D24E61" w:rsidRPr="00771368" w:rsidRDefault="00D24E61">
      <w:pPr>
        <w:spacing w:line="347" w:lineRule="auto"/>
        <w:ind w:right="20"/>
        <w:jc w:val="both"/>
        <w:rPr>
          <w:sz w:val="20"/>
          <w:szCs w:val="20"/>
        </w:rPr>
      </w:pPr>
      <w:r w:rsidRPr="00771368">
        <w:rPr>
          <w:sz w:val="24"/>
          <w:szCs w:val="24"/>
        </w:rPr>
        <w:t>análise das histórias de vida das personalidades negras participantes, com ênfase nos contextos em que viveu e que ocupam os processos de desigualdade enfrentados e suas perspectivas futuras. O procedimento de coleta de dados adotado foi de entrevista narrativa, levantamento de dados sócio demográficos, técnicas que privilegiadas para analisar e compreender as personalidades negras participantes.</w:t>
      </w:r>
    </w:p>
    <w:p w:rsidR="00D24E61" w:rsidRPr="00771368" w:rsidRDefault="00D24E61">
      <w:pPr>
        <w:spacing w:line="200" w:lineRule="exact"/>
        <w:rPr>
          <w:sz w:val="20"/>
          <w:szCs w:val="20"/>
        </w:rPr>
      </w:pPr>
    </w:p>
    <w:p w:rsidR="00D24E61" w:rsidRPr="00771368" w:rsidRDefault="00D24E61">
      <w:pPr>
        <w:spacing w:line="236" w:lineRule="exact"/>
        <w:rPr>
          <w:sz w:val="20"/>
          <w:szCs w:val="20"/>
        </w:rPr>
      </w:pPr>
    </w:p>
    <w:p w:rsidR="00D24E61" w:rsidRPr="00771368" w:rsidRDefault="00D24E61">
      <w:pPr>
        <w:rPr>
          <w:sz w:val="20"/>
          <w:szCs w:val="20"/>
        </w:rPr>
      </w:pPr>
      <w:r w:rsidRPr="00771368">
        <w:rPr>
          <w:b/>
          <w:bCs/>
          <w:sz w:val="24"/>
          <w:szCs w:val="24"/>
        </w:rPr>
        <w:t>APRESENTAÇÃO DO ESPAÇO PESQUISADO</w:t>
      </w:r>
    </w:p>
    <w:p w:rsidR="00D24E61" w:rsidRPr="00771368" w:rsidRDefault="00D24E61">
      <w:pPr>
        <w:spacing w:line="190" w:lineRule="exact"/>
        <w:rPr>
          <w:sz w:val="20"/>
          <w:szCs w:val="20"/>
        </w:rPr>
      </w:pPr>
    </w:p>
    <w:p w:rsidR="00D24E61" w:rsidRPr="00771368" w:rsidRDefault="00D24E61">
      <w:pPr>
        <w:spacing w:line="343" w:lineRule="auto"/>
        <w:ind w:right="20" w:firstLine="708"/>
        <w:jc w:val="both"/>
        <w:rPr>
          <w:sz w:val="20"/>
          <w:szCs w:val="20"/>
        </w:rPr>
      </w:pPr>
      <w:r w:rsidRPr="00771368">
        <w:rPr>
          <w:sz w:val="24"/>
          <w:szCs w:val="24"/>
        </w:rPr>
        <w:t>Segundo dados do Instituto Brasileiro de Geografia e Estatística (IBGE), em 2010, a população brasileira chegava a 191 milhões de habitantes. Pela primeira vez na história do país, a população negra é maior, chegando a 97 milhões de pessoas, sendo que 49 milhões o numero de mulheres negras.</w:t>
      </w:r>
    </w:p>
    <w:p w:rsidR="00D24E61" w:rsidRPr="00771368" w:rsidRDefault="00D24E61">
      <w:pPr>
        <w:spacing w:line="79"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Resultados preliminares revelaram que 16,2 milhões de brasileiros, o equivalente a 8,5% da população total do país, vivem em situação de extrema pobreza, recebendo pouco mais de R$ 2,00 por dia. Desse total, 70,8% são negros. A mesma análise revela que esta parte da população não tem acesso a serviços públicos básicos, como água potável e energia elétrica.</w:t>
      </w:r>
    </w:p>
    <w:p w:rsidR="00D24E61" w:rsidRPr="00771368" w:rsidRDefault="00D24E61">
      <w:pPr>
        <w:spacing w:line="77"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 xml:space="preserve">A cidade de Porto Alegre possui uma população de </w:t>
      </w:r>
      <w:r w:rsidRPr="00771368">
        <w:rPr>
          <w:color w:val="1B293D"/>
          <w:sz w:val="24"/>
          <w:szCs w:val="24"/>
        </w:rPr>
        <w:t>1.409.351 pessoas</w:t>
      </w:r>
      <w:r w:rsidRPr="00771368">
        <w:rPr>
          <w:sz w:val="24"/>
          <w:szCs w:val="24"/>
        </w:rPr>
        <w:t xml:space="preserve"> </w:t>
      </w:r>
      <w:r w:rsidRPr="00771368">
        <w:rPr>
          <w:b/>
          <w:bCs/>
          <w:color w:val="1B293D"/>
          <w:sz w:val="24"/>
          <w:szCs w:val="24"/>
        </w:rPr>
        <w:t>(</w:t>
      </w:r>
      <w:r w:rsidRPr="00771368">
        <w:rPr>
          <w:sz w:val="24"/>
          <w:szCs w:val="24"/>
        </w:rPr>
        <w:t>13,2% do Estado), distribuídos em 53,61% mulheres e 46,39% homens. Destaco que 10,21% do total dos/as porto-alegrenses se declararam negros, sendo apenas 5,57% da população do Estado. Sendo assim, a população negra representa 24,18% do total de indivíduos negros no Estado do Rio Grande do Sul.</w:t>
      </w:r>
    </w:p>
    <w:p w:rsidR="00D24E61" w:rsidRPr="00771368" w:rsidRDefault="00D24E61">
      <w:pPr>
        <w:spacing w:line="74" w:lineRule="exact"/>
        <w:rPr>
          <w:sz w:val="20"/>
          <w:szCs w:val="20"/>
        </w:rPr>
      </w:pPr>
    </w:p>
    <w:p w:rsidR="00D24E61" w:rsidRPr="00771368" w:rsidRDefault="00D24E61">
      <w:pPr>
        <w:spacing w:line="351" w:lineRule="auto"/>
        <w:ind w:firstLine="708"/>
        <w:jc w:val="both"/>
        <w:rPr>
          <w:sz w:val="20"/>
          <w:szCs w:val="20"/>
        </w:rPr>
      </w:pPr>
      <w:r w:rsidRPr="00771368">
        <w:rPr>
          <w:sz w:val="24"/>
          <w:szCs w:val="24"/>
        </w:rPr>
        <w:t>Nos últimos dez anos, houve crescimento expressivo das mulheres responsáveis por domicílios, de 38,16% para 49,85% em 2010, em destaque aos bairros que residem três personalidades negras participantes deste estudo, Lomba do Pinheiro, Restinga e Rubem Berta, em que ultrapassaram 40% dos domicílios. Coincidentemente, ou não, concentra a maior parte da população negra da cidade, além do maior número de famílias beneficiárias da Bolsa Família, programa do governo federal, que consiste na redistribuição financeira a famílias, com renda mensal per capita inferior a R$ 70 mensais.</w:t>
      </w:r>
    </w:p>
    <w:p w:rsidR="00D24E61" w:rsidRPr="00771368" w:rsidRDefault="00D24E61">
      <w:pPr>
        <w:spacing w:line="72" w:lineRule="exact"/>
        <w:rPr>
          <w:sz w:val="20"/>
          <w:szCs w:val="20"/>
        </w:rPr>
      </w:pPr>
    </w:p>
    <w:p w:rsidR="00D24E61" w:rsidRPr="00771368" w:rsidRDefault="00D24E61">
      <w:pPr>
        <w:spacing w:line="334" w:lineRule="auto"/>
        <w:ind w:right="20" w:firstLine="708"/>
        <w:jc w:val="both"/>
        <w:rPr>
          <w:sz w:val="20"/>
          <w:szCs w:val="20"/>
        </w:rPr>
      </w:pPr>
      <w:r w:rsidRPr="00771368">
        <w:rPr>
          <w:sz w:val="24"/>
          <w:szCs w:val="24"/>
        </w:rPr>
        <w:t xml:space="preserve">Em 2011, os bairros aqui citados, juntos respondiam por 37% dos homicídios ocorridos em Porto Alegre, e 51.6% do total dos homicídios ocorridos em todo o Estado. Diante disso, o Governo do Estado </w:t>
      </w:r>
      <w:r w:rsidRPr="00771368">
        <w:rPr>
          <w:color w:val="FF0000"/>
          <w:sz w:val="24"/>
          <w:szCs w:val="24"/>
        </w:rPr>
        <w:t>implementou, nestes bairros,</w:t>
      </w:r>
      <w:r w:rsidRPr="00771368">
        <w:rPr>
          <w:sz w:val="24"/>
          <w:szCs w:val="24"/>
        </w:rPr>
        <w:t xml:space="preserve"> o projeto “Território de</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343" w:lineRule="auto"/>
        <w:ind w:left="1"/>
        <w:jc w:val="both"/>
        <w:rPr>
          <w:sz w:val="20"/>
          <w:szCs w:val="20"/>
        </w:rPr>
      </w:pPr>
      <w:r w:rsidRPr="00771368">
        <w:rPr>
          <w:sz w:val="24"/>
          <w:szCs w:val="24"/>
        </w:rPr>
        <w:t>Paz</w:t>
      </w:r>
      <w:r w:rsidRPr="00771368">
        <w:rPr>
          <w:sz w:val="32"/>
          <w:szCs w:val="32"/>
          <w:vertAlign w:val="superscript"/>
        </w:rPr>
        <w:t>6</w:t>
      </w:r>
      <w:r w:rsidRPr="00771368">
        <w:rPr>
          <w:sz w:val="24"/>
          <w:szCs w:val="24"/>
        </w:rPr>
        <w:t>”, diferentemente do projeto das Unidades de Policia Pacificadora (UPPs), instalada em regiões dominadas pelo crime organizado na cidade do Rio de Janeiro, o projeto gaúcho visa produzir um padrão de sociabilidade e de coesão social nas regiões predominadas identificadas, reforçando novas formas de convivência capazes de contribuir para restaurar o tecido social. Desta forma, adentra nos bairros identificados com ações de repreensão policial e atividades sociais desenvolvidas pelas secretarias do Estado. Atualmente somam-se dez Territórios de Paz, sendo quatro em Porto Alegre, dois em Passo Fundo e um nos municípios de Canoas, Vacaria, Santa Cruz do Sul e Esteio.</w:t>
      </w:r>
    </w:p>
    <w:p w:rsidR="00D24E61" w:rsidRPr="00771368" w:rsidRDefault="00D24E61">
      <w:pPr>
        <w:spacing w:line="81" w:lineRule="exact"/>
        <w:rPr>
          <w:sz w:val="20"/>
          <w:szCs w:val="20"/>
        </w:rPr>
      </w:pPr>
    </w:p>
    <w:p w:rsidR="00D24E61" w:rsidRPr="00771368" w:rsidRDefault="00D24E61">
      <w:pPr>
        <w:spacing w:line="334" w:lineRule="auto"/>
        <w:ind w:left="1" w:right="20" w:firstLine="708"/>
        <w:jc w:val="both"/>
        <w:rPr>
          <w:sz w:val="20"/>
          <w:szCs w:val="20"/>
        </w:rPr>
      </w:pPr>
      <w:r w:rsidRPr="00771368">
        <w:rPr>
          <w:sz w:val="24"/>
          <w:szCs w:val="24"/>
        </w:rPr>
        <w:t>Devida a minha experiência profissional em projetos sociais e mobilização comunitária, recebi convite para integra à equipe do Programa Estadual de Segurança Pública com Cidadania – RS NA PAZ, o qual coordena o projeto referido.</w:t>
      </w:r>
    </w:p>
    <w:p w:rsidR="00D24E61" w:rsidRPr="00771368" w:rsidRDefault="00D24E61">
      <w:pPr>
        <w:spacing w:line="89" w:lineRule="exact"/>
        <w:rPr>
          <w:sz w:val="20"/>
          <w:szCs w:val="20"/>
        </w:rPr>
      </w:pPr>
    </w:p>
    <w:p w:rsidR="00D24E61" w:rsidRPr="00771368" w:rsidRDefault="00D24E61">
      <w:pPr>
        <w:spacing w:line="351" w:lineRule="auto"/>
        <w:ind w:left="1" w:right="20" w:firstLine="708"/>
        <w:jc w:val="both"/>
        <w:rPr>
          <w:sz w:val="20"/>
          <w:szCs w:val="20"/>
        </w:rPr>
      </w:pPr>
      <w:r w:rsidRPr="00771368">
        <w:rPr>
          <w:sz w:val="24"/>
          <w:szCs w:val="24"/>
        </w:rPr>
        <w:t>Minha função é realizara diagnóstico dos bairros que receberão o projeto, identificando e mobilizando atores sociais que já vem realizando ações de prevenção á violência na região, como as pessoas que compõem as redes de proteção social, os organismos e as lideranças comunitárias, a fim de estas pessoas multipliquem uma cultura da paz no Território de paz, além de buscar e pressionar os gestores municipais e estaduais, garantindo transversalidade nas políticas públicas, bem como qualidade no atendimento, e nos equipamentos públicos disponibilizados aos moradores dos Territórios de Paz.</w:t>
      </w:r>
    </w:p>
    <w:p w:rsidR="00D24E61" w:rsidRPr="00771368" w:rsidRDefault="00D24E61">
      <w:pPr>
        <w:spacing w:line="74" w:lineRule="exact"/>
        <w:rPr>
          <w:sz w:val="20"/>
          <w:szCs w:val="20"/>
        </w:rPr>
      </w:pPr>
    </w:p>
    <w:p w:rsidR="00D24E61" w:rsidRPr="00771368" w:rsidRDefault="00D24E61">
      <w:pPr>
        <w:spacing w:line="342" w:lineRule="auto"/>
        <w:ind w:left="1" w:right="20" w:firstLine="708"/>
        <w:jc w:val="both"/>
        <w:rPr>
          <w:sz w:val="20"/>
          <w:szCs w:val="20"/>
        </w:rPr>
      </w:pPr>
      <w:r w:rsidRPr="00771368">
        <w:rPr>
          <w:sz w:val="24"/>
          <w:szCs w:val="24"/>
        </w:rPr>
        <w:t>Devido ao meu trabalho, participo de inúmeras reuniões comunitárias e eventos promovidos pelas lideranças comunitárias dos Territórios de Paz, durante o ano de 2012, onde me possibilitou aproximação gradativa, de maneira que pude identificar e comprovar o protagonismo três mulheres negras residentes respectivamente dos locais, já citados.</w:t>
      </w:r>
    </w:p>
    <w:p w:rsidR="00D24E61" w:rsidRPr="00771368" w:rsidRDefault="00D24E61">
      <w:pPr>
        <w:spacing w:line="83" w:lineRule="exact"/>
        <w:rPr>
          <w:sz w:val="20"/>
          <w:szCs w:val="20"/>
        </w:rPr>
      </w:pPr>
    </w:p>
    <w:p w:rsidR="00D24E61" w:rsidRPr="00771368" w:rsidRDefault="00D24E61">
      <w:pPr>
        <w:spacing w:line="333" w:lineRule="auto"/>
        <w:ind w:left="1" w:right="20" w:firstLine="768"/>
        <w:jc w:val="both"/>
        <w:rPr>
          <w:sz w:val="20"/>
          <w:szCs w:val="20"/>
        </w:rPr>
      </w:pPr>
      <w:r w:rsidRPr="00771368">
        <w:rPr>
          <w:sz w:val="24"/>
          <w:szCs w:val="24"/>
        </w:rPr>
        <w:t>A quarta personalidade negra, a qual denominará de Anastácia, é uma forte representante do movimento social negro, traduz toda a sua força e coragem, é reconhecida em todos os espaços sociopolíticos e culturais da população negra gaúcha.</w:t>
      </w:r>
    </w:p>
    <w:p w:rsidR="00D24E61" w:rsidRPr="00771368" w:rsidRDefault="00013211">
      <w:pPr>
        <w:spacing w:line="200" w:lineRule="exact"/>
        <w:rPr>
          <w:sz w:val="20"/>
          <w:szCs w:val="20"/>
        </w:rPr>
      </w:pPr>
      <w:r>
        <w:rPr>
          <w:noProof/>
          <w:sz w:val="20"/>
          <w:szCs w:val="20"/>
        </w:rPr>
        <mc:AlternateContent>
          <mc:Choice Requires="wps">
            <w:drawing>
              <wp:anchor distT="0" distB="0" distL="0" distR="0" simplePos="0" relativeHeight="251806208" behindDoc="0" locked="0" layoutInCell="0" allowOverlap="1">
                <wp:simplePos x="0" y="0"/>
                <wp:positionH relativeFrom="column">
                  <wp:posOffset>448945</wp:posOffset>
                </wp:positionH>
                <wp:positionV relativeFrom="paragraph">
                  <wp:posOffset>1000760</wp:posOffset>
                </wp:positionV>
                <wp:extent cx="1829435" cy="0"/>
                <wp:effectExtent l="10795" t="10160" r="7620" b="8890"/>
                <wp:wrapNone/>
                <wp:docPr id="12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80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35pt,78.8pt" to="179.4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GF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" o:allowincell="f" strokeweight=".6pt"/>
            </w:pict>
          </mc:Fallback>
        </mc:AlternateConten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70" w:lineRule="exact"/>
        <w:rPr>
          <w:sz w:val="20"/>
          <w:szCs w:val="20"/>
        </w:rPr>
      </w:pPr>
    </w:p>
    <w:p w:rsidR="00D24E61" w:rsidRPr="00771368" w:rsidRDefault="00D24E61" w:rsidP="00FA0ABA">
      <w:pPr>
        <w:numPr>
          <w:ilvl w:val="0"/>
          <w:numId w:val="19"/>
        </w:numPr>
        <w:tabs>
          <w:tab w:val="left" w:pos="141"/>
        </w:tabs>
        <w:spacing w:line="188" w:lineRule="auto"/>
        <w:ind w:left="141" w:right="20" w:hanging="141"/>
        <w:jc w:val="both"/>
        <w:rPr>
          <w:sz w:val="32"/>
          <w:szCs w:val="32"/>
          <w:vertAlign w:val="superscript"/>
        </w:rPr>
      </w:pPr>
      <w:r w:rsidRPr="00771368">
        <w:rPr>
          <w:sz w:val="20"/>
          <w:szCs w:val="20"/>
        </w:rPr>
        <w:t>Em 2011, o Governo do Estado do Rio Grande do Sul implementou o Programa Estadual de Segurança Pública com Cidadania – RS na PAZ. Através da Secretaria da Segurança Pública, tem como política de governo o projeto “Territórios de Paz” baseado no princípio do Programa Nacional de Segurança com Cidadania,</w:t>
      </w:r>
    </w:p>
    <w:p w:rsidR="00D24E61" w:rsidRPr="00771368" w:rsidRDefault="00D24E61">
      <w:pPr>
        <w:spacing w:line="52" w:lineRule="exact"/>
        <w:rPr>
          <w:sz w:val="32"/>
          <w:szCs w:val="32"/>
          <w:vertAlign w:val="superscript"/>
        </w:rPr>
      </w:pPr>
    </w:p>
    <w:p w:rsidR="00D24E61" w:rsidRPr="00771368" w:rsidRDefault="00D24E61">
      <w:pPr>
        <w:spacing w:line="227" w:lineRule="auto"/>
        <w:ind w:left="141" w:right="20"/>
        <w:jc w:val="both"/>
        <w:rPr>
          <w:sz w:val="32"/>
          <w:szCs w:val="32"/>
          <w:vertAlign w:val="superscript"/>
        </w:rPr>
      </w:pPr>
      <w:r w:rsidRPr="00771368">
        <w:rPr>
          <w:sz w:val="20"/>
          <w:szCs w:val="20"/>
        </w:rPr>
        <w:t>(PRONASCI), o qual defende que segurança pública não é sinônimo apenas de polícia, essa política de governo reside na percepção de que o diálogo entre ações sociais e policiais é fundamental para a redução dos índices de violência e criminalidade. Dentro dessa política há dezessete ações que visam desde a saúde dos trabalhadores da segurança á empregabilidade aos egressos do Sistema Penitenciário.</w:t>
      </w:r>
    </w:p>
    <w:p w:rsidR="00D24E61" w:rsidRPr="00771368" w:rsidRDefault="00D24E61">
      <w:pPr>
        <w:sectPr w:rsidR="00D24E61" w:rsidRPr="00771368">
          <w:pgSz w:w="11900" w:h="16838"/>
          <w:pgMar w:top="1413" w:right="1400" w:bottom="1440" w:left="1419" w:header="0" w:footer="0" w:gutter="0"/>
          <w:cols w:space="720" w:equalWidth="0">
            <w:col w:w="9081"/>
          </w:cols>
        </w:sectPr>
      </w:pPr>
    </w:p>
    <w:p w:rsidR="00D24E61" w:rsidRPr="00771368" w:rsidRDefault="00D24E61">
      <w:pPr>
        <w:rPr>
          <w:sz w:val="20"/>
          <w:szCs w:val="20"/>
        </w:rPr>
      </w:pPr>
      <w:r w:rsidRPr="00771368">
        <w:rPr>
          <w:b/>
          <w:bCs/>
          <w:sz w:val="24"/>
          <w:szCs w:val="24"/>
        </w:rPr>
        <w:t>APRESENTAÇÃO DAS PERSONALIDADES NEGRAS</w:t>
      </w:r>
    </w:p>
    <w:p w:rsidR="00D24E61" w:rsidRPr="00771368" w:rsidRDefault="00D24E61">
      <w:pPr>
        <w:spacing w:line="190"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Preservo seus nomes e torno a chamá-las por nomes próprios de origem africana, que, para mim, representam de maneira genuína suas personalidades e o grau das suas representatividades (protagonismo) nas suas comunidades de origem, sendo elas, Anastácia, Ebone, Aqualtune e Dandara, grandes representações negras que lutaram pelos seus ideais, os quais ainda são referencias de resistência e valorização da cultura negra.</w:t>
      </w:r>
    </w:p>
    <w:p w:rsidR="00D24E61" w:rsidRPr="00771368" w:rsidRDefault="00D24E61">
      <w:pPr>
        <w:spacing w:line="76" w:lineRule="exact"/>
        <w:rPr>
          <w:sz w:val="20"/>
          <w:szCs w:val="20"/>
        </w:rPr>
      </w:pPr>
    </w:p>
    <w:p w:rsidR="00D24E61" w:rsidRPr="00771368" w:rsidRDefault="00D24E61">
      <w:pPr>
        <w:spacing w:line="354" w:lineRule="auto"/>
        <w:ind w:right="20" w:firstLine="708"/>
        <w:jc w:val="both"/>
        <w:rPr>
          <w:sz w:val="20"/>
          <w:szCs w:val="20"/>
        </w:rPr>
      </w:pPr>
      <w:r w:rsidRPr="00771368">
        <w:rPr>
          <w:b/>
          <w:bCs/>
          <w:sz w:val="24"/>
          <w:szCs w:val="24"/>
        </w:rPr>
        <w:t xml:space="preserve">Anastácia </w:t>
      </w:r>
      <w:r w:rsidRPr="00771368">
        <w:rPr>
          <w:sz w:val="24"/>
          <w:szCs w:val="24"/>
        </w:rPr>
        <w:t>–É uma linda mulher negra</w:t>
      </w:r>
      <w:r w:rsidRPr="00771368">
        <w:rPr>
          <w:color w:val="FF0000"/>
          <w:sz w:val="24"/>
          <w:szCs w:val="24"/>
        </w:rPr>
        <w:t>.</w:t>
      </w:r>
      <w:r w:rsidRPr="00771368">
        <w:rPr>
          <w:b/>
          <w:bCs/>
          <w:sz w:val="24"/>
          <w:szCs w:val="24"/>
        </w:rPr>
        <w:t xml:space="preserve"> </w:t>
      </w:r>
      <w:r w:rsidRPr="00771368">
        <w:rPr>
          <w:sz w:val="24"/>
          <w:szCs w:val="24"/>
        </w:rPr>
        <w:t>Possui um negro na pele invejável, brilhante e</w:t>
      </w:r>
      <w:r w:rsidRPr="00771368">
        <w:rPr>
          <w:b/>
          <w:bCs/>
          <w:sz w:val="24"/>
          <w:szCs w:val="24"/>
        </w:rPr>
        <w:t xml:space="preserve"> </w:t>
      </w:r>
      <w:r w:rsidRPr="00771368">
        <w:rPr>
          <w:sz w:val="24"/>
          <w:szCs w:val="24"/>
        </w:rPr>
        <w:t xml:space="preserve">é muito risonha e implacável em seus comentários, com uma visão muito ampla das questões raciais, de gênero e econômicas. Usa os cabelos trançados que se cruzam no alto da cabeça, parecendo um lindo laço natural. Veste roupas tipicamente afro, bem coloridas. Tem 71 anos, estatura média, solteira e reside com a única filha. Há 40 anos milita nos movimentos sociais negros e feministas. Relatou que é a mais velha de três irmãs. Conviveu maior parte de sua vida com </w:t>
      </w:r>
      <w:r w:rsidRPr="00771368">
        <w:rPr>
          <w:strike/>
          <w:sz w:val="24"/>
          <w:szCs w:val="24"/>
        </w:rPr>
        <w:t>por</w:t>
      </w:r>
      <w:r w:rsidRPr="00771368">
        <w:rPr>
          <w:sz w:val="24"/>
          <w:szCs w:val="24"/>
        </w:rPr>
        <w:t xml:space="preserve"> pessoas não negras, sofreu cotidianamente com a mais perversa forma de racismo – autonegação e a segregação. Trabalhou durante quinze anos com monitores da Fundação do Bem-Estar do Menor-FEBEM. Reconhecida por todo o Estado, devido ao seu trabalho de valorização e resgate da cultura negra, ela revela</w:t>
      </w:r>
      <w:r w:rsidRPr="00771368">
        <w:rPr>
          <w:color w:val="FF0000"/>
          <w:sz w:val="24"/>
          <w:szCs w:val="24"/>
        </w:rPr>
        <w:t>:</w:t>
      </w:r>
    </w:p>
    <w:p w:rsidR="00D24E61" w:rsidRPr="00771368" w:rsidRDefault="00D24E61">
      <w:pPr>
        <w:spacing w:line="200" w:lineRule="exact"/>
        <w:rPr>
          <w:sz w:val="20"/>
          <w:szCs w:val="20"/>
        </w:rPr>
      </w:pPr>
    </w:p>
    <w:p w:rsidR="00D24E61" w:rsidRPr="00771368" w:rsidRDefault="00D24E61">
      <w:pPr>
        <w:spacing w:line="273" w:lineRule="exact"/>
        <w:rPr>
          <w:sz w:val="20"/>
          <w:szCs w:val="20"/>
        </w:rPr>
      </w:pPr>
    </w:p>
    <w:p w:rsidR="00D24E61" w:rsidRPr="00771368" w:rsidRDefault="00D24E61">
      <w:pPr>
        <w:spacing w:line="355" w:lineRule="auto"/>
        <w:ind w:left="2560" w:right="20"/>
        <w:jc w:val="both"/>
        <w:rPr>
          <w:sz w:val="20"/>
          <w:szCs w:val="20"/>
        </w:rPr>
      </w:pPr>
      <w:r w:rsidRPr="00771368">
        <w:rPr>
          <w:sz w:val="20"/>
          <w:szCs w:val="20"/>
        </w:rPr>
        <w:t>Recebo convite de todo tipo, de câmaras de vereadores de Porto Alegre, Sapucaia e Esteio, de secretarias municipais, estaduais, escolas, coordenadorias da mulher, comunidades tradicionais, de associações de moradores, de coletivos femininos, de organismos comunitários, paróquias, casa de religião de matriz africana, redes de proteção social nas comunidades conflagradas pela violência (Restinga, Morro da Cruz, Santa Tereza, Rubem Berta), de universidades, de várias vertentes do movimento negro, recebi uma homenagem do Uninegro ano passado, por todo o meu trabalho realizado em prol a comunidade negra. Muitas vezes me convida apenas para que participe, faça uma representação rápida, pego contato das entidades parceiras e socializo para os coletivos que participo. Sabe que às vezes participo apenas para legitimar alguns espaços, coletivos e propostas de intervenção.</w:t>
      </w:r>
    </w:p>
    <w:p w:rsidR="00D24E61" w:rsidRPr="00771368" w:rsidRDefault="00D24E61">
      <w:pPr>
        <w:spacing w:line="200" w:lineRule="exact"/>
        <w:rPr>
          <w:sz w:val="20"/>
          <w:szCs w:val="20"/>
        </w:rPr>
      </w:pPr>
    </w:p>
    <w:p w:rsidR="00D24E61" w:rsidRPr="00771368" w:rsidRDefault="00D24E61">
      <w:pPr>
        <w:spacing w:line="214" w:lineRule="exact"/>
        <w:rPr>
          <w:sz w:val="20"/>
          <w:szCs w:val="20"/>
        </w:rPr>
      </w:pPr>
    </w:p>
    <w:p w:rsidR="00D24E61" w:rsidRPr="00771368" w:rsidRDefault="00D24E61">
      <w:pPr>
        <w:spacing w:line="349" w:lineRule="auto"/>
        <w:ind w:firstLine="708"/>
        <w:jc w:val="both"/>
        <w:rPr>
          <w:sz w:val="20"/>
          <w:szCs w:val="20"/>
        </w:rPr>
      </w:pPr>
      <w:r w:rsidRPr="00771368">
        <w:rPr>
          <w:b/>
          <w:bCs/>
          <w:sz w:val="24"/>
          <w:szCs w:val="24"/>
        </w:rPr>
        <w:t>Aqualtune-</w:t>
      </w:r>
      <w:r w:rsidRPr="00771368">
        <w:rPr>
          <w:sz w:val="24"/>
          <w:szCs w:val="24"/>
        </w:rPr>
        <w:t>É negra, alta, magra, de cabelos tingidos de vermelho escuro, olhos</w:t>
      </w:r>
      <w:r w:rsidRPr="00771368">
        <w:rPr>
          <w:b/>
          <w:bCs/>
          <w:sz w:val="24"/>
          <w:szCs w:val="24"/>
        </w:rPr>
        <w:t xml:space="preserve"> </w:t>
      </w:r>
      <w:r w:rsidRPr="00771368">
        <w:rPr>
          <w:sz w:val="24"/>
          <w:szCs w:val="24"/>
        </w:rPr>
        <w:t>assustados, com um sorriso acolhedor, fala alto e gesticula</w:t>
      </w:r>
      <w:r w:rsidRPr="00771368">
        <w:rPr>
          <w:strike/>
          <w:sz w:val="24"/>
          <w:szCs w:val="24"/>
        </w:rPr>
        <w:t>va</w:t>
      </w:r>
      <w:r w:rsidRPr="00771368">
        <w:rPr>
          <w:sz w:val="24"/>
          <w:szCs w:val="24"/>
        </w:rPr>
        <w:t xml:space="preserve"> bastante. Cresceu em três internatos diferentes, sendo a mais velha de quatro filhos. Tem 55 anos, </w:t>
      </w:r>
      <w:r w:rsidRPr="00771368">
        <w:rPr>
          <w:b/>
          <w:bCs/>
          <w:sz w:val="24"/>
          <w:szCs w:val="24"/>
        </w:rPr>
        <w:t>c</w:t>
      </w:r>
      <w:r w:rsidRPr="00771368">
        <w:rPr>
          <w:sz w:val="24"/>
          <w:szCs w:val="24"/>
        </w:rPr>
        <w:t>asou-se duas vezeses tem cinco filhos. Concluiu o Ensino Médio, foi dependente química e alcoólatra. Tentou tirar a vida algumas vezes, e,depois de um aborto, ficou em coma setenta e cinco dias. Após essa vitória, decidiu mudar a sua vida. Foi quando começou a participar de reuniões comunitárias e</w:t>
      </w:r>
    </w:p>
    <w:p w:rsidR="00D24E61" w:rsidRPr="00771368" w:rsidRDefault="00D24E61">
      <w:pPr>
        <w:sectPr w:rsidR="00D24E61" w:rsidRPr="00771368">
          <w:pgSz w:w="11900" w:h="16838"/>
          <w:pgMar w:top="1416" w:right="1400" w:bottom="1161" w:left="1420" w:header="0" w:footer="0" w:gutter="0"/>
          <w:cols w:space="720" w:equalWidth="0">
            <w:col w:w="9080"/>
          </w:cols>
        </w:sectPr>
      </w:pPr>
    </w:p>
    <w:p w:rsidR="00D24E61" w:rsidRPr="00771368" w:rsidRDefault="00D24E61">
      <w:pPr>
        <w:tabs>
          <w:tab w:val="left" w:pos="7860"/>
        </w:tabs>
        <w:rPr>
          <w:sz w:val="20"/>
          <w:szCs w:val="20"/>
        </w:rPr>
      </w:pPr>
      <w:r w:rsidRPr="00771368">
        <w:rPr>
          <w:sz w:val="24"/>
          <w:szCs w:val="24"/>
        </w:rPr>
        <w:t>a  reivindicar  por  melhorias.  Sua  atuação  ampliou,  integrou  o  coletivo  da</w:t>
      </w:r>
      <w:r w:rsidRPr="00771368">
        <w:rPr>
          <w:sz w:val="20"/>
          <w:szCs w:val="20"/>
        </w:rPr>
        <w:tab/>
      </w:r>
      <w:r w:rsidRPr="00771368">
        <w:rPr>
          <w:i/>
          <w:iCs/>
          <w:sz w:val="24"/>
          <w:szCs w:val="24"/>
        </w:rPr>
        <w:t>Fome  Zero</w:t>
      </w:r>
      <w:r w:rsidRPr="00771368">
        <w:rPr>
          <w:sz w:val="24"/>
          <w:szCs w:val="24"/>
        </w:rPr>
        <w:t>,</w:t>
      </w:r>
    </w:p>
    <w:p w:rsidR="00D24E61" w:rsidRPr="00771368" w:rsidRDefault="00D24E61">
      <w:pPr>
        <w:spacing w:line="195" w:lineRule="exact"/>
        <w:rPr>
          <w:sz w:val="20"/>
          <w:szCs w:val="20"/>
        </w:rPr>
      </w:pPr>
    </w:p>
    <w:p w:rsidR="00D24E61" w:rsidRPr="00771368" w:rsidRDefault="00D24E61">
      <w:pPr>
        <w:spacing w:line="343" w:lineRule="auto"/>
        <w:ind w:right="20"/>
        <w:jc w:val="both"/>
        <w:rPr>
          <w:sz w:val="20"/>
          <w:szCs w:val="20"/>
        </w:rPr>
      </w:pPr>
      <w:r w:rsidRPr="00771368">
        <w:rPr>
          <w:i/>
          <w:iCs/>
          <w:sz w:val="24"/>
          <w:szCs w:val="24"/>
        </w:rPr>
        <w:t xml:space="preserve">Movimento dos Trabalhadores Sem Terra </w:t>
      </w:r>
      <w:r w:rsidRPr="00771368">
        <w:rPr>
          <w:sz w:val="24"/>
          <w:szCs w:val="24"/>
        </w:rPr>
        <w:t>(MST), e atualmente é coordenadora do Centro</w:t>
      </w:r>
      <w:r w:rsidRPr="00771368">
        <w:rPr>
          <w:i/>
          <w:iCs/>
          <w:sz w:val="24"/>
          <w:szCs w:val="24"/>
        </w:rPr>
        <w:t xml:space="preserve"> </w:t>
      </w:r>
      <w:r w:rsidRPr="00771368">
        <w:rPr>
          <w:sz w:val="24"/>
          <w:szCs w:val="24"/>
        </w:rPr>
        <w:t>Cultural na Parada 13, Conselheira da Saúde na região de São Pedro e Conselheira do Orçamento Participativo.Também é Mulher da Paz do Território de Paz Lomba do Pinheiro, zona leste de Porto Alegre.</w:t>
      </w:r>
    </w:p>
    <w:p w:rsidR="00D24E61" w:rsidRPr="00771368" w:rsidRDefault="00D24E61">
      <w:pPr>
        <w:spacing w:line="200" w:lineRule="exact"/>
        <w:rPr>
          <w:sz w:val="20"/>
          <w:szCs w:val="20"/>
        </w:rPr>
      </w:pPr>
    </w:p>
    <w:p w:rsidR="00D24E61" w:rsidRPr="00771368" w:rsidRDefault="00D24E61">
      <w:pPr>
        <w:spacing w:line="284" w:lineRule="exact"/>
        <w:rPr>
          <w:sz w:val="20"/>
          <w:szCs w:val="20"/>
        </w:rPr>
      </w:pPr>
    </w:p>
    <w:p w:rsidR="00D24E61" w:rsidRPr="00771368" w:rsidRDefault="00D24E61">
      <w:pPr>
        <w:spacing w:line="343" w:lineRule="auto"/>
        <w:ind w:left="2560" w:right="20"/>
        <w:jc w:val="both"/>
        <w:rPr>
          <w:sz w:val="20"/>
          <w:szCs w:val="20"/>
        </w:rPr>
      </w:pPr>
      <w:r w:rsidRPr="00771368">
        <w:rPr>
          <w:sz w:val="20"/>
          <w:szCs w:val="20"/>
        </w:rPr>
        <w:t>Quando eu vi que eu ia morrer mesmo, que eu falei com Deus, onde eu pedi pra ele para voltar, e ele deixou, eu voltei com toda a força e com intuito de fazer a diferença, e o que eu faço até hoje, ajudo as pessoas que precisam, isso vai além de mim né, sempre que eu me posso ajudo, luto pela minha comunidade...</w:t>
      </w:r>
    </w:p>
    <w:p w:rsidR="00D24E61" w:rsidRPr="00771368" w:rsidRDefault="00D24E61">
      <w:pPr>
        <w:spacing w:line="200" w:lineRule="exact"/>
        <w:rPr>
          <w:sz w:val="20"/>
          <w:szCs w:val="20"/>
        </w:rPr>
      </w:pPr>
    </w:p>
    <w:p w:rsidR="00D24E61" w:rsidRPr="00771368" w:rsidRDefault="00D24E61">
      <w:pPr>
        <w:spacing w:line="219" w:lineRule="exact"/>
        <w:rPr>
          <w:sz w:val="20"/>
          <w:szCs w:val="20"/>
        </w:rPr>
      </w:pPr>
    </w:p>
    <w:p w:rsidR="00D24E61" w:rsidRPr="00771368" w:rsidRDefault="00D24E61">
      <w:pPr>
        <w:spacing w:line="354" w:lineRule="auto"/>
        <w:ind w:firstLine="708"/>
        <w:jc w:val="both"/>
        <w:rPr>
          <w:sz w:val="20"/>
          <w:szCs w:val="20"/>
        </w:rPr>
      </w:pPr>
      <w:r w:rsidRPr="00771368">
        <w:rPr>
          <w:b/>
          <w:bCs/>
          <w:sz w:val="24"/>
          <w:szCs w:val="24"/>
        </w:rPr>
        <w:t>Dandara</w:t>
      </w:r>
      <w:r w:rsidRPr="00771368">
        <w:rPr>
          <w:sz w:val="24"/>
          <w:szCs w:val="24"/>
        </w:rPr>
        <w:t>–</w:t>
      </w:r>
      <w:r w:rsidRPr="00771368">
        <w:rPr>
          <w:b/>
          <w:bCs/>
          <w:sz w:val="24"/>
          <w:szCs w:val="24"/>
        </w:rPr>
        <w:t xml:space="preserve"> </w:t>
      </w:r>
      <w:r w:rsidRPr="00771368">
        <w:rPr>
          <w:sz w:val="24"/>
          <w:szCs w:val="24"/>
        </w:rPr>
        <w:t>Tem uma personalidade forte, é baixa, vaidosa, utiliza aparelho</w:t>
      </w:r>
      <w:r w:rsidRPr="00771368">
        <w:rPr>
          <w:b/>
          <w:bCs/>
          <w:sz w:val="24"/>
          <w:szCs w:val="24"/>
        </w:rPr>
        <w:t xml:space="preserve"> </w:t>
      </w:r>
      <w:r w:rsidRPr="00771368">
        <w:rPr>
          <w:sz w:val="24"/>
          <w:szCs w:val="24"/>
        </w:rPr>
        <w:t xml:space="preserve">ortodôntico, seus cabelos são longos, pretos e cacheados. Muito simpática e acolhedora, não aparenta seus 49 anos. Casada, tem uma filha de vinte e cinco anos e um neto de cinco, que lhe chama de papai. Reside há vinte e um anos na vila </w:t>
      </w:r>
      <w:r w:rsidRPr="00771368">
        <w:rPr>
          <w:i/>
          <w:iCs/>
          <w:sz w:val="24"/>
          <w:szCs w:val="24"/>
        </w:rPr>
        <w:t>Beco dos Coqueiros</w:t>
      </w:r>
      <w:r w:rsidRPr="00771368">
        <w:rPr>
          <w:sz w:val="24"/>
          <w:szCs w:val="24"/>
        </w:rPr>
        <w:t>, no Território de Paz Rubem Berta, zona norte de Porto Alegre/RS.Sempre trabalhou fora do bairro, como educadora de escola de educação infantil. Desconhecia a realidade do seu bairro. Atualmente é agente comunitária da Saúde da região mais vulnerável do bairro. Enfrentou racismo institucional quando indicada para coordenação da Rede de Proteção e Assistência Social. Atualmente é coordenadora da Rede pelo terceiro ano consecutivo. Ressalta que seu trabalho só tem êxito e reconhecimento pela sua comunidade por gostar do que faz.</w:t>
      </w:r>
    </w:p>
    <w:p w:rsidR="00D24E61" w:rsidRPr="00771368" w:rsidRDefault="00D24E61">
      <w:pPr>
        <w:spacing w:line="200" w:lineRule="exact"/>
        <w:rPr>
          <w:sz w:val="20"/>
          <w:szCs w:val="20"/>
        </w:rPr>
      </w:pPr>
    </w:p>
    <w:p w:rsidR="00D24E61" w:rsidRPr="00771368" w:rsidRDefault="00D24E61">
      <w:pPr>
        <w:spacing w:line="275" w:lineRule="exact"/>
        <w:rPr>
          <w:sz w:val="20"/>
          <w:szCs w:val="20"/>
        </w:rPr>
      </w:pPr>
    </w:p>
    <w:p w:rsidR="00D24E61" w:rsidRPr="00771368" w:rsidRDefault="00D24E61">
      <w:pPr>
        <w:spacing w:line="347" w:lineRule="auto"/>
        <w:ind w:left="2560" w:right="20"/>
        <w:jc w:val="both"/>
        <w:rPr>
          <w:sz w:val="20"/>
          <w:szCs w:val="20"/>
        </w:rPr>
      </w:pPr>
      <w:r w:rsidRPr="00771368">
        <w:rPr>
          <w:sz w:val="20"/>
          <w:szCs w:val="20"/>
        </w:rPr>
        <w:t>Tudo isso me emotiva a seguir com o meu trabalho na minha comunidade, pois todos me conhecem e reconhecem o meu trabalho, sai de férias apenas do trabalho, porque as pessoas que atendo, e outros também que nem conheço, vieram me procurar na minha casa, na da minha mãe também, dizendo que precisavam da minha ajuda.</w:t>
      </w:r>
    </w:p>
    <w:p w:rsidR="00D24E61" w:rsidRPr="00771368" w:rsidRDefault="00D24E61">
      <w:pPr>
        <w:spacing w:line="200" w:lineRule="exact"/>
        <w:rPr>
          <w:sz w:val="20"/>
          <w:szCs w:val="20"/>
        </w:rPr>
      </w:pPr>
    </w:p>
    <w:p w:rsidR="00D24E61" w:rsidRPr="00771368" w:rsidRDefault="00D24E61">
      <w:pPr>
        <w:spacing w:line="286" w:lineRule="exact"/>
        <w:rPr>
          <w:sz w:val="20"/>
          <w:szCs w:val="20"/>
        </w:rPr>
      </w:pPr>
    </w:p>
    <w:p w:rsidR="00D24E61" w:rsidRPr="00771368" w:rsidRDefault="00D24E61">
      <w:pPr>
        <w:spacing w:line="342" w:lineRule="auto"/>
        <w:ind w:firstLine="708"/>
        <w:jc w:val="both"/>
        <w:rPr>
          <w:sz w:val="20"/>
          <w:szCs w:val="20"/>
        </w:rPr>
      </w:pPr>
      <w:r w:rsidRPr="00771368">
        <w:rPr>
          <w:b/>
          <w:bCs/>
          <w:sz w:val="24"/>
          <w:szCs w:val="24"/>
        </w:rPr>
        <w:t xml:space="preserve">Ebone </w:t>
      </w:r>
      <w:r w:rsidRPr="00771368">
        <w:rPr>
          <w:sz w:val="24"/>
          <w:szCs w:val="24"/>
        </w:rPr>
        <w:t>–Possui uma identidade negra muito forte, além de ricos traços indígenas. Tem</w:t>
      </w:r>
      <w:r w:rsidRPr="00771368">
        <w:rPr>
          <w:b/>
          <w:bCs/>
          <w:sz w:val="24"/>
          <w:szCs w:val="24"/>
        </w:rPr>
        <w:t xml:space="preserve"> </w:t>
      </w:r>
      <w:r w:rsidRPr="00771368">
        <w:rPr>
          <w:sz w:val="24"/>
          <w:szCs w:val="24"/>
        </w:rPr>
        <w:t>49 anos de idade, é magra e de estatura baixa, de olhos cor de mel, com tom de voz baixa, mas muito firme.É mãe de quatro filhos maiores de 15 anos. Separada, mora com o filho mais novo, no loteamento Chácara do Banco, área rural do Território de Paz Restinga, zona sul de</w:t>
      </w:r>
    </w:p>
    <w:p w:rsidR="00D24E61" w:rsidRPr="00771368" w:rsidRDefault="00D24E61">
      <w:pPr>
        <w:spacing w:line="83" w:lineRule="exact"/>
        <w:rPr>
          <w:sz w:val="20"/>
          <w:szCs w:val="20"/>
        </w:rPr>
      </w:pPr>
    </w:p>
    <w:p w:rsidR="00D24E61" w:rsidRPr="00771368" w:rsidRDefault="00D24E61">
      <w:pPr>
        <w:spacing w:line="334" w:lineRule="auto"/>
        <w:ind w:right="20"/>
        <w:jc w:val="both"/>
        <w:rPr>
          <w:sz w:val="20"/>
          <w:szCs w:val="20"/>
        </w:rPr>
      </w:pPr>
      <w:r w:rsidRPr="00771368">
        <w:rPr>
          <w:sz w:val="24"/>
          <w:szCs w:val="24"/>
        </w:rPr>
        <w:t>Porto Alegre. Atualmente está “encostada” no INSS, por problemas de saúde. Cursa Serviço Social na universidade IPA- Metodista. Tornou-se vice-presidente da associação de moradores do loteamento Chácara do Banco, dando sequência ao trabalho iniciado pelo seu</w:t>
      </w:r>
    </w:p>
    <w:p w:rsidR="00D24E61" w:rsidRPr="00771368" w:rsidRDefault="00D24E61">
      <w:pPr>
        <w:sectPr w:rsidR="00D24E61" w:rsidRPr="00771368">
          <w:pgSz w:w="11900" w:h="16838"/>
          <w:pgMar w:top="1411" w:right="1400" w:bottom="144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9" w:lineRule="auto"/>
        <w:ind w:right="20"/>
        <w:jc w:val="both"/>
        <w:rPr>
          <w:sz w:val="20"/>
          <w:szCs w:val="20"/>
        </w:rPr>
      </w:pPr>
      <w:r w:rsidRPr="00771368">
        <w:rPr>
          <w:sz w:val="24"/>
          <w:szCs w:val="24"/>
        </w:rPr>
        <w:t>pai. Revela que ao assumir a função na associação de moradores não tinha</w:t>
      </w:r>
      <w:r w:rsidRPr="00771368">
        <w:rPr>
          <w:strike/>
          <w:sz w:val="24"/>
          <w:szCs w:val="24"/>
        </w:rPr>
        <w:t>m</w:t>
      </w:r>
      <w:r w:rsidRPr="00771368">
        <w:rPr>
          <w:sz w:val="24"/>
          <w:szCs w:val="24"/>
        </w:rPr>
        <w:t xml:space="preserve"> a menor noção da proporção em que se tornaria a sua atuação na comunidade, como também desconhecia o funcionamento dos equipamentos, a administração pública (municipal e estadual), os organismos e lideranças comunitárias. Hoje, orgulha-se que toda a sua caminhada garantiu melhorias a sua comunidade. É uma Mulheres da Paz e foi homenageada na Câmara de Vereadores de Porto Alegre, como liderança negra do bairro Restinga.</w:t>
      </w:r>
    </w:p>
    <w:p w:rsidR="00D24E61" w:rsidRPr="00771368" w:rsidRDefault="00D24E61">
      <w:pPr>
        <w:spacing w:line="200" w:lineRule="exact"/>
        <w:rPr>
          <w:sz w:val="20"/>
          <w:szCs w:val="20"/>
        </w:rPr>
      </w:pPr>
    </w:p>
    <w:p w:rsidR="00D24E61" w:rsidRPr="00771368" w:rsidRDefault="00D24E61">
      <w:pPr>
        <w:spacing w:line="279" w:lineRule="exact"/>
        <w:rPr>
          <w:sz w:val="20"/>
          <w:szCs w:val="20"/>
        </w:rPr>
      </w:pPr>
    </w:p>
    <w:p w:rsidR="00D24E61" w:rsidRPr="00771368" w:rsidRDefault="00D24E61">
      <w:pPr>
        <w:spacing w:line="350" w:lineRule="auto"/>
        <w:ind w:left="2560" w:right="20"/>
        <w:jc w:val="both"/>
        <w:rPr>
          <w:sz w:val="20"/>
          <w:szCs w:val="20"/>
        </w:rPr>
      </w:pPr>
      <w:r w:rsidRPr="00771368">
        <w:rPr>
          <w:sz w:val="20"/>
          <w:szCs w:val="20"/>
        </w:rPr>
        <w:t>Hoje estou radiante por tudo que eu faço. Como todo mundo aqui me conhece, então, fiquei naquela coisa de ajudar todo mundo e, hoje, incorporei isso como natural. Não tenho horário, às vezes tem ações na associação (chácara do banco), as pessoas vem direto na minha casa, não tenho final de semana, cansaço, nada! Estou sempre ajudando a minha comunidade, eu sei que tem que ter um espaço pra min, mas não consigo deixar de ajudar.</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05" w:lineRule="exact"/>
        <w:rPr>
          <w:sz w:val="20"/>
          <w:szCs w:val="20"/>
        </w:rPr>
      </w:pPr>
    </w:p>
    <w:p w:rsidR="00D24E61" w:rsidRPr="00771368" w:rsidRDefault="00D24E61">
      <w:pPr>
        <w:rPr>
          <w:sz w:val="20"/>
          <w:szCs w:val="20"/>
        </w:rPr>
      </w:pPr>
      <w:r w:rsidRPr="00771368">
        <w:rPr>
          <w:b/>
          <w:bCs/>
          <w:sz w:val="24"/>
          <w:szCs w:val="24"/>
        </w:rPr>
        <w:t>RESULTADOS OBTIDOS</w:t>
      </w:r>
    </w:p>
    <w:p w:rsidR="00D24E61" w:rsidRPr="00771368" w:rsidRDefault="00D24E61">
      <w:pPr>
        <w:spacing w:line="193"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As histórias de vidas analisadas expressam o desejo dessas mulheres em serem sujeitos da própria existência, buscando sentido para suas vidas pessoais, desenvolvendo atividades comunitárias, uma vez que a cultura da sociedade contemporânea não lhes permite conquistar e,tampouco, ocupar cargos profissionais de poder na hierarquia social. Essas personalidades negras buscam reconhecimento a partir das suas ações sociais.</w:t>
      </w:r>
    </w:p>
    <w:p w:rsidR="00D24E61" w:rsidRPr="00771368" w:rsidRDefault="00D24E61">
      <w:pPr>
        <w:spacing w:line="74" w:lineRule="exact"/>
        <w:rPr>
          <w:sz w:val="20"/>
          <w:szCs w:val="20"/>
        </w:rPr>
      </w:pPr>
    </w:p>
    <w:p w:rsidR="00D24E61" w:rsidRPr="00771368" w:rsidRDefault="00D24E61">
      <w:pPr>
        <w:spacing w:line="352" w:lineRule="auto"/>
        <w:ind w:firstLine="708"/>
        <w:jc w:val="both"/>
        <w:rPr>
          <w:sz w:val="20"/>
          <w:szCs w:val="20"/>
        </w:rPr>
      </w:pPr>
      <w:r w:rsidRPr="00771368">
        <w:rPr>
          <w:sz w:val="24"/>
          <w:szCs w:val="24"/>
        </w:rPr>
        <w:t xml:space="preserve">As trajetórias de vida analisadas me possibilitaram uma percepção profunda das várias dimensões das experiências vividas pelas quatro personalidades negras participantes. O trabalho de campo ocorreu durante o ano de 2012, quando,aproveitando o momento de aproximação do programa </w:t>
      </w:r>
      <w:r w:rsidRPr="00771368">
        <w:rPr>
          <w:i/>
          <w:iCs/>
          <w:sz w:val="24"/>
          <w:szCs w:val="24"/>
        </w:rPr>
        <w:t>RS na Paz</w:t>
      </w:r>
      <w:r w:rsidRPr="00771368">
        <w:rPr>
          <w:sz w:val="24"/>
          <w:szCs w:val="24"/>
        </w:rPr>
        <w:t xml:space="preserve"> com as comunidades dos Territórios de Paz, fiz uso de método de etnografia e observações de campo que, no primeiro momento, me possibilitaram identificar as personalidades negras participantes e compreender o contexto social em que estão inseridas, a invisibilidade e a ambivalência sobre a questão racial presente em seus cotidianos.</w:t>
      </w:r>
    </w:p>
    <w:p w:rsidR="00D24E61" w:rsidRPr="00771368" w:rsidRDefault="00D24E61">
      <w:pPr>
        <w:spacing w:line="74" w:lineRule="exact"/>
        <w:rPr>
          <w:sz w:val="20"/>
          <w:szCs w:val="20"/>
        </w:rPr>
      </w:pPr>
    </w:p>
    <w:p w:rsidR="00D24E61" w:rsidRPr="00771368" w:rsidRDefault="00D24E61">
      <w:pPr>
        <w:spacing w:line="347" w:lineRule="auto"/>
        <w:ind w:firstLine="708"/>
        <w:jc w:val="both"/>
        <w:rPr>
          <w:sz w:val="20"/>
          <w:szCs w:val="20"/>
        </w:rPr>
      </w:pPr>
      <w:r w:rsidRPr="00771368">
        <w:rPr>
          <w:sz w:val="24"/>
          <w:szCs w:val="24"/>
        </w:rPr>
        <w:t>Essas personalidades participantes possuem idades entre 41 a 70 anos e ensino médio completo. Dandara e Ebone cursam Serviço Social, na universidade IPA Metodista. Aqualtune sonha com a mesma profissão e a outra é aposentada por tempo de serviço. Ambas são mães com filhos entre 11 e 34 anos. Todas residem na cidade de Porto Alegre há mais de vinte anos.</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9" w:lineRule="exact"/>
        <w:rPr>
          <w:sz w:val="20"/>
          <w:szCs w:val="20"/>
        </w:rPr>
      </w:pPr>
    </w:p>
    <w:p w:rsidR="00D24E61" w:rsidRPr="00771368" w:rsidRDefault="00D24E61">
      <w:pPr>
        <w:spacing w:line="349" w:lineRule="auto"/>
        <w:ind w:firstLine="708"/>
        <w:jc w:val="both"/>
        <w:rPr>
          <w:sz w:val="20"/>
          <w:szCs w:val="20"/>
        </w:rPr>
      </w:pPr>
      <w:r w:rsidRPr="00771368">
        <w:rPr>
          <w:sz w:val="24"/>
          <w:szCs w:val="24"/>
        </w:rPr>
        <w:t>Registro a minha admiração e respeito pelo trabalho desenvolvido por estas mulheres nas suas comunidades, de forma digna, resistindo e preservando as referências culturais, políticas, familiares, religiosas, entre outras, que sedimentaram novas formas de viver diferentes daquelas que o racismo nos impõe. Suas vivências atestam que a luta pela sobrevivência numa sociedade contemporânea e hostil à população negra não se reduz aos estereótipos negativos perpetrados pelo racismo.</w:t>
      </w:r>
    </w:p>
    <w:p w:rsidR="00D24E61" w:rsidRPr="00771368" w:rsidRDefault="00D24E61">
      <w:pPr>
        <w:spacing w:line="76" w:lineRule="exact"/>
        <w:rPr>
          <w:sz w:val="20"/>
          <w:szCs w:val="20"/>
        </w:rPr>
      </w:pPr>
    </w:p>
    <w:p w:rsidR="00D24E61" w:rsidRPr="00771368" w:rsidRDefault="00D24E61">
      <w:pPr>
        <w:spacing w:line="351" w:lineRule="auto"/>
        <w:ind w:firstLine="708"/>
        <w:jc w:val="both"/>
        <w:rPr>
          <w:sz w:val="20"/>
          <w:szCs w:val="20"/>
        </w:rPr>
      </w:pPr>
      <w:r w:rsidRPr="00771368">
        <w:rPr>
          <w:sz w:val="24"/>
          <w:szCs w:val="24"/>
        </w:rPr>
        <w:t>Os resultados obtidos através dos métodos já apresentados revelam que o tripé patriarcado-racismo-classe é indissociável e produz desigualdade e subalternização das mulheres negras, em que, à medida que se tornam referência para suas comunidades e grupos sociais, deixando o lugar de subalternas e/ou inferioridade que lhe é atribuído por razões históricas, as personalidades negras em tela, buscam outros referências de luta e resistência, o que acaba gerando uma ambivalência ao protagonismo vivido. Também relaciono isso como parte do processo de formação da identidade negra.</w:t>
      </w:r>
    </w:p>
    <w:p w:rsidR="00D24E61" w:rsidRPr="00771368" w:rsidRDefault="00D24E61">
      <w:pPr>
        <w:spacing w:line="72" w:lineRule="exact"/>
        <w:rPr>
          <w:sz w:val="20"/>
          <w:szCs w:val="20"/>
        </w:rPr>
      </w:pPr>
    </w:p>
    <w:p w:rsidR="00D24E61" w:rsidRPr="00771368" w:rsidRDefault="00D24E61">
      <w:pPr>
        <w:spacing w:line="334" w:lineRule="auto"/>
        <w:ind w:firstLine="708"/>
        <w:jc w:val="both"/>
        <w:rPr>
          <w:sz w:val="20"/>
          <w:szCs w:val="20"/>
        </w:rPr>
      </w:pPr>
      <w:r w:rsidRPr="00771368">
        <w:rPr>
          <w:sz w:val="24"/>
          <w:szCs w:val="24"/>
        </w:rPr>
        <w:t>Apresento os três conceitos Protagonismo, Invisibilidade e Ambivalência, bem como outros temas que aparecem de forma recorrente nas histórias de vida, destacando as narrativas onde esses temas emergem no discurso das personalidades negras participantes.</w:t>
      </w:r>
    </w:p>
    <w:p w:rsidR="00D24E61" w:rsidRPr="00771368" w:rsidRDefault="00D24E61">
      <w:pPr>
        <w:spacing w:line="200" w:lineRule="exact"/>
        <w:rPr>
          <w:sz w:val="20"/>
          <w:szCs w:val="20"/>
        </w:rPr>
      </w:pPr>
    </w:p>
    <w:p w:rsidR="00D24E61" w:rsidRPr="00771368" w:rsidRDefault="00D24E61">
      <w:pPr>
        <w:spacing w:line="251" w:lineRule="exact"/>
        <w:rPr>
          <w:sz w:val="20"/>
          <w:szCs w:val="20"/>
        </w:rPr>
      </w:pPr>
    </w:p>
    <w:p w:rsidR="00D24E61" w:rsidRPr="00771368" w:rsidRDefault="00D24E61">
      <w:pPr>
        <w:rPr>
          <w:sz w:val="20"/>
          <w:szCs w:val="20"/>
        </w:rPr>
      </w:pPr>
      <w:r w:rsidRPr="00771368">
        <w:rPr>
          <w:b/>
          <w:bCs/>
          <w:sz w:val="24"/>
          <w:szCs w:val="24"/>
        </w:rPr>
        <w:t>HABITUS DA DOMINAÇÃO /SUBALTERNIZAÇÃO</w:t>
      </w:r>
    </w:p>
    <w:p w:rsidR="00D24E61" w:rsidRPr="00771368" w:rsidRDefault="00D24E61">
      <w:pPr>
        <w:spacing w:line="193" w:lineRule="exact"/>
        <w:rPr>
          <w:sz w:val="20"/>
          <w:szCs w:val="20"/>
        </w:rPr>
      </w:pPr>
    </w:p>
    <w:p w:rsidR="00D24E61" w:rsidRPr="00771368" w:rsidRDefault="00D24E61">
      <w:pPr>
        <w:spacing w:line="353" w:lineRule="auto"/>
        <w:ind w:firstLine="708"/>
        <w:jc w:val="both"/>
        <w:rPr>
          <w:sz w:val="20"/>
          <w:szCs w:val="20"/>
        </w:rPr>
      </w:pPr>
      <w:r w:rsidRPr="00771368">
        <w:rPr>
          <w:sz w:val="24"/>
          <w:szCs w:val="24"/>
        </w:rPr>
        <w:t>As personalidades negras participantes retratam, em seus depoimentos, o dilema vivido pelas mulheres da sociedade contemporânea. Romperam com a identidade construída no binômio mãe-esposa. Mas, mesmo com a recusa em se limitar a tais identidades, essas personalidades não se abstêm das incumbências que essas identidades exigem, acumulando-as com as funções decorrentes da busca pela independência financeira, pela formação profissional e pelo aprimoramento intelectual. O espaço da mulher ainda não é de plena igualdade com o do homem, apesar de, geralmente, ela ser a única provedora do lar ou, pelo menos, uma contribuinte importante, já que, na maior parte das vezes, o trabalho doméstico e o cuidado da prole são de sua inteira responsabilidade.</w:t>
      </w:r>
    </w:p>
    <w:p w:rsidR="00D24E61" w:rsidRPr="00771368" w:rsidRDefault="00D24E61">
      <w:pPr>
        <w:spacing w:line="200" w:lineRule="exact"/>
        <w:rPr>
          <w:sz w:val="20"/>
          <w:szCs w:val="20"/>
        </w:rPr>
      </w:pPr>
    </w:p>
    <w:p w:rsidR="00D24E61" w:rsidRPr="00771368" w:rsidRDefault="00D24E61">
      <w:pPr>
        <w:spacing w:line="208" w:lineRule="exact"/>
        <w:rPr>
          <w:sz w:val="20"/>
          <w:szCs w:val="20"/>
        </w:rPr>
      </w:pPr>
    </w:p>
    <w:p w:rsidR="00D24E61" w:rsidRPr="00771368" w:rsidRDefault="00D24E61">
      <w:pPr>
        <w:spacing w:line="333" w:lineRule="auto"/>
        <w:ind w:left="2560"/>
        <w:jc w:val="both"/>
        <w:rPr>
          <w:sz w:val="20"/>
          <w:szCs w:val="20"/>
        </w:rPr>
      </w:pPr>
      <w:r w:rsidRPr="00771368">
        <w:rPr>
          <w:sz w:val="20"/>
          <w:szCs w:val="20"/>
        </w:rPr>
        <w:t>Saía cedo da manhã e voltava no final do dia, estava em casa apenas final de semana, e não sa</w:t>
      </w:r>
      <w:r w:rsidRPr="00771368">
        <w:rPr>
          <w:b/>
          <w:bCs/>
          <w:sz w:val="20"/>
          <w:szCs w:val="20"/>
        </w:rPr>
        <w:t>í</w:t>
      </w:r>
      <w:r w:rsidRPr="00771368">
        <w:rPr>
          <w:sz w:val="20"/>
          <w:szCs w:val="20"/>
        </w:rPr>
        <w:t>a, tinha que cuidar dos filhos e deixar tudo pronto para começo da semana. [...]. (Ebone)</w:t>
      </w:r>
    </w:p>
    <w:p w:rsidR="00D24E61" w:rsidRPr="00771368" w:rsidRDefault="00D24E61">
      <w:pPr>
        <w:sectPr w:rsidR="00D24E61" w:rsidRPr="00771368">
          <w:pgSz w:w="11900" w:h="16838"/>
          <w:pgMar w:top="1440" w:right="1420" w:bottom="1440" w:left="1420" w:header="0" w:footer="0" w:gutter="0"/>
          <w:cols w:space="720" w:equalWidth="0">
            <w:col w:w="9060"/>
          </w:cols>
        </w:sectPr>
      </w:pPr>
    </w:p>
    <w:p w:rsidR="00D24E61" w:rsidRPr="00771368" w:rsidRDefault="00D24E61">
      <w:pPr>
        <w:spacing w:line="19" w:lineRule="exact"/>
        <w:rPr>
          <w:sz w:val="20"/>
          <w:szCs w:val="20"/>
        </w:rPr>
      </w:pPr>
    </w:p>
    <w:p w:rsidR="00D24E61" w:rsidRPr="00771368" w:rsidRDefault="00D24E61">
      <w:pPr>
        <w:spacing w:line="340" w:lineRule="auto"/>
        <w:ind w:left="2560" w:right="20"/>
        <w:jc w:val="both"/>
        <w:rPr>
          <w:sz w:val="20"/>
          <w:szCs w:val="20"/>
        </w:rPr>
      </w:pPr>
      <w:r w:rsidRPr="00771368">
        <w:rPr>
          <w:sz w:val="20"/>
          <w:szCs w:val="20"/>
        </w:rPr>
        <w:t>Criar sozinha nesse mundo sem o pai não, pois o pai tem complicado e sem o dinheiro, então trabalhei muito em serviço gerais</w:t>
      </w:r>
      <w:r w:rsidRPr="00771368">
        <w:rPr>
          <w:sz w:val="25"/>
          <w:szCs w:val="25"/>
          <w:vertAlign w:val="superscript"/>
        </w:rPr>
        <w:t>7</w:t>
      </w:r>
      <w:r w:rsidRPr="00771368">
        <w:rPr>
          <w:sz w:val="20"/>
          <w:szCs w:val="20"/>
        </w:rPr>
        <w:t xml:space="preserve"> entrava em um emprego ás 7horas soltava às 17hs, em outro entrava logo em seguida saia às 24hs, e quando tu tens cinco filhos, tem que arcar com todas as responsabilidades. Eu via os meus filhos nos finais de semana, ai nem via muito, tinha todos os afazeres de casa, e naquele tempo não tinha maquina de lavar roupa, então passava o dia todo no tanque esfregando aquele arsenal de roupas, e no outro dia a segunda começava tudo de novo. (Aqualtune)</w:t>
      </w:r>
    </w:p>
    <w:p w:rsidR="00D24E61" w:rsidRPr="00771368" w:rsidRDefault="00D24E61">
      <w:pPr>
        <w:spacing w:line="200" w:lineRule="exact"/>
        <w:rPr>
          <w:sz w:val="20"/>
          <w:szCs w:val="20"/>
        </w:rPr>
      </w:pPr>
    </w:p>
    <w:p w:rsidR="00D24E61" w:rsidRPr="00771368" w:rsidRDefault="00D24E61">
      <w:pPr>
        <w:spacing w:line="216" w:lineRule="exact"/>
        <w:rPr>
          <w:sz w:val="20"/>
          <w:szCs w:val="20"/>
        </w:rPr>
      </w:pPr>
    </w:p>
    <w:p w:rsidR="00D24E61" w:rsidRPr="00771368" w:rsidRDefault="00D24E61">
      <w:pPr>
        <w:spacing w:line="347" w:lineRule="auto"/>
        <w:ind w:left="2560" w:right="20"/>
        <w:jc w:val="both"/>
        <w:rPr>
          <w:sz w:val="20"/>
          <w:szCs w:val="20"/>
        </w:rPr>
      </w:pPr>
      <w:r w:rsidRPr="00771368">
        <w:rPr>
          <w:sz w:val="20"/>
          <w:szCs w:val="20"/>
        </w:rPr>
        <w:t>Saía cedo da manhã e voltava no final do dia, estava em casa apenas final de semana, e não sa</w:t>
      </w:r>
      <w:r w:rsidRPr="00771368">
        <w:rPr>
          <w:b/>
          <w:bCs/>
          <w:sz w:val="20"/>
          <w:szCs w:val="20"/>
        </w:rPr>
        <w:t>í</w:t>
      </w:r>
      <w:r w:rsidRPr="00771368">
        <w:rPr>
          <w:sz w:val="20"/>
          <w:szCs w:val="20"/>
        </w:rPr>
        <w:t>a, tinha que cuidar dos filhos e deixar tudo pronto para começo da semana. [...] No Instituto de cardiologia, trabalhei como atendente de nutrição, mais de 15 anos, hoje estou afastada, devido a esforço repetitivo, fiz uma operação no ombro e aguardo perícia médica. (Ebone)</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94" w:lineRule="exact"/>
        <w:rPr>
          <w:sz w:val="20"/>
          <w:szCs w:val="20"/>
        </w:rPr>
      </w:pPr>
    </w:p>
    <w:p w:rsidR="00D24E61" w:rsidRPr="00771368" w:rsidRDefault="00D24E61">
      <w:pPr>
        <w:rPr>
          <w:sz w:val="20"/>
          <w:szCs w:val="20"/>
        </w:rPr>
      </w:pPr>
      <w:r w:rsidRPr="00771368">
        <w:rPr>
          <w:b/>
          <w:bCs/>
          <w:sz w:val="24"/>
          <w:szCs w:val="24"/>
        </w:rPr>
        <w:t>PROTAGONISMO – OS (AS) SUJEITOS(AS) DA AÇÃO</w:t>
      </w:r>
    </w:p>
    <w:p w:rsidR="00D24E61" w:rsidRPr="00771368" w:rsidRDefault="00D24E61">
      <w:pPr>
        <w:spacing w:line="191" w:lineRule="exact"/>
        <w:rPr>
          <w:sz w:val="20"/>
          <w:szCs w:val="20"/>
        </w:rPr>
      </w:pPr>
    </w:p>
    <w:p w:rsidR="00D24E61" w:rsidRPr="00771368" w:rsidRDefault="00D24E61">
      <w:pPr>
        <w:spacing w:line="352" w:lineRule="auto"/>
        <w:ind w:firstLine="708"/>
        <w:jc w:val="both"/>
        <w:rPr>
          <w:sz w:val="20"/>
          <w:szCs w:val="20"/>
        </w:rPr>
      </w:pPr>
      <w:r w:rsidRPr="00771368">
        <w:rPr>
          <w:sz w:val="24"/>
          <w:szCs w:val="24"/>
        </w:rPr>
        <w:t>Não posso afirmar que as personalidades negras entrevistadas expressaram, de uma maneira explícita, uma reflexão histórica-política sobre o significado do seu protagonismo na história do Brasil. Entretanto, ao analisar os depoimentos, infiro que estas personalidades representam um processo de rompimento com uma história de exclusão estabelecida, de classe, de raça e de gênero, culminando em afirmações como a luta pela continuidade dos estudos – um fato que, até hoje, se coloca como um complicador na história das mulheres –; a busca de uma profissão que lhe garanta um espaço no mercado de trabalho; a mudança de status social em que vive a maioria das mulheres negras.</w:t>
      </w:r>
    </w:p>
    <w:p w:rsidR="00D24E61" w:rsidRPr="00771368" w:rsidRDefault="00D24E61">
      <w:pPr>
        <w:spacing w:line="200" w:lineRule="exact"/>
        <w:rPr>
          <w:sz w:val="20"/>
          <w:szCs w:val="20"/>
        </w:rPr>
      </w:pPr>
    </w:p>
    <w:p w:rsidR="00D24E61" w:rsidRPr="00771368" w:rsidRDefault="00D24E61">
      <w:pPr>
        <w:spacing w:line="280" w:lineRule="exact"/>
        <w:rPr>
          <w:sz w:val="20"/>
          <w:szCs w:val="20"/>
        </w:rPr>
      </w:pPr>
    </w:p>
    <w:p w:rsidR="00D24E61" w:rsidRPr="00771368" w:rsidRDefault="00D24E61">
      <w:pPr>
        <w:spacing w:line="349" w:lineRule="auto"/>
        <w:ind w:left="2560" w:right="20"/>
        <w:jc w:val="both"/>
        <w:rPr>
          <w:sz w:val="20"/>
          <w:szCs w:val="20"/>
        </w:rPr>
      </w:pPr>
      <w:r w:rsidRPr="00771368">
        <w:rPr>
          <w:sz w:val="20"/>
          <w:szCs w:val="20"/>
        </w:rPr>
        <w:t>Fora que para mim que moro na vila, e impossível ver ou até mesmo ficar sabendo a partir de denuncias, que são muitas, de situações dessas e não dar o devido encaminhamento, não acionar órgãos competentes é impraticável para mim. Lembro que nunca havia pensado que um dia faria esse trabalho e que me daria tanto prazer assim, nunca havia feito nada na minha comunidade. (Dandara)</w:t>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47" w:lineRule="exact"/>
        <w:rPr>
          <w:sz w:val="20"/>
          <w:szCs w:val="20"/>
        </w:rPr>
      </w:pPr>
    </w:p>
    <w:p w:rsidR="00D24E61" w:rsidRPr="00771368" w:rsidRDefault="00D24E61">
      <w:pPr>
        <w:rPr>
          <w:sz w:val="20"/>
          <w:szCs w:val="20"/>
        </w:rPr>
      </w:pPr>
      <w:r w:rsidRPr="00771368">
        <w:rPr>
          <w:b/>
          <w:bCs/>
          <w:sz w:val="24"/>
          <w:szCs w:val="24"/>
        </w:rPr>
        <w:t>RACISMO E A INVISIBILIDADE SOCIAL</w:t>
      </w:r>
    </w:p>
    <w:p w:rsidR="00D24E61" w:rsidRPr="00771368" w:rsidRDefault="00013211">
      <w:pPr>
        <w:rPr>
          <w:sz w:val="20"/>
          <w:szCs w:val="20"/>
        </w:rPr>
        <w:sectPr w:rsidR="00D24E61" w:rsidRPr="00771368">
          <w:pgSz w:w="11900" w:h="16838"/>
          <w:pgMar w:top="1440" w:right="1400" w:bottom="1106" w:left="1420" w:header="0" w:footer="0" w:gutter="0"/>
          <w:cols w:space="720" w:equalWidth="0">
            <w:col w:w="9080"/>
          </w:cols>
        </w:sectPr>
      </w:pPr>
      <w:r>
        <w:rPr>
          <w:noProof/>
          <w:sz w:val="20"/>
          <w:szCs w:val="20"/>
        </w:rPr>
        <mc:AlternateContent>
          <mc:Choice Requires="wps">
            <w:drawing>
              <wp:anchor distT="0" distB="0" distL="0" distR="0" simplePos="0" relativeHeight="251807232" behindDoc="0" locked="0" layoutInCell="0" allowOverlap="1">
                <wp:simplePos x="0" y="0"/>
                <wp:positionH relativeFrom="column">
                  <wp:posOffset>448310</wp:posOffset>
                </wp:positionH>
                <wp:positionV relativeFrom="paragraph">
                  <wp:posOffset>217170</wp:posOffset>
                </wp:positionV>
                <wp:extent cx="1829435" cy="0"/>
                <wp:effectExtent l="10160" t="7620" r="8255" b="11430"/>
                <wp:wrapNone/>
                <wp:docPr id="12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80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3pt,17.1pt" to="179.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" o:allowincell="f" strokeweight=".6pt"/>
            </w:pict>
          </mc:Fallback>
        </mc:AlternateContent>
      </w:r>
    </w:p>
    <w:p w:rsidR="00D24E61" w:rsidRPr="00771368" w:rsidRDefault="00D24E61">
      <w:pPr>
        <w:spacing w:line="200" w:lineRule="exact"/>
        <w:rPr>
          <w:sz w:val="20"/>
          <w:szCs w:val="20"/>
        </w:rPr>
      </w:pPr>
    </w:p>
    <w:p w:rsidR="00D24E61" w:rsidRPr="00771368" w:rsidRDefault="00D24E61">
      <w:pPr>
        <w:spacing w:line="245" w:lineRule="exact"/>
        <w:rPr>
          <w:sz w:val="20"/>
          <w:szCs w:val="20"/>
        </w:rPr>
      </w:pPr>
    </w:p>
    <w:p w:rsidR="00D24E61" w:rsidRPr="00771368" w:rsidRDefault="00D24E61">
      <w:pPr>
        <w:rPr>
          <w:sz w:val="20"/>
          <w:szCs w:val="20"/>
        </w:rPr>
      </w:pPr>
      <w:r w:rsidRPr="00771368">
        <w:rPr>
          <w:rFonts w:eastAsia="Arial"/>
          <w:sz w:val="24"/>
          <w:szCs w:val="24"/>
          <w:vertAlign w:val="superscript"/>
        </w:rPr>
        <w:t>7</w:t>
      </w:r>
      <w:r w:rsidRPr="00771368">
        <w:rPr>
          <w:sz w:val="19"/>
          <w:szCs w:val="19"/>
        </w:rPr>
        <w:t xml:space="preserve"> Limpeza de locais, trabalho pesado e insalubre.</w:t>
      </w:r>
    </w:p>
    <w:p w:rsidR="00D24E61" w:rsidRPr="00771368" w:rsidRDefault="00D24E61">
      <w:pPr>
        <w:sectPr w:rsidR="00D24E61" w:rsidRPr="00771368">
          <w:type w:val="continuous"/>
          <w:pgSz w:w="11900" w:h="16838"/>
          <w:pgMar w:top="1440" w:right="5860" w:bottom="1106" w:left="2120" w:header="0" w:footer="0" w:gutter="0"/>
          <w:cols w:space="720" w:equalWidth="0">
            <w:col w:w="3920"/>
          </w:cols>
        </w:sectPr>
      </w:pPr>
    </w:p>
    <w:p w:rsidR="00D24E61" w:rsidRPr="00771368" w:rsidRDefault="00D24E61">
      <w:pPr>
        <w:spacing w:line="29" w:lineRule="exact"/>
        <w:rPr>
          <w:sz w:val="20"/>
          <w:szCs w:val="20"/>
        </w:rPr>
      </w:pPr>
    </w:p>
    <w:p w:rsidR="00D24E61" w:rsidRPr="00771368" w:rsidRDefault="00D24E61">
      <w:pPr>
        <w:spacing w:line="347" w:lineRule="auto"/>
        <w:ind w:right="20" w:firstLine="708"/>
        <w:jc w:val="both"/>
        <w:rPr>
          <w:sz w:val="20"/>
          <w:szCs w:val="20"/>
        </w:rPr>
      </w:pPr>
      <w:r w:rsidRPr="00771368">
        <w:rPr>
          <w:sz w:val="24"/>
          <w:szCs w:val="24"/>
        </w:rPr>
        <w:t>A despeito de todas estas constatações, não chegamos ao ponto desejado. Falta muito para que a sociedade brasileira assuma que a luta pela superação do racismo da discriminação racial e de gênero deve ser incorporada pela sociedade como um todo e não somente pelos grupos que se sentem diretamente atingidos. Falta muito para que nós, mulheres negras, sejamos consideradas, na sociedade contemporânea, como sujeitos de direitos.</w:t>
      </w:r>
    </w:p>
    <w:p w:rsidR="00D24E61" w:rsidRPr="00771368" w:rsidRDefault="00D24E61">
      <w:pPr>
        <w:spacing w:line="200" w:lineRule="exact"/>
        <w:rPr>
          <w:sz w:val="20"/>
          <w:szCs w:val="20"/>
        </w:rPr>
      </w:pPr>
    </w:p>
    <w:p w:rsidR="00D24E61" w:rsidRPr="00771368" w:rsidRDefault="00D24E61">
      <w:pPr>
        <w:spacing w:line="279" w:lineRule="exact"/>
        <w:rPr>
          <w:sz w:val="20"/>
          <w:szCs w:val="20"/>
        </w:rPr>
      </w:pPr>
    </w:p>
    <w:p w:rsidR="00D24E61" w:rsidRPr="00771368" w:rsidRDefault="00D24E61">
      <w:pPr>
        <w:spacing w:line="355" w:lineRule="auto"/>
        <w:ind w:left="2560"/>
        <w:jc w:val="both"/>
        <w:rPr>
          <w:sz w:val="20"/>
          <w:szCs w:val="20"/>
        </w:rPr>
      </w:pPr>
      <w:r w:rsidRPr="00771368">
        <w:rPr>
          <w:sz w:val="20"/>
          <w:szCs w:val="20"/>
        </w:rPr>
        <w:t>Sabe aqui as pessoas passam fome, mesmo, muitas crianças são abusadas pelos pais, tios padrastos. Sabe os aparelhos públicos não funciona como deveriam, encaminho as pessoas para os CRAS e lá as pessoas não recebem um atendimento adequado, quanto não os encaminhamentos se perdem. Para mim os organismos públicos e comunitários deveriam funcionar, as pessoas procuram e não se tem um bom atendimento e encaminhamento a suas demandas. Para ter paz o povo tem ter mais estudo, instrução. A escola não educa, apenas escolariza. A população deveria receber mais informação, conhecimento e educação.[...] Nunca sofri preconceito por causa da cor da minha pele aqui no meu bairro, mas sei bem o que fora daqui, as pessoas te olham com nojo ou pena, quando saio para procurar emprego isso ocorre direto, é muito claro, mesmo tendo mais capacidade, o emprego sempre vai a quem tem a pele mais clara, isso fica nítido né, agente percebe bem. (Aqualtune)</w:t>
      </w:r>
    </w:p>
    <w:p w:rsidR="00D24E61" w:rsidRPr="00771368" w:rsidRDefault="00D24E61">
      <w:pPr>
        <w:spacing w:line="200" w:lineRule="exact"/>
        <w:rPr>
          <w:sz w:val="20"/>
          <w:szCs w:val="20"/>
        </w:rPr>
      </w:pPr>
    </w:p>
    <w:p w:rsidR="00D24E61" w:rsidRPr="00771368" w:rsidRDefault="00D24E61">
      <w:pPr>
        <w:spacing w:line="208" w:lineRule="exact"/>
        <w:rPr>
          <w:sz w:val="20"/>
          <w:szCs w:val="20"/>
        </w:rPr>
      </w:pPr>
    </w:p>
    <w:p w:rsidR="00D24E61" w:rsidRPr="00771368" w:rsidRDefault="00D24E61">
      <w:pPr>
        <w:spacing w:line="353" w:lineRule="auto"/>
        <w:ind w:left="2560" w:right="20"/>
        <w:jc w:val="both"/>
        <w:rPr>
          <w:sz w:val="20"/>
          <w:szCs w:val="20"/>
        </w:rPr>
      </w:pPr>
      <w:r w:rsidRPr="00771368">
        <w:rPr>
          <w:sz w:val="20"/>
          <w:szCs w:val="20"/>
        </w:rPr>
        <w:t>Nesses ambientes quando sou a única negra, o preconceito e a segregação e tanta que eles não me vêem como negra, nesses ambientes, juro, para eles sou branca, isso fica evidente, pois quando proponho levar mais pessoas para agregar no debate, eles logo dizem que não será bom, que dará muito problemas, mesmo argumentando que levarei pessoas que estão acostumadas a discutir com religiosos.[...] Só vista apenas em novembro, que parece que só existe negros na semana da consciência negras, 20 de novembro, o resto do ano, não se discute e tão pouco somos lembrados, quando chega esse período, querem tudo, inclusive missa afro. (Anastásia)</w:t>
      </w:r>
    </w:p>
    <w:p w:rsidR="00D24E61" w:rsidRPr="00771368" w:rsidRDefault="00D24E61">
      <w:pPr>
        <w:spacing w:line="200" w:lineRule="exact"/>
        <w:rPr>
          <w:sz w:val="20"/>
          <w:szCs w:val="20"/>
        </w:rPr>
      </w:pPr>
    </w:p>
    <w:p w:rsidR="00D24E61" w:rsidRPr="00771368" w:rsidRDefault="00D24E61">
      <w:pPr>
        <w:spacing w:line="205" w:lineRule="exact"/>
        <w:rPr>
          <w:sz w:val="20"/>
          <w:szCs w:val="20"/>
        </w:rPr>
      </w:pPr>
    </w:p>
    <w:p w:rsidR="00D24E61" w:rsidRPr="00771368" w:rsidRDefault="00D24E61">
      <w:pPr>
        <w:spacing w:line="343" w:lineRule="auto"/>
        <w:ind w:left="2560" w:right="20"/>
        <w:jc w:val="both"/>
        <w:rPr>
          <w:sz w:val="20"/>
          <w:szCs w:val="20"/>
        </w:rPr>
      </w:pPr>
      <w:r w:rsidRPr="00771368">
        <w:rPr>
          <w:sz w:val="20"/>
          <w:szCs w:val="20"/>
        </w:rPr>
        <w:t>O movimento negro unificado, o qual eu participava, não tinha espaço para as questões da mulher negra, discutíamos a negritude como uma unidade, não havia espaços e também discussões que poderiam levar as outras pessoas discutisse também esse tema, mas pessoas com conhecimento de causa. (Anastácia)</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200" w:lineRule="exact"/>
        <w:rPr>
          <w:sz w:val="20"/>
          <w:szCs w:val="20"/>
        </w:rPr>
      </w:pPr>
    </w:p>
    <w:p w:rsidR="00D24E61" w:rsidRPr="00771368" w:rsidRDefault="00D24E61">
      <w:pPr>
        <w:spacing w:line="257" w:lineRule="exact"/>
        <w:rPr>
          <w:sz w:val="20"/>
          <w:szCs w:val="20"/>
        </w:rPr>
      </w:pPr>
    </w:p>
    <w:p w:rsidR="00D24E61" w:rsidRPr="00771368" w:rsidRDefault="00D24E61">
      <w:pPr>
        <w:spacing w:line="308" w:lineRule="auto"/>
        <w:ind w:firstLine="850"/>
        <w:rPr>
          <w:sz w:val="20"/>
          <w:szCs w:val="20"/>
        </w:rPr>
      </w:pPr>
      <w:r w:rsidRPr="00771368">
        <w:rPr>
          <w:sz w:val="24"/>
          <w:szCs w:val="24"/>
        </w:rPr>
        <w:t>Contudo, cabe ressaltar a experiência dessas personalidades negras na luta pela superação do preconceito e da discriminação racial não somente sua, mas, também, da sua</w:t>
      </w:r>
    </w:p>
    <w:p w:rsidR="00D24E61" w:rsidRPr="00771368" w:rsidRDefault="00D24E61">
      <w:pPr>
        <w:sectPr w:rsidR="00D24E61" w:rsidRPr="00771368">
          <w:type w:val="continuous"/>
          <w:pgSz w:w="11900" w:h="16838"/>
          <w:pgMar w:top="1440" w:right="1420" w:bottom="1440" w:left="1280" w:header="0" w:footer="0" w:gutter="0"/>
          <w:cols w:space="720" w:equalWidth="0">
            <w:col w:w="9200"/>
          </w:cols>
        </w:sectPr>
      </w:pPr>
    </w:p>
    <w:p w:rsidR="00D24E61" w:rsidRPr="00771368" w:rsidRDefault="00D24E61">
      <w:pPr>
        <w:spacing w:line="29" w:lineRule="exact"/>
        <w:rPr>
          <w:sz w:val="20"/>
          <w:szCs w:val="20"/>
        </w:rPr>
      </w:pPr>
    </w:p>
    <w:p w:rsidR="00D24E61" w:rsidRPr="00771368" w:rsidRDefault="00D24E61">
      <w:pPr>
        <w:spacing w:line="308" w:lineRule="auto"/>
        <w:ind w:right="20"/>
        <w:rPr>
          <w:sz w:val="20"/>
          <w:szCs w:val="20"/>
        </w:rPr>
      </w:pPr>
      <w:r w:rsidRPr="00771368">
        <w:rPr>
          <w:sz w:val="24"/>
          <w:szCs w:val="24"/>
        </w:rPr>
        <w:t>comunidade. O protagonismo coloca a população negra em espaços comunitários de decisão e de poder.</w:t>
      </w:r>
    </w:p>
    <w:p w:rsidR="00D24E61" w:rsidRPr="00771368" w:rsidRDefault="00D24E61">
      <w:pPr>
        <w:spacing w:line="200" w:lineRule="exact"/>
        <w:rPr>
          <w:sz w:val="20"/>
          <w:szCs w:val="20"/>
        </w:rPr>
      </w:pPr>
    </w:p>
    <w:p w:rsidR="00D24E61" w:rsidRPr="00771368" w:rsidRDefault="00D24E61">
      <w:pPr>
        <w:spacing w:line="279" w:lineRule="exact"/>
        <w:rPr>
          <w:sz w:val="20"/>
          <w:szCs w:val="20"/>
        </w:rPr>
      </w:pPr>
    </w:p>
    <w:p w:rsidR="00D24E61" w:rsidRPr="00771368" w:rsidRDefault="00D24E61">
      <w:pPr>
        <w:ind w:left="200"/>
        <w:rPr>
          <w:sz w:val="20"/>
          <w:szCs w:val="20"/>
        </w:rPr>
      </w:pPr>
      <w:r w:rsidRPr="00771368">
        <w:rPr>
          <w:b/>
          <w:bCs/>
          <w:sz w:val="24"/>
          <w:szCs w:val="24"/>
        </w:rPr>
        <w:t>CONCLUSÃO</w:t>
      </w:r>
    </w:p>
    <w:p w:rsidR="00D24E61" w:rsidRPr="00771368" w:rsidRDefault="00D24E61">
      <w:pPr>
        <w:spacing w:line="193" w:lineRule="exact"/>
        <w:rPr>
          <w:sz w:val="20"/>
          <w:szCs w:val="20"/>
        </w:rPr>
      </w:pPr>
    </w:p>
    <w:p w:rsidR="00D24E61" w:rsidRPr="00771368" w:rsidRDefault="00D24E61">
      <w:pPr>
        <w:spacing w:line="352" w:lineRule="auto"/>
        <w:ind w:left="140" w:right="20" w:firstLine="708"/>
        <w:jc w:val="both"/>
        <w:rPr>
          <w:sz w:val="20"/>
          <w:szCs w:val="20"/>
        </w:rPr>
      </w:pPr>
      <w:r w:rsidRPr="00771368">
        <w:rPr>
          <w:sz w:val="24"/>
          <w:szCs w:val="24"/>
        </w:rPr>
        <w:t>Vivemos um novo momento, de rediscussão das políticas públicas, devido à ineficácia e os desperdícios de recursos públicos. Atualmente, os gestores públicos vem implementando na sua gestão mecanismos de consulta à população acerca das prioridades de investimento dos recursos públicos. Destaca-se aqui Orçamento Participativo, implementado na gestão do então Governador do Estado, Olívio Dutra, que recebeu prêmios de reconhecimento internacional e é, atualmente, mantido de forma tímida pelo gestor municipal José Fortunati. Essa experiência inspirou outras iniciativas, em que a população decide e aponta as prioridades a serem atendidas.</w:t>
      </w:r>
    </w:p>
    <w:p w:rsidR="00D24E61" w:rsidRPr="00771368" w:rsidRDefault="00D24E61">
      <w:pPr>
        <w:spacing w:line="74" w:lineRule="exact"/>
        <w:rPr>
          <w:sz w:val="20"/>
          <w:szCs w:val="20"/>
        </w:rPr>
      </w:pPr>
    </w:p>
    <w:p w:rsidR="00D24E61" w:rsidRPr="00771368" w:rsidRDefault="00D24E61">
      <w:pPr>
        <w:spacing w:line="351" w:lineRule="auto"/>
        <w:ind w:left="140" w:firstLine="708"/>
        <w:jc w:val="both"/>
        <w:rPr>
          <w:sz w:val="20"/>
          <w:szCs w:val="20"/>
        </w:rPr>
      </w:pPr>
      <w:r w:rsidRPr="00771368">
        <w:rPr>
          <w:sz w:val="24"/>
          <w:szCs w:val="24"/>
        </w:rPr>
        <w:t xml:space="preserve">Percebe-se uma grande preocupação para que as políticas públicas e as ações de governo dialoguem de forma horizontal com as comunidades em geral que receberam a ação. Entende-se ser esta a melhor fórmula para garantir a participação, a efetividade e a continuidade da ação. No </w:t>
      </w:r>
      <w:r w:rsidRPr="00771368">
        <w:rPr>
          <w:color w:val="222222"/>
          <w:sz w:val="24"/>
          <w:szCs w:val="24"/>
        </w:rPr>
        <w:t>projeto</w:t>
      </w:r>
      <w:r w:rsidRPr="00771368">
        <w:rPr>
          <w:sz w:val="24"/>
          <w:szCs w:val="24"/>
        </w:rPr>
        <w:t xml:space="preserve"> </w:t>
      </w:r>
      <w:r w:rsidRPr="00771368">
        <w:rPr>
          <w:i/>
          <w:iCs/>
          <w:color w:val="222222"/>
          <w:sz w:val="24"/>
          <w:szCs w:val="24"/>
        </w:rPr>
        <w:t>RS na PAZ</w:t>
      </w:r>
      <w:r w:rsidRPr="00771368">
        <w:rPr>
          <w:sz w:val="24"/>
          <w:szCs w:val="24"/>
        </w:rPr>
        <w:t xml:space="preserve"> </w:t>
      </w:r>
      <w:r w:rsidRPr="00771368">
        <w:rPr>
          <w:color w:val="222222"/>
          <w:sz w:val="24"/>
          <w:szCs w:val="24"/>
        </w:rPr>
        <w:t>isso não é diferente; para o sucesso do projeto,</w:t>
      </w:r>
      <w:r w:rsidRPr="00771368">
        <w:rPr>
          <w:sz w:val="24"/>
          <w:szCs w:val="24"/>
        </w:rPr>
        <w:t xml:space="preserve"> </w:t>
      </w:r>
      <w:r w:rsidRPr="00771368">
        <w:rPr>
          <w:color w:val="222222"/>
          <w:sz w:val="24"/>
          <w:szCs w:val="24"/>
        </w:rPr>
        <w:t xml:space="preserve">todos devem se envolver (Estado, Município, organismos não governamentais e lideranças comunitárias), rompendo com ciclo de perpetuação da violência, </w:t>
      </w:r>
      <w:r w:rsidRPr="00771368">
        <w:rPr>
          <w:color w:val="000000"/>
          <w:sz w:val="24"/>
          <w:szCs w:val="24"/>
        </w:rPr>
        <w:t>para alcançar-se o tão</w:t>
      </w:r>
      <w:r w:rsidRPr="00771368">
        <w:rPr>
          <w:color w:val="222222"/>
          <w:sz w:val="24"/>
          <w:szCs w:val="24"/>
        </w:rPr>
        <w:t xml:space="preserve"> </w:t>
      </w:r>
      <w:r w:rsidRPr="00771368">
        <w:rPr>
          <w:color w:val="000000"/>
          <w:sz w:val="24"/>
          <w:szCs w:val="24"/>
        </w:rPr>
        <w:t>sonhado Território de Paz.</w:t>
      </w:r>
    </w:p>
    <w:p w:rsidR="00D24E61" w:rsidRPr="00771368" w:rsidRDefault="00D24E61">
      <w:pPr>
        <w:spacing w:line="72" w:lineRule="exact"/>
        <w:rPr>
          <w:sz w:val="20"/>
          <w:szCs w:val="20"/>
        </w:rPr>
      </w:pPr>
    </w:p>
    <w:p w:rsidR="00D24E61" w:rsidRPr="00771368" w:rsidRDefault="00D24E61">
      <w:pPr>
        <w:spacing w:line="343" w:lineRule="auto"/>
        <w:ind w:left="140" w:right="20" w:firstLine="708"/>
        <w:jc w:val="both"/>
        <w:rPr>
          <w:sz w:val="20"/>
          <w:szCs w:val="20"/>
        </w:rPr>
      </w:pPr>
      <w:r w:rsidRPr="00771368">
        <w:rPr>
          <w:sz w:val="24"/>
          <w:szCs w:val="24"/>
        </w:rPr>
        <w:t xml:space="preserve">Saliento que há, sim, uma interlocução dos gestores públicos com as comunidades, mas não estamos maduros o suficiente para alcançar outros níveis de acertos, a qual discuta e solucione a invisibilidade social das mulheres negras em outros espaços </w:t>
      </w:r>
      <w:r w:rsidRPr="00771368">
        <w:rPr>
          <w:color w:val="222222"/>
          <w:sz w:val="24"/>
          <w:szCs w:val="24"/>
        </w:rPr>
        <w:t>na sociedade</w:t>
      </w:r>
      <w:r w:rsidRPr="00771368">
        <w:rPr>
          <w:sz w:val="24"/>
          <w:szCs w:val="24"/>
        </w:rPr>
        <w:t xml:space="preserve"> </w:t>
      </w:r>
      <w:r w:rsidRPr="00771368">
        <w:rPr>
          <w:color w:val="222222"/>
          <w:sz w:val="24"/>
          <w:szCs w:val="24"/>
        </w:rPr>
        <w:t>contemporânea.</w:t>
      </w:r>
    </w:p>
    <w:p w:rsidR="00D24E61" w:rsidRPr="00771368" w:rsidRDefault="00D24E61">
      <w:pPr>
        <w:spacing w:line="78" w:lineRule="exact"/>
        <w:rPr>
          <w:sz w:val="20"/>
          <w:szCs w:val="20"/>
        </w:rPr>
      </w:pPr>
    </w:p>
    <w:p w:rsidR="00D24E61" w:rsidRPr="00771368" w:rsidRDefault="00D24E61">
      <w:pPr>
        <w:spacing w:line="342" w:lineRule="auto"/>
        <w:ind w:left="140" w:right="20" w:firstLine="708"/>
        <w:jc w:val="both"/>
        <w:rPr>
          <w:sz w:val="20"/>
          <w:szCs w:val="20"/>
        </w:rPr>
      </w:pPr>
      <w:r w:rsidRPr="00771368">
        <w:rPr>
          <w:color w:val="222222"/>
          <w:sz w:val="24"/>
          <w:szCs w:val="24"/>
        </w:rPr>
        <w:t xml:space="preserve">Ouvindo as personalidades negras, ainda temos uma presença muito forte nos discursos e no posicionamento contra a violação de direitos, de uma submissão enraizada, tal qual dita à metodologia utilizada, no enfrentamento à violação de direitos, o racismo, assim como na resistência e </w:t>
      </w:r>
      <w:r w:rsidRPr="00771368">
        <w:rPr>
          <w:color w:val="000000"/>
          <w:sz w:val="24"/>
          <w:szCs w:val="24"/>
        </w:rPr>
        <w:t>na busca por melhorias por suas comunidades de origem.</w:t>
      </w:r>
    </w:p>
    <w:p w:rsidR="00D24E61" w:rsidRPr="00771368" w:rsidRDefault="00D24E61">
      <w:pPr>
        <w:spacing w:line="84" w:lineRule="exact"/>
        <w:rPr>
          <w:sz w:val="20"/>
          <w:szCs w:val="20"/>
        </w:rPr>
      </w:pPr>
    </w:p>
    <w:p w:rsidR="00D24E61" w:rsidRPr="00771368" w:rsidRDefault="00D24E61">
      <w:pPr>
        <w:spacing w:line="351" w:lineRule="auto"/>
        <w:ind w:left="140" w:right="20" w:firstLine="708"/>
        <w:jc w:val="both"/>
        <w:rPr>
          <w:sz w:val="20"/>
          <w:szCs w:val="20"/>
        </w:rPr>
      </w:pPr>
      <w:r w:rsidRPr="00771368">
        <w:rPr>
          <w:sz w:val="24"/>
          <w:szCs w:val="24"/>
        </w:rPr>
        <w:t xml:space="preserve">Estas mulheres negras são protagonistas das suas vidas, de suas comunidades, de seus bairros, são reconhecidas e premiadas por seus trabalhos desenvolvidos e suas representações sociais. Ambivalência esta que se apresenta na compreensão e no respeito do protagonismo das mulheres negras – em especial das entrevistadas que são atrizes </w:t>
      </w:r>
      <w:r w:rsidRPr="00771368">
        <w:rPr>
          <w:color w:val="222222"/>
          <w:sz w:val="24"/>
          <w:szCs w:val="24"/>
        </w:rPr>
        <w:t>sociais, conforme</w:t>
      </w:r>
      <w:r w:rsidRPr="00771368">
        <w:rPr>
          <w:sz w:val="24"/>
          <w:szCs w:val="24"/>
        </w:rPr>
        <w:t xml:space="preserve"> </w:t>
      </w:r>
      <w:r w:rsidRPr="00771368">
        <w:rPr>
          <w:color w:val="222222"/>
          <w:sz w:val="24"/>
          <w:szCs w:val="24"/>
        </w:rPr>
        <w:t>Touraine (2007</w:t>
      </w:r>
      <w:r w:rsidRPr="00771368">
        <w:rPr>
          <w:color w:val="000000"/>
          <w:sz w:val="24"/>
          <w:szCs w:val="24"/>
        </w:rPr>
        <w:t>), mas que se recusam</w:t>
      </w:r>
      <w:r w:rsidRPr="00771368">
        <w:rPr>
          <w:color w:val="222222"/>
          <w:sz w:val="24"/>
          <w:szCs w:val="24"/>
        </w:rPr>
        <w:t xml:space="preserve"> a dar a esta ação uma forma propriamente política. São várias bandeiras que compõem o ser mulher negra que lutam pela garantia de forma universal os direitos da população brasileira periférica. Atualmente, as mulheres negras têm presença</w:t>
      </w:r>
    </w:p>
    <w:p w:rsidR="00D24E61" w:rsidRPr="00771368" w:rsidRDefault="00D24E61">
      <w:pPr>
        <w:sectPr w:rsidR="00D24E61" w:rsidRPr="00771368">
          <w:pgSz w:w="11900" w:h="16838"/>
          <w:pgMar w:top="1440" w:right="1400" w:bottom="1089" w:left="1280" w:header="0" w:footer="0" w:gutter="0"/>
          <w:cols w:space="720" w:equalWidth="0">
            <w:col w:w="9220"/>
          </w:cols>
        </w:sectPr>
      </w:pPr>
    </w:p>
    <w:p w:rsidR="00D24E61" w:rsidRPr="00771368" w:rsidRDefault="00D24E61">
      <w:pPr>
        <w:spacing w:line="29" w:lineRule="exact"/>
        <w:rPr>
          <w:sz w:val="20"/>
          <w:szCs w:val="20"/>
        </w:rPr>
      </w:pPr>
    </w:p>
    <w:p w:rsidR="00D24E61" w:rsidRPr="00771368" w:rsidRDefault="00D24E61">
      <w:pPr>
        <w:spacing w:line="347" w:lineRule="auto"/>
        <w:ind w:right="20"/>
        <w:jc w:val="both"/>
        <w:rPr>
          <w:sz w:val="20"/>
          <w:szCs w:val="20"/>
        </w:rPr>
      </w:pPr>
      <w:r w:rsidRPr="00771368">
        <w:rPr>
          <w:color w:val="222222"/>
          <w:sz w:val="24"/>
          <w:szCs w:val="24"/>
        </w:rPr>
        <w:t xml:space="preserve">marcante nas lutas por melhores condições de vida e </w:t>
      </w:r>
      <w:r w:rsidRPr="00771368">
        <w:rPr>
          <w:color w:val="000000"/>
          <w:sz w:val="24"/>
          <w:szCs w:val="24"/>
        </w:rPr>
        <w:t>reconhecimento de sua atuação nos</w:t>
      </w:r>
      <w:r w:rsidRPr="00771368">
        <w:rPr>
          <w:color w:val="222222"/>
          <w:sz w:val="24"/>
          <w:szCs w:val="24"/>
        </w:rPr>
        <w:t xml:space="preserve"> </w:t>
      </w:r>
      <w:r w:rsidRPr="00771368">
        <w:rPr>
          <w:color w:val="000000"/>
          <w:sz w:val="24"/>
          <w:szCs w:val="24"/>
        </w:rPr>
        <w:t>segmentos familiar, social e profissional. Isso tem ocorrido por meio de diversas formas de organização, desde o período escravista e o pós-abolicionista até os dias atuais, com organizações que, nem sempre, se acomodaram aos moldes formais, mas que foram constantes.</w:t>
      </w:r>
    </w:p>
    <w:p w:rsidR="00D24E61" w:rsidRPr="00771368" w:rsidRDefault="00D24E61">
      <w:pPr>
        <w:spacing w:line="74" w:lineRule="exact"/>
        <w:rPr>
          <w:sz w:val="20"/>
          <w:szCs w:val="20"/>
        </w:rPr>
      </w:pPr>
    </w:p>
    <w:p w:rsidR="00D24E61" w:rsidRPr="00771368" w:rsidRDefault="00D24E61">
      <w:pPr>
        <w:spacing w:line="353" w:lineRule="auto"/>
        <w:ind w:firstLine="708"/>
        <w:jc w:val="both"/>
        <w:rPr>
          <w:sz w:val="20"/>
          <w:szCs w:val="20"/>
        </w:rPr>
      </w:pPr>
      <w:r w:rsidRPr="00771368">
        <w:rPr>
          <w:sz w:val="24"/>
          <w:szCs w:val="24"/>
        </w:rPr>
        <w:t>Finalizo esse artigo com algumas observações, já que se trata de uma pesquisa de análise das histórias de vida de personalidades negras que lutam por qualidade de vida, cultura da paz, melhorias nos serviços públicos prestados a suas comunidades de origem, por fim, por visibilidade de seu protagonismo na sociedade contemporânea, seja na militância dos movimentos de resistência social, na academia, na literatura brasileira,ou na comunidade. Todas vivem numa alusão à diáspora africana, e vivem um processo de amadurecimento (da infância à vida adulta) e de construção identitária baseados nessas andanças e no seu elo com o passado.</w:t>
      </w:r>
    </w:p>
    <w:p w:rsidR="00D24E61" w:rsidRPr="00771368" w:rsidRDefault="00D24E61">
      <w:pPr>
        <w:spacing w:line="65" w:lineRule="exact"/>
        <w:rPr>
          <w:sz w:val="20"/>
          <w:szCs w:val="20"/>
        </w:rPr>
      </w:pPr>
    </w:p>
    <w:p w:rsidR="00D24E61" w:rsidRPr="00771368" w:rsidRDefault="00D24E61">
      <w:pPr>
        <w:spacing w:line="370" w:lineRule="auto"/>
        <w:ind w:right="20" w:firstLine="1416"/>
        <w:jc w:val="both"/>
        <w:rPr>
          <w:sz w:val="20"/>
          <w:szCs w:val="20"/>
        </w:rPr>
      </w:pPr>
      <w:r w:rsidRPr="00771368">
        <w:rPr>
          <w:sz w:val="23"/>
          <w:szCs w:val="23"/>
        </w:rPr>
        <w:t>Essas andanças pela vida afora, o afastamento da família, a pobreza social, uma vida matrimonial marcada pela opressão e violência, a ruptura, o racismo, as marcam como mulheres que submergem num mundo de silêncio. Não tenho dúvida que estas lutas narram o complexo processo de construção de uma “identidade”: Negra, Feminista e Cidadã, que foi oprimida, invisibilizada silenciada pelos cânones universais, e agora buscam estratégias de luta, na prática cotidiana e na militância, para assumir uma “identidade negra”. Mulheres que narram um elo entre passado e presente, falam pelo coletivo e para o coletivo, constroem e reconstroem suas histórias de vida. Por meio dessa oralidade, do diálogo cotidiano, elas se tornam cada vez mais públicas e sujeitas da sua própria história e da história coletiva.</w:t>
      </w:r>
    </w:p>
    <w:p w:rsidR="00D24E61" w:rsidRPr="00771368" w:rsidRDefault="00D24E61">
      <w:pPr>
        <w:spacing w:line="200" w:lineRule="exact"/>
        <w:rPr>
          <w:sz w:val="20"/>
          <w:szCs w:val="20"/>
        </w:rPr>
      </w:pPr>
    </w:p>
    <w:p w:rsidR="00D24E61" w:rsidRPr="00771368" w:rsidRDefault="00D24E61">
      <w:pPr>
        <w:spacing w:line="217" w:lineRule="exact"/>
        <w:rPr>
          <w:sz w:val="20"/>
          <w:szCs w:val="20"/>
        </w:rPr>
      </w:pPr>
    </w:p>
    <w:p w:rsidR="00D24E61" w:rsidRPr="00771368" w:rsidRDefault="00D24E61">
      <w:pPr>
        <w:rPr>
          <w:sz w:val="20"/>
          <w:szCs w:val="20"/>
        </w:rPr>
      </w:pPr>
      <w:r w:rsidRPr="00771368">
        <w:rPr>
          <w:b/>
          <w:bCs/>
          <w:sz w:val="24"/>
          <w:szCs w:val="24"/>
        </w:rPr>
        <w:t>REFERÊNCIAS</w:t>
      </w:r>
    </w:p>
    <w:p w:rsidR="00D24E61" w:rsidRPr="00771368" w:rsidRDefault="00D24E61">
      <w:pPr>
        <w:spacing w:line="191" w:lineRule="exact"/>
        <w:rPr>
          <w:sz w:val="20"/>
          <w:szCs w:val="20"/>
        </w:rPr>
      </w:pPr>
    </w:p>
    <w:p w:rsidR="00D24E61" w:rsidRPr="00771368" w:rsidRDefault="00D24E61">
      <w:pPr>
        <w:spacing w:line="310" w:lineRule="auto"/>
        <w:jc w:val="both"/>
        <w:rPr>
          <w:sz w:val="20"/>
          <w:szCs w:val="20"/>
        </w:rPr>
      </w:pPr>
      <w:r w:rsidRPr="00771368">
        <w:rPr>
          <w:sz w:val="24"/>
          <w:szCs w:val="24"/>
        </w:rPr>
        <w:t xml:space="preserve">APPIAH,Kwame Anthony. </w:t>
      </w:r>
      <w:r w:rsidRPr="00771368">
        <w:rPr>
          <w:b/>
          <w:bCs/>
          <w:sz w:val="24"/>
          <w:szCs w:val="24"/>
        </w:rPr>
        <w:t>Na casa do meu pai, a África na filosofia da cultura</w:t>
      </w:r>
      <w:r w:rsidRPr="00771368">
        <w:rPr>
          <w:sz w:val="24"/>
          <w:szCs w:val="24"/>
        </w:rPr>
        <w:t>. Rio de Janeiro: Contraponto, 1997.</w:t>
      </w:r>
    </w:p>
    <w:p w:rsidR="00D24E61" w:rsidRPr="00771368" w:rsidRDefault="00D24E61">
      <w:pPr>
        <w:spacing w:line="200" w:lineRule="exact"/>
        <w:rPr>
          <w:sz w:val="20"/>
          <w:szCs w:val="20"/>
        </w:rPr>
      </w:pPr>
    </w:p>
    <w:p w:rsidR="00D24E61" w:rsidRPr="00771368" w:rsidRDefault="00D24E61">
      <w:pPr>
        <w:spacing w:line="342" w:lineRule="auto"/>
        <w:ind w:right="20"/>
        <w:jc w:val="both"/>
        <w:rPr>
          <w:sz w:val="20"/>
          <w:szCs w:val="20"/>
        </w:rPr>
      </w:pPr>
      <w:r w:rsidRPr="00771368">
        <w:rPr>
          <w:sz w:val="24"/>
          <w:szCs w:val="24"/>
        </w:rPr>
        <w:t xml:space="preserve">ASANTE, MolefiKete. </w:t>
      </w:r>
      <w:r w:rsidRPr="00771368">
        <w:rPr>
          <w:b/>
          <w:bCs/>
          <w:sz w:val="24"/>
          <w:szCs w:val="24"/>
        </w:rPr>
        <w:t>Afrocentricidade:</w:t>
      </w:r>
      <w:r w:rsidRPr="00771368">
        <w:rPr>
          <w:sz w:val="24"/>
          <w:szCs w:val="24"/>
        </w:rPr>
        <w:t xml:space="preserve"> notas sobre uma posição disciplinar. In: NASCIMENTO, Elisa Larkin (org.). </w:t>
      </w:r>
      <w:r w:rsidRPr="00771368">
        <w:rPr>
          <w:b/>
          <w:bCs/>
          <w:i/>
          <w:iCs/>
          <w:sz w:val="24"/>
          <w:szCs w:val="24"/>
        </w:rPr>
        <w:t>Afrocentricidade:</w:t>
      </w:r>
      <w:r w:rsidRPr="00771368">
        <w:rPr>
          <w:sz w:val="24"/>
          <w:szCs w:val="24"/>
        </w:rPr>
        <w:t>uma abordagem epistemológica inovadora. São Paulo: Selo Negro, 2009, pp. 93-110. (Sankofa: matrizes africanas da cultura brasileira; v. 4)</w:t>
      </w:r>
    </w:p>
    <w:p w:rsidR="00D24E61" w:rsidRPr="00771368" w:rsidRDefault="00D24E61">
      <w:pPr>
        <w:sectPr w:rsidR="00D24E61" w:rsidRPr="00771368">
          <w:pgSz w:w="11900" w:h="16838"/>
          <w:pgMar w:top="1440" w:right="1400" w:bottom="1440" w:left="1420" w:header="0" w:footer="0" w:gutter="0"/>
          <w:cols w:space="720" w:equalWidth="0">
            <w:col w:w="9080"/>
          </w:cols>
        </w:sectPr>
      </w:pPr>
    </w:p>
    <w:p w:rsidR="00D24E61" w:rsidRPr="00771368" w:rsidRDefault="00D24E61">
      <w:pPr>
        <w:spacing w:line="334" w:lineRule="auto"/>
        <w:ind w:right="20"/>
        <w:jc w:val="both"/>
        <w:rPr>
          <w:sz w:val="20"/>
          <w:szCs w:val="20"/>
        </w:rPr>
      </w:pPr>
      <w:r w:rsidRPr="00771368">
        <w:rPr>
          <w:sz w:val="24"/>
          <w:szCs w:val="24"/>
        </w:rPr>
        <w:t xml:space="preserve">BAIRROS, Luiza. "Lembrando Lelia Gonzalez". </w:t>
      </w:r>
      <w:r w:rsidRPr="00D61223">
        <w:rPr>
          <w:sz w:val="24"/>
          <w:szCs w:val="24"/>
          <w:lang w:val="en-US"/>
        </w:rPr>
        <w:t xml:space="preserve">In: WERNECK, Jurema; MENDONÇA, Maisa; WHITE, Evelyn C (Orgs.). </w:t>
      </w:r>
      <w:r w:rsidRPr="00771368">
        <w:rPr>
          <w:b/>
          <w:bCs/>
          <w:sz w:val="24"/>
          <w:szCs w:val="24"/>
        </w:rPr>
        <w:t>O livro da saúde das mulheres negras</w:t>
      </w:r>
      <w:r w:rsidRPr="00771368">
        <w:rPr>
          <w:sz w:val="24"/>
          <w:szCs w:val="24"/>
        </w:rPr>
        <w:t xml:space="preserve"> </w:t>
      </w:r>
      <w:r w:rsidRPr="00771368">
        <w:rPr>
          <w:b/>
          <w:bCs/>
          <w:sz w:val="24"/>
          <w:szCs w:val="24"/>
        </w:rPr>
        <w:t>–</w:t>
      </w:r>
      <w:r w:rsidRPr="00771368">
        <w:rPr>
          <w:sz w:val="24"/>
          <w:szCs w:val="24"/>
        </w:rPr>
        <w:t xml:space="preserve"> </w:t>
      </w:r>
      <w:r w:rsidRPr="00771368">
        <w:rPr>
          <w:b/>
          <w:bCs/>
          <w:sz w:val="24"/>
          <w:szCs w:val="24"/>
        </w:rPr>
        <w:t>nossos passos</w:t>
      </w:r>
      <w:r w:rsidRPr="00771368">
        <w:rPr>
          <w:sz w:val="24"/>
          <w:szCs w:val="24"/>
        </w:rPr>
        <w:t xml:space="preserve"> </w:t>
      </w:r>
      <w:r w:rsidRPr="00771368">
        <w:rPr>
          <w:b/>
          <w:bCs/>
          <w:sz w:val="24"/>
          <w:szCs w:val="24"/>
        </w:rPr>
        <w:t>vêm de longe</w:t>
      </w:r>
      <w:r w:rsidRPr="00771368">
        <w:rPr>
          <w:sz w:val="24"/>
          <w:szCs w:val="24"/>
        </w:rPr>
        <w:t>. Rio de Janeiro: Criola; Pallas, 2000.</w:t>
      </w:r>
    </w:p>
    <w:p w:rsidR="00D24E61" w:rsidRPr="00771368" w:rsidRDefault="00D24E61">
      <w:pPr>
        <w:spacing w:line="200" w:lineRule="exact"/>
        <w:rPr>
          <w:sz w:val="20"/>
          <w:szCs w:val="20"/>
        </w:rPr>
      </w:pPr>
    </w:p>
    <w:p w:rsidR="00D24E61" w:rsidRPr="00771368" w:rsidRDefault="00D24E61">
      <w:pPr>
        <w:spacing w:line="308" w:lineRule="auto"/>
        <w:jc w:val="both"/>
        <w:rPr>
          <w:sz w:val="20"/>
          <w:szCs w:val="20"/>
        </w:rPr>
      </w:pPr>
      <w:r w:rsidRPr="00771368">
        <w:rPr>
          <w:sz w:val="24"/>
          <w:szCs w:val="24"/>
        </w:rPr>
        <w:t>BRASIL. Ministério da Educação.</w:t>
      </w:r>
      <w:r w:rsidRPr="00771368">
        <w:rPr>
          <w:b/>
          <w:bCs/>
          <w:sz w:val="24"/>
          <w:szCs w:val="24"/>
        </w:rPr>
        <w:t>Diretrizes curriculares Nacionais para a educação das</w:t>
      </w:r>
      <w:r w:rsidRPr="00771368">
        <w:rPr>
          <w:sz w:val="24"/>
          <w:szCs w:val="24"/>
        </w:rPr>
        <w:t xml:space="preserve"> </w:t>
      </w:r>
      <w:r w:rsidRPr="00771368">
        <w:rPr>
          <w:b/>
          <w:bCs/>
          <w:sz w:val="24"/>
          <w:szCs w:val="24"/>
        </w:rPr>
        <w:t>relações étnico-raciais e para o ensino de História e cultura afro-brasileira e africana</w:t>
      </w:r>
      <w:r w:rsidRPr="00771368">
        <w:rPr>
          <w:sz w:val="24"/>
          <w:szCs w:val="24"/>
        </w:rPr>
        <w:t>.</w:t>
      </w:r>
    </w:p>
    <w:p w:rsidR="00D24E61" w:rsidRPr="00771368" w:rsidRDefault="00D24E61">
      <w:pPr>
        <w:spacing w:line="61" w:lineRule="exact"/>
        <w:rPr>
          <w:sz w:val="20"/>
          <w:szCs w:val="20"/>
        </w:rPr>
      </w:pPr>
    </w:p>
    <w:p w:rsidR="00D24E61" w:rsidRPr="00771368" w:rsidRDefault="00D24E61">
      <w:pPr>
        <w:rPr>
          <w:sz w:val="20"/>
          <w:szCs w:val="20"/>
        </w:rPr>
      </w:pPr>
      <w:r w:rsidRPr="00771368">
        <w:rPr>
          <w:sz w:val="24"/>
          <w:szCs w:val="24"/>
        </w:rPr>
        <w:t>Brasília: SEPPIR, 2005.</w:t>
      </w:r>
    </w:p>
    <w:p w:rsidR="00D24E61" w:rsidRPr="00771368" w:rsidRDefault="00D24E61">
      <w:pPr>
        <w:spacing w:line="353" w:lineRule="exact"/>
        <w:rPr>
          <w:sz w:val="20"/>
          <w:szCs w:val="20"/>
        </w:rPr>
      </w:pPr>
    </w:p>
    <w:p w:rsidR="00D24E61" w:rsidRPr="00771368" w:rsidRDefault="00D24E61">
      <w:pPr>
        <w:rPr>
          <w:sz w:val="20"/>
          <w:szCs w:val="20"/>
        </w:rPr>
      </w:pPr>
      <w:r w:rsidRPr="00771368">
        <w:rPr>
          <w:sz w:val="24"/>
          <w:szCs w:val="24"/>
        </w:rPr>
        <w:t>CARNEIRO, Sueli. Mulheres em movimento</w:t>
      </w:r>
      <w:r w:rsidRPr="00771368">
        <w:rPr>
          <w:i/>
          <w:iCs/>
          <w:sz w:val="24"/>
          <w:szCs w:val="24"/>
        </w:rPr>
        <w:t>.</w:t>
      </w:r>
      <w:r w:rsidRPr="00771368">
        <w:rPr>
          <w:sz w:val="24"/>
          <w:szCs w:val="24"/>
        </w:rPr>
        <w:t xml:space="preserve"> </w:t>
      </w:r>
      <w:r w:rsidRPr="00771368">
        <w:rPr>
          <w:b/>
          <w:bCs/>
          <w:sz w:val="24"/>
          <w:szCs w:val="24"/>
        </w:rPr>
        <w:t>Estudos Avançados</w:t>
      </w:r>
      <w:r w:rsidRPr="00771368">
        <w:rPr>
          <w:sz w:val="24"/>
          <w:szCs w:val="24"/>
        </w:rPr>
        <w:t>, São Paulo, n. 49, 2003.</w:t>
      </w:r>
    </w:p>
    <w:p w:rsidR="00D24E61" w:rsidRPr="00771368" w:rsidRDefault="00D24E61">
      <w:pPr>
        <w:spacing w:line="334" w:lineRule="auto"/>
        <w:ind w:right="20"/>
        <w:jc w:val="both"/>
        <w:rPr>
          <w:sz w:val="20"/>
          <w:szCs w:val="20"/>
        </w:rPr>
      </w:pPr>
      <w:r w:rsidRPr="00771368">
        <w:rPr>
          <w:sz w:val="24"/>
          <w:szCs w:val="24"/>
        </w:rPr>
        <w:t xml:space="preserve">CASTELLS, Manuel. </w:t>
      </w:r>
      <w:r w:rsidRPr="00771368">
        <w:rPr>
          <w:b/>
          <w:bCs/>
          <w:sz w:val="24"/>
          <w:szCs w:val="24"/>
        </w:rPr>
        <w:t>Paraísos Comunais</w:t>
      </w:r>
      <w:r w:rsidRPr="00771368">
        <w:rPr>
          <w:sz w:val="24"/>
          <w:szCs w:val="24"/>
        </w:rPr>
        <w:t>: identidade e significado na sociedade em rede. In: O poder da Identidade. V. II. Trad. KlaussBrandiniGerhardt. Rio de Janeiro: Paz e Terra, 1999.</w:t>
      </w:r>
    </w:p>
    <w:p w:rsidR="00D24E61" w:rsidRPr="00771368" w:rsidRDefault="00D24E61" w:rsidP="00532078">
      <w:pPr>
        <w:spacing w:line="308" w:lineRule="auto"/>
        <w:ind w:right="-134"/>
        <w:rPr>
          <w:sz w:val="20"/>
          <w:szCs w:val="20"/>
        </w:rPr>
      </w:pPr>
      <w:r w:rsidRPr="00771368">
        <w:rPr>
          <w:sz w:val="24"/>
          <w:szCs w:val="24"/>
        </w:rPr>
        <w:t xml:space="preserve">CAVALLEIRO, Eliane dos Santos. </w:t>
      </w:r>
      <w:r w:rsidRPr="00771368">
        <w:rPr>
          <w:b/>
          <w:bCs/>
          <w:sz w:val="24"/>
          <w:szCs w:val="24"/>
        </w:rPr>
        <w:t>Do silêncio do lar ao silêncio escolar</w:t>
      </w:r>
      <w:r w:rsidRPr="00771368">
        <w:rPr>
          <w:sz w:val="24"/>
          <w:szCs w:val="24"/>
        </w:rPr>
        <w:t xml:space="preserve">. São </w:t>
      </w:r>
      <w:r w:rsidR="00532078">
        <w:rPr>
          <w:sz w:val="24"/>
          <w:szCs w:val="24"/>
        </w:rPr>
        <w:t>P</w:t>
      </w:r>
      <w:r w:rsidRPr="00771368">
        <w:rPr>
          <w:sz w:val="24"/>
          <w:szCs w:val="24"/>
        </w:rPr>
        <w:t xml:space="preserve">aulo, </w:t>
      </w:r>
      <w:r w:rsidR="00532078">
        <w:rPr>
          <w:sz w:val="24"/>
          <w:szCs w:val="24"/>
        </w:rPr>
        <w:t xml:space="preserve"> </w:t>
      </w:r>
      <w:r w:rsidRPr="00771368">
        <w:rPr>
          <w:sz w:val="24"/>
          <w:szCs w:val="24"/>
        </w:rPr>
        <w:t>Ed. 34, 2002.</w:t>
      </w:r>
    </w:p>
    <w:p w:rsidR="00D24E61" w:rsidRPr="00771368" w:rsidRDefault="00D24E61">
      <w:pPr>
        <w:spacing w:line="310" w:lineRule="auto"/>
        <w:rPr>
          <w:sz w:val="20"/>
          <w:szCs w:val="20"/>
        </w:rPr>
      </w:pPr>
      <w:r w:rsidRPr="00771368">
        <w:rPr>
          <w:sz w:val="24"/>
          <w:szCs w:val="24"/>
        </w:rPr>
        <w:t xml:space="preserve">FOLMANN. J. Ivo. O Lugar sociológico do sujeito individual. </w:t>
      </w:r>
      <w:r w:rsidRPr="00771368">
        <w:rPr>
          <w:b/>
          <w:bCs/>
          <w:sz w:val="24"/>
          <w:szCs w:val="24"/>
        </w:rPr>
        <w:t>Estudos Leopoldenses</w:t>
      </w:r>
      <w:r w:rsidRPr="00771368">
        <w:rPr>
          <w:sz w:val="24"/>
          <w:szCs w:val="24"/>
        </w:rPr>
        <w:t>, Série Ciências Humanas, v. 35, n. 155, p. 35-56, 1991.</w:t>
      </w:r>
    </w:p>
    <w:p w:rsidR="00D24E61" w:rsidRPr="00D61223" w:rsidRDefault="00D24E61">
      <w:pPr>
        <w:rPr>
          <w:sz w:val="20"/>
          <w:szCs w:val="20"/>
          <w:lang w:val="en-US"/>
        </w:rPr>
      </w:pPr>
      <w:r w:rsidRPr="00771368">
        <w:rPr>
          <w:sz w:val="24"/>
          <w:szCs w:val="24"/>
        </w:rPr>
        <w:t xml:space="preserve">FOUCAULT, M. </w:t>
      </w:r>
      <w:r w:rsidRPr="00771368">
        <w:rPr>
          <w:b/>
          <w:bCs/>
          <w:sz w:val="24"/>
          <w:szCs w:val="24"/>
        </w:rPr>
        <w:t>A Ordem do Discurso</w:t>
      </w:r>
      <w:r w:rsidRPr="00771368">
        <w:rPr>
          <w:sz w:val="24"/>
          <w:szCs w:val="24"/>
        </w:rPr>
        <w:t xml:space="preserve">. </w:t>
      </w:r>
      <w:r w:rsidRPr="00D61223">
        <w:rPr>
          <w:sz w:val="24"/>
          <w:szCs w:val="24"/>
          <w:lang w:val="en-US"/>
        </w:rPr>
        <w:t>Ed. Loyola, SP, 1996.</w:t>
      </w:r>
    </w:p>
    <w:p w:rsidR="00532078" w:rsidRDefault="00D24E61">
      <w:pPr>
        <w:spacing w:line="333" w:lineRule="auto"/>
        <w:ind w:right="20"/>
        <w:rPr>
          <w:sz w:val="24"/>
          <w:szCs w:val="24"/>
        </w:rPr>
      </w:pPr>
      <w:r w:rsidRPr="00D61223">
        <w:rPr>
          <w:sz w:val="24"/>
          <w:szCs w:val="24"/>
          <w:lang w:val="en-US"/>
        </w:rPr>
        <w:t xml:space="preserve">FOUCAULT, Michel. </w:t>
      </w:r>
      <w:r w:rsidRPr="00771368">
        <w:rPr>
          <w:b/>
          <w:bCs/>
          <w:sz w:val="24"/>
          <w:szCs w:val="24"/>
        </w:rPr>
        <w:t>Em defesa da sociedade</w:t>
      </w:r>
      <w:r w:rsidRPr="00771368">
        <w:rPr>
          <w:sz w:val="24"/>
          <w:szCs w:val="24"/>
        </w:rPr>
        <w:t xml:space="preserve">. São Paulo: Martins Fontes, 1999. p. </w:t>
      </w:r>
    </w:p>
    <w:p w:rsidR="00D24E61" w:rsidRPr="00771368" w:rsidRDefault="00D24E61">
      <w:pPr>
        <w:spacing w:line="333" w:lineRule="auto"/>
        <w:ind w:right="20"/>
        <w:rPr>
          <w:sz w:val="20"/>
          <w:szCs w:val="20"/>
        </w:rPr>
      </w:pPr>
      <w:r w:rsidRPr="00771368">
        <w:rPr>
          <w:sz w:val="24"/>
          <w:szCs w:val="24"/>
        </w:rPr>
        <w:t>GOFFMAN, Erving, Estigma-Notas sobre a Manipulação da Identidade deteriorada. Rio de Janeiro: Jorge Zahar Editor; 1980.</w:t>
      </w:r>
    </w:p>
    <w:p w:rsidR="00D24E61" w:rsidRPr="00771368" w:rsidRDefault="00D24E61">
      <w:pPr>
        <w:spacing w:line="310" w:lineRule="auto"/>
        <w:ind w:right="20"/>
        <w:rPr>
          <w:sz w:val="20"/>
          <w:szCs w:val="20"/>
        </w:rPr>
      </w:pPr>
      <w:r w:rsidRPr="00771368">
        <w:rPr>
          <w:sz w:val="24"/>
          <w:szCs w:val="24"/>
        </w:rPr>
        <w:t xml:space="preserve">GOMES, Nilma Lino. Educação, raça e gênero : relações imersas na alteridade. </w:t>
      </w:r>
      <w:r w:rsidRPr="00771368">
        <w:rPr>
          <w:b/>
          <w:bCs/>
          <w:sz w:val="24"/>
          <w:szCs w:val="24"/>
        </w:rPr>
        <w:t>Cadernos</w:t>
      </w:r>
      <w:r w:rsidRPr="00771368">
        <w:rPr>
          <w:sz w:val="24"/>
          <w:szCs w:val="24"/>
        </w:rPr>
        <w:t xml:space="preserve"> </w:t>
      </w:r>
      <w:r w:rsidRPr="00771368">
        <w:rPr>
          <w:b/>
          <w:bCs/>
          <w:sz w:val="24"/>
          <w:szCs w:val="24"/>
        </w:rPr>
        <w:t>Pagu</w:t>
      </w:r>
      <w:r w:rsidRPr="00771368">
        <w:rPr>
          <w:sz w:val="24"/>
          <w:szCs w:val="24"/>
        </w:rPr>
        <w:t>, Campinas, n. 6-7,1996, p. 67-82.</w:t>
      </w:r>
    </w:p>
    <w:p w:rsidR="00D24E61" w:rsidRPr="00771368" w:rsidRDefault="00D24E61">
      <w:pPr>
        <w:spacing w:line="308" w:lineRule="auto"/>
        <w:ind w:right="20"/>
        <w:rPr>
          <w:sz w:val="20"/>
          <w:szCs w:val="20"/>
        </w:rPr>
      </w:pPr>
      <w:r w:rsidRPr="00771368">
        <w:rPr>
          <w:sz w:val="24"/>
          <w:szCs w:val="24"/>
        </w:rPr>
        <w:t xml:space="preserve">GONÇALVES E SILVA, Petronilha Beatriz. Chegou a hora de darmos a luz a nós mesmas: situando-nos enquanto mulheres e negras. </w:t>
      </w:r>
      <w:r w:rsidRPr="00771368">
        <w:rPr>
          <w:b/>
          <w:bCs/>
          <w:sz w:val="24"/>
          <w:szCs w:val="24"/>
        </w:rPr>
        <w:t>Cadernos Cedes</w:t>
      </w:r>
      <w:r w:rsidRPr="00771368">
        <w:rPr>
          <w:sz w:val="24"/>
          <w:szCs w:val="24"/>
        </w:rPr>
        <w:t>, Campinas, v. 19, n. 45, jul. 1998.</w:t>
      </w:r>
    </w:p>
    <w:p w:rsidR="00D24E61" w:rsidRDefault="00D24E61" w:rsidP="00532078">
      <w:pPr>
        <w:spacing w:line="310" w:lineRule="auto"/>
        <w:ind w:right="20"/>
        <w:rPr>
          <w:sz w:val="24"/>
          <w:szCs w:val="24"/>
        </w:rPr>
      </w:pPr>
      <w:r w:rsidRPr="00771368">
        <w:rPr>
          <w:sz w:val="24"/>
          <w:szCs w:val="24"/>
        </w:rPr>
        <w:t xml:space="preserve">GUIMARÃES, Antonio Sérgio Alfredo. </w:t>
      </w:r>
      <w:r w:rsidRPr="00771368">
        <w:rPr>
          <w:b/>
          <w:bCs/>
          <w:i/>
          <w:iCs/>
          <w:sz w:val="24"/>
          <w:szCs w:val="24"/>
        </w:rPr>
        <w:t>Classes, Raças e Democracia</w:t>
      </w:r>
      <w:r w:rsidRPr="00771368">
        <w:rPr>
          <w:sz w:val="24"/>
          <w:szCs w:val="24"/>
        </w:rPr>
        <w:t>. São Paulo: UFRJ, 1997.</w:t>
      </w:r>
    </w:p>
    <w:p w:rsidR="00D24E61" w:rsidRPr="00771368" w:rsidRDefault="00D24E61">
      <w:pPr>
        <w:rPr>
          <w:sz w:val="20"/>
          <w:szCs w:val="20"/>
        </w:rPr>
      </w:pPr>
      <w:r w:rsidRPr="00771368">
        <w:rPr>
          <w:sz w:val="24"/>
          <w:szCs w:val="24"/>
        </w:rPr>
        <w:t xml:space="preserve">HALL, Stuart. </w:t>
      </w:r>
      <w:r w:rsidRPr="00771368">
        <w:rPr>
          <w:b/>
          <w:bCs/>
          <w:i/>
          <w:iCs/>
          <w:sz w:val="24"/>
          <w:szCs w:val="24"/>
        </w:rPr>
        <w:t>Identidade cultural na pós-modernidade</w:t>
      </w:r>
      <w:r w:rsidRPr="00771368">
        <w:rPr>
          <w:sz w:val="24"/>
          <w:szCs w:val="24"/>
        </w:rPr>
        <w:t>. Rio de Janeiro: DP&amp;A, 2004.</w:t>
      </w:r>
    </w:p>
    <w:p w:rsidR="00D24E61" w:rsidRPr="00771368" w:rsidRDefault="00D24E61">
      <w:pPr>
        <w:spacing w:line="310" w:lineRule="auto"/>
        <w:jc w:val="both"/>
        <w:rPr>
          <w:sz w:val="20"/>
          <w:szCs w:val="20"/>
        </w:rPr>
      </w:pPr>
      <w:r w:rsidRPr="00771368">
        <w:rPr>
          <w:sz w:val="24"/>
          <w:szCs w:val="24"/>
        </w:rPr>
        <w:t xml:space="preserve">JESUS, Ilma Fátima de. Educação, gênero e etnia em território negro. </w:t>
      </w:r>
      <w:r w:rsidRPr="00771368">
        <w:rPr>
          <w:b/>
          <w:bCs/>
          <w:sz w:val="24"/>
          <w:szCs w:val="24"/>
        </w:rPr>
        <w:t>Núcleo de Estudos</w:t>
      </w:r>
      <w:r w:rsidRPr="00771368">
        <w:rPr>
          <w:sz w:val="24"/>
          <w:szCs w:val="24"/>
        </w:rPr>
        <w:t xml:space="preserve"> </w:t>
      </w:r>
      <w:r w:rsidRPr="00771368">
        <w:rPr>
          <w:b/>
          <w:bCs/>
          <w:sz w:val="24"/>
          <w:szCs w:val="24"/>
        </w:rPr>
        <w:t>Negros/NEN</w:t>
      </w:r>
      <w:r w:rsidRPr="00771368">
        <w:rPr>
          <w:sz w:val="24"/>
          <w:szCs w:val="24"/>
        </w:rPr>
        <w:t>, Florianópolis, n. 7, p. 29-48, 2000.</w:t>
      </w:r>
    </w:p>
    <w:p w:rsidR="00D24E61" w:rsidRPr="00771368" w:rsidRDefault="00D24E61">
      <w:pPr>
        <w:rPr>
          <w:sz w:val="20"/>
          <w:szCs w:val="20"/>
        </w:rPr>
      </w:pPr>
      <w:r w:rsidRPr="00771368">
        <w:rPr>
          <w:sz w:val="24"/>
          <w:szCs w:val="24"/>
        </w:rPr>
        <w:t xml:space="preserve">MOURA, Clóvis. </w:t>
      </w:r>
      <w:r w:rsidRPr="00771368">
        <w:rPr>
          <w:b/>
          <w:bCs/>
          <w:sz w:val="24"/>
          <w:szCs w:val="24"/>
        </w:rPr>
        <w:t>Brasil as raízes do Protesto Negro</w:t>
      </w:r>
      <w:r w:rsidRPr="00771368">
        <w:rPr>
          <w:sz w:val="24"/>
          <w:szCs w:val="24"/>
        </w:rPr>
        <w:t>. São Paulo: Global, 1983.</w:t>
      </w:r>
    </w:p>
    <w:p w:rsidR="00D24E61" w:rsidRPr="00771368" w:rsidRDefault="00D24E61">
      <w:pPr>
        <w:spacing w:line="200" w:lineRule="exact"/>
        <w:rPr>
          <w:sz w:val="20"/>
          <w:szCs w:val="20"/>
        </w:rPr>
      </w:pPr>
    </w:p>
    <w:p w:rsidR="00D24E61" w:rsidRPr="00771368" w:rsidRDefault="00D24E61">
      <w:pPr>
        <w:spacing w:line="308" w:lineRule="auto"/>
        <w:ind w:right="20"/>
        <w:jc w:val="both"/>
        <w:rPr>
          <w:sz w:val="20"/>
          <w:szCs w:val="20"/>
        </w:rPr>
      </w:pPr>
      <w:r w:rsidRPr="00771368">
        <w:rPr>
          <w:sz w:val="24"/>
          <w:szCs w:val="24"/>
        </w:rPr>
        <w:t xml:space="preserve">MUNANGA, Kabengele. </w:t>
      </w:r>
      <w:r w:rsidRPr="00771368">
        <w:rPr>
          <w:b/>
          <w:bCs/>
          <w:sz w:val="24"/>
          <w:szCs w:val="24"/>
        </w:rPr>
        <w:t>Rediscutindo a mestiçagem no Brasil</w:t>
      </w:r>
      <w:r w:rsidRPr="00771368">
        <w:rPr>
          <w:sz w:val="24"/>
          <w:szCs w:val="24"/>
        </w:rPr>
        <w:t>: identidade nacional versus identidade negra. Belo Horizonte: Autêntica, 2004.</w:t>
      </w:r>
    </w:p>
    <w:p w:rsidR="00D24E61" w:rsidRPr="00771368" w:rsidRDefault="00D24E61">
      <w:pPr>
        <w:spacing w:line="343" w:lineRule="auto"/>
        <w:ind w:right="20"/>
        <w:jc w:val="both"/>
        <w:rPr>
          <w:sz w:val="20"/>
          <w:szCs w:val="20"/>
        </w:rPr>
      </w:pPr>
      <w:r w:rsidRPr="00771368">
        <w:rPr>
          <w:sz w:val="24"/>
          <w:szCs w:val="24"/>
        </w:rPr>
        <w:t xml:space="preserve">PINHEIRO, Adevanir Aparecida. </w:t>
      </w:r>
      <w:r w:rsidRPr="00771368">
        <w:rPr>
          <w:b/>
          <w:bCs/>
          <w:sz w:val="24"/>
          <w:szCs w:val="24"/>
        </w:rPr>
        <w:t>Identidade Étnico-Racial e Universidade</w:t>
      </w:r>
      <w:r w:rsidRPr="00771368">
        <w:rPr>
          <w:sz w:val="24"/>
          <w:szCs w:val="24"/>
        </w:rPr>
        <w:t>: a dinâmica da visibilidade das temáticas afrodescendente e as implicações eurodescendetes, em três instituições de ensino superior no sul do País. 2011. (Tese de Doutorado). São Leopoldo: Programa de Pós-Graduação em Ciências Sociais, UNISINOS, 2011.</w:t>
      </w:r>
    </w:p>
    <w:p w:rsidR="00D24E61" w:rsidRPr="00771368" w:rsidRDefault="00D24E61">
      <w:pPr>
        <w:spacing w:line="308" w:lineRule="auto"/>
        <w:jc w:val="both"/>
        <w:rPr>
          <w:sz w:val="20"/>
          <w:szCs w:val="20"/>
        </w:rPr>
      </w:pPr>
      <w:r w:rsidRPr="00771368">
        <w:rPr>
          <w:sz w:val="24"/>
          <w:szCs w:val="24"/>
        </w:rPr>
        <w:t xml:space="preserve">SCHUMAHER, Schuma e VITAL BRASIL, Érico. </w:t>
      </w:r>
      <w:r w:rsidRPr="00771368">
        <w:rPr>
          <w:b/>
          <w:bCs/>
          <w:sz w:val="24"/>
          <w:szCs w:val="24"/>
        </w:rPr>
        <w:t>Mulheres Negras do Brasil</w:t>
      </w:r>
      <w:r w:rsidRPr="00771368">
        <w:rPr>
          <w:sz w:val="24"/>
          <w:szCs w:val="24"/>
        </w:rPr>
        <w:t>. Rio de Janeiro: Senac Nacional, 2007.</w:t>
      </w:r>
    </w:p>
    <w:p w:rsidR="00D24E61" w:rsidRPr="00771368" w:rsidRDefault="00D24E61">
      <w:pPr>
        <w:rPr>
          <w:sz w:val="20"/>
          <w:szCs w:val="20"/>
        </w:rPr>
      </w:pPr>
      <w:r w:rsidRPr="00D61223">
        <w:rPr>
          <w:sz w:val="24"/>
          <w:szCs w:val="24"/>
          <w:lang w:val="en-US"/>
        </w:rPr>
        <w:t xml:space="preserve">YIN, R. K. </w:t>
      </w:r>
      <w:r w:rsidRPr="00D61223">
        <w:rPr>
          <w:b/>
          <w:bCs/>
          <w:sz w:val="24"/>
          <w:szCs w:val="24"/>
          <w:lang w:val="en-US"/>
        </w:rPr>
        <w:t>Case Study Research: design and methods</w:t>
      </w:r>
      <w:r w:rsidRPr="00D61223">
        <w:rPr>
          <w:sz w:val="24"/>
          <w:szCs w:val="24"/>
          <w:lang w:val="en-US"/>
        </w:rPr>
        <w:t xml:space="preserve">. </w:t>
      </w:r>
      <w:r w:rsidRPr="00771368">
        <w:rPr>
          <w:sz w:val="24"/>
          <w:szCs w:val="24"/>
        </w:rPr>
        <w:t>London: Sage, 1984</w:t>
      </w:r>
    </w:p>
    <w:p w:rsidR="00D24E61" w:rsidRPr="00771368" w:rsidRDefault="00D24E61">
      <w:pPr>
        <w:pStyle w:val="Padro"/>
        <w:jc w:val="center"/>
        <w:rPr>
          <w:rFonts w:ascii="Times New Roman" w:hAnsi="Times New Roman" w:cs="Times New Roman"/>
        </w:rPr>
      </w:pPr>
      <w:bookmarkStart w:id="94" w:name="__DdeLink__2383_41840556"/>
      <w:bookmarkEnd w:id="94"/>
      <w:r w:rsidRPr="00771368">
        <w:rPr>
          <w:rFonts w:ascii="Times New Roman" w:hAnsi="Times New Roman" w:cs="Times New Roman"/>
          <w:b/>
          <w:color w:val="auto"/>
          <w:sz w:val="24"/>
          <w:szCs w:val="24"/>
        </w:rPr>
        <w:t xml:space="preserve">DISCUTINDO IGUALDADE DE GÊNERO NA UNIVERSIDADE: olhares e vozes de acadêmicos do Curso de Pedagogia da Universidade Estadual Vale do Acaraú-UVA </w:t>
      </w:r>
    </w:p>
    <w:p w:rsidR="00D24E61" w:rsidRPr="00771368" w:rsidRDefault="00D24E61">
      <w:pPr>
        <w:pStyle w:val="Padro"/>
        <w:jc w:val="both"/>
        <w:rPr>
          <w:rFonts w:ascii="Times New Roman" w:hAnsi="Times New Roman" w:cs="Times New Roman"/>
        </w:rPr>
      </w:pPr>
    </w:p>
    <w:p w:rsidR="00D24E61" w:rsidRPr="00771368" w:rsidRDefault="00D24E61">
      <w:pPr>
        <w:pStyle w:val="Padro"/>
        <w:jc w:val="both"/>
        <w:rPr>
          <w:rFonts w:ascii="Times New Roman" w:hAnsi="Times New Roman" w:cs="Times New Roman"/>
        </w:rPr>
      </w:pPr>
    </w:p>
    <w:p w:rsidR="00D24E61" w:rsidRPr="00771368" w:rsidRDefault="00D24E61">
      <w:pPr>
        <w:pStyle w:val="Padro"/>
        <w:spacing w:after="0" w:line="115" w:lineRule="atLeast"/>
        <w:jc w:val="right"/>
        <w:rPr>
          <w:rFonts w:ascii="Times New Roman" w:hAnsi="Times New Roman" w:cs="Times New Roman"/>
        </w:rPr>
      </w:pPr>
      <w:r w:rsidRPr="00771368">
        <w:rPr>
          <w:rFonts w:ascii="Times New Roman" w:hAnsi="Times New Roman" w:cs="Times New Roman"/>
          <w:color w:val="auto"/>
          <w:sz w:val="24"/>
          <w:szCs w:val="24"/>
        </w:rPr>
        <w:t xml:space="preserve">Autora: </w:t>
      </w:r>
      <w:r w:rsidRPr="00532078">
        <w:rPr>
          <w:rStyle w:val="Ttulo1Char"/>
        </w:rPr>
        <w:t>Martyhellen Maria Monteiro da Silva</w:t>
      </w:r>
    </w:p>
    <w:p w:rsidR="00D24E61" w:rsidRPr="00771368" w:rsidRDefault="00D24E61">
      <w:pPr>
        <w:pStyle w:val="Padro"/>
        <w:spacing w:after="0" w:line="115" w:lineRule="atLeast"/>
        <w:jc w:val="right"/>
        <w:rPr>
          <w:rFonts w:ascii="Times New Roman" w:hAnsi="Times New Roman" w:cs="Times New Roman"/>
        </w:rPr>
      </w:pPr>
      <w:r w:rsidRPr="00771368">
        <w:rPr>
          <w:rFonts w:ascii="Times New Roman" w:hAnsi="Times New Roman" w:cs="Times New Roman"/>
          <w:color w:val="auto"/>
          <w:sz w:val="24"/>
          <w:szCs w:val="24"/>
        </w:rPr>
        <w:t>Universidade Estadual Vale do Acaraú-UVA</w:t>
      </w:r>
    </w:p>
    <w:p w:rsidR="00D24E61" w:rsidRPr="00771368" w:rsidRDefault="00D24E61">
      <w:pPr>
        <w:pStyle w:val="Padro"/>
        <w:spacing w:after="0" w:line="115" w:lineRule="atLeast"/>
        <w:jc w:val="right"/>
        <w:rPr>
          <w:rFonts w:ascii="Times New Roman" w:hAnsi="Times New Roman" w:cs="Times New Roman"/>
        </w:rPr>
      </w:pPr>
    </w:p>
    <w:p w:rsidR="00D24E61" w:rsidRPr="00771368" w:rsidRDefault="00D24E61">
      <w:pPr>
        <w:pStyle w:val="Padro"/>
        <w:spacing w:after="0" w:line="115" w:lineRule="atLeast"/>
        <w:jc w:val="right"/>
        <w:rPr>
          <w:rFonts w:ascii="Times New Roman" w:hAnsi="Times New Roman" w:cs="Times New Roman"/>
        </w:rPr>
      </w:pPr>
      <w:r w:rsidRPr="00771368">
        <w:rPr>
          <w:rFonts w:ascii="Times New Roman" w:hAnsi="Times New Roman" w:cs="Times New Roman"/>
          <w:color w:val="auto"/>
          <w:sz w:val="24"/>
          <w:szCs w:val="24"/>
        </w:rPr>
        <w:t>Orientadora: Francisca Joelina Xavier</w:t>
      </w:r>
    </w:p>
    <w:p w:rsidR="00D24E61" w:rsidRPr="00771368" w:rsidRDefault="00D24E61">
      <w:pPr>
        <w:pStyle w:val="Padro"/>
        <w:spacing w:after="0" w:line="115" w:lineRule="atLeast"/>
        <w:jc w:val="right"/>
        <w:rPr>
          <w:rFonts w:ascii="Times New Roman" w:hAnsi="Times New Roman" w:cs="Times New Roman"/>
        </w:rPr>
      </w:pPr>
      <w:r w:rsidRPr="00771368">
        <w:rPr>
          <w:rFonts w:ascii="Times New Roman" w:hAnsi="Times New Roman" w:cs="Times New Roman"/>
          <w:color w:val="auto"/>
          <w:sz w:val="24"/>
          <w:szCs w:val="24"/>
        </w:rPr>
        <w:t>Universidade Estadual Vale do Acaraú-UVA</w:t>
      </w:r>
    </w:p>
    <w:p w:rsidR="00D24E61" w:rsidRPr="00771368" w:rsidRDefault="00D24E61">
      <w:pPr>
        <w:pStyle w:val="Padro"/>
        <w:rPr>
          <w:rFonts w:ascii="Times New Roman" w:hAnsi="Times New Roman" w:cs="Times New Roman"/>
        </w:rPr>
      </w:pPr>
    </w:p>
    <w:p w:rsidR="00D24E61" w:rsidRPr="00771368" w:rsidRDefault="00D24E61">
      <w:pPr>
        <w:pStyle w:val="Padro"/>
        <w:spacing w:line="360" w:lineRule="auto"/>
        <w:jc w:val="both"/>
        <w:rPr>
          <w:rFonts w:ascii="Times New Roman" w:hAnsi="Times New Roman" w:cs="Times New Roman"/>
        </w:rPr>
      </w:pP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b/>
          <w:color w:val="auto"/>
          <w:sz w:val="24"/>
          <w:szCs w:val="24"/>
        </w:rPr>
        <w:t>1-INTRODUÇÃO</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Este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artigo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versa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experiência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participante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desenvolvida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junto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 quarenta e cinco universitários do curso de pedagogia da Universidade Estadual Vale do Acaraú-UVA na cidade de Sobral,Ceará.</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Nele,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buscamos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revelar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através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vozes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olhares </w:t>
      </w:r>
      <w:r w:rsidRPr="00771368">
        <w:rPr>
          <w:rFonts w:ascii="Times New Roman" w:hAnsi="Times New Roman" w:cs="Times New Roman"/>
          <w:color w:val="auto"/>
          <w:sz w:val="24"/>
          <w:szCs w:val="24"/>
        </w:rPr>
        <w:t>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 xml:space="preserve">estudantes do curso de pedagogia </w:t>
      </w:r>
      <w:r w:rsidRPr="00771368">
        <w:rPr>
          <w:rFonts w:ascii="Times New Roman" w:eastAsia="Times New Roman" w:hAnsi="Times New Roman" w:cs="Times New Roman"/>
          <w:color w:val="auto"/>
          <w:sz w:val="24"/>
          <w:szCs w:val="24"/>
        </w:rPr>
        <w:t xml:space="preserve"> su</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concepções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temáticas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 identidade</w:t>
      </w:r>
      <w:r w:rsidRPr="00771368">
        <w:rPr>
          <w:rFonts w:ascii="Times New Roman" w:eastAsia="Times New Roman" w:hAnsi="Times New Roman" w:cs="Times New Roman"/>
          <w:color w:val="auto"/>
          <w:sz w:val="24"/>
          <w:szCs w:val="24"/>
        </w:rPr>
        <w:t>”</w:t>
      </w:r>
      <w:r w:rsidRPr="00771368">
        <w:rPr>
          <w:rFonts w:ascii="Times New Roman" w:hAnsi="Times New Roman" w:cs="Times New Roman"/>
          <w:color w:val="auto"/>
          <w:sz w:val="24"/>
          <w:szCs w:val="24"/>
        </w:rPr>
        <w:t>.</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oportunidade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procuramos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levantar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reflexões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construídas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durante</w:t>
      </w:r>
      <w:r w:rsidRPr="00771368">
        <w:rPr>
          <w:rFonts w:ascii="Times New Roman" w:eastAsia="Times New Roman" w:hAnsi="Times New Roman" w:cs="Times New Roman"/>
          <w:color w:val="auto"/>
          <w:sz w:val="24"/>
          <w:szCs w:val="24"/>
        </w:rPr>
        <w:t xml:space="preserve"> suas </w:t>
      </w:r>
      <w:r w:rsidRPr="00771368">
        <w:rPr>
          <w:rFonts w:ascii="Times New Roman" w:hAnsi="Times New Roman" w:cs="Times New Roman"/>
          <w:color w:val="auto"/>
          <w:sz w:val="24"/>
          <w:szCs w:val="24"/>
        </w:rPr>
        <w:t>trajetórias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formação</w:t>
      </w:r>
      <w:r w:rsidRPr="00771368">
        <w:rPr>
          <w:rFonts w:ascii="Times New Roman" w:eastAsia="Times New Roman" w:hAnsi="Times New Roman" w:cs="Times New Roman"/>
          <w:color w:val="auto"/>
          <w:sz w:val="24"/>
          <w:szCs w:val="24"/>
        </w:rPr>
        <w:t xml:space="preserve"> e vivências em outros ambientes.</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Atualmente, as discussões sobre educação, gênero, identidade étnico-racial acontecem em diversos ambientes e épocas trazendo-nos reflexões pertinentes a nossa realidade e as consequências da má compreensão dessas temáticas como o preconceito, a violência contra mulheres e negros, assim como os menos favorecidos, aumentando os índices negativos na nossa sociedade.</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Brasil,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só</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partir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segunda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metade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anos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1980,</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elas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começaram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discutidas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mais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abertamente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interior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diversos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espaços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entre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eles,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escola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universidade.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Até</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então,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escolas,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temas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relativos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à</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sexualidade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apareciam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currículo,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ﬁcavam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circunscritos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às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áreas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Ciências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ou,</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eventualmente,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Educação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Moral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Cívica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maioria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vezes,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debate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dava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forma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esporádica,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locais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ambiente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escolar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profissionais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ligados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saúde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educadores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atuavam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organizações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sociedade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civil.</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ab/>
        <w:t>Segundo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Louro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(2000)</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falar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destas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temáticas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tempos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remotos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assunto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adultos</w:t>
      </w:r>
      <w:r w:rsidRPr="00771368">
        <w:rPr>
          <w:rFonts w:ascii="Times New Roman" w:eastAsia="Times New Roman" w:hAnsi="Times New Roman" w:cs="Times New Roman"/>
          <w:color w:val="auto"/>
          <w:sz w:val="24"/>
          <w:szCs w:val="24"/>
        </w:rPr>
        <w:t>”</w:t>
      </w:r>
      <w:r w:rsidRPr="00771368">
        <w:rPr>
          <w:rFonts w:ascii="Times New Roman" w:hAnsi="Times New Roman" w:cs="Times New Roman"/>
          <w:color w:val="auto"/>
          <w:sz w:val="24"/>
          <w:szCs w:val="24"/>
        </w:rPr>
        <w:t>,</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fosse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espaço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escolar,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fosse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espaço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familiar.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autora,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trabalhadores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educação,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sobretudo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educação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escolar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devem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romper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paradigma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acreditarem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contribuem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pleno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desenvolvimento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educandos.</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A disciplina Educação, Gênero e Identidade étnico-racial ofertada aos alunos do curso de pedagogia no ano de 2011 trouxe várias reflexões a cerca dessas temáticas, contribuindo para a construção de novos conhecimentos e quebra de preconceitos até mesmo uma maior aceitação daqueles que se sentiam menos favorecidos diante de concepções distorcidas sobre o gênero e identidade.</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Durante o período agosto a novembro de 2011, vivenciamos diversos momentos de discussões, leituras de diferentes autores, oficinas, escrita de relatórios e dinâmicas que foram importantes para a construção de novos conhecimentos e mudanças de posicionamento diante das diversidades, fazendo-nos compreender a importância de se reconhecer e reconhecer o outro no processo de vivência social.</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 xml:space="preserve">Segundo Madeira (2006, p.29) a população brasileira é marcada pela diversidade que compõe a sua cultura, trazendo assim as diferenças e particularidades de cada pessoa e é isso que compõe a identidade de um povo, como afirma Munanga( 2003, p.7) </w:t>
      </w:r>
    </w:p>
    <w:p w:rsidR="00D24E61" w:rsidRPr="00771368" w:rsidRDefault="00D24E61">
      <w:pPr>
        <w:pStyle w:val="SemEspaamento"/>
        <w:ind w:left="2268"/>
        <w:jc w:val="both"/>
        <w:rPr>
          <w:rFonts w:ascii="Times New Roman" w:hAnsi="Times New Roman"/>
        </w:rPr>
      </w:pPr>
      <w:r w:rsidRPr="00771368">
        <w:rPr>
          <w:rFonts w:ascii="Times New Roman" w:hAnsi="Times New Roman"/>
        </w:rPr>
        <w:t>A igualdade supõe também o respeito do indivíduo naquilo que tem de único, como a diversidade étnica e cultural e o reconhecimento do direito que tem toda pessoa e toda cultura de cultivar sua especificidade, pois fazendo isso, elas contribuem o enriquecer a diversidade cultural geral da humanidade.</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rPr>
        <w:tab/>
      </w:r>
      <w:r w:rsidRPr="00771368">
        <w:rPr>
          <w:rFonts w:ascii="Times New Roman" w:hAnsi="Times New Roman" w:cs="Times New Roman"/>
          <w:color w:val="auto"/>
          <w:sz w:val="24"/>
          <w:szCs w:val="24"/>
        </w:rPr>
        <w:t>Podemos perceber que para o autor o reconhecimento das diferenças e o respeito ao direito do próximo auxilia na quebra de paradigmas e preconceitos em nosso meio, pois dessa forma cada um terá o seu espaço e poderá viver conforme sua cultura e identificações.</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ab/>
        <w:t>Segundo o mesmo autor é a partir das raças fictícias ou “raças sociais” que se reproduzem e se mantêm os racismos populares, estes que acrescentam os índices de violências todos os dias, como afirma:</w:t>
      </w:r>
    </w:p>
    <w:p w:rsidR="00D24E61" w:rsidRPr="00771368" w:rsidRDefault="00D24E61">
      <w:pPr>
        <w:pStyle w:val="SemEspaamento"/>
        <w:ind w:left="2268"/>
        <w:jc w:val="both"/>
        <w:rPr>
          <w:rFonts w:ascii="Times New Roman" w:hAnsi="Times New Roman"/>
        </w:rPr>
      </w:pPr>
      <w:r w:rsidRPr="00771368">
        <w:rPr>
          <w:rFonts w:ascii="Times New Roman" w:hAnsi="Times New Roman"/>
        </w:rPr>
        <w:t>Podemos observar que o conceito de raça tal como o empregamos hoje, nada tem de biológico. É um conceito carregado de ideologia, pois como todas as ideologias, ele esconde uma coisa não proclamada: a relação de poder e de denominação.(MUNANGA, 2003,P.6)</w:t>
      </w:r>
    </w:p>
    <w:p w:rsidR="00D24E61" w:rsidRPr="00771368" w:rsidRDefault="00D24E61">
      <w:pPr>
        <w:pStyle w:val="SemEspaamento"/>
        <w:ind w:left="2268"/>
        <w:jc w:val="both"/>
        <w:rPr>
          <w:rFonts w:ascii="Times New Roman" w:hAnsi="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Percebemos também essa relação de poder no mercado de trabalho que inferioriza e classifica as pessoas pela cor e classe social, onde a competência e conhecimentos não possuem importância. Chaia(1978,p.18), revela a cruel diferença entre os salários das populações branca e negra de nosso país: o rendimento médio/hora para brancos é duas vezes superior ao rendimento dos negros. Constata-se, inclusive, que a brutal descriminação de salário tende a aumentar à medida que se elevam os níveis de instruções. (MADEIRA,2006,P.30)</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Com isso observamos que nesse cenário, negras e negros são infelizmente identificados por rótulos de incapacidade, por aspectos de negatividade em torno de sua configuração étnico-racial.</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Entretanto, todas essas dimensões precisam ser revistas, pois é necessário analisar nossos ensinamentos e o modo como ensinamos e até que ponto as vivenciamos dentro dos limites pré-estabelecidos, sem levarmos em conta a liberdade e singularidade de cada pessoa. Por conseguinte, devemos  evidenciar práticas pedagógicas que valorizem as diferenças, sem colocá-las numa postura de desigualdade. (MADEIRA,2006.P.34)</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ab/>
        <w:t xml:space="preserve">Durante essas dimensões percebemos que a compreensão do que é identidade, gênero se faz necessária, visto que a singularidade de cada pessoa surge das diferenças e particularidade da mesma, que deve ser respeitada e valorizada. </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Observamos que as identidades passam a expressar a diversidade das relações sociais segundo vários parâmetros: etnia, cultural, religião, identidade rural, identidade urbana e etc.</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A construção da identidade se dá por meio das interações da criança com o seu meio social. A escola é um universo social diferente do da família favorecendo novas interações, ampliando dessa maneira seus conhecimentos a respeito de si e dos outros. A auto-imagem também é construída  a partir das relações estabelecidas nos grupos em que a criança convive. Um ambiente farto em interações, que acolha as particularidades de cada individuo, promova o reconhecimento das diversidades, aceitando-as e respeitando-as, ao mesmo tempo em que contribui para a construção da unidade coletiva, favorece a estruturação da identidade, bem como de uma auto- imagem positiva.</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Percebemos então, que a cultura e as formas simbólicas categorizam no mundo o modo de ser dos sujeitos e interferem na construção social do ser mulher e do ser homem, pois segundo MADEIRA(2006,P.28),  o sexo e o gênero não podem ser vistos de um mesmo parâmetro. A natureza não tem gênero, ela revela o sexo e o gênero é definido como um fenômeno histórico, uma construção social, pois nos estudos de gênero o biológico se desconstrói.</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Este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artigo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divide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quatro momentos.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primeiro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tivemos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cuidado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apresentar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nosso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jeito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caminhar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campo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conduzindo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esses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momentos.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segundo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momento,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apresentamos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concepções</w:t>
      </w:r>
      <w:r w:rsidRPr="00771368">
        <w:rPr>
          <w:rFonts w:ascii="Times New Roman" w:eastAsia="Times New Roman" w:hAnsi="Times New Roman" w:cs="Times New Roman"/>
          <w:color w:val="auto"/>
          <w:sz w:val="24"/>
          <w:szCs w:val="24"/>
        </w:rPr>
        <w:t xml:space="preserve"> dos universitários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seguida,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apontamos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concepções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mesmos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identidade 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fim,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apontamos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nossas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considerações.</w:t>
      </w: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b/>
          <w:bCs/>
          <w:color w:val="auto"/>
          <w:sz w:val="24"/>
          <w:szCs w:val="24"/>
        </w:rPr>
        <w:t>2.</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NOSSO</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JEITO</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DE</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CAMINHAR:</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aspectos</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metodológicos</w:t>
      </w:r>
    </w:p>
    <w:p w:rsidR="00D24E61" w:rsidRPr="00771368" w:rsidRDefault="00D24E61">
      <w:pPr>
        <w:pStyle w:val="Padro"/>
        <w:spacing w:line="360" w:lineRule="auto"/>
        <w:ind w:firstLine="709"/>
        <w:jc w:val="both"/>
        <w:rPr>
          <w:rFonts w:ascii="Times New Roman" w:hAnsi="Times New Roman" w:cs="Times New Roman"/>
        </w:rPr>
      </w:pP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buscar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identificar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concepções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acadêmicos</w:t>
      </w:r>
      <w:r w:rsidRPr="00771368">
        <w:rPr>
          <w:rFonts w:ascii="Times New Roman" w:eastAsia="Times New Roman" w:hAnsi="Times New Roman" w:cs="Times New Roman"/>
          <w:color w:val="auto"/>
          <w:sz w:val="24"/>
          <w:szCs w:val="24"/>
        </w:rPr>
        <w:t xml:space="preserve"> do Curso de Pedagogia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identidade,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considerando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experiências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vidas,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realizamos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participante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caráter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qualitativo.</w:t>
      </w:r>
    </w:p>
    <w:p w:rsidR="00D24E61" w:rsidRPr="00771368" w:rsidRDefault="00D24E61">
      <w:pPr>
        <w:pStyle w:val="Padro"/>
        <w:spacing w:line="360" w:lineRule="auto"/>
        <w:ind w:firstLine="709"/>
        <w:jc w:val="both"/>
        <w:rPr>
          <w:rFonts w:ascii="Times New Roman" w:hAnsi="Times New Roman" w:cs="Times New Roman"/>
        </w:rPr>
      </w:pP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participante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foi</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escolhida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trazer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abordagem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investigação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meio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busca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plena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participação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comunidade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análise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própria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realidade,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objetivo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promover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participação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benefício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participantes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investigação.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Trata-se,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portanto,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atividade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educativa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investigação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(BRANDÃO,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1985).</w:t>
      </w:r>
    </w:p>
    <w:p w:rsidR="00D24E61" w:rsidRPr="00771368" w:rsidRDefault="00D24E61">
      <w:pPr>
        <w:pStyle w:val="Padro"/>
        <w:spacing w:line="360" w:lineRule="auto"/>
        <w:ind w:firstLine="851"/>
        <w:jc w:val="both"/>
        <w:rPr>
          <w:rFonts w:ascii="Times New Roman" w:hAnsi="Times New Roman" w:cs="Times New Roman"/>
        </w:rPr>
      </w:pP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escolha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abordagem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qualitativa,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principio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ajudaria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responder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nossos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objetivos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propostos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vez</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oferece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apoios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metodológicos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possibilitam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pesquisador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compreender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analisar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forma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mais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consistente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sujeitos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relações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estabelecidas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pelo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contexto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social.</w:t>
      </w:r>
      <w:r w:rsidRPr="00771368">
        <w:rPr>
          <w:rFonts w:ascii="Times New Roman" w:eastAsia="Times New Roman" w:hAnsi="Times New Roman" w:cs="Times New Roman"/>
          <w:color w:val="auto"/>
          <w:sz w:val="24"/>
          <w:szCs w:val="24"/>
        </w:rPr>
        <w:t xml:space="preserve"> </w:t>
      </w:r>
    </w:p>
    <w:p w:rsidR="00D24E61" w:rsidRPr="00771368" w:rsidRDefault="00D24E61">
      <w:pPr>
        <w:pStyle w:val="Padro"/>
        <w:spacing w:line="360" w:lineRule="auto"/>
        <w:ind w:firstLine="851"/>
        <w:jc w:val="both"/>
        <w:rPr>
          <w:rFonts w:ascii="Times New Roman" w:hAnsi="Times New Roman" w:cs="Times New Roman"/>
        </w:rPr>
      </w:pP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Minayo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(2004)</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investigação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qualitativa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requer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atitudes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fundamentais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abertura,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flexibilidade,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capacidade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observação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interação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grupo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investigadores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atores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envolvidos</w:t>
      </w:r>
      <w:r w:rsidRPr="00771368">
        <w:rPr>
          <w:rFonts w:ascii="Times New Roman" w:eastAsia="Times New Roman" w:hAnsi="Times New Roman" w:cs="Times New Roman"/>
          <w:color w:val="auto"/>
          <w:sz w:val="24"/>
          <w:szCs w:val="24"/>
        </w:rPr>
        <w:t>”</w:t>
      </w:r>
      <w:r w:rsidRPr="00771368">
        <w:rPr>
          <w:rFonts w:ascii="Times New Roman" w:hAnsi="Times New Roman" w:cs="Times New Roman"/>
          <w:color w:val="auto"/>
          <w:sz w:val="24"/>
          <w:szCs w:val="24"/>
        </w:rPr>
        <w:t>.</w:t>
      </w:r>
    </w:p>
    <w:p w:rsidR="00D24E61" w:rsidRPr="00771368" w:rsidRDefault="00D24E61">
      <w:pPr>
        <w:pStyle w:val="Padro"/>
        <w:spacing w:line="360" w:lineRule="auto"/>
        <w:ind w:firstLine="720"/>
        <w:jc w:val="both"/>
        <w:rPr>
          <w:rFonts w:ascii="Times New Roman" w:hAnsi="Times New Roman" w:cs="Times New Roman"/>
        </w:rPr>
      </w:pP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qualitativa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envolve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interação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pesquisador-participante,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lida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interpretações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realidades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buscando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explorar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espectros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opiniões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grupo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específico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(BAUER;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GASKELL,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2002).</w:t>
      </w:r>
      <w:r w:rsidRPr="00771368">
        <w:rPr>
          <w:rFonts w:ascii="Times New Roman" w:eastAsia="Times New Roman" w:hAnsi="Times New Roman" w:cs="Times New Roman"/>
          <w:color w:val="auto"/>
          <w:sz w:val="24"/>
          <w:szCs w:val="24"/>
        </w:rPr>
        <w:t xml:space="preserve"> </w:t>
      </w:r>
    </w:p>
    <w:p w:rsidR="00D24E61" w:rsidRPr="00771368" w:rsidRDefault="00D24E61">
      <w:pPr>
        <w:pStyle w:val="Padro"/>
        <w:spacing w:line="360" w:lineRule="auto"/>
        <w:ind w:firstLine="851"/>
        <w:jc w:val="both"/>
        <w:rPr>
          <w:rFonts w:ascii="Times New Roman" w:hAnsi="Times New Roman" w:cs="Times New Roman"/>
        </w:rPr>
      </w:pPr>
      <w:r w:rsidRPr="00771368">
        <w:rPr>
          <w:rFonts w:ascii="Times New Roman" w:hAnsi="Times New Roman" w:cs="Times New Roman"/>
          <w:color w:val="auto"/>
          <w:sz w:val="24"/>
          <w:szCs w:val="24"/>
        </w:rPr>
        <w:t>Neste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sentido,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abordagem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qualitativa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complementa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participante,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ambiente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natural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direta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pesquisador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seu</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principal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instrumento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(Idem.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p.11),</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entanto,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exige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pesquisador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tenha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contato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constante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questão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estudada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através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trabalho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intensivo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campo.</w:t>
      </w:r>
      <w:r w:rsidRPr="00771368">
        <w:rPr>
          <w:rFonts w:ascii="Times New Roman" w:eastAsia="Times New Roman" w:hAnsi="Times New Roman" w:cs="Times New Roman"/>
          <w:color w:val="auto"/>
          <w:sz w:val="24"/>
          <w:szCs w:val="24"/>
        </w:rPr>
        <w:t xml:space="preserve"> </w:t>
      </w:r>
    </w:p>
    <w:p w:rsidR="00D24E61" w:rsidRPr="00771368" w:rsidRDefault="00D24E61">
      <w:pPr>
        <w:pStyle w:val="Padro"/>
        <w:spacing w:line="360" w:lineRule="auto"/>
        <w:ind w:firstLine="851"/>
        <w:jc w:val="both"/>
        <w:rPr>
          <w:rFonts w:ascii="Times New Roman" w:hAnsi="Times New Roman" w:cs="Times New Roman"/>
        </w:rPr>
      </w:pPr>
      <w:r w:rsidRPr="00771368">
        <w:rPr>
          <w:rFonts w:ascii="Times New Roman" w:eastAsia="Times New Roman" w:hAnsi="Times New Roman" w:cs="Times New Roman"/>
          <w:color w:val="auto"/>
          <w:sz w:val="24"/>
          <w:szCs w:val="24"/>
        </w:rPr>
        <w:t>Os sujeitos participantes da pesquisa correspondem a quarenta e cinco acadêmicos do curso de pedagogia da UVA , localizada em Sobral-CE.</w:t>
      </w:r>
    </w:p>
    <w:p w:rsidR="00D24E61" w:rsidRPr="00771368" w:rsidRDefault="00D24E61">
      <w:pPr>
        <w:pStyle w:val="NormalWeb"/>
        <w:spacing w:before="0" w:after="0" w:line="360" w:lineRule="auto"/>
        <w:ind w:firstLine="709"/>
        <w:jc w:val="both"/>
      </w:pPr>
      <w:r w:rsidRPr="00771368">
        <w:t>Para a obtenção dos dados empíricos foi importante a utilização da observação participante, diário de pesquisa, grupo de discussão.</w:t>
      </w:r>
    </w:p>
    <w:p w:rsidR="00D24E61" w:rsidRPr="00771368" w:rsidRDefault="00D24E61">
      <w:pPr>
        <w:pStyle w:val="NormalWeb"/>
        <w:spacing w:before="0" w:after="0" w:line="360" w:lineRule="auto"/>
        <w:ind w:firstLine="709"/>
        <w:jc w:val="both"/>
      </w:pPr>
      <w:r w:rsidRPr="00771368">
        <w:rPr>
          <w:bCs/>
          <w:shd w:val="clear" w:color="auto" w:fill="FFFFFF"/>
        </w:rPr>
        <w:t xml:space="preserve">A escolha da observação participante consiste na participação real do observador na vida da comunidade, assumindo até certo ponto, o papel de um membro do grupo (GIL,1994). </w:t>
      </w:r>
    </w:p>
    <w:p w:rsidR="00D24E61" w:rsidRPr="00771368" w:rsidRDefault="00D24E61">
      <w:pPr>
        <w:pStyle w:val="Padro"/>
        <w:spacing w:after="0" w:line="360" w:lineRule="auto"/>
        <w:ind w:firstLine="708"/>
        <w:jc w:val="both"/>
        <w:rPr>
          <w:rFonts w:ascii="Times New Roman" w:hAnsi="Times New Roman" w:cs="Times New Roman"/>
        </w:rPr>
      </w:pPr>
      <w:r w:rsidRPr="00771368">
        <w:rPr>
          <w:rFonts w:ascii="Times New Roman" w:eastAsia="Times New Roman" w:hAnsi="Times New Roman" w:cs="Times New Roman"/>
          <w:bCs/>
          <w:color w:val="auto"/>
          <w:sz w:val="24"/>
          <w:szCs w:val="24"/>
        </w:rPr>
        <w:t>Aliada a observação participante  utilizou-se o Diário de Pesquisa para registro de todos os aspectos subjetivos apreendidos nos momentos de observações. Para Barbosa e Hess (2010), o Diário de Pesquisa é um instrumento ímpar nas pesquisas qualitativas, pois, permite o pesquisador buscar sentido para aquilo que se escreve e aprende.</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técnica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grupo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discussão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foi</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utilizada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objetivo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capturarmos</w:t>
      </w:r>
      <w:r w:rsidRPr="00771368">
        <w:rPr>
          <w:rFonts w:ascii="Times New Roman" w:eastAsia="Times New Roman" w:hAnsi="Times New Roman" w:cs="Times New Roman"/>
          <w:color w:val="auto"/>
          <w:sz w:val="24"/>
          <w:szCs w:val="24"/>
        </w:rPr>
        <w:t xml:space="preserve"> a</w:t>
      </w:r>
      <w:r w:rsidRPr="00771368">
        <w:rPr>
          <w:rFonts w:ascii="Times New Roman" w:hAnsi="Times New Roman" w:cs="Times New Roman"/>
          <w:color w:val="auto"/>
          <w:sz w:val="24"/>
          <w:szCs w:val="24"/>
        </w:rPr>
        <w:t>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singularidades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subjetividades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dos</w:t>
      </w:r>
      <w:r w:rsidRPr="00771368">
        <w:rPr>
          <w:rFonts w:ascii="Times New Roman" w:eastAsia="Times New Roman" w:hAnsi="Times New Roman" w:cs="Times New Roman"/>
          <w:color w:val="auto"/>
          <w:sz w:val="24"/>
          <w:szCs w:val="24"/>
        </w:rPr>
        <w:t xml:space="preserve"> acadêmicos </w:t>
      </w:r>
      <w:r w:rsidRPr="00771368">
        <w:rPr>
          <w:rFonts w:ascii="Times New Roman" w:hAnsi="Times New Roman" w:cs="Times New Roman"/>
          <w:color w:val="auto"/>
          <w:sz w:val="24"/>
          <w:szCs w:val="24"/>
        </w:rPr>
        <w:t>quanto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às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temáticas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identidade”.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Weller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(2010)</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grupo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discussão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possibilita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análise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contexto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ou</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meio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entrevistados,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assim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visões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mundo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ou</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representações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 xml:space="preserve">coletivas. </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Foram organizado cinco grupos de discussões com 8 (oito) membros cada, para possibilitar reflexões e promover diálogo coletivo acerca das temáticas abordadas.</w:t>
      </w:r>
    </w:p>
    <w:p w:rsidR="00D24E61" w:rsidRPr="00771368" w:rsidRDefault="00D24E61">
      <w:pPr>
        <w:pStyle w:val="Padro"/>
        <w:spacing w:after="0" w:line="360" w:lineRule="auto"/>
        <w:ind w:firstLine="708"/>
        <w:jc w:val="both"/>
        <w:rPr>
          <w:rFonts w:ascii="Times New Roman" w:hAnsi="Times New Roman" w:cs="Times New Roman"/>
        </w:rPr>
      </w:pPr>
      <w:r w:rsidRPr="00771368">
        <w:rPr>
          <w:rFonts w:ascii="Times New Roman" w:eastAsia="Times New Roman" w:hAnsi="Times New Roman" w:cs="Times New Roman"/>
          <w:color w:val="auto"/>
          <w:sz w:val="24"/>
          <w:szCs w:val="24"/>
        </w:rPr>
        <w:t>Para análise de dados nos apoiamos na Analise de Conteúdo (BARDIM, 2009) e em nossa experiência enquanto pesquisadoras sobre os temas abordados.</w:t>
      </w: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b/>
          <w:color w:val="auto"/>
          <w:sz w:val="24"/>
          <w:szCs w:val="24"/>
        </w:rPr>
        <w:t>3. CONCEPÇÕES DOS UNIVERSITÁRIOS SOBRE GÊNERO</w:t>
      </w: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eastAsia="Times New Roman" w:hAnsi="Times New Roman" w:cs="Times New Roman"/>
          <w:color w:val="auto"/>
          <w:sz w:val="24"/>
          <w:szCs w:val="24"/>
        </w:rPr>
        <w:t xml:space="preserve">Para </w:t>
      </w:r>
      <w:r w:rsidRPr="00771368">
        <w:rPr>
          <w:rFonts w:ascii="Times New Roman" w:hAnsi="Times New Roman" w:cs="Times New Roman"/>
          <w:color w:val="auto"/>
          <w:sz w:val="24"/>
          <w:szCs w:val="24"/>
        </w:rPr>
        <w:t>iniciarmos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diálogo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junto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universitários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fizemos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seguinte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pergunta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norteadora: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eu</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sei</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temática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jovens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expressassem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concepções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categoria,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solicitamos-lhes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mesmos</w:t>
      </w:r>
      <w:r w:rsidRPr="00771368">
        <w:rPr>
          <w:rFonts w:ascii="Times New Roman" w:eastAsia="Times New Roman" w:hAnsi="Times New Roman" w:cs="Times New Roman"/>
          <w:color w:val="auto"/>
          <w:sz w:val="24"/>
          <w:szCs w:val="24"/>
        </w:rPr>
        <w:t xml:space="preserve"> formulassem </w:t>
      </w:r>
      <w:r w:rsidRPr="00771368">
        <w:rPr>
          <w:rFonts w:ascii="Times New Roman" w:hAnsi="Times New Roman" w:cs="Times New Roman"/>
          <w:color w:val="auto"/>
          <w:sz w:val="24"/>
          <w:szCs w:val="24"/>
        </w:rPr>
        <w:t>numa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tarjeta</w:t>
      </w:r>
      <w:r w:rsidRPr="00771368">
        <w:rPr>
          <w:rFonts w:ascii="Times New Roman" w:eastAsia="Times New Roman" w:hAnsi="Times New Roman" w:cs="Times New Roman"/>
          <w:color w:val="auto"/>
          <w:sz w:val="24"/>
          <w:szCs w:val="24"/>
        </w:rPr>
        <w:t xml:space="preserve"> a concepção do grupo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depois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socializassem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através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fala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respostas.</w:t>
      </w:r>
      <w:r w:rsidRPr="00771368">
        <w:rPr>
          <w:rFonts w:ascii="Times New Roman" w:eastAsia="Times New Roman" w:hAnsi="Times New Roman" w:cs="Times New Roman"/>
          <w:color w:val="auto"/>
          <w:sz w:val="24"/>
          <w:szCs w:val="24"/>
        </w:rPr>
        <w:t xml:space="preserve"> </w:t>
      </w:r>
    </w:p>
    <w:p w:rsidR="00D24E61" w:rsidRPr="00771368" w:rsidRDefault="00D24E61">
      <w:pPr>
        <w:pStyle w:val="Padro"/>
        <w:spacing w:line="360" w:lineRule="auto"/>
        <w:jc w:val="both"/>
        <w:rPr>
          <w:rFonts w:ascii="Times New Roman" w:hAnsi="Times New Roman" w:cs="Times New Roman"/>
        </w:rPr>
      </w:pPr>
      <w:r w:rsidRPr="00771368">
        <w:rPr>
          <w:rFonts w:ascii="Times New Roman" w:eastAsia="Times New Roman" w:hAnsi="Times New Roman" w:cs="Times New Roman"/>
          <w:color w:val="auto"/>
          <w:sz w:val="24"/>
          <w:szCs w:val="24"/>
        </w:rPr>
        <w:tab/>
        <w:t xml:space="preserve">Vejam </w:t>
      </w:r>
      <w:r w:rsidRPr="00771368">
        <w:rPr>
          <w:rFonts w:ascii="Times New Roman" w:hAnsi="Times New Roman" w:cs="Times New Roman"/>
          <w:color w:val="auto"/>
          <w:sz w:val="24"/>
          <w:szCs w:val="24"/>
        </w:rPr>
        <w:t>como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acadêmicos </w:t>
      </w:r>
      <w:r w:rsidRPr="00771368">
        <w:rPr>
          <w:rFonts w:ascii="Times New Roman" w:hAnsi="Times New Roman" w:cs="Times New Roman"/>
          <w:color w:val="auto"/>
          <w:sz w:val="24"/>
          <w:szCs w:val="24"/>
        </w:rPr>
        <w:t>compreendem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seu</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cotidiano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temática</w:t>
      </w:r>
    </w:p>
    <w:p w:rsidR="00D24E61" w:rsidRPr="00771368" w:rsidRDefault="00D24E61">
      <w:pPr>
        <w:pStyle w:val="Padro"/>
        <w:rPr>
          <w:rFonts w:ascii="Times New Roman" w:hAnsi="Times New Roman" w:cs="Times New Roman"/>
        </w:rPr>
      </w:pPr>
      <w:r w:rsidRPr="00771368">
        <w:rPr>
          <w:rFonts w:ascii="Times New Roman" w:eastAsia="Times New Roman" w:hAnsi="Times New Roman" w:cs="Times New Roman"/>
          <w:color w:val="auto"/>
          <w:sz w:val="24"/>
          <w:szCs w:val="24"/>
        </w:rPr>
        <w:t>Gênero:</w:t>
      </w:r>
    </w:p>
    <w:p w:rsidR="00D24E61" w:rsidRPr="00771368" w:rsidRDefault="00D24E61">
      <w:pPr>
        <w:pStyle w:val="SemEspaamento"/>
        <w:ind w:left="2268"/>
        <w:jc w:val="both"/>
        <w:rPr>
          <w:rFonts w:ascii="Times New Roman" w:hAnsi="Times New Roman"/>
        </w:rPr>
      </w:pPr>
      <w:r w:rsidRPr="00771368">
        <w:rPr>
          <w:rFonts w:ascii="Times New Roman" w:eastAsia="Times New Roman" w:hAnsi="Times New Roman"/>
        </w:rPr>
        <w:t>É</w:t>
      </w:r>
      <w:r w:rsidRPr="00771368">
        <w:rPr>
          <w:rFonts w:ascii="Times New Roman" w:hAnsi="Times New Roman"/>
        </w:rPr>
        <w:t xml:space="preserve"> a definição de homem e mulher (Grupo 01)</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eastAsia="Times New Roman" w:hAnsi="Times New Roman"/>
        </w:rPr>
        <w:t>É</w:t>
      </w:r>
      <w:r w:rsidRPr="00771368">
        <w:rPr>
          <w:rFonts w:ascii="Times New Roman" w:hAnsi="Times New Roman"/>
        </w:rPr>
        <w:t xml:space="preserve"> viver de acordo como nasceu homem ser homem e mulher ser mulher na sociedade. (Grupo 04)</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É a diferença de masculino e feminino (Grupo 07)</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É viver como nasceu (Grupo 08)</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Gênero é o masculino e feminino. ( Grupo 09)</w:t>
      </w:r>
    </w:p>
    <w:p w:rsidR="00D24E61" w:rsidRPr="00771368" w:rsidRDefault="00D24E61">
      <w:pPr>
        <w:pStyle w:val="SemEspaamento"/>
        <w:ind w:left="2268"/>
        <w:jc w:val="both"/>
        <w:rPr>
          <w:rFonts w:ascii="Times New Roman" w:hAnsi="Times New Roman"/>
        </w:rPr>
      </w:pPr>
    </w:p>
    <w:p w:rsidR="00D24E61" w:rsidRPr="00771368" w:rsidRDefault="00D24E61">
      <w:pPr>
        <w:pStyle w:val="Padro"/>
        <w:ind w:left="2268"/>
        <w:rPr>
          <w:rFonts w:ascii="Times New Roman" w:hAnsi="Times New Roman" w:cs="Times New Roman"/>
        </w:rPr>
      </w:pPr>
    </w:p>
    <w:p w:rsidR="00D24E61" w:rsidRPr="00771368" w:rsidRDefault="00D24E61">
      <w:pPr>
        <w:pStyle w:val="Padro"/>
        <w:spacing w:line="360" w:lineRule="auto"/>
        <w:jc w:val="both"/>
        <w:rPr>
          <w:rFonts w:ascii="Times New Roman" w:hAnsi="Times New Roman" w:cs="Times New Roman"/>
        </w:rPr>
      </w:pPr>
      <w:r w:rsidRPr="00771368">
        <w:rPr>
          <w:rFonts w:ascii="Times New Roman" w:eastAsia="Times New Roman" w:hAnsi="Times New Roman" w:cs="Times New Roman"/>
          <w:color w:val="auto"/>
        </w:rPr>
        <w:tab/>
      </w:r>
      <w:r w:rsidRPr="00771368">
        <w:rPr>
          <w:rFonts w:ascii="Times New Roman" w:eastAsia="Times New Roman" w:hAnsi="Times New Roman" w:cs="Times New Roman"/>
          <w:color w:val="auto"/>
          <w:sz w:val="24"/>
          <w:szCs w:val="24"/>
        </w:rPr>
        <w:t xml:space="preserve">As </w:t>
      </w:r>
      <w:r w:rsidRPr="00771368">
        <w:rPr>
          <w:rFonts w:ascii="Times New Roman" w:hAnsi="Times New Roman" w:cs="Times New Roman"/>
          <w:color w:val="auto"/>
          <w:sz w:val="24"/>
          <w:szCs w:val="24"/>
        </w:rPr>
        <w:t>falas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levam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refletir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concepção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vivenciada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pelos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universitários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está</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ligada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aspectos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biológicos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visão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dicotômica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entre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homem-mulher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torna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limitada.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Visão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é</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adquirida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espaços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estes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jovens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estão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construindo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concepção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mundo.</w:t>
      </w:r>
    </w:p>
    <w:p w:rsidR="00D24E61" w:rsidRPr="00771368" w:rsidRDefault="00D24E61">
      <w:pPr>
        <w:pStyle w:val="Padro"/>
        <w:spacing w:line="360" w:lineRule="auto"/>
        <w:jc w:val="both"/>
        <w:rPr>
          <w:rFonts w:ascii="Times New Roman" w:hAnsi="Times New Roman" w:cs="Times New Roman"/>
        </w:rPr>
      </w:pPr>
      <w:r w:rsidRPr="00771368">
        <w:rPr>
          <w:rFonts w:ascii="Times New Roman" w:eastAsia="Times New Roman" w:hAnsi="Times New Roman" w:cs="Times New Roman"/>
          <w:color w:val="auto"/>
        </w:rPr>
        <w:tab/>
      </w:r>
      <w:r w:rsidRPr="00771368">
        <w:rPr>
          <w:rFonts w:ascii="Times New Roman" w:eastAsia="Times New Roman" w:hAnsi="Times New Roman" w:cs="Times New Roman"/>
          <w:color w:val="auto"/>
          <w:sz w:val="24"/>
          <w:szCs w:val="24"/>
        </w:rPr>
        <w:t xml:space="preserve">Para </w:t>
      </w:r>
      <w:r w:rsidRPr="00771368">
        <w:rPr>
          <w:rFonts w:ascii="Times New Roman" w:hAnsi="Times New Roman" w:cs="Times New Roman"/>
          <w:color w:val="auto"/>
          <w:sz w:val="24"/>
          <w:szCs w:val="24"/>
        </w:rPr>
        <w:t>Louro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(2000)</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concepção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papeis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é</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redutora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simplista,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remete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sujeito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relações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onde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desigualdade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tende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 xml:space="preserve">ser </w:t>
      </w:r>
      <w:r w:rsidRPr="00771368">
        <w:rPr>
          <w:rFonts w:ascii="Times New Roman" w:eastAsia="Times New Roman" w:hAnsi="Times New Roman" w:cs="Times New Roman"/>
          <w:color w:val="auto"/>
          <w:sz w:val="24"/>
          <w:szCs w:val="24"/>
        </w:rPr>
        <w:t xml:space="preserve">vista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forma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face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face.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Ficando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analise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múltiplas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formas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masculinidade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feminilidade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complexas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redes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poder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através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instituições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discursos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constituem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hierarquia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entre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gêneros.</w:t>
      </w:r>
    </w:p>
    <w:p w:rsidR="00D24E61" w:rsidRPr="00771368" w:rsidRDefault="00D24E61">
      <w:pPr>
        <w:pStyle w:val="Padro"/>
        <w:spacing w:line="360" w:lineRule="auto"/>
        <w:jc w:val="both"/>
        <w:rPr>
          <w:rFonts w:ascii="Times New Roman" w:hAnsi="Times New Roman" w:cs="Times New Roman"/>
        </w:rPr>
      </w:pPr>
      <w:r w:rsidRPr="00771368">
        <w:rPr>
          <w:rFonts w:ascii="Times New Roman" w:eastAsia="Times New Roman" w:hAnsi="Times New Roman" w:cs="Times New Roman"/>
          <w:color w:val="auto"/>
        </w:rPr>
        <w:tab/>
      </w:r>
      <w:r w:rsidRPr="00771368">
        <w:rPr>
          <w:rFonts w:ascii="Times New Roman" w:eastAsia="Times New Roman" w:hAnsi="Times New Roman" w:cs="Times New Roman"/>
          <w:color w:val="auto"/>
          <w:sz w:val="24"/>
          <w:szCs w:val="24"/>
        </w:rPr>
        <w:t xml:space="preserve">Neste </w:t>
      </w:r>
      <w:r w:rsidRPr="00771368">
        <w:rPr>
          <w:rFonts w:ascii="Times New Roman" w:hAnsi="Times New Roman" w:cs="Times New Roman"/>
          <w:color w:val="auto"/>
          <w:sz w:val="24"/>
          <w:szCs w:val="24"/>
        </w:rPr>
        <w:t>aspecto,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é</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necessário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desconstruir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caráter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permanente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oposição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binária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masculino-feminino</w:t>
      </w:r>
      <w:r w:rsidRPr="00771368">
        <w:rPr>
          <w:rFonts w:ascii="Times New Roman" w:eastAsia="Times New Roman" w:hAnsi="Times New Roman" w:cs="Times New Roman"/>
          <w:color w:val="auto"/>
          <w:sz w:val="24"/>
          <w:szCs w:val="24"/>
        </w:rPr>
        <w:t xml:space="preserve"> – </w:t>
      </w:r>
      <w:r w:rsidRPr="00771368">
        <w:rPr>
          <w:rFonts w:ascii="Times New Roman" w:hAnsi="Times New Roman" w:cs="Times New Roman"/>
          <w:color w:val="auto"/>
          <w:sz w:val="24"/>
          <w:szCs w:val="24"/>
        </w:rPr>
        <w:t>pensamento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dicotômico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polarizado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gêneros</w:t>
      </w:r>
      <w:r w:rsidRPr="00771368">
        <w:rPr>
          <w:rFonts w:ascii="Times New Roman" w:eastAsia="Times New Roman" w:hAnsi="Times New Roman" w:cs="Times New Roman"/>
          <w:color w:val="auto"/>
          <w:sz w:val="24"/>
          <w:szCs w:val="24"/>
        </w:rPr>
        <w:t xml:space="preserve"> – </w:t>
      </w:r>
      <w:r w:rsidRPr="00771368">
        <w:rPr>
          <w:rFonts w:ascii="Times New Roman" w:hAnsi="Times New Roman" w:cs="Times New Roman"/>
          <w:color w:val="auto"/>
          <w:sz w:val="24"/>
          <w:szCs w:val="24"/>
        </w:rPr>
        <w:t>homens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mulheres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pólos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opostos,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dominação-submissão</w:t>
      </w:r>
      <w:r w:rsidRPr="00771368">
        <w:rPr>
          <w:rFonts w:ascii="Times New Roman" w:eastAsia="Times New Roman" w:hAnsi="Times New Roman" w:cs="Times New Roman"/>
          <w:color w:val="auto"/>
          <w:sz w:val="24"/>
          <w:szCs w:val="24"/>
        </w:rPr>
        <w:t>”</w:t>
      </w:r>
      <w:r w:rsidRPr="00771368">
        <w:rPr>
          <w:rFonts w:ascii="Times New Roman" w:hAnsi="Times New Roman" w:cs="Times New Roman"/>
          <w:color w:val="auto"/>
          <w:sz w:val="24"/>
          <w:szCs w:val="24"/>
        </w:rPr>
        <w:t>.</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(Scott</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in</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Louro,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2000).</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ab/>
        <w:t xml:space="preserve">Em outro momento se realizou discussões em grupo sobre as temáticas à luz dos autores: Stuart Hall (2003), Kabengele Munanga (2003), Maria Zelma Madeira (2006) a fim de construir novos saberes . </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ab/>
        <w:t>Durante essas discussões os grupo escreveram relatórios sobre os novos conceitos construídos, a partir dos conhecimentos prévios e de sua leituras, percebemos que três dos cinco grupos mudaram sua concepção sobre gênero,onde antes o classificavam apenas como a diferença do masculino e do feminino, como percebemos nos trechos a seguir:</w:t>
      </w:r>
    </w:p>
    <w:p w:rsidR="00D24E61" w:rsidRPr="00771368" w:rsidRDefault="00D24E61">
      <w:pPr>
        <w:pStyle w:val="SemEspaamento"/>
        <w:ind w:left="2268"/>
        <w:rPr>
          <w:rFonts w:ascii="Times New Roman" w:hAnsi="Times New Roman"/>
        </w:rPr>
      </w:pPr>
      <w:r w:rsidRPr="00771368">
        <w:rPr>
          <w:rFonts w:ascii="Times New Roman" w:hAnsi="Times New Roman"/>
        </w:rPr>
        <w:t>“Quando os sujeitos se identificam social e historicamente como femininos e masculinos, estabelecem assim suas identidades de gêneros” ( Grupo 2)</w:t>
      </w: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r w:rsidRPr="00771368">
        <w:rPr>
          <w:rFonts w:ascii="Times New Roman" w:hAnsi="Times New Roman"/>
        </w:rPr>
        <w:t>“O Gênero se constrói socialmente, pois é um fenômeno histórico.” ( Grupo 3)</w:t>
      </w: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“Quando falamos de gênero temos que diferenciar o gênero do biológico, pois feminino e masculino não se caracteriza somente do sexo, pois tem homens “femininos” e mulheres “masculinas” ( Grupo 5)</w:t>
      </w: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Em outra atividade os universitários elaboraram perguntas sobre as temáticas para os grupos responderem, criando um “quiz” sobre gênero e identidade. Nesse momento percebemos que as discussões sobre essa temática ganhou mais significação parte dos sujeitos da pesquisas, que passaram a discutir sobre atitudes de homens e mulheres no meio social que fazem parte de ações esperadas pelo sexo oposto como: Mulheres motorista de ônibus, piloto de avião e outras profissões antes masculinas e homens babás, domésticos antes femininos. Foi uma atividade divertida e promotora de conhecimentos e aprendizagens, além de quebra de paradigmas.</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Depois de vários momentos de leituras e discussões cada grupo elaborou propostas de como trabalhar o tema a diversidade étnico-racial com os alunos em sala de aula, observamos que as propostas foram criadas com o intuito de promover a compreensão da importância das singularidades para o coletivo, como podemos observar a seguir:</w:t>
      </w:r>
    </w:p>
    <w:p w:rsidR="00D24E61" w:rsidRPr="00771368" w:rsidRDefault="00D24E61">
      <w:pPr>
        <w:pStyle w:val="SemEspaamento"/>
        <w:ind w:left="2268"/>
        <w:jc w:val="both"/>
        <w:rPr>
          <w:rFonts w:ascii="Times New Roman" w:hAnsi="Times New Roman"/>
        </w:rPr>
      </w:pPr>
      <w:r w:rsidRPr="00771368">
        <w:rPr>
          <w:rFonts w:ascii="Times New Roman" w:hAnsi="Times New Roman"/>
        </w:rPr>
        <w:t>“ Discutir com os alunos e mostrar que existe um racismo velado no Brasil e que a imagem dos negros nos livros , revistas e jornais ainda é inferiorizada perante o branco, a fim de descobrir a opinião e sentimentos dos mesmos perante isto.” (Grupo 01)</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“Confeccionar um cartaz com diferentes imagens para demonstrar a pluralidade cultural e realizar uma leitura visual com os alunos e ouvir suas percepções.” ( Grupo 02)</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“Realizar um concurso de desenho com o tema: Educação não tem cor, para os alunos expressarem sua objetividade e opinião” (Grupo 03)</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“Propor que os alunos desenhem sua árvore genealógica, convidando seus familiares a falarem um pouco de suas histórias” (Grupo 04)</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“Convidar os alunos a montarem um gráfico sobre a descriminação racial no Brasil com base em dados de pesquisas já realizadas.” ( Grupo 05)</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jc w:val="both"/>
        <w:rPr>
          <w:rFonts w:ascii="Times New Roman" w:hAnsi="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Podemos observar nas sugestões dos acadêmicos para trabalhar a temática a preocupação de promover atividades significativas que os ajudem a construir novos saberes, pautados nos conhecimentos adquiridos nas discussões durante a disciplina.</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eastAsia="Times New Roman" w:hAnsi="Times New Roman" w:cs="Times New Roman"/>
          <w:color w:val="auto"/>
          <w:sz w:val="24"/>
          <w:szCs w:val="24"/>
        </w:rPr>
        <w:t xml:space="preserve">Nas </w:t>
      </w:r>
      <w:r w:rsidRPr="00771368">
        <w:rPr>
          <w:rFonts w:ascii="Times New Roman" w:hAnsi="Times New Roman" w:cs="Times New Roman"/>
          <w:color w:val="auto"/>
          <w:sz w:val="24"/>
          <w:szCs w:val="24"/>
        </w:rPr>
        <w:t>observações participantes que realizamos,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percebemos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também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jovens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sexo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masculino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cultuam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visão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machista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homem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jovens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sexo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feminino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cultuam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visão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mulher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ligada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fragilidade</w:t>
      </w:r>
      <w:r w:rsidRPr="00771368">
        <w:rPr>
          <w:rFonts w:ascii="Times New Roman" w:eastAsia="Times New Roman" w:hAnsi="Times New Roman" w:cs="Times New Roman"/>
          <w:color w:val="auto"/>
          <w:sz w:val="24"/>
          <w:szCs w:val="24"/>
        </w:rPr>
        <w:t>”</w:t>
      </w:r>
      <w:r w:rsidRPr="00771368">
        <w:rPr>
          <w:rFonts w:ascii="Times New Roman" w:hAnsi="Times New Roman" w:cs="Times New Roman"/>
          <w:color w:val="auto"/>
          <w:sz w:val="24"/>
          <w:szCs w:val="24"/>
        </w:rPr>
        <w:t>.</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Achamos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isso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curioso,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então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tentamos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conduzir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mais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discussão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tentar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desconstruir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norma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construída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culturalmente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pelo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contexto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compactuamos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Louro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(2000,</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06)</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ajudar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neste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processo,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pois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autora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revelou</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A</w:t>
      </w:r>
      <w:r w:rsidRPr="00771368">
        <w:rPr>
          <w:rFonts w:ascii="Times New Roman" w:eastAsia="Times New Roman" w:hAnsi="Times New Roman"/>
        </w:rPr>
        <w:t xml:space="preserve"> </w:t>
      </w:r>
      <w:r w:rsidRPr="00771368">
        <w:rPr>
          <w:rFonts w:ascii="Times New Roman" w:hAnsi="Times New Roman"/>
        </w:rPr>
        <w:t>inscrição</w:t>
      </w:r>
      <w:r w:rsidRPr="00771368">
        <w:rPr>
          <w:rFonts w:ascii="Times New Roman" w:eastAsia="Times New Roman" w:hAnsi="Times New Roman"/>
        </w:rPr>
        <w:t xml:space="preserve"> </w:t>
      </w:r>
      <w:r w:rsidRPr="00771368">
        <w:rPr>
          <w:rFonts w:ascii="Times New Roman" w:hAnsi="Times New Roman"/>
        </w:rPr>
        <w:t>dos</w:t>
      </w:r>
      <w:r w:rsidRPr="00771368">
        <w:rPr>
          <w:rFonts w:ascii="Times New Roman" w:eastAsia="Times New Roman" w:hAnsi="Times New Roman"/>
        </w:rPr>
        <w:t xml:space="preserve"> </w:t>
      </w:r>
      <w:r w:rsidRPr="00771368">
        <w:rPr>
          <w:rFonts w:ascii="Times New Roman" w:hAnsi="Times New Roman"/>
        </w:rPr>
        <w:t>gêneros</w:t>
      </w:r>
      <w:r w:rsidRPr="00771368">
        <w:rPr>
          <w:rFonts w:ascii="Times New Roman" w:eastAsia="Times New Roman" w:hAnsi="Times New Roman"/>
        </w:rPr>
        <w:t xml:space="preserve"> — </w:t>
      </w:r>
      <w:r w:rsidRPr="00771368">
        <w:rPr>
          <w:rFonts w:ascii="Times New Roman" w:hAnsi="Times New Roman"/>
        </w:rPr>
        <w:t>feminino</w:t>
      </w:r>
      <w:r w:rsidRPr="00771368">
        <w:rPr>
          <w:rFonts w:ascii="Times New Roman" w:eastAsia="Times New Roman" w:hAnsi="Times New Roman"/>
        </w:rPr>
        <w:t xml:space="preserve"> </w:t>
      </w:r>
      <w:r w:rsidRPr="00771368">
        <w:rPr>
          <w:rFonts w:ascii="Times New Roman" w:hAnsi="Times New Roman"/>
        </w:rPr>
        <w:t>ou</w:t>
      </w:r>
      <w:r w:rsidRPr="00771368">
        <w:rPr>
          <w:rFonts w:ascii="Times New Roman" w:eastAsia="Times New Roman" w:hAnsi="Times New Roman"/>
        </w:rPr>
        <w:t xml:space="preserve"> </w:t>
      </w:r>
      <w:r w:rsidRPr="00771368">
        <w:rPr>
          <w:rFonts w:ascii="Times New Roman" w:hAnsi="Times New Roman"/>
        </w:rPr>
        <w:t>masculino</w:t>
      </w:r>
      <w:r w:rsidRPr="00771368">
        <w:rPr>
          <w:rFonts w:ascii="Times New Roman" w:eastAsia="Times New Roman" w:hAnsi="Times New Roman"/>
        </w:rPr>
        <w:t xml:space="preserve"> — </w:t>
      </w:r>
      <w:r w:rsidRPr="00771368">
        <w:rPr>
          <w:rFonts w:ascii="Times New Roman" w:hAnsi="Times New Roman"/>
        </w:rPr>
        <w:t>nos</w:t>
      </w:r>
      <w:r w:rsidRPr="00771368">
        <w:rPr>
          <w:rFonts w:ascii="Times New Roman" w:eastAsia="Times New Roman" w:hAnsi="Times New Roman"/>
        </w:rPr>
        <w:t xml:space="preserve"> </w:t>
      </w:r>
      <w:r w:rsidRPr="00771368">
        <w:rPr>
          <w:rFonts w:ascii="Times New Roman" w:hAnsi="Times New Roman"/>
        </w:rPr>
        <w:t>corpos</w:t>
      </w:r>
      <w:r w:rsidRPr="00771368">
        <w:rPr>
          <w:rFonts w:ascii="Times New Roman" w:eastAsia="Times New Roman" w:hAnsi="Times New Roman"/>
        </w:rPr>
        <w:t xml:space="preserve"> </w:t>
      </w:r>
      <w:r w:rsidRPr="00771368">
        <w:rPr>
          <w:rFonts w:ascii="Times New Roman" w:hAnsi="Times New Roman"/>
        </w:rPr>
        <w:t>é</w:t>
      </w:r>
      <w:r w:rsidRPr="00771368">
        <w:rPr>
          <w:rFonts w:ascii="Times New Roman" w:eastAsia="Times New Roman" w:hAnsi="Times New Roman"/>
        </w:rPr>
        <w:t xml:space="preserve"> </w:t>
      </w:r>
      <w:r w:rsidRPr="00771368">
        <w:rPr>
          <w:rFonts w:ascii="Times New Roman" w:hAnsi="Times New Roman"/>
        </w:rPr>
        <w:t>feita,</w:t>
      </w:r>
      <w:r w:rsidRPr="00771368">
        <w:rPr>
          <w:rFonts w:ascii="Times New Roman" w:eastAsia="Times New Roman" w:hAnsi="Times New Roman"/>
        </w:rPr>
        <w:t xml:space="preserve"> </w:t>
      </w:r>
      <w:r w:rsidRPr="00771368">
        <w:rPr>
          <w:rFonts w:ascii="Times New Roman" w:hAnsi="Times New Roman"/>
        </w:rPr>
        <w:t>sempre,</w:t>
      </w:r>
      <w:r w:rsidRPr="00771368">
        <w:rPr>
          <w:rFonts w:ascii="Times New Roman" w:eastAsia="Times New Roman" w:hAnsi="Times New Roman"/>
        </w:rPr>
        <w:t xml:space="preserve"> </w:t>
      </w:r>
      <w:r w:rsidRPr="00771368">
        <w:rPr>
          <w:rFonts w:ascii="Times New Roman" w:hAnsi="Times New Roman"/>
        </w:rPr>
        <w:t>no</w:t>
      </w:r>
      <w:r w:rsidRPr="00771368">
        <w:rPr>
          <w:rFonts w:ascii="Times New Roman" w:eastAsia="Times New Roman" w:hAnsi="Times New Roman"/>
        </w:rPr>
        <w:t xml:space="preserve"> </w:t>
      </w:r>
      <w:r w:rsidRPr="00771368">
        <w:rPr>
          <w:rFonts w:ascii="Times New Roman" w:hAnsi="Times New Roman"/>
        </w:rPr>
        <w:t>contexto</w:t>
      </w:r>
      <w:r w:rsidRPr="00771368">
        <w:rPr>
          <w:rFonts w:ascii="Times New Roman" w:eastAsia="Times New Roman" w:hAnsi="Times New Roman"/>
        </w:rPr>
        <w:t xml:space="preserve"> </w:t>
      </w:r>
      <w:r w:rsidRPr="00771368">
        <w:rPr>
          <w:rFonts w:ascii="Times New Roman" w:hAnsi="Times New Roman"/>
        </w:rPr>
        <w:t>de</w:t>
      </w:r>
      <w:r w:rsidRPr="00771368">
        <w:rPr>
          <w:rFonts w:ascii="Times New Roman" w:eastAsia="Times New Roman" w:hAnsi="Times New Roman"/>
        </w:rPr>
        <w:t xml:space="preserve"> </w:t>
      </w:r>
      <w:r w:rsidRPr="00771368">
        <w:rPr>
          <w:rFonts w:ascii="Times New Roman" w:hAnsi="Times New Roman"/>
        </w:rPr>
        <w:t>uma</w:t>
      </w:r>
      <w:r w:rsidRPr="00771368">
        <w:rPr>
          <w:rFonts w:ascii="Times New Roman" w:eastAsia="Times New Roman" w:hAnsi="Times New Roman"/>
        </w:rPr>
        <w:t xml:space="preserve"> </w:t>
      </w:r>
      <w:r w:rsidRPr="00771368">
        <w:rPr>
          <w:rFonts w:ascii="Times New Roman" w:hAnsi="Times New Roman"/>
        </w:rPr>
        <w:t>determinada</w:t>
      </w:r>
      <w:r w:rsidRPr="00771368">
        <w:rPr>
          <w:rFonts w:ascii="Times New Roman" w:eastAsia="Times New Roman" w:hAnsi="Times New Roman"/>
        </w:rPr>
        <w:t xml:space="preserve"> </w:t>
      </w:r>
      <w:r w:rsidRPr="00771368">
        <w:rPr>
          <w:rFonts w:ascii="Times New Roman" w:hAnsi="Times New Roman"/>
        </w:rPr>
        <w:t>cultura</w:t>
      </w:r>
      <w:r w:rsidRPr="00771368">
        <w:rPr>
          <w:rFonts w:ascii="Times New Roman" w:eastAsia="Times New Roman" w:hAnsi="Times New Roman"/>
        </w:rPr>
        <w:t xml:space="preserve"> </w:t>
      </w:r>
      <w:r w:rsidRPr="00771368">
        <w:rPr>
          <w:rFonts w:ascii="Times New Roman" w:hAnsi="Times New Roman"/>
        </w:rPr>
        <w:t>e,</w:t>
      </w:r>
      <w:r w:rsidRPr="00771368">
        <w:rPr>
          <w:rFonts w:ascii="Times New Roman" w:eastAsia="Times New Roman" w:hAnsi="Times New Roman"/>
        </w:rPr>
        <w:t xml:space="preserve"> </w:t>
      </w:r>
      <w:r w:rsidRPr="00771368">
        <w:rPr>
          <w:rFonts w:ascii="Times New Roman" w:hAnsi="Times New Roman"/>
        </w:rPr>
        <w:t>portanto,</w:t>
      </w:r>
      <w:r w:rsidRPr="00771368">
        <w:rPr>
          <w:rFonts w:ascii="Times New Roman" w:eastAsia="Times New Roman" w:hAnsi="Times New Roman"/>
        </w:rPr>
        <w:t xml:space="preserve"> </w:t>
      </w:r>
      <w:r w:rsidRPr="00771368">
        <w:rPr>
          <w:rFonts w:ascii="Times New Roman" w:hAnsi="Times New Roman"/>
        </w:rPr>
        <w:t>com</w:t>
      </w:r>
      <w:r w:rsidRPr="00771368">
        <w:rPr>
          <w:rFonts w:ascii="Times New Roman" w:eastAsia="Times New Roman" w:hAnsi="Times New Roman"/>
        </w:rPr>
        <w:t xml:space="preserve"> </w:t>
      </w:r>
      <w:r w:rsidRPr="00771368">
        <w:rPr>
          <w:rFonts w:ascii="Times New Roman" w:hAnsi="Times New Roman"/>
        </w:rPr>
        <w:t>as</w:t>
      </w:r>
      <w:r w:rsidRPr="00771368">
        <w:rPr>
          <w:rFonts w:ascii="Times New Roman" w:eastAsia="Times New Roman" w:hAnsi="Times New Roman"/>
        </w:rPr>
        <w:t xml:space="preserve"> </w:t>
      </w:r>
      <w:r w:rsidRPr="00771368">
        <w:rPr>
          <w:rFonts w:ascii="Times New Roman" w:hAnsi="Times New Roman"/>
        </w:rPr>
        <w:t>marcas</w:t>
      </w:r>
      <w:r w:rsidRPr="00771368">
        <w:rPr>
          <w:rFonts w:ascii="Times New Roman" w:eastAsia="Times New Roman" w:hAnsi="Times New Roman"/>
        </w:rPr>
        <w:t xml:space="preserve"> </w:t>
      </w:r>
      <w:r w:rsidRPr="00771368">
        <w:rPr>
          <w:rFonts w:ascii="Times New Roman" w:hAnsi="Times New Roman"/>
        </w:rPr>
        <w:t>dessa</w:t>
      </w:r>
      <w:r w:rsidRPr="00771368">
        <w:rPr>
          <w:rFonts w:ascii="Times New Roman" w:eastAsia="Times New Roman" w:hAnsi="Times New Roman"/>
        </w:rPr>
        <w:t xml:space="preserve"> </w:t>
      </w:r>
      <w:r w:rsidRPr="00771368">
        <w:rPr>
          <w:rFonts w:ascii="Times New Roman" w:hAnsi="Times New Roman"/>
        </w:rPr>
        <w:t>cultura.</w:t>
      </w:r>
      <w:r w:rsidRPr="00771368">
        <w:rPr>
          <w:rFonts w:ascii="Times New Roman" w:eastAsia="Times New Roman" w:hAnsi="Times New Roman"/>
        </w:rPr>
        <w:t xml:space="preserve"> </w:t>
      </w:r>
      <w:r w:rsidRPr="00771368">
        <w:rPr>
          <w:rFonts w:ascii="Times New Roman" w:hAnsi="Times New Roman"/>
        </w:rPr>
        <w:t>As</w:t>
      </w:r>
      <w:r w:rsidRPr="00771368">
        <w:rPr>
          <w:rFonts w:ascii="Times New Roman" w:eastAsia="Times New Roman" w:hAnsi="Times New Roman"/>
        </w:rPr>
        <w:t xml:space="preserve"> </w:t>
      </w:r>
      <w:r w:rsidRPr="00771368">
        <w:rPr>
          <w:rFonts w:ascii="Times New Roman" w:hAnsi="Times New Roman"/>
        </w:rPr>
        <w:t>possibilidades</w:t>
      </w:r>
      <w:r w:rsidRPr="00771368">
        <w:rPr>
          <w:rFonts w:ascii="Times New Roman" w:eastAsia="Times New Roman" w:hAnsi="Times New Roman"/>
        </w:rPr>
        <w:t xml:space="preserve"> </w:t>
      </w:r>
      <w:r w:rsidRPr="00771368">
        <w:rPr>
          <w:rFonts w:ascii="Times New Roman" w:hAnsi="Times New Roman"/>
        </w:rPr>
        <w:t>da</w:t>
      </w:r>
      <w:r w:rsidRPr="00771368">
        <w:rPr>
          <w:rFonts w:ascii="Times New Roman" w:eastAsia="Times New Roman" w:hAnsi="Times New Roman"/>
        </w:rPr>
        <w:t xml:space="preserve"> </w:t>
      </w:r>
      <w:r w:rsidRPr="00771368">
        <w:rPr>
          <w:rFonts w:ascii="Times New Roman" w:hAnsi="Times New Roman"/>
        </w:rPr>
        <w:t>sexualidade</w:t>
      </w:r>
      <w:r w:rsidRPr="00771368">
        <w:rPr>
          <w:rFonts w:ascii="Times New Roman" w:eastAsia="Times New Roman" w:hAnsi="Times New Roman"/>
        </w:rPr>
        <w:t xml:space="preserve"> — </w:t>
      </w:r>
      <w:r w:rsidRPr="00771368">
        <w:rPr>
          <w:rFonts w:ascii="Times New Roman" w:hAnsi="Times New Roman"/>
        </w:rPr>
        <w:t>das</w:t>
      </w:r>
      <w:r w:rsidRPr="00771368">
        <w:rPr>
          <w:rFonts w:ascii="Times New Roman" w:eastAsia="Times New Roman" w:hAnsi="Times New Roman"/>
        </w:rPr>
        <w:t xml:space="preserve"> </w:t>
      </w:r>
      <w:r w:rsidRPr="00771368">
        <w:rPr>
          <w:rFonts w:ascii="Times New Roman" w:hAnsi="Times New Roman"/>
        </w:rPr>
        <w:t>formas</w:t>
      </w:r>
      <w:r w:rsidRPr="00771368">
        <w:rPr>
          <w:rFonts w:ascii="Times New Roman" w:eastAsia="Times New Roman" w:hAnsi="Times New Roman"/>
        </w:rPr>
        <w:t xml:space="preserve"> </w:t>
      </w:r>
      <w:r w:rsidRPr="00771368">
        <w:rPr>
          <w:rFonts w:ascii="Times New Roman" w:hAnsi="Times New Roman"/>
        </w:rPr>
        <w:t>de</w:t>
      </w:r>
      <w:r w:rsidRPr="00771368">
        <w:rPr>
          <w:rFonts w:ascii="Times New Roman" w:eastAsia="Times New Roman" w:hAnsi="Times New Roman"/>
        </w:rPr>
        <w:t xml:space="preserve"> </w:t>
      </w:r>
      <w:r w:rsidRPr="00771368">
        <w:rPr>
          <w:rFonts w:ascii="Times New Roman" w:hAnsi="Times New Roman"/>
        </w:rPr>
        <w:t>expressar</w:t>
      </w:r>
      <w:r w:rsidRPr="00771368">
        <w:rPr>
          <w:rFonts w:ascii="Times New Roman" w:eastAsia="Times New Roman" w:hAnsi="Times New Roman"/>
        </w:rPr>
        <w:t xml:space="preserve"> </w:t>
      </w:r>
      <w:r w:rsidRPr="00771368">
        <w:rPr>
          <w:rFonts w:ascii="Times New Roman" w:hAnsi="Times New Roman"/>
        </w:rPr>
        <w:t>os</w:t>
      </w:r>
      <w:r w:rsidRPr="00771368">
        <w:rPr>
          <w:rFonts w:ascii="Times New Roman" w:eastAsia="Times New Roman" w:hAnsi="Times New Roman"/>
        </w:rPr>
        <w:t xml:space="preserve"> </w:t>
      </w:r>
      <w:r w:rsidRPr="00771368">
        <w:rPr>
          <w:rFonts w:ascii="Times New Roman" w:hAnsi="Times New Roman"/>
        </w:rPr>
        <w:t>desejos</w:t>
      </w:r>
      <w:r w:rsidRPr="00771368">
        <w:rPr>
          <w:rFonts w:ascii="Times New Roman" w:eastAsia="Times New Roman" w:hAnsi="Times New Roman"/>
        </w:rPr>
        <w:t xml:space="preserve"> </w:t>
      </w:r>
      <w:r w:rsidRPr="00771368">
        <w:rPr>
          <w:rFonts w:ascii="Times New Roman" w:hAnsi="Times New Roman"/>
        </w:rPr>
        <w:t>e</w:t>
      </w:r>
      <w:r w:rsidRPr="00771368">
        <w:rPr>
          <w:rFonts w:ascii="Times New Roman" w:eastAsia="Times New Roman" w:hAnsi="Times New Roman"/>
        </w:rPr>
        <w:t xml:space="preserve"> </w:t>
      </w:r>
      <w:r w:rsidRPr="00771368">
        <w:rPr>
          <w:rFonts w:ascii="Times New Roman" w:hAnsi="Times New Roman"/>
        </w:rPr>
        <w:t>prazeres</w:t>
      </w:r>
      <w:r w:rsidRPr="00771368">
        <w:rPr>
          <w:rFonts w:ascii="Times New Roman" w:eastAsia="Times New Roman" w:hAnsi="Times New Roman"/>
        </w:rPr>
        <w:t xml:space="preserve"> — </w:t>
      </w:r>
      <w:r w:rsidRPr="00771368">
        <w:rPr>
          <w:rFonts w:ascii="Times New Roman" w:hAnsi="Times New Roman"/>
        </w:rPr>
        <w:t>também</w:t>
      </w:r>
      <w:r w:rsidRPr="00771368">
        <w:rPr>
          <w:rFonts w:ascii="Times New Roman" w:eastAsia="Times New Roman" w:hAnsi="Times New Roman"/>
        </w:rPr>
        <w:t xml:space="preserve"> </w:t>
      </w:r>
      <w:r w:rsidRPr="00771368">
        <w:rPr>
          <w:rFonts w:ascii="Times New Roman" w:hAnsi="Times New Roman"/>
        </w:rPr>
        <w:t>são</w:t>
      </w:r>
      <w:r w:rsidRPr="00771368">
        <w:rPr>
          <w:rFonts w:ascii="Times New Roman" w:eastAsia="Times New Roman" w:hAnsi="Times New Roman"/>
        </w:rPr>
        <w:t xml:space="preserve"> </w:t>
      </w:r>
      <w:r w:rsidRPr="00771368">
        <w:rPr>
          <w:rFonts w:ascii="Times New Roman" w:hAnsi="Times New Roman"/>
        </w:rPr>
        <w:t>sempre</w:t>
      </w:r>
      <w:r w:rsidRPr="00771368">
        <w:rPr>
          <w:rFonts w:ascii="Times New Roman" w:eastAsia="Times New Roman" w:hAnsi="Times New Roman"/>
        </w:rPr>
        <w:t xml:space="preserve"> </w:t>
      </w:r>
      <w:r w:rsidRPr="00771368">
        <w:rPr>
          <w:rFonts w:ascii="Times New Roman" w:hAnsi="Times New Roman"/>
        </w:rPr>
        <w:t>socialmente</w:t>
      </w:r>
      <w:r w:rsidRPr="00771368">
        <w:rPr>
          <w:rFonts w:ascii="Times New Roman" w:eastAsia="Times New Roman" w:hAnsi="Times New Roman"/>
        </w:rPr>
        <w:t xml:space="preserve"> </w:t>
      </w:r>
      <w:r w:rsidRPr="00771368">
        <w:rPr>
          <w:rFonts w:ascii="Times New Roman" w:hAnsi="Times New Roman"/>
        </w:rPr>
        <w:t>estabelecidas</w:t>
      </w:r>
      <w:r w:rsidRPr="00771368">
        <w:rPr>
          <w:rFonts w:ascii="Times New Roman" w:eastAsia="Times New Roman" w:hAnsi="Times New Roman"/>
        </w:rPr>
        <w:t xml:space="preserve"> </w:t>
      </w:r>
      <w:r w:rsidRPr="00771368">
        <w:rPr>
          <w:rFonts w:ascii="Times New Roman" w:hAnsi="Times New Roman"/>
        </w:rPr>
        <w:t>e</w:t>
      </w:r>
      <w:r w:rsidRPr="00771368">
        <w:rPr>
          <w:rFonts w:ascii="Times New Roman" w:eastAsia="Times New Roman" w:hAnsi="Times New Roman"/>
        </w:rPr>
        <w:t xml:space="preserve"> </w:t>
      </w:r>
      <w:r w:rsidRPr="00771368">
        <w:rPr>
          <w:rFonts w:ascii="Times New Roman" w:hAnsi="Times New Roman"/>
        </w:rPr>
        <w:t>codificadas.</w:t>
      </w:r>
      <w:r w:rsidRPr="00771368">
        <w:rPr>
          <w:rFonts w:ascii="Times New Roman" w:eastAsia="Times New Roman" w:hAnsi="Times New Roman"/>
        </w:rPr>
        <w:t xml:space="preserve"> </w:t>
      </w:r>
      <w:r w:rsidRPr="00771368">
        <w:rPr>
          <w:rFonts w:ascii="Times New Roman" w:hAnsi="Times New Roman"/>
        </w:rPr>
        <w:t>As</w:t>
      </w:r>
      <w:r w:rsidRPr="00771368">
        <w:rPr>
          <w:rFonts w:ascii="Times New Roman" w:eastAsia="Times New Roman" w:hAnsi="Times New Roman"/>
        </w:rPr>
        <w:t xml:space="preserve"> </w:t>
      </w:r>
      <w:r w:rsidRPr="00771368">
        <w:rPr>
          <w:rFonts w:ascii="Times New Roman" w:hAnsi="Times New Roman"/>
        </w:rPr>
        <w:t>identidades</w:t>
      </w:r>
      <w:r w:rsidRPr="00771368">
        <w:rPr>
          <w:rFonts w:ascii="Times New Roman" w:eastAsia="Times New Roman" w:hAnsi="Times New Roman"/>
        </w:rPr>
        <w:t xml:space="preserve"> </w:t>
      </w:r>
      <w:r w:rsidRPr="00771368">
        <w:rPr>
          <w:rFonts w:ascii="Times New Roman" w:hAnsi="Times New Roman"/>
        </w:rPr>
        <w:t>de</w:t>
      </w:r>
      <w:r w:rsidRPr="00771368">
        <w:rPr>
          <w:rFonts w:ascii="Times New Roman" w:eastAsia="Times New Roman" w:hAnsi="Times New Roman"/>
        </w:rPr>
        <w:t xml:space="preserve"> </w:t>
      </w:r>
      <w:r w:rsidRPr="00771368">
        <w:rPr>
          <w:rFonts w:ascii="Times New Roman" w:hAnsi="Times New Roman"/>
        </w:rPr>
        <w:t>gênero</w:t>
      </w:r>
      <w:r w:rsidRPr="00771368">
        <w:rPr>
          <w:rFonts w:ascii="Times New Roman" w:eastAsia="Times New Roman" w:hAnsi="Times New Roman"/>
        </w:rPr>
        <w:t xml:space="preserve"> </w:t>
      </w:r>
      <w:r w:rsidRPr="00771368">
        <w:rPr>
          <w:rFonts w:ascii="Times New Roman" w:hAnsi="Times New Roman"/>
        </w:rPr>
        <w:t>e</w:t>
      </w:r>
      <w:r w:rsidRPr="00771368">
        <w:rPr>
          <w:rFonts w:ascii="Times New Roman" w:eastAsia="Times New Roman" w:hAnsi="Times New Roman"/>
        </w:rPr>
        <w:t xml:space="preserve"> </w:t>
      </w:r>
      <w:r w:rsidRPr="00771368">
        <w:rPr>
          <w:rFonts w:ascii="Times New Roman" w:hAnsi="Times New Roman"/>
        </w:rPr>
        <w:t>sexuais</w:t>
      </w:r>
      <w:r w:rsidRPr="00771368">
        <w:rPr>
          <w:rFonts w:ascii="Times New Roman" w:eastAsia="Times New Roman" w:hAnsi="Times New Roman"/>
        </w:rPr>
        <w:t xml:space="preserve"> </w:t>
      </w:r>
      <w:r w:rsidRPr="00771368">
        <w:rPr>
          <w:rFonts w:ascii="Times New Roman" w:hAnsi="Times New Roman"/>
        </w:rPr>
        <w:t>são,</w:t>
      </w:r>
      <w:r w:rsidRPr="00771368">
        <w:rPr>
          <w:rFonts w:ascii="Times New Roman" w:eastAsia="Times New Roman" w:hAnsi="Times New Roman"/>
        </w:rPr>
        <w:t xml:space="preserve"> </w:t>
      </w:r>
      <w:r w:rsidRPr="00771368">
        <w:rPr>
          <w:rFonts w:ascii="Times New Roman" w:hAnsi="Times New Roman"/>
        </w:rPr>
        <w:t>portanto,</w:t>
      </w:r>
      <w:r w:rsidRPr="00771368">
        <w:rPr>
          <w:rFonts w:ascii="Times New Roman" w:eastAsia="Times New Roman" w:hAnsi="Times New Roman"/>
        </w:rPr>
        <w:t xml:space="preserve"> </w:t>
      </w:r>
      <w:r w:rsidRPr="00771368">
        <w:rPr>
          <w:rFonts w:ascii="Times New Roman" w:hAnsi="Times New Roman"/>
        </w:rPr>
        <w:t>compostas</w:t>
      </w:r>
      <w:r w:rsidRPr="00771368">
        <w:rPr>
          <w:rFonts w:ascii="Times New Roman" w:eastAsia="Times New Roman" w:hAnsi="Times New Roman"/>
        </w:rPr>
        <w:t xml:space="preserve"> </w:t>
      </w:r>
      <w:r w:rsidRPr="00771368">
        <w:rPr>
          <w:rFonts w:ascii="Times New Roman" w:hAnsi="Times New Roman"/>
        </w:rPr>
        <w:t>e</w:t>
      </w:r>
      <w:r w:rsidRPr="00771368">
        <w:rPr>
          <w:rFonts w:ascii="Times New Roman" w:eastAsia="Times New Roman" w:hAnsi="Times New Roman"/>
        </w:rPr>
        <w:t xml:space="preserve"> </w:t>
      </w:r>
      <w:r w:rsidRPr="00771368">
        <w:rPr>
          <w:rFonts w:ascii="Times New Roman" w:hAnsi="Times New Roman"/>
        </w:rPr>
        <w:t>definidas</w:t>
      </w:r>
      <w:r w:rsidRPr="00771368">
        <w:rPr>
          <w:rFonts w:ascii="Times New Roman" w:eastAsia="Times New Roman" w:hAnsi="Times New Roman"/>
        </w:rPr>
        <w:t xml:space="preserve"> </w:t>
      </w:r>
      <w:r w:rsidRPr="00771368">
        <w:rPr>
          <w:rFonts w:ascii="Times New Roman" w:hAnsi="Times New Roman"/>
        </w:rPr>
        <w:t>por</w:t>
      </w:r>
      <w:r w:rsidRPr="00771368">
        <w:rPr>
          <w:rFonts w:ascii="Times New Roman" w:eastAsia="Times New Roman" w:hAnsi="Times New Roman"/>
        </w:rPr>
        <w:t xml:space="preserve"> </w:t>
      </w:r>
      <w:r w:rsidRPr="00771368">
        <w:rPr>
          <w:rFonts w:ascii="Times New Roman" w:hAnsi="Times New Roman"/>
        </w:rPr>
        <w:t>relações</w:t>
      </w:r>
      <w:r w:rsidRPr="00771368">
        <w:rPr>
          <w:rFonts w:ascii="Times New Roman" w:eastAsia="Times New Roman" w:hAnsi="Times New Roman"/>
        </w:rPr>
        <w:t xml:space="preserve"> </w:t>
      </w:r>
      <w:r w:rsidRPr="00771368">
        <w:rPr>
          <w:rFonts w:ascii="Times New Roman" w:hAnsi="Times New Roman"/>
        </w:rPr>
        <w:t>sociais,</w:t>
      </w:r>
      <w:r w:rsidRPr="00771368">
        <w:rPr>
          <w:rFonts w:ascii="Times New Roman" w:eastAsia="Times New Roman" w:hAnsi="Times New Roman"/>
        </w:rPr>
        <w:t xml:space="preserve"> </w:t>
      </w:r>
      <w:r w:rsidRPr="00771368">
        <w:rPr>
          <w:rFonts w:ascii="Times New Roman" w:hAnsi="Times New Roman"/>
        </w:rPr>
        <w:t>elas</w:t>
      </w:r>
      <w:r w:rsidRPr="00771368">
        <w:rPr>
          <w:rFonts w:ascii="Times New Roman" w:eastAsia="Times New Roman" w:hAnsi="Times New Roman"/>
        </w:rPr>
        <w:t xml:space="preserve"> </w:t>
      </w:r>
      <w:r w:rsidRPr="00771368">
        <w:rPr>
          <w:rFonts w:ascii="Times New Roman" w:hAnsi="Times New Roman"/>
        </w:rPr>
        <w:t>são</w:t>
      </w:r>
      <w:r w:rsidRPr="00771368">
        <w:rPr>
          <w:rFonts w:ascii="Times New Roman" w:eastAsia="Times New Roman" w:hAnsi="Times New Roman"/>
        </w:rPr>
        <w:t xml:space="preserve"> </w:t>
      </w:r>
      <w:r w:rsidRPr="00771368">
        <w:rPr>
          <w:rFonts w:ascii="Times New Roman" w:hAnsi="Times New Roman"/>
        </w:rPr>
        <w:t>moldadas</w:t>
      </w:r>
      <w:r w:rsidRPr="00771368">
        <w:rPr>
          <w:rFonts w:ascii="Times New Roman" w:eastAsia="Times New Roman" w:hAnsi="Times New Roman"/>
        </w:rPr>
        <w:t xml:space="preserve"> </w:t>
      </w:r>
      <w:r w:rsidRPr="00771368">
        <w:rPr>
          <w:rFonts w:ascii="Times New Roman" w:hAnsi="Times New Roman"/>
        </w:rPr>
        <w:t>pelas</w:t>
      </w:r>
      <w:r w:rsidRPr="00771368">
        <w:rPr>
          <w:rFonts w:ascii="Times New Roman" w:eastAsia="Times New Roman" w:hAnsi="Times New Roman"/>
        </w:rPr>
        <w:t xml:space="preserve"> </w:t>
      </w:r>
      <w:r w:rsidRPr="00771368">
        <w:rPr>
          <w:rFonts w:ascii="Times New Roman" w:hAnsi="Times New Roman"/>
        </w:rPr>
        <w:t>redes</w:t>
      </w:r>
      <w:r w:rsidRPr="00771368">
        <w:rPr>
          <w:rFonts w:ascii="Times New Roman" w:eastAsia="Times New Roman" w:hAnsi="Times New Roman"/>
        </w:rPr>
        <w:t xml:space="preserve"> </w:t>
      </w:r>
      <w:r w:rsidRPr="00771368">
        <w:rPr>
          <w:rFonts w:ascii="Times New Roman" w:hAnsi="Times New Roman"/>
        </w:rPr>
        <w:t>de</w:t>
      </w:r>
      <w:r w:rsidRPr="00771368">
        <w:rPr>
          <w:rFonts w:ascii="Times New Roman" w:eastAsia="Times New Roman" w:hAnsi="Times New Roman"/>
        </w:rPr>
        <w:t xml:space="preserve"> </w:t>
      </w:r>
      <w:r w:rsidRPr="00771368">
        <w:rPr>
          <w:rFonts w:ascii="Times New Roman" w:hAnsi="Times New Roman"/>
        </w:rPr>
        <w:t>poder</w:t>
      </w:r>
      <w:r w:rsidRPr="00771368">
        <w:rPr>
          <w:rFonts w:ascii="Times New Roman" w:eastAsia="Times New Roman" w:hAnsi="Times New Roman"/>
        </w:rPr>
        <w:t xml:space="preserve"> </w:t>
      </w:r>
      <w:r w:rsidRPr="00771368">
        <w:rPr>
          <w:rFonts w:ascii="Times New Roman" w:hAnsi="Times New Roman"/>
        </w:rPr>
        <w:t>de</w:t>
      </w:r>
      <w:r w:rsidRPr="00771368">
        <w:rPr>
          <w:rFonts w:ascii="Times New Roman" w:eastAsia="Times New Roman" w:hAnsi="Times New Roman"/>
        </w:rPr>
        <w:t xml:space="preserve"> </w:t>
      </w:r>
      <w:r w:rsidRPr="00771368">
        <w:rPr>
          <w:rFonts w:ascii="Times New Roman" w:hAnsi="Times New Roman"/>
        </w:rPr>
        <w:t>uma</w:t>
      </w:r>
      <w:r w:rsidRPr="00771368">
        <w:rPr>
          <w:rFonts w:ascii="Times New Roman" w:eastAsia="Times New Roman" w:hAnsi="Times New Roman"/>
        </w:rPr>
        <w:t xml:space="preserve"> </w:t>
      </w:r>
      <w:r w:rsidRPr="00771368">
        <w:rPr>
          <w:rFonts w:ascii="Times New Roman" w:hAnsi="Times New Roman"/>
        </w:rPr>
        <w:t>sociedade.</w:t>
      </w:r>
      <w:r w:rsidRPr="00771368">
        <w:rPr>
          <w:rFonts w:ascii="Times New Roman" w:eastAsia="Times New Roman" w:hAnsi="Times New Roman"/>
        </w:rPr>
        <w:t xml:space="preserve"> </w:t>
      </w:r>
    </w:p>
    <w:p w:rsidR="00D24E61" w:rsidRPr="00771368" w:rsidRDefault="00D24E61">
      <w:pPr>
        <w:pStyle w:val="Padro"/>
        <w:ind w:left="2268"/>
        <w:jc w:val="both"/>
        <w:rPr>
          <w:rFonts w:ascii="Times New Roman" w:hAnsi="Times New Roman" w:cs="Times New Roman"/>
        </w:rPr>
      </w:pPr>
    </w:p>
    <w:p w:rsidR="00D24E61" w:rsidRPr="00771368" w:rsidRDefault="00D24E61">
      <w:pPr>
        <w:pStyle w:val="Padro"/>
        <w:spacing w:line="360" w:lineRule="auto"/>
        <w:ind w:firstLine="851"/>
        <w:jc w:val="both"/>
        <w:rPr>
          <w:rFonts w:ascii="Times New Roman" w:hAnsi="Times New Roman" w:cs="Times New Roman"/>
        </w:rPr>
      </w:pPr>
      <w:r w:rsidRPr="00771368">
        <w:rPr>
          <w:rFonts w:ascii="Times New Roman" w:hAnsi="Times New Roman" w:cs="Times New Roman"/>
          <w:color w:val="auto"/>
          <w:sz w:val="24"/>
          <w:szCs w:val="24"/>
        </w:rPr>
        <w:t>Neste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percurso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entendemos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seria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necessário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também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elaborarmos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algumas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perguntas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pudessem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levá-los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refletir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suas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respostas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quando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referem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homem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mulher</w:t>
      </w:r>
      <w:r w:rsidRPr="00771368">
        <w:rPr>
          <w:rFonts w:ascii="Times New Roman" w:eastAsia="Times New Roman" w:hAnsi="Times New Roman" w:cs="Times New Roman"/>
          <w:color w:val="auto"/>
          <w:sz w:val="24"/>
          <w:szCs w:val="24"/>
        </w:rPr>
        <w:t>”</w:t>
      </w:r>
      <w:r w:rsidRPr="00771368">
        <w:rPr>
          <w:rFonts w:ascii="Times New Roman" w:hAnsi="Times New Roman" w:cs="Times New Roman"/>
          <w:color w:val="auto"/>
          <w:sz w:val="24"/>
          <w:szCs w:val="24"/>
        </w:rPr>
        <w:t>.</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Selecionamos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seguintes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perguntas: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sociedade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atual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um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perfil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homem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mulher?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Com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aprendemos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esse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tipo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discurso?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mulher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sempre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é</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frágil</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homem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não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deve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chorar?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Solicitamos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para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jovens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relatarem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algo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vivenciaram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que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fazem</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carregar</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essa</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visão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sobre</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gênero.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Ouvimos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as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seguintes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falas.</w:t>
      </w:r>
    </w:p>
    <w:p w:rsidR="00D24E61" w:rsidRPr="00771368" w:rsidRDefault="00D24E61">
      <w:pPr>
        <w:pStyle w:val="Padro"/>
        <w:spacing w:line="360" w:lineRule="auto"/>
        <w:ind w:firstLine="851"/>
        <w:jc w:val="both"/>
        <w:rPr>
          <w:rFonts w:ascii="Times New Roman" w:hAnsi="Times New Roman" w:cs="Times New Roman"/>
        </w:rPr>
      </w:pPr>
    </w:p>
    <w:p w:rsidR="00D24E61" w:rsidRPr="00771368" w:rsidRDefault="00D24E61">
      <w:pPr>
        <w:pStyle w:val="Padro"/>
        <w:ind w:left="2268"/>
        <w:jc w:val="both"/>
        <w:rPr>
          <w:rFonts w:ascii="Times New Roman" w:hAnsi="Times New Roman" w:cs="Times New Roman"/>
        </w:rPr>
      </w:pPr>
      <w:r w:rsidRPr="00771368">
        <w:rPr>
          <w:rFonts w:ascii="Times New Roman" w:eastAsia="Times New Roman" w:hAnsi="Times New Roman" w:cs="Times New Roman"/>
          <w:color w:val="auto"/>
        </w:rPr>
        <w:t>“</w:t>
      </w:r>
      <w:r w:rsidRPr="00771368">
        <w:rPr>
          <w:rFonts w:ascii="Times New Roman" w:hAnsi="Times New Roman" w:cs="Times New Roman"/>
          <w:color w:val="auto"/>
        </w:rPr>
        <w:t>Desde</w:t>
      </w:r>
      <w:r w:rsidRPr="00771368">
        <w:rPr>
          <w:rFonts w:ascii="Times New Roman" w:eastAsia="Times New Roman" w:hAnsi="Times New Roman" w:cs="Times New Roman"/>
          <w:color w:val="auto"/>
        </w:rPr>
        <w:t xml:space="preserve"> </w:t>
      </w:r>
      <w:r w:rsidRPr="00771368">
        <w:rPr>
          <w:rFonts w:ascii="Times New Roman" w:hAnsi="Times New Roman" w:cs="Times New Roman"/>
          <w:color w:val="auto"/>
        </w:rPr>
        <w:t>criança</w:t>
      </w:r>
      <w:r w:rsidRPr="00771368">
        <w:rPr>
          <w:rFonts w:ascii="Times New Roman" w:eastAsia="Times New Roman" w:hAnsi="Times New Roman" w:cs="Times New Roman"/>
          <w:color w:val="auto"/>
        </w:rPr>
        <w:t xml:space="preserve"> </w:t>
      </w:r>
      <w:r w:rsidRPr="00771368">
        <w:rPr>
          <w:rFonts w:ascii="Times New Roman" w:hAnsi="Times New Roman" w:cs="Times New Roman"/>
          <w:color w:val="auto"/>
        </w:rPr>
        <w:t xml:space="preserve">ouvimos nossas </w:t>
      </w:r>
      <w:r w:rsidRPr="00771368">
        <w:rPr>
          <w:rFonts w:ascii="Times New Roman" w:eastAsia="Times New Roman" w:hAnsi="Times New Roman" w:cs="Times New Roman"/>
          <w:color w:val="auto"/>
        </w:rPr>
        <w:t xml:space="preserve"> </w:t>
      </w:r>
      <w:r w:rsidRPr="00771368">
        <w:rPr>
          <w:rFonts w:ascii="Times New Roman" w:hAnsi="Times New Roman" w:cs="Times New Roman"/>
          <w:color w:val="auto"/>
        </w:rPr>
        <w:t>mães falarem que menino veste azul e menina veste rosa</w:t>
      </w:r>
      <w:r w:rsidRPr="00771368">
        <w:rPr>
          <w:rFonts w:ascii="Times New Roman" w:eastAsia="Times New Roman" w:hAnsi="Times New Roman" w:cs="Times New Roman"/>
          <w:color w:val="auto"/>
        </w:rPr>
        <w:t xml:space="preserve">  e </w:t>
      </w:r>
      <w:r w:rsidRPr="00771368">
        <w:rPr>
          <w:rFonts w:ascii="Times New Roman" w:hAnsi="Times New Roman" w:cs="Times New Roman"/>
          <w:color w:val="auto"/>
        </w:rPr>
        <w:t>nossos</w:t>
      </w:r>
      <w:r w:rsidRPr="00771368">
        <w:rPr>
          <w:rFonts w:ascii="Times New Roman" w:eastAsia="Times New Roman" w:hAnsi="Times New Roman" w:cs="Times New Roman"/>
          <w:color w:val="auto"/>
        </w:rPr>
        <w:t xml:space="preserve"> </w:t>
      </w:r>
      <w:r w:rsidRPr="00771368">
        <w:rPr>
          <w:rFonts w:ascii="Times New Roman" w:hAnsi="Times New Roman" w:cs="Times New Roman"/>
          <w:color w:val="auto"/>
        </w:rPr>
        <w:t>pais relatarem que homem não chora</w:t>
      </w:r>
      <w:r w:rsidRPr="00771368">
        <w:rPr>
          <w:rFonts w:ascii="Times New Roman" w:eastAsia="Times New Roman" w:hAnsi="Times New Roman" w:cs="Times New Roman"/>
          <w:color w:val="auto"/>
        </w:rPr>
        <w:t xml:space="preserve">” </w:t>
      </w:r>
      <w:r w:rsidRPr="00771368">
        <w:rPr>
          <w:rFonts w:ascii="Times New Roman" w:hAnsi="Times New Roman" w:cs="Times New Roman"/>
          <w:color w:val="auto"/>
        </w:rPr>
        <w:t>(Grupo 1).</w:t>
      </w:r>
    </w:p>
    <w:p w:rsidR="00D24E61" w:rsidRPr="00771368" w:rsidRDefault="00D24E61">
      <w:pPr>
        <w:pStyle w:val="Padro"/>
        <w:ind w:left="2268"/>
        <w:jc w:val="both"/>
        <w:rPr>
          <w:rFonts w:ascii="Times New Roman" w:hAnsi="Times New Roman" w:cs="Times New Roman"/>
        </w:rPr>
      </w:pPr>
    </w:p>
    <w:p w:rsidR="00D24E61" w:rsidRPr="00771368" w:rsidRDefault="00D24E61">
      <w:pPr>
        <w:pStyle w:val="Padro"/>
        <w:ind w:left="2268"/>
        <w:jc w:val="both"/>
        <w:rPr>
          <w:rFonts w:ascii="Times New Roman" w:hAnsi="Times New Roman" w:cs="Times New Roman"/>
        </w:rPr>
      </w:pPr>
      <w:r w:rsidRPr="00771368">
        <w:rPr>
          <w:rFonts w:ascii="Times New Roman" w:eastAsia="Times New Roman" w:hAnsi="Times New Roman" w:cs="Times New Roman"/>
          <w:color w:val="auto"/>
        </w:rPr>
        <w:t xml:space="preserve">“Quando nos meninas brincávamos com bola ou de carro as outras pessoas nos tachavam de macho-fêmea, preocupando nossa família que a maioria das vezes nos proibiam” </w:t>
      </w:r>
      <w:r w:rsidRPr="00771368">
        <w:rPr>
          <w:rFonts w:ascii="Times New Roman" w:hAnsi="Times New Roman" w:cs="Times New Roman"/>
          <w:color w:val="auto"/>
        </w:rPr>
        <w:t>(Grupo 2).</w:t>
      </w:r>
    </w:p>
    <w:p w:rsidR="00D24E61" w:rsidRPr="00771368" w:rsidRDefault="00D24E61">
      <w:pPr>
        <w:pStyle w:val="Padro"/>
        <w:ind w:left="2268"/>
        <w:jc w:val="both"/>
        <w:rPr>
          <w:rFonts w:ascii="Times New Roman" w:hAnsi="Times New Roman" w:cs="Times New Roman"/>
        </w:rPr>
      </w:pPr>
    </w:p>
    <w:p w:rsidR="00D24E61" w:rsidRPr="00771368" w:rsidRDefault="00D24E61">
      <w:pPr>
        <w:pStyle w:val="Padro"/>
        <w:ind w:left="2268"/>
        <w:jc w:val="both"/>
        <w:rPr>
          <w:rFonts w:ascii="Times New Roman" w:hAnsi="Times New Roman" w:cs="Times New Roman"/>
        </w:rPr>
      </w:pPr>
      <w:r w:rsidRPr="00771368">
        <w:rPr>
          <w:rFonts w:ascii="Times New Roman" w:eastAsia="Times New Roman" w:hAnsi="Times New Roman" w:cs="Times New Roman"/>
          <w:color w:val="auto"/>
        </w:rPr>
        <w:t xml:space="preserve">“Lembramos que em nossa família as mães tinham medo de brincarmos com pessoas do mesmo sexo e nos tornamos gays” </w:t>
      </w:r>
      <w:r w:rsidRPr="00771368">
        <w:rPr>
          <w:rFonts w:ascii="Times New Roman" w:hAnsi="Times New Roman" w:cs="Times New Roman"/>
          <w:color w:val="auto"/>
        </w:rPr>
        <w:t>(Grupo 3)</w:t>
      </w:r>
    </w:p>
    <w:p w:rsidR="00D24E61" w:rsidRPr="00771368" w:rsidRDefault="00D24E61">
      <w:pPr>
        <w:pStyle w:val="Padro"/>
        <w:ind w:left="2268"/>
        <w:jc w:val="both"/>
        <w:rPr>
          <w:rFonts w:ascii="Times New Roman" w:hAnsi="Times New Roman" w:cs="Times New Roman"/>
        </w:rPr>
      </w:pPr>
    </w:p>
    <w:p w:rsidR="00D24E61" w:rsidRPr="00771368" w:rsidRDefault="00D24E61">
      <w:pPr>
        <w:pStyle w:val="Padro"/>
        <w:ind w:left="2268"/>
        <w:jc w:val="both"/>
        <w:rPr>
          <w:rFonts w:ascii="Times New Roman" w:hAnsi="Times New Roman" w:cs="Times New Roman"/>
        </w:rPr>
      </w:pPr>
      <w:r w:rsidRPr="00771368">
        <w:rPr>
          <w:rFonts w:ascii="Times New Roman" w:hAnsi="Times New Roman" w:cs="Times New Roman"/>
          <w:color w:val="auto"/>
        </w:rPr>
        <w:t>“ Nossa família possui algo em comum a compreensão que mulher deve ser mais contida e o homem deve ser liberal”.( Grupo 4)</w:t>
      </w:r>
    </w:p>
    <w:p w:rsidR="00D24E61" w:rsidRPr="00771368" w:rsidRDefault="00D24E61">
      <w:pPr>
        <w:pStyle w:val="Padro"/>
        <w:ind w:left="2268"/>
        <w:jc w:val="both"/>
        <w:rPr>
          <w:rFonts w:ascii="Times New Roman" w:hAnsi="Times New Roman" w:cs="Times New Roman"/>
        </w:rPr>
      </w:pPr>
    </w:p>
    <w:p w:rsidR="00D24E61" w:rsidRPr="00771368" w:rsidRDefault="00D24E61">
      <w:pPr>
        <w:pStyle w:val="Padro"/>
        <w:ind w:left="2268"/>
        <w:jc w:val="both"/>
        <w:rPr>
          <w:rFonts w:ascii="Times New Roman" w:hAnsi="Times New Roman" w:cs="Times New Roman"/>
        </w:rPr>
      </w:pPr>
      <w:r w:rsidRPr="00771368">
        <w:rPr>
          <w:rFonts w:ascii="Times New Roman" w:hAnsi="Times New Roman" w:cs="Times New Roman"/>
          <w:color w:val="auto"/>
        </w:rPr>
        <w:t>“Lembramos que na infância os brinquedos comprados por nossa família já eram entregues de acordo com o sexo: meninas -bonecas, meninos-carros”.( Grupo 5)</w:t>
      </w: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Percebemos através dessas falas os medos e preconceitos das famílias, classificando as pessoas e identificando gênero somente como feminino e masculino, contribuindo para a construção da identidade dos participantes que ainda vemos essas concepções em suas ações e na dificuldade de se expressar sobre essa temática.</w:t>
      </w: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b/>
          <w:bCs/>
          <w:color w:val="auto"/>
          <w:sz w:val="24"/>
          <w:szCs w:val="24"/>
        </w:rPr>
        <w:t>4.DESVELANDO</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VOZES</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E</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OLHARES</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DE</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JOVENS</w:t>
      </w:r>
      <w:r w:rsidRPr="00771368">
        <w:rPr>
          <w:rFonts w:ascii="Times New Roman" w:eastAsia="Times New Roman" w:hAnsi="Times New Roman" w:cs="Times New Roman"/>
          <w:b/>
          <w:bCs/>
          <w:color w:val="auto"/>
          <w:sz w:val="24"/>
          <w:szCs w:val="24"/>
        </w:rPr>
        <w:t xml:space="preserve"> </w:t>
      </w:r>
      <w:r w:rsidRPr="00771368">
        <w:rPr>
          <w:rFonts w:ascii="Times New Roman" w:hAnsi="Times New Roman" w:cs="Times New Roman"/>
          <w:b/>
          <w:bCs/>
          <w:color w:val="auto"/>
          <w:sz w:val="24"/>
          <w:szCs w:val="24"/>
        </w:rPr>
        <w:t>SOBRE</w:t>
      </w:r>
      <w:r w:rsidRPr="00771368">
        <w:rPr>
          <w:rFonts w:ascii="Times New Roman" w:eastAsia="Times New Roman" w:hAnsi="Times New Roman" w:cs="Times New Roman"/>
          <w:b/>
          <w:bCs/>
          <w:color w:val="auto"/>
          <w:sz w:val="24"/>
          <w:szCs w:val="24"/>
        </w:rPr>
        <w:t xml:space="preserve"> IDENTIDADE.</w:t>
      </w:r>
    </w:p>
    <w:p w:rsidR="00D24E61" w:rsidRPr="00771368" w:rsidRDefault="00D24E61">
      <w:pPr>
        <w:pStyle w:val="Padro"/>
        <w:spacing w:line="360" w:lineRule="auto"/>
        <w:jc w:val="both"/>
        <w:rPr>
          <w:rFonts w:ascii="Times New Roman" w:hAnsi="Times New Roman" w:cs="Times New Roman"/>
        </w:rPr>
      </w:pPr>
      <w:r w:rsidRPr="00771368">
        <w:rPr>
          <w:rFonts w:ascii="Times New Roman" w:eastAsia="Times New Roman" w:hAnsi="Times New Roman" w:cs="Times New Roman"/>
          <w:b/>
          <w:bCs/>
          <w:color w:val="auto"/>
          <w:sz w:val="24"/>
          <w:szCs w:val="24"/>
        </w:rPr>
        <w:tab/>
      </w:r>
      <w:r w:rsidRPr="00771368">
        <w:rPr>
          <w:rFonts w:ascii="Times New Roman" w:eastAsia="Times New Roman" w:hAnsi="Times New Roman" w:cs="Times New Roman"/>
          <w:bCs/>
          <w:color w:val="auto"/>
          <w:sz w:val="24"/>
          <w:szCs w:val="24"/>
        </w:rPr>
        <w:t>Para descobrir o olhar dos universitários sobre o tema identidade, realizamos várias discussões em sala de aula e a aplicação de um questionário com três perguntas a serem respondida em grupo por causa da grande quantidade de alunos. Para a pergunta, O que é identidade? Obtivemos as seguintes respostas:</w:t>
      </w:r>
    </w:p>
    <w:p w:rsidR="00D24E61" w:rsidRPr="00771368" w:rsidRDefault="00D24E61">
      <w:pPr>
        <w:pStyle w:val="SemEspaamento"/>
        <w:ind w:left="2268"/>
        <w:rPr>
          <w:rFonts w:ascii="Times New Roman" w:hAnsi="Times New Roman"/>
        </w:rPr>
      </w:pPr>
      <w:r w:rsidRPr="00771368">
        <w:rPr>
          <w:rFonts w:ascii="Times New Roman" w:hAnsi="Times New Roman"/>
        </w:rPr>
        <w:t>“identidade é como cada um de nós se comporta na sociedade” (Grupo 01)</w:t>
      </w: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r w:rsidRPr="00771368">
        <w:rPr>
          <w:rFonts w:ascii="Times New Roman" w:hAnsi="Times New Roman"/>
        </w:rPr>
        <w:t>“A identidade é como nos definimos perante o mundo”</w:t>
      </w:r>
    </w:p>
    <w:p w:rsidR="00D24E61" w:rsidRPr="00771368" w:rsidRDefault="00D24E61">
      <w:pPr>
        <w:pStyle w:val="SemEspaamento"/>
        <w:ind w:left="2268"/>
        <w:rPr>
          <w:rFonts w:ascii="Times New Roman" w:hAnsi="Times New Roman"/>
        </w:rPr>
      </w:pPr>
      <w:r w:rsidRPr="00771368">
        <w:rPr>
          <w:rFonts w:ascii="Times New Roman" w:hAnsi="Times New Roman"/>
        </w:rPr>
        <w:t xml:space="preserve"> ( Grupo 02)</w:t>
      </w: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r w:rsidRPr="00771368">
        <w:rPr>
          <w:rFonts w:ascii="Times New Roman" w:hAnsi="Times New Roman"/>
        </w:rPr>
        <w:t>“ Identidade é formada a partir de nossas experiências”</w:t>
      </w:r>
    </w:p>
    <w:p w:rsidR="00D24E61" w:rsidRPr="00771368" w:rsidRDefault="00D24E61">
      <w:pPr>
        <w:pStyle w:val="SemEspaamento"/>
        <w:ind w:left="2268"/>
        <w:rPr>
          <w:rFonts w:ascii="Times New Roman" w:hAnsi="Times New Roman"/>
        </w:rPr>
      </w:pPr>
      <w:r w:rsidRPr="00771368">
        <w:rPr>
          <w:rFonts w:ascii="Times New Roman" w:hAnsi="Times New Roman"/>
        </w:rPr>
        <w:t xml:space="preserve"> ( Grupo 03)</w:t>
      </w: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r w:rsidRPr="00771368">
        <w:rPr>
          <w:rFonts w:ascii="Times New Roman" w:hAnsi="Times New Roman"/>
        </w:rPr>
        <w:t>“ Compreendemos que identidade é a nossa marca, personalidade, desejos e ações na sociedade”. ( Grupo 04)</w:t>
      </w:r>
    </w:p>
    <w:p w:rsidR="00D24E61" w:rsidRPr="00771368" w:rsidRDefault="00D24E61">
      <w:pPr>
        <w:pStyle w:val="SemEspaamento"/>
        <w:ind w:left="2268"/>
        <w:rPr>
          <w:rFonts w:ascii="Times New Roman" w:hAnsi="Times New Roman"/>
        </w:rPr>
      </w:pPr>
    </w:p>
    <w:p w:rsidR="00D24E61" w:rsidRPr="00771368" w:rsidRDefault="00D24E61">
      <w:pPr>
        <w:pStyle w:val="SemEspaamento"/>
        <w:ind w:left="2268"/>
        <w:rPr>
          <w:rFonts w:ascii="Times New Roman" w:hAnsi="Times New Roman"/>
        </w:rPr>
      </w:pPr>
      <w:r w:rsidRPr="00771368">
        <w:rPr>
          <w:rFonts w:ascii="Times New Roman" w:hAnsi="Times New Roman"/>
        </w:rPr>
        <w:t>“ A identidade é a nossa personalidade.”(Grupo 5)</w:t>
      </w:r>
    </w:p>
    <w:p w:rsidR="00D24E61" w:rsidRPr="00771368" w:rsidRDefault="00D24E61">
      <w:pPr>
        <w:pStyle w:val="SemEspaamento"/>
        <w:ind w:left="2268"/>
        <w:rPr>
          <w:rFonts w:ascii="Times New Roman" w:hAnsi="Times New Roman"/>
        </w:rPr>
      </w:pP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eastAsia="Times New Roman" w:hAnsi="Times New Roman" w:cs="Times New Roman"/>
          <w:bCs/>
          <w:color w:val="auto"/>
          <w:sz w:val="24"/>
          <w:szCs w:val="24"/>
        </w:rPr>
        <w:t xml:space="preserve">Nas falas dos participantes observamos a interação entre as respostas, compreendo a identidade como algo particular, construída com as diferentes vivências, como afirma </w:t>
      </w:r>
      <w:r w:rsidRPr="00771368">
        <w:rPr>
          <w:rFonts w:ascii="Times New Roman" w:hAnsi="Times New Roman" w:cs="Times New Roman"/>
          <w:color w:val="auto"/>
          <w:sz w:val="24"/>
          <w:szCs w:val="24"/>
        </w:rPr>
        <w:t xml:space="preserve">  Laburthe-Tolra (2003)</w:t>
      </w: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A identidade consiste num conjunto de características partilhadas pelos membros de um grupo, que permitem um processo de identificação das pessoas no interior deste mesmo grupo e de diferenciação em relação aos outros grupos, por isso se dar a sua importância na construção de um território.</w:t>
      </w:r>
    </w:p>
    <w:p w:rsidR="00D24E61" w:rsidRPr="00771368" w:rsidRDefault="00D24E61">
      <w:pPr>
        <w:pStyle w:val="Padro"/>
        <w:spacing w:line="360" w:lineRule="auto"/>
        <w:jc w:val="both"/>
        <w:rPr>
          <w:rFonts w:ascii="Times New Roman" w:hAnsi="Times New Roman" w:cs="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eastAsia="Times New Roman" w:hAnsi="Times New Roman" w:cs="Times New Roman"/>
          <w:bCs/>
          <w:color w:val="auto"/>
          <w:sz w:val="24"/>
          <w:szCs w:val="24"/>
        </w:rPr>
        <w:t>Quando perguntamos “como construímos a identidade?” os participantes responderam:</w:t>
      </w:r>
    </w:p>
    <w:p w:rsidR="00D24E61" w:rsidRPr="00771368" w:rsidRDefault="00D24E61">
      <w:pPr>
        <w:pStyle w:val="SemEspaamento"/>
        <w:ind w:left="2835"/>
        <w:jc w:val="both"/>
        <w:rPr>
          <w:rFonts w:ascii="Times New Roman" w:hAnsi="Times New Roman"/>
        </w:rPr>
      </w:pPr>
      <w:r w:rsidRPr="00771368">
        <w:rPr>
          <w:rFonts w:ascii="Times New Roman" w:hAnsi="Times New Roman"/>
        </w:rPr>
        <w:t>“Construímos a identidade no dia-a-dia, com nossas ações.” ( Grupo 01)</w:t>
      </w:r>
    </w:p>
    <w:p w:rsidR="00D24E61" w:rsidRPr="00771368" w:rsidRDefault="00D24E61">
      <w:pPr>
        <w:pStyle w:val="SemEspaamento"/>
        <w:ind w:left="2835"/>
        <w:jc w:val="both"/>
        <w:rPr>
          <w:rFonts w:ascii="Times New Roman" w:hAnsi="Times New Roman"/>
        </w:rPr>
      </w:pPr>
    </w:p>
    <w:p w:rsidR="00D24E61" w:rsidRPr="00771368" w:rsidRDefault="00D24E61">
      <w:pPr>
        <w:pStyle w:val="SemEspaamento"/>
        <w:ind w:left="2835"/>
        <w:jc w:val="both"/>
        <w:rPr>
          <w:rFonts w:ascii="Times New Roman" w:hAnsi="Times New Roman"/>
        </w:rPr>
      </w:pPr>
      <w:r w:rsidRPr="00771368">
        <w:rPr>
          <w:rFonts w:ascii="Times New Roman" w:hAnsi="Times New Roman"/>
        </w:rPr>
        <w:t>“ A identidade de constrói naturalmente com o passar dos tempos.” (Grupo 02)</w:t>
      </w:r>
    </w:p>
    <w:p w:rsidR="00D24E61" w:rsidRPr="00771368" w:rsidRDefault="00D24E61">
      <w:pPr>
        <w:pStyle w:val="SemEspaamento"/>
        <w:ind w:left="2835"/>
        <w:jc w:val="both"/>
        <w:rPr>
          <w:rFonts w:ascii="Times New Roman" w:hAnsi="Times New Roman"/>
        </w:rPr>
      </w:pPr>
    </w:p>
    <w:p w:rsidR="00D24E61" w:rsidRPr="00771368" w:rsidRDefault="00D24E61">
      <w:pPr>
        <w:pStyle w:val="SemEspaamento"/>
        <w:ind w:left="2835"/>
        <w:jc w:val="both"/>
        <w:rPr>
          <w:rFonts w:ascii="Times New Roman" w:hAnsi="Times New Roman"/>
        </w:rPr>
      </w:pPr>
      <w:r w:rsidRPr="00771368">
        <w:rPr>
          <w:rFonts w:ascii="Times New Roman" w:hAnsi="Times New Roman"/>
        </w:rPr>
        <w:t>“ Construímos nossa identidade através de nossas experiências”, ( Grupo 03)</w:t>
      </w:r>
    </w:p>
    <w:p w:rsidR="00D24E61" w:rsidRPr="00771368" w:rsidRDefault="00D24E61">
      <w:pPr>
        <w:pStyle w:val="SemEspaamento"/>
        <w:ind w:left="2835"/>
        <w:jc w:val="both"/>
        <w:rPr>
          <w:rFonts w:ascii="Times New Roman" w:hAnsi="Times New Roman"/>
        </w:rPr>
      </w:pPr>
    </w:p>
    <w:p w:rsidR="00D24E61" w:rsidRPr="00771368" w:rsidRDefault="00D24E61">
      <w:pPr>
        <w:pStyle w:val="SemEspaamento"/>
        <w:ind w:left="2835"/>
        <w:jc w:val="both"/>
        <w:rPr>
          <w:rFonts w:ascii="Times New Roman" w:hAnsi="Times New Roman"/>
        </w:rPr>
      </w:pPr>
      <w:r w:rsidRPr="00771368">
        <w:rPr>
          <w:rFonts w:ascii="Times New Roman" w:hAnsi="Times New Roman"/>
        </w:rPr>
        <w:t xml:space="preserve"> “A identidade se constrói com os nossos desejos, ações e opiniões, cada pessoa tem sua personalidade.” (Grupo 06)</w:t>
      </w:r>
    </w:p>
    <w:p w:rsidR="00D24E61" w:rsidRPr="00771368" w:rsidRDefault="00D24E61">
      <w:pPr>
        <w:pStyle w:val="SemEspaamento"/>
        <w:ind w:left="2835"/>
        <w:jc w:val="both"/>
        <w:rPr>
          <w:rFonts w:ascii="Times New Roman" w:hAnsi="Times New Roman"/>
        </w:rPr>
      </w:pPr>
    </w:p>
    <w:p w:rsidR="00D24E61" w:rsidRPr="00771368" w:rsidRDefault="00D24E61">
      <w:pPr>
        <w:pStyle w:val="SemEspaamento"/>
        <w:ind w:left="2835"/>
        <w:jc w:val="both"/>
        <w:rPr>
          <w:rFonts w:ascii="Times New Roman" w:hAnsi="Times New Roman"/>
        </w:rPr>
      </w:pPr>
      <w:r w:rsidRPr="00771368">
        <w:rPr>
          <w:rFonts w:ascii="Times New Roman" w:hAnsi="Times New Roman"/>
        </w:rPr>
        <w:t>“ A construção da identidade se dar quando descobrimos o que queremos ser, o que gostamos e qual a nossa personalidade.” (Grupo 08)</w:t>
      </w:r>
    </w:p>
    <w:p w:rsidR="00D24E61" w:rsidRPr="00771368" w:rsidRDefault="00D24E61">
      <w:pPr>
        <w:pStyle w:val="SemEspaamento"/>
        <w:ind w:left="2835"/>
        <w:jc w:val="both"/>
        <w:rPr>
          <w:rFonts w:ascii="Times New Roman" w:hAnsi="Times New Roman"/>
        </w:rPr>
      </w:pPr>
    </w:p>
    <w:p w:rsidR="00D24E61" w:rsidRPr="00771368" w:rsidRDefault="00D24E61">
      <w:pPr>
        <w:pStyle w:val="SemEspaamento"/>
        <w:ind w:left="2835"/>
        <w:jc w:val="both"/>
        <w:rPr>
          <w:rFonts w:ascii="Times New Roman" w:hAnsi="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Constatamos a partir das afirmações dos participantes que apenas um grupo acredita que a identidade se constrói com a experiências e interações como afirma , Castells (2006)</w:t>
      </w:r>
    </w:p>
    <w:p w:rsidR="00D24E61" w:rsidRPr="00771368" w:rsidRDefault="00D24E61">
      <w:pPr>
        <w:pStyle w:val="SemEspaamento"/>
        <w:ind w:left="2268"/>
        <w:jc w:val="both"/>
        <w:rPr>
          <w:rFonts w:ascii="Times New Roman" w:hAnsi="Times New Roman"/>
        </w:rPr>
      </w:pPr>
      <w:r w:rsidRPr="00771368">
        <w:rPr>
          <w:rFonts w:ascii="Times New Roman" w:hAnsi="Times New Roman"/>
        </w:rPr>
        <w:t>A identidade é um processo de construção de significação com base na cultura, ou com base em atributos culturais interrelacionados, os quais revelam sobre outros atributos e que toda e qualquer identidade é construída.</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Com isso acreditamos que a construção do conceito de identidade toma sentido contrário as formulações clássicas, privilegiando a multiplicidade e as diferenças.</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 xml:space="preserve">Baseada nisso Castells, (2006) afirma que são possíveis identidades múltiplas, para um indivíduo ou para um ator coletivo, e que essa multiplicidade é uma fonte de tensão e contradição; logo, identidades múltiplas podem ser vistas em ações sociais ou em auto-representações. Observa, ela, que Castells, em função disso, diferencia identidade e papel, propondo identidade como fonte de significado de maior importância, em função do processo de autoconstrução e individuação que envolve: identidades organizam significados e papéis organizam funções. </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 xml:space="preserve">Para Castells (2006, p. 23), os papéis “(por exemplo, ser trabalhador, mãe, vizinho, militante socialista, [...]), são definidos por normas estruturadas pelas instituições e organizações da sociedade”; já identidades, “constituem fontes de significados para os próprios atores, [são] por eles originadas, e constituídas por um processo de individuação”. </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 xml:space="preserve">Ele afirma que, de um ponto de vista sociológico, “toda e qualquer identidade é construída”, e também que, a construção de identidades vale-se da matéria prima fornecida pela história, geografia, biologia, instituições produtivas e reprodutivas, pela memória coletiva e por fantasias pessoais, pelos aparatos de poder e revelações de cunho religioso. </w:t>
      </w:r>
    </w:p>
    <w:p w:rsidR="00D24E61" w:rsidRPr="00771368" w:rsidRDefault="00D24E61">
      <w:pPr>
        <w:pStyle w:val="SemEspaamento"/>
        <w:ind w:left="2268"/>
        <w:jc w:val="both"/>
        <w:rPr>
          <w:rFonts w:ascii="Times New Roman" w:hAnsi="Times New Roman"/>
        </w:rPr>
      </w:pPr>
      <w:r w:rsidRPr="00771368">
        <w:rPr>
          <w:rFonts w:ascii="Times New Roman" w:hAnsi="Times New Roman"/>
        </w:rPr>
        <w:t>Porém, todos esses materiais são processados pelos indivíduos, grupos sociais e sociedades, que reorganizam seu significado em função de tendências sociais e projetos culturais enraizados em sua estrutura social, bem como em sua visão de espaço/tempo (CASTELLS, 2006, p. 23).</w:t>
      </w:r>
    </w:p>
    <w:p w:rsidR="00D24E61" w:rsidRPr="00771368" w:rsidRDefault="00D24E61">
      <w:pPr>
        <w:pStyle w:val="Padro"/>
        <w:spacing w:line="360" w:lineRule="auto"/>
        <w:ind w:left="2835"/>
        <w:jc w:val="both"/>
        <w:rPr>
          <w:rFonts w:ascii="Times New Roman" w:hAnsi="Times New Roman" w:cs="Times New Roman"/>
        </w:rPr>
      </w:pPr>
    </w:p>
    <w:p w:rsidR="00D24E61" w:rsidRPr="00771368" w:rsidRDefault="00D24E61">
      <w:pPr>
        <w:pStyle w:val="Padro"/>
        <w:spacing w:line="360" w:lineRule="auto"/>
        <w:jc w:val="both"/>
        <w:rPr>
          <w:rFonts w:ascii="Times New Roman" w:hAnsi="Times New Roman" w:cs="Times New Roman"/>
        </w:rPr>
      </w:pPr>
      <w:r w:rsidRPr="00771368">
        <w:rPr>
          <w:rFonts w:ascii="Times New Roman" w:eastAsia="Times New Roman" w:hAnsi="Times New Roman" w:cs="Times New Roman"/>
          <w:b/>
          <w:bCs/>
          <w:color w:val="auto"/>
          <w:sz w:val="24"/>
          <w:szCs w:val="24"/>
        </w:rPr>
        <w:tab/>
      </w:r>
      <w:r w:rsidRPr="00771368">
        <w:rPr>
          <w:rFonts w:ascii="Times New Roman" w:eastAsia="Times New Roman" w:hAnsi="Times New Roman" w:cs="Times New Roman"/>
          <w:bCs/>
          <w:color w:val="auto"/>
          <w:sz w:val="24"/>
          <w:szCs w:val="24"/>
        </w:rPr>
        <w:t xml:space="preserve">Chartier (1990) argumenta que, para poder identificar o modo como, em diferentes lugares e diferentes momentos, uma determinada realidade social é construída, pensada ou lida, são necessárias classificações, divisões e delimitações que organizem a apreensão do mundo social em categorias fundamentais de percepção e apreciação do real. Essas categorias fundamentais são variáveis conforme a classe social ou meio intelectual e são produzidas pelas disposições estáveis, e partilhadas, próprias do grupo. Essas classificações, divisões e delimitações são os esquemas intelectuais incorporados que criam as figuras com as quais o presente adquire sentido, o outro torna-se inteligível e o espaço pode ser decifrado. Essas figuras são as representações do mundo social e essa organização da realidade é a forma como elas se constroem: elas aspiram à universalidade. </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eastAsia="Times New Roman" w:hAnsi="Times New Roman" w:cs="Times New Roman"/>
          <w:bCs/>
          <w:color w:val="auto"/>
          <w:sz w:val="24"/>
          <w:szCs w:val="24"/>
        </w:rPr>
        <w:t>Contudo, sempre são determinadas pelos interesses dos grupos que as forjam, não são discursos neutros, pois delas derivam estratégias e práticas sociais</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eastAsia="Times New Roman" w:hAnsi="Times New Roman" w:cs="Times New Roman"/>
          <w:bCs/>
          <w:color w:val="auto"/>
          <w:sz w:val="24"/>
          <w:szCs w:val="24"/>
        </w:rPr>
        <w:t>A terceira pergunta realizada aos participantes foi: “como você se classifica perante a sociedade?” e através da mesma obtivemos as seguintes respostas:</w:t>
      </w: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 Nos classificamos como pessoas de personalidades fortes” (Grupo 01)</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 Temos a identidade de brasileiros e lutamos por nossos ideais.” ( grupo 02)</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 Buscamos nosso espaço e nos identificamos como pessoas de direitos e deveres que lutam por seus sonhos.” ( Grupo 03)</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 Não nos classificamos mas a sociedade nos classifica pelo que temos.” ( Grupo 04)</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r w:rsidRPr="00771368">
        <w:rPr>
          <w:rFonts w:ascii="Times New Roman" w:hAnsi="Times New Roman"/>
        </w:rPr>
        <w:t>“ A sociedade nos classifica como ricos, pobres, feios, belos... pelos que temos e somos visualmente.” ( Grupo 05)</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eastAsia="Times New Roman" w:hAnsi="Times New Roman" w:cs="Times New Roman"/>
          <w:bCs/>
          <w:color w:val="auto"/>
          <w:sz w:val="24"/>
          <w:szCs w:val="24"/>
        </w:rPr>
        <w:t>Vemos que todos os grupos apresentaram respostas semelhantes deixando expressar suas identificações e papéis , o que representam para si mesmos, assim como a classificação social feita a partir nosso poder aquisitivo. Como afirma Chartier (1990) sobre a  noção de representação:</w:t>
      </w:r>
    </w:p>
    <w:p w:rsidR="00D24E61" w:rsidRPr="00771368" w:rsidRDefault="00D24E61">
      <w:pPr>
        <w:pStyle w:val="SemEspaamento"/>
        <w:ind w:left="2268"/>
        <w:jc w:val="both"/>
        <w:rPr>
          <w:rFonts w:ascii="Times New Roman" w:hAnsi="Times New Roman"/>
        </w:rPr>
      </w:pPr>
      <w:r w:rsidRPr="00771368">
        <w:rPr>
          <w:rFonts w:ascii="Times New Roman" w:hAnsi="Times New Roman"/>
        </w:rPr>
        <w:t xml:space="preserve"> [...] permite articular três modalidades de relação com o mundo social: em primeiro lugar, o trabalho de classificação e de delimitação que produz as configurações intelectuais múltiplas, através das quais a realidade é contraditoriamente construída pelos diferentes grupos; seguidamente, as práticas que visam fazer reconhecer uma identidade social, exibir uma maneira própria de estar no mundo, significar simbolicamente um estatuto e uma posição; por fim, as formas institucionalizadas e objectivadas graças às quais uns «representantes» (instâncias coletivas ou pessoas singulares) marcam de forma visível e perpetuada a existência do grupo, da classe ou comunidade (CHARTIER, 1990, p. 23). </w:t>
      </w:r>
    </w:p>
    <w:p w:rsidR="00D24E61" w:rsidRPr="00771368" w:rsidRDefault="00D24E61">
      <w:pPr>
        <w:pStyle w:val="SemEspaamento"/>
        <w:ind w:left="2268"/>
        <w:jc w:val="both"/>
        <w:rPr>
          <w:rFonts w:ascii="Times New Roman" w:hAnsi="Times New Roman"/>
        </w:rPr>
      </w:pPr>
    </w:p>
    <w:p w:rsidR="00D24E61" w:rsidRPr="00771368" w:rsidRDefault="00D24E61">
      <w:pPr>
        <w:pStyle w:val="SemEspaamento"/>
        <w:ind w:left="2268"/>
        <w:jc w:val="both"/>
        <w:rPr>
          <w:rFonts w:ascii="Times New Roman" w:hAnsi="Times New Roman"/>
        </w:rPr>
      </w:pP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eastAsia="Times New Roman" w:hAnsi="Times New Roman" w:cs="Times New Roman"/>
          <w:bCs/>
          <w:color w:val="auto"/>
          <w:sz w:val="24"/>
          <w:szCs w:val="24"/>
        </w:rPr>
        <w:t>Dessa forma, poderíamos dizer que a(s) identidade(s) parte(m) de um sistema articulado de idéias e imagens de representações coletivas, estabelecendo uma existência social distinta que se afirma no plano do imaginário, a qual se traduz em práticas sociais efetivas, legitimadoras dessas representações. Ela é um processo ao mesmo tempo individual e coletivo, onde cada um se define em relação a um “nós”, em detrimento de um “outros” (PESAVENTO, 1998).</w:t>
      </w:r>
    </w:p>
    <w:p w:rsidR="00D24E61" w:rsidRPr="00771368" w:rsidRDefault="00D24E61">
      <w:pPr>
        <w:pStyle w:val="Padro"/>
        <w:spacing w:line="360" w:lineRule="auto"/>
        <w:ind w:firstLine="708"/>
        <w:jc w:val="both"/>
        <w:rPr>
          <w:rFonts w:ascii="Times New Roman" w:hAnsi="Times New Roman" w:cs="Times New Roman"/>
        </w:rPr>
      </w:pPr>
      <w:r w:rsidRPr="00771368">
        <w:rPr>
          <w:rFonts w:ascii="Times New Roman" w:hAnsi="Times New Roman" w:cs="Times New Roman"/>
          <w:color w:val="auto"/>
          <w:sz w:val="24"/>
          <w:szCs w:val="24"/>
        </w:rPr>
        <w:t>Para HALL( 2003, p. 13), “o sujeito assume diferentes identidades em diferentes momentos, identidades que não são identificadas ao redor de um eu coerente”; logo, são possíveis, num mesmo sujeito, identidades contraditórias, empurrando em diferentes direções, então, inevitavelmente, essas identificações são constantemente deslocadas.</w:t>
      </w:r>
    </w:p>
    <w:p w:rsidR="00D24E61" w:rsidRPr="00771368" w:rsidRDefault="00D24E61">
      <w:pPr>
        <w:pStyle w:val="Padro"/>
        <w:spacing w:line="360" w:lineRule="auto"/>
        <w:ind w:firstLine="708"/>
        <w:jc w:val="both"/>
        <w:rPr>
          <w:rFonts w:ascii="Times New Roman" w:hAnsi="Times New Roman" w:cs="Times New Roman"/>
        </w:rPr>
      </w:pP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b/>
          <w:color w:val="auto"/>
          <w:sz w:val="24"/>
          <w:szCs w:val="24"/>
        </w:rPr>
        <w:t>5. CONSIDERAÇÕES FINAIS</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ab/>
        <w:t>O estudo nos possibilitou conhecer as contribuições que a disciplina Educação, gênero e identidade étnico-racial ofertada aos estudantes do curso de pedagogia no ano de 2011, fazendo com que os mesmos refletissem sobre as temáticas: Gênero, diversidade, educação e identidade, construindo assim novos conhecimentos de maneira significativa e repassando os valores repassados pela própria família assim como os preconceitos.</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ab/>
        <w:t xml:space="preserve">Revelou-se também que algumas concepções construídas no ambiente familiar ainda faziam parte das falas e ações de alguns participantes, como a concepção que “ homem não chora” “mulher deve ser retraída”, portanto não opinar e conseqüentemente aceitar os preconceitos. </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ab/>
        <w:t>Acreditamos que todas essas vivências contribuíram para qualificar a formação profissional desses pedagogos e crescimento pessoal enquanto sujeitos de direitos e deveres, além de fomentar a luta contra as desigualdades sociais e preconceitos contra mulheres e negros ainda tão presentes em altos índices em nosso país.</w:t>
      </w:r>
    </w:p>
    <w:p w:rsidR="00D24E61" w:rsidRPr="00771368" w:rsidRDefault="00D24E61">
      <w:pPr>
        <w:pStyle w:val="Padro"/>
        <w:spacing w:line="360" w:lineRule="auto"/>
        <w:jc w:val="both"/>
        <w:rPr>
          <w:rFonts w:ascii="Times New Roman" w:hAnsi="Times New Roman" w:cs="Times New Roman"/>
        </w:rPr>
      </w:pPr>
    </w:p>
    <w:p w:rsidR="00532078" w:rsidRDefault="00532078">
      <w:pPr>
        <w:rPr>
          <w:b/>
          <w:sz w:val="24"/>
          <w:szCs w:val="24"/>
        </w:rPr>
      </w:pPr>
      <w:r>
        <w:rPr>
          <w:b/>
        </w:rPr>
        <w:br w:type="page"/>
      </w:r>
    </w:p>
    <w:p w:rsidR="00D24E61" w:rsidRPr="00771368" w:rsidRDefault="00D24E61">
      <w:pPr>
        <w:pStyle w:val="NormalWeb"/>
        <w:spacing w:line="360" w:lineRule="auto"/>
      </w:pPr>
      <w:r w:rsidRPr="00771368">
        <w:rPr>
          <w:b/>
        </w:rPr>
        <w:t>6.REFERÊNCIAS BIBLIOGRÁFICAS</w:t>
      </w:r>
      <w:r w:rsidRPr="00771368">
        <w:t xml:space="preserve"> </w:t>
      </w:r>
    </w:p>
    <w:p w:rsidR="00D24E61" w:rsidRPr="00771368" w:rsidRDefault="00D24E61">
      <w:pPr>
        <w:pStyle w:val="Textodenotaderodap"/>
        <w:rPr>
          <w:rFonts w:ascii="Times New Roman" w:hAnsi="Times New Roman"/>
        </w:rPr>
      </w:pPr>
      <w:r w:rsidRPr="00771368">
        <w:rPr>
          <w:rFonts w:ascii="Times New Roman" w:hAnsi="Times New Roman"/>
          <w:sz w:val="24"/>
          <w:szCs w:val="24"/>
        </w:rPr>
        <w:t>BARBOSA, J.G.; HESS, R. O Diário de Pesquisa: o estudante universitário e seu processo formativo. Brasilia: Liberlivro,2010.</w:t>
      </w:r>
    </w:p>
    <w:p w:rsidR="00D24E61" w:rsidRPr="00771368" w:rsidRDefault="00D24E61">
      <w:pPr>
        <w:pStyle w:val="Padro"/>
        <w:spacing w:line="240" w:lineRule="auto"/>
        <w:jc w:val="both"/>
        <w:rPr>
          <w:rFonts w:ascii="Times New Roman" w:hAnsi="Times New Roman" w:cs="Times New Roman"/>
        </w:rPr>
      </w:pPr>
      <w:r w:rsidRPr="00771368">
        <w:rPr>
          <w:rFonts w:ascii="Times New Roman" w:hAnsi="Times New Roman" w:cs="Times New Roman"/>
          <w:color w:val="auto"/>
          <w:sz w:val="24"/>
          <w:szCs w:val="24"/>
        </w:rPr>
        <w:t>BARDIN</w:t>
      </w:r>
      <w:r w:rsidRPr="00771368">
        <w:rPr>
          <w:rFonts w:ascii="Times New Roman" w:hAnsi="Times New Roman" w:cs="Times New Roman"/>
          <w:color w:val="auto"/>
          <w:sz w:val="24"/>
          <w:szCs w:val="24"/>
          <w:lang w:eastAsia="pt-BR"/>
        </w:rPr>
        <w:t xml:space="preserve">, Laurence. </w:t>
      </w:r>
      <w:r w:rsidRPr="00771368">
        <w:rPr>
          <w:rFonts w:ascii="Times New Roman" w:hAnsi="Times New Roman" w:cs="Times New Roman"/>
          <w:i/>
          <w:iCs/>
          <w:color w:val="auto"/>
          <w:sz w:val="24"/>
          <w:szCs w:val="24"/>
          <w:lang w:eastAsia="pt-BR"/>
        </w:rPr>
        <w:t>Análise de conteúdo</w:t>
      </w:r>
      <w:r w:rsidRPr="00771368">
        <w:rPr>
          <w:rFonts w:ascii="Times New Roman" w:hAnsi="Times New Roman" w:cs="Times New Roman"/>
          <w:b/>
          <w:bCs/>
          <w:color w:val="auto"/>
          <w:sz w:val="24"/>
          <w:szCs w:val="24"/>
          <w:lang w:eastAsia="pt-BR"/>
        </w:rPr>
        <w:t xml:space="preserve">. </w:t>
      </w:r>
      <w:r w:rsidRPr="00771368">
        <w:rPr>
          <w:rFonts w:ascii="Times New Roman" w:hAnsi="Times New Roman" w:cs="Times New Roman"/>
          <w:color w:val="auto"/>
          <w:sz w:val="24"/>
          <w:szCs w:val="24"/>
          <w:lang w:eastAsia="pt-BR"/>
        </w:rPr>
        <w:t xml:space="preserve">l: Edições 70. </w:t>
      </w:r>
      <w:r w:rsidRPr="00771368">
        <w:rPr>
          <w:rStyle w:val="apple-style-span"/>
          <w:rFonts w:ascii="Times New Roman" w:hAnsi="Times New Roman" w:cs="Times New Roman"/>
          <w:color w:val="auto"/>
          <w:sz w:val="24"/>
          <w:szCs w:val="24"/>
        </w:rPr>
        <w:t>Lisboa: Portugal.2009.</w:t>
      </w:r>
    </w:p>
    <w:p w:rsidR="00D24E61" w:rsidRPr="00771368" w:rsidRDefault="00D24E61">
      <w:pPr>
        <w:pStyle w:val="NormalWeb"/>
        <w:spacing w:line="360" w:lineRule="auto"/>
      </w:pPr>
      <w:r w:rsidRPr="00771368">
        <w:rPr>
          <w:lang w:val="en-US"/>
        </w:rPr>
        <w:t xml:space="preserve">BAUER, Martin W.; GASKELL, George (org.). </w:t>
      </w:r>
      <w:r w:rsidRPr="00771368">
        <w:rPr>
          <w:rStyle w:val="nfase"/>
          <w:b/>
          <w:i w:val="0"/>
          <w:iCs w:val="0"/>
        </w:rPr>
        <w:t>Pesquisa qualitativa com texto, imagem e som</w:t>
      </w:r>
      <w:r w:rsidRPr="00771368">
        <w:rPr>
          <w:b/>
          <w:i/>
        </w:rPr>
        <w:t>: um manual prático.</w:t>
      </w:r>
      <w:r w:rsidRPr="00771368">
        <w:t xml:space="preserve"> Petrópolis: Vozes, 2002.</w:t>
      </w:r>
    </w:p>
    <w:p w:rsidR="00D24E61" w:rsidRPr="00771368" w:rsidRDefault="00D24E61">
      <w:pPr>
        <w:pStyle w:val="Padro"/>
        <w:spacing w:line="100" w:lineRule="atLeast"/>
        <w:jc w:val="both"/>
        <w:rPr>
          <w:rFonts w:ascii="Times New Roman" w:hAnsi="Times New Roman" w:cs="Times New Roman"/>
        </w:rPr>
      </w:pPr>
      <w:r w:rsidRPr="00771368">
        <w:rPr>
          <w:rFonts w:ascii="Times New Roman" w:hAnsi="Times New Roman" w:cs="Times New Roman"/>
          <w:color w:val="auto"/>
          <w:sz w:val="24"/>
          <w:szCs w:val="24"/>
        </w:rPr>
        <w:t>BRANDÃO,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Carlos</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R.</w:t>
      </w:r>
      <w:r w:rsidRPr="00771368">
        <w:rPr>
          <w:rFonts w:ascii="Times New Roman" w:eastAsia="Times New Roman" w:hAnsi="Times New Roman" w:cs="Times New Roman"/>
          <w:color w:val="auto"/>
          <w:sz w:val="24"/>
          <w:szCs w:val="24"/>
        </w:rPr>
        <w:t xml:space="preserve"> </w:t>
      </w:r>
      <w:r w:rsidRPr="00771368">
        <w:rPr>
          <w:rStyle w:val="nfase"/>
          <w:rFonts w:ascii="Times New Roman" w:hAnsi="Times New Roman" w:cs="Times New Roman"/>
          <w:b/>
          <w:i w:val="0"/>
          <w:iCs w:val="0"/>
          <w:color w:val="auto"/>
          <w:sz w:val="24"/>
          <w:szCs w:val="24"/>
        </w:rPr>
        <w:t>Repensando</w:t>
      </w:r>
      <w:r w:rsidRPr="00771368">
        <w:rPr>
          <w:rStyle w:val="nfase"/>
          <w:rFonts w:ascii="Times New Roman" w:eastAsia="Times New Roman" w:hAnsi="Times New Roman" w:cs="Times New Roman"/>
          <w:b/>
          <w:i w:val="0"/>
          <w:iCs w:val="0"/>
          <w:color w:val="auto"/>
          <w:sz w:val="24"/>
          <w:szCs w:val="24"/>
        </w:rPr>
        <w:t xml:space="preserve"> </w:t>
      </w:r>
      <w:r w:rsidRPr="00771368">
        <w:rPr>
          <w:rStyle w:val="nfase"/>
          <w:rFonts w:ascii="Times New Roman" w:hAnsi="Times New Roman" w:cs="Times New Roman"/>
          <w:b/>
          <w:i w:val="0"/>
          <w:iCs w:val="0"/>
          <w:color w:val="auto"/>
          <w:sz w:val="24"/>
          <w:szCs w:val="24"/>
        </w:rPr>
        <w:t>a</w:t>
      </w:r>
      <w:r w:rsidRPr="00771368">
        <w:rPr>
          <w:rStyle w:val="nfase"/>
          <w:rFonts w:ascii="Times New Roman" w:eastAsia="Times New Roman" w:hAnsi="Times New Roman" w:cs="Times New Roman"/>
          <w:b/>
          <w:i w:val="0"/>
          <w:iCs w:val="0"/>
          <w:color w:val="auto"/>
          <w:sz w:val="24"/>
          <w:szCs w:val="24"/>
        </w:rPr>
        <w:t xml:space="preserve"> </w:t>
      </w:r>
      <w:r w:rsidRPr="00771368">
        <w:rPr>
          <w:rStyle w:val="nfase"/>
          <w:rFonts w:ascii="Times New Roman" w:hAnsi="Times New Roman" w:cs="Times New Roman"/>
          <w:b/>
          <w:i w:val="0"/>
          <w:iCs w:val="0"/>
          <w:color w:val="auto"/>
          <w:sz w:val="24"/>
          <w:szCs w:val="24"/>
        </w:rPr>
        <w:t>Pesquisa</w:t>
      </w:r>
      <w:r w:rsidRPr="00771368">
        <w:rPr>
          <w:rStyle w:val="nfase"/>
          <w:rFonts w:ascii="Times New Roman" w:eastAsia="Times New Roman" w:hAnsi="Times New Roman" w:cs="Times New Roman"/>
          <w:b/>
          <w:i w:val="0"/>
          <w:iCs w:val="0"/>
          <w:color w:val="auto"/>
          <w:sz w:val="24"/>
          <w:szCs w:val="24"/>
        </w:rPr>
        <w:t xml:space="preserve"> </w:t>
      </w:r>
      <w:r w:rsidRPr="00771368">
        <w:rPr>
          <w:rStyle w:val="nfase"/>
          <w:rFonts w:ascii="Times New Roman" w:hAnsi="Times New Roman" w:cs="Times New Roman"/>
          <w:b/>
          <w:i w:val="0"/>
          <w:iCs w:val="0"/>
          <w:color w:val="auto"/>
          <w:sz w:val="24"/>
          <w:szCs w:val="24"/>
        </w:rPr>
        <w:t>Participante</w:t>
      </w:r>
      <w:r w:rsidRPr="00771368">
        <w:rPr>
          <w:rStyle w:val="nfase"/>
          <w:rFonts w:ascii="Times New Roman" w:hAnsi="Times New Roman" w:cs="Times New Roman"/>
          <w:iCs w:val="0"/>
          <w:color w:val="auto"/>
          <w:sz w:val="24"/>
          <w:szCs w:val="24"/>
        </w:rPr>
        <w:t>.</w:t>
      </w:r>
      <w:r w:rsidRPr="00771368">
        <w:rPr>
          <w:rStyle w:val="nfase"/>
          <w:rFonts w:ascii="Times New Roman" w:eastAsia="Times New Roman" w:hAnsi="Times New Roman" w:cs="Times New Roman"/>
          <w:iCs w:val="0"/>
          <w:color w:val="auto"/>
          <w:sz w:val="24"/>
          <w:szCs w:val="24"/>
        </w:rPr>
        <w:t xml:space="preserve"> </w:t>
      </w:r>
      <w:r w:rsidRPr="00771368">
        <w:rPr>
          <w:rFonts w:ascii="Times New Roman" w:hAnsi="Times New Roman" w:cs="Times New Roman"/>
          <w:color w:val="auto"/>
          <w:sz w:val="24"/>
          <w:szCs w:val="24"/>
        </w:rPr>
        <w:t>São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Paulo,</w:t>
      </w:r>
      <w:r w:rsidRPr="00771368">
        <w:rPr>
          <w:rFonts w:ascii="Times New Roman" w:eastAsia="Times New Roman" w:hAnsi="Times New Roman" w:cs="Times New Roman"/>
          <w:color w:val="auto"/>
          <w:sz w:val="24"/>
          <w:szCs w:val="24"/>
        </w:rPr>
        <w:t xml:space="preserve"> </w:t>
      </w:r>
      <w:r w:rsidRPr="00771368">
        <w:rPr>
          <w:rFonts w:ascii="Times New Roman" w:hAnsi="Times New Roman" w:cs="Times New Roman"/>
          <w:color w:val="auto"/>
          <w:sz w:val="24"/>
          <w:szCs w:val="24"/>
        </w:rPr>
        <w:t>Brasiliense,1985.</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 xml:space="preserve">CASTELLS, M. </w:t>
      </w:r>
      <w:r w:rsidRPr="00771368">
        <w:rPr>
          <w:rFonts w:ascii="Times New Roman" w:hAnsi="Times New Roman" w:cs="Times New Roman"/>
          <w:b/>
          <w:color w:val="auto"/>
          <w:sz w:val="24"/>
          <w:szCs w:val="24"/>
        </w:rPr>
        <w:t>O poder da identidade</w:t>
      </w:r>
      <w:r w:rsidRPr="00771368">
        <w:rPr>
          <w:rFonts w:ascii="Times New Roman" w:hAnsi="Times New Roman" w:cs="Times New Roman"/>
          <w:color w:val="auto"/>
          <w:sz w:val="24"/>
          <w:szCs w:val="24"/>
        </w:rPr>
        <w:t>. 5ª ed. São Paulo: Paz e Terra, 2006</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 xml:space="preserve">CHARTIER, R. </w:t>
      </w:r>
      <w:r w:rsidRPr="00771368">
        <w:rPr>
          <w:rFonts w:ascii="Times New Roman" w:hAnsi="Times New Roman" w:cs="Times New Roman"/>
          <w:b/>
          <w:color w:val="auto"/>
          <w:sz w:val="24"/>
          <w:szCs w:val="24"/>
        </w:rPr>
        <w:t>A História Cultural: entre práticas e representações</w:t>
      </w:r>
      <w:r w:rsidRPr="00771368">
        <w:rPr>
          <w:rFonts w:ascii="Times New Roman" w:hAnsi="Times New Roman" w:cs="Times New Roman"/>
          <w:color w:val="auto"/>
          <w:sz w:val="24"/>
          <w:szCs w:val="24"/>
        </w:rPr>
        <w:t>. Rio de Janeiro: Bertrand Brasil, 1990.</w:t>
      </w:r>
    </w:p>
    <w:p w:rsidR="00D24E61" w:rsidRPr="00771368" w:rsidRDefault="00D24E61">
      <w:pPr>
        <w:pStyle w:val="Textodenotaderodap"/>
        <w:rPr>
          <w:rFonts w:ascii="Times New Roman" w:hAnsi="Times New Roman"/>
        </w:rPr>
      </w:pPr>
      <w:r w:rsidRPr="00771368">
        <w:rPr>
          <w:rFonts w:ascii="Times New Roman" w:hAnsi="Times New Roman"/>
          <w:sz w:val="24"/>
          <w:szCs w:val="24"/>
        </w:rPr>
        <w:t>GIL, A. C. Como elaborar projetos de pesquisa. 4. ed. São Paulo: Atlas, 2002. 175 p.</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 xml:space="preserve">HALL, S. </w:t>
      </w:r>
      <w:r w:rsidRPr="00771368">
        <w:rPr>
          <w:rFonts w:ascii="Times New Roman" w:hAnsi="Times New Roman" w:cs="Times New Roman"/>
          <w:b/>
          <w:color w:val="auto"/>
          <w:sz w:val="24"/>
          <w:szCs w:val="24"/>
        </w:rPr>
        <w:t>A identidade cultural na pós-modernidade</w:t>
      </w:r>
      <w:r w:rsidRPr="00771368">
        <w:rPr>
          <w:rFonts w:ascii="Times New Roman" w:hAnsi="Times New Roman" w:cs="Times New Roman"/>
          <w:color w:val="auto"/>
          <w:sz w:val="24"/>
          <w:szCs w:val="24"/>
        </w:rPr>
        <w:t>. 7ª ed. Rio de Janeiro: DP&amp;A, 2003</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lang w:val="en-US"/>
        </w:rPr>
        <w:t xml:space="preserve">LABURTHE, Philippe; WARNIER, Jean-Pierre. </w:t>
      </w:r>
      <w:r w:rsidRPr="00771368">
        <w:rPr>
          <w:rFonts w:ascii="Times New Roman" w:hAnsi="Times New Roman" w:cs="Times New Roman"/>
          <w:b/>
          <w:color w:val="auto"/>
          <w:sz w:val="24"/>
          <w:szCs w:val="24"/>
        </w:rPr>
        <w:t>Etnologia-Antropologia</w:t>
      </w:r>
      <w:r w:rsidRPr="00771368">
        <w:rPr>
          <w:rFonts w:ascii="Times New Roman" w:hAnsi="Times New Roman" w:cs="Times New Roman"/>
          <w:color w:val="auto"/>
          <w:sz w:val="24"/>
          <w:szCs w:val="24"/>
        </w:rPr>
        <w:t>. Petrópolis: Vozes, 2003, 3ª edição.</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lang w:val="en-US"/>
        </w:rPr>
        <w:t xml:space="preserve">LOURO,Guacira Lopes  Jeffrey Weeks, Deborah Britzman, bell hooks, Richard Parker, Judith Butler. </w:t>
      </w:r>
      <w:r w:rsidRPr="00771368">
        <w:rPr>
          <w:rFonts w:ascii="Times New Roman" w:hAnsi="Times New Roman" w:cs="Times New Roman"/>
          <w:b/>
          <w:color w:val="auto"/>
          <w:sz w:val="24"/>
          <w:szCs w:val="24"/>
        </w:rPr>
        <w:t>O corpo educado -Pedagogias da sexualidade</w:t>
      </w:r>
      <w:r w:rsidRPr="00771368">
        <w:rPr>
          <w:rFonts w:ascii="Times New Roman" w:hAnsi="Times New Roman" w:cs="Times New Roman"/>
          <w:color w:val="auto"/>
          <w:sz w:val="24"/>
          <w:szCs w:val="24"/>
        </w:rPr>
        <w:t xml:space="preserve">  Traduções: Tomaz Tadeu da Silva 2ª Edição Autêntica Belo Horizonte 2000.</w:t>
      </w:r>
    </w:p>
    <w:p w:rsidR="00D24E61" w:rsidRPr="00771368" w:rsidRDefault="00D24E61">
      <w:pPr>
        <w:pStyle w:val="Padro"/>
        <w:suppressAutoHyphens w:val="0"/>
        <w:spacing w:line="200" w:lineRule="atLeast"/>
        <w:jc w:val="both"/>
        <w:rPr>
          <w:rFonts w:ascii="Times New Roman" w:hAnsi="Times New Roman" w:cs="Times New Roman"/>
        </w:rPr>
      </w:pPr>
      <w:r w:rsidRPr="00771368">
        <w:rPr>
          <w:rFonts w:ascii="Times New Roman" w:hAnsi="Times New Roman" w:cs="Times New Roman"/>
          <w:color w:val="auto"/>
          <w:sz w:val="24"/>
          <w:szCs w:val="24"/>
        </w:rPr>
        <w:t xml:space="preserve">LUDKE, Mega. ANDRÉ, M.E.D.A de. </w:t>
      </w:r>
      <w:r w:rsidRPr="00771368">
        <w:rPr>
          <w:rFonts w:ascii="Times New Roman" w:hAnsi="Times New Roman" w:cs="Times New Roman"/>
          <w:b/>
          <w:bCs/>
          <w:color w:val="auto"/>
          <w:sz w:val="24"/>
          <w:szCs w:val="24"/>
        </w:rPr>
        <w:t>Pesquisa em educação</w:t>
      </w:r>
      <w:r w:rsidRPr="00771368">
        <w:rPr>
          <w:rFonts w:ascii="Times New Roman" w:hAnsi="Times New Roman" w:cs="Times New Roman"/>
          <w:color w:val="auto"/>
          <w:sz w:val="24"/>
          <w:szCs w:val="24"/>
        </w:rPr>
        <w:t>: abordagens qualitativas. São Paulo: EPU, 1986. (p. 11-44)</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 xml:space="preserve">MADEIRA, Zelma Maria. </w:t>
      </w:r>
      <w:r w:rsidRPr="00771368">
        <w:rPr>
          <w:rFonts w:ascii="Times New Roman" w:hAnsi="Times New Roman" w:cs="Times New Roman"/>
          <w:b/>
          <w:color w:val="auto"/>
          <w:sz w:val="24"/>
          <w:szCs w:val="24"/>
        </w:rPr>
        <w:t>Desigualdade e diferença na universidade: gênero, etnia e grupos sociais populares</w:t>
      </w:r>
      <w:r w:rsidRPr="00771368">
        <w:rPr>
          <w:rFonts w:ascii="Times New Roman" w:hAnsi="Times New Roman" w:cs="Times New Roman"/>
          <w:color w:val="auto"/>
          <w:sz w:val="24"/>
          <w:szCs w:val="24"/>
        </w:rPr>
        <w:t>- Rio de janeiro: UFRJ, Pró-reitoria de extensão, 2006.</w:t>
      </w:r>
    </w:p>
    <w:p w:rsidR="00D24E61" w:rsidRPr="00771368" w:rsidRDefault="00D24E61">
      <w:pPr>
        <w:pStyle w:val="Padro"/>
        <w:spacing w:line="360" w:lineRule="auto"/>
        <w:rPr>
          <w:rFonts w:ascii="Times New Roman" w:hAnsi="Times New Roman" w:cs="Times New Roman"/>
        </w:rPr>
      </w:pPr>
      <w:r w:rsidRPr="00771368">
        <w:rPr>
          <w:rFonts w:ascii="Times New Roman" w:eastAsia="Times New Roman" w:hAnsi="Times New Roman" w:cs="Times New Roman"/>
          <w:color w:val="auto"/>
          <w:sz w:val="24"/>
          <w:szCs w:val="24"/>
        </w:rPr>
        <w:t xml:space="preserve">MINAYO, M. C. DE S.; DESLANDES, S. F.; NETO, O. C.; GOMES, R. </w:t>
      </w:r>
      <w:r w:rsidRPr="00771368">
        <w:rPr>
          <w:rFonts w:ascii="Times New Roman" w:eastAsia="Times New Roman" w:hAnsi="Times New Roman" w:cs="Times New Roman"/>
          <w:b/>
          <w:bCs/>
          <w:color w:val="auto"/>
          <w:sz w:val="24"/>
          <w:szCs w:val="24"/>
        </w:rPr>
        <w:t xml:space="preserve">Pesquisa social: teoria, método e criatividade. </w:t>
      </w:r>
      <w:r w:rsidRPr="00771368">
        <w:rPr>
          <w:rFonts w:ascii="Times New Roman" w:eastAsia="Times New Roman" w:hAnsi="Times New Roman" w:cs="Times New Roman"/>
          <w:color w:val="auto"/>
          <w:sz w:val="24"/>
          <w:szCs w:val="24"/>
        </w:rPr>
        <w:t>26ª Edição</w:t>
      </w:r>
      <w:r w:rsidRPr="00771368">
        <w:rPr>
          <w:rFonts w:ascii="Times New Roman" w:eastAsia="Times New Roman" w:hAnsi="Times New Roman" w:cs="Times New Roman"/>
          <w:b/>
          <w:bCs/>
          <w:color w:val="auto"/>
          <w:sz w:val="24"/>
          <w:szCs w:val="24"/>
        </w:rPr>
        <w:t xml:space="preserve">. </w:t>
      </w:r>
      <w:r w:rsidRPr="00771368">
        <w:rPr>
          <w:rFonts w:ascii="Times New Roman" w:eastAsia="Times New Roman" w:hAnsi="Times New Roman" w:cs="Times New Roman"/>
          <w:color w:val="auto"/>
          <w:sz w:val="24"/>
          <w:szCs w:val="24"/>
        </w:rPr>
        <w:t>Petrópolis, RJ: Vozes, 2007.</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MUNANGA, Kabengele.</w:t>
      </w:r>
      <w:r w:rsidRPr="00771368">
        <w:rPr>
          <w:rFonts w:ascii="Times New Roman" w:hAnsi="Times New Roman" w:cs="Times New Roman"/>
          <w:b/>
          <w:color w:val="auto"/>
          <w:sz w:val="24"/>
          <w:szCs w:val="24"/>
        </w:rPr>
        <w:t>Uma abordagem conceitual das noções de raça, racismo, identidade e etnia.</w:t>
      </w:r>
      <w:r w:rsidRPr="00771368">
        <w:rPr>
          <w:rFonts w:ascii="Times New Roman" w:hAnsi="Times New Roman" w:cs="Times New Roman"/>
          <w:color w:val="auto"/>
          <w:sz w:val="24"/>
          <w:szCs w:val="24"/>
        </w:rPr>
        <w:t xml:space="preserve"> Palestra proferida no 3º Seminário Nacional Relações Raciais e Educação- PENESB-RJ, 05/11/03.</w:t>
      </w:r>
    </w:p>
    <w:p w:rsidR="00D24E61" w:rsidRPr="00771368" w:rsidRDefault="00D24E61">
      <w:pPr>
        <w:pStyle w:val="Padro"/>
        <w:spacing w:line="360" w:lineRule="auto"/>
        <w:jc w:val="both"/>
        <w:rPr>
          <w:rFonts w:ascii="Times New Roman" w:hAnsi="Times New Roman" w:cs="Times New Roman"/>
        </w:rPr>
      </w:pPr>
      <w:r w:rsidRPr="00771368">
        <w:rPr>
          <w:rFonts w:ascii="Times New Roman" w:hAnsi="Times New Roman" w:cs="Times New Roman"/>
          <w:color w:val="auto"/>
          <w:sz w:val="24"/>
          <w:szCs w:val="24"/>
        </w:rPr>
        <w:t xml:space="preserve">PESAVENTO, S. J. Contribuição da história e da literatura para a construção do cidadão: a abordagem da identidade nacional. In: LEENHARDT, J.; PESAVENTO, S. J. (orgs.). </w:t>
      </w:r>
      <w:r w:rsidRPr="00771368">
        <w:rPr>
          <w:rFonts w:ascii="Times New Roman" w:hAnsi="Times New Roman" w:cs="Times New Roman"/>
          <w:b/>
          <w:color w:val="auto"/>
          <w:sz w:val="24"/>
          <w:szCs w:val="24"/>
        </w:rPr>
        <w:t>Discurso histórico e narrativa literária.</w:t>
      </w:r>
      <w:r w:rsidRPr="00771368">
        <w:rPr>
          <w:rFonts w:ascii="Times New Roman" w:hAnsi="Times New Roman" w:cs="Times New Roman"/>
          <w:color w:val="auto"/>
          <w:sz w:val="24"/>
          <w:szCs w:val="24"/>
        </w:rPr>
        <w:t xml:space="preserve"> Campinas, SP: Editora da UNICAMP, 1998.</w:t>
      </w:r>
    </w:p>
    <w:p w:rsidR="00D24E61" w:rsidRPr="00771368" w:rsidRDefault="00D24E61">
      <w:pPr>
        <w:rPr>
          <w:sz w:val="20"/>
          <w:szCs w:val="20"/>
        </w:rPr>
      </w:pPr>
      <w:r w:rsidRPr="00771368">
        <w:rPr>
          <w:b/>
          <w:bCs/>
          <w:sz w:val="36"/>
          <w:szCs w:val="36"/>
        </w:rPr>
        <w:t>O DIREITO AO NOME E À IDENTIDADE SEXUAL E</w:t>
      </w:r>
    </w:p>
    <w:p w:rsidR="00D24E61" w:rsidRPr="00771368" w:rsidRDefault="00D24E61">
      <w:pPr>
        <w:rPr>
          <w:sz w:val="20"/>
          <w:szCs w:val="20"/>
        </w:rPr>
      </w:pPr>
      <w:r w:rsidRPr="00771368">
        <w:rPr>
          <w:b/>
          <w:bCs/>
          <w:sz w:val="36"/>
          <w:szCs w:val="36"/>
        </w:rPr>
        <w:t>DE  GÊNERO  DA  PESSOA  TRANSEXUAL  SOB  A</w:t>
      </w:r>
    </w:p>
    <w:p w:rsidR="00D24E61" w:rsidRPr="00771368" w:rsidRDefault="00D24E61">
      <w:pPr>
        <w:tabs>
          <w:tab w:val="left" w:pos="1540"/>
          <w:tab w:val="left" w:pos="2480"/>
          <w:tab w:val="left" w:pos="4800"/>
          <w:tab w:val="left" w:pos="8540"/>
        </w:tabs>
        <w:rPr>
          <w:sz w:val="20"/>
          <w:szCs w:val="20"/>
        </w:rPr>
      </w:pPr>
      <w:r w:rsidRPr="00771368">
        <w:rPr>
          <w:b/>
          <w:bCs/>
          <w:sz w:val="36"/>
          <w:szCs w:val="36"/>
        </w:rPr>
        <w:t>ÉGIDE</w:t>
      </w:r>
      <w:r w:rsidRPr="00771368">
        <w:rPr>
          <w:sz w:val="20"/>
          <w:szCs w:val="20"/>
        </w:rPr>
        <w:tab/>
      </w:r>
      <w:r w:rsidRPr="00771368">
        <w:rPr>
          <w:b/>
          <w:bCs/>
          <w:sz w:val="36"/>
          <w:szCs w:val="36"/>
        </w:rPr>
        <w:t>DO</w:t>
      </w:r>
      <w:r w:rsidRPr="00771368">
        <w:rPr>
          <w:sz w:val="20"/>
          <w:szCs w:val="20"/>
        </w:rPr>
        <w:tab/>
      </w:r>
      <w:r w:rsidRPr="00771368">
        <w:rPr>
          <w:b/>
          <w:bCs/>
          <w:sz w:val="36"/>
          <w:szCs w:val="36"/>
        </w:rPr>
        <w:t>PRINCÍPIO</w:t>
      </w:r>
      <w:r w:rsidRPr="00771368">
        <w:rPr>
          <w:sz w:val="20"/>
          <w:szCs w:val="20"/>
        </w:rPr>
        <w:tab/>
      </w:r>
      <w:r w:rsidRPr="00771368">
        <w:rPr>
          <w:b/>
          <w:bCs/>
          <w:sz w:val="36"/>
          <w:szCs w:val="36"/>
        </w:rPr>
        <w:t>CONSTITUCIONAL</w:t>
      </w:r>
      <w:r w:rsidRPr="00771368">
        <w:rPr>
          <w:sz w:val="20"/>
          <w:szCs w:val="20"/>
        </w:rPr>
        <w:tab/>
      </w:r>
      <w:r w:rsidRPr="00771368">
        <w:rPr>
          <w:b/>
          <w:bCs/>
          <w:sz w:val="34"/>
          <w:szCs w:val="34"/>
        </w:rPr>
        <w:t>DA</w:t>
      </w:r>
    </w:p>
    <w:p w:rsidR="00D24E61" w:rsidRPr="00771368" w:rsidRDefault="00D24E61">
      <w:pPr>
        <w:rPr>
          <w:sz w:val="20"/>
          <w:szCs w:val="20"/>
        </w:rPr>
      </w:pPr>
      <w:r w:rsidRPr="00771368">
        <w:rPr>
          <w:b/>
          <w:bCs/>
          <w:sz w:val="36"/>
          <w:szCs w:val="36"/>
        </w:rPr>
        <w:t>DIGNIDADE HUMANA</w:t>
      </w:r>
    </w:p>
    <w:p w:rsidR="00D24E61" w:rsidRPr="00771368" w:rsidRDefault="00D24E61">
      <w:pPr>
        <w:spacing w:line="256" w:lineRule="exact"/>
        <w:rPr>
          <w:sz w:val="24"/>
          <w:szCs w:val="24"/>
        </w:rPr>
      </w:pPr>
    </w:p>
    <w:p w:rsidR="00D24E61" w:rsidRPr="00771368" w:rsidRDefault="00D24E61" w:rsidP="00532078">
      <w:pPr>
        <w:ind w:left="7360" w:hanging="272"/>
        <w:rPr>
          <w:sz w:val="23"/>
          <w:szCs w:val="23"/>
        </w:rPr>
      </w:pPr>
      <w:bookmarkStart w:id="95" w:name="_Toc442034766"/>
      <w:r w:rsidRPr="00532078">
        <w:rPr>
          <w:rStyle w:val="Ttulo1Char"/>
        </w:rPr>
        <w:t>Josemar Fonseca</w:t>
      </w:r>
      <w:bookmarkEnd w:id="95"/>
      <w:r w:rsidR="00E3248A">
        <w:fldChar w:fldCharType="begin"/>
      </w:r>
      <w:r w:rsidR="00E3248A">
        <w:instrText xml:space="preserve"> HYPERLINK \l "page1" \h </w:instrText>
      </w:r>
      <w:r w:rsidR="00E3248A">
        <w:fldChar w:fldCharType="separate"/>
      </w:r>
      <w:r w:rsidRPr="00771368">
        <w:rPr>
          <w:sz w:val="27"/>
          <w:szCs w:val="27"/>
          <w:vertAlign w:val="superscript"/>
        </w:rPr>
        <w:t>1</w:t>
      </w:r>
      <w:r w:rsidR="00E3248A">
        <w:rPr>
          <w:sz w:val="27"/>
          <w:szCs w:val="27"/>
          <w:vertAlign w:val="superscript"/>
        </w:rPr>
        <w:fldChar w:fldCharType="end"/>
      </w: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200" w:lineRule="exact"/>
        <w:rPr>
          <w:sz w:val="24"/>
          <w:szCs w:val="24"/>
        </w:rPr>
      </w:pPr>
    </w:p>
    <w:p w:rsidR="00D24E61" w:rsidRPr="00771368" w:rsidRDefault="00D24E61">
      <w:pPr>
        <w:spacing w:line="390" w:lineRule="exact"/>
        <w:rPr>
          <w:sz w:val="24"/>
          <w:szCs w:val="24"/>
        </w:rPr>
      </w:pPr>
    </w:p>
    <w:p w:rsidR="00D24E61" w:rsidRPr="00771368" w:rsidRDefault="00D24E61">
      <w:pPr>
        <w:rPr>
          <w:sz w:val="20"/>
          <w:szCs w:val="20"/>
        </w:rPr>
      </w:pPr>
      <w:r w:rsidRPr="00771368">
        <w:rPr>
          <w:b/>
          <w:bCs/>
          <w:sz w:val="28"/>
          <w:szCs w:val="28"/>
        </w:rPr>
        <w:t>RESUMO</w:t>
      </w:r>
    </w:p>
    <w:p w:rsidR="00D24E61" w:rsidRPr="00771368" w:rsidRDefault="00D24E61">
      <w:pPr>
        <w:spacing w:line="200" w:lineRule="exact"/>
        <w:rPr>
          <w:sz w:val="24"/>
          <w:szCs w:val="24"/>
        </w:rPr>
      </w:pPr>
    </w:p>
    <w:p w:rsidR="00D24E61" w:rsidRPr="00771368" w:rsidRDefault="00D24E61">
      <w:pPr>
        <w:spacing w:line="210" w:lineRule="exact"/>
        <w:rPr>
          <w:sz w:val="24"/>
          <w:szCs w:val="24"/>
        </w:rPr>
      </w:pPr>
    </w:p>
    <w:p w:rsidR="00D24E61" w:rsidRPr="00771368" w:rsidRDefault="00D24E61">
      <w:pPr>
        <w:spacing w:line="243" w:lineRule="auto"/>
        <w:jc w:val="both"/>
        <w:rPr>
          <w:sz w:val="20"/>
          <w:szCs w:val="20"/>
        </w:rPr>
      </w:pPr>
      <w:r w:rsidRPr="00771368">
        <w:rPr>
          <w:sz w:val="24"/>
          <w:szCs w:val="24"/>
        </w:rPr>
        <w:t>O presente trabalho analisa a dignidade da pessoa humana como princípio constitucional do Estado Brasileiro, já que foi consolidada como esteio de toda e qualquer relação entre pessoas e entre estas e o Estado. Neste contexto, estuda-se o Direito ao Nome como elemento da personalidade e uma das garantias para que a dignidade humana se realize. Explora-se os referenciais teóricos de todas estas máximas, inclusive da identidade sexual e de gênero como fatores essenciais ao nome e à dignidade humana. Partindo desta apreciação, arrola-se as interações entre os conceitos que permite o reconhecimento do direito ao nome como identificador e individualizador da pessoa transexual como ela realmente é para si e para a sociedade em que vive, sob o estrito respeito à sua dignidade humana. Não esgota o tema, mas fornece subsídio para sua discussão.</w:t>
      </w:r>
    </w:p>
    <w:p w:rsidR="00D24E61" w:rsidRPr="00771368" w:rsidRDefault="00D24E61">
      <w:pPr>
        <w:spacing w:line="198" w:lineRule="exact"/>
        <w:rPr>
          <w:sz w:val="24"/>
          <w:szCs w:val="24"/>
        </w:rPr>
      </w:pPr>
    </w:p>
    <w:p w:rsidR="00D24E61" w:rsidRPr="00771368" w:rsidRDefault="00D24E61">
      <w:pPr>
        <w:spacing w:line="342" w:lineRule="auto"/>
        <w:ind w:right="20"/>
        <w:jc w:val="both"/>
        <w:rPr>
          <w:sz w:val="20"/>
          <w:szCs w:val="20"/>
        </w:rPr>
      </w:pPr>
      <w:r w:rsidRPr="00771368">
        <w:rPr>
          <w:b/>
          <w:bCs/>
          <w:sz w:val="28"/>
          <w:szCs w:val="28"/>
        </w:rPr>
        <w:t xml:space="preserve">PALAVRAS-CHAVE: </w:t>
      </w:r>
      <w:r w:rsidRPr="00771368">
        <w:rPr>
          <w:sz w:val="24"/>
          <w:szCs w:val="24"/>
        </w:rPr>
        <w:t>Dignidade da Pessoa Humana – Direito ao nome – Identidade</w:t>
      </w:r>
      <w:r w:rsidRPr="00771368">
        <w:rPr>
          <w:b/>
          <w:bCs/>
          <w:sz w:val="28"/>
          <w:szCs w:val="28"/>
        </w:rPr>
        <w:t xml:space="preserve"> </w:t>
      </w:r>
      <w:r w:rsidRPr="00771368">
        <w:rPr>
          <w:sz w:val="24"/>
          <w:szCs w:val="24"/>
        </w:rPr>
        <w:t>sexual e de gênero – Pessoa Transexual</w:t>
      </w:r>
    </w:p>
    <w:p w:rsidR="00D24E61" w:rsidRPr="00771368" w:rsidRDefault="00D24E61">
      <w:pPr>
        <w:spacing w:line="196" w:lineRule="exact"/>
        <w:rPr>
          <w:sz w:val="24"/>
          <w:szCs w:val="24"/>
        </w:rPr>
      </w:pPr>
    </w:p>
    <w:p w:rsidR="00D24E61" w:rsidRPr="00771368" w:rsidRDefault="00D24E61">
      <w:pPr>
        <w:rPr>
          <w:sz w:val="20"/>
          <w:szCs w:val="20"/>
        </w:rPr>
      </w:pPr>
      <w:r w:rsidRPr="00771368">
        <w:rPr>
          <w:b/>
          <w:bCs/>
          <w:sz w:val="28"/>
          <w:szCs w:val="28"/>
        </w:rPr>
        <w:t>INTRODUÇÃO</w:t>
      </w:r>
    </w:p>
    <w:p w:rsidR="00D24E61" w:rsidRPr="00771368" w:rsidRDefault="00D24E61">
      <w:pPr>
        <w:spacing w:line="200" w:lineRule="exact"/>
        <w:rPr>
          <w:sz w:val="24"/>
          <w:szCs w:val="24"/>
        </w:rPr>
      </w:pPr>
    </w:p>
    <w:p w:rsidR="00D24E61" w:rsidRPr="00771368" w:rsidRDefault="00D24E61">
      <w:pPr>
        <w:spacing w:line="208" w:lineRule="exact"/>
        <w:rPr>
          <w:sz w:val="24"/>
          <w:szCs w:val="24"/>
        </w:rPr>
      </w:pPr>
    </w:p>
    <w:p w:rsidR="00D24E61" w:rsidRPr="00771368" w:rsidRDefault="00D24E61">
      <w:pPr>
        <w:spacing w:line="368" w:lineRule="auto"/>
        <w:ind w:right="20" w:firstLine="1134"/>
        <w:jc w:val="both"/>
        <w:rPr>
          <w:sz w:val="20"/>
          <w:szCs w:val="20"/>
        </w:rPr>
      </w:pPr>
      <w:r w:rsidRPr="00771368">
        <w:rPr>
          <w:sz w:val="24"/>
          <w:szCs w:val="24"/>
        </w:rPr>
        <w:t>A Constituição Federal de 1988 (CF/88) define os fundamentos do Estado Brasileiro e, ainda, os princípios e as garantias fundamentais extensivos a todos os brasileiros e brasileiros. Com base nisso, nosso objeto de estudo é a garantia trazida pelo princípio da dignidade humana ao direito das pessoas transexuais em retificar e adequar seu nome à sua identidade de gênero.</w:t>
      </w:r>
    </w:p>
    <w:p w:rsidR="00D24E61" w:rsidRPr="00771368" w:rsidRDefault="00D24E61">
      <w:pPr>
        <w:spacing w:line="194" w:lineRule="exact"/>
        <w:rPr>
          <w:sz w:val="24"/>
          <w:szCs w:val="24"/>
        </w:rPr>
      </w:pPr>
    </w:p>
    <w:p w:rsidR="00D24E61" w:rsidRPr="00771368" w:rsidRDefault="00D24E61">
      <w:pPr>
        <w:spacing w:line="376" w:lineRule="auto"/>
        <w:ind w:firstLine="1134"/>
        <w:jc w:val="both"/>
        <w:rPr>
          <w:sz w:val="20"/>
          <w:szCs w:val="20"/>
        </w:rPr>
      </w:pPr>
      <w:r w:rsidRPr="00771368">
        <w:rPr>
          <w:sz w:val="24"/>
          <w:szCs w:val="24"/>
        </w:rPr>
        <w:t>A escolha do tema se deve ao fato de vivermos em uma sociedade multifacetada e que, talvez por isso, o Estado nem sempre é capaz de garantir a efetividade do direito a todos e a todas. Assim, a pessoa transexual, já marginalizada culturalmente, na maioria das vezes,</w:t>
      </w:r>
    </w:p>
    <w:p w:rsidR="00D24E61" w:rsidRPr="00771368" w:rsidRDefault="00D24E61">
      <w:pPr>
        <w:spacing w:line="376" w:lineRule="auto"/>
        <w:ind w:firstLine="1134"/>
        <w:jc w:val="both"/>
        <w:rPr>
          <w:sz w:val="24"/>
          <w:szCs w:val="24"/>
        </w:rPr>
        <w:sectPr w:rsidR="00D24E61" w:rsidRPr="00771368" w:rsidSect="00D24E61">
          <w:pgSz w:w="11900" w:h="16840"/>
          <w:pgMar w:top="690" w:right="1420" w:bottom="1440" w:left="1420" w:header="0" w:footer="0" w:gutter="0"/>
          <w:cols w:space="720" w:equalWidth="0">
            <w:col w:w="9060"/>
          </w:cols>
        </w:sectPr>
      </w:pPr>
      <w:r w:rsidRPr="00771368">
        <w:rPr>
          <w:noProof/>
          <w:sz w:val="24"/>
          <w:szCs w:val="24"/>
        </w:rPr>
        <w:drawing>
          <wp:anchor distT="0" distB="0" distL="114300" distR="114300" simplePos="0" relativeHeight="251581440" behindDoc="1" locked="0" layoutInCell="0" allowOverlap="1">
            <wp:simplePos x="0" y="0"/>
            <wp:positionH relativeFrom="column">
              <wp:posOffset>-635</wp:posOffset>
            </wp:positionH>
            <wp:positionV relativeFrom="paragraph">
              <wp:posOffset>317500</wp:posOffset>
            </wp:positionV>
            <wp:extent cx="1440180" cy="6350"/>
            <wp:effectExtent l="0" t="0" r="0" b="0"/>
            <wp:wrapNone/>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5" cstate="print">
                      <a:extLst/>
                    </a:blip>
                    <a:srcRect/>
                    <a:stretch>
                      <a:fillRect/>
                    </a:stretch>
                  </pic:blipFill>
                  <pic:spPr bwMode="auto">
                    <a:xfrm>
                      <a:off x="0" y="0"/>
                      <a:ext cx="1440180" cy="6350"/>
                    </a:xfrm>
                    <a:prstGeom prst="rect">
                      <a:avLst/>
                    </a:prstGeom>
                    <a:noFill/>
                  </pic:spPr>
                </pic:pic>
              </a:graphicData>
            </a:graphic>
          </wp:anchor>
        </w:drawing>
      </w:r>
    </w:p>
    <w:p w:rsidR="00D24E61" w:rsidRPr="00771368" w:rsidRDefault="00D24E61">
      <w:pPr>
        <w:spacing w:line="200" w:lineRule="exact"/>
        <w:rPr>
          <w:sz w:val="24"/>
          <w:szCs w:val="24"/>
        </w:rPr>
      </w:pPr>
    </w:p>
    <w:p w:rsidR="00D24E61" w:rsidRPr="00771368" w:rsidRDefault="00D24E61">
      <w:pPr>
        <w:spacing w:line="366" w:lineRule="exact"/>
        <w:rPr>
          <w:sz w:val="24"/>
          <w:szCs w:val="24"/>
        </w:rPr>
      </w:pPr>
    </w:p>
    <w:p w:rsidR="00D24E61" w:rsidRPr="00771368" w:rsidRDefault="00D24E61">
      <w:pPr>
        <w:spacing w:line="335" w:lineRule="auto"/>
        <w:ind w:firstLine="710"/>
        <w:jc w:val="both"/>
        <w:rPr>
          <w:sz w:val="20"/>
          <w:szCs w:val="20"/>
        </w:rPr>
      </w:pPr>
      <w:r w:rsidRPr="00771368">
        <w:rPr>
          <w:rFonts w:eastAsia="Calibri"/>
          <w:sz w:val="25"/>
          <w:szCs w:val="25"/>
          <w:vertAlign w:val="superscript"/>
        </w:rPr>
        <w:t>1</w:t>
      </w:r>
      <w:r w:rsidRPr="00771368">
        <w:rPr>
          <w:sz w:val="20"/>
          <w:szCs w:val="20"/>
        </w:rPr>
        <w:t xml:space="preserve"> Advogado, especialista em Gestão de Pessoas e de Projetos Sociais pela Universidade Federal de Itajubá e aluno do curso de especialização em Gestão Pública Municipal pela Universidade Federal Fluminense/Campus Aterrado, Volta Redonda – RJ. E-mail: josemarpj@yahoo.com.br</w:t>
      </w:r>
    </w:p>
    <w:p w:rsidR="00D24E61" w:rsidRPr="00771368" w:rsidRDefault="00D24E61">
      <w:pPr>
        <w:sectPr w:rsidR="00D24E61" w:rsidRPr="00771368">
          <w:type w:val="continuous"/>
          <w:pgSz w:w="11900" w:h="16840"/>
          <w:pgMar w:top="1440" w:right="1420" w:bottom="1037" w:left="1420" w:header="0" w:footer="0" w:gutter="0"/>
          <w:cols w:space="720" w:equalWidth="0">
            <w:col w:w="9060"/>
          </w:cols>
        </w:sectPr>
      </w:pPr>
    </w:p>
    <w:p w:rsidR="00D24E61" w:rsidRPr="00771368" w:rsidRDefault="00D24E61">
      <w:pPr>
        <w:spacing w:line="392" w:lineRule="auto"/>
        <w:jc w:val="both"/>
        <w:rPr>
          <w:sz w:val="20"/>
          <w:szCs w:val="20"/>
        </w:rPr>
      </w:pPr>
      <w:r w:rsidRPr="00771368">
        <w:rPr>
          <w:sz w:val="24"/>
          <w:szCs w:val="24"/>
        </w:rPr>
        <w:t>encontra dificuldade em ter sua dignidade humana plenamente reconhecida, inclusive no que tange ao seu nome e à sua identidade de gênero.</w:t>
      </w:r>
    </w:p>
    <w:p w:rsidR="00D24E61" w:rsidRPr="00771368" w:rsidRDefault="00D24E61">
      <w:pPr>
        <w:spacing w:line="166"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O artigo enfoca o princípio da dignidade humana como balizador e garantidor da plena realização de vida e cidadania, trata do direito ao nome como consequência do direito à personalidade e demonstra o direito da pessoa transexual adequar seu nome, que não condiz com seu corpo biológico, à sua identidade de gênero.</w:t>
      </w:r>
    </w:p>
    <w:p w:rsidR="00D24E61" w:rsidRPr="00771368" w:rsidRDefault="00D24E61">
      <w:pPr>
        <w:spacing w:line="194"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Fundamenta-se através de uma vasta pesquisa bibliográfica, visto que se propôs a utilizar doutrinas de autores diversos, artigos científicos, publicações em meio virtual e a Constituição Federal de 1988, organizando de forma lógica as diversas opiniões e harmonizando os pontos de vista comuns.</w:t>
      </w:r>
    </w:p>
    <w:p w:rsidR="00D24E61" w:rsidRPr="00771368" w:rsidRDefault="00D24E61">
      <w:pPr>
        <w:spacing w:line="194" w:lineRule="exact"/>
        <w:rPr>
          <w:sz w:val="20"/>
          <w:szCs w:val="20"/>
        </w:rPr>
      </w:pPr>
    </w:p>
    <w:p w:rsidR="00D24E61" w:rsidRPr="00771368" w:rsidRDefault="00D24E61">
      <w:pPr>
        <w:spacing w:line="368" w:lineRule="auto"/>
        <w:ind w:right="20" w:firstLine="1134"/>
        <w:jc w:val="both"/>
        <w:rPr>
          <w:sz w:val="20"/>
          <w:szCs w:val="20"/>
        </w:rPr>
      </w:pPr>
      <w:r w:rsidRPr="00771368">
        <w:rPr>
          <w:sz w:val="24"/>
          <w:szCs w:val="24"/>
        </w:rPr>
        <w:t>Objetiva investigar como se dá na literatura a relação entre os conceitos de dignidade da pessoa humana, direito ao nome e identidade sexual e de gênero da pessoa transexual; emparelhar e esgotar os conceitos de dignidade humana, direito ao nome, identidade sexual e transexualidade e, identificar quais as garantias que os princípios abordados neste trabalho refletem no uso do nome pela pessoa transexual.</w:t>
      </w:r>
    </w:p>
    <w:p w:rsidR="00D24E61" w:rsidRPr="00771368" w:rsidRDefault="00D24E61">
      <w:pPr>
        <w:spacing w:line="187" w:lineRule="exact"/>
        <w:rPr>
          <w:sz w:val="20"/>
          <w:szCs w:val="20"/>
        </w:rPr>
      </w:pPr>
    </w:p>
    <w:p w:rsidR="00D24E61" w:rsidRPr="00771368" w:rsidRDefault="00D24E61">
      <w:pPr>
        <w:spacing w:line="397" w:lineRule="auto"/>
        <w:ind w:right="20"/>
        <w:jc w:val="both"/>
        <w:rPr>
          <w:sz w:val="20"/>
          <w:szCs w:val="20"/>
        </w:rPr>
      </w:pPr>
      <w:r w:rsidRPr="00771368">
        <w:rPr>
          <w:b/>
          <w:bCs/>
          <w:sz w:val="28"/>
          <w:szCs w:val="28"/>
        </w:rPr>
        <w:t>1. A dignidade humana como princípio fundamental e orientador das relações humanas no Estado Brasileiro</w:t>
      </w:r>
    </w:p>
    <w:p w:rsidR="00D24E61" w:rsidRPr="00771368" w:rsidRDefault="00D24E61">
      <w:pPr>
        <w:spacing w:line="148"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As limitações impostas sobre os direitos humanos e os mandos e desmandos durante a ditadura militar contribuíram fortemente para a conscientização da população civil brasileira da necessidade de redemocratização do país.</w:t>
      </w:r>
    </w:p>
    <w:p w:rsidR="00D24E61" w:rsidRPr="00771368" w:rsidRDefault="00D24E61">
      <w:pPr>
        <w:spacing w:line="185"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Através de grande mobilização e pressão popular e a consequente perda de prestígio do Governo Militar, em 1988, após uma Assembleia Constituinte composta pelas mais diversas representações sociais, foi promulgada uma nova Constituição e, em 1989, realizadas eleições diretas para presidente.</w:t>
      </w:r>
    </w:p>
    <w:p w:rsidR="00D24E61" w:rsidRPr="00771368" w:rsidRDefault="00D24E61">
      <w:pPr>
        <w:spacing w:line="194" w:lineRule="exact"/>
        <w:rPr>
          <w:sz w:val="20"/>
          <w:szCs w:val="20"/>
        </w:rPr>
      </w:pPr>
    </w:p>
    <w:p w:rsidR="00D24E61" w:rsidRPr="00771368" w:rsidRDefault="00D24E61">
      <w:pPr>
        <w:spacing w:line="392" w:lineRule="auto"/>
        <w:ind w:right="20" w:firstLine="1134"/>
        <w:jc w:val="both"/>
        <w:rPr>
          <w:sz w:val="20"/>
          <w:szCs w:val="20"/>
        </w:rPr>
      </w:pPr>
      <w:r w:rsidRPr="00771368">
        <w:rPr>
          <w:sz w:val="24"/>
          <w:szCs w:val="24"/>
        </w:rPr>
        <w:t>As conquistas neste momento histórico foram enormes e o país se redemocratizou oficializando direitos e deveres e garantindo o exercício da cidadania.</w:t>
      </w:r>
    </w:p>
    <w:p w:rsidR="00D24E61" w:rsidRPr="00771368" w:rsidRDefault="00D24E61">
      <w:pPr>
        <w:spacing w:line="166"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Dentre tantas bandeiras, homens e mulheres persistiram em seu intuito de valer-se daquela oportunidade histórica para concretizar o papel de cada um na sociedade brasileira e garantir direitos antes negados.</w:t>
      </w:r>
    </w:p>
    <w:p w:rsidR="00D24E61" w:rsidRPr="00771368" w:rsidRDefault="00D24E61">
      <w:pPr>
        <w:sectPr w:rsidR="00D24E61" w:rsidRPr="00771368">
          <w:pgSz w:w="11900" w:h="16840"/>
          <w:pgMar w:top="1400" w:right="1400" w:bottom="1044" w:left="1420" w:header="0" w:footer="0" w:gutter="0"/>
          <w:cols w:space="720" w:equalWidth="0">
            <w:col w:w="9080"/>
          </w:cols>
        </w:sectPr>
      </w:pPr>
    </w:p>
    <w:p w:rsidR="00D24E61" w:rsidRPr="00771368" w:rsidRDefault="00D24E61">
      <w:pPr>
        <w:spacing w:line="376" w:lineRule="auto"/>
        <w:ind w:right="20" w:firstLine="1134"/>
        <w:jc w:val="both"/>
        <w:rPr>
          <w:sz w:val="20"/>
          <w:szCs w:val="20"/>
        </w:rPr>
      </w:pPr>
      <w:r w:rsidRPr="00771368">
        <w:rPr>
          <w:sz w:val="24"/>
          <w:szCs w:val="24"/>
        </w:rPr>
        <w:t>Conforme a tendência internacional de assunção dos direitos humanos como eixo dos ordenamentos jurídicos nacionais, a dignidade da pessoa humana foi consolidada como esteio de toda e qualquer relação entre pessoas e entre estas e o Estado.</w:t>
      </w:r>
    </w:p>
    <w:p w:rsidR="00D24E61" w:rsidRPr="00771368" w:rsidRDefault="00D24E61">
      <w:pPr>
        <w:spacing w:line="185" w:lineRule="exact"/>
        <w:rPr>
          <w:sz w:val="20"/>
          <w:szCs w:val="20"/>
        </w:rPr>
      </w:pPr>
    </w:p>
    <w:p w:rsidR="00D24E61" w:rsidRPr="00771368" w:rsidRDefault="00D24E61">
      <w:pPr>
        <w:spacing w:line="368" w:lineRule="auto"/>
        <w:ind w:right="20" w:firstLine="1134"/>
        <w:jc w:val="both"/>
        <w:rPr>
          <w:sz w:val="20"/>
          <w:szCs w:val="20"/>
        </w:rPr>
      </w:pPr>
      <w:r w:rsidRPr="00771368">
        <w:rPr>
          <w:sz w:val="24"/>
          <w:szCs w:val="24"/>
        </w:rPr>
        <w:t>O Art. 1º da Constituição Federal expressa, dentre os fundamentos da República Federativa do Brasil, a dignidade da pessoa humana (BRASIL, 2008, p. 13). Ao lado de princípios como a soberania, a cidadania, os valores sociais do trabalho e da livre iniciativa e o pluralismo político, a dignidade humana foi eleita como uma das pedras angulares da existência jurídica e social no país.</w:t>
      </w:r>
    </w:p>
    <w:p w:rsidR="00D24E61" w:rsidRPr="00771368" w:rsidRDefault="00D24E61">
      <w:pPr>
        <w:spacing w:line="194"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O Direito, declarada e reconhecidamente, passou a ser balizado pelo princípio da dignidade humana que, por consequência, tornou-se o esteio de todo regramento constitucional e infraconstitucional brasileiro.</w:t>
      </w:r>
    </w:p>
    <w:p w:rsidR="00D24E61" w:rsidRPr="00771368" w:rsidRDefault="00D24E61">
      <w:pPr>
        <w:spacing w:line="185" w:lineRule="exact"/>
        <w:rPr>
          <w:sz w:val="20"/>
          <w:szCs w:val="20"/>
        </w:rPr>
      </w:pPr>
    </w:p>
    <w:p w:rsidR="00D24E61" w:rsidRPr="00771368" w:rsidRDefault="00D24E61">
      <w:pPr>
        <w:spacing w:line="392" w:lineRule="auto"/>
        <w:ind w:right="20" w:firstLine="1134"/>
        <w:jc w:val="both"/>
        <w:rPr>
          <w:sz w:val="20"/>
          <w:szCs w:val="20"/>
        </w:rPr>
      </w:pPr>
      <w:r w:rsidRPr="00771368">
        <w:rPr>
          <w:sz w:val="24"/>
          <w:szCs w:val="24"/>
        </w:rPr>
        <w:t>O ser humano e sua diversidade passou a ser, ao mesmo tempo, o destinatário e a razão de todo ordenamento jurídico nacional.</w:t>
      </w:r>
    </w:p>
    <w:p w:rsidR="00D24E61" w:rsidRPr="00771368" w:rsidRDefault="00D24E61">
      <w:pPr>
        <w:spacing w:line="166" w:lineRule="exact"/>
        <w:rPr>
          <w:sz w:val="20"/>
          <w:szCs w:val="20"/>
        </w:rPr>
      </w:pPr>
    </w:p>
    <w:p w:rsidR="00D24E61" w:rsidRPr="00771368" w:rsidRDefault="00D24E61">
      <w:pPr>
        <w:ind w:left="1140"/>
        <w:rPr>
          <w:sz w:val="20"/>
          <w:szCs w:val="20"/>
        </w:rPr>
      </w:pPr>
      <w:r w:rsidRPr="00771368">
        <w:rPr>
          <w:sz w:val="24"/>
          <w:szCs w:val="24"/>
        </w:rPr>
        <w:t>Piovesan (2008, p. 53), portanto, infere que</w:t>
      </w:r>
    </w:p>
    <w:p w:rsidR="00D24E61" w:rsidRPr="00771368" w:rsidRDefault="00D24E61">
      <w:pPr>
        <w:spacing w:line="378" w:lineRule="exact"/>
        <w:rPr>
          <w:sz w:val="20"/>
          <w:szCs w:val="20"/>
        </w:rPr>
      </w:pPr>
    </w:p>
    <w:p w:rsidR="00D24E61" w:rsidRPr="00771368" w:rsidRDefault="00D24E61">
      <w:pPr>
        <w:spacing w:line="250" w:lineRule="auto"/>
        <w:ind w:left="2260"/>
        <w:jc w:val="both"/>
        <w:rPr>
          <w:sz w:val="20"/>
          <w:szCs w:val="20"/>
        </w:rPr>
      </w:pPr>
      <w:r w:rsidRPr="00771368">
        <w:rPr>
          <w:sz w:val="24"/>
          <w:szCs w:val="24"/>
        </w:rPr>
        <w:t>... o valor da dignidade da pessoa humana impõe-se como núcleo básico e informador de todo o ordenamento jurídico, como critério e parâmetro de valoração a orientar a interpretação e compreensão do sistema constitucional.</w:t>
      </w:r>
    </w:p>
    <w:p w:rsidR="00D24E61" w:rsidRPr="00771368" w:rsidRDefault="00D24E61">
      <w:pPr>
        <w:spacing w:line="194" w:lineRule="exact"/>
        <w:rPr>
          <w:sz w:val="20"/>
          <w:szCs w:val="20"/>
        </w:rPr>
      </w:pPr>
    </w:p>
    <w:p w:rsidR="00D24E61" w:rsidRPr="00771368" w:rsidRDefault="00D24E61">
      <w:pPr>
        <w:ind w:left="1140"/>
        <w:rPr>
          <w:sz w:val="20"/>
          <w:szCs w:val="20"/>
        </w:rPr>
      </w:pPr>
      <w:r w:rsidRPr="00771368">
        <w:rPr>
          <w:sz w:val="24"/>
          <w:szCs w:val="24"/>
        </w:rPr>
        <w:t>E Rocha (1999, p. 06) leciona que</w:t>
      </w:r>
    </w:p>
    <w:p w:rsidR="00D24E61" w:rsidRPr="00771368" w:rsidRDefault="00D24E61">
      <w:pPr>
        <w:spacing w:line="378" w:lineRule="exact"/>
        <w:rPr>
          <w:sz w:val="20"/>
          <w:szCs w:val="20"/>
        </w:rPr>
      </w:pPr>
    </w:p>
    <w:p w:rsidR="00D24E61" w:rsidRPr="00771368" w:rsidRDefault="00D24E61">
      <w:pPr>
        <w:spacing w:line="245" w:lineRule="auto"/>
        <w:ind w:left="2260"/>
        <w:jc w:val="both"/>
        <w:rPr>
          <w:sz w:val="20"/>
          <w:szCs w:val="20"/>
        </w:rPr>
      </w:pPr>
      <w:r w:rsidRPr="00771368">
        <w:rPr>
          <w:sz w:val="24"/>
          <w:szCs w:val="24"/>
        </w:rPr>
        <w:t>Aliás, o princípio da dignidade da pessoa humana tornou-se, então, valor fundante do sistema no qual se alberga, como espinha dorsal da elaboração normativa, exatamente os direitos fundamentais do homem. Aquele princípio converteu-se, pois, no coração do patrimônio jurídico-moral da pessoa humana estampado nos direitos fundamentais acolhidos e assegurados na forma posta no sistema constitucional.</w:t>
      </w:r>
    </w:p>
    <w:p w:rsidR="00D24E61" w:rsidRPr="00771368" w:rsidRDefault="00D24E61">
      <w:pPr>
        <w:spacing w:line="200" w:lineRule="exact"/>
        <w:rPr>
          <w:sz w:val="20"/>
          <w:szCs w:val="20"/>
        </w:rPr>
      </w:pPr>
    </w:p>
    <w:p w:rsidR="00D24E61" w:rsidRPr="00771368" w:rsidRDefault="00D24E61">
      <w:pPr>
        <w:spacing w:line="392" w:lineRule="auto"/>
        <w:ind w:right="20" w:firstLine="1134"/>
        <w:rPr>
          <w:sz w:val="20"/>
          <w:szCs w:val="20"/>
        </w:rPr>
      </w:pPr>
      <w:r w:rsidRPr="00771368">
        <w:rPr>
          <w:sz w:val="24"/>
          <w:szCs w:val="24"/>
        </w:rPr>
        <w:t>Desta forma, a justiça que se manifesta no Direito decorre e se baseia na dignidade da pessoa humana.</w:t>
      </w:r>
    </w:p>
    <w:p w:rsidR="00D24E61" w:rsidRPr="00771368" w:rsidRDefault="00D24E61">
      <w:pPr>
        <w:spacing w:line="166" w:lineRule="exact"/>
        <w:rPr>
          <w:sz w:val="20"/>
          <w:szCs w:val="20"/>
        </w:rPr>
      </w:pPr>
    </w:p>
    <w:p w:rsidR="00D24E61" w:rsidRPr="00771368" w:rsidRDefault="00D24E61">
      <w:pPr>
        <w:ind w:left="1140"/>
        <w:rPr>
          <w:sz w:val="20"/>
          <w:szCs w:val="20"/>
        </w:rPr>
      </w:pPr>
      <w:r w:rsidRPr="00771368">
        <w:rPr>
          <w:sz w:val="24"/>
          <w:szCs w:val="24"/>
        </w:rPr>
        <w:t>Assim sendo, Rocha (1999, 03) ensina, ainda, que</w:t>
      </w:r>
    </w:p>
    <w:p w:rsidR="00D24E61" w:rsidRPr="00771368" w:rsidRDefault="00D24E61">
      <w:pPr>
        <w:spacing w:line="374" w:lineRule="exact"/>
        <w:rPr>
          <w:sz w:val="20"/>
          <w:szCs w:val="20"/>
        </w:rPr>
      </w:pPr>
    </w:p>
    <w:p w:rsidR="00D24E61" w:rsidRPr="00771368" w:rsidRDefault="00D24E61">
      <w:pPr>
        <w:spacing w:line="252" w:lineRule="auto"/>
        <w:ind w:left="2260"/>
        <w:jc w:val="both"/>
        <w:rPr>
          <w:sz w:val="20"/>
          <w:szCs w:val="20"/>
        </w:rPr>
      </w:pPr>
      <w:r w:rsidRPr="00771368">
        <w:rPr>
          <w:sz w:val="24"/>
          <w:szCs w:val="24"/>
        </w:rPr>
        <w:t>Dignidade é o pressuposto da idéia (</w:t>
      </w:r>
      <w:r w:rsidRPr="00771368">
        <w:rPr>
          <w:i/>
          <w:iCs/>
          <w:sz w:val="24"/>
          <w:szCs w:val="24"/>
        </w:rPr>
        <w:t>sic</w:t>
      </w:r>
      <w:r w:rsidRPr="00771368">
        <w:rPr>
          <w:sz w:val="24"/>
          <w:szCs w:val="24"/>
        </w:rPr>
        <w:t>) de justiça humana, porque ela é que dita a condição superior do homem como ser de razão e sentimento. Por isso é que a dignidade humana independe de merecimento pessoal ou social. Não se há de ser mister ter de fazer</w:t>
      </w:r>
    </w:p>
    <w:p w:rsidR="00D24E61" w:rsidRPr="00771368" w:rsidRDefault="00D24E61">
      <w:pPr>
        <w:sectPr w:rsidR="00D24E61" w:rsidRPr="00771368">
          <w:pgSz w:w="11900" w:h="16840"/>
          <w:pgMar w:top="1400" w:right="1400" w:bottom="1120" w:left="1420" w:header="0" w:footer="0" w:gutter="0"/>
          <w:cols w:space="720" w:equalWidth="0">
            <w:col w:w="9080"/>
          </w:cols>
        </w:sectPr>
      </w:pPr>
    </w:p>
    <w:p w:rsidR="00D24E61" w:rsidRPr="00771368" w:rsidRDefault="00D24E61">
      <w:pPr>
        <w:spacing w:line="272" w:lineRule="auto"/>
        <w:ind w:left="2260" w:right="20"/>
        <w:jc w:val="both"/>
        <w:rPr>
          <w:sz w:val="20"/>
          <w:szCs w:val="20"/>
        </w:rPr>
      </w:pPr>
      <w:r w:rsidRPr="00771368">
        <w:rPr>
          <w:sz w:val="24"/>
          <w:szCs w:val="24"/>
        </w:rPr>
        <w:t>por merecê-la, pois ela é inerente à vida e, nessa contingência, é um direito pré-estatal.</w:t>
      </w:r>
    </w:p>
    <w:p w:rsidR="00D24E61" w:rsidRPr="00771368" w:rsidRDefault="00D24E61">
      <w:pPr>
        <w:spacing w:line="166" w:lineRule="exact"/>
        <w:rPr>
          <w:sz w:val="20"/>
          <w:szCs w:val="20"/>
        </w:rPr>
      </w:pPr>
    </w:p>
    <w:p w:rsidR="00D24E61" w:rsidRPr="00771368" w:rsidRDefault="00D24E61">
      <w:pPr>
        <w:ind w:left="1140"/>
        <w:rPr>
          <w:sz w:val="20"/>
          <w:szCs w:val="20"/>
        </w:rPr>
      </w:pPr>
      <w:r w:rsidRPr="00771368">
        <w:rPr>
          <w:sz w:val="24"/>
          <w:szCs w:val="24"/>
        </w:rPr>
        <w:t>E Azevedo (2002. p. 100) preleciona e conclui que</w:t>
      </w:r>
    </w:p>
    <w:p w:rsidR="00D24E61" w:rsidRPr="00771368" w:rsidRDefault="00D24E61">
      <w:pPr>
        <w:spacing w:line="378" w:lineRule="exact"/>
        <w:rPr>
          <w:sz w:val="20"/>
          <w:szCs w:val="20"/>
        </w:rPr>
      </w:pPr>
    </w:p>
    <w:p w:rsidR="00D24E61" w:rsidRPr="00771368" w:rsidRDefault="00D24E61">
      <w:pPr>
        <w:spacing w:line="246" w:lineRule="auto"/>
        <w:ind w:left="2260" w:right="20"/>
        <w:jc w:val="both"/>
        <w:rPr>
          <w:sz w:val="20"/>
          <w:szCs w:val="20"/>
        </w:rPr>
      </w:pPr>
      <w:r w:rsidRPr="00771368">
        <w:rPr>
          <w:sz w:val="24"/>
          <w:szCs w:val="24"/>
        </w:rPr>
        <w:t>... a dignidade da pessoa humana como princípio jurídico pressupõe o imperativo categórico da intangibilidade da vida humana e dá origem, em sequência hierárquica, aos seguintes preceitos: 1) respeito à integridade física e psíquica das pessoas; 2) consideração dos pressupostos materiais mínimos para o exercício da vida; 3) respeito às condições mínimas de liberdade e convivência social.</w:t>
      </w:r>
    </w:p>
    <w:p w:rsidR="00D24E61" w:rsidRPr="00771368" w:rsidRDefault="00D24E61">
      <w:pPr>
        <w:spacing w:line="199" w:lineRule="exact"/>
        <w:rPr>
          <w:sz w:val="20"/>
          <w:szCs w:val="20"/>
        </w:rPr>
      </w:pPr>
    </w:p>
    <w:p w:rsidR="00D24E61" w:rsidRPr="00771368" w:rsidRDefault="00D24E61">
      <w:pPr>
        <w:spacing w:line="370" w:lineRule="auto"/>
        <w:ind w:right="20" w:firstLine="1134"/>
        <w:jc w:val="both"/>
        <w:rPr>
          <w:sz w:val="20"/>
          <w:szCs w:val="20"/>
        </w:rPr>
      </w:pPr>
      <w:r w:rsidRPr="00771368">
        <w:rPr>
          <w:sz w:val="24"/>
          <w:szCs w:val="24"/>
        </w:rPr>
        <w:t>E, por isso, para que o Estado atenda e garanta o pleno gozo da dignidade a toda e qualquer pessoa, é essencial que também respeite os outros direitos fundamentais (direito à saúde, à personalidade, à intimidade, à privacidade, entre outros), pois aquele tem intrínseca unidade com os demais.</w:t>
      </w:r>
    </w:p>
    <w:p w:rsidR="00D24E61" w:rsidRPr="00771368" w:rsidRDefault="00D24E61">
      <w:pPr>
        <w:spacing w:line="194" w:lineRule="exact"/>
        <w:rPr>
          <w:sz w:val="20"/>
          <w:szCs w:val="20"/>
        </w:rPr>
      </w:pPr>
    </w:p>
    <w:p w:rsidR="00D24E61" w:rsidRPr="00771368" w:rsidRDefault="00D24E61">
      <w:pPr>
        <w:ind w:left="1140"/>
        <w:rPr>
          <w:sz w:val="20"/>
          <w:szCs w:val="20"/>
        </w:rPr>
      </w:pPr>
      <w:r w:rsidRPr="00771368">
        <w:rPr>
          <w:sz w:val="24"/>
          <w:szCs w:val="24"/>
        </w:rPr>
        <w:t>Sobre a primazia da dignidade humana, Häberle (2005, p. 129) informa</w:t>
      </w:r>
    </w:p>
    <w:p w:rsidR="00D24E61" w:rsidRPr="00771368" w:rsidRDefault="00D24E61">
      <w:pPr>
        <w:spacing w:line="378" w:lineRule="exact"/>
        <w:rPr>
          <w:sz w:val="20"/>
          <w:szCs w:val="20"/>
        </w:rPr>
      </w:pPr>
    </w:p>
    <w:p w:rsidR="00D24E61" w:rsidRPr="00771368" w:rsidRDefault="00D24E61">
      <w:pPr>
        <w:spacing w:line="246" w:lineRule="auto"/>
        <w:ind w:left="2260"/>
        <w:jc w:val="both"/>
        <w:rPr>
          <w:sz w:val="20"/>
          <w:szCs w:val="20"/>
        </w:rPr>
      </w:pPr>
      <w:r w:rsidRPr="00771368">
        <w:rPr>
          <w:sz w:val="24"/>
          <w:szCs w:val="24"/>
        </w:rPr>
        <w:t>A maioria dos direitos fundamentais individualmente considerados é marcada por uma diferenciada amplitude e intensidade no que diz com sua conexão com a dignidade humana. Os direitos fundamentais (individualmente considerados) subsequentes (</w:t>
      </w:r>
      <w:r w:rsidRPr="00771368">
        <w:rPr>
          <w:i/>
          <w:iCs/>
          <w:sz w:val="24"/>
          <w:szCs w:val="24"/>
        </w:rPr>
        <w:t>sic</w:t>
      </w:r>
      <w:r w:rsidRPr="00771368">
        <w:rPr>
          <w:sz w:val="24"/>
          <w:szCs w:val="24"/>
        </w:rPr>
        <w:t>), assim como os objetivos estatais e as variantes das formas estatais, têm a dignidade como premissa e encontram-se a seu serviço.</w:t>
      </w:r>
    </w:p>
    <w:p w:rsidR="00D24E61" w:rsidRPr="00771368" w:rsidRDefault="00D24E61">
      <w:pPr>
        <w:spacing w:line="199"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Assim sendo, por ter sagrado a dignidade da pessoa humana como um dos fundamentos da República Federativa do Brasil e, por conseguinte, do Estado Democrático de Direito, o Estado Brasileiro assume seu dever de garantir condições para que seu povo alcance sua dignidade.</w:t>
      </w:r>
    </w:p>
    <w:p w:rsidR="00D24E61" w:rsidRPr="00771368" w:rsidRDefault="00D24E61">
      <w:pPr>
        <w:spacing w:line="194" w:lineRule="exact"/>
        <w:rPr>
          <w:sz w:val="20"/>
          <w:szCs w:val="20"/>
        </w:rPr>
      </w:pPr>
    </w:p>
    <w:p w:rsidR="00D24E61" w:rsidRPr="00771368" w:rsidRDefault="00D24E61">
      <w:pPr>
        <w:spacing w:line="368" w:lineRule="auto"/>
        <w:ind w:firstLine="1134"/>
        <w:jc w:val="both"/>
        <w:rPr>
          <w:sz w:val="20"/>
          <w:szCs w:val="20"/>
        </w:rPr>
      </w:pPr>
      <w:r w:rsidRPr="00771368">
        <w:rPr>
          <w:sz w:val="24"/>
          <w:szCs w:val="24"/>
        </w:rPr>
        <w:t>Neste sentido, o Aparelho Estatal e suas políticas públicas devem estar conscientes de que por mais que a dignidade deva ser igual para todos os seres humanos, as individualidades e características específicas e determinantes de cada cidadão ou grupo dele devem ser identificadas e protegidas para que todos tenham garantida a plenitude de sua dignidade.</w:t>
      </w:r>
    </w:p>
    <w:p w:rsidR="00D24E61" w:rsidRPr="00771368" w:rsidRDefault="00D24E61">
      <w:pPr>
        <w:spacing w:line="194" w:lineRule="exact"/>
        <w:rPr>
          <w:sz w:val="20"/>
          <w:szCs w:val="20"/>
        </w:rPr>
      </w:pPr>
    </w:p>
    <w:p w:rsidR="00D24E61" w:rsidRPr="00771368" w:rsidRDefault="00D24E61">
      <w:pPr>
        <w:ind w:left="1140"/>
        <w:rPr>
          <w:sz w:val="20"/>
          <w:szCs w:val="20"/>
        </w:rPr>
      </w:pPr>
      <w:r w:rsidRPr="00771368">
        <w:rPr>
          <w:sz w:val="24"/>
          <w:szCs w:val="24"/>
        </w:rPr>
        <w:t>Sarlet (1988, p. 63) preleciona que</w:t>
      </w:r>
    </w:p>
    <w:p w:rsidR="00D24E61" w:rsidRPr="00771368" w:rsidRDefault="00D24E61">
      <w:pPr>
        <w:spacing w:line="378" w:lineRule="exact"/>
        <w:rPr>
          <w:sz w:val="20"/>
          <w:szCs w:val="20"/>
        </w:rPr>
      </w:pPr>
    </w:p>
    <w:p w:rsidR="00D24E61" w:rsidRPr="00771368" w:rsidRDefault="00D24E61">
      <w:pPr>
        <w:spacing w:line="250" w:lineRule="auto"/>
        <w:ind w:left="2260" w:right="20"/>
        <w:jc w:val="both"/>
        <w:rPr>
          <w:sz w:val="20"/>
          <w:szCs w:val="20"/>
        </w:rPr>
      </w:pPr>
      <w:r w:rsidRPr="00771368">
        <w:rPr>
          <w:sz w:val="24"/>
          <w:szCs w:val="24"/>
        </w:rPr>
        <w:t>A qualidade intrínseca e distintiva reconhecida em cada ser humano que o faz merecedor do mesmo respeito e consideração por parte do Estado e da comunidade, implicando, neste sentido, um complexo de direitos e deveres fundamentais que asseguram a pessoa tanto contra</w:t>
      </w:r>
    </w:p>
    <w:p w:rsidR="00D24E61" w:rsidRPr="00771368" w:rsidRDefault="00D24E61">
      <w:pPr>
        <w:sectPr w:rsidR="00D24E61" w:rsidRPr="00771368">
          <w:pgSz w:w="11900" w:h="16840"/>
          <w:pgMar w:top="1400" w:right="1400" w:bottom="1440" w:left="1420" w:header="0" w:footer="0" w:gutter="0"/>
          <w:cols w:space="720" w:equalWidth="0">
            <w:col w:w="9080"/>
          </w:cols>
        </w:sectPr>
      </w:pPr>
    </w:p>
    <w:p w:rsidR="00D24E61" w:rsidRPr="00771368" w:rsidRDefault="00D24E61">
      <w:pPr>
        <w:spacing w:line="248" w:lineRule="auto"/>
        <w:ind w:left="2260" w:right="20"/>
        <w:jc w:val="both"/>
        <w:rPr>
          <w:sz w:val="20"/>
          <w:szCs w:val="20"/>
        </w:rPr>
      </w:pPr>
      <w:r w:rsidRPr="00771368">
        <w:rPr>
          <w:sz w:val="24"/>
          <w:szCs w:val="24"/>
        </w:rPr>
        <w:t>todo e qualquer ato de cunho degradante e desumano, como venham a lhe garantir as condições existenciais mínimas para uma vida saudável, além de propiciar e promover sua participação ativa e co-responsável (</w:t>
      </w:r>
      <w:r w:rsidRPr="00771368">
        <w:rPr>
          <w:i/>
          <w:iCs/>
          <w:sz w:val="24"/>
          <w:szCs w:val="24"/>
        </w:rPr>
        <w:t>sic</w:t>
      </w:r>
      <w:r w:rsidRPr="00771368">
        <w:rPr>
          <w:sz w:val="24"/>
          <w:szCs w:val="24"/>
        </w:rPr>
        <w:t>) nos destinos da própria existência e da vida em comunhão com os demais seres humanos.</w:t>
      </w:r>
    </w:p>
    <w:p w:rsidR="00D24E61" w:rsidRPr="00771368" w:rsidRDefault="00D24E61">
      <w:pPr>
        <w:spacing w:line="194"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Então, é possível compreender que para cumprir seu papel de provedor da dignidade humana, o Direito no Brasil, além do reconhecer os direitos de cidadania a todas as brasileiras e todos os brasileiros, também instaurou a igualdade nas relações de gênero.</w:t>
      </w:r>
    </w:p>
    <w:p w:rsidR="00D24E61" w:rsidRPr="00771368" w:rsidRDefault="00D24E61">
      <w:pPr>
        <w:spacing w:line="185" w:lineRule="exact"/>
        <w:rPr>
          <w:sz w:val="20"/>
          <w:szCs w:val="20"/>
        </w:rPr>
      </w:pPr>
    </w:p>
    <w:p w:rsidR="00D24E61" w:rsidRPr="00771368" w:rsidRDefault="00D24E61">
      <w:pPr>
        <w:ind w:left="1140"/>
        <w:rPr>
          <w:sz w:val="20"/>
          <w:szCs w:val="20"/>
        </w:rPr>
      </w:pPr>
      <w:r w:rsidRPr="00771368">
        <w:rPr>
          <w:sz w:val="24"/>
          <w:szCs w:val="24"/>
        </w:rPr>
        <w:t>A igualdade entre mulheres e homens é expressa no Art. 5º da Constituição</w:t>
      </w:r>
    </w:p>
    <w:p w:rsidR="00D24E61" w:rsidRPr="00771368" w:rsidRDefault="00D24E61">
      <w:pPr>
        <w:spacing w:line="138" w:lineRule="exact"/>
        <w:rPr>
          <w:sz w:val="20"/>
          <w:szCs w:val="20"/>
        </w:rPr>
      </w:pPr>
    </w:p>
    <w:p w:rsidR="00D24E61" w:rsidRPr="00771368" w:rsidRDefault="00D24E61">
      <w:pPr>
        <w:rPr>
          <w:sz w:val="20"/>
          <w:szCs w:val="20"/>
        </w:rPr>
      </w:pPr>
      <w:r w:rsidRPr="00771368">
        <w:rPr>
          <w:sz w:val="24"/>
          <w:szCs w:val="24"/>
        </w:rPr>
        <w:t>Federal:</w:t>
      </w:r>
    </w:p>
    <w:p w:rsidR="00D24E61" w:rsidRPr="00771368" w:rsidRDefault="00D24E61">
      <w:pPr>
        <w:spacing w:line="378" w:lineRule="exact"/>
        <w:rPr>
          <w:sz w:val="20"/>
          <w:szCs w:val="20"/>
        </w:rPr>
      </w:pPr>
    </w:p>
    <w:p w:rsidR="00D24E61" w:rsidRPr="00771368" w:rsidRDefault="00D24E61">
      <w:pPr>
        <w:spacing w:line="250" w:lineRule="auto"/>
        <w:ind w:left="2260"/>
        <w:jc w:val="both"/>
        <w:rPr>
          <w:sz w:val="20"/>
          <w:szCs w:val="20"/>
        </w:rPr>
      </w:pPr>
      <w:r w:rsidRPr="00771368">
        <w:rPr>
          <w:sz w:val="24"/>
          <w:szCs w:val="24"/>
        </w:rPr>
        <w:t>Art. 5º. Todos são iguais perante a lei, sem distinção de qualquer natureza, garantindo-se aos brasileiros e aos estrangeiros residentes no País a inviolabilidade do direito à vida, à liberdade, à igualdade, à segurança e à propriedade, nos termos seguintes:</w:t>
      </w:r>
    </w:p>
    <w:p w:rsidR="00D24E61" w:rsidRPr="00771368" w:rsidRDefault="00D24E61">
      <w:pPr>
        <w:spacing w:line="194" w:lineRule="exact"/>
        <w:rPr>
          <w:sz w:val="20"/>
          <w:szCs w:val="20"/>
        </w:rPr>
      </w:pPr>
    </w:p>
    <w:p w:rsidR="00D24E61" w:rsidRPr="00771368" w:rsidRDefault="00D24E61">
      <w:pPr>
        <w:spacing w:line="272" w:lineRule="auto"/>
        <w:ind w:left="2260" w:right="20"/>
        <w:jc w:val="both"/>
        <w:rPr>
          <w:sz w:val="20"/>
          <w:szCs w:val="20"/>
        </w:rPr>
      </w:pPr>
      <w:r w:rsidRPr="00771368">
        <w:rPr>
          <w:sz w:val="24"/>
          <w:szCs w:val="24"/>
        </w:rPr>
        <w:t>I – homens e mulheres são iguais em direitos e obrigações, nos termos desta Constituição;</w:t>
      </w:r>
    </w:p>
    <w:p w:rsidR="00D24E61" w:rsidRPr="00771368" w:rsidRDefault="00D24E61">
      <w:pPr>
        <w:spacing w:line="166" w:lineRule="exact"/>
        <w:rPr>
          <w:sz w:val="20"/>
          <w:szCs w:val="20"/>
        </w:rPr>
      </w:pPr>
    </w:p>
    <w:p w:rsidR="00D24E61" w:rsidRPr="00771368" w:rsidRDefault="00D24E61">
      <w:pPr>
        <w:spacing w:line="392" w:lineRule="auto"/>
        <w:ind w:right="20" w:firstLine="1134"/>
        <w:jc w:val="both"/>
        <w:rPr>
          <w:sz w:val="20"/>
          <w:szCs w:val="20"/>
        </w:rPr>
      </w:pPr>
      <w:r w:rsidRPr="00771368">
        <w:rPr>
          <w:sz w:val="24"/>
          <w:szCs w:val="24"/>
        </w:rPr>
        <w:t>E ao conferir direitos e obrigações aos homens e mulheres, o gênero é posto de forma igualitária, no que se refere a direitos e a deveres.</w:t>
      </w:r>
    </w:p>
    <w:p w:rsidR="00D24E61" w:rsidRPr="00771368" w:rsidRDefault="00D24E61">
      <w:pPr>
        <w:spacing w:line="166" w:lineRule="exact"/>
        <w:rPr>
          <w:sz w:val="20"/>
          <w:szCs w:val="20"/>
        </w:rPr>
      </w:pPr>
    </w:p>
    <w:p w:rsidR="00D24E61" w:rsidRPr="00771368" w:rsidRDefault="00D24E61">
      <w:pPr>
        <w:spacing w:line="370" w:lineRule="auto"/>
        <w:ind w:right="20" w:firstLine="1134"/>
        <w:jc w:val="both"/>
        <w:rPr>
          <w:sz w:val="20"/>
          <w:szCs w:val="20"/>
        </w:rPr>
      </w:pPr>
      <w:r w:rsidRPr="00771368">
        <w:rPr>
          <w:sz w:val="24"/>
          <w:szCs w:val="24"/>
        </w:rPr>
        <w:t>Por conseguinte, mandamentos como "sem preconceitos de origem, raça, sexo, cor, idade e quaisquer outras formas de discriminação" trouxeram aos homens e mulheres a garantia de que sua dignidade e humanidade sejam amplamente aceitas e protegidas nas suas mais variadas formas e concepções.</w:t>
      </w:r>
    </w:p>
    <w:p w:rsidR="00D24E61" w:rsidRPr="00771368" w:rsidRDefault="00D24E61">
      <w:pPr>
        <w:spacing w:line="194" w:lineRule="exact"/>
        <w:rPr>
          <w:sz w:val="20"/>
          <w:szCs w:val="20"/>
        </w:rPr>
      </w:pPr>
    </w:p>
    <w:p w:rsidR="00D24E61" w:rsidRPr="00771368" w:rsidRDefault="00D24E61">
      <w:pPr>
        <w:ind w:left="1140"/>
        <w:rPr>
          <w:sz w:val="20"/>
          <w:szCs w:val="20"/>
        </w:rPr>
      </w:pPr>
      <w:r w:rsidRPr="00771368">
        <w:rPr>
          <w:sz w:val="24"/>
          <w:szCs w:val="24"/>
        </w:rPr>
        <w:t>Thomé (2007, p. 43), de maneira brilhante, ilustra esta assertiva</w:t>
      </w:r>
    </w:p>
    <w:p w:rsidR="00D24E61" w:rsidRPr="00771368" w:rsidRDefault="00D24E61">
      <w:pPr>
        <w:spacing w:line="378" w:lineRule="exact"/>
        <w:rPr>
          <w:sz w:val="20"/>
          <w:szCs w:val="20"/>
        </w:rPr>
      </w:pPr>
    </w:p>
    <w:p w:rsidR="00D24E61" w:rsidRPr="00771368" w:rsidRDefault="00D24E61">
      <w:pPr>
        <w:spacing w:line="250" w:lineRule="auto"/>
        <w:ind w:left="2260" w:right="20"/>
        <w:jc w:val="both"/>
        <w:rPr>
          <w:sz w:val="20"/>
          <w:szCs w:val="20"/>
        </w:rPr>
      </w:pPr>
      <w:r w:rsidRPr="00771368">
        <w:rPr>
          <w:sz w:val="24"/>
          <w:szCs w:val="24"/>
        </w:rPr>
        <w:t>Cada ser humano é merecedor de respeito e consideração, independente da crença, nível social, intelectual, opção sexual e maneira de enfrentar a vida. O simples fato de ser humano basta para que sua dignidade seja garantida.</w:t>
      </w:r>
    </w:p>
    <w:p w:rsidR="00D24E61" w:rsidRPr="00771368" w:rsidRDefault="00D24E61">
      <w:pPr>
        <w:spacing w:line="194"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Desta forma, a igualdade de gênero como distintivo da espécie humana é uma das instâncias que promovem a democracia, já que todas as ingerências humanas e sociais passam pelas relações de gênero.</w:t>
      </w:r>
    </w:p>
    <w:p w:rsidR="00D24E61" w:rsidRPr="00771368" w:rsidRDefault="00D24E61">
      <w:pPr>
        <w:spacing w:line="185" w:lineRule="exact"/>
        <w:rPr>
          <w:sz w:val="20"/>
          <w:szCs w:val="20"/>
        </w:rPr>
      </w:pPr>
    </w:p>
    <w:p w:rsidR="00D24E61" w:rsidRPr="00771368" w:rsidRDefault="00D24E61">
      <w:pPr>
        <w:spacing w:line="376" w:lineRule="auto"/>
        <w:ind w:firstLine="1134"/>
        <w:jc w:val="both"/>
        <w:rPr>
          <w:sz w:val="20"/>
          <w:szCs w:val="20"/>
        </w:rPr>
      </w:pPr>
      <w:r w:rsidRPr="00771368">
        <w:rPr>
          <w:sz w:val="24"/>
          <w:szCs w:val="24"/>
        </w:rPr>
        <w:t>Portanto, há que se garantir ao homem e à mulher, ao masculino e ao feminino, a oportunidade de desenvolverem todas as suas potencialidades e, ainda, ser abrigada toda a sua diversidade e necessidades para o pleno exercício da vida, da cidadania e da dignidade.</w:t>
      </w:r>
    </w:p>
    <w:p w:rsidR="00D24E61" w:rsidRPr="00771368" w:rsidRDefault="00D24E61">
      <w:pPr>
        <w:sectPr w:rsidR="00D24E61" w:rsidRPr="00771368">
          <w:pgSz w:w="11900" w:h="16840"/>
          <w:pgMar w:top="1400" w:right="1400" w:bottom="1116" w:left="1420" w:header="0" w:footer="0" w:gutter="0"/>
          <w:cols w:space="720" w:equalWidth="0">
            <w:col w:w="9080"/>
          </w:cols>
        </w:sectPr>
      </w:pPr>
    </w:p>
    <w:p w:rsidR="00D24E61" w:rsidRPr="00771368" w:rsidRDefault="00D24E61">
      <w:pPr>
        <w:rPr>
          <w:sz w:val="20"/>
          <w:szCs w:val="20"/>
        </w:rPr>
      </w:pPr>
      <w:r w:rsidRPr="00771368">
        <w:rPr>
          <w:b/>
          <w:bCs/>
          <w:sz w:val="32"/>
          <w:szCs w:val="32"/>
        </w:rPr>
        <w:t>2. O direito ao nome como requisito de identidade</w:t>
      </w:r>
    </w:p>
    <w:p w:rsidR="00D24E61" w:rsidRPr="00771368" w:rsidRDefault="00D24E61">
      <w:pPr>
        <w:spacing w:line="200" w:lineRule="exact"/>
        <w:rPr>
          <w:sz w:val="20"/>
          <w:szCs w:val="20"/>
        </w:rPr>
      </w:pPr>
    </w:p>
    <w:p w:rsidR="00D24E61" w:rsidRPr="00771368" w:rsidRDefault="00D24E61">
      <w:pPr>
        <w:spacing w:line="235"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O nome é designativo de cada ser humano e permite que toda pessoa seja identificada e individualizada no meio familiar e social. Assim como todas as características que particularizam o indivíduo, o nome é um diferencial e componente intrínseco à personalidade e à dignidade da pessoa humana.</w:t>
      </w:r>
    </w:p>
    <w:p w:rsidR="00D24E61" w:rsidRPr="00771368" w:rsidRDefault="00D24E61">
      <w:pPr>
        <w:spacing w:line="194" w:lineRule="exact"/>
        <w:rPr>
          <w:sz w:val="20"/>
          <w:szCs w:val="20"/>
        </w:rPr>
      </w:pPr>
    </w:p>
    <w:p w:rsidR="00D24E61" w:rsidRPr="00771368" w:rsidRDefault="00D24E61">
      <w:pPr>
        <w:spacing w:line="356" w:lineRule="auto"/>
        <w:ind w:right="20" w:firstLine="1134"/>
        <w:jc w:val="both"/>
        <w:rPr>
          <w:sz w:val="24"/>
          <w:szCs w:val="24"/>
        </w:rPr>
      </w:pPr>
      <w:r w:rsidRPr="00771368">
        <w:rPr>
          <w:sz w:val="24"/>
          <w:szCs w:val="24"/>
        </w:rPr>
        <w:t>A proteção estatal abrange o ser humano de maneira integral e assim acolhe o princípio da dignidade humana. A garantia do direito à personalidade</w:t>
      </w:r>
      <w:hyperlink w:anchor="page6">
        <w:r w:rsidRPr="00771368">
          <w:rPr>
            <w:sz w:val="28"/>
            <w:szCs w:val="28"/>
            <w:vertAlign w:val="superscript"/>
          </w:rPr>
          <w:t>2</w:t>
        </w:r>
        <w:r w:rsidRPr="00771368">
          <w:rPr>
            <w:sz w:val="24"/>
            <w:szCs w:val="24"/>
          </w:rPr>
          <w:t xml:space="preserve"> </w:t>
        </w:r>
      </w:hyperlink>
      <w:r w:rsidRPr="00771368">
        <w:rPr>
          <w:sz w:val="24"/>
          <w:szCs w:val="24"/>
        </w:rPr>
        <w:t>e, consequentemente, ao nome compõe esta proteção.</w:t>
      </w:r>
    </w:p>
    <w:p w:rsidR="00D24E61" w:rsidRPr="00771368" w:rsidRDefault="00D24E61">
      <w:pPr>
        <w:spacing w:line="186"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Tepedino (2008 p. 03) bem leciona que este mandamento “Trata do reconhecimento da personalidade como valor ético emanado do Princípio da Dignidade da Pessoa Humana e da consideração pelo direito civil do ser humano em sua complexidade”.</w:t>
      </w:r>
    </w:p>
    <w:p w:rsidR="00D24E61" w:rsidRPr="00771368" w:rsidRDefault="00D24E61">
      <w:pPr>
        <w:spacing w:line="185" w:lineRule="exact"/>
        <w:rPr>
          <w:sz w:val="20"/>
          <w:szCs w:val="20"/>
        </w:rPr>
      </w:pPr>
    </w:p>
    <w:p w:rsidR="00D24E61" w:rsidRPr="00771368" w:rsidRDefault="00D24E61">
      <w:pPr>
        <w:spacing w:line="392" w:lineRule="auto"/>
        <w:ind w:right="20" w:firstLine="1134"/>
        <w:jc w:val="both"/>
        <w:rPr>
          <w:sz w:val="20"/>
          <w:szCs w:val="20"/>
        </w:rPr>
      </w:pPr>
      <w:r w:rsidRPr="00771368">
        <w:rPr>
          <w:sz w:val="24"/>
          <w:szCs w:val="24"/>
        </w:rPr>
        <w:t>Rubens Limongi França (1964, p.22) indica o caráter social e psicológico do nome em uma sociedade humana.</w:t>
      </w:r>
    </w:p>
    <w:p w:rsidR="00D24E61" w:rsidRPr="00771368" w:rsidRDefault="00D24E61">
      <w:pPr>
        <w:spacing w:line="166" w:lineRule="exact"/>
        <w:rPr>
          <w:sz w:val="20"/>
          <w:szCs w:val="20"/>
        </w:rPr>
      </w:pPr>
    </w:p>
    <w:p w:rsidR="00D24E61" w:rsidRPr="00771368" w:rsidRDefault="00D24E61">
      <w:pPr>
        <w:spacing w:line="250" w:lineRule="auto"/>
        <w:ind w:left="2260" w:right="20"/>
        <w:jc w:val="both"/>
        <w:rPr>
          <w:sz w:val="20"/>
          <w:szCs w:val="20"/>
        </w:rPr>
      </w:pPr>
      <w:r w:rsidRPr="00771368">
        <w:rPr>
          <w:sz w:val="24"/>
          <w:szCs w:val="24"/>
        </w:rPr>
        <w:t>O nome, de modo geral, é elemento indispensável ao próprio conhecimento, porquanto é em torno dele que a mente agrupa a série de atributos pertinentes aos diversos indivíduos, o que permite a sua rápida caracterização e o seu relacionamento com os demais.</w:t>
      </w:r>
    </w:p>
    <w:p w:rsidR="00D24E61" w:rsidRPr="00771368" w:rsidRDefault="00D24E61">
      <w:pPr>
        <w:spacing w:line="194" w:lineRule="exact"/>
        <w:rPr>
          <w:sz w:val="20"/>
          <w:szCs w:val="20"/>
        </w:rPr>
      </w:pPr>
    </w:p>
    <w:p w:rsidR="00D24E61" w:rsidRPr="00771368" w:rsidRDefault="00D24E61">
      <w:pPr>
        <w:ind w:left="1140"/>
        <w:rPr>
          <w:sz w:val="20"/>
          <w:szCs w:val="20"/>
        </w:rPr>
      </w:pPr>
      <w:r w:rsidRPr="00771368">
        <w:rPr>
          <w:sz w:val="24"/>
          <w:szCs w:val="24"/>
        </w:rPr>
        <w:t>Sobre o assunto, Venosa (2005, p.211) leciona que</w:t>
      </w:r>
    </w:p>
    <w:p w:rsidR="00D24E61" w:rsidRPr="00771368" w:rsidRDefault="00D24E61">
      <w:pPr>
        <w:spacing w:line="378" w:lineRule="exact"/>
        <w:rPr>
          <w:sz w:val="20"/>
          <w:szCs w:val="20"/>
        </w:rPr>
      </w:pPr>
    </w:p>
    <w:p w:rsidR="00D24E61" w:rsidRPr="00771368" w:rsidRDefault="00D24E61">
      <w:pPr>
        <w:spacing w:line="244" w:lineRule="auto"/>
        <w:ind w:left="2260"/>
        <w:jc w:val="both"/>
        <w:rPr>
          <w:sz w:val="20"/>
          <w:szCs w:val="20"/>
        </w:rPr>
      </w:pPr>
      <w:r w:rsidRPr="00771368">
        <w:rPr>
          <w:sz w:val="24"/>
          <w:szCs w:val="24"/>
        </w:rPr>
        <w:t>O nome é, portanto, uma forma de individualização do ser humano na sociedade, mesmo após a morte. Sua utilidade é tão notória que há a exigência para que sejam atribuídos nomes a firmas, navios, aeronaves, ruas, praças, acidentes, geográficos, cidades etc. O nome, afinal, é o substantivo que distingue as coisas que nos cercam, e o nome da pessoa a distingue das demais, juntamente com outros atributos da personalidade, dentro da sociedade. É pelo nome que a pessoa fica conhecida no seio da família e da comunidade em que vive. Trata-se da manifestação mais expressiva da personalidade.</w:t>
      </w:r>
    </w:p>
    <w:p w:rsidR="00D24E61" w:rsidRPr="00771368" w:rsidRDefault="00D24E61">
      <w:pPr>
        <w:spacing w:line="199" w:lineRule="exact"/>
        <w:rPr>
          <w:sz w:val="20"/>
          <w:szCs w:val="20"/>
        </w:rPr>
      </w:pPr>
    </w:p>
    <w:p w:rsidR="00D24E61" w:rsidRPr="00771368" w:rsidRDefault="00D24E61">
      <w:pPr>
        <w:spacing w:line="392" w:lineRule="auto"/>
        <w:ind w:right="20" w:firstLine="1134"/>
        <w:rPr>
          <w:sz w:val="20"/>
          <w:szCs w:val="20"/>
        </w:rPr>
      </w:pPr>
      <w:r w:rsidRPr="00771368">
        <w:rPr>
          <w:sz w:val="24"/>
          <w:szCs w:val="24"/>
        </w:rPr>
        <w:t>O nome distingue a pessoa no meio social. Ainda, é ele uma forma, dentre tantas outras, de exteriorização do ser interior de cada indivíduo.</w:t>
      </w:r>
    </w:p>
    <w:p w:rsidR="00D24E61" w:rsidRPr="00771368" w:rsidRDefault="00D24E61">
      <w:pPr>
        <w:spacing w:line="392" w:lineRule="auto"/>
        <w:ind w:right="20" w:firstLine="1134"/>
        <w:rPr>
          <w:sz w:val="20"/>
          <w:szCs w:val="20"/>
        </w:rPr>
        <w:sectPr w:rsidR="00D24E61" w:rsidRPr="00771368">
          <w:pgSz w:w="11900" w:h="16840"/>
          <w:pgMar w:top="1390" w:right="1400" w:bottom="1161" w:left="1420" w:header="0" w:footer="0" w:gutter="0"/>
          <w:cols w:space="720" w:equalWidth="0">
            <w:col w:w="9080"/>
          </w:cols>
        </w:sectPr>
      </w:pPr>
      <w:r w:rsidRPr="00771368">
        <w:rPr>
          <w:noProof/>
          <w:sz w:val="20"/>
          <w:szCs w:val="20"/>
        </w:rPr>
        <w:drawing>
          <wp:anchor distT="0" distB="0" distL="114300" distR="114300" simplePos="0" relativeHeight="251583488" behindDoc="1" locked="0" layoutInCell="0" allowOverlap="1">
            <wp:simplePos x="0" y="0"/>
            <wp:positionH relativeFrom="column">
              <wp:posOffset>-635</wp:posOffset>
            </wp:positionH>
            <wp:positionV relativeFrom="paragraph">
              <wp:posOffset>556260</wp:posOffset>
            </wp:positionV>
            <wp:extent cx="1440180" cy="6350"/>
            <wp:effectExtent l="0" t="0" r="0" b="0"/>
            <wp:wrapNone/>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5" cstate="print">
                      <a:extLst/>
                    </a:blip>
                    <a:srcRect/>
                    <a:stretch>
                      <a:fillRect/>
                    </a:stretch>
                  </pic:blipFill>
                  <pic:spPr bwMode="auto">
                    <a:xfrm>
                      <a:off x="0" y="0"/>
                      <a:ext cx="1440180" cy="6350"/>
                    </a:xfrm>
                    <a:prstGeom prst="rect">
                      <a:avLst/>
                    </a:prstGeom>
                    <a:noFill/>
                  </pic:spPr>
                </pic:pic>
              </a:graphicData>
            </a:graphic>
          </wp:anchor>
        </w:drawing>
      </w: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200" w:lineRule="exact"/>
        <w:rPr>
          <w:sz w:val="20"/>
          <w:szCs w:val="20"/>
        </w:rPr>
      </w:pPr>
    </w:p>
    <w:p w:rsidR="00D24E61" w:rsidRPr="00771368" w:rsidRDefault="00D24E61">
      <w:pPr>
        <w:spacing w:line="343" w:lineRule="exact"/>
        <w:rPr>
          <w:sz w:val="20"/>
          <w:szCs w:val="20"/>
        </w:rPr>
      </w:pPr>
    </w:p>
    <w:p w:rsidR="00D24E61" w:rsidRPr="00771368" w:rsidRDefault="00D24E61">
      <w:pPr>
        <w:spacing w:line="223" w:lineRule="auto"/>
        <w:rPr>
          <w:sz w:val="20"/>
          <w:szCs w:val="20"/>
        </w:rPr>
      </w:pPr>
      <w:r w:rsidRPr="00771368">
        <w:rPr>
          <w:rFonts w:eastAsia="Calibri"/>
          <w:sz w:val="23"/>
          <w:szCs w:val="23"/>
          <w:vertAlign w:val="superscript"/>
        </w:rPr>
        <w:t>2</w:t>
      </w:r>
      <w:r w:rsidRPr="00771368">
        <w:rPr>
          <w:rFonts w:eastAsia="Calibri"/>
          <w:sz w:val="20"/>
          <w:szCs w:val="20"/>
        </w:rPr>
        <w:t xml:space="preserve"> Telles Jr. (p. 315) define os direitos da personalidade como “os direitos subjetivos da pessoa de defender o que lhe é próprio, ou seja, a vida, a integridade, a liberdade, a sociabilidade, a reputação ou honra, a imagem, a privacidade, a autoria etc.”.</w:t>
      </w:r>
    </w:p>
    <w:p w:rsidR="00D24E61" w:rsidRPr="00771368" w:rsidRDefault="00D24E61">
      <w:pPr>
        <w:sectPr w:rsidR="00D24E61" w:rsidRPr="00771368">
          <w:type w:val="continuous"/>
          <w:pgSz w:w="11900" w:h="16840"/>
          <w:pgMar w:top="1390" w:right="1440" w:bottom="1161" w:left="1420" w:header="0" w:footer="0" w:gutter="0"/>
          <w:cols w:space="720" w:equalWidth="0">
            <w:col w:w="9040"/>
          </w:cols>
        </w:sectPr>
      </w:pPr>
    </w:p>
    <w:p w:rsidR="00D24E61" w:rsidRPr="00771368" w:rsidRDefault="00D24E61">
      <w:pPr>
        <w:spacing w:line="396" w:lineRule="auto"/>
        <w:ind w:right="20" w:firstLine="1134"/>
        <w:jc w:val="both"/>
        <w:rPr>
          <w:sz w:val="20"/>
          <w:szCs w:val="20"/>
        </w:rPr>
      </w:pPr>
      <w:r w:rsidRPr="00771368">
        <w:rPr>
          <w:sz w:val="24"/>
          <w:szCs w:val="24"/>
        </w:rPr>
        <w:t xml:space="preserve">Josserand </w:t>
      </w:r>
      <w:r w:rsidRPr="00771368">
        <w:rPr>
          <w:i/>
          <w:iCs/>
          <w:sz w:val="24"/>
          <w:szCs w:val="24"/>
        </w:rPr>
        <w:t>apud</w:t>
      </w:r>
      <w:r w:rsidRPr="00771368">
        <w:rPr>
          <w:sz w:val="24"/>
          <w:szCs w:val="24"/>
        </w:rPr>
        <w:t xml:space="preserve"> Gonçalves (2006, p.120), resume esta assertiva afirmando que o nome é “uma etiqueta colocada sobre cada um de nós; ele dá a chave da pessoa toda inteira”.</w:t>
      </w:r>
    </w:p>
    <w:p w:rsidR="00D24E61" w:rsidRPr="00771368" w:rsidRDefault="00D24E61">
      <w:pPr>
        <w:spacing w:line="161"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E Amorim e Amorim (2010, p. 06) revelam que “ele gera a seu titular o direito de uso e gozo em todos os momentos de sua vida, quer pública ou privada, exigindo de outrem a abstenção de uso e o respeito ao mencioná-lo”.</w:t>
      </w:r>
    </w:p>
    <w:p w:rsidR="00D24E61" w:rsidRPr="00771368" w:rsidRDefault="00D24E61">
      <w:pPr>
        <w:spacing w:line="185"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Monteiro (2003, p. 207) considera o nome “a expressão mais característica da personalidade, o elemento inalienável e imprescritível da individualidade da pessoa, não se concebendo, na vida social, ser humano que não traga um nome”.</w:t>
      </w:r>
    </w:p>
    <w:p w:rsidR="00D24E61" w:rsidRPr="00771368" w:rsidRDefault="00D24E61">
      <w:pPr>
        <w:spacing w:line="185"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E Diniz (2008, p.202) registra que “O nome integra a personalidade e exterioriza como a pessoa será designada e individualizada na sociedade e na família que pertença; portanto inalienável, imprescritível e protegido juridicamente”.</w:t>
      </w:r>
    </w:p>
    <w:p w:rsidR="00D24E61" w:rsidRPr="00771368" w:rsidRDefault="00D24E61">
      <w:pPr>
        <w:spacing w:line="185" w:lineRule="exact"/>
        <w:rPr>
          <w:sz w:val="20"/>
          <w:szCs w:val="20"/>
        </w:rPr>
      </w:pPr>
    </w:p>
    <w:p w:rsidR="00D24E61" w:rsidRPr="00771368" w:rsidRDefault="00D24E61">
      <w:pPr>
        <w:spacing w:line="376" w:lineRule="auto"/>
        <w:ind w:firstLine="1134"/>
        <w:jc w:val="both"/>
        <w:rPr>
          <w:sz w:val="20"/>
          <w:szCs w:val="20"/>
        </w:rPr>
      </w:pPr>
      <w:r w:rsidRPr="00771368">
        <w:rPr>
          <w:sz w:val="24"/>
          <w:szCs w:val="24"/>
        </w:rPr>
        <w:t>Sem nome a pessoa existiria apenas biologicamente, e com total ausência da expressão jurídica que a transformasse em ser capaz de exercitar direitos e contrair obrigações.</w:t>
      </w:r>
    </w:p>
    <w:p w:rsidR="00D24E61" w:rsidRPr="00771368" w:rsidRDefault="00D24E61">
      <w:pPr>
        <w:spacing w:line="177" w:lineRule="exact"/>
        <w:rPr>
          <w:sz w:val="20"/>
          <w:szCs w:val="20"/>
        </w:rPr>
      </w:pPr>
    </w:p>
    <w:p w:rsidR="00D24E61" w:rsidRPr="00771368" w:rsidRDefault="00D24E61">
      <w:pPr>
        <w:rPr>
          <w:sz w:val="20"/>
          <w:szCs w:val="20"/>
        </w:rPr>
      </w:pPr>
      <w:r w:rsidRPr="00771368">
        <w:rPr>
          <w:b/>
          <w:bCs/>
          <w:sz w:val="28"/>
          <w:szCs w:val="28"/>
        </w:rPr>
        <w:t>3. O Nome, a Identidade Sexual e de Gênero e a Pessoa Transexual</w:t>
      </w:r>
    </w:p>
    <w:p w:rsidR="00D24E61" w:rsidRPr="00771368" w:rsidRDefault="00D24E61">
      <w:pPr>
        <w:spacing w:line="200" w:lineRule="exact"/>
        <w:rPr>
          <w:sz w:val="20"/>
          <w:szCs w:val="20"/>
        </w:rPr>
      </w:pPr>
    </w:p>
    <w:p w:rsidR="00D24E61" w:rsidRPr="00771368" w:rsidRDefault="00D24E61">
      <w:pPr>
        <w:spacing w:line="210" w:lineRule="exact"/>
        <w:rPr>
          <w:sz w:val="20"/>
          <w:szCs w:val="20"/>
        </w:rPr>
      </w:pPr>
    </w:p>
    <w:p w:rsidR="00D24E61" w:rsidRPr="00771368" w:rsidRDefault="00D24E61">
      <w:pPr>
        <w:spacing w:line="360" w:lineRule="auto"/>
        <w:ind w:right="20" w:firstLine="1134"/>
        <w:jc w:val="both"/>
        <w:rPr>
          <w:sz w:val="20"/>
          <w:szCs w:val="20"/>
        </w:rPr>
      </w:pPr>
      <w:r w:rsidRPr="00771368">
        <w:rPr>
          <w:sz w:val="24"/>
          <w:szCs w:val="24"/>
        </w:rPr>
        <w:t>Sendo o nome uma das projeções da personalidade da pessoa humana, muitas outras compõem e motivam o exercício identitário e personalístico do indivíduo.</w:t>
      </w:r>
    </w:p>
    <w:p w:rsidR="00D24E61" w:rsidRPr="00771368" w:rsidRDefault="00D24E61">
      <w:pPr>
        <w:ind w:left="1140"/>
        <w:rPr>
          <w:sz w:val="20"/>
          <w:szCs w:val="20"/>
        </w:rPr>
      </w:pPr>
      <w:r w:rsidRPr="00771368">
        <w:rPr>
          <w:sz w:val="24"/>
          <w:szCs w:val="24"/>
        </w:rPr>
        <w:t>Seguindo esta orientação, Borges (2007, p. 20) doutrina que</w:t>
      </w:r>
    </w:p>
    <w:p w:rsidR="00D24E61" w:rsidRPr="00771368" w:rsidRDefault="00D24E61">
      <w:pPr>
        <w:spacing w:line="138" w:lineRule="exact"/>
        <w:rPr>
          <w:sz w:val="20"/>
          <w:szCs w:val="20"/>
        </w:rPr>
      </w:pPr>
    </w:p>
    <w:p w:rsidR="00D24E61" w:rsidRPr="00771368" w:rsidRDefault="00D24E61">
      <w:pPr>
        <w:ind w:left="2260" w:right="20"/>
        <w:jc w:val="both"/>
        <w:rPr>
          <w:sz w:val="20"/>
          <w:szCs w:val="20"/>
        </w:rPr>
      </w:pPr>
      <w:r w:rsidRPr="00771368">
        <w:rPr>
          <w:sz w:val="24"/>
          <w:szCs w:val="24"/>
        </w:rPr>
        <w:t>Considera-se, atualmente, que o objeto dos direitos da personalidade são projeções físicas ou psíquicas da pessoa, ou as suas características mais importantes. As projeções da personalidade, suas expressões, qualidades ou atributos são bens jurídicos e se apoiam no direito positivo. Os direitos da personalidade são uma categoria especial de direito</w:t>
      </w:r>
    </w:p>
    <w:p w:rsidR="00D24E61" w:rsidRPr="00771368" w:rsidRDefault="00D24E61">
      <w:pPr>
        <w:ind w:left="2260"/>
        <w:rPr>
          <w:sz w:val="20"/>
          <w:szCs w:val="20"/>
        </w:rPr>
      </w:pPr>
      <w:r w:rsidRPr="00771368">
        <w:rPr>
          <w:sz w:val="24"/>
          <w:szCs w:val="24"/>
        </w:rPr>
        <w:t>...</w:t>
      </w:r>
    </w:p>
    <w:p w:rsidR="00D24E61" w:rsidRPr="00771368" w:rsidRDefault="00D24E61">
      <w:pPr>
        <w:spacing w:line="250" w:lineRule="auto"/>
        <w:ind w:left="2260" w:firstLine="104"/>
        <w:jc w:val="both"/>
        <w:rPr>
          <w:sz w:val="20"/>
          <w:szCs w:val="20"/>
        </w:rPr>
      </w:pPr>
      <w:r w:rsidRPr="00771368">
        <w:rPr>
          <w:sz w:val="24"/>
          <w:szCs w:val="24"/>
        </w:rPr>
        <w:t>Por meio dos direitos de personalidade se protegem a essência da pessoa e suas principais características. Os objetos dos direitos de personalidade são os bens e valores considerados essenciais para o ser humano.</w:t>
      </w:r>
    </w:p>
    <w:p w:rsidR="00D24E61" w:rsidRPr="00771368" w:rsidRDefault="00D24E61">
      <w:pPr>
        <w:spacing w:line="74" w:lineRule="exact"/>
        <w:rPr>
          <w:sz w:val="20"/>
          <w:szCs w:val="20"/>
        </w:rPr>
      </w:pPr>
    </w:p>
    <w:p w:rsidR="00D24E61" w:rsidRPr="00771368" w:rsidRDefault="00D24E61">
      <w:pPr>
        <w:spacing w:line="392" w:lineRule="auto"/>
        <w:ind w:right="20" w:firstLine="1134"/>
        <w:rPr>
          <w:sz w:val="20"/>
          <w:szCs w:val="20"/>
        </w:rPr>
      </w:pPr>
      <w:r w:rsidRPr="00771368">
        <w:rPr>
          <w:sz w:val="24"/>
          <w:szCs w:val="24"/>
        </w:rPr>
        <w:t>Neste ponto, o ser humano é considerado como um todo, o que inclui a existência jurídica, a essência psicológica e afetiva e a vivência social e política.</w:t>
      </w:r>
    </w:p>
    <w:p w:rsidR="00D24E61" w:rsidRPr="00771368" w:rsidRDefault="00D24E61">
      <w:pPr>
        <w:sectPr w:rsidR="00D24E61" w:rsidRPr="00771368">
          <w:pgSz w:w="11900" w:h="16840"/>
          <w:pgMar w:top="1396" w:right="1400" w:bottom="1440" w:left="1420" w:header="0" w:footer="0" w:gutter="0"/>
          <w:cols w:space="720" w:equalWidth="0">
            <w:col w:w="9080"/>
          </w:cols>
        </w:sectPr>
      </w:pPr>
    </w:p>
    <w:p w:rsidR="00D24E61" w:rsidRPr="00771368" w:rsidRDefault="00D24E61">
      <w:pPr>
        <w:spacing w:line="376" w:lineRule="auto"/>
        <w:ind w:right="20" w:firstLine="1134"/>
        <w:jc w:val="both"/>
        <w:rPr>
          <w:sz w:val="20"/>
          <w:szCs w:val="20"/>
        </w:rPr>
      </w:pPr>
      <w:r w:rsidRPr="00771368">
        <w:rPr>
          <w:sz w:val="24"/>
          <w:szCs w:val="24"/>
        </w:rPr>
        <w:t>O livre exercício da sexualidade pareado com a identidade de gênero pode ser considerado uma destas molas propulsoras da personalidade humana e grande influência na expressão da liberdade e da cidadania da pessoa.</w:t>
      </w:r>
    </w:p>
    <w:p w:rsidR="00D24E61" w:rsidRPr="00771368" w:rsidRDefault="00D24E61">
      <w:pPr>
        <w:spacing w:line="185" w:lineRule="exact"/>
        <w:rPr>
          <w:sz w:val="20"/>
          <w:szCs w:val="20"/>
        </w:rPr>
      </w:pPr>
    </w:p>
    <w:p w:rsidR="00D24E61" w:rsidRPr="00771368" w:rsidRDefault="00D24E61">
      <w:pPr>
        <w:ind w:left="1140"/>
        <w:rPr>
          <w:sz w:val="20"/>
          <w:szCs w:val="20"/>
        </w:rPr>
      </w:pPr>
      <w:r w:rsidRPr="00771368">
        <w:rPr>
          <w:sz w:val="24"/>
          <w:szCs w:val="24"/>
        </w:rPr>
        <w:t>Segundo COSTA (1994: s/n):</w:t>
      </w:r>
    </w:p>
    <w:p w:rsidR="00D24E61" w:rsidRPr="00771368" w:rsidRDefault="00D24E61">
      <w:pPr>
        <w:spacing w:line="378" w:lineRule="exact"/>
        <w:rPr>
          <w:sz w:val="20"/>
          <w:szCs w:val="20"/>
        </w:rPr>
      </w:pPr>
    </w:p>
    <w:p w:rsidR="00D24E61" w:rsidRPr="00771368" w:rsidRDefault="00D24E61">
      <w:pPr>
        <w:spacing w:line="245" w:lineRule="auto"/>
        <w:ind w:left="2260" w:right="20"/>
        <w:jc w:val="both"/>
        <w:rPr>
          <w:sz w:val="20"/>
          <w:szCs w:val="20"/>
        </w:rPr>
      </w:pPr>
      <w:r w:rsidRPr="00771368">
        <w:rPr>
          <w:sz w:val="24"/>
          <w:szCs w:val="24"/>
        </w:rPr>
        <w:t>A sexualidade é o aspecto mais conflituoso, controverso e desconhecido do ser humano. A nossa cultura lida mal com esse importante aspecto da vida e, para agravar, cria modelos estanques nos quais pretende encaixar e classificar as pessoas. Esses moldes, muitos dos quais baseados apenas no preconceito e na falta de informação, não nos permitem que sejamos exatamente aquilo que somos ou que poderíamos ser.</w:t>
      </w:r>
    </w:p>
    <w:p w:rsidR="00D24E61" w:rsidRPr="00771368" w:rsidRDefault="00D24E61">
      <w:pPr>
        <w:spacing w:line="200" w:lineRule="exact"/>
        <w:rPr>
          <w:sz w:val="20"/>
          <w:szCs w:val="20"/>
        </w:rPr>
      </w:pPr>
    </w:p>
    <w:p w:rsidR="00D24E61" w:rsidRPr="00771368" w:rsidRDefault="00D24E61">
      <w:pPr>
        <w:ind w:left="1140"/>
        <w:rPr>
          <w:sz w:val="20"/>
          <w:szCs w:val="20"/>
        </w:rPr>
      </w:pPr>
      <w:r w:rsidRPr="00771368">
        <w:rPr>
          <w:sz w:val="24"/>
          <w:szCs w:val="24"/>
        </w:rPr>
        <w:t>Para Aranha e Martins (2002, p. 316)</w:t>
      </w:r>
    </w:p>
    <w:p w:rsidR="00D24E61" w:rsidRPr="00771368" w:rsidRDefault="00D24E61">
      <w:pPr>
        <w:spacing w:line="378" w:lineRule="exact"/>
        <w:rPr>
          <w:sz w:val="20"/>
          <w:szCs w:val="20"/>
        </w:rPr>
      </w:pPr>
    </w:p>
    <w:p w:rsidR="00D24E61" w:rsidRPr="00771368" w:rsidRDefault="00D24E61">
      <w:pPr>
        <w:ind w:left="2260" w:right="20"/>
        <w:jc w:val="both"/>
        <w:rPr>
          <w:sz w:val="20"/>
          <w:szCs w:val="20"/>
        </w:rPr>
      </w:pPr>
      <w:r w:rsidRPr="00771368">
        <w:rPr>
          <w:sz w:val="24"/>
          <w:szCs w:val="24"/>
        </w:rPr>
        <w:t>Também a sexualidade não deve ser vista como atividade puramente biológica, separada do homem integral.</w:t>
      </w:r>
    </w:p>
    <w:p w:rsidR="00D24E61" w:rsidRPr="00771368" w:rsidRDefault="00D24E61">
      <w:pPr>
        <w:ind w:left="2260"/>
        <w:rPr>
          <w:sz w:val="20"/>
          <w:szCs w:val="20"/>
        </w:rPr>
      </w:pPr>
      <w:r w:rsidRPr="00771368">
        <w:rPr>
          <w:sz w:val="24"/>
          <w:szCs w:val="24"/>
        </w:rPr>
        <w:t>...</w:t>
      </w:r>
    </w:p>
    <w:p w:rsidR="00D24E61" w:rsidRPr="00771368" w:rsidRDefault="00D24E61">
      <w:pPr>
        <w:spacing w:line="246" w:lineRule="auto"/>
        <w:ind w:left="2260"/>
        <w:jc w:val="both"/>
        <w:rPr>
          <w:sz w:val="20"/>
          <w:szCs w:val="20"/>
        </w:rPr>
      </w:pPr>
      <w:r w:rsidRPr="00771368">
        <w:rPr>
          <w:sz w:val="24"/>
          <w:szCs w:val="24"/>
        </w:rPr>
        <w:t>Na verdade, a sexualidade é parte integrante do ser total e não apenas a expressão do corpo biológico ou o resultado exclusivo do funcionamento glandular. Ela é a expressão do ser que deseja, que escolhe, que ama, que se comunica com o mundo e com o outro. É uma “linguagem” que será tanto mais humana quanto mais pessoal for.</w:t>
      </w:r>
    </w:p>
    <w:p w:rsidR="00D24E61" w:rsidRPr="00771368" w:rsidRDefault="00D24E61">
      <w:pPr>
        <w:spacing w:line="362"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É evidente que a sexualidade ou a identidade sexual não se determina somente pelos órgãos sexuais internos ou externos, pois a sexualidade humana se perfaz também por meio das formas de dar vida ao sexo. Por formas se entende a maneira com que o sexo é percebido, sentido, definido, entendido e praticado.</w:t>
      </w:r>
    </w:p>
    <w:p w:rsidR="00D24E61" w:rsidRPr="00771368" w:rsidRDefault="00D24E61">
      <w:pPr>
        <w:spacing w:line="194" w:lineRule="exact"/>
        <w:rPr>
          <w:sz w:val="20"/>
          <w:szCs w:val="20"/>
        </w:rPr>
      </w:pPr>
    </w:p>
    <w:p w:rsidR="00D24E61" w:rsidRPr="00771368" w:rsidRDefault="00D24E61">
      <w:pPr>
        <w:ind w:left="1140"/>
        <w:rPr>
          <w:sz w:val="20"/>
          <w:szCs w:val="20"/>
        </w:rPr>
      </w:pPr>
      <w:r w:rsidRPr="00771368">
        <w:rPr>
          <w:sz w:val="24"/>
          <w:szCs w:val="24"/>
        </w:rPr>
        <w:t>Maria Berenice Dias (2006, p. 73) sobre o exercício da sexualidade declara</w:t>
      </w:r>
    </w:p>
    <w:p w:rsidR="00D24E61" w:rsidRPr="00771368" w:rsidRDefault="00D24E61">
      <w:pPr>
        <w:spacing w:line="378" w:lineRule="exact"/>
        <w:rPr>
          <w:sz w:val="20"/>
          <w:szCs w:val="20"/>
        </w:rPr>
      </w:pPr>
    </w:p>
    <w:p w:rsidR="00D24E61" w:rsidRPr="00771368" w:rsidRDefault="00D24E61">
      <w:pPr>
        <w:spacing w:line="243" w:lineRule="auto"/>
        <w:ind w:left="2260" w:right="20"/>
        <w:jc w:val="both"/>
        <w:rPr>
          <w:sz w:val="20"/>
          <w:szCs w:val="20"/>
        </w:rPr>
      </w:pPr>
      <w:r w:rsidRPr="00771368">
        <w:rPr>
          <w:sz w:val="24"/>
          <w:szCs w:val="24"/>
        </w:rPr>
        <w:t>Indispensável que se reconheça que a sexualidade integra a própria condição humana. Ninguém pode realizar-se como ser humano se não tiver assegurado o respeito ao exercício da sua sexualidade, conceito que compreende tanto a liberdade sexual como a liberdade à livre orientação sexual. A sexualidade é um elemento da própria natureza humana, seja individualmente, seja genericamente considerada. Sem liberdade sexual, sem direito ao livre exercício de sua sexualidade, sem opção sexual livre, o próprio gênero humano não consegue alcançar a felicidade, falta-lhe a liberdade, que é um direito fundamental.</w:t>
      </w:r>
    </w:p>
    <w:p w:rsidR="00D24E61" w:rsidRPr="00771368" w:rsidRDefault="00D24E61">
      <w:pPr>
        <w:sectPr w:rsidR="00D24E61" w:rsidRPr="00771368">
          <w:pgSz w:w="11900" w:h="16840"/>
          <w:pgMar w:top="1400" w:right="1400" w:bottom="1440" w:left="1420" w:header="0" w:footer="0" w:gutter="0"/>
          <w:cols w:space="720" w:equalWidth="0">
            <w:col w:w="9080"/>
          </w:cols>
        </w:sectPr>
      </w:pPr>
    </w:p>
    <w:p w:rsidR="00D24E61" w:rsidRPr="00771368" w:rsidRDefault="00D24E61">
      <w:pPr>
        <w:spacing w:line="376" w:lineRule="auto"/>
        <w:ind w:firstLine="1134"/>
        <w:jc w:val="both"/>
        <w:rPr>
          <w:sz w:val="20"/>
          <w:szCs w:val="20"/>
        </w:rPr>
      </w:pPr>
      <w:r w:rsidRPr="00771368">
        <w:rPr>
          <w:sz w:val="24"/>
          <w:szCs w:val="24"/>
        </w:rPr>
        <w:t>A sexualidade ultrapassa os fatores fisiológicos, pois o conteúdo psicológico e espiritual da pessoa carrega concepções, valores e normas aceitas ou não e determinadas em cada grupo social e em cada momento histórico.</w:t>
      </w:r>
    </w:p>
    <w:p w:rsidR="00D24E61" w:rsidRPr="00771368" w:rsidRDefault="00D24E61">
      <w:pPr>
        <w:spacing w:line="185" w:lineRule="exact"/>
        <w:rPr>
          <w:sz w:val="20"/>
          <w:szCs w:val="20"/>
        </w:rPr>
      </w:pPr>
    </w:p>
    <w:p w:rsidR="00D24E61" w:rsidRPr="00771368" w:rsidRDefault="00D24E61">
      <w:pPr>
        <w:spacing w:line="392" w:lineRule="auto"/>
        <w:ind w:firstLine="1134"/>
        <w:jc w:val="both"/>
        <w:rPr>
          <w:sz w:val="20"/>
          <w:szCs w:val="20"/>
        </w:rPr>
      </w:pPr>
      <w:r w:rsidRPr="00771368">
        <w:rPr>
          <w:sz w:val="24"/>
          <w:szCs w:val="24"/>
        </w:rPr>
        <w:t>Assim, a sexualidade está intimamente correlacionada ao gênero que orienta a vida social e é guiado pelos conceitos e preconceitos de uma determinada sociedade.</w:t>
      </w:r>
    </w:p>
    <w:p w:rsidR="00D24E61" w:rsidRPr="00771368" w:rsidRDefault="00D24E61">
      <w:pPr>
        <w:spacing w:line="166" w:lineRule="exact"/>
        <w:rPr>
          <w:sz w:val="20"/>
          <w:szCs w:val="20"/>
        </w:rPr>
      </w:pPr>
    </w:p>
    <w:p w:rsidR="00D24E61" w:rsidRPr="00771368" w:rsidRDefault="00D24E61">
      <w:pPr>
        <w:ind w:left="1140"/>
        <w:rPr>
          <w:sz w:val="20"/>
          <w:szCs w:val="20"/>
        </w:rPr>
      </w:pPr>
      <w:r w:rsidRPr="00771368">
        <w:rPr>
          <w:sz w:val="24"/>
          <w:szCs w:val="24"/>
        </w:rPr>
        <w:t>Neste sentido, Meyer (2004, p. 15) define que gênero</w:t>
      </w:r>
    </w:p>
    <w:p w:rsidR="00D24E61" w:rsidRPr="00771368" w:rsidRDefault="00D24E61">
      <w:pPr>
        <w:spacing w:line="378" w:lineRule="exact"/>
        <w:rPr>
          <w:sz w:val="20"/>
          <w:szCs w:val="20"/>
        </w:rPr>
      </w:pPr>
    </w:p>
    <w:p w:rsidR="00D24E61" w:rsidRPr="00771368" w:rsidRDefault="00D24E61">
      <w:pPr>
        <w:spacing w:line="248" w:lineRule="auto"/>
        <w:ind w:left="2260" w:right="20"/>
        <w:jc w:val="both"/>
        <w:rPr>
          <w:sz w:val="20"/>
          <w:szCs w:val="20"/>
        </w:rPr>
      </w:pPr>
      <w:r w:rsidRPr="00771368">
        <w:rPr>
          <w:sz w:val="24"/>
          <w:szCs w:val="24"/>
        </w:rPr>
        <w:t>remete a todas as formas de construção social, cultural e linguísticas implicadas com processos que diferenciam mulheres de homens, incluindo aqueles processos que produzem seus corpos, distinguindo-os e nomeando-os como corpos dotados de sexo, gênero e sexualidade.</w:t>
      </w:r>
    </w:p>
    <w:p w:rsidR="00D24E61" w:rsidRPr="00771368" w:rsidRDefault="00D24E61">
      <w:pPr>
        <w:spacing w:line="194" w:lineRule="exact"/>
        <w:rPr>
          <w:sz w:val="20"/>
          <w:szCs w:val="20"/>
        </w:rPr>
      </w:pPr>
    </w:p>
    <w:p w:rsidR="00D24E61" w:rsidRPr="00771368" w:rsidRDefault="00D24E61">
      <w:pPr>
        <w:ind w:left="1140"/>
        <w:rPr>
          <w:sz w:val="20"/>
          <w:szCs w:val="20"/>
        </w:rPr>
      </w:pPr>
      <w:r w:rsidRPr="00771368">
        <w:rPr>
          <w:sz w:val="24"/>
          <w:szCs w:val="24"/>
        </w:rPr>
        <w:t>E para Mello Neto e Agnoleti (2013, p. 05),</w:t>
      </w:r>
    </w:p>
    <w:p w:rsidR="00D24E61" w:rsidRPr="00771368" w:rsidRDefault="00D24E61">
      <w:pPr>
        <w:spacing w:line="378" w:lineRule="exact"/>
        <w:rPr>
          <w:sz w:val="20"/>
          <w:szCs w:val="20"/>
        </w:rPr>
      </w:pPr>
    </w:p>
    <w:p w:rsidR="00D24E61" w:rsidRPr="00771368" w:rsidRDefault="00D24E61">
      <w:pPr>
        <w:spacing w:line="250" w:lineRule="auto"/>
        <w:ind w:left="2260" w:right="20"/>
        <w:jc w:val="both"/>
        <w:rPr>
          <w:sz w:val="20"/>
          <w:szCs w:val="20"/>
        </w:rPr>
      </w:pPr>
      <w:r w:rsidRPr="00771368">
        <w:rPr>
          <w:sz w:val="24"/>
          <w:szCs w:val="24"/>
        </w:rPr>
        <w:t>... a identidade de gênero pode ser conceituada como a forma como uma pessoa se sente e apresenta para si e para as outras pessoas enquanto masculino, feminino ou os dois, sem, necessariamente, estar vinculada a sua genitália externa.</w:t>
      </w:r>
    </w:p>
    <w:p w:rsidR="00D24E61" w:rsidRPr="00771368" w:rsidRDefault="00D24E61">
      <w:pPr>
        <w:spacing w:line="194" w:lineRule="exact"/>
        <w:rPr>
          <w:sz w:val="20"/>
          <w:szCs w:val="20"/>
        </w:rPr>
      </w:pPr>
    </w:p>
    <w:p w:rsidR="00D24E61" w:rsidRPr="00771368" w:rsidRDefault="00D24E61">
      <w:pPr>
        <w:spacing w:line="370" w:lineRule="auto"/>
        <w:ind w:right="20" w:firstLine="1134"/>
        <w:jc w:val="both"/>
        <w:rPr>
          <w:sz w:val="20"/>
          <w:szCs w:val="20"/>
        </w:rPr>
      </w:pPr>
      <w:r w:rsidRPr="00771368">
        <w:rPr>
          <w:sz w:val="24"/>
          <w:szCs w:val="24"/>
        </w:rPr>
        <w:t>A identidade de gênero, portanto, deriva da maneira como a pessoa se percebe e age socialmente. Ela não deflui necessariamente da expressão biológica do ser, pois também deriva da percepção de si mesmo e de um anseio particular de cada pessoa e por isso mesmo nem sempre compatível com sua anatomia externa.</w:t>
      </w:r>
    </w:p>
    <w:p w:rsidR="00D24E61" w:rsidRPr="00771368" w:rsidRDefault="00D24E61">
      <w:pPr>
        <w:spacing w:line="194" w:lineRule="exact"/>
        <w:rPr>
          <w:sz w:val="20"/>
          <w:szCs w:val="20"/>
        </w:rPr>
      </w:pPr>
    </w:p>
    <w:p w:rsidR="00D24E61" w:rsidRPr="00771368" w:rsidRDefault="00D24E61">
      <w:pPr>
        <w:spacing w:line="376" w:lineRule="auto"/>
        <w:ind w:firstLine="1134"/>
        <w:jc w:val="both"/>
        <w:rPr>
          <w:sz w:val="20"/>
          <w:szCs w:val="20"/>
        </w:rPr>
      </w:pPr>
      <w:r w:rsidRPr="00771368">
        <w:rPr>
          <w:sz w:val="24"/>
          <w:szCs w:val="24"/>
        </w:rPr>
        <w:t>Nestes casos, a estrutura biológica se resume a uma das formas de expressão da identidade de gênero que igualmente pode ser configurada pela maneira que a pessoa se percebe e se situa no meio social.</w:t>
      </w:r>
    </w:p>
    <w:p w:rsidR="00D24E61" w:rsidRPr="00771368" w:rsidRDefault="00D24E61">
      <w:pPr>
        <w:spacing w:line="185" w:lineRule="exact"/>
        <w:rPr>
          <w:sz w:val="20"/>
          <w:szCs w:val="20"/>
        </w:rPr>
      </w:pPr>
    </w:p>
    <w:p w:rsidR="00D24E61" w:rsidRPr="00771368" w:rsidRDefault="00D24E61">
      <w:pPr>
        <w:spacing w:line="376" w:lineRule="auto"/>
        <w:ind w:firstLine="1134"/>
        <w:jc w:val="both"/>
        <w:rPr>
          <w:sz w:val="20"/>
          <w:szCs w:val="20"/>
        </w:rPr>
      </w:pPr>
      <w:r w:rsidRPr="00771368">
        <w:rPr>
          <w:sz w:val="24"/>
          <w:szCs w:val="24"/>
        </w:rPr>
        <w:t>Assim o é com as pessoas transexuais, homens e mulheres que sentem e agem como se fossem mulheres e homens, respectivamente, em flagrante contraposição ao seu sexo biológico.</w:t>
      </w:r>
    </w:p>
    <w:p w:rsidR="00D24E61" w:rsidRPr="00771368" w:rsidRDefault="00D24E61">
      <w:pPr>
        <w:spacing w:line="185"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A esta expressão da sexualidade e do gênero dá-se o nome de transexualidade. Para Sues (2010, sn), a expressão trans que designa a identidade sexual e de gênero que se afasta do que é socialmente aceitável</w:t>
      </w:r>
    </w:p>
    <w:p w:rsidR="00D24E61" w:rsidRPr="00771368" w:rsidRDefault="00D24E61">
      <w:pPr>
        <w:spacing w:line="185" w:lineRule="exact"/>
        <w:rPr>
          <w:sz w:val="20"/>
          <w:szCs w:val="20"/>
        </w:rPr>
      </w:pPr>
    </w:p>
    <w:p w:rsidR="00D24E61" w:rsidRPr="00771368" w:rsidRDefault="00D24E61">
      <w:pPr>
        <w:spacing w:line="256" w:lineRule="auto"/>
        <w:ind w:left="2260" w:right="20"/>
        <w:jc w:val="both"/>
        <w:rPr>
          <w:sz w:val="20"/>
          <w:szCs w:val="20"/>
        </w:rPr>
      </w:pPr>
      <w:r w:rsidRPr="00771368">
        <w:rPr>
          <w:sz w:val="24"/>
          <w:szCs w:val="24"/>
        </w:rPr>
        <w:t>refere-se a todas as pessoas que elegeram uma identidade ou expressão de gênero diferente da atribuída ao nascer, incluindo pessoas transexuais, transgêneros, travestis, cross dressers, não</w:t>
      </w:r>
    </w:p>
    <w:p w:rsidR="00D24E61" w:rsidRPr="00771368" w:rsidRDefault="00D24E61">
      <w:pPr>
        <w:sectPr w:rsidR="00D24E61" w:rsidRPr="00771368">
          <w:pgSz w:w="11900" w:h="16840"/>
          <w:pgMar w:top="1400" w:right="1400" w:bottom="1116" w:left="1420" w:header="0" w:footer="0" w:gutter="0"/>
          <w:cols w:space="720" w:equalWidth="0">
            <w:col w:w="9080"/>
          </w:cols>
        </w:sectPr>
      </w:pPr>
    </w:p>
    <w:p w:rsidR="00D24E61" w:rsidRPr="00771368" w:rsidRDefault="00D24E61">
      <w:pPr>
        <w:spacing w:line="272" w:lineRule="auto"/>
        <w:ind w:left="2260" w:right="20"/>
        <w:jc w:val="both"/>
        <w:rPr>
          <w:sz w:val="20"/>
          <w:szCs w:val="20"/>
        </w:rPr>
      </w:pPr>
      <w:r w:rsidRPr="00771368">
        <w:rPr>
          <w:sz w:val="24"/>
          <w:szCs w:val="24"/>
        </w:rPr>
        <w:t>gêneros, multigêneros, de gênero fluído, gênero queer e outras autodenominações relacionadas.</w:t>
      </w:r>
    </w:p>
    <w:p w:rsidR="00D24E61" w:rsidRPr="00771368" w:rsidRDefault="00D24E61">
      <w:pPr>
        <w:spacing w:line="166" w:lineRule="exact"/>
        <w:rPr>
          <w:sz w:val="20"/>
          <w:szCs w:val="20"/>
        </w:rPr>
      </w:pPr>
    </w:p>
    <w:p w:rsidR="00D24E61" w:rsidRPr="00771368" w:rsidRDefault="00D24E61">
      <w:pPr>
        <w:spacing w:line="392" w:lineRule="auto"/>
        <w:ind w:left="280" w:right="20" w:firstLine="1004"/>
        <w:rPr>
          <w:sz w:val="20"/>
          <w:szCs w:val="20"/>
        </w:rPr>
      </w:pPr>
      <w:r w:rsidRPr="00771368">
        <w:rPr>
          <w:sz w:val="24"/>
          <w:szCs w:val="24"/>
        </w:rPr>
        <w:t>Holdemar Oliveira de Menezes (1978, p. 85) foi um dos pioneiros em definir a transexualidade, ainda que sob uma perspectiva clínica. Para ele,</w:t>
      </w:r>
    </w:p>
    <w:p w:rsidR="00D24E61" w:rsidRPr="00771368" w:rsidRDefault="00D24E61">
      <w:pPr>
        <w:spacing w:line="166" w:lineRule="exact"/>
        <w:rPr>
          <w:sz w:val="20"/>
          <w:szCs w:val="20"/>
        </w:rPr>
      </w:pPr>
    </w:p>
    <w:p w:rsidR="00D24E61" w:rsidRPr="00771368" w:rsidRDefault="00D24E61">
      <w:pPr>
        <w:spacing w:line="248" w:lineRule="auto"/>
        <w:ind w:left="2260" w:right="20"/>
        <w:jc w:val="both"/>
        <w:rPr>
          <w:sz w:val="20"/>
          <w:szCs w:val="20"/>
        </w:rPr>
      </w:pPr>
      <w:r w:rsidRPr="00771368">
        <w:rPr>
          <w:sz w:val="24"/>
          <w:szCs w:val="24"/>
        </w:rPr>
        <w:t>transexualismo é a inadequação psicológica ao sexo somático, que é aquele denunciado pela genitália interna, pela genitália externa e pelos caracteres secundários; ou ainda, a não harmonização entre o sexo somático e o sexo psicossocial, com alterações no comportamento sexual do indivíduo.</w:t>
      </w:r>
    </w:p>
    <w:p w:rsidR="00D24E61" w:rsidRPr="00771368" w:rsidRDefault="00D24E61">
      <w:pPr>
        <w:spacing w:line="194"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E Carvalho (2009, p. 463) tece outro conceito igualmente esclarecedor afirmando que “A transexualidade pode ser caracterizada pela convicção de pertencimento ao sexo biologicamente oposto, o que leva o indivíduo a empreender uma série de modificações corporais e sociais, segundo o que constitui o sexo e o gênero identificados”.</w:t>
      </w:r>
    </w:p>
    <w:p w:rsidR="00D24E61" w:rsidRPr="00771368" w:rsidRDefault="00D24E61">
      <w:pPr>
        <w:spacing w:line="190" w:lineRule="exact"/>
        <w:rPr>
          <w:sz w:val="20"/>
          <w:szCs w:val="20"/>
        </w:rPr>
      </w:pPr>
    </w:p>
    <w:p w:rsidR="00D24E61" w:rsidRPr="00771368" w:rsidRDefault="00D24E61">
      <w:pPr>
        <w:ind w:left="1140"/>
        <w:rPr>
          <w:sz w:val="24"/>
          <w:szCs w:val="24"/>
        </w:rPr>
      </w:pPr>
      <w:r w:rsidRPr="00771368">
        <w:rPr>
          <w:sz w:val="24"/>
          <w:szCs w:val="24"/>
        </w:rPr>
        <w:t>Harry Benjamin</w:t>
      </w:r>
      <w:hyperlink w:anchor="page10">
        <w:r w:rsidRPr="00771368">
          <w:rPr>
            <w:sz w:val="28"/>
            <w:szCs w:val="28"/>
            <w:vertAlign w:val="superscript"/>
          </w:rPr>
          <w:t>3</w:t>
        </w:r>
        <w:r w:rsidRPr="00771368">
          <w:rPr>
            <w:sz w:val="24"/>
            <w:szCs w:val="24"/>
          </w:rPr>
          <w:t xml:space="preserve"> </w:t>
        </w:r>
      </w:hyperlink>
      <w:r w:rsidRPr="00771368">
        <w:rPr>
          <w:i/>
          <w:iCs/>
          <w:sz w:val="24"/>
          <w:szCs w:val="24"/>
        </w:rPr>
        <w:t>apud</w:t>
      </w:r>
      <w:r w:rsidRPr="00771368">
        <w:rPr>
          <w:sz w:val="24"/>
          <w:szCs w:val="24"/>
        </w:rPr>
        <w:t xml:space="preserve"> Bento (2006, p. 151) pondera que</w:t>
      </w:r>
    </w:p>
    <w:p w:rsidR="00D24E61" w:rsidRPr="00771368" w:rsidRDefault="00D24E61">
      <w:pPr>
        <w:spacing w:line="336" w:lineRule="exact"/>
        <w:rPr>
          <w:sz w:val="20"/>
          <w:szCs w:val="20"/>
        </w:rPr>
      </w:pPr>
    </w:p>
    <w:p w:rsidR="00D24E61" w:rsidRPr="00771368" w:rsidRDefault="00D24E61">
      <w:pPr>
        <w:spacing w:line="248" w:lineRule="auto"/>
        <w:ind w:left="2260" w:right="20"/>
        <w:jc w:val="both"/>
        <w:rPr>
          <w:sz w:val="20"/>
          <w:szCs w:val="20"/>
        </w:rPr>
      </w:pPr>
      <w:r w:rsidRPr="00771368">
        <w:rPr>
          <w:sz w:val="24"/>
          <w:szCs w:val="24"/>
        </w:rPr>
        <w:t>o transexual se sente uma mulher (...) e se sente atraído por outros homens. Isso faz dele um homossexual se seu sexo for diagnosticado de acordo com seu corpo. No entanto, ele se autodiagnostica segundo seu sexo psicológico feminino. Ele sente atração por um homem como heterossexual, ou seja, normal.</w:t>
      </w:r>
    </w:p>
    <w:p w:rsidR="00D24E61" w:rsidRPr="00771368" w:rsidRDefault="00D24E61">
      <w:pPr>
        <w:spacing w:line="194" w:lineRule="exact"/>
        <w:rPr>
          <w:sz w:val="20"/>
          <w:szCs w:val="20"/>
        </w:rPr>
      </w:pPr>
    </w:p>
    <w:p w:rsidR="00D24E61" w:rsidRPr="00771368" w:rsidRDefault="00D24E61">
      <w:pPr>
        <w:spacing w:line="352" w:lineRule="auto"/>
        <w:ind w:firstLine="1134"/>
        <w:rPr>
          <w:sz w:val="24"/>
          <w:szCs w:val="24"/>
        </w:rPr>
      </w:pPr>
      <w:r w:rsidRPr="00771368">
        <w:rPr>
          <w:sz w:val="24"/>
          <w:szCs w:val="24"/>
        </w:rPr>
        <w:t>Choeri (2004, p. 6) ao tratar das consequências da cirurgia de transgenitalização</w:t>
      </w:r>
      <w:hyperlink w:anchor="page10">
        <w:r w:rsidRPr="00771368">
          <w:rPr>
            <w:sz w:val="28"/>
            <w:szCs w:val="28"/>
            <w:vertAlign w:val="superscript"/>
          </w:rPr>
          <w:t>4</w:t>
        </w:r>
      </w:hyperlink>
      <w:r w:rsidRPr="00771368">
        <w:rPr>
          <w:sz w:val="24"/>
          <w:szCs w:val="24"/>
        </w:rPr>
        <w:t>, afirma que esta intervenção põe</w:t>
      </w:r>
    </w:p>
    <w:p w:rsidR="00D24E61" w:rsidRPr="00771368" w:rsidRDefault="00D24E61">
      <w:pPr>
        <w:spacing w:line="191" w:lineRule="exact"/>
        <w:rPr>
          <w:sz w:val="20"/>
          <w:szCs w:val="20"/>
        </w:rPr>
      </w:pPr>
    </w:p>
    <w:p w:rsidR="00D24E61" w:rsidRPr="00771368" w:rsidRDefault="00D24E61">
      <w:pPr>
        <w:spacing w:line="250" w:lineRule="auto"/>
        <w:ind w:left="2260" w:right="20"/>
        <w:jc w:val="both"/>
        <w:rPr>
          <w:sz w:val="20"/>
          <w:szCs w:val="20"/>
        </w:rPr>
      </w:pPr>
      <w:r w:rsidRPr="00771368">
        <w:rPr>
          <w:sz w:val="24"/>
          <w:szCs w:val="24"/>
        </w:rPr>
        <w:t>em questão os limites do direito de dispor do próprio corpo, do direito de redesignação sexual e do direito de identificação pessoal, elementos indispensáveis à segurança social e à construção da individualidade, bem essencial à preservação da dignidade humana.</w:t>
      </w:r>
    </w:p>
    <w:p w:rsidR="00D24E61" w:rsidRPr="00771368" w:rsidRDefault="00D24E61">
      <w:pPr>
        <w:spacing w:line="194" w:lineRule="exact"/>
        <w:rPr>
          <w:sz w:val="20"/>
          <w:szCs w:val="20"/>
        </w:rPr>
      </w:pPr>
    </w:p>
    <w:p w:rsidR="00D24E61" w:rsidRPr="00771368" w:rsidRDefault="00D24E61">
      <w:pPr>
        <w:spacing w:line="376" w:lineRule="auto"/>
        <w:ind w:firstLine="1418"/>
        <w:jc w:val="both"/>
        <w:rPr>
          <w:sz w:val="20"/>
          <w:szCs w:val="20"/>
        </w:rPr>
      </w:pPr>
      <w:r w:rsidRPr="00771368">
        <w:rPr>
          <w:sz w:val="24"/>
          <w:szCs w:val="24"/>
        </w:rPr>
        <w:t>Ainda, é possível afirmar que o nome garante uma segurança emocional e psicológica a seu possuidor, porque é a exata expressão de sua personalidade e componente importante ao pleno exercício de sua cidadania e de plenitude de vida.</w:t>
      </w:r>
    </w:p>
    <w:p w:rsidR="00D24E61" w:rsidRPr="00771368" w:rsidRDefault="00D24E61">
      <w:pPr>
        <w:spacing w:line="185" w:lineRule="exact"/>
        <w:rPr>
          <w:sz w:val="20"/>
          <w:szCs w:val="20"/>
        </w:rPr>
      </w:pPr>
    </w:p>
    <w:p w:rsidR="00D24E61" w:rsidRPr="00771368" w:rsidRDefault="00D24E61">
      <w:pPr>
        <w:spacing w:line="392" w:lineRule="auto"/>
        <w:ind w:firstLine="1418"/>
        <w:jc w:val="both"/>
        <w:rPr>
          <w:sz w:val="20"/>
          <w:szCs w:val="20"/>
        </w:rPr>
      </w:pPr>
      <w:r w:rsidRPr="00771368">
        <w:rPr>
          <w:sz w:val="24"/>
          <w:szCs w:val="24"/>
        </w:rPr>
        <w:t>Logo, depois de ter se reconhecido como tal, falta ao transexual que utiliza o nome que lhe foi dado no nascimento uma parte de sua personalidade, pois além de não</w:t>
      </w:r>
    </w:p>
    <w:p w:rsidR="00D24E61" w:rsidRPr="00771368" w:rsidRDefault="00D24E61">
      <w:pPr>
        <w:spacing w:line="277" w:lineRule="exact"/>
        <w:rPr>
          <w:sz w:val="20"/>
          <w:szCs w:val="20"/>
        </w:rPr>
      </w:pPr>
      <w:r w:rsidRPr="00771368">
        <w:rPr>
          <w:noProof/>
          <w:sz w:val="20"/>
          <w:szCs w:val="20"/>
        </w:rPr>
        <w:drawing>
          <wp:anchor distT="0" distB="0" distL="114300" distR="114300" simplePos="0" relativeHeight="251585536" behindDoc="1" locked="0" layoutInCell="0" allowOverlap="1">
            <wp:simplePos x="0" y="0"/>
            <wp:positionH relativeFrom="column">
              <wp:posOffset>-635</wp:posOffset>
            </wp:positionH>
            <wp:positionV relativeFrom="paragraph">
              <wp:posOffset>139700</wp:posOffset>
            </wp:positionV>
            <wp:extent cx="1440180" cy="6350"/>
            <wp:effectExtent l="0" t="0" r="0" b="0"/>
            <wp:wrapNone/>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5" cstate="print">
                      <a:extLst/>
                    </a:blip>
                    <a:srcRect/>
                    <a:stretch>
                      <a:fillRect/>
                    </a:stretch>
                  </pic:blipFill>
                  <pic:spPr bwMode="auto">
                    <a:xfrm>
                      <a:off x="0" y="0"/>
                      <a:ext cx="1440180" cy="6350"/>
                    </a:xfrm>
                    <a:prstGeom prst="rect">
                      <a:avLst/>
                    </a:prstGeom>
                    <a:noFill/>
                  </pic:spPr>
                </pic:pic>
              </a:graphicData>
            </a:graphic>
          </wp:anchor>
        </w:drawing>
      </w:r>
    </w:p>
    <w:p w:rsidR="00D24E61" w:rsidRPr="00771368" w:rsidRDefault="00D24E61">
      <w:pPr>
        <w:spacing w:line="227" w:lineRule="auto"/>
        <w:ind w:right="20"/>
        <w:jc w:val="both"/>
        <w:rPr>
          <w:sz w:val="20"/>
          <w:szCs w:val="20"/>
        </w:rPr>
      </w:pPr>
      <w:r w:rsidRPr="00771368">
        <w:rPr>
          <w:rFonts w:eastAsia="Calibri"/>
          <w:sz w:val="25"/>
          <w:szCs w:val="25"/>
          <w:vertAlign w:val="superscript"/>
        </w:rPr>
        <w:t>3</w:t>
      </w:r>
      <w:r w:rsidRPr="00771368">
        <w:t xml:space="preserve"> A literatura médica registra que Harry Benjamin, na década de 40, foi o primeiro médico que estudou pessoas transexuais, mas ainda não havia uma terminologia específica para esta condição (Athayde, 2001).</w:t>
      </w:r>
    </w:p>
    <w:p w:rsidR="00D24E61" w:rsidRPr="00771368" w:rsidRDefault="00D24E61">
      <w:pPr>
        <w:spacing w:line="3" w:lineRule="exact"/>
        <w:rPr>
          <w:sz w:val="20"/>
          <w:szCs w:val="20"/>
        </w:rPr>
      </w:pPr>
    </w:p>
    <w:p w:rsidR="00D24E61" w:rsidRPr="00771368" w:rsidRDefault="00D24E61">
      <w:pPr>
        <w:spacing w:line="262" w:lineRule="auto"/>
        <w:ind w:right="120"/>
        <w:rPr>
          <w:sz w:val="20"/>
          <w:szCs w:val="20"/>
        </w:rPr>
      </w:pPr>
      <w:r w:rsidRPr="00771368">
        <w:rPr>
          <w:rFonts w:eastAsia="Calibri"/>
          <w:vertAlign w:val="superscript"/>
        </w:rPr>
        <w:t>4</w:t>
      </w:r>
      <w:r w:rsidRPr="00771368">
        <w:t xml:space="preserve"> Intervenção cirúrgica e demais procedimentos complementares para adequação do sexo morfológico e fenotípico ao sexo psicológico da pessoa (Formulado pelo autor).</w:t>
      </w:r>
    </w:p>
    <w:p w:rsidR="00D24E61" w:rsidRPr="00771368" w:rsidRDefault="00D24E61">
      <w:pPr>
        <w:sectPr w:rsidR="00D24E61" w:rsidRPr="00771368">
          <w:pgSz w:w="11900" w:h="16840"/>
          <w:pgMar w:top="1400" w:right="1400" w:bottom="1101" w:left="1420" w:header="0" w:footer="0" w:gutter="0"/>
          <w:cols w:space="720" w:equalWidth="0">
            <w:col w:w="9080"/>
          </w:cols>
        </w:sectPr>
      </w:pPr>
    </w:p>
    <w:p w:rsidR="00D24E61" w:rsidRPr="00771368" w:rsidRDefault="00D24E61">
      <w:pPr>
        <w:spacing w:line="376" w:lineRule="auto"/>
        <w:ind w:right="20"/>
        <w:jc w:val="both"/>
        <w:rPr>
          <w:sz w:val="20"/>
          <w:szCs w:val="20"/>
        </w:rPr>
      </w:pPr>
      <w:r w:rsidRPr="00771368">
        <w:rPr>
          <w:sz w:val="24"/>
          <w:szCs w:val="24"/>
        </w:rPr>
        <w:t>reconhecer o próprio sexo genital como seu, o nome que oficialmente o identifica na sociedade não condiz com a expressão de sua existência expressa em seu corpo, sua postura e seu comportamento.</w:t>
      </w:r>
    </w:p>
    <w:p w:rsidR="00D24E61" w:rsidRPr="00771368" w:rsidRDefault="00D24E61">
      <w:pPr>
        <w:spacing w:line="185" w:lineRule="exact"/>
        <w:rPr>
          <w:sz w:val="20"/>
          <w:szCs w:val="20"/>
        </w:rPr>
      </w:pPr>
    </w:p>
    <w:p w:rsidR="00D24E61" w:rsidRPr="00771368" w:rsidRDefault="00D24E61">
      <w:pPr>
        <w:spacing w:line="376" w:lineRule="auto"/>
        <w:ind w:right="20" w:firstLine="1418"/>
        <w:jc w:val="both"/>
        <w:rPr>
          <w:sz w:val="20"/>
          <w:szCs w:val="20"/>
        </w:rPr>
      </w:pPr>
      <w:r w:rsidRPr="00771368">
        <w:rPr>
          <w:sz w:val="24"/>
          <w:szCs w:val="24"/>
        </w:rPr>
        <w:t>Ao assumir sua identidade e seu gênero feminino ou masculino, o transexual invariavelmente necessita que todas as dimensões do seu ser enquadrem a expressão de seu gênero e de sua identidade sexual.</w:t>
      </w:r>
    </w:p>
    <w:p w:rsidR="00D24E61" w:rsidRPr="00771368" w:rsidRDefault="00D24E61">
      <w:pPr>
        <w:spacing w:line="185" w:lineRule="exact"/>
        <w:rPr>
          <w:sz w:val="20"/>
          <w:szCs w:val="20"/>
        </w:rPr>
      </w:pPr>
    </w:p>
    <w:p w:rsidR="00D24E61" w:rsidRPr="00771368" w:rsidRDefault="00D24E61">
      <w:pPr>
        <w:spacing w:line="376" w:lineRule="auto"/>
        <w:ind w:right="20" w:firstLine="1418"/>
        <w:jc w:val="both"/>
        <w:rPr>
          <w:sz w:val="20"/>
          <w:szCs w:val="20"/>
        </w:rPr>
      </w:pPr>
      <w:r w:rsidRPr="00771368">
        <w:rPr>
          <w:sz w:val="24"/>
          <w:szCs w:val="24"/>
        </w:rPr>
        <w:t>Bento (2006, p. 44) assinala que “A nomenclatura oficial retorna à essencialização que a própria experiência transexual nega e recorda todo tempo que ele/ela nunca será um homem/uma mulher de verdade”.</w:t>
      </w:r>
    </w:p>
    <w:p w:rsidR="00D24E61" w:rsidRPr="00771368" w:rsidRDefault="00D24E61">
      <w:pPr>
        <w:spacing w:line="185" w:lineRule="exact"/>
        <w:rPr>
          <w:sz w:val="20"/>
          <w:szCs w:val="20"/>
        </w:rPr>
      </w:pPr>
    </w:p>
    <w:p w:rsidR="00D24E61" w:rsidRPr="00771368" w:rsidRDefault="00D24E61">
      <w:pPr>
        <w:spacing w:line="370" w:lineRule="auto"/>
        <w:ind w:firstLine="1418"/>
        <w:jc w:val="both"/>
        <w:rPr>
          <w:sz w:val="20"/>
          <w:szCs w:val="20"/>
        </w:rPr>
      </w:pPr>
      <w:r w:rsidRPr="00771368">
        <w:rPr>
          <w:sz w:val="24"/>
          <w:szCs w:val="24"/>
        </w:rPr>
        <w:t>Para que não se incorra neste ato discriminatório, o princípio da dignidade humana e o direito ao nome como constante da personalidade garantem o reconhecimento da identidade do transexual em seu sexo real assegurando-lhe o direito de alterar seu nome e seu gênero perante os órgãos oficiais e a sociedade.</w:t>
      </w:r>
    </w:p>
    <w:p w:rsidR="00D24E61" w:rsidRPr="00771368" w:rsidRDefault="00D24E61">
      <w:pPr>
        <w:spacing w:line="194" w:lineRule="exact"/>
        <w:rPr>
          <w:sz w:val="20"/>
          <w:szCs w:val="20"/>
        </w:rPr>
      </w:pPr>
    </w:p>
    <w:p w:rsidR="00D24E61" w:rsidRPr="00771368" w:rsidRDefault="00D24E61">
      <w:pPr>
        <w:ind w:left="1420"/>
        <w:rPr>
          <w:sz w:val="20"/>
          <w:szCs w:val="20"/>
        </w:rPr>
      </w:pPr>
      <w:r w:rsidRPr="00771368">
        <w:rPr>
          <w:sz w:val="24"/>
          <w:szCs w:val="24"/>
        </w:rPr>
        <w:t>Diniz (2006, p. 300) inova a doutrina jurídica civil ao afirmar que</w:t>
      </w:r>
    </w:p>
    <w:p w:rsidR="00D24E61" w:rsidRPr="00771368" w:rsidRDefault="00D24E61">
      <w:pPr>
        <w:spacing w:line="378" w:lineRule="exact"/>
        <w:rPr>
          <w:sz w:val="20"/>
          <w:szCs w:val="20"/>
        </w:rPr>
      </w:pPr>
    </w:p>
    <w:p w:rsidR="00D24E61" w:rsidRPr="00771368" w:rsidRDefault="00D24E61">
      <w:pPr>
        <w:spacing w:line="246" w:lineRule="auto"/>
        <w:ind w:left="2260"/>
        <w:jc w:val="both"/>
        <w:rPr>
          <w:sz w:val="20"/>
          <w:szCs w:val="20"/>
        </w:rPr>
      </w:pPr>
      <w:r w:rsidRPr="00771368">
        <w:rPr>
          <w:sz w:val="24"/>
          <w:szCs w:val="24"/>
        </w:rPr>
        <w:t>Deve haver a adequação do prenome ao novo sexo do transexual operado sem qualquer referência discriminatória na carteira de identidade, de trabalho, no título de eleitor, no CPF etc. ou averbação sigilosa no registro de nascimento, porque isso impediria a sua plena integração social e afetiva e obstaria seu direito ao esquecimento do estado anterior, que lhe causou tanto sofrimento.</w:t>
      </w:r>
    </w:p>
    <w:p w:rsidR="00D24E61" w:rsidRPr="00771368" w:rsidRDefault="00D24E61">
      <w:pPr>
        <w:spacing w:line="199" w:lineRule="exact"/>
        <w:rPr>
          <w:sz w:val="20"/>
          <w:szCs w:val="20"/>
        </w:rPr>
      </w:pPr>
    </w:p>
    <w:p w:rsidR="00D24E61" w:rsidRPr="00771368" w:rsidRDefault="00D24E61">
      <w:pPr>
        <w:ind w:left="1420"/>
        <w:rPr>
          <w:sz w:val="20"/>
          <w:szCs w:val="20"/>
        </w:rPr>
      </w:pPr>
      <w:r w:rsidRPr="00771368">
        <w:rPr>
          <w:sz w:val="24"/>
          <w:szCs w:val="24"/>
        </w:rPr>
        <w:t>Rodrigues (2002, p. 72) afirma que</w:t>
      </w:r>
    </w:p>
    <w:p w:rsidR="00D24E61" w:rsidRPr="00771368" w:rsidRDefault="00D24E61">
      <w:pPr>
        <w:spacing w:line="378" w:lineRule="exact"/>
        <w:rPr>
          <w:sz w:val="20"/>
          <w:szCs w:val="20"/>
        </w:rPr>
      </w:pPr>
    </w:p>
    <w:p w:rsidR="00D24E61" w:rsidRPr="00771368" w:rsidRDefault="00D24E61">
      <w:pPr>
        <w:ind w:left="2260" w:right="20"/>
        <w:jc w:val="both"/>
        <w:rPr>
          <w:sz w:val="20"/>
          <w:szCs w:val="20"/>
        </w:rPr>
      </w:pPr>
      <w:r w:rsidRPr="00771368">
        <w:rPr>
          <w:sz w:val="24"/>
          <w:szCs w:val="24"/>
        </w:rPr>
        <w:t>O nome representa, sem dúvida, um direito inerente à pessoa humana, portanto um direito da personalidade.</w:t>
      </w:r>
    </w:p>
    <w:p w:rsidR="00D24E61" w:rsidRPr="00771368" w:rsidRDefault="00D24E61">
      <w:pPr>
        <w:ind w:left="2260"/>
        <w:rPr>
          <w:sz w:val="20"/>
          <w:szCs w:val="20"/>
        </w:rPr>
      </w:pPr>
      <w:r w:rsidRPr="00771368">
        <w:rPr>
          <w:sz w:val="24"/>
          <w:szCs w:val="24"/>
        </w:rPr>
        <w:t>...</w:t>
      </w:r>
    </w:p>
    <w:p w:rsidR="00D24E61" w:rsidRPr="00771368" w:rsidRDefault="00D24E61">
      <w:pPr>
        <w:ind w:left="2260"/>
        <w:jc w:val="both"/>
        <w:rPr>
          <w:sz w:val="20"/>
          <w:szCs w:val="20"/>
        </w:rPr>
      </w:pPr>
      <w:r w:rsidRPr="00771368">
        <w:rPr>
          <w:sz w:val="24"/>
          <w:szCs w:val="24"/>
        </w:rPr>
        <w:t>Toda a pessoa tem direito ao nome, nele compreendidos o prenome e o sobrenome, dispõe o art. 16 do Código Civil. Daí deflui para o titular a prerrogativa de reivindica-lo, quando lhe é negado.</w:t>
      </w:r>
    </w:p>
    <w:p w:rsidR="00D24E61" w:rsidRPr="00771368" w:rsidRDefault="00D24E61">
      <w:pPr>
        <w:spacing w:line="360" w:lineRule="auto"/>
        <w:ind w:right="20" w:firstLine="1134"/>
        <w:jc w:val="both"/>
        <w:rPr>
          <w:sz w:val="20"/>
          <w:szCs w:val="20"/>
        </w:rPr>
      </w:pPr>
      <w:r w:rsidRPr="00771368">
        <w:rPr>
          <w:sz w:val="24"/>
          <w:szCs w:val="24"/>
        </w:rPr>
        <w:t>Negar o direito ao nome a alguém é ferir de morte preceitos fundamentais e constitucionais do Estado Democrático de Direito, visto que se denega o direito de realização como pessoa e como cidadão.</w:t>
      </w:r>
    </w:p>
    <w:p w:rsidR="00D24E61" w:rsidRPr="00771368" w:rsidRDefault="00D24E61">
      <w:pPr>
        <w:spacing w:line="360" w:lineRule="auto"/>
        <w:ind w:right="20" w:firstLine="1134"/>
        <w:jc w:val="both"/>
        <w:rPr>
          <w:sz w:val="20"/>
          <w:szCs w:val="20"/>
        </w:rPr>
      </w:pPr>
      <w:r w:rsidRPr="00771368">
        <w:rPr>
          <w:sz w:val="24"/>
          <w:szCs w:val="24"/>
        </w:rPr>
        <w:t>Neste sentido, Maria Berenice Dias (2006, p.119-120) aponta que o sistema jurídico nacional</w:t>
      </w:r>
    </w:p>
    <w:p w:rsidR="00D24E61" w:rsidRPr="00771368" w:rsidRDefault="00D24E61">
      <w:pPr>
        <w:spacing w:line="272" w:lineRule="auto"/>
        <w:ind w:left="2260"/>
        <w:rPr>
          <w:sz w:val="20"/>
          <w:szCs w:val="20"/>
        </w:rPr>
      </w:pPr>
      <w:r w:rsidRPr="00771368">
        <w:rPr>
          <w:sz w:val="24"/>
          <w:szCs w:val="24"/>
        </w:rPr>
        <w:t xml:space="preserve">cioso de seus mecanismos de controle, estabelece, desde logo, com o nascimento, uma identidade sexual, </w:t>
      </w:r>
      <w:r w:rsidRPr="00771368">
        <w:rPr>
          <w:i/>
          <w:iCs/>
          <w:sz w:val="24"/>
          <w:szCs w:val="24"/>
        </w:rPr>
        <w:t>teoricamente imutável e única</w:t>
      </w:r>
      <w:r w:rsidRPr="00771368">
        <w:rPr>
          <w:sz w:val="24"/>
          <w:szCs w:val="24"/>
        </w:rPr>
        <w:t>.</w:t>
      </w:r>
    </w:p>
    <w:p w:rsidR="00D24E61" w:rsidRPr="00771368" w:rsidRDefault="00D24E61">
      <w:pPr>
        <w:sectPr w:rsidR="00D24E61" w:rsidRPr="00771368">
          <w:pgSz w:w="11900" w:h="16840"/>
          <w:pgMar w:top="1400" w:right="1400" w:bottom="1440" w:left="1420" w:header="0" w:footer="0" w:gutter="0"/>
          <w:cols w:space="720" w:equalWidth="0">
            <w:col w:w="9080"/>
          </w:cols>
        </w:sectPr>
      </w:pPr>
    </w:p>
    <w:p w:rsidR="00D24E61" w:rsidRPr="00771368" w:rsidRDefault="00D24E61">
      <w:pPr>
        <w:ind w:left="2260"/>
        <w:jc w:val="both"/>
        <w:rPr>
          <w:sz w:val="20"/>
          <w:szCs w:val="20"/>
        </w:rPr>
      </w:pPr>
      <w:r w:rsidRPr="00771368">
        <w:rPr>
          <w:i/>
          <w:iCs/>
          <w:sz w:val="24"/>
          <w:szCs w:val="24"/>
        </w:rPr>
        <w:t>Contudo, a determinação do sexo não decorre exclusivamente de características físicas exteriores</w:t>
      </w:r>
      <w:r w:rsidRPr="00771368">
        <w:rPr>
          <w:sz w:val="24"/>
          <w:szCs w:val="24"/>
        </w:rPr>
        <w:t>. A problemática da identidade sexual</w:t>
      </w:r>
      <w:r w:rsidRPr="00771368">
        <w:rPr>
          <w:i/>
          <w:iCs/>
          <w:sz w:val="24"/>
          <w:szCs w:val="24"/>
        </w:rPr>
        <w:t xml:space="preserve"> </w:t>
      </w:r>
      <w:r w:rsidRPr="00771368">
        <w:rPr>
          <w:sz w:val="24"/>
          <w:szCs w:val="24"/>
        </w:rPr>
        <w:t>de alguém é muito mais ampla do que seu sexo morfológico. A aparência externa não é a única circunstância para a atribuição do gênero, pois com o lado externo concorre o elemento psicológico.</w:t>
      </w:r>
    </w:p>
    <w:p w:rsidR="00D24E61" w:rsidRPr="00771368" w:rsidRDefault="00D24E61">
      <w:pPr>
        <w:spacing w:line="4" w:lineRule="exact"/>
        <w:rPr>
          <w:sz w:val="20"/>
          <w:szCs w:val="20"/>
        </w:rPr>
      </w:pPr>
    </w:p>
    <w:p w:rsidR="00D24E61" w:rsidRPr="00771368" w:rsidRDefault="00D24E61">
      <w:pPr>
        <w:ind w:left="2260"/>
        <w:rPr>
          <w:sz w:val="20"/>
          <w:szCs w:val="20"/>
        </w:rPr>
      </w:pPr>
      <w:r w:rsidRPr="00771368">
        <w:rPr>
          <w:sz w:val="24"/>
          <w:szCs w:val="24"/>
        </w:rPr>
        <w:t>...</w:t>
      </w:r>
    </w:p>
    <w:p w:rsidR="00D24E61" w:rsidRPr="00771368" w:rsidRDefault="00D24E61">
      <w:pPr>
        <w:spacing w:line="272" w:lineRule="auto"/>
        <w:ind w:left="2260" w:right="20"/>
        <w:jc w:val="both"/>
        <w:rPr>
          <w:sz w:val="20"/>
          <w:szCs w:val="20"/>
        </w:rPr>
      </w:pPr>
      <w:r w:rsidRPr="00771368">
        <w:rPr>
          <w:sz w:val="24"/>
          <w:szCs w:val="24"/>
        </w:rPr>
        <w:t>O sexo civil ou jurídico deve espelhar e coincidir com o sexo vivido socialmente pela pessoa.</w:t>
      </w:r>
    </w:p>
    <w:p w:rsidR="00D24E61" w:rsidRPr="00771368" w:rsidRDefault="00D24E61">
      <w:pPr>
        <w:spacing w:line="46"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Assim sendo, o Estado como responsável pela regulação da vida em sociedade deve acolher as diversidades humanas tuteladas por ele e garantir meios para sua plena realização.</w:t>
      </w:r>
    </w:p>
    <w:p w:rsidR="00D24E61" w:rsidRPr="00771368" w:rsidRDefault="00D24E61">
      <w:pPr>
        <w:spacing w:line="177" w:lineRule="exact"/>
        <w:rPr>
          <w:sz w:val="20"/>
          <w:szCs w:val="20"/>
        </w:rPr>
      </w:pPr>
    </w:p>
    <w:p w:rsidR="00D24E61" w:rsidRPr="00771368" w:rsidRDefault="00D24E61">
      <w:pPr>
        <w:rPr>
          <w:sz w:val="20"/>
          <w:szCs w:val="20"/>
        </w:rPr>
      </w:pPr>
      <w:r w:rsidRPr="00771368">
        <w:rPr>
          <w:b/>
          <w:bCs/>
          <w:sz w:val="28"/>
          <w:szCs w:val="28"/>
        </w:rPr>
        <w:t>CONSIDERAÇÕES FINAIS</w:t>
      </w:r>
    </w:p>
    <w:p w:rsidR="00D24E61" w:rsidRPr="00771368" w:rsidRDefault="00D24E61">
      <w:pPr>
        <w:spacing w:line="200" w:lineRule="exact"/>
        <w:rPr>
          <w:sz w:val="20"/>
          <w:szCs w:val="20"/>
        </w:rPr>
      </w:pPr>
    </w:p>
    <w:p w:rsidR="00D24E61" w:rsidRPr="00771368" w:rsidRDefault="00D24E61">
      <w:pPr>
        <w:spacing w:line="210" w:lineRule="exact"/>
        <w:rPr>
          <w:sz w:val="20"/>
          <w:szCs w:val="20"/>
        </w:rPr>
      </w:pPr>
    </w:p>
    <w:p w:rsidR="00D24E61" w:rsidRPr="00771368" w:rsidRDefault="00D24E61">
      <w:pPr>
        <w:spacing w:line="370" w:lineRule="auto"/>
        <w:ind w:right="20" w:firstLine="1134"/>
        <w:jc w:val="both"/>
        <w:rPr>
          <w:sz w:val="20"/>
          <w:szCs w:val="20"/>
        </w:rPr>
      </w:pPr>
      <w:r w:rsidRPr="00771368">
        <w:rPr>
          <w:sz w:val="24"/>
          <w:szCs w:val="24"/>
        </w:rPr>
        <w:t>Este trabalho não intentou esgotar a discussão que abarca o direito dos transexuais a um nome condizente com sua identidade nem adentrar em discussões médicas ou jurídicas sobre o tema, mas sim apontar a necessidade do respeito ao princípio da dignidade humana ao tratar deste assunto.</w:t>
      </w:r>
    </w:p>
    <w:p w:rsidR="00D24E61" w:rsidRPr="00771368" w:rsidRDefault="00D24E61">
      <w:pPr>
        <w:spacing w:line="194" w:lineRule="exact"/>
        <w:rPr>
          <w:sz w:val="20"/>
          <w:szCs w:val="20"/>
        </w:rPr>
      </w:pPr>
    </w:p>
    <w:p w:rsidR="00D24E61" w:rsidRPr="00771368" w:rsidRDefault="00D24E61">
      <w:pPr>
        <w:spacing w:line="392" w:lineRule="auto"/>
        <w:ind w:firstLine="1134"/>
        <w:jc w:val="both"/>
        <w:rPr>
          <w:sz w:val="20"/>
          <w:szCs w:val="20"/>
        </w:rPr>
      </w:pPr>
      <w:r w:rsidRPr="00771368">
        <w:rPr>
          <w:sz w:val="24"/>
          <w:szCs w:val="24"/>
        </w:rPr>
        <w:t>Buscou-se em linhas gerais expor os fundamentos garantidores do direito de todo ser humano e, de maneira particular, dos transexuais.</w:t>
      </w:r>
    </w:p>
    <w:p w:rsidR="00D24E61" w:rsidRPr="00771368" w:rsidRDefault="00D24E61">
      <w:pPr>
        <w:spacing w:line="166"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Com base no princípio da dignidade humana e num de seus corolários, o direito ao nome e à personalidade, é possível concluir que cabe ao Estado Brasileiro garantir, seja legal ou judicialmente, o direito dos transexuais a adequar seu nome à sua expressão e identidade sexual e de gênero.</w:t>
      </w:r>
    </w:p>
    <w:p w:rsidR="00D24E61" w:rsidRPr="00771368" w:rsidRDefault="00D24E61">
      <w:pPr>
        <w:spacing w:line="194"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Qualquer discussão ou posicionamento contrário é uma afronta aos direitos humanos e à ordem constitucional, pois desrespeita a essência do ser humano em sua plenitude e lhe nega o direito de se identificar e se distinguir no meio social.</w:t>
      </w:r>
    </w:p>
    <w:p w:rsidR="00D24E61" w:rsidRPr="00771368" w:rsidRDefault="00D24E61">
      <w:pPr>
        <w:spacing w:line="185" w:lineRule="exact"/>
        <w:rPr>
          <w:sz w:val="20"/>
          <w:szCs w:val="20"/>
        </w:rPr>
      </w:pPr>
    </w:p>
    <w:p w:rsidR="00D24E61" w:rsidRPr="00771368" w:rsidRDefault="00D24E61">
      <w:pPr>
        <w:spacing w:line="376" w:lineRule="auto"/>
        <w:ind w:right="20" w:firstLine="1134"/>
        <w:jc w:val="both"/>
        <w:rPr>
          <w:sz w:val="20"/>
          <w:szCs w:val="20"/>
        </w:rPr>
      </w:pPr>
      <w:r w:rsidRPr="00771368">
        <w:rPr>
          <w:sz w:val="24"/>
          <w:szCs w:val="24"/>
        </w:rPr>
        <w:t>Negar o direito a um nome condizente com a identidade de uma pessoa transexual seria impingir-lhe a vulnerabilidade de sofrer discriminações, passar por situações vexatórias e amargar graves e profundos aflições e violências psicológicas, mentais e existenciais.</w:t>
      </w:r>
    </w:p>
    <w:p w:rsidR="00D24E61" w:rsidRPr="00771368" w:rsidRDefault="00D24E61">
      <w:pPr>
        <w:spacing w:line="185" w:lineRule="exact"/>
        <w:rPr>
          <w:sz w:val="20"/>
          <w:szCs w:val="20"/>
        </w:rPr>
      </w:pPr>
    </w:p>
    <w:p w:rsidR="00D24E61" w:rsidRPr="00771368" w:rsidRDefault="00D24E61">
      <w:pPr>
        <w:spacing w:line="392" w:lineRule="auto"/>
        <w:ind w:firstLine="1134"/>
        <w:jc w:val="both"/>
        <w:rPr>
          <w:sz w:val="20"/>
          <w:szCs w:val="20"/>
        </w:rPr>
      </w:pPr>
      <w:r w:rsidRPr="00771368">
        <w:rPr>
          <w:sz w:val="24"/>
          <w:szCs w:val="24"/>
        </w:rPr>
        <w:t>É medida de justiça tratar a questão da transexualidade como assunto que deve ser discutido, divulgado e resolvido sem as amarras do preconceito.</w:t>
      </w:r>
    </w:p>
    <w:p w:rsidR="00D24E61" w:rsidRPr="00771368" w:rsidRDefault="00D24E61">
      <w:pPr>
        <w:sectPr w:rsidR="00D24E61" w:rsidRPr="00771368">
          <w:pgSz w:w="11900" w:h="16840"/>
          <w:pgMar w:top="1396" w:right="1400" w:bottom="1440" w:left="1420" w:header="0" w:footer="0" w:gutter="0"/>
          <w:cols w:space="720" w:equalWidth="0">
            <w:col w:w="9080"/>
          </w:cols>
        </w:sectPr>
      </w:pPr>
    </w:p>
    <w:p w:rsidR="00D24E61" w:rsidRPr="00771368" w:rsidRDefault="00D24E61">
      <w:pPr>
        <w:spacing w:line="370" w:lineRule="auto"/>
        <w:ind w:right="20" w:firstLine="1134"/>
        <w:jc w:val="both"/>
        <w:rPr>
          <w:sz w:val="20"/>
          <w:szCs w:val="20"/>
        </w:rPr>
      </w:pPr>
      <w:r w:rsidRPr="00771368">
        <w:rPr>
          <w:sz w:val="24"/>
          <w:szCs w:val="24"/>
        </w:rPr>
        <w:t>Assim como toda pessoa, a transexual é uma cidadã com direito e deveres que objetiva viver normalmente em sociedade. Ela é digna dos direitos fundamentais de toda pessoa humana assim como sua vida, sua liberdade, sua privacidade, sua identidade, sua personalidade, sua honra entre tantos outros direitos que devem ser respeitados.</w:t>
      </w:r>
    </w:p>
    <w:p w:rsidR="00D24E61" w:rsidRPr="00771368" w:rsidRDefault="00D24E61">
      <w:pPr>
        <w:spacing w:line="194"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E para que estas máximas realmente se concretizem face às pessoas transexuais, tenham elas sido submetidas à transgenitalização ou não, é necessário que o Estado se movimente e instaure mecanismos que não permita formas de discriminação, de humilhação e de vexame.</w:t>
      </w:r>
    </w:p>
    <w:p w:rsidR="00D24E61" w:rsidRPr="00771368" w:rsidRDefault="00D24E61">
      <w:pPr>
        <w:spacing w:line="194" w:lineRule="exact"/>
        <w:rPr>
          <w:sz w:val="20"/>
          <w:szCs w:val="20"/>
        </w:rPr>
      </w:pPr>
    </w:p>
    <w:p w:rsidR="00D24E61" w:rsidRPr="00771368" w:rsidRDefault="00D24E61">
      <w:pPr>
        <w:spacing w:line="365" w:lineRule="auto"/>
        <w:ind w:firstLine="1134"/>
        <w:jc w:val="both"/>
        <w:rPr>
          <w:sz w:val="20"/>
          <w:szCs w:val="20"/>
        </w:rPr>
      </w:pPr>
      <w:r w:rsidRPr="00771368">
        <w:rPr>
          <w:sz w:val="24"/>
          <w:szCs w:val="24"/>
        </w:rPr>
        <w:t>Dentre umas das medidas essenciais para que este mínimo seja garantido haja vista a grandiosidade das relações humanas, figura o reconhecimento do nome e do sexo do transexual como expressão de seu ser, permitindo que o nome e o sexo inicial de registro civil sejam adequados à identidade sexual e de gênero da pessoa. Por meio desta permissão, a dignidade da pessoa transexual se completa, pois ela passa a se distinguir e ser individualizada na sociedade e na família conforme a complexidade de uma única existência, não mais sob a dicotomia do que se é e do que se foi.</w:t>
      </w:r>
    </w:p>
    <w:p w:rsidR="00D24E61" w:rsidRPr="00771368" w:rsidRDefault="00D24E61">
      <w:pPr>
        <w:spacing w:line="200" w:lineRule="exact"/>
        <w:rPr>
          <w:sz w:val="20"/>
          <w:szCs w:val="20"/>
        </w:rPr>
      </w:pPr>
    </w:p>
    <w:p w:rsidR="00D24E61" w:rsidRPr="00771368" w:rsidRDefault="00D24E61">
      <w:pPr>
        <w:spacing w:line="370" w:lineRule="auto"/>
        <w:ind w:firstLine="1134"/>
        <w:jc w:val="both"/>
        <w:rPr>
          <w:sz w:val="20"/>
          <w:szCs w:val="20"/>
        </w:rPr>
      </w:pPr>
      <w:r w:rsidRPr="00771368">
        <w:rPr>
          <w:sz w:val="24"/>
          <w:szCs w:val="24"/>
        </w:rPr>
        <w:t>Portanto, com o reconhecimento do nome e do sexo do transexual, cumpre-se o papel do Estado em afirmar a dignidade humana como manifestação da verdadeira identidade de cada ser, o que não exclui o acolhimento da real identidade sexual e de gênero, revelando, assim, o irrestrito respeito à pessoa humana.</w:t>
      </w:r>
    </w:p>
    <w:p w:rsidR="00D24E61" w:rsidRPr="00771368" w:rsidRDefault="00D24E61">
      <w:pPr>
        <w:spacing w:line="187" w:lineRule="exact"/>
        <w:rPr>
          <w:sz w:val="20"/>
          <w:szCs w:val="20"/>
        </w:rPr>
      </w:pPr>
    </w:p>
    <w:p w:rsidR="00D24E61" w:rsidRPr="00771368" w:rsidRDefault="00D24E61">
      <w:pPr>
        <w:rPr>
          <w:sz w:val="20"/>
          <w:szCs w:val="20"/>
        </w:rPr>
      </w:pPr>
      <w:r w:rsidRPr="00771368">
        <w:rPr>
          <w:b/>
          <w:bCs/>
          <w:sz w:val="28"/>
          <w:szCs w:val="28"/>
        </w:rPr>
        <w:t>REFERÊNCIAS BIBLIOGRÁFICAS</w:t>
      </w:r>
    </w:p>
    <w:p w:rsidR="00D24E61" w:rsidRPr="00771368" w:rsidRDefault="00D24E61">
      <w:pPr>
        <w:spacing w:line="200" w:lineRule="exact"/>
        <w:rPr>
          <w:sz w:val="20"/>
          <w:szCs w:val="20"/>
        </w:rPr>
      </w:pPr>
    </w:p>
    <w:p w:rsidR="00D24E61" w:rsidRPr="00771368" w:rsidRDefault="00D24E61">
      <w:pPr>
        <w:spacing w:line="206" w:lineRule="exact"/>
        <w:rPr>
          <w:sz w:val="20"/>
          <w:szCs w:val="20"/>
        </w:rPr>
      </w:pPr>
    </w:p>
    <w:p w:rsidR="00D24E61" w:rsidRPr="00771368" w:rsidRDefault="00D24E61">
      <w:pPr>
        <w:spacing w:line="241" w:lineRule="auto"/>
        <w:ind w:right="20"/>
        <w:jc w:val="both"/>
        <w:rPr>
          <w:sz w:val="20"/>
          <w:szCs w:val="20"/>
        </w:rPr>
      </w:pPr>
      <w:r w:rsidRPr="00771368">
        <w:rPr>
          <w:sz w:val="24"/>
          <w:szCs w:val="24"/>
        </w:rPr>
        <w:t xml:space="preserve">MELLO NETO, José Baptista de Mello Neto; AGNOLETI, Michelle Barbosa. </w:t>
      </w:r>
      <w:r w:rsidRPr="00771368">
        <w:rPr>
          <w:i/>
          <w:iCs/>
          <w:sz w:val="24"/>
          <w:szCs w:val="24"/>
        </w:rPr>
        <w:t>DIGNIDADE</w:t>
      </w:r>
      <w:r w:rsidRPr="00771368">
        <w:rPr>
          <w:sz w:val="24"/>
          <w:szCs w:val="24"/>
        </w:rPr>
        <w:t xml:space="preserve"> </w:t>
      </w:r>
      <w:r w:rsidRPr="00771368">
        <w:rPr>
          <w:i/>
          <w:iCs/>
          <w:sz w:val="24"/>
          <w:szCs w:val="24"/>
        </w:rPr>
        <w:t xml:space="preserve">SEXUAL E DIVERSIDADE HUMANA: cidadania e respeito para lésbicas, gays, bissexuais, travestis e transexuais </w:t>
      </w:r>
      <w:r w:rsidRPr="00771368">
        <w:rPr>
          <w:sz w:val="24"/>
          <w:szCs w:val="24"/>
        </w:rPr>
        <w:t>(LGBTT). Disponível em:</w:t>
      </w:r>
    </w:p>
    <w:p w:rsidR="00D24E61" w:rsidRPr="00771368" w:rsidRDefault="00D24E61">
      <w:pPr>
        <w:spacing w:line="1" w:lineRule="exact"/>
        <w:rPr>
          <w:sz w:val="20"/>
          <w:szCs w:val="20"/>
        </w:rPr>
      </w:pPr>
    </w:p>
    <w:p w:rsidR="00D24E61" w:rsidRPr="00771368" w:rsidRDefault="00295FC8">
      <w:pPr>
        <w:spacing w:line="247" w:lineRule="auto"/>
        <w:ind w:right="20"/>
        <w:jc w:val="both"/>
        <w:rPr>
          <w:rFonts w:eastAsia="Calibri"/>
        </w:rPr>
      </w:pPr>
      <w:hyperlink r:id="rId466">
        <w:r w:rsidR="00D24E61" w:rsidRPr="00771368">
          <w:rPr>
            <w:rFonts w:eastAsia="Calibri"/>
          </w:rPr>
          <w:t xml:space="preserve">http://www.dhnet.org.br/dados/cursos/edh/redh/03/03_neto_lgbtt.pdf. </w:t>
        </w:r>
      </w:hyperlink>
      <w:r w:rsidR="00D24E61" w:rsidRPr="00771368">
        <w:rPr>
          <w:sz w:val="24"/>
          <w:szCs w:val="24"/>
        </w:rPr>
        <w:t>Acessado</w:t>
      </w:r>
      <w:r w:rsidR="00D24E61" w:rsidRPr="00771368">
        <w:rPr>
          <w:rFonts w:eastAsia="Calibri"/>
        </w:rPr>
        <w:t xml:space="preserve"> </w:t>
      </w:r>
      <w:r w:rsidR="00D24E61" w:rsidRPr="00771368">
        <w:rPr>
          <w:sz w:val="24"/>
          <w:szCs w:val="24"/>
        </w:rPr>
        <w:t>em:</w:t>
      </w:r>
      <w:r w:rsidR="00D24E61" w:rsidRPr="00771368">
        <w:rPr>
          <w:rFonts w:eastAsia="Calibri"/>
        </w:rPr>
        <w:t xml:space="preserve"> </w:t>
      </w:r>
      <w:r w:rsidR="00D24E61" w:rsidRPr="00771368">
        <w:rPr>
          <w:sz w:val="24"/>
          <w:szCs w:val="24"/>
        </w:rPr>
        <w:t>27/09/2013.</w:t>
      </w:r>
    </w:p>
    <w:p w:rsidR="00D24E61" w:rsidRPr="00771368" w:rsidRDefault="00D24E61">
      <w:pPr>
        <w:spacing w:line="191" w:lineRule="exact"/>
        <w:rPr>
          <w:sz w:val="20"/>
          <w:szCs w:val="20"/>
        </w:rPr>
      </w:pPr>
    </w:p>
    <w:p w:rsidR="00D24E61" w:rsidRPr="00771368" w:rsidRDefault="00D24E61">
      <w:pPr>
        <w:spacing w:line="276" w:lineRule="auto"/>
        <w:ind w:right="40"/>
        <w:rPr>
          <w:sz w:val="20"/>
          <w:szCs w:val="20"/>
        </w:rPr>
      </w:pPr>
      <w:r w:rsidRPr="00771368">
        <w:rPr>
          <w:sz w:val="24"/>
          <w:szCs w:val="24"/>
        </w:rPr>
        <w:t>AMORIM, José Roberto Neves; AMORIM, Vanda Lúcia Cintra</w:t>
      </w:r>
      <w:r w:rsidRPr="00771368">
        <w:rPr>
          <w:i/>
          <w:iCs/>
          <w:sz w:val="24"/>
          <w:szCs w:val="24"/>
        </w:rPr>
        <w:t>. Direito ao nome da pessoa</w:t>
      </w:r>
      <w:r w:rsidRPr="00771368">
        <w:rPr>
          <w:sz w:val="24"/>
          <w:szCs w:val="24"/>
        </w:rPr>
        <w:t xml:space="preserve"> </w:t>
      </w:r>
      <w:r w:rsidRPr="00771368">
        <w:rPr>
          <w:i/>
          <w:iCs/>
          <w:sz w:val="24"/>
          <w:szCs w:val="24"/>
        </w:rPr>
        <w:t>física</w:t>
      </w:r>
      <w:r w:rsidRPr="00771368">
        <w:rPr>
          <w:sz w:val="24"/>
          <w:szCs w:val="24"/>
        </w:rPr>
        <w:t>. 2. ed. Rio de Janeiro: Elsevier, 2010.</w:t>
      </w:r>
    </w:p>
    <w:p w:rsidR="00D24E61" w:rsidRPr="00771368" w:rsidRDefault="00D24E61">
      <w:pPr>
        <w:spacing w:line="157" w:lineRule="exact"/>
        <w:rPr>
          <w:sz w:val="20"/>
          <w:szCs w:val="20"/>
        </w:rPr>
      </w:pPr>
    </w:p>
    <w:p w:rsidR="00D24E61" w:rsidRPr="00771368" w:rsidRDefault="00D24E61">
      <w:pPr>
        <w:spacing w:line="276" w:lineRule="auto"/>
        <w:ind w:right="40"/>
        <w:rPr>
          <w:sz w:val="20"/>
          <w:szCs w:val="20"/>
        </w:rPr>
      </w:pPr>
      <w:r w:rsidRPr="00771368">
        <w:rPr>
          <w:sz w:val="24"/>
          <w:szCs w:val="24"/>
        </w:rPr>
        <w:t>ARANHA, Maria Lúcia de Arruda; MARTINS, Maria Helena Pires</w:t>
      </w:r>
      <w:r w:rsidRPr="00771368">
        <w:rPr>
          <w:i/>
          <w:iCs/>
          <w:sz w:val="24"/>
          <w:szCs w:val="24"/>
        </w:rPr>
        <w:t>. Filosofando: introdução</w:t>
      </w:r>
      <w:r w:rsidRPr="00771368">
        <w:rPr>
          <w:sz w:val="24"/>
          <w:szCs w:val="24"/>
        </w:rPr>
        <w:t xml:space="preserve"> </w:t>
      </w:r>
      <w:r w:rsidRPr="00771368">
        <w:rPr>
          <w:i/>
          <w:iCs/>
          <w:sz w:val="24"/>
          <w:szCs w:val="24"/>
        </w:rPr>
        <w:t>à filosofia</w:t>
      </w:r>
      <w:r w:rsidRPr="00771368">
        <w:rPr>
          <w:sz w:val="24"/>
          <w:szCs w:val="24"/>
        </w:rPr>
        <w:t>. 2. ed. rev. e atual. São Paulo: Moderna, 2002.</w:t>
      </w:r>
    </w:p>
    <w:p w:rsidR="00D24E61" w:rsidRPr="00771368" w:rsidRDefault="00D24E61">
      <w:pPr>
        <w:spacing w:line="157" w:lineRule="exact"/>
        <w:rPr>
          <w:sz w:val="20"/>
          <w:szCs w:val="20"/>
        </w:rPr>
      </w:pPr>
    </w:p>
    <w:p w:rsidR="00D24E61" w:rsidRPr="00771368" w:rsidRDefault="00D24E61">
      <w:pPr>
        <w:spacing w:line="276" w:lineRule="auto"/>
        <w:rPr>
          <w:sz w:val="20"/>
          <w:szCs w:val="20"/>
        </w:rPr>
      </w:pPr>
      <w:r w:rsidRPr="00771368">
        <w:rPr>
          <w:sz w:val="24"/>
          <w:szCs w:val="24"/>
        </w:rPr>
        <w:t xml:space="preserve">ATHAYDE, Amanda V. Luna de. </w:t>
      </w:r>
      <w:r w:rsidRPr="00771368">
        <w:rPr>
          <w:i/>
          <w:iCs/>
          <w:sz w:val="24"/>
          <w:szCs w:val="24"/>
        </w:rPr>
        <w:t>Transexualismo masculino</w:t>
      </w:r>
      <w:r w:rsidRPr="00771368">
        <w:rPr>
          <w:sz w:val="24"/>
          <w:szCs w:val="24"/>
        </w:rPr>
        <w:t>. Arq. Bras. Endocrinol. Metab. v. 45, n. 4, p. 407-414. Ago. 2001.</w:t>
      </w:r>
    </w:p>
    <w:p w:rsidR="00D24E61" w:rsidRPr="00771368" w:rsidRDefault="00D24E61">
      <w:pPr>
        <w:sectPr w:rsidR="00D24E61" w:rsidRPr="00771368">
          <w:pgSz w:w="11900" w:h="16840"/>
          <w:pgMar w:top="1400" w:right="1400" w:bottom="1440" w:left="1420" w:header="0" w:footer="0" w:gutter="0"/>
          <w:cols w:space="720" w:equalWidth="0">
            <w:col w:w="9080"/>
          </w:cols>
        </w:sectPr>
      </w:pPr>
    </w:p>
    <w:p w:rsidR="00D24E61" w:rsidRPr="00771368" w:rsidRDefault="00D24E61">
      <w:pPr>
        <w:spacing w:line="276" w:lineRule="auto"/>
        <w:ind w:right="40"/>
        <w:rPr>
          <w:sz w:val="20"/>
          <w:szCs w:val="20"/>
        </w:rPr>
      </w:pPr>
      <w:r w:rsidRPr="00771368">
        <w:rPr>
          <w:sz w:val="24"/>
          <w:szCs w:val="24"/>
        </w:rPr>
        <w:t xml:space="preserve">AZEVEDO, Antônio Junqueira de. </w:t>
      </w:r>
      <w:r w:rsidRPr="00771368">
        <w:rPr>
          <w:i/>
          <w:iCs/>
          <w:sz w:val="24"/>
          <w:szCs w:val="24"/>
        </w:rPr>
        <w:t>Caracterização Jurídica da Dignidade da Pessoa</w:t>
      </w:r>
      <w:r w:rsidRPr="00771368">
        <w:rPr>
          <w:sz w:val="24"/>
          <w:szCs w:val="24"/>
        </w:rPr>
        <w:t xml:space="preserve"> </w:t>
      </w:r>
      <w:r w:rsidRPr="00771368">
        <w:rPr>
          <w:i/>
          <w:iCs/>
          <w:sz w:val="24"/>
          <w:szCs w:val="24"/>
        </w:rPr>
        <w:t>Humana</w:t>
      </w:r>
      <w:r w:rsidRPr="00771368">
        <w:rPr>
          <w:sz w:val="24"/>
          <w:szCs w:val="24"/>
        </w:rPr>
        <w:t>. Revista USP, São Paulo, n. 53, mar.-mai. 2002.</w:t>
      </w:r>
    </w:p>
    <w:p w:rsidR="00D24E61" w:rsidRPr="00771368" w:rsidRDefault="00D24E61">
      <w:pPr>
        <w:spacing w:line="157" w:lineRule="exact"/>
        <w:rPr>
          <w:sz w:val="20"/>
          <w:szCs w:val="20"/>
        </w:rPr>
      </w:pPr>
    </w:p>
    <w:p w:rsidR="00D24E61" w:rsidRPr="00771368" w:rsidRDefault="00D24E61">
      <w:pPr>
        <w:spacing w:line="276" w:lineRule="auto"/>
        <w:ind w:right="40"/>
        <w:rPr>
          <w:sz w:val="20"/>
          <w:szCs w:val="20"/>
        </w:rPr>
      </w:pPr>
      <w:r w:rsidRPr="00771368">
        <w:rPr>
          <w:sz w:val="24"/>
          <w:szCs w:val="24"/>
        </w:rPr>
        <w:t xml:space="preserve">BENTO, Berenice. </w:t>
      </w:r>
      <w:r w:rsidRPr="00771368">
        <w:rPr>
          <w:i/>
          <w:iCs/>
          <w:sz w:val="24"/>
          <w:szCs w:val="24"/>
        </w:rPr>
        <w:t>A Reinvenção do Corpo: Sexualidade e Gênero na Experiência</w:t>
      </w:r>
      <w:r w:rsidRPr="00771368">
        <w:rPr>
          <w:sz w:val="24"/>
          <w:szCs w:val="24"/>
        </w:rPr>
        <w:t xml:space="preserve"> </w:t>
      </w:r>
      <w:r w:rsidRPr="00771368">
        <w:rPr>
          <w:i/>
          <w:iCs/>
          <w:sz w:val="24"/>
          <w:szCs w:val="24"/>
        </w:rPr>
        <w:t>Transexual</w:t>
      </w:r>
      <w:r w:rsidRPr="00771368">
        <w:rPr>
          <w:sz w:val="24"/>
          <w:szCs w:val="24"/>
        </w:rPr>
        <w:t>. Rio de Janeiro: Gramound Universitária, 2006.</w:t>
      </w:r>
    </w:p>
    <w:p w:rsidR="00D24E61" w:rsidRPr="00771368" w:rsidRDefault="00D24E61">
      <w:pPr>
        <w:spacing w:line="157" w:lineRule="exact"/>
        <w:rPr>
          <w:sz w:val="20"/>
          <w:szCs w:val="20"/>
        </w:rPr>
      </w:pPr>
    </w:p>
    <w:p w:rsidR="00D24E61" w:rsidRPr="00771368" w:rsidRDefault="00D24E61">
      <w:pPr>
        <w:spacing w:line="276" w:lineRule="auto"/>
        <w:jc w:val="both"/>
        <w:rPr>
          <w:sz w:val="20"/>
          <w:szCs w:val="20"/>
        </w:rPr>
      </w:pPr>
      <w:r w:rsidRPr="00771368">
        <w:rPr>
          <w:sz w:val="24"/>
          <w:szCs w:val="24"/>
        </w:rPr>
        <w:t xml:space="preserve">BORGES, Roxana Cardoso Brasileiro. </w:t>
      </w:r>
      <w:r w:rsidRPr="00771368">
        <w:rPr>
          <w:i/>
          <w:iCs/>
          <w:sz w:val="24"/>
          <w:szCs w:val="24"/>
        </w:rPr>
        <w:t>Direitos de Personalidade e Autonomia Privada</w:t>
      </w:r>
      <w:r w:rsidRPr="00771368">
        <w:rPr>
          <w:sz w:val="24"/>
          <w:szCs w:val="24"/>
        </w:rPr>
        <w:t>. 2. ed. São Paulo: Saraiva, 2007.</w:t>
      </w:r>
    </w:p>
    <w:p w:rsidR="00D24E61" w:rsidRPr="00771368" w:rsidRDefault="00D24E61">
      <w:pPr>
        <w:spacing w:line="193" w:lineRule="exact"/>
        <w:rPr>
          <w:sz w:val="20"/>
          <w:szCs w:val="20"/>
        </w:rPr>
      </w:pPr>
    </w:p>
    <w:p w:rsidR="00D24E61" w:rsidRPr="00771368" w:rsidRDefault="00D24E61">
      <w:pPr>
        <w:spacing w:line="312" w:lineRule="auto"/>
        <w:ind w:right="540"/>
        <w:rPr>
          <w:sz w:val="20"/>
          <w:szCs w:val="20"/>
        </w:rPr>
      </w:pPr>
      <w:r w:rsidRPr="00771368">
        <w:rPr>
          <w:sz w:val="24"/>
          <w:szCs w:val="24"/>
        </w:rPr>
        <w:t xml:space="preserve">BRASIL. Constituição da República Federativa do Brasil, 05 out. 1988. </w:t>
      </w:r>
      <w:r w:rsidRPr="00771368">
        <w:rPr>
          <w:i/>
          <w:iCs/>
          <w:sz w:val="24"/>
          <w:szCs w:val="24"/>
        </w:rPr>
        <w:t>Lex</w:t>
      </w:r>
      <w:r w:rsidRPr="00771368">
        <w:rPr>
          <w:sz w:val="24"/>
          <w:szCs w:val="24"/>
        </w:rPr>
        <w:t xml:space="preserve">: Lei Federal Constitucional. </w:t>
      </w:r>
      <w:r w:rsidRPr="00771368">
        <w:rPr>
          <w:i/>
          <w:iCs/>
          <w:sz w:val="24"/>
          <w:szCs w:val="24"/>
        </w:rPr>
        <w:t>Constituição 1988</w:t>
      </w:r>
      <w:r w:rsidRPr="00771368">
        <w:rPr>
          <w:sz w:val="24"/>
          <w:szCs w:val="24"/>
        </w:rPr>
        <w:t>, Brasília: Câmara dos Deputados. 17. ed. 2001.</w:t>
      </w:r>
    </w:p>
    <w:p w:rsidR="00D24E61" w:rsidRPr="00771368" w:rsidRDefault="00D24E61">
      <w:pPr>
        <w:spacing w:line="116" w:lineRule="exact"/>
        <w:rPr>
          <w:sz w:val="20"/>
          <w:szCs w:val="20"/>
        </w:rPr>
      </w:pPr>
    </w:p>
    <w:p w:rsidR="00D24E61" w:rsidRPr="00771368" w:rsidRDefault="00D24E61">
      <w:pPr>
        <w:spacing w:line="258" w:lineRule="auto"/>
        <w:ind w:right="20"/>
        <w:jc w:val="both"/>
        <w:rPr>
          <w:sz w:val="20"/>
          <w:szCs w:val="20"/>
        </w:rPr>
      </w:pPr>
      <w:r w:rsidRPr="00771368">
        <w:rPr>
          <w:sz w:val="24"/>
          <w:szCs w:val="24"/>
        </w:rPr>
        <w:t xml:space="preserve">CARVALHO, Koichi Kameda de Figueiredo. </w:t>
      </w:r>
      <w:r w:rsidRPr="00771368">
        <w:rPr>
          <w:i/>
          <w:iCs/>
          <w:sz w:val="24"/>
          <w:szCs w:val="24"/>
        </w:rPr>
        <w:t>Transexualidade e cidadania: a alteração do</w:t>
      </w:r>
      <w:r w:rsidRPr="00771368">
        <w:rPr>
          <w:sz w:val="24"/>
          <w:szCs w:val="24"/>
        </w:rPr>
        <w:t xml:space="preserve"> </w:t>
      </w:r>
      <w:r w:rsidRPr="00771368">
        <w:rPr>
          <w:i/>
          <w:iCs/>
          <w:sz w:val="24"/>
          <w:szCs w:val="24"/>
        </w:rPr>
        <w:t>registro civil como fator de inclusão social</w:t>
      </w:r>
      <w:r w:rsidRPr="00771368">
        <w:rPr>
          <w:sz w:val="24"/>
          <w:szCs w:val="24"/>
        </w:rPr>
        <w:t>. p. 463-471. Revista Bioética. Conselho Federal</w:t>
      </w:r>
      <w:r w:rsidRPr="00771368">
        <w:rPr>
          <w:i/>
          <w:iCs/>
          <w:sz w:val="24"/>
          <w:szCs w:val="24"/>
        </w:rPr>
        <w:t xml:space="preserve"> </w:t>
      </w:r>
      <w:r w:rsidRPr="00771368">
        <w:rPr>
          <w:sz w:val="24"/>
          <w:szCs w:val="24"/>
        </w:rPr>
        <w:t>de Medicina, 2009.</w:t>
      </w:r>
    </w:p>
    <w:p w:rsidR="00D24E61" w:rsidRPr="00771368" w:rsidRDefault="00D24E61">
      <w:pPr>
        <w:spacing w:line="178"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CHOERI, Raul Cleber da Silva. </w:t>
      </w:r>
      <w:r w:rsidRPr="00771368">
        <w:rPr>
          <w:i/>
          <w:iCs/>
          <w:sz w:val="24"/>
          <w:szCs w:val="24"/>
        </w:rPr>
        <w:t>O conceito de identidade e redesignação sexual</w:t>
      </w:r>
      <w:r w:rsidRPr="00771368">
        <w:rPr>
          <w:sz w:val="24"/>
          <w:szCs w:val="24"/>
        </w:rPr>
        <w:t>. Rio de Janeiro: Renovar, 2004.</w:t>
      </w:r>
    </w:p>
    <w:p w:rsidR="00D24E61" w:rsidRPr="00771368" w:rsidRDefault="00D24E61">
      <w:pPr>
        <w:spacing w:line="161" w:lineRule="exact"/>
        <w:rPr>
          <w:sz w:val="20"/>
          <w:szCs w:val="20"/>
        </w:rPr>
      </w:pPr>
    </w:p>
    <w:p w:rsidR="00D24E61" w:rsidRPr="00771368" w:rsidRDefault="00D24E61">
      <w:pPr>
        <w:spacing w:line="272" w:lineRule="auto"/>
        <w:ind w:right="20"/>
        <w:jc w:val="both"/>
        <w:rPr>
          <w:sz w:val="20"/>
          <w:szCs w:val="20"/>
        </w:rPr>
      </w:pPr>
      <w:r w:rsidRPr="00771368">
        <w:rPr>
          <w:sz w:val="24"/>
          <w:szCs w:val="24"/>
        </w:rPr>
        <w:t>COSTA, Ronaldo Pamplona da. Os 11 Sexos: as múltiplas faces da sexualidade humana. São Paulo: Gente, 1994.</w:t>
      </w:r>
    </w:p>
    <w:p w:rsidR="00D24E61" w:rsidRPr="00771368" w:rsidRDefault="00D24E61">
      <w:pPr>
        <w:spacing w:line="162"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DIAS, Maria Berenice. </w:t>
      </w:r>
      <w:r w:rsidRPr="00771368">
        <w:rPr>
          <w:i/>
          <w:iCs/>
          <w:sz w:val="24"/>
          <w:szCs w:val="24"/>
        </w:rPr>
        <w:t>União Homossexual: O Preconceito &amp; A Justiça</w:t>
      </w:r>
      <w:r w:rsidRPr="00771368">
        <w:rPr>
          <w:sz w:val="24"/>
          <w:szCs w:val="24"/>
        </w:rPr>
        <w:t>. 3. ed. Porto Alegre: Livraria do Advogado, 2006.</w:t>
      </w:r>
    </w:p>
    <w:p w:rsidR="00D24E61" w:rsidRPr="00771368" w:rsidRDefault="00D24E61">
      <w:pPr>
        <w:spacing w:line="157"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DINIZ, Maria Helena. </w:t>
      </w:r>
      <w:r w:rsidRPr="00771368">
        <w:rPr>
          <w:i/>
          <w:iCs/>
          <w:sz w:val="24"/>
          <w:szCs w:val="24"/>
        </w:rPr>
        <w:t>Curso de Direito Civil Brasileiro. Teoria Geral do Direito Civil</w:t>
      </w:r>
      <w:r w:rsidRPr="00771368">
        <w:rPr>
          <w:sz w:val="24"/>
          <w:szCs w:val="24"/>
        </w:rPr>
        <w:t>. v. 1, 25. ed. rev. e atual. São Paulo: Saraiva, 2008.</w:t>
      </w:r>
    </w:p>
    <w:p w:rsidR="00D24E61" w:rsidRPr="00771368" w:rsidRDefault="00D24E61">
      <w:pPr>
        <w:spacing w:line="157" w:lineRule="exact"/>
        <w:rPr>
          <w:sz w:val="20"/>
          <w:szCs w:val="20"/>
        </w:rPr>
      </w:pPr>
    </w:p>
    <w:p w:rsidR="00D24E61" w:rsidRPr="00771368" w:rsidRDefault="00D24E61">
      <w:pPr>
        <w:rPr>
          <w:sz w:val="20"/>
          <w:szCs w:val="20"/>
        </w:rPr>
      </w:pPr>
      <w:r w:rsidRPr="00771368">
        <w:rPr>
          <w:sz w:val="24"/>
          <w:szCs w:val="24"/>
        </w:rPr>
        <w:t xml:space="preserve">__________________. </w:t>
      </w:r>
      <w:r w:rsidRPr="00771368">
        <w:rPr>
          <w:i/>
          <w:iCs/>
          <w:sz w:val="24"/>
          <w:szCs w:val="24"/>
        </w:rPr>
        <w:t>O Estado atual do Biodireito.</w:t>
      </w:r>
      <w:r w:rsidRPr="00771368">
        <w:rPr>
          <w:sz w:val="24"/>
          <w:szCs w:val="24"/>
        </w:rPr>
        <w:t xml:space="preserve"> São Paulo: Saraiva, 2006.</w:t>
      </w:r>
    </w:p>
    <w:p w:rsidR="00D24E61" w:rsidRPr="00771368" w:rsidRDefault="00D24E61">
      <w:pPr>
        <w:spacing w:line="240"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FRANÇA, Rubens Limongi. </w:t>
      </w:r>
      <w:r w:rsidRPr="00771368">
        <w:rPr>
          <w:i/>
          <w:iCs/>
          <w:sz w:val="24"/>
          <w:szCs w:val="24"/>
        </w:rPr>
        <w:t>Do nome das pessoas naturais</w:t>
      </w:r>
      <w:r w:rsidRPr="00771368">
        <w:rPr>
          <w:sz w:val="24"/>
          <w:szCs w:val="24"/>
        </w:rPr>
        <w:t>. 2. ed. São Paulo: Editora Revista dos Tribunais,1964.</w:t>
      </w:r>
    </w:p>
    <w:p w:rsidR="00D24E61" w:rsidRPr="00771368" w:rsidRDefault="00D24E61">
      <w:pPr>
        <w:spacing w:line="157"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GONÇALVES, Carlos Roberto. </w:t>
      </w:r>
      <w:r w:rsidRPr="00771368">
        <w:rPr>
          <w:i/>
          <w:iCs/>
          <w:sz w:val="24"/>
          <w:szCs w:val="24"/>
        </w:rPr>
        <w:t>Direito Civil Brasileiro – Parte Geral</w:t>
      </w:r>
      <w:r w:rsidRPr="00771368">
        <w:rPr>
          <w:sz w:val="24"/>
          <w:szCs w:val="24"/>
        </w:rPr>
        <w:t>. v. I. 3.ed. São Paulo: Saraiva, 2006.</w:t>
      </w:r>
    </w:p>
    <w:p w:rsidR="00D24E61" w:rsidRPr="00771368" w:rsidRDefault="00D24E61">
      <w:pPr>
        <w:spacing w:line="157" w:lineRule="exact"/>
        <w:rPr>
          <w:sz w:val="20"/>
          <w:szCs w:val="20"/>
        </w:rPr>
      </w:pPr>
    </w:p>
    <w:p w:rsidR="00D24E61" w:rsidRPr="00771368" w:rsidRDefault="00D24E61">
      <w:pPr>
        <w:spacing w:line="258" w:lineRule="auto"/>
        <w:ind w:right="20"/>
        <w:jc w:val="both"/>
        <w:rPr>
          <w:sz w:val="20"/>
          <w:szCs w:val="20"/>
        </w:rPr>
      </w:pPr>
      <w:r w:rsidRPr="00771368">
        <w:rPr>
          <w:sz w:val="24"/>
          <w:szCs w:val="24"/>
        </w:rPr>
        <w:t xml:space="preserve">HÄBERLE, Peter. </w:t>
      </w:r>
      <w:r w:rsidRPr="00771368">
        <w:rPr>
          <w:i/>
          <w:iCs/>
          <w:sz w:val="24"/>
          <w:szCs w:val="24"/>
        </w:rPr>
        <w:t>A dignidade humana como fundamento da comunidade estatal</w:t>
      </w:r>
      <w:r w:rsidRPr="00771368">
        <w:rPr>
          <w:sz w:val="24"/>
          <w:szCs w:val="24"/>
        </w:rPr>
        <w:t>. In: SARLET, Ingo Wolfgang (Org.). Dimensões da Dignidade: ensaios de Filosofia do Direito e Direito Constitucional. Porto Alegre: Livraria do Advogado, 2005.</w:t>
      </w:r>
    </w:p>
    <w:p w:rsidR="00D24E61" w:rsidRPr="00771368" w:rsidRDefault="00D24E61">
      <w:pPr>
        <w:spacing w:line="178"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MENEZES, Holdemar Oliveira de. </w:t>
      </w:r>
      <w:r w:rsidRPr="00771368">
        <w:rPr>
          <w:i/>
          <w:iCs/>
          <w:sz w:val="24"/>
          <w:szCs w:val="24"/>
        </w:rPr>
        <w:t>Separata dos Arquivos da Polícia Civil de São Paulo</w:t>
      </w:r>
      <w:r w:rsidRPr="00771368">
        <w:rPr>
          <w:sz w:val="24"/>
          <w:szCs w:val="24"/>
        </w:rPr>
        <w:t>. São Paulo, 25, 2. sem. 1978.</w:t>
      </w:r>
    </w:p>
    <w:p w:rsidR="00D24E61" w:rsidRPr="00771368" w:rsidRDefault="00D24E61">
      <w:pPr>
        <w:spacing w:line="157" w:lineRule="exact"/>
        <w:rPr>
          <w:sz w:val="20"/>
          <w:szCs w:val="20"/>
        </w:rPr>
      </w:pPr>
    </w:p>
    <w:p w:rsidR="00D24E61" w:rsidRPr="00771368" w:rsidRDefault="00D24E61">
      <w:pPr>
        <w:spacing w:line="276" w:lineRule="auto"/>
        <w:ind w:right="40"/>
        <w:jc w:val="both"/>
        <w:rPr>
          <w:sz w:val="20"/>
          <w:szCs w:val="20"/>
        </w:rPr>
      </w:pPr>
      <w:r w:rsidRPr="00771368">
        <w:rPr>
          <w:sz w:val="24"/>
          <w:szCs w:val="24"/>
        </w:rPr>
        <w:t xml:space="preserve">MEYER, Dagmar E. Estermann. </w:t>
      </w:r>
      <w:r w:rsidRPr="00771368">
        <w:rPr>
          <w:i/>
          <w:iCs/>
          <w:sz w:val="24"/>
          <w:szCs w:val="24"/>
        </w:rPr>
        <w:t>Teorias e políticas de gênero: fragmentos históricos e</w:t>
      </w:r>
      <w:r w:rsidRPr="00771368">
        <w:rPr>
          <w:sz w:val="24"/>
          <w:szCs w:val="24"/>
        </w:rPr>
        <w:t xml:space="preserve"> </w:t>
      </w:r>
      <w:r w:rsidRPr="00771368">
        <w:rPr>
          <w:i/>
          <w:iCs/>
          <w:sz w:val="24"/>
          <w:szCs w:val="24"/>
        </w:rPr>
        <w:t>desafios atuais</w:t>
      </w:r>
      <w:r w:rsidRPr="00771368">
        <w:rPr>
          <w:sz w:val="24"/>
          <w:szCs w:val="24"/>
        </w:rPr>
        <w:t>.</w:t>
      </w:r>
      <w:r w:rsidRPr="00771368">
        <w:rPr>
          <w:i/>
          <w:iCs/>
          <w:sz w:val="24"/>
          <w:szCs w:val="24"/>
        </w:rPr>
        <w:t xml:space="preserve"> Revista Brasileira de Enfermagem</w:t>
      </w:r>
      <w:r w:rsidRPr="00771368">
        <w:rPr>
          <w:sz w:val="24"/>
          <w:szCs w:val="24"/>
        </w:rPr>
        <w:t>, v. 57, n. 1, p. 13-18, 2004.</w:t>
      </w:r>
    </w:p>
    <w:p w:rsidR="00D24E61" w:rsidRPr="00771368" w:rsidRDefault="00D24E61">
      <w:pPr>
        <w:spacing w:line="157"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MONTEIRO, Washington de Barros. </w:t>
      </w:r>
      <w:r w:rsidRPr="00771368">
        <w:rPr>
          <w:i/>
          <w:iCs/>
          <w:sz w:val="24"/>
          <w:szCs w:val="24"/>
        </w:rPr>
        <w:t>Direito Civil: Parte Geral</w:t>
      </w:r>
      <w:r w:rsidRPr="00771368">
        <w:rPr>
          <w:sz w:val="24"/>
          <w:szCs w:val="24"/>
        </w:rPr>
        <w:t>. 3. ed. São Paulo: Atlas, 2003.</w:t>
      </w:r>
    </w:p>
    <w:p w:rsidR="00D24E61" w:rsidRPr="00771368" w:rsidRDefault="00D24E61">
      <w:pPr>
        <w:spacing w:line="157"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PIOVESAN, Flávia. </w:t>
      </w:r>
      <w:r w:rsidRPr="00771368">
        <w:rPr>
          <w:i/>
          <w:iCs/>
          <w:sz w:val="24"/>
          <w:szCs w:val="24"/>
        </w:rPr>
        <w:t>Direitos Humanos e o Direito Constitucional Internacional</w:t>
      </w:r>
      <w:r w:rsidRPr="00771368">
        <w:rPr>
          <w:sz w:val="24"/>
          <w:szCs w:val="24"/>
        </w:rPr>
        <w:t>. 9. ed. São Paulo: Max Limonad, 2008.</w:t>
      </w:r>
    </w:p>
    <w:p w:rsidR="00D24E61" w:rsidRPr="00771368" w:rsidRDefault="00D24E61">
      <w:pPr>
        <w:sectPr w:rsidR="00D24E61" w:rsidRPr="00771368">
          <w:pgSz w:w="11900" w:h="16840"/>
          <w:pgMar w:top="1396" w:right="1400" w:bottom="1440" w:left="1420" w:header="0" w:footer="0" w:gutter="0"/>
          <w:cols w:space="720" w:equalWidth="0">
            <w:col w:w="9080"/>
          </w:cols>
        </w:sectPr>
      </w:pPr>
    </w:p>
    <w:p w:rsidR="00D24E61" w:rsidRPr="00771368" w:rsidRDefault="00D24E61">
      <w:pPr>
        <w:spacing w:line="276" w:lineRule="auto"/>
        <w:ind w:right="40"/>
        <w:rPr>
          <w:sz w:val="20"/>
          <w:szCs w:val="20"/>
        </w:rPr>
      </w:pPr>
      <w:r w:rsidRPr="00771368">
        <w:rPr>
          <w:sz w:val="24"/>
          <w:szCs w:val="24"/>
        </w:rPr>
        <w:t xml:space="preserve">ROCHA, Cármen Lúcia Antunes. </w:t>
      </w:r>
      <w:r w:rsidRPr="00771368">
        <w:rPr>
          <w:i/>
          <w:iCs/>
          <w:sz w:val="24"/>
          <w:szCs w:val="24"/>
        </w:rPr>
        <w:t>O Princípio da Dignidade da Pessoa Humana e a Exclusão</w:t>
      </w:r>
      <w:r w:rsidRPr="00771368">
        <w:rPr>
          <w:sz w:val="24"/>
          <w:szCs w:val="24"/>
        </w:rPr>
        <w:t xml:space="preserve"> </w:t>
      </w:r>
      <w:r w:rsidRPr="00771368">
        <w:rPr>
          <w:i/>
          <w:iCs/>
          <w:sz w:val="24"/>
          <w:szCs w:val="24"/>
        </w:rPr>
        <w:t>Social</w:t>
      </w:r>
      <w:r w:rsidRPr="00771368">
        <w:rPr>
          <w:sz w:val="24"/>
          <w:szCs w:val="24"/>
        </w:rPr>
        <w:t>.</w:t>
      </w:r>
      <w:r w:rsidRPr="00771368">
        <w:rPr>
          <w:i/>
          <w:iCs/>
          <w:sz w:val="24"/>
          <w:szCs w:val="24"/>
        </w:rPr>
        <w:t xml:space="preserve"> In</w:t>
      </w:r>
      <w:r w:rsidRPr="00771368">
        <w:rPr>
          <w:sz w:val="24"/>
          <w:szCs w:val="24"/>
        </w:rPr>
        <w:t>: Revista Interesse Público, n. 4, 1999, p. 23 a 49.</w:t>
      </w:r>
    </w:p>
    <w:p w:rsidR="00D24E61" w:rsidRPr="00771368" w:rsidRDefault="00D24E61">
      <w:pPr>
        <w:spacing w:line="157"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RODRIGUES, Sílvio. </w:t>
      </w:r>
      <w:r w:rsidRPr="00771368">
        <w:rPr>
          <w:i/>
          <w:iCs/>
          <w:sz w:val="24"/>
          <w:szCs w:val="24"/>
        </w:rPr>
        <w:t>Direito Civil – Parte Geral</w:t>
      </w:r>
      <w:r w:rsidRPr="00771368">
        <w:rPr>
          <w:sz w:val="24"/>
          <w:szCs w:val="24"/>
        </w:rPr>
        <w:t>. v. 1, 32. ed. rev. e atual. São Paulo: Saraiva, 2002.</w:t>
      </w:r>
    </w:p>
    <w:p w:rsidR="00D24E61" w:rsidRPr="00771368" w:rsidRDefault="00D24E61">
      <w:pPr>
        <w:spacing w:line="157" w:lineRule="exact"/>
        <w:rPr>
          <w:sz w:val="20"/>
          <w:szCs w:val="20"/>
        </w:rPr>
      </w:pPr>
    </w:p>
    <w:p w:rsidR="00D24E61" w:rsidRPr="00771368" w:rsidRDefault="00D24E61">
      <w:pPr>
        <w:spacing w:line="276" w:lineRule="auto"/>
        <w:ind w:right="40"/>
        <w:rPr>
          <w:sz w:val="20"/>
          <w:szCs w:val="20"/>
        </w:rPr>
      </w:pPr>
      <w:r w:rsidRPr="00771368">
        <w:rPr>
          <w:sz w:val="24"/>
          <w:szCs w:val="24"/>
        </w:rPr>
        <w:t xml:space="preserve">SARLET, Ingo Wolfgang. </w:t>
      </w:r>
      <w:r w:rsidRPr="00771368">
        <w:rPr>
          <w:i/>
          <w:iCs/>
          <w:sz w:val="24"/>
          <w:szCs w:val="24"/>
        </w:rPr>
        <w:t>Dignidade da pessoa humana e direitos fundamentais na</w:t>
      </w:r>
      <w:r w:rsidRPr="00771368">
        <w:rPr>
          <w:sz w:val="24"/>
          <w:szCs w:val="24"/>
        </w:rPr>
        <w:t xml:space="preserve"> </w:t>
      </w:r>
      <w:r w:rsidRPr="00771368">
        <w:rPr>
          <w:i/>
          <w:iCs/>
          <w:sz w:val="24"/>
          <w:szCs w:val="24"/>
        </w:rPr>
        <w:t>Constituição Federal de 1988</w:t>
      </w:r>
      <w:r w:rsidRPr="00771368">
        <w:rPr>
          <w:sz w:val="24"/>
          <w:szCs w:val="24"/>
        </w:rPr>
        <w:t>. 6. ed. rev. atual. Porto Alegre: Livraria do Advogado, 2008.</w:t>
      </w:r>
    </w:p>
    <w:p w:rsidR="00D24E61" w:rsidRPr="00771368" w:rsidRDefault="00D24E61">
      <w:pPr>
        <w:spacing w:line="161" w:lineRule="exact"/>
        <w:rPr>
          <w:sz w:val="20"/>
          <w:szCs w:val="20"/>
        </w:rPr>
      </w:pPr>
    </w:p>
    <w:p w:rsidR="00D24E61" w:rsidRPr="00771368" w:rsidRDefault="00D24E61">
      <w:pPr>
        <w:spacing w:line="250" w:lineRule="auto"/>
        <w:ind w:right="20"/>
        <w:jc w:val="both"/>
        <w:rPr>
          <w:sz w:val="20"/>
          <w:szCs w:val="20"/>
        </w:rPr>
      </w:pPr>
      <w:r w:rsidRPr="00771368">
        <w:rPr>
          <w:sz w:val="24"/>
          <w:szCs w:val="24"/>
        </w:rPr>
        <w:t xml:space="preserve">SUESS, Aimar. Análisis del panorama discursivo alredor de la despatologização trans: procesos de transformación de los marcos interpretativos en diferentes campos sociales. In: MISSÉ, Miquel ; COLL-PLANAS, Gerard (ed.). </w:t>
      </w:r>
      <w:r w:rsidRPr="00771368">
        <w:rPr>
          <w:i/>
          <w:iCs/>
          <w:sz w:val="24"/>
          <w:szCs w:val="24"/>
        </w:rPr>
        <w:t>El género desordenado – críticas en torno a</w:t>
      </w:r>
      <w:r w:rsidRPr="00771368">
        <w:rPr>
          <w:sz w:val="24"/>
          <w:szCs w:val="24"/>
        </w:rPr>
        <w:t xml:space="preserve"> </w:t>
      </w:r>
      <w:r w:rsidRPr="00771368">
        <w:rPr>
          <w:i/>
          <w:iCs/>
          <w:sz w:val="24"/>
          <w:szCs w:val="24"/>
        </w:rPr>
        <w:t xml:space="preserve">la patologización de la transexualidad. </w:t>
      </w:r>
      <w:r w:rsidRPr="00771368">
        <w:rPr>
          <w:sz w:val="24"/>
          <w:szCs w:val="24"/>
        </w:rPr>
        <w:t>Barcelona-Madrid: EGALES, 2010.</w:t>
      </w:r>
    </w:p>
    <w:p w:rsidR="00D24E61" w:rsidRPr="00771368" w:rsidRDefault="00D24E61">
      <w:pPr>
        <w:spacing w:line="190" w:lineRule="exact"/>
        <w:rPr>
          <w:sz w:val="20"/>
          <w:szCs w:val="20"/>
        </w:rPr>
      </w:pPr>
    </w:p>
    <w:p w:rsidR="00D24E61" w:rsidRPr="00771368" w:rsidRDefault="00D24E61">
      <w:pPr>
        <w:spacing w:line="276" w:lineRule="auto"/>
        <w:ind w:right="20"/>
        <w:jc w:val="both"/>
        <w:rPr>
          <w:sz w:val="20"/>
          <w:szCs w:val="20"/>
        </w:rPr>
      </w:pPr>
      <w:r w:rsidRPr="00771368">
        <w:rPr>
          <w:sz w:val="24"/>
          <w:szCs w:val="24"/>
        </w:rPr>
        <w:t xml:space="preserve">TELLES JR, Goffredo. </w:t>
      </w:r>
      <w:r w:rsidRPr="00771368">
        <w:rPr>
          <w:i/>
          <w:iCs/>
          <w:sz w:val="24"/>
          <w:szCs w:val="24"/>
        </w:rPr>
        <w:t>Direito Subjetivo I</w:t>
      </w:r>
      <w:r w:rsidRPr="00771368">
        <w:rPr>
          <w:sz w:val="24"/>
          <w:szCs w:val="24"/>
        </w:rPr>
        <w:t xml:space="preserve">. </w:t>
      </w:r>
      <w:r w:rsidRPr="00771368">
        <w:rPr>
          <w:i/>
          <w:iCs/>
          <w:sz w:val="24"/>
          <w:szCs w:val="24"/>
        </w:rPr>
        <w:t>In</w:t>
      </w:r>
      <w:r w:rsidRPr="00771368">
        <w:rPr>
          <w:sz w:val="24"/>
          <w:szCs w:val="24"/>
        </w:rPr>
        <w:t>: Enciclopédia Saraiva de Direito. v. 28. São Paulo: Saraiva, 1979.</w:t>
      </w:r>
    </w:p>
    <w:p w:rsidR="00D24E61" w:rsidRPr="00771368" w:rsidRDefault="00D24E61">
      <w:pPr>
        <w:spacing w:line="157" w:lineRule="exact"/>
        <w:rPr>
          <w:sz w:val="20"/>
          <w:szCs w:val="20"/>
        </w:rPr>
      </w:pPr>
    </w:p>
    <w:p w:rsidR="00D24E61" w:rsidRPr="00771368" w:rsidRDefault="00D24E61">
      <w:pPr>
        <w:spacing w:line="276" w:lineRule="auto"/>
        <w:ind w:right="40"/>
        <w:rPr>
          <w:sz w:val="20"/>
          <w:szCs w:val="20"/>
        </w:rPr>
      </w:pPr>
      <w:r w:rsidRPr="00771368">
        <w:rPr>
          <w:sz w:val="24"/>
          <w:szCs w:val="24"/>
        </w:rPr>
        <w:t xml:space="preserve">TEPEDINO, Gustavo. </w:t>
      </w:r>
      <w:r w:rsidRPr="00771368">
        <w:rPr>
          <w:i/>
          <w:iCs/>
          <w:sz w:val="24"/>
          <w:szCs w:val="24"/>
        </w:rPr>
        <w:t>Premissas Metodológicas para a Constitucionalização do Direito</w:t>
      </w:r>
      <w:r w:rsidRPr="00771368">
        <w:rPr>
          <w:sz w:val="24"/>
          <w:szCs w:val="24"/>
        </w:rPr>
        <w:t xml:space="preserve"> </w:t>
      </w:r>
      <w:r w:rsidRPr="00771368">
        <w:rPr>
          <w:i/>
          <w:iCs/>
          <w:sz w:val="24"/>
          <w:szCs w:val="24"/>
        </w:rPr>
        <w:t xml:space="preserve">Civil </w:t>
      </w:r>
      <w:r w:rsidRPr="00771368">
        <w:rPr>
          <w:sz w:val="24"/>
          <w:szCs w:val="24"/>
        </w:rPr>
        <w:t>– in Temas de Direito civil, 4. ed. Rio de Janeiro: Renovar, 2008.</w:t>
      </w:r>
    </w:p>
    <w:p w:rsidR="00D24E61" w:rsidRPr="00771368" w:rsidRDefault="00D24E61">
      <w:pPr>
        <w:spacing w:line="157" w:lineRule="exact"/>
        <w:rPr>
          <w:sz w:val="20"/>
          <w:szCs w:val="20"/>
        </w:rPr>
      </w:pPr>
    </w:p>
    <w:p w:rsidR="00D24E61" w:rsidRPr="00771368" w:rsidRDefault="00D24E61">
      <w:pPr>
        <w:spacing w:line="252" w:lineRule="auto"/>
        <w:jc w:val="both"/>
        <w:rPr>
          <w:sz w:val="20"/>
          <w:szCs w:val="20"/>
        </w:rPr>
      </w:pPr>
      <w:r w:rsidRPr="00771368">
        <w:rPr>
          <w:sz w:val="24"/>
          <w:szCs w:val="24"/>
        </w:rPr>
        <w:t xml:space="preserve">THOMÉ, Liane Maria Busnello. </w:t>
      </w:r>
      <w:r w:rsidRPr="00771368">
        <w:rPr>
          <w:i/>
          <w:iCs/>
          <w:sz w:val="24"/>
          <w:szCs w:val="24"/>
        </w:rPr>
        <w:t>Princípio da dignidade da pessoa humana e mediação como</w:t>
      </w:r>
      <w:r w:rsidRPr="00771368">
        <w:rPr>
          <w:sz w:val="24"/>
          <w:szCs w:val="24"/>
        </w:rPr>
        <w:t xml:space="preserve"> </w:t>
      </w:r>
      <w:r w:rsidRPr="00771368">
        <w:rPr>
          <w:i/>
          <w:iCs/>
          <w:sz w:val="24"/>
          <w:szCs w:val="24"/>
        </w:rPr>
        <w:t>instrumento de potencialização da dignidade nas rupturas dos casais em família</w:t>
      </w:r>
      <w:r w:rsidRPr="00771368">
        <w:rPr>
          <w:sz w:val="24"/>
          <w:szCs w:val="24"/>
        </w:rPr>
        <w:t>. 2007. 149f.</w:t>
      </w:r>
      <w:r w:rsidRPr="00771368">
        <w:rPr>
          <w:i/>
          <w:iCs/>
          <w:sz w:val="24"/>
          <w:szCs w:val="24"/>
        </w:rPr>
        <w:t xml:space="preserve"> </w:t>
      </w:r>
      <w:r w:rsidRPr="00771368">
        <w:rPr>
          <w:sz w:val="24"/>
          <w:szCs w:val="24"/>
        </w:rPr>
        <w:t>dissertação (Mestre em Direito) – Faculdade de Direito, Pontifícia Universidade Católica do Rio Grande do Sul, Porto Alegre, 2007.</w:t>
      </w:r>
    </w:p>
    <w:p w:rsidR="00D24E61" w:rsidRPr="00771368" w:rsidRDefault="00D24E61">
      <w:pPr>
        <w:spacing w:line="185" w:lineRule="exact"/>
        <w:rPr>
          <w:sz w:val="20"/>
          <w:szCs w:val="20"/>
        </w:rPr>
      </w:pPr>
    </w:p>
    <w:p w:rsidR="00D24E61" w:rsidRPr="00771368" w:rsidRDefault="00D24E61">
      <w:pPr>
        <w:rPr>
          <w:sz w:val="20"/>
          <w:szCs w:val="20"/>
        </w:rPr>
      </w:pPr>
      <w:r w:rsidRPr="00771368">
        <w:rPr>
          <w:sz w:val="24"/>
          <w:szCs w:val="24"/>
        </w:rPr>
        <w:t xml:space="preserve">VENOSA, Silvio de Salvo. </w:t>
      </w:r>
      <w:r w:rsidRPr="00771368">
        <w:rPr>
          <w:i/>
          <w:iCs/>
          <w:sz w:val="24"/>
          <w:szCs w:val="24"/>
        </w:rPr>
        <w:t>Direito Civil – Parte Geral.</w:t>
      </w:r>
      <w:r w:rsidRPr="00771368">
        <w:rPr>
          <w:sz w:val="24"/>
          <w:szCs w:val="24"/>
        </w:rPr>
        <w:t xml:space="preserve"> v.1, 5 ed. São Paulo: Atlas, 2005.</w:t>
      </w:r>
    </w:p>
    <w:p w:rsidR="00D24E61" w:rsidRDefault="00D24E61">
      <w:pPr>
        <w:spacing w:line="221" w:lineRule="auto"/>
        <w:rPr>
          <w:sz w:val="20"/>
          <w:szCs w:val="20"/>
        </w:rPr>
      </w:pPr>
    </w:p>
    <w:p w:rsidR="00181DC0" w:rsidRDefault="00181DC0">
      <w:pPr>
        <w:spacing w:line="221" w:lineRule="auto"/>
        <w:rPr>
          <w:sz w:val="20"/>
          <w:szCs w:val="20"/>
        </w:rPr>
      </w:pPr>
    </w:p>
    <w:p w:rsidR="00181DC0" w:rsidRDefault="00181DC0">
      <w:pPr>
        <w:spacing w:line="221" w:lineRule="auto"/>
        <w:rPr>
          <w:sz w:val="20"/>
          <w:szCs w:val="20"/>
        </w:rPr>
      </w:pPr>
    </w:p>
    <w:p w:rsidR="00201DA6" w:rsidRDefault="00201DA6">
      <w:pPr>
        <w:spacing w:line="259" w:lineRule="auto"/>
        <w:ind w:left="11"/>
        <w:jc w:val="center"/>
      </w:pPr>
      <w:r>
        <w:rPr>
          <w:b/>
        </w:rPr>
        <w:t xml:space="preserve">ANÁLISE DO DISCURSO DE PLÍNIO SALGADO INSERIDO NA OBRA “A </w:t>
      </w:r>
    </w:p>
    <w:p w:rsidR="00201DA6" w:rsidRDefault="00201DA6">
      <w:pPr>
        <w:spacing w:line="259" w:lineRule="auto"/>
        <w:ind w:left="11" w:right="15"/>
        <w:jc w:val="center"/>
      </w:pPr>
      <w:r>
        <w:rPr>
          <w:b/>
        </w:rPr>
        <w:t xml:space="preserve">MULHER NO SÉCULO XX” </w:t>
      </w:r>
    </w:p>
    <w:p w:rsidR="00201DA6" w:rsidRDefault="00201DA6">
      <w:pPr>
        <w:spacing w:line="259" w:lineRule="auto"/>
      </w:pPr>
      <w:r>
        <w:t xml:space="preserve"> </w:t>
      </w:r>
    </w:p>
    <w:p w:rsidR="00201DA6" w:rsidRDefault="00201DA6">
      <w:pPr>
        <w:spacing w:after="153" w:line="259" w:lineRule="auto"/>
        <w:jc w:val="right"/>
      </w:pPr>
      <w:bookmarkStart w:id="96" w:name="_Toc442034767"/>
      <w:r w:rsidRPr="00201DA6">
        <w:rPr>
          <w:rStyle w:val="Ttulo1Char"/>
        </w:rPr>
        <w:t>Felipe Salvador Weissheimer</w:t>
      </w:r>
      <w:bookmarkEnd w:id="96"/>
      <w:r>
        <w:rPr>
          <w:i/>
          <w:vertAlign w:val="superscript"/>
        </w:rPr>
        <w:footnoteReference w:id="242"/>
      </w:r>
      <w:r>
        <w:rPr>
          <w:i/>
        </w:rPr>
        <w:t xml:space="preserve"> </w:t>
      </w:r>
    </w:p>
    <w:p w:rsidR="00201DA6" w:rsidRDefault="00201DA6">
      <w:pPr>
        <w:spacing w:after="153" w:line="259" w:lineRule="auto"/>
        <w:jc w:val="right"/>
      </w:pPr>
      <w:r>
        <w:rPr>
          <w:i/>
        </w:rPr>
        <w:t>Fausto Alencar Irschlinger</w:t>
      </w:r>
      <w:r>
        <w:rPr>
          <w:i/>
          <w:vertAlign w:val="superscript"/>
        </w:rPr>
        <w:footnoteReference w:id="243"/>
      </w:r>
      <w:r>
        <w:rPr>
          <w:i/>
        </w:rPr>
        <w:t xml:space="preserve"> </w:t>
      </w:r>
    </w:p>
    <w:p w:rsidR="00201DA6" w:rsidRDefault="00201DA6">
      <w:pPr>
        <w:spacing w:line="259" w:lineRule="auto"/>
      </w:pPr>
      <w:r>
        <w:t xml:space="preserve"> </w:t>
      </w:r>
    </w:p>
    <w:p w:rsidR="00201DA6" w:rsidRDefault="00201DA6" w:rsidP="00201DA6">
      <w:pPr>
        <w:spacing w:after="28" w:line="249" w:lineRule="auto"/>
        <w:ind w:left="2263"/>
        <w:jc w:val="both"/>
      </w:pPr>
      <w:r>
        <w:rPr>
          <w:sz w:val="20"/>
        </w:rPr>
        <w:t xml:space="preserve">As mudanças visíveis que afetaram a condição feminina mascaram a permanência de estruturas invisíveis que só poder ser esclarecidas por um pensamento relacional, capaz de pôr em relação a economia doméstica, e portanto a divisão de trabalho e de poderes que a caracteriza, e os diferentes setores do mercado de trabalho (os campos) em que estão situados os homens e as mulheres. Isto, em vez de apreender separadamente, como tem sido feito em geral, a distribuição de tarefas entre os sexos, e, sobretudo os níveis, no trabalho doméstico e no trabalho não doméstico. (Pierre Bourdieu) </w:t>
      </w:r>
    </w:p>
    <w:p w:rsidR="00201DA6" w:rsidRDefault="00201DA6" w:rsidP="00201DA6">
      <w:pPr>
        <w:spacing w:after="115" w:line="259" w:lineRule="auto"/>
        <w:jc w:val="both"/>
      </w:pPr>
      <w:r>
        <w:t xml:space="preserve"> </w:t>
      </w:r>
    </w:p>
    <w:p w:rsidR="00201DA6" w:rsidRDefault="00201DA6" w:rsidP="00201DA6">
      <w:pPr>
        <w:spacing w:after="93" w:line="259" w:lineRule="auto"/>
        <w:ind w:left="-5" w:right="1"/>
        <w:jc w:val="both"/>
      </w:pPr>
      <w:r>
        <w:t xml:space="preserve">INTRODUÇÃO </w:t>
      </w:r>
    </w:p>
    <w:p w:rsidR="00201DA6" w:rsidRDefault="00201DA6" w:rsidP="00201DA6">
      <w:pPr>
        <w:spacing w:after="122" w:line="259" w:lineRule="auto"/>
        <w:jc w:val="both"/>
      </w:pPr>
      <w:r>
        <w:t xml:space="preserve"> </w:t>
      </w:r>
    </w:p>
    <w:p w:rsidR="00201DA6" w:rsidRDefault="00201DA6" w:rsidP="00201DA6">
      <w:pPr>
        <w:spacing w:after="115"/>
        <w:ind w:left="-15" w:right="1" w:firstLine="840"/>
        <w:jc w:val="both"/>
      </w:pPr>
      <w:r>
        <w:t>No decorrer deste texto objetivamos contextualizar e analisar alguns dos discursos elaborados por Plínio Salgado, personalidade de grande destaque na política brasileira. Jornalista, intelectual e político, Salgado dedicou-se às atividades literárias desde a década de 1920. Em 1932, divulgou o Manifesto de Outubro, no qual apresentou as diretrizes políticas da Ação Integralista Brasileira (AIB)</w:t>
      </w:r>
      <w:r>
        <w:rPr>
          <w:vertAlign w:val="superscript"/>
        </w:rPr>
        <w:footnoteReference w:id="244"/>
      </w:r>
      <w:r>
        <w:t xml:space="preserve">, de inspiração fascista, com a valorização de rituais e símbolos, e forte influência do pensamento católico. Anos depois, Plínio recebeu o título de “chefe nacional” do movimento integralista. </w:t>
      </w:r>
    </w:p>
    <w:p w:rsidR="00201DA6" w:rsidRDefault="00201DA6" w:rsidP="00201DA6">
      <w:pPr>
        <w:ind w:left="-15" w:right="1" w:firstLine="708"/>
        <w:jc w:val="both"/>
      </w:pPr>
      <w:r>
        <w:t>Temos em jogo e em cena o sentido de crises, a influência de extremismos estrangeiros, as vivências, crenças, medos, inseguranças e os dilemas da modernidade</w:t>
      </w:r>
      <w:r>
        <w:rPr>
          <w:vertAlign w:val="superscript"/>
        </w:rPr>
        <w:footnoteReference w:id="245"/>
      </w:r>
      <w:r>
        <w:t xml:space="preserve">. Enfim, tal período de transição na evolução política, religiosa, intelectual, econômica e cultural do Brasil é instigante e ao mesmo tempo complexo.   </w:t>
      </w:r>
    </w:p>
    <w:p w:rsidR="00201DA6" w:rsidRDefault="00201DA6" w:rsidP="00201DA6">
      <w:pPr>
        <w:ind w:left="-15" w:right="1" w:firstLine="708"/>
        <w:jc w:val="both"/>
      </w:pPr>
      <w:r>
        <w:t>Em um plano geral, o período que situamos Plínio Salgado está marcado pelas conseqüências da Primeira Guerra Mundial, pela crise econômica e financeira de 1929, pela ascensão do nazismo e do fascismo na Europa, pelos princípios liberais e capitalistas evidenciados pela industrialização, e pela reestruturação da Igreja Católica, além das propostas do modernismo. Portanto, direta ou indiretamente, o contexto político e religioso brasileiro é influenciado por questões de ordem internacional. Democracia, autoritarismo, nacionalismo, comunismo, patriotismo, religiosidade, entre outras, são concepções que passam a ser debatidas e ganham adesões de diferentes personagens</w:t>
      </w:r>
      <w:r>
        <w:rPr>
          <w:vertAlign w:val="superscript"/>
        </w:rPr>
        <w:footnoteReference w:id="246"/>
      </w:r>
      <w:r>
        <w:t xml:space="preserve">. Principalmente após a Revolução de 1930, quando novos atores se lançavam no campo político nacional, esquerda e direita se reorganizavam e buscavam novos espaços de poder e representatividade, apimentado por um estímulo ideológico e salvacionista o que, muitas vezes, fugia do controle. O integralismo, liderado por Plínio Salgado, entrou nesse rol salvacionista, pois emergiu crente de que suas propostas, centradas num Estado forte e em um homem integral, fossem capazes de transformar o Brasil. </w:t>
      </w:r>
    </w:p>
    <w:p w:rsidR="00201DA6" w:rsidRDefault="00201DA6" w:rsidP="00201DA6">
      <w:pPr>
        <w:ind w:left="-15" w:right="1" w:firstLine="840"/>
        <w:jc w:val="both"/>
      </w:pPr>
      <w:r>
        <w:t xml:space="preserve">A AIB conheceu significativo crescimento durante alguns anos, porém, com a decretação do Estado Novo comandada por Getúlio Vargas, a Ação foi extinta e Plínio Salgado, em 1939, foi enviado para o exílio em Portugal, no qual permaneceu por seis anos. </w:t>
      </w:r>
    </w:p>
    <w:p w:rsidR="00201DA6" w:rsidRDefault="00201DA6" w:rsidP="00201DA6">
      <w:pPr>
        <w:ind w:left="-5" w:right="1"/>
        <w:jc w:val="both"/>
      </w:pPr>
      <w:r>
        <w:t xml:space="preserve">Voltou apenas em 1945, com a redemocratização do país. Reformulou o ideário integralista e fundou o PRP (Partido de Representação Popular). Não obteve sucesso nas eleições para a presidência, mas tornou-se deputado federal pelo PRP, em 1958, pelo Paraná e em 1962 por São Paulo, e pela ARENA em 1966 e 1970. </w:t>
      </w:r>
    </w:p>
    <w:p w:rsidR="00201DA6" w:rsidRDefault="00201DA6" w:rsidP="00201DA6">
      <w:pPr>
        <w:ind w:left="-15" w:right="1" w:firstLine="840"/>
        <w:jc w:val="both"/>
      </w:pPr>
      <w:r>
        <w:t xml:space="preserve">Observamos que Plínio Salgado pertencia à elite de intelectuais que, no início do século XX, representava a classe média com maior acesso à educação e que buscava seu “lugar ao sol” no aparelho estatal e na representação política do Brasil. Parte dessa classe média e burguesa em ascensão foi expressiva no quadro político brasileiro e fez da literatura um instrumento de ação política e social. Assim, dentre as publicações literárias de Plínio Salgado que selecionamos para análise, destacou-se o ensaio intitulado </w:t>
      </w:r>
      <w:r>
        <w:rPr>
          <w:i/>
        </w:rPr>
        <w:t>A Mulher no Século XX</w:t>
      </w:r>
      <w:r>
        <w:t>, publicado em 1946</w:t>
      </w:r>
      <w:r>
        <w:rPr>
          <w:vertAlign w:val="superscript"/>
        </w:rPr>
        <w:footnoteReference w:id="247"/>
      </w:r>
      <w:r>
        <w:t xml:space="preserve">, obra em que o autor instituiu condutas sociais, éticas e morais destinadas às mulheres da “Nação Portuguesa e da Pátria Brasileira”. Consideramos que a tessitura de Salgado nos ajuda a entender as relações de gênero no período entre 1930-1950, por uma série de fatores que procuramos explorar do decorrer do artigo. E, apoiados nos métodos de Análise do Discurso e nas pesquisas que envolvem as relações de gênero, procuramos agregar algumas discussões tanto para o estudo da ação política e intelectual de Plínio Salgado, quanto para as relações sócio-culturais e de gênero no Brasil até meados do século XX. </w:t>
      </w:r>
    </w:p>
    <w:p w:rsidR="00201DA6" w:rsidRDefault="00201DA6" w:rsidP="00201DA6">
      <w:pPr>
        <w:spacing w:after="112" w:line="259" w:lineRule="auto"/>
        <w:jc w:val="both"/>
      </w:pPr>
      <w:r>
        <w:t xml:space="preserve"> </w:t>
      </w:r>
    </w:p>
    <w:p w:rsidR="00201DA6" w:rsidRDefault="00201DA6" w:rsidP="00201DA6">
      <w:pPr>
        <w:spacing w:after="115" w:line="259" w:lineRule="auto"/>
        <w:ind w:left="-5" w:right="1"/>
        <w:jc w:val="both"/>
      </w:pPr>
      <w:r>
        <w:t xml:space="preserve">OBJETIVOS </w:t>
      </w:r>
    </w:p>
    <w:p w:rsidR="00201DA6" w:rsidRDefault="00201DA6" w:rsidP="00201DA6">
      <w:pPr>
        <w:spacing w:after="112" w:line="259" w:lineRule="auto"/>
        <w:jc w:val="both"/>
      </w:pPr>
      <w:r>
        <w:t xml:space="preserve"> </w:t>
      </w:r>
    </w:p>
    <w:p w:rsidR="00201DA6" w:rsidRDefault="00201DA6" w:rsidP="004B5D56">
      <w:pPr>
        <w:numPr>
          <w:ilvl w:val="0"/>
          <w:numId w:val="52"/>
        </w:numPr>
        <w:spacing w:after="4" w:line="365" w:lineRule="auto"/>
        <w:ind w:right="1"/>
        <w:jc w:val="both"/>
      </w:pPr>
      <w:r>
        <w:t xml:space="preserve">Operacionalizar o método da Análise do Discurso no campo político-religioso relacionado às relações de gênero, sobretudo no período de 1920-1940, no Brasil, empreendendo um trabalho de revisão bibliográfica da literatura relacionada ao tema. </w:t>
      </w:r>
    </w:p>
    <w:p w:rsidR="00201DA6" w:rsidRDefault="00201DA6" w:rsidP="00201DA6">
      <w:pPr>
        <w:spacing w:after="115" w:line="259" w:lineRule="auto"/>
        <w:jc w:val="both"/>
      </w:pPr>
      <w:r>
        <w:t xml:space="preserve"> </w:t>
      </w:r>
    </w:p>
    <w:p w:rsidR="00201DA6" w:rsidRDefault="00201DA6" w:rsidP="004B5D56">
      <w:pPr>
        <w:numPr>
          <w:ilvl w:val="0"/>
          <w:numId w:val="52"/>
        </w:numPr>
        <w:spacing w:after="4" w:line="365" w:lineRule="auto"/>
        <w:ind w:right="1"/>
        <w:jc w:val="both"/>
      </w:pPr>
      <w:r>
        <w:t xml:space="preserve">Analisar o discurso sociopolítico da Ação Integralista Brasileira (AIB) em relação à “função social da mulher”, descrito na obra </w:t>
      </w:r>
      <w:r>
        <w:rPr>
          <w:i/>
        </w:rPr>
        <w:t>A Mulher do Século XX</w:t>
      </w:r>
      <w:r>
        <w:t xml:space="preserve">, de Plínio Salgado. </w:t>
      </w:r>
    </w:p>
    <w:p w:rsidR="00201DA6" w:rsidRDefault="00201DA6" w:rsidP="00201DA6">
      <w:pPr>
        <w:spacing w:after="112" w:line="259" w:lineRule="auto"/>
        <w:jc w:val="both"/>
      </w:pPr>
      <w:r>
        <w:t xml:space="preserve"> </w:t>
      </w:r>
    </w:p>
    <w:p w:rsidR="00201DA6" w:rsidRDefault="00201DA6" w:rsidP="00201DA6">
      <w:pPr>
        <w:ind w:left="-5" w:right="1"/>
        <w:jc w:val="both"/>
      </w:pPr>
      <w:r>
        <w:t xml:space="preserve">METODOLOGIA </w:t>
      </w:r>
    </w:p>
    <w:p w:rsidR="00201DA6" w:rsidRDefault="00201DA6" w:rsidP="00201DA6">
      <w:pPr>
        <w:spacing w:after="112" w:line="259" w:lineRule="auto"/>
        <w:jc w:val="both"/>
      </w:pPr>
      <w:r>
        <w:t xml:space="preserve"> </w:t>
      </w:r>
    </w:p>
    <w:p w:rsidR="00201DA6" w:rsidRDefault="00201DA6" w:rsidP="00201DA6">
      <w:pPr>
        <w:spacing w:after="114" w:line="259" w:lineRule="auto"/>
        <w:ind w:right="2"/>
        <w:jc w:val="both"/>
      </w:pPr>
      <w:r>
        <w:t xml:space="preserve">Com as teorias da Análise do Discurso procuramos ir além do caráter “conteudista” </w:t>
      </w:r>
    </w:p>
    <w:p w:rsidR="00201DA6" w:rsidRDefault="00201DA6" w:rsidP="00201DA6">
      <w:pPr>
        <w:ind w:left="-5" w:right="1"/>
        <w:jc w:val="both"/>
      </w:pPr>
      <w:r>
        <w:t xml:space="preserve">da produção </w:t>
      </w:r>
      <w:r>
        <w:rPr>
          <w:i/>
        </w:rPr>
        <w:t>A Mulher no Século XX</w:t>
      </w:r>
      <w:r>
        <w:t>. O intuito foi o de adentrar nas discussões que permeiam e que dão condições para a obra ser elaborada naquele determinado contexto histórico. E, com as pesquisas sobre a história das relações entre os gêneros</w:t>
      </w:r>
      <w:r>
        <w:rPr>
          <w:vertAlign w:val="superscript"/>
        </w:rPr>
        <w:footnoteReference w:id="248"/>
      </w:r>
      <w:r>
        <w:t xml:space="preserve">, procuramos contextualizar o discurso de Salgado no período de sua enunciação. </w:t>
      </w:r>
    </w:p>
    <w:p w:rsidR="00201DA6" w:rsidRDefault="00201DA6" w:rsidP="00201DA6">
      <w:pPr>
        <w:ind w:left="-15" w:right="1" w:firstLine="840"/>
        <w:jc w:val="both"/>
      </w:pPr>
      <w:r>
        <w:t>Nesse sentido, podemos trazer conceitos de Dominique Maingueneau quando aborda questões do discurso envolvendo o “lugar”</w:t>
      </w:r>
      <w:r>
        <w:rPr>
          <w:i/>
        </w:rPr>
        <w:t xml:space="preserve"> </w:t>
      </w:r>
      <w:r>
        <w:t>e a “cena” na formação discursiva. Para Maingueneau, a Análise do Discurso busca “formular as instâncias de enunciação em termos de “lugares”, visando a enfatizar a preeminência e a preexistência da topografia social sobre os falantes que aí vêm se inscrever”</w:t>
      </w:r>
      <w:r>
        <w:rPr>
          <w:i/>
        </w:rPr>
        <w:t>.</w:t>
      </w:r>
      <w:r>
        <w:t xml:space="preserve"> (MAINGUENEAU, 1989, p. 32).  Assim, os “lugares sociais” existiriam através de uma rede de “lugares discursivos” e a “encenação” não seria apenas uma máscara do real, mas uma de suas formas, estando o real investido pelo discurso.</w:t>
      </w:r>
      <w:r>
        <w:rPr>
          <w:i/>
        </w:rPr>
        <w:t xml:space="preserve"> </w:t>
      </w:r>
    </w:p>
    <w:p w:rsidR="00201DA6" w:rsidRDefault="00201DA6" w:rsidP="00201DA6">
      <w:pPr>
        <w:spacing w:after="114" w:line="259" w:lineRule="auto"/>
        <w:ind w:right="2"/>
        <w:jc w:val="both"/>
      </w:pPr>
      <w:r>
        <w:t xml:space="preserve">Na primeira metade do século XX, surgiram várias publicações no Brasil que tinham </w:t>
      </w:r>
    </w:p>
    <w:p w:rsidR="00201DA6" w:rsidRDefault="00201DA6" w:rsidP="00201DA6">
      <w:pPr>
        <w:ind w:left="-5" w:right="1"/>
        <w:jc w:val="both"/>
      </w:pPr>
      <w:r>
        <w:t xml:space="preserve">por finalidade instituir as relações entre homens e mulheres, os papéis sociais, condutas e estilos. Muitos dos elementos instituídos resgataram contextos históricos remotos, inclusive por Salgado. No entanto, outras perspectivas surgiram a partir das experiências vividas no século XX e os processos de industrialização e urbanização do Brasil foram elementos-chave que transformaram, definitivamente, o cotidiano das mulheres, sendo alvos de críticas por parte das camadas intelectuais da época. Assim, Plínio Salgado, identificado dentre a camada conservadora, viu nas transformações sociais advindas com a industrialização e urbanização do Brasil, a criação de “problemas” e entraves que deveriam ser solucionados. Desse modo, sistematizou e estabeleceu alguns pensamentos que se materializam no discurso aqui trabalhado. </w:t>
      </w:r>
    </w:p>
    <w:p w:rsidR="00201DA6" w:rsidRDefault="00201DA6" w:rsidP="00201DA6">
      <w:pPr>
        <w:spacing w:after="114" w:line="259" w:lineRule="auto"/>
        <w:ind w:right="2"/>
        <w:jc w:val="both"/>
      </w:pPr>
      <w:r>
        <w:t xml:space="preserve">Quando analisamos o discurso enunciado por Plínio Salgado, não consideramos o </w:t>
      </w:r>
    </w:p>
    <w:p w:rsidR="00201DA6" w:rsidRDefault="00201DA6" w:rsidP="00201DA6">
      <w:pPr>
        <w:ind w:left="-5" w:right="1"/>
        <w:jc w:val="both"/>
      </w:pPr>
      <w:r>
        <w:t xml:space="preserve">autor apenas enquanto criador do discurso, mas como fonte da dispersão da materialidade que se manifesta no discurso. Ou seja, existe um “capital simbólico” e um “direito de enunciar” que possibilita Salgado à competência de instituir um discurso de tal conteúdo, pelo fato dele poder ser considerado o “porta-voz autorizado” que manifesta a mentalidade de certos grupos. Podemos considerar que o “poder de instituir”, não está somente na figura de Salgado, mas, sobretudo no grupo que “delega” este poder. </w:t>
      </w:r>
    </w:p>
    <w:p w:rsidR="00201DA6" w:rsidRDefault="00201DA6" w:rsidP="00201DA6">
      <w:pPr>
        <w:spacing w:after="114" w:line="259" w:lineRule="auto"/>
        <w:ind w:right="2"/>
        <w:jc w:val="both"/>
      </w:pPr>
      <w:r>
        <w:t xml:space="preserve">Trazemos, para tanto, a contribuição de Maingueneau ao tratar dos gêneros do </w:t>
      </w:r>
    </w:p>
    <w:p w:rsidR="00201DA6" w:rsidRDefault="00201DA6" w:rsidP="00201DA6">
      <w:pPr>
        <w:ind w:left="-5" w:right="1"/>
        <w:jc w:val="both"/>
      </w:pPr>
      <w:r>
        <w:t xml:space="preserve">discurso e das ordens discursivas. Ao pensar o aspecto “comunicacional” e “estatutário” do discurso, Maingueneau salienta a busca do reconhecimento no processo enunciativo, questionamento apoiado em Foucault: “quem fala?”; que autoridade exerce no conjunto dos indivíduos falantes?; e é com base no lugar de enunciação, afetado por determinadas capacidades, que podemos relacionar a questão geral da autoridade vinculada à enunciação, algo bem discutido por Pierre Bourdieu, quando trata do discurso autorizado e sua eficácia sustentada pelo reconhecimento e pela legitimação.  </w:t>
      </w:r>
    </w:p>
    <w:p w:rsidR="00201DA6" w:rsidRDefault="00201DA6" w:rsidP="00201DA6">
      <w:pPr>
        <w:spacing w:after="114" w:line="259" w:lineRule="auto"/>
        <w:ind w:right="2"/>
        <w:jc w:val="both"/>
      </w:pPr>
      <w:r>
        <w:t xml:space="preserve">Já dentre os grupos de falantes que interagem e reconhecem o discurso de Salgado, </w:t>
      </w:r>
    </w:p>
    <w:p w:rsidR="00201DA6" w:rsidRDefault="00201DA6" w:rsidP="00201DA6">
      <w:pPr>
        <w:ind w:left="-5" w:right="1"/>
        <w:jc w:val="both"/>
      </w:pPr>
      <w:r>
        <w:t xml:space="preserve">podemos destacar, primeiramente, o grupo dos intelectuais e agentes políticos, que buscavam no início do século XX tornar-se os porta-vozes da nação, corresponsáveis na formação de uma “consciência nacional” e consequentemente pela organização nacional. Existiam tendências e opiniões diversas em meio aos intelectuais brasileiros, porém, faziam parte da “mesma” categoria social, que visava “civilizar por cima, civilizar os que estão em estado de compreender”. (PÉCAUT, 1990, p. 29). Além destes “enunciadores políticos”, se destacam, enquanto grupo que tinha o poder de delegar o direito de enunciar de Salgado, a “grande massa” de receptores do discurso que compunha a AIB ou que, posteriormente, “herdaram” ou simpatizavam com a doutrina integralista.  </w:t>
      </w:r>
    </w:p>
    <w:p w:rsidR="00201DA6" w:rsidRDefault="00201DA6" w:rsidP="00201DA6">
      <w:pPr>
        <w:spacing w:after="236"/>
        <w:ind w:left="-15" w:right="1" w:firstLine="840"/>
        <w:jc w:val="both"/>
      </w:pPr>
      <w:r>
        <w:t xml:space="preserve">Como dissemos, Pierre Bourdieu destaca que a eficácia da “performance discursiva” está no conhecimento e no reconhecimento por parte do grupo, do “capital simbólico” inserido no enunciado discursivo do representante do grupo. A eficácia do discurso e a relação entre o representante/procurador e o grupo, são destacadas a seguir: </w:t>
      </w:r>
    </w:p>
    <w:p w:rsidR="00201DA6" w:rsidRDefault="00201DA6" w:rsidP="00201DA6">
      <w:pPr>
        <w:spacing w:line="249" w:lineRule="auto"/>
        <w:ind w:left="2263"/>
        <w:jc w:val="both"/>
      </w:pPr>
      <w:r>
        <w:rPr>
          <w:sz w:val="20"/>
        </w:rPr>
        <w:t xml:space="preserve">A magia performativa do ritual funciona completamente apenas na medida em que o procurador (...), incumbido de realizá-lo em nome do grupo, age como uma espécie de </w:t>
      </w:r>
      <w:r>
        <w:rPr>
          <w:i/>
          <w:sz w:val="20"/>
        </w:rPr>
        <w:t>medium</w:t>
      </w:r>
      <w:r>
        <w:rPr>
          <w:sz w:val="20"/>
        </w:rPr>
        <w:t xml:space="preserve"> entre o grupo e ele próprio. É o grupo que, por seu intermédio, exerce sobre ele mesmo a eficácia mágica contida no enunciado performativo. A eficácia simbólica das palavras se exerce apenas na medida em que a pessoa-alvo reconhece quem a exerce como podendo exercê-la de direito, ou então, o que dá no mesmo, quando se esquece de si mesma ou se ignora, sujeitando-se a tal eficácia, como se estivesse contribuindo para fundá-la por conta do reconhecimento que lhe concede. (BOURDIEU, 1996, p. 89). </w:t>
      </w:r>
    </w:p>
    <w:p w:rsidR="00201DA6" w:rsidRDefault="00201DA6" w:rsidP="00201DA6">
      <w:pPr>
        <w:ind w:left="-5" w:right="1"/>
        <w:jc w:val="both"/>
      </w:pPr>
      <w:r>
        <w:t xml:space="preserve"> Vale lembrar que este reconhecimento do discurso pelo grupo varia conforme as interpretações dos sujeitos que compõem o grupo. Neste sentido, há necessidade do autor/enunciador do discurso pensar e instituir os “sentidos adequados” para cada representação enunciada, a partir de elementos do mundo social no qual ele e o grupo estão inseridos, criando com isso certa empatia entre ambos. </w:t>
      </w:r>
    </w:p>
    <w:p w:rsidR="00201DA6" w:rsidRDefault="00201DA6" w:rsidP="00201DA6">
      <w:pPr>
        <w:tabs>
          <w:tab w:val="right" w:pos="9084"/>
        </w:tabs>
        <w:spacing w:after="121" w:line="259" w:lineRule="auto"/>
        <w:ind w:left="-15"/>
        <w:jc w:val="both"/>
      </w:pPr>
      <w:r>
        <w:t xml:space="preserve"> </w:t>
      </w:r>
      <w:r>
        <w:tab/>
        <w:t xml:space="preserve">Percebemos, portanto, que um dos pressupostos para a Análise do Discurso é </w:t>
      </w:r>
    </w:p>
    <w:p w:rsidR="00201DA6" w:rsidRDefault="00201DA6" w:rsidP="00201DA6">
      <w:pPr>
        <w:ind w:left="-5" w:right="1"/>
        <w:jc w:val="both"/>
      </w:pPr>
      <w:r>
        <w:t>considerar o sujeito como agente histórico real. A Análise do Discurso pode ser considerada como elemento de mediação entre as diferentes dimensões da realidade histórico-social, em que se inclui a dimensão discursiva. Ao relacionar o discurso de Plínio Salgado, procuramos melhor compreender de que modo este agente/sujeito se posiciona em relação à temática da mulher no seu tempo e quais as perspectivas ideológicas</w:t>
      </w:r>
      <w:r>
        <w:rPr>
          <w:vertAlign w:val="superscript"/>
        </w:rPr>
        <w:footnoteReference w:id="249"/>
      </w:r>
      <w:r>
        <w:t xml:space="preserve"> inseridas em seu discurso. Enfim, tomando algumas das contribuições de Pierre Bourdieu, consideramos que as produções e efeitos de sentidos do discurso revelam-se aspectos centrais na análise discursiva.  </w:t>
      </w:r>
    </w:p>
    <w:p w:rsidR="00201DA6" w:rsidRDefault="00201DA6" w:rsidP="00201DA6">
      <w:pPr>
        <w:spacing w:after="112" w:line="259" w:lineRule="auto"/>
        <w:jc w:val="both"/>
      </w:pPr>
      <w:r>
        <w:t xml:space="preserve"> </w:t>
      </w:r>
    </w:p>
    <w:p w:rsidR="00201DA6" w:rsidRDefault="00201DA6" w:rsidP="00201DA6">
      <w:pPr>
        <w:spacing w:line="259" w:lineRule="auto"/>
        <w:ind w:left="-5" w:right="1"/>
        <w:jc w:val="both"/>
      </w:pPr>
      <w:r>
        <w:t xml:space="preserve">RESULTADOS DA PESQUISA E DISCUSSÃO </w:t>
      </w:r>
    </w:p>
    <w:p w:rsidR="00201DA6" w:rsidRDefault="00201DA6" w:rsidP="00201DA6">
      <w:pPr>
        <w:spacing w:line="259" w:lineRule="auto"/>
        <w:ind w:left="2268"/>
        <w:jc w:val="both"/>
      </w:pPr>
      <w:r>
        <w:t xml:space="preserve"> </w:t>
      </w:r>
    </w:p>
    <w:p w:rsidR="00201DA6" w:rsidRDefault="00201DA6" w:rsidP="00201DA6">
      <w:pPr>
        <w:spacing w:after="28" w:line="249" w:lineRule="auto"/>
        <w:ind w:left="2263"/>
        <w:jc w:val="both"/>
      </w:pPr>
      <w:r>
        <w:rPr>
          <w:sz w:val="20"/>
        </w:rPr>
        <w:t xml:space="preserve">A mulher perde, dia a dia, na civilização burguesa e sem Deus, todos os fundamentos da sua eficiência mental e da sua grandeza moral.  (Plínio Salgado) </w:t>
      </w:r>
    </w:p>
    <w:p w:rsidR="00201DA6" w:rsidRDefault="00201DA6" w:rsidP="00201DA6">
      <w:pPr>
        <w:spacing w:line="259" w:lineRule="auto"/>
        <w:jc w:val="both"/>
      </w:pPr>
      <w:r>
        <w:t xml:space="preserve"> </w:t>
      </w:r>
    </w:p>
    <w:p w:rsidR="00201DA6" w:rsidRDefault="00201DA6" w:rsidP="00201DA6">
      <w:pPr>
        <w:ind w:left="-5" w:right="1"/>
        <w:jc w:val="both"/>
      </w:pPr>
      <w:r>
        <w:t xml:space="preserve"> As “ideias-força” de Salgado, que surgiram na doutrina integralista e, posteriormente, influenciaram o discurso da obra </w:t>
      </w:r>
      <w:r>
        <w:rPr>
          <w:i/>
        </w:rPr>
        <w:t>A Mulher no século XX</w:t>
      </w:r>
      <w:r>
        <w:t xml:space="preserve"> (tal texto foi formulado em Portugal e publicado no Brasil em 1946, período do retorno do exílio), orbitavam no tripé integralista “Deus, Pátria e Família”</w:t>
      </w:r>
      <w:r>
        <w:rPr>
          <w:vertAlign w:val="superscript"/>
        </w:rPr>
        <w:t>9</w:t>
      </w:r>
      <w:r>
        <w:t xml:space="preserve">. Nesse aspecto, podemos ilustrar tal posicionamento com uma das falas de Salgado, enunciada ao país através da imprensa: </w:t>
      </w:r>
    </w:p>
    <w:p w:rsidR="00201DA6" w:rsidRDefault="00201DA6" w:rsidP="00201DA6">
      <w:pPr>
        <w:spacing w:line="259" w:lineRule="auto"/>
        <w:ind w:left="708"/>
        <w:jc w:val="both"/>
      </w:pPr>
      <w:r>
        <w:t xml:space="preserve"> </w:t>
      </w:r>
    </w:p>
    <w:p w:rsidR="00201DA6" w:rsidRDefault="00201DA6" w:rsidP="00201DA6">
      <w:pPr>
        <w:spacing w:after="44" w:line="249" w:lineRule="auto"/>
        <w:ind w:left="2263"/>
        <w:jc w:val="both"/>
      </w:pPr>
      <w:r>
        <w:rPr>
          <w:sz w:val="20"/>
        </w:rPr>
        <w:t>O amor de Deus é a única centelha de luz que ilumina a existencia do homem. O amor da Patria é primeiro fogo ateado ao coração do adolecente. O amor da Familia é a evidencia maxima que assegura a superioridade humana sobre os irracioinais. Pae, filho e Espírito Santo, trindade em uma única pessoa... Deus, Pátria e Familia é a trindade indissolúvel na vida social e ponto de partida de civilização humana... Si tirardes aos homens o amor da Patria, vereis aos trinta dinheiro iscariotes brotarem forças e guilhotinas das entranhas da terra. Si tirardes aos homens o amor da familia, vereis os comunistas moscovitas profanarem a virgindade de suas filhas. Deus, Patria e Familia, único alento da passagem humana pelo orbe: Terra. Irmãos transviados, que seguis o caminho de Moscou, não profaneis a herança de vossos antepassados: Deus, Patria e Familia. Sanai vosso coração do comunismo vermelho e olhai para o magestoso Amazonas, que revoltado contra o jugo moscovita, poderá erguer-se do seu leito e lançar-se sobre a patria brasileira para afogar o satanaz avassalador da civilização nacional e para atiral-o ás profundezas do báratro.</w:t>
      </w:r>
      <w:r>
        <w:rPr>
          <w:sz w:val="20"/>
          <w:vertAlign w:val="superscript"/>
        </w:rPr>
        <w:footnoteReference w:id="250"/>
      </w:r>
      <w:r>
        <w:rPr>
          <w:sz w:val="20"/>
        </w:rPr>
        <w:t xml:space="preserve">          </w:t>
      </w:r>
    </w:p>
    <w:p w:rsidR="00201DA6" w:rsidRDefault="00201DA6" w:rsidP="00201DA6">
      <w:pPr>
        <w:spacing w:after="112" w:line="259" w:lineRule="auto"/>
        <w:jc w:val="both"/>
      </w:pPr>
      <w:r>
        <w:t xml:space="preserve"> </w:t>
      </w:r>
    </w:p>
    <w:p w:rsidR="00201DA6" w:rsidRDefault="00201DA6" w:rsidP="00201DA6">
      <w:pPr>
        <w:ind w:left="-15" w:right="1" w:firstLine="708"/>
        <w:jc w:val="both"/>
      </w:pPr>
      <w:r>
        <w:t>Carmencita Ditzel observa que entre as estratégias políticas e persuasivas de Salgado está a sedução de grupos particularizados - dentre eles, as mulheres, sendo que o “sucesso desse apelo também pode ser atribuído à capacidade de adequar, ‘colorir’ as idéias-força do movimento, de acordo com as circunstâncias e o destinatário. Plínio, em especial, reformulava suas sempre novas-velhas ideias”</w:t>
      </w:r>
      <w:r>
        <w:rPr>
          <w:i/>
        </w:rPr>
        <w:t xml:space="preserve"> </w:t>
      </w:r>
      <w:r>
        <w:t xml:space="preserve">(DITZEL, 2004, p. 260).  </w:t>
      </w:r>
    </w:p>
    <w:p w:rsidR="00201DA6" w:rsidRDefault="00201DA6" w:rsidP="00201DA6">
      <w:pPr>
        <w:ind w:left="-15" w:right="1" w:firstLine="708"/>
        <w:jc w:val="both"/>
      </w:pPr>
      <w:r>
        <w:t xml:space="preserve">Para Moacyr Godoy Moreira, no Brasil dos anos 1940-1950, o machismo e a submissão sofrida pela mulher, mantinha-se como marca preponderante dos valores conservadores. Ao estudar os contos do livro “Laços de Família”, de Clarice Lispector, partindo de um estudo da linguagem nos textos, Moreira também aponta que intelectuais que buscavam legitimar a estrutura da sociedade, discorriam tentando convencer as mulheres de que a submissão, além de correta, era seu papel quase biológico e, por outro lado, incitavam os homens a manterem a atuação patriarcal e androcêntrica como eram exercidas. </w:t>
      </w:r>
    </w:p>
    <w:p w:rsidR="00201DA6" w:rsidRDefault="00201DA6" w:rsidP="00201DA6">
      <w:pPr>
        <w:spacing w:after="236"/>
        <w:ind w:left="-15" w:right="1" w:firstLine="708"/>
        <w:jc w:val="both"/>
      </w:pPr>
      <w:r>
        <w:t xml:space="preserve">Deste modo, sobre a obra </w:t>
      </w:r>
      <w:r>
        <w:rPr>
          <w:i/>
        </w:rPr>
        <w:t>A Mulher no século XX</w:t>
      </w:r>
      <w:r>
        <w:t xml:space="preserve">, Moacyr Godoy Moreira destaca, rapidamente: </w:t>
      </w:r>
    </w:p>
    <w:p w:rsidR="00201DA6" w:rsidRDefault="00201DA6" w:rsidP="00201DA6">
      <w:pPr>
        <w:spacing w:after="310" w:line="249" w:lineRule="auto"/>
        <w:ind w:left="2263"/>
        <w:jc w:val="both"/>
      </w:pPr>
      <w:r>
        <w:rPr>
          <w:sz w:val="20"/>
        </w:rPr>
        <w:t xml:space="preserve">Nota-se o caráter didático da fala e a elaboração do discurso bem articulado, tentando aparentemente afastar a atenção do leitor do caráter repressivo do texto. A presença de hipérboles e de frases eloqüentes é outro método de dominação e manipulação pela palavra, além de rica adjetivação. Estas características aparecem em outros escritos de Salgado e de outros intelectuais citados anteriormente, como Oliveira Vianna e Miguel Reale. (MOREIRA, 2007, p. 72). </w:t>
      </w:r>
    </w:p>
    <w:p w:rsidR="00201DA6" w:rsidRDefault="00201DA6" w:rsidP="00201DA6">
      <w:pPr>
        <w:ind w:left="-5" w:right="1"/>
        <w:jc w:val="both"/>
      </w:pPr>
      <w:r>
        <w:t xml:space="preserve"> Observa-se certa subjetividade no texto de Salgado, o que exige analisarmos o texto além do seu conteúdo. Consideramos que a obra manifesta, explícita e implicitamente, certo “agrupamento” dos discursos que constituíram as relações entre os gêneros nas décadas de 1940 e 1950. É importante salientarmos que o discurso de Salgado não é totalizante, mas manifesta algumas das disputas de forças existentes no contexto no qual a obra foi publicada. Contudo, utilizamos a obra como </w:t>
      </w:r>
      <w:r>
        <w:rPr>
          <w:i/>
        </w:rPr>
        <w:t>fonte histórica</w:t>
      </w:r>
      <w:r>
        <w:t xml:space="preserve">, porém verificamos um duplo sentido, pois Salgado buscou instituir nela um caráter </w:t>
      </w:r>
      <w:r>
        <w:rPr>
          <w:i/>
        </w:rPr>
        <w:t>sócio-histórico-ensaístico</w:t>
      </w:r>
      <w:r>
        <w:t xml:space="preserve">. </w:t>
      </w:r>
    </w:p>
    <w:p w:rsidR="00201DA6" w:rsidRDefault="00201DA6" w:rsidP="00201DA6">
      <w:pPr>
        <w:spacing w:after="105"/>
        <w:ind w:left="-15" w:right="1" w:firstLine="708"/>
        <w:jc w:val="both"/>
      </w:pPr>
      <w:r>
        <w:t>Nesta perspectiva, Bourdieu completa que “instituir, atribuir uma essência, uma competência, é o mesmo que impor um direito de ser que é também um dever ser (ou um dever de ser). É fazer ver a alguém o que ele é e, ao mesmo tempo, lhe fazer ver que tem de se comportar em função de tal identidade. Neste caso, o indicativo é um imperativo” (BOURDIEU, 1996, p. 100)</w:t>
      </w:r>
      <w:r>
        <w:rPr>
          <w:i/>
        </w:rPr>
        <w:t xml:space="preserve">. </w:t>
      </w:r>
      <w:r>
        <w:t xml:space="preserve">Assim, o sujeito/leitor “deixa de ser o que é” para “ser o que o enunciador (que na referida obra foi Plínio Salgado) diz que “ele é”.  </w:t>
      </w:r>
    </w:p>
    <w:p w:rsidR="00201DA6" w:rsidRDefault="00201DA6" w:rsidP="00201DA6">
      <w:pPr>
        <w:spacing w:after="236"/>
        <w:ind w:left="-15" w:right="1" w:firstLine="840"/>
        <w:jc w:val="both"/>
      </w:pPr>
      <w:r>
        <w:t xml:space="preserve">Este imperativo, a exigência contida na obra e destacada por Pierre Bourdieu em relação ao “ato de instituir”, também é mensurado por Dominique Maingueneau na perspectiva pragmática: </w:t>
      </w:r>
    </w:p>
    <w:p w:rsidR="00201DA6" w:rsidRDefault="00201DA6" w:rsidP="00201DA6">
      <w:pPr>
        <w:spacing w:line="249" w:lineRule="auto"/>
        <w:ind w:left="2263"/>
        <w:jc w:val="both"/>
      </w:pPr>
      <w:r>
        <w:rPr>
          <w:sz w:val="20"/>
        </w:rPr>
        <w:t xml:space="preserve">A pragmática tende a enfatizar que “a tomada da palavra” constitui um ato virtualmente violento que coloca outrem diante de um fato realizado e exige que este o reconheça como tal. Ao enunciar, eu me concedo um certo lugar e “atribuo um lugar complementar ao outro”, peço-lhe que se mantenha nele e que “reconheça que sou exatamente aquele que fala de meu lugar”. Solicitação que é feita, pois, a partir de um “quem sou eu para ti, quem és tu para mim”. (MAINGUENEAU, 1989, p. </w:t>
      </w:r>
    </w:p>
    <w:p w:rsidR="00201DA6" w:rsidRDefault="00201DA6" w:rsidP="00201DA6">
      <w:pPr>
        <w:spacing w:after="310" w:line="249" w:lineRule="auto"/>
        <w:ind w:left="2263"/>
        <w:jc w:val="both"/>
      </w:pPr>
      <w:r>
        <w:rPr>
          <w:sz w:val="20"/>
        </w:rPr>
        <w:t xml:space="preserve">32). </w:t>
      </w:r>
    </w:p>
    <w:p w:rsidR="00201DA6" w:rsidRDefault="00201DA6" w:rsidP="00201DA6">
      <w:pPr>
        <w:ind w:left="-15" w:right="1" w:firstLine="840"/>
        <w:jc w:val="both"/>
      </w:pPr>
      <w:r>
        <w:t>Em relação ao conteúdo da obra, observamos nos elementos do discurso de Salgado a expressão de seus pensamentos em relação às mulheres. Algumas características se destacam no discurso, dentre elas o biologismo</w:t>
      </w:r>
      <w:r>
        <w:rPr>
          <w:vertAlign w:val="superscript"/>
        </w:rPr>
        <w:footnoteReference w:id="251"/>
      </w:r>
      <w:r>
        <w:t>,</w:t>
      </w:r>
      <w:r>
        <w:rPr>
          <w:i/>
        </w:rPr>
        <w:t xml:space="preserve"> </w:t>
      </w:r>
      <w:r>
        <w:t>a</w:t>
      </w:r>
      <w:r>
        <w:rPr>
          <w:i/>
        </w:rPr>
        <w:t xml:space="preserve"> </w:t>
      </w:r>
      <w:r>
        <w:t>dicotomia</w:t>
      </w:r>
      <w:r>
        <w:rPr>
          <w:i/>
        </w:rPr>
        <w:t xml:space="preserve"> </w:t>
      </w:r>
      <w:r>
        <w:t>na relação entre os gêneros</w:t>
      </w:r>
      <w:r>
        <w:rPr>
          <w:vertAlign w:val="superscript"/>
        </w:rPr>
        <w:footnoteReference w:id="252"/>
      </w:r>
      <w:r>
        <w:t xml:space="preserve">, a distinção entre o ambiente doméstico e o não-doméstico, a exaltação do sentimento religioso e da “função maternal”. </w:t>
      </w:r>
    </w:p>
    <w:p w:rsidR="00201DA6" w:rsidRDefault="00201DA6" w:rsidP="00201DA6">
      <w:pPr>
        <w:ind w:left="-15" w:right="1" w:firstLine="840"/>
        <w:jc w:val="both"/>
      </w:pPr>
      <w:r>
        <w:t>Segundo Plínio Salgado, a função física do gênero feminino que se distingue do gênero masculino, manifesta-se na maternidade. Logo, a “função social da mulher” deve proceder desta função. Com isso, cabem às mulheres, sobretudo as mães de família, a “grande missão” de “civilizar” a prole e, consequentemente, as futuras gerações para construir a “Grande Nação Integralista”. Assim, o autor/enunciador busca fundamentar seu projeto de construção e controle sociais naquilo que é biologicamente dado: a maternidade. Contudo, o maternalismo</w:t>
      </w:r>
      <w:r>
        <w:rPr>
          <w:vertAlign w:val="superscript"/>
        </w:rPr>
        <w:footnoteReference w:id="253"/>
      </w:r>
      <w:r>
        <w:t xml:space="preserve"> em Salgado, também sofre interdições, pois o mesmo não restringe a maternidade ao aspecto biológico, mas ao social e ao religioso. Para Salgado, a força mantenedora da personalidade na mulher é a formação moral que só teria base segura no sentimento religioso. No discurso de Salgado, raramente haveria uma moral feminina sem a religião como guia. </w:t>
      </w:r>
    </w:p>
    <w:p w:rsidR="00201DA6" w:rsidRDefault="00201DA6" w:rsidP="00201DA6">
      <w:pPr>
        <w:spacing w:line="259" w:lineRule="auto"/>
        <w:ind w:left="2268"/>
        <w:jc w:val="both"/>
      </w:pPr>
      <w:r>
        <w:rPr>
          <w:sz w:val="20"/>
        </w:rPr>
        <w:t xml:space="preserve"> </w:t>
      </w:r>
    </w:p>
    <w:p w:rsidR="00201DA6" w:rsidRDefault="00201DA6" w:rsidP="00201DA6">
      <w:pPr>
        <w:spacing w:line="249" w:lineRule="auto"/>
        <w:ind w:left="2263"/>
        <w:jc w:val="both"/>
      </w:pPr>
      <w:r>
        <w:rPr>
          <w:sz w:val="20"/>
        </w:rPr>
        <w:t>Entre os homens é possível encontrar-se ateus e materialistas que conservem o autodomínio em relação aos costumes; mas entre as mulheres é raríssimo ver-se uma irreligiosa mantendo seguro teor moral ... Se irreligiosa, vai às extremas conclusões. Por isso, a maior parte das mulheres intelectuais, que não tiverem formação religiosa com que se defenderem dos erros do nosso tempo, perdem o poder de reagir e, correndo atrás de uma liberdade ilusória, terminam caindo em degradantes formas de escravidão e miséria. (SALGADO, 1955, p. 262-263)</w:t>
      </w:r>
      <w:r>
        <w:rPr>
          <w:i/>
          <w:sz w:val="20"/>
        </w:rPr>
        <w:t>.</w:t>
      </w:r>
      <w:r>
        <w:rPr>
          <w:sz w:val="20"/>
        </w:rPr>
        <w:t xml:space="preserve"> </w:t>
      </w:r>
    </w:p>
    <w:p w:rsidR="00201DA6" w:rsidRDefault="00201DA6" w:rsidP="00201DA6">
      <w:pPr>
        <w:spacing w:after="20" w:line="259" w:lineRule="auto"/>
        <w:ind w:left="2268"/>
        <w:jc w:val="both"/>
      </w:pPr>
      <w:r>
        <w:rPr>
          <w:sz w:val="20"/>
        </w:rPr>
        <w:t xml:space="preserve">     </w:t>
      </w:r>
    </w:p>
    <w:p w:rsidR="00201DA6" w:rsidRDefault="00201DA6" w:rsidP="00201DA6">
      <w:pPr>
        <w:ind w:left="-5" w:right="1"/>
        <w:jc w:val="both"/>
      </w:pPr>
      <w:r>
        <w:t xml:space="preserve"> Salgado destaca que o afastamento da mulher do ambiente doméstico, caracterizava uma “anormalidade biológica”, certo de que a “mulher, biologicamente, foi feita para o lar” e que não estaria preparada para enfrentar os dias difíceis de uma adaptação a novas condições de existência criadas pelo progresso acelerado das transformações técnicas. Completa ainda, enfocando seu discurso sobre a “incompetência de muitas mulheres” na educação dos filhos: “esse tipo de homem do século XX [causador das mazelas sociais] é o produto da mulher do nosso tempo”</w:t>
      </w:r>
      <w:r>
        <w:rPr>
          <w:i/>
        </w:rPr>
        <w:t xml:space="preserve"> </w:t>
      </w:r>
      <w:r>
        <w:t>(SALGADO, 1955, p. 287)</w:t>
      </w:r>
      <w:r>
        <w:rPr>
          <w:i/>
        </w:rPr>
        <w:t xml:space="preserve">.  </w:t>
      </w:r>
    </w:p>
    <w:p w:rsidR="00201DA6" w:rsidRDefault="00201DA6" w:rsidP="00201DA6">
      <w:pPr>
        <w:ind w:left="-15" w:right="1" w:firstLine="708"/>
        <w:jc w:val="both"/>
      </w:pPr>
      <w:r>
        <w:t>As mulheres, conforme Salgado, seriam inferiores em relação aos homens no que se referem as “transformações técnicas” e ao mercado de trabalho, além de culpadas pela “imoralidade humana”. Com isso, identificamos que tal enunciador busca uma eficácia simbólica em seu discurso, o qual está embebido em ideologia. A “salvação”, proposta por Salgado, reside no sentimento religioso e no tratamento dicotômico entre homens e mulheres. Além disso, Salgado considera que o princípio norteador do exercício maternal, não está apenas na função física, mas principalmente na “função moral” e é com essa força que a “mulher podia contrapor-se à força física do homem e exercer a sua influência desde os círculos domésticos até os amplos círculos da sociedade” (SALGADO, 1955, p. 280)</w:t>
      </w:r>
      <w:r>
        <w:rPr>
          <w:i/>
        </w:rPr>
        <w:t>.</w:t>
      </w:r>
      <w:r>
        <w:t xml:space="preserve"> Prossegue afirmando que se a “mulher não é capaz de compreender e estimular as virtudes do marido, ele acabará perdendo todo o interesse por ela, ou pelos padrões da vida moral que tenha porventura acalentado”</w:t>
      </w:r>
      <w:r>
        <w:rPr>
          <w:i/>
        </w:rPr>
        <w:t xml:space="preserve"> </w:t>
      </w:r>
      <w:r>
        <w:t>(SALGADO, 1955, p. 281)</w:t>
      </w:r>
      <w:r>
        <w:rPr>
          <w:i/>
        </w:rPr>
        <w:t>.</w:t>
      </w:r>
      <w:r>
        <w:t xml:space="preserve"> Completa que a “força feminina”, “mantenedora da personalidade da mulher há de ser a sua formação moral e a formação moral só tem uma base segura: o sentimento religioso” (SALGADO, 1955, p. 282)</w:t>
      </w:r>
      <w:r>
        <w:rPr>
          <w:i/>
        </w:rPr>
        <w:t xml:space="preserve">.  </w:t>
      </w:r>
    </w:p>
    <w:p w:rsidR="00201DA6" w:rsidRDefault="00201DA6" w:rsidP="00201DA6">
      <w:pPr>
        <w:ind w:left="-15" w:right="1" w:firstLine="708"/>
        <w:jc w:val="both"/>
      </w:pPr>
      <w:r>
        <w:t xml:space="preserve">São com esses predicativos e conceitos que Salgado institui um “modo de ser e de agir” das mulheres e encontra um subterfúgio no pensamento religioso. O sentido moral, com base no campo cultural-religioso, revela não só as filiações do enunciador, mas também a legitimação e a construção de uma eficácia simbólica das palavras ditas.  </w:t>
      </w:r>
    </w:p>
    <w:p w:rsidR="00201DA6" w:rsidRDefault="00201DA6" w:rsidP="00201DA6">
      <w:pPr>
        <w:spacing w:line="363" w:lineRule="auto"/>
        <w:ind w:right="2"/>
        <w:jc w:val="both"/>
      </w:pPr>
      <w:r>
        <w:t>Em Salgado, o sentimento religioso é fundamental na “formação moral” feminina e, consequentemente, para o conceito de Nação Integralista, pois destaca que “o Estado Integral, essencialmente, é para mim o Estado que vem de Cristo, inspira-se em Cristo, age por Cristo e vai para Cristo” (SALGADO, 1982, XXIV)</w:t>
      </w:r>
      <w:r>
        <w:rPr>
          <w:i/>
        </w:rPr>
        <w:t>.</w:t>
      </w:r>
      <w:r>
        <w:t xml:space="preserve"> Neste sentido, podemos entender o papel fundamental das mulheres em relação ao lema integralista “Deus, Pátria, Família”</w:t>
      </w:r>
      <w:r>
        <w:rPr>
          <w:vertAlign w:val="superscript"/>
        </w:rPr>
        <w:footnoteReference w:id="254"/>
      </w:r>
      <w:r>
        <w:t xml:space="preserve">, pois através dos princípios religiosos e por intermédio delas - restritas e “subjugadas”, preponderantemente, ao ambiente doméstico -  formar-se-ia o caráter dos indivíduos na célula familiar. A junção das famílias completaria a “Grande Família Nacional”. Como apresentamos, as ideias/conceitos de moral, maternidade, força, salvação, religião e família, são recorrentes nas palavras de Salgado no que se refere ao papel e ao lugar da mulher na metade do século XX. </w:t>
      </w:r>
    </w:p>
    <w:p w:rsidR="00201DA6" w:rsidRDefault="00201DA6" w:rsidP="00201DA6">
      <w:pPr>
        <w:ind w:left="-15" w:right="1" w:firstLine="840"/>
        <w:jc w:val="both"/>
      </w:pPr>
      <w:r>
        <w:t>O pensamento conservador de Salgado, alicerçado no resgate de seu projeto de Estado Autoritário, pode ser entendido sob a ótica de Bourdieu, pois busca “ratificar e reforçar as prescrições e as proscrições do patriarcado privado com as de um patriarcado público, inscrito em todas as instituições encarregadas de gerir e regulamentar a existência quotidiana da unidade doméstica”</w:t>
      </w:r>
      <w:r>
        <w:rPr>
          <w:i/>
        </w:rPr>
        <w:t xml:space="preserve"> </w:t>
      </w:r>
      <w:r>
        <w:t xml:space="preserve">(BOURDIEU, 2009, p. 105). A dominação masculina não se restringe à célula familiar, pois é ratificada pelo poder do Estado, segundo a perspectiva de Salgado. </w:t>
      </w:r>
    </w:p>
    <w:p w:rsidR="00201DA6" w:rsidRDefault="00201DA6" w:rsidP="00201DA6">
      <w:pPr>
        <w:ind w:left="-15" w:right="1" w:firstLine="840"/>
        <w:jc w:val="both"/>
      </w:pPr>
      <w:r>
        <w:t xml:space="preserve">Em síntese, o discurso integralista emitido por Salgado propõe um projeto social recebido como “inovador” para a época, pois insere as mulheres nos quadros políticos, sobretudo na década de 1930, e no discurso da “formação nacional”. Além disso, o projeto enfatiza a importância da educação para as mulheres tanto para educar os filhos como para os estudos formais. Mas, analisando a retórica discursiva de Salgado, consideramos que o discurso é conservador e perpetua concepções e mentalidades patriarcais, que buscam naturalizar a inferioridade das mulheres através do discurso e visa persuadir as mulheres via um sentimentalismo cristão.  </w:t>
      </w:r>
    </w:p>
    <w:p w:rsidR="00201DA6" w:rsidRDefault="00201DA6" w:rsidP="00201DA6">
      <w:pPr>
        <w:ind w:left="-15" w:right="1" w:firstLine="840"/>
        <w:jc w:val="both"/>
      </w:pPr>
      <w:r>
        <w:t xml:space="preserve">A princípio, parece haver uma dicotomia discursiva contida na fala de Salgado, a qual apresentaria a possibilidade de uma maior participação social da mulher e, ao mesmo tempo, reafirmaria o princípio da maternidade, da esposa e da dona de casa exemplar. Entretanto, nos parece que essas questões estão embebidas em consideráveis efeitos de sentidos que, na realidade, revelariam uma estratégia discursiva evocando o que poderíamos chamar de “mudança conservadora”. No contexto histórico em que a mulher gradativamente passou a agregar, mesmo que timidamente, um maior papel social - com gradativo acesso ao trabalho externo e a possibilidade do voto no Brasil -, nas prerrogativas enunciadas por Salgado em sua obra, a mulher deve permanecer circunscrita à função feminina da maternidade, da casa e da formação moral e patriótica dos filhos, zelando pela manutenção da célula familiar e dos valores tradicionais.  </w:t>
      </w:r>
    </w:p>
    <w:p w:rsidR="00201DA6" w:rsidRDefault="00201DA6" w:rsidP="00201DA6">
      <w:pPr>
        <w:spacing w:after="233"/>
        <w:ind w:left="-15" w:right="1" w:firstLine="840"/>
        <w:jc w:val="both"/>
      </w:pPr>
      <w:r>
        <w:t xml:space="preserve">Em outro sentido, quando analisamos a semântica discursiva de Salgado, consideramos que o “capital simbólico” que potencializa o enunciado caracteriza a posição sócio-histórica do enunciador. Porém, não generalizamos a ideologia presente no enunciado e não entendemos esta ideologia sendo homogênea no contexto histórico, o que nos remete a recortar e analisar o discurso enquanto reconhecido por grupos específicos. Isto se fundamenta na prerrogativa que em um contexto histórico há “lutas sociais de classificação” do mundo, proferida pelos vários grupos existentes. Desse modo, Pierre Bourdieu destaca a finalidade dessas lutas de classificação: </w:t>
      </w:r>
    </w:p>
    <w:p w:rsidR="00201DA6" w:rsidRDefault="00201DA6" w:rsidP="00201DA6">
      <w:pPr>
        <w:spacing w:after="310" w:line="249" w:lineRule="auto"/>
        <w:ind w:left="2263"/>
        <w:jc w:val="both"/>
      </w:pPr>
      <w:r>
        <w:rPr>
          <w:sz w:val="20"/>
        </w:rPr>
        <w:t xml:space="preserve">O móvel de todas essas lutas é o poder de impor uma visão do mundo social através dos princípios de di-visão que, tão logo se impõem ao conjunto de um grupo, estabelecem o sentido e o consenso sobre o sentido, em particular sobre a identidade e a unidade do grupo, que está na raiz da realidade da unidade e da identidade do grupo. (BOURDIEU, 1996, p. 108). </w:t>
      </w:r>
    </w:p>
    <w:p w:rsidR="00201DA6" w:rsidRDefault="00201DA6" w:rsidP="00201DA6">
      <w:pPr>
        <w:spacing w:after="114" w:line="259" w:lineRule="auto"/>
        <w:ind w:right="2"/>
        <w:jc w:val="both"/>
      </w:pPr>
      <w:r>
        <w:t xml:space="preserve">Portanto, quando é enunciado um discurso, impreterivelmente, privilegiam-se </w:t>
      </w:r>
    </w:p>
    <w:p w:rsidR="00201DA6" w:rsidRDefault="00201DA6" w:rsidP="00201DA6">
      <w:pPr>
        <w:ind w:left="-5" w:right="1"/>
        <w:jc w:val="both"/>
      </w:pPr>
      <w:r>
        <w:t xml:space="preserve">determinados conceitos e distanciam-se outros. Segundo Bourdieu, “a instituição é um ato de magia social capaz de criar a diferença ex </w:t>
      </w:r>
      <w:r>
        <w:rPr>
          <w:i/>
        </w:rPr>
        <w:t>nihilo</w:t>
      </w:r>
      <w:r>
        <w:t>, ou então, como é o caso mais freqüente, de explorar de alguma maneira as diferenças preexistentes”</w:t>
      </w:r>
      <w:r>
        <w:rPr>
          <w:i/>
        </w:rPr>
        <w:t xml:space="preserve"> </w:t>
      </w:r>
      <w:r>
        <w:t>(BOURDIEU, 1996, p. 100). Observamos no discurso de Salgado certa apropriação dos elementos reivindicados pelas feministas</w:t>
      </w:r>
      <w:r>
        <w:rPr>
          <w:vertAlign w:val="superscript"/>
        </w:rPr>
        <w:footnoteReference w:id="255"/>
      </w:r>
      <w:r>
        <w:t xml:space="preserve"> no contexto da obra, sobretudo na defesa da educação feminina e da maternidade. Porém, para Salgado as feministas tornaram-se alvo de críticas, em função da reivindicação de equiparação dos direitos entre os gêneros no mercado de trabalho e no papel social. E, enquanto ele opera a crítica às feministas, se aproxima do pensamento intransigente católico, principalmente quanto à preocupação com a modernidade e a transformação dos valores </w:t>
      </w:r>
    </w:p>
    <w:p w:rsidR="00201DA6" w:rsidRDefault="00201DA6" w:rsidP="00201DA6">
      <w:pPr>
        <w:spacing w:after="357" w:line="259" w:lineRule="auto"/>
        <w:ind w:left="-5" w:right="1"/>
        <w:jc w:val="both"/>
      </w:pPr>
      <w:r>
        <w:t xml:space="preserve">tradicionais: </w:t>
      </w:r>
    </w:p>
    <w:p w:rsidR="00201DA6" w:rsidRDefault="00201DA6" w:rsidP="00201DA6">
      <w:pPr>
        <w:spacing w:after="310" w:line="249" w:lineRule="auto"/>
        <w:ind w:left="2263"/>
        <w:jc w:val="both"/>
      </w:pPr>
      <w:r>
        <w:rPr>
          <w:sz w:val="20"/>
        </w:rPr>
        <w:t xml:space="preserve">O desvio de seu destino começa por essa moderna forma de romantismo que se batizou com o nome de ‘feminismo’ e que antes deveria chamar-se de ‘masculinismo’, e termina – após todos os cânticos à liberdade – com a anulação completa dessa mesma liberdade e a queda vertical até os extremos da escravidão e da degradação. (SALGADO, 1955, p. 306). </w:t>
      </w:r>
    </w:p>
    <w:p w:rsidR="00201DA6" w:rsidRDefault="00201DA6" w:rsidP="00201DA6">
      <w:pPr>
        <w:spacing w:after="114" w:line="259" w:lineRule="auto"/>
        <w:ind w:right="2"/>
        <w:jc w:val="both"/>
      </w:pPr>
      <w:r>
        <w:t xml:space="preserve">A aproximação do pensamento de Salgado com a intransigência e o integrismo </w:t>
      </w:r>
    </w:p>
    <w:p w:rsidR="00201DA6" w:rsidRDefault="00201DA6" w:rsidP="00201DA6">
      <w:pPr>
        <w:spacing w:after="233"/>
        <w:ind w:left="-5" w:right="1"/>
        <w:jc w:val="both"/>
      </w:pPr>
      <w:r>
        <w:t xml:space="preserve">católico se evidencia na valorização, na defesa e na positivação dos valores medievais. Para tanto, Salgado afirma que “as grandes mulheres do período da Renascença não poderiam ter existido se antes delas não houvesse uma sociedade como a da Idade Média, em que a mulher, de forma alguma foi apenas um instrumento de prazer ou um objeto de escravidão” (SALGADO, 1955, p. 250). Na seqüência, Salgado “ancora” seus pensamentos nos valores medievais: </w:t>
      </w:r>
    </w:p>
    <w:p w:rsidR="00201DA6" w:rsidRDefault="00201DA6" w:rsidP="00201DA6">
      <w:pPr>
        <w:spacing w:after="310" w:line="249" w:lineRule="auto"/>
        <w:ind w:left="2263"/>
        <w:jc w:val="both"/>
      </w:pPr>
      <w:r>
        <w:rPr>
          <w:sz w:val="20"/>
        </w:rPr>
        <w:t xml:space="preserve">Os homens do século XX crêem, apenas, na fôrça bruta e tôda a sua construção jurídica baseia-se no predomínio dos mais ricos e mais armados. No século XIX, os por si mesmos chamados de “livres-pensadores” criticavam severamente os tempos em que os príncipes do mundo, apesar dos exércitos de que dispunham, submetiam suas contendas aos conselhos de um pequeno soberano, fraco materialmente, mas cheio da fôrça moral que advinha da sobrenaturalidade de sua missão na terra. A essa atitude cavalheiresca dos monarcas e dos povos e a essa influência paternal do representante máximo do Cristo davam-se os nomes de fanatismo religioso, tirania papal e obscurantismo opressor da liberdade das nações. (SALGADO, 1955, p. 283). </w:t>
      </w:r>
    </w:p>
    <w:p w:rsidR="00201DA6" w:rsidRDefault="00201DA6" w:rsidP="00201DA6">
      <w:pPr>
        <w:ind w:left="-5" w:right="1"/>
        <w:jc w:val="both"/>
      </w:pPr>
      <w:r>
        <w:t xml:space="preserve"> A perspectiva discursiva que resgata o ideário medieval certamente “deturpou” a representação integralista de uma “mulher moderna”. Em oposição, a força da retórica de Salgado está no sentimentalismo que visa influenciar o leitor/enunciatário e, pelo “autocondicionamento psíquico” deste, seria capaz de submetê-lo às representações enunciadas.  </w:t>
      </w:r>
    </w:p>
    <w:p w:rsidR="00201DA6" w:rsidRDefault="00201DA6" w:rsidP="00201DA6">
      <w:pPr>
        <w:ind w:left="-5" w:right="1"/>
        <w:jc w:val="both"/>
      </w:pPr>
      <w:r>
        <w:t xml:space="preserve"> O discurso de Salgado também é perpassado por outros discursos que podem auxiliar na estratégia de legitimação discursiva. Podemos citar como exemplo a referência que faz à Encíclica “</w:t>
      </w:r>
      <w:r>
        <w:rPr>
          <w:i/>
        </w:rPr>
        <w:t>Divini illius magister</w:t>
      </w:r>
      <w:r>
        <w:t>” do papa Pio XI, que considera errôneo e pernicioso à educação cristã o método da coeducação negador do pecado original, o qual causaria uma confusão de ideias, acarretando promiscuidades e a igualdade niveladora. Tal encíclica defende a unidade do matrimônio, refutando a promiscuidade e igualdade entre os dois sexos. Do contrário, para Salgado, “a mulher desvaloriza-se na instituição na indistinção dos sexos, e em conseqüência, o homem rebaixa-se, perdendo o teor viril, por que nos países onde a mulher se masculiniza, o homem também se torna afeminado”</w:t>
      </w:r>
      <w:r>
        <w:rPr>
          <w:i/>
        </w:rPr>
        <w:t xml:space="preserve"> </w:t>
      </w:r>
      <w:r>
        <w:t xml:space="preserve">(SALGADO, 1955, p. 305). </w:t>
      </w:r>
    </w:p>
    <w:p w:rsidR="00201DA6" w:rsidRDefault="00201DA6" w:rsidP="00201DA6">
      <w:pPr>
        <w:spacing w:after="233"/>
        <w:ind w:left="-5" w:right="1"/>
        <w:jc w:val="both"/>
      </w:pPr>
      <w:r>
        <w:t xml:space="preserve"> Também nos são úteis as contribuições de Maingueneau quando trabalha com a “deixis discursiva” a qual está relacionada com o universo de sentido que uma formação constrói através de sua enunciação. Nessa perspectiva, a </w:t>
      </w:r>
      <w:r>
        <w:rPr>
          <w:i/>
        </w:rPr>
        <w:t xml:space="preserve">deixis </w:t>
      </w:r>
      <w:r>
        <w:t xml:space="preserve">distinguiria o </w:t>
      </w:r>
      <w:r>
        <w:rPr>
          <w:i/>
        </w:rPr>
        <w:t>locutor</w:t>
      </w:r>
      <w:r>
        <w:t xml:space="preserve">, o </w:t>
      </w:r>
      <w:r>
        <w:rPr>
          <w:i/>
        </w:rPr>
        <w:t>destinatário discursivo</w:t>
      </w:r>
      <w:r>
        <w:t xml:space="preserve">, a </w:t>
      </w:r>
      <w:r>
        <w:rPr>
          <w:i/>
        </w:rPr>
        <w:t>cronografia</w:t>
      </w:r>
      <w:r>
        <w:t xml:space="preserve"> e a </w:t>
      </w:r>
      <w:r>
        <w:rPr>
          <w:i/>
        </w:rPr>
        <w:t>topografia</w:t>
      </w:r>
      <w:r>
        <w:t xml:space="preserve">. É dessa forma que o discurso de Plínio Salgado na referida obra, o atribui como locutor, enunciando: “escrevi-o como filho, esposo, pai e irmão ... como homem do meu tempo e o mais intimo dos discípulos dAquele que é o maior dos Mestres” (SALGADO, 1955, p. 222); como destinatários o próprio locutor anuncia diversas instituições, como órgãos de Ação Católica, obras de caridade, sociedade brasileira, leitoras, sendo elas: “mães, espôsas, noivas, irmãs, da Nação Portuguesa e da Pátria Brasileira” (SALGADO, 1955, p. 222). Como “topografia” institui o ocidente cristão, sobretudo a nações brasileira e portuguesa. Já como “cronografia” estabelece o processo de decadência moral, espiritual, as mazelas advindas do materialismo e do comunismo ateu. Para exemplificar, destacamos a fala de Salgado quando se refere ao século XIX e início do XX, contribuindo para o mapeamento dessa cronografia: </w:t>
      </w:r>
    </w:p>
    <w:p w:rsidR="00201DA6" w:rsidRDefault="00201DA6" w:rsidP="00201DA6">
      <w:pPr>
        <w:spacing w:after="273" w:line="249" w:lineRule="auto"/>
        <w:ind w:left="2263"/>
        <w:jc w:val="both"/>
      </w:pPr>
      <w:r>
        <w:rPr>
          <w:sz w:val="20"/>
        </w:rPr>
        <w:t xml:space="preserve">Perdidos os fundamentos espirituais e cristãos da vida humana, tornou-se impossível compreender a alma feminina e o papel que pertence à mulher na família, na sociedade e na Nação. À medida que o progresso avançava e que a técnica ia transformando velozmente os processos da vida coletiva, o problema da mulher mais se complicava e a Espécie Humana apresentava-se como a única a ignorar quais as diferenciações dos atos definidores do destino social dos seus componentes ... Depois, entretanto de tôdas as elucubrações dos sociólogos ... surpreende-nos, então verificar, que regressamos ao ponto de partida: a moral religiosa.  (SALGADO, 1955, p. 229). </w:t>
      </w:r>
    </w:p>
    <w:p w:rsidR="00201DA6" w:rsidRDefault="00201DA6" w:rsidP="00201DA6">
      <w:pPr>
        <w:spacing w:after="20" w:line="259" w:lineRule="auto"/>
        <w:ind w:left="2268"/>
        <w:jc w:val="both"/>
      </w:pPr>
      <w:r>
        <w:rPr>
          <w:sz w:val="20"/>
        </w:rPr>
        <w:t xml:space="preserve"> </w:t>
      </w:r>
    </w:p>
    <w:p w:rsidR="00201DA6" w:rsidRDefault="00201DA6" w:rsidP="00201DA6">
      <w:pPr>
        <w:ind w:left="-15" w:right="1" w:firstLine="708"/>
        <w:jc w:val="both"/>
      </w:pPr>
      <w:r>
        <w:t xml:space="preserve">Avançando nessa perspectiva, podemos identificar no discurso aquilo que Maingueneau chama de “deixis fundadora”, entendida como as situações de enunciação anteriores que a </w:t>
      </w:r>
      <w:r>
        <w:rPr>
          <w:i/>
        </w:rPr>
        <w:t>deixis</w:t>
      </w:r>
      <w:r>
        <w:t xml:space="preserve"> atual utiliza para a repetição e da qual projeta boa parte de sua legitimidade e, assim, poderíamos citar os próprios princípios cristãos medievais defendidos pelo locutor.</w:t>
      </w:r>
      <w:r>
        <w:rPr>
          <w:i/>
        </w:rPr>
        <w:t xml:space="preserve"> </w:t>
      </w:r>
    </w:p>
    <w:p w:rsidR="00201DA6" w:rsidRDefault="00201DA6" w:rsidP="00201DA6">
      <w:pPr>
        <w:ind w:left="-15" w:right="1" w:firstLine="708"/>
        <w:jc w:val="both"/>
      </w:pPr>
      <w:r>
        <w:t>Conforme observamos, Salgado embasa suas intenções sócio-políticas em relação às mulheres nas premissas religiosas cristãs e presume na escrita certo monopólio da produção política e discursiva. Desta forma, o discurso hegemônico cristão se opera na própria estrutura do campo discursivo, o que, em certos aspectos, legitima Salgado enquanto “porta-voz autorizado”, inclusive da cristandade. A ação política de Salgado é, ao mesmo tempo, religiosa, pois o mesmo acredita que sua “missão política” é um apostolado religioso, um chamado de Deus, e sua proposta política seria uma “evolução da humanidade”</w:t>
      </w:r>
      <w:r>
        <w:rPr>
          <w:vertAlign w:val="superscript"/>
        </w:rPr>
        <w:footnoteReference w:id="256"/>
      </w:r>
      <w:r>
        <w:t xml:space="preserve">. No prefácio da obra </w:t>
      </w:r>
      <w:r>
        <w:rPr>
          <w:i/>
        </w:rPr>
        <w:t>A Mulher do século XX</w:t>
      </w:r>
      <w:r>
        <w:t>, Salgado vai além de uma simples legitimação de seu discurso e pede ao Mestre, Cristo, que suas leitoras avancem na leitura a qual possibilita “meditações e ensinamentos, muito mais que palavras humanas, prodigaliza a luz da Graça”</w:t>
      </w:r>
      <w:r>
        <w:rPr>
          <w:i/>
        </w:rPr>
        <w:t xml:space="preserve"> </w:t>
      </w:r>
      <w:r>
        <w:t>(SALGADO, 1955, p. 222)</w:t>
      </w:r>
      <w:r>
        <w:rPr>
          <w:i/>
        </w:rPr>
        <w:t>.</w:t>
      </w:r>
      <w:r>
        <w:t xml:space="preserve"> </w:t>
      </w:r>
    </w:p>
    <w:p w:rsidR="00201DA6" w:rsidRDefault="00201DA6" w:rsidP="00201DA6">
      <w:pPr>
        <w:spacing w:after="114" w:line="259" w:lineRule="auto"/>
        <w:ind w:right="2"/>
        <w:jc w:val="both"/>
      </w:pPr>
      <w:r>
        <w:t xml:space="preserve">Em outro aspecto, na perspectiva do sujeito e do discurso, podemos destacar que o </w:t>
      </w:r>
    </w:p>
    <w:p w:rsidR="00201DA6" w:rsidRDefault="00201DA6" w:rsidP="00201DA6">
      <w:pPr>
        <w:ind w:left="-5" w:right="1"/>
        <w:jc w:val="both"/>
      </w:pPr>
      <w:r>
        <w:t xml:space="preserve">sujeito é visto como um ser social apreendido em um espaço coletivo, afetado pela história e pela língua, dotado de representações e crenças. O sujeito atravessa e é atravessado por vários discursos, sendo um produtor discursivo “livre”, carregado de subjetividade e, ao mesmo tempo, submisso, assujeitado, próximo a discursos preexistentes. Ressalta-se que Plínio Salgado, em relação ao papel do sujeito à formação discursiva, é atravessado por outros discursos fundadores. Ele abraçou uma causa, trazendo sentidos matizados pela ordem do discurso religioso, por exemplo, como uma espécie de guardião da moralidade e “salvador”, o “intimo discípulo de Cristo”. </w:t>
      </w:r>
    </w:p>
    <w:p w:rsidR="00201DA6" w:rsidRDefault="00201DA6" w:rsidP="00201DA6">
      <w:pPr>
        <w:ind w:left="-15" w:right="1" w:firstLine="840"/>
        <w:jc w:val="both"/>
      </w:pPr>
      <w:r>
        <w:t>Outro ponto relevante envolvendo o discurso de Salgado e que merece ser ampliada em outra oportunidade, é o que Foucault chama de “vontade de verdade”. Desse modo, o “direito privilegiado” e quase exclusivo de Plínio Salgado de se pronunciar e instituir um discurso em nome do integralismo, possibilita analisarmos o discurso a partir da ideia de “vontade de verdade”</w:t>
      </w:r>
      <w:r>
        <w:rPr>
          <w:vertAlign w:val="superscript"/>
        </w:rPr>
        <w:footnoteReference w:id="257"/>
      </w:r>
      <w:r>
        <w:t xml:space="preserve">, sobretudo quando Salgado institui a “maneira correta” para as mulheres se portarem e a função social “adequada” para se inserirem na sociedade e no mundo do trabalho. </w:t>
      </w:r>
    </w:p>
    <w:p w:rsidR="00201DA6" w:rsidRDefault="00201DA6" w:rsidP="00201DA6">
      <w:pPr>
        <w:spacing w:line="259" w:lineRule="auto"/>
        <w:jc w:val="both"/>
      </w:pPr>
      <w:r>
        <w:t xml:space="preserve"> </w:t>
      </w:r>
    </w:p>
    <w:p w:rsidR="00201DA6" w:rsidRDefault="00201DA6" w:rsidP="00201DA6">
      <w:pPr>
        <w:spacing w:line="259" w:lineRule="auto"/>
        <w:jc w:val="both"/>
      </w:pPr>
      <w:r>
        <w:t xml:space="preserve"> </w:t>
      </w:r>
    </w:p>
    <w:p w:rsidR="00201DA6" w:rsidRDefault="00201DA6" w:rsidP="00201DA6">
      <w:pPr>
        <w:spacing w:line="259" w:lineRule="auto"/>
        <w:ind w:left="-5" w:right="1"/>
        <w:jc w:val="both"/>
      </w:pPr>
      <w:r>
        <w:t xml:space="preserve">CONCLUSÕES </w:t>
      </w:r>
    </w:p>
    <w:p w:rsidR="00201DA6" w:rsidRDefault="00201DA6" w:rsidP="00201DA6">
      <w:pPr>
        <w:spacing w:after="112" w:line="259" w:lineRule="auto"/>
        <w:jc w:val="both"/>
      </w:pPr>
      <w:r>
        <w:t xml:space="preserve"> </w:t>
      </w:r>
    </w:p>
    <w:p w:rsidR="00201DA6" w:rsidRDefault="00201DA6" w:rsidP="00201DA6">
      <w:pPr>
        <w:ind w:left="-15" w:right="1" w:firstLine="708"/>
        <w:jc w:val="both"/>
      </w:pPr>
      <w:r>
        <w:t xml:space="preserve">Observamos no discurso sócio-político de Salgado certa resistência frente às transformações históricas e sociais, do cotidiano, de gênero e humanas, que surgem a partir das experiências vividas na urbanização e na industrialização do Brasil. Assim, Salgado rivaliza com o desenvolvimento econômico, social e político liberal, que, embora tardiamente, estava em “fase embrionária” no Brasil no contexto da obra. </w:t>
      </w:r>
    </w:p>
    <w:p w:rsidR="00201DA6" w:rsidRDefault="00201DA6" w:rsidP="00201DA6">
      <w:pPr>
        <w:ind w:left="-15" w:right="1" w:firstLine="708"/>
        <w:jc w:val="both"/>
      </w:pPr>
      <w:r>
        <w:t xml:space="preserve">No que tange ao lugar do enunciador e a cena, evidenciamos que a “revolução espiritual” vivenciada por Salgado é algo central para melhor entendermos seu posicionamento ideológico/discursivo. Nesse aspecto, a crença cristã/católica é proclamada por Plínio Salgado, descendente de família católica e de certa tradição política, sendo influenciado pelas insurreições políticas, pelo contexto fascista europeu, pelos “novos rumos” e objetivos religiosos (sobretudo da Igreja Católica). Tal movimentação em busca do “espiritual”, do poder político, do integral, da moral, da sujeição feminina e a atmosfera ligada à “neocristandade” são visíveis em Plínio Salgado. </w:t>
      </w:r>
    </w:p>
    <w:p w:rsidR="00201DA6" w:rsidRDefault="00201DA6" w:rsidP="00201DA6">
      <w:pPr>
        <w:ind w:left="-15" w:right="1" w:firstLine="708"/>
        <w:jc w:val="both"/>
      </w:pPr>
      <w:r>
        <w:t xml:space="preserve">Um elemento colocado em destaque parece identificar uma espinha dorsal em seu projeto: o pensamento espiritualista, cristão, nacional-brasileiro como fator central de sua construção filosófico-política. Em seus escritos, a questão religiosa é central e determinante para a representação de um projeto de Brasil integral. Salgado exprime com clareza a importância e a influência dos valores cristãos na sua maneira de ver, ler e interpretar o mundo. </w:t>
      </w:r>
    </w:p>
    <w:p w:rsidR="00201DA6" w:rsidRDefault="00201DA6" w:rsidP="00201DA6">
      <w:pPr>
        <w:ind w:left="-15" w:right="1" w:firstLine="708"/>
        <w:jc w:val="both"/>
      </w:pPr>
      <w:r>
        <w:t>Plínio Salgado, de modo pedagógico esclarece o sentimento que move a escrita de seus textos: a concepção espiritualista</w:t>
      </w:r>
      <w:r>
        <w:rPr>
          <w:vertAlign w:val="superscript"/>
        </w:rPr>
        <w:footnoteReference w:id="258"/>
      </w:r>
      <w:r>
        <w:t xml:space="preserve"> da história. Vemos mais do que isto, o discurso de Salgado não apenas introduz o elemento religioso como motor moral e espiritual da sociedade, mas o próprio autor assume o papel de “escolhido” para reorientar a nação à luz de Cristo em meio à catástrofe. A questão religiosa, portanto, é fundante no pensamento de Plínio Salgado. Identifica não apenas um componente discursivo da doutrina do “homem integral”,</w:t>
      </w:r>
      <w:r>
        <w:rPr>
          <w:vertAlign w:val="superscript"/>
        </w:rPr>
        <w:footnoteReference w:id="259"/>
      </w:r>
      <w:r>
        <w:t xml:space="preserve"> mas, acima de tudo, revela a crença e a filiação a preceitos doutrinários. </w:t>
      </w:r>
    </w:p>
    <w:p w:rsidR="00201DA6" w:rsidRDefault="00201DA6" w:rsidP="00201DA6">
      <w:pPr>
        <w:ind w:left="-15" w:right="1" w:firstLine="708"/>
        <w:jc w:val="both"/>
      </w:pPr>
      <w:r>
        <w:t xml:space="preserve">Consideramos que o discurso de Salgado em relação às mulheres é subproduto de um quadro histórico-social ambíguo, condicionado pela emergência dos movimentos feministas, mas também pela impossibilidade de autonomia financeira e política de parcela das mulheres, fatores que possibilitam tanto a emersão do feminismo, quanto a enunciação do discurso machista. Destacam-se certas heranças conservadoras no discurso de Salgado, que são em certos aspectos “coloniais”, sobretudo no que se refere ao machismo e à submissão sofrida pela mulher.  </w:t>
      </w:r>
    </w:p>
    <w:p w:rsidR="00201DA6" w:rsidRDefault="00201DA6" w:rsidP="00201DA6">
      <w:pPr>
        <w:ind w:left="-15" w:right="1" w:firstLine="840"/>
        <w:jc w:val="both"/>
      </w:pPr>
      <w:r>
        <w:t xml:space="preserve">Além disso, ao deslocar-se do discurso de gênero biologista, inserindo seu pensamento sócio-político em relação ao religioso, Salgado busca efetivar suas intenções políticas no “campo simbólico” protegido pelo poder do sentimento religioso. Desse modo, a “tomada para si” do poder simbólico cristão é uma das grandes estratégias de Salgado em sua ação política discursiva. </w:t>
      </w:r>
    </w:p>
    <w:p w:rsidR="00201DA6" w:rsidRDefault="00201DA6" w:rsidP="00201DA6">
      <w:pPr>
        <w:ind w:left="-15" w:right="1" w:firstLine="840"/>
        <w:jc w:val="both"/>
      </w:pPr>
      <w:r>
        <w:t xml:space="preserve">Podemos observar, ainda, que a ideologia e a política patriarcal aos moldes de Salgado, de forma hegemônica, ainda não foram completamente superados na atualidade. Em função das relações de forças que ditam o desenvolvimento da história, o pensamento androcêntrico ainda está enraizado nas mentalidades e nas práticas sociais da atualidade. Por isso, consideramos que a “equiparação” dos gêneros não resulta na simples “tomada de consciência” dos sujeitos históricos, pois a distinção entre os gêneros reside nas estruturas históricas que determinam as representações e práticas sociais como um todo. Enfim, tomando algumas das contribuições de Pierre Bourdieu refletimos que as produções e efeitos de sentidos do discurso de Salgado revelam-se aspectos centrais na análise discursiva que nos propomos e buscaremos ampliar em nossas pesquisas.  </w:t>
      </w:r>
    </w:p>
    <w:p w:rsidR="00201DA6" w:rsidRDefault="00201DA6" w:rsidP="00201DA6">
      <w:pPr>
        <w:spacing w:after="112" w:line="259" w:lineRule="auto"/>
        <w:jc w:val="both"/>
      </w:pPr>
      <w:r>
        <w:t xml:space="preserve"> </w:t>
      </w:r>
    </w:p>
    <w:p w:rsidR="00201DA6" w:rsidRDefault="00201DA6" w:rsidP="00201DA6">
      <w:pPr>
        <w:spacing w:after="76" w:line="259" w:lineRule="auto"/>
        <w:ind w:left="-5" w:right="1"/>
        <w:jc w:val="both"/>
      </w:pPr>
      <w:r>
        <w:t xml:space="preserve">REFERÊNCIAS BIBLIOGRÁFICAS </w:t>
      </w:r>
    </w:p>
    <w:p w:rsidR="00201DA6" w:rsidRDefault="00201DA6" w:rsidP="00201DA6">
      <w:pPr>
        <w:spacing w:after="132" w:line="259" w:lineRule="auto"/>
        <w:jc w:val="both"/>
      </w:pPr>
      <w:r>
        <w:rPr>
          <w:sz w:val="20"/>
        </w:rPr>
        <w:t xml:space="preserve"> </w:t>
      </w:r>
    </w:p>
    <w:p w:rsidR="00201DA6" w:rsidRDefault="00201DA6" w:rsidP="00201DA6">
      <w:pPr>
        <w:spacing w:after="115" w:line="259" w:lineRule="auto"/>
        <w:ind w:left="-5" w:right="1"/>
        <w:jc w:val="both"/>
      </w:pPr>
      <w:r>
        <w:t xml:space="preserve">BOURDIEU, Pierre. </w:t>
      </w:r>
      <w:r>
        <w:rPr>
          <w:b/>
        </w:rPr>
        <w:t>A Dominação Masculina</w:t>
      </w:r>
      <w:r>
        <w:t xml:space="preserve">. Rio de Janeiro: Bertrand Brasil, 2009. </w:t>
      </w:r>
    </w:p>
    <w:p w:rsidR="00201DA6" w:rsidRDefault="00201DA6" w:rsidP="00201DA6">
      <w:pPr>
        <w:spacing w:after="112" w:line="259" w:lineRule="auto"/>
        <w:ind w:left="-5" w:right="1"/>
        <w:jc w:val="both"/>
      </w:pPr>
      <w:r>
        <w:t xml:space="preserve">BOURDIEU, Pierre. </w:t>
      </w:r>
      <w:r>
        <w:rPr>
          <w:b/>
        </w:rPr>
        <w:t>A Economia das Trocas Lingüísticas</w:t>
      </w:r>
      <w:r>
        <w:t xml:space="preserve">: o que falar quer dizer. São Paulo: </w:t>
      </w:r>
    </w:p>
    <w:p w:rsidR="00201DA6" w:rsidRDefault="00201DA6" w:rsidP="00201DA6">
      <w:pPr>
        <w:spacing w:after="115" w:line="259" w:lineRule="auto"/>
        <w:ind w:left="-5" w:right="1"/>
        <w:jc w:val="both"/>
      </w:pPr>
      <w:r>
        <w:t xml:space="preserve">Editora da Universidade de São Paulo, 1996. </w:t>
      </w:r>
    </w:p>
    <w:p w:rsidR="00201DA6" w:rsidRDefault="00201DA6" w:rsidP="00201DA6">
      <w:pPr>
        <w:spacing w:after="112" w:line="259" w:lineRule="auto"/>
        <w:ind w:left="-5" w:right="1"/>
        <w:jc w:val="both"/>
      </w:pPr>
      <w:r>
        <w:t xml:space="preserve">FIORIN, José Luiz. </w:t>
      </w:r>
      <w:r>
        <w:rPr>
          <w:b/>
        </w:rPr>
        <w:t>Linguagem e ideologia</w:t>
      </w:r>
      <w:r>
        <w:t xml:space="preserve">. São Paulo: Ática, 1988.   </w:t>
      </w:r>
    </w:p>
    <w:p w:rsidR="00201DA6" w:rsidRDefault="00201DA6" w:rsidP="00201DA6">
      <w:pPr>
        <w:ind w:left="-5" w:right="1"/>
        <w:jc w:val="both"/>
      </w:pPr>
      <w:r>
        <w:t xml:space="preserve">FOUCAULT, Michel. </w:t>
      </w:r>
      <w:r>
        <w:rPr>
          <w:b/>
        </w:rPr>
        <w:t>A Ordem do Discurso</w:t>
      </w:r>
      <w:r>
        <w:t xml:space="preserve">. 20 ed; Edições Loyola: São Paulo, 2010. CAVALARI, Rosa Maria Feitero. </w:t>
      </w:r>
      <w:r>
        <w:rPr>
          <w:b/>
        </w:rPr>
        <w:t>Integralismo</w:t>
      </w:r>
      <w:r>
        <w:t xml:space="preserve">: ideologia e organização de um partido de massa no Brasil (1932-1937). São Paulo: EDUSC, 1999. </w:t>
      </w:r>
    </w:p>
    <w:p w:rsidR="00201DA6" w:rsidRDefault="00201DA6" w:rsidP="00201DA6">
      <w:pPr>
        <w:ind w:left="-5" w:right="1"/>
        <w:jc w:val="both"/>
      </w:pPr>
      <w:r>
        <w:t xml:space="preserve">GERTZ, René E. </w:t>
      </w:r>
      <w:r>
        <w:rPr>
          <w:b/>
        </w:rPr>
        <w:t>O fascismo no sul do Brasil</w:t>
      </w:r>
      <w:r>
        <w:t xml:space="preserve">. Porto Alegre: Mercado Aberto, 1987. IRSCHLINGER, Fausto A. </w:t>
      </w:r>
      <w:r>
        <w:rPr>
          <w:b/>
        </w:rPr>
        <w:t>Perigo verde</w:t>
      </w:r>
      <w:r>
        <w:t xml:space="preserve">: o integralismo no norte do Rio Grande do Sul (1932-1938). Passo Fundo: UPF, 2001. </w:t>
      </w:r>
    </w:p>
    <w:p w:rsidR="00201DA6" w:rsidRDefault="00201DA6" w:rsidP="00201DA6">
      <w:pPr>
        <w:spacing w:after="115" w:line="259" w:lineRule="auto"/>
        <w:jc w:val="both"/>
      </w:pPr>
      <w:r>
        <w:t xml:space="preserve">MAINGUENEAU, Dominique. </w:t>
      </w:r>
      <w:r>
        <w:rPr>
          <w:b/>
        </w:rPr>
        <w:t>Novas tendências em Análise do Discurso</w:t>
      </w:r>
      <w:r>
        <w:t xml:space="preserve">. Campinas: </w:t>
      </w:r>
    </w:p>
    <w:p w:rsidR="00201DA6" w:rsidRDefault="00201DA6" w:rsidP="00201DA6">
      <w:pPr>
        <w:spacing w:after="112" w:line="259" w:lineRule="auto"/>
        <w:ind w:left="-5" w:right="1"/>
        <w:jc w:val="both"/>
      </w:pPr>
      <w:r>
        <w:t xml:space="preserve">Pontes, 1989. </w:t>
      </w:r>
    </w:p>
    <w:p w:rsidR="00201DA6" w:rsidRDefault="00201DA6" w:rsidP="00201DA6">
      <w:pPr>
        <w:spacing w:after="115" w:line="259" w:lineRule="auto"/>
        <w:ind w:left="-5" w:right="1"/>
        <w:jc w:val="both"/>
      </w:pPr>
      <w:r>
        <w:t xml:space="preserve">SALGADO, Plínio. </w:t>
      </w:r>
      <w:r>
        <w:rPr>
          <w:b/>
        </w:rPr>
        <w:t>A mulher no século XX</w:t>
      </w:r>
      <w:r>
        <w:t xml:space="preserve">. Porto: Livraria Tavares Martins, 1946. </w:t>
      </w:r>
    </w:p>
    <w:p w:rsidR="00201DA6" w:rsidRDefault="00201DA6" w:rsidP="00201DA6">
      <w:pPr>
        <w:ind w:left="-5" w:right="1"/>
        <w:jc w:val="both"/>
      </w:pPr>
      <w:r>
        <w:t xml:space="preserve">SALGADO, Plínio. </w:t>
      </w:r>
      <w:r>
        <w:rPr>
          <w:b/>
        </w:rPr>
        <w:t>Obras Completas</w:t>
      </w:r>
      <w:r>
        <w:t xml:space="preserve">: Volume VIII. São Paulo: Editora das Américas, 1955. SALGADO, Plínio. </w:t>
      </w:r>
      <w:r>
        <w:rPr>
          <w:b/>
        </w:rPr>
        <w:t>São Judas Tadeu e São Simão Cananita</w:t>
      </w:r>
      <w:r>
        <w:t xml:space="preserve">. São Paulo: Voz do Oeste, 1982. </w:t>
      </w:r>
    </w:p>
    <w:p w:rsidR="00201DA6" w:rsidRDefault="00201DA6" w:rsidP="00201DA6">
      <w:pPr>
        <w:ind w:left="-5" w:right="1"/>
        <w:jc w:val="both"/>
      </w:pPr>
      <w:r>
        <w:t xml:space="preserve">TRINDADE. Hélgio. </w:t>
      </w:r>
      <w:r>
        <w:rPr>
          <w:b/>
        </w:rPr>
        <w:t>Integralismo: teoria e práxis política nos anos 30.</w:t>
      </w:r>
      <w:r>
        <w:t xml:space="preserve"> In: FAUSTO, Boris (Dir.). HGCB. Vol. III, Difel, 1983. </w:t>
      </w:r>
    </w:p>
    <w:p w:rsidR="00201DA6" w:rsidRDefault="00201DA6" w:rsidP="00201DA6">
      <w:pPr>
        <w:spacing w:after="135" w:line="259" w:lineRule="auto"/>
        <w:jc w:val="both"/>
      </w:pPr>
      <w:r>
        <w:rPr>
          <w:sz w:val="20"/>
        </w:rPr>
        <w:t xml:space="preserve"> </w:t>
      </w:r>
    </w:p>
    <w:p w:rsidR="00201DA6" w:rsidRDefault="00201DA6" w:rsidP="00201DA6">
      <w:pPr>
        <w:spacing w:after="112" w:line="259" w:lineRule="auto"/>
        <w:ind w:left="-5" w:right="1"/>
        <w:jc w:val="both"/>
      </w:pPr>
      <w:r>
        <w:t xml:space="preserve">Sites: </w:t>
      </w:r>
    </w:p>
    <w:p w:rsidR="00201DA6" w:rsidRDefault="00201DA6" w:rsidP="00201DA6">
      <w:pPr>
        <w:spacing w:after="115" w:line="259" w:lineRule="auto"/>
        <w:ind w:left="-5" w:right="1"/>
        <w:jc w:val="both"/>
      </w:pPr>
      <w:r>
        <w:t xml:space="preserve">CALIL, Gilberto. </w:t>
      </w:r>
    </w:p>
    <w:p w:rsidR="00201DA6" w:rsidRDefault="00201DA6" w:rsidP="00201DA6">
      <w:pPr>
        <w:spacing w:after="3" w:line="359" w:lineRule="auto"/>
        <w:ind w:left="-5"/>
        <w:jc w:val="both"/>
      </w:pPr>
      <w:r>
        <w:rPr>
          <w:u w:val="single" w:color="000000"/>
        </w:rPr>
        <w:t>http://www.editoraufjf.com.br/revista/index.php/locus/article/viewFile/979/831</w:t>
      </w:r>
      <w:r>
        <w:t xml:space="preserve"> acessado em 29/05/2011. </w:t>
      </w:r>
    </w:p>
    <w:p w:rsidR="00201DA6" w:rsidRDefault="00201DA6" w:rsidP="00201DA6">
      <w:pPr>
        <w:spacing w:after="3" w:line="359" w:lineRule="auto"/>
        <w:ind w:left="-5"/>
        <w:jc w:val="both"/>
      </w:pPr>
      <w:r>
        <w:t xml:space="preserve">DITZEL, Carmencita de Holleben Mello. </w:t>
      </w:r>
      <w:r>
        <w:rPr>
          <w:u w:val="single" w:color="000000"/>
        </w:rPr>
        <w:t>http://www.diaadiaeducacao.pr.gov.br/diaadia/diadia/arquivos/File/conteudo/artigos_teses/201 0/Historia/teses/8ditzel_tese.pdf</w:t>
      </w:r>
      <w:r>
        <w:t xml:space="preserve"> acessado em 29/05/2011. </w:t>
      </w:r>
    </w:p>
    <w:p w:rsidR="00201DA6" w:rsidRDefault="00201DA6" w:rsidP="00201DA6">
      <w:pPr>
        <w:spacing w:line="259" w:lineRule="auto"/>
        <w:ind w:left="-5" w:right="1"/>
        <w:jc w:val="both"/>
      </w:pPr>
      <w:r>
        <w:t xml:space="preserve">FREIRE, Maria Martha de Luna.  </w:t>
      </w:r>
    </w:p>
    <w:p w:rsidR="00201DA6" w:rsidRDefault="00201DA6" w:rsidP="00201DA6">
      <w:pPr>
        <w:spacing w:after="112" w:line="259" w:lineRule="auto"/>
        <w:ind w:left="-5"/>
        <w:jc w:val="both"/>
      </w:pPr>
      <w:r>
        <w:rPr>
          <w:u w:val="single" w:color="000000"/>
        </w:rPr>
        <w:t>http://www.scielo.br/pdf/hcsm/v15s0/08.pdf</w:t>
      </w:r>
      <w:r>
        <w:t xml:space="preserve"> acessado em 29/05/2011. </w:t>
      </w:r>
    </w:p>
    <w:p w:rsidR="00201DA6" w:rsidRDefault="00201DA6" w:rsidP="00201DA6">
      <w:pPr>
        <w:spacing w:after="115" w:line="259" w:lineRule="auto"/>
        <w:ind w:left="-5" w:right="1"/>
        <w:jc w:val="both"/>
      </w:pPr>
      <w:r>
        <w:t xml:space="preserve">MARIANO, Silvia Aparecida.  </w:t>
      </w:r>
    </w:p>
    <w:p w:rsidR="00201DA6" w:rsidRDefault="00201DA6" w:rsidP="00201DA6">
      <w:pPr>
        <w:spacing w:after="112" w:line="259" w:lineRule="auto"/>
        <w:ind w:left="-5"/>
        <w:jc w:val="both"/>
      </w:pPr>
      <w:r>
        <w:rPr>
          <w:u w:val="single" w:color="000000"/>
        </w:rPr>
        <w:t>http://www.periodicos.ufsc.br/index.php/ref/article/view/8369/7702</w:t>
      </w:r>
      <w:r>
        <w:t xml:space="preserve"> acessado em 29/05/2011. </w:t>
      </w:r>
    </w:p>
    <w:p w:rsidR="00201DA6" w:rsidRDefault="00201DA6" w:rsidP="00201DA6">
      <w:pPr>
        <w:spacing w:after="147" w:line="259" w:lineRule="auto"/>
        <w:ind w:left="-5" w:right="1"/>
        <w:jc w:val="both"/>
      </w:pPr>
      <w:r>
        <w:t xml:space="preserve">MOREIRA, Moacyr Godoy. </w:t>
      </w:r>
    </w:p>
    <w:p w:rsidR="00201DA6" w:rsidRDefault="00201DA6" w:rsidP="00201DA6">
      <w:pPr>
        <w:spacing w:after="3" w:line="359" w:lineRule="auto"/>
        <w:ind w:left="-5"/>
        <w:jc w:val="both"/>
      </w:pPr>
      <w:r>
        <w:rPr>
          <w:u w:val="single" w:color="000000"/>
        </w:rPr>
        <w:t>http://www.teses.usp.br/teses/disponiveis/8/8149/tde-03122007-101917/pt-br.php</w:t>
      </w:r>
      <w:r>
        <w:t xml:space="preserve"> </w:t>
      </w:r>
      <w:r>
        <w:tab/>
        <w:t xml:space="preserve">acessado em 29/05/2011. </w:t>
      </w:r>
    </w:p>
    <w:p w:rsidR="00201DA6" w:rsidRDefault="00201DA6" w:rsidP="00201DA6">
      <w:pPr>
        <w:spacing w:after="112" w:line="259" w:lineRule="auto"/>
        <w:ind w:left="-5" w:right="1"/>
        <w:jc w:val="both"/>
      </w:pPr>
      <w:r>
        <w:t xml:space="preserve">ROCHA, Olívia Candeia Lima. </w:t>
      </w:r>
    </w:p>
    <w:p w:rsidR="00201DA6" w:rsidRDefault="00201DA6" w:rsidP="00201DA6">
      <w:pPr>
        <w:spacing w:after="3" w:line="359" w:lineRule="auto"/>
        <w:ind w:left="-5"/>
        <w:jc w:val="both"/>
      </w:pPr>
      <w:r>
        <w:rPr>
          <w:u w:val="single" w:color="000000"/>
        </w:rPr>
        <w:t>http://www.fazendogenero.ufsc.br/7/artigos/O/Olivia_Candeia_Lima_Rocha_33.pdf acessado</w:t>
      </w:r>
      <w:r>
        <w:t xml:space="preserve"> </w:t>
      </w:r>
      <w:r>
        <w:rPr>
          <w:u w:val="single" w:color="000000"/>
        </w:rPr>
        <w:t>em 29/05/2011</w:t>
      </w:r>
      <w:r>
        <w:t xml:space="preserve">. </w:t>
      </w:r>
    </w:p>
    <w:p w:rsidR="00181DC0" w:rsidRDefault="00181DC0" w:rsidP="00201DA6">
      <w:pPr>
        <w:spacing w:line="221" w:lineRule="auto"/>
        <w:jc w:val="both"/>
        <w:rPr>
          <w:sz w:val="20"/>
          <w:szCs w:val="20"/>
        </w:rPr>
      </w:pPr>
    </w:p>
    <w:p w:rsidR="00201DA6" w:rsidRDefault="00201DA6" w:rsidP="00201DA6">
      <w:pPr>
        <w:spacing w:line="221" w:lineRule="auto"/>
        <w:jc w:val="both"/>
        <w:rPr>
          <w:sz w:val="20"/>
          <w:szCs w:val="20"/>
        </w:rPr>
      </w:pPr>
    </w:p>
    <w:p w:rsidR="00201DA6" w:rsidRPr="00771368" w:rsidRDefault="00201DA6" w:rsidP="00201DA6">
      <w:pPr>
        <w:spacing w:line="221" w:lineRule="auto"/>
        <w:jc w:val="both"/>
        <w:rPr>
          <w:sz w:val="20"/>
          <w:szCs w:val="20"/>
        </w:rPr>
      </w:pPr>
    </w:p>
    <w:sectPr w:rsidR="00201DA6" w:rsidRPr="00771368" w:rsidSect="009D6D6E">
      <w:pgSz w:w="11900" w:h="16840"/>
      <w:pgMar w:top="690" w:right="1420" w:bottom="1440" w:left="1420" w:header="0" w:footer="0" w:gutter="0"/>
      <w:cols w:space="720" w:equalWidth="0">
        <w:col w:w="90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FC8" w:rsidRDefault="00295FC8" w:rsidP="00D24E61">
      <w:r>
        <w:separator/>
      </w:r>
    </w:p>
  </w:endnote>
  <w:endnote w:type="continuationSeparator" w:id="0">
    <w:p w:rsidR="00295FC8" w:rsidRDefault="00295FC8" w:rsidP="00D24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hronicle Text G1">
    <w:altName w:val="Chronicle Text G1"/>
    <w:panose1 w:val="00000000000000000000"/>
    <w:charset w:val="00"/>
    <w:family w:val="roman"/>
    <w:notTrueType/>
    <w:pitch w:val="default"/>
    <w:sig w:usb0="00000003" w:usb1="00000000" w:usb2="00000000" w:usb3="00000000" w:csb0="00000001" w:csb1="00000000"/>
  </w:font>
  <w:font w:name="Chronicle Text G1 Bold">
    <w:altName w:val="Chronicle Text G1 Bold"/>
    <w:panose1 w:val="00000000000000000000"/>
    <w:charset w:val="00"/>
    <w:family w:val="roman"/>
    <w:notTrueType/>
    <w:pitch w:val="default"/>
    <w:sig w:usb0="00000003" w:usb1="00000000" w:usb2="00000000" w:usb3="00000000" w:csb0="00000001" w:csb1="00000000"/>
  </w:font>
  <w:font w:name="Chronicle Text G1 Semi">
    <w:altName w:val="Chronicle Text G1 Semi"/>
    <w:panose1 w:val="00000000000000000000"/>
    <w:charset w:val="00"/>
    <w:family w:val="roman"/>
    <w:notTrueType/>
    <w:pitch w:val="default"/>
    <w:sig w:usb0="00000003" w:usb1="00000000" w:usb2="00000000" w:usb3="00000000" w:csb0="00000001" w:csb1="00000000"/>
  </w:font>
  <w:font w:name="F">
    <w:altName w:val="Times New Roman"/>
    <w:charset w:val="00"/>
    <w:family w:val="auto"/>
    <w:pitch w:val="variable"/>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ff0">
    <w:altName w:val="Times New Roman"/>
    <w:charset w:val="00"/>
    <w:family w:val="auto"/>
    <w:pitch w:val="default"/>
  </w:font>
  <w:font w:name="FrutigerLT-LightCn">
    <w:altName w:val="Times New Roman"/>
    <w:charset w:val="00"/>
    <w:family w:val="auto"/>
    <w:pitch w:val="default"/>
  </w:font>
  <w:font w:name="StoneSerif">
    <w:charset w:val="00"/>
    <w:family w:val="roman"/>
    <w:pitch w:val="default"/>
  </w:font>
  <w:font w:name="ArialMT">
    <w:altName w:val="Times New Roman"/>
    <w:charset w:val="00"/>
    <w:family w:val="swiss"/>
    <w:pitch w:val="default"/>
    <w:sig w:usb0="00000003" w:usb1="00000000" w:usb2="00000000" w:usb3="00000000" w:csb0="00000001" w:csb1="00000000"/>
  </w:font>
  <w:font w:name="TrebuchetMS">
    <w:charset w:val="00"/>
    <w:family w:val="swiss"/>
    <w:pitch w:val="default"/>
  </w:font>
  <w:font w:name="Candara">
    <w:panose1 w:val="020E0502030303020204"/>
    <w:charset w:val="00"/>
    <w:family w:val="swiss"/>
    <w:pitch w:val="variable"/>
    <w:sig w:usb0="A00002EF" w:usb1="4000A44B" w:usb2="00000000" w:usb3="00000000" w:csb0="0000019F" w:csb1="00000000"/>
  </w:font>
  <w:font w:name="Frutiger-LightCn">
    <w:altName w:val="MS Gothic"/>
    <w:panose1 w:val="00000000000000000000"/>
    <w:charset w:val="80"/>
    <w:family w:val="swiss"/>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E77" w:rsidRDefault="00EC0E77">
    <w:pPr>
      <w:pStyle w:val="Rodap"/>
    </w:pPr>
    <w:r>
      <w:fldChar w:fldCharType="begin"/>
    </w:r>
    <w:r>
      <w:instrText xml:space="preserve"> PAGE  \* Arabic  \* MERGEFORMAT </w:instrText>
    </w:r>
    <w:r>
      <w:fldChar w:fldCharType="separate"/>
    </w:r>
    <w:r w:rsidR="00013211">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E77" w:rsidRDefault="00EC0E77">
    <w:pPr>
      <w:pStyle w:val="Rodap"/>
      <w:jc w:val="right"/>
    </w:pPr>
  </w:p>
  <w:p w:rsidR="00EC0E77" w:rsidRDefault="00EC0E7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FC8" w:rsidRDefault="00295FC8" w:rsidP="00D24E61">
      <w:r>
        <w:separator/>
      </w:r>
    </w:p>
  </w:footnote>
  <w:footnote w:type="continuationSeparator" w:id="0">
    <w:p w:rsidR="00295FC8" w:rsidRDefault="00295FC8" w:rsidP="00D24E61">
      <w:r>
        <w:continuationSeparator/>
      </w:r>
    </w:p>
  </w:footnote>
  <w:footnote w:id="1">
    <w:p w:rsidR="00EC0E77" w:rsidRPr="00FC57EF" w:rsidRDefault="00EC0E77">
      <w:pPr>
        <w:pStyle w:val="Textodenotaderodap"/>
        <w:rPr>
          <w:rFonts w:ascii="Arial" w:hAnsi="Arial" w:cs="Arial"/>
          <w:sz w:val="18"/>
          <w:szCs w:val="18"/>
          <w:u w:val="single"/>
        </w:rPr>
      </w:pPr>
      <w:r w:rsidRPr="00490BC7">
        <w:rPr>
          <w:rStyle w:val="Refdenotaderodap"/>
          <w:rFonts w:ascii="Arial" w:hAnsi="Arial" w:cs="Arial"/>
          <w:sz w:val="18"/>
          <w:szCs w:val="18"/>
        </w:rPr>
        <w:footnoteRef/>
      </w:r>
      <w:r w:rsidRPr="00490BC7">
        <w:rPr>
          <w:rFonts w:ascii="Arial" w:hAnsi="Arial" w:cs="Arial"/>
          <w:sz w:val="18"/>
          <w:szCs w:val="18"/>
        </w:rPr>
        <w:t xml:space="preserve"> Graduada em Pedagogia pela Universidade do Vale do Acaraú – UVA (2002) e em História pelas Faculdades Integradas de Patos – FIP (2012); Pós-graduada em Psicopedagogia Pelas Faculdades Integradas de Patos – FIP (2009</w:t>
      </w:r>
      <w:r>
        <w:rPr>
          <w:rFonts w:ascii="Arial" w:hAnsi="Arial" w:cs="Arial"/>
          <w:sz w:val="18"/>
          <w:szCs w:val="18"/>
        </w:rPr>
        <w:t xml:space="preserve">). </w:t>
      </w:r>
      <w:r w:rsidRPr="00FC57EF">
        <w:rPr>
          <w:rFonts w:ascii="Arial" w:hAnsi="Arial" w:cs="Arial"/>
          <w:sz w:val="18"/>
          <w:szCs w:val="18"/>
          <w:u w:val="single"/>
        </w:rPr>
        <w:t>deis.maria@hotmail.com</w:t>
      </w:r>
    </w:p>
  </w:footnote>
  <w:footnote w:id="2">
    <w:p w:rsidR="00EC0E77" w:rsidRPr="005F6CAA" w:rsidRDefault="00EC0E77" w:rsidP="00D24E61">
      <w:pPr>
        <w:pStyle w:val="Textodenotaderodap"/>
        <w:rPr>
          <w:rFonts w:ascii="Arial" w:hAnsi="Arial" w:cs="Arial"/>
          <w:sz w:val="18"/>
          <w:szCs w:val="18"/>
        </w:rPr>
      </w:pPr>
      <w:r w:rsidRPr="005F6CAA">
        <w:rPr>
          <w:rStyle w:val="Refdenotaderodap"/>
          <w:rFonts w:ascii="Arial" w:hAnsi="Arial" w:cs="Arial"/>
          <w:sz w:val="18"/>
          <w:szCs w:val="18"/>
        </w:rPr>
        <w:footnoteRef/>
      </w:r>
      <w:r w:rsidRPr="005F6CAA">
        <w:rPr>
          <w:rFonts w:ascii="Arial" w:hAnsi="Arial" w:cs="Arial"/>
          <w:bCs/>
          <w:sz w:val="18"/>
          <w:szCs w:val="18"/>
        </w:rPr>
        <w:t>Agostinho</w:t>
      </w:r>
      <w:r w:rsidRPr="005F6CAA">
        <w:rPr>
          <w:rFonts w:ascii="Arial" w:hAnsi="Arial" w:cs="Arial"/>
          <w:sz w:val="18"/>
          <w:szCs w:val="18"/>
        </w:rPr>
        <w:t xml:space="preserve">é uma das figuras mais importantes no desenvolvimento </w:t>
      </w:r>
      <w:r w:rsidRPr="00264BEE">
        <w:rPr>
          <w:rFonts w:ascii="Arial" w:hAnsi="Arial" w:cs="Arial"/>
          <w:sz w:val="18"/>
          <w:szCs w:val="18"/>
        </w:rPr>
        <w:t>do</w:t>
      </w:r>
      <w:r w:rsidRPr="00264BEE">
        <w:rPr>
          <w:rStyle w:val="apple-converted-space"/>
          <w:rFonts w:ascii="Arial" w:hAnsi="Arial" w:cs="Arial"/>
          <w:sz w:val="18"/>
          <w:szCs w:val="18"/>
        </w:rPr>
        <w:t> </w:t>
      </w:r>
      <w:hyperlink r:id="rId1" w:tooltip="Cristianismo" w:history="1">
        <w:r w:rsidRPr="00264BEE">
          <w:rPr>
            <w:rStyle w:val="Hyperlink"/>
            <w:rFonts w:ascii="Arial" w:hAnsi="Arial" w:cs="Arial"/>
            <w:sz w:val="18"/>
            <w:szCs w:val="18"/>
          </w:rPr>
          <w:t>cristianismo</w:t>
        </w:r>
      </w:hyperlink>
      <w:r w:rsidRPr="00264BEE">
        <w:rPr>
          <w:rStyle w:val="apple-converted-space"/>
          <w:rFonts w:ascii="Arial" w:hAnsi="Arial" w:cs="Arial"/>
          <w:sz w:val="18"/>
          <w:szCs w:val="18"/>
        </w:rPr>
        <w:t> </w:t>
      </w:r>
      <w:r w:rsidRPr="00264BEE">
        <w:rPr>
          <w:rFonts w:ascii="Arial" w:hAnsi="Arial" w:cs="Arial"/>
          <w:sz w:val="18"/>
          <w:szCs w:val="18"/>
        </w:rPr>
        <w:t>no</w:t>
      </w:r>
      <w:r w:rsidRPr="00264BEE">
        <w:rPr>
          <w:rStyle w:val="apple-converted-space"/>
          <w:rFonts w:ascii="Arial" w:hAnsi="Arial" w:cs="Arial"/>
          <w:sz w:val="18"/>
          <w:szCs w:val="18"/>
        </w:rPr>
        <w:t> </w:t>
      </w:r>
      <w:hyperlink r:id="rId2" w:tooltip="Mundo ocidental" w:history="1">
        <w:r w:rsidRPr="00264BEE">
          <w:rPr>
            <w:rStyle w:val="Hyperlink"/>
            <w:rFonts w:ascii="Arial" w:hAnsi="Arial" w:cs="Arial"/>
            <w:sz w:val="18"/>
            <w:szCs w:val="18"/>
          </w:rPr>
          <w:t>Ocidente</w:t>
        </w:r>
      </w:hyperlink>
      <w:r w:rsidRPr="00264BEE">
        <w:rPr>
          <w:rFonts w:ascii="Arial" w:hAnsi="Arial" w:cs="Arial"/>
          <w:sz w:val="18"/>
          <w:szCs w:val="18"/>
        </w:rPr>
        <w:t>. Aprofundou o conceito de</w:t>
      </w:r>
      <w:r w:rsidRPr="00264BEE">
        <w:rPr>
          <w:rStyle w:val="apple-converted-space"/>
          <w:rFonts w:ascii="Arial" w:hAnsi="Arial" w:cs="Arial"/>
          <w:sz w:val="18"/>
          <w:szCs w:val="18"/>
        </w:rPr>
        <w:t> </w:t>
      </w:r>
      <w:hyperlink r:id="rId3" w:tooltip="Pecado original" w:history="1">
        <w:r w:rsidRPr="00264BEE">
          <w:rPr>
            <w:rStyle w:val="Hyperlink"/>
            <w:rFonts w:ascii="Arial" w:hAnsi="Arial" w:cs="Arial"/>
            <w:sz w:val="18"/>
            <w:szCs w:val="18"/>
          </w:rPr>
          <w:t>pecado original</w:t>
        </w:r>
      </w:hyperlink>
      <w:r w:rsidRPr="00264BEE">
        <w:rPr>
          <w:rStyle w:val="apple-converted-space"/>
          <w:rFonts w:ascii="Arial" w:hAnsi="Arial" w:cs="Arial"/>
          <w:sz w:val="18"/>
          <w:szCs w:val="18"/>
        </w:rPr>
        <w:t>.</w:t>
      </w:r>
      <w:r w:rsidRPr="00264BEE">
        <w:rPr>
          <w:rFonts w:ascii="Arial" w:hAnsi="Arial" w:cs="Arial"/>
          <w:sz w:val="18"/>
          <w:szCs w:val="18"/>
        </w:rPr>
        <w:t xml:space="preserve"> É considerado um santo e um importante Doutor da Igreja Católica, e o patrono da ordem religiosa Agostinha. Sua principal obra é “Cidade de Deus” escrita em</w:t>
      </w:r>
      <w:r w:rsidRPr="005F6CAA">
        <w:rPr>
          <w:rFonts w:ascii="Arial" w:hAnsi="Arial" w:cs="Arial"/>
          <w:sz w:val="18"/>
          <w:szCs w:val="18"/>
        </w:rPr>
        <w:t xml:space="preserve"> 412 e 427.</w:t>
      </w:r>
    </w:p>
  </w:footnote>
  <w:footnote w:id="3">
    <w:p w:rsidR="00EC0E77" w:rsidRPr="009F2594" w:rsidRDefault="00EC0E77" w:rsidP="00D24E61">
      <w:pPr>
        <w:pStyle w:val="Textodenotaderodap"/>
        <w:rPr>
          <w:rFonts w:ascii="Arial" w:hAnsi="Arial" w:cs="Arial"/>
          <w:sz w:val="18"/>
          <w:szCs w:val="18"/>
        </w:rPr>
      </w:pPr>
      <w:r>
        <w:rPr>
          <w:rStyle w:val="Refdenotaderodap"/>
        </w:rPr>
        <w:footnoteRef/>
      </w:r>
      <w:r>
        <w:rPr>
          <w:rFonts w:ascii="Arial" w:hAnsi="Arial" w:cs="Arial"/>
          <w:sz w:val="18"/>
          <w:szCs w:val="18"/>
        </w:rPr>
        <w:t>Mariologia</w:t>
      </w:r>
      <w:r w:rsidRPr="009F2594">
        <w:rPr>
          <w:rFonts w:ascii="Arial" w:hAnsi="Arial" w:cs="Arial"/>
          <w:sz w:val="18"/>
          <w:szCs w:val="18"/>
        </w:rPr>
        <w:t>, trata-se do estudo que a Igreja católica estabeleceu em 383 para estudar e analisar a vida de Maria, a mãe de Jesus.</w:t>
      </w:r>
    </w:p>
  </w:footnote>
  <w:footnote w:id="4">
    <w:p w:rsidR="00EC0E77" w:rsidRPr="00C51069" w:rsidRDefault="00EC0E77" w:rsidP="00D24E61">
      <w:pPr>
        <w:rPr>
          <w:rFonts w:ascii="Arial" w:hAnsi="Arial" w:cs="Arial"/>
          <w:sz w:val="18"/>
          <w:szCs w:val="18"/>
        </w:rPr>
      </w:pPr>
      <w:r w:rsidRPr="009F2594">
        <w:rPr>
          <w:rStyle w:val="Refdenotaderodap"/>
          <w:rFonts w:ascii="Arial" w:eastAsia="Calibri" w:hAnsi="Arial" w:cs="Arial"/>
          <w:sz w:val="18"/>
          <w:szCs w:val="18"/>
        </w:rPr>
        <w:footnoteRef/>
      </w:r>
      <w:r w:rsidRPr="009F2594">
        <w:rPr>
          <w:rFonts w:ascii="Arial" w:hAnsi="Arial" w:cs="Arial"/>
          <w:sz w:val="18"/>
          <w:szCs w:val="18"/>
        </w:rPr>
        <w:t xml:space="preserve"> Excomungado, impedido de participar e comungar dos dogmas da igreja católica.</w:t>
      </w:r>
    </w:p>
  </w:footnote>
  <w:footnote w:id="5">
    <w:p w:rsidR="00EC0E77" w:rsidRPr="00D270B7" w:rsidRDefault="00EC0E77" w:rsidP="00D24E61">
      <w:pPr>
        <w:rPr>
          <w:rFonts w:ascii="Arial" w:hAnsi="Arial" w:cs="Arial"/>
          <w:sz w:val="18"/>
          <w:szCs w:val="18"/>
        </w:rPr>
      </w:pPr>
      <w:r w:rsidRPr="00D270B7">
        <w:rPr>
          <w:rStyle w:val="Refdenotaderodap"/>
          <w:rFonts w:ascii="Arial" w:eastAsia="Calibri" w:hAnsi="Arial" w:cs="Arial"/>
          <w:sz w:val="18"/>
          <w:szCs w:val="18"/>
        </w:rPr>
        <w:footnoteRef/>
      </w:r>
      <w:r w:rsidRPr="00D270B7">
        <w:rPr>
          <w:rFonts w:ascii="Arial" w:hAnsi="Arial" w:cs="Arial"/>
          <w:sz w:val="18"/>
          <w:szCs w:val="18"/>
        </w:rPr>
        <w:t xml:space="preserve"> Película membranosa que cobre parcialmente o orifício da vagina</w:t>
      </w:r>
      <w:r>
        <w:rPr>
          <w:rFonts w:ascii="Arial" w:hAnsi="Arial" w:cs="Arial"/>
          <w:sz w:val="18"/>
          <w:szCs w:val="18"/>
        </w:rPr>
        <w:t xml:space="preserve"> e tem como função protegê-la da entrada de bactérias</w:t>
      </w:r>
      <w:r w:rsidRPr="00D270B7">
        <w:rPr>
          <w:rFonts w:ascii="Arial" w:hAnsi="Arial" w:cs="Arial"/>
          <w:sz w:val="18"/>
          <w:szCs w:val="18"/>
        </w:rPr>
        <w:t>.</w:t>
      </w:r>
    </w:p>
    <w:p w:rsidR="00EC0E77" w:rsidRDefault="00EC0E77" w:rsidP="00D24E61">
      <w:pPr>
        <w:pStyle w:val="Textodenotaderodap"/>
      </w:pPr>
    </w:p>
  </w:footnote>
  <w:footnote w:id="6">
    <w:p w:rsidR="00EC0E77" w:rsidRDefault="00EC0E77" w:rsidP="00D24E61">
      <w:pPr>
        <w:pStyle w:val="Textodenotaderodap"/>
      </w:pPr>
      <w:r>
        <w:rPr>
          <w:rStyle w:val="Refdenotaderodap"/>
        </w:rPr>
        <w:footnoteRef/>
      </w:r>
      <w:r>
        <w:t xml:space="preserve"> O pênis, órgão genital masculino. </w:t>
      </w:r>
    </w:p>
  </w:footnote>
  <w:footnote w:id="7">
    <w:p w:rsidR="00EC0E77" w:rsidRPr="00272448" w:rsidRDefault="00EC0E77" w:rsidP="00D24E61">
      <w:pPr>
        <w:pStyle w:val="Textodenotaderodap"/>
        <w:rPr>
          <w:rFonts w:ascii="Arial" w:hAnsi="Arial" w:cs="Arial"/>
          <w:sz w:val="18"/>
          <w:szCs w:val="18"/>
        </w:rPr>
      </w:pPr>
      <w:r w:rsidRPr="00272448">
        <w:rPr>
          <w:rStyle w:val="Refdenotaderodap"/>
          <w:rFonts w:ascii="Arial" w:hAnsi="Arial" w:cs="Arial"/>
          <w:sz w:val="18"/>
          <w:szCs w:val="18"/>
        </w:rPr>
        <w:footnoteRef/>
      </w:r>
      <w:r w:rsidRPr="00272448">
        <w:rPr>
          <w:rFonts w:ascii="Arial" w:hAnsi="Arial" w:cs="Arial"/>
          <w:sz w:val="18"/>
          <w:szCs w:val="18"/>
        </w:rPr>
        <w:t xml:space="preserve"> Bispo de Arles (a Roma da Gália), no século VI, foi encarregado de cuidar das questões religiosas na Gália e na Espanha.</w:t>
      </w:r>
    </w:p>
  </w:footnote>
  <w:footnote w:id="8">
    <w:p w:rsidR="00EC0E77" w:rsidRPr="00272448" w:rsidRDefault="00EC0E77" w:rsidP="00D24E61">
      <w:pPr>
        <w:pStyle w:val="Textodenotaderodap"/>
        <w:rPr>
          <w:rFonts w:ascii="Arial" w:hAnsi="Arial" w:cs="Arial"/>
          <w:sz w:val="18"/>
          <w:szCs w:val="18"/>
        </w:rPr>
      </w:pPr>
      <w:r w:rsidRPr="00272448">
        <w:rPr>
          <w:rStyle w:val="Refdenotaderodap"/>
          <w:rFonts w:ascii="Arial" w:hAnsi="Arial" w:cs="Arial"/>
          <w:sz w:val="18"/>
          <w:szCs w:val="18"/>
        </w:rPr>
        <w:footnoteRef/>
      </w:r>
      <w:r w:rsidRPr="00272448">
        <w:rPr>
          <w:rFonts w:ascii="Arial" w:hAnsi="Arial" w:cs="Arial"/>
          <w:sz w:val="18"/>
          <w:szCs w:val="18"/>
        </w:rPr>
        <w:t xml:space="preserve"> Livros que contém catálogos de pecados e uma lista de penitências. Os mais antigos vem dos mosteiros da Irlanda, foram escritos por abades (padre). Outros ainda datam do século XI e XII escritos respectivamente por Reginon de Prum e Burcado de Worms, também religiosos.</w:t>
      </w:r>
    </w:p>
  </w:footnote>
  <w:footnote w:id="9">
    <w:p w:rsidR="00EC0E77" w:rsidRPr="00A372B7" w:rsidRDefault="00EC0E77" w:rsidP="00D24E61">
      <w:pPr>
        <w:pStyle w:val="Textodenotaderodap"/>
        <w:rPr>
          <w:rFonts w:ascii="Arial" w:hAnsi="Arial" w:cs="Arial"/>
          <w:sz w:val="18"/>
          <w:szCs w:val="18"/>
        </w:rPr>
      </w:pPr>
      <w:r w:rsidRPr="00A372B7">
        <w:rPr>
          <w:rStyle w:val="Refdenotaderodap"/>
          <w:rFonts w:ascii="Arial" w:hAnsi="Arial" w:cs="Arial"/>
          <w:sz w:val="18"/>
          <w:szCs w:val="18"/>
        </w:rPr>
        <w:footnoteRef/>
      </w:r>
      <w:r w:rsidRPr="00A372B7">
        <w:rPr>
          <w:rFonts w:ascii="Arial" w:hAnsi="Arial" w:cs="Arial"/>
          <w:sz w:val="18"/>
          <w:szCs w:val="18"/>
        </w:rPr>
        <w:t xml:space="preserve"> Pessoa portadora de uma doença genética que incapacita o corpo de conter sangramentos.</w:t>
      </w:r>
    </w:p>
  </w:footnote>
  <w:footnote w:id="10">
    <w:p w:rsidR="00EC0E77" w:rsidRDefault="00EC0E77" w:rsidP="00D24E61">
      <w:pPr>
        <w:pStyle w:val="Textodenotaderodap"/>
      </w:pPr>
      <w:r>
        <w:rPr>
          <w:rStyle w:val="Caracteresdenotaderodap"/>
        </w:rPr>
        <w:footnoteRef/>
      </w:r>
      <w:r>
        <w:t xml:space="preserve"> Pedagogo egresso do Curso de Pedagogia da SETREM, e-mail: guridofroes@gmail.com</w:t>
      </w:r>
    </w:p>
  </w:footnote>
  <w:footnote w:id="11">
    <w:p w:rsidR="00EC0E77" w:rsidRDefault="00EC0E77" w:rsidP="00D24E61">
      <w:pPr>
        <w:pStyle w:val="Textodenotaderodap"/>
      </w:pPr>
      <w:r>
        <w:rPr>
          <w:rStyle w:val="Caracteresdenotaderodap"/>
        </w:rPr>
        <w:footnoteRef/>
      </w:r>
      <w:r>
        <w:t xml:space="preserve"> Professora do Curso de Pedagogia da SETREM, Pedagoga, Mestre em Educação, e-mail: silvianmello@gmail.com</w:t>
      </w:r>
    </w:p>
  </w:footnote>
  <w:footnote w:id="12">
    <w:p w:rsidR="00EC0E77" w:rsidRDefault="00EC0E77" w:rsidP="00D24E61">
      <w:pPr>
        <w:pStyle w:val="Textodenotaderodap"/>
      </w:pPr>
      <w:r>
        <w:rPr>
          <w:rStyle w:val="Caracteresdenotaderodap"/>
        </w:rPr>
        <w:footnoteRef/>
      </w:r>
      <w:r>
        <w:t xml:space="preserve"> Avenida Santa Rosa, 2504, Três de Maio, e-mail: setrem@setrem.com.br.</w:t>
      </w:r>
    </w:p>
  </w:footnote>
  <w:footnote w:id="13">
    <w:p w:rsidR="00EC0E77" w:rsidRPr="00CE053A" w:rsidRDefault="00EC0E77" w:rsidP="00D24E61">
      <w:pPr>
        <w:pStyle w:val="Textodenotaderodap"/>
        <w:rPr>
          <w:rFonts w:ascii="Times New Roman" w:hAnsi="Times New Roman"/>
        </w:rPr>
      </w:pPr>
      <w:r w:rsidRPr="00CE053A">
        <w:rPr>
          <w:rStyle w:val="Refdenotaderodap"/>
          <w:rFonts w:ascii="Times New Roman" w:hAnsi="Times New Roman"/>
        </w:rPr>
        <w:footnoteRef/>
      </w:r>
      <w:r w:rsidRPr="00CE053A">
        <w:rPr>
          <w:rFonts w:ascii="Times New Roman" w:hAnsi="Times New Roman"/>
        </w:rPr>
        <w:t xml:space="preserve"> As que obrigam o agressor – Art. 22 e aquelas destinadas à mulher que sofreu violência - Arts. 23 e 24.</w:t>
      </w:r>
    </w:p>
  </w:footnote>
  <w:footnote w:id="14">
    <w:p w:rsidR="00EC0E77" w:rsidRPr="00EC2CC2" w:rsidRDefault="00EC0E77" w:rsidP="00D24E61">
      <w:pPr>
        <w:jc w:val="both"/>
      </w:pPr>
      <w:r w:rsidRPr="00E50588">
        <w:rPr>
          <w:rStyle w:val="Refdenotaderodap"/>
          <w:rFonts w:eastAsia="Calibri"/>
          <w:sz w:val="20"/>
        </w:rPr>
        <w:footnoteRef/>
      </w:r>
      <w:r w:rsidRPr="00E50588">
        <w:rPr>
          <w:sz w:val="20"/>
        </w:rPr>
        <w:t xml:space="preserve"> Justificativa esta reconhecidamente falsa, como já esclareceu Nancy Chodorow (2002), em sua obra “Psicanálise da Maternidade: uma crítica a Freud a partir da mulher”, em que a autora afirma que a maternação das mulheres não existe isoladamente, mas é constituinte fundamental da divisão do trabalho por sexos, mantendo os laços entre a organização de gênero – em especial o sistema familiar – e a organização econômica, servindo, portanto, às sociedades industriais capitalistas.</w:t>
      </w:r>
    </w:p>
  </w:footnote>
  <w:footnote w:id="15">
    <w:p w:rsidR="00EC0E77" w:rsidRPr="00B026BA" w:rsidRDefault="00EC0E77" w:rsidP="00D24E61">
      <w:pPr>
        <w:pStyle w:val="Textodenotaderodap"/>
        <w:rPr>
          <w:rFonts w:ascii="Times New Roman" w:hAnsi="Times New Roman"/>
        </w:rPr>
      </w:pPr>
      <w:r w:rsidRPr="00AD612A">
        <w:rPr>
          <w:rStyle w:val="Refdenotaderodap"/>
          <w:rFonts w:ascii="Times New Roman" w:hAnsi="Times New Roman"/>
        </w:rPr>
        <w:footnoteRef/>
      </w:r>
      <w:r w:rsidRPr="00AD612A">
        <w:rPr>
          <w:rFonts w:ascii="Times New Roman" w:hAnsi="Times New Roman"/>
        </w:rPr>
        <w:t xml:space="preserve"> Para resguardar o sigilo da pesquisa, solicitou-se a usuária entrevistada que adotasse um nome fictício, ao que ela escolheu ser chamada de Rosa.</w:t>
      </w:r>
    </w:p>
  </w:footnote>
  <w:footnote w:id="16">
    <w:p w:rsidR="00EC0E77" w:rsidRPr="00E84EF7" w:rsidRDefault="00EC0E77" w:rsidP="00D24E61">
      <w:pPr>
        <w:pStyle w:val="Textodenotaderodap"/>
      </w:pPr>
      <w:r w:rsidRPr="00E84EF7">
        <w:rPr>
          <w:rStyle w:val="Refdenotaderodap"/>
        </w:rPr>
        <w:footnoteRef/>
      </w:r>
      <w:r w:rsidRPr="00E84EF7">
        <w:t xml:space="preserve"> Inclusive, seria preferível que nossa legislação não utilizasse o termo “companheiro” quando se referisse a um agressor. Companheiro é uma palavra com uma ideia muito digna para ser empregada sobre alguém que não faz jus ao seu significado.</w:t>
      </w:r>
    </w:p>
  </w:footnote>
  <w:footnote w:id="17">
    <w:p w:rsidR="00EC0E77" w:rsidRPr="00E84EF7" w:rsidRDefault="00EC0E77" w:rsidP="00D24E61">
      <w:pPr>
        <w:pStyle w:val="Textodenotaderodap"/>
      </w:pPr>
      <w:r w:rsidRPr="00E84EF7">
        <w:rPr>
          <w:rStyle w:val="Refdenotaderodap"/>
        </w:rPr>
        <w:footnoteRef/>
      </w:r>
      <w:r w:rsidRPr="00E84EF7">
        <w:t xml:space="preserve"> Na comarca de São Gabriel havia a necessidade de pesquisar em separado pelo assunto “Lesão corporal decorrente de violência doméstica” porque o cadastro no sistema SAIPRO é feito de forma diferenciada em relação aos serventuários da comarca de Irecê, que utilizam o assunto “Violência doméstica contra a mulher” para qualquer processo com relação com a Lei nº 11.340/06.</w:t>
      </w:r>
    </w:p>
  </w:footnote>
  <w:footnote w:id="18">
    <w:p w:rsidR="00EC0E77" w:rsidRPr="00E84EF7" w:rsidRDefault="00EC0E77" w:rsidP="00D24E61">
      <w:pPr>
        <w:pStyle w:val="Textodenotaderodap"/>
      </w:pPr>
      <w:r w:rsidRPr="00E84EF7">
        <w:rPr>
          <w:rStyle w:val="Refdenotaderodap"/>
        </w:rPr>
        <w:footnoteRef/>
      </w:r>
      <w:r w:rsidRPr="00E84EF7">
        <w:t xml:space="preserve"> Número relativo aos inquéritos instaurados de 2010 a 2013, a delegada </w:t>
      </w:r>
      <w:r>
        <w:t>informou que não houve registros nos anosde 2006 a 2009.</w:t>
      </w:r>
    </w:p>
  </w:footnote>
  <w:footnote w:id="19">
    <w:p w:rsidR="00EC0E77" w:rsidRPr="00E84EF7" w:rsidRDefault="00EC0E77" w:rsidP="00D24E61">
      <w:pPr>
        <w:pStyle w:val="Textodenotaderodap"/>
      </w:pPr>
      <w:r w:rsidRPr="00E84EF7">
        <w:rPr>
          <w:rStyle w:val="Refdenotaderodap"/>
        </w:rPr>
        <w:footnoteRef/>
      </w:r>
      <w:r w:rsidRPr="00E84EF7">
        <w:t xml:space="preserve"> Ana Joaquina de Castro Dourado foi uma das primeiras mulheres que moraram na cidade de Irecê e que, numa época em que as mulheres não tinham permissão para muitas coisas, ela já defendia a participação feminina na política (RUBEM, 2001).</w:t>
      </w:r>
    </w:p>
  </w:footnote>
  <w:footnote w:id="20">
    <w:p w:rsidR="00EC0E77" w:rsidRDefault="00EC0E77">
      <w:pPr>
        <w:pStyle w:val="Textodenotaderodap"/>
      </w:pPr>
      <w:r>
        <w:rPr>
          <w:rStyle w:val="Refdenotaderodap"/>
        </w:rPr>
        <w:footnoteRef/>
      </w:r>
      <w:r>
        <w:t xml:space="preserve"> Mestranda em Educação pela UFMA.  Email: ceciliaordonez2012@hotmail.com</w:t>
      </w:r>
    </w:p>
  </w:footnote>
  <w:footnote w:id="21">
    <w:p w:rsidR="00EC0E77" w:rsidRPr="00BE73A2" w:rsidRDefault="00EC0E77" w:rsidP="00D24E61">
      <w:pPr>
        <w:pStyle w:val="Textodenotaderodap"/>
      </w:pPr>
      <w:r w:rsidRPr="00BE73A2">
        <w:rPr>
          <w:rStyle w:val="Refdenotaderodap"/>
        </w:rPr>
        <w:footnoteRef/>
      </w:r>
      <w:r w:rsidRPr="00BE73A2">
        <w:rPr>
          <w:rStyle w:val="Refdenotaderodap"/>
        </w:rPr>
        <w:t xml:space="preserve"> </w:t>
      </w:r>
      <w:r>
        <w:t xml:space="preserve"> </w:t>
      </w:r>
      <w:r w:rsidRPr="00BE73A2">
        <w:t>Diretor do observatório Europeu sobre violência escolar.</w:t>
      </w:r>
    </w:p>
  </w:footnote>
  <w:footnote w:id="22">
    <w:p w:rsidR="00EC0E77" w:rsidRDefault="00EC0E77" w:rsidP="00D24E61">
      <w:pPr>
        <w:pStyle w:val="Textodenotaderodap"/>
      </w:pPr>
      <w:r>
        <w:rPr>
          <w:rStyle w:val="Refdenotaderodap"/>
        </w:rPr>
        <w:footnoteRef/>
      </w:r>
      <w:r>
        <w:t xml:space="preserve"> Segundo Beauvoir (1967), desde os primórdios, tudo contribui para confirmar essa hierarquia aos olhos da menina. Sua cultura histórica, literária, as canções, as lendas com que a embalam são uma exaltação do homem. São os homens que fizeram a Grécia, o Império Romano, a França e todas as nações, que descobriram a terra e inventaram os instrumentos que permitem explorá-la, que a governaram, que a povoaram de está- tuas, de quadros e de livros. A literatura infantil, a mitologia, contos, narrativas, refletem os mitos criados pelo orgulho e os desejos dos homens: é através de olhos masculinos que a menina explora o mundo e nele decifra seu destino. A superioridade masculina é esmagadora: Perseu, Hércules, Davi, Aquiles, Lança rote, Duguesclin, Bayard, Napoleão, quantos homens para uma Joana d'Arc; e, por trás desta, perfila-se a grande figura masculina de São Miguel Arcanjo! Nada mais tedioso do que os livros que traçam vidas de mulheres ilustres: são pálidas figuras ao lado das dos grandes homens; e em sua maioria banham-se na sombra de algum herói masculino.</w:t>
      </w:r>
    </w:p>
  </w:footnote>
  <w:footnote w:id="23">
    <w:p w:rsidR="00EC0E77" w:rsidRDefault="00EC0E77" w:rsidP="00D24E61">
      <w:pPr>
        <w:pStyle w:val="Textodenotaderodap"/>
      </w:pPr>
      <w:r>
        <w:rPr>
          <w:rStyle w:val="Refdenotaderodap"/>
        </w:rPr>
        <w:footnoteRef/>
      </w:r>
      <w:r>
        <w:t xml:space="preserve"> Segundo Bourdieu (1998), o capital cultural pode existir de três formas: incorporado, objetivado e institucionalizado. O 1º sob a forma de disposições duráveis do organismo; o 2º sob a forma de bens culturais e a 3º forma de objetivação está relacionada a certificação escolar.</w:t>
      </w:r>
    </w:p>
  </w:footnote>
  <w:footnote w:id="24">
    <w:p w:rsidR="00EC0E77" w:rsidRDefault="00EC0E77" w:rsidP="00D24E61">
      <w:pPr>
        <w:pStyle w:val="Textodenotaderodap"/>
      </w:pPr>
      <w:r>
        <w:rPr>
          <w:rStyle w:val="Refdenotaderodap"/>
        </w:rPr>
        <w:footnoteRef/>
      </w:r>
      <w:r w:rsidRPr="00584EBF">
        <w:t xml:space="preserve"> BEAUVOIR</w:t>
      </w:r>
      <w:r>
        <w:t>.</w:t>
      </w:r>
      <w:r w:rsidRPr="00584EBF">
        <w:t xml:space="preserve"> Simone</w:t>
      </w:r>
      <w:r>
        <w:t xml:space="preserve"> de. O segundo sexo a experiência vivida. São Paulo: Difusão Européia do livro, 1967. (Tradução de Sérgio Milliet). 2ª edição.</w:t>
      </w:r>
    </w:p>
  </w:footnote>
  <w:footnote w:id="25">
    <w:p w:rsidR="00EC0E77" w:rsidRDefault="00EC0E77" w:rsidP="00D24E61">
      <w:pPr>
        <w:pStyle w:val="Textodenotaderodap"/>
      </w:pPr>
      <w:r>
        <w:rPr>
          <w:rStyle w:val="Refdenotaderodap"/>
        </w:rPr>
        <w:footnoteRef/>
      </w:r>
      <w:r>
        <w:t xml:space="preserve"> Representa a conexão entre a ação individual e as condições sociais ou culturais apreendidas pela convivência no ambiente em que as ações se desenvolvem.</w:t>
      </w:r>
    </w:p>
  </w:footnote>
  <w:footnote w:id="26">
    <w:p w:rsidR="00EC0E77" w:rsidRDefault="00EC0E77">
      <w:pPr>
        <w:pStyle w:val="Textodenotaderodap"/>
      </w:pPr>
      <w:r>
        <w:rPr>
          <w:rStyle w:val="Refdenotaderodap"/>
        </w:rPr>
        <w:footnoteRef/>
      </w:r>
      <w:r>
        <w:t xml:space="preserve"> Poema de Gioconda Belli citado na entrevista e lido por Marinalva Oliveira, presidente do ANDES-SN, em homenagem ao Dia das Mulheres, durante o 32º Congresso do ANDES-SN Rio de Janeiro, em março 2013.</w:t>
      </w:r>
    </w:p>
  </w:footnote>
  <w:footnote w:id="27">
    <w:p w:rsidR="00EC0E77" w:rsidRDefault="00EC0E77" w:rsidP="00D24E61">
      <w:pPr>
        <w:pStyle w:val="Textodenotaderodap"/>
      </w:pPr>
      <w:r>
        <w:rPr>
          <w:rStyle w:val="Refdenotaderodap"/>
        </w:rPr>
        <w:footnoteRef/>
      </w:r>
      <w:r>
        <w:t xml:space="preserve"> A palavra </w:t>
      </w:r>
      <w:r w:rsidRPr="00B22138">
        <w:rPr>
          <w:i/>
        </w:rPr>
        <w:t>dóxa</w:t>
      </w:r>
      <w:r>
        <w:rPr>
          <w:i/>
        </w:rPr>
        <w:t xml:space="preserve"> c</w:t>
      </w:r>
      <w:r>
        <w:t xml:space="preserve">onforme Bourdieu, vem acompanhada de espanto por cumprir uma lógica paradoxal de imposição e obediência. O fato de que a ordem do mundo, tal como está, com seus sentidos únicos e seus sentidos proibidos, em sentido próprio ou figurado, suas obrigações e suas sanções, seja grosso modo respeitada, que não haja um maior número de transgressões ou subversões, delitos e “loucuras”. No preâmbulo de </w:t>
      </w:r>
      <w:r w:rsidRPr="001314FD">
        <w:rPr>
          <w:i/>
        </w:rPr>
        <w:t xml:space="preserve">Pierre Bourdieu </w:t>
      </w:r>
      <w:r>
        <w:rPr>
          <w:i/>
        </w:rPr>
        <w:t xml:space="preserve">e </w:t>
      </w:r>
      <w:r w:rsidRPr="001314FD">
        <w:rPr>
          <w:i/>
        </w:rPr>
        <w:t>a dominação masculina</w:t>
      </w:r>
      <w:r>
        <w:t xml:space="preserve"> o autor afirma: “Também sempre vi na dominação masculina, e no modo como é imposta e vivenciada, o exemplo por excelência desta submissão paradoxal, resultante daquilo que eu chamo de violência simbólica, violência suave, insensível, invisível a suas próprias vitimas, que se exerce essencialmente pelas vias puramente simbólica da comunicação e do conhecimento, ou, mais precisamente, do desconhecimento, do reconhecimento ou, em ultima instancia, do sentimento. (BOURDIEU, 2012, p. 7).</w:t>
      </w:r>
    </w:p>
  </w:footnote>
  <w:footnote w:id="28">
    <w:p w:rsidR="00EC0E77" w:rsidRPr="00BE73A2" w:rsidRDefault="00EC0E77" w:rsidP="00D24E61">
      <w:pPr>
        <w:pStyle w:val="Textodenotaderodap"/>
      </w:pPr>
      <w:r w:rsidRPr="00BE73A2">
        <w:rPr>
          <w:rStyle w:val="Refdenotaderodap"/>
        </w:rPr>
        <w:footnoteRef/>
      </w:r>
      <w:r>
        <w:t xml:space="preserve"> </w:t>
      </w:r>
      <w:r w:rsidRPr="00BE73A2">
        <w:t>O autor faz referência à sensibilidade da opinião pública relativamente à violência dos jovens que é muitas vezes exacerbada por diversos fatores trágicos que colocam em cena ‘contos’ de violências espetaculares e sangrentas, mas que,</w:t>
      </w:r>
      <w:r>
        <w:t xml:space="preserve"> nesta forma extrema, são raros, porém, isso acaba contribuindo com a naturalização da violência, o jovem passa a ser visto como um “selvagem” que por razões de “natureza ou cultura”, não é passível de ser integrado às normas sociais.</w:t>
      </w:r>
    </w:p>
  </w:footnote>
  <w:footnote w:id="29">
    <w:p w:rsidR="00EC0E77" w:rsidRDefault="00EC0E77" w:rsidP="00D24E61">
      <w:pPr>
        <w:pStyle w:val="Textodenotaderodap"/>
      </w:pPr>
      <w:r>
        <w:rPr>
          <w:rStyle w:val="Refdenotaderodap"/>
        </w:rPr>
        <w:footnoteRef/>
      </w:r>
      <w:r>
        <w:t xml:space="preserve"> “Uma das maldições que pesam sobre a mulher — Michelet assinalou-a justamente — está em que, em sua infância, ela é abandonada às mãos das mulheres. O menino também é, a princípio, educado pela mãe; mas ela respeita a virilidade dele e ele lhe escapa desde logo; ao passo que ela almeja integrar a filha no mundo feminino” (BEAUVOIR, 1967, p. 22).</w:t>
      </w:r>
    </w:p>
  </w:footnote>
  <w:footnote w:id="30">
    <w:p w:rsidR="00EC0E77" w:rsidRDefault="00EC0E77" w:rsidP="00D24E61">
      <w:pPr>
        <w:pStyle w:val="Textodenotaderodap"/>
      </w:pPr>
      <w:r>
        <w:rPr>
          <w:rStyle w:val="Refdenotaderodap"/>
        </w:rPr>
        <w:footnoteRef/>
      </w:r>
      <w:r>
        <w:t xml:space="preserve"> Miriam Abramovay é socióloga, consultora do Escritório das Nações Unidas para Controle de Drogas e Prevenção ao Crime e do Banco Mundial, suas pesquisas e avaliações sobre questão de gênero, juventude e violência contribuem intensamente </w:t>
      </w:r>
      <w:r w:rsidRPr="000C54D4">
        <w:t>para a compreensão dos elementos que permeiam o cotidiano das escolas brasileiras no que tange à violência escolar</w:t>
      </w:r>
      <w:r>
        <w:t>, representa uma rica fonte de dados para o estudo em questão.</w:t>
      </w:r>
    </w:p>
  </w:footnote>
  <w:footnote w:id="31">
    <w:p w:rsidR="00EC0E77" w:rsidRDefault="00EC0E77" w:rsidP="00D24E61">
      <w:pPr>
        <w:pStyle w:val="Textodenotaderodap"/>
      </w:pPr>
      <w:r>
        <w:rPr>
          <w:rStyle w:val="Refdenotaderodap"/>
        </w:rPr>
        <w:footnoteRef/>
      </w:r>
      <w:r>
        <w:t xml:space="preserve"> </w:t>
      </w:r>
      <w:r w:rsidRPr="00905C26">
        <w:t xml:space="preserve">NJAINE, K.; MINAYO, M. </w:t>
      </w:r>
      <w:r>
        <w:t>Violência na escola: identificando pistas para a Prevenção. Interface - Comunic, Saúde, Educ, v.7, n.13, p.119-34, 2003.</w:t>
      </w:r>
    </w:p>
  </w:footnote>
  <w:footnote w:id="32">
    <w:p w:rsidR="00EC0E77" w:rsidRPr="002A0F46" w:rsidRDefault="00EC0E77" w:rsidP="00D24E61">
      <w:pPr>
        <w:pStyle w:val="Textodenotaderodap"/>
        <w:spacing w:line="240" w:lineRule="auto"/>
        <w:rPr>
          <w:sz w:val="16"/>
          <w:szCs w:val="16"/>
        </w:rPr>
      </w:pPr>
      <w:r w:rsidRPr="002A0F46">
        <w:rPr>
          <w:rStyle w:val="Refdenotaderodap"/>
          <w:sz w:val="16"/>
          <w:szCs w:val="16"/>
        </w:rPr>
        <w:footnoteRef/>
      </w:r>
      <w:r w:rsidRPr="002A0F46">
        <w:rPr>
          <w:sz w:val="16"/>
          <w:szCs w:val="16"/>
        </w:rPr>
        <w:t xml:space="preserve"> Professora da rede municipal de Caxias-MA, </w:t>
      </w:r>
      <w:r w:rsidRPr="002A0F46">
        <w:rPr>
          <w:color w:val="000000"/>
          <w:sz w:val="16"/>
          <w:szCs w:val="16"/>
          <w:shd w:val="clear" w:color="auto" w:fill="FFFFFF"/>
        </w:rPr>
        <w:t>E</w:t>
      </w:r>
      <w:r w:rsidRPr="002A0F46">
        <w:rPr>
          <w:sz w:val="16"/>
          <w:szCs w:val="16"/>
        </w:rPr>
        <w:t xml:space="preserve">specialista em História do Brasil pela UEMA. Especialista em Gestão de Políticas Públicas em gênero e raça pela </w:t>
      </w:r>
      <w:r w:rsidRPr="002A0F46">
        <w:rPr>
          <w:color w:val="000000"/>
          <w:sz w:val="16"/>
          <w:szCs w:val="16"/>
          <w:shd w:val="clear" w:color="auto" w:fill="FFFFFF"/>
        </w:rPr>
        <w:t>Universidade Federal do Maranhão – UFMA</w:t>
      </w:r>
      <w:r w:rsidRPr="002A0F46">
        <w:rPr>
          <w:sz w:val="16"/>
          <w:szCs w:val="16"/>
        </w:rPr>
        <w:t xml:space="preserve"> e Bacharel em Serviço Social pela Anhanguera.</w:t>
      </w:r>
    </w:p>
  </w:footnote>
  <w:footnote w:id="33">
    <w:p w:rsidR="00EC0E77" w:rsidRPr="00497A03" w:rsidRDefault="00EC0E77" w:rsidP="00D24E61">
      <w:pPr>
        <w:pStyle w:val="BNDES"/>
        <w:rPr>
          <w:rFonts w:ascii="Times New Roman" w:hAnsi="Times New Roman"/>
          <w:sz w:val="20"/>
        </w:rPr>
      </w:pPr>
      <w:r w:rsidRPr="002A0F46">
        <w:rPr>
          <w:rStyle w:val="Refdenotaderodap"/>
          <w:rFonts w:ascii="Times New Roman" w:hAnsi="Times New Roman"/>
          <w:sz w:val="16"/>
          <w:szCs w:val="16"/>
        </w:rPr>
        <w:footnoteRef/>
      </w:r>
      <w:r w:rsidRPr="002A0F46">
        <w:rPr>
          <w:rFonts w:ascii="Times New Roman" w:hAnsi="Times New Roman"/>
          <w:sz w:val="16"/>
          <w:szCs w:val="16"/>
        </w:rPr>
        <w:t xml:space="preserve"> Professora Adjunta da Universidade Federal do Maranhão – UFMA. Especialista em Jornalismo Cultural. Mestra em Comunicação Social pela Universidade Federal Fluminense – UFF. Doutoranda em Comunicação pela Pontifícia Universidade Católica do Rio Grande do Sul – PUCRS.</w:t>
      </w:r>
    </w:p>
  </w:footnote>
  <w:footnote w:id="34">
    <w:p w:rsidR="00EC0E77" w:rsidRPr="00374F0C" w:rsidRDefault="00EC0E77" w:rsidP="00D24E61">
      <w:pPr>
        <w:autoSpaceDE w:val="0"/>
        <w:autoSpaceDN w:val="0"/>
        <w:adjustRightInd w:val="0"/>
        <w:rPr>
          <w:sz w:val="16"/>
          <w:szCs w:val="16"/>
        </w:rPr>
      </w:pPr>
      <w:r w:rsidRPr="00374F0C">
        <w:rPr>
          <w:rStyle w:val="Refdenotaderodap"/>
          <w:sz w:val="16"/>
          <w:szCs w:val="16"/>
        </w:rPr>
        <w:footnoteRef/>
      </w:r>
      <w:r w:rsidRPr="00374F0C">
        <w:rPr>
          <w:sz w:val="16"/>
          <w:szCs w:val="16"/>
        </w:rPr>
        <w:t xml:space="preserve"> </w:t>
      </w:r>
      <w:r w:rsidRPr="00374F0C">
        <w:rPr>
          <w:iCs/>
          <w:sz w:val="16"/>
          <w:szCs w:val="16"/>
        </w:rPr>
        <w:t xml:space="preserve">Vocabulário da língua brasílica </w:t>
      </w:r>
      <w:r w:rsidRPr="00374F0C">
        <w:rPr>
          <w:sz w:val="16"/>
          <w:szCs w:val="16"/>
        </w:rPr>
        <w:t>dos Jesuítas, de 1621, tradução do termo: “machão, mulher que não conhece homem e tem mulher, falando e pelejando como homem” Elas adotavam o papel masculino, vestiam-se e cortavam os cabelos como os homens, guerreavam, c</w:t>
      </w:r>
      <w:r>
        <w:rPr>
          <w:sz w:val="16"/>
          <w:szCs w:val="16"/>
        </w:rPr>
        <w:t>açavam etc. (MOTT, 1987, p. 23)</w:t>
      </w:r>
    </w:p>
  </w:footnote>
  <w:footnote w:id="35">
    <w:p w:rsidR="00EC0E77" w:rsidRPr="00374F0C" w:rsidRDefault="00EC0E77" w:rsidP="00D24E61">
      <w:pPr>
        <w:autoSpaceDE w:val="0"/>
        <w:autoSpaceDN w:val="0"/>
        <w:adjustRightInd w:val="0"/>
        <w:rPr>
          <w:sz w:val="16"/>
          <w:szCs w:val="16"/>
        </w:rPr>
      </w:pPr>
      <w:r w:rsidRPr="00374F0C">
        <w:rPr>
          <w:rStyle w:val="Refdenotaderodap"/>
          <w:sz w:val="16"/>
          <w:szCs w:val="16"/>
        </w:rPr>
        <w:footnoteRef/>
      </w:r>
      <w:r w:rsidRPr="00374F0C">
        <w:rPr>
          <w:sz w:val="16"/>
          <w:szCs w:val="16"/>
        </w:rPr>
        <w:t xml:space="preserve"> Por </w:t>
      </w:r>
      <w:r w:rsidRPr="00374F0C">
        <w:rPr>
          <w:iCs/>
          <w:sz w:val="16"/>
          <w:szCs w:val="16"/>
        </w:rPr>
        <w:t xml:space="preserve">homofobia </w:t>
      </w:r>
      <w:r w:rsidRPr="00374F0C">
        <w:rPr>
          <w:sz w:val="16"/>
          <w:szCs w:val="16"/>
        </w:rPr>
        <w:t xml:space="preserve">entende-se o medo, descrédito, aversão e ódio em direção aos </w:t>
      </w:r>
      <w:r w:rsidRPr="00374F0C">
        <w:rPr>
          <w:iCs/>
          <w:sz w:val="16"/>
          <w:szCs w:val="16"/>
        </w:rPr>
        <w:t>gays</w:t>
      </w:r>
      <w:r w:rsidRPr="00374F0C">
        <w:rPr>
          <w:sz w:val="16"/>
          <w:szCs w:val="16"/>
        </w:rPr>
        <w:t>, lésbicas, bissexuais, travestis e transexuais ou àquelas pessoas que se presume serem porque não adotam, ou são suspeitas de não adotar, configurações sexuais ditas naturais ou normais. (TOLEDO, 2008, p. 14).</w:t>
      </w:r>
    </w:p>
  </w:footnote>
  <w:footnote w:id="36">
    <w:p w:rsidR="00EC0E77" w:rsidRPr="00374F0C" w:rsidRDefault="00EC0E77" w:rsidP="00D24E61">
      <w:pPr>
        <w:pStyle w:val="Textodenotaderodap"/>
        <w:spacing w:line="240" w:lineRule="auto"/>
        <w:rPr>
          <w:sz w:val="16"/>
          <w:szCs w:val="16"/>
        </w:rPr>
      </w:pPr>
      <w:r w:rsidRPr="00374F0C">
        <w:rPr>
          <w:rStyle w:val="Refdenotaderodap"/>
          <w:sz w:val="16"/>
          <w:szCs w:val="16"/>
        </w:rPr>
        <w:footnoteRef/>
      </w:r>
      <w:r w:rsidRPr="00374F0C">
        <w:rPr>
          <w:sz w:val="16"/>
          <w:szCs w:val="16"/>
        </w:rPr>
        <w:t xml:space="preserve"> A lesbofobia é um termo empregado para caracterizar os efeitos maléficos da hierarquia da heteronormatividade que incidem sobre as mulheres de orientação sexual homossexual e com práticas homoeróticas. (PINAFI, </w:t>
      </w:r>
      <w:r>
        <w:rPr>
          <w:sz w:val="16"/>
          <w:szCs w:val="16"/>
        </w:rPr>
        <w:t>s.d.,</w:t>
      </w:r>
      <w:r w:rsidRPr="00374F0C">
        <w:rPr>
          <w:sz w:val="16"/>
          <w:szCs w:val="16"/>
        </w:rPr>
        <w:t xml:space="preserve"> p. 901).</w:t>
      </w:r>
    </w:p>
  </w:footnote>
  <w:footnote w:id="37">
    <w:p w:rsidR="00EC0E77" w:rsidRPr="00885EE9" w:rsidRDefault="00EC0E77" w:rsidP="00D24E61">
      <w:pPr>
        <w:pStyle w:val="Default"/>
      </w:pPr>
      <w:r>
        <w:rPr>
          <w:rStyle w:val="Refdenotaderodap"/>
        </w:rPr>
        <w:footnoteRef/>
      </w:r>
      <w:r>
        <w:t xml:space="preserve"> </w:t>
      </w:r>
      <w:r w:rsidRPr="005B4F74">
        <w:rPr>
          <w:color w:val="auto"/>
          <w:sz w:val="16"/>
          <w:szCs w:val="16"/>
        </w:rPr>
        <w:t xml:space="preserve">Seis mulheres que se autoidentificam lésbicas e residem em Caxias, na faixa etária entre 21 anos e 38 anos, de profissões várias: eletricista; fonoaudióloga; supervisora de projeto; consultora em vendas; conferente e professora. Destas, 05 (cinco) são católicas e 01 (uma), messiânica; 03 (três) se autodeclaram brancas e 03(três) se identificam como pardas. Quanto ao grau de escolaridade, 03 (três) possuem ensino superior incompleto; 01 (uma), superior completo; 01 (uma), ensino médio completo e 01 (uma), médio incompleto. Todas têm parceiras fixas, mantendo relacionamento a mais 01 (um) ano e nenhuma das entrevistadas tem filhos. </w:t>
      </w:r>
    </w:p>
  </w:footnote>
  <w:footnote w:id="38">
    <w:p w:rsidR="00EC0E77" w:rsidRPr="00A67382" w:rsidRDefault="00EC0E77" w:rsidP="00D24E61">
      <w:pPr>
        <w:pStyle w:val="Textodenotaderodap"/>
        <w:spacing w:line="240" w:lineRule="auto"/>
      </w:pPr>
      <w:r>
        <w:rPr>
          <w:rStyle w:val="Refdenotaderodap"/>
        </w:rPr>
        <w:footnoteRef/>
      </w:r>
      <w:r>
        <w:t xml:space="preserve"> </w:t>
      </w:r>
      <w:r w:rsidRPr="004E5A2C">
        <w:rPr>
          <w:sz w:val="16"/>
          <w:szCs w:val="16"/>
        </w:rPr>
        <w:t>A cidade de Caxias, localizada a leste do Estado do Maranhão, possui 155.202 habitantes, destes, 80.091 são mulheres (IBGE 2010).  É um município de grande porte que tem sua economia baseada na agricultura de subsistência, no comércio e em algumas indústrias.Ligado à Secretaria Municipal da Mulher do Município, o Grupo de Convivência Borboleta, instituído em meados de 2010, objetiva discutir as políticas públicas voltadas para o universo lesboafetivo e promover um espaço de acolhida escuta e troca de vivências entre mulheres lésbicas. É um grupo de defesa das minorias sexuais, composto só de mulheres lésbicas que buscam visibilidade e o reconhecimento dos seus direitos civis, reprodutivos, jurídicos, etc..</w:t>
      </w:r>
    </w:p>
  </w:footnote>
  <w:footnote w:id="39">
    <w:p w:rsidR="00EC0E77" w:rsidRPr="0050628E" w:rsidRDefault="00EC0E77" w:rsidP="00D24E61">
      <w:pPr>
        <w:autoSpaceDE w:val="0"/>
        <w:autoSpaceDN w:val="0"/>
        <w:adjustRightInd w:val="0"/>
        <w:rPr>
          <w:sz w:val="16"/>
          <w:szCs w:val="16"/>
        </w:rPr>
      </w:pPr>
      <w:r w:rsidRPr="0050628E">
        <w:rPr>
          <w:rStyle w:val="Refdenotaderodap"/>
          <w:sz w:val="16"/>
          <w:szCs w:val="16"/>
        </w:rPr>
        <w:footnoteRef/>
      </w:r>
      <w:r w:rsidRPr="0050628E">
        <w:rPr>
          <w:sz w:val="16"/>
          <w:szCs w:val="16"/>
        </w:rPr>
        <w:t>Utilizamos</w:t>
      </w:r>
      <w:r>
        <w:rPr>
          <w:sz w:val="16"/>
          <w:szCs w:val="16"/>
        </w:rPr>
        <w:t xml:space="preserve"> a expressão,</w:t>
      </w:r>
      <w:r w:rsidRPr="0050628E">
        <w:rPr>
          <w:sz w:val="16"/>
          <w:szCs w:val="16"/>
        </w:rPr>
        <w:t xml:space="preserve"> a partir das ideias de Masschein, J</w:t>
      </w:r>
      <w:r>
        <w:rPr>
          <w:sz w:val="16"/>
          <w:szCs w:val="16"/>
        </w:rPr>
        <w:t>,</w:t>
      </w:r>
      <w:r w:rsidRPr="0050628E">
        <w:rPr>
          <w:sz w:val="16"/>
          <w:szCs w:val="16"/>
        </w:rPr>
        <w:t xml:space="preserve"> no texto </w:t>
      </w:r>
      <w:r w:rsidRPr="00B32B22">
        <w:rPr>
          <w:b/>
          <w:sz w:val="16"/>
          <w:szCs w:val="16"/>
        </w:rPr>
        <w:t>“</w:t>
      </w:r>
      <w:r w:rsidRPr="00B32B22">
        <w:rPr>
          <w:b/>
          <w:bCs/>
          <w:sz w:val="16"/>
          <w:szCs w:val="16"/>
        </w:rPr>
        <w:t>E-ducando o olhar: a necessidade de uma pedagogia Pobre”</w:t>
      </w:r>
      <w:r>
        <w:rPr>
          <w:bCs/>
          <w:sz w:val="16"/>
          <w:szCs w:val="16"/>
        </w:rPr>
        <w:t xml:space="preserve"> </w:t>
      </w:r>
      <w:r w:rsidRPr="0050628E">
        <w:rPr>
          <w:bCs/>
          <w:sz w:val="16"/>
          <w:szCs w:val="16"/>
        </w:rPr>
        <w:t>(2008).</w:t>
      </w:r>
    </w:p>
  </w:footnote>
  <w:footnote w:id="40">
    <w:p w:rsidR="00EC0E77" w:rsidRPr="00355894" w:rsidRDefault="00EC0E77" w:rsidP="00D24E61">
      <w:pPr>
        <w:autoSpaceDE w:val="0"/>
        <w:autoSpaceDN w:val="0"/>
        <w:adjustRightInd w:val="0"/>
        <w:rPr>
          <w:rFonts w:eastAsia="Calibri"/>
          <w:i/>
          <w:iCs/>
          <w:sz w:val="16"/>
          <w:szCs w:val="16"/>
        </w:rPr>
      </w:pPr>
      <w:r w:rsidRPr="00355894">
        <w:rPr>
          <w:rStyle w:val="Refdenotaderodap"/>
          <w:sz w:val="16"/>
          <w:szCs w:val="16"/>
        </w:rPr>
        <w:footnoteRef/>
      </w:r>
      <w:r w:rsidRPr="00355894">
        <w:rPr>
          <w:sz w:val="16"/>
          <w:szCs w:val="16"/>
        </w:rPr>
        <w:t xml:space="preserve"> </w:t>
      </w:r>
      <w:r w:rsidRPr="00355894">
        <w:rPr>
          <w:rFonts w:eastAsia="Calibri"/>
          <w:sz w:val="16"/>
          <w:szCs w:val="16"/>
        </w:rPr>
        <w:t>1. Lei da ação recíproca e da conexão universal, onde tudo está interligado, não existindo nada isolado; 2. Lei da transformação e do desenvolvimento incessante, onde tudo se transforma; 3. Lei das mudanças quantitativas e qualitativas e 4. Lei dos contrários, princípio de que a realidade é contraditória.</w:t>
      </w:r>
      <w:r w:rsidRPr="00355894">
        <w:rPr>
          <w:rFonts w:eastAsia="Calibri"/>
          <w:i/>
          <w:iCs/>
          <w:sz w:val="16"/>
          <w:szCs w:val="16"/>
        </w:rPr>
        <w:t xml:space="preserve"> </w:t>
      </w:r>
    </w:p>
    <w:p w:rsidR="00EC0E77" w:rsidRPr="006652F8" w:rsidRDefault="00EC0E77" w:rsidP="00D24E61">
      <w:pPr>
        <w:autoSpaceDE w:val="0"/>
        <w:autoSpaceDN w:val="0"/>
        <w:adjustRightInd w:val="0"/>
        <w:rPr>
          <w:sz w:val="16"/>
          <w:szCs w:val="16"/>
        </w:rPr>
      </w:pPr>
      <w:r>
        <w:rPr>
          <w:rFonts w:eastAsia="Calibri"/>
          <w:i/>
          <w:iCs/>
          <w:sz w:val="16"/>
          <w:szCs w:val="16"/>
        </w:rPr>
        <w:t>(</w:t>
      </w:r>
      <w:r w:rsidRPr="00355894">
        <w:rPr>
          <w:rFonts w:eastAsia="Calibri"/>
          <w:i/>
          <w:iCs/>
          <w:sz w:val="16"/>
          <w:szCs w:val="16"/>
        </w:rPr>
        <w:t>SENA, 2004, p 28</w:t>
      </w:r>
      <w:r>
        <w:rPr>
          <w:rFonts w:eastAsia="Calibri"/>
          <w:i/>
          <w:iCs/>
          <w:sz w:val="16"/>
          <w:szCs w:val="16"/>
        </w:rPr>
        <w:t>)</w:t>
      </w:r>
    </w:p>
  </w:footnote>
  <w:footnote w:id="41">
    <w:p w:rsidR="00EC0E77" w:rsidRPr="00E5618C" w:rsidRDefault="00EC0E77" w:rsidP="00D24E61">
      <w:pPr>
        <w:autoSpaceDE w:val="0"/>
        <w:autoSpaceDN w:val="0"/>
        <w:adjustRightInd w:val="0"/>
        <w:rPr>
          <w:sz w:val="16"/>
          <w:szCs w:val="16"/>
        </w:rPr>
      </w:pPr>
      <w:r w:rsidRPr="00E5618C">
        <w:rPr>
          <w:rStyle w:val="Refdenotaderodap"/>
          <w:sz w:val="16"/>
          <w:szCs w:val="16"/>
        </w:rPr>
        <w:footnoteRef/>
      </w:r>
      <w:r w:rsidRPr="00E5618C">
        <w:rPr>
          <w:sz w:val="16"/>
          <w:szCs w:val="16"/>
        </w:rPr>
        <w:t xml:space="preserve"> </w:t>
      </w:r>
      <w:r w:rsidRPr="00E5618C">
        <w:rPr>
          <w:rFonts w:eastAsia="Calibri"/>
          <w:sz w:val="16"/>
          <w:szCs w:val="16"/>
        </w:rPr>
        <w:t>No caso da experiência brasileira, eles são predominantemente homens, brancos, heterossexuais, adultos, ocidentais, cristãos e oriundos das elites. (</w:t>
      </w:r>
      <w:r w:rsidRPr="00E5618C">
        <w:rPr>
          <w:rFonts w:eastAsia="Calibri"/>
          <w:iCs/>
          <w:sz w:val="16"/>
          <w:szCs w:val="16"/>
        </w:rPr>
        <w:t>SENA, 2004, p</w:t>
      </w:r>
      <w:r w:rsidRPr="00E5618C">
        <w:rPr>
          <w:rFonts w:eastAsia="Calibri"/>
          <w:sz w:val="16"/>
          <w:szCs w:val="16"/>
        </w:rPr>
        <w:t xml:space="preserve"> 29</w:t>
      </w:r>
      <w:r>
        <w:rPr>
          <w:rFonts w:eastAsia="Calibri"/>
          <w:sz w:val="16"/>
          <w:szCs w:val="16"/>
        </w:rPr>
        <w:t>)</w:t>
      </w:r>
    </w:p>
  </w:footnote>
  <w:footnote w:id="42">
    <w:p w:rsidR="00EC0E77" w:rsidRDefault="00EC0E77"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87523">
        <w:rPr>
          <w:rStyle w:val="Refdenotaderodap"/>
          <w:sz w:val="20"/>
          <w:szCs w:val="20"/>
        </w:rPr>
        <w:footnoteRef/>
      </w:r>
      <w:r w:rsidRPr="00D87523">
        <w:rPr>
          <w:sz w:val="20"/>
          <w:szCs w:val="20"/>
        </w:rPr>
        <w:t xml:space="preserve"> A chave da explicação para o aumento quantitativo e qualitativo da ação transnacional estaria no Internacionalismo, que é definido como: “um aumento da densidade horizontal das relações entre os estados, funcionários governamentais e atores não estatais; aumento nas ligações verticais entre os níveis subnacionais, nacionais e internacional; o fortalecimento de uma estrutura formal e informal que convida ativismo transnacional e facilita a formação de redes de não-estatal, estadual e atores internacionais”. (TARROW, 2005) [tradução nossa]</w:t>
      </w:r>
    </w:p>
  </w:footnote>
  <w:footnote w:id="43">
    <w:p w:rsidR="00EC0E77" w:rsidRDefault="00EC0E77" w:rsidP="00D24E61">
      <w:pPr>
        <w:pStyle w:val="Textodenotaderodap"/>
      </w:pPr>
      <w:r w:rsidRPr="00D87523">
        <w:rPr>
          <w:rStyle w:val="Refdenotaderodap"/>
        </w:rPr>
        <w:footnoteRef/>
      </w:r>
      <w:r w:rsidRPr="00D87523">
        <w:t xml:space="preserve"> Para TARROW (ano), </w:t>
      </w:r>
      <w:r w:rsidRPr="00D87523">
        <w:rPr>
          <w:b/>
          <w:bCs/>
        </w:rPr>
        <w:t xml:space="preserve">ciclos de mobilização são </w:t>
      </w:r>
      <w:r w:rsidRPr="00D87523">
        <w:t>momentos de elevado confronto social, repercutindo no sistema social como um todo. A política ultrapassa seus limites tradicionais e passa a envolver todo o conjunto da vida social. Eles são marcados por períodos de rápido ascenso da mobilização, com conseqüente inovação de repertórios, e a fase de descenso (que gera desilusões). O aprendizado produzido nesse momento será, em parte, descartado. Mas a parte mantida terá efeitos duradouros no tempo.</w:t>
      </w:r>
    </w:p>
  </w:footnote>
  <w:footnote w:id="44">
    <w:p w:rsidR="00EC0E77" w:rsidRDefault="00EC0E77">
      <w:pPr>
        <w:pStyle w:val="Textodenotaderodap"/>
      </w:pPr>
      <w:r w:rsidRPr="00D87523">
        <w:rPr>
          <w:rStyle w:val="Refdenotaderodap"/>
        </w:rPr>
        <w:footnoteRef/>
      </w:r>
      <w:r w:rsidRPr="00D87523">
        <w:t xml:space="preserve"> No Brasil, a termo passa a ser utilizado a partir de meados dos anos 80, com base em famoso artigo de Joan Scott, chamado “Gênero: uma categoria útil para a análise histórica”. Scott faz um apanhado das diferentes formas de uso que se davam à palavra gênero e reforça a sua função de diferenciar as atribuições referentes exclusivamente ao sexo, restritas ao plano biológico, da construção dos papéis sexuais que se dão no plano social, no que consistiria o gênero. A sua principal preocupação é demonstrar que, sendo o gênero construído socialmente, é histórica e temporalmente localizável e, portanto, mutável. Dessa forma, combate o essencialismo e determinismo biológico muitas vezes utilizado para justificar a situação de desigualdade da mulher nas relações sociais. (SAFFIOTTI, (2005)</w:t>
      </w:r>
    </w:p>
  </w:footnote>
  <w:footnote w:id="45">
    <w:p w:rsidR="00EC0E77" w:rsidRDefault="00EC0E77" w:rsidP="00D24E61">
      <w:pPr>
        <w:pStyle w:val="Textodenotaderodap"/>
        <w:spacing w:after="120"/>
      </w:pPr>
      <w:r w:rsidRPr="00D87523">
        <w:rPr>
          <w:rStyle w:val="Refdenotaderodap"/>
        </w:rPr>
        <w:footnoteRef/>
      </w:r>
      <w:r w:rsidRPr="00D87523">
        <w:t xml:space="preserve"> A temática do aborto talvez seja um ponto de inflexão nas convergências e trânsitos de militantes pelo feminismo. A defesa do direito à prática legal do aborto encontra-se, assim como a sua condenação, dentro de uma esfera maior de reivindicações, inserindo-se dentro da luta pelos chamados direitos sexuais e reprodutivos. O direito ao planejamento familiar, à opção ou não pela maternidade, à livre orientação sexual encontram-se também dentro desse bojo. Fazem todos parte de um entendimento dentro do movimento feminista, conforme já referido, de que a luta pela igualdade entre os sexos passa não só pela conquista do espaço público, mas também pela rediscussão da dimensão privada e da necessária libertação sexual da mulher dos cânones morais da sociedade patriarcal. O aborto visto como um direito da mulher de dispor sobre seu próprio corpo, do direito à sua integridade física, de afirmar o seu controle sobre a própria sexualidade traz de forma mais evidente o caráter de questionamento das estruturas e valores sociais e de imposições de padrões de comportamento sexual. Ele representa o questionamento da maternidade como destino biológico inafastável da mulher. Por trás desse argumento subjaz o entendimento de que uma igualdade efetiva entre os sexos só é possível a partir da desconstrução e redefinição dos papéis sexuais em todos os âmbitos e também dentro da família. Nesse sentido, a luta pela regulamentação do aborto possui também um aspecto simbólico, pois, por seu aspecto polêmico, trata-se da ponta de lança da luta na conquista desses direitos (BEZERRA, 2007).</w:t>
      </w:r>
    </w:p>
  </w:footnote>
  <w:footnote w:id="46">
    <w:p w:rsidR="00EC0E77" w:rsidRPr="00D61223" w:rsidRDefault="00EC0E77">
      <w:pPr>
        <w:pStyle w:val="Textodenotaderodap"/>
        <w:rPr>
          <w:lang w:val="en-US"/>
        </w:rPr>
      </w:pPr>
      <w:r w:rsidRPr="00D87523">
        <w:rPr>
          <w:rStyle w:val="Refdenotaderodap"/>
        </w:rPr>
        <w:footnoteRef/>
      </w:r>
      <w:r w:rsidRPr="00D87523">
        <w:rPr>
          <w:lang w:val="en-US"/>
        </w:rPr>
        <w:t xml:space="preserve"> A nomenclatura oficial em inglês, pela qual são mais conhecidas é, respectivamente, </w:t>
      </w:r>
      <w:r w:rsidRPr="00D87523">
        <w:rPr>
          <w:rStyle w:val="apple-converted-space"/>
          <w:shd w:val="clear" w:color="auto" w:fill="FFFFFF"/>
          <w:lang w:val="en-US"/>
        </w:rPr>
        <w:t> </w:t>
      </w:r>
      <w:r w:rsidRPr="00D87523">
        <w:rPr>
          <w:shd w:val="clear" w:color="auto" w:fill="FFFFFF"/>
          <w:lang w:val="en-US"/>
        </w:rPr>
        <w:t>nternational Conference on Population and Development (</w:t>
      </w:r>
      <w:r w:rsidRPr="00D87523">
        <w:rPr>
          <w:rStyle w:val="nfase"/>
          <w:bCs/>
          <w:i w:val="0"/>
          <w:iCs w:val="0"/>
          <w:shd w:val="clear" w:color="auto" w:fill="FFFFFF"/>
          <w:lang w:val="en-US"/>
        </w:rPr>
        <w:t>ICPD</w:t>
      </w:r>
      <w:r w:rsidRPr="00D87523">
        <w:rPr>
          <w:shd w:val="clear" w:color="auto" w:fill="FFFFFF"/>
          <w:lang w:val="en-US"/>
        </w:rPr>
        <w:t>)  e Convention on the Elimination of All Forms of Discrimination against Women (CEDAW).</w:t>
      </w:r>
    </w:p>
  </w:footnote>
  <w:footnote w:id="47">
    <w:p w:rsidR="00EC0E77" w:rsidRDefault="00EC0E77" w:rsidP="00D24E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87523">
        <w:rPr>
          <w:rStyle w:val="Refdenotaderodap"/>
          <w:sz w:val="20"/>
          <w:szCs w:val="20"/>
        </w:rPr>
        <w:footnoteRef/>
      </w:r>
      <w:r w:rsidRPr="00D87523">
        <w:rPr>
          <w:sz w:val="20"/>
          <w:szCs w:val="20"/>
        </w:rPr>
        <w:t xml:space="preserve"> Trata-se da projeção vertical de demandas domésticas junto a instituições internacionais ou atores externos (TARROW, 2005).</w:t>
      </w:r>
    </w:p>
  </w:footnote>
  <w:footnote w:id="48">
    <w:p w:rsidR="00EC0E77" w:rsidRDefault="00EC0E77">
      <w:pPr>
        <w:pStyle w:val="Textodenotaderodap"/>
      </w:pPr>
      <w:r w:rsidRPr="00D87523">
        <w:rPr>
          <w:rStyle w:val="Refdenotaderodap"/>
        </w:rPr>
        <w:footnoteRef/>
      </w:r>
      <w:r w:rsidRPr="00D87523">
        <w:t xml:space="preserve"> A última foi realizada em 2011, ver: http://www.conferenciadasmulheres.com.br/.</w:t>
      </w:r>
    </w:p>
  </w:footnote>
  <w:footnote w:id="49">
    <w:p w:rsidR="00EC0E77" w:rsidRPr="00B92248" w:rsidRDefault="00EC0E77">
      <w:pPr>
        <w:pStyle w:val="Textodenotaderodap"/>
      </w:pPr>
      <w:r w:rsidRPr="00B92248">
        <w:rPr>
          <w:rStyle w:val="Refdenotaderodap"/>
        </w:rPr>
        <w:footnoteRef/>
      </w:r>
      <w:r w:rsidRPr="00B92248">
        <w:t xml:space="preserve"> Graduada </w:t>
      </w:r>
      <w:smartTag w:uri="urn:schemas-microsoft-com:office:smarttags" w:element="PersonName">
        <w:smartTagPr>
          <w:attr w:name="ProductID" w:val="em Servi￧o Social"/>
        </w:smartTagPr>
        <w:r w:rsidRPr="00B92248">
          <w:t>em Serviço Social</w:t>
        </w:r>
      </w:smartTag>
      <w:r w:rsidRPr="00B92248">
        <w:t xml:space="preserve"> pela Universidade Federal Fluminense – Pólo Universitário de Rio das Ostras/RJ. E-mail: brunatavares1983@gmail.com</w:t>
      </w:r>
    </w:p>
  </w:footnote>
  <w:footnote w:id="50">
    <w:p w:rsidR="00EC0E77" w:rsidRPr="00B92248" w:rsidRDefault="00EC0E77" w:rsidP="00D24E61">
      <w:pPr>
        <w:pStyle w:val="Textodenotaderodap"/>
      </w:pPr>
      <w:r w:rsidRPr="00B92248">
        <w:rPr>
          <w:rStyle w:val="Caracteresdenotaderodap"/>
        </w:rPr>
        <w:footnoteRef/>
      </w:r>
      <w:r w:rsidRPr="00B92248">
        <w:tab/>
        <w:t xml:space="preserve"> Vale ressaltar que ao homem não foi concedido, por exemplo, o direito de chorar, de ter mal “desempenho” sexual, de recusar o flerte de uma mulher, de escapar de uma briga, de ser traído, porque todas essas situações são compreendidas em nossa cultura como “fracassos”, não sendo permitido aos homens fracassarem, pois são considerados o “sexo forte e superior”.</w:t>
      </w:r>
    </w:p>
  </w:footnote>
  <w:footnote w:id="51">
    <w:p w:rsidR="00EC0E77" w:rsidRPr="00B92248" w:rsidRDefault="00EC0E77" w:rsidP="00D24E61">
      <w:pPr>
        <w:pStyle w:val="Textodenotaderodap"/>
      </w:pPr>
      <w:r w:rsidRPr="00B92248">
        <w:rPr>
          <w:rStyle w:val="Caracteresdenotaderodap"/>
        </w:rPr>
        <w:footnoteRef/>
      </w:r>
      <w:r w:rsidRPr="00B92248">
        <w:tab/>
        <w:t xml:space="preserve"> A pesquisadora Alba Zaluar também faz parte do Núcleo de Estudos da Violência da Universidade de São Paulo (NEV-USP).</w:t>
      </w:r>
    </w:p>
  </w:footnote>
  <w:footnote w:id="52">
    <w:p w:rsidR="00EC0E77" w:rsidRPr="00987B54" w:rsidRDefault="00EC0E77" w:rsidP="00D24E61">
      <w:pPr>
        <w:pStyle w:val="Textodenotaderodap"/>
        <w:rPr>
          <w:rFonts w:ascii="Times New Roman" w:hAnsi="Times New Roman"/>
        </w:rPr>
      </w:pPr>
      <w:r w:rsidRPr="00987B54">
        <w:rPr>
          <w:rStyle w:val="Refdenotaderodap"/>
          <w:rFonts w:ascii="Times New Roman" w:hAnsi="Times New Roman"/>
          <w:sz w:val="18"/>
        </w:rPr>
        <w:footnoteRef/>
      </w:r>
      <w:r w:rsidRPr="00987B54">
        <w:rPr>
          <w:rFonts w:ascii="Times New Roman" w:hAnsi="Times New Roman"/>
          <w:sz w:val="18"/>
        </w:rPr>
        <w:t xml:space="preserve"> </w:t>
      </w:r>
      <w:r w:rsidRPr="000D050D">
        <w:rPr>
          <w:rFonts w:ascii="Times New Roman" w:hAnsi="Times New Roman"/>
          <w:b/>
          <w:sz w:val="18"/>
        </w:rPr>
        <w:t>Marcos Tadeu Garcia Paterra</w:t>
      </w:r>
      <w:r w:rsidRPr="00987B54">
        <w:rPr>
          <w:rFonts w:ascii="Times New Roman" w:hAnsi="Times New Roman"/>
          <w:sz w:val="18"/>
        </w:rPr>
        <w:t>; Psicopedagogo/UFPB, diretor cientifico da AME/PB</w:t>
      </w:r>
      <w:r>
        <w:rPr>
          <w:rFonts w:ascii="Times New Roman" w:hAnsi="Times New Roman"/>
          <w:sz w:val="18"/>
        </w:rPr>
        <w:t>.</w:t>
      </w:r>
    </w:p>
  </w:footnote>
  <w:footnote w:id="53">
    <w:p w:rsidR="00EC0E77" w:rsidRPr="005939F9" w:rsidRDefault="00EC0E77" w:rsidP="00D24E61">
      <w:pPr>
        <w:pStyle w:val="Textodenotaderodap"/>
        <w:rPr>
          <w:rFonts w:ascii="Times New Roman" w:hAnsi="Times New Roman"/>
          <w:sz w:val="18"/>
        </w:rPr>
      </w:pPr>
      <w:r w:rsidRPr="005939F9">
        <w:rPr>
          <w:rStyle w:val="Refdenotaderodap"/>
          <w:rFonts w:ascii="Times New Roman" w:hAnsi="Times New Roman"/>
          <w:sz w:val="18"/>
        </w:rPr>
        <w:footnoteRef/>
      </w:r>
      <w:r w:rsidRPr="005939F9">
        <w:rPr>
          <w:rFonts w:ascii="Times New Roman" w:hAnsi="Times New Roman"/>
          <w:sz w:val="18"/>
        </w:rPr>
        <w:t xml:space="preserve"> </w:t>
      </w:r>
      <w:r w:rsidRPr="005939F9">
        <w:rPr>
          <w:rFonts w:ascii="Times New Roman" w:hAnsi="Times New Roman"/>
          <w:b/>
          <w:sz w:val="18"/>
        </w:rPr>
        <w:t>Biopsicossociologia</w:t>
      </w:r>
      <w:r w:rsidRPr="005939F9">
        <w:rPr>
          <w:rFonts w:ascii="Times New Roman" w:hAnsi="Times New Roman"/>
          <w:sz w:val="18"/>
        </w:rPr>
        <w:t>: É uma ciência transdisciplinar que convoca aspectos da Biologia, da Psicologia e da Sociologia e que visa uma explicação global de fenómenos humano-sociais</w:t>
      </w:r>
      <w:r>
        <w:rPr>
          <w:rFonts w:ascii="Times New Roman" w:hAnsi="Times New Roman"/>
          <w:sz w:val="18"/>
        </w:rPr>
        <w:t>.</w:t>
      </w:r>
    </w:p>
  </w:footnote>
  <w:footnote w:id="54">
    <w:p w:rsidR="00EC0E77" w:rsidRDefault="00EC0E77" w:rsidP="00D24E61">
      <w:pPr>
        <w:pStyle w:val="Textodenotaderodap"/>
        <w:spacing w:line="240" w:lineRule="atLeast"/>
      </w:pPr>
      <w:r w:rsidRPr="006C3F4D">
        <w:rPr>
          <w:rStyle w:val="Refdenotaderodap"/>
          <w:rFonts w:ascii="Times New Roman" w:hAnsi="Times New Roman"/>
          <w:sz w:val="18"/>
          <w:szCs w:val="18"/>
        </w:rPr>
        <w:footnoteRef/>
      </w:r>
      <w:r w:rsidRPr="003F7DF3">
        <w:rPr>
          <w:rFonts w:ascii="Times New Roman" w:hAnsi="Times New Roman"/>
          <w:b/>
          <w:sz w:val="18"/>
          <w:szCs w:val="18"/>
        </w:rPr>
        <w:t>Somatopsíquica</w:t>
      </w:r>
      <w:r w:rsidRPr="006C3F4D">
        <w:rPr>
          <w:rFonts w:ascii="Times New Roman" w:hAnsi="Times New Roman"/>
          <w:sz w:val="18"/>
          <w:szCs w:val="18"/>
        </w:rPr>
        <w:t xml:space="preserve"> </w:t>
      </w:r>
      <w:r>
        <w:rPr>
          <w:rFonts w:ascii="Times New Roman" w:hAnsi="Times New Roman"/>
          <w:sz w:val="18"/>
          <w:szCs w:val="18"/>
        </w:rPr>
        <w:t xml:space="preserve">:  </w:t>
      </w:r>
      <w:r w:rsidRPr="006C3F4D">
        <w:rPr>
          <w:rFonts w:ascii="Times New Roman" w:hAnsi="Times New Roman"/>
          <w:bCs/>
          <w:sz w:val="18"/>
          <w:szCs w:val="18"/>
        </w:rPr>
        <w:t>Relativo ou pertencente simultaneamente ao corpo e à mente</w:t>
      </w:r>
      <w:r>
        <w:rPr>
          <w:rFonts w:ascii="Times New Roman" w:hAnsi="Times New Roman"/>
          <w:bCs/>
          <w:sz w:val="18"/>
          <w:szCs w:val="18"/>
        </w:rPr>
        <w:t>.</w:t>
      </w:r>
      <w:r w:rsidRPr="006C3F4D">
        <w:rPr>
          <w:rFonts w:ascii="Times New Roman" w:hAnsi="Times New Roman"/>
          <w:bCs/>
          <w:sz w:val="18"/>
          <w:szCs w:val="18"/>
        </w:rPr>
        <w:t xml:space="preserve"> </w:t>
      </w:r>
    </w:p>
  </w:footnote>
  <w:footnote w:id="55">
    <w:p w:rsidR="00EC0E77" w:rsidRDefault="00EC0E77" w:rsidP="00D24E61">
      <w:pPr>
        <w:pStyle w:val="Textodenotaderodap"/>
      </w:pPr>
      <w:r>
        <w:rPr>
          <w:rStyle w:val="Refdenotaderodap"/>
        </w:rPr>
        <w:footnoteRef/>
      </w:r>
      <w:r>
        <w:t xml:space="preserve"> </w:t>
      </w:r>
      <w:r w:rsidRPr="000966F9">
        <w:rPr>
          <w:rFonts w:ascii="Times New Roman" w:hAnsi="Times New Roman"/>
          <w:b/>
          <w:sz w:val="18"/>
        </w:rPr>
        <w:t>Psicossociologia</w:t>
      </w:r>
      <w:r w:rsidRPr="000966F9">
        <w:rPr>
          <w:rFonts w:ascii="Times New Roman" w:hAnsi="Times New Roman"/>
          <w:sz w:val="18"/>
        </w:rPr>
        <w:t>:</w:t>
      </w:r>
      <w:r>
        <w:rPr>
          <w:rFonts w:ascii="Times New Roman" w:hAnsi="Times New Roman"/>
          <w:sz w:val="18"/>
        </w:rPr>
        <w:t xml:space="preserve"> Cruzamento entre psicologia e sociologia, valorizando a percepção</w:t>
      </w:r>
      <w:r w:rsidRPr="000966F9">
        <w:rPr>
          <w:rFonts w:ascii="Times New Roman" w:hAnsi="Times New Roman"/>
          <w:sz w:val="18"/>
        </w:rPr>
        <w:t xml:space="preserve"> psicológica sobre eventos sociais.</w:t>
      </w:r>
    </w:p>
  </w:footnote>
  <w:footnote w:id="56">
    <w:p w:rsidR="00EC0E77" w:rsidRPr="000C5300" w:rsidRDefault="00EC0E77" w:rsidP="00D24E61">
      <w:pPr>
        <w:pStyle w:val="Textodenotaderodap"/>
        <w:rPr>
          <w:rFonts w:ascii="Times New Roman" w:hAnsi="Times New Roman"/>
        </w:rPr>
      </w:pPr>
      <w:r w:rsidRPr="000C5300">
        <w:rPr>
          <w:rStyle w:val="Refdenotaderodap"/>
          <w:rFonts w:ascii="Times New Roman" w:hAnsi="Times New Roman"/>
          <w:sz w:val="18"/>
        </w:rPr>
        <w:footnoteRef/>
      </w:r>
      <w:r w:rsidRPr="000C5300">
        <w:rPr>
          <w:rFonts w:ascii="Times New Roman" w:hAnsi="Times New Roman"/>
          <w:b/>
          <w:sz w:val="18"/>
        </w:rPr>
        <w:t>Alexis Leontiev</w:t>
      </w:r>
      <w:r w:rsidRPr="000C5300">
        <w:rPr>
          <w:rFonts w:ascii="Times New Roman" w:hAnsi="Times New Roman"/>
          <w:sz w:val="18"/>
        </w:rPr>
        <w:t xml:space="preserve"> (1924-1979) Doutor em ciências psicológicas, professor, membro da Academia de Ciências Psicológicas da URSS.</w:t>
      </w:r>
    </w:p>
  </w:footnote>
  <w:footnote w:id="57">
    <w:p w:rsidR="00EC0E77" w:rsidRPr="00CA7C56" w:rsidRDefault="00EC0E77" w:rsidP="00D24E61">
      <w:pPr>
        <w:pStyle w:val="Textodenotaderodap"/>
        <w:rPr>
          <w:rFonts w:ascii="Times New Roman" w:hAnsi="Times New Roman"/>
          <w:sz w:val="18"/>
          <w:szCs w:val="18"/>
        </w:rPr>
      </w:pPr>
      <w:r w:rsidRPr="00CA7C56">
        <w:rPr>
          <w:rStyle w:val="Refdenotaderodap"/>
          <w:rFonts w:ascii="Times New Roman" w:hAnsi="Times New Roman"/>
          <w:sz w:val="18"/>
          <w:szCs w:val="18"/>
        </w:rPr>
        <w:footnoteRef/>
      </w:r>
      <w:r w:rsidRPr="00CA7C56">
        <w:rPr>
          <w:rFonts w:ascii="Times New Roman" w:hAnsi="Times New Roman"/>
          <w:sz w:val="18"/>
          <w:szCs w:val="18"/>
        </w:rPr>
        <w:t xml:space="preserve"> </w:t>
      </w:r>
      <w:r w:rsidRPr="00CA7C56">
        <w:rPr>
          <w:rFonts w:ascii="Times New Roman" w:hAnsi="Times New Roman"/>
          <w:b/>
          <w:sz w:val="18"/>
          <w:szCs w:val="18"/>
        </w:rPr>
        <w:t>Jean Piaget:</w:t>
      </w:r>
      <w:r w:rsidRPr="00CA7C56">
        <w:rPr>
          <w:rFonts w:ascii="Times New Roman" w:hAnsi="Times New Roman"/>
          <w:sz w:val="18"/>
          <w:szCs w:val="18"/>
        </w:rPr>
        <w:t xml:space="preserve"> </w:t>
      </w:r>
      <w:r w:rsidRPr="00CE703D">
        <w:rPr>
          <w:rFonts w:ascii="Times New Roman" w:hAnsi="Times New Roman"/>
          <w:sz w:val="18"/>
          <w:szCs w:val="18"/>
        </w:rPr>
        <w:t xml:space="preserve">(1896-1980), </w:t>
      </w:r>
      <w:r w:rsidRPr="00CA7C56">
        <w:rPr>
          <w:rFonts w:ascii="Times New Roman" w:hAnsi="Times New Roman"/>
          <w:sz w:val="18"/>
          <w:szCs w:val="18"/>
        </w:rPr>
        <w:t>foi um renomado psicólogo e filósofo suíço, conhecido por seu trabalho pioneiro no campo da inteligência infantil. Piaget passou grande parte de sua carreira profissional interagindo com crianças e estudando seu processo de raciocínio. Seus estudos tiveram um grande impacto sobre os campos da Psicologia e Pedagogia.</w:t>
      </w:r>
    </w:p>
  </w:footnote>
  <w:footnote w:id="58">
    <w:p w:rsidR="00EC0E77" w:rsidRDefault="00EC0E77" w:rsidP="00D24E61">
      <w:pPr>
        <w:pStyle w:val="Textodenotaderodap"/>
      </w:pPr>
      <w:r>
        <w:rPr>
          <w:rStyle w:val="Refdenotaderodap"/>
        </w:rPr>
        <w:footnoteRef/>
      </w:r>
      <w:r>
        <w:t xml:space="preserve"> </w:t>
      </w:r>
      <w:r w:rsidRPr="00F731D0">
        <w:rPr>
          <w:rFonts w:ascii="Times New Roman" w:hAnsi="Times New Roman"/>
          <w:b/>
          <w:sz w:val="18"/>
          <w:szCs w:val="18"/>
        </w:rPr>
        <w:t>Lev Semionovich Vygotsky</w:t>
      </w:r>
      <w:r>
        <w:rPr>
          <w:rFonts w:ascii="Times New Roman" w:hAnsi="Times New Roman"/>
          <w:sz w:val="18"/>
          <w:szCs w:val="18"/>
        </w:rPr>
        <w:t xml:space="preserve"> (1896-1934) - </w:t>
      </w:r>
      <w:r w:rsidRPr="00F731D0">
        <w:rPr>
          <w:rFonts w:ascii="Times New Roman" w:hAnsi="Times New Roman"/>
          <w:sz w:val="18"/>
          <w:szCs w:val="18"/>
        </w:rPr>
        <w:t xml:space="preserve"> professor e pesquisador foi contemporâneo de Piaget,</w:t>
      </w:r>
      <w:r>
        <w:rPr>
          <w:rFonts w:ascii="Times New Roman" w:hAnsi="Times New Roman"/>
          <w:sz w:val="18"/>
          <w:szCs w:val="18"/>
        </w:rPr>
        <w:t xml:space="preserve">  </w:t>
      </w:r>
      <w:r w:rsidRPr="00F731D0">
        <w:rPr>
          <w:rFonts w:ascii="Times New Roman" w:hAnsi="Times New Roman"/>
          <w:sz w:val="18"/>
          <w:szCs w:val="18"/>
        </w:rPr>
        <w:t>e nasceu e viveu na Rússia;  autor de dois livros básicos: Pensamento e Linguagem e A Formação Social da Mente  se tornaram um marco nos estudos do desenvolvimento humano.</w:t>
      </w:r>
    </w:p>
  </w:footnote>
  <w:footnote w:id="59">
    <w:p w:rsidR="00EC0E77" w:rsidRDefault="00EC0E77" w:rsidP="00D24E61">
      <w:pPr>
        <w:pStyle w:val="Textodenotadefim"/>
        <w:jc w:val="both"/>
      </w:pPr>
      <w:r>
        <w:rPr>
          <w:rStyle w:val="Refdenotaderodap"/>
        </w:rPr>
        <w:footnoteRef/>
      </w:r>
      <w:r>
        <w:t xml:space="preserve"> </w:t>
      </w:r>
      <w:r w:rsidRPr="009E369E">
        <w:rPr>
          <w:rFonts w:ascii="Times New Roman" w:hAnsi="Times New Roman"/>
          <w:b/>
          <w:sz w:val="18"/>
          <w:szCs w:val="18"/>
          <w:lang w:eastAsia="pt-BR"/>
        </w:rPr>
        <w:t>Jean Jacques Rousseau</w:t>
      </w:r>
      <w:r w:rsidRPr="00F11F7D">
        <w:t xml:space="preserve"> </w:t>
      </w:r>
      <w:r w:rsidRPr="00F11F7D">
        <w:rPr>
          <w:rFonts w:ascii="Times New Roman" w:hAnsi="Times New Roman"/>
          <w:sz w:val="18"/>
          <w:szCs w:val="18"/>
          <w:lang w:eastAsia="pt-BR"/>
        </w:rPr>
        <w:t>(1712-1778)</w:t>
      </w:r>
      <w:r>
        <w:rPr>
          <w:rFonts w:ascii="Times New Roman" w:hAnsi="Times New Roman"/>
          <w:b/>
          <w:sz w:val="18"/>
          <w:szCs w:val="18"/>
          <w:lang w:eastAsia="pt-BR"/>
        </w:rPr>
        <w:t xml:space="preserve"> - </w:t>
      </w:r>
      <w:r w:rsidRPr="003A11A8">
        <w:rPr>
          <w:rFonts w:ascii="Times New Roman" w:hAnsi="Times New Roman"/>
          <w:sz w:val="18"/>
          <w:szCs w:val="18"/>
        </w:rPr>
        <w:t>filósofo, escritor, teórico político e um compositor musical autodidata</w:t>
      </w:r>
      <w:r>
        <w:rPr>
          <w:rFonts w:ascii="Times New Roman" w:hAnsi="Times New Roman"/>
          <w:sz w:val="18"/>
          <w:szCs w:val="18"/>
        </w:rPr>
        <w:t>.</w:t>
      </w:r>
    </w:p>
  </w:footnote>
  <w:footnote w:id="60">
    <w:p w:rsidR="00EC0E77" w:rsidRDefault="00EC0E77" w:rsidP="00D24E61">
      <w:pPr>
        <w:jc w:val="both"/>
      </w:pPr>
      <w:r>
        <w:rPr>
          <w:rStyle w:val="Refdenotaderodap"/>
          <w:rFonts w:eastAsia="Calibri"/>
        </w:rPr>
        <w:footnoteRef/>
      </w:r>
      <w:r>
        <w:t xml:space="preserve"> </w:t>
      </w:r>
      <w:r w:rsidRPr="009E369E">
        <w:rPr>
          <w:b/>
          <w:sz w:val="18"/>
          <w:szCs w:val="18"/>
        </w:rPr>
        <w:t>Paulo Reglus Neves Freire</w:t>
      </w:r>
      <w:r>
        <w:rPr>
          <w:sz w:val="18"/>
          <w:szCs w:val="18"/>
        </w:rPr>
        <w:t xml:space="preserve"> (1921/1997)</w:t>
      </w:r>
      <w:r w:rsidRPr="00C831BF">
        <w:rPr>
          <w:sz w:val="18"/>
          <w:szCs w:val="18"/>
        </w:rPr>
        <w:t xml:space="preserve"> - autor de muitas obras. Foi reconhecido mundialmente pela sua práxis educativa através de numerosas homenagens.</w:t>
      </w:r>
    </w:p>
  </w:footnote>
  <w:footnote w:id="61">
    <w:p w:rsidR="00EC0E77" w:rsidRDefault="00EC0E77" w:rsidP="00D24E61">
      <w:pPr>
        <w:pStyle w:val="Textodenotadefim"/>
        <w:jc w:val="both"/>
      </w:pPr>
      <w:r>
        <w:rPr>
          <w:rStyle w:val="Refdenotaderodap"/>
        </w:rPr>
        <w:footnoteRef/>
      </w:r>
      <w:r>
        <w:t xml:space="preserve"> </w:t>
      </w:r>
      <w:r w:rsidRPr="001A09A4">
        <w:rPr>
          <w:rFonts w:ascii="Times New Roman" w:hAnsi="Times New Roman"/>
          <w:b/>
          <w:sz w:val="18"/>
          <w:szCs w:val="18"/>
        </w:rPr>
        <w:t>Teoria da Zona de desenvolvimento proximal</w:t>
      </w:r>
      <w:r>
        <w:rPr>
          <w:rFonts w:ascii="Times New Roman" w:hAnsi="Times New Roman"/>
          <w:sz w:val="18"/>
          <w:szCs w:val="18"/>
        </w:rPr>
        <w:t xml:space="preserve"> (Vygotsky)-</w:t>
      </w:r>
      <w:r w:rsidRPr="00C2593C">
        <w:t xml:space="preserve"> </w:t>
      </w:r>
      <w:r w:rsidRPr="00C2593C">
        <w:rPr>
          <w:rFonts w:ascii="Times New Roman" w:hAnsi="Times New Roman"/>
          <w:sz w:val="18"/>
          <w:szCs w:val="18"/>
        </w:rPr>
        <w:t>representa a diferença entre a capacidade da criança de resolver</w:t>
      </w:r>
      <w:r>
        <w:rPr>
          <w:rFonts w:ascii="Times New Roman" w:hAnsi="Times New Roman"/>
          <w:sz w:val="18"/>
          <w:szCs w:val="18"/>
        </w:rPr>
        <w:t xml:space="preserve"> </w:t>
      </w:r>
      <w:r w:rsidRPr="00C2593C">
        <w:rPr>
          <w:rFonts w:ascii="Times New Roman" w:hAnsi="Times New Roman"/>
          <w:sz w:val="18"/>
          <w:szCs w:val="18"/>
        </w:rPr>
        <w:t>problemas por si própria e a capacidade de resolvê-los com ajuda de alguém.</w:t>
      </w:r>
      <w:r>
        <w:rPr>
          <w:rFonts w:ascii="Times New Roman" w:hAnsi="Times New Roman"/>
          <w:sz w:val="18"/>
          <w:szCs w:val="18"/>
        </w:rPr>
        <w:t xml:space="preserve"> </w:t>
      </w:r>
    </w:p>
  </w:footnote>
  <w:footnote w:id="62">
    <w:p w:rsidR="00EC0E77" w:rsidRDefault="00EC0E77">
      <w:pPr>
        <w:pStyle w:val="Textodenotaderodap"/>
      </w:pPr>
      <w:r>
        <w:rPr>
          <w:rStyle w:val="Refdenotaderodap"/>
        </w:rPr>
        <w:footnoteRef/>
      </w:r>
      <w:r>
        <w:t xml:space="preserve"> </w:t>
      </w:r>
      <w:r w:rsidRPr="008218B1">
        <w:rPr>
          <w:rFonts w:ascii="Times New Roman" w:hAnsi="Times New Roman"/>
          <w:b/>
          <w:sz w:val="18"/>
          <w:u w:val="single"/>
        </w:rPr>
        <w:t>Eugenia</w:t>
      </w:r>
      <w:r w:rsidRPr="00924812">
        <w:rPr>
          <w:rFonts w:ascii="Times New Roman" w:hAnsi="Times New Roman"/>
          <w:sz w:val="18"/>
        </w:rPr>
        <w:t xml:space="preserve"> - é um termo cunhado em 1883 por Francis Galton, significando "bem nascido".</w:t>
      </w:r>
      <w:r w:rsidRPr="00924812">
        <w:rPr>
          <w:sz w:val="18"/>
        </w:rPr>
        <w:t xml:space="preserve"> </w:t>
      </w:r>
      <w:r w:rsidRPr="00414254">
        <w:rPr>
          <w:rFonts w:ascii="Times New Roman" w:hAnsi="Times New Roman"/>
          <w:sz w:val="18"/>
        </w:rPr>
        <w:t>A eugenia é a filha dileta de Darwin: se as espécies se transformam por "seleção natural", há raças inferiores e raças superiores.</w:t>
      </w:r>
      <w:r w:rsidRPr="00414254">
        <w:rPr>
          <w:sz w:val="18"/>
        </w:rPr>
        <w:t xml:space="preserve"> </w:t>
      </w:r>
    </w:p>
  </w:footnote>
  <w:footnote w:id="63">
    <w:p w:rsidR="00EC0E77" w:rsidRPr="00874E4F" w:rsidRDefault="00EC0E77" w:rsidP="00D24E61">
      <w:pPr>
        <w:pStyle w:val="Textodenotaderodap"/>
        <w:rPr>
          <w:rFonts w:ascii="Times New Roman" w:hAnsi="Times New Roman"/>
          <w:sz w:val="18"/>
          <w:szCs w:val="18"/>
        </w:rPr>
      </w:pPr>
      <w:r w:rsidRPr="00874E4F">
        <w:rPr>
          <w:rStyle w:val="Refdenotaderodap"/>
          <w:rFonts w:ascii="Times New Roman" w:hAnsi="Times New Roman"/>
          <w:sz w:val="18"/>
          <w:szCs w:val="18"/>
        </w:rPr>
        <w:footnoteRef/>
      </w:r>
      <w:r w:rsidRPr="00874E4F">
        <w:rPr>
          <w:rFonts w:ascii="Times New Roman" w:hAnsi="Times New Roman"/>
          <w:sz w:val="18"/>
          <w:szCs w:val="18"/>
        </w:rPr>
        <w:t xml:space="preserve"> O biólogo </w:t>
      </w:r>
      <w:r w:rsidRPr="008218B1">
        <w:rPr>
          <w:rFonts w:ascii="Times New Roman" w:hAnsi="Times New Roman"/>
          <w:b/>
          <w:sz w:val="18"/>
          <w:szCs w:val="18"/>
        </w:rPr>
        <w:t xml:space="preserve">Charles </w:t>
      </w:r>
      <w:r>
        <w:rPr>
          <w:rFonts w:ascii="Times New Roman" w:hAnsi="Times New Roman"/>
          <w:b/>
          <w:sz w:val="18"/>
          <w:szCs w:val="18"/>
        </w:rPr>
        <w:t xml:space="preserve">Robert </w:t>
      </w:r>
      <w:r w:rsidRPr="008218B1">
        <w:rPr>
          <w:rFonts w:ascii="Times New Roman" w:hAnsi="Times New Roman"/>
          <w:b/>
          <w:sz w:val="18"/>
          <w:szCs w:val="18"/>
        </w:rPr>
        <w:t>Darwin</w:t>
      </w:r>
      <w:r w:rsidRPr="006F712F">
        <w:t xml:space="preserve"> </w:t>
      </w:r>
      <w:r w:rsidRPr="006F712F">
        <w:rPr>
          <w:rFonts w:ascii="Times New Roman" w:hAnsi="Times New Roman"/>
          <w:sz w:val="18"/>
          <w:szCs w:val="18"/>
        </w:rPr>
        <w:t>(1809-1882),</w:t>
      </w:r>
      <w:r w:rsidRPr="00874E4F">
        <w:rPr>
          <w:rFonts w:ascii="Times New Roman" w:hAnsi="Times New Roman"/>
          <w:sz w:val="18"/>
          <w:szCs w:val="18"/>
        </w:rPr>
        <w:t xml:space="preserve"> trata o homem enquanto ser biológico, ou seja, animal. O estudo que Darwin realiza tem como foco o desenvolvimento da vida ao longo do tempo no planeta</w:t>
      </w:r>
      <w:r>
        <w:rPr>
          <w:rFonts w:ascii="Times New Roman" w:hAnsi="Times New Roman"/>
          <w:sz w:val="18"/>
          <w:szCs w:val="18"/>
        </w:rPr>
        <w:t>.</w:t>
      </w:r>
    </w:p>
  </w:footnote>
  <w:footnote w:id="64">
    <w:p w:rsidR="00EC0E77" w:rsidRPr="000D6334" w:rsidRDefault="00EC0E77" w:rsidP="00D24E61">
      <w:pPr>
        <w:pStyle w:val="Textodenotaderodap"/>
        <w:rPr>
          <w:rFonts w:ascii="Times New Roman" w:hAnsi="Times New Roman"/>
        </w:rPr>
      </w:pPr>
      <w:r w:rsidRPr="000D6334">
        <w:rPr>
          <w:rStyle w:val="Refdenotaderodap"/>
          <w:rFonts w:ascii="Times New Roman" w:hAnsi="Times New Roman"/>
          <w:sz w:val="18"/>
        </w:rPr>
        <w:footnoteRef/>
      </w:r>
      <w:r>
        <w:rPr>
          <w:rFonts w:ascii="Times New Roman" w:hAnsi="Times New Roman"/>
          <w:sz w:val="18"/>
        </w:rPr>
        <w:t xml:space="preserve"> </w:t>
      </w:r>
      <w:r w:rsidRPr="008218B1">
        <w:rPr>
          <w:rFonts w:ascii="Times New Roman" w:hAnsi="Times New Roman"/>
          <w:b/>
          <w:sz w:val="18"/>
        </w:rPr>
        <w:t>Francis Galton</w:t>
      </w:r>
      <w:r w:rsidRPr="000D6334">
        <w:rPr>
          <w:rFonts w:ascii="Times New Roman" w:hAnsi="Times New Roman"/>
          <w:sz w:val="18"/>
        </w:rPr>
        <w:t xml:space="preserve"> </w:t>
      </w:r>
      <w:r w:rsidRPr="002A2AFF">
        <w:rPr>
          <w:rFonts w:ascii="Times New Roman" w:hAnsi="Times New Roman"/>
          <w:sz w:val="18"/>
        </w:rPr>
        <w:t>(1822-1911)</w:t>
      </w:r>
      <w:r>
        <w:rPr>
          <w:rFonts w:ascii="Times New Roman" w:hAnsi="Times New Roman"/>
          <w:sz w:val="18"/>
        </w:rPr>
        <w:t xml:space="preserve">, </w:t>
      </w:r>
      <w:r w:rsidRPr="000D6334">
        <w:rPr>
          <w:rFonts w:ascii="Times New Roman" w:hAnsi="Times New Roman"/>
          <w:sz w:val="18"/>
        </w:rPr>
        <w:t>decidiu investigar como a</w:t>
      </w:r>
      <w:r>
        <w:rPr>
          <w:rFonts w:ascii="Times New Roman" w:hAnsi="Times New Roman"/>
          <w:sz w:val="18"/>
        </w:rPr>
        <w:t xml:space="preserve"> </w:t>
      </w:r>
      <w:r w:rsidRPr="000D6334">
        <w:rPr>
          <w:rFonts w:ascii="Times New Roman" w:hAnsi="Times New Roman"/>
          <w:sz w:val="18"/>
        </w:rPr>
        <w:t>genética influenciava o surgimento de mentes superdotadas. Galton tinha um primo que se encaixava na denominação de gênio, seu nome era Charles Darwin.</w:t>
      </w:r>
    </w:p>
  </w:footnote>
  <w:footnote w:id="65">
    <w:p w:rsidR="00EC0E77" w:rsidRPr="000C194B" w:rsidRDefault="00EC0E77" w:rsidP="00D24E61">
      <w:pPr>
        <w:pStyle w:val="Textodenotaderodap"/>
        <w:rPr>
          <w:rFonts w:ascii="Times New Roman" w:hAnsi="Times New Roman"/>
        </w:rPr>
      </w:pPr>
      <w:r w:rsidRPr="000C194B">
        <w:rPr>
          <w:rStyle w:val="Refdenotaderodap"/>
          <w:rFonts w:ascii="Times New Roman" w:hAnsi="Times New Roman"/>
          <w:sz w:val="18"/>
        </w:rPr>
        <w:footnoteRef/>
      </w:r>
      <w:r w:rsidRPr="000C194B">
        <w:rPr>
          <w:rFonts w:ascii="Times New Roman" w:hAnsi="Times New Roman"/>
          <w:sz w:val="18"/>
        </w:rPr>
        <w:t xml:space="preserve"> </w:t>
      </w:r>
      <w:r w:rsidRPr="008218B1">
        <w:rPr>
          <w:rFonts w:ascii="Times New Roman" w:hAnsi="Times New Roman"/>
          <w:b/>
          <w:sz w:val="18"/>
        </w:rPr>
        <w:t>Mongolismo</w:t>
      </w:r>
      <w:r w:rsidRPr="000C194B">
        <w:rPr>
          <w:rFonts w:ascii="Times New Roman" w:hAnsi="Times New Roman"/>
          <w:sz w:val="18"/>
        </w:rPr>
        <w:t>– também chamada de Síndrome de Down ou trissomia 21,</w:t>
      </w:r>
      <w:r>
        <w:rPr>
          <w:rFonts w:ascii="Times New Roman" w:hAnsi="Times New Roman"/>
          <w:sz w:val="18"/>
        </w:rPr>
        <w:t xml:space="preserve"> é um tipo de </w:t>
      </w:r>
      <w:r w:rsidRPr="000C194B">
        <w:rPr>
          <w:rFonts w:ascii="Times New Roman" w:hAnsi="Times New Roman"/>
          <w:sz w:val="18"/>
        </w:rPr>
        <w:t xml:space="preserve"> Deficiência </w:t>
      </w:r>
      <w:r>
        <w:rPr>
          <w:rFonts w:ascii="Times New Roman" w:hAnsi="Times New Roman"/>
          <w:sz w:val="18"/>
        </w:rPr>
        <w:t xml:space="preserve">Mental,  </w:t>
      </w:r>
      <w:r w:rsidRPr="00A55F70">
        <w:rPr>
          <w:rFonts w:ascii="Times New Roman" w:hAnsi="Times New Roman"/>
          <w:sz w:val="18"/>
        </w:rPr>
        <w:t xml:space="preserve">Seu fenótipo, </w:t>
      </w:r>
      <w:r>
        <w:rPr>
          <w:rFonts w:ascii="Times New Roman" w:hAnsi="Times New Roman"/>
          <w:sz w:val="18"/>
        </w:rPr>
        <w:t xml:space="preserve">mais </w:t>
      </w:r>
      <w:r w:rsidRPr="00A55F70">
        <w:rPr>
          <w:rFonts w:ascii="Times New Roman" w:hAnsi="Times New Roman"/>
          <w:sz w:val="18"/>
        </w:rPr>
        <w:t xml:space="preserve">conhecido, </w:t>
      </w:r>
      <w:r>
        <w:rPr>
          <w:rFonts w:ascii="Times New Roman" w:hAnsi="Times New Roman"/>
          <w:sz w:val="18"/>
        </w:rPr>
        <w:t xml:space="preserve">são feições de </w:t>
      </w:r>
      <w:r w:rsidRPr="00A55F70">
        <w:rPr>
          <w:rFonts w:ascii="Times New Roman" w:hAnsi="Times New Roman"/>
          <w:sz w:val="18"/>
        </w:rPr>
        <w:t>“mongolóide”</w:t>
      </w:r>
      <w:r>
        <w:rPr>
          <w:rFonts w:ascii="Times New Roman" w:hAnsi="Times New Roman"/>
          <w:sz w:val="18"/>
        </w:rPr>
        <w:t>.</w:t>
      </w:r>
    </w:p>
  </w:footnote>
  <w:footnote w:id="66">
    <w:p w:rsidR="00EC0E77" w:rsidRPr="005E5F58" w:rsidRDefault="00EC0E77" w:rsidP="00D24E61">
      <w:pPr>
        <w:pStyle w:val="Textodenotaderodap"/>
        <w:rPr>
          <w:rFonts w:ascii="Times New Roman" w:hAnsi="Times New Roman"/>
          <w:sz w:val="18"/>
          <w:szCs w:val="18"/>
        </w:rPr>
      </w:pPr>
      <w:r w:rsidRPr="00874E4F">
        <w:rPr>
          <w:rStyle w:val="Refdenotaderodap"/>
          <w:rFonts w:ascii="Times New Roman" w:hAnsi="Times New Roman"/>
          <w:sz w:val="18"/>
          <w:szCs w:val="18"/>
        </w:rPr>
        <w:footnoteRef/>
      </w:r>
      <w:r w:rsidRPr="00874E4F">
        <w:rPr>
          <w:rFonts w:ascii="Times New Roman" w:hAnsi="Times New Roman"/>
          <w:sz w:val="18"/>
          <w:szCs w:val="18"/>
        </w:rPr>
        <w:t xml:space="preserve"> </w:t>
      </w:r>
      <w:r w:rsidRPr="00874E4F">
        <w:rPr>
          <w:rFonts w:ascii="Times New Roman" w:hAnsi="Times New Roman"/>
          <w:b/>
          <w:sz w:val="18"/>
          <w:szCs w:val="18"/>
        </w:rPr>
        <w:t>Ser Cognoscente</w:t>
      </w:r>
      <w:r w:rsidRPr="00874E4F">
        <w:rPr>
          <w:rFonts w:ascii="Times New Roman" w:hAnsi="Times New Roman"/>
          <w:sz w:val="18"/>
          <w:szCs w:val="18"/>
        </w:rPr>
        <w:t>, é quando se aprende na interação com o meio e com os outros construindo sua identidade</w:t>
      </w:r>
      <w:r w:rsidRPr="005E5F58">
        <w:rPr>
          <w:rFonts w:ascii="Times New Roman" w:hAnsi="Times New Roman"/>
          <w:sz w:val="18"/>
          <w:szCs w:val="18"/>
        </w:rPr>
        <w:t xml:space="preserve"> para alcançar o conhecimento e a autonomia.</w:t>
      </w:r>
    </w:p>
  </w:footnote>
  <w:footnote w:id="67">
    <w:p w:rsidR="00EC0E77" w:rsidRPr="000518BB" w:rsidRDefault="00EC0E77" w:rsidP="00D24E61">
      <w:pPr>
        <w:pStyle w:val="Textodenotaderodap"/>
        <w:rPr>
          <w:rFonts w:ascii="Times New Roman" w:hAnsi="Times New Roman"/>
          <w:sz w:val="18"/>
          <w:szCs w:val="18"/>
        </w:rPr>
      </w:pPr>
      <w:r w:rsidRPr="000518BB">
        <w:rPr>
          <w:rStyle w:val="Refdenotaderodap"/>
          <w:rFonts w:ascii="Times New Roman" w:hAnsi="Times New Roman"/>
          <w:sz w:val="18"/>
          <w:szCs w:val="18"/>
        </w:rPr>
        <w:footnoteRef/>
      </w:r>
      <w:r w:rsidRPr="000518BB">
        <w:rPr>
          <w:rFonts w:ascii="Times New Roman" w:hAnsi="Times New Roman"/>
          <w:sz w:val="18"/>
          <w:szCs w:val="18"/>
        </w:rPr>
        <w:t xml:space="preserve"> </w:t>
      </w:r>
      <w:r w:rsidRPr="003A37A0">
        <w:rPr>
          <w:rFonts w:ascii="Times New Roman" w:hAnsi="Times New Roman"/>
          <w:b/>
          <w:sz w:val="18"/>
          <w:szCs w:val="18"/>
        </w:rPr>
        <w:t>Sigmund Freud</w:t>
      </w:r>
      <w:r w:rsidRPr="000518BB">
        <w:rPr>
          <w:rFonts w:ascii="Times New Roman" w:hAnsi="Times New Roman"/>
          <w:sz w:val="18"/>
          <w:szCs w:val="18"/>
        </w:rPr>
        <w:t xml:space="preserve"> (1856-1939), médico neurologista, nascido na Morávia (atual República Tcheca), autor da maior literatura acerca do inconsciente humano, fundador da psicanálise, </w:t>
      </w:r>
      <w:r>
        <w:rPr>
          <w:rFonts w:ascii="Times New Roman" w:hAnsi="Times New Roman"/>
          <w:sz w:val="18"/>
          <w:szCs w:val="18"/>
        </w:rPr>
        <w:t xml:space="preserve">foi um dos primeiros a </w:t>
      </w:r>
      <w:r w:rsidRPr="000518BB">
        <w:rPr>
          <w:rFonts w:ascii="Times New Roman" w:hAnsi="Times New Roman"/>
          <w:sz w:val="18"/>
          <w:szCs w:val="18"/>
        </w:rPr>
        <w:t>ap</w:t>
      </w:r>
      <w:r>
        <w:rPr>
          <w:rFonts w:ascii="Times New Roman" w:hAnsi="Times New Roman"/>
          <w:sz w:val="18"/>
          <w:szCs w:val="18"/>
        </w:rPr>
        <w:t>licar a hipnose em seus estudos</w:t>
      </w:r>
      <w:r w:rsidRPr="000518BB">
        <w:rPr>
          <w:rFonts w:ascii="Times New Roman" w:hAnsi="Times New Roman"/>
          <w:sz w:val="18"/>
          <w:szCs w:val="18"/>
        </w:rPr>
        <w:t>.</w:t>
      </w:r>
    </w:p>
  </w:footnote>
  <w:footnote w:id="68">
    <w:p w:rsidR="00EC0E77" w:rsidRPr="001769F2" w:rsidRDefault="00EC0E77" w:rsidP="00D24E61">
      <w:pPr>
        <w:pStyle w:val="Textodenotaderodap"/>
        <w:rPr>
          <w:rFonts w:ascii="Times New Roman" w:hAnsi="Times New Roman"/>
          <w:sz w:val="18"/>
          <w:szCs w:val="18"/>
        </w:rPr>
      </w:pPr>
      <w:r w:rsidRPr="001769F2">
        <w:rPr>
          <w:rStyle w:val="Refdenotaderodap"/>
          <w:rFonts w:ascii="Times New Roman" w:hAnsi="Times New Roman"/>
          <w:sz w:val="18"/>
          <w:szCs w:val="18"/>
        </w:rPr>
        <w:footnoteRef/>
      </w:r>
      <w:r w:rsidRPr="001769F2">
        <w:rPr>
          <w:rFonts w:ascii="Times New Roman" w:hAnsi="Times New Roman"/>
          <w:sz w:val="18"/>
          <w:szCs w:val="18"/>
        </w:rPr>
        <w:t xml:space="preserve"> </w:t>
      </w:r>
      <w:r w:rsidRPr="003A37A0">
        <w:rPr>
          <w:rFonts w:ascii="Times New Roman" w:hAnsi="Times New Roman"/>
          <w:b/>
          <w:sz w:val="18"/>
          <w:szCs w:val="18"/>
        </w:rPr>
        <w:t>Jean-Martin Charcot</w:t>
      </w:r>
      <w:r w:rsidRPr="001769F2">
        <w:rPr>
          <w:rFonts w:ascii="Times New Roman" w:hAnsi="Times New Roman"/>
          <w:sz w:val="18"/>
          <w:szCs w:val="18"/>
        </w:rPr>
        <w:t xml:space="preserve"> (1825 -1893) médico e cientista; alcançou fama no terreno da psiquiatria na segunda metade do século XIX. Foi um dos maiores clínicos e professores de medicina da França e, juntamente com Guillaume Duchenne, o fundador da moderna neurologia. Suas maiores contribuições para o conhecimento das doenças do cérebro</w:t>
      </w:r>
      <w:r>
        <w:rPr>
          <w:rFonts w:ascii="Times New Roman" w:hAnsi="Times New Roman"/>
          <w:sz w:val="18"/>
          <w:szCs w:val="18"/>
        </w:rPr>
        <w:t>, f</w:t>
      </w:r>
      <w:r w:rsidRPr="001769F2">
        <w:rPr>
          <w:rFonts w:ascii="Times New Roman" w:hAnsi="Times New Roman"/>
          <w:sz w:val="18"/>
          <w:szCs w:val="18"/>
        </w:rPr>
        <w:t xml:space="preserve">oi professor de Freud, estudou os efeitos da hipnose em </w:t>
      </w:r>
      <w:r>
        <w:rPr>
          <w:rFonts w:ascii="Times New Roman" w:hAnsi="Times New Roman"/>
          <w:sz w:val="18"/>
          <w:szCs w:val="18"/>
        </w:rPr>
        <w:t>p</w:t>
      </w:r>
      <w:r w:rsidRPr="001769F2">
        <w:rPr>
          <w:rFonts w:ascii="Times New Roman" w:hAnsi="Times New Roman"/>
          <w:sz w:val="18"/>
          <w:szCs w:val="18"/>
        </w:rPr>
        <w:t xml:space="preserve">acientes histéricos. </w:t>
      </w:r>
    </w:p>
  </w:footnote>
  <w:footnote w:id="69">
    <w:p w:rsidR="00EC0E77" w:rsidRPr="00852F3E" w:rsidRDefault="00EC0E77" w:rsidP="00D24E61">
      <w:pPr>
        <w:pStyle w:val="Textodenotaderodap"/>
        <w:rPr>
          <w:rFonts w:ascii="Times New Roman" w:hAnsi="Times New Roman"/>
          <w:sz w:val="18"/>
          <w:szCs w:val="18"/>
        </w:rPr>
      </w:pPr>
      <w:r w:rsidRPr="00852F3E">
        <w:rPr>
          <w:rStyle w:val="Refdenotaderodap"/>
          <w:rFonts w:ascii="Times New Roman" w:hAnsi="Times New Roman"/>
          <w:sz w:val="18"/>
          <w:szCs w:val="18"/>
        </w:rPr>
        <w:footnoteRef/>
      </w:r>
      <w:r w:rsidRPr="00852F3E">
        <w:rPr>
          <w:rFonts w:ascii="Times New Roman" w:hAnsi="Times New Roman"/>
          <w:sz w:val="18"/>
          <w:szCs w:val="18"/>
        </w:rPr>
        <w:t xml:space="preserve"> </w:t>
      </w:r>
      <w:r w:rsidRPr="00852F3E">
        <w:rPr>
          <w:rFonts w:ascii="Times New Roman" w:eastAsia="Times New Roman" w:hAnsi="Times New Roman"/>
          <w:b/>
          <w:sz w:val="18"/>
          <w:szCs w:val="18"/>
          <w:lang w:eastAsia="pt-BR"/>
        </w:rPr>
        <w:t>Ferdinand de Saussure</w:t>
      </w:r>
      <w:r>
        <w:rPr>
          <w:rFonts w:ascii="Times New Roman" w:eastAsia="Times New Roman" w:hAnsi="Times New Roman"/>
          <w:b/>
          <w:sz w:val="18"/>
          <w:szCs w:val="18"/>
          <w:lang w:eastAsia="pt-BR"/>
        </w:rPr>
        <w:t xml:space="preserve"> (1857-</w:t>
      </w:r>
      <w:r w:rsidRPr="00C127BD">
        <w:rPr>
          <w:rFonts w:ascii="Times New Roman" w:eastAsia="Times New Roman" w:hAnsi="Times New Roman"/>
          <w:b/>
          <w:sz w:val="18"/>
          <w:szCs w:val="18"/>
          <w:lang w:eastAsia="pt-BR"/>
        </w:rPr>
        <w:t>1913)</w:t>
      </w:r>
      <w:r w:rsidRPr="00852F3E">
        <w:rPr>
          <w:rFonts w:ascii="Times New Roman" w:hAnsi="Times New Roman"/>
          <w:sz w:val="18"/>
          <w:szCs w:val="18"/>
        </w:rPr>
        <w:t>: filósofo suíço cujas elaborações teóricas propiciaram o desenvolvimento da linguística enquanto ciência e desencadearam o surgimento do estruturalismo. Além disso, o pensamento de Saussure estimulou muitos dos questionamentos que comparecem na linguística do século XX.</w:t>
      </w:r>
    </w:p>
  </w:footnote>
  <w:footnote w:id="70">
    <w:p w:rsidR="00EC0E77" w:rsidRPr="00662255" w:rsidRDefault="00EC0E77" w:rsidP="00D24E61">
      <w:pPr>
        <w:pStyle w:val="Textodenotaderodap"/>
        <w:rPr>
          <w:rFonts w:ascii="Times New Roman" w:hAnsi="Times New Roman"/>
          <w:sz w:val="18"/>
          <w:szCs w:val="18"/>
        </w:rPr>
      </w:pPr>
      <w:r w:rsidRPr="00662255">
        <w:rPr>
          <w:rStyle w:val="Refdenotaderodap"/>
          <w:rFonts w:ascii="Times New Roman" w:hAnsi="Times New Roman"/>
          <w:sz w:val="18"/>
          <w:szCs w:val="18"/>
        </w:rPr>
        <w:footnoteRef/>
      </w:r>
      <w:r w:rsidRPr="00662255">
        <w:rPr>
          <w:rFonts w:ascii="Times New Roman" w:hAnsi="Times New Roman"/>
          <w:sz w:val="18"/>
          <w:szCs w:val="18"/>
        </w:rPr>
        <w:t xml:space="preserve"> </w:t>
      </w:r>
      <w:r w:rsidRPr="00603CBB">
        <w:rPr>
          <w:rFonts w:ascii="Times New Roman" w:hAnsi="Times New Roman"/>
          <w:b/>
          <w:sz w:val="18"/>
          <w:szCs w:val="18"/>
        </w:rPr>
        <w:t>João de Fernandes Teixeira</w:t>
      </w:r>
      <w:r w:rsidRPr="00662255">
        <w:rPr>
          <w:rFonts w:ascii="Times New Roman" w:hAnsi="Times New Roman"/>
          <w:sz w:val="18"/>
          <w:szCs w:val="18"/>
        </w:rPr>
        <w:t xml:space="preserve"> </w:t>
      </w:r>
      <w:r>
        <w:rPr>
          <w:rFonts w:ascii="Times New Roman" w:hAnsi="Times New Roman"/>
          <w:sz w:val="18"/>
          <w:szCs w:val="18"/>
        </w:rPr>
        <w:t>bacharel</w:t>
      </w:r>
      <w:r w:rsidRPr="00662255">
        <w:rPr>
          <w:rFonts w:ascii="Times New Roman" w:hAnsi="Times New Roman"/>
          <w:sz w:val="18"/>
          <w:szCs w:val="18"/>
        </w:rPr>
        <w:t xml:space="preserve"> em Filosofia pela USP-SP e mestre em lógica e filosofia da ciência na UNICAMP. Doutorou-se em filosofia da mente e ciência cognitiva na University of Essex, Inglaterra. Desde 1992 é professor no Departamento de Filosofia da Universidade Federal de São Carlos.</w:t>
      </w:r>
    </w:p>
  </w:footnote>
  <w:footnote w:id="71">
    <w:p w:rsidR="00EC0E77" w:rsidRDefault="00EC0E77" w:rsidP="00D24E61">
      <w:pPr>
        <w:pStyle w:val="Textodenotaderodap"/>
      </w:pPr>
      <w:r w:rsidRPr="00E62B99">
        <w:rPr>
          <w:rStyle w:val="Refdenotaderodap"/>
          <w:b/>
        </w:rPr>
        <w:footnoteRef/>
      </w:r>
      <w:r w:rsidRPr="00E62B99">
        <w:rPr>
          <w:b/>
        </w:rPr>
        <w:t xml:space="preserve"> </w:t>
      </w:r>
      <w:r w:rsidRPr="00E62B99">
        <w:rPr>
          <w:rFonts w:ascii="Times New Roman" w:hAnsi="Times New Roman"/>
          <w:b/>
          <w:sz w:val="18"/>
          <w:szCs w:val="18"/>
        </w:rPr>
        <w:t>René Descartes</w:t>
      </w:r>
      <w:r w:rsidRPr="00E62B99">
        <w:rPr>
          <w:rFonts w:ascii="Times New Roman" w:hAnsi="Times New Roman"/>
          <w:sz w:val="18"/>
          <w:szCs w:val="18"/>
        </w:rPr>
        <w:t xml:space="preserve"> (1596-1650), filósofo, cientista e matemático francês.</w:t>
      </w:r>
    </w:p>
  </w:footnote>
  <w:footnote w:id="72">
    <w:p w:rsidR="00EC0E77" w:rsidRPr="002A177F" w:rsidRDefault="00EC0E77" w:rsidP="00D24E61">
      <w:pPr>
        <w:pStyle w:val="Textodenotaderodap"/>
        <w:rPr>
          <w:rFonts w:ascii="Times New Roman" w:hAnsi="Times New Roman"/>
          <w:color w:val="000000"/>
          <w:sz w:val="18"/>
          <w:szCs w:val="18"/>
        </w:rPr>
      </w:pPr>
      <w:r w:rsidRPr="00320FA7">
        <w:rPr>
          <w:rStyle w:val="Refdenotaderodap"/>
          <w:rFonts w:ascii="Times New Roman" w:hAnsi="Times New Roman"/>
          <w:sz w:val="18"/>
          <w:szCs w:val="18"/>
        </w:rPr>
        <w:footnoteRef/>
      </w:r>
      <w:r w:rsidRPr="00320FA7">
        <w:rPr>
          <w:rFonts w:ascii="Times New Roman" w:hAnsi="Times New Roman"/>
          <w:sz w:val="18"/>
          <w:szCs w:val="18"/>
        </w:rPr>
        <w:t xml:space="preserve"> </w:t>
      </w:r>
      <w:r w:rsidRPr="00320FA7">
        <w:rPr>
          <w:rFonts w:ascii="Times New Roman" w:hAnsi="Times New Roman"/>
          <w:b/>
          <w:bCs/>
          <w:sz w:val="18"/>
          <w:szCs w:val="18"/>
          <w:lang w:val="pt-PT"/>
        </w:rPr>
        <w:t>Gilbert Ryle</w:t>
      </w:r>
      <w:r w:rsidRPr="00320FA7">
        <w:rPr>
          <w:rFonts w:ascii="Times New Roman" w:hAnsi="Times New Roman"/>
          <w:sz w:val="18"/>
          <w:szCs w:val="18"/>
          <w:lang w:val="pt-PT"/>
        </w:rPr>
        <w:t xml:space="preserve"> </w:t>
      </w:r>
      <w:r w:rsidRPr="002A177F">
        <w:rPr>
          <w:rFonts w:ascii="Times New Roman" w:hAnsi="Times New Roman"/>
          <w:color w:val="1F497D"/>
          <w:sz w:val="18"/>
          <w:szCs w:val="18"/>
          <w:lang w:val="pt-PT"/>
        </w:rPr>
        <w:t>(</w:t>
      </w:r>
      <w:hyperlink r:id="rId4" w:tooltip="1900" w:history="1">
        <w:r w:rsidRPr="00E26732">
          <w:rPr>
            <w:rStyle w:val="Hyperlink"/>
            <w:rFonts w:ascii="Times New Roman" w:hAnsi="Times New Roman"/>
            <w:color w:val="000000"/>
            <w:sz w:val="18"/>
            <w:szCs w:val="18"/>
            <w:lang w:val="pt-PT"/>
          </w:rPr>
          <w:t>1900</w:t>
        </w:r>
      </w:hyperlink>
      <w:r w:rsidRPr="002A177F">
        <w:rPr>
          <w:rFonts w:ascii="Times New Roman" w:hAnsi="Times New Roman"/>
          <w:color w:val="000000"/>
          <w:sz w:val="18"/>
          <w:szCs w:val="18"/>
          <w:lang w:val="pt-PT"/>
        </w:rPr>
        <w:t>–</w:t>
      </w:r>
      <w:hyperlink r:id="rId5" w:tooltip="1976" w:history="1">
        <w:r w:rsidRPr="00E26732">
          <w:rPr>
            <w:rStyle w:val="Hyperlink"/>
            <w:rFonts w:ascii="Times New Roman" w:hAnsi="Times New Roman"/>
            <w:color w:val="000000"/>
            <w:sz w:val="18"/>
            <w:szCs w:val="18"/>
            <w:lang w:val="pt-PT"/>
          </w:rPr>
          <w:t>1976</w:t>
        </w:r>
      </w:hyperlink>
      <w:r w:rsidRPr="002A177F">
        <w:rPr>
          <w:rFonts w:ascii="Times New Roman" w:hAnsi="Times New Roman"/>
          <w:color w:val="000000"/>
          <w:sz w:val="18"/>
          <w:szCs w:val="18"/>
          <w:lang w:val="pt-PT"/>
        </w:rPr>
        <w:t>), filósofo inglês,</w:t>
      </w:r>
      <w:r w:rsidRPr="002A177F">
        <w:rPr>
          <w:rFonts w:ascii="Times New Roman" w:hAnsi="Times New Roman"/>
          <w:color w:val="000000"/>
          <w:sz w:val="18"/>
          <w:szCs w:val="18"/>
        </w:rPr>
        <w:t xml:space="preserve"> </w:t>
      </w:r>
      <w:r w:rsidRPr="002A177F">
        <w:rPr>
          <w:rFonts w:ascii="Times New Roman" w:hAnsi="Times New Roman"/>
          <w:color w:val="000000"/>
          <w:sz w:val="18"/>
          <w:szCs w:val="18"/>
          <w:lang w:val="pt-PT"/>
        </w:rPr>
        <w:t>representante da geração de filósofos britânicos, influenciados pelas teorias de Wittgenstein</w:t>
      </w:r>
      <w:r>
        <w:rPr>
          <w:rFonts w:ascii="Times New Roman" w:hAnsi="Times New Roman"/>
          <w:color w:val="000000"/>
          <w:sz w:val="18"/>
          <w:szCs w:val="18"/>
          <w:lang w:val="pt-PT"/>
        </w:rPr>
        <w:t xml:space="preserve"> </w:t>
      </w:r>
      <w:r w:rsidRPr="002A177F">
        <w:rPr>
          <w:rFonts w:ascii="Times New Roman" w:hAnsi="Times New Roman"/>
          <w:color w:val="000000"/>
          <w:sz w:val="18"/>
          <w:szCs w:val="18"/>
          <w:lang w:val="pt-PT"/>
        </w:rPr>
        <w:t>(filósofo austríaco contribuiu com diversas inovações nos campos da lógica, filosofia da linguagem, epistemol</w:t>
      </w:r>
      <w:r>
        <w:rPr>
          <w:rFonts w:ascii="Times New Roman" w:hAnsi="Times New Roman"/>
          <w:color w:val="000000"/>
          <w:sz w:val="18"/>
          <w:szCs w:val="18"/>
          <w:lang w:val="pt-PT"/>
        </w:rPr>
        <w:t>ogia</w:t>
      </w:r>
      <w:r w:rsidRPr="002A177F">
        <w:rPr>
          <w:rFonts w:ascii="Times New Roman" w:hAnsi="Times New Roman"/>
          <w:color w:val="000000"/>
          <w:sz w:val="18"/>
          <w:szCs w:val="18"/>
          <w:lang w:val="pt-PT"/>
        </w:rPr>
        <w:t>).</w:t>
      </w:r>
    </w:p>
  </w:footnote>
  <w:footnote w:id="73">
    <w:p w:rsidR="00EC0E77" w:rsidRDefault="00EC0E77">
      <w:pPr>
        <w:pStyle w:val="Textodenotaderodap"/>
      </w:pPr>
      <w:r>
        <w:rPr>
          <w:rStyle w:val="Refdenotaderodap"/>
        </w:rPr>
        <w:footnoteRef/>
      </w:r>
      <w:r>
        <w:t xml:space="preserve"> </w:t>
      </w:r>
      <w:r w:rsidRPr="00BD322F">
        <w:rPr>
          <w:rFonts w:ascii="Times New Roman" w:hAnsi="Times New Roman"/>
          <w:b/>
          <w:sz w:val="18"/>
        </w:rPr>
        <w:t>RYLE, Gilbert</w:t>
      </w:r>
      <w:r w:rsidRPr="00214FB2">
        <w:rPr>
          <w:rFonts w:ascii="Times New Roman" w:hAnsi="Times New Roman"/>
          <w:sz w:val="18"/>
        </w:rPr>
        <w:t xml:space="preserve"> in </w:t>
      </w:r>
      <w:r w:rsidRPr="00BD322F">
        <w:rPr>
          <w:rFonts w:ascii="Times New Roman" w:hAnsi="Times New Roman"/>
          <w:sz w:val="18"/>
        </w:rPr>
        <w:t>O QUE É FILOSOFIA DA MENTE</w:t>
      </w:r>
      <w:r>
        <w:rPr>
          <w:rFonts w:ascii="Times New Roman" w:hAnsi="Times New Roman"/>
          <w:sz w:val="18"/>
        </w:rPr>
        <w:t>./1994</w:t>
      </w:r>
    </w:p>
  </w:footnote>
  <w:footnote w:id="74">
    <w:p w:rsidR="00EC0E77" w:rsidRPr="006C5548" w:rsidRDefault="00EC0E77" w:rsidP="00D24E61">
      <w:pPr>
        <w:pStyle w:val="Textodenotaderodap"/>
        <w:rPr>
          <w:rFonts w:ascii="Times New Roman" w:hAnsi="Times New Roman"/>
          <w:sz w:val="18"/>
          <w:szCs w:val="18"/>
        </w:rPr>
      </w:pPr>
      <w:r w:rsidRPr="006C5548">
        <w:rPr>
          <w:rStyle w:val="Refdenotaderodap"/>
          <w:rFonts w:ascii="Times New Roman" w:hAnsi="Times New Roman"/>
          <w:sz w:val="18"/>
          <w:szCs w:val="18"/>
        </w:rPr>
        <w:footnoteRef/>
      </w:r>
      <w:r w:rsidRPr="006C5548">
        <w:rPr>
          <w:rFonts w:ascii="Times New Roman" w:hAnsi="Times New Roman"/>
          <w:sz w:val="18"/>
          <w:szCs w:val="18"/>
        </w:rPr>
        <w:t xml:space="preserve"> </w:t>
      </w:r>
      <w:r w:rsidRPr="00B578B5">
        <w:rPr>
          <w:rFonts w:ascii="Times New Roman" w:hAnsi="Times New Roman"/>
          <w:b/>
          <w:sz w:val="18"/>
          <w:szCs w:val="18"/>
        </w:rPr>
        <w:t>John Jamieson Carswell "Jack" Smart</w:t>
      </w:r>
      <w:r w:rsidRPr="006C5548">
        <w:rPr>
          <w:rFonts w:ascii="Times New Roman" w:hAnsi="Times New Roman"/>
          <w:sz w:val="18"/>
          <w:szCs w:val="18"/>
        </w:rPr>
        <w:t xml:space="preserve"> (1920) Filosofo e professor da Universidade de Monash na Austrália.</w:t>
      </w:r>
      <w:r>
        <w:rPr>
          <w:rFonts w:ascii="Times New Roman" w:hAnsi="Times New Roman"/>
          <w:sz w:val="18"/>
          <w:szCs w:val="18"/>
        </w:rPr>
        <w:t xml:space="preserve"> </w:t>
      </w:r>
    </w:p>
  </w:footnote>
  <w:footnote w:id="75">
    <w:p w:rsidR="00EC0E77" w:rsidRDefault="00EC0E77" w:rsidP="00D24E61">
      <w:pPr>
        <w:pStyle w:val="Textodenotaderodap"/>
      </w:pPr>
      <w:r>
        <w:rPr>
          <w:rStyle w:val="Refdenotaderodap"/>
        </w:rPr>
        <w:footnoteRef/>
      </w:r>
      <w:r>
        <w:t xml:space="preserve"> </w:t>
      </w:r>
      <w:r w:rsidRPr="00300E9C">
        <w:rPr>
          <w:rFonts w:ascii="Times New Roman" w:hAnsi="Times New Roman"/>
          <w:b/>
          <w:sz w:val="18"/>
        </w:rPr>
        <w:t>Carl G. Jung</w:t>
      </w:r>
      <w:r>
        <w:rPr>
          <w:rFonts w:ascii="Times New Roman" w:hAnsi="Times New Roman"/>
          <w:sz w:val="18"/>
        </w:rPr>
        <w:t xml:space="preserve"> (1875- 1961)</w:t>
      </w:r>
      <w:r w:rsidRPr="00CD4764">
        <w:rPr>
          <w:rFonts w:ascii="Times New Roman" w:hAnsi="Times New Roman"/>
          <w:sz w:val="18"/>
        </w:rPr>
        <w:t>, psicólogo e filósofo suíço.</w:t>
      </w:r>
      <w:r>
        <w:rPr>
          <w:rFonts w:ascii="Times New Roman" w:hAnsi="Times New Roman"/>
          <w:sz w:val="18"/>
        </w:rPr>
        <w:t xml:space="preserve"> A Teoria da personalidade conforme Jung </w:t>
      </w:r>
      <w:r w:rsidRPr="00AE2BBF">
        <w:rPr>
          <w:rFonts w:ascii="Times New Roman" w:hAnsi="Times New Roman"/>
          <w:sz w:val="18"/>
        </w:rPr>
        <w:t>ou psique,  consiste num certo número</w:t>
      </w:r>
      <w:r>
        <w:rPr>
          <w:rFonts w:ascii="Times New Roman" w:hAnsi="Times New Roman"/>
          <w:sz w:val="18"/>
        </w:rPr>
        <w:t xml:space="preserve"> </w:t>
      </w:r>
      <w:r w:rsidRPr="00AE2BBF">
        <w:rPr>
          <w:rFonts w:ascii="Times New Roman" w:hAnsi="Times New Roman"/>
          <w:sz w:val="18"/>
        </w:rPr>
        <w:t>de sistemas distintos mas Inter atuantes. Os princípios são o ego, o inconsciente</w:t>
      </w:r>
      <w:r>
        <w:rPr>
          <w:rFonts w:ascii="Times New Roman" w:hAnsi="Times New Roman"/>
          <w:sz w:val="18"/>
        </w:rPr>
        <w:t xml:space="preserve"> </w:t>
      </w:r>
      <w:r w:rsidRPr="00AE2BBF">
        <w:rPr>
          <w:rFonts w:ascii="Times New Roman" w:hAnsi="Times New Roman"/>
          <w:sz w:val="18"/>
        </w:rPr>
        <w:t>pessoal e seus complexos, o inconsciente coletivo e seus arquétipos, a persona, a</w:t>
      </w:r>
      <w:r>
        <w:rPr>
          <w:rFonts w:ascii="Times New Roman" w:hAnsi="Times New Roman"/>
          <w:sz w:val="18"/>
        </w:rPr>
        <w:t xml:space="preserve"> </w:t>
      </w:r>
      <w:r w:rsidRPr="00AE2BBF">
        <w:rPr>
          <w:rFonts w:ascii="Times New Roman" w:hAnsi="Times New Roman"/>
          <w:sz w:val="18"/>
        </w:rPr>
        <w:t>anima ou o animus e a sombra.</w:t>
      </w:r>
      <w:r>
        <w:rPr>
          <w:rFonts w:ascii="Times New Roman" w:hAnsi="Times New Roman"/>
          <w:sz w:val="18"/>
        </w:rPr>
        <w:t xml:space="preserve"> </w:t>
      </w:r>
      <w:r w:rsidRPr="00CD4764">
        <w:rPr>
          <w:sz w:val="18"/>
        </w:rPr>
        <w:t xml:space="preserve"> </w:t>
      </w:r>
    </w:p>
  </w:footnote>
  <w:footnote w:id="76">
    <w:p w:rsidR="00EC0E77" w:rsidRDefault="00EC0E77" w:rsidP="00D24E61">
      <w:pPr>
        <w:pStyle w:val="Textodenotaderodap"/>
      </w:pPr>
      <w:r w:rsidRPr="00F81DB6">
        <w:rPr>
          <w:rStyle w:val="Refdenotaderodap"/>
          <w:rFonts w:ascii="Times New Roman" w:hAnsi="Times New Roman"/>
          <w:sz w:val="18"/>
          <w:szCs w:val="18"/>
        </w:rPr>
        <w:footnoteRef/>
      </w:r>
      <w:r w:rsidRPr="00F81DB6">
        <w:rPr>
          <w:rFonts w:ascii="Times New Roman" w:hAnsi="Times New Roman"/>
          <w:sz w:val="18"/>
          <w:szCs w:val="18"/>
        </w:rPr>
        <w:t xml:space="preserve">A palavra </w:t>
      </w:r>
      <w:r w:rsidRPr="00F81DB6">
        <w:rPr>
          <w:rFonts w:ascii="Times New Roman" w:hAnsi="Times New Roman"/>
          <w:b/>
          <w:sz w:val="18"/>
          <w:szCs w:val="18"/>
        </w:rPr>
        <w:t>arquétipo</w:t>
      </w:r>
      <w:r w:rsidRPr="00F81DB6">
        <w:rPr>
          <w:rFonts w:ascii="Times New Roman" w:hAnsi="Times New Roman"/>
          <w:sz w:val="18"/>
          <w:szCs w:val="18"/>
        </w:rPr>
        <w:t xml:space="preserve"> deriva do grego </w:t>
      </w:r>
      <w:r w:rsidRPr="00F81DB6">
        <w:rPr>
          <w:rFonts w:ascii="Times New Roman" w:hAnsi="Times New Roman"/>
          <w:i/>
          <w:iCs/>
          <w:sz w:val="18"/>
          <w:szCs w:val="18"/>
        </w:rPr>
        <w:t xml:space="preserve">arché, </w:t>
      </w:r>
      <w:r w:rsidRPr="00F81DB6">
        <w:rPr>
          <w:rFonts w:ascii="Times New Roman" w:hAnsi="Times New Roman"/>
          <w:sz w:val="18"/>
          <w:szCs w:val="18"/>
        </w:rPr>
        <w:t xml:space="preserve">substância primordial, e </w:t>
      </w:r>
      <w:r w:rsidRPr="00F81DB6">
        <w:rPr>
          <w:rFonts w:ascii="Times New Roman" w:hAnsi="Times New Roman"/>
          <w:i/>
          <w:iCs/>
          <w:sz w:val="18"/>
          <w:szCs w:val="18"/>
        </w:rPr>
        <w:t xml:space="preserve">typós, </w:t>
      </w:r>
      <w:r w:rsidRPr="00F81DB6">
        <w:rPr>
          <w:rFonts w:ascii="Times New Roman" w:hAnsi="Times New Roman"/>
          <w:sz w:val="18"/>
          <w:szCs w:val="18"/>
        </w:rPr>
        <w:t xml:space="preserve">impressão, marca. Arquétipos seriam marcas, um </w:t>
      </w:r>
      <w:r w:rsidRPr="00F81DB6">
        <w:rPr>
          <w:rFonts w:ascii="Times New Roman" w:hAnsi="Times New Roman"/>
          <w:i/>
          <w:iCs/>
          <w:sz w:val="18"/>
          <w:szCs w:val="18"/>
        </w:rPr>
        <w:t xml:space="preserve">blueprint, </w:t>
      </w:r>
      <w:r w:rsidRPr="00F81DB6">
        <w:rPr>
          <w:rFonts w:ascii="Times New Roman" w:hAnsi="Times New Roman"/>
          <w:sz w:val="18"/>
          <w:szCs w:val="18"/>
        </w:rPr>
        <w:t>uma impressão psicológica que daria à psique uma faculdade para formar sempre as mesmas imagens, ou para reagir de modo sempre semelhante a circunstâncias dadas. Esta disposição,  envida à estrutura cerebral idêntica de todos os</w:t>
      </w:r>
      <w:r w:rsidRPr="00D20910">
        <w:rPr>
          <w:rFonts w:ascii="Times New Roman" w:hAnsi="Times New Roman"/>
          <w:sz w:val="18"/>
          <w:szCs w:val="18"/>
        </w:rPr>
        <w:t xml:space="preserve"> seres humanos, explicaria a semelhança de imagens em todas as  mitologias, em todos os povos, na literatura e na arte universal.</w:t>
      </w:r>
      <w:r>
        <w:t xml:space="preserve"> </w:t>
      </w:r>
    </w:p>
  </w:footnote>
  <w:footnote w:id="77">
    <w:p w:rsidR="00EC0E77" w:rsidRPr="00432C7E" w:rsidRDefault="00EC0E77" w:rsidP="00D24E61">
      <w:pPr>
        <w:pStyle w:val="Textodenotaderodap"/>
        <w:rPr>
          <w:rFonts w:ascii="Times New Roman" w:hAnsi="Times New Roman"/>
          <w:sz w:val="18"/>
          <w:szCs w:val="18"/>
        </w:rPr>
      </w:pPr>
      <w:r>
        <w:rPr>
          <w:rStyle w:val="Refdenotaderodap"/>
        </w:rPr>
        <w:footnoteRef/>
      </w:r>
      <w:r>
        <w:t xml:space="preserve"> </w:t>
      </w:r>
      <w:r w:rsidRPr="00ED1731">
        <w:rPr>
          <w:rFonts w:ascii="Times New Roman" w:hAnsi="Times New Roman"/>
          <w:b/>
          <w:sz w:val="18"/>
          <w:szCs w:val="18"/>
        </w:rPr>
        <w:t>Nubor,Orlando Facure</w:t>
      </w:r>
      <w:r w:rsidRPr="00432C7E">
        <w:rPr>
          <w:rFonts w:ascii="Times New Roman" w:hAnsi="Times New Roman"/>
          <w:sz w:val="18"/>
          <w:szCs w:val="18"/>
        </w:rPr>
        <w:t>,  Medico Neurocirurgião, Diretor do Instituto do Cérebro de Campinas,</w:t>
      </w:r>
      <w:r>
        <w:rPr>
          <w:rFonts w:ascii="Times New Roman" w:hAnsi="Times New Roman"/>
          <w:sz w:val="18"/>
          <w:szCs w:val="18"/>
        </w:rPr>
        <w:t xml:space="preserve"> escritor e expositor</w:t>
      </w:r>
      <w:r w:rsidRPr="00432C7E">
        <w:rPr>
          <w:rFonts w:ascii="Times New Roman" w:hAnsi="Times New Roman"/>
          <w:sz w:val="18"/>
          <w:szCs w:val="18"/>
        </w:rPr>
        <w:t>.</w:t>
      </w:r>
    </w:p>
  </w:footnote>
  <w:footnote w:id="78">
    <w:p w:rsidR="00EC0E77" w:rsidRPr="00CE37A0" w:rsidRDefault="00EC0E77" w:rsidP="00D24E61">
      <w:pPr>
        <w:pStyle w:val="Textodenotaderodap"/>
        <w:rPr>
          <w:rFonts w:ascii="Times New Roman" w:hAnsi="Times New Roman"/>
          <w:sz w:val="18"/>
          <w:szCs w:val="18"/>
        </w:rPr>
      </w:pPr>
      <w:r w:rsidRPr="00CE37A0">
        <w:rPr>
          <w:rStyle w:val="Refdenotaderodap"/>
          <w:rFonts w:ascii="Times New Roman" w:hAnsi="Times New Roman"/>
          <w:b/>
          <w:sz w:val="18"/>
          <w:szCs w:val="18"/>
        </w:rPr>
        <w:footnoteRef/>
      </w:r>
      <w:r w:rsidRPr="00CE37A0">
        <w:rPr>
          <w:rFonts w:ascii="Times New Roman" w:hAnsi="Times New Roman"/>
          <w:b/>
          <w:sz w:val="18"/>
          <w:szCs w:val="18"/>
        </w:rPr>
        <w:t>Pierre Félix Bourdieu</w:t>
      </w:r>
      <w:r>
        <w:rPr>
          <w:rFonts w:ascii="Times New Roman" w:hAnsi="Times New Roman"/>
          <w:sz w:val="18"/>
          <w:szCs w:val="18"/>
        </w:rPr>
        <w:t xml:space="preserve"> (</w:t>
      </w:r>
      <w:r w:rsidRPr="00CE37A0">
        <w:rPr>
          <w:rFonts w:ascii="Times New Roman" w:hAnsi="Times New Roman"/>
          <w:sz w:val="18"/>
          <w:szCs w:val="18"/>
        </w:rPr>
        <w:t xml:space="preserve">1930 </w:t>
      </w:r>
      <w:r>
        <w:rPr>
          <w:rFonts w:ascii="Times New Roman" w:hAnsi="Times New Roman"/>
          <w:sz w:val="18"/>
          <w:szCs w:val="18"/>
        </w:rPr>
        <w:t>-</w:t>
      </w:r>
      <w:r w:rsidRPr="00CE37A0">
        <w:rPr>
          <w:rFonts w:ascii="Times New Roman" w:hAnsi="Times New Roman"/>
          <w:sz w:val="18"/>
          <w:szCs w:val="18"/>
        </w:rPr>
        <w:t xml:space="preserve"> 2002) importante sociólogo francês, e desenvolveu a ideia de “Violência Simbólica”</w:t>
      </w:r>
    </w:p>
  </w:footnote>
  <w:footnote w:id="79">
    <w:p w:rsidR="00EC0E77" w:rsidRPr="000E63B4" w:rsidRDefault="00EC0E77" w:rsidP="00D24E61">
      <w:pPr>
        <w:pStyle w:val="Textodenotaderodap"/>
        <w:rPr>
          <w:rFonts w:ascii="Times New Roman" w:hAnsi="Times New Roman"/>
          <w:sz w:val="18"/>
          <w:szCs w:val="18"/>
        </w:rPr>
      </w:pPr>
      <w:r w:rsidRPr="000E63B4">
        <w:rPr>
          <w:rStyle w:val="Refdenotaderodap"/>
          <w:rFonts w:ascii="Times New Roman" w:hAnsi="Times New Roman"/>
          <w:sz w:val="18"/>
          <w:szCs w:val="18"/>
        </w:rPr>
        <w:footnoteRef/>
      </w:r>
      <w:r w:rsidRPr="000E63B4">
        <w:rPr>
          <w:rFonts w:ascii="Times New Roman" w:hAnsi="Times New Roman"/>
          <w:sz w:val="18"/>
          <w:szCs w:val="18"/>
        </w:rPr>
        <w:t xml:space="preserve"> </w:t>
      </w:r>
      <w:r w:rsidRPr="00C523C7">
        <w:rPr>
          <w:rFonts w:ascii="Times New Roman" w:hAnsi="Times New Roman"/>
          <w:b/>
          <w:sz w:val="18"/>
          <w:szCs w:val="18"/>
        </w:rPr>
        <w:t>Violência simbólica</w:t>
      </w:r>
      <w:r w:rsidRPr="000E63B4">
        <w:rPr>
          <w:rFonts w:ascii="Times New Roman" w:hAnsi="Times New Roman"/>
          <w:sz w:val="18"/>
          <w:szCs w:val="18"/>
        </w:rPr>
        <w:t>: Forma de coação que se apoia no reconhecimento de uma imposição determinada, seja esta econômica, social ou simbólica. A violência simbólica se funda na fabricação contínua de crenças no processo de socialização, que induzem o indivíduo a se posicionar no espaço social seguindo critérios e padrões do discurso dominante. Devido a este conhecimento do discurso dominante, a violência simbólica é manifestação deste conhecimento através do reconhecimento da legitimidade deste discurso dominante. Em Pierre Bourdieu, a violência simbólica é o meio de exercício do poder simbólico.</w:t>
      </w:r>
    </w:p>
  </w:footnote>
  <w:footnote w:id="80">
    <w:p w:rsidR="00EC0E77" w:rsidRPr="000E23B1" w:rsidRDefault="00EC0E77" w:rsidP="00D24E61">
      <w:pPr>
        <w:pStyle w:val="Textodenotaderodap"/>
        <w:rPr>
          <w:rFonts w:ascii="Times New Roman" w:hAnsi="Times New Roman"/>
          <w:sz w:val="18"/>
          <w:szCs w:val="18"/>
        </w:rPr>
      </w:pPr>
      <w:r w:rsidRPr="000E23B1">
        <w:rPr>
          <w:rStyle w:val="Refdenotaderodap"/>
          <w:rFonts w:ascii="Times New Roman" w:hAnsi="Times New Roman"/>
          <w:b/>
          <w:sz w:val="18"/>
          <w:szCs w:val="18"/>
        </w:rPr>
        <w:footnoteRef/>
      </w:r>
      <w:r w:rsidRPr="000E23B1">
        <w:rPr>
          <w:rFonts w:ascii="Times New Roman" w:hAnsi="Times New Roman"/>
          <w:b/>
          <w:sz w:val="18"/>
          <w:szCs w:val="18"/>
        </w:rPr>
        <w:t xml:space="preserve"> Jean--Claude Passeron</w:t>
      </w:r>
      <w:r w:rsidRPr="000E23B1">
        <w:rPr>
          <w:rFonts w:ascii="Times New Roman" w:hAnsi="Times New Roman"/>
          <w:sz w:val="18"/>
          <w:szCs w:val="18"/>
        </w:rPr>
        <w:t xml:space="preserve"> </w:t>
      </w:r>
      <w:r>
        <w:rPr>
          <w:rFonts w:ascii="Times New Roman" w:hAnsi="Times New Roman"/>
          <w:sz w:val="18"/>
          <w:szCs w:val="18"/>
        </w:rPr>
        <w:t>:</w:t>
      </w:r>
      <w:r w:rsidRPr="000E23B1">
        <w:rPr>
          <w:rFonts w:ascii="Times New Roman" w:hAnsi="Times New Roman"/>
          <w:sz w:val="18"/>
          <w:szCs w:val="18"/>
        </w:rPr>
        <w:t xml:space="preserve"> professor de sociologia da École des hautes études en sciences sociales. Escreveu em parceria com Pierre Bourdieu a obra La Reproduction, publicada em 1970.</w:t>
      </w:r>
    </w:p>
  </w:footnote>
  <w:footnote w:id="81">
    <w:p w:rsidR="00EC0E77" w:rsidRPr="00013811" w:rsidRDefault="00EC0E77" w:rsidP="00D24E61">
      <w:pPr>
        <w:pStyle w:val="Textodenotaderodap"/>
        <w:rPr>
          <w:rFonts w:ascii="Times New Roman" w:hAnsi="Times New Roman"/>
        </w:rPr>
      </w:pPr>
      <w:r w:rsidRPr="00013811">
        <w:rPr>
          <w:rStyle w:val="Refdenotaderodap"/>
          <w:rFonts w:ascii="Times New Roman" w:hAnsi="Times New Roman"/>
          <w:sz w:val="18"/>
        </w:rPr>
        <w:footnoteRef/>
      </w:r>
      <w:r w:rsidRPr="00013811">
        <w:rPr>
          <w:rFonts w:ascii="Times New Roman" w:hAnsi="Times New Roman"/>
          <w:sz w:val="18"/>
        </w:rPr>
        <w:t xml:space="preserve"> </w:t>
      </w:r>
      <w:r w:rsidRPr="009B37C8">
        <w:rPr>
          <w:rFonts w:ascii="Times New Roman" w:hAnsi="Times New Roman"/>
          <w:b/>
          <w:sz w:val="18"/>
        </w:rPr>
        <w:t>Içami Tiba</w:t>
      </w:r>
      <w:r w:rsidRPr="00013811">
        <w:rPr>
          <w:rFonts w:ascii="Times New Roman" w:hAnsi="Times New Roman"/>
          <w:sz w:val="18"/>
        </w:rPr>
        <w:t xml:space="preserve"> é psiquiatra, psicodramatista, conferencista e  psicoterapeuta de jovens e famílias</w:t>
      </w:r>
      <w:r>
        <w:rPr>
          <w:rFonts w:ascii="Times New Roman" w:hAnsi="Times New Roman"/>
          <w:sz w:val="18"/>
        </w:rPr>
        <w:t>.</w:t>
      </w:r>
    </w:p>
  </w:footnote>
  <w:footnote w:id="82">
    <w:p w:rsidR="00EC0E77" w:rsidRPr="004E5F7F" w:rsidRDefault="00EC0E77" w:rsidP="00D24E61">
      <w:pPr>
        <w:pStyle w:val="Textodenotaderodap"/>
        <w:rPr>
          <w:rFonts w:ascii="Times New Roman" w:hAnsi="Times New Roman"/>
          <w:sz w:val="18"/>
          <w:szCs w:val="18"/>
        </w:rPr>
      </w:pPr>
      <w:r>
        <w:rPr>
          <w:rStyle w:val="Refdenotaderodap"/>
        </w:rPr>
        <w:footnoteRef/>
      </w:r>
      <w:r>
        <w:t xml:space="preserve"> </w:t>
      </w:r>
      <w:r w:rsidRPr="004E5F7F">
        <w:rPr>
          <w:rFonts w:ascii="Times New Roman" w:hAnsi="Times New Roman"/>
          <w:sz w:val="18"/>
          <w:szCs w:val="18"/>
        </w:rPr>
        <w:t xml:space="preserve">Entrevista: Içami Tiba efetuada e transcrita por  T.V. Educacional sobre trabalha relações humanas em sala de aula - : </w:t>
      </w:r>
      <w:hyperlink r:id="rId6" w:history="1">
        <w:r w:rsidRPr="004E5F7F">
          <w:rPr>
            <w:rStyle w:val="Hyperlink"/>
            <w:rFonts w:ascii="Times New Roman" w:hAnsi="Times New Roman"/>
            <w:sz w:val="18"/>
            <w:szCs w:val="18"/>
          </w:rPr>
          <w:t>http://www.educacional.net/entrevistas/entrevista0006.asp</w:t>
        </w:r>
      </w:hyperlink>
      <w:r>
        <w:rPr>
          <w:rFonts w:ascii="Times New Roman" w:hAnsi="Times New Roman"/>
          <w:sz w:val="18"/>
          <w:szCs w:val="18"/>
        </w:rPr>
        <w:t xml:space="preserve"> em 01/09</w:t>
      </w:r>
      <w:r w:rsidRPr="004E5F7F">
        <w:rPr>
          <w:rFonts w:ascii="Times New Roman" w:hAnsi="Times New Roman"/>
          <w:sz w:val="18"/>
          <w:szCs w:val="18"/>
        </w:rPr>
        <w:t>/2013.</w:t>
      </w:r>
    </w:p>
  </w:footnote>
  <w:footnote w:id="83">
    <w:p w:rsidR="00EC0E77" w:rsidRPr="00382C82" w:rsidRDefault="00EC0E77" w:rsidP="00D24E61">
      <w:pPr>
        <w:pStyle w:val="Textodenotaderodap"/>
      </w:pPr>
      <w:r w:rsidRPr="00382C82">
        <w:rPr>
          <w:rStyle w:val="Refdenotaderodap"/>
          <w:rFonts w:ascii="Times New Roman" w:hAnsi="Times New Roman"/>
          <w:sz w:val="18"/>
          <w:szCs w:val="18"/>
        </w:rPr>
        <w:footnoteRef/>
      </w:r>
      <w:r w:rsidRPr="00382C82">
        <w:rPr>
          <w:rFonts w:ascii="Times New Roman" w:hAnsi="Times New Roman"/>
          <w:sz w:val="18"/>
          <w:szCs w:val="18"/>
        </w:rPr>
        <w:t xml:space="preserve"> </w:t>
      </w:r>
      <w:r w:rsidRPr="00382C82">
        <w:rPr>
          <w:rFonts w:ascii="Times New Roman" w:hAnsi="Times New Roman"/>
          <w:b/>
          <w:bCs/>
          <w:sz w:val="18"/>
          <w:szCs w:val="18"/>
        </w:rPr>
        <w:t>Émile Durkheim</w:t>
      </w:r>
      <w:r>
        <w:rPr>
          <w:rFonts w:ascii="Times New Roman" w:hAnsi="Times New Roman"/>
          <w:b/>
          <w:bCs/>
          <w:sz w:val="18"/>
          <w:szCs w:val="18"/>
        </w:rPr>
        <w:t xml:space="preserve"> (1858/1917)</w:t>
      </w:r>
      <w:r w:rsidRPr="00382C82">
        <w:rPr>
          <w:rFonts w:ascii="Times New Roman" w:hAnsi="Times New Roman"/>
          <w:b/>
          <w:bCs/>
          <w:sz w:val="18"/>
          <w:szCs w:val="18"/>
        </w:rPr>
        <w:t xml:space="preserve">: </w:t>
      </w:r>
      <w:r w:rsidRPr="00382C82">
        <w:rPr>
          <w:rFonts w:ascii="Times New Roman" w:hAnsi="Times New Roman"/>
          <w:bCs/>
          <w:sz w:val="18"/>
          <w:szCs w:val="18"/>
        </w:rPr>
        <w:t>Professor Frances,</w:t>
      </w:r>
      <w:r w:rsidRPr="00382C82">
        <w:rPr>
          <w:rFonts w:ascii="Times New Roman" w:hAnsi="Times New Roman"/>
          <w:sz w:val="18"/>
          <w:szCs w:val="18"/>
        </w:rPr>
        <w:t xml:space="preserve"> </w:t>
      </w:r>
      <w:r w:rsidRPr="00382C82">
        <w:rPr>
          <w:rFonts w:ascii="Times New Roman" w:hAnsi="Times New Roman"/>
          <w:bCs/>
          <w:sz w:val="18"/>
          <w:szCs w:val="18"/>
        </w:rPr>
        <w:t>Fundador da sociologia, Durkheim combinou a pesquisa empírica com a teoria sociológica. Sua contribuição tornou-se ponto de partida do estudo de fenômenos sociológicos como a natureza das relações de trabalho, os aspectos sociais do</w:t>
      </w:r>
      <w:r>
        <w:rPr>
          <w:rFonts w:ascii="Times New Roman" w:hAnsi="Times New Roman"/>
          <w:bCs/>
          <w:sz w:val="18"/>
          <w:szCs w:val="18"/>
        </w:rPr>
        <w:t xml:space="preserve"> </w:t>
      </w:r>
      <w:r w:rsidRPr="00382C82">
        <w:rPr>
          <w:rFonts w:ascii="Times New Roman" w:hAnsi="Times New Roman"/>
          <w:bCs/>
          <w:sz w:val="18"/>
          <w:szCs w:val="18"/>
        </w:rPr>
        <w:t>suicídio e as religiões primitivas.</w:t>
      </w:r>
      <w:r>
        <w:rPr>
          <w:bCs/>
        </w:rPr>
        <w:t xml:space="preserve"> </w:t>
      </w:r>
    </w:p>
  </w:footnote>
  <w:footnote w:id="84">
    <w:p w:rsidR="00EC0E77" w:rsidRPr="004E2C84" w:rsidRDefault="00EC0E77" w:rsidP="00D24E61">
      <w:pPr>
        <w:pStyle w:val="Textodenotaderodap"/>
        <w:rPr>
          <w:rFonts w:ascii="Times New Roman" w:hAnsi="Times New Roman"/>
          <w:sz w:val="18"/>
        </w:rPr>
      </w:pPr>
      <w:r w:rsidRPr="004E2C84">
        <w:rPr>
          <w:rStyle w:val="Refdenotaderodap"/>
          <w:rFonts w:ascii="Times New Roman" w:hAnsi="Times New Roman"/>
          <w:sz w:val="18"/>
        </w:rPr>
        <w:footnoteRef/>
      </w:r>
      <w:r w:rsidRPr="004E2C84">
        <w:rPr>
          <w:rFonts w:ascii="Times New Roman" w:hAnsi="Times New Roman"/>
          <w:sz w:val="18"/>
        </w:rPr>
        <w:t xml:space="preserve"> </w:t>
      </w:r>
      <w:r w:rsidRPr="00CE0FBB">
        <w:rPr>
          <w:rFonts w:ascii="Times New Roman" w:hAnsi="Times New Roman"/>
          <w:b/>
          <w:sz w:val="18"/>
        </w:rPr>
        <w:t>Jean-Claude Filloux</w:t>
      </w:r>
      <w:r w:rsidRPr="004E2C84">
        <w:rPr>
          <w:rFonts w:ascii="Times New Roman" w:hAnsi="Times New Roman"/>
          <w:sz w:val="18"/>
        </w:rPr>
        <w:t xml:space="preserve"> (França) é filósofo de formação. Participou, em 1964, da fundaçãoda Universidade de Paris X-Nanterre. Atualmente, professor emérito do Departamento de</w:t>
      </w:r>
      <w:r>
        <w:rPr>
          <w:rFonts w:ascii="Times New Roman" w:hAnsi="Times New Roman"/>
          <w:sz w:val="18"/>
        </w:rPr>
        <w:t xml:space="preserve"> </w:t>
      </w:r>
      <w:r w:rsidRPr="004E2C84">
        <w:rPr>
          <w:rFonts w:ascii="Times New Roman" w:hAnsi="Times New Roman"/>
          <w:sz w:val="18"/>
        </w:rPr>
        <w:t>Ciências da Educação da Universidade de Paris X, do qual foi o criador.</w:t>
      </w:r>
    </w:p>
  </w:footnote>
  <w:footnote w:id="85">
    <w:p w:rsidR="00EC0E77" w:rsidRPr="00996C49" w:rsidRDefault="00EC0E77">
      <w:pPr>
        <w:pStyle w:val="Textodenotaderodap"/>
        <w:rPr>
          <w:sz w:val="18"/>
          <w:szCs w:val="18"/>
        </w:rPr>
      </w:pPr>
      <w:r w:rsidRPr="00996C49">
        <w:rPr>
          <w:rStyle w:val="Refdenotaderodap"/>
          <w:sz w:val="18"/>
          <w:szCs w:val="18"/>
        </w:rPr>
        <w:footnoteRef/>
      </w:r>
      <w:r w:rsidRPr="00996C49">
        <w:rPr>
          <w:sz w:val="18"/>
          <w:szCs w:val="18"/>
        </w:rPr>
        <w:t xml:space="preserve"> </w:t>
      </w:r>
      <w:r w:rsidRPr="00996C49">
        <w:rPr>
          <w:rFonts w:ascii="Times New Roman" w:hAnsi="Times New Roman"/>
          <w:sz w:val="18"/>
          <w:szCs w:val="18"/>
        </w:rPr>
        <w:t>Romanov – Personagem do livro Filhos brilhantes, alunos fascinantes.</w:t>
      </w:r>
    </w:p>
  </w:footnote>
  <w:footnote w:id="86">
    <w:p w:rsidR="00EC0E77" w:rsidRPr="00CE7B01" w:rsidRDefault="00EC0E77" w:rsidP="00D24E61">
      <w:pPr>
        <w:autoSpaceDE w:val="0"/>
        <w:autoSpaceDN w:val="0"/>
        <w:adjustRightInd w:val="0"/>
        <w:rPr>
          <w:sz w:val="18"/>
          <w:szCs w:val="18"/>
        </w:rPr>
      </w:pPr>
      <w:r>
        <w:rPr>
          <w:rStyle w:val="Refdenotaderodap"/>
          <w:rFonts w:eastAsia="Calibri"/>
        </w:rPr>
        <w:footnoteRef/>
      </w:r>
      <w:r>
        <w:t xml:space="preserve"> </w:t>
      </w:r>
      <w:r w:rsidRPr="00CE7B01">
        <w:rPr>
          <w:color w:val="231F20"/>
          <w:sz w:val="18"/>
          <w:szCs w:val="18"/>
        </w:rPr>
        <w:t>British Council</w:t>
      </w:r>
      <w:r>
        <w:rPr>
          <w:color w:val="231F20"/>
          <w:sz w:val="18"/>
          <w:szCs w:val="18"/>
        </w:rPr>
        <w:t xml:space="preserve"> (Ó</w:t>
      </w:r>
      <w:r w:rsidRPr="00CE7B01">
        <w:rPr>
          <w:color w:val="231F20"/>
          <w:sz w:val="18"/>
          <w:szCs w:val="18"/>
        </w:rPr>
        <w:t>rgão do Reino Unido atuante na área de Direitos Humanos, Educação e Cultura).</w:t>
      </w:r>
    </w:p>
  </w:footnote>
  <w:footnote w:id="87">
    <w:p w:rsidR="00EC0E77" w:rsidRDefault="00EC0E77" w:rsidP="00D24E61">
      <w:pPr>
        <w:pStyle w:val="Textodenotadefim"/>
        <w:jc w:val="both"/>
      </w:pPr>
      <w:r>
        <w:rPr>
          <w:rStyle w:val="Refdenotaderodap"/>
        </w:rPr>
        <w:footnoteRef/>
      </w:r>
      <w:r>
        <w:t xml:space="preserve"> </w:t>
      </w:r>
      <w:r w:rsidRPr="008A4BD4">
        <w:rPr>
          <w:rFonts w:ascii="Times New Roman" w:hAnsi="Times New Roman"/>
          <w:sz w:val="18"/>
        </w:rPr>
        <w:t>DECRETO No 6.571, DE 17 DE SETEMBRO DE 2008 Dispõe sobre o atendimento educacional especializado, regulamenta o parágrafo único do art. 60 da Lei no 9.394, de 20 de dezembro de 1996, e acrescenta dispositivo ao Decreto no 6.253, de 13 de novembro de 2007.</w:t>
      </w:r>
    </w:p>
  </w:footnote>
  <w:footnote w:id="88">
    <w:p w:rsidR="00EC0E77" w:rsidRDefault="00EC0E77" w:rsidP="00D24E61">
      <w:pPr>
        <w:pStyle w:val="Textodenotaderodap"/>
      </w:pPr>
      <w:r>
        <w:rPr>
          <w:rStyle w:val="Refdenotaderodap"/>
        </w:rPr>
        <w:footnoteRef/>
      </w:r>
      <w:r>
        <w:t xml:space="preserve"> </w:t>
      </w:r>
      <w:r w:rsidRPr="00242BBF">
        <w:rPr>
          <w:rFonts w:ascii="Times New Roman" w:hAnsi="Times New Roman"/>
          <w:sz w:val="18"/>
        </w:rPr>
        <w:t>LGBT – Lésbicas, Gays, Bissexuais, Transexuais e Transgêneros – surgiu em decorrência da manifestação de significativas transformações sociais e políticas para as chamadas minorias sociais, a partir dos anos 1960.</w:t>
      </w:r>
    </w:p>
  </w:footnote>
  <w:footnote w:id="89">
    <w:p w:rsidR="00EC0E77" w:rsidRDefault="00EC0E77" w:rsidP="00D24E61">
      <w:pPr>
        <w:pStyle w:val="Textodenotaderodap"/>
      </w:pPr>
      <w:r>
        <w:rPr>
          <w:rStyle w:val="Refdenotaderodap"/>
        </w:rPr>
        <w:footnoteRef/>
      </w:r>
      <w:r>
        <w:t xml:space="preserve"> </w:t>
      </w:r>
      <w:r w:rsidRPr="00D46E46">
        <w:rPr>
          <w:rFonts w:ascii="Times New Roman" w:hAnsi="Times New Roman"/>
          <w:sz w:val="18"/>
        </w:rPr>
        <w:t>Texto-base da Conferência Nacional de LGBT – Direitos Humanos e Políticas Públicas: o caminho para garantir a cidadania de gays, lésbicas, bissexuais, travestis e transexuais, p. 19, 2008.</w:t>
      </w:r>
    </w:p>
  </w:footnote>
  <w:footnote w:id="90">
    <w:p w:rsidR="00EC0E77" w:rsidRPr="00AF2C48" w:rsidRDefault="00EC0E77" w:rsidP="00D24E61">
      <w:pPr>
        <w:pStyle w:val="Textodenotaderodap"/>
        <w:spacing w:line="240" w:lineRule="exact"/>
        <w:rPr>
          <w:rFonts w:ascii="Times New Roman" w:hAnsi="Times New Roman"/>
          <w:sz w:val="18"/>
          <w:szCs w:val="18"/>
        </w:rPr>
      </w:pPr>
      <w:r>
        <w:rPr>
          <w:rStyle w:val="Refdenotaderodap"/>
        </w:rPr>
        <w:footnoteRef/>
      </w:r>
      <w:r>
        <w:rPr>
          <w:rFonts w:ascii="Times New Roman" w:hAnsi="Times New Roman"/>
          <w:sz w:val="18"/>
          <w:szCs w:val="18"/>
        </w:rPr>
        <w:t xml:space="preserve"> </w:t>
      </w:r>
      <w:r w:rsidRPr="007755C8">
        <w:rPr>
          <w:rFonts w:ascii="Times New Roman" w:hAnsi="Times New Roman"/>
          <w:b/>
          <w:sz w:val="18"/>
          <w:szCs w:val="18"/>
        </w:rPr>
        <w:t>Wilson H. Aragão</w:t>
      </w:r>
      <w:r>
        <w:rPr>
          <w:rFonts w:ascii="Times New Roman" w:hAnsi="Times New Roman"/>
          <w:b/>
          <w:sz w:val="18"/>
          <w:szCs w:val="18"/>
        </w:rPr>
        <w:t xml:space="preserve">: </w:t>
      </w:r>
      <w:r>
        <w:rPr>
          <w:rFonts w:ascii="Times New Roman" w:hAnsi="Times New Roman"/>
          <w:sz w:val="18"/>
          <w:szCs w:val="18"/>
        </w:rPr>
        <w:t xml:space="preserve">Atual (2013), </w:t>
      </w:r>
      <w:r w:rsidRPr="00AF2C48">
        <w:rPr>
          <w:rFonts w:ascii="Times New Roman" w:hAnsi="Times New Roman"/>
          <w:sz w:val="18"/>
          <w:szCs w:val="18"/>
        </w:rPr>
        <w:t>Diretor do Centro de Educação</w:t>
      </w:r>
      <w:r>
        <w:rPr>
          <w:rFonts w:ascii="Times New Roman" w:hAnsi="Times New Roman"/>
          <w:sz w:val="18"/>
          <w:szCs w:val="18"/>
        </w:rPr>
        <w:t xml:space="preserve"> da Universidade Federal da Paraíba (UFPB)</w:t>
      </w:r>
      <w:r w:rsidRPr="00AF2C48">
        <w:rPr>
          <w:rFonts w:ascii="Times New Roman" w:hAnsi="Times New Roman"/>
          <w:sz w:val="18"/>
          <w:szCs w:val="18"/>
        </w:rPr>
        <w:t>, Coordenador da Escola de Gestores/MEC e Líder do grupo de pesquisa Exclusão, Inclusão e Diversidade.</w:t>
      </w:r>
    </w:p>
  </w:footnote>
  <w:footnote w:id="91">
    <w:p w:rsidR="00EC0E77" w:rsidRPr="008E1CDD" w:rsidRDefault="00EC0E77" w:rsidP="00D24E61">
      <w:pPr>
        <w:pStyle w:val="Textodenotaderodap"/>
        <w:spacing w:line="240" w:lineRule="exact"/>
        <w:rPr>
          <w:rFonts w:ascii="Times New Roman" w:hAnsi="Times New Roman"/>
          <w:sz w:val="18"/>
          <w:szCs w:val="18"/>
        </w:rPr>
      </w:pPr>
      <w:r w:rsidRPr="008E1CDD">
        <w:rPr>
          <w:rStyle w:val="Refdenotaderodap"/>
          <w:rFonts w:ascii="Times New Roman" w:hAnsi="Times New Roman"/>
          <w:sz w:val="18"/>
          <w:szCs w:val="18"/>
        </w:rPr>
        <w:footnoteRef/>
      </w:r>
      <w:r w:rsidRPr="008E1CDD">
        <w:rPr>
          <w:rFonts w:ascii="Times New Roman" w:hAnsi="Times New Roman"/>
          <w:sz w:val="18"/>
          <w:szCs w:val="18"/>
        </w:rPr>
        <w:t xml:space="preserve"> </w:t>
      </w:r>
      <w:r w:rsidRPr="00D32E75">
        <w:rPr>
          <w:rFonts w:ascii="Times New Roman" w:hAnsi="Times New Roman"/>
          <w:b/>
          <w:bCs/>
          <w:sz w:val="18"/>
          <w:szCs w:val="18"/>
        </w:rPr>
        <w:t>“</w:t>
      </w:r>
      <w:r w:rsidRPr="00D32E75">
        <w:rPr>
          <w:rFonts w:ascii="Times New Roman" w:hAnsi="Times New Roman"/>
          <w:sz w:val="18"/>
          <w:szCs w:val="18"/>
        </w:rPr>
        <w:t>A instrução é a necessidade de todos. A sociedade deve favorecer com todo o seu poder o progresso da inteligência pública e colocar a instrução ao alcance de todos os cidadãos”.</w:t>
      </w:r>
      <w:r w:rsidRPr="008E1CDD">
        <w:rPr>
          <w:rFonts w:ascii="Times New Roman" w:hAnsi="Times New Roman"/>
          <w:sz w:val="18"/>
          <w:szCs w:val="18"/>
        </w:rPr>
        <w:t xml:space="preserve"> - </w:t>
      </w:r>
      <w:r w:rsidRPr="008E1CDD">
        <w:rPr>
          <w:rFonts w:ascii="Times New Roman" w:hAnsi="Times New Roman"/>
          <w:b/>
          <w:bCs/>
          <w:sz w:val="18"/>
          <w:szCs w:val="18"/>
        </w:rPr>
        <w:t>O artigo XXII da Declaração dos Direitos do Homem e do Cidadão de 1789.</w:t>
      </w:r>
    </w:p>
  </w:footnote>
  <w:footnote w:id="92">
    <w:p w:rsidR="00EC0E77" w:rsidRPr="00F97168" w:rsidRDefault="00EC0E77" w:rsidP="00D63CBC">
      <w:pPr>
        <w:pStyle w:val="Textodenotaderodap"/>
        <w:spacing w:after="120" w:line="240" w:lineRule="exact"/>
        <w:rPr>
          <w:rFonts w:ascii="Times New Roman" w:hAnsi="Times New Roman"/>
        </w:rPr>
      </w:pPr>
      <w:r w:rsidRPr="00F97168">
        <w:rPr>
          <w:rStyle w:val="Refdenotaderodap"/>
          <w:rFonts w:ascii="Times New Roman" w:hAnsi="Times New Roman"/>
          <w:sz w:val="18"/>
        </w:rPr>
        <w:footnoteRef/>
      </w:r>
      <w:r w:rsidRPr="00F97168">
        <w:rPr>
          <w:rFonts w:ascii="Times New Roman" w:hAnsi="Times New Roman"/>
          <w:sz w:val="18"/>
        </w:rPr>
        <w:t xml:space="preserve">  BRASIL, MEC/UFPB. Secretaria de Educação Básica; </w:t>
      </w:r>
      <w:r w:rsidRPr="00F97168">
        <w:rPr>
          <w:rFonts w:ascii="Times New Roman" w:hAnsi="Times New Roman"/>
          <w:b/>
          <w:sz w:val="18"/>
        </w:rPr>
        <w:t>O direito à educação: limites e perspectivas</w:t>
      </w:r>
      <w:r w:rsidRPr="00F97168">
        <w:rPr>
          <w:rFonts w:ascii="Times New Roman" w:hAnsi="Times New Roman"/>
          <w:sz w:val="18"/>
        </w:rPr>
        <w:t>. 2009</w:t>
      </w:r>
    </w:p>
  </w:footnote>
  <w:footnote w:id="93">
    <w:p w:rsidR="00EC0E77" w:rsidRPr="0093024C" w:rsidRDefault="00EC0E77" w:rsidP="00D63CBC">
      <w:pPr>
        <w:pStyle w:val="Textodenotaderodap"/>
        <w:spacing w:after="120" w:line="240" w:lineRule="exact"/>
        <w:rPr>
          <w:rFonts w:ascii="Times New Roman" w:hAnsi="Times New Roman"/>
          <w:sz w:val="18"/>
          <w:szCs w:val="18"/>
        </w:rPr>
      </w:pPr>
      <w:r w:rsidRPr="0093024C">
        <w:rPr>
          <w:rStyle w:val="Refdenotaderodap"/>
          <w:rFonts w:ascii="Times New Roman" w:hAnsi="Times New Roman"/>
          <w:sz w:val="18"/>
          <w:szCs w:val="18"/>
        </w:rPr>
        <w:footnoteRef/>
      </w:r>
      <w:r w:rsidRPr="0093024C">
        <w:rPr>
          <w:rFonts w:ascii="Times New Roman" w:hAnsi="Times New Roman"/>
          <w:sz w:val="18"/>
          <w:szCs w:val="18"/>
        </w:rPr>
        <w:t xml:space="preserve"> “[...] a instrução é necessidade de todos. A sociedade  deve ser o seu poder  o progresso da inteligência publica  e colocar a  instrução ao alcance de todos os cidadãos”</w:t>
      </w:r>
    </w:p>
  </w:footnote>
  <w:footnote w:id="94">
    <w:p w:rsidR="00EC0E77" w:rsidRPr="0093024C" w:rsidRDefault="00EC0E77" w:rsidP="00D63CBC">
      <w:pPr>
        <w:pStyle w:val="Textodenotaderodap"/>
        <w:spacing w:after="120" w:line="240" w:lineRule="exact"/>
        <w:rPr>
          <w:rFonts w:ascii="Times New Roman" w:hAnsi="Times New Roman"/>
          <w:sz w:val="18"/>
          <w:szCs w:val="18"/>
        </w:rPr>
      </w:pPr>
      <w:r w:rsidRPr="0093024C">
        <w:rPr>
          <w:rStyle w:val="Refdenotaderodap"/>
          <w:rFonts w:ascii="Times New Roman" w:hAnsi="Times New Roman"/>
          <w:sz w:val="18"/>
          <w:szCs w:val="18"/>
        </w:rPr>
        <w:footnoteRef/>
      </w:r>
      <w:r w:rsidRPr="0093024C">
        <w:rPr>
          <w:rFonts w:ascii="Times New Roman" w:hAnsi="Times New Roman"/>
          <w:sz w:val="18"/>
          <w:szCs w:val="18"/>
        </w:rPr>
        <w:t xml:space="preserve"> “[...] a instrução primaria e gratuita, [e] os colégios  e universidades onde serão ensinados os elementos das ciências, belas – letras e artes” </w:t>
      </w:r>
    </w:p>
  </w:footnote>
  <w:footnote w:id="95">
    <w:p w:rsidR="00EC0E77" w:rsidRPr="0093024C" w:rsidRDefault="00EC0E77" w:rsidP="00D63CBC">
      <w:pPr>
        <w:pStyle w:val="Textodenotaderodap"/>
        <w:spacing w:after="120" w:line="240" w:lineRule="exact"/>
        <w:rPr>
          <w:rFonts w:ascii="Times New Roman" w:hAnsi="Times New Roman"/>
          <w:sz w:val="18"/>
        </w:rPr>
      </w:pPr>
      <w:r w:rsidRPr="0093024C">
        <w:rPr>
          <w:rStyle w:val="Refdenotaderodap"/>
          <w:rFonts w:ascii="Times New Roman" w:hAnsi="Times New Roman"/>
          <w:sz w:val="18"/>
          <w:szCs w:val="18"/>
        </w:rPr>
        <w:footnoteRef/>
      </w:r>
      <w:r w:rsidRPr="0093024C">
        <w:rPr>
          <w:rFonts w:ascii="Times New Roman" w:hAnsi="Times New Roman"/>
          <w:sz w:val="18"/>
          <w:szCs w:val="18"/>
        </w:rPr>
        <w:t xml:space="preserve"> Nesse contexto de aliança de movimentos conjunturais com os movimentos sociais, estão os esforços de vários e determinados movimentos conjunturais históricos pela inclusão dos artigos 227 e 228 na Constituição</w:t>
      </w:r>
      <w:r w:rsidRPr="00D23369">
        <w:t xml:space="preserve"> Federal de 1988, </w:t>
      </w:r>
      <w:r w:rsidRPr="0093024C">
        <w:rPr>
          <w:rFonts w:ascii="Times New Roman" w:hAnsi="Times New Roman"/>
          <w:sz w:val="18"/>
        </w:rPr>
        <w:t>pela ratificação da Convenção sobre os Direitos da Criança e pela aprovação do Estatuto da Criança e do Adolescente (ECA), ambos em 1990.</w:t>
      </w:r>
    </w:p>
  </w:footnote>
  <w:footnote w:id="96">
    <w:p w:rsidR="00EC0E77" w:rsidRPr="0093024C" w:rsidRDefault="00EC0E77" w:rsidP="00D24E61">
      <w:pPr>
        <w:pStyle w:val="Textodenotaderodap"/>
        <w:spacing w:line="240" w:lineRule="exact"/>
        <w:rPr>
          <w:rFonts w:ascii="Times New Roman" w:hAnsi="Times New Roman"/>
          <w:sz w:val="18"/>
        </w:rPr>
      </w:pPr>
      <w:r w:rsidRPr="0093024C">
        <w:rPr>
          <w:rStyle w:val="Refdenotaderodap"/>
          <w:rFonts w:ascii="Times New Roman" w:hAnsi="Times New Roman"/>
          <w:sz w:val="18"/>
        </w:rPr>
        <w:footnoteRef/>
      </w:r>
      <w:r w:rsidRPr="0093024C">
        <w:rPr>
          <w:rFonts w:ascii="Times New Roman" w:hAnsi="Times New Roman"/>
          <w:sz w:val="18"/>
        </w:rPr>
        <w:t xml:space="preserve"> BRASIL. Declaração e Programa de ação da Conferencia Mundial sobre  os Direitos Humanos. Viena, 1993.</w:t>
      </w:r>
    </w:p>
  </w:footnote>
  <w:footnote w:id="97">
    <w:p w:rsidR="00EC0E77" w:rsidRPr="003528E0" w:rsidRDefault="00EC0E77" w:rsidP="00D24E61">
      <w:pPr>
        <w:pStyle w:val="Textodenotaderodap"/>
        <w:rPr>
          <w:rFonts w:ascii="Times New Roman" w:hAnsi="Times New Roman"/>
          <w:sz w:val="18"/>
          <w:szCs w:val="18"/>
        </w:rPr>
      </w:pPr>
      <w:r w:rsidRPr="003528E0">
        <w:rPr>
          <w:rStyle w:val="Refdenotaderodap"/>
          <w:rFonts w:ascii="Times New Roman" w:hAnsi="Times New Roman"/>
          <w:sz w:val="18"/>
          <w:szCs w:val="18"/>
        </w:rPr>
        <w:footnoteRef/>
      </w:r>
      <w:r w:rsidRPr="003528E0">
        <w:rPr>
          <w:rFonts w:ascii="Times New Roman" w:hAnsi="Times New Roman"/>
          <w:sz w:val="18"/>
          <w:szCs w:val="18"/>
        </w:rPr>
        <w:t xml:space="preserve"> A transdisciplinaridade é uma abordagem científica que visa a unidade do conhecimento. Desta forma, procura estimular uma nova compreensão da realidade articulando elementos que passam entre, além e através das disciplinas, numa busca de compreensão da complexidade. Além disso, do ponto de vista humano a transdisciplinaridade é uma atitude empática de abertura ao outro e seu conhecimento.</w:t>
      </w:r>
    </w:p>
  </w:footnote>
  <w:footnote w:id="98">
    <w:p w:rsidR="00EC0E77" w:rsidRPr="001D3F55" w:rsidRDefault="00EC0E77" w:rsidP="00D24E61">
      <w:pPr>
        <w:pStyle w:val="Textodenotaderodap"/>
        <w:rPr>
          <w:rFonts w:ascii="Times New Roman" w:hAnsi="Times New Roman"/>
          <w:sz w:val="18"/>
          <w:szCs w:val="18"/>
        </w:rPr>
      </w:pPr>
      <w:r>
        <w:rPr>
          <w:rStyle w:val="Refdenotaderodap"/>
        </w:rPr>
        <w:footnoteRef/>
      </w:r>
      <w:r>
        <w:t xml:space="preserve"> </w:t>
      </w:r>
      <w:r w:rsidRPr="001D3F55">
        <w:rPr>
          <w:rFonts w:ascii="Times New Roman" w:hAnsi="Times New Roman"/>
          <w:sz w:val="18"/>
          <w:szCs w:val="18"/>
        </w:rPr>
        <w:t>A Declaração Universal dos Direitos Humanos, aprovada pela Organização das Nações Unidas, em 10 de dezembro de 1948.</w:t>
      </w:r>
    </w:p>
  </w:footnote>
  <w:footnote w:id="99">
    <w:p w:rsidR="00EC0E77" w:rsidRPr="006C3D9C" w:rsidRDefault="00EC0E77" w:rsidP="00D24E61">
      <w:pPr>
        <w:pStyle w:val="Textodenotaderodap"/>
        <w:rPr>
          <w:rFonts w:ascii="Times New Roman" w:hAnsi="Times New Roman"/>
          <w:sz w:val="22"/>
          <w:szCs w:val="22"/>
        </w:rPr>
      </w:pPr>
      <w:r>
        <w:rPr>
          <w:rStyle w:val="Refdenotaderodap"/>
        </w:rPr>
        <w:footnoteRef/>
      </w:r>
      <w:r>
        <w:t xml:space="preserve"> </w:t>
      </w:r>
      <w:r w:rsidRPr="006C3D9C">
        <w:rPr>
          <w:rFonts w:ascii="Times New Roman" w:hAnsi="Times New Roman"/>
          <w:sz w:val="22"/>
          <w:szCs w:val="22"/>
        </w:rPr>
        <w:t xml:space="preserve">Mestrando em Educação pela Universidade Federal de Lavras (UFLA/MG). Participante do Grupo de Pesquisas </w:t>
      </w:r>
      <w:r w:rsidRPr="006C3D9C">
        <w:rPr>
          <w:rFonts w:ascii="Times New Roman" w:hAnsi="Times New Roman"/>
          <w:sz w:val="22"/>
          <w:szCs w:val="22"/>
          <w:shd w:val="clear" w:color="auto" w:fill="FFFFFF"/>
        </w:rPr>
        <w:t>Relações entre Filosofia e Educação para a Sexualidade na Contemporaneidade: a problemática da formação docente</w:t>
      </w:r>
      <w:r>
        <w:rPr>
          <w:rFonts w:ascii="Times New Roman" w:hAnsi="Times New Roman"/>
          <w:sz w:val="22"/>
          <w:szCs w:val="22"/>
          <w:shd w:val="clear" w:color="auto" w:fill="FFFFFF"/>
        </w:rPr>
        <w:t>, sob coordenação da Profa. Cláudia Maria Ribeiro.</w:t>
      </w:r>
    </w:p>
    <w:p w:rsidR="00EC0E77" w:rsidRDefault="00EC0E77" w:rsidP="00D24E61">
      <w:pPr>
        <w:pStyle w:val="Textodenotaderodap"/>
      </w:pPr>
    </w:p>
  </w:footnote>
  <w:footnote w:id="100">
    <w:p w:rsidR="00EC0E77" w:rsidRPr="00DF50BB" w:rsidRDefault="00EC0E77" w:rsidP="00D24E61">
      <w:pPr>
        <w:pStyle w:val="Textodenotaderodap"/>
        <w:ind w:right="-1"/>
      </w:pPr>
      <w:r>
        <w:rPr>
          <w:rStyle w:val="Refdenotaderodap"/>
        </w:rPr>
        <w:footnoteRef/>
      </w:r>
      <w:r>
        <w:t xml:space="preserve"> </w:t>
      </w:r>
      <w:r>
        <w:rPr>
          <w:rFonts w:ascii="Times New Roman" w:hAnsi="Times New Roman"/>
        </w:rPr>
        <w:t xml:space="preserve">Cf. Dias, Souza. Lógica do Acontecimento. Deleuze e a filosofia. Porto, Portugal. Edições Afrontamento, 1995. “Pensar é criar e criar é problematizar, mas problematizar não significa responder a uma questão, mas determinar e co-adaptar os dados e as incógnitas do problema, desenvolver o mais completamente possível esses elementos em vias de determinação, encontrar os casos de solução correspondentes a esse desenvolvimento (...) redistribuir os dados, forçar sempre novos lances, o relançamento sucessivo de hipóteses mais livres, mais alegres, de existência” (p. 79 – 152). In O imaginário das águas, Eros e a criança. Tese de doutorado: </w:t>
      </w:r>
      <w:r>
        <w:t>A</w:t>
      </w:r>
      <w:r>
        <w:rPr>
          <w:rFonts w:ascii="Times New Roman" w:hAnsi="Times New Roman"/>
        </w:rPr>
        <w:t>ndrade, C.M.R. Campinas/SP, 2001, 194p.</w:t>
      </w:r>
    </w:p>
    <w:p w:rsidR="00EC0E77" w:rsidRDefault="00EC0E77" w:rsidP="00D24E61">
      <w:pPr>
        <w:pStyle w:val="Textodenotaderodap"/>
      </w:pPr>
    </w:p>
  </w:footnote>
  <w:footnote w:id="101">
    <w:p w:rsidR="00EC0E77" w:rsidRPr="00337B35" w:rsidRDefault="00EC0E77" w:rsidP="00D24E61">
      <w:pPr>
        <w:pStyle w:val="Textodenotaderodap"/>
        <w:rPr>
          <w:rFonts w:ascii="Times New Roman" w:hAnsi="Times New Roman"/>
        </w:rPr>
      </w:pPr>
      <w:r>
        <w:rPr>
          <w:rStyle w:val="Refdenotaderodap"/>
        </w:rPr>
        <w:footnoteRef/>
      </w:r>
      <w:r>
        <w:t xml:space="preserve"> </w:t>
      </w:r>
      <w:r w:rsidRPr="00337B35">
        <w:rPr>
          <w:rFonts w:ascii="Times New Roman" w:hAnsi="Times New Roman"/>
        </w:rPr>
        <w:t>A combinação entre homofobia e domínio das mulheres define o que teóricos queer denominam de dispositivo da heterossexualidade compulsória, o que revela tanto o caráter social e histórico da heteronormatividade, quanto sua relação necessária com a supostamente “oposta” homossexualidade. (Anais do VII Seminário Fazendo Gênero 28, 29 e 30 de 2006 – Práticas e Representações: Gênero na Literatura e na Mídia ST. 4 Richard Miskolci UFSCar.</w:t>
      </w:r>
    </w:p>
    <w:p w:rsidR="00EC0E77" w:rsidRPr="00337B35" w:rsidRDefault="00EC0E77">
      <w:pPr>
        <w:pStyle w:val="Textodenotaderodap"/>
        <w:rPr>
          <w:rFonts w:ascii="Times New Roman" w:hAnsi="Times New Roman"/>
        </w:rPr>
      </w:pPr>
    </w:p>
  </w:footnote>
  <w:footnote w:id="102">
    <w:p w:rsidR="00EC0E77" w:rsidRPr="00D322C4" w:rsidRDefault="00EC0E77" w:rsidP="00D24E61">
      <w:pPr>
        <w:pStyle w:val="Textodenotaderodap"/>
        <w:rPr>
          <w:rFonts w:ascii="Times New Roman" w:hAnsi="Times New Roman"/>
        </w:rPr>
      </w:pPr>
      <w:r w:rsidRPr="00D322C4">
        <w:rPr>
          <w:rStyle w:val="Refdenotaderodap"/>
          <w:rFonts w:ascii="Times New Roman" w:hAnsi="Times New Roman"/>
        </w:rPr>
        <w:footnoteRef/>
      </w:r>
      <w:r w:rsidRPr="00D322C4">
        <w:rPr>
          <w:rFonts w:ascii="Times New Roman" w:hAnsi="Times New Roman"/>
        </w:rPr>
        <w:t xml:space="preserve"> </w:t>
      </w:r>
      <w:r>
        <w:rPr>
          <w:rFonts w:ascii="Times New Roman" w:hAnsi="Times New Roman"/>
        </w:rPr>
        <w:t xml:space="preserve"> [...] </w:t>
      </w:r>
      <w:r w:rsidRPr="00D322C4">
        <w:rPr>
          <w:rFonts w:ascii="Times New Roman" w:hAnsi="Times New Roman"/>
        </w:rPr>
        <w:t>Mais recentemente, algumas análises têm-se voltado para a concepção de resistência oferecida por Michel Foucault, para quem o poder implica, sempre, resistência. (Silva, T</w:t>
      </w:r>
      <w:r>
        <w:rPr>
          <w:rFonts w:ascii="Times New Roman" w:hAnsi="Times New Roman"/>
        </w:rPr>
        <w:t>omaz Tadeu da</w:t>
      </w:r>
      <w:r w:rsidRPr="00D322C4">
        <w:rPr>
          <w:rFonts w:ascii="Times New Roman" w:hAnsi="Times New Roman"/>
        </w:rPr>
        <w:t>. Teoria cultural da educação – um vocabulário crítico. 2000, p. 98.).</w:t>
      </w:r>
    </w:p>
  </w:footnote>
  <w:footnote w:id="103">
    <w:p w:rsidR="00EC0E77" w:rsidRPr="003E41DE" w:rsidRDefault="00EC0E77" w:rsidP="00D24E61">
      <w:pPr>
        <w:pStyle w:val="Textodenotaderodap"/>
        <w:rPr>
          <w:rFonts w:ascii="Times New Roman" w:hAnsi="Times New Roman"/>
        </w:rPr>
      </w:pPr>
      <w:r>
        <w:rPr>
          <w:rStyle w:val="Refdenotaderodap"/>
        </w:rPr>
        <w:footnoteRef/>
      </w:r>
      <w:r>
        <w:t xml:space="preserve"> Criança</w:t>
      </w:r>
      <w:r w:rsidRPr="003E41DE">
        <w:rPr>
          <w:rFonts w:ascii="Times New Roman" w:hAnsi="Times New Roman"/>
        </w:rPr>
        <w:t xml:space="preserve"> de sete anos fazendo um convite para a colega também de sete anos.</w:t>
      </w:r>
    </w:p>
    <w:p w:rsidR="00EC0E77" w:rsidRDefault="00EC0E77">
      <w:pPr>
        <w:pStyle w:val="Textodenotaderodap"/>
      </w:pPr>
    </w:p>
  </w:footnote>
  <w:footnote w:id="104">
    <w:p w:rsidR="00EC0E77" w:rsidRPr="00846D38" w:rsidRDefault="00EC0E77" w:rsidP="00D24E61">
      <w:pPr>
        <w:pStyle w:val="Textodenotaderodap"/>
        <w:rPr>
          <w:rFonts w:ascii="Times New Roman" w:hAnsi="Times New Roman"/>
          <w:b/>
        </w:rPr>
      </w:pPr>
      <w:r>
        <w:rPr>
          <w:rStyle w:val="Refdenotaderodap"/>
        </w:rPr>
        <w:footnoteRef/>
      </w:r>
      <w:r>
        <w:t xml:space="preserve"> </w:t>
      </w:r>
      <w:r w:rsidRPr="00846D38">
        <w:rPr>
          <w:rFonts w:ascii="Times New Roman" w:hAnsi="Times New Roman"/>
        </w:rPr>
        <w:t xml:space="preserve">Fala de uma professora, ao perceber que </w:t>
      </w:r>
      <w:r w:rsidRPr="004F7821">
        <w:rPr>
          <w:rFonts w:ascii="Times New Roman" w:hAnsi="Times New Roman"/>
          <w:color w:val="000000"/>
        </w:rPr>
        <w:t>um menino</w:t>
      </w:r>
      <w:r>
        <w:rPr>
          <w:rFonts w:ascii="Times New Roman" w:hAnsi="Times New Roman"/>
          <w:color w:val="FF0000"/>
        </w:rPr>
        <w:t xml:space="preserve"> </w:t>
      </w:r>
      <w:r w:rsidRPr="00846D38">
        <w:rPr>
          <w:rFonts w:ascii="Times New Roman" w:hAnsi="Times New Roman"/>
        </w:rPr>
        <w:t>brincava com suas colegas e ameaçava entrar no banheiro destinado às meninas.</w:t>
      </w:r>
    </w:p>
    <w:p w:rsidR="00EC0E77" w:rsidRPr="00846D38" w:rsidRDefault="00EC0E77" w:rsidP="00D24E61">
      <w:pPr>
        <w:pStyle w:val="Textodenotaderodap"/>
        <w:rPr>
          <w:rFonts w:ascii="Times New Roman" w:hAnsi="Times New Roman"/>
        </w:rPr>
      </w:pPr>
    </w:p>
  </w:footnote>
  <w:footnote w:id="105">
    <w:p w:rsidR="00EC0E77" w:rsidRPr="0074516A" w:rsidRDefault="00EC0E77" w:rsidP="00D24E61">
      <w:pPr>
        <w:pStyle w:val="Textodenotaderodap"/>
        <w:rPr>
          <w:rFonts w:ascii="Times New Roman" w:hAnsi="Times New Roman"/>
        </w:rPr>
      </w:pPr>
      <w:r>
        <w:rPr>
          <w:rStyle w:val="Refdenotaderodap"/>
        </w:rPr>
        <w:footnoteRef/>
      </w:r>
      <w:r>
        <w:t xml:space="preserve"> </w:t>
      </w:r>
      <w:r w:rsidRPr="0074516A">
        <w:rPr>
          <w:rFonts w:ascii="Times New Roman" w:hAnsi="Times New Roman"/>
        </w:rPr>
        <w:t xml:space="preserve">Conversa de uma professora do Ensino Fundamental Anos Iniciais com dois </w:t>
      </w:r>
      <w:r w:rsidRPr="00A3639D">
        <w:rPr>
          <w:rFonts w:ascii="Times New Roman" w:hAnsi="Times New Roman"/>
          <w:color w:val="000000"/>
        </w:rPr>
        <w:t>meninos</w:t>
      </w:r>
      <w:r>
        <w:rPr>
          <w:rFonts w:ascii="Times New Roman" w:hAnsi="Times New Roman"/>
          <w:color w:val="FF0000"/>
        </w:rPr>
        <w:t xml:space="preserve"> </w:t>
      </w:r>
      <w:r w:rsidRPr="0074516A">
        <w:rPr>
          <w:rFonts w:ascii="Times New Roman" w:hAnsi="Times New Roman"/>
        </w:rPr>
        <w:t xml:space="preserve">que queriam ir ao banheiro juntos. </w:t>
      </w:r>
    </w:p>
  </w:footnote>
  <w:footnote w:id="106">
    <w:p w:rsidR="00EC0E77" w:rsidRDefault="00EC0E77">
      <w:pPr>
        <w:pStyle w:val="Textodenotaderodap"/>
      </w:pPr>
      <w:r>
        <w:rPr>
          <w:rStyle w:val="Refdenotaderodap"/>
        </w:rPr>
        <w:footnoteRef/>
      </w:r>
      <w:r>
        <w:t xml:space="preserve"> </w:t>
      </w:r>
      <w:r w:rsidRPr="00DE4B5E">
        <w:t xml:space="preserve">Enfermeiras graduadas pela Faculdade Santo Antônio, </w:t>
      </w:r>
      <w:r>
        <w:t>Pós - graduada</w:t>
      </w:r>
      <w:r w:rsidRPr="00DE4B5E">
        <w:t xml:space="preserve"> em Saúde Coletiva com Ênfase em Saúde da Família, pela Faculdade Santíssimo Sacramento. hasemulheres@hotmail.com.</w:t>
      </w:r>
    </w:p>
  </w:footnote>
  <w:footnote w:id="107">
    <w:p w:rsidR="00EC0E77" w:rsidRDefault="00EC0E77">
      <w:pPr>
        <w:pStyle w:val="Textodenotaderodap"/>
      </w:pPr>
      <w:r>
        <w:rPr>
          <w:rStyle w:val="Refdenotaderodap"/>
        </w:rPr>
        <w:footnoteRef/>
      </w:r>
      <w:r>
        <w:t xml:space="preserve"> </w:t>
      </w:r>
      <w:r w:rsidRPr="00DE4B5E">
        <w:t>Cirurgiã-dentista, Doutora em Saúde Publica. Coordenadora do curso de Pós - graduação em Saúde Coletiva com Ênfase em Saúde da Família, pela Faculdade Santíssimo Sacramento.</w:t>
      </w:r>
    </w:p>
  </w:footnote>
  <w:footnote w:id="108">
    <w:p w:rsidR="00EC0E77" w:rsidRDefault="00EC0E77" w:rsidP="00D24E61">
      <w:pPr>
        <w:pStyle w:val="Textodenotaderodap"/>
      </w:pPr>
      <w:r>
        <w:rPr>
          <w:rStyle w:val="Refdenotaderodap"/>
        </w:rPr>
        <w:footnoteRef/>
      </w:r>
      <w:r>
        <w:t xml:space="preserve"> </w:t>
      </w:r>
      <w:r w:rsidRPr="00DE4B5E">
        <w:t xml:space="preserve">Enfermeiras graduadas pela Faculdade Santo Antônio, </w:t>
      </w:r>
      <w:r>
        <w:t>Pós - graduada</w:t>
      </w:r>
      <w:r w:rsidRPr="00DE4B5E">
        <w:t xml:space="preserve"> em Saúde Coletiva com Ênfase em Saúde da Família, pela Faculdade Santíssimo Sacramento. hasemulheres@hotmail.com.</w:t>
      </w:r>
    </w:p>
  </w:footnote>
  <w:footnote w:id="109">
    <w:p w:rsidR="00EC0E77" w:rsidRDefault="00EC0E77" w:rsidP="00D24E61">
      <w:pPr>
        <w:pStyle w:val="Textodenotaderodap"/>
      </w:pPr>
      <w:r>
        <w:rPr>
          <w:rStyle w:val="Refdenotaderodap"/>
        </w:rPr>
        <w:footnoteRef/>
      </w:r>
      <w:r>
        <w:t xml:space="preserve"> </w:t>
      </w:r>
      <w:r w:rsidRPr="00DE4B5E">
        <w:t>Cirurgiã-dentista, Doutora em Saúde Publica. Coordenadora do curso de Pós - graduação em Saúde Coletiva com Ênfase em Saúde da Família, pela Faculdade Santíssimo Sacramento.</w:t>
      </w:r>
    </w:p>
  </w:footnote>
  <w:footnote w:id="110">
    <w:p w:rsidR="00EC0E77" w:rsidRPr="0040307B" w:rsidRDefault="00EC0E77" w:rsidP="00D24E61">
      <w:pPr>
        <w:pStyle w:val="Textodenotaderodap"/>
      </w:pPr>
      <w:r>
        <w:rPr>
          <w:rStyle w:val="Refdenotaderodap"/>
        </w:rPr>
        <w:t>*</w:t>
      </w:r>
      <w:r>
        <w:t xml:space="preserve"> </w:t>
      </w:r>
      <w:r w:rsidRPr="0040307B">
        <w:t>Carolina Bezerra de Souza é mestranda em Ciências da Religião pela Pontifícia Universidade Católica de Goiás, bolsista FAPEG</w:t>
      </w:r>
      <w:r>
        <w:t xml:space="preserve"> </w:t>
      </w:r>
      <w:r w:rsidRPr="0040307B">
        <w:t>, bacharel em teologia pelo Seminário Teológico Batista do Sul do Brasil, engenheira eletricista pela Universidade de Brasília. Email: carolbsouza@gmail.com</w:t>
      </w:r>
    </w:p>
  </w:footnote>
  <w:footnote w:id="111">
    <w:p w:rsidR="00EC0E77" w:rsidRPr="007F5D84" w:rsidRDefault="00EC0E77" w:rsidP="00D24E61">
      <w:pPr>
        <w:pStyle w:val="Textodenotaderodap"/>
      </w:pPr>
      <w:r>
        <w:rPr>
          <w:rStyle w:val="Refdenotaderodap"/>
          <w:rFonts w:eastAsia="Times New Roman"/>
        </w:rPr>
        <w:footnoteRef/>
      </w:r>
      <w:r>
        <w:t xml:space="preserve"> C</w:t>
      </w:r>
      <w:r w:rsidRPr="007F5D84">
        <w:t>omo a biografia heroica de Judite ou o caso</w:t>
      </w:r>
      <w:r>
        <w:t xml:space="preserve"> da colônia judia de Elefantina. H</w:t>
      </w:r>
      <w:r w:rsidRPr="00097305">
        <w:t>á registros de mulheres chefes de sinagogas, dirigentes, anciãs</w:t>
      </w:r>
      <w:r>
        <w:t xml:space="preserve"> e até sacerdotisas. Veja </w:t>
      </w:r>
      <w:r w:rsidRPr="00267C0E">
        <w:t xml:space="preserve">FIORENZA, 1992, </w:t>
      </w:r>
      <w:r>
        <w:t>p. 285</w:t>
      </w:r>
    </w:p>
  </w:footnote>
  <w:footnote w:id="112">
    <w:p w:rsidR="00EC0E77" w:rsidRPr="001E43C7" w:rsidRDefault="00EC0E77" w:rsidP="00D24E61">
      <w:pPr>
        <w:pStyle w:val="Textodenotaderodap"/>
      </w:pPr>
      <w:r>
        <w:rPr>
          <w:rStyle w:val="Refdenotaderodap"/>
        </w:rPr>
        <w:footnoteRef/>
      </w:r>
      <w:r>
        <w:t xml:space="preserve"> Sobre a utilização de personagens tipos em Marcos veja ROADS; DEWEY e MICHIE, 1999, p. 100-103.</w:t>
      </w:r>
    </w:p>
  </w:footnote>
  <w:footnote w:id="113">
    <w:p w:rsidR="00EC0E77" w:rsidRPr="0032604A" w:rsidRDefault="00EC0E77" w:rsidP="00D24E61">
      <w:pPr>
        <w:pStyle w:val="Textodenotaderodap"/>
      </w:pPr>
      <w:r>
        <w:rPr>
          <w:rStyle w:val="Refdenotaderodap"/>
        </w:rPr>
        <w:footnoteRef/>
      </w:r>
      <w:r>
        <w:t xml:space="preserve"> Veja também GNILKA, </w:t>
      </w:r>
      <w:r w:rsidRPr="00F16019">
        <w:t>1986</w:t>
      </w:r>
      <w:r>
        <w:t>, p. 169.</w:t>
      </w:r>
    </w:p>
  </w:footnote>
  <w:footnote w:id="114">
    <w:p w:rsidR="00EC0E77" w:rsidRPr="00405920" w:rsidRDefault="00EC0E77" w:rsidP="00D24E61">
      <w:pPr>
        <w:pStyle w:val="Textodenotaderodap"/>
      </w:pPr>
      <w:r>
        <w:rPr>
          <w:rStyle w:val="Refdenotaderodap"/>
        </w:rPr>
        <w:footnoteRef/>
      </w:r>
      <w:r>
        <w:t xml:space="preserve"> </w:t>
      </w:r>
      <w:r w:rsidRPr="00405920">
        <w:t>Marcos não menciona José como pai de Jesus. Em Mc 6, fala de Jesus como o carpinteiro filho de Maria. Indicando que há algum problema  em torno de seu pai biológico. Pois chamar alguém de ‘filho de sua mãe’ significava dizer que era filho de pai desconhecido. Assim, as duas explicações mais comuns da crítica são que José seria o pai biológico e que por falecimento ou outro motivo não estava presente quando da atuação pública de Jesus ou que Maria havia engravidado de outro homem (um soldado romano por violência por exemplo) e José teria assumido ambos (OTTERMANN, 2009, p. 73, 74).</w:t>
      </w:r>
    </w:p>
  </w:footnote>
  <w:footnote w:id="115">
    <w:p w:rsidR="00EC0E77" w:rsidRDefault="00EC0E77" w:rsidP="00D24E61">
      <w:pPr>
        <w:pStyle w:val="Textodenotaderodap"/>
      </w:pPr>
      <w:r>
        <w:rPr>
          <w:rStyle w:val="Refdenotaderodap"/>
        </w:rPr>
        <w:footnoteRef/>
      </w:r>
      <w:r>
        <w:t xml:space="preserve"> </w:t>
      </w:r>
      <w:r w:rsidRPr="000E2DE9">
        <w:rPr>
          <w:rFonts w:ascii="Times New Roman" w:hAnsi="Times New Roman"/>
        </w:rPr>
        <w:t>Mestranda em Educação Brasileira pela Universidade Federal do Ceará (UFC), Especialista em História e Sociologia pela Universidade Regional do Cariri (URCA), Graduada em História pela mesma universidade e Professora Efetiva da Secretaria de Educação do Estado de Pernambuco.</w:t>
      </w:r>
      <w:r>
        <w:rPr>
          <w:rFonts w:ascii="Times New Roman" w:hAnsi="Times New Roman"/>
        </w:rPr>
        <w:t xml:space="preserve"> alexsandra_flavia@hotmail.com</w:t>
      </w:r>
    </w:p>
  </w:footnote>
  <w:footnote w:id="116">
    <w:p w:rsidR="00EC0E77" w:rsidRDefault="00EC0E77" w:rsidP="00D24E61">
      <w:pPr>
        <w:pStyle w:val="Textodenotaderodap"/>
      </w:pPr>
      <w:r>
        <w:rPr>
          <w:rStyle w:val="Refdenotaderodap"/>
        </w:rPr>
        <w:footnoteRef/>
      </w:r>
      <w:r>
        <w:t xml:space="preserve"> </w:t>
      </w:r>
      <w:r w:rsidRPr="000E2DE9">
        <w:rPr>
          <w:rFonts w:ascii="Times New Roman" w:hAnsi="Times New Roman"/>
        </w:rPr>
        <w:t xml:space="preserve">Professor titular da UFC. Livre Docência pela Universidade de São Paulo (USP). Docente do programa de Pós-Graduação em Educação Brasileira e da Graduação em Engenharia Elétrica da UFC. </w:t>
      </w:r>
      <w:hyperlink r:id="rId7" w:history="1">
        <w:r w:rsidRPr="000E2DE9">
          <w:rPr>
            <w:rStyle w:val="Hyperlink"/>
            <w:rFonts w:ascii="Times New Roman" w:hAnsi="Times New Roman"/>
          </w:rPr>
          <w:t>hcunha@ufc.br</w:t>
        </w:r>
      </w:hyperlink>
    </w:p>
  </w:footnote>
  <w:footnote w:id="117">
    <w:p w:rsidR="00EC0E77" w:rsidRDefault="00EC0E77" w:rsidP="00D24E61">
      <w:pPr>
        <w:pStyle w:val="Textodenotaderodap"/>
      </w:pPr>
      <w:r>
        <w:rPr>
          <w:rStyle w:val="Refdenotaderodap"/>
        </w:rPr>
        <w:footnoteRef/>
      </w:r>
      <w:r w:rsidRPr="00F504F8">
        <w:rPr>
          <w:rFonts w:ascii="Times New Roman" w:hAnsi="Times New Roman"/>
        </w:rPr>
        <w:t xml:space="preserve"> Dados da Agencia Estadual de Planejamento e Pesquisas de Pernambuco, acessados em 15/12/2012.</w:t>
      </w:r>
    </w:p>
  </w:footnote>
  <w:footnote w:id="118">
    <w:p w:rsidR="00EC0E77" w:rsidRDefault="00EC0E77" w:rsidP="00D24E61">
      <w:pPr>
        <w:pStyle w:val="Textodenotaderodap"/>
      </w:pPr>
      <w:r>
        <w:rPr>
          <w:rStyle w:val="Refdenotaderodap"/>
        </w:rPr>
        <w:footnoteRef/>
      </w:r>
      <w:r w:rsidRPr="00F504F8">
        <w:rPr>
          <w:rFonts w:ascii="Times New Roman" w:hAnsi="Times New Roman"/>
        </w:rPr>
        <w:t xml:space="preserve"> É um dos produtos extraídos da mandioca que consiste em uma massa da qual se faz bolos e tapiocas.</w:t>
      </w:r>
    </w:p>
  </w:footnote>
  <w:footnote w:id="119">
    <w:p w:rsidR="00EC0E77" w:rsidRPr="00F504F8" w:rsidRDefault="00EC0E77" w:rsidP="00D24E61">
      <w:pPr>
        <w:pStyle w:val="Textodenotaderodap"/>
        <w:rPr>
          <w:rFonts w:ascii="Times New Roman" w:hAnsi="Times New Roman"/>
        </w:rPr>
      </w:pPr>
      <w:r>
        <w:rPr>
          <w:rStyle w:val="Refdenotaderodap"/>
        </w:rPr>
        <w:footnoteRef/>
      </w:r>
      <w:r>
        <w:t xml:space="preserve"> </w:t>
      </w:r>
      <w:r w:rsidRPr="00F504F8">
        <w:rPr>
          <w:rFonts w:ascii="Times New Roman" w:hAnsi="Times New Roman"/>
        </w:rPr>
        <w:t>O processo de retirar a goma da massa grossa gerada pela moagem da mandioca chama-se lavar.</w:t>
      </w:r>
    </w:p>
  </w:footnote>
  <w:footnote w:id="120">
    <w:p w:rsidR="00EC0E77" w:rsidRDefault="00EC0E77" w:rsidP="00D24E61">
      <w:pPr>
        <w:pStyle w:val="Textodenotaderodap"/>
      </w:pPr>
      <w:r>
        <w:rPr>
          <w:rStyle w:val="Refdenotaderodap"/>
        </w:rPr>
        <w:footnoteRef/>
      </w:r>
      <w:r>
        <w:t xml:space="preserve"> </w:t>
      </w:r>
      <w:r w:rsidRPr="00F504F8">
        <w:rPr>
          <w:rFonts w:ascii="Times New Roman" w:hAnsi="Times New Roman"/>
        </w:rPr>
        <w:t>Ou aviamento é o lugar onde se fabrica a farinha e a goma de mandioca, onde essa raiz é moída, colocada em uma prensa para retirar o líquido, depois peneirada e torrada para fazer a farinha.</w:t>
      </w:r>
    </w:p>
  </w:footnote>
  <w:footnote w:id="121">
    <w:p w:rsidR="00EC0E77" w:rsidRDefault="00EC0E77" w:rsidP="00D24E61">
      <w:pPr>
        <w:pStyle w:val="Textodenotaderodap"/>
      </w:pPr>
      <w:r>
        <w:rPr>
          <w:rStyle w:val="Refdenotaderodap"/>
        </w:rPr>
        <w:footnoteRef/>
      </w:r>
      <w:r>
        <w:t xml:space="preserve"> </w:t>
      </w:r>
      <w:r w:rsidRPr="00F575D5">
        <w:rPr>
          <w:rFonts w:ascii="Times New Roman" w:hAnsi="Times New Roman"/>
        </w:rPr>
        <w:t xml:space="preserve">Permite os objetos funcionarem e adquirirem todo o seu pleno significado. </w:t>
      </w:r>
      <w:r w:rsidRPr="00F575D5">
        <w:rPr>
          <w:rFonts w:ascii="Times New Roman" w:hAnsi="Times New Roman"/>
          <w:i/>
        </w:rPr>
        <w:t>Àsé</w:t>
      </w:r>
      <w:r w:rsidRPr="00F575D5">
        <w:rPr>
          <w:rFonts w:ascii="Times New Roman" w:hAnsi="Times New Roman"/>
        </w:rPr>
        <w:t xml:space="preserve">, que impulsionam a prática litúrgica, realimentando todo o sistema, mantendo-o ativo e constantemente atuante e mobilizado. O conteúdo mais importante do ‘terreiro’ é o </w:t>
      </w:r>
      <w:r w:rsidRPr="00F575D5">
        <w:rPr>
          <w:rFonts w:ascii="Times New Roman" w:hAnsi="Times New Roman"/>
          <w:i/>
        </w:rPr>
        <w:t>Àsé</w:t>
      </w:r>
      <w:r w:rsidRPr="00F575D5">
        <w:rPr>
          <w:rFonts w:ascii="Times New Roman" w:hAnsi="Times New Roman"/>
        </w:rPr>
        <w:t xml:space="preserve"> manifestado enquanto ‘força que assegura a dinâmica da vida, que permite o acontecer e o devir’. O </w:t>
      </w:r>
      <w:r w:rsidRPr="00F575D5">
        <w:rPr>
          <w:rFonts w:ascii="Times New Roman" w:hAnsi="Times New Roman"/>
          <w:i/>
        </w:rPr>
        <w:t>Àsé</w:t>
      </w:r>
      <w:r w:rsidRPr="00F575D5">
        <w:rPr>
          <w:rFonts w:ascii="Times New Roman" w:hAnsi="Times New Roman"/>
        </w:rPr>
        <w:t xml:space="preserve"> é uma força, acumulável, contida por matérias e elementos simbólicos, força que só pode ser adquirida pela introjeção ou contato, podendo ser transmitida, através de procedimentos apropriados. ‘Todo objeto, ser ou lugar consagrado só o é através da aquisição de </w:t>
      </w:r>
      <w:r w:rsidRPr="00F575D5">
        <w:rPr>
          <w:rFonts w:ascii="Times New Roman" w:hAnsi="Times New Roman"/>
          <w:i/>
        </w:rPr>
        <w:t>Àsé</w:t>
      </w:r>
      <w:r w:rsidRPr="00F575D5">
        <w:rPr>
          <w:rFonts w:ascii="Times New Roman" w:hAnsi="Times New Roman"/>
        </w:rPr>
        <w:t xml:space="preserve"> (SODRÉ, p. 141-142 </w:t>
      </w:r>
      <w:r w:rsidRPr="00F575D5">
        <w:rPr>
          <w:rFonts w:ascii="Times New Roman" w:hAnsi="Times New Roman"/>
          <w:i/>
        </w:rPr>
        <w:t>anpud</w:t>
      </w:r>
      <w:r w:rsidRPr="00F575D5">
        <w:rPr>
          <w:rFonts w:ascii="Times New Roman" w:hAnsi="Times New Roman"/>
        </w:rPr>
        <w:t xml:space="preserve"> DOMINGOS, 2011).</w:t>
      </w:r>
    </w:p>
  </w:footnote>
  <w:footnote w:id="122">
    <w:p w:rsidR="00EC0E77" w:rsidRDefault="00EC0E77" w:rsidP="00D24E61">
      <w:pPr>
        <w:pStyle w:val="Textodenotaderodap"/>
      </w:pPr>
      <w:r>
        <w:rPr>
          <w:rStyle w:val="Refdenotaderodap"/>
        </w:rPr>
        <w:footnoteRef/>
      </w:r>
      <w:r>
        <w:t xml:space="preserve"> </w:t>
      </w:r>
      <w:r w:rsidRPr="00F575D5">
        <w:rPr>
          <w:rFonts w:ascii="Times New Roman" w:hAnsi="Times New Roman"/>
        </w:rPr>
        <w:t>Líquido tóxico que sai da massa de mandioca prensada e que pode embebedar e matar (OLIVEIRA, 2006).</w:t>
      </w:r>
    </w:p>
  </w:footnote>
  <w:footnote w:id="123">
    <w:p w:rsidR="00EC0E77" w:rsidRDefault="00EC0E77">
      <w:pPr>
        <w:pStyle w:val="Textodenotaderodap"/>
      </w:pPr>
      <w:r>
        <w:rPr>
          <w:rStyle w:val="Refdenotaderodap"/>
        </w:rPr>
        <w:footnoteRef/>
      </w:r>
      <w:r>
        <w:t xml:space="preserve"> </w:t>
      </w:r>
      <w:r w:rsidRPr="00F575D5">
        <w:rPr>
          <w:rFonts w:ascii="Times New Roman" w:hAnsi="Times New Roman"/>
        </w:rPr>
        <w:t>Histórias de Trancoso: histórias inventadas ou aumentadas que servem para distrair, provocar risadas.</w:t>
      </w:r>
    </w:p>
  </w:footnote>
  <w:footnote w:id="124">
    <w:p w:rsidR="00EC0E77" w:rsidRPr="00F575D5" w:rsidRDefault="00EC0E77" w:rsidP="00D24E61">
      <w:pPr>
        <w:pStyle w:val="Textodenotadefim"/>
        <w:jc w:val="both"/>
        <w:rPr>
          <w:rFonts w:ascii="Arial" w:hAnsi="Arial" w:cs="Arial"/>
        </w:rPr>
      </w:pPr>
      <w:r>
        <w:rPr>
          <w:rStyle w:val="Refdenotaderodap"/>
        </w:rPr>
        <w:footnoteRef/>
      </w:r>
      <w:r>
        <w:t xml:space="preserve"> </w:t>
      </w:r>
      <w:r w:rsidRPr="00F575D5">
        <w:rPr>
          <w:rFonts w:ascii="Times New Roman" w:hAnsi="Times New Roman"/>
        </w:rPr>
        <w:t>Dito popular afrodescendente citado pela Makota Celinha em mesa redonda promovida pelo III Curso de Extensão Iniciativas Negras: Trocando Experiências, na cidade de Juazeiro do Norte – CE, 2011.</w:t>
      </w:r>
    </w:p>
  </w:footnote>
  <w:footnote w:id="125">
    <w:p w:rsidR="00EC0E77" w:rsidRPr="00AC1B4B" w:rsidRDefault="00EC0E77" w:rsidP="00D24E61">
      <w:pPr>
        <w:pStyle w:val="Textodenotaderodap"/>
        <w:rPr>
          <w:rFonts w:ascii="Arial" w:hAnsi="Arial" w:cs="Arial"/>
        </w:rPr>
      </w:pPr>
      <w:r w:rsidRPr="00AC1B4B">
        <w:rPr>
          <w:rStyle w:val="Refdenotaderodap"/>
          <w:rFonts w:cs="Arial"/>
        </w:rPr>
        <w:footnoteRef/>
      </w:r>
      <w:r w:rsidRPr="00AC1B4B">
        <w:rPr>
          <w:rFonts w:ascii="Arial" w:hAnsi="Arial" w:cs="Arial"/>
        </w:rPr>
        <w:t xml:space="preserve"> A fim de evi</w:t>
      </w:r>
      <w:r>
        <w:rPr>
          <w:rFonts w:ascii="Arial" w:hAnsi="Arial" w:cs="Arial"/>
        </w:rPr>
        <w:t>tar redundâncias se usará, neste artigo</w:t>
      </w:r>
      <w:r w:rsidRPr="00AC1B4B">
        <w:rPr>
          <w:rFonts w:ascii="Arial" w:hAnsi="Arial" w:cs="Arial"/>
        </w:rPr>
        <w:t>, o termo direitos femininos como sinônimo de Direitos Humanos das Mulheres.</w:t>
      </w:r>
    </w:p>
  </w:footnote>
  <w:footnote w:id="126">
    <w:p w:rsidR="00EC0E77" w:rsidRDefault="00EC0E77">
      <w:pPr>
        <w:pStyle w:val="Textodenotaderodap"/>
        <w:spacing w:after="0" w:line="100" w:lineRule="atLeast"/>
      </w:pPr>
      <w:r>
        <w:rPr>
          <w:rStyle w:val="Caracteresdenotaderodap"/>
          <w:rFonts w:ascii="Times New Roman" w:hAnsi="Times New Roman"/>
        </w:rPr>
        <w:footnoteRef/>
      </w:r>
      <w:r>
        <w:rPr>
          <w:rFonts w:ascii="ff0" w:hAnsi="ff0" w:cs="ff0"/>
          <w:color w:val="000000"/>
          <w:sz w:val="18"/>
          <w:szCs w:val="18"/>
        </w:rPr>
        <w:tab/>
        <w:t xml:space="preserve"> </w:t>
      </w:r>
      <w:r>
        <w:rPr>
          <w:color w:val="000000"/>
        </w:rPr>
        <w:t>Este artigo foi derivado do Trabalho de Conclusão de Curso apresentado em março de 2012 para obtenção do título em Licenciatura Plena em História pela Universidade Estadual de Goiás (UEG). Orientação:</w:t>
      </w:r>
      <w:r>
        <w:rPr>
          <w:rFonts w:eastAsia="Times New Roman"/>
          <w:b/>
          <w:bCs/>
          <w:color w:val="000000"/>
        </w:rPr>
        <w:t xml:space="preserve"> </w:t>
      </w:r>
      <w:r>
        <w:rPr>
          <w:rFonts w:eastAsia="Times New Roman"/>
          <w:color w:val="000000"/>
        </w:rPr>
        <w:t>Profa. Dr. Veralúcia Pinheiro.</w:t>
      </w:r>
    </w:p>
  </w:footnote>
  <w:footnote w:id="127">
    <w:p w:rsidR="00EC0E77" w:rsidRDefault="00EC0E77">
      <w:pPr>
        <w:pStyle w:val="Textodenotaderodap"/>
      </w:pPr>
      <w:r>
        <w:rPr>
          <w:rStyle w:val="Caracteresdenotaderodap"/>
          <w:rFonts w:ascii="Times New Roman" w:hAnsi="Times New Roman"/>
        </w:rPr>
        <w:footnoteRef/>
      </w:r>
      <w:r>
        <w:rPr>
          <w:rFonts w:eastAsia="Times New Roman"/>
        </w:rPr>
        <w:tab/>
        <w:t xml:space="preserve"> </w:t>
      </w:r>
      <w:r>
        <w:t>Entendidas</w:t>
      </w:r>
      <w:r>
        <w:rPr>
          <w:rFonts w:eastAsia="Times New Roman"/>
        </w:rPr>
        <w:t xml:space="preserve"> </w:t>
      </w:r>
      <w:r>
        <w:t>como</w:t>
      </w:r>
      <w:r>
        <w:rPr>
          <w:rFonts w:eastAsia="Times New Roman"/>
        </w:rPr>
        <w:t xml:space="preserve"> </w:t>
      </w:r>
      <w:r>
        <w:t>pressões</w:t>
      </w:r>
      <w:r>
        <w:rPr>
          <w:rFonts w:eastAsia="Times New Roman"/>
        </w:rPr>
        <w:t xml:space="preserve"> </w:t>
      </w:r>
      <w:r>
        <w:t>exercidas</w:t>
      </w:r>
      <w:r>
        <w:rPr>
          <w:rFonts w:eastAsia="Times New Roman"/>
        </w:rPr>
        <w:t xml:space="preserve"> </w:t>
      </w:r>
      <w:r>
        <w:t>pelos</w:t>
      </w:r>
      <w:r>
        <w:rPr>
          <w:rFonts w:eastAsia="Times New Roman"/>
        </w:rPr>
        <w:t xml:space="preserve"> </w:t>
      </w:r>
      <w:r>
        <w:t>movimentos</w:t>
      </w:r>
      <w:r>
        <w:rPr>
          <w:rFonts w:eastAsia="Times New Roman"/>
        </w:rPr>
        <w:t xml:space="preserve"> </w:t>
      </w:r>
      <w:r>
        <w:t>sociais</w:t>
      </w:r>
      <w:r>
        <w:rPr>
          <w:rFonts w:eastAsia="Times New Roman"/>
        </w:rPr>
        <w:t xml:space="preserve"> </w:t>
      </w:r>
      <w:r>
        <w:t>no</w:t>
      </w:r>
      <w:r>
        <w:rPr>
          <w:rFonts w:eastAsia="Times New Roman"/>
        </w:rPr>
        <w:t xml:space="preserve"> </w:t>
      </w:r>
      <w:r>
        <w:t>geral,</w:t>
      </w:r>
      <w:r>
        <w:rPr>
          <w:rFonts w:eastAsia="Times New Roman"/>
        </w:rPr>
        <w:t xml:space="preserve"> </w:t>
      </w:r>
      <w:r>
        <w:t>pelas</w:t>
      </w:r>
      <w:r>
        <w:rPr>
          <w:rFonts w:eastAsia="Times New Roman"/>
        </w:rPr>
        <w:t xml:space="preserve"> </w:t>
      </w:r>
      <w:r>
        <w:t>recentes</w:t>
      </w:r>
      <w:r>
        <w:rPr>
          <w:rFonts w:eastAsia="Times New Roman"/>
        </w:rPr>
        <w:t xml:space="preserve"> </w:t>
      </w:r>
      <w:r>
        <w:t>lutas</w:t>
      </w:r>
      <w:r>
        <w:rPr>
          <w:rFonts w:eastAsia="Times New Roman"/>
        </w:rPr>
        <w:t xml:space="preserve"> </w:t>
      </w:r>
      <w:r>
        <w:t>feministas</w:t>
      </w:r>
      <w:r>
        <w:rPr>
          <w:rFonts w:eastAsia="Times New Roman"/>
        </w:rPr>
        <w:t xml:space="preserve"> </w:t>
      </w:r>
      <w:r>
        <w:t>e</w:t>
      </w:r>
      <w:r>
        <w:rPr>
          <w:rFonts w:eastAsia="Times New Roman"/>
        </w:rPr>
        <w:t xml:space="preserve"> </w:t>
      </w:r>
      <w:r>
        <w:t>pela</w:t>
      </w:r>
      <w:r>
        <w:rPr>
          <w:rFonts w:eastAsia="Times New Roman"/>
        </w:rPr>
        <w:t xml:space="preserve"> </w:t>
      </w:r>
      <w:r>
        <w:t>crescente</w:t>
      </w:r>
      <w:r>
        <w:rPr>
          <w:rFonts w:eastAsia="Times New Roman"/>
        </w:rPr>
        <w:t xml:space="preserve"> </w:t>
      </w:r>
      <w:r>
        <w:t>exigência</w:t>
      </w:r>
      <w:r>
        <w:rPr>
          <w:rFonts w:eastAsia="Times New Roman"/>
        </w:rPr>
        <w:t xml:space="preserve"> </w:t>
      </w:r>
      <w:r>
        <w:t>de</w:t>
      </w:r>
      <w:r>
        <w:rPr>
          <w:rFonts w:eastAsia="Times New Roman"/>
        </w:rPr>
        <w:t xml:space="preserve"> </w:t>
      </w:r>
      <w:r>
        <w:t>adequação</w:t>
      </w:r>
      <w:r>
        <w:rPr>
          <w:rFonts w:eastAsia="Times New Roman"/>
        </w:rPr>
        <w:t xml:space="preserve"> </w:t>
      </w:r>
      <w:r>
        <w:t>do</w:t>
      </w:r>
      <w:r>
        <w:rPr>
          <w:rFonts w:eastAsia="Times New Roman"/>
        </w:rPr>
        <w:t xml:space="preserve"> </w:t>
      </w:r>
      <w:r>
        <w:t>País</w:t>
      </w:r>
      <w:r>
        <w:rPr>
          <w:rFonts w:eastAsia="Times New Roman"/>
        </w:rPr>
        <w:t xml:space="preserve"> </w:t>
      </w:r>
      <w:r>
        <w:t>aos</w:t>
      </w:r>
      <w:r>
        <w:rPr>
          <w:rFonts w:eastAsia="Times New Roman"/>
        </w:rPr>
        <w:t xml:space="preserve"> </w:t>
      </w:r>
      <w:r>
        <w:t>padrões</w:t>
      </w:r>
      <w:r>
        <w:rPr>
          <w:rFonts w:eastAsia="Times New Roman"/>
        </w:rPr>
        <w:t xml:space="preserve"> </w:t>
      </w:r>
      <w:r>
        <w:t>das</w:t>
      </w:r>
      <w:r>
        <w:rPr>
          <w:rFonts w:eastAsia="Times New Roman"/>
        </w:rPr>
        <w:t xml:space="preserve"> </w:t>
      </w:r>
      <w:r>
        <w:t>leis</w:t>
      </w:r>
      <w:r>
        <w:rPr>
          <w:rFonts w:eastAsia="Times New Roman"/>
        </w:rPr>
        <w:t xml:space="preserve"> </w:t>
      </w:r>
      <w:r>
        <w:t>e</w:t>
      </w:r>
      <w:r>
        <w:rPr>
          <w:rFonts w:eastAsia="Times New Roman"/>
        </w:rPr>
        <w:t xml:space="preserve"> </w:t>
      </w:r>
      <w:r>
        <w:t>tratados</w:t>
      </w:r>
      <w:r>
        <w:rPr>
          <w:rFonts w:eastAsia="Times New Roman"/>
        </w:rPr>
        <w:t xml:space="preserve"> </w:t>
      </w:r>
      <w:r>
        <w:t>internacionais.</w:t>
      </w:r>
    </w:p>
  </w:footnote>
  <w:footnote w:id="128">
    <w:p w:rsidR="00EC0E77" w:rsidRDefault="00EC0E77">
      <w:pPr>
        <w:spacing w:line="100" w:lineRule="atLeast"/>
        <w:ind w:firstLine="15"/>
        <w:jc w:val="both"/>
      </w:pPr>
      <w:r>
        <w:rPr>
          <w:rStyle w:val="Caracteresdenotaderodap"/>
        </w:rPr>
        <w:footnoteRef/>
      </w:r>
      <w:r>
        <w:rPr>
          <w:color w:val="000000"/>
          <w:sz w:val="20"/>
          <w:szCs w:val="20"/>
        </w:rPr>
        <w:tab/>
        <w:t xml:space="preserve"> A Lei Maria da Penha foi </w:t>
      </w:r>
      <w:r>
        <w:rPr>
          <w:rFonts w:eastAsia="FrutigerLT-LightCn" w:cs="FrutigerLT-LightCn"/>
          <w:color w:val="000000"/>
          <w:sz w:val="20"/>
          <w:szCs w:val="20"/>
          <w:lang w:val="it-IT"/>
        </w:rPr>
        <w:t>sancionada</w:t>
      </w:r>
      <w:r>
        <w:rPr>
          <w:color w:val="000000"/>
          <w:sz w:val="20"/>
          <w:szCs w:val="20"/>
          <w:lang w:val="it-IT"/>
        </w:rPr>
        <w:t xml:space="preserve"> em 7 </w:t>
      </w:r>
      <w:r>
        <w:rPr>
          <w:rFonts w:eastAsia="FrutigerLT-LightCn" w:cs="FrutigerLT-LightCn"/>
          <w:color w:val="000000"/>
          <w:sz w:val="20"/>
          <w:szCs w:val="20"/>
        </w:rPr>
        <w:t>de</w:t>
      </w:r>
      <w:r>
        <w:rPr>
          <w:color w:val="000000"/>
          <w:sz w:val="20"/>
          <w:szCs w:val="20"/>
        </w:rPr>
        <w:t xml:space="preserve"> agosto de 2006 pelo então Presidente da República Luiz Inácio Lula da Silva </w:t>
      </w:r>
    </w:p>
  </w:footnote>
  <w:footnote w:id="129">
    <w:p w:rsidR="00EC0E77" w:rsidRDefault="00EC0E77">
      <w:pPr>
        <w:pStyle w:val="Textodenotaderodap"/>
      </w:pPr>
      <w:r>
        <w:rPr>
          <w:rStyle w:val="Caracteresdenotaderodap"/>
          <w:rFonts w:ascii="Times New Roman" w:hAnsi="Times New Roman"/>
        </w:rPr>
        <w:footnoteRef/>
      </w:r>
      <w:r>
        <w:rPr>
          <w:rFonts w:eastAsia="Times New Roman"/>
        </w:rPr>
        <w:tab/>
        <w:t xml:space="preserve"> </w:t>
      </w:r>
      <w:r>
        <w:t>Órgão</w:t>
      </w:r>
      <w:r>
        <w:rPr>
          <w:rFonts w:eastAsia="Times New Roman"/>
        </w:rPr>
        <w:t xml:space="preserve"> </w:t>
      </w:r>
      <w:r>
        <w:t>internacional</w:t>
      </w:r>
      <w:r>
        <w:rPr>
          <w:rFonts w:eastAsia="Times New Roman"/>
        </w:rPr>
        <w:t xml:space="preserve"> </w:t>
      </w:r>
      <w:r>
        <w:t>responsável</w:t>
      </w:r>
      <w:r>
        <w:rPr>
          <w:rFonts w:eastAsia="Times New Roman"/>
        </w:rPr>
        <w:t xml:space="preserve"> </w:t>
      </w:r>
      <w:r>
        <w:t>pelo</w:t>
      </w:r>
      <w:r>
        <w:rPr>
          <w:rFonts w:eastAsia="Times New Roman"/>
        </w:rPr>
        <w:t xml:space="preserve"> </w:t>
      </w:r>
      <w:r>
        <w:t>arquivamento</w:t>
      </w:r>
      <w:r>
        <w:rPr>
          <w:rFonts w:eastAsia="Times New Roman"/>
        </w:rPr>
        <w:t xml:space="preserve"> </w:t>
      </w:r>
      <w:r>
        <w:t>de</w:t>
      </w:r>
      <w:r>
        <w:rPr>
          <w:rFonts w:eastAsia="Times New Roman"/>
        </w:rPr>
        <w:t xml:space="preserve"> </w:t>
      </w:r>
      <w:r>
        <w:t>comunicações</w:t>
      </w:r>
      <w:r>
        <w:rPr>
          <w:rFonts w:eastAsia="Times New Roman"/>
        </w:rPr>
        <w:t xml:space="preserve"> </w:t>
      </w:r>
      <w:r>
        <w:t>decorrentes</w:t>
      </w:r>
      <w:r>
        <w:rPr>
          <w:rFonts w:eastAsia="Times New Roman"/>
        </w:rPr>
        <w:t xml:space="preserve"> </w:t>
      </w:r>
      <w:r>
        <w:t>de</w:t>
      </w:r>
      <w:r>
        <w:rPr>
          <w:rFonts w:eastAsia="Times New Roman"/>
        </w:rPr>
        <w:t xml:space="preserve"> </w:t>
      </w:r>
      <w:r>
        <w:t>violação</w:t>
      </w:r>
      <w:r>
        <w:rPr>
          <w:rFonts w:eastAsia="Times New Roman"/>
        </w:rPr>
        <w:t xml:space="preserve"> </w:t>
      </w:r>
      <w:r>
        <w:t>desses</w:t>
      </w:r>
      <w:r>
        <w:rPr>
          <w:rFonts w:eastAsia="Times New Roman"/>
        </w:rPr>
        <w:t xml:space="preserve"> </w:t>
      </w:r>
      <w:r>
        <w:t>acordos</w:t>
      </w:r>
      <w:r>
        <w:rPr>
          <w:rFonts w:eastAsia="Times New Roman"/>
        </w:rPr>
        <w:t xml:space="preserve"> </w:t>
      </w:r>
      <w:r>
        <w:t>internacionais.</w:t>
      </w:r>
      <w:r>
        <w:rPr>
          <w:rFonts w:eastAsia="Times New Roman"/>
        </w:rPr>
        <w:t xml:space="preserve"> </w:t>
      </w:r>
    </w:p>
  </w:footnote>
  <w:footnote w:id="130">
    <w:p w:rsidR="00EC0E77" w:rsidRDefault="00EC0E77">
      <w:pPr>
        <w:spacing w:line="100" w:lineRule="atLeast"/>
        <w:ind w:left="15"/>
      </w:pPr>
      <w:r>
        <w:rPr>
          <w:rStyle w:val="Caracteresdenotaderodap"/>
        </w:rPr>
        <w:footnoteRef/>
      </w:r>
      <w:r>
        <w:rPr>
          <w:color w:val="000000"/>
          <w:sz w:val="20"/>
          <w:szCs w:val="20"/>
          <w:shd w:val="clear" w:color="auto" w:fill="FFFFFF"/>
        </w:rPr>
        <w:tab/>
        <w:t xml:space="preserve"> Relatório N° 54/</w:t>
      </w:r>
      <w:r>
        <w:rPr>
          <w:color w:val="000000"/>
          <w:sz w:val="20"/>
          <w:szCs w:val="20"/>
          <w:shd w:val="clear" w:color="auto" w:fill="FFFFFF"/>
          <w:lang w:val="it-IT"/>
        </w:rPr>
        <w:t xml:space="preserve">01. </w:t>
      </w:r>
      <w:r>
        <w:rPr>
          <w:color w:val="000000"/>
          <w:sz w:val="20"/>
          <w:szCs w:val="20"/>
          <w:shd w:val="clear" w:color="auto" w:fill="FFFFFF"/>
        </w:rPr>
        <w:t>Caso 12.051. Maria da Penha Maia Fernandes. Brasil 4 de abril de 2001.</w:t>
      </w:r>
    </w:p>
  </w:footnote>
  <w:footnote w:id="131">
    <w:p w:rsidR="00EC0E77" w:rsidRDefault="00EC0E77">
      <w:pPr>
        <w:pStyle w:val="Textodenotaderodap"/>
        <w:ind w:firstLine="15"/>
      </w:pPr>
      <w:r>
        <w:rPr>
          <w:rStyle w:val="Caracteresdenotaderodap"/>
          <w:rFonts w:ascii="Times New Roman" w:hAnsi="Times New Roman"/>
        </w:rPr>
        <w:footnoteRef/>
      </w:r>
      <w:r>
        <w:rPr>
          <w:rFonts w:eastAsia="Times New Roman"/>
        </w:rPr>
        <w:tab/>
        <w:t xml:space="preserve"> </w:t>
      </w:r>
      <w:r>
        <w:t>A</w:t>
      </w:r>
      <w:r>
        <w:rPr>
          <w:rFonts w:eastAsia="Times New Roman"/>
          <w:color w:val="000000"/>
        </w:rPr>
        <w:t xml:space="preserve"> </w:t>
      </w:r>
      <w:r>
        <w:rPr>
          <w:color w:val="000000"/>
        </w:rPr>
        <w:t>Constituição</w:t>
      </w:r>
      <w:r>
        <w:rPr>
          <w:rFonts w:eastAsia="Times New Roman"/>
          <w:color w:val="000000"/>
        </w:rPr>
        <w:t xml:space="preserve"> </w:t>
      </w:r>
      <w:r>
        <w:rPr>
          <w:color w:val="000000"/>
        </w:rPr>
        <w:t>da</w:t>
      </w:r>
      <w:r>
        <w:rPr>
          <w:rFonts w:eastAsia="Times New Roman"/>
          <w:color w:val="000000"/>
        </w:rPr>
        <w:t xml:space="preserve"> </w:t>
      </w:r>
      <w:r>
        <w:rPr>
          <w:color w:val="000000"/>
        </w:rPr>
        <w:t>República</w:t>
      </w:r>
      <w:r>
        <w:rPr>
          <w:rFonts w:eastAsia="Times New Roman"/>
          <w:color w:val="000000"/>
        </w:rPr>
        <w:t xml:space="preserve"> </w:t>
      </w:r>
      <w:r>
        <w:rPr>
          <w:color w:val="000000"/>
        </w:rPr>
        <w:t>Federativa</w:t>
      </w:r>
      <w:r>
        <w:rPr>
          <w:rFonts w:eastAsia="Times New Roman"/>
          <w:color w:val="000000"/>
        </w:rPr>
        <w:t xml:space="preserve"> </w:t>
      </w:r>
      <w:r>
        <w:rPr>
          <w:color w:val="000000"/>
        </w:rPr>
        <w:t>do</w:t>
      </w:r>
      <w:r>
        <w:rPr>
          <w:rFonts w:eastAsia="Times New Roman"/>
          <w:color w:val="000000"/>
        </w:rPr>
        <w:t xml:space="preserve"> </w:t>
      </w:r>
      <w:r>
        <w:rPr>
          <w:color w:val="000000"/>
        </w:rPr>
        <w:t>Brasil</w:t>
      </w:r>
      <w:r>
        <w:rPr>
          <w:rFonts w:eastAsia="Times New Roman"/>
          <w:color w:val="000000"/>
        </w:rPr>
        <w:t xml:space="preserve"> </w:t>
      </w:r>
      <w:r>
        <w:rPr>
          <w:color w:val="000000"/>
        </w:rPr>
        <w:t>(05/10/1988),</w:t>
      </w:r>
      <w:r>
        <w:rPr>
          <w:rFonts w:eastAsia="Times New Roman"/>
          <w:color w:val="000000"/>
        </w:rPr>
        <w:t xml:space="preserve"> </w:t>
      </w:r>
      <w:r>
        <w:rPr>
          <w:color w:val="000000"/>
        </w:rPr>
        <w:t>no</w:t>
      </w:r>
      <w:r>
        <w:rPr>
          <w:rFonts w:eastAsia="Times New Roman"/>
          <w:color w:val="000000"/>
        </w:rPr>
        <w:t xml:space="preserve"> </w:t>
      </w:r>
      <w:r>
        <w:rPr>
          <w:color w:val="000000"/>
        </w:rPr>
        <w:t>capítulo</w:t>
      </w:r>
      <w:r>
        <w:rPr>
          <w:rFonts w:eastAsia="Times New Roman"/>
          <w:color w:val="000000"/>
        </w:rPr>
        <w:t xml:space="preserve"> </w:t>
      </w:r>
      <w:r>
        <w:rPr>
          <w:color w:val="000000"/>
        </w:rPr>
        <w:t>VII</w:t>
      </w:r>
      <w:r>
        <w:rPr>
          <w:rFonts w:eastAsia="Times New Roman"/>
          <w:color w:val="000000"/>
        </w:rPr>
        <w:t xml:space="preserve"> </w:t>
      </w:r>
      <w:r>
        <w:rPr>
          <w:color w:val="000000"/>
        </w:rPr>
        <w:t>-</w:t>
      </w:r>
      <w:r>
        <w:rPr>
          <w:rFonts w:eastAsia="Times New Roman"/>
          <w:color w:val="000000"/>
        </w:rPr>
        <w:t xml:space="preserve"> </w:t>
      </w:r>
      <w:r>
        <w:rPr>
          <w:color w:val="000000"/>
        </w:rPr>
        <w:t>DA</w:t>
      </w:r>
      <w:r>
        <w:rPr>
          <w:rFonts w:eastAsia="Times New Roman"/>
          <w:color w:val="000000"/>
        </w:rPr>
        <w:t xml:space="preserve"> </w:t>
      </w:r>
      <w:r>
        <w:rPr>
          <w:color w:val="000000"/>
        </w:rPr>
        <w:t>FAMÍLIA,</w:t>
      </w:r>
      <w:r>
        <w:rPr>
          <w:rFonts w:eastAsia="Times New Roman"/>
          <w:color w:val="000000"/>
        </w:rPr>
        <w:t xml:space="preserve"> </w:t>
      </w:r>
      <w:r>
        <w:rPr>
          <w:color w:val="000000"/>
        </w:rPr>
        <w:t>DA</w:t>
      </w:r>
      <w:r>
        <w:rPr>
          <w:rFonts w:eastAsia="Times New Roman"/>
          <w:color w:val="000000"/>
        </w:rPr>
        <w:t xml:space="preserve"> </w:t>
      </w:r>
      <w:r>
        <w:rPr>
          <w:color w:val="000000"/>
        </w:rPr>
        <w:t>CRIANÇA,</w:t>
      </w:r>
      <w:r>
        <w:rPr>
          <w:rFonts w:eastAsia="Times New Roman"/>
          <w:color w:val="000000"/>
        </w:rPr>
        <w:t xml:space="preserve"> </w:t>
      </w:r>
      <w:r>
        <w:rPr>
          <w:color w:val="000000"/>
        </w:rPr>
        <w:t>DO</w:t>
      </w:r>
      <w:r>
        <w:rPr>
          <w:rFonts w:eastAsia="Times New Roman"/>
          <w:color w:val="000000"/>
        </w:rPr>
        <w:t xml:space="preserve"> </w:t>
      </w:r>
      <w:r>
        <w:rPr>
          <w:color w:val="000000"/>
        </w:rPr>
        <w:t>ADOLESCENTE</w:t>
      </w:r>
      <w:r>
        <w:rPr>
          <w:rFonts w:eastAsia="Times New Roman"/>
          <w:color w:val="000000"/>
        </w:rPr>
        <w:t xml:space="preserve"> </w:t>
      </w:r>
      <w:r>
        <w:rPr>
          <w:color w:val="000000"/>
        </w:rPr>
        <w:t>E</w:t>
      </w:r>
      <w:r>
        <w:rPr>
          <w:rFonts w:eastAsia="Times New Roman"/>
          <w:color w:val="000000"/>
        </w:rPr>
        <w:t xml:space="preserve"> </w:t>
      </w:r>
      <w:r>
        <w:rPr>
          <w:color w:val="000000"/>
        </w:rPr>
        <w:t>DO</w:t>
      </w:r>
      <w:r>
        <w:rPr>
          <w:rFonts w:eastAsia="Times New Roman"/>
          <w:color w:val="000000"/>
        </w:rPr>
        <w:t xml:space="preserve"> </w:t>
      </w:r>
      <w:r>
        <w:rPr>
          <w:color w:val="000000"/>
        </w:rPr>
        <w:t>IDOSO</w:t>
      </w:r>
      <w:r>
        <w:rPr>
          <w:rFonts w:eastAsia="Times New Roman"/>
          <w:color w:val="000000"/>
        </w:rPr>
        <w:t xml:space="preserve"> – </w:t>
      </w:r>
      <w:r>
        <w:rPr>
          <w:color w:val="000000"/>
        </w:rPr>
        <w:t>em</w:t>
      </w:r>
      <w:r>
        <w:rPr>
          <w:rFonts w:eastAsia="Times New Roman"/>
          <w:color w:val="000000"/>
        </w:rPr>
        <w:t xml:space="preserve"> </w:t>
      </w:r>
      <w:r>
        <w:rPr>
          <w:color w:val="000000"/>
        </w:rPr>
        <w:t>seu</w:t>
      </w:r>
      <w:r>
        <w:rPr>
          <w:rFonts w:eastAsia="Times New Roman"/>
          <w:color w:val="000000"/>
        </w:rPr>
        <w:t xml:space="preserve"> </w:t>
      </w:r>
      <w:r>
        <w:rPr>
          <w:color w:val="000000"/>
        </w:rPr>
        <w:t>artigo</w:t>
      </w:r>
      <w:r>
        <w:rPr>
          <w:rFonts w:eastAsia="Times New Roman"/>
          <w:color w:val="000000"/>
        </w:rPr>
        <w:t xml:space="preserve"> </w:t>
      </w:r>
      <w:r>
        <w:rPr>
          <w:color w:val="000000"/>
        </w:rPr>
        <w:t>226,</w:t>
      </w:r>
      <w:r>
        <w:rPr>
          <w:rFonts w:eastAsia="Times New Roman"/>
          <w:color w:val="000000"/>
        </w:rPr>
        <w:t xml:space="preserve"> </w:t>
      </w:r>
      <w:r>
        <w:rPr>
          <w:color w:val="000000"/>
        </w:rPr>
        <w:t>parágrafo</w:t>
      </w:r>
      <w:r>
        <w:rPr>
          <w:rFonts w:eastAsia="Times New Roman"/>
          <w:color w:val="000000"/>
        </w:rPr>
        <w:t xml:space="preserve"> </w:t>
      </w:r>
      <w:r>
        <w:rPr>
          <w:color w:val="000000"/>
        </w:rPr>
        <w:t>8º</w:t>
      </w:r>
    </w:p>
  </w:footnote>
  <w:footnote w:id="132">
    <w:p w:rsidR="00EC0E77" w:rsidRDefault="00EC0E77">
      <w:pPr>
        <w:pStyle w:val="Textodenotaderodap"/>
      </w:pPr>
      <w:r>
        <w:rPr>
          <w:rStyle w:val="Caracteresdenotaderodap"/>
          <w:rFonts w:ascii="Times New Roman" w:hAnsi="Times New Roman"/>
        </w:rPr>
        <w:footnoteRef/>
      </w:r>
      <w:r>
        <w:rPr>
          <w:rFonts w:eastAsia="Times New Roman"/>
        </w:rPr>
        <w:tab/>
        <w:t xml:space="preserve"> </w:t>
      </w:r>
      <w:r>
        <w:t>Lei</w:t>
      </w:r>
      <w:r>
        <w:rPr>
          <w:rFonts w:eastAsia="Times New Roman"/>
        </w:rPr>
        <w:t xml:space="preserve"> </w:t>
      </w:r>
      <w:r>
        <w:t>11.340/06</w:t>
      </w:r>
      <w:r>
        <w:rPr>
          <w:rFonts w:eastAsia="Times New Roman"/>
        </w:rPr>
        <w:t xml:space="preserve"> </w:t>
      </w:r>
      <w:r>
        <w:t>Art.45</w:t>
      </w:r>
      <w:r>
        <w:rPr>
          <w:rFonts w:eastAsia="Times New Roman"/>
        </w:rPr>
        <w:t xml:space="preserve"> </w:t>
      </w:r>
      <w:r>
        <w:t>Parágrafo</w:t>
      </w:r>
      <w:r>
        <w:rPr>
          <w:rFonts w:eastAsia="Times New Roman"/>
        </w:rPr>
        <w:t xml:space="preserve"> </w:t>
      </w:r>
      <w:r>
        <w:t>ùnico.</w:t>
      </w:r>
      <w:r>
        <w:rPr>
          <w:rFonts w:eastAsia="Times New Roman"/>
        </w:rPr>
        <w:t xml:space="preserve"> </w:t>
      </w:r>
      <w:r>
        <w:t>Nos</w:t>
      </w:r>
      <w:r>
        <w:rPr>
          <w:rFonts w:eastAsia="Times New Roman"/>
        </w:rPr>
        <w:t xml:space="preserve"> </w:t>
      </w:r>
      <w:r>
        <w:t>casos</w:t>
      </w:r>
      <w:r>
        <w:rPr>
          <w:rFonts w:eastAsia="Times New Roman"/>
        </w:rPr>
        <w:t xml:space="preserve"> </w:t>
      </w:r>
      <w:r>
        <w:t>de</w:t>
      </w:r>
      <w:r>
        <w:rPr>
          <w:rFonts w:eastAsia="Times New Roman"/>
        </w:rPr>
        <w:t xml:space="preserve"> </w:t>
      </w:r>
      <w:r>
        <w:t>violência</w:t>
      </w:r>
      <w:r>
        <w:rPr>
          <w:rFonts w:eastAsia="Times New Roman"/>
        </w:rPr>
        <w:t xml:space="preserve"> </w:t>
      </w:r>
      <w:r>
        <w:t>doméstica</w:t>
      </w:r>
      <w:r>
        <w:rPr>
          <w:rFonts w:eastAsia="Times New Roman"/>
        </w:rPr>
        <w:t xml:space="preserve"> </w:t>
      </w:r>
      <w:r>
        <w:t>contra</w:t>
      </w:r>
      <w:r>
        <w:rPr>
          <w:rFonts w:eastAsia="Times New Roman"/>
        </w:rPr>
        <w:t xml:space="preserve"> </w:t>
      </w:r>
      <w:r>
        <w:t>a</w:t>
      </w:r>
      <w:r>
        <w:rPr>
          <w:rFonts w:eastAsia="Times New Roman"/>
        </w:rPr>
        <w:t xml:space="preserve"> </w:t>
      </w:r>
      <w:r>
        <w:t>mulher,</w:t>
      </w:r>
      <w:r>
        <w:rPr>
          <w:rFonts w:eastAsia="Times New Roman"/>
        </w:rPr>
        <w:t xml:space="preserve"> </w:t>
      </w:r>
      <w:r>
        <w:t>o</w:t>
      </w:r>
      <w:r>
        <w:rPr>
          <w:rFonts w:eastAsia="Times New Roman"/>
        </w:rPr>
        <w:t xml:space="preserve"> </w:t>
      </w:r>
      <w:r>
        <w:t>juiz</w:t>
      </w:r>
      <w:r>
        <w:rPr>
          <w:rFonts w:eastAsia="Times New Roman"/>
        </w:rPr>
        <w:t xml:space="preserve"> </w:t>
      </w:r>
      <w:r>
        <w:t>poderá</w:t>
      </w:r>
      <w:r>
        <w:rPr>
          <w:rFonts w:eastAsia="Times New Roman"/>
        </w:rPr>
        <w:t xml:space="preserve"> </w:t>
      </w:r>
      <w:r>
        <w:t>determinar</w:t>
      </w:r>
      <w:r>
        <w:rPr>
          <w:rFonts w:eastAsia="Times New Roman"/>
        </w:rPr>
        <w:t xml:space="preserve"> </w:t>
      </w:r>
      <w:r>
        <w:t>o</w:t>
      </w:r>
      <w:r>
        <w:rPr>
          <w:rFonts w:eastAsia="Times New Roman"/>
        </w:rPr>
        <w:t xml:space="preserve"> </w:t>
      </w:r>
      <w:r>
        <w:t>comparecimento</w:t>
      </w:r>
      <w:r>
        <w:rPr>
          <w:rFonts w:eastAsia="Times New Roman"/>
        </w:rPr>
        <w:t xml:space="preserve"> </w:t>
      </w:r>
      <w:r>
        <w:t>obrigatório</w:t>
      </w:r>
      <w:r>
        <w:rPr>
          <w:rFonts w:eastAsia="Times New Roman"/>
        </w:rPr>
        <w:t xml:space="preserve"> </w:t>
      </w:r>
      <w:r>
        <w:t>do</w:t>
      </w:r>
      <w:r>
        <w:rPr>
          <w:rFonts w:eastAsia="Times New Roman"/>
        </w:rPr>
        <w:t xml:space="preserve"> </w:t>
      </w:r>
      <w:r>
        <w:t>agressor</w:t>
      </w:r>
      <w:r>
        <w:rPr>
          <w:rFonts w:eastAsia="Times New Roman"/>
        </w:rPr>
        <w:t xml:space="preserve"> </w:t>
      </w:r>
      <w:r>
        <w:t>a</w:t>
      </w:r>
      <w:r>
        <w:rPr>
          <w:rFonts w:eastAsia="Times New Roman"/>
        </w:rPr>
        <w:t xml:space="preserve"> </w:t>
      </w:r>
      <w:r>
        <w:t>programas</w:t>
      </w:r>
      <w:r>
        <w:rPr>
          <w:rFonts w:eastAsia="Times New Roman"/>
        </w:rPr>
        <w:t xml:space="preserve"> </w:t>
      </w:r>
      <w:r>
        <w:t>de</w:t>
      </w:r>
      <w:r>
        <w:rPr>
          <w:rFonts w:eastAsia="Times New Roman"/>
        </w:rPr>
        <w:t xml:space="preserve"> </w:t>
      </w:r>
      <w:r>
        <w:t>recuperação</w:t>
      </w:r>
      <w:r>
        <w:rPr>
          <w:rFonts w:eastAsia="Times New Roman"/>
        </w:rPr>
        <w:t xml:space="preserve"> </w:t>
      </w:r>
      <w:r>
        <w:t>e</w:t>
      </w:r>
      <w:r>
        <w:rPr>
          <w:rFonts w:eastAsia="Times New Roman"/>
        </w:rPr>
        <w:t xml:space="preserve"> </w:t>
      </w:r>
      <w:r>
        <w:t>reeducação.</w:t>
      </w:r>
    </w:p>
  </w:footnote>
  <w:footnote w:id="133">
    <w:p w:rsidR="00EC0E77" w:rsidRDefault="00EC0E77">
      <w:pPr>
        <w:pStyle w:val="Textodenotaderodap"/>
      </w:pPr>
      <w:r>
        <w:rPr>
          <w:rStyle w:val="Caracteresdenotaderodap"/>
          <w:rFonts w:ascii="Times New Roman" w:hAnsi="Times New Roman"/>
        </w:rPr>
        <w:footnoteRef/>
      </w:r>
      <w:r>
        <w:rPr>
          <w:rFonts w:eastAsia="Times New Roman"/>
        </w:rPr>
        <w:tab/>
        <w:t xml:space="preserve"> </w:t>
      </w:r>
      <w:r>
        <w:t>No</w:t>
      </w:r>
      <w:r>
        <w:rPr>
          <w:rFonts w:eastAsia="Times New Roman"/>
        </w:rPr>
        <w:t xml:space="preserve"> </w:t>
      </w:r>
      <w:r>
        <w:t>estado</w:t>
      </w:r>
      <w:r>
        <w:rPr>
          <w:rFonts w:eastAsia="Times New Roman"/>
        </w:rPr>
        <w:t xml:space="preserve"> </w:t>
      </w:r>
      <w:r>
        <w:t>de</w:t>
      </w:r>
      <w:r>
        <w:rPr>
          <w:rFonts w:eastAsia="Times New Roman"/>
        </w:rPr>
        <w:t xml:space="preserve"> </w:t>
      </w:r>
      <w:r>
        <w:t>Goiás,</w:t>
      </w:r>
      <w:r>
        <w:rPr>
          <w:rFonts w:eastAsia="Times New Roman"/>
        </w:rPr>
        <w:t xml:space="preserve"> </w:t>
      </w:r>
      <w:r>
        <w:t>a</w:t>
      </w:r>
      <w:r>
        <w:rPr>
          <w:rFonts w:eastAsia="Times New Roman"/>
        </w:rPr>
        <w:t xml:space="preserve"> </w:t>
      </w:r>
      <w:r>
        <w:t>DEAM</w:t>
      </w:r>
      <w:r>
        <w:rPr>
          <w:rFonts w:eastAsia="Times New Roman"/>
        </w:rPr>
        <w:t xml:space="preserve"> </w:t>
      </w:r>
      <w:r>
        <w:t>está</w:t>
      </w:r>
      <w:r>
        <w:rPr>
          <w:rFonts w:eastAsia="Times New Roman"/>
        </w:rPr>
        <w:t xml:space="preserve"> </w:t>
      </w:r>
      <w:r>
        <w:t>presente</w:t>
      </w:r>
      <w:r>
        <w:rPr>
          <w:rFonts w:eastAsia="Times New Roman"/>
        </w:rPr>
        <w:t xml:space="preserve"> </w:t>
      </w:r>
      <w:r>
        <w:t>nas</w:t>
      </w:r>
      <w:r>
        <w:rPr>
          <w:rFonts w:eastAsia="Times New Roman"/>
        </w:rPr>
        <w:t xml:space="preserve"> </w:t>
      </w:r>
      <w:r>
        <w:t>seguintes</w:t>
      </w:r>
      <w:r>
        <w:rPr>
          <w:rFonts w:eastAsia="Times New Roman"/>
        </w:rPr>
        <w:t xml:space="preserve"> </w:t>
      </w:r>
      <w:r>
        <w:t>cidades:</w:t>
      </w:r>
      <w:r>
        <w:rPr>
          <w:rFonts w:eastAsia="Times New Roman"/>
        </w:rPr>
        <w:t xml:space="preserve"> </w:t>
      </w:r>
      <w:r>
        <w:t>Goiânia,</w:t>
      </w:r>
      <w:r>
        <w:rPr>
          <w:rFonts w:eastAsia="Times New Roman"/>
        </w:rPr>
        <w:t xml:space="preserve"> </w:t>
      </w:r>
      <w:r>
        <w:t>Anápolis,</w:t>
      </w:r>
      <w:r>
        <w:rPr>
          <w:rFonts w:eastAsia="Times New Roman"/>
        </w:rPr>
        <w:t xml:space="preserve"> </w:t>
      </w:r>
      <w:r>
        <w:t>Aparecida</w:t>
      </w:r>
      <w:r>
        <w:rPr>
          <w:rFonts w:eastAsia="Times New Roman"/>
        </w:rPr>
        <w:t xml:space="preserve"> </w:t>
      </w:r>
      <w:r>
        <w:t>de</w:t>
      </w:r>
      <w:r>
        <w:rPr>
          <w:rFonts w:eastAsia="Times New Roman"/>
        </w:rPr>
        <w:t xml:space="preserve"> </w:t>
      </w:r>
      <w:r>
        <w:t>Goiânia,</w:t>
      </w:r>
      <w:r>
        <w:rPr>
          <w:rFonts w:eastAsia="Times New Roman"/>
        </w:rPr>
        <w:t xml:space="preserve"> </w:t>
      </w:r>
      <w:r>
        <w:t>Catalão,</w:t>
      </w:r>
      <w:r>
        <w:rPr>
          <w:rFonts w:eastAsia="Times New Roman"/>
        </w:rPr>
        <w:t xml:space="preserve"> </w:t>
      </w:r>
      <w:r>
        <w:t>Jataí,</w:t>
      </w:r>
      <w:r>
        <w:rPr>
          <w:rFonts w:eastAsia="Times New Roman"/>
        </w:rPr>
        <w:t xml:space="preserve"> </w:t>
      </w:r>
      <w:r>
        <w:t>Rio</w:t>
      </w:r>
      <w:r>
        <w:rPr>
          <w:rFonts w:eastAsia="Times New Roman"/>
        </w:rPr>
        <w:t xml:space="preserve"> </w:t>
      </w:r>
      <w:r>
        <w:t>Verde,</w:t>
      </w:r>
      <w:r>
        <w:rPr>
          <w:rFonts w:eastAsia="Times New Roman"/>
        </w:rPr>
        <w:t xml:space="preserve"> </w:t>
      </w:r>
      <w:r>
        <w:t>Luziânia</w:t>
      </w:r>
      <w:r>
        <w:rPr>
          <w:rFonts w:eastAsia="Times New Roman"/>
        </w:rPr>
        <w:t xml:space="preserve"> </w:t>
      </w:r>
      <w:r>
        <w:t>e</w:t>
      </w:r>
      <w:r>
        <w:rPr>
          <w:rFonts w:eastAsia="Times New Roman"/>
        </w:rPr>
        <w:t xml:space="preserve"> </w:t>
      </w:r>
      <w:r>
        <w:t>Itumbiara.</w:t>
      </w:r>
    </w:p>
  </w:footnote>
  <w:footnote w:id="134">
    <w:p w:rsidR="00EC0E77" w:rsidRDefault="00EC0E77">
      <w:pPr>
        <w:pStyle w:val="Textodenotaderodap"/>
      </w:pPr>
      <w:r>
        <w:rPr>
          <w:rStyle w:val="Caracteresdenotaderodap"/>
          <w:rFonts w:ascii="Times New Roman" w:hAnsi="Times New Roman"/>
        </w:rPr>
        <w:footnoteRef/>
      </w:r>
      <w:r>
        <w:rPr>
          <w:rFonts w:eastAsia="Times New Roman"/>
        </w:rPr>
        <w:tab/>
        <w:t xml:space="preserve"> </w:t>
      </w:r>
      <w:r>
        <w:t>No</w:t>
      </w:r>
      <w:r>
        <w:rPr>
          <w:rFonts w:eastAsia="Times New Roman"/>
        </w:rPr>
        <w:t xml:space="preserve"> </w:t>
      </w:r>
      <w:r>
        <w:t>dia</w:t>
      </w:r>
      <w:r>
        <w:rPr>
          <w:rFonts w:eastAsia="Times New Roman"/>
        </w:rPr>
        <w:t xml:space="preserve"> </w:t>
      </w:r>
      <w:r>
        <w:t>09-02-2012,</w:t>
      </w:r>
      <w:r>
        <w:rPr>
          <w:rFonts w:eastAsia="Times New Roman"/>
        </w:rPr>
        <w:t xml:space="preserve"> </w:t>
      </w:r>
      <w:r>
        <w:t>o</w:t>
      </w:r>
      <w:r>
        <w:rPr>
          <w:color w:val="333333"/>
        </w:rPr>
        <w:t xml:space="preserve"> </w:t>
      </w:r>
      <w:r>
        <w:rPr>
          <w:color w:val="000000"/>
        </w:rPr>
        <w:t>Supremo</w:t>
      </w:r>
      <w:r>
        <w:rPr>
          <w:rFonts w:eastAsia="Times New Roman"/>
          <w:color w:val="000000"/>
        </w:rPr>
        <w:t xml:space="preserve"> </w:t>
      </w:r>
      <w:r>
        <w:rPr>
          <w:color w:val="000000"/>
        </w:rPr>
        <w:t>Tribunal</w:t>
      </w:r>
      <w:r>
        <w:rPr>
          <w:rFonts w:eastAsia="Times New Roman"/>
          <w:color w:val="000000"/>
        </w:rPr>
        <w:t xml:space="preserve"> </w:t>
      </w:r>
      <w:r>
        <w:rPr>
          <w:color w:val="000000"/>
        </w:rPr>
        <w:t>Federal</w:t>
      </w:r>
      <w:r>
        <w:rPr>
          <w:rFonts w:eastAsia="Times New Roman"/>
          <w:color w:val="000000"/>
        </w:rPr>
        <w:t xml:space="preserve"> </w:t>
      </w:r>
      <w:r>
        <w:rPr>
          <w:color w:val="000000"/>
        </w:rPr>
        <w:t>(STF)</w:t>
      </w:r>
      <w:r>
        <w:rPr>
          <w:rFonts w:eastAsia="Times New Roman"/>
          <w:color w:val="000000"/>
        </w:rPr>
        <w:t xml:space="preserve"> </w:t>
      </w:r>
      <w:r>
        <w:rPr>
          <w:color w:val="000000"/>
        </w:rPr>
        <w:t>decidiu</w:t>
      </w:r>
      <w:r>
        <w:rPr>
          <w:rFonts w:eastAsia="Times New Roman"/>
          <w:color w:val="000000"/>
        </w:rPr>
        <w:t xml:space="preserve"> </w:t>
      </w:r>
      <w:r>
        <w:rPr>
          <w:color w:val="000000"/>
        </w:rPr>
        <w:t>por</w:t>
      </w:r>
      <w:r>
        <w:rPr>
          <w:rFonts w:eastAsia="Times New Roman"/>
          <w:color w:val="000000"/>
        </w:rPr>
        <w:t xml:space="preserve"> </w:t>
      </w:r>
      <w:r>
        <w:rPr>
          <w:color w:val="000000"/>
        </w:rPr>
        <w:t>10</w:t>
      </w:r>
      <w:r>
        <w:rPr>
          <w:rFonts w:eastAsia="Times New Roman"/>
          <w:color w:val="000000"/>
        </w:rPr>
        <w:t xml:space="preserve"> </w:t>
      </w:r>
      <w:r>
        <w:rPr>
          <w:color w:val="000000"/>
        </w:rPr>
        <w:t>votos</w:t>
      </w:r>
      <w:r>
        <w:rPr>
          <w:rFonts w:eastAsia="Times New Roman"/>
          <w:color w:val="000000"/>
        </w:rPr>
        <w:t xml:space="preserve"> </w:t>
      </w:r>
      <w:r>
        <w:rPr>
          <w:color w:val="000000"/>
        </w:rPr>
        <w:t>a</w:t>
      </w:r>
      <w:r>
        <w:rPr>
          <w:rFonts w:eastAsia="Times New Roman"/>
          <w:color w:val="000000"/>
        </w:rPr>
        <w:t xml:space="preserve"> </w:t>
      </w:r>
      <w:r>
        <w:rPr>
          <w:color w:val="000000"/>
        </w:rPr>
        <w:t>1</w:t>
      </w:r>
      <w:r>
        <w:rPr>
          <w:rFonts w:eastAsia="Times New Roman"/>
          <w:color w:val="000000"/>
        </w:rPr>
        <w:t xml:space="preserve"> </w:t>
      </w:r>
      <w:r>
        <w:rPr>
          <w:color w:val="000000"/>
        </w:rPr>
        <w:t>que</w:t>
      </w:r>
      <w:r>
        <w:rPr>
          <w:rFonts w:eastAsia="Times New Roman"/>
          <w:color w:val="000000"/>
        </w:rPr>
        <w:t xml:space="preserve"> </w:t>
      </w:r>
      <w:r>
        <w:rPr>
          <w:color w:val="000000"/>
        </w:rPr>
        <w:t>o</w:t>
      </w:r>
      <w:r>
        <w:rPr>
          <w:rFonts w:eastAsia="Times New Roman"/>
          <w:color w:val="000000"/>
        </w:rPr>
        <w:t xml:space="preserve"> </w:t>
      </w:r>
      <w:r>
        <w:rPr>
          <w:color w:val="000000"/>
        </w:rPr>
        <w:t>Estado</w:t>
      </w:r>
      <w:r>
        <w:rPr>
          <w:rFonts w:eastAsia="Times New Roman"/>
          <w:color w:val="000000"/>
        </w:rPr>
        <w:t xml:space="preserve"> </w:t>
      </w:r>
      <w:r>
        <w:rPr>
          <w:color w:val="000000"/>
        </w:rPr>
        <w:t>deve</w:t>
      </w:r>
      <w:r>
        <w:rPr>
          <w:rFonts w:eastAsia="Times New Roman"/>
          <w:color w:val="000000"/>
        </w:rPr>
        <w:t xml:space="preserve"> </w:t>
      </w:r>
      <w:r>
        <w:rPr>
          <w:color w:val="000000"/>
        </w:rPr>
        <w:t>atuar</w:t>
      </w:r>
      <w:r>
        <w:rPr>
          <w:rFonts w:eastAsia="Times New Roman"/>
          <w:color w:val="000000"/>
        </w:rPr>
        <w:t xml:space="preserve"> </w:t>
      </w:r>
      <w:r>
        <w:rPr>
          <w:color w:val="000000"/>
        </w:rPr>
        <w:t>ainda</w:t>
      </w:r>
      <w:r>
        <w:rPr>
          <w:rFonts w:eastAsia="Times New Roman"/>
          <w:color w:val="000000"/>
        </w:rPr>
        <w:t xml:space="preserve"> </w:t>
      </w:r>
      <w:r>
        <w:rPr>
          <w:color w:val="000000"/>
        </w:rPr>
        <w:t>que</w:t>
      </w:r>
      <w:r>
        <w:rPr>
          <w:rFonts w:eastAsia="Times New Roman"/>
          <w:color w:val="000000"/>
        </w:rPr>
        <w:t xml:space="preserve"> </w:t>
      </w:r>
      <w:r>
        <w:rPr>
          <w:color w:val="000000"/>
        </w:rPr>
        <w:t>a</w:t>
      </w:r>
      <w:r>
        <w:rPr>
          <w:rFonts w:eastAsia="Times New Roman"/>
          <w:color w:val="000000"/>
        </w:rPr>
        <w:t xml:space="preserve"> </w:t>
      </w:r>
      <w:r>
        <w:rPr>
          <w:color w:val="000000"/>
        </w:rPr>
        <w:t>mulher</w:t>
      </w:r>
      <w:r>
        <w:rPr>
          <w:rFonts w:eastAsia="Times New Roman"/>
          <w:color w:val="000000"/>
        </w:rPr>
        <w:t xml:space="preserve"> </w:t>
      </w:r>
      <w:r>
        <w:rPr>
          <w:color w:val="000000"/>
        </w:rPr>
        <w:t>não</w:t>
      </w:r>
      <w:r>
        <w:rPr>
          <w:rFonts w:eastAsia="Times New Roman"/>
          <w:color w:val="000000"/>
        </w:rPr>
        <w:t xml:space="preserve"> </w:t>
      </w:r>
      <w:r>
        <w:rPr>
          <w:color w:val="000000"/>
        </w:rPr>
        <w:t>denuncie</w:t>
      </w:r>
      <w:r>
        <w:rPr>
          <w:rFonts w:eastAsia="Times New Roman"/>
          <w:color w:val="000000"/>
        </w:rPr>
        <w:t xml:space="preserve"> </w:t>
      </w:r>
      <w:r>
        <w:rPr>
          <w:color w:val="000000"/>
        </w:rPr>
        <w:t>formalmente</w:t>
      </w:r>
      <w:r>
        <w:rPr>
          <w:rFonts w:eastAsia="Times New Roman"/>
          <w:color w:val="000000"/>
        </w:rPr>
        <w:t xml:space="preserve"> </w:t>
      </w:r>
      <w:r>
        <w:rPr>
          <w:color w:val="000000"/>
        </w:rPr>
        <w:t>seu</w:t>
      </w:r>
      <w:r>
        <w:rPr>
          <w:rFonts w:eastAsia="Times New Roman"/>
          <w:color w:val="000000"/>
        </w:rPr>
        <w:t xml:space="preserve"> </w:t>
      </w:r>
      <w:r>
        <w:rPr>
          <w:color w:val="000000"/>
        </w:rPr>
        <w:t>agressor</w:t>
      </w:r>
      <w:r>
        <w:rPr>
          <w:rFonts w:eastAsia="Times New Roman"/>
          <w:color w:val="000000"/>
        </w:rPr>
        <w:t xml:space="preserve"> </w:t>
      </w:r>
      <w:r>
        <w:rPr>
          <w:color w:val="000000"/>
        </w:rPr>
        <w:t>ou</w:t>
      </w:r>
      <w:r>
        <w:rPr>
          <w:rFonts w:eastAsia="Times New Roman"/>
          <w:color w:val="000000"/>
        </w:rPr>
        <w:t xml:space="preserve"> </w:t>
      </w:r>
      <w:r>
        <w:rPr>
          <w:color w:val="000000"/>
        </w:rPr>
        <w:t>que</w:t>
      </w:r>
      <w:r>
        <w:rPr>
          <w:rFonts w:eastAsia="Times New Roman"/>
          <w:color w:val="000000"/>
        </w:rPr>
        <w:t xml:space="preserve"> </w:t>
      </w:r>
      <w:r>
        <w:rPr>
          <w:color w:val="000000"/>
        </w:rPr>
        <w:t>retire</w:t>
      </w:r>
      <w:r>
        <w:rPr>
          <w:rFonts w:eastAsia="Times New Roman"/>
          <w:color w:val="000000"/>
        </w:rPr>
        <w:t xml:space="preserve"> </w:t>
      </w:r>
      <w:r>
        <w:rPr>
          <w:color w:val="000000"/>
        </w:rPr>
        <w:t>a</w:t>
      </w:r>
      <w:r>
        <w:rPr>
          <w:rFonts w:eastAsia="Times New Roman"/>
          <w:color w:val="000000"/>
        </w:rPr>
        <w:t xml:space="preserve"> </w:t>
      </w:r>
      <w:r>
        <w:rPr>
          <w:color w:val="000000"/>
        </w:rPr>
        <w:t>queixa</w:t>
      </w:r>
      <w:r>
        <w:rPr>
          <w:rFonts w:eastAsia="Times New Roman"/>
          <w:color w:val="000000"/>
        </w:rPr>
        <w:t xml:space="preserve"> </w:t>
      </w:r>
      <w:r>
        <w:rPr>
          <w:color w:val="000000"/>
        </w:rPr>
        <w:t>(ação</w:t>
      </w:r>
      <w:r>
        <w:rPr>
          <w:rFonts w:eastAsia="Times New Roman"/>
          <w:color w:val="000000"/>
        </w:rPr>
        <w:t xml:space="preserve"> </w:t>
      </w:r>
      <w:r>
        <w:rPr>
          <w:color w:val="000000"/>
        </w:rPr>
        <w:t>pública</w:t>
      </w:r>
      <w:r>
        <w:rPr>
          <w:rFonts w:eastAsia="Times New Roman"/>
          <w:color w:val="000000"/>
        </w:rPr>
        <w:t xml:space="preserve"> </w:t>
      </w:r>
      <w:r>
        <w:rPr>
          <w:color w:val="000000"/>
        </w:rPr>
        <w:t>incondicionada).</w:t>
      </w:r>
    </w:p>
  </w:footnote>
  <w:footnote w:id="135">
    <w:p w:rsidR="00EC0E77" w:rsidRDefault="00EC0E77">
      <w:pPr>
        <w:pStyle w:val="Textodenotaderodap"/>
        <w:ind w:left="15" w:hanging="15"/>
      </w:pPr>
      <w:r>
        <w:rPr>
          <w:rStyle w:val="Caracteresdenotaderodap"/>
          <w:rFonts w:ascii="Times New Roman" w:hAnsi="Times New Roman"/>
        </w:rPr>
        <w:footnoteRef/>
      </w:r>
      <w:r>
        <w:rPr>
          <w:rFonts w:eastAsia="Times New Roman"/>
          <w:shd w:val="clear" w:color="auto" w:fill="FFFFFF"/>
        </w:rPr>
        <w:tab/>
        <w:t xml:space="preserve"> </w:t>
      </w:r>
      <w:r>
        <w:rPr>
          <w:shd w:val="clear" w:color="auto" w:fill="FFFFFF"/>
        </w:rPr>
        <w:t>Constituição</w:t>
      </w:r>
      <w:r>
        <w:rPr>
          <w:rFonts w:eastAsia="Times New Roman"/>
          <w:shd w:val="clear" w:color="auto" w:fill="FFFFFF"/>
        </w:rPr>
        <w:t xml:space="preserve"> </w:t>
      </w:r>
      <w:r>
        <w:rPr>
          <w:shd w:val="clear" w:color="auto" w:fill="FFFFFF"/>
        </w:rPr>
        <w:t>da</w:t>
      </w:r>
      <w:r>
        <w:rPr>
          <w:rFonts w:eastAsia="Times New Roman"/>
          <w:shd w:val="clear" w:color="auto" w:fill="FFFFFF"/>
        </w:rPr>
        <w:t xml:space="preserve"> </w:t>
      </w:r>
      <w:r>
        <w:rPr>
          <w:shd w:val="clear" w:color="auto" w:fill="FFFFFF"/>
        </w:rPr>
        <w:t>República</w:t>
      </w:r>
      <w:r>
        <w:rPr>
          <w:rFonts w:eastAsia="Times New Roman"/>
          <w:shd w:val="clear" w:color="auto" w:fill="FFFFFF"/>
        </w:rPr>
        <w:t xml:space="preserve"> </w:t>
      </w:r>
      <w:r>
        <w:rPr>
          <w:shd w:val="clear" w:color="auto" w:fill="FFFFFF"/>
        </w:rPr>
        <w:t>Federativa</w:t>
      </w:r>
      <w:r>
        <w:rPr>
          <w:rFonts w:eastAsia="Times New Roman"/>
          <w:shd w:val="clear" w:color="auto" w:fill="FFFFFF"/>
        </w:rPr>
        <w:t xml:space="preserve"> </w:t>
      </w:r>
      <w:r>
        <w:rPr>
          <w:shd w:val="clear" w:color="auto" w:fill="FFFFFF"/>
        </w:rPr>
        <w:t>do</w:t>
      </w:r>
      <w:r>
        <w:rPr>
          <w:rFonts w:eastAsia="Times New Roman"/>
          <w:shd w:val="clear" w:color="auto" w:fill="FFFFFF"/>
        </w:rPr>
        <w:t xml:space="preserve"> </w:t>
      </w:r>
      <w:r>
        <w:rPr>
          <w:shd w:val="clear" w:color="auto" w:fill="FFFFFF"/>
        </w:rPr>
        <w:t>Brasil</w:t>
      </w:r>
      <w:r>
        <w:rPr>
          <w:rFonts w:eastAsia="Times New Roman"/>
          <w:shd w:val="clear" w:color="auto" w:fill="FFFFFF"/>
        </w:rPr>
        <w:t xml:space="preserve"> </w:t>
      </w:r>
      <w:r>
        <w:rPr>
          <w:shd w:val="clear" w:color="auto" w:fill="FFFFFF"/>
        </w:rPr>
        <w:t>de</w:t>
      </w:r>
      <w:r>
        <w:rPr>
          <w:rFonts w:eastAsia="Times New Roman"/>
          <w:shd w:val="clear" w:color="auto" w:fill="FFFFFF"/>
        </w:rPr>
        <w:t xml:space="preserve"> </w:t>
      </w:r>
      <w:r>
        <w:rPr>
          <w:shd w:val="clear" w:color="auto" w:fill="FFFFFF"/>
        </w:rPr>
        <w:t>1988,</w:t>
      </w:r>
      <w:r>
        <w:rPr>
          <w:rFonts w:eastAsia="Times New Roman"/>
        </w:rPr>
        <w:t xml:space="preserve"> </w:t>
      </w:r>
      <w:r>
        <w:rPr>
          <w:color w:val="000000"/>
        </w:rPr>
        <w:t>capítulo</w:t>
      </w:r>
      <w:r>
        <w:rPr>
          <w:rFonts w:eastAsia="Times New Roman"/>
          <w:color w:val="000000"/>
        </w:rPr>
        <w:t xml:space="preserve"> </w:t>
      </w:r>
      <w:r>
        <w:rPr>
          <w:color w:val="000000"/>
        </w:rPr>
        <w:t>VII</w:t>
      </w:r>
      <w:r>
        <w:rPr>
          <w:rFonts w:eastAsia="Times New Roman"/>
          <w:color w:val="000000"/>
        </w:rPr>
        <w:t xml:space="preserve"> </w:t>
      </w:r>
      <w:r>
        <w:rPr>
          <w:color w:val="000000"/>
        </w:rPr>
        <w:t>-</w:t>
      </w:r>
      <w:r>
        <w:rPr>
          <w:rFonts w:eastAsia="Times New Roman"/>
        </w:rPr>
        <w:t xml:space="preserve"> </w:t>
      </w:r>
      <w:r>
        <w:rPr>
          <w:color w:val="000000"/>
        </w:rPr>
        <w:t>Da</w:t>
      </w:r>
      <w:r>
        <w:rPr>
          <w:rFonts w:eastAsia="Times New Roman"/>
          <w:color w:val="000000"/>
        </w:rPr>
        <w:t xml:space="preserve"> </w:t>
      </w:r>
      <w:r>
        <w:rPr>
          <w:color w:val="000000"/>
        </w:rPr>
        <w:t>Família,</w:t>
      </w:r>
      <w:r>
        <w:rPr>
          <w:rFonts w:eastAsia="Times New Roman"/>
          <w:color w:val="000000"/>
        </w:rPr>
        <w:t xml:space="preserve"> </w:t>
      </w:r>
      <w:r>
        <w:rPr>
          <w:color w:val="000000"/>
        </w:rPr>
        <w:t>da</w:t>
      </w:r>
      <w:r>
        <w:rPr>
          <w:rFonts w:eastAsia="Times New Roman"/>
          <w:color w:val="000000"/>
        </w:rPr>
        <w:t xml:space="preserve"> </w:t>
      </w:r>
      <w:r>
        <w:rPr>
          <w:color w:val="000000"/>
        </w:rPr>
        <w:t>Criança,</w:t>
      </w:r>
      <w:r>
        <w:rPr>
          <w:rFonts w:eastAsia="Times New Roman"/>
          <w:color w:val="000000"/>
        </w:rPr>
        <w:t xml:space="preserve"> </w:t>
      </w:r>
      <w:r>
        <w:rPr>
          <w:color w:val="000000"/>
        </w:rPr>
        <w:t>do</w:t>
      </w:r>
      <w:r>
        <w:rPr>
          <w:rFonts w:eastAsia="Times New Roman"/>
          <w:color w:val="000000"/>
        </w:rPr>
        <w:t xml:space="preserve"> </w:t>
      </w:r>
      <w:r>
        <w:rPr>
          <w:color w:val="000000"/>
        </w:rPr>
        <w:t>Adolescente,</w:t>
      </w:r>
      <w:r>
        <w:rPr>
          <w:rFonts w:eastAsia="Times New Roman"/>
          <w:color w:val="000000"/>
        </w:rPr>
        <w:t xml:space="preserve"> </w:t>
      </w:r>
      <w:r>
        <w:rPr>
          <w:color w:val="000000"/>
        </w:rPr>
        <w:t>do</w:t>
      </w:r>
      <w:r>
        <w:rPr>
          <w:rFonts w:eastAsia="Times New Roman"/>
          <w:color w:val="000000"/>
        </w:rPr>
        <w:t xml:space="preserve"> </w:t>
      </w:r>
      <w:r>
        <w:rPr>
          <w:color w:val="000000"/>
        </w:rPr>
        <w:t>Jovem</w:t>
      </w:r>
      <w:r>
        <w:rPr>
          <w:rFonts w:eastAsia="Times New Roman"/>
          <w:color w:val="000000"/>
        </w:rPr>
        <w:t xml:space="preserve"> </w:t>
      </w:r>
      <w:r>
        <w:rPr>
          <w:color w:val="000000"/>
        </w:rPr>
        <w:t>e</w:t>
      </w:r>
      <w:r>
        <w:rPr>
          <w:rFonts w:eastAsia="Times New Roman"/>
          <w:color w:val="000000"/>
        </w:rPr>
        <w:t xml:space="preserve"> </w:t>
      </w:r>
      <w:r>
        <w:rPr>
          <w:color w:val="000000"/>
        </w:rPr>
        <w:t>do</w:t>
      </w:r>
      <w:r>
        <w:rPr>
          <w:rFonts w:eastAsia="Times New Roman"/>
          <w:color w:val="000000"/>
        </w:rPr>
        <w:t xml:space="preserve"> </w:t>
      </w:r>
      <w:r>
        <w:rPr>
          <w:color w:val="000000"/>
        </w:rPr>
        <w:t>Idoso,</w:t>
      </w:r>
      <w:r>
        <w:rPr>
          <w:rFonts w:eastAsia="Times New Roman"/>
        </w:rPr>
        <w:t xml:space="preserve"> </w:t>
      </w:r>
      <w:r>
        <w:t>artigo</w:t>
      </w:r>
      <w:r>
        <w:rPr>
          <w:rFonts w:eastAsia="Times New Roman"/>
        </w:rPr>
        <w:t xml:space="preserve"> </w:t>
      </w:r>
      <w:r>
        <w:t>226,</w:t>
      </w:r>
      <w:r>
        <w:rPr>
          <w:rFonts w:eastAsia="Times New Roman"/>
        </w:rPr>
        <w:t xml:space="preserve"> </w:t>
      </w:r>
      <w:r>
        <w:t>parágrafo</w:t>
      </w:r>
      <w:r>
        <w:rPr>
          <w:rFonts w:eastAsia="Times New Roman"/>
          <w:shd w:val="clear" w:color="auto" w:fill="FFFFFF"/>
        </w:rPr>
        <w:t xml:space="preserve"> </w:t>
      </w:r>
      <w:r>
        <w:rPr>
          <w:rFonts w:cs="Arial"/>
          <w:shd w:val="clear" w:color="auto" w:fill="FFFFFF"/>
        </w:rPr>
        <w:t>5º.</w:t>
      </w:r>
    </w:p>
  </w:footnote>
  <w:footnote w:id="136">
    <w:p w:rsidR="00EC0E77" w:rsidRDefault="00EC0E77">
      <w:pPr>
        <w:pStyle w:val="Textodenotaderodap"/>
      </w:pPr>
      <w:r>
        <w:rPr>
          <w:rStyle w:val="Caracteresdenotaderodap"/>
          <w:rFonts w:ascii="Times New Roman" w:hAnsi="Times New Roman"/>
        </w:rPr>
        <w:footnoteRef/>
      </w:r>
      <w:r>
        <w:rPr>
          <w:rFonts w:eastAsia="Times New Roman"/>
        </w:rPr>
        <w:tab/>
        <w:t xml:space="preserve"> </w:t>
      </w:r>
      <w:r>
        <w:t>Juiz</w:t>
      </w:r>
      <w:r>
        <w:rPr>
          <w:rFonts w:eastAsia="Times New Roman"/>
        </w:rPr>
        <w:t xml:space="preserve"> </w:t>
      </w:r>
      <w:r>
        <w:t>de</w:t>
      </w:r>
      <w:r>
        <w:rPr>
          <w:rFonts w:eastAsia="Times New Roman"/>
        </w:rPr>
        <w:t xml:space="preserve"> </w:t>
      </w:r>
      <w:r>
        <w:t>Sete</w:t>
      </w:r>
      <w:r>
        <w:rPr>
          <w:rFonts w:eastAsia="Times New Roman"/>
        </w:rPr>
        <w:t xml:space="preserve"> </w:t>
      </w:r>
      <w:r>
        <w:t>Lagoas</w:t>
      </w:r>
      <w:r>
        <w:rPr>
          <w:rFonts w:eastAsia="Times New Roman"/>
        </w:rPr>
        <w:t xml:space="preserve"> </w:t>
      </w:r>
      <w:r>
        <w:t>(MG)</w:t>
      </w:r>
      <w:r>
        <w:rPr>
          <w:rFonts w:eastAsia="Times New Roman"/>
        </w:rPr>
        <w:t xml:space="preserve"> </w:t>
      </w:r>
      <w:r>
        <w:t>é</w:t>
      </w:r>
      <w:r>
        <w:rPr>
          <w:rFonts w:eastAsia="Times New Roman"/>
        </w:rPr>
        <w:t xml:space="preserve"> </w:t>
      </w:r>
      <w:r>
        <w:t>afastado</w:t>
      </w:r>
      <w:r>
        <w:rPr>
          <w:rFonts w:eastAsia="Times New Roman"/>
        </w:rPr>
        <w:t xml:space="preserve"> </w:t>
      </w:r>
      <w:r>
        <w:t>do</w:t>
      </w:r>
      <w:r>
        <w:rPr>
          <w:rFonts w:eastAsia="Times New Roman"/>
        </w:rPr>
        <w:t xml:space="preserve"> </w:t>
      </w:r>
      <w:r>
        <w:t>cargo</w:t>
      </w:r>
      <w:r>
        <w:rPr>
          <w:rFonts w:eastAsia="Times New Roman"/>
        </w:rPr>
        <w:t xml:space="preserve"> </w:t>
      </w:r>
      <w:r>
        <w:t>por</w:t>
      </w:r>
      <w:r>
        <w:rPr>
          <w:rFonts w:eastAsia="Times New Roman"/>
        </w:rPr>
        <w:t xml:space="preserve"> </w:t>
      </w:r>
      <w:r>
        <w:t>dois</w:t>
      </w:r>
      <w:r>
        <w:rPr>
          <w:rFonts w:eastAsia="Times New Roman"/>
        </w:rPr>
        <w:t xml:space="preserve"> </w:t>
      </w:r>
      <w:r>
        <w:t>anos</w:t>
      </w:r>
      <w:r>
        <w:rPr>
          <w:rFonts w:eastAsia="Times New Roman"/>
        </w:rPr>
        <w:t xml:space="preserve"> </w:t>
      </w:r>
      <w:r>
        <w:t>por</w:t>
      </w:r>
      <w:r>
        <w:rPr>
          <w:rFonts w:eastAsia="Times New Roman"/>
        </w:rPr>
        <w:t xml:space="preserve"> </w:t>
      </w:r>
      <w:r>
        <w:t>demonstrar</w:t>
      </w:r>
      <w:r>
        <w:rPr>
          <w:rFonts w:eastAsia="Times New Roman"/>
        </w:rPr>
        <w:t xml:space="preserve"> </w:t>
      </w:r>
      <w:r>
        <w:t>uma</w:t>
      </w:r>
      <w:r>
        <w:rPr>
          <w:rFonts w:eastAsia="Times New Roman"/>
        </w:rPr>
        <w:t xml:space="preserve"> </w:t>
      </w:r>
      <w:r>
        <w:t>conduta</w:t>
      </w:r>
      <w:r>
        <w:rPr>
          <w:rFonts w:eastAsia="Times New Roman"/>
        </w:rPr>
        <w:t xml:space="preserve"> </w:t>
      </w:r>
      <w:r>
        <w:rPr>
          <w:rFonts w:eastAsia="Times New Roman"/>
          <w:color w:val="000000"/>
        </w:rPr>
        <w:t>“</w:t>
      </w:r>
      <w:r>
        <w:rPr>
          <w:color w:val="000000"/>
        </w:rPr>
        <w:t>incompatível</w:t>
      </w:r>
      <w:r>
        <w:rPr>
          <w:rFonts w:eastAsia="Times New Roman"/>
          <w:color w:val="000000"/>
        </w:rPr>
        <w:t xml:space="preserve"> </w:t>
      </w:r>
      <w:r>
        <w:rPr>
          <w:color w:val="000000"/>
        </w:rPr>
        <w:t>com</w:t>
      </w:r>
      <w:r>
        <w:rPr>
          <w:rFonts w:eastAsia="Times New Roman"/>
          <w:color w:val="000000"/>
        </w:rPr>
        <w:t xml:space="preserve"> </w:t>
      </w:r>
      <w:r>
        <w:rPr>
          <w:color w:val="000000"/>
        </w:rPr>
        <w:t>a</w:t>
      </w:r>
      <w:r>
        <w:rPr>
          <w:rFonts w:eastAsia="Times New Roman"/>
          <w:color w:val="000000"/>
        </w:rPr>
        <w:t xml:space="preserve"> </w:t>
      </w:r>
      <w:r>
        <w:rPr>
          <w:color w:val="000000"/>
        </w:rPr>
        <w:t>Constituição</w:t>
      </w:r>
      <w:r>
        <w:rPr>
          <w:rFonts w:eastAsia="Times New Roman"/>
          <w:color w:val="000000"/>
        </w:rPr>
        <w:t xml:space="preserve"> </w:t>
      </w:r>
      <w:r>
        <w:rPr>
          <w:color w:val="000000"/>
        </w:rPr>
        <w:t>e</w:t>
      </w:r>
      <w:r>
        <w:rPr>
          <w:rFonts w:eastAsia="Times New Roman"/>
          <w:color w:val="000000"/>
        </w:rPr>
        <w:t xml:space="preserve"> </w:t>
      </w:r>
      <w:r>
        <w:rPr>
          <w:color w:val="000000"/>
        </w:rPr>
        <w:t>com</w:t>
      </w:r>
      <w:r>
        <w:rPr>
          <w:rFonts w:eastAsia="Times New Roman"/>
          <w:color w:val="000000"/>
        </w:rPr>
        <w:t xml:space="preserve"> </w:t>
      </w:r>
      <w:r>
        <w:rPr>
          <w:color w:val="000000"/>
        </w:rPr>
        <w:t>a</w:t>
      </w:r>
      <w:r>
        <w:rPr>
          <w:rFonts w:eastAsia="Times New Roman"/>
          <w:color w:val="000000"/>
        </w:rPr>
        <w:t xml:space="preserve"> </w:t>
      </w:r>
      <w:r>
        <w:rPr>
          <w:color w:val="000000"/>
        </w:rPr>
        <w:t>Lei</w:t>
      </w:r>
      <w:r>
        <w:rPr>
          <w:rFonts w:eastAsia="Times New Roman"/>
          <w:color w:val="000000"/>
        </w:rPr>
        <w:t xml:space="preserve"> </w:t>
      </w:r>
      <w:r>
        <w:rPr>
          <w:color w:val="000000"/>
        </w:rPr>
        <w:t>Maria</w:t>
      </w:r>
      <w:r>
        <w:rPr>
          <w:rFonts w:eastAsia="Times New Roman"/>
          <w:color w:val="000000"/>
        </w:rPr>
        <w:t xml:space="preserve"> </w:t>
      </w:r>
      <w:r>
        <w:rPr>
          <w:color w:val="000000"/>
        </w:rPr>
        <w:t>da</w:t>
      </w:r>
      <w:r>
        <w:rPr>
          <w:rFonts w:eastAsia="Times New Roman"/>
          <w:color w:val="000000"/>
        </w:rPr>
        <w:t xml:space="preserve"> </w:t>
      </w:r>
      <w:r>
        <w:rPr>
          <w:color w:val="000000"/>
        </w:rPr>
        <w:t>Penha</w:t>
      </w:r>
      <w:r>
        <w:rPr>
          <w:rFonts w:eastAsia="Times New Roman"/>
          <w:color w:val="000000"/>
        </w:rPr>
        <w:t xml:space="preserve">” </w:t>
      </w:r>
      <w:r>
        <w:rPr>
          <w:color w:val="000000"/>
        </w:rPr>
        <w:t>ao</w:t>
      </w:r>
      <w:r>
        <w:rPr>
          <w:rFonts w:eastAsia="Times New Roman"/>
          <w:color w:val="000000"/>
        </w:rPr>
        <w:t xml:space="preserve"> </w:t>
      </w:r>
      <w:r>
        <w:rPr>
          <w:color w:val="000000"/>
        </w:rPr>
        <w:t>alegar</w:t>
      </w:r>
      <w:r>
        <w:rPr>
          <w:rFonts w:eastAsia="Times New Roman"/>
        </w:rPr>
        <w:t xml:space="preserve"> </w:t>
      </w:r>
      <w:r>
        <w:t>que</w:t>
      </w:r>
      <w:r>
        <w:rPr>
          <w:rFonts w:eastAsia="Times New Roman"/>
        </w:rPr>
        <w:t xml:space="preserve"> </w:t>
      </w:r>
      <w:r>
        <w:t>a</w:t>
      </w:r>
      <w:r>
        <w:rPr>
          <w:rFonts w:eastAsia="Times New Roman"/>
          <w:color w:val="000000"/>
        </w:rPr>
        <w:t xml:space="preserve"> </w:t>
      </w:r>
      <w:r>
        <w:rPr>
          <w:color w:val="000000"/>
        </w:rPr>
        <w:t>Lei</w:t>
      </w:r>
      <w:r>
        <w:rPr>
          <w:rFonts w:eastAsia="Times New Roman"/>
          <w:color w:val="000000"/>
        </w:rPr>
        <w:t xml:space="preserve"> </w:t>
      </w:r>
      <w:r>
        <w:t>11.340</w:t>
      </w:r>
      <w:r>
        <w:rPr>
          <w:lang w:val="it-IT"/>
        </w:rPr>
        <w:t>/</w:t>
      </w:r>
      <w:r>
        <w:t>06</w:t>
      </w:r>
      <w:r>
        <w:rPr>
          <w:rFonts w:eastAsia="Times New Roman"/>
        </w:rPr>
        <w:t xml:space="preserve"> </w:t>
      </w:r>
      <w:r>
        <w:t>reu</w:t>
      </w:r>
      <w:r>
        <w:rPr>
          <w:color w:val="000000"/>
        </w:rPr>
        <w:t>nia</w:t>
      </w:r>
      <w:r>
        <w:rPr>
          <w:rFonts w:eastAsia="Times New Roman"/>
          <w:color w:val="000000"/>
        </w:rPr>
        <w:t xml:space="preserve"> “</w:t>
      </w:r>
      <w:r>
        <w:rPr>
          <w:color w:val="000000"/>
        </w:rPr>
        <w:t>um</w:t>
      </w:r>
      <w:r>
        <w:rPr>
          <w:rFonts w:eastAsia="Times New Roman"/>
          <w:color w:val="000000"/>
        </w:rPr>
        <w:t xml:space="preserve"> </w:t>
      </w:r>
      <w:r>
        <w:rPr>
          <w:color w:val="000000"/>
        </w:rPr>
        <w:t>conjunto</w:t>
      </w:r>
      <w:r>
        <w:rPr>
          <w:rFonts w:eastAsia="Times New Roman"/>
          <w:color w:val="000000"/>
        </w:rPr>
        <w:t xml:space="preserve"> </w:t>
      </w:r>
      <w:r>
        <w:rPr>
          <w:color w:val="000000"/>
        </w:rPr>
        <w:t>de</w:t>
      </w:r>
      <w:r>
        <w:rPr>
          <w:rFonts w:eastAsia="Times New Roman"/>
          <w:color w:val="000000"/>
        </w:rPr>
        <w:t xml:space="preserve"> </w:t>
      </w:r>
      <w:r>
        <w:rPr>
          <w:color w:val="000000"/>
        </w:rPr>
        <w:t>regras</w:t>
      </w:r>
      <w:r>
        <w:rPr>
          <w:rFonts w:eastAsia="Times New Roman"/>
          <w:color w:val="000000"/>
        </w:rPr>
        <w:t xml:space="preserve"> </w:t>
      </w:r>
      <w:r>
        <w:rPr>
          <w:color w:val="000000"/>
        </w:rPr>
        <w:t>diabólicas</w:t>
      </w:r>
      <w:r>
        <w:rPr>
          <w:rFonts w:eastAsia="Times New Roman"/>
          <w:color w:val="000000"/>
        </w:rPr>
        <w:t xml:space="preserve">” </w:t>
      </w:r>
      <w:r>
        <w:rPr>
          <w:color w:val="000000"/>
        </w:rPr>
        <w:t>e</w:t>
      </w:r>
      <w:r>
        <w:rPr>
          <w:rFonts w:eastAsia="Times New Roman"/>
          <w:color w:val="000000"/>
        </w:rPr>
        <w:t xml:space="preserve"> </w:t>
      </w:r>
      <w:r>
        <w:rPr>
          <w:color w:val="000000"/>
        </w:rPr>
        <w:t>que</w:t>
      </w:r>
      <w:r>
        <w:rPr>
          <w:rFonts w:eastAsia="Times New Roman"/>
          <w:color w:val="000000"/>
        </w:rPr>
        <w:t xml:space="preserve"> “</w:t>
      </w:r>
      <w:r>
        <w:rPr>
          <w:color w:val="000000"/>
        </w:rPr>
        <w:t>a</w:t>
      </w:r>
      <w:r>
        <w:rPr>
          <w:rFonts w:eastAsia="Times New Roman"/>
          <w:color w:val="000000"/>
        </w:rPr>
        <w:t xml:space="preserve"> </w:t>
      </w:r>
      <w:r>
        <w:rPr>
          <w:color w:val="000000"/>
        </w:rPr>
        <w:t>desgraça</w:t>
      </w:r>
      <w:r>
        <w:rPr>
          <w:rFonts w:eastAsia="Times New Roman"/>
          <w:color w:val="000000"/>
        </w:rPr>
        <w:t xml:space="preserve"> </w:t>
      </w:r>
      <w:r>
        <w:rPr>
          <w:color w:val="000000"/>
        </w:rPr>
        <w:t>humana</w:t>
      </w:r>
      <w:r>
        <w:rPr>
          <w:rFonts w:eastAsia="Times New Roman"/>
          <w:color w:val="000000"/>
        </w:rPr>
        <w:t xml:space="preserve"> </w:t>
      </w:r>
      <w:r>
        <w:rPr>
          <w:color w:val="000000"/>
        </w:rPr>
        <w:t>começou</w:t>
      </w:r>
      <w:r>
        <w:rPr>
          <w:rFonts w:eastAsia="Times New Roman"/>
          <w:color w:val="000000"/>
        </w:rPr>
        <w:t xml:space="preserve"> </w:t>
      </w:r>
      <w:r>
        <w:rPr>
          <w:color w:val="000000"/>
        </w:rPr>
        <w:t>por</w:t>
      </w:r>
      <w:r>
        <w:rPr>
          <w:rFonts w:eastAsia="Times New Roman"/>
          <w:color w:val="000000"/>
        </w:rPr>
        <w:t xml:space="preserve"> </w:t>
      </w:r>
      <w:r>
        <w:rPr>
          <w:color w:val="000000"/>
        </w:rPr>
        <w:t>causa</w:t>
      </w:r>
      <w:r>
        <w:rPr>
          <w:rFonts w:eastAsia="Times New Roman"/>
          <w:color w:val="000000"/>
        </w:rPr>
        <w:t xml:space="preserve"> </w:t>
      </w:r>
      <w:r>
        <w:rPr>
          <w:color w:val="000000"/>
        </w:rPr>
        <w:t>da</w:t>
      </w:r>
      <w:r>
        <w:rPr>
          <w:rFonts w:eastAsia="Times New Roman"/>
          <w:color w:val="000000"/>
        </w:rPr>
        <w:t xml:space="preserve"> </w:t>
      </w:r>
      <w:r>
        <w:rPr>
          <w:color w:val="000000"/>
        </w:rPr>
        <w:t>mulher</w:t>
      </w:r>
      <w:r>
        <w:rPr>
          <w:rFonts w:eastAsia="Times New Roman"/>
          <w:color w:val="000000"/>
        </w:rPr>
        <w:t>”.</w:t>
      </w:r>
    </w:p>
  </w:footnote>
  <w:footnote w:id="137">
    <w:p w:rsidR="00EC0E77" w:rsidRDefault="00EC0E77">
      <w:pPr>
        <w:pStyle w:val="Textodenotaderodap"/>
      </w:pPr>
      <w:r>
        <w:rPr>
          <w:rStyle w:val="Caracteresdenotaderodap"/>
          <w:rFonts w:ascii="Times New Roman" w:hAnsi="Times New Roman"/>
        </w:rPr>
        <w:footnoteRef/>
      </w:r>
      <w:r>
        <w:rPr>
          <w:rFonts w:eastAsia="Times New Roman"/>
          <w:color w:val="000000"/>
          <w:shd w:val="clear" w:color="auto" w:fill="FFFFFF"/>
        </w:rPr>
        <w:tab/>
        <w:t xml:space="preserve"> </w:t>
      </w:r>
      <w:r>
        <w:rPr>
          <w:color w:val="000000"/>
          <w:shd w:val="clear" w:color="auto" w:fill="FFFFFF"/>
        </w:rPr>
        <w:t>Art.</w:t>
      </w:r>
      <w:r>
        <w:rPr>
          <w:rFonts w:eastAsia="Times New Roman"/>
          <w:color w:val="000000"/>
          <w:shd w:val="clear" w:color="auto" w:fill="FFFFFF"/>
        </w:rPr>
        <w:t xml:space="preserve"> 10° </w:t>
      </w:r>
      <w:r>
        <w:rPr>
          <w:color w:val="000000"/>
        </w:rPr>
        <w:t>Lei</w:t>
      </w:r>
      <w:r>
        <w:rPr>
          <w:rFonts w:eastAsia="Times New Roman"/>
          <w:color w:val="000000"/>
        </w:rPr>
        <w:t xml:space="preserve"> </w:t>
      </w:r>
      <w:r>
        <w:rPr>
          <w:color w:val="000000"/>
        </w:rPr>
        <w:t>nº</w:t>
      </w:r>
      <w:r>
        <w:rPr>
          <w:rFonts w:eastAsia="Times New Roman"/>
          <w:color w:val="000000"/>
        </w:rPr>
        <w:t xml:space="preserve"> </w:t>
      </w:r>
      <w:r>
        <w:rPr>
          <w:color w:val="000000"/>
        </w:rPr>
        <w:t>12.034,</w:t>
      </w:r>
      <w:r>
        <w:rPr>
          <w:rFonts w:eastAsia="Times New Roman"/>
          <w:color w:val="000000"/>
        </w:rPr>
        <w:t xml:space="preserve"> </w:t>
      </w:r>
      <w:r>
        <w:rPr>
          <w:color w:val="000000"/>
        </w:rPr>
        <w:t>de</w:t>
      </w:r>
      <w:r>
        <w:rPr>
          <w:rFonts w:eastAsia="Times New Roman"/>
          <w:color w:val="000000"/>
        </w:rPr>
        <w:t xml:space="preserve"> </w:t>
      </w:r>
      <w:r>
        <w:rPr>
          <w:color w:val="000000"/>
        </w:rPr>
        <w:t>29</w:t>
      </w:r>
      <w:r>
        <w:rPr>
          <w:rFonts w:eastAsia="Times New Roman"/>
          <w:color w:val="000000"/>
        </w:rPr>
        <w:t xml:space="preserve"> </w:t>
      </w:r>
      <w:r>
        <w:rPr>
          <w:color w:val="000000"/>
        </w:rPr>
        <w:t>de</w:t>
      </w:r>
      <w:r>
        <w:rPr>
          <w:rFonts w:eastAsia="Times New Roman"/>
          <w:color w:val="000000"/>
        </w:rPr>
        <w:t xml:space="preserve"> </w:t>
      </w:r>
      <w:r>
        <w:rPr>
          <w:color w:val="000000"/>
        </w:rPr>
        <w:t>setembro</w:t>
      </w:r>
      <w:r>
        <w:rPr>
          <w:rFonts w:eastAsia="Times New Roman"/>
          <w:color w:val="000000"/>
        </w:rPr>
        <w:t xml:space="preserve"> </w:t>
      </w:r>
      <w:r>
        <w:rPr>
          <w:color w:val="000000"/>
        </w:rPr>
        <w:t>de</w:t>
      </w:r>
      <w:r>
        <w:rPr>
          <w:rFonts w:eastAsia="Times New Roman"/>
          <w:color w:val="000000"/>
        </w:rPr>
        <w:t xml:space="preserve"> </w:t>
      </w:r>
      <w:r>
        <w:rPr>
          <w:color w:val="000000"/>
        </w:rPr>
        <w:t>2009.</w:t>
      </w:r>
      <w:r>
        <w:rPr>
          <w:rFonts w:eastAsia="Times New Roman"/>
          <w:color w:val="000000"/>
        </w:rPr>
        <w:t xml:space="preserve"> </w:t>
      </w:r>
      <w:r>
        <w:rPr>
          <w:rStyle w:val="Forte"/>
          <w:color w:val="000000"/>
        </w:rPr>
        <w:t>Casa</w:t>
      </w:r>
      <w:r>
        <w:rPr>
          <w:rStyle w:val="Forte"/>
          <w:rFonts w:eastAsia="Times New Roman"/>
          <w:color w:val="000000"/>
        </w:rPr>
        <w:t xml:space="preserve"> </w:t>
      </w:r>
      <w:r>
        <w:rPr>
          <w:rStyle w:val="Forte"/>
          <w:color w:val="000000"/>
        </w:rPr>
        <w:t>Civil</w:t>
      </w:r>
      <w:r>
        <w:rPr>
          <w:rStyle w:val="Forte"/>
          <w:rFonts w:eastAsia="Times New Roman"/>
          <w:color w:val="000000"/>
        </w:rPr>
        <w:t xml:space="preserve"> </w:t>
      </w:r>
      <w:r>
        <w:rPr>
          <w:rStyle w:val="Forte"/>
          <w:color w:val="000000"/>
        </w:rPr>
        <w:t>-</w:t>
      </w:r>
      <w:r>
        <w:rPr>
          <w:rStyle w:val="Forte"/>
          <w:rFonts w:eastAsia="Times New Roman"/>
          <w:color w:val="000000"/>
        </w:rPr>
        <w:t xml:space="preserve"> </w:t>
      </w:r>
      <w:r>
        <w:rPr>
          <w:rStyle w:val="Forte"/>
          <w:color w:val="000000"/>
        </w:rPr>
        <w:t>Subchefia</w:t>
      </w:r>
      <w:r>
        <w:rPr>
          <w:rStyle w:val="Forte"/>
          <w:rFonts w:eastAsia="Times New Roman"/>
          <w:color w:val="000000"/>
        </w:rPr>
        <w:t xml:space="preserve"> </w:t>
      </w:r>
      <w:r>
        <w:rPr>
          <w:rStyle w:val="Forte"/>
          <w:color w:val="000000"/>
        </w:rPr>
        <w:t>para</w:t>
      </w:r>
      <w:r>
        <w:rPr>
          <w:rStyle w:val="Forte"/>
          <w:rFonts w:eastAsia="Times New Roman"/>
          <w:color w:val="000000"/>
        </w:rPr>
        <w:t xml:space="preserve"> </w:t>
      </w:r>
      <w:r>
        <w:rPr>
          <w:rStyle w:val="Forte"/>
          <w:color w:val="000000"/>
        </w:rPr>
        <w:t>Assuntos</w:t>
      </w:r>
      <w:r>
        <w:rPr>
          <w:rStyle w:val="Forte"/>
          <w:rFonts w:eastAsia="Times New Roman"/>
          <w:color w:val="000000"/>
        </w:rPr>
        <w:t xml:space="preserve"> </w:t>
      </w:r>
      <w:r>
        <w:rPr>
          <w:rStyle w:val="Forte"/>
          <w:color w:val="000000"/>
        </w:rPr>
        <w:t>Jurídicos.</w:t>
      </w:r>
    </w:p>
  </w:footnote>
  <w:footnote w:id="138">
    <w:p w:rsidR="00EC0E77" w:rsidRDefault="00EC0E77">
      <w:pPr>
        <w:pStyle w:val="Textodenotaderodap"/>
        <w:ind w:left="-15"/>
      </w:pPr>
      <w:r>
        <w:rPr>
          <w:rStyle w:val="Caracteresdenotaderodap"/>
          <w:rFonts w:ascii="Times New Roman" w:hAnsi="Times New Roman"/>
        </w:rPr>
        <w:footnoteRef/>
      </w:r>
      <w:r>
        <w:rPr>
          <w:rFonts w:eastAsia="Times New Roman"/>
        </w:rPr>
        <w:tab/>
        <w:t xml:space="preserve"> </w:t>
      </w:r>
      <w:r>
        <w:t>Sanção:</w:t>
      </w:r>
      <w:r>
        <w:rPr>
          <w:rFonts w:eastAsia="Times New Roman"/>
        </w:rPr>
        <w:t xml:space="preserve"> </w:t>
      </w:r>
      <w:r>
        <w:t>cláusula,</w:t>
      </w:r>
      <w:r>
        <w:rPr>
          <w:rFonts w:eastAsia="Times New Roman"/>
        </w:rPr>
        <w:t xml:space="preserve"> </w:t>
      </w:r>
      <w:r>
        <w:t>condição</w:t>
      </w:r>
      <w:r>
        <w:rPr>
          <w:rFonts w:eastAsia="Times New Roman"/>
        </w:rPr>
        <w:t xml:space="preserve"> </w:t>
      </w:r>
      <w:r>
        <w:t>ou</w:t>
      </w:r>
      <w:r>
        <w:rPr>
          <w:rFonts w:eastAsia="Times New Roman"/>
        </w:rPr>
        <w:t xml:space="preserve"> </w:t>
      </w:r>
      <w:r>
        <w:t>circunstância</w:t>
      </w:r>
      <w:r>
        <w:rPr>
          <w:rFonts w:eastAsia="Times New Roman"/>
        </w:rPr>
        <w:t xml:space="preserve"> </w:t>
      </w:r>
      <w:r>
        <w:t>que</w:t>
      </w:r>
      <w:r>
        <w:rPr>
          <w:rFonts w:eastAsia="Times New Roman"/>
        </w:rPr>
        <w:t xml:space="preserve"> </w:t>
      </w:r>
      <w:r>
        <w:t>impede</w:t>
      </w:r>
      <w:r>
        <w:rPr>
          <w:rFonts w:eastAsia="Times New Roman"/>
        </w:rPr>
        <w:t xml:space="preserve"> </w:t>
      </w:r>
      <w:r>
        <w:t>ou</w:t>
      </w:r>
      <w:r>
        <w:rPr>
          <w:rFonts w:eastAsia="Times New Roman"/>
        </w:rPr>
        <w:t xml:space="preserve"> </w:t>
      </w:r>
      <w:r>
        <w:t>pune</w:t>
      </w:r>
      <w:r>
        <w:rPr>
          <w:rFonts w:eastAsia="Times New Roman"/>
        </w:rPr>
        <w:t xml:space="preserve"> </w:t>
      </w:r>
      <w:r>
        <w:t>a</w:t>
      </w:r>
      <w:r>
        <w:rPr>
          <w:rFonts w:eastAsia="Times New Roman"/>
        </w:rPr>
        <w:t xml:space="preserve"> </w:t>
      </w:r>
      <w:r>
        <w:t>violação</w:t>
      </w:r>
      <w:r>
        <w:rPr>
          <w:rFonts w:eastAsia="Times New Roman"/>
        </w:rPr>
        <w:t xml:space="preserve"> </w:t>
      </w:r>
      <w:r>
        <w:t>e</w:t>
      </w:r>
      <w:r>
        <w:rPr>
          <w:rFonts w:eastAsia="Times New Roman"/>
        </w:rPr>
        <w:t xml:space="preserve"> </w:t>
      </w:r>
      <w:r>
        <w:t>assegura</w:t>
      </w:r>
      <w:r>
        <w:rPr>
          <w:rFonts w:eastAsia="Times New Roman"/>
        </w:rPr>
        <w:t xml:space="preserve"> </w:t>
      </w:r>
      <w:r>
        <w:t>a</w:t>
      </w:r>
      <w:r>
        <w:rPr>
          <w:rFonts w:eastAsia="Times New Roman"/>
        </w:rPr>
        <w:t xml:space="preserve"> </w:t>
      </w:r>
      <w:r>
        <w:t>execução.</w:t>
      </w:r>
      <w:r>
        <w:rPr>
          <w:rFonts w:eastAsia="Times New Roman"/>
        </w:rPr>
        <w:t xml:space="preserve"> </w:t>
      </w:r>
      <w:r>
        <w:t>Fonte:</w:t>
      </w:r>
      <w:r>
        <w:rPr>
          <w:rFonts w:eastAsia="Times New Roman"/>
        </w:rPr>
        <w:t xml:space="preserve">  </w:t>
      </w:r>
      <w:r>
        <w:t>Aulete</w:t>
      </w:r>
      <w:r>
        <w:rPr>
          <w:rFonts w:eastAsia="Times New Roman"/>
        </w:rPr>
        <w:t xml:space="preserve"> Dicionário </w:t>
      </w:r>
      <w:r>
        <w:t>Digital.</w:t>
      </w:r>
    </w:p>
  </w:footnote>
  <w:footnote w:id="139">
    <w:p w:rsidR="00EC0E77" w:rsidRDefault="00EC0E77">
      <w:pPr>
        <w:pStyle w:val="Textodenotaderodap"/>
      </w:pPr>
      <w:r>
        <w:rPr>
          <w:rStyle w:val="Caracteresdenotaderodap"/>
          <w:rFonts w:ascii="Times New Roman" w:hAnsi="Times New Roman"/>
        </w:rPr>
        <w:footnoteRef/>
      </w:r>
      <w:r>
        <w:rPr>
          <w:rFonts w:eastAsia="Times New Roman"/>
        </w:rPr>
        <w:tab/>
        <w:t xml:space="preserve"> </w:t>
      </w:r>
      <w:r>
        <w:rPr>
          <w:rFonts w:eastAsia="Times New Roman"/>
          <w:color w:val="000000"/>
        </w:rPr>
        <w:t xml:space="preserve">As visitas ocorreram no período vespertino, nos dias 30 e 31 de janeiro de 2012, durante as quais foi possível ter acesso a processos em andamento, presenciar a abertura de um inquérito policial e ouvir alguns depoimentos de testemunhas. </w:t>
      </w:r>
    </w:p>
  </w:footnote>
  <w:footnote w:id="140">
    <w:p w:rsidR="00EC0E77" w:rsidRDefault="00EC0E77">
      <w:pPr>
        <w:pStyle w:val="Textodenotaderodap"/>
      </w:pPr>
      <w:r>
        <w:rPr>
          <w:rStyle w:val="Caracteresdenotaderodap"/>
          <w:rFonts w:ascii="Times New Roman" w:hAnsi="Times New Roman"/>
        </w:rPr>
        <w:footnoteRef/>
      </w:r>
      <w:r>
        <w:rPr>
          <w:rFonts w:eastAsia="Times New Roman"/>
        </w:rPr>
        <w:tab/>
        <w:t xml:space="preserve"> </w:t>
      </w:r>
      <w:r>
        <w:t>Serviço</w:t>
      </w:r>
      <w:r>
        <w:rPr>
          <w:rFonts w:eastAsia="Times New Roman"/>
        </w:rPr>
        <w:t xml:space="preserve"> </w:t>
      </w:r>
      <w:r>
        <w:t>de</w:t>
      </w:r>
      <w:r>
        <w:rPr>
          <w:rFonts w:eastAsia="Times New Roman"/>
        </w:rPr>
        <w:t xml:space="preserve"> </w:t>
      </w:r>
      <w:r>
        <w:t>atendimento</w:t>
      </w:r>
      <w:r>
        <w:rPr>
          <w:rFonts w:eastAsia="Times New Roman"/>
        </w:rPr>
        <w:t xml:space="preserve"> </w:t>
      </w:r>
      <w:r>
        <w:t>telefônico</w:t>
      </w:r>
      <w:r>
        <w:rPr>
          <w:rFonts w:eastAsia="Times New Roman"/>
        </w:rPr>
        <w:t xml:space="preserve"> </w:t>
      </w:r>
      <w:r>
        <w:t>público</w:t>
      </w:r>
      <w:r>
        <w:rPr>
          <w:rFonts w:eastAsia="Times New Roman"/>
        </w:rPr>
        <w:t xml:space="preserve"> </w:t>
      </w:r>
      <w:r>
        <w:t>com</w:t>
      </w:r>
      <w:r>
        <w:rPr>
          <w:rFonts w:eastAsia="Times New Roman"/>
        </w:rPr>
        <w:t xml:space="preserve"> </w:t>
      </w:r>
      <w:r>
        <w:t>acesso</w:t>
      </w:r>
      <w:r>
        <w:rPr>
          <w:rFonts w:eastAsia="Times New Roman"/>
        </w:rPr>
        <w:t xml:space="preserve"> </w:t>
      </w:r>
      <w:r>
        <w:t>gratuito;</w:t>
      </w:r>
      <w:r>
        <w:rPr>
          <w:rFonts w:eastAsia="Times New Roman"/>
        </w:rPr>
        <w:t xml:space="preserve"> </w:t>
      </w:r>
      <w:r>
        <w:t>conta</w:t>
      </w:r>
      <w:r>
        <w:rPr>
          <w:rFonts w:eastAsia="Times New Roman"/>
        </w:rPr>
        <w:t xml:space="preserve"> </w:t>
      </w:r>
      <w:r>
        <w:t>com</w:t>
      </w:r>
      <w:r>
        <w:rPr>
          <w:rFonts w:eastAsia="Times New Roman"/>
        </w:rPr>
        <w:t xml:space="preserve"> </w:t>
      </w:r>
      <w:r>
        <w:t>funcionamento</w:t>
      </w:r>
      <w:r>
        <w:rPr>
          <w:rFonts w:eastAsia="Times New Roman"/>
        </w:rPr>
        <w:t xml:space="preserve"> </w:t>
      </w:r>
      <w:r>
        <w:t>24</w:t>
      </w:r>
      <w:r>
        <w:rPr>
          <w:rFonts w:eastAsia="Times New Roman"/>
        </w:rPr>
        <w:t xml:space="preserve"> </w:t>
      </w:r>
      <w:r>
        <w:t>horas</w:t>
      </w:r>
      <w:r>
        <w:rPr>
          <w:rFonts w:eastAsia="Times New Roman"/>
        </w:rPr>
        <w:t xml:space="preserve"> </w:t>
      </w:r>
      <w:r>
        <w:t>por</w:t>
      </w:r>
      <w:r>
        <w:rPr>
          <w:rFonts w:eastAsia="Times New Roman"/>
        </w:rPr>
        <w:t xml:space="preserve"> </w:t>
      </w:r>
      <w:r>
        <w:t>dia</w:t>
      </w:r>
      <w:r>
        <w:rPr>
          <w:rFonts w:eastAsia="Times New Roman"/>
        </w:rPr>
        <w:t xml:space="preserve"> </w:t>
      </w:r>
      <w:r>
        <w:t>podendo</w:t>
      </w:r>
      <w:r>
        <w:rPr>
          <w:rFonts w:eastAsia="Times New Roman"/>
        </w:rPr>
        <w:t xml:space="preserve"> </w:t>
      </w:r>
      <w:r>
        <w:t>ser</w:t>
      </w:r>
      <w:r>
        <w:rPr>
          <w:rFonts w:eastAsia="Times New Roman"/>
        </w:rPr>
        <w:t xml:space="preserve"> </w:t>
      </w:r>
      <w:r>
        <w:t>feito</w:t>
      </w:r>
      <w:r>
        <w:rPr>
          <w:rFonts w:eastAsia="Times New Roman"/>
        </w:rPr>
        <w:t xml:space="preserve"> </w:t>
      </w:r>
      <w:r>
        <w:t>de</w:t>
      </w:r>
      <w:r>
        <w:rPr>
          <w:rFonts w:eastAsia="Times New Roman"/>
        </w:rPr>
        <w:t xml:space="preserve"> </w:t>
      </w:r>
      <w:r>
        <w:t>qualquer</w:t>
      </w:r>
      <w:r>
        <w:rPr>
          <w:rFonts w:eastAsia="Times New Roman"/>
        </w:rPr>
        <w:t xml:space="preserve"> </w:t>
      </w:r>
      <w:r>
        <w:t>telefone</w:t>
      </w:r>
      <w:r>
        <w:rPr>
          <w:rFonts w:eastAsia="Times New Roman"/>
        </w:rPr>
        <w:t xml:space="preserve"> </w:t>
      </w:r>
      <w:r>
        <w:t>móvel</w:t>
      </w:r>
      <w:r>
        <w:rPr>
          <w:rFonts w:eastAsia="Times New Roman"/>
        </w:rPr>
        <w:t xml:space="preserve"> </w:t>
      </w:r>
      <w:r>
        <w:t>ou</w:t>
      </w:r>
      <w:r>
        <w:rPr>
          <w:rFonts w:eastAsia="Times New Roman"/>
        </w:rPr>
        <w:t xml:space="preserve"> </w:t>
      </w:r>
      <w:r>
        <w:t>fixo,</w:t>
      </w:r>
      <w:r>
        <w:rPr>
          <w:rFonts w:eastAsia="Times New Roman"/>
        </w:rPr>
        <w:t xml:space="preserve"> </w:t>
      </w:r>
      <w:r>
        <w:t>público</w:t>
      </w:r>
      <w:r>
        <w:rPr>
          <w:rFonts w:eastAsia="Times New Roman"/>
        </w:rPr>
        <w:t xml:space="preserve"> </w:t>
      </w:r>
      <w:r>
        <w:t>ou</w:t>
      </w:r>
      <w:r>
        <w:rPr>
          <w:rFonts w:eastAsia="Times New Roman"/>
        </w:rPr>
        <w:t xml:space="preserve"> </w:t>
      </w:r>
      <w:r>
        <w:t>privado.</w:t>
      </w:r>
    </w:p>
  </w:footnote>
  <w:footnote w:id="141">
    <w:p w:rsidR="00EC0E77" w:rsidRDefault="00EC0E77">
      <w:pPr>
        <w:pStyle w:val="Textodenotaderodap"/>
        <w:ind w:left="-15"/>
      </w:pPr>
      <w:r>
        <w:rPr>
          <w:rStyle w:val="Caracteresdenotaderodap"/>
          <w:rFonts w:ascii="Times New Roman" w:hAnsi="Times New Roman"/>
        </w:rPr>
        <w:footnoteRef/>
      </w:r>
      <w:r>
        <w:rPr>
          <w:rFonts w:eastAsia="Times New Roman"/>
        </w:rPr>
        <w:tab/>
        <w:t xml:space="preserve"> </w:t>
      </w:r>
      <w:r>
        <w:t>Muitas</w:t>
      </w:r>
      <w:r>
        <w:rPr>
          <w:rFonts w:eastAsia="Times New Roman"/>
        </w:rPr>
        <w:t xml:space="preserve"> </w:t>
      </w:r>
      <w:r>
        <w:t>deficiências</w:t>
      </w:r>
      <w:r>
        <w:rPr>
          <w:rFonts w:eastAsia="Times New Roman"/>
        </w:rPr>
        <w:t xml:space="preserve"> </w:t>
      </w:r>
      <w:r>
        <w:t>observadas</w:t>
      </w:r>
      <w:r>
        <w:rPr>
          <w:rFonts w:eastAsia="Times New Roman"/>
        </w:rPr>
        <w:t xml:space="preserve"> </w:t>
      </w:r>
      <w:r>
        <w:t>não</w:t>
      </w:r>
      <w:r>
        <w:rPr>
          <w:rFonts w:eastAsia="Times New Roman"/>
        </w:rPr>
        <w:t xml:space="preserve"> </w:t>
      </w:r>
      <w:r>
        <w:t>são</w:t>
      </w:r>
      <w:r>
        <w:rPr>
          <w:rFonts w:eastAsia="Times New Roman"/>
        </w:rPr>
        <w:t xml:space="preserve"> </w:t>
      </w:r>
      <w:r>
        <w:t>exclusividade</w:t>
      </w:r>
      <w:r>
        <w:rPr>
          <w:rFonts w:eastAsia="Times New Roman"/>
        </w:rPr>
        <w:t xml:space="preserve"> </w:t>
      </w:r>
      <w:r>
        <w:t>nas</w:t>
      </w:r>
      <w:r>
        <w:rPr>
          <w:rFonts w:eastAsia="Times New Roman"/>
        </w:rPr>
        <w:t xml:space="preserve"> </w:t>
      </w:r>
      <w:r>
        <w:t>DEAMs,</w:t>
      </w:r>
      <w:r>
        <w:rPr>
          <w:rFonts w:eastAsia="Times New Roman"/>
        </w:rPr>
        <w:t xml:space="preserve"> </w:t>
      </w:r>
      <w:r>
        <w:t>configuram-se</w:t>
      </w:r>
      <w:r>
        <w:rPr>
          <w:rFonts w:eastAsia="Times New Roman"/>
        </w:rPr>
        <w:t xml:space="preserve"> </w:t>
      </w:r>
      <w:r>
        <w:t>também</w:t>
      </w:r>
      <w:r>
        <w:rPr>
          <w:rFonts w:eastAsia="Times New Roman"/>
        </w:rPr>
        <w:t xml:space="preserve"> </w:t>
      </w:r>
      <w:r>
        <w:t>como</w:t>
      </w:r>
      <w:r>
        <w:rPr>
          <w:rFonts w:eastAsia="Times New Roman"/>
        </w:rPr>
        <w:t xml:space="preserve"> </w:t>
      </w:r>
      <w:r>
        <w:t>problema</w:t>
      </w:r>
      <w:r>
        <w:rPr>
          <w:rFonts w:eastAsia="Times New Roman"/>
        </w:rPr>
        <w:t xml:space="preserve"> </w:t>
      </w:r>
      <w:r>
        <w:t>disseminado</w:t>
      </w:r>
      <w:r>
        <w:rPr>
          <w:rFonts w:eastAsia="Times New Roman"/>
        </w:rPr>
        <w:t xml:space="preserve"> </w:t>
      </w:r>
      <w:r>
        <w:t>na</w:t>
      </w:r>
      <w:r>
        <w:rPr>
          <w:rFonts w:eastAsia="Times New Roman"/>
        </w:rPr>
        <w:t xml:space="preserve"> </w:t>
      </w:r>
      <w:r>
        <w:t>estrutura</w:t>
      </w:r>
      <w:r>
        <w:rPr>
          <w:rFonts w:eastAsia="Times New Roman"/>
        </w:rPr>
        <w:t xml:space="preserve"> </w:t>
      </w:r>
      <w:r>
        <w:t>de</w:t>
      </w:r>
      <w:r>
        <w:rPr>
          <w:rFonts w:eastAsia="Times New Roman"/>
        </w:rPr>
        <w:t xml:space="preserve"> </w:t>
      </w:r>
      <w:r>
        <w:t>funcionamento</w:t>
      </w:r>
      <w:r>
        <w:rPr>
          <w:rFonts w:eastAsia="Times New Roman"/>
        </w:rPr>
        <w:t xml:space="preserve"> </w:t>
      </w:r>
      <w:r>
        <w:t>das</w:t>
      </w:r>
      <w:r>
        <w:rPr>
          <w:rFonts w:eastAsia="Times New Roman"/>
        </w:rPr>
        <w:t xml:space="preserve"> </w:t>
      </w:r>
      <w:r>
        <w:t>polícias</w:t>
      </w:r>
      <w:r>
        <w:rPr>
          <w:rFonts w:eastAsia="Times New Roman"/>
        </w:rPr>
        <w:t xml:space="preserve"> </w:t>
      </w:r>
      <w:r>
        <w:t>civis.</w:t>
      </w:r>
    </w:p>
  </w:footnote>
  <w:footnote w:id="142">
    <w:p w:rsidR="00EC0E77" w:rsidRDefault="00EC0E77">
      <w:pPr>
        <w:autoSpaceDE w:val="0"/>
        <w:spacing w:line="100" w:lineRule="atLeast"/>
        <w:ind w:left="15" w:hanging="15"/>
        <w:jc w:val="both"/>
      </w:pPr>
      <w:r>
        <w:rPr>
          <w:rStyle w:val="Caracteresdenotaderodap"/>
        </w:rPr>
        <w:footnoteRef/>
      </w:r>
      <w:r>
        <w:rPr>
          <w:sz w:val="20"/>
          <w:szCs w:val="20"/>
        </w:rPr>
        <w:tab/>
        <w:t xml:space="preserve"> Parceria entre a Secretaria de Políticas para as Mulheres/Presidência da República, a Secretaria Nacional de Segurança Pública/Ministério da Justiça e o unodc - escritório das nações unidas sobre drogas e crime.</w:t>
      </w:r>
    </w:p>
  </w:footnote>
  <w:footnote w:id="143">
    <w:p w:rsidR="00EC0E77" w:rsidRDefault="00EC0E77" w:rsidP="00D24E61">
      <w:pPr>
        <w:pStyle w:val="Textodenotaderodap"/>
        <w:spacing w:before="100" w:beforeAutospacing="1" w:after="100" w:afterAutospacing="1"/>
      </w:pPr>
      <w:r w:rsidRPr="00FC5618">
        <w:rPr>
          <w:rStyle w:val="Refdenotaderodap"/>
        </w:rPr>
        <w:footnoteRef/>
      </w:r>
      <w:r w:rsidRPr="00FC5618">
        <w:t xml:space="preserve"> Por comungar com autores/as como Alípio de Sousa Filho (2013a, 2013b, 2009a, 2009b), Arianna Sala (2007a, 2012) e Rogério Diniz Junqueira (2007, 2009a, 2012) buscamos fazer uso do termo opção sexual em detrimento</w:t>
      </w:r>
      <w:r>
        <w:t xml:space="preserve"> de orientação sexual</w:t>
      </w:r>
      <w:r w:rsidRPr="003359C1">
        <w:t>, pois assim como o</w:t>
      </w:r>
      <w:r>
        <w:t>s</w:t>
      </w:r>
      <w:r w:rsidRPr="003359C1">
        <w:t>/a autor</w:t>
      </w:r>
      <w:r>
        <w:t>es</w:t>
      </w:r>
      <w:r w:rsidRPr="003359C1">
        <w:t>/a acreditamos e defendemos a ideia de que a manifestação da sexualidade é um processo em construção e vivida individualmente, portanto ela é cambiante e pode ocorrer por orientação ou por uma pluralidade de opções, escolhas, eleições e preferências que coincidem com determinados períodos da vivência do erotism</w:t>
      </w:r>
      <w:r>
        <w:t xml:space="preserve">o, da sensualidade e do desejo e </w:t>
      </w:r>
      <w:r w:rsidRPr="003359C1">
        <w:t>não</w:t>
      </w:r>
      <w:r>
        <w:t xml:space="preserve"> simplesmente</w:t>
      </w:r>
      <w:r w:rsidRPr="003359C1">
        <w:t xml:space="preserve"> pela imposição de uma cultura nacional. Ao nos conscientizarmos que essa pluralidade nos caracteriza c</w:t>
      </w:r>
      <w:r>
        <w:t>omo sociedade e como indivíduos</w:t>
      </w:r>
      <w:r w:rsidRPr="003359C1">
        <w:t xml:space="preserve"> somos impelidos/as a procurar novas formas de configurar um fator de enriquecimento e de desestabilização de sistemas de representações que hierarquizam termos e identidade(s) como verdadeiros, naturais e inevitáveis, estigmatizam identidades contrárias e subvertem outros conceitos.</w:t>
      </w:r>
    </w:p>
  </w:footnote>
  <w:footnote w:id="144">
    <w:p w:rsidR="00EC0E77" w:rsidRPr="001E54C0" w:rsidRDefault="00EC0E77" w:rsidP="00D24E61">
      <w:pPr>
        <w:pStyle w:val="Textodenotaderodap"/>
      </w:pPr>
      <w:r w:rsidRPr="00FC5618">
        <w:rPr>
          <w:rStyle w:val="Refdenotaderodap"/>
        </w:rPr>
        <w:footnoteRef/>
      </w:r>
      <w:r w:rsidRPr="00FC5618">
        <w:t xml:space="preserve"> Para Ávila, Grossi (2010, p. 01) a transexualidade masculina é a escolha de “sujeitos designados biologicamente como mulheres, mas que buscam se identificar, através da nominação, vestimenta e</w:t>
      </w:r>
      <w:r w:rsidRPr="001E54C0">
        <w:t xml:space="preserve"> transformações corporais, como pertencentes ao gênero masculino”</w:t>
      </w:r>
      <w:r>
        <w:t xml:space="preserve"> e o inverso se aplica para as mulheres transexuais que nasceram biologicamente como homens, porém, identificam-se como pertencentes ao gênero feminino e manifestam tal preleção através de modificações corporais assumindo caracteres do gênero feminino</w:t>
      </w:r>
      <w:r w:rsidRPr="001E54C0">
        <w:t xml:space="preserve">. </w:t>
      </w:r>
    </w:p>
  </w:footnote>
  <w:footnote w:id="145">
    <w:p w:rsidR="00EC0E77" w:rsidRPr="001E54C0" w:rsidRDefault="00EC0E77" w:rsidP="00D24E61">
      <w:pPr>
        <w:pStyle w:val="Textodenotaderodap"/>
      </w:pPr>
      <w:r w:rsidRPr="001E54C0">
        <w:rPr>
          <w:rStyle w:val="Refdenotaderodap"/>
        </w:rPr>
        <w:footnoteRef/>
      </w:r>
      <w:r w:rsidRPr="001E54C0">
        <w:t xml:space="preserve"> Podemos denominar como transgenitalização, readequação de sexo ou redesignação sexual a cirurgia de transformação plástico-reconstrutiva da genitália externa e interna com propósitos terapêuticos de adequar a genitália ao sexo psíquico. Neste caso, o processo de readequação é voltado para as cirurgias de neocolpovulvoplastia (</w:t>
      </w:r>
      <w:r w:rsidRPr="001E54C0">
        <w:rPr>
          <w:shd w:val="clear" w:color="auto" w:fill="FFFFFF"/>
        </w:rPr>
        <w:t>cirurgia de redesignação do sexo masculino para o feminino)</w:t>
      </w:r>
      <w:r w:rsidRPr="001E54C0">
        <w:t xml:space="preserve"> e neofaloplastia (</w:t>
      </w:r>
      <w:r w:rsidRPr="001E54C0">
        <w:rPr>
          <w:shd w:val="clear" w:color="auto" w:fill="FFFFFF"/>
        </w:rPr>
        <w:t xml:space="preserve">cirurgia de </w:t>
      </w:r>
      <w:r w:rsidRPr="00FC5618">
        <w:rPr>
          <w:shd w:val="clear" w:color="auto" w:fill="FFFFFF"/>
        </w:rPr>
        <w:t>redesignação do sexo feminino para o masculino) (</w:t>
      </w:r>
      <w:r w:rsidRPr="00FC5618">
        <w:t>BERGESCH, CHEMIN, 2009).</w:t>
      </w:r>
      <w:r w:rsidRPr="001E54C0">
        <w:t xml:space="preserve"> </w:t>
      </w:r>
    </w:p>
    <w:p w:rsidR="00EC0E77" w:rsidRPr="001E54C0" w:rsidRDefault="00EC0E77" w:rsidP="00D24E61">
      <w:pPr>
        <w:pStyle w:val="Textodenotaderodap"/>
        <w:rPr>
          <w:color w:val="00B0F0"/>
        </w:rPr>
      </w:pPr>
    </w:p>
  </w:footnote>
  <w:footnote w:id="146">
    <w:p w:rsidR="00EC0E77" w:rsidRPr="00CA04B2" w:rsidRDefault="00EC0E77" w:rsidP="00D24E61">
      <w:pPr>
        <w:pStyle w:val="Textodenotaderodap"/>
      </w:pPr>
      <w:r w:rsidRPr="00FC5618">
        <w:rPr>
          <w:rStyle w:val="Refdenotaderodap"/>
        </w:rPr>
        <w:footnoteRef/>
      </w:r>
      <w:r w:rsidRPr="00FC5618">
        <w:t xml:space="preserve"> Braga (2009; 2010) define como comunidade escolar aquela composta pelos/as pais/mães, professores/as, direção, equipe pedagógica, administrativa e funcionários/as.</w:t>
      </w:r>
    </w:p>
  </w:footnote>
  <w:footnote w:id="147">
    <w:p w:rsidR="00EC0E77" w:rsidRPr="00C22AD4" w:rsidRDefault="00EC0E77" w:rsidP="00D24E61">
      <w:pPr>
        <w:pStyle w:val="Textodenotaderodap"/>
      </w:pPr>
      <w:r w:rsidRPr="00C22AD4">
        <w:rPr>
          <w:rStyle w:val="Refdenotaderodap"/>
        </w:rPr>
        <w:footnoteRef/>
      </w:r>
      <w:r w:rsidRPr="00C22AD4">
        <w:t xml:space="preserve"> Adot</w:t>
      </w:r>
      <w:r>
        <w:t xml:space="preserve">amos </w:t>
      </w:r>
      <w:r w:rsidRPr="00C22AD4">
        <w:t>a expressão LGBTQIAfobia com a intenção</w:t>
      </w:r>
      <w:r>
        <w:t xml:space="preserve"> </w:t>
      </w:r>
      <w:r w:rsidRPr="00C22AD4">
        <w:t xml:space="preserve">de  sublinhar que a intransigência social em relação à homossexualidade masculina (ideia implícita à noção de homofobia) não é da mesma ordem do desrespeito que atinge lésbicas (oprimidas por uma lesbofobia que, além de homofóbica, é machista e sexista), nem do repúdio que sistematicamente atinge travestis e transexuais, cujas existências ferem de morte os binarismos macho-fêmea, homem-mulher, o que as torna vítimas preferenciais do terrorismo de gênero. Acredita-se que ao adotar um termo único, como a LGBTQIAfobia evita-se o uso repetitivo das expressões Lesbofobia, Transfobia, Travestifobia, Tansgênerofobia, </w:t>
      </w:r>
      <w:r w:rsidRPr="00C22AD4">
        <w:rPr>
          <w:i/>
        </w:rPr>
        <w:t>Gay</w:t>
      </w:r>
      <w:r w:rsidRPr="00C22AD4">
        <w:t xml:space="preserve">fobia,  Bifobia, Bigênerofobia, </w:t>
      </w:r>
      <w:r w:rsidRPr="00C22AD4">
        <w:rPr>
          <w:i/>
        </w:rPr>
        <w:t>Queer</w:t>
      </w:r>
      <w:r w:rsidRPr="00C22AD4">
        <w:t>fobia,</w:t>
      </w:r>
      <w:r>
        <w:t xml:space="preserve"> </w:t>
      </w:r>
      <w:r w:rsidRPr="00C22AD4">
        <w:t>Intersexofobia</w:t>
      </w:r>
      <w:r>
        <w:t xml:space="preserve">, </w:t>
      </w:r>
      <w:r w:rsidRPr="00C22AD4">
        <w:t xml:space="preserve">Aliadofobia e </w:t>
      </w:r>
      <w:r w:rsidRPr="00FC5618">
        <w:t>Assexofobia, o que cansaria o/a leitor/a (SCHULMAN, 2013).</w:t>
      </w:r>
      <w:r w:rsidRPr="00C22AD4">
        <w:t xml:space="preserve"> </w:t>
      </w:r>
    </w:p>
    <w:p w:rsidR="00EC0E77" w:rsidRDefault="00EC0E77" w:rsidP="00D24E61">
      <w:pPr>
        <w:pStyle w:val="Textodenotaderodap"/>
      </w:pPr>
    </w:p>
  </w:footnote>
  <w:footnote w:id="148">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Bacharela em Musicoterapia, técnica em Canto pela Escola Sinodal de Educação Profissional – ESEP/São Leopoldo-RS, mestranda em Teologia Prática pela Faculdades EST - São Leopoldo/RS, bolsista da CAPES, professor orientador Dr. Júlio Cézar Adam. E-mail: lucianast@gmail.com.</w:t>
      </w:r>
    </w:p>
  </w:footnote>
  <w:footnote w:id="149">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BRASIL. Decreto Legislativo n. 186, de 09 de julho de 2008. </w:t>
      </w:r>
      <w:r w:rsidRPr="00F93802">
        <w:rPr>
          <w:rFonts w:ascii="Times New Roman" w:hAnsi="Times New Roman"/>
          <w:i/>
        </w:rPr>
        <w:t>Aprova o texto da Convenção sobre os Direitos das Pessoas com Deficiência e de seu Protocolo Facultativo</w:t>
      </w:r>
      <w:r w:rsidRPr="00F93802">
        <w:rPr>
          <w:rFonts w:ascii="Times New Roman" w:hAnsi="Times New Roman"/>
        </w:rPr>
        <w:t>, assinados em Nova Iorque, em 30 de março de 2007. Diário Oficial da União, Brasília-DF, 10 jul. 2008, seção 1, edição 131, p. 1. Disponível em: &lt;http://www2.senado.gov.br/bdsf/item/id/99423&gt;. Acesso em: 06 fev. 2012. p. 21.</w:t>
      </w:r>
    </w:p>
  </w:footnote>
  <w:footnote w:id="150">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w:t>
      </w:r>
      <w:r w:rsidRPr="00F93802">
        <w:rPr>
          <w:rStyle w:val="nfase"/>
          <w:rFonts w:ascii="Times New Roman" w:hAnsi="Times New Roman"/>
          <w:i w:val="0"/>
        </w:rPr>
        <w:t>DINIZ, Débora</w:t>
      </w:r>
      <w:r w:rsidRPr="00F93802">
        <w:rPr>
          <w:rStyle w:val="nfase"/>
          <w:rFonts w:ascii="Times New Roman" w:hAnsi="Times New Roman"/>
        </w:rPr>
        <w:t>. O que é deficiência</w:t>
      </w:r>
      <w:r w:rsidRPr="00F93802">
        <w:rPr>
          <w:rStyle w:val="st"/>
          <w:rFonts w:ascii="Times New Roman" w:hAnsi="Times New Roman"/>
        </w:rPr>
        <w:t xml:space="preserve">. São Paulo: Editora </w:t>
      </w:r>
      <w:r w:rsidRPr="00F93802">
        <w:rPr>
          <w:rStyle w:val="nfase"/>
          <w:rFonts w:ascii="Times New Roman" w:hAnsi="Times New Roman"/>
          <w:i w:val="0"/>
        </w:rPr>
        <w:t>Brasiliense</w:t>
      </w:r>
      <w:r w:rsidRPr="00F93802">
        <w:rPr>
          <w:rStyle w:val="st"/>
          <w:rFonts w:ascii="Times New Roman" w:hAnsi="Times New Roman"/>
        </w:rPr>
        <w:t>, 2007. p. 15.</w:t>
      </w:r>
    </w:p>
  </w:footnote>
  <w:footnote w:id="151">
    <w:p w:rsidR="00EC0E77" w:rsidRPr="00A82DA7" w:rsidRDefault="00EC0E77" w:rsidP="00D24E61">
      <w:pPr>
        <w:pStyle w:val="Textodenotaderodap"/>
        <w:spacing w:line="240" w:lineRule="auto"/>
        <w:rPr>
          <w:rFonts w:ascii="Times New Roman" w:hAnsi="Times New Roman"/>
          <w:lang w:val="en-US"/>
        </w:rPr>
      </w:pPr>
      <w:r w:rsidRPr="00A82DA7">
        <w:rPr>
          <w:rStyle w:val="Refdenotaderodap"/>
          <w:rFonts w:ascii="Times New Roman" w:hAnsi="Times New Roman"/>
        </w:rPr>
        <w:footnoteRef/>
      </w:r>
      <w:r w:rsidRPr="00A82DA7">
        <w:rPr>
          <w:rFonts w:ascii="Times New Roman" w:hAnsi="Times New Roman"/>
          <w:lang w:val="en-US"/>
        </w:rPr>
        <w:t xml:space="preserve"> UPIAS. </w:t>
      </w:r>
      <w:r w:rsidRPr="00A82DA7">
        <w:rPr>
          <w:rFonts w:ascii="Times New Roman" w:hAnsi="Times New Roman"/>
          <w:i/>
          <w:lang w:val="en-US"/>
        </w:rPr>
        <w:t>Fundamental Principles of Disability</w:t>
      </w:r>
      <w:r w:rsidRPr="00A82DA7">
        <w:rPr>
          <w:rFonts w:ascii="Times New Roman" w:hAnsi="Times New Roman"/>
          <w:lang w:val="en-US"/>
        </w:rPr>
        <w:t>. London: Union of the Physically Impaired Against Segregation, 1976.</w:t>
      </w:r>
    </w:p>
  </w:footnote>
  <w:footnote w:id="152">
    <w:p w:rsidR="00EC0E77" w:rsidRPr="00A82DA7" w:rsidRDefault="00EC0E77" w:rsidP="00D24E61">
      <w:pPr>
        <w:pStyle w:val="Textodenotaderodap"/>
        <w:spacing w:line="240" w:lineRule="auto"/>
        <w:rPr>
          <w:rFonts w:ascii="Times New Roman" w:hAnsi="Times New Roman"/>
        </w:rPr>
      </w:pPr>
      <w:r w:rsidRPr="00A82DA7">
        <w:rPr>
          <w:rStyle w:val="Refdenotaderodap"/>
          <w:rFonts w:ascii="Times New Roman" w:hAnsi="Times New Roman"/>
        </w:rPr>
        <w:footnoteRef/>
      </w:r>
      <w:r w:rsidRPr="00A82DA7">
        <w:rPr>
          <w:rFonts w:ascii="Times New Roman" w:hAnsi="Times New Roman"/>
        </w:rPr>
        <w:t xml:space="preserve"> Convenções nacionais preferem o uso do termo “pessoas com deficiência”, a partir de uma visão mais humanista. Porém, a tradição britânica prefere “pessoa deficiente” ou “deficiente”. Michael Oliver afirma que não tem como separar pessoa e deficiência - OLIVER, Michael. </w:t>
      </w:r>
      <w:r w:rsidRPr="00A82DA7">
        <w:rPr>
          <w:rFonts w:ascii="Times New Roman" w:hAnsi="Times New Roman"/>
          <w:i/>
        </w:rPr>
        <w:t>Introduction. The Politics of Disablement</w:t>
      </w:r>
      <w:r w:rsidRPr="00A82DA7">
        <w:rPr>
          <w:rFonts w:ascii="Times New Roman" w:hAnsi="Times New Roman"/>
        </w:rPr>
        <w:t>. London. MacMillan. 1990. Utilizarei neste trabalho o termo “pessoas com deficiência” por minha preferência.</w:t>
      </w:r>
    </w:p>
  </w:footnote>
  <w:footnote w:id="153">
    <w:p w:rsidR="00EC0E77" w:rsidRPr="00F93802" w:rsidRDefault="00EC0E77" w:rsidP="00D24E61">
      <w:pPr>
        <w:keepNext/>
        <w:widowControl w:val="0"/>
        <w:jc w:val="both"/>
        <w:rPr>
          <w:sz w:val="20"/>
          <w:szCs w:val="20"/>
        </w:rPr>
      </w:pPr>
      <w:r w:rsidRPr="00F93802">
        <w:rPr>
          <w:rStyle w:val="Refdenotaderodap"/>
          <w:rFonts w:eastAsia="Calibri"/>
        </w:rPr>
        <w:footnoteRef/>
      </w:r>
      <w:r w:rsidRPr="00F93802">
        <w:rPr>
          <w:sz w:val="20"/>
          <w:szCs w:val="20"/>
          <w:lang w:val="en-US"/>
        </w:rPr>
        <w:t xml:space="preserve"> </w:t>
      </w:r>
      <w:r w:rsidRPr="00F93802">
        <w:rPr>
          <w:rStyle w:val="nfase"/>
          <w:i w:val="0"/>
          <w:sz w:val="20"/>
          <w:szCs w:val="20"/>
          <w:lang w:val="en-US"/>
        </w:rPr>
        <w:t xml:space="preserve">WENDELL, S. </w:t>
      </w:r>
      <w:r w:rsidRPr="00F93802">
        <w:rPr>
          <w:rStyle w:val="nfase"/>
          <w:sz w:val="20"/>
          <w:szCs w:val="20"/>
          <w:lang w:val="en-US"/>
        </w:rPr>
        <w:t>The rejected body</w:t>
      </w:r>
      <w:r w:rsidRPr="00F93802">
        <w:rPr>
          <w:rStyle w:val="st"/>
          <w:sz w:val="20"/>
          <w:szCs w:val="20"/>
          <w:lang w:val="en-US"/>
        </w:rPr>
        <w:t xml:space="preserve">: feminist philosophical reflections on disability. </w:t>
      </w:r>
      <w:r w:rsidRPr="00F93802">
        <w:rPr>
          <w:rStyle w:val="st"/>
          <w:sz w:val="20"/>
          <w:szCs w:val="20"/>
        </w:rPr>
        <w:t xml:space="preserve">New York: Routledge, 1996. p. </w:t>
      </w:r>
      <w:r w:rsidRPr="00F93802">
        <w:rPr>
          <w:sz w:val="20"/>
          <w:szCs w:val="20"/>
        </w:rPr>
        <w:t>35.</w:t>
      </w:r>
    </w:p>
  </w:footnote>
  <w:footnote w:id="154">
    <w:p w:rsidR="00EC0E77" w:rsidRPr="00F93802" w:rsidRDefault="00EC0E77" w:rsidP="00D24E61">
      <w:pPr>
        <w:keepLines/>
        <w:widowControl w:val="0"/>
        <w:jc w:val="both"/>
        <w:rPr>
          <w:sz w:val="20"/>
          <w:szCs w:val="20"/>
        </w:rPr>
      </w:pPr>
      <w:r w:rsidRPr="00F93802">
        <w:rPr>
          <w:rStyle w:val="Refdenotaderodap"/>
          <w:rFonts w:eastAsia="Calibri"/>
        </w:rPr>
        <w:footnoteRef/>
      </w:r>
      <w:r w:rsidRPr="00F93802">
        <w:rPr>
          <w:sz w:val="20"/>
          <w:szCs w:val="20"/>
        </w:rPr>
        <w:t xml:space="preserve"> DINIZ, Débora. </w:t>
      </w:r>
      <w:r w:rsidRPr="00F93802">
        <w:rPr>
          <w:i/>
          <w:sz w:val="20"/>
          <w:szCs w:val="20"/>
        </w:rPr>
        <w:t>Modelo social da deficiência</w:t>
      </w:r>
      <w:r w:rsidRPr="00F93802">
        <w:rPr>
          <w:sz w:val="20"/>
          <w:szCs w:val="20"/>
        </w:rPr>
        <w:t>: a crítica feminista. Série Anis 28, Brasília, p. 1-8, jul. 2003. p. 1.</w:t>
      </w:r>
    </w:p>
  </w:footnote>
  <w:footnote w:id="155">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WENDELL, 1996, p. 39.</w:t>
      </w:r>
    </w:p>
  </w:footnote>
  <w:footnote w:id="156">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BRASIL, 2008, p. 1</w:t>
      </w:r>
      <w:r>
        <w:rPr>
          <w:rFonts w:ascii="Times New Roman" w:hAnsi="Times New Roman"/>
        </w:rPr>
        <w:t>.</w:t>
      </w:r>
    </w:p>
  </w:footnote>
  <w:footnote w:id="157">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rPr>
        <w:t xml:space="preserve"> FARIAS, Adenize Queiroz de. </w:t>
      </w:r>
      <w:r w:rsidRPr="00F93802">
        <w:rPr>
          <w:rFonts w:ascii="Times New Roman" w:hAnsi="Times New Roman"/>
          <w:bCs/>
          <w:i/>
        </w:rPr>
        <w:t>Gênero e deficiência</w:t>
      </w:r>
      <w:r w:rsidRPr="00F93802">
        <w:rPr>
          <w:rFonts w:ascii="Times New Roman" w:hAnsi="Times New Roman"/>
          <w:bCs/>
        </w:rPr>
        <w:t xml:space="preserve">: </w:t>
      </w:r>
      <w:r w:rsidRPr="00F93802">
        <w:rPr>
          <w:rFonts w:ascii="Times New Roman" w:hAnsi="Times New Roman"/>
        </w:rPr>
        <w:t xml:space="preserve">uma história feminina de ruptura e superação de vulnerabilidades. Dissertação (Mestrado) - Programa de Pós-Graduação em Educação, Universidade Federal da Paraíba. </w:t>
      </w:r>
      <w:r w:rsidRPr="00F93802">
        <w:rPr>
          <w:rFonts w:ascii="Times New Roman" w:hAnsi="Times New Roman"/>
          <w:lang w:val="en-US"/>
        </w:rPr>
        <w:t>João Pessoa: UFPB, 2011, p. 36.</w:t>
      </w:r>
    </w:p>
  </w:footnote>
  <w:footnote w:id="158">
    <w:p w:rsidR="00EC0E77" w:rsidRPr="00F93802" w:rsidRDefault="00EC0E77" w:rsidP="00D61223">
      <w:pPr>
        <w:pStyle w:val="Textodenotaderodap"/>
        <w:spacing w:after="120"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WENDELL, 1996, p. 39; 60.</w:t>
      </w:r>
    </w:p>
  </w:footnote>
  <w:footnote w:id="159">
    <w:p w:rsidR="00EC0E77" w:rsidRPr="00A82DA7" w:rsidRDefault="00EC0E77" w:rsidP="00D61223">
      <w:pPr>
        <w:pStyle w:val="Textodenotaderodap"/>
        <w:spacing w:after="120" w:line="240" w:lineRule="auto"/>
        <w:rPr>
          <w:rFonts w:ascii="Times New Roman" w:hAnsi="Times New Roman"/>
          <w:lang w:val="en-US"/>
        </w:rPr>
      </w:pPr>
      <w:r w:rsidRPr="00A82DA7">
        <w:rPr>
          <w:rStyle w:val="Refdenotaderodap"/>
          <w:rFonts w:ascii="Times New Roman" w:hAnsi="Times New Roman"/>
        </w:rPr>
        <w:footnoteRef/>
      </w:r>
      <w:r w:rsidRPr="00A82DA7">
        <w:rPr>
          <w:rFonts w:ascii="Times New Roman" w:hAnsi="Times New Roman"/>
          <w:lang w:val="en-US"/>
        </w:rPr>
        <w:t xml:space="preserve"> WENDELL, 1996, p. 39.</w:t>
      </w:r>
    </w:p>
  </w:footnote>
  <w:footnote w:id="160">
    <w:p w:rsidR="00EC0E77" w:rsidRPr="00F93802" w:rsidRDefault="00EC0E77" w:rsidP="00D61223">
      <w:pPr>
        <w:pStyle w:val="Textodenotaderodap"/>
        <w:spacing w:after="120"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WENDELL, 1996, p. 42-43.</w:t>
      </w:r>
    </w:p>
  </w:footnote>
  <w:footnote w:id="161">
    <w:p w:rsidR="00EC0E77" w:rsidRPr="00F93802" w:rsidRDefault="00EC0E77" w:rsidP="00D61223">
      <w:pPr>
        <w:pStyle w:val="Textodenotaderodap"/>
        <w:spacing w:after="120"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GARLAND-THOMSON, Rosemarie. Integrating Disability, Transforming Feminist Theory. In : HALL, Kim Q. (Ed.) Feminist Disability Studies. Bloomington: Indiana University Press, 2011. p. 17.</w:t>
      </w:r>
    </w:p>
  </w:footnote>
  <w:footnote w:id="162">
    <w:p w:rsidR="00EC0E77" w:rsidRPr="00B77D0B" w:rsidRDefault="00EC0E77" w:rsidP="00D61223">
      <w:pPr>
        <w:pStyle w:val="Textodenotaderodap"/>
        <w:spacing w:after="120" w:line="240" w:lineRule="auto"/>
        <w:rPr>
          <w:rFonts w:ascii="Times New Roman" w:hAnsi="Times New Roman"/>
        </w:rPr>
      </w:pPr>
      <w:r w:rsidRPr="00F93802">
        <w:rPr>
          <w:rStyle w:val="Refdenotaderodap"/>
          <w:rFonts w:ascii="Times New Roman" w:hAnsi="Times New Roman"/>
        </w:rPr>
        <w:footnoteRef/>
      </w:r>
      <w:r w:rsidRPr="00B77D0B">
        <w:rPr>
          <w:rFonts w:ascii="Times New Roman" w:hAnsi="Times New Roman"/>
        </w:rPr>
        <w:t xml:space="preserve"> WENDELL, 1996, p. 43-44.</w:t>
      </w:r>
    </w:p>
  </w:footnote>
  <w:footnote w:id="163">
    <w:p w:rsidR="00EC0E77" w:rsidRPr="00B77D0B" w:rsidRDefault="00EC0E77" w:rsidP="00D61223">
      <w:pPr>
        <w:pStyle w:val="Textodenotaderodap"/>
        <w:spacing w:after="120" w:line="240" w:lineRule="auto"/>
        <w:rPr>
          <w:rFonts w:ascii="Times New Roman" w:hAnsi="Times New Roman"/>
          <w:lang w:val="en-US"/>
        </w:rPr>
      </w:pPr>
      <w:r w:rsidRPr="00CD16EC">
        <w:rPr>
          <w:rStyle w:val="Refdenotaderodap"/>
          <w:rFonts w:ascii="Times New Roman" w:hAnsi="Times New Roman"/>
        </w:rPr>
        <w:footnoteRef/>
      </w:r>
      <w:r w:rsidRPr="00CD16EC">
        <w:rPr>
          <w:rFonts w:ascii="Times New Roman" w:hAnsi="Times New Roman"/>
        </w:rPr>
        <w:t xml:space="preserve"> SALAZAR, Elizabeth. Talita Cumi: chamados a viver na diversidade. In:</w:t>
      </w:r>
      <w:r w:rsidRPr="00CD16EC">
        <w:rPr>
          <w:rFonts w:ascii="Times New Roman" w:hAnsi="Times New Roman"/>
          <w:shd w:val="clear" w:color="auto" w:fill="FFFFFF"/>
        </w:rPr>
        <w:t xml:space="preserve"> MENESES, Alexandra; GIESE, Nilton; COLLOT, Noel F. (Orgs.) </w:t>
      </w:r>
      <w:r w:rsidRPr="00CD16EC">
        <w:rPr>
          <w:rFonts w:ascii="Times New Roman" w:hAnsi="Times New Roman"/>
          <w:i/>
          <w:shd w:val="clear" w:color="auto" w:fill="FFFFFF"/>
        </w:rPr>
        <w:t>Teologia e Deficiência</w:t>
      </w:r>
      <w:r w:rsidRPr="00CD16EC">
        <w:rPr>
          <w:rFonts w:ascii="Times New Roman" w:hAnsi="Times New Roman"/>
          <w:shd w:val="clear" w:color="auto" w:fill="FFFFFF"/>
        </w:rPr>
        <w:t xml:space="preserve">. </w:t>
      </w:r>
      <w:r w:rsidRPr="00B77D0B">
        <w:rPr>
          <w:rFonts w:ascii="Times New Roman" w:hAnsi="Times New Roman"/>
          <w:shd w:val="clear" w:color="auto" w:fill="FFFFFF"/>
          <w:lang w:val="en-US"/>
        </w:rPr>
        <w:t>São Leopoldo: Editora </w:t>
      </w:r>
      <w:r w:rsidRPr="00B77D0B">
        <w:rPr>
          <w:rFonts w:ascii="Times New Roman" w:hAnsi="Times New Roman"/>
          <w:bCs/>
          <w:shd w:val="clear" w:color="auto" w:fill="FFFFFF"/>
          <w:lang w:val="en-US"/>
        </w:rPr>
        <w:t>Sinodal</w:t>
      </w:r>
      <w:r w:rsidRPr="00B77D0B">
        <w:rPr>
          <w:rFonts w:ascii="Times New Roman" w:hAnsi="Times New Roman"/>
          <w:shd w:val="clear" w:color="auto" w:fill="FFFFFF"/>
          <w:lang w:val="en-US"/>
        </w:rPr>
        <w:t>/CLAI</w:t>
      </w:r>
      <w:r w:rsidRPr="00B77D0B">
        <w:rPr>
          <w:rFonts w:ascii="Times New Roman" w:hAnsi="Times New Roman"/>
          <w:lang w:val="en-US"/>
        </w:rPr>
        <w:t>, 2010. p. 21.</w:t>
      </w:r>
    </w:p>
  </w:footnote>
  <w:footnote w:id="164">
    <w:p w:rsidR="00EC0E77" w:rsidRPr="0043180C" w:rsidRDefault="00EC0E77" w:rsidP="00D61223">
      <w:pPr>
        <w:pStyle w:val="Textodenotaderodap"/>
        <w:spacing w:afterLines="120" w:after="288" w:line="240" w:lineRule="auto"/>
        <w:rPr>
          <w:rFonts w:ascii="Times New Roman" w:hAnsi="Times New Roman"/>
        </w:rPr>
      </w:pPr>
      <w:r w:rsidRPr="00CD16EC">
        <w:rPr>
          <w:rStyle w:val="Refdenotaderodap"/>
          <w:rFonts w:ascii="Times New Roman" w:hAnsi="Times New Roman"/>
        </w:rPr>
        <w:footnoteRef/>
      </w:r>
      <w:r w:rsidRPr="00B77D0B">
        <w:rPr>
          <w:rFonts w:ascii="Times New Roman" w:hAnsi="Times New Roman"/>
          <w:lang w:val="en-US"/>
        </w:rPr>
        <w:t xml:space="preserve"> </w:t>
      </w:r>
      <w:hyperlink r:id="rId8" w:history="1">
        <w:r w:rsidRPr="00B77D0B">
          <w:rPr>
            <w:rStyle w:val="Hyperlink"/>
            <w:rFonts w:ascii="Times New Roman" w:hAnsi="Times New Roman"/>
            <w:shd w:val="clear" w:color="auto" w:fill="FFFFFF"/>
            <w:lang w:val="en-US"/>
          </w:rPr>
          <w:t>REYNOLDS, Thomas E.</w:t>
        </w:r>
      </w:hyperlink>
      <w:r w:rsidRPr="00B77D0B">
        <w:rPr>
          <w:rStyle w:val="apple-converted-space"/>
          <w:rFonts w:ascii="Times New Roman" w:hAnsi="Times New Roman"/>
          <w:shd w:val="clear" w:color="auto" w:fill="FFFFFF"/>
          <w:lang w:val="en-US"/>
        </w:rPr>
        <w:t> </w:t>
      </w:r>
      <w:hyperlink r:id="rId9" w:history="1">
        <w:r w:rsidRPr="00CD16EC">
          <w:rPr>
            <w:rStyle w:val="Hyperlink"/>
            <w:rFonts w:ascii="Times New Roman" w:hAnsi="Times New Roman"/>
            <w:bCs/>
            <w:shd w:val="clear" w:color="auto" w:fill="FFFFFF"/>
            <w:lang w:val="en-US"/>
          </w:rPr>
          <w:t>Theology and Disability: Changing the Conversation</w:t>
        </w:r>
      </w:hyperlink>
      <w:r w:rsidRPr="00CD16EC">
        <w:rPr>
          <w:rStyle w:val="biblio-title"/>
          <w:rFonts w:ascii="Times New Roman" w:hAnsi="Times New Roman"/>
          <w:bCs/>
          <w:shd w:val="clear" w:color="auto" w:fill="FFFFFF"/>
          <w:lang w:val="en-US"/>
        </w:rPr>
        <w:t>.</w:t>
      </w:r>
      <w:r w:rsidRPr="00CD16EC">
        <w:rPr>
          <w:rStyle w:val="apple-converted-space"/>
          <w:rFonts w:ascii="Times New Roman" w:hAnsi="Times New Roman"/>
          <w:b/>
          <w:bCs/>
          <w:shd w:val="clear" w:color="auto" w:fill="FFFFFF"/>
          <w:lang w:val="en-US"/>
        </w:rPr>
        <w:t> </w:t>
      </w:r>
      <w:r w:rsidRPr="0043180C">
        <w:rPr>
          <w:rFonts w:ascii="Times New Roman" w:hAnsi="Times New Roman"/>
          <w:i/>
          <w:shd w:val="clear" w:color="auto" w:fill="FFFFFF"/>
        </w:rPr>
        <w:t>Journal of Religion, Disability &amp; Health</w:t>
      </w:r>
      <w:r w:rsidRPr="0043180C">
        <w:rPr>
          <w:rFonts w:ascii="Times New Roman" w:hAnsi="Times New Roman"/>
          <w:shd w:val="clear" w:color="auto" w:fill="FFFFFF"/>
        </w:rPr>
        <w:t>, v. 16, n. 1, p.</w:t>
      </w:r>
      <w:r w:rsidRPr="0043180C">
        <w:rPr>
          <w:rStyle w:val="apple-converted-space"/>
          <w:rFonts w:ascii="Times New Roman" w:hAnsi="Times New Roman"/>
          <w:shd w:val="clear" w:color="auto" w:fill="FFFFFF"/>
        </w:rPr>
        <w:t> </w:t>
      </w:r>
      <w:r w:rsidRPr="0043180C">
        <w:rPr>
          <w:rFonts w:ascii="Times New Roman" w:hAnsi="Times New Roman"/>
          <w:shd w:val="clear" w:color="auto" w:fill="FFFFFF"/>
        </w:rPr>
        <w:t>33–48, 2012.</w:t>
      </w:r>
      <w:r w:rsidRPr="0043180C">
        <w:rPr>
          <w:rFonts w:ascii="Times New Roman" w:hAnsi="Times New Roman"/>
        </w:rPr>
        <w:t xml:space="preserve"> p. 37;40.</w:t>
      </w:r>
    </w:p>
  </w:footnote>
  <w:footnote w:id="165">
    <w:p w:rsidR="00EC0E77" w:rsidRPr="00CD16EC" w:rsidRDefault="00EC0E77" w:rsidP="00D61223">
      <w:pPr>
        <w:keepLines/>
        <w:widowControl w:val="0"/>
        <w:spacing w:afterLines="120" w:after="288"/>
        <w:jc w:val="both"/>
        <w:rPr>
          <w:sz w:val="20"/>
          <w:szCs w:val="20"/>
        </w:rPr>
      </w:pPr>
      <w:r w:rsidRPr="00CD16EC">
        <w:rPr>
          <w:rStyle w:val="Refdenotaderodap"/>
          <w:rFonts w:eastAsia="Calibri"/>
        </w:rPr>
        <w:footnoteRef/>
      </w:r>
      <w:r w:rsidRPr="00CD16EC">
        <w:rPr>
          <w:sz w:val="20"/>
          <w:szCs w:val="20"/>
        </w:rPr>
        <w:t xml:space="preserve"> SASSAKI, Romeu K. </w:t>
      </w:r>
      <w:r w:rsidRPr="00CD16EC">
        <w:rPr>
          <w:i/>
          <w:sz w:val="20"/>
          <w:szCs w:val="20"/>
        </w:rPr>
        <w:t>Inclusão</w:t>
      </w:r>
      <w:r w:rsidRPr="00CD16EC">
        <w:rPr>
          <w:sz w:val="20"/>
          <w:szCs w:val="20"/>
        </w:rPr>
        <w:t xml:space="preserve">: construindo uma sociedade para todos. 8.ed. Rio de Janeiro: WVA, 2010. </w:t>
      </w:r>
      <w:r w:rsidRPr="0043180C">
        <w:rPr>
          <w:rStyle w:val="st"/>
          <w:sz w:val="20"/>
          <w:szCs w:val="20"/>
        </w:rPr>
        <w:t>p. 32;41.</w:t>
      </w:r>
    </w:p>
  </w:footnote>
  <w:footnote w:id="166">
    <w:p w:rsidR="00EC0E77" w:rsidRPr="00CD16EC" w:rsidRDefault="00EC0E77" w:rsidP="00D61223">
      <w:pPr>
        <w:keepNext/>
        <w:widowControl w:val="0"/>
        <w:spacing w:afterLines="120" w:after="288"/>
        <w:jc w:val="both"/>
        <w:rPr>
          <w:sz w:val="20"/>
          <w:szCs w:val="20"/>
        </w:rPr>
      </w:pPr>
      <w:r w:rsidRPr="00CD16EC">
        <w:rPr>
          <w:rStyle w:val="Refdenotaderodap"/>
          <w:rFonts w:eastAsia="Calibri"/>
        </w:rPr>
        <w:footnoteRef/>
      </w:r>
      <w:r w:rsidRPr="00CD16EC">
        <w:rPr>
          <w:sz w:val="20"/>
          <w:szCs w:val="20"/>
        </w:rPr>
        <w:t xml:space="preserve"> </w:t>
      </w:r>
      <w:r w:rsidRPr="00CD16EC">
        <w:rPr>
          <w:rStyle w:val="nfase"/>
          <w:i w:val="0"/>
          <w:sz w:val="20"/>
          <w:szCs w:val="20"/>
        </w:rPr>
        <w:t>SASSAKI</w:t>
      </w:r>
      <w:r w:rsidRPr="00CD16EC">
        <w:rPr>
          <w:rStyle w:val="st"/>
          <w:sz w:val="20"/>
          <w:szCs w:val="20"/>
        </w:rPr>
        <w:t>, 2010. p. 32;41.</w:t>
      </w:r>
    </w:p>
  </w:footnote>
  <w:footnote w:id="167">
    <w:p w:rsidR="00EC0E77" w:rsidRPr="00F93802" w:rsidRDefault="00EC0E77" w:rsidP="00D61223">
      <w:pPr>
        <w:autoSpaceDE w:val="0"/>
        <w:autoSpaceDN w:val="0"/>
        <w:adjustRightInd w:val="0"/>
        <w:spacing w:afterLines="120" w:after="288"/>
        <w:jc w:val="both"/>
        <w:rPr>
          <w:sz w:val="20"/>
          <w:szCs w:val="20"/>
        </w:rPr>
      </w:pPr>
      <w:r w:rsidRPr="00F93802">
        <w:rPr>
          <w:rStyle w:val="Refdenotaderodap"/>
          <w:rFonts w:eastAsia="Calibri"/>
        </w:rPr>
        <w:footnoteRef/>
      </w:r>
      <w:r w:rsidRPr="00F93802">
        <w:rPr>
          <w:sz w:val="20"/>
          <w:szCs w:val="20"/>
        </w:rPr>
        <w:t xml:space="preserve"> SASSAKI, Romeu Kazumi. Inclusão: acessibilidade no lazer, trabalho e educação. Revista Nacional de Reabilitação (Reação), São Paulo, Ano XII, mar./abr. 2009, p. 10-16.</w:t>
      </w:r>
    </w:p>
  </w:footnote>
  <w:footnote w:id="168">
    <w:p w:rsidR="00EC0E77" w:rsidRPr="00B77D0B" w:rsidRDefault="00EC0E77" w:rsidP="00D61223">
      <w:pPr>
        <w:pStyle w:val="Textodenotaderodap"/>
        <w:spacing w:afterLines="120" w:after="288" w:line="240" w:lineRule="auto"/>
        <w:rPr>
          <w:rFonts w:ascii="Times New Roman" w:hAnsi="Times New Roman"/>
          <w:lang w:val="en-US"/>
        </w:rPr>
      </w:pPr>
      <w:r w:rsidRPr="00F93802">
        <w:rPr>
          <w:rStyle w:val="Refdenotaderodap"/>
          <w:rFonts w:ascii="Times New Roman" w:hAnsi="Times New Roman"/>
        </w:rPr>
        <w:footnoteRef/>
      </w:r>
      <w:r w:rsidRPr="00B77D0B">
        <w:rPr>
          <w:rFonts w:ascii="Times New Roman" w:hAnsi="Times New Roman"/>
          <w:lang w:val="en-US"/>
        </w:rPr>
        <w:t xml:space="preserve"> SASSAKI, 2010, p. 17.</w:t>
      </w:r>
    </w:p>
  </w:footnote>
  <w:footnote w:id="169">
    <w:p w:rsidR="00EC0E77" w:rsidRPr="00F93802" w:rsidRDefault="00EC0E77" w:rsidP="00D61223">
      <w:pPr>
        <w:pStyle w:val="Textodenotaderodap"/>
        <w:spacing w:afterLines="120" w:after="288" w:line="240" w:lineRule="auto"/>
        <w:rPr>
          <w:rFonts w:ascii="Times New Roman" w:hAnsi="Times New Roman"/>
        </w:rPr>
      </w:pPr>
      <w:r w:rsidRPr="00F93802">
        <w:rPr>
          <w:rStyle w:val="Refdenotaderodap"/>
          <w:rFonts w:ascii="Times New Roman" w:hAnsi="Times New Roman"/>
        </w:rPr>
        <w:footnoteRef/>
      </w:r>
      <w:r w:rsidRPr="0011506B">
        <w:rPr>
          <w:rFonts w:ascii="Times New Roman" w:hAnsi="Times New Roman"/>
          <w:lang w:val="en-US"/>
        </w:rPr>
        <w:t xml:space="preserve"> ASSMANN, Hugo; MO SUNG, Jung. </w:t>
      </w:r>
      <w:r w:rsidRPr="00F93802">
        <w:rPr>
          <w:rFonts w:ascii="Times New Roman" w:hAnsi="Times New Roman"/>
          <w:i/>
        </w:rPr>
        <w:t>Competência e sensibilidade solidária</w:t>
      </w:r>
      <w:r w:rsidRPr="00F93802">
        <w:rPr>
          <w:rFonts w:ascii="Times New Roman" w:hAnsi="Times New Roman"/>
        </w:rPr>
        <w:t>. Petrópolis: Vozes, 2000. p. 127.</w:t>
      </w:r>
    </w:p>
  </w:footnote>
  <w:footnote w:id="170">
    <w:p w:rsidR="00EC0E77" w:rsidRPr="00F93802" w:rsidRDefault="00EC0E77" w:rsidP="00D61223">
      <w:pPr>
        <w:pStyle w:val="Textodenotaderodap"/>
        <w:spacing w:afterLines="120" w:after="288"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Vida independente significa que as pessoas com deficiência têm o direito de fazerem suas próprias escolhas, sem as interferências institucionais e familiares, partindo do princípio de que apenas as pessoas com deficiência sabem o que é melhor para si mesmas. (MELLO, 2010, p. 5-6).</w:t>
      </w:r>
    </w:p>
  </w:footnote>
  <w:footnote w:id="171">
    <w:p w:rsidR="00EC0E77" w:rsidRPr="00F93802" w:rsidRDefault="00EC0E77" w:rsidP="00D61223">
      <w:pPr>
        <w:keepLines/>
        <w:widowControl w:val="0"/>
        <w:spacing w:afterLines="120" w:after="288"/>
        <w:jc w:val="both"/>
        <w:rPr>
          <w:sz w:val="20"/>
          <w:szCs w:val="20"/>
        </w:rPr>
      </w:pPr>
      <w:r w:rsidRPr="00F93802">
        <w:rPr>
          <w:rStyle w:val="Refdenotaderodap"/>
          <w:rFonts w:eastAsia="Calibri"/>
        </w:rPr>
        <w:footnoteRef/>
      </w:r>
      <w:r w:rsidRPr="00F93802">
        <w:rPr>
          <w:sz w:val="20"/>
          <w:szCs w:val="20"/>
        </w:rPr>
        <w:t xml:space="preserve"> MELLO, Anahi Guedes de; NUERNBERG, Adriano Henrique. </w:t>
      </w:r>
      <w:r w:rsidRPr="00F93802">
        <w:rPr>
          <w:i/>
          <w:sz w:val="20"/>
          <w:szCs w:val="20"/>
        </w:rPr>
        <w:t>Gênero e deficiência</w:t>
      </w:r>
      <w:r w:rsidRPr="00F93802">
        <w:rPr>
          <w:sz w:val="20"/>
          <w:szCs w:val="20"/>
        </w:rPr>
        <w:t xml:space="preserve">: interseções e perspectivas. Revista Estudos Feministas, Florianópolis, v. 20, n. 3, p. 635-655, 2012. </w:t>
      </w:r>
    </w:p>
  </w:footnote>
  <w:footnote w:id="172">
    <w:p w:rsidR="00EC0E77" w:rsidRPr="00F93802" w:rsidRDefault="00EC0E77" w:rsidP="00D61223">
      <w:pPr>
        <w:keepLines/>
        <w:widowControl w:val="0"/>
        <w:spacing w:afterLines="120" w:after="288"/>
        <w:jc w:val="both"/>
        <w:rPr>
          <w:sz w:val="20"/>
          <w:szCs w:val="20"/>
        </w:rPr>
      </w:pPr>
      <w:r w:rsidRPr="00F93802">
        <w:rPr>
          <w:rStyle w:val="Refdenotaderodap"/>
          <w:rFonts w:eastAsia="Calibri"/>
        </w:rPr>
        <w:footnoteRef/>
      </w:r>
      <w:r w:rsidRPr="00F93802">
        <w:rPr>
          <w:sz w:val="20"/>
          <w:szCs w:val="20"/>
        </w:rPr>
        <w:t xml:space="preserve"> BICALHO, Elizabete. Correntes Feministas e abordagens de gênero. In: SOTER (Org.) </w:t>
      </w:r>
      <w:r w:rsidRPr="00F93802">
        <w:rPr>
          <w:i/>
          <w:sz w:val="20"/>
          <w:szCs w:val="20"/>
        </w:rPr>
        <w:t>Gênero e teologia</w:t>
      </w:r>
      <w:r w:rsidRPr="00F93802">
        <w:rPr>
          <w:sz w:val="20"/>
          <w:szCs w:val="20"/>
        </w:rPr>
        <w:t>: interpelações e perspectivas. São Paulo: SOTER/Paulinas/Loyola, 2003. p. 37-50. p. 47</w:t>
      </w:r>
    </w:p>
  </w:footnote>
  <w:footnote w:id="173">
    <w:p w:rsidR="00EC0E77" w:rsidRPr="00B63FFB" w:rsidRDefault="00EC0E77" w:rsidP="00D61223">
      <w:pPr>
        <w:keepLines/>
        <w:widowControl w:val="0"/>
        <w:spacing w:afterLines="120" w:after="288"/>
        <w:jc w:val="both"/>
        <w:rPr>
          <w:sz w:val="20"/>
          <w:szCs w:val="20"/>
        </w:rPr>
      </w:pPr>
      <w:r w:rsidRPr="00F93802">
        <w:rPr>
          <w:rStyle w:val="Refdenotaderodap"/>
          <w:rFonts w:eastAsia="Calibri"/>
        </w:rPr>
        <w:footnoteRef/>
      </w:r>
      <w:r w:rsidRPr="00F93802">
        <w:rPr>
          <w:sz w:val="20"/>
          <w:szCs w:val="20"/>
        </w:rPr>
        <w:t xml:space="preserve"> DEIFELT, Wanda. Temas e metodologias da teologia feminista. In: SOTER (Org.) </w:t>
      </w:r>
      <w:r w:rsidRPr="00F93802">
        <w:rPr>
          <w:i/>
          <w:sz w:val="20"/>
          <w:szCs w:val="20"/>
        </w:rPr>
        <w:t>Gênero e teologia</w:t>
      </w:r>
      <w:r w:rsidRPr="00F93802">
        <w:rPr>
          <w:sz w:val="20"/>
          <w:szCs w:val="20"/>
        </w:rPr>
        <w:t xml:space="preserve">: interpelações e </w:t>
      </w:r>
      <w:r w:rsidRPr="00B63FFB">
        <w:rPr>
          <w:sz w:val="20"/>
          <w:szCs w:val="20"/>
        </w:rPr>
        <w:t>perspectivas. São Paulo: SOTER/Paulinas/Loyola, 2003. p. 171-186. p. 172).</w:t>
      </w:r>
    </w:p>
  </w:footnote>
  <w:footnote w:id="174">
    <w:p w:rsidR="00EC0E77" w:rsidRPr="00B77D0B" w:rsidRDefault="00EC0E77" w:rsidP="00D61223">
      <w:pPr>
        <w:pStyle w:val="Textodenotaderodap"/>
        <w:spacing w:afterLines="120" w:after="288" w:line="240" w:lineRule="auto"/>
        <w:rPr>
          <w:rFonts w:ascii="Times New Roman" w:hAnsi="Times New Roman"/>
          <w:lang w:val="en-US"/>
        </w:rPr>
      </w:pPr>
      <w:r w:rsidRPr="00B63FFB">
        <w:rPr>
          <w:rStyle w:val="Refdenotaderodap"/>
          <w:rFonts w:ascii="Times New Roman" w:hAnsi="Times New Roman"/>
        </w:rPr>
        <w:footnoteRef/>
      </w:r>
      <w:r w:rsidRPr="00B63FFB">
        <w:rPr>
          <w:rFonts w:ascii="Times New Roman" w:hAnsi="Times New Roman"/>
        </w:rPr>
        <w:t xml:space="preserve"> </w:t>
      </w:r>
      <w:r w:rsidRPr="00B63FFB">
        <w:rPr>
          <w:rFonts w:ascii="Times New Roman" w:hAnsi="Times New Roman"/>
          <w:iCs/>
        </w:rPr>
        <w:t xml:space="preserve">TEIXEIRA, Marilane O. Desigualdades salariais entre homens e mulheres a partir de uma abordagem de economistas feministas. </w:t>
      </w:r>
      <w:r w:rsidRPr="00B77D0B">
        <w:rPr>
          <w:rFonts w:ascii="Times New Roman" w:hAnsi="Times New Roman"/>
          <w:i/>
          <w:iCs/>
          <w:lang w:val="en-US"/>
        </w:rPr>
        <w:t>Niterói</w:t>
      </w:r>
      <w:r w:rsidRPr="00B77D0B">
        <w:rPr>
          <w:rFonts w:ascii="Times New Roman" w:hAnsi="Times New Roman"/>
          <w:iCs/>
          <w:lang w:val="en-US"/>
        </w:rPr>
        <w:t>, v. 9, n. 1, p. 31-45, 2008. p. 38.</w:t>
      </w:r>
    </w:p>
  </w:footnote>
  <w:footnote w:id="175">
    <w:p w:rsidR="00EC0E77" w:rsidRPr="00B77D0B" w:rsidRDefault="00EC0E77" w:rsidP="00D61223">
      <w:pPr>
        <w:keepNext/>
        <w:widowControl w:val="0"/>
        <w:autoSpaceDE w:val="0"/>
        <w:autoSpaceDN w:val="0"/>
        <w:adjustRightInd w:val="0"/>
        <w:spacing w:afterLines="120" w:after="288"/>
        <w:jc w:val="both"/>
        <w:rPr>
          <w:sz w:val="20"/>
          <w:szCs w:val="20"/>
          <w:lang w:val="en-US"/>
        </w:rPr>
      </w:pPr>
      <w:r w:rsidRPr="00B63FFB">
        <w:rPr>
          <w:rStyle w:val="Refdenotaderodap"/>
          <w:rFonts w:eastAsia="Calibri"/>
        </w:rPr>
        <w:footnoteRef/>
      </w:r>
      <w:r w:rsidRPr="00B77D0B">
        <w:rPr>
          <w:sz w:val="20"/>
          <w:szCs w:val="20"/>
          <w:lang w:val="en-US"/>
        </w:rPr>
        <w:t xml:space="preserve"> DINIZ, 2003, p. 1.</w:t>
      </w:r>
    </w:p>
  </w:footnote>
  <w:footnote w:id="176">
    <w:p w:rsidR="00EC0E77" w:rsidRPr="00B77D0B"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B77D0B">
        <w:rPr>
          <w:rFonts w:ascii="Times New Roman" w:hAnsi="Times New Roman"/>
          <w:lang w:val="en-US"/>
        </w:rPr>
        <w:t xml:space="preserve"> GARLAND-THOMSON, 2011, p. 73.</w:t>
      </w:r>
    </w:p>
  </w:footnote>
  <w:footnote w:id="177">
    <w:p w:rsidR="00EC0E77" w:rsidRPr="00B63FFB"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B63FFB">
        <w:rPr>
          <w:rFonts w:ascii="Times New Roman" w:hAnsi="Times New Roman"/>
        </w:rPr>
        <w:t xml:space="preserve"> DINIZ, 2007, p. 61.</w:t>
      </w:r>
    </w:p>
  </w:footnote>
  <w:footnote w:id="178">
    <w:p w:rsidR="00EC0E77" w:rsidRPr="00B77D0B" w:rsidRDefault="00EC0E77" w:rsidP="00D24E61">
      <w:pPr>
        <w:pStyle w:val="FG10-corpo-do-texto"/>
        <w:keepNext/>
        <w:widowControl w:val="0"/>
        <w:suppressAutoHyphens w:val="0"/>
        <w:spacing w:line="240" w:lineRule="auto"/>
        <w:ind w:firstLine="0"/>
        <w:rPr>
          <w:rFonts w:cs="Times New Roman"/>
          <w:sz w:val="20"/>
          <w:szCs w:val="20"/>
        </w:rPr>
      </w:pPr>
      <w:r w:rsidRPr="00F93802">
        <w:rPr>
          <w:rStyle w:val="Refdenotaderodap"/>
          <w:rFonts w:cs="Times New Roman"/>
        </w:rPr>
        <w:footnoteRef/>
      </w:r>
      <w:r w:rsidRPr="00B63FFB">
        <w:rPr>
          <w:rFonts w:cs="Times New Roman"/>
          <w:sz w:val="20"/>
          <w:szCs w:val="20"/>
        </w:rPr>
        <w:t xml:space="preserve"> MELLO, NUERNBERG, 2012, p. 638-639; DINIZ, 2003. p</w:t>
      </w:r>
      <w:r w:rsidRPr="00B77D0B">
        <w:rPr>
          <w:rFonts w:cs="Times New Roman"/>
          <w:sz w:val="20"/>
          <w:szCs w:val="20"/>
        </w:rPr>
        <w:t>. 60-62.</w:t>
      </w:r>
    </w:p>
  </w:footnote>
  <w:footnote w:id="179">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DINIZ, 2007, p. 59-60.</w:t>
      </w:r>
    </w:p>
  </w:footnote>
  <w:footnote w:id="180">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DINIZ, 2007, p. 60-61.</w:t>
      </w:r>
    </w:p>
  </w:footnote>
  <w:footnote w:id="181">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WENDELL, 1996, p. 62.</w:t>
      </w:r>
    </w:p>
  </w:footnote>
  <w:footnote w:id="182">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REYNOLDS, 2012, p. 37.</w:t>
      </w:r>
    </w:p>
  </w:footnote>
  <w:footnote w:id="183">
    <w:p w:rsidR="00EC0E77" w:rsidRPr="00F93802" w:rsidRDefault="00EC0E77" w:rsidP="00D24E61">
      <w:pPr>
        <w:jc w:val="both"/>
        <w:rPr>
          <w:sz w:val="20"/>
          <w:szCs w:val="20"/>
          <w:lang w:val="en-US"/>
        </w:rPr>
      </w:pPr>
      <w:r w:rsidRPr="00F93802">
        <w:rPr>
          <w:rStyle w:val="Refdenotaderodap"/>
          <w:rFonts w:eastAsia="Calibri"/>
        </w:rPr>
        <w:footnoteRef/>
      </w:r>
      <w:r w:rsidRPr="00F93802">
        <w:rPr>
          <w:sz w:val="20"/>
          <w:szCs w:val="20"/>
          <w:lang w:val="en-US"/>
        </w:rPr>
        <w:t xml:space="preserve"> HALL, Kim Q. (Ed.) </w:t>
      </w:r>
      <w:r w:rsidRPr="00F93802">
        <w:rPr>
          <w:i/>
          <w:sz w:val="20"/>
          <w:szCs w:val="20"/>
          <w:lang w:val="en-US"/>
        </w:rPr>
        <w:t>Feminist Disability Studies</w:t>
      </w:r>
      <w:r w:rsidRPr="00F93802">
        <w:rPr>
          <w:sz w:val="20"/>
          <w:szCs w:val="20"/>
          <w:lang w:val="en-US"/>
        </w:rPr>
        <w:t>. Bloomington: Indiana University Press, 2011. p. 1.</w:t>
      </w:r>
    </w:p>
  </w:footnote>
  <w:footnote w:id="184">
    <w:p w:rsidR="00EC0E77" w:rsidRPr="00B77D0B"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B77D0B">
        <w:rPr>
          <w:rFonts w:ascii="Times New Roman" w:hAnsi="Times New Roman"/>
          <w:lang w:val="en-US"/>
        </w:rPr>
        <w:t xml:space="preserve"> MELLO; NUERNBERG, 2012, p. 638</w:t>
      </w:r>
    </w:p>
  </w:footnote>
  <w:footnote w:id="185">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lang w:val="en-US"/>
        </w:rPr>
        <w:t xml:space="preserve"> MEEKOSHA, Helen. </w:t>
      </w:r>
      <w:r w:rsidRPr="00F93802">
        <w:rPr>
          <w:rFonts w:ascii="Times New Roman" w:hAnsi="Times New Roman"/>
          <w:i/>
          <w:lang w:val="en-US"/>
        </w:rPr>
        <w:t>Gender and Disability</w:t>
      </w:r>
      <w:r w:rsidRPr="00F93802">
        <w:rPr>
          <w:rFonts w:ascii="Times New Roman" w:hAnsi="Times New Roman"/>
          <w:lang w:val="en-US"/>
        </w:rPr>
        <w:t xml:space="preserve">.  </w:t>
      </w:r>
      <w:r w:rsidRPr="00B77D0B">
        <w:rPr>
          <w:rFonts w:ascii="Times New Roman" w:hAnsi="Times New Roman"/>
          <w:lang w:val="en-US"/>
        </w:rPr>
        <w:t xml:space="preserve">Sage Encyclopaedia of Disability. </w:t>
      </w:r>
      <w:r w:rsidRPr="00F93802">
        <w:rPr>
          <w:rFonts w:ascii="Times New Roman" w:hAnsi="Times New Roman"/>
        </w:rPr>
        <w:t>2004. Disponível em: http://wwda.org.au/gendis2001.htm. Acesso em 17 abr. 2013. p. 3-4.</w:t>
      </w:r>
    </w:p>
  </w:footnote>
  <w:footnote w:id="186">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GERSCHICK, Thomas J. Toward a Theory of Disability and Gender. </w:t>
      </w:r>
      <w:r w:rsidRPr="00F93802">
        <w:rPr>
          <w:rFonts w:ascii="Times New Roman" w:hAnsi="Times New Roman"/>
          <w:i/>
          <w:lang w:val="en-US"/>
        </w:rPr>
        <w:t>Signs</w:t>
      </w:r>
      <w:r w:rsidRPr="00F93802">
        <w:rPr>
          <w:rFonts w:ascii="Times New Roman" w:hAnsi="Times New Roman"/>
          <w:lang w:val="en-US"/>
        </w:rPr>
        <w:t>: Journal of Women in Culture &amp; Society, v. 25, n. 4, p. 1263-1268, 2000. p. 1265.</w:t>
      </w:r>
    </w:p>
  </w:footnote>
  <w:footnote w:id="187">
    <w:p w:rsidR="00EC0E77" w:rsidRPr="00B77D0B"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B77D0B">
        <w:rPr>
          <w:rFonts w:ascii="Times New Roman" w:hAnsi="Times New Roman"/>
          <w:lang w:val="en-US"/>
        </w:rPr>
        <w:t xml:space="preserve"> </w:t>
      </w:r>
      <w:r w:rsidRPr="00F93802">
        <w:rPr>
          <w:rFonts w:ascii="Times New Roman" w:hAnsi="Times New Roman"/>
          <w:lang w:val="en-US"/>
        </w:rPr>
        <w:t>MEEKOSHA, 2013, p. 10.</w:t>
      </w:r>
    </w:p>
  </w:footnote>
  <w:footnote w:id="188">
    <w:p w:rsidR="00EC0E77" w:rsidRPr="00B77D0B" w:rsidRDefault="00EC0E77" w:rsidP="00D24E61">
      <w:pPr>
        <w:tabs>
          <w:tab w:val="left" w:pos="993"/>
        </w:tabs>
        <w:jc w:val="both"/>
        <w:rPr>
          <w:sz w:val="20"/>
          <w:szCs w:val="20"/>
          <w:lang w:val="en-US"/>
        </w:rPr>
      </w:pPr>
      <w:r w:rsidRPr="00F93802">
        <w:rPr>
          <w:rStyle w:val="Refdenotaderodap"/>
          <w:rFonts w:eastAsia="Calibri"/>
        </w:rPr>
        <w:footnoteRef/>
      </w:r>
      <w:r w:rsidRPr="00B77D0B">
        <w:rPr>
          <w:sz w:val="20"/>
          <w:szCs w:val="20"/>
          <w:lang w:val="en-US"/>
        </w:rPr>
        <w:t xml:space="preserve"> </w:t>
      </w:r>
      <w:r w:rsidRPr="00F93802">
        <w:rPr>
          <w:sz w:val="20"/>
          <w:szCs w:val="20"/>
          <w:lang w:val="en-US"/>
        </w:rPr>
        <w:t>GERSCHICK, 2000, p. 1266.</w:t>
      </w:r>
    </w:p>
  </w:footnote>
  <w:footnote w:id="189">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FERRI, Beth A.; GREGG, Noel. </w:t>
      </w:r>
      <w:r w:rsidRPr="00F93802">
        <w:rPr>
          <w:rFonts w:ascii="Times New Roman" w:hAnsi="Times New Roman"/>
          <w:i/>
          <w:lang w:val="en-US"/>
        </w:rPr>
        <w:t>Women with disabilities</w:t>
      </w:r>
      <w:r w:rsidRPr="00F93802">
        <w:rPr>
          <w:rFonts w:ascii="Times New Roman" w:hAnsi="Times New Roman"/>
          <w:lang w:val="en-US"/>
        </w:rPr>
        <w:t>: missing voices. Women's Studies International Forum, v. 21, n. 4, p. 429-439, 1998. p. 431.</w:t>
      </w:r>
    </w:p>
  </w:footnote>
  <w:footnote w:id="190">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t>
      </w:r>
      <w:r w:rsidRPr="00F93802">
        <w:rPr>
          <w:rFonts w:ascii="Times New Roman" w:hAnsi="Times New Roman"/>
          <w:lang w:val="en-US" w:eastAsia="pt-BR"/>
        </w:rPr>
        <w:t>HARRIS, Adrienne; WIDEMAN, Dana. The construction of gender and disability in early attachment. In: FINE,</w:t>
      </w:r>
      <w:r w:rsidRPr="00F93802">
        <w:rPr>
          <w:rFonts w:ascii="Times New Roman" w:hAnsi="Times New Roman"/>
          <w:bCs/>
          <w:lang w:val="en-US"/>
        </w:rPr>
        <w:t xml:space="preserve"> Michelle; </w:t>
      </w:r>
      <w:r w:rsidRPr="00F93802">
        <w:rPr>
          <w:rFonts w:ascii="Times New Roman" w:hAnsi="Times New Roman"/>
          <w:lang w:val="en-US" w:eastAsia="pt-BR"/>
        </w:rPr>
        <w:t xml:space="preserve">ASCH Adrienne (Eds.). </w:t>
      </w:r>
      <w:r w:rsidRPr="00F93802">
        <w:rPr>
          <w:rFonts w:ascii="Times New Roman" w:hAnsi="Times New Roman"/>
          <w:i/>
          <w:iCs/>
          <w:lang w:val="en-US" w:eastAsia="pt-BR"/>
        </w:rPr>
        <w:t>Women with disabilities: Essays in psychology</w:t>
      </w:r>
      <w:r w:rsidRPr="00F93802">
        <w:rPr>
          <w:rFonts w:ascii="Times New Roman" w:hAnsi="Times New Roman"/>
          <w:lang w:val="en-US" w:eastAsia="pt-BR"/>
        </w:rPr>
        <w:t xml:space="preserve">, </w:t>
      </w:r>
      <w:r w:rsidRPr="00F93802">
        <w:rPr>
          <w:rFonts w:ascii="Times New Roman" w:hAnsi="Times New Roman"/>
          <w:i/>
          <w:iCs/>
          <w:lang w:val="en-US" w:eastAsia="pt-BR"/>
        </w:rPr>
        <w:t>culture</w:t>
      </w:r>
      <w:r w:rsidRPr="00F93802">
        <w:rPr>
          <w:rFonts w:ascii="Times New Roman" w:hAnsi="Times New Roman"/>
          <w:lang w:val="en-US" w:eastAsia="pt-BR"/>
        </w:rPr>
        <w:t xml:space="preserve">, </w:t>
      </w:r>
      <w:r w:rsidRPr="00F93802">
        <w:rPr>
          <w:rFonts w:ascii="Times New Roman" w:hAnsi="Times New Roman"/>
          <w:i/>
          <w:iCs/>
          <w:lang w:val="en-US" w:eastAsia="pt-BR"/>
        </w:rPr>
        <w:t>and politics,</w:t>
      </w:r>
      <w:r w:rsidRPr="00F93802">
        <w:rPr>
          <w:rFonts w:ascii="Times New Roman" w:hAnsi="Times New Roman"/>
          <w:lang w:val="en-US" w:eastAsia="pt-BR"/>
        </w:rPr>
        <w:t xml:space="preserve"> Philadelphia: Temple University, 1988. p. 115–138</w:t>
      </w:r>
      <w:r>
        <w:rPr>
          <w:rFonts w:ascii="Times New Roman" w:hAnsi="Times New Roman"/>
          <w:lang w:val="en-US" w:eastAsia="pt-BR"/>
        </w:rPr>
        <w:t>.</w:t>
      </w:r>
    </w:p>
  </w:footnote>
  <w:footnote w:id="191">
    <w:p w:rsidR="00EC0E77" w:rsidRPr="00F93802" w:rsidRDefault="00EC0E77" w:rsidP="00D24E61">
      <w:pPr>
        <w:keepLines/>
        <w:widowControl w:val="0"/>
        <w:jc w:val="both"/>
        <w:rPr>
          <w:sz w:val="20"/>
          <w:szCs w:val="20"/>
          <w:lang w:val="en-US"/>
        </w:rPr>
      </w:pPr>
      <w:r w:rsidRPr="00F93802">
        <w:rPr>
          <w:rStyle w:val="Refdenotaderodap"/>
          <w:rFonts w:eastAsia="Calibri"/>
        </w:rPr>
        <w:footnoteRef/>
      </w:r>
      <w:r w:rsidRPr="00F93802">
        <w:rPr>
          <w:sz w:val="20"/>
          <w:szCs w:val="20"/>
          <w:lang w:val="en-US"/>
        </w:rPr>
        <w:t xml:space="preserve"> HANNA, William John; ROGOVSKY, Betsy. Women with disabilities: two handicaps plus. In: BARTON, Len. </w:t>
      </w:r>
      <w:r w:rsidRPr="00F93802">
        <w:rPr>
          <w:i/>
          <w:sz w:val="20"/>
          <w:szCs w:val="20"/>
          <w:lang w:val="en-US"/>
        </w:rPr>
        <w:t>Overcoming disabling barriers</w:t>
      </w:r>
      <w:r w:rsidRPr="00F93802">
        <w:rPr>
          <w:sz w:val="20"/>
          <w:szCs w:val="20"/>
          <w:lang w:val="en-US"/>
        </w:rPr>
        <w:t>: 18 years of disability and Ssociety. London: Routledge, 2006. p. 37-52. p. 43-44.</w:t>
      </w:r>
    </w:p>
  </w:footnote>
  <w:footnote w:id="192">
    <w:p w:rsidR="00EC0E77" w:rsidRPr="00F93802" w:rsidRDefault="00EC0E77" w:rsidP="00D24E61">
      <w:pPr>
        <w:keepLines/>
        <w:widowControl w:val="0"/>
        <w:jc w:val="both"/>
        <w:rPr>
          <w:sz w:val="20"/>
          <w:szCs w:val="20"/>
          <w:lang w:val="en-US"/>
        </w:rPr>
      </w:pPr>
      <w:r w:rsidRPr="00F93802">
        <w:rPr>
          <w:rStyle w:val="Refdenotaderodap"/>
          <w:rFonts w:eastAsia="Calibri"/>
        </w:rPr>
        <w:footnoteRef/>
      </w:r>
      <w:r w:rsidRPr="00F93802">
        <w:rPr>
          <w:sz w:val="20"/>
          <w:szCs w:val="20"/>
          <w:lang w:val="en-US"/>
        </w:rPr>
        <w:t xml:space="preserve"> FROSCHL, Merle; RUBIN, Ellen; SPRUNG, Barbara. Connecting gender and disability. </w:t>
      </w:r>
      <w:r w:rsidRPr="00F93802">
        <w:rPr>
          <w:i/>
          <w:sz w:val="20"/>
          <w:szCs w:val="20"/>
          <w:lang w:val="en-US"/>
        </w:rPr>
        <w:t>Gender and Disability Digest</w:t>
      </w:r>
      <w:r w:rsidRPr="00F93802">
        <w:rPr>
          <w:sz w:val="20"/>
          <w:szCs w:val="20"/>
          <w:lang w:val="en-US"/>
        </w:rPr>
        <w:t>. Newton: Women’s Educational Equity Act (WEEA) Resource Center, nov. 1999. p. 7-8.</w:t>
      </w:r>
    </w:p>
  </w:footnote>
  <w:footnote w:id="193">
    <w:p w:rsidR="00EC0E77" w:rsidRPr="00B77D0B"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B77D0B">
        <w:rPr>
          <w:rFonts w:ascii="Times New Roman" w:hAnsi="Times New Roman"/>
        </w:rPr>
        <w:t xml:space="preserve"> FERRI; GREGG, 1998, p. 432.</w:t>
      </w:r>
    </w:p>
  </w:footnote>
  <w:footnote w:id="194">
    <w:p w:rsidR="00EC0E77" w:rsidRPr="00F93802" w:rsidRDefault="00EC0E77" w:rsidP="00D24E61">
      <w:pPr>
        <w:keepLines/>
        <w:widowControl w:val="0"/>
        <w:jc w:val="both"/>
        <w:rPr>
          <w:sz w:val="20"/>
          <w:szCs w:val="20"/>
        </w:rPr>
      </w:pPr>
      <w:r w:rsidRPr="00F93802">
        <w:rPr>
          <w:rStyle w:val="Refdenotaderodap"/>
          <w:rFonts w:eastAsia="Calibri"/>
        </w:rPr>
        <w:footnoteRef/>
      </w:r>
      <w:r w:rsidRPr="00F93802">
        <w:rPr>
          <w:sz w:val="20"/>
          <w:szCs w:val="20"/>
        </w:rPr>
        <w:t xml:space="preserve"> NICOLAU, Stella Maris. </w:t>
      </w:r>
      <w:r w:rsidRPr="00F93802">
        <w:rPr>
          <w:i/>
          <w:sz w:val="20"/>
          <w:szCs w:val="20"/>
        </w:rPr>
        <w:t>Deficiência, gênero e práticas de saúde</w:t>
      </w:r>
      <w:r w:rsidRPr="00F93802">
        <w:rPr>
          <w:sz w:val="20"/>
          <w:szCs w:val="20"/>
        </w:rPr>
        <w:t>: estudo sobre a integralidade em atenção primária. 298 p. Tese (Doutorado) - Programa de Medicina Preventiva - Faculdade de Medicina, Universidade de São Paulo. São Paulo, 2011. p. 81; MELLO; NUERNBERG, 2012, p. 640.</w:t>
      </w:r>
    </w:p>
  </w:footnote>
  <w:footnote w:id="195">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DINIZ, 2007, p. 59</w:t>
      </w:r>
    </w:p>
  </w:footnote>
  <w:footnote w:id="196">
    <w:p w:rsidR="00EC0E77" w:rsidRDefault="00EC0E77" w:rsidP="00D24E61">
      <w:pPr>
        <w:autoSpaceDE w:val="0"/>
        <w:autoSpaceDN w:val="0"/>
        <w:adjustRightInd w:val="0"/>
        <w:jc w:val="both"/>
        <w:rPr>
          <w:sz w:val="20"/>
          <w:szCs w:val="20"/>
        </w:rPr>
      </w:pPr>
      <w:r w:rsidRPr="00F93802">
        <w:rPr>
          <w:rStyle w:val="Refdenotaderodap"/>
          <w:rFonts w:eastAsia="Calibri"/>
        </w:rPr>
        <w:footnoteRef/>
      </w:r>
      <w:r>
        <w:rPr>
          <w:sz w:val="20"/>
          <w:szCs w:val="20"/>
        </w:rPr>
        <w:t xml:space="preserve"> </w:t>
      </w:r>
      <w:r w:rsidRPr="00F93802">
        <w:rPr>
          <w:sz w:val="20"/>
          <w:szCs w:val="20"/>
        </w:rPr>
        <w:t xml:space="preserve">Foi proposta uma tradução </w:t>
      </w:r>
      <w:r>
        <w:rPr>
          <w:sz w:val="20"/>
          <w:szCs w:val="20"/>
        </w:rPr>
        <w:t>do termo por “c</w:t>
      </w:r>
      <w:r w:rsidRPr="00F93802">
        <w:rPr>
          <w:sz w:val="20"/>
          <w:szCs w:val="20"/>
        </w:rPr>
        <w:t xml:space="preserve">apacitismo”, como a discriminação com base na deficiência e </w:t>
      </w:r>
      <w:r w:rsidRPr="000E2BA2">
        <w:rPr>
          <w:sz w:val="20"/>
          <w:szCs w:val="20"/>
        </w:rPr>
        <w:t xml:space="preserve">a tirania das pessoas que se julgam – </w:t>
      </w:r>
      <w:r>
        <w:rPr>
          <w:sz w:val="20"/>
          <w:szCs w:val="20"/>
        </w:rPr>
        <w:t xml:space="preserve">capazes, se referindo à insultos ou falta de acesso, e também quando se considera as pessoas com deficiência como merecedoras de pena e caridade, ao invés de as ver como pessoas de </w:t>
      </w:r>
    </w:p>
    <w:p w:rsidR="00EC0E77" w:rsidRPr="000E2BA2" w:rsidRDefault="00EC0E77" w:rsidP="00D24E61">
      <w:pPr>
        <w:autoSpaceDE w:val="0"/>
        <w:autoSpaceDN w:val="0"/>
        <w:adjustRightInd w:val="0"/>
        <w:jc w:val="both"/>
        <w:rPr>
          <w:sz w:val="20"/>
          <w:szCs w:val="20"/>
        </w:rPr>
      </w:pPr>
      <w:r>
        <w:rPr>
          <w:sz w:val="20"/>
          <w:szCs w:val="20"/>
        </w:rPr>
        <w:t>plenos direitos. (</w:t>
      </w:r>
      <w:r w:rsidRPr="000E2BA2">
        <w:rPr>
          <w:sz w:val="20"/>
          <w:szCs w:val="20"/>
        </w:rPr>
        <w:t xml:space="preserve">PEREIRA, Ana Maria Baila Albergaria. </w:t>
      </w:r>
      <w:r w:rsidRPr="000E2BA2">
        <w:rPr>
          <w:i/>
          <w:iCs/>
          <w:sz w:val="20"/>
          <w:szCs w:val="20"/>
        </w:rPr>
        <w:t>Viagem ao interior da sombra</w:t>
      </w:r>
      <w:r w:rsidRPr="000E2BA2">
        <w:rPr>
          <w:sz w:val="20"/>
          <w:szCs w:val="20"/>
        </w:rPr>
        <w:t xml:space="preserve">: deficiência, doença crónica e invisibilidade numa sociedade capacitista. Dissertação (Mestrado em Sociologia) </w:t>
      </w:r>
      <w:r>
        <w:rPr>
          <w:sz w:val="20"/>
          <w:szCs w:val="20"/>
        </w:rPr>
        <w:t>-</w:t>
      </w:r>
      <w:r w:rsidRPr="000E2BA2">
        <w:rPr>
          <w:rStyle w:val="apple-converted-space"/>
          <w:sz w:val="20"/>
          <w:szCs w:val="20"/>
          <w:shd w:val="clear" w:color="auto" w:fill="FFFFFF"/>
        </w:rPr>
        <w:t> </w:t>
      </w:r>
      <w:r w:rsidRPr="000E2BA2">
        <w:rPr>
          <w:sz w:val="20"/>
          <w:szCs w:val="20"/>
          <w:shd w:val="clear" w:color="auto" w:fill="FFFFFF"/>
        </w:rPr>
        <w:t>Programa de Pós-Colonialismos e Cidadania Global pela Faculdade de Economia,</w:t>
      </w:r>
      <w:r>
        <w:rPr>
          <w:sz w:val="20"/>
          <w:szCs w:val="20"/>
        </w:rPr>
        <w:t xml:space="preserve"> Universidade de Coimbra, 2008.</w:t>
      </w:r>
      <w:r w:rsidRPr="000E2BA2">
        <w:rPr>
          <w:sz w:val="20"/>
          <w:szCs w:val="20"/>
        </w:rPr>
        <w:t xml:space="preserve"> p. 18</w:t>
      </w:r>
      <w:r>
        <w:rPr>
          <w:sz w:val="20"/>
          <w:szCs w:val="20"/>
        </w:rPr>
        <w:t>). O termo já está se popularizando no Brasil.</w:t>
      </w:r>
    </w:p>
  </w:footnote>
  <w:footnote w:id="197">
    <w:p w:rsidR="00EC0E77" w:rsidRPr="00B77D0B" w:rsidRDefault="00EC0E77" w:rsidP="00D24E61">
      <w:pPr>
        <w:pStyle w:val="Textodenotaderodap"/>
        <w:spacing w:line="240" w:lineRule="auto"/>
        <w:rPr>
          <w:rFonts w:ascii="Times New Roman" w:hAnsi="Times New Roman"/>
        </w:rPr>
      </w:pPr>
      <w:r w:rsidRPr="000E2BA2">
        <w:rPr>
          <w:rStyle w:val="Refdenotaderodap"/>
          <w:rFonts w:ascii="Times New Roman" w:hAnsi="Times New Roman"/>
        </w:rPr>
        <w:footnoteRef/>
      </w:r>
      <w:r w:rsidRPr="00B77D0B">
        <w:rPr>
          <w:rFonts w:ascii="Times New Roman" w:hAnsi="Times New Roman"/>
        </w:rPr>
        <w:t xml:space="preserve"> HANNA; </w:t>
      </w:r>
      <w:r w:rsidRPr="00B77D0B">
        <w:rPr>
          <w:rFonts w:ascii="Times New Roman" w:eastAsia="Times New Roman" w:hAnsi="Times New Roman"/>
          <w:iCs/>
          <w:lang w:eastAsia="pt-BR"/>
        </w:rPr>
        <w:t>ROGOVSKY</w:t>
      </w:r>
      <w:r w:rsidRPr="00B77D0B">
        <w:rPr>
          <w:rFonts w:ascii="Times New Roman" w:hAnsi="Times New Roman"/>
        </w:rPr>
        <w:t>, 2006, p. 42; MELLO; NUERNBERG, 2012, p. 641.</w:t>
      </w:r>
    </w:p>
  </w:footnote>
  <w:footnote w:id="198">
    <w:p w:rsidR="00EC0E77" w:rsidRPr="00F93802" w:rsidRDefault="00EC0E77" w:rsidP="00D24E61">
      <w:pPr>
        <w:jc w:val="both"/>
        <w:rPr>
          <w:sz w:val="20"/>
          <w:szCs w:val="20"/>
        </w:rPr>
      </w:pPr>
      <w:r w:rsidRPr="00F93802">
        <w:rPr>
          <w:rStyle w:val="Refdenotaderodap"/>
          <w:rFonts w:eastAsia="Calibri"/>
        </w:rPr>
        <w:footnoteRef/>
      </w:r>
      <w:r w:rsidRPr="000E2BA2">
        <w:rPr>
          <w:sz w:val="20"/>
          <w:szCs w:val="20"/>
        </w:rPr>
        <w:t xml:space="preserve"> </w:t>
      </w:r>
      <w:r w:rsidRPr="00F93802">
        <w:rPr>
          <w:sz w:val="20"/>
          <w:szCs w:val="20"/>
        </w:rPr>
        <w:t xml:space="preserve">ALMEIDA, Welita Gomes. Gênero e Deficiência: a exclusão social de mulheres deficientes. In: SEMINÁRIO NACIONAL GÊNERO E PRÁTICAS CULTURAIS: culturas, leituras e representações, 2., 2009, João Pessoa. </w:t>
      </w:r>
      <w:r w:rsidRPr="00F93802">
        <w:rPr>
          <w:i/>
          <w:sz w:val="20"/>
          <w:szCs w:val="20"/>
        </w:rPr>
        <w:t>Anais do II seminário nacional gênero e práticas culturais</w:t>
      </w:r>
      <w:r w:rsidRPr="00F93802">
        <w:rPr>
          <w:sz w:val="20"/>
          <w:szCs w:val="20"/>
        </w:rPr>
        <w:t>. João Pessoa: Editora Universitária da UFPB, 2009. p. 1-13. p. 9; HANNA; ROGOVSKY, 2006.</w:t>
      </w:r>
    </w:p>
  </w:footnote>
  <w:footnote w:id="199">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HANNA; ROGOVSKY, 2006, p. 48.</w:t>
      </w:r>
    </w:p>
  </w:footnote>
  <w:footnote w:id="200">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FERRI; GREGG, 1998, p. 431.</w:t>
      </w:r>
    </w:p>
  </w:footnote>
  <w:footnote w:id="201">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HANNA; </w:t>
      </w:r>
      <w:r w:rsidRPr="00F93802">
        <w:rPr>
          <w:rFonts w:ascii="Times New Roman" w:eastAsia="Times New Roman" w:hAnsi="Times New Roman"/>
          <w:iCs/>
          <w:lang w:val="en-US" w:eastAsia="pt-BR"/>
        </w:rPr>
        <w:t>ROGOVSKY, 2006, p</w:t>
      </w:r>
      <w:r w:rsidRPr="00F93802">
        <w:rPr>
          <w:rFonts w:ascii="Times New Roman" w:eastAsia="Times New Roman" w:hAnsi="Times New Roman"/>
          <w:i/>
          <w:iCs/>
          <w:lang w:val="en-US" w:eastAsia="pt-BR"/>
        </w:rPr>
        <w:t>.</w:t>
      </w:r>
      <w:r w:rsidRPr="00F93802">
        <w:rPr>
          <w:rFonts w:ascii="Times New Roman" w:hAnsi="Times New Roman"/>
          <w:lang w:val="en-US"/>
        </w:rPr>
        <w:t xml:space="preserve"> 48; G</w:t>
      </w:r>
      <w:r w:rsidRPr="00F93802">
        <w:rPr>
          <w:rFonts w:ascii="Times New Roman" w:eastAsia="MinionPro-Regular" w:hAnsi="Times New Roman"/>
          <w:lang w:val="en-US" w:eastAsia="pt-BR"/>
        </w:rPr>
        <w:t>ARLAND-THOMSON, 2011, p. 20; MEEKOSHA, 2004, p. 4.</w:t>
      </w:r>
    </w:p>
  </w:footnote>
  <w:footnote w:id="202">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FROSCHL; RUBIN; SPRUNG, 1999, p. 4; FINE; ASCH, 1988, p. 23.</w:t>
      </w:r>
    </w:p>
  </w:footnote>
  <w:footnote w:id="203">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MEEKOSHA, 2004, p. 4; </w:t>
      </w:r>
      <w:r w:rsidRPr="00F93802">
        <w:rPr>
          <w:rFonts w:ascii="Times New Roman" w:hAnsi="Times New Roman"/>
          <w:lang w:val="en-US" w:eastAsia="pt-BR"/>
        </w:rPr>
        <w:t>SHAKESPEARE, 1998. p. 208-212</w:t>
      </w:r>
      <w:r w:rsidRPr="00F93802">
        <w:rPr>
          <w:rFonts w:ascii="Times New Roman" w:hAnsi="Times New Roman"/>
          <w:lang w:val="en-US"/>
        </w:rPr>
        <w:t>.</w:t>
      </w:r>
    </w:p>
  </w:footnote>
  <w:footnote w:id="204">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FROSCHL; RUBIN; SPRUNG, 1999, p. 7.</w:t>
      </w:r>
    </w:p>
  </w:footnote>
  <w:footnote w:id="205">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MEEKOSHA, 2013, p. 4.</w:t>
      </w:r>
    </w:p>
  </w:footnote>
  <w:footnote w:id="206">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HANNA; ROGOVSKY, 2006; FERRI; GREGG, 1998, p. 430.</w:t>
      </w:r>
    </w:p>
  </w:footnote>
  <w:footnote w:id="207">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FROSCHL; RUBIN, SPRUNG, 1999, p. 6.</w:t>
      </w:r>
    </w:p>
  </w:footnote>
  <w:footnote w:id="208">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MEEKOSHA, 2013, p. 8.</w:t>
      </w:r>
    </w:p>
  </w:footnote>
  <w:footnote w:id="209">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WENDELL, 1996, p. 62.</w:t>
      </w:r>
    </w:p>
  </w:footnote>
  <w:footnote w:id="210">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FROSCHL; RUBIN; SPRUNG, 1999, p. 2.</w:t>
      </w:r>
    </w:p>
  </w:footnote>
  <w:footnote w:id="211">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HANNA; ROGOVSKY, 2006, p. 44; WENDELL, 1996, p. 43.</w:t>
      </w:r>
    </w:p>
  </w:footnote>
  <w:footnote w:id="212">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HANNA; ROGOVSKY, 2006, p. 44.</w:t>
      </w:r>
    </w:p>
  </w:footnote>
  <w:footnote w:id="213">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WENDELL, 1996, p. 43.</w:t>
      </w:r>
    </w:p>
  </w:footnote>
  <w:footnote w:id="214">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WENDELL, 1996, p. </w:t>
      </w:r>
      <w:r>
        <w:rPr>
          <w:rFonts w:ascii="Times New Roman" w:hAnsi="Times New Roman"/>
          <w:lang w:val="en-US"/>
        </w:rPr>
        <w:t>43;</w:t>
      </w:r>
      <w:r w:rsidRPr="00F93802">
        <w:rPr>
          <w:rFonts w:ascii="Times New Roman" w:hAnsi="Times New Roman"/>
          <w:lang w:val="en-US"/>
        </w:rPr>
        <w:t>166.</w:t>
      </w:r>
    </w:p>
  </w:footnote>
  <w:footnote w:id="215">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WENDELL, 1996, p. 166.</w:t>
      </w:r>
    </w:p>
  </w:footnote>
  <w:footnote w:id="216">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t>
      </w:r>
      <w:r w:rsidRPr="00F93802">
        <w:rPr>
          <w:rStyle w:val="nfase"/>
          <w:rFonts w:ascii="Times New Roman" w:hAnsi="Times New Roman"/>
          <w:bCs/>
          <w:i w:val="0"/>
          <w:iCs w:val="0"/>
          <w:shd w:val="clear" w:color="auto" w:fill="FFFFFF"/>
          <w:lang w:val="en-US"/>
        </w:rPr>
        <w:t xml:space="preserve">HALL, </w:t>
      </w:r>
      <w:r w:rsidRPr="00F93802">
        <w:rPr>
          <w:rFonts w:ascii="Times New Roman" w:hAnsi="Times New Roman"/>
          <w:shd w:val="clear" w:color="auto" w:fill="FFFFFF"/>
          <w:lang w:val="en-US"/>
        </w:rPr>
        <w:t>2011, p. 1-10.</w:t>
      </w:r>
    </w:p>
  </w:footnote>
  <w:footnote w:id="217">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DIRECTORATE GENERAL FOR INTERNAL POLICIES</w:t>
      </w:r>
      <w:r w:rsidRPr="00A210FA">
        <w:rPr>
          <w:rFonts w:ascii="Times New Roman" w:hAnsi="Times New Roman"/>
          <w:color w:val="000000"/>
          <w:shd w:val="clear" w:color="auto" w:fill="FFFFFF"/>
          <w:lang w:val="en-US"/>
        </w:rPr>
        <w:t>.</w:t>
      </w:r>
      <w:r w:rsidRPr="00F93802">
        <w:rPr>
          <w:rFonts w:ascii="Times New Roman" w:hAnsi="Times New Roman"/>
          <w:color w:val="000000"/>
          <w:shd w:val="clear" w:color="auto" w:fill="FFFFFF"/>
          <w:lang w:val="en-US"/>
        </w:rPr>
        <w:t> </w:t>
      </w:r>
      <w:r w:rsidRPr="00F93802">
        <w:rPr>
          <w:rFonts w:ascii="Times New Roman" w:hAnsi="Times New Roman"/>
          <w:i/>
          <w:iCs/>
          <w:color w:val="000000"/>
          <w:shd w:val="clear" w:color="auto" w:fill="FFFFFF"/>
          <w:lang w:val="en-US"/>
        </w:rPr>
        <w:t>Discrimination Generated by the Intersection of Gender and Disability</w:t>
      </w:r>
      <w:r w:rsidRPr="00F93802">
        <w:rPr>
          <w:rFonts w:ascii="Times New Roman" w:hAnsi="Times New Roman"/>
          <w:color w:val="000000"/>
          <w:shd w:val="clear" w:color="auto" w:fill="FFFFFF"/>
          <w:lang w:val="en-US"/>
        </w:rPr>
        <w:t>, European Parliament, 2013.</w:t>
      </w:r>
    </w:p>
  </w:footnote>
  <w:footnote w:id="218">
    <w:p w:rsidR="00EC0E77" w:rsidRPr="00F93802" w:rsidRDefault="00EC0E77" w:rsidP="00D24E61">
      <w:pPr>
        <w:autoSpaceDE w:val="0"/>
        <w:autoSpaceDN w:val="0"/>
        <w:adjustRightInd w:val="0"/>
        <w:jc w:val="both"/>
        <w:rPr>
          <w:sz w:val="20"/>
          <w:szCs w:val="20"/>
        </w:rPr>
      </w:pPr>
      <w:r w:rsidRPr="00F93802">
        <w:rPr>
          <w:rStyle w:val="Refdenotaderodap"/>
          <w:rFonts w:eastAsia="Calibri"/>
        </w:rPr>
        <w:footnoteRef/>
      </w:r>
      <w:r w:rsidRPr="00F93802">
        <w:rPr>
          <w:sz w:val="20"/>
          <w:szCs w:val="20"/>
        </w:rPr>
        <w:t xml:space="preserve"> MELLO, Anahi Guedes de. A construção da pessoa na experiência da deficiêncnia: corpo, gênero, sexualidade, subjetividade e saúde mental. In: MALUF, </w:t>
      </w:r>
      <w:r w:rsidRPr="00F93802">
        <w:rPr>
          <w:bCs/>
          <w:sz w:val="20"/>
          <w:szCs w:val="20"/>
        </w:rPr>
        <w:t xml:space="preserve">Sonia Weidner Maluf; TORNQUIST, Carmen Susana (org.). </w:t>
      </w:r>
      <w:r w:rsidRPr="00F93802">
        <w:rPr>
          <w:bCs/>
          <w:i/>
          <w:sz w:val="20"/>
          <w:szCs w:val="20"/>
        </w:rPr>
        <w:t>Gênero, saúde e aflição</w:t>
      </w:r>
      <w:r w:rsidRPr="00F93802">
        <w:rPr>
          <w:bCs/>
          <w:sz w:val="20"/>
          <w:szCs w:val="20"/>
        </w:rPr>
        <w:t>: abordagens antropológicas. Florianópolis: Letras Contemporâneas, 2010. p. 171.</w:t>
      </w:r>
    </w:p>
  </w:footnote>
  <w:footnote w:id="219">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Veja o filme As Sessões de </w:t>
      </w:r>
      <w:r w:rsidRPr="00F93802">
        <w:rPr>
          <w:rFonts w:ascii="Times New Roman" w:hAnsi="Times New Roman"/>
          <w:bdr w:val="none" w:sz="0" w:space="0" w:color="auto" w:frame="1"/>
          <w:shd w:val="clear" w:color="auto" w:fill="FFFFFF"/>
        </w:rPr>
        <w:t>Ben Lewin</w:t>
      </w:r>
      <w:r w:rsidRPr="00F93802">
        <w:rPr>
          <w:rFonts w:ascii="Times New Roman" w:hAnsi="Times New Roman"/>
        </w:rPr>
        <w:t xml:space="preserve"> (2013), relata a história de um homem com deficiencia que perdeu os movimentos do corpo e a importância da “terapia sexual” na sua vida.</w:t>
      </w:r>
    </w:p>
  </w:footnote>
  <w:footnote w:id="220">
    <w:p w:rsidR="00EC0E77" w:rsidRPr="00F93802" w:rsidRDefault="00EC0E77" w:rsidP="00D24E61">
      <w:pPr>
        <w:autoSpaceDE w:val="0"/>
        <w:autoSpaceDN w:val="0"/>
        <w:adjustRightInd w:val="0"/>
        <w:jc w:val="both"/>
        <w:rPr>
          <w:sz w:val="20"/>
          <w:szCs w:val="20"/>
          <w:lang w:val="en-US"/>
        </w:rPr>
      </w:pPr>
      <w:r w:rsidRPr="00F93802">
        <w:rPr>
          <w:rStyle w:val="Refdenotaderodap"/>
          <w:rFonts w:eastAsia="Calibri"/>
        </w:rPr>
        <w:footnoteRef/>
      </w:r>
      <w:r w:rsidRPr="00F93802">
        <w:rPr>
          <w:sz w:val="20"/>
          <w:szCs w:val="20"/>
          <w:lang w:val="en-US"/>
        </w:rPr>
        <w:t xml:space="preserve"> Mais informações em: </w:t>
      </w:r>
      <w:r w:rsidRPr="00F93802">
        <w:rPr>
          <w:color w:val="231F20"/>
          <w:sz w:val="20"/>
          <w:szCs w:val="20"/>
          <w:lang w:val="en-US"/>
        </w:rPr>
        <w:t xml:space="preserve">HASSOUEH-PHILLIPS, Dena; CURRY, Mary A. “Abuse of Women With  Disabilities: State of the Science.” </w:t>
      </w:r>
      <w:r w:rsidRPr="00F93802">
        <w:rPr>
          <w:i/>
          <w:iCs/>
          <w:color w:val="231F20"/>
          <w:sz w:val="20"/>
          <w:szCs w:val="20"/>
          <w:lang w:val="en-US"/>
        </w:rPr>
        <w:t>RehabilitationCounseling Bulletin</w:t>
      </w:r>
      <w:r w:rsidRPr="00F93802">
        <w:rPr>
          <w:color w:val="231F20"/>
          <w:sz w:val="20"/>
          <w:szCs w:val="20"/>
          <w:lang w:val="en-US"/>
        </w:rPr>
        <w:t xml:space="preserve">, v. 45, n. 2, p. 96-104, 2002. </w:t>
      </w:r>
    </w:p>
  </w:footnote>
  <w:footnote w:id="221">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t>
      </w:r>
      <w:r>
        <w:rPr>
          <w:rFonts w:ascii="Times New Roman" w:hAnsi="Times New Roman"/>
          <w:lang w:val="en-US"/>
        </w:rPr>
        <w:t>BRASIL, 2008, p. 7-8.</w:t>
      </w:r>
    </w:p>
  </w:footnote>
  <w:footnote w:id="222">
    <w:p w:rsidR="00EC0E77" w:rsidRPr="007A086B" w:rsidRDefault="00EC0E77" w:rsidP="00D24E61">
      <w:pPr>
        <w:pStyle w:val="FG10-corpo-do-texto"/>
        <w:keepNext/>
        <w:widowControl w:val="0"/>
        <w:spacing w:line="240" w:lineRule="auto"/>
        <w:ind w:firstLine="0"/>
        <w:rPr>
          <w:rFonts w:cs="Times New Roman"/>
          <w:sz w:val="20"/>
          <w:szCs w:val="20"/>
        </w:rPr>
      </w:pPr>
      <w:r w:rsidRPr="00F93802">
        <w:rPr>
          <w:rStyle w:val="Refdenotaderodap"/>
          <w:rFonts w:cs="Times New Roman"/>
        </w:rPr>
        <w:footnoteRef/>
      </w:r>
      <w:r w:rsidRPr="007A086B">
        <w:rPr>
          <w:rFonts w:cs="Times New Roman"/>
          <w:sz w:val="20"/>
          <w:szCs w:val="20"/>
          <w:lang w:val="en-US"/>
        </w:rPr>
        <w:t xml:space="preserve"> HARRELL, Erika.Crime Against Persons with Disabilities, 2009-2011-Statistical Tables. </w:t>
      </w:r>
      <w:r w:rsidRPr="00B77D0B">
        <w:rPr>
          <w:rFonts w:cs="Times New Roman"/>
          <w:sz w:val="20"/>
          <w:szCs w:val="20"/>
        </w:rPr>
        <w:t xml:space="preserve">Washington: Bureau of Justice Statistics, 2012. </w:t>
      </w:r>
      <w:r w:rsidRPr="007A086B">
        <w:rPr>
          <w:rFonts w:cs="Times New Roman"/>
          <w:sz w:val="20"/>
          <w:szCs w:val="20"/>
        </w:rPr>
        <w:t>Disponível em: http://www.bjs.gov/content/pub/pdf/capd0911st.pdf. Acesso em 29 set. 2013.</w:t>
      </w:r>
    </w:p>
  </w:footnote>
  <w:footnote w:id="223">
    <w:p w:rsidR="00EC0E77" w:rsidRPr="00F93802" w:rsidRDefault="00EC0E77" w:rsidP="00D24E61">
      <w:pPr>
        <w:pStyle w:val="FG10-corpo-do-texto"/>
        <w:keepNext/>
        <w:widowControl w:val="0"/>
        <w:spacing w:line="240" w:lineRule="auto"/>
        <w:ind w:firstLine="0"/>
        <w:rPr>
          <w:rFonts w:cs="Times New Roman"/>
          <w:sz w:val="20"/>
          <w:szCs w:val="20"/>
        </w:rPr>
      </w:pPr>
      <w:r w:rsidRPr="00F93802">
        <w:rPr>
          <w:rStyle w:val="Refdenotaderodap"/>
          <w:rFonts w:cs="Times New Roman"/>
        </w:rPr>
        <w:footnoteRef/>
      </w:r>
      <w:r w:rsidRPr="00F93802">
        <w:rPr>
          <w:rFonts w:cs="Times New Roman"/>
          <w:sz w:val="20"/>
          <w:szCs w:val="20"/>
        </w:rPr>
        <w:t xml:space="preserve"> </w:t>
      </w:r>
      <w:r w:rsidRPr="00F93802">
        <w:rPr>
          <w:rFonts w:eastAsia="Times New Roman" w:cs="Times New Roman"/>
          <w:sz w:val="20"/>
          <w:szCs w:val="20"/>
          <w:lang w:eastAsia="pt-BR"/>
        </w:rPr>
        <w:t xml:space="preserve">REDE INTERNACIONAL DE MULHERES COM DEFICIÊNCIA. Relatório Violência contra Mulheres com Deficiência, 2011. Disponível em: </w:t>
      </w:r>
      <w:hyperlink r:id="rId10" w:history="1">
        <w:r w:rsidRPr="00F93802">
          <w:rPr>
            <w:rStyle w:val="Hyperlink"/>
            <w:rFonts w:cs="Times New Roman"/>
            <w:sz w:val="20"/>
            <w:szCs w:val="20"/>
          </w:rPr>
          <w:t>http://www.faders.rs.gov.br/uploads/1307988553Violencia_contra_Mulheres_com_Deficiencia.pdf</w:t>
        </w:r>
      </w:hyperlink>
      <w:r w:rsidRPr="00F93802">
        <w:rPr>
          <w:rFonts w:cs="Times New Roman"/>
          <w:sz w:val="20"/>
          <w:szCs w:val="20"/>
        </w:rPr>
        <w:t>. Acesso em 20 set. 2013. p. 2; 5</w:t>
      </w:r>
    </w:p>
  </w:footnote>
  <w:footnote w:id="224">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w:t>
      </w:r>
      <w:r w:rsidRPr="00F93802">
        <w:rPr>
          <w:rFonts w:ascii="Times New Roman" w:eastAsia="Times New Roman" w:hAnsi="Times New Roman"/>
          <w:lang w:eastAsia="pt-BR"/>
        </w:rPr>
        <w:t>REDE INTERNACIONAL DE MULHERES COM DEFICIÊNCIA, 2011, p. 5.</w:t>
      </w:r>
    </w:p>
  </w:footnote>
  <w:footnote w:id="225">
    <w:p w:rsidR="00EC0E77" w:rsidRPr="00F93802" w:rsidRDefault="00EC0E77" w:rsidP="00D24E61">
      <w:pPr>
        <w:pStyle w:val="Ttulo6"/>
        <w:widowControl w:val="0"/>
        <w:tabs>
          <w:tab w:val="left" w:pos="851"/>
        </w:tabs>
        <w:spacing w:before="0"/>
        <w:ind w:firstLine="0"/>
        <w:rPr>
          <w:b/>
          <w:color w:val="000000"/>
          <w:sz w:val="20"/>
          <w:shd w:val="clear" w:color="auto" w:fill="FFFFFF"/>
        </w:rPr>
      </w:pPr>
      <w:r w:rsidRPr="00F93802">
        <w:rPr>
          <w:rStyle w:val="Refdenotaderodap"/>
          <w:rFonts w:eastAsia="Calibri"/>
          <w:b/>
        </w:rPr>
        <w:footnoteRef/>
      </w:r>
      <w:r w:rsidRPr="00F93802">
        <w:rPr>
          <w:b/>
          <w:sz w:val="20"/>
        </w:rPr>
        <w:t xml:space="preserve"> </w:t>
      </w:r>
      <w:r w:rsidRPr="00F93802">
        <w:rPr>
          <w:b/>
          <w:color w:val="000000"/>
          <w:sz w:val="20"/>
          <w:shd w:val="clear" w:color="auto" w:fill="FFFFFF"/>
        </w:rPr>
        <w:t>ORGANIZAÇÃO MUNDIAL DA SAÚDE.</w:t>
      </w:r>
      <w:r w:rsidRPr="00F93802">
        <w:rPr>
          <w:rStyle w:val="apple-converted-space"/>
          <w:b/>
          <w:color w:val="000000"/>
          <w:sz w:val="20"/>
          <w:shd w:val="clear" w:color="auto" w:fill="FFFFFF"/>
        </w:rPr>
        <w:t> </w:t>
      </w:r>
      <w:r w:rsidRPr="00F93802">
        <w:rPr>
          <w:b/>
          <w:i w:val="0"/>
          <w:iCs w:val="0"/>
          <w:color w:val="000000"/>
          <w:sz w:val="20"/>
          <w:shd w:val="clear" w:color="auto" w:fill="FFFFFF"/>
        </w:rPr>
        <w:t>Relatório mundial sobre a deficiência</w:t>
      </w:r>
      <w:r>
        <w:rPr>
          <w:b/>
          <w:color w:val="000000"/>
          <w:sz w:val="20"/>
          <w:shd w:val="clear" w:color="auto" w:fill="FFFFFF"/>
        </w:rPr>
        <w:t>. São Paulo: SEDPcD, 2012</w:t>
      </w:r>
      <w:r w:rsidRPr="00F93802">
        <w:rPr>
          <w:b/>
          <w:color w:val="000000"/>
          <w:sz w:val="20"/>
          <w:shd w:val="clear" w:color="auto" w:fill="FFFFFF"/>
        </w:rPr>
        <w:t xml:space="preserve">. Disponível em: </w:t>
      </w:r>
    </w:p>
    <w:p w:rsidR="00EC0E77" w:rsidRPr="00F93802" w:rsidRDefault="00EC0E77" w:rsidP="00D24E61">
      <w:pPr>
        <w:pStyle w:val="Ttulo6"/>
        <w:widowControl w:val="0"/>
        <w:tabs>
          <w:tab w:val="left" w:pos="851"/>
        </w:tabs>
        <w:spacing w:before="0"/>
        <w:ind w:firstLine="0"/>
        <w:rPr>
          <w:b/>
          <w:sz w:val="20"/>
        </w:rPr>
      </w:pPr>
      <w:r w:rsidRPr="00F93802">
        <w:rPr>
          <w:b/>
          <w:color w:val="000000"/>
          <w:sz w:val="20"/>
          <w:shd w:val="clear" w:color="auto" w:fill="FFFFFF"/>
        </w:rPr>
        <w:t>&lt;</w:t>
      </w:r>
      <w:r w:rsidRPr="00F93802">
        <w:rPr>
          <w:b/>
          <w:sz w:val="20"/>
        </w:rPr>
        <w:t>http://www.pessoacomdeficiencia.sp.gov.br/usr/share/documents/Relatorio_Mundial_SUMARIO_PDF2012.pdf&gt;. Acesso em 20 fev. 2013.</w:t>
      </w:r>
    </w:p>
  </w:footnote>
  <w:footnote w:id="226">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IBGE. </w:t>
      </w:r>
      <w:r w:rsidRPr="00F93802">
        <w:rPr>
          <w:rFonts w:ascii="Times New Roman" w:hAnsi="Times New Roman"/>
          <w:i/>
        </w:rPr>
        <w:t>Instituto Brasileiro de Geografia e Estatística</w:t>
      </w:r>
      <w:r w:rsidRPr="00F93802">
        <w:rPr>
          <w:rFonts w:ascii="Times New Roman" w:hAnsi="Times New Roman"/>
        </w:rPr>
        <w:t xml:space="preserve">. </w:t>
      </w:r>
      <w:r w:rsidRPr="00F93802">
        <w:rPr>
          <w:rStyle w:val="Forte"/>
          <w:rFonts w:ascii="Times New Roman" w:hAnsi="Times New Roman"/>
          <w:b w:val="0"/>
        </w:rPr>
        <w:t>Comunicação Social 29 de junho de 2012</w:t>
      </w:r>
      <w:r w:rsidRPr="00F93802">
        <w:rPr>
          <w:rFonts w:ascii="Times New Roman" w:hAnsi="Times New Roman"/>
        </w:rPr>
        <w:t>. Disponível em &lt;http://www.ibge.gov.br/home/presidencia/noticias/noticia_impressao.php?id_noticia=2170. Acesso em 29 jul. 2012.</w:t>
      </w:r>
    </w:p>
  </w:footnote>
  <w:footnote w:id="227">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FERRI; GREGG, 1998, p. 432.</w:t>
      </w:r>
    </w:p>
  </w:footnote>
  <w:footnote w:id="228">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WENDELL, 1996, p. 32.</w:t>
      </w:r>
    </w:p>
  </w:footnote>
  <w:footnote w:id="229">
    <w:p w:rsidR="00EC0E77" w:rsidRPr="0025259B"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25259B">
        <w:rPr>
          <w:rFonts w:ascii="Times New Roman" w:hAnsi="Times New Roman"/>
        </w:rPr>
        <w:t xml:space="preserve"> MELLO; NUERNBERG, 2012, p. 637. Confira o site www.anis.org.br.</w:t>
      </w:r>
    </w:p>
  </w:footnote>
  <w:footnote w:id="230">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25259B">
        <w:rPr>
          <w:rFonts w:ascii="Times New Roman" w:hAnsi="Times New Roman"/>
        </w:rPr>
        <w:t xml:space="preserve"> DINIZ, 2007, p. 62. </w:t>
      </w:r>
      <w:r w:rsidRPr="0025259B">
        <w:rPr>
          <w:rStyle w:val="Forte"/>
          <w:rFonts w:ascii="Times New Roman" w:hAnsi="Times New Roman"/>
          <w:b w:val="0"/>
          <w:color w:val="000000"/>
        </w:rPr>
        <w:t xml:space="preserve">DINIZ, </w:t>
      </w:r>
      <w:r w:rsidRPr="0025259B">
        <w:rPr>
          <w:rFonts w:ascii="Times New Roman" w:hAnsi="Times New Roman"/>
          <w:color w:val="000000"/>
        </w:rPr>
        <w:t>2003</w:t>
      </w:r>
      <w:r w:rsidRPr="0025259B">
        <w:rPr>
          <w:rFonts w:ascii="Times New Roman" w:hAnsi="Times New Roman"/>
          <w:color w:val="231F20"/>
          <w:lang w:eastAsia="pt-BR"/>
        </w:rPr>
        <w:t xml:space="preserve">, </w:t>
      </w:r>
      <w:r w:rsidRPr="0025259B">
        <w:rPr>
          <w:rFonts w:ascii="Times New Roman" w:hAnsi="Times New Roman"/>
        </w:rPr>
        <w:t>p. 4; WENDELL, 1996, p. 13</w:t>
      </w:r>
      <w:r w:rsidRPr="00F93802">
        <w:rPr>
          <w:rFonts w:ascii="Times New Roman" w:hAnsi="Times New Roman"/>
        </w:rPr>
        <w:t xml:space="preserve">9. O cuidado foi questionado pelas feministas na segunda geração do modelo social da deficiência (DINIZ, 2007). </w:t>
      </w:r>
    </w:p>
  </w:footnote>
  <w:footnote w:id="231">
    <w:p w:rsidR="00EC0E77" w:rsidRPr="00EE3666"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43180C">
        <w:rPr>
          <w:rFonts w:ascii="Times New Roman" w:hAnsi="Times New Roman"/>
          <w:lang w:val="en-US"/>
        </w:rPr>
        <w:t xml:space="preserve"> </w:t>
      </w:r>
      <w:r w:rsidRPr="00EE3666">
        <w:rPr>
          <w:rFonts w:ascii="Times New Roman" w:hAnsi="Times New Roman"/>
          <w:shd w:val="clear" w:color="auto" w:fill="FFFFFF"/>
          <w:lang w:val="en-US"/>
        </w:rPr>
        <w:t>MELLO;</w:t>
      </w:r>
      <w:r w:rsidRPr="00EE3666">
        <w:rPr>
          <w:rStyle w:val="apple-converted-space"/>
          <w:rFonts w:ascii="Times New Roman" w:hAnsi="Times New Roman"/>
          <w:shd w:val="clear" w:color="auto" w:fill="FFFFFF"/>
          <w:lang w:val="en-US"/>
        </w:rPr>
        <w:t> </w:t>
      </w:r>
      <w:r w:rsidRPr="00EE3666">
        <w:rPr>
          <w:rFonts w:ascii="Times New Roman" w:hAnsi="Times New Roman"/>
          <w:bCs/>
          <w:bdr w:val="none" w:sz="0" w:space="0" w:color="auto" w:frame="1"/>
          <w:shd w:val="clear" w:color="auto" w:fill="FFFFFF"/>
          <w:lang w:val="en-US"/>
        </w:rPr>
        <w:t>NUERNBERG,</w:t>
      </w:r>
      <w:r w:rsidRPr="00EE3666">
        <w:rPr>
          <w:rFonts w:ascii="Times New Roman" w:hAnsi="Times New Roman"/>
          <w:shd w:val="clear" w:color="auto" w:fill="FFFFFF"/>
          <w:lang w:val="en-US"/>
        </w:rPr>
        <w:t xml:space="preserve"> 2012, p. </w:t>
      </w:r>
      <w:r w:rsidRPr="00EE3666">
        <w:rPr>
          <w:rFonts w:ascii="Times New Roman" w:hAnsi="Times New Roman"/>
          <w:lang w:val="en-US"/>
        </w:rPr>
        <w:t xml:space="preserve">640. </w:t>
      </w:r>
    </w:p>
  </w:footnote>
  <w:footnote w:id="232">
    <w:p w:rsidR="00EC0E77" w:rsidRPr="00F93802" w:rsidRDefault="00EC0E77" w:rsidP="00D24E61">
      <w:pPr>
        <w:keepNext/>
        <w:widowControl w:val="0"/>
        <w:tabs>
          <w:tab w:val="left" w:pos="993"/>
        </w:tabs>
        <w:autoSpaceDE w:val="0"/>
        <w:autoSpaceDN w:val="0"/>
        <w:adjustRightInd w:val="0"/>
        <w:jc w:val="both"/>
        <w:rPr>
          <w:sz w:val="20"/>
          <w:szCs w:val="20"/>
          <w:shd w:val="clear" w:color="auto" w:fill="FEFEFE"/>
          <w:lang w:val="en-US"/>
        </w:rPr>
      </w:pPr>
      <w:r w:rsidRPr="00F93802">
        <w:rPr>
          <w:rStyle w:val="Refdenotaderodap"/>
          <w:rFonts w:eastAsia="Calibri"/>
        </w:rPr>
        <w:footnoteRef/>
      </w:r>
      <w:r w:rsidRPr="00F93802">
        <w:rPr>
          <w:sz w:val="20"/>
          <w:szCs w:val="20"/>
          <w:shd w:val="clear" w:color="auto" w:fill="FEFEFE"/>
          <w:lang w:val="en-US"/>
        </w:rPr>
        <w:t xml:space="preserve"> GARLAND-THOMSON, </w:t>
      </w:r>
      <w:r w:rsidRPr="00F93802">
        <w:rPr>
          <w:i/>
          <w:sz w:val="20"/>
          <w:szCs w:val="20"/>
          <w:shd w:val="clear" w:color="auto" w:fill="FEFEFE"/>
          <w:lang w:val="en-US"/>
        </w:rPr>
        <w:t>Rosemarie. Re-shaping, re-thinking, re-defining</w:t>
      </w:r>
      <w:r w:rsidRPr="00F93802">
        <w:rPr>
          <w:sz w:val="20"/>
          <w:szCs w:val="20"/>
          <w:shd w:val="clear" w:color="auto" w:fill="FEFEFE"/>
          <w:lang w:val="en-US"/>
        </w:rPr>
        <w:t>: feminist disability studies. Washington: Center for Women and Policy Studies, 2001.</w:t>
      </w:r>
      <w:r w:rsidRPr="00F93802">
        <w:rPr>
          <w:sz w:val="20"/>
          <w:szCs w:val="20"/>
          <w:lang w:val="en-US"/>
        </w:rPr>
        <w:t xml:space="preserve"> p. 4-5.</w:t>
      </w:r>
    </w:p>
  </w:footnote>
  <w:footnote w:id="233">
    <w:p w:rsidR="00EC0E77" w:rsidRPr="00F93802" w:rsidRDefault="00EC0E77" w:rsidP="00D24E61">
      <w:pPr>
        <w:pStyle w:val="Textodenotaderodap"/>
        <w:tabs>
          <w:tab w:val="left" w:pos="993"/>
        </w:tabs>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w:t>
      </w:r>
      <w:r w:rsidRPr="00F93802">
        <w:rPr>
          <w:rFonts w:ascii="Times New Roman" w:hAnsi="Times New Roman"/>
          <w:shd w:val="clear" w:color="auto" w:fill="FEFEFE"/>
          <w:lang w:val="en-US"/>
        </w:rPr>
        <w:t xml:space="preserve">GARLAND-THOMSON, 2001. </w:t>
      </w:r>
      <w:r w:rsidRPr="00F93802">
        <w:rPr>
          <w:rFonts w:ascii="Times New Roman" w:hAnsi="Times New Roman"/>
          <w:lang w:val="en-US"/>
        </w:rPr>
        <w:t>p. 5.</w:t>
      </w:r>
    </w:p>
  </w:footnote>
  <w:footnote w:id="234">
    <w:p w:rsidR="00EC0E77" w:rsidRPr="00F93802" w:rsidRDefault="00EC0E77" w:rsidP="00D24E61">
      <w:pPr>
        <w:keepNext/>
        <w:widowControl w:val="0"/>
        <w:tabs>
          <w:tab w:val="left" w:pos="993"/>
        </w:tabs>
        <w:autoSpaceDE w:val="0"/>
        <w:autoSpaceDN w:val="0"/>
        <w:adjustRightInd w:val="0"/>
        <w:jc w:val="both"/>
        <w:rPr>
          <w:sz w:val="20"/>
          <w:szCs w:val="20"/>
          <w:lang w:val="en-US"/>
        </w:rPr>
      </w:pPr>
      <w:r w:rsidRPr="00F93802">
        <w:rPr>
          <w:rStyle w:val="Refdenotaderodap"/>
          <w:rFonts w:eastAsia="Calibri"/>
        </w:rPr>
        <w:footnoteRef/>
      </w:r>
      <w:r w:rsidRPr="00F93802">
        <w:rPr>
          <w:sz w:val="20"/>
          <w:szCs w:val="20"/>
          <w:lang w:val="en-US"/>
        </w:rPr>
        <w:t xml:space="preserve"> </w:t>
      </w:r>
      <w:r w:rsidRPr="00F93802">
        <w:rPr>
          <w:rStyle w:val="nfase"/>
          <w:bCs/>
          <w:i w:val="0"/>
          <w:iCs w:val="0"/>
          <w:sz w:val="20"/>
          <w:szCs w:val="20"/>
          <w:shd w:val="clear" w:color="auto" w:fill="FFFFFF"/>
          <w:lang w:val="en-US"/>
        </w:rPr>
        <w:t>HANNA</w:t>
      </w:r>
      <w:r w:rsidRPr="00F93802">
        <w:rPr>
          <w:sz w:val="20"/>
          <w:szCs w:val="20"/>
          <w:shd w:val="clear" w:color="auto" w:fill="FFFFFF"/>
          <w:lang w:val="en-US"/>
        </w:rPr>
        <w:t>;</w:t>
      </w:r>
      <w:r w:rsidRPr="00F93802">
        <w:rPr>
          <w:rStyle w:val="apple-converted-space"/>
          <w:sz w:val="20"/>
          <w:szCs w:val="20"/>
          <w:shd w:val="clear" w:color="auto" w:fill="FFFFFF"/>
          <w:lang w:val="en-US"/>
        </w:rPr>
        <w:t> </w:t>
      </w:r>
      <w:r w:rsidRPr="00F93802">
        <w:rPr>
          <w:rStyle w:val="nfase"/>
          <w:bCs/>
          <w:i w:val="0"/>
          <w:iCs w:val="0"/>
          <w:sz w:val="20"/>
          <w:szCs w:val="20"/>
          <w:shd w:val="clear" w:color="auto" w:fill="FFFFFF"/>
          <w:lang w:val="en-US"/>
        </w:rPr>
        <w:t>ROGOVSKY</w:t>
      </w:r>
      <w:r w:rsidRPr="00F93802">
        <w:rPr>
          <w:sz w:val="20"/>
          <w:szCs w:val="20"/>
          <w:shd w:val="clear" w:color="auto" w:fill="FFFFFF"/>
          <w:lang w:val="en-US"/>
        </w:rPr>
        <w:t>,</w:t>
      </w:r>
      <w:r w:rsidRPr="00F93802">
        <w:rPr>
          <w:rStyle w:val="apple-converted-space"/>
          <w:sz w:val="20"/>
          <w:szCs w:val="20"/>
          <w:shd w:val="clear" w:color="auto" w:fill="FFFFFF"/>
          <w:lang w:val="en-US"/>
        </w:rPr>
        <w:t> </w:t>
      </w:r>
      <w:r w:rsidRPr="00F93802">
        <w:rPr>
          <w:sz w:val="20"/>
          <w:szCs w:val="20"/>
          <w:shd w:val="clear" w:color="auto" w:fill="FFFFFF"/>
          <w:lang w:val="en-US"/>
        </w:rPr>
        <w:t>2006, p. 48-49.</w:t>
      </w:r>
    </w:p>
  </w:footnote>
  <w:footnote w:id="235">
    <w:p w:rsidR="00EC0E77" w:rsidRPr="00F93802" w:rsidRDefault="00EC0E77" w:rsidP="00D24E61">
      <w:pPr>
        <w:keepNext/>
        <w:widowControl w:val="0"/>
        <w:jc w:val="both"/>
        <w:rPr>
          <w:lang w:val="en-US"/>
        </w:rPr>
      </w:pPr>
      <w:r w:rsidRPr="00F93802">
        <w:rPr>
          <w:rStyle w:val="Refdenotaderodap"/>
          <w:rFonts w:eastAsia="Calibri"/>
        </w:rPr>
        <w:footnoteRef/>
      </w:r>
      <w:r w:rsidRPr="00F93802">
        <w:rPr>
          <w:sz w:val="20"/>
          <w:szCs w:val="20"/>
          <w:lang w:val="en-US"/>
        </w:rPr>
        <w:t xml:space="preserve"> FERRI; GREGG, 1998</w:t>
      </w:r>
      <w:r>
        <w:rPr>
          <w:sz w:val="20"/>
          <w:szCs w:val="20"/>
          <w:lang w:val="en-US"/>
        </w:rPr>
        <w:t>.</w:t>
      </w:r>
    </w:p>
  </w:footnote>
  <w:footnote w:id="236">
    <w:p w:rsidR="00EC0E77" w:rsidRPr="00F93802" w:rsidRDefault="00EC0E77" w:rsidP="00D24E61">
      <w:pPr>
        <w:pStyle w:val="Textodenotaderodap"/>
        <w:spacing w:line="240" w:lineRule="auto"/>
        <w:rPr>
          <w:rFonts w:ascii="Times New Roman" w:hAnsi="Times New Roman"/>
          <w:lang w:val="en-US"/>
        </w:rPr>
      </w:pPr>
      <w:r w:rsidRPr="00F93802">
        <w:rPr>
          <w:rStyle w:val="Refdenotaderodap"/>
          <w:rFonts w:ascii="Times New Roman" w:hAnsi="Times New Roman"/>
        </w:rPr>
        <w:footnoteRef/>
      </w:r>
      <w:r w:rsidRPr="00F93802">
        <w:rPr>
          <w:rFonts w:ascii="Times New Roman" w:hAnsi="Times New Roman"/>
          <w:lang w:val="en-US"/>
        </w:rPr>
        <w:t xml:space="preserve"> MORRIS, Jenny. Personal and Political: a feminist perspective in researching physical disability. In: BARTON, Len. Overcoming Disabling Barriers: 18 years of Disability and Society. London; New York: Routledge, 2006, p. 283-292, p. 286.</w:t>
      </w:r>
    </w:p>
  </w:footnote>
  <w:footnote w:id="237">
    <w:p w:rsidR="00EC0E77" w:rsidRPr="00B77D0B" w:rsidRDefault="00EC0E77" w:rsidP="00D24E61">
      <w:pPr>
        <w:pStyle w:val="Textodenotaderodap"/>
        <w:spacing w:line="240" w:lineRule="auto"/>
        <w:rPr>
          <w:rFonts w:ascii="Times New Roman" w:hAnsi="Times New Roman"/>
        </w:rPr>
      </w:pPr>
      <w:r w:rsidRPr="00EE3666">
        <w:rPr>
          <w:rStyle w:val="Refdenotaderodap"/>
          <w:rFonts w:ascii="Times New Roman" w:hAnsi="Times New Roman"/>
        </w:rPr>
        <w:footnoteRef/>
      </w:r>
      <w:r w:rsidRPr="00EE3666">
        <w:rPr>
          <w:rFonts w:ascii="Times New Roman" w:hAnsi="Times New Roman"/>
          <w:lang w:val="en-US"/>
        </w:rPr>
        <w:t xml:space="preserve"> </w:t>
      </w:r>
      <w:r w:rsidRPr="00EE3666">
        <w:rPr>
          <w:rStyle w:val="nfase"/>
          <w:rFonts w:ascii="Times New Roman" w:hAnsi="Times New Roman"/>
          <w:bCs/>
          <w:i w:val="0"/>
          <w:iCs w:val="0"/>
          <w:shd w:val="clear" w:color="auto" w:fill="FFFFFF"/>
          <w:lang w:val="en-US"/>
        </w:rPr>
        <w:t>KITTAY</w:t>
      </w:r>
      <w:r w:rsidRPr="00EE3666">
        <w:rPr>
          <w:rFonts w:ascii="Times New Roman" w:hAnsi="Times New Roman"/>
          <w:shd w:val="clear" w:color="auto" w:fill="FFFFFF"/>
          <w:lang w:val="en-US"/>
        </w:rPr>
        <w:t>,</w:t>
      </w:r>
      <w:r w:rsidRPr="00EE3666">
        <w:rPr>
          <w:rStyle w:val="apple-converted-space"/>
          <w:rFonts w:ascii="Times New Roman" w:hAnsi="Times New Roman"/>
          <w:shd w:val="clear" w:color="auto" w:fill="FFFFFF"/>
          <w:lang w:val="en-US"/>
        </w:rPr>
        <w:t> </w:t>
      </w:r>
      <w:r w:rsidRPr="00EE3666">
        <w:rPr>
          <w:rStyle w:val="nfase"/>
          <w:rFonts w:ascii="Times New Roman" w:hAnsi="Times New Roman"/>
          <w:bCs/>
          <w:i w:val="0"/>
          <w:iCs w:val="0"/>
          <w:shd w:val="clear" w:color="auto" w:fill="FFFFFF"/>
          <w:lang w:val="en-US"/>
        </w:rPr>
        <w:t>Eva F</w:t>
      </w:r>
      <w:r w:rsidRPr="00EE3666">
        <w:rPr>
          <w:rFonts w:ascii="Times New Roman" w:hAnsi="Times New Roman"/>
          <w:shd w:val="clear" w:color="auto" w:fill="FFFFFF"/>
          <w:lang w:val="en-US"/>
        </w:rPr>
        <w:t>.</w:t>
      </w:r>
      <w:r w:rsidRPr="00EE3666">
        <w:rPr>
          <w:rStyle w:val="apple-converted-space"/>
          <w:rFonts w:ascii="Times New Roman" w:hAnsi="Times New Roman"/>
          <w:shd w:val="clear" w:color="auto" w:fill="FFFFFF"/>
          <w:lang w:val="en-US"/>
        </w:rPr>
        <w:t> </w:t>
      </w:r>
      <w:r w:rsidRPr="00EE3666">
        <w:rPr>
          <w:rStyle w:val="nfase"/>
          <w:rFonts w:ascii="Times New Roman" w:hAnsi="Times New Roman"/>
          <w:bCs/>
          <w:iCs w:val="0"/>
          <w:shd w:val="clear" w:color="auto" w:fill="FFFFFF"/>
          <w:lang w:val="en-US"/>
        </w:rPr>
        <w:t>Love's Labor</w:t>
      </w:r>
      <w:r w:rsidRPr="00EE3666">
        <w:rPr>
          <w:rFonts w:ascii="Times New Roman" w:hAnsi="Times New Roman"/>
          <w:shd w:val="clear" w:color="auto" w:fill="FFFFFF"/>
          <w:lang w:val="en-US"/>
        </w:rPr>
        <w:t>:</w:t>
      </w:r>
      <w:r w:rsidRPr="00EE3666">
        <w:rPr>
          <w:rStyle w:val="apple-converted-space"/>
          <w:rFonts w:ascii="Times New Roman" w:hAnsi="Times New Roman"/>
          <w:shd w:val="clear" w:color="auto" w:fill="FFFFFF"/>
          <w:lang w:val="en-US"/>
        </w:rPr>
        <w:t> </w:t>
      </w:r>
      <w:r w:rsidRPr="00EE3666">
        <w:rPr>
          <w:rStyle w:val="nfase"/>
          <w:rFonts w:ascii="Times New Roman" w:hAnsi="Times New Roman"/>
          <w:bCs/>
          <w:i w:val="0"/>
          <w:iCs w:val="0"/>
          <w:shd w:val="clear" w:color="auto" w:fill="FFFFFF"/>
          <w:lang w:val="en-US"/>
        </w:rPr>
        <w:t>Essays</w:t>
      </w:r>
      <w:r w:rsidRPr="00EE3666">
        <w:rPr>
          <w:rStyle w:val="apple-converted-space"/>
          <w:rFonts w:ascii="Times New Roman" w:hAnsi="Times New Roman"/>
          <w:shd w:val="clear" w:color="auto" w:fill="FFFFFF"/>
          <w:lang w:val="en-US"/>
        </w:rPr>
        <w:t> </w:t>
      </w:r>
      <w:r w:rsidRPr="00EE3666">
        <w:rPr>
          <w:rFonts w:ascii="Times New Roman" w:hAnsi="Times New Roman"/>
          <w:shd w:val="clear" w:color="auto" w:fill="FFFFFF"/>
          <w:lang w:val="en-US"/>
        </w:rPr>
        <w:t xml:space="preserve">on Women, Equality, and Dependency. </w:t>
      </w:r>
      <w:r w:rsidRPr="00B77D0B">
        <w:rPr>
          <w:rFonts w:ascii="Times New Roman" w:hAnsi="Times New Roman"/>
          <w:shd w:val="clear" w:color="auto" w:fill="FFFFFF"/>
        </w:rPr>
        <w:t>New York: Routledge, 1999.</w:t>
      </w:r>
    </w:p>
  </w:footnote>
  <w:footnote w:id="238">
    <w:p w:rsidR="00EC0E77" w:rsidRPr="00B77D0B" w:rsidRDefault="00EC0E77" w:rsidP="00D24E61">
      <w:pPr>
        <w:pStyle w:val="Textodenotaderodap"/>
        <w:spacing w:line="240" w:lineRule="auto"/>
        <w:rPr>
          <w:rFonts w:ascii="Times New Roman" w:hAnsi="Times New Roman"/>
        </w:rPr>
      </w:pPr>
      <w:r w:rsidRPr="00EE3666">
        <w:rPr>
          <w:rStyle w:val="Refdenotaderodap"/>
          <w:rFonts w:ascii="Times New Roman" w:hAnsi="Times New Roman"/>
        </w:rPr>
        <w:footnoteRef/>
      </w:r>
      <w:r w:rsidRPr="00B77D0B">
        <w:rPr>
          <w:rFonts w:ascii="Times New Roman" w:hAnsi="Times New Roman"/>
        </w:rPr>
        <w:t xml:space="preserve"> WENDELL, 1996, p. 60-61;74</w:t>
      </w:r>
    </w:p>
  </w:footnote>
  <w:footnote w:id="239">
    <w:p w:rsidR="00EC0E77" w:rsidRPr="00B77D0B" w:rsidRDefault="00EC0E77" w:rsidP="00D24E61">
      <w:pPr>
        <w:jc w:val="both"/>
        <w:rPr>
          <w:sz w:val="20"/>
          <w:szCs w:val="20"/>
        </w:rPr>
      </w:pPr>
      <w:r w:rsidRPr="00F93802">
        <w:rPr>
          <w:rStyle w:val="Refdenotaderodap"/>
          <w:rFonts w:eastAsia="Calibri"/>
        </w:rPr>
        <w:footnoteRef/>
      </w:r>
      <w:r w:rsidRPr="00B77D0B">
        <w:rPr>
          <w:sz w:val="20"/>
          <w:szCs w:val="20"/>
        </w:rPr>
        <w:t xml:space="preserve"> </w:t>
      </w:r>
      <w:r w:rsidRPr="00B77D0B">
        <w:rPr>
          <w:rStyle w:val="nfase"/>
          <w:i w:val="0"/>
          <w:sz w:val="20"/>
          <w:szCs w:val="20"/>
        </w:rPr>
        <w:t xml:space="preserve">WENDELL, </w:t>
      </w:r>
      <w:r w:rsidRPr="00B77D0B">
        <w:rPr>
          <w:rStyle w:val="st"/>
          <w:sz w:val="20"/>
          <w:szCs w:val="20"/>
        </w:rPr>
        <w:t>1996, p. 31.</w:t>
      </w:r>
    </w:p>
  </w:footnote>
  <w:footnote w:id="240">
    <w:p w:rsidR="00EC0E77" w:rsidRPr="00F93802" w:rsidRDefault="00EC0E77" w:rsidP="00D24E61">
      <w:pPr>
        <w:pStyle w:val="Textodenotaderodap"/>
        <w:spacing w:line="240" w:lineRule="auto"/>
        <w:rPr>
          <w:rFonts w:ascii="Times New Roman" w:hAnsi="Times New Roman"/>
        </w:rPr>
      </w:pPr>
      <w:r w:rsidRPr="00F93802">
        <w:rPr>
          <w:rStyle w:val="Refdenotaderodap"/>
          <w:rFonts w:ascii="Times New Roman" w:hAnsi="Times New Roman"/>
        </w:rPr>
        <w:footnoteRef/>
      </w:r>
      <w:r w:rsidRPr="00F93802">
        <w:rPr>
          <w:rFonts w:ascii="Times New Roman" w:hAnsi="Times New Roman"/>
        </w:rPr>
        <w:t xml:space="preserve"> O Relatório Mundial sobre a Deficiência apresenta recomendações que podem contribuir para uma  sociedade inclusiva e empoderadora das pessoas com deficiência (ORGANIZAÇÃO MUNDIAL DA SAÚDE, 2012).</w:t>
      </w:r>
    </w:p>
  </w:footnote>
  <w:footnote w:id="241">
    <w:p w:rsidR="00EC0E77" w:rsidRPr="0043180C" w:rsidRDefault="00EC0E77" w:rsidP="00D24E61">
      <w:pPr>
        <w:pStyle w:val="Textodenotaderodap"/>
      </w:pPr>
      <w:r w:rsidRPr="0043180C">
        <w:rPr>
          <w:rStyle w:val="Refdenotaderodap"/>
          <w:rFonts w:ascii="Times New Roman" w:hAnsi="Times New Roman"/>
        </w:rPr>
        <w:footnoteRef/>
      </w:r>
      <w:r w:rsidRPr="0043180C">
        <w:rPr>
          <w:rFonts w:ascii="Times New Roman" w:hAnsi="Times New Roman"/>
        </w:rPr>
        <w:t xml:space="preserve"> </w:t>
      </w:r>
      <w:r w:rsidRPr="00377428">
        <w:rPr>
          <w:rFonts w:ascii="Times New Roman" w:hAnsi="Times New Roman"/>
        </w:rPr>
        <w:t>WENDELL, 1996, p. 39.</w:t>
      </w:r>
    </w:p>
  </w:footnote>
  <w:footnote w:id="242">
    <w:p w:rsidR="00201DA6" w:rsidRDefault="00201DA6">
      <w:pPr>
        <w:pStyle w:val="footnotedescription"/>
        <w:jc w:val="left"/>
      </w:pPr>
      <w:r>
        <w:rPr>
          <w:rStyle w:val="footnotemark"/>
        </w:rPr>
        <w:footnoteRef/>
      </w:r>
      <w:r>
        <w:t xml:space="preserve"> Felipe Salvador Weissheimer possui graduação em História pela Universidade Paranaense (UNIPAR) </w:t>
      </w:r>
      <w:r>
        <w:rPr>
          <w:i/>
        </w:rPr>
        <w:t>campus</w:t>
      </w:r>
      <w:r>
        <w:t xml:space="preserve"> Cascavel-PR, é pós-graduando em “Teoria Psicanalítica” pela FACEL e mestrando em História pelo Programa de Pós-graduação em História da UNIOESTE, </w:t>
      </w:r>
      <w:r>
        <w:rPr>
          <w:i/>
        </w:rPr>
        <w:t>campus</w:t>
      </w:r>
      <w:r>
        <w:t xml:space="preserve"> Marechal Cândido Rondon-PR, na linha “Práticas Culturais e Identidades”, no qual é orientando da profa. Dra. Ivonete Pereira. É integrante do grupo de pesquisas do CNPQ chamado “Cultura, Relações de Gênero e Memória”. Bolsista da Demanda Social – CAPES. O presente artigo foi escrito enquanto Felipe Salvador Weissheimer era acadêmico de História pela Universidade Paranaense (UNIPAR) </w:t>
      </w:r>
      <w:r>
        <w:rPr>
          <w:i/>
        </w:rPr>
        <w:t>campus</w:t>
      </w:r>
      <w:r>
        <w:t xml:space="preserve"> Cascavel-PR, tendo como professor orientador Fausto Alencar Irschlinger. Email: </w:t>
      </w:r>
    </w:p>
    <w:p w:rsidR="00201DA6" w:rsidRDefault="00201DA6">
      <w:pPr>
        <w:pStyle w:val="footnotedescription"/>
        <w:jc w:val="left"/>
      </w:pPr>
      <w:r>
        <w:rPr>
          <w:u w:val="single" w:color="000000"/>
        </w:rPr>
        <w:t>felipe.s.w@hotmail.com</w:t>
      </w:r>
      <w:r>
        <w:t xml:space="preserve">. </w:t>
      </w:r>
    </w:p>
  </w:footnote>
  <w:footnote w:id="243">
    <w:p w:rsidR="00201DA6" w:rsidRDefault="00201DA6">
      <w:pPr>
        <w:pStyle w:val="footnotedescription"/>
        <w:jc w:val="left"/>
      </w:pPr>
      <w:r>
        <w:rPr>
          <w:rStyle w:val="footnotemark"/>
        </w:rPr>
        <w:footnoteRef/>
      </w:r>
      <w:r>
        <w:t xml:space="preserve"> Fausto Alencar Irschlinger Possui graduação em História - Licenciatura Plena pela Universidade de Passo Fundo (1997) e mestrado em História pela Universidade de Passo Fundo (2000). Atualmente é doutorando em História pela Universidade Federal do Paraná (PGHIS/UFPR). Atua como professor - adjunto na Universidade Paranaense (UNIPAR). Tem experiência na área de História, com ênfase em História do Brasil, atuando principalmente nos seguintes temas: História do Brasil República, História Regional, História Política, História e Integralismo, Geopolítica, História da Indumentária, Patrimônio Cultural, História da Arte, Representações de Poder, História e Memória, Sociologia, Práticas de Ensino em História. Possui pesquisas na área de História. É coordenador do Curso de Graduação em História (UNIPAR) e professor de Pós-Graduação; professor dos Cursos de Graduação em História; Moda; Odontologia - UNIPAR - Cascavel, PR. Email: </w:t>
      </w:r>
      <w:r>
        <w:rPr>
          <w:u w:val="single" w:color="000000"/>
        </w:rPr>
        <w:t>fausto@unipar.br</w:t>
      </w:r>
      <w:r>
        <w:t xml:space="preserve">.  </w:t>
      </w:r>
    </w:p>
  </w:footnote>
  <w:footnote w:id="244">
    <w:p w:rsidR="00201DA6" w:rsidRDefault="00201DA6">
      <w:pPr>
        <w:pStyle w:val="footnotedescription"/>
        <w:jc w:val="left"/>
      </w:pPr>
      <w:r>
        <w:rPr>
          <w:rStyle w:val="footnotemark"/>
        </w:rPr>
        <w:footnoteRef/>
      </w:r>
      <w:r>
        <w:t xml:space="preserve"> Visando nos situarmos na trajetória histórica do movimento integralista, de forma geral, percebemos que o movimento é articulado já na década de 1920. Mas foi em 1932 com a junção de grupos considerados de direita no Brasil, que temos a Ação Integralista Brasileira, lançando o </w:t>
      </w:r>
      <w:r>
        <w:rPr>
          <w:i/>
        </w:rPr>
        <w:t>Manifesto de Outubro de 1932</w:t>
      </w:r>
      <w:r>
        <w:t xml:space="preserve">. A trajetória e ampliação do integralismo se configuram em diversas regiões brasileiras, sendo considerado o primeiro partido de massas do país. Entretanto, sua projeção é sufocada após o golpe do Estado Novo em 1937 e reprimida no decorrer de 1938, com a fracassada tentativa de golpe de grupos integralistas contra o governo central de Getúlio Vargas, no Rio de Janeiro. Ver: TRINDADE. Hélgio. Integralismo: teoria e práxis política nos anos 30. In: </w:t>
      </w:r>
    </w:p>
    <w:p w:rsidR="00201DA6" w:rsidRDefault="00201DA6">
      <w:pPr>
        <w:pStyle w:val="footnotedescription"/>
        <w:spacing w:line="238" w:lineRule="auto"/>
        <w:ind w:right="13"/>
      </w:pPr>
      <w:r>
        <w:t xml:space="preserve">FAUSTO, Boris (Dir.). </w:t>
      </w:r>
      <w:r>
        <w:rPr>
          <w:b/>
        </w:rPr>
        <w:t>HGCB</w:t>
      </w:r>
      <w:r>
        <w:t xml:space="preserve">. Vol. III, Difel, 1983; GERTZ, René E. </w:t>
      </w:r>
      <w:r>
        <w:rPr>
          <w:b/>
        </w:rPr>
        <w:t>O fascismo no sul do Brasil</w:t>
      </w:r>
      <w:r>
        <w:t>. Porto Alegre: Mercado Aberto, 1987; IRSCHLINGER, Fausto A.</w:t>
      </w:r>
      <w:r>
        <w:rPr>
          <w:b/>
        </w:rPr>
        <w:t xml:space="preserve"> Perigo verde</w:t>
      </w:r>
      <w:r>
        <w:t xml:space="preserve">: o integralismo no norte do Rio Grande do Sul (1932-1938). Passo Fundo: UPF, 2001. </w:t>
      </w:r>
    </w:p>
  </w:footnote>
  <w:footnote w:id="245">
    <w:p w:rsidR="00201DA6" w:rsidRDefault="00201DA6">
      <w:pPr>
        <w:pStyle w:val="footnotedescription"/>
        <w:jc w:val="left"/>
      </w:pPr>
      <w:r>
        <w:rPr>
          <w:rStyle w:val="footnotemark"/>
        </w:rPr>
        <w:footnoteRef/>
      </w:r>
      <w:r>
        <w:rPr>
          <w:b/>
        </w:rPr>
        <w:t xml:space="preserve"> </w:t>
      </w:r>
      <w:r>
        <w:t xml:space="preserve">O tema da modernidade é uma constante no Brasil e tem ocupado a intelectualidade em diferentes épocas. </w:t>
      </w:r>
    </w:p>
    <w:p w:rsidR="00201DA6" w:rsidRDefault="00201DA6">
      <w:pPr>
        <w:pStyle w:val="footnotedescription"/>
        <w:spacing w:line="239" w:lineRule="auto"/>
      </w:pPr>
      <w:r>
        <w:t xml:space="preserve">Quanto às discussões sobre modernidade e pós-moderno podemos ver maiores considerações em: PRADO JUNIOR, Caio. </w:t>
      </w:r>
      <w:r>
        <w:rPr>
          <w:b/>
        </w:rPr>
        <w:t>Formação do Brasil contemporâneo</w:t>
      </w:r>
      <w:r>
        <w:t xml:space="preserve">. São Paulo: Brasiliense, 1961; ORTIZ, Renato. </w:t>
      </w:r>
      <w:r>
        <w:rPr>
          <w:b/>
        </w:rPr>
        <w:t>A moderna tradição brasileira</w:t>
      </w:r>
      <w:r>
        <w:t xml:space="preserve">. São Paulo: Brasiliense, 1988; DIEHL, Astor Antônio. </w:t>
      </w:r>
      <w:r>
        <w:rPr>
          <w:b/>
        </w:rPr>
        <w:t>Vinho velho em pipa nova</w:t>
      </w:r>
      <w:r>
        <w:t xml:space="preserve">: o pós-moderno e o fim da História. Passo Fundo: Ediupf, 1997; entre outros, como Nélson Werneck Sodré e Raimundo Faoro.   </w:t>
      </w:r>
    </w:p>
  </w:footnote>
  <w:footnote w:id="246">
    <w:p w:rsidR="00201DA6" w:rsidRDefault="00201DA6">
      <w:pPr>
        <w:pStyle w:val="footnotedescription"/>
        <w:jc w:val="left"/>
      </w:pPr>
      <w:r>
        <w:rPr>
          <w:rStyle w:val="footnotemark"/>
        </w:rPr>
        <w:footnoteRef/>
      </w:r>
      <w:r>
        <w:t xml:space="preserve"> Como destaca Daniel Pécaut, os intelectuais dos anos 1925-40 mostram-se preocupados, sobretudo com o problema da identidade nacional e das instituições. Nem todos os intelectuais da época participaram da mesma concepção política. Muitos simpatizaram com os diversos movimentos autoritários surgidos após 1930, ou mais tarde aderem ao Estado Novo, em 1937. Em sua grande maioria, mostram-se de acordo quanto à rejeição da democracia representativa e ao fortalecimento das funções do Estado. Acatam também a prioridade do imperativo nacional e aderem, explicitamente ou não, a uma visão hierárquica da ordem social. Na verdade, a chamada “moda tupi” foi bem além dos setores de direita. Os católicos e os integralistas foram os mais encarniçados na tarefa de reabilitação nacional, que buscava assegurar o triunfo sobre o materialismo. É neste sentido que a figura de Plínio Salgado é significativa como intelectual do período, que articula a insistência sobre a dimensão “espiritualista”. Na sua visão, buscar o “integralismo”, a “integridade” é a consideração daquilo que insere o indivíduo num contexto que representa um laço social: família, terra, pátria, história etc. Tem-se com Salgado, portanto, a busca por um Estado “familiar-corporativo”. IN: ---. </w:t>
      </w:r>
      <w:r>
        <w:rPr>
          <w:b/>
        </w:rPr>
        <w:t>Os intelectuais e a política no Brasil</w:t>
      </w:r>
      <w:r>
        <w:t>:</w:t>
      </w:r>
      <w:r>
        <w:rPr>
          <w:i/>
        </w:rPr>
        <w:t xml:space="preserve"> </w:t>
      </w:r>
      <w:r>
        <w:t xml:space="preserve">entre o povo e a nação. São Paulo: Ática, 1990, pp. 44,45. </w:t>
      </w:r>
    </w:p>
  </w:footnote>
  <w:footnote w:id="247">
    <w:p w:rsidR="00201DA6" w:rsidRDefault="00201DA6">
      <w:pPr>
        <w:pStyle w:val="footnotedescription"/>
        <w:spacing w:line="247" w:lineRule="auto"/>
        <w:ind w:right="12"/>
      </w:pPr>
      <w:r>
        <w:rPr>
          <w:rStyle w:val="footnotemark"/>
        </w:rPr>
        <w:footnoteRef/>
      </w:r>
      <w:r>
        <w:t xml:space="preserve"> Frente à “derrocada” do integralismo em 1938 perante o Estado Novo, Gilberto Calil destaca que houve certo deslocamento do eixo discursivo de Salgado para questões “indiretamente” ligadas a política nas publicações durante e após o exílio (1939-1945), inclusive como uma necessidade e uma mudança de mentalidade no cenário político brasileiro. E, é neste contexto de reformulação política que Salgado instituiu o discurso enunciado na obra “A Mulher no Século XX”. Para ampliar os conhecimentos no assunto, sugerimos a leitura do artigo “Os integralistas frente ao Estado Novo: euforia, decepção e subordinação”. Site: </w:t>
      </w:r>
      <w:r>
        <w:rPr>
          <w:u w:val="single" w:color="000000"/>
        </w:rPr>
        <w:t>http://www.editoraufjf.com.br/revista/index.php/locus/article/viewFile/979/831</w:t>
      </w:r>
      <w:r>
        <w:t xml:space="preserve"> acessado em 24/03/2011. </w:t>
      </w:r>
    </w:p>
  </w:footnote>
  <w:footnote w:id="248">
    <w:p w:rsidR="00201DA6" w:rsidRDefault="00201DA6">
      <w:pPr>
        <w:pStyle w:val="footnotedescription"/>
        <w:spacing w:line="244" w:lineRule="auto"/>
        <w:ind w:right="12"/>
      </w:pPr>
      <w:r>
        <w:rPr>
          <w:rStyle w:val="footnotemark"/>
        </w:rPr>
        <w:footnoteRef/>
      </w:r>
      <w:r>
        <w:t xml:space="preserve"> As discussões sobre a história do gênero propõem uma série de reflexões que nos auxiliaram em nossas formulações teóricas. Destacamos que o conceito de Gênero foi primeiramente utilizado para se contrapor ao determinismo biológico. Desse modo, “gênero” foi desenvolvido como uma oposição a “sexo”, o primeiro designando o que é socialmente construído, e o segundo o que é biologicamente dado. (NICHOLSON in MARIANO, 2005, p. 490). Assim, considera Silvana Aparecida Mariano que ao utilizar [o conceito] gênero, deixava-se de fazer uma história, uma psicologia, ou uma literatura das mulheres, sobre as mulheres e passava-se a analisar a construção social e cultural do feminino e do masculino, atentando para as formas pelas quais os sujeitos se constituíam e eram constituídos, em meio as relações de poder. (MARIANO, 2005, p. 485). Neste sentido, nos propomos a analisar o “discurso de gênero” instituído por Salgado enquanto uma</w:t>
      </w:r>
      <w:r>
        <w:rPr>
          <w:i/>
        </w:rPr>
        <w:t xml:space="preserve"> fonte histórica</w:t>
      </w:r>
      <w:r>
        <w:t xml:space="preserve"> importante para entendermos a História das Mulheres, na perspectiva de construção social ou de </w:t>
      </w:r>
      <w:r>
        <w:rPr>
          <w:i/>
        </w:rPr>
        <w:t>habitus -</w:t>
      </w:r>
      <w:r>
        <w:t xml:space="preserve"> que segundo Bourdieu, é </w:t>
      </w:r>
      <w:r>
        <w:rPr>
          <w:i/>
        </w:rPr>
        <w:t>lei social incorporada</w:t>
      </w:r>
      <w:r>
        <w:t xml:space="preserve">, via processo de nominação e inculcação. (BOURDIEU, 2009, p. 62). </w:t>
      </w:r>
    </w:p>
  </w:footnote>
  <w:footnote w:id="249">
    <w:p w:rsidR="00201DA6" w:rsidRDefault="00201DA6">
      <w:pPr>
        <w:pStyle w:val="footnotedescription"/>
        <w:jc w:val="left"/>
      </w:pPr>
      <w:r>
        <w:rPr>
          <w:rStyle w:val="footnotemark"/>
        </w:rPr>
        <w:footnoteRef/>
      </w:r>
      <w:r>
        <w:t xml:space="preserve"> Para melhor entendimento sobre linguagem e ideologia, destacamos a obra: FIORIN, José Luiz. </w:t>
      </w:r>
      <w:r>
        <w:rPr>
          <w:b/>
        </w:rPr>
        <w:t>Linguagem e ideologia</w:t>
      </w:r>
      <w:r>
        <w:t xml:space="preserve">. São Paulo: Ática, 1988.   </w:t>
      </w:r>
      <w:r>
        <w:rPr>
          <w:sz w:val="13"/>
        </w:rPr>
        <w:t>9</w:t>
      </w:r>
    </w:p>
    <w:p w:rsidR="00201DA6" w:rsidRDefault="00201DA6">
      <w:pPr>
        <w:pStyle w:val="footnotedescription"/>
        <w:spacing w:line="240" w:lineRule="auto"/>
        <w:ind w:firstLine="65"/>
      </w:pPr>
      <w:r>
        <w:t xml:space="preserve"> Sobre o lema “Deus, Pátria, Família”, sugerimos a leitura de: CAVALARI, Rosa Maria Feitero. </w:t>
      </w:r>
      <w:r>
        <w:rPr>
          <w:b/>
        </w:rPr>
        <w:t>Integralismo</w:t>
      </w:r>
      <w:r>
        <w:t xml:space="preserve">: ideologia e organização de um partido de massa no Brasil (1932-1937). São Paulo: EDUSC, 1999. </w:t>
      </w:r>
    </w:p>
  </w:footnote>
  <w:footnote w:id="250">
    <w:p w:rsidR="00201DA6" w:rsidRDefault="00201DA6">
      <w:pPr>
        <w:pStyle w:val="footnotedescription"/>
        <w:jc w:val="left"/>
      </w:pPr>
      <w:r>
        <w:rPr>
          <w:rStyle w:val="footnotemark"/>
        </w:rPr>
        <w:footnoteRef/>
      </w:r>
      <w:r>
        <w:t xml:space="preserve"> WERKHÄUSER, B. </w:t>
      </w:r>
      <w:r>
        <w:rPr>
          <w:b/>
        </w:rPr>
        <w:t>Deus, Patria e Familia</w:t>
      </w:r>
      <w:r>
        <w:t xml:space="preserve">. Jornal O Boavistense, Erechim-RS, n. 40, 3 jan. 1936. p. 1.  </w:t>
      </w:r>
    </w:p>
  </w:footnote>
  <w:footnote w:id="251">
    <w:p w:rsidR="00201DA6" w:rsidRDefault="00201DA6">
      <w:pPr>
        <w:pStyle w:val="footnotedescription"/>
        <w:jc w:val="left"/>
      </w:pPr>
      <w:r>
        <w:rPr>
          <w:rStyle w:val="footnotemark"/>
        </w:rPr>
        <w:footnoteRef/>
      </w:r>
      <w:r>
        <w:t xml:space="preserve"> Conforme abordado por Silvana Aparecida Mariano, tendo por base as análises de Linda Nicholson, na perspectiva biologista o biológico é “assumido como a base sobre a qual os significados culturais são constituídos”. Ou seja, “tal concepção do relacionamento entre biologia e socialização torna possível o que pode ser descrito como uma espécie de noção ‘porta casacos’ da identidade: o corpo é visto como um tipo de cabide de pé no qual são jogados diferentes artefatos culturais, especificamente os relativos à personalidade e comportamento”. (NICHOLSON in MARIANO, 2005, p. 490). </w:t>
      </w:r>
    </w:p>
  </w:footnote>
  <w:footnote w:id="252">
    <w:p w:rsidR="00201DA6" w:rsidRDefault="00201DA6">
      <w:pPr>
        <w:pStyle w:val="footnotedescription"/>
        <w:jc w:val="left"/>
      </w:pPr>
      <w:r>
        <w:rPr>
          <w:rStyle w:val="footnotemark"/>
        </w:rPr>
        <w:footnoteRef/>
      </w:r>
      <w:r>
        <w:t xml:space="preserve"> Conforme Silvana Aparecida Mariano, a dicotomia homem/mulher “ao mesmo tempo que contrapõe os dois termos da oposição, constrói a igualdade de cada lado da oposição e oculta as múltiplas identificações entre os lados opostos, exagerando a oposição, da mesma forma que oculta o múltiplo jogo das diferenças de cada lado da oposição. Trata-se de um jogo de exclusão e inclusão. Com isso, cada lado da oposição é apresentado e representado como um fenômeno unitário. ‘Assume que tudo em cada categoria (mulher/homem) é a mesma coisa (é igual); portanto, se suprimem as diferenças dentro de cada categoria.” (MARIANO, 2005, p. 487). </w:t>
      </w:r>
    </w:p>
  </w:footnote>
  <w:footnote w:id="253">
    <w:p w:rsidR="00201DA6" w:rsidRDefault="00201DA6">
      <w:pPr>
        <w:pStyle w:val="footnotedescription"/>
        <w:jc w:val="left"/>
      </w:pPr>
      <w:r>
        <w:rPr>
          <w:rStyle w:val="footnotemark"/>
        </w:rPr>
        <w:footnoteRef/>
      </w:r>
      <w:r>
        <w:t xml:space="preserve"> Segundo Maria Martha de Luna Freire, a ideologia maternalista que dominou o território europeu após a Primeira Guerra Mundial transformou a maternidade em valor social e dever patriótico. E completa que “a ideologia da maternidade científica aproximava as mulheres do universo “masculino”, racional, da ciência, deslocando a maternidade da esfera estritamente doméstica e lhe conferindo um novo status” (FREIRE, 2008, p. 161). Assim, “munidas do arsenal científico da puericultura, com base na supremacia da razão sobre a emoção, e rompendo com “antigos” dogmas religiosos ou crenças tradicionais, elas estariam supostamente aptas a desenvolver sua “nobre missão”. (FREIRE, 2008, p. 161). </w:t>
      </w:r>
    </w:p>
  </w:footnote>
  <w:footnote w:id="254">
    <w:p w:rsidR="00201DA6" w:rsidRDefault="00201DA6">
      <w:pPr>
        <w:pStyle w:val="footnotedescription"/>
        <w:spacing w:line="289" w:lineRule="auto"/>
      </w:pPr>
      <w:r>
        <w:rPr>
          <w:rStyle w:val="footnotemark"/>
        </w:rPr>
        <w:footnoteRef/>
      </w:r>
      <w:r>
        <w:t xml:space="preserve"> O “tripé” integralista “Deus, Pátria, Família” pode ser considerado a “matriz discursiva” de Salgado, raiz da qual se desenvolve todos os elementos de seu discurso. </w:t>
      </w:r>
    </w:p>
  </w:footnote>
  <w:footnote w:id="255">
    <w:p w:rsidR="00201DA6" w:rsidRDefault="00201DA6">
      <w:pPr>
        <w:pStyle w:val="footnotedescription"/>
        <w:jc w:val="left"/>
      </w:pPr>
      <w:r>
        <w:rPr>
          <w:rStyle w:val="footnotemark"/>
        </w:rPr>
        <w:footnoteRef/>
      </w:r>
      <w:r>
        <w:t xml:space="preserve"> A partir dos estudos de Olívia Candeia Lima Rocha, observamos que no contexto da publicação de “A Mulher no Século XX”, emerge a chamada “segunda onda feminista”, tendo como cerne o estabelecimento de igualdade de direitos entre homens e mulheres, trazia questões como, o acesso feminino à instrução, a crítica ao casamento enquanto instituição de opressão das mulheres, a ampliação das possibilidades femininas no mercado de trabalho, e dava maior ênfase à reivindicação do sufrágio feminino. (ROCHA, 2006, p. 2). </w:t>
      </w:r>
    </w:p>
  </w:footnote>
  <w:footnote w:id="256">
    <w:p w:rsidR="00201DA6" w:rsidRDefault="00201DA6">
      <w:pPr>
        <w:pStyle w:val="footnotedescription"/>
        <w:spacing w:line="260" w:lineRule="auto"/>
      </w:pPr>
      <w:r>
        <w:rPr>
          <w:rStyle w:val="footnotemark"/>
        </w:rPr>
        <w:footnoteRef/>
      </w:r>
      <w:r>
        <w:t xml:space="preserve"> Mais informações sobre o “apostolado político-religioso” de Salgado em: SALGADO</w:t>
      </w:r>
      <w:r>
        <w:rPr>
          <w:b/>
        </w:rPr>
        <w:t xml:space="preserve">, </w:t>
      </w:r>
      <w:r>
        <w:t xml:space="preserve">Plínio. A </w:t>
      </w:r>
      <w:r>
        <w:rPr>
          <w:b/>
        </w:rPr>
        <w:t>Quarta Humanidade</w:t>
      </w:r>
      <w:r>
        <w:t xml:space="preserve">. In: Obras Completas, vol. 5. São Paulo: Editora das Américas. 1955. </w:t>
      </w:r>
    </w:p>
  </w:footnote>
  <w:footnote w:id="257">
    <w:p w:rsidR="00201DA6" w:rsidRDefault="00201DA6">
      <w:pPr>
        <w:pStyle w:val="footnotedescription"/>
        <w:spacing w:line="273" w:lineRule="auto"/>
      </w:pPr>
      <w:r>
        <w:rPr>
          <w:rStyle w:val="footnotemark"/>
        </w:rPr>
        <w:footnoteRef/>
      </w:r>
      <w:r>
        <w:t xml:space="preserve"> Sobre a “vontade de verdade”, temos importantes considerações em: FOUCAULT, Michel. </w:t>
      </w:r>
      <w:r>
        <w:rPr>
          <w:b/>
        </w:rPr>
        <w:t>A Ordem do Discurso</w:t>
      </w:r>
      <w:r>
        <w:t xml:space="preserve">. 20 ed. Edições Loyola: São Paulo, 2010. </w:t>
      </w:r>
    </w:p>
  </w:footnote>
  <w:footnote w:id="258">
    <w:p w:rsidR="00201DA6" w:rsidRDefault="00201DA6">
      <w:pPr>
        <w:pStyle w:val="footnotedescription"/>
        <w:spacing w:after="26"/>
        <w:jc w:val="left"/>
      </w:pPr>
      <w:r>
        <w:rPr>
          <w:rStyle w:val="footnotemark"/>
        </w:rPr>
        <w:footnoteRef/>
      </w:r>
      <w:r>
        <w:t xml:space="preserve"> Ao falar em concepção espiritualista da história, estamos nos referindo à visão “espiritual” de história.  </w:t>
      </w:r>
    </w:p>
  </w:footnote>
  <w:footnote w:id="259">
    <w:p w:rsidR="00201DA6" w:rsidRDefault="00201DA6">
      <w:pPr>
        <w:pStyle w:val="footnotedescription"/>
        <w:spacing w:line="249" w:lineRule="auto"/>
        <w:ind w:right="15"/>
      </w:pPr>
      <w:r>
        <w:rPr>
          <w:rStyle w:val="footnotemark"/>
        </w:rPr>
        <w:footnoteRef/>
      </w:r>
      <w:r>
        <w:t xml:space="preserve"> No centro do pensamento sócio-político de Plínio Salgado esta o “Homem Integral”, que alicerça a Doutrina do Integralismo brasileiro. Pensamento que valoriza o homem voltado aos princípios integradores da religião e que condena as concepções que acredita serem “mutiladoras” do homem, como o individualismo, o coletivismo e o estatismo (que provinham de fontes filosóficas como Hobbes, Rousseau, Comte, entre outros). Segundo Salgado, estas concepções que orientavam a ação do Estado estariam formando homens monstros e contra elas se posicionou (SALGADO, 1955, p. 15).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097176"/>
      <w:docPartObj>
        <w:docPartGallery w:val="Page Numbers (Top of Page)"/>
        <w:docPartUnique/>
      </w:docPartObj>
    </w:sdtPr>
    <w:sdtEndPr/>
    <w:sdtContent>
      <w:p w:rsidR="00EC0E77" w:rsidRDefault="00EC0E77">
        <w:pPr>
          <w:pStyle w:val="Cabealho"/>
          <w:jc w:val="right"/>
        </w:pPr>
        <w:r>
          <w:fldChar w:fldCharType="begin"/>
        </w:r>
        <w:r>
          <w:instrText xml:space="preserve"> PAGE   \* MERGEFORMAT </w:instrText>
        </w:r>
        <w:r>
          <w:fldChar w:fldCharType="separate"/>
        </w:r>
        <w:r w:rsidR="00013211">
          <w:rPr>
            <w:noProof/>
          </w:rPr>
          <w:t>2</w:t>
        </w:r>
        <w:r>
          <w:rPr>
            <w:noProof/>
          </w:rPr>
          <w:fldChar w:fldCharType="end"/>
        </w:r>
      </w:p>
    </w:sdtContent>
  </w:sdt>
  <w:p w:rsidR="00EC0E77" w:rsidRDefault="00EC0E7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E77" w:rsidRDefault="00EC0E77" w:rsidP="00771368">
    <w:pPr>
      <w:rPr>
        <w:sz w:val="24"/>
        <w:szCs w:val="24"/>
      </w:rPr>
    </w:pPr>
    <w:r>
      <w:rPr>
        <w:sz w:val="24"/>
        <w:szCs w:val="24"/>
      </w:rPr>
      <w:t xml:space="preserve"> </w:t>
    </w:r>
  </w:p>
  <w:p w:rsidR="00EC0E77" w:rsidRDefault="00EC0E77" w:rsidP="00771368">
    <w:pPr>
      <w:rPr>
        <w:sz w:val="24"/>
        <w:szCs w:val="24"/>
      </w:rPr>
    </w:pPr>
  </w:p>
  <w:tbl>
    <w:tblPr>
      <w:tblW w:w="10503" w:type="dxa"/>
      <w:tblInd w:w="-743" w:type="dxa"/>
      <w:tblLook w:val="04A0" w:firstRow="1" w:lastRow="0" w:firstColumn="1" w:lastColumn="0" w:noHBand="0" w:noVBand="1"/>
    </w:tblPr>
    <w:tblGrid>
      <w:gridCol w:w="2038"/>
      <w:gridCol w:w="6069"/>
      <w:gridCol w:w="2396"/>
    </w:tblGrid>
    <w:tr w:rsidR="00EC0E77" w:rsidRPr="002669FD" w:rsidTr="00771368">
      <w:trPr>
        <w:trHeight w:val="2530"/>
      </w:trPr>
      <w:tc>
        <w:tcPr>
          <w:tcW w:w="2038" w:type="dxa"/>
        </w:tcPr>
        <w:p w:rsidR="00EC0E77" w:rsidRPr="002669FD" w:rsidRDefault="00EC0E77" w:rsidP="001F03D7">
          <w:pPr>
            <w:pStyle w:val="Cabealho"/>
          </w:pPr>
          <w:r>
            <w:rPr>
              <w:noProof/>
              <w:lang w:eastAsia="pt-BR"/>
            </w:rPr>
            <w:drawing>
              <wp:inline distT="0" distB="0" distL="0" distR="0">
                <wp:extent cx="1061604" cy="1455752"/>
                <wp:effectExtent l="19050" t="0" r="5196" b="0"/>
                <wp:docPr id="8" name="Imagem 1"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Arquivos diversos 09 12 14\Logo\UFSC.tif"/>
                        <pic:cNvPicPr>
                          <a:picLocks noChangeAspect="1" noChangeArrowheads="1"/>
                        </pic:cNvPicPr>
                      </pic:nvPicPr>
                      <pic:blipFill>
                        <a:blip r:embed="rId1"/>
                        <a:srcRect/>
                        <a:stretch>
                          <a:fillRect/>
                        </a:stretch>
                      </pic:blipFill>
                      <pic:spPr bwMode="auto">
                        <a:xfrm>
                          <a:off x="0" y="0"/>
                          <a:ext cx="1064456" cy="1459663"/>
                        </a:xfrm>
                        <a:prstGeom prst="rect">
                          <a:avLst/>
                        </a:prstGeom>
                        <a:noFill/>
                        <a:ln w="9525">
                          <a:noFill/>
                          <a:miter lim="800000"/>
                          <a:headEnd/>
                          <a:tailEnd/>
                        </a:ln>
                      </pic:spPr>
                    </pic:pic>
                  </a:graphicData>
                </a:graphic>
              </wp:inline>
            </w:drawing>
          </w:r>
        </w:p>
      </w:tc>
      <w:tc>
        <w:tcPr>
          <w:tcW w:w="6069" w:type="dxa"/>
        </w:tcPr>
        <w:p w:rsidR="00EC0E77" w:rsidRPr="002669FD" w:rsidRDefault="00EC0E77" w:rsidP="001F03D7">
          <w:pPr>
            <w:pStyle w:val="Cabealho"/>
            <w:jc w:val="center"/>
            <w:rPr>
              <w:rFonts w:ascii="Times New Roman" w:hAnsi="Times New Roman"/>
              <w:sz w:val="24"/>
              <w:szCs w:val="24"/>
            </w:rPr>
          </w:pPr>
          <w:r w:rsidRPr="002669FD">
            <w:rPr>
              <w:rFonts w:ascii="Times New Roman" w:hAnsi="Times New Roman"/>
              <w:sz w:val="24"/>
              <w:szCs w:val="24"/>
            </w:rPr>
            <w:t>UNIVERSIDADE FEDERAL DE SANTA CATARINA</w:t>
          </w:r>
        </w:p>
        <w:p w:rsidR="00EC0E77" w:rsidRPr="002669FD" w:rsidRDefault="00EC0E77" w:rsidP="001F03D7">
          <w:pPr>
            <w:pStyle w:val="Cabealho"/>
            <w:jc w:val="center"/>
            <w:rPr>
              <w:rFonts w:ascii="Times New Roman" w:hAnsi="Times New Roman"/>
              <w:sz w:val="24"/>
              <w:szCs w:val="24"/>
            </w:rPr>
          </w:pPr>
          <w:r w:rsidRPr="002669FD">
            <w:rPr>
              <w:rFonts w:ascii="Times New Roman" w:hAnsi="Times New Roman"/>
              <w:sz w:val="24"/>
              <w:szCs w:val="24"/>
            </w:rPr>
            <w:t>Centro de Filosofia e Ciências Humanas</w:t>
          </w:r>
        </w:p>
        <w:p w:rsidR="00EC0E77" w:rsidRPr="002669FD" w:rsidRDefault="00EC0E77" w:rsidP="001F03D7">
          <w:pPr>
            <w:pStyle w:val="Cabealho"/>
            <w:jc w:val="center"/>
            <w:rPr>
              <w:rFonts w:ascii="Times New Roman" w:hAnsi="Times New Roman"/>
              <w:sz w:val="24"/>
              <w:szCs w:val="24"/>
            </w:rPr>
          </w:pPr>
          <w:r w:rsidRPr="002669FD">
            <w:rPr>
              <w:rFonts w:ascii="Times New Roman" w:hAnsi="Times New Roman"/>
              <w:sz w:val="24"/>
              <w:szCs w:val="24"/>
            </w:rPr>
            <w:t>Programa de Pós-Graduação em Antropologia Social</w:t>
          </w:r>
        </w:p>
        <w:p w:rsidR="00EC0E77" w:rsidRDefault="00EC0E77" w:rsidP="001F03D7">
          <w:pPr>
            <w:pStyle w:val="Cabealho"/>
            <w:jc w:val="center"/>
            <w:rPr>
              <w:rFonts w:ascii="Times New Roman" w:hAnsi="Times New Roman"/>
              <w:sz w:val="24"/>
              <w:szCs w:val="24"/>
            </w:rPr>
          </w:pPr>
          <w:r w:rsidRPr="002669FD">
            <w:rPr>
              <w:rFonts w:ascii="Times New Roman" w:hAnsi="Times New Roman"/>
              <w:sz w:val="24"/>
              <w:szCs w:val="24"/>
            </w:rPr>
            <w:t>Núcleo de Identidade</w:t>
          </w:r>
          <w:r>
            <w:rPr>
              <w:rFonts w:ascii="Times New Roman" w:hAnsi="Times New Roman"/>
              <w:sz w:val="24"/>
              <w:szCs w:val="24"/>
            </w:rPr>
            <w:t>s</w:t>
          </w:r>
          <w:r w:rsidRPr="002669FD">
            <w:rPr>
              <w:rFonts w:ascii="Times New Roman" w:hAnsi="Times New Roman"/>
              <w:sz w:val="24"/>
              <w:szCs w:val="24"/>
            </w:rPr>
            <w:t xml:space="preserve"> de Gênero e Subjetividades</w:t>
          </w:r>
        </w:p>
        <w:p w:rsidR="00EC0E77" w:rsidRPr="002669FD" w:rsidRDefault="00EC0E77" w:rsidP="001F03D7">
          <w:pPr>
            <w:pStyle w:val="Cabealho"/>
            <w:jc w:val="center"/>
            <w:rPr>
              <w:rFonts w:ascii="Times New Roman" w:hAnsi="Times New Roman"/>
              <w:sz w:val="24"/>
              <w:szCs w:val="24"/>
            </w:rPr>
          </w:pPr>
        </w:p>
        <w:p w:rsidR="00EC0E77" w:rsidRPr="002669FD" w:rsidRDefault="00EC0E77" w:rsidP="001F03D7">
          <w:pPr>
            <w:pStyle w:val="Cabealho"/>
            <w:jc w:val="center"/>
          </w:pPr>
          <w:r w:rsidRPr="002669FD">
            <w:rPr>
              <w:rFonts w:ascii="Times New Roman" w:hAnsi="Times New Roman"/>
              <w:sz w:val="24"/>
              <w:szCs w:val="24"/>
            </w:rPr>
            <w:t>Projeto</w:t>
          </w:r>
          <w:r>
            <w:rPr>
              <w:rFonts w:ascii="Times New Roman" w:hAnsi="Times New Roman"/>
              <w:sz w:val="24"/>
              <w:szCs w:val="24"/>
            </w:rPr>
            <w:t>:</w:t>
          </w:r>
          <w:r w:rsidRPr="002669FD">
            <w:rPr>
              <w:rFonts w:ascii="Times New Roman" w:hAnsi="Times New Roman"/>
              <w:sz w:val="24"/>
              <w:szCs w:val="24"/>
            </w:rPr>
            <w:t xml:space="preserve"> Avaliação do Prêmio Construindo a Igualdade d</w:t>
          </w:r>
          <w:r>
            <w:rPr>
              <w:rFonts w:ascii="Times New Roman" w:hAnsi="Times New Roman"/>
              <w:sz w:val="24"/>
              <w:szCs w:val="24"/>
            </w:rPr>
            <w:t>e Gênero n</w:t>
          </w:r>
          <w:r w:rsidRPr="002669FD">
            <w:rPr>
              <w:rFonts w:ascii="Times New Roman" w:hAnsi="Times New Roman"/>
              <w:sz w:val="24"/>
              <w:szCs w:val="24"/>
            </w:rPr>
            <w:t>o Brasil</w:t>
          </w:r>
        </w:p>
      </w:tc>
      <w:tc>
        <w:tcPr>
          <w:tcW w:w="2395" w:type="dxa"/>
        </w:tcPr>
        <w:p w:rsidR="00EC0E77" w:rsidRPr="002669FD" w:rsidRDefault="00EC0E77" w:rsidP="001F03D7">
          <w:pPr>
            <w:pStyle w:val="Cabealho"/>
          </w:pPr>
          <w:r>
            <w:rPr>
              <w:noProof/>
              <w:lang w:eastAsia="pt-BR"/>
            </w:rPr>
            <w:drawing>
              <wp:anchor distT="0" distB="0" distL="114300" distR="114300" simplePos="0" relativeHeight="251658240" behindDoc="1" locked="0" layoutInCell="1" allowOverlap="1">
                <wp:simplePos x="0" y="0"/>
                <wp:positionH relativeFrom="column">
                  <wp:posOffset>251460</wp:posOffset>
                </wp:positionH>
                <wp:positionV relativeFrom="paragraph">
                  <wp:posOffset>-1188085</wp:posOffset>
                </wp:positionV>
                <wp:extent cx="1280795" cy="1139825"/>
                <wp:effectExtent l="19050" t="0" r="0" b="0"/>
                <wp:wrapTight wrapText="bothSides">
                  <wp:wrapPolygon edited="0">
                    <wp:start x="-321" y="0"/>
                    <wp:lineTo x="-321" y="21299"/>
                    <wp:lineTo x="21525" y="21299"/>
                    <wp:lineTo x="21525" y="0"/>
                    <wp:lineTo x="-321" y="0"/>
                  </wp:wrapPolygon>
                </wp:wrapTight>
                <wp:docPr id="12" name="Imagem 1"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NIGS.JPG"/>
                        <pic:cNvPicPr>
                          <a:picLocks noChangeAspect="1" noChangeArrowheads="1"/>
                        </pic:cNvPicPr>
                      </pic:nvPicPr>
                      <pic:blipFill>
                        <a:blip r:embed="rId2"/>
                        <a:srcRect/>
                        <a:stretch>
                          <a:fillRect/>
                        </a:stretch>
                      </pic:blipFill>
                      <pic:spPr bwMode="auto">
                        <a:xfrm>
                          <a:off x="0" y="0"/>
                          <a:ext cx="1280795" cy="1139825"/>
                        </a:xfrm>
                        <a:prstGeom prst="rect">
                          <a:avLst/>
                        </a:prstGeom>
                        <a:noFill/>
                        <a:ln w="9525">
                          <a:noFill/>
                          <a:miter lim="800000"/>
                          <a:headEnd/>
                          <a:tailEnd/>
                        </a:ln>
                      </pic:spPr>
                    </pic:pic>
                  </a:graphicData>
                </a:graphic>
              </wp:anchor>
            </w:drawing>
          </w:r>
        </w:p>
      </w:tc>
    </w:tr>
    <w:tr w:rsidR="00EC0E77" w:rsidRPr="002669FD" w:rsidTr="00771368">
      <w:trPr>
        <w:trHeight w:val="782"/>
      </w:trPr>
      <w:tc>
        <w:tcPr>
          <w:tcW w:w="10503" w:type="dxa"/>
          <w:gridSpan w:val="3"/>
        </w:tcPr>
        <w:p w:rsidR="00EC0E77" w:rsidRPr="002669FD" w:rsidRDefault="00EC0E77" w:rsidP="001F03D7">
          <w:pPr>
            <w:pStyle w:val="Cabealho"/>
            <w:jc w:val="right"/>
          </w:pPr>
          <w:r>
            <w:rPr>
              <w:noProof/>
              <w:lang w:eastAsia="pt-BR"/>
            </w:rPr>
            <w:drawing>
              <wp:inline distT="0" distB="0" distL="0" distR="0">
                <wp:extent cx="2208530" cy="451485"/>
                <wp:effectExtent l="19050" t="0" r="1270" b="0"/>
                <wp:docPr id="13" name="Imagem 2"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Arquivos diversos 09 12 14\Logo\SPM1.jpg"/>
                        <pic:cNvPicPr>
                          <a:picLocks noChangeAspect="1" noChangeArrowheads="1"/>
                        </pic:cNvPicPr>
                      </pic:nvPicPr>
                      <pic:blipFill>
                        <a:blip r:embed="rId3"/>
                        <a:srcRect/>
                        <a:stretch>
                          <a:fillRect/>
                        </a:stretch>
                      </pic:blipFill>
                      <pic:spPr bwMode="auto">
                        <a:xfrm>
                          <a:off x="0" y="0"/>
                          <a:ext cx="2208530" cy="451485"/>
                        </a:xfrm>
                        <a:prstGeom prst="rect">
                          <a:avLst/>
                        </a:prstGeom>
                        <a:noFill/>
                        <a:ln w="9525">
                          <a:noFill/>
                          <a:miter lim="800000"/>
                          <a:headEnd/>
                          <a:tailEnd/>
                        </a:ln>
                      </pic:spPr>
                    </pic:pic>
                  </a:graphicData>
                </a:graphic>
              </wp:inline>
            </w:drawing>
          </w:r>
        </w:p>
      </w:tc>
    </w:tr>
  </w:tbl>
  <w:p w:rsidR="00EC0E77" w:rsidRPr="00771368" w:rsidRDefault="00EC0E77" w:rsidP="00771368">
    <w:pPr>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16"/>
      <w:gridCol w:w="2228"/>
      <w:gridCol w:w="4216"/>
    </w:tblGrid>
    <w:tr w:rsidR="00EC0E77" w:rsidRPr="00771368" w:rsidTr="00771368">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jc w:val="both"/>
            <w:rPr>
              <w:sz w:val="24"/>
              <w:szCs w:val="24"/>
            </w:rPr>
          </w:pPr>
          <w:r>
            <w:rPr>
              <w:rFonts w:ascii="Calibri" w:hAnsi="Calibri"/>
              <w:noProof/>
              <w:color w:val="000000"/>
              <w:sz w:val="27"/>
              <w:szCs w:val="27"/>
            </w:rPr>
            <w:drawing>
              <wp:inline distT="0" distB="0" distL="0" distR="0">
                <wp:extent cx="1899920" cy="2624455"/>
                <wp:effectExtent l="19050" t="0" r="5080" b="0"/>
                <wp:docPr id="14" name="Imagem 81"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rquivos diversos 09 12 14\Logo\UFSC.tif"/>
                        <pic:cNvPicPr>
                          <a:picLocks noChangeAspect="1" noChangeArrowheads="1"/>
                        </pic:cNvPicPr>
                      </pic:nvPicPr>
                      <pic:blipFill>
                        <a:blip r:embed="rId4"/>
                        <a:srcRect/>
                        <a:stretch>
                          <a:fillRect/>
                        </a:stretch>
                      </pic:blipFill>
                      <pic:spPr bwMode="auto">
                        <a:xfrm>
                          <a:off x="0" y="0"/>
                          <a:ext cx="1899920" cy="2624455"/>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jc w:val="center"/>
            <w:rPr>
              <w:sz w:val="24"/>
              <w:szCs w:val="24"/>
            </w:rPr>
          </w:pPr>
          <w:r w:rsidRPr="00771368">
            <w:rPr>
              <w:color w:val="000000"/>
              <w:sz w:val="30"/>
              <w:szCs w:val="30"/>
            </w:rPr>
            <w:t>UNIVERSIDADE FEDERAL DE SANTA CATARINA</w:t>
          </w:r>
        </w:p>
        <w:p w:rsidR="00EC0E77" w:rsidRPr="00771368" w:rsidRDefault="00EC0E77" w:rsidP="00771368">
          <w:pPr>
            <w:jc w:val="center"/>
            <w:rPr>
              <w:sz w:val="24"/>
              <w:szCs w:val="24"/>
            </w:rPr>
          </w:pPr>
          <w:r w:rsidRPr="00771368">
            <w:rPr>
              <w:color w:val="000000"/>
              <w:sz w:val="30"/>
              <w:szCs w:val="30"/>
            </w:rPr>
            <w:t>Centro de Filosofia e Ciências Humanas</w:t>
          </w:r>
        </w:p>
        <w:p w:rsidR="00EC0E77" w:rsidRPr="00771368" w:rsidRDefault="00EC0E77" w:rsidP="00771368">
          <w:pPr>
            <w:jc w:val="center"/>
            <w:rPr>
              <w:sz w:val="24"/>
              <w:szCs w:val="24"/>
            </w:rPr>
          </w:pPr>
          <w:r w:rsidRPr="00771368">
            <w:rPr>
              <w:color w:val="000000"/>
              <w:sz w:val="30"/>
              <w:szCs w:val="30"/>
            </w:rPr>
            <w:t>Programa de Pós-Graduação em Antropologia Social</w:t>
          </w:r>
        </w:p>
        <w:p w:rsidR="00EC0E77" w:rsidRPr="00771368" w:rsidRDefault="00EC0E77" w:rsidP="00771368">
          <w:pPr>
            <w:jc w:val="center"/>
            <w:rPr>
              <w:sz w:val="24"/>
              <w:szCs w:val="24"/>
            </w:rPr>
          </w:pPr>
          <w:r w:rsidRPr="00771368">
            <w:rPr>
              <w:color w:val="000000"/>
              <w:sz w:val="30"/>
              <w:szCs w:val="30"/>
            </w:rPr>
            <w:t>Núcleo de Identidade de Gênero e Subjetividades</w:t>
          </w:r>
        </w:p>
        <w:p w:rsidR="00EC0E77" w:rsidRPr="00771368" w:rsidRDefault="00EC0E77" w:rsidP="00771368">
          <w:pPr>
            <w:rPr>
              <w:sz w:val="24"/>
              <w:szCs w:val="24"/>
            </w:rPr>
          </w:pPr>
        </w:p>
        <w:p w:rsidR="00EC0E77" w:rsidRPr="00771368" w:rsidRDefault="00EC0E77" w:rsidP="00771368">
          <w:pPr>
            <w:spacing w:line="0" w:lineRule="atLeast"/>
            <w:jc w:val="center"/>
            <w:rPr>
              <w:sz w:val="24"/>
              <w:szCs w:val="24"/>
            </w:rPr>
          </w:pPr>
          <w:r w:rsidRPr="00771368">
            <w:rPr>
              <w:color w:val="000000"/>
              <w:sz w:val="30"/>
              <w:szCs w:val="30"/>
            </w:rPr>
            <w:t>Projeto: Avaliação do Prêmio Construindo a Igualdade de Gênero no Brasil</w:t>
          </w:r>
        </w:p>
      </w:tc>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rPr>
              <w:sz w:val="24"/>
              <w:szCs w:val="24"/>
            </w:rPr>
          </w:pPr>
          <w:r w:rsidRPr="00771368">
            <w:rPr>
              <w:sz w:val="24"/>
              <w:szCs w:val="24"/>
            </w:rPr>
            <w:br/>
          </w:r>
          <w:r>
            <w:rPr>
              <w:noProof/>
              <w:sz w:val="24"/>
              <w:szCs w:val="24"/>
            </w:rPr>
            <w:drawing>
              <wp:inline distT="0" distB="0" distL="0" distR="0">
                <wp:extent cx="2861945" cy="2564765"/>
                <wp:effectExtent l="19050" t="0" r="0" b="0"/>
                <wp:docPr id="15" name="Imagem 82"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IGS.JPG"/>
                        <pic:cNvPicPr>
                          <a:picLocks noChangeAspect="1" noChangeArrowheads="1"/>
                        </pic:cNvPicPr>
                      </pic:nvPicPr>
                      <pic:blipFill>
                        <a:blip r:embed="rId5"/>
                        <a:srcRect/>
                        <a:stretch>
                          <a:fillRect/>
                        </a:stretch>
                      </pic:blipFill>
                      <pic:spPr bwMode="auto">
                        <a:xfrm>
                          <a:off x="0" y="0"/>
                          <a:ext cx="2861945" cy="2564765"/>
                        </a:xfrm>
                        <a:prstGeom prst="rect">
                          <a:avLst/>
                        </a:prstGeom>
                        <a:noFill/>
                        <a:ln w="9525">
                          <a:noFill/>
                          <a:miter lim="800000"/>
                          <a:headEnd/>
                          <a:tailEnd/>
                        </a:ln>
                      </pic:spPr>
                    </pic:pic>
                  </a:graphicData>
                </a:graphic>
              </wp:inline>
            </w:drawing>
          </w:r>
        </w:p>
      </w:tc>
    </w:tr>
    <w:tr w:rsidR="00EC0E77" w:rsidRPr="00771368" w:rsidTr="00771368">
      <w:tc>
        <w:tcPr>
          <w:tcW w:w="0" w:type="auto"/>
          <w:gridSpan w:val="3"/>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jc w:val="right"/>
            <w:rPr>
              <w:sz w:val="24"/>
              <w:szCs w:val="24"/>
            </w:rPr>
          </w:pPr>
          <w:r>
            <w:rPr>
              <w:rFonts w:ascii="Calibri" w:hAnsi="Calibri"/>
              <w:noProof/>
              <w:color w:val="000000"/>
              <w:sz w:val="27"/>
              <w:szCs w:val="27"/>
            </w:rPr>
            <w:drawing>
              <wp:inline distT="0" distB="0" distL="0" distR="0">
                <wp:extent cx="5082540" cy="1033145"/>
                <wp:effectExtent l="19050" t="0" r="3810" b="0"/>
                <wp:docPr id="16" name="Imagem 83"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Arquivos diversos 09 12 14\Logo\SPM1.jpg"/>
                        <pic:cNvPicPr>
                          <a:picLocks noChangeAspect="1" noChangeArrowheads="1"/>
                        </pic:cNvPicPr>
                      </pic:nvPicPr>
                      <pic:blipFill>
                        <a:blip r:embed="rId6"/>
                        <a:srcRect/>
                        <a:stretch>
                          <a:fillRect/>
                        </a:stretch>
                      </pic:blipFill>
                      <pic:spPr bwMode="auto">
                        <a:xfrm>
                          <a:off x="0" y="0"/>
                          <a:ext cx="5082540" cy="1033145"/>
                        </a:xfrm>
                        <a:prstGeom prst="rect">
                          <a:avLst/>
                        </a:prstGeom>
                        <a:noFill/>
                        <a:ln w="9525">
                          <a:noFill/>
                          <a:miter lim="800000"/>
                          <a:headEnd/>
                          <a:tailEnd/>
                        </a:ln>
                      </pic:spPr>
                    </pic:pic>
                  </a:graphicData>
                </a:graphic>
              </wp:inline>
            </w:drawing>
          </w:r>
        </w:p>
      </w:tc>
    </w:tr>
  </w:tbl>
  <w:p w:rsidR="00EC0E77" w:rsidRPr="00771368" w:rsidRDefault="00EC0E77" w:rsidP="00771368">
    <w:pPr>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16"/>
      <w:gridCol w:w="2228"/>
      <w:gridCol w:w="4216"/>
    </w:tblGrid>
    <w:tr w:rsidR="00EC0E77" w:rsidRPr="00771368" w:rsidTr="00771368">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jc w:val="both"/>
            <w:rPr>
              <w:sz w:val="24"/>
              <w:szCs w:val="24"/>
            </w:rPr>
          </w:pPr>
          <w:r>
            <w:rPr>
              <w:rFonts w:ascii="Calibri" w:hAnsi="Calibri"/>
              <w:noProof/>
              <w:color w:val="000000"/>
              <w:sz w:val="27"/>
              <w:szCs w:val="27"/>
            </w:rPr>
            <w:drawing>
              <wp:inline distT="0" distB="0" distL="0" distR="0">
                <wp:extent cx="1899920" cy="2624455"/>
                <wp:effectExtent l="19050" t="0" r="5080" b="0"/>
                <wp:docPr id="17" name="Imagem 75"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rquivos diversos 09 12 14\Logo\UFSC.tif"/>
                        <pic:cNvPicPr>
                          <a:picLocks noChangeAspect="1" noChangeArrowheads="1"/>
                        </pic:cNvPicPr>
                      </pic:nvPicPr>
                      <pic:blipFill>
                        <a:blip r:embed="rId4"/>
                        <a:srcRect/>
                        <a:stretch>
                          <a:fillRect/>
                        </a:stretch>
                      </pic:blipFill>
                      <pic:spPr bwMode="auto">
                        <a:xfrm>
                          <a:off x="0" y="0"/>
                          <a:ext cx="1899920" cy="2624455"/>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jc w:val="center"/>
            <w:rPr>
              <w:sz w:val="24"/>
              <w:szCs w:val="24"/>
            </w:rPr>
          </w:pPr>
          <w:r w:rsidRPr="00771368">
            <w:rPr>
              <w:color w:val="000000"/>
              <w:sz w:val="30"/>
              <w:szCs w:val="30"/>
            </w:rPr>
            <w:t>UNIVERSIDADE FEDERAL DE SANTA CATARINA</w:t>
          </w:r>
        </w:p>
        <w:p w:rsidR="00EC0E77" w:rsidRPr="00771368" w:rsidRDefault="00EC0E77" w:rsidP="00771368">
          <w:pPr>
            <w:jc w:val="center"/>
            <w:rPr>
              <w:sz w:val="24"/>
              <w:szCs w:val="24"/>
            </w:rPr>
          </w:pPr>
          <w:r w:rsidRPr="00771368">
            <w:rPr>
              <w:color w:val="000000"/>
              <w:sz w:val="30"/>
              <w:szCs w:val="30"/>
            </w:rPr>
            <w:t>Centro de Filosofia e Ciências Humanas</w:t>
          </w:r>
        </w:p>
        <w:p w:rsidR="00EC0E77" w:rsidRPr="00771368" w:rsidRDefault="00EC0E77" w:rsidP="00771368">
          <w:pPr>
            <w:jc w:val="center"/>
            <w:rPr>
              <w:sz w:val="24"/>
              <w:szCs w:val="24"/>
            </w:rPr>
          </w:pPr>
          <w:r w:rsidRPr="00771368">
            <w:rPr>
              <w:color w:val="000000"/>
              <w:sz w:val="30"/>
              <w:szCs w:val="30"/>
            </w:rPr>
            <w:t>Programa de Pós-Graduação em Antropologia Social</w:t>
          </w:r>
        </w:p>
        <w:p w:rsidR="00EC0E77" w:rsidRPr="00771368" w:rsidRDefault="00EC0E77" w:rsidP="00771368">
          <w:pPr>
            <w:jc w:val="center"/>
            <w:rPr>
              <w:sz w:val="24"/>
              <w:szCs w:val="24"/>
            </w:rPr>
          </w:pPr>
          <w:r w:rsidRPr="00771368">
            <w:rPr>
              <w:color w:val="000000"/>
              <w:sz w:val="30"/>
              <w:szCs w:val="30"/>
            </w:rPr>
            <w:t>Núcleo de Identidade de Gênero e Subjetividades</w:t>
          </w:r>
        </w:p>
        <w:p w:rsidR="00EC0E77" w:rsidRPr="00771368" w:rsidRDefault="00EC0E77" w:rsidP="00771368">
          <w:pPr>
            <w:rPr>
              <w:sz w:val="24"/>
              <w:szCs w:val="24"/>
            </w:rPr>
          </w:pPr>
        </w:p>
        <w:p w:rsidR="00EC0E77" w:rsidRPr="00771368" w:rsidRDefault="00EC0E77" w:rsidP="00771368">
          <w:pPr>
            <w:spacing w:line="0" w:lineRule="atLeast"/>
            <w:jc w:val="center"/>
            <w:rPr>
              <w:sz w:val="24"/>
              <w:szCs w:val="24"/>
            </w:rPr>
          </w:pPr>
          <w:r w:rsidRPr="00771368">
            <w:rPr>
              <w:color w:val="000000"/>
              <w:sz w:val="30"/>
              <w:szCs w:val="30"/>
            </w:rPr>
            <w:t>Projeto: Avaliação do Prêmio Construindo a Igualdade de Gênero no Brasil</w:t>
          </w:r>
        </w:p>
      </w:tc>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rPr>
              <w:sz w:val="24"/>
              <w:szCs w:val="24"/>
            </w:rPr>
          </w:pPr>
          <w:r w:rsidRPr="00771368">
            <w:rPr>
              <w:sz w:val="24"/>
              <w:szCs w:val="24"/>
            </w:rPr>
            <w:br/>
          </w:r>
          <w:r>
            <w:rPr>
              <w:noProof/>
              <w:sz w:val="24"/>
              <w:szCs w:val="24"/>
            </w:rPr>
            <w:drawing>
              <wp:inline distT="0" distB="0" distL="0" distR="0">
                <wp:extent cx="2861945" cy="2564765"/>
                <wp:effectExtent l="19050" t="0" r="0" b="0"/>
                <wp:docPr id="21" name="Imagem 76"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IGS.JPG"/>
                        <pic:cNvPicPr>
                          <a:picLocks noChangeAspect="1" noChangeArrowheads="1"/>
                        </pic:cNvPicPr>
                      </pic:nvPicPr>
                      <pic:blipFill>
                        <a:blip r:embed="rId5"/>
                        <a:srcRect/>
                        <a:stretch>
                          <a:fillRect/>
                        </a:stretch>
                      </pic:blipFill>
                      <pic:spPr bwMode="auto">
                        <a:xfrm>
                          <a:off x="0" y="0"/>
                          <a:ext cx="2861945" cy="2564765"/>
                        </a:xfrm>
                        <a:prstGeom prst="rect">
                          <a:avLst/>
                        </a:prstGeom>
                        <a:noFill/>
                        <a:ln w="9525">
                          <a:noFill/>
                          <a:miter lim="800000"/>
                          <a:headEnd/>
                          <a:tailEnd/>
                        </a:ln>
                      </pic:spPr>
                    </pic:pic>
                  </a:graphicData>
                </a:graphic>
              </wp:inline>
            </w:drawing>
          </w:r>
        </w:p>
      </w:tc>
    </w:tr>
    <w:tr w:rsidR="00EC0E77" w:rsidRPr="00771368" w:rsidTr="00771368">
      <w:tc>
        <w:tcPr>
          <w:tcW w:w="0" w:type="auto"/>
          <w:gridSpan w:val="3"/>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jc w:val="right"/>
            <w:rPr>
              <w:sz w:val="24"/>
              <w:szCs w:val="24"/>
            </w:rPr>
          </w:pPr>
          <w:r>
            <w:rPr>
              <w:rFonts w:ascii="Calibri" w:hAnsi="Calibri"/>
              <w:noProof/>
              <w:color w:val="000000"/>
              <w:sz w:val="27"/>
              <w:szCs w:val="27"/>
            </w:rPr>
            <w:drawing>
              <wp:inline distT="0" distB="0" distL="0" distR="0">
                <wp:extent cx="5082540" cy="1033145"/>
                <wp:effectExtent l="19050" t="0" r="3810" b="0"/>
                <wp:docPr id="22" name="Imagem 77"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rquivos diversos 09 12 14\Logo\SPM1.jpg"/>
                        <pic:cNvPicPr>
                          <a:picLocks noChangeAspect="1" noChangeArrowheads="1"/>
                        </pic:cNvPicPr>
                      </pic:nvPicPr>
                      <pic:blipFill>
                        <a:blip r:embed="rId6"/>
                        <a:srcRect/>
                        <a:stretch>
                          <a:fillRect/>
                        </a:stretch>
                      </pic:blipFill>
                      <pic:spPr bwMode="auto">
                        <a:xfrm>
                          <a:off x="0" y="0"/>
                          <a:ext cx="5082540" cy="1033145"/>
                        </a:xfrm>
                        <a:prstGeom prst="rect">
                          <a:avLst/>
                        </a:prstGeom>
                        <a:noFill/>
                        <a:ln w="9525">
                          <a:noFill/>
                          <a:miter lim="800000"/>
                          <a:headEnd/>
                          <a:tailEnd/>
                        </a:ln>
                      </pic:spPr>
                    </pic:pic>
                  </a:graphicData>
                </a:graphic>
              </wp:inline>
            </w:drawing>
          </w:r>
        </w:p>
      </w:tc>
    </w:tr>
  </w:tbl>
  <w:p w:rsidR="00EC0E77" w:rsidRPr="00771368" w:rsidRDefault="00EC0E77" w:rsidP="00771368">
    <w:pPr>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16"/>
      <w:gridCol w:w="2228"/>
      <w:gridCol w:w="4216"/>
    </w:tblGrid>
    <w:tr w:rsidR="00EC0E77" w:rsidRPr="00771368" w:rsidTr="00771368">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jc w:val="both"/>
            <w:rPr>
              <w:sz w:val="24"/>
              <w:szCs w:val="24"/>
            </w:rPr>
          </w:pPr>
          <w:r>
            <w:rPr>
              <w:rFonts w:ascii="Calibri" w:hAnsi="Calibri"/>
              <w:noProof/>
              <w:color w:val="000000"/>
              <w:sz w:val="27"/>
              <w:szCs w:val="27"/>
            </w:rPr>
            <w:drawing>
              <wp:inline distT="0" distB="0" distL="0" distR="0">
                <wp:extent cx="1899920" cy="2624455"/>
                <wp:effectExtent l="19050" t="0" r="5080" b="0"/>
                <wp:docPr id="23" name="Imagem 57"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rquivos diversos 09 12 14\Logo\UFSC.tif"/>
                        <pic:cNvPicPr>
                          <a:picLocks noChangeAspect="1" noChangeArrowheads="1"/>
                        </pic:cNvPicPr>
                      </pic:nvPicPr>
                      <pic:blipFill>
                        <a:blip r:embed="rId4"/>
                        <a:srcRect/>
                        <a:stretch>
                          <a:fillRect/>
                        </a:stretch>
                      </pic:blipFill>
                      <pic:spPr bwMode="auto">
                        <a:xfrm>
                          <a:off x="0" y="0"/>
                          <a:ext cx="1899920" cy="2624455"/>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jc w:val="center"/>
            <w:rPr>
              <w:sz w:val="24"/>
              <w:szCs w:val="24"/>
            </w:rPr>
          </w:pPr>
          <w:r w:rsidRPr="00771368">
            <w:rPr>
              <w:color w:val="000000"/>
              <w:sz w:val="30"/>
              <w:szCs w:val="30"/>
            </w:rPr>
            <w:t>UNIVERSIDADE FEDERAL DE SANTA CATARINA</w:t>
          </w:r>
        </w:p>
        <w:p w:rsidR="00EC0E77" w:rsidRPr="00771368" w:rsidRDefault="00EC0E77" w:rsidP="00771368">
          <w:pPr>
            <w:jc w:val="center"/>
            <w:rPr>
              <w:sz w:val="24"/>
              <w:szCs w:val="24"/>
            </w:rPr>
          </w:pPr>
          <w:r w:rsidRPr="00771368">
            <w:rPr>
              <w:color w:val="000000"/>
              <w:sz w:val="30"/>
              <w:szCs w:val="30"/>
            </w:rPr>
            <w:t>Centro de Filosofia e Ciências Humanas</w:t>
          </w:r>
        </w:p>
        <w:p w:rsidR="00EC0E77" w:rsidRPr="00771368" w:rsidRDefault="00EC0E77" w:rsidP="00771368">
          <w:pPr>
            <w:jc w:val="center"/>
            <w:rPr>
              <w:sz w:val="24"/>
              <w:szCs w:val="24"/>
            </w:rPr>
          </w:pPr>
          <w:r w:rsidRPr="00771368">
            <w:rPr>
              <w:color w:val="000000"/>
              <w:sz w:val="30"/>
              <w:szCs w:val="30"/>
            </w:rPr>
            <w:t>Programa de Pós-Graduação em Antropologia Social</w:t>
          </w:r>
        </w:p>
        <w:p w:rsidR="00EC0E77" w:rsidRPr="00771368" w:rsidRDefault="00EC0E77" w:rsidP="00771368">
          <w:pPr>
            <w:jc w:val="center"/>
            <w:rPr>
              <w:sz w:val="24"/>
              <w:szCs w:val="24"/>
            </w:rPr>
          </w:pPr>
          <w:r w:rsidRPr="00771368">
            <w:rPr>
              <w:color w:val="000000"/>
              <w:sz w:val="30"/>
              <w:szCs w:val="30"/>
            </w:rPr>
            <w:t>Núcleo de Identidade de Gênero e Subjetividades</w:t>
          </w:r>
        </w:p>
        <w:p w:rsidR="00EC0E77" w:rsidRPr="00771368" w:rsidRDefault="00EC0E77" w:rsidP="00771368">
          <w:pPr>
            <w:rPr>
              <w:sz w:val="24"/>
              <w:szCs w:val="24"/>
            </w:rPr>
          </w:pPr>
        </w:p>
        <w:p w:rsidR="00EC0E77" w:rsidRPr="00771368" w:rsidRDefault="00EC0E77" w:rsidP="00771368">
          <w:pPr>
            <w:spacing w:line="0" w:lineRule="atLeast"/>
            <w:jc w:val="center"/>
            <w:rPr>
              <w:sz w:val="24"/>
              <w:szCs w:val="24"/>
            </w:rPr>
          </w:pPr>
          <w:r w:rsidRPr="00771368">
            <w:rPr>
              <w:color w:val="000000"/>
              <w:sz w:val="30"/>
              <w:szCs w:val="30"/>
            </w:rPr>
            <w:t>Projeto: Avaliação do Prêmio Construindo a Igualdade de Gênero no Brasil</w:t>
          </w:r>
        </w:p>
      </w:tc>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rPr>
              <w:sz w:val="24"/>
              <w:szCs w:val="24"/>
            </w:rPr>
          </w:pPr>
          <w:r w:rsidRPr="00771368">
            <w:rPr>
              <w:sz w:val="24"/>
              <w:szCs w:val="24"/>
            </w:rPr>
            <w:br/>
          </w:r>
          <w:r>
            <w:rPr>
              <w:noProof/>
              <w:sz w:val="24"/>
              <w:szCs w:val="24"/>
            </w:rPr>
            <w:drawing>
              <wp:inline distT="0" distB="0" distL="0" distR="0">
                <wp:extent cx="2861945" cy="2564765"/>
                <wp:effectExtent l="19050" t="0" r="0" b="0"/>
                <wp:docPr id="48" name="Imagem 58"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IGS.JPG"/>
                        <pic:cNvPicPr>
                          <a:picLocks noChangeAspect="1" noChangeArrowheads="1"/>
                        </pic:cNvPicPr>
                      </pic:nvPicPr>
                      <pic:blipFill>
                        <a:blip r:embed="rId5"/>
                        <a:srcRect/>
                        <a:stretch>
                          <a:fillRect/>
                        </a:stretch>
                      </pic:blipFill>
                      <pic:spPr bwMode="auto">
                        <a:xfrm>
                          <a:off x="0" y="0"/>
                          <a:ext cx="2861945" cy="2564765"/>
                        </a:xfrm>
                        <a:prstGeom prst="rect">
                          <a:avLst/>
                        </a:prstGeom>
                        <a:noFill/>
                        <a:ln w="9525">
                          <a:noFill/>
                          <a:miter lim="800000"/>
                          <a:headEnd/>
                          <a:tailEnd/>
                        </a:ln>
                      </pic:spPr>
                    </pic:pic>
                  </a:graphicData>
                </a:graphic>
              </wp:inline>
            </w:drawing>
          </w:r>
        </w:p>
      </w:tc>
    </w:tr>
    <w:tr w:rsidR="00EC0E77" w:rsidRPr="00771368" w:rsidTr="00771368">
      <w:tc>
        <w:tcPr>
          <w:tcW w:w="0" w:type="auto"/>
          <w:gridSpan w:val="3"/>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jc w:val="right"/>
            <w:rPr>
              <w:sz w:val="24"/>
              <w:szCs w:val="24"/>
            </w:rPr>
          </w:pPr>
          <w:r>
            <w:rPr>
              <w:rFonts w:ascii="Calibri" w:hAnsi="Calibri"/>
              <w:noProof/>
              <w:color w:val="000000"/>
              <w:sz w:val="27"/>
              <w:szCs w:val="27"/>
            </w:rPr>
            <w:drawing>
              <wp:inline distT="0" distB="0" distL="0" distR="0">
                <wp:extent cx="5082540" cy="1033145"/>
                <wp:effectExtent l="19050" t="0" r="3810" b="0"/>
                <wp:docPr id="49" name="Imagem 59"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Arquivos diversos 09 12 14\Logo\SPM1.jpg"/>
                        <pic:cNvPicPr>
                          <a:picLocks noChangeAspect="1" noChangeArrowheads="1"/>
                        </pic:cNvPicPr>
                      </pic:nvPicPr>
                      <pic:blipFill>
                        <a:blip r:embed="rId6"/>
                        <a:srcRect/>
                        <a:stretch>
                          <a:fillRect/>
                        </a:stretch>
                      </pic:blipFill>
                      <pic:spPr bwMode="auto">
                        <a:xfrm>
                          <a:off x="0" y="0"/>
                          <a:ext cx="5082540" cy="1033145"/>
                        </a:xfrm>
                        <a:prstGeom prst="rect">
                          <a:avLst/>
                        </a:prstGeom>
                        <a:noFill/>
                        <a:ln w="9525">
                          <a:noFill/>
                          <a:miter lim="800000"/>
                          <a:headEnd/>
                          <a:tailEnd/>
                        </a:ln>
                      </pic:spPr>
                    </pic:pic>
                  </a:graphicData>
                </a:graphic>
              </wp:inline>
            </w:drawing>
          </w:r>
        </w:p>
      </w:tc>
    </w:tr>
  </w:tbl>
  <w:p w:rsidR="00EC0E77" w:rsidRPr="00771368" w:rsidRDefault="00EC0E77" w:rsidP="00771368">
    <w:pPr>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16"/>
      <w:gridCol w:w="2228"/>
      <w:gridCol w:w="4216"/>
    </w:tblGrid>
    <w:tr w:rsidR="00EC0E77" w:rsidRPr="00771368" w:rsidTr="00771368">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jc w:val="both"/>
            <w:rPr>
              <w:sz w:val="24"/>
              <w:szCs w:val="24"/>
            </w:rPr>
          </w:pPr>
          <w:r>
            <w:rPr>
              <w:rFonts w:ascii="Calibri" w:hAnsi="Calibri"/>
              <w:noProof/>
              <w:color w:val="000000"/>
              <w:sz w:val="27"/>
              <w:szCs w:val="27"/>
            </w:rPr>
            <w:drawing>
              <wp:inline distT="0" distB="0" distL="0" distR="0">
                <wp:extent cx="1899920" cy="2624455"/>
                <wp:effectExtent l="19050" t="0" r="5080" b="0"/>
                <wp:docPr id="114" name="Imagem 63" descr="D:\Arquivos diversos 09 12 14\Logo\UF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rquivos diversos 09 12 14\Logo\UFSC.tif"/>
                        <pic:cNvPicPr>
                          <a:picLocks noChangeAspect="1" noChangeArrowheads="1"/>
                        </pic:cNvPicPr>
                      </pic:nvPicPr>
                      <pic:blipFill>
                        <a:blip r:embed="rId4"/>
                        <a:srcRect/>
                        <a:stretch>
                          <a:fillRect/>
                        </a:stretch>
                      </pic:blipFill>
                      <pic:spPr bwMode="auto">
                        <a:xfrm>
                          <a:off x="0" y="0"/>
                          <a:ext cx="1899920" cy="2624455"/>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jc w:val="center"/>
            <w:rPr>
              <w:sz w:val="24"/>
              <w:szCs w:val="24"/>
            </w:rPr>
          </w:pPr>
          <w:r w:rsidRPr="00771368">
            <w:rPr>
              <w:color w:val="000000"/>
              <w:sz w:val="30"/>
              <w:szCs w:val="30"/>
            </w:rPr>
            <w:t>UNIVERSIDADE FEDERAL DE SANTA CATARINA</w:t>
          </w:r>
        </w:p>
        <w:p w:rsidR="00EC0E77" w:rsidRPr="00771368" w:rsidRDefault="00EC0E77" w:rsidP="00771368">
          <w:pPr>
            <w:jc w:val="center"/>
            <w:rPr>
              <w:sz w:val="24"/>
              <w:szCs w:val="24"/>
            </w:rPr>
          </w:pPr>
          <w:r w:rsidRPr="00771368">
            <w:rPr>
              <w:color w:val="000000"/>
              <w:sz w:val="30"/>
              <w:szCs w:val="30"/>
            </w:rPr>
            <w:t>Centro de Filosofia e Ciências Humanas</w:t>
          </w:r>
        </w:p>
        <w:p w:rsidR="00EC0E77" w:rsidRPr="00771368" w:rsidRDefault="00EC0E77" w:rsidP="00771368">
          <w:pPr>
            <w:jc w:val="center"/>
            <w:rPr>
              <w:sz w:val="24"/>
              <w:szCs w:val="24"/>
            </w:rPr>
          </w:pPr>
          <w:r w:rsidRPr="00771368">
            <w:rPr>
              <w:color w:val="000000"/>
              <w:sz w:val="30"/>
              <w:szCs w:val="30"/>
            </w:rPr>
            <w:t>Programa de Pós-Graduação em Antropologia Social</w:t>
          </w:r>
        </w:p>
        <w:p w:rsidR="00EC0E77" w:rsidRPr="00771368" w:rsidRDefault="00EC0E77" w:rsidP="00771368">
          <w:pPr>
            <w:jc w:val="center"/>
            <w:rPr>
              <w:sz w:val="24"/>
              <w:szCs w:val="24"/>
            </w:rPr>
          </w:pPr>
          <w:r w:rsidRPr="00771368">
            <w:rPr>
              <w:color w:val="000000"/>
              <w:sz w:val="30"/>
              <w:szCs w:val="30"/>
            </w:rPr>
            <w:t>Núcleo de Identidade de Gênero e Subjetividades</w:t>
          </w:r>
        </w:p>
        <w:p w:rsidR="00EC0E77" w:rsidRPr="00771368" w:rsidRDefault="00EC0E77" w:rsidP="00771368">
          <w:pPr>
            <w:rPr>
              <w:sz w:val="24"/>
              <w:szCs w:val="24"/>
            </w:rPr>
          </w:pPr>
        </w:p>
        <w:p w:rsidR="00EC0E77" w:rsidRPr="00771368" w:rsidRDefault="00EC0E77" w:rsidP="00771368">
          <w:pPr>
            <w:spacing w:line="0" w:lineRule="atLeast"/>
            <w:jc w:val="center"/>
            <w:rPr>
              <w:sz w:val="24"/>
              <w:szCs w:val="24"/>
            </w:rPr>
          </w:pPr>
          <w:r w:rsidRPr="00771368">
            <w:rPr>
              <w:color w:val="000000"/>
              <w:sz w:val="30"/>
              <w:szCs w:val="30"/>
            </w:rPr>
            <w:t>Projeto: Avaliação do Prêmio Construindo a Igualdade de Gênero no Brasil</w:t>
          </w:r>
        </w:p>
      </w:tc>
      <w:tc>
        <w:tcPr>
          <w:tcW w:w="0" w:type="auto"/>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rPr>
              <w:sz w:val="24"/>
              <w:szCs w:val="24"/>
            </w:rPr>
          </w:pPr>
          <w:r w:rsidRPr="00771368">
            <w:rPr>
              <w:sz w:val="24"/>
              <w:szCs w:val="24"/>
            </w:rPr>
            <w:br/>
          </w:r>
          <w:r>
            <w:rPr>
              <w:noProof/>
              <w:sz w:val="24"/>
              <w:szCs w:val="24"/>
            </w:rPr>
            <w:drawing>
              <wp:inline distT="0" distB="0" distL="0" distR="0">
                <wp:extent cx="2861945" cy="2564765"/>
                <wp:effectExtent l="19050" t="0" r="0" b="0"/>
                <wp:docPr id="115" name="Imagem 64" descr="N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IGS.JPG"/>
                        <pic:cNvPicPr>
                          <a:picLocks noChangeAspect="1" noChangeArrowheads="1"/>
                        </pic:cNvPicPr>
                      </pic:nvPicPr>
                      <pic:blipFill>
                        <a:blip r:embed="rId5"/>
                        <a:srcRect/>
                        <a:stretch>
                          <a:fillRect/>
                        </a:stretch>
                      </pic:blipFill>
                      <pic:spPr bwMode="auto">
                        <a:xfrm>
                          <a:off x="0" y="0"/>
                          <a:ext cx="2861945" cy="2564765"/>
                        </a:xfrm>
                        <a:prstGeom prst="rect">
                          <a:avLst/>
                        </a:prstGeom>
                        <a:noFill/>
                        <a:ln w="9525">
                          <a:noFill/>
                          <a:miter lim="800000"/>
                          <a:headEnd/>
                          <a:tailEnd/>
                        </a:ln>
                      </pic:spPr>
                    </pic:pic>
                  </a:graphicData>
                </a:graphic>
              </wp:inline>
            </w:drawing>
          </w:r>
        </w:p>
      </w:tc>
    </w:tr>
    <w:tr w:rsidR="00EC0E77" w:rsidRPr="00771368" w:rsidTr="00771368">
      <w:tc>
        <w:tcPr>
          <w:tcW w:w="0" w:type="auto"/>
          <w:gridSpan w:val="3"/>
          <w:tcBorders>
            <w:top w:val="single" w:sz="2" w:space="0" w:color="000000"/>
            <w:left w:val="single" w:sz="2" w:space="0" w:color="000000"/>
            <w:bottom w:val="single" w:sz="2" w:space="0" w:color="000000"/>
            <w:right w:val="single" w:sz="2" w:space="0" w:color="000000"/>
          </w:tcBorders>
          <w:tcMar>
            <w:top w:w="0" w:type="dxa"/>
            <w:left w:w="150" w:type="dxa"/>
            <w:bottom w:w="0" w:type="dxa"/>
            <w:right w:w="150" w:type="dxa"/>
          </w:tcMar>
          <w:hideMark/>
        </w:tcPr>
        <w:p w:rsidR="00EC0E77" w:rsidRPr="00771368" w:rsidRDefault="00EC0E77" w:rsidP="00771368">
          <w:pPr>
            <w:spacing w:line="0" w:lineRule="atLeast"/>
            <w:jc w:val="right"/>
            <w:rPr>
              <w:sz w:val="24"/>
              <w:szCs w:val="24"/>
            </w:rPr>
          </w:pPr>
          <w:r>
            <w:rPr>
              <w:rFonts w:ascii="Calibri" w:hAnsi="Calibri"/>
              <w:noProof/>
              <w:color w:val="000000"/>
              <w:sz w:val="27"/>
              <w:szCs w:val="27"/>
            </w:rPr>
            <w:drawing>
              <wp:inline distT="0" distB="0" distL="0" distR="0">
                <wp:extent cx="5082540" cy="1033145"/>
                <wp:effectExtent l="19050" t="0" r="3810" b="0"/>
                <wp:docPr id="116" name="Imagem 65" descr="D:\Arquivos diversos 09 12 14\Logo\SP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rquivos diversos 09 12 14\Logo\SPM1.jpg"/>
                        <pic:cNvPicPr>
                          <a:picLocks noChangeAspect="1" noChangeArrowheads="1"/>
                        </pic:cNvPicPr>
                      </pic:nvPicPr>
                      <pic:blipFill>
                        <a:blip r:embed="rId6"/>
                        <a:srcRect/>
                        <a:stretch>
                          <a:fillRect/>
                        </a:stretch>
                      </pic:blipFill>
                      <pic:spPr bwMode="auto">
                        <a:xfrm>
                          <a:off x="0" y="0"/>
                          <a:ext cx="5082540" cy="1033145"/>
                        </a:xfrm>
                        <a:prstGeom prst="rect">
                          <a:avLst/>
                        </a:prstGeom>
                        <a:noFill/>
                        <a:ln w="9525">
                          <a:noFill/>
                          <a:miter lim="800000"/>
                          <a:headEnd/>
                          <a:tailEnd/>
                        </a:ln>
                      </pic:spPr>
                    </pic:pic>
                  </a:graphicData>
                </a:graphic>
              </wp:inline>
            </w:drawing>
          </w:r>
        </w:p>
      </w:tc>
    </w:tr>
  </w:tbl>
  <w:p w:rsidR="00EC0E77" w:rsidRDefault="00EC0E7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E77" w:rsidRDefault="00EC0E77">
    <w:pPr>
      <w:pStyle w:val="Cabealho"/>
      <w:jc w:val="right"/>
    </w:pPr>
  </w:p>
  <w:p w:rsidR="00EC0E77" w:rsidRDefault="00EC0E77">
    <w:pPr>
      <w:pStyle w:val="Cabealho"/>
      <w:jc w:val="right"/>
    </w:pPr>
    <w:r>
      <w:fldChar w:fldCharType="begin"/>
    </w:r>
    <w:r>
      <w:instrText xml:space="preserve"> PAGE   \* MERGEFORMAT </w:instrText>
    </w:r>
    <w:r>
      <w:fldChar w:fldCharType="separate"/>
    </w:r>
    <w:r w:rsidR="006B3861">
      <w:rPr>
        <w:noProof/>
      </w:rPr>
      <w:t>879</w:t>
    </w:r>
    <w:r>
      <w:rPr>
        <w:noProof/>
      </w:rPr>
      <w:fldChar w:fldCharType="end"/>
    </w:r>
  </w:p>
  <w:p w:rsidR="00EC0E77" w:rsidRDefault="00EC0E7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478BD50"/>
    <w:name w:val="WW8Num2"/>
    <w:lvl w:ilvl="0">
      <w:start w:val="5"/>
      <w:numFmt w:val="decimal"/>
      <w:lvlText w:val="%1."/>
      <w:lvlJc w:val="left"/>
      <w:pPr>
        <w:tabs>
          <w:tab w:val="num" w:pos="530"/>
        </w:tabs>
        <w:ind w:left="530" w:hanging="360"/>
      </w:pPr>
      <w:rPr>
        <w:b/>
      </w:rPr>
    </w:lvl>
  </w:abstractNum>
  <w:abstractNum w:abstractNumId="2">
    <w:nsid w:val="00000003"/>
    <w:multiLevelType w:val="multilevel"/>
    <w:tmpl w:val="00000003"/>
    <w:name w:val="WW8Num3"/>
    <w:lvl w:ilvl="0">
      <w:start w:val="1"/>
      <w:numFmt w:val="decimal"/>
      <w:lvlText w:val="%1."/>
      <w:lvlJc w:val="left"/>
      <w:pPr>
        <w:tabs>
          <w:tab w:val="num" w:pos="0"/>
        </w:tabs>
        <w:ind w:left="530" w:hanging="360"/>
      </w:pPr>
      <w:rPr>
        <w:rFonts w:ascii="Arial" w:hAnsi="Arial" w:cs="Arial"/>
        <w:b/>
        <w:sz w:val="28"/>
        <w:szCs w:val="28"/>
      </w:rPr>
    </w:lvl>
    <w:lvl w:ilvl="1">
      <w:start w:val="2"/>
      <w:numFmt w:val="decimal"/>
      <w:lvlText w:val="%1.%2."/>
      <w:lvlJc w:val="left"/>
      <w:pPr>
        <w:tabs>
          <w:tab w:val="num" w:pos="0"/>
        </w:tabs>
        <w:ind w:left="950" w:hanging="720"/>
      </w:pPr>
    </w:lvl>
    <w:lvl w:ilvl="2">
      <w:start w:val="1"/>
      <w:numFmt w:val="decimal"/>
      <w:lvlText w:val="%1.%2.%3."/>
      <w:lvlJc w:val="left"/>
      <w:pPr>
        <w:tabs>
          <w:tab w:val="num" w:pos="0"/>
        </w:tabs>
        <w:ind w:left="1010" w:hanging="720"/>
      </w:pPr>
    </w:lvl>
    <w:lvl w:ilvl="3">
      <w:start w:val="1"/>
      <w:numFmt w:val="decimal"/>
      <w:lvlText w:val="%1.%2.%3.%4."/>
      <w:lvlJc w:val="left"/>
      <w:pPr>
        <w:tabs>
          <w:tab w:val="num" w:pos="0"/>
        </w:tabs>
        <w:ind w:left="1430" w:hanging="1080"/>
      </w:pPr>
    </w:lvl>
    <w:lvl w:ilvl="4">
      <w:start w:val="1"/>
      <w:numFmt w:val="decimal"/>
      <w:lvlText w:val="%1.%2.%3.%4.%5."/>
      <w:lvlJc w:val="left"/>
      <w:pPr>
        <w:tabs>
          <w:tab w:val="num" w:pos="0"/>
        </w:tabs>
        <w:ind w:left="1490" w:hanging="1080"/>
      </w:pPr>
    </w:lvl>
    <w:lvl w:ilvl="5">
      <w:start w:val="1"/>
      <w:numFmt w:val="decimal"/>
      <w:lvlText w:val="%1.%2.%3.%4.%5.%6."/>
      <w:lvlJc w:val="left"/>
      <w:pPr>
        <w:tabs>
          <w:tab w:val="num" w:pos="0"/>
        </w:tabs>
        <w:ind w:left="1910" w:hanging="1440"/>
      </w:pPr>
    </w:lvl>
    <w:lvl w:ilvl="6">
      <w:start w:val="1"/>
      <w:numFmt w:val="decimal"/>
      <w:lvlText w:val="%1.%2.%3.%4.%5.%6.%7."/>
      <w:lvlJc w:val="left"/>
      <w:pPr>
        <w:tabs>
          <w:tab w:val="num" w:pos="0"/>
        </w:tabs>
        <w:ind w:left="1970" w:hanging="1440"/>
      </w:pPr>
    </w:lvl>
    <w:lvl w:ilvl="7">
      <w:start w:val="1"/>
      <w:numFmt w:val="decimal"/>
      <w:lvlText w:val="%1.%2.%3.%4.%5.%6.%7.%8."/>
      <w:lvlJc w:val="left"/>
      <w:pPr>
        <w:tabs>
          <w:tab w:val="num" w:pos="0"/>
        </w:tabs>
        <w:ind w:left="2390" w:hanging="1800"/>
      </w:pPr>
    </w:lvl>
    <w:lvl w:ilvl="8">
      <w:start w:val="1"/>
      <w:numFmt w:val="decimal"/>
      <w:lvlText w:val="%1.%2.%3.%4.%5.%6.%7.%8.%9."/>
      <w:lvlJc w:val="left"/>
      <w:pPr>
        <w:tabs>
          <w:tab w:val="num" w:pos="0"/>
        </w:tabs>
        <w:ind w:left="2450" w:hanging="1800"/>
      </w:pPr>
    </w:lvl>
  </w:abstractNum>
  <w:abstractNum w:abstractNumId="3">
    <w:nsid w:val="0216231B"/>
    <w:multiLevelType w:val="hybridMultilevel"/>
    <w:tmpl w:val="3BEA0AC4"/>
    <w:lvl w:ilvl="0" w:tplc="6136BD56">
      <w:start w:val="9"/>
      <w:numFmt w:val="decimal"/>
      <w:lvlText w:val="%1"/>
      <w:lvlJc w:val="left"/>
    </w:lvl>
    <w:lvl w:ilvl="1" w:tplc="211C829A">
      <w:numFmt w:val="decimal"/>
      <w:lvlText w:val=""/>
      <w:lvlJc w:val="left"/>
    </w:lvl>
    <w:lvl w:ilvl="2" w:tplc="EDE62444">
      <w:numFmt w:val="decimal"/>
      <w:lvlText w:val=""/>
      <w:lvlJc w:val="left"/>
    </w:lvl>
    <w:lvl w:ilvl="3" w:tplc="A0E4CE14">
      <w:numFmt w:val="decimal"/>
      <w:lvlText w:val=""/>
      <w:lvlJc w:val="left"/>
    </w:lvl>
    <w:lvl w:ilvl="4" w:tplc="89F4E6C2">
      <w:numFmt w:val="decimal"/>
      <w:lvlText w:val=""/>
      <w:lvlJc w:val="left"/>
    </w:lvl>
    <w:lvl w:ilvl="5" w:tplc="2450655E">
      <w:numFmt w:val="decimal"/>
      <w:lvlText w:val=""/>
      <w:lvlJc w:val="left"/>
    </w:lvl>
    <w:lvl w:ilvl="6" w:tplc="391C48E0">
      <w:numFmt w:val="decimal"/>
      <w:lvlText w:val=""/>
      <w:lvlJc w:val="left"/>
    </w:lvl>
    <w:lvl w:ilvl="7" w:tplc="23B65282">
      <w:numFmt w:val="decimal"/>
      <w:lvlText w:val=""/>
      <w:lvlJc w:val="left"/>
    </w:lvl>
    <w:lvl w:ilvl="8" w:tplc="DD76913C">
      <w:numFmt w:val="decimal"/>
      <w:lvlText w:val=""/>
      <w:lvlJc w:val="left"/>
    </w:lvl>
  </w:abstractNum>
  <w:abstractNum w:abstractNumId="4">
    <w:nsid w:val="0DED7263"/>
    <w:multiLevelType w:val="hybridMultilevel"/>
    <w:tmpl w:val="FC120730"/>
    <w:lvl w:ilvl="0" w:tplc="0A640C84">
      <w:start w:val="29"/>
      <w:numFmt w:val="decimal"/>
      <w:lvlText w:val="%1"/>
      <w:lvlJc w:val="left"/>
    </w:lvl>
    <w:lvl w:ilvl="1" w:tplc="9E22F0BE">
      <w:numFmt w:val="decimal"/>
      <w:lvlText w:val=""/>
      <w:lvlJc w:val="left"/>
    </w:lvl>
    <w:lvl w:ilvl="2" w:tplc="6044730E">
      <w:numFmt w:val="decimal"/>
      <w:lvlText w:val=""/>
      <w:lvlJc w:val="left"/>
    </w:lvl>
    <w:lvl w:ilvl="3" w:tplc="82BE4012">
      <w:numFmt w:val="decimal"/>
      <w:lvlText w:val=""/>
      <w:lvlJc w:val="left"/>
    </w:lvl>
    <w:lvl w:ilvl="4" w:tplc="54E8B914">
      <w:numFmt w:val="decimal"/>
      <w:lvlText w:val=""/>
      <w:lvlJc w:val="left"/>
    </w:lvl>
    <w:lvl w:ilvl="5" w:tplc="C4BACA58">
      <w:numFmt w:val="decimal"/>
      <w:lvlText w:val=""/>
      <w:lvlJc w:val="left"/>
    </w:lvl>
    <w:lvl w:ilvl="6" w:tplc="135C3542">
      <w:numFmt w:val="decimal"/>
      <w:lvlText w:val=""/>
      <w:lvlJc w:val="left"/>
    </w:lvl>
    <w:lvl w:ilvl="7" w:tplc="7214C6D8">
      <w:numFmt w:val="decimal"/>
      <w:lvlText w:val=""/>
      <w:lvlJc w:val="left"/>
    </w:lvl>
    <w:lvl w:ilvl="8" w:tplc="D0C816E8">
      <w:numFmt w:val="decimal"/>
      <w:lvlText w:val=""/>
      <w:lvlJc w:val="left"/>
    </w:lvl>
  </w:abstractNum>
  <w:abstractNum w:abstractNumId="5">
    <w:nsid w:val="109CF92E"/>
    <w:multiLevelType w:val="hybridMultilevel"/>
    <w:tmpl w:val="69740B42"/>
    <w:lvl w:ilvl="0" w:tplc="43EE9646">
      <w:start w:val="26"/>
      <w:numFmt w:val="decimal"/>
      <w:lvlText w:val="%1"/>
      <w:lvlJc w:val="left"/>
    </w:lvl>
    <w:lvl w:ilvl="1" w:tplc="766A3F42">
      <w:numFmt w:val="decimal"/>
      <w:lvlText w:val=""/>
      <w:lvlJc w:val="left"/>
    </w:lvl>
    <w:lvl w:ilvl="2" w:tplc="539A983E">
      <w:numFmt w:val="decimal"/>
      <w:lvlText w:val=""/>
      <w:lvlJc w:val="left"/>
    </w:lvl>
    <w:lvl w:ilvl="3" w:tplc="1EE229B0">
      <w:numFmt w:val="decimal"/>
      <w:lvlText w:val=""/>
      <w:lvlJc w:val="left"/>
    </w:lvl>
    <w:lvl w:ilvl="4" w:tplc="B3F422BE">
      <w:numFmt w:val="decimal"/>
      <w:lvlText w:val=""/>
      <w:lvlJc w:val="left"/>
    </w:lvl>
    <w:lvl w:ilvl="5" w:tplc="220C772A">
      <w:numFmt w:val="decimal"/>
      <w:lvlText w:val=""/>
      <w:lvlJc w:val="left"/>
    </w:lvl>
    <w:lvl w:ilvl="6" w:tplc="22EE7272">
      <w:numFmt w:val="decimal"/>
      <w:lvlText w:val=""/>
      <w:lvlJc w:val="left"/>
    </w:lvl>
    <w:lvl w:ilvl="7" w:tplc="F00E0F24">
      <w:numFmt w:val="decimal"/>
      <w:lvlText w:val=""/>
      <w:lvlJc w:val="left"/>
    </w:lvl>
    <w:lvl w:ilvl="8" w:tplc="20B8862E">
      <w:numFmt w:val="decimal"/>
      <w:lvlText w:val=""/>
      <w:lvlJc w:val="left"/>
    </w:lvl>
  </w:abstractNum>
  <w:abstractNum w:abstractNumId="6">
    <w:nsid w:val="1190CDE7"/>
    <w:multiLevelType w:val="hybridMultilevel"/>
    <w:tmpl w:val="FBE2AFAE"/>
    <w:lvl w:ilvl="0" w:tplc="4C2A3FA8">
      <w:start w:val="1"/>
      <w:numFmt w:val="lowerLetter"/>
      <w:lvlText w:val="%1)"/>
      <w:lvlJc w:val="left"/>
    </w:lvl>
    <w:lvl w:ilvl="1" w:tplc="80EC50E4">
      <w:numFmt w:val="decimal"/>
      <w:lvlText w:val=""/>
      <w:lvlJc w:val="left"/>
    </w:lvl>
    <w:lvl w:ilvl="2" w:tplc="B406BF94">
      <w:numFmt w:val="decimal"/>
      <w:lvlText w:val=""/>
      <w:lvlJc w:val="left"/>
    </w:lvl>
    <w:lvl w:ilvl="3" w:tplc="07661F08">
      <w:numFmt w:val="decimal"/>
      <w:lvlText w:val=""/>
      <w:lvlJc w:val="left"/>
    </w:lvl>
    <w:lvl w:ilvl="4" w:tplc="DF8CA4A6">
      <w:numFmt w:val="decimal"/>
      <w:lvlText w:val=""/>
      <w:lvlJc w:val="left"/>
    </w:lvl>
    <w:lvl w:ilvl="5" w:tplc="DF16E894">
      <w:numFmt w:val="decimal"/>
      <w:lvlText w:val=""/>
      <w:lvlJc w:val="left"/>
    </w:lvl>
    <w:lvl w:ilvl="6" w:tplc="1E0E4FAE">
      <w:numFmt w:val="decimal"/>
      <w:lvlText w:val=""/>
      <w:lvlJc w:val="left"/>
    </w:lvl>
    <w:lvl w:ilvl="7" w:tplc="3F0639BC">
      <w:numFmt w:val="decimal"/>
      <w:lvlText w:val=""/>
      <w:lvlJc w:val="left"/>
    </w:lvl>
    <w:lvl w:ilvl="8" w:tplc="6F8835F0">
      <w:numFmt w:val="decimal"/>
      <w:lvlText w:val=""/>
      <w:lvlJc w:val="left"/>
    </w:lvl>
  </w:abstractNum>
  <w:abstractNum w:abstractNumId="7">
    <w:nsid w:val="12200854"/>
    <w:multiLevelType w:val="hybridMultilevel"/>
    <w:tmpl w:val="2442645A"/>
    <w:lvl w:ilvl="0" w:tplc="6C405D0E">
      <w:start w:val="3"/>
      <w:numFmt w:val="decimal"/>
      <w:lvlText w:val="%1"/>
      <w:lvlJc w:val="left"/>
    </w:lvl>
    <w:lvl w:ilvl="1" w:tplc="57D6255E">
      <w:numFmt w:val="decimal"/>
      <w:lvlText w:val=""/>
      <w:lvlJc w:val="left"/>
    </w:lvl>
    <w:lvl w:ilvl="2" w:tplc="0E60E3BC">
      <w:numFmt w:val="decimal"/>
      <w:lvlText w:val=""/>
      <w:lvlJc w:val="left"/>
    </w:lvl>
    <w:lvl w:ilvl="3" w:tplc="2B26B70A">
      <w:numFmt w:val="decimal"/>
      <w:lvlText w:val=""/>
      <w:lvlJc w:val="left"/>
    </w:lvl>
    <w:lvl w:ilvl="4" w:tplc="71380B90">
      <w:numFmt w:val="decimal"/>
      <w:lvlText w:val=""/>
      <w:lvlJc w:val="left"/>
    </w:lvl>
    <w:lvl w:ilvl="5" w:tplc="F8FEDDE8">
      <w:numFmt w:val="decimal"/>
      <w:lvlText w:val=""/>
      <w:lvlJc w:val="left"/>
    </w:lvl>
    <w:lvl w:ilvl="6" w:tplc="CE0ACCAA">
      <w:numFmt w:val="decimal"/>
      <w:lvlText w:val=""/>
      <w:lvlJc w:val="left"/>
    </w:lvl>
    <w:lvl w:ilvl="7" w:tplc="26F84674">
      <w:numFmt w:val="decimal"/>
      <w:lvlText w:val=""/>
      <w:lvlJc w:val="left"/>
    </w:lvl>
    <w:lvl w:ilvl="8" w:tplc="36F0F5A0">
      <w:numFmt w:val="decimal"/>
      <w:lvlText w:val=""/>
      <w:lvlJc w:val="left"/>
    </w:lvl>
  </w:abstractNum>
  <w:abstractNum w:abstractNumId="8">
    <w:nsid w:val="13B36A85"/>
    <w:multiLevelType w:val="hybridMultilevel"/>
    <w:tmpl w:val="730E6690"/>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9">
    <w:nsid w:val="140E0F76"/>
    <w:multiLevelType w:val="hybridMultilevel"/>
    <w:tmpl w:val="42BCB066"/>
    <w:lvl w:ilvl="0" w:tplc="EC16CFE8">
      <w:start w:val="19"/>
      <w:numFmt w:val="decimal"/>
      <w:lvlText w:val="%1"/>
      <w:lvlJc w:val="left"/>
    </w:lvl>
    <w:lvl w:ilvl="1" w:tplc="A590EFCE">
      <w:numFmt w:val="decimal"/>
      <w:lvlText w:val=""/>
      <w:lvlJc w:val="left"/>
    </w:lvl>
    <w:lvl w:ilvl="2" w:tplc="6A386BA6">
      <w:numFmt w:val="decimal"/>
      <w:lvlText w:val=""/>
      <w:lvlJc w:val="left"/>
    </w:lvl>
    <w:lvl w:ilvl="3" w:tplc="4C5CE97A">
      <w:numFmt w:val="decimal"/>
      <w:lvlText w:val=""/>
      <w:lvlJc w:val="left"/>
    </w:lvl>
    <w:lvl w:ilvl="4" w:tplc="A27CF3A4">
      <w:numFmt w:val="decimal"/>
      <w:lvlText w:val=""/>
      <w:lvlJc w:val="left"/>
    </w:lvl>
    <w:lvl w:ilvl="5" w:tplc="67B27A4A">
      <w:numFmt w:val="decimal"/>
      <w:lvlText w:val=""/>
      <w:lvlJc w:val="left"/>
    </w:lvl>
    <w:lvl w:ilvl="6" w:tplc="F370CD3C">
      <w:numFmt w:val="decimal"/>
      <w:lvlText w:val=""/>
      <w:lvlJc w:val="left"/>
    </w:lvl>
    <w:lvl w:ilvl="7" w:tplc="2DE623D6">
      <w:numFmt w:val="decimal"/>
      <w:lvlText w:val=""/>
      <w:lvlJc w:val="left"/>
    </w:lvl>
    <w:lvl w:ilvl="8" w:tplc="511032C8">
      <w:numFmt w:val="decimal"/>
      <w:lvlText w:val=""/>
      <w:lvlJc w:val="left"/>
    </w:lvl>
  </w:abstractNum>
  <w:abstractNum w:abstractNumId="10">
    <w:nsid w:val="1455389D"/>
    <w:multiLevelType w:val="hybridMultilevel"/>
    <w:tmpl w:val="529A4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55463F3"/>
    <w:multiLevelType w:val="hybridMultilevel"/>
    <w:tmpl w:val="B9B6F2CE"/>
    <w:lvl w:ilvl="0" w:tplc="2ED031BE">
      <w:start w:val="2"/>
      <w:numFmt w:val="decimal"/>
      <w:lvlText w:val="%1"/>
      <w:lvlJc w:val="left"/>
      <w:pPr>
        <w:ind w:left="720" w:hanging="360"/>
      </w:pPr>
      <w:rPr>
        <w:rFonts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9495CFF"/>
    <w:multiLevelType w:val="hybridMultilevel"/>
    <w:tmpl w:val="2648E7E4"/>
    <w:lvl w:ilvl="0" w:tplc="BB1A73BE">
      <w:start w:val="8"/>
      <w:numFmt w:val="decimal"/>
      <w:lvlText w:val="%1"/>
      <w:lvlJc w:val="left"/>
    </w:lvl>
    <w:lvl w:ilvl="1" w:tplc="D2CC5F04">
      <w:numFmt w:val="decimal"/>
      <w:lvlText w:val=""/>
      <w:lvlJc w:val="left"/>
    </w:lvl>
    <w:lvl w:ilvl="2" w:tplc="8C5E65CC">
      <w:numFmt w:val="decimal"/>
      <w:lvlText w:val=""/>
      <w:lvlJc w:val="left"/>
    </w:lvl>
    <w:lvl w:ilvl="3" w:tplc="D82CBFB6">
      <w:numFmt w:val="decimal"/>
      <w:lvlText w:val=""/>
      <w:lvlJc w:val="left"/>
    </w:lvl>
    <w:lvl w:ilvl="4" w:tplc="547EE334">
      <w:numFmt w:val="decimal"/>
      <w:lvlText w:val=""/>
      <w:lvlJc w:val="left"/>
    </w:lvl>
    <w:lvl w:ilvl="5" w:tplc="05585B30">
      <w:numFmt w:val="decimal"/>
      <w:lvlText w:val=""/>
      <w:lvlJc w:val="left"/>
    </w:lvl>
    <w:lvl w:ilvl="6" w:tplc="B914AAC6">
      <w:numFmt w:val="decimal"/>
      <w:lvlText w:val=""/>
      <w:lvlJc w:val="left"/>
    </w:lvl>
    <w:lvl w:ilvl="7" w:tplc="1CFE7EC0">
      <w:numFmt w:val="decimal"/>
      <w:lvlText w:val=""/>
      <w:lvlJc w:val="left"/>
    </w:lvl>
    <w:lvl w:ilvl="8" w:tplc="21AADB56">
      <w:numFmt w:val="decimal"/>
      <w:lvlText w:val=""/>
      <w:lvlJc w:val="left"/>
    </w:lvl>
  </w:abstractNum>
  <w:abstractNum w:abstractNumId="13">
    <w:nsid w:val="1BEFD79F"/>
    <w:multiLevelType w:val="hybridMultilevel"/>
    <w:tmpl w:val="24F04F36"/>
    <w:lvl w:ilvl="0" w:tplc="30743D34">
      <w:start w:val="7"/>
      <w:numFmt w:val="lowerLetter"/>
      <w:lvlText w:val="%1)"/>
      <w:lvlJc w:val="left"/>
    </w:lvl>
    <w:lvl w:ilvl="1" w:tplc="5742EA90">
      <w:start w:val="1"/>
      <w:numFmt w:val="lowerLetter"/>
      <w:lvlText w:val="%2"/>
      <w:lvlJc w:val="left"/>
    </w:lvl>
    <w:lvl w:ilvl="2" w:tplc="521C70E6">
      <w:numFmt w:val="decimal"/>
      <w:lvlText w:val=""/>
      <w:lvlJc w:val="left"/>
    </w:lvl>
    <w:lvl w:ilvl="3" w:tplc="96EC4B14">
      <w:numFmt w:val="decimal"/>
      <w:lvlText w:val=""/>
      <w:lvlJc w:val="left"/>
    </w:lvl>
    <w:lvl w:ilvl="4" w:tplc="9364FCF0">
      <w:numFmt w:val="decimal"/>
      <w:lvlText w:val=""/>
      <w:lvlJc w:val="left"/>
    </w:lvl>
    <w:lvl w:ilvl="5" w:tplc="450EAA52">
      <w:numFmt w:val="decimal"/>
      <w:lvlText w:val=""/>
      <w:lvlJc w:val="left"/>
    </w:lvl>
    <w:lvl w:ilvl="6" w:tplc="8FB8006A">
      <w:numFmt w:val="decimal"/>
      <w:lvlText w:val=""/>
      <w:lvlJc w:val="left"/>
    </w:lvl>
    <w:lvl w:ilvl="7" w:tplc="32185250">
      <w:numFmt w:val="decimal"/>
      <w:lvlText w:val=""/>
      <w:lvlJc w:val="left"/>
    </w:lvl>
    <w:lvl w:ilvl="8" w:tplc="38D816C6">
      <w:numFmt w:val="decimal"/>
      <w:lvlText w:val=""/>
      <w:lvlJc w:val="left"/>
    </w:lvl>
  </w:abstractNum>
  <w:abstractNum w:abstractNumId="14">
    <w:nsid w:val="1F16E9E8"/>
    <w:multiLevelType w:val="hybridMultilevel"/>
    <w:tmpl w:val="588EAEE6"/>
    <w:lvl w:ilvl="0" w:tplc="201C57FE">
      <w:start w:val="1"/>
      <w:numFmt w:val="lowerLetter"/>
      <w:lvlText w:val="%1)"/>
      <w:lvlJc w:val="left"/>
    </w:lvl>
    <w:lvl w:ilvl="1" w:tplc="29B20F18">
      <w:numFmt w:val="decimal"/>
      <w:lvlText w:val=""/>
      <w:lvlJc w:val="left"/>
    </w:lvl>
    <w:lvl w:ilvl="2" w:tplc="4914FC84">
      <w:numFmt w:val="decimal"/>
      <w:lvlText w:val=""/>
      <w:lvlJc w:val="left"/>
    </w:lvl>
    <w:lvl w:ilvl="3" w:tplc="DA9C2C60">
      <w:numFmt w:val="decimal"/>
      <w:lvlText w:val=""/>
      <w:lvlJc w:val="left"/>
    </w:lvl>
    <w:lvl w:ilvl="4" w:tplc="CF48AD04">
      <w:numFmt w:val="decimal"/>
      <w:lvlText w:val=""/>
      <w:lvlJc w:val="left"/>
    </w:lvl>
    <w:lvl w:ilvl="5" w:tplc="0A0A9D60">
      <w:numFmt w:val="decimal"/>
      <w:lvlText w:val=""/>
      <w:lvlJc w:val="left"/>
    </w:lvl>
    <w:lvl w:ilvl="6" w:tplc="07C0BAB8">
      <w:numFmt w:val="decimal"/>
      <w:lvlText w:val=""/>
      <w:lvlJc w:val="left"/>
    </w:lvl>
    <w:lvl w:ilvl="7" w:tplc="A060F5D0">
      <w:numFmt w:val="decimal"/>
      <w:lvlText w:val=""/>
      <w:lvlJc w:val="left"/>
    </w:lvl>
    <w:lvl w:ilvl="8" w:tplc="B50C0188">
      <w:numFmt w:val="decimal"/>
      <w:lvlText w:val=""/>
      <w:lvlJc w:val="left"/>
    </w:lvl>
  </w:abstractNum>
  <w:abstractNum w:abstractNumId="15">
    <w:nsid w:val="238E1F29"/>
    <w:multiLevelType w:val="hybridMultilevel"/>
    <w:tmpl w:val="5B2E5AC6"/>
    <w:lvl w:ilvl="0" w:tplc="EE2C9284">
      <w:start w:val="9"/>
      <w:numFmt w:val="decimal"/>
      <w:lvlText w:val="%1."/>
      <w:lvlJc w:val="left"/>
    </w:lvl>
    <w:lvl w:ilvl="1" w:tplc="634E40AA">
      <w:numFmt w:val="decimal"/>
      <w:lvlText w:val=""/>
      <w:lvlJc w:val="left"/>
    </w:lvl>
    <w:lvl w:ilvl="2" w:tplc="0374D044">
      <w:numFmt w:val="decimal"/>
      <w:lvlText w:val=""/>
      <w:lvlJc w:val="left"/>
    </w:lvl>
    <w:lvl w:ilvl="3" w:tplc="5C5A3F1E">
      <w:numFmt w:val="decimal"/>
      <w:lvlText w:val=""/>
      <w:lvlJc w:val="left"/>
    </w:lvl>
    <w:lvl w:ilvl="4" w:tplc="BD7853B2">
      <w:numFmt w:val="decimal"/>
      <w:lvlText w:val=""/>
      <w:lvlJc w:val="left"/>
    </w:lvl>
    <w:lvl w:ilvl="5" w:tplc="4E38323A">
      <w:numFmt w:val="decimal"/>
      <w:lvlText w:val=""/>
      <w:lvlJc w:val="left"/>
    </w:lvl>
    <w:lvl w:ilvl="6" w:tplc="3E36F7B2">
      <w:numFmt w:val="decimal"/>
      <w:lvlText w:val=""/>
      <w:lvlJc w:val="left"/>
    </w:lvl>
    <w:lvl w:ilvl="7" w:tplc="290AD5E8">
      <w:numFmt w:val="decimal"/>
      <w:lvlText w:val=""/>
      <w:lvlJc w:val="left"/>
    </w:lvl>
    <w:lvl w:ilvl="8" w:tplc="AEE88094">
      <w:numFmt w:val="decimal"/>
      <w:lvlText w:val=""/>
      <w:lvlJc w:val="left"/>
    </w:lvl>
  </w:abstractNum>
  <w:abstractNum w:abstractNumId="16">
    <w:nsid w:val="25E45D32"/>
    <w:multiLevelType w:val="hybridMultilevel"/>
    <w:tmpl w:val="E7183352"/>
    <w:lvl w:ilvl="0" w:tplc="2D6CFD04">
      <w:start w:val="41"/>
      <w:numFmt w:val="decimal"/>
      <w:lvlText w:val="%1"/>
      <w:lvlJc w:val="left"/>
    </w:lvl>
    <w:lvl w:ilvl="1" w:tplc="46022256">
      <w:numFmt w:val="decimal"/>
      <w:lvlText w:val=""/>
      <w:lvlJc w:val="left"/>
    </w:lvl>
    <w:lvl w:ilvl="2" w:tplc="A38839A4">
      <w:numFmt w:val="decimal"/>
      <w:lvlText w:val=""/>
      <w:lvlJc w:val="left"/>
    </w:lvl>
    <w:lvl w:ilvl="3" w:tplc="9C804008">
      <w:numFmt w:val="decimal"/>
      <w:lvlText w:val=""/>
      <w:lvlJc w:val="left"/>
    </w:lvl>
    <w:lvl w:ilvl="4" w:tplc="BFC471C4">
      <w:numFmt w:val="decimal"/>
      <w:lvlText w:val=""/>
      <w:lvlJc w:val="left"/>
    </w:lvl>
    <w:lvl w:ilvl="5" w:tplc="D68E9300">
      <w:numFmt w:val="decimal"/>
      <w:lvlText w:val=""/>
      <w:lvlJc w:val="left"/>
    </w:lvl>
    <w:lvl w:ilvl="6" w:tplc="155008BC">
      <w:numFmt w:val="decimal"/>
      <w:lvlText w:val=""/>
      <w:lvlJc w:val="left"/>
    </w:lvl>
    <w:lvl w:ilvl="7" w:tplc="73D8AEA6">
      <w:numFmt w:val="decimal"/>
      <w:lvlText w:val=""/>
      <w:lvlJc w:val="left"/>
    </w:lvl>
    <w:lvl w:ilvl="8" w:tplc="9FEEE6AA">
      <w:numFmt w:val="decimal"/>
      <w:lvlText w:val=""/>
      <w:lvlJc w:val="left"/>
    </w:lvl>
  </w:abstractNum>
  <w:abstractNum w:abstractNumId="17">
    <w:nsid w:val="2AE8944A"/>
    <w:multiLevelType w:val="hybridMultilevel"/>
    <w:tmpl w:val="2496E62E"/>
    <w:lvl w:ilvl="0" w:tplc="F6B8B184">
      <w:start w:val="35"/>
      <w:numFmt w:val="upperLetter"/>
      <w:lvlText w:val="%1."/>
      <w:lvlJc w:val="left"/>
    </w:lvl>
    <w:lvl w:ilvl="1" w:tplc="BDCE3510">
      <w:start w:val="1"/>
      <w:numFmt w:val="upperLetter"/>
      <w:lvlText w:val="%2"/>
      <w:lvlJc w:val="left"/>
    </w:lvl>
    <w:lvl w:ilvl="2" w:tplc="0456AA10">
      <w:numFmt w:val="decimal"/>
      <w:lvlText w:val=""/>
      <w:lvlJc w:val="left"/>
    </w:lvl>
    <w:lvl w:ilvl="3" w:tplc="C50CD930">
      <w:numFmt w:val="decimal"/>
      <w:lvlText w:val=""/>
      <w:lvlJc w:val="left"/>
    </w:lvl>
    <w:lvl w:ilvl="4" w:tplc="C452F144">
      <w:numFmt w:val="decimal"/>
      <w:lvlText w:val=""/>
      <w:lvlJc w:val="left"/>
    </w:lvl>
    <w:lvl w:ilvl="5" w:tplc="7E8C22E2">
      <w:numFmt w:val="decimal"/>
      <w:lvlText w:val=""/>
      <w:lvlJc w:val="left"/>
    </w:lvl>
    <w:lvl w:ilvl="6" w:tplc="AB8A37F8">
      <w:numFmt w:val="decimal"/>
      <w:lvlText w:val=""/>
      <w:lvlJc w:val="left"/>
    </w:lvl>
    <w:lvl w:ilvl="7" w:tplc="6F52F4C6">
      <w:numFmt w:val="decimal"/>
      <w:lvlText w:val=""/>
      <w:lvlJc w:val="left"/>
    </w:lvl>
    <w:lvl w:ilvl="8" w:tplc="D778CA70">
      <w:numFmt w:val="decimal"/>
      <w:lvlText w:val=""/>
      <w:lvlJc w:val="left"/>
    </w:lvl>
  </w:abstractNum>
  <w:abstractNum w:abstractNumId="18">
    <w:nsid w:val="2B4953BA"/>
    <w:multiLevelType w:val="multilevel"/>
    <w:tmpl w:val="04160025"/>
    <w:styleLink w:val="Estilo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27B23C6"/>
    <w:multiLevelType w:val="hybridMultilevel"/>
    <w:tmpl w:val="0220C294"/>
    <w:lvl w:ilvl="0" w:tplc="5A6409EC">
      <w:start w:val="3"/>
      <w:numFmt w:val="decimal"/>
      <w:lvlText w:val="%1)"/>
      <w:lvlJc w:val="left"/>
    </w:lvl>
    <w:lvl w:ilvl="1" w:tplc="0C9C1134">
      <w:numFmt w:val="decimal"/>
      <w:lvlText w:val=""/>
      <w:lvlJc w:val="left"/>
    </w:lvl>
    <w:lvl w:ilvl="2" w:tplc="4B5207DE">
      <w:numFmt w:val="decimal"/>
      <w:lvlText w:val=""/>
      <w:lvlJc w:val="left"/>
    </w:lvl>
    <w:lvl w:ilvl="3" w:tplc="4F6093A6">
      <w:numFmt w:val="decimal"/>
      <w:lvlText w:val=""/>
      <w:lvlJc w:val="left"/>
    </w:lvl>
    <w:lvl w:ilvl="4" w:tplc="E4A2B196">
      <w:numFmt w:val="decimal"/>
      <w:lvlText w:val=""/>
      <w:lvlJc w:val="left"/>
    </w:lvl>
    <w:lvl w:ilvl="5" w:tplc="3634C59E">
      <w:numFmt w:val="decimal"/>
      <w:lvlText w:val=""/>
      <w:lvlJc w:val="left"/>
    </w:lvl>
    <w:lvl w:ilvl="6" w:tplc="F5847340">
      <w:numFmt w:val="decimal"/>
      <w:lvlText w:val=""/>
      <w:lvlJc w:val="left"/>
    </w:lvl>
    <w:lvl w:ilvl="7" w:tplc="ED8250E0">
      <w:numFmt w:val="decimal"/>
      <w:lvlText w:val=""/>
      <w:lvlJc w:val="left"/>
    </w:lvl>
    <w:lvl w:ilvl="8" w:tplc="FFF27BE2">
      <w:numFmt w:val="decimal"/>
      <w:lvlText w:val=""/>
      <w:lvlJc w:val="left"/>
    </w:lvl>
  </w:abstractNum>
  <w:abstractNum w:abstractNumId="20">
    <w:nsid w:val="3352255A"/>
    <w:multiLevelType w:val="hybridMultilevel"/>
    <w:tmpl w:val="95D8EF78"/>
    <w:lvl w:ilvl="0" w:tplc="51A455CC">
      <w:start w:val="22"/>
      <w:numFmt w:val="decimal"/>
      <w:lvlText w:val="%1"/>
      <w:lvlJc w:val="left"/>
    </w:lvl>
    <w:lvl w:ilvl="1" w:tplc="D61A49D4">
      <w:numFmt w:val="decimal"/>
      <w:lvlText w:val=""/>
      <w:lvlJc w:val="left"/>
    </w:lvl>
    <w:lvl w:ilvl="2" w:tplc="B170853E">
      <w:numFmt w:val="decimal"/>
      <w:lvlText w:val=""/>
      <w:lvlJc w:val="left"/>
    </w:lvl>
    <w:lvl w:ilvl="3" w:tplc="13C00B92">
      <w:numFmt w:val="decimal"/>
      <w:lvlText w:val=""/>
      <w:lvlJc w:val="left"/>
    </w:lvl>
    <w:lvl w:ilvl="4" w:tplc="32B802DA">
      <w:numFmt w:val="decimal"/>
      <w:lvlText w:val=""/>
      <w:lvlJc w:val="left"/>
    </w:lvl>
    <w:lvl w:ilvl="5" w:tplc="D9C01A3A">
      <w:numFmt w:val="decimal"/>
      <w:lvlText w:val=""/>
      <w:lvlJc w:val="left"/>
    </w:lvl>
    <w:lvl w:ilvl="6" w:tplc="74741240">
      <w:numFmt w:val="decimal"/>
      <w:lvlText w:val=""/>
      <w:lvlJc w:val="left"/>
    </w:lvl>
    <w:lvl w:ilvl="7" w:tplc="A43E89AA">
      <w:numFmt w:val="decimal"/>
      <w:lvlText w:val=""/>
      <w:lvlJc w:val="left"/>
    </w:lvl>
    <w:lvl w:ilvl="8" w:tplc="C058A4F2">
      <w:numFmt w:val="decimal"/>
      <w:lvlText w:val=""/>
      <w:lvlJc w:val="left"/>
    </w:lvl>
  </w:abstractNum>
  <w:abstractNum w:abstractNumId="21">
    <w:nsid w:val="3D1B58BA"/>
    <w:multiLevelType w:val="hybridMultilevel"/>
    <w:tmpl w:val="A712DE34"/>
    <w:lvl w:ilvl="0" w:tplc="F2D2E5B2">
      <w:start w:val="24"/>
      <w:numFmt w:val="decimal"/>
      <w:lvlText w:val="%1."/>
      <w:lvlJc w:val="left"/>
    </w:lvl>
    <w:lvl w:ilvl="1" w:tplc="5FA0E79E">
      <w:numFmt w:val="decimal"/>
      <w:lvlText w:val=""/>
      <w:lvlJc w:val="left"/>
    </w:lvl>
    <w:lvl w:ilvl="2" w:tplc="1CC0675E">
      <w:numFmt w:val="decimal"/>
      <w:lvlText w:val=""/>
      <w:lvlJc w:val="left"/>
    </w:lvl>
    <w:lvl w:ilvl="3" w:tplc="F00ECB5E">
      <w:numFmt w:val="decimal"/>
      <w:lvlText w:val=""/>
      <w:lvlJc w:val="left"/>
    </w:lvl>
    <w:lvl w:ilvl="4" w:tplc="498E3E9E">
      <w:numFmt w:val="decimal"/>
      <w:lvlText w:val=""/>
      <w:lvlJc w:val="left"/>
    </w:lvl>
    <w:lvl w:ilvl="5" w:tplc="9F5ACF44">
      <w:numFmt w:val="decimal"/>
      <w:lvlText w:val=""/>
      <w:lvlJc w:val="left"/>
    </w:lvl>
    <w:lvl w:ilvl="6" w:tplc="FEA25282">
      <w:numFmt w:val="decimal"/>
      <w:lvlText w:val=""/>
      <w:lvlJc w:val="left"/>
    </w:lvl>
    <w:lvl w:ilvl="7" w:tplc="9CEC91C6">
      <w:numFmt w:val="decimal"/>
      <w:lvlText w:val=""/>
      <w:lvlJc w:val="left"/>
    </w:lvl>
    <w:lvl w:ilvl="8" w:tplc="0150D75C">
      <w:numFmt w:val="decimal"/>
      <w:lvlText w:val=""/>
      <w:lvlJc w:val="left"/>
    </w:lvl>
  </w:abstractNum>
  <w:abstractNum w:abstractNumId="22">
    <w:nsid w:val="3D812EB7"/>
    <w:multiLevelType w:val="hybridMultilevel"/>
    <w:tmpl w:val="B38478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06E0148"/>
    <w:multiLevelType w:val="hybridMultilevel"/>
    <w:tmpl w:val="AD5ADE0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1A7C4C9"/>
    <w:multiLevelType w:val="hybridMultilevel"/>
    <w:tmpl w:val="D76AA9BA"/>
    <w:lvl w:ilvl="0" w:tplc="F1C6D768">
      <w:start w:val="31"/>
      <w:numFmt w:val="decimal"/>
      <w:lvlText w:val="%1"/>
      <w:lvlJc w:val="left"/>
    </w:lvl>
    <w:lvl w:ilvl="1" w:tplc="6A8AC47E">
      <w:numFmt w:val="decimal"/>
      <w:lvlText w:val=""/>
      <w:lvlJc w:val="left"/>
    </w:lvl>
    <w:lvl w:ilvl="2" w:tplc="9A181E64">
      <w:numFmt w:val="decimal"/>
      <w:lvlText w:val=""/>
      <w:lvlJc w:val="left"/>
    </w:lvl>
    <w:lvl w:ilvl="3" w:tplc="62ACDF36">
      <w:numFmt w:val="decimal"/>
      <w:lvlText w:val=""/>
      <w:lvlJc w:val="left"/>
    </w:lvl>
    <w:lvl w:ilvl="4" w:tplc="D4B4BCE8">
      <w:numFmt w:val="decimal"/>
      <w:lvlText w:val=""/>
      <w:lvlJc w:val="left"/>
    </w:lvl>
    <w:lvl w:ilvl="5" w:tplc="A1142894">
      <w:numFmt w:val="decimal"/>
      <w:lvlText w:val=""/>
      <w:lvlJc w:val="left"/>
    </w:lvl>
    <w:lvl w:ilvl="6" w:tplc="38801148">
      <w:numFmt w:val="decimal"/>
      <w:lvlText w:val=""/>
      <w:lvlJc w:val="left"/>
    </w:lvl>
    <w:lvl w:ilvl="7" w:tplc="43E06E52">
      <w:numFmt w:val="decimal"/>
      <w:lvlText w:val=""/>
      <w:lvlJc w:val="left"/>
    </w:lvl>
    <w:lvl w:ilvl="8" w:tplc="AA74CDF2">
      <w:numFmt w:val="decimal"/>
      <w:lvlText w:val=""/>
      <w:lvlJc w:val="left"/>
    </w:lvl>
  </w:abstractNum>
  <w:abstractNum w:abstractNumId="25">
    <w:nsid w:val="41B71EFB"/>
    <w:multiLevelType w:val="hybridMultilevel"/>
    <w:tmpl w:val="1BD8713C"/>
    <w:lvl w:ilvl="0" w:tplc="795C5A50">
      <w:start w:val="1"/>
      <w:numFmt w:val="decimal"/>
      <w:lvlText w:val="(%1)"/>
      <w:lvlJc w:val="left"/>
    </w:lvl>
    <w:lvl w:ilvl="1" w:tplc="2C80881E">
      <w:numFmt w:val="decimal"/>
      <w:lvlText w:val=""/>
      <w:lvlJc w:val="left"/>
    </w:lvl>
    <w:lvl w:ilvl="2" w:tplc="594628F4">
      <w:numFmt w:val="decimal"/>
      <w:lvlText w:val=""/>
      <w:lvlJc w:val="left"/>
    </w:lvl>
    <w:lvl w:ilvl="3" w:tplc="84CAE3D0">
      <w:numFmt w:val="decimal"/>
      <w:lvlText w:val=""/>
      <w:lvlJc w:val="left"/>
    </w:lvl>
    <w:lvl w:ilvl="4" w:tplc="339AE3FC">
      <w:numFmt w:val="decimal"/>
      <w:lvlText w:val=""/>
      <w:lvlJc w:val="left"/>
    </w:lvl>
    <w:lvl w:ilvl="5" w:tplc="BB8A4F2A">
      <w:numFmt w:val="decimal"/>
      <w:lvlText w:val=""/>
      <w:lvlJc w:val="left"/>
    </w:lvl>
    <w:lvl w:ilvl="6" w:tplc="5F469156">
      <w:numFmt w:val="decimal"/>
      <w:lvlText w:val=""/>
      <w:lvlJc w:val="left"/>
    </w:lvl>
    <w:lvl w:ilvl="7" w:tplc="2A4AD1CC">
      <w:numFmt w:val="decimal"/>
      <w:lvlText w:val=""/>
      <w:lvlJc w:val="left"/>
    </w:lvl>
    <w:lvl w:ilvl="8" w:tplc="F4A26BB0">
      <w:numFmt w:val="decimal"/>
      <w:lvlText w:val=""/>
      <w:lvlJc w:val="left"/>
    </w:lvl>
  </w:abstractNum>
  <w:abstractNum w:abstractNumId="26">
    <w:nsid w:val="46E87CCD"/>
    <w:multiLevelType w:val="hybridMultilevel"/>
    <w:tmpl w:val="04987F3E"/>
    <w:lvl w:ilvl="0" w:tplc="F17CE97E">
      <w:start w:val="1"/>
      <w:numFmt w:val="decimal"/>
      <w:lvlText w:val="%1"/>
      <w:lvlJc w:val="left"/>
    </w:lvl>
    <w:lvl w:ilvl="1" w:tplc="273439BA">
      <w:numFmt w:val="decimal"/>
      <w:lvlText w:val=""/>
      <w:lvlJc w:val="left"/>
    </w:lvl>
    <w:lvl w:ilvl="2" w:tplc="17FECD62">
      <w:numFmt w:val="decimal"/>
      <w:lvlText w:val=""/>
      <w:lvlJc w:val="left"/>
    </w:lvl>
    <w:lvl w:ilvl="3" w:tplc="B0F40200">
      <w:numFmt w:val="decimal"/>
      <w:lvlText w:val=""/>
      <w:lvlJc w:val="left"/>
    </w:lvl>
    <w:lvl w:ilvl="4" w:tplc="F1561EF4">
      <w:numFmt w:val="decimal"/>
      <w:lvlText w:val=""/>
      <w:lvlJc w:val="left"/>
    </w:lvl>
    <w:lvl w:ilvl="5" w:tplc="C51681EE">
      <w:numFmt w:val="decimal"/>
      <w:lvlText w:val=""/>
      <w:lvlJc w:val="left"/>
    </w:lvl>
    <w:lvl w:ilvl="6" w:tplc="2A5A2272">
      <w:numFmt w:val="decimal"/>
      <w:lvlText w:val=""/>
      <w:lvlJc w:val="left"/>
    </w:lvl>
    <w:lvl w:ilvl="7" w:tplc="C0749C9C">
      <w:numFmt w:val="decimal"/>
      <w:lvlText w:val=""/>
      <w:lvlJc w:val="left"/>
    </w:lvl>
    <w:lvl w:ilvl="8" w:tplc="83721064">
      <w:numFmt w:val="decimal"/>
      <w:lvlText w:val=""/>
      <w:lvlJc w:val="left"/>
    </w:lvl>
  </w:abstractNum>
  <w:abstractNum w:abstractNumId="27">
    <w:nsid w:val="4DB127F8"/>
    <w:multiLevelType w:val="hybridMultilevel"/>
    <w:tmpl w:val="9D22A574"/>
    <w:lvl w:ilvl="0" w:tplc="10609E1E">
      <w:start w:val="6"/>
      <w:numFmt w:val="decimal"/>
      <w:lvlText w:val="%1"/>
      <w:lvlJc w:val="left"/>
    </w:lvl>
    <w:lvl w:ilvl="1" w:tplc="902C8816">
      <w:numFmt w:val="decimal"/>
      <w:lvlText w:val=""/>
      <w:lvlJc w:val="left"/>
    </w:lvl>
    <w:lvl w:ilvl="2" w:tplc="5D341DEA">
      <w:numFmt w:val="decimal"/>
      <w:lvlText w:val=""/>
      <w:lvlJc w:val="left"/>
    </w:lvl>
    <w:lvl w:ilvl="3" w:tplc="EF8EBB38">
      <w:numFmt w:val="decimal"/>
      <w:lvlText w:val=""/>
      <w:lvlJc w:val="left"/>
    </w:lvl>
    <w:lvl w:ilvl="4" w:tplc="EFDEC1B6">
      <w:numFmt w:val="decimal"/>
      <w:lvlText w:val=""/>
      <w:lvlJc w:val="left"/>
    </w:lvl>
    <w:lvl w:ilvl="5" w:tplc="F5B48D46">
      <w:numFmt w:val="decimal"/>
      <w:lvlText w:val=""/>
      <w:lvlJc w:val="left"/>
    </w:lvl>
    <w:lvl w:ilvl="6" w:tplc="21B45C34">
      <w:numFmt w:val="decimal"/>
      <w:lvlText w:val=""/>
      <w:lvlJc w:val="left"/>
    </w:lvl>
    <w:lvl w:ilvl="7" w:tplc="8CDC4C94">
      <w:numFmt w:val="decimal"/>
      <w:lvlText w:val=""/>
      <w:lvlJc w:val="left"/>
    </w:lvl>
    <w:lvl w:ilvl="8" w:tplc="289650F8">
      <w:numFmt w:val="decimal"/>
      <w:lvlText w:val=""/>
      <w:lvlJc w:val="left"/>
    </w:lvl>
  </w:abstractNum>
  <w:abstractNum w:abstractNumId="28">
    <w:nsid w:val="4E6AFB66"/>
    <w:multiLevelType w:val="hybridMultilevel"/>
    <w:tmpl w:val="2EC20FDC"/>
    <w:lvl w:ilvl="0" w:tplc="D8C0BF90">
      <w:start w:val="36"/>
      <w:numFmt w:val="decimal"/>
      <w:lvlText w:val="%1"/>
      <w:lvlJc w:val="left"/>
    </w:lvl>
    <w:lvl w:ilvl="1" w:tplc="A6A48BEE">
      <w:numFmt w:val="decimal"/>
      <w:lvlText w:val=""/>
      <w:lvlJc w:val="left"/>
    </w:lvl>
    <w:lvl w:ilvl="2" w:tplc="D0F86CF6">
      <w:numFmt w:val="decimal"/>
      <w:lvlText w:val=""/>
      <w:lvlJc w:val="left"/>
    </w:lvl>
    <w:lvl w:ilvl="3" w:tplc="89A057C0">
      <w:numFmt w:val="decimal"/>
      <w:lvlText w:val=""/>
      <w:lvlJc w:val="left"/>
    </w:lvl>
    <w:lvl w:ilvl="4" w:tplc="FD70669C">
      <w:numFmt w:val="decimal"/>
      <w:lvlText w:val=""/>
      <w:lvlJc w:val="left"/>
    </w:lvl>
    <w:lvl w:ilvl="5" w:tplc="DBA838DA">
      <w:numFmt w:val="decimal"/>
      <w:lvlText w:val=""/>
      <w:lvlJc w:val="left"/>
    </w:lvl>
    <w:lvl w:ilvl="6" w:tplc="585A10D8">
      <w:numFmt w:val="decimal"/>
      <w:lvlText w:val=""/>
      <w:lvlJc w:val="left"/>
    </w:lvl>
    <w:lvl w:ilvl="7" w:tplc="89D67BFA">
      <w:numFmt w:val="decimal"/>
      <w:lvlText w:val=""/>
      <w:lvlJc w:val="left"/>
    </w:lvl>
    <w:lvl w:ilvl="8" w:tplc="9E4A0FEC">
      <w:numFmt w:val="decimal"/>
      <w:lvlText w:val=""/>
      <w:lvlJc w:val="left"/>
    </w:lvl>
  </w:abstractNum>
  <w:abstractNum w:abstractNumId="29">
    <w:nsid w:val="507ED7AB"/>
    <w:multiLevelType w:val="hybridMultilevel"/>
    <w:tmpl w:val="860E4F8A"/>
    <w:lvl w:ilvl="0" w:tplc="F3C2E142">
      <w:start w:val="28"/>
      <w:numFmt w:val="decimal"/>
      <w:lvlText w:val="%1."/>
      <w:lvlJc w:val="left"/>
    </w:lvl>
    <w:lvl w:ilvl="1" w:tplc="5890E292">
      <w:numFmt w:val="decimal"/>
      <w:lvlText w:val=""/>
      <w:lvlJc w:val="left"/>
    </w:lvl>
    <w:lvl w:ilvl="2" w:tplc="B6E05176">
      <w:numFmt w:val="decimal"/>
      <w:lvlText w:val=""/>
      <w:lvlJc w:val="left"/>
    </w:lvl>
    <w:lvl w:ilvl="3" w:tplc="AFAAA66A">
      <w:numFmt w:val="decimal"/>
      <w:lvlText w:val=""/>
      <w:lvlJc w:val="left"/>
    </w:lvl>
    <w:lvl w:ilvl="4" w:tplc="E424F01A">
      <w:numFmt w:val="decimal"/>
      <w:lvlText w:val=""/>
      <w:lvlJc w:val="left"/>
    </w:lvl>
    <w:lvl w:ilvl="5" w:tplc="AEE29734">
      <w:numFmt w:val="decimal"/>
      <w:lvlText w:val=""/>
      <w:lvlJc w:val="left"/>
    </w:lvl>
    <w:lvl w:ilvl="6" w:tplc="4398973E">
      <w:numFmt w:val="decimal"/>
      <w:lvlText w:val=""/>
      <w:lvlJc w:val="left"/>
    </w:lvl>
    <w:lvl w:ilvl="7" w:tplc="C0005460">
      <w:numFmt w:val="decimal"/>
      <w:lvlText w:val=""/>
      <w:lvlJc w:val="left"/>
    </w:lvl>
    <w:lvl w:ilvl="8" w:tplc="7F1CF084">
      <w:numFmt w:val="decimal"/>
      <w:lvlText w:val=""/>
      <w:lvlJc w:val="left"/>
    </w:lvl>
  </w:abstractNum>
  <w:abstractNum w:abstractNumId="30">
    <w:nsid w:val="515F007C"/>
    <w:multiLevelType w:val="hybridMultilevel"/>
    <w:tmpl w:val="07A6E2D6"/>
    <w:lvl w:ilvl="0" w:tplc="D6FE6DA2">
      <w:start w:val="1"/>
      <w:numFmt w:val="decimal"/>
      <w:lvlText w:val="(%1)"/>
      <w:lvlJc w:val="left"/>
    </w:lvl>
    <w:lvl w:ilvl="1" w:tplc="67FCB5D2">
      <w:numFmt w:val="decimal"/>
      <w:lvlText w:val=""/>
      <w:lvlJc w:val="left"/>
    </w:lvl>
    <w:lvl w:ilvl="2" w:tplc="D5E08F5A">
      <w:numFmt w:val="decimal"/>
      <w:lvlText w:val=""/>
      <w:lvlJc w:val="left"/>
    </w:lvl>
    <w:lvl w:ilvl="3" w:tplc="EE105B3E">
      <w:numFmt w:val="decimal"/>
      <w:lvlText w:val=""/>
      <w:lvlJc w:val="left"/>
    </w:lvl>
    <w:lvl w:ilvl="4" w:tplc="B67C4312">
      <w:numFmt w:val="decimal"/>
      <w:lvlText w:val=""/>
      <w:lvlJc w:val="left"/>
    </w:lvl>
    <w:lvl w:ilvl="5" w:tplc="8B8855C2">
      <w:numFmt w:val="decimal"/>
      <w:lvlText w:val=""/>
      <w:lvlJc w:val="left"/>
    </w:lvl>
    <w:lvl w:ilvl="6" w:tplc="7F9CFE62">
      <w:numFmt w:val="decimal"/>
      <w:lvlText w:val=""/>
      <w:lvlJc w:val="left"/>
    </w:lvl>
    <w:lvl w:ilvl="7" w:tplc="97CAAC0E">
      <w:numFmt w:val="decimal"/>
      <w:lvlText w:val=""/>
      <w:lvlJc w:val="left"/>
    </w:lvl>
    <w:lvl w:ilvl="8" w:tplc="2E608CB8">
      <w:numFmt w:val="decimal"/>
      <w:lvlText w:val=""/>
      <w:lvlJc w:val="left"/>
    </w:lvl>
  </w:abstractNum>
  <w:abstractNum w:abstractNumId="31">
    <w:nsid w:val="538429BF"/>
    <w:multiLevelType w:val="hybridMultilevel"/>
    <w:tmpl w:val="D772F064"/>
    <w:lvl w:ilvl="0" w:tplc="BDBED1B2">
      <w:start w:val="1"/>
      <w:numFmt w:val="bullet"/>
      <w:lvlText w:val=""/>
      <w:lvlJc w:val="left"/>
      <w:pPr>
        <w:ind w:left="1429" w:hanging="360"/>
      </w:pPr>
      <w:rPr>
        <w:rFonts w:ascii="Symbol" w:hAnsi="Symbol" w:hint="default"/>
      </w:rPr>
    </w:lvl>
    <w:lvl w:ilvl="1" w:tplc="1284CCF2" w:tentative="1">
      <w:start w:val="1"/>
      <w:numFmt w:val="bullet"/>
      <w:lvlText w:val="o"/>
      <w:lvlJc w:val="left"/>
      <w:pPr>
        <w:ind w:left="2149" w:hanging="360"/>
      </w:pPr>
      <w:rPr>
        <w:rFonts w:ascii="Courier New" w:hAnsi="Courier New" w:cs="Courier New" w:hint="default"/>
      </w:rPr>
    </w:lvl>
    <w:lvl w:ilvl="2" w:tplc="1EE21D48" w:tentative="1">
      <w:start w:val="1"/>
      <w:numFmt w:val="bullet"/>
      <w:lvlText w:val=""/>
      <w:lvlJc w:val="left"/>
      <w:pPr>
        <w:ind w:left="2869" w:hanging="360"/>
      </w:pPr>
      <w:rPr>
        <w:rFonts w:ascii="Wingdings" w:hAnsi="Wingdings" w:hint="default"/>
      </w:rPr>
    </w:lvl>
    <w:lvl w:ilvl="3" w:tplc="AE98AA86" w:tentative="1">
      <w:start w:val="1"/>
      <w:numFmt w:val="bullet"/>
      <w:lvlText w:val=""/>
      <w:lvlJc w:val="left"/>
      <w:pPr>
        <w:ind w:left="3589" w:hanging="360"/>
      </w:pPr>
      <w:rPr>
        <w:rFonts w:ascii="Symbol" w:hAnsi="Symbol" w:hint="default"/>
      </w:rPr>
    </w:lvl>
    <w:lvl w:ilvl="4" w:tplc="81BED878" w:tentative="1">
      <w:start w:val="1"/>
      <w:numFmt w:val="bullet"/>
      <w:lvlText w:val="o"/>
      <w:lvlJc w:val="left"/>
      <w:pPr>
        <w:ind w:left="4309" w:hanging="360"/>
      </w:pPr>
      <w:rPr>
        <w:rFonts w:ascii="Courier New" w:hAnsi="Courier New" w:cs="Courier New" w:hint="default"/>
      </w:rPr>
    </w:lvl>
    <w:lvl w:ilvl="5" w:tplc="EE502734" w:tentative="1">
      <w:start w:val="1"/>
      <w:numFmt w:val="bullet"/>
      <w:lvlText w:val=""/>
      <w:lvlJc w:val="left"/>
      <w:pPr>
        <w:ind w:left="5029" w:hanging="360"/>
      </w:pPr>
      <w:rPr>
        <w:rFonts w:ascii="Wingdings" w:hAnsi="Wingdings" w:hint="default"/>
      </w:rPr>
    </w:lvl>
    <w:lvl w:ilvl="6" w:tplc="77A698A6" w:tentative="1">
      <w:start w:val="1"/>
      <w:numFmt w:val="bullet"/>
      <w:lvlText w:val=""/>
      <w:lvlJc w:val="left"/>
      <w:pPr>
        <w:ind w:left="5749" w:hanging="360"/>
      </w:pPr>
      <w:rPr>
        <w:rFonts w:ascii="Symbol" w:hAnsi="Symbol" w:hint="default"/>
      </w:rPr>
    </w:lvl>
    <w:lvl w:ilvl="7" w:tplc="BF4A1756" w:tentative="1">
      <w:start w:val="1"/>
      <w:numFmt w:val="bullet"/>
      <w:lvlText w:val="o"/>
      <w:lvlJc w:val="left"/>
      <w:pPr>
        <w:ind w:left="6469" w:hanging="360"/>
      </w:pPr>
      <w:rPr>
        <w:rFonts w:ascii="Courier New" w:hAnsi="Courier New" w:cs="Courier New" w:hint="default"/>
      </w:rPr>
    </w:lvl>
    <w:lvl w:ilvl="8" w:tplc="7E70F06A" w:tentative="1">
      <w:start w:val="1"/>
      <w:numFmt w:val="bullet"/>
      <w:lvlText w:val=""/>
      <w:lvlJc w:val="left"/>
      <w:pPr>
        <w:ind w:left="7189" w:hanging="360"/>
      </w:pPr>
      <w:rPr>
        <w:rFonts w:ascii="Wingdings" w:hAnsi="Wingdings" w:hint="default"/>
      </w:rPr>
    </w:lvl>
  </w:abstractNum>
  <w:abstractNum w:abstractNumId="32">
    <w:nsid w:val="56682774"/>
    <w:multiLevelType w:val="hybridMultilevel"/>
    <w:tmpl w:val="C9BE25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76D4AD0"/>
    <w:multiLevelType w:val="multilevel"/>
    <w:tmpl w:val="C4D4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301BF5"/>
    <w:multiLevelType w:val="multilevel"/>
    <w:tmpl w:val="BE8EFB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5BD062C2"/>
    <w:multiLevelType w:val="hybridMultilevel"/>
    <w:tmpl w:val="A07C28C4"/>
    <w:lvl w:ilvl="0" w:tplc="5BFC6A2E">
      <w:start w:val="5"/>
      <w:numFmt w:val="decimal"/>
      <w:lvlText w:val="%1"/>
      <w:lvlJc w:val="left"/>
    </w:lvl>
    <w:lvl w:ilvl="1" w:tplc="FE9413F6">
      <w:numFmt w:val="decimal"/>
      <w:lvlText w:val=""/>
      <w:lvlJc w:val="left"/>
    </w:lvl>
    <w:lvl w:ilvl="2" w:tplc="1220957C">
      <w:numFmt w:val="decimal"/>
      <w:lvlText w:val=""/>
      <w:lvlJc w:val="left"/>
    </w:lvl>
    <w:lvl w:ilvl="3" w:tplc="2BC80A3A">
      <w:numFmt w:val="decimal"/>
      <w:lvlText w:val=""/>
      <w:lvlJc w:val="left"/>
    </w:lvl>
    <w:lvl w:ilvl="4" w:tplc="B11C32C0">
      <w:numFmt w:val="decimal"/>
      <w:lvlText w:val=""/>
      <w:lvlJc w:val="left"/>
    </w:lvl>
    <w:lvl w:ilvl="5" w:tplc="5F8CFF12">
      <w:numFmt w:val="decimal"/>
      <w:lvlText w:val=""/>
      <w:lvlJc w:val="left"/>
    </w:lvl>
    <w:lvl w:ilvl="6" w:tplc="FAB44FC6">
      <w:numFmt w:val="decimal"/>
      <w:lvlText w:val=""/>
      <w:lvlJc w:val="left"/>
    </w:lvl>
    <w:lvl w:ilvl="7" w:tplc="D6724FFA">
      <w:numFmt w:val="decimal"/>
      <w:lvlText w:val=""/>
      <w:lvlJc w:val="left"/>
    </w:lvl>
    <w:lvl w:ilvl="8" w:tplc="AE162974">
      <w:numFmt w:val="decimal"/>
      <w:lvlText w:val=""/>
      <w:lvlJc w:val="left"/>
    </w:lvl>
  </w:abstractNum>
  <w:abstractNum w:abstractNumId="36">
    <w:nsid w:val="5BD0775D"/>
    <w:multiLevelType w:val="hybridMultilevel"/>
    <w:tmpl w:val="F572D6E0"/>
    <w:lvl w:ilvl="0" w:tplc="EEFAB1D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8AAE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BA12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E25A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877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900A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6C63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8269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0BD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5D9C6C90"/>
    <w:multiLevelType w:val="hybridMultilevel"/>
    <w:tmpl w:val="C9CACBCA"/>
    <w:lvl w:ilvl="0" w:tplc="4242429A">
      <w:start w:val="1"/>
      <w:numFmt w:val="lowerLetter"/>
      <w:lvlText w:val="%1)"/>
      <w:lvlJc w:val="left"/>
      <w:pPr>
        <w:ind w:left="1494" w:hanging="360"/>
      </w:pPr>
      <w:rPr>
        <w:rFonts w:hint="default"/>
      </w:rPr>
    </w:lvl>
    <w:lvl w:ilvl="1" w:tplc="8F7C1396" w:tentative="1">
      <w:start w:val="1"/>
      <w:numFmt w:val="lowerLetter"/>
      <w:lvlText w:val="%2."/>
      <w:lvlJc w:val="left"/>
      <w:pPr>
        <w:ind w:left="2214" w:hanging="360"/>
      </w:pPr>
    </w:lvl>
    <w:lvl w:ilvl="2" w:tplc="C602D728" w:tentative="1">
      <w:start w:val="1"/>
      <w:numFmt w:val="lowerRoman"/>
      <w:lvlText w:val="%3."/>
      <w:lvlJc w:val="right"/>
      <w:pPr>
        <w:ind w:left="2934" w:hanging="180"/>
      </w:pPr>
    </w:lvl>
    <w:lvl w:ilvl="3" w:tplc="A002D9EA" w:tentative="1">
      <w:start w:val="1"/>
      <w:numFmt w:val="decimal"/>
      <w:lvlText w:val="%4."/>
      <w:lvlJc w:val="left"/>
      <w:pPr>
        <w:ind w:left="3654" w:hanging="360"/>
      </w:pPr>
    </w:lvl>
    <w:lvl w:ilvl="4" w:tplc="65B650D4" w:tentative="1">
      <w:start w:val="1"/>
      <w:numFmt w:val="lowerLetter"/>
      <w:lvlText w:val="%5."/>
      <w:lvlJc w:val="left"/>
      <w:pPr>
        <w:ind w:left="4374" w:hanging="360"/>
      </w:pPr>
    </w:lvl>
    <w:lvl w:ilvl="5" w:tplc="24DA3DF6" w:tentative="1">
      <w:start w:val="1"/>
      <w:numFmt w:val="lowerRoman"/>
      <w:lvlText w:val="%6."/>
      <w:lvlJc w:val="right"/>
      <w:pPr>
        <w:ind w:left="5094" w:hanging="180"/>
      </w:pPr>
    </w:lvl>
    <w:lvl w:ilvl="6" w:tplc="96942354" w:tentative="1">
      <w:start w:val="1"/>
      <w:numFmt w:val="decimal"/>
      <w:lvlText w:val="%7."/>
      <w:lvlJc w:val="left"/>
      <w:pPr>
        <w:ind w:left="5814" w:hanging="360"/>
      </w:pPr>
    </w:lvl>
    <w:lvl w:ilvl="7" w:tplc="C7860696" w:tentative="1">
      <w:start w:val="1"/>
      <w:numFmt w:val="lowerLetter"/>
      <w:lvlText w:val="%8."/>
      <w:lvlJc w:val="left"/>
      <w:pPr>
        <w:ind w:left="6534" w:hanging="360"/>
      </w:pPr>
    </w:lvl>
    <w:lvl w:ilvl="8" w:tplc="1FB84598" w:tentative="1">
      <w:start w:val="1"/>
      <w:numFmt w:val="lowerRoman"/>
      <w:lvlText w:val="%9."/>
      <w:lvlJc w:val="right"/>
      <w:pPr>
        <w:ind w:left="7254" w:hanging="180"/>
      </w:pPr>
    </w:lvl>
  </w:abstractNum>
  <w:abstractNum w:abstractNumId="38">
    <w:nsid w:val="5F921CD5"/>
    <w:multiLevelType w:val="hybridMultilevel"/>
    <w:tmpl w:val="A142CD4C"/>
    <w:lvl w:ilvl="0" w:tplc="1382C33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25558EC"/>
    <w:multiLevelType w:val="hybridMultilevel"/>
    <w:tmpl w:val="B7D4B074"/>
    <w:lvl w:ilvl="0" w:tplc="FA4A7860">
      <w:start w:val="22"/>
      <w:numFmt w:val="upperLetter"/>
      <w:lvlText w:val="%1."/>
      <w:lvlJc w:val="left"/>
    </w:lvl>
    <w:lvl w:ilvl="1" w:tplc="6C383B74">
      <w:numFmt w:val="decimal"/>
      <w:lvlText w:val=""/>
      <w:lvlJc w:val="left"/>
    </w:lvl>
    <w:lvl w:ilvl="2" w:tplc="5D04DEBC">
      <w:numFmt w:val="decimal"/>
      <w:lvlText w:val=""/>
      <w:lvlJc w:val="left"/>
    </w:lvl>
    <w:lvl w:ilvl="3" w:tplc="5B5E8206">
      <w:numFmt w:val="decimal"/>
      <w:lvlText w:val=""/>
      <w:lvlJc w:val="left"/>
    </w:lvl>
    <w:lvl w:ilvl="4" w:tplc="B01496C0">
      <w:numFmt w:val="decimal"/>
      <w:lvlText w:val=""/>
      <w:lvlJc w:val="left"/>
    </w:lvl>
    <w:lvl w:ilvl="5" w:tplc="CE02AD2E">
      <w:numFmt w:val="decimal"/>
      <w:lvlText w:val=""/>
      <w:lvlJc w:val="left"/>
    </w:lvl>
    <w:lvl w:ilvl="6" w:tplc="73D4F4DE">
      <w:numFmt w:val="decimal"/>
      <w:lvlText w:val=""/>
      <w:lvlJc w:val="left"/>
    </w:lvl>
    <w:lvl w:ilvl="7" w:tplc="8CFAEE00">
      <w:numFmt w:val="decimal"/>
      <w:lvlText w:val=""/>
      <w:lvlJc w:val="left"/>
    </w:lvl>
    <w:lvl w:ilvl="8" w:tplc="0406C68E">
      <w:numFmt w:val="decimal"/>
      <w:lvlText w:val=""/>
      <w:lvlJc w:val="left"/>
    </w:lvl>
  </w:abstractNum>
  <w:abstractNum w:abstractNumId="40">
    <w:nsid w:val="62827037"/>
    <w:multiLevelType w:val="hybridMultilevel"/>
    <w:tmpl w:val="5F443930"/>
    <w:lvl w:ilvl="0" w:tplc="4CB6774E">
      <w:start w:val="1"/>
      <w:numFmt w:val="bullet"/>
      <w:lvlText w:val=""/>
      <w:lvlJc w:val="left"/>
      <w:pPr>
        <w:ind w:left="1429" w:hanging="360"/>
      </w:pPr>
      <w:rPr>
        <w:rFonts w:ascii="Symbol" w:hAnsi="Symbol" w:hint="default"/>
      </w:rPr>
    </w:lvl>
    <w:lvl w:ilvl="1" w:tplc="68EEEECC" w:tentative="1">
      <w:start w:val="1"/>
      <w:numFmt w:val="bullet"/>
      <w:lvlText w:val="o"/>
      <w:lvlJc w:val="left"/>
      <w:pPr>
        <w:ind w:left="2149" w:hanging="360"/>
      </w:pPr>
      <w:rPr>
        <w:rFonts w:ascii="Courier New" w:hAnsi="Courier New" w:cs="Courier New" w:hint="default"/>
      </w:rPr>
    </w:lvl>
    <w:lvl w:ilvl="2" w:tplc="90A8F14A" w:tentative="1">
      <w:start w:val="1"/>
      <w:numFmt w:val="bullet"/>
      <w:lvlText w:val=""/>
      <w:lvlJc w:val="left"/>
      <w:pPr>
        <w:ind w:left="2869" w:hanging="360"/>
      </w:pPr>
      <w:rPr>
        <w:rFonts w:ascii="Wingdings" w:hAnsi="Wingdings" w:hint="default"/>
      </w:rPr>
    </w:lvl>
    <w:lvl w:ilvl="3" w:tplc="330CDD1E" w:tentative="1">
      <w:start w:val="1"/>
      <w:numFmt w:val="bullet"/>
      <w:lvlText w:val=""/>
      <w:lvlJc w:val="left"/>
      <w:pPr>
        <w:ind w:left="3589" w:hanging="360"/>
      </w:pPr>
      <w:rPr>
        <w:rFonts w:ascii="Symbol" w:hAnsi="Symbol" w:hint="default"/>
      </w:rPr>
    </w:lvl>
    <w:lvl w:ilvl="4" w:tplc="71D4589E" w:tentative="1">
      <w:start w:val="1"/>
      <w:numFmt w:val="bullet"/>
      <w:lvlText w:val="o"/>
      <w:lvlJc w:val="left"/>
      <w:pPr>
        <w:ind w:left="4309" w:hanging="360"/>
      </w:pPr>
      <w:rPr>
        <w:rFonts w:ascii="Courier New" w:hAnsi="Courier New" w:cs="Courier New" w:hint="default"/>
      </w:rPr>
    </w:lvl>
    <w:lvl w:ilvl="5" w:tplc="1A7A403C" w:tentative="1">
      <w:start w:val="1"/>
      <w:numFmt w:val="bullet"/>
      <w:lvlText w:val=""/>
      <w:lvlJc w:val="left"/>
      <w:pPr>
        <w:ind w:left="5029" w:hanging="360"/>
      </w:pPr>
      <w:rPr>
        <w:rFonts w:ascii="Wingdings" w:hAnsi="Wingdings" w:hint="default"/>
      </w:rPr>
    </w:lvl>
    <w:lvl w:ilvl="6" w:tplc="A92691B2" w:tentative="1">
      <w:start w:val="1"/>
      <w:numFmt w:val="bullet"/>
      <w:lvlText w:val=""/>
      <w:lvlJc w:val="left"/>
      <w:pPr>
        <w:ind w:left="5749" w:hanging="360"/>
      </w:pPr>
      <w:rPr>
        <w:rFonts w:ascii="Symbol" w:hAnsi="Symbol" w:hint="default"/>
      </w:rPr>
    </w:lvl>
    <w:lvl w:ilvl="7" w:tplc="0728E8EC" w:tentative="1">
      <w:start w:val="1"/>
      <w:numFmt w:val="bullet"/>
      <w:lvlText w:val="o"/>
      <w:lvlJc w:val="left"/>
      <w:pPr>
        <w:ind w:left="6469" w:hanging="360"/>
      </w:pPr>
      <w:rPr>
        <w:rFonts w:ascii="Courier New" w:hAnsi="Courier New" w:cs="Courier New" w:hint="default"/>
      </w:rPr>
    </w:lvl>
    <w:lvl w:ilvl="8" w:tplc="5A4EC8F6" w:tentative="1">
      <w:start w:val="1"/>
      <w:numFmt w:val="bullet"/>
      <w:lvlText w:val=""/>
      <w:lvlJc w:val="left"/>
      <w:pPr>
        <w:ind w:left="7189" w:hanging="360"/>
      </w:pPr>
      <w:rPr>
        <w:rFonts w:ascii="Wingdings" w:hAnsi="Wingdings" w:hint="default"/>
      </w:rPr>
    </w:lvl>
  </w:abstractNum>
  <w:abstractNum w:abstractNumId="41">
    <w:nsid w:val="643C9869"/>
    <w:multiLevelType w:val="hybridMultilevel"/>
    <w:tmpl w:val="EF8A3E5E"/>
    <w:lvl w:ilvl="0" w:tplc="04160001">
      <w:start w:val="1"/>
      <w:numFmt w:val="decimal"/>
      <w:lvlText w:val="%1"/>
      <w:lvlJc w:val="left"/>
    </w:lvl>
    <w:lvl w:ilvl="1" w:tplc="04160003">
      <w:numFmt w:val="decimal"/>
      <w:lvlText w:val=""/>
      <w:lvlJc w:val="left"/>
    </w:lvl>
    <w:lvl w:ilvl="2" w:tplc="04160005">
      <w:numFmt w:val="decimal"/>
      <w:lvlText w:val=""/>
      <w:lvlJc w:val="left"/>
    </w:lvl>
    <w:lvl w:ilvl="3" w:tplc="04160001">
      <w:numFmt w:val="decimal"/>
      <w:lvlText w:val=""/>
      <w:lvlJc w:val="left"/>
    </w:lvl>
    <w:lvl w:ilvl="4" w:tplc="04160003">
      <w:numFmt w:val="decimal"/>
      <w:lvlText w:val=""/>
      <w:lvlJc w:val="left"/>
    </w:lvl>
    <w:lvl w:ilvl="5" w:tplc="04160005">
      <w:numFmt w:val="decimal"/>
      <w:lvlText w:val=""/>
      <w:lvlJc w:val="left"/>
    </w:lvl>
    <w:lvl w:ilvl="6" w:tplc="04160001">
      <w:numFmt w:val="decimal"/>
      <w:lvlText w:val=""/>
      <w:lvlJc w:val="left"/>
    </w:lvl>
    <w:lvl w:ilvl="7" w:tplc="04160003">
      <w:numFmt w:val="decimal"/>
      <w:lvlText w:val=""/>
      <w:lvlJc w:val="left"/>
    </w:lvl>
    <w:lvl w:ilvl="8" w:tplc="04160005">
      <w:numFmt w:val="decimal"/>
      <w:lvlText w:val=""/>
      <w:lvlJc w:val="left"/>
    </w:lvl>
  </w:abstractNum>
  <w:abstractNum w:abstractNumId="42">
    <w:nsid w:val="66334873"/>
    <w:multiLevelType w:val="hybridMultilevel"/>
    <w:tmpl w:val="C518ABF6"/>
    <w:lvl w:ilvl="0" w:tplc="132E271C">
      <w:start w:val="1"/>
      <w:numFmt w:val="decimal"/>
      <w:lvlText w:val="%1"/>
      <w:lvlJc w:val="left"/>
    </w:lvl>
    <w:lvl w:ilvl="1" w:tplc="E208FB04">
      <w:numFmt w:val="decimal"/>
      <w:lvlText w:val=""/>
      <w:lvlJc w:val="left"/>
    </w:lvl>
    <w:lvl w:ilvl="2" w:tplc="90A69B22">
      <w:numFmt w:val="decimal"/>
      <w:lvlText w:val=""/>
      <w:lvlJc w:val="left"/>
    </w:lvl>
    <w:lvl w:ilvl="3" w:tplc="DBF02CAA">
      <w:numFmt w:val="decimal"/>
      <w:lvlText w:val=""/>
      <w:lvlJc w:val="left"/>
    </w:lvl>
    <w:lvl w:ilvl="4" w:tplc="BB263AD4">
      <w:numFmt w:val="decimal"/>
      <w:lvlText w:val=""/>
      <w:lvlJc w:val="left"/>
    </w:lvl>
    <w:lvl w:ilvl="5" w:tplc="4DBA3932">
      <w:numFmt w:val="decimal"/>
      <w:lvlText w:val=""/>
      <w:lvlJc w:val="left"/>
    </w:lvl>
    <w:lvl w:ilvl="6" w:tplc="9D0A3052">
      <w:numFmt w:val="decimal"/>
      <w:lvlText w:val=""/>
      <w:lvlJc w:val="left"/>
    </w:lvl>
    <w:lvl w:ilvl="7" w:tplc="20BC33BC">
      <w:numFmt w:val="decimal"/>
      <w:lvlText w:val=""/>
      <w:lvlJc w:val="left"/>
    </w:lvl>
    <w:lvl w:ilvl="8" w:tplc="3C448FE0">
      <w:numFmt w:val="decimal"/>
      <w:lvlText w:val=""/>
      <w:lvlJc w:val="left"/>
    </w:lvl>
  </w:abstractNum>
  <w:abstractNum w:abstractNumId="43">
    <w:nsid w:val="66EF438D"/>
    <w:multiLevelType w:val="hybridMultilevel"/>
    <w:tmpl w:val="9EAA7C1E"/>
    <w:lvl w:ilvl="0" w:tplc="95D82E8C">
      <w:start w:val="16"/>
      <w:numFmt w:val="decimal"/>
      <w:lvlText w:val="%1"/>
      <w:lvlJc w:val="left"/>
    </w:lvl>
    <w:lvl w:ilvl="1" w:tplc="15723B82">
      <w:numFmt w:val="decimal"/>
      <w:lvlText w:val=""/>
      <w:lvlJc w:val="left"/>
    </w:lvl>
    <w:lvl w:ilvl="2" w:tplc="367A5BC8">
      <w:numFmt w:val="decimal"/>
      <w:lvlText w:val=""/>
      <w:lvlJc w:val="left"/>
    </w:lvl>
    <w:lvl w:ilvl="3" w:tplc="802CB190">
      <w:numFmt w:val="decimal"/>
      <w:lvlText w:val=""/>
      <w:lvlJc w:val="left"/>
    </w:lvl>
    <w:lvl w:ilvl="4" w:tplc="7C34597C">
      <w:numFmt w:val="decimal"/>
      <w:lvlText w:val=""/>
      <w:lvlJc w:val="left"/>
    </w:lvl>
    <w:lvl w:ilvl="5" w:tplc="7C52CABC">
      <w:numFmt w:val="decimal"/>
      <w:lvlText w:val=""/>
      <w:lvlJc w:val="left"/>
    </w:lvl>
    <w:lvl w:ilvl="6" w:tplc="13863F54">
      <w:numFmt w:val="decimal"/>
      <w:lvlText w:val=""/>
      <w:lvlJc w:val="left"/>
    </w:lvl>
    <w:lvl w:ilvl="7" w:tplc="C6D2F996">
      <w:numFmt w:val="decimal"/>
      <w:lvlText w:val=""/>
      <w:lvlJc w:val="left"/>
    </w:lvl>
    <w:lvl w:ilvl="8" w:tplc="BA0C1122">
      <w:numFmt w:val="decimal"/>
      <w:lvlText w:val=""/>
      <w:lvlJc w:val="left"/>
    </w:lvl>
  </w:abstractNum>
  <w:abstractNum w:abstractNumId="44">
    <w:nsid w:val="6B68079A"/>
    <w:multiLevelType w:val="hybridMultilevel"/>
    <w:tmpl w:val="372E42FC"/>
    <w:lvl w:ilvl="0" w:tplc="31E2F5F8">
      <w:start w:val="33"/>
      <w:numFmt w:val="decimal"/>
      <w:lvlText w:val="%1"/>
      <w:lvlJc w:val="left"/>
    </w:lvl>
    <w:lvl w:ilvl="1" w:tplc="DD082F2A">
      <w:numFmt w:val="decimal"/>
      <w:lvlText w:val=""/>
      <w:lvlJc w:val="left"/>
    </w:lvl>
    <w:lvl w:ilvl="2" w:tplc="EE34CEFC">
      <w:numFmt w:val="decimal"/>
      <w:lvlText w:val=""/>
      <w:lvlJc w:val="left"/>
    </w:lvl>
    <w:lvl w:ilvl="3" w:tplc="2ABA955E">
      <w:numFmt w:val="decimal"/>
      <w:lvlText w:val=""/>
      <w:lvlJc w:val="left"/>
    </w:lvl>
    <w:lvl w:ilvl="4" w:tplc="E5CEACCC">
      <w:numFmt w:val="decimal"/>
      <w:lvlText w:val=""/>
      <w:lvlJc w:val="left"/>
    </w:lvl>
    <w:lvl w:ilvl="5" w:tplc="A16E9D42">
      <w:numFmt w:val="decimal"/>
      <w:lvlText w:val=""/>
      <w:lvlJc w:val="left"/>
    </w:lvl>
    <w:lvl w:ilvl="6" w:tplc="743A4496">
      <w:numFmt w:val="decimal"/>
      <w:lvlText w:val=""/>
      <w:lvlJc w:val="left"/>
    </w:lvl>
    <w:lvl w:ilvl="7" w:tplc="9710C49E">
      <w:numFmt w:val="decimal"/>
      <w:lvlText w:val=""/>
      <w:lvlJc w:val="left"/>
    </w:lvl>
    <w:lvl w:ilvl="8" w:tplc="5F3CF9FE">
      <w:numFmt w:val="decimal"/>
      <w:lvlText w:val=""/>
      <w:lvlJc w:val="left"/>
    </w:lvl>
  </w:abstractNum>
  <w:abstractNum w:abstractNumId="45">
    <w:nsid w:val="6E4F0FC2"/>
    <w:multiLevelType w:val="hybridMultilevel"/>
    <w:tmpl w:val="63FE5E9A"/>
    <w:lvl w:ilvl="0" w:tplc="134CA2EC">
      <w:start w:val="1"/>
      <w:numFmt w:val="bullet"/>
      <w:lvlText w:val=""/>
      <w:lvlJc w:val="left"/>
      <w:pPr>
        <w:ind w:left="720" w:hanging="360"/>
      </w:pPr>
      <w:rPr>
        <w:rFonts w:ascii="Symbol" w:hAnsi="Symbol" w:hint="default"/>
      </w:rPr>
    </w:lvl>
    <w:lvl w:ilvl="1" w:tplc="A464267C" w:tentative="1">
      <w:start w:val="1"/>
      <w:numFmt w:val="bullet"/>
      <w:lvlText w:val="o"/>
      <w:lvlJc w:val="left"/>
      <w:pPr>
        <w:ind w:left="1440" w:hanging="360"/>
      </w:pPr>
      <w:rPr>
        <w:rFonts w:ascii="Courier New" w:hAnsi="Courier New" w:cs="Courier New" w:hint="default"/>
      </w:rPr>
    </w:lvl>
    <w:lvl w:ilvl="2" w:tplc="BBCC280E" w:tentative="1">
      <w:start w:val="1"/>
      <w:numFmt w:val="bullet"/>
      <w:lvlText w:val=""/>
      <w:lvlJc w:val="left"/>
      <w:pPr>
        <w:ind w:left="2160" w:hanging="360"/>
      </w:pPr>
      <w:rPr>
        <w:rFonts w:ascii="Wingdings" w:hAnsi="Wingdings" w:hint="default"/>
      </w:rPr>
    </w:lvl>
    <w:lvl w:ilvl="3" w:tplc="09D4759C" w:tentative="1">
      <w:start w:val="1"/>
      <w:numFmt w:val="bullet"/>
      <w:lvlText w:val=""/>
      <w:lvlJc w:val="left"/>
      <w:pPr>
        <w:ind w:left="2880" w:hanging="360"/>
      </w:pPr>
      <w:rPr>
        <w:rFonts w:ascii="Symbol" w:hAnsi="Symbol" w:hint="default"/>
      </w:rPr>
    </w:lvl>
    <w:lvl w:ilvl="4" w:tplc="4852EB74" w:tentative="1">
      <w:start w:val="1"/>
      <w:numFmt w:val="bullet"/>
      <w:lvlText w:val="o"/>
      <w:lvlJc w:val="left"/>
      <w:pPr>
        <w:ind w:left="3600" w:hanging="360"/>
      </w:pPr>
      <w:rPr>
        <w:rFonts w:ascii="Courier New" w:hAnsi="Courier New" w:cs="Courier New" w:hint="default"/>
      </w:rPr>
    </w:lvl>
    <w:lvl w:ilvl="5" w:tplc="74848C78" w:tentative="1">
      <w:start w:val="1"/>
      <w:numFmt w:val="bullet"/>
      <w:lvlText w:val=""/>
      <w:lvlJc w:val="left"/>
      <w:pPr>
        <w:ind w:left="4320" w:hanging="360"/>
      </w:pPr>
      <w:rPr>
        <w:rFonts w:ascii="Wingdings" w:hAnsi="Wingdings" w:hint="default"/>
      </w:rPr>
    </w:lvl>
    <w:lvl w:ilvl="6" w:tplc="8182C5F8" w:tentative="1">
      <w:start w:val="1"/>
      <w:numFmt w:val="bullet"/>
      <w:lvlText w:val=""/>
      <w:lvlJc w:val="left"/>
      <w:pPr>
        <w:ind w:left="5040" w:hanging="360"/>
      </w:pPr>
      <w:rPr>
        <w:rFonts w:ascii="Symbol" w:hAnsi="Symbol" w:hint="default"/>
      </w:rPr>
    </w:lvl>
    <w:lvl w:ilvl="7" w:tplc="57584FCE" w:tentative="1">
      <w:start w:val="1"/>
      <w:numFmt w:val="bullet"/>
      <w:lvlText w:val="o"/>
      <w:lvlJc w:val="left"/>
      <w:pPr>
        <w:ind w:left="5760" w:hanging="360"/>
      </w:pPr>
      <w:rPr>
        <w:rFonts w:ascii="Courier New" w:hAnsi="Courier New" w:cs="Courier New" w:hint="default"/>
      </w:rPr>
    </w:lvl>
    <w:lvl w:ilvl="8" w:tplc="E116AF94" w:tentative="1">
      <w:start w:val="1"/>
      <w:numFmt w:val="bullet"/>
      <w:lvlText w:val=""/>
      <w:lvlJc w:val="left"/>
      <w:pPr>
        <w:ind w:left="6480" w:hanging="360"/>
      </w:pPr>
      <w:rPr>
        <w:rFonts w:ascii="Wingdings" w:hAnsi="Wingdings" w:hint="default"/>
      </w:rPr>
    </w:lvl>
  </w:abstractNum>
  <w:abstractNum w:abstractNumId="46">
    <w:nsid w:val="6FE04497"/>
    <w:multiLevelType w:val="hybridMultilevel"/>
    <w:tmpl w:val="059CB224"/>
    <w:lvl w:ilvl="0" w:tplc="60E46286">
      <w:start w:val="1"/>
      <w:numFmt w:val="decimal"/>
      <w:lvlText w:val="%1"/>
      <w:lvlJc w:val="left"/>
      <w:pPr>
        <w:ind w:left="720" w:hanging="360"/>
      </w:pPr>
      <w:rPr>
        <w:rFonts w:hint="default"/>
        <w:sz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4B0DC51"/>
    <w:multiLevelType w:val="hybridMultilevel"/>
    <w:tmpl w:val="BA608BF2"/>
    <w:lvl w:ilvl="0" w:tplc="04160001">
      <w:start w:val="1"/>
      <w:numFmt w:val="decimal"/>
      <w:lvlText w:val="%1."/>
      <w:lvlJc w:val="left"/>
    </w:lvl>
    <w:lvl w:ilvl="1" w:tplc="04160003">
      <w:numFmt w:val="decimal"/>
      <w:lvlText w:val=""/>
      <w:lvlJc w:val="left"/>
    </w:lvl>
    <w:lvl w:ilvl="2" w:tplc="04160005">
      <w:numFmt w:val="decimal"/>
      <w:lvlText w:val=""/>
      <w:lvlJc w:val="left"/>
    </w:lvl>
    <w:lvl w:ilvl="3" w:tplc="04160001">
      <w:numFmt w:val="decimal"/>
      <w:lvlText w:val=""/>
      <w:lvlJc w:val="left"/>
    </w:lvl>
    <w:lvl w:ilvl="4" w:tplc="04160003">
      <w:numFmt w:val="decimal"/>
      <w:lvlText w:val=""/>
      <w:lvlJc w:val="left"/>
    </w:lvl>
    <w:lvl w:ilvl="5" w:tplc="04160005">
      <w:numFmt w:val="decimal"/>
      <w:lvlText w:val=""/>
      <w:lvlJc w:val="left"/>
    </w:lvl>
    <w:lvl w:ilvl="6" w:tplc="04160001">
      <w:numFmt w:val="decimal"/>
      <w:lvlText w:val=""/>
      <w:lvlJc w:val="left"/>
    </w:lvl>
    <w:lvl w:ilvl="7" w:tplc="04160003">
      <w:numFmt w:val="decimal"/>
      <w:lvlText w:val=""/>
      <w:lvlJc w:val="left"/>
    </w:lvl>
    <w:lvl w:ilvl="8" w:tplc="04160005">
      <w:numFmt w:val="decimal"/>
      <w:lvlText w:val=""/>
      <w:lvlJc w:val="left"/>
    </w:lvl>
  </w:abstractNum>
  <w:abstractNum w:abstractNumId="48">
    <w:nsid w:val="7545E146"/>
    <w:multiLevelType w:val="hybridMultilevel"/>
    <w:tmpl w:val="D420730E"/>
    <w:lvl w:ilvl="0" w:tplc="63AAC64C">
      <w:start w:val="1"/>
      <w:numFmt w:val="decimal"/>
      <w:lvlText w:val="(%1)"/>
      <w:lvlJc w:val="left"/>
    </w:lvl>
    <w:lvl w:ilvl="1" w:tplc="E530ED4A">
      <w:numFmt w:val="decimal"/>
      <w:lvlText w:val=""/>
      <w:lvlJc w:val="left"/>
    </w:lvl>
    <w:lvl w:ilvl="2" w:tplc="EFDC80B4">
      <w:numFmt w:val="decimal"/>
      <w:lvlText w:val=""/>
      <w:lvlJc w:val="left"/>
    </w:lvl>
    <w:lvl w:ilvl="3" w:tplc="DF7AE862">
      <w:numFmt w:val="decimal"/>
      <w:lvlText w:val=""/>
      <w:lvlJc w:val="left"/>
    </w:lvl>
    <w:lvl w:ilvl="4" w:tplc="9F80770C">
      <w:numFmt w:val="decimal"/>
      <w:lvlText w:val=""/>
      <w:lvlJc w:val="left"/>
    </w:lvl>
    <w:lvl w:ilvl="5" w:tplc="88800852">
      <w:numFmt w:val="decimal"/>
      <w:lvlText w:val=""/>
      <w:lvlJc w:val="left"/>
    </w:lvl>
    <w:lvl w:ilvl="6" w:tplc="77F44DF0">
      <w:numFmt w:val="decimal"/>
      <w:lvlText w:val=""/>
      <w:lvlJc w:val="left"/>
    </w:lvl>
    <w:lvl w:ilvl="7" w:tplc="7CC63D6E">
      <w:numFmt w:val="decimal"/>
      <w:lvlText w:val=""/>
      <w:lvlJc w:val="left"/>
    </w:lvl>
    <w:lvl w:ilvl="8" w:tplc="0F801C18">
      <w:numFmt w:val="decimal"/>
      <w:lvlText w:val=""/>
      <w:lvlJc w:val="left"/>
    </w:lvl>
  </w:abstractNum>
  <w:abstractNum w:abstractNumId="49">
    <w:nsid w:val="79E2A9E3"/>
    <w:multiLevelType w:val="hybridMultilevel"/>
    <w:tmpl w:val="95C416A2"/>
    <w:lvl w:ilvl="0" w:tplc="0416000F">
      <w:start w:val="6"/>
      <w:numFmt w:val="decimal"/>
      <w:lvlText w:val="(%1)"/>
      <w:lvlJc w:val="left"/>
    </w:lvl>
    <w:lvl w:ilvl="1" w:tplc="04160019">
      <w:numFmt w:val="decimal"/>
      <w:lvlText w:val=""/>
      <w:lvlJc w:val="left"/>
    </w:lvl>
    <w:lvl w:ilvl="2" w:tplc="0416001B">
      <w:numFmt w:val="decimal"/>
      <w:lvlText w:val=""/>
      <w:lvlJc w:val="left"/>
    </w:lvl>
    <w:lvl w:ilvl="3" w:tplc="0416000F">
      <w:numFmt w:val="decimal"/>
      <w:lvlText w:val=""/>
      <w:lvlJc w:val="left"/>
    </w:lvl>
    <w:lvl w:ilvl="4" w:tplc="04160019">
      <w:numFmt w:val="decimal"/>
      <w:lvlText w:val=""/>
      <w:lvlJc w:val="left"/>
    </w:lvl>
    <w:lvl w:ilvl="5" w:tplc="0416001B">
      <w:numFmt w:val="decimal"/>
      <w:lvlText w:val=""/>
      <w:lvlJc w:val="left"/>
    </w:lvl>
    <w:lvl w:ilvl="6" w:tplc="0416000F">
      <w:numFmt w:val="decimal"/>
      <w:lvlText w:val=""/>
      <w:lvlJc w:val="left"/>
    </w:lvl>
    <w:lvl w:ilvl="7" w:tplc="04160019">
      <w:numFmt w:val="decimal"/>
      <w:lvlText w:val=""/>
      <w:lvlJc w:val="left"/>
    </w:lvl>
    <w:lvl w:ilvl="8" w:tplc="0416001B">
      <w:numFmt w:val="decimal"/>
      <w:lvlText w:val=""/>
      <w:lvlJc w:val="left"/>
    </w:lvl>
  </w:abstractNum>
  <w:abstractNum w:abstractNumId="50">
    <w:nsid w:val="7C4F29B9"/>
    <w:multiLevelType w:val="hybridMultilevel"/>
    <w:tmpl w:val="C9E85922"/>
    <w:lvl w:ilvl="0" w:tplc="5C7A4A50">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upperRoman"/>
      <w:lvlText w:val="%4)"/>
      <w:lvlJc w:val="left"/>
      <w:pPr>
        <w:ind w:left="2880" w:hanging="360"/>
      </w:pPr>
      <w:rPr>
        <w:rFonts w:ascii="Arial" w:eastAsia="Calibri" w:hAnsi="Arial" w:cs="Arial"/>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FDCC233"/>
    <w:multiLevelType w:val="hybridMultilevel"/>
    <w:tmpl w:val="D8F01326"/>
    <w:lvl w:ilvl="0" w:tplc="04160013">
      <w:start w:val="1"/>
      <w:numFmt w:val="lowerLetter"/>
      <w:lvlText w:val="%1)"/>
      <w:lvlJc w:val="left"/>
    </w:lvl>
    <w:lvl w:ilvl="1" w:tplc="04160019">
      <w:start w:val="6"/>
      <w:numFmt w:val="lowerLetter"/>
      <w:lvlText w:val="%2)"/>
      <w:lvlJc w:val="left"/>
    </w:lvl>
    <w:lvl w:ilvl="2" w:tplc="0416001B">
      <w:numFmt w:val="decimal"/>
      <w:lvlText w:val=""/>
      <w:lvlJc w:val="left"/>
    </w:lvl>
    <w:lvl w:ilvl="3" w:tplc="FF0ADAA2">
      <w:numFmt w:val="decimal"/>
      <w:lvlText w:val=""/>
      <w:lvlJc w:val="left"/>
    </w:lvl>
    <w:lvl w:ilvl="4" w:tplc="04160019">
      <w:numFmt w:val="decimal"/>
      <w:lvlText w:val=""/>
      <w:lvlJc w:val="left"/>
    </w:lvl>
    <w:lvl w:ilvl="5" w:tplc="0416001B">
      <w:numFmt w:val="decimal"/>
      <w:lvlText w:val=""/>
      <w:lvlJc w:val="left"/>
    </w:lvl>
    <w:lvl w:ilvl="6" w:tplc="0416000F">
      <w:numFmt w:val="decimal"/>
      <w:lvlText w:val=""/>
      <w:lvlJc w:val="left"/>
    </w:lvl>
    <w:lvl w:ilvl="7" w:tplc="04160019">
      <w:numFmt w:val="decimal"/>
      <w:lvlText w:val=""/>
      <w:lvlJc w:val="left"/>
    </w:lvl>
    <w:lvl w:ilvl="8" w:tplc="0416001B">
      <w:numFmt w:val="decimal"/>
      <w:lvlText w:val=""/>
      <w:lvlJc w:val="left"/>
    </w:lvl>
  </w:abstractNum>
  <w:num w:numId="1">
    <w:abstractNumId w:val="42"/>
  </w:num>
  <w:num w:numId="2">
    <w:abstractNumId w:val="47"/>
  </w:num>
  <w:num w:numId="3">
    <w:abstractNumId w:val="12"/>
  </w:num>
  <w:num w:numId="4">
    <w:abstractNumId w:val="32"/>
  </w:num>
  <w:num w:numId="5">
    <w:abstractNumId w:val="14"/>
  </w:num>
  <w:num w:numId="6">
    <w:abstractNumId w:val="6"/>
  </w:num>
  <w:num w:numId="7">
    <w:abstractNumId w:val="51"/>
  </w:num>
  <w:num w:numId="8">
    <w:abstractNumId w:val="13"/>
  </w:num>
  <w:num w:numId="9">
    <w:abstractNumId w:val="19"/>
  </w:num>
  <w:num w:numId="10">
    <w:abstractNumId w:val="0"/>
  </w:num>
  <w:num w:numId="11">
    <w:abstractNumId w:val="41"/>
  </w:num>
  <w:num w:numId="12">
    <w:abstractNumId w:val="1"/>
  </w:num>
  <w:num w:numId="13">
    <w:abstractNumId w:val="2"/>
  </w:num>
  <w:num w:numId="14">
    <w:abstractNumId w:val="34"/>
  </w:num>
  <w:num w:numId="15">
    <w:abstractNumId w:val="37"/>
  </w:num>
  <w:num w:numId="16">
    <w:abstractNumId w:val="50"/>
  </w:num>
  <w:num w:numId="17">
    <w:abstractNumId w:val="8"/>
  </w:num>
  <w:num w:numId="18">
    <w:abstractNumId w:val="10"/>
  </w:num>
  <w:num w:numId="19">
    <w:abstractNumId w:val="26"/>
  </w:num>
  <w:num w:numId="20">
    <w:abstractNumId w:val="25"/>
  </w:num>
  <w:num w:numId="21">
    <w:abstractNumId w:val="49"/>
  </w:num>
  <w:num w:numId="22">
    <w:abstractNumId w:val="48"/>
  </w:num>
  <w:num w:numId="23">
    <w:abstractNumId w:val="30"/>
  </w:num>
  <w:num w:numId="24">
    <w:abstractNumId w:val="35"/>
  </w:num>
  <w:num w:numId="25">
    <w:abstractNumId w:val="7"/>
  </w:num>
  <w:num w:numId="26">
    <w:abstractNumId w:val="27"/>
  </w:num>
  <w:num w:numId="27">
    <w:abstractNumId w:val="3"/>
  </w:num>
  <w:num w:numId="28">
    <w:abstractNumId w:val="43"/>
  </w:num>
  <w:num w:numId="29">
    <w:abstractNumId w:val="9"/>
  </w:num>
  <w:num w:numId="30">
    <w:abstractNumId w:val="20"/>
  </w:num>
  <w:num w:numId="31">
    <w:abstractNumId w:val="5"/>
  </w:num>
  <w:num w:numId="32">
    <w:abstractNumId w:val="4"/>
  </w:num>
  <w:num w:numId="33">
    <w:abstractNumId w:val="24"/>
  </w:num>
  <w:num w:numId="34">
    <w:abstractNumId w:val="44"/>
  </w:num>
  <w:num w:numId="35">
    <w:abstractNumId w:val="28"/>
  </w:num>
  <w:num w:numId="36">
    <w:abstractNumId w:val="16"/>
  </w:num>
  <w:num w:numId="37">
    <w:abstractNumId w:val="31"/>
  </w:num>
  <w:num w:numId="38">
    <w:abstractNumId w:val="22"/>
  </w:num>
  <w:num w:numId="39">
    <w:abstractNumId w:val="45"/>
  </w:num>
  <w:num w:numId="40">
    <w:abstractNumId w:val="23"/>
  </w:num>
  <w:num w:numId="41">
    <w:abstractNumId w:val="33"/>
  </w:num>
  <w:num w:numId="42">
    <w:abstractNumId w:val="40"/>
  </w:num>
  <w:num w:numId="43">
    <w:abstractNumId w:val="18"/>
  </w:num>
  <w:num w:numId="44">
    <w:abstractNumId w:val="17"/>
  </w:num>
  <w:num w:numId="45">
    <w:abstractNumId w:val="39"/>
  </w:num>
  <w:num w:numId="46">
    <w:abstractNumId w:val="15"/>
  </w:num>
  <w:num w:numId="47">
    <w:abstractNumId w:val="21"/>
  </w:num>
  <w:num w:numId="48">
    <w:abstractNumId w:val="29"/>
  </w:num>
  <w:num w:numId="49">
    <w:abstractNumId w:val="38"/>
  </w:num>
  <w:num w:numId="50">
    <w:abstractNumId w:val="46"/>
  </w:num>
  <w:num w:numId="51">
    <w:abstractNumId w:val="11"/>
  </w:num>
  <w:num w:numId="52">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D6E"/>
    <w:rsid w:val="00013211"/>
    <w:rsid w:val="0003202B"/>
    <w:rsid w:val="00032B1E"/>
    <w:rsid w:val="00055B1B"/>
    <w:rsid w:val="00085E73"/>
    <w:rsid w:val="000B0050"/>
    <w:rsid w:val="000D4E9B"/>
    <w:rsid w:val="00181DC0"/>
    <w:rsid w:val="0018319E"/>
    <w:rsid w:val="001A5786"/>
    <w:rsid w:val="001C5E1D"/>
    <w:rsid w:val="001E0CDF"/>
    <w:rsid w:val="001F03D7"/>
    <w:rsid w:val="001F386E"/>
    <w:rsid w:val="00201DA6"/>
    <w:rsid w:val="00283E5E"/>
    <w:rsid w:val="00291C73"/>
    <w:rsid w:val="00295FC8"/>
    <w:rsid w:val="002E3256"/>
    <w:rsid w:val="00383A08"/>
    <w:rsid w:val="003914ED"/>
    <w:rsid w:val="004659AE"/>
    <w:rsid w:val="00497259"/>
    <w:rsid w:val="004B5D56"/>
    <w:rsid w:val="004D1F03"/>
    <w:rsid w:val="004E0F91"/>
    <w:rsid w:val="004F074A"/>
    <w:rsid w:val="00532078"/>
    <w:rsid w:val="005E55F3"/>
    <w:rsid w:val="005F10AF"/>
    <w:rsid w:val="00644E24"/>
    <w:rsid w:val="00677E6D"/>
    <w:rsid w:val="006812A9"/>
    <w:rsid w:val="00685DFD"/>
    <w:rsid w:val="006A328D"/>
    <w:rsid w:val="006B3861"/>
    <w:rsid w:val="007279C8"/>
    <w:rsid w:val="00771368"/>
    <w:rsid w:val="007918E2"/>
    <w:rsid w:val="007B04EA"/>
    <w:rsid w:val="007C4DF0"/>
    <w:rsid w:val="007E2E73"/>
    <w:rsid w:val="007E37A5"/>
    <w:rsid w:val="008C2516"/>
    <w:rsid w:val="00905360"/>
    <w:rsid w:val="00983B1C"/>
    <w:rsid w:val="009D5D08"/>
    <w:rsid w:val="009D6D6E"/>
    <w:rsid w:val="009E2DAF"/>
    <w:rsid w:val="009F526A"/>
    <w:rsid w:val="00A01226"/>
    <w:rsid w:val="00A54BAE"/>
    <w:rsid w:val="00A744D6"/>
    <w:rsid w:val="00AF09DE"/>
    <w:rsid w:val="00B12613"/>
    <w:rsid w:val="00B51DEA"/>
    <w:rsid w:val="00B842D8"/>
    <w:rsid w:val="00BA3BAC"/>
    <w:rsid w:val="00C107A5"/>
    <w:rsid w:val="00C36571"/>
    <w:rsid w:val="00D06C4E"/>
    <w:rsid w:val="00D24E61"/>
    <w:rsid w:val="00D509F1"/>
    <w:rsid w:val="00D61223"/>
    <w:rsid w:val="00D63CBC"/>
    <w:rsid w:val="00E13DAC"/>
    <w:rsid w:val="00E25CBB"/>
    <w:rsid w:val="00E3248A"/>
    <w:rsid w:val="00E452AE"/>
    <w:rsid w:val="00E86604"/>
    <w:rsid w:val="00EA38AA"/>
    <w:rsid w:val="00EB1B79"/>
    <w:rsid w:val="00EC0E77"/>
    <w:rsid w:val="00ED7B83"/>
    <w:rsid w:val="00EE013A"/>
    <w:rsid w:val="00EE4410"/>
    <w:rsid w:val="00F11AE6"/>
    <w:rsid w:val="00F14BAD"/>
    <w:rsid w:val="00F84015"/>
    <w:rsid w:val="00FA0A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D6E"/>
  </w:style>
  <w:style w:type="paragraph" w:styleId="Ttulo1">
    <w:name w:val="heading 1"/>
    <w:aliases w:val="Título froes1"/>
    <w:basedOn w:val="Normal"/>
    <w:next w:val="Normal"/>
    <w:link w:val="Ttulo1Char"/>
    <w:uiPriority w:val="9"/>
    <w:qFormat/>
    <w:rsid w:val="001C5E1D"/>
    <w:pPr>
      <w:keepNext/>
      <w:keepLines/>
      <w:suppressAutoHyphens/>
      <w:jc w:val="right"/>
      <w:outlineLvl w:val="0"/>
    </w:pPr>
    <w:rPr>
      <w:bCs/>
      <w:sz w:val="24"/>
      <w:szCs w:val="28"/>
      <w:lang w:eastAsia="ar-SA"/>
    </w:rPr>
  </w:style>
  <w:style w:type="paragraph" w:styleId="Ttulo2">
    <w:name w:val="heading 2"/>
    <w:aliases w:val="Título froes2"/>
    <w:basedOn w:val="Normal"/>
    <w:next w:val="Normal"/>
    <w:link w:val="Ttulo2Char"/>
    <w:uiPriority w:val="9"/>
    <w:qFormat/>
    <w:rsid w:val="00D24E61"/>
    <w:pPr>
      <w:keepNext/>
      <w:keepLines/>
      <w:suppressAutoHyphens/>
      <w:spacing w:line="360" w:lineRule="auto"/>
      <w:jc w:val="both"/>
      <w:outlineLvl w:val="1"/>
    </w:pPr>
    <w:rPr>
      <w:rFonts w:ascii="Arial" w:hAnsi="Arial"/>
      <w:bCs/>
      <w:caps/>
      <w:sz w:val="24"/>
      <w:szCs w:val="26"/>
      <w:lang w:eastAsia="ar-SA"/>
    </w:rPr>
  </w:style>
  <w:style w:type="paragraph" w:styleId="Ttulo3">
    <w:name w:val="heading 3"/>
    <w:basedOn w:val="Normal"/>
    <w:next w:val="Normal"/>
    <w:link w:val="Ttulo3Char"/>
    <w:uiPriority w:val="9"/>
    <w:unhideWhenUsed/>
    <w:qFormat/>
    <w:rsid w:val="00D24E61"/>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har"/>
    <w:uiPriority w:val="9"/>
    <w:unhideWhenUsed/>
    <w:qFormat/>
    <w:rsid w:val="00D24E61"/>
    <w:pPr>
      <w:keepNext/>
      <w:keepLines/>
      <w:spacing w:before="200"/>
      <w:ind w:left="864" w:hanging="864"/>
      <w:jc w:val="both"/>
      <w:outlineLvl w:val="3"/>
    </w:pPr>
    <w:rPr>
      <w:rFonts w:ascii="Cambria" w:hAnsi="Cambria"/>
      <w:b/>
      <w:bCs/>
      <w:i/>
      <w:iCs/>
      <w:color w:val="4F81BD"/>
      <w:sz w:val="24"/>
      <w:lang w:eastAsia="en-US"/>
    </w:rPr>
  </w:style>
  <w:style w:type="paragraph" w:styleId="Ttulo5">
    <w:name w:val="heading 5"/>
    <w:basedOn w:val="Normal"/>
    <w:next w:val="Normal"/>
    <w:link w:val="Ttulo5Char"/>
    <w:uiPriority w:val="9"/>
    <w:semiHidden/>
    <w:unhideWhenUsed/>
    <w:qFormat/>
    <w:rsid w:val="00D24E61"/>
    <w:pPr>
      <w:keepNext/>
      <w:keepLines/>
      <w:spacing w:before="200"/>
      <w:ind w:left="1008" w:hanging="1008"/>
      <w:jc w:val="both"/>
      <w:outlineLvl w:val="4"/>
    </w:pPr>
    <w:rPr>
      <w:rFonts w:ascii="Cambria" w:hAnsi="Cambria"/>
      <w:color w:val="243F60"/>
      <w:sz w:val="24"/>
      <w:lang w:eastAsia="en-US"/>
    </w:rPr>
  </w:style>
  <w:style w:type="paragraph" w:styleId="Ttulo6">
    <w:name w:val="heading 6"/>
    <w:basedOn w:val="Normal"/>
    <w:next w:val="Normal"/>
    <w:link w:val="Ttulo6Char"/>
    <w:unhideWhenUsed/>
    <w:qFormat/>
    <w:rsid w:val="00D24E61"/>
    <w:pPr>
      <w:keepNext/>
      <w:keepLines/>
      <w:spacing w:before="200"/>
      <w:ind w:left="1152" w:hanging="1152"/>
      <w:jc w:val="both"/>
      <w:outlineLvl w:val="5"/>
    </w:pPr>
    <w:rPr>
      <w:rFonts w:ascii="Cambria" w:hAnsi="Cambria"/>
      <w:i/>
      <w:iCs/>
      <w:color w:val="243F60"/>
      <w:sz w:val="24"/>
      <w:lang w:eastAsia="en-US"/>
    </w:rPr>
  </w:style>
  <w:style w:type="paragraph" w:styleId="Ttulo7">
    <w:name w:val="heading 7"/>
    <w:basedOn w:val="Normal"/>
    <w:next w:val="Normal"/>
    <w:link w:val="Ttulo7Char"/>
    <w:uiPriority w:val="9"/>
    <w:semiHidden/>
    <w:unhideWhenUsed/>
    <w:qFormat/>
    <w:rsid w:val="00D24E61"/>
    <w:pPr>
      <w:keepNext/>
      <w:keepLines/>
      <w:spacing w:before="200"/>
      <w:ind w:left="1296" w:hanging="1296"/>
      <w:jc w:val="both"/>
      <w:outlineLvl w:val="6"/>
    </w:pPr>
    <w:rPr>
      <w:rFonts w:ascii="Cambria" w:hAnsi="Cambria"/>
      <w:i/>
      <w:iCs/>
      <w:color w:val="404040"/>
      <w:sz w:val="24"/>
      <w:lang w:eastAsia="en-US"/>
    </w:rPr>
  </w:style>
  <w:style w:type="paragraph" w:styleId="Ttulo8">
    <w:name w:val="heading 8"/>
    <w:basedOn w:val="Normal"/>
    <w:next w:val="Normal"/>
    <w:link w:val="Ttulo8Char"/>
    <w:uiPriority w:val="9"/>
    <w:semiHidden/>
    <w:unhideWhenUsed/>
    <w:qFormat/>
    <w:rsid w:val="00D24E61"/>
    <w:pPr>
      <w:keepNext/>
      <w:keepLines/>
      <w:spacing w:before="200"/>
      <w:ind w:left="1440" w:hanging="1440"/>
      <w:jc w:val="both"/>
      <w:outlineLvl w:val="7"/>
    </w:pPr>
    <w:rPr>
      <w:rFonts w:ascii="Cambria" w:hAnsi="Cambria"/>
      <w:color w:val="404040"/>
      <w:sz w:val="20"/>
      <w:szCs w:val="20"/>
      <w:lang w:eastAsia="en-US"/>
    </w:rPr>
  </w:style>
  <w:style w:type="paragraph" w:styleId="Ttulo9">
    <w:name w:val="heading 9"/>
    <w:basedOn w:val="Normal"/>
    <w:next w:val="Normal"/>
    <w:link w:val="Ttulo9Char"/>
    <w:uiPriority w:val="9"/>
    <w:semiHidden/>
    <w:unhideWhenUsed/>
    <w:qFormat/>
    <w:rsid w:val="00D24E61"/>
    <w:pPr>
      <w:keepNext/>
      <w:keepLines/>
      <w:spacing w:before="200"/>
      <w:ind w:left="1584" w:hanging="1584"/>
      <w:jc w:val="both"/>
      <w:outlineLvl w:val="8"/>
    </w:pPr>
    <w:rPr>
      <w:rFonts w:ascii="Cambria" w:hAnsi="Cambria"/>
      <w:i/>
      <w:iCs/>
      <w:color w:val="404040"/>
      <w:sz w:val="20"/>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24E61"/>
    <w:rPr>
      <w:color w:val="0000FF" w:themeColor="hyperlink"/>
      <w:u w:val="single"/>
    </w:rPr>
  </w:style>
  <w:style w:type="paragraph" w:styleId="SemEspaamento">
    <w:name w:val="No Spacing"/>
    <w:uiPriority w:val="1"/>
    <w:qFormat/>
    <w:rsid w:val="00D24E61"/>
    <w:rPr>
      <w:rFonts w:ascii="Arial" w:eastAsia="Arial" w:hAnsi="Arial"/>
      <w:lang w:eastAsia="en-US"/>
    </w:rPr>
  </w:style>
  <w:style w:type="paragraph" w:styleId="Textodenotaderodap">
    <w:name w:val="footnote text"/>
    <w:basedOn w:val="Normal"/>
    <w:link w:val="TextodenotaderodapChar"/>
    <w:uiPriority w:val="99"/>
    <w:unhideWhenUsed/>
    <w:rsid w:val="00D24E61"/>
    <w:pPr>
      <w:spacing w:after="200" w:line="276" w:lineRule="auto"/>
      <w:jc w:val="both"/>
    </w:pPr>
    <w:rPr>
      <w:rFonts w:ascii="Calibri" w:eastAsia="Calibri" w:hAnsi="Calibri"/>
      <w:sz w:val="20"/>
      <w:szCs w:val="20"/>
      <w:lang w:eastAsia="en-US"/>
    </w:rPr>
  </w:style>
  <w:style w:type="character" w:customStyle="1" w:styleId="TextodenotaderodapChar">
    <w:name w:val="Texto de nota de rodapé Char"/>
    <w:basedOn w:val="Fontepargpadro"/>
    <w:link w:val="Textodenotaderodap"/>
    <w:uiPriority w:val="99"/>
    <w:rsid w:val="00D24E61"/>
    <w:rPr>
      <w:rFonts w:ascii="Calibri" w:eastAsia="Calibri" w:hAnsi="Calibri"/>
      <w:sz w:val="20"/>
      <w:szCs w:val="20"/>
      <w:lang w:eastAsia="en-US"/>
    </w:rPr>
  </w:style>
  <w:style w:type="character" w:styleId="Refdenotaderodap">
    <w:name w:val="footnote reference"/>
    <w:uiPriority w:val="99"/>
    <w:unhideWhenUsed/>
    <w:rsid w:val="00D24E61"/>
    <w:rPr>
      <w:vertAlign w:val="superscript"/>
    </w:rPr>
  </w:style>
  <w:style w:type="character" w:customStyle="1" w:styleId="apple-converted-space">
    <w:name w:val="apple-converted-space"/>
    <w:basedOn w:val="Fontepargpadro"/>
    <w:rsid w:val="00D24E61"/>
  </w:style>
  <w:style w:type="paragraph" w:styleId="Cabealho">
    <w:name w:val="header"/>
    <w:basedOn w:val="Normal"/>
    <w:link w:val="CabealhoChar"/>
    <w:uiPriority w:val="99"/>
    <w:unhideWhenUsed/>
    <w:rsid w:val="00D24E61"/>
    <w:pPr>
      <w:tabs>
        <w:tab w:val="center" w:pos="4252"/>
        <w:tab w:val="right" w:pos="8504"/>
      </w:tabs>
      <w:jc w:val="both"/>
    </w:pPr>
    <w:rPr>
      <w:rFonts w:ascii="Calibri" w:eastAsia="Calibri" w:hAnsi="Calibri"/>
      <w:lang w:eastAsia="en-US"/>
    </w:rPr>
  </w:style>
  <w:style w:type="character" w:customStyle="1" w:styleId="CabealhoChar">
    <w:name w:val="Cabeçalho Char"/>
    <w:basedOn w:val="Fontepargpadro"/>
    <w:link w:val="Cabealho"/>
    <w:uiPriority w:val="99"/>
    <w:rsid w:val="00D24E61"/>
    <w:rPr>
      <w:rFonts w:ascii="Calibri" w:eastAsia="Calibri" w:hAnsi="Calibri"/>
      <w:lang w:eastAsia="en-US"/>
    </w:rPr>
  </w:style>
  <w:style w:type="paragraph" w:styleId="PargrafodaLista">
    <w:name w:val="List Paragraph"/>
    <w:basedOn w:val="Normal"/>
    <w:uiPriority w:val="34"/>
    <w:qFormat/>
    <w:rsid w:val="00D24E61"/>
    <w:pPr>
      <w:spacing w:after="200" w:line="276" w:lineRule="auto"/>
      <w:ind w:left="720"/>
      <w:contextualSpacing/>
      <w:jc w:val="both"/>
    </w:pPr>
    <w:rPr>
      <w:rFonts w:ascii="Calibri" w:eastAsia="Calibri" w:hAnsi="Calibri"/>
      <w:lang w:eastAsia="en-US"/>
    </w:rPr>
  </w:style>
  <w:style w:type="character" w:customStyle="1" w:styleId="Ttulo1Char">
    <w:name w:val="Título 1 Char"/>
    <w:aliases w:val="Título froes1 Char"/>
    <w:basedOn w:val="Fontepargpadro"/>
    <w:link w:val="Ttulo1"/>
    <w:rsid w:val="001C5E1D"/>
    <w:rPr>
      <w:bCs/>
      <w:sz w:val="24"/>
      <w:szCs w:val="28"/>
      <w:lang w:eastAsia="ar-SA"/>
    </w:rPr>
  </w:style>
  <w:style w:type="character" w:customStyle="1" w:styleId="Ttulo2Char">
    <w:name w:val="Título 2 Char"/>
    <w:aliases w:val="Título froes2 Char"/>
    <w:basedOn w:val="Fontepargpadro"/>
    <w:link w:val="Ttulo2"/>
    <w:uiPriority w:val="9"/>
    <w:rsid w:val="00D24E61"/>
    <w:rPr>
      <w:rFonts w:ascii="Arial" w:hAnsi="Arial"/>
      <w:bCs/>
      <w:caps/>
      <w:sz w:val="24"/>
      <w:szCs w:val="26"/>
      <w:lang w:eastAsia="ar-SA"/>
    </w:rPr>
  </w:style>
  <w:style w:type="character" w:customStyle="1" w:styleId="Caracteresdenotaderodap">
    <w:name w:val="Caracteres de nota de rodapé"/>
    <w:rsid w:val="00D24E61"/>
    <w:rPr>
      <w:vertAlign w:val="superscript"/>
    </w:rPr>
  </w:style>
  <w:style w:type="character" w:customStyle="1" w:styleId="Refdenotaderodap1">
    <w:name w:val="Ref. de nota de rodapé1"/>
    <w:rsid w:val="00D24E61"/>
    <w:rPr>
      <w:vertAlign w:val="superscript"/>
    </w:rPr>
  </w:style>
  <w:style w:type="paragraph" w:styleId="Ttulo">
    <w:name w:val="Title"/>
    <w:aliases w:val="froes"/>
    <w:basedOn w:val="Normal"/>
    <w:next w:val="Normal"/>
    <w:link w:val="TtuloChar"/>
    <w:uiPriority w:val="10"/>
    <w:qFormat/>
    <w:rsid w:val="00D24E61"/>
    <w:pPr>
      <w:suppressAutoHyphens/>
      <w:spacing w:line="360" w:lineRule="auto"/>
      <w:jc w:val="both"/>
    </w:pPr>
    <w:rPr>
      <w:rFonts w:ascii="Arial" w:hAnsi="Arial"/>
      <w:b/>
      <w:caps/>
      <w:spacing w:val="5"/>
      <w:kern w:val="1"/>
      <w:sz w:val="24"/>
      <w:szCs w:val="52"/>
      <w:lang w:eastAsia="ar-SA"/>
    </w:rPr>
  </w:style>
  <w:style w:type="character" w:customStyle="1" w:styleId="TtuloChar">
    <w:name w:val="Título Char"/>
    <w:aliases w:val="froes Char"/>
    <w:basedOn w:val="Fontepargpadro"/>
    <w:link w:val="Ttulo"/>
    <w:uiPriority w:val="10"/>
    <w:rsid w:val="00D24E61"/>
    <w:rPr>
      <w:rFonts w:ascii="Arial" w:hAnsi="Arial"/>
      <w:b/>
      <w:caps/>
      <w:spacing w:val="5"/>
      <w:kern w:val="1"/>
      <w:sz w:val="24"/>
      <w:szCs w:val="52"/>
      <w:lang w:eastAsia="ar-SA"/>
    </w:rPr>
  </w:style>
  <w:style w:type="paragraph" w:styleId="Citao">
    <w:name w:val="Quote"/>
    <w:basedOn w:val="Normal"/>
    <w:next w:val="Normal"/>
    <w:link w:val="CitaoChar"/>
    <w:qFormat/>
    <w:rsid w:val="00D24E61"/>
    <w:pPr>
      <w:suppressAutoHyphens/>
      <w:spacing w:before="120" w:after="120" w:line="360" w:lineRule="auto"/>
      <w:ind w:firstLine="851"/>
      <w:jc w:val="both"/>
    </w:pPr>
    <w:rPr>
      <w:rFonts w:ascii="Arial" w:eastAsia="Calibri" w:hAnsi="Arial"/>
      <w:i/>
      <w:iCs/>
      <w:color w:val="000000"/>
      <w:sz w:val="24"/>
      <w:lang w:eastAsia="ar-SA"/>
    </w:rPr>
  </w:style>
  <w:style w:type="character" w:customStyle="1" w:styleId="CitaoChar">
    <w:name w:val="Citação Char"/>
    <w:basedOn w:val="Fontepargpadro"/>
    <w:link w:val="Citao"/>
    <w:rsid w:val="00D24E61"/>
    <w:rPr>
      <w:rFonts w:ascii="Arial" w:eastAsia="Calibri" w:hAnsi="Arial"/>
      <w:i/>
      <w:iCs/>
      <w:color w:val="000000"/>
      <w:sz w:val="24"/>
      <w:lang w:eastAsia="ar-SA"/>
    </w:rPr>
  </w:style>
  <w:style w:type="paragraph" w:customStyle="1" w:styleId="citao0">
    <w:name w:val="citação"/>
    <w:basedOn w:val="Citao"/>
    <w:qFormat/>
    <w:rsid w:val="00D24E61"/>
    <w:pPr>
      <w:spacing w:before="0" w:after="0" w:line="240" w:lineRule="auto"/>
      <w:ind w:left="2268" w:firstLine="0"/>
    </w:pPr>
    <w:rPr>
      <w:i w:val="0"/>
      <w:sz w:val="20"/>
    </w:rPr>
  </w:style>
  <w:style w:type="paragraph" w:customStyle="1" w:styleId="NORMAL2">
    <w:name w:val="NORMAL2"/>
    <w:basedOn w:val="Normal"/>
    <w:qFormat/>
    <w:rsid w:val="00D24E61"/>
    <w:pPr>
      <w:suppressAutoHyphens/>
      <w:spacing w:before="200"/>
      <w:ind w:firstLine="709"/>
      <w:jc w:val="both"/>
    </w:pPr>
    <w:rPr>
      <w:rFonts w:ascii="Arial" w:eastAsia="Arial Unicode MS" w:hAnsi="Arial" w:cs="Tahoma"/>
      <w:kern w:val="24"/>
      <w:sz w:val="24"/>
      <w:lang w:eastAsia="ar-SA"/>
    </w:rPr>
  </w:style>
  <w:style w:type="character" w:customStyle="1" w:styleId="hps">
    <w:name w:val="hps"/>
    <w:rsid w:val="00D24E61"/>
  </w:style>
  <w:style w:type="character" w:customStyle="1" w:styleId="atn">
    <w:name w:val="atn"/>
    <w:rsid w:val="00D24E61"/>
  </w:style>
  <w:style w:type="character" w:customStyle="1" w:styleId="Ttulo3Char">
    <w:name w:val="Título 3 Char"/>
    <w:basedOn w:val="Fontepargpadro"/>
    <w:link w:val="Ttulo3"/>
    <w:uiPriority w:val="9"/>
    <w:rsid w:val="00D24E61"/>
    <w:rPr>
      <w:rFonts w:ascii="Cambria" w:hAnsi="Cambria"/>
      <w:b/>
      <w:bCs/>
      <w:sz w:val="26"/>
      <w:szCs w:val="26"/>
      <w:lang w:eastAsia="en-US"/>
    </w:rPr>
  </w:style>
  <w:style w:type="paragraph" w:customStyle="1" w:styleId="membro">
    <w:name w:val="membro"/>
    <w:basedOn w:val="Normal"/>
    <w:rsid w:val="00D24E61"/>
    <w:pPr>
      <w:spacing w:before="100" w:beforeAutospacing="1" w:after="100" w:afterAutospacing="1"/>
    </w:pPr>
    <w:rPr>
      <w:sz w:val="24"/>
      <w:szCs w:val="24"/>
    </w:rPr>
  </w:style>
  <w:style w:type="character" w:styleId="nfase">
    <w:name w:val="Emphasis"/>
    <w:uiPriority w:val="20"/>
    <w:qFormat/>
    <w:rsid w:val="00D24E61"/>
    <w:rPr>
      <w:i/>
      <w:iCs/>
    </w:rPr>
  </w:style>
  <w:style w:type="paragraph" w:styleId="NormalWeb">
    <w:name w:val="Normal (Web)"/>
    <w:basedOn w:val="Normal"/>
    <w:uiPriority w:val="99"/>
    <w:unhideWhenUsed/>
    <w:rsid w:val="00D24E61"/>
    <w:pPr>
      <w:spacing w:before="100" w:beforeAutospacing="1" w:after="100" w:afterAutospacing="1"/>
    </w:pPr>
    <w:rPr>
      <w:sz w:val="24"/>
      <w:szCs w:val="24"/>
    </w:rPr>
  </w:style>
  <w:style w:type="character" w:customStyle="1" w:styleId="apple-style-span">
    <w:name w:val="apple-style-span"/>
    <w:basedOn w:val="Fontepargpadro"/>
    <w:rsid w:val="00D24E61"/>
  </w:style>
  <w:style w:type="character" w:customStyle="1" w:styleId="preto">
    <w:name w:val="preto"/>
    <w:basedOn w:val="Fontepargpadro"/>
    <w:rsid w:val="00D24E61"/>
  </w:style>
  <w:style w:type="paragraph" w:styleId="Corpodetexto">
    <w:name w:val="Body Text"/>
    <w:basedOn w:val="Normal"/>
    <w:link w:val="CorpodetextoChar"/>
    <w:uiPriority w:val="99"/>
    <w:unhideWhenUsed/>
    <w:rsid w:val="00D24E61"/>
    <w:pPr>
      <w:spacing w:before="100" w:beforeAutospacing="1" w:after="100" w:afterAutospacing="1"/>
    </w:pPr>
    <w:rPr>
      <w:sz w:val="24"/>
      <w:szCs w:val="24"/>
    </w:rPr>
  </w:style>
  <w:style w:type="character" w:customStyle="1" w:styleId="CorpodetextoChar">
    <w:name w:val="Corpo de texto Char"/>
    <w:basedOn w:val="Fontepargpadro"/>
    <w:link w:val="Corpodetexto"/>
    <w:uiPriority w:val="99"/>
    <w:rsid w:val="00D24E61"/>
    <w:rPr>
      <w:sz w:val="24"/>
      <w:szCs w:val="24"/>
    </w:rPr>
  </w:style>
  <w:style w:type="paragraph" w:styleId="Rodap">
    <w:name w:val="footer"/>
    <w:basedOn w:val="Normal"/>
    <w:link w:val="RodapChar"/>
    <w:unhideWhenUsed/>
    <w:rsid w:val="00D24E61"/>
    <w:pPr>
      <w:tabs>
        <w:tab w:val="center" w:pos="4252"/>
        <w:tab w:val="right" w:pos="8504"/>
      </w:tabs>
      <w:spacing w:after="200" w:line="276" w:lineRule="auto"/>
    </w:pPr>
    <w:rPr>
      <w:rFonts w:ascii="Calibri" w:eastAsia="Calibri" w:hAnsi="Calibri"/>
      <w:lang w:eastAsia="en-US"/>
    </w:rPr>
  </w:style>
  <w:style w:type="character" w:customStyle="1" w:styleId="RodapChar">
    <w:name w:val="Rodapé Char"/>
    <w:basedOn w:val="Fontepargpadro"/>
    <w:link w:val="Rodap"/>
    <w:uiPriority w:val="99"/>
    <w:rsid w:val="00D24E61"/>
    <w:rPr>
      <w:rFonts w:ascii="Calibri" w:eastAsia="Calibri" w:hAnsi="Calibri"/>
      <w:lang w:eastAsia="en-US"/>
    </w:rPr>
  </w:style>
  <w:style w:type="character" w:customStyle="1" w:styleId="fourgenhighlight">
    <w:name w:val="fourgen_highlight"/>
    <w:basedOn w:val="Fontepargpadro"/>
    <w:rsid w:val="00D24E61"/>
  </w:style>
  <w:style w:type="paragraph" w:customStyle="1" w:styleId="Corpodetexto21">
    <w:name w:val="Corpo de texto 21"/>
    <w:basedOn w:val="Normal"/>
    <w:rsid w:val="00D24E61"/>
    <w:pPr>
      <w:suppressAutoHyphens/>
      <w:overflowPunct w:val="0"/>
      <w:autoSpaceDE w:val="0"/>
      <w:spacing w:line="480" w:lineRule="auto"/>
      <w:textAlignment w:val="baseline"/>
    </w:pPr>
    <w:rPr>
      <w:b/>
      <w:sz w:val="24"/>
      <w:szCs w:val="20"/>
      <w:lang w:eastAsia="ar-SA"/>
    </w:rPr>
  </w:style>
  <w:style w:type="character" w:styleId="Forte">
    <w:name w:val="Strong"/>
    <w:uiPriority w:val="22"/>
    <w:qFormat/>
    <w:rsid w:val="00D24E61"/>
    <w:rPr>
      <w:b/>
      <w:bCs/>
    </w:rPr>
  </w:style>
  <w:style w:type="paragraph" w:styleId="Corpodetexto3">
    <w:name w:val="Body Text 3"/>
    <w:basedOn w:val="Normal"/>
    <w:link w:val="Corpodetexto3Char"/>
    <w:uiPriority w:val="99"/>
    <w:semiHidden/>
    <w:unhideWhenUsed/>
    <w:rsid w:val="00D24E61"/>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uiPriority w:val="99"/>
    <w:semiHidden/>
    <w:rsid w:val="00D24E61"/>
    <w:rPr>
      <w:rFonts w:ascii="Calibri" w:eastAsia="Calibri" w:hAnsi="Calibri"/>
      <w:sz w:val="16"/>
      <w:szCs w:val="16"/>
      <w:lang w:eastAsia="en-US"/>
    </w:rPr>
  </w:style>
  <w:style w:type="character" w:customStyle="1" w:styleId="longtext">
    <w:name w:val="long_text"/>
    <w:basedOn w:val="Fontepargpadro"/>
    <w:rsid w:val="00D24E61"/>
  </w:style>
  <w:style w:type="paragraph" w:styleId="Corpodetexto2">
    <w:name w:val="Body Text 2"/>
    <w:basedOn w:val="Normal"/>
    <w:link w:val="Corpodetexto2Char"/>
    <w:uiPriority w:val="99"/>
    <w:unhideWhenUsed/>
    <w:rsid w:val="00D24E61"/>
    <w:pPr>
      <w:spacing w:after="120" w:line="480" w:lineRule="auto"/>
    </w:pPr>
    <w:rPr>
      <w:sz w:val="24"/>
      <w:szCs w:val="24"/>
    </w:rPr>
  </w:style>
  <w:style w:type="character" w:customStyle="1" w:styleId="Corpodetexto2Char">
    <w:name w:val="Corpo de texto 2 Char"/>
    <w:basedOn w:val="Fontepargpadro"/>
    <w:link w:val="Corpodetexto2"/>
    <w:uiPriority w:val="99"/>
    <w:rsid w:val="00D24E61"/>
    <w:rPr>
      <w:sz w:val="24"/>
      <w:szCs w:val="24"/>
    </w:rPr>
  </w:style>
  <w:style w:type="paragraph" w:styleId="Reviso">
    <w:name w:val="Revision"/>
    <w:hidden/>
    <w:uiPriority w:val="99"/>
    <w:semiHidden/>
    <w:rsid w:val="00D24E61"/>
    <w:rPr>
      <w:rFonts w:ascii="Calibri" w:eastAsia="Calibri" w:hAnsi="Calibri"/>
      <w:lang w:eastAsia="en-US"/>
    </w:rPr>
  </w:style>
  <w:style w:type="paragraph" w:styleId="Textodebalo">
    <w:name w:val="Balloon Text"/>
    <w:basedOn w:val="Normal"/>
    <w:link w:val="TextodebaloChar"/>
    <w:uiPriority w:val="99"/>
    <w:semiHidden/>
    <w:unhideWhenUsed/>
    <w:rsid w:val="00D24E61"/>
    <w:rPr>
      <w:rFonts w:ascii="Tahoma" w:eastAsia="Calibri" w:hAnsi="Tahoma"/>
      <w:sz w:val="16"/>
      <w:szCs w:val="16"/>
      <w:lang w:eastAsia="en-US"/>
    </w:rPr>
  </w:style>
  <w:style w:type="character" w:customStyle="1" w:styleId="TextodebaloChar">
    <w:name w:val="Texto de balão Char"/>
    <w:basedOn w:val="Fontepargpadro"/>
    <w:link w:val="Textodebalo"/>
    <w:uiPriority w:val="99"/>
    <w:semiHidden/>
    <w:rsid w:val="00D24E61"/>
    <w:rPr>
      <w:rFonts w:ascii="Tahoma" w:eastAsia="Calibri" w:hAnsi="Tahoma"/>
      <w:sz w:val="16"/>
      <w:szCs w:val="16"/>
      <w:lang w:eastAsia="en-US"/>
    </w:rPr>
  </w:style>
  <w:style w:type="character" w:styleId="Refdecomentrio">
    <w:name w:val="annotation reference"/>
    <w:uiPriority w:val="99"/>
    <w:semiHidden/>
    <w:unhideWhenUsed/>
    <w:rsid w:val="00D24E61"/>
    <w:rPr>
      <w:sz w:val="16"/>
      <w:szCs w:val="16"/>
    </w:rPr>
  </w:style>
  <w:style w:type="paragraph" w:styleId="Textodecomentrio">
    <w:name w:val="annotation text"/>
    <w:basedOn w:val="Normal"/>
    <w:link w:val="TextodecomentrioChar"/>
    <w:uiPriority w:val="99"/>
    <w:semiHidden/>
    <w:unhideWhenUsed/>
    <w:rsid w:val="00D24E61"/>
    <w:pPr>
      <w:spacing w:after="200" w:line="276" w:lineRule="auto"/>
    </w:pPr>
    <w:rPr>
      <w:rFonts w:ascii="Calibri" w:eastAsia="Calibri" w:hAnsi="Calibri"/>
      <w:sz w:val="20"/>
      <w:szCs w:val="20"/>
      <w:lang w:eastAsia="en-US"/>
    </w:rPr>
  </w:style>
  <w:style w:type="character" w:customStyle="1" w:styleId="TextodecomentrioChar">
    <w:name w:val="Texto de comentário Char"/>
    <w:basedOn w:val="Fontepargpadro"/>
    <w:link w:val="Textodecomentrio"/>
    <w:uiPriority w:val="99"/>
    <w:semiHidden/>
    <w:rsid w:val="00D24E61"/>
    <w:rPr>
      <w:rFonts w:ascii="Calibri" w:eastAsia="Calibri" w:hAnsi="Calibr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D24E61"/>
    <w:rPr>
      <w:b/>
      <w:bCs/>
    </w:rPr>
  </w:style>
  <w:style w:type="character" w:customStyle="1" w:styleId="AssuntodocomentrioChar">
    <w:name w:val="Assunto do comentário Char"/>
    <w:basedOn w:val="TextodecomentrioChar"/>
    <w:link w:val="Assuntodocomentrio"/>
    <w:uiPriority w:val="99"/>
    <w:semiHidden/>
    <w:rsid w:val="00D24E61"/>
    <w:rPr>
      <w:rFonts w:ascii="Calibri" w:eastAsia="Calibri" w:hAnsi="Calibri"/>
      <w:b/>
      <w:bCs/>
      <w:sz w:val="20"/>
      <w:szCs w:val="20"/>
      <w:lang w:eastAsia="en-US"/>
    </w:rPr>
  </w:style>
  <w:style w:type="paragraph" w:customStyle="1" w:styleId="Default">
    <w:name w:val="Default"/>
    <w:rsid w:val="00D24E61"/>
    <w:pPr>
      <w:autoSpaceDE w:val="0"/>
      <w:autoSpaceDN w:val="0"/>
      <w:adjustRightInd w:val="0"/>
    </w:pPr>
    <w:rPr>
      <w:rFonts w:eastAsia="Calibri"/>
      <w:color w:val="000000"/>
      <w:sz w:val="24"/>
      <w:szCs w:val="24"/>
      <w:lang w:eastAsia="en-US"/>
    </w:rPr>
  </w:style>
  <w:style w:type="character" w:customStyle="1" w:styleId="st">
    <w:name w:val="st"/>
    <w:basedOn w:val="Fontepargpadro"/>
    <w:rsid w:val="00D24E61"/>
  </w:style>
  <w:style w:type="paragraph" w:customStyle="1" w:styleId="Noparagraphstyle">
    <w:name w:val="[No paragraph style]"/>
    <w:rsid w:val="00D24E61"/>
    <w:pPr>
      <w:widowControl w:val="0"/>
      <w:autoSpaceDE w:val="0"/>
      <w:autoSpaceDN w:val="0"/>
      <w:adjustRightInd w:val="0"/>
      <w:spacing w:line="288" w:lineRule="auto"/>
      <w:textAlignment w:val="center"/>
    </w:pPr>
    <w:rPr>
      <w:color w:val="000000"/>
      <w:sz w:val="24"/>
      <w:szCs w:val="24"/>
      <w:lang w:val="en-US"/>
    </w:rPr>
  </w:style>
  <w:style w:type="paragraph" w:customStyle="1" w:styleId="western">
    <w:name w:val="western"/>
    <w:basedOn w:val="Normal"/>
    <w:rsid w:val="00D24E61"/>
    <w:pPr>
      <w:spacing w:before="100" w:beforeAutospacing="1" w:after="119"/>
    </w:pPr>
    <w:rPr>
      <w:sz w:val="24"/>
      <w:szCs w:val="24"/>
    </w:rPr>
  </w:style>
  <w:style w:type="paragraph" w:customStyle="1" w:styleId="Pa6">
    <w:name w:val="Pa6"/>
    <w:basedOn w:val="Default"/>
    <w:next w:val="Default"/>
    <w:uiPriority w:val="99"/>
    <w:rsid w:val="00D24E61"/>
    <w:pPr>
      <w:spacing w:line="221" w:lineRule="atLeast"/>
    </w:pPr>
    <w:rPr>
      <w:rFonts w:ascii="Chronicle Text G1" w:hAnsi="Chronicle Text G1"/>
      <w:color w:val="auto"/>
      <w:lang w:eastAsia="pt-BR"/>
    </w:rPr>
  </w:style>
  <w:style w:type="character" w:customStyle="1" w:styleId="A14">
    <w:name w:val="A14"/>
    <w:uiPriority w:val="99"/>
    <w:rsid w:val="00D24E61"/>
    <w:rPr>
      <w:rFonts w:ascii="Chronicle Text G1 Bold" w:hAnsi="Chronicle Text G1 Bold" w:cs="Chronicle Text G1 Bold"/>
      <w:b/>
      <w:bCs/>
      <w:color w:val="000000"/>
      <w:sz w:val="18"/>
      <w:szCs w:val="18"/>
    </w:rPr>
  </w:style>
  <w:style w:type="character" w:customStyle="1" w:styleId="A15">
    <w:name w:val="A15"/>
    <w:uiPriority w:val="99"/>
    <w:rsid w:val="00D24E61"/>
    <w:rPr>
      <w:rFonts w:ascii="Chronicle Text G1 Semi" w:hAnsi="Chronicle Text G1 Semi" w:cs="Chronicle Text G1 Semi"/>
      <w:color w:val="000000"/>
      <w:sz w:val="18"/>
      <w:szCs w:val="18"/>
      <w:u w:val="single"/>
    </w:rPr>
  </w:style>
  <w:style w:type="character" w:customStyle="1" w:styleId="a">
    <w:name w:val="a"/>
    <w:basedOn w:val="Fontepargpadro"/>
    <w:rsid w:val="00D24E61"/>
  </w:style>
  <w:style w:type="paragraph" w:customStyle="1" w:styleId="Standard">
    <w:name w:val="Standard"/>
    <w:rsid w:val="00D24E61"/>
    <w:pPr>
      <w:suppressAutoHyphens/>
      <w:autoSpaceDN w:val="0"/>
      <w:spacing w:after="200" w:line="276" w:lineRule="auto"/>
    </w:pPr>
    <w:rPr>
      <w:rFonts w:ascii="Calibri" w:hAnsi="Calibri" w:cs="F"/>
      <w:kern w:val="3"/>
      <w:lang w:eastAsia="en-US"/>
    </w:rPr>
  </w:style>
  <w:style w:type="paragraph" w:customStyle="1" w:styleId="BNDES">
    <w:name w:val="BNDES"/>
    <w:rsid w:val="00D24E61"/>
    <w:pPr>
      <w:jc w:val="both"/>
    </w:pPr>
    <w:rPr>
      <w:rFonts w:ascii="Arial" w:hAnsi="Arial"/>
      <w:sz w:val="24"/>
      <w:szCs w:val="20"/>
    </w:rPr>
  </w:style>
  <w:style w:type="character" w:customStyle="1" w:styleId="gsa1">
    <w:name w:val="gs_a1"/>
    <w:uiPriority w:val="99"/>
    <w:rsid w:val="00D24E61"/>
    <w:rPr>
      <w:color w:val="008000"/>
    </w:rPr>
  </w:style>
  <w:style w:type="character" w:customStyle="1" w:styleId="x-archive-meta-description">
    <w:name w:val="x-archive-meta-description"/>
    <w:basedOn w:val="Fontepargpadro"/>
    <w:rsid w:val="00D24E61"/>
  </w:style>
  <w:style w:type="paragraph" w:styleId="Textodenotadefim">
    <w:name w:val="endnote text"/>
    <w:basedOn w:val="Normal"/>
    <w:link w:val="TextodenotadefimChar"/>
    <w:unhideWhenUsed/>
    <w:rsid w:val="00D24E61"/>
    <w:rPr>
      <w:rFonts w:ascii="Calibri" w:eastAsia="Calibri" w:hAnsi="Calibri"/>
      <w:sz w:val="20"/>
      <w:szCs w:val="20"/>
      <w:lang w:eastAsia="en-US"/>
    </w:rPr>
  </w:style>
  <w:style w:type="character" w:customStyle="1" w:styleId="TextodenotadefimChar">
    <w:name w:val="Texto de nota de fim Char"/>
    <w:basedOn w:val="Fontepargpadro"/>
    <w:link w:val="Textodenotadefim"/>
    <w:rsid w:val="00D24E61"/>
    <w:rPr>
      <w:rFonts w:ascii="Calibri" w:eastAsia="Calibri" w:hAnsi="Calibri"/>
      <w:sz w:val="20"/>
      <w:szCs w:val="20"/>
      <w:lang w:eastAsia="en-US"/>
    </w:rPr>
  </w:style>
  <w:style w:type="paragraph" w:customStyle="1" w:styleId="FG9autor">
    <w:name w:val="FG9_autor"/>
    <w:basedOn w:val="Normal"/>
    <w:link w:val="FG9autorChar"/>
    <w:rsid w:val="00D24E61"/>
    <w:pPr>
      <w:suppressAutoHyphens/>
      <w:jc w:val="right"/>
    </w:pPr>
    <w:rPr>
      <w:rFonts w:eastAsia="Calibri"/>
      <w:sz w:val="24"/>
      <w:lang w:eastAsia="ar-SA"/>
    </w:rPr>
  </w:style>
  <w:style w:type="character" w:customStyle="1" w:styleId="FG9autorChar">
    <w:name w:val="FG9_autor Char"/>
    <w:link w:val="FG9autor"/>
    <w:rsid w:val="00D24E61"/>
    <w:rPr>
      <w:rFonts w:eastAsia="Calibri"/>
      <w:sz w:val="24"/>
      <w:lang w:eastAsia="ar-SA"/>
    </w:rPr>
  </w:style>
  <w:style w:type="character" w:customStyle="1" w:styleId="Ttulo4Char">
    <w:name w:val="Título 4 Char"/>
    <w:basedOn w:val="Fontepargpadro"/>
    <w:link w:val="Ttulo4"/>
    <w:uiPriority w:val="9"/>
    <w:rsid w:val="00D24E61"/>
    <w:rPr>
      <w:rFonts w:ascii="Cambria" w:hAnsi="Cambria"/>
      <w:b/>
      <w:bCs/>
      <w:i/>
      <w:iCs/>
      <w:color w:val="4F81BD"/>
      <w:sz w:val="24"/>
      <w:lang w:eastAsia="en-US"/>
    </w:rPr>
  </w:style>
  <w:style w:type="character" w:customStyle="1" w:styleId="Ttulo5Char">
    <w:name w:val="Título 5 Char"/>
    <w:basedOn w:val="Fontepargpadro"/>
    <w:link w:val="Ttulo5"/>
    <w:uiPriority w:val="9"/>
    <w:semiHidden/>
    <w:rsid w:val="00D24E61"/>
    <w:rPr>
      <w:rFonts w:ascii="Cambria" w:hAnsi="Cambria"/>
      <w:color w:val="243F60"/>
      <w:sz w:val="24"/>
      <w:lang w:eastAsia="en-US"/>
    </w:rPr>
  </w:style>
  <w:style w:type="character" w:customStyle="1" w:styleId="Ttulo6Char">
    <w:name w:val="Título 6 Char"/>
    <w:basedOn w:val="Fontepargpadro"/>
    <w:link w:val="Ttulo6"/>
    <w:uiPriority w:val="9"/>
    <w:rsid w:val="00D24E61"/>
    <w:rPr>
      <w:rFonts w:ascii="Cambria" w:hAnsi="Cambria"/>
      <w:i/>
      <w:iCs/>
      <w:color w:val="243F60"/>
      <w:sz w:val="24"/>
      <w:lang w:eastAsia="en-US"/>
    </w:rPr>
  </w:style>
  <w:style w:type="character" w:customStyle="1" w:styleId="Ttulo7Char">
    <w:name w:val="Título 7 Char"/>
    <w:basedOn w:val="Fontepargpadro"/>
    <w:link w:val="Ttulo7"/>
    <w:uiPriority w:val="9"/>
    <w:semiHidden/>
    <w:rsid w:val="00D24E61"/>
    <w:rPr>
      <w:rFonts w:ascii="Cambria" w:hAnsi="Cambria"/>
      <w:i/>
      <w:iCs/>
      <w:color w:val="404040"/>
      <w:sz w:val="24"/>
      <w:lang w:eastAsia="en-US"/>
    </w:rPr>
  </w:style>
  <w:style w:type="character" w:customStyle="1" w:styleId="Ttulo8Char">
    <w:name w:val="Título 8 Char"/>
    <w:basedOn w:val="Fontepargpadro"/>
    <w:link w:val="Ttulo8"/>
    <w:uiPriority w:val="9"/>
    <w:semiHidden/>
    <w:rsid w:val="00D24E61"/>
    <w:rPr>
      <w:rFonts w:ascii="Cambria" w:hAnsi="Cambria"/>
      <w:color w:val="404040"/>
      <w:sz w:val="20"/>
      <w:szCs w:val="20"/>
      <w:lang w:eastAsia="en-US"/>
    </w:rPr>
  </w:style>
  <w:style w:type="character" w:customStyle="1" w:styleId="Ttulo9Char">
    <w:name w:val="Título 9 Char"/>
    <w:basedOn w:val="Fontepargpadro"/>
    <w:link w:val="Ttulo9"/>
    <w:uiPriority w:val="9"/>
    <w:semiHidden/>
    <w:rsid w:val="00D24E61"/>
    <w:rPr>
      <w:rFonts w:ascii="Cambria" w:hAnsi="Cambria"/>
      <w:i/>
      <w:iCs/>
      <w:color w:val="404040"/>
      <w:sz w:val="20"/>
      <w:szCs w:val="20"/>
      <w:lang w:eastAsia="en-US"/>
    </w:rPr>
  </w:style>
  <w:style w:type="paragraph" w:customStyle="1" w:styleId="ABNT">
    <w:name w:val="ABNT"/>
    <w:basedOn w:val="Normal"/>
    <w:link w:val="ABNTChar"/>
    <w:qFormat/>
    <w:rsid w:val="00D24E61"/>
    <w:pPr>
      <w:spacing w:line="360" w:lineRule="auto"/>
      <w:ind w:firstLine="709"/>
      <w:jc w:val="both"/>
    </w:pPr>
    <w:rPr>
      <w:rFonts w:eastAsia="Calibri" w:cs="Arial"/>
      <w:sz w:val="24"/>
      <w:lang w:eastAsia="en-US"/>
    </w:rPr>
  </w:style>
  <w:style w:type="paragraph" w:styleId="MapadoDocumento">
    <w:name w:val="Document Map"/>
    <w:basedOn w:val="Normal"/>
    <w:link w:val="MapadoDocumentoChar"/>
    <w:uiPriority w:val="99"/>
    <w:semiHidden/>
    <w:unhideWhenUsed/>
    <w:rsid w:val="00D24E61"/>
    <w:pPr>
      <w:jc w:val="both"/>
    </w:pPr>
    <w:rPr>
      <w:rFonts w:ascii="Tahoma" w:eastAsia="Calibri" w:hAnsi="Tahoma" w:cs="Tahoma"/>
      <w:sz w:val="16"/>
      <w:szCs w:val="16"/>
      <w:lang w:eastAsia="en-US"/>
    </w:rPr>
  </w:style>
  <w:style w:type="character" w:customStyle="1" w:styleId="MapadoDocumentoChar">
    <w:name w:val="Mapa do Documento Char"/>
    <w:basedOn w:val="Fontepargpadro"/>
    <w:link w:val="MapadoDocumento"/>
    <w:uiPriority w:val="99"/>
    <w:semiHidden/>
    <w:rsid w:val="00D24E61"/>
    <w:rPr>
      <w:rFonts w:ascii="Tahoma" w:eastAsia="Calibri" w:hAnsi="Tahoma" w:cs="Tahoma"/>
      <w:sz w:val="16"/>
      <w:szCs w:val="16"/>
      <w:lang w:eastAsia="en-US"/>
    </w:rPr>
  </w:style>
  <w:style w:type="character" w:customStyle="1" w:styleId="ABNTChar">
    <w:name w:val="ABNT Char"/>
    <w:basedOn w:val="Fontepargpadro"/>
    <w:link w:val="ABNT"/>
    <w:rsid w:val="00D24E61"/>
    <w:rPr>
      <w:rFonts w:eastAsia="Calibri" w:cs="Arial"/>
      <w:sz w:val="24"/>
      <w:lang w:eastAsia="en-US"/>
    </w:rPr>
  </w:style>
  <w:style w:type="paragraph" w:customStyle="1" w:styleId="corpodetextoABNT">
    <w:name w:val="corpode texto ABNT"/>
    <w:basedOn w:val="Normal"/>
    <w:link w:val="corpodetextoABNTChar"/>
    <w:qFormat/>
    <w:rsid w:val="00D24E61"/>
    <w:pPr>
      <w:widowControl w:val="0"/>
      <w:ind w:firstLine="709"/>
      <w:jc w:val="both"/>
    </w:pPr>
    <w:rPr>
      <w:rFonts w:ascii="Arial" w:hAnsi="Arial" w:cs="Arial"/>
      <w:sz w:val="24"/>
      <w:szCs w:val="24"/>
    </w:rPr>
  </w:style>
  <w:style w:type="character" w:customStyle="1" w:styleId="corpodetextoABNTChar">
    <w:name w:val="corpode texto ABNT Char"/>
    <w:basedOn w:val="Fontepargpadro"/>
    <w:link w:val="corpodetextoABNT"/>
    <w:rsid w:val="00D24E61"/>
    <w:rPr>
      <w:rFonts w:ascii="Arial" w:hAnsi="Arial" w:cs="Arial"/>
      <w:sz w:val="24"/>
      <w:szCs w:val="24"/>
    </w:rPr>
  </w:style>
  <w:style w:type="paragraph" w:customStyle="1" w:styleId="citaolonga">
    <w:name w:val="citação longa"/>
    <w:basedOn w:val="ABNT"/>
    <w:qFormat/>
    <w:rsid w:val="00D24E61"/>
    <w:pPr>
      <w:spacing w:line="240" w:lineRule="auto"/>
      <w:ind w:left="2268" w:firstLine="0"/>
    </w:pPr>
    <w:rPr>
      <w:sz w:val="20"/>
      <w:szCs w:val="20"/>
    </w:rPr>
  </w:style>
  <w:style w:type="numbering" w:customStyle="1" w:styleId="Estilo1">
    <w:name w:val="Estilo1"/>
    <w:uiPriority w:val="99"/>
    <w:rsid w:val="00D24E61"/>
    <w:pPr>
      <w:numPr>
        <w:numId w:val="43"/>
      </w:numPr>
    </w:pPr>
  </w:style>
  <w:style w:type="character" w:styleId="CitaoHTML">
    <w:name w:val="HTML Cite"/>
    <w:uiPriority w:val="99"/>
    <w:semiHidden/>
    <w:unhideWhenUsed/>
    <w:rsid w:val="00D24E61"/>
    <w:rPr>
      <w:i/>
      <w:iCs/>
    </w:rPr>
  </w:style>
  <w:style w:type="paragraph" w:customStyle="1" w:styleId="Pa8">
    <w:name w:val="Pa8"/>
    <w:basedOn w:val="Normal"/>
    <w:next w:val="Normal"/>
    <w:uiPriority w:val="99"/>
    <w:rsid w:val="00D24E61"/>
    <w:pPr>
      <w:autoSpaceDE w:val="0"/>
      <w:autoSpaceDN w:val="0"/>
      <w:adjustRightInd w:val="0"/>
      <w:spacing w:line="240" w:lineRule="atLeast"/>
    </w:pPr>
    <w:rPr>
      <w:rFonts w:ascii="Garamond" w:eastAsia="Calibri" w:hAnsi="Garamond"/>
      <w:sz w:val="24"/>
      <w:szCs w:val="24"/>
    </w:rPr>
  </w:style>
  <w:style w:type="paragraph" w:customStyle="1" w:styleId="Pa1">
    <w:name w:val="Pa1"/>
    <w:basedOn w:val="Normal"/>
    <w:next w:val="Normal"/>
    <w:uiPriority w:val="99"/>
    <w:rsid w:val="00D24E61"/>
    <w:pPr>
      <w:autoSpaceDE w:val="0"/>
      <w:autoSpaceDN w:val="0"/>
      <w:adjustRightInd w:val="0"/>
      <w:spacing w:line="240" w:lineRule="atLeast"/>
    </w:pPr>
    <w:rPr>
      <w:rFonts w:ascii="Garamond" w:eastAsia="Calibri" w:hAnsi="Garamond"/>
      <w:sz w:val="24"/>
      <w:szCs w:val="24"/>
    </w:rPr>
  </w:style>
  <w:style w:type="character" w:customStyle="1" w:styleId="A1">
    <w:name w:val="A1"/>
    <w:uiPriority w:val="99"/>
    <w:rsid w:val="00D24E61"/>
    <w:rPr>
      <w:rFonts w:cs="Garamond"/>
      <w:color w:val="000000"/>
      <w:sz w:val="18"/>
      <w:szCs w:val="18"/>
    </w:rPr>
  </w:style>
  <w:style w:type="character" w:customStyle="1" w:styleId="A0">
    <w:name w:val="A0"/>
    <w:uiPriority w:val="99"/>
    <w:rsid w:val="00D24E61"/>
    <w:rPr>
      <w:color w:val="000000"/>
      <w:sz w:val="20"/>
      <w:szCs w:val="20"/>
    </w:rPr>
  </w:style>
  <w:style w:type="character" w:customStyle="1" w:styleId="Caracteresdenotadefim">
    <w:name w:val="Caracteres de nota de fim"/>
    <w:rsid w:val="00D24E61"/>
    <w:rPr>
      <w:vertAlign w:val="superscript"/>
    </w:rPr>
  </w:style>
  <w:style w:type="character" w:customStyle="1" w:styleId="WW-Caracteresdenotadefim">
    <w:name w:val="WW-Caracteres de nota de fim"/>
    <w:rsid w:val="00D24E61"/>
  </w:style>
  <w:style w:type="character" w:styleId="Refdenotadefim">
    <w:name w:val="endnote reference"/>
    <w:rsid w:val="00D24E61"/>
    <w:rPr>
      <w:vertAlign w:val="superscript"/>
    </w:rPr>
  </w:style>
  <w:style w:type="paragraph" w:customStyle="1" w:styleId="Ttulo10">
    <w:name w:val="Título1"/>
    <w:basedOn w:val="Normal"/>
    <w:next w:val="Corpodetexto"/>
    <w:rsid w:val="00771368"/>
    <w:pPr>
      <w:keepNext/>
      <w:widowControl w:val="0"/>
      <w:suppressAutoHyphens/>
      <w:spacing w:before="240" w:after="120"/>
      <w:jc w:val="right"/>
    </w:pPr>
    <w:rPr>
      <w:rFonts w:eastAsia="Microsoft YaHei" w:cs="Mangal"/>
      <w:kern w:val="1"/>
      <w:sz w:val="24"/>
      <w:szCs w:val="28"/>
      <w:lang w:eastAsia="hi-IN" w:bidi="hi-IN"/>
    </w:rPr>
  </w:style>
  <w:style w:type="paragraph" w:styleId="Lista">
    <w:name w:val="List"/>
    <w:basedOn w:val="Corpodetexto"/>
    <w:uiPriority w:val="99"/>
    <w:rsid w:val="00D24E61"/>
    <w:pPr>
      <w:widowControl w:val="0"/>
      <w:suppressAutoHyphens/>
      <w:spacing w:before="0" w:beforeAutospacing="0" w:after="120" w:afterAutospacing="0"/>
    </w:pPr>
    <w:rPr>
      <w:rFonts w:eastAsia="SimSun" w:cs="Mangal"/>
      <w:kern w:val="1"/>
      <w:lang w:eastAsia="hi-IN" w:bidi="hi-IN"/>
    </w:rPr>
  </w:style>
  <w:style w:type="paragraph" w:customStyle="1" w:styleId="Legenda1">
    <w:name w:val="Legenda1"/>
    <w:basedOn w:val="Normal"/>
    <w:rsid w:val="00D24E61"/>
    <w:pPr>
      <w:widowControl w:val="0"/>
      <w:suppressLineNumbers/>
      <w:suppressAutoHyphens/>
      <w:spacing w:before="120" w:after="120"/>
    </w:pPr>
    <w:rPr>
      <w:rFonts w:eastAsia="SimSun" w:cs="Mangal"/>
      <w:i/>
      <w:iCs/>
      <w:kern w:val="1"/>
      <w:sz w:val="24"/>
      <w:szCs w:val="24"/>
      <w:lang w:eastAsia="hi-IN" w:bidi="hi-IN"/>
    </w:rPr>
  </w:style>
  <w:style w:type="paragraph" w:customStyle="1" w:styleId="ndice">
    <w:name w:val="Índice"/>
    <w:basedOn w:val="Normal"/>
    <w:rsid w:val="00D24E61"/>
    <w:pPr>
      <w:widowControl w:val="0"/>
      <w:suppressLineNumbers/>
      <w:suppressAutoHyphens/>
    </w:pPr>
    <w:rPr>
      <w:rFonts w:eastAsia="SimSun" w:cs="Mangal"/>
      <w:kern w:val="1"/>
      <w:sz w:val="24"/>
      <w:szCs w:val="24"/>
      <w:lang w:eastAsia="hi-IN" w:bidi="hi-IN"/>
    </w:rPr>
  </w:style>
  <w:style w:type="paragraph" w:styleId="Subttulo">
    <w:name w:val="Subtitle"/>
    <w:basedOn w:val="Ttulo10"/>
    <w:next w:val="Corpodetexto"/>
    <w:link w:val="SubttuloChar"/>
    <w:qFormat/>
    <w:rsid w:val="00D24E61"/>
    <w:pPr>
      <w:jc w:val="center"/>
    </w:pPr>
    <w:rPr>
      <w:i/>
      <w:iCs/>
    </w:rPr>
  </w:style>
  <w:style w:type="character" w:customStyle="1" w:styleId="SubttuloChar">
    <w:name w:val="Subtítulo Char"/>
    <w:basedOn w:val="Fontepargpadro"/>
    <w:link w:val="Subttulo"/>
    <w:rsid w:val="00D24E61"/>
    <w:rPr>
      <w:rFonts w:ascii="Arial" w:eastAsia="Microsoft YaHei" w:hAnsi="Arial" w:cs="Mangal"/>
      <w:i/>
      <w:iCs/>
      <w:kern w:val="1"/>
      <w:sz w:val="28"/>
      <w:szCs w:val="28"/>
      <w:lang w:eastAsia="hi-IN" w:bidi="hi-IN"/>
    </w:rPr>
  </w:style>
  <w:style w:type="paragraph" w:customStyle="1" w:styleId="Normal1">
    <w:name w:val="Normal1"/>
    <w:basedOn w:val="Normal"/>
    <w:rsid w:val="00D24E61"/>
    <w:pPr>
      <w:widowControl w:val="0"/>
      <w:suppressAutoHyphens/>
      <w:autoSpaceDE w:val="0"/>
    </w:pPr>
    <w:rPr>
      <w:rFonts w:ascii="Arial" w:eastAsia="Arial" w:hAnsi="Arial" w:cs="Arial"/>
      <w:color w:val="000000"/>
      <w:kern w:val="1"/>
      <w:sz w:val="24"/>
      <w:szCs w:val="24"/>
      <w:lang w:eastAsia="hi-IN" w:bidi="hi-IN"/>
    </w:rPr>
  </w:style>
  <w:style w:type="paragraph" w:customStyle="1" w:styleId="Dissertao1">
    <w:name w:val="Dissertação 1"/>
    <w:basedOn w:val="Normal"/>
    <w:link w:val="Dissertao1Char"/>
    <w:qFormat/>
    <w:rsid w:val="00D24E61"/>
    <w:pPr>
      <w:keepNext/>
      <w:keepLines/>
      <w:tabs>
        <w:tab w:val="num" w:pos="360"/>
      </w:tabs>
      <w:spacing w:before="100" w:beforeAutospacing="1" w:after="100" w:afterAutospacing="1"/>
      <w:ind w:left="578" w:hanging="578"/>
      <w:jc w:val="both"/>
      <w:outlineLvl w:val="1"/>
    </w:pPr>
    <w:rPr>
      <w:rFonts w:ascii="Arial" w:hAnsi="Arial"/>
      <w:b/>
      <w:bCs/>
      <w:sz w:val="24"/>
      <w:szCs w:val="24"/>
    </w:rPr>
  </w:style>
  <w:style w:type="character" w:customStyle="1" w:styleId="Dissertao1Char">
    <w:name w:val="Dissertação 1 Char"/>
    <w:link w:val="Dissertao1"/>
    <w:rsid w:val="00D24E61"/>
    <w:rPr>
      <w:rFonts w:ascii="Arial" w:hAnsi="Arial"/>
      <w:b/>
      <w:bCs/>
      <w:sz w:val="24"/>
      <w:szCs w:val="24"/>
    </w:rPr>
  </w:style>
  <w:style w:type="character" w:customStyle="1" w:styleId="style9">
    <w:name w:val="style9"/>
    <w:uiPriority w:val="99"/>
    <w:rsid w:val="00D24E61"/>
    <w:rPr>
      <w:rFonts w:cs="Times New Roman"/>
    </w:rPr>
  </w:style>
  <w:style w:type="paragraph" w:customStyle="1" w:styleId="FG10-corpo-do-texto">
    <w:name w:val="FG10-corpo-do-texto"/>
    <w:basedOn w:val="Normal"/>
    <w:link w:val="FG10-corpo-do-textoChar"/>
    <w:qFormat/>
    <w:rsid w:val="00D24E61"/>
    <w:pPr>
      <w:suppressAutoHyphens/>
      <w:spacing w:line="360" w:lineRule="auto"/>
      <w:ind w:firstLine="709"/>
      <w:jc w:val="both"/>
    </w:pPr>
    <w:rPr>
      <w:rFonts w:eastAsia="Calibri" w:cs="Calibri"/>
      <w:sz w:val="24"/>
      <w:lang w:eastAsia="ar-SA"/>
    </w:rPr>
  </w:style>
  <w:style w:type="character" w:customStyle="1" w:styleId="FG10-corpo-do-textoChar">
    <w:name w:val="FG10-corpo-do-texto Char"/>
    <w:link w:val="FG10-corpo-do-texto"/>
    <w:rsid w:val="00D24E61"/>
    <w:rPr>
      <w:rFonts w:eastAsia="Calibri" w:cs="Calibri"/>
      <w:sz w:val="24"/>
      <w:lang w:eastAsia="ar-SA"/>
    </w:rPr>
  </w:style>
  <w:style w:type="character" w:customStyle="1" w:styleId="biblio-title">
    <w:name w:val="biblio-title"/>
    <w:basedOn w:val="Fontepargpadro"/>
    <w:rsid w:val="00D24E61"/>
  </w:style>
  <w:style w:type="paragraph" w:customStyle="1" w:styleId="FG10-referencias">
    <w:name w:val="FG10-referencias"/>
    <w:basedOn w:val="Normal"/>
    <w:link w:val="FG10-referenciasChar"/>
    <w:qFormat/>
    <w:rsid w:val="00D24E61"/>
    <w:pPr>
      <w:suppressAutoHyphens/>
      <w:spacing w:after="200"/>
      <w:jc w:val="both"/>
    </w:pPr>
    <w:rPr>
      <w:rFonts w:eastAsia="Calibri" w:cs="Calibri"/>
      <w:sz w:val="24"/>
      <w:lang w:eastAsia="ar-SA"/>
    </w:rPr>
  </w:style>
  <w:style w:type="character" w:customStyle="1" w:styleId="FG10-referenciasChar">
    <w:name w:val="FG10-referencias Char"/>
    <w:link w:val="FG10-referencias"/>
    <w:rsid w:val="00D24E61"/>
    <w:rPr>
      <w:rFonts w:eastAsia="Calibri" w:cs="Calibri"/>
      <w:sz w:val="24"/>
      <w:lang w:eastAsia="ar-SA"/>
    </w:rPr>
  </w:style>
  <w:style w:type="paragraph" w:customStyle="1" w:styleId="Padro">
    <w:name w:val="Padrão"/>
    <w:rsid w:val="00D24E61"/>
    <w:pPr>
      <w:tabs>
        <w:tab w:val="left" w:pos="708"/>
      </w:tabs>
      <w:suppressAutoHyphens/>
      <w:spacing w:after="200" w:line="276" w:lineRule="auto"/>
    </w:pPr>
    <w:rPr>
      <w:rFonts w:ascii="Calibri" w:eastAsia="SimSun" w:hAnsi="Calibri" w:cstheme="minorBidi"/>
      <w:color w:val="00000A"/>
      <w:lang w:eastAsia="en-US"/>
    </w:rPr>
  </w:style>
  <w:style w:type="paragraph" w:styleId="Legenda">
    <w:name w:val="caption"/>
    <w:basedOn w:val="Padro"/>
    <w:uiPriority w:val="35"/>
    <w:rsid w:val="00D24E61"/>
    <w:pPr>
      <w:suppressLineNumbers/>
      <w:spacing w:before="120" w:after="120"/>
    </w:pPr>
    <w:rPr>
      <w:rFonts w:ascii="Liberation Serif" w:hAnsi="Liberation Serif" w:cs="Mangal"/>
      <w:i/>
      <w:iCs/>
      <w:sz w:val="24"/>
      <w:szCs w:val="24"/>
    </w:rPr>
  </w:style>
  <w:style w:type="character" w:styleId="nfaseIntensa">
    <w:name w:val="Intense Emphasis"/>
    <w:basedOn w:val="Fontepargpadro"/>
    <w:uiPriority w:val="21"/>
    <w:qFormat/>
    <w:rsid w:val="00D24E61"/>
    <w:rPr>
      <w:rFonts w:cs="Times New Roman"/>
      <w:b/>
      <w:bCs/>
      <w:i/>
      <w:iCs/>
      <w:color w:val="4F81BD" w:themeColor="accent1"/>
    </w:rPr>
  </w:style>
  <w:style w:type="paragraph" w:styleId="CabealhodoSumrio">
    <w:name w:val="TOC Heading"/>
    <w:basedOn w:val="Ttulo1"/>
    <w:next w:val="Normal"/>
    <w:uiPriority w:val="39"/>
    <w:semiHidden/>
    <w:unhideWhenUsed/>
    <w:qFormat/>
    <w:rsid w:val="00771368"/>
    <w:pPr>
      <w:suppressAutoHyphens w:val="0"/>
      <w:spacing w:before="480" w:line="276" w:lineRule="auto"/>
      <w:jc w:val="left"/>
      <w:outlineLvl w:val="9"/>
    </w:pPr>
    <w:rPr>
      <w:rFonts w:asciiTheme="majorHAnsi" w:eastAsiaTheme="majorEastAsia" w:hAnsiTheme="majorHAnsi" w:cstheme="majorBidi"/>
      <w:caps/>
      <w:color w:val="365F91" w:themeColor="accent1" w:themeShade="BF"/>
      <w:sz w:val="28"/>
      <w:lang w:eastAsia="en-US"/>
    </w:rPr>
  </w:style>
  <w:style w:type="paragraph" w:styleId="Sumrio1">
    <w:name w:val="toc 1"/>
    <w:basedOn w:val="Normal"/>
    <w:next w:val="Normal"/>
    <w:autoRedefine/>
    <w:uiPriority w:val="39"/>
    <w:unhideWhenUsed/>
    <w:qFormat/>
    <w:rsid w:val="00771368"/>
    <w:pPr>
      <w:spacing w:after="100"/>
    </w:pPr>
  </w:style>
  <w:style w:type="paragraph" w:styleId="Sumrio2">
    <w:name w:val="toc 2"/>
    <w:basedOn w:val="Normal"/>
    <w:next w:val="Normal"/>
    <w:autoRedefine/>
    <w:uiPriority w:val="39"/>
    <w:unhideWhenUsed/>
    <w:qFormat/>
    <w:rsid w:val="00771368"/>
    <w:pPr>
      <w:spacing w:after="100"/>
      <w:ind w:left="220"/>
    </w:pPr>
  </w:style>
  <w:style w:type="paragraph" w:styleId="Sumrio3">
    <w:name w:val="toc 3"/>
    <w:basedOn w:val="Normal"/>
    <w:next w:val="Normal"/>
    <w:autoRedefine/>
    <w:uiPriority w:val="39"/>
    <w:unhideWhenUsed/>
    <w:qFormat/>
    <w:rsid w:val="00771368"/>
    <w:pPr>
      <w:spacing w:after="100"/>
      <w:ind w:left="440"/>
    </w:pPr>
    <w:rPr>
      <w:rFonts w:ascii="Arial" w:hAnsi="Arial"/>
      <w:sz w:val="24"/>
    </w:rPr>
  </w:style>
  <w:style w:type="paragraph" w:styleId="Sumrio9">
    <w:name w:val="toc 9"/>
    <w:basedOn w:val="Normal"/>
    <w:next w:val="Normal"/>
    <w:autoRedefine/>
    <w:uiPriority w:val="39"/>
    <w:semiHidden/>
    <w:unhideWhenUsed/>
    <w:rsid w:val="00A744D6"/>
    <w:pPr>
      <w:spacing w:after="100"/>
      <w:ind w:left="1760"/>
    </w:pPr>
  </w:style>
  <w:style w:type="paragraph" w:customStyle="1" w:styleId="footnotedescription">
    <w:name w:val="footnote description"/>
    <w:next w:val="Normal"/>
    <w:link w:val="footnotedescriptionChar"/>
    <w:hidden/>
    <w:rsid w:val="00201DA6"/>
    <w:pPr>
      <w:spacing w:line="259" w:lineRule="auto"/>
      <w:jc w:val="both"/>
    </w:pPr>
    <w:rPr>
      <w:color w:val="000000"/>
      <w:sz w:val="20"/>
    </w:rPr>
  </w:style>
  <w:style w:type="character" w:customStyle="1" w:styleId="footnotedescriptionChar">
    <w:name w:val="footnote description Char"/>
    <w:link w:val="footnotedescription"/>
    <w:rsid w:val="00201DA6"/>
    <w:rPr>
      <w:color w:val="000000"/>
      <w:sz w:val="20"/>
    </w:rPr>
  </w:style>
  <w:style w:type="character" w:customStyle="1" w:styleId="footnotemark">
    <w:name w:val="footnote mark"/>
    <w:hidden/>
    <w:rsid w:val="00201DA6"/>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D6E"/>
  </w:style>
  <w:style w:type="paragraph" w:styleId="Ttulo1">
    <w:name w:val="heading 1"/>
    <w:aliases w:val="Título froes1"/>
    <w:basedOn w:val="Normal"/>
    <w:next w:val="Normal"/>
    <w:link w:val="Ttulo1Char"/>
    <w:uiPriority w:val="9"/>
    <w:qFormat/>
    <w:rsid w:val="001C5E1D"/>
    <w:pPr>
      <w:keepNext/>
      <w:keepLines/>
      <w:suppressAutoHyphens/>
      <w:jc w:val="right"/>
      <w:outlineLvl w:val="0"/>
    </w:pPr>
    <w:rPr>
      <w:bCs/>
      <w:sz w:val="24"/>
      <w:szCs w:val="28"/>
      <w:lang w:eastAsia="ar-SA"/>
    </w:rPr>
  </w:style>
  <w:style w:type="paragraph" w:styleId="Ttulo2">
    <w:name w:val="heading 2"/>
    <w:aliases w:val="Título froes2"/>
    <w:basedOn w:val="Normal"/>
    <w:next w:val="Normal"/>
    <w:link w:val="Ttulo2Char"/>
    <w:uiPriority w:val="9"/>
    <w:qFormat/>
    <w:rsid w:val="00D24E61"/>
    <w:pPr>
      <w:keepNext/>
      <w:keepLines/>
      <w:suppressAutoHyphens/>
      <w:spacing w:line="360" w:lineRule="auto"/>
      <w:jc w:val="both"/>
      <w:outlineLvl w:val="1"/>
    </w:pPr>
    <w:rPr>
      <w:rFonts w:ascii="Arial" w:hAnsi="Arial"/>
      <w:bCs/>
      <w:caps/>
      <w:sz w:val="24"/>
      <w:szCs w:val="26"/>
      <w:lang w:eastAsia="ar-SA"/>
    </w:rPr>
  </w:style>
  <w:style w:type="paragraph" w:styleId="Ttulo3">
    <w:name w:val="heading 3"/>
    <w:basedOn w:val="Normal"/>
    <w:next w:val="Normal"/>
    <w:link w:val="Ttulo3Char"/>
    <w:uiPriority w:val="9"/>
    <w:unhideWhenUsed/>
    <w:qFormat/>
    <w:rsid w:val="00D24E61"/>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har"/>
    <w:uiPriority w:val="9"/>
    <w:unhideWhenUsed/>
    <w:qFormat/>
    <w:rsid w:val="00D24E61"/>
    <w:pPr>
      <w:keepNext/>
      <w:keepLines/>
      <w:spacing w:before="200"/>
      <w:ind w:left="864" w:hanging="864"/>
      <w:jc w:val="both"/>
      <w:outlineLvl w:val="3"/>
    </w:pPr>
    <w:rPr>
      <w:rFonts w:ascii="Cambria" w:hAnsi="Cambria"/>
      <w:b/>
      <w:bCs/>
      <w:i/>
      <w:iCs/>
      <w:color w:val="4F81BD"/>
      <w:sz w:val="24"/>
      <w:lang w:eastAsia="en-US"/>
    </w:rPr>
  </w:style>
  <w:style w:type="paragraph" w:styleId="Ttulo5">
    <w:name w:val="heading 5"/>
    <w:basedOn w:val="Normal"/>
    <w:next w:val="Normal"/>
    <w:link w:val="Ttulo5Char"/>
    <w:uiPriority w:val="9"/>
    <w:semiHidden/>
    <w:unhideWhenUsed/>
    <w:qFormat/>
    <w:rsid w:val="00D24E61"/>
    <w:pPr>
      <w:keepNext/>
      <w:keepLines/>
      <w:spacing w:before="200"/>
      <w:ind w:left="1008" w:hanging="1008"/>
      <w:jc w:val="both"/>
      <w:outlineLvl w:val="4"/>
    </w:pPr>
    <w:rPr>
      <w:rFonts w:ascii="Cambria" w:hAnsi="Cambria"/>
      <w:color w:val="243F60"/>
      <w:sz w:val="24"/>
      <w:lang w:eastAsia="en-US"/>
    </w:rPr>
  </w:style>
  <w:style w:type="paragraph" w:styleId="Ttulo6">
    <w:name w:val="heading 6"/>
    <w:basedOn w:val="Normal"/>
    <w:next w:val="Normal"/>
    <w:link w:val="Ttulo6Char"/>
    <w:unhideWhenUsed/>
    <w:qFormat/>
    <w:rsid w:val="00D24E61"/>
    <w:pPr>
      <w:keepNext/>
      <w:keepLines/>
      <w:spacing w:before="200"/>
      <w:ind w:left="1152" w:hanging="1152"/>
      <w:jc w:val="both"/>
      <w:outlineLvl w:val="5"/>
    </w:pPr>
    <w:rPr>
      <w:rFonts w:ascii="Cambria" w:hAnsi="Cambria"/>
      <w:i/>
      <w:iCs/>
      <w:color w:val="243F60"/>
      <w:sz w:val="24"/>
      <w:lang w:eastAsia="en-US"/>
    </w:rPr>
  </w:style>
  <w:style w:type="paragraph" w:styleId="Ttulo7">
    <w:name w:val="heading 7"/>
    <w:basedOn w:val="Normal"/>
    <w:next w:val="Normal"/>
    <w:link w:val="Ttulo7Char"/>
    <w:uiPriority w:val="9"/>
    <w:semiHidden/>
    <w:unhideWhenUsed/>
    <w:qFormat/>
    <w:rsid w:val="00D24E61"/>
    <w:pPr>
      <w:keepNext/>
      <w:keepLines/>
      <w:spacing w:before="200"/>
      <w:ind w:left="1296" w:hanging="1296"/>
      <w:jc w:val="both"/>
      <w:outlineLvl w:val="6"/>
    </w:pPr>
    <w:rPr>
      <w:rFonts w:ascii="Cambria" w:hAnsi="Cambria"/>
      <w:i/>
      <w:iCs/>
      <w:color w:val="404040"/>
      <w:sz w:val="24"/>
      <w:lang w:eastAsia="en-US"/>
    </w:rPr>
  </w:style>
  <w:style w:type="paragraph" w:styleId="Ttulo8">
    <w:name w:val="heading 8"/>
    <w:basedOn w:val="Normal"/>
    <w:next w:val="Normal"/>
    <w:link w:val="Ttulo8Char"/>
    <w:uiPriority w:val="9"/>
    <w:semiHidden/>
    <w:unhideWhenUsed/>
    <w:qFormat/>
    <w:rsid w:val="00D24E61"/>
    <w:pPr>
      <w:keepNext/>
      <w:keepLines/>
      <w:spacing w:before="200"/>
      <w:ind w:left="1440" w:hanging="1440"/>
      <w:jc w:val="both"/>
      <w:outlineLvl w:val="7"/>
    </w:pPr>
    <w:rPr>
      <w:rFonts w:ascii="Cambria" w:hAnsi="Cambria"/>
      <w:color w:val="404040"/>
      <w:sz w:val="20"/>
      <w:szCs w:val="20"/>
      <w:lang w:eastAsia="en-US"/>
    </w:rPr>
  </w:style>
  <w:style w:type="paragraph" w:styleId="Ttulo9">
    <w:name w:val="heading 9"/>
    <w:basedOn w:val="Normal"/>
    <w:next w:val="Normal"/>
    <w:link w:val="Ttulo9Char"/>
    <w:uiPriority w:val="9"/>
    <w:semiHidden/>
    <w:unhideWhenUsed/>
    <w:qFormat/>
    <w:rsid w:val="00D24E61"/>
    <w:pPr>
      <w:keepNext/>
      <w:keepLines/>
      <w:spacing w:before="200"/>
      <w:ind w:left="1584" w:hanging="1584"/>
      <w:jc w:val="both"/>
      <w:outlineLvl w:val="8"/>
    </w:pPr>
    <w:rPr>
      <w:rFonts w:ascii="Cambria" w:hAnsi="Cambria"/>
      <w:i/>
      <w:iCs/>
      <w:color w:val="404040"/>
      <w:sz w:val="20"/>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24E61"/>
    <w:rPr>
      <w:color w:val="0000FF" w:themeColor="hyperlink"/>
      <w:u w:val="single"/>
    </w:rPr>
  </w:style>
  <w:style w:type="paragraph" w:styleId="SemEspaamento">
    <w:name w:val="No Spacing"/>
    <w:uiPriority w:val="1"/>
    <w:qFormat/>
    <w:rsid w:val="00D24E61"/>
    <w:rPr>
      <w:rFonts w:ascii="Arial" w:eastAsia="Arial" w:hAnsi="Arial"/>
      <w:lang w:eastAsia="en-US"/>
    </w:rPr>
  </w:style>
  <w:style w:type="paragraph" w:styleId="Textodenotaderodap">
    <w:name w:val="footnote text"/>
    <w:basedOn w:val="Normal"/>
    <w:link w:val="TextodenotaderodapChar"/>
    <w:uiPriority w:val="99"/>
    <w:unhideWhenUsed/>
    <w:rsid w:val="00D24E61"/>
    <w:pPr>
      <w:spacing w:after="200" w:line="276" w:lineRule="auto"/>
      <w:jc w:val="both"/>
    </w:pPr>
    <w:rPr>
      <w:rFonts w:ascii="Calibri" w:eastAsia="Calibri" w:hAnsi="Calibri"/>
      <w:sz w:val="20"/>
      <w:szCs w:val="20"/>
      <w:lang w:eastAsia="en-US"/>
    </w:rPr>
  </w:style>
  <w:style w:type="character" w:customStyle="1" w:styleId="TextodenotaderodapChar">
    <w:name w:val="Texto de nota de rodapé Char"/>
    <w:basedOn w:val="Fontepargpadro"/>
    <w:link w:val="Textodenotaderodap"/>
    <w:uiPriority w:val="99"/>
    <w:rsid w:val="00D24E61"/>
    <w:rPr>
      <w:rFonts w:ascii="Calibri" w:eastAsia="Calibri" w:hAnsi="Calibri"/>
      <w:sz w:val="20"/>
      <w:szCs w:val="20"/>
      <w:lang w:eastAsia="en-US"/>
    </w:rPr>
  </w:style>
  <w:style w:type="character" w:styleId="Refdenotaderodap">
    <w:name w:val="footnote reference"/>
    <w:uiPriority w:val="99"/>
    <w:unhideWhenUsed/>
    <w:rsid w:val="00D24E61"/>
    <w:rPr>
      <w:vertAlign w:val="superscript"/>
    </w:rPr>
  </w:style>
  <w:style w:type="character" w:customStyle="1" w:styleId="apple-converted-space">
    <w:name w:val="apple-converted-space"/>
    <w:basedOn w:val="Fontepargpadro"/>
    <w:rsid w:val="00D24E61"/>
  </w:style>
  <w:style w:type="paragraph" w:styleId="Cabealho">
    <w:name w:val="header"/>
    <w:basedOn w:val="Normal"/>
    <w:link w:val="CabealhoChar"/>
    <w:uiPriority w:val="99"/>
    <w:unhideWhenUsed/>
    <w:rsid w:val="00D24E61"/>
    <w:pPr>
      <w:tabs>
        <w:tab w:val="center" w:pos="4252"/>
        <w:tab w:val="right" w:pos="8504"/>
      </w:tabs>
      <w:jc w:val="both"/>
    </w:pPr>
    <w:rPr>
      <w:rFonts w:ascii="Calibri" w:eastAsia="Calibri" w:hAnsi="Calibri"/>
      <w:lang w:eastAsia="en-US"/>
    </w:rPr>
  </w:style>
  <w:style w:type="character" w:customStyle="1" w:styleId="CabealhoChar">
    <w:name w:val="Cabeçalho Char"/>
    <w:basedOn w:val="Fontepargpadro"/>
    <w:link w:val="Cabealho"/>
    <w:uiPriority w:val="99"/>
    <w:rsid w:val="00D24E61"/>
    <w:rPr>
      <w:rFonts w:ascii="Calibri" w:eastAsia="Calibri" w:hAnsi="Calibri"/>
      <w:lang w:eastAsia="en-US"/>
    </w:rPr>
  </w:style>
  <w:style w:type="paragraph" w:styleId="PargrafodaLista">
    <w:name w:val="List Paragraph"/>
    <w:basedOn w:val="Normal"/>
    <w:uiPriority w:val="34"/>
    <w:qFormat/>
    <w:rsid w:val="00D24E61"/>
    <w:pPr>
      <w:spacing w:after="200" w:line="276" w:lineRule="auto"/>
      <w:ind w:left="720"/>
      <w:contextualSpacing/>
      <w:jc w:val="both"/>
    </w:pPr>
    <w:rPr>
      <w:rFonts w:ascii="Calibri" w:eastAsia="Calibri" w:hAnsi="Calibri"/>
      <w:lang w:eastAsia="en-US"/>
    </w:rPr>
  </w:style>
  <w:style w:type="character" w:customStyle="1" w:styleId="Ttulo1Char">
    <w:name w:val="Título 1 Char"/>
    <w:aliases w:val="Título froes1 Char"/>
    <w:basedOn w:val="Fontepargpadro"/>
    <w:link w:val="Ttulo1"/>
    <w:rsid w:val="001C5E1D"/>
    <w:rPr>
      <w:bCs/>
      <w:sz w:val="24"/>
      <w:szCs w:val="28"/>
      <w:lang w:eastAsia="ar-SA"/>
    </w:rPr>
  </w:style>
  <w:style w:type="character" w:customStyle="1" w:styleId="Ttulo2Char">
    <w:name w:val="Título 2 Char"/>
    <w:aliases w:val="Título froes2 Char"/>
    <w:basedOn w:val="Fontepargpadro"/>
    <w:link w:val="Ttulo2"/>
    <w:uiPriority w:val="9"/>
    <w:rsid w:val="00D24E61"/>
    <w:rPr>
      <w:rFonts w:ascii="Arial" w:hAnsi="Arial"/>
      <w:bCs/>
      <w:caps/>
      <w:sz w:val="24"/>
      <w:szCs w:val="26"/>
      <w:lang w:eastAsia="ar-SA"/>
    </w:rPr>
  </w:style>
  <w:style w:type="character" w:customStyle="1" w:styleId="Caracteresdenotaderodap">
    <w:name w:val="Caracteres de nota de rodapé"/>
    <w:rsid w:val="00D24E61"/>
    <w:rPr>
      <w:vertAlign w:val="superscript"/>
    </w:rPr>
  </w:style>
  <w:style w:type="character" w:customStyle="1" w:styleId="Refdenotaderodap1">
    <w:name w:val="Ref. de nota de rodapé1"/>
    <w:rsid w:val="00D24E61"/>
    <w:rPr>
      <w:vertAlign w:val="superscript"/>
    </w:rPr>
  </w:style>
  <w:style w:type="paragraph" w:styleId="Ttulo">
    <w:name w:val="Title"/>
    <w:aliases w:val="froes"/>
    <w:basedOn w:val="Normal"/>
    <w:next w:val="Normal"/>
    <w:link w:val="TtuloChar"/>
    <w:uiPriority w:val="10"/>
    <w:qFormat/>
    <w:rsid w:val="00D24E61"/>
    <w:pPr>
      <w:suppressAutoHyphens/>
      <w:spacing w:line="360" w:lineRule="auto"/>
      <w:jc w:val="both"/>
    </w:pPr>
    <w:rPr>
      <w:rFonts w:ascii="Arial" w:hAnsi="Arial"/>
      <w:b/>
      <w:caps/>
      <w:spacing w:val="5"/>
      <w:kern w:val="1"/>
      <w:sz w:val="24"/>
      <w:szCs w:val="52"/>
      <w:lang w:eastAsia="ar-SA"/>
    </w:rPr>
  </w:style>
  <w:style w:type="character" w:customStyle="1" w:styleId="TtuloChar">
    <w:name w:val="Título Char"/>
    <w:aliases w:val="froes Char"/>
    <w:basedOn w:val="Fontepargpadro"/>
    <w:link w:val="Ttulo"/>
    <w:uiPriority w:val="10"/>
    <w:rsid w:val="00D24E61"/>
    <w:rPr>
      <w:rFonts w:ascii="Arial" w:hAnsi="Arial"/>
      <w:b/>
      <w:caps/>
      <w:spacing w:val="5"/>
      <w:kern w:val="1"/>
      <w:sz w:val="24"/>
      <w:szCs w:val="52"/>
      <w:lang w:eastAsia="ar-SA"/>
    </w:rPr>
  </w:style>
  <w:style w:type="paragraph" w:styleId="Citao">
    <w:name w:val="Quote"/>
    <w:basedOn w:val="Normal"/>
    <w:next w:val="Normal"/>
    <w:link w:val="CitaoChar"/>
    <w:qFormat/>
    <w:rsid w:val="00D24E61"/>
    <w:pPr>
      <w:suppressAutoHyphens/>
      <w:spacing w:before="120" w:after="120" w:line="360" w:lineRule="auto"/>
      <w:ind w:firstLine="851"/>
      <w:jc w:val="both"/>
    </w:pPr>
    <w:rPr>
      <w:rFonts w:ascii="Arial" w:eastAsia="Calibri" w:hAnsi="Arial"/>
      <w:i/>
      <w:iCs/>
      <w:color w:val="000000"/>
      <w:sz w:val="24"/>
      <w:lang w:eastAsia="ar-SA"/>
    </w:rPr>
  </w:style>
  <w:style w:type="character" w:customStyle="1" w:styleId="CitaoChar">
    <w:name w:val="Citação Char"/>
    <w:basedOn w:val="Fontepargpadro"/>
    <w:link w:val="Citao"/>
    <w:rsid w:val="00D24E61"/>
    <w:rPr>
      <w:rFonts w:ascii="Arial" w:eastAsia="Calibri" w:hAnsi="Arial"/>
      <w:i/>
      <w:iCs/>
      <w:color w:val="000000"/>
      <w:sz w:val="24"/>
      <w:lang w:eastAsia="ar-SA"/>
    </w:rPr>
  </w:style>
  <w:style w:type="paragraph" w:customStyle="1" w:styleId="citao0">
    <w:name w:val="citação"/>
    <w:basedOn w:val="Citao"/>
    <w:qFormat/>
    <w:rsid w:val="00D24E61"/>
    <w:pPr>
      <w:spacing w:before="0" w:after="0" w:line="240" w:lineRule="auto"/>
      <w:ind w:left="2268" w:firstLine="0"/>
    </w:pPr>
    <w:rPr>
      <w:i w:val="0"/>
      <w:sz w:val="20"/>
    </w:rPr>
  </w:style>
  <w:style w:type="paragraph" w:customStyle="1" w:styleId="NORMAL2">
    <w:name w:val="NORMAL2"/>
    <w:basedOn w:val="Normal"/>
    <w:qFormat/>
    <w:rsid w:val="00D24E61"/>
    <w:pPr>
      <w:suppressAutoHyphens/>
      <w:spacing w:before="200"/>
      <w:ind w:firstLine="709"/>
      <w:jc w:val="both"/>
    </w:pPr>
    <w:rPr>
      <w:rFonts w:ascii="Arial" w:eastAsia="Arial Unicode MS" w:hAnsi="Arial" w:cs="Tahoma"/>
      <w:kern w:val="24"/>
      <w:sz w:val="24"/>
      <w:lang w:eastAsia="ar-SA"/>
    </w:rPr>
  </w:style>
  <w:style w:type="character" w:customStyle="1" w:styleId="hps">
    <w:name w:val="hps"/>
    <w:rsid w:val="00D24E61"/>
  </w:style>
  <w:style w:type="character" w:customStyle="1" w:styleId="atn">
    <w:name w:val="atn"/>
    <w:rsid w:val="00D24E61"/>
  </w:style>
  <w:style w:type="character" w:customStyle="1" w:styleId="Ttulo3Char">
    <w:name w:val="Título 3 Char"/>
    <w:basedOn w:val="Fontepargpadro"/>
    <w:link w:val="Ttulo3"/>
    <w:uiPriority w:val="9"/>
    <w:rsid w:val="00D24E61"/>
    <w:rPr>
      <w:rFonts w:ascii="Cambria" w:hAnsi="Cambria"/>
      <w:b/>
      <w:bCs/>
      <w:sz w:val="26"/>
      <w:szCs w:val="26"/>
      <w:lang w:eastAsia="en-US"/>
    </w:rPr>
  </w:style>
  <w:style w:type="paragraph" w:customStyle="1" w:styleId="membro">
    <w:name w:val="membro"/>
    <w:basedOn w:val="Normal"/>
    <w:rsid w:val="00D24E61"/>
    <w:pPr>
      <w:spacing w:before="100" w:beforeAutospacing="1" w:after="100" w:afterAutospacing="1"/>
    </w:pPr>
    <w:rPr>
      <w:sz w:val="24"/>
      <w:szCs w:val="24"/>
    </w:rPr>
  </w:style>
  <w:style w:type="character" w:styleId="nfase">
    <w:name w:val="Emphasis"/>
    <w:uiPriority w:val="20"/>
    <w:qFormat/>
    <w:rsid w:val="00D24E61"/>
    <w:rPr>
      <w:i/>
      <w:iCs/>
    </w:rPr>
  </w:style>
  <w:style w:type="paragraph" w:styleId="NormalWeb">
    <w:name w:val="Normal (Web)"/>
    <w:basedOn w:val="Normal"/>
    <w:uiPriority w:val="99"/>
    <w:unhideWhenUsed/>
    <w:rsid w:val="00D24E61"/>
    <w:pPr>
      <w:spacing w:before="100" w:beforeAutospacing="1" w:after="100" w:afterAutospacing="1"/>
    </w:pPr>
    <w:rPr>
      <w:sz w:val="24"/>
      <w:szCs w:val="24"/>
    </w:rPr>
  </w:style>
  <w:style w:type="character" w:customStyle="1" w:styleId="apple-style-span">
    <w:name w:val="apple-style-span"/>
    <w:basedOn w:val="Fontepargpadro"/>
    <w:rsid w:val="00D24E61"/>
  </w:style>
  <w:style w:type="character" w:customStyle="1" w:styleId="preto">
    <w:name w:val="preto"/>
    <w:basedOn w:val="Fontepargpadro"/>
    <w:rsid w:val="00D24E61"/>
  </w:style>
  <w:style w:type="paragraph" w:styleId="Corpodetexto">
    <w:name w:val="Body Text"/>
    <w:basedOn w:val="Normal"/>
    <w:link w:val="CorpodetextoChar"/>
    <w:uiPriority w:val="99"/>
    <w:unhideWhenUsed/>
    <w:rsid w:val="00D24E61"/>
    <w:pPr>
      <w:spacing w:before="100" w:beforeAutospacing="1" w:after="100" w:afterAutospacing="1"/>
    </w:pPr>
    <w:rPr>
      <w:sz w:val="24"/>
      <w:szCs w:val="24"/>
    </w:rPr>
  </w:style>
  <w:style w:type="character" w:customStyle="1" w:styleId="CorpodetextoChar">
    <w:name w:val="Corpo de texto Char"/>
    <w:basedOn w:val="Fontepargpadro"/>
    <w:link w:val="Corpodetexto"/>
    <w:uiPriority w:val="99"/>
    <w:rsid w:val="00D24E61"/>
    <w:rPr>
      <w:sz w:val="24"/>
      <w:szCs w:val="24"/>
    </w:rPr>
  </w:style>
  <w:style w:type="paragraph" w:styleId="Rodap">
    <w:name w:val="footer"/>
    <w:basedOn w:val="Normal"/>
    <w:link w:val="RodapChar"/>
    <w:unhideWhenUsed/>
    <w:rsid w:val="00D24E61"/>
    <w:pPr>
      <w:tabs>
        <w:tab w:val="center" w:pos="4252"/>
        <w:tab w:val="right" w:pos="8504"/>
      </w:tabs>
      <w:spacing w:after="200" w:line="276" w:lineRule="auto"/>
    </w:pPr>
    <w:rPr>
      <w:rFonts w:ascii="Calibri" w:eastAsia="Calibri" w:hAnsi="Calibri"/>
      <w:lang w:eastAsia="en-US"/>
    </w:rPr>
  </w:style>
  <w:style w:type="character" w:customStyle="1" w:styleId="RodapChar">
    <w:name w:val="Rodapé Char"/>
    <w:basedOn w:val="Fontepargpadro"/>
    <w:link w:val="Rodap"/>
    <w:uiPriority w:val="99"/>
    <w:rsid w:val="00D24E61"/>
    <w:rPr>
      <w:rFonts w:ascii="Calibri" w:eastAsia="Calibri" w:hAnsi="Calibri"/>
      <w:lang w:eastAsia="en-US"/>
    </w:rPr>
  </w:style>
  <w:style w:type="character" w:customStyle="1" w:styleId="fourgenhighlight">
    <w:name w:val="fourgen_highlight"/>
    <w:basedOn w:val="Fontepargpadro"/>
    <w:rsid w:val="00D24E61"/>
  </w:style>
  <w:style w:type="paragraph" w:customStyle="1" w:styleId="Corpodetexto21">
    <w:name w:val="Corpo de texto 21"/>
    <w:basedOn w:val="Normal"/>
    <w:rsid w:val="00D24E61"/>
    <w:pPr>
      <w:suppressAutoHyphens/>
      <w:overflowPunct w:val="0"/>
      <w:autoSpaceDE w:val="0"/>
      <w:spacing w:line="480" w:lineRule="auto"/>
      <w:textAlignment w:val="baseline"/>
    </w:pPr>
    <w:rPr>
      <w:b/>
      <w:sz w:val="24"/>
      <w:szCs w:val="20"/>
      <w:lang w:eastAsia="ar-SA"/>
    </w:rPr>
  </w:style>
  <w:style w:type="character" w:styleId="Forte">
    <w:name w:val="Strong"/>
    <w:uiPriority w:val="22"/>
    <w:qFormat/>
    <w:rsid w:val="00D24E61"/>
    <w:rPr>
      <w:b/>
      <w:bCs/>
    </w:rPr>
  </w:style>
  <w:style w:type="paragraph" w:styleId="Corpodetexto3">
    <w:name w:val="Body Text 3"/>
    <w:basedOn w:val="Normal"/>
    <w:link w:val="Corpodetexto3Char"/>
    <w:uiPriority w:val="99"/>
    <w:semiHidden/>
    <w:unhideWhenUsed/>
    <w:rsid w:val="00D24E61"/>
    <w:pPr>
      <w:spacing w:after="120" w:line="276" w:lineRule="auto"/>
    </w:pPr>
    <w:rPr>
      <w:rFonts w:ascii="Calibri" w:eastAsia="Calibri" w:hAnsi="Calibri"/>
      <w:sz w:val="16"/>
      <w:szCs w:val="16"/>
      <w:lang w:eastAsia="en-US"/>
    </w:rPr>
  </w:style>
  <w:style w:type="character" w:customStyle="1" w:styleId="Corpodetexto3Char">
    <w:name w:val="Corpo de texto 3 Char"/>
    <w:basedOn w:val="Fontepargpadro"/>
    <w:link w:val="Corpodetexto3"/>
    <w:uiPriority w:val="99"/>
    <w:semiHidden/>
    <w:rsid w:val="00D24E61"/>
    <w:rPr>
      <w:rFonts w:ascii="Calibri" w:eastAsia="Calibri" w:hAnsi="Calibri"/>
      <w:sz w:val="16"/>
      <w:szCs w:val="16"/>
      <w:lang w:eastAsia="en-US"/>
    </w:rPr>
  </w:style>
  <w:style w:type="character" w:customStyle="1" w:styleId="longtext">
    <w:name w:val="long_text"/>
    <w:basedOn w:val="Fontepargpadro"/>
    <w:rsid w:val="00D24E61"/>
  </w:style>
  <w:style w:type="paragraph" w:styleId="Corpodetexto2">
    <w:name w:val="Body Text 2"/>
    <w:basedOn w:val="Normal"/>
    <w:link w:val="Corpodetexto2Char"/>
    <w:uiPriority w:val="99"/>
    <w:unhideWhenUsed/>
    <w:rsid w:val="00D24E61"/>
    <w:pPr>
      <w:spacing w:after="120" w:line="480" w:lineRule="auto"/>
    </w:pPr>
    <w:rPr>
      <w:sz w:val="24"/>
      <w:szCs w:val="24"/>
    </w:rPr>
  </w:style>
  <w:style w:type="character" w:customStyle="1" w:styleId="Corpodetexto2Char">
    <w:name w:val="Corpo de texto 2 Char"/>
    <w:basedOn w:val="Fontepargpadro"/>
    <w:link w:val="Corpodetexto2"/>
    <w:uiPriority w:val="99"/>
    <w:rsid w:val="00D24E61"/>
    <w:rPr>
      <w:sz w:val="24"/>
      <w:szCs w:val="24"/>
    </w:rPr>
  </w:style>
  <w:style w:type="paragraph" w:styleId="Reviso">
    <w:name w:val="Revision"/>
    <w:hidden/>
    <w:uiPriority w:val="99"/>
    <w:semiHidden/>
    <w:rsid w:val="00D24E61"/>
    <w:rPr>
      <w:rFonts w:ascii="Calibri" w:eastAsia="Calibri" w:hAnsi="Calibri"/>
      <w:lang w:eastAsia="en-US"/>
    </w:rPr>
  </w:style>
  <w:style w:type="paragraph" w:styleId="Textodebalo">
    <w:name w:val="Balloon Text"/>
    <w:basedOn w:val="Normal"/>
    <w:link w:val="TextodebaloChar"/>
    <w:uiPriority w:val="99"/>
    <w:semiHidden/>
    <w:unhideWhenUsed/>
    <w:rsid w:val="00D24E61"/>
    <w:rPr>
      <w:rFonts w:ascii="Tahoma" w:eastAsia="Calibri" w:hAnsi="Tahoma"/>
      <w:sz w:val="16"/>
      <w:szCs w:val="16"/>
      <w:lang w:eastAsia="en-US"/>
    </w:rPr>
  </w:style>
  <w:style w:type="character" w:customStyle="1" w:styleId="TextodebaloChar">
    <w:name w:val="Texto de balão Char"/>
    <w:basedOn w:val="Fontepargpadro"/>
    <w:link w:val="Textodebalo"/>
    <w:uiPriority w:val="99"/>
    <w:semiHidden/>
    <w:rsid w:val="00D24E61"/>
    <w:rPr>
      <w:rFonts w:ascii="Tahoma" w:eastAsia="Calibri" w:hAnsi="Tahoma"/>
      <w:sz w:val="16"/>
      <w:szCs w:val="16"/>
      <w:lang w:eastAsia="en-US"/>
    </w:rPr>
  </w:style>
  <w:style w:type="character" w:styleId="Refdecomentrio">
    <w:name w:val="annotation reference"/>
    <w:uiPriority w:val="99"/>
    <w:semiHidden/>
    <w:unhideWhenUsed/>
    <w:rsid w:val="00D24E61"/>
    <w:rPr>
      <w:sz w:val="16"/>
      <w:szCs w:val="16"/>
    </w:rPr>
  </w:style>
  <w:style w:type="paragraph" w:styleId="Textodecomentrio">
    <w:name w:val="annotation text"/>
    <w:basedOn w:val="Normal"/>
    <w:link w:val="TextodecomentrioChar"/>
    <w:uiPriority w:val="99"/>
    <w:semiHidden/>
    <w:unhideWhenUsed/>
    <w:rsid w:val="00D24E61"/>
    <w:pPr>
      <w:spacing w:after="200" w:line="276" w:lineRule="auto"/>
    </w:pPr>
    <w:rPr>
      <w:rFonts w:ascii="Calibri" w:eastAsia="Calibri" w:hAnsi="Calibri"/>
      <w:sz w:val="20"/>
      <w:szCs w:val="20"/>
      <w:lang w:eastAsia="en-US"/>
    </w:rPr>
  </w:style>
  <w:style w:type="character" w:customStyle="1" w:styleId="TextodecomentrioChar">
    <w:name w:val="Texto de comentário Char"/>
    <w:basedOn w:val="Fontepargpadro"/>
    <w:link w:val="Textodecomentrio"/>
    <w:uiPriority w:val="99"/>
    <w:semiHidden/>
    <w:rsid w:val="00D24E61"/>
    <w:rPr>
      <w:rFonts w:ascii="Calibri" w:eastAsia="Calibri" w:hAnsi="Calibr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D24E61"/>
    <w:rPr>
      <w:b/>
      <w:bCs/>
    </w:rPr>
  </w:style>
  <w:style w:type="character" w:customStyle="1" w:styleId="AssuntodocomentrioChar">
    <w:name w:val="Assunto do comentário Char"/>
    <w:basedOn w:val="TextodecomentrioChar"/>
    <w:link w:val="Assuntodocomentrio"/>
    <w:uiPriority w:val="99"/>
    <w:semiHidden/>
    <w:rsid w:val="00D24E61"/>
    <w:rPr>
      <w:rFonts w:ascii="Calibri" w:eastAsia="Calibri" w:hAnsi="Calibri"/>
      <w:b/>
      <w:bCs/>
      <w:sz w:val="20"/>
      <w:szCs w:val="20"/>
      <w:lang w:eastAsia="en-US"/>
    </w:rPr>
  </w:style>
  <w:style w:type="paragraph" w:customStyle="1" w:styleId="Default">
    <w:name w:val="Default"/>
    <w:rsid w:val="00D24E61"/>
    <w:pPr>
      <w:autoSpaceDE w:val="0"/>
      <w:autoSpaceDN w:val="0"/>
      <w:adjustRightInd w:val="0"/>
    </w:pPr>
    <w:rPr>
      <w:rFonts w:eastAsia="Calibri"/>
      <w:color w:val="000000"/>
      <w:sz w:val="24"/>
      <w:szCs w:val="24"/>
      <w:lang w:eastAsia="en-US"/>
    </w:rPr>
  </w:style>
  <w:style w:type="character" w:customStyle="1" w:styleId="st">
    <w:name w:val="st"/>
    <w:basedOn w:val="Fontepargpadro"/>
    <w:rsid w:val="00D24E61"/>
  </w:style>
  <w:style w:type="paragraph" w:customStyle="1" w:styleId="Noparagraphstyle">
    <w:name w:val="[No paragraph style]"/>
    <w:rsid w:val="00D24E61"/>
    <w:pPr>
      <w:widowControl w:val="0"/>
      <w:autoSpaceDE w:val="0"/>
      <w:autoSpaceDN w:val="0"/>
      <w:adjustRightInd w:val="0"/>
      <w:spacing w:line="288" w:lineRule="auto"/>
      <w:textAlignment w:val="center"/>
    </w:pPr>
    <w:rPr>
      <w:color w:val="000000"/>
      <w:sz w:val="24"/>
      <w:szCs w:val="24"/>
      <w:lang w:val="en-US"/>
    </w:rPr>
  </w:style>
  <w:style w:type="paragraph" w:customStyle="1" w:styleId="western">
    <w:name w:val="western"/>
    <w:basedOn w:val="Normal"/>
    <w:rsid w:val="00D24E61"/>
    <w:pPr>
      <w:spacing w:before="100" w:beforeAutospacing="1" w:after="119"/>
    </w:pPr>
    <w:rPr>
      <w:sz w:val="24"/>
      <w:szCs w:val="24"/>
    </w:rPr>
  </w:style>
  <w:style w:type="paragraph" w:customStyle="1" w:styleId="Pa6">
    <w:name w:val="Pa6"/>
    <w:basedOn w:val="Default"/>
    <w:next w:val="Default"/>
    <w:uiPriority w:val="99"/>
    <w:rsid w:val="00D24E61"/>
    <w:pPr>
      <w:spacing w:line="221" w:lineRule="atLeast"/>
    </w:pPr>
    <w:rPr>
      <w:rFonts w:ascii="Chronicle Text G1" w:hAnsi="Chronicle Text G1"/>
      <w:color w:val="auto"/>
      <w:lang w:eastAsia="pt-BR"/>
    </w:rPr>
  </w:style>
  <w:style w:type="character" w:customStyle="1" w:styleId="A14">
    <w:name w:val="A14"/>
    <w:uiPriority w:val="99"/>
    <w:rsid w:val="00D24E61"/>
    <w:rPr>
      <w:rFonts w:ascii="Chronicle Text G1 Bold" w:hAnsi="Chronicle Text G1 Bold" w:cs="Chronicle Text G1 Bold"/>
      <w:b/>
      <w:bCs/>
      <w:color w:val="000000"/>
      <w:sz w:val="18"/>
      <w:szCs w:val="18"/>
    </w:rPr>
  </w:style>
  <w:style w:type="character" w:customStyle="1" w:styleId="A15">
    <w:name w:val="A15"/>
    <w:uiPriority w:val="99"/>
    <w:rsid w:val="00D24E61"/>
    <w:rPr>
      <w:rFonts w:ascii="Chronicle Text G1 Semi" w:hAnsi="Chronicle Text G1 Semi" w:cs="Chronicle Text G1 Semi"/>
      <w:color w:val="000000"/>
      <w:sz w:val="18"/>
      <w:szCs w:val="18"/>
      <w:u w:val="single"/>
    </w:rPr>
  </w:style>
  <w:style w:type="character" w:customStyle="1" w:styleId="a">
    <w:name w:val="a"/>
    <w:basedOn w:val="Fontepargpadro"/>
    <w:rsid w:val="00D24E61"/>
  </w:style>
  <w:style w:type="paragraph" w:customStyle="1" w:styleId="Standard">
    <w:name w:val="Standard"/>
    <w:rsid w:val="00D24E61"/>
    <w:pPr>
      <w:suppressAutoHyphens/>
      <w:autoSpaceDN w:val="0"/>
      <w:spacing w:after="200" w:line="276" w:lineRule="auto"/>
    </w:pPr>
    <w:rPr>
      <w:rFonts w:ascii="Calibri" w:hAnsi="Calibri" w:cs="F"/>
      <w:kern w:val="3"/>
      <w:lang w:eastAsia="en-US"/>
    </w:rPr>
  </w:style>
  <w:style w:type="paragraph" w:customStyle="1" w:styleId="BNDES">
    <w:name w:val="BNDES"/>
    <w:rsid w:val="00D24E61"/>
    <w:pPr>
      <w:jc w:val="both"/>
    </w:pPr>
    <w:rPr>
      <w:rFonts w:ascii="Arial" w:hAnsi="Arial"/>
      <w:sz w:val="24"/>
      <w:szCs w:val="20"/>
    </w:rPr>
  </w:style>
  <w:style w:type="character" w:customStyle="1" w:styleId="gsa1">
    <w:name w:val="gs_a1"/>
    <w:uiPriority w:val="99"/>
    <w:rsid w:val="00D24E61"/>
    <w:rPr>
      <w:color w:val="008000"/>
    </w:rPr>
  </w:style>
  <w:style w:type="character" w:customStyle="1" w:styleId="x-archive-meta-description">
    <w:name w:val="x-archive-meta-description"/>
    <w:basedOn w:val="Fontepargpadro"/>
    <w:rsid w:val="00D24E61"/>
  </w:style>
  <w:style w:type="paragraph" w:styleId="Textodenotadefim">
    <w:name w:val="endnote text"/>
    <w:basedOn w:val="Normal"/>
    <w:link w:val="TextodenotadefimChar"/>
    <w:unhideWhenUsed/>
    <w:rsid w:val="00D24E61"/>
    <w:rPr>
      <w:rFonts w:ascii="Calibri" w:eastAsia="Calibri" w:hAnsi="Calibri"/>
      <w:sz w:val="20"/>
      <w:szCs w:val="20"/>
      <w:lang w:eastAsia="en-US"/>
    </w:rPr>
  </w:style>
  <w:style w:type="character" w:customStyle="1" w:styleId="TextodenotadefimChar">
    <w:name w:val="Texto de nota de fim Char"/>
    <w:basedOn w:val="Fontepargpadro"/>
    <w:link w:val="Textodenotadefim"/>
    <w:rsid w:val="00D24E61"/>
    <w:rPr>
      <w:rFonts w:ascii="Calibri" w:eastAsia="Calibri" w:hAnsi="Calibri"/>
      <w:sz w:val="20"/>
      <w:szCs w:val="20"/>
      <w:lang w:eastAsia="en-US"/>
    </w:rPr>
  </w:style>
  <w:style w:type="paragraph" w:customStyle="1" w:styleId="FG9autor">
    <w:name w:val="FG9_autor"/>
    <w:basedOn w:val="Normal"/>
    <w:link w:val="FG9autorChar"/>
    <w:rsid w:val="00D24E61"/>
    <w:pPr>
      <w:suppressAutoHyphens/>
      <w:jc w:val="right"/>
    </w:pPr>
    <w:rPr>
      <w:rFonts w:eastAsia="Calibri"/>
      <w:sz w:val="24"/>
      <w:lang w:eastAsia="ar-SA"/>
    </w:rPr>
  </w:style>
  <w:style w:type="character" w:customStyle="1" w:styleId="FG9autorChar">
    <w:name w:val="FG9_autor Char"/>
    <w:link w:val="FG9autor"/>
    <w:rsid w:val="00D24E61"/>
    <w:rPr>
      <w:rFonts w:eastAsia="Calibri"/>
      <w:sz w:val="24"/>
      <w:lang w:eastAsia="ar-SA"/>
    </w:rPr>
  </w:style>
  <w:style w:type="character" w:customStyle="1" w:styleId="Ttulo4Char">
    <w:name w:val="Título 4 Char"/>
    <w:basedOn w:val="Fontepargpadro"/>
    <w:link w:val="Ttulo4"/>
    <w:uiPriority w:val="9"/>
    <w:rsid w:val="00D24E61"/>
    <w:rPr>
      <w:rFonts w:ascii="Cambria" w:hAnsi="Cambria"/>
      <w:b/>
      <w:bCs/>
      <w:i/>
      <w:iCs/>
      <w:color w:val="4F81BD"/>
      <w:sz w:val="24"/>
      <w:lang w:eastAsia="en-US"/>
    </w:rPr>
  </w:style>
  <w:style w:type="character" w:customStyle="1" w:styleId="Ttulo5Char">
    <w:name w:val="Título 5 Char"/>
    <w:basedOn w:val="Fontepargpadro"/>
    <w:link w:val="Ttulo5"/>
    <w:uiPriority w:val="9"/>
    <w:semiHidden/>
    <w:rsid w:val="00D24E61"/>
    <w:rPr>
      <w:rFonts w:ascii="Cambria" w:hAnsi="Cambria"/>
      <w:color w:val="243F60"/>
      <w:sz w:val="24"/>
      <w:lang w:eastAsia="en-US"/>
    </w:rPr>
  </w:style>
  <w:style w:type="character" w:customStyle="1" w:styleId="Ttulo6Char">
    <w:name w:val="Título 6 Char"/>
    <w:basedOn w:val="Fontepargpadro"/>
    <w:link w:val="Ttulo6"/>
    <w:uiPriority w:val="9"/>
    <w:rsid w:val="00D24E61"/>
    <w:rPr>
      <w:rFonts w:ascii="Cambria" w:hAnsi="Cambria"/>
      <w:i/>
      <w:iCs/>
      <w:color w:val="243F60"/>
      <w:sz w:val="24"/>
      <w:lang w:eastAsia="en-US"/>
    </w:rPr>
  </w:style>
  <w:style w:type="character" w:customStyle="1" w:styleId="Ttulo7Char">
    <w:name w:val="Título 7 Char"/>
    <w:basedOn w:val="Fontepargpadro"/>
    <w:link w:val="Ttulo7"/>
    <w:uiPriority w:val="9"/>
    <w:semiHidden/>
    <w:rsid w:val="00D24E61"/>
    <w:rPr>
      <w:rFonts w:ascii="Cambria" w:hAnsi="Cambria"/>
      <w:i/>
      <w:iCs/>
      <w:color w:val="404040"/>
      <w:sz w:val="24"/>
      <w:lang w:eastAsia="en-US"/>
    </w:rPr>
  </w:style>
  <w:style w:type="character" w:customStyle="1" w:styleId="Ttulo8Char">
    <w:name w:val="Título 8 Char"/>
    <w:basedOn w:val="Fontepargpadro"/>
    <w:link w:val="Ttulo8"/>
    <w:uiPriority w:val="9"/>
    <w:semiHidden/>
    <w:rsid w:val="00D24E61"/>
    <w:rPr>
      <w:rFonts w:ascii="Cambria" w:hAnsi="Cambria"/>
      <w:color w:val="404040"/>
      <w:sz w:val="20"/>
      <w:szCs w:val="20"/>
      <w:lang w:eastAsia="en-US"/>
    </w:rPr>
  </w:style>
  <w:style w:type="character" w:customStyle="1" w:styleId="Ttulo9Char">
    <w:name w:val="Título 9 Char"/>
    <w:basedOn w:val="Fontepargpadro"/>
    <w:link w:val="Ttulo9"/>
    <w:uiPriority w:val="9"/>
    <w:semiHidden/>
    <w:rsid w:val="00D24E61"/>
    <w:rPr>
      <w:rFonts w:ascii="Cambria" w:hAnsi="Cambria"/>
      <w:i/>
      <w:iCs/>
      <w:color w:val="404040"/>
      <w:sz w:val="20"/>
      <w:szCs w:val="20"/>
      <w:lang w:eastAsia="en-US"/>
    </w:rPr>
  </w:style>
  <w:style w:type="paragraph" w:customStyle="1" w:styleId="ABNT">
    <w:name w:val="ABNT"/>
    <w:basedOn w:val="Normal"/>
    <w:link w:val="ABNTChar"/>
    <w:qFormat/>
    <w:rsid w:val="00D24E61"/>
    <w:pPr>
      <w:spacing w:line="360" w:lineRule="auto"/>
      <w:ind w:firstLine="709"/>
      <w:jc w:val="both"/>
    </w:pPr>
    <w:rPr>
      <w:rFonts w:eastAsia="Calibri" w:cs="Arial"/>
      <w:sz w:val="24"/>
      <w:lang w:eastAsia="en-US"/>
    </w:rPr>
  </w:style>
  <w:style w:type="paragraph" w:styleId="MapadoDocumento">
    <w:name w:val="Document Map"/>
    <w:basedOn w:val="Normal"/>
    <w:link w:val="MapadoDocumentoChar"/>
    <w:uiPriority w:val="99"/>
    <w:semiHidden/>
    <w:unhideWhenUsed/>
    <w:rsid w:val="00D24E61"/>
    <w:pPr>
      <w:jc w:val="both"/>
    </w:pPr>
    <w:rPr>
      <w:rFonts w:ascii="Tahoma" w:eastAsia="Calibri" w:hAnsi="Tahoma" w:cs="Tahoma"/>
      <w:sz w:val="16"/>
      <w:szCs w:val="16"/>
      <w:lang w:eastAsia="en-US"/>
    </w:rPr>
  </w:style>
  <w:style w:type="character" w:customStyle="1" w:styleId="MapadoDocumentoChar">
    <w:name w:val="Mapa do Documento Char"/>
    <w:basedOn w:val="Fontepargpadro"/>
    <w:link w:val="MapadoDocumento"/>
    <w:uiPriority w:val="99"/>
    <w:semiHidden/>
    <w:rsid w:val="00D24E61"/>
    <w:rPr>
      <w:rFonts w:ascii="Tahoma" w:eastAsia="Calibri" w:hAnsi="Tahoma" w:cs="Tahoma"/>
      <w:sz w:val="16"/>
      <w:szCs w:val="16"/>
      <w:lang w:eastAsia="en-US"/>
    </w:rPr>
  </w:style>
  <w:style w:type="character" w:customStyle="1" w:styleId="ABNTChar">
    <w:name w:val="ABNT Char"/>
    <w:basedOn w:val="Fontepargpadro"/>
    <w:link w:val="ABNT"/>
    <w:rsid w:val="00D24E61"/>
    <w:rPr>
      <w:rFonts w:eastAsia="Calibri" w:cs="Arial"/>
      <w:sz w:val="24"/>
      <w:lang w:eastAsia="en-US"/>
    </w:rPr>
  </w:style>
  <w:style w:type="paragraph" w:customStyle="1" w:styleId="corpodetextoABNT">
    <w:name w:val="corpode texto ABNT"/>
    <w:basedOn w:val="Normal"/>
    <w:link w:val="corpodetextoABNTChar"/>
    <w:qFormat/>
    <w:rsid w:val="00D24E61"/>
    <w:pPr>
      <w:widowControl w:val="0"/>
      <w:ind w:firstLine="709"/>
      <w:jc w:val="both"/>
    </w:pPr>
    <w:rPr>
      <w:rFonts w:ascii="Arial" w:hAnsi="Arial" w:cs="Arial"/>
      <w:sz w:val="24"/>
      <w:szCs w:val="24"/>
    </w:rPr>
  </w:style>
  <w:style w:type="character" w:customStyle="1" w:styleId="corpodetextoABNTChar">
    <w:name w:val="corpode texto ABNT Char"/>
    <w:basedOn w:val="Fontepargpadro"/>
    <w:link w:val="corpodetextoABNT"/>
    <w:rsid w:val="00D24E61"/>
    <w:rPr>
      <w:rFonts w:ascii="Arial" w:hAnsi="Arial" w:cs="Arial"/>
      <w:sz w:val="24"/>
      <w:szCs w:val="24"/>
    </w:rPr>
  </w:style>
  <w:style w:type="paragraph" w:customStyle="1" w:styleId="citaolonga">
    <w:name w:val="citação longa"/>
    <w:basedOn w:val="ABNT"/>
    <w:qFormat/>
    <w:rsid w:val="00D24E61"/>
    <w:pPr>
      <w:spacing w:line="240" w:lineRule="auto"/>
      <w:ind w:left="2268" w:firstLine="0"/>
    </w:pPr>
    <w:rPr>
      <w:sz w:val="20"/>
      <w:szCs w:val="20"/>
    </w:rPr>
  </w:style>
  <w:style w:type="numbering" w:customStyle="1" w:styleId="Estilo1">
    <w:name w:val="Estilo1"/>
    <w:uiPriority w:val="99"/>
    <w:rsid w:val="00D24E61"/>
    <w:pPr>
      <w:numPr>
        <w:numId w:val="43"/>
      </w:numPr>
    </w:pPr>
  </w:style>
  <w:style w:type="character" w:styleId="CitaoHTML">
    <w:name w:val="HTML Cite"/>
    <w:uiPriority w:val="99"/>
    <w:semiHidden/>
    <w:unhideWhenUsed/>
    <w:rsid w:val="00D24E61"/>
    <w:rPr>
      <w:i/>
      <w:iCs/>
    </w:rPr>
  </w:style>
  <w:style w:type="paragraph" w:customStyle="1" w:styleId="Pa8">
    <w:name w:val="Pa8"/>
    <w:basedOn w:val="Normal"/>
    <w:next w:val="Normal"/>
    <w:uiPriority w:val="99"/>
    <w:rsid w:val="00D24E61"/>
    <w:pPr>
      <w:autoSpaceDE w:val="0"/>
      <w:autoSpaceDN w:val="0"/>
      <w:adjustRightInd w:val="0"/>
      <w:spacing w:line="240" w:lineRule="atLeast"/>
    </w:pPr>
    <w:rPr>
      <w:rFonts w:ascii="Garamond" w:eastAsia="Calibri" w:hAnsi="Garamond"/>
      <w:sz w:val="24"/>
      <w:szCs w:val="24"/>
    </w:rPr>
  </w:style>
  <w:style w:type="paragraph" w:customStyle="1" w:styleId="Pa1">
    <w:name w:val="Pa1"/>
    <w:basedOn w:val="Normal"/>
    <w:next w:val="Normal"/>
    <w:uiPriority w:val="99"/>
    <w:rsid w:val="00D24E61"/>
    <w:pPr>
      <w:autoSpaceDE w:val="0"/>
      <w:autoSpaceDN w:val="0"/>
      <w:adjustRightInd w:val="0"/>
      <w:spacing w:line="240" w:lineRule="atLeast"/>
    </w:pPr>
    <w:rPr>
      <w:rFonts w:ascii="Garamond" w:eastAsia="Calibri" w:hAnsi="Garamond"/>
      <w:sz w:val="24"/>
      <w:szCs w:val="24"/>
    </w:rPr>
  </w:style>
  <w:style w:type="character" w:customStyle="1" w:styleId="A1">
    <w:name w:val="A1"/>
    <w:uiPriority w:val="99"/>
    <w:rsid w:val="00D24E61"/>
    <w:rPr>
      <w:rFonts w:cs="Garamond"/>
      <w:color w:val="000000"/>
      <w:sz w:val="18"/>
      <w:szCs w:val="18"/>
    </w:rPr>
  </w:style>
  <w:style w:type="character" w:customStyle="1" w:styleId="A0">
    <w:name w:val="A0"/>
    <w:uiPriority w:val="99"/>
    <w:rsid w:val="00D24E61"/>
    <w:rPr>
      <w:color w:val="000000"/>
      <w:sz w:val="20"/>
      <w:szCs w:val="20"/>
    </w:rPr>
  </w:style>
  <w:style w:type="character" w:customStyle="1" w:styleId="Caracteresdenotadefim">
    <w:name w:val="Caracteres de nota de fim"/>
    <w:rsid w:val="00D24E61"/>
    <w:rPr>
      <w:vertAlign w:val="superscript"/>
    </w:rPr>
  </w:style>
  <w:style w:type="character" w:customStyle="1" w:styleId="WW-Caracteresdenotadefim">
    <w:name w:val="WW-Caracteres de nota de fim"/>
    <w:rsid w:val="00D24E61"/>
  </w:style>
  <w:style w:type="character" w:styleId="Refdenotadefim">
    <w:name w:val="endnote reference"/>
    <w:rsid w:val="00D24E61"/>
    <w:rPr>
      <w:vertAlign w:val="superscript"/>
    </w:rPr>
  </w:style>
  <w:style w:type="paragraph" w:customStyle="1" w:styleId="Ttulo10">
    <w:name w:val="Título1"/>
    <w:basedOn w:val="Normal"/>
    <w:next w:val="Corpodetexto"/>
    <w:rsid w:val="00771368"/>
    <w:pPr>
      <w:keepNext/>
      <w:widowControl w:val="0"/>
      <w:suppressAutoHyphens/>
      <w:spacing w:before="240" w:after="120"/>
      <w:jc w:val="right"/>
    </w:pPr>
    <w:rPr>
      <w:rFonts w:eastAsia="Microsoft YaHei" w:cs="Mangal"/>
      <w:kern w:val="1"/>
      <w:sz w:val="24"/>
      <w:szCs w:val="28"/>
      <w:lang w:eastAsia="hi-IN" w:bidi="hi-IN"/>
    </w:rPr>
  </w:style>
  <w:style w:type="paragraph" w:styleId="Lista">
    <w:name w:val="List"/>
    <w:basedOn w:val="Corpodetexto"/>
    <w:uiPriority w:val="99"/>
    <w:rsid w:val="00D24E61"/>
    <w:pPr>
      <w:widowControl w:val="0"/>
      <w:suppressAutoHyphens/>
      <w:spacing w:before="0" w:beforeAutospacing="0" w:after="120" w:afterAutospacing="0"/>
    </w:pPr>
    <w:rPr>
      <w:rFonts w:eastAsia="SimSun" w:cs="Mangal"/>
      <w:kern w:val="1"/>
      <w:lang w:eastAsia="hi-IN" w:bidi="hi-IN"/>
    </w:rPr>
  </w:style>
  <w:style w:type="paragraph" w:customStyle="1" w:styleId="Legenda1">
    <w:name w:val="Legenda1"/>
    <w:basedOn w:val="Normal"/>
    <w:rsid w:val="00D24E61"/>
    <w:pPr>
      <w:widowControl w:val="0"/>
      <w:suppressLineNumbers/>
      <w:suppressAutoHyphens/>
      <w:spacing w:before="120" w:after="120"/>
    </w:pPr>
    <w:rPr>
      <w:rFonts w:eastAsia="SimSun" w:cs="Mangal"/>
      <w:i/>
      <w:iCs/>
      <w:kern w:val="1"/>
      <w:sz w:val="24"/>
      <w:szCs w:val="24"/>
      <w:lang w:eastAsia="hi-IN" w:bidi="hi-IN"/>
    </w:rPr>
  </w:style>
  <w:style w:type="paragraph" w:customStyle="1" w:styleId="ndice">
    <w:name w:val="Índice"/>
    <w:basedOn w:val="Normal"/>
    <w:rsid w:val="00D24E61"/>
    <w:pPr>
      <w:widowControl w:val="0"/>
      <w:suppressLineNumbers/>
      <w:suppressAutoHyphens/>
    </w:pPr>
    <w:rPr>
      <w:rFonts w:eastAsia="SimSun" w:cs="Mangal"/>
      <w:kern w:val="1"/>
      <w:sz w:val="24"/>
      <w:szCs w:val="24"/>
      <w:lang w:eastAsia="hi-IN" w:bidi="hi-IN"/>
    </w:rPr>
  </w:style>
  <w:style w:type="paragraph" w:styleId="Subttulo">
    <w:name w:val="Subtitle"/>
    <w:basedOn w:val="Ttulo10"/>
    <w:next w:val="Corpodetexto"/>
    <w:link w:val="SubttuloChar"/>
    <w:qFormat/>
    <w:rsid w:val="00D24E61"/>
    <w:pPr>
      <w:jc w:val="center"/>
    </w:pPr>
    <w:rPr>
      <w:i/>
      <w:iCs/>
    </w:rPr>
  </w:style>
  <w:style w:type="character" w:customStyle="1" w:styleId="SubttuloChar">
    <w:name w:val="Subtítulo Char"/>
    <w:basedOn w:val="Fontepargpadro"/>
    <w:link w:val="Subttulo"/>
    <w:rsid w:val="00D24E61"/>
    <w:rPr>
      <w:rFonts w:ascii="Arial" w:eastAsia="Microsoft YaHei" w:hAnsi="Arial" w:cs="Mangal"/>
      <w:i/>
      <w:iCs/>
      <w:kern w:val="1"/>
      <w:sz w:val="28"/>
      <w:szCs w:val="28"/>
      <w:lang w:eastAsia="hi-IN" w:bidi="hi-IN"/>
    </w:rPr>
  </w:style>
  <w:style w:type="paragraph" w:customStyle="1" w:styleId="Normal1">
    <w:name w:val="Normal1"/>
    <w:basedOn w:val="Normal"/>
    <w:rsid w:val="00D24E61"/>
    <w:pPr>
      <w:widowControl w:val="0"/>
      <w:suppressAutoHyphens/>
      <w:autoSpaceDE w:val="0"/>
    </w:pPr>
    <w:rPr>
      <w:rFonts w:ascii="Arial" w:eastAsia="Arial" w:hAnsi="Arial" w:cs="Arial"/>
      <w:color w:val="000000"/>
      <w:kern w:val="1"/>
      <w:sz w:val="24"/>
      <w:szCs w:val="24"/>
      <w:lang w:eastAsia="hi-IN" w:bidi="hi-IN"/>
    </w:rPr>
  </w:style>
  <w:style w:type="paragraph" w:customStyle="1" w:styleId="Dissertao1">
    <w:name w:val="Dissertação 1"/>
    <w:basedOn w:val="Normal"/>
    <w:link w:val="Dissertao1Char"/>
    <w:qFormat/>
    <w:rsid w:val="00D24E61"/>
    <w:pPr>
      <w:keepNext/>
      <w:keepLines/>
      <w:tabs>
        <w:tab w:val="num" w:pos="360"/>
      </w:tabs>
      <w:spacing w:before="100" w:beforeAutospacing="1" w:after="100" w:afterAutospacing="1"/>
      <w:ind w:left="578" w:hanging="578"/>
      <w:jc w:val="both"/>
      <w:outlineLvl w:val="1"/>
    </w:pPr>
    <w:rPr>
      <w:rFonts w:ascii="Arial" w:hAnsi="Arial"/>
      <w:b/>
      <w:bCs/>
      <w:sz w:val="24"/>
      <w:szCs w:val="24"/>
    </w:rPr>
  </w:style>
  <w:style w:type="character" w:customStyle="1" w:styleId="Dissertao1Char">
    <w:name w:val="Dissertação 1 Char"/>
    <w:link w:val="Dissertao1"/>
    <w:rsid w:val="00D24E61"/>
    <w:rPr>
      <w:rFonts w:ascii="Arial" w:hAnsi="Arial"/>
      <w:b/>
      <w:bCs/>
      <w:sz w:val="24"/>
      <w:szCs w:val="24"/>
    </w:rPr>
  </w:style>
  <w:style w:type="character" w:customStyle="1" w:styleId="style9">
    <w:name w:val="style9"/>
    <w:uiPriority w:val="99"/>
    <w:rsid w:val="00D24E61"/>
    <w:rPr>
      <w:rFonts w:cs="Times New Roman"/>
    </w:rPr>
  </w:style>
  <w:style w:type="paragraph" w:customStyle="1" w:styleId="FG10-corpo-do-texto">
    <w:name w:val="FG10-corpo-do-texto"/>
    <w:basedOn w:val="Normal"/>
    <w:link w:val="FG10-corpo-do-textoChar"/>
    <w:qFormat/>
    <w:rsid w:val="00D24E61"/>
    <w:pPr>
      <w:suppressAutoHyphens/>
      <w:spacing w:line="360" w:lineRule="auto"/>
      <w:ind w:firstLine="709"/>
      <w:jc w:val="both"/>
    </w:pPr>
    <w:rPr>
      <w:rFonts w:eastAsia="Calibri" w:cs="Calibri"/>
      <w:sz w:val="24"/>
      <w:lang w:eastAsia="ar-SA"/>
    </w:rPr>
  </w:style>
  <w:style w:type="character" w:customStyle="1" w:styleId="FG10-corpo-do-textoChar">
    <w:name w:val="FG10-corpo-do-texto Char"/>
    <w:link w:val="FG10-corpo-do-texto"/>
    <w:rsid w:val="00D24E61"/>
    <w:rPr>
      <w:rFonts w:eastAsia="Calibri" w:cs="Calibri"/>
      <w:sz w:val="24"/>
      <w:lang w:eastAsia="ar-SA"/>
    </w:rPr>
  </w:style>
  <w:style w:type="character" w:customStyle="1" w:styleId="biblio-title">
    <w:name w:val="biblio-title"/>
    <w:basedOn w:val="Fontepargpadro"/>
    <w:rsid w:val="00D24E61"/>
  </w:style>
  <w:style w:type="paragraph" w:customStyle="1" w:styleId="FG10-referencias">
    <w:name w:val="FG10-referencias"/>
    <w:basedOn w:val="Normal"/>
    <w:link w:val="FG10-referenciasChar"/>
    <w:qFormat/>
    <w:rsid w:val="00D24E61"/>
    <w:pPr>
      <w:suppressAutoHyphens/>
      <w:spacing w:after="200"/>
      <w:jc w:val="both"/>
    </w:pPr>
    <w:rPr>
      <w:rFonts w:eastAsia="Calibri" w:cs="Calibri"/>
      <w:sz w:val="24"/>
      <w:lang w:eastAsia="ar-SA"/>
    </w:rPr>
  </w:style>
  <w:style w:type="character" w:customStyle="1" w:styleId="FG10-referenciasChar">
    <w:name w:val="FG10-referencias Char"/>
    <w:link w:val="FG10-referencias"/>
    <w:rsid w:val="00D24E61"/>
    <w:rPr>
      <w:rFonts w:eastAsia="Calibri" w:cs="Calibri"/>
      <w:sz w:val="24"/>
      <w:lang w:eastAsia="ar-SA"/>
    </w:rPr>
  </w:style>
  <w:style w:type="paragraph" w:customStyle="1" w:styleId="Padro">
    <w:name w:val="Padrão"/>
    <w:rsid w:val="00D24E61"/>
    <w:pPr>
      <w:tabs>
        <w:tab w:val="left" w:pos="708"/>
      </w:tabs>
      <w:suppressAutoHyphens/>
      <w:spacing w:after="200" w:line="276" w:lineRule="auto"/>
    </w:pPr>
    <w:rPr>
      <w:rFonts w:ascii="Calibri" w:eastAsia="SimSun" w:hAnsi="Calibri" w:cstheme="minorBidi"/>
      <w:color w:val="00000A"/>
      <w:lang w:eastAsia="en-US"/>
    </w:rPr>
  </w:style>
  <w:style w:type="paragraph" w:styleId="Legenda">
    <w:name w:val="caption"/>
    <w:basedOn w:val="Padro"/>
    <w:uiPriority w:val="35"/>
    <w:rsid w:val="00D24E61"/>
    <w:pPr>
      <w:suppressLineNumbers/>
      <w:spacing w:before="120" w:after="120"/>
    </w:pPr>
    <w:rPr>
      <w:rFonts w:ascii="Liberation Serif" w:hAnsi="Liberation Serif" w:cs="Mangal"/>
      <w:i/>
      <w:iCs/>
      <w:sz w:val="24"/>
      <w:szCs w:val="24"/>
    </w:rPr>
  </w:style>
  <w:style w:type="character" w:styleId="nfaseIntensa">
    <w:name w:val="Intense Emphasis"/>
    <w:basedOn w:val="Fontepargpadro"/>
    <w:uiPriority w:val="21"/>
    <w:qFormat/>
    <w:rsid w:val="00D24E61"/>
    <w:rPr>
      <w:rFonts w:cs="Times New Roman"/>
      <w:b/>
      <w:bCs/>
      <w:i/>
      <w:iCs/>
      <w:color w:val="4F81BD" w:themeColor="accent1"/>
    </w:rPr>
  </w:style>
  <w:style w:type="paragraph" w:styleId="CabealhodoSumrio">
    <w:name w:val="TOC Heading"/>
    <w:basedOn w:val="Ttulo1"/>
    <w:next w:val="Normal"/>
    <w:uiPriority w:val="39"/>
    <w:semiHidden/>
    <w:unhideWhenUsed/>
    <w:qFormat/>
    <w:rsid w:val="00771368"/>
    <w:pPr>
      <w:suppressAutoHyphens w:val="0"/>
      <w:spacing w:before="480" w:line="276" w:lineRule="auto"/>
      <w:jc w:val="left"/>
      <w:outlineLvl w:val="9"/>
    </w:pPr>
    <w:rPr>
      <w:rFonts w:asciiTheme="majorHAnsi" w:eastAsiaTheme="majorEastAsia" w:hAnsiTheme="majorHAnsi" w:cstheme="majorBidi"/>
      <w:caps/>
      <w:color w:val="365F91" w:themeColor="accent1" w:themeShade="BF"/>
      <w:sz w:val="28"/>
      <w:lang w:eastAsia="en-US"/>
    </w:rPr>
  </w:style>
  <w:style w:type="paragraph" w:styleId="Sumrio1">
    <w:name w:val="toc 1"/>
    <w:basedOn w:val="Normal"/>
    <w:next w:val="Normal"/>
    <w:autoRedefine/>
    <w:uiPriority w:val="39"/>
    <w:unhideWhenUsed/>
    <w:qFormat/>
    <w:rsid w:val="00771368"/>
    <w:pPr>
      <w:spacing w:after="100"/>
    </w:pPr>
  </w:style>
  <w:style w:type="paragraph" w:styleId="Sumrio2">
    <w:name w:val="toc 2"/>
    <w:basedOn w:val="Normal"/>
    <w:next w:val="Normal"/>
    <w:autoRedefine/>
    <w:uiPriority w:val="39"/>
    <w:unhideWhenUsed/>
    <w:qFormat/>
    <w:rsid w:val="00771368"/>
    <w:pPr>
      <w:spacing w:after="100"/>
      <w:ind w:left="220"/>
    </w:pPr>
  </w:style>
  <w:style w:type="paragraph" w:styleId="Sumrio3">
    <w:name w:val="toc 3"/>
    <w:basedOn w:val="Normal"/>
    <w:next w:val="Normal"/>
    <w:autoRedefine/>
    <w:uiPriority w:val="39"/>
    <w:unhideWhenUsed/>
    <w:qFormat/>
    <w:rsid w:val="00771368"/>
    <w:pPr>
      <w:spacing w:after="100"/>
      <w:ind w:left="440"/>
    </w:pPr>
    <w:rPr>
      <w:rFonts w:ascii="Arial" w:hAnsi="Arial"/>
      <w:sz w:val="24"/>
    </w:rPr>
  </w:style>
  <w:style w:type="paragraph" w:styleId="Sumrio9">
    <w:name w:val="toc 9"/>
    <w:basedOn w:val="Normal"/>
    <w:next w:val="Normal"/>
    <w:autoRedefine/>
    <w:uiPriority w:val="39"/>
    <w:semiHidden/>
    <w:unhideWhenUsed/>
    <w:rsid w:val="00A744D6"/>
    <w:pPr>
      <w:spacing w:after="100"/>
      <w:ind w:left="1760"/>
    </w:pPr>
  </w:style>
  <w:style w:type="paragraph" w:customStyle="1" w:styleId="footnotedescription">
    <w:name w:val="footnote description"/>
    <w:next w:val="Normal"/>
    <w:link w:val="footnotedescriptionChar"/>
    <w:hidden/>
    <w:rsid w:val="00201DA6"/>
    <w:pPr>
      <w:spacing w:line="259" w:lineRule="auto"/>
      <w:jc w:val="both"/>
    </w:pPr>
    <w:rPr>
      <w:color w:val="000000"/>
      <w:sz w:val="20"/>
    </w:rPr>
  </w:style>
  <w:style w:type="character" w:customStyle="1" w:styleId="footnotedescriptionChar">
    <w:name w:val="footnote description Char"/>
    <w:link w:val="footnotedescription"/>
    <w:rsid w:val="00201DA6"/>
    <w:rPr>
      <w:color w:val="000000"/>
      <w:sz w:val="20"/>
    </w:rPr>
  </w:style>
  <w:style w:type="character" w:customStyle="1" w:styleId="footnotemark">
    <w:name w:val="footnote mark"/>
    <w:hidden/>
    <w:rsid w:val="00201DA6"/>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68941">
      <w:bodyDiv w:val="1"/>
      <w:marLeft w:val="0"/>
      <w:marRight w:val="0"/>
      <w:marTop w:val="0"/>
      <w:marBottom w:val="0"/>
      <w:divBdr>
        <w:top w:val="none" w:sz="0" w:space="0" w:color="auto"/>
        <w:left w:val="none" w:sz="0" w:space="0" w:color="auto"/>
        <w:bottom w:val="none" w:sz="0" w:space="0" w:color="auto"/>
        <w:right w:val="none" w:sz="0" w:space="0" w:color="auto"/>
      </w:divBdr>
      <w:divsChild>
        <w:div w:id="1937591772">
          <w:marLeft w:val="-858"/>
          <w:marRight w:val="0"/>
          <w:marTop w:val="0"/>
          <w:marBottom w:val="0"/>
          <w:divBdr>
            <w:top w:val="none" w:sz="0" w:space="0" w:color="auto"/>
            <w:left w:val="none" w:sz="0" w:space="0" w:color="auto"/>
            <w:bottom w:val="none" w:sz="0" w:space="0" w:color="auto"/>
            <w:right w:val="none" w:sz="0" w:space="0" w:color="auto"/>
          </w:divBdr>
        </w:div>
      </w:divsChild>
    </w:div>
    <w:div w:id="457648288">
      <w:bodyDiv w:val="1"/>
      <w:marLeft w:val="0"/>
      <w:marRight w:val="0"/>
      <w:marTop w:val="0"/>
      <w:marBottom w:val="0"/>
      <w:divBdr>
        <w:top w:val="none" w:sz="0" w:space="0" w:color="auto"/>
        <w:left w:val="none" w:sz="0" w:space="0" w:color="auto"/>
        <w:bottom w:val="none" w:sz="0" w:space="0" w:color="auto"/>
        <w:right w:val="none" w:sz="0" w:space="0" w:color="auto"/>
      </w:divBdr>
      <w:divsChild>
        <w:div w:id="1604025093">
          <w:marLeft w:val="-858"/>
          <w:marRight w:val="0"/>
          <w:marTop w:val="0"/>
          <w:marBottom w:val="0"/>
          <w:divBdr>
            <w:top w:val="none" w:sz="0" w:space="0" w:color="auto"/>
            <w:left w:val="none" w:sz="0" w:space="0" w:color="auto"/>
            <w:bottom w:val="none" w:sz="0" w:space="0" w:color="auto"/>
            <w:right w:val="none" w:sz="0" w:space="0" w:color="auto"/>
          </w:divBdr>
        </w:div>
      </w:divsChild>
    </w:div>
    <w:div w:id="1013188856">
      <w:bodyDiv w:val="1"/>
      <w:marLeft w:val="0"/>
      <w:marRight w:val="0"/>
      <w:marTop w:val="0"/>
      <w:marBottom w:val="0"/>
      <w:divBdr>
        <w:top w:val="none" w:sz="0" w:space="0" w:color="auto"/>
        <w:left w:val="none" w:sz="0" w:space="0" w:color="auto"/>
        <w:bottom w:val="none" w:sz="0" w:space="0" w:color="auto"/>
        <w:right w:val="none" w:sz="0" w:space="0" w:color="auto"/>
      </w:divBdr>
      <w:divsChild>
        <w:div w:id="1940865607">
          <w:marLeft w:val="-858"/>
          <w:marRight w:val="0"/>
          <w:marTop w:val="0"/>
          <w:marBottom w:val="0"/>
          <w:divBdr>
            <w:top w:val="none" w:sz="0" w:space="0" w:color="auto"/>
            <w:left w:val="none" w:sz="0" w:space="0" w:color="auto"/>
            <w:bottom w:val="none" w:sz="0" w:space="0" w:color="auto"/>
            <w:right w:val="none" w:sz="0" w:space="0" w:color="auto"/>
          </w:divBdr>
        </w:div>
      </w:divsChild>
    </w:div>
    <w:div w:id="1536963244">
      <w:bodyDiv w:val="1"/>
      <w:marLeft w:val="0"/>
      <w:marRight w:val="0"/>
      <w:marTop w:val="0"/>
      <w:marBottom w:val="0"/>
      <w:divBdr>
        <w:top w:val="none" w:sz="0" w:space="0" w:color="auto"/>
        <w:left w:val="none" w:sz="0" w:space="0" w:color="auto"/>
        <w:bottom w:val="none" w:sz="0" w:space="0" w:color="auto"/>
        <w:right w:val="none" w:sz="0" w:space="0" w:color="auto"/>
      </w:divBdr>
      <w:divsChild>
        <w:div w:id="589196845">
          <w:marLeft w:val="-858"/>
          <w:marRight w:val="0"/>
          <w:marTop w:val="0"/>
          <w:marBottom w:val="0"/>
          <w:divBdr>
            <w:top w:val="none" w:sz="0" w:space="0" w:color="auto"/>
            <w:left w:val="none" w:sz="0" w:space="0" w:color="auto"/>
            <w:bottom w:val="none" w:sz="0" w:space="0" w:color="auto"/>
            <w:right w:val="none" w:sz="0" w:space="0" w:color="auto"/>
          </w:divBdr>
        </w:div>
      </w:divsChild>
    </w:div>
    <w:div w:id="1688556889">
      <w:bodyDiv w:val="1"/>
      <w:marLeft w:val="0"/>
      <w:marRight w:val="0"/>
      <w:marTop w:val="0"/>
      <w:marBottom w:val="0"/>
      <w:divBdr>
        <w:top w:val="none" w:sz="0" w:space="0" w:color="auto"/>
        <w:left w:val="none" w:sz="0" w:space="0" w:color="auto"/>
        <w:bottom w:val="none" w:sz="0" w:space="0" w:color="auto"/>
        <w:right w:val="none" w:sz="0" w:space="0" w:color="auto"/>
      </w:divBdr>
      <w:divsChild>
        <w:div w:id="723984772">
          <w:marLeft w:val="-858"/>
          <w:marRight w:val="0"/>
          <w:marTop w:val="0"/>
          <w:marBottom w:val="0"/>
          <w:divBdr>
            <w:top w:val="none" w:sz="0" w:space="0" w:color="auto"/>
            <w:left w:val="none" w:sz="0" w:space="0" w:color="auto"/>
            <w:bottom w:val="none" w:sz="0" w:space="0" w:color="auto"/>
            <w:right w:val="none" w:sz="0" w:space="0" w:color="auto"/>
          </w:divBdr>
        </w:div>
      </w:divsChild>
    </w:div>
    <w:div w:id="1782606102">
      <w:bodyDiv w:val="1"/>
      <w:marLeft w:val="0"/>
      <w:marRight w:val="0"/>
      <w:marTop w:val="0"/>
      <w:marBottom w:val="0"/>
      <w:divBdr>
        <w:top w:val="none" w:sz="0" w:space="0" w:color="auto"/>
        <w:left w:val="none" w:sz="0" w:space="0" w:color="auto"/>
        <w:bottom w:val="none" w:sz="0" w:space="0" w:color="auto"/>
        <w:right w:val="none" w:sz="0" w:space="0" w:color="auto"/>
      </w:divBdr>
      <w:divsChild>
        <w:div w:id="730422521">
          <w:marLeft w:val="-858"/>
          <w:marRight w:val="0"/>
          <w:marTop w:val="0"/>
          <w:marBottom w:val="0"/>
          <w:divBdr>
            <w:top w:val="none" w:sz="0" w:space="0" w:color="auto"/>
            <w:left w:val="none" w:sz="0" w:space="0" w:color="auto"/>
            <w:bottom w:val="none" w:sz="0" w:space="0" w:color="auto"/>
            <w:right w:val="none" w:sz="0" w:space="0" w:color="auto"/>
          </w:divBdr>
        </w:div>
      </w:divsChild>
    </w:div>
    <w:div w:id="2057705122">
      <w:bodyDiv w:val="1"/>
      <w:marLeft w:val="0"/>
      <w:marRight w:val="0"/>
      <w:marTop w:val="0"/>
      <w:marBottom w:val="0"/>
      <w:divBdr>
        <w:top w:val="none" w:sz="0" w:space="0" w:color="auto"/>
        <w:left w:val="none" w:sz="0" w:space="0" w:color="auto"/>
        <w:bottom w:val="none" w:sz="0" w:space="0" w:color="auto"/>
        <w:right w:val="none" w:sz="0" w:space="0" w:color="auto"/>
      </w:divBdr>
      <w:divsChild>
        <w:div w:id="856239907">
          <w:marLeft w:val="-858"/>
          <w:marRight w:val="0"/>
          <w:marTop w:val="0"/>
          <w:marBottom w:val="0"/>
          <w:divBdr>
            <w:top w:val="none" w:sz="0" w:space="0" w:color="auto"/>
            <w:left w:val="none" w:sz="0" w:space="0" w:color="auto"/>
            <w:bottom w:val="none" w:sz="0" w:space="0" w:color="auto"/>
            <w:right w:val="none" w:sz="0" w:space="0" w:color="auto"/>
          </w:divBdr>
        </w:div>
      </w:divsChild>
    </w:div>
    <w:div w:id="2119136255">
      <w:bodyDiv w:val="1"/>
      <w:marLeft w:val="0"/>
      <w:marRight w:val="0"/>
      <w:marTop w:val="0"/>
      <w:marBottom w:val="0"/>
      <w:divBdr>
        <w:top w:val="none" w:sz="0" w:space="0" w:color="auto"/>
        <w:left w:val="none" w:sz="0" w:space="0" w:color="auto"/>
        <w:bottom w:val="none" w:sz="0" w:space="0" w:color="auto"/>
        <w:right w:val="none" w:sz="0" w:space="0" w:color="auto"/>
      </w:divBdr>
      <w:divsChild>
        <w:div w:id="1315404301">
          <w:marLeft w:val="-8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jpeg"/><Relationship Id="rId299" Type="http://schemas.openxmlformats.org/officeDocument/2006/relationships/hyperlink" Target="file:///C:\Users\NIGS\Documents\2013%20-%209&#186;%20Pr&#234;mio%20C.%20Igualdade%20de%20G&#234;nero\Premios\Convertidos%2090\HALBWACHS,%20Maurice.%20A%20Mem&#243;ria%20Coletiva.%20S&#227;o%20Paulo:%20V&#233;rtice,%201990" TargetMode="External"/><Relationship Id="rId21" Type="http://schemas.openxmlformats.org/officeDocument/2006/relationships/image" Target="media/image9.jpeg"/><Relationship Id="rId63" Type="http://schemas.openxmlformats.org/officeDocument/2006/relationships/hyperlink" Target="http://www.scielo.br/scielo.php?script=sci_arttext&amp;pid=S0104-026X2010000100003&amp;lng=en&amp;tlng=pt" TargetMode="External"/><Relationship Id="rId159" Type="http://schemas.openxmlformats.org/officeDocument/2006/relationships/image" Target="media/image43.jpeg"/><Relationship Id="rId324" Type="http://schemas.openxmlformats.org/officeDocument/2006/relationships/hyperlink" Target="file:///C:\Users\NIGS\Documents\2013%20-%209&#186;%20Pr&#234;mio%20C.%20Igualdade%20de%20G&#234;nero\Premios\Convertidos%2090\LERMA,%20Betty%20Ruth%20Lozano.%20El%20Feminismo%20No%20Puede%20Ser%20Uno%20Porque%20Las%20Mujeres%20Somos%20Diversas.%20Universidad%20del%20Vale.%20La%20Manzana%20de%20la%20Discordia,%20n&#186;%202,%20vol.%205,%202010" TargetMode="External"/><Relationship Id="rId366" Type="http://schemas.openxmlformats.org/officeDocument/2006/relationships/hyperlink" Target="http://www.joinpp.ufma.br/jornadas/joinpp2011/CdVjornada/JORNADA_EIXO_2011/QUESTOES_DE_GENERO_ETNIA_E_GERACAO/GENERO_E_DESIGUALDADE_SOCIAL_NEW.pdf" TargetMode="External"/><Relationship Id="rId170" Type="http://schemas.openxmlformats.org/officeDocument/2006/relationships/image" Target="media/image45.jpeg"/><Relationship Id="rId226" Type="http://schemas.openxmlformats.org/officeDocument/2006/relationships/hyperlink" Target="http://www.cholonautas.edu.pe/modulo/upload/scott.pdf" TargetMode="External"/><Relationship Id="rId433" Type="http://schemas.openxmlformats.org/officeDocument/2006/relationships/hyperlink" Target="http://www.medigraphic.com/pdfs/bmhfm/hf-2009/hf092g.pdf" TargetMode="External"/><Relationship Id="rId268" Type="http://schemas.openxmlformats.org/officeDocument/2006/relationships/hyperlink" Target="http://www1.folha.uol.com.br/tec/2013/09/%201334778-cansadas-de-estereotipos-negativos-mulheres-querem-tratamento-mais-justo-nos-games.shtml" TargetMode="External"/><Relationship Id="rId32" Type="http://schemas.openxmlformats.org/officeDocument/2006/relationships/hyperlink" Target="http://www.google.com.br/" TargetMode="External"/><Relationship Id="rId74" Type="http://schemas.openxmlformats.org/officeDocument/2006/relationships/hyperlink" Target="http://www.planalto.gov.br/ccivil_03/leis/l10455.htm" TargetMode="External"/><Relationship Id="rId128" Type="http://schemas.openxmlformats.org/officeDocument/2006/relationships/hyperlink" Target="file:///C:\Users\NIGS\Documents\site\livros_gratis\pensamento_linguagem.htm" TargetMode="External"/><Relationship Id="rId335" Type="http://schemas.openxmlformats.org/officeDocument/2006/relationships/hyperlink" Target="http://www.clacso.org.ar/biblioteca" TargetMode="External"/><Relationship Id="rId377" Type="http://schemas.openxmlformats.org/officeDocument/2006/relationships/image" Target="media/image79.jpeg"/><Relationship Id="rId5" Type="http://schemas.openxmlformats.org/officeDocument/2006/relationships/settings" Target="settings.xml"/><Relationship Id="rId181" Type="http://schemas.openxmlformats.org/officeDocument/2006/relationships/hyperlink" Target="http://revistatpm.uol.com.br/so-no-site/entrevistas/por-amor-aos-tracinhos.html" TargetMode="External"/><Relationship Id="rId237" Type="http://schemas.openxmlformats.org/officeDocument/2006/relationships/hyperlink" Target="http://150.162.1.115/index.php/ref/article/viewFile/11989/11264" TargetMode="External"/><Relationship Id="rId402" Type="http://schemas.openxmlformats.org/officeDocument/2006/relationships/image" Target="media/image95.jpeg"/><Relationship Id="rId279" Type="http://schemas.openxmlformats.org/officeDocument/2006/relationships/image" Target="media/image55.jpeg"/><Relationship Id="rId444" Type="http://schemas.openxmlformats.org/officeDocument/2006/relationships/hyperlink" Target="http://www.spm.gov.br/acesso-a-informacao/perguntas-frequentes/obig/qual-e-a-importancia-de-um-observatorio-de-genero" TargetMode="External"/><Relationship Id="rId43" Type="http://schemas.openxmlformats.org/officeDocument/2006/relationships/hyperlink" Target="http://www.fazendogenero.ufsc.br/9/resources/anais/%201278272180_ARQUIVO_artigoFazendoGenero-Ingrid.pdf" TargetMode="External"/><Relationship Id="rId139" Type="http://schemas.openxmlformats.org/officeDocument/2006/relationships/chart" Target="charts/chart5.xml"/><Relationship Id="rId290" Type="http://schemas.openxmlformats.org/officeDocument/2006/relationships/hyperlink" Target="file:///C:\Users\NIGS\Documents\2013%20-%209&#186;%20Pr&#234;mio%20C.%20Igualdade%20de%20G&#234;nero\Premios\Convertidos%2090\Revista%20Regi&#227;o.%20Crato,%20fev.%20de%201975" TargetMode="External"/><Relationship Id="rId304" Type="http://schemas.openxmlformats.org/officeDocument/2006/relationships/hyperlink" Target="file:///C:\Users\NIGS\Documents\2013%20-%209&#186;%20Pr&#234;mio%20C.%20Igualdade%20de%20G&#234;nero\Premios\Convertidos%2090\POLLAK,%20Michael.%20Mem&#243;ria%20e%20Identidade%20Social.%20In:%20Revista%20de%20Estudos%20Hist&#243;ricos%20N&#186;.%2010%20&#8211;%20Teoria%20e%20Hist&#243;ria.%20Ano%201992\1.%20Revista%20do%20CPDOC%20da%20Funda&#231;&#227;o%20Get&#250;lio%20Vargas" TargetMode="External"/><Relationship Id="rId346" Type="http://schemas.openxmlformats.org/officeDocument/2006/relationships/hyperlink" Target="http://www.unicef.org/brazil/pt/Cap_01.pdf" TargetMode="External"/><Relationship Id="rId388" Type="http://schemas.openxmlformats.org/officeDocument/2006/relationships/image" Target="media/image86.jpeg"/><Relationship Id="rId85" Type="http://schemas.openxmlformats.org/officeDocument/2006/relationships/hyperlink" Target="http://www.abeh.ufba.br/" TargetMode="External"/><Relationship Id="rId150" Type="http://schemas.openxmlformats.org/officeDocument/2006/relationships/hyperlink" Target="http://translate.google.com.br/?hl=pt-BR&amp;sl=en&amp;tl=pt-BR&amp;sugg=w&amp;hints=true&amp;q=http://www.guardian.co.uk/" TargetMode="External"/><Relationship Id="rId192" Type="http://schemas.openxmlformats.org/officeDocument/2006/relationships/hyperlink" Target="http://150.162.1.115/index.php/ref/article/viewFile/11989/11264" TargetMode="External"/><Relationship Id="rId206" Type="http://schemas.openxmlformats.org/officeDocument/2006/relationships/hyperlink" Target="http://150.162.1.115/index.php/ref/article/viewFile/11989/11264" TargetMode="External"/><Relationship Id="rId413" Type="http://schemas.openxmlformats.org/officeDocument/2006/relationships/hyperlink" Target="http://www.scielo.br/scielo.php?script=sci_arttext&amp;pid=S0034-71672012000500008" TargetMode="External"/><Relationship Id="rId248" Type="http://schemas.openxmlformats.org/officeDocument/2006/relationships/hyperlink" Target="http://www.cholonautas.edu.pe/modulo/upload/scott.pdf" TargetMode="External"/><Relationship Id="rId455" Type="http://schemas.openxmlformats.org/officeDocument/2006/relationships/hyperlink" Target="http://www.lex.com.br/doc_23866233_DECRETO_N_7824_DE_11_DE_OUTUBRO_DE_2012.aspx" TargetMode="External"/><Relationship Id="rId12" Type="http://schemas.openxmlformats.org/officeDocument/2006/relationships/hyperlink" Target="mailto:geannegreggio@hotmail.com" TargetMode="External"/><Relationship Id="rId108" Type="http://schemas.openxmlformats.org/officeDocument/2006/relationships/hyperlink" Target="http://www.sapere.it/tca/minisite" TargetMode="External"/><Relationship Id="rId315" Type="http://schemas.openxmlformats.org/officeDocument/2006/relationships/hyperlink" Target="file://C:\Users\NIGS\Documents\2013%20-%209&#186;%20Pr&#234;mio%20C.%20Igualdade%20de%20G&#234;nero\Premios\Convertidos%2090\DOMINGUES,%20Jos&#233;%20Maur&#237;cio.%20Os%20Movimentos%20Sociais%20Latino%20Americanos:%20caracter&#237;sticas%20e%20potencialidades.%20Publicado%20em:%20Analise%20de%20Conjuntura%20OPSA,%20n&#186;%202.%20Brasil,%20Fev.%202007.%20Dispon&#237;vel%20em:%20www.clacso.org.ar\biblioteca.%20Acesso%20em%2022\10\2012." TargetMode="External"/><Relationship Id="rId357" Type="http://schemas.openxmlformats.org/officeDocument/2006/relationships/image" Target="media/image67.png"/><Relationship Id="rId54" Type="http://schemas.openxmlformats.org/officeDocument/2006/relationships/hyperlink" Target="http://www.jmphc.com/ojs/index.php/01/article/download/27/25" TargetMode="External"/><Relationship Id="rId96" Type="http://schemas.openxmlformats.org/officeDocument/2006/relationships/image" Target="media/image23.jpeg"/><Relationship Id="rId161" Type="http://schemas.openxmlformats.org/officeDocument/2006/relationships/hyperlink" Target="http://www./home/presidencia/noticias/12062003indic2002.shtm" TargetMode="External"/><Relationship Id="rId217" Type="http://schemas.openxmlformats.org/officeDocument/2006/relationships/hyperlink" Target="http://150.162.1.115/index.php/ref/article/viewFile/11989/11264" TargetMode="External"/><Relationship Id="rId399" Type="http://schemas.openxmlformats.org/officeDocument/2006/relationships/image" Target="media/image92.jpeg"/><Relationship Id="rId259" Type="http://schemas.openxmlformats.org/officeDocument/2006/relationships/hyperlink" Target="http://www.cholonautas.edu.pe/modulo/upload/scott.pdf" TargetMode="External"/><Relationship Id="rId424" Type="http://schemas.openxmlformats.org/officeDocument/2006/relationships/hyperlink" Target="http://www.scielo.br/scielo.php?pid=S0100-55022012000400006&amp;script=sci_arttext" TargetMode="External"/><Relationship Id="rId466" Type="http://schemas.openxmlformats.org/officeDocument/2006/relationships/hyperlink" Target="http://www.dhnet.org.br/dados/cursos/edh/redh/03/03_neto_lgbtt.pdf" TargetMode="External"/><Relationship Id="rId23" Type="http://schemas.openxmlformats.org/officeDocument/2006/relationships/image" Target="media/image11.jpeg"/><Relationship Id="rId119" Type="http://schemas.openxmlformats.org/officeDocument/2006/relationships/image" Target="media/image41.jpeg"/><Relationship Id="rId270" Type="http://schemas.openxmlformats.org/officeDocument/2006/relationships/hyperlink" Target="http://www.filhosdavizinha.com.br/blog/wp-ontent/uploads/2012/01/Lara_Croft.jpg" TargetMode="External"/><Relationship Id="rId326" Type="http://schemas.openxmlformats.org/officeDocument/2006/relationships/hyperlink" Target="file://C:\Users\NIGS\Documents\2013%20-%209&#186;%20Pr&#234;mio%20C.%20Igualdade%20de%20G&#234;nero\Premios\Convertidos%2090\CORDEIRO,%20Rosineide%20Meira%20de%20Lourdes.%20Al&#233;m%20das%20Secas%20e%20das%20Chuvas:%20os%20usos%20da%20nomea&#231;&#227;o%20mulher%20trabalhadora%20rural%20no%20Sert&#227;o%20Central%20de%20Pernambuco.%20S&#227;o%20Paulo:%20Pontif&#237;cia%20Universidade%20Cat&#243;lica,%202004%20(Tese%20de%20Doutorado)." TargetMode="External"/><Relationship Id="rId65" Type="http://schemas.openxmlformats.org/officeDocument/2006/relationships/hyperlink" Target="http://scm.oas.org/doc_public/PORTUGUESE/HIST_04/CP12951P04.doc" TargetMode="External"/><Relationship Id="rId130" Type="http://schemas.openxmlformats.org/officeDocument/2006/relationships/hyperlink" Target="http://adolargangorra.blogspot.com.br/2009/03/monica-e-eduardo.html" TargetMode="External"/><Relationship Id="rId368" Type="http://schemas.openxmlformats.org/officeDocument/2006/relationships/hyperlink" Target="http://www.joinpp.ufma.br/jornadas/joinpp2011/CdVjornada/JORNADA_EIXO_2011/QUESTOES_DE_GENERO_ETNIA_E_GERACAO/GENERO_E_DESIGUALDADE_SOCIAL_NEW.pdf" TargetMode="External"/><Relationship Id="rId172" Type="http://schemas.openxmlformats.org/officeDocument/2006/relationships/hyperlink" Target="http://atualiarte.blogspot.com.br/2012/04/arte-de-nina-pandolfo.html" TargetMode="External"/><Relationship Id="rId228" Type="http://schemas.openxmlformats.org/officeDocument/2006/relationships/hyperlink" Target="http://www.cholonautas.edu.pe/modulo/upload/scott.pdf" TargetMode="External"/><Relationship Id="rId435" Type="http://schemas.openxmlformats.org/officeDocument/2006/relationships/hyperlink" Target="http://www.scielo.br/scielo.php?script=sci_arttext&amp;pid=S0034-71672011000100009" TargetMode="External"/><Relationship Id="rId281" Type="http://schemas.openxmlformats.org/officeDocument/2006/relationships/hyperlink" Target="http://www.bj.com.br/noticias/36042-treta-do-dia-designer-da-343-critica-erotismo-de-novo-metal-gear-no-twitter?utm_source=facebook.com&amp;utm_medium=referral&amp;utm_campaign%20=imggrande" TargetMode="External"/><Relationship Id="rId337" Type="http://schemas.openxmlformats.org/officeDocument/2006/relationships/hyperlink" Target="http://www.fundaj.gov.br" TargetMode="External"/><Relationship Id="rId34" Type="http://schemas.openxmlformats.org/officeDocument/2006/relationships/hyperlink" Target="http://www.google.com.br/" TargetMode="External"/><Relationship Id="rId76" Type="http://schemas.openxmlformats.org/officeDocument/2006/relationships/hyperlink" Target="http://www.planalto.gov.br/ccivil_03/%20_ato2004-2006/2006/lei/l11340.htm" TargetMode="External"/><Relationship Id="rId141" Type="http://schemas.openxmlformats.org/officeDocument/2006/relationships/chart" Target="charts/chart7.xml"/><Relationship Id="rId379" Type="http://schemas.openxmlformats.org/officeDocument/2006/relationships/image" Target="media/image81.jpeg"/><Relationship Id="rId7" Type="http://schemas.openxmlformats.org/officeDocument/2006/relationships/footnotes" Target="footnotes.xml"/><Relationship Id="rId183" Type="http://schemas.openxmlformats.org/officeDocument/2006/relationships/hyperlink" Target="http://www.itaucultural.org.br/aplicexternas/enciclopedia_ic/index.cfm?fuseaction=artistas_biografia&amp;cd_verbete=991" TargetMode="External"/><Relationship Id="rId239" Type="http://schemas.openxmlformats.org/officeDocument/2006/relationships/hyperlink" Target="http://150.162.1.115/index.php/ref/article/viewFile/11989/11264" TargetMode="External"/><Relationship Id="rId390" Type="http://schemas.openxmlformats.org/officeDocument/2006/relationships/hyperlink" Target="http://www.spm.gov.br/subsecretaria-de-enfrentamento-a-violencia-contra-as-mulheres/lei-maria-da-penha/manual-maria-da-penha-mt.pdf" TargetMode="External"/><Relationship Id="rId404" Type="http://schemas.openxmlformats.org/officeDocument/2006/relationships/hyperlink" Target="http://www.tvbrasil.com.br/salto.%20acessado%20em%2020%20de%20jul.%202009" TargetMode="External"/><Relationship Id="rId446" Type="http://schemas.openxmlformats.org/officeDocument/2006/relationships/hyperlink" Target="http://www.globalrights.org/site/DocServer/RELATORIO_CEDAW_FINAL_-_Portugues.pdf/749676568?docID=13324&amp;verID=1" TargetMode="External"/><Relationship Id="rId250" Type="http://schemas.openxmlformats.org/officeDocument/2006/relationships/hyperlink" Target="http://www.cholonautas.edu.pe/modulo/upload/scott.pdf" TargetMode="External"/><Relationship Id="rId292" Type="http://schemas.openxmlformats.org/officeDocument/2006/relationships/hyperlink" Target="file:///C:\Users\NIGS\Documents\2013%20-%209&#186;%20Pr&#234;mio%20C.%20Igualdade%20de%20G&#234;nero\Premios\Convertidos%2090\PERROT,%20Michelle.%20Minha%20Hist&#243;ria%20das%20Mulheres.%20S&#227;o%20Paulo:%20Contexto,%202008" TargetMode="External"/><Relationship Id="rId306" Type="http://schemas.openxmlformats.org/officeDocument/2006/relationships/hyperlink" Target="file:///C:\Users\NIGS\Documents\2013%20-%209&#186;%20Pr&#234;mio%20C.%20Igualdade%20de%20G&#234;nero\Premios\Convertidos%2090\PERROT,%20Michelle.%20Minha%20Hist&#243;ria%20das%20Mulheres.%20S&#227;o%20Paulo:%20Contexto,%202008" TargetMode="External"/><Relationship Id="rId45" Type="http://schemas.openxmlformats.org/officeDocument/2006/relationships/hyperlink" Target="http://marcialatifa.blogspot.com/2007/07/mensagem-escola-paulo-freire.html" TargetMode="External"/><Relationship Id="rId87" Type="http://schemas.openxmlformats.org/officeDocument/2006/relationships/hyperlink" Target="http://www.jstor.org/stable/40338427" TargetMode="External"/><Relationship Id="rId110" Type="http://schemas.openxmlformats.org/officeDocument/2006/relationships/hyperlink" Target="http://www.br.geocites.com/geografiadooriente/atual/limites" TargetMode="External"/><Relationship Id="rId348" Type="http://schemas.openxmlformats.org/officeDocument/2006/relationships/hyperlink" Target="http://www.spem.gov.br/" TargetMode="External"/><Relationship Id="rId152" Type="http://schemas.openxmlformats.org/officeDocument/2006/relationships/hyperlink" Target="http://translate.google.com.br/?hl=pt-BR&amp;sl=en&amp;tl=pt-BR&amp;sugg=w&amp;hints=true&amp;q=http://www.washingtonpost.com/" TargetMode="External"/><Relationship Id="rId194" Type="http://schemas.openxmlformats.org/officeDocument/2006/relationships/hyperlink" Target="http://150.162.1.115/index.php/ref/article/viewFile/11989/11264" TargetMode="External"/><Relationship Id="rId208" Type="http://schemas.openxmlformats.org/officeDocument/2006/relationships/hyperlink" Target="http://150.162.1.115/index.php/ref/article/viewFile/11989/11264" TargetMode="External"/><Relationship Id="rId415" Type="http://schemas.openxmlformats.org/officeDocument/2006/relationships/hyperlink" Target="http://www.scielo.br/scielo.php?pid=S1414-32832009000500027&amp;script=sci_arttext" TargetMode="External"/><Relationship Id="rId457" Type="http://schemas.openxmlformats.org/officeDocument/2006/relationships/hyperlink" Target="http://www.lex.com.br/legis_23866622_PORTARIA_NORMATIVA_N_18_DE_11_DE_OUTUBRO_DE_2012.aspx" TargetMode="External"/><Relationship Id="rId261" Type="http://schemas.openxmlformats.org/officeDocument/2006/relationships/hyperlink" Target="http://www.cholonautas.edu.pe/modulo/upload/scott.pdf" TargetMode="External"/><Relationship Id="rId14" Type="http://schemas.openxmlformats.org/officeDocument/2006/relationships/hyperlink" Target="http://letras.mus.br/gaiola-das-popozudas/" TargetMode="External"/><Relationship Id="rId56" Type="http://schemas.openxmlformats.org/officeDocument/2006/relationships/hyperlink" Target="http://bvsms.saude.gov.br/bvs/publicacoes/cd04_13.pdf" TargetMode="External"/><Relationship Id="rId317" Type="http://schemas.openxmlformats.org/officeDocument/2006/relationships/hyperlink" Target="file:///C:\Users\NIGS\Documents\2013%20-%209&#186;%20Pr&#234;mio%20C.%20Igualdade%20de%20G&#234;nero\Premios\Convertidos%2090\CUNHA%20JR,%20Henrique%20Antunes.%20Textos%20Para%20o%20Movimento%20Negro.%20S&#227;o%20Paulo:%20EDICON,%201992" TargetMode="External"/><Relationship Id="rId359" Type="http://schemas.openxmlformats.org/officeDocument/2006/relationships/image" Target="media/image69.jpeg"/><Relationship Id="rId98" Type="http://schemas.openxmlformats.org/officeDocument/2006/relationships/image" Target="media/image25.jpeg"/><Relationship Id="rId121" Type="http://schemas.openxmlformats.org/officeDocument/2006/relationships/hyperlink" Target="http://www.casaruibarbosa.gov.br/dados/DOC/artigos/oz/FCRB_ElianeVasconcellos_Nao_as_matem" TargetMode="External"/><Relationship Id="rId163" Type="http://schemas.openxmlformats.org/officeDocument/2006/relationships/hyperlink" Target="http://www.jusbrasil.com.br/legislacao/103251/codigo-civil-de-1916-lei-3071-16" TargetMode="External"/><Relationship Id="rId219" Type="http://schemas.openxmlformats.org/officeDocument/2006/relationships/hyperlink" Target="http://150.162.1.115/index.php/ref/article/viewFile/11989/11264" TargetMode="External"/><Relationship Id="rId370" Type="http://schemas.openxmlformats.org/officeDocument/2006/relationships/hyperlink" Target="http://www.estadao.com.br/noticias/geral,brasil-tem-3-pior-indice-de-desigualdade-no-mundo,585341,0.htm" TargetMode="External"/><Relationship Id="rId426" Type="http://schemas.openxmlformats.org/officeDocument/2006/relationships/hyperlink" Target="http://www.scielo.br/scielo.php?pid=S1983-14472011000300007&amp;script=sci_arttext" TargetMode="External"/><Relationship Id="rId230" Type="http://schemas.openxmlformats.org/officeDocument/2006/relationships/hyperlink" Target="http://www.cholonautas.edu.pe/modulo/upload/scott.pdf" TargetMode="External"/><Relationship Id="rId468" Type="http://schemas.openxmlformats.org/officeDocument/2006/relationships/theme" Target="theme/theme1.xml"/><Relationship Id="rId25" Type="http://schemas.openxmlformats.org/officeDocument/2006/relationships/image" Target="media/image13.jpeg"/><Relationship Id="rId67" Type="http://schemas.openxmlformats.org/officeDocument/2006/relationships/hyperlink" Target="http://periodicos.ufpb.br/ojs/index.php/artemis/article/view/11815/6870" TargetMode="External"/><Relationship Id="rId272" Type="http://schemas.openxmlformats.org/officeDocument/2006/relationships/hyperlink" Target="http://www.cnet.com.au/meet-larry-croft-if-lara-was-a-man-339344728.htm%23image0" TargetMode="External"/><Relationship Id="rId328" Type="http://schemas.openxmlformats.org/officeDocument/2006/relationships/hyperlink" Target="file:///C:\Users\NIGS\Documents\2013%20-%209&#186;%20Pr&#234;mio%20C.%20Igualdade%20de%20G&#234;nero\Premios\Convertidos%2090\LERMA,%20Betty%20Ruth%20Lozano.%20El%20Feminismo%20No%20Puede%20Ser%20Uno%20Porque%20Las%20Mujeres%20Somos%20Diversas.%20Universidad%20del%20Vale.%20La%20Manzana%20de%20la%20Discordia,%20n&#186;%202,%20vol.%205,%202010" TargetMode="External"/><Relationship Id="rId132" Type="http://schemas.openxmlformats.org/officeDocument/2006/relationships/hyperlink" Target="http://pt.wikipedia.org/wiki/Bahia" TargetMode="External"/><Relationship Id="rId174" Type="http://schemas.openxmlformats.org/officeDocument/2006/relationships/image" Target="media/image48.jpeg"/><Relationship Id="rId381" Type="http://schemas.openxmlformats.org/officeDocument/2006/relationships/hyperlink" Target="http://www.planalto.gov.br/ccivil_03/_Ato2004-2006/2005/Lei/L11106.htm" TargetMode="External"/><Relationship Id="rId241" Type="http://schemas.openxmlformats.org/officeDocument/2006/relationships/hyperlink" Target="http://150.162.1.115/index.php/ref/article/viewFile/11989/11264" TargetMode="External"/><Relationship Id="rId437" Type="http://schemas.openxmlformats.org/officeDocument/2006/relationships/hyperlink" Target="http://www.scielo.br/scielo.php?pid=S1414-32832011000100007&amp;script=sci_arttext" TargetMode="External"/><Relationship Id="rId36" Type="http://schemas.openxmlformats.org/officeDocument/2006/relationships/hyperlink" Target="http://facadaleitemoca.files.wordpress.com/2011/01/a-indc3bastria-cultural-em-adorno-e-a-construc3a7c3a3o-da-mc3basica-de-massa-atravc3a9s-dos-mecanismos-da-globalizac3a7c3a3o1.pdf" TargetMode="External"/><Relationship Id="rId283" Type="http://schemas.openxmlformats.org/officeDocument/2006/relationships/hyperlink" Target="http://www.bj.com.br/noticias/36042-treta-do-dia-designer-da-343-critica-erotismo-de-novo-metal-gear-no-twitter?utm_source=facebook.com&amp;utm_medium=referral&amp;utm_campaign=imggrande" TargetMode="External"/><Relationship Id="rId339" Type="http://schemas.openxmlformats.org/officeDocument/2006/relationships/image" Target="media/image59.jpeg"/><Relationship Id="rId78" Type="http://schemas.openxmlformats.org/officeDocument/2006/relationships/hyperlink" Target="http://www.ibge.gov.br/cidadesat/link%20.php?codigo=29" TargetMode="External"/><Relationship Id="rId101" Type="http://schemas.openxmlformats.org/officeDocument/2006/relationships/image" Target="media/image28.jpeg"/><Relationship Id="rId143" Type="http://schemas.openxmlformats.org/officeDocument/2006/relationships/chart" Target="charts/chart9.xml"/><Relationship Id="rId185" Type="http://schemas.openxmlformats.org/officeDocument/2006/relationships/hyperlink" Target="http://dakshinamurti.tripod.com/graffiti.htm" TargetMode="External"/><Relationship Id="rId350" Type="http://schemas.openxmlformats.org/officeDocument/2006/relationships/hyperlink" Target="http://www.censo2010.ibge.gov.br/primeiros_dados_divulgados/index.php?uf=28" TargetMode="External"/><Relationship Id="rId406" Type="http://schemas.openxmlformats.org/officeDocument/2006/relationships/hyperlink" Target="mailto:jr_oliveira1979@hotmail.com" TargetMode="External"/><Relationship Id="rId9" Type="http://schemas.openxmlformats.org/officeDocument/2006/relationships/header" Target="header1.xml"/><Relationship Id="rId210" Type="http://schemas.openxmlformats.org/officeDocument/2006/relationships/hyperlink" Target="http://nuevomundo.revues.org/426" TargetMode="External"/><Relationship Id="rId392" Type="http://schemas.openxmlformats.org/officeDocument/2006/relationships/hyperlink" Target="mailto:daiane_lm@yahoo.com.br" TargetMode="External"/><Relationship Id="rId448" Type="http://schemas.openxmlformats.org/officeDocument/2006/relationships/hyperlink" Target="http://noticias.terra.com.br/educacao/jornalista-se-arrepende-de-comparar-medicas-cubanas-a-domesticas,3f1181c0881c0410VgnVCM10000098cceb0aRCRD.html" TargetMode="External"/><Relationship Id="rId252" Type="http://schemas.openxmlformats.org/officeDocument/2006/relationships/hyperlink" Target="http://150.162.1.115/index.php/ref/article/viewFile/11989/11264" TargetMode="External"/><Relationship Id="rId294" Type="http://schemas.openxmlformats.org/officeDocument/2006/relationships/hyperlink" Target="file:///C:\Users\NIGS\Documents\2013%20-%209&#186;%20Pr&#234;mio%20C.%20Igualdade%20de%20G&#234;nero\Premios\Convertidos%2090\LERMA,%20Betty%20Ruth%20Lozano.%20El%20Feminismo%20No%20Puede%20Ser%20Uno%20Porque%20Las%20Mujeres%20Somos%20Diversas.%20Universidad%20del%20Vale.%20La%20Manzana%20de%20la%20Discordia,%20n&#186;%202,%20vol.%205,%202010" TargetMode="External"/><Relationship Id="rId308" Type="http://schemas.openxmlformats.org/officeDocument/2006/relationships/hyperlink" Target="file:///C:\Users\NIGS\Documents\2013%20-%209&#186;%20Pr&#234;mio%20C.%20Igualdade%20de%20G&#234;nero\Premios\Convertidos%2090\SANTOS,%20Boaventura%20de%20Sousa.%20Pela%20M&#227;o%20de%20Alice.%20S&#227;o%20Paulo:%20Cortez,%202010" TargetMode="External"/><Relationship Id="rId47" Type="http://schemas.openxmlformats.org/officeDocument/2006/relationships/hyperlink" Target="http://www.ichs.ufop.br/semanadeletras/viii/arquivos/%20trab/k32.doc" TargetMode="External"/><Relationship Id="rId89" Type="http://schemas.openxmlformats.org/officeDocument/2006/relationships/hyperlink" Target="https://docs.google.com/viewer?a=v&amp;pid=gmail&amp;attid=0.4&amp;thid=131dd0e630c87411&amp;mt=application/pdf&amp;url=https://mail.google.com/mail/?ui%3D2%26ik%3Dd0828bdef6%26view%3Datt%26th%3D131dd0e630c87411%26attid%3D0.4%26disp%3Dsafe%26realattid%3Df_grhqwd5o3%26zw&amp;sig=AHIEtbTOB3JEU29Ov3VaZEgrhwEb4QBh1A" TargetMode="External"/><Relationship Id="rId112" Type="http://schemas.openxmlformats.org/officeDocument/2006/relationships/image" Target="media/image34.jpeg"/><Relationship Id="rId154" Type="http://schemas.openxmlformats.org/officeDocument/2006/relationships/hyperlink" Target="http://translate.google.com.br/?hl=pt-BR&amp;sl=es&amp;tl=pt-BR&amp;sugg=w&amp;hints=true&amp;q=http://www.lainformacion.com/" TargetMode="External"/><Relationship Id="rId361" Type="http://schemas.openxmlformats.org/officeDocument/2006/relationships/image" Target="media/image71.jpeg"/><Relationship Id="rId196" Type="http://schemas.openxmlformats.org/officeDocument/2006/relationships/hyperlink" Target="http://www.pagu.unicamp.br/sites/www.pagu.unicamp.br/files/pagu03.03.pdf" TargetMode="External"/><Relationship Id="rId417" Type="http://schemas.openxmlformats.org/officeDocument/2006/relationships/hyperlink" Target="http://www.scielo.br/scielo.php?pid=S1413-81232013000400019&amp;script=sci_arttext" TargetMode="External"/><Relationship Id="rId459" Type="http://schemas.openxmlformats.org/officeDocument/2006/relationships/hyperlink" Target="http://www.utfpr.edu.br/a-instituicao/historico" TargetMode="External"/><Relationship Id="rId16" Type="http://schemas.openxmlformats.org/officeDocument/2006/relationships/hyperlink" Target="http://www.vagalume.com.br/busta-rhymes/" TargetMode="External"/><Relationship Id="rId221" Type="http://schemas.openxmlformats.org/officeDocument/2006/relationships/hyperlink" Target="http://150.162.1.115/index.php/ref/article/viewFile/11989/11264" TargetMode="External"/><Relationship Id="rId263" Type="http://schemas.openxmlformats.org/officeDocument/2006/relationships/hyperlink" Target="http://www.cholonautas.edu.pe/modulo/upload/scott.pdf" TargetMode="External"/><Relationship Id="rId319" Type="http://schemas.openxmlformats.org/officeDocument/2006/relationships/hyperlink" Target="file://C:\Users\NIGS\Documents\2013%20-%209&#186;%20Pr&#234;mio%20C.%20Igualdade%20de%20G&#234;nero\Premios\Convertidos%2090\SILVA,%20Joselina%20da%20e%20DOMINGOS,%20Reginaldo%20Ferreira.%20As%20religi&#245;es%20afro-brasileiras%20na%20voz%20das%20mulheres%20lideran&#231;as%20em%20Juazeiro%20do%20Norte.%20IX%20Encontro%20Nacional%20de%20Hist&#243;ria%20Oral:%20Testemunho%20e%20Conhecimento.%20Associa&#231;&#227;o%20Brasileira%20de%20Hist&#243;ria%20Oral%20&#8211;%20ABHO,%20UNISINOS,%20S&#227;o%20Leopoldo%20&#8211;%20RS,%2022%20a%2025%20de%20Abril%20de%202008." TargetMode="External"/><Relationship Id="rId58" Type="http://schemas.openxmlformats.org/officeDocument/2006/relationships/hyperlink" Target="http://www.scielo.br/pdf/reben/v58n3/a18v58n3.pdf" TargetMode="External"/><Relationship Id="rId123" Type="http://schemas.openxmlformats.org/officeDocument/2006/relationships/hyperlink" Target="http://www.ci.uc.pt/ihti/proj/filipinas/" TargetMode="External"/><Relationship Id="rId330" Type="http://schemas.openxmlformats.org/officeDocument/2006/relationships/hyperlink" Target="file://C:\Users\NIGS\Documents\2013%20-%209&#186;%20Pr&#234;mio%20C.%20Igualdade%20de%20G&#234;nero\Premios\Convertidos%2090\CORDEIRO,%20Rosineide%20Meira%20de%20Lourdes.%20Al&#233;m%20das%20Secas%20e%20das%20Chuvas:%20os%20usos%20da%20nomea&#231;&#227;o%20mulher%20trabalhadora%20rural%20no%20Sert&#227;o%20Central%20de%20Pernambuco.%20S&#227;o%20Paulo:%20Pontif&#237;cia%20Universidade%20Cat&#243;lica,%202004%20(Tese%20de%20Doutorado)." TargetMode="External"/><Relationship Id="rId165" Type="http://schemas.openxmlformats.org/officeDocument/2006/relationships/hyperlink" Target="http://www.vagalume.com.br/saia-rodada/lapada-na-rachada.html" TargetMode="External"/><Relationship Id="rId372" Type="http://schemas.openxmlformats.org/officeDocument/2006/relationships/hyperlink" Target="http://www.ufjf.br/virtu/files/2010/05/artigo-3a7.pdf" TargetMode="External"/><Relationship Id="rId428" Type="http://schemas.openxmlformats.org/officeDocument/2006/relationships/hyperlink" Target="http://www.scielo.br/scielo.php?pid=S0080-62342007000100011&amp;script=sci_arttext" TargetMode="External"/><Relationship Id="rId232" Type="http://schemas.openxmlformats.org/officeDocument/2006/relationships/hyperlink" Target="http://150.162.1.115/index.php/ref/article/viewFile/11989/11264" TargetMode="External"/><Relationship Id="rId274" Type="http://schemas.openxmlformats.org/officeDocument/2006/relationships/hyperlink" Target="http://www.cnet.com.au/meet-larry-croft-if-lara-was-a-man-339344728.htm%23image0" TargetMode="External"/><Relationship Id="rId27" Type="http://schemas.openxmlformats.org/officeDocument/2006/relationships/image" Target="media/image15.jpeg"/><Relationship Id="rId69" Type="http://schemas.openxmlformats.org/officeDocument/2006/relationships/hyperlink" Target="http://atualidadesdodireito.com.br/alicebianchini/2011/10/04/" TargetMode="External"/><Relationship Id="rId134" Type="http://schemas.openxmlformats.org/officeDocument/2006/relationships/chart" Target="charts/chart1.xml"/><Relationship Id="rId80" Type="http://schemas.openxmlformats.org/officeDocument/2006/relationships/hyperlink" Target="http://www.cidh.oas.org/annualrep/2000port/12051%20.htm" TargetMode="External"/><Relationship Id="rId176" Type="http://schemas.openxmlformats.org/officeDocument/2006/relationships/image" Target="media/image49.jpeg"/><Relationship Id="rId341" Type="http://schemas.openxmlformats.org/officeDocument/2006/relationships/image" Target="media/image61.jpeg"/><Relationship Id="rId383" Type="http://schemas.openxmlformats.org/officeDocument/2006/relationships/hyperlink" Target="http://liquid.camaracaxias.rs.gov.br/LiquidWeb/App/View.aspx?c=55610&amp;p=0" TargetMode="External"/><Relationship Id="rId439" Type="http://schemas.openxmlformats.org/officeDocument/2006/relationships/hyperlink" Target="http://www.unifor.br/images/pdfs/rbps/artigo11_2010.4.pdf" TargetMode="External"/><Relationship Id="rId201" Type="http://schemas.openxmlformats.org/officeDocument/2006/relationships/hyperlink" Target="http://150.162.1.115/index.php/ref/article/viewFile/11989/11264" TargetMode="External"/><Relationship Id="rId243" Type="http://schemas.openxmlformats.org/officeDocument/2006/relationships/hyperlink" Target="http://150.162.1.115/index.php/ref/article/viewFile/11989/11264" TargetMode="External"/><Relationship Id="rId285" Type="http://schemas.openxmlformats.org/officeDocument/2006/relationships/hyperlink" Target="//../%20http/moviecarpet.com/iwave/images/7/o-samus-aran-and-ridley-appear-in-doa-dimensions-3ds.jpg" TargetMode="External"/><Relationship Id="rId450" Type="http://schemas.openxmlformats.org/officeDocument/2006/relationships/hyperlink" Target="http://www.ipea.gov.br/desafios/index.php?option=com_content&amp;view=article&amp;id=2684:catid=28&amp;Itemid=23" TargetMode="External"/><Relationship Id="rId38" Type="http://schemas.openxmlformats.org/officeDocument/2006/relationships/hyperlink" Target="http://letras.terra.com.br/black-style/" TargetMode="External"/><Relationship Id="rId103" Type="http://schemas.openxmlformats.org/officeDocument/2006/relationships/image" Target="media/image30.jpeg"/><Relationship Id="rId310" Type="http://schemas.openxmlformats.org/officeDocument/2006/relationships/hyperlink" Target="file:///C:\Users\NIGS\Documents\2013%20-%209&#186;%20Pr&#234;mio%20C.%20Igualdade%20de%20G&#234;nero\Premios\Convertidos%2090\CUNHA%20Jr.,%20Henrique%20Antunes.%20Hist&#243;ria%20e%20Cultura%20Africana%20e%20os%20Elementos%20para%20uma%20Organiza&#231;&#227;o%20Curricular.%20Texto%20Disciplina%20P&#243;s-Gradua&#231;&#227;o,%20Fortaleza:%202009" TargetMode="External"/><Relationship Id="rId91" Type="http://schemas.openxmlformats.org/officeDocument/2006/relationships/hyperlink" Target="http://www.prattein.com.br/" TargetMode="External"/><Relationship Id="rId145" Type="http://schemas.openxmlformats.org/officeDocument/2006/relationships/hyperlink" Target="http://www.ibge.gov.br" TargetMode="External"/><Relationship Id="rId187" Type="http://schemas.openxmlformats.org/officeDocument/2006/relationships/hyperlink" Target="http://ondeacinderelaperdeuoscarpin.blogspot.com.br/2013/01/a-arte-de-nina-pandolfo.html" TargetMode="External"/><Relationship Id="rId352" Type="http://schemas.openxmlformats.org/officeDocument/2006/relationships/hyperlink" Target="http://www.mds.gov.br/" TargetMode="External"/><Relationship Id="rId394" Type="http://schemas.openxmlformats.org/officeDocument/2006/relationships/image" Target="media/image87.jpeg"/><Relationship Id="rId408" Type="http://schemas.openxmlformats.org/officeDocument/2006/relationships/hyperlink" Target="http://www.youtube.com/watch?v=UD4945XmGGY" TargetMode="External"/><Relationship Id="rId212" Type="http://schemas.openxmlformats.org/officeDocument/2006/relationships/hyperlink" Target="http://150.162.1.115/index.php/ref/article/viewFile/11989/11264" TargetMode="External"/><Relationship Id="rId254" Type="http://schemas.openxmlformats.org/officeDocument/2006/relationships/hyperlink" Target="http://150.162.1.115/index.php/ref/article/viewFile/11989/11264" TargetMode="External"/><Relationship Id="rId49" Type="http://schemas.openxmlformats.org/officeDocument/2006/relationships/header" Target="header3.xml"/><Relationship Id="rId114" Type="http://schemas.openxmlformats.org/officeDocument/2006/relationships/image" Target="media/image36.jpeg"/><Relationship Id="rId296" Type="http://schemas.openxmlformats.org/officeDocument/2006/relationships/hyperlink" Target="file:///C:\Users\NIGS\Documents\2013%20-%209&#186;%20Pr&#234;mio%20C.%20Igualdade%20de%20G&#234;nero\Premios\Convertidos%2090\BOSI,%20Ecl&#233;a.%20Mem&#243;ria%20e%20Sociedade:%20lembran&#231;as%20de%20velhos.%203&#170;%20ed.%20S&#227;o%20Paulo:%20Companhia%20das%20Letras,%201994" TargetMode="External"/><Relationship Id="rId461" Type="http://schemas.openxmlformats.org/officeDocument/2006/relationships/hyperlink" Target="http://www.ipea.gov.br/desafios/index.php?option=com_content&amp;view=article&amp;id=2684:catid=28&amp;Itemid=23" TargetMode="External"/><Relationship Id="rId60" Type="http://schemas.openxmlformats.org/officeDocument/2006/relationships/hyperlink" Target="http://www.planalto.gov.br/ccivil_03/_ato2004-2006/2006/lei/l11340.htm" TargetMode="External"/><Relationship Id="rId156" Type="http://schemas.openxmlformats.org/officeDocument/2006/relationships/hyperlink" Target="http://translate.google.com.br/?hl=pt-BR&amp;sl=es&amp;tl=pt-BR&amp;sugg=w&amp;hints=true&amp;q=http://www.museodelprado.es/" TargetMode="External"/><Relationship Id="rId198" Type="http://schemas.openxmlformats.org/officeDocument/2006/relationships/hyperlink" Target="http://150.162.1.115/index.php/ref/article/viewFile/11989/11264" TargetMode="External"/><Relationship Id="rId321" Type="http://schemas.openxmlformats.org/officeDocument/2006/relationships/hyperlink" Target="file:///C:\Users\NIGS\Documents\2013%20-%209&#186;%20Pr&#234;mio%20C.%20Igualdade%20de%20G&#234;nero\Premios\Convertidos%2090\PERROT,%20Michelle.%20Minha%20Hist&#243;ria%20das%20Mulheres.%20S&#227;o%20Paulo:%20Contexto,%202008" TargetMode="External"/><Relationship Id="rId363" Type="http://schemas.openxmlformats.org/officeDocument/2006/relationships/image" Target="media/image73.jpeg"/><Relationship Id="rId419" Type="http://schemas.openxmlformats.org/officeDocument/2006/relationships/hyperlink" Target="http://www.scielo.br/scielo.php?pid=S0102-311X2009000100013&amp;script=sci_arttext" TargetMode="External"/><Relationship Id="rId223" Type="http://schemas.openxmlformats.org/officeDocument/2006/relationships/hyperlink" Target="http://nuevomundo.revues.org/651" TargetMode="External"/><Relationship Id="rId430" Type="http://schemas.openxmlformats.org/officeDocument/2006/relationships/hyperlink" Target="http://www.scielo.br/scielo.php?pid=S1414-2832009000500011&amp;script=sci_arttext&amp;tlng=pt" TargetMode="External"/><Relationship Id="rId18" Type="http://schemas.openxmlformats.org/officeDocument/2006/relationships/hyperlink" Target="http://www.pos.eco.ufrj.br/ojs" TargetMode="External"/><Relationship Id="rId265" Type="http://schemas.openxmlformats.org/officeDocument/2006/relationships/hyperlink" Target="http://150.162.1.115/index.php/ref/article/viewFile/11989/11264" TargetMode="External"/><Relationship Id="rId125" Type="http://schemas.openxmlformats.org/officeDocument/2006/relationships/hyperlink" Target="http://www.tvbrasil.org.br/salto" TargetMode="External"/><Relationship Id="rId167" Type="http://schemas.openxmlformats.org/officeDocument/2006/relationships/hyperlink" Target="http://sitesms.curitiba.pr.gov.br/saude/areastematicas/mulher/RelatorioProgramaMulherdeVerdade2009.pdf" TargetMode="External"/><Relationship Id="rId332" Type="http://schemas.openxmlformats.org/officeDocument/2006/relationships/hyperlink" Target="file://C:\Users\NIGS\Documents\2013%20-%209&#186;%20Pr&#234;mio%20C.%20Igualdade%20de%20G&#234;nero\Premios\Convertidos%2090\FERREIRA,%20Mary.%20Feminismos%20no%20Nordeste%20Brasileiro:%20Hist&#243;rias,%20mem&#243;rias%20e%20pr&#225;ticas%20pol&#237;ticas.%20S&#227;o%20Lu&#237;s:%20Universidade%20Federal%20do%20Maranh&#227;o,%202011.%20Dispon&#237;vel%20em%20www.scielo.cl\pdf\polis\v10n28\art09.pdf.%20Acesso%20em%2019\12\2012." TargetMode="External"/><Relationship Id="rId374" Type="http://schemas.openxmlformats.org/officeDocument/2006/relationships/image" Target="media/image76.jpeg"/><Relationship Id="rId71" Type="http://schemas.openxmlformats.org/officeDocument/2006/relationships/hyperlink" Target="http://www.planalto.gov.br/ccivil_03/decreto/2002/D4377.htm" TargetMode="External"/><Relationship Id="rId234" Type="http://schemas.openxmlformats.org/officeDocument/2006/relationships/hyperlink" Target="http://150.162.1.115/index.php/ref/article/viewFile/11989/11264" TargetMode="External"/><Relationship Id="rId2" Type="http://schemas.openxmlformats.org/officeDocument/2006/relationships/numbering" Target="numbering.xml"/><Relationship Id="rId29" Type="http://schemas.openxmlformats.org/officeDocument/2006/relationships/image" Target="media/image17.jpeg"/><Relationship Id="rId276" Type="http://schemas.openxmlformats.org/officeDocument/2006/relationships/hyperlink" Target="http://cdn.superbwallpapers.com/wallpapers/games/raiden-metal-gear-rising-revengeance-17280-1680x1050.jpg" TargetMode="External"/><Relationship Id="rId441" Type="http://schemas.openxmlformats.org/officeDocument/2006/relationships/hyperlink" Target="http://www.scielo.br/scielo.php?pid=S0034-71672010000400023&amp;script=sci_arttext" TargetMode="External"/><Relationship Id="rId40" Type="http://schemas.openxmlformats.org/officeDocument/2006/relationships/hyperlink" Target="http://www.prodema.ufpb.br/revistaartemis/numero1/arquivos/%20%20artigos/pierrebourdieu.htm" TargetMode="External"/><Relationship Id="rId136" Type="http://schemas.openxmlformats.org/officeDocument/2006/relationships/chart" Target="charts/chart3.xml"/><Relationship Id="rId178" Type="http://schemas.openxmlformats.org/officeDocument/2006/relationships/image" Target="media/image50.jpeg"/><Relationship Id="rId301" Type="http://schemas.openxmlformats.org/officeDocument/2006/relationships/hyperlink" Target="file:///C:\Users\NIGS\Documents\2013%20-%209&#186;%20Pr&#234;mio%20C.%20Igualdade%20de%20G&#234;nero\Premios\Convertidos%2090\BOSI,%20Ecl&#233;a.%20Mem&#243;ria%20e%20Sociedade:%20lembran&#231;as%20de%20velhos.%203&#170;%20ed.%20S&#227;o%20Paulo:%20Companhia%20das%20Letras,%201994" TargetMode="External"/><Relationship Id="rId343" Type="http://schemas.openxmlformats.org/officeDocument/2006/relationships/image" Target="media/image62.jpeg"/><Relationship Id="rId61" Type="http://schemas.openxmlformats.org/officeDocument/2006/relationships/hyperlink" Target="http://www.sepm.gov.br/publicacoes-teste/publicacoes/2011/abrigamento" TargetMode="External"/><Relationship Id="rId82" Type="http://schemas.openxmlformats.org/officeDocument/2006/relationships/hyperlink" Target="http://www.stf.jus.br/arquivo/informativo/documento/informativo654.htm" TargetMode="External"/><Relationship Id="rId199" Type="http://schemas.openxmlformats.org/officeDocument/2006/relationships/hyperlink" Target="http://150.162.1.115/index.php/ref/article/viewFile/11989/11264" TargetMode="External"/><Relationship Id="rId203" Type="http://schemas.openxmlformats.org/officeDocument/2006/relationships/hyperlink" Target="http://150.162.1.115/index.php/ref/article/viewFile/11989/11264" TargetMode="External"/><Relationship Id="rId385" Type="http://schemas.openxmlformats.org/officeDocument/2006/relationships/image" Target="media/image83.jpeg"/><Relationship Id="rId19" Type="http://schemas.openxmlformats.org/officeDocument/2006/relationships/hyperlink" Target="mailto:kariny_rocha@yahoo.com.br" TargetMode="External"/><Relationship Id="rId224" Type="http://schemas.openxmlformats.org/officeDocument/2006/relationships/hyperlink" Target="http://www.letras.ufmg.br/poslit/08_publicacoes_txt/ale_13/ale13_jam.pdf" TargetMode="External"/><Relationship Id="rId245" Type="http://schemas.openxmlformats.org/officeDocument/2006/relationships/hyperlink" Target="http://150.162.1.115/index.php/ref/article/viewFile/11989/11264" TargetMode="External"/><Relationship Id="rId266" Type="http://schemas.openxmlformats.org/officeDocument/2006/relationships/hyperlink" Target="http://150.162.1.115/index.php/ref/article/viewFile/11989/11264" TargetMode="External"/><Relationship Id="rId287" Type="http://schemas.openxmlformats.org/officeDocument/2006/relationships/image" Target="media/image57.jpeg"/><Relationship Id="rId410" Type="http://schemas.openxmlformats.org/officeDocument/2006/relationships/hyperlink" Target="http://www.faithability.org/biblio?f%5bauthor%5d=30" TargetMode="External"/><Relationship Id="rId431" Type="http://schemas.openxmlformats.org/officeDocument/2006/relationships/hyperlink" Target="http://www.scielo.br/scielo.php?script=sci_arttext&amp;pid=S0104-59702008000400002&amp;lng=en&amp;nrm=iso&amp;tlng=en" TargetMode="External"/><Relationship Id="rId452" Type="http://schemas.openxmlformats.org/officeDocument/2006/relationships/hyperlink" Target="http://www.planalto.gov.br/ccivil_03/_Ato2011-2014/2012/Lei/L12711.htm" TargetMode="External"/><Relationship Id="rId30" Type="http://schemas.openxmlformats.org/officeDocument/2006/relationships/image" Target="media/image18.jpeg"/><Relationship Id="rId105" Type="http://schemas.openxmlformats.org/officeDocument/2006/relationships/image" Target="media/image32.jpeg"/><Relationship Id="rId126" Type="http://schemas.openxmlformats.org/officeDocument/2006/relationships/hyperlink" Target="http://literaciasoscrianca.blogspot.com/2010_12_03_archive.html" TargetMode="External"/><Relationship Id="rId147" Type="http://schemas.openxmlformats.org/officeDocument/2006/relationships/hyperlink" Target="http://translate.google.com.br/?hl=pt-BR&amp;sl=hi&amp;tl=pt-BR&amp;sugg=w&amp;hints=true&amp;q=http://thatshindi.oneindia.in/movies/" TargetMode="External"/><Relationship Id="rId168" Type="http://schemas.openxmlformats.org/officeDocument/2006/relationships/hyperlink" Target="http://sitesms.curitiba.pr.gov.br/saude/areastematicas/mulher/RelatorioProgramaMulherdeVerdade2009.pdf" TargetMode="External"/><Relationship Id="rId312" Type="http://schemas.openxmlformats.org/officeDocument/2006/relationships/hyperlink" Target="file://C:\Users\NIGS\Documents\2013%20-%209&#186;%20Pr&#234;mio%20C.%20Igualdade%20de%20G&#234;nero\Premios\Convertidos%2090\BONVINI,%20Em&#237;lio.%20Tradi&#231;&#227;o%20Oral%20Afro%20&#8211;%20Brasileira:%20As%20raz&#245;es%20de%20uma%20vitalidade.%20Tradu&#231;&#227;o:%20Karim%20Khoury.%20In:%20Hist&#243;ria%20e%20Oralidade.%20Projeto%20Hist&#243;ria.%20S&#227;o%20Paulo,%20junho,%202001.%20(Revista%20do%20Programa%20de%20Estudos%20P&#243;s-Graduados%20em%20Hist&#243;ria%20do%20Departamento%20de%20Hist&#243;ria%20da%20PUC\SP)." TargetMode="External"/><Relationship Id="rId333" Type="http://schemas.openxmlformats.org/officeDocument/2006/relationships/hyperlink" Target="file:///C:\Users\NIGS\Documents\2013%20-%209&#186;%20Pr&#234;mio%20C.%20Igualdade%20de%20G&#234;nero\Premios\Convertidos%2090\LERMA,%20Betty%20Ruth%20Lozano.%20El%20Feminismo%20No%20Puede%20Ser%20Uno%20Porque%20Las%20Mujeres%20Somos%20Diversas.%20Universidad%20del%20Vale.%20La%20Manzana%20de%20la%20Discordia,%20n&#186;%202,%20vol.%205,%202010" TargetMode="External"/><Relationship Id="rId354" Type="http://schemas.openxmlformats.org/officeDocument/2006/relationships/hyperlink" Target="http://www.lagartense.com.br/" TargetMode="External"/><Relationship Id="rId51" Type="http://schemas.openxmlformats.org/officeDocument/2006/relationships/hyperlink" Target="http://xa.yimg.com/kq/groups/14465203/61151995/name/Artigo+Mateus+antibaixaria.pdf" TargetMode="External"/><Relationship Id="rId72" Type="http://schemas.openxmlformats.org/officeDocument/2006/relationships/hyperlink" Target="http://www.planalto.gov.br/ccivil_03/leis/l9099.htm" TargetMode="External"/><Relationship Id="rId93" Type="http://schemas.openxmlformats.org/officeDocument/2006/relationships/hyperlink" Target="http://www.ibge.gov.br/home/presidencia/noticias/12062003indic2002.shtm" TargetMode="External"/><Relationship Id="rId189" Type="http://schemas.openxmlformats.org/officeDocument/2006/relationships/hyperlink" Target="http://revistacriativa.globo.com/Revista/Criativa/0,,EMI94731-17375,00-NINA+PANDOLFO.html" TargetMode="External"/><Relationship Id="rId375" Type="http://schemas.openxmlformats.org/officeDocument/2006/relationships/image" Target="media/image77.jpeg"/><Relationship Id="rId396" Type="http://schemas.openxmlformats.org/officeDocument/2006/relationships/image" Target="media/image89.jpeg"/><Relationship Id="rId3" Type="http://schemas.openxmlformats.org/officeDocument/2006/relationships/styles" Target="styles.xml"/><Relationship Id="rId214" Type="http://schemas.openxmlformats.org/officeDocument/2006/relationships/hyperlink" Target="http://150.162.1.115/index.php/ref/article/viewFile/11989/11264" TargetMode="External"/><Relationship Id="rId235" Type="http://schemas.openxmlformats.org/officeDocument/2006/relationships/hyperlink" Target="http://150.162.1.115/index.php/ref/article/viewFile/11989/11264" TargetMode="External"/><Relationship Id="rId256" Type="http://schemas.openxmlformats.org/officeDocument/2006/relationships/hyperlink" Target="http://www.cholonautas.edu.pe/modulo/upload/scott.pdf" TargetMode="External"/><Relationship Id="rId277" Type="http://schemas.openxmlformats.org/officeDocument/2006/relationships/hyperlink" Target="http://cdn.superbwallpapers.com/wallpapers/games/raiden-metal-gear-rising-revengeance-17280-1680x1050.jpg" TargetMode="External"/><Relationship Id="rId298" Type="http://schemas.openxmlformats.org/officeDocument/2006/relationships/hyperlink" Target="file:///C:\Users\NIGS\Documents\2013%20-%209&#186;%20Pr&#234;mio%20C.%20Igualdade%20de%20G&#234;nero\Premios\Convertidos%2090\BOSI,%20Ecl&#233;a.%20Mem&#243;ria%20e%20Sociedade:%20lembran&#231;as%20de%20velhos.%203&#170;%20ed.%20S&#227;o%20Paulo:%20Companhia%20das%20Letras,%201994" TargetMode="External"/><Relationship Id="rId400" Type="http://schemas.openxmlformats.org/officeDocument/2006/relationships/image" Target="media/image93.jpeg"/><Relationship Id="rId421" Type="http://schemas.openxmlformats.org/officeDocument/2006/relationships/hyperlink" Target="http://www.ncbi.nlm.nih.gov/pmc/articles/PMC3299965/" TargetMode="External"/><Relationship Id="rId442" Type="http://schemas.openxmlformats.org/officeDocument/2006/relationships/hyperlink" Target="http://www.scielo.br/scielo.php?script=sci_arttext&amp;pid=S0104-07072006000100013" TargetMode="External"/><Relationship Id="rId463" Type="http://schemas.openxmlformats.org/officeDocument/2006/relationships/hyperlink" Target="http://wesleycarvalho.com.br/wp-content/uploads/G%C3%AAnero-Joan-Scott.pdf" TargetMode="External"/><Relationship Id="rId116" Type="http://schemas.openxmlformats.org/officeDocument/2006/relationships/image" Target="media/image38.jpeg"/><Relationship Id="rId137" Type="http://schemas.openxmlformats.org/officeDocument/2006/relationships/chart" Target="charts/chart4.xml"/><Relationship Id="rId158" Type="http://schemas.openxmlformats.org/officeDocument/2006/relationships/hyperlink" Target="http://translate.google.com.br/?hl=pt-BR&amp;sl=ja&amp;tl=pt-BR&amp;sugg=w&amp;hints=true&amp;q=http://www.yomiuri.co.jp/" TargetMode="External"/><Relationship Id="rId302" Type="http://schemas.openxmlformats.org/officeDocument/2006/relationships/hyperlink" Target="file:///C:\Users\NIGS\Documents\2013%20-%209&#186;%20Pr&#234;mio%20C.%20Igualdade%20de%20G&#234;nero\Premios\Convertidos%2090\POLLAK,%20Michael.%20Mem&#243;ria%20e%20Identidade%20Social.%20In:%20Revista%20de%20Estudos%20Hist&#243;ricos%20N&#186;.%2010%20&#8211;%20Teoria%20e%20Hist&#243;ria.%20Ano%201992\1.%20Revista%20do%20CPDOC%20da%20Funda&#231;&#227;o%20Get&#250;lio%20Vargas" TargetMode="External"/><Relationship Id="rId323" Type="http://schemas.openxmlformats.org/officeDocument/2006/relationships/hyperlink" Target="file://C:\Users\NIGS\Documents\2013%20-%209&#186;%20Pr&#234;mio%20C.%20Igualdade%20de%20G&#234;nero\Premios\Convertidos%2090\SIQUEIRA,%20Ol&#237;via%20Tereza%20Pinheiro%20de.%20Pela%20Mulher%20Brasileira%20para%20a%20Mulher%20Pernambucana:%20a%20institucionaliza&#231;&#227;o%20do%20movimento%20feminista%20em%20Pernambuco%20(1924-1931).%20Anais%20do%20XV%20Encontro%20Regional%20de%20Hist&#243;ria%20da%20ANPUH,%20Rio%20de%20Janeiro,%20jul.%202010.%20Dispon&#237;vel%20em%20www.encontro2012.rj.anpuh.org.%20Acesso%20em%2019\12\2012." TargetMode="External"/><Relationship Id="rId344" Type="http://schemas.openxmlformats.org/officeDocument/2006/relationships/image" Target="media/image63.jpeg"/><Relationship Id="rId20" Type="http://schemas.openxmlformats.org/officeDocument/2006/relationships/hyperlink" Target="mailto:aclaudia@fc.unesp.br" TargetMode="External"/><Relationship Id="rId41" Type="http://schemas.openxmlformats.org/officeDocument/2006/relationships/hyperlink" Target="http://www.fepeg.unimontes.br/evento2009/index.php/fepeg/fepeg2009/paper/viewFile/265/599" TargetMode="External"/><Relationship Id="rId62" Type="http://schemas.openxmlformats.org/officeDocument/2006/relationships/hyperlink" Target="http://www.sepm.gov.br/publicacoes-teste/publicacoes/2011/politica-nacional" TargetMode="External"/><Relationship Id="rId83" Type="http://schemas.openxmlformats.org/officeDocument/2006/relationships/footer" Target="footer2.xml"/><Relationship Id="rId179" Type="http://schemas.openxmlformats.org/officeDocument/2006/relationships/hyperlink" Target="http://3.bp.blogspot.com/mEeOYkWT4sA/UTeUY_RksWI/AAAAAAAACBE/PPQ1vfmJLNw/s1600/nina.jpg" TargetMode="External"/><Relationship Id="rId365" Type="http://schemas.openxmlformats.org/officeDocument/2006/relationships/image" Target="media/image75.jpeg"/><Relationship Id="rId386" Type="http://schemas.openxmlformats.org/officeDocument/2006/relationships/image" Target="media/image84.jpeg"/><Relationship Id="rId190" Type="http://schemas.openxmlformats.org/officeDocument/2006/relationships/hyperlink" Target="http://150.162.1.115/index.php/ref/article/viewFile/11989/11264" TargetMode="External"/><Relationship Id="rId204" Type="http://schemas.openxmlformats.org/officeDocument/2006/relationships/hyperlink" Target="http://150.162.1.115/index.php/ref/article/viewFile/11989/11264" TargetMode="External"/><Relationship Id="rId225" Type="http://schemas.openxmlformats.org/officeDocument/2006/relationships/hyperlink" Target="http://www.cholonautas.edu.pe/modulo/upload/scott.pdf" TargetMode="External"/><Relationship Id="rId246" Type="http://schemas.openxmlformats.org/officeDocument/2006/relationships/hyperlink" Target="http://150.162.1.115/index.php/ref/article/viewFile/11989/11264" TargetMode="External"/><Relationship Id="rId267" Type="http://schemas.openxmlformats.org/officeDocument/2006/relationships/hyperlink" Target="http://www1.folha.uol.com.br/tec/2013/09/%201334778-cansadas-de-estereotipos-negativos-mulheres-querem-tratamento-mais-justo-nos-games.shtml" TargetMode="External"/><Relationship Id="rId288" Type="http://schemas.openxmlformats.org/officeDocument/2006/relationships/hyperlink" Target="http://www.baixakijogos.com.br/ps3/killer-is-dead/analise" TargetMode="External"/><Relationship Id="rId411" Type="http://schemas.openxmlformats.org/officeDocument/2006/relationships/hyperlink" Target="http://www.faithability.org/biblio/theology-and-disability-changing-the-conversation" TargetMode="External"/><Relationship Id="rId432" Type="http://schemas.openxmlformats.org/officeDocument/2006/relationships/hyperlink" Target="http://www.scielo.br/scielo.php?script=sci_arttext&amp;pid=S0104-59702008000400002&amp;lng=en&amp;nrm=iso&amp;tlng=en" TargetMode="External"/><Relationship Id="rId453" Type="http://schemas.openxmlformats.org/officeDocument/2006/relationships/hyperlink" Target="http://www.planalto.gov.br/ccivil_03/_Ato2011-2014/2012/Lei/L12711.htm" TargetMode="External"/><Relationship Id="rId106" Type="http://schemas.openxmlformats.org/officeDocument/2006/relationships/image" Target="media/image33.jpeg"/><Relationship Id="rId127" Type="http://schemas.openxmlformats.org/officeDocument/2006/relationships/hyperlink" Target="http://www.psicopedagogia.com.br/new1_artigo.asp" TargetMode="External"/><Relationship Id="rId313" Type="http://schemas.openxmlformats.org/officeDocument/2006/relationships/hyperlink" Target="file://C:\Users\NIGS\Documents\2013%20-%209&#186;%20Pr&#234;mio%20C.%20Igualdade%20de%20G&#234;nero\Premios\Convertidos%2090\RAIMUNDO,%20Valdenice%20Jos&#233;;%20GEHLEN,%20Vit&#243;ria%20e%20ALMEIDA,%20Daniele.%20Mulher%20Negra:%20inser&#231;&#227;o%20nos%20movimentos%20sociais%20feminista%20e%20negro.%20Dispon&#237;vel%20em%20www.fundaj.gov.br.%20Acesso%20em:%2019\12\12." TargetMode="External"/><Relationship Id="rId10" Type="http://schemas.openxmlformats.org/officeDocument/2006/relationships/footer" Target="footer1.xml"/><Relationship Id="rId31" Type="http://schemas.openxmlformats.org/officeDocument/2006/relationships/hyperlink" Target="http://www.google.com.br/" TargetMode="External"/><Relationship Id="rId52" Type="http://schemas.openxmlformats.org/officeDocument/2006/relationships/hyperlink" Target="http://xa.yimg.com/kq/groups/14465203/61151995/name/Artigo+Mateus+antibaixaria.pdf" TargetMode="External"/><Relationship Id="rId73" Type="http://schemas.openxmlformats.org/officeDocument/2006/relationships/hyperlink" Target="http://www.leidireto.com.br/lei-9099.html" TargetMode="External"/><Relationship Id="rId94" Type="http://schemas.openxmlformats.org/officeDocument/2006/relationships/image" Target="media/image21.jpeg"/><Relationship Id="rId148" Type="http://schemas.openxmlformats.org/officeDocument/2006/relationships/hyperlink" Target="http://translate.google.com.br/?hl=pt-BR&amp;sl=de&amp;tl=pt-BR&amp;sugg=w&amp;hints=true&amp;q=http://www.focus.de/" TargetMode="External"/><Relationship Id="rId169" Type="http://schemas.openxmlformats.org/officeDocument/2006/relationships/hyperlink" Target="mailto:Katiuscia-kamo@hotmail.com" TargetMode="External"/><Relationship Id="rId334" Type="http://schemas.openxmlformats.org/officeDocument/2006/relationships/hyperlink" Target="file:///C:\Users\NIGS\Documents\2013%20-%209&#186;%20Pr&#234;mio%20C.%20Igualdade%20de%20G&#234;nero\Premios\Convertidos%2090\LERMA,%20Betty%20Ruth%20Lozano.%20El%20Feminismo%20No%20Puede%20Ser%20Uno%20Porque%20Las%20Mujeres%20Somos%20Diversas.%20Universidad%20del%20Vale.%20La%20Manzana%20de%20la%20Discordia,%20n&#186;%202,%20vol.%205,%202010" TargetMode="External"/><Relationship Id="rId355" Type="http://schemas.openxmlformats.org/officeDocument/2006/relationships/image" Target="media/image65.emf"/><Relationship Id="rId376" Type="http://schemas.openxmlformats.org/officeDocument/2006/relationships/image" Target="media/image78.jpeg"/><Relationship Id="rId397" Type="http://schemas.openxmlformats.org/officeDocument/2006/relationships/image" Target="media/image90.jpeg"/><Relationship Id="rId4" Type="http://schemas.microsoft.com/office/2007/relationships/stylesWithEffects" Target="stylesWithEffects.xml"/><Relationship Id="rId180" Type="http://schemas.openxmlformats.org/officeDocument/2006/relationships/image" Target="media/image51.jpeg"/><Relationship Id="rId215" Type="http://schemas.openxmlformats.org/officeDocument/2006/relationships/hyperlink" Target="http://150.162.1.115/index.php/ref/article/viewFile/11989/11264" TargetMode="External"/><Relationship Id="rId236" Type="http://schemas.openxmlformats.org/officeDocument/2006/relationships/hyperlink" Target="http://150.162.1.115/index.php/ref/article/viewFile/11989/11264" TargetMode="External"/><Relationship Id="rId257" Type="http://schemas.openxmlformats.org/officeDocument/2006/relationships/hyperlink" Target="http://www.cholonautas.edu.pe/modulo/upload/scott.pdf" TargetMode="External"/><Relationship Id="rId278" Type="http://schemas.openxmlformats.org/officeDocument/2006/relationships/hyperlink" Target="https://www.youtube.com/watch?v=_cdT0R4cYkI" TargetMode="External"/><Relationship Id="rId401" Type="http://schemas.openxmlformats.org/officeDocument/2006/relationships/image" Target="media/image94.jpeg"/><Relationship Id="rId422" Type="http://schemas.openxmlformats.org/officeDocument/2006/relationships/hyperlink" Target="http://www.scielo.br/scielo.php?script=sci_arttext&amp;pid=S0102-79722010000100002" TargetMode="External"/><Relationship Id="rId443" Type="http://schemas.openxmlformats.org/officeDocument/2006/relationships/hyperlink" Target="http://www.spm.gov.br/acesso-a-informacao/perguntas-frequentes/obig/qual-e-a-importancia-de-um-observatorio-de-genero" TargetMode="External"/><Relationship Id="rId464" Type="http://schemas.openxmlformats.org/officeDocument/2006/relationships/hyperlink" Target="http://wesleycarvalho.com.br/wp-content/uploads/G%C3%AAnero-Joan-Scott.pdf" TargetMode="External"/><Relationship Id="rId303" Type="http://schemas.openxmlformats.org/officeDocument/2006/relationships/hyperlink" Target="file:///C:\Users\NIGS\Documents\2013%20-%209&#186;%20Pr&#234;mio%20C.%20Igualdade%20de%20G&#234;nero\Premios\Convertidos%2090\HALBWACHS,%20Maurice.%20A%20Mem&#243;ria%20Coletiva.%20S&#227;o%20Paulo:%20V&#233;rtice,%201990" TargetMode="External"/><Relationship Id="rId42" Type="http://schemas.openxmlformats.org/officeDocument/2006/relationships/hyperlink" Target="http://prisma.cetac.up.pt/08_Representacoes_genero_letras%20_musica_juvenil.pdf" TargetMode="External"/><Relationship Id="rId84" Type="http://schemas.openxmlformats.org/officeDocument/2006/relationships/hyperlink" Target="http://www.cidadaniasexual.org/" TargetMode="External"/><Relationship Id="rId138" Type="http://schemas.openxmlformats.org/officeDocument/2006/relationships/image" Target="media/image42.emf"/><Relationship Id="rId345" Type="http://schemas.openxmlformats.org/officeDocument/2006/relationships/image" Target="media/image64.jpeg"/><Relationship Id="rId387" Type="http://schemas.openxmlformats.org/officeDocument/2006/relationships/image" Target="media/image85.jpeg"/><Relationship Id="rId191" Type="http://schemas.openxmlformats.org/officeDocument/2006/relationships/hyperlink" Target="http://150.162.1.115/index.php/ref/article/viewFile/11989/11264" TargetMode="External"/><Relationship Id="rId205" Type="http://schemas.openxmlformats.org/officeDocument/2006/relationships/hyperlink" Target="http://150.162.1.115/index.php/ref/article/viewFile/11989/11264" TargetMode="External"/><Relationship Id="rId247" Type="http://schemas.openxmlformats.org/officeDocument/2006/relationships/hyperlink" Target="http://150.162.1.115/index.php/ref/article/viewFile/11989/11264" TargetMode="External"/><Relationship Id="rId412" Type="http://schemas.openxmlformats.org/officeDocument/2006/relationships/image" Target="media/image96.jpeg"/><Relationship Id="rId107" Type="http://schemas.openxmlformats.org/officeDocument/2006/relationships/hyperlink" Target="http://www.ibge.gov.br/home/presidencia/noticias/12062003indic2002.shtm" TargetMode="External"/><Relationship Id="rId289" Type="http://schemas.openxmlformats.org/officeDocument/2006/relationships/hyperlink" Target="http://www.baixakijogos.com.br/ps3/killer-is-dead/analise" TargetMode="External"/><Relationship Id="rId454" Type="http://schemas.openxmlformats.org/officeDocument/2006/relationships/hyperlink" Target="http://www.lex.com.br/doc_23663852_LEI_N_12711_DE_29_DE_AGOSTO_DE_2012.aspx" TargetMode="External"/><Relationship Id="rId11" Type="http://schemas.openxmlformats.org/officeDocument/2006/relationships/header" Target="header2.xml"/><Relationship Id="rId53" Type="http://schemas.openxmlformats.org/officeDocument/2006/relationships/hyperlink" Target="http://www.scielo.br/pdf/rsp/v40nspe/30631.pdf" TargetMode="External"/><Relationship Id="rId149" Type="http://schemas.openxmlformats.org/officeDocument/2006/relationships/hyperlink" Target="http://translate.google.com.br/?hl=pt-BR&amp;sl=es&amp;tl=pt-BR&amp;sugg=w&amp;hints=true&amp;q=http://www.artetoreo.com/" TargetMode="External"/><Relationship Id="rId314" Type="http://schemas.openxmlformats.org/officeDocument/2006/relationships/hyperlink" Target="file:///C:\Users\NIGS\Documents\2013%20-%209&#186;%20Pr&#234;mio%20C.%20Igualdade%20de%20G&#234;nero\Premios\Convertidos%2090\LERMA,%20Betty%20Ruth%20Lozano.%20El%20Feminismo%20No%20Puede%20Ser%20Uno%20Porque%20Las%20Mujeres%20Somos%20Diversas.%20Universidad%20del%20Vale.%20La%20Manzana%20de%20la%20Discordia,%20n&#186;%202,%20vol.%205,%202010" TargetMode="External"/><Relationship Id="rId356" Type="http://schemas.openxmlformats.org/officeDocument/2006/relationships/image" Target="media/image66.png"/><Relationship Id="rId398" Type="http://schemas.openxmlformats.org/officeDocument/2006/relationships/image" Target="media/image91.jpeg"/><Relationship Id="rId95" Type="http://schemas.openxmlformats.org/officeDocument/2006/relationships/image" Target="media/image22.jpeg"/><Relationship Id="rId160" Type="http://schemas.openxmlformats.org/officeDocument/2006/relationships/image" Target="media/image44.jpeg"/><Relationship Id="rId216" Type="http://schemas.openxmlformats.org/officeDocument/2006/relationships/hyperlink" Target="http://150.162.1.115/index.php/ref/article/viewFile/11989/11264" TargetMode="External"/><Relationship Id="rId423" Type="http://schemas.openxmlformats.org/officeDocument/2006/relationships/hyperlink" Target="http://www.scielo.br/scielo.php?pid=S0100-55022012000400006&amp;script=sci_arttext" TargetMode="External"/><Relationship Id="rId258" Type="http://schemas.openxmlformats.org/officeDocument/2006/relationships/hyperlink" Target="http://www.cholonautas.edu.pe/modulo/upload/scott.pdf" TargetMode="External"/><Relationship Id="rId465" Type="http://schemas.openxmlformats.org/officeDocument/2006/relationships/image" Target="media/image97.jpeg"/><Relationship Id="rId22" Type="http://schemas.openxmlformats.org/officeDocument/2006/relationships/image" Target="media/image10.jpeg"/><Relationship Id="rId64" Type="http://schemas.openxmlformats.org/officeDocument/2006/relationships/hyperlink" Target="http://www.ub.edu/SIMS/pdf/PensarDiferencias/PensarDiferencias-03.pdf" TargetMode="External"/><Relationship Id="rId118" Type="http://schemas.openxmlformats.org/officeDocument/2006/relationships/image" Target="media/image40.jpeg"/><Relationship Id="rId325" Type="http://schemas.openxmlformats.org/officeDocument/2006/relationships/hyperlink" Target="file://C:\Users\NIGS\Documents\2013%20-%209&#186;%20Pr&#234;mio%20C.%20Igualdade%20de%20G&#234;nero\Premios\Convertidos%2090\CURIEL,%20Ochy.%20Identidades%20Esencialistas%20o%20Construcci&#243;n%20de%20Identidades%20Pol&#237;ticas.%20El%20dilema%20de%20las%20Feministas%20Negras.%20En:%20Mujeres%20Desencadenantes.%20Los%20Estudios%20de%20G&#233;nero%20en%20la%20Rep&#250;blica%20Dominicana%20al%20inicio%20del%20tercer%20Milenio.%20INTEC.%202005.%20Rep&#250;blica%20Dominicana." TargetMode="External"/><Relationship Id="rId367" Type="http://schemas.openxmlformats.org/officeDocument/2006/relationships/hyperlink" Target="http://www.joinpp.ufma.br/jornadas/joinpp2011/CdVjornada/JORNADA_EIXO_2011/QUESTOES_DE_GENERO_ETNIA_E_GERACAO/GENERO_E_DESIGUALDADE_SOCIAL_NEW.pdf" TargetMode="External"/><Relationship Id="rId171" Type="http://schemas.openxmlformats.org/officeDocument/2006/relationships/image" Target="media/image46.jpeg"/><Relationship Id="rId227" Type="http://schemas.openxmlformats.org/officeDocument/2006/relationships/hyperlink" Target="http://www.cholonautas.edu.pe/modulo/upload/scott.pdf" TargetMode="External"/><Relationship Id="rId269" Type="http://schemas.openxmlformats.org/officeDocument/2006/relationships/image" Target="media/image52.jpeg"/><Relationship Id="rId434" Type="http://schemas.openxmlformats.org/officeDocument/2006/relationships/hyperlink" Target="http://www.scielo.br/scielo.php?script=sci_arttext&amp;pid=S0034-71672011000100009" TargetMode="External"/><Relationship Id="rId33" Type="http://schemas.openxmlformats.org/officeDocument/2006/relationships/hyperlink" Target="http://www.google.com.br/" TargetMode="External"/><Relationship Id="rId129" Type="http://schemas.openxmlformats.org/officeDocument/2006/relationships/hyperlink" Target="http://letras.mus.br/legiao-urbana/22497/" TargetMode="External"/><Relationship Id="rId280" Type="http://schemas.openxmlformats.org/officeDocument/2006/relationships/hyperlink" Target="http://www.bj.com.br/noticias/36042-treta-do-dia-designer-da-343-critica-erotismo-de-novo-metal-gear-no-twitter?utm_source=facebook.com&amp;utm_medium=referral&amp;utm_campaign%20=imggrande" TargetMode="External"/><Relationship Id="rId336" Type="http://schemas.openxmlformats.org/officeDocument/2006/relationships/hyperlink" Target="http://www.scielo.cl/pdf/polis/v10n28/art09.pdf" TargetMode="External"/><Relationship Id="rId75" Type="http://schemas.openxmlformats.org/officeDocument/2006/relationships/hyperlink" Target="http://www.planalto.gov.br/ccivil%20_03/leis/2003/l10.778.htm" TargetMode="External"/><Relationship Id="rId140" Type="http://schemas.openxmlformats.org/officeDocument/2006/relationships/chart" Target="charts/chart6.xml"/><Relationship Id="rId182" Type="http://schemas.openxmlformats.org/officeDocument/2006/relationships/hyperlink" Target="http://www.itaucultural.org.br/aplicexternas/enciclopedia_ic/index.cfm?fuseaction=artistas_biografia&amp;cd_verbete=991" TargetMode="External"/><Relationship Id="rId378" Type="http://schemas.openxmlformats.org/officeDocument/2006/relationships/image" Target="media/image80.jpeg"/><Relationship Id="rId403" Type="http://schemas.openxmlformats.org/officeDocument/2006/relationships/hyperlink" Target="http://www.url:http://www.fpabamo.org.br" TargetMode="External"/><Relationship Id="rId6" Type="http://schemas.openxmlformats.org/officeDocument/2006/relationships/webSettings" Target="webSettings.xml"/><Relationship Id="rId238" Type="http://schemas.openxmlformats.org/officeDocument/2006/relationships/hyperlink" Target="http://150.162.1.115/index.php/ref/article/viewFile/11989/11264" TargetMode="External"/><Relationship Id="rId445" Type="http://schemas.openxmlformats.org/officeDocument/2006/relationships/hyperlink" Target="http://www.globalrights.org/site/DocServer/RELATORIO_CEDAW_FINAL_-_Portugues.pdf/749676568?docID=13324&amp;verID=1" TargetMode="External"/><Relationship Id="rId291" Type="http://schemas.openxmlformats.org/officeDocument/2006/relationships/hyperlink" Target="file://C:\Users\NIGS\Documents\2013%20-%209&#186;%20Pr&#234;mio%20C.%20Igualdade%20de%20G&#234;nero\Premios\Convertidos%2090\OLIVEIRA,%20Alexsandra%20Fl&#225;via%20B.%20Trabalho%20e%20Divers&#227;o:%20A%20Presen&#231;a%20dos%20Idosos%20nas%20Casas%20de%20Farinha%20do%20Munic&#237;pio%20de%20Bodoc&#243;%20&#8211;%20PE%20(1928-1938).%20Monografia%20Apresenta%20ao%20Curso%20de%20Especializa&#231;&#227;o%20em%20Hist&#243;ria%20e%20Sociologia.%20Crato:%20Universidade%20Regional%20do%20Cariri%20-%20URCA,%202006." TargetMode="External"/><Relationship Id="rId305" Type="http://schemas.openxmlformats.org/officeDocument/2006/relationships/hyperlink" Target="file:///C:\Users\NIGS\Documents\2013%20-%209&#186;%20Pr&#234;mio%20C.%20Igualdade%20de%20G&#234;nero\Premios\Convertidos%2090\POLLAK,%20Michael.%20Mem&#243;ria%20e%20Identidade%20Social.%20In:%20Revista%20de%20Estudos%20Hist&#243;ricos%20N&#186;.%2010%20&#8211;%20Teoria%20e%20Hist&#243;ria.%20Ano%201992\1.%20Revista%20do%20CPDOC%20da%20Funda&#231;&#227;o%20Get&#250;lio%20Vargas" TargetMode="External"/><Relationship Id="rId347" Type="http://schemas.openxmlformats.org/officeDocument/2006/relationships/hyperlink" Target="http://www.mds.gov.br/" TargetMode="External"/><Relationship Id="rId44" Type="http://schemas.openxmlformats.org/officeDocument/2006/relationships/hyperlink" Target="http://apatotadopitaco.blogspot.com/2011/07/mulher-e-igual-lata-um-chuta-e-o-outro.html" TargetMode="External"/><Relationship Id="rId86" Type="http://schemas.openxmlformats.org/officeDocument/2006/relationships/image" Target="media/image20.jpeg"/><Relationship Id="rId151" Type="http://schemas.openxmlformats.org/officeDocument/2006/relationships/hyperlink" Target="http://translate.google.com.br/?hl=pt-BR&amp;sl=de&amp;tl=pt-BR&amp;sugg=w&amp;hints=true&amp;q=http://www.spiegel.de/" TargetMode="External"/><Relationship Id="rId389" Type="http://schemas.openxmlformats.org/officeDocument/2006/relationships/hyperlink" Target="http://www.faced.ufu.br/colubhe06/anais/arquivos/441MariaAparecidaSilva.pdf" TargetMode="External"/><Relationship Id="rId193" Type="http://schemas.openxmlformats.org/officeDocument/2006/relationships/hyperlink" Target="http://150.162.1.115/index.php/ref/article/viewFile/11989/11264" TargetMode="External"/><Relationship Id="rId207" Type="http://schemas.openxmlformats.org/officeDocument/2006/relationships/hyperlink" Target="http://150.162.1.115/index.php/ref/article/viewFile/11989/11264" TargetMode="External"/><Relationship Id="rId249" Type="http://schemas.openxmlformats.org/officeDocument/2006/relationships/hyperlink" Target="http://www.cholonautas.edu.pe/modulo/upload/scott.pdf" TargetMode="External"/><Relationship Id="rId414" Type="http://schemas.openxmlformats.org/officeDocument/2006/relationships/hyperlink" Target="http://www.scielo.br/scielo.php?script=sci_arttext&amp;pid=S0034-71672012000500008" TargetMode="External"/><Relationship Id="rId456" Type="http://schemas.openxmlformats.org/officeDocument/2006/relationships/hyperlink" Target="http://www.lex.com.br/legis_23866622_PORTARIA_NORMATIVA_N_18_DE_11_DE_OUTUBRO_DE_2012.aspx" TargetMode="External"/><Relationship Id="rId13" Type="http://schemas.openxmlformats.org/officeDocument/2006/relationships/image" Target="media/image7.jpeg"/><Relationship Id="rId109" Type="http://schemas.openxmlformats.org/officeDocument/2006/relationships/hyperlink" Target="http://www.theosophy.ca/theosophical.ws/Portuguese/OrienteOcidenteAB.htm" TargetMode="External"/><Relationship Id="rId260" Type="http://schemas.openxmlformats.org/officeDocument/2006/relationships/hyperlink" Target="http://www.cholonautas.edu.pe/modulo/upload/scott.pdf" TargetMode="External"/><Relationship Id="rId316" Type="http://schemas.openxmlformats.org/officeDocument/2006/relationships/hyperlink" Target="file:///C:\Users\NIGS\Documents\2013%20-%209&#186;%20Pr&#234;mio%20C.%20Igualdade%20de%20G&#234;nero\Premios\Convertidos%2090\SANTOS,%20Boaventura%20de%20Sousa.%20Pela%20M&#227;o%20de%20Alice.%20S&#227;o%20Paulo:%20Cortez,%202010" TargetMode="External"/><Relationship Id="rId55" Type="http://schemas.openxmlformats.org/officeDocument/2006/relationships/hyperlink" Target="http://www.planalto.gov.br/ccivil_03/constituicao/constitui&#195;&#167;ao.htm" TargetMode="External"/><Relationship Id="rId97" Type="http://schemas.openxmlformats.org/officeDocument/2006/relationships/image" Target="media/image24.jpeg"/><Relationship Id="rId120" Type="http://schemas.openxmlformats.org/officeDocument/2006/relationships/hyperlink" Target="http://www.ipea.gov.br/pub/td/2002/td_0858.pdf" TargetMode="External"/><Relationship Id="rId358" Type="http://schemas.openxmlformats.org/officeDocument/2006/relationships/image" Target="media/image68.jpeg"/><Relationship Id="rId162" Type="http://schemas.openxmlformats.org/officeDocument/2006/relationships/hyperlink" Target="http://www.engels.org/portugues/marxismo_versus_feminismo_a_luta" TargetMode="External"/><Relationship Id="rId218" Type="http://schemas.openxmlformats.org/officeDocument/2006/relationships/hyperlink" Target="http://150.162.1.115/index.php/ref/article/viewFile/11989/11264" TargetMode="External"/><Relationship Id="rId425" Type="http://schemas.openxmlformats.org/officeDocument/2006/relationships/hyperlink" Target="http://www.scielo.br/scielo.php?pid=S1983-14472011000300007&amp;script=sci_arttext" TargetMode="External"/><Relationship Id="rId467" Type="http://schemas.openxmlformats.org/officeDocument/2006/relationships/fontTable" Target="fontTable.xml"/><Relationship Id="rId271" Type="http://schemas.openxmlformats.org/officeDocument/2006/relationships/hyperlink" Target="http://www.youtube.com/watch?v=W_IDjHNIVFs" TargetMode="External"/><Relationship Id="rId24" Type="http://schemas.openxmlformats.org/officeDocument/2006/relationships/image" Target="media/image12.jpeg"/><Relationship Id="rId66" Type="http://schemas.openxmlformats.org/officeDocument/2006/relationships/hyperlink" Target="http://www.flacso.org.br/portal/pdf/serie_estudos_ensaios/Heleieth_Saffioti.pdf" TargetMode="External"/><Relationship Id="rId131" Type="http://schemas.openxmlformats.org/officeDocument/2006/relationships/hyperlink" Target="http://www.unifra.br/eventos/jne2008/Trabalhos/114.pdf" TargetMode="External"/><Relationship Id="rId327" Type="http://schemas.openxmlformats.org/officeDocument/2006/relationships/hyperlink" Target="file://C:\Users\NIGS\Documents\2013%20-%209&#186;%20Pr&#234;mio%20C.%20Igualdade%20de%20G&#234;nero\Premios\Convertidos%2090\RAIMUNDO,%20Valdenice%20Jos&#233;;%20GEHLEN,%20Vit&#243;ria%20e%20ALMEIDA,%20Daniele.%20Mulher%20Negra:%20inser&#231;&#227;o%20nos%20movimentos%20sociais%20feminista%20e%20negro.%20Dispon&#237;vel%20em%20www.fundaj.gov.br.%20Acesso%20em:%2019\12\12." TargetMode="External"/><Relationship Id="rId369" Type="http://schemas.openxmlformats.org/officeDocument/2006/relationships/hyperlink" Target="http://www.cepia.org.br/doc/generoedesigualdades.pdf" TargetMode="External"/><Relationship Id="rId173" Type="http://schemas.openxmlformats.org/officeDocument/2006/relationships/image" Target="media/image47.jpeg"/><Relationship Id="rId229" Type="http://schemas.openxmlformats.org/officeDocument/2006/relationships/hyperlink" Target="http://www.cholonautas.edu.pe/modulo/upload/scott.pdf" TargetMode="External"/><Relationship Id="rId380" Type="http://schemas.openxmlformats.org/officeDocument/2006/relationships/image" Target="media/image82.jpeg"/><Relationship Id="rId436" Type="http://schemas.openxmlformats.org/officeDocument/2006/relationships/hyperlink" Target="http://www.scielo.br/scielo.php?pid=S1414-32832011000100007&amp;script=sci_arttext" TargetMode="External"/><Relationship Id="rId240" Type="http://schemas.openxmlformats.org/officeDocument/2006/relationships/hyperlink" Target="http://150.162.1.115/index.php/ref/article/viewFile/11989/11264" TargetMode="External"/><Relationship Id="rId35" Type="http://schemas.openxmlformats.org/officeDocument/2006/relationships/image" Target="media/image19.png"/><Relationship Id="rId77" Type="http://schemas.openxmlformats.org/officeDocument/2006/relationships/hyperlink" Target="http://www.scielo.br/scielo.php?%20script=sci_arttext&amp;pid=S0103-40142003000300%20008" TargetMode="External"/><Relationship Id="rId100" Type="http://schemas.openxmlformats.org/officeDocument/2006/relationships/image" Target="media/image27.jpeg"/><Relationship Id="rId282" Type="http://schemas.openxmlformats.org/officeDocument/2006/relationships/hyperlink" Target="http://www.bj.com.br/noticias/36042-treta-do-dia-designer-da-343-critica-erotismo-de-novo-metal-gear-no-twitter?utm_source=facebook.com&amp;utm_medium=referral&amp;utm_campaign=imggrande" TargetMode="External"/><Relationship Id="rId338" Type="http://schemas.openxmlformats.org/officeDocument/2006/relationships/image" Target="media/image58.jpeg"/><Relationship Id="rId8" Type="http://schemas.openxmlformats.org/officeDocument/2006/relationships/endnotes" Target="endnotes.xml"/><Relationship Id="rId142" Type="http://schemas.openxmlformats.org/officeDocument/2006/relationships/chart" Target="charts/chart8.xml"/><Relationship Id="rId184" Type="http://schemas.openxmlformats.org/officeDocument/2006/relationships/hyperlink" Target="http://www.sp-arte.com/artistas/nina-pandolfo/" TargetMode="External"/><Relationship Id="rId391" Type="http://schemas.openxmlformats.org/officeDocument/2006/relationships/hyperlink" Target="http://www.spm.gov.br/subsecretaria-de-enfrentamento-a-violencia-contra-as-mulheres/lei-maria-da-penha/manual-maria-da-penha-mt.pdf" TargetMode="External"/><Relationship Id="rId405" Type="http://schemas.openxmlformats.org/officeDocument/2006/relationships/hyperlink" Target="http://www.scielo.br/pdf/cp/n115/a05n115.pdf" TargetMode="External"/><Relationship Id="rId447" Type="http://schemas.openxmlformats.org/officeDocument/2006/relationships/hyperlink" Target="http://noticias.terra.com.br/educacao/jornalista-se-arrepende-de-comparar-medicas-cubanas-a-domesticas,3f1181c0881c0410VgnVCM10000098cceb0aRCRD.html" TargetMode="External"/><Relationship Id="rId251" Type="http://schemas.openxmlformats.org/officeDocument/2006/relationships/hyperlink" Target="http://www.cholonautas.edu.pe/modulo/upload/scott.pdf" TargetMode="External"/><Relationship Id="rId46" Type="http://schemas.openxmlformats.org/officeDocument/2006/relationships/hyperlink" Target="http://www.smec.salvador.ba.gov.br/site/documentos/espaco-virtual/espaco-etica/%20WEBARTIGOS/questao%20de%20genero%20na%20escola.pdf" TargetMode="External"/><Relationship Id="rId293" Type="http://schemas.openxmlformats.org/officeDocument/2006/relationships/hyperlink" Target="file://C:\Users\NIGS\Documents\2013%20-%209&#186;%20Pr&#234;mio%20C.%20Igualdade%20de%20G&#234;nero\Premios\Convertidos%2090\SIQUEIRA,%20Ol&#237;via%20Tereza%20Pinheiro%20de.%20Pela%20Mulher%20Brasileira%20para%20a%20Mulher%20Pernambucana:%20a%20institucionaliza&#231;&#227;o%20do%20movimento%20feminista%20em%20Pernambuco%20(1924-1931).%20Anais%20do%20XV%20Encontro%20Regional%20de%20Hist&#243;ria%20da%20ANPUH,%20Rio%20de%20Janeiro,%20jul.%202010.%20Dispon&#237;vel%20em%20www.encontro2012.rj.anpuh.org.%20Acesso%20em%2019\12\2012." TargetMode="External"/><Relationship Id="rId307" Type="http://schemas.openxmlformats.org/officeDocument/2006/relationships/hyperlink" Target="file:///C:\Users\NIGS\Documents\2013%20-%209&#186;%20Pr&#234;mio%20C.%20Igualdade%20de%20G&#234;nero\Premios\Convertidos%2090\MONTENEGRO,%20Antonio%20Torres.%20Hist&#243;ria%20Oral%20e%20Mem&#243;ria:%20a%20cultura%20popular%20revisitada.%20S&#227;o%20Paulo:%20Contexto,%201992" TargetMode="External"/><Relationship Id="rId349" Type="http://schemas.openxmlformats.org/officeDocument/2006/relationships/hyperlink" Target="http://www.lagartense.com.br/" TargetMode="External"/><Relationship Id="rId88" Type="http://schemas.openxmlformats.org/officeDocument/2006/relationships/hyperlink" Target="http://www.jstor.org/pss/40338427" TargetMode="External"/><Relationship Id="rId111" Type="http://schemas.openxmlformats.org/officeDocument/2006/relationships/hyperlink" Target="http://www.br.geocites.com/geografiadooriente/gloss&#195;&#161;rio" TargetMode="External"/><Relationship Id="rId153" Type="http://schemas.openxmlformats.org/officeDocument/2006/relationships/hyperlink" Target="http://translate.google.com.br/?hl=pt-BR&amp;sl=en&amp;tl=pt-BR&amp;sugg=w&amp;hints=true&amp;q=http://www.whitehouse.gov/" TargetMode="External"/><Relationship Id="rId195" Type="http://schemas.openxmlformats.org/officeDocument/2006/relationships/hyperlink" Target="http://150.162.1.115/index.php/ref/article/viewFile/11989/11264" TargetMode="External"/><Relationship Id="rId209" Type="http://schemas.openxmlformats.org/officeDocument/2006/relationships/hyperlink" Target="http://150.162.1.115/index.php/ref/article/viewFile/11989/11264" TargetMode="External"/><Relationship Id="rId360" Type="http://schemas.openxmlformats.org/officeDocument/2006/relationships/image" Target="media/image70.jpeg"/><Relationship Id="rId416" Type="http://schemas.openxmlformats.org/officeDocument/2006/relationships/hyperlink" Target="http://www.enf.ufmg.br/site_novo/modules/mastop_publish/files/files_4e8da8407cc5a.pdf" TargetMode="External"/><Relationship Id="rId220" Type="http://schemas.openxmlformats.org/officeDocument/2006/relationships/hyperlink" Target="http://150.162.1.115/index.php/ref/article/viewFile/11989/11264" TargetMode="External"/><Relationship Id="rId458" Type="http://schemas.openxmlformats.org/officeDocument/2006/relationships/hyperlink" Target="http://www.ipea.gov.br/retrato/indicadores_educacao.html" TargetMode="External"/><Relationship Id="rId15" Type="http://schemas.openxmlformats.org/officeDocument/2006/relationships/hyperlink" Target="http://www.vagalume.com.br/mariah-carey/" TargetMode="External"/><Relationship Id="rId57" Type="http://schemas.openxmlformats.org/officeDocument/2006/relationships/hyperlink" Target="http://bvsms.saude.gov.br/bvs/publicacoes/politica_nac_atencao_mulher2.pdf" TargetMode="External"/><Relationship Id="rId262" Type="http://schemas.openxmlformats.org/officeDocument/2006/relationships/hyperlink" Target="http://www.cholonautas.edu.pe/modulo/upload/scott.pdf" TargetMode="External"/><Relationship Id="rId318" Type="http://schemas.openxmlformats.org/officeDocument/2006/relationships/hyperlink" Target="file://C:\Users\NIGS\Documents\2013%20-%209&#186;%20Pr&#234;mio%20C.%20Igualdade%20de%20G&#234;nero\Premios\Convertidos%2090\NUNES,%20C&#237;cera.%20Reisado%20em%20Juazeiro%20do%20Norte-CE%20e%20os%20conte&#250;dos%20da%20Hist&#243;ria%20Africana%20e%20Afrodescendente:%20uma%20proposta%20para%20a%20implementa&#231;&#227;o%20da%20Lei%2010.639\03.%20Fortaleza:%20Faculdade%20de%20Educa&#231;&#227;o%20(UFC),%202007%20(Disserta&#231;&#227;o%20de%20Mestrado)." TargetMode="External"/><Relationship Id="rId99" Type="http://schemas.openxmlformats.org/officeDocument/2006/relationships/image" Target="media/image26.jpeg"/><Relationship Id="rId122" Type="http://schemas.openxmlformats.org/officeDocument/2006/relationships/hyperlink" Target="http://www.casaruibarbosa.gov.br/dados/DOC/artigos/oz/FCRB_ElianeVasconcellos_Nao_as_matem" TargetMode="External"/><Relationship Id="rId164" Type="http://schemas.openxmlformats.org/officeDocument/2006/relationships/hyperlink" Target="http://www.senado.gov.br/legislacao/const/con1988/CON1988_05.10.1988/CON1988.shtm" TargetMode="External"/><Relationship Id="rId371" Type="http://schemas.openxmlformats.org/officeDocument/2006/relationships/hyperlink" Target="http://www.estadao.com.br/noticias/geral,brasil-tem-3-pior-indice-de-desigualdade-no-mundo,585341,0.htm" TargetMode="External"/><Relationship Id="rId427" Type="http://schemas.openxmlformats.org/officeDocument/2006/relationships/hyperlink" Target="http://www.scielo.br/scielo.php?pid=S1413-81232012001000026&amp;script=sci_arttext" TargetMode="External"/><Relationship Id="rId26" Type="http://schemas.openxmlformats.org/officeDocument/2006/relationships/image" Target="media/image14.jpeg"/><Relationship Id="rId231" Type="http://schemas.openxmlformats.org/officeDocument/2006/relationships/hyperlink" Target="http://www.cholonautas.edu.pe/modulo/upload/scott.pdf" TargetMode="External"/><Relationship Id="rId273" Type="http://schemas.openxmlformats.org/officeDocument/2006/relationships/image" Target="media/image53.jpeg"/><Relationship Id="rId329" Type="http://schemas.openxmlformats.org/officeDocument/2006/relationships/hyperlink" Target="file://C:\Users\NIGS\Documents\2013%20-%209&#186;%20Pr&#234;mio%20C.%20Igualdade%20de%20G&#234;nero\Premios\Convertidos%2090\RAIMUNDO,%20Valdenice%20Jos&#233;;%20GEHLEN,%20Vit&#243;ria%20e%20ALMEIDA,%20Daniele.%20Mulher%20Negra:%20inser&#231;&#227;o%20nos%20movimentos%20sociais%20feminista%20e%20negro.%20Dispon&#237;vel%20em%20www.fundaj.gov.br.%20Acesso%20em:%2019\12\12." TargetMode="External"/><Relationship Id="rId68" Type="http://schemas.openxmlformats.org/officeDocument/2006/relationships/hyperlink" Target="http://www.malaguetainterativa.com.br/clientes/mulheres%20/wpcontent/uploads/2012/04/%20Lei-12212-04-maio-2011-SPM.pdf" TargetMode="External"/><Relationship Id="rId133" Type="http://schemas.openxmlformats.org/officeDocument/2006/relationships/hyperlink" Target="http://pt.wikipedia.org/wiki/Km%C2%B2" TargetMode="External"/><Relationship Id="rId175" Type="http://schemas.openxmlformats.org/officeDocument/2006/relationships/hyperlink" Target="http://ondeacinderelaperdeuoscarpin.blogspot.com.br/2013_01_01_archive.html" TargetMode="External"/><Relationship Id="rId340" Type="http://schemas.openxmlformats.org/officeDocument/2006/relationships/image" Target="media/image60.jpeg"/><Relationship Id="rId200" Type="http://schemas.openxmlformats.org/officeDocument/2006/relationships/hyperlink" Target="http://150.162.1.115/index.php/ref/article/viewFile/11989/11264" TargetMode="External"/><Relationship Id="rId382" Type="http://schemas.openxmlformats.org/officeDocument/2006/relationships/hyperlink" Target="http://www.diariodasleis.com.br/busca/exibelink.php?numlink=1-96-15-1940-12-07-2848-CP" TargetMode="External"/><Relationship Id="rId438" Type="http://schemas.openxmlformats.org/officeDocument/2006/relationships/hyperlink" Target="http://www.scielo.br/scielo.php?script=sci_arttext&amp;pid=S0034-71672007000400018" TargetMode="External"/><Relationship Id="rId242" Type="http://schemas.openxmlformats.org/officeDocument/2006/relationships/hyperlink" Target="http://150.162.1.115/index.php/ref/article/viewFile/11989/11264" TargetMode="External"/><Relationship Id="rId284" Type="http://schemas.openxmlformats.org/officeDocument/2006/relationships/image" Target="media/image56.jpeg"/><Relationship Id="rId37" Type="http://schemas.openxmlformats.org/officeDocument/2006/relationships/hyperlink" Target="http://www.ofaj.com.br/textos_conteudo.php?cod=76" TargetMode="External"/><Relationship Id="rId79" Type="http://schemas.openxmlformats.org/officeDocument/2006/relationships/hyperlink" Target="http://www.redemulher.org.br/8demarco.htm" TargetMode="External"/><Relationship Id="rId102" Type="http://schemas.openxmlformats.org/officeDocument/2006/relationships/image" Target="media/image29.jpeg"/><Relationship Id="rId144" Type="http://schemas.openxmlformats.org/officeDocument/2006/relationships/hyperlink" Target="http://www.ibge.gov.br/home/estatistica/populacao/estimativa2008/POP2008_DOU.pdf" TargetMode="External"/><Relationship Id="rId90" Type="http://schemas.openxmlformats.org/officeDocument/2006/relationships/hyperlink" Target="http://www.cjdbbh.salesiano.br/salesiano.html" TargetMode="External"/><Relationship Id="rId186" Type="http://schemas.openxmlformats.org/officeDocument/2006/relationships/hyperlink" Target="http://link-to-think.blogspot.com.br/2009_10_01_archive.html" TargetMode="External"/><Relationship Id="rId351" Type="http://schemas.openxmlformats.org/officeDocument/2006/relationships/hyperlink" Target="http://jus2.uol.com.br/doutrina/texto.asp?id=8231" TargetMode="External"/><Relationship Id="rId393" Type="http://schemas.openxmlformats.org/officeDocument/2006/relationships/hyperlink" Target="mailto:kenny@imed.edu.br" TargetMode="External"/><Relationship Id="rId407" Type="http://schemas.openxmlformats.org/officeDocument/2006/relationships/hyperlink" Target="mailto:elianerosemaio@yahoo.com.br" TargetMode="External"/><Relationship Id="rId449" Type="http://schemas.openxmlformats.org/officeDocument/2006/relationships/hyperlink" Target="http://noticias.terra.com.br/educacao/jornalista-se-arrepende-de-comparar-medicas-cubanas-a-domesticas,3f1181c0881c0410VgnVCM10000098cceb0aRCRD.html" TargetMode="External"/><Relationship Id="rId211" Type="http://schemas.openxmlformats.org/officeDocument/2006/relationships/hyperlink" Target="http://150.162.1.115/index.php/ref/article/viewFile/11989/11264" TargetMode="External"/><Relationship Id="rId253" Type="http://schemas.openxmlformats.org/officeDocument/2006/relationships/hyperlink" Target="http://150.162.1.115/index.php/ref/article/viewFile/11989/11264" TargetMode="External"/><Relationship Id="rId295" Type="http://schemas.openxmlformats.org/officeDocument/2006/relationships/hyperlink" Target="file:///C:\Users\NIGS\Documents\2013%20-%209&#186;%20Pr&#234;mio%20C.%20Igualdade%20de%20G&#234;nero\Premios\Convertidos%2090\LE%20GOFF,%20Jaques.%20Hist&#243;ria%20e%20Mem&#243;ria.%204&#170;%20ed.%20Campinas:%20editora%20da%20UNICAMP,%201996" TargetMode="External"/><Relationship Id="rId309" Type="http://schemas.openxmlformats.org/officeDocument/2006/relationships/hyperlink" Target="file://C:\Users\NIGS\Documents\2013%20-%209&#186;%20Pr&#234;mio%20C.%20Igualdade%20de%20G&#234;nero\Premios\Convertidos%2090\DOMINGOS,%20Reginaldo%20Ferreira.%20Pedagogias%20da%20Transmiss&#227;o%20da%20Religiosidade%20Africana%20na%20Casa%20de%20Candombl&#233;%20Iabas&#233;%20de%20Xang&#244;%20e%20Oxun%20em%20Juazeiro%20do%20Norte.%20Fortaleza:%20Faculdade%20de%20Educa&#231;&#227;o%20&#8211;%20UFC,%202011.%20(Disserta&#231;&#227;o%20de%20Mestrado)." TargetMode="External"/><Relationship Id="rId460" Type="http://schemas.openxmlformats.org/officeDocument/2006/relationships/hyperlink" Target="http://www.utfpr.edu.br/a-instituicao/historico" TargetMode="External"/><Relationship Id="rId48" Type="http://schemas.openxmlformats.org/officeDocument/2006/relationships/hyperlink" Target="http://www.uff.br/contracampo/index.php/revista/%20article/viewFile/4/19" TargetMode="External"/><Relationship Id="rId113" Type="http://schemas.openxmlformats.org/officeDocument/2006/relationships/image" Target="media/image35.jpeg"/><Relationship Id="rId320" Type="http://schemas.openxmlformats.org/officeDocument/2006/relationships/hyperlink" Target="file://C:\Users\NIGS\Documents\2013%20-%209&#186;%20Pr&#234;mio%20C.%20Igualdade%20de%20G&#234;nero\Premios\Convertidos%2090\DOMINGOS,%20Reginaldo%20Ferreira.%20Pedagogias%20da%20Transmiss&#227;o%20da%20Religiosidade%20Africana%20na%20Casa%20de%20Candombl&#233;%20Iabas&#233;%20de%20Xang&#244;%20e%20Oxun%20em%20Juazeiro%20do%20Norte.%20Fortaleza:%20Faculdade%20de%20Educa&#231;&#227;o%20&#8211;%20UFC,%202011.%20(Disserta&#231;&#227;o%20de%20Mestrado)." TargetMode="External"/><Relationship Id="rId155" Type="http://schemas.openxmlformats.org/officeDocument/2006/relationships/hyperlink" Target="http://translate.google.com.br/?hl=pt-BR&amp;sl=zh-CN&amp;tl=pt-BR&amp;sugg=w&amp;hints=true&amp;q=http://xinhuanet.com/" TargetMode="External"/><Relationship Id="rId197" Type="http://schemas.openxmlformats.org/officeDocument/2006/relationships/hyperlink" Target="http://150.162.1.115/index.php/ref/article/viewFile/11989/11264" TargetMode="External"/><Relationship Id="rId362" Type="http://schemas.openxmlformats.org/officeDocument/2006/relationships/image" Target="media/image72.jpeg"/><Relationship Id="rId418" Type="http://schemas.openxmlformats.org/officeDocument/2006/relationships/hyperlink" Target="http://www.scielo.br/scielo.php?pid=S1413-81232013000400019&amp;script=sci_arttext" TargetMode="External"/><Relationship Id="rId222" Type="http://schemas.openxmlformats.org/officeDocument/2006/relationships/hyperlink" Target="http://150.162.1.115/index.php/ref/article/viewFile/11989/11264" TargetMode="External"/><Relationship Id="rId264" Type="http://schemas.openxmlformats.org/officeDocument/2006/relationships/hyperlink" Target="http://150.162.1.115/index.php/ref/article/viewFile/11989/11264" TargetMode="External"/><Relationship Id="rId17" Type="http://schemas.openxmlformats.org/officeDocument/2006/relationships/image" Target="media/image8.jpeg"/><Relationship Id="rId59" Type="http://schemas.openxmlformats.org/officeDocument/2006/relationships/hyperlink" Target="http://www.scielo.br/pdf/reeusp/v39n4/11.pdf" TargetMode="External"/><Relationship Id="rId124" Type="http://schemas.openxmlformats.org/officeDocument/2006/relationships/hyperlink" Target="http://www.geocities.com/Nubor_Facure/tema3.html" TargetMode="External"/><Relationship Id="rId70" Type="http://schemas.openxmlformats.org/officeDocument/2006/relationships/hyperlink" Target="http://www.planalto.gov.br/ccivil_03/LEIS/2003/L10.683compilado.htm" TargetMode="External"/><Relationship Id="rId166" Type="http://schemas.openxmlformats.org/officeDocument/2006/relationships/hyperlink" Target="http://portal.saude.gov.br/portal/saude/visualizar_texto.cfm?idtxt=21383" TargetMode="External"/><Relationship Id="rId331" Type="http://schemas.openxmlformats.org/officeDocument/2006/relationships/hyperlink" Target="file:///C:\Users\NIGS\Documents\2013%20-%209&#186;%20Pr&#234;mio%20C.%20Igualdade%20de%20G&#234;nero\Premios\Convertidos%2090\LERMA,%20Betty%20Ruth%20Lozano.%20El%20Feminismo%20No%20Puede%20Ser%20Uno%20Porque%20Las%20Mujeres%20Somos%20Diversas.%20Universidad%20del%20Vale.%20La%20Manzana%20de%20la%20Discordia,%20n&#186;%202,%20vol.%205,%202010" TargetMode="External"/><Relationship Id="rId373" Type="http://schemas.openxmlformats.org/officeDocument/2006/relationships/hyperlink" Target="http://www.espacoacademico.com.br/022/22csilva.htm" TargetMode="External"/><Relationship Id="rId429" Type="http://schemas.openxmlformats.org/officeDocument/2006/relationships/hyperlink" Target="http://pepsic.bvsalud.org/scielo.php?script=sci_arttext&amp;pid=S0104-12822009000200012" TargetMode="External"/><Relationship Id="rId1" Type="http://schemas.openxmlformats.org/officeDocument/2006/relationships/customXml" Target="../customXml/item1.xml"/><Relationship Id="rId233" Type="http://schemas.openxmlformats.org/officeDocument/2006/relationships/hyperlink" Target="http://150.162.1.115/index.php/ref/article/viewFile/11989/11264" TargetMode="External"/><Relationship Id="rId440" Type="http://schemas.openxmlformats.org/officeDocument/2006/relationships/hyperlink" Target="http://www.seer.unirio.br/index.php/cuidadofundamental/article/view/339/pdf_19" TargetMode="External"/><Relationship Id="rId28" Type="http://schemas.openxmlformats.org/officeDocument/2006/relationships/image" Target="media/image16.jpeg"/><Relationship Id="rId275" Type="http://schemas.openxmlformats.org/officeDocument/2006/relationships/image" Target="media/image54.jpeg"/><Relationship Id="rId300" Type="http://schemas.openxmlformats.org/officeDocument/2006/relationships/hyperlink" Target="file:///C:\Users\NIGS\Documents\2013%20-%209&#186;%20Pr&#234;mio%20C.%20Igualdade%20de%20G&#234;nero\Premios\Convertidos%2090\POLLAK,%20Michael.%20Mem&#243;ria%20e%20Identidade%20Social.%20In:%20Revista%20de%20Estudos%20Hist&#243;ricos%20N&#186;.%2010%20&#8211;%20Teoria%20e%20Hist&#243;ria.%20Ano%201992\1.%20Revista%20do%20CPDOC%20da%20Funda&#231;&#227;o%20Get&#250;lio%20Vargas" TargetMode="External"/><Relationship Id="rId81" Type="http://schemas.openxmlformats.org/officeDocument/2006/relationships/hyperlink" Target="http://www1.paho.org/spanish/DPM/GPP/GH/LeyModelo.pdf" TargetMode="External"/><Relationship Id="rId135" Type="http://schemas.openxmlformats.org/officeDocument/2006/relationships/chart" Target="charts/chart2.xml"/><Relationship Id="rId177" Type="http://schemas.openxmlformats.org/officeDocument/2006/relationships/hyperlink" Target="http://www.terra.com.br/istoegente/edicoes/565/artigo178365-1.htm" TargetMode="External"/><Relationship Id="rId342" Type="http://schemas.openxmlformats.org/officeDocument/2006/relationships/hyperlink" Target="mailto:soaresdeoliveira.cristiane@gmail.com" TargetMode="External"/><Relationship Id="rId384" Type="http://schemas.openxmlformats.org/officeDocument/2006/relationships/hyperlink" Target="http://www.planalto.gov.br/ccivil_03/_Ato2004-2006/2005/Lei/L11106.htm" TargetMode="External"/><Relationship Id="rId202" Type="http://schemas.openxmlformats.org/officeDocument/2006/relationships/hyperlink" Target="http://150.162.1.115/index.php/ref/article/viewFile/11989/11264" TargetMode="External"/><Relationship Id="rId244" Type="http://schemas.openxmlformats.org/officeDocument/2006/relationships/hyperlink" Target="http://150.162.1.115/index.php/ref/article/viewFile/11989/11264" TargetMode="External"/><Relationship Id="rId39" Type="http://schemas.openxmlformats.org/officeDocument/2006/relationships/hyperlink" Target="http://www.fcsh.unl.pt/invest/edtl/verbetes/F/falocentrismo.htm" TargetMode="External"/><Relationship Id="rId286" Type="http://schemas.openxmlformats.org/officeDocument/2006/relationships/hyperlink" Target="//../%20http/moviecarpet.com/iwave/images/7/o-samus-aran-and-ridley-appear-in-doa-dimensions-3ds.jpg" TargetMode="External"/><Relationship Id="rId451" Type="http://schemas.openxmlformats.org/officeDocument/2006/relationships/hyperlink" Target="http://encceja.inep.gov.br/" TargetMode="External"/><Relationship Id="rId50" Type="http://schemas.openxmlformats.org/officeDocument/2006/relationships/hyperlink" Target="http://ensaiosemanifestos.blogspot.com/%202011/03/as-origens-religiosas-da-misoginia-e-os.html" TargetMode="External"/><Relationship Id="rId104" Type="http://schemas.openxmlformats.org/officeDocument/2006/relationships/image" Target="media/image31.jpeg"/><Relationship Id="rId146" Type="http://schemas.openxmlformats.org/officeDocument/2006/relationships/hyperlink" Target="http://www.google.com.br/dictionary?source=translation&amp;hl=pt-BR&amp;q=&amp;langpair=pt|en" TargetMode="External"/><Relationship Id="rId188" Type="http://schemas.openxmlformats.org/officeDocument/2006/relationships/hyperlink" Target="http://revistacriativa.globo.com/Revista/Criativa/0,,EMI94731-17375,00-NINA+PANDOLFO.html" TargetMode="External"/><Relationship Id="rId311" Type="http://schemas.openxmlformats.org/officeDocument/2006/relationships/hyperlink" Target="file:///C:\Users\NIGS\Documents\2013%20-%209&#186;%20Pr&#234;mio%20C.%20Igualdade%20de%20G&#234;nero\Premios\Convertidos%2090\MATINS,%20Leda%20Maria.%20Afrografias%20de%20Mem&#243;ria.%20S&#227;o%20Paulo:%20Perspectiva;%20Belo%20Horizonte:%20Mazza%20Edi&#231;&#245;es,%201997" TargetMode="External"/><Relationship Id="rId353" Type="http://schemas.openxmlformats.org/officeDocument/2006/relationships/hyperlink" Target="http://www.spem.gov.br/" TargetMode="External"/><Relationship Id="rId395" Type="http://schemas.openxmlformats.org/officeDocument/2006/relationships/image" Target="media/image88.jpeg"/><Relationship Id="rId409" Type="http://schemas.openxmlformats.org/officeDocument/2006/relationships/hyperlink" Target="http://www.faders.rs.gov.br/uploads/1307988553Violencia_contra_Mulheres_com_Deficiencia.pdf" TargetMode="External"/><Relationship Id="rId92" Type="http://schemas.openxmlformats.org/officeDocument/2006/relationships/hyperlink" Target="http://www.ibge.gov.br/home/presidencia/noticias/12062003indic2002.shtm" TargetMode="External"/><Relationship Id="rId213" Type="http://schemas.openxmlformats.org/officeDocument/2006/relationships/hyperlink" Target="http://150.162.1.115/index.php/ref/article/viewFile/11989/11264" TargetMode="External"/><Relationship Id="rId420" Type="http://schemas.openxmlformats.org/officeDocument/2006/relationships/hyperlink" Target="http://www.scielo.br/scielo.php?pid=S0102-311X2009000100013&amp;script=sci_arttext" TargetMode="External"/><Relationship Id="rId255" Type="http://schemas.openxmlformats.org/officeDocument/2006/relationships/hyperlink" Target="http://150.162.1.115/index.php/ref/article/viewFile/11989/11264" TargetMode="External"/><Relationship Id="rId297" Type="http://schemas.openxmlformats.org/officeDocument/2006/relationships/hyperlink" Target="file:///C:\Users\NIGS\Documents\2013%20-%209&#186;%20Pr&#234;mio%20C.%20Igualdade%20de%20G&#234;nero\Premios\Convertidos%2090\POLLAK,%20Michael.%20Mem&#243;ria%20e%20Identidade%20Social.%20In:%20Revista%20de%20Estudos%20Hist&#243;ricos%20N&#186;.%2010%20&#8211;%20Teoria%20e%20Hist&#243;ria.%20Ano%201992\1.%20Revista%20do%20CPDOC%20da%20Funda&#231;&#227;o%20Get&#250;lio%20Vargas" TargetMode="External"/><Relationship Id="rId462" Type="http://schemas.openxmlformats.org/officeDocument/2006/relationships/hyperlink" Target="http://www.ipea.gov.br/desafios/index.php?option=com_content&amp;view=article&amp;id=2684:catid=28&amp;Itemid=23" TargetMode="External"/><Relationship Id="rId115" Type="http://schemas.openxmlformats.org/officeDocument/2006/relationships/image" Target="media/image37.jpeg"/><Relationship Id="rId157" Type="http://schemas.openxmlformats.org/officeDocument/2006/relationships/hyperlink" Target="http://translate.google.com.br/?hl=pt-BR&amp;sl=fr&amp;tl=pt-BR&amp;sugg=w&amp;hints=true&amp;q=http://www.louvre.fr/" TargetMode="External"/><Relationship Id="rId322" Type="http://schemas.openxmlformats.org/officeDocument/2006/relationships/hyperlink" Target="file://C:\Users\NIGS\Documents\2013%20-%209&#186;%20Pr&#234;mio%20C.%20Igualdade%20de%20G&#234;nero\Premios\Convertidos%2090\OLIVEIRA,%20Alexsandra%20Fl&#225;via%20B.%20Trabalho%20e%20Divers&#227;o:%20A%20Presen&#231;a%20dos%20Idosos%20nas%20Casas%20de%20Farinha%20do%20Munic&#237;pio%20de%20Bodoc&#243;%20&#8211;%20PE%20(1928-1938).%20Monografia%20Apresenta%20ao%20Curso%20de%20Especializa&#231;&#227;o%20em%20Hist&#243;ria%20e%20Sociologia.%20Crato:%20Universidade%20Regional%20do%20Cariri%20-%20URCA,%202006." TargetMode="External"/><Relationship Id="rId364" Type="http://schemas.openxmlformats.org/officeDocument/2006/relationships/image" Target="media/image74.jpeg"/></Relationships>
</file>

<file path=word/_rels/footnotes.xml.rels><?xml version="1.0" encoding="UTF-8" standalone="yes"?>
<Relationships xmlns="http://schemas.openxmlformats.org/package/2006/relationships"><Relationship Id="rId8" Type="http://schemas.openxmlformats.org/officeDocument/2006/relationships/hyperlink" Target="http://www.faithability.org/biblio?f%5bauthor%5d=30" TargetMode="External"/><Relationship Id="rId3" Type="http://schemas.openxmlformats.org/officeDocument/2006/relationships/hyperlink" Target="http://pt.wikipedia.org/wiki/Pecado_original" TargetMode="External"/><Relationship Id="rId7" Type="http://schemas.openxmlformats.org/officeDocument/2006/relationships/hyperlink" Target="mailto:hcunha@ufc.br" TargetMode="External"/><Relationship Id="rId2" Type="http://schemas.openxmlformats.org/officeDocument/2006/relationships/hyperlink" Target="http://pt.wikipedia.org/wiki/Mundo_ocidental" TargetMode="External"/><Relationship Id="rId1" Type="http://schemas.openxmlformats.org/officeDocument/2006/relationships/hyperlink" Target="http://pt.wikipedia.org/wiki/Cristianismo" TargetMode="External"/><Relationship Id="rId6" Type="http://schemas.openxmlformats.org/officeDocument/2006/relationships/hyperlink" Target="http://www.educacional.net/entrevistas/entrevista0006.asp" TargetMode="External"/><Relationship Id="rId5" Type="http://schemas.openxmlformats.org/officeDocument/2006/relationships/hyperlink" Target="http://pt.wikipedia.org/wiki/1976" TargetMode="External"/><Relationship Id="rId10" Type="http://schemas.openxmlformats.org/officeDocument/2006/relationships/hyperlink" Target="http://www.faders.rs.gov.br/uploads/1307988553Violencia_contra_Mulheres_com_Deficiencia.pdf" TargetMode="External"/><Relationship Id="rId4" Type="http://schemas.openxmlformats.org/officeDocument/2006/relationships/hyperlink" Target="http://pt.wikipedia.org/wiki/1900" TargetMode="External"/><Relationship Id="rId9" Type="http://schemas.openxmlformats.org/officeDocument/2006/relationships/hyperlink" Target="http://www.faithability.org/biblio/theology-and-disability-changing-the-conversatio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Planilha_do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Planilha_do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Planilha_do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Planilha_do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Planilha_do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Planilha_do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Planilha_do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10" b="1" i="0" u="none" strike="noStrike" kern="1200" baseline="0">
                <a:solidFill>
                  <a:sysClr val="windowText" lastClr="000000"/>
                </a:solidFill>
                <a:latin typeface="+mn-lt"/>
                <a:ea typeface="+mn-ea"/>
                <a:cs typeface="+mn-cs"/>
              </a:defRPr>
            </a:pPr>
            <a:r>
              <a:rPr lang="pt-BR" sz="1404" b="1" i="0" baseline="0"/>
              <a:t>DISTRIBUIÇÃO PERCENTUAL DAS MULHERES HIPERTENSAS DE ACORDO COM A FAIXA ETÁRIA. URBIIII, 2010</a:t>
            </a:r>
          </a:p>
          <a:p>
            <a:pPr marL="0" marR="0" indent="0" algn="ctr" defTabSz="914400" rtl="0" eaLnBrk="1" fontAlgn="auto" latinLnBrk="0" hangingPunct="1">
              <a:lnSpc>
                <a:spcPct val="100000"/>
              </a:lnSpc>
              <a:spcBef>
                <a:spcPts val="0"/>
              </a:spcBef>
              <a:spcAft>
                <a:spcPts val="0"/>
              </a:spcAft>
              <a:buClrTx/>
              <a:buSzTx/>
              <a:buFontTx/>
              <a:buNone/>
              <a:tabLst/>
              <a:defRPr sz="1810" b="1" i="0" u="none" strike="noStrike" kern="1200" baseline="0">
                <a:solidFill>
                  <a:sysClr val="windowText" lastClr="000000"/>
                </a:solidFill>
                <a:latin typeface="+mn-lt"/>
                <a:ea typeface="+mn-ea"/>
                <a:cs typeface="+mn-cs"/>
              </a:defRPr>
            </a:pPr>
            <a:endParaRPr lang="pt-BR" sz="1400">
              <a:latin typeface="Arial" pitchFamily="34" charset="0"/>
              <a:cs typeface="Arial" pitchFamily="34" charset="0"/>
            </a:endParaRP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747688702654859"/>
          <c:y val="0.29970475209586211"/>
          <c:w val="0.70426035926795516"/>
          <c:h val="0.50264837148520991"/>
        </c:manualLayout>
      </c:layout>
      <c:bar3DChart>
        <c:barDir val="col"/>
        <c:grouping val="stacked"/>
        <c:varyColors val="0"/>
        <c:ser>
          <c:idx val="0"/>
          <c:order val="0"/>
          <c:tx>
            <c:strRef>
              <c:f>Plan1!$B$1</c:f>
              <c:strCache>
                <c:ptCount val="1"/>
                <c:pt idx="0">
                  <c:v>Colunas2</c:v>
                </c:pt>
              </c:strCache>
            </c:strRef>
          </c:tx>
          <c:spPr>
            <a:solidFill>
              <a:srgbClr val="0070C0"/>
            </a:solidFill>
          </c:spPr>
          <c:invertIfNegative val="0"/>
          <c:dPt>
            <c:idx val="1"/>
            <c:invertIfNegative val="0"/>
            <c:bubble3D val="0"/>
            <c:spPr>
              <a:solidFill>
                <a:srgbClr val="FF0000"/>
              </a:solidFill>
            </c:spPr>
          </c:dPt>
          <c:dPt>
            <c:idx val="2"/>
            <c:invertIfNegative val="0"/>
            <c:bubble3D val="0"/>
            <c:spPr>
              <a:solidFill>
                <a:srgbClr val="00B050"/>
              </a:solidFill>
            </c:spPr>
          </c:dPt>
          <c:dPt>
            <c:idx val="3"/>
            <c:invertIfNegative val="0"/>
            <c:bubble3D val="0"/>
            <c:spPr>
              <a:solidFill>
                <a:srgbClr val="FFFF00"/>
              </a:solidFill>
            </c:spPr>
          </c:dPt>
          <c:cat>
            <c:numRef>
              <c:f>Plan1!$A$2:$A$5</c:f>
              <c:numCache>
                <c:formatCode>0%</c:formatCode>
                <c:ptCount val="4"/>
                <c:pt idx="1">
                  <c:v>0.25</c:v>
                </c:pt>
                <c:pt idx="2">
                  <c:v>0.3</c:v>
                </c:pt>
                <c:pt idx="3">
                  <c:v>0.45</c:v>
                </c:pt>
              </c:numCache>
            </c:numRef>
          </c:cat>
          <c:val>
            <c:numRef>
              <c:f>Plan1!$B$2:$B$5</c:f>
              <c:numCache>
                <c:formatCode>General</c:formatCode>
                <c:ptCount val="4"/>
                <c:pt idx="1">
                  <c:v>25</c:v>
                </c:pt>
                <c:pt idx="2">
                  <c:v>30</c:v>
                </c:pt>
                <c:pt idx="3">
                  <c:v>45</c:v>
                </c:pt>
              </c:numCache>
            </c:numRef>
          </c:val>
        </c:ser>
        <c:ser>
          <c:idx val="1"/>
          <c:order val="1"/>
          <c:tx>
            <c:strRef>
              <c:f>Plan1!$C$1</c:f>
              <c:strCache>
                <c:ptCount val="1"/>
                <c:pt idx="0">
                  <c:v>31 -40</c:v>
                </c:pt>
              </c:strCache>
            </c:strRef>
          </c:tx>
          <c:spPr>
            <a:solidFill>
              <a:srgbClr val="FF0000"/>
            </a:solidFill>
          </c:spPr>
          <c:invertIfNegative val="0"/>
          <c:dPt>
            <c:idx val="0"/>
            <c:invertIfNegative val="0"/>
            <c:bubble3D val="0"/>
            <c:spPr>
              <a:solidFill>
                <a:srgbClr val="0070C0"/>
              </a:solidFill>
            </c:spPr>
          </c:dPt>
          <c:dPt>
            <c:idx val="2"/>
            <c:invertIfNegative val="0"/>
            <c:bubble3D val="0"/>
            <c:spPr>
              <a:solidFill>
                <a:srgbClr val="00B050"/>
              </a:solidFill>
            </c:spPr>
          </c:dPt>
          <c:dPt>
            <c:idx val="3"/>
            <c:invertIfNegative val="0"/>
            <c:bubble3D val="0"/>
            <c:spPr>
              <a:solidFill>
                <a:srgbClr val="FFFF00"/>
              </a:solidFill>
            </c:spPr>
          </c:dPt>
          <c:cat>
            <c:numRef>
              <c:f>Plan1!$A$2:$A$5</c:f>
              <c:numCache>
                <c:formatCode>0%</c:formatCode>
                <c:ptCount val="4"/>
                <c:pt idx="1">
                  <c:v>0.25</c:v>
                </c:pt>
                <c:pt idx="2">
                  <c:v>0.3</c:v>
                </c:pt>
                <c:pt idx="3">
                  <c:v>0.45</c:v>
                </c:pt>
              </c:numCache>
            </c:numRef>
          </c:cat>
          <c:val>
            <c:numRef>
              <c:f>Plan1!$C$2:$C$5</c:f>
              <c:numCache>
                <c:formatCode>General</c:formatCode>
                <c:ptCount val="4"/>
                <c:pt idx="1">
                  <c:v>4.4000000000000004</c:v>
                </c:pt>
                <c:pt idx="2">
                  <c:v>1.8</c:v>
                </c:pt>
                <c:pt idx="3">
                  <c:v>2.8</c:v>
                </c:pt>
              </c:numCache>
            </c:numRef>
          </c:val>
        </c:ser>
        <c:ser>
          <c:idx val="2"/>
          <c:order val="2"/>
          <c:tx>
            <c:strRef>
              <c:f>Plan1!$D$1</c:f>
              <c:strCache>
                <c:ptCount val="1"/>
                <c:pt idx="0">
                  <c:v>41 -50</c:v>
                </c:pt>
              </c:strCache>
            </c:strRef>
          </c:tx>
          <c:spPr>
            <a:solidFill>
              <a:srgbClr val="00B050"/>
            </a:solidFill>
          </c:spPr>
          <c:invertIfNegative val="0"/>
          <c:dPt>
            <c:idx val="0"/>
            <c:invertIfNegative val="0"/>
            <c:bubble3D val="0"/>
            <c:spPr>
              <a:solidFill>
                <a:srgbClr val="0070C0"/>
              </a:solidFill>
            </c:spPr>
          </c:dPt>
          <c:dPt>
            <c:idx val="1"/>
            <c:invertIfNegative val="0"/>
            <c:bubble3D val="0"/>
            <c:spPr>
              <a:solidFill>
                <a:srgbClr val="FF0000"/>
              </a:solidFill>
            </c:spPr>
          </c:dPt>
          <c:dPt>
            <c:idx val="3"/>
            <c:invertIfNegative val="0"/>
            <c:bubble3D val="0"/>
            <c:spPr>
              <a:solidFill>
                <a:srgbClr val="FFFF00"/>
              </a:solidFill>
            </c:spPr>
          </c:dPt>
          <c:cat>
            <c:numRef>
              <c:f>Plan1!$A$2:$A$5</c:f>
              <c:numCache>
                <c:formatCode>0%</c:formatCode>
                <c:ptCount val="4"/>
                <c:pt idx="1">
                  <c:v>0.25</c:v>
                </c:pt>
                <c:pt idx="2">
                  <c:v>0.3</c:v>
                </c:pt>
                <c:pt idx="3">
                  <c:v>0.45</c:v>
                </c:pt>
              </c:numCache>
            </c:numRef>
          </c:cat>
          <c:val>
            <c:numRef>
              <c:f>Plan1!$D$2:$D$5</c:f>
              <c:numCache>
                <c:formatCode>General</c:formatCode>
                <c:ptCount val="4"/>
                <c:pt idx="1">
                  <c:v>2</c:v>
                </c:pt>
                <c:pt idx="2">
                  <c:v>3</c:v>
                </c:pt>
                <c:pt idx="3">
                  <c:v>5</c:v>
                </c:pt>
              </c:numCache>
            </c:numRef>
          </c:val>
        </c:ser>
        <c:ser>
          <c:idx val="3"/>
          <c:order val="3"/>
          <c:tx>
            <c:strRef>
              <c:f>Plan1!$E$1</c:f>
              <c:strCache>
                <c:ptCount val="1"/>
                <c:pt idx="0">
                  <c:v>51 - 60</c:v>
                </c:pt>
              </c:strCache>
            </c:strRef>
          </c:tx>
          <c:spPr>
            <a:solidFill>
              <a:srgbClr val="FFFF00"/>
            </a:solidFill>
          </c:spPr>
          <c:invertIfNegative val="0"/>
          <c:cat>
            <c:numRef>
              <c:f>Plan1!$A$2:$A$5</c:f>
              <c:numCache>
                <c:formatCode>0%</c:formatCode>
                <c:ptCount val="4"/>
                <c:pt idx="1">
                  <c:v>0.25</c:v>
                </c:pt>
                <c:pt idx="2">
                  <c:v>0.3</c:v>
                </c:pt>
                <c:pt idx="3">
                  <c:v>0.45</c:v>
                </c:pt>
              </c:numCache>
            </c:numRef>
          </c:cat>
          <c:val>
            <c:numRef>
              <c:f>Plan1!$E$2:$E$5</c:f>
              <c:numCache>
                <c:formatCode>General</c:formatCode>
                <c:ptCount val="4"/>
              </c:numCache>
            </c:numRef>
          </c:val>
        </c:ser>
        <c:dLbls>
          <c:showLegendKey val="0"/>
          <c:showVal val="0"/>
          <c:showCatName val="0"/>
          <c:showSerName val="0"/>
          <c:showPercent val="0"/>
          <c:showBubbleSize val="0"/>
        </c:dLbls>
        <c:gapWidth val="55"/>
        <c:gapDepth val="55"/>
        <c:shape val="cylinder"/>
        <c:axId val="345818624"/>
        <c:axId val="344295104"/>
        <c:axId val="0"/>
      </c:bar3DChart>
      <c:catAx>
        <c:axId val="345818624"/>
        <c:scaling>
          <c:orientation val="minMax"/>
        </c:scaling>
        <c:delete val="0"/>
        <c:axPos val="b"/>
        <c:numFmt formatCode="0%" sourceLinked="1"/>
        <c:majorTickMark val="none"/>
        <c:minorTickMark val="none"/>
        <c:tickLblPos val="nextTo"/>
        <c:txPr>
          <a:bodyPr/>
          <a:lstStyle/>
          <a:p>
            <a:pPr>
              <a:defRPr sz="1203">
                <a:latin typeface="Arial" pitchFamily="34" charset="0"/>
                <a:cs typeface="Arial" pitchFamily="34" charset="0"/>
              </a:defRPr>
            </a:pPr>
            <a:endParaRPr lang="pt-BR"/>
          </a:p>
        </c:txPr>
        <c:crossAx val="344295104"/>
        <c:crosses val="autoZero"/>
        <c:auto val="1"/>
        <c:lblAlgn val="ctr"/>
        <c:lblOffset val="100"/>
        <c:noMultiLvlLbl val="0"/>
      </c:catAx>
      <c:valAx>
        <c:axId val="344295104"/>
        <c:scaling>
          <c:orientation val="minMax"/>
          <c:max val="100"/>
        </c:scaling>
        <c:delete val="0"/>
        <c:axPos val="l"/>
        <c:majorGridlines/>
        <c:numFmt formatCode="General" sourceLinked="1"/>
        <c:majorTickMark val="none"/>
        <c:minorTickMark val="none"/>
        <c:tickLblPos val="nextTo"/>
        <c:txPr>
          <a:bodyPr/>
          <a:lstStyle/>
          <a:p>
            <a:pPr>
              <a:defRPr sz="1203">
                <a:latin typeface="Arial" pitchFamily="34" charset="0"/>
                <a:cs typeface="Arial" pitchFamily="34" charset="0"/>
              </a:defRPr>
            </a:pPr>
            <a:endParaRPr lang="pt-BR"/>
          </a:p>
        </c:txPr>
        <c:crossAx val="345818624"/>
        <c:crosses val="autoZero"/>
        <c:crossBetween val="between"/>
        <c:majorUnit val="50"/>
        <c:minorUnit val="1"/>
      </c:valAx>
      <c:spPr>
        <a:noFill/>
        <a:ln w="25471">
          <a:noFill/>
        </a:ln>
      </c:spPr>
    </c:plotArea>
    <c:legend>
      <c:legendPos val="r"/>
      <c:legendEntry>
        <c:idx val="0"/>
        <c:delete val="1"/>
      </c:legendEntry>
      <c:overlay val="0"/>
      <c:txPr>
        <a:bodyPr/>
        <a:lstStyle/>
        <a:p>
          <a:pPr>
            <a:defRPr sz="1203">
              <a:latin typeface="Arial" pitchFamily="34" charset="0"/>
              <a:cs typeface="Arial" pitchFamily="34" charset="0"/>
            </a:defRPr>
          </a:pPr>
          <a:endParaRPr lang="pt-BR"/>
        </a:p>
      </c:txPr>
    </c:legend>
    <c:plotVisOnly val="1"/>
    <c:dispBlanksAs val="gap"/>
    <c:showDLblsOverMax val="0"/>
  </c:chart>
  <c:spPr>
    <a:ln w="1592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pt-BR" sz="1200">
              <a:latin typeface="Arial" pitchFamily="34" charset="0"/>
              <a:cs typeface="Arial" pitchFamily="34" charset="0"/>
            </a:endParaRPr>
          </a:p>
        </c:rich>
      </c:tx>
      <c:layout>
        <c:manualLayout>
          <c:xMode val="edge"/>
          <c:yMode val="edge"/>
          <c:x val="0.15656047964183403"/>
          <c:y val="3.7914346072594585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Plan1!$B$1</c:f>
              <c:strCache>
                <c:ptCount val="1"/>
                <c:pt idx="0">
                  <c:v>SIM</c:v>
                </c:pt>
              </c:strCache>
            </c:strRef>
          </c:tx>
          <c:spPr>
            <a:solidFill>
              <a:srgbClr val="0070C0"/>
            </a:solidFill>
          </c:spPr>
          <c:invertIfNegative val="0"/>
          <c:dPt>
            <c:idx val="1"/>
            <c:invertIfNegative val="0"/>
            <c:bubble3D val="0"/>
            <c:spPr>
              <a:solidFill>
                <a:srgbClr val="FF0000"/>
              </a:solidFill>
            </c:spPr>
          </c:dPt>
          <c:cat>
            <c:numRef>
              <c:f>Plan1!$A$2:$A$3</c:f>
              <c:numCache>
                <c:formatCode>0%</c:formatCode>
                <c:ptCount val="2"/>
                <c:pt idx="0">
                  <c:v>1</c:v>
                </c:pt>
                <c:pt idx="1">
                  <c:v>0</c:v>
                </c:pt>
              </c:numCache>
            </c:numRef>
          </c:cat>
          <c:val>
            <c:numRef>
              <c:f>Plan1!$B$2:$B$3</c:f>
              <c:numCache>
                <c:formatCode>General</c:formatCode>
                <c:ptCount val="2"/>
                <c:pt idx="0">
                  <c:v>100</c:v>
                </c:pt>
                <c:pt idx="1">
                  <c:v>0</c:v>
                </c:pt>
              </c:numCache>
            </c:numRef>
          </c:val>
        </c:ser>
        <c:ser>
          <c:idx val="1"/>
          <c:order val="1"/>
          <c:tx>
            <c:strRef>
              <c:f>Plan1!$C$1</c:f>
              <c:strCache>
                <c:ptCount val="1"/>
                <c:pt idx="0">
                  <c:v>NÃO</c:v>
                </c:pt>
              </c:strCache>
            </c:strRef>
          </c:tx>
          <c:spPr>
            <a:solidFill>
              <a:srgbClr val="FF0000"/>
            </a:solidFill>
          </c:spPr>
          <c:invertIfNegative val="0"/>
          <c:dPt>
            <c:idx val="0"/>
            <c:invertIfNegative val="0"/>
            <c:bubble3D val="0"/>
            <c:spPr>
              <a:solidFill>
                <a:srgbClr val="0070C0"/>
              </a:solidFill>
            </c:spPr>
          </c:dPt>
          <c:cat>
            <c:numRef>
              <c:f>Plan1!$A$2:$A$3</c:f>
              <c:numCache>
                <c:formatCode>0%</c:formatCode>
                <c:ptCount val="2"/>
                <c:pt idx="0">
                  <c:v>1</c:v>
                </c:pt>
                <c:pt idx="1">
                  <c:v>0</c:v>
                </c:pt>
              </c:numCache>
            </c:numRef>
          </c:cat>
          <c:val>
            <c:numRef>
              <c:f>Plan1!$C$2:$C$3</c:f>
              <c:numCache>
                <c:formatCode>General</c:formatCode>
                <c:ptCount val="2"/>
                <c:pt idx="0">
                  <c:v>2.4</c:v>
                </c:pt>
                <c:pt idx="1">
                  <c:v>4.4000000000000004</c:v>
                </c:pt>
              </c:numCache>
            </c:numRef>
          </c:val>
        </c:ser>
        <c:dLbls>
          <c:showLegendKey val="0"/>
          <c:showVal val="0"/>
          <c:showCatName val="0"/>
          <c:showSerName val="0"/>
          <c:showPercent val="0"/>
          <c:showBubbleSize val="0"/>
        </c:dLbls>
        <c:gapWidth val="55"/>
        <c:gapDepth val="55"/>
        <c:shape val="cylinder"/>
        <c:axId val="346918400"/>
        <c:axId val="344296256"/>
        <c:axId val="0"/>
      </c:bar3DChart>
      <c:catAx>
        <c:axId val="346918400"/>
        <c:scaling>
          <c:orientation val="minMax"/>
        </c:scaling>
        <c:delete val="0"/>
        <c:axPos val="b"/>
        <c:numFmt formatCode="0%" sourceLinked="1"/>
        <c:majorTickMark val="none"/>
        <c:minorTickMark val="none"/>
        <c:tickLblPos val="nextTo"/>
        <c:txPr>
          <a:bodyPr/>
          <a:lstStyle/>
          <a:p>
            <a:pPr>
              <a:defRPr sz="1194">
                <a:latin typeface="Arial" pitchFamily="34" charset="0"/>
                <a:cs typeface="Arial" pitchFamily="34" charset="0"/>
              </a:defRPr>
            </a:pPr>
            <a:endParaRPr lang="pt-BR"/>
          </a:p>
        </c:txPr>
        <c:crossAx val="344296256"/>
        <c:crosses val="autoZero"/>
        <c:auto val="1"/>
        <c:lblAlgn val="ctr"/>
        <c:lblOffset val="100"/>
        <c:noMultiLvlLbl val="0"/>
      </c:catAx>
      <c:valAx>
        <c:axId val="344296256"/>
        <c:scaling>
          <c:orientation val="minMax"/>
          <c:max val="100"/>
        </c:scaling>
        <c:delete val="0"/>
        <c:axPos val="l"/>
        <c:majorGridlines/>
        <c:numFmt formatCode="General" sourceLinked="1"/>
        <c:majorTickMark val="none"/>
        <c:minorTickMark val="none"/>
        <c:tickLblPos val="nextTo"/>
        <c:txPr>
          <a:bodyPr/>
          <a:lstStyle/>
          <a:p>
            <a:pPr>
              <a:defRPr sz="1194">
                <a:latin typeface="Arial" pitchFamily="34" charset="0"/>
                <a:cs typeface="Arial" pitchFamily="34" charset="0"/>
              </a:defRPr>
            </a:pPr>
            <a:endParaRPr lang="pt-BR"/>
          </a:p>
        </c:txPr>
        <c:crossAx val="346918400"/>
        <c:crosses val="autoZero"/>
        <c:crossBetween val="between"/>
        <c:majorUnit val="50"/>
        <c:minorUnit val="1"/>
      </c:valAx>
      <c:spPr>
        <a:noFill/>
        <a:ln w="25275">
          <a:noFill/>
        </a:ln>
      </c:spPr>
    </c:plotArea>
    <c:legend>
      <c:legendPos val="r"/>
      <c:layout>
        <c:manualLayout>
          <c:xMode val="edge"/>
          <c:yMode val="edge"/>
          <c:x val="0.86921850079744822"/>
          <c:y val="0.4673202614379085"/>
          <c:w val="0.11642743221690589"/>
          <c:h val="0.20915032679738563"/>
        </c:manualLayout>
      </c:layout>
      <c:overlay val="0"/>
      <c:txPr>
        <a:bodyPr/>
        <a:lstStyle/>
        <a:p>
          <a:pPr>
            <a:defRPr sz="1194">
              <a:latin typeface="Arial" pitchFamily="34" charset="0"/>
              <a:cs typeface="Arial" pitchFamily="34" charset="0"/>
            </a:defRPr>
          </a:pPr>
          <a:endParaRPr lang="pt-B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0512292501537028E-2"/>
          <c:y val="0.23403555607756246"/>
          <c:w val="0.74874093525233165"/>
          <c:h val="0.61083093800938792"/>
        </c:manualLayout>
      </c:layout>
      <c:bar3DChart>
        <c:barDir val="col"/>
        <c:grouping val="stacked"/>
        <c:varyColors val="0"/>
        <c:ser>
          <c:idx val="0"/>
          <c:order val="0"/>
          <c:tx>
            <c:strRef>
              <c:f>Plan1!$B$1</c:f>
              <c:strCache>
                <c:ptCount val="1"/>
                <c:pt idx="0">
                  <c:v>JÁ FEZ</c:v>
                </c:pt>
              </c:strCache>
            </c:strRef>
          </c:tx>
          <c:spPr>
            <a:solidFill>
              <a:srgbClr val="0070C0"/>
            </a:solidFill>
          </c:spPr>
          <c:invertIfNegative val="0"/>
          <c:dPt>
            <c:idx val="1"/>
            <c:invertIfNegative val="0"/>
            <c:bubble3D val="0"/>
            <c:spPr>
              <a:solidFill>
                <a:srgbClr val="FF0000"/>
              </a:solidFill>
            </c:spPr>
          </c:dPt>
          <c:dPt>
            <c:idx val="2"/>
            <c:invertIfNegative val="0"/>
            <c:bubble3D val="0"/>
            <c:spPr>
              <a:solidFill>
                <a:srgbClr val="00B050"/>
              </a:solidFill>
            </c:spPr>
          </c:dPt>
          <c:cat>
            <c:numRef>
              <c:f>Plan1!$A$2:$A$4</c:f>
              <c:numCache>
                <c:formatCode>0%</c:formatCode>
                <c:ptCount val="3"/>
                <c:pt idx="0">
                  <c:v>0.34</c:v>
                </c:pt>
                <c:pt idx="1">
                  <c:v>0.62</c:v>
                </c:pt>
                <c:pt idx="2">
                  <c:v>0.04</c:v>
                </c:pt>
              </c:numCache>
            </c:numRef>
          </c:cat>
          <c:val>
            <c:numRef>
              <c:f>Plan1!$B$2:$B$4</c:f>
              <c:numCache>
                <c:formatCode>General</c:formatCode>
                <c:ptCount val="3"/>
                <c:pt idx="0">
                  <c:v>34</c:v>
                </c:pt>
                <c:pt idx="1">
                  <c:v>62</c:v>
                </c:pt>
                <c:pt idx="2">
                  <c:v>4</c:v>
                </c:pt>
              </c:numCache>
            </c:numRef>
          </c:val>
        </c:ser>
        <c:ser>
          <c:idx val="1"/>
          <c:order val="1"/>
          <c:tx>
            <c:strRef>
              <c:f>Plan1!$C$1</c:f>
              <c:strCache>
                <c:ptCount val="1"/>
                <c:pt idx="0">
                  <c:v>FAZ USO</c:v>
                </c:pt>
              </c:strCache>
            </c:strRef>
          </c:tx>
          <c:spPr>
            <a:solidFill>
              <a:srgbClr val="FF0000"/>
            </a:solidFill>
          </c:spPr>
          <c:invertIfNegative val="0"/>
          <c:dPt>
            <c:idx val="0"/>
            <c:invertIfNegative val="0"/>
            <c:bubble3D val="0"/>
            <c:spPr>
              <a:solidFill>
                <a:srgbClr val="0070C0"/>
              </a:solidFill>
            </c:spPr>
          </c:dPt>
          <c:dPt>
            <c:idx val="2"/>
            <c:invertIfNegative val="0"/>
            <c:bubble3D val="0"/>
            <c:spPr>
              <a:solidFill>
                <a:srgbClr val="00B050"/>
              </a:solidFill>
            </c:spPr>
          </c:dPt>
          <c:cat>
            <c:numRef>
              <c:f>Plan1!$A$2:$A$4</c:f>
              <c:numCache>
                <c:formatCode>0%</c:formatCode>
                <c:ptCount val="3"/>
                <c:pt idx="0">
                  <c:v>0.34</c:v>
                </c:pt>
                <c:pt idx="1">
                  <c:v>0.62</c:v>
                </c:pt>
                <c:pt idx="2">
                  <c:v>0.04</c:v>
                </c:pt>
              </c:numCache>
            </c:numRef>
          </c:cat>
          <c:val>
            <c:numRef>
              <c:f>Plan1!$C$2:$C$4</c:f>
              <c:numCache>
                <c:formatCode>General</c:formatCode>
                <c:ptCount val="3"/>
                <c:pt idx="0">
                  <c:v>2.4</c:v>
                </c:pt>
                <c:pt idx="1">
                  <c:v>4.4000000000000004</c:v>
                </c:pt>
                <c:pt idx="2">
                  <c:v>1.8</c:v>
                </c:pt>
              </c:numCache>
            </c:numRef>
          </c:val>
        </c:ser>
        <c:ser>
          <c:idx val="2"/>
          <c:order val="2"/>
          <c:tx>
            <c:strRef>
              <c:f>Plan1!$D$1</c:f>
              <c:strCache>
                <c:ptCount val="1"/>
                <c:pt idx="0">
                  <c:v>AS VEZES</c:v>
                </c:pt>
              </c:strCache>
            </c:strRef>
          </c:tx>
          <c:spPr>
            <a:solidFill>
              <a:srgbClr val="00B050"/>
            </a:solidFill>
          </c:spPr>
          <c:invertIfNegative val="0"/>
          <c:dPt>
            <c:idx val="0"/>
            <c:invertIfNegative val="0"/>
            <c:bubble3D val="0"/>
            <c:spPr>
              <a:solidFill>
                <a:srgbClr val="0070C0"/>
              </a:solidFill>
            </c:spPr>
          </c:dPt>
          <c:dPt>
            <c:idx val="1"/>
            <c:invertIfNegative val="0"/>
            <c:bubble3D val="0"/>
            <c:spPr>
              <a:solidFill>
                <a:srgbClr val="FF0000"/>
              </a:solidFill>
            </c:spPr>
          </c:dPt>
          <c:cat>
            <c:numRef>
              <c:f>Plan1!$A$2:$A$4</c:f>
              <c:numCache>
                <c:formatCode>0%</c:formatCode>
                <c:ptCount val="3"/>
                <c:pt idx="0">
                  <c:v>0.34</c:v>
                </c:pt>
                <c:pt idx="1">
                  <c:v>0.62</c:v>
                </c:pt>
                <c:pt idx="2">
                  <c:v>0.04</c:v>
                </c:pt>
              </c:numCache>
            </c:numRef>
          </c:cat>
          <c:val>
            <c:numRef>
              <c:f>Plan1!$D$2:$D$4</c:f>
              <c:numCache>
                <c:formatCode>General</c:formatCode>
                <c:ptCount val="3"/>
                <c:pt idx="0">
                  <c:v>2</c:v>
                </c:pt>
                <c:pt idx="1">
                  <c:v>2</c:v>
                </c:pt>
                <c:pt idx="2">
                  <c:v>3</c:v>
                </c:pt>
              </c:numCache>
            </c:numRef>
          </c:val>
        </c:ser>
        <c:dLbls>
          <c:showLegendKey val="0"/>
          <c:showVal val="0"/>
          <c:showCatName val="0"/>
          <c:showSerName val="0"/>
          <c:showPercent val="0"/>
          <c:showBubbleSize val="0"/>
        </c:dLbls>
        <c:gapWidth val="55"/>
        <c:gapDepth val="55"/>
        <c:shape val="cylinder"/>
        <c:axId val="346770432"/>
        <c:axId val="344293376"/>
        <c:axId val="0"/>
      </c:bar3DChart>
      <c:catAx>
        <c:axId val="346770432"/>
        <c:scaling>
          <c:orientation val="minMax"/>
        </c:scaling>
        <c:delete val="0"/>
        <c:axPos val="b"/>
        <c:numFmt formatCode="0%" sourceLinked="1"/>
        <c:majorTickMark val="none"/>
        <c:minorTickMark val="none"/>
        <c:tickLblPos val="nextTo"/>
        <c:txPr>
          <a:bodyPr/>
          <a:lstStyle/>
          <a:p>
            <a:pPr>
              <a:defRPr sz="899">
                <a:latin typeface="Arial" pitchFamily="34" charset="0"/>
                <a:cs typeface="Arial" pitchFamily="34" charset="0"/>
              </a:defRPr>
            </a:pPr>
            <a:endParaRPr lang="pt-BR"/>
          </a:p>
        </c:txPr>
        <c:crossAx val="344293376"/>
        <c:crosses val="autoZero"/>
        <c:auto val="1"/>
        <c:lblAlgn val="ctr"/>
        <c:lblOffset val="100"/>
        <c:noMultiLvlLbl val="0"/>
      </c:catAx>
      <c:valAx>
        <c:axId val="344293376"/>
        <c:scaling>
          <c:orientation val="minMax"/>
          <c:max val="100"/>
        </c:scaling>
        <c:delete val="0"/>
        <c:axPos val="l"/>
        <c:majorGridlines/>
        <c:numFmt formatCode="General" sourceLinked="1"/>
        <c:majorTickMark val="none"/>
        <c:minorTickMark val="none"/>
        <c:tickLblPos val="nextTo"/>
        <c:txPr>
          <a:bodyPr/>
          <a:lstStyle/>
          <a:p>
            <a:pPr>
              <a:defRPr sz="899">
                <a:latin typeface="Arial" pitchFamily="34" charset="0"/>
                <a:cs typeface="Arial" pitchFamily="34" charset="0"/>
              </a:defRPr>
            </a:pPr>
            <a:endParaRPr lang="pt-BR"/>
          </a:p>
        </c:txPr>
        <c:crossAx val="346770432"/>
        <c:crosses val="autoZero"/>
        <c:crossBetween val="between"/>
        <c:majorUnit val="50"/>
        <c:minorUnit val="1"/>
      </c:valAx>
      <c:spPr>
        <a:noFill/>
        <a:ln w="19023">
          <a:noFill/>
        </a:ln>
      </c:spPr>
    </c:plotArea>
    <c:legend>
      <c:legendPos val="r"/>
      <c:layout>
        <c:manualLayout>
          <c:xMode val="edge"/>
          <c:yMode val="edge"/>
          <c:x val="0.80143884892086326"/>
          <c:y val="0.36388888888888887"/>
          <c:w val="0.1841726618705036"/>
          <c:h val="0.26666666666666666"/>
        </c:manualLayout>
      </c:layout>
      <c:overlay val="0"/>
      <c:txPr>
        <a:bodyPr/>
        <a:lstStyle/>
        <a:p>
          <a:pPr>
            <a:defRPr sz="899">
              <a:latin typeface="Arial" pitchFamily="34" charset="0"/>
              <a:cs typeface="Arial" pitchFamily="34" charset="0"/>
            </a:defRPr>
          </a:pPr>
          <a:endParaRPr lang="pt-BR"/>
        </a:p>
      </c:txPr>
    </c:legend>
    <c:plotVisOnly val="1"/>
    <c:dispBlanksAs val="gap"/>
    <c:showDLblsOverMax val="0"/>
  </c:chart>
  <c:spPr>
    <a:ln w="11890"/>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0512292501537028E-2"/>
          <c:y val="0.23403555607756246"/>
          <c:w val="0.74874093525233165"/>
          <c:h val="0.61083093800938992"/>
        </c:manualLayout>
      </c:layout>
      <c:bar3DChart>
        <c:barDir val="col"/>
        <c:grouping val="stacked"/>
        <c:varyColors val="0"/>
        <c:ser>
          <c:idx val="0"/>
          <c:order val="0"/>
          <c:tx>
            <c:strRef>
              <c:f>Plan1!$B$1</c:f>
              <c:strCache>
                <c:ptCount val="1"/>
                <c:pt idx="0">
                  <c:v>JÁ FEZ</c:v>
                </c:pt>
              </c:strCache>
            </c:strRef>
          </c:tx>
          <c:spPr>
            <a:solidFill>
              <a:srgbClr val="0070C0"/>
            </a:solidFill>
          </c:spPr>
          <c:invertIfNegative val="0"/>
          <c:dPt>
            <c:idx val="1"/>
            <c:invertIfNegative val="0"/>
            <c:bubble3D val="0"/>
            <c:spPr>
              <a:solidFill>
                <a:srgbClr val="FF0000"/>
              </a:solidFill>
            </c:spPr>
          </c:dPt>
          <c:dPt>
            <c:idx val="2"/>
            <c:invertIfNegative val="0"/>
            <c:bubble3D val="0"/>
            <c:spPr>
              <a:solidFill>
                <a:srgbClr val="00B050"/>
              </a:solidFill>
            </c:spPr>
          </c:dPt>
          <c:cat>
            <c:numRef>
              <c:f>Plan1!$A$2:$A$4</c:f>
              <c:numCache>
                <c:formatCode>0%</c:formatCode>
                <c:ptCount val="3"/>
                <c:pt idx="0">
                  <c:v>0.65</c:v>
                </c:pt>
                <c:pt idx="1">
                  <c:v>0.1</c:v>
                </c:pt>
                <c:pt idx="2">
                  <c:v>0.25</c:v>
                </c:pt>
              </c:numCache>
            </c:numRef>
          </c:cat>
          <c:val>
            <c:numRef>
              <c:f>Plan1!$B$2:$B$4</c:f>
              <c:numCache>
                <c:formatCode>General</c:formatCode>
                <c:ptCount val="3"/>
                <c:pt idx="0">
                  <c:v>65</c:v>
                </c:pt>
                <c:pt idx="1">
                  <c:v>10</c:v>
                </c:pt>
                <c:pt idx="2">
                  <c:v>25</c:v>
                </c:pt>
              </c:numCache>
            </c:numRef>
          </c:val>
        </c:ser>
        <c:ser>
          <c:idx val="1"/>
          <c:order val="1"/>
          <c:tx>
            <c:strRef>
              <c:f>Plan1!$C$1</c:f>
              <c:strCache>
                <c:ptCount val="1"/>
                <c:pt idx="0">
                  <c:v>FAZ USO</c:v>
                </c:pt>
              </c:strCache>
            </c:strRef>
          </c:tx>
          <c:spPr>
            <a:solidFill>
              <a:srgbClr val="FF0000"/>
            </a:solidFill>
          </c:spPr>
          <c:invertIfNegative val="0"/>
          <c:dPt>
            <c:idx val="0"/>
            <c:invertIfNegative val="0"/>
            <c:bubble3D val="0"/>
            <c:spPr>
              <a:solidFill>
                <a:srgbClr val="0070C0"/>
              </a:solidFill>
            </c:spPr>
          </c:dPt>
          <c:dPt>
            <c:idx val="2"/>
            <c:invertIfNegative val="0"/>
            <c:bubble3D val="0"/>
            <c:spPr>
              <a:solidFill>
                <a:srgbClr val="00B050"/>
              </a:solidFill>
            </c:spPr>
          </c:dPt>
          <c:cat>
            <c:numRef>
              <c:f>Plan1!$A$2:$A$4</c:f>
              <c:numCache>
                <c:formatCode>0%</c:formatCode>
                <c:ptCount val="3"/>
                <c:pt idx="0">
                  <c:v>0.65</c:v>
                </c:pt>
                <c:pt idx="1">
                  <c:v>0.1</c:v>
                </c:pt>
                <c:pt idx="2">
                  <c:v>0.25</c:v>
                </c:pt>
              </c:numCache>
            </c:numRef>
          </c:cat>
          <c:val>
            <c:numRef>
              <c:f>Plan1!$C$2:$C$4</c:f>
              <c:numCache>
                <c:formatCode>General</c:formatCode>
                <c:ptCount val="3"/>
                <c:pt idx="0">
                  <c:v>2.4</c:v>
                </c:pt>
                <c:pt idx="1">
                  <c:v>4.4000000000000004</c:v>
                </c:pt>
                <c:pt idx="2">
                  <c:v>1.8</c:v>
                </c:pt>
              </c:numCache>
            </c:numRef>
          </c:val>
        </c:ser>
        <c:ser>
          <c:idx val="2"/>
          <c:order val="2"/>
          <c:tx>
            <c:strRef>
              <c:f>Plan1!$D$1</c:f>
              <c:strCache>
                <c:ptCount val="1"/>
                <c:pt idx="0">
                  <c:v>AS VEZES</c:v>
                </c:pt>
              </c:strCache>
            </c:strRef>
          </c:tx>
          <c:spPr>
            <a:solidFill>
              <a:srgbClr val="00B050"/>
            </a:solidFill>
          </c:spPr>
          <c:invertIfNegative val="0"/>
          <c:dPt>
            <c:idx val="0"/>
            <c:invertIfNegative val="0"/>
            <c:bubble3D val="0"/>
            <c:spPr>
              <a:solidFill>
                <a:srgbClr val="0070C0"/>
              </a:solidFill>
            </c:spPr>
          </c:dPt>
          <c:dPt>
            <c:idx val="1"/>
            <c:invertIfNegative val="0"/>
            <c:bubble3D val="0"/>
            <c:spPr>
              <a:solidFill>
                <a:srgbClr val="FF0000"/>
              </a:solidFill>
            </c:spPr>
          </c:dPt>
          <c:cat>
            <c:numRef>
              <c:f>Plan1!$A$2:$A$4</c:f>
              <c:numCache>
                <c:formatCode>0%</c:formatCode>
                <c:ptCount val="3"/>
                <c:pt idx="0">
                  <c:v>0.65</c:v>
                </c:pt>
                <c:pt idx="1">
                  <c:v>0.1</c:v>
                </c:pt>
                <c:pt idx="2">
                  <c:v>0.25</c:v>
                </c:pt>
              </c:numCache>
            </c:numRef>
          </c:cat>
          <c:val>
            <c:numRef>
              <c:f>Plan1!$D$2:$D$4</c:f>
              <c:numCache>
                <c:formatCode>General</c:formatCode>
                <c:ptCount val="3"/>
                <c:pt idx="0">
                  <c:v>2</c:v>
                </c:pt>
                <c:pt idx="1">
                  <c:v>2</c:v>
                </c:pt>
                <c:pt idx="2">
                  <c:v>3</c:v>
                </c:pt>
              </c:numCache>
            </c:numRef>
          </c:val>
        </c:ser>
        <c:dLbls>
          <c:showLegendKey val="0"/>
          <c:showVal val="0"/>
          <c:showCatName val="0"/>
          <c:showSerName val="0"/>
          <c:showPercent val="0"/>
          <c:showBubbleSize val="0"/>
        </c:dLbls>
        <c:gapWidth val="55"/>
        <c:gapDepth val="55"/>
        <c:shape val="cylinder"/>
        <c:axId val="346916864"/>
        <c:axId val="344297408"/>
        <c:axId val="0"/>
      </c:bar3DChart>
      <c:catAx>
        <c:axId val="346916864"/>
        <c:scaling>
          <c:orientation val="minMax"/>
        </c:scaling>
        <c:delete val="0"/>
        <c:axPos val="b"/>
        <c:numFmt formatCode="0%" sourceLinked="1"/>
        <c:majorTickMark val="none"/>
        <c:minorTickMark val="none"/>
        <c:tickLblPos val="nextTo"/>
        <c:txPr>
          <a:bodyPr/>
          <a:lstStyle/>
          <a:p>
            <a:pPr>
              <a:defRPr sz="895">
                <a:latin typeface="Arial" pitchFamily="34" charset="0"/>
                <a:cs typeface="Arial" pitchFamily="34" charset="0"/>
              </a:defRPr>
            </a:pPr>
            <a:endParaRPr lang="pt-BR"/>
          </a:p>
        </c:txPr>
        <c:crossAx val="344297408"/>
        <c:crosses val="autoZero"/>
        <c:auto val="1"/>
        <c:lblAlgn val="ctr"/>
        <c:lblOffset val="100"/>
        <c:noMultiLvlLbl val="0"/>
      </c:catAx>
      <c:valAx>
        <c:axId val="344297408"/>
        <c:scaling>
          <c:orientation val="minMax"/>
          <c:max val="100"/>
        </c:scaling>
        <c:delete val="0"/>
        <c:axPos val="l"/>
        <c:majorGridlines/>
        <c:numFmt formatCode="General" sourceLinked="1"/>
        <c:majorTickMark val="none"/>
        <c:minorTickMark val="none"/>
        <c:tickLblPos val="nextTo"/>
        <c:txPr>
          <a:bodyPr/>
          <a:lstStyle/>
          <a:p>
            <a:pPr>
              <a:defRPr sz="895">
                <a:latin typeface="Arial" pitchFamily="34" charset="0"/>
                <a:cs typeface="Arial" pitchFamily="34" charset="0"/>
              </a:defRPr>
            </a:pPr>
            <a:endParaRPr lang="pt-BR"/>
          </a:p>
        </c:txPr>
        <c:crossAx val="346916864"/>
        <c:crosses val="autoZero"/>
        <c:crossBetween val="between"/>
        <c:majorUnit val="50"/>
        <c:minorUnit val="1"/>
      </c:valAx>
      <c:spPr>
        <a:noFill/>
        <a:ln w="18939">
          <a:noFill/>
        </a:ln>
      </c:spPr>
    </c:plotArea>
    <c:legend>
      <c:legendPos val="r"/>
      <c:layout>
        <c:manualLayout>
          <c:xMode val="edge"/>
          <c:yMode val="edge"/>
          <c:x val="0.80143884892086326"/>
          <c:y val="0.34285714285714286"/>
          <c:w val="0.1841726618705036"/>
          <c:h val="0.30476190476190479"/>
        </c:manualLayout>
      </c:layout>
      <c:overlay val="0"/>
      <c:txPr>
        <a:bodyPr/>
        <a:lstStyle/>
        <a:p>
          <a:pPr>
            <a:defRPr sz="895">
              <a:latin typeface="Arial" pitchFamily="34" charset="0"/>
              <a:cs typeface="Arial" pitchFamily="34" charset="0"/>
            </a:defRPr>
          </a:pPr>
          <a:endParaRPr lang="pt-BR"/>
        </a:p>
      </c:txPr>
    </c:legend>
    <c:plotVisOnly val="1"/>
    <c:dispBlanksAs val="gap"/>
    <c:showDLblsOverMax val="0"/>
  </c:chart>
  <c:spPr>
    <a:ln w="11837">
      <a:solidFill>
        <a:sysClr val="windowText" lastClr="000000">
          <a:alpha val="83000"/>
        </a:sys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Plan1!$B$1</c:f>
              <c:strCache>
                <c:ptCount val="1"/>
                <c:pt idx="0">
                  <c:v>SIM</c:v>
                </c:pt>
              </c:strCache>
            </c:strRef>
          </c:tx>
          <c:spPr>
            <a:solidFill>
              <a:srgbClr val="0070C0"/>
            </a:solidFill>
          </c:spPr>
          <c:invertIfNegative val="0"/>
          <c:dPt>
            <c:idx val="1"/>
            <c:invertIfNegative val="0"/>
            <c:bubble3D val="0"/>
            <c:spPr>
              <a:solidFill>
                <a:srgbClr val="FF0000"/>
              </a:solidFill>
            </c:spPr>
          </c:dPt>
          <c:cat>
            <c:numRef>
              <c:f>Plan1!$A$2:$A$3</c:f>
              <c:numCache>
                <c:formatCode>0%</c:formatCode>
                <c:ptCount val="2"/>
                <c:pt idx="0">
                  <c:v>0.5</c:v>
                </c:pt>
                <c:pt idx="1">
                  <c:v>0.5</c:v>
                </c:pt>
              </c:numCache>
            </c:numRef>
          </c:cat>
          <c:val>
            <c:numRef>
              <c:f>Plan1!$B$2:$B$3</c:f>
              <c:numCache>
                <c:formatCode>General</c:formatCode>
                <c:ptCount val="2"/>
                <c:pt idx="0">
                  <c:v>50</c:v>
                </c:pt>
                <c:pt idx="1">
                  <c:v>50</c:v>
                </c:pt>
              </c:numCache>
            </c:numRef>
          </c:val>
        </c:ser>
        <c:ser>
          <c:idx val="1"/>
          <c:order val="1"/>
          <c:tx>
            <c:strRef>
              <c:f>Plan1!$C$1</c:f>
              <c:strCache>
                <c:ptCount val="1"/>
                <c:pt idx="0">
                  <c:v>NÃO</c:v>
                </c:pt>
              </c:strCache>
            </c:strRef>
          </c:tx>
          <c:spPr>
            <a:solidFill>
              <a:srgbClr val="FF0000"/>
            </a:solidFill>
          </c:spPr>
          <c:invertIfNegative val="0"/>
          <c:dPt>
            <c:idx val="0"/>
            <c:invertIfNegative val="0"/>
            <c:bubble3D val="0"/>
            <c:spPr>
              <a:solidFill>
                <a:srgbClr val="0070C0"/>
              </a:solidFill>
            </c:spPr>
          </c:dPt>
          <c:cat>
            <c:numRef>
              <c:f>Plan1!$A$2:$A$3</c:f>
              <c:numCache>
                <c:formatCode>0%</c:formatCode>
                <c:ptCount val="2"/>
                <c:pt idx="0">
                  <c:v>0.5</c:v>
                </c:pt>
                <c:pt idx="1">
                  <c:v>0.5</c:v>
                </c:pt>
              </c:numCache>
            </c:numRef>
          </c:cat>
          <c:val>
            <c:numRef>
              <c:f>Plan1!$C$2:$C$3</c:f>
              <c:numCache>
                <c:formatCode>General</c:formatCode>
                <c:ptCount val="2"/>
                <c:pt idx="0">
                  <c:v>2.4</c:v>
                </c:pt>
                <c:pt idx="1">
                  <c:v>4.4000000000000004</c:v>
                </c:pt>
              </c:numCache>
            </c:numRef>
          </c:val>
        </c:ser>
        <c:dLbls>
          <c:showLegendKey val="0"/>
          <c:showVal val="0"/>
          <c:showCatName val="0"/>
          <c:showSerName val="0"/>
          <c:showPercent val="0"/>
          <c:showBubbleSize val="0"/>
        </c:dLbls>
        <c:gapWidth val="55"/>
        <c:gapDepth val="55"/>
        <c:shape val="cylinder"/>
        <c:axId val="346910720"/>
        <c:axId val="348413952"/>
        <c:axId val="0"/>
      </c:bar3DChart>
      <c:catAx>
        <c:axId val="346910720"/>
        <c:scaling>
          <c:orientation val="minMax"/>
        </c:scaling>
        <c:delete val="0"/>
        <c:axPos val="b"/>
        <c:numFmt formatCode="0%" sourceLinked="1"/>
        <c:majorTickMark val="none"/>
        <c:minorTickMark val="none"/>
        <c:tickLblPos val="nextTo"/>
        <c:txPr>
          <a:bodyPr/>
          <a:lstStyle/>
          <a:p>
            <a:pPr>
              <a:defRPr sz="1199">
                <a:latin typeface="Arial" pitchFamily="34" charset="0"/>
                <a:cs typeface="Arial" pitchFamily="34" charset="0"/>
              </a:defRPr>
            </a:pPr>
            <a:endParaRPr lang="pt-BR"/>
          </a:p>
        </c:txPr>
        <c:crossAx val="348413952"/>
        <c:crosses val="autoZero"/>
        <c:auto val="1"/>
        <c:lblAlgn val="ctr"/>
        <c:lblOffset val="100"/>
        <c:noMultiLvlLbl val="0"/>
      </c:catAx>
      <c:valAx>
        <c:axId val="348413952"/>
        <c:scaling>
          <c:orientation val="minMax"/>
          <c:max val="100"/>
        </c:scaling>
        <c:delete val="0"/>
        <c:axPos val="l"/>
        <c:majorGridlines/>
        <c:numFmt formatCode="General" sourceLinked="1"/>
        <c:majorTickMark val="none"/>
        <c:minorTickMark val="none"/>
        <c:tickLblPos val="nextTo"/>
        <c:txPr>
          <a:bodyPr/>
          <a:lstStyle/>
          <a:p>
            <a:pPr>
              <a:defRPr sz="1199">
                <a:latin typeface="Arial" pitchFamily="34" charset="0"/>
                <a:cs typeface="Arial" pitchFamily="34" charset="0"/>
              </a:defRPr>
            </a:pPr>
            <a:endParaRPr lang="pt-BR"/>
          </a:p>
        </c:txPr>
        <c:crossAx val="346910720"/>
        <c:crosses val="autoZero"/>
        <c:crossBetween val="between"/>
        <c:majorUnit val="50"/>
        <c:minorUnit val="1"/>
      </c:valAx>
      <c:spPr>
        <a:noFill/>
        <a:ln w="25387">
          <a:noFill/>
        </a:ln>
      </c:spPr>
    </c:plotArea>
    <c:legend>
      <c:legendPos val="r"/>
      <c:layout>
        <c:manualLayout>
          <c:xMode val="edge"/>
          <c:yMode val="edge"/>
          <c:x val="0.86921850079744822"/>
          <c:y val="0.39542483660130717"/>
          <c:w val="0.11642743221690589"/>
          <c:h val="0.20915032679738563"/>
        </c:manualLayout>
      </c:layout>
      <c:overlay val="0"/>
      <c:txPr>
        <a:bodyPr/>
        <a:lstStyle/>
        <a:p>
          <a:pPr>
            <a:defRPr sz="1199">
              <a:latin typeface="Arial" pitchFamily="34" charset="0"/>
              <a:cs typeface="Arial" pitchFamily="34" charset="0"/>
            </a:defRPr>
          </a:pPr>
          <a:endParaRPr lang="pt-B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Plan1!$B$1</c:f>
              <c:strCache>
                <c:ptCount val="1"/>
                <c:pt idx="0">
                  <c:v>SIM</c:v>
                </c:pt>
              </c:strCache>
            </c:strRef>
          </c:tx>
          <c:spPr>
            <a:solidFill>
              <a:srgbClr val="0070C0"/>
            </a:solidFill>
          </c:spPr>
          <c:invertIfNegative val="0"/>
          <c:dPt>
            <c:idx val="1"/>
            <c:invertIfNegative val="0"/>
            <c:bubble3D val="0"/>
            <c:spPr>
              <a:solidFill>
                <a:srgbClr val="FF0000"/>
              </a:solidFill>
            </c:spPr>
          </c:dPt>
          <c:cat>
            <c:numRef>
              <c:f>Plan1!$A$2:$A$3</c:f>
              <c:numCache>
                <c:formatCode>0%</c:formatCode>
                <c:ptCount val="2"/>
                <c:pt idx="0">
                  <c:v>0.66</c:v>
                </c:pt>
                <c:pt idx="1">
                  <c:v>0.34</c:v>
                </c:pt>
              </c:numCache>
            </c:numRef>
          </c:cat>
          <c:val>
            <c:numRef>
              <c:f>Plan1!$B$2:$B$3</c:f>
              <c:numCache>
                <c:formatCode>General</c:formatCode>
                <c:ptCount val="2"/>
                <c:pt idx="0">
                  <c:v>66</c:v>
                </c:pt>
                <c:pt idx="1">
                  <c:v>34</c:v>
                </c:pt>
              </c:numCache>
            </c:numRef>
          </c:val>
        </c:ser>
        <c:ser>
          <c:idx val="1"/>
          <c:order val="1"/>
          <c:tx>
            <c:strRef>
              <c:f>Plan1!$C$1</c:f>
              <c:strCache>
                <c:ptCount val="1"/>
                <c:pt idx="0">
                  <c:v>NÃO</c:v>
                </c:pt>
              </c:strCache>
            </c:strRef>
          </c:tx>
          <c:spPr>
            <a:solidFill>
              <a:srgbClr val="FF0000"/>
            </a:solidFill>
          </c:spPr>
          <c:invertIfNegative val="0"/>
          <c:dPt>
            <c:idx val="0"/>
            <c:invertIfNegative val="0"/>
            <c:bubble3D val="0"/>
            <c:spPr>
              <a:solidFill>
                <a:srgbClr val="0070C0"/>
              </a:solidFill>
            </c:spPr>
          </c:dPt>
          <c:cat>
            <c:numRef>
              <c:f>Plan1!$A$2:$A$3</c:f>
              <c:numCache>
                <c:formatCode>0%</c:formatCode>
                <c:ptCount val="2"/>
                <c:pt idx="0">
                  <c:v>0.66</c:v>
                </c:pt>
                <c:pt idx="1">
                  <c:v>0.34</c:v>
                </c:pt>
              </c:numCache>
            </c:numRef>
          </c:cat>
          <c:val>
            <c:numRef>
              <c:f>Plan1!$C$2:$C$3</c:f>
              <c:numCache>
                <c:formatCode>General</c:formatCode>
                <c:ptCount val="2"/>
                <c:pt idx="0">
                  <c:v>2.4</c:v>
                </c:pt>
                <c:pt idx="1">
                  <c:v>4.4000000000000004</c:v>
                </c:pt>
              </c:numCache>
            </c:numRef>
          </c:val>
        </c:ser>
        <c:dLbls>
          <c:showLegendKey val="0"/>
          <c:showVal val="0"/>
          <c:showCatName val="0"/>
          <c:showSerName val="0"/>
          <c:showPercent val="0"/>
          <c:showBubbleSize val="0"/>
        </c:dLbls>
        <c:gapWidth val="55"/>
        <c:gapDepth val="55"/>
        <c:shape val="cylinder"/>
        <c:axId val="346912768"/>
        <c:axId val="348415680"/>
        <c:axId val="0"/>
      </c:bar3DChart>
      <c:catAx>
        <c:axId val="346912768"/>
        <c:scaling>
          <c:orientation val="minMax"/>
        </c:scaling>
        <c:delete val="0"/>
        <c:axPos val="b"/>
        <c:numFmt formatCode="0%" sourceLinked="1"/>
        <c:majorTickMark val="none"/>
        <c:minorTickMark val="none"/>
        <c:tickLblPos val="nextTo"/>
        <c:txPr>
          <a:bodyPr/>
          <a:lstStyle/>
          <a:p>
            <a:pPr>
              <a:defRPr sz="1197">
                <a:latin typeface="Arial" pitchFamily="34" charset="0"/>
                <a:cs typeface="Arial" pitchFamily="34" charset="0"/>
              </a:defRPr>
            </a:pPr>
            <a:endParaRPr lang="pt-BR"/>
          </a:p>
        </c:txPr>
        <c:crossAx val="348415680"/>
        <c:crosses val="autoZero"/>
        <c:auto val="1"/>
        <c:lblAlgn val="ctr"/>
        <c:lblOffset val="100"/>
        <c:noMultiLvlLbl val="0"/>
      </c:catAx>
      <c:valAx>
        <c:axId val="348415680"/>
        <c:scaling>
          <c:orientation val="minMax"/>
          <c:max val="100"/>
        </c:scaling>
        <c:delete val="0"/>
        <c:axPos val="l"/>
        <c:majorGridlines/>
        <c:numFmt formatCode="General" sourceLinked="1"/>
        <c:majorTickMark val="none"/>
        <c:minorTickMark val="none"/>
        <c:tickLblPos val="nextTo"/>
        <c:txPr>
          <a:bodyPr/>
          <a:lstStyle/>
          <a:p>
            <a:pPr>
              <a:defRPr sz="1197">
                <a:latin typeface="Arial" pitchFamily="34" charset="0"/>
                <a:cs typeface="Arial" pitchFamily="34" charset="0"/>
              </a:defRPr>
            </a:pPr>
            <a:endParaRPr lang="pt-BR"/>
          </a:p>
        </c:txPr>
        <c:crossAx val="346912768"/>
        <c:crosses val="autoZero"/>
        <c:crossBetween val="between"/>
        <c:majorUnit val="50"/>
        <c:minorUnit val="1"/>
      </c:valAx>
      <c:spPr>
        <a:noFill/>
        <a:ln w="25333">
          <a:noFill/>
        </a:ln>
      </c:spPr>
    </c:plotArea>
    <c:legend>
      <c:legendPos val="r"/>
      <c:layout>
        <c:manualLayout>
          <c:xMode val="edge"/>
          <c:yMode val="edge"/>
          <c:x val="0.86929133858267715"/>
          <c:y val="0.40303030303030307"/>
          <c:w val="0.11496062992125984"/>
          <c:h val="0.19393939393939394"/>
        </c:manualLayout>
      </c:layout>
      <c:overlay val="0"/>
      <c:txPr>
        <a:bodyPr/>
        <a:lstStyle/>
        <a:p>
          <a:pPr>
            <a:defRPr sz="1197">
              <a:latin typeface="Arial" pitchFamily="34" charset="0"/>
              <a:cs typeface="Arial" pitchFamily="34" charset="0"/>
            </a:defRPr>
          </a:pPr>
          <a:endParaRPr lang="pt-BR"/>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2184368737474945E-2"/>
          <c:y val="0.34210526315789475"/>
          <c:w val="0.64328657314629256"/>
          <c:h val="0.49561403508771928"/>
        </c:manualLayout>
      </c:layout>
      <c:bar3DChart>
        <c:barDir val="col"/>
        <c:grouping val="stacked"/>
        <c:varyColors val="0"/>
        <c:ser>
          <c:idx val="0"/>
          <c:order val="0"/>
          <c:tx>
            <c:strRef>
              <c:f>Plan1!$B$1</c:f>
              <c:strCache>
                <c:ptCount val="1"/>
                <c:pt idx="0">
                  <c:v>MAIS DE 4</c:v>
                </c:pt>
              </c:strCache>
            </c:strRef>
          </c:tx>
          <c:spPr>
            <a:solidFill>
              <a:srgbClr val="0070C0"/>
            </a:solidFill>
          </c:spPr>
          <c:invertIfNegative val="0"/>
          <c:dPt>
            <c:idx val="1"/>
            <c:invertIfNegative val="0"/>
            <c:bubble3D val="0"/>
            <c:spPr>
              <a:solidFill>
                <a:srgbClr val="FF0000"/>
              </a:solidFill>
            </c:spPr>
          </c:dPt>
          <c:dPt>
            <c:idx val="2"/>
            <c:invertIfNegative val="0"/>
            <c:bubble3D val="0"/>
            <c:spPr>
              <a:solidFill>
                <a:srgbClr val="00B050"/>
              </a:solidFill>
            </c:spPr>
          </c:dPt>
          <c:dPt>
            <c:idx val="3"/>
            <c:invertIfNegative val="0"/>
            <c:bubble3D val="0"/>
            <c:spPr>
              <a:solidFill>
                <a:srgbClr val="FFFF00"/>
              </a:solidFill>
            </c:spPr>
          </c:dPt>
          <c:cat>
            <c:numRef>
              <c:f>Plan1!$A$2:$A$5</c:f>
              <c:numCache>
                <c:formatCode>0%</c:formatCode>
                <c:ptCount val="4"/>
                <c:pt idx="0">
                  <c:v>0.27</c:v>
                </c:pt>
                <c:pt idx="1">
                  <c:v>0.27</c:v>
                </c:pt>
                <c:pt idx="2">
                  <c:v>0.3</c:v>
                </c:pt>
                <c:pt idx="3">
                  <c:v>0.16</c:v>
                </c:pt>
              </c:numCache>
            </c:numRef>
          </c:cat>
          <c:val>
            <c:numRef>
              <c:f>Plan1!$B$2:$B$5</c:f>
              <c:numCache>
                <c:formatCode>General</c:formatCode>
                <c:ptCount val="4"/>
                <c:pt idx="0">
                  <c:v>27</c:v>
                </c:pt>
                <c:pt idx="1">
                  <c:v>27</c:v>
                </c:pt>
                <c:pt idx="2">
                  <c:v>30</c:v>
                </c:pt>
                <c:pt idx="3">
                  <c:v>16</c:v>
                </c:pt>
              </c:numCache>
            </c:numRef>
          </c:val>
        </c:ser>
        <c:ser>
          <c:idx val="1"/>
          <c:order val="1"/>
          <c:tx>
            <c:strRef>
              <c:f>Plan1!$C$1</c:f>
              <c:strCache>
                <c:ptCount val="1"/>
                <c:pt idx="0">
                  <c:v>QUATRO</c:v>
                </c:pt>
              </c:strCache>
            </c:strRef>
          </c:tx>
          <c:spPr>
            <a:solidFill>
              <a:srgbClr val="FF0000"/>
            </a:solidFill>
          </c:spPr>
          <c:invertIfNegative val="0"/>
          <c:dPt>
            <c:idx val="0"/>
            <c:invertIfNegative val="0"/>
            <c:bubble3D val="0"/>
            <c:spPr>
              <a:solidFill>
                <a:srgbClr val="0070C0"/>
              </a:solidFill>
            </c:spPr>
          </c:dPt>
          <c:dPt>
            <c:idx val="2"/>
            <c:invertIfNegative val="0"/>
            <c:bubble3D val="0"/>
            <c:spPr>
              <a:solidFill>
                <a:srgbClr val="00B050"/>
              </a:solidFill>
            </c:spPr>
          </c:dPt>
          <c:dPt>
            <c:idx val="3"/>
            <c:invertIfNegative val="0"/>
            <c:bubble3D val="0"/>
            <c:spPr>
              <a:solidFill>
                <a:srgbClr val="FFFF00"/>
              </a:solidFill>
            </c:spPr>
          </c:dPt>
          <c:cat>
            <c:numRef>
              <c:f>Plan1!$A$2:$A$5</c:f>
              <c:numCache>
                <c:formatCode>0%</c:formatCode>
                <c:ptCount val="4"/>
                <c:pt idx="0">
                  <c:v>0.27</c:v>
                </c:pt>
                <c:pt idx="1">
                  <c:v>0.27</c:v>
                </c:pt>
                <c:pt idx="2">
                  <c:v>0.3</c:v>
                </c:pt>
                <c:pt idx="3">
                  <c:v>0.16</c:v>
                </c:pt>
              </c:numCache>
            </c:numRef>
          </c:cat>
          <c:val>
            <c:numRef>
              <c:f>Plan1!$C$2:$C$5</c:f>
              <c:numCache>
                <c:formatCode>General</c:formatCode>
                <c:ptCount val="4"/>
                <c:pt idx="0">
                  <c:v>2.4</c:v>
                </c:pt>
                <c:pt idx="1">
                  <c:v>4.4000000000000004</c:v>
                </c:pt>
                <c:pt idx="2">
                  <c:v>1.8</c:v>
                </c:pt>
                <c:pt idx="3">
                  <c:v>2.8</c:v>
                </c:pt>
              </c:numCache>
            </c:numRef>
          </c:val>
        </c:ser>
        <c:ser>
          <c:idx val="2"/>
          <c:order val="2"/>
          <c:tx>
            <c:strRef>
              <c:f>Plan1!$D$1</c:f>
              <c:strCache>
                <c:ptCount val="1"/>
                <c:pt idx="0">
                  <c:v>TRÊS</c:v>
                </c:pt>
              </c:strCache>
            </c:strRef>
          </c:tx>
          <c:spPr>
            <a:solidFill>
              <a:srgbClr val="00B050"/>
            </a:solidFill>
          </c:spPr>
          <c:invertIfNegative val="0"/>
          <c:dPt>
            <c:idx val="0"/>
            <c:invertIfNegative val="0"/>
            <c:bubble3D val="0"/>
            <c:spPr>
              <a:solidFill>
                <a:srgbClr val="0070C0"/>
              </a:solidFill>
            </c:spPr>
          </c:dPt>
          <c:dPt>
            <c:idx val="1"/>
            <c:invertIfNegative val="0"/>
            <c:bubble3D val="0"/>
            <c:spPr>
              <a:solidFill>
                <a:srgbClr val="FF0000"/>
              </a:solidFill>
            </c:spPr>
          </c:dPt>
          <c:dPt>
            <c:idx val="3"/>
            <c:invertIfNegative val="0"/>
            <c:bubble3D val="0"/>
            <c:spPr>
              <a:solidFill>
                <a:srgbClr val="FFFF00"/>
              </a:solidFill>
            </c:spPr>
          </c:dPt>
          <c:cat>
            <c:numRef>
              <c:f>Plan1!$A$2:$A$5</c:f>
              <c:numCache>
                <c:formatCode>0%</c:formatCode>
                <c:ptCount val="4"/>
                <c:pt idx="0">
                  <c:v>0.27</c:v>
                </c:pt>
                <c:pt idx="1">
                  <c:v>0.27</c:v>
                </c:pt>
                <c:pt idx="2">
                  <c:v>0.3</c:v>
                </c:pt>
                <c:pt idx="3">
                  <c:v>0.16</c:v>
                </c:pt>
              </c:numCache>
            </c:numRef>
          </c:cat>
          <c:val>
            <c:numRef>
              <c:f>Plan1!$D$2:$D$5</c:f>
              <c:numCache>
                <c:formatCode>General</c:formatCode>
                <c:ptCount val="4"/>
                <c:pt idx="0">
                  <c:v>2</c:v>
                </c:pt>
                <c:pt idx="1">
                  <c:v>2</c:v>
                </c:pt>
                <c:pt idx="2">
                  <c:v>3</c:v>
                </c:pt>
                <c:pt idx="3">
                  <c:v>5</c:v>
                </c:pt>
              </c:numCache>
            </c:numRef>
          </c:val>
        </c:ser>
        <c:ser>
          <c:idx val="3"/>
          <c:order val="3"/>
          <c:tx>
            <c:strRef>
              <c:f>Plan1!$E$1</c:f>
              <c:strCache>
                <c:ptCount val="1"/>
                <c:pt idx="0">
                  <c:v>DUAS</c:v>
                </c:pt>
              </c:strCache>
            </c:strRef>
          </c:tx>
          <c:spPr>
            <a:solidFill>
              <a:srgbClr val="FFFF00"/>
            </a:solidFill>
          </c:spPr>
          <c:invertIfNegative val="0"/>
          <c:cat>
            <c:numRef>
              <c:f>Plan1!$A$2:$A$5</c:f>
              <c:numCache>
                <c:formatCode>0%</c:formatCode>
                <c:ptCount val="4"/>
                <c:pt idx="0">
                  <c:v>0.27</c:v>
                </c:pt>
                <c:pt idx="1">
                  <c:v>0.27</c:v>
                </c:pt>
                <c:pt idx="2">
                  <c:v>0.3</c:v>
                </c:pt>
                <c:pt idx="3">
                  <c:v>0.16</c:v>
                </c:pt>
              </c:numCache>
            </c:numRef>
          </c:cat>
          <c:val>
            <c:numRef>
              <c:f>Plan1!$E$2:$E$5</c:f>
              <c:numCache>
                <c:formatCode>General</c:formatCode>
                <c:ptCount val="4"/>
              </c:numCache>
            </c:numRef>
          </c:val>
        </c:ser>
        <c:dLbls>
          <c:showLegendKey val="0"/>
          <c:showVal val="0"/>
          <c:showCatName val="0"/>
          <c:showSerName val="0"/>
          <c:showPercent val="0"/>
          <c:showBubbleSize val="0"/>
        </c:dLbls>
        <c:gapWidth val="55"/>
        <c:gapDepth val="55"/>
        <c:shape val="cylinder"/>
        <c:axId val="346914304"/>
        <c:axId val="348414528"/>
        <c:axId val="0"/>
      </c:bar3DChart>
      <c:catAx>
        <c:axId val="346914304"/>
        <c:scaling>
          <c:orientation val="minMax"/>
        </c:scaling>
        <c:delete val="0"/>
        <c:axPos val="b"/>
        <c:numFmt formatCode="0%" sourceLinked="1"/>
        <c:majorTickMark val="none"/>
        <c:minorTickMark val="none"/>
        <c:tickLblPos val="nextTo"/>
        <c:txPr>
          <a:bodyPr/>
          <a:lstStyle/>
          <a:p>
            <a:pPr>
              <a:defRPr sz="1199">
                <a:latin typeface="Arial" pitchFamily="34" charset="0"/>
                <a:cs typeface="Arial" pitchFamily="34" charset="0"/>
              </a:defRPr>
            </a:pPr>
            <a:endParaRPr lang="pt-BR"/>
          </a:p>
        </c:txPr>
        <c:crossAx val="348414528"/>
        <c:crosses val="autoZero"/>
        <c:auto val="1"/>
        <c:lblAlgn val="ctr"/>
        <c:lblOffset val="100"/>
        <c:noMultiLvlLbl val="0"/>
      </c:catAx>
      <c:valAx>
        <c:axId val="348414528"/>
        <c:scaling>
          <c:orientation val="minMax"/>
          <c:max val="100"/>
        </c:scaling>
        <c:delete val="0"/>
        <c:axPos val="l"/>
        <c:majorGridlines/>
        <c:numFmt formatCode="General" sourceLinked="1"/>
        <c:majorTickMark val="none"/>
        <c:minorTickMark val="none"/>
        <c:tickLblPos val="nextTo"/>
        <c:txPr>
          <a:bodyPr/>
          <a:lstStyle/>
          <a:p>
            <a:pPr>
              <a:defRPr sz="1199">
                <a:latin typeface="Arial" pitchFamily="34" charset="0"/>
                <a:cs typeface="Arial" pitchFamily="34" charset="0"/>
              </a:defRPr>
            </a:pPr>
            <a:endParaRPr lang="pt-BR"/>
          </a:p>
        </c:txPr>
        <c:crossAx val="346914304"/>
        <c:crosses val="autoZero"/>
        <c:crossBetween val="between"/>
        <c:majorUnit val="50"/>
        <c:minorUnit val="1"/>
      </c:valAx>
      <c:spPr>
        <a:noFill/>
        <a:ln w="25380">
          <a:noFill/>
        </a:ln>
      </c:spPr>
    </c:plotArea>
    <c:legend>
      <c:legendPos val="r"/>
      <c:layout>
        <c:manualLayout>
          <c:xMode val="edge"/>
          <c:yMode val="edge"/>
          <c:x val="0.77491961414790989"/>
          <c:y val="0.45751633986928109"/>
          <c:w val="0.20578778135048229"/>
          <c:h val="0.45098039215686275"/>
        </c:manualLayout>
      </c:layout>
      <c:overlay val="0"/>
      <c:txPr>
        <a:bodyPr/>
        <a:lstStyle/>
        <a:p>
          <a:pPr>
            <a:defRPr sz="1199">
              <a:latin typeface="Arial" pitchFamily="34" charset="0"/>
              <a:cs typeface="Arial" pitchFamily="34" charset="0"/>
            </a:defRPr>
          </a:pPr>
          <a:endParaRPr lang="pt-BR"/>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Plan1!$B$1</c:f>
              <c:strCache>
                <c:ptCount val="1"/>
                <c:pt idx="0">
                  <c:v>SIM</c:v>
                </c:pt>
              </c:strCache>
            </c:strRef>
          </c:tx>
          <c:spPr>
            <a:solidFill>
              <a:srgbClr val="0070C0"/>
            </a:solidFill>
          </c:spPr>
          <c:invertIfNegative val="0"/>
          <c:dPt>
            <c:idx val="1"/>
            <c:invertIfNegative val="0"/>
            <c:bubble3D val="0"/>
            <c:spPr>
              <a:solidFill>
                <a:srgbClr val="FF0000"/>
              </a:solidFill>
            </c:spPr>
          </c:dPt>
          <c:cat>
            <c:numRef>
              <c:f>Plan1!$A$2:$A$3</c:f>
              <c:numCache>
                <c:formatCode>0%</c:formatCode>
                <c:ptCount val="2"/>
                <c:pt idx="0">
                  <c:v>0.64</c:v>
                </c:pt>
                <c:pt idx="1">
                  <c:v>0.36</c:v>
                </c:pt>
              </c:numCache>
            </c:numRef>
          </c:cat>
          <c:val>
            <c:numRef>
              <c:f>Plan1!$B$2:$B$3</c:f>
              <c:numCache>
                <c:formatCode>General</c:formatCode>
                <c:ptCount val="2"/>
                <c:pt idx="0">
                  <c:v>64</c:v>
                </c:pt>
                <c:pt idx="1">
                  <c:v>36</c:v>
                </c:pt>
              </c:numCache>
            </c:numRef>
          </c:val>
        </c:ser>
        <c:ser>
          <c:idx val="1"/>
          <c:order val="1"/>
          <c:tx>
            <c:strRef>
              <c:f>Plan1!$C$1</c:f>
              <c:strCache>
                <c:ptCount val="1"/>
                <c:pt idx="0">
                  <c:v>NÃO</c:v>
                </c:pt>
              </c:strCache>
            </c:strRef>
          </c:tx>
          <c:spPr>
            <a:solidFill>
              <a:srgbClr val="FF0000"/>
            </a:solidFill>
          </c:spPr>
          <c:invertIfNegative val="0"/>
          <c:dPt>
            <c:idx val="0"/>
            <c:invertIfNegative val="0"/>
            <c:bubble3D val="0"/>
            <c:spPr>
              <a:solidFill>
                <a:srgbClr val="0070C0"/>
              </a:solidFill>
            </c:spPr>
          </c:dPt>
          <c:cat>
            <c:numRef>
              <c:f>Plan1!$A$2:$A$3</c:f>
              <c:numCache>
                <c:formatCode>0%</c:formatCode>
                <c:ptCount val="2"/>
                <c:pt idx="0">
                  <c:v>0.64</c:v>
                </c:pt>
                <c:pt idx="1">
                  <c:v>0.36</c:v>
                </c:pt>
              </c:numCache>
            </c:numRef>
          </c:cat>
          <c:val>
            <c:numRef>
              <c:f>Plan1!$C$2:$C$3</c:f>
              <c:numCache>
                <c:formatCode>General</c:formatCode>
                <c:ptCount val="2"/>
                <c:pt idx="0">
                  <c:v>2.4</c:v>
                </c:pt>
                <c:pt idx="1">
                  <c:v>4.4000000000000004</c:v>
                </c:pt>
              </c:numCache>
            </c:numRef>
          </c:val>
        </c:ser>
        <c:dLbls>
          <c:showLegendKey val="0"/>
          <c:showVal val="0"/>
          <c:showCatName val="0"/>
          <c:showSerName val="0"/>
          <c:showPercent val="0"/>
          <c:showBubbleSize val="0"/>
        </c:dLbls>
        <c:gapWidth val="55"/>
        <c:gapDepth val="55"/>
        <c:shape val="cylinder"/>
        <c:axId val="360838144"/>
        <c:axId val="348416832"/>
        <c:axId val="0"/>
      </c:bar3DChart>
      <c:catAx>
        <c:axId val="360838144"/>
        <c:scaling>
          <c:orientation val="minMax"/>
        </c:scaling>
        <c:delete val="0"/>
        <c:axPos val="b"/>
        <c:numFmt formatCode="0%" sourceLinked="1"/>
        <c:majorTickMark val="none"/>
        <c:minorTickMark val="none"/>
        <c:tickLblPos val="nextTo"/>
        <c:txPr>
          <a:bodyPr/>
          <a:lstStyle/>
          <a:p>
            <a:pPr>
              <a:defRPr sz="1198">
                <a:latin typeface="Arial" pitchFamily="34" charset="0"/>
                <a:cs typeface="Arial" pitchFamily="34" charset="0"/>
              </a:defRPr>
            </a:pPr>
            <a:endParaRPr lang="pt-BR"/>
          </a:p>
        </c:txPr>
        <c:crossAx val="348416832"/>
        <c:crosses val="autoZero"/>
        <c:auto val="1"/>
        <c:lblAlgn val="ctr"/>
        <c:lblOffset val="100"/>
        <c:noMultiLvlLbl val="0"/>
      </c:catAx>
      <c:valAx>
        <c:axId val="348416832"/>
        <c:scaling>
          <c:orientation val="minMax"/>
          <c:max val="100"/>
        </c:scaling>
        <c:delete val="0"/>
        <c:axPos val="l"/>
        <c:majorGridlines/>
        <c:numFmt formatCode="General" sourceLinked="1"/>
        <c:majorTickMark val="none"/>
        <c:minorTickMark val="none"/>
        <c:tickLblPos val="nextTo"/>
        <c:txPr>
          <a:bodyPr/>
          <a:lstStyle/>
          <a:p>
            <a:pPr>
              <a:defRPr sz="1198">
                <a:latin typeface="Arial" pitchFamily="34" charset="0"/>
                <a:cs typeface="Arial" pitchFamily="34" charset="0"/>
              </a:defRPr>
            </a:pPr>
            <a:endParaRPr lang="pt-BR"/>
          </a:p>
        </c:txPr>
        <c:crossAx val="360838144"/>
        <c:crosses val="autoZero"/>
        <c:crossBetween val="between"/>
        <c:majorUnit val="50"/>
        <c:minorUnit val="1"/>
      </c:valAx>
      <c:spPr>
        <a:noFill/>
        <a:ln w="25350">
          <a:noFill/>
        </a:ln>
      </c:spPr>
    </c:plotArea>
    <c:legend>
      <c:legendPos val="r"/>
      <c:layout>
        <c:manualLayout>
          <c:xMode val="edge"/>
          <c:yMode val="edge"/>
          <c:x val="0.86921850079744822"/>
          <c:y val="0.38515901060070673"/>
          <c:w val="0.11642743221690589"/>
          <c:h val="0.2261484098939929"/>
        </c:manualLayout>
      </c:layout>
      <c:overlay val="0"/>
      <c:txPr>
        <a:bodyPr/>
        <a:lstStyle/>
        <a:p>
          <a:pPr>
            <a:defRPr sz="1198">
              <a:latin typeface="Arial" pitchFamily="34" charset="0"/>
              <a:cs typeface="Arial" pitchFamily="34" charset="0"/>
            </a:defRPr>
          </a:pPr>
          <a:endParaRPr lang="pt-BR"/>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Plan1!$B$1</c:f>
              <c:strCache>
                <c:ptCount val="1"/>
                <c:pt idx="0">
                  <c:v>SIM</c:v>
                </c:pt>
              </c:strCache>
            </c:strRef>
          </c:tx>
          <c:spPr>
            <a:solidFill>
              <a:srgbClr val="0070C0"/>
            </a:solidFill>
          </c:spPr>
          <c:invertIfNegative val="0"/>
          <c:dPt>
            <c:idx val="1"/>
            <c:invertIfNegative val="0"/>
            <c:bubble3D val="0"/>
            <c:spPr>
              <a:solidFill>
                <a:srgbClr val="FF0000"/>
              </a:solidFill>
            </c:spPr>
          </c:dPt>
          <c:cat>
            <c:numRef>
              <c:f>Plan1!$A$2:$A$3</c:f>
              <c:numCache>
                <c:formatCode>0%</c:formatCode>
                <c:ptCount val="2"/>
                <c:pt idx="0">
                  <c:v>0.62</c:v>
                </c:pt>
                <c:pt idx="1">
                  <c:v>0.38</c:v>
                </c:pt>
              </c:numCache>
            </c:numRef>
          </c:cat>
          <c:val>
            <c:numRef>
              <c:f>Plan1!$B$2:$B$3</c:f>
              <c:numCache>
                <c:formatCode>General</c:formatCode>
                <c:ptCount val="2"/>
                <c:pt idx="0">
                  <c:v>62</c:v>
                </c:pt>
                <c:pt idx="1">
                  <c:v>38</c:v>
                </c:pt>
              </c:numCache>
            </c:numRef>
          </c:val>
        </c:ser>
        <c:ser>
          <c:idx val="1"/>
          <c:order val="1"/>
          <c:tx>
            <c:strRef>
              <c:f>Plan1!$C$1</c:f>
              <c:strCache>
                <c:ptCount val="1"/>
                <c:pt idx="0">
                  <c:v>NÃO</c:v>
                </c:pt>
              </c:strCache>
            </c:strRef>
          </c:tx>
          <c:spPr>
            <a:solidFill>
              <a:srgbClr val="FF0000"/>
            </a:solidFill>
          </c:spPr>
          <c:invertIfNegative val="0"/>
          <c:dPt>
            <c:idx val="0"/>
            <c:invertIfNegative val="0"/>
            <c:bubble3D val="0"/>
            <c:spPr>
              <a:solidFill>
                <a:srgbClr val="0070C0"/>
              </a:solidFill>
            </c:spPr>
          </c:dPt>
          <c:cat>
            <c:numRef>
              <c:f>Plan1!$A$2:$A$3</c:f>
              <c:numCache>
                <c:formatCode>0%</c:formatCode>
                <c:ptCount val="2"/>
                <c:pt idx="0">
                  <c:v>0.62</c:v>
                </c:pt>
                <c:pt idx="1">
                  <c:v>0.38</c:v>
                </c:pt>
              </c:numCache>
            </c:numRef>
          </c:cat>
          <c:val>
            <c:numRef>
              <c:f>Plan1!$C$2:$C$3</c:f>
              <c:numCache>
                <c:formatCode>General</c:formatCode>
                <c:ptCount val="2"/>
                <c:pt idx="0">
                  <c:v>2.4</c:v>
                </c:pt>
                <c:pt idx="1">
                  <c:v>4.4000000000000004</c:v>
                </c:pt>
              </c:numCache>
            </c:numRef>
          </c:val>
        </c:ser>
        <c:dLbls>
          <c:showLegendKey val="0"/>
          <c:showVal val="0"/>
          <c:showCatName val="0"/>
          <c:showSerName val="0"/>
          <c:showPercent val="0"/>
          <c:showBubbleSize val="0"/>
        </c:dLbls>
        <c:gapWidth val="55"/>
        <c:gapDepth val="55"/>
        <c:shape val="cylinder"/>
        <c:axId val="360840192"/>
        <c:axId val="348420864"/>
        <c:axId val="0"/>
      </c:bar3DChart>
      <c:catAx>
        <c:axId val="360840192"/>
        <c:scaling>
          <c:orientation val="minMax"/>
        </c:scaling>
        <c:delete val="0"/>
        <c:axPos val="b"/>
        <c:numFmt formatCode="0%" sourceLinked="1"/>
        <c:majorTickMark val="none"/>
        <c:minorTickMark val="none"/>
        <c:tickLblPos val="nextTo"/>
        <c:txPr>
          <a:bodyPr/>
          <a:lstStyle/>
          <a:p>
            <a:pPr>
              <a:defRPr sz="1194">
                <a:latin typeface="Arial" pitchFamily="34" charset="0"/>
                <a:cs typeface="Arial" pitchFamily="34" charset="0"/>
              </a:defRPr>
            </a:pPr>
            <a:endParaRPr lang="pt-BR"/>
          </a:p>
        </c:txPr>
        <c:crossAx val="348420864"/>
        <c:crosses val="autoZero"/>
        <c:auto val="1"/>
        <c:lblAlgn val="ctr"/>
        <c:lblOffset val="100"/>
        <c:noMultiLvlLbl val="0"/>
      </c:catAx>
      <c:valAx>
        <c:axId val="348420864"/>
        <c:scaling>
          <c:orientation val="minMax"/>
          <c:max val="100"/>
        </c:scaling>
        <c:delete val="0"/>
        <c:axPos val="l"/>
        <c:majorGridlines/>
        <c:numFmt formatCode="General" sourceLinked="1"/>
        <c:majorTickMark val="none"/>
        <c:minorTickMark val="none"/>
        <c:tickLblPos val="nextTo"/>
        <c:txPr>
          <a:bodyPr/>
          <a:lstStyle/>
          <a:p>
            <a:pPr>
              <a:defRPr sz="1194">
                <a:latin typeface="Arial" pitchFamily="34" charset="0"/>
                <a:cs typeface="Arial" pitchFamily="34" charset="0"/>
              </a:defRPr>
            </a:pPr>
            <a:endParaRPr lang="pt-BR"/>
          </a:p>
        </c:txPr>
        <c:crossAx val="360840192"/>
        <c:crosses val="autoZero"/>
        <c:crossBetween val="between"/>
        <c:majorUnit val="50"/>
        <c:minorUnit val="1"/>
      </c:valAx>
      <c:spPr>
        <a:noFill/>
        <a:ln w="25271">
          <a:noFill/>
        </a:ln>
      </c:spPr>
    </c:plotArea>
    <c:legend>
      <c:legendPos val="r"/>
      <c:layout>
        <c:manualLayout>
          <c:xMode val="edge"/>
          <c:yMode val="edge"/>
          <c:x val="0.86921850079744822"/>
          <c:y val="0.39542483660130717"/>
          <c:w val="0.11642743221690589"/>
          <c:h val="0.20915032679738563"/>
        </c:manualLayout>
      </c:layout>
      <c:overlay val="0"/>
      <c:txPr>
        <a:bodyPr/>
        <a:lstStyle/>
        <a:p>
          <a:pPr>
            <a:defRPr sz="1194">
              <a:latin typeface="Arial" pitchFamily="34" charset="0"/>
              <a:cs typeface="Arial" pitchFamily="34" charset="0"/>
            </a:defRPr>
          </a:pPr>
          <a:endParaRPr lang="pt-BR"/>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1A1FD4-22D7-43B6-B920-BBAEEF25E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360018</Words>
  <Characters>1944099</Characters>
  <Application>Microsoft Office Word</Application>
  <DocSecurity>0</DocSecurity>
  <Lines>16200</Lines>
  <Paragraphs>4599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2299518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Marinês da Rosa</cp:lastModifiedBy>
  <cp:revision>3</cp:revision>
  <dcterms:created xsi:type="dcterms:W3CDTF">2016-07-25T15:06:00Z</dcterms:created>
  <dcterms:modified xsi:type="dcterms:W3CDTF">2016-07-25T15:06:00Z</dcterms:modified>
</cp:coreProperties>
</file>